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C7ECA380"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1B93" w:rsidRDefault="002A6FC6" w:rsidP="00D82F81">
      <w:pPr>
        <w:pStyle w:val="Heading4"/>
        <w:keepNext w:val="0"/>
        <w:widowControl w:val="0"/>
        <w:pBdr>
          <w:top w:val="none" w:sz="0" w:space="0" w:color="auto"/>
          <w:left w:val="none" w:sz="0" w:space="0" w:color="auto"/>
          <w:bottom w:val="none" w:sz="0" w:space="0" w:color="auto"/>
          <w:right w:val="none" w:sz="0" w:space="0" w:color="auto"/>
        </w:pBdr>
        <w:jc w:val="center"/>
        <w:rPr>
          <w:b/>
          <w:bCs/>
          <w:i w:val="0"/>
          <w:iCs w:val="0"/>
          <w:sz w:val="28"/>
          <w:szCs w:val="22"/>
          <w:u w:val="single"/>
        </w:rPr>
      </w:pPr>
      <w:r w:rsidRPr="00BC194E">
        <w:rPr>
          <w:b/>
          <w:bCs/>
          <w:i w:val="0"/>
          <w:iCs w:val="0"/>
          <w:sz w:val="28"/>
          <w:szCs w:val="22"/>
          <w:u w:val="single"/>
        </w:rPr>
        <w:t>R</w:t>
      </w:r>
      <w:r w:rsidR="00091B8E">
        <w:rPr>
          <w:b/>
          <w:bCs/>
          <w:i w:val="0"/>
          <w:iCs w:val="0"/>
          <w:sz w:val="28"/>
          <w:szCs w:val="22"/>
          <w:u w:val="single"/>
        </w:rPr>
        <w:t>ating References</w:t>
      </w:r>
    </w:p>
    <w:p w:rsidR="00D82F81" w:rsidRPr="00591B93" w:rsidRDefault="00D82F81" w:rsidP="00D82F81">
      <w:pPr>
        <w:pStyle w:val="Heading4"/>
        <w:keepNext w:val="0"/>
        <w:widowControl w:val="0"/>
        <w:pBdr>
          <w:top w:val="none" w:sz="0" w:space="0" w:color="auto"/>
          <w:left w:val="none" w:sz="0" w:space="0" w:color="auto"/>
          <w:bottom w:val="none" w:sz="0" w:space="0" w:color="auto"/>
          <w:right w:val="none" w:sz="0" w:space="0" w:color="auto"/>
        </w:pBdr>
        <w:jc w:val="center"/>
        <w:rPr>
          <w:b/>
          <w:sz w:val="20"/>
          <w:szCs w:val="22"/>
        </w:rPr>
      </w:pPr>
      <w:r w:rsidRPr="00591B93">
        <w:rPr>
          <w:b/>
          <w:sz w:val="24"/>
          <w:szCs w:val="22"/>
          <w:u w:val="single"/>
        </w:rPr>
        <w:t xml:space="preserve">(Part 3, Part 4, </w:t>
      </w:r>
      <w:r w:rsidR="002F3DFE" w:rsidRPr="00591B93">
        <w:rPr>
          <w:b/>
          <w:sz w:val="24"/>
          <w:szCs w:val="22"/>
          <w:u w:val="single"/>
        </w:rPr>
        <w:t xml:space="preserve">Live Manual, Trainings, Notes, Glossaries </w:t>
      </w:r>
      <w:r w:rsidR="00C4705E">
        <w:rPr>
          <w:b/>
          <w:sz w:val="24"/>
          <w:szCs w:val="22"/>
          <w:u w:val="single"/>
        </w:rPr>
        <w:t>and</w:t>
      </w:r>
      <w:r w:rsidRPr="00591B93">
        <w:rPr>
          <w:b/>
          <w:sz w:val="24"/>
          <w:szCs w:val="22"/>
          <w:u w:val="single"/>
        </w:rPr>
        <w:t xml:space="preserve"> some Paragraphs)</w:t>
      </w:r>
    </w:p>
    <w:p w:rsidR="00D82F81" w:rsidRDefault="00D82F81">
      <w:pPr>
        <w:pStyle w:val="Heading4"/>
        <w:keepNext w:val="0"/>
        <w:widowControl w:val="0"/>
        <w:pBdr>
          <w:top w:val="none" w:sz="0" w:space="0" w:color="auto"/>
          <w:left w:val="none" w:sz="0" w:space="0" w:color="auto"/>
          <w:bottom w:val="none" w:sz="0" w:space="0" w:color="auto"/>
          <w:right w:val="none" w:sz="0" w:space="0" w:color="auto"/>
        </w:pBdr>
        <w:jc w:val="center"/>
        <w:rPr>
          <w:b/>
          <w:bCs/>
          <w:i w:val="0"/>
          <w:iCs w:val="0"/>
          <w:sz w:val="20"/>
        </w:rPr>
      </w:pPr>
    </w:p>
    <w:p w:rsidR="00013EB8" w:rsidRPr="00BC194E" w:rsidRDefault="005B22B5">
      <w:pPr>
        <w:pStyle w:val="Heading4"/>
        <w:keepNext w:val="0"/>
        <w:widowControl w:val="0"/>
        <w:pBdr>
          <w:top w:val="none" w:sz="0" w:space="0" w:color="auto"/>
          <w:left w:val="none" w:sz="0" w:space="0" w:color="auto"/>
          <w:bottom w:val="none" w:sz="0" w:space="0" w:color="auto"/>
          <w:right w:val="none" w:sz="0" w:space="0" w:color="auto"/>
        </w:pBdr>
        <w:jc w:val="center"/>
        <w:rPr>
          <w:b/>
          <w:bCs/>
          <w:i w:val="0"/>
          <w:iCs w:val="0"/>
        </w:rPr>
      </w:pPr>
      <w:r>
        <w:rPr>
          <w:b/>
          <w:bCs/>
          <w:i w:val="0"/>
          <w:iCs w:val="0"/>
        </w:rPr>
        <w:t>INDEX</w:t>
      </w:r>
    </w:p>
    <w:p w:rsidR="005F5D1E" w:rsidRDefault="005F5D1E" w:rsidP="005F5D1E"/>
    <w:p w:rsidR="005F5D1E" w:rsidRPr="00D10240" w:rsidRDefault="005F5D1E" w:rsidP="007C7A68">
      <w:pPr>
        <w:pBdr>
          <w:top w:val="double" w:sz="4" w:space="1" w:color="auto"/>
          <w:left w:val="double" w:sz="4" w:space="4" w:color="auto"/>
          <w:bottom w:val="double" w:sz="4" w:space="0" w:color="auto"/>
          <w:right w:val="double" w:sz="4" w:space="4" w:color="auto"/>
        </w:pBdr>
        <w:shd w:val="clear" w:color="auto" w:fill="FFC000"/>
        <w:jc w:val="center"/>
        <w:rPr>
          <w:rFonts w:eastAsiaTheme="minorHAnsi"/>
        </w:rPr>
      </w:pPr>
      <w:r>
        <w:rPr>
          <w:rFonts w:eastAsiaTheme="minorHAnsi"/>
          <w:b/>
        </w:rPr>
        <w:t xml:space="preserve">Rating References (Part 3, Part 4, </w:t>
      </w:r>
      <w:r w:rsidR="00C4705E">
        <w:rPr>
          <w:rFonts w:eastAsiaTheme="minorHAnsi"/>
          <w:b/>
        </w:rPr>
        <w:t xml:space="preserve">Live Manual, Trainings, </w:t>
      </w:r>
      <w:r>
        <w:rPr>
          <w:rFonts w:eastAsiaTheme="minorHAnsi"/>
          <w:b/>
        </w:rPr>
        <w:t>Notes</w:t>
      </w:r>
      <w:r w:rsidR="00C4705E">
        <w:rPr>
          <w:rFonts w:eastAsiaTheme="minorHAnsi"/>
          <w:b/>
        </w:rPr>
        <w:t>, Glossaries</w:t>
      </w:r>
      <w:r>
        <w:rPr>
          <w:rFonts w:eastAsiaTheme="minorHAnsi"/>
          <w:b/>
        </w:rPr>
        <w:t xml:space="preserve"> </w:t>
      </w:r>
      <w:r w:rsidR="00C4705E">
        <w:rPr>
          <w:rFonts w:eastAsiaTheme="minorHAnsi"/>
          <w:b/>
        </w:rPr>
        <w:t>and</w:t>
      </w:r>
      <w:r>
        <w:rPr>
          <w:rFonts w:eastAsiaTheme="minorHAnsi"/>
          <w:b/>
        </w:rPr>
        <w:t xml:space="preserve"> some Paragraphs)</w:t>
      </w:r>
      <w:r w:rsidRPr="005F5D1E">
        <w:rPr>
          <w:rFonts w:eastAsiaTheme="minorHAnsi"/>
        </w:rPr>
        <w:t xml:space="preserve"> &amp;</w:t>
      </w:r>
      <w:r>
        <w:rPr>
          <w:rFonts w:eastAsiaTheme="minorHAnsi"/>
          <w:b/>
        </w:rPr>
        <w:t xml:space="preserve"> Rating References ARCHIVE</w:t>
      </w:r>
      <w:r>
        <w:rPr>
          <w:rFonts w:eastAsiaTheme="minorHAnsi"/>
        </w:rPr>
        <w:t xml:space="preserve"> are</w:t>
      </w:r>
      <w:r w:rsidRPr="0036376C">
        <w:t xml:space="preserve"> saved at </w:t>
      </w:r>
      <w:r w:rsidRPr="001453C4">
        <w:rPr>
          <w:b/>
          <w:bCs/>
          <w:i/>
          <w:iCs/>
        </w:rPr>
        <w:t>H:\VSC\Rating Reference</w:t>
      </w:r>
    </w:p>
    <w:p w:rsidR="005F5D1E" w:rsidRPr="005F5D1E" w:rsidRDefault="005F5D1E" w:rsidP="005F5D1E"/>
    <w:p w:rsidR="007B20E2" w:rsidRDefault="00D571C5" w:rsidP="001472B0">
      <w:pPr>
        <w:pBdr>
          <w:top w:val="single" w:sz="4" w:space="1" w:color="auto"/>
          <w:left w:val="single" w:sz="4" w:space="4" w:color="auto"/>
          <w:bottom w:val="single" w:sz="4" w:space="1" w:color="auto"/>
          <w:right w:val="single" w:sz="4" w:space="4" w:color="auto"/>
        </w:pBdr>
        <w:shd w:val="clear" w:color="auto" w:fill="E5B8B7" w:themeFill="accent2" w:themeFillTint="66"/>
        <w:jc w:val="center"/>
      </w:pPr>
      <w:hyperlink r:id="rId8" w:history="1">
        <w:r w:rsidR="001472B0" w:rsidRPr="001472B0">
          <w:rPr>
            <w:rStyle w:val="Hyperlink"/>
            <w:i/>
          </w:rPr>
          <w:t>http://digital.dav.org/publication/?i=341034</w:t>
        </w:r>
      </w:hyperlink>
      <w:r w:rsidR="001472B0">
        <w:t xml:space="preserve"> – </w:t>
      </w:r>
      <w:r w:rsidR="001472B0" w:rsidRPr="001472B0">
        <w:rPr>
          <w:b/>
          <w:i/>
        </w:rPr>
        <w:t>American Veterans Disabled for Life Memorial</w:t>
      </w:r>
    </w:p>
    <w:p w:rsidR="0072233F" w:rsidRPr="007B20E2" w:rsidRDefault="0072233F" w:rsidP="007B20E2"/>
    <w:p w:rsidR="00013EB8" w:rsidRDefault="00013EB8">
      <w:pPr>
        <w:widowControl w:val="0"/>
      </w:pPr>
    </w:p>
    <w:p w:rsidR="00013EB8" w:rsidRDefault="00013EB8">
      <w:pPr>
        <w:pStyle w:val="Header"/>
        <w:widowControl w:val="0"/>
        <w:tabs>
          <w:tab w:val="clear" w:pos="4320"/>
          <w:tab w:val="clear" w:pos="8640"/>
        </w:tabs>
        <w:sectPr w:rsidR="00013EB8" w:rsidSect="008140DA">
          <w:footerReference w:type="default" r:id="rId9"/>
          <w:footnotePr>
            <w:numRestart w:val="eachSect"/>
          </w:footnotePr>
          <w:type w:val="continuous"/>
          <w:pgSz w:w="12240" w:h="15840" w:code="1"/>
          <w:pgMar w:top="720" w:right="720" w:bottom="720" w:left="720" w:header="720" w:footer="648" w:gutter="0"/>
          <w:cols w:space="720"/>
          <w:docGrid w:linePitch="272"/>
        </w:sectPr>
      </w:pPr>
    </w:p>
    <w:p w:rsidR="00013EB8" w:rsidRPr="004D429B" w:rsidRDefault="00D571C5" w:rsidP="00691877">
      <w:pPr>
        <w:pStyle w:val="Header"/>
        <w:widowControl w:val="0"/>
        <w:numPr>
          <w:ilvl w:val="0"/>
          <w:numId w:val="3"/>
        </w:numPr>
        <w:tabs>
          <w:tab w:val="clear" w:pos="720"/>
          <w:tab w:val="clear" w:pos="4320"/>
          <w:tab w:val="clear" w:pos="8640"/>
          <w:tab w:val="left" w:pos="0"/>
          <w:tab w:val="num" w:pos="360"/>
        </w:tabs>
        <w:ind w:left="360"/>
        <w:rPr>
          <w:rStyle w:val="Hyperlink"/>
          <w:color w:val="auto"/>
          <w:u w:val="none"/>
        </w:rPr>
      </w:pPr>
      <w:hyperlink w:anchor="Links" w:history="1">
        <w:r w:rsidR="00013EB8">
          <w:rPr>
            <w:rStyle w:val="Hyperlink"/>
          </w:rPr>
          <w:t>Useful Links and Locations</w:t>
        </w:r>
      </w:hyperlink>
    </w:p>
    <w:p w:rsidR="004D429B"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SysCompNotes" w:history="1">
        <w:r w:rsidR="004D429B" w:rsidRPr="004D429B">
          <w:rPr>
            <w:rStyle w:val="Hyperlink"/>
          </w:rPr>
          <w:t>System/Computer Notes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TypesOfClaims" w:history="1">
        <w:r w:rsidR="00013EB8">
          <w:rPr>
            <w:rStyle w:val="Hyperlink"/>
          </w:rPr>
          <w:t>Types of Claims</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CUE" w:history="1">
        <w:r w:rsidR="00013EB8">
          <w:rPr>
            <w:rStyle w:val="Hyperlink"/>
          </w:rPr>
          <w:t>Clear and Unmistakable Error (CUE)</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CFI" w:history="1">
        <w:r w:rsidR="00013EB8">
          <w:rPr>
            <w:rStyle w:val="Hyperlink"/>
          </w:rPr>
          <w:t>Claims for Increase</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Reopen" w:history="1">
        <w:r w:rsidR="00013EB8">
          <w:rPr>
            <w:rStyle w:val="Hyperlink"/>
          </w:rPr>
          <w:t>Reopened Claims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SNL" w:history="1">
        <w:r w:rsidR="008E1492">
          <w:rPr>
            <w:rStyle w:val="Hyperlink"/>
          </w:rPr>
          <w:t>Evaluation Builder, VBMS-R &amp;</w:t>
        </w:r>
        <w:r w:rsidR="00013EB8">
          <w:rPr>
            <w:rStyle w:val="Hyperlink"/>
          </w:rPr>
          <w:t xml:space="preserve"> VBMS Info</w:t>
        </w:r>
      </w:hyperlink>
    </w:p>
    <w:p w:rsidR="004559D4" w:rsidRDefault="00D571C5" w:rsidP="00691877">
      <w:pPr>
        <w:pStyle w:val="Header"/>
        <w:widowControl w:val="0"/>
        <w:numPr>
          <w:ilvl w:val="1"/>
          <w:numId w:val="3"/>
        </w:numPr>
        <w:tabs>
          <w:tab w:val="clear" w:pos="1440"/>
          <w:tab w:val="clear" w:pos="4320"/>
          <w:tab w:val="clear" w:pos="8640"/>
          <w:tab w:val="left" w:pos="0"/>
          <w:tab w:val="num" w:pos="1100"/>
        </w:tabs>
        <w:ind w:left="1100"/>
      </w:pPr>
      <w:hyperlink w:anchor="VBMSRGenText" w:history="1">
        <w:r w:rsidR="004559D4" w:rsidRPr="004559D4">
          <w:rPr>
            <w:rStyle w:val="Hyperlink"/>
          </w:rPr>
          <w:t xml:space="preserve">VBMS-R </w:t>
        </w:r>
        <w:r w:rsidR="00C551BE">
          <w:rPr>
            <w:rStyle w:val="Hyperlink"/>
          </w:rPr>
          <w:t>System-</w:t>
        </w:r>
        <w:r w:rsidR="004559D4" w:rsidRPr="004559D4">
          <w:rPr>
            <w:rStyle w:val="Hyperlink"/>
          </w:rPr>
          <w:t>Generated Text</w:t>
        </w:r>
      </w:hyperlink>
    </w:p>
    <w:p w:rsidR="00013EB8" w:rsidRDefault="00D571C5" w:rsidP="00691877">
      <w:pPr>
        <w:pStyle w:val="Header"/>
        <w:widowControl w:val="0"/>
        <w:numPr>
          <w:ilvl w:val="1"/>
          <w:numId w:val="3"/>
        </w:numPr>
        <w:tabs>
          <w:tab w:val="clear" w:pos="1440"/>
          <w:tab w:val="clear" w:pos="4320"/>
          <w:tab w:val="clear" w:pos="8640"/>
          <w:tab w:val="left" w:pos="0"/>
          <w:tab w:val="num" w:pos="1100"/>
        </w:tabs>
        <w:ind w:left="1100"/>
      </w:pPr>
      <w:hyperlink w:anchor="SNLDenialReasons" w:history="1">
        <w:r w:rsidR="00013EB8">
          <w:rPr>
            <w:rStyle w:val="Hyperlink"/>
          </w:rPr>
          <w:t>Denial Reasons</w:t>
        </w:r>
      </w:hyperlink>
    </w:p>
    <w:p w:rsidR="00013EB8" w:rsidRDefault="00D571C5" w:rsidP="00691877">
      <w:pPr>
        <w:pStyle w:val="Header"/>
        <w:widowControl w:val="0"/>
        <w:numPr>
          <w:ilvl w:val="1"/>
          <w:numId w:val="3"/>
        </w:numPr>
        <w:tabs>
          <w:tab w:val="clear" w:pos="1440"/>
          <w:tab w:val="clear" w:pos="4320"/>
          <w:tab w:val="clear" w:pos="8640"/>
          <w:tab w:val="left" w:pos="0"/>
          <w:tab w:val="num" w:pos="1100"/>
        </w:tabs>
        <w:ind w:left="1100"/>
      </w:pPr>
      <w:hyperlink w:anchor="SNLRationales" w:history="1">
        <w:r w:rsidR="00013EB8">
          <w:rPr>
            <w:rStyle w:val="Hyperlink"/>
          </w:rPr>
          <w:t>Denial Rationales</w:t>
        </w:r>
      </w:hyperlink>
    </w:p>
    <w:p w:rsidR="00013EB8" w:rsidRDefault="00D571C5" w:rsidP="00691877">
      <w:pPr>
        <w:pStyle w:val="Header"/>
        <w:widowControl w:val="0"/>
        <w:numPr>
          <w:ilvl w:val="1"/>
          <w:numId w:val="3"/>
        </w:numPr>
        <w:tabs>
          <w:tab w:val="clear" w:pos="1440"/>
          <w:tab w:val="clear" w:pos="4320"/>
          <w:tab w:val="clear" w:pos="8640"/>
          <w:tab w:val="left" w:pos="0"/>
          <w:tab w:val="num" w:pos="1100"/>
        </w:tabs>
        <w:ind w:left="1100"/>
      </w:pPr>
      <w:hyperlink w:anchor="SNLFreeText" w:history="1">
        <w:r w:rsidR="00013EB8">
          <w:rPr>
            <w:rStyle w:val="Hyperlink"/>
          </w:rPr>
          <w:t>Denial Free Text</w:t>
        </w:r>
      </w:hyperlink>
    </w:p>
    <w:p w:rsidR="00013EB8" w:rsidRPr="007226DD" w:rsidRDefault="00D571C5" w:rsidP="00691877">
      <w:pPr>
        <w:pStyle w:val="Header"/>
        <w:widowControl w:val="0"/>
        <w:numPr>
          <w:ilvl w:val="1"/>
          <w:numId w:val="3"/>
        </w:numPr>
        <w:tabs>
          <w:tab w:val="clear" w:pos="1440"/>
          <w:tab w:val="clear" w:pos="4320"/>
          <w:tab w:val="clear" w:pos="8640"/>
          <w:tab w:val="left" w:pos="0"/>
          <w:tab w:val="num" w:pos="1100"/>
        </w:tabs>
        <w:ind w:left="1100"/>
        <w:rPr>
          <w:rStyle w:val="Hyperlink"/>
          <w:color w:val="auto"/>
          <w:u w:val="none"/>
        </w:rPr>
      </w:pPr>
      <w:hyperlink w:anchor="SNLNotes" w:history="1">
        <w:r w:rsidR="00013EB8">
          <w:rPr>
            <w:rStyle w:val="Hyperlink"/>
          </w:rPr>
          <w:t>Notes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EffDates" w:history="1">
        <w:r w:rsidR="00013EB8">
          <w:rPr>
            <w:rStyle w:val="Hyperlink"/>
          </w:rPr>
          <w:t>Effective Dates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MiscNotes" w:history="1">
        <w:r w:rsidR="004D429B">
          <w:rPr>
            <w:rStyle w:val="Hyperlink"/>
          </w:rPr>
          <w:t>Rating</w:t>
        </w:r>
        <w:r w:rsidR="00013EB8">
          <w:rPr>
            <w:rStyle w:val="Hyperlink"/>
          </w:rPr>
          <w:t xml:space="preserve"> Notes</w:t>
        </w:r>
      </w:hyperlink>
    </w:p>
    <w:p w:rsidR="00271B35" w:rsidRDefault="00D571C5" w:rsidP="00271B35">
      <w:pPr>
        <w:pStyle w:val="Header"/>
        <w:widowControl w:val="0"/>
        <w:numPr>
          <w:ilvl w:val="1"/>
          <w:numId w:val="3"/>
        </w:numPr>
        <w:tabs>
          <w:tab w:val="clear" w:pos="1440"/>
          <w:tab w:val="clear" w:pos="4320"/>
          <w:tab w:val="clear" w:pos="8640"/>
          <w:tab w:val="left" w:pos="0"/>
          <w:tab w:val="num" w:pos="1080"/>
        </w:tabs>
        <w:ind w:left="1080"/>
      </w:pPr>
      <w:hyperlink w:anchor="MiscNotes" w:history="1">
        <w:r w:rsidR="00271B35">
          <w:rPr>
            <w:rStyle w:val="Hyperlink"/>
          </w:rPr>
          <w:t>Misc Rating Notes</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Analogous" w:history="1">
        <w:r w:rsidR="00013EB8">
          <w:rPr>
            <w:rStyle w:val="Hyperlink"/>
          </w:rPr>
          <w:t>Diagnostic and Analogous Codes</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CommonMeds" w:history="1">
        <w:r w:rsidR="00013EB8">
          <w:rPr>
            <w:rStyle w:val="Hyperlink"/>
          </w:rPr>
          <w:t>Common Medications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DirectSC" w:history="1">
        <w:r w:rsidR="00013EB8">
          <w:rPr>
            <w:rStyle w:val="Hyperlink"/>
          </w:rPr>
          <w:t>Direct Service Connection</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Dishonorable" w:history="1">
        <w:r w:rsidR="00A06121">
          <w:rPr>
            <w:rStyle w:val="Hyperlink"/>
          </w:rPr>
          <w:t>S</w:t>
        </w:r>
        <w:r w:rsidR="00013EB8">
          <w:rPr>
            <w:rStyle w:val="Hyperlink"/>
          </w:rPr>
          <w:t>ervice</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Reserves" w:history="1">
        <w:r w:rsidR="00013EB8">
          <w:rPr>
            <w:rStyle w:val="Hyperlink"/>
          </w:rPr>
          <w:t>Reserves</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elevenfiftyone" w:history="1">
        <w:r w:rsidR="00013EB8">
          <w:rPr>
            <w:rStyle w:val="Hyperlink"/>
          </w:rPr>
          <w:t>1151</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Asbestos" w:history="1">
        <w:r w:rsidR="00013EB8">
          <w:rPr>
            <w:rStyle w:val="Hyperlink"/>
          </w:rPr>
          <w:t>Asbestos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Aggravation" w:history="1">
        <w:r w:rsidR="00013EB8">
          <w:rPr>
            <w:rStyle w:val="Hyperlink"/>
          </w:rPr>
          <w:t>Aggravation</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PresumptiveSC" w:history="1">
        <w:r w:rsidR="00013EB8">
          <w:rPr>
            <w:rStyle w:val="Hyperlink"/>
          </w:rPr>
          <w:t>Presumptive Service Connection</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SolicitClarify" w:history="1">
        <w:r w:rsidR="00013EB8">
          <w:rPr>
            <w:rStyle w:val="Hyperlink"/>
          </w:rPr>
          <w:t>Claim Clarification and Solicitation</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AO" w:history="1">
        <w:r w:rsidR="00013EB8">
          <w:rPr>
            <w:rStyle w:val="Hyperlink"/>
          </w:rPr>
          <w:t>Agent Orange/Herbicides</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MustardGas" w:history="1">
        <w:r w:rsidR="00013EB8">
          <w:rPr>
            <w:rStyle w:val="Hyperlink"/>
          </w:rPr>
          <w:t>Mustard Gas</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GulfWar" w:history="1">
        <w:r w:rsidR="00013EB8">
          <w:rPr>
            <w:rStyle w:val="Hyperlink"/>
          </w:rPr>
          <w:t>Gulf War</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ALS" w:history="1">
        <w:r w:rsidR="00013EB8">
          <w:rPr>
            <w:rStyle w:val="Hyperlink"/>
          </w:rPr>
          <w:t>Amyotrophic Lateral Sclerosis (ALS)</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Cancer" w:history="1">
        <w:r w:rsidR="00013EB8">
          <w:rPr>
            <w:rStyle w:val="Hyperlink"/>
          </w:rPr>
          <w:t>Cancer</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SecondarySC" w:history="1">
        <w:r w:rsidR="00013EB8">
          <w:rPr>
            <w:rStyle w:val="Hyperlink"/>
          </w:rPr>
          <w:t>Secondary Service Connection</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Evaluations" w:history="1">
        <w:r w:rsidR="00013EB8">
          <w:rPr>
            <w:rStyle w:val="Hyperlink"/>
          </w:rPr>
          <w:t>Evaluations</w:t>
        </w:r>
      </w:hyperlink>
    </w:p>
    <w:p w:rsidR="00F43BB6" w:rsidRPr="00152159" w:rsidRDefault="00152159" w:rsidP="00691877">
      <w:pPr>
        <w:pStyle w:val="Header"/>
        <w:widowControl w:val="0"/>
        <w:numPr>
          <w:ilvl w:val="1"/>
          <w:numId w:val="3"/>
        </w:numPr>
        <w:tabs>
          <w:tab w:val="clear" w:pos="1440"/>
          <w:tab w:val="clear" w:pos="4320"/>
          <w:tab w:val="clear" w:pos="8640"/>
          <w:tab w:val="left" w:pos="0"/>
          <w:tab w:val="num" w:pos="1080"/>
        </w:tabs>
        <w:ind w:left="1080"/>
        <w:rPr>
          <w:rStyle w:val="Hyperlink"/>
        </w:rPr>
      </w:pPr>
      <w:r>
        <w:rPr>
          <w:rStyle w:val="Hyperlink"/>
        </w:rPr>
        <w:fldChar w:fldCharType="begin"/>
      </w:r>
      <w:r>
        <w:rPr>
          <w:rStyle w:val="Hyperlink"/>
        </w:rPr>
        <w:instrText xml:space="preserve"> HYPERLINK  \l "ManualReorg" </w:instrText>
      </w:r>
      <w:r>
        <w:rPr>
          <w:rStyle w:val="Hyperlink"/>
        </w:rPr>
        <w:fldChar w:fldCharType="separate"/>
      </w:r>
      <w:r w:rsidR="00F43BB6" w:rsidRPr="00152159">
        <w:rPr>
          <w:rStyle w:val="Hyperlink"/>
        </w:rPr>
        <w:t>Reorganization of III.iv.4, Rating Specific Disabilities</w:t>
      </w:r>
    </w:p>
    <w:p w:rsidR="00A67D62" w:rsidRPr="00D25A41" w:rsidRDefault="00152159" w:rsidP="00A67D62">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r>
        <w:rPr>
          <w:rStyle w:val="Hyperlink"/>
        </w:rPr>
        <w:fldChar w:fldCharType="end"/>
      </w:r>
      <w:hyperlink w:anchor="Part4Musculoskeletal" w:history="1">
        <w:r w:rsidR="005567F4">
          <w:rPr>
            <w:rStyle w:val="Hyperlink"/>
          </w:rPr>
          <w:t>Musculoskeletal</w:t>
        </w:r>
      </w:hyperlink>
      <w:r w:rsidR="00220DAA" w:rsidRPr="00D25A41">
        <w:rPr>
          <w:rStyle w:val="Hyperlink"/>
          <w:color w:val="auto"/>
          <w:u w:val="none"/>
        </w:rPr>
        <w:t xml:space="preserve">, </w:t>
      </w:r>
      <w:r w:rsidR="00A67D62" w:rsidRPr="00D25A41">
        <w:rPr>
          <w:rStyle w:val="Hyperlink"/>
          <w:color w:val="auto"/>
          <w:u w:val="none"/>
        </w:rPr>
        <w:t>III.iv.4.A &amp; III.iv.4.B</w:t>
      </w:r>
    </w:p>
    <w:p w:rsidR="00A67D62" w:rsidRPr="00D25A41" w:rsidRDefault="00D571C5" w:rsidP="00A67D62">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hyperlink w:anchor="Part4Eye" w:history="1">
        <w:r w:rsidR="00F43BB6" w:rsidRPr="00D25A41">
          <w:rPr>
            <w:rStyle w:val="Hyperlink"/>
          </w:rPr>
          <w:t>Eye</w:t>
        </w:r>
      </w:hyperlink>
      <w:r w:rsidR="000E2E8C" w:rsidRPr="00D25A41">
        <w:rPr>
          <w:rStyle w:val="Hyperlink"/>
          <w:color w:val="auto"/>
          <w:u w:val="none"/>
        </w:rPr>
        <w:t>, III.iv.4.C</w:t>
      </w:r>
    </w:p>
    <w:p w:rsidR="00A67D62" w:rsidRPr="00BD655D" w:rsidRDefault="00D571C5" w:rsidP="00A67D62">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hyperlink w:anchor="HLandTinnitus" w:history="1">
        <w:r w:rsidR="00D275EA" w:rsidRPr="00BD655D">
          <w:rPr>
            <w:rStyle w:val="Hyperlink"/>
          </w:rPr>
          <w:t>Auditory/H</w:t>
        </w:r>
        <w:r w:rsidR="00F43BB6" w:rsidRPr="00BD655D">
          <w:rPr>
            <w:rStyle w:val="Hyperlink"/>
          </w:rPr>
          <w:t>earing Loss and Tinnitus</w:t>
        </w:r>
      </w:hyperlink>
      <w:r w:rsidR="00E9724E" w:rsidRPr="00BD655D">
        <w:rPr>
          <w:rStyle w:val="Hyperlink"/>
          <w:color w:val="auto"/>
          <w:u w:val="none"/>
        </w:rPr>
        <w:t>, III.iv.4.D</w:t>
      </w:r>
    </w:p>
    <w:p w:rsidR="00F43BB6" w:rsidRPr="00BD655D"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Part4InfImmNut" w:history="1">
        <w:r w:rsidR="00F43BB6" w:rsidRPr="00BD655D">
          <w:rPr>
            <w:rStyle w:val="Hyperlink"/>
          </w:rPr>
          <w:t>Infectious/Immune/Nutritional</w:t>
        </w:r>
      </w:hyperlink>
      <w:r w:rsidR="00364863" w:rsidRPr="00BD655D">
        <w:rPr>
          <w:rStyle w:val="Hyperlink"/>
          <w:color w:val="auto"/>
          <w:u w:val="none"/>
        </w:rPr>
        <w:t>, III.iv.4.E</w:t>
      </w:r>
    </w:p>
    <w:p w:rsidR="00F43BB6" w:rsidRPr="00BD655D" w:rsidRDefault="00323EBC" w:rsidP="00691877">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hyperlink w:anchor="Part4Resp" w:history="1">
        <w:r w:rsidR="00F43BB6" w:rsidRPr="00BD655D">
          <w:rPr>
            <w:rStyle w:val="Hyperlink"/>
          </w:rPr>
          <w:t>Respiratory</w:t>
        </w:r>
      </w:hyperlink>
      <w:r w:rsidR="009E2330" w:rsidRPr="00BD655D">
        <w:rPr>
          <w:rStyle w:val="Hyperlink"/>
          <w:color w:val="auto"/>
          <w:u w:val="none"/>
        </w:rPr>
        <w:t>, III.iv.4.F</w:t>
      </w:r>
    </w:p>
    <w:p w:rsidR="00F43BB6" w:rsidRPr="00BD655D" w:rsidRDefault="00323EBC" w:rsidP="00691877">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hyperlink w:anchor="Part4Cardio" w:history="1">
        <w:r w:rsidR="00F43BB6" w:rsidRPr="00BD655D">
          <w:rPr>
            <w:rStyle w:val="Hyperlink"/>
          </w:rPr>
          <w:t>Cardiovascular</w:t>
        </w:r>
      </w:hyperlink>
      <w:r w:rsidR="001F7E5B" w:rsidRPr="00BD655D">
        <w:rPr>
          <w:rStyle w:val="Hyperlink"/>
          <w:color w:val="auto"/>
          <w:u w:val="none"/>
        </w:rPr>
        <w:t>, III.iv.4.G</w:t>
      </w:r>
    </w:p>
    <w:p w:rsidR="00F43BB6" w:rsidRPr="00BD655D" w:rsidRDefault="00D571C5" w:rsidP="00691877">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hyperlink w:anchor="Part4Digest" w:history="1">
        <w:r w:rsidR="00F43BB6" w:rsidRPr="00BD655D">
          <w:rPr>
            <w:rStyle w:val="Hyperlink"/>
          </w:rPr>
          <w:t>Digestive</w:t>
        </w:r>
      </w:hyperlink>
      <w:r w:rsidR="002505D9" w:rsidRPr="00BD655D">
        <w:rPr>
          <w:rStyle w:val="Hyperlink"/>
          <w:color w:val="auto"/>
          <w:u w:val="none"/>
        </w:rPr>
        <w:t>, III.iv.4.H</w:t>
      </w:r>
    </w:p>
    <w:p w:rsidR="00F43BB6" w:rsidRPr="00BD655D" w:rsidRDefault="00D571C5" w:rsidP="00691877">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hyperlink w:anchor="Part4GU" w:history="1">
        <w:r w:rsidR="00F43BB6" w:rsidRPr="00BD655D">
          <w:rPr>
            <w:rStyle w:val="Hyperlink"/>
          </w:rPr>
          <w:t>Genitourinary</w:t>
        </w:r>
      </w:hyperlink>
      <w:r w:rsidR="001F7E5B" w:rsidRPr="00BD655D">
        <w:rPr>
          <w:rStyle w:val="Hyperlink"/>
          <w:color w:val="auto"/>
          <w:u w:val="none"/>
        </w:rPr>
        <w:t>, III.iv.4.I</w:t>
      </w:r>
    </w:p>
    <w:p w:rsidR="00F43BB6" w:rsidRPr="00BD655D" w:rsidRDefault="00D571C5" w:rsidP="00691877">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hyperlink w:anchor="Part4Gyn" w:history="1">
        <w:r w:rsidR="00F43BB6" w:rsidRPr="00BD655D">
          <w:rPr>
            <w:rStyle w:val="Hyperlink"/>
          </w:rPr>
          <w:t>Gynecological</w:t>
        </w:r>
      </w:hyperlink>
      <w:r w:rsidR="0053291F" w:rsidRPr="00BD655D">
        <w:rPr>
          <w:rStyle w:val="Hyperlink"/>
          <w:color w:val="auto"/>
          <w:u w:val="none"/>
        </w:rPr>
        <w:t>, III.iv.4.J</w:t>
      </w:r>
    </w:p>
    <w:p w:rsidR="00F43BB6" w:rsidRPr="00BD655D" w:rsidRDefault="00D571C5" w:rsidP="00F43BB6">
      <w:pPr>
        <w:pStyle w:val="Header"/>
        <w:widowControl w:val="0"/>
        <w:numPr>
          <w:ilvl w:val="1"/>
          <w:numId w:val="3"/>
        </w:numPr>
        <w:tabs>
          <w:tab w:val="clear" w:pos="1440"/>
          <w:tab w:val="clear" w:pos="4320"/>
          <w:tab w:val="clear" w:pos="8640"/>
          <w:tab w:val="left" w:pos="0"/>
          <w:tab w:val="num" w:pos="1080"/>
        </w:tabs>
        <w:ind w:left="1080"/>
      </w:pPr>
      <w:hyperlink w:anchor="Part4HemicLymph" w:history="1">
        <w:r w:rsidR="00F43BB6" w:rsidRPr="00BD655D">
          <w:rPr>
            <w:rStyle w:val="Hyperlink"/>
          </w:rPr>
          <w:t>Hemic/Lymphatic</w:t>
        </w:r>
      </w:hyperlink>
      <w:r w:rsidR="0053291F" w:rsidRPr="00BD655D">
        <w:rPr>
          <w:rStyle w:val="Hyperlink"/>
          <w:color w:val="auto"/>
          <w:u w:val="none"/>
        </w:rPr>
        <w:t>, III.iv.4.K</w:t>
      </w:r>
    </w:p>
    <w:p w:rsidR="00013EB8" w:rsidRPr="009E2330" w:rsidRDefault="00D571C5" w:rsidP="00691877">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hyperlink w:anchor="Part4Skin" w:history="1">
        <w:r w:rsidR="00013EB8">
          <w:rPr>
            <w:rStyle w:val="Hyperlink"/>
          </w:rPr>
          <w:t>Scars and Skin</w:t>
        </w:r>
      </w:hyperlink>
      <w:r w:rsidR="006D16BF" w:rsidRPr="009E2330">
        <w:rPr>
          <w:rStyle w:val="Hyperlink"/>
          <w:color w:val="auto"/>
          <w:u w:val="none"/>
        </w:rPr>
        <w:t>, III.iv.4.L</w:t>
      </w:r>
    </w:p>
    <w:p w:rsidR="00D275EA" w:rsidRDefault="00D571C5" w:rsidP="00D275EA">
      <w:pPr>
        <w:pStyle w:val="Header"/>
        <w:widowControl w:val="0"/>
        <w:numPr>
          <w:ilvl w:val="1"/>
          <w:numId w:val="3"/>
        </w:numPr>
        <w:tabs>
          <w:tab w:val="clear" w:pos="1440"/>
          <w:tab w:val="clear" w:pos="4320"/>
          <w:tab w:val="clear" w:pos="8640"/>
          <w:tab w:val="left" w:pos="0"/>
          <w:tab w:val="left" w:pos="1800"/>
        </w:tabs>
        <w:ind w:left="1080"/>
      </w:pPr>
      <w:hyperlink w:anchor="Part4Endocrine" w:history="1">
        <w:r w:rsidR="00D275EA" w:rsidRPr="006D16BF">
          <w:rPr>
            <w:rStyle w:val="Hyperlink"/>
          </w:rPr>
          <w:t>Endocrine</w:t>
        </w:r>
      </w:hyperlink>
      <w:r w:rsidR="006D16BF" w:rsidRPr="009E2330">
        <w:rPr>
          <w:rStyle w:val="Hyperlink"/>
          <w:color w:val="auto"/>
          <w:u w:val="none"/>
        </w:rPr>
        <w:t>, III.iv.4.M</w:t>
      </w:r>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Part4Neuro" w:history="1">
        <w:r w:rsidR="00013EB8">
          <w:rPr>
            <w:rStyle w:val="Hyperlink"/>
          </w:rPr>
          <w:t>Neurological/Convulsive</w:t>
        </w:r>
      </w:hyperlink>
      <w:r w:rsidR="006D16BF" w:rsidRPr="009E2330">
        <w:rPr>
          <w:rStyle w:val="Hyperlink"/>
          <w:color w:val="auto"/>
          <w:u w:val="none"/>
        </w:rPr>
        <w:t>, III.iv.4.N</w:t>
      </w:r>
      <w:r w:rsidR="00E77BEF" w:rsidRPr="009E2330">
        <w:rPr>
          <w:rStyle w:val="Hyperlink"/>
          <w:color w:val="auto"/>
          <w:u w:val="none"/>
        </w:rPr>
        <w:t xml:space="preserve"> </w:t>
      </w:r>
      <w:r w:rsidR="009E2330">
        <w:rPr>
          <w:rStyle w:val="Hyperlink"/>
          <w:color w:val="auto"/>
          <w:u w:val="none"/>
        </w:rPr>
        <w:t>(including</w:t>
      </w:r>
      <w:r w:rsidR="00E77BEF" w:rsidRPr="00E77BEF">
        <w:rPr>
          <w:rStyle w:val="Hyperlink"/>
          <w:color w:val="auto"/>
          <w:u w:val="none"/>
        </w:rPr>
        <w:t xml:space="preserve"> </w:t>
      </w:r>
      <w:hyperlink w:anchor="TBI" w:history="1">
        <w:r w:rsidR="00E77BEF">
          <w:rPr>
            <w:rStyle w:val="Hyperlink"/>
          </w:rPr>
          <w:t>Traumatic Brain Injury (TBI)</w:t>
        </w:r>
      </w:hyperlink>
      <w:r w:rsidR="009E2330" w:rsidRPr="009E2330">
        <w:rPr>
          <w:rStyle w:val="Hyperlink"/>
          <w:color w:val="auto"/>
          <w:u w:val="none"/>
        </w:rPr>
        <w:t>)</w:t>
      </w:r>
    </w:p>
    <w:p w:rsidR="00D275EA" w:rsidRDefault="00D571C5" w:rsidP="00D275EA">
      <w:pPr>
        <w:pStyle w:val="Header"/>
        <w:widowControl w:val="0"/>
        <w:numPr>
          <w:ilvl w:val="1"/>
          <w:numId w:val="3"/>
        </w:numPr>
        <w:tabs>
          <w:tab w:val="clear" w:pos="1440"/>
          <w:tab w:val="clear" w:pos="4320"/>
          <w:tab w:val="clear" w:pos="8640"/>
          <w:tab w:val="left" w:pos="0"/>
          <w:tab w:val="num" w:pos="1080"/>
        </w:tabs>
        <w:ind w:left="1080"/>
      </w:pPr>
      <w:hyperlink w:anchor="Part4Mental" w:history="1">
        <w:r w:rsidR="0093236F">
          <w:rPr>
            <w:rStyle w:val="Hyperlink"/>
          </w:rPr>
          <w:t>Mental</w:t>
        </w:r>
      </w:hyperlink>
      <w:r w:rsidR="006D16BF" w:rsidRPr="009E2330">
        <w:rPr>
          <w:rStyle w:val="Hyperlink"/>
          <w:color w:val="auto"/>
          <w:u w:val="none"/>
        </w:rPr>
        <w:t>, III.iv.4.O</w:t>
      </w:r>
      <w:r w:rsidR="00D275EA" w:rsidRPr="009E2330">
        <w:rPr>
          <w:rStyle w:val="Hyperlink"/>
          <w:color w:val="auto"/>
          <w:u w:val="none"/>
        </w:rPr>
        <w:t xml:space="preserve"> </w:t>
      </w:r>
      <w:r w:rsidR="009E2330">
        <w:rPr>
          <w:rStyle w:val="Hyperlink"/>
          <w:color w:val="auto"/>
          <w:u w:val="none"/>
        </w:rPr>
        <w:t xml:space="preserve">(including </w:t>
      </w:r>
      <w:hyperlink w:anchor="PTSD" w:history="1">
        <w:r w:rsidR="00D275EA">
          <w:rPr>
            <w:rStyle w:val="Hyperlink"/>
          </w:rPr>
          <w:t>PTSD</w:t>
        </w:r>
      </w:hyperlink>
      <w:r w:rsidR="009E2330" w:rsidRPr="009E2330">
        <w:rPr>
          <w:rStyle w:val="Hyperlink"/>
          <w:color w:val="auto"/>
          <w:u w:val="none"/>
        </w:rPr>
        <w:t>)</w:t>
      </w:r>
    </w:p>
    <w:p w:rsidR="005740C9" w:rsidRPr="00ED541E" w:rsidRDefault="00D571C5" w:rsidP="005740C9">
      <w:pPr>
        <w:pStyle w:val="Header"/>
        <w:widowControl w:val="0"/>
        <w:numPr>
          <w:ilvl w:val="1"/>
          <w:numId w:val="3"/>
        </w:numPr>
        <w:tabs>
          <w:tab w:val="clear" w:pos="1440"/>
          <w:tab w:val="clear" w:pos="4320"/>
          <w:tab w:val="clear" w:pos="8640"/>
          <w:tab w:val="left" w:pos="0"/>
          <w:tab w:val="num" w:pos="1080"/>
        </w:tabs>
        <w:ind w:left="1080"/>
        <w:rPr>
          <w:rStyle w:val="Hyperlink"/>
          <w:color w:val="auto"/>
          <w:u w:val="none"/>
        </w:rPr>
      </w:pPr>
      <w:hyperlink w:anchor="Part4Changes" w:history="1">
        <w:r w:rsidR="005740C9">
          <w:rPr>
            <w:rStyle w:val="Hyperlink"/>
          </w:rPr>
          <w:t>Historic Part 4 Sections</w:t>
        </w:r>
      </w:hyperlink>
    </w:p>
    <w:p w:rsidR="00ED541E" w:rsidRDefault="00D571C5" w:rsidP="00ED541E">
      <w:pPr>
        <w:pStyle w:val="Header"/>
        <w:widowControl w:val="0"/>
        <w:numPr>
          <w:ilvl w:val="1"/>
          <w:numId w:val="3"/>
        </w:numPr>
        <w:tabs>
          <w:tab w:val="clear" w:pos="1440"/>
          <w:tab w:val="clear" w:pos="4320"/>
          <w:tab w:val="clear" w:pos="8640"/>
          <w:tab w:val="left" w:pos="0"/>
          <w:tab w:val="num" w:pos="1080"/>
        </w:tabs>
        <w:ind w:left="1080"/>
      </w:pPr>
      <w:hyperlink w:anchor="ImproveAndFutures" w:history="1">
        <w:r w:rsidR="00ED541E">
          <w:rPr>
            <w:rStyle w:val="Hyperlink"/>
          </w:rPr>
          <w:t>Improvement, Future Exams &amp; Reductions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Other" w:history="1">
        <w:r w:rsidR="00013EB8">
          <w:rPr>
            <w:rStyle w:val="Hyperlink"/>
          </w:rPr>
          <w:t>Other Decisions</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IU" w:history="1">
        <w:r w:rsidR="00013EB8">
          <w:rPr>
            <w:rStyle w:val="Hyperlink"/>
          </w:rPr>
          <w:t>Individual Unemployability (IU)</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Pension" w:history="1">
        <w:r w:rsidR="00013EB8">
          <w:rPr>
            <w:rStyle w:val="Hyperlink"/>
          </w:rPr>
          <w:t>Pension/Permanent and Total</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SMP" w:history="1">
        <w:r w:rsidR="00013EB8">
          <w:rPr>
            <w:rStyle w:val="Hyperlink"/>
          </w:rPr>
          <w:t>Special Monthly Pension (SMP)</w:t>
        </w:r>
      </w:hyperlink>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SpecialProvisions" w:history="1">
        <w:r w:rsidR="00013EB8">
          <w:rPr>
            <w:rStyle w:val="Hyperlink"/>
          </w:rPr>
          <w:t>Special Provision Determinations</w:t>
        </w:r>
      </w:hyperlink>
    </w:p>
    <w:p w:rsidR="00517098" w:rsidRPr="0051709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Competency" w:history="1">
        <w:r w:rsidR="00013EB8">
          <w:rPr>
            <w:rStyle w:val="Hyperlink"/>
          </w:rPr>
          <w:t>Competency</w:t>
        </w:r>
      </w:hyperlink>
      <w:r w:rsidR="00013EB8">
        <w:t xml:space="preserve"> </w:t>
      </w:r>
    </w:p>
    <w:p w:rsidR="00013EB8"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Ancillary" w:history="1">
        <w:r w:rsidR="00013EB8">
          <w:rPr>
            <w:rStyle w:val="Hyperlink"/>
          </w:rPr>
          <w:t>Ancillary Decisions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SMC" w:history="1">
        <w:r w:rsidR="00013EB8">
          <w:rPr>
            <w:rStyle w:val="Hyperlink"/>
          </w:rPr>
          <w:t>Special Monthly Compensation (SMC)</w:t>
        </w:r>
      </w:hyperlink>
      <w:r w:rsidR="00013EB8">
        <w:t xml:space="preserve"> </w:t>
      </w:r>
    </w:p>
    <w:p w:rsidR="00013EB8" w:rsidRDefault="00D571C5" w:rsidP="00691877">
      <w:pPr>
        <w:pStyle w:val="Header"/>
        <w:widowControl w:val="0"/>
        <w:numPr>
          <w:ilvl w:val="1"/>
          <w:numId w:val="3"/>
        </w:numPr>
        <w:tabs>
          <w:tab w:val="clear" w:pos="1440"/>
          <w:tab w:val="clear" w:pos="4320"/>
          <w:tab w:val="clear" w:pos="8640"/>
          <w:tab w:val="left" w:pos="0"/>
          <w:tab w:val="left" w:pos="1080"/>
        </w:tabs>
        <w:ind w:left="1080"/>
      </w:pPr>
      <w:hyperlink w:anchor="Part3SMC" w:history="1">
        <w:r w:rsidR="00013EB8">
          <w:rPr>
            <w:rStyle w:val="Hyperlink"/>
          </w:rPr>
          <w:t>Part 3 - 3.350</w:t>
        </w:r>
      </w:hyperlink>
    </w:p>
    <w:p w:rsidR="00013EB8" w:rsidRDefault="00D571C5" w:rsidP="00691877">
      <w:pPr>
        <w:pStyle w:val="Header"/>
        <w:widowControl w:val="0"/>
        <w:numPr>
          <w:ilvl w:val="1"/>
          <w:numId w:val="3"/>
        </w:numPr>
        <w:tabs>
          <w:tab w:val="clear" w:pos="1440"/>
          <w:tab w:val="clear" w:pos="4320"/>
          <w:tab w:val="clear" w:pos="8640"/>
          <w:tab w:val="left" w:pos="0"/>
          <w:tab w:val="left" w:pos="1080"/>
        </w:tabs>
        <w:ind w:left="1080"/>
      </w:pPr>
      <w:hyperlink w:anchor="SMCParagraphCodes" w:history="1">
        <w:r w:rsidR="00BC5136">
          <w:rPr>
            <w:rStyle w:val="Hyperlink"/>
          </w:rPr>
          <w:t>VBMS-R Paragraph Codes</w:t>
        </w:r>
      </w:hyperlink>
    </w:p>
    <w:p w:rsidR="00013EB8" w:rsidRDefault="00D571C5" w:rsidP="00691877">
      <w:pPr>
        <w:pStyle w:val="Header"/>
        <w:widowControl w:val="0"/>
        <w:numPr>
          <w:ilvl w:val="1"/>
          <w:numId w:val="3"/>
        </w:numPr>
        <w:tabs>
          <w:tab w:val="clear" w:pos="1440"/>
          <w:tab w:val="clear" w:pos="4320"/>
          <w:tab w:val="clear" w:pos="8640"/>
          <w:tab w:val="left" w:pos="0"/>
          <w:tab w:val="left" w:pos="1080"/>
        </w:tabs>
        <w:ind w:left="1080"/>
      </w:pPr>
      <w:hyperlink w:anchor="SMCCodes" w:history="1">
        <w:r w:rsidR="00013EB8">
          <w:rPr>
            <w:rStyle w:val="Hyperlink"/>
          </w:rPr>
          <w:t>Codes</w:t>
        </w:r>
      </w:hyperlink>
    </w:p>
    <w:p w:rsidR="00013EB8" w:rsidRDefault="00D571C5" w:rsidP="00691877">
      <w:pPr>
        <w:pStyle w:val="Header"/>
        <w:widowControl w:val="0"/>
        <w:numPr>
          <w:ilvl w:val="1"/>
          <w:numId w:val="3"/>
        </w:numPr>
        <w:tabs>
          <w:tab w:val="clear" w:pos="1440"/>
          <w:tab w:val="clear" w:pos="4320"/>
          <w:tab w:val="clear" w:pos="8640"/>
          <w:tab w:val="left" w:pos="0"/>
          <w:tab w:val="left" w:pos="1080"/>
        </w:tabs>
        <w:ind w:left="1080"/>
      </w:pPr>
      <w:hyperlink w:anchor="AAInfo" w:history="1">
        <w:r w:rsidR="00013EB8">
          <w:rPr>
            <w:rStyle w:val="Hyperlink"/>
          </w:rPr>
          <w:t>Aid and Attendance</w:t>
        </w:r>
      </w:hyperlink>
    </w:p>
    <w:p w:rsidR="00013EB8" w:rsidRDefault="00D571C5" w:rsidP="00691877">
      <w:pPr>
        <w:pStyle w:val="Header"/>
        <w:widowControl w:val="0"/>
        <w:numPr>
          <w:ilvl w:val="1"/>
          <w:numId w:val="3"/>
        </w:numPr>
        <w:tabs>
          <w:tab w:val="clear" w:pos="1440"/>
          <w:tab w:val="clear" w:pos="4320"/>
          <w:tab w:val="clear" w:pos="8640"/>
          <w:tab w:val="left" w:pos="0"/>
          <w:tab w:val="left" w:pos="1080"/>
        </w:tabs>
        <w:ind w:left="1080"/>
      </w:pPr>
      <w:hyperlink w:anchor="Blindness" w:history="1">
        <w:r w:rsidR="00013EB8">
          <w:rPr>
            <w:rStyle w:val="Hyperlink"/>
          </w:rPr>
          <w:t>Blindness</w:t>
        </w:r>
      </w:hyperlink>
    </w:p>
    <w:p w:rsidR="00013EB8" w:rsidRDefault="00D571C5" w:rsidP="00691877">
      <w:pPr>
        <w:pStyle w:val="Header"/>
        <w:widowControl w:val="0"/>
        <w:numPr>
          <w:ilvl w:val="1"/>
          <w:numId w:val="3"/>
        </w:numPr>
        <w:tabs>
          <w:tab w:val="clear" w:pos="1440"/>
          <w:tab w:val="clear" w:pos="4320"/>
          <w:tab w:val="clear" w:pos="8640"/>
          <w:tab w:val="left" w:pos="0"/>
          <w:tab w:val="left" w:pos="1080"/>
        </w:tabs>
        <w:ind w:left="1080"/>
      </w:pPr>
      <w:hyperlink w:anchor="TwoExtremities" w:history="1">
        <w:r w:rsidR="00013EB8">
          <w:rPr>
            <w:rStyle w:val="Hyperlink"/>
          </w:rPr>
          <w:t>Two or More Extremities</w:t>
        </w:r>
      </w:hyperlink>
    </w:p>
    <w:p w:rsidR="00013EB8" w:rsidRDefault="00D571C5" w:rsidP="00691877">
      <w:pPr>
        <w:pStyle w:val="Header"/>
        <w:widowControl w:val="0"/>
        <w:numPr>
          <w:ilvl w:val="1"/>
          <w:numId w:val="3"/>
        </w:numPr>
        <w:tabs>
          <w:tab w:val="clear" w:pos="1440"/>
          <w:tab w:val="clear" w:pos="4320"/>
          <w:tab w:val="clear" w:pos="8640"/>
          <w:tab w:val="left" w:pos="0"/>
          <w:tab w:val="left" w:pos="1080"/>
        </w:tabs>
        <w:ind w:left="1080"/>
      </w:pPr>
      <w:hyperlink w:anchor="SMCExamples" w:history="1">
        <w:r w:rsidR="00013EB8">
          <w:rPr>
            <w:rStyle w:val="Hyperlink"/>
          </w:rPr>
          <w:t>Examples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Family" w:history="1">
        <w:r w:rsidR="00013EB8">
          <w:rPr>
            <w:rStyle w:val="Hyperlink"/>
          </w:rPr>
          <w:t>Family Member Ratings</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Dental" w:history="1">
        <w:r w:rsidR="00013EB8">
          <w:rPr>
            <w:rStyle w:val="Hyperlink"/>
          </w:rPr>
          <w:t>Dental Decisions</w:t>
        </w:r>
      </w:hyperlink>
    </w:p>
    <w:p w:rsidR="00013EB8" w:rsidRPr="00A67806" w:rsidRDefault="00D571C5" w:rsidP="00691877">
      <w:pPr>
        <w:pStyle w:val="Header"/>
        <w:widowControl w:val="0"/>
        <w:numPr>
          <w:ilvl w:val="0"/>
          <w:numId w:val="3"/>
        </w:numPr>
        <w:tabs>
          <w:tab w:val="clear" w:pos="720"/>
          <w:tab w:val="clear" w:pos="4320"/>
          <w:tab w:val="clear" w:pos="8640"/>
          <w:tab w:val="left" w:pos="0"/>
          <w:tab w:val="num" w:pos="360"/>
        </w:tabs>
        <w:ind w:left="360"/>
        <w:rPr>
          <w:rStyle w:val="Hyperlink"/>
          <w:color w:val="auto"/>
          <w:u w:val="none"/>
        </w:rPr>
      </w:pPr>
      <w:hyperlink w:anchor="Evidence" w:history="1">
        <w:r w:rsidR="00013EB8">
          <w:rPr>
            <w:rStyle w:val="Hyperlink"/>
          </w:rPr>
          <w:t>Evidence</w:t>
        </w:r>
      </w:hyperlink>
    </w:p>
    <w:p w:rsidR="00A67806" w:rsidRDefault="00D571C5" w:rsidP="00691877">
      <w:pPr>
        <w:pStyle w:val="Header"/>
        <w:widowControl w:val="0"/>
        <w:numPr>
          <w:ilvl w:val="1"/>
          <w:numId w:val="3"/>
        </w:numPr>
        <w:tabs>
          <w:tab w:val="clear" w:pos="1440"/>
          <w:tab w:val="clear" w:pos="4320"/>
          <w:tab w:val="clear" w:pos="8640"/>
          <w:tab w:val="left" w:pos="0"/>
          <w:tab w:val="num" w:pos="1080"/>
        </w:tabs>
        <w:ind w:left="1080"/>
      </w:pPr>
      <w:hyperlink w:anchor="CommonDeferredWording" w:history="1">
        <w:r w:rsidR="00A67806">
          <w:rPr>
            <w:rStyle w:val="Hyperlink"/>
          </w:rPr>
          <w:t>Deferral &amp; Exam Request Info</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pPr>
      <w:hyperlink w:anchor="ReasonableDoubt" w:history="1">
        <w:r w:rsidR="00013EB8">
          <w:rPr>
            <w:rStyle w:val="Hyperlink"/>
          </w:rPr>
          <w:t>Reasonable Doubt</w:t>
        </w:r>
      </w:hyperlink>
    </w:p>
    <w:p w:rsidR="00013EB8" w:rsidRDefault="00D571C5" w:rsidP="00691877">
      <w:pPr>
        <w:pStyle w:val="Header"/>
        <w:widowControl w:val="0"/>
        <w:numPr>
          <w:ilvl w:val="0"/>
          <w:numId w:val="3"/>
        </w:numPr>
        <w:tabs>
          <w:tab w:val="clear" w:pos="720"/>
          <w:tab w:val="clear" w:pos="4320"/>
          <w:tab w:val="clear" w:pos="8640"/>
          <w:tab w:val="left" w:pos="0"/>
          <w:tab w:val="num" w:pos="360"/>
        </w:tabs>
        <w:ind w:left="360"/>
        <w:sectPr w:rsidR="00013EB8" w:rsidSect="008140DA">
          <w:footerReference w:type="default" r:id="rId10"/>
          <w:footnotePr>
            <w:numRestart w:val="eachSect"/>
          </w:footnotePr>
          <w:type w:val="continuous"/>
          <w:pgSz w:w="12240" w:h="15840" w:code="1"/>
          <w:pgMar w:top="720" w:right="720" w:bottom="720" w:left="720" w:header="720" w:footer="720" w:gutter="0"/>
          <w:cols w:num="2" w:space="720" w:equalWidth="0">
            <w:col w:w="5040" w:space="720"/>
            <w:col w:w="5040"/>
          </w:cols>
        </w:sectPr>
      </w:pPr>
      <w:hyperlink w:anchor="Death" w:history="1">
        <w:r w:rsidR="00013EB8">
          <w:rPr>
            <w:rStyle w:val="Hyperlink"/>
          </w:rPr>
          <w:t>Death Decisions</w:t>
        </w:r>
      </w:hyperlink>
    </w:p>
    <w:p w:rsidR="00013EB8" w:rsidRDefault="00013EB8">
      <w:pPr>
        <w:pStyle w:val="Heading4"/>
        <w:keepNext w:val="0"/>
        <w:widowControl w:val="0"/>
        <w:pBdr>
          <w:top w:val="double" w:sz="4" w:space="1" w:color="auto"/>
          <w:left w:val="none" w:sz="0" w:space="0" w:color="auto"/>
          <w:bottom w:val="none" w:sz="0" w:space="0" w:color="auto"/>
          <w:right w:val="none" w:sz="0" w:space="0" w:color="auto"/>
        </w:pBdr>
        <w:rPr>
          <w:b/>
          <w:bCs/>
        </w:rPr>
      </w:pPr>
      <w:r>
        <w:rPr>
          <w:b/>
          <w:bCs/>
        </w:rPr>
        <w:br w:type="page"/>
      </w:r>
    </w:p>
    <w:p w:rsidR="004D429B" w:rsidRDefault="004D429B" w:rsidP="004D429B">
      <w:pPr>
        <w:pStyle w:val="Heading4"/>
        <w:keepNext w:val="0"/>
        <w:widowControl w:val="0"/>
        <w:pBdr>
          <w:top w:val="double" w:sz="4" w:space="1" w:color="auto"/>
          <w:left w:val="none" w:sz="0" w:space="0" w:color="auto"/>
          <w:bottom w:val="none" w:sz="0" w:space="0" w:color="auto"/>
          <w:right w:val="none" w:sz="0" w:space="0" w:color="auto"/>
        </w:pBdr>
        <w:rPr>
          <w:b/>
          <w:bCs/>
        </w:rPr>
      </w:pPr>
    </w:p>
    <w:p w:rsidR="00013EB8" w:rsidRDefault="00013EB8">
      <w:pPr>
        <w:pStyle w:val="Heading4"/>
        <w:keepNext w:val="0"/>
        <w:widowControl w:val="0"/>
        <w:pBdr>
          <w:top w:val="none" w:sz="0" w:space="0" w:color="auto"/>
          <w:left w:val="none" w:sz="0" w:space="0" w:color="auto"/>
          <w:bottom w:val="none" w:sz="0" w:space="0" w:color="auto"/>
          <w:right w:val="none" w:sz="0" w:space="0" w:color="auto"/>
        </w:pBdr>
        <w:rPr>
          <w:b/>
          <w:bCs/>
        </w:rPr>
      </w:pPr>
      <w:bookmarkStart w:id="0" w:name="Links"/>
      <w:r>
        <w:rPr>
          <w:b/>
          <w:bCs/>
        </w:rPr>
        <w:t>USEFUL LINKS AND LOCATIONS –</w:t>
      </w:r>
    </w:p>
    <w:bookmarkEnd w:id="0"/>
    <w:p w:rsidR="00013EB8" w:rsidRDefault="00013EB8">
      <w:pPr>
        <w:pStyle w:val="Header"/>
        <w:widowControl w:val="0"/>
        <w:tabs>
          <w:tab w:val="clear" w:pos="4320"/>
          <w:tab w:val="clear" w:pos="8640"/>
        </w:tabs>
      </w:pPr>
    </w:p>
    <w:p w:rsidR="00DC385A" w:rsidRPr="00895E95" w:rsidRDefault="00D571C5" w:rsidP="00F063AF">
      <w:pPr>
        <w:pStyle w:val="ListParagraph"/>
        <w:widowControl w:val="0"/>
        <w:numPr>
          <w:ilvl w:val="1"/>
          <w:numId w:val="239"/>
        </w:numPr>
        <w:tabs>
          <w:tab w:val="left" w:pos="810"/>
        </w:tabs>
        <w:spacing w:after="120"/>
        <w:ind w:left="720"/>
        <w:rPr>
          <w:rFonts w:ascii="Arial" w:hAnsi="Arial"/>
          <w:b/>
          <w:bCs/>
          <w:i/>
          <w:iCs/>
          <w:sz w:val="20"/>
          <w:szCs w:val="20"/>
        </w:rPr>
      </w:pPr>
      <w:hyperlink r:id="rId11" w:history="1">
        <w:r w:rsidR="00DC385A" w:rsidRPr="00D43CE0">
          <w:rPr>
            <w:rStyle w:val="Hyperlink"/>
            <w:rFonts w:ascii="Arial" w:hAnsi="Arial"/>
            <w:b/>
            <w:bCs/>
            <w:i/>
            <w:iCs/>
            <w:sz w:val="20"/>
            <w:szCs w:val="20"/>
          </w:rPr>
          <w:t>eCFR - Part 3</w:t>
        </w:r>
      </w:hyperlink>
    </w:p>
    <w:p w:rsidR="000C7BFA" w:rsidRPr="005F5D1E" w:rsidRDefault="00D571C5" w:rsidP="00F063AF">
      <w:pPr>
        <w:pStyle w:val="ListParagraph"/>
        <w:widowControl w:val="0"/>
        <w:numPr>
          <w:ilvl w:val="0"/>
          <w:numId w:val="238"/>
        </w:numPr>
        <w:tabs>
          <w:tab w:val="left" w:pos="810"/>
        </w:tabs>
        <w:spacing w:after="120"/>
        <w:rPr>
          <w:rStyle w:val="Hyperlink"/>
          <w:rFonts w:ascii="Arial" w:hAnsi="Arial"/>
          <w:b/>
          <w:i/>
          <w:color w:val="auto"/>
          <w:sz w:val="20"/>
          <w:szCs w:val="20"/>
          <w:u w:val="none"/>
        </w:rPr>
      </w:pPr>
      <w:hyperlink r:id="rId12" w:history="1">
        <w:r w:rsidR="00DC385A" w:rsidRPr="00895E95">
          <w:rPr>
            <w:rStyle w:val="Hyperlink"/>
            <w:rFonts w:ascii="Arial" w:hAnsi="Arial"/>
            <w:b/>
            <w:bCs/>
            <w:i/>
            <w:iCs/>
            <w:sz w:val="20"/>
            <w:szCs w:val="20"/>
          </w:rPr>
          <w:t>eCFR - Part 4</w:t>
        </w:r>
      </w:hyperlink>
      <w:r w:rsidR="00DC385A" w:rsidRPr="00895E95">
        <w:rPr>
          <w:rFonts w:ascii="Arial" w:hAnsi="Arial"/>
          <w:bCs/>
          <w:i/>
          <w:iCs/>
          <w:sz w:val="20"/>
          <w:szCs w:val="20"/>
        </w:rPr>
        <w:t xml:space="preserve"> </w:t>
      </w:r>
      <w:r w:rsidR="00895E95" w:rsidRPr="00895E95">
        <w:rPr>
          <w:rFonts w:ascii="Arial" w:hAnsi="Arial"/>
          <w:bCs/>
          <w:i/>
          <w:iCs/>
          <w:sz w:val="20"/>
          <w:szCs w:val="20"/>
        </w:rPr>
        <w:t>-</w:t>
      </w:r>
      <w:r w:rsidR="00DC385A" w:rsidRPr="00895E95">
        <w:rPr>
          <w:rFonts w:ascii="Arial" w:hAnsi="Arial"/>
          <w:bCs/>
          <w:i/>
          <w:iCs/>
          <w:sz w:val="20"/>
          <w:szCs w:val="20"/>
        </w:rPr>
        <w:t xml:space="preserve"> </w:t>
      </w:r>
      <w:hyperlink r:id="rId13" w:anchor="ap38.1.4_1150.a" w:history="1">
        <w:r w:rsidR="00895E95" w:rsidRPr="00895E95">
          <w:rPr>
            <w:rStyle w:val="Hyperlink"/>
            <w:rFonts w:ascii="Arial" w:hAnsi="Arial"/>
            <w:b/>
            <w:bCs/>
            <w:iCs/>
            <w:sz w:val="20"/>
            <w:szCs w:val="20"/>
          </w:rPr>
          <w:t>Appendix A</w:t>
        </w:r>
      </w:hyperlink>
      <w:r w:rsidR="00895E95" w:rsidRPr="00895E95">
        <w:rPr>
          <w:rStyle w:val="Hyperlink"/>
          <w:rFonts w:ascii="Arial" w:hAnsi="Arial"/>
          <w:bCs/>
          <w:iCs/>
          <w:sz w:val="20"/>
          <w:szCs w:val="20"/>
          <w:u w:val="none"/>
        </w:rPr>
        <w:t xml:space="preserve"> has changes</w:t>
      </w:r>
    </w:p>
    <w:p w:rsidR="005F5D1E" w:rsidRPr="005F5D1E" w:rsidRDefault="005F5D1E" w:rsidP="00444783">
      <w:pPr>
        <w:pBdr>
          <w:top w:val="double" w:sz="4" w:space="1" w:color="auto"/>
          <w:left w:val="double" w:sz="4" w:space="4" w:color="auto"/>
          <w:bottom w:val="double" w:sz="4" w:space="1" w:color="auto"/>
          <w:right w:val="double" w:sz="4" w:space="4" w:color="auto"/>
        </w:pBdr>
        <w:shd w:val="clear" w:color="auto" w:fill="FFC000"/>
        <w:spacing w:after="120"/>
        <w:ind w:left="360"/>
        <w:rPr>
          <w:rFonts w:eastAsiaTheme="minorHAnsi"/>
        </w:rPr>
      </w:pPr>
      <w:r>
        <w:rPr>
          <w:rFonts w:eastAsiaTheme="minorHAnsi"/>
          <w:b/>
        </w:rPr>
        <w:t>Rating Schedule Quick Summary</w:t>
      </w:r>
      <w:r w:rsidRPr="005F5D1E">
        <w:rPr>
          <w:rFonts w:eastAsiaTheme="minorHAnsi"/>
          <w:b/>
        </w:rPr>
        <w:t xml:space="preserve"> [</w:t>
      </w:r>
      <w:r>
        <w:rPr>
          <w:rFonts w:eastAsiaTheme="minorHAnsi"/>
          <w:b/>
        </w:rPr>
        <w:t>spreadsheet</w:t>
      </w:r>
      <w:r w:rsidRPr="005F5D1E">
        <w:rPr>
          <w:rFonts w:eastAsiaTheme="minorHAnsi"/>
          <w:b/>
        </w:rPr>
        <w:t>]</w:t>
      </w:r>
      <w:r w:rsidRPr="005F5D1E">
        <w:rPr>
          <w:rFonts w:eastAsiaTheme="minorHAnsi"/>
        </w:rPr>
        <w:t xml:space="preserve"> </w:t>
      </w:r>
      <w:r w:rsidR="00104FA3">
        <w:rPr>
          <w:rFonts w:eastAsiaTheme="minorHAnsi"/>
        </w:rPr>
        <w:t xml:space="preserve">(from 2013) </w:t>
      </w:r>
      <w:r w:rsidRPr="005F5D1E">
        <w:rPr>
          <w:rFonts w:eastAsiaTheme="minorHAnsi"/>
        </w:rPr>
        <w:t>is</w:t>
      </w:r>
      <w:r w:rsidRPr="0036376C">
        <w:t xml:space="preserve"> saved at </w:t>
      </w:r>
      <w:r w:rsidRPr="005F5D1E">
        <w:rPr>
          <w:b/>
          <w:bCs/>
          <w:i/>
          <w:iCs/>
        </w:rPr>
        <w:t>H:\VSC\Rating Reference</w:t>
      </w:r>
    </w:p>
    <w:p w:rsidR="00F43038" w:rsidRPr="00D43CE0" w:rsidRDefault="00D571C5" w:rsidP="00F063AF">
      <w:pPr>
        <w:pStyle w:val="ListParagraph"/>
        <w:widowControl w:val="0"/>
        <w:numPr>
          <w:ilvl w:val="0"/>
          <w:numId w:val="238"/>
        </w:numPr>
        <w:tabs>
          <w:tab w:val="left" w:pos="810"/>
        </w:tabs>
        <w:spacing w:after="120"/>
        <w:rPr>
          <w:rStyle w:val="Hyperlink"/>
          <w:rFonts w:ascii="Arial" w:hAnsi="Arial"/>
          <w:i/>
          <w:color w:val="auto"/>
          <w:sz w:val="20"/>
          <w:szCs w:val="20"/>
          <w:u w:val="none"/>
        </w:rPr>
      </w:pPr>
      <w:hyperlink r:id="rId14" w:history="1">
        <w:r w:rsidR="00F43038" w:rsidRPr="00D43CE0">
          <w:rPr>
            <w:rStyle w:val="Hyperlink"/>
            <w:rFonts w:ascii="Arial" w:hAnsi="Arial"/>
            <w:b/>
            <w:bCs/>
            <w:i/>
            <w:iCs/>
            <w:sz w:val="20"/>
            <w:szCs w:val="20"/>
          </w:rPr>
          <w:t>Compensation Service Intranet Home Page</w:t>
        </w:r>
      </w:hyperlink>
    </w:p>
    <w:p w:rsidR="00013EB8" w:rsidRPr="00D43CE0" w:rsidRDefault="00D571C5" w:rsidP="00F063AF">
      <w:pPr>
        <w:pStyle w:val="ListParagraph"/>
        <w:widowControl w:val="0"/>
        <w:numPr>
          <w:ilvl w:val="1"/>
          <w:numId w:val="238"/>
        </w:numPr>
        <w:tabs>
          <w:tab w:val="left" w:pos="810"/>
        </w:tabs>
        <w:spacing w:after="120"/>
        <w:rPr>
          <w:rStyle w:val="Hyperlink"/>
          <w:rFonts w:ascii="Arial" w:hAnsi="Arial"/>
          <w:i/>
          <w:iCs/>
          <w:sz w:val="20"/>
          <w:szCs w:val="20"/>
          <w:u w:val="none"/>
        </w:rPr>
      </w:pPr>
      <w:hyperlink r:id="rId15" w:history="1">
        <w:r w:rsidR="00013EB8" w:rsidRPr="00D43CE0">
          <w:rPr>
            <w:rStyle w:val="Hyperlink"/>
            <w:rFonts w:ascii="Arial" w:hAnsi="Arial"/>
            <w:b/>
            <w:bCs/>
            <w:i/>
            <w:sz w:val="20"/>
            <w:szCs w:val="20"/>
          </w:rPr>
          <w:t>Publications Index (References, etc.)</w:t>
        </w:r>
      </w:hyperlink>
    </w:p>
    <w:p w:rsidR="00B878CB" w:rsidRPr="00356D9F" w:rsidRDefault="00D571C5" w:rsidP="00F063AF">
      <w:pPr>
        <w:widowControl w:val="0"/>
        <w:numPr>
          <w:ilvl w:val="2"/>
          <w:numId w:val="237"/>
        </w:numPr>
        <w:tabs>
          <w:tab w:val="clear" w:pos="2160"/>
          <w:tab w:val="num" w:pos="1440"/>
        </w:tabs>
        <w:spacing w:after="120"/>
        <w:ind w:left="1440"/>
        <w:rPr>
          <w:rStyle w:val="Hyperlink"/>
          <w:i/>
          <w:color w:val="auto"/>
          <w:u w:val="none"/>
        </w:rPr>
      </w:pPr>
      <w:hyperlink r:id="rId16" w:history="1">
        <w:r w:rsidR="00344E1C">
          <w:rPr>
            <w:rStyle w:val="Hyperlink"/>
            <w:b/>
            <w:bCs/>
            <w:i/>
            <w:highlight w:val="cyan"/>
          </w:rPr>
          <w:t>CPKM (incl Live Manual)</w:t>
        </w:r>
      </w:hyperlink>
      <w:r w:rsidR="00A2232E" w:rsidRPr="00A2232E">
        <w:rPr>
          <w:rStyle w:val="Hyperlink"/>
          <w:bCs/>
          <w:color w:val="auto"/>
          <w:u w:val="none"/>
        </w:rPr>
        <w:t xml:space="preserve"> </w:t>
      </w:r>
      <w:r w:rsidR="00347C2E" w:rsidRPr="00A2232E">
        <w:rPr>
          <w:rStyle w:val="Hyperlink"/>
          <w:bCs/>
          <w:color w:val="auto"/>
          <w:u w:val="none"/>
        </w:rPr>
        <w:t xml:space="preserve">– </w:t>
      </w:r>
      <w:r w:rsidR="00347C2E" w:rsidRPr="00356D9F">
        <w:rPr>
          <w:rStyle w:val="Hyperlink"/>
          <w:bCs/>
          <w:i/>
          <w:color w:val="auto"/>
          <w:u w:val="none"/>
        </w:rPr>
        <w:t>reload or F5 if times out</w:t>
      </w:r>
      <w:r w:rsidR="00A2232E">
        <w:rPr>
          <w:rStyle w:val="Hyperlink"/>
          <w:bCs/>
          <w:i/>
          <w:color w:val="auto"/>
          <w:u w:val="none"/>
        </w:rPr>
        <w:t>, use quotation marks if want 2+ words</w:t>
      </w:r>
    </w:p>
    <w:p w:rsidR="0006054C" w:rsidRPr="0006054C" w:rsidRDefault="0006054C" w:rsidP="00F063AF">
      <w:pPr>
        <w:widowControl w:val="0"/>
        <w:numPr>
          <w:ilvl w:val="3"/>
          <w:numId w:val="109"/>
        </w:numPr>
        <w:tabs>
          <w:tab w:val="clear" w:pos="2880"/>
          <w:tab w:val="left" w:pos="1440"/>
          <w:tab w:val="num" w:pos="2160"/>
        </w:tabs>
        <w:spacing w:after="120"/>
        <w:ind w:left="2160"/>
        <w:rPr>
          <w:i/>
        </w:rPr>
      </w:pPr>
      <w:r w:rsidRPr="00F871B8">
        <w:t xml:space="preserve">Use </w:t>
      </w:r>
      <w:r w:rsidRPr="004F4877">
        <w:rPr>
          <w:rFonts w:ascii="Helvetica" w:hAnsi="Helvetica" w:cs="Helvetica"/>
          <w:b/>
          <w:i/>
          <w:lang w:val="en"/>
        </w:rPr>
        <w:t>http://www.knowva.ebenefits.va.gov/</w:t>
      </w:r>
      <w:r>
        <w:rPr>
          <w:rFonts w:ascii="Helvetica" w:hAnsi="Helvetica" w:cs="Helvetica"/>
          <w:color w:val="3D3D3D"/>
          <w:lang w:val="en"/>
        </w:rPr>
        <w:t xml:space="preserve"> </w:t>
      </w:r>
      <w:r w:rsidRPr="00F871B8">
        <w:rPr>
          <w:rFonts w:ascii="Helvetica" w:hAnsi="Helvetica" w:cs="Helvetica"/>
          <w:lang w:val="en"/>
        </w:rPr>
        <w:t xml:space="preserve">when </w:t>
      </w:r>
      <w:r w:rsidR="004F4877">
        <w:rPr>
          <w:rFonts w:ascii="Helvetica" w:hAnsi="Helvetica" w:cs="Helvetica"/>
          <w:lang w:val="en"/>
        </w:rPr>
        <w:t>CPKM</w:t>
      </w:r>
      <w:r w:rsidRPr="00F871B8">
        <w:rPr>
          <w:rFonts w:ascii="Helvetica" w:hAnsi="Helvetica" w:cs="Helvetica"/>
          <w:lang w:val="en"/>
        </w:rPr>
        <w:t xml:space="preserve"> is down</w:t>
      </w:r>
    </w:p>
    <w:p w:rsidR="00B878CB" w:rsidRPr="008E6AD6" w:rsidRDefault="00B878CB" w:rsidP="00F063AF">
      <w:pPr>
        <w:widowControl w:val="0"/>
        <w:numPr>
          <w:ilvl w:val="3"/>
          <w:numId w:val="109"/>
        </w:numPr>
        <w:tabs>
          <w:tab w:val="clear" w:pos="2880"/>
          <w:tab w:val="left" w:pos="1440"/>
          <w:tab w:val="left" w:pos="2160"/>
        </w:tabs>
        <w:spacing w:after="120"/>
        <w:ind w:left="2160"/>
        <w:rPr>
          <w:rStyle w:val="Hyperlink"/>
          <w:i/>
          <w:color w:val="auto"/>
          <w:u w:val="none"/>
        </w:rPr>
      </w:pPr>
      <w:r>
        <w:rPr>
          <w:rStyle w:val="Hyperlink"/>
          <w:u w:val="none"/>
        </w:rPr>
        <w:t>i</w:t>
      </w:r>
      <w:r w:rsidRPr="00F74A4C">
        <w:rPr>
          <w:rStyle w:val="Hyperlink"/>
          <w:color w:val="auto"/>
          <w:u w:val="none"/>
        </w:rPr>
        <w:t xml:space="preserve">ncludes </w:t>
      </w:r>
      <w:r w:rsidRPr="00F74A4C">
        <w:rPr>
          <w:rStyle w:val="Hyperlink"/>
          <w:b/>
          <w:color w:val="auto"/>
          <w:u w:val="none"/>
        </w:rPr>
        <w:t>Compensation Service Bulletins (CSBs)</w:t>
      </w:r>
      <w:r>
        <w:rPr>
          <w:rStyle w:val="Hyperlink"/>
          <w:b/>
          <w:color w:val="auto"/>
          <w:u w:val="none"/>
        </w:rPr>
        <w:t>,</w:t>
      </w:r>
      <w:r w:rsidR="00C22006">
        <w:rPr>
          <w:rStyle w:val="Hyperlink"/>
          <w:b/>
          <w:color w:val="auto"/>
          <w:u w:val="none"/>
        </w:rPr>
        <w:t xml:space="preserve"> </w:t>
      </w:r>
      <w:r>
        <w:rPr>
          <w:rStyle w:val="Hyperlink"/>
          <w:b/>
          <w:color w:val="auto"/>
          <w:u w:val="none"/>
        </w:rPr>
        <w:t>Fast Letters</w:t>
      </w:r>
      <w:r w:rsidR="00C22006" w:rsidRPr="00C22006">
        <w:rPr>
          <w:rStyle w:val="Hyperlink"/>
          <w:color w:val="auto"/>
          <w:u w:val="none"/>
        </w:rPr>
        <w:t>(all rescinded)</w:t>
      </w:r>
      <w:r>
        <w:rPr>
          <w:rStyle w:val="Hyperlink"/>
          <w:b/>
          <w:color w:val="auto"/>
          <w:u w:val="none"/>
        </w:rPr>
        <w:t xml:space="preserve">, </w:t>
      </w:r>
      <w:r w:rsidR="00B05C2D">
        <w:rPr>
          <w:rStyle w:val="Hyperlink"/>
          <w:b/>
          <w:color w:val="auto"/>
          <w:u w:val="none"/>
        </w:rPr>
        <w:t xml:space="preserve"> FAQs, M21-1, M21-4, </w:t>
      </w:r>
      <w:r w:rsidR="00C22006">
        <w:rPr>
          <w:rStyle w:val="Hyperlink"/>
          <w:b/>
          <w:color w:val="auto"/>
          <w:u w:val="none"/>
        </w:rPr>
        <w:t xml:space="preserve">Policy (DADs &amp; OGCs), </w:t>
      </w:r>
      <w:r w:rsidR="00B05C2D">
        <w:rPr>
          <w:rStyle w:val="Hyperlink"/>
          <w:b/>
          <w:color w:val="auto"/>
          <w:u w:val="none"/>
        </w:rPr>
        <w:t>Rate Tables, Tip Sheets</w:t>
      </w:r>
      <w:r w:rsidR="00C22006">
        <w:rPr>
          <w:rStyle w:val="Hyperlink"/>
          <w:b/>
          <w:color w:val="auto"/>
          <w:u w:val="none"/>
        </w:rPr>
        <w:t xml:space="preserve"> </w:t>
      </w:r>
      <w:r w:rsidR="00C22006" w:rsidRPr="00C22006">
        <w:rPr>
          <w:rStyle w:val="Hyperlink"/>
          <w:color w:val="auto"/>
          <w:u w:val="none"/>
        </w:rPr>
        <w:t>(all rescinded)</w:t>
      </w:r>
      <w:r w:rsidR="00B05C2D">
        <w:rPr>
          <w:rStyle w:val="Hyperlink"/>
          <w:b/>
          <w:color w:val="auto"/>
          <w:u w:val="none"/>
        </w:rPr>
        <w:t xml:space="preserve">, </w:t>
      </w:r>
      <w:r>
        <w:rPr>
          <w:rStyle w:val="Hyperlink"/>
          <w:b/>
          <w:color w:val="auto"/>
          <w:u w:val="none"/>
        </w:rPr>
        <w:t>Training Letters</w:t>
      </w:r>
      <w:r w:rsidR="00C22006">
        <w:rPr>
          <w:rStyle w:val="Hyperlink"/>
          <w:b/>
          <w:color w:val="auto"/>
          <w:u w:val="none"/>
        </w:rPr>
        <w:t xml:space="preserve"> </w:t>
      </w:r>
      <w:r w:rsidR="00C22006" w:rsidRPr="00C22006">
        <w:rPr>
          <w:rStyle w:val="Hyperlink"/>
          <w:color w:val="auto"/>
          <w:u w:val="none"/>
        </w:rPr>
        <w:t>(all rescinded)</w:t>
      </w:r>
      <w:r w:rsidR="00B05C2D">
        <w:rPr>
          <w:rStyle w:val="Hyperlink"/>
          <w:b/>
          <w:color w:val="auto"/>
          <w:u w:val="none"/>
        </w:rPr>
        <w:t>…</w:t>
      </w:r>
    </w:p>
    <w:p w:rsidR="00013EB8" w:rsidRDefault="00D571C5" w:rsidP="00F063AF">
      <w:pPr>
        <w:widowControl w:val="0"/>
        <w:numPr>
          <w:ilvl w:val="1"/>
          <w:numId w:val="109"/>
        </w:numPr>
        <w:spacing w:after="120"/>
        <w:rPr>
          <w:i/>
        </w:rPr>
      </w:pPr>
      <w:hyperlink r:id="rId17" w:history="1">
        <w:r w:rsidR="00013EB8">
          <w:rPr>
            <w:rStyle w:val="Hyperlink"/>
            <w:b/>
            <w:bCs/>
            <w:i/>
          </w:rPr>
          <w:t>Rating Job Aids</w:t>
        </w:r>
      </w:hyperlink>
    </w:p>
    <w:p w:rsidR="00B03D01" w:rsidRDefault="00B03D01" w:rsidP="00F063AF">
      <w:pPr>
        <w:widowControl w:val="0"/>
        <w:numPr>
          <w:ilvl w:val="2"/>
          <w:numId w:val="236"/>
        </w:numPr>
        <w:tabs>
          <w:tab w:val="left" w:pos="300"/>
          <w:tab w:val="left" w:pos="360"/>
        </w:tabs>
        <w:spacing w:after="120"/>
        <w:rPr>
          <w:i/>
        </w:rPr>
      </w:pPr>
      <w:r>
        <w:rPr>
          <w:b/>
          <w:bCs/>
        </w:rPr>
        <w:t>Effective Date Builder</w:t>
      </w:r>
      <w:r>
        <w:rPr>
          <w:iCs/>
        </w:rPr>
        <w:t xml:space="preserve"> </w:t>
      </w:r>
      <w:r>
        <w:rPr>
          <w:i/>
        </w:rPr>
        <w:t xml:space="preserve">[and it’s </w:t>
      </w:r>
      <w:r>
        <w:rPr>
          <w:b/>
          <w:bCs/>
          <w:i/>
        </w:rPr>
        <w:t>User Guide</w:t>
      </w:r>
      <w:r>
        <w:rPr>
          <w:i/>
        </w:rPr>
        <w:t xml:space="preserve"> and the </w:t>
      </w:r>
      <w:r>
        <w:rPr>
          <w:b/>
          <w:bCs/>
          <w:i/>
        </w:rPr>
        <w:t>Notes</w:t>
      </w:r>
      <w:r>
        <w:rPr>
          <w:i/>
        </w:rPr>
        <w:t>]</w:t>
      </w:r>
    </w:p>
    <w:p w:rsidR="00013EB8" w:rsidRDefault="00013EB8" w:rsidP="00F063AF">
      <w:pPr>
        <w:widowControl w:val="0"/>
        <w:numPr>
          <w:ilvl w:val="2"/>
          <w:numId w:val="236"/>
        </w:numPr>
        <w:tabs>
          <w:tab w:val="left" w:pos="300"/>
          <w:tab w:val="left" w:pos="360"/>
        </w:tabs>
        <w:spacing w:after="120"/>
        <w:rPr>
          <w:i/>
        </w:rPr>
      </w:pPr>
      <w:r>
        <w:rPr>
          <w:b/>
          <w:bCs/>
        </w:rPr>
        <w:t>Evaluation Builder</w:t>
      </w:r>
      <w:r>
        <w:rPr>
          <w:iCs/>
        </w:rPr>
        <w:t xml:space="preserve"> </w:t>
      </w:r>
      <w:r>
        <w:rPr>
          <w:i/>
        </w:rPr>
        <w:t xml:space="preserve">[and it’s </w:t>
      </w:r>
      <w:r>
        <w:rPr>
          <w:b/>
          <w:bCs/>
          <w:i/>
        </w:rPr>
        <w:t>User Guide</w:t>
      </w:r>
      <w:r>
        <w:rPr>
          <w:i/>
        </w:rPr>
        <w:t xml:space="preserve"> and the </w:t>
      </w:r>
      <w:r>
        <w:rPr>
          <w:b/>
          <w:bCs/>
          <w:i/>
        </w:rPr>
        <w:t>PowerPoint</w:t>
      </w:r>
      <w:r>
        <w:rPr>
          <w:i/>
        </w:rPr>
        <w:t>]</w:t>
      </w:r>
    </w:p>
    <w:p w:rsidR="00A11DAE" w:rsidRPr="00075DB3" w:rsidRDefault="00013EB8" w:rsidP="00691877">
      <w:pPr>
        <w:widowControl w:val="0"/>
        <w:numPr>
          <w:ilvl w:val="0"/>
          <w:numId w:val="41"/>
        </w:numPr>
        <w:tabs>
          <w:tab w:val="clear" w:pos="360"/>
          <w:tab w:val="num" w:pos="2250"/>
        </w:tabs>
        <w:spacing w:after="120"/>
        <w:ind w:left="2160"/>
        <w:rPr>
          <w:i/>
          <w:iCs/>
        </w:rPr>
      </w:pPr>
      <w:r w:rsidRPr="00A11DAE">
        <w:rPr>
          <w:b/>
          <w:bCs/>
        </w:rPr>
        <w:t>Hearing Loss Calculator</w:t>
      </w:r>
      <w:r>
        <w:t xml:space="preserve"> </w:t>
      </w:r>
      <w:r w:rsidRPr="00A11DAE">
        <w:rPr>
          <w:i/>
        </w:rPr>
        <w:t xml:space="preserve">[and it’s </w:t>
      </w:r>
      <w:r w:rsidRPr="00A11DAE">
        <w:rPr>
          <w:b/>
          <w:bCs/>
          <w:i/>
        </w:rPr>
        <w:t>User Guide</w:t>
      </w:r>
      <w:r w:rsidR="007D5E64" w:rsidRPr="00A11DAE">
        <w:rPr>
          <w:i/>
        </w:rPr>
        <w:t>]</w:t>
      </w:r>
      <w:r w:rsidR="00075DB3">
        <w:t xml:space="preserve"> – for increases, generated language does not </w:t>
      </w:r>
      <w:r w:rsidR="00554A7A">
        <w:t>always list speech discrimination,unclear if this is intentional, might be related to using 4.86 &amp; Table IVa</w:t>
      </w:r>
      <w:r w:rsidR="00075DB3">
        <w:t xml:space="preserve"> (as recently as 1/17</w:t>
      </w:r>
      <w:r w:rsidR="00554A7A">
        <w:t>)</w:t>
      </w:r>
    </w:p>
    <w:p w:rsidR="00DF450F" w:rsidRPr="00F871B8" w:rsidRDefault="00D571C5" w:rsidP="00F063AF">
      <w:pPr>
        <w:widowControl w:val="0"/>
        <w:numPr>
          <w:ilvl w:val="3"/>
          <w:numId w:val="236"/>
        </w:numPr>
        <w:tabs>
          <w:tab w:val="clear" w:pos="2880"/>
          <w:tab w:val="left" w:pos="2160"/>
        </w:tabs>
        <w:spacing w:after="120"/>
        <w:ind w:left="2160"/>
        <w:rPr>
          <w:bCs/>
        </w:rPr>
      </w:pPr>
      <w:hyperlink r:id="rId18" w:history="1">
        <w:r w:rsidR="00DF450F" w:rsidRPr="00F871B8">
          <w:rPr>
            <w:rStyle w:val="Hyperlink"/>
            <w:b/>
            <w:bCs/>
            <w:i/>
          </w:rPr>
          <w:t>Medical EPSS / MEPSS</w:t>
        </w:r>
      </w:hyperlink>
      <w:r w:rsidR="00F871B8" w:rsidRPr="00F871B8">
        <w:rPr>
          <w:rStyle w:val="Hyperlink"/>
          <w:bCs/>
          <w:u w:val="none"/>
        </w:rPr>
        <w:t xml:space="preserve"> - </w:t>
      </w:r>
      <w:r w:rsidR="00207D9B" w:rsidRPr="00F871B8">
        <w:rPr>
          <w:rStyle w:val="Hyperlink"/>
          <w:bCs/>
          <w:color w:val="auto"/>
          <w:u w:val="none"/>
        </w:rPr>
        <w:t>Glossary</w:t>
      </w:r>
      <w:r w:rsidR="00F871B8" w:rsidRPr="00F871B8">
        <w:rPr>
          <w:rStyle w:val="Hyperlink"/>
          <w:bCs/>
          <w:color w:val="auto"/>
          <w:u w:val="none"/>
        </w:rPr>
        <w:t xml:space="preserve">, </w:t>
      </w:r>
      <w:r w:rsidR="00DF450F" w:rsidRPr="00F871B8">
        <w:rPr>
          <w:rStyle w:val="Hyperlink"/>
          <w:bCs/>
          <w:color w:val="auto"/>
          <w:u w:val="none"/>
        </w:rPr>
        <w:t>Acronyms &amp; Abbreviations</w:t>
      </w:r>
      <w:r w:rsidR="00F871B8" w:rsidRPr="00F871B8">
        <w:rPr>
          <w:rStyle w:val="Hyperlink"/>
          <w:bCs/>
          <w:color w:val="auto"/>
          <w:u w:val="none"/>
        </w:rPr>
        <w:t xml:space="preserve">, </w:t>
      </w:r>
      <w:r w:rsidR="00DF450F" w:rsidRPr="00F871B8">
        <w:rPr>
          <w:rStyle w:val="Hyperlink"/>
          <w:bCs/>
          <w:color w:val="auto"/>
          <w:u w:val="none"/>
        </w:rPr>
        <w:t>Symbols</w:t>
      </w:r>
      <w:r w:rsidR="00F871B8" w:rsidRPr="00F871B8">
        <w:rPr>
          <w:rStyle w:val="Hyperlink"/>
          <w:bCs/>
          <w:color w:val="auto"/>
          <w:u w:val="none"/>
        </w:rPr>
        <w:t xml:space="preserve">, </w:t>
      </w:r>
      <w:r w:rsidR="00DF450F" w:rsidRPr="00F871B8">
        <w:rPr>
          <w:rStyle w:val="Hyperlink"/>
          <w:bCs/>
          <w:color w:val="auto"/>
          <w:u w:val="none"/>
        </w:rPr>
        <w:t>Graphics</w:t>
      </w:r>
    </w:p>
    <w:p w:rsidR="00074771" w:rsidRPr="00EF1FA3" w:rsidRDefault="00D571C5" w:rsidP="00F063AF">
      <w:pPr>
        <w:widowControl w:val="0"/>
        <w:numPr>
          <w:ilvl w:val="2"/>
          <w:numId w:val="236"/>
        </w:numPr>
        <w:spacing w:after="120"/>
        <w:rPr>
          <w:rStyle w:val="Hyperlink"/>
          <w:color w:val="auto"/>
          <w:sz w:val="24"/>
          <w:szCs w:val="24"/>
          <w:u w:val="none"/>
        </w:rPr>
      </w:pPr>
      <w:hyperlink r:id="rId19" w:history="1">
        <w:r w:rsidR="00013EB8">
          <w:rPr>
            <w:rStyle w:val="Hyperlink"/>
            <w:b/>
            <w:bCs/>
            <w:i/>
            <w:iCs/>
          </w:rPr>
          <w:t>Index of DBQ/Exams by Disability</w:t>
        </w:r>
      </w:hyperlink>
      <w:r w:rsidR="00074771">
        <w:rPr>
          <w:rStyle w:val="Hyperlink"/>
          <w:bCs/>
          <w:iCs/>
          <w:u w:val="none"/>
        </w:rPr>
        <w:t xml:space="preserve"> </w:t>
      </w:r>
      <w:r w:rsidR="00074771" w:rsidRPr="00074771">
        <w:rPr>
          <w:rStyle w:val="Hyperlink"/>
          <w:bCs/>
          <w:i/>
          <w:iCs/>
          <w:color w:val="auto"/>
          <w:u w:val="none"/>
        </w:rPr>
        <w:t xml:space="preserve">&amp; </w:t>
      </w:r>
      <w:hyperlink r:id="rId20" w:history="1">
        <w:r w:rsidR="00074771" w:rsidRPr="00EF1FA3">
          <w:rPr>
            <w:rStyle w:val="Hyperlink"/>
            <w:b/>
            <w:bCs/>
            <w:i/>
            <w:iCs/>
          </w:rPr>
          <w:t>DBQ Switchboard</w:t>
        </w:r>
      </w:hyperlink>
    </w:p>
    <w:p w:rsidR="00013EB8" w:rsidRPr="00074771" w:rsidRDefault="00D571C5" w:rsidP="00F063AF">
      <w:pPr>
        <w:widowControl w:val="0"/>
        <w:numPr>
          <w:ilvl w:val="2"/>
          <w:numId w:val="236"/>
        </w:numPr>
        <w:spacing w:after="120"/>
        <w:rPr>
          <w:rStyle w:val="Hyperlink"/>
          <w:b/>
          <w:bCs/>
          <w:i/>
          <w:color w:val="auto"/>
          <w:u w:val="none"/>
        </w:rPr>
      </w:pPr>
      <w:hyperlink r:id="rId21" w:history="1">
        <w:r w:rsidR="00013EB8">
          <w:rPr>
            <w:rStyle w:val="Hyperlink"/>
            <w:b/>
            <w:bCs/>
            <w:i/>
          </w:rPr>
          <w:t>Medical Abbreviations</w:t>
        </w:r>
      </w:hyperlink>
    </w:p>
    <w:p w:rsidR="00013EB8" w:rsidRDefault="00D571C5" w:rsidP="00F063AF">
      <w:pPr>
        <w:widowControl w:val="0"/>
        <w:numPr>
          <w:ilvl w:val="1"/>
          <w:numId w:val="109"/>
        </w:numPr>
        <w:spacing w:after="120"/>
        <w:rPr>
          <w:i/>
        </w:rPr>
      </w:pPr>
      <w:hyperlink r:id="rId22" w:history="1">
        <w:r w:rsidR="00013EB8">
          <w:rPr>
            <w:rStyle w:val="Hyperlink"/>
            <w:b/>
            <w:bCs/>
            <w:i/>
            <w:iCs/>
          </w:rPr>
          <w:t>VBN Broadcast Transcripts</w:t>
        </w:r>
      </w:hyperlink>
    </w:p>
    <w:p w:rsidR="00B92E6C" w:rsidRPr="00D43CE0" w:rsidRDefault="00D571C5" w:rsidP="00F063AF">
      <w:pPr>
        <w:widowControl w:val="0"/>
        <w:numPr>
          <w:ilvl w:val="1"/>
          <w:numId w:val="109"/>
        </w:numPr>
        <w:spacing w:after="120"/>
        <w:rPr>
          <w:rStyle w:val="Hyperlink"/>
          <w:b/>
          <w:i/>
          <w:color w:val="auto"/>
          <w:u w:val="none"/>
        </w:rPr>
      </w:pPr>
      <w:hyperlink r:id="rId23" w:tgtFrame="_blank" w:history="1">
        <w:r w:rsidR="00B92E6C" w:rsidRPr="00B92E6C">
          <w:rPr>
            <w:rStyle w:val="Hyperlink"/>
            <w:b/>
            <w:i/>
          </w:rPr>
          <w:t>VA Regional Office of Jurisdiction Lookup Tool</w:t>
        </w:r>
      </w:hyperlink>
    </w:p>
    <w:p w:rsidR="00D43CE0" w:rsidRPr="005F5D1E" w:rsidRDefault="00D571C5" w:rsidP="00F063AF">
      <w:pPr>
        <w:widowControl w:val="0"/>
        <w:numPr>
          <w:ilvl w:val="2"/>
          <w:numId w:val="237"/>
        </w:numPr>
        <w:tabs>
          <w:tab w:val="clear" w:pos="2160"/>
          <w:tab w:val="num" w:pos="1440"/>
        </w:tabs>
        <w:spacing w:after="120"/>
        <w:ind w:left="1440"/>
        <w:rPr>
          <w:rStyle w:val="Hyperlink"/>
          <w:i/>
          <w:color w:val="auto"/>
          <w:u w:val="none"/>
        </w:rPr>
      </w:pPr>
      <w:hyperlink r:id="rId24" w:history="1">
        <w:r w:rsidR="00D43CE0">
          <w:rPr>
            <w:rStyle w:val="Hyperlink"/>
            <w:b/>
            <w:bCs/>
            <w:i/>
            <w:iCs/>
          </w:rPr>
          <w:t>CAVC-DAD</w:t>
        </w:r>
      </w:hyperlink>
    </w:p>
    <w:p w:rsidR="005F5D1E" w:rsidRPr="005F5D1E" w:rsidRDefault="005F5D1E" w:rsidP="005F5D1E">
      <w:pPr>
        <w:pBdr>
          <w:top w:val="double" w:sz="4" w:space="1" w:color="auto"/>
          <w:left w:val="double" w:sz="4" w:space="4" w:color="auto"/>
          <w:bottom w:val="double" w:sz="4" w:space="1" w:color="auto"/>
          <w:right w:val="double" w:sz="4" w:space="4" w:color="auto"/>
        </w:pBdr>
        <w:shd w:val="clear" w:color="auto" w:fill="FFC000"/>
        <w:ind w:left="1530"/>
        <w:rPr>
          <w:rFonts w:eastAsiaTheme="minorHAnsi"/>
        </w:rPr>
      </w:pPr>
      <w:r w:rsidRPr="005F5D1E">
        <w:rPr>
          <w:rFonts w:eastAsiaTheme="minorHAnsi"/>
          <w:b/>
        </w:rPr>
        <w:t xml:space="preserve">TBI, Case Law and Nehmer Timeline [spreadsheet with </w:t>
      </w:r>
      <w:r>
        <w:rPr>
          <w:rFonts w:eastAsiaTheme="minorHAnsi"/>
          <w:b/>
        </w:rPr>
        <w:t>Case Summaries</w:t>
      </w:r>
      <w:r w:rsidRPr="005F5D1E">
        <w:rPr>
          <w:rFonts w:eastAsiaTheme="minorHAnsi"/>
          <w:b/>
        </w:rPr>
        <w:t>]</w:t>
      </w:r>
      <w:r w:rsidRPr="005F5D1E">
        <w:rPr>
          <w:rFonts w:eastAsiaTheme="minorHAnsi"/>
        </w:rPr>
        <w:t xml:space="preserve"> is</w:t>
      </w:r>
      <w:r w:rsidRPr="0036376C">
        <w:t xml:space="preserve"> saved at </w:t>
      </w:r>
      <w:r w:rsidRPr="005F5D1E">
        <w:rPr>
          <w:b/>
          <w:bCs/>
          <w:i/>
          <w:iCs/>
        </w:rPr>
        <w:t>H:\VSC\Rating Reference</w:t>
      </w:r>
    </w:p>
    <w:p w:rsidR="005F5D1E" w:rsidRDefault="005F5D1E" w:rsidP="005F5D1E">
      <w:pPr>
        <w:widowControl w:val="0"/>
        <w:spacing w:after="120"/>
        <w:ind w:left="1440"/>
        <w:rPr>
          <w:i/>
        </w:rPr>
      </w:pPr>
    </w:p>
    <w:p w:rsidR="00D43CE0" w:rsidRDefault="00D571C5" w:rsidP="00F063AF">
      <w:pPr>
        <w:widowControl w:val="0"/>
        <w:numPr>
          <w:ilvl w:val="2"/>
          <w:numId w:val="237"/>
        </w:numPr>
        <w:tabs>
          <w:tab w:val="clear" w:pos="2160"/>
          <w:tab w:val="num" w:pos="1440"/>
        </w:tabs>
        <w:spacing w:after="120"/>
        <w:ind w:left="1440"/>
        <w:rPr>
          <w:i/>
        </w:rPr>
      </w:pPr>
      <w:hyperlink r:id="rId25" w:history="1">
        <w:r w:rsidR="00D43CE0">
          <w:rPr>
            <w:rStyle w:val="Hyperlink"/>
            <w:b/>
            <w:bCs/>
            <w:i/>
            <w:iCs/>
          </w:rPr>
          <w:t>Precedent GCOP (General Counsel Opinions)</w:t>
        </w:r>
      </w:hyperlink>
      <w:r w:rsidR="00D43CE0">
        <w:rPr>
          <w:b/>
          <w:bCs/>
          <w:i/>
          <w:iCs/>
        </w:rPr>
        <w:t xml:space="preserve">  </w:t>
      </w:r>
    </w:p>
    <w:p w:rsidR="00D43CE0" w:rsidRPr="00D43CE0" w:rsidRDefault="00D571C5" w:rsidP="00F063AF">
      <w:pPr>
        <w:widowControl w:val="0"/>
        <w:numPr>
          <w:ilvl w:val="1"/>
          <w:numId w:val="109"/>
        </w:numPr>
        <w:spacing w:after="120"/>
        <w:rPr>
          <w:i/>
        </w:rPr>
      </w:pPr>
      <w:hyperlink r:id="rId26" w:history="1">
        <w:r w:rsidR="00D43CE0">
          <w:rPr>
            <w:rStyle w:val="Hyperlink"/>
            <w:b/>
            <w:bCs/>
            <w:i/>
          </w:rPr>
          <w:t>Compensation Service Weekly Calendar</w:t>
        </w:r>
      </w:hyperlink>
      <w:r w:rsidR="00D43CE0">
        <w:rPr>
          <w:b/>
          <w:bCs/>
          <w:i/>
        </w:rPr>
        <w:t xml:space="preserve"> </w:t>
      </w:r>
    </w:p>
    <w:p w:rsidR="003B02C0" w:rsidRPr="003B02C0" w:rsidRDefault="00D571C5" w:rsidP="00F063AF">
      <w:pPr>
        <w:widowControl w:val="0"/>
        <w:numPr>
          <w:ilvl w:val="0"/>
          <w:numId w:val="240"/>
        </w:numPr>
        <w:spacing w:after="120"/>
        <w:rPr>
          <w:b/>
          <w:bCs/>
          <w:i/>
          <w:iCs/>
        </w:rPr>
      </w:pPr>
      <w:hyperlink r:id="rId27" w:history="1">
        <w:r w:rsidR="003B02C0" w:rsidRPr="003B02C0">
          <w:rPr>
            <w:rStyle w:val="Hyperlink"/>
            <w:b/>
            <w:i/>
          </w:rPr>
          <w:t>VA Forms</w:t>
        </w:r>
      </w:hyperlink>
    </w:p>
    <w:p w:rsidR="00013EB8" w:rsidRDefault="00D571C5" w:rsidP="00F063AF">
      <w:pPr>
        <w:widowControl w:val="0"/>
        <w:numPr>
          <w:ilvl w:val="0"/>
          <w:numId w:val="240"/>
        </w:numPr>
        <w:spacing w:after="120"/>
        <w:rPr>
          <w:b/>
          <w:bCs/>
          <w:i/>
          <w:iCs/>
        </w:rPr>
      </w:pPr>
      <w:hyperlink r:id="rId28" w:history="1">
        <w:r w:rsidR="00013EB8">
          <w:rPr>
            <w:rStyle w:val="Hyperlink"/>
            <w:b/>
            <w:bCs/>
            <w:i/>
            <w:iCs/>
          </w:rPr>
          <w:t>QRT</w:t>
        </w:r>
      </w:hyperlink>
      <w:r w:rsidR="003B02C0">
        <w:rPr>
          <w:rStyle w:val="Hyperlink"/>
          <w:bCs/>
          <w:iCs/>
          <w:u w:val="none"/>
        </w:rPr>
        <w:t xml:space="preserve"> </w:t>
      </w:r>
      <w:r w:rsidR="003B02C0" w:rsidRPr="003B02C0">
        <w:rPr>
          <w:rStyle w:val="Hyperlink"/>
          <w:bCs/>
          <w:i/>
          <w:iCs/>
          <w:color w:val="auto"/>
          <w:u w:val="none"/>
        </w:rPr>
        <w:t>– this is all old</w:t>
      </w:r>
    </w:p>
    <w:p w:rsidR="00EF1FA3" w:rsidRPr="00EF1FA3" w:rsidRDefault="00013EB8" w:rsidP="00F063AF">
      <w:pPr>
        <w:widowControl w:val="0"/>
        <w:numPr>
          <w:ilvl w:val="0"/>
          <w:numId w:val="240"/>
        </w:numPr>
        <w:spacing w:after="120"/>
        <w:rPr>
          <w:sz w:val="24"/>
          <w:szCs w:val="24"/>
        </w:rPr>
      </w:pPr>
      <w:r w:rsidRPr="001453C4">
        <w:rPr>
          <w:b/>
          <w:bCs/>
          <w:i/>
          <w:iCs/>
        </w:rPr>
        <w:t>Training</w:t>
      </w:r>
    </w:p>
    <w:p w:rsidR="008E6AD6" w:rsidRDefault="00D571C5" w:rsidP="00F063AF">
      <w:pPr>
        <w:widowControl w:val="0"/>
        <w:numPr>
          <w:ilvl w:val="1"/>
          <w:numId w:val="309"/>
        </w:numPr>
        <w:spacing w:after="120"/>
        <w:rPr>
          <w:b/>
          <w:bCs/>
          <w:i/>
          <w:iCs/>
        </w:rPr>
      </w:pPr>
      <w:hyperlink r:id="rId29" w:history="1">
        <w:r w:rsidR="008E6AD6" w:rsidRPr="008E6AD6">
          <w:rPr>
            <w:rStyle w:val="Hyperlink"/>
            <w:b/>
            <w:bCs/>
            <w:i/>
            <w:iCs/>
          </w:rPr>
          <w:t>C&amp;P Training</w:t>
        </w:r>
      </w:hyperlink>
    </w:p>
    <w:p w:rsidR="008E6AD6" w:rsidRPr="000C6D62" w:rsidRDefault="00D571C5" w:rsidP="00F063AF">
      <w:pPr>
        <w:widowControl w:val="0"/>
        <w:numPr>
          <w:ilvl w:val="1"/>
          <w:numId w:val="309"/>
        </w:numPr>
        <w:spacing w:after="120"/>
        <w:rPr>
          <w:rStyle w:val="Hyperlink"/>
          <w:b/>
          <w:bCs/>
          <w:i/>
          <w:iCs/>
          <w:color w:val="auto"/>
          <w:u w:val="none"/>
        </w:rPr>
      </w:pPr>
      <w:hyperlink r:id="rId30" w:history="1">
        <w:r w:rsidR="008E6AD6" w:rsidRPr="00BD1D24">
          <w:rPr>
            <w:rStyle w:val="Hyperlink"/>
            <w:b/>
            <w:bCs/>
            <w:i/>
            <w:iCs/>
          </w:rPr>
          <w:t>VBA Learning Catalog</w:t>
        </w:r>
      </w:hyperlink>
    </w:p>
    <w:p w:rsidR="00013EB8" w:rsidRDefault="00D571C5" w:rsidP="00F063AF">
      <w:pPr>
        <w:widowControl w:val="0"/>
        <w:numPr>
          <w:ilvl w:val="1"/>
          <w:numId w:val="309"/>
        </w:numPr>
        <w:spacing w:after="120"/>
        <w:rPr>
          <w:b/>
          <w:bCs/>
          <w:i/>
          <w:iCs/>
        </w:rPr>
      </w:pPr>
      <w:hyperlink r:id="rId31" w:history="1">
        <w:r w:rsidR="00013EB8">
          <w:rPr>
            <w:rStyle w:val="Hyperlink"/>
            <w:b/>
            <w:bCs/>
            <w:i/>
            <w:iCs/>
          </w:rPr>
          <w:t>RVSR Assistant</w:t>
        </w:r>
      </w:hyperlink>
    </w:p>
    <w:p w:rsidR="00013EB8" w:rsidRPr="007C74C3" w:rsidRDefault="00D571C5" w:rsidP="00F063AF">
      <w:pPr>
        <w:widowControl w:val="0"/>
        <w:numPr>
          <w:ilvl w:val="1"/>
          <w:numId w:val="309"/>
        </w:numPr>
        <w:spacing w:after="120"/>
        <w:rPr>
          <w:rStyle w:val="Hyperlink"/>
          <w:b/>
          <w:bCs/>
          <w:i/>
          <w:iCs/>
          <w:color w:val="auto"/>
          <w:u w:val="none"/>
        </w:rPr>
      </w:pPr>
      <w:hyperlink r:id="rId32" w:history="1">
        <w:r w:rsidR="00013EB8">
          <w:rPr>
            <w:rStyle w:val="Hyperlink"/>
            <w:b/>
            <w:bCs/>
            <w:i/>
            <w:iCs/>
          </w:rPr>
          <w:t>RVSR Flow Charts</w:t>
        </w:r>
      </w:hyperlink>
    </w:p>
    <w:p w:rsidR="007C74C3" w:rsidRPr="00241376" w:rsidRDefault="00D571C5" w:rsidP="00F063AF">
      <w:pPr>
        <w:pStyle w:val="ListParagraph"/>
        <w:numPr>
          <w:ilvl w:val="0"/>
          <w:numId w:val="309"/>
        </w:numPr>
        <w:tabs>
          <w:tab w:val="clear" w:pos="720"/>
          <w:tab w:val="num" w:pos="1440"/>
        </w:tabs>
        <w:spacing w:after="120" w:line="240" w:lineRule="auto"/>
        <w:ind w:left="1440"/>
        <w:rPr>
          <w:rStyle w:val="Hyperlink"/>
          <w:rFonts w:ascii="Arial" w:hAnsi="Arial"/>
          <w:b/>
          <w:i/>
          <w:color w:val="auto"/>
          <w:sz w:val="20"/>
          <w:szCs w:val="20"/>
          <w:u w:val="none"/>
        </w:rPr>
      </w:pPr>
      <w:hyperlink r:id="rId33" w:history="1">
        <w:r w:rsidR="007C74C3">
          <w:rPr>
            <w:rStyle w:val="Hyperlink"/>
            <w:rFonts w:ascii="Arial" w:hAnsi="Arial"/>
            <w:b/>
            <w:i/>
            <w:sz w:val="20"/>
            <w:szCs w:val="20"/>
          </w:rPr>
          <w:t>JRVSR Skills Certification</w:t>
        </w:r>
      </w:hyperlink>
    </w:p>
    <w:p w:rsidR="00E145D2" w:rsidRPr="00E145D2" w:rsidRDefault="00D571C5" w:rsidP="00F063AF">
      <w:pPr>
        <w:widowControl w:val="0"/>
        <w:numPr>
          <w:ilvl w:val="1"/>
          <w:numId w:val="309"/>
        </w:numPr>
        <w:spacing w:after="120"/>
        <w:rPr>
          <w:color w:val="0D0D0D"/>
          <w:sz w:val="24"/>
          <w:szCs w:val="24"/>
        </w:rPr>
      </w:pPr>
      <w:hyperlink r:id="rId34" w:history="1">
        <w:r w:rsidR="000C6D62" w:rsidRPr="00E145D2">
          <w:rPr>
            <w:rStyle w:val="Hyperlink"/>
            <w:b/>
            <w:bCs/>
            <w:i/>
            <w:iCs/>
          </w:rPr>
          <w:t>TMS</w:t>
        </w:r>
      </w:hyperlink>
      <w:r w:rsidR="000C6D62" w:rsidRPr="00E145D2">
        <w:rPr>
          <w:rStyle w:val="Strong"/>
          <w:b w:val="0"/>
          <w:bCs w:val="0"/>
          <w:i/>
          <w:iCs/>
        </w:rPr>
        <w:t xml:space="preserve"> [formerly</w:t>
      </w:r>
      <w:r w:rsidR="000C6D62">
        <w:rPr>
          <w:rStyle w:val="Strong"/>
        </w:rPr>
        <w:t xml:space="preserve"> </w:t>
      </w:r>
      <w:hyperlink r:id="rId35" w:history="1">
        <w:r w:rsidR="000C6D62" w:rsidRPr="00E145D2">
          <w:rPr>
            <w:rStyle w:val="Hyperlink"/>
            <w:i/>
            <w:iCs/>
          </w:rPr>
          <w:t>LMS</w:t>
        </w:r>
      </w:hyperlink>
      <w:r w:rsidR="000C6D62" w:rsidRPr="00E145D2">
        <w:rPr>
          <w:i/>
          <w:iCs/>
        </w:rPr>
        <w:t xml:space="preserve">] – </w:t>
      </w:r>
      <w:r w:rsidR="000C6D62" w:rsidRPr="00E145D2">
        <w:rPr>
          <w:iCs/>
        </w:rPr>
        <w:t xml:space="preserve">to reset assessments, send email to </w:t>
      </w:r>
      <w:hyperlink r:id="rId36" w:history="1">
        <w:r w:rsidR="000C6D62" w:rsidRPr="00A55D33">
          <w:rPr>
            <w:rStyle w:val="Hyperlink"/>
          </w:rPr>
          <w:t>dir.vbasdc@va.gov</w:t>
        </w:r>
      </w:hyperlink>
      <w:r w:rsidR="000C6D62" w:rsidRPr="00E145D2">
        <w:rPr>
          <w:i/>
          <w:iCs/>
        </w:rPr>
        <w:t xml:space="preserve"> </w:t>
      </w:r>
      <w:r w:rsidR="009F788C" w:rsidRPr="00E145D2">
        <w:rPr>
          <w:iCs/>
        </w:rPr>
        <w:t xml:space="preserve">; under Favorites - VA Shortcuts </w:t>
      </w:r>
      <w:r w:rsidR="005052C8" w:rsidRPr="00E145D2">
        <w:rPr>
          <w:iCs/>
        </w:rPr>
        <w:t>–</w:t>
      </w:r>
      <w:r w:rsidR="009F788C" w:rsidRPr="00E145D2">
        <w:rPr>
          <w:iCs/>
        </w:rPr>
        <w:t xml:space="preserve"> National</w:t>
      </w:r>
    </w:p>
    <w:p w:rsidR="00E145D2" w:rsidRPr="00E145D2" w:rsidRDefault="00E145D2" w:rsidP="00F063AF">
      <w:pPr>
        <w:widowControl w:val="0"/>
        <w:numPr>
          <w:ilvl w:val="1"/>
          <w:numId w:val="309"/>
        </w:numPr>
        <w:spacing w:after="120"/>
        <w:rPr>
          <w:i/>
          <w:color w:val="0D0D0D"/>
          <w:szCs w:val="24"/>
        </w:rPr>
      </w:pPr>
      <w:r w:rsidRPr="00E145D2">
        <w:rPr>
          <w:i/>
          <w:color w:val="0D0D0D"/>
          <w:szCs w:val="24"/>
        </w:rPr>
        <w:t>H:\VSC\FY2013 LANES\Training\NTC Training Recordings\RVSR Self Study</w:t>
      </w:r>
    </w:p>
    <w:p w:rsidR="005052C8" w:rsidRPr="005052C8" w:rsidRDefault="005052C8" w:rsidP="005052C8">
      <w:pPr>
        <w:widowControl w:val="0"/>
        <w:tabs>
          <w:tab w:val="left" w:pos="720"/>
        </w:tabs>
        <w:spacing w:after="120"/>
        <w:ind w:left="720"/>
        <w:rPr>
          <w:i/>
          <w:sz w:val="18"/>
        </w:rPr>
      </w:pPr>
      <w:r w:rsidRPr="005052C8">
        <w:rPr>
          <w:i/>
          <w:sz w:val="18"/>
        </w:rPr>
        <w:t>*some sites under cptraining.vba.va.gov ask for a username &amp; password, use vba\vsc…. and your LAN password</w:t>
      </w:r>
    </w:p>
    <w:p w:rsidR="003636C6" w:rsidRPr="007A20CE" w:rsidRDefault="003636C6" w:rsidP="00F063AF">
      <w:pPr>
        <w:widowControl w:val="0"/>
        <w:numPr>
          <w:ilvl w:val="0"/>
          <w:numId w:val="242"/>
        </w:numPr>
        <w:rPr>
          <w:i/>
          <w:iCs/>
        </w:rPr>
      </w:pPr>
      <w:r w:rsidRPr="003636C6">
        <w:rPr>
          <w:i/>
        </w:rPr>
        <w:lastRenderedPageBreak/>
        <w:t>Informational websites:</w:t>
      </w:r>
      <w:r>
        <w:t xml:space="preserve">  </w:t>
      </w:r>
      <w:hyperlink r:id="rId37" w:history="1">
        <w:r w:rsidR="00013EB8" w:rsidRPr="003636C6">
          <w:rPr>
            <w:rStyle w:val="Hyperlink"/>
            <w:b/>
            <w:bCs/>
            <w:i/>
            <w:iCs/>
          </w:rPr>
          <w:t>VBMS</w:t>
        </w:r>
      </w:hyperlink>
      <w:r w:rsidR="00013EB8" w:rsidRPr="003636C6">
        <w:rPr>
          <w:b/>
          <w:bCs/>
          <w:i/>
          <w:iCs/>
        </w:rPr>
        <w:t xml:space="preserve"> </w:t>
      </w:r>
      <w:r w:rsidR="00EF1FA3" w:rsidRPr="003636C6">
        <w:rPr>
          <w:i/>
          <w:iCs/>
        </w:rPr>
        <w:t>(</w:t>
      </w:r>
      <w:r w:rsidR="00EF1FA3" w:rsidRPr="001453C4">
        <w:rPr>
          <w:i/>
        </w:rPr>
        <w:t>H:\VSC\Training\VBMS</w:t>
      </w:r>
      <w:r w:rsidR="00EF1FA3" w:rsidRPr="003636C6">
        <w:rPr>
          <w:i/>
        </w:rPr>
        <w:t>)</w:t>
      </w:r>
      <w:r w:rsidR="00BC4145" w:rsidRPr="003636C6">
        <w:rPr>
          <w:i/>
        </w:rPr>
        <w:t xml:space="preserve"> </w:t>
      </w:r>
      <w:r w:rsidR="00621B95">
        <w:rPr>
          <w:i/>
        </w:rPr>
        <w:t>[</w:t>
      </w:r>
      <w:hyperlink r:id="rId38" w:history="1">
        <w:r w:rsidR="00063A5C">
          <w:rPr>
            <w:rStyle w:val="Hyperlink"/>
            <w:i/>
          </w:rPr>
          <w:t>VBMS Resources</w:t>
        </w:r>
      </w:hyperlink>
      <w:r w:rsidR="0054593E">
        <w:rPr>
          <w:i/>
        </w:rPr>
        <w:t xml:space="preserve"> (includes Fact Sheets &amp; FAQs; Job Aids; Release Notes &amp; Tips &amp; Tricks)</w:t>
      </w:r>
      <w:r w:rsidR="004F4877">
        <w:rPr>
          <w:i/>
        </w:rPr>
        <w:t>]</w:t>
      </w:r>
      <w:r w:rsidR="0054593E">
        <w:rPr>
          <w:i/>
        </w:rPr>
        <w:t>;</w:t>
      </w:r>
      <w:r w:rsidR="008E6AD6">
        <w:rPr>
          <w:i/>
        </w:rPr>
        <w:t xml:space="preserve"> </w:t>
      </w:r>
      <w:hyperlink r:id="rId39" w:history="1">
        <w:r w:rsidR="008E6AD6" w:rsidRPr="008E6AD6">
          <w:rPr>
            <w:rStyle w:val="Hyperlink"/>
            <w:b/>
            <w:i/>
          </w:rPr>
          <w:t>Minute Videos</w:t>
        </w:r>
      </w:hyperlink>
    </w:p>
    <w:p w:rsidR="00FB3678" w:rsidRPr="00FB3678" w:rsidRDefault="00FB3678" w:rsidP="009327C0">
      <w:pPr>
        <w:pStyle w:val="ListParagraph"/>
        <w:pBdr>
          <w:top w:val="double" w:sz="4" w:space="1" w:color="auto"/>
          <w:left w:val="double" w:sz="4" w:space="4" w:color="auto"/>
          <w:bottom w:val="double" w:sz="4" w:space="1" w:color="auto"/>
          <w:right w:val="double" w:sz="4" w:space="4" w:color="auto"/>
        </w:pBdr>
        <w:shd w:val="clear" w:color="auto" w:fill="FFC000"/>
        <w:spacing w:before="240" w:after="120" w:line="240" w:lineRule="auto"/>
        <w:rPr>
          <w:rFonts w:ascii="Arial" w:eastAsiaTheme="minorHAnsi" w:hAnsi="Arial"/>
          <w:sz w:val="20"/>
        </w:rPr>
      </w:pPr>
      <w:r w:rsidRPr="00FB3678">
        <w:rPr>
          <w:rFonts w:ascii="Arial" w:eastAsiaTheme="minorHAnsi" w:hAnsi="Arial"/>
          <w:b/>
          <w:sz w:val="20"/>
        </w:rPr>
        <w:t>VBMS Evidence Document Categories and Types</w:t>
      </w:r>
      <w:r w:rsidRPr="00FB3678">
        <w:rPr>
          <w:rFonts w:ascii="Arial" w:eastAsiaTheme="minorHAnsi" w:hAnsi="Arial"/>
          <w:sz w:val="20"/>
        </w:rPr>
        <w:t xml:space="preserve"> is</w:t>
      </w:r>
      <w:r w:rsidRPr="00FB3678">
        <w:rPr>
          <w:rFonts w:ascii="Arial" w:hAnsi="Arial"/>
          <w:sz w:val="20"/>
        </w:rPr>
        <w:t xml:space="preserve"> saved at </w:t>
      </w:r>
      <w:r w:rsidRPr="00FB3678">
        <w:rPr>
          <w:rFonts w:ascii="Arial" w:hAnsi="Arial"/>
          <w:b/>
          <w:bCs/>
          <w:i/>
          <w:iCs/>
          <w:sz w:val="20"/>
        </w:rPr>
        <w:t>H:\VSC\Rating Reference</w:t>
      </w:r>
    </w:p>
    <w:p w:rsidR="0075123F" w:rsidRPr="0075123F" w:rsidRDefault="00D571C5" w:rsidP="00F063AF">
      <w:pPr>
        <w:widowControl w:val="0"/>
        <w:numPr>
          <w:ilvl w:val="0"/>
          <w:numId w:val="242"/>
        </w:numPr>
        <w:spacing w:after="120"/>
        <w:rPr>
          <w:i/>
          <w:iCs/>
        </w:rPr>
      </w:pPr>
      <w:hyperlink r:id="rId40" w:history="1">
        <w:r w:rsidR="00013EB8" w:rsidRPr="0075123F">
          <w:rPr>
            <w:rStyle w:val="Hyperlink"/>
            <w:b/>
            <w:bCs/>
            <w:i/>
            <w:iCs/>
          </w:rPr>
          <w:t>STAR Narrative Reports</w:t>
        </w:r>
      </w:hyperlink>
      <w:r w:rsidR="00013EB8" w:rsidRPr="0075123F">
        <w:rPr>
          <w:i/>
          <w:iCs/>
        </w:rPr>
        <w:t xml:space="preserve"> (password is “narrative”)</w:t>
      </w:r>
      <w:r w:rsidR="0075123F" w:rsidRPr="0075123F">
        <w:rPr>
          <w:i/>
          <w:iCs/>
        </w:rPr>
        <w:t xml:space="preserve"> [or </w:t>
      </w:r>
      <w:hyperlink r:id="rId41" w:history="1">
        <w:r w:rsidR="0075123F" w:rsidRPr="0075123F">
          <w:rPr>
            <w:rStyle w:val="Hyperlink"/>
            <w:i/>
            <w:iCs/>
          </w:rPr>
          <w:t>http://vbaw.vba.va.gov/bl/21/star/reports/star_rpts17.htm</w:t>
        </w:r>
      </w:hyperlink>
      <w:r w:rsidR="0075123F" w:rsidRPr="0075123F">
        <w:rPr>
          <w:i/>
          <w:iCs/>
        </w:rPr>
        <w:t xml:space="preserve"> </w:t>
      </w:r>
      <w:r w:rsidR="00341813">
        <w:rPr>
          <w:i/>
          <w:iCs/>
        </w:rPr>
        <w:t xml:space="preserve">&amp; </w:t>
      </w:r>
      <w:r w:rsidR="0075123F" w:rsidRPr="0075123F">
        <w:rPr>
          <w:i/>
          <w:iCs/>
        </w:rPr>
        <w:t xml:space="preserve">choose </w:t>
      </w:r>
      <w:r w:rsidR="0075123F" w:rsidRPr="0075123F">
        <w:rPr>
          <w:rFonts w:ascii="Verdana" w:hAnsi="Verdana"/>
          <w:b/>
          <w:bCs/>
          <w:color w:val="000000"/>
          <w:sz w:val="18"/>
          <w:szCs w:val="18"/>
        </w:rPr>
        <w:t>Narrative Summary of Errors</w:t>
      </w:r>
      <w:r w:rsidR="00341813">
        <w:rPr>
          <w:i/>
          <w:iCs/>
        </w:rPr>
        <w:t>]</w:t>
      </w:r>
    </w:p>
    <w:p w:rsidR="002F32F9" w:rsidRPr="002F32F9" w:rsidRDefault="00241376" w:rsidP="00F063AF">
      <w:pPr>
        <w:pStyle w:val="ListParagraph"/>
        <w:numPr>
          <w:ilvl w:val="0"/>
          <w:numId w:val="242"/>
        </w:numPr>
        <w:spacing w:after="120" w:line="240" w:lineRule="auto"/>
        <w:rPr>
          <w:rStyle w:val="Hyperlink"/>
          <w:rFonts w:ascii="Arial" w:hAnsi="Arial"/>
          <w:b/>
          <w:i/>
          <w:color w:val="auto"/>
          <w:sz w:val="20"/>
          <w:szCs w:val="20"/>
          <w:u w:val="none"/>
        </w:rPr>
      </w:pPr>
      <w:r w:rsidRPr="00241376">
        <w:rPr>
          <w:rStyle w:val="Hyperlink"/>
          <w:rFonts w:ascii="Arial" w:hAnsi="Arial"/>
          <w:b/>
          <w:i/>
          <w:color w:val="auto"/>
          <w:sz w:val="20"/>
          <w:szCs w:val="20"/>
          <w:u w:val="none"/>
        </w:rPr>
        <w:t>NWQ info</w:t>
      </w:r>
      <w:r w:rsidRPr="00241376">
        <w:rPr>
          <w:rStyle w:val="Hyperlink"/>
          <w:rFonts w:ascii="Arial" w:hAnsi="Arial"/>
          <w:color w:val="auto"/>
          <w:sz w:val="20"/>
          <w:szCs w:val="20"/>
          <w:u w:val="none"/>
        </w:rPr>
        <w:t xml:space="preserve"> </w:t>
      </w:r>
      <w:r>
        <w:rPr>
          <w:rStyle w:val="Hyperlink"/>
          <w:rFonts w:ascii="Arial" w:hAnsi="Arial"/>
          <w:sz w:val="20"/>
          <w:szCs w:val="20"/>
          <w:u w:val="none"/>
        </w:rPr>
        <w:t xml:space="preserve">- </w:t>
      </w:r>
    </w:p>
    <w:p w:rsidR="002F32F9" w:rsidRDefault="00D571C5" w:rsidP="00F063AF">
      <w:pPr>
        <w:pStyle w:val="ListParagraph"/>
        <w:numPr>
          <w:ilvl w:val="1"/>
          <w:numId w:val="242"/>
        </w:numPr>
        <w:spacing w:after="120" w:line="240" w:lineRule="auto"/>
        <w:rPr>
          <w:rFonts w:ascii="Arial" w:hAnsi="Arial"/>
          <w:i/>
          <w:color w:val="0D0D0D"/>
          <w:sz w:val="20"/>
          <w:szCs w:val="20"/>
        </w:rPr>
      </w:pPr>
      <w:hyperlink r:id="rId42" w:history="1">
        <w:r w:rsidR="002F32F9" w:rsidRPr="007C74C3">
          <w:rPr>
            <w:rStyle w:val="Hyperlink"/>
            <w:rFonts w:ascii="Arial" w:hAnsi="Arial"/>
            <w:b/>
            <w:i/>
            <w:sz w:val="20"/>
            <w:szCs w:val="20"/>
          </w:rPr>
          <w:t>National Work Queue (NWQ)</w:t>
        </w:r>
      </w:hyperlink>
      <w:r w:rsidR="002F32F9" w:rsidRPr="007C74C3">
        <w:rPr>
          <w:b/>
          <w:i/>
          <w:color w:val="0D0D0D"/>
          <w:sz w:val="20"/>
          <w:szCs w:val="20"/>
        </w:rPr>
        <w:t xml:space="preserve"> -</w:t>
      </w:r>
      <w:r w:rsidR="002F32F9" w:rsidRPr="002F32F9">
        <w:rPr>
          <w:i/>
          <w:color w:val="0D0D0D"/>
          <w:sz w:val="20"/>
          <w:szCs w:val="20"/>
        </w:rPr>
        <w:t xml:space="preserve"> </w:t>
      </w:r>
      <w:r w:rsidR="002F32F9" w:rsidRPr="002F32F9">
        <w:rPr>
          <w:rFonts w:ascii="Arial" w:hAnsi="Arial"/>
          <w:i/>
          <w:color w:val="0D0D0D"/>
          <w:sz w:val="20"/>
          <w:szCs w:val="20"/>
        </w:rPr>
        <w:t>H:\VSC\Training\NTC Class Material\National Work Queue (NWQ)</w:t>
      </w:r>
      <w:r w:rsidR="000E6F73">
        <w:rPr>
          <w:rFonts w:ascii="Arial" w:hAnsi="Arial"/>
          <w:i/>
          <w:color w:val="0D0D0D"/>
          <w:sz w:val="20"/>
          <w:szCs w:val="20"/>
        </w:rPr>
        <w:t xml:space="preserve">, </w:t>
      </w:r>
      <w:r w:rsidR="000E6F73" w:rsidRPr="004B7B67">
        <w:rPr>
          <w:rFonts w:ascii="Arial" w:hAnsi="Arial"/>
          <w:b/>
          <w:color w:val="0D0D0D"/>
          <w:sz w:val="20"/>
          <w:szCs w:val="20"/>
          <w:u w:val="single"/>
        </w:rPr>
        <w:t>April 2016 Training</w:t>
      </w:r>
      <w:r w:rsidR="000E6F73" w:rsidRPr="000E6F73">
        <w:rPr>
          <w:rFonts w:ascii="Arial" w:hAnsi="Arial"/>
          <w:color w:val="0D0D0D"/>
          <w:sz w:val="20"/>
          <w:szCs w:val="20"/>
        </w:rPr>
        <w:t>:</w:t>
      </w:r>
    </w:p>
    <w:p w:rsidR="0021329E" w:rsidRDefault="000E6F73" w:rsidP="00F063AF">
      <w:pPr>
        <w:pStyle w:val="ListParagraph"/>
        <w:numPr>
          <w:ilvl w:val="2"/>
          <w:numId w:val="242"/>
        </w:numPr>
        <w:spacing w:after="120" w:line="240" w:lineRule="auto"/>
        <w:ind w:left="1710"/>
        <w:rPr>
          <w:rFonts w:ascii="Arial" w:hAnsi="Arial"/>
          <w:color w:val="0D0D0D"/>
          <w:sz w:val="20"/>
          <w:szCs w:val="20"/>
        </w:rPr>
      </w:pPr>
      <w:r>
        <w:rPr>
          <w:rFonts w:ascii="Arial" w:hAnsi="Arial"/>
          <w:color w:val="0D0D0D"/>
          <w:sz w:val="20"/>
          <w:szCs w:val="20"/>
        </w:rPr>
        <w:t xml:space="preserve">Corporate </w:t>
      </w:r>
      <w:r w:rsidR="0021329E">
        <w:rPr>
          <w:rFonts w:ascii="Arial" w:hAnsi="Arial"/>
          <w:color w:val="0D0D0D"/>
          <w:sz w:val="20"/>
          <w:szCs w:val="20"/>
        </w:rPr>
        <w:t xml:space="preserve">Flashes  - </w:t>
      </w:r>
      <w:r>
        <w:rPr>
          <w:rFonts w:ascii="Arial" w:hAnsi="Arial"/>
          <w:color w:val="0D0D0D"/>
          <w:sz w:val="20"/>
          <w:szCs w:val="20"/>
        </w:rPr>
        <w:t xml:space="preserve">Homeless, Foreign, Restricted Access/RACC at St. Paul, Pre-Discharge at Winston-Salem, </w:t>
      </w:r>
      <w:r w:rsidR="0021329E">
        <w:rPr>
          <w:rFonts w:ascii="Arial" w:hAnsi="Arial"/>
          <w:color w:val="0D0D0D"/>
          <w:sz w:val="20"/>
          <w:szCs w:val="20"/>
        </w:rPr>
        <w:t xml:space="preserve">SD &amp; ?, Congo </w:t>
      </w:r>
      <w:r w:rsidR="0021329E" w:rsidRPr="0021329E">
        <w:rPr>
          <w:rFonts w:ascii="Arial" w:hAnsi="Arial"/>
          <w:i/>
          <w:color w:val="0D0D0D"/>
          <w:sz w:val="20"/>
          <w:szCs w:val="20"/>
        </w:rPr>
        <w:t>[not kept at RO]</w:t>
      </w:r>
    </w:p>
    <w:p w:rsidR="0021329E" w:rsidRPr="005B586F" w:rsidRDefault="000E6F73" w:rsidP="00F063AF">
      <w:pPr>
        <w:pStyle w:val="ListParagraph"/>
        <w:numPr>
          <w:ilvl w:val="2"/>
          <w:numId w:val="242"/>
        </w:numPr>
        <w:spacing w:after="120" w:line="240" w:lineRule="auto"/>
        <w:ind w:left="1710"/>
        <w:rPr>
          <w:rFonts w:ascii="Arial" w:hAnsi="Arial"/>
          <w:color w:val="0D0D0D"/>
          <w:sz w:val="20"/>
          <w:szCs w:val="20"/>
        </w:rPr>
      </w:pPr>
      <w:r>
        <w:rPr>
          <w:rFonts w:ascii="Arial" w:hAnsi="Arial"/>
          <w:color w:val="0D0D0D"/>
          <w:sz w:val="20"/>
          <w:szCs w:val="20"/>
        </w:rPr>
        <w:t>Special Issue</w:t>
      </w:r>
      <w:r w:rsidR="0021329E">
        <w:rPr>
          <w:rFonts w:ascii="Arial" w:hAnsi="Arial"/>
          <w:color w:val="0D0D0D"/>
          <w:sz w:val="20"/>
          <w:szCs w:val="20"/>
        </w:rPr>
        <w:t xml:space="preserve">s - </w:t>
      </w:r>
      <w:r w:rsidRPr="0021329E">
        <w:rPr>
          <w:rFonts w:ascii="Arial" w:hAnsi="Arial"/>
          <w:color w:val="0D0D0D"/>
          <w:sz w:val="20"/>
          <w:szCs w:val="20"/>
        </w:rPr>
        <w:t>MST</w:t>
      </w:r>
      <w:r w:rsidRPr="0021329E">
        <w:rPr>
          <w:rFonts w:ascii="Arial" w:hAnsi="Arial"/>
          <w:i/>
          <w:color w:val="0D0D0D"/>
          <w:sz w:val="20"/>
          <w:szCs w:val="20"/>
        </w:rPr>
        <w:t xml:space="preserve"> [put on PTSD contention]</w:t>
      </w:r>
      <w:r w:rsidRPr="0021329E">
        <w:rPr>
          <w:rFonts w:ascii="Arial" w:hAnsi="Arial"/>
          <w:color w:val="0D0D0D"/>
          <w:sz w:val="20"/>
          <w:szCs w:val="20"/>
        </w:rPr>
        <w:t xml:space="preserve">, </w:t>
      </w:r>
      <w:r>
        <w:rPr>
          <w:rFonts w:ascii="Arial" w:hAnsi="Arial"/>
          <w:color w:val="0D0D0D"/>
          <w:sz w:val="20"/>
          <w:szCs w:val="20"/>
        </w:rPr>
        <w:t xml:space="preserve">JSRRC Request, Specialized Records Request, RVSR Examination </w:t>
      </w:r>
      <w:r w:rsidRPr="0021329E">
        <w:rPr>
          <w:rFonts w:ascii="Arial" w:hAnsi="Arial"/>
          <w:i/>
          <w:color w:val="0D0D0D"/>
          <w:sz w:val="20"/>
          <w:szCs w:val="20"/>
        </w:rPr>
        <w:t>[w</w:t>
      </w:r>
      <w:r w:rsidR="0021329E">
        <w:rPr>
          <w:rFonts w:ascii="Arial" w:hAnsi="Arial"/>
          <w:i/>
          <w:color w:val="0D0D0D"/>
          <w:sz w:val="20"/>
          <w:szCs w:val="20"/>
        </w:rPr>
        <w:t>hen VSR asks us to write-up</w:t>
      </w:r>
      <w:r w:rsidRPr="0021329E">
        <w:rPr>
          <w:rFonts w:ascii="Arial" w:hAnsi="Arial"/>
          <w:i/>
          <w:color w:val="0D0D0D"/>
          <w:sz w:val="20"/>
          <w:szCs w:val="20"/>
        </w:rPr>
        <w:t xml:space="preserve"> &amp; input request</w:t>
      </w:r>
      <w:r w:rsidR="00D77DE9" w:rsidRPr="0021329E">
        <w:rPr>
          <w:rFonts w:ascii="Arial" w:hAnsi="Arial"/>
          <w:i/>
          <w:color w:val="0D0D0D"/>
          <w:sz w:val="20"/>
          <w:szCs w:val="20"/>
        </w:rPr>
        <w:t xml:space="preserve"> for complex medical opinions – 1151, AGG (incl NSC AGG), diagnostic variation, conflicting medical opinions, question of credibility</w:t>
      </w:r>
      <w:r w:rsidRPr="0021329E">
        <w:rPr>
          <w:rFonts w:ascii="Arial" w:hAnsi="Arial"/>
          <w:i/>
          <w:color w:val="0D0D0D"/>
          <w:sz w:val="20"/>
          <w:szCs w:val="20"/>
        </w:rPr>
        <w:t>]</w:t>
      </w:r>
      <w:r>
        <w:rPr>
          <w:rFonts w:ascii="Arial" w:hAnsi="Arial"/>
          <w:color w:val="0D0D0D"/>
          <w:sz w:val="20"/>
          <w:szCs w:val="20"/>
        </w:rPr>
        <w:t xml:space="preserve">, Local Mentor Review for trainees </w:t>
      </w:r>
      <w:r w:rsidRPr="0021329E">
        <w:rPr>
          <w:rFonts w:ascii="Arial" w:hAnsi="Arial"/>
          <w:i/>
          <w:color w:val="0D0D0D"/>
          <w:sz w:val="20"/>
          <w:szCs w:val="20"/>
        </w:rPr>
        <w:t>[5 days to review, 2 days to correct]</w:t>
      </w:r>
      <w:r>
        <w:rPr>
          <w:rFonts w:ascii="Arial" w:hAnsi="Arial"/>
          <w:color w:val="0D0D0D"/>
          <w:sz w:val="20"/>
          <w:szCs w:val="20"/>
        </w:rPr>
        <w:t>, Rating Decision Review Levels 1 &amp; 2 for 2</w:t>
      </w:r>
      <w:r w:rsidRPr="000E6F73">
        <w:rPr>
          <w:rFonts w:ascii="Arial" w:hAnsi="Arial"/>
          <w:color w:val="0D0D0D"/>
          <w:sz w:val="20"/>
          <w:szCs w:val="20"/>
          <w:vertAlign w:val="superscript"/>
        </w:rPr>
        <w:t>nd</w:t>
      </w:r>
      <w:r>
        <w:rPr>
          <w:rFonts w:ascii="Arial" w:hAnsi="Arial"/>
          <w:color w:val="0D0D0D"/>
          <w:sz w:val="20"/>
          <w:szCs w:val="20"/>
        </w:rPr>
        <w:t xml:space="preserve"> &amp; 3</w:t>
      </w:r>
      <w:r w:rsidRPr="000E6F73">
        <w:rPr>
          <w:rFonts w:ascii="Arial" w:hAnsi="Arial"/>
          <w:color w:val="0D0D0D"/>
          <w:sz w:val="20"/>
          <w:szCs w:val="20"/>
          <w:vertAlign w:val="superscript"/>
        </w:rPr>
        <w:t>rd</w:t>
      </w:r>
      <w:r>
        <w:rPr>
          <w:rFonts w:ascii="Arial" w:hAnsi="Arial"/>
          <w:color w:val="0D0D0D"/>
          <w:sz w:val="20"/>
          <w:szCs w:val="20"/>
        </w:rPr>
        <w:t xml:space="preserve"> signatures </w:t>
      </w:r>
      <w:r w:rsidRPr="0021329E">
        <w:rPr>
          <w:rFonts w:ascii="Arial" w:hAnsi="Arial"/>
          <w:i/>
          <w:color w:val="0D0D0D"/>
          <w:sz w:val="20"/>
          <w:szCs w:val="20"/>
        </w:rPr>
        <w:t>[2 days to review, 2 days to correct</w:t>
      </w:r>
      <w:r w:rsidR="0021329E" w:rsidRPr="0021329E">
        <w:rPr>
          <w:rFonts w:ascii="Arial" w:hAnsi="Arial"/>
          <w:i/>
          <w:color w:val="0D0D0D"/>
          <w:sz w:val="20"/>
          <w:szCs w:val="20"/>
        </w:rPr>
        <w:t>]</w:t>
      </w:r>
      <w:r w:rsidR="004B7B67">
        <w:rPr>
          <w:rFonts w:ascii="Arial" w:hAnsi="Arial"/>
          <w:color w:val="0D0D0D"/>
          <w:sz w:val="20"/>
          <w:szCs w:val="20"/>
        </w:rPr>
        <w:t xml:space="preserve">, Local Quality Review for IPRs &amp; IQRs, Local Quality Review Correction </w:t>
      </w:r>
      <w:r w:rsidR="004B7B67" w:rsidRPr="0021329E">
        <w:rPr>
          <w:rFonts w:ascii="Arial" w:hAnsi="Arial"/>
          <w:i/>
          <w:color w:val="0D0D0D"/>
          <w:sz w:val="20"/>
          <w:szCs w:val="20"/>
        </w:rPr>
        <w:t>[have 5 days to correct or rebut, then 5 days more if upheld; if have 930, use Claim Label instead of Special Issue</w:t>
      </w:r>
      <w:r w:rsidR="006B6E0B">
        <w:rPr>
          <w:rFonts w:ascii="Arial" w:hAnsi="Arial"/>
          <w:i/>
          <w:color w:val="0D0D0D"/>
          <w:sz w:val="20"/>
          <w:szCs w:val="20"/>
        </w:rPr>
        <w:t>, if need to CLOSE 930, use “Clear tracking EP</w:t>
      </w:r>
      <w:r w:rsidR="001946CC">
        <w:rPr>
          <w:rFonts w:ascii="Arial" w:hAnsi="Arial"/>
          <w:i/>
          <w:color w:val="0D0D0D"/>
          <w:sz w:val="20"/>
          <w:szCs w:val="20"/>
        </w:rPr>
        <w:t>,”</w:t>
      </w:r>
      <w:r w:rsidR="006B6E0B">
        <w:rPr>
          <w:rFonts w:ascii="Arial" w:hAnsi="Arial"/>
          <w:i/>
          <w:color w:val="0D0D0D"/>
          <w:sz w:val="20"/>
          <w:szCs w:val="20"/>
        </w:rPr>
        <w:t xml:space="preserve"> I think</w:t>
      </w:r>
      <w:r w:rsidR="009E4918">
        <w:rPr>
          <w:rFonts w:ascii="Arial" w:hAnsi="Arial"/>
          <w:i/>
          <w:color w:val="0D0D0D"/>
          <w:sz w:val="20"/>
          <w:szCs w:val="20"/>
        </w:rPr>
        <w:t xml:space="preserve">]; </w:t>
      </w:r>
      <w:r w:rsidR="009E4918">
        <w:rPr>
          <w:rFonts w:ascii="Arial" w:hAnsi="Arial"/>
          <w:b/>
          <w:color w:val="0D0D0D"/>
          <w:sz w:val="20"/>
          <w:szCs w:val="20"/>
        </w:rPr>
        <w:t>III.ii.4.G.2.m</w:t>
      </w:r>
      <w:r w:rsidR="009E4918">
        <w:rPr>
          <w:rFonts w:ascii="Arial" w:hAnsi="Arial"/>
          <w:color w:val="0D0D0D"/>
          <w:sz w:val="20"/>
          <w:szCs w:val="20"/>
        </w:rPr>
        <w:t xml:space="preserve"> – RVSR must enter details of quality review error correction</w:t>
      </w:r>
      <w:r w:rsidR="008E1710">
        <w:rPr>
          <w:rFonts w:ascii="Arial" w:hAnsi="Arial"/>
          <w:color w:val="0D0D0D"/>
          <w:sz w:val="20"/>
          <w:szCs w:val="20"/>
        </w:rPr>
        <w:t xml:space="preserve"> (incl specific corrective action taken, date &amp; station # [EP 930</w:t>
      </w:r>
      <w:r w:rsidR="008E1710" w:rsidRPr="005B586F">
        <w:rPr>
          <w:rFonts w:ascii="Arial" w:hAnsi="Arial"/>
          <w:color w:val="0D0D0D"/>
          <w:sz w:val="20"/>
          <w:szCs w:val="20"/>
        </w:rPr>
        <w:t>]</w:t>
      </w:r>
      <w:r w:rsidR="00BC4BC9">
        <w:rPr>
          <w:rFonts w:ascii="Arial" w:hAnsi="Arial"/>
          <w:color w:val="0D0D0D"/>
          <w:sz w:val="20"/>
          <w:szCs w:val="20"/>
        </w:rPr>
        <w:t>)</w:t>
      </w:r>
      <w:r w:rsidR="005B586F" w:rsidRPr="005B586F">
        <w:rPr>
          <w:rFonts w:ascii="Arial" w:hAnsi="Arial"/>
          <w:color w:val="0D0D0D"/>
          <w:sz w:val="20"/>
          <w:szCs w:val="20"/>
        </w:rPr>
        <w:t xml:space="preserve">, </w:t>
      </w:r>
      <w:hyperlink r:id="rId43" w:history="1">
        <w:r w:rsidR="005B586F" w:rsidRPr="005B586F">
          <w:rPr>
            <w:rStyle w:val="Hyperlink"/>
            <w:rFonts w:ascii="Arial" w:hAnsi="Arial"/>
            <w:b/>
            <w:bCs/>
            <w:i/>
            <w:sz w:val="20"/>
            <w:szCs w:val="20"/>
          </w:rPr>
          <w:t>December 2017 Quality Call Notes</w:t>
        </w:r>
      </w:hyperlink>
      <w:r w:rsidR="005B586F" w:rsidRPr="005B586F">
        <w:rPr>
          <w:rStyle w:val="Hyperlink"/>
          <w:rFonts w:ascii="Arial" w:hAnsi="Arial"/>
          <w:b/>
          <w:color w:val="auto"/>
          <w:sz w:val="20"/>
          <w:szCs w:val="20"/>
          <w:u w:val="none"/>
        </w:rPr>
        <w:t xml:space="preserve"> </w:t>
      </w:r>
      <w:r w:rsidR="005B586F" w:rsidRPr="005B586F">
        <w:rPr>
          <w:rStyle w:val="Hyperlink"/>
          <w:rFonts w:ascii="Arial" w:hAnsi="Arial"/>
          <w:color w:val="auto"/>
          <w:sz w:val="20"/>
          <w:szCs w:val="20"/>
          <w:u w:val="none"/>
        </w:rPr>
        <w:t>– more on 930s</w:t>
      </w:r>
    </w:p>
    <w:p w:rsidR="0021329E" w:rsidRPr="0021329E" w:rsidRDefault="0021329E" w:rsidP="00F063AF">
      <w:pPr>
        <w:pStyle w:val="ListParagraph"/>
        <w:numPr>
          <w:ilvl w:val="2"/>
          <w:numId w:val="242"/>
        </w:numPr>
        <w:spacing w:after="120" w:line="240" w:lineRule="auto"/>
        <w:ind w:left="1710"/>
        <w:rPr>
          <w:rFonts w:ascii="Arial" w:hAnsi="Arial"/>
          <w:color w:val="0D0D0D"/>
          <w:sz w:val="20"/>
          <w:szCs w:val="20"/>
        </w:rPr>
      </w:pPr>
      <w:r>
        <w:rPr>
          <w:rFonts w:ascii="Arial" w:hAnsi="Arial"/>
          <w:color w:val="0D0D0D"/>
          <w:sz w:val="20"/>
          <w:szCs w:val="20"/>
        </w:rPr>
        <w:t xml:space="preserve">Corporate Flashes </w:t>
      </w:r>
      <w:r w:rsidRPr="000E6F73">
        <w:rPr>
          <w:rFonts w:ascii="Arial" w:hAnsi="Arial"/>
          <w:color w:val="0D0D0D"/>
          <w:sz w:val="20"/>
          <w:szCs w:val="20"/>
        </w:rPr>
        <w:t>are most important to keep file at correct station</w:t>
      </w:r>
      <w:r>
        <w:rPr>
          <w:rFonts w:ascii="Arial" w:hAnsi="Arial"/>
          <w:color w:val="0D0D0D"/>
          <w:sz w:val="20"/>
          <w:szCs w:val="20"/>
        </w:rPr>
        <w:t xml:space="preserve"> (M21-4, Appendix C); </w:t>
      </w:r>
      <w:r w:rsidR="004B7B67" w:rsidRPr="0021329E">
        <w:rPr>
          <w:rFonts w:ascii="Arial" w:hAnsi="Arial"/>
          <w:color w:val="0D0D0D"/>
          <w:sz w:val="20"/>
          <w:szCs w:val="20"/>
        </w:rPr>
        <w:t>for all</w:t>
      </w:r>
      <w:r w:rsidRPr="0021329E">
        <w:rPr>
          <w:rFonts w:ascii="Arial" w:hAnsi="Arial"/>
          <w:color w:val="0D0D0D"/>
          <w:sz w:val="20"/>
          <w:szCs w:val="20"/>
        </w:rPr>
        <w:t xml:space="preserve"> Special Issues except</w:t>
      </w:r>
      <w:r>
        <w:rPr>
          <w:rFonts w:ascii="Arial" w:hAnsi="Arial"/>
          <w:color w:val="0D0D0D"/>
          <w:sz w:val="20"/>
          <w:szCs w:val="20"/>
        </w:rPr>
        <w:t xml:space="preserve"> MST, if </w:t>
      </w:r>
      <w:r w:rsidR="004B7B67" w:rsidRPr="0021329E">
        <w:rPr>
          <w:rFonts w:ascii="Arial" w:hAnsi="Arial"/>
          <w:color w:val="0D0D0D"/>
          <w:sz w:val="20"/>
          <w:szCs w:val="20"/>
        </w:rPr>
        <w:t>status</w:t>
      </w:r>
      <w:r>
        <w:rPr>
          <w:rFonts w:ascii="Arial" w:hAnsi="Arial"/>
          <w:color w:val="0D0D0D"/>
          <w:sz w:val="20"/>
          <w:szCs w:val="20"/>
        </w:rPr>
        <w:t xml:space="preserve"> changes</w:t>
      </w:r>
      <w:r w:rsidR="004B7B67" w:rsidRPr="0021329E">
        <w:rPr>
          <w:rFonts w:ascii="Arial" w:hAnsi="Arial"/>
          <w:color w:val="0D0D0D"/>
          <w:sz w:val="20"/>
          <w:szCs w:val="20"/>
        </w:rPr>
        <w:t>, NWQ will still pull</w:t>
      </w:r>
    </w:p>
    <w:p w:rsidR="000E6F73" w:rsidRDefault="000E6F73" w:rsidP="00F063AF">
      <w:pPr>
        <w:pStyle w:val="ListParagraph"/>
        <w:numPr>
          <w:ilvl w:val="2"/>
          <w:numId w:val="242"/>
        </w:numPr>
        <w:spacing w:after="120" w:line="240" w:lineRule="auto"/>
        <w:ind w:left="1710"/>
        <w:rPr>
          <w:rFonts w:ascii="Arial" w:hAnsi="Arial"/>
          <w:color w:val="0D0D0D"/>
          <w:sz w:val="20"/>
          <w:szCs w:val="20"/>
        </w:rPr>
      </w:pPr>
      <w:r w:rsidRPr="000E6F73">
        <w:rPr>
          <w:rFonts w:ascii="Arial" w:hAnsi="Arial"/>
          <w:color w:val="0D0D0D"/>
          <w:sz w:val="20"/>
          <w:szCs w:val="20"/>
        </w:rPr>
        <w:t xml:space="preserve">RFDs – check VBMS Notes - if (1) NWQ Batch, will stay with you; (2) locally assigned by Coach, will be pulled by NWQ if VSR made RFD that same day; </w:t>
      </w:r>
      <w:r>
        <w:rPr>
          <w:rFonts w:ascii="Arial" w:hAnsi="Arial"/>
          <w:color w:val="0D0D0D"/>
          <w:sz w:val="20"/>
          <w:szCs w:val="20"/>
        </w:rPr>
        <w:t>n</w:t>
      </w:r>
      <w:r w:rsidRPr="000E6F73">
        <w:rPr>
          <w:rFonts w:ascii="Arial" w:hAnsi="Arial"/>
          <w:color w:val="0D0D0D"/>
          <w:sz w:val="20"/>
          <w:szCs w:val="20"/>
        </w:rPr>
        <w:t xml:space="preserve">eed to take action within 5 business days (or keep Coach apprised of issues), Coach can turn off your queue, don’t pull into </w:t>
      </w:r>
      <w:r>
        <w:rPr>
          <w:rFonts w:ascii="Arial" w:hAnsi="Arial"/>
          <w:color w:val="0D0D0D"/>
          <w:sz w:val="20"/>
          <w:szCs w:val="20"/>
        </w:rPr>
        <w:t>VBMS-R until ready to work &amp; only pull if in your queue</w:t>
      </w:r>
    </w:p>
    <w:p w:rsidR="004B7B67" w:rsidRDefault="004B7B67" w:rsidP="00F063AF">
      <w:pPr>
        <w:pStyle w:val="ListParagraph"/>
        <w:numPr>
          <w:ilvl w:val="2"/>
          <w:numId w:val="242"/>
        </w:numPr>
        <w:spacing w:after="120" w:line="240" w:lineRule="auto"/>
        <w:ind w:left="1710"/>
        <w:rPr>
          <w:rFonts w:ascii="Arial" w:hAnsi="Arial"/>
          <w:color w:val="0D0D0D"/>
          <w:sz w:val="20"/>
          <w:szCs w:val="20"/>
        </w:rPr>
      </w:pPr>
      <w:r>
        <w:rPr>
          <w:rFonts w:ascii="Arial" w:hAnsi="Arial"/>
          <w:color w:val="0D0D0D"/>
          <w:sz w:val="20"/>
          <w:szCs w:val="20"/>
        </w:rPr>
        <w:t>VSRs must upload emails, DPRIS responses, CAATS cancellations/emails</w:t>
      </w:r>
      <w:r w:rsidR="007426BD">
        <w:rPr>
          <w:rFonts w:ascii="Arial" w:hAnsi="Arial"/>
          <w:color w:val="0D0D0D"/>
          <w:sz w:val="20"/>
          <w:szCs w:val="20"/>
        </w:rPr>
        <w:t xml:space="preserve"> </w:t>
      </w:r>
      <w:r w:rsidR="007426BD" w:rsidRPr="007426BD">
        <w:rPr>
          <w:rFonts w:ascii="Arial" w:hAnsi="Arial"/>
          <w:color w:val="0D0D0D"/>
          <w:sz w:val="20"/>
          <w:szCs w:val="20"/>
        </w:rPr>
        <w:t xml:space="preserve">(per </w:t>
      </w:r>
      <w:r w:rsidR="007426BD" w:rsidRPr="007426BD">
        <w:rPr>
          <w:rFonts w:ascii="Arial" w:hAnsi="Arial"/>
          <w:b/>
          <w:sz w:val="20"/>
          <w:szCs w:val="20"/>
        </w:rPr>
        <w:t>III.iv.3.C.1.e</w:t>
      </w:r>
      <w:r w:rsidR="007426BD" w:rsidRPr="007426BD">
        <w:rPr>
          <w:rFonts w:ascii="Arial" w:hAnsi="Arial"/>
          <w:sz w:val="20"/>
          <w:szCs w:val="20"/>
        </w:rPr>
        <w:t>)</w:t>
      </w:r>
    </w:p>
    <w:p w:rsidR="002F32F9" w:rsidRPr="00DF136F" w:rsidRDefault="00D571C5" w:rsidP="00F063AF">
      <w:pPr>
        <w:pStyle w:val="ListParagraph"/>
        <w:numPr>
          <w:ilvl w:val="1"/>
          <w:numId w:val="242"/>
        </w:numPr>
        <w:spacing w:after="120" w:line="240" w:lineRule="auto"/>
        <w:rPr>
          <w:rStyle w:val="Hyperlink"/>
          <w:rFonts w:ascii="Arial" w:hAnsi="Arial"/>
          <w:i/>
          <w:color w:val="auto"/>
          <w:sz w:val="20"/>
          <w:szCs w:val="20"/>
          <w:u w:val="none"/>
        </w:rPr>
      </w:pPr>
      <w:hyperlink r:id="rId44" w:history="1">
        <w:r w:rsidR="00E34394" w:rsidRPr="005052C8">
          <w:rPr>
            <w:rStyle w:val="Hyperlink"/>
            <w:rFonts w:ascii="Arial" w:hAnsi="Arial"/>
            <w:b/>
            <w:i/>
            <w:sz w:val="20"/>
            <w:szCs w:val="20"/>
          </w:rPr>
          <w:t>National Work Queue – Phase 1 &amp; 2 Playbook</w:t>
        </w:r>
      </w:hyperlink>
      <w:r w:rsidR="005F3423">
        <w:rPr>
          <w:rStyle w:val="Hyperlink"/>
          <w:rFonts w:ascii="Arial" w:hAnsi="Arial"/>
          <w:sz w:val="20"/>
          <w:szCs w:val="20"/>
          <w:u w:val="none"/>
        </w:rPr>
        <w:t xml:space="preserve"> </w:t>
      </w:r>
      <w:r w:rsidR="005F3423" w:rsidRPr="005F3423">
        <w:rPr>
          <w:rStyle w:val="Hyperlink"/>
          <w:rFonts w:ascii="Arial" w:hAnsi="Arial"/>
          <w:color w:val="auto"/>
          <w:sz w:val="20"/>
          <w:szCs w:val="20"/>
          <w:u w:val="none"/>
        </w:rPr>
        <w:t>(revised</w:t>
      </w:r>
      <w:r w:rsidR="005F3423">
        <w:rPr>
          <w:rStyle w:val="Hyperlink"/>
          <w:rFonts w:ascii="Arial" w:hAnsi="Arial"/>
          <w:color w:val="auto"/>
          <w:sz w:val="20"/>
          <w:szCs w:val="20"/>
          <w:u w:val="none"/>
        </w:rPr>
        <w:t xml:space="preserve"> 3/31/17 &amp;</w:t>
      </w:r>
      <w:r w:rsidR="005F3423" w:rsidRPr="005F3423">
        <w:rPr>
          <w:rStyle w:val="Hyperlink"/>
          <w:rFonts w:ascii="Arial" w:hAnsi="Arial"/>
          <w:color w:val="auto"/>
          <w:sz w:val="20"/>
          <w:szCs w:val="20"/>
          <w:u w:val="none"/>
        </w:rPr>
        <w:t xml:space="preserve"> 5/12/17)</w:t>
      </w:r>
      <w:r w:rsidR="002C6E20">
        <w:rPr>
          <w:rStyle w:val="Hyperlink"/>
          <w:rFonts w:ascii="Arial" w:hAnsi="Arial"/>
          <w:color w:val="auto"/>
          <w:sz w:val="20"/>
          <w:szCs w:val="20"/>
          <w:u w:val="none"/>
        </w:rPr>
        <w:t xml:space="preserve"> – may have to request access</w:t>
      </w:r>
    </w:p>
    <w:p w:rsidR="0001502A" w:rsidRPr="0001502A" w:rsidRDefault="00D571C5" w:rsidP="00F063AF">
      <w:pPr>
        <w:pStyle w:val="ListParagraph"/>
        <w:numPr>
          <w:ilvl w:val="0"/>
          <w:numId w:val="242"/>
        </w:numPr>
        <w:spacing w:after="120"/>
        <w:rPr>
          <w:rStyle w:val="Hyperlink"/>
          <w:rFonts w:ascii="Georgia" w:hAnsi="Georgia"/>
          <w:color w:val="auto"/>
          <w:sz w:val="20"/>
          <w:szCs w:val="24"/>
          <w:u w:val="none"/>
        </w:rPr>
      </w:pPr>
      <w:hyperlink r:id="rId45" w:history="1">
        <w:r w:rsidR="00A57492" w:rsidRPr="00B30439">
          <w:rPr>
            <w:rStyle w:val="Hyperlink"/>
            <w:rFonts w:ascii="Georgia" w:hAnsi="Georgia"/>
            <w:sz w:val="20"/>
            <w:szCs w:val="24"/>
          </w:rPr>
          <w:t>Calculator: Add to or subtract from a date</w:t>
        </w:r>
      </w:hyperlink>
    </w:p>
    <w:p w:rsidR="0001502A" w:rsidRPr="0001502A" w:rsidRDefault="0001502A" w:rsidP="00F063AF">
      <w:pPr>
        <w:pStyle w:val="ListParagraph"/>
        <w:numPr>
          <w:ilvl w:val="0"/>
          <w:numId w:val="242"/>
        </w:numPr>
        <w:spacing w:after="120"/>
        <w:rPr>
          <w:rFonts w:ascii="Arial" w:hAnsi="Arial"/>
          <w:sz w:val="20"/>
        </w:rPr>
      </w:pPr>
      <w:r w:rsidRPr="0001502A">
        <w:rPr>
          <w:rStyle w:val="Hyperlink"/>
          <w:rFonts w:ascii="Arial" w:hAnsi="Arial"/>
          <w:b/>
          <w:color w:val="auto"/>
          <w:sz w:val="20"/>
          <w:u w:val="none"/>
        </w:rPr>
        <w:t>CAPRI</w:t>
      </w:r>
      <w:r w:rsidRPr="0001502A">
        <w:rPr>
          <w:rStyle w:val="Hyperlink"/>
          <w:rFonts w:ascii="Arial" w:hAnsi="Arial"/>
          <w:color w:val="auto"/>
          <w:sz w:val="20"/>
          <w:u w:val="none"/>
        </w:rPr>
        <w:t xml:space="preserve"> –</w:t>
      </w:r>
      <w:r w:rsidR="00B2039D">
        <w:rPr>
          <w:rStyle w:val="Hyperlink"/>
          <w:rFonts w:ascii="Arial" w:hAnsi="Arial"/>
          <w:color w:val="auto"/>
          <w:sz w:val="20"/>
          <w:u w:val="none"/>
        </w:rPr>
        <w:t xml:space="preserve"> </w:t>
      </w:r>
      <w:r w:rsidR="000A3315">
        <w:rPr>
          <w:rStyle w:val="Hyperlink"/>
          <w:rFonts w:ascii="Arial" w:hAnsi="Arial"/>
          <w:color w:val="auto"/>
          <w:sz w:val="20"/>
          <w:u w:val="none"/>
        </w:rPr>
        <w:t>as of 6/11/18, only open from shortcut on Desktop -</w:t>
      </w:r>
      <w:r w:rsidRPr="0001502A">
        <w:rPr>
          <w:rStyle w:val="Hyperlink"/>
          <w:rFonts w:ascii="Arial" w:hAnsi="Arial"/>
          <w:color w:val="auto"/>
          <w:sz w:val="20"/>
          <w:u w:val="none"/>
        </w:rPr>
        <w:t xml:space="preserve"> </w:t>
      </w:r>
      <w:r w:rsidRPr="0001502A">
        <w:rPr>
          <w:rFonts w:ascii="Arial" w:hAnsi="Arial"/>
          <w:sz w:val="20"/>
        </w:rPr>
        <w:t xml:space="preserve">You need to log into </w:t>
      </w:r>
      <w:r w:rsidRPr="0001502A">
        <w:rPr>
          <w:rFonts w:ascii="Arial" w:hAnsi="Arial"/>
          <w:b/>
          <w:bCs/>
          <w:color w:val="E46C0A"/>
          <w:sz w:val="20"/>
        </w:rPr>
        <w:t xml:space="preserve">CAPRI </w:t>
      </w:r>
      <w:r w:rsidRPr="0001502A">
        <w:rPr>
          <w:rFonts w:ascii="Arial" w:hAnsi="Arial"/>
          <w:sz w:val="20"/>
        </w:rPr>
        <w:t>often, as it will lock you out due to inactivity on the 30</w:t>
      </w:r>
      <w:r w:rsidRPr="0001502A">
        <w:rPr>
          <w:rFonts w:ascii="Arial" w:hAnsi="Arial"/>
          <w:sz w:val="20"/>
          <w:vertAlign w:val="superscript"/>
        </w:rPr>
        <w:t>th</w:t>
      </w:r>
      <w:r w:rsidRPr="0001502A">
        <w:rPr>
          <w:rFonts w:ascii="Arial" w:hAnsi="Arial"/>
          <w:sz w:val="20"/>
        </w:rPr>
        <w:t xml:space="preserve"> day. If your CAPRI account gets locked due to inactivity you will need to create a “YourIT” (</w:t>
      </w:r>
      <w:hyperlink r:id="rId46" w:history="1">
        <w:r w:rsidRPr="0001502A">
          <w:rPr>
            <w:rStyle w:val="Hyperlink"/>
            <w:rFonts w:ascii="Arial" w:hAnsi="Arial"/>
            <w:sz w:val="20"/>
          </w:rPr>
          <w:t>YourIT@va.gov</w:t>
        </w:r>
      </w:hyperlink>
      <w:r w:rsidRPr="0001502A">
        <w:rPr>
          <w:rFonts w:ascii="Arial" w:hAnsi="Arial"/>
          <w:sz w:val="20"/>
        </w:rPr>
        <w:t xml:space="preserve">) ticket </w:t>
      </w:r>
      <w:r w:rsidRPr="0001502A">
        <w:rPr>
          <w:rFonts w:ascii="Arial" w:hAnsi="Arial"/>
          <w:sz w:val="20"/>
          <w:u w:val="single"/>
        </w:rPr>
        <w:t>AND</w:t>
      </w:r>
      <w:r w:rsidRPr="0001502A">
        <w:rPr>
          <w:rFonts w:ascii="Arial" w:hAnsi="Arial"/>
          <w:sz w:val="20"/>
        </w:rPr>
        <w:t xml:space="preserve"> attach a copy of your current HIPPA certification from TMS.</w:t>
      </w:r>
    </w:p>
    <w:p w:rsidR="00C4379F" w:rsidRPr="00315E02" w:rsidRDefault="00D571C5" w:rsidP="00F063AF">
      <w:pPr>
        <w:numPr>
          <w:ilvl w:val="0"/>
          <w:numId w:val="296"/>
        </w:numPr>
        <w:overflowPunct/>
        <w:autoSpaceDE/>
        <w:autoSpaceDN/>
        <w:adjustRightInd/>
        <w:spacing w:after="120"/>
        <w:textAlignment w:val="auto"/>
      </w:pPr>
      <w:hyperlink r:id="rId47" w:history="1">
        <w:r w:rsidR="00C4379F">
          <w:rPr>
            <w:rStyle w:val="Hyperlink"/>
            <w:b/>
            <w:i/>
          </w:rPr>
          <w:t>Joint Legacy Viewer (JLV)</w:t>
        </w:r>
      </w:hyperlink>
      <w:r w:rsidR="006556FF">
        <w:rPr>
          <w:rStyle w:val="Hyperlink"/>
          <w:u w:val="none"/>
        </w:rPr>
        <w:t xml:space="preserve"> </w:t>
      </w:r>
      <w:r w:rsidR="006556FF" w:rsidRPr="006556FF">
        <w:rPr>
          <w:rStyle w:val="Hyperlink"/>
          <w:color w:val="auto"/>
          <w:u w:val="none"/>
        </w:rPr>
        <w:t>(CAPRI username &amp; password)</w:t>
      </w:r>
      <w:r w:rsidR="006556FF">
        <w:rPr>
          <w:rStyle w:val="Hyperlink"/>
          <w:color w:val="auto"/>
          <w:u w:val="none"/>
        </w:rPr>
        <w:t xml:space="preserve">, </w:t>
      </w:r>
      <w:r w:rsidR="006556FF">
        <w:t xml:space="preserve">SharePoint-based JLV Training Resources available at: </w:t>
      </w:r>
      <w:hyperlink r:id="rId48" w:history="1">
        <w:r w:rsidR="006556FF">
          <w:rPr>
            <w:rStyle w:val="Hyperlink"/>
            <w:b/>
          </w:rPr>
          <w:t>JLV Resources - All Documents</w:t>
        </w:r>
      </w:hyperlink>
      <w:r w:rsidR="006556FF">
        <w:t xml:space="preserve">, </w:t>
      </w:r>
      <w:hyperlink r:id="rId49" w:history="1">
        <w:r w:rsidR="006556FF">
          <w:rPr>
            <w:rStyle w:val="Hyperlink"/>
            <w:b/>
            <w:lang w:val="en"/>
          </w:rPr>
          <w:t>JLV - Home</w:t>
        </w:r>
      </w:hyperlink>
      <w:r w:rsidR="006556FF" w:rsidRPr="006556FF">
        <w:rPr>
          <w:bCs/>
          <w:lang w:val="en"/>
        </w:rPr>
        <w:t xml:space="preserve">, </w:t>
      </w:r>
      <w:hyperlink r:id="rId50" w:history="1">
        <w:r w:rsidR="006556FF">
          <w:rPr>
            <w:rStyle w:val="Hyperlink"/>
            <w:b/>
            <w:bCs/>
            <w:lang w:val="en"/>
          </w:rPr>
          <w:t>JLV Network | VA Pulse</w:t>
        </w:r>
      </w:hyperlink>
      <w:r w:rsidR="006556FF">
        <w:rPr>
          <w:lang w:val="en"/>
        </w:rPr>
        <w:t> </w:t>
      </w:r>
    </w:p>
    <w:p w:rsidR="00013955" w:rsidRPr="00013955" w:rsidRDefault="005D1A2B" w:rsidP="00F063AF">
      <w:pPr>
        <w:widowControl w:val="0"/>
        <w:numPr>
          <w:ilvl w:val="0"/>
          <w:numId w:val="111"/>
        </w:numPr>
        <w:spacing w:before="120" w:after="120"/>
        <w:rPr>
          <w:rFonts w:cs="Times New Roman"/>
          <w:i/>
          <w:szCs w:val="24"/>
        </w:rPr>
      </w:pPr>
      <w:r>
        <w:rPr>
          <w:b/>
          <w:i/>
          <w:iCs/>
          <w:szCs w:val="24"/>
        </w:rPr>
        <w:t xml:space="preserve">Rating Tool / </w:t>
      </w:r>
      <w:r w:rsidR="00013EB8" w:rsidRPr="004D429B">
        <w:rPr>
          <w:b/>
          <w:i/>
          <w:iCs/>
          <w:szCs w:val="24"/>
        </w:rPr>
        <w:t>Rating Combinator</w:t>
      </w:r>
      <w:r w:rsidR="004D429B" w:rsidRPr="004D429B">
        <w:rPr>
          <w:b/>
          <w:szCs w:val="24"/>
        </w:rPr>
        <w:t xml:space="preserve"> </w:t>
      </w:r>
      <w:r w:rsidR="004D429B" w:rsidRPr="004D429B">
        <w:rPr>
          <w:szCs w:val="24"/>
        </w:rPr>
        <w:t xml:space="preserve">– </w:t>
      </w:r>
    </w:p>
    <w:p w:rsidR="00013955" w:rsidRPr="004D429B" w:rsidRDefault="00D571C5" w:rsidP="00F063AF">
      <w:pPr>
        <w:widowControl w:val="0"/>
        <w:numPr>
          <w:ilvl w:val="1"/>
          <w:numId w:val="111"/>
        </w:numPr>
        <w:spacing w:before="120" w:after="120"/>
        <w:rPr>
          <w:rFonts w:cs="Times New Roman"/>
          <w:i/>
          <w:szCs w:val="24"/>
        </w:rPr>
      </w:pPr>
      <w:hyperlink r:id="rId51" w:history="1">
        <w:r w:rsidR="00013955" w:rsidRPr="00013955">
          <w:rPr>
            <w:rStyle w:val="Hyperlink"/>
            <w:i/>
          </w:rPr>
          <w:t>http://vbaw.vba.va.gov/bl/21/rating/rat00.htm</w:t>
        </w:r>
      </w:hyperlink>
      <w:r w:rsidR="00013955" w:rsidRPr="00013955">
        <w:rPr>
          <w:i/>
        </w:rPr>
        <w:t xml:space="preserve"> </w:t>
      </w:r>
      <w:r w:rsidR="00013955" w:rsidRPr="00013955">
        <w:t xml:space="preserve">(it was gone from this page from 10/16 to 7/17, </w:t>
      </w:r>
      <w:r w:rsidR="00044D40">
        <w:t>t</w:t>
      </w:r>
      <w:r w:rsidR="00013955" w:rsidRPr="00013955">
        <w:t>hen they said “</w:t>
      </w:r>
      <w:r w:rsidR="00013955" w:rsidRPr="00013955">
        <w:rPr>
          <w:rStyle w:val="Strong"/>
          <w:b w:val="0"/>
        </w:rPr>
        <w:t>A corrected combinator calculator is now available”)</w:t>
      </w:r>
      <w:r w:rsidR="00013955">
        <w:rPr>
          <w:rStyle w:val="Strong"/>
          <w:b w:val="0"/>
        </w:rPr>
        <w:t xml:space="preserve"> *</w:t>
      </w:r>
      <w:r w:rsidR="00013955">
        <w:rPr>
          <w:rFonts w:cs="Times New Roman"/>
          <w:i/>
          <w:szCs w:val="24"/>
        </w:rPr>
        <w:t xml:space="preserve">I have the 7/17 “corrected” version saved it at H:VSC/Rating Reference as “combinator.doc”) (the old </w:t>
      </w:r>
      <w:r w:rsidR="007F700E">
        <w:rPr>
          <w:rFonts w:cs="Times New Roman"/>
          <w:i/>
          <w:szCs w:val="24"/>
        </w:rPr>
        <w:t xml:space="preserve">combinator </w:t>
      </w:r>
      <w:r w:rsidR="00013955">
        <w:rPr>
          <w:rFonts w:cs="Times New Roman"/>
          <w:i/>
          <w:szCs w:val="24"/>
        </w:rPr>
        <w:t>is saved at H:\VSC\Core Lanes\Rating One</w:t>
      </w:r>
      <w:r w:rsidR="007F700E">
        <w:rPr>
          <w:rFonts w:cs="Times New Roman"/>
          <w:i/>
          <w:szCs w:val="24"/>
        </w:rPr>
        <w:t>\RatingTool.exe</w:t>
      </w:r>
      <w:r w:rsidR="00013955">
        <w:rPr>
          <w:rFonts w:cs="Times New Roman"/>
          <w:i/>
          <w:szCs w:val="24"/>
        </w:rPr>
        <w:t>)</w:t>
      </w:r>
    </w:p>
    <w:p w:rsidR="002C1E29" w:rsidRPr="006F5A85" w:rsidRDefault="00D571C5" w:rsidP="00F063AF">
      <w:pPr>
        <w:widowControl w:val="0"/>
        <w:numPr>
          <w:ilvl w:val="0"/>
          <w:numId w:val="111"/>
        </w:numPr>
        <w:spacing w:after="120"/>
        <w:rPr>
          <w:rStyle w:val="Hyperlink"/>
          <w:i/>
          <w:iCs/>
          <w:color w:val="auto"/>
          <w:u w:val="none"/>
        </w:rPr>
      </w:pPr>
      <w:hyperlink r:id="rId52" w:history="1">
        <w:r w:rsidR="006F5A85" w:rsidRPr="006F5A85">
          <w:rPr>
            <w:rStyle w:val="Hyperlink"/>
            <w:b/>
            <w:bCs/>
            <w:i/>
            <w:iCs/>
          </w:rPr>
          <w:t>WATRS</w:t>
        </w:r>
      </w:hyperlink>
      <w:r w:rsidR="00F51865" w:rsidRPr="006F5A85">
        <w:rPr>
          <w:rStyle w:val="Hyperlink"/>
          <w:bCs/>
          <w:iCs/>
          <w:u w:val="none"/>
        </w:rPr>
        <w:t xml:space="preserve"> </w:t>
      </w:r>
      <w:r w:rsidR="00F51865" w:rsidRPr="006F5A85">
        <w:rPr>
          <w:rStyle w:val="Hyperlink"/>
          <w:bCs/>
          <w:iCs/>
          <w:color w:val="auto"/>
          <w:u w:val="none"/>
        </w:rPr>
        <w:t>–starts 7/3/17</w:t>
      </w:r>
      <w:r w:rsidR="003A6E20">
        <w:rPr>
          <w:rStyle w:val="Hyperlink"/>
          <w:bCs/>
          <w:iCs/>
          <w:color w:val="auto"/>
          <w:u w:val="none"/>
        </w:rPr>
        <w:t>, “</w:t>
      </w:r>
      <w:r w:rsidR="003A6E20">
        <w:rPr>
          <w:b/>
          <w:bCs/>
          <w:sz w:val="24"/>
          <w:szCs w:val="24"/>
        </w:rPr>
        <w:t>All excluded time and premium pay time must be entered into WATRS beginning</w:t>
      </w:r>
      <w:r w:rsidR="003A6E20">
        <w:rPr>
          <w:sz w:val="24"/>
          <w:szCs w:val="24"/>
        </w:rPr>
        <w:t xml:space="preserve"> </w:t>
      </w:r>
      <w:r w:rsidR="003A6E20">
        <w:rPr>
          <w:b/>
          <w:bCs/>
          <w:sz w:val="24"/>
          <w:szCs w:val="24"/>
          <w:highlight w:val="yellow"/>
          <w:u w:val="single"/>
        </w:rPr>
        <w:t>July 1, 2017</w:t>
      </w:r>
      <w:r w:rsidR="001946CC">
        <w:rPr>
          <w:b/>
          <w:bCs/>
          <w:sz w:val="24"/>
          <w:szCs w:val="24"/>
        </w:rPr>
        <w:t>,”</w:t>
      </w:r>
      <w:r w:rsidR="00961C1D">
        <w:rPr>
          <w:rStyle w:val="Hyperlink"/>
          <w:bCs/>
          <w:iCs/>
          <w:color w:val="auto"/>
          <w:u w:val="none"/>
        </w:rPr>
        <w:t xml:space="preserve"> if this link doesn’t take you directly to WATRS, click on “App Launcher” (the 9 dots on the top left corner) &amp; choose WATRS </w:t>
      </w:r>
      <w:r w:rsidR="003A6E20">
        <w:rPr>
          <w:rStyle w:val="Hyperlink"/>
          <w:bCs/>
          <w:iCs/>
          <w:color w:val="auto"/>
          <w:u w:val="none"/>
        </w:rPr>
        <w:t>– EPR is in WATRs, to download, use Crosstab, then can open in Excel</w:t>
      </w:r>
    </w:p>
    <w:p w:rsidR="002C1E29" w:rsidRDefault="002C1E29" w:rsidP="002C1E29">
      <w:pPr>
        <w:widowControl w:val="0"/>
        <w:spacing w:after="120"/>
        <w:ind w:left="720"/>
        <w:rPr>
          <w:i/>
          <w:iCs/>
        </w:rPr>
      </w:pPr>
      <w:r>
        <w:rPr>
          <w:rFonts w:ascii="Segoe UI" w:hAnsi="Segoe UI" w:cs="Segoe UI"/>
          <w:color w:val="444444"/>
          <w:sz w:val="18"/>
          <w:szCs w:val="18"/>
        </w:rPr>
        <w:t>If you have any login issues with WATRS system, please create a ticket with the Help Desk at:</w:t>
      </w:r>
      <w:r>
        <w:rPr>
          <w:rFonts w:ascii="Segoe UI" w:hAnsi="Segoe UI" w:cs="Segoe UI"/>
          <w:color w:val="444444"/>
          <w:sz w:val="18"/>
          <w:szCs w:val="18"/>
        </w:rPr>
        <w:br/>
      </w:r>
      <w:hyperlink r:id="rId53" w:tooltip="https://vacommunity.secure.force.com/helpdesk" w:history="1">
        <w:r>
          <w:rPr>
            <w:rStyle w:val="Hyperlink"/>
            <w:rFonts w:ascii="Segoe UI" w:hAnsi="Segoe UI" w:cs="Segoe UI"/>
            <w:sz w:val="18"/>
            <w:szCs w:val="18"/>
          </w:rPr>
          <w:t>https://vacommunity.secure.force.com/helpdesk</w:t>
        </w:r>
      </w:hyperlink>
    </w:p>
    <w:p w:rsidR="00F92F01" w:rsidRPr="00F92F01" w:rsidRDefault="00D571C5" w:rsidP="00F063AF">
      <w:pPr>
        <w:widowControl w:val="0"/>
        <w:numPr>
          <w:ilvl w:val="0"/>
          <w:numId w:val="111"/>
        </w:numPr>
        <w:spacing w:after="120"/>
        <w:rPr>
          <w:b/>
          <w:i/>
          <w:iCs/>
        </w:rPr>
      </w:pPr>
      <w:hyperlink r:id="rId54" w:anchor="1" w:history="1">
        <w:r w:rsidR="00F92F01" w:rsidRPr="00F92F01">
          <w:rPr>
            <w:rStyle w:val="Hyperlink"/>
            <w:b/>
            <w:i/>
            <w:iCs/>
          </w:rPr>
          <w:t>Employee Performance Report (EPR)</w:t>
        </w:r>
      </w:hyperlink>
      <w:r w:rsidR="00F92F01">
        <w:rPr>
          <w:b/>
          <w:i/>
          <w:iCs/>
        </w:rPr>
        <w:t xml:space="preserve"> </w:t>
      </w:r>
      <w:r w:rsidR="00F92F01" w:rsidRPr="00F92F01">
        <w:rPr>
          <w:iCs/>
        </w:rPr>
        <w:t>(starts 7/3/17)</w:t>
      </w:r>
      <w:r w:rsidR="00F92F01">
        <w:rPr>
          <w:iCs/>
        </w:rPr>
        <w:t xml:space="preserve"> – one day lag on information</w:t>
      </w:r>
    </w:p>
    <w:p w:rsidR="004916BF" w:rsidRPr="009B1266" w:rsidRDefault="00D571C5" w:rsidP="00F063AF">
      <w:pPr>
        <w:pStyle w:val="ListParagraph"/>
        <w:numPr>
          <w:ilvl w:val="0"/>
          <w:numId w:val="111"/>
        </w:numPr>
        <w:spacing w:after="120" w:line="240" w:lineRule="auto"/>
        <w:rPr>
          <w:rStyle w:val="id-mask"/>
          <w:rFonts w:ascii="Arial" w:hAnsi="Arial"/>
          <w:b/>
          <w:i/>
          <w:sz w:val="20"/>
          <w:szCs w:val="20"/>
        </w:rPr>
      </w:pPr>
      <w:hyperlink r:id="rId55" w:history="1">
        <w:r w:rsidR="00B10772">
          <w:rPr>
            <w:rStyle w:val="Hyperlink"/>
            <w:rFonts w:ascii="Arial" w:hAnsi="Arial"/>
            <w:b/>
            <w:i/>
            <w:iCs/>
            <w:sz w:val="20"/>
            <w:szCs w:val="20"/>
          </w:rPr>
          <w:t>NSD Service Desk Manager tool / CA Service Desk Manager</w:t>
        </w:r>
      </w:hyperlink>
      <w:r w:rsidR="004916BF" w:rsidRPr="00B10772">
        <w:rPr>
          <w:rFonts w:ascii="Arial" w:hAnsi="Arial"/>
          <w:i/>
          <w:iCs/>
          <w:sz w:val="20"/>
          <w:szCs w:val="20"/>
        </w:rPr>
        <w:t xml:space="preserve"> </w:t>
      </w:r>
      <w:r w:rsidR="00B10772" w:rsidRPr="00B10772">
        <w:rPr>
          <w:rFonts w:ascii="Arial" w:hAnsi="Arial"/>
          <w:i/>
          <w:iCs/>
          <w:sz w:val="20"/>
          <w:szCs w:val="20"/>
        </w:rPr>
        <w:t xml:space="preserve">- </w:t>
      </w:r>
      <w:r w:rsidR="004916BF" w:rsidRPr="00B10772">
        <w:rPr>
          <w:rFonts w:ascii="Arial" w:hAnsi="Arial"/>
          <w:i/>
          <w:iCs/>
          <w:sz w:val="20"/>
          <w:szCs w:val="20"/>
        </w:rPr>
        <w:t xml:space="preserve"> National Service Desk (NSD) (855) NSD-HELP, (855) 673-4357 [option 3 for VBA support] </w:t>
      </w:r>
      <w:r w:rsidR="00A34300" w:rsidRPr="00B02238">
        <w:rPr>
          <w:rFonts w:ascii="Arial" w:hAnsi="Arial"/>
          <w:i/>
          <w:iCs/>
          <w:sz w:val="20"/>
          <w:szCs w:val="20"/>
          <w:highlight w:val="darkGray"/>
        </w:rPr>
        <w:t>or non-urgent requests can be e</w:t>
      </w:r>
      <w:r w:rsidR="004916BF" w:rsidRPr="00B02238">
        <w:rPr>
          <w:rFonts w:ascii="Arial" w:hAnsi="Arial"/>
          <w:i/>
          <w:iCs/>
          <w:sz w:val="20"/>
          <w:szCs w:val="20"/>
          <w:highlight w:val="darkGray"/>
        </w:rPr>
        <w:t xml:space="preserve">mailed to National Service </w:t>
      </w:r>
      <w:r w:rsidR="004916BF" w:rsidRPr="00B02238">
        <w:rPr>
          <w:rFonts w:ascii="Arial" w:hAnsi="Arial"/>
          <w:i/>
          <w:iCs/>
          <w:sz w:val="20"/>
          <w:szCs w:val="20"/>
          <w:highlight w:val="darkGray"/>
        </w:rPr>
        <w:lastRenderedPageBreak/>
        <w:t>Desk – Philadelphia at</w:t>
      </w:r>
      <w:r w:rsidR="004916BF" w:rsidRPr="00B10772">
        <w:rPr>
          <w:rFonts w:ascii="Arial" w:hAnsi="Arial"/>
          <w:i/>
          <w:iCs/>
          <w:sz w:val="20"/>
          <w:szCs w:val="20"/>
        </w:rPr>
        <w:t xml:space="preserve"> </w:t>
      </w:r>
      <w:hyperlink r:id="rId56" w:history="1">
        <w:r w:rsidR="004916BF" w:rsidRPr="009B1266">
          <w:rPr>
            <w:rStyle w:val="Hyperlink"/>
            <w:rFonts w:ascii="Arial" w:hAnsi="Arial"/>
            <w:i/>
            <w:iCs/>
            <w:sz w:val="20"/>
            <w:szCs w:val="20"/>
            <w:highlight w:val="darkGray"/>
          </w:rPr>
          <w:t>ITSC@va.gov</w:t>
        </w:r>
      </w:hyperlink>
      <w:r w:rsidR="004916BF" w:rsidRPr="009B1266">
        <w:rPr>
          <w:rFonts w:ascii="Arial" w:hAnsi="Arial"/>
          <w:i/>
          <w:iCs/>
          <w:sz w:val="20"/>
          <w:szCs w:val="20"/>
          <w:highlight w:val="darkGray"/>
        </w:rPr>
        <w:t xml:space="preserve"> (processed w/i 24 hrs)</w:t>
      </w:r>
      <w:r w:rsidR="00A267C8" w:rsidRPr="009B1266">
        <w:rPr>
          <w:rFonts w:ascii="Arial" w:hAnsi="Arial"/>
          <w:iCs/>
          <w:sz w:val="20"/>
          <w:szCs w:val="20"/>
          <w:highlight w:val="darkGray"/>
        </w:rPr>
        <w:t xml:space="preserve"> - INCLUDE CURRENT PHONE #, AS OFTEN INCORRECT</w:t>
      </w:r>
      <w:r w:rsidR="00B43343" w:rsidRPr="009B1266">
        <w:rPr>
          <w:rFonts w:ascii="Arial" w:hAnsi="Arial"/>
          <w:iCs/>
          <w:sz w:val="20"/>
          <w:szCs w:val="20"/>
          <w:highlight w:val="darkGray"/>
        </w:rPr>
        <w:t xml:space="preserve">; changed to </w:t>
      </w:r>
      <w:hyperlink r:id="rId57" w:history="1">
        <w:r w:rsidR="00B43343" w:rsidRPr="009B1266">
          <w:rPr>
            <w:rStyle w:val="Hyperlink"/>
            <w:rFonts w:ascii="Arial" w:hAnsi="Arial"/>
            <w:sz w:val="20"/>
            <w:szCs w:val="20"/>
            <w:highlight w:val="darkGray"/>
          </w:rPr>
          <w:t>ESD@va.gov</w:t>
        </w:r>
      </w:hyperlink>
      <w:r w:rsidR="00B43343" w:rsidRPr="009B1266">
        <w:rPr>
          <w:rFonts w:ascii="Arial" w:hAnsi="Arial"/>
          <w:sz w:val="20"/>
          <w:szCs w:val="20"/>
          <w:highlight w:val="darkGray"/>
        </w:rPr>
        <w:t xml:space="preserve"> in 9/17</w:t>
      </w:r>
      <w:r w:rsidR="00813062" w:rsidRPr="009B1266">
        <w:rPr>
          <w:rFonts w:ascii="Arial" w:hAnsi="Arial"/>
          <w:sz w:val="20"/>
          <w:szCs w:val="20"/>
          <w:highlight w:val="darkGray"/>
        </w:rPr>
        <w:t xml:space="preserve"> (sent email 9/6/17 &amp; they do not allow encrypted emails</w:t>
      </w:r>
      <w:r w:rsidR="00E743C8" w:rsidRPr="009B1266">
        <w:rPr>
          <w:rFonts w:ascii="Arial" w:hAnsi="Arial"/>
          <w:sz w:val="20"/>
          <w:szCs w:val="20"/>
          <w:highlight w:val="darkGray"/>
        </w:rPr>
        <w:t xml:space="preserve">, so still sending anything with file # to </w:t>
      </w:r>
      <w:hyperlink r:id="rId58" w:history="1">
        <w:r w:rsidR="00DB6ED4" w:rsidRPr="009B1266">
          <w:rPr>
            <w:rStyle w:val="Hyperlink"/>
            <w:rFonts w:ascii="Arial" w:hAnsi="Arial"/>
            <w:sz w:val="20"/>
            <w:szCs w:val="20"/>
            <w:highlight w:val="darkGray"/>
          </w:rPr>
          <w:t>itsc@va.gov</w:t>
        </w:r>
      </w:hyperlink>
      <w:r w:rsidR="00813062" w:rsidRPr="009B1266">
        <w:rPr>
          <w:rFonts w:ascii="Arial" w:hAnsi="Arial"/>
          <w:sz w:val="20"/>
          <w:szCs w:val="20"/>
          <w:highlight w:val="darkGray"/>
        </w:rPr>
        <w:t>)</w:t>
      </w:r>
      <w:r w:rsidR="000754AA" w:rsidRPr="009B1266">
        <w:rPr>
          <w:rFonts w:ascii="Arial" w:hAnsi="Arial"/>
          <w:sz w:val="20"/>
          <w:szCs w:val="20"/>
          <w:highlight w:val="darkGray"/>
        </w:rPr>
        <w:t xml:space="preserve"> – </w:t>
      </w:r>
      <w:r w:rsidR="000754AA" w:rsidRPr="009B1266">
        <w:rPr>
          <w:rStyle w:val="id-mask"/>
          <w:rFonts w:ascii="Arial" w:hAnsi="Arial"/>
          <w:sz w:val="20"/>
          <w:highlight w:val="darkGray"/>
        </w:rPr>
        <w:t xml:space="preserve">AS OF 1/6/18, </w:t>
      </w:r>
      <w:hyperlink r:id="rId59" w:history="1">
        <w:r w:rsidR="000754AA" w:rsidRPr="009B1266">
          <w:rPr>
            <w:rStyle w:val="Hyperlink"/>
            <w:rFonts w:ascii="Arial" w:hAnsi="Arial"/>
            <w:sz w:val="20"/>
            <w:highlight w:val="darkGray"/>
          </w:rPr>
          <w:t>ESD@va.gov</w:t>
        </w:r>
      </w:hyperlink>
      <w:r w:rsidR="000754AA" w:rsidRPr="009B1266">
        <w:rPr>
          <w:rStyle w:val="id-mask"/>
          <w:rFonts w:ascii="Arial" w:hAnsi="Arial"/>
          <w:sz w:val="20"/>
          <w:highlight w:val="darkGray"/>
        </w:rPr>
        <w:t xml:space="preserve"> CAN now get encrypted emails</w:t>
      </w:r>
    </w:p>
    <w:p w:rsidR="00DB6ED4" w:rsidRPr="00DB6ED4" w:rsidRDefault="00DB6ED4" w:rsidP="00F063AF">
      <w:pPr>
        <w:pStyle w:val="ListParagraph"/>
        <w:numPr>
          <w:ilvl w:val="1"/>
          <w:numId w:val="111"/>
        </w:numPr>
        <w:shd w:val="clear" w:color="auto" w:fill="FFFFFF"/>
        <w:spacing w:after="0" w:line="240" w:lineRule="auto"/>
        <w:rPr>
          <w:rFonts w:ascii="Arial" w:hAnsi="Arial"/>
          <w:color w:val="747474"/>
          <w:szCs w:val="26"/>
        </w:rPr>
      </w:pPr>
      <w:r w:rsidRPr="00DB6ED4">
        <w:rPr>
          <w:rFonts w:ascii="Arial" w:hAnsi="Arial"/>
          <w:color w:val="747474"/>
          <w:szCs w:val="26"/>
        </w:rPr>
        <w:t>If you receive a</w:t>
      </w:r>
      <w:r>
        <w:rPr>
          <w:rFonts w:ascii="Arial" w:hAnsi="Arial"/>
          <w:color w:val="747474"/>
          <w:szCs w:val="26"/>
        </w:rPr>
        <w:t xml:space="preserve"> (phishy)</w:t>
      </w:r>
      <w:r w:rsidRPr="00DB6ED4">
        <w:rPr>
          <w:rFonts w:ascii="Arial" w:hAnsi="Arial"/>
          <w:color w:val="747474"/>
          <w:szCs w:val="26"/>
        </w:rPr>
        <w:t xml:space="preserve"> message</w:t>
      </w:r>
      <w:r>
        <w:rPr>
          <w:rFonts w:ascii="Arial" w:hAnsi="Arial"/>
          <w:color w:val="747474"/>
          <w:szCs w:val="26"/>
        </w:rPr>
        <w:t xml:space="preserve"> … y</w:t>
      </w:r>
      <w:r w:rsidRPr="00DB6ED4">
        <w:rPr>
          <w:rFonts w:ascii="Arial" w:hAnsi="Arial"/>
          <w:color w:val="747474"/>
          <w:szCs w:val="26"/>
        </w:rPr>
        <w:t>ou have likely been targeted by a cybercriminal, and you should follow these steps:</w:t>
      </w:r>
    </w:p>
    <w:p w:rsidR="00DB6ED4" w:rsidRPr="00DB6ED4" w:rsidRDefault="00DB6ED4" w:rsidP="00F063AF">
      <w:pPr>
        <w:pStyle w:val="ListParagraph"/>
        <w:numPr>
          <w:ilvl w:val="0"/>
          <w:numId w:val="386"/>
        </w:numPr>
        <w:shd w:val="clear" w:color="auto" w:fill="FFFFFF"/>
        <w:spacing w:after="0"/>
        <w:ind w:left="1800"/>
        <w:rPr>
          <w:rFonts w:ascii="Arial" w:hAnsi="Arial"/>
          <w:color w:val="747474"/>
          <w:szCs w:val="26"/>
        </w:rPr>
      </w:pPr>
      <w:r w:rsidRPr="00DB6ED4">
        <w:rPr>
          <w:rFonts w:ascii="Arial" w:hAnsi="Arial"/>
          <w:color w:val="747474"/>
          <w:szCs w:val="26"/>
        </w:rPr>
        <w:t>Expand the email to fill your computer screen.</w:t>
      </w:r>
    </w:p>
    <w:p w:rsidR="00DB6ED4" w:rsidRPr="00DB6ED4" w:rsidRDefault="00DB6ED4" w:rsidP="00F063AF">
      <w:pPr>
        <w:pStyle w:val="ListParagraph"/>
        <w:numPr>
          <w:ilvl w:val="0"/>
          <w:numId w:val="386"/>
        </w:numPr>
        <w:shd w:val="clear" w:color="auto" w:fill="FFFFFF"/>
        <w:spacing w:after="0"/>
        <w:ind w:left="1800"/>
        <w:rPr>
          <w:rFonts w:ascii="Arial" w:hAnsi="Arial"/>
          <w:color w:val="747474"/>
          <w:szCs w:val="26"/>
        </w:rPr>
      </w:pPr>
      <w:r w:rsidRPr="00DB6ED4">
        <w:rPr>
          <w:rFonts w:ascii="Arial" w:hAnsi="Arial"/>
          <w:color w:val="747474"/>
          <w:szCs w:val="26"/>
        </w:rPr>
        <w:t>Take a screenshot of the message by pressing the Print Screen (PRTSCR) button.</w:t>
      </w:r>
    </w:p>
    <w:p w:rsidR="00DB6ED4" w:rsidRPr="00DB6ED4" w:rsidRDefault="00DB6ED4" w:rsidP="00F063AF">
      <w:pPr>
        <w:pStyle w:val="ListParagraph"/>
        <w:numPr>
          <w:ilvl w:val="0"/>
          <w:numId w:val="386"/>
        </w:numPr>
        <w:shd w:val="clear" w:color="auto" w:fill="FFFFFF"/>
        <w:spacing w:after="0"/>
        <w:ind w:left="1800"/>
        <w:rPr>
          <w:rFonts w:ascii="Arial" w:hAnsi="Arial"/>
          <w:color w:val="747474"/>
          <w:szCs w:val="26"/>
        </w:rPr>
      </w:pPr>
      <w:r w:rsidRPr="00DB6ED4">
        <w:rPr>
          <w:rFonts w:ascii="Arial" w:hAnsi="Arial"/>
          <w:color w:val="747474"/>
          <w:szCs w:val="26"/>
        </w:rPr>
        <w:t>Open a Word document and paste your screenshot into it by simultaneously pressing the “Control” and “V” keys.</w:t>
      </w:r>
    </w:p>
    <w:p w:rsidR="00DB6ED4" w:rsidRPr="00DB6ED4" w:rsidRDefault="00DB6ED4" w:rsidP="00F063AF">
      <w:pPr>
        <w:pStyle w:val="ListParagraph"/>
        <w:numPr>
          <w:ilvl w:val="0"/>
          <w:numId w:val="386"/>
        </w:numPr>
        <w:shd w:val="clear" w:color="auto" w:fill="FFFFFF"/>
        <w:spacing w:after="0"/>
        <w:ind w:left="1800"/>
        <w:rPr>
          <w:rFonts w:ascii="Arial" w:hAnsi="Arial"/>
          <w:color w:val="747474"/>
          <w:szCs w:val="26"/>
        </w:rPr>
      </w:pPr>
      <w:r w:rsidRPr="00DB6ED4">
        <w:rPr>
          <w:rFonts w:ascii="Arial" w:hAnsi="Arial"/>
          <w:color w:val="747474"/>
          <w:szCs w:val="26"/>
        </w:rPr>
        <w:t>Save the document to your desktop.</w:t>
      </w:r>
    </w:p>
    <w:p w:rsidR="00DB6ED4" w:rsidRPr="00DB6ED4" w:rsidRDefault="00DB6ED4" w:rsidP="00F063AF">
      <w:pPr>
        <w:pStyle w:val="ListParagraph"/>
        <w:numPr>
          <w:ilvl w:val="0"/>
          <w:numId w:val="386"/>
        </w:numPr>
        <w:shd w:val="clear" w:color="auto" w:fill="FFFFFF"/>
        <w:spacing w:after="0"/>
        <w:ind w:left="1800"/>
        <w:rPr>
          <w:rFonts w:ascii="Arial" w:hAnsi="Arial"/>
          <w:color w:val="747474"/>
          <w:szCs w:val="26"/>
        </w:rPr>
      </w:pPr>
      <w:r w:rsidRPr="00DB6ED4">
        <w:rPr>
          <w:rFonts w:ascii="Arial" w:hAnsi="Arial"/>
          <w:color w:val="747474"/>
          <w:szCs w:val="26"/>
        </w:rPr>
        <w:t xml:space="preserve">Open a new email to </w:t>
      </w:r>
      <w:hyperlink r:id="rId60" w:history="1">
        <w:r w:rsidRPr="00DB6ED4">
          <w:rPr>
            <w:rStyle w:val="Hyperlink"/>
            <w:rFonts w:ascii="Arial" w:hAnsi="Arial"/>
            <w:szCs w:val="26"/>
          </w:rPr>
          <w:t>cdco-nsd@va.gov</w:t>
        </w:r>
      </w:hyperlink>
      <w:r w:rsidRPr="00DB6ED4">
        <w:rPr>
          <w:rFonts w:ascii="Arial" w:hAnsi="Arial"/>
          <w:color w:val="747474"/>
          <w:szCs w:val="26"/>
        </w:rPr>
        <w:t xml:space="preserve"> (the National Service Desk DevOps Center) with the subject line “Suspicious Email Screenshot Attached.”</w:t>
      </w:r>
    </w:p>
    <w:p w:rsidR="00DB6ED4" w:rsidRPr="00DB6ED4" w:rsidRDefault="00DB6ED4" w:rsidP="00F063AF">
      <w:pPr>
        <w:pStyle w:val="ListParagraph"/>
        <w:numPr>
          <w:ilvl w:val="0"/>
          <w:numId w:val="386"/>
        </w:numPr>
        <w:shd w:val="clear" w:color="auto" w:fill="FFFFFF"/>
        <w:spacing w:after="120"/>
        <w:ind w:left="1800"/>
        <w:rPr>
          <w:rFonts w:ascii="Arial" w:hAnsi="Arial"/>
          <w:color w:val="747474"/>
          <w:szCs w:val="26"/>
        </w:rPr>
      </w:pPr>
      <w:r w:rsidRPr="00DB6ED4">
        <w:rPr>
          <w:rFonts w:ascii="Arial" w:hAnsi="Arial"/>
          <w:color w:val="747474"/>
          <w:szCs w:val="26"/>
        </w:rPr>
        <w:t xml:space="preserve">Delete the email from your inbox </w:t>
      </w:r>
      <w:r w:rsidRPr="00DB6ED4">
        <w:rPr>
          <w:rStyle w:val="Strong"/>
          <w:rFonts w:ascii="Arial" w:hAnsi="Arial"/>
          <w:color w:val="747474"/>
          <w:szCs w:val="26"/>
        </w:rPr>
        <w:t>and</w:t>
      </w:r>
      <w:r w:rsidRPr="00DB6ED4">
        <w:rPr>
          <w:rFonts w:ascii="Arial" w:hAnsi="Arial"/>
          <w:color w:val="747474"/>
          <w:szCs w:val="26"/>
        </w:rPr>
        <w:t xml:space="preserve"> Deleted Messages folders.</w:t>
      </w:r>
    </w:p>
    <w:p w:rsidR="00511934" w:rsidRPr="00286A92" w:rsidRDefault="00511934" w:rsidP="00F063AF">
      <w:pPr>
        <w:pStyle w:val="ListParagraph"/>
        <w:numPr>
          <w:ilvl w:val="1"/>
          <w:numId w:val="111"/>
        </w:numPr>
        <w:spacing w:after="120" w:line="240" w:lineRule="auto"/>
        <w:rPr>
          <w:rFonts w:ascii="Arial" w:hAnsi="Arial"/>
          <w:b/>
          <w:i/>
          <w:sz w:val="20"/>
          <w:szCs w:val="20"/>
        </w:rPr>
      </w:pPr>
      <w:r w:rsidRPr="00B10772">
        <w:rPr>
          <w:rStyle w:val="Hyperlink"/>
          <w:rFonts w:ascii="Arial" w:hAnsi="Arial"/>
          <w:b/>
          <w:i/>
          <w:color w:val="auto"/>
          <w:sz w:val="20"/>
          <w:szCs w:val="20"/>
          <w:u w:val="none"/>
        </w:rPr>
        <w:t>NSD VBMS Service Desk</w:t>
      </w:r>
      <w:r>
        <w:rPr>
          <w:i/>
          <w:iCs/>
        </w:rPr>
        <w:t xml:space="preserve">– </w:t>
      </w:r>
      <w:hyperlink r:id="rId61" w:history="1">
        <w:r w:rsidR="00286A92" w:rsidRPr="009C224F">
          <w:rPr>
            <w:rStyle w:val="Hyperlink"/>
            <w:rFonts w:ascii="Arial" w:hAnsi="Arial"/>
            <w:i/>
            <w:iCs/>
            <w:sz w:val="20"/>
          </w:rPr>
          <w:t>vbmssvcdesk.vbaco@va.gov</w:t>
        </w:r>
      </w:hyperlink>
    </w:p>
    <w:p w:rsidR="00B02238" w:rsidRPr="00B02238" w:rsidRDefault="00286A92" w:rsidP="00F063AF">
      <w:pPr>
        <w:pStyle w:val="ListParagraph"/>
        <w:numPr>
          <w:ilvl w:val="1"/>
          <w:numId w:val="111"/>
        </w:numPr>
        <w:spacing w:after="120" w:line="240" w:lineRule="auto"/>
        <w:rPr>
          <w:rStyle w:val="id-mask"/>
          <w:rFonts w:ascii="Tahoma" w:hAnsi="Tahoma" w:cs="Tahoma"/>
          <w:sz w:val="20"/>
          <w:szCs w:val="20"/>
        </w:rPr>
      </w:pPr>
      <w:r w:rsidRPr="00B02238">
        <w:rPr>
          <w:rStyle w:val="Hyperlink"/>
          <w:rFonts w:ascii="Arial" w:hAnsi="Arial"/>
          <w:color w:val="auto"/>
          <w:sz w:val="20"/>
          <w:szCs w:val="20"/>
          <w:u w:val="none"/>
        </w:rPr>
        <w:t>as of 3/28/18</w:t>
      </w:r>
      <w:r w:rsidR="00AF1C15" w:rsidRPr="00B02238">
        <w:rPr>
          <w:rStyle w:val="Hyperlink"/>
          <w:rFonts w:ascii="Arial" w:hAnsi="Arial"/>
          <w:color w:val="auto"/>
          <w:sz w:val="20"/>
          <w:szCs w:val="20"/>
          <w:u w:val="none"/>
        </w:rPr>
        <w:t xml:space="preserve">, </w:t>
      </w:r>
      <w:r w:rsidR="00DE178E">
        <w:rPr>
          <w:rStyle w:val="Hyperlink"/>
          <w:rFonts w:ascii="Arial" w:hAnsi="Arial"/>
          <w:i/>
          <w:color w:val="auto"/>
          <w:sz w:val="20"/>
          <w:szCs w:val="20"/>
          <w:u w:val="none"/>
        </w:rPr>
        <w:t>Your</w:t>
      </w:r>
      <w:r w:rsidR="00AF1C15" w:rsidRPr="00B02238">
        <w:rPr>
          <w:rStyle w:val="Hyperlink"/>
          <w:rFonts w:ascii="Arial" w:hAnsi="Arial"/>
          <w:i/>
          <w:color w:val="auto"/>
          <w:sz w:val="20"/>
          <w:szCs w:val="20"/>
          <w:u w:val="none"/>
        </w:rPr>
        <w:t>IT Services</w:t>
      </w:r>
      <w:r w:rsidRPr="00B02238">
        <w:rPr>
          <w:rStyle w:val="Hyperlink"/>
          <w:rFonts w:ascii="Arial" w:hAnsi="Arial"/>
          <w:color w:val="auto"/>
          <w:sz w:val="20"/>
          <w:szCs w:val="20"/>
          <w:u w:val="none"/>
        </w:rPr>
        <w:t xml:space="preserve"> -</w:t>
      </w:r>
      <w:r w:rsidRPr="00B02238">
        <w:rPr>
          <w:rStyle w:val="Hyperlink"/>
          <w:rFonts w:ascii="Arial" w:hAnsi="Arial"/>
          <w:i/>
          <w:color w:val="auto"/>
          <w:sz w:val="20"/>
          <w:szCs w:val="20"/>
          <w:u w:val="none"/>
        </w:rPr>
        <w:t xml:space="preserve"> </w:t>
      </w:r>
      <w:hyperlink r:id="rId62" w:history="1">
        <w:r w:rsidRPr="00B02238">
          <w:rPr>
            <w:rStyle w:val="Hyperlink"/>
            <w:rFonts w:ascii="Arial" w:hAnsi="Arial"/>
            <w:i/>
            <w:sz w:val="20"/>
            <w:szCs w:val="20"/>
          </w:rPr>
          <w:t>https://vaww.oit.va.gov/yourit/</w:t>
        </w:r>
      </w:hyperlink>
      <w:r w:rsidR="00B02238" w:rsidRPr="00B02238">
        <w:rPr>
          <w:rStyle w:val="Hyperlink"/>
          <w:rFonts w:ascii="Arial" w:hAnsi="Arial"/>
          <w:sz w:val="20"/>
          <w:szCs w:val="20"/>
          <w:u w:val="none"/>
        </w:rPr>
        <w:t xml:space="preserve"> </w:t>
      </w:r>
      <w:r w:rsidR="00B02238" w:rsidRPr="00B02238">
        <w:rPr>
          <w:rStyle w:val="Hyperlink"/>
          <w:rFonts w:ascii="Arial" w:hAnsi="Arial"/>
          <w:color w:val="auto"/>
          <w:sz w:val="20"/>
          <w:szCs w:val="20"/>
          <w:u w:val="none"/>
        </w:rPr>
        <w:t xml:space="preserve">(should be on your desktop), </w:t>
      </w:r>
      <w:hyperlink r:id="rId63" w:history="1">
        <w:r w:rsidR="009B1266" w:rsidRPr="009B1266">
          <w:rPr>
            <w:rStyle w:val="Hyperlink"/>
            <w:rFonts w:ascii="Arial" w:hAnsi="Arial"/>
            <w:sz w:val="20"/>
          </w:rPr>
          <w:t>YourIT@va.gov</w:t>
        </w:r>
      </w:hyperlink>
    </w:p>
    <w:p w:rsidR="00B02238" w:rsidRPr="006F371D" w:rsidRDefault="00B02238" w:rsidP="00F063AF">
      <w:pPr>
        <w:pStyle w:val="ListParagraph"/>
        <w:numPr>
          <w:ilvl w:val="1"/>
          <w:numId w:val="111"/>
        </w:numPr>
        <w:spacing w:after="120" w:line="240" w:lineRule="auto"/>
        <w:rPr>
          <w:rFonts w:ascii="Tahoma" w:hAnsi="Tahoma" w:cs="Tahoma"/>
          <w:sz w:val="18"/>
          <w:szCs w:val="20"/>
        </w:rPr>
      </w:pPr>
      <w:r w:rsidRPr="006F371D">
        <w:rPr>
          <w:rFonts w:ascii="Tahoma" w:hAnsi="Tahoma" w:cs="Tahoma"/>
          <w:b/>
          <w:bCs/>
          <w:sz w:val="18"/>
          <w:szCs w:val="20"/>
        </w:rPr>
        <w:t>From:</w:t>
      </w:r>
      <w:r w:rsidRPr="006F371D">
        <w:rPr>
          <w:rFonts w:ascii="Tahoma" w:hAnsi="Tahoma" w:cs="Tahoma"/>
          <w:sz w:val="18"/>
          <w:szCs w:val="20"/>
        </w:rPr>
        <w:t xml:space="preserve"> Braden, Dwayne (OI&amp;T - San Diego) </w:t>
      </w:r>
      <w:r w:rsidRPr="006F371D">
        <w:rPr>
          <w:rFonts w:ascii="Tahoma" w:hAnsi="Tahoma" w:cs="Tahoma"/>
          <w:b/>
          <w:bCs/>
          <w:sz w:val="18"/>
          <w:szCs w:val="20"/>
        </w:rPr>
        <w:t xml:space="preserve">On Behalf Of </w:t>
      </w:r>
      <w:r w:rsidRPr="006F371D">
        <w:rPr>
          <w:rFonts w:ascii="Tahoma" w:hAnsi="Tahoma" w:cs="Tahoma"/>
          <w:sz w:val="18"/>
          <w:szCs w:val="20"/>
        </w:rPr>
        <w:t>VAVBASDC/IRMHD</w:t>
      </w:r>
      <w:r w:rsidRPr="006F371D">
        <w:rPr>
          <w:rFonts w:ascii="Tahoma" w:hAnsi="Tahoma" w:cs="Tahoma"/>
          <w:sz w:val="18"/>
          <w:szCs w:val="20"/>
        </w:rPr>
        <w:br/>
      </w:r>
      <w:r w:rsidRPr="006F371D">
        <w:rPr>
          <w:rFonts w:ascii="Tahoma" w:hAnsi="Tahoma" w:cs="Tahoma"/>
          <w:b/>
          <w:bCs/>
          <w:sz w:val="18"/>
          <w:szCs w:val="20"/>
        </w:rPr>
        <w:t>Sent:</w:t>
      </w:r>
      <w:r w:rsidRPr="006F371D">
        <w:rPr>
          <w:rFonts w:ascii="Tahoma" w:hAnsi="Tahoma" w:cs="Tahoma"/>
          <w:sz w:val="18"/>
          <w:szCs w:val="20"/>
        </w:rPr>
        <w:t xml:space="preserve"> Friday, March 30, 2018 7:41 AM</w:t>
      </w:r>
      <w:r w:rsidRPr="006F371D">
        <w:rPr>
          <w:rFonts w:ascii="Tahoma" w:hAnsi="Tahoma" w:cs="Tahoma"/>
          <w:sz w:val="18"/>
          <w:szCs w:val="20"/>
        </w:rPr>
        <w:br/>
      </w:r>
      <w:r w:rsidRPr="006F371D">
        <w:rPr>
          <w:rFonts w:ascii="Tahoma" w:hAnsi="Tahoma" w:cs="Tahoma"/>
          <w:b/>
          <w:bCs/>
          <w:sz w:val="18"/>
          <w:szCs w:val="20"/>
        </w:rPr>
        <w:t>Subject:</w:t>
      </w:r>
      <w:r w:rsidRPr="006F371D">
        <w:rPr>
          <w:rFonts w:ascii="Tahoma" w:hAnsi="Tahoma" w:cs="Tahoma"/>
          <w:sz w:val="18"/>
          <w:szCs w:val="20"/>
        </w:rPr>
        <w:t xml:space="preserve"> ServiceNow Ticketing System</w:t>
      </w:r>
    </w:p>
    <w:p w:rsidR="00B02238" w:rsidRPr="00B02238" w:rsidRDefault="00B02238" w:rsidP="00B02238">
      <w:pPr>
        <w:ind w:left="1440"/>
        <w:rPr>
          <w:rFonts w:asciiTheme="minorHAnsi" w:hAnsiTheme="minorHAnsi" w:cs="Tahoma"/>
        </w:rPr>
      </w:pPr>
      <w:r w:rsidRPr="00B02238">
        <w:rPr>
          <w:rFonts w:asciiTheme="minorHAnsi" w:hAnsiTheme="minorHAnsi"/>
        </w:rPr>
        <w:t>Now that we have transitioned over to the new ServiceNow ticketing system, please be aware of the following:</w:t>
      </w:r>
    </w:p>
    <w:p w:rsidR="00B02238" w:rsidRPr="00B02238" w:rsidRDefault="00B02238" w:rsidP="00B02238">
      <w:pPr>
        <w:ind w:left="1440"/>
        <w:rPr>
          <w:rFonts w:asciiTheme="minorHAnsi" w:hAnsiTheme="minorHAnsi"/>
        </w:rPr>
      </w:pPr>
      <w:r>
        <w:rPr>
          <w:rFonts w:asciiTheme="minorHAnsi" w:hAnsiTheme="minorHAnsi"/>
        </w:rPr>
        <w:t>*</w:t>
      </w:r>
      <w:r w:rsidRPr="00B02238">
        <w:rPr>
          <w:rFonts w:asciiTheme="minorHAnsi" w:hAnsiTheme="minorHAnsi"/>
        </w:rPr>
        <w:t xml:space="preserve">Emailed tickets should be sent to </w:t>
      </w:r>
      <w:hyperlink r:id="rId64" w:history="1">
        <w:r w:rsidRPr="00B02238">
          <w:rPr>
            <w:rStyle w:val="Hyperlink"/>
            <w:rFonts w:asciiTheme="minorHAnsi" w:hAnsiTheme="minorHAnsi"/>
          </w:rPr>
          <w:t>YourIT@va.gov</w:t>
        </w:r>
      </w:hyperlink>
      <w:r w:rsidRPr="00B02238">
        <w:rPr>
          <w:rFonts w:asciiTheme="minorHAnsi" w:hAnsiTheme="minorHAnsi"/>
        </w:rPr>
        <w:t xml:space="preserve"> (no longer </w:t>
      </w:r>
      <w:hyperlink r:id="rId65" w:history="1">
        <w:r w:rsidRPr="00B02238">
          <w:rPr>
            <w:rStyle w:val="Hyperlink"/>
            <w:rFonts w:asciiTheme="minorHAnsi" w:hAnsiTheme="minorHAnsi"/>
          </w:rPr>
          <w:t>ITSC@va.gov</w:t>
        </w:r>
      </w:hyperlink>
      <w:r w:rsidRPr="00B02238">
        <w:rPr>
          <w:rFonts w:asciiTheme="minorHAnsi" w:hAnsiTheme="minorHAnsi"/>
        </w:rPr>
        <w:t>), requesting that the ticket be routed to ‘San Diego Regional Benefits Office’.  This will ensure we receive your ticket faster</w:t>
      </w:r>
    </w:p>
    <w:p w:rsidR="00B02238" w:rsidRPr="00B02238" w:rsidRDefault="00B02238" w:rsidP="00B02238">
      <w:pPr>
        <w:pStyle w:val="ListParagraph"/>
        <w:spacing w:after="0" w:line="240" w:lineRule="auto"/>
        <w:ind w:left="1440"/>
        <w:rPr>
          <w:rFonts w:asciiTheme="minorHAnsi" w:hAnsiTheme="minorHAnsi"/>
          <w:sz w:val="20"/>
          <w:szCs w:val="20"/>
        </w:rPr>
      </w:pPr>
      <w:r>
        <w:rPr>
          <w:rFonts w:asciiTheme="minorHAnsi" w:hAnsiTheme="minorHAnsi"/>
          <w:sz w:val="20"/>
          <w:szCs w:val="20"/>
        </w:rPr>
        <w:t>*</w:t>
      </w:r>
      <w:r w:rsidRPr="00B02238">
        <w:rPr>
          <w:rFonts w:asciiTheme="minorHAnsi" w:hAnsiTheme="minorHAnsi"/>
          <w:sz w:val="20"/>
          <w:szCs w:val="20"/>
        </w:rPr>
        <w:t xml:space="preserve">You can still use the </w:t>
      </w:r>
      <w:r w:rsidRPr="00B02238">
        <w:rPr>
          <w:rFonts w:asciiTheme="minorHAnsi" w:hAnsiTheme="minorHAnsi"/>
          <w:b/>
          <w:bCs/>
          <w:color w:val="FF0000"/>
          <w:sz w:val="20"/>
          <w:szCs w:val="20"/>
        </w:rPr>
        <w:t xml:space="preserve">(855) 673-4357 </w:t>
      </w:r>
      <w:r w:rsidRPr="00B02238">
        <w:rPr>
          <w:rFonts w:asciiTheme="minorHAnsi" w:hAnsiTheme="minorHAnsi"/>
          <w:sz w:val="20"/>
          <w:szCs w:val="20"/>
        </w:rPr>
        <w:t>number to call in tickets, ensuring you inform them of your location (San Diego Regional Benefits Office)</w:t>
      </w:r>
    </w:p>
    <w:p w:rsidR="00286A92" w:rsidRDefault="00B02238" w:rsidP="00B02238">
      <w:pPr>
        <w:pStyle w:val="ListParagraph"/>
        <w:spacing w:after="120" w:line="240" w:lineRule="auto"/>
        <w:ind w:left="1440"/>
        <w:rPr>
          <w:rFonts w:asciiTheme="minorHAnsi" w:hAnsiTheme="minorHAnsi"/>
          <w:sz w:val="20"/>
          <w:szCs w:val="20"/>
        </w:rPr>
      </w:pPr>
      <w:r>
        <w:rPr>
          <w:rFonts w:asciiTheme="minorHAnsi" w:hAnsiTheme="minorHAnsi"/>
          <w:sz w:val="20"/>
          <w:szCs w:val="20"/>
        </w:rPr>
        <w:t>*</w:t>
      </w:r>
      <w:r w:rsidRPr="00B02238">
        <w:rPr>
          <w:rFonts w:asciiTheme="minorHAnsi" w:hAnsiTheme="minorHAnsi"/>
          <w:sz w:val="20"/>
          <w:szCs w:val="20"/>
        </w:rPr>
        <w:t>When using the “Self Service” portal (</w:t>
      </w:r>
      <w:hyperlink r:id="rId66" w:history="1">
        <w:r w:rsidRPr="00B02238">
          <w:rPr>
            <w:rStyle w:val="Hyperlink"/>
            <w:rFonts w:asciiTheme="minorHAnsi" w:hAnsiTheme="minorHAnsi"/>
            <w:sz w:val="20"/>
            <w:szCs w:val="20"/>
          </w:rPr>
          <w:t>https://yourit.va.gov/va</w:t>
        </w:r>
      </w:hyperlink>
      <w:r w:rsidRPr="00B02238">
        <w:rPr>
          <w:rFonts w:asciiTheme="minorHAnsi" w:hAnsiTheme="minorHAnsi"/>
          <w:sz w:val="20"/>
          <w:szCs w:val="20"/>
        </w:rPr>
        <w:t>), always click the “Ask for Help” icon to create an incident, even when requesting additional hardware or software. Do not use “Make a Request” icon at this time.  </w:t>
      </w:r>
    </w:p>
    <w:p w:rsidR="006F371D" w:rsidRPr="006F371D" w:rsidRDefault="006F371D" w:rsidP="00F063AF">
      <w:pPr>
        <w:pStyle w:val="ListParagraph"/>
        <w:numPr>
          <w:ilvl w:val="2"/>
          <w:numId w:val="422"/>
        </w:numPr>
        <w:ind w:left="1440"/>
        <w:rPr>
          <w:rFonts w:ascii="Arial" w:hAnsi="Arial"/>
          <w:sz w:val="18"/>
          <w:szCs w:val="18"/>
        </w:rPr>
      </w:pPr>
      <w:r w:rsidRPr="006F371D">
        <w:rPr>
          <w:rFonts w:ascii="Tahoma" w:hAnsi="Tahoma" w:cs="Tahoma"/>
          <w:b/>
          <w:bCs/>
          <w:sz w:val="18"/>
        </w:rPr>
        <w:t>From:</w:t>
      </w:r>
      <w:r w:rsidRPr="006F371D">
        <w:rPr>
          <w:rFonts w:ascii="Tahoma" w:hAnsi="Tahoma" w:cs="Tahoma"/>
          <w:sz w:val="18"/>
        </w:rPr>
        <w:t xml:space="preserve"> US Department of Veterans Affairs </w:t>
      </w:r>
      <w:r w:rsidRPr="006F371D">
        <w:rPr>
          <w:rFonts w:ascii="Tahoma" w:hAnsi="Tahoma" w:cs="Tahoma"/>
          <w:sz w:val="18"/>
        </w:rPr>
        <w:br/>
      </w:r>
      <w:r w:rsidRPr="006F371D">
        <w:rPr>
          <w:rFonts w:ascii="Tahoma" w:hAnsi="Tahoma" w:cs="Tahoma"/>
          <w:b/>
          <w:bCs/>
          <w:sz w:val="18"/>
        </w:rPr>
        <w:t>Sent:</w:t>
      </w:r>
      <w:r w:rsidRPr="006F371D">
        <w:rPr>
          <w:rFonts w:ascii="Tahoma" w:hAnsi="Tahoma" w:cs="Tahoma"/>
          <w:sz w:val="18"/>
        </w:rPr>
        <w:t xml:space="preserve"> Thursday, April 26, 2018 8:42 AM</w:t>
      </w:r>
      <w:r w:rsidRPr="006F371D">
        <w:rPr>
          <w:rFonts w:ascii="Tahoma" w:hAnsi="Tahoma" w:cs="Tahoma"/>
          <w:sz w:val="18"/>
        </w:rPr>
        <w:br/>
      </w:r>
      <w:r w:rsidRPr="006F371D">
        <w:rPr>
          <w:rFonts w:ascii="Arial" w:hAnsi="Arial"/>
          <w:b/>
          <w:bCs/>
          <w:sz w:val="18"/>
          <w:szCs w:val="18"/>
        </w:rPr>
        <w:t>Subject:</w:t>
      </w:r>
      <w:r w:rsidRPr="006F371D">
        <w:rPr>
          <w:rFonts w:ascii="Arial" w:hAnsi="Arial"/>
          <w:sz w:val="18"/>
          <w:szCs w:val="18"/>
        </w:rPr>
        <w:t xml:space="preserve"> Protect Veteran and Employee Data When Using Your IT Services</w:t>
      </w:r>
    </w:p>
    <w:p w:rsidR="006F371D" w:rsidRPr="006F371D" w:rsidRDefault="006F371D" w:rsidP="006F371D">
      <w:pPr>
        <w:ind w:left="1440"/>
        <w:jc w:val="center"/>
        <w:rPr>
          <w:b/>
          <w:bCs/>
          <w:sz w:val="18"/>
          <w:szCs w:val="18"/>
        </w:rPr>
      </w:pPr>
      <w:r w:rsidRPr="006F371D">
        <w:rPr>
          <w:b/>
          <w:bCs/>
          <w:i/>
          <w:iCs/>
          <w:sz w:val="18"/>
          <w:szCs w:val="18"/>
        </w:rPr>
        <w:t>Your IT Services</w:t>
      </w:r>
      <w:r w:rsidRPr="006F371D">
        <w:rPr>
          <w:b/>
          <w:bCs/>
          <w:sz w:val="18"/>
          <w:szCs w:val="18"/>
        </w:rPr>
        <w:t>: How to protect Veteran and Employee data</w:t>
      </w:r>
    </w:p>
    <w:p w:rsidR="006F371D" w:rsidRPr="006F371D" w:rsidRDefault="006F371D" w:rsidP="006F371D">
      <w:pPr>
        <w:ind w:left="1440"/>
        <w:jc w:val="center"/>
        <w:rPr>
          <w:b/>
          <w:bCs/>
          <w:color w:val="002060"/>
          <w:sz w:val="18"/>
          <w:szCs w:val="18"/>
        </w:rPr>
      </w:pPr>
    </w:p>
    <w:p w:rsidR="006F371D" w:rsidRPr="006F371D" w:rsidRDefault="006F371D" w:rsidP="006F371D">
      <w:pPr>
        <w:ind w:left="1440"/>
        <w:rPr>
          <w:sz w:val="18"/>
          <w:szCs w:val="18"/>
        </w:rPr>
      </w:pPr>
      <w:r w:rsidRPr="006F371D">
        <w:rPr>
          <w:sz w:val="18"/>
          <w:szCs w:val="18"/>
        </w:rPr>
        <w:t xml:space="preserve">This week is </w:t>
      </w:r>
      <w:hyperlink r:id="rId67" w:history="1">
        <w:r w:rsidRPr="006F371D">
          <w:rPr>
            <w:rStyle w:val="Hyperlink"/>
            <w:sz w:val="18"/>
            <w:szCs w:val="18"/>
          </w:rPr>
          <w:t>Information Security and Privacy Awareness Week</w:t>
        </w:r>
      </w:hyperlink>
      <w:r w:rsidRPr="006F371D">
        <w:rPr>
          <w:sz w:val="18"/>
          <w:szCs w:val="18"/>
        </w:rPr>
        <w:t xml:space="preserve"> and we wanted to remind everyone how to protect Veteran data when asking for help or requesting services from </w:t>
      </w:r>
      <w:r w:rsidRPr="006F371D">
        <w:rPr>
          <w:i/>
          <w:iCs/>
          <w:sz w:val="18"/>
          <w:szCs w:val="18"/>
        </w:rPr>
        <w:t>Your IT Services</w:t>
      </w:r>
      <w:r w:rsidRPr="006F371D">
        <w:rPr>
          <w:sz w:val="18"/>
          <w:szCs w:val="18"/>
        </w:rPr>
        <w:t>.</w:t>
      </w:r>
    </w:p>
    <w:p w:rsidR="006F371D" w:rsidRPr="006F371D" w:rsidRDefault="006F371D" w:rsidP="006F371D">
      <w:pPr>
        <w:ind w:left="1440"/>
        <w:rPr>
          <w:sz w:val="18"/>
          <w:szCs w:val="18"/>
        </w:rPr>
      </w:pPr>
    </w:p>
    <w:p w:rsidR="006F371D" w:rsidRPr="006F371D" w:rsidRDefault="006F371D" w:rsidP="006F371D">
      <w:pPr>
        <w:ind w:left="1440"/>
        <w:rPr>
          <w:sz w:val="18"/>
          <w:szCs w:val="18"/>
        </w:rPr>
      </w:pPr>
      <w:r w:rsidRPr="006F371D">
        <w:rPr>
          <w:sz w:val="18"/>
          <w:szCs w:val="18"/>
        </w:rPr>
        <w:t xml:space="preserve">Ensure personally identifiable information (PII) and protected health information (PHI) is only shared securely. </w:t>
      </w:r>
    </w:p>
    <w:p w:rsidR="006F371D" w:rsidRPr="006F371D" w:rsidRDefault="006F371D" w:rsidP="00F063AF">
      <w:pPr>
        <w:pStyle w:val="ListParagraph"/>
        <w:numPr>
          <w:ilvl w:val="2"/>
          <w:numId w:val="423"/>
        </w:numPr>
        <w:spacing w:after="0" w:line="240" w:lineRule="auto"/>
        <w:contextualSpacing/>
        <w:rPr>
          <w:rFonts w:ascii="Arial" w:hAnsi="Arial"/>
          <w:sz w:val="18"/>
          <w:szCs w:val="18"/>
        </w:rPr>
      </w:pPr>
      <w:r w:rsidRPr="006F371D">
        <w:rPr>
          <w:rFonts w:ascii="Arial" w:hAnsi="Arial"/>
          <w:sz w:val="18"/>
          <w:szCs w:val="18"/>
          <w:u w:val="single"/>
        </w:rPr>
        <w:t>Do not enter PII and PHI</w:t>
      </w:r>
      <w:r w:rsidRPr="006F371D">
        <w:rPr>
          <w:rFonts w:ascii="Arial" w:hAnsi="Arial"/>
          <w:sz w:val="18"/>
          <w:szCs w:val="18"/>
        </w:rPr>
        <w:t xml:space="preserve"> text or attach documents with PII and PHI when submitting a ticket.</w:t>
      </w:r>
    </w:p>
    <w:p w:rsidR="006F371D" w:rsidRPr="006F371D" w:rsidRDefault="006F371D" w:rsidP="00F063AF">
      <w:pPr>
        <w:pStyle w:val="ListParagraph"/>
        <w:numPr>
          <w:ilvl w:val="2"/>
          <w:numId w:val="423"/>
        </w:numPr>
        <w:spacing w:after="0" w:line="240" w:lineRule="auto"/>
        <w:contextualSpacing/>
        <w:rPr>
          <w:rFonts w:ascii="Arial" w:hAnsi="Arial"/>
          <w:sz w:val="18"/>
          <w:szCs w:val="18"/>
        </w:rPr>
      </w:pPr>
      <w:r w:rsidRPr="006F371D">
        <w:rPr>
          <w:rFonts w:ascii="Arial" w:hAnsi="Arial"/>
          <w:sz w:val="18"/>
          <w:szCs w:val="18"/>
          <w:u w:val="single"/>
        </w:rPr>
        <w:t>If PII and PHI are needed</w:t>
      </w:r>
      <w:r w:rsidRPr="006F371D">
        <w:rPr>
          <w:rFonts w:ascii="Arial" w:hAnsi="Arial"/>
          <w:sz w:val="18"/>
          <w:szCs w:val="18"/>
        </w:rPr>
        <w:t xml:space="preserve"> for the resolution of your issue, please keep that information secure outside of </w:t>
      </w:r>
      <w:r w:rsidRPr="006F371D">
        <w:rPr>
          <w:rFonts w:ascii="Arial" w:hAnsi="Arial"/>
          <w:i/>
          <w:iCs/>
          <w:sz w:val="18"/>
          <w:szCs w:val="18"/>
        </w:rPr>
        <w:t>Your IT Services</w:t>
      </w:r>
      <w:r w:rsidRPr="006F371D">
        <w:rPr>
          <w:rFonts w:ascii="Arial" w:hAnsi="Arial"/>
          <w:sz w:val="18"/>
          <w:szCs w:val="18"/>
        </w:rPr>
        <w:t>, but do make a note about it in your ticket.</w:t>
      </w:r>
    </w:p>
    <w:p w:rsidR="006F371D" w:rsidRPr="006F371D" w:rsidRDefault="006F371D" w:rsidP="00F063AF">
      <w:pPr>
        <w:pStyle w:val="ListParagraph"/>
        <w:numPr>
          <w:ilvl w:val="2"/>
          <w:numId w:val="424"/>
        </w:numPr>
        <w:spacing w:after="0" w:line="240" w:lineRule="auto"/>
        <w:ind w:left="2520"/>
        <w:contextualSpacing/>
        <w:rPr>
          <w:rFonts w:ascii="Arial" w:hAnsi="Arial"/>
          <w:sz w:val="18"/>
          <w:szCs w:val="18"/>
        </w:rPr>
      </w:pPr>
      <w:r w:rsidRPr="006F371D">
        <w:rPr>
          <w:rFonts w:ascii="Arial" w:hAnsi="Arial"/>
          <w:sz w:val="18"/>
          <w:szCs w:val="18"/>
        </w:rPr>
        <w:t xml:space="preserve">State that you have PII or PHI necessary for the technician who will be assigned to resolve your issue and that they should contact you when they need it.  </w:t>
      </w:r>
    </w:p>
    <w:p w:rsidR="006F371D" w:rsidRPr="006F371D" w:rsidRDefault="006F371D" w:rsidP="00F063AF">
      <w:pPr>
        <w:pStyle w:val="ListParagraph"/>
        <w:numPr>
          <w:ilvl w:val="2"/>
          <w:numId w:val="424"/>
        </w:numPr>
        <w:spacing w:after="0" w:line="240" w:lineRule="auto"/>
        <w:ind w:left="2520"/>
        <w:contextualSpacing/>
        <w:rPr>
          <w:rFonts w:ascii="Arial" w:hAnsi="Arial"/>
          <w:sz w:val="18"/>
          <w:szCs w:val="18"/>
        </w:rPr>
      </w:pPr>
      <w:r w:rsidRPr="006F371D">
        <w:rPr>
          <w:rFonts w:ascii="Arial" w:hAnsi="Arial"/>
          <w:sz w:val="18"/>
          <w:szCs w:val="18"/>
        </w:rPr>
        <w:t>The technician will reach out to you when the data is needed and you can exchange it securely, such as over encrypted email.</w:t>
      </w:r>
    </w:p>
    <w:p w:rsidR="006F371D" w:rsidRPr="006F371D" w:rsidRDefault="006F371D" w:rsidP="00F063AF">
      <w:pPr>
        <w:pStyle w:val="ListParagraph"/>
        <w:numPr>
          <w:ilvl w:val="2"/>
          <w:numId w:val="423"/>
        </w:numPr>
        <w:spacing w:after="0" w:line="240" w:lineRule="auto"/>
        <w:contextualSpacing/>
        <w:rPr>
          <w:rFonts w:ascii="Arial" w:hAnsi="Arial"/>
          <w:sz w:val="18"/>
          <w:szCs w:val="18"/>
        </w:rPr>
      </w:pPr>
      <w:r w:rsidRPr="006F371D">
        <w:rPr>
          <w:rFonts w:ascii="Arial" w:hAnsi="Arial"/>
          <w:sz w:val="18"/>
          <w:szCs w:val="18"/>
          <w:u w:val="single"/>
        </w:rPr>
        <w:t>To report Privacy or Security related events</w:t>
      </w:r>
      <w:r w:rsidRPr="006F371D">
        <w:rPr>
          <w:rFonts w:ascii="Arial" w:hAnsi="Arial"/>
          <w:sz w:val="18"/>
          <w:szCs w:val="18"/>
        </w:rPr>
        <w:t xml:space="preserve"> in accordance with VA Handbook 6500.2, </w:t>
      </w:r>
      <w:r w:rsidRPr="006F371D">
        <w:rPr>
          <w:rFonts w:ascii="Arial" w:hAnsi="Arial"/>
          <w:i/>
          <w:iCs/>
          <w:sz w:val="18"/>
          <w:szCs w:val="18"/>
        </w:rPr>
        <w:t>Management of Breach’s involving Sensitive Personal Information</w:t>
      </w:r>
      <w:r w:rsidRPr="006F371D">
        <w:rPr>
          <w:rFonts w:ascii="Arial" w:hAnsi="Arial"/>
          <w:sz w:val="18"/>
          <w:szCs w:val="18"/>
        </w:rPr>
        <w:t>:</w:t>
      </w:r>
    </w:p>
    <w:p w:rsidR="006F371D" w:rsidRPr="006F371D" w:rsidRDefault="006F371D" w:rsidP="00F063AF">
      <w:pPr>
        <w:pStyle w:val="ListParagraph"/>
        <w:numPr>
          <w:ilvl w:val="0"/>
          <w:numId w:val="425"/>
        </w:numPr>
        <w:ind w:left="2520"/>
        <w:contextualSpacing/>
        <w:rPr>
          <w:rFonts w:ascii="Arial" w:hAnsi="Arial"/>
          <w:sz w:val="18"/>
          <w:szCs w:val="18"/>
        </w:rPr>
      </w:pPr>
      <w:r w:rsidRPr="006F371D">
        <w:rPr>
          <w:rFonts w:ascii="Arial" w:hAnsi="Arial"/>
          <w:sz w:val="18"/>
          <w:szCs w:val="18"/>
        </w:rPr>
        <w:t>Immediately contact your Facility Privacy Office (PO) or Information Security Officer (ISO).</w:t>
      </w:r>
    </w:p>
    <w:p w:rsidR="006F371D" w:rsidRPr="006F371D" w:rsidRDefault="006F371D" w:rsidP="00F063AF">
      <w:pPr>
        <w:pStyle w:val="ListParagraph"/>
        <w:numPr>
          <w:ilvl w:val="0"/>
          <w:numId w:val="425"/>
        </w:numPr>
        <w:ind w:left="2520"/>
        <w:contextualSpacing/>
        <w:rPr>
          <w:rFonts w:ascii="Arial" w:hAnsi="Arial"/>
          <w:sz w:val="18"/>
          <w:szCs w:val="18"/>
        </w:rPr>
      </w:pPr>
      <w:r w:rsidRPr="006F371D">
        <w:rPr>
          <w:rFonts w:ascii="Arial" w:hAnsi="Arial"/>
          <w:sz w:val="18"/>
          <w:szCs w:val="18"/>
        </w:rPr>
        <w:t xml:space="preserve">At no time should actual or suspected Privacy or Security related events be reported within </w:t>
      </w:r>
      <w:r w:rsidRPr="006F371D">
        <w:rPr>
          <w:rFonts w:ascii="Arial" w:hAnsi="Arial"/>
          <w:i/>
          <w:iCs/>
          <w:sz w:val="18"/>
          <w:szCs w:val="18"/>
        </w:rPr>
        <w:t>Your IT Services</w:t>
      </w:r>
      <w:r w:rsidRPr="006F371D">
        <w:rPr>
          <w:rFonts w:ascii="Arial" w:hAnsi="Arial"/>
          <w:sz w:val="18"/>
          <w:szCs w:val="18"/>
        </w:rPr>
        <w:t>.</w:t>
      </w:r>
    </w:p>
    <w:p w:rsidR="006F371D" w:rsidRPr="006F371D" w:rsidRDefault="006F371D" w:rsidP="006F371D">
      <w:pPr>
        <w:pStyle w:val="ListParagraph"/>
        <w:spacing w:after="0" w:line="240" w:lineRule="auto"/>
        <w:ind w:left="2520"/>
        <w:rPr>
          <w:rFonts w:ascii="Arial" w:hAnsi="Arial"/>
          <w:sz w:val="18"/>
          <w:szCs w:val="18"/>
        </w:rPr>
      </w:pPr>
    </w:p>
    <w:p w:rsidR="006F371D" w:rsidRPr="006F371D" w:rsidRDefault="006F371D" w:rsidP="006F371D">
      <w:pPr>
        <w:ind w:left="1440"/>
        <w:rPr>
          <w:sz w:val="18"/>
          <w:szCs w:val="18"/>
        </w:rPr>
      </w:pPr>
      <w:r w:rsidRPr="006F371D">
        <w:rPr>
          <w:sz w:val="18"/>
          <w:szCs w:val="18"/>
        </w:rPr>
        <w:t xml:space="preserve">Always access </w:t>
      </w:r>
      <w:r w:rsidRPr="006F371D">
        <w:rPr>
          <w:i/>
          <w:iCs/>
          <w:sz w:val="18"/>
          <w:szCs w:val="18"/>
        </w:rPr>
        <w:t>Your IT Services</w:t>
      </w:r>
      <w:r w:rsidRPr="006F371D">
        <w:rPr>
          <w:sz w:val="18"/>
          <w:szCs w:val="18"/>
        </w:rPr>
        <w:t xml:space="preserve"> by clicking on the “Your IT” icon on your desktop. If you can’t access </w:t>
      </w:r>
      <w:r w:rsidRPr="006F371D">
        <w:rPr>
          <w:i/>
          <w:iCs/>
          <w:sz w:val="18"/>
          <w:szCs w:val="18"/>
        </w:rPr>
        <w:t>Your IT Services</w:t>
      </w:r>
      <w:r w:rsidRPr="006F371D">
        <w:rPr>
          <w:sz w:val="18"/>
          <w:szCs w:val="18"/>
        </w:rPr>
        <w:t xml:space="preserve"> or prefer to talk to someone, please call the Enterprise Service Desk at 1-855-673-4357. TTY users may dial 1-512-326-6638. For user guides and training videos visit the </w:t>
      </w:r>
      <w:hyperlink r:id="rId68" w:history="1">
        <w:r w:rsidRPr="006F371D">
          <w:rPr>
            <w:rStyle w:val="Hyperlink"/>
            <w:sz w:val="18"/>
            <w:szCs w:val="18"/>
          </w:rPr>
          <w:t>Your IT Services intranet page</w:t>
        </w:r>
      </w:hyperlink>
      <w:r w:rsidRPr="006F371D">
        <w:rPr>
          <w:sz w:val="18"/>
          <w:szCs w:val="18"/>
        </w:rPr>
        <w:t xml:space="preserve">. </w:t>
      </w:r>
    </w:p>
    <w:p w:rsidR="006F371D" w:rsidRPr="006F371D" w:rsidRDefault="006F371D" w:rsidP="006F371D">
      <w:pPr>
        <w:ind w:left="1440"/>
        <w:rPr>
          <w:sz w:val="18"/>
          <w:szCs w:val="18"/>
        </w:rPr>
      </w:pPr>
    </w:p>
    <w:p w:rsidR="006F371D" w:rsidRPr="006F371D" w:rsidRDefault="006F371D" w:rsidP="006F371D">
      <w:pPr>
        <w:ind w:left="1440"/>
        <w:rPr>
          <w:sz w:val="18"/>
          <w:szCs w:val="18"/>
        </w:rPr>
      </w:pPr>
      <w:r w:rsidRPr="006F371D">
        <w:rPr>
          <w:sz w:val="18"/>
          <w:szCs w:val="18"/>
        </w:rPr>
        <w:t>Protecting the sensitive personal information of the Veterans we are entrusted to protect is of the utmost importance, ensuring that proper protocols are followed will assist in the timely mitigation of any events.</w:t>
      </w:r>
    </w:p>
    <w:p w:rsidR="006F371D" w:rsidRPr="006F371D" w:rsidRDefault="006F371D" w:rsidP="006F371D">
      <w:pPr>
        <w:ind w:left="1440"/>
        <w:rPr>
          <w:sz w:val="18"/>
          <w:szCs w:val="18"/>
        </w:rPr>
      </w:pPr>
    </w:p>
    <w:p w:rsidR="006F371D" w:rsidRPr="006F371D" w:rsidRDefault="006F371D" w:rsidP="006F371D">
      <w:pPr>
        <w:ind w:left="1440"/>
        <w:rPr>
          <w:color w:val="002060"/>
          <w:sz w:val="18"/>
          <w:szCs w:val="18"/>
        </w:rPr>
      </w:pPr>
      <w:r w:rsidRPr="006F371D">
        <w:rPr>
          <w:sz w:val="18"/>
          <w:szCs w:val="18"/>
        </w:rPr>
        <w:lastRenderedPageBreak/>
        <w:t>The Office of Information and Technology</w:t>
      </w:r>
    </w:p>
    <w:p w:rsidR="006F371D" w:rsidRDefault="006F371D" w:rsidP="00B02238">
      <w:pPr>
        <w:pStyle w:val="ListParagraph"/>
        <w:spacing w:after="120" w:line="240" w:lineRule="auto"/>
        <w:ind w:left="1440"/>
        <w:rPr>
          <w:rStyle w:val="Hyperlink"/>
          <w:rFonts w:asciiTheme="minorHAnsi" w:hAnsiTheme="minorHAnsi"/>
          <w:i/>
          <w:color w:val="auto"/>
          <w:sz w:val="20"/>
          <w:szCs w:val="20"/>
          <w:u w:val="none"/>
        </w:rPr>
      </w:pPr>
    </w:p>
    <w:p w:rsidR="00F969DE" w:rsidRPr="00F969DE" w:rsidRDefault="00F969DE" w:rsidP="00F063AF">
      <w:pPr>
        <w:pStyle w:val="ListParagraph"/>
        <w:numPr>
          <w:ilvl w:val="2"/>
          <w:numId w:val="422"/>
        </w:numPr>
        <w:ind w:left="1440"/>
        <w:rPr>
          <w:sz w:val="18"/>
        </w:rPr>
      </w:pPr>
      <w:r w:rsidRPr="00F969DE">
        <w:rPr>
          <w:b/>
          <w:bCs/>
          <w:sz w:val="18"/>
        </w:rPr>
        <w:t>From:</w:t>
      </w:r>
      <w:r w:rsidRPr="00F969DE">
        <w:rPr>
          <w:sz w:val="18"/>
        </w:rPr>
        <w:t xml:space="preserve"> Riggs, William A. (OI&amp;T - San Diego) </w:t>
      </w:r>
      <w:r w:rsidRPr="00F969DE">
        <w:rPr>
          <w:sz w:val="18"/>
        </w:rPr>
        <w:br/>
      </w:r>
      <w:r w:rsidRPr="00F969DE">
        <w:rPr>
          <w:b/>
          <w:bCs/>
          <w:sz w:val="18"/>
        </w:rPr>
        <w:t>Sent:</w:t>
      </w:r>
      <w:r w:rsidRPr="00F969DE">
        <w:rPr>
          <w:sz w:val="18"/>
        </w:rPr>
        <w:t xml:space="preserve"> Monday, May 07, 2018 3:19 PM</w:t>
      </w:r>
      <w:r w:rsidRPr="00F969DE">
        <w:rPr>
          <w:sz w:val="18"/>
        </w:rPr>
        <w:br/>
      </w:r>
      <w:r w:rsidRPr="00F969DE">
        <w:rPr>
          <w:b/>
          <w:bCs/>
          <w:sz w:val="18"/>
        </w:rPr>
        <w:t>Subject:</w:t>
      </w:r>
      <w:r w:rsidRPr="00F969DE">
        <w:rPr>
          <w:sz w:val="18"/>
        </w:rPr>
        <w:t xml:space="preserve"> Assistance Requesting IT Tickets</w:t>
      </w:r>
    </w:p>
    <w:p w:rsidR="00F969DE" w:rsidRPr="00F969DE" w:rsidRDefault="00F969DE" w:rsidP="00F969DE">
      <w:pPr>
        <w:tabs>
          <w:tab w:val="left" w:pos="1260"/>
        </w:tabs>
        <w:ind w:left="1440"/>
        <w:rPr>
          <w:sz w:val="18"/>
        </w:rPr>
      </w:pPr>
      <w:r w:rsidRPr="00F969DE">
        <w:rPr>
          <w:sz w:val="18"/>
        </w:rPr>
        <w:t>There is a new requirement when submitting a ticket using the youtIT self-portal to include hostname (PC/Computer Name) and EE number of the of the affected system.</w:t>
      </w:r>
    </w:p>
    <w:p w:rsidR="00F969DE" w:rsidRPr="00F969DE" w:rsidRDefault="00F969DE" w:rsidP="00F969DE">
      <w:pPr>
        <w:rPr>
          <w:sz w:val="18"/>
        </w:rPr>
      </w:pPr>
    </w:p>
    <w:p w:rsidR="00F969DE" w:rsidRPr="00F969DE" w:rsidRDefault="00F969DE" w:rsidP="00F969DE">
      <w:pPr>
        <w:ind w:left="1440"/>
        <w:rPr>
          <w:sz w:val="18"/>
        </w:rPr>
      </w:pPr>
      <w:r w:rsidRPr="00F969DE">
        <w:rPr>
          <w:noProof/>
          <w:sz w:val="18"/>
        </w:rPr>
        <w:drawing>
          <wp:inline distT="0" distB="0" distL="0" distR="0" wp14:anchorId="5936880B" wp14:editId="1C0DFB18">
            <wp:extent cx="5642793" cy="671436"/>
            <wp:effectExtent l="0" t="0" r="0" b="0"/>
            <wp:docPr id="24678" name="Picture 24678" descr="cid:image001.png@01D3E616.B24EB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3E616.B24EBD10"/>
                    <pic:cNvPicPr>
                      <a:picLocks noChangeAspect="1" noChangeArrowheads="1"/>
                    </pic:cNvPicPr>
                  </pic:nvPicPr>
                  <pic:blipFill>
                    <a:blip r:embed="rId69" r:link="rId70">
                      <a:extLst>
                        <a:ext uri="{28A0092B-C50C-407E-A947-70E740481C1C}">
                          <a14:useLocalDpi xmlns:a14="http://schemas.microsoft.com/office/drawing/2010/main" val="0"/>
                        </a:ext>
                      </a:extLst>
                    </a:blip>
                    <a:srcRect/>
                    <a:stretch>
                      <a:fillRect/>
                    </a:stretch>
                  </pic:blipFill>
                  <pic:spPr bwMode="auto">
                    <a:xfrm>
                      <a:off x="0" y="0"/>
                      <a:ext cx="5642961" cy="671456"/>
                    </a:xfrm>
                    <a:prstGeom prst="rect">
                      <a:avLst/>
                    </a:prstGeom>
                    <a:noFill/>
                    <a:ln>
                      <a:noFill/>
                    </a:ln>
                  </pic:spPr>
                </pic:pic>
              </a:graphicData>
            </a:graphic>
          </wp:inline>
        </w:drawing>
      </w:r>
    </w:p>
    <w:p w:rsidR="00F969DE" w:rsidRPr="00F969DE" w:rsidRDefault="00F969DE" w:rsidP="00F969DE">
      <w:pPr>
        <w:rPr>
          <w:sz w:val="18"/>
        </w:rPr>
      </w:pPr>
    </w:p>
    <w:p w:rsidR="00F969DE" w:rsidRPr="00F969DE" w:rsidRDefault="00F969DE" w:rsidP="00F969DE">
      <w:pPr>
        <w:ind w:left="1440"/>
        <w:rPr>
          <w:sz w:val="18"/>
        </w:rPr>
      </w:pPr>
      <w:r w:rsidRPr="00F969DE">
        <w:rPr>
          <w:sz w:val="18"/>
        </w:rPr>
        <w:t>To help make finding the Computer Name easier IRM has added a utility in the LOCAL APPS folder called Computer Name.</w:t>
      </w:r>
    </w:p>
    <w:p w:rsidR="00F969DE" w:rsidRPr="00F969DE" w:rsidRDefault="00F969DE" w:rsidP="00F969DE">
      <w:pPr>
        <w:rPr>
          <w:sz w:val="18"/>
        </w:rPr>
      </w:pPr>
    </w:p>
    <w:p w:rsidR="00F969DE" w:rsidRPr="00F969DE" w:rsidRDefault="00F969DE" w:rsidP="00F969DE">
      <w:pPr>
        <w:ind w:left="1440"/>
        <w:rPr>
          <w:sz w:val="18"/>
        </w:rPr>
      </w:pPr>
      <w:r w:rsidRPr="00F969DE">
        <w:rPr>
          <w:noProof/>
          <w:sz w:val="18"/>
        </w:rPr>
        <w:drawing>
          <wp:inline distT="0" distB="0" distL="0" distR="0" wp14:anchorId="00A82568" wp14:editId="4DAFAB6C">
            <wp:extent cx="2541270" cy="3242945"/>
            <wp:effectExtent l="0" t="0" r="0" b="0"/>
            <wp:docPr id="24677" name="Picture 24677" descr="cid:image002.png@01D3E616.B24EB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3E616.B24EBD10"/>
                    <pic:cNvPicPr>
                      <a:picLocks noChangeAspect="1" noChangeArrowheads="1"/>
                    </pic:cNvPicPr>
                  </pic:nvPicPr>
                  <pic:blipFill>
                    <a:blip r:embed="rId71" r:link="rId72" cstate="print">
                      <a:extLst>
                        <a:ext uri="{28A0092B-C50C-407E-A947-70E740481C1C}">
                          <a14:useLocalDpi xmlns:a14="http://schemas.microsoft.com/office/drawing/2010/main" val="0"/>
                        </a:ext>
                      </a:extLst>
                    </a:blip>
                    <a:srcRect/>
                    <a:stretch>
                      <a:fillRect/>
                    </a:stretch>
                  </pic:blipFill>
                  <pic:spPr bwMode="auto">
                    <a:xfrm>
                      <a:off x="0" y="0"/>
                      <a:ext cx="2541270" cy="3242945"/>
                    </a:xfrm>
                    <a:prstGeom prst="rect">
                      <a:avLst/>
                    </a:prstGeom>
                    <a:noFill/>
                    <a:ln>
                      <a:noFill/>
                    </a:ln>
                  </pic:spPr>
                </pic:pic>
              </a:graphicData>
            </a:graphic>
          </wp:inline>
        </w:drawing>
      </w:r>
    </w:p>
    <w:p w:rsidR="00F969DE" w:rsidRPr="00F969DE" w:rsidRDefault="00F969DE" w:rsidP="00F969DE">
      <w:pPr>
        <w:ind w:left="1440"/>
        <w:rPr>
          <w:sz w:val="18"/>
        </w:rPr>
      </w:pPr>
    </w:p>
    <w:p w:rsidR="00F969DE" w:rsidRPr="00F969DE" w:rsidRDefault="00F969DE" w:rsidP="00F969DE">
      <w:pPr>
        <w:ind w:left="1440"/>
        <w:rPr>
          <w:sz w:val="18"/>
        </w:rPr>
      </w:pPr>
      <w:r w:rsidRPr="00F969DE">
        <w:rPr>
          <w:sz w:val="18"/>
        </w:rPr>
        <w:t>It will show the following information, sample provided is from my workstation.</w:t>
      </w:r>
    </w:p>
    <w:p w:rsidR="00F969DE" w:rsidRPr="00F969DE" w:rsidRDefault="00F969DE" w:rsidP="00F969DE">
      <w:pPr>
        <w:ind w:left="1440"/>
        <w:rPr>
          <w:sz w:val="18"/>
        </w:rPr>
      </w:pPr>
    </w:p>
    <w:p w:rsidR="00F969DE" w:rsidRPr="00F969DE" w:rsidRDefault="00F969DE" w:rsidP="00F969DE">
      <w:pPr>
        <w:ind w:left="1440"/>
        <w:rPr>
          <w:sz w:val="18"/>
        </w:rPr>
      </w:pPr>
      <w:r w:rsidRPr="00F969DE">
        <w:rPr>
          <w:noProof/>
          <w:sz w:val="18"/>
        </w:rPr>
        <w:drawing>
          <wp:inline distT="0" distB="0" distL="0" distR="0" wp14:anchorId="69A6879C" wp14:editId="34AD6488">
            <wp:extent cx="4401820" cy="1360805"/>
            <wp:effectExtent l="0" t="0" r="0" b="0"/>
            <wp:docPr id="24676" name="Picture 24676" descr="cid:image003.png@01D3E616.B24EB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3.png@01D3E616.B24EBD10"/>
                    <pic:cNvPicPr>
                      <a:picLocks noChangeAspect="1" noChangeArrowheads="1"/>
                    </pic:cNvPicPr>
                  </pic:nvPicPr>
                  <pic:blipFill>
                    <a:blip r:embed="rId73" r:link="rId74">
                      <a:extLst>
                        <a:ext uri="{28A0092B-C50C-407E-A947-70E740481C1C}">
                          <a14:useLocalDpi xmlns:a14="http://schemas.microsoft.com/office/drawing/2010/main" val="0"/>
                        </a:ext>
                      </a:extLst>
                    </a:blip>
                    <a:srcRect/>
                    <a:stretch>
                      <a:fillRect/>
                    </a:stretch>
                  </pic:blipFill>
                  <pic:spPr bwMode="auto">
                    <a:xfrm>
                      <a:off x="0" y="0"/>
                      <a:ext cx="4401820" cy="1360805"/>
                    </a:xfrm>
                    <a:prstGeom prst="rect">
                      <a:avLst/>
                    </a:prstGeom>
                    <a:noFill/>
                    <a:ln>
                      <a:noFill/>
                    </a:ln>
                  </pic:spPr>
                </pic:pic>
              </a:graphicData>
            </a:graphic>
          </wp:inline>
        </w:drawing>
      </w:r>
    </w:p>
    <w:p w:rsidR="00F969DE" w:rsidRPr="00F969DE" w:rsidRDefault="00F969DE" w:rsidP="00F969DE">
      <w:pPr>
        <w:ind w:left="1440"/>
        <w:rPr>
          <w:sz w:val="18"/>
        </w:rPr>
      </w:pPr>
    </w:p>
    <w:p w:rsidR="00F969DE" w:rsidRPr="00F969DE" w:rsidRDefault="00F969DE" w:rsidP="00F969DE">
      <w:pPr>
        <w:ind w:left="1440"/>
        <w:rPr>
          <w:sz w:val="18"/>
        </w:rPr>
      </w:pPr>
      <w:r w:rsidRPr="00F969DE">
        <w:rPr>
          <w:sz w:val="18"/>
        </w:rPr>
        <w:t>When providing the EE number please provide the EE number from the specific equipment you are reporting; laptops, PCs, printers and monitors all have a different EE tag.  See the below screen shot as a sample.  Please do not provide the EE number to your monitor if the problem being reported is for the PC.</w:t>
      </w:r>
    </w:p>
    <w:p w:rsidR="00F969DE" w:rsidRDefault="00F969DE" w:rsidP="00F969DE">
      <w:pPr>
        <w:ind w:left="1440"/>
      </w:pPr>
    </w:p>
    <w:p w:rsidR="00F969DE" w:rsidRDefault="00F969DE" w:rsidP="00F969DE">
      <w:pPr>
        <w:ind w:left="1440"/>
      </w:pPr>
      <w:r>
        <w:rPr>
          <w:noProof/>
        </w:rPr>
        <w:drawing>
          <wp:inline distT="0" distB="0" distL="0" distR="0" wp14:anchorId="7AF68EB8" wp14:editId="5FCE1676">
            <wp:extent cx="1924685" cy="733425"/>
            <wp:effectExtent l="0" t="0" r="0" b="9525"/>
            <wp:docPr id="24675" name="Picture 24675" descr="cid:image004.png@01D3E616.B24EB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4.png@01D3E616.B24EBD10"/>
                    <pic:cNvPicPr>
                      <a:picLocks noChangeAspect="1" noChangeArrowheads="1"/>
                    </pic:cNvPicPr>
                  </pic:nvPicPr>
                  <pic:blipFill>
                    <a:blip r:embed="rId75" r:link="rId76" cstate="print">
                      <a:extLst>
                        <a:ext uri="{28A0092B-C50C-407E-A947-70E740481C1C}">
                          <a14:useLocalDpi xmlns:a14="http://schemas.microsoft.com/office/drawing/2010/main" val="0"/>
                        </a:ext>
                      </a:extLst>
                    </a:blip>
                    <a:srcRect/>
                    <a:stretch>
                      <a:fillRect/>
                    </a:stretch>
                  </pic:blipFill>
                  <pic:spPr bwMode="auto">
                    <a:xfrm>
                      <a:off x="0" y="0"/>
                      <a:ext cx="1924685" cy="733425"/>
                    </a:xfrm>
                    <a:prstGeom prst="rect">
                      <a:avLst/>
                    </a:prstGeom>
                    <a:noFill/>
                    <a:ln>
                      <a:noFill/>
                    </a:ln>
                  </pic:spPr>
                </pic:pic>
              </a:graphicData>
            </a:graphic>
          </wp:inline>
        </w:drawing>
      </w:r>
    </w:p>
    <w:p w:rsidR="00F969DE" w:rsidRDefault="00F969DE" w:rsidP="00F969DE"/>
    <w:p w:rsidR="00F969DE" w:rsidRDefault="00F969DE" w:rsidP="00F969DE"/>
    <w:p w:rsidR="00F969DE" w:rsidRDefault="00F969DE" w:rsidP="00B02238">
      <w:pPr>
        <w:pStyle w:val="ListParagraph"/>
        <w:spacing w:after="120" w:line="240" w:lineRule="auto"/>
        <w:ind w:left="1440"/>
        <w:rPr>
          <w:rStyle w:val="Hyperlink"/>
          <w:rFonts w:asciiTheme="minorHAnsi" w:hAnsiTheme="minorHAnsi"/>
          <w:i/>
          <w:color w:val="auto"/>
          <w:sz w:val="20"/>
          <w:szCs w:val="20"/>
          <w:u w:val="none"/>
        </w:rPr>
      </w:pPr>
    </w:p>
    <w:p w:rsidR="00F969DE" w:rsidRDefault="00F969DE" w:rsidP="00B02238">
      <w:pPr>
        <w:pStyle w:val="ListParagraph"/>
        <w:spacing w:after="120" w:line="240" w:lineRule="auto"/>
        <w:ind w:left="1440"/>
        <w:rPr>
          <w:rStyle w:val="Hyperlink"/>
          <w:rFonts w:asciiTheme="minorHAnsi" w:hAnsiTheme="minorHAnsi"/>
          <w:i/>
          <w:color w:val="auto"/>
          <w:sz w:val="20"/>
          <w:szCs w:val="20"/>
          <w:u w:val="none"/>
        </w:rPr>
      </w:pPr>
    </w:p>
    <w:p w:rsidR="00F969DE" w:rsidRPr="00B02238" w:rsidRDefault="00F969DE" w:rsidP="00B02238">
      <w:pPr>
        <w:pStyle w:val="ListParagraph"/>
        <w:spacing w:after="120" w:line="240" w:lineRule="auto"/>
        <w:ind w:left="1440"/>
        <w:rPr>
          <w:rStyle w:val="Hyperlink"/>
          <w:rFonts w:asciiTheme="minorHAnsi" w:hAnsiTheme="minorHAnsi"/>
          <w:i/>
          <w:color w:val="auto"/>
          <w:sz w:val="20"/>
          <w:szCs w:val="20"/>
          <w:u w:val="none"/>
        </w:rPr>
      </w:pPr>
    </w:p>
    <w:p w:rsidR="008E6AD6" w:rsidRPr="00F32BCE" w:rsidRDefault="00D571C5" w:rsidP="00F063AF">
      <w:pPr>
        <w:widowControl w:val="0"/>
        <w:numPr>
          <w:ilvl w:val="0"/>
          <w:numId w:val="111"/>
        </w:numPr>
        <w:spacing w:after="120"/>
        <w:rPr>
          <w:b/>
          <w:i/>
          <w:iCs/>
        </w:rPr>
      </w:pPr>
      <w:hyperlink r:id="rId77" w:history="1">
        <w:r w:rsidR="008E6AD6" w:rsidRPr="00A07F47">
          <w:rPr>
            <w:rStyle w:val="Hyperlink"/>
            <w:b/>
            <w:i/>
            <w:iCs/>
          </w:rPr>
          <w:t>eOPF</w:t>
        </w:r>
      </w:hyperlink>
      <w:r w:rsidR="00ED12D2">
        <w:rPr>
          <w:rStyle w:val="Hyperlink"/>
          <w:iCs/>
          <w:u w:val="none"/>
        </w:rPr>
        <w:t xml:space="preserve"> </w:t>
      </w:r>
      <w:r w:rsidR="00ED12D2" w:rsidRPr="00F32BCE">
        <w:rPr>
          <w:rStyle w:val="Hyperlink"/>
          <w:iCs/>
          <w:color w:val="auto"/>
          <w:u w:val="none"/>
        </w:rPr>
        <w:t>– previously https://eopf.nbc.gov/va</w:t>
      </w:r>
    </w:p>
    <w:p w:rsidR="008E6AD6" w:rsidRDefault="00D571C5" w:rsidP="00F063AF">
      <w:pPr>
        <w:pStyle w:val="ListParagraph"/>
        <w:numPr>
          <w:ilvl w:val="0"/>
          <w:numId w:val="111"/>
        </w:numPr>
        <w:spacing w:after="120" w:line="240" w:lineRule="auto"/>
        <w:rPr>
          <w:rFonts w:ascii="Arial" w:hAnsi="Arial"/>
          <w:b/>
          <w:i/>
          <w:sz w:val="20"/>
          <w:szCs w:val="20"/>
        </w:rPr>
      </w:pPr>
      <w:hyperlink r:id="rId78" w:history="1">
        <w:r w:rsidR="008E6AD6" w:rsidRPr="008E6AD6">
          <w:rPr>
            <w:rStyle w:val="Hyperlink"/>
            <w:rFonts w:ascii="Arial" w:hAnsi="Arial"/>
            <w:b/>
            <w:i/>
            <w:sz w:val="20"/>
            <w:szCs w:val="20"/>
          </w:rPr>
          <w:t>MyPay</w:t>
        </w:r>
      </w:hyperlink>
    </w:p>
    <w:p w:rsidR="00EA0432" w:rsidRPr="000C6D62" w:rsidRDefault="00D571C5" w:rsidP="00F063AF">
      <w:pPr>
        <w:widowControl w:val="0"/>
        <w:numPr>
          <w:ilvl w:val="1"/>
          <w:numId w:val="241"/>
        </w:numPr>
        <w:tabs>
          <w:tab w:val="clear" w:pos="1440"/>
          <w:tab w:val="num" w:pos="720"/>
        </w:tabs>
        <w:spacing w:after="120"/>
        <w:ind w:left="720"/>
        <w:rPr>
          <w:i/>
          <w:iCs/>
        </w:rPr>
      </w:pPr>
      <w:hyperlink r:id="rId79" w:history="1">
        <w:r w:rsidR="00DC50DE" w:rsidRPr="00DC50DE">
          <w:rPr>
            <w:rStyle w:val="Hyperlink"/>
            <w:b/>
            <w:i/>
          </w:rPr>
          <w:t>VATAS</w:t>
        </w:r>
      </w:hyperlink>
      <w:r w:rsidR="00CF0B9E">
        <w:rPr>
          <w:rStyle w:val="Hyperlink"/>
          <w:u w:val="none"/>
        </w:rPr>
        <w:t xml:space="preserve"> </w:t>
      </w:r>
      <w:r w:rsidR="00B26C4B" w:rsidRPr="00B26C4B">
        <w:rPr>
          <w:rStyle w:val="Hyperlink"/>
          <w:color w:val="auto"/>
          <w:u w:val="none"/>
        </w:rPr>
        <w:t>(</w:t>
      </w:r>
      <w:r w:rsidR="00C46262">
        <w:rPr>
          <w:rStyle w:val="Hyperlink"/>
          <w:color w:val="auto"/>
          <w:u w:val="none"/>
        </w:rPr>
        <w:t>eff</w:t>
      </w:r>
      <w:r w:rsidR="00333DA1">
        <w:rPr>
          <w:rStyle w:val="Hyperlink"/>
          <w:color w:val="auto"/>
          <w:u w:val="none"/>
        </w:rPr>
        <w:t xml:space="preserve"> 10/22/15; </w:t>
      </w:r>
      <w:r w:rsidR="00B26C4B" w:rsidRPr="00B26C4B">
        <w:rPr>
          <w:rStyle w:val="Hyperlink"/>
          <w:color w:val="auto"/>
          <w:u w:val="none"/>
        </w:rPr>
        <w:t>flast6789</w:t>
      </w:r>
      <w:r w:rsidR="00B26C4B">
        <w:rPr>
          <w:rStyle w:val="Hyperlink"/>
          <w:color w:val="auto"/>
          <w:u w:val="none"/>
        </w:rPr>
        <w:t xml:space="preserve"> [last 4 of SSN];</w:t>
      </w:r>
      <w:r w:rsidR="00B26C4B" w:rsidRPr="00B26C4B">
        <w:rPr>
          <w:rStyle w:val="Hyperlink"/>
          <w:color w:val="auto"/>
          <w:u w:val="none"/>
        </w:rPr>
        <w:t xml:space="preserve"> 12 char, 1 upper, 1 lower, 1 #, </w:t>
      </w:r>
      <w:r w:rsidR="00E345A7">
        <w:rPr>
          <w:rStyle w:val="Hyperlink"/>
          <w:color w:val="auto"/>
          <w:u w:val="none"/>
        </w:rPr>
        <w:t>1 spec char</w:t>
      </w:r>
      <w:r w:rsidR="00B26C4B">
        <w:rPr>
          <w:rStyle w:val="Hyperlink"/>
          <w:color w:val="auto"/>
          <w:u w:val="none"/>
        </w:rPr>
        <w:t xml:space="preserve">; </w:t>
      </w:r>
      <w:r w:rsidR="000569C4">
        <w:rPr>
          <w:rStyle w:val="Hyperlink"/>
          <w:color w:val="auto"/>
          <w:u w:val="none"/>
        </w:rPr>
        <w:t xml:space="preserve">change every </w:t>
      </w:r>
      <w:r w:rsidR="00B26C4B">
        <w:rPr>
          <w:rStyle w:val="Hyperlink"/>
          <w:color w:val="auto"/>
          <w:u w:val="none"/>
        </w:rPr>
        <w:t>90 days</w:t>
      </w:r>
      <w:r w:rsidR="00B26C4B" w:rsidRPr="00B26C4B">
        <w:rPr>
          <w:rStyle w:val="Hyperlink"/>
          <w:color w:val="auto"/>
          <w:u w:val="none"/>
        </w:rPr>
        <w:t xml:space="preserve">) </w:t>
      </w:r>
      <w:r w:rsidR="00CF0B9E">
        <w:rPr>
          <w:rStyle w:val="Hyperlink"/>
          <w:u w:val="none"/>
        </w:rPr>
        <w:t xml:space="preserve">- </w:t>
      </w:r>
      <w:r w:rsidR="007867A5" w:rsidRPr="006A627B">
        <w:rPr>
          <w:i/>
        </w:rPr>
        <w:t>https://www.vapulse.net/groups/vatas</w:t>
      </w:r>
      <w:r w:rsidR="00EA0432">
        <w:rPr>
          <w:iCs/>
        </w:rPr>
        <w:t>; under Favorites - VA Shortcuts - National</w:t>
      </w:r>
    </w:p>
    <w:p w:rsidR="0023331B" w:rsidRDefault="00B26C4B" w:rsidP="00F063AF">
      <w:pPr>
        <w:pStyle w:val="ListParagraph"/>
        <w:numPr>
          <w:ilvl w:val="1"/>
          <w:numId w:val="111"/>
        </w:numPr>
        <w:spacing w:after="120" w:line="240" w:lineRule="auto"/>
        <w:rPr>
          <w:rStyle w:val="Hyperlink"/>
          <w:rFonts w:ascii="Arial" w:hAnsi="Arial"/>
          <w:b/>
          <w:i/>
          <w:color w:val="auto"/>
          <w:sz w:val="20"/>
          <w:szCs w:val="20"/>
          <w:u w:val="none"/>
        </w:rPr>
      </w:pPr>
      <w:r w:rsidRPr="006A627B">
        <w:rPr>
          <w:rFonts w:ascii="Arial" w:hAnsi="Arial"/>
          <w:i/>
          <w:sz w:val="20"/>
          <w:szCs w:val="20"/>
        </w:rPr>
        <w:t>https://vaww.portal.fsc.va.gov/FSS/PSSD/CVATASOPS2/SitePages/Home.aspx</w:t>
      </w:r>
      <w:r w:rsidRPr="006A627B">
        <w:rPr>
          <w:rFonts w:ascii="Arial" w:hAnsi="Arial"/>
          <w:sz w:val="20"/>
          <w:szCs w:val="20"/>
        </w:rPr>
        <w:t xml:space="preserve"> - tried 10/6/15</w:t>
      </w:r>
      <w:r>
        <w:rPr>
          <w:rStyle w:val="Hyperlink"/>
          <w:rFonts w:ascii="Arial" w:hAnsi="Arial"/>
          <w:color w:val="auto"/>
          <w:sz w:val="20"/>
          <w:szCs w:val="20"/>
          <w:u w:val="none"/>
        </w:rPr>
        <w:t>, but access was denied</w:t>
      </w:r>
    </w:p>
    <w:p w:rsidR="00B26C4B" w:rsidRDefault="00B26C4B" w:rsidP="00F063AF">
      <w:pPr>
        <w:pStyle w:val="ListParagraph"/>
        <w:numPr>
          <w:ilvl w:val="1"/>
          <w:numId w:val="111"/>
        </w:numPr>
        <w:spacing w:after="120" w:line="240" w:lineRule="auto"/>
        <w:rPr>
          <w:rStyle w:val="Hyperlink"/>
          <w:rFonts w:ascii="Arial" w:hAnsi="Arial"/>
          <w:i/>
          <w:color w:val="auto"/>
          <w:sz w:val="20"/>
          <w:szCs w:val="20"/>
          <w:u w:val="none"/>
        </w:rPr>
      </w:pPr>
      <w:r w:rsidRPr="006A627B">
        <w:rPr>
          <w:rFonts w:ascii="Arial" w:hAnsi="Arial"/>
          <w:i/>
          <w:sz w:val="20"/>
          <w:szCs w:val="20"/>
        </w:rPr>
        <w:t>https://vaww.fsccollaboration.fsc.va.gov/VATAS%20Support/SitePages/Home.aspx</w:t>
      </w:r>
    </w:p>
    <w:p w:rsidR="00A06417" w:rsidRPr="000569C4" w:rsidRDefault="000569C4" w:rsidP="00F063AF">
      <w:pPr>
        <w:pStyle w:val="ListParagraph"/>
        <w:numPr>
          <w:ilvl w:val="1"/>
          <w:numId w:val="111"/>
        </w:numPr>
        <w:spacing w:after="120" w:line="240" w:lineRule="auto"/>
        <w:rPr>
          <w:rStyle w:val="Hyperlink"/>
          <w:rFonts w:ascii="Arial" w:hAnsi="Arial"/>
          <w:i/>
          <w:color w:val="auto"/>
          <w:sz w:val="20"/>
          <w:szCs w:val="20"/>
          <w:u w:val="none"/>
        </w:rPr>
      </w:pPr>
      <w:r>
        <w:rPr>
          <w:rStyle w:val="Hyperlink"/>
          <w:rFonts w:ascii="Arial" w:hAnsi="Arial"/>
          <w:color w:val="auto"/>
          <w:sz w:val="20"/>
          <w:szCs w:val="20"/>
          <w:u w:val="none"/>
        </w:rPr>
        <w:t>enter</w:t>
      </w:r>
      <w:r w:rsidR="00A06417">
        <w:rPr>
          <w:rStyle w:val="Hyperlink"/>
          <w:rFonts w:ascii="Arial" w:hAnsi="Arial"/>
          <w:color w:val="auto"/>
          <w:sz w:val="20"/>
          <w:szCs w:val="20"/>
          <w:u w:val="none"/>
        </w:rPr>
        <w:t xml:space="preserve"> requests involving different pay periods in diff</w:t>
      </w:r>
      <w:r>
        <w:rPr>
          <w:rStyle w:val="Hyperlink"/>
          <w:rFonts w:ascii="Arial" w:hAnsi="Arial"/>
          <w:color w:val="auto"/>
          <w:sz w:val="20"/>
          <w:szCs w:val="20"/>
          <w:u w:val="none"/>
        </w:rPr>
        <w:t>erent requests (do not cross pay periods)</w:t>
      </w:r>
    </w:p>
    <w:p w:rsidR="000569C4" w:rsidRPr="000569C4" w:rsidRDefault="000569C4" w:rsidP="00F063AF">
      <w:pPr>
        <w:pStyle w:val="ListParagraph"/>
        <w:numPr>
          <w:ilvl w:val="1"/>
          <w:numId w:val="111"/>
        </w:numPr>
        <w:spacing w:after="120" w:line="240" w:lineRule="auto"/>
        <w:rPr>
          <w:rStyle w:val="Hyperlink"/>
          <w:rFonts w:ascii="Arial" w:hAnsi="Arial"/>
          <w:i/>
          <w:color w:val="auto"/>
          <w:sz w:val="20"/>
          <w:szCs w:val="20"/>
          <w:u w:val="none"/>
        </w:rPr>
      </w:pPr>
      <w:r>
        <w:rPr>
          <w:rStyle w:val="Hyperlink"/>
          <w:rFonts w:ascii="Arial" w:hAnsi="Arial"/>
          <w:color w:val="auto"/>
          <w:sz w:val="20"/>
          <w:szCs w:val="20"/>
          <w:u w:val="none"/>
        </w:rPr>
        <w:t>Jury Duty is under Administrative</w:t>
      </w:r>
    </w:p>
    <w:p w:rsidR="000569C4" w:rsidRPr="00B26C4B" w:rsidRDefault="000569C4" w:rsidP="00F063AF">
      <w:pPr>
        <w:pStyle w:val="ListParagraph"/>
        <w:numPr>
          <w:ilvl w:val="1"/>
          <w:numId w:val="111"/>
        </w:numPr>
        <w:spacing w:after="120" w:line="240" w:lineRule="auto"/>
        <w:rPr>
          <w:rStyle w:val="Hyperlink"/>
          <w:rFonts w:ascii="Arial" w:hAnsi="Arial"/>
          <w:i/>
          <w:color w:val="auto"/>
          <w:sz w:val="20"/>
          <w:szCs w:val="20"/>
          <w:u w:val="none"/>
        </w:rPr>
      </w:pPr>
      <w:r>
        <w:rPr>
          <w:rStyle w:val="Hyperlink"/>
          <w:rFonts w:ascii="Arial" w:hAnsi="Arial"/>
          <w:color w:val="auto"/>
          <w:sz w:val="20"/>
          <w:szCs w:val="20"/>
          <w:u w:val="none"/>
        </w:rPr>
        <w:t>Check AWS code (0=no AWS &amp; can’t earn</w:t>
      </w:r>
      <w:r w:rsidR="00333DA1">
        <w:rPr>
          <w:rStyle w:val="Hyperlink"/>
          <w:rFonts w:ascii="Arial" w:hAnsi="Arial"/>
          <w:color w:val="auto"/>
          <w:sz w:val="20"/>
          <w:szCs w:val="20"/>
          <w:u w:val="none"/>
        </w:rPr>
        <w:t xml:space="preserve"> credit hours; 6=9 hour shifts; 8=10 hour days)</w:t>
      </w:r>
    </w:p>
    <w:p w:rsidR="007867A5" w:rsidRPr="00C6039C" w:rsidRDefault="00D571C5" w:rsidP="00F063AF">
      <w:pPr>
        <w:pStyle w:val="ListParagraph"/>
        <w:numPr>
          <w:ilvl w:val="0"/>
          <w:numId w:val="111"/>
        </w:numPr>
        <w:spacing w:after="120" w:line="240" w:lineRule="auto"/>
        <w:rPr>
          <w:rFonts w:ascii="Arial" w:hAnsi="Arial"/>
          <w:b/>
          <w:i/>
          <w:sz w:val="20"/>
          <w:szCs w:val="20"/>
        </w:rPr>
      </w:pPr>
      <w:hyperlink r:id="rId80" w:history="1">
        <w:r w:rsidR="007867A5" w:rsidRPr="007867A5">
          <w:rPr>
            <w:rStyle w:val="Hyperlink"/>
            <w:rFonts w:ascii="Arial" w:hAnsi="Arial"/>
            <w:b/>
            <w:i/>
            <w:sz w:val="20"/>
            <w:szCs w:val="20"/>
          </w:rPr>
          <w:t>VA Pulse</w:t>
        </w:r>
      </w:hyperlink>
      <w:r w:rsidR="00CD5F48">
        <w:rPr>
          <w:rStyle w:val="Hyperlink"/>
          <w:rFonts w:ascii="Arial" w:hAnsi="Arial"/>
          <w:sz w:val="20"/>
          <w:szCs w:val="20"/>
          <w:u w:val="none"/>
        </w:rPr>
        <w:t xml:space="preserve"> – </w:t>
      </w:r>
      <w:r w:rsidR="005052C8" w:rsidRPr="005052C8">
        <w:rPr>
          <w:rFonts w:ascii="Arial" w:hAnsi="Arial"/>
          <w:iCs/>
          <w:sz w:val="20"/>
          <w:szCs w:val="20"/>
        </w:rPr>
        <w:t>under Favorites - VA Shortcuts – National</w:t>
      </w:r>
      <w:r w:rsidR="005052C8" w:rsidRPr="005052C8">
        <w:rPr>
          <w:rStyle w:val="Hyperlink"/>
          <w:rFonts w:ascii="Arial" w:hAnsi="Arial"/>
          <w:color w:val="auto"/>
          <w:sz w:val="20"/>
          <w:szCs w:val="20"/>
          <w:u w:val="none"/>
        </w:rPr>
        <w:t>;</w:t>
      </w:r>
      <w:r w:rsidR="005052C8">
        <w:rPr>
          <w:rStyle w:val="Hyperlink"/>
          <w:rFonts w:ascii="Arial" w:hAnsi="Arial"/>
          <w:color w:val="auto"/>
          <w:sz w:val="20"/>
          <w:szCs w:val="20"/>
          <w:u w:val="none"/>
        </w:rPr>
        <w:t xml:space="preserve"> </w:t>
      </w:r>
      <w:r w:rsidR="00CD5F48" w:rsidRPr="005522BF">
        <w:rPr>
          <w:rStyle w:val="Hyperlink"/>
          <w:rFonts w:ascii="Arial" w:hAnsi="Arial"/>
          <w:color w:val="auto"/>
          <w:sz w:val="20"/>
          <w:szCs w:val="20"/>
          <w:u w:val="none"/>
        </w:rPr>
        <w:t xml:space="preserve">How to Copy and Paste into VA Pulse:  </w:t>
      </w:r>
      <w:r w:rsidR="00CD5F48" w:rsidRPr="006E501E">
        <w:rPr>
          <w:rFonts w:ascii="Arial" w:hAnsi="Arial"/>
          <w:i/>
          <w:sz w:val="20"/>
          <w:szCs w:val="20"/>
        </w:rPr>
        <w:t>https://www.vapulse.net/docs/DOC-2363</w:t>
      </w:r>
      <w:r w:rsidR="005522BF">
        <w:rPr>
          <w:rStyle w:val="Hyperlink"/>
          <w:rFonts w:ascii="Arial" w:hAnsi="Arial"/>
          <w:sz w:val="20"/>
          <w:szCs w:val="20"/>
          <w:u w:val="none"/>
        </w:rPr>
        <w:t xml:space="preserve"> ; </w:t>
      </w:r>
      <w:r w:rsidR="005522BF" w:rsidRPr="005522BF">
        <w:rPr>
          <w:rStyle w:val="Hyperlink"/>
          <w:rFonts w:ascii="Arial" w:hAnsi="Arial"/>
          <w:color w:val="auto"/>
          <w:sz w:val="20"/>
          <w:szCs w:val="20"/>
          <w:u w:val="none"/>
        </w:rPr>
        <w:t xml:space="preserve">How to Upload A File or Document: </w:t>
      </w:r>
      <w:r w:rsidR="005522BF">
        <w:rPr>
          <w:rStyle w:val="Hyperlink"/>
          <w:rFonts w:ascii="Arial" w:hAnsi="Arial"/>
          <w:sz w:val="20"/>
          <w:szCs w:val="20"/>
          <w:u w:val="none"/>
        </w:rPr>
        <w:t xml:space="preserve"> </w:t>
      </w:r>
      <w:r w:rsidR="00C6039C" w:rsidRPr="006356B9">
        <w:rPr>
          <w:rFonts w:ascii="Arial" w:hAnsi="Arial"/>
          <w:i/>
          <w:sz w:val="20"/>
          <w:szCs w:val="20"/>
        </w:rPr>
        <w:t>https://www.vapulse.net/docs/DOC-1754</w:t>
      </w:r>
    </w:p>
    <w:p w:rsidR="005522BF" w:rsidRPr="00262F8A" w:rsidRDefault="00D571C5" w:rsidP="00F063AF">
      <w:pPr>
        <w:pStyle w:val="ListParagraph"/>
        <w:numPr>
          <w:ilvl w:val="0"/>
          <w:numId w:val="111"/>
        </w:numPr>
        <w:spacing w:after="120" w:line="240" w:lineRule="auto"/>
        <w:rPr>
          <w:rStyle w:val="Hyperlink"/>
          <w:rFonts w:ascii="Arial" w:hAnsi="Arial"/>
          <w:b/>
          <w:i/>
          <w:color w:val="auto"/>
          <w:sz w:val="20"/>
          <w:szCs w:val="20"/>
          <w:u w:val="none"/>
        </w:rPr>
      </w:pPr>
      <w:hyperlink r:id="rId81" w:history="1">
        <w:r w:rsidR="0006354D" w:rsidRPr="0006354D">
          <w:rPr>
            <w:rStyle w:val="Hyperlink"/>
            <w:rFonts w:ascii="Arial" w:hAnsi="Arial"/>
            <w:b/>
            <w:i/>
            <w:sz w:val="20"/>
            <w:szCs w:val="20"/>
          </w:rPr>
          <w:t>VA Notification System (VANS)</w:t>
        </w:r>
      </w:hyperlink>
    </w:p>
    <w:p w:rsidR="00262F8A" w:rsidRPr="00262F8A" w:rsidRDefault="00262F8A" w:rsidP="00F063AF">
      <w:pPr>
        <w:pStyle w:val="ListParagraph"/>
        <w:numPr>
          <w:ilvl w:val="0"/>
          <w:numId w:val="111"/>
        </w:numPr>
        <w:spacing w:after="120" w:line="240" w:lineRule="auto"/>
        <w:rPr>
          <w:rFonts w:ascii="Arial" w:hAnsi="Arial"/>
          <w:b/>
          <w:i/>
          <w:sz w:val="20"/>
          <w:szCs w:val="20"/>
        </w:rPr>
      </w:pPr>
      <w:r w:rsidRPr="00262F8A">
        <w:rPr>
          <w:rStyle w:val="Hyperlink"/>
          <w:rFonts w:ascii="Arial" w:hAnsi="Arial"/>
          <w:b/>
          <w:i/>
          <w:color w:val="auto"/>
          <w:sz w:val="20"/>
          <w:szCs w:val="20"/>
          <w:u w:val="none"/>
        </w:rPr>
        <w:t>Problems Steps Recorder</w:t>
      </w:r>
      <w:r>
        <w:rPr>
          <w:rStyle w:val="Hyperlink"/>
          <w:rFonts w:ascii="Arial" w:hAnsi="Arial"/>
          <w:b/>
          <w:i/>
          <w:color w:val="auto"/>
          <w:sz w:val="20"/>
          <w:szCs w:val="20"/>
          <w:u w:val="none"/>
        </w:rPr>
        <w:t xml:space="preserve"> (PSR)</w:t>
      </w:r>
    </w:p>
    <w:p w:rsidR="00013EB8" w:rsidRDefault="00013EB8">
      <w:pPr>
        <w:widowControl w:val="0"/>
        <w:pBdr>
          <w:top w:val="single" w:sz="4" w:space="1" w:color="auto"/>
        </w:pBdr>
        <w:tabs>
          <w:tab w:val="left" w:pos="300"/>
        </w:tabs>
        <w:rPr>
          <w:i/>
          <w:color w:val="0000FF"/>
        </w:rPr>
      </w:pPr>
    </w:p>
    <w:p w:rsidR="00013EB8" w:rsidRDefault="00013EB8">
      <w:pPr>
        <w:widowControl w:val="0"/>
        <w:tabs>
          <w:tab w:val="left" w:pos="300"/>
        </w:tabs>
        <w:spacing w:after="120"/>
        <w:rPr>
          <w:b/>
          <w:bCs/>
          <w:i/>
          <w:u w:val="single"/>
        </w:rPr>
      </w:pPr>
      <w:r>
        <w:rPr>
          <w:b/>
          <w:bCs/>
          <w:i/>
          <w:u w:val="single"/>
        </w:rPr>
        <w:t>SDRO Links:</w:t>
      </w:r>
    </w:p>
    <w:p w:rsidR="00A4235F" w:rsidRPr="00A4235F" w:rsidRDefault="00A4235F" w:rsidP="00F063AF">
      <w:pPr>
        <w:widowControl w:val="0"/>
        <w:numPr>
          <w:ilvl w:val="0"/>
          <w:numId w:val="110"/>
        </w:numPr>
        <w:spacing w:after="120"/>
        <w:rPr>
          <w:b/>
          <w:bCs/>
          <w:i/>
          <w:iCs/>
        </w:rPr>
      </w:pPr>
      <w:r>
        <w:rPr>
          <w:bCs/>
          <w:iCs/>
        </w:rPr>
        <w:t>Start – All Programs – LOCAL APPS – User Backup</w:t>
      </w:r>
    </w:p>
    <w:p w:rsidR="00013EB8" w:rsidRPr="00EB68B6" w:rsidRDefault="00D571C5" w:rsidP="00F063AF">
      <w:pPr>
        <w:widowControl w:val="0"/>
        <w:numPr>
          <w:ilvl w:val="0"/>
          <w:numId w:val="110"/>
        </w:numPr>
        <w:spacing w:after="120"/>
        <w:rPr>
          <w:rStyle w:val="Hyperlink"/>
          <w:b/>
          <w:bCs/>
          <w:i/>
          <w:iCs/>
          <w:color w:val="auto"/>
          <w:u w:val="none"/>
        </w:rPr>
      </w:pPr>
      <w:hyperlink r:id="rId82" w:tooltip="file://vbasdcfpc2/shared" w:history="1">
        <w:r w:rsidR="00013EB8">
          <w:rPr>
            <w:rStyle w:val="Hyperlink"/>
            <w:b/>
            <w:bCs/>
            <w:i/>
            <w:iCs/>
          </w:rPr>
          <w:t>\\vbasdcfpc2\shared</w:t>
        </w:r>
      </w:hyperlink>
    </w:p>
    <w:p w:rsidR="00EB68B6" w:rsidRPr="00EB68B6" w:rsidRDefault="00D571C5" w:rsidP="00F063AF">
      <w:pPr>
        <w:widowControl w:val="0"/>
        <w:numPr>
          <w:ilvl w:val="0"/>
          <w:numId w:val="110"/>
        </w:numPr>
        <w:spacing w:after="120"/>
        <w:rPr>
          <w:rStyle w:val="Hyperlink"/>
          <w:b/>
          <w:bCs/>
          <w:i/>
          <w:iCs/>
          <w:color w:val="auto"/>
        </w:rPr>
      </w:pPr>
      <w:hyperlink r:id="rId83" w:history="1">
        <w:r w:rsidR="00EB68B6" w:rsidRPr="00EB68B6">
          <w:rPr>
            <w:rStyle w:val="Hyperlink"/>
            <w:b/>
            <w:i/>
          </w:rPr>
          <w:t>Station Directives and Policies SharePoint Site</w:t>
        </w:r>
      </w:hyperlink>
    </w:p>
    <w:p w:rsidR="00A07F47" w:rsidRPr="00C4682B" w:rsidRDefault="00D571C5" w:rsidP="00F063AF">
      <w:pPr>
        <w:widowControl w:val="0"/>
        <w:numPr>
          <w:ilvl w:val="0"/>
          <w:numId w:val="110"/>
        </w:numPr>
        <w:spacing w:after="120"/>
        <w:rPr>
          <w:b/>
          <w:i/>
          <w:iCs/>
        </w:rPr>
      </w:pPr>
      <w:hyperlink r:id="rId84" w:history="1">
        <w:r w:rsidR="00A07F47" w:rsidRPr="009E199B">
          <w:rPr>
            <w:rStyle w:val="Hyperlink"/>
            <w:b/>
            <w:i/>
          </w:rPr>
          <w:t>VSC Policy Memos folder</w:t>
        </w:r>
      </w:hyperlink>
    </w:p>
    <w:p w:rsidR="00787BDD" w:rsidRDefault="00013EB8" w:rsidP="00F063AF">
      <w:pPr>
        <w:widowControl w:val="0"/>
        <w:numPr>
          <w:ilvl w:val="0"/>
          <w:numId w:val="110"/>
        </w:numPr>
        <w:rPr>
          <w:i/>
          <w:iCs/>
        </w:rPr>
      </w:pPr>
      <w:r w:rsidRPr="001453C4">
        <w:rPr>
          <w:b/>
          <w:bCs/>
          <w:i/>
          <w:iCs/>
        </w:rPr>
        <w:t>H:\VSC\Rating Reference</w:t>
      </w:r>
      <w:r>
        <w:t xml:space="preserve"> </w:t>
      </w:r>
      <w:r w:rsidR="00B05C2D">
        <w:rPr>
          <w:i/>
          <w:iCs/>
        </w:rPr>
        <w:t xml:space="preserve">with </w:t>
      </w:r>
    </w:p>
    <w:p w:rsidR="00787BDD" w:rsidRDefault="00013EB8" w:rsidP="00F063AF">
      <w:pPr>
        <w:widowControl w:val="0"/>
        <w:numPr>
          <w:ilvl w:val="1"/>
          <w:numId w:val="243"/>
        </w:numPr>
        <w:rPr>
          <w:i/>
          <w:iCs/>
        </w:rPr>
      </w:pPr>
      <w:r>
        <w:rPr>
          <w:i/>
          <w:iCs/>
        </w:rPr>
        <w:t>“</w:t>
      </w:r>
      <w:r w:rsidRPr="00787BDD">
        <w:rPr>
          <w:b/>
          <w:i/>
          <w:iCs/>
        </w:rPr>
        <w:t>Rating References</w:t>
      </w:r>
      <w:r>
        <w:rPr>
          <w:i/>
          <w:iCs/>
        </w:rPr>
        <w:t>”</w:t>
      </w:r>
      <w:r w:rsidR="00D43CE0">
        <w:rPr>
          <w:i/>
          <w:iCs/>
        </w:rPr>
        <w:t xml:space="preserve"> document</w:t>
      </w:r>
    </w:p>
    <w:p w:rsidR="00787BDD" w:rsidRPr="00AC0BE8" w:rsidRDefault="00787BDD" w:rsidP="00F063AF">
      <w:pPr>
        <w:widowControl w:val="0"/>
        <w:numPr>
          <w:ilvl w:val="1"/>
          <w:numId w:val="243"/>
        </w:numPr>
        <w:rPr>
          <w:i/>
          <w:iCs/>
          <w:sz w:val="18"/>
        </w:rPr>
      </w:pPr>
      <w:r>
        <w:rPr>
          <w:i/>
          <w:iCs/>
        </w:rPr>
        <w:t xml:space="preserve">folder of </w:t>
      </w:r>
      <w:r w:rsidRPr="00787BDD">
        <w:rPr>
          <w:b/>
          <w:i/>
          <w:iCs/>
        </w:rPr>
        <w:t xml:space="preserve">DBQ Call Meeting Minutes </w:t>
      </w:r>
      <w:r w:rsidRPr="00787BDD">
        <w:rPr>
          <w:i/>
          <w:iCs/>
        </w:rPr>
        <w:t>f</w:t>
      </w:r>
      <w:r>
        <w:rPr>
          <w:i/>
          <w:iCs/>
        </w:rPr>
        <w:t xml:space="preserve">rom </w:t>
      </w:r>
      <w:hyperlink r:id="rId85" w:history="1">
        <w:r w:rsidR="00511486">
          <w:rPr>
            <w:rStyle w:val="Hyperlink"/>
            <w:i/>
            <w:iCs/>
          </w:rPr>
          <w:t>http://vbacodmoint1.vba.va.gov/bl/21/dbq/DBQcall.asp</w:t>
        </w:r>
      </w:hyperlink>
      <w:r w:rsidR="00E76788">
        <w:rPr>
          <w:i/>
          <w:iCs/>
        </w:rPr>
        <w:t xml:space="preserve"> </w:t>
      </w:r>
      <w:r w:rsidR="00E76788" w:rsidRPr="00AC0BE8">
        <w:rPr>
          <w:i/>
          <w:iCs/>
          <w:sz w:val="18"/>
        </w:rPr>
        <w:t xml:space="preserve">(discontinued per </w:t>
      </w:r>
      <w:hyperlink r:id="rId86" w:history="1">
        <w:r w:rsidR="00E76788" w:rsidRPr="00AC0BE8">
          <w:rPr>
            <w:rStyle w:val="Hyperlink"/>
            <w:b/>
            <w:i/>
            <w:sz w:val="18"/>
          </w:rPr>
          <w:t>August 2015 Quality Call Notes</w:t>
        </w:r>
      </w:hyperlink>
      <w:r w:rsidR="00AC0BE8" w:rsidRPr="00AC0BE8">
        <w:rPr>
          <w:i/>
          <w:iCs/>
          <w:sz w:val="18"/>
        </w:rPr>
        <w:t>, only August 2011 to March 2015)</w:t>
      </w:r>
    </w:p>
    <w:p w:rsidR="00787BDD" w:rsidRPr="00AC0BE8" w:rsidRDefault="00787BDD" w:rsidP="00F063AF">
      <w:pPr>
        <w:widowControl w:val="0"/>
        <w:numPr>
          <w:ilvl w:val="1"/>
          <w:numId w:val="243"/>
        </w:numPr>
        <w:rPr>
          <w:i/>
          <w:iCs/>
          <w:sz w:val="18"/>
        </w:rPr>
      </w:pPr>
      <w:r>
        <w:rPr>
          <w:i/>
          <w:iCs/>
        </w:rPr>
        <w:t xml:space="preserve">folder of </w:t>
      </w:r>
      <w:r w:rsidRPr="00787BDD">
        <w:rPr>
          <w:b/>
          <w:i/>
          <w:iCs/>
        </w:rPr>
        <w:t>Quality Call Notes</w:t>
      </w:r>
      <w:r>
        <w:rPr>
          <w:i/>
          <w:iCs/>
        </w:rPr>
        <w:t xml:space="preserve"> from </w:t>
      </w:r>
      <w:hyperlink r:id="rId87" w:history="1">
        <w:r w:rsidRPr="000C73A5">
          <w:rPr>
            <w:rStyle w:val="Hyperlink"/>
            <w:i/>
            <w:iCs/>
          </w:rPr>
          <w:t>http://vbaw.vba.va.gov/bl/21/star/star_call.htm</w:t>
        </w:r>
      </w:hyperlink>
      <w:r w:rsidR="00AC0BE8">
        <w:rPr>
          <w:rStyle w:val="Hyperlink"/>
          <w:iCs/>
          <w:u w:val="none"/>
        </w:rPr>
        <w:t xml:space="preserve"> </w:t>
      </w:r>
      <w:r w:rsidR="00AC0BE8" w:rsidRPr="00AC0BE8">
        <w:rPr>
          <w:i/>
          <w:iCs/>
          <w:sz w:val="18"/>
          <w:szCs w:val="18"/>
        </w:rPr>
        <w:t>(as of March 2015, no longer called “Rating” &amp; “Authorization</w:t>
      </w:r>
      <w:r w:rsidR="001946CC">
        <w:rPr>
          <w:i/>
          <w:iCs/>
          <w:sz w:val="18"/>
          <w:szCs w:val="18"/>
        </w:rPr>
        <w:t>,”</w:t>
      </w:r>
      <w:r w:rsidR="00AC0BE8" w:rsidRPr="00AC0BE8">
        <w:rPr>
          <w:i/>
          <w:iCs/>
          <w:sz w:val="18"/>
          <w:szCs w:val="18"/>
        </w:rPr>
        <w:t xml:space="preserve"> just Quality Call, subsequently names all changed</w:t>
      </w:r>
      <w:r w:rsidR="00AC0BE8" w:rsidRPr="00AC0BE8">
        <w:rPr>
          <w:i/>
          <w:iCs/>
          <w:sz w:val="18"/>
        </w:rPr>
        <w:t xml:space="preserve">), </w:t>
      </w:r>
      <w:r w:rsidR="00B05C2D" w:rsidRPr="00AC0BE8">
        <w:rPr>
          <w:rStyle w:val="Hyperlink"/>
          <w:iCs/>
          <w:color w:val="auto"/>
          <w:sz w:val="18"/>
          <w:u w:val="none"/>
        </w:rPr>
        <w:t xml:space="preserve">per VA Pulse, </w:t>
      </w:r>
      <w:r w:rsidR="00B05C2D" w:rsidRPr="00AC0BE8">
        <w:rPr>
          <w:i/>
          <w:iCs/>
          <w:sz w:val="18"/>
        </w:rPr>
        <w:t>https://www.vapulse.net/message/6232</w:t>
      </w:r>
      <w:r w:rsidR="00B05C2D" w:rsidRPr="00AC0BE8">
        <w:rPr>
          <w:rStyle w:val="Hyperlink"/>
          <w:iCs/>
          <w:color w:val="auto"/>
          <w:sz w:val="18"/>
          <w:u w:val="none"/>
        </w:rPr>
        <w:t xml:space="preserve">, will not be in </w:t>
      </w:r>
      <w:r w:rsidR="0026495B" w:rsidRPr="00AC0BE8">
        <w:rPr>
          <w:rStyle w:val="Hyperlink"/>
          <w:iCs/>
          <w:color w:val="auto"/>
          <w:sz w:val="18"/>
          <w:u w:val="none"/>
        </w:rPr>
        <w:t>Live Manual</w:t>
      </w:r>
    </w:p>
    <w:p w:rsidR="00004DEB" w:rsidRPr="00AC0BE8" w:rsidRDefault="00004DEB" w:rsidP="00F063AF">
      <w:pPr>
        <w:widowControl w:val="0"/>
        <w:numPr>
          <w:ilvl w:val="1"/>
          <w:numId w:val="243"/>
        </w:numPr>
        <w:rPr>
          <w:i/>
          <w:iCs/>
          <w:sz w:val="18"/>
        </w:rPr>
      </w:pPr>
      <w:r>
        <w:rPr>
          <w:i/>
          <w:iCs/>
        </w:rPr>
        <w:t xml:space="preserve">folder of </w:t>
      </w:r>
      <w:r w:rsidRPr="00004DEB">
        <w:rPr>
          <w:b/>
          <w:i/>
          <w:iCs/>
        </w:rPr>
        <w:t>Quality Call Trainings</w:t>
      </w:r>
      <w:r>
        <w:rPr>
          <w:i/>
          <w:iCs/>
        </w:rPr>
        <w:t xml:space="preserve"> from </w:t>
      </w:r>
      <w:hyperlink r:id="rId88" w:history="1">
        <w:r w:rsidRPr="000C73A5">
          <w:rPr>
            <w:rStyle w:val="Hyperlink"/>
            <w:i/>
            <w:iCs/>
          </w:rPr>
          <w:t>http://vbaw.vba.va.gov/bl/21/star/star_call.htm</w:t>
        </w:r>
      </w:hyperlink>
      <w:r w:rsidR="00E461E0">
        <w:rPr>
          <w:rStyle w:val="Hyperlink"/>
          <w:i/>
          <w:iCs/>
        </w:rPr>
        <w:t xml:space="preserve"> </w:t>
      </w:r>
      <w:r w:rsidR="00E461E0" w:rsidRPr="00AC0BE8">
        <w:rPr>
          <w:i/>
          <w:iCs/>
          <w:sz w:val="18"/>
        </w:rPr>
        <w:t>(links no longer on page, only 2009 to 2013)</w:t>
      </w:r>
    </w:p>
    <w:p w:rsidR="00013EB8" w:rsidRPr="003F6423" w:rsidRDefault="006A79BB" w:rsidP="00F063AF">
      <w:pPr>
        <w:widowControl w:val="0"/>
        <w:numPr>
          <w:ilvl w:val="1"/>
          <w:numId w:val="243"/>
        </w:numPr>
        <w:spacing w:after="120"/>
        <w:rPr>
          <w:i/>
          <w:iCs/>
        </w:rPr>
      </w:pPr>
      <w:r>
        <w:rPr>
          <w:i/>
          <w:iCs/>
        </w:rPr>
        <w:t xml:space="preserve">folder of </w:t>
      </w:r>
      <w:r w:rsidRPr="00C24774">
        <w:rPr>
          <w:b/>
          <w:i/>
          <w:iCs/>
        </w:rPr>
        <w:t>IRR Consistency</w:t>
      </w:r>
      <w:r w:rsidR="00C24774">
        <w:rPr>
          <w:b/>
          <w:i/>
          <w:iCs/>
        </w:rPr>
        <w:t xml:space="preserve"> </w:t>
      </w:r>
      <w:r w:rsidRPr="00C24774">
        <w:rPr>
          <w:b/>
          <w:i/>
          <w:iCs/>
        </w:rPr>
        <w:t>Studies</w:t>
      </w:r>
      <w:r>
        <w:rPr>
          <w:i/>
          <w:iCs/>
        </w:rPr>
        <w:t xml:space="preserve"> from </w:t>
      </w:r>
      <w:hyperlink r:id="rId89" w:history="1">
        <w:r w:rsidRPr="000C73A5">
          <w:rPr>
            <w:rStyle w:val="Hyperlink"/>
            <w:i/>
            <w:iCs/>
          </w:rPr>
          <w:t>http://vbaw.vba.va.gov/bl/21/data/quality/consis/consis_irrs.htm</w:t>
        </w:r>
      </w:hyperlink>
      <w:r w:rsidR="00E461E0">
        <w:rPr>
          <w:i/>
          <w:iCs/>
        </w:rPr>
        <w:t xml:space="preserve"> </w:t>
      </w:r>
      <w:r w:rsidR="00E461E0" w:rsidRPr="00AC0BE8">
        <w:rPr>
          <w:i/>
          <w:iCs/>
          <w:sz w:val="18"/>
        </w:rPr>
        <w:t>(nothing since January 2013)</w:t>
      </w:r>
    </w:p>
    <w:p w:rsidR="00AD5B52" w:rsidRPr="00EF1FA3" w:rsidRDefault="00AD5B52" w:rsidP="00F063AF">
      <w:pPr>
        <w:widowControl w:val="0"/>
        <w:numPr>
          <w:ilvl w:val="0"/>
          <w:numId w:val="243"/>
        </w:numPr>
        <w:spacing w:after="120"/>
        <w:rPr>
          <w:sz w:val="24"/>
          <w:szCs w:val="24"/>
        </w:rPr>
      </w:pPr>
      <w:r w:rsidRPr="001453C4">
        <w:rPr>
          <w:b/>
          <w:bCs/>
          <w:i/>
          <w:iCs/>
        </w:rPr>
        <w:t>Training</w:t>
      </w:r>
      <w:r w:rsidRPr="00EF1FA3">
        <w:rPr>
          <w:rStyle w:val="Hyperlink"/>
          <w:bCs/>
          <w:iCs/>
          <w:u w:val="none"/>
        </w:rPr>
        <w:t xml:space="preserve"> </w:t>
      </w:r>
      <w:r w:rsidRPr="00002C1F">
        <w:rPr>
          <w:rStyle w:val="Hyperlink"/>
          <w:bCs/>
          <w:i/>
          <w:iCs/>
          <w:color w:val="auto"/>
          <w:u w:val="none"/>
        </w:rPr>
        <w:t>(</w:t>
      </w:r>
      <w:r w:rsidRPr="001453C4">
        <w:rPr>
          <w:i/>
        </w:rPr>
        <w:t>H:\VSC\Training\NTC Class Material</w:t>
      </w:r>
      <w:r w:rsidRPr="00EF1FA3">
        <w:rPr>
          <w:i/>
        </w:rPr>
        <w:t>)</w:t>
      </w:r>
    </w:p>
    <w:p w:rsidR="00AD5B52" w:rsidRPr="0046502E" w:rsidRDefault="00AD5B52" w:rsidP="00F063AF">
      <w:pPr>
        <w:pStyle w:val="ListParagraph"/>
        <w:numPr>
          <w:ilvl w:val="1"/>
          <w:numId w:val="110"/>
        </w:numPr>
        <w:rPr>
          <w:rFonts w:ascii="Arial" w:hAnsi="Arial"/>
          <w:color w:val="0D0D0D"/>
          <w:sz w:val="24"/>
          <w:szCs w:val="24"/>
        </w:rPr>
      </w:pPr>
      <w:r w:rsidRPr="00002C1F">
        <w:rPr>
          <w:rFonts w:ascii="Arial" w:hAnsi="Arial"/>
          <w:bCs/>
          <w:i/>
          <w:iCs/>
          <w:sz w:val="20"/>
          <w:szCs w:val="20"/>
        </w:rPr>
        <w:t>All NTC training recordings are located here:</w:t>
      </w:r>
      <w:r w:rsidRPr="00002C1F">
        <w:rPr>
          <w:rFonts w:ascii="Arial" w:hAnsi="Arial"/>
          <w:b/>
          <w:bCs/>
          <w:i/>
          <w:iCs/>
          <w:sz w:val="20"/>
          <w:szCs w:val="20"/>
        </w:rPr>
        <w:t xml:space="preserve">  </w:t>
      </w:r>
      <w:hyperlink r:id="rId90" w:history="1">
        <w:r w:rsidRPr="00002C1F">
          <w:rPr>
            <w:rStyle w:val="Hyperlink"/>
            <w:rFonts w:ascii="Arial" w:hAnsi="Arial"/>
            <w:i/>
            <w:sz w:val="20"/>
            <w:szCs w:val="20"/>
          </w:rPr>
          <w:t>H:\VSC\FY2013 LANES\Training\NTC Training Recordings\FY18</w:t>
        </w:r>
      </w:hyperlink>
      <w:r>
        <w:rPr>
          <w:rFonts w:ascii="Arial" w:hAnsi="Arial"/>
          <w:i/>
          <w:sz w:val="20"/>
          <w:szCs w:val="20"/>
        </w:rPr>
        <w:t xml:space="preserve"> OR </w:t>
      </w:r>
      <w:r w:rsidRPr="00AD5B52">
        <w:rPr>
          <w:rFonts w:ascii="Arial" w:hAnsi="Arial"/>
          <w:color w:val="0D0D0D"/>
          <w:sz w:val="20"/>
          <w:szCs w:val="24"/>
        </w:rPr>
        <w:t xml:space="preserve">You can find the recorded training library </w:t>
      </w:r>
      <w:hyperlink r:id="rId91" w:anchor="/Wiki/" w:history="1">
        <w:r w:rsidRPr="00AD5B52">
          <w:rPr>
            <w:rStyle w:val="Hyperlink"/>
            <w:rFonts w:ascii="Arial" w:hAnsi="Arial"/>
            <w:sz w:val="20"/>
            <w:szCs w:val="24"/>
          </w:rPr>
          <w:t>HERE</w:t>
        </w:r>
      </w:hyperlink>
      <w:r w:rsidRPr="00AD5B52">
        <w:rPr>
          <w:rFonts w:ascii="Arial" w:hAnsi="Arial"/>
          <w:color w:val="0D0D0D"/>
          <w:sz w:val="20"/>
          <w:szCs w:val="24"/>
        </w:rPr>
        <w:t xml:space="preserve">. Also, don’t forget to sign the </w:t>
      </w:r>
      <w:hyperlink r:id="rId92" w:history="1">
        <w:r w:rsidRPr="00AD5B52">
          <w:rPr>
            <w:rStyle w:val="Hyperlink"/>
            <w:rFonts w:ascii="Arial" w:hAnsi="Arial"/>
            <w:sz w:val="20"/>
            <w:szCs w:val="24"/>
          </w:rPr>
          <w:t>Muster Sheet</w:t>
        </w:r>
      </w:hyperlink>
    </w:p>
    <w:p w:rsidR="00013EB8" w:rsidRDefault="00013EB8" w:rsidP="00F063AF">
      <w:pPr>
        <w:widowControl w:val="0"/>
        <w:numPr>
          <w:ilvl w:val="1"/>
          <w:numId w:val="110"/>
        </w:numPr>
        <w:spacing w:after="120"/>
        <w:rPr>
          <w:i/>
          <w:iCs/>
        </w:rPr>
      </w:pPr>
      <w:r w:rsidRPr="001453C4">
        <w:rPr>
          <w:b/>
          <w:bCs/>
          <w:i/>
          <w:iCs/>
        </w:rPr>
        <w:t>H:\VSC\Training\Education &amp; Training Library</w:t>
      </w:r>
      <w:r>
        <w:rPr>
          <w:b/>
          <w:bCs/>
          <w:i/>
          <w:iCs/>
        </w:rPr>
        <w:t xml:space="preserve"> </w:t>
      </w:r>
    </w:p>
    <w:p w:rsidR="00013EB8" w:rsidRPr="0046502E" w:rsidRDefault="00013EB8" w:rsidP="00F063AF">
      <w:pPr>
        <w:widowControl w:val="0"/>
        <w:numPr>
          <w:ilvl w:val="1"/>
          <w:numId w:val="110"/>
        </w:numPr>
        <w:spacing w:after="120"/>
        <w:rPr>
          <w:i/>
          <w:iCs/>
        </w:rPr>
      </w:pPr>
      <w:r>
        <w:rPr>
          <w:b/>
          <w:bCs/>
          <w:i/>
          <w:iCs/>
        </w:rPr>
        <w:t>H:\</w:t>
      </w:r>
      <w:r w:rsidR="00AB6A16">
        <w:rPr>
          <w:b/>
          <w:bCs/>
          <w:i/>
          <w:iCs/>
        </w:rPr>
        <w:t>VSC\Training\Class Schedules\</w:t>
      </w:r>
    </w:p>
    <w:p w:rsidR="00FC4166" w:rsidRPr="004174C9" w:rsidRDefault="00D571C5" w:rsidP="00F063AF">
      <w:pPr>
        <w:pStyle w:val="ListParagraph"/>
        <w:numPr>
          <w:ilvl w:val="1"/>
          <w:numId w:val="110"/>
        </w:numPr>
        <w:spacing w:after="120" w:line="240" w:lineRule="auto"/>
        <w:rPr>
          <w:rFonts w:ascii="Arial" w:hAnsi="Arial"/>
          <w:b/>
          <w:i/>
          <w:color w:val="17365D" w:themeColor="text2" w:themeShade="BF"/>
          <w:sz w:val="20"/>
          <w:szCs w:val="20"/>
          <w:highlight w:val="lightGray"/>
        </w:rPr>
      </w:pPr>
      <w:hyperlink r:id="rId93" w:history="1">
        <w:r w:rsidR="000A5809" w:rsidRPr="004174C9">
          <w:rPr>
            <w:rStyle w:val="Hyperlink"/>
            <w:rFonts w:ascii="Arial" w:hAnsi="Arial"/>
            <w:b/>
            <w:i/>
            <w:sz w:val="20"/>
            <w:szCs w:val="20"/>
            <w:highlight w:val="lightGray"/>
          </w:rPr>
          <w:t>VSC Training SharePoint</w:t>
        </w:r>
      </w:hyperlink>
      <w:r w:rsidR="004174C9" w:rsidRPr="004174C9">
        <w:rPr>
          <w:rStyle w:val="Hyperlink"/>
          <w:rFonts w:ascii="Arial" w:hAnsi="Arial"/>
          <w:sz w:val="20"/>
          <w:szCs w:val="20"/>
          <w:highlight w:val="lightGray"/>
          <w:u w:val="none"/>
        </w:rPr>
        <w:t xml:space="preserve"> – </w:t>
      </w:r>
      <w:r w:rsidR="004174C9" w:rsidRPr="004174C9">
        <w:rPr>
          <w:rStyle w:val="Hyperlink"/>
          <w:rFonts w:ascii="Arial" w:hAnsi="Arial"/>
          <w:color w:val="auto"/>
          <w:sz w:val="20"/>
          <w:szCs w:val="20"/>
          <w:highlight w:val="lightGray"/>
          <w:u w:val="none"/>
        </w:rPr>
        <w:t>might be old, so might want to use Muster Sheet link above</w:t>
      </w:r>
    </w:p>
    <w:p w:rsidR="00CA7A68" w:rsidRPr="004174C9" w:rsidRDefault="00CA7A68" w:rsidP="00F063AF">
      <w:pPr>
        <w:widowControl w:val="0"/>
        <w:numPr>
          <w:ilvl w:val="2"/>
          <w:numId w:val="110"/>
        </w:numPr>
        <w:tabs>
          <w:tab w:val="left" w:pos="300"/>
        </w:tabs>
        <w:spacing w:after="120"/>
        <w:rPr>
          <w:i/>
          <w:iCs/>
          <w:sz w:val="18"/>
          <w:highlight w:val="lightGray"/>
        </w:rPr>
      </w:pPr>
      <w:r w:rsidRPr="004174C9">
        <w:rPr>
          <w:i/>
          <w:iCs/>
          <w:sz w:val="18"/>
          <w:highlight w:val="lightGray"/>
        </w:rPr>
        <w:t>Click on + next to your name</w:t>
      </w:r>
    </w:p>
    <w:p w:rsidR="00CA7A68" w:rsidRPr="004174C9" w:rsidRDefault="00CA7A68" w:rsidP="00F063AF">
      <w:pPr>
        <w:widowControl w:val="0"/>
        <w:numPr>
          <w:ilvl w:val="2"/>
          <w:numId w:val="110"/>
        </w:numPr>
        <w:tabs>
          <w:tab w:val="left" w:pos="300"/>
        </w:tabs>
        <w:spacing w:after="120"/>
        <w:rPr>
          <w:i/>
          <w:iCs/>
          <w:sz w:val="18"/>
          <w:highlight w:val="lightGray"/>
        </w:rPr>
      </w:pPr>
      <w:r w:rsidRPr="004174C9">
        <w:rPr>
          <w:i/>
          <w:iCs/>
          <w:sz w:val="18"/>
          <w:highlight w:val="lightGray"/>
        </w:rPr>
        <w:t>Click on the square next to your name, then Edit Item, then Completed, then Save</w:t>
      </w:r>
    </w:p>
    <w:p w:rsidR="00A07F47" w:rsidRPr="003B02C0" w:rsidRDefault="00D571C5" w:rsidP="00F063AF">
      <w:pPr>
        <w:widowControl w:val="0"/>
        <w:numPr>
          <w:ilvl w:val="0"/>
          <w:numId w:val="110"/>
        </w:numPr>
        <w:tabs>
          <w:tab w:val="left" w:pos="300"/>
        </w:tabs>
        <w:spacing w:after="120"/>
        <w:rPr>
          <w:rStyle w:val="Hyperlink"/>
          <w:i/>
          <w:iCs/>
          <w:color w:val="auto"/>
          <w:sz w:val="18"/>
          <w:u w:val="none"/>
        </w:rPr>
      </w:pPr>
      <w:hyperlink r:id="rId94" w:history="1">
        <w:r w:rsidR="00A835FA">
          <w:rPr>
            <w:rStyle w:val="Hyperlink"/>
            <w:b/>
            <w:bCs/>
            <w:i/>
            <w:iCs/>
          </w:rPr>
          <w:t>Projected OT</w:t>
        </w:r>
      </w:hyperlink>
    </w:p>
    <w:p w:rsidR="003B02C0" w:rsidRPr="003B02C0" w:rsidRDefault="00D571C5" w:rsidP="00F063AF">
      <w:pPr>
        <w:widowControl w:val="0"/>
        <w:numPr>
          <w:ilvl w:val="0"/>
          <w:numId w:val="110"/>
        </w:numPr>
        <w:tabs>
          <w:tab w:val="left" w:pos="300"/>
        </w:tabs>
        <w:spacing w:after="120"/>
        <w:rPr>
          <w:b/>
          <w:i/>
          <w:iCs/>
          <w:sz w:val="18"/>
        </w:rPr>
      </w:pPr>
      <w:hyperlink r:id="rId95" w:history="1">
        <w:r w:rsidR="003B02C0" w:rsidRPr="003B02C0">
          <w:rPr>
            <w:rStyle w:val="Hyperlink"/>
            <w:b/>
            <w:i/>
          </w:rPr>
          <w:t>Sign IN-OUT for OT</w:t>
        </w:r>
      </w:hyperlink>
    </w:p>
    <w:p w:rsidR="0031419C" w:rsidRPr="0013261C" w:rsidRDefault="0031419C" w:rsidP="00F063AF">
      <w:pPr>
        <w:pStyle w:val="ListParagraph"/>
        <w:numPr>
          <w:ilvl w:val="0"/>
          <w:numId w:val="110"/>
        </w:numPr>
        <w:spacing w:after="120" w:line="240" w:lineRule="auto"/>
        <w:rPr>
          <w:rStyle w:val="Hyperlink"/>
          <w:rFonts w:ascii="Courier" w:hAnsi="Courier"/>
          <w:color w:val="auto"/>
          <w:sz w:val="20"/>
          <w:szCs w:val="20"/>
          <w:u w:val="none"/>
        </w:rPr>
      </w:pPr>
      <w:r w:rsidRPr="00C75D30">
        <w:rPr>
          <w:rFonts w:ascii="Courier" w:hAnsi="Courier"/>
          <w:sz w:val="20"/>
          <w:szCs w:val="20"/>
        </w:rPr>
        <w:t xml:space="preserve">This link can be used to map any network printer on the San Diego network and can be very useful after moving cubicles. </w:t>
      </w:r>
      <w:hyperlink r:id="rId96" w:history="1">
        <w:r w:rsidRPr="00C75D30">
          <w:rPr>
            <w:rStyle w:val="Hyperlink"/>
            <w:rFonts w:ascii="Courier" w:hAnsi="Courier"/>
            <w:sz w:val="20"/>
            <w:szCs w:val="20"/>
          </w:rPr>
          <w:t>Click Here to Map a Network Printer</w:t>
        </w:r>
      </w:hyperlink>
    </w:p>
    <w:p w:rsidR="009556E7" w:rsidRPr="004F0688" w:rsidRDefault="009556E7" w:rsidP="00F063AF">
      <w:pPr>
        <w:pStyle w:val="ListParagraph"/>
        <w:numPr>
          <w:ilvl w:val="0"/>
          <w:numId w:val="110"/>
        </w:numPr>
        <w:spacing w:after="0" w:line="240" w:lineRule="auto"/>
        <w:rPr>
          <w:rFonts w:ascii="Tahoma" w:hAnsi="Tahoma" w:cs="Tahoma"/>
        </w:rPr>
      </w:pPr>
      <w:r w:rsidRPr="004F0688">
        <w:rPr>
          <w:rFonts w:ascii="Tahoma" w:hAnsi="Tahoma" w:cs="Tahoma"/>
          <w:b/>
          <w:bCs/>
        </w:rPr>
        <w:t>From:</w:t>
      </w:r>
      <w:r w:rsidRPr="004F0688">
        <w:rPr>
          <w:rFonts w:ascii="Tahoma" w:hAnsi="Tahoma" w:cs="Tahoma"/>
        </w:rPr>
        <w:t xml:space="preserve"> VAVBASDC/RO/DIR </w:t>
      </w:r>
      <w:r w:rsidRPr="004F0688">
        <w:rPr>
          <w:rFonts w:ascii="Tahoma" w:hAnsi="Tahoma" w:cs="Tahoma"/>
        </w:rPr>
        <w:br/>
      </w:r>
      <w:r w:rsidRPr="004F0688">
        <w:rPr>
          <w:rFonts w:ascii="Tahoma" w:hAnsi="Tahoma" w:cs="Tahoma"/>
          <w:b/>
          <w:bCs/>
        </w:rPr>
        <w:t>Sent:</w:t>
      </w:r>
      <w:r w:rsidRPr="004F0688">
        <w:rPr>
          <w:rFonts w:ascii="Tahoma" w:hAnsi="Tahoma" w:cs="Tahoma"/>
        </w:rPr>
        <w:t xml:space="preserve"> Monday, October 30, 2017 9:41 AM</w:t>
      </w:r>
      <w:r w:rsidRPr="004F0688">
        <w:rPr>
          <w:rFonts w:ascii="Tahoma" w:hAnsi="Tahoma" w:cs="Tahoma"/>
        </w:rPr>
        <w:br/>
      </w:r>
      <w:r w:rsidRPr="004F0688">
        <w:rPr>
          <w:rFonts w:ascii="Tahoma" w:hAnsi="Tahoma" w:cs="Tahoma"/>
          <w:b/>
          <w:bCs/>
        </w:rPr>
        <w:t>Subject:</w:t>
      </w:r>
      <w:r w:rsidRPr="004F0688">
        <w:rPr>
          <w:rFonts w:ascii="Tahoma" w:hAnsi="Tahoma" w:cs="Tahoma"/>
        </w:rPr>
        <w:t xml:space="preserve"> San Diego VARO PIV Outlook Mailbox</w:t>
      </w:r>
    </w:p>
    <w:p w:rsidR="009556E7" w:rsidRPr="004F0688" w:rsidRDefault="009556E7" w:rsidP="009556E7">
      <w:pPr>
        <w:ind w:left="720"/>
        <w:rPr>
          <w:sz w:val="22"/>
          <w:szCs w:val="22"/>
        </w:rPr>
      </w:pPr>
      <w:r w:rsidRPr="004F0688">
        <w:rPr>
          <w:sz w:val="22"/>
          <w:szCs w:val="22"/>
        </w:rPr>
        <w:t>Colleagues,</w:t>
      </w:r>
    </w:p>
    <w:p w:rsidR="009556E7" w:rsidRPr="004F0688" w:rsidRDefault="009556E7" w:rsidP="009556E7">
      <w:pPr>
        <w:ind w:left="720"/>
        <w:rPr>
          <w:sz w:val="22"/>
          <w:szCs w:val="22"/>
        </w:rPr>
      </w:pPr>
      <w:r w:rsidRPr="004F0688">
        <w:rPr>
          <w:sz w:val="22"/>
          <w:szCs w:val="22"/>
        </w:rPr>
        <w:t xml:space="preserve">We have established a new corporate mailbox for PIV-issue related questions to make it easier for you. Please send all PIV-issue related questions to </w:t>
      </w:r>
      <w:hyperlink r:id="rId97" w:history="1">
        <w:r w:rsidRPr="004F0688">
          <w:rPr>
            <w:rStyle w:val="Hyperlink"/>
            <w:sz w:val="22"/>
            <w:szCs w:val="22"/>
          </w:rPr>
          <w:t>piv.vbasdc@va.gov</w:t>
        </w:r>
      </w:hyperlink>
      <w:r w:rsidRPr="004F0688">
        <w:rPr>
          <w:sz w:val="22"/>
          <w:szCs w:val="22"/>
        </w:rPr>
        <w:t xml:space="preserve"> moving forward.  The phone number for PIV questions remains 619-400-1500.</w:t>
      </w:r>
    </w:p>
    <w:p w:rsidR="009556E7" w:rsidRPr="004F0688" w:rsidRDefault="009556E7" w:rsidP="009556E7">
      <w:pPr>
        <w:rPr>
          <w:rFonts w:ascii="Georgia" w:hAnsi="Georgia"/>
          <w:sz w:val="22"/>
          <w:szCs w:val="22"/>
        </w:rPr>
      </w:pPr>
    </w:p>
    <w:p w:rsidR="00753147" w:rsidRPr="004F0688" w:rsidRDefault="00753147" w:rsidP="00F063AF">
      <w:pPr>
        <w:pStyle w:val="ListParagraph"/>
        <w:numPr>
          <w:ilvl w:val="0"/>
          <w:numId w:val="110"/>
        </w:numPr>
        <w:spacing w:after="0" w:line="240" w:lineRule="auto"/>
        <w:rPr>
          <w:rFonts w:ascii="Tahoma" w:hAnsi="Tahoma" w:cs="Tahoma"/>
        </w:rPr>
      </w:pPr>
      <w:r w:rsidRPr="004F0688">
        <w:rPr>
          <w:rFonts w:ascii="Tahoma" w:hAnsi="Tahoma" w:cs="Tahoma"/>
          <w:b/>
          <w:bCs/>
        </w:rPr>
        <w:t>From:</w:t>
      </w:r>
      <w:r w:rsidRPr="004F0688">
        <w:rPr>
          <w:rFonts w:ascii="Tahoma" w:hAnsi="Tahoma" w:cs="Tahoma"/>
        </w:rPr>
        <w:t xml:space="preserve"> VAVBASDC/RO/DIR </w:t>
      </w:r>
      <w:r w:rsidRPr="004F0688">
        <w:rPr>
          <w:rFonts w:ascii="Tahoma" w:hAnsi="Tahoma" w:cs="Tahoma"/>
        </w:rPr>
        <w:br/>
      </w:r>
      <w:r w:rsidRPr="004F0688">
        <w:rPr>
          <w:rFonts w:ascii="Tahoma" w:hAnsi="Tahoma" w:cs="Tahoma"/>
          <w:b/>
          <w:bCs/>
        </w:rPr>
        <w:t>Sent:</w:t>
      </w:r>
      <w:r w:rsidRPr="004F0688">
        <w:rPr>
          <w:rFonts w:ascii="Tahoma" w:hAnsi="Tahoma" w:cs="Tahoma"/>
        </w:rPr>
        <w:t xml:space="preserve"> Friday, February 09, 2018 11:02 AM</w:t>
      </w:r>
      <w:r w:rsidRPr="004F0688">
        <w:rPr>
          <w:rFonts w:ascii="Tahoma" w:hAnsi="Tahoma" w:cs="Tahoma"/>
        </w:rPr>
        <w:br/>
      </w:r>
      <w:r w:rsidRPr="004F0688">
        <w:rPr>
          <w:rFonts w:ascii="Tahoma" w:hAnsi="Tahoma" w:cs="Tahoma"/>
          <w:b/>
          <w:bCs/>
        </w:rPr>
        <w:t>Subject:</w:t>
      </w:r>
      <w:r w:rsidRPr="004F0688">
        <w:rPr>
          <w:rFonts w:ascii="Tahoma" w:hAnsi="Tahoma" w:cs="Tahoma"/>
        </w:rPr>
        <w:t xml:space="preserve"> HR Corporate Mailbox</w:t>
      </w:r>
    </w:p>
    <w:p w:rsidR="00753147" w:rsidRPr="004F0688" w:rsidRDefault="00753147" w:rsidP="00753147">
      <w:pPr>
        <w:ind w:left="720"/>
        <w:rPr>
          <w:sz w:val="22"/>
          <w:szCs w:val="22"/>
        </w:rPr>
      </w:pPr>
      <w:r w:rsidRPr="004F0688">
        <w:rPr>
          <w:sz w:val="22"/>
          <w:szCs w:val="22"/>
        </w:rPr>
        <w:t>Colleagues,</w:t>
      </w:r>
    </w:p>
    <w:p w:rsidR="00753147" w:rsidRPr="004F0688" w:rsidRDefault="00753147" w:rsidP="00753147">
      <w:pPr>
        <w:ind w:left="720"/>
        <w:rPr>
          <w:sz w:val="22"/>
          <w:szCs w:val="22"/>
        </w:rPr>
      </w:pPr>
      <w:r w:rsidRPr="004F0688">
        <w:rPr>
          <w:sz w:val="22"/>
          <w:szCs w:val="22"/>
        </w:rPr>
        <w:t xml:space="preserve">For your awareness, when contacting HR you no longer have to individually type every HR employee’s name; please email the corporate HR mailbox: </w:t>
      </w:r>
      <w:hyperlink r:id="rId98" w:history="1">
        <w:r w:rsidRPr="004F0688">
          <w:rPr>
            <w:rStyle w:val="Hyperlink"/>
            <w:sz w:val="22"/>
            <w:szCs w:val="22"/>
          </w:rPr>
          <w:t>hrm.vbasdc@va.gov</w:t>
        </w:r>
      </w:hyperlink>
      <w:r w:rsidRPr="004F0688">
        <w:rPr>
          <w:sz w:val="22"/>
          <w:szCs w:val="22"/>
        </w:rPr>
        <w:t xml:space="preserve"> and the applicable HR employee will follow-up . Thank you. </w:t>
      </w:r>
    </w:p>
    <w:p w:rsidR="00233202" w:rsidRPr="00233202" w:rsidRDefault="00233202" w:rsidP="00233202">
      <w:pPr>
        <w:rPr>
          <w:rFonts w:ascii="Courier" w:hAnsi="Courier"/>
        </w:rPr>
      </w:pPr>
    </w:p>
    <w:p w:rsidR="00013EB8" w:rsidRDefault="00013EB8">
      <w:pPr>
        <w:widowControl w:val="0"/>
        <w:pBdr>
          <w:top w:val="single" w:sz="4" w:space="1" w:color="auto"/>
        </w:pBdr>
        <w:rPr>
          <w:i/>
          <w:iCs/>
        </w:rPr>
      </w:pPr>
    </w:p>
    <w:p w:rsidR="00013EB8" w:rsidRDefault="00013EB8">
      <w:pPr>
        <w:widowControl w:val="0"/>
        <w:pBdr>
          <w:top w:val="single" w:sz="4" w:space="1" w:color="auto"/>
        </w:pBdr>
        <w:spacing w:after="120"/>
        <w:rPr>
          <w:b/>
          <w:bCs/>
          <w:i/>
          <w:iCs/>
          <w:u w:val="single"/>
        </w:rPr>
      </w:pPr>
      <w:r>
        <w:rPr>
          <w:b/>
          <w:bCs/>
          <w:i/>
          <w:iCs/>
          <w:u w:val="single"/>
        </w:rPr>
        <w:t>WAH Links:</w:t>
      </w:r>
    </w:p>
    <w:p w:rsidR="00675ACA" w:rsidRPr="00675ACA" w:rsidRDefault="00D571C5" w:rsidP="00F063AF">
      <w:pPr>
        <w:widowControl w:val="0"/>
        <w:numPr>
          <w:ilvl w:val="0"/>
          <w:numId w:val="112"/>
        </w:numPr>
        <w:spacing w:after="120"/>
        <w:rPr>
          <w:rStyle w:val="Hyperlink"/>
          <w:rFonts w:ascii="Times New Roman" w:hAnsi="Times New Roman" w:cs="Times New Roman"/>
          <w:color w:val="auto"/>
          <w:sz w:val="24"/>
          <w:szCs w:val="24"/>
          <w:u w:val="none"/>
        </w:rPr>
      </w:pPr>
      <w:hyperlink r:id="rId99" w:history="1">
        <w:r w:rsidR="00A07F47" w:rsidRPr="001830DB">
          <w:rPr>
            <w:rStyle w:val="Hyperlink"/>
            <w:b/>
            <w:bCs/>
            <w:i/>
            <w:iCs/>
          </w:rPr>
          <w:t>VA Remote Access (RA) Information and Media Portal</w:t>
        </w:r>
      </w:hyperlink>
      <w:r w:rsidR="00675ACA">
        <w:rPr>
          <w:rStyle w:val="Hyperlink"/>
          <w:bCs/>
          <w:iCs/>
          <w:u w:val="none"/>
        </w:rPr>
        <w:t xml:space="preserve"> </w:t>
      </w:r>
    </w:p>
    <w:p w:rsidR="00675ACA" w:rsidRPr="00675ACA" w:rsidRDefault="00D571C5" w:rsidP="00F063AF">
      <w:pPr>
        <w:widowControl w:val="0"/>
        <w:numPr>
          <w:ilvl w:val="0"/>
          <w:numId w:val="112"/>
        </w:numPr>
        <w:rPr>
          <w:rFonts w:ascii="Verdana" w:hAnsi="Verdana"/>
          <w:b/>
          <w:i/>
          <w:iCs/>
        </w:rPr>
      </w:pPr>
      <w:hyperlink r:id="rId100" w:history="1">
        <w:r w:rsidR="002D02A5">
          <w:rPr>
            <w:rStyle w:val="Hyperlink"/>
            <w:b/>
            <w:i/>
          </w:rPr>
          <w:t>Remote Access Portal (RAP)</w:t>
        </w:r>
      </w:hyperlink>
    </w:p>
    <w:p w:rsidR="00675ACA" w:rsidRPr="00675ACA" w:rsidRDefault="00675ACA" w:rsidP="00675ACA">
      <w:pPr>
        <w:widowControl w:val="0"/>
        <w:ind w:left="720"/>
        <w:rPr>
          <w:rFonts w:ascii="Verdana" w:hAnsi="Verdana"/>
          <w:i/>
          <w:iCs/>
        </w:rPr>
      </w:pPr>
    </w:p>
    <w:p w:rsidR="00B153FC" w:rsidRPr="00B153FC" w:rsidRDefault="00D571C5" w:rsidP="00F063AF">
      <w:pPr>
        <w:widowControl w:val="0"/>
        <w:numPr>
          <w:ilvl w:val="0"/>
          <w:numId w:val="112"/>
        </w:numPr>
        <w:rPr>
          <w:rFonts w:ascii="Verdana" w:hAnsi="Verdana"/>
          <w:i/>
          <w:iCs/>
        </w:rPr>
      </w:pPr>
      <w:hyperlink r:id="rId101" w:history="1">
        <w:r w:rsidR="00013EB8" w:rsidRPr="00B153FC">
          <w:rPr>
            <w:rStyle w:val="Hyperlink"/>
            <w:b/>
            <w:bCs/>
            <w:i/>
            <w:iCs/>
          </w:rPr>
          <w:t>Terminal Server/Citrix link</w:t>
        </w:r>
      </w:hyperlink>
      <w:r w:rsidR="001830DB" w:rsidRPr="00B153FC">
        <w:rPr>
          <w:rStyle w:val="Hyperlink"/>
          <w:bCs/>
          <w:iCs/>
          <w:u w:val="none"/>
        </w:rPr>
        <w:t xml:space="preserve"> –</w:t>
      </w:r>
      <w:r w:rsidR="009A2CCB">
        <w:rPr>
          <w:rStyle w:val="Hyperlink"/>
          <w:bCs/>
          <w:iCs/>
          <w:u w:val="none"/>
        </w:rPr>
        <w:t xml:space="preserve"> </w:t>
      </w:r>
      <w:r w:rsidR="009A2CCB" w:rsidRPr="009A2CCB">
        <w:rPr>
          <w:rStyle w:val="Hyperlink"/>
          <w:bCs/>
          <w:iCs/>
          <w:color w:val="auto"/>
          <w:u w:val="none"/>
        </w:rPr>
        <w:t>click on Log On,</w:t>
      </w:r>
      <w:r w:rsidR="00A94771" w:rsidRPr="009A2CCB">
        <w:rPr>
          <w:rStyle w:val="Hyperlink"/>
          <w:bCs/>
          <w:iCs/>
          <w:color w:val="auto"/>
          <w:u w:val="none"/>
        </w:rPr>
        <w:t xml:space="preserve"> DO NOT CHOOSE “Switch to </w:t>
      </w:r>
      <w:r w:rsidR="009A2CCB" w:rsidRPr="009A2CCB">
        <w:rPr>
          <w:rStyle w:val="Hyperlink"/>
          <w:bCs/>
          <w:iCs/>
          <w:color w:val="auto"/>
          <w:u w:val="none"/>
        </w:rPr>
        <w:t>s</w:t>
      </w:r>
      <w:r w:rsidR="00A94771" w:rsidRPr="009A2CCB">
        <w:rPr>
          <w:rStyle w:val="Hyperlink"/>
          <w:bCs/>
          <w:iCs/>
          <w:color w:val="auto"/>
          <w:u w:val="none"/>
        </w:rPr>
        <w:t xml:space="preserve">mart </w:t>
      </w:r>
      <w:r w:rsidR="009A2CCB" w:rsidRPr="009A2CCB">
        <w:rPr>
          <w:rStyle w:val="Hyperlink"/>
          <w:bCs/>
          <w:iCs/>
          <w:color w:val="auto"/>
          <w:u w:val="none"/>
        </w:rPr>
        <w:t>card</w:t>
      </w:r>
      <w:r w:rsidR="009A2CCB">
        <w:rPr>
          <w:rStyle w:val="Hyperlink"/>
          <w:bCs/>
          <w:iCs/>
          <w:color w:val="auto"/>
          <w:u w:val="none"/>
        </w:rPr>
        <w:t>,</w:t>
      </w:r>
      <w:r w:rsidR="009A2CCB" w:rsidRPr="009A2CCB">
        <w:rPr>
          <w:rStyle w:val="Hyperlink"/>
          <w:bCs/>
          <w:iCs/>
          <w:color w:val="auto"/>
          <w:u w:val="none"/>
        </w:rPr>
        <w:t>”</w:t>
      </w:r>
      <w:r w:rsidR="009A2CCB">
        <w:rPr>
          <w:rStyle w:val="Hyperlink"/>
          <w:bCs/>
          <w:iCs/>
          <w:color w:val="auto"/>
          <w:u w:val="none"/>
        </w:rPr>
        <w:t xml:space="preserve"> select “R05-VBApp Desktop,” Permit Use &amp; Don’t ask me again; do not use Disconnect, instead do Start – Log off</w:t>
      </w:r>
      <w:r w:rsidR="004D429B" w:rsidRPr="00B153FC">
        <w:rPr>
          <w:rStyle w:val="Hyperlink"/>
          <w:bCs/>
          <w:iCs/>
          <w:color w:val="auto"/>
          <w:u w:val="none"/>
        </w:rPr>
        <w:t xml:space="preserve">; </w:t>
      </w:r>
      <w:r w:rsidR="001830DB" w:rsidRPr="00B153FC">
        <w:rPr>
          <w:color w:val="000000"/>
        </w:rPr>
        <w:t>to get in both monitors, from drop down at top of screen, select Window to reduce vba apps desktop screen, then drag so that it is partially on both monitors, then select Full-Screen to enlarge</w:t>
      </w:r>
    </w:p>
    <w:p w:rsidR="00AC1911" w:rsidRPr="009A2CCB" w:rsidRDefault="00B153FC" w:rsidP="00F063AF">
      <w:pPr>
        <w:widowControl w:val="0"/>
        <w:numPr>
          <w:ilvl w:val="1"/>
          <w:numId w:val="112"/>
        </w:numPr>
        <w:rPr>
          <w:color w:val="1F497D"/>
        </w:rPr>
      </w:pPr>
      <w:r>
        <w:t xml:space="preserve">As of 12/21/16, only use </w:t>
      </w:r>
      <w:hyperlink r:id="rId102" w:history="1">
        <w:r>
          <w:rPr>
            <w:rStyle w:val="Hyperlink"/>
          </w:rPr>
          <w:t>https://citrixaccess.va.gov</w:t>
        </w:r>
      </w:hyperlink>
      <w:r w:rsidR="009A2CCB">
        <w:t> (available in IE under Favorites – VA Shorcuts – National)</w:t>
      </w:r>
    </w:p>
    <w:p w:rsidR="005052C8" w:rsidRPr="00FB3678" w:rsidRDefault="005052C8" w:rsidP="005052C8">
      <w:pPr>
        <w:pStyle w:val="ListParagraph"/>
        <w:pBdr>
          <w:top w:val="double" w:sz="4" w:space="1" w:color="auto"/>
          <w:left w:val="double" w:sz="4" w:space="4" w:color="auto"/>
          <w:bottom w:val="double" w:sz="4" w:space="1" w:color="auto"/>
          <w:right w:val="double" w:sz="4" w:space="4" w:color="auto"/>
        </w:pBdr>
        <w:shd w:val="clear" w:color="auto" w:fill="FFC000"/>
        <w:spacing w:before="240" w:after="120" w:line="240" w:lineRule="auto"/>
        <w:ind w:left="0"/>
        <w:jc w:val="center"/>
        <w:rPr>
          <w:rFonts w:ascii="Arial" w:eastAsiaTheme="minorHAnsi" w:hAnsi="Arial"/>
          <w:sz w:val="20"/>
        </w:rPr>
      </w:pPr>
      <w:r>
        <w:rPr>
          <w:rFonts w:ascii="Arial" w:eastAsiaTheme="minorHAnsi" w:hAnsi="Arial"/>
          <w:b/>
          <w:sz w:val="20"/>
        </w:rPr>
        <w:t>VA Resources Guide</w:t>
      </w:r>
      <w:r w:rsidRPr="00FB3678">
        <w:rPr>
          <w:rFonts w:ascii="Arial" w:eastAsiaTheme="minorHAnsi" w:hAnsi="Arial"/>
          <w:sz w:val="20"/>
        </w:rPr>
        <w:t xml:space="preserve"> </w:t>
      </w:r>
      <w:r>
        <w:rPr>
          <w:rFonts w:ascii="Arial" w:eastAsiaTheme="minorHAnsi" w:hAnsi="Arial"/>
          <w:sz w:val="20"/>
        </w:rPr>
        <w:t xml:space="preserve">[from VA101] </w:t>
      </w:r>
      <w:r w:rsidRPr="00FB3678">
        <w:rPr>
          <w:rFonts w:ascii="Arial" w:eastAsiaTheme="minorHAnsi" w:hAnsi="Arial"/>
          <w:sz w:val="20"/>
        </w:rPr>
        <w:t>is</w:t>
      </w:r>
      <w:r w:rsidRPr="00FB3678">
        <w:rPr>
          <w:rFonts w:ascii="Arial" w:hAnsi="Arial"/>
          <w:sz w:val="20"/>
        </w:rPr>
        <w:t xml:space="preserve"> saved at </w:t>
      </w:r>
      <w:r w:rsidRPr="00FB3678">
        <w:rPr>
          <w:rFonts w:ascii="Arial" w:hAnsi="Arial"/>
          <w:b/>
          <w:bCs/>
          <w:i/>
          <w:iCs/>
          <w:sz w:val="20"/>
        </w:rPr>
        <w:t>H:\VSC\Rating Reference</w:t>
      </w:r>
    </w:p>
    <w:p w:rsidR="005052C8" w:rsidRPr="00D466B6" w:rsidRDefault="00D571C5" w:rsidP="005052C8">
      <w:pPr>
        <w:widowControl w:val="0"/>
        <w:pBdr>
          <w:bottom w:val="single" w:sz="4" w:space="1" w:color="auto"/>
        </w:pBdr>
        <w:tabs>
          <w:tab w:val="left" w:pos="300"/>
        </w:tabs>
        <w:spacing w:after="120"/>
        <w:rPr>
          <w:b/>
          <w:i/>
          <w:sz w:val="18"/>
        </w:rPr>
      </w:pPr>
      <w:hyperlink r:id="rId103" w:history="1">
        <w:r w:rsidR="005052C8" w:rsidRPr="00D466B6">
          <w:rPr>
            <w:rStyle w:val="Hyperlink"/>
            <w:b/>
            <w:i/>
            <w:sz w:val="18"/>
          </w:rPr>
          <w:t>www.va.gov</w:t>
        </w:r>
      </w:hyperlink>
    </w:p>
    <w:p w:rsidR="005052C8" w:rsidRPr="00D466B6" w:rsidRDefault="005052C8" w:rsidP="005052C8">
      <w:pPr>
        <w:widowControl w:val="0"/>
        <w:pBdr>
          <w:bottom w:val="single" w:sz="4" w:space="1" w:color="auto"/>
        </w:pBdr>
        <w:tabs>
          <w:tab w:val="left" w:pos="300"/>
        </w:tabs>
        <w:spacing w:after="120"/>
        <w:rPr>
          <w:b/>
          <w:i/>
          <w:sz w:val="18"/>
        </w:rPr>
      </w:pPr>
      <w:r w:rsidRPr="00D466B6">
        <w:rPr>
          <w:b/>
          <w:i/>
          <w:sz w:val="18"/>
        </w:rPr>
        <w:t>Homeless Veteran Hotline – 877-4AID-VET (4243-838)</w:t>
      </w:r>
    </w:p>
    <w:p w:rsidR="005052C8" w:rsidRPr="00D466B6" w:rsidRDefault="005052C8" w:rsidP="005052C8">
      <w:pPr>
        <w:widowControl w:val="0"/>
        <w:pBdr>
          <w:bottom w:val="single" w:sz="4" w:space="1" w:color="auto"/>
        </w:pBdr>
        <w:tabs>
          <w:tab w:val="left" w:pos="300"/>
        </w:tabs>
        <w:spacing w:after="120"/>
        <w:rPr>
          <w:b/>
          <w:i/>
          <w:sz w:val="18"/>
        </w:rPr>
      </w:pPr>
      <w:r w:rsidRPr="00D466B6">
        <w:rPr>
          <w:b/>
          <w:i/>
          <w:sz w:val="18"/>
        </w:rPr>
        <w:t>Veteran Crisis Hotline – 800-273-8255, option 1</w:t>
      </w:r>
    </w:p>
    <w:p w:rsidR="005052C8" w:rsidRPr="00D466B6" w:rsidRDefault="005052C8" w:rsidP="005052C8">
      <w:pPr>
        <w:widowControl w:val="0"/>
        <w:pBdr>
          <w:bottom w:val="single" w:sz="4" w:space="1" w:color="auto"/>
        </w:pBdr>
        <w:tabs>
          <w:tab w:val="left" w:pos="300"/>
        </w:tabs>
        <w:spacing w:after="120"/>
        <w:rPr>
          <w:b/>
          <w:i/>
          <w:sz w:val="18"/>
        </w:rPr>
      </w:pPr>
      <w:r w:rsidRPr="00D466B6">
        <w:rPr>
          <w:b/>
          <w:i/>
          <w:sz w:val="18"/>
        </w:rPr>
        <w:t xml:space="preserve">VHA </w:t>
      </w:r>
    </w:p>
    <w:p w:rsidR="005052C8" w:rsidRDefault="005052C8" w:rsidP="005052C8">
      <w:pPr>
        <w:widowControl w:val="0"/>
        <w:pBdr>
          <w:bottom w:val="single" w:sz="4" w:space="1" w:color="auto"/>
        </w:pBdr>
        <w:tabs>
          <w:tab w:val="left" w:pos="300"/>
        </w:tabs>
        <w:spacing w:after="120"/>
        <w:ind w:left="270" w:hanging="270"/>
        <w:rPr>
          <w:i/>
          <w:sz w:val="18"/>
        </w:rPr>
      </w:pPr>
      <w:r>
        <w:rPr>
          <w:i/>
          <w:sz w:val="18"/>
        </w:rPr>
        <w:tab/>
      </w:r>
      <w:hyperlink r:id="rId104" w:history="1">
        <w:r w:rsidRPr="00A0785F">
          <w:rPr>
            <w:rStyle w:val="Hyperlink"/>
            <w:i/>
            <w:sz w:val="18"/>
          </w:rPr>
          <w:t>www.va.gov/healthbenefits/</w:t>
        </w:r>
      </w:hyperlink>
      <w:r>
        <w:rPr>
          <w:i/>
          <w:sz w:val="18"/>
        </w:rPr>
        <w:t xml:space="preserve">, </w:t>
      </w:r>
      <w:r w:rsidRPr="00D466B6">
        <w:rPr>
          <w:b/>
          <w:i/>
          <w:sz w:val="18"/>
        </w:rPr>
        <w:t>877-222-VETS (8387)</w:t>
      </w:r>
      <w:r>
        <w:rPr>
          <w:i/>
          <w:sz w:val="18"/>
        </w:rPr>
        <w:t xml:space="preserve">, </w:t>
      </w:r>
      <w:hyperlink r:id="rId105" w:history="1">
        <w:r w:rsidRPr="00A0785F">
          <w:rPr>
            <w:rStyle w:val="Hyperlink"/>
            <w:i/>
            <w:sz w:val="18"/>
          </w:rPr>
          <w:t>www.va.gov/healthbenefits/apply/veterans.asp</w:t>
        </w:r>
      </w:hyperlink>
      <w:r>
        <w:rPr>
          <w:i/>
          <w:sz w:val="18"/>
        </w:rPr>
        <w:t xml:space="preserve">, </w:t>
      </w:r>
      <w:hyperlink r:id="rId106" w:history="1">
        <w:r w:rsidRPr="00A0785F">
          <w:rPr>
            <w:rStyle w:val="Hyperlink"/>
            <w:i/>
            <w:sz w:val="18"/>
          </w:rPr>
          <w:t>www.1010ez.med.va.gov</w:t>
        </w:r>
      </w:hyperlink>
      <w:r>
        <w:rPr>
          <w:i/>
          <w:sz w:val="18"/>
        </w:rPr>
        <w:t xml:space="preserve">, </w:t>
      </w:r>
      <w:hyperlink r:id="rId107" w:history="1">
        <w:r w:rsidRPr="00A0785F">
          <w:rPr>
            <w:rStyle w:val="Hyperlink"/>
            <w:i/>
            <w:sz w:val="18"/>
          </w:rPr>
          <w:t>http://explore.va.gov/health-care</w:t>
        </w:r>
      </w:hyperlink>
      <w:r>
        <w:rPr>
          <w:i/>
          <w:sz w:val="18"/>
        </w:rPr>
        <w:t xml:space="preserve">, </w:t>
      </w:r>
      <w:hyperlink r:id="rId108" w:history="1">
        <w:r w:rsidRPr="00A0785F">
          <w:rPr>
            <w:rStyle w:val="Hyperlink"/>
            <w:i/>
            <w:sz w:val="18"/>
          </w:rPr>
          <w:t>www.va.gov/landing2_locations.htm</w:t>
        </w:r>
      </w:hyperlink>
      <w:r>
        <w:rPr>
          <w:i/>
          <w:sz w:val="18"/>
        </w:rPr>
        <w:t xml:space="preserve">; </w:t>
      </w:r>
      <w:hyperlink r:id="rId109" w:history="1">
        <w:r w:rsidRPr="00A0785F">
          <w:rPr>
            <w:rStyle w:val="Hyperlink"/>
            <w:i/>
            <w:sz w:val="18"/>
          </w:rPr>
          <w:t>www.myhealth.va.gov/index.html</w:t>
        </w:r>
      </w:hyperlink>
      <w:r>
        <w:rPr>
          <w:i/>
          <w:sz w:val="18"/>
        </w:rPr>
        <w:t xml:space="preserve">, 877-327-0022; </w:t>
      </w:r>
      <w:hyperlink r:id="rId110" w:history="1">
        <w:r w:rsidRPr="00A0785F">
          <w:rPr>
            <w:rStyle w:val="Hyperlink"/>
            <w:i/>
            <w:sz w:val="18"/>
          </w:rPr>
          <w:t>www.womenshealth.va.gov</w:t>
        </w:r>
      </w:hyperlink>
      <w:r>
        <w:rPr>
          <w:i/>
          <w:sz w:val="18"/>
        </w:rPr>
        <w:t xml:space="preserve">, 855-VA-WOMEN (829-6636); </w:t>
      </w:r>
      <w:hyperlink r:id="rId111" w:history="1">
        <w:r w:rsidRPr="00A0785F">
          <w:rPr>
            <w:rStyle w:val="Hyperlink"/>
            <w:i/>
            <w:sz w:val="18"/>
          </w:rPr>
          <w:t>www.ruralhealth.va.gov</w:t>
        </w:r>
      </w:hyperlink>
      <w:r>
        <w:rPr>
          <w:i/>
          <w:sz w:val="18"/>
        </w:rPr>
        <w:t xml:space="preserve">; </w:t>
      </w:r>
      <w:hyperlink r:id="rId112" w:history="1">
        <w:r w:rsidRPr="00A0785F">
          <w:rPr>
            <w:rStyle w:val="Hyperlink"/>
            <w:i/>
            <w:sz w:val="18"/>
          </w:rPr>
          <w:t>www.mentalhealth.va.gov</w:t>
        </w:r>
      </w:hyperlink>
      <w:r>
        <w:rPr>
          <w:i/>
          <w:sz w:val="18"/>
        </w:rPr>
        <w:t xml:space="preserve">, </w:t>
      </w:r>
      <w:hyperlink r:id="rId113" w:history="1">
        <w:r w:rsidRPr="00A0785F">
          <w:rPr>
            <w:rStyle w:val="Hyperlink"/>
            <w:i/>
            <w:sz w:val="18"/>
          </w:rPr>
          <w:t>www.mentalhealth.va.gov/docs/MHG_English.pdf</w:t>
        </w:r>
      </w:hyperlink>
      <w:r>
        <w:rPr>
          <w:i/>
          <w:sz w:val="18"/>
        </w:rPr>
        <w:t xml:space="preserve">, </w:t>
      </w:r>
      <w:hyperlink r:id="rId114" w:history="1">
        <w:r w:rsidRPr="00A0785F">
          <w:rPr>
            <w:rStyle w:val="Hyperlink"/>
            <w:i/>
            <w:sz w:val="18"/>
          </w:rPr>
          <w:t>http://maketheconnection.net/</w:t>
        </w:r>
      </w:hyperlink>
      <w:r>
        <w:rPr>
          <w:i/>
          <w:sz w:val="18"/>
        </w:rPr>
        <w:t xml:space="preserve">, </w:t>
      </w:r>
      <w:hyperlink r:id="rId115" w:history="1">
        <w:r w:rsidRPr="00A0785F">
          <w:rPr>
            <w:rStyle w:val="Hyperlink"/>
            <w:i/>
            <w:sz w:val="18"/>
          </w:rPr>
          <w:t>https://www.vetranscrisisline.net/</w:t>
        </w:r>
      </w:hyperlink>
      <w:r>
        <w:rPr>
          <w:i/>
          <w:sz w:val="18"/>
        </w:rPr>
        <w:t xml:space="preserve">; </w:t>
      </w:r>
      <w:hyperlink r:id="rId116" w:history="1">
        <w:r w:rsidRPr="00A0785F">
          <w:rPr>
            <w:rStyle w:val="Hyperlink"/>
            <w:i/>
            <w:sz w:val="18"/>
          </w:rPr>
          <w:t>www.va.gov/directory/guide/vetcenter.asp</w:t>
        </w:r>
      </w:hyperlink>
      <w:r>
        <w:rPr>
          <w:i/>
          <w:sz w:val="18"/>
        </w:rPr>
        <w:t>, 877-WAR-VETS (927-8387);</w:t>
      </w:r>
    </w:p>
    <w:p w:rsidR="005052C8" w:rsidRDefault="005052C8" w:rsidP="005052C8">
      <w:pPr>
        <w:widowControl w:val="0"/>
        <w:pBdr>
          <w:bottom w:val="single" w:sz="4" w:space="1" w:color="auto"/>
        </w:pBdr>
        <w:tabs>
          <w:tab w:val="left" w:pos="300"/>
        </w:tabs>
        <w:spacing w:after="120"/>
        <w:rPr>
          <w:i/>
          <w:sz w:val="18"/>
        </w:rPr>
      </w:pPr>
      <w:r>
        <w:rPr>
          <w:i/>
          <w:sz w:val="18"/>
        </w:rPr>
        <w:t xml:space="preserve">Veterans Employment Services Office (VESO) – </w:t>
      </w:r>
      <w:hyperlink r:id="rId117" w:history="1">
        <w:r w:rsidRPr="00A0785F">
          <w:rPr>
            <w:rStyle w:val="Hyperlink"/>
            <w:i/>
            <w:sz w:val="18"/>
          </w:rPr>
          <w:t>www.vaforvets.va.gov</w:t>
        </w:r>
      </w:hyperlink>
      <w:r>
        <w:rPr>
          <w:i/>
          <w:sz w:val="18"/>
        </w:rPr>
        <w:t>, 855-824-8387, http://explore.va.gov/employment-services</w:t>
      </w:r>
    </w:p>
    <w:p w:rsidR="005052C8" w:rsidRDefault="005052C8" w:rsidP="005052C8">
      <w:pPr>
        <w:widowControl w:val="0"/>
        <w:pBdr>
          <w:bottom w:val="single" w:sz="4" w:space="1" w:color="auto"/>
        </w:pBdr>
        <w:tabs>
          <w:tab w:val="left" w:pos="300"/>
        </w:tabs>
        <w:spacing w:after="120"/>
        <w:rPr>
          <w:i/>
          <w:sz w:val="18"/>
        </w:rPr>
      </w:pPr>
      <w:r>
        <w:rPr>
          <w:i/>
          <w:sz w:val="18"/>
        </w:rPr>
        <w:t xml:space="preserve">Transition Assistance Program (TAP) – </w:t>
      </w:r>
      <w:hyperlink r:id="rId118" w:history="1">
        <w:r w:rsidRPr="00A0785F">
          <w:rPr>
            <w:rStyle w:val="Hyperlink"/>
            <w:i/>
            <w:sz w:val="18"/>
          </w:rPr>
          <w:t>www.benefits.va.gov/TAP/</w:t>
        </w:r>
      </w:hyperlink>
    </w:p>
    <w:p w:rsidR="005052C8" w:rsidRPr="00D466B6" w:rsidRDefault="005052C8" w:rsidP="005052C8">
      <w:pPr>
        <w:widowControl w:val="0"/>
        <w:pBdr>
          <w:bottom w:val="single" w:sz="4" w:space="1" w:color="auto"/>
        </w:pBdr>
        <w:tabs>
          <w:tab w:val="left" w:pos="300"/>
        </w:tabs>
        <w:spacing w:after="120"/>
        <w:rPr>
          <w:b/>
          <w:i/>
          <w:sz w:val="18"/>
        </w:rPr>
      </w:pPr>
      <w:r w:rsidRPr="00D466B6">
        <w:rPr>
          <w:b/>
          <w:i/>
          <w:sz w:val="18"/>
        </w:rPr>
        <w:t>NCA</w:t>
      </w:r>
    </w:p>
    <w:p w:rsidR="005052C8" w:rsidRDefault="005052C8" w:rsidP="005052C8">
      <w:pPr>
        <w:widowControl w:val="0"/>
        <w:pBdr>
          <w:bottom w:val="single" w:sz="4" w:space="1" w:color="auto"/>
        </w:pBdr>
        <w:tabs>
          <w:tab w:val="left" w:pos="300"/>
        </w:tabs>
        <w:spacing w:after="120"/>
        <w:rPr>
          <w:i/>
          <w:sz w:val="18"/>
        </w:rPr>
      </w:pPr>
      <w:r>
        <w:rPr>
          <w:i/>
          <w:sz w:val="18"/>
        </w:rPr>
        <w:tab/>
      </w:r>
      <w:hyperlink r:id="rId119" w:history="1">
        <w:r w:rsidRPr="00A0785F">
          <w:rPr>
            <w:rStyle w:val="Hyperlink"/>
            <w:i/>
            <w:sz w:val="18"/>
          </w:rPr>
          <w:t>www.cem.va.gov</w:t>
        </w:r>
      </w:hyperlink>
      <w:r>
        <w:rPr>
          <w:i/>
          <w:sz w:val="18"/>
        </w:rPr>
        <w:t xml:space="preserve">, </w:t>
      </w:r>
      <w:r w:rsidRPr="00D466B6">
        <w:rPr>
          <w:b/>
          <w:i/>
          <w:sz w:val="18"/>
        </w:rPr>
        <w:t>800-827-1000</w:t>
      </w:r>
      <w:r>
        <w:rPr>
          <w:i/>
          <w:sz w:val="18"/>
        </w:rPr>
        <w:t xml:space="preserve">, </w:t>
      </w:r>
      <w:hyperlink r:id="rId120" w:history="1">
        <w:r w:rsidRPr="00A0785F">
          <w:rPr>
            <w:rStyle w:val="Hyperlink"/>
            <w:i/>
            <w:sz w:val="18"/>
          </w:rPr>
          <w:t>http://explore.va.gov/</w:t>
        </w:r>
      </w:hyperlink>
      <w:r>
        <w:rPr>
          <w:i/>
          <w:sz w:val="18"/>
        </w:rPr>
        <w:t>,</w:t>
      </w:r>
    </w:p>
    <w:p w:rsidR="005052C8" w:rsidRPr="00D466B6" w:rsidRDefault="005052C8" w:rsidP="005052C8">
      <w:pPr>
        <w:widowControl w:val="0"/>
        <w:pBdr>
          <w:bottom w:val="single" w:sz="4" w:space="1" w:color="auto"/>
        </w:pBdr>
        <w:tabs>
          <w:tab w:val="left" w:pos="300"/>
        </w:tabs>
        <w:spacing w:after="120"/>
        <w:rPr>
          <w:b/>
          <w:i/>
          <w:sz w:val="18"/>
        </w:rPr>
      </w:pPr>
      <w:r w:rsidRPr="00D466B6">
        <w:rPr>
          <w:b/>
          <w:i/>
          <w:sz w:val="18"/>
        </w:rPr>
        <w:t>VBA</w:t>
      </w:r>
    </w:p>
    <w:p w:rsidR="005052C8" w:rsidRDefault="005052C8" w:rsidP="005052C8">
      <w:pPr>
        <w:widowControl w:val="0"/>
        <w:pBdr>
          <w:bottom w:val="single" w:sz="4" w:space="1" w:color="auto"/>
        </w:pBdr>
        <w:tabs>
          <w:tab w:val="left" w:pos="300"/>
        </w:tabs>
        <w:spacing w:after="120"/>
        <w:ind w:left="270" w:hanging="270"/>
        <w:rPr>
          <w:i/>
          <w:sz w:val="18"/>
        </w:rPr>
      </w:pPr>
      <w:r>
        <w:rPr>
          <w:i/>
          <w:sz w:val="18"/>
        </w:rPr>
        <w:tab/>
      </w:r>
      <w:hyperlink r:id="rId121" w:history="1">
        <w:r w:rsidRPr="00A0785F">
          <w:rPr>
            <w:rStyle w:val="Hyperlink"/>
            <w:i/>
            <w:sz w:val="18"/>
          </w:rPr>
          <w:t>www.benefits.va.gov/benefits</w:t>
        </w:r>
      </w:hyperlink>
      <w:r>
        <w:rPr>
          <w:i/>
          <w:sz w:val="18"/>
        </w:rPr>
        <w:t xml:space="preserve">, </w:t>
      </w:r>
      <w:r w:rsidRPr="00D466B6">
        <w:rPr>
          <w:b/>
          <w:i/>
          <w:sz w:val="18"/>
        </w:rPr>
        <w:t>800-827-1000,</w:t>
      </w:r>
      <w:r>
        <w:rPr>
          <w:i/>
          <w:sz w:val="18"/>
        </w:rPr>
        <w:t xml:space="preserve"> </w:t>
      </w:r>
      <w:hyperlink r:id="rId122" w:history="1">
        <w:r w:rsidRPr="00A0785F">
          <w:rPr>
            <w:rStyle w:val="Hyperlink"/>
            <w:i/>
            <w:sz w:val="18"/>
          </w:rPr>
          <w:t>http://explore.va.gov/</w:t>
        </w:r>
      </w:hyperlink>
      <w:r>
        <w:rPr>
          <w:i/>
          <w:sz w:val="18"/>
        </w:rPr>
        <w:t xml:space="preserve">, </w:t>
      </w:r>
      <w:hyperlink r:id="rId123" w:history="1">
        <w:r w:rsidRPr="00A0785F">
          <w:rPr>
            <w:rStyle w:val="Hyperlink"/>
            <w:i/>
            <w:sz w:val="18"/>
          </w:rPr>
          <w:t>www.va.gov/opa/publications/benefits_book.asp</w:t>
        </w:r>
      </w:hyperlink>
      <w:r>
        <w:rPr>
          <w:i/>
          <w:sz w:val="18"/>
        </w:rPr>
        <w:t xml:space="preserve">, </w:t>
      </w:r>
      <w:hyperlink r:id="rId124" w:history="1">
        <w:r w:rsidRPr="00A0785F">
          <w:rPr>
            <w:rStyle w:val="Hyperlink"/>
            <w:i/>
            <w:sz w:val="18"/>
          </w:rPr>
          <w:t>www.ebenefits.va.gov/</w:t>
        </w:r>
      </w:hyperlink>
      <w:r>
        <w:rPr>
          <w:i/>
          <w:sz w:val="18"/>
        </w:rPr>
        <w:t xml:space="preserve">, </w:t>
      </w:r>
      <w:hyperlink r:id="rId125" w:history="1">
        <w:r w:rsidRPr="00A0785F">
          <w:rPr>
            <w:rStyle w:val="Hyperlink"/>
            <w:i/>
            <w:sz w:val="18"/>
          </w:rPr>
          <w:t>www.benefits.va.gov/BENEFITS/videos.asp</w:t>
        </w:r>
      </w:hyperlink>
      <w:r>
        <w:rPr>
          <w:i/>
          <w:sz w:val="18"/>
        </w:rPr>
        <w:t xml:space="preserve">; </w:t>
      </w:r>
      <w:hyperlink r:id="rId126" w:history="1">
        <w:r w:rsidRPr="00A0785F">
          <w:rPr>
            <w:rStyle w:val="Hyperlink"/>
            <w:i/>
            <w:sz w:val="18"/>
          </w:rPr>
          <w:t>www.benefits.va.gov/homeloans/index.asp</w:t>
        </w:r>
      </w:hyperlink>
      <w:r>
        <w:rPr>
          <w:i/>
          <w:sz w:val="18"/>
        </w:rPr>
        <w:t xml:space="preserve">, 877-827-3702, </w:t>
      </w:r>
      <w:hyperlink r:id="rId127" w:history="1">
        <w:r w:rsidRPr="00A0785F">
          <w:rPr>
            <w:rStyle w:val="Hyperlink"/>
            <w:i/>
            <w:sz w:val="18"/>
          </w:rPr>
          <w:t>http://explore.va.gov/home-loans-and-housing</w:t>
        </w:r>
      </w:hyperlink>
      <w:r>
        <w:rPr>
          <w:i/>
          <w:sz w:val="18"/>
        </w:rPr>
        <w:t xml:space="preserve">; </w:t>
      </w:r>
      <w:hyperlink r:id="rId128" w:history="1">
        <w:r w:rsidRPr="00A0785F">
          <w:rPr>
            <w:rStyle w:val="Hyperlink"/>
            <w:i/>
            <w:sz w:val="18"/>
          </w:rPr>
          <w:t>www.benefits.va.gov/vocrehab</w:t>
        </w:r>
      </w:hyperlink>
      <w:r>
        <w:rPr>
          <w:i/>
          <w:sz w:val="18"/>
        </w:rPr>
        <w:t xml:space="preserve">, </w:t>
      </w:r>
      <w:hyperlink r:id="rId129" w:history="1">
        <w:r w:rsidRPr="00A0785F">
          <w:rPr>
            <w:rStyle w:val="Hyperlink"/>
            <w:i/>
            <w:sz w:val="18"/>
          </w:rPr>
          <w:t>http://explore.va.gov/employment-services</w:t>
        </w:r>
      </w:hyperlink>
      <w:r>
        <w:rPr>
          <w:i/>
          <w:sz w:val="18"/>
        </w:rPr>
        <w:t xml:space="preserve">; </w:t>
      </w:r>
      <w:hyperlink r:id="rId130" w:history="1">
        <w:r w:rsidRPr="00A0785F">
          <w:rPr>
            <w:rStyle w:val="Hyperlink"/>
            <w:i/>
            <w:sz w:val="18"/>
          </w:rPr>
          <w:t>www.benefits.va.gov/gibill/</w:t>
        </w:r>
      </w:hyperlink>
      <w:r>
        <w:rPr>
          <w:i/>
          <w:sz w:val="18"/>
        </w:rPr>
        <w:t xml:space="preserve">, 888-GIBILL-1 (422-4551), </w:t>
      </w:r>
      <w:hyperlink r:id="rId131" w:history="1">
        <w:r w:rsidRPr="00A0785F">
          <w:rPr>
            <w:rStyle w:val="Hyperlink"/>
            <w:i/>
            <w:sz w:val="18"/>
          </w:rPr>
          <w:t>http://explore.va.gov/education-training</w:t>
        </w:r>
      </w:hyperlink>
      <w:r>
        <w:rPr>
          <w:i/>
          <w:sz w:val="18"/>
        </w:rPr>
        <w:t xml:space="preserve">, </w:t>
      </w:r>
      <w:hyperlink r:id="rId132" w:history="1">
        <w:r w:rsidRPr="00A0785F">
          <w:rPr>
            <w:rStyle w:val="Hyperlink"/>
            <w:i/>
            <w:sz w:val="18"/>
          </w:rPr>
          <w:t>https://www.vets.gov/gi-bill-comparison-tool</w:t>
        </w:r>
      </w:hyperlink>
      <w:r>
        <w:rPr>
          <w:i/>
          <w:sz w:val="18"/>
        </w:rPr>
        <w:t xml:space="preserve">; </w:t>
      </w:r>
      <w:hyperlink r:id="rId133" w:history="1">
        <w:r w:rsidRPr="00A0785F">
          <w:rPr>
            <w:rStyle w:val="Hyperlink"/>
            <w:i/>
            <w:sz w:val="18"/>
          </w:rPr>
          <w:t>www.benefits.va.gov/pension/</w:t>
        </w:r>
      </w:hyperlink>
      <w:r>
        <w:rPr>
          <w:i/>
          <w:sz w:val="18"/>
        </w:rPr>
        <w:t xml:space="preserve">, </w:t>
      </w:r>
      <w:hyperlink r:id="rId134" w:history="1">
        <w:r w:rsidRPr="00A0785F">
          <w:rPr>
            <w:rStyle w:val="Hyperlink"/>
            <w:i/>
            <w:sz w:val="18"/>
          </w:rPr>
          <w:t>http://explore.va.gov/pension</w:t>
        </w:r>
      </w:hyperlink>
      <w:r>
        <w:rPr>
          <w:i/>
          <w:sz w:val="18"/>
        </w:rPr>
        <w:t xml:space="preserve">; </w:t>
      </w:r>
      <w:hyperlink r:id="rId135" w:history="1">
        <w:r w:rsidRPr="00A0785F">
          <w:rPr>
            <w:rStyle w:val="Hyperlink"/>
            <w:i/>
            <w:sz w:val="18"/>
          </w:rPr>
          <w:t>http://www.benefits.va.gov/fiduciary</w:t>
        </w:r>
      </w:hyperlink>
      <w:r>
        <w:rPr>
          <w:i/>
          <w:sz w:val="18"/>
        </w:rPr>
        <w:t xml:space="preserve">; </w:t>
      </w:r>
      <w:hyperlink r:id="rId136" w:history="1">
        <w:r w:rsidRPr="00A0785F">
          <w:rPr>
            <w:rStyle w:val="Hyperlink"/>
            <w:i/>
            <w:sz w:val="18"/>
          </w:rPr>
          <w:t>www.benefits.va.gov/insurance</w:t>
        </w:r>
      </w:hyperlink>
      <w:r>
        <w:rPr>
          <w:i/>
          <w:sz w:val="18"/>
        </w:rPr>
        <w:t xml:space="preserve">, 800-419-1473, </w:t>
      </w:r>
      <w:hyperlink r:id="rId137" w:history="1">
        <w:r w:rsidRPr="00A0785F">
          <w:rPr>
            <w:rStyle w:val="Hyperlink"/>
            <w:i/>
            <w:sz w:val="18"/>
          </w:rPr>
          <w:t>http://explore.va.gov/life-insurance</w:t>
        </w:r>
      </w:hyperlink>
      <w:r>
        <w:rPr>
          <w:i/>
          <w:sz w:val="18"/>
        </w:rPr>
        <w:t xml:space="preserve">; </w:t>
      </w:r>
      <w:hyperlink r:id="rId138" w:history="1">
        <w:r w:rsidRPr="00A0785F">
          <w:rPr>
            <w:rStyle w:val="Hyperlink"/>
            <w:i/>
            <w:sz w:val="18"/>
          </w:rPr>
          <w:t>www.benefits.va.gov/compensation/types-disability.asp</w:t>
        </w:r>
      </w:hyperlink>
      <w:r>
        <w:rPr>
          <w:i/>
          <w:sz w:val="18"/>
        </w:rPr>
        <w:t xml:space="preserve">, </w:t>
      </w:r>
      <w:hyperlink r:id="rId139" w:history="1">
        <w:r w:rsidRPr="00A0785F">
          <w:rPr>
            <w:rStyle w:val="Hyperlink"/>
            <w:i/>
            <w:sz w:val="18"/>
          </w:rPr>
          <w:t>http://explore.va.gov/disability-compensation</w:t>
        </w:r>
      </w:hyperlink>
      <w:r>
        <w:rPr>
          <w:i/>
          <w:sz w:val="18"/>
        </w:rPr>
        <w:t xml:space="preserve">; </w:t>
      </w:r>
      <w:hyperlink r:id="rId140" w:history="1">
        <w:r w:rsidRPr="00A0785F">
          <w:rPr>
            <w:rStyle w:val="Hyperlink"/>
            <w:i/>
            <w:sz w:val="18"/>
          </w:rPr>
          <w:t>www.benefits.va.gov/compensation/types-dependence_and_indemnity.asp</w:t>
        </w:r>
      </w:hyperlink>
      <w:r>
        <w:rPr>
          <w:i/>
          <w:sz w:val="18"/>
        </w:rPr>
        <w:t xml:space="preserve">, </w:t>
      </w:r>
      <w:hyperlink r:id="rId141" w:history="1">
        <w:r w:rsidRPr="00A0785F">
          <w:rPr>
            <w:rStyle w:val="Hyperlink"/>
            <w:i/>
            <w:sz w:val="18"/>
          </w:rPr>
          <w:t>http://explore.va.gov/spouses-dependents-survivors</w:t>
        </w:r>
      </w:hyperlink>
    </w:p>
    <w:p w:rsidR="005052C8" w:rsidRPr="00D466B6" w:rsidRDefault="005052C8" w:rsidP="005052C8">
      <w:pPr>
        <w:widowControl w:val="0"/>
        <w:pBdr>
          <w:bottom w:val="single" w:sz="4" w:space="1" w:color="auto"/>
        </w:pBdr>
        <w:tabs>
          <w:tab w:val="left" w:pos="300"/>
        </w:tabs>
        <w:spacing w:after="120"/>
        <w:rPr>
          <w:b/>
          <w:i/>
          <w:sz w:val="18"/>
        </w:rPr>
      </w:pPr>
      <w:r w:rsidRPr="00D466B6">
        <w:rPr>
          <w:b/>
          <w:i/>
          <w:sz w:val="18"/>
        </w:rPr>
        <w:t>BVA</w:t>
      </w:r>
    </w:p>
    <w:p w:rsidR="005052C8" w:rsidRDefault="005052C8" w:rsidP="005052C8">
      <w:pPr>
        <w:widowControl w:val="0"/>
        <w:pBdr>
          <w:bottom w:val="single" w:sz="4" w:space="1" w:color="auto"/>
        </w:pBdr>
        <w:tabs>
          <w:tab w:val="left" w:pos="300"/>
        </w:tabs>
        <w:spacing w:after="120"/>
        <w:rPr>
          <w:i/>
          <w:sz w:val="18"/>
        </w:rPr>
      </w:pPr>
      <w:r>
        <w:rPr>
          <w:i/>
          <w:sz w:val="18"/>
        </w:rPr>
        <w:tab/>
      </w:r>
      <w:hyperlink r:id="rId142" w:history="1">
        <w:r w:rsidRPr="00A0785F">
          <w:rPr>
            <w:rStyle w:val="Hyperlink"/>
            <w:i/>
            <w:sz w:val="18"/>
          </w:rPr>
          <w:t>www.bva.va.gov</w:t>
        </w:r>
      </w:hyperlink>
      <w:r>
        <w:rPr>
          <w:i/>
          <w:sz w:val="18"/>
        </w:rPr>
        <w:t xml:space="preserve">, </w:t>
      </w:r>
      <w:hyperlink r:id="rId143" w:history="1">
        <w:r w:rsidRPr="00A0785F">
          <w:rPr>
            <w:rStyle w:val="Hyperlink"/>
            <w:i/>
            <w:sz w:val="18"/>
          </w:rPr>
          <w:t>www.bva.gov/docs/Pamphlets/How-Do-I-Appeal-Booklet-508Compliance.pdf</w:t>
        </w:r>
      </w:hyperlink>
    </w:p>
    <w:p w:rsidR="004D429B" w:rsidRDefault="004D429B">
      <w:pPr>
        <w:overflowPunct/>
        <w:autoSpaceDE/>
        <w:autoSpaceDN/>
        <w:adjustRightInd/>
        <w:textAlignment w:val="auto"/>
        <w:rPr>
          <w:b/>
          <w:u w:val="single"/>
        </w:rPr>
      </w:pPr>
      <w:r>
        <w:rPr>
          <w:b/>
          <w:u w:val="single"/>
        </w:rPr>
        <w:br w:type="page"/>
      </w:r>
    </w:p>
    <w:p w:rsidR="00A13D55" w:rsidRDefault="00A13D55">
      <w:pPr>
        <w:overflowPunct/>
        <w:autoSpaceDE/>
        <w:autoSpaceDN/>
        <w:adjustRightInd/>
        <w:textAlignment w:val="auto"/>
        <w:rPr>
          <w:b/>
          <w:u w:val="single"/>
        </w:rPr>
      </w:pPr>
    </w:p>
    <w:p w:rsidR="004D429B" w:rsidRDefault="004D429B" w:rsidP="004D429B">
      <w:pPr>
        <w:pBdr>
          <w:top w:val="double" w:sz="4" w:space="1" w:color="auto"/>
        </w:pBdr>
        <w:rPr>
          <w:b/>
          <w:i/>
          <w:sz w:val="22"/>
        </w:rPr>
      </w:pPr>
    </w:p>
    <w:p w:rsidR="004D429B" w:rsidRPr="004D429B" w:rsidRDefault="004D429B" w:rsidP="004D429B">
      <w:pPr>
        <w:rPr>
          <w:b/>
          <w:i/>
          <w:sz w:val="22"/>
        </w:rPr>
      </w:pPr>
      <w:bookmarkStart w:id="1" w:name="SysCompNotes"/>
      <w:r>
        <w:rPr>
          <w:b/>
          <w:i/>
          <w:sz w:val="22"/>
        </w:rPr>
        <w:t xml:space="preserve">SYSTEM/COMPUTER </w:t>
      </w:r>
      <w:r w:rsidRPr="004D429B">
        <w:rPr>
          <w:b/>
          <w:i/>
          <w:sz w:val="22"/>
        </w:rPr>
        <w:t>NOTES:</w:t>
      </w:r>
    </w:p>
    <w:bookmarkEnd w:id="1"/>
    <w:p w:rsidR="004D429B" w:rsidRDefault="004D429B" w:rsidP="004D429B">
      <w:pPr>
        <w:rPr>
          <w:color w:val="1F497D"/>
        </w:rPr>
      </w:pPr>
    </w:p>
    <w:p w:rsidR="004D429B" w:rsidRDefault="004D429B" w:rsidP="004D429B">
      <w:pPr>
        <w:rPr>
          <w:color w:val="1F497D"/>
        </w:rPr>
      </w:pPr>
    </w:p>
    <w:p w:rsidR="004D429B" w:rsidRPr="00C84417" w:rsidRDefault="004D429B" w:rsidP="004D429B">
      <w:pPr>
        <w:widowControl w:val="0"/>
        <w:rPr>
          <w:u w:val="single"/>
        </w:rPr>
      </w:pPr>
      <w:r w:rsidRPr="00C84417">
        <w:rPr>
          <w:u w:val="single"/>
        </w:rPr>
        <w:t>Keyboard shortcuts</w:t>
      </w:r>
    </w:p>
    <w:p w:rsidR="004D429B" w:rsidRPr="00C84417" w:rsidRDefault="004D429B" w:rsidP="004D429B">
      <w:pPr>
        <w:widowControl w:val="0"/>
      </w:pPr>
      <w:r w:rsidRPr="00C84417">
        <w:t>CTRL</w:t>
      </w:r>
      <w:r>
        <w:t xml:space="preserve"> + </w:t>
      </w:r>
      <w:r w:rsidRPr="00C84417">
        <w:t>SHIFT</w:t>
      </w:r>
      <w:r>
        <w:t xml:space="preserve"> + </w:t>
      </w:r>
      <w:r w:rsidRPr="00C84417">
        <w:t xml:space="preserve">A </w:t>
      </w:r>
      <w:r>
        <w:t>=</w:t>
      </w:r>
      <w:r w:rsidRPr="00C84417">
        <w:t xml:space="preserve"> to get SNL codes</w:t>
      </w:r>
    </w:p>
    <w:p w:rsidR="004D429B" w:rsidRDefault="004D429B" w:rsidP="004D429B">
      <w:pPr>
        <w:widowControl w:val="0"/>
      </w:pPr>
    </w:p>
    <w:p w:rsidR="004D429B" w:rsidRDefault="004D429B" w:rsidP="004D429B">
      <w:pPr>
        <w:widowControl w:val="0"/>
      </w:pPr>
      <w:r>
        <w:t>CTRL + A = select all</w:t>
      </w:r>
    </w:p>
    <w:p w:rsidR="004D429B" w:rsidRDefault="004D429B" w:rsidP="004D429B">
      <w:pPr>
        <w:widowControl w:val="0"/>
      </w:pPr>
      <w:r>
        <w:t>CTRL + B = bold</w:t>
      </w:r>
    </w:p>
    <w:p w:rsidR="004D429B" w:rsidRDefault="004D429B" w:rsidP="004D429B">
      <w:pPr>
        <w:widowControl w:val="0"/>
      </w:pPr>
      <w:r w:rsidRPr="00C84417">
        <w:t>CTRL</w:t>
      </w:r>
      <w:r>
        <w:t xml:space="preserve"> + C = copy</w:t>
      </w:r>
    </w:p>
    <w:p w:rsidR="004D429B" w:rsidRDefault="004D429B" w:rsidP="004D429B">
      <w:pPr>
        <w:widowControl w:val="0"/>
      </w:pPr>
      <w:r w:rsidRPr="00BC2CC0">
        <w:t>CTRL</w:t>
      </w:r>
      <w:r>
        <w:t xml:space="preserve"> + F = find (s</w:t>
      </w:r>
      <w:r w:rsidRPr="00BC2CC0">
        <w:t>earch</w:t>
      </w:r>
      <w:r>
        <w:t>)</w:t>
      </w:r>
    </w:p>
    <w:p w:rsidR="004D429B" w:rsidRDefault="004D429B" w:rsidP="004D429B">
      <w:pPr>
        <w:widowControl w:val="0"/>
      </w:pPr>
      <w:r>
        <w:t>CTRL + N = new document/spreadsheet in Word/Excel (also works in PowerPoint)</w:t>
      </w:r>
    </w:p>
    <w:p w:rsidR="004D429B" w:rsidRDefault="004D429B" w:rsidP="004D429B">
      <w:pPr>
        <w:widowControl w:val="0"/>
      </w:pPr>
      <w:r>
        <w:t>CTRL + O = open</w:t>
      </w:r>
    </w:p>
    <w:p w:rsidR="004D429B" w:rsidRDefault="004D429B" w:rsidP="004D429B">
      <w:pPr>
        <w:widowControl w:val="0"/>
      </w:pPr>
      <w:r>
        <w:t>CTRL + S = save</w:t>
      </w:r>
    </w:p>
    <w:p w:rsidR="004D429B" w:rsidRDefault="004D429B" w:rsidP="004D429B">
      <w:pPr>
        <w:widowControl w:val="0"/>
      </w:pPr>
      <w:r>
        <w:t>CTRL + V = paste</w:t>
      </w:r>
    </w:p>
    <w:p w:rsidR="004D429B" w:rsidRDefault="004D429B" w:rsidP="004D429B">
      <w:pPr>
        <w:widowControl w:val="0"/>
      </w:pPr>
      <w:r>
        <w:t>CTRL + W = close</w:t>
      </w:r>
    </w:p>
    <w:p w:rsidR="004D429B" w:rsidRPr="00C84417" w:rsidRDefault="004D429B" w:rsidP="004D429B">
      <w:pPr>
        <w:widowControl w:val="0"/>
      </w:pPr>
      <w:r>
        <w:t>CTRL + X = cut</w:t>
      </w:r>
    </w:p>
    <w:p w:rsidR="004D429B" w:rsidRDefault="004D429B" w:rsidP="004D429B">
      <w:pPr>
        <w:widowControl w:val="0"/>
        <w:rPr>
          <w:i/>
        </w:rPr>
      </w:pPr>
      <w:r>
        <w:t xml:space="preserve">CTRL + Z = undo </w:t>
      </w:r>
      <w:r w:rsidRPr="00C84417">
        <w:rPr>
          <w:i/>
        </w:rPr>
        <w:t xml:space="preserve">(works in </w:t>
      </w:r>
      <w:r w:rsidR="00D94044" w:rsidRPr="004E16AB">
        <w:rPr>
          <w:rFonts w:ascii="Verdana" w:hAnsi="Verdana"/>
          <w:b/>
          <w:highlight w:val="green"/>
        </w:rPr>
        <w:t>VBMS-R</w:t>
      </w:r>
      <w:r w:rsidRPr="00C84417">
        <w:rPr>
          <w:i/>
        </w:rPr>
        <w:t>)</w:t>
      </w:r>
    </w:p>
    <w:p w:rsidR="004D429B" w:rsidRDefault="004D429B" w:rsidP="004D429B">
      <w:pPr>
        <w:widowControl w:val="0"/>
        <w:rPr>
          <w:i/>
        </w:rPr>
      </w:pPr>
    </w:p>
    <w:p w:rsidR="004D429B" w:rsidRDefault="004D429B" w:rsidP="004D429B">
      <w:pPr>
        <w:widowControl w:val="0"/>
      </w:pPr>
      <w:r>
        <w:t>CTRL + Backspace = deletes entire word</w:t>
      </w:r>
    </w:p>
    <w:p w:rsidR="004D429B" w:rsidRDefault="004D429B" w:rsidP="004D429B">
      <w:pPr>
        <w:widowControl w:val="0"/>
      </w:pPr>
      <w:r>
        <w:t>CTRL + Left arrow = moves cursor to beginning of previous word</w:t>
      </w:r>
    </w:p>
    <w:p w:rsidR="004D429B" w:rsidRDefault="004D429B" w:rsidP="004D429B">
      <w:pPr>
        <w:widowControl w:val="0"/>
      </w:pPr>
      <w:r>
        <w:t>CTRL + Right arrow = moves cursor to beginning of next word</w:t>
      </w:r>
    </w:p>
    <w:p w:rsidR="004D429B" w:rsidRDefault="004D429B" w:rsidP="004D429B">
      <w:pPr>
        <w:widowControl w:val="0"/>
      </w:pPr>
      <w:r>
        <w:t>Double click = selects word</w:t>
      </w:r>
    </w:p>
    <w:p w:rsidR="004D429B" w:rsidRDefault="004D429B" w:rsidP="004D429B">
      <w:pPr>
        <w:widowControl w:val="0"/>
      </w:pPr>
      <w:r>
        <w:t>Triple click = selects paragraph</w:t>
      </w:r>
    </w:p>
    <w:p w:rsidR="004D429B" w:rsidRDefault="004D429B" w:rsidP="004D429B">
      <w:pPr>
        <w:widowControl w:val="0"/>
      </w:pPr>
      <w:r>
        <w:t>ALT + Tab = cycles through currently open windows</w:t>
      </w:r>
    </w:p>
    <w:p w:rsidR="004D429B" w:rsidRDefault="004D429B" w:rsidP="004D429B">
      <w:pPr>
        <w:widowControl w:val="0"/>
      </w:pPr>
      <w:r>
        <w:t>ALT + F4 = close current program</w:t>
      </w:r>
    </w:p>
    <w:p w:rsidR="004D429B" w:rsidRDefault="004D429B" w:rsidP="004D429B">
      <w:pPr>
        <w:widowControl w:val="0"/>
      </w:pPr>
      <w:r>
        <w:t>Windows + Left arrow = current window moves to left side of monitor</w:t>
      </w:r>
    </w:p>
    <w:p w:rsidR="004D429B" w:rsidRDefault="004D429B" w:rsidP="004D429B">
      <w:pPr>
        <w:widowControl w:val="0"/>
      </w:pPr>
      <w:r>
        <w:t>Windows + Right arrow = current window moves to right side of monitor</w:t>
      </w:r>
    </w:p>
    <w:p w:rsidR="004D429B" w:rsidRDefault="004D429B" w:rsidP="004D429B">
      <w:pPr>
        <w:widowControl w:val="0"/>
      </w:pPr>
      <w:r>
        <w:t>Windows + L = lock computer</w:t>
      </w:r>
    </w:p>
    <w:p w:rsidR="004D429B" w:rsidRDefault="004D429B" w:rsidP="004D429B">
      <w:pPr>
        <w:widowControl w:val="0"/>
      </w:pPr>
      <w:r>
        <w:t>Windows + M = minimize all</w:t>
      </w:r>
    </w:p>
    <w:p w:rsidR="004D429B" w:rsidRPr="00C84417" w:rsidRDefault="004D429B" w:rsidP="004D429B">
      <w:pPr>
        <w:widowControl w:val="0"/>
      </w:pPr>
      <w:r>
        <w:t>CTRL + Enter = adds www. and .com to a URL</w:t>
      </w:r>
    </w:p>
    <w:p w:rsidR="004D429B" w:rsidRDefault="004D429B" w:rsidP="004D429B">
      <w:pPr>
        <w:widowControl w:val="0"/>
      </w:pPr>
      <w:r>
        <w:t>CTRL + Shift + T = reopens most recently closed tab</w:t>
      </w:r>
    </w:p>
    <w:p w:rsidR="00494152" w:rsidRDefault="00494152" w:rsidP="004D429B">
      <w:pPr>
        <w:widowControl w:val="0"/>
      </w:pPr>
    </w:p>
    <w:p w:rsidR="00573CA6" w:rsidRPr="00573CA6" w:rsidRDefault="00573CA6" w:rsidP="00573CA6">
      <w:pPr>
        <w:widowControl w:val="0"/>
        <w:pBdr>
          <w:top w:val="single" w:sz="4" w:space="1" w:color="auto"/>
        </w:pBdr>
        <w:rPr>
          <w:u w:val="single"/>
        </w:rPr>
      </w:pPr>
      <w:r w:rsidRPr="00573CA6">
        <w:rPr>
          <w:u w:val="single"/>
        </w:rPr>
        <w:t>VBMS</w:t>
      </w:r>
    </w:p>
    <w:p w:rsidR="00573CA6" w:rsidRPr="00573CA6" w:rsidRDefault="00573CA6" w:rsidP="004D429B">
      <w:pPr>
        <w:widowControl w:val="0"/>
        <w:rPr>
          <w:lang w:val="en"/>
        </w:rPr>
      </w:pPr>
      <w:r w:rsidRPr="00573CA6">
        <w:rPr>
          <w:lang w:val="en"/>
        </w:rPr>
        <w:t>You can open multiple documents without navigating away from the documents screen by holding “Ctrl” when clicking on the docunent</w:t>
      </w:r>
      <w:r>
        <w:rPr>
          <w:lang w:val="en"/>
        </w:rPr>
        <w:t xml:space="preserve">s you want (it will open each document </w:t>
      </w:r>
      <w:r w:rsidRPr="00573CA6">
        <w:rPr>
          <w:lang w:val="en"/>
        </w:rPr>
        <w:t>in another tab without leaving the documents screen).</w:t>
      </w:r>
    </w:p>
    <w:p w:rsidR="00573CA6" w:rsidRDefault="00573CA6" w:rsidP="004D429B">
      <w:pPr>
        <w:widowControl w:val="0"/>
      </w:pPr>
    </w:p>
    <w:p w:rsidR="00494152" w:rsidRPr="00494152" w:rsidRDefault="00494152" w:rsidP="00494152">
      <w:pPr>
        <w:widowControl w:val="0"/>
        <w:pBdr>
          <w:top w:val="single" w:sz="4" w:space="1" w:color="auto"/>
        </w:pBdr>
        <w:rPr>
          <w:i/>
          <w:u w:val="single"/>
        </w:rPr>
      </w:pPr>
      <w:r w:rsidRPr="00494152">
        <w:rPr>
          <w:i/>
          <w:u w:val="single"/>
        </w:rPr>
        <w:t>To automatically launch a web</w:t>
      </w:r>
      <w:r>
        <w:rPr>
          <w:i/>
          <w:u w:val="single"/>
        </w:rPr>
        <w:t>site</w:t>
      </w:r>
      <w:r w:rsidRPr="00494152">
        <w:rPr>
          <w:i/>
          <w:u w:val="single"/>
        </w:rPr>
        <w:t xml:space="preserve"> when starting your computer:</w:t>
      </w:r>
    </w:p>
    <w:p w:rsidR="00494152" w:rsidRPr="00494152" w:rsidRDefault="00494152" w:rsidP="00F063AF">
      <w:pPr>
        <w:pStyle w:val="ListParagraph"/>
        <w:widowControl w:val="0"/>
        <w:numPr>
          <w:ilvl w:val="0"/>
          <w:numId w:val="383"/>
        </w:numPr>
        <w:spacing w:after="0" w:line="240" w:lineRule="auto"/>
        <w:ind w:left="360"/>
        <w:rPr>
          <w:rFonts w:ascii="Arial" w:hAnsi="Arial"/>
          <w:sz w:val="20"/>
        </w:rPr>
      </w:pPr>
      <w:r w:rsidRPr="00494152">
        <w:rPr>
          <w:rFonts w:ascii="Arial" w:hAnsi="Arial"/>
          <w:sz w:val="20"/>
        </w:rPr>
        <w:t xml:space="preserve">Right click anywhere inside the open website window &amp; select </w:t>
      </w:r>
      <w:r w:rsidRPr="00494152">
        <w:rPr>
          <w:rFonts w:ascii="Arial" w:hAnsi="Arial"/>
          <w:i/>
          <w:sz w:val="20"/>
        </w:rPr>
        <w:t>Create Shortcut</w:t>
      </w:r>
      <w:r w:rsidRPr="00494152">
        <w:rPr>
          <w:rFonts w:ascii="Arial" w:hAnsi="Arial"/>
          <w:sz w:val="20"/>
        </w:rPr>
        <w:t xml:space="preserve"> from the drop down list, then confirm th</w:t>
      </w:r>
      <w:r>
        <w:rPr>
          <w:rFonts w:ascii="Arial" w:hAnsi="Arial"/>
          <w:sz w:val="20"/>
        </w:rPr>
        <w:t xml:space="preserve">at you want to add the website by </w:t>
      </w:r>
      <w:r w:rsidRPr="00494152">
        <w:rPr>
          <w:rFonts w:ascii="Arial" w:hAnsi="Arial"/>
          <w:sz w:val="20"/>
        </w:rPr>
        <w:t>click</w:t>
      </w:r>
      <w:r>
        <w:rPr>
          <w:rFonts w:ascii="Arial" w:hAnsi="Arial"/>
          <w:sz w:val="20"/>
        </w:rPr>
        <w:t>ing</w:t>
      </w:r>
      <w:r w:rsidRPr="00494152">
        <w:rPr>
          <w:rFonts w:ascii="Arial" w:hAnsi="Arial"/>
          <w:sz w:val="20"/>
        </w:rPr>
        <w:t xml:space="preserve"> </w:t>
      </w:r>
      <w:r w:rsidRPr="00494152">
        <w:rPr>
          <w:rFonts w:ascii="Arial" w:hAnsi="Arial"/>
          <w:i/>
          <w:sz w:val="20"/>
        </w:rPr>
        <w:t>Yes</w:t>
      </w:r>
    </w:p>
    <w:p w:rsidR="00494152" w:rsidRPr="00494152" w:rsidRDefault="00494152" w:rsidP="00F063AF">
      <w:pPr>
        <w:pStyle w:val="ListParagraph"/>
        <w:widowControl w:val="0"/>
        <w:numPr>
          <w:ilvl w:val="0"/>
          <w:numId w:val="383"/>
        </w:numPr>
        <w:spacing w:after="0" w:line="240" w:lineRule="auto"/>
        <w:ind w:left="360"/>
        <w:rPr>
          <w:rFonts w:ascii="Arial" w:hAnsi="Arial"/>
          <w:sz w:val="20"/>
        </w:rPr>
      </w:pPr>
      <w:r w:rsidRPr="00494152">
        <w:rPr>
          <w:rFonts w:ascii="Arial" w:hAnsi="Arial"/>
          <w:sz w:val="20"/>
        </w:rPr>
        <w:t>The shortcut</w:t>
      </w:r>
      <w:r>
        <w:rPr>
          <w:rFonts w:ascii="Arial" w:hAnsi="Arial"/>
          <w:sz w:val="20"/>
        </w:rPr>
        <w:t xml:space="preserve"> icon</w:t>
      </w:r>
      <w:r w:rsidRPr="00494152">
        <w:rPr>
          <w:rFonts w:ascii="Arial" w:hAnsi="Arial"/>
          <w:sz w:val="20"/>
        </w:rPr>
        <w:t xml:space="preserve"> will appear on your desktop</w:t>
      </w:r>
    </w:p>
    <w:p w:rsidR="00494152" w:rsidRPr="00494152" w:rsidRDefault="00494152" w:rsidP="00F063AF">
      <w:pPr>
        <w:pStyle w:val="ListParagraph"/>
        <w:widowControl w:val="0"/>
        <w:numPr>
          <w:ilvl w:val="0"/>
          <w:numId w:val="383"/>
        </w:numPr>
        <w:spacing w:after="0" w:line="240" w:lineRule="auto"/>
        <w:ind w:left="360"/>
        <w:rPr>
          <w:rFonts w:ascii="Arial" w:hAnsi="Arial"/>
          <w:sz w:val="20"/>
        </w:rPr>
      </w:pPr>
      <w:r w:rsidRPr="00494152">
        <w:rPr>
          <w:rFonts w:ascii="Arial" w:hAnsi="Arial"/>
          <w:sz w:val="20"/>
        </w:rPr>
        <w:t xml:space="preserve">Click on </w:t>
      </w:r>
      <w:r w:rsidRPr="00494152">
        <w:rPr>
          <w:rFonts w:ascii="Arial" w:hAnsi="Arial"/>
          <w:i/>
          <w:sz w:val="20"/>
        </w:rPr>
        <w:t>Start</w:t>
      </w:r>
      <w:r w:rsidRPr="00494152">
        <w:rPr>
          <w:rFonts w:ascii="Arial" w:hAnsi="Arial"/>
          <w:sz w:val="20"/>
        </w:rPr>
        <w:t xml:space="preserve"> button – </w:t>
      </w:r>
      <w:r w:rsidRPr="00494152">
        <w:rPr>
          <w:rFonts w:ascii="Arial" w:hAnsi="Arial"/>
          <w:i/>
          <w:sz w:val="20"/>
        </w:rPr>
        <w:t>All Programs</w:t>
      </w:r>
      <w:r w:rsidRPr="00494152">
        <w:rPr>
          <w:rFonts w:ascii="Arial" w:hAnsi="Arial"/>
          <w:sz w:val="20"/>
        </w:rPr>
        <w:t xml:space="preserve"> – right click on </w:t>
      </w:r>
      <w:r w:rsidRPr="00494152">
        <w:rPr>
          <w:rFonts w:ascii="Arial" w:hAnsi="Arial"/>
          <w:i/>
          <w:sz w:val="20"/>
        </w:rPr>
        <w:t>Startup</w:t>
      </w:r>
      <w:r w:rsidRPr="00494152">
        <w:rPr>
          <w:rFonts w:ascii="Arial" w:hAnsi="Arial"/>
          <w:sz w:val="20"/>
        </w:rPr>
        <w:t xml:space="preserve"> folder, then select </w:t>
      </w:r>
      <w:r w:rsidRPr="00494152">
        <w:rPr>
          <w:rFonts w:ascii="Arial" w:hAnsi="Arial"/>
          <w:i/>
          <w:sz w:val="20"/>
        </w:rPr>
        <w:t>Open</w:t>
      </w:r>
    </w:p>
    <w:p w:rsidR="00A55279" w:rsidRPr="00494152" w:rsidRDefault="00494152" w:rsidP="00F063AF">
      <w:pPr>
        <w:pStyle w:val="ListParagraph"/>
        <w:widowControl w:val="0"/>
        <w:numPr>
          <w:ilvl w:val="0"/>
          <w:numId w:val="383"/>
        </w:numPr>
        <w:spacing w:after="0" w:line="240" w:lineRule="auto"/>
        <w:ind w:left="360"/>
        <w:rPr>
          <w:rFonts w:ascii="Arial" w:hAnsi="Arial"/>
          <w:sz w:val="20"/>
        </w:rPr>
      </w:pPr>
      <w:r w:rsidRPr="00494152">
        <w:rPr>
          <w:rFonts w:ascii="Arial" w:hAnsi="Arial"/>
          <w:sz w:val="20"/>
        </w:rPr>
        <w:t xml:space="preserve">Drag the shortcut icon from your desktop into the </w:t>
      </w:r>
      <w:r w:rsidRPr="00494152">
        <w:rPr>
          <w:rFonts w:ascii="Arial" w:hAnsi="Arial"/>
          <w:i/>
          <w:sz w:val="20"/>
        </w:rPr>
        <w:t xml:space="preserve">Startup </w:t>
      </w:r>
      <w:r w:rsidRPr="00494152">
        <w:rPr>
          <w:rFonts w:ascii="Arial" w:hAnsi="Arial"/>
          <w:sz w:val="20"/>
        </w:rPr>
        <w:t>folder, then close the folder</w:t>
      </w:r>
    </w:p>
    <w:p w:rsidR="00494152" w:rsidRDefault="00494152" w:rsidP="004D429B">
      <w:pPr>
        <w:widowControl w:val="0"/>
      </w:pPr>
      <w:r>
        <w:t>When you restart your computer, the webpage will open automatically</w:t>
      </w:r>
    </w:p>
    <w:p w:rsidR="00494152" w:rsidRPr="00C84417" w:rsidRDefault="00494152" w:rsidP="004D429B">
      <w:pPr>
        <w:widowControl w:val="0"/>
      </w:pPr>
    </w:p>
    <w:p w:rsidR="00464821" w:rsidRDefault="00464821" w:rsidP="00464821">
      <w:pPr>
        <w:pBdr>
          <w:top w:val="single" w:sz="4" w:space="1" w:color="auto"/>
        </w:pBdr>
      </w:pPr>
      <w:r>
        <w:t>Please ensure you Backup correctly by completing the following steps:</w:t>
      </w:r>
    </w:p>
    <w:p w:rsidR="00464821" w:rsidRDefault="00464821" w:rsidP="00464821"/>
    <w:p w:rsidR="00464821" w:rsidRDefault="00464821" w:rsidP="00F063AF">
      <w:pPr>
        <w:pStyle w:val="ListParagraph"/>
        <w:numPr>
          <w:ilvl w:val="0"/>
          <w:numId w:val="397"/>
        </w:numPr>
        <w:spacing w:after="0" w:line="240" w:lineRule="auto"/>
      </w:pPr>
      <w:r>
        <w:t xml:space="preserve">Click START </w:t>
      </w:r>
      <w:r>
        <w:rPr>
          <w:noProof/>
        </w:rPr>
        <w:drawing>
          <wp:inline distT="0" distB="0" distL="0" distR="0" wp14:anchorId="12C9E607" wp14:editId="668A507D">
            <wp:extent cx="478155" cy="361315"/>
            <wp:effectExtent l="0" t="0" r="0" b="635"/>
            <wp:docPr id="24669" name="Picture 24669" descr="cid:image001.png@01D37280.E417ED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280.E417ED30"/>
                    <pic:cNvPicPr>
                      <a:picLocks noChangeAspect="1" noChangeArrowheads="1"/>
                    </pic:cNvPicPr>
                  </pic:nvPicPr>
                  <pic:blipFill>
                    <a:blip r:embed="rId144" r:link="rId145" cstate="print">
                      <a:extLst>
                        <a:ext uri="{28A0092B-C50C-407E-A947-70E740481C1C}">
                          <a14:useLocalDpi xmlns:a14="http://schemas.microsoft.com/office/drawing/2010/main" val="0"/>
                        </a:ext>
                      </a:extLst>
                    </a:blip>
                    <a:srcRect/>
                    <a:stretch>
                      <a:fillRect/>
                    </a:stretch>
                  </pic:blipFill>
                  <pic:spPr bwMode="auto">
                    <a:xfrm>
                      <a:off x="0" y="0"/>
                      <a:ext cx="478155" cy="361315"/>
                    </a:xfrm>
                    <a:prstGeom prst="rect">
                      <a:avLst/>
                    </a:prstGeom>
                    <a:noFill/>
                    <a:ln>
                      <a:noFill/>
                    </a:ln>
                  </pic:spPr>
                </pic:pic>
              </a:graphicData>
            </a:graphic>
          </wp:inline>
        </w:drawing>
      </w:r>
    </w:p>
    <w:p w:rsidR="00464821" w:rsidRDefault="00464821" w:rsidP="00F063AF">
      <w:pPr>
        <w:pStyle w:val="ListParagraph"/>
        <w:numPr>
          <w:ilvl w:val="0"/>
          <w:numId w:val="397"/>
        </w:numPr>
        <w:spacing w:after="0" w:line="240" w:lineRule="auto"/>
      </w:pPr>
      <w:r>
        <w:t>All Programs&gt;LOCAL APPS&gt;User Backup</w:t>
      </w:r>
    </w:p>
    <w:p w:rsidR="00464821" w:rsidRDefault="00464821" w:rsidP="00464821"/>
    <w:p w:rsidR="00464821" w:rsidRDefault="00464821" w:rsidP="00464821">
      <w:r>
        <w:rPr>
          <w:noProof/>
        </w:rPr>
        <w:lastRenderedPageBreak/>
        <w:drawing>
          <wp:inline distT="0" distB="0" distL="0" distR="0" wp14:anchorId="633EC338" wp14:editId="79D42630">
            <wp:extent cx="3891280" cy="3881120"/>
            <wp:effectExtent l="0" t="0" r="0" b="5080"/>
            <wp:docPr id="24668" name="Picture 24668" descr="cid:image002.png@01D37280.E417ED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7280.E417ED30"/>
                    <pic:cNvPicPr>
                      <a:picLocks noChangeAspect="1" noChangeArrowheads="1"/>
                    </pic:cNvPicPr>
                  </pic:nvPicPr>
                  <pic:blipFill>
                    <a:blip r:embed="rId146" r:link="rId147" cstate="print">
                      <a:extLst>
                        <a:ext uri="{28A0092B-C50C-407E-A947-70E740481C1C}">
                          <a14:useLocalDpi xmlns:a14="http://schemas.microsoft.com/office/drawing/2010/main" val="0"/>
                        </a:ext>
                      </a:extLst>
                    </a:blip>
                    <a:srcRect/>
                    <a:stretch>
                      <a:fillRect/>
                    </a:stretch>
                  </pic:blipFill>
                  <pic:spPr bwMode="auto">
                    <a:xfrm>
                      <a:off x="0" y="0"/>
                      <a:ext cx="3891280" cy="3881120"/>
                    </a:xfrm>
                    <a:prstGeom prst="rect">
                      <a:avLst/>
                    </a:prstGeom>
                    <a:noFill/>
                    <a:ln>
                      <a:noFill/>
                    </a:ln>
                  </pic:spPr>
                </pic:pic>
              </a:graphicData>
            </a:graphic>
          </wp:inline>
        </w:drawing>
      </w:r>
    </w:p>
    <w:p w:rsidR="00464821" w:rsidRDefault="00464821" w:rsidP="00464821"/>
    <w:p w:rsidR="00464821" w:rsidRDefault="00464821" w:rsidP="00AC1911">
      <w:pPr>
        <w:pBdr>
          <w:top w:val="single" w:sz="4" w:space="1" w:color="auto"/>
        </w:pBdr>
        <w:rPr>
          <w:color w:val="1F497D"/>
        </w:rPr>
      </w:pPr>
    </w:p>
    <w:p w:rsidR="00AC1911" w:rsidRPr="00AC1911" w:rsidRDefault="00AC1911" w:rsidP="00AC1911">
      <w:pPr>
        <w:pStyle w:val="NormalWeb"/>
        <w:widowControl w:val="0"/>
        <w:pBdr>
          <w:top w:val="single" w:sz="4" w:space="1" w:color="auto"/>
        </w:pBdr>
        <w:spacing w:after="0"/>
        <w:rPr>
          <w:b/>
          <w:sz w:val="20"/>
        </w:rPr>
      </w:pPr>
      <w:r w:rsidRPr="00AC1911">
        <w:rPr>
          <w:b/>
          <w:sz w:val="20"/>
        </w:rPr>
        <w:t>Electronic Signature Procedures (i.e. how to sign a .pdf document)</w:t>
      </w:r>
    </w:p>
    <w:p w:rsidR="00AC1911" w:rsidRPr="009A5692" w:rsidRDefault="00AC1911" w:rsidP="00AC1911">
      <w:pPr>
        <w:rPr>
          <w:highlight w:val="lightGray"/>
        </w:rPr>
      </w:pPr>
      <w:r w:rsidRPr="009A5692">
        <w:rPr>
          <w:highlight w:val="lightGray"/>
        </w:rPr>
        <w:t>1. Open the .pdf document you wish to electronically sign.</w:t>
      </w:r>
    </w:p>
    <w:p w:rsidR="00AC1911" w:rsidRPr="009A5692" w:rsidRDefault="00AC1911" w:rsidP="00AC1911">
      <w:pPr>
        <w:rPr>
          <w:highlight w:val="lightGray"/>
        </w:rPr>
      </w:pPr>
      <w:r w:rsidRPr="009A5692">
        <w:rPr>
          <w:highlight w:val="lightGray"/>
        </w:rPr>
        <w:t>2. Make sure your PIV card is attached to your computer</w:t>
      </w:r>
    </w:p>
    <w:p w:rsidR="00AC1911" w:rsidRPr="009A5692" w:rsidRDefault="00AC1911" w:rsidP="00AC1911">
      <w:pPr>
        <w:rPr>
          <w:highlight w:val="lightGray"/>
        </w:rPr>
      </w:pPr>
      <w:r w:rsidRPr="009A5692">
        <w:rPr>
          <w:highlight w:val="lightGray"/>
        </w:rPr>
        <w:t xml:space="preserve">3. Click on “Fill &amp; Sign” button in the top right corner </w:t>
      </w:r>
    </w:p>
    <w:p w:rsidR="00AC1911" w:rsidRPr="009A5692" w:rsidRDefault="00AC1911" w:rsidP="00AC1911">
      <w:pPr>
        <w:rPr>
          <w:highlight w:val="lightGray"/>
        </w:rPr>
      </w:pPr>
      <w:r w:rsidRPr="009A5692">
        <w:rPr>
          <w:highlight w:val="lightGray"/>
        </w:rPr>
        <w:t>4. Click “Sign with Certificate” option in the right column</w:t>
      </w:r>
    </w:p>
    <w:p w:rsidR="00AC1911" w:rsidRPr="009A5692" w:rsidRDefault="00AC1911" w:rsidP="00AC1911">
      <w:pPr>
        <w:rPr>
          <w:highlight w:val="lightGray"/>
        </w:rPr>
      </w:pPr>
      <w:r w:rsidRPr="009A5692">
        <w:rPr>
          <w:highlight w:val="lightGray"/>
        </w:rPr>
        <w:t xml:space="preserve">5. The following message will appear. It basically tells you when you make a rectangle this will be the area where your signature will appear. </w:t>
      </w:r>
    </w:p>
    <w:p w:rsidR="00AC1911" w:rsidRPr="009A5692" w:rsidRDefault="00AC1911" w:rsidP="00AC1911">
      <w:pPr>
        <w:rPr>
          <w:highlight w:val="lightGray"/>
        </w:rPr>
      </w:pPr>
    </w:p>
    <w:p w:rsidR="00AC1911" w:rsidRPr="009A5692" w:rsidRDefault="00AC1911" w:rsidP="00AC1911">
      <w:pPr>
        <w:rPr>
          <w:highlight w:val="lightGray"/>
        </w:rPr>
      </w:pPr>
      <w:r w:rsidRPr="009A5692">
        <w:rPr>
          <w:highlight w:val="lightGray"/>
        </w:rPr>
        <w:t>Click “Drag New Signature Rectangle”</w:t>
      </w:r>
    </w:p>
    <w:p w:rsidR="00AC1911" w:rsidRPr="009A5692" w:rsidRDefault="00AC1911" w:rsidP="00AC1911">
      <w:pPr>
        <w:rPr>
          <w:highlight w:val="lightGray"/>
        </w:rPr>
      </w:pPr>
    </w:p>
    <w:p w:rsidR="00AC1911" w:rsidRPr="009A5692" w:rsidRDefault="00AC1911" w:rsidP="00AC1911">
      <w:pPr>
        <w:rPr>
          <w:highlight w:val="lightGray"/>
        </w:rPr>
      </w:pPr>
      <w:r w:rsidRPr="009A5692">
        <w:rPr>
          <w:noProof/>
          <w:highlight w:val="lightGray"/>
        </w:rPr>
        <w:drawing>
          <wp:inline distT="0" distB="0" distL="0" distR="0" wp14:anchorId="683D8572" wp14:editId="1B3556A9">
            <wp:extent cx="3306445" cy="1360805"/>
            <wp:effectExtent l="0" t="0" r="8255" b="0"/>
            <wp:docPr id="4" name="Picture 4" descr="cid:image003.jpg@01D1206A.F0FB7A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D1206A.F0FB7A90"/>
                    <pic:cNvPicPr>
                      <a:picLocks noChangeAspect="1" noChangeArrowheads="1"/>
                    </pic:cNvPicPr>
                  </pic:nvPicPr>
                  <pic:blipFill>
                    <a:blip r:embed="rId148" r:link="rId149" cstate="print">
                      <a:extLst>
                        <a:ext uri="{28A0092B-C50C-407E-A947-70E740481C1C}">
                          <a14:useLocalDpi xmlns:a14="http://schemas.microsoft.com/office/drawing/2010/main" val="0"/>
                        </a:ext>
                      </a:extLst>
                    </a:blip>
                    <a:srcRect/>
                    <a:stretch>
                      <a:fillRect/>
                    </a:stretch>
                  </pic:blipFill>
                  <pic:spPr bwMode="auto">
                    <a:xfrm>
                      <a:off x="0" y="0"/>
                      <a:ext cx="3306445" cy="1360805"/>
                    </a:xfrm>
                    <a:prstGeom prst="rect">
                      <a:avLst/>
                    </a:prstGeom>
                    <a:noFill/>
                    <a:ln>
                      <a:noFill/>
                    </a:ln>
                  </pic:spPr>
                </pic:pic>
              </a:graphicData>
            </a:graphic>
          </wp:inline>
        </w:drawing>
      </w:r>
    </w:p>
    <w:p w:rsidR="00AC1911" w:rsidRPr="009A5692" w:rsidRDefault="00AC1911" w:rsidP="00AC1911">
      <w:pPr>
        <w:rPr>
          <w:highlight w:val="lightGray"/>
        </w:rPr>
      </w:pPr>
    </w:p>
    <w:p w:rsidR="00AC1911" w:rsidRPr="009A5692" w:rsidRDefault="00AC1911" w:rsidP="00AC1911">
      <w:pPr>
        <w:rPr>
          <w:highlight w:val="lightGray"/>
        </w:rPr>
      </w:pPr>
      <w:r w:rsidRPr="009A5692">
        <w:rPr>
          <w:highlight w:val="lightGray"/>
        </w:rPr>
        <w:t>6. Click and drag your cursor to make a rectangle. The space within the rectangle is where your electronic signature will appear.</w:t>
      </w:r>
    </w:p>
    <w:p w:rsidR="00AC1911" w:rsidRPr="009A5692" w:rsidRDefault="00AC1911" w:rsidP="00AC1911">
      <w:pPr>
        <w:rPr>
          <w:highlight w:val="lightGray"/>
        </w:rPr>
      </w:pPr>
      <w:r w:rsidRPr="009A5692">
        <w:rPr>
          <w:highlight w:val="lightGray"/>
        </w:rPr>
        <w:t>7. The Sign Document dialog box will appear, click on the “Sign” button.</w:t>
      </w:r>
    </w:p>
    <w:p w:rsidR="00AC1911" w:rsidRDefault="00AC1911" w:rsidP="00AC1911">
      <w:r w:rsidRPr="009A5692">
        <w:rPr>
          <w:highlight w:val="lightGray"/>
        </w:rPr>
        <w:t>8. Save the new document with your electronic signature. Note, you may overwrite the previous .pdf document for the newer one with the electronic signature.</w:t>
      </w:r>
      <w:r w:rsidRPr="00AC1911">
        <w:t xml:space="preserve"> </w:t>
      </w:r>
    </w:p>
    <w:p w:rsidR="00A55279" w:rsidRDefault="00A55279" w:rsidP="00AC1911"/>
    <w:p w:rsidR="009A5692" w:rsidRPr="000029C8" w:rsidRDefault="009A5692" w:rsidP="00AC1911">
      <w:pPr>
        <w:rPr>
          <w:b/>
          <w:i/>
          <w:u w:val="single"/>
        </w:rPr>
      </w:pPr>
      <w:r w:rsidRPr="000029C8">
        <w:rPr>
          <w:b/>
          <w:i/>
          <w:u w:val="single"/>
        </w:rPr>
        <w:t>With the upgraded Adobe (in early 2018)</w:t>
      </w:r>
      <w:r w:rsidRPr="000029C8">
        <w:t>:</w:t>
      </w:r>
    </w:p>
    <w:p w:rsidR="009A5692" w:rsidRPr="009A5692" w:rsidRDefault="009A5692" w:rsidP="00F063AF">
      <w:pPr>
        <w:pStyle w:val="ListParagraph"/>
        <w:numPr>
          <w:ilvl w:val="1"/>
          <w:numId w:val="418"/>
        </w:numPr>
        <w:spacing w:after="0" w:line="240" w:lineRule="auto"/>
        <w:ind w:left="360"/>
        <w:rPr>
          <w:rFonts w:ascii="Arial" w:hAnsi="Arial"/>
          <w:sz w:val="20"/>
          <w:szCs w:val="24"/>
        </w:rPr>
      </w:pPr>
      <w:r w:rsidRPr="009A5692">
        <w:rPr>
          <w:rFonts w:ascii="Arial" w:hAnsi="Arial"/>
          <w:sz w:val="20"/>
          <w:szCs w:val="24"/>
        </w:rPr>
        <w:t>Click on “Tools” located on the menu bar</w:t>
      </w:r>
    </w:p>
    <w:p w:rsidR="009A5692" w:rsidRPr="009A5692" w:rsidRDefault="009A5692" w:rsidP="00F063AF">
      <w:pPr>
        <w:pStyle w:val="ListParagraph"/>
        <w:numPr>
          <w:ilvl w:val="1"/>
          <w:numId w:val="418"/>
        </w:numPr>
        <w:spacing w:after="0" w:line="240" w:lineRule="auto"/>
        <w:ind w:left="360"/>
        <w:rPr>
          <w:rFonts w:ascii="Arial" w:hAnsi="Arial"/>
          <w:sz w:val="20"/>
          <w:szCs w:val="24"/>
        </w:rPr>
      </w:pPr>
      <w:r w:rsidRPr="009A5692">
        <w:rPr>
          <w:rFonts w:ascii="Arial" w:hAnsi="Arial"/>
          <w:sz w:val="20"/>
          <w:szCs w:val="24"/>
        </w:rPr>
        <w:t>Select “Certificates” icon</w:t>
      </w:r>
    </w:p>
    <w:p w:rsidR="009A5692" w:rsidRPr="009A5692" w:rsidRDefault="009A5692" w:rsidP="00F063AF">
      <w:pPr>
        <w:pStyle w:val="ListParagraph"/>
        <w:numPr>
          <w:ilvl w:val="1"/>
          <w:numId w:val="418"/>
        </w:numPr>
        <w:spacing w:after="0" w:line="240" w:lineRule="auto"/>
        <w:ind w:left="360"/>
        <w:rPr>
          <w:rFonts w:ascii="Arial" w:hAnsi="Arial"/>
          <w:sz w:val="20"/>
          <w:szCs w:val="24"/>
        </w:rPr>
      </w:pPr>
      <w:r w:rsidRPr="009A5692">
        <w:rPr>
          <w:rFonts w:ascii="Arial" w:hAnsi="Arial"/>
          <w:sz w:val="20"/>
          <w:szCs w:val="24"/>
        </w:rPr>
        <w:t>Click on “Digitally sign” located in the middle of the screen at the top under the menu bar</w:t>
      </w:r>
    </w:p>
    <w:p w:rsidR="009A5692" w:rsidRPr="009A5692" w:rsidRDefault="009A5692" w:rsidP="00F063AF">
      <w:pPr>
        <w:pStyle w:val="ListParagraph"/>
        <w:numPr>
          <w:ilvl w:val="2"/>
          <w:numId w:val="418"/>
        </w:numPr>
        <w:tabs>
          <w:tab w:val="left" w:pos="720"/>
        </w:tabs>
        <w:spacing w:after="0" w:line="240" w:lineRule="auto"/>
        <w:ind w:left="720"/>
        <w:rPr>
          <w:rFonts w:ascii="Arial" w:hAnsi="Arial"/>
          <w:sz w:val="20"/>
          <w:szCs w:val="24"/>
        </w:rPr>
      </w:pPr>
      <w:r w:rsidRPr="009A5692">
        <w:rPr>
          <w:rFonts w:ascii="Arial" w:hAnsi="Arial"/>
          <w:sz w:val="20"/>
          <w:szCs w:val="24"/>
        </w:rPr>
        <w:t>If the following prompt displays – click ok</w:t>
      </w:r>
    </w:p>
    <w:p w:rsidR="009A5692" w:rsidRDefault="009A5692" w:rsidP="009A5692">
      <w:pPr>
        <w:pStyle w:val="ListParagraph"/>
        <w:ind w:left="2160"/>
        <w:rPr>
          <w:rFonts w:ascii="Arial" w:hAnsi="Arial"/>
          <w:sz w:val="24"/>
          <w:szCs w:val="24"/>
        </w:rPr>
      </w:pPr>
    </w:p>
    <w:p w:rsidR="009A5692" w:rsidRPr="009A5692" w:rsidRDefault="009A5692" w:rsidP="009A5692">
      <w:pPr>
        <w:pStyle w:val="ListParagraph"/>
        <w:ind w:left="810"/>
        <w:rPr>
          <w:rFonts w:ascii="Arial" w:hAnsi="Arial"/>
          <w:sz w:val="24"/>
          <w:szCs w:val="24"/>
        </w:rPr>
      </w:pPr>
      <w:r>
        <w:rPr>
          <w:noProof/>
        </w:rPr>
        <w:lastRenderedPageBreak/>
        <w:drawing>
          <wp:inline distT="0" distB="0" distL="0" distR="0" wp14:anchorId="044BDD14" wp14:editId="6D6D0C86">
            <wp:extent cx="3391535" cy="1190625"/>
            <wp:effectExtent l="0" t="0" r="0" b="9525"/>
            <wp:docPr id="24673" name="Picture 24673" descr="cid:image002.jpg@01D3D650.48EFD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jpg@01D3D650.48EFD000"/>
                    <pic:cNvPicPr>
                      <a:picLocks noChangeAspect="1" noChangeArrowheads="1"/>
                    </pic:cNvPicPr>
                  </pic:nvPicPr>
                  <pic:blipFill>
                    <a:blip r:embed="rId150" r:link="rId151" cstate="print">
                      <a:extLst>
                        <a:ext uri="{28A0092B-C50C-407E-A947-70E740481C1C}">
                          <a14:useLocalDpi xmlns:a14="http://schemas.microsoft.com/office/drawing/2010/main" val="0"/>
                        </a:ext>
                      </a:extLst>
                    </a:blip>
                    <a:srcRect/>
                    <a:stretch>
                      <a:fillRect/>
                    </a:stretch>
                  </pic:blipFill>
                  <pic:spPr bwMode="auto">
                    <a:xfrm>
                      <a:off x="0" y="0"/>
                      <a:ext cx="3391535" cy="1190625"/>
                    </a:xfrm>
                    <a:prstGeom prst="rect">
                      <a:avLst/>
                    </a:prstGeom>
                    <a:noFill/>
                    <a:ln>
                      <a:noFill/>
                    </a:ln>
                  </pic:spPr>
                </pic:pic>
              </a:graphicData>
            </a:graphic>
          </wp:inline>
        </w:drawing>
      </w:r>
    </w:p>
    <w:p w:rsidR="009A5692" w:rsidRPr="009A5692" w:rsidRDefault="009A5692" w:rsidP="00F063AF">
      <w:pPr>
        <w:pStyle w:val="ListParagraph"/>
        <w:numPr>
          <w:ilvl w:val="0"/>
          <w:numId w:val="419"/>
        </w:numPr>
        <w:spacing w:after="0" w:line="240" w:lineRule="auto"/>
        <w:ind w:left="360"/>
        <w:rPr>
          <w:rFonts w:ascii="Arial" w:hAnsi="Arial"/>
          <w:sz w:val="20"/>
          <w:szCs w:val="24"/>
        </w:rPr>
      </w:pPr>
      <w:r w:rsidRPr="009A5692">
        <w:rPr>
          <w:rFonts w:ascii="Arial" w:hAnsi="Arial"/>
          <w:sz w:val="20"/>
          <w:szCs w:val="24"/>
        </w:rPr>
        <w:t>Using your mouse, draw the box in the PDF where you want your digital signature to appear (additional prompts will populate to ensure the signature is correct)</w:t>
      </w:r>
    </w:p>
    <w:p w:rsidR="009A5692" w:rsidRPr="009A5692" w:rsidRDefault="009A5692" w:rsidP="00F063AF">
      <w:pPr>
        <w:pStyle w:val="ListParagraph"/>
        <w:numPr>
          <w:ilvl w:val="0"/>
          <w:numId w:val="419"/>
        </w:numPr>
        <w:spacing w:after="0" w:line="240" w:lineRule="auto"/>
        <w:ind w:left="360"/>
        <w:rPr>
          <w:rFonts w:ascii="Arial" w:hAnsi="Arial"/>
          <w:sz w:val="20"/>
          <w:szCs w:val="24"/>
        </w:rPr>
      </w:pPr>
      <w:r w:rsidRPr="009A5692">
        <w:rPr>
          <w:rFonts w:ascii="Arial" w:hAnsi="Arial"/>
          <w:sz w:val="20"/>
          <w:szCs w:val="24"/>
        </w:rPr>
        <w:t>Save the PDF document to your desktop, if you do not already have a designated folder for PDF documents</w:t>
      </w:r>
    </w:p>
    <w:p w:rsidR="009A5692" w:rsidRDefault="009A5692" w:rsidP="00AC1911"/>
    <w:p w:rsidR="009A5692" w:rsidRPr="00AC1911" w:rsidRDefault="009A5692" w:rsidP="00AC1911"/>
    <w:p w:rsidR="00A55279" w:rsidRPr="00A55279" w:rsidRDefault="00A55279" w:rsidP="009B4523">
      <w:pPr>
        <w:pBdr>
          <w:top w:val="single" w:sz="4" w:space="1" w:color="auto"/>
        </w:pBdr>
        <w:spacing w:after="120"/>
        <w:rPr>
          <w:b/>
          <w:color w:val="000000"/>
          <w:szCs w:val="24"/>
        </w:rPr>
      </w:pPr>
      <w:r w:rsidRPr="00A55279">
        <w:rPr>
          <w:b/>
          <w:color w:val="000000"/>
          <w:szCs w:val="24"/>
        </w:rPr>
        <w:t>O</w:t>
      </w:r>
      <w:r>
        <w:rPr>
          <w:b/>
          <w:color w:val="000000"/>
          <w:szCs w:val="24"/>
        </w:rPr>
        <w:t>utlook</w:t>
      </w:r>
      <w:r w:rsidRPr="00A55279">
        <w:rPr>
          <w:b/>
          <w:color w:val="000000"/>
          <w:szCs w:val="24"/>
        </w:rPr>
        <w:t xml:space="preserve"> –</w:t>
      </w:r>
    </w:p>
    <w:p w:rsidR="00A55279" w:rsidRPr="00A55279" w:rsidRDefault="00A55279" w:rsidP="009B4523">
      <w:pPr>
        <w:pBdr>
          <w:top w:val="single" w:sz="4" w:space="1" w:color="auto"/>
        </w:pBdr>
        <w:spacing w:after="120"/>
        <w:rPr>
          <w:rFonts w:asciiTheme="minorHAnsi" w:hAnsiTheme="minorHAnsi"/>
          <w:b/>
          <w:color w:val="000000"/>
          <w:sz w:val="24"/>
          <w:szCs w:val="24"/>
        </w:rPr>
      </w:pPr>
      <w:r w:rsidRPr="00A55279">
        <w:rPr>
          <w:rFonts w:asciiTheme="minorHAnsi" w:hAnsiTheme="minorHAnsi"/>
          <w:b/>
          <w:color w:val="000000"/>
          <w:sz w:val="24"/>
          <w:szCs w:val="24"/>
        </w:rPr>
        <w:t>To set to automatically encrypt:</w:t>
      </w:r>
    </w:p>
    <w:p w:rsidR="00D45924" w:rsidRDefault="009F3D12" w:rsidP="009B4523">
      <w:pPr>
        <w:spacing w:after="120"/>
        <w:rPr>
          <w:rFonts w:asciiTheme="minorHAnsi" w:hAnsiTheme="minorHAnsi"/>
          <w:color w:val="000000"/>
          <w:sz w:val="24"/>
          <w:szCs w:val="24"/>
        </w:rPr>
      </w:pPr>
      <w:r>
        <w:rPr>
          <w:rFonts w:asciiTheme="minorHAnsi" w:hAnsiTheme="minorHAnsi"/>
          <w:color w:val="000000"/>
          <w:sz w:val="24"/>
          <w:szCs w:val="24"/>
        </w:rPr>
        <w:t>File</w:t>
      </w:r>
      <w:r w:rsidRPr="00A55279">
        <w:rPr>
          <w:rFonts w:asciiTheme="minorHAnsi" w:hAnsiTheme="minorHAnsi"/>
          <w:color w:val="000000"/>
          <w:sz w:val="24"/>
          <w:szCs w:val="24"/>
        </w:rPr>
        <w:t xml:space="preserve"> &gt; </w:t>
      </w:r>
      <w:r w:rsidR="00A55279" w:rsidRPr="00A55279">
        <w:rPr>
          <w:rFonts w:asciiTheme="minorHAnsi" w:hAnsiTheme="minorHAnsi"/>
          <w:color w:val="000000"/>
          <w:sz w:val="24"/>
          <w:szCs w:val="24"/>
        </w:rPr>
        <w:t>Options &gt; Trust Center &gt; Trust Center Settings &gt; Email Security</w:t>
      </w:r>
      <w:r w:rsidRPr="00A55279">
        <w:rPr>
          <w:rFonts w:asciiTheme="minorHAnsi" w:hAnsiTheme="minorHAnsi"/>
          <w:color w:val="000000"/>
          <w:sz w:val="24"/>
          <w:szCs w:val="24"/>
        </w:rPr>
        <w:t xml:space="preserve"> &gt; </w:t>
      </w:r>
      <w:r w:rsidR="00A55279" w:rsidRPr="00A55279">
        <w:rPr>
          <w:rFonts w:asciiTheme="minorHAnsi" w:hAnsiTheme="minorHAnsi"/>
          <w:color w:val="000000"/>
          <w:sz w:val="24"/>
          <w:szCs w:val="24"/>
        </w:rPr>
        <w:t xml:space="preserve"> </w:t>
      </w:r>
      <w:r>
        <w:rPr>
          <w:rFonts w:asciiTheme="minorHAnsi" w:hAnsiTheme="minorHAnsi"/>
          <w:color w:val="000000"/>
          <w:sz w:val="24"/>
          <w:szCs w:val="24"/>
        </w:rPr>
        <w:t>check “Encrypt contents and attachments for outgoing messages” &amp; “Add digital signature to outgoing messages”</w:t>
      </w:r>
    </w:p>
    <w:p w:rsidR="008104A7" w:rsidRPr="00E43366" w:rsidRDefault="00E43366" w:rsidP="009B4523">
      <w:pPr>
        <w:spacing w:after="120"/>
        <w:rPr>
          <w:rFonts w:asciiTheme="minorHAnsi" w:hAnsiTheme="minorHAnsi"/>
          <w:i/>
          <w:color w:val="000000"/>
          <w:sz w:val="22"/>
          <w:szCs w:val="24"/>
        </w:rPr>
      </w:pPr>
      <w:r w:rsidRPr="00E43366">
        <w:rPr>
          <w:rFonts w:asciiTheme="minorHAnsi" w:hAnsiTheme="minorHAnsi"/>
          <w:i/>
          <w:color w:val="000000"/>
          <w:sz w:val="22"/>
          <w:szCs w:val="24"/>
        </w:rPr>
        <w:t xml:space="preserve">as of </w:t>
      </w:r>
      <w:r>
        <w:rPr>
          <w:rFonts w:asciiTheme="minorHAnsi" w:hAnsiTheme="minorHAnsi"/>
          <w:i/>
          <w:color w:val="000000"/>
          <w:sz w:val="22"/>
          <w:szCs w:val="24"/>
        </w:rPr>
        <w:t xml:space="preserve">sometime before July </w:t>
      </w:r>
      <w:r w:rsidRPr="00E43366">
        <w:rPr>
          <w:rFonts w:asciiTheme="minorHAnsi" w:hAnsiTheme="minorHAnsi"/>
          <w:i/>
          <w:color w:val="000000"/>
          <w:sz w:val="22"/>
          <w:szCs w:val="24"/>
        </w:rPr>
        <w:t xml:space="preserve">2018, we are no </w:t>
      </w:r>
      <w:r>
        <w:rPr>
          <w:rFonts w:asciiTheme="minorHAnsi" w:hAnsiTheme="minorHAnsi"/>
          <w:i/>
          <w:color w:val="000000"/>
          <w:sz w:val="22"/>
          <w:szCs w:val="24"/>
        </w:rPr>
        <w:t>supposed to unencrypt emails that do not contain sensitive info:</w:t>
      </w:r>
    </w:p>
    <w:p w:rsidR="008104A7" w:rsidRDefault="00E43366" w:rsidP="009B4523">
      <w:pPr>
        <w:spacing w:after="120"/>
        <w:rPr>
          <w:rFonts w:asciiTheme="minorHAnsi" w:hAnsiTheme="minorHAnsi"/>
          <w:color w:val="000000"/>
          <w:sz w:val="24"/>
          <w:szCs w:val="24"/>
        </w:rPr>
      </w:pPr>
      <w:r>
        <w:rPr>
          <w:noProof/>
        </w:rPr>
        <w:drawing>
          <wp:inline distT="0" distB="0" distL="0" distR="0" wp14:anchorId="426B359E" wp14:editId="67AF8096">
            <wp:extent cx="6019800" cy="3597016"/>
            <wp:effectExtent l="0" t="0" r="0" b="3810"/>
            <wp:docPr id="24684" name="Picture 24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6022126" cy="3598406"/>
                    </a:xfrm>
                    <a:prstGeom prst="rect">
                      <a:avLst/>
                    </a:prstGeom>
                  </pic:spPr>
                </pic:pic>
              </a:graphicData>
            </a:graphic>
          </wp:inline>
        </w:drawing>
      </w:r>
    </w:p>
    <w:p w:rsidR="00D45924" w:rsidRPr="00D45924" w:rsidRDefault="00D45924" w:rsidP="00D45924">
      <w:pPr>
        <w:pBdr>
          <w:top w:val="single" w:sz="4" w:space="1" w:color="auto"/>
        </w:pBdr>
        <w:spacing w:after="120"/>
        <w:rPr>
          <w:rFonts w:asciiTheme="minorHAnsi" w:hAnsiTheme="minorHAnsi"/>
          <w:b/>
          <w:color w:val="000000"/>
          <w:sz w:val="24"/>
          <w:szCs w:val="24"/>
        </w:rPr>
      </w:pPr>
      <w:r w:rsidRPr="00D45924">
        <w:rPr>
          <w:rFonts w:asciiTheme="minorHAnsi" w:hAnsiTheme="minorHAnsi"/>
          <w:b/>
          <w:color w:val="000000"/>
          <w:sz w:val="24"/>
          <w:szCs w:val="24"/>
        </w:rPr>
        <w:t xml:space="preserve">To find a person by their “vscflast” or “adjflast” name listed on the RD: </w:t>
      </w:r>
    </w:p>
    <w:p w:rsidR="00EA0658" w:rsidRPr="00573CA6" w:rsidRDefault="00310440" w:rsidP="009B4523">
      <w:pPr>
        <w:spacing w:after="120"/>
        <w:rPr>
          <w:rFonts w:asciiTheme="minorHAnsi" w:hAnsiTheme="minorHAnsi"/>
          <w:color w:val="000000"/>
          <w:sz w:val="24"/>
          <w:szCs w:val="24"/>
        </w:rPr>
      </w:pPr>
      <w:r>
        <w:rPr>
          <w:rFonts w:asciiTheme="minorHAnsi" w:hAnsiTheme="minorHAnsi"/>
          <w:color w:val="000000"/>
          <w:sz w:val="24"/>
          <w:szCs w:val="24"/>
        </w:rPr>
        <w:t>New E</w:t>
      </w:r>
      <w:r w:rsidR="00D45924">
        <w:rPr>
          <w:rFonts w:asciiTheme="minorHAnsi" w:hAnsiTheme="minorHAnsi"/>
          <w:color w:val="000000"/>
          <w:sz w:val="24"/>
          <w:szCs w:val="24"/>
        </w:rPr>
        <w:t xml:space="preserve">mail – To – Advanced Find </w:t>
      </w:r>
      <w:r w:rsidR="00573CA6">
        <w:rPr>
          <w:rFonts w:asciiTheme="minorHAnsi" w:hAnsiTheme="minorHAnsi"/>
          <w:color w:val="000000"/>
          <w:sz w:val="24"/>
          <w:szCs w:val="24"/>
        </w:rPr>
        <w:t>– type the above name in Alias.</w:t>
      </w:r>
    </w:p>
    <w:p w:rsidR="00EA0658" w:rsidRPr="00EA0658" w:rsidRDefault="00EA0658" w:rsidP="00573CA6">
      <w:pPr>
        <w:pBdr>
          <w:top w:val="single" w:sz="4" w:space="1" w:color="auto"/>
        </w:pBdr>
        <w:rPr>
          <w:rFonts w:asciiTheme="minorHAnsi" w:hAnsiTheme="minorHAnsi"/>
          <w:color w:val="000000"/>
          <w:sz w:val="22"/>
          <w:szCs w:val="24"/>
        </w:rPr>
      </w:pPr>
      <w:r w:rsidRPr="00EA0658">
        <w:rPr>
          <w:rFonts w:asciiTheme="minorHAnsi" w:hAnsiTheme="minorHAnsi"/>
          <w:color w:val="000000"/>
          <w:sz w:val="22"/>
          <w:szCs w:val="24"/>
        </w:rPr>
        <w:t xml:space="preserve">Always email the prior RVSR if </w:t>
      </w:r>
      <w:r>
        <w:rPr>
          <w:rFonts w:asciiTheme="minorHAnsi" w:hAnsiTheme="minorHAnsi"/>
          <w:color w:val="000000"/>
          <w:sz w:val="22"/>
          <w:szCs w:val="24"/>
        </w:rPr>
        <w:t xml:space="preserve">you </w:t>
      </w:r>
      <w:r w:rsidRPr="00EA0658">
        <w:rPr>
          <w:rFonts w:asciiTheme="minorHAnsi" w:hAnsiTheme="minorHAnsi"/>
          <w:color w:val="000000"/>
          <w:sz w:val="22"/>
          <w:szCs w:val="24"/>
        </w:rPr>
        <w:t>get a case assigned to you that is locked in VBMS-R:</w:t>
      </w:r>
    </w:p>
    <w:p w:rsidR="00EA0658" w:rsidRDefault="00EA0658" w:rsidP="00F100DB">
      <w:pPr>
        <w:rPr>
          <w:rFonts w:asciiTheme="minorHAnsi" w:hAnsiTheme="minorHAnsi"/>
          <w:color w:val="000000"/>
          <w:sz w:val="24"/>
          <w:szCs w:val="24"/>
        </w:rPr>
      </w:pPr>
      <w:r>
        <w:rPr>
          <w:noProof/>
        </w:rPr>
        <w:drawing>
          <wp:inline distT="0" distB="0" distL="0" distR="0" wp14:anchorId="5EF4D543" wp14:editId="71A66372">
            <wp:extent cx="5943600" cy="548005"/>
            <wp:effectExtent l="0" t="0" r="0" b="4445"/>
            <wp:docPr id="24602" name="Picture 24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3"/>
                    <a:stretch>
                      <a:fillRect/>
                    </a:stretch>
                  </pic:blipFill>
                  <pic:spPr>
                    <a:xfrm>
                      <a:off x="0" y="0"/>
                      <a:ext cx="5943600" cy="548005"/>
                    </a:xfrm>
                    <a:prstGeom prst="rect">
                      <a:avLst/>
                    </a:prstGeom>
                  </pic:spPr>
                </pic:pic>
              </a:graphicData>
            </a:graphic>
          </wp:inline>
        </w:drawing>
      </w:r>
    </w:p>
    <w:p w:rsidR="00EA0658" w:rsidRDefault="00EA0658" w:rsidP="00F100DB">
      <w:pPr>
        <w:rPr>
          <w:rFonts w:asciiTheme="minorHAnsi" w:hAnsiTheme="minorHAnsi"/>
          <w:color w:val="000000"/>
          <w:sz w:val="22"/>
          <w:szCs w:val="24"/>
        </w:rPr>
      </w:pPr>
    </w:p>
    <w:p w:rsidR="00F100DB" w:rsidRPr="00F100DB" w:rsidRDefault="00F100DB" w:rsidP="00F100DB">
      <w:pPr>
        <w:rPr>
          <w:rFonts w:asciiTheme="minorHAnsi" w:hAnsiTheme="minorHAnsi"/>
        </w:rPr>
      </w:pPr>
      <w:r>
        <w:rPr>
          <w:rFonts w:asciiTheme="minorHAnsi" w:hAnsiTheme="minorHAnsi"/>
          <w:color w:val="000000"/>
          <w:sz w:val="22"/>
          <w:szCs w:val="24"/>
        </w:rPr>
        <w:t>This message means</w:t>
      </w:r>
      <w:r w:rsidR="00EA0658" w:rsidRPr="00EA0658">
        <w:rPr>
          <w:rFonts w:asciiTheme="minorHAnsi" w:hAnsiTheme="minorHAnsi"/>
          <w:color w:val="000000"/>
          <w:sz w:val="22"/>
          <w:szCs w:val="24"/>
        </w:rPr>
        <w:t xml:space="preserve"> prior RD was not promulg</w:t>
      </w:r>
      <w:r>
        <w:rPr>
          <w:rFonts w:asciiTheme="minorHAnsi" w:hAnsiTheme="minorHAnsi"/>
          <w:color w:val="000000"/>
          <w:sz w:val="22"/>
          <w:szCs w:val="24"/>
        </w:rPr>
        <w:t>ated.</w:t>
      </w:r>
      <w:r w:rsidRPr="00F100DB">
        <w:rPr>
          <w:rFonts w:asciiTheme="minorHAnsi" w:hAnsiTheme="minorHAnsi"/>
        </w:rPr>
        <w:t xml:space="preserve"> Click “Cancel” (if you click OK, the prior RD will be lost), check VBMS to see if the prior RD was promulgated. If not, notify your Coach that the RD needs to be promulgated before another RD can be </w:t>
      </w:r>
      <w:r w:rsidRPr="00F100DB">
        <w:rPr>
          <w:rFonts w:asciiTheme="minorHAnsi" w:hAnsiTheme="minorHAnsi"/>
        </w:rPr>
        <w:lastRenderedPageBreak/>
        <w:t>done (or it needs to go back to the prior RVSR to correct their RD</w:t>
      </w:r>
      <w:r>
        <w:rPr>
          <w:rFonts w:asciiTheme="minorHAnsi" w:hAnsiTheme="minorHAnsi"/>
        </w:rPr>
        <w:t xml:space="preserve"> &amp; now add the deferred issues)</w:t>
      </w:r>
      <w:r w:rsidR="00E93197">
        <w:rPr>
          <w:rFonts w:asciiTheme="minorHAnsi" w:hAnsiTheme="minorHAnsi"/>
        </w:rPr>
        <w:t>. It’s also best to make a Claim Note so that everyone knows what’s going on with the case</w:t>
      </w:r>
      <w:r>
        <w:rPr>
          <w:rFonts w:asciiTheme="minorHAnsi" w:hAnsiTheme="minorHAnsi"/>
        </w:rPr>
        <w:t>:</w:t>
      </w:r>
      <w:r w:rsidRPr="00F100DB">
        <w:rPr>
          <w:rFonts w:asciiTheme="minorHAnsi" w:hAnsiTheme="minorHAnsi"/>
        </w:rPr>
        <w:t xml:space="preserve"> </w:t>
      </w:r>
    </w:p>
    <w:p w:rsidR="00F100DB" w:rsidRDefault="00F100DB" w:rsidP="00F100DB">
      <w:pPr>
        <w:rPr>
          <w:rFonts w:asciiTheme="minorHAnsi" w:hAnsiTheme="minorHAnsi"/>
          <w:color w:val="000000"/>
          <w:sz w:val="22"/>
          <w:szCs w:val="24"/>
        </w:rPr>
      </w:pPr>
      <w:r>
        <w:rPr>
          <w:noProof/>
        </w:rPr>
        <w:drawing>
          <wp:inline distT="0" distB="0" distL="0" distR="0" wp14:anchorId="17421323" wp14:editId="5CE4EFD1">
            <wp:extent cx="2667000" cy="2752725"/>
            <wp:effectExtent l="0" t="0" r="0" b="9525"/>
            <wp:docPr id="24603" name="Picture 24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4"/>
                    <a:stretch>
                      <a:fillRect/>
                    </a:stretch>
                  </pic:blipFill>
                  <pic:spPr>
                    <a:xfrm>
                      <a:off x="0" y="0"/>
                      <a:ext cx="2667000" cy="2752725"/>
                    </a:xfrm>
                    <a:prstGeom prst="rect">
                      <a:avLst/>
                    </a:prstGeom>
                  </pic:spPr>
                </pic:pic>
              </a:graphicData>
            </a:graphic>
          </wp:inline>
        </w:drawing>
      </w:r>
    </w:p>
    <w:p w:rsidR="00F100DB" w:rsidRDefault="00F100DB" w:rsidP="00F100DB">
      <w:pPr>
        <w:rPr>
          <w:rFonts w:asciiTheme="minorHAnsi" w:hAnsiTheme="minorHAnsi"/>
          <w:color w:val="000000"/>
          <w:sz w:val="22"/>
          <w:szCs w:val="24"/>
        </w:rPr>
      </w:pPr>
    </w:p>
    <w:p w:rsidR="00EA0658" w:rsidRPr="00EA0658" w:rsidRDefault="00EA0658" w:rsidP="009B4523">
      <w:pPr>
        <w:spacing w:after="120"/>
        <w:rPr>
          <w:rFonts w:asciiTheme="minorHAnsi" w:hAnsiTheme="minorHAnsi"/>
          <w:color w:val="000000"/>
          <w:sz w:val="22"/>
          <w:szCs w:val="24"/>
        </w:rPr>
      </w:pPr>
      <w:r>
        <w:rPr>
          <w:rFonts w:asciiTheme="minorHAnsi" w:hAnsiTheme="minorHAnsi"/>
          <w:color w:val="000000"/>
          <w:sz w:val="22"/>
          <w:szCs w:val="24"/>
        </w:rPr>
        <w:t>If you get a message you are unsure of, always email the prior RVSR to see if you should work the case.</w:t>
      </w:r>
    </w:p>
    <w:p w:rsidR="00A55279" w:rsidRDefault="00A55279" w:rsidP="00A55279">
      <w:pPr>
        <w:rPr>
          <w:color w:val="1F497D"/>
          <w:sz w:val="16"/>
          <w:szCs w:val="16"/>
        </w:rPr>
      </w:pPr>
    </w:p>
    <w:p w:rsidR="007174F3" w:rsidRDefault="00A55279" w:rsidP="007174F3">
      <w:pPr>
        <w:pBdr>
          <w:top w:val="single" w:sz="4" w:space="1" w:color="auto"/>
        </w:pBdr>
        <w:rPr>
          <w:b/>
          <w:color w:val="000000"/>
          <w:szCs w:val="24"/>
        </w:rPr>
      </w:pPr>
      <w:r w:rsidRPr="007174F3">
        <w:rPr>
          <w:b/>
          <w:color w:val="000000"/>
          <w:szCs w:val="24"/>
          <w:u w:val="single"/>
        </w:rPr>
        <w:t>Microsoft Lync</w:t>
      </w:r>
      <w:r w:rsidRPr="00A55279">
        <w:rPr>
          <w:b/>
          <w:color w:val="000000"/>
          <w:szCs w:val="24"/>
        </w:rPr>
        <w:t xml:space="preserve"> –</w:t>
      </w:r>
      <w:r w:rsidR="00404D8F">
        <w:rPr>
          <w:b/>
          <w:color w:val="000000"/>
          <w:szCs w:val="24"/>
        </w:rPr>
        <w:t xml:space="preserve"> </w:t>
      </w:r>
    </w:p>
    <w:p w:rsidR="007174F3" w:rsidRDefault="007174F3" w:rsidP="007174F3">
      <w:pPr>
        <w:pBdr>
          <w:top w:val="single" w:sz="4" w:space="1" w:color="auto"/>
        </w:pBdr>
        <w:rPr>
          <w:b/>
          <w:color w:val="000000"/>
          <w:szCs w:val="24"/>
        </w:rPr>
      </w:pPr>
    </w:p>
    <w:p w:rsidR="007174F3" w:rsidRPr="007174F3" w:rsidRDefault="007174F3" w:rsidP="007174F3">
      <w:pPr>
        <w:pBdr>
          <w:top w:val="single" w:sz="4" w:space="1" w:color="auto"/>
        </w:pBdr>
        <w:rPr>
          <w:b/>
          <w:color w:val="000000"/>
          <w:szCs w:val="24"/>
        </w:rPr>
      </w:pPr>
      <w:r w:rsidRPr="007174F3">
        <w:rPr>
          <w:b/>
        </w:rPr>
        <w:t>Online Meetings</w:t>
      </w:r>
    </w:p>
    <w:p w:rsidR="007174F3" w:rsidRDefault="007174F3" w:rsidP="007174F3">
      <w:pPr>
        <w:pBdr>
          <w:top w:val="single" w:sz="4" w:space="1" w:color="auto"/>
        </w:pBdr>
        <w:rPr>
          <w:color w:val="0070C0"/>
        </w:rPr>
      </w:pPr>
      <w:r>
        <w:rPr>
          <w:color w:val="0070C0"/>
        </w:rPr>
        <w:t>Ensure you are connected either at a port in the office or at home through VPN</w:t>
      </w:r>
      <w:r>
        <w:rPr>
          <w:i/>
          <w:iCs/>
          <w:color w:val="0070C0"/>
        </w:rPr>
        <w:t xml:space="preserve"> (apparently being connected through Citrix causes problems)</w:t>
      </w:r>
      <w:r>
        <w:rPr>
          <w:color w:val="0070C0"/>
        </w:rPr>
        <w:t>.</w:t>
      </w:r>
    </w:p>
    <w:p w:rsidR="007174F3" w:rsidRDefault="007174F3" w:rsidP="007174F3">
      <w:pPr>
        <w:rPr>
          <w:color w:val="0070C0"/>
        </w:rPr>
      </w:pPr>
    </w:p>
    <w:p w:rsidR="007174F3" w:rsidRDefault="007174F3" w:rsidP="007174F3">
      <w:pPr>
        <w:rPr>
          <w:color w:val="0070C0"/>
        </w:rPr>
      </w:pPr>
      <w:r>
        <w:rPr>
          <w:color w:val="0070C0"/>
        </w:rPr>
        <w:t xml:space="preserve">When you get the appointment, choose </w:t>
      </w:r>
      <w:r>
        <w:rPr>
          <w:noProof/>
        </w:rPr>
        <w:drawing>
          <wp:inline distT="0" distB="0" distL="0" distR="0" wp14:anchorId="55D1176A" wp14:editId="517C2C53">
            <wp:extent cx="446405" cy="595630"/>
            <wp:effectExtent l="0" t="0" r="0" b="0"/>
            <wp:docPr id="24610" name="Picture 24610" descr="cid:image009.png@01D2C4DE.E0928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9.png@01D2C4DE.E0928C10"/>
                    <pic:cNvPicPr>
                      <a:picLocks noChangeAspect="1" noChangeArrowheads="1"/>
                    </pic:cNvPicPr>
                  </pic:nvPicPr>
                  <pic:blipFill>
                    <a:blip r:embed="rId155" r:link="rId156" cstate="print">
                      <a:extLst>
                        <a:ext uri="{28A0092B-C50C-407E-A947-70E740481C1C}">
                          <a14:useLocalDpi xmlns:a14="http://schemas.microsoft.com/office/drawing/2010/main" val="0"/>
                        </a:ext>
                      </a:extLst>
                    </a:blip>
                    <a:srcRect/>
                    <a:stretch>
                      <a:fillRect/>
                    </a:stretch>
                  </pic:blipFill>
                  <pic:spPr bwMode="auto">
                    <a:xfrm>
                      <a:off x="0" y="0"/>
                      <a:ext cx="446405" cy="595630"/>
                    </a:xfrm>
                    <a:prstGeom prst="rect">
                      <a:avLst/>
                    </a:prstGeom>
                    <a:noFill/>
                    <a:ln>
                      <a:noFill/>
                    </a:ln>
                  </pic:spPr>
                </pic:pic>
              </a:graphicData>
            </a:graphic>
          </wp:inline>
        </w:drawing>
      </w:r>
      <w:r>
        <w:rPr>
          <w:color w:val="0070C0"/>
        </w:rPr>
        <w:t> (</w:t>
      </w:r>
      <w:r>
        <w:rPr>
          <w:i/>
          <w:iCs/>
          <w:color w:val="0070C0"/>
        </w:rPr>
        <w:t>usually you can choose “Do Not Send a Response”</w:t>
      </w:r>
      <w:r>
        <w:rPr>
          <w:color w:val="0070C0"/>
        </w:rPr>
        <w:t>), then you will automatically get a reminder 5 minutes before the meeting.</w:t>
      </w:r>
    </w:p>
    <w:p w:rsidR="007174F3" w:rsidRDefault="007174F3" w:rsidP="007174F3">
      <w:pPr>
        <w:rPr>
          <w:color w:val="0070C0"/>
        </w:rPr>
      </w:pPr>
    </w:p>
    <w:p w:rsidR="007174F3" w:rsidRDefault="007174F3" w:rsidP="007174F3">
      <w:pPr>
        <w:rPr>
          <w:color w:val="0070C0"/>
        </w:rPr>
      </w:pPr>
      <w:r>
        <w:rPr>
          <w:color w:val="0070C0"/>
        </w:rPr>
        <w:t>When the reminder pops up, click on:</w:t>
      </w:r>
    </w:p>
    <w:p w:rsidR="007174F3" w:rsidRDefault="007174F3" w:rsidP="007174F3">
      <w:r>
        <w:rPr>
          <w:noProof/>
        </w:rPr>
        <w:drawing>
          <wp:inline distT="0" distB="0" distL="0" distR="0" wp14:anchorId="23BD5ECB" wp14:editId="32EA6824">
            <wp:extent cx="786765" cy="329565"/>
            <wp:effectExtent l="0" t="0" r="0" b="0"/>
            <wp:docPr id="24609" name="Picture 24609" descr="cid:image010.png@01D2C4DE.E0928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10.png@01D2C4DE.E0928C10"/>
                    <pic:cNvPicPr>
                      <a:picLocks noChangeAspect="1" noChangeArrowheads="1"/>
                    </pic:cNvPicPr>
                  </pic:nvPicPr>
                  <pic:blipFill>
                    <a:blip r:embed="rId157" r:link="rId158" cstate="print">
                      <a:extLst>
                        <a:ext uri="{28A0092B-C50C-407E-A947-70E740481C1C}">
                          <a14:useLocalDpi xmlns:a14="http://schemas.microsoft.com/office/drawing/2010/main" val="0"/>
                        </a:ext>
                      </a:extLst>
                    </a:blip>
                    <a:srcRect/>
                    <a:stretch>
                      <a:fillRect/>
                    </a:stretch>
                  </pic:blipFill>
                  <pic:spPr bwMode="auto">
                    <a:xfrm>
                      <a:off x="0" y="0"/>
                      <a:ext cx="786765" cy="329565"/>
                    </a:xfrm>
                    <a:prstGeom prst="rect">
                      <a:avLst/>
                    </a:prstGeom>
                    <a:noFill/>
                    <a:ln>
                      <a:noFill/>
                    </a:ln>
                  </pic:spPr>
                </pic:pic>
              </a:graphicData>
            </a:graphic>
          </wp:inline>
        </w:drawing>
      </w:r>
    </w:p>
    <w:p w:rsidR="007174F3" w:rsidRDefault="007174F3" w:rsidP="007174F3"/>
    <w:p w:rsidR="007174F3" w:rsidRDefault="007174F3" w:rsidP="007174F3">
      <w:pPr>
        <w:rPr>
          <w:color w:val="0070C0"/>
        </w:rPr>
      </w:pPr>
      <w:r>
        <w:rPr>
          <w:color w:val="0070C0"/>
        </w:rPr>
        <w:t>If you don’t get the reminder, open the email or the calendar entry &amp; click on:</w:t>
      </w:r>
    </w:p>
    <w:p w:rsidR="007174F3" w:rsidRDefault="007174F3" w:rsidP="007174F3">
      <w:r>
        <w:rPr>
          <w:noProof/>
        </w:rPr>
        <w:drawing>
          <wp:inline distT="0" distB="0" distL="0" distR="0" wp14:anchorId="65A9F11C" wp14:editId="4393BCAD">
            <wp:extent cx="775970" cy="797560"/>
            <wp:effectExtent l="0" t="0" r="5080" b="2540"/>
            <wp:docPr id="24608" name="Picture 24608" descr="cid:image011.png@01D2C4DE.E0928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11.png@01D2C4DE.E0928C10"/>
                    <pic:cNvPicPr>
                      <a:picLocks noChangeAspect="1" noChangeArrowheads="1"/>
                    </pic:cNvPicPr>
                  </pic:nvPicPr>
                  <pic:blipFill>
                    <a:blip r:embed="rId159" r:link="rId160" cstate="print">
                      <a:extLst>
                        <a:ext uri="{28A0092B-C50C-407E-A947-70E740481C1C}">
                          <a14:useLocalDpi xmlns:a14="http://schemas.microsoft.com/office/drawing/2010/main" val="0"/>
                        </a:ext>
                      </a:extLst>
                    </a:blip>
                    <a:srcRect/>
                    <a:stretch>
                      <a:fillRect/>
                    </a:stretch>
                  </pic:blipFill>
                  <pic:spPr bwMode="auto">
                    <a:xfrm>
                      <a:off x="0" y="0"/>
                      <a:ext cx="775970" cy="797560"/>
                    </a:xfrm>
                    <a:prstGeom prst="rect">
                      <a:avLst/>
                    </a:prstGeom>
                    <a:noFill/>
                    <a:ln>
                      <a:noFill/>
                    </a:ln>
                  </pic:spPr>
                </pic:pic>
              </a:graphicData>
            </a:graphic>
          </wp:inline>
        </w:drawing>
      </w:r>
      <w:r>
        <w:rPr>
          <w:i/>
          <w:iCs/>
          <w:color w:val="0070C0"/>
        </w:rPr>
        <w:t>(at the top of the email/calendar entry)</w:t>
      </w:r>
    </w:p>
    <w:p w:rsidR="007174F3" w:rsidRDefault="007174F3" w:rsidP="007174F3">
      <w:pPr>
        <w:rPr>
          <w:color w:val="0070C0"/>
        </w:rPr>
      </w:pPr>
      <w:r>
        <w:rPr>
          <w:color w:val="0070C0"/>
        </w:rPr>
        <w:t>or click on:</w:t>
      </w:r>
    </w:p>
    <w:p w:rsidR="007174F3" w:rsidRDefault="007174F3" w:rsidP="007174F3">
      <w:pPr>
        <w:rPr>
          <w:i/>
          <w:iCs/>
          <w:color w:val="0070C0"/>
        </w:rPr>
      </w:pPr>
      <w:r>
        <w:rPr>
          <w:noProof/>
        </w:rPr>
        <w:drawing>
          <wp:inline distT="0" distB="0" distL="0" distR="0" wp14:anchorId="15BA1C35" wp14:editId="1FD8CB30">
            <wp:extent cx="1988185" cy="276225"/>
            <wp:effectExtent l="0" t="0" r="0" b="9525"/>
            <wp:docPr id="24607" name="Picture 24607" descr="cid:image012.png@01D2C4DE.E0928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12.png@01D2C4DE.E0928C10"/>
                    <pic:cNvPicPr>
                      <a:picLocks noChangeAspect="1" noChangeArrowheads="1"/>
                    </pic:cNvPicPr>
                  </pic:nvPicPr>
                  <pic:blipFill>
                    <a:blip r:embed="rId161" r:link="rId162" cstate="print">
                      <a:extLst>
                        <a:ext uri="{28A0092B-C50C-407E-A947-70E740481C1C}">
                          <a14:useLocalDpi xmlns:a14="http://schemas.microsoft.com/office/drawing/2010/main" val="0"/>
                        </a:ext>
                      </a:extLst>
                    </a:blip>
                    <a:srcRect/>
                    <a:stretch>
                      <a:fillRect/>
                    </a:stretch>
                  </pic:blipFill>
                  <pic:spPr bwMode="auto">
                    <a:xfrm>
                      <a:off x="0" y="0"/>
                      <a:ext cx="1988185" cy="276225"/>
                    </a:xfrm>
                    <a:prstGeom prst="rect">
                      <a:avLst/>
                    </a:prstGeom>
                    <a:noFill/>
                    <a:ln>
                      <a:noFill/>
                    </a:ln>
                  </pic:spPr>
                </pic:pic>
              </a:graphicData>
            </a:graphic>
          </wp:inline>
        </w:drawing>
      </w:r>
      <w:r>
        <w:rPr>
          <w:i/>
          <w:iCs/>
          <w:color w:val="0070C0"/>
        </w:rPr>
        <w:t>(inside the actual email/calendar entry)</w:t>
      </w:r>
    </w:p>
    <w:p w:rsidR="007174F3" w:rsidRDefault="007174F3" w:rsidP="007174F3">
      <w:pPr>
        <w:rPr>
          <w:sz w:val="22"/>
          <w:szCs w:val="22"/>
        </w:rPr>
      </w:pPr>
    </w:p>
    <w:p w:rsidR="007174F3" w:rsidRDefault="007174F3" w:rsidP="007174F3">
      <w:pPr>
        <w:rPr>
          <w:color w:val="0070C0"/>
        </w:rPr>
      </w:pPr>
      <w:r>
        <w:rPr>
          <w:color w:val="0070C0"/>
        </w:rPr>
        <w:t>Then select:</w:t>
      </w:r>
    </w:p>
    <w:p w:rsidR="007174F3" w:rsidRDefault="007174F3" w:rsidP="007174F3">
      <w:r>
        <w:rPr>
          <w:noProof/>
        </w:rPr>
        <w:drawing>
          <wp:inline distT="0" distB="0" distL="0" distR="0" wp14:anchorId="5AF7B12D" wp14:editId="6B54E2C9">
            <wp:extent cx="2371090" cy="201930"/>
            <wp:effectExtent l="0" t="0" r="0" b="7620"/>
            <wp:docPr id="24606" name="Picture 24606" descr="cid:image013.png@01D2C4DE.E0928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13.png@01D2C4DE.E0928C10"/>
                    <pic:cNvPicPr>
                      <a:picLocks noChangeAspect="1" noChangeArrowheads="1"/>
                    </pic:cNvPicPr>
                  </pic:nvPicPr>
                  <pic:blipFill>
                    <a:blip r:embed="rId163" r:link="rId164" cstate="print">
                      <a:extLst>
                        <a:ext uri="{28A0092B-C50C-407E-A947-70E740481C1C}">
                          <a14:useLocalDpi xmlns:a14="http://schemas.microsoft.com/office/drawing/2010/main" val="0"/>
                        </a:ext>
                      </a:extLst>
                    </a:blip>
                    <a:srcRect/>
                    <a:stretch>
                      <a:fillRect/>
                    </a:stretch>
                  </pic:blipFill>
                  <pic:spPr bwMode="auto">
                    <a:xfrm>
                      <a:off x="0" y="0"/>
                      <a:ext cx="2371090" cy="201930"/>
                    </a:xfrm>
                    <a:prstGeom prst="rect">
                      <a:avLst/>
                    </a:prstGeom>
                    <a:noFill/>
                    <a:ln>
                      <a:noFill/>
                    </a:ln>
                  </pic:spPr>
                </pic:pic>
              </a:graphicData>
            </a:graphic>
          </wp:inline>
        </w:drawing>
      </w:r>
    </w:p>
    <w:p w:rsidR="007174F3" w:rsidRDefault="007174F3" w:rsidP="007174F3">
      <w:pPr>
        <w:rPr>
          <w:b/>
          <w:bCs/>
          <w:color w:val="0070C0"/>
          <w:sz w:val="24"/>
          <w:szCs w:val="24"/>
        </w:rPr>
      </w:pPr>
      <w:r>
        <w:rPr>
          <w:b/>
          <w:bCs/>
          <w:color w:val="0070C0"/>
          <w:sz w:val="24"/>
          <w:szCs w:val="24"/>
          <w:highlight w:val="yellow"/>
        </w:rPr>
        <w:t>Do not select either of the other two choices!</w:t>
      </w:r>
    </w:p>
    <w:p w:rsidR="007174F3" w:rsidRDefault="007174F3" w:rsidP="007174F3">
      <w:pPr>
        <w:rPr>
          <w:sz w:val="22"/>
          <w:szCs w:val="22"/>
        </w:rPr>
      </w:pPr>
    </w:p>
    <w:p w:rsidR="007174F3" w:rsidRDefault="007174F3" w:rsidP="007174F3"/>
    <w:p w:rsidR="007174F3" w:rsidRDefault="007174F3" w:rsidP="007174F3">
      <w:pPr>
        <w:rPr>
          <w:color w:val="0070C0"/>
        </w:rPr>
      </w:pPr>
      <w:r>
        <w:rPr>
          <w:color w:val="0070C0"/>
        </w:rPr>
        <w:t>If you disconnect accidentally, you can click on Rejoin:</w:t>
      </w:r>
    </w:p>
    <w:p w:rsidR="007174F3" w:rsidRDefault="007174F3" w:rsidP="007174F3">
      <w:r>
        <w:rPr>
          <w:noProof/>
        </w:rPr>
        <w:drawing>
          <wp:inline distT="0" distB="0" distL="0" distR="0" wp14:anchorId="328D3840" wp14:editId="6EB3B30F">
            <wp:extent cx="2254250" cy="340360"/>
            <wp:effectExtent l="0" t="0" r="0" b="2540"/>
            <wp:docPr id="24605" name="Picture 24605" descr="cid:image014.png@01D2C4DE.E0928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14.png@01D2C4DE.E0928C10"/>
                    <pic:cNvPicPr>
                      <a:picLocks noChangeAspect="1" noChangeArrowheads="1"/>
                    </pic:cNvPicPr>
                  </pic:nvPicPr>
                  <pic:blipFill>
                    <a:blip r:embed="rId165" r:link="rId166" cstate="print">
                      <a:extLst>
                        <a:ext uri="{28A0092B-C50C-407E-A947-70E740481C1C}">
                          <a14:useLocalDpi xmlns:a14="http://schemas.microsoft.com/office/drawing/2010/main" val="0"/>
                        </a:ext>
                      </a:extLst>
                    </a:blip>
                    <a:srcRect/>
                    <a:stretch>
                      <a:fillRect/>
                    </a:stretch>
                  </pic:blipFill>
                  <pic:spPr bwMode="auto">
                    <a:xfrm>
                      <a:off x="0" y="0"/>
                      <a:ext cx="2254250" cy="340360"/>
                    </a:xfrm>
                    <a:prstGeom prst="rect">
                      <a:avLst/>
                    </a:prstGeom>
                    <a:noFill/>
                    <a:ln>
                      <a:noFill/>
                    </a:ln>
                  </pic:spPr>
                </pic:pic>
              </a:graphicData>
            </a:graphic>
          </wp:inline>
        </w:drawing>
      </w:r>
    </w:p>
    <w:p w:rsidR="007174F3" w:rsidRDefault="007174F3" w:rsidP="007174F3">
      <w:pPr>
        <w:rPr>
          <w:color w:val="0070C0"/>
        </w:rPr>
      </w:pPr>
      <w:r>
        <w:rPr>
          <w:color w:val="0070C0"/>
        </w:rPr>
        <w:lastRenderedPageBreak/>
        <w:t>Then select Lync:</w:t>
      </w:r>
    </w:p>
    <w:p w:rsidR="007174F3" w:rsidRDefault="007174F3" w:rsidP="007174F3">
      <w:r>
        <w:rPr>
          <w:noProof/>
        </w:rPr>
        <w:drawing>
          <wp:inline distT="0" distB="0" distL="0" distR="0" wp14:anchorId="7EE92F0C" wp14:editId="52BECF14">
            <wp:extent cx="1754505" cy="542290"/>
            <wp:effectExtent l="0" t="0" r="0" b="0"/>
            <wp:docPr id="24604" name="Picture 24604" descr="cid:image015.png@01D2C4DE.E0928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15.png@01D2C4DE.E0928C10"/>
                    <pic:cNvPicPr>
                      <a:picLocks noChangeAspect="1" noChangeArrowheads="1"/>
                    </pic:cNvPicPr>
                  </pic:nvPicPr>
                  <pic:blipFill>
                    <a:blip r:embed="rId167" r:link="rId168" cstate="print">
                      <a:extLst>
                        <a:ext uri="{28A0092B-C50C-407E-A947-70E740481C1C}">
                          <a14:useLocalDpi xmlns:a14="http://schemas.microsoft.com/office/drawing/2010/main" val="0"/>
                        </a:ext>
                      </a:extLst>
                    </a:blip>
                    <a:srcRect/>
                    <a:stretch>
                      <a:fillRect/>
                    </a:stretch>
                  </pic:blipFill>
                  <pic:spPr bwMode="auto">
                    <a:xfrm>
                      <a:off x="0" y="0"/>
                      <a:ext cx="1754505" cy="542290"/>
                    </a:xfrm>
                    <a:prstGeom prst="rect">
                      <a:avLst/>
                    </a:prstGeom>
                    <a:noFill/>
                    <a:ln>
                      <a:noFill/>
                    </a:ln>
                  </pic:spPr>
                </pic:pic>
              </a:graphicData>
            </a:graphic>
          </wp:inline>
        </w:drawing>
      </w:r>
    </w:p>
    <w:p w:rsidR="007174F3" w:rsidRDefault="007174F3" w:rsidP="007174F3">
      <w:pPr>
        <w:rPr>
          <w:b/>
          <w:color w:val="000000"/>
          <w:szCs w:val="24"/>
        </w:rPr>
      </w:pPr>
      <w:r>
        <w:rPr>
          <w:b/>
          <w:bCs/>
          <w:color w:val="0070C0"/>
          <w:sz w:val="24"/>
          <w:szCs w:val="24"/>
          <w:highlight w:val="yellow"/>
        </w:rPr>
        <w:t>Do not select any of the other choices!</w:t>
      </w:r>
    </w:p>
    <w:p w:rsidR="007174F3" w:rsidRDefault="007174F3" w:rsidP="007174F3">
      <w:pPr>
        <w:rPr>
          <w:b/>
          <w:color w:val="000000"/>
          <w:szCs w:val="24"/>
        </w:rPr>
      </w:pPr>
    </w:p>
    <w:p w:rsidR="007174F3" w:rsidRDefault="007174F3" w:rsidP="007174F3">
      <w:pPr>
        <w:rPr>
          <w:i/>
          <w:color w:val="1F497D"/>
        </w:rPr>
      </w:pPr>
    </w:p>
    <w:p w:rsidR="00573CA6" w:rsidRDefault="007174F3" w:rsidP="00573CA6">
      <w:pPr>
        <w:rPr>
          <w:i/>
          <w:color w:val="1F497D"/>
        </w:rPr>
      </w:pPr>
      <w:r w:rsidRPr="007174F3">
        <w:rPr>
          <w:i/>
          <w:color w:val="1F497D"/>
        </w:rPr>
        <w:t xml:space="preserve">You can tell sound is coming from your line/computer if you see this:  </w:t>
      </w:r>
      <w:r w:rsidRPr="007174F3">
        <w:rPr>
          <w:i/>
          <w:noProof/>
        </w:rPr>
        <w:drawing>
          <wp:inline distT="0" distB="0" distL="0" distR="0" wp14:anchorId="7D1B0582" wp14:editId="10AF44DD">
            <wp:extent cx="201930" cy="212725"/>
            <wp:effectExtent l="0" t="0" r="7620" b="0"/>
            <wp:docPr id="24611" name="Picture 24611" descr="cid:image008.png@01D2C4DE.E0928C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08.png@01D2C4DE.E0928C10"/>
                    <pic:cNvPicPr>
                      <a:picLocks noChangeAspect="1" noChangeArrowheads="1"/>
                    </pic:cNvPicPr>
                  </pic:nvPicPr>
                  <pic:blipFill>
                    <a:blip r:embed="rId169" r:link="rId170" cstate="print">
                      <a:extLst>
                        <a:ext uri="{28A0092B-C50C-407E-A947-70E740481C1C}">
                          <a14:useLocalDpi xmlns:a14="http://schemas.microsoft.com/office/drawing/2010/main" val="0"/>
                        </a:ext>
                      </a:extLst>
                    </a:blip>
                    <a:srcRect/>
                    <a:stretch>
                      <a:fillRect/>
                    </a:stretch>
                  </pic:blipFill>
                  <pic:spPr bwMode="auto">
                    <a:xfrm>
                      <a:off x="0" y="0"/>
                      <a:ext cx="201930" cy="212725"/>
                    </a:xfrm>
                    <a:prstGeom prst="rect">
                      <a:avLst/>
                    </a:prstGeom>
                    <a:noFill/>
                    <a:ln>
                      <a:noFill/>
                    </a:ln>
                  </pic:spPr>
                </pic:pic>
              </a:graphicData>
            </a:graphic>
          </wp:inline>
        </w:drawing>
      </w:r>
    </w:p>
    <w:p w:rsidR="00573CA6" w:rsidRDefault="00573CA6" w:rsidP="00573CA6">
      <w:pPr>
        <w:rPr>
          <w:i/>
          <w:color w:val="1F497D"/>
        </w:rPr>
      </w:pPr>
    </w:p>
    <w:p w:rsidR="00573CA6" w:rsidRDefault="007174F3" w:rsidP="00573CA6">
      <w:pPr>
        <w:rPr>
          <w:i/>
          <w:color w:val="1F497D"/>
        </w:rPr>
      </w:pPr>
      <w:r w:rsidRPr="007174F3">
        <w:rPr>
          <w:i/>
          <w:color w:val="1F497D"/>
        </w:rPr>
        <w:t>If anyone did not connect as above &amp; is incorrectly having Lync call them, the presenter should be able to mute the audience &amp; you will see</w:t>
      </w:r>
      <w:r>
        <w:rPr>
          <w:i/>
          <w:color w:val="1F497D"/>
        </w:rPr>
        <w:t xml:space="preserve"> this</w:t>
      </w:r>
      <w:r w:rsidRPr="007174F3">
        <w:rPr>
          <w:i/>
          <w:color w:val="1F497D"/>
        </w:rPr>
        <w:t>:</w:t>
      </w:r>
    </w:p>
    <w:p w:rsidR="007174F3" w:rsidRDefault="007174F3" w:rsidP="00573CA6">
      <w:pPr>
        <w:rPr>
          <w:b/>
          <w:color w:val="000000"/>
          <w:szCs w:val="24"/>
        </w:rPr>
      </w:pPr>
      <w:r>
        <w:rPr>
          <w:noProof/>
        </w:rPr>
        <w:drawing>
          <wp:inline distT="0" distB="0" distL="0" distR="0" wp14:anchorId="2EF196B2" wp14:editId="052EFE4A">
            <wp:extent cx="3232150" cy="308610"/>
            <wp:effectExtent l="0" t="0" r="6350" b="0"/>
            <wp:docPr id="24612" name="Picture 24612" descr="cid:image001.png@01D2C963.EA3B5D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d:image001.png@01D2C963.EA3B5D30"/>
                    <pic:cNvPicPr>
                      <a:picLocks noChangeAspect="1" noChangeArrowheads="1"/>
                    </pic:cNvPicPr>
                  </pic:nvPicPr>
                  <pic:blipFill>
                    <a:blip r:embed="rId171" r:link="rId172" cstate="print">
                      <a:extLst>
                        <a:ext uri="{28A0092B-C50C-407E-A947-70E740481C1C}">
                          <a14:useLocalDpi xmlns:a14="http://schemas.microsoft.com/office/drawing/2010/main" val="0"/>
                        </a:ext>
                      </a:extLst>
                    </a:blip>
                    <a:srcRect/>
                    <a:stretch>
                      <a:fillRect/>
                    </a:stretch>
                  </pic:blipFill>
                  <pic:spPr bwMode="auto">
                    <a:xfrm>
                      <a:off x="0" y="0"/>
                      <a:ext cx="3232150" cy="308610"/>
                    </a:xfrm>
                    <a:prstGeom prst="rect">
                      <a:avLst/>
                    </a:prstGeom>
                    <a:noFill/>
                    <a:ln>
                      <a:noFill/>
                    </a:ln>
                  </pic:spPr>
                </pic:pic>
              </a:graphicData>
            </a:graphic>
          </wp:inline>
        </w:drawing>
      </w:r>
    </w:p>
    <w:p w:rsidR="00573CA6" w:rsidRDefault="00573CA6" w:rsidP="00573CA6">
      <w:pPr>
        <w:rPr>
          <w:b/>
          <w:color w:val="000000"/>
          <w:szCs w:val="24"/>
        </w:rPr>
      </w:pPr>
    </w:p>
    <w:p w:rsidR="007174F3" w:rsidRPr="007174F3" w:rsidRDefault="007174F3" w:rsidP="00573CA6">
      <w:pPr>
        <w:pBdr>
          <w:top w:val="single" w:sz="4" w:space="1" w:color="auto"/>
          <w:bottom w:val="single" w:sz="4" w:space="1" w:color="auto"/>
        </w:pBdr>
        <w:rPr>
          <w:b/>
          <w:color w:val="000000"/>
          <w:szCs w:val="24"/>
        </w:rPr>
      </w:pPr>
      <w:r w:rsidRPr="007174F3">
        <w:rPr>
          <w:b/>
        </w:rPr>
        <w:t>Conversation History</w:t>
      </w:r>
    </w:p>
    <w:p w:rsidR="00A55279" w:rsidRDefault="00A55279" w:rsidP="00573CA6">
      <w:pPr>
        <w:pBdr>
          <w:top w:val="single" w:sz="4" w:space="1" w:color="auto"/>
          <w:bottom w:val="single" w:sz="4" w:space="1" w:color="auto"/>
        </w:pBdr>
      </w:pPr>
      <w:r w:rsidRPr="00A55279">
        <w:t>Tools/gear icon - Personal – uncheck “Save instant message conversations in my email Conversation History folder”</w:t>
      </w:r>
    </w:p>
    <w:p w:rsidR="0057690D" w:rsidRDefault="0057690D" w:rsidP="00573CA6">
      <w:pPr>
        <w:pBdr>
          <w:top w:val="single" w:sz="4" w:space="1" w:color="auto"/>
          <w:bottom w:val="single" w:sz="4" w:space="1" w:color="auto"/>
        </w:pBdr>
      </w:pPr>
      <w:r>
        <w:rPr>
          <w:noProof/>
        </w:rPr>
        <w:drawing>
          <wp:inline distT="0" distB="0" distL="0" distR="0" wp14:anchorId="76DE0544" wp14:editId="3E7CFE3C">
            <wp:extent cx="5943600" cy="2774315"/>
            <wp:effectExtent l="0" t="0" r="0" b="6985"/>
            <wp:docPr id="24643" name="Picture 24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3"/>
                    <a:stretch>
                      <a:fillRect/>
                    </a:stretch>
                  </pic:blipFill>
                  <pic:spPr>
                    <a:xfrm>
                      <a:off x="0" y="0"/>
                      <a:ext cx="5943600" cy="2774315"/>
                    </a:xfrm>
                    <a:prstGeom prst="rect">
                      <a:avLst/>
                    </a:prstGeom>
                  </pic:spPr>
                </pic:pic>
              </a:graphicData>
            </a:graphic>
          </wp:inline>
        </w:drawing>
      </w:r>
    </w:p>
    <w:p w:rsidR="00FA67FB" w:rsidRPr="00A55279" w:rsidRDefault="00FA67FB" w:rsidP="00573CA6">
      <w:pPr>
        <w:pBdr>
          <w:top w:val="single" w:sz="4" w:space="1" w:color="auto"/>
          <w:bottom w:val="single" w:sz="4" w:space="1" w:color="auto"/>
        </w:pBdr>
      </w:pPr>
    </w:p>
    <w:p w:rsidR="00FA67FB" w:rsidRPr="00FA67FB" w:rsidRDefault="00FA67FB">
      <w:pPr>
        <w:pStyle w:val="NormalWeb"/>
        <w:widowControl w:val="0"/>
        <w:spacing w:after="0"/>
        <w:rPr>
          <w:iCs/>
          <w:sz w:val="20"/>
          <w:szCs w:val="20"/>
        </w:rPr>
      </w:pPr>
      <w:r w:rsidRPr="00FA67FB">
        <w:rPr>
          <w:b/>
          <w:iCs/>
          <w:sz w:val="20"/>
          <w:szCs w:val="20"/>
        </w:rPr>
        <w:t>Excel –</w:t>
      </w:r>
      <w:r>
        <w:rPr>
          <w:b/>
          <w:iCs/>
          <w:sz w:val="20"/>
          <w:szCs w:val="20"/>
        </w:rPr>
        <w:t xml:space="preserve"> </w:t>
      </w:r>
      <w:r w:rsidRPr="00FA67FB">
        <w:rPr>
          <w:iCs/>
          <w:sz w:val="20"/>
          <w:szCs w:val="20"/>
        </w:rPr>
        <w:t>Freeze Panes is under “View” tab</w:t>
      </w:r>
    </w:p>
    <w:p w:rsidR="00FA67FB" w:rsidRDefault="00FA67FB">
      <w:pPr>
        <w:pStyle w:val="NormalWeb"/>
        <w:widowControl w:val="0"/>
        <w:spacing w:after="0"/>
        <w:rPr>
          <w:rFonts w:ascii="Verdana" w:hAnsi="Verdana"/>
          <w:i/>
          <w:iCs/>
          <w:sz w:val="20"/>
          <w:szCs w:val="20"/>
        </w:rPr>
      </w:pPr>
    </w:p>
    <w:p w:rsidR="00A55279" w:rsidRDefault="00A55279" w:rsidP="00A55279">
      <w:pPr>
        <w:pStyle w:val="NormalWeb"/>
        <w:widowControl w:val="0"/>
        <w:pBdr>
          <w:top w:val="single" w:sz="4" w:space="1" w:color="auto"/>
        </w:pBdr>
        <w:spacing w:after="0"/>
        <w:rPr>
          <w:rFonts w:ascii="Verdana" w:hAnsi="Verdana"/>
          <w:iCs/>
          <w:sz w:val="20"/>
          <w:szCs w:val="20"/>
        </w:rPr>
      </w:pPr>
    </w:p>
    <w:p w:rsidR="00A55279" w:rsidRPr="00A55279" w:rsidRDefault="00A55279" w:rsidP="00A55279">
      <w:pPr>
        <w:spacing w:after="120"/>
        <w:rPr>
          <w:b/>
          <w:bCs/>
        </w:rPr>
      </w:pPr>
      <w:r w:rsidRPr="00A55279">
        <w:rPr>
          <w:b/>
          <w:bCs/>
        </w:rPr>
        <w:t xml:space="preserve">VBMS </w:t>
      </w:r>
      <w:r>
        <w:rPr>
          <w:b/>
          <w:bCs/>
        </w:rPr>
        <w:t>FIXES</w:t>
      </w:r>
    </w:p>
    <w:p w:rsidR="00B43AF5" w:rsidRPr="00B43AF5" w:rsidRDefault="00A55279" w:rsidP="00A55279">
      <w:pPr>
        <w:spacing w:after="120"/>
        <w:rPr>
          <w:bCs/>
          <w:i/>
        </w:rPr>
      </w:pPr>
      <w:r w:rsidRPr="00422944">
        <w:rPr>
          <w:b/>
          <w:bCs/>
        </w:rPr>
        <w:t xml:space="preserve">From Start Menu – </w:t>
      </w:r>
      <w:r w:rsidRPr="00422944">
        <w:rPr>
          <w:bCs/>
        </w:rPr>
        <w:t>Clear Browser Cache &amp; IE Clear Cache</w:t>
      </w:r>
      <w:r w:rsidR="00B43AF5">
        <w:rPr>
          <w:bCs/>
        </w:rPr>
        <w:t xml:space="preserve"> (for more info:  </w:t>
      </w:r>
      <w:hyperlink r:id="rId174" w:history="1">
        <w:r w:rsidR="00B43AF5" w:rsidRPr="00B43AF5">
          <w:rPr>
            <w:rStyle w:val="Hyperlink"/>
            <w:i/>
          </w:rPr>
          <w:t>http://vbaw.vba.va.gov/VBMS/docs/VBMS_Job_Aid_Clear_Browser_Cache_20131001.pdf</w:t>
        </w:r>
      </w:hyperlink>
      <w:r w:rsidR="00B43AF5" w:rsidRPr="00B43AF5">
        <w:rPr>
          <w:rStyle w:val="Hyperlink"/>
          <w:color w:val="auto"/>
          <w:u w:val="none"/>
        </w:rPr>
        <w:t>)</w:t>
      </w:r>
    </w:p>
    <w:p w:rsidR="00A55279" w:rsidRPr="00A31F07" w:rsidRDefault="00A55279" w:rsidP="00A55279">
      <w:pPr>
        <w:spacing w:after="120"/>
        <w:rPr>
          <w:bCs/>
          <w:sz w:val="18"/>
        </w:rPr>
      </w:pPr>
      <w:r w:rsidRPr="00422944">
        <w:rPr>
          <w:b/>
          <w:bCs/>
        </w:rPr>
        <w:t xml:space="preserve">From Start Menu – Control Panel </w:t>
      </w:r>
      <w:r w:rsidRPr="00422944">
        <w:rPr>
          <w:bCs/>
          <w:i/>
        </w:rPr>
        <w:t>(can do View by: Small Icons; or View by: Category, then under Programs)</w:t>
      </w:r>
      <w:r w:rsidRPr="00422944">
        <w:rPr>
          <w:bCs/>
        </w:rPr>
        <w:t xml:space="preserve"> </w:t>
      </w:r>
      <w:r w:rsidRPr="00422944">
        <w:rPr>
          <w:b/>
          <w:bCs/>
        </w:rPr>
        <w:t xml:space="preserve">– </w:t>
      </w:r>
      <w:r w:rsidRPr="00422944">
        <w:rPr>
          <w:bCs/>
        </w:rPr>
        <w:t>Java – General – Settings – Restore Defaults, then Delete Files (</w:t>
      </w:r>
      <w:r w:rsidR="0005558C">
        <w:rPr>
          <w:bCs/>
        </w:rPr>
        <w:t>ensure all 3 are checked</w:t>
      </w:r>
      <w:r w:rsidRPr="00422944">
        <w:rPr>
          <w:bCs/>
        </w:rPr>
        <w:t>), OK, OK</w:t>
      </w:r>
      <w:r w:rsidR="00050865">
        <w:rPr>
          <w:bCs/>
        </w:rPr>
        <w:t>, Apply, OK</w:t>
      </w:r>
      <w:r w:rsidR="0005558C">
        <w:rPr>
          <w:bCs/>
        </w:rPr>
        <w:t xml:space="preserve"> (</w:t>
      </w:r>
      <w:r w:rsidR="0005558C">
        <w:rPr>
          <w:bCs/>
          <w:i/>
        </w:rPr>
        <w:t>clear</w:t>
      </w:r>
      <w:r w:rsidR="0005558C" w:rsidRPr="0005558C">
        <w:rPr>
          <w:bCs/>
          <w:i/>
        </w:rPr>
        <w:t xml:space="preserve"> Java cache - https://yourit.va.gov/va?id=kb_article&amp;sys_id=a29cfe5ddb778b00da3330ca7c961952</w:t>
      </w:r>
      <w:r w:rsidR="0005558C">
        <w:rPr>
          <w:bCs/>
        </w:rPr>
        <w:t>)</w:t>
      </w:r>
    </w:p>
    <w:p w:rsidR="00050865" w:rsidRDefault="00050865" w:rsidP="00A55279">
      <w:pPr>
        <w:spacing w:after="120"/>
        <w:rPr>
          <w:b/>
          <w:bCs/>
        </w:rPr>
      </w:pPr>
      <w:r>
        <w:rPr>
          <w:b/>
          <w:bCs/>
        </w:rPr>
        <w:t xml:space="preserve">Close IE &amp; reopen </w:t>
      </w:r>
      <w:r w:rsidRPr="00A31F07">
        <w:rPr>
          <w:bCs/>
          <w:sz w:val="18"/>
          <w:highlight w:val="cyan"/>
        </w:rPr>
        <w:t>[</w:t>
      </w:r>
      <w:r>
        <w:rPr>
          <w:bCs/>
          <w:sz w:val="18"/>
          <w:highlight w:val="cyan"/>
        </w:rPr>
        <w:t>#1 step for adobe memory issue</w:t>
      </w:r>
      <w:r w:rsidRPr="00A31F07">
        <w:rPr>
          <w:bCs/>
          <w:sz w:val="18"/>
          <w:highlight w:val="cyan"/>
        </w:rPr>
        <w:t>]</w:t>
      </w:r>
    </w:p>
    <w:p w:rsidR="00A55279" w:rsidRPr="00422944" w:rsidRDefault="00A55279" w:rsidP="00A55279">
      <w:pPr>
        <w:spacing w:after="120"/>
        <w:rPr>
          <w:b/>
          <w:bCs/>
        </w:rPr>
      </w:pPr>
      <w:r w:rsidRPr="00422944">
        <w:rPr>
          <w:b/>
          <w:bCs/>
        </w:rPr>
        <w:t>In IE</w:t>
      </w:r>
      <w:r w:rsidR="00460A20">
        <w:rPr>
          <w:b/>
          <w:bCs/>
        </w:rPr>
        <w:t xml:space="preserve"> </w:t>
      </w:r>
      <w:r w:rsidR="00460A20" w:rsidRPr="00460A20">
        <w:rPr>
          <w:bCs/>
        </w:rPr>
        <w:t>(with only one tab/window open)</w:t>
      </w:r>
      <w:r w:rsidRPr="00422944">
        <w:rPr>
          <w:b/>
          <w:bCs/>
        </w:rPr>
        <w:t xml:space="preserve"> –</w:t>
      </w:r>
    </w:p>
    <w:p w:rsidR="00050865" w:rsidRPr="00422944" w:rsidRDefault="0017232B" w:rsidP="00050865">
      <w:pPr>
        <w:spacing w:after="120"/>
        <w:ind w:left="360"/>
        <w:rPr>
          <w:bCs/>
        </w:rPr>
      </w:pPr>
      <w:r w:rsidRPr="00422944">
        <w:rPr>
          <w:bCs/>
        </w:rPr>
        <w:t xml:space="preserve">Tools Icon or Tools from Menu – </w:t>
      </w:r>
      <w:r w:rsidR="00A55279" w:rsidRPr="00422944">
        <w:rPr>
          <w:bCs/>
        </w:rPr>
        <w:t xml:space="preserve">Internet Options – General tab – Browsing History  - Delete – </w:t>
      </w:r>
      <w:r w:rsidR="00A55279" w:rsidRPr="00E52B68">
        <w:rPr>
          <w:bCs/>
          <w:highlight w:val="darkGray"/>
          <w:u w:val="single"/>
        </w:rPr>
        <w:t>uncheck</w:t>
      </w:r>
      <w:r w:rsidR="00A55279" w:rsidRPr="00E52B68">
        <w:rPr>
          <w:bCs/>
          <w:highlight w:val="darkGray"/>
        </w:rPr>
        <w:t xml:space="preserve"> “Preserve Favorites website data” &amp; </w:t>
      </w:r>
      <w:r w:rsidR="00A55279" w:rsidRPr="00E52B68">
        <w:rPr>
          <w:bCs/>
          <w:highlight w:val="darkGray"/>
          <w:u w:val="single"/>
        </w:rPr>
        <w:t>check</w:t>
      </w:r>
      <w:r w:rsidR="00A55279" w:rsidRPr="00E52B68">
        <w:rPr>
          <w:bCs/>
          <w:highlight w:val="darkGray"/>
        </w:rPr>
        <w:t xml:space="preserve"> “Temporary Internet Files” and “Cookies” (this clears cache &amp; cookies; another direction says to check everything </w:t>
      </w:r>
      <w:r w:rsidR="00A55279" w:rsidRPr="00E52B68">
        <w:rPr>
          <w:bCs/>
          <w:highlight w:val="darkGray"/>
          <w:u w:val="single"/>
        </w:rPr>
        <w:t>but</w:t>
      </w:r>
      <w:r w:rsidR="00A55279" w:rsidRPr="00E52B68">
        <w:rPr>
          <w:bCs/>
          <w:highlight w:val="darkGray"/>
        </w:rPr>
        <w:t xml:space="preserve"> “Preserve Favorites website data”</w:t>
      </w:r>
      <w:r w:rsidR="00C17B52">
        <w:rPr>
          <w:bCs/>
        </w:rPr>
        <w:t>)</w:t>
      </w:r>
      <w:r w:rsidR="00A55279" w:rsidRPr="00422944">
        <w:rPr>
          <w:bCs/>
        </w:rPr>
        <w:t>– Delete</w:t>
      </w:r>
      <w:r w:rsidR="0050443D">
        <w:rPr>
          <w:bCs/>
        </w:rPr>
        <w:t xml:space="preserve"> – Apply </w:t>
      </w:r>
      <w:r w:rsidR="00050865">
        <w:rPr>
          <w:bCs/>
        </w:rPr>
        <w:t>–</w:t>
      </w:r>
      <w:r w:rsidR="0050443D">
        <w:rPr>
          <w:bCs/>
        </w:rPr>
        <w:t xml:space="preserve"> OK</w:t>
      </w:r>
      <w:r w:rsidR="00050865">
        <w:rPr>
          <w:bCs/>
        </w:rPr>
        <w:t xml:space="preserve"> </w:t>
      </w:r>
      <w:r w:rsidR="00050865" w:rsidRPr="00A31F07">
        <w:rPr>
          <w:bCs/>
          <w:sz w:val="18"/>
          <w:highlight w:val="cyan"/>
        </w:rPr>
        <w:t>[</w:t>
      </w:r>
      <w:r w:rsidR="00050865">
        <w:rPr>
          <w:bCs/>
          <w:sz w:val="18"/>
          <w:highlight w:val="cyan"/>
        </w:rPr>
        <w:t xml:space="preserve">#2 step for adobe memory issue (did not say anything about what to </w:t>
      </w:r>
      <w:r w:rsidR="00050865" w:rsidRPr="00C17B52">
        <w:rPr>
          <w:bCs/>
          <w:sz w:val="18"/>
          <w:szCs w:val="18"/>
          <w:highlight w:val="cyan"/>
        </w:rPr>
        <w:t>check</w:t>
      </w:r>
      <w:r w:rsidR="00C17B52" w:rsidRPr="00C17B52">
        <w:rPr>
          <w:bCs/>
          <w:sz w:val="18"/>
          <w:szCs w:val="18"/>
          <w:highlight w:val="cyan"/>
        </w:rPr>
        <w:t xml:space="preserve">, probably can check everything </w:t>
      </w:r>
      <w:r w:rsidR="00C17B52" w:rsidRPr="00C17B52">
        <w:rPr>
          <w:bCs/>
          <w:sz w:val="18"/>
          <w:szCs w:val="18"/>
          <w:highlight w:val="cyan"/>
          <w:u w:val="single"/>
        </w:rPr>
        <w:t>but</w:t>
      </w:r>
      <w:r w:rsidR="00C17B52" w:rsidRPr="00C17B52">
        <w:rPr>
          <w:bCs/>
          <w:sz w:val="18"/>
          <w:szCs w:val="18"/>
          <w:highlight w:val="cyan"/>
        </w:rPr>
        <w:t xml:space="preserve"> “Preserve Favorites website data” &amp; “Tracking Protection, AxtiveX Filtering and Do Not Track”)</w:t>
      </w:r>
      <w:r w:rsidR="00050865" w:rsidRPr="00C17B52">
        <w:rPr>
          <w:bCs/>
          <w:sz w:val="18"/>
          <w:szCs w:val="18"/>
          <w:highlight w:val="cyan"/>
        </w:rPr>
        <w:t>)]</w:t>
      </w:r>
    </w:p>
    <w:p w:rsidR="00A55279" w:rsidRPr="00422944" w:rsidRDefault="00A55279" w:rsidP="00050865">
      <w:pPr>
        <w:spacing w:after="120"/>
        <w:ind w:left="360"/>
        <w:rPr>
          <w:bCs/>
        </w:rPr>
      </w:pPr>
      <w:r w:rsidRPr="00422944">
        <w:rPr>
          <w:bCs/>
        </w:rPr>
        <w:t>Tools Icon or Tools from Menu – Internet Options – Advanced tab – Reset</w:t>
      </w:r>
      <w:r w:rsidR="0050443D">
        <w:rPr>
          <w:bCs/>
        </w:rPr>
        <w:t xml:space="preserve"> </w:t>
      </w:r>
      <w:r w:rsidR="00050865">
        <w:rPr>
          <w:bCs/>
        </w:rPr>
        <w:t xml:space="preserve">– </w:t>
      </w:r>
      <w:r w:rsidR="007C0DF1" w:rsidRPr="007C0DF1">
        <w:rPr>
          <w:bCs/>
        </w:rPr>
        <w:t>Reset</w:t>
      </w:r>
      <w:r w:rsidR="007C0DF1">
        <w:rPr>
          <w:bCs/>
        </w:rPr>
        <w:t xml:space="preserve"> - Close</w:t>
      </w:r>
      <w:r w:rsidR="00C17B52">
        <w:rPr>
          <w:bCs/>
        </w:rPr>
        <w:t xml:space="preserve"> (it </w:t>
      </w:r>
      <w:r w:rsidR="000039FA">
        <w:rPr>
          <w:bCs/>
        </w:rPr>
        <w:t>might</w:t>
      </w:r>
      <w:r w:rsidR="00C17B52">
        <w:rPr>
          <w:bCs/>
        </w:rPr>
        <w:t xml:space="preserve"> close automatically)</w:t>
      </w:r>
      <w:r w:rsidR="00050865">
        <w:rPr>
          <w:bCs/>
        </w:rPr>
        <w:t xml:space="preserve"> </w:t>
      </w:r>
      <w:r w:rsidR="00050865" w:rsidRPr="007C0DF1">
        <w:rPr>
          <w:bCs/>
        </w:rPr>
        <w:t xml:space="preserve">– </w:t>
      </w:r>
      <w:r w:rsidRPr="007C0DF1">
        <w:rPr>
          <w:bCs/>
        </w:rPr>
        <w:t>then</w:t>
      </w:r>
      <w:r w:rsidR="00050865" w:rsidRPr="007C0DF1">
        <w:rPr>
          <w:bCs/>
        </w:rPr>
        <w:t xml:space="preserve"> go in again &amp;</w:t>
      </w:r>
      <w:r>
        <w:rPr>
          <w:bCs/>
        </w:rPr>
        <w:t xml:space="preserve"> </w:t>
      </w:r>
      <w:r w:rsidRPr="00422944">
        <w:rPr>
          <w:bCs/>
        </w:rPr>
        <w:t xml:space="preserve">Restore advanced settings – Apply – OK </w:t>
      </w:r>
      <w:r w:rsidR="002961C1">
        <w:rPr>
          <w:bCs/>
        </w:rPr>
        <w:t xml:space="preserve">– OK </w:t>
      </w:r>
      <w:r w:rsidRPr="00422944">
        <w:rPr>
          <w:bCs/>
        </w:rPr>
        <w:t>– Close IE</w:t>
      </w:r>
      <w:r w:rsidR="0050443D">
        <w:rPr>
          <w:bCs/>
        </w:rPr>
        <w:t xml:space="preserve"> </w:t>
      </w:r>
      <w:r w:rsidR="00050865" w:rsidRPr="00A31F07">
        <w:rPr>
          <w:bCs/>
          <w:sz w:val="18"/>
          <w:highlight w:val="cyan"/>
        </w:rPr>
        <w:t>[</w:t>
      </w:r>
      <w:r w:rsidR="00050865">
        <w:rPr>
          <w:bCs/>
          <w:sz w:val="18"/>
          <w:highlight w:val="cyan"/>
        </w:rPr>
        <w:t>#3 step for adobe memory issue</w:t>
      </w:r>
      <w:r w:rsidR="00050865" w:rsidRPr="00A31F07">
        <w:rPr>
          <w:bCs/>
          <w:sz w:val="18"/>
          <w:highlight w:val="cyan"/>
        </w:rPr>
        <w:t>]</w:t>
      </w:r>
    </w:p>
    <w:p w:rsidR="00A55279" w:rsidRDefault="00A55279" w:rsidP="00A55279">
      <w:pPr>
        <w:spacing w:after="120"/>
        <w:rPr>
          <w:bCs/>
          <w:sz w:val="18"/>
        </w:rPr>
      </w:pPr>
      <w:r w:rsidRPr="00422944">
        <w:rPr>
          <w:b/>
          <w:bCs/>
        </w:rPr>
        <w:lastRenderedPageBreak/>
        <w:t xml:space="preserve">From Start Menu – </w:t>
      </w:r>
      <w:r w:rsidRPr="00422944">
        <w:t xml:space="preserve">type in </w:t>
      </w:r>
      <w:r w:rsidRPr="00422944">
        <w:rPr>
          <w:b/>
        </w:rPr>
        <w:t>CMD -</w:t>
      </w:r>
      <w:r w:rsidRPr="00422944">
        <w:t xml:space="preserve"> a black window will open - type </w:t>
      </w:r>
      <w:r w:rsidRPr="00422944">
        <w:rPr>
          <w:b/>
        </w:rPr>
        <w:t>gpupdate /force</w:t>
      </w:r>
      <w:r w:rsidRPr="00422944">
        <w:t xml:space="preserve"> - wait to receive the message “Computer Po</w:t>
      </w:r>
      <w:r w:rsidR="007C0DF1">
        <w:t>licy has completed successfully.</w:t>
      </w:r>
      <w:r w:rsidRPr="00422944">
        <w:t>”</w:t>
      </w:r>
      <w:r w:rsidR="007C0DF1">
        <w:t xml:space="preserve"> then X out</w:t>
      </w:r>
      <w:r w:rsidR="00050865">
        <w:t xml:space="preserve"> </w:t>
      </w:r>
      <w:r w:rsidR="00050865" w:rsidRPr="00A31F07">
        <w:rPr>
          <w:bCs/>
          <w:sz w:val="18"/>
          <w:highlight w:val="cyan"/>
        </w:rPr>
        <w:t>[</w:t>
      </w:r>
      <w:r w:rsidR="00050865">
        <w:rPr>
          <w:bCs/>
          <w:sz w:val="18"/>
          <w:highlight w:val="cyan"/>
        </w:rPr>
        <w:t>#4 step for adobe memory issue</w:t>
      </w:r>
      <w:r w:rsidR="00050865" w:rsidRPr="00A31F07">
        <w:rPr>
          <w:bCs/>
          <w:sz w:val="18"/>
          <w:highlight w:val="cyan"/>
        </w:rPr>
        <w:t>]</w:t>
      </w:r>
    </w:p>
    <w:p w:rsidR="00050865" w:rsidRPr="00422944" w:rsidRDefault="00050865" w:rsidP="00050865">
      <w:pPr>
        <w:spacing w:after="120"/>
        <w:rPr>
          <w:b/>
          <w:bCs/>
        </w:rPr>
      </w:pPr>
      <w:r w:rsidRPr="00422944">
        <w:rPr>
          <w:b/>
          <w:bCs/>
        </w:rPr>
        <w:t xml:space="preserve">In IE </w:t>
      </w:r>
      <w:r w:rsidR="00460A20" w:rsidRPr="00460A20">
        <w:rPr>
          <w:bCs/>
        </w:rPr>
        <w:t>(with only one tab/window open)</w:t>
      </w:r>
      <w:r w:rsidR="00460A20" w:rsidRPr="00422944">
        <w:rPr>
          <w:b/>
          <w:bCs/>
        </w:rPr>
        <w:t xml:space="preserve"> </w:t>
      </w:r>
      <w:r w:rsidRPr="00422944">
        <w:rPr>
          <w:b/>
          <w:bCs/>
        </w:rPr>
        <w:t>–</w:t>
      </w:r>
    </w:p>
    <w:p w:rsidR="00050865" w:rsidRPr="00423D4F" w:rsidRDefault="007C0DF1" w:rsidP="00050865">
      <w:pPr>
        <w:spacing w:after="120"/>
        <w:ind w:left="360"/>
        <w:rPr>
          <w:i/>
          <w:iCs/>
          <w:color w:val="00B0F0"/>
        </w:rPr>
      </w:pPr>
      <w:r w:rsidRPr="00422944">
        <w:rPr>
          <w:bCs/>
        </w:rPr>
        <w:t xml:space="preserve">Tools Icon or </w:t>
      </w:r>
      <w:r w:rsidR="00050865" w:rsidRPr="00422944">
        <w:rPr>
          <w:bCs/>
        </w:rPr>
        <w:t>Tools from Menu – Compatibility View Settings – make sure all 3</w:t>
      </w:r>
      <w:r w:rsidR="0048384F">
        <w:rPr>
          <w:bCs/>
        </w:rPr>
        <w:t xml:space="preserve"> (at some point just 2)</w:t>
      </w:r>
      <w:r w:rsidR="00050865" w:rsidRPr="00422944">
        <w:rPr>
          <w:bCs/>
        </w:rPr>
        <w:t xml:space="preserve"> boxes are </w:t>
      </w:r>
      <w:r w:rsidR="00050865" w:rsidRPr="00422944">
        <w:rPr>
          <w:bCs/>
          <w:u w:val="single"/>
        </w:rPr>
        <w:t>unchecked</w:t>
      </w:r>
      <w:r w:rsidR="00050865" w:rsidRPr="00422944">
        <w:rPr>
          <w:bCs/>
        </w:rPr>
        <w:t xml:space="preserve"> (especially important is “</w:t>
      </w:r>
      <w:r w:rsidR="00050865" w:rsidRPr="00422944">
        <w:rPr>
          <w:b/>
        </w:rPr>
        <w:t>Display intranet sites in compatibility view</w:t>
      </w:r>
      <w:r w:rsidR="00050865" w:rsidRPr="00422944">
        <w:rPr>
          <w:bCs/>
        </w:rPr>
        <w:t>”) &amp; ensure va.gov is not in the box “Websites you’ve added to Compatibility View”</w:t>
      </w:r>
      <w:r w:rsidR="00050865">
        <w:rPr>
          <w:bCs/>
        </w:rPr>
        <w:t xml:space="preserve"> </w:t>
      </w:r>
      <w:r w:rsidR="00050865" w:rsidRPr="00423D4F">
        <w:rPr>
          <w:i/>
          <w:iCs/>
          <w:color w:val="00B0F0"/>
        </w:rPr>
        <w:t xml:space="preserve">If cannot find </w:t>
      </w:r>
      <w:r w:rsidR="00050865" w:rsidRPr="00423D4F">
        <w:rPr>
          <w:b/>
          <w:bCs/>
          <w:i/>
          <w:iCs/>
          <w:color w:val="00B0F0"/>
        </w:rPr>
        <w:t>Tools – Compatibility View Settings</w:t>
      </w:r>
      <w:r w:rsidR="00050865" w:rsidRPr="00423D4F">
        <w:rPr>
          <w:i/>
          <w:iCs/>
          <w:color w:val="00B0F0"/>
        </w:rPr>
        <w:t>, ensure that the Menu bar is showing (right-click on top of browser bar &amp; put a check next to Menu bar)</w:t>
      </w:r>
      <w:r w:rsidR="00050865">
        <w:rPr>
          <w:i/>
          <w:iCs/>
          <w:color w:val="00B0F0"/>
        </w:rPr>
        <w:t xml:space="preserve"> </w:t>
      </w:r>
      <w:r w:rsidR="00050865" w:rsidRPr="00A31F07">
        <w:rPr>
          <w:bCs/>
          <w:sz w:val="18"/>
          <w:highlight w:val="cyan"/>
        </w:rPr>
        <w:t>[</w:t>
      </w:r>
      <w:r w:rsidR="00050865">
        <w:rPr>
          <w:bCs/>
          <w:sz w:val="18"/>
          <w:highlight w:val="cyan"/>
        </w:rPr>
        <w:t>#5 step for</w:t>
      </w:r>
      <w:r w:rsidR="00A22333">
        <w:rPr>
          <w:bCs/>
          <w:sz w:val="18"/>
          <w:highlight w:val="cyan"/>
        </w:rPr>
        <w:t xml:space="preserve"> adobe memory issue</w:t>
      </w:r>
      <w:r w:rsidR="00050865" w:rsidRPr="00A31F07">
        <w:rPr>
          <w:bCs/>
          <w:sz w:val="18"/>
          <w:highlight w:val="cyan"/>
        </w:rPr>
        <w:t>]</w:t>
      </w:r>
    </w:p>
    <w:p w:rsidR="00A55279" w:rsidRPr="00422944" w:rsidRDefault="00423D4F" w:rsidP="00A55279">
      <w:pPr>
        <w:spacing w:after="120"/>
        <w:rPr>
          <w:bCs/>
        </w:rPr>
      </w:pPr>
      <w:r>
        <w:rPr>
          <w:b/>
          <w:bCs/>
        </w:rPr>
        <w:t>***</w:t>
      </w:r>
      <w:r w:rsidR="00050865">
        <w:rPr>
          <w:b/>
          <w:bCs/>
        </w:rPr>
        <w:t xml:space="preserve">Might need to do this again:  </w:t>
      </w:r>
      <w:r w:rsidR="00A55279" w:rsidRPr="00422944">
        <w:rPr>
          <w:b/>
          <w:bCs/>
        </w:rPr>
        <w:t xml:space="preserve">From Start Menu – </w:t>
      </w:r>
      <w:r w:rsidR="00A55279" w:rsidRPr="00422944">
        <w:rPr>
          <w:bCs/>
        </w:rPr>
        <w:t>Clear Browser Cache &amp; IE Clear Cache</w:t>
      </w:r>
    </w:p>
    <w:p w:rsidR="00A55279" w:rsidRPr="00423D4F" w:rsidRDefault="00A55279" w:rsidP="00A55279">
      <w:pPr>
        <w:spacing w:after="120"/>
        <w:rPr>
          <w:i/>
          <w:iCs/>
          <w:color w:val="00B0F0"/>
        </w:rPr>
      </w:pPr>
      <w:r w:rsidRPr="00423D4F">
        <w:rPr>
          <w:i/>
          <w:iCs/>
          <w:color w:val="00B0F0"/>
        </w:rPr>
        <w:t>*Might have to right-click on top of browser bar &amp; choose “Show tabs on a separate row”</w:t>
      </w:r>
    </w:p>
    <w:p w:rsidR="00A55279" w:rsidRPr="00E52B68" w:rsidRDefault="00A55279" w:rsidP="00A55279">
      <w:pPr>
        <w:pBdr>
          <w:top w:val="dotted" w:sz="4" w:space="1" w:color="auto"/>
        </w:pBdr>
        <w:shd w:val="clear" w:color="auto" w:fill="FFFFFF"/>
        <w:spacing w:after="120"/>
        <w:rPr>
          <w:szCs w:val="24"/>
          <w:highlight w:val="darkGray"/>
        </w:rPr>
      </w:pPr>
      <w:r w:rsidRPr="00E52B68">
        <w:rPr>
          <w:szCs w:val="24"/>
          <w:highlight w:val="darkGray"/>
        </w:rPr>
        <w:t xml:space="preserve">If still having trouble with </w:t>
      </w:r>
      <w:r w:rsidRPr="00E52B68">
        <w:rPr>
          <w:szCs w:val="24"/>
          <w:highlight w:val="darkGray"/>
          <w:u w:val="single"/>
        </w:rPr>
        <w:t>VVA Tab</w:t>
      </w:r>
      <w:r w:rsidRPr="00E52B68">
        <w:rPr>
          <w:szCs w:val="24"/>
          <w:highlight w:val="darkGray"/>
        </w:rPr>
        <w:t xml:space="preserve"> after the above...</w:t>
      </w:r>
    </w:p>
    <w:p w:rsidR="00A55279" w:rsidRPr="00422944" w:rsidRDefault="00A55279" w:rsidP="00A55279">
      <w:pPr>
        <w:spacing w:after="120"/>
        <w:rPr>
          <w:bCs/>
        </w:rPr>
      </w:pPr>
      <w:r w:rsidRPr="00E52B68">
        <w:rPr>
          <w:b/>
          <w:bCs/>
          <w:highlight w:val="darkGray"/>
        </w:rPr>
        <w:t xml:space="preserve">From Start Menu – Control Panel </w:t>
      </w:r>
      <w:r w:rsidRPr="00E52B68">
        <w:rPr>
          <w:bCs/>
          <w:i/>
          <w:highlight w:val="darkGray"/>
        </w:rPr>
        <w:t>(can do View by: Small Icons; or View by: Category, then under Programs)</w:t>
      </w:r>
      <w:r w:rsidRPr="00E52B68">
        <w:rPr>
          <w:bCs/>
          <w:highlight w:val="darkGray"/>
        </w:rPr>
        <w:t xml:space="preserve"> </w:t>
      </w:r>
      <w:r w:rsidRPr="00E52B68">
        <w:rPr>
          <w:b/>
          <w:bCs/>
          <w:highlight w:val="darkGray"/>
        </w:rPr>
        <w:t xml:space="preserve">– </w:t>
      </w:r>
      <w:r w:rsidRPr="00E52B68">
        <w:rPr>
          <w:bCs/>
          <w:highlight w:val="darkGray"/>
        </w:rPr>
        <w:t>Java – Security tab – Certificates – select “Daeja Image Systems Ltd” – Remove – OK – Close – OK</w:t>
      </w:r>
    </w:p>
    <w:p w:rsidR="00A55279" w:rsidRPr="00422944" w:rsidRDefault="00A55279" w:rsidP="00552B25">
      <w:pPr>
        <w:shd w:val="clear" w:color="auto" w:fill="FFFFFF"/>
        <w:spacing w:after="120"/>
        <w:rPr>
          <w:szCs w:val="24"/>
        </w:rPr>
      </w:pPr>
      <w:r w:rsidRPr="00422944">
        <w:rPr>
          <w:szCs w:val="24"/>
        </w:rPr>
        <w:t>If still having trouble, reboot.</w:t>
      </w:r>
    </w:p>
    <w:p w:rsidR="00FA3C6F" w:rsidRPr="0048384F" w:rsidRDefault="00A55279" w:rsidP="006356B9">
      <w:pPr>
        <w:shd w:val="clear" w:color="auto" w:fill="FFFFFF"/>
        <w:spacing w:after="120"/>
        <w:rPr>
          <w:szCs w:val="24"/>
          <w:highlight w:val="darkGray"/>
        </w:rPr>
      </w:pPr>
      <w:r w:rsidRPr="00422944">
        <w:rPr>
          <w:szCs w:val="24"/>
        </w:rPr>
        <w:t xml:space="preserve">If </w:t>
      </w:r>
      <w:r w:rsidR="009B4523">
        <w:rPr>
          <w:szCs w:val="24"/>
        </w:rPr>
        <w:t>still having trouble, call NSD.</w:t>
      </w:r>
    </w:p>
    <w:p w:rsidR="00552B25" w:rsidRDefault="00552B25" w:rsidP="00552B25">
      <w:pPr>
        <w:overflowPunct/>
        <w:autoSpaceDE/>
        <w:autoSpaceDN/>
        <w:adjustRightInd/>
        <w:textAlignment w:val="auto"/>
        <w:rPr>
          <w:b/>
          <w:bCs/>
          <w:i/>
          <w:iCs/>
          <w:sz w:val="22"/>
        </w:rPr>
      </w:pPr>
    </w:p>
    <w:p w:rsidR="00552B25" w:rsidRDefault="00552B25" w:rsidP="00552B25">
      <w:pPr>
        <w:widowControl w:val="0"/>
        <w:pBdr>
          <w:top w:val="double" w:sz="4" w:space="1" w:color="auto"/>
        </w:pBdr>
        <w:rPr>
          <w:b/>
          <w:bCs/>
          <w:i/>
          <w:iCs/>
          <w:sz w:val="22"/>
        </w:rPr>
      </w:pPr>
    </w:p>
    <w:p w:rsidR="00552B25" w:rsidRPr="006356B9" w:rsidRDefault="00552B25" w:rsidP="00552B25">
      <w:pPr>
        <w:shd w:val="clear" w:color="auto" w:fill="FFFFFF"/>
        <w:spacing w:after="120"/>
        <w:rPr>
          <w:i/>
          <w:szCs w:val="24"/>
          <w:highlight w:val="darkGray"/>
        </w:rPr>
      </w:pPr>
      <w:r w:rsidRPr="006356B9">
        <w:rPr>
          <w:i/>
          <w:szCs w:val="24"/>
          <w:highlight w:val="darkGray"/>
        </w:rPr>
        <w:t>Possible solutions for “Insufficient Data for an Image</w:t>
      </w:r>
      <w:r w:rsidR="005C49A1" w:rsidRPr="006356B9">
        <w:rPr>
          <w:i/>
          <w:szCs w:val="24"/>
          <w:highlight w:val="darkGray"/>
        </w:rPr>
        <w:t>”</w:t>
      </w:r>
      <w:r w:rsidRPr="006356B9">
        <w:rPr>
          <w:i/>
          <w:szCs w:val="24"/>
          <w:highlight w:val="darkGray"/>
        </w:rPr>
        <w:t xml:space="preserve"> issue</w:t>
      </w:r>
      <w:r w:rsidR="005C49A1" w:rsidRPr="006356B9">
        <w:rPr>
          <w:i/>
          <w:szCs w:val="24"/>
          <w:highlight w:val="darkGray"/>
        </w:rPr>
        <w:t>, per VA Pulse https://www.vapulse.net/thread/36527</w:t>
      </w:r>
      <w:r w:rsidRPr="006356B9">
        <w:rPr>
          <w:i/>
          <w:szCs w:val="24"/>
          <w:highlight w:val="darkGray"/>
        </w:rPr>
        <w:t>:</w:t>
      </w:r>
    </w:p>
    <w:p w:rsidR="00552B25" w:rsidRPr="006356B9" w:rsidRDefault="00552B25" w:rsidP="00552B25">
      <w:pPr>
        <w:shd w:val="clear" w:color="auto" w:fill="FFFFFF"/>
        <w:spacing w:after="120"/>
        <w:rPr>
          <w:szCs w:val="24"/>
          <w:highlight w:val="darkGray"/>
        </w:rPr>
      </w:pPr>
      <w:r w:rsidRPr="006356B9">
        <w:rPr>
          <w:szCs w:val="24"/>
          <w:highlight w:val="darkGray"/>
        </w:rPr>
        <w:t>Zoom out until you can see the contents of the document.</w:t>
      </w:r>
    </w:p>
    <w:p w:rsidR="00552B25" w:rsidRPr="006356B9" w:rsidRDefault="00552B25" w:rsidP="00552B25">
      <w:pPr>
        <w:shd w:val="clear" w:color="auto" w:fill="FFFFFF"/>
        <w:spacing w:after="120"/>
        <w:rPr>
          <w:szCs w:val="24"/>
          <w:highlight w:val="darkGray"/>
        </w:rPr>
      </w:pPr>
      <w:r w:rsidRPr="006356B9">
        <w:rPr>
          <w:szCs w:val="24"/>
          <w:highlight w:val="darkGray"/>
        </w:rPr>
        <w:t>OR</w:t>
      </w:r>
    </w:p>
    <w:p w:rsidR="00552B25" w:rsidRPr="006356B9" w:rsidRDefault="00552B25" w:rsidP="00552B25">
      <w:pPr>
        <w:shd w:val="clear" w:color="auto" w:fill="FFFFFF"/>
        <w:spacing w:after="120"/>
        <w:rPr>
          <w:szCs w:val="24"/>
          <w:highlight w:val="darkGray"/>
        </w:rPr>
      </w:pPr>
      <w:r w:rsidRPr="006356B9">
        <w:rPr>
          <w:szCs w:val="24"/>
          <w:highlight w:val="darkGray"/>
        </w:rPr>
        <w:t>Open an Adobe document, click on “Edit</w:t>
      </w:r>
      <w:r w:rsidR="001946CC" w:rsidRPr="006356B9">
        <w:rPr>
          <w:szCs w:val="24"/>
          <w:highlight w:val="darkGray"/>
        </w:rPr>
        <w:t>,”</w:t>
      </w:r>
      <w:r w:rsidRPr="006356B9">
        <w:rPr>
          <w:szCs w:val="24"/>
          <w:highlight w:val="darkGray"/>
        </w:rPr>
        <w:t xml:space="preserve"> then “Preferences</w:t>
      </w:r>
      <w:r w:rsidR="001946CC" w:rsidRPr="006356B9">
        <w:rPr>
          <w:szCs w:val="24"/>
          <w:highlight w:val="darkGray"/>
        </w:rPr>
        <w:t>,”</w:t>
      </w:r>
      <w:r w:rsidRPr="006356B9">
        <w:rPr>
          <w:szCs w:val="24"/>
          <w:highlight w:val="darkGray"/>
        </w:rPr>
        <w:t xml:space="preserve"> then “Page Display</w:t>
      </w:r>
      <w:r w:rsidR="001946CC" w:rsidRPr="006356B9">
        <w:rPr>
          <w:szCs w:val="24"/>
          <w:highlight w:val="darkGray"/>
        </w:rPr>
        <w:t>,”</w:t>
      </w:r>
      <w:r w:rsidRPr="006356B9">
        <w:rPr>
          <w:szCs w:val="24"/>
          <w:highlight w:val="darkGray"/>
        </w:rPr>
        <w:t xml:space="preserve"> then “Zoom</w:t>
      </w:r>
      <w:r w:rsidR="001946CC" w:rsidRPr="006356B9">
        <w:rPr>
          <w:szCs w:val="24"/>
          <w:highlight w:val="darkGray"/>
        </w:rPr>
        <w:t>,”</w:t>
      </w:r>
      <w:r w:rsidRPr="006356B9">
        <w:rPr>
          <w:szCs w:val="24"/>
          <w:highlight w:val="darkGray"/>
        </w:rPr>
        <w:t xml:space="preserve"> then “Fit Page</w:t>
      </w:r>
      <w:r w:rsidR="001946CC" w:rsidRPr="006356B9">
        <w:rPr>
          <w:szCs w:val="24"/>
          <w:highlight w:val="darkGray"/>
        </w:rPr>
        <w:t>,”</w:t>
      </w:r>
      <w:r w:rsidRPr="006356B9">
        <w:rPr>
          <w:szCs w:val="24"/>
          <w:highlight w:val="darkGray"/>
        </w:rPr>
        <w:t xml:space="preserve"> then click OK in the bottom right corner.</w:t>
      </w:r>
    </w:p>
    <w:p w:rsidR="00552B25" w:rsidRPr="006356B9" w:rsidRDefault="00552B25" w:rsidP="00552B25">
      <w:pPr>
        <w:shd w:val="clear" w:color="auto" w:fill="FFFFFF"/>
        <w:spacing w:after="120"/>
        <w:rPr>
          <w:szCs w:val="24"/>
          <w:highlight w:val="darkGray"/>
        </w:rPr>
      </w:pPr>
      <w:r w:rsidRPr="006356B9">
        <w:rPr>
          <w:szCs w:val="24"/>
          <w:highlight w:val="darkGray"/>
        </w:rPr>
        <w:t>OR</w:t>
      </w:r>
    </w:p>
    <w:p w:rsidR="00552B25" w:rsidRDefault="00552B25" w:rsidP="00552B25">
      <w:pPr>
        <w:shd w:val="clear" w:color="auto" w:fill="FFFFFF"/>
        <w:spacing w:after="120"/>
        <w:rPr>
          <w:szCs w:val="24"/>
        </w:rPr>
      </w:pPr>
      <w:r w:rsidRPr="006356B9">
        <w:rPr>
          <w:szCs w:val="24"/>
          <w:highlight w:val="darkGray"/>
        </w:rPr>
        <w:t xml:space="preserve">CTL-ALT-DELETE, then </w:t>
      </w:r>
      <w:r w:rsidR="005C49A1" w:rsidRPr="006356B9">
        <w:rPr>
          <w:szCs w:val="24"/>
          <w:highlight w:val="darkGray"/>
        </w:rPr>
        <w:t>“Start Task Manager</w:t>
      </w:r>
      <w:r w:rsidR="001946CC" w:rsidRPr="006356B9">
        <w:rPr>
          <w:szCs w:val="24"/>
          <w:highlight w:val="darkGray"/>
        </w:rPr>
        <w:t>,”</w:t>
      </w:r>
      <w:r w:rsidR="005C49A1" w:rsidRPr="006356B9">
        <w:rPr>
          <w:szCs w:val="24"/>
          <w:highlight w:val="darkGray"/>
        </w:rPr>
        <w:t xml:space="preserve"> click on “Processes” tab, find anything using a lot of memory, click on it &amp; do “End Process”</w:t>
      </w:r>
    </w:p>
    <w:p w:rsidR="006356B9" w:rsidRDefault="006356B9" w:rsidP="006356B9">
      <w:pPr>
        <w:shd w:val="clear" w:color="auto" w:fill="FFFFFF"/>
        <w:rPr>
          <w:i/>
        </w:rPr>
      </w:pPr>
    </w:p>
    <w:p w:rsidR="006356B9" w:rsidRDefault="006356B9" w:rsidP="006356B9">
      <w:pPr>
        <w:shd w:val="clear" w:color="auto" w:fill="FFFFFF"/>
        <w:rPr>
          <w:i/>
        </w:rPr>
      </w:pPr>
      <w:r w:rsidRPr="00FA3C6F">
        <w:rPr>
          <w:i/>
        </w:rPr>
        <w:t>As of 12/13/17</w:t>
      </w:r>
      <w:r>
        <w:rPr>
          <w:i/>
        </w:rPr>
        <w:t xml:space="preserve"> (</w:t>
      </w:r>
      <w:r w:rsidRPr="00760AE5">
        <w:rPr>
          <w:i/>
          <w:color w:val="F79646" w:themeColor="accent6"/>
        </w:rPr>
        <w:t>updated 1/23/18</w:t>
      </w:r>
      <w:r>
        <w:rPr>
          <w:i/>
        </w:rPr>
        <w:t>)</w:t>
      </w:r>
      <w:r w:rsidRPr="00FA3C6F">
        <w:rPr>
          <w:i/>
        </w:rPr>
        <w:t>:</w:t>
      </w:r>
    </w:p>
    <w:p w:rsidR="006356B9" w:rsidRPr="00FA3C6F" w:rsidRDefault="006356B9" w:rsidP="006356B9">
      <w:pPr>
        <w:rPr>
          <w:szCs w:val="24"/>
        </w:rPr>
      </w:pPr>
      <w:r w:rsidRPr="00FA3C6F">
        <w:rPr>
          <w:szCs w:val="24"/>
        </w:rPr>
        <w:t>VBA users have encountered numerous issues over the last several weeks when running production applications that use Adobe Reader and Internet Explorer.  Applications such as VBMS, TIMS, and CAATS have experienced application crashes and hangs, latency issues, and error messages that have impacted production work.  SME have identified a setting that needs to be changed.</w:t>
      </w:r>
    </w:p>
    <w:p w:rsidR="006356B9" w:rsidRPr="00FA3C6F" w:rsidRDefault="006356B9" w:rsidP="006356B9">
      <w:pPr>
        <w:rPr>
          <w:rFonts w:ascii="Calibri" w:hAnsi="Calibri" w:cs="Times New Roman"/>
          <w:sz w:val="18"/>
          <w:szCs w:val="22"/>
        </w:rPr>
      </w:pPr>
    </w:p>
    <w:p w:rsidR="006356B9" w:rsidRPr="00FA3C6F" w:rsidRDefault="006356B9" w:rsidP="006356B9">
      <w:pPr>
        <w:rPr>
          <w:szCs w:val="24"/>
        </w:rPr>
      </w:pPr>
      <w:r w:rsidRPr="00FA3C6F">
        <w:rPr>
          <w:szCs w:val="24"/>
        </w:rPr>
        <w:t xml:space="preserve">All users must perform the steps below at least </w:t>
      </w:r>
      <w:r w:rsidRPr="00FA3C6F">
        <w:rPr>
          <w:b/>
          <w:bCs/>
          <w:color w:val="FF0000"/>
          <w:szCs w:val="24"/>
        </w:rPr>
        <w:t>once a day</w:t>
      </w:r>
      <w:r w:rsidRPr="00FA3C6F">
        <w:rPr>
          <w:color w:val="FF0000"/>
          <w:szCs w:val="24"/>
        </w:rPr>
        <w:t xml:space="preserve"> </w:t>
      </w:r>
      <w:r w:rsidRPr="00FA3C6F">
        <w:rPr>
          <w:szCs w:val="24"/>
        </w:rPr>
        <w:t>to ensure your application experience is optimized.</w:t>
      </w:r>
    </w:p>
    <w:p w:rsidR="006356B9" w:rsidRPr="00FA3C6F" w:rsidRDefault="006356B9" w:rsidP="006356B9">
      <w:pPr>
        <w:shd w:val="clear" w:color="auto" w:fill="FFFFFF"/>
        <w:rPr>
          <w:i/>
        </w:rPr>
      </w:pPr>
    </w:p>
    <w:p w:rsidR="006356B9" w:rsidRPr="00760AE5" w:rsidRDefault="006356B9" w:rsidP="00F063AF">
      <w:pPr>
        <w:numPr>
          <w:ilvl w:val="0"/>
          <w:numId w:val="403"/>
        </w:numPr>
        <w:tabs>
          <w:tab w:val="clear" w:pos="720"/>
        </w:tabs>
        <w:overflowPunct/>
        <w:autoSpaceDE/>
        <w:autoSpaceDN/>
        <w:adjustRightInd/>
        <w:ind w:left="360"/>
        <w:textAlignment w:val="auto"/>
        <w:rPr>
          <w:i/>
          <w:color w:val="F79646" w:themeColor="accent6"/>
        </w:rPr>
      </w:pPr>
      <w:r w:rsidRPr="00760AE5">
        <w:rPr>
          <w:i/>
          <w:color w:val="F79646" w:themeColor="accent6"/>
        </w:rPr>
        <w:t>Beginning of the day or after the workstation is rebooted, close all current running applications, if any.</w:t>
      </w:r>
    </w:p>
    <w:p w:rsidR="006356B9" w:rsidRPr="00FA3C6F" w:rsidRDefault="006356B9" w:rsidP="00F063AF">
      <w:pPr>
        <w:numPr>
          <w:ilvl w:val="0"/>
          <w:numId w:val="403"/>
        </w:numPr>
        <w:tabs>
          <w:tab w:val="clear" w:pos="720"/>
          <w:tab w:val="num" w:pos="360"/>
        </w:tabs>
        <w:overflowPunct/>
        <w:autoSpaceDE/>
        <w:autoSpaceDN/>
        <w:adjustRightInd/>
        <w:ind w:left="360"/>
        <w:textAlignment w:val="auto"/>
      </w:pPr>
      <w:r w:rsidRPr="00FA3C6F">
        <w:t xml:space="preserve">Open </w:t>
      </w:r>
      <w:r w:rsidRPr="00FA3C6F">
        <w:rPr>
          <w:b/>
          <w:bCs/>
        </w:rPr>
        <w:t>Adobe</w:t>
      </w:r>
      <w:r>
        <w:rPr>
          <w:b/>
          <w:bCs/>
        </w:rPr>
        <w:t xml:space="preserve"> </w:t>
      </w:r>
      <w:r w:rsidRPr="00760AE5">
        <w:rPr>
          <w:b/>
          <w:bCs/>
          <w:i/>
          <w:color w:val="F79646" w:themeColor="accent6"/>
        </w:rPr>
        <w:t xml:space="preserve">Acrobat </w:t>
      </w:r>
      <w:r w:rsidRPr="00FA3C6F">
        <w:rPr>
          <w:b/>
          <w:bCs/>
        </w:rPr>
        <w:t>Reader</w:t>
      </w:r>
      <w:r>
        <w:rPr>
          <w:b/>
          <w:bCs/>
        </w:rPr>
        <w:t xml:space="preserve"> </w:t>
      </w:r>
      <w:r w:rsidRPr="00760AE5">
        <w:rPr>
          <w:b/>
          <w:bCs/>
          <w:i/>
          <w:color w:val="F79646" w:themeColor="accent6"/>
        </w:rPr>
        <w:t>DC</w:t>
      </w:r>
    </w:p>
    <w:p w:rsidR="006356B9" w:rsidRPr="00FA3C6F" w:rsidRDefault="006356B9" w:rsidP="00F063AF">
      <w:pPr>
        <w:numPr>
          <w:ilvl w:val="0"/>
          <w:numId w:val="403"/>
        </w:numPr>
        <w:tabs>
          <w:tab w:val="clear" w:pos="720"/>
          <w:tab w:val="num" w:pos="360"/>
        </w:tabs>
        <w:overflowPunct/>
        <w:autoSpaceDE/>
        <w:autoSpaceDN/>
        <w:adjustRightInd/>
        <w:ind w:left="360"/>
        <w:textAlignment w:val="auto"/>
      </w:pPr>
      <w:r w:rsidRPr="00FA3C6F">
        <w:t xml:space="preserve">Click on the </w:t>
      </w:r>
      <w:r w:rsidRPr="00FA3C6F">
        <w:rPr>
          <w:b/>
          <w:bCs/>
        </w:rPr>
        <w:t>Edit</w:t>
      </w:r>
      <w:r w:rsidRPr="00FA3C6F">
        <w:t xml:space="preserve"> menu and select </w:t>
      </w:r>
      <w:r w:rsidRPr="00FA3C6F">
        <w:rPr>
          <w:b/>
          <w:bCs/>
        </w:rPr>
        <w:t>Preferences</w:t>
      </w:r>
      <w:r w:rsidRPr="00FA3C6F">
        <w:t xml:space="preserve"> to open the Preferences window</w:t>
      </w:r>
    </w:p>
    <w:p w:rsidR="006356B9" w:rsidRPr="00FA3C6F" w:rsidRDefault="006356B9" w:rsidP="00F063AF">
      <w:pPr>
        <w:numPr>
          <w:ilvl w:val="0"/>
          <w:numId w:val="403"/>
        </w:numPr>
        <w:shd w:val="clear" w:color="auto" w:fill="FFFFFF"/>
        <w:tabs>
          <w:tab w:val="clear" w:pos="720"/>
          <w:tab w:val="num" w:pos="360"/>
        </w:tabs>
        <w:overflowPunct/>
        <w:autoSpaceDE/>
        <w:autoSpaceDN/>
        <w:adjustRightInd/>
        <w:ind w:left="360"/>
        <w:textAlignment w:val="auto"/>
      </w:pPr>
      <w:r w:rsidRPr="00FA3C6F">
        <w:t xml:space="preserve">In the left pane, click on </w:t>
      </w:r>
      <w:r w:rsidRPr="00FA3C6F">
        <w:rPr>
          <w:b/>
          <w:bCs/>
        </w:rPr>
        <w:t>Security (Enhanced)</w:t>
      </w:r>
    </w:p>
    <w:p w:rsidR="006356B9" w:rsidRDefault="006356B9" w:rsidP="00F063AF">
      <w:pPr>
        <w:numPr>
          <w:ilvl w:val="0"/>
          <w:numId w:val="403"/>
        </w:numPr>
        <w:shd w:val="clear" w:color="auto" w:fill="FFFFFF"/>
        <w:tabs>
          <w:tab w:val="clear" w:pos="720"/>
          <w:tab w:val="num" w:pos="360"/>
        </w:tabs>
        <w:overflowPunct/>
        <w:autoSpaceDE/>
        <w:autoSpaceDN/>
        <w:adjustRightInd/>
        <w:ind w:left="360"/>
        <w:textAlignment w:val="auto"/>
      </w:pPr>
      <w:r w:rsidRPr="00FA3C6F">
        <w:t xml:space="preserve">In the Sandbox Protections section at the top of the window, </w:t>
      </w:r>
      <w:r w:rsidRPr="00FA3C6F">
        <w:rPr>
          <w:b/>
          <w:bCs/>
        </w:rPr>
        <w:t>check</w:t>
      </w:r>
      <w:r w:rsidRPr="00FA3C6F">
        <w:t xml:space="preserve"> the box for </w:t>
      </w:r>
      <w:r w:rsidRPr="00FA3C6F">
        <w:rPr>
          <w:b/>
          <w:bCs/>
        </w:rPr>
        <w:t>Enable Protected Mode at startup</w:t>
      </w:r>
    </w:p>
    <w:p w:rsidR="006356B9" w:rsidRPr="00760AE5" w:rsidRDefault="006356B9" w:rsidP="00F063AF">
      <w:pPr>
        <w:numPr>
          <w:ilvl w:val="0"/>
          <w:numId w:val="403"/>
        </w:numPr>
        <w:shd w:val="clear" w:color="auto" w:fill="FFFFFF"/>
        <w:tabs>
          <w:tab w:val="clear" w:pos="720"/>
          <w:tab w:val="num" w:pos="360"/>
        </w:tabs>
        <w:overflowPunct/>
        <w:autoSpaceDE/>
        <w:autoSpaceDN/>
        <w:adjustRightInd/>
        <w:ind w:left="360"/>
        <w:textAlignment w:val="auto"/>
        <w:rPr>
          <w:i/>
          <w:color w:val="F79646" w:themeColor="accent6"/>
        </w:rPr>
      </w:pPr>
      <w:r w:rsidRPr="00760AE5">
        <w:rPr>
          <w:i/>
          <w:color w:val="F79646" w:themeColor="accent6"/>
        </w:rPr>
        <w:t>User will be prompted with below message when “</w:t>
      </w:r>
      <w:r w:rsidRPr="00760AE5">
        <w:rPr>
          <w:i/>
          <w:iCs/>
          <w:color w:val="F79646" w:themeColor="accent6"/>
        </w:rPr>
        <w:t>Enable Protected Mode at startup</w:t>
      </w:r>
      <w:r w:rsidRPr="00760AE5">
        <w:rPr>
          <w:i/>
          <w:color w:val="F79646" w:themeColor="accent6"/>
        </w:rPr>
        <w:t>” setting is checked.  Click on Yes button to continue.</w:t>
      </w:r>
    </w:p>
    <w:p w:rsidR="006356B9" w:rsidRPr="00FA3C6F" w:rsidRDefault="006356B9" w:rsidP="00F063AF">
      <w:pPr>
        <w:numPr>
          <w:ilvl w:val="0"/>
          <w:numId w:val="403"/>
        </w:numPr>
        <w:tabs>
          <w:tab w:val="clear" w:pos="720"/>
          <w:tab w:val="num" w:pos="360"/>
        </w:tabs>
        <w:overflowPunct/>
        <w:autoSpaceDE/>
        <w:autoSpaceDN/>
        <w:adjustRightInd/>
        <w:ind w:left="360"/>
        <w:textAlignment w:val="auto"/>
        <w:rPr>
          <w:szCs w:val="24"/>
        </w:rPr>
      </w:pPr>
      <w:r w:rsidRPr="00FA3C6F">
        <w:rPr>
          <w:szCs w:val="24"/>
        </w:rPr>
        <w:t xml:space="preserve">Click the </w:t>
      </w:r>
      <w:r w:rsidRPr="00FA3C6F">
        <w:rPr>
          <w:b/>
          <w:bCs/>
          <w:szCs w:val="24"/>
        </w:rPr>
        <w:t>OK</w:t>
      </w:r>
      <w:r w:rsidRPr="00FA3C6F">
        <w:rPr>
          <w:szCs w:val="24"/>
        </w:rPr>
        <w:t xml:space="preserve"> button at the bottom of the window to save the Preferences and close the window.</w:t>
      </w:r>
    </w:p>
    <w:p w:rsidR="006356B9" w:rsidRDefault="006356B9" w:rsidP="00F063AF">
      <w:pPr>
        <w:numPr>
          <w:ilvl w:val="0"/>
          <w:numId w:val="403"/>
        </w:numPr>
        <w:tabs>
          <w:tab w:val="clear" w:pos="720"/>
          <w:tab w:val="num" w:pos="360"/>
        </w:tabs>
        <w:overflowPunct/>
        <w:autoSpaceDE/>
        <w:autoSpaceDN/>
        <w:adjustRightInd/>
        <w:ind w:left="360"/>
        <w:textAlignment w:val="auto"/>
        <w:rPr>
          <w:szCs w:val="24"/>
        </w:rPr>
      </w:pPr>
      <w:r w:rsidRPr="00FA3C6F">
        <w:rPr>
          <w:szCs w:val="24"/>
        </w:rPr>
        <w:t>Close all instances of Adobe products to ensure tha</w:t>
      </w:r>
      <w:r>
        <w:rPr>
          <w:szCs w:val="24"/>
        </w:rPr>
        <w:t>t the setting change is applied.</w:t>
      </w:r>
    </w:p>
    <w:p w:rsidR="006356B9" w:rsidRPr="006356B9" w:rsidRDefault="006356B9" w:rsidP="00F063AF">
      <w:pPr>
        <w:numPr>
          <w:ilvl w:val="0"/>
          <w:numId w:val="403"/>
        </w:numPr>
        <w:tabs>
          <w:tab w:val="clear" w:pos="720"/>
          <w:tab w:val="num" w:pos="360"/>
        </w:tabs>
        <w:overflowPunct/>
        <w:autoSpaceDE/>
        <w:autoSpaceDN/>
        <w:adjustRightInd/>
        <w:ind w:left="360"/>
        <w:textAlignment w:val="auto"/>
        <w:rPr>
          <w:i/>
          <w:color w:val="F79646" w:themeColor="accent6"/>
          <w:szCs w:val="24"/>
        </w:rPr>
      </w:pPr>
      <w:r w:rsidRPr="00760AE5">
        <w:rPr>
          <w:i/>
          <w:color w:val="F79646" w:themeColor="accent6"/>
        </w:rPr>
        <w:t>Repeat step 1 thru 8 as necessary prior working on your applications, especially when you need to have your workstation rebooted.</w:t>
      </w:r>
    </w:p>
    <w:p w:rsidR="006356B9" w:rsidRDefault="006356B9" w:rsidP="006356B9">
      <w:pPr>
        <w:rPr>
          <w:szCs w:val="24"/>
        </w:rPr>
      </w:pPr>
    </w:p>
    <w:p w:rsidR="006356B9" w:rsidRPr="00FA3C6F" w:rsidRDefault="006356B9" w:rsidP="006356B9">
      <w:pPr>
        <w:rPr>
          <w:color w:val="FF0000"/>
          <w:szCs w:val="24"/>
          <w:u w:val="single"/>
        </w:rPr>
      </w:pPr>
      <w:r w:rsidRPr="00FA3C6F">
        <w:rPr>
          <w:szCs w:val="24"/>
        </w:rPr>
        <w:t xml:space="preserve">The setting will still revert each time a user logs in to his/her Windows session. </w:t>
      </w:r>
      <w:r w:rsidRPr="00FA3C6F">
        <w:rPr>
          <w:color w:val="FF0000"/>
          <w:szCs w:val="24"/>
          <w:u w:val="single"/>
        </w:rPr>
        <w:t>Therefore our customers need to be informed to turn Protected Mode on at least once per day.</w:t>
      </w:r>
    </w:p>
    <w:p w:rsidR="006356B9" w:rsidRDefault="006356B9" w:rsidP="00552B25">
      <w:pPr>
        <w:shd w:val="clear" w:color="auto" w:fill="FFFFFF"/>
        <w:spacing w:after="120"/>
        <w:rPr>
          <w:szCs w:val="24"/>
        </w:rPr>
      </w:pPr>
    </w:p>
    <w:p w:rsidR="00BC403F" w:rsidRDefault="00BC403F" w:rsidP="00552B25">
      <w:pPr>
        <w:shd w:val="clear" w:color="auto" w:fill="FFFFFF"/>
        <w:spacing w:after="120"/>
        <w:rPr>
          <w:szCs w:val="24"/>
        </w:rPr>
      </w:pPr>
    </w:p>
    <w:p w:rsidR="00BC403F" w:rsidRDefault="00BC403F" w:rsidP="00552B25">
      <w:pPr>
        <w:shd w:val="clear" w:color="auto" w:fill="FFFFFF"/>
        <w:spacing w:after="120"/>
        <w:rPr>
          <w:szCs w:val="24"/>
        </w:rPr>
      </w:pPr>
      <w:r>
        <w:rPr>
          <w:szCs w:val="24"/>
        </w:rPr>
        <w:lastRenderedPageBreak/>
        <w:t xml:space="preserve">As of 3/18 upgrade to Adobe Acrobat Reader DC, to get block to enter page #, float mouse over top middle of pdf &amp; it will show: </w:t>
      </w:r>
      <w:r>
        <w:rPr>
          <w:noProof/>
        </w:rPr>
        <w:drawing>
          <wp:inline distT="0" distB="0" distL="0" distR="0" wp14:anchorId="5C32194A" wp14:editId="09010F64">
            <wp:extent cx="304800" cy="238125"/>
            <wp:effectExtent l="0" t="0" r="0" b="9525"/>
            <wp:docPr id="24672" name="Picture 24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5"/>
                    <a:stretch>
                      <a:fillRect/>
                    </a:stretch>
                  </pic:blipFill>
                  <pic:spPr>
                    <a:xfrm>
                      <a:off x="0" y="0"/>
                      <a:ext cx="304800" cy="238125"/>
                    </a:xfrm>
                    <a:prstGeom prst="rect">
                      <a:avLst/>
                    </a:prstGeom>
                  </pic:spPr>
                </pic:pic>
              </a:graphicData>
            </a:graphic>
          </wp:inline>
        </w:drawing>
      </w:r>
      <w:r>
        <w:rPr>
          <w:szCs w:val="24"/>
        </w:rPr>
        <w:t xml:space="preserve"> (Show Adobe Acrobat Reader Toolbar (Ctrl+H))</w:t>
      </w:r>
    </w:p>
    <w:p w:rsidR="006356B9" w:rsidRDefault="006356B9" w:rsidP="006356B9">
      <w:pPr>
        <w:widowControl w:val="0"/>
        <w:pBdr>
          <w:top w:val="double" w:sz="4" w:space="1" w:color="auto"/>
        </w:pBdr>
        <w:rPr>
          <w:b/>
          <w:bCs/>
          <w:i/>
          <w:iCs/>
          <w:sz w:val="22"/>
        </w:rPr>
      </w:pPr>
    </w:p>
    <w:p w:rsidR="006356B9" w:rsidRPr="006356B9" w:rsidRDefault="009E1C61" w:rsidP="006356B9">
      <w:pPr>
        <w:spacing w:after="120"/>
        <w:rPr>
          <w:b/>
          <w:highlight w:val="darkGray"/>
        </w:rPr>
      </w:pPr>
      <w:r>
        <w:rPr>
          <w:highlight w:val="darkGray"/>
        </w:rPr>
        <w:t>VBMS work</w:t>
      </w:r>
      <w:r w:rsidR="006356B9" w:rsidRPr="006356B9">
        <w:rPr>
          <w:highlight w:val="darkGray"/>
        </w:rPr>
        <w:t>arounds after 9/17 “upgrade”:</w:t>
      </w:r>
    </w:p>
    <w:p w:rsidR="006356B9" w:rsidRPr="006356B9" w:rsidRDefault="006356B9" w:rsidP="00F063AF">
      <w:pPr>
        <w:pStyle w:val="ListParagraph"/>
        <w:numPr>
          <w:ilvl w:val="2"/>
          <w:numId w:val="111"/>
        </w:numPr>
        <w:tabs>
          <w:tab w:val="clear" w:pos="2160"/>
          <w:tab w:val="num" w:pos="720"/>
        </w:tabs>
        <w:spacing w:after="120" w:line="240" w:lineRule="auto"/>
        <w:ind w:left="360"/>
        <w:rPr>
          <w:rFonts w:ascii="Arial" w:hAnsi="Arial"/>
          <w:b/>
          <w:sz w:val="20"/>
          <w:szCs w:val="20"/>
          <w:highlight w:val="darkGray"/>
        </w:rPr>
      </w:pPr>
      <w:r w:rsidRPr="006356B9">
        <w:rPr>
          <w:rFonts w:ascii="Arial" w:hAnsi="Arial"/>
          <w:sz w:val="20"/>
          <w:szCs w:val="20"/>
          <w:highlight w:val="darkGray"/>
        </w:rPr>
        <w:t>For wide columns – with the VBMS window maximized, click on the top grey area &amp; pull it so it minimizes, then drag it back up to the top of the screen so it maximizes again (re-snap); it’s temporary, but it helps ; OR just click on the “Save Preferences” button</w:t>
      </w:r>
    </w:p>
    <w:p w:rsidR="006356B9" w:rsidRPr="006356B9" w:rsidRDefault="006356B9" w:rsidP="00F063AF">
      <w:pPr>
        <w:pStyle w:val="ListParagraph"/>
        <w:numPr>
          <w:ilvl w:val="2"/>
          <w:numId w:val="111"/>
        </w:numPr>
        <w:tabs>
          <w:tab w:val="clear" w:pos="2160"/>
          <w:tab w:val="num" w:pos="720"/>
        </w:tabs>
        <w:spacing w:after="120" w:line="240" w:lineRule="auto"/>
        <w:ind w:left="360"/>
        <w:rPr>
          <w:rStyle w:val="Hyperlink"/>
          <w:rFonts w:ascii="Arial" w:hAnsi="Arial"/>
          <w:b/>
          <w:color w:val="auto"/>
          <w:sz w:val="20"/>
          <w:szCs w:val="20"/>
          <w:highlight w:val="darkGray"/>
          <w:u w:val="none"/>
        </w:rPr>
      </w:pPr>
      <w:r w:rsidRPr="006356B9">
        <w:rPr>
          <w:rFonts w:ascii="Arial" w:hAnsi="Arial"/>
          <w:sz w:val="20"/>
          <w:szCs w:val="20"/>
          <w:highlight w:val="darkGray"/>
        </w:rPr>
        <w:t>For Document Types that won’t save changes – instead of changing it inside the open document, check the box for that document on the document screen &amp; in the drop down for Actions, select “Edit Properties” (can only do one document at-a-time)</w:t>
      </w:r>
    </w:p>
    <w:p w:rsidR="006356B9" w:rsidRDefault="006356B9" w:rsidP="006356B9">
      <w:pPr>
        <w:widowControl w:val="0"/>
        <w:pBdr>
          <w:top w:val="double" w:sz="4" w:space="1" w:color="auto"/>
        </w:pBdr>
        <w:rPr>
          <w:b/>
          <w:bCs/>
          <w:i/>
          <w:iCs/>
          <w:sz w:val="22"/>
        </w:rPr>
      </w:pPr>
    </w:p>
    <w:p w:rsidR="006356B9" w:rsidRPr="006356B9" w:rsidRDefault="006356B9" w:rsidP="006356B9">
      <w:pPr>
        <w:overflowPunct/>
        <w:autoSpaceDE/>
        <w:autoSpaceDN/>
        <w:adjustRightInd/>
        <w:textAlignment w:val="auto"/>
        <w:rPr>
          <w:rFonts w:ascii="Segoe UI" w:hAnsi="Segoe UI" w:cs="Segoe UI"/>
          <w:i/>
          <w:color w:val="000000"/>
        </w:rPr>
      </w:pPr>
      <w:r w:rsidRPr="006356B9">
        <w:rPr>
          <w:rFonts w:ascii="Segoe UI" w:hAnsi="Segoe UI" w:cs="Segoe UI"/>
          <w:i/>
          <w:color w:val="000000"/>
        </w:rPr>
        <w:t>Permanent Search BAR in VBMS (after 3/18 upgrade):</w:t>
      </w:r>
    </w:p>
    <w:p w:rsidR="006356B9" w:rsidRDefault="006356B9" w:rsidP="006356B9">
      <w:pPr>
        <w:overflowPunct/>
        <w:autoSpaceDE/>
        <w:autoSpaceDN/>
        <w:adjustRightInd/>
        <w:textAlignment w:val="auto"/>
        <w:rPr>
          <w:rFonts w:ascii="Segoe UI" w:hAnsi="Segoe UI" w:cs="Segoe UI"/>
          <w:color w:val="000000"/>
        </w:rPr>
      </w:pPr>
      <w:r w:rsidRPr="006356B9">
        <w:rPr>
          <w:rFonts w:ascii="Segoe UI" w:hAnsi="Segoe UI" w:cs="Segoe UI"/>
          <w:color w:val="000000"/>
        </w:rPr>
        <w:t>Gear icon in VBMS top Right</w:t>
      </w:r>
      <w:r>
        <w:rPr>
          <w:rFonts w:ascii="Segoe UI" w:hAnsi="Segoe UI" w:cs="Segoe UI"/>
          <w:color w:val="000000"/>
        </w:rPr>
        <w:t xml:space="preserve"> - </w:t>
      </w:r>
      <w:r w:rsidRPr="006356B9">
        <w:rPr>
          <w:rFonts w:ascii="Segoe UI" w:hAnsi="Segoe UI" w:cs="Segoe UI"/>
          <w:color w:val="000000"/>
        </w:rPr>
        <w:t>User Preferences</w:t>
      </w:r>
      <w:r>
        <w:rPr>
          <w:rFonts w:ascii="Segoe UI" w:hAnsi="Segoe UI" w:cs="Segoe UI"/>
          <w:color w:val="000000"/>
        </w:rPr>
        <w:t xml:space="preserve"> – leave “None” for Line of Business – check “</w:t>
      </w:r>
      <w:r w:rsidRPr="006356B9">
        <w:rPr>
          <w:rFonts w:ascii="Segoe UI" w:hAnsi="Segoe UI" w:cs="Segoe UI"/>
          <w:color w:val="000000"/>
        </w:rPr>
        <w:t>Always show the Search Bar</w:t>
      </w:r>
      <w:r>
        <w:rPr>
          <w:rFonts w:ascii="Segoe UI" w:hAnsi="Segoe UI" w:cs="Segoe UI"/>
          <w:color w:val="000000"/>
        </w:rPr>
        <w:t xml:space="preserve">” </w:t>
      </w:r>
      <w:r w:rsidR="00AD74E5">
        <w:rPr>
          <w:rFonts w:ascii="Segoe UI" w:hAnsi="Segoe UI" w:cs="Segoe UI"/>
          <w:color w:val="000000"/>
        </w:rPr>
        <w:t>–</w:t>
      </w:r>
      <w:r>
        <w:rPr>
          <w:rFonts w:ascii="Segoe UI" w:hAnsi="Segoe UI" w:cs="Segoe UI"/>
          <w:color w:val="000000"/>
        </w:rPr>
        <w:t xml:space="preserve"> Save</w:t>
      </w:r>
    </w:p>
    <w:p w:rsidR="00AD74E5" w:rsidRDefault="00AD74E5" w:rsidP="00AD74E5">
      <w:pPr>
        <w:widowControl w:val="0"/>
        <w:pBdr>
          <w:top w:val="double" w:sz="4" w:space="1" w:color="auto"/>
        </w:pBdr>
        <w:rPr>
          <w:b/>
          <w:bCs/>
          <w:i/>
          <w:iCs/>
          <w:sz w:val="22"/>
        </w:rPr>
      </w:pPr>
    </w:p>
    <w:p w:rsidR="00AD74E5" w:rsidRDefault="00AD74E5" w:rsidP="006356B9">
      <w:pPr>
        <w:overflowPunct/>
        <w:autoSpaceDE/>
        <w:autoSpaceDN/>
        <w:adjustRightInd/>
        <w:textAlignment w:val="auto"/>
        <w:rPr>
          <w:rFonts w:ascii="Segoe UI" w:hAnsi="Segoe UI" w:cs="Segoe UI"/>
          <w:color w:val="000000"/>
        </w:rPr>
      </w:pPr>
      <w:r>
        <w:rPr>
          <w:rFonts w:ascii="Segoe UI" w:hAnsi="Segoe UI" w:cs="Segoe UI"/>
          <w:color w:val="000000"/>
        </w:rPr>
        <w:t>Snipping Tool:</w:t>
      </w:r>
    </w:p>
    <w:p w:rsidR="00AD74E5" w:rsidRPr="00422944" w:rsidRDefault="00AD74E5" w:rsidP="006356B9">
      <w:pPr>
        <w:overflowPunct/>
        <w:autoSpaceDE/>
        <w:autoSpaceDN/>
        <w:adjustRightInd/>
        <w:textAlignment w:val="auto"/>
        <w:rPr>
          <w:szCs w:val="24"/>
        </w:rPr>
      </w:pPr>
      <w:r>
        <w:rPr>
          <w:noProof/>
        </w:rPr>
        <w:drawing>
          <wp:inline distT="0" distB="0" distL="0" distR="0" wp14:anchorId="79C9A31C" wp14:editId="1165F993">
            <wp:extent cx="4229100" cy="1952625"/>
            <wp:effectExtent l="0" t="0" r="0" b="9525"/>
            <wp:docPr id="24681" name="Picture 24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4229100" cy="1952625"/>
                    </a:xfrm>
                    <a:prstGeom prst="rect">
                      <a:avLst/>
                    </a:prstGeom>
                  </pic:spPr>
                </pic:pic>
              </a:graphicData>
            </a:graphic>
          </wp:inline>
        </w:drawing>
      </w:r>
    </w:p>
    <w:p w:rsidR="009B4523" w:rsidRDefault="009B4523">
      <w:pPr>
        <w:overflowPunct/>
        <w:autoSpaceDE/>
        <w:autoSpaceDN/>
        <w:adjustRightInd/>
        <w:textAlignment w:val="auto"/>
        <w:rPr>
          <w:b/>
          <w:bCs/>
          <w:i/>
          <w:iCs/>
          <w:sz w:val="22"/>
        </w:rPr>
      </w:pPr>
    </w:p>
    <w:p w:rsidR="00013EB8" w:rsidRDefault="00013EB8">
      <w:pPr>
        <w:widowControl w:val="0"/>
        <w:pBdr>
          <w:top w:val="double" w:sz="4" w:space="1" w:color="auto"/>
        </w:pBdr>
        <w:rPr>
          <w:sz w:val="22"/>
        </w:rPr>
      </w:pPr>
      <w:bookmarkStart w:id="2" w:name="TypesOfClaims"/>
      <w:r>
        <w:rPr>
          <w:b/>
          <w:bCs/>
          <w:i/>
          <w:iCs/>
          <w:sz w:val="22"/>
        </w:rPr>
        <w:t>TYPES OF CLAIMS -</w:t>
      </w:r>
    </w:p>
    <w:bookmarkEnd w:id="2"/>
    <w:p w:rsidR="00013EB8" w:rsidRDefault="00013EB8">
      <w:pPr>
        <w:widowControl w:val="0"/>
        <w:tabs>
          <w:tab w:val="left" w:pos="0"/>
          <w:tab w:val="left" w:pos="144"/>
        </w:tabs>
      </w:pPr>
    </w:p>
    <w:p w:rsidR="00E65329" w:rsidRPr="004F0688" w:rsidRDefault="004F0688" w:rsidP="00E65329">
      <w:r w:rsidRPr="004F0688">
        <w:t xml:space="preserve">To </w:t>
      </w:r>
      <w:r w:rsidR="00E65329" w:rsidRPr="004F0688">
        <w:t>est</w:t>
      </w:r>
      <w:r w:rsidRPr="004F0688">
        <w:t>ablish a claim</w:t>
      </w:r>
      <w:r w:rsidR="00E65329" w:rsidRPr="004F0688">
        <w:t xml:space="preserve"> in VBMS. </w:t>
      </w:r>
    </w:p>
    <w:p w:rsidR="00E65329" w:rsidRPr="004F0688" w:rsidRDefault="00E65329" w:rsidP="00E65329"/>
    <w:p w:rsidR="00E65329" w:rsidRPr="004F0688" w:rsidRDefault="00E65329" w:rsidP="00E65329">
      <w:r w:rsidRPr="004F0688">
        <w:t>Put the claim number in and Open eFolder</w:t>
      </w:r>
    </w:p>
    <w:p w:rsidR="00E65329" w:rsidRPr="004F0688" w:rsidRDefault="00E65329" w:rsidP="00F063AF">
      <w:pPr>
        <w:numPr>
          <w:ilvl w:val="0"/>
          <w:numId w:val="340"/>
        </w:numPr>
        <w:overflowPunct/>
        <w:autoSpaceDE/>
        <w:autoSpaceDN/>
        <w:adjustRightInd/>
        <w:textAlignment w:val="auto"/>
      </w:pPr>
      <w:r w:rsidRPr="004F0688">
        <w:t>Actions drop down</w:t>
      </w:r>
    </w:p>
    <w:p w:rsidR="00E65329" w:rsidRPr="004F0688" w:rsidRDefault="00E65329" w:rsidP="00F063AF">
      <w:pPr>
        <w:numPr>
          <w:ilvl w:val="0"/>
          <w:numId w:val="340"/>
        </w:numPr>
        <w:overflowPunct/>
        <w:autoSpaceDE/>
        <w:autoSpaceDN/>
        <w:adjustRightInd/>
        <w:textAlignment w:val="auto"/>
      </w:pPr>
      <w:r w:rsidRPr="004F0688">
        <w:t>Select ‘New Claim’</w:t>
      </w:r>
    </w:p>
    <w:p w:rsidR="00E65329" w:rsidRPr="004F0688" w:rsidRDefault="00E65329" w:rsidP="00F063AF">
      <w:pPr>
        <w:numPr>
          <w:ilvl w:val="0"/>
          <w:numId w:val="340"/>
        </w:numPr>
        <w:overflowPunct/>
        <w:autoSpaceDE/>
        <w:autoSpaceDN/>
        <w:adjustRightInd/>
        <w:textAlignment w:val="auto"/>
      </w:pPr>
      <w:r w:rsidRPr="004F0688">
        <w:t>Scroll to the bottom under ‘Claim Information’</w:t>
      </w:r>
    </w:p>
    <w:p w:rsidR="00E65329" w:rsidRPr="004F0688" w:rsidRDefault="00E65329" w:rsidP="00F063AF">
      <w:pPr>
        <w:numPr>
          <w:ilvl w:val="0"/>
          <w:numId w:val="340"/>
        </w:numPr>
        <w:overflowPunct/>
        <w:autoSpaceDE/>
        <w:autoSpaceDN/>
        <w:adjustRightInd/>
        <w:textAlignment w:val="auto"/>
      </w:pPr>
      <w:r w:rsidRPr="004F0688">
        <w:t>EP &amp; Claim Label – type in 310</w:t>
      </w:r>
    </w:p>
    <w:p w:rsidR="00E65329" w:rsidRPr="004F0688" w:rsidRDefault="00E65329" w:rsidP="00F063AF">
      <w:pPr>
        <w:numPr>
          <w:ilvl w:val="0"/>
          <w:numId w:val="340"/>
        </w:numPr>
        <w:overflowPunct/>
        <w:autoSpaceDE/>
        <w:autoSpaceDN/>
        <w:adjustRightInd/>
        <w:textAlignment w:val="auto"/>
      </w:pPr>
      <w:r w:rsidRPr="004F0688">
        <w:t>Select which best fits (Future routine exam, 4140, ect.)</w:t>
      </w:r>
    </w:p>
    <w:p w:rsidR="00E65329" w:rsidRPr="004F0688" w:rsidRDefault="00E65329" w:rsidP="00F063AF">
      <w:pPr>
        <w:numPr>
          <w:ilvl w:val="0"/>
          <w:numId w:val="340"/>
        </w:numPr>
        <w:overflowPunct/>
        <w:autoSpaceDE/>
        <w:autoSpaceDN/>
        <w:adjustRightInd/>
        <w:textAlignment w:val="auto"/>
      </w:pPr>
      <w:r w:rsidRPr="004F0688">
        <w:t>Date of Claim – enter same as EP 810</w:t>
      </w:r>
    </w:p>
    <w:p w:rsidR="00E65329" w:rsidRPr="004F0688" w:rsidRDefault="00E65329" w:rsidP="00F063AF">
      <w:pPr>
        <w:numPr>
          <w:ilvl w:val="0"/>
          <w:numId w:val="340"/>
        </w:numPr>
        <w:overflowPunct/>
        <w:autoSpaceDE/>
        <w:autoSpaceDN/>
        <w:adjustRightInd/>
        <w:textAlignment w:val="auto"/>
      </w:pPr>
      <w:r w:rsidRPr="004F0688">
        <w:t>Segmented Lane – Core</w:t>
      </w:r>
    </w:p>
    <w:p w:rsidR="00E65329" w:rsidRPr="004F0688" w:rsidRDefault="00E65329" w:rsidP="00F063AF">
      <w:pPr>
        <w:numPr>
          <w:ilvl w:val="0"/>
          <w:numId w:val="340"/>
        </w:numPr>
        <w:overflowPunct/>
        <w:autoSpaceDE/>
        <w:autoSpaceDN/>
        <w:adjustRightInd/>
        <w:textAlignment w:val="auto"/>
      </w:pPr>
      <w:r w:rsidRPr="004F0688">
        <w:t>Click submit</w:t>
      </w:r>
    </w:p>
    <w:p w:rsidR="00E65329" w:rsidRDefault="00E65329">
      <w:pPr>
        <w:widowControl w:val="0"/>
        <w:tabs>
          <w:tab w:val="left" w:pos="0"/>
          <w:tab w:val="left" w:pos="144"/>
        </w:tabs>
      </w:pPr>
    </w:p>
    <w:p w:rsidR="00E65329" w:rsidRDefault="00E65329">
      <w:pPr>
        <w:widowControl w:val="0"/>
        <w:tabs>
          <w:tab w:val="left" w:pos="0"/>
          <w:tab w:val="left" w:pos="144"/>
        </w:tabs>
      </w:pPr>
    </w:p>
    <w:p w:rsidR="0092269F" w:rsidRDefault="0092269F" w:rsidP="00767276">
      <w:pPr>
        <w:widowControl w:val="0"/>
        <w:pBdr>
          <w:top w:val="single" w:sz="4" w:space="1" w:color="auto"/>
        </w:pBdr>
        <w:tabs>
          <w:tab w:val="left" w:pos="0"/>
          <w:tab w:val="left" w:pos="144"/>
        </w:tabs>
      </w:pPr>
      <w:r w:rsidRPr="0092269F">
        <w:rPr>
          <w:b/>
        </w:rPr>
        <w:t>Decision Ready Claim (DRC)</w:t>
      </w:r>
      <w:r>
        <w:t xml:space="preserve"> –</w:t>
      </w:r>
    </w:p>
    <w:p w:rsidR="0092269F" w:rsidRDefault="0092269F">
      <w:pPr>
        <w:widowControl w:val="0"/>
        <w:tabs>
          <w:tab w:val="left" w:pos="0"/>
          <w:tab w:val="left" w:pos="144"/>
        </w:tabs>
      </w:pPr>
      <w:r>
        <w:t>need special issue on one contention:</w:t>
      </w:r>
    </w:p>
    <w:p w:rsidR="009160BB" w:rsidRPr="0092269F" w:rsidRDefault="00902E04" w:rsidP="00F063AF">
      <w:pPr>
        <w:widowControl w:val="0"/>
        <w:numPr>
          <w:ilvl w:val="0"/>
          <w:numId w:val="373"/>
        </w:numPr>
        <w:tabs>
          <w:tab w:val="left" w:pos="0"/>
          <w:tab w:val="left" w:pos="144"/>
        </w:tabs>
      </w:pPr>
      <w:r w:rsidRPr="0092269F">
        <w:t>Decision Ready Claim</w:t>
      </w:r>
    </w:p>
    <w:p w:rsidR="009160BB" w:rsidRPr="0092269F" w:rsidRDefault="00902E04" w:rsidP="00F063AF">
      <w:pPr>
        <w:widowControl w:val="0"/>
        <w:numPr>
          <w:ilvl w:val="0"/>
          <w:numId w:val="373"/>
        </w:numPr>
        <w:tabs>
          <w:tab w:val="left" w:pos="0"/>
          <w:tab w:val="left" w:pos="144"/>
        </w:tabs>
      </w:pPr>
      <w:r w:rsidRPr="0092269F">
        <w:t>Decision Ready Claim – Deferred</w:t>
      </w:r>
    </w:p>
    <w:p w:rsidR="009160BB" w:rsidRPr="0092269F" w:rsidRDefault="00902E04" w:rsidP="00F063AF">
      <w:pPr>
        <w:widowControl w:val="0"/>
        <w:numPr>
          <w:ilvl w:val="0"/>
          <w:numId w:val="373"/>
        </w:numPr>
        <w:tabs>
          <w:tab w:val="left" w:pos="0"/>
          <w:tab w:val="left" w:pos="144"/>
        </w:tabs>
      </w:pPr>
      <w:r w:rsidRPr="0092269F">
        <w:t>Decision Ready Claim – Partial Deferred</w:t>
      </w:r>
    </w:p>
    <w:p w:rsidR="0092269F" w:rsidRPr="00E62390" w:rsidRDefault="00E62390">
      <w:pPr>
        <w:widowControl w:val="0"/>
        <w:tabs>
          <w:tab w:val="left" w:pos="0"/>
          <w:tab w:val="left" w:pos="144"/>
        </w:tabs>
        <w:rPr>
          <w:i/>
        </w:rPr>
      </w:pPr>
      <w:r w:rsidRPr="00E62390">
        <w:rPr>
          <w:i/>
        </w:rPr>
        <w:t xml:space="preserve">*take off </w:t>
      </w:r>
      <w:r w:rsidR="00197895">
        <w:rPr>
          <w:i/>
        </w:rPr>
        <w:t xml:space="preserve">special issue </w:t>
      </w:r>
      <w:r w:rsidRPr="00E62390">
        <w:rPr>
          <w:i/>
        </w:rPr>
        <w:t>if excluded</w:t>
      </w:r>
    </w:p>
    <w:p w:rsidR="0092269F" w:rsidRDefault="00197895">
      <w:pPr>
        <w:widowControl w:val="0"/>
        <w:tabs>
          <w:tab w:val="left" w:pos="0"/>
          <w:tab w:val="left" w:pos="144"/>
        </w:tabs>
      </w:pPr>
      <w:r>
        <w:t>**claim must be signed by veteran</w:t>
      </w:r>
    </w:p>
    <w:p w:rsidR="00197895" w:rsidRDefault="00197895">
      <w:pPr>
        <w:widowControl w:val="0"/>
        <w:tabs>
          <w:tab w:val="left" w:pos="0"/>
          <w:tab w:val="left" w:pos="144"/>
        </w:tabs>
      </w:pPr>
    </w:p>
    <w:p w:rsidR="00824810" w:rsidRPr="00D10240" w:rsidRDefault="00824810" w:rsidP="00824810">
      <w:pPr>
        <w:pBdr>
          <w:top w:val="double" w:sz="4" w:space="1" w:color="auto"/>
          <w:left w:val="double" w:sz="4" w:space="4" w:color="auto"/>
          <w:bottom w:val="double" w:sz="4" w:space="1" w:color="auto"/>
          <w:right w:val="double" w:sz="4" w:space="4" w:color="auto"/>
        </w:pBdr>
        <w:shd w:val="clear" w:color="auto" w:fill="FFC000"/>
        <w:spacing w:after="120"/>
        <w:ind w:left="144" w:right="144"/>
        <w:rPr>
          <w:rFonts w:eastAsiaTheme="minorHAnsi"/>
        </w:rPr>
      </w:pPr>
      <w:r>
        <w:rPr>
          <w:rFonts w:eastAsiaTheme="minorHAnsi"/>
          <w:b/>
        </w:rPr>
        <w:t>Decision Ready Claim (DRC) Initiative Standard Operating Procedures</w:t>
      </w:r>
      <w:r>
        <w:rPr>
          <w:rFonts w:eastAsiaTheme="minorHAnsi"/>
        </w:rPr>
        <w:t xml:space="preserve"> </w:t>
      </w:r>
      <w:r w:rsidR="00197895">
        <w:rPr>
          <w:rFonts w:eastAsiaTheme="minorHAnsi"/>
        </w:rPr>
        <w:t xml:space="preserve">and </w:t>
      </w:r>
      <w:r w:rsidR="00197895" w:rsidRPr="00197895">
        <w:rPr>
          <w:rFonts w:eastAsiaTheme="minorHAnsi"/>
          <w:b/>
        </w:rPr>
        <w:t>DRC FAQs for VSC Employees</w:t>
      </w:r>
      <w:r w:rsidR="00197895">
        <w:rPr>
          <w:rFonts w:eastAsiaTheme="minorHAnsi"/>
        </w:rPr>
        <w:t xml:space="preserve"> are </w:t>
      </w:r>
      <w:r w:rsidRPr="0036376C">
        <w:t xml:space="preserve">saved at </w:t>
      </w:r>
      <w:r w:rsidRPr="001453C4">
        <w:rPr>
          <w:b/>
          <w:bCs/>
          <w:i/>
          <w:iCs/>
        </w:rPr>
        <w:t>H:\VSC\Rating Reference</w:t>
      </w:r>
    </w:p>
    <w:p w:rsidR="00824810" w:rsidRPr="00767276" w:rsidRDefault="00720435">
      <w:pPr>
        <w:widowControl w:val="0"/>
        <w:tabs>
          <w:tab w:val="left" w:pos="0"/>
          <w:tab w:val="left" w:pos="144"/>
        </w:tabs>
        <w:rPr>
          <w:b/>
        </w:rPr>
      </w:pPr>
      <w:r w:rsidRPr="00767276">
        <w:rPr>
          <w:b/>
        </w:rPr>
        <w:lastRenderedPageBreak/>
        <w:t>III.i.3.C</w:t>
      </w:r>
    </w:p>
    <w:p w:rsidR="00720435" w:rsidRDefault="00720435" w:rsidP="00767276">
      <w:pPr>
        <w:widowControl w:val="0"/>
        <w:pBdr>
          <w:bottom w:val="single" w:sz="4" w:space="1" w:color="auto"/>
        </w:pBdr>
        <w:tabs>
          <w:tab w:val="left" w:pos="0"/>
          <w:tab w:val="left" w:pos="144"/>
        </w:tabs>
        <w:rPr>
          <w:b/>
        </w:rPr>
      </w:pPr>
      <w:r w:rsidRPr="00767276">
        <w:rPr>
          <w:b/>
        </w:rPr>
        <w:t>III.i.3.D</w:t>
      </w:r>
    </w:p>
    <w:p w:rsidR="00244CCD" w:rsidRDefault="00244CCD" w:rsidP="00767276">
      <w:pPr>
        <w:widowControl w:val="0"/>
        <w:pBdr>
          <w:bottom w:val="single" w:sz="4" w:space="1" w:color="auto"/>
        </w:pBdr>
        <w:tabs>
          <w:tab w:val="left" w:pos="0"/>
          <w:tab w:val="left" w:pos="144"/>
        </w:tabs>
        <w:rPr>
          <w:b/>
        </w:rPr>
      </w:pPr>
    </w:p>
    <w:p w:rsidR="00244CCD" w:rsidRDefault="00D571C5" w:rsidP="00767276">
      <w:pPr>
        <w:widowControl w:val="0"/>
        <w:pBdr>
          <w:bottom w:val="single" w:sz="4" w:space="1" w:color="auto"/>
        </w:pBdr>
        <w:tabs>
          <w:tab w:val="left" w:pos="0"/>
          <w:tab w:val="left" w:pos="144"/>
        </w:tabs>
        <w:rPr>
          <w:rStyle w:val="Hyperlink"/>
          <w:color w:val="auto"/>
          <w:u w:val="none"/>
        </w:rPr>
      </w:pPr>
      <w:hyperlink r:id="rId177" w:history="1">
        <w:r w:rsidR="00244CCD">
          <w:rPr>
            <w:rStyle w:val="Hyperlink"/>
            <w:b/>
            <w:bCs/>
            <w:i/>
          </w:rPr>
          <w:t>December 2017 Quality Call Notes</w:t>
        </w:r>
      </w:hyperlink>
      <w:r w:rsidR="00244CCD" w:rsidRPr="003F1A24">
        <w:rPr>
          <w:rStyle w:val="Hyperlink"/>
          <w:b/>
          <w:color w:val="auto"/>
          <w:u w:val="none"/>
        </w:rPr>
        <w:t xml:space="preserve"> </w:t>
      </w:r>
      <w:r w:rsidR="00244CCD">
        <w:rPr>
          <w:rStyle w:val="Hyperlink"/>
          <w:color w:val="auto"/>
          <w:u w:val="none"/>
        </w:rPr>
        <w:t>– expansion of DRC</w:t>
      </w:r>
    </w:p>
    <w:p w:rsidR="000F5D9B" w:rsidRPr="000F5D9B" w:rsidRDefault="00D571C5" w:rsidP="00767276">
      <w:pPr>
        <w:widowControl w:val="0"/>
        <w:pBdr>
          <w:bottom w:val="single" w:sz="4" w:space="1" w:color="auto"/>
        </w:pBdr>
        <w:tabs>
          <w:tab w:val="left" w:pos="0"/>
          <w:tab w:val="left" w:pos="144"/>
        </w:tabs>
        <w:rPr>
          <w:b/>
          <w:i/>
        </w:rPr>
      </w:pPr>
      <w:hyperlink r:id="rId178" w:history="1">
        <w:r w:rsidR="000F5D9B">
          <w:rPr>
            <w:rStyle w:val="Hyperlink"/>
            <w:b/>
            <w:bCs/>
            <w:i/>
          </w:rPr>
          <w:t>April 2018 Quality Call Notes</w:t>
        </w:r>
      </w:hyperlink>
      <w:r w:rsidR="000F5D9B" w:rsidRPr="003F1A24">
        <w:rPr>
          <w:rStyle w:val="Hyperlink"/>
          <w:b/>
          <w:color w:val="auto"/>
          <w:u w:val="none"/>
        </w:rPr>
        <w:t xml:space="preserve"> </w:t>
      </w:r>
      <w:r w:rsidR="000F5D9B">
        <w:rPr>
          <w:rStyle w:val="Hyperlink"/>
          <w:color w:val="auto"/>
          <w:u w:val="none"/>
        </w:rPr>
        <w:t xml:space="preserve">– DRC info </w:t>
      </w:r>
      <w:r w:rsidR="000F5D9B" w:rsidRPr="000F5D9B">
        <w:rPr>
          <w:rStyle w:val="Hyperlink"/>
          <w:i/>
          <w:color w:val="auto"/>
          <w:u w:val="none"/>
        </w:rPr>
        <w:t>(PowerPoint has lots of info too)</w:t>
      </w:r>
    </w:p>
    <w:p w:rsidR="00244CCD" w:rsidRPr="00767276" w:rsidRDefault="00244CCD" w:rsidP="00767276">
      <w:pPr>
        <w:widowControl w:val="0"/>
        <w:pBdr>
          <w:bottom w:val="single" w:sz="4" w:space="1" w:color="auto"/>
        </w:pBdr>
        <w:tabs>
          <w:tab w:val="left" w:pos="0"/>
          <w:tab w:val="left" w:pos="144"/>
        </w:tabs>
        <w:rPr>
          <w:b/>
        </w:rPr>
      </w:pPr>
    </w:p>
    <w:p w:rsidR="00720435" w:rsidRDefault="00720435">
      <w:pPr>
        <w:widowControl w:val="0"/>
        <w:tabs>
          <w:tab w:val="left" w:pos="0"/>
          <w:tab w:val="left" w:pos="144"/>
        </w:tabs>
      </w:pPr>
    </w:p>
    <w:p w:rsidR="00824810" w:rsidRDefault="00824810">
      <w:pPr>
        <w:widowControl w:val="0"/>
        <w:tabs>
          <w:tab w:val="left" w:pos="0"/>
          <w:tab w:val="left" w:pos="144"/>
        </w:tabs>
      </w:pPr>
    </w:p>
    <w:tbl>
      <w:tblPr>
        <w:tblW w:w="0" w:type="auto"/>
        <w:tblInd w:w="-45" w:type="dxa"/>
        <w:tblLayout w:type="fixed"/>
        <w:tblCellMar>
          <w:left w:w="30" w:type="dxa"/>
          <w:right w:w="30" w:type="dxa"/>
        </w:tblCellMar>
        <w:tblLook w:val="0000" w:firstRow="0" w:lastRow="0" w:firstColumn="0" w:lastColumn="0" w:noHBand="0" w:noVBand="0"/>
      </w:tblPr>
      <w:tblGrid>
        <w:gridCol w:w="812"/>
        <w:gridCol w:w="10058"/>
      </w:tblGrid>
      <w:tr w:rsidR="00013EB8">
        <w:trPr>
          <w:trHeight w:val="270"/>
        </w:trPr>
        <w:tc>
          <w:tcPr>
            <w:tcW w:w="812" w:type="dxa"/>
            <w:tcBorders>
              <w:top w:val="nil"/>
              <w:left w:val="nil"/>
              <w:bottom w:val="nil"/>
              <w:right w:val="nil"/>
            </w:tcBorders>
          </w:tcPr>
          <w:p w:rsidR="00013EB8" w:rsidRPr="00EE6734" w:rsidRDefault="00013EB8">
            <w:pPr>
              <w:widowControl w:val="0"/>
              <w:numPr>
                <w:ilvl w:val="12"/>
                <w:numId w:val="0"/>
              </w:numPr>
              <w:rPr>
                <w:b/>
              </w:rPr>
            </w:pPr>
            <w:r w:rsidRPr="00EE6734">
              <w:rPr>
                <w:b/>
              </w:rPr>
              <w:t>3.103</w:t>
            </w:r>
          </w:p>
        </w:tc>
        <w:tc>
          <w:tcPr>
            <w:tcW w:w="10058" w:type="dxa"/>
            <w:tcBorders>
              <w:top w:val="nil"/>
              <w:left w:val="nil"/>
              <w:bottom w:val="nil"/>
              <w:right w:val="nil"/>
            </w:tcBorders>
          </w:tcPr>
          <w:p w:rsidR="00013EB8" w:rsidRPr="00EE6734" w:rsidRDefault="00013EB8">
            <w:pPr>
              <w:widowControl w:val="0"/>
              <w:numPr>
                <w:ilvl w:val="12"/>
                <w:numId w:val="0"/>
              </w:numPr>
              <w:spacing w:after="120"/>
            </w:pPr>
            <w:r w:rsidRPr="00EE6734">
              <w:rPr>
                <w:b/>
              </w:rPr>
              <w:t xml:space="preserve">Procedural due process and appellate rights </w:t>
            </w:r>
            <w:r w:rsidRPr="00EE6734">
              <w:t xml:space="preserve">– </w:t>
            </w:r>
          </w:p>
          <w:p w:rsidR="00013EB8" w:rsidRPr="00EE6734" w:rsidRDefault="00013EB8" w:rsidP="00333C92">
            <w:pPr>
              <w:widowControl w:val="0"/>
              <w:numPr>
                <w:ilvl w:val="0"/>
                <w:numId w:val="55"/>
              </w:numPr>
              <w:spacing w:after="120"/>
            </w:pPr>
            <w:r w:rsidRPr="00EE6734">
              <w:rPr>
                <w:b/>
                <w:bCs/>
              </w:rPr>
              <w:t>I.2</w:t>
            </w:r>
          </w:p>
          <w:p w:rsidR="00013EB8" w:rsidRPr="00EE6734" w:rsidRDefault="00EE6734" w:rsidP="00333C92">
            <w:pPr>
              <w:widowControl w:val="0"/>
              <w:numPr>
                <w:ilvl w:val="0"/>
                <w:numId w:val="55"/>
              </w:numPr>
              <w:spacing w:after="120"/>
              <w:rPr>
                <w:b/>
              </w:rPr>
            </w:pPr>
            <w:r w:rsidRPr="00EE6734">
              <w:rPr>
                <w:b/>
              </w:rPr>
              <w:t>III.iv.8</w:t>
            </w:r>
          </w:p>
        </w:tc>
      </w:tr>
    </w:tbl>
    <w:p w:rsidR="00013EB8" w:rsidRDefault="00013EB8">
      <w:pPr>
        <w:pStyle w:val="Header"/>
        <w:widowControl w:val="0"/>
        <w:tabs>
          <w:tab w:val="clear" w:pos="4320"/>
          <w:tab w:val="clear" w:pos="8640"/>
          <w:tab w:val="left" w:pos="0"/>
          <w:tab w:val="left" w:pos="144"/>
        </w:tabs>
      </w:pPr>
    </w:p>
    <w:tbl>
      <w:tblPr>
        <w:tblW w:w="10875" w:type="dxa"/>
        <w:tblInd w:w="-45" w:type="dxa"/>
        <w:tblLayout w:type="fixed"/>
        <w:tblCellMar>
          <w:left w:w="30" w:type="dxa"/>
          <w:right w:w="30" w:type="dxa"/>
        </w:tblCellMar>
        <w:tblLook w:val="0000" w:firstRow="0" w:lastRow="0" w:firstColumn="0" w:lastColumn="0" w:noHBand="0" w:noVBand="0"/>
      </w:tblPr>
      <w:tblGrid>
        <w:gridCol w:w="812"/>
        <w:gridCol w:w="10063"/>
      </w:tblGrid>
      <w:tr w:rsidR="00013EB8">
        <w:trPr>
          <w:trHeight w:val="299"/>
        </w:trPr>
        <w:tc>
          <w:tcPr>
            <w:tcW w:w="812" w:type="dxa"/>
            <w:tcBorders>
              <w:top w:val="nil"/>
              <w:left w:val="nil"/>
              <w:bottom w:val="nil"/>
              <w:right w:val="nil"/>
            </w:tcBorders>
          </w:tcPr>
          <w:p w:rsidR="00013EB8" w:rsidRDefault="00013EB8">
            <w:pPr>
              <w:widowControl w:val="0"/>
              <w:numPr>
                <w:ilvl w:val="12"/>
                <w:numId w:val="0"/>
              </w:numPr>
              <w:rPr>
                <w:b/>
              </w:rPr>
            </w:pPr>
            <w:r w:rsidRPr="00F673C9">
              <w:rPr>
                <w:b/>
              </w:rPr>
              <w:t>3.104</w:t>
            </w:r>
          </w:p>
        </w:tc>
        <w:tc>
          <w:tcPr>
            <w:tcW w:w="10063" w:type="dxa"/>
            <w:tcBorders>
              <w:top w:val="nil"/>
              <w:left w:val="nil"/>
              <w:bottom w:val="nil"/>
              <w:right w:val="nil"/>
            </w:tcBorders>
          </w:tcPr>
          <w:p w:rsidR="00013EB8" w:rsidRDefault="00013EB8">
            <w:pPr>
              <w:widowControl w:val="0"/>
              <w:numPr>
                <w:ilvl w:val="12"/>
                <w:numId w:val="0"/>
              </w:numPr>
              <w:spacing w:after="120"/>
            </w:pPr>
            <w:r>
              <w:rPr>
                <w:b/>
              </w:rPr>
              <w:t>Finality of decisions</w:t>
            </w:r>
            <w:r>
              <w:t xml:space="preserve"> – </w:t>
            </w:r>
          </w:p>
          <w:p w:rsidR="00013EB8" w:rsidRDefault="00013EB8" w:rsidP="00691877">
            <w:pPr>
              <w:widowControl w:val="0"/>
              <w:numPr>
                <w:ilvl w:val="0"/>
                <w:numId w:val="2"/>
              </w:numPr>
              <w:tabs>
                <w:tab w:val="left" w:pos="330"/>
              </w:tabs>
              <w:ind w:left="330"/>
            </w:pPr>
            <w:r>
              <w:rPr>
                <w:b/>
                <w:i/>
              </w:rPr>
              <w:t>Hamilton et al v. Brown</w:t>
            </w:r>
            <w:r>
              <w:rPr>
                <w:b/>
              </w:rPr>
              <w:t xml:space="preserve"> (4/15/93) </w:t>
            </w:r>
            <w:r>
              <w:t>- finality issues &amp; informal claims</w:t>
            </w:r>
          </w:p>
          <w:p w:rsidR="0059417E" w:rsidRPr="0059417E" w:rsidRDefault="0059417E" w:rsidP="00691877">
            <w:pPr>
              <w:widowControl w:val="0"/>
              <w:numPr>
                <w:ilvl w:val="0"/>
                <w:numId w:val="2"/>
              </w:numPr>
              <w:tabs>
                <w:tab w:val="left" w:pos="330"/>
              </w:tabs>
              <w:ind w:left="330"/>
              <w:rPr>
                <w:b/>
              </w:rPr>
            </w:pPr>
            <w:r w:rsidRPr="0059417E">
              <w:rPr>
                <w:b/>
              </w:rPr>
              <w:t>III.iv.2.B.1</w:t>
            </w:r>
          </w:p>
        </w:tc>
      </w:tr>
    </w:tbl>
    <w:p w:rsidR="00013EB8" w:rsidRDefault="00013EB8">
      <w:pPr>
        <w:widowControl w:val="0"/>
        <w:tabs>
          <w:tab w:val="left" w:pos="0"/>
          <w:tab w:val="left" w:pos="144"/>
        </w:tabs>
      </w:pPr>
    </w:p>
    <w:tbl>
      <w:tblPr>
        <w:tblW w:w="10965" w:type="dxa"/>
        <w:tblInd w:w="33" w:type="dxa"/>
        <w:tblLayout w:type="fixed"/>
        <w:tblLook w:val="0000" w:firstRow="0" w:lastRow="0" w:firstColumn="0" w:lastColumn="0" w:noHBand="0" w:noVBand="0"/>
      </w:tblPr>
      <w:tblGrid>
        <w:gridCol w:w="795"/>
        <w:gridCol w:w="10170"/>
      </w:tblGrid>
      <w:tr w:rsidR="00013EB8" w:rsidTr="00D6117D">
        <w:trPr>
          <w:trHeight w:val="262"/>
        </w:trPr>
        <w:tc>
          <w:tcPr>
            <w:tcW w:w="795" w:type="dxa"/>
            <w:tcBorders>
              <w:top w:val="nil"/>
              <w:left w:val="nil"/>
              <w:bottom w:val="nil"/>
              <w:right w:val="nil"/>
            </w:tcBorders>
          </w:tcPr>
          <w:p w:rsidR="00013EB8" w:rsidRDefault="00013EB8">
            <w:pPr>
              <w:widowControl w:val="0"/>
              <w:numPr>
                <w:ilvl w:val="12"/>
                <w:numId w:val="0"/>
              </w:numPr>
              <w:rPr>
                <w:b/>
              </w:rPr>
            </w:pPr>
            <w:r w:rsidRPr="00F673C9">
              <w:rPr>
                <w:b/>
              </w:rPr>
              <w:t>3.105</w:t>
            </w:r>
          </w:p>
        </w:tc>
        <w:tc>
          <w:tcPr>
            <w:tcW w:w="10170" w:type="dxa"/>
            <w:tcBorders>
              <w:top w:val="nil"/>
              <w:left w:val="nil"/>
              <w:bottom w:val="nil"/>
              <w:right w:val="nil"/>
            </w:tcBorders>
          </w:tcPr>
          <w:p w:rsidR="00013EB8" w:rsidRDefault="00013EB8">
            <w:pPr>
              <w:pStyle w:val="Heading1"/>
              <w:keepNext w:val="0"/>
              <w:widowControl w:val="0"/>
              <w:numPr>
                <w:ilvl w:val="12"/>
                <w:numId w:val="0"/>
              </w:numPr>
              <w:rPr>
                <w:b/>
                <w:sz w:val="20"/>
              </w:rPr>
            </w:pPr>
            <w:r>
              <w:rPr>
                <w:b/>
                <w:bCs/>
                <w:i w:val="0"/>
                <w:iCs w:val="0"/>
                <w:sz w:val="20"/>
              </w:rPr>
              <w:t>Revision of decisions</w:t>
            </w:r>
            <w:r w:rsidR="00F01095">
              <w:rPr>
                <w:b/>
                <w:bCs/>
                <w:i w:val="0"/>
                <w:iCs w:val="0"/>
                <w:sz w:val="20"/>
              </w:rPr>
              <w:t>, III.iv.2.B</w:t>
            </w:r>
            <w:r>
              <w:rPr>
                <w:b/>
                <w:sz w:val="20"/>
              </w:rPr>
              <w:t xml:space="preserve"> – </w:t>
            </w:r>
          </w:p>
          <w:p w:rsidR="00A03202" w:rsidRPr="00A03202" w:rsidRDefault="00013EB8" w:rsidP="00A03202">
            <w:pPr>
              <w:rPr>
                <w:bCs/>
                <w:i/>
                <w:iCs/>
                <w:szCs w:val="24"/>
              </w:rPr>
            </w:pPr>
            <w:r>
              <w:rPr>
                <w:b/>
              </w:rPr>
              <w:t>CUE</w:t>
            </w:r>
            <w:r w:rsidR="00D6117D">
              <w:t xml:space="preserve">: </w:t>
            </w:r>
            <w:r>
              <w:rPr>
                <w:b/>
              </w:rPr>
              <w:t xml:space="preserve"> </w:t>
            </w:r>
            <w:r w:rsidR="00D6117D" w:rsidRPr="00A03202">
              <w:rPr>
                <w:b/>
              </w:rPr>
              <w:t xml:space="preserve">3.105(a); </w:t>
            </w:r>
            <w:r w:rsidRPr="00A03202">
              <w:rPr>
                <w:b/>
                <w:bCs/>
                <w:iCs/>
                <w:szCs w:val="24"/>
              </w:rPr>
              <w:t>III.iv.2.B.7</w:t>
            </w:r>
            <w:r w:rsidR="00D64628" w:rsidRPr="00A03202">
              <w:rPr>
                <w:b/>
                <w:bCs/>
                <w:iCs/>
                <w:szCs w:val="24"/>
              </w:rPr>
              <w:t>, III.v.1.I.3</w:t>
            </w:r>
            <w:r w:rsidR="00D64628">
              <w:rPr>
                <w:b/>
                <w:bCs/>
                <w:i/>
                <w:iCs/>
                <w:szCs w:val="24"/>
              </w:rPr>
              <w:t xml:space="preserve"> </w:t>
            </w:r>
            <w:r w:rsidR="00D64628" w:rsidRPr="00A03202">
              <w:rPr>
                <w:bCs/>
                <w:i/>
                <w:iCs/>
                <w:szCs w:val="24"/>
              </w:rPr>
              <w:t>(</w:t>
            </w:r>
            <w:r w:rsidR="00A03202">
              <w:rPr>
                <w:bCs/>
                <w:i/>
                <w:iCs/>
                <w:szCs w:val="24"/>
              </w:rPr>
              <w:t xml:space="preserve">updated 4/17/18, </w:t>
            </w:r>
            <w:r w:rsidR="00D64628" w:rsidRPr="00A03202">
              <w:rPr>
                <w:bCs/>
                <w:i/>
                <w:iCs/>
                <w:szCs w:val="24"/>
              </w:rPr>
              <w:t>administrative error</w:t>
            </w:r>
            <w:r w:rsidR="008964C5" w:rsidRPr="00A03202">
              <w:rPr>
                <w:bCs/>
                <w:i/>
                <w:iCs/>
                <w:szCs w:val="24"/>
              </w:rPr>
              <w:t>, doesn’t seem this is for rating error</w:t>
            </w:r>
            <w:r w:rsidR="00747646" w:rsidRPr="00A03202">
              <w:rPr>
                <w:bCs/>
                <w:i/>
                <w:iCs/>
                <w:szCs w:val="24"/>
              </w:rPr>
              <w:t>s</w:t>
            </w:r>
            <w:r w:rsidR="008964C5" w:rsidRPr="00A03202">
              <w:rPr>
                <w:bCs/>
                <w:i/>
                <w:iCs/>
                <w:szCs w:val="24"/>
              </w:rPr>
              <w:t>, but does have info on waiving overpayments</w:t>
            </w:r>
            <w:r w:rsidR="00D64628" w:rsidRPr="00A03202">
              <w:rPr>
                <w:bCs/>
                <w:i/>
                <w:iCs/>
                <w:szCs w:val="24"/>
              </w:rPr>
              <w:t>)</w:t>
            </w:r>
            <w:r w:rsidR="00A03202" w:rsidRPr="00A03202">
              <w:rPr>
                <w:bCs/>
                <w:i/>
                <w:iCs/>
                <w:szCs w:val="24"/>
              </w:rPr>
              <w:t xml:space="preserve">, </w:t>
            </w:r>
            <w:r w:rsidR="00A03202">
              <w:rPr>
                <w:b/>
                <w:bCs/>
                <w:iCs/>
                <w:szCs w:val="24"/>
              </w:rPr>
              <w:t>IV.ii.3.A</w:t>
            </w:r>
            <w:r w:rsidR="00A03202">
              <w:rPr>
                <w:bCs/>
                <w:i/>
                <w:iCs/>
                <w:szCs w:val="24"/>
              </w:rPr>
              <w:t xml:space="preserve"> (updated 5/17/18)</w:t>
            </w:r>
          </w:p>
          <w:p w:rsidR="0035645B" w:rsidRPr="00A03202" w:rsidRDefault="00A03202" w:rsidP="00A03202">
            <w:pPr>
              <w:rPr>
                <w:rFonts w:ascii="Segoe UI" w:hAnsi="Segoe UI" w:cs="Segoe UI"/>
                <w:color w:val="000000"/>
              </w:rPr>
            </w:pPr>
            <w:r w:rsidRPr="00A03202">
              <w:rPr>
                <w:bCs/>
                <w:i/>
                <w:iCs/>
                <w:szCs w:val="24"/>
              </w:rPr>
              <w:t xml:space="preserve">VA Pulse discussions on CUEs &amp; proposals/due process - </w:t>
            </w:r>
            <w:r w:rsidRPr="00A03202">
              <w:rPr>
                <w:i/>
              </w:rPr>
              <w:t>https://www.vapulse.net/message/178138</w:t>
            </w:r>
            <w:r w:rsidRPr="00A03202">
              <w:t xml:space="preserve">, </w:t>
            </w:r>
            <w:r w:rsidRPr="00A03202">
              <w:rPr>
                <w:i/>
              </w:rPr>
              <w:t>https://www.vapulse.net/message/167093</w:t>
            </w:r>
            <w:r w:rsidRPr="00A03202">
              <w:t xml:space="preserve">, </w:t>
            </w:r>
            <w:r w:rsidRPr="00A03202">
              <w:rPr>
                <w:i/>
              </w:rPr>
              <w:t>https://www.vapulse.net/thread/7934</w:t>
            </w:r>
            <w:r>
              <w:rPr>
                <w:rFonts w:ascii="Segoe UI" w:hAnsi="Segoe UI" w:cs="Segoe UI"/>
              </w:rPr>
              <w:t xml:space="preserve"> </w:t>
            </w:r>
            <w:r>
              <w:t xml:space="preserve">(this one includes a nice chart that isn’t approved, but is helpful); </w:t>
            </w:r>
            <w:r w:rsidRPr="00A03202">
              <w:rPr>
                <w:i/>
                <w:color w:val="00B050"/>
              </w:rPr>
              <w:t xml:space="preserve">My Notes:  </w:t>
            </w:r>
            <w:r w:rsidRPr="00A03202">
              <w:rPr>
                <w:i/>
                <w:color w:val="000000"/>
              </w:rPr>
              <w:t>Guidance is unclear in the manual</w:t>
            </w:r>
            <w:r w:rsidR="00E4382E">
              <w:rPr>
                <w:i/>
                <w:color w:val="000000"/>
              </w:rPr>
              <w:t xml:space="preserve"> (even with the 4/17/18 &amp; 5/17/18 updates)</w:t>
            </w:r>
            <w:r w:rsidRPr="00A03202">
              <w:rPr>
                <w:i/>
                <w:color w:val="000000"/>
              </w:rPr>
              <w:t>, but CO has said that due process is still necessary for CUEs that do not impact the current payment (i.e. effective dates)</w:t>
            </w:r>
            <w:r>
              <w:rPr>
                <w:i/>
                <w:color w:val="000000"/>
              </w:rPr>
              <w:t>, as they impact a past payment &amp; the c</w:t>
            </w:r>
            <w:r w:rsidR="00E4382E">
              <w:rPr>
                <w:i/>
                <w:color w:val="000000"/>
              </w:rPr>
              <w:t xml:space="preserve">orrection of the error </w:t>
            </w:r>
            <w:r w:rsidRPr="00A03202">
              <w:rPr>
                <w:i/>
                <w:color w:val="000000"/>
              </w:rPr>
              <w:t>will create an overpayment.</w:t>
            </w:r>
            <w:r>
              <w:rPr>
                <w:i/>
                <w:color w:val="000000"/>
              </w:rPr>
              <w:t xml:space="preserve"> Proposals are not needed if a CUE does not change future or past benefits.</w:t>
            </w:r>
          </w:p>
          <w:p w:rsidR="00013EB8" w:rsidRDefault="00013EB8">
            <w:pPr>
              <w:pStyle w:val="Heading1"/>
              <w:keepNext w:val="0"/>
              <w:widowControl w:val="0"/>
              <w:numPr>
                <w:ilvl w:val="12"/>
                <w:numId w:val="0"/>
              </w:numPr>
              <w:rPr>
                <w:b/>
                <w:iCs w:val="0"/>
                <w:sz w:val="20"/>
              </w:rPr>
            </w:pPr>
            <w:r>
              <w:rPr>
                <w:b/>
                <w:sz w:val="20"/>
              </w:rPr>
              <w:t>DOO</w:t>
            </w:r>
            <w:r w:rsidR="00D6117D">
              <w:t xml:space="preserve">: </w:t>
            </w:r>
            <w:r>
              <w:rPr>
                <w:b/>
                <w:sz w:val="20"/>
              </w:rPr>
              <w:t xml:space="preserve"> </w:t>
            </w:r>
            <w:r w:rsidRPr="00D43CE0">
              <w:rPr>
                <w:b/>
                <w:bCs/>
                <w:i w:val="0"/>
                <w:sz w:val="20"/>
              </w:rPr>
              <w:t>3</w:t>
            </w:r>
            <w:r w:rsidR="00D64628">
              <w:rPr>
                <w:b/>
                <w:bCs/>
                <w:i w:val="0"/>
                <w:sz w:val="20"/>
              </w:rPr>
              <w:t>.105(b), 3</w:t>
            </w:r>
            <w:r w:rsidRPr="00D43CE0">
              <w:rPr>
                <w:b/>
                <w:bCs/>
                <w:i w:val="0"/>
                <w:sz w:val="20"/>
              </w:rPr>
              <w:t>.400</w:t>
            </w:r>
            <w:r w:rsidRPr="00D6117D">
              <w:rPr>
                <w:b/>
                <w:i w:val="0"/>
                <w:sz w:val="20"/>
              </w:rPr>
              <w:t xml:space="preserve">(h); </w:t>
            </w:r>
            <w:r w:rsidRPr="007F2C71">
              <w:rPr>
                <w:b/>
                <w:bCs/>
                <w:i w:val="0"/>
                <w:iCs w:val="0"/>
                <w:sz w:val="20"/>
              </w:rPr>
              <w:t>III.iv.</w:t>
            </w:r>
            <w:r w:rsidR="007F2C71">
              <w:rPr>
                <w:b/>
                <w:bCs/>
                <w:i w:val="0"/>
                <w:iCs w:val="0"/>
                <w:sz w:val="20"/>
              </w:rPr>
              <w:t>2</w:t>
            </w:r>
            <w:r w:rsidRPr="007F2C71">
              <w:rPr>
                <w:b/>
                <w:bCs/>
                <w:i w:val="0"/>
                <w:iCs w:val="0"/>
                <w:sz w:val="20"/>
              </w:rPr>
              <w:t>.B</w:t>
            </w:r>
            <w:r w:rsidR="0015741D">
              <w:rPr>
                <w:b/>
                <w:bCs/>
                <w:i w:val="0"/>
                <w:iCs w:val="0"/>
                <w:sz w:val="20"/>
              </w:rPr>
              <w:t>, III.vi.1.A.1</w:t>
            </w:r>
          </w:p>
          <w:p w:rsidR="00D6117D" w:rsidRDefault="00013EB8" w:rsidP="00D6117D">
            <w:pPr>
              <w:pStyle w:val="Heading1"/>
              <w:keepNext w:val="0"/>
              <w:widowControl w:val="0"/>
              <w:numPr>
                <w:ilvl w:val="12"/>
                <w:numId w:val="0"/>
              </w:numPr>
              <w:rPr>
                <w:bCs/>
                <w:i w:val="0"/>
                <w:iCs w:val="0"/>
                <w:sz w:val="20"/>
              </w:rPr>
            </w:pPr>
            <w:r>
              <w:rPr>
                <w:b/>
                <w:sz w:val="20"/>
              </w:rPr>
              <w:t>Severance of SC</w:t>
            </w:r>
            <w:r w:rsidR="00D6117D">
              <w:t xml:space="preserve">:  </w:t>
            </w:r>
            <w:r w:rsidR="00D6117D">
              <w:rPr>
                <w:b/>
                <w:bCs/>
                <w:i w:val="0"/>
                <w:iCs w:val="0"/>
                <w:sz w:val="20"/>
              </w:rPr>
              <w:t>3.105(d); I</w:t>
            </w:r>
            <w:r w:rsidR="00E33224">
              <w:rPr>
                <w:b/>
                <w:bCs/>
                <w:i w:val="0"/>
                <w:iCs w:val="0"/>
                <w:sz w:val="20"/>
              </w:rPr>
              <w:t>II.iv.8.E.2</w:t>
            </w:r>
            <w:r w:rsidR="001B4805">
              <w:rPr>
                <w:b/>
                <w:bCs/>
                <w:i w:val="0"/>
                <w:iCs w:val="0"/>
                <w:sz w:val="20"/>
              </w:rPr>
              <w:t>, IV.ii.3.A.2.l</w:t>
            </w:r>
            <w:r w:rsidR="00D64628">
              <w:rPr>
                <w:b/>
                <w:bCs/>
                <w:i w:val="0"/>
                <w:iCs w:val="0"/>
                <w:sz w:val="20"/>
              </w:rPr>
              <w:t>; includes COD from 3.105(c)</w:t>
            </w:r>
          </w:p>
          <w:p w:rsidR="00D6117D" w:rsidRPr="00D64628" w:rsidRDefault="00D6117D" w:rsidP="00D6117D">
            <w:pPr>
              <w:pStyle w:val="Heading1"/>
              <w:keepNext w:val="0"/>
              <w:widowControl w:val="0"/>
              <w:numPr>
                <w:ilvl w:val="12"/>
                <w:numId w:val="0"/>
              </w:numPr>
              <w:rPr>
                <w:b/>
                <w:bCs/>
                <w:i w:val="0"/>
                <w:iCs w:val="0"/>
                <w:color w:val="0000FF"/>
                <w:sz w:val="16"/>
                <w:u w:val="single"/>
              </w:rPr>
            </w:pPr>
            <w:r w:rsidRPr="00D64628">
              <w:rPr>
                <w:b/>
                <w:sz w:val="20"/>
              </w:rPr>
              <w:t>Reduction in evaluation</w:t>
            </w:r>
            <w:r w:rsidRPr="00D6117D">
              <w:rPr>
                <w:sz w:val="20"/>
              </w:rPr>
              <w:t xml:space="preserve">:  </w:t>
            </w:r>
            <w:r w:rsidRPr="00D64628">
              <w:rPr>
                <w:b/>
                <w:i w:val="0"/>
                <w:sz w:val="20"/>
              </w:rPr>
              <w:t>3.105(e), III.iv.3.B, III.iv.8.B&amp;D, IV.ii.3.A.3</w:t>
            </w:r>
          </w:p>
          <w:p w:rsidR="00D6117D" w:rsidRDefault="009529E0" w:rsidP="009529E0">
            <w:r>
              <w:t xml:space="preserve">Liberally construing evidence:  </w:t>
            </w:r>
            <w:r w:rsidRPr="00EE6734">
              <w:rPr>
                <w:b/>
              </w:rPr>
              <w:t>I.5.D</w:t>
            </w:r>
            <w:r>
              <w:t xml:space="preserve"> &amp; </w:t>
            </w:r>
            <w:r w:rsidRPr="006E501E">
              <w:rPr>
                <w:b/>
                <w:i/>
              </w:rPr>
              <w:t>Harris v. Shinseki</w:t>
            </w:r>
            <w:r>
              <w:t xml:space="preserve"> (2013)</w:t>
            </w:r>
          </w:p>
          <w:p w:rsidR="003124BE" w:rsidRPr="009529E0" w:rsidRDefault="003124BE" w:rsidP="009529E0"/>
          <w:p w:rsidR="00013EB8" w:rsidRDefault="00013EB8" w:rsidP="00F063AF">
            <w:pPr>
              <w:widowControl w:val="0"/>
              <w:numPr>
                <w:ilvl w:val="0"/>
                <w:numId w:val="333"/>
              </w:numPr>
              <w:tabs>
                <w:tab w:val="left" w:pos="600"/>
              </w:tabs>
              <w:spacing w:after="120"/>
            </w:pPr>
            <w:r>
              <w:rPr>
                <w:b/>
                <w:i/>
                <w:iCs/>
              </w:rPr>
              <w:t>Cotant</w:t>
            </w:r>
            <w:r>
              <w:rPr>
                <w:b/>
              </w:rPr>
              <w:t>, 17/not published</w:t>
            </w:r>
            <w:r>
              <w:t xml:space="preserve"> -</w:t>
            </w:r>
            <w:r w:rsidR="00E93EB2">
              <w:t xml:space="preserve"> </w:t>
            </w:r>
            <w:r>
              <w:t>pre-existing condition and aggravation; Clear and Unmistakable standard; Judicial notice; Absurd results; merely having greater probative value does not raise to the level of their being Clear &amp; Unmistakable evidence</w:t>
            </w:r>
          </w:p>
          <w:p w:rsidR="00013EB8" w:rsidRDefault="00013EB8" w:rsidP="00F063AF">
            <w:pPr>
              <w:pStyle w:val="Heading1"/>
              <w:keepNext w:val="0"/>
              <w:widowControl w:val="0"/>
              <w:numPr>
                <w:ilvl w:val="0"/>
                <w:numId w:val="333"/>
              </w:numPr>
              <w:tabs>
                <w:tab w:val="left" w:pos="600"/>
              </w:tabs>
              <w:spacing w:after="120"/>
              <w:rPr>
                <w:b/>
                <w:sz w:val="20"/>
              </w:rPr>
            </w:pPr>
            <w:r>
              <w:rPr>
                <w:i w:val="0"/>
                <w:iCs w:val="0"/>
                <w:sz w:val="20"/>
              </w:rPr>
              <w:t>Henderson</w:t>
            </w:r>
            <w:r>
              <w:rPr>
                <w:sz w:val="20"/>
              </w:rPr>
              <w:t xml:space="preserve"> 12/11 </w:t>
            </w:r>
            <w:r>
              <w:rPr>
                <w:bCs/>
                <w:i w:val="0"/>
                <w:iCs w:val="0"/>
                <w:sz w:val="20"/>
              </w:rPr>
              <w:t>-</w:t>
            </w:r>
            <w:r w:rsidR="00E93EB2">
              <w:rPr>
                <w:bCs/>
                <w:i w:val="0"/>
                <w:iCs w:val="0"/>
                <w:sz w:val="20"/>
              </w:rPr>
              <w:t xml:space="preserve"> </w:t>
            </w:r>
            <w:r>
              <w:rPr>
                <w:bCs/>
                <w:i w:val="0"/>
                <w:iCs w:val="0"/>
                <w:sz w:val="20"/>
              </w:rPr>
              <w:t xml:space="preserve"> why CUE claims are separate issues to be adjudicated when claimed</w:t>
            </w:r>
          </w:p>
          <w:p w:rsidR="00013EB8" w:rsidRDefault="00013EB8" w:rsidP="00F063AF">
            <w:pPr>
              <w:widowControl w:val="0"/>
              <w:numPr>
                <w:ilvl w:val="0"/>
                <w:numId w:val="333"/>
              </w:numPr>
              <w:tabs>
                <w:tab w:val="left" w:pos="600"/>
              </w:tabs>
              <w:spacing w:after="120"/>
            </w:pPr>
            <w:r>
              <w:rPr>
                <w:b/>
                <w:i/>
              </w:rPr>
              <w:t>Burris v. Principi</w:t>
            </w:r>
            <w:r>
              <w:rPr>
                <w:b/>
              </w:rPr>
              <w:t xml:space="preserve"> 15 Vet. App. 348 </w:t>
            </w:r>
            <w:r w:rsidR="00E56BCA">
              <w:t>- CUE not applicable</w:t>
            </w:r>
            <w:r>
              <w:t xml:space="preserve"> where the claimant is not entitled to receive the benefit [usually with accrued]</w:t>
            </w:r>
          </w:p>
          <w:p w:rsidR="00013EB8" w:rsidRDefault="00013EB8" w:rsidP="00F063AF">
            <w:pPr>
              <w:widowControl w:val="0"/>
              <w:numPr>
                <w:ilvl w:val="0"/>
                <w:numId w:val="333"/>
              </w:numPr>
              <w:tabs>
                <w:tab w:val="left" w:pos="600"/>
              </w:tabs>
              <w:spacing w:after="120"/>
            </w:pPr>
            <w:r>
              <w:rPr>
                <w:b/>
                <w:i/>
              </w:rPr>
              <w:t>Schutte v. Gober</w:t>
            </w:r>
            <w:r>
              <w:rPr>
                <w:b/>
              </w:rPr>
              <w:t xml:space="preserve"> 4 Fed.Appx. 787 (15 Vet. App.) </w:t>
            </w:r>
            <w:r>
              <w:t>- CUE requires heightened pleading requirement, “persuasive reasons must be given as to why the result would have been manifestly different but for the alleged error.”</w:t>
            </w:r>
          </w:p>
          <w:p w:rsidR="00013EB8" w:rsidRDefault="00013EB8" w:rsidP="00F063AF">
            <w:pPr>
              <w:widowControl w:val="0"/>
              <w:numPr>
                <w:ilvl w:val="0"/>
                <w:numId w:val="333"/>
              </w:numPr>
              <w:tabs>
                <w:tab w:val="left" w:pos="600"/>
              </w:tabs>
              <w:spacing w:after="120"/>
            </w:pPr>
            <w:r>
              <w:rPr>
                <w:b/>
                <w:i/>
              </w:rPr>
              <w:t xml:space="preserve">Gross </w:t>
            </w:r>
            <w:r>
              <w:rPr>
                <w:b/>
              </w:rPr>
              <w:t>(1992)</w:t>
            </w:r>
            <w:r>
              <w:t xml:space="preserve"> </w:t>
            </w:r>
          </w:p>
          <w:p w:rsidR="00013EB8" w:rsidRDefault="00013EB8" w:rsidP="00F063AF">
            <w:pPr>
              <w:widowControl w:val="0"/>
              <w:numPr>
                <w:ilvl w:val="0"/>
                <w:numId w:val="333"/>
              </w:numPr>
              <w:tabs>
                <w:tab w:val="left" w:pos="600"/>
              </w:tabs>
              <w:spacing w:after="120"/>
            </w:pPr>
            <w:r>
              <w:rPr>
                <w:b/>
                <w:i/>
              </w:rPr>
              <w:t xml:space="preserve">Hill </w:t>
            </w:r>
            <w:r>
              <w:rPr>
                <w:b/>
              </w:rPr>
              <w:t xml:space="preserve">(1992) </w:t>
            </w:r>
          </w:p>
          <w:p w:rsidR="00013EB8" w:rsidRDefault="00013EB8" w:rsidP="00F063AF">
            <w:pPr>
              <w:widowControl w:val="0"/>
              <w:numPr>
                <w:ilvl w:val="0"/>
                <w:numId w:val="333"/>
              </w:numPr>
              <w:tabs>
                <w:tab w:val="left" w:pos="600"/>
              </w:tabs>
              <w:spacing w:after="120"/>
            </w:pPr>
            <w:r>
              <w:rPr>
                <w:b/>
                <w:i/>
              </w:rPr>
              <w:t xml:space="preserve">Murincsak v. Derwinski </w:t>
            </w:r>
            <w:r w:rsidRPr="00DA433D">
              <w:t>(4/24/92)</w:t>
            </w:r>
            <w:r>
              <w:rPr>
                <w:b/>
                <w:i/>
              </w:rPr>
              <w:t xml:space="preserve"> &amp; Bell v. Derwinski </w:t>
            </w:r>
            <w:r w:rsidRPr="00DA433D">
              <w:t xml:space="preserve">(7/21/92) </w:t>
            </w:r>
            <w:r>
              <w:t>- get VAMC records [</w:t>
            </w:r>
            <w:r>
              <w:rPr>
                <w:b/>
                <w:i/>
              </w:rPr>
              <w:t>GC Opinion 12-95 (5/10/95)</w:t>
            </w:r>
            <w:r>
              <w:t xml:space="preserve"> – can find CUE on decisions final on or after 7/21/92 based on constructive notice of medical records, based on </w:t>
            </w:r>
            <w:r>
              <w:rPr>
                <w:b/>
                <w:i/>
              </w:rPr>
              <w:t xml:space="preserve">Bell </w:t>
            </w:r>
            <w:r>
              <w:t>case]</w:t>
            </w:r>
          </w:p>
          <w:p w:rsidR="00013EB8" w:rsidRDefault="00013EB8" w:rsidP="00F063AF">
            <w:pPr>
              <w:widowControl w:val="0"/>
              <w:numPr>
                <w:ilvl w:val="0"/>
                <w:numId w:val="333"/>
              </w:numPr>
              <w:tabs>
                <w:tab w:val="left" w:pos="600"/>
              </w:tabs>
              <w:spacing w:after="120"/>
            </w:pPr>
            <w:r w:rsidRPr="006E501E">
              <w:rPr>
                <w:b/>
                <w:i/>
              </w:rPr>
              <w:t>Russell v. Principi</w:t>
            </w:r>
            <w:r>
              <w:rPr>
                <w:b/>
                <w:i/>
              </w:rPr>
              <w:t xml:space="preserve"> </w:t>
            </w:r>
            <w:r>
              <w:rPr>
                <w:bCs/>
              </w:rPr>
              <w:t>(10/6/92)</w:t>
            </w:r>
            <w:r>
              <w:rPr>
                <w:i/>
              </w:rPr>
              <w:t xml:space="preserve"> </w:t>
            </w:r>
            <w:r>
              <w:t>- decision makers have no authority to revise determinations on the same evidentiary record or factual basis in the absence of "clear and unmistakable error"; definition of CUE (6 criteria must be met: 1- facts known at the time were not before the adjudicator or the law was incorrectly applied, 2- error was based on the record and law at the time, 3- outcome would have been manifestly different; other 3?); claimant must be specific and assert “more than a disagreement as to how the facts were weighed or evaluated”; appellant “bears an extra-heavy burden” of persuasion; cannot apply benefit of the doubt in CUEs</w:t>
            </w:r>
          </w:p>
          <w:p w:rsidR="00013EB8" w:rsidRDefault="00013EB8" w:rsidP="00F063AF">
            <w:pPr>
              <w:widowControl w:val="0"/>
              <w:numPr>
                <w:ilvl w:val="0"/>
                <w:numId w:val="333"/>
              </w:numPr>
              <w:tabs>
                <w:tab w:val="left" w:pos="600"/>
              </w:tabs>
              <w:spacing w:after="120"/>
            </w:pPr>
            <w:r>
              <w:rPr>
                <w:b/>
                <w:i/>
              </w:rPr>
              <w:t xml:space="preserve">Newman v. Brown </w:t>
            </w:r>
            <w:r>
              <w:rPr>
                <w:b/>
              </w:rPr>
              <w:t xml:space="preserve">(5/12/93) </w:t>
            </w:r>
            <w:r>
              <w:t>- NWG if doesn’t meet criteria, so it was not a CUE</w:t>
            </w:r>
          </w:p>
          <w:p w:rsidR="00013EB8" w:rsidRDefault="00013EB8" w:rsidP="00F063AF">
            <w:pPr>
              <w:widowControl w:val="0"/>
              <w:numPr>
                <w:ilvl w:val="0"/>
                <w:numId w:val="333"/>
              </w:numPr>
              <w:tabs>
                <w:tab w:val="left" w:pos="600"/>
              </w:tabs>
              <w:spacing w:after="120"/>
            </w:pPr>
            <w:r>
              <w:rPr>
                <w:b/>
                <w:i/>
              </w:rPr>
              <w:t xml:space="preserve">Fugo v. Brown </w:t>
            </w:r>
            <w:r>
              <w:rPr>
                <w:b/>
              </w:rPr>
              <w:t>(11/16/93)</w:t>
            </w:r>
            <w:r>
              <w:t xml:space="preserve"> – more on CUEs, need (from claimant) specificity of error &amp; persuasive reasons for why result would be different, cannot allege a CUE based on improperly weighing and evaluating evid, </w:t>
            </w:r>
            <w:r>
              <w:lastRenderedPageBreak/>
              <w:t>not a mere broad allegation of a failure to follow the regulations, or the failure to give due process, or any other general, nonspecific allegations of error; how evidence was developed (duty to assist), weighed (benefit of the doubt), or explained (reasons &amp; bases) are not valid; need different result for it to be CUE</w:t>
            </w:r>
          </w:p>
          <w:p w:rsidR="00013EB8" w:rsidRPr="008521DF" w:rsidRDefault="00013EB8" w:rsidP="008521DF">
            <w:pPr>
              <w:pStyle w:val="BodyText2"/>
              <w:widowControl w:val="0"/>
              <w:pBdr>
                <w:top w:val="single" w:sz="4" w:space="1" w:color="auto"/>
                <w:left w:val="single" w:sz="4" w:space="4" w:color="auto"/>
                <w:bottom w:val="single" w:sz="4" w:space="1" w:color="auto"/>
                <w:right w:val="single" w:sz="4" w:space="4" w:color="auto"/>
              </w:pBdr>
              <w:spacing w:after="120"/>
              <w:ind w:left="420" w:right="240"/>
              <w:rPr>
                <w:b w:val="0"/>
                <w:bCs w:val="0"/>
                <w:iCs/>
                <w:sz w:val="20"/>
              </w:rPr>
            </w:pPr>
            <w:r w:rsidRPr="008521DF">
              <w:rPr>
                <w:b w:val="0"/>
                <w:bCs w:val="0"/>
                <w:iCs/>
                <w:sz w:val="20"/>
              </w:rPr>
              <w:t>Please note that per Fugo v. Brown your allegation of "a clear and unmistakable error on (your) previous claim for perforated eardrum" is not specific enough, as an allegation of a clear and unmistakable error must state the specific error, as well as persuasive reasons for why the result would be different.</w:t>
            </w:r>
          </w:p>
          <w:p w:rsidR="00013EB8" w:rsidRDefault="00013EB8" w:rsidP="00F063AF">
            <w:pPr>
              <w:widowControl w:val="0"/>
              <w:numPr>
                <w:ilvl w:val="0"/>
                <w:numId w:val="334"/>
              </w:numPr>
              <w:tabs>
                <w:tab w:val="left" w:pos="510"/>
              </w:tabs>
              <w:spacing w:after="120"/>
            </w:pPr>
            <w:r>
              <w:rPr>
                <w:b/>
                <w:i/>
              </w:rPr>
              <w:t>Allin v</w:t>
            </w:r>
            <w:r>
              <w:t xml:space="preserve">. </w:t>
            </w:r>
            <w:r>
              <w:rPr>
                <w:b/>
                <w:i/>
              </w:rPr>
              <w:t>Brown</w:t>
            </w:r>
            <w:r>
              <w:rPr>
                <w:b/>
              </w:rPr>
              <w:t xml:space="preserve"> (2/14/94</w:t>
            </w:r>
            <w:r>
              <w:t xml:space="preserve">) – failure to follow the procedures in the </w:t>
            </w:r>
            <w:r>
              <w:rPr>
                <w:i/>
              </w:rPr>
              <w:t>Physician’s Guide for Disability Evaluation Examinations</w:t>
            </w:r>
            <w:r>
              <w:t xml:space="preserve"> is not a CUE; not retroactively applying changes in the law concerning POW presumptives is not a CUE</w:t>
            </w:r>
          </w:p>
          <w:p w:rsidR="00013EB8" w:rsidRDefault="00013EB8" w:rsidP="00F063AF">
            <w:pPr>
              <w:widowControl w:val="0"/>
              <w:numPr>
                <w:ilvl w:val="0"/>
                <w:numId w:val="334"/>
              </w:numPr>
              <w:tabs>
                <w:tab w:val="left" w:pos="510"/>
              </w:tabs>
              <w:spacing w:after="120"/>
              <w:rPr>
                <w:i/>
              </w:rPr>
            </w:pPr>
            <w:r>
              <w:rPr>
                <w:b/>
                <w:i/>
              </w:rPr>
              <w:t>Sondel v. Brown</w:t>
            </w:r>
            <w:r>
              <w:rPr>
                <w:b/>
              </w:rPr>
              <w:t xml:space="preserve"> (2/16/94), </w:t>
            </w:r>
            <w:r>
              <w:rPr>
                <w:b/>
                <w:i/>
              </w:rPr>
              <w:t>Link v. West</w:t>
            </w:r>
            <w:r>
              <w:rPr>
                <w:b/>
              </w:rPr>
              <w:t xml:space="preserve"> (11/18/98), and </w:t>
            </w:r>
            <w:r>
              <w:rPr>
                <w:b/>
                <w:i/>
              </w:rPr>
              <w:t>Grover v. West</w:t>
            </w:r>
            <w:r>
              <w:rPr>
                <w:b/>
              </w:rPr>
              <w:t xml:space="preserve"> (1/5/99) </w:t>
            </w:r>
            <w:r>
              <w:t>- good CUE discussion</w:t>
            </w:r>
            <w:r>
              <w:rPr>
                <w:b/>
                <w:i/>
              </w:rPr>
              <w:t xml:space="preserve"> </w:t>
            </w:r>
          </w:p>
          <w:p w:rsidR="00013EB8" w:rsidRDefault="00013EB8" w:rsidP="00F063AF">
            <w:pPr>
              <w:widowControl w:val="0"/>
              <w:numPr>
                <w:ilvl w:val="0"/>
                <w:numId w:val="334"/>
              </w:numPr>
              <w:tabs>
                <w:tab w:val="left" w:pos="510"/>
              </w:tabs>
              <w:spacing w:after="120"/>
            </w:pPr>
            <w:r>
              <w:rPr>
                <w:b/>
                <w:i/>
              </w:rPr>
              <w:t xml:space="preserve">Caffrey v. Brown </w:t>
            </w:r>
            <w:r>
              <w:rPr>
                <w:b/>
              </w:rPr>
              <w:t xml:space="preserve">(3/31/94) </w:t>
            </w:r>
            <w:r>
              <w:t>- not assisting in development is not a CUE, evidence not on record is not a basis for a CUE- just incomplete, not incorrect</w:t>
            </w:r>
          </w:p>
          <w:p w:rsidR="00013EB8" w:rsidRDefault="00013EB8" w:rsidP="00F063AF">
            <w:pPr>
              <w:widowControl w:val="0"/>
              <w:numPr>
                <w:ilvl w:val="0"/>
                <w:numId w:val="334"/>
              </w:numPr>
              <w:tabs>
                <w:tab w:val="left" w:pos="510"/>
              </w:tabs>
              <w:spacing w:after="120"/>
            </w:pPr>
            <w:r>
              <w:rPr>
                <w:b/>
                <w:i/>
              </w:rPr>
              <w:t xml:space="preserve">Mindenhall v. Brown </w:t>
            </w:r>
            <w:r>
              <w:rPr>
                <w:b/>
              </w:rPr>
              <w:t>(12/20/94)</w:t>
            </w:r>
            <w:r>
              <w:t xml:space="preserve"> - a claim of CUE must be specific and not a mere broad allegation of a failure to follow the regulations, or the failure to give due process, or any other general, nonspecific allegations of error</w:t>
            </w:r>
          </w:p>
          <w:p w:rsidR="00013EB8" w:rsidRDefault="00013EB8" w:rsidP="00F063AF">
            <w:pPr>
              <w:widowControl w:val="0"/>
              <w:numPr>
                <w:ilvl w:val="0"/>
                <w:numId w:val="334"/>
              </w:numPr>
              <w:tabs>
                <w:tab w:val="left" w:pos="510"/>
              </w:tabs>
              <w:spacing w:after="120"/>
            </w:pPr>
            <w:r>
              <w:rPr>
                <w:b/>
                <w:i/>
              </w:rPr>
              <w:t>Phillips v</w:t>
            </w:r>
            <w:r>
              <w:t>.</w:t>
            </w:r>
            <w:r>
              <w:rPr>
                <w:b/>
                <w:i/>
              </w:rPr>
              <w:t xml:space="preserve"> Brown </w:t>
            </w:r>
            <w:r>
              <w:rPr>
                <w:b/>
              </w:rPr>
              <w:t>(1/13/97)</w:t>
            </w:r>
            <w:r>
              <w:t xml:space="preserve"> – cannot allege a CUE based on improper weighing of evidence or wrong decision </w:t>
            </w:r>
            <w:r>
              <w:rPr>
                <w:i/>
              </w:rPr>
              <w:t>(need specifics)</w:t>
            </w:r>
          </w:p>
          <w:p w:rsidR="00013EB8" w:rsidRDefault="00013EB8" w:rsidP="00F063AF">
            <w:pPr>
              <w:widowControl w:val="0"/>
              <w:numPr>
                <w:ilvl w:val="0"/>
                <w:numId w:val="334"/>
              </w:numPr>
              <w:tabs>
                <w:tab w:val="left" w:pos="510"/>
              </w:tabs>
              <w:spacing w:after="120"/>
            </w:pPr>
            <w:r>
              <w:rPr>
                <w:b/>
                <w:i/>
              </w:rPr>
              <w:t xml:space="preserve">Simmons v. West </w:t>
            </w:r>
            <w:r>
              <w:rPr>
                <w:b/>
              </w:rPr>
              <w:t>(8/30/00)</w:t>
            </w:r>
            <w:r>
              <w:t xml:space="preserve"> – “The veteran’s claim is thus a request of a reweighing of the evidence, which is not a permissible basis for a CUE claim…when there is evidence both pro and con on the issue it is impossible for the appellant to succeed in showing that the result would have been manifestly different.”  </w:t>
            </w:r>
          </w:p>
          <w:p w:rsidR="00013EB8" w:rsidRDefault="00013EB8" w:rsidP="00F063AF">
            <w:pPr>
              <w:widowControl w:val="0"/>
              <w:numPr>
                <w:ilvl w:val="0"/>
                <w:numId w:val="334"/>
              </w:numPr>
              <w:tabs>
                <w:tab w:val="left" w:pos="510"/>
                <w:tab w:val="left" w:pos="720"/>
              </w:tabs>
              <w:spacing w:after="120"/>
            </w:pPr>
            <w:r>
              <w:rPr>
                <w:b/>
                <w:i/>
              </w:rPr>
              <w:t>DAV, NOVA, PVA &amp; VVA v. Gober</w:t>
            </w:r>
            <w:r>
              <w:rPr>
                <w:b/>
              </w:rPr>
              <w:t xml:space="preserve"> (12/8/00)</w:t>
            </w:r>
            <w:r>
              <w:t xml:space="preserve"> - once there is a final decision on a CUE claim there can be no further CUE claim; cannot deny a claim of CUE for lack of meeting pleading requirements- denial must be on the merits.</w:t>
            </w:r>
          </w:p>
          <w:p w:rsidR="00013EB8" w:rsidRDefault="00013EB8" w:rsidP="00F063AF">
            <w:pPr>
              <w:widowControl w:val="0"/>
              <w:numPr>
                <w:ilvl w:val="0"/>
                <w:numId w:val="334"/>
              </w:numPr>
              <w:tabs>
                <w:tab w:val="left" w:pos="510"/>
                <w:tab w:val="left" w:pos="720"/>
              </w:tabs>
              <w:spacing w:after="120"/>
            </w:pPr>
            <w:r>
              <w:rPr>
                <w:b/>
                <w:i/>
              </w:rPr>
              <w:t xml:space="preserve">Andre v. Principi </w:t>
            </w:r>
            <w:r>
              <w:rPr>
                <w:b/>
              </w:rPr>
              <w:t>(8/29/02)</w:t>
            </w:r>
            <w:r>
              <w:t xml:space="preserve"> - CUE discussion, specificity</w:t>
            </w:r>
          </w:p>
          <w:p w:rsidR="00013EB8" w:rsidRPr="003124BE" w:rsidRDefault="00013EB8" w:rsidP="00F063AF">
            <w:pPr>
              <w:widowControl w:val="0"/>
              <w:numPr>
                <w:ilvl w:val="0"/>
                <w:numId w:val="334"/>
              </w:numPr>
              <w:tabs>
                <w:tab w:val="left" w:pos="510"/>
                <w:tab w:val="left" w:pos="720"/>
              </w:tabs>
              <w:spacing w:after="120"/>
              <w:rPr>
                <w:b/>
                <w:bCs/>
                <w:i/>
                <w:iCs/>
              </w:rPr>
            </w:pPr>
            <w:r>
              <w:rPr>
                <w:b/>
                <w:i/>
              </w:rPr>
              <w:t>Jordan v. Principi</w:t>
            </w:r>
            <w:r>
              <w:rPr>
                <w:b/>
              </w:rPr>
              <w:t xml:space="preserve"> (9/24/03) </w:t>
            </w:r>
            <w:r>
              <w:t>- good discussion of issue of whether a condition existed prior to enlistment and aggravation; CUE “does not include the otherwise correct application of a statute or regulation where, subsequent to the Board decision challenged, there has been a change in the interpretation of the statute or regulation.”</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i/>
              </w:rPr>
            </w:pPr>
            <w:r w:rsidRPr="007A4B37">
              <w:rPr>
                <w:i/>
              </w:rPr>
              <w:t xml:space="preserve">proposereduc - </w:t>
            </w:r>
            <w:r>
              <w:rPr>
                <w:i/>
              </w:rPr>
              <w:t>proposed reduction</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i/>
              </w:rPr>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b/>
              </w:rPr>
            </w:pPr>
            <w:r>
              <w:rPr>
                <w:b/>
              </w:rPr>
              <w:t>3.105(e)</w:t>
            </w:r>
            <w:r>
              <w:t xml:space="preserve"> – please note that this is different than </w:t>
            </w:r>
            <w:r w:rsidRPr="008134DE">
              <w:rPr>
                <w:b/>
              </w:rPr>
              <w:t>3.655</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b/>
              </w:rPr>
            </w:pPr>
            <w:r w:rsidRPr="00663371">
              <w:rPr>
                <w:b/>
              </w:rPr>
              <w:t>III.iv.3.B.2.g</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b/>
              </w:rPr>
            </w:pPr>
            <w:r w:rsidRPr="007A4B37">
              <w:rPr>
                <w:b/>
              </w:rPr>
              <w:t>III.iv.8.B.1</w:t>
            </w:r>
            <w:r>
              <w:t xml:space="preserve"> (</w:t>
            </w:r>
            <w:r w:rsidRPr="006B6E78">
              <w:rPr>
                <w:b/>
              </w:rPr>
              <w:t>III.iv.8.B.1.b</w:t>
            </w:r>
            <w:r>
              <w:t xml:space="preserve"> – proposed combined evaluation is required)</w:t>
            </w:r>
          </w:p>
          <w:p w:rsidR="003124BE" w:rsidRPr="006B6E78"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Pr>
                <w:b/>
              </w:rPr>
              <w:t>III.iv.8.D</w:t>
            </w:r>
            <w:r>
              <w:t xml:space="preserve"> (</w:t>
            </w:r>
            <w:r w:rsidRPr="006E11CA">
              <w:rPr>
                <w:b/>
              </w:rPr>
              <w:t>III.iv.8.D.2.d</w:t>
            </w:r>
            <w:r>
              <w:t xml:space="preserve"> – check prior evals too; if at 40% for fewer than 5 years, but was at 20% before that for a few years (over 5 years, but not 20 years total) &amp; current DBQ shows 10%, need to CCEVAL &amp; get RFE (but if will be 55 before RFE, CCEVAL &amp; no RFE); do not reduce to 20% based on current DBQ</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b/>
              </w:rPr>
            </w:pPr>
            <w:r>
              <w:rPr>
                <w:b/>
              </w:rPr>
              <w:t>IV.ii.3.A.3</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i/>
              </w:rPr>
            </w:pPr>
          </w:p>
          <w:p w:rsidR="003124BE" w:rsidRPr="007A4B37"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sidRPr="00FF70FA">
              <w:rPr>
                <w:i/>
              </w:rPr>
              <w:t>Issue:</w:t>
            </w:r>
            <w:r>
              <w:t xml:space="preserve">  </w:t>
            </w:r>
            <w:r w:rsidRPr="007A4B37">
              <w:t>Evaluation of {} currently evaluated as {} percent disabling.</w:t>
            </w:r>
          </w:p>
          <w:p w:rsidR="003124BE" w:rsidRPr="00FF70FA"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i/>
              </w:rPr>
            </w:pPr>
          </w:p>
          <w:p w:rsidR="003124BE" w:rsidRPr="007A4B37"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sidRPr="00FF70FA">
              <w:rPr>
                <w:i/>
              </w:rPr>
              <w:t>Decision:</w:t>
            </w:r>
            <w:r>
              <w:t xml:space="preserve">  </w:t>
            </w:r>
            <w:r w:rsidRPr="007A4B37">
              <w:t xml:space="preserve">Evaluation of {}, which is currently {} percent disabling, is proposed to be decreased to {} percent. </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p>
          <w:p w:rsidR="003124BE" w:rsidRPr="00FF70FA"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i/>
              </w:rPr>
            </w:pPr>
            <w:r w:rsidRPr="00FF70FA">
              <w:rPr>
                <w:i/>
              </w:rPr>
              <w:t>Reasons for Decision:</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sidRPr="007A4B37">
              <w:t>The evaluation of {</w:t>
            </w:r>
            <w:r>
              <w:t>disability name</w:t>
            </w:r>
            <w:r w:rsidRPr="007A4B37">
              <w:t xml:space="preserve">} is proposed to be decreased to {} percent disabling. The DBQ shows improvement/you are in remission/you are status post prostatectomy and in watchful waiting status. You have been evaluated at {} percent for </w:t>
            </w:r>
            <w:r w:rsidRPr="007A4B37">
              <w:rPr>
                <w:b/>
                <w:bCs/>
              </w:rPr>
              <w:t>fewer than 5 years</w:t>
            </w:r>
            <w:r w:rsidRPr="007A4B37">
              <w:t xml:space="preserve"> and there is no other evidence to support this {} percent evaluation.</w:t>
            </w:r>
          </w:p>
          <w:p w:rsidR="003124BE" w:rsidRPr="007A4B37" w:rsidRDefault="003124BE" w:rsidP="003124BE">
            <w:pPr>
              <w:pStyle w:val="Heading3"/>
              <w:keepNext w:val="0"/>
              <w:widowControl w:val="0"/>
              <w:tabs>
                <w:tab w:val="clear" w:pos="0"/>
              </w:tabs>
              <w:ind w:left="150"/>
              <w:rPr>
                <w:sz w:val="20"/>
              </w:rPr>
            </w:pPr>
            <w:r w:rsidRPr="007A4B37">
              <w:rPr>
                <w:sz w:val="20"/>
              </w:rPr>
              <w:t>OR</w:t>
            </w:r>
          </w:p>
          <w:p w:rsidR="003124BE" w:rsidRPr="007A4B37"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sidRPr="007A4B37">
              <w:t>The evaluation of {</w:t>
            </w:r>
            <w:r>
              <w:t>disability name</w:t>
            </w:r>
            <w:r w:rsidRPr="007A4B37">
              <w:t>} is proposed to be dec</w:t>
            </w:r>
            <w:r>
              <w:t xml:space="preserve">reased to {} percent disabling </w:t>
            </w:r>
            <w:r w:rsidRPr="007A4B37">
              <w:t xml:space="preserve">because the prior </w:t>
            </w:r>
            <w:r>
              <w:t>DBQ,</w:t>
            </w:r>
            <w:r w:rsidRPr="007A4B37">
              <w:t xml:space="preserve"> the treatment records and the current </w:t>
            </w:r>
            <w:r>
              <w:t>DBQ</w:t>
            </w:r>
            <w:r w:rsidRPr="007A4B37">
              <w:t xml:space="preserve"> s</w:t>
            </w:r>
            <w:r>
              <w:t>how sustained improvement</w:t>
            </w:r>
            <w:r w:rsidRPr="007A4B37">
              <w:t xml:space="preserve">. Although you have been evaluated at </w:t>
            </w:r>
            <w:r>
              <w:t>{}</w:t>
            </w:r>
            <w:r w:rsidRPr="007A4B37">
              <w:t xml:space="preserve"> percent for </w:t>
            </w:r>
            <w:r w:rsidRPr="007A4B37">
              <w:rPr>
                <w:b/>
                <w:bCs/>
              </w:rPr>
              <w:t>more than 5 years</w:t>
            </w:r>
            <w:r w:rsidRPr="007A4B37">
              <w:t xml:space="preserve">, </w:t>
            </w:r>
            <w:r>
              <w:t>sustained i</w:t>
            </w:r>
            <w:r w:rsidRPr="007A4B37">
              <w:t>mprovement</w:t>
            </w:r>
            <w:r>
              <w:t xml:space="preserve"> is shown and t</w:t>
            </w:r>
            <w:r w:rsidRPr="007A4B37">
              <w:t xml:space="preserve">here is no other evidence to support this </w:t>
            </w:r>
            <w:r>
              <w:t>{}</w:t>
            </w:r>
            <w:r w:rsidRPr="007A4B37">
              <w:t xml:space="preserve"> percent evaluation.</w:t>
            </w:r>
          </w:p>
          <w:p w:rsidR="003124BE" w:rsidRPr="007A4B37"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sidRPr="007A4B37">
              <w:t>This proposal is based on:</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t>…</w:t>
            </w:r>
          </w:p>
          <w:p w:rsidR="003124BE" w:rsidRPr="007A4B37"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sidRPr="007A4B37">
              <w:t>If the proposed reduction takes effect, your combined evaluation will be {} percent.</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Pr>
                <w:i/>
              </w:rPr>
              <w:t>i</w:t>
            </w:r>
            <w:r w:rsidRPr="00D16760">
              <w:rPr>
                <w:i/>
              </w:rPr>
              <w:t>f multiple issues:</w:t>
            </w:r>
            <w:r>
              <w:t xml:space="preserve">  </w:t>
            </w:r>
            <w:r w:rsidRPr="007A4B37">
              <w:t>If the proposed reduction</w:t>
            </w:r>
            <w:r>
              <w:t>s take</w:t>
            </w:r>
            <w:r w:rsidRPr="007A4B37">
              <w:t xml:space="preserve"> effect, your combined evaluation will be {} percent.</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3181"/>
              </w:tabs>
              <w:ind w:left="150"/>
            </w:pPr>
          </w:p>
          <w:p w:rsidR="003124BE" w:rsidRPr="00080B6D"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i/>
                <w:iCs/>
                <w:szCs w:val="22"/>
              </w:rPr>
            </w:pPr>
            <w:r w:rsidRPr="00080B6D">
              <w:rPr>
                <w:i/>
                <w:iCs/>
                <w:szCs w:val="22"/>
              </w:rPr>
              <w:t xml:space="preserve">Add this, per QRT/Konane Stradling, 1/16 (but </w:t>
            </w:r>
            <w:r>
              <w:rPr>
                <w:i/>
                <w:iCs/>
                <w:szCs w:val="22"/>
              </w:rPr>
              <w:t xml:space="preserve">not in </w:t>
            </w:r>
            <w:r w:rsidRPr="00080B6D">
              <w:rPr>
                <w:i/>
                <w:iCs/>
                <w:szCs w:val="22"/>
              </w:rPr>
              <w:t>manual</w:t>
            </w:r>
            <w:r>
              <w:rPr>
                <w:i/>
                <w:iCs/>
                <w:szCs w:val="22"/>
              </w:rPr>
              <w:t xml:space="preserve"> &amp; not technically required in narrative</w:t>
            </w:r>
            <w:r w:rsidRPr="00080B6D">
              <w:rPr>
                <w:i/>
                <w:iCs/>
                <w:szCs w:val="22"/>
              </w:rPr>
              <w:t>):</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iCs/>
                <w:szCs w:val="22"/>
              </w:rPr>
            </w:pPr>
            <w:bookmarkStart w:id="3" w:name="_Hlk520121976"/>
            <w:r w:rsidRPr="00613722">
              <w:rPr>
                <w:iCs/>
                <w:szCs w:val="22"/>
              </w:rPr>
              <w:t>As this is a proposed action, you will have 60-days from the date of this notification letter to provide additional evidence to support why this action should not be taken or request a hearing. If we do not receive a request for a hearing or additional evidence supporting the continued evaluation or entitlement to service connection for this condition, a new rating will be sent finalizing this proposed rating. The effective date assigned will be the first of the month following 60-days from the date of that final notification letter to you.</w:t>
            </w:r>
            <w:r>
              <w:rPr>
                <w:iCs/>
                <w:szCs w:val="22"/>
              </w:rPr>
              <w:t xml:space="preserve"> </w:t>
            </w:r>
          </w:p>
          <w:bookmarkEnd w:id="3"/>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iCs/>
                <w:szCs w:val="22"/>
              </w:rPr>
            </w:pPr>
          </w:p>
          <w:p w:rsidR="003124BE" w:rsidRPr="008134DE" w:rsidRDefault="00D571C5" w:rsidP="003124BE">
            <w:pPr>
              <w:widowControl w:val="0"/>
              <w:pBdr>
                <w:top w:val="single" w:sz="4" w:space="1" w:color="auto"/>
                <w:left w:val="single" w:sz="4" w:space="4" w:color="auto"/>
                <w:bottom w:val="single" w:sz="4" w:space="1" w:color="auto"/>
                <w:right w:val="single" w:sz="4" w:space="4" w:color="auto"/>
              </w:pBdr>
              <w:tabs>
                <w:tab w:val="left" w:pos="144"/>
              </w:tabs>
              <w:ind w:left="150"/>
            </w:pPr>
            <w:hyperlink r:id="rId179" w:history="1">
              <w:r w:rsidR="003124BE">
                <w:rPr>
                  <w:rStyle w:val="Hyperlink"/>
                  <w:b/>
                  <w:bCs/>
                  <w:i/>
                </w:rPr>
                <w:t>November 2017 Quality Call Notes</w:t>
              </w:r>
            </w:hyperlink>
            <w:r w:rsidR="003124BE">
              <w:rPr>
                <w:bCs/>
              </w:rPr>
              <w:t xml:space="preserve"> &amp; </w:t>
            </w:r>
            <w:hyperlink r:id="rId180" w:history="1">
              <w:r w:rsidR="003124BE">
                <w:rPr>
                  <w:rStyle w:val="Hyperlink"/>
                  <w:b/>
                  <w:bCs/>
                  <w:i/>
                </w:rPr>
                <w:t>December 2017 Quality Call Notes</w:t>
              </w:r>
            </w:hyperlink>
            <w:r w:rsidR="003124BE">
              <w:t xml:space="preserve"> </w:t>
            </w:r>
            <w:r w:rsidR="003124BE" w:rsidRPr="001D6A2D">
              <w:t>-</w:t>
            </w:r>
            <w:r w:rsidR="003124BE" w:rsidRPr="008134DE">
              <w:t xml:space="preserve"> </w:t>
            </w:r>
            <w:r w:rsidR="003124BE">
              <w:t xml:space="preserve">When proposing a reduction/discontinuance under </w:t>
            </w:r>
            <w:hyperlink r:id="rId181" w:anchor="se38.1.3_1105" w:history="1">
              <w:r w:rsidR="003124BE" w:rsidRPr="006003DF">
                <w:rPr>
                  <w:rStyle w:val="Hyperlink"/>
                </w:rPr>
                <w:t>38 CFR 3.105(e)</w:t>
              </w:r>
            </w:hyperlink>
            <w:r w:rsidR="003124BE">
              <w:t xml:space="preserve"> for improvement, the notification letter should </w:t>
            </w:r>
            <w:r w:rsidR="003124BE" w:rsidRPr="003769B7">
              <w:rPr>
                <w:i/>
              </w:rPr>
              <w:t xml:space="preserve">not </w:t>
            </w:r>
            <w:r w:rsidR="003124BE">
              <w:t xml:space="preserve">provide a proposed effective date, but rather should discuss the 60-day period during which new evidence may be submitted.  If the Veteran does not respond, the final rating assigns an effective date which is the </w:t>
            </w:r>
            <w:r w:rsidR="003124BE" w:rsidRPr="003769B7">
              <w:rPr>
                <w:i/>
              </w:rPr>
              <w:t>first of the month following a 60-day period from the final rating</w:t>
            </w:r>
            <w:r w:rsidR="003124BE">
              <w:t xml:space="preserve">.  See </w:t>
            </w:r>
            <w:hyperlink r:id="rId182" w:history="1">
              <w:r w:rsidR="003124BE" w:rsidRPr="00C80C09">
                <w:rPr>
                  <w:rStyle w:val="Hyperlink"/>
                </w:rPr>
                <w:t>M21-1 Part III.iv.8.D.1</w:t>
              </w:r>
            </w:hyperlink>
            <w:r w:rsidR="003124BE">
              <w:t xml:space="preserve"> and </w:t>
            </w:r>
            <w:hyperlink r:id="rId183" w:history="1">
              <w:r w:rsidR="003124BE" w:rsidRPr="00C80C09">
                <w:rPr>
                  <w:rStyle w:val="Hyperlink"/>
                </w:rPr>
                <w:t>M21-1 Part IV.ii.3.A.3.</w:t>
              </w:r>
            </w:hyperlink>
            <w:r w:rsidR="003124BE">
              <w:rPr>
                <w:rStyle w:val="Hyperlink"/>
                <w:u w:val="none"/>
              </w:rPr>
              <w:t xml:space="preserve"> </w:t>
            </w:r>
            <w:r w:rsidR="003124BE" w:rsidRPr="008134DE">
              <w:rPr>
                <w:rStyle w:val="Hyperlink"/>
                <w:color w:val="auto"/>
                <w:highlight w:val="red"/>
                <w:u w:val="none"/>
              </w:rPr>
              <w:t>Unclear if above paragraph is still required</w:t>
            </w:r>
            <w:r w:rsidR="003124BE">
              <w:rPr>
                <w:rStyle w:val="Hyperlink"/>
                <w:color w:val="auto"/>
                <w:u w:val="none"/>
              </w:rPr>
              <w:t>.</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Pr>
                <w:iCs/>
                <w:szCs w:val="22"/>
              </w:rPr>
              <w:t xml:space="preserve">VSR:  This is a proposed reduction under 3.105(e). Per III.iv.8.D.1, IV.ii.3.A.3 &amp; November 2017 Quality Call Notes, </w:t>
            </w:r>
            <w:r>
              <w:t>the notification letter should not provide a proposed effective date, but rather should discuss the 60-day period during which new evidence may be submitted.</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t>**********************</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sz w:val="22"/>
              </w:rPr>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rPr>
                <w:i/>
                <w:iCs/>
              </w:rPr>
            </w:pPr>
            <w:r>
              <w:rPr>
                <w:i/>
                <w:iCs/>
              </w:rPr>
              <w:t>If condition is considered static, but there is evidence of sustained improvement shown under ordinary circumstances (make sure the current exam is as thorough as the exam that established the evaluation):</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t>We are proposing to decrease the evaluation of {} to {} percent.  You have been evaluated at 20 percent since {} [more than 5 years]. However, the January 2005 and December 2006 Rating Decisions showed improvement in this disability and the current DBQ shows sustained improvement. There is no other evidence to support the {} percent evaluation.</w:t>
            </w:r>
          </w:p>
          <w:p w:rsidR="003124BE" w:rsidRPr="00D66F32" w:rsidRDefault="003124BE" w:rsidP="003124BE">
            <w:pPr>
              <w:widowControl w:val="0"/>
              <w:pBdr>
                <w:top w:val="single" w:sz="4" w:space="1" w:color="auto"/>
                <w:left w:val="single" w:sz="4" w:space="4" w:color="auto"/>
                <w:bottom w:val="single" w:sz="4" w:space="1" w:color="auto"/>
                <w:right w:val="single" w:sz="4" w:space="4" w:color="auto"/>
              </w:pBdr>
              <w:tabs>
                <w:tab w:val="left" w:pos="144"/>
              </w:tabs>
              <w:ind w:left="150"/>
            </w:pPr>
            <w:r>
              <w:rPr>
                <w:b/>
              </w:rPr>
              <w:t>III.iv.8.D.2.b</w:t>
            </w:r>
          </w:p>
          <w:p w:rsidR="003124BE" w:rsidRPr="003124BE" w:rsidRDefault="003124BE" w:rsidP="003124BE">
            <w:pPr>
              <w:widowControl w:val="0"/>
              <w:tabs>
                <w:tab w:val="left" w:pos="510"/>
                <w:tab w:val="left" w:pos="720"/>
              </w:tabs>
              <w:spacing w:after="120"/>
              <w:rPr>
                <w:bCs/>
                <w:iCs/>
              </w:rPr>
            </w:pPr>
          </w:p>
          <w:p w:rsidR="00504512" w:rsidRPr="00504512" w:rsidRDefault="00504512" w:rsidP="00F063AF">
            <w:pPr>
              <w:widowControl w:val="0"/>
              <w:numPr>
                <w:ilvl w:val="0"/>
                <w:numId w:val="334"/>
              </w:numPr>
              <w:tabs>
                <w:tab w:val="left" w:pos="510"/>
                <w:tab w:val="left" w:pos="720"/>
              </w:tabs>
              <w:spacing w:after="120"/>
              <w:rPr>
                <w:b/>
                <w:bCs/>
                <w:iCs/>
              </w:rPr>
            </w:pPr>
            <w:r>
              <w:rPr>
                <w:b/>
                <w:bCs/>
                <w:iCs/>
              </w:rPr>
              <w:t>Hearing information – 3.103(c)</w:t>
            </w:r>
            <w:r w:rsidR="00D04AEB">
              <w:rPr>
                <w:b/>
                <w:bCs/>
                <w:iCs/>
              </w:rPr>
              <w:t xml:space="preserve"> - </w:t>
            </w:r>
            <w:r w:rsidR="00D04AEB">
              <w:rPr>
                <w:i/>
                <w:iCs/>
              </w:rPr>
              <w:t>The right to a hearing</w:t>
            </w:r>
          </w:p>
          <w:p w:rsidR="005F026F" w:rsidRPr="00712A39" w:rsidRDefault="003B46D8" w:rsidP="00F063AF">
            <w:pPr>
              <w:widowControl w:val="0"/>
              <w:numPr>
                <w:ilvl w:val="0"/>
                <w:numId w:val="334"/>
              </w:numPr>
              <w:tabs>
                <w:tab w:val="left" w:pos="510"/>
                <w:tab w:val="left" w:pos="720"/>
              </w:tabs>
              <w:spacing w:after="120"/>
              <w:rPr>
                <w:b/>
                <w:bCs/>
                <w:iCs/>
              </w:rPr>
            </w:pPr>
            <w:r>
              <w:rPr>
                <w:b/>
              </w:rPr>
              <w:t>III.ii.2.F</w:t>
            </w:r>
            <w:r w:rsidR="005F026F">
              <w:rPr>
                <w:bCs/>
                <w:iCs/>
              </w:rPr>
              <w:t xml:space="preserve"> –</w:t>
            </w:r>
            <w:r w:rsidR="00895E95">
              <w:rPr>
                <w:bCs/>
                <w:iCs/>
              </w:rPr>
              <w:t xml:space="preserve"> </w:t>
            </w:r>
            <w:r w:rsidR="005F026F">
              <w:rPr>
                <w:bCs/>
                <w:iCs/>
              </w:rPr>
              <w:t xml:space="preserve">reconsideration of claim that has not yet become final (the veteran files again &amp; it has not </w:t>
            </w:r>
            <w:r w:rsidR="001C2F76">
              <w:rPr>
                <w:bCs/>
                <w:iCs/>
              </w:rPr>
              <w:t>b</w:t>
            </w:r>
            <w:r w:rsidR="005F026F">
              <w:rPr>
                <w:bCs/>
                <w:iCs/>
              </w:rPr>
              <w:t>een one year since notification of denial)</w:t>
            </w:r>
            <w:r w:rsidR="00CE7ECE">
              <w:rPr>
                <w:bCs/>
                <w:iCs/>
              </w:rPr>
              <w:t xml:space="preserve">, </w:t>
            </w:r>
            <w:r w:rsidR="00CE7ECE">
              <w:rPr>
                <w:rStyle w:val="Hyperlink"/>
                <w:color w:val="auto"/>
                <w:u w:val="none"/>
              </w:rPr>
              <w:t xml:space="preserve">requests for reconsideration do not </w:t>
            </w:r>
            <w:r w:rsidR="00CE7ECE" w:rsidRPr="008E14A3">
              <w:rPr>
                <w:rStyle w:val="Hyperlink"/>
                <w:color w:val="auto"/>
                <w:u w:val="none"/>
              </w:rPr>
              <w:t>require prescribed form (i.e. missed exam &amp; is willing to report during</w:t>
            </w:r>
            <w:r w:rsidR="001E4612">
              <w:rPr>
                <w:rStyle w:val="Hyperlink"/>
                <w:color w:val="auto"/>
                <w:u w:val="none"/>
              </w:rPr>
              <w:t xml:space="preserve"> the one year appellate period), </w:t>
            </w:r>
            <w:r w:rsidR="001E4612" w:rsidRPr="001E4612">
              <w:rPr>
                <w:rStyle w:val="Hyperlink"/>
                <w:b/>
                <w:color w:val="auto"/>
                <w:u w:val="none"/>
              </w:rPr>
              <w:t>III.ii.2.B.1.c</w:t>
            </w:r>
          </w:p>
          <w:p w:rsidR="00D251A7" w:rsidRPr="009D2DF1" w:rsidRDefault="00D251A7" w:rsidP="00F063AF">
            <w:pPr>
              <w:widowControl w:val="0"/>
              <w:numPr>
                <w:ilvl w:val="1"/>
                <w:numId w:val="198"/>
              </w:numPr>
              <w:tabs>
                <w:tab w:val="left" w:pos="330"/>
                <w:tab w:val="left" w:pos="870"/>
              </w:tabs>
              <w:spacing w:after="120"/>
              <w:ind w:left="690"/>
              <w:rPr>
                <w:b/>
                <w:bCs/>
                <w:iCs/>
              </w:rPr>
            </w:pPr>
            <w:r>
              <w:rPr>
                <w:b/>
                <w:bCs/>
                <w:iCs/>
              </w:rPr>
              <w:t>III.ii.2.F.1.b –</w:t>
            </w:r>
            <w:r>
              <w:rPr>
                <w:bCs/>
                <w:iCs/>
              </w:rPr>
              <w:t xml:space="preserve"> use Reconsideration 020 so it is not associated with an ITF, unless non-reconsideration contentions are also claimed</w:t>
            </w:r>
          </w:p>
          <w:p w:rsidR="003B46D8" w:rsidRPr="009A4F80" w:rsidRDefault="009D2DF1" w:rsidP="00F063AF">
            <w:pPr>
              <w:widowControl w:val="0"/>
              <w:numPr>
                <w:ilvl w:val="1"/>
                <w:numId w:val="198"/>
              </w:numPr>
              <w:tabs>
                <w:tab w:val="left" w:pos="330"/>
                <w:tab w:val="left" w:pos="870"/>
              </w:tabs>
              <w:spacing w:after="120"/>
              <w:ind w:left="690"/>
              <w:rPr>
                <w:b/>
                <w:bCs/>
                <w:i/>
                <w:iCs/>
              </w:rPr>
            </w:pPr>
            <w:r w:rsidRPr="009D2DF1">
              <w:rPr>
                <w:b/>
                <w:bCs/>
                <w:iCs/>
              </w:rPr>
              <w:t xml:space="preserve">III.ii.2.F.1.c – </w:t>
            </w:r>
            <w:r w:rsidRPr="009D2DF1">
              <w:rPr>
                <w:bCs/>
                <w:iCs/>
              </w:rPr>
              <w:t>development of reconsiderations</w:t>
            </w:r>
            <w:r w:rsidR="00426588">
              <w:rPr>
                <w:bCs/>
                <w:iCs/>
              </w:rPr>
              <w:t xml:space="preserve">, </w:t>
            </w:r>
            <w:r w:rsidR="00426588">
              <w:t>table addressing reconsideration with no or duplicate evidence</w:t>
            </w:r>
            <w:r w:rsidRPr="009D2DF1">
              <w:rPr>
                <w:b/>
                <w:bCs/>
                <w:iCs/>
              </w:rPr>
              <w:t xml:space="preserve"> </w:t>
            </w:r>
            <w:r w:rsidRPr="009D2DF1">
              <w:rPr>
                <w:bCs/>
                <w:iCs/>
              </w:rPr>
              <w:t xml:space="preserve">&amp; </w:t>
            </w:r>
            <w:r w:rsidR="008331E4" w:rsidRPr="008331E4">
              <w:t xml:space="preserve">info on distinguishing reconsideration from CFI (refers to </w:t>
            </w:r>
            <w:r w:rsidR="008331E4" w:rsidRPr="009D2DF1">
              <w:rPr>
                <w:b/>
              </w:rPr>
              <w:t>III.ii.2.E.3</w:t>
            </w:r>
            <w:r w:rsidR="00F41556">
              <w:t xml:space="preserve">, also should see </w:t>
            </w:r>
            <w:r w:rsidR="00F41556" w:rsidRPr="00407CAD">
              <w:rPr>
                <w:b/>
              </w:rPr>
              <w:t>III.iv.5.C.</w:t>
            </w:r>
            <w:r w:rsidR="00F41556">
              <w:rPr>
                <w:b/>
              </w:rPr>
              <w:t xml:space="preserve">5.e, </w:t>
            </w:r>
            <w:r w:rsidR="00F41556" w:rsidRPr="00407CAD">
              <w:rPr>
                <w:b/>
              </w:rPr>
              <w:t>III.iv.5.C.</w:t>
            </w:r>
            <w:r w:rsidR="00F41556">
              <w:rPr>
                <w:b/>
              </w:rPr>
              <w:t xml:space="preserve">5.f, </w:t>
            </w:r>
            <w:r w:rsidR="00F41556" w:rsidRPr="00407CAD">
              <w:rPr>
                <w:b/>
              </w:rPr>
              <w:t>III.iv.5.C.</w:t>
            </w:r>
            <w:r w:rsidR="00F41556">
              <w:rPr>
                <w:b/>
              </w:rPr>
              <w:t xml:space="preserve">5.g, </w:t>
            </w:r>
            <w:r w:rsidR="00F41556" w:rsidRPr="00407CAD">
              <w:rPr>
                <w:b/>
              </w:rPr>
              <w:t>III.iv.5.C.</w:t>
            </w:r>
            <w:r w:rsidR="00F41556">
              <w:rPr>
                <w:b/>
              </w:rPr>
              <w:t>5.h</w:t>
            </w:r>
            <w:r w:rsidR="008331E4" w:rsidRPr="008331E4">
              <w:t>)</w:t>
            </w:r>
            <w:r w:rsidR="00617C8A">
              <w:t>; says can reorder missed exam without good cause on reconsiderations</w:t>
            </w:r>
            <w:r w:rsidR="00681EB1">
              <w:t>, but DO need statement of willingness to report</w:t>
            </w:r>
            <w:r w:rsidR="00617C8A">
              <w:t xml:space="preserve">. </w:t>
            </w:r>
            <w:r w:rsidR="00231CED" w:rsidRPr="00231CED">
              <w:rPr>
                <w:bCs/>
                <w:i/>
                <w:szCs w:val="24"/>
              </w:rPr>
              <w:t>Per QRTGiaBao Nguyen, 5/25/17 – We do not rate reconsideration issues if the only VATRs uploaded by the VSR are not relevant to the reconsideration issue.</w:t>
            </w:r>
          </w:p>
          <w:p w:rsidR="00C73DEB" w:rsidRPr="00426588" w:rsidRDefault="00C73DEB" w:rsidP="00F063AF">
            <w:pPr>
              <w:widowControl w:val="0"/>
              <w:numPr>
                <w:ilvl w:val="1"/>
                <w:numId w:val="198"/>
              </w:numPr>
              <w:tabs>
                <w:tab w:val="left" w:pos="720"/>
                <w:tab w:val="left" w:pos="1350"/>
              </w:tabs>
              <w:spacing w:after="120"/>
              <w:ind w:left="690"/>
              <w:rPr>
                <w:b/>
                <w:bCs/>
                <w:iCs/>
              </w:rPr>
            </w:pPr>
            <w:r>
              <w:rPr>
                <w:b/>
              </w:rPr>
              <w:t>III.ii.2.F.1.</w:t>
            </w:r>
            <w:r w:rsidR="00426588">
              <w:rPr>
                <w:b/>
              </w:rPr>
              <w:t>e</w:t>
            </w:r>
            <w:r>
              <w:rPr>
                <w:b/>
              </w:rPr>
              <w:t xml:space="preserve"> </w:t>
            </w:r>
            <w:r w:rsidR="00426588">
              <w:t xml:space="preserve">- </w:t>
            </w:r>
            <w:r>
              <w:t>table added 9</w:t>
            </w:r>
            <w:r w:rsidRPr="00CE7ECE">
              <w:t>/26/16</w:t>
            </w:r>
            <w:r w:rsidR="00426588">
              <w:t xml:space="preserve"> [was III.ii.2.F.1.d]</w:t>
            </w:r>
            <w:r>
              <w:t>, which confirms ab</w:t>
            </w:r>
            <w:r w:rsidR="00426588">
              <w:t>ove VA Pulse info about EP 400s</w:t>
            </w:r>
          </w:p>
        </w:tc>
      </w:tr>
    </w:tbl>
    <w:p w:rsidR="009A4F80" w:rsidRDefault="00C73DEB" w:rsidP="009A4F80">
      <w:pPr>
        <w:pBdr>
          <w:top w:val="single" w:sz="4" w:space="1" w:color="auto"/>
          <w:left w:val="single" w:sz="4" w:space="4" w:color="auto"/>
          <w:bottom w:val="single" w:sz="4" w:space="1" w:color="auto"/>
          <w:right w:val="single" w:sz="4" w:space="4" w:color="auto"/>
        </w:pBdr>
        <w:spacing w:after="120"/>
        <w:ind w:left="1076"/>
      </w:pPr>
      <w:r>
        <w:lastRenderedPageBreak/>
        <w:t xml:space="preserve">VSR:  </w:t>
      </w:r>
      <w:r w:rsidRPr="00B52257">
        <w:t xml:space="preserve">The </w:t>
      </w:r>
      <w:r>
        <w:t>{}</w:t>
      </w:r>
      <w:r w:rsidRPr="00B52257">
        <w:t xml:space="preserve"> claim is a reconsideration, as </w:t>
      </w:r>
      <w:r>
        <w:t>{}</w:t>
      </w:r>
      <w:r w:rsidRPr="00B52257">
        <w:t xml:space="preserve"> </w:t>
      </w:r>
      <w:r>
        <w:t>was/</w:t>
      </w:r>
      <w:r w:rsidRPr="00B52257">
        <w:t>were addr</w:t>
      </w:r>
      <w:r>
        <w:t>essed on the {} RD. Per I</w:t>
      </w:r>
      <w:r w:rsidRPr="00B52257">
        <w:t xml:space="preserve">II.ii.2.F, </w:t>
      </w:r>
      <w:r>
        <w:t xml:space="preserve">which was updated prior to the {} </w:t>
      </w:r>
      <w:r w:rsidRPr="00B52257">
        <w:t>claim, a letter should have been sent</w:t>
      </w:r>
      <w:r>
        <w:t xml:space="preserve"> under an EP 400</w:t>
      </w:r>
      <w:r w:rsidRPr="00B52257">
        <w:t xml:space="preserve"> since </w:t>
      </w:r>
      <w:r>
        <w:t>t</w:t>
      </w:r>
      <w:r w:rsidRPr="00B52257">
        <w:t>he</w:t>
      </w:r>
      <w:r>
        <w:t xml:space="preserve"> veteran</w:t>
      </w:r>
      <w:r w:rsidRPr="00B52257">
        <w:t xml:space="preserve"> submitted no evidence with the reconsideration claim.</w:t>
      </w:r>
    </w:p>
    <w:p w:rsidR="009A4F80" w:rsidRPr="009A4F80" w:rsidRDefault="009A4F80" w:rsidP="009A4F80">
      <w:pPr>
        <w:pBdr>
          <w:top w:val="single" w:sz="4" w:space="1" w:color="auto"/>
          <w:left w:val="single" w:sz="4" w:space="4" w:color="auto"/>
          <w:bottom w:val="single" w:sz="4" w:space="1" w:color="auto"/>
          <w:right w:val="single" w:sz="4" w:space="4" w:color="auto"/>
        </w:pBdr>
        <w:spacing w:after="120"/>
        <w:ind w:left="1076"/>
        <w:rPr>
          <w:b/>
          <w:bCs/>
          <w:iCs/>
        </w:rPr>
      </w:pPr>
      <w:r>
        <w:t xml:space="preserve">Rating Note:  </w:t>
      </w:r>
      <w:r w:rsidRPr="009A4F80">
        <w:rPr>
          <w:rStyle w:val="Strong"/>
          <w:b w:val="0"/>
          <w:bCs w:val="0"/>
          <w:szCs w:val="21"/>
        </w:rPr>
        <w:t>III.ii.2.F.1.c</w:t>
      </w:r>
      <w:r w:rsidRPr="009A4F80">
        <w:rPr>
          <w:rStyle w:val="Strong"/>
          <w:b w:val="0"/>
          <w:bCs w:val="0"/>
          <w:color w:val="444444"/>
          <w:szCs w:val="21"/>
        </w:rPr>
        <w:t>.</w:t>
      </w:r>
      <w:r w:rsidRPr="009A4F80">
        <w:rPr>
          <w:sz w:val="18"/>
        </w:rPr>
        <w:t xml:space="preserve"> </w:t>
      </w:r>
      <w:r>
        <w:t>does not cover</w:t>
      </w:r>
      <w:r>
        <w:rPr>
          <w:bCs/>
          <w:iCs/>
        </w:rPr>
        <w:t xml:space="preserve"> reconsiderations on prescribed forms with no evidence that are for service connection (not involving the possible issue of an increase), but </w:t>
      </w:r>
      <w:r w:rsidRPr="009A4F80">
        <w:rPr>
          <w:rStyle w:val="Strong"/>
          <w:b w:val="0"/>
          <w:bCs w:val="0"/>
          <w:szCs w:val="21"/>
        </w:rPr>
        <w:t>III.ii.2.F.1.</w:t>
      </w:r>
      <w:r>
        <w:rPr>
          <w:rStyle w:val="Strong"/>
          <w:b w:val="0"/>
          <w:bCs w:val="0"/>
          <w:szCs w:val="21"/>
        </w:rPr>
        <w:t>e says that these reconsiderations should be handed under an EP 400 with an administrative denial &amp; should not be rated.</w:t>
      </w:r>
    </w:p>
    <w:p w:rsidR="00A511A1" w:rsidRPr="00A511A1" w:rsidRDefault="00A511A1" w:rsidP="00F063AF">
      <w:pPr>
        <w:pStyle w:val="ListParagraph"/>
        <w:numPr>
          <w:ilvl w:val="0"/>
          <w:numId w:val="198"/>
        </w:numPr>
        <w:tabs>
          <w:tab w:val="left" w:pos="990"/>
        </w:tabs>
        <w:spacing w:after="120" w:line="240" w:lineRule="auto"/>
        <w:ind w:left="990"/>
        <w:rPr>
          <w:rFonts w:ascii="Arial" w:hAnsi="Arial"/>
          <w:sz w:val="20"/>
          <w:szCs w:val="20"/>
        </w:rPr>
      </w:pPr>
      <w:r w:rsidRPr="00A511A1">
        <w:rPr>
          <w:rFonts w:ascii="Arial" w:hAnsi="Arial"/>
          <w:b/>
          <w:bCs/>
          <w:sz w:val="20"/>
          <w:szCs w:val="20"/>
        </w:rPr>
        <w:t>From:</w:t>
      </w:r>
      <w:r w:rsidRPr="00A511A1">
        <w:rPr>
          <w:rFonts w:ascii="Arial" w:hAnsi="Arial"/>
          <w:sz w:val="20"/>
          <w:szCs w:val="20"/>
        </w:rPr>
        <w:t xml:space="preserve"> VAVBASDC/RO/VSC </w:t>
      </w:r>
      <w:r w:rsidRPr="00A511A1">
        <w:rPr>
          <w:rFonts w:ascii="Arial" w:hAnsi="Arial"/>
          <w:sz w:val="20"/>
          <w:szCs w:val="20"/>
        </w:rPr>
        <w:br/>
      </w:r>
      <w:r w:rsidRPr="00A511A1">
        <w:rPr>
          <w:rFonts w:ascii="Arial" w:hAnsi="Arial"/>
          <w:b/>
          <w:bCs/>
          <w:sz w:val="20"/>
          <w:szCs w:val="20"/>
        </w:rPr>
        <w:t>Sent:</w:t>
      </w:r>
      <w:r w:rsidRPr="00A511A1">
        <w:rPr>
          <w:rFonts w:ascii="Arial" w:hAnsi="Arial"/>
          <w:sz w:val="20"/>
          <w:szCs w:val="20"/>
        </w:rPr>
        <w:t xml:space="preserve"> Monday, August 24, 2015 11:20 AM</w:t>
      </w:r>
      <w:r w:rsidRPr="00A511A1">
        <w:rPr>
          <w:rFonts w:ascii="Arial" w:hAnsi="Arial"/>
          <w:sz w:val="20"/>
          <w:szCs w:val="20"/>
        </w:rPr>
        <w:br/>
      </w:r>
      <w:r w:rsidRPr="00A511A1">
        <w:rPr>
          <w:rFonts w:ascii="Arial" w:hAnsi="Arial"/>
          <w:b/>
          <w:bCs/>
          <w:sz w:val="20"/>
          <w:szCs w:val="20"/>
        </w:rPr>
        <w:t>Subject:</w:t>
      </w:r>
      <w:r w:rsidRPr="00A511A1">
        <w:rPr>
          <w:rFonts w:ascii="Arial" w:hAnsi="Arial"/>
          <w:sz w:val="20"/>
          <w:szCs w:val="20"/>
        </w:rPr>
        <w:t xml:space="preserve"> Quality Tip: Claims for reconsideration </w:t>
      </w:r>
    </w:p>
    <w:p w:rsidR="00A511A1" w:rsidRPr="00A511A1" w:rsidRDefault="00A511A1" w:rsidP="0059417E">
      <w:pPr>
        <w:spacing w:after="120"/>
        <w:ind w:left="990"/>
        <w:rPr>
          <w:color w:val="000000"/>
        </w:rPr>
      </w:pPr>
      <w:r w:rsidRPr="00A511A1">
        <w:rPr>
          <w:color w:val="000000"/>
        </w:rPr>
        <w:t>Good morning all employees,</w:t>
      </w:r>
    </w:p>
    <w:p w:rsidR="00A511A1" w:rsidRPr="00A511A1" w:rsidRDefault="00A511A1" w:rsidP="0059417E">
      <w:pPr>
        <w:spacing w:after="120"/>
        <w:ind w:left="990"/>
        <w:rPr>
          <w:color w:val="000000"/>
        </w:rPr>
      </w:pPr>
      <w:r w:rsidRPr="00A511A1">
        <w:rPr>
          <w:color w:val="000000"/>
        </w:rPr>
        <w:lastRenderedPageBreak/>
        <w:t xml:space="preserve">The following is a Quality Tip provided by the QRT regarding the delineation between claims for reconsideration vs. a reopened claim as it applies to Standardized Forms and Intent to File guidance effective March 24, 2015. </w:t>
      </w:r>
    </w:p>
    <w:p w:rsidR="00A511A1" w:rsidRPr="00A511A1" w:rsidRDefault="00A511A1" w:rsidP="00F063AF">
      <w:pPr>
        <w:pStyle w:val="ListParagraph"/>
        <w:numPr>
          <w:ilvl w:val="0"/>
          <w:numId w:val="254"/>
        </w:numPr>
        <w:tabs>
          <w:tab w:val="left" w:pos="1440"/>
        </w:tabs>
        <w:spacing w:after="120" w:line="240" w:lineRule="auto"/>
        <w:ind w:left="1440" w:hanging="450"/>
        <w:rPr>
          <w:rFonts w:ascii="Arial" w:hAnsi="Arial"/>
          <w:color w:val="000000"/>
          <w:sz w:val="20"/>
          <w:szCs w:val="20"/>
        </w:rPr>
      </w:pPr>
      <w:r w:rsidRPr="00A511A1">
        <w:rPr>
          <w:rFonts w:ascii="Arial" w:hAnsi="Arial"/>
          <w:color w:val="000000"/>
          <w:sz w:val="20"/>
          <w:szCs w:val="20"/>
        </w:rPr>
        <w:t xml:space="preserve">A claim to reopen is any claim received after the appeal period has expired. </w:t>
      </w:r>
    </w:p>
    <w:p w:rsidR="00EE6E4B" w:rsidRPr="00EE6E4B" w:rsidRDefault="00A511A1" w:rsidP="00F063AF">
      <w:pPr>
        <w:pStyle w:val="ListParagraph"/>
        <w:numPr>
          <w:ilvl w:val="0"/>
          <w:numId w:val="254"/>
        </w:numPr>
        <w:tabs>
          <w:tab w:val="left" w:pos="1440"/>
        </w:tabs>
        <w:spacing w:after="120" w:line="240" w:lineRule="auto"/>
        <w:ind w:left="1440" w:hanging="450"/>
        <w:rPr>
          <w:color w:val="000000"/>
        </w:rPr>
      </w:pPr>
      <w:r w:rsidRPr="00A511A1">
        <w:rPr>
          <w:rFonts w:ascii="Arial" w:hAnsi="Arial"/>
          <w:color w:val="000000"/>
          <w:sz w:val="20"/>
          <w:szCs w:val="20"/>
        </w:rPr>
        <w:t>A claim to reconsider is a claim received before the appeal period expires.</w:t>
      </w:r>
    </w:p>
    <w:p w:rsidR="00A511A1" w:rsidRPr="00EE6E4B" w:rsidRDefault="00A511A1" w:rsidP="00F063AF">
      <w:pPr>
        <w:pStyle w:val="ListParagraph"/>
        <w:numPr>
          <w:ilvl w:val="0"/>
          <w:numId w:val="254"/>
        </w:numPr>
        <w:tabs>
          <w:tab w:val="left" w:pos="1440"/>
        </w:tabs>
        <w:spacing w:after="120" w:line="240" w:lineRule="auto"/>
        <w:ind w:left="1440" w:hanging="450"/>
        <w:rPr>
          <w:rFonts w:ascii="Arial" w:hAnsi="Arial"/>
          <w:color w:val="000000"/>
          <w:sz w:val="20"/>
        </w:rPr>
      </w:pPr>
      <w:r w:rsidRPr="00EE6E4B">
        <w:rPr>
          <w:rFonts w:ascii="Arial" w:hAnsi="Arial"/>
          <w:color w:val="000000"/>
          <w:sz w:val="20"/>
        </w:rPr>
        <w:t xml:space="preserve">Effective 3/24/15, the </w:t>
      </w:r>
      <w:r w:rsidRPr="00EE6E4B">
        <w:rPr>
          <w:rFonts w:ascii="Arial" w:hAnsi="Arial"/>
          <w:sz w:val="20"/>
        </w:rPr>
        <w:t>V</w:t>
      </w:r>
      <w:r w:rsidRPr="00EE6E4B">
        <w:rPr>
          <w:rFonts w:ascii="Arial" w:hAnsi="Arial"/>
          <w:color w:val="000000"/>
          <w:sz w:val="20"/>
        </w:rPr>
        <w:t xml:space="preserve">eteran must submit the claim to reopen in one of the approved forms. </w:t>
      </w:r>
      <w:r w:rsidRPr="00EE6E4B">
        <w:rPr>
          <w:rFonts w:ascii="Arial" w:hAnsi="Arial"/>
          <w:sz w:val="20"/>
        </w:rPr>
        <w:t>  </w:t>
      </w:r>
      <w:r w:rsidRPr="00EE6E4B">
        <w:rPr>
          <w:rFonts w:ascii="Arial" w:hAnsi="Arial"/>
          <w:color w:val="000000"/>
          <w:sz w:val="20"/>
        </w:rPr>
        <w:t xml:space="preserve">A claim to reconsider does not require to be submitted </w:t>
      </w:r>
      <w:r w:rsidRPr="00EE6E4B">
        <w:rPr>
          <w:rFonts w:ascii="Arial" w:hAnsi="Arial"/>
          <w:sz w:val="20"/>
        </w:rPr>
        <w:t>o</w:t>
      </w:r>
      <w:r w:rsidRPr="00EE6E4B">
        <w:rPr>
          <w:rFonts w:ascii="Arial" w:hAnsi="Arial"/>
          <w:color w:val="000000"/>
          <w:sz w:val="20"/>
        </w:rPr>
        <w:t>n a specific form.  </w:t>
      </w:r>
    </w:p>
    <w:p w:rsidR="00A511A1" w:rsidRPr="00A511A1" w:rsidRDefault="00A511A1" w:rsidP="00F063AF">
      <w:pPr>
        <w:pStyle w:val="ListParagraph"/>
        <w:numPr>
          <w:ilvl w:val="0"/>
          <w:numId w:val="255"/>
        </w:numPr>
        <w:tabs>
          <w:tab w:val="left" w:pos="1440"/>
        </w:tabs>
        <w:spacing w:after="120" w:line="240" w:lineRule="auto"/>
        <w:ind w:left="1440" w:hanging="450"/>
        <w:rPr>
          <w:rFonts w:ascii="Arial" w:hAnsi="Arial"/>
          <w:color w:val="000000"/>
          <w:sz w:val="20"/>
          <w:szCs w:val="20"/>
        </w:rPr>
      </w:pPr>
      <w:r w:rsidRPr="00A511A1">
        <w:rPr>
          <w:rFonts w:ascii="Arial" w:hAnsi="Arial"/>
          <w:color w:val="000000"/>
          <w:sz w:val="20"/>
          <w:szCs w:val="20"/>
        </w:rPr>
        <w:t>For “reopened” claims, an EP 020 is CEST, and the claim is administratively denied if the Veteran did not submit new and material evidence. {M21-1 III.iv.2.B.3.j}</w:t>
      </w:r>
    </w:p>
    <w:p w:rsidR="00A511A1" w:rsidRPr="00A511A1" w:rsidRDefault="00A511A1" w:rsidP="00F063AF">
      <w:pPr>
        <w:pStyle w:val="ListParagraph"/>
        <w:numPr>
          <w:ilvl w:val="0"/>
          <w:numId w:val="255"/>
        </w:numPr>
        <w:tabs>
          <w:tab w:val="left" w:pos="1440"/>
        </w:tabs>
        <w:spacing w:after="120" w:line="240" w:lineRule="auto"/>
        <w:ind w:left="1440" w:hanging="450"/>
        <w:rPr>
          <w:rFonts w:ascii="Arial" w:hAnsi="Arial"/>
          <w:color w:val="000000"/>
          <w:sz w:val="20"/>
          <w:szCs w:val="20"/>
        </w:rPr>
      </w:pPr>
      <w:r w:rsidRPr="00A511A1">
        <w:rPr>
          <w:rFonts w:ascii="Arial" w:hAnsi="Arial"/>
          <w:color w:val="000000"/>
          <w:sz w:val="20"/>
          <w:szCs w:val="20"/>
        </w:rPr>
        <w:t>For “reconsideration” claims, the VSR / CA should not control with a Rating EP unless the Veteran submitted new evidence or identified new evidence.  The VSR</w:t>
      </w:r>
      <w:r>
        <w:rPr>
          <w:rFonts w:ascii="Arial" w:hAnsi="Arial"/>
          <w:color w:val="000000"/>
          <w:sz w:val="20"/>
          <w:szCs w:val="20"/>
        </w:rPr>
        <w:t xml:space="preserve"> </w:t>
      </w:r>
      <w:r w:rsidRPr="00A511A1">
        <w:rPr>
          <w:rFonts w:ascii="Arial" w:hAnsi="Arial"/>
          <w:color w:val="000000"/>
          <w:sz w:val="20"/>
          <w:szCs w:val="20"/>
        </w:rPr>
        <w:t>/ CA will CEST an EP 400 and send the Veteran a letter stating that we cannot take further action unless he/she provides new evidence for the reconsideration {M21-1 III.ii.2.F.1.e}</w:t>
      </w:r>
    </w:p>
    <w:p w:rsidR="00A511A1" w:rsidRPr="00A511A1" w:rsidRDefault="00A511A1" w:rsidP="0059417E">
      <w:pPr>
        <w:spacing w:after="120"/>
        <w:ind w:left="990"/>
        <w:rPr>
          <w:color w:val="000000"/>
        </w:rPr>
      </w:pPr>
      <w:r w:rsidRPr="00A511A1">
        <w:rPr>
          <w:color w:val="000000"/>
        </w:rPr>
        <w:t>In any case the Veteran identifies new evidence for us to obtain, we should make all efforts to obtain that evidence before determining if it is new or material.</w:t>
      </w:r>
    </w:p>
    <w:p w:rsidR="00A511A1" w:rsidRPr="00A511A1" w:rsidRDefault="00A511A1" w:rsidP="0059417E">
      <w:pPr>
        <w:spacing w:after="120"/>
        <w:ind w:left="990"/>
        <w:rPr>
          <w:color w:val="000000"/>
        </w:rPr>
      </w:pPr>
      <w:r w:rsidRPr="00A511A1">
        <w:rPr>
          <w:color w:val="000000"/>
        </w:rPr>
        <w:t xml:space="preserve">If the </w:t>
      </w:r>
      <w:r w:rsidRPr="00A511A1">
        <w:t>V</w:t>
      </w:r>
      <w:r w:rsidRPr="00A511A1">
        <w:rPr>
          <w:color w:val="000000"/>
        </w:rPr>
        <w:t xml:space="preserve">eteran submits a 526EZ no further </w:t>
      </w:r>
      <w:r w:rsidRPr="00A511A1">
        <w:t xml:space="preserve">“N&amp;M evidence” </w:t>
      </w:r>
      <w:r w:rsidRPr="00A511A1">
        <w:rPr>
          <w:color w:val="000000"/>
        </w:rPr>
        <w:t xml:space="preserve">development is needed. </w:t>
      </w:r>
      <w:r w:rsidRPr="00A511A1">
        <w:t> </w:t>
      </w:r>
      <w:r w:rsidRPr="00A511A1">
        <w:rPr>
          <w:color w:val="000000"/>
        </w:rPr>
        <w:t xml:space="preserve">WTEMS are provided with the form. </w:t>
      </w:r>
    </w:p>
    <w:p w:rsidR="00A511A1" w:rsidRPr="00A511A1" w:rsidRDefault="00A511A1" w:rsidP="0059417E">
      <w:pPr>
        <w:spacing w:after="120"/>
        <w:ind w:left="990"/>
      </w:pPr>
      <w:r w:rsidRPr="00A511A1">
        <w:rPr>
          <w:color w:val="000000"/>
        </w:rPr>
        <w:t xml:space="preserve">If the </w:t>
      </w:r>
      <w:r w:rsidRPr="00A511A1">
        <w:t>V</w:t>
      </w:r>
      <w:r w:rsidRPr="00A511A1">
        <w:rPr>
          <w:color w:val="000000"/>
        </w:rPr>
        <w:t xml:space="preserve">eteran submits a claim to reopen (after the year) and does not submit new and material evidence, the VSR will </w:t>
      </w:r>
      <w:r w:rsidRPr="00A511A1">
        <w:t xml:space="preserve">administratively </w:t>
      </w:r>
      <w:r w:rsidRPr="00A511A1">
        <w:rPr>
          <w:color w:val="000000"/>
        </w:rPr>
        <w:t>deny the claim.</w:t>
      </w:r>
    </w:p>
    <w:p w:rsidR="00A511A1" w:rsidRPr="00A511A1" w:rsidRDefault="00A511A1" w:rsidP="0059417E">
      <w:pPr>
        <w:spacing w:after="120"/>
        <w:ind w:left="990"/>
        <w:rPr>
          <w:color w:val="000000"/>
        </w:rPr>
      </w:pPr>
      <w:r w:rsidRPr="00A511A1">
        <w:rPr>
          <w:color w:val="000000"/>
        </w:rPr>
        <w:t xml:space="preserve">If the </w:t>
      </w:r>
      <w:r w:rsidRPr="00A511A1">
        <w:t>V</w:t>
      </w:r>
      <w:r w:rsidRPr="00A511A1">
        <w:rPr>
          <w:color w:val="000000"/>
        </w:rPr>
        <w:t xml:space="preserve">eteran submits a claim for reconsideration (within the year) and does not submit new evidence, the VSR will </w:t>
      </w:r>
      <w:r w:rsidRPr="00A511A1">
        <w:t xml:space="preserve">administratively </w:t>
      </w:r>
      <w:r w:rsidRPr="00A511A1">
        <w:rPr>
          <w:color w:val="000000"/>
        </w:rPr>
        <w:t xml:space="preserve">deny the claim. </w:t>
      </w:r>
    </w:p>
    <w:p w:rsidR="00A511A1" w:rsidRPr="00A511A1" w:rsidRDefault="00A511A1" w:rsidP="0059417E">
      <w:pPr>
        <w:spacing w:after="120"/>
        <w:ind w:left="990"/>
        <w:rPr>
          <w:color w:val="000000"/>
        </w:rPr>
      </w:pPr>
      <w:r w:rsidRPr="00A511A1">
        <w:rPr>
          <w:color w:val="000000"/>
        </w:rPr>
        <w:t xml:space="preserve">If the </w:t>
      </w:r>
      <w:r w:rsidRPr="00A511A1">
        <w:t>V</w:t>
      </w:r>
      <w:r w:rsidRPr="00A511A1">
        <w:rPr>
          <w:color w:val="000000"/>
        </w:rPr>
        <w:t>eteran submits a claim to reopen a claim (after the year) and submits new and material evidence, the claim is forwarded to the Rater.</w:t>
      </w:r>
    </w:p>
    <w:p w:rsidR="00A511A1" w:rsidRPr="00A511A1" w:rsidRDefault="00A511A1" w:rsidP="0059417E">
      <w:pPr>
        <w:spacing w:after="120"/>
        <w:ind w:left="990"/>
        <w:rPr>
          <w:color w:val="000000"/>
        </w:rPr>
      </w:pPr>
      <w:r w:rsidRPr="00A511A1">
        <w:rPr>
          <w:color w:val="000000"/>
        </w:rPr>
        <w:t xml:space="preserve">If the </w:t>
      </w:r>
      <w:r w:rsidRPr="00A511A1">
        <w:t>V</w:t>
      </w:r>
      <w:r w:rsidRPr="00A511A1">
        <w:rPr>
          <w:color w:val="000000"/>
        </w:rPr>
        <w:t>eteran submits a claim for reconsideration (within the year) and submits new evidence, the claim is forwarded to the Rater.</w:t>
      </w:r>
    </w:p>
    <w:p w:rsidR="00A511A1" w:rsidRPr="00A511A1" w:rsidRDefault="00A511A1" w:rsidP="0059417E">
      <w:pPr>
        <w:spacing w:after="120"/>
        <w:ind w:left="990"/>
        <w:rPr>
          <w:color w:val="000000"/>
        </w:rPr>
      </w:pPr>
      <w:r w:rsidRPr="00A511A1">
        <w:rPr>
          <w:color w:val="000000"/>
        </w:rPr>
        <w:t xml:space="preserve">If the </w:t>
      </w:r>
      <w:r w:rsidRPr="00A511A1">
        <w:t>V</w:t>
      </w:r>
      <w:r w:rsidRPr="00A511A1">
        <w:rPr>
          <w:color w:val="000000"/>
        </w:rPr>
        <w:t xml:space="preserve">eteran sends us a </w:t>
      </w:r>
      <w:r w:rsidRPr="00A511A1">
        <w:t>21-</w:t>
      </w:r>
      <w:r w:rsidRPr="00A511A1">
        <w:rPr>
          <w:color w:val="000000"/>
        </w:rPr>
        <w:t xml:space="preserve">4142 that is new then we will </w:t>
      </w:r>
      <w:r w:rsidRPr="00A511A1">
        <w:t xml:space="preserve">should </w:t>
      </w:r>
      <w:r w:rsidRPr="00A511A1">
        <w:rPr>
          <w:color w:val="000000"/>
        </w:rPr>
        <w:t xml:space="preserve">develop </w:t>
      </w:r>
      <w:r w:rsidRPr="00A511A1">
        <w:t xml:space="preserve">for the records identified.   </w:t>
      </w:r>
      <w:r w:rsidRPr="00A511A1">
        <w:rPr>
          <w:color w:val="000000"/>
        </w:rPr>
        <w:t xml:space="preserve">If the </w:t>
      </w:r>
      <w:r w:rsidRPr="00A511A1">
        <w:t>21-</w:t>
      </w:r>
      <w:r w:rsidRPr="00A511A1">
        <w:rPr>
          <w:color w:val="000000"/>
        </w:rPr>
        <w:t>4142 is for the same provider and same period of treatment that we have already obtained then there is no further development because this is not new evidence.</w:t>
      </w:r>
    </w:p>
    <w:p w:rsidR="00A511A1" w:rsidRPr="00A511A1" w:rsidRDefault="00A511A1" w:rsidP="0059417E">
      <w:pPr>
        <w:spacing w:after="120"/>
        <w:ind w:left="990"/>
        <w:rPr>
          <w:color w:val="000000"/>
        </w:rPr>
      </w:pPr>
      <w:r w:rsidRPr="00A511A1">
        <w:rPr>
          <w:color w:val="000000"/>
        </w:rPr>
        <w:t xml:space="preserve">An exam or medical opinion may be indicated if it is triggered by the new evidence.  </w:t>
      </w:r>
    </w:p>
    <w:p w:rsidR="00C0370A" w:rsidRPr="00B8606B" w:rsidRDefault="00C0370A" w:rsidP="00F063AF">
      <w:pPr>
        <w:pStyle w:val="ListParagraph"/>
        <w:numPr>
          <w:ilvl w:val="0"/>
          <w:numId w:val="328"/>
        </w:numPr>
        <w:tabs>
          <w:tab w:val="left" w:pos="1350"/>
        </w:tabs>
        <w:spacing w:after="120"/>
        <w:ind w:left="990"/>
        <w:rPr>
          <w:rFonts w:ascii="Arial" w:hAnsi="Arial"/>
          <w:sz w:val="20"/>
          <w:szCs w:val="20"/>
        </w:rPr>
      </w:pPr>
      <w:r w:rsidRPr="00B8606B">
        <w:rPr>
          <w:rFonts w:ascii="Arial" w:hAnsi="Arial"/>
          <w:b/>
          <w:bCs/>
          <w:sz w:val="20"/>
          <w:szCs w:val="20"/>
        </w:rPr>
        <w:t>From:</w:t>
      </w:r>
      <w:r w:rsidRPr="00B8606B">
        <w:rPr>
          <w:rFonts w:ascii="Arial" w:hAnsi="Arial"/>
          <w:sz w:val="20"/>
          <w:szCs w:val="20"/>
        </w:rPr>
        <w:t xml:space="preserve"> VAVBASDC/RO/VSC </w:t>
      </w:r>
      <w:r w:rsidRPr="00B8606B">
        <w:rPr>
          <w:rFonts w:ascii="Arial" w:hAnsi="Arial"/>
          <w:sz w:val="20"/>
          <w:szCs w:val="20"/>
        </w:rPr>
        <w:br/>
      </w:r>
      <w:r w:rsidRPr="00B8606B">
        <w:rPr>
          <w:rFonts w:ascii="Arial" w:hAnsi="Arial"/>
          <w:b/>
          <w:bCs/>
          <w:sz w:val="20"/>
          <w:szCs w:val="20"/>
        </w:rPr>
        <w:t>Sent:</w:t>
      </w:r>
      <w:r w:rsidRPr="00B8606B">
        <w:rPr>
          <w:rFonts w:ascii="Arial" w:hAnsi="Arial"/>
          <w:sz w:val="20"/>
          <w:szCs w:val="20"/>
        </w:rPr>
        <w:t xml:space="preserve"> Tuesday, October 25, 2016 11:23 AM</w:t>
      </w:r>
      <w:r w:rsidRPr="00B8606B">
        <w:rPr>
          <w:rFonts w:ascii="Arial" w:hAnsi="Arial"/>
          <w:sz w:val="20"/>
          <w:szCs w:val="20"/>
        </w:rPr>
        <w:br/>
      </w:r>
      <w:r w:rsidRPr="00B8606B">
        <w:rPr>
          <w:rFonts w:ascii="Arial" w:hAnsi="Arial"/>
          <w:b/>
          <w:bCs/>
          <w:sz w:val="20"/>
          <w:szCs w:val="20"/>
        </w:rPr>
        <w:t>Subject:</w:t>
      </w:r>
      <w:r w:rsidRPr="00B8606B">
        <w:rPr>
          <w:rFonts w:ascii="Arial" w:hAnsi="Arial"/>
          <w:sz w:val="20"/>
          <w:szCs w:val="20"/>
        </w:rPr>
        <w:t xml:space="preserve"> FW: Q-TIP: When to use (and not use) "N&amp;M" language in rating decisions</w:t>
      </w:r>
    </w:p>
    <w:p w:rsidR="00C0370A" w:rsidRPr="00B8606B" w:rsidRDefault="00C0370A" w:rsidP="0059417E">
      <w:pPr>
        <w:spacing w:after="120"/>
        <w:ind w:left="990"/>
      </w:pPr>
      <w:r w:rsidRPr="00B8606B">
        <w:t>Attention RVSRs and DROs:</w:t>
      </w:r>
    </w:p>
    <w:p w:rsidR="00C0370A" w:rsidRPr="00B8606B" w:rsidRDefault="00C0370A" w:rsidP="0059417E">
      <w:pPr>
        <w:spacing w:after="120"/>
        <w:ind w:left="990"/>
      </w:pPr>
      <w:r w:rsidRPr="00B8606B">
        <w:t xml:space="preserve">A request for reconsideration is a request from a claimant for VA to reconsider one of its decisions that has </w:t>
      </w:r>
      <w:r w:rsidRPr="00B8606B">
        <w:rPr>
          <w:u w:val="single"/>
        </w:rPr>
        <w:t>not</w:t>
      </w:r>
      <w:r w:rsidRPr="00B8606B">
        <w:t xml:space="preserve"> yet become final (the one-year appeal period has not yet expired). </w:t>
      </w:r>
    </w:p>
    <w:p w:rsidR="00C0370A" w:rsidRPr="00B8606B" w:rsidRDefault="00C0370A" w:rsidP="0059417E">
      <w:pPr>
        <w:spacing w:after="120"/>
        <w:ind w:left="990"/>
      </w:pPr>
      <w:r w:rsidRPr="00B8606B">
        <w:t xml:space="preserve">A claim to reopen is a request to review a previously </w:t>
      </w:r>
      <w:r w:rsidRPr="00B8606B">
        <w:rPr>
          <w:u w:val="single"/>
        </w:rPr>
        <w:t>finally decided</w:t>
      </w:r>
      <w:r w:rsidRPr="00B8606B">
        <w:t xml:space="preserve"> claim or other determination.  Under 38 CFR 3.156(a), new and material evidence is required before VA will reopen a finally denied claim.  </w:t>
      </w:r>
    </w:p>
    <w:p w:rsidR="00C0370A" w:rsidRPr="00B8606B" w:rsidRDefault="00C0370A" w:rsidP="0059417E">
      <w:pPr>
        <w:spacing w:after="120"/>
        <w:ind w:left="990"/>
      </w:pPr>
      <w:r w:rsidRPr="00B8606B">
        <w:t>When there is rating jurisdiction over these issues, please keep in the mind the following:</w:t>
      </w:r>
    </w:p>
    <w:p w:rsidR="00C0370A" w:rsidRPr="00B8606B" w:rsidRDefault="00C0370A" w:rsidP="00F063AF">
      <w:pPr>
        <w:pStyle w:val="ListParagraph"/>
        <w:numPr>
          <w:ilvl w:val="0"/>
          <w:numId w:val="327"/>
        </w:numPr>
        <w:tabs>
          <w:tab w:val="left" w:pos="1440"/>
        </w:tabs>
        <w:spacing w:after="120" w:line="240" w:lineRule="auto"/>
        <w:ind w:left="1440"/>
        <w:rPr>
          <w:rFonts w:ascii="Arial" w:hAnsi="Arial"/>
          <w:sz w:val="20"/>
          <w:szCs w:val="20"/>
        </w:rPr>
      </w:pPr>
      <w:r w:rsidRPr="00B8606B">
        <w:rPr>
          <w:rFonts w:ascii="Arial" w:hAnsi="Arial"/>
          <w:sz w:val="20"/>
          <w:szCs w:val="20"/>
        </w:rPr>
        <w:t xml:space="preserve">The term “reopened” does </w:t>
      </w:r>
      <w:r w:rsidRPr="00B8606B">
        <w:rPr>
          <w:rFonts w:ascii="Arial" w:hAnsi="Arial"/>
          <w:sz w:val="20"/>
          <w:szCs w:val="20"/>
          <w:u w:val="single"/>
        </w:rPr>
        <w:t>not</w:t>
      </w:r>
      <w:r w:rsidRPr="00B8606B">
        <w:rPr>
          <w:rFonts w:ascii="Arial" w:hAnsi="Arial"/>
          <w:sz w:val="20"/>
          <w:szCs w:val="20"/>
        </w:rPr>
        <w:t xml:space="preserve"> apply to new claims, including claims for reconsideration of a prior non-final decision and for individual unemployability (M21-1 </w:t>
      </w:r>
      <w:r w:rsidRPr="00B8606B">
        <w:rPr>
          <w:rStyle w:val="Strong"/>
          <w:rFonts w:ascii="Arial" w:hAnsi="Arial"/>
          <w:b w:val="0"/>
          <w:bCs w:val="0"/>
          <w:sz w:val="20"/>
          <w:szCs w:val="20"/>
        </w:rPr>
        <w:t>III.ii.2.D.1.b</w:t>
      </w:r>
      <w:r w:rsidRPr="00B8606B">
        <w:rPr>
          <w:rStyle w:val="Strong"/>
          <w:rFonts w:ascii="Arial" w:hAnsi="Arial"/>
          <w:b w:val="0"/>
          <w:bCs w:val="0"/>
          <w:color w:val="444444"/>
          <w:sz w:val="20"/>
          <w:szCs w:val="20"/>
        </w:rPr>
        <w:t>)</w:t>
      </w:r>
      <w:r w:rsidRPr="00B8606B">
        <w:rPr>
          <w:rFonts w:ascii="Arial" w:hAnsi="Arial"/>
          <w:sz w:val="20"/>
          <w:szCs w:val="20"/>
        </w:rPr>
        <w:t xml:space="preserve">.  Therefore, ratings that do not pertain to claims to reopen should </w:t>
      </w:r>
      <w:r w:rsidRPr="00B8606B">
        <w:rPr>
          <w:rFonts w:ascii="Arial" w:hAnsi="Arial"/>
          <w:sz w:val="20"/>
          <w:szCs w:val="20"/>
          <w:u w:val="single"/>
        </w:rPr>
        <w:t>not</w:t>
      </w:r>
      <w:r w:rsidRPr="00B8606B">
        <w:rPr>
          <w:rFonts w:ascii="Arial" w:hAnsi="Arial"/>
          <w:sz w:val="20"/>
          <w:szCs w:val="20"/>
        </w:rPr>
        <w:t xml:space="preserve"> contain the “new and material evidence” language in the decision section or the narrative.  </w:t>
      </w:r>
    </w:p>
    <w:p w:rsidR="00C0370A" w:rsidRPr="00B8606B" w:rsidRDefault="00C0370A" w:rsidP="00F063AF">
      <w:pPr>
        <w:pStyle w:val="ListParagraph"/>
        <w:numPr>
          <w:ilvl w:val="0"/>
          <w:numId w:val="327"/>
        </w:numPr>
        <w:tabs>
          <w:tab w:val="left" w:pos="1440"/>
        </w:tabs>
        <w:spacing w:after="120" w:line="240" w:lineRule="auto"/>
        <w:ind w:left="1440"/>
        <w:rPr>
          <w:rFonts w:ascii="Arial" w:hAnsi="Arial"/>
          <w:sz w:val="20"/>
          <w:szCs w:val="20"/>
        </w:rPr>
      </w:pPr>
      <w:r w:rsidRPr="00B8606B">
        <w:rPr>
          <w:rFonts w:ascii="Arial" w:hAnsi="Arial"/>
          <w:sz w:val="20"/>
          <w:szCs w:val="20"/>
        </w:rPr>
        <w:t xml:space="preserve">In requests for reconsideration, although evidence received after a decision and prior to the expiration of the appeal period must be analyzed to determine if it is new and material under 38 CFR 3.156(b), it is </w:t>
      </w:r>
      <w:r w:rsidRPr="00B8606B">
        <w:rPr>
          <w:rFonts w:ascii="Arial" w:hAnsi="Arial"/>
          <w:sz w:val="20"/>
          <w:szCs w:val="20"/>
          <w:u w:val="single"/>
        </w:rPr>
        <w:t>not</w:t>
      </w:r>
      <w:r w:rsidRPr="00B8606B">
        <w:rPr>
          <w:rFonts w:ascii="Arial" w:hAnsi="Arial"/>
          <w:sz w:val="20"/>
          <w:szCs w:val="20"/>
        </w:rPr>
        <w:t xml:space="preserve"> necessary to necessary to include the standard new and material language in the rating narrative (M21-</w:t>
      </w:r>
      <w:r w:rsidRPr="00B8606B">
        <w:rPr>
          <w:rStyle w:val="Hyperlink"/>
          <w:rFonts w:ascii="Arial" w:hAnsi="Arial"/>
          <w:b/>
          <w:bCs/>
          <w:sz w:val="20"/>
          <w:szCs w:val="20"/>
        </w:rPr>
        <w:t xml:space="preserve"> </w:t>
      </w:r>
      <w:r w:rsidRPr="00B8606B">
        <w:rPr>
          <w:rStyle w:val="Strong"/>
          <w:rFonts w:ascii="Arial" w:hAnsi="Arial"/>
          <w:b w:val="0"/>
          <w:bCs w:val="0"/>
          <w:sz w:val="20"/>
          <w:szCs w:val="20"/>
        </w:rPr>
        <w:t>III.iv.2.B.3.b</w:t>
      </w:r>
      <w:r w:rsidRPr="00B8606B">
        <w:rPr>
          <w:rStyle w:val="Strong"/>
          <w:rFonts w:ascii="Arial" w:hAnsi="Arial"/>
          <w:b w:val="0"/>
          <w:bCs w:val="0"/>
          <w:color w:val="444444"/>
          <w:sz w:val="20"/>
          <w:szCs w:val="20"/>
        </w:rPr>
        <w:t>)</w:t>
      </w:r>
      <w:r w:rsidR="00C27BCC">
        <w:rPr>
          <w:rFonts w:ascii="Arial" w:hAnsi="Arial"/>
          <w:sz w:val="20"/>
          <w:szCs w:val="20"/>
        </w:rPr>
        <w:t>. </w:t>
      </w:r>
      <w:r w:rsidRPr="00B8606B">
        <w:rPr>
          <w:rFonts w:ascii="Arial" w:hAnsi="Arial"/>
          <w:sz w:val="20"/>
          <w:szCs w:val="20"/>
        </w:rPr>
        <w:t xml:space="preserve">The “new and material” generated texts in VBMS-R discuss evidence in the context of a </w:t>
      </w:r>
      <w:r w:rsidRPr="00B8606B">
        <w:rPr>
          <w:rFonts w:ascii="Arial" w:hAnsi="Arial"/>
          <w:i/>
          <w:iCs/>
          <w:sz w:val="20"/>
          <w:szCs w:val="20"/>
        </w:rPr>
        <w:t>finally</w:t>
      </w:r>
      <w:r w:rsidRPr="00B8606B">
        <w:rPr>
          <w:rFonts w:ascii="Arial" w:hAnsi="Arial"/>
          <w:sz w:val="20"/>
          <w:szCs w:val="20"/>
        </w:rPr>
        <w:t xml:space="preserve"> adjudicated claim and therefore should </w:t>
      </w:r>
      <w:r w:rsidRPr="00B8606B">
        <w:rPr>
          <w:rFonts w:ascii="Arial" w:hAnsi="Arial"/>
          <w:sz w:val="20"/>
          <w:szCs w:val="20"/>
          <w:u w:val="single"/>
        </w:rPr>
        <w:t>not</w:t>
      </w:r>
      <w:r w:rsidRPr="00B8606B">
        <w:rPr>
          <w:rFonts w:ascii="Arial" w:hAnsi="Arial"/>
          <w:sz w:val="20"/>
          <w:szCs w:val="20"/>
        </w:rPr>
        <w:t xml:space="preserve"> be used.  Furthermore, a claimant may appeal a determination that evidence is not new and material.  Consequently, it is important that the correct language and determination be provided in rating decisions.  </w:t>
      </w:r>
      <w:r w:rsidRPr="00B8606B">
        <w:rPr>
          <w:rFonts w:ascii="Arial" w:hAnsi="Arial"/>
          <w:i/>
          <w:iCs/>
          <w:sz w:val="20"/>
          <w:szCs w:val="20"/>
        </w:rPr>
        <w:t>See attached document on how users should address request for reconsiderations in VBMS-R.</w:t>
      </w:r>
      <w:r w:rsidRPr="00B8606B">
        <w:rPr>
          <w:rFonts w:ascii="Arial" w:hAnsi="Arial"/>
          <w:sz w:val="20"/>
          <w:szCs w:val="20"/>
        </w:rPr>
        <w:t xml:space="preserve"> </w:t>
      </w:r>
    </w:p>
    <w:p w:rsidR="00C0370A" w:rsidRPr="00B8606B" w:rsidRDefault="00C0370A" w:rsidP="00F063AF">
      <w:pPr>
        <w:pStyle w:val="ListParagraph"/>
        <w:numPr>
          <w:ilvl w:val="0"/>
          <w:numId w:val="327"/>
        </w:numPr>
        <w:tabs>
          <w:tab w:val="left" w:pos="1440"/>
        </w:tabs>
        <w:spacing w:after="120" w:line="240" w:lineRule="auto"/>
        <w:ind w:left="1440"/>
        <w:rPr>
          <w:rFonts w:ascii="Arial" w:hAnsi="Arial"/>
          <w:sz w:val="20"/>
          <w:szCs w:val="20"/>
        </w:rPr>
      </w:pPr>
      <w:r w:rsidRPr="00B8606B">
        <w:rPr>
          <w:rFonts w:ascii="Arial" w:hAnsi="Arial"/>
          <w:sz w:val="20"/>
          <w:szCs w:val="20"/>
        </w:rPr>
        <w:lastRenderedPageBreak/>
        <w:t xml:space="preserve">In claims to reopen, if it is determined that the evidence submitted is not </w:t>
      </w:r>
      <w:r w:rsidRPr="00B8606B">
        <w:rPr>
          <w:rFonts w:ascii="Arial" w:hAnsi="Arial"/>
          <w:i/>
          <w:iCs/>
          <w:sz w:val="20"/>
          <w:szCs w:val="20"/>
        </w:rPr>
        <w:t>both</w:t>
      </w:r>
      <w:r w:rsidRPr="00B8606B">
        <w:rPr>
          <w:rFonts w:ascii="Arial" w:hAnsi="Arial"/>
          <w:sz w:val="20"/>
          <w:szCs w:val="20"/>
        </w:rPr>
        <w:t xml:space="preserve"> new and material, the rating decision should indicate that the claim is not considered to have been successfully reopened and must explain </w:t>
      </w:r>
      <w:r w:rsidRPr="00B8606B">
        <w:rPr>
          <w:rFonts w:ascii="Arial" w:hAnsi="Arial"/>
          <w:sz w:val="20"/>
          <w:szCs w:val="20"/>
          <w:u w:val="single"/>
        </w:rPr>
        <w:t>why</w:t>
      </w:r>
      <w:r w:rsidRPr="00B8606B">
        <w:rPr>
          <w:rFonts w:ascii="Arial" w:hAnsi="Arial"/>
          <w:sz w:val="20"/>
          <w:szCs w:val="20"/>
        </w:rPr>
        <w:t xml:space="preserve"> the submitted evidence is not considered to be new and/or material.  Use of a “NM” denial reason glossary fragment in VBSM-R requires additional free text.  </w:t>
      </w:r>
    </w:p>
    <w:p w:rsidR="00C0370A" w:rsidRPr="00B8606B" w:rsidRDefault="00C0370A" w:rsidP="0059417E">
      <w:pPr>
        <w:ind w:left="990"/>
      </w:pPr>
      <w:r w:rsidRPr="00B8606B">
        <w:t>References:</w:t>
      </w:r>
    </w:p>
    <w:p w:rsidR="00C0370A" w:rsidRPr="00B8606B" w:rsidRDefault="00C0370A" w:rsidP="0059417E">
      <w:pPr>
        <w:ind w:left="990"/>
      </w:pPr>
      <w:r w:rsidRPr="00B8606B">
        <w:t>M21- III.ii.2.D. – Reopened Claims</w:t>
      </w:r>
    </w:p>
    <w:p w:rsidR="00C0370A" w:rsidRPr="00B8606B" w:rsidRDefault="00C0370A" w:rsidP="0059417E">
      <w:pPr>
        <w:ind w:left="990"/>
        <w:rPr>
          <w:rStyle w:val="Strong"/>
          <w:rFonts w:ascii="Calibri" w:hAnsi="Calibri" w:cs="Times New Roman"/>
          <w:b w:val="0"/>
          <w:bCs w:val="0"/>
          <w:lang w:val="en"/>
        </w:rPr>
      </w:pPr>
      <w:r w:rsidRPr="00B8606B">
        <w:t xml:space="preserve">M21-1 </w:t>
      </w:r>
      <w:r w:rsidRPr="00B8606B">
        <w:rPr>
          <w:rStyle w:val="Strong"/>
          <w:b w:val="0"/>
          <w:bCs w:val="0"/>
        </w:rPr>
        <w:t xml:space="preserve">III.iv.2.B.3 – </w:t>
      </w:r>
      <w:r w:rsidRPr="00B8606B">
        <w:rPr>
          <w:rStyle w:val="Strong"/>
          <w:b w:val="0"/>
          <w:bCs w:val="0"/>
          <w:lang w:val="en"/>
        </w:rPr>
        <w:t>Reopening a Previously Denied Claim Based on New and Material Evidence</w:t>
      </w:r>
    </w:p>
    <w:p w:rsidR="00C0370A" w:rsidRPr="00B8606B" w:rsidRDefault="00C0370A" w:rsidP="0059417E">
      <w:pPr>
        <w:ind w:left="990"/>
        <w:rPr>
          <w:rStyle w:val="Strong"/>
          <w:b w:val="0"/>
          <w:bCs w:val="0"/>
        </w:rPr>
      </w:pPr>
      <w:r w:rsidRPr="00B8606B">
        <w:t>M21- III.ii.2.D. – Requests for Reconsideration</w:t>
      </w:r>
    </w:p>
    <w:p w:rsidR="00C0370A" w:rsidRPr="00B8606B" w:rsidRDefault="00C0370A" w:rsidP="0059417E">
      <w:pPr>
        <w:spacing w:after="120"/>
        <w:ind w:left="990"/>
        <w:rPr>
          <w:rStyle w:val="Strong"/>
          <w:b w:val="0"/>
          <w:bCs w:val="0"/>
        </w:rPr>
      </w:pPr>
      <w:r w:rsidRPr="00B8606B">
        <w:t xml:space="preserve">M21-1 </w:t>
      </w:r>
      <w:r w:rsidRPr="00B8606B">
        <w:rPr>
          <w:rStyle w:val="Strong"/>
          <w:b w:val="0"/>
          <w:bCs w:val="0"/>
        </w:rPr>
        <w:t>III.iv.6.F – ADL Rating Decisions</w:t>
      </w:r>
    </w:p>
    <w:p w:rsidR="00B8606B" w:rsidRPr="004F0688" w:rsidRDefault="00B8606B" w:rsidP="004F0688">
      <w:pPr>
        <w:widowControl w:val="0"/>
        <w:tabs>
          <w:tab w:val="left" w:pos="1350"/>
        </w:tabs>
        <w:spacing w:after="120"/>
        <w:ind w:left="994"/>
        <w:rPr>
          <w:i/>
          <w:color w:val="00B050"/>
        </w:rPr>
      </w:pPr>
      <w:r w:rsidRPr="0001727C">
        <w:rPr>
          <w:i/>
          <w:color w:val="00B050"/>
        </w:rPr>
        <w:t>*attachment says do not use “Confirmed and Continued decision” under Supplementary Decision, but leave that blank</w:t>
      </w:r>
      <w:r w:rsidR="004F0688">
        <w:rPr>
          <w:i/>
          <w:color w:val="00B050"/>
        </w:rPr>
        <w:t xml:space="preserve"> &amp; deny as if it is a new claim</w:t>
      </w:r>
    </w:p>
    <w:p w:rsidR="005557CE" w:rsidRPr="004F0688" w:rsidRDefault="00B8606B" w:rsidP="00F063AF">
      <w:pPr>
        <w:pStyle w:val="ListParagraph"/>
        <w:widowControl w:val="0"/>
        <w:numPr>
          <w:ilvl w:val="0"/>
          <w:numId w:val="198"/>
        </w:numPr>
        <w:tabs>
          <w:tab w:val="left" w:pos="0"/>
          <w:tab w:val="left" w:pos="990"/>
        </w:tabs>
        <w:spacing w:after="120" w:line="240" w:lineRule="auto"/>
        <w:ind w:left="990" w:hanging="270"/>
        <w:rPr>
          <w:rFonts w:ascii="Arial" w:hAnsi="Arial"/>
          <w:sz w:val="20"/>
          <w:szCs w:val="20"/>
        </w:rPr>
      </w:pPr>
      <w:r w:rsidRPr="00B8606B">
        <w:rPr>
          <w:rFonts w:ascii="Arial" w:hAnsi="Arial"/>
          <w:sz w:val="20"/>
          <w:szCs w:val="20"/>
        </w:rPr>
        <w:t>…</w:t>
      </w:r>
    </w:p>
    <w:p w:rsidR="00013EB8" w:rsidRDefault="00013EB8">
      <w:pPr>
        <w:widowControl w:val="0"/>
        <w:tabs>
          <w:tab w:val="left" w:pos="0"/>
          <w:tab w:val="left" w:pos="144"/>
        </w:tabs>
      </w:pPr>
    </w:p>
    <w:p w:rsidR="00013EB8" w:rsidRDefault="00013EB8">
      <w:pPr>
        <w:widowControl w:val="0"/>
        <w:pBdr>
          <w:top w:val="single" w:sz="4" w:space="1" w:color="auto"/>
        </w:pBdr>
        <w:tabs>
          <w:tab w:val="left" w:pos="0"/>
          <w:tab w:val="left" w:pos="144"/>
        </w:tabs>
        <w:rPr>
          <w:b/>
          <w:bCs/>
          <w:i/>
          <w:iCs/>
          <w:sz w:val="22"/>
        </w:rPr>
      </w:pPr>
    </w:p>
    <w:tbl>
      <w:tblPr>
        <w:tblW w:w="10785" w:type="dxa"/>
        <w:tblInd w:w="-45" w:type="dxa"/>
        <w:tblLayout w:type="fixed"/>
        <w:tblCellMar>
          <w:left w:w="30" w:type="dxa"/>
          <w:right w:w="30" w:type="dxa"/>
        </w:tblCellMar>
        <w:tblLook w:val="0000" w:firstRow="0" w:lastRow="0" w:firstColumn="0" w:lastColumn="0" w:noHBand="0" w:noVBand="0"/>
      </w:tblPr>
      <w:tblGrid>
        <w:gridCol w:w="615"/>
        <w:gridCol w:w="10170"/>
      </w:tblGrid>
      <w:tr w:rsidR="00013EB8" w:rsidTr="008E1E14">
        <w:tc>
          <w:tcPr>
            <w:tcW w:w="615" w:type="dxa"/>
            <w:tcBorders>
              <w:top w:val="nil"/>
              <w:left w:val="nil"/>
              <w:bottom w:val="nil"/>
              <w:right w:val="nil"/>
            </w:tcBorders>
          </w:tcPr>
          <w:p w:rsidR="00013EB8" w:rsidRDefault="00013EB8">
            <w:pPr>
              <w:widowControl w:val="0"/>
              <w:numPr>
                <w:ilvl w:val="12"/>
                <w:numId w:val="0"/>
              </w:numPr>
              <w:rPr>
                <w:b/>
              </w:rPr>
            </w:pPr>
            <w:r w:rsidRPr="00F673C9">
              <w:rPr>
                <w:b/>
              </w:rPr>
              <w:t>3.151</w:t>
            </w:r>
          </w:p>
        </w:tc>
        <w:tc>
          <w:tcPr>
            <w:tcW w:w="10170" w:type="dxa"/>
            <w:tcBorders>
              <w:left w:val="nil"/>
              <w:bottom w:val="nil"/>
              <w:right w:val="nil"/>
            </w:tcBorders>
          </w:tcPr>
          <w:p w:rsidR="00013EB8" w:rsidRDefault="00013EB8">
            <w:pPr>
              <w:widowControl w:val="0"/>
              <w:numPr>
                <w:ilvl w:val="12"/>
                <w:numId w:val="0"/>
              </w:numPr>
              <w:spacing w:after="120"/>
            </w:pPr>
            <w:r>
              <w:rPr>
                <w:b/>
              </w:rPr>
              <w:t xml:space="preserve">Claims for disability benefits </w:t>
            </w:r>
            <w:r>
              <w:t>– (6/24/85) - comp claim MAY be considered pension claim, and pension claim MAY be considered comp claim</w:t>
            </w:r>
            <w:r w:rsidR="00162CC0">
              <w:t xml:space="preserve"> [per </w:t>
            </w:r>
            <w:r w:rsidR="00162CC0" w:rsidRPr="00AC7F21">
              <w:rPr>
                <w:b/>
                <w:bCs/>
                <w:i/>
                <w:iCs/>
              </w:rPr>
              <w:t xml:space="preserve">November 2015 Compensation Service Bulletin (CSB) </w:t>
            </w:r>
            <w:r w:rsidR="00162CC0" w:rsidRPr="00AC7F21">
              <w:rPr>
                <w:bCs/>
                <w:iCs/>
              </w:rPr>
              <w:t>– 3.151</w:t>
            </w:r>
            <w:r w:rsidR="00162CC0" w:rsidRPr="00AC7F21">
              <w:rPr>
                <w:b/>
                <w:bCs/>
                <w:i/>
                <w:iCs/>
              </w:rPr>
              <w:t xml:space="preserve"> </w:t>
            </w:r>
            <w:r w:rsidR="00162CC0" w:rsidRPr="00AC7F21">
              <w:t>not changed by standard</w:t>
            </w:r>
            <w:r w:rsidR="00404D8F">
              <w:t>ized claims &amp; appeals forms]</w:t>
            </w:r>
            <w:r w:rsidRPr="00AC7F21">
              <w:t>;</w:t>
            </w:r>
            <w:r>
              <w:t xml:space="preserve"> cannot pay pension prior to date of receipt of claim unless veteran specifically claims entitlement to retroactive benefits within 1 year of the date he/she became P&amp;T (see </w:t>
            </w:r>
            <w:r w:rsidRPr="00895E95">
              <w:rPr>
                <w:b/>
                <w:iCs/>
              </w:rPr>
              <w:t>3.400</w:t>
            </w:r>
            <w:r w:rsidRPr="00EE6734">
              <w:rPr>
                <w:b/>
                <w:iCs/>
              </w:rPr>
              <w:t xml:space="preserve">(b) &amp; </w:t>
            </w:r>
            <w:r w:rsidR="00EE6734" w:rsidRPr="00EE6734">
              <w:rPr>
                <w:b/>
                <w:iCs/>
              </w:rPr>
              <w:t>III.iv.6.B</w:t>
            </w:r>
            <w:r w:rsidR="00895E95" w:rsidRPr="00EE6734">
              <w:rPr>
                <w:iCs/>
              </w:rPr>
              <w:t>)</w:t>
            </w:r>
          </w:p>
          <w:p w:rsidR="00EA64D3" w:rsidRPr="00EA64D3" w:rsidRDefault="00EA64D3" w:rsidP="00F063AF">
            <w:pPr>
              <w:pStyle w:val="ListParagraph"/>
              <w:numPr>
                <w:ilvl w:val="0"/>
                <w:numId w:val="229"/>
              </w:numPr>
              <w:spacing w:after="120" w:line="240" w:lineRule="auto"/>
              <w:ind w:left="331"/>
              <w:rPr>
                <w:rFonts w:ascii="Arial" w:hAnsi="Arial"/>
                <w:sz w:val="20"/>
                <w:szCs w:val="20"/>
              </w:rPr>
            </w:pPr>
            <w:r w:rsidRPr="00EA64D3">
              <w:rPr>
                <w:rFonts w:ascii="Arial" w:hAnsi="Arial"/>
                <w:sz w:val="20"/>
                <w:szCs w:val="20"/>
              </w:rPr>
              <w:t xml:space="preserve">See </w:t>
            </w:r>
            <w:r w:rsidRPr="00EA64D3">
              <w:rPr>
                <w:rFonts w:ascii="Arial" w:hAnsi="Arial"/>
                <w:b/>
                <w:sz w:val="20"/>
                <w:szCs w:val="20"/>
              </w:rPr>
              <w:t xml:space="preserve">3.151 </w:t>
            </w:r>
            <w:r w:rsidRPr="00EA64D3">
              <w:rPr>
                <w:rFonts w:ascii="Arial" w:hAnsi="Arial"/>
                <w:sz w:val="20"/>
                <w:szCs w:val="20"/>
              </w:rPr>
              <w:t>for effective dates for FDC</w:t>
            </w:r>
          </w:p>
          <w:p w:rsidR="00671D56" w:rsidRDefault="00671D56" w:rsidP="00F063AF">
            <w:pPr>
              <w:pStyle w:val="ListParagraph"/>
              <w:numPr>
                <w:ilvl w:val="0"/>
                <w:numId w:val="229"/>
              </w:numPr>
              <w:spacing w:after="120" w:line="240" w:lineRule="auto"/>
              <w:ind w:left="331"/>
              <w:rPr>
                <w:rFonts w:ascii="Arial" w:hAnsi="Arial"/>
                <w:sz w:val="20"/>
                <w:szCs w:val="20"/>
              </w:rPr>
            </w:pPr>
            <w:r w:rsidRPr="00671D56">
              <w:rPr>
                <w:rFonts w:ascii="Arial" w:hAnsi="Arial"/>
                <w:b/>
                <w:iCs/>
                <w:sz w:val="20"/>
                <w:szCs w:val="20"/>
              </w:rPr>
              <w:t>I.1.</w:t>
            </w:r>
            <w:r w:rsidR="00B34CEB" w:rsidRPr="00671D56">
              <w:rPr>
                <w:rFonts w:ascii="Arial" w:hAnsi="Arial"/>
                <w:b/>
                <w:iCs/>
                <w:sz w:val="20"/>
                <w:szCs w:val="20"/>
              </w:rPr>
              <w:t>B</w:t>
            </w:r>
            <w:r w:rsidR="00013EB8" w:rsidRPr="00671D56">
              <w:rPr>
                <w:rFonts w:ascii="Arial" w:hAnsi="Arial"/>
                <w:b/>
                <w:iCs/>
                <w:sz w:val="20"/>
                <w:szCs w:val="20"/>
              </w:rPr>
              <w:t xml:space="preserve"> –</w:t>
            </w:r>
            <w:r w:rsidR="00BB0B80">
              <w:rPr>
                <w:rFonts w:ascii="Arial" w:hAnsi="Arial"/>
                <w:b/>
                <w:iCs/>
                <w:sz w:val="20"/>
                <w:szCs w:val="20"/>
              </w:rPr>
              <w:t xml:space="preserve"> </w:t>
            </w:r>
            <w:r w:rsidRPr="00BB0B80">
              <w:rPr>
                <w:rFonts w:ascii="Arial" w:hAnsi="Arial"/>
                <w:b/>
                <w:sz w:val="20"/>
                <w:szCs w:val="20"/>
              </w:rPr>
              <w:t>I.1.B.1.c</w:t>
            </w:r>
            <w:r w:rsidRPr="00671D56">
              <w:rPr>
                <w:rFonts w:ascii="Arial" w:hAnsi="Arial"/>
                <w:sz w:val="20"/>
                <w:szCs w:val="20"/>
              </w:rPr>
              <w:t xml:space="preserve"> now says “Because the law permits a generic Section 5103 notice, it is not required that ROs include diagnostic criteria for a specific disability in the notice even if the claimant asserts entitlement to a specific evaluation level. See </w:t>
            </w:r>
            <w:r w:rsidRPr="006E501E">
              <w:rPr>
                <w:rStyle w:val="Emphasis"/>
                <w:rFonts w:ascii="Arial" w:hAnsi="Arial"/>
                <w:sz w:val="20"/>
                <w:szCs w:val="20"/>
                <w:u w:val="single"/>
              </w:rPr>
              <w:t>Wilson</w:t>
            </w:r>
            <w:r w:rsidRPr="006E501E">
              <w:rPr>
                <w:rFonts w:ascii="Arial" w:hAnsi="Arial"/>
                <w:sz w:val="20"/>
                <w:szCs w:val="20"/>
                <w:u w:val="single"/>
              </w:rPr>
              <w:t xml:space="preserve"> </w:t>
            </w:r>
            <w:r w:rsidRPr="006E501E">
              <w:rPr>
                <w:rStyle w:val="Emphasis"/>
                <w:rFonts w:ascii="Arial" w:hAnsi="Arial"/>
                <w:sz w:val="20"/>
                <w:szCs w:val="20"/>
                <w:u w:val="single"/>
              </w:rPr>
              <w:t>v.</w:t>
            </w:r>
            <w:r w:rsidRPr="006E501E">
              <w:rPr>
                <w:rFonts w:ascii="Arial" w:hAnsi="Arial"/>
                <w:sz w:val="20"/>
                <w:szCs w:val="20"/>
                <w:u w:val="single"/>
              </w:rPr>
              <w:t xml:space="preserve"> </w:t>
            </w:r>
            <w:r w:rsidRPr="006E501E">
              <w:rPr>
                <w:rStyle w:val="Emphasis"/>
                <w:rFonts w:ascii="Arial" w:hAnsi="Arial"/>
                <w:sz w:val="20"/>
                <w:szCs w:val="20"/>
                <w:u w:val="single"/>
              </w:rPr>
              <w:t>Mansfield</w:t>
            </w:r>
            <w:r w:rsidRPr="00671D56">
              <w:rPr>
                <w:rFonts w:ascii="Arial" w:hAnsi="Arial"/>
                <w:sz w:val="20"/>
                <w:szCs w:val="20"/>
              </w:rPr>
              <w:t xml:space="preserve">, 506 F.3d 1055, 1062 (Fed. Cir. 2007).” </w:t>
            </w:r>
            <w:r w:rsidRPr="006E501E">
              <w:rPr>
                <w:rFonts w:ascii="Arial" w:hAnsi="Arial"/>
                <w:b/>
                <w:i/>
                <w:sz w:val="20"/>
                <w:szCs w:val="20"/>
              </w:rPr>
              <w:t>Wilson v. Mansfield</w:t>
            </w:r>
            <w:r w:rsidRPr="00671D56">
              <w:rPr>
                <w:rFonts w:ascii="Arial" w:hAnsi="Arial"/>
                <w:sz w:val="20"/>
                <w:szCs w:val="20"/>
              </w:rPr>
              <w:t xml:space="preserve"> </w:t>
            </w:r>
            <w:r>
              <w:rPr>
                <w:rFonts w:ascii="Arial" w:hAnsi="Arial"/>
                <w:sz w:val="20"/>
                <w:szCs w:val="20"/>
              </w:rPr>
              <w:t>(1</w:t>
            </w:r>
            <w:r w:rsidRPr="00671D56">
              <w:rPr>
                <w:rFonts w:ascii="Arial" w:hAnsi="Arial"/>
                <w:sz w:val="20"/>
                <w:szCs w:val="20"/>
              </w:rPr>
              <w:t>0/15/07</w:t>
            </w:r>
            <w:r>
              <w:rPr>
                <w:rFonts w:ascii="Arial" w:hAnsi="Arial"/>
                <w:sz w:val="20"/>
                <w:szCs w:val="20"/>
              </w:rPr>
              <w:t>);</w:t>
            </w:r>
            <w:r w:rsidRPr="00671D56">
              <w:rPr>
                <w:rFonts w:ascii="Arial" w:hAnsi="Arial"/>
                <w:b/>
                <w:i/>
                <w:sz w:val="20"/>
                <w:szCs w:val="20"/>
              </w:rPr>
              <w:t xml:space="preserve"> </w:t>
            </w:r>
            <w:r w:rsidRPr="006E501E">
              <w:rPr>
                <w:rFonts w:ascii="Arial" w:hAnsi="Arial"/>
                <w:b/>
                <w:i/>
                <w:sz w:val="20"/>
                <w:szCs w:val="20"/>
              </w:rPr>
              <w:t>Dingess/Hartman v. Nicholson</w:t>
            </w:r>
            <w:r w:rsidRPr="00671D56">
              <w:rPr>
                <w:rFonts w:ascii="Arial" w:hAnsi="Arial"/>
                <w:sz w:val="20"/>
                <w:szCs w:val="20"/>
              </w:rPr>
              <w:t xml:space="preserve"> </w:t>
            </w:r>
            <w:r>
              <w:rPr>
                <w:rFonts w:ascii="Arial" w:hAnsi="Arial"/>
                <w:sz w:val="20"/>
                <w:szCs w:val="20"/>
              </w:rPr>
              <w:t>(3</w:t>
            </w:r>
            <w:r w:rsidRPr="00671D56">
              <w:rPr>
                <w:rFonts w:ascii="Arial" w:hAnsi="Arial"/>
                <w:sz w:val="20"/>
                <w:szCs w:val="20"/>
              </w:rPr>
              <w:t>/3/06</w:t>
            </w:r>
            <w:r>
              <w:rPr>
                <w:rFonts w:ascii="Arial" w:hAnsi="Arial"/>
                <w:sz w:val="20"/>
                <w:szCs w:val="20"/>
              </w:rPr>
              <w:t>)</w:t>
            </w:r>
            <w:r w:rsidRPr="00671D56">
              <w:rPr>
                <w:rFonts w:ascii="Arial" w:hAnsi="Arial"/>
                <w:sz w:val="20"/>
                <w:szCs w:val="20"/>
              </w:rPr>
              <w:t>.</w:t>
            </w:r>
          </w:p>
          <w:p w:rsidR="00900739" w:rsidRPr="00900739" w:rsidRDefault="00900739" w:rsidP="00F063AF">
            <w:pPr>
              <w:pStyle w:val="ListParagraph"/>
              <w:numPr>
                <w:ilvl w:val="0"/>
                <w:numId w:val="229"/>
              </w:numPr>
              <w:spacing w:after="120" w:line="240" w:lineRule="auto"/>
              <w:ind w:left="331"/>
              <w:rPr>
                <w:rFonts w:ascii="Arial" w:hAnsi="Arial"/>
                <w:b/>
                <w:sz w:val="20"/>
                <w:szCs w:val="20"/>
              </w:rPr>
            </w:pPr>
            <w:r w:rsidRPr="00900739">
              <w:rPr>
                <w:rFonts w:ascii="Arial" w:hAnsi="Arial"/>
                <w:b/>
                <w:iCs/>
                <w:sz w:val="20"/>
                <w:szCs w:val="20"/>
              </w:rPr>
              <w:t>III.</w:t>
            </w:r>
            <w:r w:rsidRPr="00900739">
              <w:rPr>
                <w:rFonts w:ascii="Arial" w:hAnsi="Arial"/>
                <w:b/>
                <w:sz w:val="20"/>
                <w:szCs w:val="20"/>
              </w:rPr>
              <w:t>ii.2.B.1</w:t>
            </w:r>
            <w:r w:rsidR="00D631F3">
              <w:rPr>
                <w:rFonts w:ascii="Arial" w:hAnsi="Arial"/>
                <w:b/>
                <w:sz w:val="20"/>
                <w:szCs w:val="20"/>
              </w:rPr>
              <w:t xml:space="preserve"> - III.ii.2.B.1.f </w:t>
            </w:r>
            <w:r w:rsidR="00D631F3" w:rsidRPr="00D631F3">
              <w:rPr>
                <w:rFonts w:ascii="Arial" w:hAnsi="Arial"/>
                <w:sz w:val="20"/>
                <w:szCs w:val="20"/>
              </w:rPr>
              <w:t xml:space="preserve">says </w:t>
            </w:r>
            <w:r w:rsidR="00D631F3">
              <w:rPr>
                <w:rFonts w:ascii="Arial" w:hAnsi="Arial"/>
                <w:sz w:val="20"/>
                <w:szCs w:val="20"/>
              </w:rPr>
              <w:t xml:space="preserve">correspondence or </w:t>
            </w:r>
            <w:r w:rsidR="00D631F3" w:rsidRPr="00D631F3">
              <w:rPr>
                <w:rFonts w:ascii="Arial" w:hAnsi="Arial"/>
                <w:sz w:val="20"/>
                <w:szCs w:val="20"/>
              </w:rPr>
              <w:t xml:space="preserve">4138 rec’d with 526 is </w:t>
            </w:r>
            <w:r w:rsidR="00D631F3">
              <w:rPr>
                <w:rFonts w:ascii="Arial" w:hAnsi="Arial"/>
                <w:sz w:val="20"/>
                <w:szCs w:val="20"/>
              </w:rPr>
              <w:t>part of the pending</w:t>
            </w:r>
            <w:r w:rsidR="00D631F3" w:rsidRPr="00D631F3">
              <w:rPr>
                <w:rFonts w:ascii="Arial" w:hAnsi="Arial"/>
                <w:sz w:val="20"/>
                <w:szCs w:val="20"/>
              </w:rPr>
              <w:t xml:space="preserve"> claim</w:t>
            </w:r>
          </w:p>
          <w:p w:rsidR="00013EB8" w:rsidRDefault="00013EB8" w:rsidP="00F063AF">
            <w:pPr>
              <w:widowControl w:val="0"/>
              <w:numPr>
                <w:ilvl w:val="0"/>
                <w:numId w:val="185"/>
              </w:numPr>
              <w:spacing w:after="120"/>
              <w:ind w:left="330"/>
            </w:pPr>
            <w:r>
              <w:rPr>
                <w:b/>
                <w:i/>
              </w:rPr>
              <w:t>Clegg v. Principi</w:t>
            </w:r>
            <w:r>
              <w:rPr>
                <w:b/>
              </w:rPr>
              <w:t xml:space="preserve"> 8 Fed.Appx 935 (15 Vet. App.) </w:t>
            </w:r>
            <w:r>
              <w:t>- entitlement to compensation requires evidence of a disability</w:t>
            </w:r>
          </w:p>
          <w:p w:rsidR="00013EB8" w:rsidRDefault="00013EB8" w:rsidP="00F063AF">
            <w:pPr>
              <w:widowControl w:val="0"/>
              <w:numPr>
                <w:ilvl w:val="0"/>
                <w:numId w:val="185"/>
              </w:numPr>
              <w:spacing w:after="120"/>
              <w:ind w:left="330"/>
              <w:rPr>
                <w:b/>
              </w:rPr>
            </w:pPr>
            <w:r>
              <w:rPr>
                <w:b/>
                <w:i/>
              </w:rPr>
              <w:t>Jones v. West</w:t>
            </w:r>
            <w:r>
              <w:rPr>
                <w:b/>
              </w:rPr>
              <w:t xml:space="preserve"> (12/22/98) </w:t>
            </w:r>
            <w:r>
              <w:t>- non adjudicated claim</w:t>
            </w:r>
          </w:p>
          <w:p w:rsidR="007B7591" w:rsidRDefault="00013EB8" w:rsidP="00F063AF">
            <w:pPr>
              <w:widowControl w:val="0"/>
              <w:numPr>
                <w:ilvl w:val="0"/>
                <w:numId w:val="185"/>
              </w:numPr>
              <w:spacing w:after="120"/>
              <w:ind w:left="330"/>
            </w:pPr>
            <w:r w:rsidRPr="00E55C58">
              <w:rPr>
                <w:b/>
                <w:i/>
                <w:highlight w:val="darkGray"/>
              </w:rPr>
              <w:t>Sanchez-Benitez v. West</w:t>
            </w:r>
            <w:r w:rsidRPr="00E55C58">
              <w:rPr>
                <w:b/>
                <w:highlight w:val="darkGray"/>
              </w:rPr>
              <w:t xml:space="preserve"> (12/29/99) </w:t>
            </w:r>
            <w:r w:rsidRPr="00E55C58">
              <w:rPr>
                <w:highlight w:val="darkGray"/>
              </w:rPr>
              <w:t>- pain alone, without a diagnosed or identifiable underlying malady or condition, does not in and of itself constitute a disability for which service connection may be granted [PVA said pain is a disability, Court did not rule on it, so Sanchez-Benitez is still good]</w:t>
            </w:r>
            <w:r w:rsidR="00E55C58">
              <w:t xml:space="preserve"> – overturned by </w:t>
            </w:r>
            <w:r w:rsidR="00E55C58" w:rsidRPr="00E55C58">
              <w:rPr>
                <w:b/>
                <w:i/>
              </w:rPr>
              <w:t xml:space="preserve">Saunders v. Wilkie </w:t>
            </w:r>
            <w:r w:rsidR="00E55C58">
              <w:rPr>
                <w:b/>
              </w:rPr>
              <w:t>(4/3/</w:t>
            </w:r>
            <w:r w:rsidR="00E55C58" w:rsidRPr="00E55C58">
              <w:rPr>
                <w:b/>
              </w:rPr>
              <w:t>18)</w:t>
            </w:r>
          </w:p>
          <w:p w:rsidR="0083474D" w:rsidRPr="0083474D" w:rsidRDefault="0083474D" w:rsidP="00F063AF">
            <w:pPr>
              <w:widowControl w:val="0"/>
              <w:numPr>
                <w:ilvl w:val="0"/>
                <w:numId w:val="185"/>
              </w:numPr>
              <w:spacing w:after="120"/>
              <w:ind w:left="330"/>
              <w:outlineLvl w:val="0"/>
              <w:rPr>
                <w:i/>
                <w:sz w:val="18"/>
                <w:szCs w:val="18"/>
              </w:rPr>
            </w:pPr>
            <w:r w:rsidRPr="0083474D">
              <w:rPr>
                <w:b/>
              </w:rPr>
              <w:t>Fully Developed Claims (FDCs)</w:t>
            </w:r>
          </w:p>
          <w:p w:rsidR="0083474D" w:rsidRPr="0083474D" w:rsidRDefault="0083474D" w:rsidP="00F063AF">
            <w:pPr>
              <w:widowControl w:val="0"/>
              <w:numPr>
                <w:ilvl w:val="0"/>
                <w:numId w:val="273"/>
              </w:numPr>
              <w:spacing w:after="120"/>
              <w:ind w:left="780"/>
              <w:outlineLvl w:val="0"/>
              <w:rPr>
                <w:i/>
                <w:sz w:val="18"/>
                <w:szCs w:val="18"/>
              </w:rPr>
            </w:pPr>
            <w:r>
              <w:t xml:space="preserve">Public Law 112-154 allows up to one-year retroactive effective date for awards for </w:t>
            </w:r>
            <w:r w:rsidRPr="004C422B">
              <w:rPr>
                <w:b/>
              </w:rPr>
              <w:t>original</w:t>
            </w:r>
            <w:r>
              <w:rPr>
                <w:b/>
              </w:rPr>
              <w:t>/initial</w:t>
            </w:r>
            <w:r w:rsidRPr="004C422B">
              <w:rPr>
                <w:b/>
              </w:rPr>
              <w:t>, formal compensation</w:t>
            </w:r>
            <w:r>
              <w:t xml:space="preserve"> claims from veterans </w:t>
            </w:r>
            <w:r w:rsidRPr="004C422B">
              <w:rPr>
                <w:b/>
              </w:rPr>
              <w:t>separated more than one year ago</w:t>
            </w:r>
            <w:r>
              <w:t xml:space="preserve">, on </w:t>
            </w:r>
            <w:r w:rsidRPr="004C422B">
              <w:rPr>
                <w:b/>
              </w:rPr>
              <w:t>21-526EZ &amp; VONAPP</w:t>
            </w:r>
            <w:r>
              <w:t xml:space="preserve">, received from </w:t>
            </w:r>
            <w:r>
              <w:rPr>
                <w:b/>
              </w:rPr>
              <w:t xml:space="preserve">8/6/13 </w:t>
            </w:r>
            <w:r w:rsidRPr="004A29FA">
              <w:rPr>
                <w:b/>
              </w:rPr>
              <w:t>through 8/5/15</w:t>
            </w:r>
          </w:p>
          <w:p w:rsidR="0090009D" w:rsidRPr="000B7FAC" w:rsidRDefault="00A179EE" w:rsidP="00F063AF">
            <w:pPr>
              <w:widowControl w:val="0"/>
              <w:numPr>
                <w:ilvl w:val="0"/>
                <w:numId w:val="273"/>
              </w:numPr>
              <w:spacing w:after="120"/>
              <w:ind w:left="780"/>
              <w:outlineLvl w:val="0"/>
              <w:rPr>
                <w:i/>
                <w:sz w:val="18"/>
                <w:szCs w:val="18"/>
              </w:rPr>
            </w:pPr>
            <w:r w:rsidRPr="006359B1">
              <w:rPr>
                <w:b/>
              </w:rPr>
              <w:t>III.i.3.A</w:t>
            </w:r>
            <w:r w:rsidR="00895E95">
              <w:t xml:space="preserve"> </w:t>
            </w:r>
            <w:r w:rsidR="0090009D">
              <w:t>–</w:t>
            </w:r>
            <w:r>
              <w:t xml:space="preserve"> </w:t>
            </w:r>
            <w:r w:rsidR="0090009D">
              <w:t>must use appropriate form &amp; cannot be outdated version</w:t>
            </w:r>
            <w:r w:rsidR="001E4612">
              <w:t xml:space="preserve"> (more on outdated forms at </w:t>
            </w:r>
            <w:r w:rsidR="001E4612" w:rsidRPr="001E4612">
              <w:rPr>
                <w:b/>
              </w:rPr>
              <w:t>I</w:t>
            </w:r>
            <w:r w:rsidR="001E4612">
              <w:rPr>
                <w:b/>
              </w:rPr>
              <w:t>II.ii.1.C.8</w:t>
            </w:r>
            <w:r w:rsidR="001E4612">
              <w:t>)</w:t>
            </w:r>
            <w:r w:rsidR="0090009D">
              <w:t xml:space="preserve">; can use EZ &amp; select no </w:t>
            </w:r>
            <w:r w:rsidR="00E032ED">
              <w:t>FDC</w:t>
            </w:r>
            <w:r w:rsidR="006010F0">
              <w:t xml:space="preserve"> (excluded)</w:t>
            </w:r>
            <w:r w:rsidR="0090009D">
              <w:t xml:space="preserve">; form </w:t>
            </w:r>
            <w:r w:rsidR="0090009D" w:rsidRPr="0090009D">
              <w:t>includes these WTEMS:  SC (incl active &amp; inactive duty for training), Reopen (N&amp;M), Secondary, Increase, Temporary Total, IU, 1151, SMC (incl Spousal), SAH/SHA, Auto, Helpless Child</w:t>
            </w:r>
            <w:r w:rsidR="0090009D">
              <w:t>; includes</w:t>
            </w:r>
            <w:r w:rsidR="00CE510A">
              <w:t xml:space="preserve"> references for</w:t>
            </w:r>
            <w:r w:rsidR="0090009D">
              <w:t xml:space="preserve"> what to do if didn’t sign (for originals and subsequent)</w:t>
            </w:r>
            <w:r w:rsidR="00CE510A">
              <w:t xml:space="preserve"> or cannot identity the claimant or determine the contentions; </w:t>
            </w:r>
            <w:r w:rsidR="00276CAF">
              <w:t xml:space="preserve">timeliness; </w:t>
            </w:r>
            <w:r w:rsidR="00276CAF" w:rsidRPr="00276CAF">
              <w:rPr>
                <w:b/>
              </w:rPr>
              <w:t xml:space="preserve">III.i.3.A.2.k </w:t>
            </w:r>
            <w:r w:rsidR="00276CAF">
              <w:t>– incomplete FDC prior to 3/24/15 gets one year from notification that incomplete to preserve effective</w:t>
            </w:r>
            <w:r w:rsidR="0055669B">
              <w:t xml:space="preserve"> </w:t>
            </w:r>
            <w:r w:rsidR="00276CAF">
              <w:t>date</w:t>
            </w:r>
          </w:p>
          <w:p w:rsidR="00A179EE" w:rsidRDefault="0083474D" w:rsidP="00F063AF">
            <w:pPr>
              <w:widowControl w:val="0"/>
              <w:numPr>
                <w:ilvl w:val="0"/>
                <w:numId w:val="273"/>
              </w:numPr>
              <w:spacing w:after="120"/>
              <w:ind w:left="780"/>
              <w:outlineLvl w:val="0"/>
            </w:pPr>
            <w:r>
              <w:rPr>
                <w:b/>
              </w:rPr>
              <w:t>III.i.3.B</w:t>
            </w:r>
            <w:r w:rsidR="00296727">
              <w:t xml:space="preserve"> </w:t>
            </w:r>
            <w:r>
              <w:t>-</w:t>
            </w:r>
            <w:r w:rsidR="00A179EE">
              <w:t xml:space="preserve"> </w:t>
            </w:r>
            <w:r w:rsidR="00E032ED" w:rsidRPr="006010F0">
              <w:rPr>
                <w:b/>
              </w:rPr>
              <w:t>exclusion reasons</w:t>
            </w:r>
            <w:r w:rsidR="00E032ED">
              <w:t xml:space="preserve"> (</w:t>
            </w:r>
            <w:r w:rsidR="006010F0">
              <w:t>*</w:t>
            </w:r>
            <w:r w:rsidR="00E032ED">
              <w:t xml:space="preserve">selects no FDC; </w:t>
            </w:r>
            <w:r w:rsidR="006010F0">
              <w:t>*</w:t>
            </w:r>
            <w:r w:rsidR="00E032ED">
              <w:t xml:space="preserve">has claim already pending; </w:t>
            </w:r>
            <w:r w:rsidR="006010F0">
              <w:t>*</w:t>
            </w:r>
            <w:r w:rsidR="00E032ED">
              <w:t xml:space="preserve">has appeal pending &amp; claim folder not at RO; </w:t>
            </w:r>
            <w:r w:rsidR="006010F0">
              <w:t>*</w:t>
            </w:r>
            <w:r w:rsidR="00E032ED">
              <w:t>does not simultaneously submit additional,</w:t>
            </w:r>
            <w:r w:rsidR="00E032ED" w:rsidRPr="00A42E9A">
              <w:t xml:space="preserve"> </w:t>
            </w:r>
            <w:r w:rsidR="00E032ED" w:rsidRPr="00E032ED">
              <w:rPr>
                <w:u w:val="single"/>
              </w:rPr>
              <w:t>completed</w:t>
            </w:r>
            <w:r w:rsidR="00E032ED" w:rsidRPr="006010F0">
              <w:t xml:space="preserve"> </w:t>
            </w:r>
            <w:r w:rsidR="00E032ED">
              <w:t xml:space="preserve">items </w:t>
            </w:r>
            <w:r w:rsidR="00E032ED" w:rsidRPr="00200FF0">
              <w:t>[</w:t>
            </w:r>
            <w:r w:rsidR="00E032ED" w:rsidRPr="00200FF0">
              <w:rPr>
                <w:strike/>
              </w:rPr>
              <w:t>for NG/Res members-STRs &amp; MPR in custody of unit</w:t>
            </w:r>
            <w:r w:rsidR="00E032ED" w:rsidRPr="00200FF0">
              <w:t>; for dependents-21-686c, 21-674, TRs for helpless child; for PTSD-VA Form 21-0781 or 21-0781a</w:t>
            </w:r>
            <w:r w:rsidR="00BA21FF" w:rsidRPr="00200FF0">
              <w:t xml:space="preserve"> (</w:t>
            </w:r>
            <w:r w:rsidR="002C35A8" w:rsidRPr="00200FF0">
              <w:t>unless has medal</w:t>
            </w:r>
            <w:r w:rsidR="00AC7F21" w:rsidRPr="00200FF0">
              <w:t xml:space="preserve"> or fear</w:t>
            </w:r>
            <w:r w:rsidR="002C35A8" w:rsidRPr="00200FF0">
              <w:t xml:space="preserve">, per </w:t>
            </w:r>
            <w:r w:rsidR="00AC7F21" w:rsidRPr="00200FF0">
              <w:t xml:space="preserve"> </w:t>
            </w:r>
            <w:r w:rsidR="00AC7F21" w:rsidRPr="00200FF0">
              <w:rPr>
                <w:b/>
              </w:rPr>
              <w:t>III.i.3.B.2.a</w:t>
            </w:r>
            <w:r w:rsidR="00BA21FF" w:rsidRPr="00200FF0">
              <w:t>)</w:t>
            </w:r>
            <w:r w:rsidR="00AC7F21" w:rsidRPr="00200FF0">
              <w:t xml:space="preserve">; </w:t>
            </w:r>
            <w:r w:rsidR="00E032ED" w:rsidRPr="00200FF0">
              <w:t>for IU-VA Form 21-8940; for SAH/SHA-VA Form 26-4555; for Auto-VA Form 21-4502; for A&amp;A or spousal A&amp;A-VA Form 21-2680];</w:t>
            </w:r>
            <w:r w:rsidR="00E032ED">
              <w:t xml:space="preserve"> </w:t>
            </w:r>
            <w:r w:rsidR="006010F0">
              <w:t>*</w:t>
            </w:r>
            <w:r w:rsidR="00E032ED">
              <w:t xml:space="preserve">needs COD determination; </w:t>
            </w:r>
            <w:r w:rsidR="006010F0">
              <w:t>*</w:t>
            </w:r>
            <w:r w:rsidR="00E032ED">
              <w:t xml:space="preserve">needs dev for evid [from claimant, private medical </w:t>
            </w:r>
            <w:r w:rsidR="00A42E9A">
              <w:t xml:space="preserve">care </w:t>
            </w:r>
            <w:r w:rsidR="00E032ED">
              <w:t xml:space="preserve">provider </w:t>
            </w:r>
            <w:r w:rsidR="00E032ED" w:rsidRPr="00BA21FF">
              <w:rPr>
                <w:strike/>
              </w:rPr>
              <w:t>or Reserve/Guard unit</w:t>
            </w:r>
            <w:r w:rsidR="00E032ED">
              <w:t>]</w:t>
            </w:r>
            <w:r w:rsidR="006010F0">
              <w:t>;</w:t>
            </w:r>
            <w:r w:rsidR="00296727">
              <w:t xml:space="preserve"> </w:t>
            </w:r>
            <w:r w:rsidR="00296727" w:rsidRPr="00BA21FF">
              <w:rPr>
                <w:strike/>
              </w:rPr>
              <w:t>*needs NA Form 13055</w:t>
            </w:r>
            <w:r w:rsidR="00296727" w:rsidRPr="00BA21FF">
              <w:t>; *needs income verif from FTI;</w:t>
            </w:r>
            <w:r w:rsidR="00BA21FF">
              <w:t xml:space="preserve"> *submits additional evidence;</w:t>
            </w:r>
            <w:r w:rsidR="006010F0" w:rsidRPr="00BA21FF">
              <w:t xml:space="preserve"> *fails to report &amp; asks to reschedule [unless VA is at fault, i.e. did not give correct address]; *submits a</w:t>
            </w:r>
            <w:r w:rsidR="00BA21FF" w:rsidRPr="00BA21FF">
              <w:t xml:space="preserve">dditional claim; *submits </w:t>
            </w:r>
            <w:r w:rsidR="006010F0" w:rsidRPr="00BA21FF">
              <w:t>NOD; *in</w:t>
            </w:r>
            <w:r w:rsidR="00BA21FF" w:rsidRPr="00BA21FF">
              <w:t>complete form; *</w:t>
            </w:r>
            <w:r w:rsidR="00BA21FF">
              <w:t>predischarge claim</w:t>
            </w:r>
            <w:r w:rsidR="00E032ED">
              <w:t>)</w:t>
            </w:r>
            <w:r w:rsidR="006010F0">
              <w:t xml:space="preserve">; </w:t>
            </w:r>
            <w:r w:rsidR="006010F0" w:rsidRPr="006010F0">
              <w:rPr>
                <w:b/>
              </w:rPr>
              <w:t>if excluded</w:t>
            </w:r>
            <w:r w:rsidR="006010F0">
              <w:t xml:space="preserve">, will need to send 5103 Notice if 1-not on EZ form; 2-non-original claim on EZ form but didn’t sign (so didn’t certifiy that got notice); 3-submitted a subsequent claim &amp; no 5103 Notice w/i last year; </w:t>
            </w:r>
            <w:r w:rsidR="006010F0" w:rsidRPr="006010F0">
              <w:rPr>
                <w:b/>
              </w:rPr>
              <w:t>we will get</w:t>
            </w:r>
            <w:r w:rsidR="006010F0">
              <w:t xml:space="preserve"> *Federal records in custody of Federal govt (except those in custody of Reserve/Guard unit</w:t>
            </w:r>
            <w:r w:rsidR="00296727">
              <w:t xml:space="preserve"> or records needing NA </w:t>
            </w:r>
            <w:r w:rsidR="00296727">
              <w:lastRenderedPageBreak/>
              <w:t>Form 13055)-</w:t>
            </w:r>
            <w:r w:rsidR="00C7227F">
              <w:t xml:space="preserve"> DO NOT request from veteran</w:t>
            </w:r>
            <w:r w:rsidR="00296727">
              <w:t>,</w:t>
            </w:r>
            <w:r w:rsidR="00C7227F">
              <w:t xml:space="preserve"> if unava, add extra FDC paragraph to</w:t>
            </w:r>
            <w:r w:rsidR="005140BE">
              <w:t xml:space="preserve"> </w:t>
            </w:r>
            <w:r w:rsidR="00010FA6">
              <w:t>final</w:t>
            </w:r>
            <w:r w:rsidR="00FA3608">
              <w:t xml:space="preserve"> </w:t>
            </w:r>
            <w:r w:rsidR="00010FA6">
              <w:t xml:space="preserve">notification letter </w:t>
            </w:r>
            <w:r w:rsidR="006010F0">
              <w:t>&amp; *VAE.</w:t>
            </w:r>
          </w:p>
          <w:p w:rsidR="00B8606B" w:rsidRDefault="006F1ACB" w:rsidP="00F063AF">
            <w:pPr>
              <w:widowControl w:val="0"/>
              <w:numPr>
                <w:ilvl w:val="0"/>
                <w:numId w:val="273"/>
              </w:numPr>
              <w:spacing w:after="120"/>
              <w:ind w:left="780" w:hanging="330"/>
              <w:outlineLvl w:val="0"/>
            </w:pPr>
            <w:r w:rsidRPr="006F1ACB">
              <w:rPr>
                <w:b/>
              </w:rPr>
              <w:t>III.i.3.B.3.d</w:t>
            </w:r>
            <w:r>
              <w:t xml:space="preserve"> – special issue development (herbicide, asbestos, radiation, GW, hepatitis C, fire STRs, MST, special operations, homeless; do not exclude at CEST, do not develop if evid is sufficient to decide the claim)</w:t>
            </w:r>
            <w:r w:rsidR="004149CA">
              <w:t xml:space="preserve"> </w:t>
            </w:r>
          </w:p>
          <w:p w:rsidR="0083474D" w:rsidRDefault="0083474D" w:rsidP="00F063AF">
            <w:pPr>
              <w:widowControl w:val="0"/>
              <w:numPr>
                <w:ilvl w:val="0"/>
                <w:numId w:val="273"/>
              </w:numPr>
              <w:spacing w:after="120"/>
              <w:ind w:left="780"/>
              <w:outlineLvl w:val="0"/>
            </w:pPr>
            <w:r w:rsidRPr="00F3606F">
              <w:t>Effective date assigned via Section 506 of PL 112-154.</w:t>
            </w:r>
          </w:p>
          <w:p w:rsidR="0083474D" w:rsidRPr="0083474D" w:rsidRDefault="0083474D" w:rsidP="00F063AF">
            <w:pPr>
              <w:pStyle w:val="ListParagraph"/>
              <w:numPr>
                <w:ilvl w:val="0"/>
                <w:numId w:val="273"/>
              </w:numPr>
              <w:spacing w:after="120"/>
              <w:ind w:left="780"/>
              <w:rPr>
                <w:rFonts w:ascii="Arial" w:hAnsi="Arial"/>
                <w:i/>
                <w:sz w:val="20"/>
              </w:rPr>
            </w:pPr>
            <w:r w:rsidRPr="0083474D">
              <w:rPr>
                <w:rFonts w:ascii="Arial" w:hAnsi="Arial"/>
                <w:b/>
                <w:sz w:val="20"/>
              </w:rPr>
              <w:t>III.i.3.B.4.c</w:t>
            </w:r>
            <w:r w:rsidRPr="0083474D">
              <w:rPr>
                <w:rFonts w:ascii="Arial" w:hAnsi="Arial"/>
                <w:i/>
                <w:sz w:val="20"/>
              </w:rPr>
              <w:t xml:space="preserve"> says if assigning earlier effective date under FDC, but not using PL 112-154, use</w:t>
            </w:r>
            <w:r w:rsidRPr="0083474D">
              <w:rPr>
                <w:rFonts w:ascii="Arial" w:hAnsi="Arial"/>
                <w:sz w:val="20"/>
              </w:rPr>
              <w:t>:</w:t>
            </w:r>
            <w:r w:rsidR="009B17F1">
              <w:rPr>
                <w:rFonts w:ascii="Arial" w:hAnsi="Arial"/>
                <w:sz w:val="20"/>
              </w:rPr>
              <w:t xml:space="preserve"> </w:t>
            </w:r>
            <w:r w:rsidRPr="0083474D">
              <w:rPr>
                <w:rFonts w:ascii="Arial" w:hAnsi="Arial"/>
                <w:sz w:val="20"/>
              </w:rPr>
              <w:t xml:space="preserve"> </w:t>
            </w:r>
            <w:r w:rsidRPr="0083474D">
              <w:rPr>
                <w:rStyle w:val="Emphasis"/>
                <w:rFonts w:ascii="Arial" w:hAnsi="Arial"/>
                <w:i w:val="0"/>
                <w:sz w:val="20"/>
              </w:rPr>
              <w:t xml:space="preserve">The one year retroactive effective date for FDC claims was considered, but we were able to assign an earlier effective date under </w:t>
            </w:r>
            <w:r w:rsidRPr="0083474D">
              <w:rPr>
                <w:rStyle w:val="Strong"/>
                <w:rFonts w:ascii="Arial" w:hAnsi="Arial"/>
                <w:i/>
                <w:sz w:val="20"/>
              </w:rPr>
              <w:t>[insert effective date rule applied and explanation]</w:t>
            </w:r>
            <w:r w:rsidRPr="0083474D">
              <w:rPr>
                <w:rFonts w:ascii="Arial" w:hAnsi="Arial"/>
                <w:i/>
                <w:sz w:val="20"/>
              </w:rPr>
              <w:t>.</w:t>
            </w:r>
          </w:p>
          <w:p w:rsidR="0083474D" w:rsidRDefault="0083474D" w:rsidP="0004196F">
            <w:pPr>
              <w:pBdr>
                <w:top w:val="single" w:sz="4" w:space="1" w:color="auto"/>
                <w:left w:val="single" w:sz="4" w:space="4" w:color="auto"/>
                <w:bottom w:val="single" w:sz="4" w:space="1" w:color="auto"/>
                <w:right w:val="single" w:sz="4" w:space="4" w:color="auto"/>
              </w:pBdr>
              <w:tabs>
                <w:tab w:val="left" w:pos="144"/>
                <w:tab w:val="left" w:pos="690"/>
                <w:tab w:val="left" w:pos="9690"/>
              </w:tabs>
              <w:spacing w:after="120"/>
              <w:ind w:left="691" w:right="330"/>
            </w:pPr>
            <w:r w:rsidRPr="005D0EB9">
              <w:t xml:space="preserve">Rating Note:  </w:t>
            </w:r>
            <w:r w:rsidR="002A2351" w:rsidRPr="00FC163A">
              <w:t>III.i.3.B.4.a</w:t>
            </w:r>
            <w:r w:rsidR="00E76DAD" w:rsidRPr="00FC163A">
              <w:t>,</w:t>
            </w:r>
            <w:r w:rsidRPr="00FC163A">
              <w:t xml:space="preserve"> III.i.3.B.4.b </w:t>
            </w:r>
            <w:r w:rsidR="00066584">
              <w:t>&amp; III.ii.2.C.2</w:t>
            </w:r>
            <w:r w:rsidR="00E76DAD">
              <w:t xml:space="preserve"> </w:t>
            </w:r>
            <w:r w:rsidRPr="005D0EB9">
              <w:t>say</w:t>
            </w:r>
            <w:r>
              <w:t xml:space="preserve"> we</w:t>
            </w:r>
            <w:r w:rsidRPr="005D0EB9">
              <w:t xml:space="preserve"> can apply Section 506 of PL 112-154 to </w:t>
            </w:r>
            <w:r w:rsidR="00086FF9">
              <w:t xml:space="preserve">the </w:t>
            </w:r>
            <w:r w:rsidRPr="005D0EB9">
              <w:t>date of</w:t>
            </w:r>
            <w:r w:rsidR="00086FF9">
              <w:t xml:space="preserve"> the</w:t>
            </w:r>
            <w:r w:rsidRPr="005D0EB9">
              <w:t xml:space="preserve"> ITF.</w:t>
            </w:r>
          </w:p>
          <w:p w:rsidR="00204321" w:rsidRDefault="006359B1" w:rsidP="00F063AF">
            <w:pPr>
              <w:widowControl w:val="0"/>
              <w:numPr>
                <w:ilvl w:val="0"/>
                <w:numId w:val="185"/>
              </w:numPr>
              <w:spacing w:after="120"/>
              <w:ind w:left="331"/>
              <w:outlineLvl w:val="0"/>
            </w:pPr>
            <w:r>
              <w:rPr>
                <w:b/>
              </w:rPr>
              <w:t>III.i.4</w:t>
            </w:r>
            <w:r>
              <w:t xml:space="preserve"> - </w:t>
            </w:r>
            <w:r w:rsidRPr="0083474D">
              <w:rPr>
                <w:b/>
              </w:rPr>
              <w:t>Veterans Online Application (VONAPP) Direct Connect (VDC) Program</w:t>
            </w:r>
            <w:r w:rsidR="00052B3D">
              <w:rPr>
                <w:b/>
              </w:rPr>
              <w:t xml:space="preserve"> &amp;</w:t>
            </w:r>
            <w:r w:rsidR="00052B3D" w:rsidRPr="00052B3D">
              <w:t xml:space="preserve"> (eff 8/11/17) </w:t>
            </w:r>
            <w:r w:rsidR="00052B3D">
              <w:rPr>
                <w:b/>
              </w:rPr>
              <w:t>Vets.gov</w:t>
            </w:r>
          </w:p>
          <w:p w:rsidR="00204321" w:rsidRPr="00204321" w:rsidRDefault="00204321" w:rsidP="00F063AF">
            <w:pPr>
              <w:widowControl w:val="0"/>
              <w:numPr>
                <w:ilvl w:val="1"/>
                <w:numId w:val="185"/>
              </w:numPr>
              <w:spacing w:after="120"/>
              <w:ind w:left="690"/>
              <w:outlineLvl w:val="0"/>
              <w:rPr>
                <w:rFonts w:cstheme="minorBidi"/>
                <w:color w:val="1F497D" w:themeColor="dark2"/>
              </w:rPr>
            </w:pPr>
            <w:r w:rsidRPr="00204321">
              <w:rPr>
                <w:rStyle w:val="Strong"/>
              </w:rPr>
              <w:t>III.i.4.C.2.d </w:t>
            </w:r>
            <w:r w:rsidRPr="00204321">
              <w:rPr>
                <w:rFonts w:cstheme="minorBidi"/>
                <w:color w:val="1F497D" w:themeColor="dark2"/>
              </w:rPr>
              <w:t>– “</w:t>
            </w:r>
            <w:r w:rsidRPr="00204321">
              <w:t xml:space="preserve">For the purposes of determining the effective date, decision makers should consider the </w:t>
            </w:r>
            <w:r w:rsidRPr="00204321">
              <w:rPr>
                <w:rStyle w:val="Emphasis"/>
              </w:rPr>
              <w:t>application initiated</w:t>
            </w:r>
            <w:r w:rsidRPr="00204321">
              <w:t xml:space="preserve"> or </w:t>
            </w:r>
            <w:r w:rsidRPr="00204321">
              <w:rPr>
                <w:rStyle w:val="Emphasis"/>
              </w:rPr>
              <w:t xml:space="preserve">intent to file (ITF) </w:t>
            </w:r>
            <w:r w:rsidRPr="00204321">
              <w:t>date as the date of claim.”</w:t>
            </w:r>
          </w:p>
          <w:p w:rsidR="007D4F67" w:rsidRPr="007D4F67" w:rsidRDefault="007D4F67" w:rsidP="00F063AF">
            <w:pPr>
              <w:widowControl w:val="0"/>
              <w:numPr>
                <w:ilvl w:val="0"/>
                <w:numId w:val="185"/>
              </w:numPr>
              <w:spacing w:after="120"/>
              <w:ind w:left="330" w:right="240"/>
              <w:outlineLvl w:val="0"/>
              <w:rPr>
                <w:i/>
              </w:rPr>
            </w:pPr>
            <w:r w:rsidRPr="007D4F67">
              <w:rPr>
                <w:b/>
              </w:rPr>
              <w:t>III.i.4.C.3</w:t>
            </w:r>
            <w:r>
              <w:t xml:space="preserve"> (added 6/23/16) – VDC Application Initiation Review</w:t>
            </w:r>
          </w:p>
          <w:p w:rsidR="00EB542B" w:rsidRPr="00C75534" w:rsidRDefault="004E4997" w:rsidP="00F063AF">
            <w:pPr>
              <w:widowControl w:val="0"/>
              <w:numPr>
                <w:ilvl w:val="0"/>
                <w:numId w:val="185"/>
              </w:numPr>
              <w:spacing w:after="120"/>
              <w:ind w:left="330" w:right="240"/>
              <w:outlineLvl w:val="0"/>
              <w:rPr>
                <w:i/>
              </w:rPr>
            </w:pPr>
            <w:r w:rsidRPr="004E4997">
              <w:rPr>
                <w:b/>
              </w:rPr>
              <w:t>III.ii.2</w:t>
            </w:r>
            <w:r w:rsidR="00066584">
              <w:rPr>
                <w:b/>
              </w:rPr>
              <w:t>.C.1.a</w:t>
            </w:r>
            <w:r w:rsidR="00FB45BA" w:rsidRPr="004E4997">
              <w:t xml:space="preserve"> – “Claims received prior to March 24, 2015, via VONAPP or VDC that are initiated but not completed are not informal claims.  However, the date the application was initiated may be considered when determining the effective date in certain circumstances.”</w:t>
            </w:r>
          </w:p>
        </w:tc>
      </w:tr>
      <w:tr w:rsidR="00A179EE" w:rsidTr="008E1E14">
        <w:tc>
          <w:tcPr>
            <w:tcW w:w="615" w:type="dxa"/>
            <w:tcBorders>
              <w:top w:val="nil"/>
              <w:left w:val="nil"/>
              <w:bottom w:val="nil"/>
              <w:right w:val="nil"/>
            </w:tcBorders>
          </w:tcPr>
          <w:p w:rsidR="00A179EE" w:rsidRDefault="00A179EE">
            <w:pPr>
              <w:widowControl w:val="0"/>
              <w:numPr>
                <w:ilvl w:val="12"/>
                <w:numId w:val="0"/>
              </w:numPr>
            </w:pPr>
          </w:p>
        </w:tc>
        <w:tc>
          <w:tcPr>
            <w:tcW w:w="10170" w:type="dxa"/>
            <w:tcBorders>
              <w:top w:val="nil"/>
              <w:left w:val="nil"/>
              <w:bottom w:val="nil"/>
              <w:right w:val="nil"/>
            </w:tcBorders>
          </w:tcPr>
          <w:p w:rsidR="00C00969" w:rsidRDefault="00C00969" w:rsidP="0097247F">
            <w:pPr>
              <w:pBdr>
                <w:top w:val="single" w:sz="4" w:space="1" w:color="auto"/>
                <w:left w:val="single" w:sz="4" w:space="4" w:color="auto"/>
                <w:bottom w:val="single" w:sz="4" w:space="1" w:color="auto"/>
                <w:right w:val="single" w:sz="4" w:space="4" w:color="auto"/>
              </w:pBdr>
              <w:overflowPunct/>
              <w:autoSpaceDE/>
              <w:autoSpaceDN/>
              <w:adjustRightInd/>
              <w:spacing w:after="120"/>
              <w:ind w:left="331" w:right="331"/>
              <w:textAlignment w:val="auto"/>
            </w:pPr>
            <w:r w:rsidRPr="00A179EE">
              <w:t xml:space="preserve">VSR:  No exclusion letter has been sent, but the veteran </w:t>
            </w:r>
            <w:r>
              <w:t>{</w:t>
            </w:r>
            <w:r w:rsidRPr="00A179EE">
              <w:t>did not provide a VA Form 21-0781 for his PTSD claim</w:t>
            </w:r>
            <w:r>
              <w:t xml:space="preserve"> (and </w:t>
            </w:r>
            <w:r w:rsidR="0030363D">
              <w:t xml:space="preserve">does not have </w:t>
            </w:r>
            <w:r w:rsidR="0030363D" w:rsidRPr="00EA1680">
              <w:t>one of the recognized combat decorations</w:t>
            </w:r>
            <w:r>
              <w:t>); did not provide</w:t>
            </w:r>
            <w:r w:rsidRPr="00A179EE">
              <w:t xml:space="preserve"> a VA Form 21-8940 for his IU claim</w:t>
            </w:r>
            <w:r w:rsidR="0030363D">
              <w:t>…</w:t>
            </w:r>
            <w:r>
              <w:t>}</w:t>
            </w:r>
            <w:r w:rsidRPr="00A179EE">
              <w:t xml:space="preserve">, which is an exclusion reason, per </w:t>
            </w:r>
            <w:r w:rsidRPr="006359B1">
              <w:t>III.i.3.B.</w:t>
            </w:r>
            <w:r w:rsidR="000A6EA7" w:rsidRPr="006359B1">
              <w:t>2</w:t>
            </w:r>
            <w:r w:rsidR="00BE6B04">
              <w:t>.{a or b}</w:t>
            </w:r>
            <w:r w:rsidRPr="006359B1">
              <w:t>, so the claim does not meet FDC criteria. Please include the exclusion information (see III.i.3.B.</w:t>
            </w:r>
            <w:r w:rsidR="000A6EA7" w:rsidRPr="006359B1">
              <w:t>2</w:t>
            </w:r>
            <w:r w:rsidRPr="006359B1">
              <w:t>.</w:t>
            </w:r>
            <w:r w:rsidR="000A6EA7" w:rsidRPr="006359B1">
              <w:t>d</w:t>
            </w:r>
            <w:r w:rsidRPr="006359B1">
              <w:t>) in the notification letter.</w:t>
            </w:r>
          </w:p>
          <w:p w:rsidR="00364CBE" w:rsidRPr="00A179EE" w:rsidRDefault="00364CBE" w:rsidP="0097247F">
            <w:pPr>
              <w:pBdr>
                <w:top w:val="single" w:sz="4" w:space="1" w:color="auto"/>
                <w:left w:val="single" w:sz="4" w:space="4" w:color="auto"/>
                <w:bottom w:val="single" w:sz="4" w:space="1" w:color="auto"/>
                <w:right w:val="single" w:sz="4" w:space="4" w:color="auto"/>
              </w:pBdr>
              <w:overflowPunct/>
              <w:autoSpaceDE/>
              <w:autoSpaceDN/>
              <w:adjustRightInd/>
              <w:spacing w:after="120"/>
              <w:ind w:left="331" w:right="331"/>
              <w:textAlignment w:val="auto"/>
            </w:pPr>
            <w:r>
              <w:t xml:space="preserve">*No exclusion letter needed if indicated they did not want </w:t>
            </w:r>
            <w:r w:rsidRPr="00A179EE">
              <w:t xml:space="preserve">claim processed under the FDC </w:t>
            </w:r>
            <w:r>
              <w:t xml:space="preserve">program, per </w:t>
            </w:r>
            <w:r w:rsidR="007E6A0C" w:rsidRPr="007E6A0C">
              <w:rPr>
                <w:b/>
              </w:rPr>
              <w:t>III.i.3.B.2.d</w:t>
            </w:r>
          </w:p>
          <w:p w:rsidR="000B7FAC" w:rsidRPr="000B7FAC" w:rsidRDefault="000B7FAC" w:rsidP="00F063AF">
            <w:pPr>
              <w:pStyle w:val="ListParagraph"/>
              <w:widowControl w:val="0"/>
              <w:numPr>
                <w:ilvl w:val="0"/>
                <w:numId w:val="186"/>
              </w:numPr>
              <w:tabs>
                <w:tab w:val="left" w:pos="0"/>
                <w:tab w:val="left" w:pos="330"/>
              </w:tabs>
              <w:spacing w:after="120" w:line="240" w:lineRule="auto"/>
              <w:ind w:left="330"/>
              <w:rPr>
                <w:rFonts w:ascii="Arial" w:hAnsi="Arial"/>
                <w:sz w:val="20"/>
                <w:szCs w:val="20"/>
              </w:rPr>
            </w:pPr>
            <w:r>
              <w:rPr>
                <w:rFonts w:ascii="Arial" w:hAnsi="Arial"/>
                <w:b/>
                <w:sz w:val="20"/>
                <w:szCs w:val="20"/>
              </w:rPr>
              <w:t xml:space="preserve">III.i.4.B.2, </w:t>
            </w:r>
            <w:r w:rsidR="00DB1865" w:rsidRPr="00BA3A06">
              <w:rPr>
                <w:rFonts w:ascii="Arial" w:hAnsi="Arial"/>
                <w:b/>
                <w:sz w:val="20"/>
                <w:szCs w:val="20"/>
              </w:rPr>
              <w:t>III.ii.1.C</w:t>
            </w:r>
            <w:r w:rsidR="00BA3A06">
              <w:rPr>
                <w:rFonts w:ascii="Arial" w:hAnsi="Arial"/>
                <w:b/>
                <w:sz w:val="20"/>
                <w:szCs w:val="20"/>
              </w:rPr>
              <w:t>.2</w:t>
            </w:r>
            <w:r>
              <w:rPr>
                <w:rFonts w:ascii="Arial" w:hAnsi="Arial"/>
                <w:b/>
                <w:sz w:val="20"/>
                <w:szCs w:val="20"/>
              </w:rPr>
              <w:t xml:space="preserve">, </w:t>
            </w:r>
            <w:r w:rsidRPr="000B7FAC">
              <w:rPr>
                <w:rFonts w:ascii="Arial" w:hAnsi="Arial"/>
                <w:b/>
                <w:sz w:val="20"/>
                <w:szCs w:val="20"/>
              </w:rPr>
              <w:t>III.ii.2.B.3.f</w:t>
            </w:r>
            <w:r w:rsidR="00DB1865">
              <w:rPr>
                <w:rFonts w:ascii="Arial" w:hAnsi="Arial"/>
                <w:sz w:val="20"/>
                <w:szCs w:val="20"/>
              </w:rPr>
              <w:t xml:space="preserve"> – signatures</w:t>
            </w:r>
          </w:p>
          <w:p w:rsidR="000B7FAC" w:rsidRPr="000B7FAC" w:rsidRDefault="000B7FAC" w:rsidP="00F063AF">
            <w:pPr>
              <w:pStyle w:val="ListParagraph"/>
              <w:widowControl w:val="0"/>
              <w:numPr>
                <w:ilvl w:val="1"/>
                <w:numId w:val="410"/>
              </w:numPr>
              <w:tabs>
                <w:tab w:val="left" w:pos="0"/>
                <w:tab w:val="left" w:pos="330"/>
              </w:tabs>
              <w:spacing w:after="120" w:line="240" w:lineRule="auto"/>
              <w:ind w:left="690"/>
              <w:rPr>
                <w:rFonts w:ascii="Arial" w:hAnsi="Arial"/>
                <w:sz w:val="20"/>
                <w:szCs w:val="20"/>
              </w:rPr>
            </w:pPr>
            <w:r w:rsidRPr="000B7FAC">
              <w:rPr>
                <w:rFonts w:ascii="Arial" w:hAnsi="Arial"/>
                <w:b/>
                <w:sz w:val="20"/>
                <w:szCs w:val="20"/>
              </w:rPr>
              <w:t>III.ii.2.B.3.f</w:t>
            </w:r>
            <w:r>
              <w:rPr>
                <w:rFonts w:ascii="Arial" w:hAnsi="Arial"/>
                <w:sz w:val="20"/>
                <w:szCs w:val="20"/>
              </w:rPr>
              <w:t xml:space="preserve"> says unsigned original claims prior to 3/24/15 &amp; ALL claims on/after 3/24/15 are incomplete claims</w:t>
            </w:r>
          </w:p>
          <w:p w:rsidR="000B7FAC" w:rsidRPr="006A3F94" w:rsidRDefault="000B7FAC" w:rsidP="00F063AF">
            <w:pPr>
              <w:pStyle w:val="ListParagraph"/>
              <w:widowControl w:val="0"/>
              <w:numPr>
                <w:ilvl w:val="1"/>
                <w:numId w:val="410"/>
              </w:numPr>
              <w:tabs>
                <w:tab w:val="left" w:pos="0"/>
                <w:tab w:val="left" w:pos="330"/>
              </w:tabs>
              <w:spacing w:after="120" w:line="240" w:lineRule="auto"/>
              <w:ind w:left="690"/>
              <w:rPr>
                <w:rStyle w:val="Strong"/>
                <w:rFonts w:ascii="Arial" w:hAnsi="Arial"/>
                <w:b w:val="0"/>
                <w:bCs w:val="0"/>
                <w:sz w:val="20"/>
                <w:szCs w:val="20"/>
              </w:rPr>
            </w:pPr>
            <w:r w:rsidRPr="000B7FAC">
              <w:rPr>
                <w:rFonts w:ascii="Arial" w:hAnsi="Arial"/>
                <w:b/>
                <w:sz w:val="20"/>
                <w:szCs w:val="20"/>
              </w:rPr>
              <w:t>III.i.3.A.2.i</w:t>
            </w:r>
            <w:r w:rsidRPr="000B7FAC">
              <w:rPr>
                <w:rFonts w:ascii="Arial" w:hAnsi="Arial"/>
                <w:sz w:val="20"/>
                <w:szCs w:val="20"/>
              </w:rPr>
              <w:t> </w:t>
            </w:r>
            <w:r>
              <w:rPr>
                <w:rFonts w:ascii="Arial" w:hAnsi="Arial"/>
                <w:sz w:val="20"/>
                <w:szCs w:val="20"/>
              </w:rPr>
              <w:t xml:space="preserve">says, for the FDC program, </w:t>
            </w:r>
            <w:r w:rsidRPr="000B7FAC">
              <w:rPr>
                <w:rFonts w:ascii="Arial" w:hAnsi="Arial"/>
                <w:sz w:val="20"/>
                <w:szCs w:val="20"/>
              </w:rPr>
              <w:t xml:space="preserve">unsigned EZ form for original claim </w:t>
            </w:r>
            <w:r>
              <w:rPr>
                <w:rFonts w:ascii="Arial" w:hAnsi="Arial"/>
                <w:sz w:val="20"/>
                <w:szCs w:val="20"/>
              </w:rPr>
              <w:t xml:space="preserve"> &amp;</w:t>
            </w:r>
            <w:r w:rsidRPr="000B7FAC">
              <w:rPr>
                <w:rFonts w:ascii="Arial" w:hAnsi="Arial"/>
                <w:sz w:val="20"/>
                <w:szCs w:val="20"/>
              </w:rPr>
              <w:t xml:space="preserve"> unsigned EZ form for non-original claim </w:t>
            </w:r>
            <w:r>
              <w:rPr>
                <w:rFonts w:ascii="Arial" w:hAnsi="Arial"/>
                <w:sz w:val="20"/>
                <w:szCs w:val="20"/>
              </w:rPr>
              <w:t>on/</w:t>
            </w:r>
            <w:r w:rsidRPr="000B7FAC">
              <w:rPr>
                <w:rFonts w:ascii="Arial" w:hAnsi="Arial"/>
                <w:sz w:val="20"/>
                <w:szCs w:val="20"/>
              </w:rPr>
              <w:t>after 3/24/15</w:t>
            </w:r>
            <w:r>
              <w:rPr>
                <w:rFonts w:ascii="Arial" w:hAnsi="Arial"/>
                <w:sz w:val="20"/>
                <w:szCs w:val="20"/>
              </w:rPr>
              <w:t xml:space="preserve"> is an</w:t>
            </w:r>
            <w:r w:rsidRPr="000B7FAC">
              <w:rPr>
                <w:rFonts w:ascii="Arial" w:hAnsi="Arial"/>
                <w:sz w:val="20"/>
                <w:szCs w:val="20"/>
              </w:rPr>
              <w:t xml:space="preserve"> incomplete claim</w:t>
            </w:r>
            <w:r>
              <w:rPr>
                <w:rFonts w:ascii="Arial" w:hAnsi="Arial"/>
                <w:sz w:val="20"/>
                <w:szCs w:val="20"/>
              </w:rPr>
              <w:t xml:space="preserve"> - </w:t>
            </w:r>
            <w:r w:rsidRPr="000B7FAC">
              <w:rPr>
                <w:rFonts w:ascii="Arial" w:hAnsi="Arial"/>
                <w:sz w:val="20"/>
                <w:szCs w:val="20"/>
              </w:rPr>
              <w:t xml:space="preserve">follow </w:t>
            </w:r>
            <w:r w:rsidRPr="000B7FAC">
              <w:rPr>
                <w:rStyle w:val="Strong"/>
                <w:rFonts w:ascii="Arial" w:hAnsi="Arial"/>
                <w:sz w:val="20"/>
                <w:szCs w:val="20"/>
              </w:rPr>
              <w:t>I.1.B.1.g</w:t>
            </w:r>
            <w:r>
              <w:rPr>
                <w:rStyle w:val="Strong"/>
                <w:rFonts w:ascii="Arial" w:hAnsi="Arial"/>
                <w:b w:val="0"/>
                <w:sz w:val="20"/>
                <w:szCs w:val="20"/>
              </w:rPr>
              <w:t xml:space="preserve"> for incomplete claims</w:t>
            </w:r>
            <w:r w:rsidR="0019205F">
              <w:rPr>
                <w:rStyle w:val="Strong"/>
                <w:rFonts w:ascii="Arial" w:hAnsi="Arial"/>
                <w:b w:val="0"/>
                <w:sz w:val="20"/>
                <w:szCs w:val="20"/>
              </w:rPr>
              <w:t xml:space="preserve"> (except if electronic through VONAPP, VDC or Vets.gov</w:t>
            </w:r>
            <w:r w:rsidR="001D6631">
              <w:rPr>
                <w:rStyle w:val="Strong"/>
                <w:rFonts w:ascii="Arial" w:hAnsi="Arial"/>
                <w:b w:val="0"/>
                <w:sz w:val="20"/>
                <w:szCs w:val="20"/>
              </w:rPr>
              <w:t>)</w:t>
            </w:r>
          </w:p>
          <w:p w:rsidR="006A3F94" w:rsidRPr="006A3F94" w:rsidRDefault="006A3F94" w:rsidP="004F0688">
            <w:pPr>
              <w:widowControl w:val="0"/>
              <w:pBdr>
                <w:top w:val="single" w:sz="4" w:space="0" w:color="auto"/>
                <w:left w:val="single" w:sz="4" w:space="0" w:color="auto"/>
                <w:bottom w:val="single" w:sz="4" w:space="0" w:color="auto"/>
                <w:right w:val="single" w:sz="4" w:space="0" w:color="auto"/>
              </w:pBdr>
              <w:tabs>
                <w:tab w:val="left" w:pos="330"/>
              </w:tabs>
              <w:spacing w:after="120"/>
              <w:ind w:left="330"/>
            </w:pPr>
            <w:r w:rsidRPr="004F0688">
              <w:t>Note to File:  The claim is substantially complete even though the veteran did not sign in block 27A, as the signature is in block 28A.</w:t>
            </w:r>
          </w:p>
        </w:tc>
      </w:tr>
      <w:tr w:rsidR="000B7FAC" w:rsidTr="008E1E14">
        <w:tc>
          <w:tcPr>
            <w:tcW w:w="615" w:type="dxa"/>
            <w:tcBorders>
              <w:top w:val="nil"/>
              <w:left w:val="nil"/>
              <w:bottom w:val="nil"/>
              <w:right w:val="nil"/>
            </w:tcBorders>
          </w:tcPr>
          <w:p w:rsidR="000B7FAC" w:rsidRDefault="000B7FAC">
            <w:pPr>
              <w:widowControl w:val="0"/>
              <w:numPr>
                <w:ilvl w:val="12"/>
                <w:numId w:val="0"/>
              </w:numPr>
            </w:pPr>
          </w:p>
        </w:tc>
        <w:tc>
          <w:tcPr>
            <w:tcW w:w="10170" w:type="dxa"/>
            <w:tcBorders>
              <w:top w:val="nil"/>
              <w:left w:val="nil"/>
              <w:bottom w:val="nil"/>
              <w:right w:val="nil"/>
            </w:tcBorders>
          </w:tcPr>
          <w:p w:rsidR="000B7FAC" w:rsidRPr="001D6A2D" w:rsidRDefault="00D571C5" w:rsidP="001D6A2D">
            <w:pPr>
              <w:overflowPunct/>
              <w:autoSpaceDE/>
              <w:autoSpaceDN/>
              <w:adjustRightInd/>
              <w:spacing w:after="120"/>
              <w:ind w:left="330" w:right="331"/>
              <w:textAlignment w:val="auto"/>
            </w:pPr>
            <w:hyperlink r:id="rId184" w:history="1">
              <w:r w:rsidR="001D6A2D" w:rsidRPr="001D6A2D">
                <w:rPr>
                  <w:rStyle w:val="Hyperlink"/>
                  <w:b/>
                  <w:bCs/>
                  <w:i/>
                </w:rPr>
                <w:t>February 2017 Quality Call Notes</w:t>
              </w:r>
            </w:hyperlink>
            <w:r w:rsidR="001D6A2D" w:rsidRPr="001D6A2D">
              <w:rPr>
                <w:bCs/>
              </w:rPr>
              <w:t xml:space="preserve"> </w:t>
            </w:r>
            <w:r w:rsidR="001D6A2D" w:rsidRPr="001D6A2D">
              <w:t xml:space="preserve"> -</w:t>
            </w:r>
          </w:p>
          <w:p w:rsidR="001D6A2D" w:rsidRDefault="001D6A2D" w:rsidP="001D6A2D">
            <w:pPr>
              <w:pStyle w:val="NoSpacing"/>
              <w:spacing w:after="120"/>
              <w:ind w:left="331" w:right="-86"/>
              <w:rPr>
                <w:rFonts w:ascii="Arial" w:hAnsi="Arial"/>
                <w:b/>
                <w:color w:val="000000"/>
                <w:sz w:val="20"/>
                <w:szCs w:val="20"/>
              </w:rPr>
            </w:pPr>
            <w:r w:rsidRPr="001D6A2D">
              <w:rPr>
                <w:rFonts w:ascii="Arial" w:hAnsi="Arial"/>
                <w:b/>
                <w:color w:val="000000"/>
                <w:sz w:val="20"/>
                <w:szCs w:val="20"/>
              </w:rPr>
              <w:t>Question:  In the following basic sequence of events, what is the correct effective date to assign?  An ITF is received; an incomplete application is received within one year of the ITF; a letter is immediately sent requesting a completed application; and, a completed application is received within a year of the date of the letter, but more than one year after the ITF was received.  Is the correct effective date the date of the ITF, the date the incomplete application was received, or the date the completed application was received?</w:t>
            </w:r>
          </w:p>
          <w:p w:rsidR="001D6A2D" w:rsidRPr="001D6A2D" w:rsidRDefault="001D6A2D" w:rsidP="001D6A2D">
            <w:pPr>
              <w:pStyle w:val="NoSpacing"/>
              <w:spacing w:after="120"/>
              <w:ind w:left="331" w:right="-86"/>
              <w:rPr>
                <w:rFonts w:ascii="Arial" w:hAnsi="Arial"/>
                <w:b/>
                <w:color w:val="000000"/>
                <w:sz w:val="20"/>
                <w:szCs w:val="20"/>
              </w:rPr>
            </w:pPr>
            <w:r w:rsidRPr="001D6A2D">
              <w:rPr>
                <w:rFonts w:ascii="Arial" w:hAnsi="Arial"/>
                <w:color w:val="000000"/>
                <w:sz w:val="20"/>
                <w:szCs w:val="20"/>
              </w:rPr>
              <w:t xml:space="preserve">Answer:  The correct effective date would be the date of receipt of the incomplete application.  </w:t>
            </w:r>
            <w:hyperlink r:id="rId185" w:history="1">
              <w:r w:rsidRPr="001D6A2D">
                <w:rPr>
                  <w:rStyle w:val="Hyperlink"/>
                  <w:rFonts w:ascii="Arial" w:hAnsi="Arial"/>
                  <w:sz w:val="20"/>
                  <w:szCs w:val="20"/>
                </w:rPr>
                <w:t>M21-1, III.ii.2.C.2.d</w:t>
              </w:r>
            </w:hyperlink>
            <w:r w:rsidRPr="001D6A2D">
              <w:rPr>
                <w:rFonts w:ascii="Arial" w:hAnsi="Arial"/>
                <w:color w:val="000000"/>
                <w:sz w:val="20"/>
                <w:szCs w:val="20"/>
              </w:rPr>
              <w:t xml:space="preserve"> directs that an ITF is ‘active’ until either VA receives a substantially complete application for benefits or the one-year period following VA’s receipt of the ITF ends, whichever comes first.  In this case, the substantially complete application was not received within one-year, so the earliest date we could award benefits would be the date of receipt of the incomplete application.</w:t>
            </w:r>
          </w:p>
          <w:p w:rsidR="008E1E14" w:rsidRDefault="001D6A2D" w:rsidP="001D6A2D">
            <w:pPr>
              <w:ind w:left="330" w:right="60"/>
              <w:rPr>
                <w:i/>
              </w:rPr>
            </w:pPr>
            <w:r w:rsidRPr="001D6A2D">
              <w:rPr>
                <w:i/>
              </w:rPr>
              <w:t>Per</w:t>
            </w:r>
            <w:r w:rsidR="00DE2BD0">
              <w:rPr>
                <w:i/>
              </w:rPr>
              <w:t xml:space="preserve"> QRT/</w:t>
            </w:r>
            <w:r w:rsidRPr="001D6A2D">
              <w:rPr>
                <w:i/>
              </w:rPr>
              <w:t xml:space="preserve">Carlos Rosario, </w:t>
            </w:r>
            <w:r w:rsidR="008E1E14" w:rsidRPr="001D6A2D">
              <w:rPr>
                <w:i/>
              </w:rPr>
              <w:t>the regulation is 38 CFR 3.155(d)(1)</w:t>
            </w:r>
            <w:r w:rsidRPr="001D6A2D">
              <w:rPr>
                <w:i/>
              </w:rPr>
              <w:t xml:space="preserve">. </w:t>
            </w:r>
            <w:r w:rsidR="008E1E14" w:rsidRPr="001D6A2D">
              <w:rPr>
                <w:i/>
              </w:rPr>
              <w:t xml:space="preserve">In the event that VA receives both an intent to file a claim and an incomplete application form before the complete claim as defined in §3.160(a) is filed, the complete claim will be considered filed as of the date of receipt of whichever was filed first provided it is perfected within the necessary timeframe, </w:t>
            </w:r>
            <w:r w:rsidR="008E1E14" w:rsidRPr="001D6A2D">
              <w:rPr>
                <w:i/>
                <w:highlight w:val="yellow"/>
              </w:rPr>
              <w:t>but in no event will the complete claim be considered filed more than one year prior to the date of receipt of the complete claim.</w:t>
            </w:r>
          </w:p>
          <w:p w:rsidR="00BB08E2" w:rsidRDefault="00BB08E2" w:rsidP="001D6A2D">
            <w:pPr>
              <w:ind w:left="330" w:right="60"/>
              <w:rPr>
                <w:i/>
              </w:rPr>
            </w:pPr>
          </w:p>
          <w:p w:rsidR="00BB08E2" w:rsidRDefault="00D571C5" w:rsidP="00BB08E2">
            <w:pPr>
              <w:spacing w:after="120"/>
              <w:ind w:left="331" w:right="58"/>
            </w:pPr>
            <w:hyperlink r:id="rId186" w:history="1">
              <w:r w:rsidR="00BB08E2">
                <w:rPr>
                  <w:rStyle w:val="Hyperlink"/>
                  <w:b/>
                  <w:bCs/>
                  <w:i/>
                </w:rPr>
                <w:t>March 2017 Quality Call Notes</w:t>
              </w:r>
            </w:hyperlink>
            <w:r w:rsidR="00BB08E2">
              <w:rPr>
                <w:bCs/>
              </w:rPr>
              <w:t xml:space="preserve"> </w:t>
            </w:r>
            <w:r w:rsidR="00BB08E2">
              <w:t xml:space="preserve"> </w:t>
            </w:r>
            <w:r w:rsidR="00BB08E2" w:rsidRPr="001D6A2D">
              <w:t>-</w:t>
            </w:r>
          </w:p>
          <w:p w:rsidR="00BB08E2" w:rsidRPr="00481673" w:rsidRDefault="00BB08E2" w:rsidP="00BB08E2">
            <w:pPr>
              <w:spacing w:after="120"/>
              <w:ind w:left="331" w:right="-86"/>
              <w:rPr>
                <w:b/>
                <w:color w:val="000000"/>
              </w:rPr>
            </w:pPr>
            <w:r w:rsidRPr="00481673">
              <w:rPr>
                <w:b/>
                <w:color w:val="000000"/>
              </w:rPr>
              <w:t xml:space="preserve">Question:  </w:t>
            </w:r>
            <w:r w:rsidRPr="00481673">
              <w:rPr>
                <w:b/>
              </w:rPr>
              <w:t xml:space="preserve">When a Veteran submits a VAF 21-526 (not an original claim) </w:t>
            </w:r>
            <w:r>
              <w:rPr>
                <w:b/>
              </w:rPr>
              <w:t xml:space="preserve">along </w:t>
            </w:r>
            <w:r w:rsidRPr="00481673">
              <w:rPr>
                <w:b/>
              </w:rPr>
              <w:t>with a VAF 21-4138</w:t>
            </w:r>
            <w:r>
              <w:rPr>
                <w:b/>
              </w:rPr>
              <w:t>,</w:t>
            </w:r>
            <w:r w:rsidRPr="00481673">
              <w:rPr>
                <w:b/>
              </w:rPr>
              <w:t xml:space="preserve"> and the VAF 21-4138 is signed, but the VAF 21-526 is not signed, can it be accepted as a substantially complete claim?</w:t>
            </w:r>
          </w:p>
          <w:p w:rsidR="00BB08E2" w:rsidRPr="004F0688" w:rsidRDefault="00BB08E2" w:rsidP="004F0688">
            <w:pPr>
              <w:ind w:left="330"/>
              <w:rPr>
                <w:color w:val="000000"/>
              </w:rPr>
            </w:pPr>
            <w:r w:rsidRPr="00481673">
              <w:rPr>
                <w:color w:val="000000"/>
              </w:rPr>
              <w:t xml:space="preserve">Answer:  The criteria to consider a claim complete include the requirement for a signature, which is very directly stated in </w:t>
            </w:r>
            <w:hyperlink r:id="rId187" w:anchor="se38.1.3_1155" w:history="1">
              <w:r w:rsidRPr="00481673">
                <w:rPr>
                  <w:color w:val="0000FF"/>
                  <w:u w:val="single"/>
                </w:rPr>
                <w:t>38 CFR 3.155(d)</w:t>
              </w:r>
            </w:hyperlink>
            <w:r w:rsidRPr="00481673">
              <w:rPr>
                <w:color w:val="000000"/>
              </w:rPr>
              <w:t xml:space="preserve">.  Therefore, in most cases the claim itself must be signed.  If an extraordinary circumstance </w:t>
            </w:r>
            <w:r>
              <w:rPr>
                <w:color w:val="000000"/>
              </w:rPr>
              <w:t xml:space="preserve">arises in this regard, </w:t>
            </w:r>
            <w:r w:rsidRPr="00481673">
              <w:rPr>
                <w:color w:val="000000"/>
              </w:rPr>
              <w:t xml:space="preserve">it may be appropriate to submit a request for an advisory opinion as directed in </w:t>
            </w:r>
            <w:hyperlink r:id="rId188" w:history="1">
              <w:r w:rsidRPr="00481673">
                <w:rPr>
                  <w:color w:val="0000FF"/>
                  <w:u w:val="single"/>
                </w:rPr>
                <w:t>M21-1 III.vi.1.A</w:t>
              </w:r>
            </w:hyperlink>
            <w:r w:rsidR="004F0688">
              <w:rPr>
                <w:color w:val="000000"/>
              </w:rPr>
              <w:t>.</w:t>
            </w:r>
          </w:p>
        </w:tc>
      </w:tr>
    </w:tbl>
    <w:p w:rsidR="00AB542D" w:rsidRPr="004F0688" w:rsidRDefault="00AB542D" w:rsidP="004F0688">
      <w:pPr>
        <w:spacing w:before="120" w:after="120"/>
        <w:ind w:left="900"/>
        <w:rPr>
          <w:b/>
          <w:i/>
          <w:u w:val="single"/>
        </w:rPr>
      </w:pPr>
      <w:r w:rsidRPr="004F0688">
        <w:rPr>
          <w:b/>
          <w:i/>
          <w:u w:val="single"/>
        </w:rPr>
        <w:lastRenderedPageBreak/>
        <w:t>March 2017 ITF Training</w:t>
      </w:r>
    </w:p>
    <w:tbl>
      <w:tblPr>
        <w:tblW w:w="9990" w:type="dxa"/>
        <w:tblInd w:w="72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4950"/>
        <w:gridCol w:w="5040"/>
      </w:tblGrid>
      <w:tr w:rsidR="00AB542D" w:rsidRPr="00D25F5B" w:rsidTr="004F0688">
        <w:trPr>
          <w:trHeight w:val="361"/>
        </w:trPr>
        <w:tc>
          <w:tcPr>
            <w:tcW w:w="4950" w:type="dxa"/>
            <w:tcBorders>
              <w:top w:val="outset" w:sz="6" w:space="0" w:color="auto"/>
              <w:left w:val="outset" w:sz="6" w:space="0" w:color="auto"/>
              <w:bottom w:val="outset" w:sz="6" w:space="0" w:color="auto"/>
              <w:right w:val="outset" w:sz="6" w:space="0" w:color="auto"/>
            </w:tcBorders>
            <w:vAlign w:val="bottom"/>
            <w:hideMark/>
          </w:tcPr>
          <w:p w:rsidR="00AB542D" w:rsidRPr="00D25F5B" w:rsidRDefault="00AB542D" w:rsidP="009A02D7">
            <w:pPr>
              <w:overflowPunct/>
              <w:autoSpaceDE/>
              <w:autoSpaceDN/>
              <w:adjustRightInd/>
              <w:spacing w:before="75"/>
              <w:rPr>
                <w:szCs w:val="24"/>
              </w:rPr>
            </w:pPr>
            <w:r w:rsidRPr="00D25F5B">
              <w:rPr>
                <w:b/>
                <w:bCs/>
                <w:szCs w:val="24"/>
              </w:rPr>
              <w:t>If ...</w:t>
            </w:r>
          </w:p>
        </w:tc>
        <w:tc>
          <w:tcPr>
            <w:tcW w:w="5040" w:type="dxa"/>
            <w:tcBorders>
              <w:top w:val="outset" w:sz="6" w:space="0" w:color="auto"/>
              <w:left w:val="outset" w:sz="6" w:space="0" w:color="auto"/>
              <w:bottom w:val="outset" w:sz="6" w:space="0" w:color="auto"/>
              <w:right w:val="outset" w:sz="6" w:space="0" w:color="auto"/>
            </w:tcBorders>
            <w:vAlign w:val="bottom"/>
            <w:hideMark/>
          </w:tcPr>
          <w:p w:rsidR="00AB542D" w:rsidRPr="00D25F5B" w:rsidRDefault="00AB542D" w:rsidP="009A02D7">
            <w:pPr>
              <w:overflowPunct/>
              <w:autoSpaceDE/>
              <w:autoSpaceDN/>
              <w:adjustRightInd/>
              <w:rPr>
                <w:szCs w:val="24"/>
              </w:rPr>
            </w:pPr>
            <w:r w:rsidRPr="00D25F5B">
              <w:rPr>
                <w:b/>
                <w:bCs/>
                <w:szCs w:val="24"/>
              </w:rPr>
              <w:t>Then ...</w:t>
            </w:r>
          </w:p>
        </w:tc>
      </w:tr>
      <w:tr w:rsidR="00AB542D" w:rsidRPr="00D25F5B" w:rsidTr="004F0688">
        <w:trPr>
          <w:trHeight w:val="1641"/>
        </w:trPr>
        <w:tc>
          <w:tcPr>
            <w:tcW w:w="4950" w:type="dxa"/>
            <w:tcBorders>
              <w:top w:val="outset" w:sz="6" w:space="0" w:color="auto"/>
              <w:left w:val="outset" w:sz="6" w:space="0" w:color="auto"/>
              <w:bottom w:val="outset" w:sz="6" w:space="0" w:color="auto"/>
              <w:right w:val="outset" w:sz="6" w:space="0" w:color="auto"/>
            </w:tcBorders>
            <w:hideMark/>
          </w:tcPr>
          <w:p w:rsidR="00AB542D" w:rsidRPr="004151B4" w:rsidRDefault="00AB542D" w:rsidP="00F063AF">
            <w:pPr>
              <w:numPr>
                <w:ilvl w:val="0"/>
                <w:numId w:val="348"/>
              </w:numPr>
              <w:overflowPunct/>
              <w:autoSpaceDE/>
              <w:autoSpaceDN/>
              <w:adjustRightInd/>
              <w:textAlignment w:val="auto"/>
              <w:rPr>
                <w:szCs w:val="24"/>
              </w:rPr>
            </w:pPr>
            <w:r w:rsidRPr="004151B4">
              <w:rPr>
                <w:szCs w:val="24"/>
              </w:rPr>
              <w:t xml:space="preserve">VA receives communication of a claimant’s ITF between March 24, 2015, and </w:t>
            </w:r>
          </w:p>
          <w:p w:rsidR="00AB542D" w:rsidRPr="004151B4" w:rsidRDefault="00AB542D" w:rsidP="009A02D7">
            <w:pPr>
              <w:overflowPunct/>
              <w:autoSpaceDE/>
              <w:autoSpaceDN/>
              <w:adjustRightInd/>
              <w:ind w:left="360"/>
              <w:rPr>
                <w:szCs w:val="24"/>
              </w:rPr>
            </w:pPr>
            <w:r w:rsidRPr="004151B4">
              <w:rPr>
                <w:szCs w:val="24"/>
              </w:rPr>
              <w:t xml:space="preserve">August 5, 2015, </w:t>
            </w:r>
            <w:r w:rsidRPr="004151B4">
              <w:rPr>
                <w:b/>
                <w:i/>
                <w:szCs w:val="24"/>
              </w:rPr>
              <w:t>and</w:t>
            </w:r>
          </w:p>
          <w:p w:rsidR="00AB542D" w:rsidRPr="00D25F5B" w:rsidRDefault="00AB542D" w:rsidP="00F063AF">
            <w:pPr>
              <w:numPr>
                <w:ilvl w:val="0"/>
                <w:numId w:val="348"/>
              </w:numPr>
              <w:overflowPunct/>
              <w:autoSpaceDE/>
              <w:autoSpaceDN/>
              <w:adjustRightInd/>
              <w:textAlignment w:val="auto"/>
              <w:rPr>
                <w:szCs w:val="24"/>
              </w:rPr>
            </w:pPr>
            <w:r w:rsidRPr="004151B4">
              <w:rPr>
                <w:szCs w:val="24"/>
              </w:rPr>
              <w:t>VA subsequently receives an original, fully developed claim (FDC) from the claimant within one year of the date VA received the communication of an ITF</w:t>
            </w:r>
          </w:p>
        </w:tc>
        <w:tc>
          <w:tcPr>
            <w:tcW w:w="5040" w:type="dxa"/>
            <w:tcBorders>
              <w:top w:val="outset" w:sz="6" w:space="0" w:color="auto"/>
              <w:left w:val="outset" w:sz="6" w:space="0" w:color="auto"/>
              <w:bottom w:val="outset" w:sz="6" w:space="0" w:color="auto"/>
              <w:right w:val="outset" w:sz="6" w:space="0" w:color="auto"/>
            </w:tcBorders>
            <w:hideMark/>
          </w:tcPr>
          <w:p w:rsidR="00AB542D" w:rsidRPr="004151B4" w:rsidRDefault="00AB542D" w:rsidP="009A02D7">
            <w:pPr>
              <w:overflowPunct/>
              <w:autoSpaceDE/>
              <w:autoSpaceDN/>
              <w:adjustRightInd/>
              <w:spacing w:before="75"/>
              <w:rPr>
                <w:szCs w:val="24"/>
              </w:rPr>
            </w:pPr>
            <w:r w:rsidRPr="004151B4">
              <w:rPr>
                <w:szCs w:val="24"/>
              </w:rPr>
              <w:t>the earliest, potential effective date of entitlement to benefits is one year prior to the date VA received the communication of an ITF.</w:t>
            </w:r>
          </w:p>
        </w:tc>
      </w:tr>
      <w:tr w:rsidR="00AB542D" w:rsidRPr="00D25F5B" w:rsidTr="004F0688">
        <w:trPr>
          <w:trHeight w:val="346"/>
        </w:trPr>
        <w:tc>
          <w:tcPr>
            <w:tcW w:w="4950" w:type="dxa"/>
            <w:tcBorders>
              <w:top w:val="outset" w:sz="6" w:space="0" w:color="auto"/>
              <w:left w:val="outset" w:sz="6" w:space="0" w:color="auto"/>
              <w:bottom w:val="outset" w:sz="6" w:space="0" w:color="auto"/>
              <w:right w:val="outset" w:sz="6" w:space="0" w:color="auto"/>
            </w:tcBorders>
            <w:hideMark/>
          </w:tcPr>
          <w:p w:rsidR="00AB542D" w:rsidRPr="004151B4" w:rsidRDefault="00AB542D" w:rsidP="00F063AF">
            <w:pPr>
              <w:numPr>
                <w:ilvl w:val="0"/>
                <w:numId w:val="349"/>
              </w:numPr>
              <w:overflowPunct/>
              <w:autoSpaceDE/>
              <w:autoSpaceDN/>
              <w:adjustRightInd/>
              <w:spacing w:before="100" w:beforeAutospacing="1" w:after="100" w:afterAutospacing="1"/>
              <w:textAlignment w:val="auto"/>
              <w:rPr>
                <w:szCs w:val="24"/>
              </w:rPr>
            </w:pPr>
            <w:r w:rsidRPr="004151B4">
              <w:rPr>
                <w:szCs w:val="24"/>
              </w:rPr>
              <w:t xml:space="preserve">VA receives communication of a Veteran’s ITF within one year of the date he/she separated from service, </w:t>
            </w:r>
            <w:r w:rsidRPr="004151B4">
              <w:rPr>
                <w:b/>
                <w:i/>
                <w:szCs w:val="24"/>
              </w:rPr>
              <w:t>and</w:t>
            </w:r>
          </w:p>
          <w:p w:rsidR="00AB542D" w:rsidRPr="00D25F5B" w:rsidRDefault="00AB542D" w:rsidP="00F063AF">
            <w:pPr>
              <w:numPr>
                <w:ilvl w:val="0"/>
                <w:numId w:val="349"/>
              </w:numPr>
              <w:overflowPunct/>
              <w:autoSpaceDE/>
              <w:autoSpaceDN/>
              <w:adjustRightInd/>
              <w:textAlignment w:val="auto"/>
              <w:rPr>
                <w:szCs w:val="24"/>
              </w:rPr>
            </w:pPr>
            <w:r w:rsidRPr="004151B4">
              <w:rPr>
                <w:szCs w:val="24"/>
              </w:rPr>
              <w:t>VA subsequently receives a substantially complete application within one year of the date VA received the communication of an ITF</w:t>
            </w:r>
          </w:p>
        </w:tc>
        <w:tc>
          <w:tcPr>
            <w:tcW w:w="5040" w:type="dxa"/>
            <w:tcBorders>
              <w:top w:val="outset" w:sz="6" w:space="0" w:color="auto"/>
              <w:left w:val="outset" w:sz="6" w:space="0" w:color="auto"/>
              <w:bottom w:val="outset" w:sz="6" w:space="0" w:color="auto"/>
              <w:right w:val="outset" w:sz="6" w:space="0" w:color="auto"/>
            </w:tcBorders>
            <w:hideMark/>
          </w:tcPr>
          <w:p w:rsidR="00AB542D" w:rsidRPr="004151B4" w:rsidRDefault="00AB542D" w:rsidP="009A02D7">
            <w:pPr>
              <w:overflowPunct/>
              <w:autoSpaceDE/>
              <w:autoSpaceDN/>
              <w:adjustRightInd/>
              <w:spacing w:before="75"/>
              <w:rPr>
                <w:szCs w:val="24"/>
              </w:rPr>
            </w:pPr>
            <w:r w:rsidRPr="004151B4">
              <w:rPr>
                <w:szCs w:val="24"/>
              </w:rPr>
              <w:t>the earliest potential effective date of entitlement to benefits is the day after the Veteran separated from service.</w:t>
            </w:r>
          </w:p>
        </w:tc>
      </w:tr>
    </w:tbl>
    <w:p w:rsidR="00CD5F48" w:rsidRPr="000B78D9" w:rsidRDefault="00CD5F48">
      <w:pPr>
        <w:widowControl w:val="0"/>
        <w:tabs>
          <w:tab w:val="left" w:pos="0"/>
          <w:tab w:val="left" w:pos="144"/>
        </w:tabs>
        <w:rPr>
          <w:iCs/>
          <w:sz w:val="22"/>
        </w:rPr>
      </w:pPr>
    </w:p>
    <w:tbl>
      <w:tblPr>
        <w:tblW w:w="10875" w:type="dxa"/>
        <w:tblInd w:w="-45" w:type="dxa"/>
        <w:tblLayout w:type="fixed"/>
        <w:tblCellMar>
          <w:left w:w="30" w:type="dxa"/>
          <w:right w:w="30" w:type="dxa"/>
        </w:tblCellMar>
        <w:tblLook w:val="0000" w:firstRow="0" w:lastRow="0" w:firstColumn="0" w:lastColumn="0" w:noHBand="0" w:noVBand="0"/>
      </w:tblPr>
      <w:tblGrid>
        <w:gridCol w:w="705"/>
        <w:gridCol w:w="10170"/>
      </w:tblGrid>
      <w:tr w:rsidR="00013EB8" w:rsidTr="00000847">
        <w:tc>
          <w:tcPr>
            <w:tcW w:w="705" w:type="dxa"/>
            <w:tcBorders>
              <w:top w:val="nil"/>
              <w:left w:val="nil"/>
              <w:bottom w:val="nil"/>
              <w:right w:val="nil"/>
            </w:tcBorders>
          </w:tcPr>
          <w:p w:rsidR="00013EB8" w:rsidRDefault="00013EB8">
            <w:pPr>
              <w:widowControl w:val="0"/>
              <w:numPr>
                <w:ilvl w:val="12"/>
                <w:numId w:val="0"/>
              </w:numPr>
              <w:rPr>
                <w:b/>
              </w:rPr>
            </w:pPr>
            <w:r w:rsidRPr="00F673C9">
              <w:rPr>
                <w:b/>
              </w:rPr>
              <w:t>3.155</w:t>
            </w:r>
          </w:p>
        </w:tc>
        <w:tc>
          <w:tcPr>
            <w:tcW w:w="10170" w:type="dxa"/>
            <w:tcBorders>
              <w:top w:val="nil"/>
              <w:left w:val="nil"/>
              <w:bottom w:val="nil"/>
              <w:right w:val="nil"/>
            </w:tcBorders>
          </w:tcPr>
          <w:p w:rsidR="00013EB8" w:rsidRDefault="00013EB8">
            <w:pPr>
              <w:widowControl w:val="0"/>
              <w:numPr>
                <w:ilvl w:val="12"/>
                <w:numId w:val="0"/>
              </w:numPr>
              <w:spacing w:after="120"/>
              <w:rPr>
                <w:b/>
              </w:rPr>
            </w:pPr>
            <w:r w:rsidRPr="00E52B68">
              <w:rPr>
                <w:b/>
                <w:highlight w:val="darkGray"/>
              </w:rPr>
              <w:t>Informal claims</w:t>
            </w:r>
            <w:r w:rsidRPr="00E52B68">
              <w:rPr>
                <w:highlight w:val="darkGray"/>
              </w:rPr>
              <w:t xml:space="preserve"> – (6/21/87)</w:t>
            </w:r>
            <w:r w:rsidRPr="00E52B68">
              <w:rPr>
                <w:i/>
                <w:highlight w:val="darkGray"/>
              </w:rPr>
              <w:t xml:space="preserve"> </w:t>
            </w:r>
            <w:r w:rsidRPr="00E52B68">
              <w:rPr>
                <w:highlight w:val="darkGray"/>
              </w:rPr>
              <w:t xml:space="preserve">any communication/action (in writing per </w:t>
            </w:r>
            <w:r w:rsidRPr="00E52B68">
              <w:rPr>
                <w:b/>
                <w:highlight w:val="darkGray"/>
              </w:rPr>
              <w:t>3.1(p)</w:t>
            </w:r>
            <w:r w:rsidRPr="00E52B68">
              <w:rPr>
                <w:highlight w:val="darkGray"/>
              </w:rPr>
              <w:t xml:space="preserve">) indicating an intent to apply with the benefit sought identified; </w:t>
            </w:r>
            <w:r w:rsidRPr="00E52B68">
              <w:rPr>
                <w:i/>
                <w:highlight w:val="darkGray"/>
              </w:rPr>
              <w:t>not for new claims!!!  cannot go before DOC for new claims unless 3.114 (if had condition at time of law change)</w:t>
            </w:r>
            <w:r w:rsidR="00457AA1">
              <w:rPr>
                <w:i/>
              </w:rPr>
              <w:t xml:space="preserve"> ch</w:t>
            </w:r>
            <w:r w:rsidR="006417E3">
              <w:rPr>
                <w:i/>
              </w:rPr>
              <w:t xml:space="preserve">anged </w:t>
            </w:r>
            <w:r w:rsidR="006417E3" w:rsidRPr="003C3882">
              <w:rPr>
                <w:i/>
                <w:highlight w:val="cyan"/>
              </w:rPr>
              <w:t>3/24/15</w:t>
            </w:r>
            <w:r w:rsidR="003859B5">
              <w:rPr>
                <w:i/>
              </w:rPr>
              <w:t xml:space="preserve"> - </w:t>
            </w:r>
            <w:r w:rsidR="006417E3" w:rsidRPr="006417E3">
              <w:rPr>
                <w:b/>
              </w:rPr>
              <w:t>How to file a claim</w:t>
            </w:r>
          </w:p>
          <w:p w:rsidR="00CA6B54" w:rsidRPr="00CA6B54" w:rsidRDefault="00CA6B54" w:rsidP="00F063AF">
            <w:pPr>
              <w:pStyle w:val="ListParagraph"/>
              <w:numPr>
                <w:ilvl w:val="0"/>
                <w:numId w:val="307"/>
              </w:numPr>
              <w:ind w:left="330"/>
              <w:rPr>
                <w:rFonts w:ascii="Arial" w:hAnsi="Arial"/>
                <w:sz w:val="20"/>
                <w:szCs w:val="20"/>
              </w:rPr>
            </w:pPr>
            <w:r w:rsidRPr="00CA6B54">
              <w:rPr>
                <w:rFonts w:ascii="Arial" w:hAnsi="Arial"/>
                <w:sz w:val="20"/>
                <w:szCs w:val="20"/>
              </w:rPr>
              <w:t xml:space="preserve">3.155(c) </w:t>
            </w:r>
            <w:r w:rsidRPr="00CA6B54">
              <w:rPr>
                <w:rFonts w:ascii="Arial" w:hAnsi="Arial"/>
                <w:i/>
                <w:iCs/>
                <w:sz w:val="20"/>
                <w:szCs w:val="20"/>
              </w:rPr>
              <w:t>Incomplete application form.</w:t>
            </w:r>
            <w:r w:rsidRPr="00CA6B54">
              <w:rPr>
                <w:rFonts w:ascii="Arial" w:hAnsi="Arial"/>
                <w:sz w:val="20"/>
                <w:szCs w:val="20"/>
              </w:rPr>
              <w:t xml:space="preserve"> Upon receipt of a communication indicating a belief in entitlement to benefits that is submitted on a paper application form prescribed by the Secretary that is not complete as defined in §3.160(a) of this section, the Secretary shall notify the claimant and the claimant's representative, if any, of the information necessary to complete the application form prescribed by the Secretary. If a complete claim is submitted within 1 year of receipt of such incomplete application form prescribed by the Secretary, VA will consider it as filed as of the date VA received the incomplete application form prescribed by the Secretary that did not meet the standards of a complete claim. See §3.160(a) for Complete Claim.</w:t>
            </w:r>
          </w:p>
          <w:p w:rsidR="00013EB8" w:rsidRDefault="00013EB8" w:rsidP="00F063AF">
            <w:pPr>
              <w:widowControl w:val="0"/>
              <w:numPr>
                <w:ilvl w:val="0"/>
                <w:numId w:val="307"/>
              </w:numPr>
              <w:tabs>
                <w:tab w:val="left" w:pos="330"/>
              </w:tabs>
              <w:spacing w:after="120"/>
              <w:ind w:left="330"/>
            </w:pPr>
            <w:r>
              <w:rPr>
                <w:b/>
                <w:i/>
              </w:rPr>
              <w:t>Hamilton et al v. Brown</w:t>
            </w:r>
            <w:r>
              <w:rPr>
                <w:b/>
              </w:rPr>
              <w:t xml:space="preserve"> (4/15/93) </w:t>
            </w:r>
            <w:r>
              <w:t>- finality issues &amp; informal claims</w:t>
            </w:r>
          </w:p>
          <w:p w:rsidR="00013EB8" w:rsidRDefault="00013EB8" w:rsidP="00F063AF">
            <w:pPr>
              <w:widowControl w:val="0"/>
              <w:numPr>
                <w:ilvl w:val="0"/>
                <w:numId w:val="307"/>
              </w:numPr>
              <w:tabs>
                <w:tab w:val="left" w:pos="330"/>
              </w:tabs>
              <w:spacing w:after="120"/>
              <w:ind w:left="330"/>
            </w:pPr>
            <w:r>
              <w:rPr>
                <w:b/>
                <w:i/>
              </w:rPr>
              <w:t>Hazen v. Gober</w:t>
            </w:r>
            <w:r>
              <w:rPr>
                <w:b/>
              </w:rPr>
              <w:t xml:space="preserve"> (11/14/97)</w:t>
            </w:r>
            <w:r>
              <w:t xml:space="preserve"> - request for treatment at VAMC is not specific enough to constitute an informal claim (benefit sought is not identified) [can go back 2 years max, 1 year prior to informal claim]</w:t>
            </w:r>
          </w:p>
          <w:p w:rsidR="00013EB8" w:rsidRDefault="00013EB8" w:rsidP="00F063AF">
            <w:pPr>
              <w:widowControl w:val="0"/>
              <w:numPr>
                <w:ilvl w:val="0"/>
                <w:numId w:val="307"/>
              </w:numPr>
              <w:tabs>
                <w:tab w:val="left" w:pos="330"/>
              </w:tabs>
              <w:spacing w:after="120"/>
              <w:ind w:left="330"/>
            </w:pPr>
            <w:r>
              <w:rPr>
                <w:b/>
                <w:i/>
              </w:rPr>
              <w:t>Buckley v. West</w:t>
            </w:r>
            <w:r>
              <w:rPr>
                <w:b/>
              </w:rPr>
              <w:t xml:space="preserve"> (2/3/98) </w:t>
            </w:r>
            <w:r>
              <w:t>- reasonably raised claims; claim for increase is not subject to new and material criteria</w:t>
            </w:r>
          </w:p>
          <w:p w:rsidR="00013EB8" w:rsidRDefault="00013EB8" w:rsidP="00F063AF">
            <w:pPr>
              <w:widowControl w:val="0"/>
              <w:numPr>
                <w:ilvl w:val="0"/>
                <w:numId w:val="307"/>
              </w:numPr>
              <w:tabs>
                <w:tab w:val="left" w:pos="330"/>
              </w:tabs>
              <w:spacing w:after="120"/>
              <w:ind w:left="330"/>
            </w:pPr>
            <w:r>
              <w:rPr>
                <w:b/>
                <w:i/>
              </w:rPr>
              <w:t>Judicial Call 4/2/98</w:t>
            </w:r>
            <w:r>
              <w:rPr>
                <w:i/>
              </w:rPr>
              <w:t xml:space="preserve"> (see </w:t>
            </w:r>
            <w:r>
              <w:rPr>
                <w:b/>
                <w:i/>
              </w:rPr>
              <w:t>Hazen v. Gober</w:t>
            </w:r>
            <w:r>
              <w:rPr>
                <w:i/>
              </w:rPr>
              <w:t xml:space="preserve"> above)</w:t>
            </w:r>
          </w:p>
          <w:p w:rsidR="00013EB8" w:rsidRDefault="00013EB8" w:rsidP="00F063AF">
            <w:pPr>
              <w:widowControl w:val="0"/>
              <w:numPr>
                <w:ilvl w:val="0"/>
                <w:numId w:val="307"/>
              </w:numPr>
              <w:tabs>
                <w:tab w:val="left" w:pos="330"/>
              </w:tabs>
              <w:spacing w:after="120"/>
              <w:ind w:left="330"/>
            </w:pPr>
            <w:r>
              <w:rPr>
                <w:b/>
                <w:i/>
              </w:rPr>
              <w:t>Lalonde v. West</w:t>
            </w:r>
            <w:r>
              <w:rPr>
                <w:b/>
              </w:rPr>
              <w:t xml:space="preserve"> (5/11/99)</w:t>
            </w:r>
            <w:r>
              <w:t xml:space="preserve"> - TRs not informal claim for secondary condition, but if an informal claim is filed, we will treat it like a claim for increase (and the date of treatment can be used for the eff</w:t>
            </w:r>
            <w:r w:rsidR="004F315B">
              <w:t>ective</w:t>
            </w:r>
            <w:r>
              <w:t xml:space="preserve"> date)</w:t>
            </w:r>
          </w:p>
          <w:p w:rsidR="00013EB8" w:rsidRDefault="00013EB8" w:rsidP="00F063AF">
            <w:pPr>
              <w:widowControl w:val="0"/>
              <w:numPr>
                <w:ilvl w:val="0"/>
                <w:numId w:val="307"/>
              </w:numPr>
              <w:tabs>
                <w:tab w:val="left" w:pos="330"/>
              </w:tabs>
              <w:spacing w:after="120"/>
              <w:ind w:left="330"/>
            </w:pPr>
            <w:r>
              <w:rPr>
                <w:b/>
                <w:i/>
              </w:rPr>
              <w:t>Rodriguez v. West</w:t>
            </w:r>
            <w:r w:rsidR="00690DFF">
              <w:rPr>
                <w:b/>
              </w:rPr>
              <w:t xml:space="preserve"> (8/25/99)</w:t>
            </w:r>
            <w:r>
              <w:t xml:space="preserve"> - has to be in writing &amp; a conversation with an employee, which is put on a 119, can be an informal claim if it identifies the benefit sought</w:t>
            </w:r>
          </w:p>
          <w:p w:rsidR="00013EB8" w:rsidRDefault="00013EB8" w:rsidP="00F063AF">
            <w:pPr>
              <w:widowControl w:val="0"/>
              <w:numPr>
                <w:ilvl w:val="0"/>
                <w:numId w:val="307"/>
              </w:numPr>
              <w:tabs>
                <w:tab w:val="left" w:pos="330"/>
              </w:tabs>
              <w:spacing w:after="120"/>
              <w:ind w:left="330"/>
              <w:rPr>
                <w:i/>
              </w:rPr>
            </w:pPr>
            <w:r>
              <w:rPr>
                <w:b/>
                <w:i/>
              </w:rPr>
              <w:t>Hurd v. West</w:t>
            </w:r>
            <w:r>
              <w:rPr>
                <w:b/>
              </w:rPr>
              <w:t xml:space="preserve"> (4/25/00)</w:t>
            </w:r>
            <w:r>
              <w:t xml:space="preserve"> - abandoned claims for increase; effective date for increases; failure to provide duty to assist does not necessarily render a decision non final [in response to Hair/Hare, which was thrown out, there are no grave procedural errors]</w:t>
            </w:r>
          </w:p>
          <w:p w:rsidR="00013EB8" w:rsidRPr="001A3A22" w:rsidRDefault="00013EB8" w:rsidP="00F063AF">
            <w:pPr>
              <w:widowControl w:val="0"/>
              <w:numPr>
                <w:ilvl w:val="0"/>
                <w:numId w:val="307"/>
              </w:numPr>
              <w:tabs>
                <w:tab w:val="left" w:pos="330"/>
              </w:tabs>
              <w:spacing w:after="120"/>
              <w:ind w:left="330"/>
              <w:rPr>
                <w:i/>
              </w:rPr>
            </w:pPr>
            <w:r>
              <w:rPr>
                <w:b/>
                <w:i/>
              </w:rPr>
              <w:t xml:space="preserve">VAOPGCPREC 12-2001 </w:t>
            </w:r>
            <w:r w:rsidRPr="00F863FB">
              <w:t>(7/6/01)</w:t>
            </w:r>
            <w:r>
              <w:rPr>
                <w:b/>
                <w:i/>
              </w:rPr>
              <w:t xml:space="preserve"> </w:t>
            </w:r>
            <w:r>
              <w:rPr>
                <w:i/>
              </w:rPr>
              <w:t>-</w:t>
            </w:r>
            <w:r>
              <w:t xml:space="preserve"> Roberson v. Principi held that once a veteran submits evidence of a medical disability, makes a claim for the highest rating possible and submits evidence of unemployability, the requirement in 38 CFR 3.155(a) that an informal claim “identify the benefit sought” has been satisfied and VA must consider whether the veteran is entitled to total disability based upon individual unemployability (TDIU); and a veteran is not required to submit proof that he or she is 100% unemployable in order to establish an </w:t>
            </w:r>
            <w:r>
              <w:lastRenderedPageBreak/>
              <w:t>inability to maintain a substantially gainful occupation, as required for a TDIU award pursuant to 38 CFR 3. 340(a).</w:t>
            </w:r>
          </w:p>
          <w:p w:rsidR="001A3A22" w:rsidRDefault="001A3A22" w:rsidP="00F063AF">
            <w:pPr>
              <w:widowControl w:val="0"/>
              <w:numPr>
                <w:ilvl w:val="0"/>
                <w:numId w:val="307"/>
              </w:numPr>
              <w:tabs>
                <w:tab w:val="left" w:pos="330"/>
              </w:tabs>
              <w:spacing w:after="120"/>
              <w:ind w:left="330"/>
              <w:rPr>
                <w:i/>
              </w:rPr>
            </w:pPr>
            <w:r w:rsidRPr="002E2D9E">
              <w:rPr>
                <w:rFonts w:eastAsiaTheme="minorHAnsi"/>
                <w:b/>
                <w:i/>
              </w:rPr>
              <w:t>Ellington v. Nicholson</w:t>
            </w:r>
            <w:r w:rsidRPr="0015618A">
              <w:rPr>
                <w:rFonts w:eastAsiaTheme="minorHAnsi"/>
              </w:rPr>
              <w:t xml:space="preserve"> (</w:t>
            </w:r>
            <w:r>
              <w:rPr>
                <w:rFonts w:eastAsiaTheme="minorHAnsi"/>
              </w:rPr>
              <w:t>7/25/07</w:t>
            </w:r>
            <w:r w:rsidRPr="0015618A">
              <w:rPr>
                <w:rFonts w:eastAsiaTheme="minorHAnsi"/>
              </w:rPr>
              <w:t xml:space="preserve">) </w:t>
            </w:r>
            <w:r>
              <w:rPr>
                <w:rFonts w:eastAsiaTheme="minorHAnsi"/>
              </w:rPr>
              <w:t xml:space="preserve">- </w:t>
            </w:r>
            <w:r w:rsidRPr="005B713B">
              <w:rPr>
                <w:b/>
              </w:rPr>
              <w:t>III.ii.2.C.1.a</w:t>
            </w:r>
            <w:r>
              <w:t xml:space="preserve"> says</w:t>
            </w:r>
            <w:r>
              <w:rPr>
                <w:rFonts w:eastAsia="MS PGothic"/>
                <w:kern w:val="24"/>
              </w:rPr>
              <w:t xml:space="preserve"> th</w:t>
            </w:r>
            <w:r>
              <w:t xml:space="preserve">e Court of Appeals for Veteran Claims (CAVC) (in </w:t>
            </w:r>
            <w:r>
              <w:rPr>
                <w:i/>
              </w:rPr>
              <w:t>Ellington v. Nicholson</w:t>
            </w:r>
            <w:r>
              <w:t xml:space="preserve"> ) ruled that complaints noted by a Veteran during a VA examination (and included in the corresponding examination report) do not constitute an informal claim unless "the veteran sufficiently manifested an intent to apply for benefits for a particular disease or injury."</w:t>
            </w:r>
          </w:p>
          <w:p w:rsidR="00004458" w:rsidRPr="005356BE" w:rsidRDefault="00460B7E" w:rsidP="00F063AF">
            <w:pPr>
              <w:widowControl w:val="0"/>
              <w:numPr>
                <w:ilvl w:val="0"/>
                <w:numId w:val="307"/>
              </w:numPr>
              <w:tabs>
                <w:tab w:val="left" w:pos="330"/>
              </w:tabs>
              <w:spacing w:after="120"/>
              <w:ind w:left="330"/>
              <w:rPr>
                <w:rFonts w:ascii="Times New Roman" w:hAnsi="Times New Roman"/>
                <w:sz w:val="24"/>
                <w:szCs w:val="24"/>
              </w:rPr>
            </w:pPr>
            <w:r w:rsidRPr="00000E48">
              <w:rPr>
                <w:b/>
                <w:i/>
              </w:rPr>
              <w:t>Brokowski v. Shinseki</w:t>
            </w:r>
            <w:r w:rsidRPr="00460B7E">
              <w:rPr>
                <w:b/>
              </w:rPr>
              <w:t xml:space="preserve"> </w:t>
            </w:r>
            <w:r w:rsidRPr="00801905">
              <w:t>(2009) -</w:t>
            </w:r>
            <w:r w:rsidRPr="00460B7E">
              <w:t xml:space="preserve"> in identifying the benefit sought, the Veteran must describe the nature of the disability for which he is seeking benefits, which may be satisfied by referring to the body part or system that is disabled or by describing symptoms of the disability. </w:t>
            </w:r>
          </w:p>
        </w:tc>
      </w:tr>
      <w:tr w:rsidR="00BF25E8" w:rsidTr="00000847">
        <w:tc>
          <w:tcPr>
            <w:tcW w:w="705" w:type="dxa"/>
            <w:tcBorders>
              <w:top w:val="nil"/>
              <w:left w:val="nil"/>
              <w:bottom w:val="nil"/>
              <w:right w:val="nil"/>
            </w:tcBorders>
          </w:tcPr>
          <w:p w:rsidR="00BF25E8" w:rsidRDefault="00BF25E8" w:rsidP="00CA0252">
            <w:pPr>
              <w:widowControl w:val="0"/>
              <w:numPr>
                <w:ilvl w:val="12"/>
                <w:numId w:val="0"/>
              </w:numPr>
            </w:pPr>
          </w:p>
        </w:tc>
        <w:tc>
          <w:tcPr>
            <w:tcW w:w="10170" w:type="dxa"/>
            <w:tcBorders>
              <w:top w:val="nil"/>
              <w:left w:val="nil"/>
              <w:bottom w:val="nil"/>
              <w:right w:val="nil"/>
            </w:tcBorders>
          </w:tcPr>
          <w:p w:rsidR="004073DF" w:rsidRPr="004073DF" w:rsidRDefault="004073DF" w:rsidP="00F063AF">
            <w:pPr>
              <w:pStyle w:val="ListParagraph"/>
              <w:widowControl w:val="0"/>
              <w:numPr>
                <w:ilvl w:val="0"/>
                <w:numId w:val="189"/>
              </w:numPr>
              <w:tabs>
                <w:tab w:val="left" w:pos="330"/>
              </w:tabs>
              <w:spacing w:after="120" w:line="240" w:lineRule="auto"/>
              <w:ind w:left="330"/>
              <w:rPr>
                <w:rFonts w:ascii="Arial" w:hAnsi="Arial"/>
                <w:sz w:val="20"/>
                <w:szCs w:val="20"/>
              </w:rPr>
            </w:pPr>
            <w:r w:rsidRPr="004073DF">
              <w:rPr>
                <w:rFonts w:ascii="Arial" w:hAnsi="Arial"/>
                <w:b/>
                <w:sz w:val="20"/>
                <w:szCs w:val="20"/>
              </w:rPr>
              <w:t>III.ii.2.C.</w:t>
            </w:r>
            <w:r w:rsidR="00EC531C">
              <w:rPr>
                <w:rFonts w:ascii="Arial" w:hAnsi="Arial"/>
                <w:b/>
                <w:sz w:val="20"/>
                <w:szCs w:val="20"/>
              </w:rPr>
              <w:t>4</w:t>
            </w:r>
            <w:r w:rsidRPr="004073DF">
              <w:rPr>
                <w:rFonts w:ascii="Arial" w:hAnsi="Arial"/>
                <w:b/>
                <w:sz w:val="20"/>
                <w:szCs w:val="20"/>
              </w:rPr>
              <w:t xml:space="preserve"> </w:t>
            </w:r>
            <w:r>
              <w:rPr>
                <w:rFonts w:ascii="Arial" w:hAnsi="Arial"/>
                <w:sz w:val="20"/>
                <w:szCs w:val="20"/>
              </w:rPr>
              <w:t>– incomplete 0966 / incomplete ITF (cannot use unsigned 0966 for eff date, only complete 0966 / complete ITF)</w:t>
            </w:r>
          </w:p>
          <w:p w:rsidR="00514B79" w:rsidRPr="00C274BF" w:rsidRDefault="00930A91" w:rsidP="00F063AF">
            <w:pPr>
              <w:pStyle w:val="ListParagraph"/>
              <w:widowControl w:val="0"/>
              <w:numPr>
                <w:ilvl w:val="0"/>
                <w:numId w:val="189"/>
              </w:numPr>
              <w:tabs>
                <w:tab w:val="left" w:pos="330"/>
              </w:tabs>
              <w:spacing w:after="120" w:line="240" w:lineRule="auto"/>
              <w:ind w:left="330"/>
              <w:rPr>
                <w:rFonts w:ascii="Arial" w:hAnsi="Arial"/>
                <w:sz w:val="20"/>
                <w:szCs w:val="20"/>
              </w:rPr>
            </w:pPr>
            <w:r>
              <w:rPr>
                <w:rFonts w:ascii="Arial" w:hAnsi="Arial"/>
                <w:b/>
                <w:sz w:val="20"/>
                <w:szCs w:val="20"/>
              </w:rPr>
              <w:t>III.ii.2.E</w:t>
            </w:r>
          </w:p>
          <w:p w:rsidR="00C274BF" w:rsidRPr="00C274BF" w:rsidRDefault="00C274BF" w:rsidP="00F063AF">
            <w:pPr>
              <w:pStyle w:val="ListParagraph"/>
              <w:widowControl w:val="0"/>
              <w:numPr>
                <w:ilvl w:val="0"/>
                <w:numId w:val="189"/>
              </w:numPr>
              <w:tabs>
                <w:tab w:val="left" w:pos="330"/>
              </w:tabs>
              <w:spacing w:after="120" w:line="240" w:lineRule="auto"/>
              <w:ind w:left="330"/>
              <w:rPr>
                <w:rStyle w:val="id-mask"/>
                <w:rFonts w:ascii="Arial" w:hAnsi="Arial"/>
                <w:b/>
                <w:sz w:val="20"/>
                <w:szCs w:val="20"/>
              </w:rPr>
            </w:pPr>
            <w:r w:rsidRPr="00C274BF">
              <w:rPr>
                <w:rStyle w:val="id-mask"/>
                <w:rFonts w:ascii="Arial" w:hAnsi="Arial"/>
                <w:b/>
                <w:sz w:val="20"/>
                <w:szCs w:val="20"/>
              </w:rPr>
              <w:t>III.iv.5.C.10</w:t>
            </w:r>
          </w:p>
          <w:p w:rsidR="007E4E99" w:rsidRDefault="00D571C5" w:rsidP="00F063AF">
            <w:pPr>
              <w:pStyle w:val="ListParagraph"/>
              <w:widowControl w:val="0"/>
              <w:numPr>
                <w:ilvl w:val="0"/>
                <w:numId w:val="189"/>
              </w:numPr>
              <w:tabs>
                <w:tab w:val="left" w:pos="330"/>
              </w:tabs>
              <w:spacing w:after="120" w:line="240" w:lineRule="auto"/>
              <w:ind w:left="330"/>
              <w:rPr>
                <w:rFonts w:ascii="Arial" w:hAnsi="Arial"/>
                <w:sz w:val="20"/>
                <w:szCs w:val="20"/>
              </w:rPr>
            </w:pPr>
            <w:hyperlink r:id="rId189" w:history="1">
              <w:r w:rsidR="007E4E99" w:rsidRPr="003C3463">
                <w:rPr>
                  <w:rStyle w:val="Hyperlink"/>
                  <w:rFonts w:ascii="Arial" w:hAnsi="Arial"/>
                  <w:b/>
                  <w:i/>
                  <w:sz w:val="20"/>
                  <w:szCs w:val="20"/>
                </w:rPr>
                <w:t xml:space="preserve">January 2015 Rating </w:t>
              </w:r>
              <w:r w:rsidR="00FF4E63">
                <w:rPr>
                  <w:rStyle w:val="Hyperlink"/>
                  <w:rFonts w:ascii="Arial" w:hAnsi="Arial"/>
                  <w:b/>
                  <w:i/>
                  <w:sz w:val="20"/>
                  <w:szCs w:val="20"/>
                </w:rPr>
                <w:t>Quality Call Notes</w:t>
              </w:r>
            </w:hyperlink>
            <w:r w:rsidR="007E4E99" w:rsidRPr="003C3463">
              <w:rPr>
                <w:rStyle w:val="Hyperlink"/>
                <w:rFonts w:ascii="Arial" w:hAnsi="Arial"/>
                <w:sz w:val="20"/>
                <w:szCs w:val="20"/>
                <w:u w:val="none"/>
              </w:rPr>
              <w:t xml:space="preserve"> </w:t>
            </w:r>
            <w:r w:rsidR="007E4E99" w:rsidRPr="003C3463">
              <w:rPr>
                <w:rFonts w:ascii="Arial" w:hAnsi="Arial"/>
                <w:sz w:val="20"/>
                <w:szCs w:val="20"/>
              </w:rPr>
              <w:t xml:space="preserve">– </w:t>
            </w:r>
            <w:r w:rsidR="007E4E99" w:rsidRPr="00000E48">
              <w:rPr>
                <w:rFonts w:ascii="Arial" w:hAnsi="Arial"/>
                <w:b/>
                <w:i/>
                <w:sz w:val="20"/>
                <w:szCs w:val="20"/>
              </w:rPr>
              <w:t>Brokowski v. Shinseki</w:t>
            </w:r>
            <w:r w:rsidR="007E4E99" w:rsidRPr="003C3463">
              <w:rPr>
                <w:rFonts w:ascii="Arial" w:hAnsi="Arial"/>
                <w:b/>
                <w:sz w:val="20"/>
                <w:szCs w:val="20"/>
              </w:rPr>
              <w:t xml:space="preserve"> </w:t>
            </w:r>
            <w:r w:rsidR="007E4E99" w:rsidRPr="003C3463">
              <w:rPr>
                <w:rFonts w:ascii="Arial" w:hAnsi="Arial"/>
                <w:sz w:val="20"/>
                <w:szCs w:val="20"/>
              </w:rPr>
              <w:t>(2009) applies to reopened claims, claims for increase &amp; new claims (all 020s). Only original disability compensation claims (110s &amp; 010s) allow the informal claim to contain a general indication of seeking entitlement to compensation benefits</w:t>
            </w:r>
          </w:p>
          <w:p w:rsidR="003C3463" w:rsidRPr="00B77208" w:rsidRDefault="003C3463" w:rsidP="00F063AF">
            <w:pPr>
              <w:pStyle w:val="ListParagraph"/>
              <w:widowControl w:val="0"/>
              <w:numPr>
                <w:ilvl w:val="0"/>
                <w:numId w:val="189"/>
              </w:numPr>
              <w:tabs>
                <w:tab w:val="left" w:pos="330"/>
              </w:tabs>
              <w:spacing w:after="120" w:line="240" w:lineRule="auto"/>
              <w:ind w:left="331"/>
              <w:rPr>
                <w:rFonts w:ascii="Arial" w:hAnsi="Arial"/>
                <w:sz w:val="20"/>
                <w:szCs w:val="20"/>
              </w:rPr>
            </w:pPr>
            <w:r w:rsidRPr="00B77208">
              <w:rPr>
                <w:rFonts w:ascii="Arial" w:hAnsi="Arial"/>
                <w:b/>
                <w:sz w:val="20"/>
                <w:szCs w:val="20"/>
              </w:rPr>
              <w:t>Standard Claims and Appeals Form Rules</w:t>
            </w:r>
            <w:r w:rsidR="00BA78B4">
              <w:rPr>
                <w:rFonts w:ascii="Arial" w:hAnsi="Arial"/>
                <w:b/>
                <w:sz w:val="20"/>
                <w:szCs w:val="20"/>
              </w:rPr>
              <w:t xml:space="preserve">, </w:t>
            </w:r>
            <w:r w:rsidR="00BA78B4" w:rsidRPr="003C3882">
              <w:rPr>
                <w:rFonts w:ascii="Arial" w:hAnsi="Arial"/>
                <w:b/>
                <w:sz w:val="20"/>
                <w:szCs w:val="20"/>
                <w:highlight w:val="cyan"/>
              </w:rPr>
              <w:t>3/24/15</w:t>
            </w:r>
            <w:r w:rsidR="00B77208" w:rsidRPr="00B77208">
              <w:rPr>
                <w:rFonts w:ascii="Arial" w:hAnsi="Arial"/>
                <w:b/>
                <w:sz w:val="20"/>
                <w:szCs w:val="20"/>
              </w:rPr>
              <w:t xml:space="preserve">, </w:t>
            </w:r>
            <w:r w:rsidR="00AE2601">
              <w:rPr>
                <w:rFonts w:ascii="Tahoma" w:hAnsi="Tahoma" w:cs="Tahoma"/>
              </w:rPr>
              <w:t>AO81</w:t>
            </w:r>
            <w:r w:rsidR="00AE2601">
              <w:t xml:space="preserve"> </w:t>
            </w:r>
            <w:hyperlink r:id="rId190" w:history="1">
              <w:r w:rsidR="00B77208" w:rsidRPr="00386B5E">
                <w:rPr>
                  <w:rStyle w:val="Hyperlink"/>
                  <w:rFonts w:ascii="Arial" w:hAnsi="Arial"/>
                  <w:b/>
                  <w:i/>
                  <w:sz w:val="20"/>
                  <w:szCs w:val="20"/>
                </w:rPr>
                <w:t>https://www.ttande.org/VBA_Learning_Catalog/Comp_svc/Add_Ref/3914064_Add_Ref.pdf</w:t>
              </w:r>
            </w:hyperlink>
            <w:r w:rsidRPr="00B77208">
              <w:rPr>
                <w:rFonts w:ascii="Arial" w:hAnsi="Arial"/>
                <w:sz w:val="20"/>
                <w:szCs w:val="20"/>
              </w:rPr>
              <w:t>:</w:t>
            </w:r>
          </w:p>
          <w:p w:rsidR="003C3463" w:rsidRPr="003C3463" w:rsidRDefault="003C3463" w:rsidP="00F063AF">
            <w:pPr>
              <w:pStyle w:val="ListParagraph"/>
              <w:numPr>
                <w:ilvl w:val="0"/>
                <w:numId w:val="206"/>
              </w:numPr>
              <w:spacing w:after="120" w:line="240" w:lineRule="auto"/>
              <w:rPr>
                <w:rFonts w:ascii="Arial" w:hAnsi="Arial"/>
                <w:sz w:val="20"/>
                <w:szCs w:val="20"/>
              </w:rPr>
            </w:pPr>
            <w:r w:rsidRPr="00386B5E">
              <w:rPr>
                <w:rFonts w:ascii="Arial" w:hAnsi="Arial"/>
                <w:b/>
                <w:sz w:val="20"/>
                <w:szCs w:val="20"/>
              </w:rPr>
              <w:t>Standard VA-prescribed forms eff</w:t>
            </w:r>
            <w:r w:rsidR="00386B5E">
              <w:rPr>
                <w:rFonts w:ascii="Arial" w:hAnsi="Arial"/>
                <w:b/>
                <w:sz w:val="20"/>
                <w:szCs w:val="20"/>
              </w:rPr>
              <w:t>ective</w:t>
            </w:r>
            <w:r w:rsidRPr="003C3463">
              <w:rPr>
                <w:rFonts w:ascii="Arial" w:hAnsi="Arial"/>
                <w:sz w:val="20"/>
                <w:szCs w:val="20"/>
              </w:rPr>
              <w:t xml:space="preserve"> </w:t>
            </w:r>
            <w:r w:rsidRPr="003C3882">
              <w:rPr>
                <w:rFonts w:ascii="Arial" w:hAnsi="Arial"/>
                <w:b/>
                <w:sz w:val="20"/>
                <w:szCs w:val="20"/>
                <w:highlight w:val="cyan"/>
                <w:u w:val="single"/>
              </w:rPr>
              <w:t>3/24/15</w:t>
            </w:r>
            <w:r w:rsidRPr="003C3463">
              <w:rPr>
                <w:rFonts w:ascii="Arial" w:hAnsi="Arial"/>
                <w:sz w:val="20"/>
                <w:szCs w:val="20"/>
              </w:rPr>
              <w:t xml:space="preserve"> (on &amp; after this date), including NOD form (21-526EZ, 21-526, 21-526b, 21-526c, 21-8940</w:t>
            </w:r>
            <w:r w:rsidR="00B36152">
              <w:rPr>
                <w:rFonts w:ascii="Arial" w:hAnsi="Arial"/>
                <w:sz w:val="20"/>
                <w:szCs w:val="20"/>
              </w:rPr>
              <w:t xml:space="preserve"> (</w:t>
            </w:r>
            <w:r w:rsidR="004243EC" w:rsidRPr="002B613A">
              <w:rPr>
                <w:rFonts w:ascii="Arial" w:hAnsi="Arial"/>
                <w:b/>
                <w:sz w:val="20"/>
                <w:szCs w:val="20"/>
              </w:rPr>
              <w:t>IV.ii.2.F.2.h</w:t>
            </w:r>
            <w:r w:rsidR="004243EC">
              <w:rPr>
                <w:rFonts w:ascii="Arial" w:hAnsi="Arial"/>
                <w:sz w:val="20"/>
                <w:szCs w:val="20"/>
              </w:rPr>
              <w:t xml:space="preserve"> -</w:t>
            </w:r>
            <w:r w:rsidR="001D6A2D">
              <w:rPr>
                <w:rFonts w:ascii="Arial" w:hAnsi="Arial"/>
                <w:sz w:val="20"/>
                <w:szCs w:val="20"/>
              </w:rPr>
              <w:t xml:space="preserve"> </w:t>
            </w:r>
            <w:r w:rsidR="00B36152">
              <w:rPr>
                <w:rFonts w:ascii="Arial" w:hAnsi="Arial"/>
                <w:sz w:val="20"/>
                <w:szCs w:val="20"/>
              </w:rPr>
              <w:t>N</w:t>
            </w:r>
            <w:r w:rsidR="00141BA7">
              <w:rPr>
                <w:rFonts w:ascii="Arial" w:hAnsi="Arial"/>
                <w:sz w:val="20"/>
                <w:szCs w:val="20"/>
              </w:rPr>
              <w:t>SC issues listed on 8940 are a R</w:t>
            </w:r>
            <w:r w:rsidR="00B36152">
              <w:rPr>
                <w:rFonts w:ascii="Arial" w:hAnsi="Arial"/>
                <w:sz w:val="20"/>
                <w:szCs w:val="20"/>
              </w:rPr>
              <w:t xml:space="preserve">equest for </w:t>
            </w:r>
            <w:r w:rsidR="00141BA7">
              <w:rPr>
                <w:rFonts w:ascii="Arial" w:hAnsi="Arial"/>
                <w:sz w:val="20"/>
                <w:szCs w:val="20"/>
              </w:rPr>
              <w:t>A</w:t>
            </w:r>
            <w:r w:rsidR="00B36152">
              <w:rPr>
                <w:rFonts w:ascii="Arial" w:hAnsi="Arial"/>
                <w:sz w:val="20"/>
                <w:szCs w:val="20"/>
              </w:rPr>
              <w:t>pplication</w:t>
            </w:r>
            <w:r w:rsidR="00604119">
              <w:rPr>
                <w:rFonts w:ascii="Arial" w:hAnsi="Arial"/>
                <w:sz w:val="20"/>
                <w:szCs w:val="20"/>
              </w:rPr>
              <w:t xml:space="preserve"> (</w:t>
            </w:r>
            <w:r w:rsidR="00446EBF">
              <w:rPr>
                <w:rFonts w:ascii="Arial" w:hAnsi="Arial"/>
                <w:sz w:val="20"/>
                <w:szCs w:val="20"/>
              </w:rPr>
              <w:t>RFA</w:t>
            </w:r>
            <w:r w:rsidR="00604119">
              <w:rPr>
                <w:rFonts w:ascii="Arial" w:hAnsi="Arial"/>
                <w:sz w:val="20"/>
                <w:szCs w:val="20"/>
              </w:rPr>
              <w:t>)</w:t>
            </w:r>
            <w:r w:rsidR="00661FC0">
              <w:rPr>
                <w:rFonts w:ascii="Arial" w:hAnsi="Arial"/>
                <w:sz w:val="20"/>
                <w:szCs w:val="20"/>
              </w:rPr>
              <w:t>,</w:t>
            </w:r>
            <w:r w:rsidR="00127927">
              <w:rPr>
                <w:rFonts w:ascii="Arial" w:hAnsi="Arial"/>
                <w:sz w:val="20"/>
                <w:szCs w:val="20"/>
              </w:rPr>
              <w:t xml:space="preserve"> </w:t>
            </w:r>
            <w:r w:rsidR="004243EC">
              <w:rPr>
                <w:rFonts w:ascii="Arial" w:hAnsi="Arial"/>
                <w:sz w:val="20"/>
                <w:szCs w:val="20"/>
              </w:rPr>
              <w:t xml:space="preserve">then </w:t>
            </w:r>
            <w:r w:rsidR="00052EDD">
              <w:rPr>
                <w:rFonts w:ascii="Arial" w:hAnsi="Arial"/>
                <w:sz w:val="20"/>
                <w:szCs w:val="20"/>
              </w:rPr>
              <w:t xml:space="preserve">updated </w:t>
            </w:r>
            <w:r w:rsidR="00052EDD" w:rsidRPr="00F96445">
              <w:rPr>
                <w:rFonts w:ascii="Arial" w:hAnsi="Arial"/>
                <w:sz w:val="20"/>
                <w:szCs w:val="20"/>
              </w:rPr>
              <w:t>1/17/17</w:t>
            </w:r>
            <w:r w:rsidR="00052EDD">
              <w:rPr>
                <w:rFonts w:ascii="Arial" w:hAnsi="Arial"/>
                <w:sz w:val="20"/>
                <w:szCs w:val="20"/>
              </w:rPr>
              <w:t xml:space="preserve"> &amp;</w:t>
            </w:r>
            <w:r w:rsidR="004243EC">
              <w:rPr>
                <w:rFonts w:ascii="Arial" w:hAnsi="Arial"/>
                <w:sz w:val="20"/>
                <w:szCs w:val="20"/>
              </w:rPr>
              <w:t xml:space="preserve"> per</w:t>
            </w:r>
            <w:r w:rsidR="00052EDD">
              <w:rPr>
                <w:rFonts w:ascii="Arial" w:hAnsi="Arial"/>
                <w:sz w:val="20"/>
                <w:szCs w:val="20"/>
              </w:rPr>
              <w:t xml:space="preserve"> </w:t>
            </w:r>
            <w:hyperlink r:id="rId191" w:history="1">
              <w:r w:rsidR="00052EDD">
                <w:rPr>
                  <w:rStyle w:val="Hyperlink"/>
                  <w:rFonts w:ascii="Arial" w:hAnsi="Arial"/>
                  <w:b/>
                  <w:bCs/>
                  <w:i/>
                  <w:sz w:val="20"/>
                </w:rPr>
                <w:t>March 2017 Quality Call Notes</w:t>
              </w:r>
            </w:hyperlink>
            <w:r w:rsidR="00052EDD">
              <w:rPr>
                <w:rFonts w:ascii="Arial" w:hAnsi="Arial"/>
                <w:bCs/>
                <w:sz w:val="20"/>
              </w:rPr>
              <w:t xml:space="preserve"> </w:t>
            </w:r>
            <w:r w:rsidR="004243EC">
              <w:rPr>
                <w:rFonts w:ascii="Arial" w:hAnsi="Arial"/>
                <w:sz w:val="20"/>
                <w:szCs w:val="20"/>
              </w:rPr>
              <w:t xml:space="preserve"> - </w:t>
            </w:r>
            <w:r w:rsidR="00052EDD">
              <w:rPr>
                <w:rFonts w:ascii="Arial" w:hAnsi="Arial"/>
                <w:sz w:val="20"/>
                <w:szCs w:val="20"/>
              </w:rPr>
              <w:t>treat as reconsideration if notified of denial within last year</w:t>
            </w:r>
            <w:r w:rsidR="00B36152">
              <w:rPr>
                <w:rFonts w:ascii="Arial" w:hAnsi="Arial"/>
                <w:sz w:val="20"/>
                <w:szCs w:val="20"/>
              </w:rPr>
              <w:t>)</w:t>
            </w:r>
            <w:r w:rsidR="005E0298">
              <w:rPr>
                <w:rFonts w:ascii="Arial" w:hAnsi="Arial"/>
                <w:sz w:val="20"/>
                <w:szCs w:val="20"/>
              </w:rPr>
              <w:t xml:space="preserve">, </w:t>
            </w:r>
            <w:r w:rsidRPr="003C3463">
              <w:rPr>
                <w:rFonts w:ascii="Arial" w:hAnsi="Arial"/>
                <w:sz w:val="20"/>
                <w:szCs w:val="20"/>
              </w:rPr>
              <w:t>21-4502, 26-4555, 21-527EZ, 21-527, 21-534EZ, 21-534, 21-535, SNOD, 21-0958; plus include all symptoms/disabilities listed on any attached letters/statements</w:t>
            </w:r>
            <w:r w:rsidR="00386B5E">
              <w:rPr>
                <w:rFonts w:ascii="Arial" w:hAnsi="Arial"/>
                <w:sz w:val="20"/>
                <w:szCs w:val="20"/>
              </w:rPr>
              <w:t xml:space="preserve"> as contentions</w:t>
            </w:r>
            <w:r w:rsidRPr="003C3463">
              <w:rPr>
                <w:rFonts w:ascii="Arial" w:hAnsi="Arial"/>
                <w:sz w:val="20"/>
                <w:szCs w:val="20"/>
              </w:rPr>
              <w:t xml:space="preserve">); complete claim 3.160(a) </w:t>
            </w:r>
            <w:r w:rsidRPr="00D911E1">
              <w:rPr>
                <w:rFonts w:ascii="Arial" w:hAnsi="Arial"/>
                <w:i/>
                <w:sz w:val="20"/>
                <w:szCs w:val="20"/>
              </w:rPr>
              <w:t>[</w:t>
            </w:r>
            <w:r w:rsidR="00BE7B4E" w:rsidRPr="00D911E1">
              <w:rPr>
                <w:rFonts w:ascii="Arial" w:hAnsi="Arial"/>
                <w:i/>
                <w:sz w:val="20"/>
                <w:szCs w:val="20"/>
              </w:rPr>
              <w:t>see below]</w:t>
            </w:r>
          </w:p>
          <w:p w:rsidR="003C3463" w:rsidRDefault="003C3463" w:rsidP="00F063AF">
            <w:pPr>
              <w:pStyle w:val="ListParagraph"/>
              <w:numPr>
                <w:ilvl w:val="0"/>
                <w:numId w:val="206"/>
              </w:numPr>
              <w:spacing w:after="120" w:line="240" w:lineRule="auto"/>
              <w:rPr>
                <w:rFonts w:ascii="Arial" w:hAnsi="Arial"/>
                <w:sz w:val="20"/>
                <w:szCs w:val="20"/>
              </w:rPr>
            </w:pPr>
            <w:r w:rsidRPr="00386B5E">
              <w:rPr>
                <w:rFonts w:ascii="Arial" w:hAnsi="Arial"/>
                <w:b/>
                <w:sz w:val="20"/>
                <w:szCs w:val="20"/>
              </w:rPr>
              <w:t>Eliminate</w:t>
            </w:r>
            <w:r w:rsidR="00386B5E">
              <w:rPr>
                <w:rFonts w:ascii="Arial" w:hAnsi="Arial"/>
                <w:b/>
                <w:sz w:val="20"/>
                <w:szCs w:val="20"/>
              </w:rPr>
              <w:t>s</w:t>
            </w:r>
            <w:r w:rsidRPr="00386B5E">
              <w:rPr>
                <w:rFonts w:ascii="Arial" w:hAnsi="Arial"/>
                <w:b/>
                <w:sz w:val="20"/>
                <w:szCs w:val="20"/>
              </w:rPr>
              <w:t xml:space="preserve"> 3.157</w:t>
            </w:r>
            <w:r w:rsidRPr="003C3463">
              <w:rPr>
                <w:rFonts w:ascii="Arial" w:hAnsi="Arial"/>
                <w:sz w:val="20"/>
                <w:szCs w:val="20"/>
              </w:rPr>
              <w:t xml:space="preserve"> (medical treatment records are not claims</w:t>
            </w:r>
            <w:r w:rsidR="00386B5E">
              <w:rPr>
                <w:rFonts w:ascii="Arial" w:hAnsi="Arial"/>
                <w:sz w:val="20"/>
                <w:szCs w:val="20"/>
              </w:rPr>
              <w:t xml:space="preserve">, but can still assign effective </w:t>
            </w:r>
            <w:r w:rsidRPr="003C3463">
              <w:rPr>
                <w:rFonts w:ascii="Arial" w:hAnsi="Arial"/>
                <w:sz w:val="20"/>
                <w:szCs w:val="20"/>
              </w:rPr>
              <w:t xml:space="preserve">date of increase if claim filed on standard form within 1 year of hospitalization/examination/treatment, </w:t>
            </w:r>
            <w:r w:rsidR="00386B5E">
              <w:rPr>
                <w:rFonts w:ascii="Arial" w:hAnsi="Arial"/>
                <w:sz w:val="20"/>
                <w:szCs w:val="20"/>
              </w:rPr>
              <w:t xml:space="preserve">applies to </w:t>
            </w:r>
            <w:r w:rsidRPr="003C3463">
              <w:rPr>
                <w:rFonts w:ascii="Arial" w:hAnsi="Arial"/>
                <w:sz w:val="20"/>
                <w:szCs w:val="20"/>
              </w:rPr>
              <w:t>federal and private</w:t>
            </w:r>
            <w:r w:rsidR="00386B5E">
              <w:rPr>
                <w:rFonts w:ascii="Arial" w:hAnsi="Arial"/>
                <w:sz w:val="20"/>
                <w:szCs w:val="20"/>
              </w:rPr>
              <w:t xml:space="preserve"> TRs</w:t>
            </w:r>
            <w:r w:rsidRPr="003C3463">
              <w:rPr>
                <w:rFonts w:ascii="Arial" w:hAnsi="Arial"/>
                <w:sz w:val="20"/>
                <w:szCs w:val="20"/>
              </w:rPr>
              <w:t>; incorporated in 3.400(o)(2)) [if VATR</w:t>
            </w:r>
            <w:r w:rsidR="00386B5E">
              <w:rPr>
                <w:rFonts w:ascii="Arial" w:hAnsi="Arial"/>
                <w:sz w:val="20"/>
                <w:szCs w:val="20"/>
              </w:rPr>
              <w:t>s</w:t>
            </w:r>
            <w:r w:rsidRPr="003C3463">
              <w:rPr>
                <w:rFonts w:ascii="Arial" w:hAnsi="Arial"/>
                <w:sz w:val="20"/>
                <w:szCs w:val="20"/>
              </w:rPr>
              <w:t xml:space="preserve"> dated prior to </w:t>
            </w:r>
            <w:r w:rsidRPr="003C3882">
              <w:rPr>
                <w:rFonts w:ascii="Arial" w:hAnsi="Arial"/>
                <w:sz w:val="20"/>
                <w:szCs w:val="20"/>
                <w:highlight w:val="cyan"/>
              </w:rPr>
              <w:t>3/24/15</w:t>
            </w:r>
            <w:r w:rsidRPr="003C3463">
              <w:rPr>
                <w:rFonts w:ascii="Arial" w:hAnsi="Arial"/>
                <w:sz w:val="20"/>
                <w:szCs w:val="20"/>
              </w:rPr>
              <w:t xml:space="preserve"> constitute claim under 3.157, consider it for eff</w:t>
            </w:r>
            <w:r w:rsidR="00386B5E">
              <w:rPr>
                <w:rFonts w:ascii="Arial" w:hAnsi="Arial"/>
                <w:sz w:val="20"/>
                <w:szCs w:val="20"/>
              </w:rPr>
              <w:t>ective</w:t>
            </w:r>
            <w:r w:rsidRPr="003C3463">
              <w:rPr>
                <w:rFonts w:ascii="Arial" w:hAnsi="Arial"/>
                <w:sz w:val="20"/>
                <w:szCs w:val="20"/>
              </w:rPr>
              <w:t xml:space="preserve"> date</w:t>
            </w:r>
            <w:r w:rsidR="005A51F0">
              <w:rPr>
                <w:rFonts w:ascii="Arial" w:hAnsi="Arial"/>
                <w:sz w:val="20"/>
                <w:szCs w:val="20"/>
              </w:rPr>
              <w:t>; p</w:t>
            </w:r>
            <w:r w:rsidR="00D83D2E">
              <w:rPr>
                <w:rFonts w:ascii="Arial" w:hAnsi="Arial"/>
                <w:sz w:val="20"/>
                <w:szCs w:val="20"/>
              </w:rPr>
              <w:t xml:space="preserve">er VA Pulse, </w:t>
            </w:r>
            <w:r w:rsidR="007D6EC7" w:rsidRPr="007D6EC7">
              <w:rPr>
                <w:rFonts w:ascii="Arial" w:hAnsi="Arial"/>
                <w:i/>
                <w:sz w:val="20"/>
                <w:szCs w:val="20"/>
              </w:rPr>
              <w:t>https://www.vapulse.net/message/9403</w:t>
            </w:r>
            <w:r w:rsidR="007D6EC7">
              <w:rPr>
                <w:rFonts w:ascii="Arial" w:hAnsi="Arial"/>
                <w:i/>
                <w:sz w:val="20"/>
                <w:szCs w:val="20"/>
              </w:rPr>
              <w:t xml:space="preserve">, </w:t>
            </w:r>
            <w:r w:rsidR="007D6EC7" w:rsidRPr="007D6EC7">
              <w:rPr>
                <w:rFonts w:ascii="Arial" w:hAnsi="Arial"/>
                <w:i/>
                <w:sz w:val="20"/>
                <w:szCs w:val="20"/>
              </w:rPr>
              <w:t>https://www.vapulse.net/message/11293</w:t>
            </w:r>
            <w:r w:rsidR="007D6EC7">
              <w:rPr>
                <w:rFonts w:ascii="Arial" w:hAnsi="Arial"/>
                <w:i/>
                <w:sz w:val="20"/>
                <w:szCs w:val="20"/>
              </w:rPr>
              <w:t xml:space="preserve"> &amp; </w:t>
            </w:r>
            <w:r w:rsidR="007D6EC7" w:rsidRPr="007D6EC7">
              <w:rPr>
                <w:rFonts w:ascii="Arial" w:hAnsi="Arial"/>
                <w:i/>
                <w:sz w:val="20"/>
                <w:szCs w:val="20"/>
              </w:rPr>
              <w:t>https://www</w:t>
            </w:r>
            <w:r w:rsidR="007D6EC7">
              <w:rPr>
                <w:rFonts w:ascii="Arial" w:hAnsi="Arial"/>
                <w:i/>
                <w:sz w:val="20"/>
                <w:szCs w:val="20"/>
              </w:rPr>
              <w:t>.vapulse.net/message/51221</w:t>
            </w:r>
            <w:r w:rsidR="00D83D2E">
              <w:rPr>
                <w:rFonts w:ascii="Arial" w:hAnsi="Arial"/>
                <w:sz w:val="20"/>
                <w:szCs w:val="20"/>
              </w:rPr>
              <w:t>, if you find info warranting increase in SC disability that was NOT claimed, you cannot grant increase</w:t>
            </w:r>
            <w:r w:rsidR="00B24473">
              <w:rPr>
                <w:rFonts w:ascii="Arial" w:hAnsi="Arial"/>
                <w:sz w:val="20"/>
                <w:szCs w:val="20"/>
              </w:rPr>
              <w:t xml:space="preserve">, but per </w:t>
            </w:r>
            <w:r w:rsidR="00B24473" w:rsidRPr="00000E48">
              <w:rPr>
                <w:rFonts w:ascii="Arial" w:hAnsi="Arial"/>
                <w:i/>
                <w:sz w:val="20"/>
                <w:szCs w:val="20"/>
              </w:rPr>
              <w:t>https://www.vapulse.net/message/30382</w:t>
            </w:r>
            <w:r w:rsidR="00B24473">
              <w:rPr>
                <w:rFonts w:ascii="Arial" w:hAnsi="Arial"/>
                <w:sz w:val="20"/>
                <w:szCs w:val="20"/>
              </w:rPr>
              <w:t>, you should solicit a claim</w:t>
            </w:r>
            <w:r w:rsidRPr="003C3463">
              <w:rPr>
                <w:rFonts w:ascii="Arial" w:hAnsi="Arial"/>
                <w:sz w:val="20"/>
                <w:szCs w:val="20"/>
              </w:rPr>
              <w:t>]</w:t>
            </w:r>
          </w:p>
          <w:p w:rsidR="00CA6B54" w:rsidRPr="00CA6B54" w:rsidRDefault="00F00DE4" w:rsidP="00F063AF">
            <w:pPr>
              <w:pStyle w:val="ListParagraph"/>
              <w:numPr>
                <w:ilvl w:val="0"/>
                <w:numId w:val="206"/>
              </w:numPr>
              <w:spacing w:after="120" w:line="240" w:lineRule="auto"/>
              <w:ind w:left="1050"/>
              <w:rPr>
                <w:rFonts w:ascii="Arial" w:hAnsi="Arial"/>
                <w:sz w:val="20"/>
                <w:szCs w:val="20"/>
              </w:rPr>
            </w:pPr>
            <w:r w:rsidRPr="00EC4CEC">
              <w:rPr>
                <w:rFonts w:ascii="Arial" w:hAnsi="Arial"/>
                <w:b/>
                <w:sz w:val="20"/>
                <w:szCs w:val="20"/>
              </w:rPr>
              <w:t>3.155</w:t>
            </w:r>
            <w:r w:rsidR="00BE1D84" w:rsidRPr="00BE1D84">
              <w:rPr>
                <w:rFonts w:ascii="Arial" w:hAnsi="Arial"/>
                <w:b/>
                <w:sz w:val="20"/>
                <w:szCs w:val="20"/>
              </w:rPr>
              <w:t xml:space="preserve"> How to file a claim</w:t>
            </w:r>
          </w:p>
          <w:p w:rsidR="00F00DE4" w:rsidRPr="00BE1D84" w:rsidRDefault="00F00DE4" w:rsidP="00F063AF">
            <w:pPr>
              <w:pStyle w:val="ListParagraph"/>
              <w:numPr>
                <w:ilvl w:val="0"/>
                <w:numId w:val="206"/>
              </w:numPr>
              <w:spacing w:after="120" w:line="240" w:lineRule="auto"/>
              <w:ind w:left="1050"/>
              <w:rPr>
                <w:rStyle w:val="id-mask"/>
                <w:rFonts w:ascii="Arial" w:hAnsi="Arial"/>
                <w:sz w:val="20"/>
                <w:szCs w:val="20"/>
              </w:rPr>
            </w:pPr>
            <w:r w:rsidRPr="00EC4CEC">
              <w:rPr>
                <w:rFonts w:ascii="Arial" w:hAnsi="Arial"/>
                <w:b/>
                <w:sz w:val="20"/>
                <w:szCs w:val="20"/>
              </w:rPr>
              <w:t>3.160</w:t>
            </w:r>
            <w:r w:rsidR="00BB1A4B" w:rsidRPr="00BE1D84">
              <w:rPr>
                <w:rStyle w:val="id-mask"/>
                <w:rFonts w:ascii="Arial" w:hAnsi="Arial"/>
                <w:b/>
                <w:sz w:val="20"/>
                <w:szCs w:val="20"/>
              </w:rPr>
              <w:t xml:space="preserve"> Status of Claims</w:t>
            </w:r>
            <w:r w:rsidRPr="00BE1D84">
              <w:rPr>
                <w:rStyle w:val="id-mask"/>
                <w:rFonts w:ascii="Arial" w:hAnsi="Arial"/>
                <w:b/>
                <w:sz w:val="20"/>
                <w:szCs w:val="20"/>
              </w:rPr>
              <w:t xml:space="preserve"> </w:t>
            </w:r>
            <w:r w:rsidRPr="00BE1D84">
              <w:rPr>
                <w:rStyle w:val="id-mask"/>
                <w:rFonts w:ascii="Arial" w:hAnsi="Arial"/>
                <w:i/>
                <w:sz w:val="20"/>
                <w:szCs w:val="20"/>
              </w:rPr>
              <w:t>-</w:t>
            </w:r>
            <w:r w:rsidR="00BE1D84" w:rsidRPr="00BE1D84">
              <w:rPr>
                <w:rStyle w:val="id-mask"/>
                <w:rFonts w:ascii="Arial" w:hAnsi="Arial"/>
                <w:sz w:val="20"/>
                <w:szCs w:val="20"/>
              </w:rPr>
              <w:t xml:space="preserve"> all claims must be signed</w:t>
            </w:r>
          </w:p>
          <w:p w:rsidR="00F00DE4" w:rsidRPr="00BE1D84" w:rsidRDefault="00F00DE4" w:rsidP="00F063AF">
            <w:pPr>
              <w:pStyle w:val="ListParagraph"/>
              <w:numPr>
                <w:ilvl w:val="0"/>
                <w:numId w:val="206"/>
              </w:numPr>
              <w:spacing w:after="120" w:line="240" w:lineRule="auto"/>
              <w:ind w:left="1050"/>
              <w:rPr>
                <w:rStyle w:val="Hyperlink"/>
                <w:rFonts w:ascii="Arial" w:hAnsi="Arial"/>
                <w:color w:val="auto"/>
                <w:sz w:val="20"/>
                <w:szCs w:val="20"/>
                <w:u w:val="none"/>
              </w:rPr>
            </w:pPr>
            <w:r w:rsidRPr="00EC4CEC">
              <w:rPr>
                <w:rFonts w:ascii="Arial" w:hAnsi="Arial"/>
                <w:b/>
                <w:sz w:val="20"/>
                <w:szCs w:val="20"/>
              </w:rPr>
              <w:t>3.400(o)(2)</w:t>
            </w:r>
            <w:r w:rsidRPr="00BE1D84">
              <w:rPr>
                <w:rFonts w:ascii="Arial" w:hAnsi="Arial"/>
                <w:sz w:val="20"/>
                <w:szCs w:val="20"/>
              </w:rPr>
              <w:t xml:space="preserve"> </w:t>
            </w:r>
            <w:r w:rsidR="00BB1A4B" w:rsidRPr="00BE1D84">
              <w:rPr>
                <w:rFonts w:ascii="Arial" w:hAnsi="Arial"/>
                <w:b/>
                <w:sz w:val="20"/>
                <w:szCs w:val="20"/>
              </w:rPr>
              <w:t>General</w:t>
            </w:r>
            <w:r w:rsidRPr="00BE1D84">
              <w:rPr>
                <w:rFonts w:ascii="Arial" w:hAnsi="Arial"/>
                <w:b/>
                <w:sz w:val="20"/>
                <w:szCs w:val="20"/>
              </w:rPr>
              <w:t xml:space="preserve"> </w:t>
            </w:r>
            <w:r w:rsidR="00BB1A4B" w:rsidRPr="00BE1D84">
              <w:rPr>
                <w:rFonts w:ascii="Arial" w:hAnsi="Arial"/>
                <w:b/>
                <w:sz w:val="20"/>
                <w:szCs w:val="20"/>
              </w:rPr>
              <w:t>- Increases – Disability Compensation</w:t>
            </w:r>
            <w:r w:rsidR="00BB1A4B" w:rsidRPr="00BE1D84">
              <w:rPr>
                <w:rFonts w:ascii="Arial" w:hAnsi="Arial"/>
                <w:sz w:val="20"/>
                <w:szCs w:val="20"/>
              </w:rPr>
              <w:t xml:space="preserve"> </w:t>
            </w:r>
          </w:p>
          <w:p w:rsidR="00BB1A4B" w:rsidRDefault="00BB1A4B" w:rsidP="00BB1A4B">
            <w:pPr>
              <w:pStyle w:val="NormalWeb"/>
              <w:ind w:left="1050"/>
              <w:rPr>
                <w:sz w:val="20"/>
                <w:szCs w:val="20"/>
              </w:rPr>
            </w:pPr>
            <w:r>
              <w:rPr>
                <w:sz w:val="20"/>
                <w:szCs w:val="20"/>
              </w:rPr>
              <w:t xml:space="preserve">(2) </w:t>
            </w:r>
            <w:r>
              <w:rPr>
                <w:i/>
                <w:iCs/>
                <w:sz w:val="20"/>
                <w:szCs w:val="20"/>
              </w:rPr>
              <w:t>Disability compensation.</w:t>
            </w:r>
            <w:r>
              <w:rPr>
                <w:sz w:val="20"/>
                <w:szCs w:val="20"/>
              </w:rPr>
              <w:t xml:space="preserve"> Earliest date as of which it is factually ascertainable based on all evidence of record that an increase in disability had occurred if a complete claim or intent to file a claim is received within 1 year from such date, otherwise, date of receipt of claim. When medical records indicate an increase in a disability, receipt of such medical records may be used to establish effective date(s) for retroactive benefits based on facts found of an increase in a disability only if a complete claim or intent to file a claim for an increase is received within 1 year of the date of the report of examination, hospitalization, or medical treatment. The provisions of this paragraph apply only when such reports relate to examination or treatment of a disability for which service-connection has previously been established.</w:t>
            </w:r>
          </w:p>
          <w:p w:rsidR="003C3463" w:rsidRPr="00883D29" w:rsidRDefault="003C3463" w:rsidP="00F063AF">
            <w:pPr>
              <w:pStyle w:val="ListParagraph"/>
              <w:numPr>
                <w:ilvl w:val="0"/>
                <w:numId w:val="206"/>
              </w:numPr>
              <w:spacing w:after="120" w:line="240" w:lineRule="auto"/>
              <w:rPr>
                <w:rFonts w:ascii="Arial" w:hAnsi="Arial"/>
                <w:sz w:val="20"/>
                <w:szCs w:val="20"/>
              </w:rPr>
            </w:pPr>
            <w:r w:rsidRPr="00386B5E">
              <w:rPr>
                <w:rFonts w:ascii="Arial" w:hAnsi="Arial"/>
                <w:b/>
                <w:sz w:val="20"/>
                <w:szCs w:val="20"/>
              </w:rPr>
              <w:t>New intent to file (ITF) process</w:t>
            </w:r>
            <w:r w:rsidRPr="003C3463">
              <w:rPr>
                <w:rFonts w:ascii="Arial" w:hAnsi="Arial"/>
                <w:sz w:val="20"/>
                <w:szCs w:val="20"/>
              </w:rPr>
              <w:t xml:space="preserve"> (21-0966, have one year to file complete claim; </w:t>
            </w:r>
            <w:r w:rsidR="001A24EC">
              <w:rPr>
                <w:rFonts w:ascii="Arial" w:hAnsi="Arial"/>
                <w:sz w:val="20"/>
                <w:szCs w:val="20"/>
              </w:rPr>
              <w:t xml:space="preserve">if electronic, </w:t>
            </w:r>
            <w:r w:rsidRPr="003C3463">
              <w:rPr>
                <w:rFonts w:ascii="Arial" w:hAnsi="Arial"/>
                <w:sz w:val="20"/>
                <w:szCs w:val="20"/>
              </w:rPr>
              <w:t>use date initiated</w:t>
            </w:r>
            <w:r w:rsidR="001A24EC">
              <w:rPr>
                <w:rFonts w:ascii="Arial" w:hAnsi="Arial"/>
                <w:sz w:val="20"/>
                <w:szCs w:val="20"/>
              </w:rPr>
              <w:t xml:space="preserve"> a</w:t>
            </w:r>
            <w:r w:rsidR="00FF0B29">
              <w:rPr>
                <w:rFonts w:ascii="Arial" w:hAnsi="Arial"/>
                <w:sz w:val="20"/>
                <w:szCs w:val="20"/>
              </w:rPr>
              <w:t>s</w:t>
            </w:r>
            <w:r w:rsidR="001A24EC">
              <w:rPr>
                <w:rFonts w:ascii="Arial" w:hAnsi="Arial"/>
                <w:sz w:val="20"/>
                <w:szCs w:val="20"/>
              </w:rPr>
              <w:t xml:space="preserve"> ITF date; </w:t>
            </w:r>
            <w:r w:rsidRPr="003C3463">
              <w:rPr>
                <w:rFonts w:ascii="Arial" w:hAnsi="Arial"/>
                <w:sz w:val="20"/>
                <w:szCs w:val="20"/>
              </w:rPr>
              <w:t xml:space="preserve">can also give oral intent to file to VA personnel &amp; the must record it; only one active ITF </w:t>
            </w:r>
            <w:r w:rsidRPr="003C3463">
              <w:rPr>
                <w:rFonts w:ascii="Arial" w:hAnsi="Arial"/>
                <w:sz w:val="20"/>
                <w:szCs w:val="20"/>
                <w:u w:val="single"/>
              </w:rPr>
              <w:t>per general benefit</w:t>
            </w:r>
            <w:r w:rsidRPr="003C3463">
              <w:rPr>
                <w:rFonts w:ascii="Arial" w:hAnsi="Arial"/>
                <w:sz w:val="20"/>
                <w:szCs w:val="20"/>
              </w:rPr>
              <w:t xml:space="preserve"> at a time is valid, ITF </w:t>
            </w:r>
            <w:r w:rsidR="00386B5E">
              <w:rPr>
                <w:rFonts w:ascii="Arial" w:hAnsi="Arial"/>
                <w:sz w:val="20"/>
                <w:szCs w:val="20"/>
              </w:rPr>
              <w:t xml:space="preserve">is </w:t>
            </w:r>
            <w:r w:rsidRPr="003C3463">
              <w:rPr>
                <w:rFonts w:ascii="Arial" w:hAnsi="Arial"/>
                <w:sz w:val="20"/>
                <w:szCs w:val="20"/>
              </w:rPr>
              <w:t xml:space="preserve">no longer active once completed claim received, any subsequent completed claims are not associated with the ITF but use date that </w:t>
            </w:r>
            <w:r w:rsidR="00386B5E">
              <w:rPr>
                <w:rFonts w:ascii="Arial" w:hAnsi="Arial"/>
                <w:sz w:val="20"/>
                <w:szCs w:val="20"/>
              </w:rPr>
              <w:t xml:space="preserve">completed </w:t>
            </w:r>
            <w:r w:rsidRPr="003C3463">
              <w:rPr>
                <w:rFonts w:ascii="Arial" w:hAnsi="Arial"/>
                <w:sz w:val="20"/>
                <w:szCs w:val="20"/>
              </w:rPr>
              <w:t>claim</w:t>
            </w:r>
            <w:r w:rsidR="00386B5E">
              <w:rPr>
                <w:rFonts w:ascii="Arial" w:hAnsi="Arial"/>
                <w:sz w:val="20"/>
                <w:szCs w:val="20"/>
              </w:rPr>
              <w:t xml:space="preserve"> was</w:t>
            </w:r>
            <w:r w:rsidRPr="003C3463">
              <w:rPr>
                <w:rFonts w:ascii="Arial" w:hAnsi="Arial"/>
                <w:sz w:val="20"/>
                <w:szCs w:val="20"/>
              </w:rPr>
              <w:t xml:space="preserve"> rec’d; if have complete 526, but subsequently receive letter</w:t>
            </w:r>
            <w:r w:rsidR="00B83DC6">
              <w:rPr>
                <w:rFonts w:ascii="Arial" w:hAnsi="Arial"/>
                <w:sz w:val="20"/>
                <w:szCs w:val="20"/>
              </w:rPr>
              <w:t>/4138</w:t>
            </w:r>
            <w:r w:rsidRPr="003C3463">
              <w:rPr>
                <w:rFonts w:ascii="Arial" w:hAnsi="Arial"/>
                <w:sz w:val="20"/>
                <w:szCs w:val="20"/>
              </w:rPr>
              <w:t xml:space="preserve"> with new contentions, the letter</w:t>
            </w:r>
            <w:r w:rsidR="00B83DC6">
              <w:rPr>
                <w:rFonts w:ascii="Arial" w:hAnsi="Arial"/>
                <w:sz w:val="20"/>
                <w:szCs w:val="20"/>
              </w:rPr>
              <w:t>/4138</w:t>
            </w:r>
            <w:r w:rsidRPr="003C3463">
              <w:rPr>
                <w:rFonts w:ascii="Arial" w:hAnsi="Arial"/>
                <w:sz w:val="20"/>
                <w:szCs w:val="20"/>
              </w:rPr>
              <w:t xml:space="preserve"> is a request for an application not a complete claim)</w:t>
            </w:r>
            <w:r w:rsidR="00386B5E">
              <w:rPr>
                <w:rFonts w:ascii="Arial" w:hAnsi="Arial"/>
                <w:sz w:val="20"/>
                <w:szCs w:val="20"/>
              </w:rPr>
              <w:t>; 5</w:t>
            </w:r>
            <w:r w:rsidR="00B83DC6">
              <w:rPr>
                <w:rFonts w:ascii="Arial" w:hAnsi="Arial"/>
                <w:sz w:val="20"/>
                <w:szCs w:val="20"/>
              </w:rPr>
              <w:t xml:space="preserve"> ITF</w:t>
            </w:r>
            <w:r w:rsidR="00386B5E">
              <w:rPr>
                <w:rFonts w:ascii="Arial" w:hAnsi="Arial"/>
                <w:sz w:val="20"/>
                <w:szCs w:val="20"/>
              </w:rPr>
              <w:t xml:space="preserve"> statuses (active, incomplete, expired, claim received, </w:t>
            </w:r>
            <w:r w:rsidR="00386B5E" w:rsidRPr="00883D29">
              <w:rPr>
                <w:rFonts w:ascii="Arial" w:hAnsi="Arial"/>
                <w:sz w:val="20"/>
                <w:szCs w:val="20"/>
              </w:rPr>
              <w:t>duplicate</w:t>
            </w:r>
            <w:r w:rsidR="00710641">
              <w:rPr>
                <w:rFonts w:ascii="Arial" w:hAnsi="Arial"/>
                <w:sz w:val="20"/>
                <w:szCs w:val="20"/>
              </w:rPr>
              <w:t>, 6</w:t>
            </w:r>
            <w:r w:rsidR="00710641" w:rsidRPr="00710641">
              <w:rPr>
                <w:rFonts w:ascii="Arial" w:hAnsi="Arial"/>
                <w:sz w:val="20"/>
                <w:szCs w:val="20"/>
                <w:vertAlign w:val="superscript"/>
              </w:rPr>
              <w:t>th</w:t>
            </w:r>
            <w:r w:rsidR="00710641">
              <w:rPr>
                <w:rFonts w:ascii="Arial" w:hAnsi="Arial"/>
                <w:sz w:val="20"/>
                <w:szCs w:val="20"/>
              </w:rPr>
              <w:t xml:space="preserve"> status “canceled” added 6/16/17</w:t>
            </w:r>
            <w:r w:rsidR="00386B5E" w:rsidRPr="00883D29">
              <w:rPr>
                <w:rFonts w:ascii="Arial" w:hAnsi="Arial"/>
                <w:sz w:val="20"/>
                <w:szCs w:val="20"/>
              </w:rPr>
              <w:t>)</w:t>
            </w:r>
          </w:p>
          <w:p w:rsidR="00AE653A" w:rsidRPr="00D10240" w:rsidRDefault="00AE653A" w:rsidP="00AE653A">
            <w:pPr>
              <w:pBdr>
                <w:top w:val="double" w:sz="4" w:space="1" w:color="auto"/>
                <w:left w:val="double" w:sz="4" w:space="4" w:color="auto"/>
                <w:bottom w:val="double" w:sz="4" w:space="1" w:color="auto"/>
                <w:right w:val="double" w:sz="4" w:space="4" w:color="auto"/>
              </w:pBdr>
              <w:shd w:val="clear" w:color="auto" w:fill="FFC000"/>
              <w:spacing w:after="120"/>
              <w:ind w:left="144" w:right="144"/>
              <w:rPr>
                <w:rFonts w:eastAsiaTheme="minorHAnsi"/>
              </w:rPr>
            </w:pPr>
            <w:r>
              <w:rPr>
                <w:rFonts w:eastAsiaTheme="minorHAnsi"/>
                <w:b/>
              </w:rPr>
              <w:t xml:space="preserve">Standard Forms Cheat Sheet </w:t>
            </w:r>
            <w:r>
              <w:rPr>
                <w:rFonts w:eastAsiaTheme="minorHAnsi"/>
              </w:rPr>
              <w:t>(from 2015) is</w:t>
            </w:r>
            <w:r w:rsidRPr="0036376C">
              <w:t xml:space="preserve"> saved at </w:t>
            </w:r>
            <w:r w:rsidRPr="001453C4">
              <w:rPr>
                <w:b/>
                <w:bCs/>
                <w:i/>
                <w:iCs/>
              </w:rPr>
              <w:t>H:\VSC\Rating Reference</w:t>
            </w:r>
          </w:p>
          <w:p w:rsidR="00DF49E1" w:rsidRPr="00DF49E1" w:rsidRDefault="00DF49E1" w:rsidP="00F063AF">
            <w:pPr>
              <w:pStyle w:val="ListParagraph"/>
              <w:widowControl w:val="0"/>
              <w:numPr>
                <w:ilvl w:val="0"/>
                <w:numId w:val="208"/>
              </w:numPr>
              <w:tabs>
                <w:tab w:val="left" w:pos="330"/>
              </w:tabs>
              <w:spacing w:after="120"/>
              <w:ind w:left="330"/>
              <w:rPr>
                <w:rStyle w:val="id-mask"/>
                <w:rFonts w:ascii="Arial" w:hAnsi="Arial"/>
                <w:sz w:val="20"/>
                <w:szCs w:val="20"/>
              </w:rPr>
            </w:pPr>
            <w:r w:rsidRPr="00BA78B4">
              <w:rPr>
                <w:rFonts w:ascii="Arial" w:hAnsi="Arial"/>
                <w:b/>
                <w:sz w:val="20"/>
                <w:szCs w:val="20"/>
              </w:rPr>
              <w:t>I.1.B</w:t>
            </w:r>
            <w:r>
              <w:rPr>
                <w:rStyle w:val="id-mask"/>
                <w:rFonts w:ascii="Arial" w:hAnsi="Arial"/>
                <w:sz w:val="20"/>
                <w:szCs w:val="20"/>
              </w:rPr>
              <w:t xml:space="preserve"> – Handling Claims under 38 USC 5103 – claims not previously denied (including claims for specific </w:t>
            </w:r>
            <w:r>
              <w:rPr>
                <w:rStyle w:val="id-mask"/>
                <w:rFonts w:ascii="Arial" w:hAnsi="Arial"/>
                <w:sz w:val="20"/>
                <w:szCs w:val="20"/>
              </w:rPr>
              <w:lastRenderedPageBreak/>
              <w:t>evaluations or effective dates; EEDs – need to claim CUE or it’s not a claim</w:t>
            </w:r>
            <w:r w:rsidR="00E8751B">
              <w:rPr>
                <w:rStyle w:val="id-mask"/>
                <w:rFonts w:ascii="Arial" w:hAnsi="Arial"/>
                <w:sz w:val="20"/>
                <w:szCs w:val="20"/>
              </w:rPr>
              <w:t>, developing for records</w:t>
            </w:r>
            <w:r>
              <w:rPr>
                <w:rStyle w:val="id-mask"/>
                <w:rFonts w:ascii="Arial" w:hAnsi="Arial"/>
                <w:sz w:val="20"/>
                <w:szCs w:val="20"/>
              </w:rPr>
              <w:t>)</w:t>
            </w:r>
            <w:r w:rsidR="00E8751B">
              <w:rPr>
                <w:rStyle w:val="id-mask"/>
                <w:rFonts w:ascii="Arial" w:hAnsi="Arial"/>
                <w:sz w:val="20"/>
                <w:szCs w:val="20"/>
              </w:rPr>
              <w:t xml:space="preserve"> &amp; claims to reopen previously denied claims</w:t>
            </w:r>
            <w:r w:rsidR="00BE1D84">
              <w:rPr>
                <w:rStyle w:val="id-mask"/>
                <w:rFonts w:ascii="Arial" w:hAnsi="Arial"/>
                <w:sz w:val="20"/>
                <w:szCs w:val="20"/>
              </w:rPr>
              <w:t>; all claims must be signed</w:t>
            </w:r>
          </w:p>
          <w:p w:rsidR="00D911E1" w:rsidRPr="00D911E1" w:rsidRDefault="00883D29" w:rsidP="00F063AF">
            <w:pPr>
              <w:pStyle w:val="ListParagraph"/>
              <w:widowControl w:val="0"/>
              <w:numPr>
                <w:ilvl w:val="0"/>
                <w:numId w:val="208"/>
              </w:numPr>
              <w:tabs>
                <w:tab w:val="left" w:pos="330"/>
              </w:tabs>
              <w:spacing w:after="120"/>
              <w:ind w:left="330"/>
              <w:rPr>
                <w:rStyle w:val="id-mask"/>
                <w:rFonts w:ascii="Arial" w:hAnsi="Arial"/>
                <w:sz w:val="20"/>
                <w:szCs w:val="20"/>
              </w:rPr>
            </w:pPr>
            <w:r w:rsidRPr="001A24EC">
              <w:rPr>
                <w:rStyle w:val="id-mask"/>
                <w:rFonts w:ascii="Arial" w:hAnsi="Arial"/>
                <w:b/>
                <w:sz w:val="20"/>
                <w:szCs w:val="20"/>
              </w:rPr>
              <w:t>I.2.E.3.a, I.5.A.2.d, I.5.B, I.5</w:t>
            </w:r>
            <w:r w:rsidRPr="00DF49E1">
              <w:rPr>
                <w:rStyle w:val="id-mask"/>
                <w:rFonts w:ascii="Arial" w:hAnsi="Arial"/>
                <w:b/>
                <w:sz w:val="20"/>
                <w:szCs w:val="20"/>
              </w:rPr>
              <w:t>.I</w:t>
            </w:r>
            <w:r w:rsidRPr="00D911E1">
              <w:rPr>
                <w:rStyle w:val="id-mask"/>
                <w:rFonts w:ascii="Arial" w:hAnsi="Arial"/>
                <w:sz w:val="20"/>
                <w:szCs w:val="20"/>
              </w:rPr>
              <w:t xml:space="preserve"> – Appeals references changed for </w:t>
            </w:r>
            <w:r w:rsidR="00BA78B4">
              <w:rPr>
                <w:rStyle w:val="id-mask"/>
                <w:rFonts w:ascii="Arial" w:hAnsi="Arial"/>
                <w:sz w:val="20"/>
                <w:szCs w:val="20"/>
              </w:rPr>
              <w:t>Standard Claims &amp; Appeals Forms</w:t>
            </w:r>
          </w:p>
          <w:p w:rsidR="00D911E1" w:rsidRDefault="00D911E1" w:rsidP="00F063AF">
            <w:pPr>
              <w:pStyle w:val="ListParagraph"/>
              <w:widowControl w:val="0"/>
              <w:numPr>
                <w:ilvl w:val="0"/>
                <w:numId w:val="211"/>
              </w:numPr>
              <w:tabs>
                <w:tab w:val="left" w:pos="330"/>
              </w:tabs>
              <w:spacing w:after="120"/>
              <w:ind w:left="330"/>
              <w:rPr>
                <w:rStyle w:val="id-mask"/>
                <w:rFonts w:ascii="Arial" w:hAnsi="Arial"/>
                <w:sz w:val="20"/>
                <w:szCs w:val="20"/>
              </w:rPr>
            </w:pPr>
            <w:r w:rsidRPr="00D911E1">
              <w:rPr>
                <w:rStyle w:val="id-mask"/>
                <w:rFonts w:ascii="Arial" w:hAnsi="Arial"/>
                <w:b/>
                <w:i/>
                <w:sz w:val="20"/>
                <w:szCs w:val="20"/>
                <w:u w:val="single"/>
              </w:rPr>
              <w:t xml:space="preserve">April 2015 Intent to File (ITF) </w:t>
            </w:r>
            <w:r w:rsidRPr="00CD0826">
              <w:rPr>
                <w:rStyle w:val="id-mask"/>
                <w:rFonts w:ascii="Arial" w:hAnsi="Arial"/>
                <w:b/>
                <w:i/>
                <w:sz w:val="20"/>
                <w:szCs w:val="20"/>
                <w:u w:val="single"/>
              </w:rPr>
              <w:t>Training</w:t>
            </w:r>
            <w:r w:rsidRPr="00CD0826">
              <w:rPr>
                <w:rStyle w:val="id-mask"/>
                <w:rFonts w:ascii="Arial" w:hAnsi="Arial"/>
                <w:i/>
                <w:sz w:val="20"/>
                <w:szCs w:val="20"/>
              </w:rPr>
              <w:t xml:space="preserve"> (Carlos Rosario)</w:t>
            </w:r>
            <w:r w:rsidRPr="00BE48DA">
              <w:rPr>
                <w:rStyle w:val="id-mask"/>
                <w:rFonts w:ascii="Arial" w:hAnsi="Arial"/>
                <w:sz w:val="20"/>
                <w:szCs w:val="20"/>
              </w:rPr>
              <w:t xml:space="preserve"> </w:t>
            </w:r>
            <w:r>
              <w:rPr>
                <w:rStyle w:val="id-mask"/>
                <w:rFonts w:ascii="Arial" w:hAnsi="Arial"/>
                <w:sz w:val="20"/>
                <w:szCs w:val="20"/>
              </w:rPr>
              <w:t>–</w:t>
            </w:r>
          </w:p>
          <w:p w:rsidR="00D911E1" w:rsidRDefault="00D911E1" w:rsidP="00F063AF">
            <w:pPr>
              <w:pStyle w:val="ListParagraph"/>
              <w:widowControl w:val="0"/>
              <w:numPr>
                <w:ilvl w:val="0"/>
                <w:numId w:val="315"/>
              </w:numPr>
              <w:tabs>
                <w:tab w:val="left" w:pos="1050"/>
              </w:tabs>
              <w:spacing w:after="120"/>
              <w:rPr>
                <w:rStyle w:val="id-mask"/>
                <w:rFonts w:ascii="Arial" w:hAnsi="Arial"/>
                <w:sz w:val="20"/>
                <w:szCs w:val="20"/>
              </w:rPr>
            </w:pPr>
            <w:r>
              <w:rPr>
                <w:rStyle w:val="id-mask"/>
                <w:rFonts w:ascii="Arial" w:hAnsi="Arial"/>
                <w:sz w:val="20"/>
                <w:szCs w:val="20"/>
              </w:rPr>
              <w:t>A NOD must be on the prescribed form (the VA Form 21-0958 that was pr</w:t>
            </w:r>
            <w:r w:rsidR="00374FEB">
              <w:rPr>
                <w:rStyle w:val="id-mask"/>
                <w:rFonts w:ascii="Arial" w:hAnsi="Arial"/>
                <w:sz w:val="20"/>
                <w:szCs w:val="20"/>
              </w:rPr>
              <w:t>ovi</w:t>
            </w:r>
            <w:r>
              <w:rPr>
                <w:rStyle w:val="id-mask"/>
                <w:rFonts w:ascii="Arial" w:hAnsi="Arial"/>
                <w:sz w:val="20"/>
                <w:szCs w:val="20"/>
              </w:rPr>
              <w:t xml:space="preserve">ded to the veteran in the decision notice) for any decision notification on or after </w:t>
            </w:r>
            <w:r w:rsidRPr="003C3882">
              <w:rPr>
                <w:rStyle w:val="id-mask"/>
                <w:rFonts w:ascii="Arial" w:hAnsi="Arial"/>
                <w:sz w:val="20"/>
                <w:szCs w:val="20"/>
                <w:highlight w:val="cyan"/>
              </w:rPr>
              <w:t>3/24/15</w:t>
            </w:r>
            <w:r>
              <w:rPr>
                <w:rStyle w:val="id-mask"/>
                <w:rFonts w:ascii="Arial" w:hAnsi="Arial"/>
                <w:sz w:val="20"/>
                <w:szCs w:val="20"/>
              </w:rPr>
              <w:t>. If the NOD is received any other way, including a formal or informal conference, it does not constitute a NOD, but is a request for NOD. See I.5.B.1.a &amp; I.5.B.1.c (he may mean 1.5.c)</w:t>
            </w:r>
          </w:p>
          <w:p w:rsidR="00D911E1" w:rsidRDefault="00D911E1" w:rsidP="00F063AF">
            <w:pPr>
              <w:pStyle w:val="ListParagraph"/>
              <w:widowControl w:val="0"/>
              <w:numPr>
                <w:ilvl w:val="0"/>
                <w:numId w:val="315"/>
              </w:numPr>
              <w:tabs>
                <w:tab w:val="left" w:pos="1050"/>
              </w:tabs>
              <w:spacing w:after="120"/>
              <w:rPr>
                <w:rStyle w:val="id-mask"/>
                <w:rFonts w:ascii="Arial" w:hAnsi="Arial"/>
                <w:sz w:val="20"/>
                <w:szCs w:val="20"/>
              </w:rPr>
            </w:pPr>
            <w:r>
              <w:rPr>
                <w:rStyle w:val="id-mask"/>
                <w:rFonts w:ascii="Arial" w:hAnsi="Arial"/>
                <w:sz w:val="20"/>
                <w:szCs w:val="20"/>
              </w:rPr>
              <w:t>ITFs do not apply to predischarge claims. The claim was received while on active duty or it was not.</w:t>
            </w:r>
          </w:p>
          <w:p w:rsidR="00D911E1" w:rsidRPr="00CF59A7" w:rsidRDefault="00D911E1" w:rsidP="00F063AF">
            <w:pPr>
              <w:pStyle w:val="ListParagraph"/>
              <w:widowControl w:val="0"/>
              <w:numPr>
                <w:ilvl w:val="0"/>
                <w:numId w:val="315"/>
              </w:numPr>
              <w:tabs>
                <w:tab w:val="left" w:pos="1050"/>
              </w:tabs>
              <w:spacing w:after="120"/>
              <w:rPr>
                <w:rFonts w:ascii="Arial" w:hAnsi="Arial"/>
                <w:sz w:val="20"/>
                <w:szCs w:val="20"/>
              </w:rPr>
            </w:pPr>
            <w:r>
              <w:rPr>
                <w:rStyle w:val="id-mask"/>
                <w:rFonts w:ascii="Arial" w:hAnsi="Arial"/>
                <w:sz w:val="20"/>
                <w:szCs w:val="20"/>
              </w:rPr>
              <w:t>The POA or representative can sign any claim form for the veteran except an original claim, which m</w:t>
            </w:r>
            <w:r w:rsidRPr="00D53921">
              <w:rPr>
                <w:rStyle w:val="id-mask"/>
                <w:rFonts w:ascii="Arial" w:hAnsi="Arial"/>
                <w:sz w:val="20"/>
                <w:szCs w:val="20"/>
              </w:rPr>
              <w:t>ust be signed by the claimant. If</w:t>
            </w:r>
            <w:r w:rsidR="006406A9">
              <w:rPr>
                <w:rStyle w:val="id-mask"/>
                <w:rFonts w:ascii="Arial" w:hAnsi="Arial"/>
                <w:sz w:val="20"/>
                <w:szCs w:val="20"/>
              </w:rPr>
              <w:t xml:space="preserve"> the POA or representative sign</w:t>
            </w:r>
            <w:r w:rsidRPr="00D53921">
              <w:rPr>
                <w:rStyle w:val="id-mask"/>
                <w:rFonts w:ascii="Arial" w:hAnsi="Arial"/>
                <w:sz w:val="20"/>
                <w:szCs w:val="20"/>
              </w:rPr>
              <w:t>s the prescribed form</w:t>
            </w:r>
            <w:r w:rsidR="001A5E87">
              <w:rPr>
                <w:rStyle w:val="id-mask"/>
                <w:rFonts w:ascii="Arial" w:hAnsi="Arial"/>
                <w:sz w:val="20"/>
                <w:szCs w:val="20"/>
              </w:rPr>
              <w:t xml:space="preserve"> on a non-original claim</w:t>
            </w:r>
            <w:r w:rsidRPr="00D53921">
              <w:rPr>
                <w:rStyle w:val="id-mask"/>
                <w:rFonts w:ascii="Arial" w:hAnsi="Arial"/>
                <w:sz w:val="20"/>
                <w:szCs w:val="20"/>
              </w:rPr>
              <w:t>, a 5103 notice must be sent to the veteran.</w:t>
            </w:r>
            <w:r w:rsidR="00D53921" w:rsidRPr="00D53921">
              <w:rPr>
                <w:rStyle w:val="id-mask"/>
                <w:rFonts w:ascii="Arial" w:hAnsi="Arial"/>
                <w:sz w:val="20"/>
                <w:szCs w:val="20"/>
              </w:rPr>
              <w:t xml:space="preserve"> Confirmed by </w:t>
            </w:r>
            <w:r w:rsidR="00D53921" w:rsidRPr="006E501E">
              <w:rPr>
                <w:rFonts w:ascii="Arial" w:hAnsi="Arial"/>
                <w:b/>
                <w:i/>
                <w:sz w:val="20"/>
                <w:szCs w:val="20"/>
              </w:rPr>
              <w:t xml:space="preserve">April 2015 </w:t>
            </w:r>
            <w:r w:rsidR="00EB6F0B" w:rsidRPr="006E501E">
              <w:rPr>
                <w:rFonts w:ascii="Arial" w:hAnsi="Arial"/>
                <w:b/>
                <w:i/>
                <w:sz w:val="20"/>
                <w:szCs w:val="20"/>
              </w:rPr>
              <w:t>Compensation Service Bulletin (CSB)</w:t>
            </w:r>
            <w:r w:rsidR="00771C45">
              <w:rPr>
                <w:rStyle w:val="Hyperlink"/>
                <w:rFonts w:ascii="Arial" w:hAnsi="Arial"/>
                <w:color w:val="auto"/>
                <w:sz w:val="20"/>
                <w:szCs w:val="20"/>
                <w:u w:val="none"/>
              </w:rPr>
              <w:t>, &amp; on</w:t>
            </w:r>
            <w:r w:rsidR="00771C45" w:rsidRPr="00771C45">
              <w:rPr>
                <w:rStyle w:val="Hyperlink"/>
                <w:rFonts w:ascii="Arial" w:hAnsi="Arial"/>
                <w:color w:val="auto"/>
                <w:sz w:val="20"/>
                <w:szCs w:val="20"/>
                <w:u w:val="none"/>
              </w:rPr>
              <w:t xml:space="preserve"> VA Pulse,</w:t>
            </w:r>
            <w:r w:rsidR="00771C45" w:rsidRPr="00771C45">
              <w:rPr>
                <w:rStyle w:val="Hyperlink"/>
                <w:rFonts w:ascii="Arial" w:hAnsi="Arial"/>
                <w:i/>
                <w:color w:val="auto"/>
                <w:sz w:val="20"/>
                <w:szCs w:val="20"/>
                <w:u w:val="none"/>
              </w:rPr>
              <w:t xml:space="preserve"> </w:t>
            </w:r>
            <w:hyperlink r:id="rId192" w:history="1">
              <w:r w:rsidR="00274613" w:rsidRPr="007D68F8">
                <w:rPr>
                  <w:rStyle w:val="Hyperlink"/>
                  <w:rFonts w:ascii="Arial" w:hAnsi="Arial"/>
                  <w:i/>
                  <w:sz w:val="20"/>
                  <w:szCs w:val="20"/>
                </w:rPr>
                <w:t>https://vapulse.net/thread/3436</w:t>
              </w:r>
            </w:hyperlink>
            <w:r w:rsidR="00274613">
              <w:rPr>
                <w:rFonts w:ascii="Arial" w:hAnsi="Arial"/>
                <w:sz w:val="20"/>
                <w:szCs w:val="20"/>
              </w:rPr>
              <w:t>;</w:t>
            </w:r>
            <w:r w:rsidR="00DA6AB0">
              <w:rPr>
                <w:rFonts w:ascii="Arial" w:hAnsi="Arial"/>
                <w:sz w:val="20"/>
                <w:szCs w:val="20"/>
              </w:rPr>
              <w:t xml:space="preserve"> </w:t>
            </w:r>
            <w:r w:rsidR="00DA6AB0" w:rsidRPr="00DA6AB0">
              <w:rPr>
                <w:rFonts w:ascii="Arial" w:hAnsi="Arial"/>
                <w:b/>
                <w:sz w:val="20"/>
                <w:szCs w:val="20"/>
              </w:rPr>
              <w:t>I.1.B.1.d</w:t>
            </w:r>
            <w:r w:rsidR="00DA6AB0" w:rsidRPr="00A31634">
              <w:rPr>
                <w:rFonts w:ascii="Arial" w:hAnsi="Arial"/>
                <w:sz w:val="20"/>
                <w:szCs w:val="20"/>
              </w:rPr>
              <w:t xml:space="preserve">, </w:t>
            </w:r>
            <w:r w:rsidR="008B4826" w:rsidRPr="00A31634">
              <w:rPr>
                <w:rFonts w:ascii="Arial" w:hAnsi="Arial"/>
                <w:b/>
                <w:bCs/>
                <w:sz w:val="20"/>
                <w:szCs w:val="21"/>
              </w:rPr>
              <w:t>III.i.3.A.2.i</w:t>
            </w:r>
            <w:r w:rsidR="00CF59A7">
              <w:rPr>
                <w:rFonts w:ascii="Arial" w:hAnsi="Arial"/>
                <w:b/>
                <w:bCs/>
                <w:sz w:val="20"/>
                <w:szCs w:val="21"/>
              </w:rPr>
              <w:t xml:space="preserve"> </w:t>
            </w:r>
            <w:r w:rsidR="00CF59A7" w:rsidRPr="00CF59A7">
              <w:rPr>
                <w:rFonts w:ascii="Arial" w:hAnsi="Arial"/>
                <w:bCs/>
                <w:i/>
                <w:sz w:val="20"/>
                <w:szCs w:val="21"/>
              </w:rPr>
              <w:t>(</w:t>
            </w:r>
            <w:r w:rsidR="00CF59A7" w:rsidRPr="00CF59A7">
              <w:rPr>
                <w:rFonts w:ascii="Arial" w:hAnsi="Arial"/>
                <w:bCs/>
                <w:i/>
                <w:color w:val="00B050"/>
                <w:sz w:val="20"/>
                <w:szCs w:val="21"/>
              </w:rPr>
              <w:t xml:space="preserve">My Notes:  </w:t>
            </w:r>
            <w:r w:rsidR="00CF59A7" w:rsidRPr="00CF59A7">
              <w:rPr>
                <w:rFonts w:ascii="Arial" w:hAnsi="Arial"/>
                <w:bCs/>
                <w:i/>
                <w:sz w:val="20"/>
                <w:szCs w:val="21"/>
              </w:rPr>
              <w:t>This does not seem to apply to electronic claims</w:t>
            </w:r>
            <w:r w:rsidR="00CF59A7">
              <w:rPr>
                <w:rFonts w:ascii="Arial" w:hAnsi="Arial"/>
                <w:bCs/>
                <w:i/>
                <w:sz w:val="20"/>
                <w:szCs w:val="21"/>
              </w:rPr>
              <w:t xml:space="preserve"> through VONAPP, VDC or Vets.gov</w:t>
            </w:r>
            <w:r w:rsidR="00CF59A7" w:rsidRPr="00CF59A7">
              <w:rPr>
                <w:rFonts w:ascii="Arial" w:hAnsi="Arial"/>
                <w:bCs/>
                <w:i/>
                <w:sz w:val="20"/>
                <w:szCs w:val="21"/>
              </w:rPr>
              <w:t>, as no signature is required on those</w:t>
            </w:r>
            <w:r w:rsidR="00CF59A7">
              <w:rPr>
                <w:rFonts w:ascii="Arial" w:hAnsi="Arial"/>
                <w:bCs/>
                <w:i/>
                <w:sz w:val="20"/>
                <w:szCs w:val="21"/>
              </w:rPr>
              <w:t>, per III.i.3.A.1.i</w:t>
            </w:r>
            <w:r w:rsidR="00CF59A7" w:rsidRPr="00CF59A7">
              <w:rPr>
                <w:rFonts w:ascii="Arial" w:hAnsi="Arial"/>
                <w:bCs/>
                <w:i/>
                <w:sz w:val="20"/>
                <w:szCs w:val="21"/>
              </w:rPr>
              <w:t>.)</w:t>
            </w:r>
          </w:p>
          <w:p w:rsidR="00F46021" w:rsidRDefault="00883D29" w:rsidP="00F063AF">
            <w:pPr>
              <w:pStyle w:val="ListParagraph"/>
              <w:widowControl w:val="0"/>
              <w:numPr>
                <w:ilvl w:val="0"/>
                <w:numId w:val="208"/>
              </w:numPr>
              <w:tabs>
                <w:tab w:val="left" w:pos="330"/>
              </w:tabs>
              <w:spacing w:after="120" w:line="240" w:lineRule="auto"/>
              <w:ind w:left="331"/>
              <w:rPr>
                <w:rStyle w:val="id-mask"/>
                <w:rFonts w:ascii="Arial" w:hAnsi="Arial"/>
                <w:sz w:val="20"/>
                <w:szCs w:val="20"/>
              </w:rPr>
            </w:pPr>
            <w:r w:rsidRPr="006F0BD1">
              <w:rPr>
                <w:rFonts w:ascii="Arial" w:hAnsi="Arial"/>
                <w:b/>
                <w:sz w:val="20"/>
                <w:szCs w:val="20"/>
              </w:rPr>
              <w:t>III.ii.2.B</w:t>
            </w:r>
            <w:r w:rsidRPr="00BE7B4E">
              <w:rPr>
                <w:rStyle w:val="id-mask"/>
                <w:rFonts w:ascii="Arial" w:hAnsi="Arial"/>
                <w:sz w:val="20"/>
                <w:szCs w:val="20"/>
              </w:rPr>
              <w:t xml:space="preserve"> – prescribed forms </w:t>
            </w:r>
            <w:r w:rsidR="00BE7B4E" w:rsidRPr="00BE7B4E">
              <w:rPr>
                <w:rStyle w:val="id-mask"/>
                <w:rFonts w:ascii="Arial" w:hAnsi="Arial"/>
                <w:sz w:val="20"/>
                <w:szCs w:val="20"/>
              </w:rPr>
              <w:t>– list of all forms</w:t>
            </w:r>
            <w:r w:rsidR="00BE7B4E">
              <w:rPr>
                <w:rStyle w:val="id-mask"/>
                <w:rFonts w:ascii="Arial" w:hAnsi="Arial"/>
                <w:sz w:val="20"/>
                <w:szCs w:val="20"/>
              </w:rPr>
              <w:t xml:space="preserve">, how to determine which benefit veteran is seeking, how to interpret </w:t>
            </w:r>
            <w:r w:rsidR="00BE7B4E" w:rsidRPr="00983E21">
              <w:rPr>
                <w:rStyle w:val="id-mask"/>
                <w:rFonts w:ascii="Arial" w:hAnsi="Arial"/>
                <w:b/>
                <w:sz w:val="20"/>
                <w:szCs w:val="20"/>
              </w:rPr>
              <w:t>or</w:t>
            </w:r>
            <w:r w:rsidR="00C45F6D" w:rsidRPr="00983E21">
              <w:rPr>
                <w:rStyle w:val="id-mask"/>
                <w:rFonts w:ascii="Arial" w:hAnsi="Arial"/>
                <w:b/>
                <w:sz w:val="20"/>
                <w:szCs w:val="20"/>
              </w:rPr>
              <w:t>i</w:t>
            </w:r>
            <w:r w:rsidR="00BE7B4E" w:rsidRPr="00983E21">
              <w:rPr>
                <w:rStyle w:val="id-mask"/>
                <w:rFonts w:ascii="Arial" w:hAnsi="Arial"/>
                <w:b/>
                <w:sz w:val="20"/>
                <w:szCs w:val="20"/>
              </w:rPr>
              <w:t xml:space="preserve">ginal </w:t>
            </w:r>
            <w:r w:rsidR="00BE7B4E">
              <w:rPr>
                <w:rStyle w:val="id-mask"/>
                <w:rFonts w:ascii="Arial" w:hAnsi="Arial"/>
                <w:sz w:val="20"/>
                <w:szCs w:val="20"/>
              </w:rPr>
              <w:t>claim not o</w:t>
            </w:r>
            <w:r w:rsidR="00141BA7">
              <w:rPr>
                <w:rStyle w:val="id-mask"/>
                <w:rFonts w:ascii="Arial" w:hAnsi="Arial"/>
                <w:sz w:val="20"/>
                <w:szCs w:val="20"/>
              </w:rPr>
              <w:t>n prescribed form (informal or R</w:t>
            </w:r>
            <w:r w:rsidR="00BE7B4E">
              <w:rPr>
                <w:rStyle w:val="id-mask"/>
                <w:rFonts w:ascii="Arial" w:hAnsi="Arial"/>
                <w:sz w:val="20"/>
                <w:szCs w:val="20"/>
              </w:rPr>
              <w:t xml:space="preserve">equest for </w:t>
            </w:r>
            <w:r w:rsidR="00141BA7">
              <w:rPr>
                <w:rStyle w:val="id-mask"/>
                <w:rFonts w:ascii="Arial" w:hAnsi="Arial"/>
                <w:sz w:val="20"/>
                <w:szCs w:val="20"/>
              </w:rPr>
              <w:t>A</w:t>
            </w:r>
            <w:r w:rsidR="00BE7B4E">
              <w:rPr>
                <w:rStyle w:val="id-mask"/>
                <w:rFonts w:ascii="Arial" w:hAnsi="Arial"/>
                <w:sz w:val="20"/>
                <w:szCs w:val="20"/>
              </w:rPr>
              <w:t>pplication</w:t>
            </w:r>
            <w:r w:rsidR="00F31434">
              <w:rPr>
                <w:rStyle w:val="id-mask"/>
                <w:rFonts w:ascii="Arial" w:hAnsi="Arial"/>
                <w:sz w:val="20"/>
                <w:szCs w:val="20"/>
              </w:rPr>
              <w:t xml:space="preserve"> </w:t>
            </w:r>
            <w:r w:rsidR="00604119">
              <w:rPr>
                <w:rStyle w:val="id-mask"/>
                <w:rFonts w:ascii="Arial" w:hAnsi="Arial"/>
                <w:sz w:val="20"/>
                <w:szCs w:val="20"/>
              </w:rPr>
              <w:t>(</w:t>
            </w:r>
            <w:r w:rsidR="00F31434">
              <w:rPr>
                <w:rStyle w:val="id-mask"/>
                <w:rFonts w:ascii="Arial" w:hAnsi="Arial"/>
                <w:sz w:val="20"/>
                <w:szCs w:val="20"/>
              </w:rPr>
              <w:t>RFA</w:t>
            </w:r>
            <w:r w:rsidR="00604119">
              <w:rPr>
                <w:rStyle w:val="id-mask"/>
                <w:rFonts w:ascii="Arial" w:hAnsi="Arial"/>
                <w:sz w:val="20"/>
                <w:szCs w:val="20"/>
              </w:rPr>
              <w:t>)</w:t>
            </w:r>
            <w:r w:rsidR="00642098">
              <w:rPr>
                <w:rStyle w:val="id-mask"/>
                <w:rFonts w:ascii="Arial" w:hAnsi="Arial"/>
                <w:sz w:val="20"/>
                <w:szCs w:val="20"/>
              </w:rPr>
              <w:t xml:space="preserve">), </w:t>
            </w:r>
            <w:r w:rsidR="00642098" w:rsidRPr="00C036B1">
              <w:rPr>
                <w:rStyle w:val="id-mask"/>
                <w:rFonts w:ascii="Arial" w:hAnsi="Arial"/>
                <w:sz w:val="20"/>
                <w:szCs w:val="20"/>
                <w:highlight w:val="darkGray"/>
              </w:rPr>
              <w:t xml:space="preserve">claim on </w:t>
            </w:r>
            <w:r w:rsidR="00BE7B4E" w:rsidRPr="00C036B1">
              <w:rPr>
                <w:rStyle w:val="id-mask"/>
                <w:rFonts w:ascii="Arial" w:hAnsi="Arial"/>
                <w:sz w:val="20"/>
                <w:szCs w:val="20"/>
                <w:highlight w:val="darkGray"/>
              </w:rPr>
              <w:t>obsolete form</w:t>
            </w:r>
            <w:r w:rsidR="00642098" w:rsidRPr="00C036B1">
              <w:rPr>
                <w:rStyle w:val="id-mask"/>
                <w:rFonts w:ascii="Arial" w:hAnsi="Arial"/>
                <w:sz w:val="20"/>
                <w:szCs w:val="20"/>
                <w:highlight w:val="darkGray"/>
              </w:rPr>
              <w:t xml:space="preserve"> is valid (</w:t>
            </w:r>
            <w:r w:rsidR="00C036B1">
              <w:rPr>
                <w:rFonts w:ascii="Arial" w:hAnsi="Arial"/>
                <w:sz w:val="20"/>
                <w:szCs w:val="20"/>
                <w:highlight w:val="darkGray"/>
              </w:rPr>
              <w:t xml:space="preserve">per </w:t>
            </w:r>
            <w:r w:rsidR="00C036B1" w:rsidRPr="00C036B1">
              <w:rPr>
                <w:rStyle w:val="Strong"/>
                <w:rFonts w:ascii="Arial" w:hAnsi="Arial"/>
                <w:sz w:val="20"/>
                <w:szCs w:val="21"/>
                <w:highlight w:val="darkGray"/>
              </w:rPr>
              <w:t>I</w:t>
            </w:r>
            <w:r w:rsidR="00C036B1" w:rsidRPr="00510333">
              <w:rPr>
                <w:rStyle w:val="Strong"/>
                <w:rFonts w:ascii="Arial" w:hAnsi="Arial"/>
                <w:sz w:val="20"/>
                <w:szCs w:val="21"/>
                <w:highlight w:val="darkGray"/>
              </w:rPr>
              <w:t>II.ii.2.B.3.h</w:t>
            </w:r>
            <w:r w:rsidR="00C036B1" w:rsidRPr="00510333">
              <w:rPr>
                <w:rStyle w:val="id-mask"/>
                <w:rFonts w:ascii="Arial" w:hAnsi="Arial"/>
                <w:sz w:val="20"/>
                <w:szCs w:val="20"/>
                <w:highlight w:val="darkGray"/>
              </w:rPr>
              <w:t xml:space="preserve"> deleted 6/2</w:t>
            </w:r>
            <w:r w:rsidR="00C036B1">
              <w:rPr>
                <w:rStyle w:val="id-mask"/>
                <w:rFonts w:ascii="Arial" w:hAnsi="Arial"/>
                <w:sz w:val="20"/>
                <w:szCs w:val="20"/>
                <w:highlight w:val="darkGray"/>
              </w:rPr>
              <w:t xml:space="preserve">2/17, </w:t>
            </w:r>
            <w:r w:rsidR="00642098" w:rsidRPr="00C036B1">
              <w:rPr>
                <w:rStyle w:val="id-mask"/>
                <w:rFonts w:ascii="Arial" w:hAnsi="Arial"/>
                <w:sz w:val="20"/>
                <w:szCs w:val="20"/>
                <w:highlight w:val="darkGray"/>
              </w:rPr>
              <w:t xml:space="preserve">per VA Pulse, </w:t>
            </w:r>
            <w:r w:rsidR="00642098" w:rsidRPr="00C036B1">
              <w:rPr>
                <w:rFonts w:ascii="Arial" w:hAnsi="Arial"/>
                <w:i/>
                <w:sz w:val="20"/>
                <w:szCs w:val="20"/>
                <w:highlight w:val="darkGray"/>
              </w:rPr>
              <w:t>https://www.vapulse.net/message/9818</w:t>
            </w:r>
            <w:r w:rsidR="00642098" w:rsidRPr="00C036B1">
              <w:rPr>
                <w:rStyle w:val="id-mask"/>
                <w:rFonts w:ascii="Arial" w:hAnsi="Arial"/>
                <w:i/>
                <w:sz w:val="20"/>
                <w:szCs w:val="20"/>
                <w:highlight w:val="darkGray"/>
              </w:rPr>
              <w:t>,</w:t>
            </w:r>
            <w:r w:rsidR="00642098" w:rsidRPr="00C036B1">
              <w:rPr>
                <w:rStyle w:val="id-mask"/>
                <w:rFonts w:ascii="Arial" w:hAnsi="Arial"/>
                <w:sz w:val="20"/>
                <w:szCs w:val="20"/>
                <w:highlight w:val="darkGray"/>
              </w:rPr>
              <w:t xml:space="preserve"> an obsolete form is a former version of a prescribed form under </w:t>
            </w:r>
            <w:r w:rsidR="00642098" w:rsidRPr="00C036B1">
              <w:rPr>
                <w:rStyle w:val="id-mask"/>
                <w:rFonts w:ascii="Arial" w:hAnsi="Arial"/>
                <w:b/>
                <w:sz w:val="20"/>
                <w:szCs w:val="20"/>
                <w:highlight w:val="darkGray"/>
              </w:rPr>
              <w:t>III.ii.2.B.1.b</w:t>
            </w:r>
            <w:r w:rsidR="00642098">
              <w:rPr>
                <w:rStyle w:val="id-mask"/>
                <w:rFonts w:ascii="Arial" w:hAnsi="Arial"/>
                <w:sz w:val="20"/>
                <w:szCs w:val="20"/>
              </w:rPr>
              <w:t>), non-original claims (informal or</w:t>
            </w:r>
            <w:r w:rsidR="00141BA7">
              <w:rPr>
                <w:rStyle w:val="id-mask"/>
                <w:rFonts w:ascii="Arial" w:hAnsi="Arial"/>
                <w:sz w:val="20"/>
                <w:szCs w:val="20"/>
              </w:rPr>
              <w:t xml:space="preserve"> R</w:t>
            </w:r>
            <w:r w:rsidR="00BE7B4E">
              <w:rPr>
                <w:rStyle w:val="id-mask"/>
                <w:rFonts w:ascii="Arial" w:hAnsi="Arial"/>
                <w:sz w:val="20"/>
                <w:szCs w:val="20"/>
              </w:rPr>
              <w:t xml:space="preserve">equest for </w:t>
            </w:r>
            <w:r w:rsidR="00141BA7">
              <w:rPr>
                <w:rStyle w:val="id-mask"/>
                <w:rFonts w:ascii="Arial" w:hAnsi="Arial"/>
                <w:sz w:val="20"/>
                <w:szCs w:val="20"/>
              </w:rPr>
              <w:t>A</w:t>
            </w:r>
            <w:r w:rsidR="00BE7B4E">
              <w:rPr>
                <w:rStyle w:val="id-mask"/>
                <w:rFonts w:ascii="Arial" w:hAnsi="Arial"/>
                <w:sz w:val="20"/>
                <w:szCs w:val="20"/>
              </w:rPr>
              <w:t>pplication</w:t>
            </w:r>
            <w:r w:rsidR="00604119">
              <w:rPr>
                <w:rStyle w:val="id-mask"/>
                <w:rFonts w:ascii="Arial" w:hAnsi="Arial"/>
                <w:sz w:val="20"/>
                <w:szCs w:val="20"/>
              </w:rPr>
              <w:t xml:space="preserve"> (</w:t>
            </w:r>
            <w:r w:rsidR="00F31434">
              <w:rPr>
                <w:rStyle w:val="id-mask"/>
                <w:rFonts w:ascii="Arial" w:hAnsi="Arial"/>
                <w:sz w:val="20"/>
                <w:szCs w:val="20"/>
              </w:rPr>
              <w:t>RFA</w:t>
            </w:r>
            <w:r w:rsidR="00604119">
              <w:rPr>
                <w:rStyle w:val="id-mask"/>
                <w:rFonts w:ascii="Arial" w:hAnsi="Arial"/>
                <w:sz w:val="20"/>
                <w:szCs w:val="20"/>
              </w:rPr>
              <w:t>)</w:t>
            </w:r>
            <w:r w:rsidR="00BE7B4E">
              <w:rPr>
                <w:rStyle w:val="id-mask"/>
                <w:rFonts w:ascii="Arial" w:hAnsi="Arial"/>
                <w:sz w:val="20"/>
                <w:szCs w:val="20"/>
              </w:rPr>
              <w:t>)</w:t>
            </w:r>
            <w:r w:rsidR="00F31434">
              <w:rPr>
                <w:rStyle w:val="id-mask"/>
                <w:rFonts w:ascii="Arial" w:hAnsi="Arial"/>
                <w:sz w:val="20"/>
                <w:szCs w:val="20"/>
              </w:rPr>
              <w:t xml:space="preserve">; </w:t>
            </w:r>
            <w:r w:rsidR="005A51F0">
              <w:rPr>
                <w:rStyle w:val="id-mask"/>
                <w:rFonts w:ascii="Arial" w:hAnsi="Arial"/>
                <w:sz w:val="20"/>
                <w:szCs w:val="20"/>
              </w:rPr>
              <w:t>p</w:t>
            </w:r>
            <w:r w:rsidR="00F31434">
              <w:rPr>
                <w:rStyle w:val="id-mask"/>
                <w:rFonts w:ascii="Arial" w:hAnsi="Arial"/>
                <w:sz w:val="20"/>
                <w:szCs w:val="20"/>
              </w:rPr>
              <w:t xml:space="preserve">er VA Pulse, </w:t>
            </w:r>
            <w:r w:rsidR="00F31434" w:rsidRPr="006E501E">
              <w:rPr>
                <w:rFonts w:ascii="Arial" w:hAnsi="Arial"/>
                <w:i/>
                <w:sz w:val="20"/>
                <w:szCs w:val="20"/>
              </w:rPr>
              <w:t>https://www.vapulse.net/thread/3860</w:t>
            </w:r>
            <w:r w:rsidR="00141BA7">
              <w:rPr>
                <w:rStyle w:val="id-mask"/>
                <w:rFonts w:ascii="Arial" w:hAnsi="Arial"/>
                <w:sz w:val="20"/>
                <w:szCs w:val="20"/>
              </w:rPr>
              <w:t>, submission of a DBQ is a R</w:t>
            </w:r>
            <w:r w:rsidR="00F31434">
              <w:rPr>
                <w:rStyle w:val="id-mask"/>
                <w:rFonts w:ascii="Arial" w:hAnsi="Arial"/>
                <w:sz w:val="20"/>
                <w:szCs w:val="20"/>
              </w:rPr>
              <w:t xml:space="preserve">equest for </w:t>
            </w:r>
            <w:r w:rsidR="00141BA7">
              <w:rPr>
                <w:rStyle w:val="id-mask"/>
                <w:rFonts w:ascii="Arial" w:hAnsi="Arial"/>
                <w:sz w:val="20"/>
                <w:szCs w:val="20"/>
              </w:rPr>
              <w:t>A</w:t>
            </w:r>
            <w:r w:rsidR="00F31434">
              <w:rPr>
                <w:rStyle w:val="id-mask"/>
                <w:rFonts w:ascii="Arial" w:hAnsi="Arial"/>
                <w:sz w:val="20"/>
                <w:szCs w:val="20"/>
              </w:rPr>
              <w:t xml:space="preserve">pplication </w:t>
            </w:r>
            <w:r w:rsidR="00604119">
              <w:rPr>
                <w:rStyle w:val="id-mask"/>
                <w:rFonts w:ascii="Arial" w:hAnsi="Arial"/>
                <w:sz w:val="20"/>
                <w:szCs w:val="20"/>
              </w:rPr>
              <w:t>(</w:t>
            </w:r>
            <w:r w:rsidR="00F31434">
              <w:rPr>
                <w:rStyle w:val="id-mask"/>
                <w:rFonts w:ascii="Arial" w:hAnsi="Arial"/>
                <w:sz w:val="20"/>
                <w:szCs w:val="20"/>
              </w:rPr>
              <w:t>RFA</w:t>
            </w:r>
            <w:r w:rsidR="00604119">
              <w:rPr>
                <w:rStyle w:val="id-mask"/>
                <w:rFonts w:ascii="Arial" w:hAnsi="Arial"/>
                <w:sz w:val="20"/>
                <w:szCs w:val="20"/>
              </w:rPr>
              <w:t>)</w:t>
            </w:r>
            <w:r w:rsidR="00F31434">
              <w:rPr>
                <w:rStyle w:val="id-mask"/>
                <w:rFonts w:ascii="Arial" w:hAnsi="Arial"/>
                <w:sz w:val="20"/>
                <w:szCs w:val="20"/>
              </w:rPr>
              <w:t xml:space="preserve"> &amp; </w:t>
            </w:r>
            <w:r w:rsidR="00771C45">
              <w:rPr>
                <w:rStyle w:val="id-mask"/>
                <w:rFonts w:ascii="Arial" w:hAnsi="Arial"/>
                <w:sz w:val="20"/>
                <w:szCs w:val="20"/>
              </w:rPr>
              <w:t>if the veteran does not identify the disability for which they are seeking SC, it is an incomplete application</w:t>
            </w:r>
          </w:p>
          <w:p w:rsidR="00883D29" w:rsidRPr="00BE7B4E" w:rsidRDefault="00F46021" w:rsidP="00F063AF">
            <w:pPr>
              <w:pStyle w:val="ListParagraph"/>
              <w:widowControl w:val="0"/>
              <w:numPr>
                <w:ilvl w:val="1"/>
                <w:numId w:val="208"/>
              </w:numPr>
              <w:tabs>
                <w:tab w:val="left" w:pos="330"/>
              </w:tabs>
              <w:spacing w:after="120" w:line="240" w:lineRule="auto"/>
              <w:ind w:left="691"/>
              <w:rPr>
                <w:rStyle w:val="id-mask"/>
                <w:rFonts w:ascii="Arial" w:hAnsi="Arial"/>
                <w:sz w:val="20"/>
                <w:szCs w:val="20"/>
              </w:rPr>
            </w:pPr>
            <w:r w:rsidRPr="00510333">
              <w:rPr>
                <w:rStyle w:val="id-mask"/>
                <w:rFonts w:ascii="Arial" w:hAnsi="Arial"/>
                <w:b/>
                <w:sz w:val="20"/>
                <w:szCs w:val="20"/>
                <w:highlight w:val="darkGray"/>
              </w:rPr>
              <w:t>III.ii.2.B.3.</w:t>
            </w:r>
            <w:r w:rsidR="002C0E94" w:rsidRPr="00510333">
              <w:rPr>
                <w:rStyle w:val="id-mask"/>
                <w:rFonts w:ascii="Arial" w:hAnsi="Arial"/>
                <w:b/>
                <w:sz w:val="20"/>
                <w:szCs w:val="20"/>
                <w:highlight w:val="darkGray"/>
              </w:rPr>
              <w:t>h</w:t>
            </w:r>
            <w:r w:rsidR="008119CD">
              <w:rPr>
                <w:rStyle w:val="id-mask"/>
                <w:rFonts w:ascii="Arial" w:hAnsi="Arial"/>
                <w:sz w:val="20"/>
                <w:szCs w:val="20"/>
                <w:highlight w:val="darkGray"/>
              </w:rPr>
              <w:t xml:space="preserve"> </w:t>
            </w:r>
            <w:r w:rsidRPr="00510333">
              <w:rPr>
                <w:rStyle w:val="id-mask"/>
                <w:rFonts w:ascii="Arial" w:hAnsi="Arial"/>
                <w:sz w:val="20"/>
                <w:szCs w:val="20"/>
                <w:highlight w:val="darkGray"/>
              </w:rPr>
              <w:t>changed 8/12/16</w:t>
            </w:r>
            <w:r w:rsidR="00510333" w:rsidRPr="00510333">
              <w:rPr>
                <w:rStyle w:val="id-mask"/>
                <w:rFonts w:ascii="Arial" w:hAnsi="Arial"/>
                <w:sz w:val="20"/>
                <w:szCs w:val="20"/>
                <w:highlight w:val="darkGray"/>
              </w:rPr>
              <w:t>, deleted 6/2</w:t>
            </w:r>
            <w:r w:rsidR="00C036B1">
              <w:rPr>
                <w:rStyle w:val="id-mask"/>
                <w:rFonts w:ascii="Arial" w:hAnsi="Arial"/>
                <w:sz w:val="20"/>
                <w:szCs w:val="20"/>
                <w:highlight w:val="darkGray"/>
              </w:rPr>
              <w:t>2</w:t>
            </w:r>
            <w:r w:rsidR="00510333" w:rsidRPr="00510333">
              <w:rPr>
                <w:rStyle w:val="id-mask"/>
                <w:rFonts w:ascii="Arial" w:hAnsi="Arial"/>
                <w:sz w:val="20"/>
                <w:szCs w:val="20"/>
                <w:highlight w:val="darkGray"/>
              </w:rPr>
              <w:t>/17,</w:t>
            </w:r>
            <w:r w:rsidR="00510333">
              <w:rPr>
                <w:rStyle w:val="id-mask"/>
                <w:rFonts w:ascii="Arial" w:hAnsi="Arial"/>
                <w:sz w:val="20"/>
                <w:szCs w:val="20"/>
              </w:rPr>
              <w:t xml:space="preserve"> now see </w:t>
            </w:r>
            <w:r w:rsidR="00510333">
              <w:rPr>
                <w:rStyle w:val="id-mask"/>
                <w:rFonts w:ascii="Arial" w:hAnsi="Arial"/>
                <w:b/>
                <w:sz w:val="20"/>
                <w:szCs w:val="20"/>
              </w:rPr>
              <w:t>III.ii.1.C.8</w:t>
            </w:r>
            <w:r w:rsidR="00510333">
              <w:rPr>
                <w:rStyle w:val="id-mask"/>
                <w:rFonts w:ascii="Arial" w:hAnsi="Arial"/>
                <w:sz w:val="20"/>
                <w:szCs w:val="20"/>
              </w:rPr>
              <w:t xml:space="preserve"> for outdated forms</w:t>
            </w:r>
            <w:r w:rsidR="008119CD">
              <w:rPr>
                <w:rStyle w:val="id-mask"/>
                <w:rFonts w:ascii="Arial" w:hAnsi="Arial"/>
                <w:sz w:val="20"/>
                <w:szCs w:val="20"/>
              </w:rPr>
              <w:t xml:space="preserve">, </w:t>
            </w:r>
            <w:r w:rsidRPr="00510333">
              <w:rPr>
                <w:rStyle w:val="id-mask"/>
                <w:rFonts w:ascii="Arial" w:hAnsi="Arial"/>
                <w:sz w:val="20"/>
                <w:szCs w:val="20"/>
                <w:highlight w:val="darkGray"/>
              </w:rPr>
              <w:t>outdated but acceptable</w:t>
            </w:r>
            <w:r w:rsidR="00F7680C">
              <w:rPr>
                <w:rStyle w:val="id-mask"/>
                <w:rFonts w:ascii="Arial" w:hAnsi="Arial"/>
                <w:sz w:val="20"/>
                <w:szCs w:val="20"/>
                <w:highlight w:val="darkGray"/>
              </w:rPr>
              <w:t xml:space="preserve"> </w:t>
            </w:r>
            <w:r w:rsidRPr="00510333">
              <w:rPr>
                <w:rStyle w:val="id-mask"/>
                <w:rFonts w:ascii="Arial" w:hAnsi="Arial"/>
                <w:sz w:val="20"/>
                <w:szCs w:val="20"/>
                <w:highlight w:val="darkGray"/>
              </w:rPr>
              <w:t xml:space="preserve">under </w:t>
            </w:r>
            <w:r w:rsidRPr="00510333">
              <w:rPr>
                <w:rStyle w:val="id-mask"/>
                <w:rFonts w:ascii="Arial" w:hAnsi="Arial"/>
                <w:b/>
                <w:sz w:val="20"/>
                <w:szCs w:val="20"/>
                <w:highlight w:val="darkGray"/>
              </w:rPr>
              <w:t>III.ii.1.C.7.b</w:t>
            </w:r>
            <w:r w:rsidRPr="00510333">
              <w:rPr>
                <w:rStyle w:val="id-mask"/>
                <w:rFonts w:ascii="Arial" w:hAnsi="Arial"/>
                <w:sz w:val="20"/>
                <w:szCs w:val="20"/>
                <w:highlight w:val="darkGray"/>
              </w:rPr>
              <w:t xml:space="preserve"> = valid</w:t>
            </w:r>
            <w:r w:rsidR="00064B9F" w:rsidRPr="00510333">
              <w:rPr>
                <w:rStyle w:val="id-mask"/>
                <w:rFonts w:ascii="Arial" w:hAnsi="Arial"/>
                <w:sz w:val="20"/>
                <w:szCs w:val="20"/>
                <w:highlight w:val="darkGray"/>
              </w:rPr>
              <w:t xml:space="preserve"> claim</w:t>
            </w:r>
            <w:r w:rsidRPr="00510333">
              <w:rPr>
                <w:rStyle w:val="id-mask"/>
                <w:rFonts w:ascii="Arial" w:hAnsi="Arial"/>
                <w:sz w:val="20"/>
                <w:szCs w:val="20"/>
                <w:highlight w:val="darkGray"/>
              </w:rPr>
              <w:t xml:space="preserve"> if complete; outdated </w:t>
            </w:r>
            <w:r w:rsidR="00064B9F" w:rsidRPr="00510333">
              <w:rPr>
                <w:rStyle w:val="id-mask"/>
                <w:rFonts w:ascii="Arial" w:hAnsi="Arial"/>
                <w:sz w:val="20"/>
                <w:szCs w:val="20"/>
                <w:highlight w:val="darkGray"/>
              </w:rPr>
              <w:t xml:space="preserve">&amp; unacceptable under </w:t>
            </w:r>
            <w:r w:rsidR="00064B9F" w:rsidRPr="00510333">
              <w:rPr>
                <w:rStyle w:val="id-mask"/>
                <w:rFonts w:ascii="Arial" w:hAnsi="Arial"/>
                <w:b/>
                <w:sz w:val="20"/>
                <w:szCs w:val="20"/>
                <w:highlight w:val="darkGray"/>
              </w:rPr>
              <w:t>III.ii.1.C.7.b</w:t>
            </w:r>
            <w:r w:rsidR="00064B9F" w:rsidRPr="00510333">
              <w:rPr>
                <w:rStyle w:val="id-mask"/>
                <w:rFonts w:ascii="Arial" w:hAnsi="Arial"/>
                <w:sz w:val="20"/>
                <w:szCs w:val="20"/>
                <w:highlight w:val="darkGray"/>
              </w:rPr>
              <w:t xml:space="preserve"> = reject the form per </w:t>
            </w:r>
            <w:r w:rsidR="00064B9F" w:rsidRPr="00510333">
              <w:rPr>
                <w:rStyle w:val="id-mask"/>
                <w:rFonts w:ascii="Arial" w:hAnsi="Arial"/>
                <w:b/>
                <w:sz w:val="20"/>
                <w:szCs w:val="20"/>
                <w:highlight w:val="darkGray"/>
              </w:rPr>
              <w:t>III.ii.1.C.7.d</w:t>
            </w:r>
            <w:r w:rsidR="00064B9F" w:rsidRPr="00510333">
              <w:rPr>
                <w:rStyle w:val="id-mask"/>
                <w:rFonts w:ascii="Arial" w:hAnsi="Arial"/>
                <w:sz w:val="20"/>
                <w:szCs w:val="20"/>
                <w:highlight w:val="darkGray"/>
              </w:rPr>
              <w:t xml:space="preserve"> &amp; consider it an RFA</w:t>
            </w:r>
          </w:p>
          <w:p w:rsidR="00161309" w:rsidRPr="004A08CE" w:rsidRDefault="00161309" w:rsidP="00F063AF">
            <w:pPr>
              <w:pStyle w:val="ListParagraph"/>
              <w:widowControl w:val="0"/>
              <w:numPr>
                <w:ilvl w:val="0"/>
                <w:numId w:val="208"/>
              </w:numPr>
              <w:tabs>
                <w:tab w:val="left" w:pos="330"/>
              </w:tabs>
              <w:spacing w:after="120"/>
              <w:ind w:left="330"/>
              <w:rPr>
                <w:rStyle w:val="id-mask"/>
                <w:rFonts w:ascii="Arial" w:hAnsi="Arial"/>
                <w:b/>
                <w:i/>
                <w:sz w:val="20"/>
                <w:szCs w:val="20"/>
              </w:rPr>
            </w:pPr>
            <w:r w:rsidRPr="00161309">
              <w:rPr>
                <w:rFonts w:ascii="Arial" w:hAnsi="Arial"/>
                <w:b/>
                <w:sz w:val="20"/>
                <w:szCs w:val="20"/>
              </w:rPr>
              <w:t>Intent to File</w:t>
            </w:r>
            <w:r w:rsidR="00F31434">
              <w:rPr>
                <w:rFonts w:ascii="Arial" w:hAnsi="Arial"/>
                <w:b/>
                <w:sz w:val="20"/>
                <w:szCs w:val="20"/>
              </w:rPr>
              <w:t xml:space="preserve"> (ITF)</w:t>
            </w:r>
            <w:r w:rsidR="00BA78B4">
              <w:rPr>
                <w:rFonts w:ascii="Arial" w:hAnsi="Arial"/>
                <w:b/>
                <w:sz w:val="20"/>
                <w:szCs w:val="20"/>
              </w:rPr>
              <w:t xml:space="preserve">, </w:t>
            </w:r>
            <w:r w:rsidR="00BA78B4" w:rsidRPr="003C3882">
              <w:rPr>
                <w:rFonts w:ascii="Arial" w:hAnsi="Arial"/>
                <w:b/>
                <w:sz w:val="20"/>
                <w:szCs w:val="20"/>
                <w:highlight w:val="cyan"/>
              </w:rPr>
              <w:t>3/24/15</w:t>
            </w:r>
            <w:r w:rsidRPr="00161309">
              <w:rPr>
                <w:rFonts w:ascii="Arial" w:hAnsi="Arial"/>
                <w:b/>
                <w:sz w:val="20"/>
                <w:szCs w:val="20"/>
              </w:rPr>
              <w:t xml:space="preserve">, </w:t>
            </w:r>
            <w:r w:rsidR="00AE2601">
              <w:rPr>
                <w:rFonts w:ascii="Tahoma" w:hAnsi="Tahoma" w:cs="Tahoma"/>
              </w:rPr>
              <w:t>AO81</w:t>
            </w:r>
            <w:r w:rsidR="00AE2601">
              <w:t xml:space="preserve"> </w:t>
            </w:r>
            <w:hyperlink r:id="rId193" w:history="1">
              <w:r w:rsidRPr="00161309">
                <w:rPr>
                  <w:rStyle w:val="Hyperlink"/>
                  <w:rFonts w:ascii="Arial" w:hAnsi="Arial"/>
                  <w:b/>
                  <w:i/>
                  <w:sz w:val="20"/>
                  <w:szCs w:val="20"/>
                </w:rPr>
                <w:t>https://www.ttande.org/VBA_Learning_Catalog/Comp_Svc/Add_Ref/3923748_Add_Ref.pdf</w:t>
              </w:r>
            </w:hyperlink>
            <w:r w:rsidR="004A08CE">
              <w:rPr>
                <w:rStyle w:val="Hyperlink"/>
                <w:rFonts w:ascii="Arial" w:hAnsi="Arial"/>
                <w:sz w:val="20"/>
                <w:szCs w:val="20"/>
                <w:u w:val="none"/>
              </w:rPr>
              <w:t xml:space="preserve">  </w:t>
            </w:r>
            <w:r w:rsidR="004A08CE" w:rsidRPr="004A08CE">
              <w:rPr>
                <w:rStyle w:val="Hyperlink"/>
                <w:rFonts w:ascii="Arial" w:hAnsi="Arial"/>
                <w:color w:val="auto"/>
                <w:sz w:val="20"/>
                <w:szCs w:val="20"/>
                <w:u w:val="none"/>
              </w:rPr>
              <w:t xml:space="preserve">(also at </w:t>
            </w:r>
            <w:r w:rsidR="004A08CE" w:rsidRPr="004A08CE">
              <w:rPr>
                <w:rStyle w:val="Hyperlink"/>
                <w:rFonts w:ascii="Arial" w:hAnsi="Arial"/>
                <w:i/>
                <w:color w:val="auto"/>
                <w:sz w:val="20"/>
                <w:szCs w:val="20"/>
                <w:u w:val="none"/>
              </w:rPr>
              <w:t>https://www.vapulse.net/docs/DOC-5608</w:t>
            </w:r>
            <w:r w:rsidR="004A08CE" w:rsidRPr="004A08CE">
              <w:rPr>
                <w:rStyle w:val="Hyperlink"/>
                <w:rFonts w:ascii="Arial" w:hAnsi="Arial"/>
                <w:color w:val="auto"/>
                <w:sz w:val="20"/>
                <w:szCs w:val="20"/>
                <w:u w:val="none"/>
              </w:rPr>
              <w:t>)</w:t>
            </w:r>
          </w:p>
          <w:p w:rsidR="006A3211" w:rsidRPr="006A3211" w:rsidRDefault="00161309" w:rsidP="00F063AF">
            <w:pPr>
              <w:pStyle w:val="ListParagraph"/>
              <w:numPr>
                <w:ilvl w:val="0"/>
                <w:numId w:val="206"/>
              </w:numPr>
              <w:spacing w:after="120" w:line="240" w:lineRule="auto"/>
              <w:rPr>
                <w:rFonts w:ascii="Arial" w:hAnsi="Arial"/>
                <w:sz w:val="20"/>
                <w:szCs w:val="20"/>
              </w:rPr>
            </w:pPr>
            <w:r w:rsidRPr="006F0BD1">
              <w:rPr>
                <w:rFonts w:ascii="Arial" w:hAnsi="Arial"/>
                <w:b/>
                <w:sz w:val="20"/>
                <w:szCs w:val="20"/>
              </w:rPr>
              <w:t>III.ii.2.</w:t>
            </w:r>
            <w:r w:rsidR="002677A5">
              <w:rPr>
                <w:rFonts w:ascii="Arial" w:hAnsi="Arial"/>
                <w:b/>
                <w:sz w:val="20"/>
                <w:szCs w:val="20"/>
              </w:rPr>
              <w:t>C</w:t>
            </w:r>
            <w:r w:rsidRPr="00514B79">
              <w:rPr>
                <w:rStyle w:val="id-mask"/>
                <w:rFonts w:ascii="Arial" w:hAnsi="Arial"/>
                <w:sz w:val="20"/>
                <w:szCs w:val="20"/>
              </w:rPr>
              <w:t xml:space="preserve"> </w:t>
            </w:r>
            <w:r w:rsidR="00620C3D">
              <w:t xml:space="preserve">- </w:t>
            </w:r>
            <w:r w:rsidR="00620C3D" w:rsidRPr="00620C3D">
              <w:rPr>
                <w:rFonts w:ascii="Arial" w:hAnsi="Arial"/>
                <w:sz w:val="20"/>
              </w:rPr>
              <w:t>informal claims received prior to 3/24/15</w:t>
            </w:r>
            <w:r w:rsidR="006A3211">
              <w:rPr>
                <w:rFonts w:ascii="Arial" w:hAnsi="Arial"/>
                <w:sz w:val="20"/>
              </w:rPr>
              <w:t xml:space="preserve"> </w:t>
            </w:r>
            <w:r w:rsidR="00620C3D" w:rsidRPr="00620C3D">
              <w:rPr>
                <w:rFonts w:ascii="Arial" w:hAnsi="Arial"/>
                <w:sz w:val="20"/>
              </w:rPr>
              <w:t>, ITFs, and RFAs</w:t>
            </w:r>
          </w:p>
          <w:p w:rsidR="00AE653A" w:rsidRPr="00C820D0" w:rsidRDefault="00AE653A" w:rsidP="00F063AF">
            <w:pPr>
              <w:pStyle w:val="ListParagraph"/>
              <w:numPr>
                <w:ilvl w:val="0"/>
                <w:numId w:val="212"/>
              </w:numPr>
              <w:spacing w:after="120" w:line="240" w:lineRule="auto"/>
              <w:ind w:left="1050"/>
              <w:rPr>
                <w:rFonts w:ascii="Arial" w:hAnsi="Arial"/>
                <w:i/>
                <w:color w:val="00B050"/>
                <w:sz w:val="20"/>
                <w:szCs w:val="20"/>
              </w:rPr>
            </w:pPr>
            <w:r w:rsidRPr="00C820D0">
              <w:rPr>
                <w:rFonts w:ascii="Arial" w:hAnsi="Arial"/>
                <w:i/>
                <w:color w:val="00B050"/>
                <w:sz w:val="20"/>
                <w:szCs w:val="20"/>
              </w:rPr>
              <w:t>My Notes:</w:t>
            </w:r>
          </w:p>
          <w:p w:rsidR="00AE653A" w:rsidRPr="00732841" w:rsidRDefault="00AE653A" w:rsidP="00F063AF">
            <w:pPr>
              <w:pStyle w:val="ListParagraph"/>
              <w:numPr>
                <w:ilvl w:val="0"/>
                <w:numId w:val="225"/>
              </w:numPr>
              <w:spacing w:after="120" w:line="240" w:lineRule="auto"/>
              <w:ind w:left="1500"/>
              <w:rPr>
                <w:rFonts w:ascii="Arial" w:hAnsi="Arial"/>
                <w:sz w:val="20"/>
                <w:szCs w:val="20"/>
              </w:rPr>
            </w:pPr>
            <w:r w:rsidRPr="00732841">
              <w:rPr>
                <w:rFonts w:ascii="Arial" w:hAnsi="Arial"/>
                <w:b/>
                <w:i/>
                <w:sz w:val="20"/>
                <w:szCs w:val="20"/>
              </w:rPr>
              <w:t>Incomplete application</w:t>
            </w:r>
            <w:r w:rsidRPr="00732841">
              <w:rPr>
                <w:rFonts w:ascii="Arial" w:hAnsi="Arial"/>
                <w:sz w:val="20"/>
                <w:szCs w:val="20"/>
              </w:rPr>
              <w:t xml:space="preserve"> </w:t>
            </w:r>
            <w:r>
              <w:rPr>
                <w:rFonts w:ascii="Arial" w:hAnsi="Arial"/>
                <w:sz w:val="20"/>
                <w:szCs w:val="20"/>
              </w:rPr>
              <w:t xml:space="preserve">[can hold effective date] </w:t>
            </w:r>
            <w:r w:rsidRPr="00732841">
              <w:rPr>
                <w:rFonts w:ascii="Arial" w:hAnsi="Arial"/>
                <w:sz w:val="20"/>
                <w:szCs w:val="20"/>
              </w:rPr>
              <w:t>– on prescribed form, but not signed (eff</w:t>
            </w:r>
            <w:r>
              <w:rPr>
                <w:rFonts w:ascii="Arial" w:hAnsi="Arial"/>
                <w:sz w:val="20"/>
                <w:szCs w:val="20"/>
              </w:rPr>
              <w:t>ective</w:t>
            </w:r>
            <w:r w:rsidRPr="00732841">
              <w:rPr>
                <w:rFonts w:ascii="Arial" w:hAnsi="Arial"/>
                <w:sz w:val="20"/>
                <w:szCs w:val="20"/>
              </w:rPr>
              <w:t xml:space="preserve"> date can be preserved if</w:t>
            </w:r>
            <w:r>
              <w:rPr>
                <w:rFonts w:ascii="Arial" w:hAnsi="Arial"/>
                <w:sz w:val="20"/>
                <w:szCs w:val="20"/>
              </w:rPr>
              <w:t xml:space="preserve"> completed application rec’d w/i</w:t>
            </w:r>
            <w:r w:rsidRPr="00732841">
              <w:rPr>
                <w:rFonts w:ascii="Arial" w:hAnsi="Arial"/>
                <w:sz w:val="20"/>
                <w:szCs w:val="20"/>
              </w:rPr>
              <w:t xml:space="preserve"> one year</w:t>
            </w:r>
            <w:r w:rsidRPr="00524555">
              <w:rPr>
                <w:rFonts w:ascii="Arial" w:hAnsi="Arial"/>
                <w:sz w:val="20"/>
                <w:szCs w:val="20"/>
              </w:rPr>
              <w:t xml:space="preserve">); veteran does not </w:t>
            </w:r>
            <w:r>
              <w:rPr>
                <w:rFonts w:ascii="Arial" w:hAnsi="Arial"/>
                <w:sz w:val="20"/>
                <w:szCs w:val="20"/>
              </w:rPr>
              <w:t>identify disability</w:t>
            </w:r>
            <w:r w:rsidRPr="00A17F00">
              <w:rPr>
                <w:rFonts w:ascii="Arial" w:hAnsi="Arial"/>
                <w:sz w:val="20"/>
                <w:szCs w:val="20"/>
              </w:rPr>
              <w:t xml:space="preserve">; </w:t>
            </w:r>
            <w:r w:rsidRPr="00A17F00">
              <w:rPr>
                <w:rFonts w:ascii="Arial" w:hAnsi="Arial"/>
                <w:b/>
                <w:sz w:val="20"/>
                <w:szCs w:val="20"/>
              </w:rPr>
              <w:t>Ref:</w:t>
            </w:r>
            <w:r w:rsidRPr="00A17F00">
              <w:rPr>
                <w:rFonts w:ascii="Arial" w:hAnsi="Arial"/>
                <w:sz w:val="20"/>
                <w:szCs w:val="20"/>
              </w:rPr>
              <w:t xml:space="preserve">  </w:t>
            </w:r>
            <w:r w:rsidRPr="00ED5C7F">
              <w:rPr>
                <w:rFonts w:ascii="Arial" w:hAnsi="Arial"/>
                <w:b/>
                <w:sz w:val="20"/>
                <w:szCs w:val="20"/>
              </w:rPr>
              <w:t>I.1.B.1.b, I.1.B.1.e</w:t>
            </w:r>
            <w:r>
              <w:rPr>
                <w:rFonts w:ascii="Arial" w:hAnsi="Arial"/>
                <w:b/>
                <w:sz w:val="20"/>
                <w:szCs w:val="20"/>
              </w:rPr>
              <w:t>, I.1.B.1.g, III.ii.2.B.3</w:t>
            </w:r>
          </w:p>
          <w:p w:rsidR="00AE653A" w:rsidRPr="00AE653A" w:rsidRDefault="00AE653A" w:rsidP="00F063AF">
            <w:pPr>
              <w:pStyle w:val="ListParagraph"/>
              <w:numPr>
                <w:ilvl w:val="0"/>
                <w:numId w:val="225"/>
              </w:numPr>
              <w:spacing w:after="120" w:line="240" w:lineRule="auto"/>
              <w:ind w:left="1500"/>
              <w:rPr>
                <w:rFonts w:ascii="Arial" w:hAnsi="Arial"/>
                <w:sz w:val="20"/>
                <w:szCs w:val="20"/>
              </w:rPr>
            </w:pPr>
            <w:r w:rsidRPr="00732841">
              <w:rPr>
                <w:rFonts w:ascii="Arial" w:hAnsi="Arial"/>
                <w:b/>
                <w:i/>
                <w:sz w:val="20"/>
                <w:szCs w:val="20"/>
              </w:rPr>
              <w:t xml:space="preserve">Request for </w:t>
            </w:r>
            <w:r>
              <w:rPr>
                <w:rFonts w:ascii="Arial" w:hAnsi="Arial"/>
                <w:b/>
                <w:i/>
                <w:sz w:val="20"/>
                <w:szCs w:val="20"/>
              </w:rPr>
              <w:t>A</w:t>
            </w:r>
            <w:r w:rsidRPr="00732841">
              <w:rPr>
                <w:rFonts w:ascii="Arial" w:hAnsi="Arial"/>
                <w:b/>
                <w:i/>
                <w:sz w:val="20"/>
                <w:szCs w:val="20"/>
              </w:rPr>
              <w:t>pplication</w:t>
            </w:r>
            <w:r>
              <w:rPr>
                <w:rFonts w:ascii="Arial" w:hAnsi="Arial"/>
                <w:b/>
                <w:i/>
                <w:sz w:val="20"/>
                <w:szCs w:val="20"/>
              </w:rPr>
              <w:t xml:space="preserve"> (RFA)</w:t>
            </w:r>
            <w:r w:rsidRPr="00732841">
              <w:rPr>
                <w:rFonts w:ascii="Arial" w:hAnsi="Arial"/>
                <w:sz w:val="20"/>
                <w:szCs w:val="20"/>
              </w:rPr>
              <w:t xml:space="preserve"> [</w:t>
            </w:r>
            <w:r w:rsidRPr="00560A42">
              <w:rPr>
                <w:rFonts w:ascii="Arial" w:hAnsi="Arial"/>
                <w:sz w:val="20"/>
                <w:szCs w:val="20"/>
                <w:u w:val="single"/>
              </w:rPr>
              <w:t>cannot</w:t>
            </w:r>
            <w:r w:rsidRPr="00732841">
              <w:rPr>
                <w:rFonts w:ascii="Arial" w:hAnsi="Arial"/>
                <w:sz w:val="20"/>
                <w:szCs w:val="20"/>
              </w:rPr>
              <w:t xml:space="preserve"> hold an effective date] –</w:t>
            </w:r>
            <w:r>
              <w:rPr>
                <w:rFonts w:ascii="Arial" w:hAnsi="Arial"/>
                <w:sz w:val="20"/>
                <w:szCs w:val="20"/>
              </w:rPr>
              <w:t xml:space="preserve"> submission of a DBQ; any other </w:t>
            </w:r>
            <w:r w:rsidRPr="00732841">
              <w:rPr>
                <w:rFonts w:ascii="Arial" w:hAnsi="Arial"/>
                <w:sz w:val="20"/>
                <w:szCs w:val="20"/>
              </w:rPr>
              <w:t>correspondence requesting a benefit but not on a prescribed form; contentions added at VAE</w:t>
            </w:r>
            <w:r>
              <w:rPr>
                <w:rFonts w:ascii="Arial" w:hAnsi="Arial"/>
                <w:sz w:val="20"/>
                <w:szCs w:val="20"/>
              </w:rPr>
              <w:t xml:space="preserve">; 4138; NSC conditions listed on an 8940, what we previously called an informal FDC </w:t>
            </w:r>
            <w:r>
              <w:rPr>
                <w:rFonts w:ascii="Arial" w:hAnsi="Arial"/>
                <w:i/>
                <w:sz w:val="20"/>
                <w:szCs w:val="20"/>
              </w:rPr>
              <w:t>(</w:t>
            </w:r>
            <w:r w:rsidRPr="00432CA0">
              <w:rPr>
                <w:rFonts w:ascii="Arial" w:hAnsi="Arial"/>
                <w:b/>
                <w:i/>
                <w:sz w:val="20"/>
                <w:szCs w:val="20"/>
              </w:rPr>
              <w:t>III.i.3.A.2.j</w:t>
            </w:r>
            <w:r w:rsidRPr="00432CA0">
              <w:rPr>
                <w:rFonts w:ascii="Arial" w:hAnsi="Arial"/>
                <w:i/>
                <w:sz w:val="20"/>
                <w:szCs w:val="20"/>
              </w:rPr>
              <w:t xml:space="preserve"> says should be “incomplete FDC” instead</w:t>
            </w:r>
            <w:r>
              <w:rPr>
                <w:rFonts w:ascii="Arial" w:hAnsi="Arial"/>
                <w:i/>
                <w:sz w:val="20"/>
                <w:szCs w:val="20"/>
              </w:rPr>
              <w:t xml:space="preserve"> of “informal FDC”</w:t>
            </w:r>
            <w:r w:rsidRPr="00432CA0">
              <w:rPr>
                <w:rFonts w:ascii="Arial" w:hAnsi="Arial"/>
                <w:i/>
                <w:sz w:val="20"/>
                <w:szCs w:val="20"/>
              </w:rPr>
              <w:t>)</w:t>
            </w:r>
            <w:r>
              <w:rPr>
                <w:rFonts w:ascii="Arial" w:hAnsi="Arial"/>
                <w:sz w:val="20"/>
                <w:szCs w:val="20"/>
              </w:rPr>
              <w:t xml:space="preserve">; </w:t>
            </w:r>
            <w:r w:rsidRPr="00934440">
              <w:rPr>
                <w:rFonts w:ascii="Arial" w:hAnsi="Arial"/>
                <w:b/>
                <w:sz w:val="20"/>
                <w:szCs w:val="20"/>
              </w:rPr>
              <w:t>only on or after</w:t>
            </w:r>
            <w:r w:rsidRPr="00983E21">
              <w:rPr>
                <w:rFonts w:ascii="Arial" w:hAnsi="Arial"/>
                <w:sz w:val="20"/>
                <w:szCs w:val="20"/>
              </w:rPr>
              <w:t xml:space="preserve"> </w:t>
            </w:r>
            <w:r w:rsidRPr="00560A42">
              <w:rPr>
                <w:rFonts w:ascii="Arial" w:hAnsi="Arial"/>
                <w:b/>
                <w:sz w:val="20"/>
                <w:szCs w:val="20"/>
                <w:highlight w:val="cyan"/>
              </w:rPr>
              <w:t>3/24/15</w:t>
            </w:r>
            <w:r w:rsidRPr="00C332C2">
              <w:rPr>
                <w:rFonts w:ascii="Arial" w:hAnsi="Arial"/>
                <w:sz w:val="20"/>
                <w:szCs w:val="20"/>
              </w:rPr>
              <w:t>;</w:t>
            </w:r>
            <w:r>
              <w:rPr>
                <w:rFonts w:ascii="Arial" w:hAnsi="Arial"/>
                <w:b/>
                <w:sz w:val="20"/>
                <w:szCs w:val="20"/>
              </w:rPr>
              <w:t xml:space="preserve"> Ref:</w:t>
            </w:r>
            <w:r>
              <w:rPr>
                <w:rFonts w:ascii="Arial" w:hAnsi="Arial"/>
                <w:sz w:val="20"/>
                <w:szCs w:val="20"/>
              </w:rPr>
              <w:t xml:space="preserve">  </w:t>
            </w:r>
            <w:r w:rsidRPr="004A20C3">
              <w:rPr>
                <w:rFonts w:ascii="Arial" w:hAnsi="Arial"/>
                <w:b/>
                <w:sz w:val="20"/>
                <w:szCs w:val="20"/>
              </w:rPr>
              <w:t>I.1.B.1.i</w:t>
            </w:r>
            <w:r>
              <w:rPr>
                <w:rFonts w:ascii="Arial" w:hAnsi="Arial"/>
                <w:b/>
                <w:sz w:val="20"/>
                <w:szCs w:val="20"/>
              </w:rPr>
              <w:t>, III.ii.2.B.1.e, III.ii.2.B.3.g, III.ii.2.C.3, III.ii.2.d.2.b</w:t>
            </w:r>
          </w:p>
          <w:p w:rsidR="00AE653A" w:rsidRPr="00983E21" w:rsidRDefault="00AE653A" w:rsidP="00F063AF">
            <w:pPr>
              <w:pStyle w:val="ListParagraph"/>
              <w:numPr>
                <w:ilvl w:val="0"/>
                <w:numId w:val="225"/>
              </w:numPr>
              <w:spacing w:after="120" w:line="240" w:lineRule="auto"/>
              <w:ind w:left="1500"/>
              <w:rPr>
                <w:rFonts w:ascii="Arial" w:hAnsi="Arial"/>
                <w:sz w:val="20"/>
                <w:szCs w:val="20"/>
              </w:rPr>
            </w:pPr>
            <w:r w:rsidRPr="00732841">
              <w:rPr>
                <w:rFonts w:ascii="Arial" w:hAnsi="Arial"/>
                <w:b/>
                <w:i/>
                <w:sz w:val="20"/>
                <w:szCs w:val="20"/>
              </w:rPr>
              <w:t>Informal claim</w:t>
            </w:r>
            <w:r w:rsidRPr="00732841">
              <w:rPr>
                <w:rFonts w:ascii="Arial" w:hAnsi="Arial"/>
                <w:sz w:val="20"/>
                <w:szCs w:val="20"/>
              </w:rPr>
              <w:t xml:space="preserve"> –</w:t>
            </w:r>
            <w:r>
              <w:rPr>
                <w:rFonts w:ascii="Arial" w:hAnsi="Arial"/>
                <w:b/>
                <w:sz w:val="20"/>
                <w:szCs w:val="20"/>
              </w:rPr>
              <w:t xml:space="preserve"> only before </w:t>
            </w:r>
            <w:r w:rsidRPr="003C3882">
              <w:rPr>
                <w:rFonts w:ascii="Arial" w:hAnsi="Arial"/>
                <w:b/>
                <w:sz w:val="20"/>
                <w:szCs w:val="20"/>
                <w:highlight w:val="cyan"/>
              </w:rPr>
              <w:t>3/24/15</w:t>
            </w:r>
            <w:r w:rsidRPr="00C332C2">
              <w:rPr>
                <w:rFonts w:ascii="Arial" w:hAnsi="Arial"/>
                <w:sz w:val="20"/>
                <w:szCs w:val="20"/>
              </w:rPr>
              <w:t>;</w:t>
            </w:r>
            <w:r>
              <w:rPr>
                <w:rFonts w:ascii="Arial" w:hAnsi="Arial"/>
                <w:b/>
                <w:sz w:val="20"/>
                <w:szCs w:val="20"/>
              </w:rPr>
              <w:t xml:space="preserve"> Ref:</w:t>
            </w:r>
            <w:r>
              <w:rPr>
                <w:rFonts w:ascii="Arial" w:hAnsi="Arial"/>
                <w:sz w:val="20"/>
                <w:szCs w:val="20"/>
              </w:rPr>
              <w:t xml:space="preserve">  </w:t>
            </w:r>
            <w:r>
              <w:rPr>
                <w:rFonts w:ascii="Arial" w:hAnsi="Arial"/>
                <w:b/>
                <w:sz w:val="20"/>
                <w:szCs w:val="20"/>
              </w:rPr>
              <w:t>III.ii.2.C.1.h</w:t>
            </w:r>
          </w:p>
          <w:p w:rsidR="00AE653A" w:rsidRPr="00AE653A" w:rsidRDefault="00AE653A" w:rsidP="00F063AF">
            <w:pPr>
              <w:pStyle w:val="ListParagraph"/>
              <w:numPr>
                <w:ilvl w:val="0"/>
                <w:numId w:val="225"/>
              </w:numPr>
              <w:spacing w:after="120" w:line="240" w:lineRule="auto"/>
              <w:ind w:left="1500"/>
              <w:rPr>
                <w:rFonts w:ascii="Arial" w:hAnsi="Arial"/>
                <w:sz w:val="20"/>
                <w:szCs w:val="20"/>
              </w:rPr>
            </w:pPr>
            <w:r>
              <w:rPr>
                <w:rFonts w:ascii="Arial" w:hAnsi="Arial"/>
                <w:b/>
                <w:i/>
                <w:sz w:val="20"/>
                <w:szCs w:val="20"/>
              </w:rPr>
              <w:t xml:space="preserve">Intent to File (ITF) </w:t>
            </w:r>
            <w:r w:rsidRPr="00405429">
              <w:rPr>
                <w:rFonts w:ascii="Arial" w:hAnsi="Arial"/>
                <w:sz w:val="20"/>
                <w:szCs w:val="20"/>
              </w:rPr>
              <w:t>[can hold effective date]</w:t>
            </w:r>
            <w:r>
              <w:rPr>
                <w:rFonts w:ascii="Arial" w:hAnsi="Arial"/>
                <w:b/>
                <w:i/>
                <w:sz w:val="20"/>
                <w:szCs w:val="20"/>
              </w:rPr>
              <w:t xml:space="preserve"> </w:t>
            </w:r>
            <w:r w:rsidRPr="00732841">
              <w:rPr>
                <w:rFonts w:ascii="Arial" w:hAnsi="Arial"/>
                <w:sz w:val="20"/>
                <w:szCs w:val="20"/>
              </w:rPr>
              <w:t>–</w:t>
            </w:r>
            <w:r>
              <w:rPr>
                <w:rFonts w:ascii="Arial" w:hAnsi="Arial"/>
                <w:b/>
                <w:sz w:val="20"/>
                <w:szCs w:val="20"/>
              </w:rPr>
              <w:t xml:space="preserve"> </w:t>
            </w:r>
            <w:r w:rsidRPr="00983E21">
              <w:rPr>
                <w:rFonts w:ascii="Arial" w:hAnsi="Arial"/>
                <w:sz w:val="20"/>
                <w:szCs w:val="20"/>
              </w:rPr>
              <w:t xml:space="preserve">has to be </w:t>
            </w:r>
            <w:r>
              <w:rPr>
                <w:rFonts w:ascii="Arial" w:hAnsi="Arial"/>
                <w:sz w:val="20"/>
                <w:szCs w:val="20"/>
              </w:rPr>
              <w:t xml:space="preserve">(1) </w:t>
            </w:r>
            <w:r w:rsidRPr="00983E21">
              <w:rPr>
                <w:rFonts w:ascii="Arial" w:hAnsi="Arial"/>
                <w:sz w:val="20"/>
                <w:szCs w:val="20"/>
              </w:rPr>
              <w:t>on 21-0966</w:t>
            </w:r>
            <w:r>
              <w:rPr>
                <w:rFonts w:ascii="Arial" w:hAnsi="Arial"/>
                <w:sz w:val="20"/>
                <w:szCs w:val="20"/>
              </w:rPr>
              <w:t xml:space="preserve"> , or (2) initiation of application online (nothing will be on file, but letter will be sent from Hines, see </w:t>
            </w:r>
            <w:r w:rsidR="003B3B87">
              <w:rPr>
                <w:rFonts w:ascii="Arial" w:hAnsi="Arial"/>
                <w:sz w:val="20"/>
                <w:szCs w:val="20"/>
              </w:rPr>
              <w:t xml:space="preserve">LCM (formerly </w:t>
            </w:r>
            <w:r>
              <w:rPr>
                <w:rFonts w:ascii="Arial" w:hAnsi="Arial"/>
                <w:sz w:val="20"/>
                <w:szCs w:val="20"/>
              </w:rPr>
              <w:t>VVA</w:t>
            </w:r>
            <w:r w:rsidR="003B3B87">
              <w:rPr>
                <w:rFonts w:ascii="Arial" w:hAnsi="Arial"/>
                <w:sz w:val="20"/>
                <w:szCs w:val="20"/>
              </w:rPr>
              <w:t>)</w:t>
            </w:r>
            <w:r>
              <w:rPr>
                <w:rFonts w:ascii="Arial" w:hAnsi="Arial"/>
                <w:sz w:val="20"/>
                <w:szCs w:val="20"/>
              </w:rPr>
              <w:t xml:space="preserve"> documents), or (3) </w:t>
            </w:r>
            <w:r w:rsidRPr="003C3463">
              <w:rPr>
                <w:rFonts w:ascii="Arial" w:hAnsi="Arial"/>
                <w:sz w:val="20"/>
                <w:szCs w:val="20"/>
              </w:rPr>
              <w:t xml:space="preserve">oral intent to file to VA personnel </w:t>
            </w:r>
            <w:r>
              <w:rPr>
                <w:rFonts w:ascii="Arial" w:hAnsi="Arial"/>
                <w:sz w:val="20"/>
                <w:szCs w:val="20"/>
              </w:rPr>
              <w:t>(</w:t>
            </w:r>
            <w:r w:rsidRPr="005365A3">
              <w:rPr>
                <w:rFonts w:ascii="Arial" w:hAnsi="Arial"/>
                <w:sz w:val="20"/>
                <w:szCs w:val="20"/>
              </w:rPr>
              <w:t>need authorization from veteran to enter ITF,</w:t>
            </w:r>
            <w:r>
              <w:rPr>
                <w:rFonts w:ascii="Arial" w:hAnsi="Arial"/>
                <w:sz w:val="20"/>
                <w:szCs w:val="20"/>
              </w:rPr>
              <w:t xml:space="preserve"> per</w:t>
            </w:r>
            <w:r w:rsidRPr="005365A3">
              <w:rPr>
                <w:rFonts w:ascii="Arial" w:hAnsi="Arial"/>
                <w:sz w:val="20"/>
                <w:szCs w:val="20"/>
              </w:rPr>
              <w:t xml:space="preserve"> </w:t>
            </w:r>
            <w:r w:rsidRPr="005365A3">
              <w:rPr>
                <w:rFonts w:ascii="Arial" w:hAnsi="Arial"/>
                <w:b/>
                <w:sz w:val="20"/>
                <w:szCs w:val="20"/>
              </w:rPr>
              <w:t>III.ii.2.C.2.</w:t>
            </w:r>
            <w:r>
              <w:rPr>
                <w:rFonts w:ascii="Arial" w:hAnsi="Arial"/>
                <w:b/>
                <w:sz w:val="20"/>
                <w:szCs w:val="20"/>
              </w:rPr>
              <w:t>b</w:t>
            </w:r>
            <w:r w:rsidRPr="005365A3">
              <w:rPr>
                <w:rFonts w:ascii="Arial" w:hAnsi="Arial"/>
                <w:sz w:val="20"/>
                <w:szCs w:val="20"/>
              </w:rPr>
              <w:t>),</w:t>
            </w:r>
            <w:r>
              <w:rPr>
                <w:rFonts w:ascii="Arial" w:hAnsi="Arial"/>
                <w:sz w:val="20"/>
                <w:szCs w:val="20"/>
              </w:rPr>
              <w:t xml:space="preserve"> </w:t>
            </w:r>
            <w:r w:rsidRPr="00934440">
              <w:rPr>
                <w:rFonts w:ascii="Arial" w:hAnsi="Arial"/>
                <w:b/>
                <w:sz w:val="20"/>
                <w:szCs w:val="20"/>
              </w:rPr>
              <w:t>only on or after</w:t>
            </w:r>
            <w:r w:rsidRPr="00983E21">
              <w:rPr>
                <w:rFonts w:ascii="Arial" w:hAnsi="Arial"/>
                <w:sz w:val="20"/>
                <w:szCs w:val="20"/>
              </w:rPr>
              <w:t xml:space="preserve"> </w:t>
            </w:r>
            <w:r w:rsidRPr="00560A42">
              <w:rPr>
                <w:rFonts w:ascii="Arial" w:hAnsi="Arial"/>
                <w:b/>
                <w:sz w:val="20"/>
                <w:szCs w:val="20"/>
                <w:highlight w:val="cyan"/>
              </w:rPr>
              <w:t>3/24/15</w:t>
            </w:r>
            <w:r w:rsidRPr="00983E21">
              <w:rPr>
                <w:rFonts w:ascii="Arial" w:hAnsi="Arial"/>
                <w:sz w:val="20"/>
                <w:szCs w:val="20"/>
              </w:rPr>
              <w:t xml:space="preserve"> (if before, review to see if informal claim); has to identify benefit sought</w:t>
            </w:r>
            <w:r>
              <w:rPr>
                <w:rFonts w:ascii="Arial" w:hAnsi="Arial"/>
                <w:sz w:val="20"/>
                <w:szCs w:val="20"/>
              </w:rPr>
              <w:t xml:space="preserve"> (compensation or pension)</w:t>
            </w:r>
            <w:r w:rsidRPr="00983E21">
              <w:rPr>
                <w:rFonts w:ascii="Arial" w:hAnsi="Arial"/>
                <w:sz w:val="20"/>
                <w:szCs w:val="20"/>
              </w:rPr>
              <w:t>, identify claimant</w:t>
            </w:r>
            <w:r>
              <w:rPr>
                <w:rFonts w:ascii="Arial" w:hAnsi="Arial"/>
                <w:sz w:val="20"/>
                <w:szCs w:val="20"/>
              </w:rPr>
              <w:t xml:space="preserve"> &amp; be signed by claimant or rep; if incomplete, then made complete, can use date; </w:t>
            </w:r>
            <w:r>
              <w:rPr>
                <w:rFonts w:ascii="Arial" w:hAnsi="Arial"/>
                <w:b/>
                <w:sz w:val="20"/>
                <w:szCs w:val="20"/>
              </w:rPr>
              <w:t>Ref</w:t>
            </w:r>
            <w:r w:rsidRPr="00A17F00">
              <w:rPr>
                <w:rFonts w:ascii="Arial" w:hAnsi="Arial"/>
                <w:b/>
                <w:sz w:val="20"/>
                <w:szCs w:val="20"/>
              </w:rPr>
              <w:t>:</w:t>
            </w:r>
            <w:r w:rsidRPr="00A17F00">
              <w:rPr>
                <w:rFonts w:ascii="Arial" w:hAnsi="Arial"/>
                <w:sz w:val="20"/>
                <w:szCs w:val="20"/>
              </w:rPr>
              <w:t xml:space="preserve">  </w:t>
            </w:r>
            <w:r w:rsidRPr="00A17F00">
              <w:rPr>
                <w:rFonts w:ascii="Arial" w:hAnsi="Arial"/>
                <w:b/>
                <w:sz w:val="20"/>
                <w:szCs w:val="20"/>
              </w:rPr>
              <w:t>III.ii.2.C.2</w:t>
            </w:r>
          </w:p>
          <w:p w:rsidR="00AE653A" w:rsidRPr="00AE653A" w:rsidRDefault="00AE653A" w:rsidP="00AE653A">
            <w:pPr>
              <w:spacing w:after="120"/>
              <w:ind w:left="690"/>
              <w:rPr>
                <w:b/>
              </w:rPr>
            </w:pPr>
            <w:r>
              <w:rPr>
                <w:b/>
              </w:rPr>
              <w:t>More ITF</w:t>
            </w:r>
            <w:r w:rsidRPr="00AE653A">
              <w:rPr>
                <w:b/>
              </w:rPr>
              <w:t xml:space="preserve"> Notes:</w:t>
            </w:r>
          </w:p>
          <w:p w:rsidR="00AE653A" w:rsidRDefault="00AE653A" w:rsidP="00AE653A">
            <w:pPr>
              <w:pBdr>
                <w:top w:val="single" w:sz="4" w:space="1" w:color="auto"/>
                <w:left w:val="single" w:sz="4" w:space="4" w:color="auto"/>
                <w:bottom w:val="single" w:sz="4" w:space="1" w:color="auto"/>
                <w:right w:val="single" w:sz="4" w:space="4" w:color="auto"/>
              </w:pBdr>
              <w:ind w:left="690" w:right="504"/>
              <w:rPr>
                <w:rStyle w:val="Hyperlink"/>
                <w:color w:val="auto"/>
                <w:u w:val="none"/>
              </w:rPr>
            </w:pPr>
            <w:r>
              <w:rPr>
                <w:rStyle w:val="Hyperlink"/>
                <w:color w:val="auto"/>
                <w:u w:val="none"/>
              </w:rPr>
              <w:t>CM = Centralized Mail (paper process)</w:t>
            </w:r>
          </w:p>
          <w:p w:rsidR="00AE653A" w:rsidRDefault="00AE653A" w:rsidP="00AE653A">
            <w:pPr>
              <w:pBdr>
                <w:top w:val="single" w:sz="4" w:space="1" w:color="auto"/>
                <w:left w:val="single" w:sz="4" w:space="4" w:color="auto"/>
                <w:bottom w:val="single" w:sz="4" w:space="1" w:color="auto"/>
                <w:right w:val="single" w:sz="4" w:space="4" w:color="auto"/>
              </w:pBdr>
              <w:ind w:left="690" w:right="504"/>
              <w:rPr>
                <w:rStyle w:val="Hyperlink"/>
                <w:color w:val="auto"/>
                <w:u w:val="none"/>
              </w:rPr>
            </w:pPr>
            <w:r>
              <w:rPr>
                <w:rStyle w:val="Hyperlink"/>
                <w:color w:val="auto"/>
                <w:u w:val="none"/>
              </w:rPr>
              <w:t xml:space="preserve">EBN = Electronic Benefits Network (eBenefits, SEP or Digits to Digits (D2D)), </w:t>
            </w:r>
            <w:r w:rsidRPr="00BF4567">
              <w:rPr>
                <w:rStyle w:val="Hyperlink"/>
                <w:b/>
                <w:color w:val="auto"/>
                <w:u w:val="none"/>
              </w:rPr>
              <w:t>I.1.B.1.b</w:t>
            </w:r>
            <w:r>
              <w:rPr>
                <w:rStyle w:val="Hyperlink"/>
                <w:color w:val="auto"/>
                <w:u w:val="none"/>
              </w:rPr>
              <w:t xml:space="preserve"> says digital signatures are only allowed from these 3 programs</w:t>
            </w:r>
          </w:p>
          <w:p w:rsidR="00AE653A" w:rsidRDefault="00AE653A" w:rsidP="00AE653A">
            <w:pPr>
              <w:pBdr>
                <w:top w:val="single" w:sz="4" w:space="1" w:color="auto"/>
                <w:left w:val="single" w:sz="4" w:space="4" w:color="auto"/>
                <w:bottom w:val="single" w:sz="4" w:space="1" w:color="auto"/>
                <w:right w:val="single" w:sz="4" w:space="4" w:color="auto"/>
              </w:pBdr>
              <w:ind w:left="690" w:right="504"/>
              <w:rPr>
                <w:rStyle w:val="Hyperlink"/>
                <w:color w:val="auto"/>
                <w:u w:val="none"/>
              </w:rPr>
            </w:pPr>
            <w:r w:rsidRPr="009807C5">
              <w:rPr>
                <w:rStyle w:val="Hyperlink"/>
                <w:color w:val="auto"/>
                <w:u w:val="none"/>
              </w:rPr>
              <w:lastRenderedPageBreak/>
              <w:t>CRM</w:t>
            </w:r>
            <w:r>
              <w:rPr>
                <w:rStyle w:val="Hyperlink"/>
                <w:color w:val="auto"/>
                <w:u w:val="none"/>
              </w:rPr>
              <w:t xml:space="preserve"> [from National Call Center (NCC)] = Customer Relationship Management</w:t>
            </w:r>
          </w:p>
          <w:p w:rsidR="00AE653A" w:rsidRDefault="00AE653A" w:rsidP="00AE653A">
            <w:pPr>
              <w:outlineLvl w:val="0"/>
              <w:rPr>
                <w:rStyle w:val="Hyperlink"/>
                <w:i/>
              </w:rPr>
            </w:pPr>
          </w:p>
          <w:p w:rsidR="007A25DA" w:rsidRPr="007A25DA" w:rsidRDefault="007A25DA" w:rsidP="00F063AF">
            <w:pPr>
              <w:widowControl w:val="0"/>
              <w:numPr>
                <w:ilvl w:val="0"/>
                <w:numId w:val="185"/>
              </w:numPr>
              <w:spacing w:after="120"/>
              <w:ind w:left="1050" w:right="240"/>
              <w:outlineLvl w:val="0"/>
              <w:rPr>
                <w:i/>
              </w:rPr>
            </w:pPr>
            <w:bookmarkStart w:id="4" w:name="_Hlk517356369"/>
            <w:r>
              <w:rPr>
                <w:b/>
              </w:rPr>
              <w:t>III.ii.2.C.2.h</w:t>
            </w:r>
            <w:r>
              <w:t xml:space="preserve"> </w:t>
            </w:r>
            <w:bookmarkEnd w:id="4"/>
            <w:r>
              <w:t>– can apply an active ITF to more than one claim (i.e. one in mail &amp; one online) received on the same day</w:t>
            </w:r>
          </w:p>
          <w:p w:rsidR="007A25DA" w:rsidRPr="007A25DA" w:rsidRDefault="007A25DA" w:rsidP="00F063AF">
            <w:pPr>
              <w:widowControl w:val="0"/>
              <w:numPr>
                <w:ilvl w:val="0"/>
                <w:numId w:val="185"/>
              </w:numPr>
              <w:spacing w:after="120"/>
              <w:ind w:left="1050" w:right="240"/>
              <w:outlineLvl w:val="0"/>
              <w:rPr>
                <w:i/>
              </w:rPr>
            </w:pPr>
            <w:r>
              <w:rPr>
                <w:b/>
              </w:rPr>
              <w:t>III.ii.2.C.2.j</w:t>
            </w:r>
            <w:r>
              <w:t xml:space="preserve"> – ITF linked to claim</w:t>
            </w:r>
            <w:r w:rsidR="00696275">
              <w:t>, so if claim is withdrawn, ITF cannot be applied to any other claim</w:t>
            </w:r>
          </w:p>
          <w:p w:rsidR="00AE653A" w:rsidRPr="00186E35" w:rsidRDefault="00AE653A" w:rsidP="00F063AF">
            <w:pPr>
              <w:widowControl w:val="0"/>
              <w:numPr>
                <w:ilvl w:val="0"/>
                <w:numId w:val="185"/>
              </w:numPr>
              <w:spacing w:after="120"/>
              <w:ind w:left="1050" w:right="240"/>
              <w:outlineLvl w:val="0"/>
              <w:rPr>
                <w:i/>
              </w:rPr>
            </w:pPr>
            <w:r w:rsidRPr="009B470D">
              <w:rPr>
                <w:b/>
                <w:bCs/>
                <w:color w:val="000000"/>
              </w:rPr>
              <w:t>III.ii.2.C.2.</w:t>
            </w:r>
            <w:r>
              <w:rPr>
                <w:b/>
                <w:bCs/>
                <w:color w:val="000000"/>
              </w:rPr>
              <w:t>l</w:t>
            </w:r>
            <w:r w:rsidR="007A25DA">
              <w:rPr>
                <w:bCs/>
                <w:color w:val="000000"/>
              </w:rPr>
              <w:t xml:space="preserve"> - </w:t>
            </w:r>
            <w:r w:rsidRPr="009B470D">
              <w:rPr>
                <w:bCs/>
                <w:color w:val="000000"/>
              </w:rPr>
              <w:t xml:space="preserve">ITFs </w:t>
            </w:r>
            <w:r>
              <w:rPr>
                <w:bCs/>
                <w:color w:val="000000"/>
              </w:rPr>
              <w:t xml:space="preserve">only </w:t>
            </w:r>
            <w:r w:rsidRPr="009B470D">
              <w:rPr>
                <w:bCs/>
                <w:color w:val="000000"/>
              </w:rPr>
              <w:t>apply to compensation, pension, Survivors Pension &amp; DIC (not to dependency, ancillary benefits, reconsiderations, duplicate claims, claims for CUE)</w:t>
            </w:r>
            <w:r>
              <w:rPr>
                <w:bCs/>
                <w:color w:val="000000"/>
              </w:rPr>
              <w:t xml:space="preserve">, </w:t>
            </w:r>
            <w:r>
              <w:rPr>
                <w:b/>
                <w:bCs/>
                <w:color w:val="000000"/>
              </w:rPr>
              <w:t>III.ii.2.C.5.a</w:t>
            </w:r>
            <w:r>
              <w:rPr>
                <w:bCs/>
                <w:color w:val="000000"/>
              </w:rPr>
              <w:t xml:space="preserve"> says need to fix ITF if it as associated with reconsideration (also applies to claim for ancillary benefits, duplicate claims, claims for CUE)</w:t>
            </w:r>
          </w:p>
          <w:p w:rsidR="00AE653A" w:rsidRPr="00D55388" w:rsidRDefault="00AE653A" w:rsidP="003C1E6D">
            <w:pPr>
              <w:widowControl w:val="0"/>
              <w:pBdr>
                <w:top w:val="single" w:sz="4" w:space="1" w:color="auto"/>
                <w:left w:val="single" w:sz="4" w:space="4" w:color="auto"/>
                <w:bottom w:val="single" w:sz="4" w:space="1" w:color="auto"/>
                <w:right w:val="single" w:sz="4" w:space="4" w:color="auto"/>
              </w:pBdr>
              <w:spacing w:after="120"/>
              <w:ind w:left="690" w:right="510"/>
              <w:rPr>
                <w:rStyle w:val="id-mask"/>
                <w:i/>
              </w:rPr>
            </w:pPr>
            <w:r>
              <w:rPr>
                <w:rStyle w:val="id-mask"/>
                <w:i/>
              </w:rPr>
              <w:t xml:space="preserve">Per </w:t>
            </w:r>
            <w:r w:rsidRPr="00A34300">
              <w:rPr>
                <w:rStyle w:val="id-mask"/>
                <w:b/>
                <w:i/>
              </w:rPr>
              <w:t>III.ii.2.C.</w:t>
            </w:r>
            <w:r>
              <w:rPr>
                <w:rStyle w:val="id-mask"/>
                <w:b/>
                <w:i/>
              </w:rPr>
              <w:t>5.d</w:t>
            </w:r>
            <w:r>
              <w:rPr>
                <w:rStyle w:val="id-mask"/>
                <w:i/>
              </w:rPr>
              <w:t xml:space="preserve">, use YourIT </w:t>
            </w:r>
            <w:r w:rsidRPr="00D55388">
              <w:rPr>
                <w:rStyle w:val="id-mask"/>
                <w:i/>
              </w:rPr>
              <w:t>to change ITF (</w:t>
            </w:r>
            <w:r>
              <w:rPr>
                <w:rStyle w:val="id-mask"/>
                <w:i/>
              </w:rPr>
              <w:t xml:space="preserve">i.e. </w:t>
            </w:r>
            <w:r w:rsidRPr="00D55388">
              <w:rPr>
                <w:rStyle w:val="id-mask"/>
                <w:i/>
              </w:rPr>
              <w:t>if ITF submitted while claim already pending, there is no new EP established, so ITF does not change from “</w:t>
            </w:r>
            <w:r>
              <w:rPr>
                <w:rStyle w:val="id-mask"/>
                <w:i/>
              </w:rPr>
              <w:t>A</w:t>
            </w:r>
            <w:r w:rsidRPr="00D55388">
              <w:rPr>
                <w:rStyle w:val="id-mask"/>
                <w:i/>
              </w:rPr>
              <w:t>ctive” to “</w:t>
            </w:r>
            <w:r>
              <w:rPr>
                <w:rStyle w:val="id-mask"/>
                <w:i/>
              </w:rPr>
              <w:t>C</w:t>
            </w:r>
            <w:r w:rsidRPr="00D55388">
              <w:rPr>
                <w:rStyle w:val="id-mask"/>
                <w:i/>
              </w:rPr>
              <w:t xml:space="preserve">laim </w:t>
            </w:r>
            <w:r>
              <w:rPr>
                <w:rStyle w:val="id-mask"/>
                <w:i/>
              </w:rPr>
              <w:t>R</w:t>
            </w:r>
            <w:r w:rsidRPr="00D55388">
              <w:rPr>
                <w:rStyle w:val="id-mask"/>
                <w:i/>
              </w:rPr>
              <w:t>eceived”</w:t>
            </w:r>
            <w:r>
              <w:rPr>
                <w:rStyle w:val="id-mask"/>
                <w:i/>
              </w:rPr>
              <w:t xml:space="preserve">; or if ITF associated with reconsideration, claim for ancillary benefits, duplicate claim, claim for CUE; or if affected by Time Zone issue per </w:t>
            </w:r>
            <w:r w:rsidRPr="004C2291">
              <w:rPr>
                <w:b/>
                <w:bCs/>
                <w:i/>
                <w:color w:val="000000"/>
              </w:rPr>
              <w:t>III.ii.2.C.</w:t>
            </w:r>
            <w:r>
              <w:rPr>
                <w:b/>
                <w:bCs/>
                <w:i/>
                <w:color w:val="000000"/>
              </w:rPr>
              <w:t>5</w:t>
            </w:r>
            <w:r w:rsidRPr="004C2291">
              <w:rPr>
                <w:b/>
                <w:bCs/>
                <w:i/>
                <w:color w:val="000000"/>
              </w:rPr>
              <w:t>.</w:t>
            </w:r>
            <w:r>
              <w:rPr>
                <w:b/>
                <w:bCs/>
                <w:i/>
                <w:color w:val="000000"/>
              </w:rPr>
              <w:t>h</w:t>
            </w:r>
            <w:r w:rsidRPr="00D55388">
              <w:rPr>
                <w:rStyle w:val="id-mask"/>
                <w:i/>
              </w:rPr>
              <w:t>):</w:t>
            </w:r>
          </w:p>
          <w:p w:rsidR="00AE653A" w:rsidRDefault="00AE653A" w:rsidP="003C1E6D">
            <w:pPr>
              <w:widowControl w:val="0"/>
              <w:pBdr>
                <w:top w:val="single" w:sz="4" w:space="1" w:color="auto"/>
                <w:left w:val="single" w:sz="4" w:space="4" w:color="auto"/>
                <w:bottom w:val="single" w:sz="4" w:space="1" w:color="auto"/>
                <w:right w:val="single" w:sz="4" w:space="4" w:color="auto"/>
              </w:pBdr>
              <w:tabs>
                <w:tab w:val="left" w:pos="690"/>
              </w:tabs>
              <w:spacing w:after="120"/>
              <w:ind w:left="690" w:right="420"/>
              <w:rPr>
                <w:rFonts w:asciiTheme="minorHAnsi" w:hAnsiTheme="minorHAnsi"/>
                <w:sz w:val="22"/>
                <w:szCs w:val="22"/>
              </w:rPr>
            </w:pPr>
            <w:r w:rsidRPr="00D55388">
              <w:rPr>
                <w:rFonts w:asciiTheme="minorHAnsi" w:hAnsiTheme="minorHAnsi"/>
                <w:sz w:val="22"/>
                <w:szCs w:val="22"/>
              </w:rPr>
              <w:t xml:space="preserve">VBMS shows an </w:t>
            </w:r>
            <w:r>
              <w:rPr>
                <w:rFonts w:asciiTheme="minorHAnsi" w:hAnsiTheme="minorHAnsi"/>
                <w:sz w:val="22"/>
                <w:szCs w:val="22"/>
              </w:rPr>
              <w:t>“A</w:t>
            </w:r>
            <w:r w:rsidRPr="00D55388">
              <w:rPr>
                <w:rFonts w:asciiTheme="minorHAnsi" w:hAnsiTheme="minorHAnsi"/>
                <w:sz w:val="22"/>
                <w:szCs w:val="22"/>
              </w:rPr>
              <w:t>ctive</w:t>
            </w:r>
            <w:r>
              <w:rPr>
                <w:rFonts w:asciiTheme="minorHAnsi" w:hAnsiTheme="minorHAnsi"/>
                <w:sz w:val="22"/>
                <w:szCs w:val="22"/>
              </w:rPr>
              <w:t>”</w:t>
            </w:r>
            <w:r w:rsidRPr="00D55388">
              <w:rPr>
                <w:rFonts w:asciiTheme="minorHAnsi" w:hAnsiTheme="minorHAnsi"/>
                <w:sz w:val="22"/>
                <w:szCs w:val="22"/>
              </w:rPr>
              <w:t xml:space="preserve"> Compensation Intent to File received </w:t>
            </w:r>
            <w:r>
              <w:rPr>
                <w:rFonts w:asciiTheme="minorHAnsi" w:hAnsiTheme="minorHAnsi"/>
                <w:sz w:val="22"/>
                <w:szCs w:val="22"/>
              </w:rPr>
              <w:t>{date}</w:t>
            </w:r>
            <w:r w:rsidRPr="00D55388">
              <w:rPr>
                <w:rFonts w:asciiTheme="minorHAnsi" w:hAnsiTheme="minorHAnsi"/>
                <w:sz w:val="22"/>
                <w:szCs w:val="22"/>
              </w:rPr>
              <w:t xml:space="preserve"> from "CRM</w:t>
            </w:r>
            <w:r>
              <w:rPr>
                <w:rFonts w:asciiTheme="minorHAnsi" w:hAnsiTheme="minorHAnsi"/>
                <w:sz w:val="22"/>
                <w:szCs w:val="22"/>
              </w:rPr>
              <w:t>.</w:t>
            </w:r>
            <w:r w:rsidRPr="00D55388">
              <w:rPr>
                <w:rFonts w:asciiTheme="minorHAnsi" w:hAnsiTheme="minorHAnsi"/>
                <w:sz w:val="22"/>
                <w:szCs w:val="22"/>
              </w:rPr>
              <w:t xml:space="preserve">" The </w:t>
            </w:r>
            <w:r>
              <w:rPr>
                <w:rFonts w:asciiTheme="minorHAnsi" w:hAnsiTheme="minorHAnsi"/>
                <w:sz w:val="22"/>
                <w:szCs w:val="22"/>
              </w:rPr>
              <w:t>{date}</w:t>
            </w:r>
            <w:r w:rsidRPr="00D55388">
              <w:rPr>
                <w:rFonts w:asciiTheme="minorHAnsi" w:hAnsiTheme="minorHAnsi"/>
                <w:sz w:val="22"/>
                <w:szCs w:val="22"/>
              </w:rPr>
              <w:t xml:space="preserve"> Compensation claim should h</w:t>
            </w:r>
            <w:r>
              <w:rPr>
                <w:rFonts w:asciiTheme="minorHAnsi" w:hAnsiTheme="minorHAnsi"/>
                <w:sz w:val="22"/>
                <w:szCs w:val="22"/>
              </w:rPr>
              <w:t>ave changed the ITF status to "Claim R</w:t>
            </w:r>
            <w:r w:rsidRPr="00D55388">
              <w:rPr>
                <w:rFonts w:asciiTheme="minorHAnsi" w:hAnsiTheme="minorHAnsi"/>
                <w:sz w:val="22"/>
                <w:szCs w:val="22"/>
              </w:rPr>
              <w:t>eceived</w:t>
            </w:r>
            <w:r>
              <w:rPr>
                <w:rFonts w:asciiTheme="minorHAnsi" w:hAnsiTheme="minorHAnsi"/>
                <w:sz w:val="22"/>
                <w:szCs w:val="22"/>
              </w:rPr>
              <w:t>,”</w:t>
            </w:r>
            <w:r w:rsidRPr="00D55388">
              <w:rPr>
                <w:rFonts w:asciiTheme="minorHAnsi" w:hAnsiTheme="minorHAnsi"/>
                <w:sz w:val="22"/>
                <w:szCs w:val="22"/>
              </w:rPr>
              <w:t xml:space="preserve"> but since </w:t>
            </w:r>
            <w:r>
              <w:rPr>
                <w:rFonts w:asciiTheme="minorHAnsi" w:hAnsiTheme="minorHAnsi"/>
                <w:sz w:val="22"/>
                <w:szCs w:val="22"/>
              </w:rPr>
              <w:t>an EP was already pending from {date}</w:t>
            </w:r>
            <w:r w:rsidRPr="00D55388">
              <w:rPr>
                <w:rFonts w:asciiTheme="minorHAnsi" w:hAnsiTheme="minorHAnsi"/>
                <w:sz w:val="22"/>
                <w:szCs w:val="22"/>
              </w:rPr>
              <w:t xml:space="preserve">, the ITF did not update. Please change the status of the ITF received </w:t>
            </w:r>
            <w:r>
              <w:rPr>
                <w:rFonts w:asciiTheme="minorHAnsi" w:hAnsiTheme="minorHAnsi"/>
                <w:sz w:val="22"/>
                <w:szCs w:val="22"/>
              </w:rPr>
              <w:t>{date}</w:t>
            </w:r>
            <w:r w:rsidRPr="00D55388">
              <w:rPr>
                <w:rFonts w:asciiTheme="minorHAnsi" w:hAnsiTheme="minorHAnsi"/>
                <w:sz w:val="22"/>
                <w:szCs w:val="22"/>
              </w:rPr>
              <w:t xml:space="preserve"> from "</w:t>
            </w:r>
            <w:r>
              <w:rPr>
                <w:rFonts w:asciiTheme="minorHAnsi" w:hAnsiTheme="minorHAnsi"/>
                <w:sz w:val="22"/>
                <w:szCs w:val="22"/>
              </w:rPr>
              <w:t>A</w:t>
            </w:r>
            <w:r w:rsidRPr="00D55388">
              <w:rPr>
                <w:rFonts w:asciiTheme="minorHAnsi" w:hAnsiTheme="minorHAnsi"/>
                <w:sz w:val="22"/>
                <w:szCs w:val="22"/>
              </w:rPr>
              <w:t>ctive" to "</w:t>
            </w:r>
            <w:r>
              <w:rPr>
                <w:rFonts w:asciiTheme="minorHAnsi" w:hAnsiTheme="minorHAnsi"/>
                <w:sz w:val="22"/>
                <w:szCs w:val="22"/>
              </w:rPr>
              <w:t>Claim R</w:t>
            </w:r>
            <w:r w:rsidRPr="00D55388">
              <w:rPr>
                <w:rFonts w:asciiTheme="minorHAnsi" w:hAnsiTheme="minorHAnsi"/>
                <w:sz w:val="22"/>
                <w:szCs w:val="22"/>
              </w:rPr>
              <w:t>eceived</w:t>
            </w:r>
            <w:r>
              <w:rPr>
                <w:rFonts w:asciiTheme="minorHAnsi" w:hAnsiTheme="minorHAnsi"/>
                <w:sz w:val="22"/>
                <w:szCs w:val="22"/>
              </w:rPr>
              <w:t>.</w:t>
            </w:r>
            <w:r w:rsidRPr="00D55388">
              <w:rPr>
                <w:rFonts w:asciiTheme="minorHAnsi" w:hAnsiTheme="minorHAnsi"/>
                <w:sz w:val="22"/>
                <w:szCs w:val="22"/>
              </w:rPr>
              <w:t>"</w:t>
            </w:r>
            <w:r>
              <w:rPr>
                <w:rFonts w:asciiTheme="minorHAnsi" w:hAnsiTheme="minorHAnsi"/>
                <w:sz w:val="22"/>
                <w:szCs w:val="22"/>
              </w:rPr>
              <w:t xml:space="preserve"> </w:t>
            </w:r>
            <w:r w:rsidRPr="0063577B">
              <w:rPr>
                <w:rFonts w:asciiTheme="minorHAnsi" w:hAnsiTheme="minorHAnsi"/>
                <w:i/>
                <w:szCs w:val="22"/>
              </w:rPr>
              <w:t xml:space="preserve">*I will give the file number (PII) to the technician assigned to resolve the issue. They can contact me when they need it &amp; I will send it in an encrypted email. </w:t>
            </w:r>
          </w:p>
          <w:p w:rsidR="00AE653A" w:rsidRDefault="00AE653A" w:rsidP="003C1E6D">
            <w:pPr>
              <w:widowControl w:val="0"/>
              <w:pBdr>
                <w:top w:val="single" w:sz="4" w:space="1" w:color="auto"/>
                <w:left w:val="single" w:sz="4" w:space="4" w:color="auto"/>
                <w:bottom w:val="single" w:sz="4" w:space="1" w:color="auto"/>
                <w:right w:val="single" w:sz="4" w:space="4" w:color="auto"/>
              </w:pBdr>
              <w:tabs>
                <w:tab w:val="left" w:pos="690"/>
              </w:tabs>
              <w:spacing w:after="120"/>
              <w:ind w:left="690" w:right="420"/>
              <w:rPr>
                <w:rStyle w:val="veteranheadersmall"/>
                <w:rFonts w:asciiTheme="minorHAnsi" w:hAnsiTheme="minorHAnsi"/>
                <w:sz w:val="22"/>
                <w:szCs w:val="22"/>
                <w:lang w:val="en"/>
              </w:rPr>
            </w:pPr>
            <w:r>
              <w:rPr>
                <w:rStyle w:val="veteranheadersmall"/>
                <w:rFonts w:asciiTheme="minorHAnsi" w:hAnsiTheme="minorHAnsi"/>
                <w:sz w:val="22"/>
                <w:szCs w:val="22"/>
                <w:lang w:val="en"/>
              </w:rPr>
              <w:t>There is an 0966 on file, date-</w:t>
            </w:r>
            <w:r w:rsidRPr="009F056F">
              <w:rPr>
                <w:rStyle w:val="veteranheadersmall"/>
                <w:rFonts w:asciiTheme="minorHAnsi" w:hAnsiTheme="minorHAnsi"/>
                <w:sz w:val="22"/>
                <w:szCs w:val="22"/>
                <w:lang w:val="en"/>
              </w:rPr>
              <w:t>stamped {</w:t>
            </w:r>
            <w:r>
              <w:rPr>
                <w:rStyle w:val="veteranheadersmall"/>
                <w:rFonts w:asciiTheme="minorHAnsi" w:hAnsiTheme="minorHAnsi"/>
                <w:sz w:val="22"/>
                <w:szCs w:val="22"/>
                <w:lang w:val="en"/>
              </w:rPr>
              <w:t>date</w:t>
            </w:r>
            <w:r w:rsidRPr="009F056F">
              <w:rPr>
                <w:rStyle w:val="veteranheadersmall"/>
                <w:rFonts w:asciiTheme="minorHAnsi" w:hAnsiTheme="minorHAnsi"/>
                <w:sz w:val="22"/>
                <w:szCs w:val="22"/>
                <w:lang w:val="en"/>
              </w:rPr>
              <w:t>}, received by Janesville {</w:t>
            </w:r>
            <w:r>
              <w:rPr>
                <w:rStyle w:val="veteranheadersmall"/>
                <w:rFonts w:asciiTheme="minorHAnsi" w:hAnsiTheme="minorHAnsi"/>
                <w:sz w:val="22"/>
                <w:szCs w:val="22"/>
                <w:lang w:val="en"/>
              </w:rPr>
              <w:t>date</w:t>
            </w:r>
            <w:r w:rsidRPr="009F056F">
              <w:rPr>
                <w:rStyle w:val="veteranheadersmall"/>
                <w:rFonts w:asciiTheme="minorHAnsi" w:hAnsiTheme="minorHAnsi"/>
                <w:sz w:val="22"/>
                <w:szCs w:val="22"/>
                <w:lang w:val="en"/>
              </w:rPr>
              <w:t>} &amp; uploaded {</w:t>
            </w:r>
            <w:r>
              <w:rPr>
                <w:rStyle w:val="veteranheadersmall"/>
                <w:rFonts w:asciiTheme="minorHAnsi" w:hAnsiTheme="minorHAnsi"/>
                <w:sz w:val="22"/>
                <w:szCs w:val="22"/>
                <w:lang w:val="en"/>
              </w:rPr>
              <w:t>date</w:t>
            </w:r>
            <w:r w:rsidRPr="009F056F">
              <w:rPr>
                <w:rStyle w:val="veteranheadersmall"/>
                <w:rFonts w:asciiTheme="minorHAnsi" w:hAnsiTheme="minorHAnsi"/>
                <w:sz w:val="22"/>
                <w:szCs w:val="22"/>
                <w:lang w:val="en"/>
              </w:rPr>
              <w:t>}, but there was no ITF in VBMS. I created the ITF, but it shows “Active</w:t>
            </w:r>
            <w:r>
              <w:rPr>
                <w:rStyle w:val="veteranheadersmall"/>
                <w:rFonts w:asciiTheme="minorHAnsi" w:hAnsiTheme="minorHAnsi"/>
                <w:sz w:val="22"/>
                <w:szCs w:val="22"/>
                <w:lang w:val="en"/>
              </w:rPr>
              <w:t>.</w:t>
            </w:r>
            <w:r w:rsidRPr="009F056F">
              <w:rPr>
                <w:rStyle w:val="veteranheadersmall"/>
                <w:rFonts w:asciiTheme="minorHAnsi" w:hAnsiTheme="minorHAnsi"/>
                <w:sz w:val="22"/>
                <w:szCs w:val="22"/>
                <w:lang w:val="en"/>
              </w:rPr>
              <w:t>” It should show “Claim Received” since a 526EZ was received {</w:t>
            </w:r>
            <w:r>
              <w:rPr>
                <w:rStyle w:val="veteranheadersmall"/>
                <w:rFonts w:asciiTheme="minorHAnsi" w:hAnsiTheme="minorHAnsi"/>
                <w:sz w:val="22"/>
                <w:szCs w:val="22"/>
                <w:lang w:val="en"/>
              </w:rPr>
              <w:t>date</w:t>
            </w:r>
            <w:r w:rsidRPr="009F056F">
              <w:rPr>
                <w:rStyle w:val="veteranheadersmall"/>
                <w:rFonts w:asciiTheme="minorHAnsi" w:hAnsiTheme="minorHAnsi"/>
                <w:sz w:val="22"/>
                <w:szCs w:val="22"/>
                <w:lang w:val="en"/>
              </w:rPr>
              <w:t>}.</w:t>
            </w:r>
            <w:r>
              <w:rPr>
                <w:rStyle w:val="veteranheadersmall"/>
                <w:rFonts w:asciiTheme="minorHAnsi" w:hAnsiTheme="minorHAnsi"/>
                <w:sz w:val="22"/>
                <w:szCs w:val="22"/>
                <w:lang w:val="en"/>
              </w:rPr>
              <w:t xml:space="preserve"> </w:t>
            </w:r>
            <w:r w:rsidRPr="0063577B">
              <w:rPr>
                <w:rFonts w:asciiTheme="minorHAnsi" w:hAnsiTheme="minorHAnsi"/>
                <w:i/>
                <w:szCs w:val="22"/>
              </w:rPr>
              <w:t>*I will give the file number (PII) to the technician assigned to resolve the issue. They can contact me when they need it &amp; I will send it in an encrypted email.</w:t>
            </w:r>
          </w:p>
          <w:p w:rsidR="00AE653A" w:rsidRPr="0063577B" w:rsidRDefault="00AE653A" w:rsidP="003C1E6D">
            <w:pPr>
              <w:widowControl w:val="0"/>
              <w:pBdr>
                <w:top w:val="single" w:sz="4" w:space="1" w:color="auto"/>
                <w:left w:val="single" w:sz="4" w:space="4" w:color="auto"/>
                <w:bottom w:val="single" w:sz="4" w:space="1" w:color="auto"/>
                <w:right w:val="single" w:sz="4" w:space="4" w:color="auto"/>
              </w:pBdr>
              <w:tabs>
                <w:tab w:val="left" w:pos="690"/>
              </w:tabs>
              <w:spacing w:after="120"/>
              <w:ind w:left="690" w:right="420"/>
              <w:rPr>
                <w:rFonts w:asciiTheme="minorHAnsi" w:hAnsiTheme="minorHAnsi"/>
                <w:szCs w:val="22"/>
              </w:rPr>
            </w:pPr>
            <w:r>
              <w:rPr>
                <w:rFonts w:asciiTheme="minorHAnsi" w:hAnsiTheme="minorHAnsi"/>
                <w:sz w:val="22"/>
                <w:szCs w:val="22"/>
              </w:rPr>
              <w:t xml:space="preserve">VBMS shows the </w:t>
            </w:r>
            <w:r w:rsidRPr="00D55388">
              <w:rPr>
                <w:rFonts w:asciiTheme="minorHAnsi" w:hAnsiTheme="minorHAnsi"/>
                <w:sz w:val="22"/>
                <w:szCs w:val="22"/>
              </w:rPr>
              <w:t xml:space="preserve">Compensation Intent to File received </w:t>
            </w:r>
            <w:r>
              <w:rPr>
                <w:rFonts w:asciiTheme="minorHAnsi" w:hAnsiTheme="minorHAnsi"/>
                <w:sz w:val="22"/>
                <w:szCs w:val="22"/>
              </w:rPr>
              <w:t>{date}</w:t>
            </w:r>
            <w:r w:rsidRPr="00D55388">
              <w:rPr>
                <w:rFonts w:asciiTheme="minorHAnsi" w:hAnsiTheme="minorHAnsi"/>
                <w:sz w:val="22"/>
                <w:szCs w:val="22"/>
              </w:rPr>
              <w:t xml:space="preserve"> </w:t>
            </w:r>
            <w:r>
              <w:rPr>
                <w:rFonts w:asciiTheme="minorHAnsi" w:hAnsiTheme="minorHAnsi"/>
                <w:sz w:val="22"/>
                <w:szCs w:val="22"/>
              </w:rPr>
              <w:t xml:space="preserve">is in "Claim Received" status as of {date of reconsideration, duplicate claim, claim for CUE}, but </w:t>
            </w:r>
            <w:r w:rsidRPr="00D55388">
              <w:rPr>
                <w:rFonts w:asciiTheme="minorHAnsi" w:hAnsiTheme="minorHAnsi"/>
                <w:sz w:val="22"/>
                <w:szCs w:val="22"/>
              </w:rPr>
              <w:t xml:space="preserve">since </w:t>
            </w:r>
            <w:r>
              <w:rPr>
                <w:rFonts w:asciiTheme="minorHAnsi" w:hAnsiTheme="minorHAnsi"/>
                <w:sz w:val="22"/>
                <w:szCs w:val="22"/>
              </w:rPr>
              <w:t xml:space="preserve">the {date} claim was a reconsideration, duplicate claim, claim for CUE, it should not have been associated with the {date} ITF. </w:t>
            </w:r>
            <w:r w:rsidRPr="00D55388">
              <w:rPr>
                <w:rFonts w:asciiTheme="minorHAnsi" w:hAnsiTheme="minorHAnsi"/>
                <w:sz w:val="22"/>
                <w:szCs w:val="22"/>
              </w:rPr>
              <w:t xml:space="preserve">Please change the status of the ITF received </w:t>
            </w:r>
            <w:r>
              <w:rPr>
                <w:rFonts w:asciiTheme="minorHAnsi" w:hAnsiTheme="minorHAnsi"/>
                <w:sz w:val="22"/>
                <w:szCs w:val="22"/>
              </w:rPr>
              <w:t>{date}</w:t>
            </w:r>
            <w:r w:rsidRPr="00D55388">
              <w:rPr>
                <w:rFonts w:asciiTheme="minorHAnsi" w:hAnsiTheme="minorHAnsi"/>
                <w:sz w:val="22"/>
                <w:szCs w:val="22"/>
              </w:rPr>
              <w:t xml:space="preserve"> from "</w:t>
            </w:r>
            <w:r>
              <w:rPr>
                <w:rFonts w:asciiTheme="minorHAnsi" w:hAnsiTheme="minorHAnsi"/>
                <w:sz w:val="22"/>
                <w:szCs w:val="22"/>
              </w:rPr>
              <w:t>Claim Received</w:t>
            </w:r>
            <w:r w:rsidRPr="00D55388">
              <w:rPr>
                <w:rFonts w:asciiTheme="minorHAnsi" w:hAnsiTheme="minorHAnsi"/>
                <w:sz w:val="22"/>
                <w:szCs w:val="22"/>
              </w:rPr>
              <w:t>" to "</w:t>
            </w:r>
            <w:r>
              <w:rPr>
                <w:rFonts w:asciiTheme="minorHAnsi" w:hAnsiTheme="minorHAnsi"/>
                <w:sz w:val="22"/>
                <w:szCs w:val="22"/>
              </w:rPr>
              <w:t>Active.</w:t>
            </w:r>
            <w:r w:rsidRPr="00D55388">
              <w:rPr>
                <w:rFonts w:asciiTheme="minorHAnsi" w:hAnsiTheme="minorHAnsi"/>
                <w:sz w:val="22"/>
                <w:szCs w:val="22"/>
              </w:rPr>
              <w:t>"</w:t>
            </w:r>
            <w:r>
              <w:rPr>
                <w:rFonts w:asciiTheme="minorHAnsi" w:hAnsiTheme="minorHAnsi"/>
                <w:sz w:val="22"/>
                <w:szCs w:val="22"/>
              </w:rPr>
              <w:t xml:space="preserve"> </w:t>
            </w:r>
            <w:r w:rsidRPr="0063577B">
              <w:rPr>
                <w:rFonts w:asciiTheme="minorHAnsi" w:hAnsiTheme="minorHAnsi"/>
                <w:i/>
                <w:szCs w:val="22"/>
              </w:rPr>
              <w:t>*I will give the file number (PII) to the technician assigned to resolve the issue. They can contact me when they need it &amp; I will send it in an encrypted email.</w:t>
            </w:r>
          </w:p>
          <w:p w:rsidR="00AE653A" w:rsidRPr="009B470D" w:rsidRDefault="00AE653A" w:rsidP="00F063AF">
            <w:pPr>
              <w:widowControl w:val="0"/>
              <w:numPr>
                <w:ilvl w:val="0"/>
                <w:numId w:val="185"/>
              </w:numPr>
              <w:spacing w:after="120"/>
              <w:ind w:left="1050" w:right="240"/>
              <w:outlineLvl w:val="0"/>
              <w:rPr>
                <w:i/>
              </w:rPr>
            </w:pPr>
            <w:r>
              <w:rPr>
                <w:b/>
              </w:rPr>
              <w:t>III.ii.2.C.3.e</w:t>
            </w:r>
            <w:r w:rsidRPr="004E4997">
              <w:t xml:space="preserve"> – </w:t>
            </w:r>
            <w:r>
              <w:t>ITF on same date as application through eBenefits/VDC, SEP or D2D depends on timing (VBMS will figure it out depending on if ITF was before or after application)</w:t>
            </w:r>
          </w:p>
          <w:p w:rsidR="00AE653A" w:rsidRPr="00696275" w:rsidRDefault="00AE653A" w:rsidP="00F063AF">
            <w:pPr>
              <w:widowControl w:val="0"/>
              <w:numPr>
                <w:ilvl w:val="0"/>
                <w:numId w:val="185"/>
              </w:numPr>
              <w:spacing w:after="120"/>
              <w:ind w:left="1050" w:right="240"/>
              <w:outlineLvl w:val="0"/>
              <w:rPr>
                <w:i/>
              </w:rPr>
            </w:pPr>
            <w:bookmarkStart w:id="5" w:name="_Hlk514417692"/>
            <w:r w:rsidRPr="009B470D">
              <w:rPr>
                <w:b/>
              </w:rPr>
              <w:t>III.ii.2.C.</w:t>
            </w:r>
            <w:r>
              <w:rPr>
                <w:b/>
              </w:rPr>
              <w:t>3</w:t>
            </w:r>
            <w:r w:rsidRPr="009B470D">
              <w:rPr>
                <w:b/>
              </w:rPr>
              <w:t>.</w:t>
            </w:r>
            <w:r>
              <w:rPr>
                <w:b/>
              </w:rPr>
              <w:t>f</w:t>
            </w:r>
            <w:r w:rsidRPr="009B470D">
              <w:rPr>
                <w:b/>
              </w:rPr>
              <w:t xml:space="preserve"> </w:t>
            </w:r>
            <w:r w:rsidRPr="004E4997">
              <w:t xml:space="preserve">– </w:t>
            </w:r>
            <w:r>
              <w:t xml:space="preserve">ITF on same date as application for non-electronic claims remains active </w:t>
            </w:r>
            <w:bookmarkEnd w:id="5"/>
            <w:r w:rsidRPr="00696275">
              <w:rPr>
                <w:i/>
              </w:rPr>
              <w:t>(2/16/17 change said we had to call veteran, 6/5/17 change says the ITF remains active)</w:t>
            </w:r>
          </w:p>
          <w:p w:rsidR="00AE653A" w:rsidRDefault="00AE653A" w:rsidP="003C1E6D">
            <w:pPr>
              <w:widowControl w:val="0"/>
              <w:pBdr>
                <w:top w:val="single" w:sz="4" w:space="1" w:color="auto"/>
                <w:left w:val="single" w:sz="4" w:space="4" w:color="auto"/>
                <w:bottom w:val="single" w:sz="4" w:space="1" w:color="auto"/>
                <w:right w:val="single" w:sz="4" w:space="4" w:color="auto"/>
              </w:pBdr>
              <w:tabs>
                <w:tab w:val="left" w:pos="690"/>
              </w:tabs>
              <w:spacing w:after="120"/>
              <w:ind w:left="690" w:right="420"/>
              <w:rPr>
                <w:rStyle w:val="id-mask"/>
                <w:i/>
              </w:rPr>
            </w:pPr>
            <w:r>
              <w:rPr>
                <w:rStyle w:val="id-mask"/>
                <w:i/>
              </w:rPr>
              <w:t xml:space="preserve">use YourIT system </w:t>
            </w:r>
          </w:p>
          <w:p w:rsidR="00AE653A" w:rsidRDefault="00AE653A" w:rsidP="003C1E6D">
            <w:pPr>
              <w:widowControl w:val="0"/>
              <w:pBdr>
                <w:top w:val="single" w:sz="4" w:space="1" w:color="auto"/>
                <w:left w:val="single" w:sz="4" w:space="4" w:color="auto"/>
                <w:bottom w:val="single" w:sz="4" w:space="1" w:color="auto"/>
                <w:right w:val="single" w:sz="4" w:space="4" w:color="auto"/>
              </w:pBdr>
              <w:tabs>
                <w:tab w:val="left" w:pos="690"/>
              </w:tabs>
              <w:spacing w:after="120"/>
              <w:ind w:left="690" w:right="420"/>
              <w:rPr>
                <w:rFonts w:asciiTheme="minorHAnsi" w:hAnsiTheme="minorHAnsi"/>
                <w:sz w:val="22"/>
                <w:szCs w:val="22"/>
              </w:rPr>
            </w:pPr>
            <w:r w:rsidRPr="00D55388">
              <w:rPr>
                <w:rFonts w:asciiTheme="minorHAnsi" w:hAnsiTheme="minorHAnsi"/>
                <w:sz w:val="22"/>
                <w:szCs w:val="22"/>
              </w:rPr>
              <w:t xml:space="preserve">VBMS shows a </w:t>
            </w:r>
            <w:r>
              <w:rPr>
                <w:rFonts w:asciiTheme="minorHAnsi" w:hAnsiTheme="minorHAnsi"/>
                <w:sz w:val="22"/>
                <w:szCs w:val="22"/>
              </w:rPr>
              <w:t>“Duplicate”</w:t>
            </w:r>
            <w:r w:rsidRPr="00D55388">
              <w:rPr>
                <w:rFonts w:asciiTheme="minorHAnsi" w:hAnsiTheme="minorHAnsi"/>
                <w:sz w:val="22"/>
                <w:szCs w:val="22"/>
              </w:rPr>
              <w:t xml:space="preserve"> Compensation Intent to File received </w:t>
            </w:r>
            <w:r>
              <w:rPr>
                <w:rFonts w:asciiTheme="minorHAnsi" w:hAnsiTheme="minorHAnsi"/>
                <w:sz w:val="22"/>
                <w:szCs w:val="22"/>
              </w:rPr>
              <w:t>{date}</w:t>
            </w:r>
            <w:r w:rsidRPr="00D55388">
              <w:rPr>
                <w:rFonts w:asciiTheme="minorHAnsi" w:hAnsiTheme="minorHAnsi"/>
                <w:sz w:val="22"/>
                <w:szCs w:val="22"/>
              </w:rPr>
              <w:t xml:space="preserve"> from "C</w:t>
            </w:r>
            <w:r>
              <w:rPr>
                <w:rFonts w:asciiTheme="minorHAnsi" w:hAnsiTheme="minorHAnsi"/>
                <w:sz w:val="22"/>
                <w:szCs w:val="22"/>
              </w:rPr>
              <w:t>ENTMAIL.</w:t>
            </w:r>
            <w:r w:rsidRPr="00D55388">
              <w:rPr>
                <w:rFonts w:asciiTheme="minorHAnsi" w:hAnsiTheme="minorHAnsi"/>
                <w:sz w:val="22"/>
                <w:szCs w:val="22"/>
              </w:rPr>
              <w:t xml:space="preserve">" </w:t>
            </w:r>
            <w:r>
              <w:rPr>
                <w:rFonts w:asciiTheme="minorHAnsi" w:hAnsiTheme="minorHAnsi"/>
                <w:sz w:val="22"/>
                <w:szCs w:val="22"/>
              </w:rPr>
              <w:t>That ITF should be “Active,” per III.ii.2.C.3</w:t>
            </w:r>
            <w:r w:rsidRPr="001946CC">
              <w:rPr>
                <w:rFonts w:asciiTheme="minorHAnsi" w:hAnsiTheme="minorHAnsi"/>
                <w:sz w:val="22"/>
                <w:szCs w:val="22"/>
              </w:rPr>
              <w:t>.</w:t>
            </w:r>
            <w:r>
              <w:rPr>
                <w:rFonts w:asciiTheme="minorHAnsi" w:hAnsiTheme="minorHAnsi"/>
                <w:sz w:val="22"/>
                <w:szCs w:val="22"/>
              </w:rPr>
              <w:t>f</w:t>
            </w:r>
            <w:r w:rsidRPr="001946CC">
              <w:rPr>
                <w:rFonts w:asciiTheme="minorHAnsi" w:hAnsiTheme="minorHAnsi"/>
                <w:sz w:val="22"/>
                <w:szCs w:val="22"/>
              </w:rPr>
              <w:t xml:space="preserve">, which says an ITF on same date as application for non-electronic claims remains active. </w:t>
            </w:r>
            <w:r w:rsidRPr="00D55388">
              <w:rPr>
                <w:rFonts w:asciiTheme="minorHAnsi" w:hAnsiTheme="minorHAnsi"/>
                <w:sz w:val="22"/>
                <w:szCs w:val="22"/>
              </w:rPr>
              <w:t xml:space="preserve">Please change the status of the ITF received </w:t>
            </w:r>
            <w:r>
              <w:rPr>
                <w:rFonts w:asciiTheme="minorHAnsi" w:hAnsiTheme="minorHAnsi"/>
                <w:sz w:val="22"/>
                <w:szCs w:val="22"/>
              </w:rPr>
              <w:t>{date}</w:t>
            </w:r>
            <w:r w:rsidRPr="00D55388">
              <w:rPr>
                <w:rFonts w:asciiTheme="minorHAnsi" w:hAnsiTheme="minorHAnsi"/>
                <w:sz w:val="22"/>
                <w:szCs w:val="22"/>
              </w:rPr>
              <w:t xml:space="preserve"> from "</w:t>
            </w:r>
            <w:r>
              <w:rPr>
                <w:rFonts w:asciiTheme="minorHAnsi" w:hAnsiTheme="minorHAnsi"/>
                <w:sz w:val="22"/>
                <w:szCs w:val="22"/>
              </w:rPr>
              <w:t>Duplicate</w:t>
            </w:r>
            <w:r w:rsidRPr="00D55388">
              <w:rPr>
                <w:rFonts w:asciiTheme="minorHAnsi" w:hAnsiTheme="minorHAnsi"/>
                <w:sz w:val="22"/>
                <w:szCs w:val="22"/>
              </w:rPr>
              <w:t>" to "</w:t>
            </w:r>
            <w:r>
              <w:rPr>
                <w:rFonts w:asciiTheme="minorHAnsi" w:hAnsiTheme="minorHAnsi"/>
                <w:sz w:val="22"/>
                <w:szCs w:val="22"/>
              </w:rPr>
              <w:t>Active.</w:t>
            </w:r>
            <w:r w:rsidRPr="00D55388">
              <w:rPr>
                <w:rFonts w:asciiTheme="minorHAnsi" w:hAnsiTheme="minorHAnsi"/>
                <w:sz w:val="22"/>
                <w:szCs w:val="22"/>
              </w:rPr>
              <w:t>"</w:t>
            </w:r>
            <w:r>
              <w:rPr>
                <w:rFonts w:asciiTheme="minorHAnsi" w:hAnsiTheme="minorHAnsi"/>
                <w:sz w:val="22"/>
                <w:szCs w:val="22"/>
              </w:rPr>
              <w:t xml:space="preserve"> </w:t>
            </w:r>
            <w:r w:rsidRPr="0063577B">
              <w:rPr>
                <w:rFonts w:asciiTheme="minorHAnsi" w:hAnsiTheme="minorHAnsi"/>
                <w:i/>
                <w:szCs w:val="22"/>
              </w:rPr>
              <w:t>*I will give the file number (PII) to the technician assigned to resolve the issue. They can contact me when they need it &amp; I will send it in an encrypted email.</w:t>
            </w:r>
          </w:p>
          <w:p w:rsidR="00AE653A" w:rsidRPr="005F5FE8" w:rsidRDefault="00AE653A" w:rsidP="00F063AF">
            <w:pPr>
              <w:pStyle w:val="ListParagraph"/>
              <w:numPr>
                <w:ilvl w:val="0"/>
                <w:numId w:val="231"/>
              </w:numPr>
              <w:spacing w:after="120" w:line="240" w:lineRule="auto"/>
              <w:ind w:left="1050" w:right="504"/>
              <w:rPr>
                <w:rFonts w:ascii="Arial" w:hAnsi="Arial"/>
                <w:bCs/>
                <w:color w:val="000000"/>
                <w:sz w:val="20"/>
              </w:rPr>
            </w:pPr>
            <w:r w:rsidRPr="005F5FE8">
              <w:rPr>
                <w:rFonts w:ascii="Arial" w:hAnsi="Arial"/>
                <w:b/>
                <w:bCs/>
                <w:color w:val="000000"/>
                <w:sz w:val="20"/>
              </w:rPr>
              <w:t>III.ii.2.C.</w:t>
            </w:r>
            <w:r>
              <w:rPr>
                <w:rFonts w:ascii="Arial" w:hAnsi="Arial"/>
                <w:b/>
                <w:bCs/>
                <w:color w:val="000000"/>
                <w:sz w:val="20"/>
              </w:rPr>
              <w:t>5.g</w:t>
            </w:r>
            <w:r w:rsidRPr="005F5FE8">
              <w:rPr>
                <w:rFonts w:ascii="Arial" w:hAnsi="Arial"/>
                <w:bCs/>
                <w:color w:val="000000"/>
                <w:sz w:val="20"/>
              </w:rPr>
              <w:t xml:space="preserve"> says there are incorrect dates of receipt in Share/eBenefits &amp; on acknowledgement letters between 6/26/15 &amp; 12/13/15</w:t>
            </w:r>
            <w:r>
              <w:rPr>
                <w:rFonts w:ascii="Arial" w:hAnsi="Arial"/>
                <w:bCs/>
                <w:color w:val="000000"/>
                <w:sz w:val="20"/>
              </w:rPr>
              <w:t xml:space="preserve"> &amp; other isolated incidents outside that date range</w:t>
            </w:r>
            <w:r w:rsidRPr="005F5FE8">
              <w:rPr>
                <w:rFonts w:ascii="Arial" w:hAnsi="Arial"/>
                <w:bCs/>
                <w:color w:val="000000"/>
                <w:sz w:val="20"/>
              </w:rPr>
              <w:t xml:space="preserve">, need to </w:t>
            </w:r>
            <w:r>
              <w:rPr>
                <w:rFonts w:ascii="Arial" w:hAnsi="Arial"/>
                <w:bCs/>
                <w:color w:val="000000"/>
                <w:sz w:val="20"/>
              </w:rPr>
              <w:t>date from</w:t>
            </w:r>
            <w:r w:rsidRPr="00DF6B54">
              <w:rPr>
                <w:rFonts w:ascii="Arial" w:hAnsi="Arial"/>
                <w:b/>
                <w:bCs/>
                <w:color w:val="000000"/>
                <w:sz w:val="20"/>
              </w:rPr>
              <w:t xml:space="preserve"> note</w:t>
            </w:r>
            <w:r>
              <w:rPr>
                <w:rFonts w:ascii="Arial" w:hAnsi="Arial"/>
                <w:bCs/>
                <w:color w:val="000000"/>
                <w:sz w:val="20"/>
              </w:rPr>
              <w:t xml:space="preserve"> in MAPD/VBMS or </w:t>
            </w:r>
            <w:r w:rsidRPr="005F5FE8">
              <w:rPr>
                <w:rFonts w:ascii="Arial" w:hAnsi="Arial"/>
                <w:bCs/>
                <w:color w:val="000000"/>
                <w:sz w:val="20"/>
              </w:rPr>
              <w:t>0966 date</w:t>
            </w:r>
            <w:r>
              <w:rPr>
                <w:rFonts w:ascii="Arial" w:hAnsi="Arial"/>
                <w:bCs/>
                <w:color w:val="000000"/>
                <w:sz w:val="20"/>
              </w:rPr>
              <w:t xml:space="preserve"> (if have neither, use VBMS date)</w:t>
            </w:r>
          </w:p>
          <w:p w:rsidR="00AE653A" w:rsidRDefault="00AE653A" w:rsidP="003C1E6D">
            <w:pPr>
              <w:pBdr>
                <w:top w:val="single" w:sz="4" w:space="1" w:color="auto"/>
                <w:left w:val="single" w:sz="4" w:space="4" w:color="auto"/>
                <w:bottom w:val="single" w:sz="4" w:space="1" w:color="auto"/>
                <w:right w:val="single" w:sz="4" w:space="4" w:color="auto"/>
              </w:pBdr>
              <w:tabs>
                <w:tab w:val="left" w:pos="690"/>
              </w:tabs>
              <w:ind w:left="690" w:right="510"/>
              <w:rPr>
                <w:bCs/>
                <w:color w:val="000000"/>
              </w:rPr>
            </w:pPr>
            <w:r>
              <w:rPr>
                <w:bCs/>
                <w:color w:val="000000"/>
              </w:rPr>
              <w:t>Rating Note:  III.ii.2.C.5.g</w:t>
            </w:r>
            <w:r w:rsidRPr="002E5157">
              <w:rPr>
                <w:bCs/>
                <w:color w:val="000000"/>
              </w:rPr>
              <w:t xml:space="preserve"> says to use the actual 0966 receipt date instead of the incorrect date of receipt in Share/eBenefits &amp; on the acknowledgement</w:t>
            </w:r>
            <w:r>
              <w:rPr>
                <w:bCs/>
                <w:color w:val="000000"/>
              </w:rPr>
              <w:t xml:space="preserve"> letter</w:t>
            </w:r>
            <w:r w:rsidRPr="002E5157">
              <w:rPr>
                <w:bCs/>
                <w:color w:val="000000"/>
              </w:rPr>
              <w:t>.</w:t>
            </w:r>
          </w:p>
          <w:p w:rsidR="00AE653A" w:rsidRDefault="00AE653A" w:rsidP="003C1E6D">
            <w:pPr>
              <w:tabs>
                <w:tab w:val="left" w:pos="690"/>
              </w:tabs>
              <w:ind w:left="690" w:right="510"/>
              <w:rPr>
                <w:bCs/>
                <w:color w:val="000000"/>
              </w:rPr>
            </w:pPr>
          </w:p>
          <w:p w:rsidR="00AE653A" w:rsidRDefault="00AE653A" w:rsidP="003C1E6D">
            <w:pPr>
              <w:pBdr>
                <w:top w:val="single" w:sz="4" w:space="1" w:color="auto"/>
                <w:left w:val="single" w:sz="4" w:space="4" w:color="auto"/>
                <w:bottom w:val="single" w:sz="4" w:space="1" w:color="auto"/>
                <w:right w:val="single" w:sz="4" w:space="4" w:color="auto"/>
              </w:pBdr>
              <w:tabs>
                <w:tab w:val="left" w:pos="690"/>
              </w:tabs>
              <w:ind w:left="690" w:right="510"/>
              <w:rPr>
                <w:bCs/>
                <w:color w:val="000000"/>
              </w:rPr>
            </w:pPr>
            <w:r>
              <w:t xml:space="preserve">Note to File:  The ITF letter in Virtual VA Documents says the ITF was received 1/24/16, but the </w:t>
            </w:r>
            <w:r w:rsidRPr="00533B3F">
              <w:rPr>
                <w:bCs/>
                <w:color w:val="000000"/>
              </w:rPr>
              <w:t>VBMS ITF screen shows rec</w:t>
            </w:r>
            <w:r>
              <w:rPr>
                <w:bCs/>
                <w:color w:val="000000"/>
              </w:rPr>
              <w:t>eived</w:t>
            </w:r>
            <w:r w:rsidRPr="00533B3F">
              <w:rPr>
                <w:bCs/>
                <w:color w:val="000000"/>
              </w:rPr>
              <w:t xml:space="preserve"> date</w:t>
            </w:r>
            <w:r>
              <w:rPr>
                <w:bCs/>
                <w:color w:val="000000"/>
              </w:rPr>
              <w:t xml:space="preserve"> of 1/25/16. We have been advised the the VBMS ITF date is correct and the one we should be using. See March and August Quality Call Notes &amp; </w:t>
            </w:r>
            <w:r w:rsidRPr="00CE5A58">
              <w:rPr>
                <w:bCs/>
                <w:i/>
              </w:rPr>
              <w:t>https://www.vapulse.net/</w:t>
            </w:r>
            <w:r>
              <w:rPr>
                <w:bCs/>
                <w:i/>
              </w:rPr>
              <w:t>message/101387.</w:t>
            </w:r>
          </w:p>
          <w:p w:rsidR="00AE653A" w:rsidRPr="006F247D" w:rsidRDefault="00D571C5" w:rsidP="00F063AF">
            <w:pPr>
              <w:pStyle w:val="ListParagraph"/>
              <w:numPr>
                <w:ilvl w:val="0"/>
                <w:numId w:val="231"/>
              </w:numPr>
              <w:spacing w:before="120" w:after="120"/>
              <w:ind w:left="1050"/>
              <w:rPr>
                <w:rFonts w:ascii="Arial" w:hAnsi="Arial"/>
                <w:sz w:val="20"/>
                <w:szCs w:val="20"/>
              </w:rPr>
            </w:pPr>
            <w:hyperlink r:id="rId194" w:history="1">
              <w:r w:rsidR="00AE653A" w:rsidRPr="006F247D">
                <w:rPr>
                  <w:rStyle w:val="Hyperlink"/>
                  <w:rFonts w:ascii="Arial" w:hAnsi="Arial"/>
                  <w:b/>
                  <w:bCs/>
                  <w:i/>
                  <w:sz w:val="20"/>
                  <w:szCs w:val="20"/>
                </w:rPr>
                <w:t>March 2016 Quality Call Notes</w:t>
              </w:r>
            </w:hyperlink>
            <w:r w:rsidR="00AE653A" w:rsidRPr="006F247D">
              <w:rPr>
                <w:rFonts w:ascii="Arial" w:hAnsi="Arial"/>
                <w:bCs/>
                <w:sz w:val="20"/>
                <w:szCs w:val="20"/>
              </w:rPr>
              <w:t xml:space="preserve"> – Shows ITF screen &amp; letter in VVA, reminder to use ITF for effective date; discussion also in Q&amp;A section</w:t>
            </w:r>
            <w:r w:rsidR="00AE653A">
              <w:rPr>
                <w:rFonts w:ascii="Arial" w:hAnsi="Arial"/>
                <w:bCs/>
                <w:sz w:val="20"/>
                <w:szCs w:val="20"/>
              </w:rPr>
              <w:t xml:space="preserve"> including…</w:t>
            </w:r>
          </w:p>
          <w:p w:rsidR="00AE653A" w:rsidRPr="006F247D" w:rsidRDefault="00AE653A" w:rsidP="00AE653A">
            <w:pPr>
              <w:spacing w:after="120"/>
              <w:ind w:left="1050"/>
              <w:rPr>
                <w:b/>
                <w:szCs w:val="22"/>
              </w:rPr>
            </w:pPr>
            <w:r w:rsidRPr="006F247D">
              <w:rPr>
                <w:b/>
                <w:szCs w:val="22"/>
              </w:rPr>
              <w:t>Question:  If the RO cannot locate the actual ITF form, should the decision maker still base the effective date of the grant by using the date shown in eFolder and/or VVA?</w:t>
            </w:r>
          </w:p>
          <w:p w:rsidR="00AE653A" w:rsidRPr="006F247D" w:rsidRDefault="00AE653A" w:rsidP="00AE653A">
            <w:pPr>
              <w:spacing w:after="120"/>
              <w:ind w:left="1050"/>
              <w:rPr>
                <w:szCs w:val="22"/>
              </w:rPr>
            </w:pPr>
            <w:r w:rsidRPr="006F247D">
              <w:rPr>
                <w:szCs w:val="22"/>
              </w:rPr>
              <w:t>Answer: The decision maker should rely on the “</w:t>
            </w:r>
            <w:r w:rsidRPr="006F247D">
              <w:rPr>
                <w:i/>
                <w:szCs w:val="22"/>
              </w:rPr>
              <w:t>ITF received-date</w:t>
            </w:r>
            <w:r w:rsidRPr="006F247D">
              <w:rPr>
                <w:szCs w:val="22"/>
              </w:rPr>
              <w:t xml:space="preserve">” listed in VBMS or Share when there is no ITF form in the eFolder.  </w:t>
            </w:r>
            <w:r w:rsidRPr="006F247D">
              <w:rPr>
                <w:color w:val="FF0000"/>
                <w:szCs w:val="22"/>
              </w:rPr>
              <w:t>ITFs created through an application initiation in eBenefits and the Stakeholder Enterprise Portal (SEP) will not generate an ITF form for the eFolder, so the ITF received date listed in VBMS or Share is all there is to rely upon</w:t>
            </w:r>
            <w:r w:rsidRPr="006F247D">
              <w:rPr>
                <w:szCs w:val="22"/>
              </w:rPr>
              <w:t>.</w:t>
            </w:r>
          </w:p>
          <w:p w:rsidR="00AE653A" w:rsidRPr="006F247D" w:rsidRDefault="00AE653A" w:rsidP="00AE653A">
            <w:pPr>
              <w:spacing w:after="120"/>
              <w:ind w:left="1050"/>
              <w:rPr>
                <w:szCs w:val="22"/>
                <w:u w:val="single"/>
              </w:rPr>
            </w:pPr>
            <w:r w:rsidRPr="006F247D">
              <w:rPr>
                <w:szCs w:val="22"/>
              </w:rPr>
              <w:t>There was a past defect with ITF that resulted in conflicting dates between VBMS and Share.  That issue has since been resolved; however, if a user encounters an ITF received date in VBMS that is one day earlier</w:t>
            </w:r>
            <w:r w:rsidRPr="006F247D">
              <w:rPr>
                <w:sz w:val="14"/>
                <w:szCs w:val="22"/>
              </w:rPr>
              <w:t xml:space="preserve"> </w:t>
            </w:r>
            <w:r w:rsidRPr="006F247D">
              <w:rPr>
                <w:szCs w:val="22"/>
              </w:rPr>
              <w:t xml:space="preserve">than the ITF date in Share, and there is not an ITF form to confirm the actual date the ITF was received, the user should use the VBMS ITF date for effective date purposes.  </w:t>
            </w:r>
            <w:hyperlink r:id="rId195" w:history="1">
              <w:r w:rsidRPr="006F247D">
                <w:rPr>
                  <w:rStyle w:val="Hyperlink"/>
                  <w:szCs w:val="22"/>
                </w:rPr>
                <w:t>M21-1, III.ii.2.C.1.g &amp; k</w:t>
              </w:r>
            </w:hyperlink>
          </w:p>
          <w:p w:rsidR="00AE653A" w:rsidRPr="006F247D" w:rsidRDefault="00D571C5" w:rsidP="00F063AF">
            <w:pPr>
              <w:pStyle w:val="ListParagraph"/>
              <w:numPr>
                <w:ilvl w:val="0"/>
                <w:numId w:val="231"/>
              </w:numPr>
              <w:spacing w:before="120" w:after="120"/>
              <w:ind w:left="1050"/>
              <w:rPr>
                <w:rFonts w:ascii="Arial" w:hAnsi="Arial"/>
                <w:sz w:val="20"/>
                <w:szCs w:val="20"/>
              </w:rPr>
            </w:pPr>
            <w:hyperlink r:id="rId196" w:history="1">
              <w:r w:rsidR="00AE653A" w:rsidRPr="006F247D">
                <w:rPr>
                  <w:rStyle w:val="Hyperlink"/>
                  <w:rFonts w:ascii="Arial" w:hAnsi="Arial"/>
                  <w:b/>
                  <w:bCs/>
                  <w:i/>
                  <w:sz w:val="20"/>
                  <w:szCs w:val="20"/>
                </w:rPr>
                <w:t>August 2016 Quality Call Notes</w:t>
              </w:r>
            </w:hyperlink>
          </w:p>
          <w:p w:rsidR="00AE653A" w:rsidRPr="00DC1046" w:rsidRDefault="00AE653A" w:rsidP="00AE653A">
            <w:pPr>
              <w:spacing w:after="120"/>
              <w:ind w:left="1050"/>
              <w:rPr>
                <w:rFonts w:eastAsia="Calibri"/>
                <w:b/>
              </w:rPr>
            </w:pPr>
            <w:r w:rsidRPr="00DC1046">
              <w:rPr>
                <w:rFonts w:eastAsia="Calibri"/>
                <w:b/>
              </w:rPr>
              <w:t>Question:  Is there guidance on the ITF glitch where the system gives one date but the Veteran's letter had the date one day prior?</w:t>
            </w:r>
          </w:p>
          <w:p w:rsidR="00AE653A" w:rsidRPr="006F247D" w:rsidRDefault="00AE653A" w:rsidP="00AE653A">
            <w:pPr>
              <w:spacing w:after="120"/>
              <w:ind w:left="1050"/>
              <w:rPr>
                <w:rFonts w:eastAsia="Calibri"/>
              </w:rPr>
            </w:pPr>
            <w:r w:rsidRPr="006F247D">
              <w:rPr>
                <w:rFonts w:eastAsia="Calibri"/>
              </w:rPr>
              <w:t xml:space="preserve">Answer:  A similar question was posed during the Quality Call on March 9, 2016.  The </w:t>
            </w:r>
            <w:hyperlink r:id="rId197" w:history="1">
              <w:r w:rsidRPr="006F247D">
                <w:rPr>
                  <w:rFonts w:eastAsia="Calibri"/>
                  <w:color w:val="0000FF"/>
                  <w:u w:val="single"/>
                </w:rPr>
                <w:t>Q&amp;A in the Call Notes</w:t>
              </w:r>
            </w:hyperlink>
            <w:r w:rsidRPr="006F247D">
              <w:rPr>
                <w:rFonts w:eastAsia="Calibri"/>
              </w:rPr>
              <w:t xml:space="preserve"> shows this:</w:t>
            </w:r>
          </w:p>
          <w:p w:rsidR="00AE653A" w:rsidRPr="006F247D" w:rsidRDefault="00AE653A" w:rsidP="00AE653A">
            <w:pPr>
              <w:spacing w:after="120"/>
              <w:ind w:left="1050"/>
              <w:rPr>
                <w:rFonts w:eastAsia="Calibri"/>
                <w:b/>
              </w:rPr>
            </w:pPr>
            <w:r w:rsidRPr="006F247D">
              <w:rPr>
                <w:rFonts w:eastAsia="Calibri"/>
                <w:b/>
              </w:rPr>
              <w:t>Question:  If the RO cannot locate the actual ITF form, should the decision maker still base the effective date of the grant by using the date shown in eFolder and/or VVA?</w:t>
            </w:r>
          </w:p>
          <w:p w:rsidR="00AE653A" w:rsidRPr="006F247D" w:rsidRDefault="00AE653A" w:rsidP="00AE653A">
            <w:pPr>
              <w:tabs>
                <w:tab w:val="left" w:pos="10110"/>
              </w:tabs>
              <w:spacing w:after="120"/>
              <w:ind w:left="1050" w:right="60"/>
              <w:rPr>
                <w:rFonts w:eastAsia="Calibri"/>
              </w:rPr>
            </w:pPr>
            <w:r w:rsidRPr="006F247D">
              <w:rPr>
                <w:rFonts w:eastAsia="Calibri"/>
              </w:rPr>
              <w:t xml:space="preserve">Answer: </w:t>
            </w:r>
            <w:r>
              <w:rPr>
                <w:rFonts w:eastAsia="Calibri"/>
              </w:rPr>
              <w:t xml:space="preserve"> </w:t>
            </w:r>
            <w:r w:rsidRPr="006F247D">
              <w:rPr>
                <w:rFonts w:eastAsia="Calibri"/>
              </w:rPr>
              <w:t>The decision maker should rely on the “</w:t>
            </w:r>
            <w:r w:rsidRPr="006F247D">
              <w:rPr>
                <w:rFonts w:eastAsia="Calibri"/>
                <w:i/>
              </w:rPr>
              <w:t>ITF received-date</w:t>
            </w:r>
            <w:r w:rsidRPr="006F247D">
              <w:rPr>
                <w:rFonts w:eastAsia="Calibri"/>
              </w:rPr>
              <w:t>” listed in VBMS or Share when there is no ITF form in the eFolder.  ITFs created through an application initiation in eBenefits and the Stakeholder Enterprise Portal (SEP) will not generate an ITF form for the eFolder, so the ITF received date listed in VBMS or Share is all there is to rely upon.</w:t>
            </w:r>
          </w:p>
          <w:p w:rsidR="00AE653A" w:rsidRPr="006F247D" w:rsidRDefault="00AE653A" w:rsidP="00AE653A">
            <w:pPr>
              <w:tabs>
                <w:tab w:val="left" w:pos="10110"/>
              </w:tabs>
              <w:spacing w:after="120"/>
              <w:ind w:left="1050" w:right="60"/>
              <w:rPr>
                <w:rFonts w:eastAsia="Calibri"/>
                <w:u w:val="single"/>
              </w:rPr>
            </w:pPr>
            <w:r w:rsidRPr="006F247D">
              <w:rPr>
                <w:rFonts w:eastAsia="Calibri"/>
              </w:rPr>
              <w:t xml:space="preserve">There was a past defect with ITF that resulted in conflicting dates between VBMS and Share.  That issue has since been resolved; however, if a user encounters an ITF received date in VBMS that is one day earlier than the ITF date in Share, and there is not an ITF form to confirm the actual date the ITF was received, the user should use the VBMS ITF date for effective date purposes.  </w:t>
            </w:r>
            <w:hyperlink r:id="rId198" w:history="1">
              <w:r w:rsidRPr="006F247D">
                <w:rPr>
                  <w:rFonts w:eastAsia="Calibri"/>
                  <w:color w:val="0000FF"/>
                  <w:u w:val="single"/>
                </w:rPr>
                <w:t>M21-1, III.ii.2.C.1.g &amp; k</w:t>
              </w:r>
            </w:hyperlink>
          </w:p>
          <w:p w:rsidR="00AE653A" w:rsidRPr="00116FEA" w:rsidRDefault="00AE653A" w:rsidP="00AE653A">
            <w:pPr>
              <w:spacing w:after="120"/>
              <w:ind w:left="1050"/>
              <w:rPr>
                <w:bCs/>
                <w:color w:val="000000"/>
              </w:rPr>
            </w:pPr>
            <w:r w:rsidRPr="00F90BEA">
              <w:rPr>
                <w:bCs/>
                <w:i/>
                <w:color w:val="00B050"/>
              </w:rPr>
              <w:t>My Notes</w:t>
            </w:r>
            <w:r>
              <w:rPr>
                <w:bCs/>
                <w:i/>
                <w:color w:val="000000"/>
              </w:rPr>
              <w:t xml:space="preserve">:  </w:t>
            </w:r>
            <w:r w:rsidRPr="00274613">
              <w:rPr>
                <w:bCs/>
                <w:i/>
                <w:color w:val="000000"/>
              </w:rPr>
              <w:t>The “ITF date in Share” is the date on the letter.</w:t>
            </w:r>
          </w:p>
          <w:p w:rsidR="00AE653A" w:rsidRPr="009756B5" w:rsidRDefault="00D571C5" w:rsidP="00F063AF">
            <w:pPr>
              <w:widowControl w:val="0"/>
              <w:numPr>
                <w:ilvl w:val="0"/>
                <w:numId w:val="185"/>
              </w:numPr>
              <w:spacing w:after="120"/>
              <w:ind w:left="1050" w:right="240"/>
              <w:outlineLvl w:val="0"/>
              <w:rPr>
                <w:i/>
              </w:rPr>
            </w:pPr>
            <w:hyperlink r:id="rId199" w:history="1">
              <w:r w:rsidR="00AE653A" w:rsidRPr="009756B5">
                <w:rPr>
                  <w:rStyle w:val="Hyperlink"/>
                  <w:b/>
                  <w:bCs/>
                  <w:i/>
                </w:rPr>
                <w:t>Febuary 2017 Quality Call Notes</w:t>
              </w:r>
            </w:hyperlink>
            <w:r w:rsidR="00AE653A" w:rsidRPr="009756B5">
              <w:rPr>
                <w:i/>
              </w:rPr>
              <w:t xml:space="preserve"> – </w:t>
            </w:r>
          </w:p>
          <w:p w:rsidR="00AE653A" w:rsidRPr="009756B5" w:rsidRDefault="00AE653A" w:rsidP="00AE653A">
            <w:pPr>
              <w:pStyle w:val="NoSpacing"/>
              <w:spacing w:after="120"/>
              <w:ind w:left="1050" w:right="-90"/>
              <w:rPr>
                <w:rFonts w:ascii="Arial" w:hAnsi="Arial"/>
                <w:b/>
                <w:color w:val="000000"/>
                <w:sz w:val="20"/>
                <w:szCs w:val="20"/>
              </w:rPr>
            </w:pPr>
            <w:r w:rsidRPr="009756B5">
              <w:rPr>
                <w:rFonts w:ascii="Arial" w:hAnsi="Arial"/>
                <w:b/>
                <w:color w:val="000000"/>
                <w:sz w:val="20"/>
                <w:szCs w:val="20"/>
              </w:rPr>
              <w:t>Question:  In the following basic sequence of events, what is the correct effective date to assign?  An ITF is received; an incomplete application is received within one year of the ITF; a letter is immediately sent requesting a completed application; and, a completed application is received within a year of the date of the letter, but more than one year after the ITF was received.  Is the correct effective date the date of the ITF, the date the incomplete application was received, or the date the completed application was received?</w:t>
            </w:r>
          </w:p>
          <w:p w:rsidR="00AE653A" w:rsidRPr="009756B5" w:rsidRDefault="00AE653A" w:rsidP="00AE653A">
            <w:pPr>
              <w:pStyle w:val="NoSpacing"/>
              <w:spacing w:after="120"/>
              <w:ind w:left="1050"/>
              <w:rPr>
                <w:rFonts w:ascii="Arial" w:hAnsi="Arial"/>
                <w:color w:val="000000"/>
                <w:sz w:val="20"/>
                <w:szCs w:val="20"/>
              </w:rPr>
            </w:pPr>
            <w:r w:rsidRPr="009756B5">
              <w:rPr>
                <w:rFonts w:ascii="Arial" w:hAnsi="Arial"/>
                <w:color w:val="000000"/>
                <w:sz w:val="20"/>
                <w:szCs w:val="20"/>
              </w:rPr>
              <w:t xml:space="preserve">Answer:  The correct effective date would be the date of receipt of the incomplete application.  </w:t>
            </w:r>
            <w:hyperlink r:id="rId200" w:history="1">
              <w:r w:rsidRPr="009756B5">
                <w:rPr>
                  <w:rStyle w:val="Hyperlink"/>
                  <w:rFonts w:ascii="Arial" w:hAnsi="Arial"/>
                  <w:sz w:val="20"/>
                  <w:szCs w:val="20"/>
                </w:rPr>
                <w:t>M21-1, III.ii.2.C.2.d</w:t>
              </w:r>
            </w:hyperlink>
            <w:r w:rsidRPr="009756B5">
              <w:rPr>
                <w:rFonts w:ascii="Arial" w:hAnsi="Arial"/>
                <w:color w:val="000000"/>
                <w:sz w:val="20"/>
                <w:szCs w:val="20"/>
              </w:rPr>
              <w:t xml:space="preserve"> directs that an ITF is ‘active’ until either VA receives a substantially complete application for benefits or the one-year period following VA’s receipt of the ITF ends, whichever comes first.  In this case, the substantially complete application was not received within one-year, so the earliest date we could award benefits would be the date of receipt of the incomplete application.</w:t>
            </w:r>
          </w:p>
          <w:p w:rsidR="006A3211" w:rsidRPr="006A3211" w:rsidRDefault="006A3211" w:rsidP="006A3211">
            <w:pPr>
              <w:spacing w:after="120"/>
            </w:pPr>
          </w:p>
          <w:p w:rsidR="00161309" w:rsidRDefault="002677A5" w:rsidP="00F063AF">
            <w:pPr>
              <w:pStyle w:val="ListParagraph"/>
              <w:numPr>
                <w:ilvl w:val="0"/>
                <w:numId w:val="206"/>
              </w:numPr>
              <w:spacing w:after="120" w:line="240" w:lineRule="auto"/>
              <w:rPr>
                <w:rStyle w:val="id-mask"/>
                <w:rFonts w:ascii="Arial" w:hAnsi="Arial"/>
                <w:sz w:val="20"/>
                <w:szCs w:val="20"/>
              </w:rPr>
            </w:pPr>
            <w:r>
              <w:rPr>
                <w:rFonts w:ascii="Arial" w:hAnsi="Arial"/>
                <w:b/>
                <w:sz w:val="20"/>
                <w:szCs w:val="20"/>
              </w:rPr>
              <w:t>III.ii.2.D</w:t>
            </w:r>
            <w:r w:rsidR="00BA78B4">
              <w:rPr>
                <w:rStyle w:val="id-mask"/>
                <w:rFonts w:ascii="Arial" w:hAnsi="Arial"/>
                <w:sz w:val="20"/>
                <w:szCs w:val="20"/>
              </w:rPr>
              <w:t xml:space="preserve"> – </w:t>
            </w:r>
            <w:r>
              <w:rPr>
                <w:rStyle w:val="id-mask"/>
                <w:rFonts w:ascii="Arial" w:hAnsi="Arial"/>
                <w:sz w:val="20"/>
                <w:szCs w:val="20"/>
              </w:rPr>
              <w:t>r</w:t>
            </w:r>
            <w:r w:rsidR="00BA78B4">
              <w:rPr>
                <w:rStyle w:val="id-mask"/>
                <w:rFonts w:ascii="Arial" w:hAnsi="Arial"/>
                <w:sz w:val="20"/>
                <w:szCs w:val="20"/>
              </w:rPr>
              <w:t xml:space="preserve">eopened </w:t>
            </w:r>
            <w:r>
              <w:rPr>
                <w:rStyle w:val="id-mask"/>
                <w:rFonts w:ascii="Arial" w:hAnsi="Arial"/>
                <w:sz w:val="20"/>
                <w:szCs w:val="20"/>
              </w:rPr>
              <w:t>c</w:t>
            </w:r>
            <w:r w:rsidR="00BA78B4">
              <w:rPr>
                <w:rStyle w:val="id-mask"/>
                <w:rFonts w:ascii="Arial" w:hAnsi="Arial"/>
                <w:sz w:val="20"/>
                <w:szCs w:val="20"/>
              </w:rPr>
              <w:t xml:space="preserve">laims </w:t>
            </w:r>
            <w:r w:rsidR="00590251">
              <w:rPr>
                <w:rStyle w:val="id-mask"/>
                <w:rFonts w:ascii="Arial" w:hAnsi="Arial"/>
                <w:sz w:val="20"/>
                <w:szCs w:val="20"/>
              </w:rPr>
              <w:t xml:space="preserve"> – N&amp;M evid, need to use prescribed form after </w:t>
            </w:r>
            <w:r w:rsidR="00590251" w:rsidRPr="003C3882">
              <w:rPr>
                <w:rStyle w:val="id-mask"/>
                <w:rFonts w:ascii="Arial" w:hAnsi="Arial"/>
                <w:sz w:val="20"/>
                <w:szCs w:val="20"/>
                <w:highlight w:val="cyan"/>
              </w:rPr>
              <w:t>3/24/15</w:t>
            </w:r>
            <w:r w:rsidR="00590251">
              <w:rPr>
                <w:rStyle w:val="id-mask"/>
                <w:rFonts w:ascii="Arial" w:hAnsi="Arial"/>
                <w:sz w:val="20"/>
                <w:szCs w:val="20"/>
              </w:rPr>
              <w:t>, duplicate claim if previously denied &amp; does not furnish N&amp;M evid, duplicate medical evidence should be date-stamped &amp; returned</w:t>
            </w:r>
          </w:p>
          <w:p w:rsidR="00943FFF" w:rsidRPr="00D911E1" w:rsidRDefault="00943FFF" w:rsidP="00F063AF">
            <w:pPr>
              <w:pStyle w:val="ListParagraph"/>
              <w:widowControl w:val="0"/>
              <w:numPr>
                <w:ilvl w:val="1"/>
                <w:numId w:val="209"/>
              </w:numPr>
              <w:tabs>
                <w:tab w:val="left" w:pos="690"/>
              </w:tabs>
              <w:spacing w:after="120"/>
              <w:ind w:left="1050"/>
              <w:rPr>
                <w:rStyle w:val="id-mask"/>
                <w:rFonts w:ascii="Arial" w:hAnsi="Arial"/>
                <w:sz w:val="20"/>
                <w:szCs w:val="20"/>
              </w:rPr>
            </w:pPr>
            <w:r w:rsidRPr="00943FFF">
              <w:rPr>
                <w:rStyle w:val="id-mask"/>
                <w:rFonts w:ascii="Arial" w:hAnsi="Arial"/>
                <w:b/>
                <w:sz w:val="20"/>
                <w:szCs w:val="20"/>
              </w:rPr>
              <w:t>III.ii.2.D.3.i</w:t>
            </w:r>
            <w:r>
              <w:rPr>
                <w:rStyle w:val="id-mask"/>
                <w:rFonts w:ascii="Arial" w:hAnsi="Arial"/>
                <w:sz w:val="20"/>
                <w:szCs w:val="20"/>
              </w:rPr>
              <w:t xml:space="preserve"> – mixed issue claims, can admin deny reopens before RD if no evid submitted, but if evid submitted do RD first &amp; let RVSR direct any admin denial</w:t>
            </w:r>
          </w:p>
          <w:p w:rsidR="00161309" w:rsidRPr="00B96CFF" w:rsidRDefault="00161309" w:rsidP="00F063AF">
            <w:pPr>
              <w:pStyle w:val="ListParagraph"/>
              <w:widowControl w:val="0"/>
              <w:numPr>
                <w:ilvl w:val="0"/>
                <w:numId w:val="209"/>
              </w:numPr>
              <w:tabs>
                <w:tab w:val="left" w:pos="690"/>
              </w:tabs>
              <w:spacing w:after="120"/>
              <w:rPr>
                <w:rStyle w:val="id-mask"/>
                <w:rFonts w:ascii="Arial" w:hAnsi="Arial"/>
                <w:sz w:val="20"/>
                <w:szCs w:val="20"/>
              </w:rPr>
            </w:pPr>
            <w:r w:rsidRPr="00896C74">
              <w:rPr>
                <w:rFonts w:ascii="Arial" w:hAnsi="Arial"/>
                <w:b/>
                <w:sz w:val="20"/>
                <w:szCs w:val="20"/>
              </w:rPr>
              <w:t>III.ii.2.</w:t>
            </w:r>
            <w:r w:rsidR="002677A5">
              <w:rPr>
                <w:rFonts w:ascii="Arial" w:hAnsi="Arial"/>
                <w:b/>
                <w:sz w:val="20"/>
                <w:szCs w:val="20"/>
              </w:rPr>
              <w:t>F</w:t>
            </w:r>
            <w:r w:rsidRPr="00B96CFF">
              <w:rPr>
                <w:rStyle w:val="id-mask"/>
                <w:rFonts w:ascii="Arial" w:hAnsi="Arial"/>
                <w:sz w:val="20"/>
                <w:szCs w:val="20"/>
              </w:rPr>
              <w:t xml:space="preserve"> – reconsiderations – request from claimant to reconsider a decision that is </w:t>
            </w:r>
            <w:r w:rsidRPr="00B96CFF">
              <w:rPr>
                <w:rStyle w:val="id-mask"/>
                <w:rFonts w:ascii="Arial" w:hAnsi="Arial"/>
                <w:sz w:val="20"/>
                <w:szCs w:val="20"/>
                <w:u w:val="single"/>
              </w:rPr>
              <w:t>not yet final</w:t>
            </w:r>
          </w:p>
          <w:p w:rsidR="00161309" w:rsidRPr="00BE7B4E" w:rsidRDefault="00A74963" w:rsidP="00F063AF">
            <w:pPr>
              <w:pStyle w:val="ListParagraph"/>
              <w:widowControl w:val="0"/>
              <w:numPr>
                <w:ilvl w:val="0"/>
                <w:numId w:val="209"/>
              </w:numPr>
              <w:tabs>
                <w:tab w:val="left" w:pos="690"/>
              </w:tabs>
              <w:spacing w:after="120"/>
              <w:rPr>
                <w:rStyle w:val="id-mask"/>
                <w:rFonts w:ascii="Arial" w:hAnsi="Arial"/>
                <w:sz w:val="20"/>
                <w:szCs w:val="20"/>
              </w:rPr>
            </w:pPr>
            <w:r w:rsidRPr="00896C74">
              <w:rPr>
                <w:rFonts w:ascii="Arial" w:hAnsi="Arial"/>
                <w:b/>
                <w:sz w:val="20"/>
                <w:szCs w:val="20"/>
              </w:rPr>
              <w:t>III.iii.7</w:t>
            </w:r>
            <w:r w:rsidRPr="00BE7B4E">
              <w:rPr>
                <w:rStyle w:val="id-mask"/>
                <w:rFonts w:ascii="Arial" w:hAnsi="Arial"/>
                <w:sz w:val="20"/>
                <w:szCs w:val="20"/>
              </w:rPr>
              <w:t xml:space="preserve"> – helpless chil</w:t>
            </w:r>
            <w:r w:rsidR="00161309" w:rsidRPr="00BE7B4E">
              <w:rPr>
                <w:rStyle w:val="id-mask"/>
                <w:rFonts w:ascii="Arial" w:hAnsi="Arial"/>
                <w:sz w:val="20"/>
                <w:szCs w:val="20"/>
              </w:rPr>
              <w:t>d claims</w:t>
            </w:r>
            <w:r w:rsidR="00BA78B4">
              <w:rPr>
                <w:rStyle w:val="id-mask"/>
                <w:rFonts w:ascii="Arial" w:hAnsi="Arial"/>
                <w:sz w:val="20"/>
                <w:szCs w:val="20"/>
              </w:rPr>
              <w:t xml:space="preserve"> </w:t>
            </w:r>
            <w:r w:rsidR="00BE7B4E">
              <w:rPr>
                <w:rStyle w:val="id-mask"/>
                <w:rFonts w:ascii="Arial" w:hAnsi="Arial"/>
                <w:sz w:val="20"/>
                <w:szCs w:val="20"/>
              </w:rPr>
              <w:t xml:space="preserve">– </w:t>
            </w:r>
            <w:r w:rsidR="00BE7B4E" w:rsidRPr="00895E95">
              <w:rPr>
                <w:rFonts w:ascii="Arial" w:hAnsi="Arial"/>
                <w:b/>
                <w:sz w:val="20"/>
                <w:szCs w:val="20"/>
              </w:rPr>
              <w:t>3.315(a)</w:t>
            </w:r>
          </w:p>
          <w:p w:rsidR="00161309" w:rsidRPr="00DF49E1" w:rsidRDefault="00161309" w:rsidP="00F063AF">
            <w:pPr>
              <w:pStyle w:val="ListParagraph"/>
              <w:widowControl w:val="0"/>
              <w:numPr>
                <w:ilvl w:val="0"/>
                <w:numId w:val="209"/>
              </w:numPr>
              <w:tabs>
                <w:tab w:val="left" w:pos="690"/>
              </w:tabs>
              <w:spacing w:after="120"/>
              <w:rPr>
                <w:rStyle w:val="id-mask"/>
                <w:rFonts w:ascii="Arial" w:hAnsi="Arial"/>
                <w:sz w:val="20"/>
                <w:szCs w:val="20"/>
              </w:rPr>
            </w:pPr>
            <w:r w:rsidRPr="00896C74">
              <w:rPr>
                <w:rFonts w:ascii="Arial" w:hAnsi="Arial"/>
                <w:b/>
                <w:sz w:val="20"/>
                <w:szCs w:val="20"/>
              </w:rPr>
              <w:lastRenderedPageBreak/>
              <w:t>III.iv.2.B</w:t>
            </w:r>
            <w:r w:rsidRPr="00DF49E1">
              <w:rPr>
                <w:rStyle w:val="id-mask"/>
                <w:rFonts w:ascii="Arial" w:hAnsi="Arial"/>
                <w:sz w:val="20"/>
                <w:szCs w:val="20"/>
              </w:rPr>
              <w:t xml:space="preserve"> – revision of decisions </w:t>
            </w:r>
            <w:r w:rsidR="00DF49E1">
              <w:rPr>
                <w:rStyle w:val="id-mask"/>
                <w:rFonts w:ascii="Arial" w:hAnsi="Arial"/>
                <w:sz w:val="20"/>
                <w:szCs w:val="20"/>
              </w:rPr>
              <w:t>– CUE, EED, N&amp;M (</w:t>
            </w:r>
            <w:r w:rsidR="0049433B">
              <w:rPr>
                <w:rStyle w:val="id-mask"/>
                <w:rFonts w:ascii="Arial" w:hAnsi="Arial"/>
                <w:sz w:val="20"/>
                <w:szCs w:val="20"/>
              </w:rPr>
              <w:t xml:space="preserve">after finally denied </w:t>
            </w:r>
            <w:r w:rsidR="0049433B" w:rsidRPr="0049433B">
              <w:rPr>
                <w:rStyle w:val="id-mask"/>
                <w:rFonts w:ascii="Arial" w:hAnsi="Arial"/>
                <w:b/>
                <w:sz w:val="20"/>
                <w:szCs w:val="20"/>
              </w:rPr>
              <w:t>III.iv.2.B.3.a</w:t>
            </w:r>
            <w:r w:rsidR="0049433B">
              <w:rPr>
                <w:rStyle w:val="id-mask"/>
                <w:rFonts w:ascii="Arial" w:hAnsi="Arial"/>
                <w:sz w:val="20"/>
                <w:szCs w:val="20"/>
              </w:rPr>
              <w:t xml:space="preserve">, before finally denied/finally adjudicated </w:t>
            </w:r>
            <w:r w:rsidR="0049433B" w:rsidRPr="0049433B">
              <w:rPr>
                <w:rStyle w:val="id-mask"/>
                <w:rFonts w:ascii="Arial" w:hAnsi="Arial"/>
                <w:b/>
                <w:sz w:val="20"/>
                <w:szCs w:val="20"/>
              </w:rPr>
              <w:t>III.iv.2.B.3.b</w:t>
            </w:r>
            <w:r w:rsidR="0049433B">
              <w:rPr>
                <w:rStyle w:val="id-mask"/>
                <w:rFonts w:ascii="Arial" w:hAnsi="Arial"/>
                <w:sz w:val="20"/>
                <w:szCs w:val="20"/>
              </w:rPr>
              <w:t xml:space="preserve">; </w:t>
            </w:r>
            <w:r w:rsidR="00DF49E1">
              <w:rPr>
                <w:rStyle w:val="id-mask"/>
                <w:rFonts w:ascii="Arial" w:hAnsi="Arial"/>
                <w:sz w:val="20"/>
                <w:szCs w:val="20"/>
              </w:rPr>
              <w:t>presume it is credible), no benefit-of-the-doubt rule for reopening claims, Appeals, BVA decisions</w:t>
            </w:r>
          </w:p>
          <w:p w:rsidR="00161309" w:rsidRPr="00B801F6" w:rsidRDefault="00161309" w:rsidP="00F063AF">
            <w:pPr>
              <w:pStyle w:val="ListParagraph"/>
              <w:widowControl w:val="0"/>
              <w:numPr>
                <w:ilvl w:val="0"/>
                <w:numId w:val="209"/>
              </w:numPr>
              <w:tabs>
                <w:tab w:val="left" w:pos="690"/>
              </w:tabs>
              <w:spacing w:after="120"/>
              <w:rPr>
                <w:rStyle w:val="id-mask"/>
                <w:rFonts w:ascii="Arial" w:hAnsi="Arial"/>
                <w:sz w:val="20"/>
                <w:szCs w:val="20"/>
              </w:rPr>
            </w:pPr>
            <w:bookmarkStart w:id="6" w:name="_Hlk514998580"/>
            <w:r w:rsidRPr="00896C74">
              <w:rPr>
                <w:rFonts w:ascii="Arial" w:hAnsi="Arial"/>
                <w:b/>
                <w:sz w:val="20"/>
                <w:szCs w:val="20"/>
              </w:rPr>
              <w:t>III.iv.6.B</w:t>
            </w:r>
            <w:r w:rsidRPr="00B801F6">
              <w:rPr>
                <w:rStyle w:val="id-mask"/>
                <w:rFonts w:ascii="Arial" w:hAnsi="Arial"/>
                <w:sz w:val="20"/>
                <w:szCs w:val="20"/>
              </w:rPr>
              <w:t xml:space="preserve"> </w:t>
            </w:r>
            <w:bookmarkEnd w:id="6"/>
            <w:r w:rsidRPr="00B801F6">
              <w:rPr>
                <w:rStyle w:val="id-mask"/>
                <w:rFonts w:ascii="Arial" w:hAnsi="Arial"/>
                <w:sz w:val="20"/>
                <w:szCs w:val="20"/>
              </w:rPr>
              <w:t xml:space="preserve">– </w:t>
            </w:r>
            <w:r w:rsidR="00B801F6">
              <w:rPr>
                <w:rFonts w:ascii="Arial" w:hAnsi="Arial"/>
                <w:sz w:val="20"/>
                <w:szCs w:val="20"/>
              </w:rPr>
              <w:t>i</w:t>
            </w:r>
            <w:r w:rsidRPr="00B801F6">
              <w:rPr>
                <w:rFonts w:ascii="Arial" w:hAnsi="Arial"/>
                <w:sz w:val="20"/>
                <w:szCs w:val="20"/>
              </w:rPr>
              <w:t xml:space="preserve">dentifying claimed issues on a prescribed form, </w:t>
            </w:r>
            <w:r w:rsidR="00435730">
              <w:rPr>
                <w:rFonts w:ascii="Arial" w:hAnsi="Arial"/>
                <w:sz w:val="20"/>
                <w:szCs w:val="20"/>
              </w:rPr>
              <w:t>“</w:t>
            </w:r>
            <w:r w:rsidR="007002BA">
              <w:rPr>
                <w:rFonts w:ascii="Arial" w:hAnsi="Arial"/>
                <w:sz w:val="20"/>
                <w:szCs w:val="20"/>
              </w:rPr>
              <w:t xml:space="preserve">issues </w:t>
            </w:r>
            <w:r w:rsidR="0071458C">
              <w:rPr>
                <w:rFonts w:ascii="Arial" w:hAnsi="Arial"/>
                <w:sz w:val="20"/>
                <w:szCs w:val="20"/>
              </w:rPr>
              <w:t>within</w:t>
            </w:r>
            <w:r w:rsidR="00853EDE">
              <w:rPr>
                <w:rFonts w:ascii="Arial" w:hAnsi="Arial"/>
                <w:sz w:val="20"/>
                <w:szCs w:val="20"/>
              </w:rPr>
              <w:t xml:space="preserve"> the</w:t>
            </w:r>
            <w:r w:rsidR="0071458C">
              <w:rPr>
                <w:rFonts w:ascii="Arial" w:hAnsi="Arial"/>
                <w:sz w:val="20"/>
                <w:szCs w:val="20"/>
              </w:rPr>
              <w:t xml:space="preserve"> scope</w:t>
            </w:r>
            <w:r w:rsidR="00435730">
              <w:rPr>
                <w:rFonts w:ascii="Arial" w:hAnsi="Arial"/>
                <w:sz w:val="20"/>
                <w:szCs w:val="20"/>
              </w:rPr>
              <w:t>”</w:t>
            </w:r>
            <w:r w:rsidR="0071458C">
              <w:rPr>
                <w:rFonts w:ascii="Arial" w:hAnsi="Arial"/>
                <w:sz w:val="20"/>
                <w:szCs w:val="20"/>
              </w:rPr>
              <w:t xml:space="preserve"> (formerly </w:t>
            </w:r>
            <w:r w:rsidR="00435730">
              <w:rPr>
                <w:rFonts w:ascii="Arial" w:hAnsi="Arial"/>
                <w:sz w:val="20"/>
                <w:szCs w:val="20"/>
              </w:rPr>
              <w:t>“</w:t>
            </w:r>
            <w:r w:rsidR="0071458C">
              <w:rPr>
                <w:rFonts w:ascii="Arial" w:hAnsi="Arial"/>
                <w:sz w:val="20"/>
                <w:szCs w:val="20"/>
              </w:rPr>
              <w:t>reasonably raised</w:t>
            </w:r>
            <w:r w:rsidR="001946CC">
              <w:rPr>
                <w:rFonts w:ascii="Arial" w:hAnsi="Arial"/>
                <w:sz w:val="20"/>
                <w:szCs w:val="20"/>
              </w:rPr>
              <w:t>,”</w:t>
            </w:r>
            <w:r w:rsidR="0071458C">
              <w:rPr>
                <w:rFonts w:ascii="Arial" w:hAnsi="Arial"/>
                <w:sz w:val="20"/>
                <w:szCs w:val="20"/>
              </w:rPr>
              <w:t xml:space="preserve"> formerly </w:t>
            </w:r>
            <w:r w:rsidR="007002BA">
              <w:rPr>
                <w:rFonts w:ascii="Arial" w:hAnsi="Arial"/>
                <w:sz w:val="20"/>
                <w:szCs w:val="20"/>
              </w:rPr>
              <w:t xml:space="preserve">“sympathetic”) </w:t>
            </w:r>
            <w:r w:rsidRPr="00B801F6">
              <w:rPr>
                <w:rFonts w:ascii="Arial" w:hAnsi="Arial"/>
                <w:sz w:val="20"/>
                <w:szCs w:val="20"/>
              </w:rPr>
              <w:t>and soliciting claims for chronic disabilities shown by the evidence of record</w:t>
            </w:r>
            <w:r w:rsidR="00BA78B4">
              <w:rPr>
                <w:rStyle w:val="id-mask"/>
                <w:rFonts w:ascii="Arial" w:hAnsi="Arial"/>
                <w:i/>
                <w:sz w:val="20"/>
                <w:szCs w:val="20"/>
              </w:rPr>
              <w:t xml:space="preserve"> </w:t>
            </w:r>
            <w:r w:rsidR="00B801F6">
              <w:rPr>
                <w:rStyle w:val="id-mask"/>
                <w:rFonts w:ascii="Arial" w:hAnsi="Arial"/>
                <w:sz w:val="20"/>
                <w:szCs w:val="20"/>
              </w:rPr>
              <w:t>– types of issues &amp; claims</w:t>
            </w:r>
            <w:r w:rsidR="002A1AF7">
              <w:rPr>
                <w:rStyle w:val="id-mask"/>
                <w:rFonts w:ascii="Arial" w:hAnsi="Arial"/>
                <w:sz w:val="20"/>
                <w:szCs w:val="20"/>
              </w:rPr>
              <w:t xml:space="preserve">; </w:t>
            </w:r>
            <w:r w:rsidR="002A1AF7" w:rsidRPr="002A1AF7">
              <w:rPr>
                <w:rStyle w:val="id-mask"/>
                <w:rFonts w:ascii="Arial" w:hAnsi="Arial"/>
                <w:b/>
                <w:sz w:val="20"/>
                <w:szCs w:val="20"/>
              </w:rPr>
              <w:t>III.iv.6.B.1.g</w:t>
            </w:r>
            <w:r w:rsidR="002A1AF7">
              <w:rPr>
                <w:rStyle w:val="id-mask"/>
                <w:rFonts w:ascii="Arial" w:hAnsi="Arial"/>
                <w:sz w:val="20"/>
                <w:szCs w:val="20"/>
              </w:rPr>
              <w:t xml:space="preserve"> (added 7/12/18) says don’t misconstrue or make generalized assumptions about the veteran’s intent and/or narrow the scope of potential (</w:t>
            </w:r>
            <w:r w:rsidR="002A1AF7" w:rsidRPr="002A1AF7">
              <w:rPr>
                <w:rStyle w:val="id-mask"/>
                <w:rFonts w:ascii="Arial" w:hAnsi="Arial"/>
                <w:i/>
                <w:sz w:val="20"/>
                <w:szCs w:val="20"/>
              </w:rPr>
              <w:t>examples:  if previously denied for depression &amp; now files for PTSD, don’t assume they’re filing to reopen depression; if SC for asthma &amp; now files for OSA, don’t assume they’re filing a CFI for asthma</w:t>
            </w:r>
            <w:r w:rsidR="002A1AF7">
              <w:rPr>
                <w:rStyle w:val="id-mask"/>
                <w:rFonts w:ascii="Arial" w:hAnsi="Arial"/>
                <w:sz w:val="20"/>
                <w:szCs w:val="20"/>
              </w:rPr>
              <w:t>)</w:t>
            </w:r>
          </w:p>
          <w:p w:rsidR="00161309" w:rsidRDefault="003C27D2" w:rsidP="00F063AF">
            <w:pPr>
              <w:pStyle w:val="ListParagraph"/>
              <w:widowControl w:val="0"/>
              <w:numPr>
                <w:ilvl w:val="0"/>
                <w:numId w:val="209"/>
              </w:numPr>
              <w:tabs>
                <w:tab w:val="left" w:pos="690"/>
              </w:tabs>
              <w:spacing w:after="120"/>
              <w:rPr>
                <w:rStyle w:val="id-mask"/>
                <w:rFonts w:ascii="Arial" w:hAnsi="Arial"/>
                <w:sz w:val="20"/>
                <w:szCs w:val="20"/>
              </w:rPr>
            </w:pPr>
            <w:r>
              <w:rPr>
                <w:rFonts w:ascii="Arial" w:hAnsi="Arial"/>
                <w:b/>
                <w:sz w:val="20"/>
                <w:szCs w:val="20"/>
              </w:rPr>
              <w:t>III</w:t>
            </w:r>
            <w:r w:rsidR="00C27EBF">
              <w:rPr>
                <w:rFonts w:ascii="Arial" w:hAnsi="Arial"/>
                <w:b/>
                <w:sz w:val="20"/>
                <w:szCs w:val="20"/>
              </w:rPr>
              <w:t xml:space="preserve">.ii.2.B.4, </w:t>
            </w:r>
            <w:r w:rsidR="00161309" w:rsidRPr="00896C74">
              <w:rPr>
                <w:rFonts w:ascii="Arial" w:hAnsi="Arial"/>
                <w:b/>
                <w:sz w:val="20"/>
                <w:szCs w:val="20"/>
              </w:rPr>
              <w:t>III.v.6.D</w:t>
            </w:r>
            <w:r w:rsidR="00EC506F">
              <w:rPr>
                <w:rFonts w:ascii="Arial" w:hAnsi="Arial"/>
                <w:b/>
                <w:sz w:val="20"/>
                <w:szCs w:val="20"/>
              </w:rPr>
              <w:t xml:space="preserve"> </w:t>
            </w:r>
            <w:r w:rsidR="00EC506F" w:rsidRPr="003574DA">
              <w:rPr>
                <w:rFonts w:ascii="Arial" w:hAnsi="Arial"/>
                <w:sz w:val="20"/>
                <w:szCs w:val="20"/>
              </w:rPr>
              <w:t>&amp;</w:t>
            </w:r>
            <w:r>
              <w:rPr>
                <w:rFonts w:ascii="Arial" w:hAnsi="Arial"/>
                <w:b/>
                <w:sz w:val="20"/>
                <w:szCs w:val="20"/>
              </w:rPr>
              <w:t xml:space="preserve"> IV.ii.2.J.2 </w:t>
            </w:r>
            <w:r w:rsidR="00161309" w:rsidRPr="00C45F6D">
              <w:rPr>
                <w:rStyle w:val="id-mask"/>
                <w:rFonts w:ascii="Arial" w:hAnsi="Arial"/>
                <w:sz w:val="20"/>
                <w:szCs w:val="20"/>
              </w:rPr>
              <w:t xml:space="preserve">– reports of hospitalization </w:t>
            </w:r>
            <w:r w:rsidR="00B801F6">
              <w:rPr>
                <w:rStyle w:val="id-mask"/>
                <w:rFonts w:ascii="Arial" w:hAnsi="Arial"/>
                <w:sz w:val="20"/>
                <w:szCs w:val="20"/>
              </w:rPr>
              <w:t>–</w:t>
            </w:r>
            <w:r w:rsidR="00C45F6D">
              <w:rPr>
                <w:rStyle w:val="id-mask"/>
                <w:rFonts w:ascii="Arial" w:hAnsi="Arial"/>
                <w:sz w:val="20"/>
                <w:szCs w:val="20"/>
              </w:rPr>
              <w:t xml:space="preserve"> </w:t>
            </w:r>
            <w:r w:rsidR="00B801F6">
              <w:rPr>
                <w:rStyle w:val="id-mask"/>
                <w:rFonts w:ascii="Arial" w:hAnsi="Arial"/>
                <w:sz w:val="20"/>
                <w:szCs w:val="20"/>
              </w:rPr>
              <w:t>4.29</w:t>
            </w:r>
            <w:r w:rsidR="00EC506F">
              <w:rPr>
                <w:rStyle w:val="id-mask"/>
                <w:rFonts w:ascii="Arial" w:hAnsi="Arial"/>
                <w:sz w:val="20"/>
                <w:szCs w:val="20"/>
              </w:rPr>
              <w:t>, EP 320</w:t>
            </w:r>
            <w:r>
              <w:rPr>
                <w:rStyle w:val="id-mask"/>
                <w:rFonts w:ascii="Arial" w:hAnsi="Arial"/>
                <w:sz w:val="20"/>
                <w:szCs w:val="20"/>
              </w:rPr>
              <w:t xml:space="preserve">, hospitalized in excess of 21 days; </w:t>
            </w:r>
            <w:r w:rsidRPr="00B801F6">
              <w:rPr>
                <w:rStyle w:val="id-mask"/>
                <w:rFonts w:ascii="Arial" w:hAnsi="Arial"/>
                <w:sz w:val="20"/>
                <w:szCs w:val="20"/>
              </w:rPr>
              <w:t>effective dates based on hospitalization/exam reports – 4.29</w:t>
            </w:r>
          </w:p>
          <w:p w:rsidR="003C27D2" w:rsidRPr="00C45F6D" w:rsidRDefault="003C27D2" w:rsidP="00F063AF">
            <w:pPr>
              <w:pStyle w:val="ListParagraph"/>
              <w:widowControl w:val="0"/>
              <w:numPr>
                <w:ilvl w:val="0"/>
                <w:numId w:val="209"/>
              </w:numPr>
              <w:tabs>
                <w:tab w:val="left" w:pos="690"/>
              </w:tabs>
              <w:spacing w:after="120"/>
              <w:rPr>
                <w:rStyle w:val="id-mask"/>
                <w:rFonts w:ascii="Arial" w:hAnsi="Arial"/>
                <w:sz w:val="20"/>
                <w:szCs w:val="20"/>
              </w:rPr>
            </w:pPr>
            <w:r>
              <w:rPr>
                <w:rFonts w:ascii="Arial" w:hAnsi="Arial"/>
                <w:b/>
                <w:sz w:val="20"/>
                <w:szCs w:val="20"/>
              </w:rPr>
              <w:t xml:space="preserve">III.ii.2.B.4.f - </w:t>
            </w:r>
            <w:r w:rsidRPr="003C27D2">
              <w:rPr>
                <w:rFonts w:ascii="Arial" w:hAnsi="Arial"/>
                <w:sz w:val="20"/>
                <w:szCs w:val="21"/>
              </w:rPr>
              <w:t>Accept the date of admission for treatment, date of outpatient treatment, or date of examination for an SC disability as the DOC for increased evaluation.</w:t>
            </w:r>
          </w:p>
          <w:p w:rsidR="00B801F6" w:rsidRDefault="00161309" w:rsidP="00F063AF">
            <w:pPr>
              <w:pStyle w:val="ListParagraph"/>
              <w:widowControl w:val="0"/>
              <w:numPr>
                <w:ilvl w:val="0"/>
                <w:numId w:val="209"/>
              </w:numPr>
              <w:tabs>
                <w:tab w:val="left" w:pos="690"/>
              </w:tabs>
              <w:spacing w:after="120"/>
              <w:rPr>
                <w:rStyle w:val="id-mask"/>
                <w:rFonts w:ascii="Arial" w:hAnsi="Arial"/>
                <w:sz w:val="20"/>
                <w:szCs w:val="20"/>
              </w:rPr>
            </w:pPr>
            <w:r w:rsidRPr="00896C74">
              <w:rPr>
                <w:rFonts w:ascii="Arial" w:hAnsi="Arial"/>
                <w:b/>
                <w:sz w:val="20"/>
                <w:szCs w:val="20"/>
              </w:rPr>
              <w:t>IV.ii.2.A</w:t>
            </w:r>
            <w:r w:rsidRPr="00B801F6">
              <w:rPr>
                <w:rStyle w:val="id-mask"/>
                <w:rFonts w:ascii="Arial" w:hAnsi="Arial"/>
                <w:sz w:val="20"/>
                <w:szCs w:val="20"/>
              </w:rPr>
              <w:t xml:space="preserve"> – soliciting claims for chronic, unclaimed disabilities </w:t>
            </w:r>
            <w:r w:rsidR="00B801F6" w:rsidRPr="00B801F6">
              <w:rPr>
                <w:rStyle w:val="id-mask"/>
                <w:rFonts w:ascii="Arial" w:hAnsi="Arial"/>
                <w:sz w:val="20"/>
                <w:szCs w:val="20"/>
              </w:rPr>
              <w:t>– considering SC (intent, 3.157, exposures, lab results</w:t>
            </w:r>
            <w:r w:rsidR="00B801F6">
              <w:rPr>
                <w:rStyle w:val="id-mask"/>
                <w:rFonts w:ascii="Arial" w:hAnsi="Arial"/>
                <w:sz w:val="20"/>
                <w:szCs w:val="20"/>
              </w:rPr>
              <w:t>, chronic disabilities, supplemental STRs</w:t>
            </w:r>
            <w:r w:rsidR="00B801F6" w:rsidRPr="00B801F6">
              <w:rPr>
                <w:rStyle w:val="id-mask"/>
                <w:rFonts w:ascii="Arial" w:hAnsi="Arial"/>
                <w:sz w:val="20"/>
                <w:szCs w:val="20"/>
              </w:rPr>
              <w:t>)</w:t>
            </w:r>
          </w:p>
          <w:p w:rsidR="00CD5F48" w:rsidRPr="00CD5F48" w:rsidRDefault="009F317D" w:rsidP="00F063AF">
            <w:pPr>
              <w:pStyle w:val="ListParagraph"/>
              <w:numPr>
                <w:ilvl w:val="0"/>
                <w:numId w:val="210"/>
              </w:numPr>
              <w:spacing w:after="120"/>
              <w:ind w:left="330"/>
              <w:rPr>
                <w:rStyle w:val="Hyperlink"/>
                <w:rFonts w:ascii="Arial" w:hAnsi="Arial"/>
                <w:b/>
                <w:i/>
                <w:color w:val="auto"/>
                <w:sz w:val="20"/>
                <w:szCs w:val="20"/>
                <w:u w:val="none"/>
              </w:rPr>
            </w:pPr>
            <w:r>
              <w:rPr>
                <w:rStyle w:val="Hyperlink"/>
                <w:rFonts w:ascii="Arial" w:hAnsi="Arial"/>
                <w:b/>
                <w:i/>
                <w:color w:val="auto"/>
                <w:sz w:val="20"/>
                <w:szCs w:val="20"/>
                <w:u w:val="none"/>
              </w:rPr>
              <w:t>Boston RO Tip</w:t>
            </w:r>
            <w:r w:rsidRPr="00CD5F48">
              <w:rPr>
                <w:rStyle w:val="Hyperlink"/>
                <w:rFonts w:ascii="Arial" w:hAnsi="Arial"/>
                <w:b/>
                <w:i/>
                <w:color w:val="auto"/>
                <w:sz w:val="20"/>
                <w:szCs w:val="20"/>
                <w:u w:val="none"/>
              </w:rPr>
              <w:t xml:space="preserve"> Sheet - </w:t>
            </w:r>
            <w:r w:rsidR="00D83D2E">
              <w:rPr>
                <w:rStyle w:val="Hyperlink"/>
                <w:rFonts w:ascii="Arial" w:hAnsi="Arial"/>
                <w:sz w:val="20"/>
                <w:szCs w:val="20"/>
                <w:u w:val="none"/>
              </w:rPr>
              <w:t xml:space="preserve"> </w:t>
            </w:r>
            <w:r w:rsidR="00D83D2E" w:rsidRPr="00000E48">
              <w:rPr>
                <w:rFonts w:ascii="Arial" w:hAnsi="Arial"/>
                <w:i/>
                <w:sz w:val="20"/>
                <w:szCs w:val="20"/>
              </w:rPr>
              <w:t>https://www.vapulse.net/docs/DOC-9924</w:t>
            </w:r>
          </w:p>
          <w:p w:rsidR="00343E1C" w:rsidRPr="00066584" w:rsidRDefault="002C0E94" w:rsidP="00F063AF">
            <w:pPr>
              <w:pStyle w:val="ListParagraph"/>
              <w:numPr>
                <w:ilvl w:val="0"/>
                <w:numId w:val="229"/>
              </w:numPr>
              <w:spacing w:after="120" w:line="240" w:lineRule="auto"/>
              <w:ind w:left="331"/>
              <w:rPr>
                <w:rFonts w:ascii="Arial" w:hAnsi="Arial"/>
                <w:b/>
                <w:sz w:val="20"/>
                <w:szCs w:val="20"/>
              </w:rPr>
            </w:pPr>
            <w:r>
              <w:rPr>
                <w:rFonts w:ascii="Arial" w:hAnsi="Arial"/>
                <w:b/>
                <w:sz w:val="20"/>
                <w:szCs w:val="20"/>
              </w:rPr>
              <w:t>III.ii.2.</w:t>
            </w:r>
            <w:r w:rsidRPr="00066584">
              <w:rPr>
                <w:rFonts w:ascii="Arial" w:hAnsi="Arial"/>
                <w:b/>
                <w:sz w:val="20"/>
                <w:szCs w:val="20"/>
              </w:rPr>
              <w:t>B.1</w:t>
            </w:r>
            <w:r w:rsidR="00BB0B80" w:rsidRPr="00066584">
              <w:rPr>
                <w:rFonts w:ascii="Arial" w:hAnsi="Arial"/>
                <w:b/>
                <w:sz w:val="20"/>
                <w:szCs w:val="20"/>
              </w:rPr>
              <w:t xml:space="preserve"> </w:t>
            </w:r>
            <w:r w:rsidR="00BB0B80" w:rsidRPr="00066584">
              <w:rPr>
                <w:rFonts w:ascii="Arial" w:hAnsi="Arial"/>
                <w:sz w:val="20"/>
                <w:szCs w:val="20"/>
              </w:rPr>
              <w:t xml:space="preserve">&amp; </w:t>
            </w:r>
            <w:r w:rsidR="00BB0B80" w:rsidRPr="00066584">
              <w:rPr>
                <w:rFonts w:ascii="Arial" w:hAnsi="Arial"/>
                <w:b/>
                <w:sz w:val="20"/>
                <w:szCs w:val="20"/>
              </w:rPr>
              <w:t>IV.ii.2.H.1.j</w:t>
            </w:r>
            <w:r w:rsidR="005D7D7F">
              <w:rPr>
                <w:rFonts w:ascii="Arial" w:hAnsi="Arial"/>
                <w:b/>
                <w:sz w:val="20"/>
                <w:szCs w:val="20"/>
              </w:rPr>
              <w:t xml:space="preserve"> </w:t>
            </w:r>
            <w:r w:rsidR="00BB0B80" w:rsidRPr="00066584">
              <w:rPr>
                <w:rFonts w:ascii="Helvetica" w:hAnsi="Helvetica"/>
                <w:sz w:val="20"/>
                <w:szCs w:val="20"/>
                <w:lang w:val="en"/>
              </w:rPr>
              <w:t>-</w:t>
            </w:r>
            <w:r w:rsidR="00A157C1" w:rsidRPr="00066584">
              <w:rPr>
                <w:rFonts w:ascii="Helvetica" w:hAnsi="Helvetica"/>
                <w:sz w:val="20"/>
                <w:szCs w:val="20"/>
                <w:lang w:val="en"/>
              </w:rPr>
              <w:t xml:space="preserve"> 21-2680 </w:t>
            </w:r>
            <w:r w:rsidR="00A157C1" w:rsidRPr="00066584">
              <w:rPr>
                <w:rFonts w:ascii="Arial" w:hAnsi="Arial"/>
                <w:sz w:val="20"/>
                <w:szCs w:val="20"/>
              </w:rPr>
              <w:t>may be sympathetically read as claim for inc</w:t>
            </w:r>
            <w:r w:rsidR="00BB0B80" w:rsidRPr="00066584">
              <w:rPr>
                <w:rFonts w:ascii="Arial" w:hAnsi="Arial"/>
                <w:sz w:val="20"/>
                <w:szCs w:val="20"/>
              </w:rPr>
              <w:t>rease if worsening is shown</w:t>
            </w:r>
            <w:r w:rsidR="00C036B1">
              <w:rPr>
                <w:rFonts w:ascii="Arial" w:hAnsi="Arial"/>
                <w:sz w:val="20"/>
                <w:szCs w:val="20"/>
              </w:rPr>
              <w:t>, III.ii.2.B.1.g says if 0% combined, 21-2680 is a RFA</w:t>
            </w:r>
          </w:p>
          <w:p w:rsidR="00A960E0" w:rsidRPr="00A960E0" w:rsidRDefault="00A960E0" w:rsidP="00A960E0">
            <w:pPr>
              <w:pStyle w:val="ListParagraph"/>
              <w:pBdr>
                <w:top w:val="single" w:sz="4" w:space="1" w:color="auto"/>
                <w:left w:val="single" w:sz="4" w:space="4" w:color="auto"/>
                <w:bottom w:val="single" w:sz="4" w:space="1" w:color="auto"/>
                <w:right w:val="single" w:sz="4" w:space="4" w:color="auto"/>
              </w:pBdr>
              <w:spacing w:after="120" w:line="240" w:lineRule="auto"/>
              <w:ind w:left="331" w:right="150"/>
              <w:rPr>
                <w:rFonts w:ascii="Arial" w:hAnsi="Arial"/>
                <w:sz w:val="20"/>
                <w:szCs w:val="20"/>
              </w:rPr>
            </w:pPr>
            <w:r w:rsidRPr="00066584">
              <w:rPr>
                <w:rFonts w:ascii="Arial" w:hAnsi="Arial"/>
                <w:sz w:val="20"/>
                <w:szCs w:val="20"/>
              </w:rPr>
              <w:t>Rating Note:  III.ii.2</w:t>
            </w:r>
            <w:r w:rsidR="002C0E94" w:rsidRPr="00066584">
              <w:rPr>
                <w:rFonts w:ascii="Arial" w:hAnsi="Arial"/>
                <w:sz w:val="20"/>
                <w:szCs w:val="20"/>
              </w:rPr>
              <w:t>.B.1</w:t>
            </w:r>
            <w:r w:rsidRPr="00066584">
              <w:rPr>
                <w:rFonts w:ascii="Arial" w:hAnsi="Arial"/>
                <w:sz w:val="20"/>
                <w:szCs w:val="20"/>
              </w:rPr>
              <w:t xml:space="preserve"> &amp; IV.ii.2.H.1.j say</w:t>
            </w:r>
            <w:r w:rsidRPr="00A960E0">
              <w:rPr>
                <w:rFonts w:ascii="Arial" w:hAnsi="Arial"/>
                <w:sz w:val="20"/>
                <w:szCs w:val="20"/>
              </w:rPr>
              <w:t xml:space="preserve"> 21-2680 may be accepted as/considered a claim for increase if worsening is shown, but to "Only address the condition in the rating decision when examination confirms a change in the disability evaluation of the SC issue is warranted or confirms the presence of the condition that is within the scope of another SC condition."</w:t>
            </w:r>
            <w:r>
              <w:rPr>
                <w:rFonts w:ascii="Arial" w:hAnsi="Arial"/>
                <w:sz w:val="20"/>
                <w:szCs w:val="20"/>
              </w:rPr>
              <w:t xml:space="preserve"> </w:t>
            </w:r>
            <w:r w:rsidRPr="00A960E0">
              <w:rPr>
                <w:rFonts w:ascii="Arial" w:hAnsi="Arial"/>
                <w:sz w:val="20"/>
                <w:szCs w:val="20"/>
              </w:rPr>
              <w:t xml:space="preserve">There is no evidence of worsening of </w:t>
            </w:r>
            <w:r>
              <w:rPr>
                <w:rFonts w:ascii="Arial" w:hAnsi="Arial"/>
                <w:sz w:val="20"/>
                <w:szCs w:val="20"/>
              </w:rPr>
              <w:t>{}</w:t>
            </w:r>
            <w:r w:rsidRPr="00A960E0">
              <w:rPr>
                <w:rFonts w:ascii="Arial" w:hAnsi="Arial"/>
                <w:sz w:val="20"/>
                <w:szCs w:val="20"/>
              </w:rPr>
              <w:t xml:space="preserve">, so they are not being addressed here. </w:t>
            </w:r>
            <w:r w:rsidR="004E57F8">
              <w:rPr>
                <w:rFonts w:ascii="Arial" w:hAnsi="Arial"/>
                <w:sz w:val="20"/>
                <w:szCs w:val="20"/>
              </w:rPr>
              <w:t>{}</w:t>
            </w:r>
            <w:r w:rsidR="004E57F8" w:rsidRPr="00A960E0">
              <w:rPr>
                <w:rFonts w:ascii="Arial" w:hAnsi="Arial"/>
                <w:sz w:val="20"/>
                <w:szCs w:val="20"/>
              </w:rPr>
              <w:t xml:space="preserve"> shows worse</w:t>
            </w:r>
            <w:r w:rsidR="004E57F8">
              <w:rPr>
                <w:rFonts w:ascii="Arial" w:hAnsi="Arial"/>
                <w:sz w:val="20"/>
                <w:szCs w:val="20"/>
              </w:rPr>
              <w:t xml:space="preserve">ning, so it is being addressed. </w:t>
            </w:r>
            <w:r>
              <w:rPr>
                <w:rFonts w:ascii="Arial" w:hAnsi="Arial"/>
                <w:sz w:val="20"/>
                <w:szCs w:val="20"/>
              </w:rPr>
              <w:t>{}</w:t>
            </w:r>
            <w:r w:rsidRPr="00A960E0">
              <w:rPr>
                <w:rFonts w:ascii="Arial" w:hAnsi="Arial"/>
                <w:sz w:val="20"/>
                <w:szCs w:val="20"/>
              </w:rPr>
              <w:t xml:space="preserve"> show</w:t>
            </w:r>
            <w:r>
              <w:rPr>
                <w:rFonts w:ascii="Arial" w:hAnsi="Arial"/>
                <w:sz w:val="20"/>
                <w:szCs w:val="20"/>
              </w:rPr>
              <w:t>s improvement, so is</w:t>
            </w:r>
            <w:r w:rsidRPr="00A960E0">
              <w:rPr>
                <w:rFonts w:ascii="Arial" w:hAnsi="Arial"/>
                <w:sz w:val="20"/>
                <w:szCs w:val="20"/>
              </w:rPr>
              <w:t xml:space="preserve"> being reduced. </w:t>
            </w:r>
          </w:p>
          <w:p w:rsidR="00B718A4" w:rsidRPr="00F46021" w:rsidRDefault="00B718A4" w:rsidP="00F063AF">
            <w:pPr>
              <w:pStyle w:val="ListParagraph"/>
              <w:numPr>
                <w:ilvl w:val="0"/>
                <w:numId w:val="212"/>
              </w:numPr>
              <w:spacing w:after="120"/>
              <w:ind w:left="330"/>
              <w:rPr>
                <w:rFonts w:ascii="Arial" w:hAnsi="Arial"/>
                <w:b/>
                <w:i/>
                <w:sz w:val="20"/>
                <w:szCs w:val="20"/>
              </w:rPr>
            </w:pPr>
            <w:r w:rsidRPr="002C35A8">
              <w:rPr>
                <w:rFonts w:ascii="Arial" w:hAnsi="Arial"/>
                <w:sz w:val="20"/>
                <w:szCs w:val="20"/>
              </w:rPr>
              <w:t>Per VA Pulse,</w:t>
            </w:r>
            <w:r>
              <w:t xml:space="preserve"> </w:t>
            </w:r>
            <w:r w:rsidRPr="00000E48">
              <w:rPr>
                <w:rFonts w:ascii="Arial" w:hAnsi="Arial"/>
                <w:i/>
                <w:sz w:val="20"/>
                <w:szCs w:val="20"/>
              </w:rPr>
              <w:t>https://www.vapulse.net/message/15493</w:t>
            </w:r>
            <w:r>
              <w:rPr>
                <w:rFonts w:ascii="Arial" w:hAnsi="Arial"/>
                <w:sz w:val="20"/>
                <w:szCs w:val="20"/>
              </w:rPr>
              <w:t>, a 21-2680 with no indication of whether the claim is for SMC or SMP is considered an incomplete application</w:t>
            </w:r>
            <w:r w:rsidR="00CD5F48">
              <w:rPr>
                <w:rFonts w:ascii="Arial" w:hAnsi="Arial"/>
                <w:sz w:val="20"/>
                <w:szCs w:val="20"/>
              </w:rPr>
              <w:t xml:space="preserve">; </w:t>
            </w:r>
            <w:r w:rsidR="00572D55">
              <w:t xml:space="preserve"> </w:t>
            </w:r>
            <w:r w:rsidR="00572D55" w:rsidRPr="00000E48">
              <w:rPr>
                <w:rFonts w:ascii="Arial" w:hAnsi="Arial"/>
                <w:i/>
                <w:sz w:val="20"/>
                <w:szCs w:val="20"/>
              </w:rPr>
              <w:t>https://www.vapulse.net/message/18224</w:t>
            </w:r>
            <w:r w:rsidR="000C7BFA">
              <w:rPr>
                <w:rFonts w:ascii="Arial" w:hAnsi="Arial"/>
                <w:sz w:val="20"/>
                <w:szCs w:val="20"/>
              </w:rPr>
              <w:t xml:space="preserve"> </w:t>
            </w:r>
            <w:r w:rsidR="00CD5F48">
              <w:rPr>
                <w:rFonts w:ascii="Arial" w:hAnsi="Arial"/>
                <w:sz w:val="20"/>
                <w:szCs w:val="20"/>
              </w:rPr>
              <w:t>says if files standard form 526, 527 or 527EZ for pension &amp; says also SMP but no 21-2680, develop for 21-2680 (if not rec’d, do not consider SMP at issue)</w:t>
            </w:r>
          </w:p>
          <w:p w:rsidR="00F46021" w:rsidRPr="00854642" w:rsidRDefault="00F46021" w:rsidP="00F063AF">
            <w:pPr>
              <w:pStyle w:val="ListParagraph"/>
              <w:numPr>
                <w:ilvl w:val="0"/>
                <w:numId w:val="212"/>
              </w:numPr>
              <w:spacing w:after="120"/>
              <w:ind w:left="330"/>
              <w:rPr>
                <w:rFonts w:ascii="Arial" w:hAnsi="Arial"/>
                <w:b/>
                <w:i/>
                <w:sz w:val="20"/>
                <w:szCs w:val="20"/>
              </w:rPr>
            </w:pPr>
            <w:r w:rsidRPr="00050E1A">
              <w:rPr>
                <w:rFonts w:ascii="Arial" w:hAnsi="Arial"/>
                <w:b/>
                <w:sz w:val="20"/>
                <w:szCs w:val="20"/>
              </w:rPr>
              <w:t>III.ii.2.</w:t>
            </w:r>
            <w:r>
              <w:rPr>
                <w:rFonts w:ascii="Arial" w:hAnsi="Arial"/>
                <w:b/>
                <w:sz w:val="20"/>
                <w:szCs w:val="20"/>
              </w:rPr>
              <w:t>B.1.e</w:t>
            </w:r>
            <w:r w:rsidR="008119CD">
              <w:rPr>
                <w:rFonts w:ascii="Arial" w:hAnsi="Arial"/>
                <w:sz w:val="20"/>
                <w:szCs w:val="20"/>
              </w:rPr>
              <w:t xml:space="preserve"> – </w:t>
            </w:r>
            <w:r>
              <w:rPr>
                <w:rFonts w:ascii="Arial" w:hAnsi="Arial"/>
                <w:sz w:val="20"/>
                <w:szCs w:val="20"/>
              </w:rPr>
              <w:t>changed 8/12/16</w:t>
            </w:r>
            <w:r w:rsidR="008119CD">
              <w:rPr>
                <w:rFonts w:ascii="Arial" w:hAnsi="Arial"/>
                <w:sz w:val="20"/>
                <w:szCs w:val="20"/>
              </w:rPr>
              <w:t xml:space="preserve">, </w:t>
            </w:r>
            <w:r>
              <w:rPr>
                <w:rFonts w:ascii="Arial" w:hAnsi="Arial"/>
                <w:sz w:val="20"/>
                <w:szCs w:val="20"/>
              </w:rPr>
              <w:t>cannot accept medical evidence as a claim, even if received with a prescribed form; if prescribed form is signed by veteran, but additional correspondence received with prescribed form is signed by POA, treat any issues on POA documents as an RFA</w:t>
            </w:r>
          </w:p>
          <w:p w:rsidR="00854642" w:rsidRPr="00854642" w:rsidRDefault="00854642" w:rsidP="00C41E25">
            <w:pPr>
              <w:pStyle w:val="ListParagraph"/>
              <w:pBdr>
                <w:top w:val="single" w:sz="4" w:space="1" w:color="auto"/>
                <w:left w:val="single" w:sz="4" w:space="4" w:color="auto"/>
                <w:bottom w:val="single" w:sz="4" w:space="1" w:color="auto"/>
                <w:right w:val="single" w:sz="4" w:space="4" w:color="auto"/>
              </w:pBdr>
              <w:spacing w:after="120"/>
              <w:ind w:left="330" w:right="150"/>
              <w:rPr>
                <w:rFonts w:ascii="Arial" w:hAnsi="Arial"/>
                <w:sz w:val="20"/>
                <w:szCs w:val="20"/>
              </w:rPr>
            </w:pPr>
            <w:r w:rsidRPr="00854642">
              <w:rPr>
                <w:rFonts w:ascii="Arial" w:hAnsi="Arial"/>
                <w:sz w:val="20"/>
                <w:szCs w:val="20"/>
              </w:rPr>
              <w:t>Rating Note:  III.ii.2.</w:t>
            </w:r>
            <w:r w:rsidRPr="00C41E25">
              <w:rPr>
                <w:rFonts w:ascii="Arial" w:hAnsi="Arial"/>
                <w:sz w:val="20"/>
                <w:szCs w:val="20"/>
              </w:rPr>
              <w:t>B.1.e says if the prescribed form is signed by the veteran, but additional correspondence received with prescribed form is signed by a POA, treat any issues on the POA documents as an RFA.</w:t>
            </w:r>
            <w:r w:rsidR="00C41E25" w:rsidRPr="00C41E25">
              <w:rPr>
                <w:rFonts w:ascii="Arial" w:hAnsi="Arial"/>
                <w:sz w:val="20"/>
                <w:szCs w:val="20"/>
              </w:rPr>
              <w:t xml:space="preserve"> So, {} and {} are not part of the application package</w:t>
            </w:r>
            <w:r w:rsidR="00C41E25">
              <w:rPr>
                <w:rFonts w:ascii="Arial" w:hAnsi="Arial"/>
                <w:sz w:val="20"/>
                <w:szCs w:val="20"/>
              </w:rPr>
              <w:t xml:space="preserve"> </w:t>
            </w:r>
            <w:r w:rsidR="00C41E25" w:rsidRPr="00C41E25">
              <w:rPr>
                <w:rFonts w:ascii="Arial" w:hAnsi="Arial"/>
                <w:sz w:val="20"/>
                <w:szCs w:val="20"/>
              </w:rPr>
              <w:t xml:space="preserve">and are not addressed in this decision. Please send </w:t>
            </w:r>
            <w:r w:rsidR="00C41E25">
              <w:rPr>
                <w:rFonts w:ascii="Arial" w:hAnsi="Arial"/>
                <w:sz w:val="20"/>
                <w:szCs w:val="20"/>
              </w:rPr>
              <w:t xml:space="preserve">the veteran </w:t>
            </w:r>
            <w:r w:rsidR="00C41E25" w:rsidRPr="00C41E25">
              <w:rPr>
                <w:rFonts w:ascii="Arial" w:hAnsi="Arial"/>
                <w:sz w:val="20"/>
                <w:szCs w:val="20"/>
              </w:rPr>
              <w:t>a “Request for Application” letter. *Please note that a RFA cannot hold an effective date.</w:t>
            </w:r>
          </w:p>
          <w:p w:rsidR="009B27C8" w:rsidRPr="009B27C8" w:rsidRDefault="00D631F3" w:rsidP="00F063AF">
            <w:pPr>
              <w:pStyle w:val="ListParagraph"/>
              <w:numPr>
                <w:ilvl w:val="0"/>
                <w:numId w:val="212"/>
              </w:numPr>
              <w:spacing w:after="120"/>
              <w:ind w:left="330"/>
              <w:rPr>
                <w:rFonts w:ascii="Arial" w:hAnsi="Arial"/>
                <w:b/>
                <w:i/>
                <w:sz w:val="20"/>
                <w:szCs w:val="20"/>
              </w:rPr>
            </w:pPr>
            <w:r>
              <w:rPr>
                <w:rFonts w:ascii="Arial" w:hAnsi="Arial"/>
                <w:b/>
                <w:sz w:val="20"/>
                <w:szCs w:val="20"/>
              </w:rPr>
              <w:t>III.ii.2.B.1.g</w:t>
            </w:r>
            <w:r w:rsidR="00CF091B">
              <w:rPr>
                <w:rFonts w:ascii="Arial" w:hAnsi="Arial"/>
                <w:sz w:val="20"/>
                <w:szCs w:val="20"/>
              </w:rPr>
              <w:t xml:space="preserve"> –</w:t>
            </w:r>
            <w:r w:rsidR="008119CD">
              <w:rPr>
                <w:rFonts w:ascii="Arial" w:hAnsi="Arial"/>
                <w:sz w:val="20"/>
                <w:szCs w:val="20"/>
              </w:rPr>
              <w:t xml:space="preserve"> </w:t>
            </w:r>
            <w:r w:rsidR="005A6BE4">
              <w:rPr>
                <w:rFonts w:ascii="Arial" w:hAnsi="Arial"/>
                <w:sz w:val="20"/>
                <w:szCs w:val="20"/>
              </w:rPr>
              <w:t>changed 5/5/16</w:t>
            </w:r>
            <w:r w:rsidR="00A56AA8">
              <w:rPr>
                <w:rFonts w:ascii="Arial" w:hAnsi="Arial"/>
                <w:sz w:val="20"/>
                <w:szCs w:val="20"/>
              </w:rPr>
              <w:t xml:space="preserve"> &amp; 8/12/16</w:t>
            </w:r>
            <w:r w:rsidR="008119CD">
              <w:rPr>
                <w:rFonts w:ascii="Arial" w:hAnsi="Arial"/>
                <w:sz w:val="20"/>
                <w:szCs w:val="20"/>
              </w:rPr>
              <w:t xml:space="preserve">, </w:t>
            </w:r>
            <w:r w:rsidR="00CF091B">
              <w:rPr>
                <w:rFonts w:ascii="Arial" w:hAnsi="Arial"/>
                <w:sz w:val="20"/>
                <w:szCs w:val="20"/>
              </w:rPr>
              <w:t xml:space="preserve">table for interpreting if claim </w:t>
            </w:r>
            <w:r w:rsidR="00AE63C8">
              <w:rPr>
                <w:rFonts w:ascii="Arial" w:hAnsi="Arial"/>
                <w:sz w:val="20"/>
                <w:szCs w:val="20"/>
              </w:rPr>
              <w:t>2</w:t>
            </w:r>
            <w:r w:rsidR="009B27C8">
              <w:rPr>
                <w:rFonts w:ascii="Arial" w:hAnsi="Arial"/>
                <w:sz w:val="20"/>
                <w:szCs w:val="20"/>
              </w:rPr>
              <w:t>1-2680 is claim for SMC or SMP</w:t>
            </w:r>
            <w:r w:rsidR="00274613">
              <w:rPr>
                <w:rFonts w:ascii="Arial" w:hAnsi="Arial"/>
                <w:sz w:val="20"/>
                <w:szCs w:val="20"/>
              </w:rPr>
              <w:t xml:space="preserve">; no signature of claimant needed on 21-2680 per </w:t>
            </w:r>
            <w:r w:rsidR="00274613" w:rsidRPr="00274613">
              <w:rPr>
                <w:rFonts w:ascii="Arial" w:hAnsi="Arial"/>
                <w:b/>
                <w:sz w:val="20"/>
                <w:szCs w:val="20"/>
              </w:rPr>
              <w:t>III.ii.2.B.3.f</w:t>
            </w:r>
          </w:p>
          <w:p w:rsidR="009756B5" w:rsidRPr="004E4997" w:rsidRDefault="009756B5" w:rsidP="00F063AF">
            <w:pPr>
              <w:widowControl w:val="0"/>
              <w:numPr>
                <w:ilvl w:val="0"/>
                <w:numId w:val="185"/>
              </w:numPr>
              <w:spacing w:after="120"/>
              <w:ind w:left="330" w:right="240"/>
              <w:outlineLvl w:val="0"/>
              <w:rPr>
                <w:i/>
              </w:rPr>
            </w:pPr>
            <w:r>
              <w:rPr>
                <w:i/>
              </w:rPr>
              <w:t>…</w:t>
            </w:r>
          </w:p>
          <w:p w:rsidR="005F5FE8" w:rsidRPr="00E267F9" w:rsidRDefault="005F5FE8" w:rsidP="00E267F9">
            <w:pPr>
              <w:spacing w:after="120"/>
              <w:rPr>
                <w:bCs/>
                <w:i/>
                <w:color w:val="000000"/>
              </w:rPr>
            </w:pPr>
          </w:p>
        </w:tc>
      </w:tr>
      <w:tr w:rsidR="00013EB8" w:rsidTr="00000847">
        <w:tc>
          <w:tcPr>
            <w:tcW w:w="705" w:type="dxa"/>
            <w:tcBorders>
              <w:top w:val="nil"/>
              <w:left w:val="nil"/>
              <w:bottom w:val="nil"/>
              <w:right w:val="nil"/>
            </w:tcBorders>
          </w:tcPr>
          <w:p w:rsidR="00013EB8" w:rsidRDefault="00013EB8">
            <w:pPr>
              <w:widowControl w:val="0"/>
              <w:numPr>
                <w:ilvl w:val="12"/>
                <w:numId w:val="0"/>
              </w:numPr>
              <w:rPr>
                <w:b/>
              </w:rPr>
            </w:pPr>
            <w:r w:rsidRPr="00F673C9">
              <w:rPr>
                <w:b/>
              </w:rPr>
              <w:lastRenderedPageBreak/>
              <w:t>3.158</w:t>
            </w:r>
          </w:p>
        </w:tc>
        <w:tc>
          <w:tcPr>
            <w:tcW w:w="10170" w:type="dxa"/>
            <w:tcBorders>
              <w:top w:val="nil"/>
              <w:left w:val="nil"/>
              <w:bottom w:val="nil"/>
              <w:right w:val="nil"/>
            </w:tcBorders>
          </w:tcPr>
          <w:p w:rsidR="00013EB8" w:rsidRDefault="00013EB8">
            <w:pPr>
              <w:widowControl w:val="0"/>
              <w:numPr>
                <w:ilvl w:val="12"/>
                <w:numId w:val="0"/>
              </w:numPr>
              <w:spacing w:after="120"/>
            </w:pPr>
            <w:r>
              <w:rPr>
                <w:b/>
              </w:rPr>
              <w:t>Abandoned claims</w:t>
            </w:r>
            <w:r>
              <w:t xml:space="preserve"> – if disappear/whereabouts unknown, resume “effective the day following the date of last payment”; </w:t>
            </w:r>
            <w:r>
              <w:rPr>
                <w:i/>
              </w:rPr>
              <w:t>no exam is needed unless a future was due while missing, no rating needed, authorization starts up date last paid (DLP) (per Dawn</w:t>
            </w:r>
            <w:r w:rsidR="00492C45">
              <w:rPr>
                <w:i/>
              </w:rPr>
              <w:t xml:space="preserve"> Provost</w:t>
            </w:r>
            <w:r>
              <w:rPr>
                <w:i/>
              </w:rPr>
              <w:t>)</w:t>
            </w:r>
          </w:p>
          <w:p w:rsidR="00013EB8" w:rsidRDefault="00013EB8" w:rsidP="00333C92">
            <w:pPr>
              <w:widowControl w:val="0"/>
              <w:numPr>
                <w:ilvl w:val="0"/>
                <w:numId w:val="56"/>
              </w:numPr>
              <w:spacing w:after="120"/>
              <w:rPr>
                <w:b/>
                <w:i/>
              </w:rPr>
            </w:pPr>
            <w:r w:rsidRPr="00895E95">
              <w:rPr>
                <w:b/>
                <w:iCs/>
              </w:rPr>
              <w:t>3.656</w:t>
            </w:r>
            <w:r>
              <w:rPr>
                <w:b/>
                <w:i/>
              </w:rPr>
              <w:t xml:space="preserve"> </w:t>
            </w:r>
          </w:p>
          <w:p w:rsidR="00000847" w:rsidRDefault="00000847" w:rsidP="00333C92">
            <w:pPr>
              <w:widowControl w:val="0"/>
              <w:numPr>
                <w:ilvl w:val="0"/>
                <w:numId w:val="56"/>
              </w:numPr>
              <w:spacing w:after="120"/>
              <w:rPr>
                <w:bCs/>
              </w:rPr>
            </w:pPr>
            <w:r>
              <w:rPr>
                <w:b/>
                <w:bCs/>
              </w:rPr>
              <w:t>III.ii.2.G</w:t>
            </w:r>
            <w:r>
              <w:rPr>
                <w:bCs/>
              </w:rPr>
              <w:t xml:space="preserve"> – withdrawal details/procedures (can retract withdrawal w/i 30 days of VA letter; cannot use withdrawn claim for </w:t>
            </w:r>
            <w:r w:rsidR="004F315B">
              <w:rPr>
                <w:bCs/>
              </w:rPr>
              <w:t>effective date</w:t>
            </w:r>
            <w:r>
              <w:rPr>
                <w:bCs/>
              </w:rPr>
              <w:t xml:space="preserve"> unless retracted w/i 30 days</w:t>
            </w:r>
            <w:r w:rsidR="00B74EC4">
              <w:rPr>
                <w:bCs/>
              </w:rPr>
              <w:t xml:space="preserve">; Per </w:t>
            </w:r>
            <w:hyperlink r:id="rId201" w:history="1">
              <w:r w:rsidR="00B74EC4" w:rsidRPr="00B74EC4">
                <w:rPr>
                  <w:rStyle w:val="Hyperlink"/>
                  <w:b/>
                  <w:bCs/>
                  <w:i/>
                </w:rPr>
                <w:t>January 2016 Quality Call Notes</w:t>
              </w:r>
            </w:hyperlink>
            <w:r w:rsidR="00B74EC4">
              <w:rPr>
                <w:bCs/>
              </w:rPr>
              <w:t>, eff 11/30/15, use FAQ 4/1/09 for withdrawals prior to 11/30/15; notes also cover other withdrawal scenarios, including IU</w:t>
            </w:r>
            <w:r>
              <w:rPr>
                <w:bCs/>
              </w:rPr>
              <w:t>)</w:t>
            </w:r>
            <w:r w:rsidR="002F39AA">
              <w:rPr>
                <w:bCs/>
              </w:rPr>
              <w:t xml:space="preserve">, </w:t>
            </w:r>
            <w:r w:rsidR="002F39AA" w:rsidRPr="002F39AA">
              <w:rPr>
                <w:b/>
                <w:bCs/>
              </w:rPr>
              <w:t>III.ii.2.G.1.c</w:t>
            </w:r>
            <w:r w:rsidR="002F39AA">
              <w:rPr>
                <w:bCs/>
              </w:rPr>
              <w:t xml:space="preserve"> discusses when examining facility says veteran wants to withdraw claim (we must clarify, phone first, letter if phone unsuccessful)</w:t>
            </w:r>
            <w:r w:rsidR="009F1FA1">
              <w:rPr>
                <w:bCs/>
              </w:rPr>
              <w:t>, then adde</w:t>
            </w:r>
            <w:r w:rsidR="009F1FA1" w:rsidRPr="009F1FA1">
              <w:rPr>
                <w:bCs/>
              </w:rPr>
              <w:t>d 8/10/16</w:t>
            </w:r>
            <w:r w:rsidR="007977F6">
              <w:rPr>
                <w:bCs/>
              </w:rPr>
              <w:t xml:space="preserve"> </w:t>
            </w:r>
            <w:r w:rsidR="009F1FA1" w:rsidRPr="00382FE9">
              <w:rPr>
                <w:bCs/>
              </w:rPr>
              <w:t xml:space="preserve">– if the claim is RFD but the claimant </w:t>
            </w:r>
            <w:r w:rsidR="009F1FA1" w:rsidRPr="00382FE9">
              <w:rPr>
                <w:bCs/>
              </w:rPr>
              <w:lastRenderedPageBreak/>
              <w:t>cannot be contacted via telephone</w:t>
            </w:r>
            <w:r w:rsidR="00382FE9" w:rsidRPr="00382FE9">
              <w:rPr>
                <w:bCs/>
              </w:rPr>
              <w:t xml:space="preserve">, </w:t>
            </w:r>
            <w:r w:rsidR="00382FE9">
              <w:rPr>
                <w:bCs/>
              </w:rPr>
              <w:t>wait 15 days for response to letter before d</w:t>
            </w:r>
            <w:r w:rsidR="00382FE9" w:rsidRPr="00382FE9">
              <w:rPr>
                <w:bCs/>
              </w:rPr>
              <w:t>ecid</w:t>
            </w:r>
            <w:r w:rsidR="00382FE9">
              <w:rPr>
                <w:bCs/>
              </w:rPr>
              <w:t xml:space="preserve">ing </w:t>
            </w:r>
            <w:r w:rsidR="00382FE9" w:rsidRPr="00382FE9">
              <w:rPr>
                <w:bCs/>
              </w:rPr>
              <w:t>claim</w:t>
            </w:r>
          </w:p>
          <w:p w:rsidR="00C46FD2" w:rsidRPr="00382FE9" w:rsidRDefault="00C46FD2" w:rsidP="00C46FD2">
            <w:pPr>
              <w:widowControl w:val="0"/>
              <w:pBdr>
                <w:top w:val="single" w:sz="4" w:space="1" w:color="auto"/>
                <w:left w:val="single" w:sz="4" w:space="4" w:color="auto"/>
                <w:bottom w:val="single" w:sz="4" w:space="1" w:color="auto"/>
                <w:right w:val="single" w:sz="4" w:space="4" w:color="auto"/>
              </w:pBdr>
              <w:spacing w:after="120"/>
              <w:ind w:left="330" w:right="150"/>
              <w:rPr>
                <w:bCs/>
              </w:rPr>
            </w:pPr>
            <w:r w:rsidRPr="00C46FD2">
              <w:rPr>
                <w:bCs/>
              </w:rPr>
              <w:t>VSR:</w:t>
            </w:r>
            <w:r>
              <w:rPr>
                <w:bCs/>
              </w:rPr>
              <w:t xml:space="preserve">  Please send the appropriate withdrawal letter under </w:t>
            </w:r>
            <w:r w:rsidRPr="00C46FD2">
              <w:rPr>
                <w:bCs/>
              </w:rPr>
              <w:t>III.ii.2.G</w:t>
            </w:r>
            <w:r>
              <w:rPr>
                <w:bCs/>
              </w:rPr>
              <w:t>.3</w:t>
            </w:r>
            <w:r w:rsidRPr="00C46FD2">
              <w:rPr>
                <w:bCs/>
              </w:rPr>
              <w:t>.</w:t>
            </w:r>
          </w:p>
          <w:p w:rsidR="00000847" w:rsidRDefault="00000847" w:rsidP="00333C92">
            <w:pPr>
              <w:widowControl w:val="0"/>
              <w:numPr>
                <w:ilvl w:val="0"/>
                <w:numId w:val="56"/>
              </w:numPr>
              <w:spacing w:after="120"/>
              <w:rPr>
                <w:b/>
                <w:bCs/>
              </w:rPr>
            </w:pPr>
            <w:r>
              <w:rPr>
                <w:b/>
                <w:bCs/>
              </w:rPr>
              <w:t xml:space="preserve">III.ii.2.H </w:t>
            </w:r>
            <w:r>
              <w:rPr>
                <w:bCs/>
              </w:rPr>
              <w:t>–</w:t>
            </w:r>
            <w:r w:rsidRPr="00000847">
              <w:rPr>
                <w:bCs/>
              </w:rPr>
              <w:t xml:space="preserve"> renouncements</w:t>
            </w:r>
          </w:p>
          <w:p w:rsidR="001A707D" w:rsidRPr="005356BE" w:rsidRDefault="003762AA" w:rsidP="00333C92">
            <w:pPr>
              <w:widowControl w:val="0"/>
              <w:numPr>
                <w:ilvl w:val="0"/>
                <w:numId w:val="56"/>
              </w:numPr>
              <w:spacing w:after="120"/>
              <w:rPr>
                <w:b/>
                <w:bCs/>
              </w:rPr>
            </w:pPr>
            <w:r>
              <w:rPr>
                <w:b/>
                <w:bCs/>
              </w:rPr>
              <w:t>III.ii</w:t>
            </w:r>
            <w:r w:rsidR="00E76788" w:rsidRPr="009C034B">
              <w:rPr>
                <w:b/>
                <w:bCs/>
              </w:rPr>
              <w:t>.1.B</w:t>
            </w:r>
            <w:r w:rsidR="00F7044A" w:rsidRPr="009C034B">
              <w:rPr>
                <w:bCs/>
              </w:rPr>
              <w:t xml:space="preserve"> – address issues / returned mail</w:t>
            </w:r>
            <w:r w:rsidR="00A66FB8">
              <w:rPr>
                <w:bCs/>
              </w:rPr>
              <w:t xml:space="preserve"> / undeliverable mail</w:t>
            </w:r>
            <w:r w:rsidR="00DF595D" w:rsidRPr="009C034B">
              <w:rPr>
                <w:bCs/>
              </w:rPr>
              <w:t xml:space="preserve"> /</w:t>
            </w:r>
            <w:r w:rsidR="00E76788" w:rsidRPr="009C034B">
              <w:rPr>
                <w:bCs/>
              </w:rPr>
              <w:t xml:space="preserve"> telephone contact / 27-0820 (including unsuccessful attempts)</w:t>
            </w:r>
          </w:p>
        </w:tc>
      </w:tr>
      <w:tr w:rsidR="00013EB8" w:rsidTr="00000847">
        <w:tc>
          <w:tcPr>
            <w:tcW w:w="705" w:type="dxa"/>
            <w:tcBorders>
              <w:top w:val="nil"/>
              <w:left w:val="nil"/>
              <w:bottom w:val="nil"/>
              <w:right w:val="nil"/>
            </w:tcBorders>
          </w:tcPr>
          <w:p w:rsidR="00013EB8" w:rsidRPr="00F00DE4" w:rsidRDefault="00013EB8">
            <w:pPr>
              <w:widowControl w:val="0"/>
              <w:numPr>
                <w:ilvl w:val="12"/>
                <w:numId w:val="0"/>
              </w:numPr>
              <w:rPr>
                <w:b/>
              </w:rPr>
            </w:pPr>
            <w:r w:rsidRPr="00F673C9">
              <w:rPr>
                <w:b/>
              </w:rPr>
              <w:lastRenderedPageBreak/>
              <w:t>3.160</w:t>
            </w:r>
          </w:p>
        </w:tc>
        <w:tc>
          <w:tcPr>
            <w:tcW w:w="10170" w:type="dxa"/>
            <w:tcBorders>
              <w:top w:val="nil"/>
              <w:left w:val="nil"/>
              <w:bottom w:val="nil"/>
              <w:right w:val="nil"/>
            </w:tcBorders>
          </w:tcPr>
          <w:p w:rsidR="00013EB8" w:rsidRPr="00F00DE4" w:rsidRDefault="00013EB8" w:rsidP="00BA78B4">
            <w:pPr>
              <w:widowControl w:val="0"/>
              <w:numPr>
                <w:ilvl w:val="12"/>
                <w:numId w:val="0"/>
              </w:numPr>
            </w:pPr>
            <w:r w:rsidRPr="00F00DE4">
              <w:rPr>
                <w:b/>
              </w:rPr>
              <w:t>Status of claims</w:t>
            </w:r>
            <w:r w:rsidRPr="00F00DE4">
              <w:t xml:space="preserve"> – </w:t>
            </w:r>
            <w:r w:rsidRPr="00F00DE4">
              <w:rPr>
                <w:b/>
                <w:i/>
              </w:rPr>
              <w:t>Judicial Call 4/2/98</w:t>
            </w:r>
            <w:r w:rsidRPr="00F00DE4">
              <w:rPr>
                <w:i/>
              </w:rPr>
              <w:t>- SMC &amp; SMP are claims for increase; 931-939 allowed from 2/15/02 to 7/1/02 only</w:t>
            </w:r>
            <w:r w:rsidR="00B3152E" w:rsidRPr="00F00DE4">
              <w:rPr>
                <w:i/>
              </w:rPr>
              <w:t xml:space="preserve">, </w:t>
            </w:r>
            <w:r w:rsidR="006417E3" w:rsidRPr="00F00DE4">
              <w:rPr>
                <w:rStyle w:val="id-mask"/>
                <w:i/>
              </w:rPr>
              <w:t xml:space="preserve">- </w:t>
            </w:r>
            <w:hyperlink r:id="rId202" w:history="1">
              <w:r w:rsidR="006417E3" w:rsidRPr="00F00DE4">
                <w:rPr>
                  <w:rStyle w:val="Hyperlink"/>
                  <w:b/>
                  <w:i/>
                </w:rPr>
                <w:t>http://www.ecfr.gov/cgi-bin/text-idx?SID=6724204e8449257b09cc0b7de09943c2&amp;node=se38.1.3_1160&amp;rgn=div8</w:t>
              </w:r>
            </w:hyperlink>
          </w:p>
        </w:tc>
      </w:tr>
    </w:tbl>
    <w:p w:rsidR="00013EB8" w:rsidRDefault="00013EB8">
      <w:pPr>
        <w:widowControl w:val="0"/>
        <w:tabs>
          <w:tab w:val="left" w:pos="0"/>
          <w:tab w:val="left" w:pos="144"/>
        </w:tabs>
        <w:rPr>
          <w:b/>
          <w:bCs/>
          <w:i/>
          <w:iCs/>
          <w:sz w:val="22"/>
        </w:rPr>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F673C9">
              <w:rPr>
                <w:b/>
              </w:rPr>
              <w:t>3.203</w:t>
            </w:r>
          </w:p>
        </w:tc>
        <w:tc>
          <w:tcPr>
            <w:tcW w:w="10170" w:type="dxa"/>
            <w:tcBorders>
              <w:top w:val="nil"/>
              <w:left w:val="nil"/>
              <w:bottom w:val="nil"/>
              <w:right w:val="nil"/>
            </w:tcBorders>
          </w:tcPr>
          <w:p w:rsidR="00013EB8" w:rsidRDefault="00013EB8">
            <w:pPr>
              <w:widowControl w:val="0"/>
              <w:numPr>
                <w:ilvl w:val="12"/>
                <w:numId w:val="0"/>
              </w:numPr>
            </w:pPr>
            <w:r>
              <w:rPr>
                <w:b/>
              </w:rPr>
              <w:t>Service records as evidence of service and character of discharge</w:t>
            </w:r>
            <w:r>
              <w:t xml:space="preserve"> – need original or certified document from service department</w:t>
            </w:r>
          </w:p>
        </w:tc>
      </w:tr>
    </w:tbl>
    <w:p w:rsidR="00013EB8" w:rsidRDefault="00013EB8">
      <w:pPr>
        <w:widowControl w:val="0"/>
        <w:tabs>
          <w:tab w:val="left" w:pos="0"/>
          <w:tab w:val="left" w:pos="144"/>
        </w:tabs>
        <w:rPr>
          <w:b/>
          <w:bCs/>
          <w:i/>
          <w:iCs/>
          <w:sz w:val="22"/>
        </w:rPr>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rsidTr="009C034B">
        <w:tc>
          <w:tcPr>
            <w:tcW w:w="705" w:type="dxa"/>
            <w:tcBorders>
              <w:top w:val="nil"/>
              <w:left w:val="nil"/>
              <w:bottom w:val="nil"/>
              <w:right w:val="nil"/>
            </w:tcBorders>
            <w:shd w:val="clear" w:color="auto" w:fill="auto"/>
          </w:tcPr>
          <w:p w:rsidR="00013EB8" w:rsidRDefault="00013EB8">
            <w:pPr>
              <w:widowControl w:val="0"/>
              <w:numPr>
                <w:ilvl w:val="12"/>
                <w:numId w:val="0"/>
              </w:numPr>
              <w:rPr>
                <w:b/>
              </w:rPr>
            </w:pPr>
            <w:r w:rsidRPr="00F673C9">
              <w:rPr>
                <w:b/>
              </w:rPr>
              <w:t>3.656</w:t>
            </w:r>
          </w:p>
        </w:tc>
        <w:tc>
          <w:tcPr>
            <w:tcW w:w="10170" w:type="dxa"/>
            <w:tcBorders>
              <w:top w:val="nil"/>
              <w:left w:val="nil"/>
              <w:bottom w:val="nil"/>
              <w:right w:val="nil"/>
            </w:tcBorders>
            <w:shd w:val="clear" w:color="auto" w:fill="auto"/>
          </w:tcPr>
          <w:p w:rsidR="00013EB8" w:rsidRDefault="00013EB8">
            <w:pPr>
              <w:widowControl w:val="0"/>
              <w:numPr>
                <w:ilvl w:val="12"/>
                <w:numId w:val="0"/>
              </w:numPr>
              <w:spacing w:after="120"/>
            </w:pPr>
            <w:r>
              <w:rPr>
                <w:b/>
              </w:rPr>
              <w:t>Disappearance of veteran</w:t>
            </w:r>
            <w:r>
              <w:t xml:space="preserve"> – if disappear/whereabouts unknown, resume “effective the day following the date of last payment”; </w:t>
            </w:r>
            <w:r>
              <w:rPr>
                <w:i/>
              </w:rPr>
              <w:t>no exam is needed unless a future was due while missing, no rating needed, authorization starts up date last paid (DLP) (per Dawn</w:t>
            </w:r>
            <w:r w:rsidR="0071589F">
              <w:rPr>
                <w:i/>
              </w:rPr>
              <w:t xml:space="preserve"> Provost</w:t>
            </w:r>
            <w:r>
              <w:rPr>
                <w:i/>
              </w:rPr>
              <w:t>)</w:t>
            </w:r>
          </w:p>
          <w:p w:rsidR="00013EB8" w:rsidRDefault="00013EB8" w:rsidP="00333C92">
            <w:pPr>
              <w:widowControl w:val="0"/>
              <w:numPr>
                <w:ilvl w:val="0"/>
                <w:numId w:val="57"/>
              </w:numPr>
              <w:spacing w:after="120"/>
              <w:rPr>
                <w:b/>
                <w:iCs/>
              </w:rPr>
            </w:pPr>
            <w:r w:rsidRPr="00F673C9">
              <w:rPr>
                <w:b/>
                <w:iCs/>
              </w:rPr>
              <w:t>3.158</w:t>
            </w:r>
            <w:r>
              <w:rPr>
                <w:b/>
                <w:iCs/>
              </w:rPr>
              <w:t>(c)</w:t>
            </w:r>
          </w:p>
          <w:p w:rsidR="00013EB8" w:rsidRPr="00E76788" w:rsidRDefault="00E76788" w:rsidP="00333C92">
            <w:pPr>
              <w:widowControl w:val="0"/>
              <w:numPr>
                <w:ilvl w:val="0"/>
                <w:numId w:val="57"/>
              </w:numPr>
              <w:spacing w:after="120"/>
              <w:rPr>
                <w:b/>
                <w:bCs/>
              </w:rPr>
            </w:pPr>
            <w:r>
              <w:rPr>
                <w:b/>
                <w:bCs/>
              </w:rPr>
              <w:t>III.iii.1.B</w:t>
            </w:r>
          </w:p>
          <w:p w:rsidR="00013EB8" w:rsidRDefault="009C034B" w:rsidP="00333C92">
            <w:pPr>
              <w:widowControl w:val="0"/>
              <w:numPr>
                <w:ilvl w:val="0"/>
                <w:numId w:val="57"/>
              </w:numPr>
              <w:spacing w:after="120"/>
            </w:pPr>
            <w:r w:rsidRPr="009C034B">
              <w:rPr>
                <w:b/>
                <w:bCs/>
              </w:rPr>
              <w:t>III.iv.8</w:t>
            </w:r>
          </w:p>
        </w:tc>
      </w:tr>
    </w:tbl>
    <w:p w:rsidR="00013EB8" w:rsidRDefault="00013EB8">
      <w:pPr>
        <w:widowControl w:val="0"/>
        <w:pBdr>
          <w:top w:val="single" w:sz="4" w:space="1" w:color="auto"/>
        </w:pBdr>
        <w:tabs>
          <w:tab w:val="left" w:pos="0"/>
          <w:tab w:val="left" w:pos="144"/>
        </w:tabs>
        <w:rPr>
          <w:b/>
          <w:bCs/>
          <w:i/>
          <w:iCs/>
          <w:sz w:val="22"/>
        </w:rPr>
      </w:pPr>
    </w:p>
    <w:p w:rsidR="00013EB8" w:rsidRPr="00BC03F7" w:rsidRDefault="00013EB8">
      <w:pPr>
        <w:widowControl w:val="0"/>
        <w:pBdr>
          <w:top w:val="single" w:sz="4" w:space="1" w:color="auto"/>
        </w:pBdr>
        <w:tabs>
          <w:tab w:val="left" w:pos="0"/>
          <w:tab w:val="left" w:pos="144"/>
        </w:tabs>
      </w:pPr>
      <w:r w:rsidRPr="00BC03F7">
        <w:rPr>
          <w:bCs/>
        </w:rPr>
        <w:t xml:space="preserve">Notes from </w:t>
      </w:r>
      <w:r w:rsidRPr="00C40657">
        <w:rPr>
          <w:b/>
          <w:bCs/>
          <w:i/>
          <w:iCs/>
          <w:u w:val="single"/>
        </w:rPr>
        <w:t>March 2012 Inferred Issues (later called Subordinate Issues) Training</w:t>
      </w:r>
      <w:r w:rsidRPr="00BC03F7">
        <w:t>:</w:t>
      </w:r>
    </w:p>
    <w:p w:rsidR="00013EB8" w:rsidRDefault="00013EB8">
      <w:pPr>
        <w:widowControl w:val="0"/>
        <w:pBdr>
          <w:top w:val="single" w:sz="4" w:space="1" w:color="auto"/>
        </w:pBdr>
        <w:tabs>
          <w:tab w:val="left" w:pos="0"/>
          <w:tab w:val="left" w:pos="144"/>
        </w:tabs>
        <w:rPr>
          <w:b/>
          <w:bCs/>
          <w:i/>
          <w:iCs/>
          <w:u w:val="single"/>
        </w:rPr>
      </w:pPr>
    </w:p>
    <w:p w:rsidR="00013EB8" w:rsidRDefault="00013EB8">
      <w:pPr>
        <w:widowControl w:val="0"/>
        <w:pBdr>
          <w:top w:val="single" w:sz="4" w:space="1" w:color="auto"/>
        </w:pBdr>
        <w:tabs>
          <w:tab w:val="left" w:pos="0"/>
          <w:tab w:val="left" w:pos="144"/>
        </w:tabs>
        <w:rPr>
          <w:b/>
          <w:bCs/>
          <w:i/>
          <w:iCs/>
          <w:u w:val="single"/>
        </w:rPr>
      </w:pPr>
      <w:r>
        <w:rPr>
          <w:b/>
          <w:bCs/>
          <w:i/>
          <w:iCs/>
          <w:u w:val="single"/>
        </w:rPr>
        <w:t>Types of Issues</w:t>
      </w:r>
    </w:p>
    <w:p w:rsidR="00013EB8" w:rsidRDefault="00013EB8">
      <w:pPr>
        <w:widowControl w:val="0"/>
        <w:tabs>
          <w:tab w:val="left" w:pos="0"/>
          <w:tab w:val="left" w:pos="144"/>
        </w:tabs>
      </w:pPr>
      <w:r>
        <w:rPr>
          <w:b/>
          <w:bCs/>
        </w:rPr>
        <w:t>Expressly claimed</w:t>
      </w:r>
      <w:r>
        <w:t xml:space="preserve"> – listed on a claim form or other communication from veteran.</w:t>
      </w:r>
    </w:p>
    <w:p w:rsidR="00013EB8" w:rsidRDefault="00013EB8">
      <w:pPr>
        <w:widowControl w:val="0"/>
        <w:tabs>
          <w:tab w:val="left" w:pos="0"/>
          <w:tab w:val="left" w:pos="144"/>
        </w:tabs>
      </w:pPr>
      <w:r>
        <w:rPr>
          <w:b/>
          <w:bCs/>
        </w:rPr>
        <w:t>Implied</w:t>
      </w:r>
      <w:r>
        <w:t xml:space="preserve"> – i.e. Congressional inquiry indicates the Veteran’s job is in jeopardy due to service-connected (SC) disability or disabilities.  </w:t>
      </w:r>
      <w:r w:rsidR="009A1AA5" w:rsidRPr="009A1AA5">
        <w:rPr>
          <w:i/>
          <w:iCs/>
        </w:rPr>
        <w:t xml:space="preserve">(need to </w:t>
      </w:r>
      <w:hyperlink w:anchor="SolicitClarify" w:history="1">
        <w:r w:rsidR="009A1AA5">
          <w:rPr>
            <w:rStyle w:val="Hyperlink"/>
            <w:i/>
            <w:iCs/>
          </w:rPr>
          <w:t>solicit</w:t>
        </w:r>
      </w:hyperlink>
      <w:r w:rsidR="009A1AA5" w:rsidRPr="009A1AA5">
        <w:rPr>
          <w:i/>
          <w:iCs/>
        </w:rPr>
        <w:t>)</w:t>
      </w:r>
    </w:p>
    <w:p w:rsidR="00013EB8" w:rsidRDefault="00013EB8">
      <w:pPr>
        <w:widowControl w:val="0"/>
        <w:tabs>
          <w:tab w:val="left" w:pos="0"/>
          <w:tab w:val="left" w:pos="144"/>
        </w:tabs>
      </w:pPr>
      <w:r>
        <w:rPr>
          <w:b/>
          <w:bCs/>
        </w:rPr>
        <w:t>Informal</w:t>
      </w:r>
      <w:r>
        <w:t xml:space="preserve"> – A Veteran indicates that he cannot work due to one or more SC conditions. </w:t>
      </w:r>
    </w:p>
    <w:p w:rsidR="00013EB8" w:rsidRDefault="00013EB8">
      <w:pPr>
        <w:pStyle w:val="NormalWeb"/>
        <w:widowControl w:val="0"/>
        <w:spacing w:after="0"/>
        <w:rPr>
          <w:sz w:val="20"/>
        </w:rPr>
      </w:pPr>
      <w:r>
        <w:rPr>
          <w:b/>
          <w:bCs/>
          <w:sz w:val="20"/>
        </w:rPr>
        <w:t>Potential –</w:t>
      </w:r>
      <w:r>
        <w:rPr>
          <w:sz w:val="20"/>
        </w:rPr>
        <w:t xml:space="preserve"> </w:t>
      </w:r>
      <w:r w:rsidR="009A1AA5" w:rsidRPr="009A1AA5">
        <w:rPr>
          <w:i/>
          <w:iCs/>
          <w:sz w:val="20"/>
          <w:szCs w:val="20"/>
        </w:rPr>
        <w:t xml:space="preserve">(need to </w:t>
      </w:r>
      <w:hyperlink w:anchor="SolicitClarify" w:history="1">
        <w:r w:rsidR="009A1AA5">
          <w:rPr>
            <w:rStyle w:val="Hyperlink"/>
            <w:i/>
            <w:iCs/>
            <w:sz w:val="20"/>
            <w:szCs w:val="20"/>
          </w:rPr>
          <w:t>solicit</w:t>
        </w:r>
      </w:hyperlink>
      <w:r w:rsidR="009A1AA5" w:rsidRPr="009A1AA5">
        <w:rPr>
          <w:i/>
          <w:iCs/>
          <w:sz w:val="20"/>
          <w:szCs w:val="20"/>
        </w:rPr>
        <w:t>)</w:t>
      </w:r>
    </w:p>
    <w:p w:rsidR="00013EB8" w:rsidRPr="0078449D" w:rsidRDefault="00013EB8" w:rsidP="00F063AF">
      <w:pPr>
        <w:pStyle w:val="NormalWeb"/>
        <w:widowControl w:val="0"/>
        <w:numPr>
          <w:ilvl w:val="0"/>
          <w:numId w:val="103"/>
        </w:numPr>
        <w:spacing w:after="0"/>
        <w:rPr>
          <w:i/>
          <w:color w:val="4F81BD" w:themeColor="accent1"/>
          <w:sz w:val="20"/>
        </w:rPr>
      </w:pPr>
      <w:r>
        <w:rPr>
          <w:sz w:val="20"/>
        </w:rPr>
        <w:t xml:space="preserve">The VA exam indicates that the Veteran believes a new condition should be SC. </w:t>
      </w:r>
      <w:r w:rsidR="00E71715">
        <w:rPr>
          <w:sz w:val="20"/>
        </w:rPr>
        <w:t xml:space="preserve">– </w:t>
      </w:r>
      <w:r w:rsidR="00E71715" w:rsidRPr="00906706">
        <w:rPr>
          <w:i/>
          <w:color w:val="4F81BD" w:themeColor="accent1"/>
          <w:sz w:val="20"/>
        </w:rPr>
        <w:t xml:space="preserve">In September 2013, Kevin Burton said that Erin </w:t>
      </w:r>
      <w:r w:rsidR="00906706" w:rsidRPr="00906706">
        <w:rPr>
          <w:i/>
          <w:color w:val="4F81BD" w:themeColor="accent1"/>
          <w:sz w:val="20"/>
        </w:rPr>
        <w:t xml:space="preserve">said grant when you </w:t>
      </w:r>
      <w:r w:rsidR="00944F92">
        <w:rPr>
          <w:i/>
          <w:color w:val="4F81BD" w:themeColor="accent1"/>
          <w:sz w:val="20"/>
        </w:rPr>
        <w:t xml:space="preserve">can </w:t>
      </w:r>
      <w:r w:rsidR="00906706" w:rsidRPr="00906706">
        <w:rPr>
          <w:i/>
          <w:color w:val="4F81BD" w:themeColor="accent1"/>
          <w:sz w:val="20"/>
        </w:rPr>
        <w:t>but if you invite it is not an error. Kevin also said he would not consider it an error either. However, most times when something new is brought up at the Gen Med, there is no intent shown so you have to invite rather than rate. But if</w:t>
      </w:r>
      <w:r w:rsidR="00E94B83">
        <w:rPr>
          <w:i/>
          <w:color w:val="4F81BD" w:themeColor="accent1"/>
          <w:sz w:val="20"/>
        </w:rPr>
        <w:t xml:space="preserve"> </w:t>
      </w:r>
      <w:r w:rsidR="00906706" w:rsidRPr="00906706">
        <w:rPr>
          <w:i/>
          <w:color w:val="4F81BD" w:themeColor="accent1"/>
          <w:sz w:val="20"/>
        </w:rPr>
        <w:t>a good examiner took the time to say the vet wants to claim something, which shows intent, you can rate.</w:t>
      </w:r>
      <w:r w:rsidR="004C5860">
        <w:rPr>
          <w:i/>
          <w:color w:val="4F81BD" w:themeColor="accent1"/>
          <w:sz w:val="20"/>
        </w:rPr>
        <w:t xml:space="preserve"> </w:t>
      </w:r>
      <w:r w:rsidR="004C5860">
        <w:rPr>
          <w:i/>
          <w:sz w:val="20"/>
        </w:rPr>
        <w:t xml:space="preserve">Per VA Pulse, </w:t>
      </w:r>
      <w:r w:rsidR="004C58FB" w:rsidRPr="00000E48">
        <w:rPr>
          <w:i/>
          <w:sz w:val="20"/>
        </w:rPr>
        <w:t>https://www.vapulse.net/message/15934</w:t>
      </w:r>
      <w:r w:rsidR="004C58FB">
        <w:rPr>
          <w:i/>
          <w:sz w:val="20"/>
        </w:rPr>
        <w:t xml:space="preserve"> </w:t>
      </w:r>
      <w:r w:rsidR="004C5860" w:rsidRPr="004C58FB">
        <w:rPr>
          <w:i/>
          <w:sz w:val="20"/>
        </w:rPr>
        <w:t xml:space="preserve">after </w:t>
      </w:r>
      <w:r w:rsidR="004C5860" w:rsidRPr="003C3882">
        <w:rPr>
          <w:i/>
          <w:sz w:val="20"/>
          <w:highlight w:val="cyan"/>
        </w:rPr>
        <w:t>3/24/15</w:t>
      </w:r>
      <w:r w:rsidR="004C5860" w:rsidRPr="004C58FB">
        <w:rPr>
          <w:i/>
          <w:sz w:val="20"/>
        </w:rPr>
        <w:t xml:space="preserve"> it’s a </w:t>
      </w:r>
      <w:r w:rsidR="00604119">
        <w:rPr>
          <w:b/>
          <w:i/>
          <w:sz w:val="20"/>
        </w:rPr>
        <w:t>R</w:t>
      </w:r>
      <w:r w:rsidR="004C5860" w:rsidRPr="004C58FB">
        <w:rPr>
          <w:b/>
          <w:i/>
          <w:sz w:val="20"/>
        </w:rPr>
        <w:t xml:space="preserve">equest for </w:t>
      </w:r>
      <w:r w:rsidR="00604119">
        <w:rPr>
          <w:b/>
          <w:i/>
          <w:sz w:val="20"/>
        </w:rPr>
        <w:t>A</w:t>
      </w:r>
      <w:r w:rsidR="004C5860" w:rsidRPr="004C58FB">
        <w:rPr>
          <w:b/>
          <w:i/>
          <w:sz w:val="20"/>
        </w:rPr>
        <w:t>pplication</w:t>
      </w:r>
      <w:r w:rsidR="00604119">
        <w:rPr>
          <w:b/>
          <w:i/>
          <w:sz w:val="20"/>
        </w:rPr>
        <w:t xml:space="preserve"> (RFA)</w:t>
      </w:r>
      <w:r w:rsidR="004C5860" w:rsidRPr="004C58FB">
        <w:rPr>
          <w:i/>
          <w:sz w:val="20"/>
        </w:rPr>
        <w:t xml:space="preserve">; prior to </w:t>
      </w:r>
      <w:r w:rsidR="004C5860" w:rsidRPr="003C3882">
        <w:rPr>
          <w:i/>
          <w:sz w:val="20"/>
          <w:highlight w:val="cyan"/>
        </w:rPr>
        <w:t>3/24/15</w:t>
      </w:r>
      <w:r w:rsidR="004C5860" w:rsidRPr="004C58FB">
        <w:rPr>
          <w:i/>
          <w:sz w:val="20"/>
        </w:rPr>
        <w:t xml:space="preserve">, it’s an </w:t>
      </w:r>
      <w:r w:rsidR="004C5860" w:rsidRPr="004C58FB">
        <w:rPr>
          <w:b/>
          <w:i/>
          <w:sz w:val="20"/>
        </w:rPr>
        <w:t>informal claim</w:t>
      </w:r>
    </w:p>
    <w:p w:rsidR="00013EB8" w:rsidRDefault="00013EB8" w:rsidP="00F063AF">
      <w:pPr>
        <w:pStyle w:val="NormalWeb"/>
        <w:widowControl w:val="0"/>
        <w:numPr>
          <w:ilvl w:val="0"/>
          <w:numId w:val="103"/>
        </w:numPr>
        <w:spacing w:after="0"/>
        <w:rPr>
          <w:sz w:val="20"/>
        </w:rPr>
      </w:pPr>
      <w:r>
        <w:rPr>
          <w:sz w:val="20"/>
        </w:rPr>
        <w:t>The VA exam shows an undiagnosed illness that was not previously claimed in a Gulf War case.</w:t>
      </w:r>
    </w:p>
    <w:p w:rsidR="00013EB8" w:rsidRDefault="00013EB8" w:rsidP="00F063AF">
      <w:pPr>
        <w:pStyle w:val="NormalWeb"/>
        <w:widowControl w:val="0"/>
        <w:numPr>
          <w:ilvl w:val="0"/>
          <w:numId w:val="103"/>
        </w:numPr>
        <w:spacing w:after="0"/>
        <w:rPr>
          <w:sz w:val="20"/>
        </w:rPr>
      </w:pPr>
      <w:r>
        <w:rPr>
          <w:sz w:val="20"/>
        </w:rPr>
        <w:t>Medical evidence shows that a lumbosacral strain may be due to SC knee instability.</w:t>
      </w:r>
    </w:p>
    <w:p w:rsidR="00013EB8" w:rsidRDefault="00013EB8" w:rsidP="00F063AF">
      <w:pPr>
        <w:pStyle w:val="NormalWeb"/>
        <w:widowControl w:val="0"/>
        <w:numPr>
          <w:ilvl w:val="0"/>
          <w:numId w:val="103"/>
        </w:numPr>
        <w:spacing w:after="0"/>
        <w:rPr>
          <w:sz w:val="20"/>
        </w:rPr>
      </w:pPr>
      <w:r>
        <w:rPr>
          <w:sz w:val="20"/>
        </w:rPr>
        <w:t>Prisoner of War (POW) exam notes additional disability that may be related to service.</w:t>
      </w:r>
    </w:p>
    <w:p w:rsidR="00013EB8" w:rsidRDefault="00013EB8" w:rsidP="00F063AF">
      <w:pPr>
        <w:pStyle w:val="NormalWeb"/>
        <w:widowControl w:val="0"/>
        <w:numPr>
          <w:ilvl w:val="0"/>
          <w:numId w:val="103"/>
        </w:numPr>
        <w:spacing w:after="0"/>
        <w:rPr>
          <w:sz w:val="20"/>
        </w:rPr>
      </w:pPr>
      <w:r>
        <w:rPr>
          <w:sz w:val="20"/>
        </w:rPr>
        <w:t>Service Treatment Records (STRs) show epididymectomy due to epididymitis that could quality for Special Monthly Compensation (SMC) at the (k) rate.</w:t>
      </w:r>
    </w:p>
    <w:p w:rsidR="00013EB8" w:rsidRDefault="00013EB8">
      <w:pPr>
        <w:widowControl w:val="0"/>
        <w:tabs>
          <w:tab w:val="left" w:pos="0"/>
          <w:tab w:val="left" w:pos="144"/>
        </w:tabs>
      </w:pPr>
      <w:r>
        <w:rPr>
          <w:b/>
          <w:bCs/>
        </w:rPr>
        <w:t>Mandated</w:t>
      </w:r>
      <w:r>
        <w:t xml:space="preserve"> - Aid and Attendance (A&amp;A) or Housebound (HB) benefits when a 100% SC or non-SC rating is assigned.</w:t>
      </w:r>
    </w:p>
    <w:p w:rsidR="00013EB8" w:rsidRDefault="00013EB8">
      <w:pPr>
        <w:widowControl w:val="0"/>
        <w:tabs>
          <w:tab w:val="left" w:pos="0"/>
          <w:tab w:val="left" w:pos="144"/>
        </w:tabs>
        <w:rPr>
          <w:b/>
          <w:bCs/>
        </w:rPr>
      </w:pPr>
      <w:r>
        <w:rPr>
          <w:b/>
          <w:bCs/>
        </w:rPr>
        <w:t xml:space="preserve">Ambiguous – </w:t>
      </w:r>
      <w:r>
        <w:rPr>
          <w:i/>
          <w:iCs/>
        </w:rPr>
        <w:t xml:space="preserve">(need to </w:t>
      </w:r>
      <w:hyperlink w:anchor="SolicitClarify" w:history="1">
        <w:r>
          <w:rPr>
            <w:rStyle w:val="Hyperlink"/>
            <w:i/>
            <w:iCs/>
          </w:rPr>
          <w:t>clarify</w:t>
        </w:r>
      </w:hyperlink>
      <w:r>
        <w:rPr>
          <w:i/>
          <w:iCs/>
        </w:rPr>
        <w:t>)</w:t>
      </w:r>
    </w:p>
    <w:p w:rsidR="00013EB8" w:rsidRDefault="00013EB8" w:rsidP="00F063AF">
      <w:pPr>
        <w:pStyle w:val="NormalWeb"/>
        <w:widowControl w:val="0"/>
        <w:numPr>
          <w:ilvl w:val="0"/>
          <w:numId w:val="103"/>
        </w:numPr>
        <w:spacing w:after="0"/>
        <w:rPr>
          <w:sz w:val="20"/>
        </w:rPr>
      </w:pPr>
      <w:r>
        <w:rPr>
          <w:sz w:val="20"/>
        </w:rPr>
        <w:t>The VA exam indicates that the Veteran or examiner mistakenly assumes disability is already SC.</w:t>
      </w:r>
    </w:p>
    <w:p w:rsidR="00013EB8" w:rsidRDefault="00013EB8" w:rsidP="00F063AF">
      <w:pPr>
        <w:pStyle w:val="NormalWeb"/>
        <w:widowControl w:val="0"/>
        <w:numPr>
          <w:ilvl w:val="0"/>
          <w:numId w:val="103"/>
        </w:numPr>
        <w:spacing w:after="0"/>
        <w:rPr>
          <w:sz w:val="20"/>
        </w:rPr>
      </w:pPr>
      <w:r>
        <w:rPr>
          <w:sz w:val="20"/>
        </w:rPr>
        <w:t>Veteran mentions a new disability in his Individual Unemployability (IU) claim without elaboration.</w:t>
      </w:r>
    </w:p>
    <w:p w:rsidR="00013EB8" w:rsidRDefault="00013EB8" w:rsidP="00F063AF">
      <w:pPr>
        <w:pStyle w:val="NormalWeb"/>
        <w:widowControl w:val="0"/>
        <w:numPr>
          <w:ilvl w:val="0"/>
          <w:numId w:val="103"/>
        </w:numPr>
        <w:spacing w:after="0"/>
      </w:pPr>
      <w:r>
        <w:rPr>
          <w:sz w:val="20"/>
        </w:rPr>
        <w:t>Hypertension without a date of onset is noted during a general medical examination, 16 months after service</w:t>
      </w:r>
    </w:p>
    <w:p w:rsidR="00013EB8" w:rsidRDefault="00013EB8">
      <w:pPr>
        <w:widowControl w:val="0"/>
        <w:tabs>
          <w:tab w:val="left" w:pos="0"/>
          <w:tab w:val="left" w:pos="144"/>
        </w:tabs>
        <w:rPr>
          <w:b/>
          <w:bCs/>
          <w:i/>
          <w:iCs/>
          <w:sz w:val="22"/>
        </w:rPr>
      </w:pPr>
    </w:p>
    <w:p w:rsidR="000B73BC" w:rsidRPr="000B73BC" w:rsidRDefault="00CF557B" w:rsidP="000B73BC">
      <w:pPr>
        <w:pStyle w:val="BodyText"/>
        <w:widowControl w:val="0"/>
        <w:rPr>
          <w:sz w:val="20"/>
        </w:rPr>
      </w:pPr>
      <w:r>
        <w:rPr>
          <w:b/>
          <w:iCs/>
          <w:sz w:val="20"/>
        </w:rPr>
        <w:t>III.iv.6.B</w:t>
      </w:r>
      <w:r w:rsidR="000B73BC" w:rsidRPr="000B73BC">
        <w:rPr>
          <w:sz w:val="20"/>
        </w:rPr>
        <w:t xml:space="preserve"> </w:t>
      </w:r>
      <w:r w:rsidR="000B73BC">
        <w:rPr>
          <w:sz w:val="20"/>
        </w:rPr>
        <w:t>–</w:t>
      </w:r>
      <w:r w:rsidR="008119CD">
        <w:rPr>
          <w:sz w:val="20"/>
        </w:rPr>
        <w:t xml:space="preserve"> changed 6/30/15, </w:t>
      </w:r>
      <w:r w:rsidR="000B73BC">
        <w:rPr>
          <w:sz w:val="20"/>
        </w:rPr>
        <w:t>inferred issues</w:t>
      </w:r>
    </w:p>
    <w:p w:rsidR="00C62CE9" w:rsidRDefault="00C62CE9">
      <w:pPr>
        <w:widowControl w:val="0"/>
        <w:tabs>
          <w:tab w:val="left" w:pos="0"/>
          <w:tab w:val="left" w:pos="144"/>
        </w:tabs>
      </w:pPr>
    </w:p>
    <w:p w:rsidR="00C62CE9" w:rsidRPr="002F3AE3" w:rsidRDefault="00C62CE9" w:rsidP="00C62CE9">
      <w:pPr>
        <w:widowControl w:val="0"/>
        <w:tabs>
          <w:tab w:val="left" w:pos="0"/>
          <w:tab w:val="left" w:pos="144"/>
        </w:tabs>
      </w:pPr>
      <w:r w:rsidRPr="002F3AE3">
        <w:rPr>
          <w:bCs/>
        </w:rPr>
        <w:t xml:space="preserve">Notes from </w:t>
      </w:r>
      <w:r w:rsidRPr="00C40657">
        <w:rPr>
          <w:b/>
          <w:bCs/>
          <w:i/>
          <w:iCs/>
          <w:u w:val="single"/>
        </w:rPr>
        <w:t>March 2014 Subordinate Issues Training</w:t>
      </w:r>
      <w:r w:rsidRPr="002F3AE3">
        <w:t>:</w:t>
      </w:r>
    </w:p>
    <w:p w:rsidR="0088587A" w:rsidRPr="002F3AE3" w:rsidRDefault="0088587A">
      <w:pPr>
        <w:widowControl w:val="0"/>
        <w:tabs>
          <w:tab w:val="left" w:pos="0"/>
          <w:tab w:val="left" w:pos="144"/>
        </w:tabs>
        <w:rPr>
          <w:b/>
        </w:rPr>
      </w:pPr>
      <w:r w:rsidRPr="002F3AE3">
        <w:rPr>
          <w:b/>
        </w:rPr>
        <w:t>Expressly claimed</w:t>
      </w:r>
    </w:p>
    <w:p w:rsidR="0088587A" w:rsidRPr="002F3AE3" w:rsidRDefault="0088587A">
      <w:pPr>
        <w:widowControl w:val="0"/>
        <w:tabs>
          <w:tab w:val="left" w:pos="0"/>
          <w:tab w:val="left" w:pos="144"/>
        </w:tabs>
      </w:pPr>
      <w:r w:rsidRPr="002F3AE3">
        <w:rPr>
          <w:b/>
        </w:rPr>
        <w:t>Reasonably Raised</w:t>
      </w:r>
      <w:r w:rsidR="006F06CC">
        <w:t xml:space="preserve"> – claiming increase</w:t>
      </w:r>
      <w:r w:rsidRPr="002F3AE3">
        <w:t>, then says can’t work</w:t>
      </w:r>
    </w:p>
    <w:p w:rsidR="0088587A" w:rsidRPr="0084087B" w:rsidRDefault="0088587A" w:rsidP="0084087B">
      <w:pPr>
        <w:pStyle w:val="BodyText"/>
        <w:widowControl w:val="0"/>
        <w:spacing w:after="240"/>
        <w:ind w:left="-29"/>
        <w:rPr>
          <w:i/>
          <w:sz w:val="20"/>
        </w:rPr>
      </w:pPr>
      <w:r w:rsidRPr="0084087B">
        <w:rPr>
          <w:b/>
          <w:sz w:val="20"/>
        </w:rPr>
        <w:t>Unclaimed subordinate issues and Ancillary</w:t>
      </w:r>
      <w:r w:rsidRPr="0084087B">
        <w:rPr>
          <w:sz w:val="20"/>
        </w:rPr>
        <w:t xml:space="preserve"> benefits</w:t>
      </w:r>
      <w:r w:rsidR="00047883" w:rsidRPr="0084087B">
        <w:rPr>
          <w:sz w:val="20"/>
        </w:rPr>
        <w:t xml:space="preserve"> </w:t>
      </w:r>
      <w:r w:rsidR="0082124E" w:rsidRPr="0084087B">
        <w:rPr>
          <w:sz w:val="20"/>
        </w:rPr>
        <w:t>–</w:t>
      </w:r>
      <w:r w:rsidR="00047883" w:rsidRPr="0084087B">
        <w:rPr>
          <w:sz w:val="20"/>
        </w:rPr>
        <w:t xml:space="preserve"> </w:t>
      </w:r>
      <w:r w:rsidR="0082124E" w:rsidRPr="0084087B">
        <w:rPr>
          <w:sz w:val="20"/>
        </w:rPr>
        <w:t xml:space="preserve">3.324 (must infer, even if deny), </w:t>
      </w:r>
      <w:r w:rsidR="003F6423">
        <w:rPr>
          <w:b/>
          <w:sz w:val="20"/>
        </w:rPr>
        <w:t>III.iv.4.</w:t>
      </w:r>
      <w:r w:rsidR="006D16BF">
        <w:rPr>
          <w:b/>
          <w:sz w:val="20"/>
        </w:rPr>
        <w:t>M.2.f</w:t>
      </w:r>
      <w:r w:rsidR="00001FA1">
        <w:rPr>
          <w:b/>
          <w:sz w:val="20"/>
        </w:rPr>
        <w:t xml:space="preserve"> </w:t>
      </w:r>
      <w:r w:rsidR="003F6423">
        <w:rPr>
          <w:i/>
          <w:sz w:val="20"/>
        </w:rPr>
        <w:t>-</w:t>
      </w:r>
      <w:r w:rsidR="00001FA1">
        <w:rPr>
          <w:i/>
          <w:sz w:val="20"/>
        </w:rPr>
        <w:t xml:space="preserve"> </w:t>
      </w:r>
      <w:r w:rsidR="0084087B" w:rsidRPr="00BB0B80">
        <w:rPr>
          <w:sz w:val="20"/>
        </w:rPr>
        <w:t xml:space="preserve">do not infer </w:t>
      </w:r>
      <w:r w:rsidR="003F6423" w:rsidRPr="00BB0B80">
        <w:rPr>
          <w:sz w:val="20"/>
        </w:rPr>
        <w:t xml:space="preserve">hypertension secondary to DM with diabetic nephropathy </w:t>
      </w:r>
      <w:r w:rsidR="0084087B" w:rsidRPr="00BB0B80">
        <w:rPr>
          <w:sz w:val="20"/>
        </w:rPr>
        <w:t>to deny</w:t>
      </w:r>
      <w:r w:rsidR="0082124E" w:rsidRPr="0084087B">
        <w:rPr>
          <w:sz w:val="20"/>
        </w:rPr>
        <w:t>), 1318 (must infer, even if deny), A&amp;A, Auto &amp; Adaptive Equip, DIC, extra-schedular, HB, competency, IU, retroactive pension, SAH, SHA, SMC, 1702</w:t>
      </w:r>
    </w:p>
    <w:p w:rsidR="002F3AE3" w:rsidRPr="002F3AE3" w:rsidRDefault="002F3AE3" w:rsidP="002F3AE3">
      <w:pPr>
        <w:pStyle w:val="NormalWeb"/>
        <w:rPr>
          <w:sz w:val="20"/>
          <w:szCs w:val="20"/>
        </w:rPr>
      </w:pPr>
      <w:r w:rsidRPr="002F3AE3">
        <w:rPr>
          <w:color w:val="000000"/>
          <w:sz w:val="20"/>
          <w:szCs w:val="20"/>
        </w:rPr>
        <w:t>VA Form 21-2680:  Claim for</w:t>
      </w:r>
      <w:r w:rsidRPr="002F3AE3">
        <w:rPr>
          <w:sz w:val="20"/>
          <w:szCs w:val="20"/>
        </w:rPr>
        <w:t xml:space="preserve"> </w:t>
      </w:r>
      <w:r w:rsidRPr="002F3AE3">
        <w:rPr>
          <w:color w:val="000000"/>
          <w:sz w:val="20"/>
          <w:szCs w:val="20"/>
        </w:rPr>
        <w:t>SMC aid and attendance (A</w:t>
      </w:r>
      <w:r w:rsidR="002E6D61">
        <w:rPr>
          <w:color w:val="000000"/>
          <w:sz w:val="20"/>
          <w:szCs w:val="20"/>
        </w:rPr>
        <w:t>&amp;</w:t>
      </w:r>
      <w:r w:rsidRPr="002F3AE3">
        <w:rPr>
          <w:color w:val="000000"/>
          <w:sz w:val="20"/>
          <w:szCs w:val="20"/>
        </w:rPr>
        <w:t>A) is also a</w:t>
      </w:r>
      <w:r w:rsidRPr="002F3AE3">
        <w:rPr>
          <w:sz w:val="20"/>
          <w:szCs w:val="20"/>
        </w:rPr>
        <w:t xml:space="preserve"> </w:t>
      </w:r>
      <w:r w:rsidRPr="002F3AE3">
        <w:rPr>
          <w:color w:val="000000"/>
          <w:sz w:val="20"/>
          <w:szCs w:val="20"/>
        </w:rPr>
        <w:t>SMC housebound (HB) AND a claim for SMP A</w:t>
      </w:r>
      <w:r w:rsidR="002E6D61">
        <w:rPr>
          <w:color w:val="000000"/>
          <w:sz w:val="20"/>
          <w:szCs w:val="20"/>
        </w:rPr>
        <w:t>&amp;</w:t>
      </w:r>
      <w:r w:rsidRPr="002F3AE3">
        <w:rPr>
          <w:color w:val="000000"/>
          <w:sz w:val="20"/>
          <w:szCs w:val="20"/>
        </w:rPr>
        <w:t>A &amp; HB</w:t>
      </w:r>
      <w:r w:rsidR="001731F0">
        <w:rPr>
          <w:color w:val="000000"/>
          <w:sz w:val="20"/>
          <w:szCs w:val="20"/>
        </w:rPr>
        <w:t>; form is actually called “Examination for Housebound Status or Permanent Need for Aid and Attendance”</w:t>
      </w:r>
      <w:r w:rsidR="00C307C3">
        <w:rPr>
          <w:color w:val="000000"/>
          <w:sz w:val="20"/>
          <w:szCs w:val="20"/>
        </w:rPr>
        <w:t xml:space="preserve">; </w:t>
      </w:r>
      <w:hyperlink r:id="rId203" w:history="1">
        <w:r w:rsidR="00C307C3" w:rsidRPr="00856137">
          <w:rPr>
            <w:rStyle w:val="Hyperlink"/>
            <w:b/>
            <w:bCs/>
            <w:i/>
            <w:sz w:val="20"/>
          </w:rPr>
          <w:t>July 2017 Quality Call Notes</w:t>
        </w:r>
      </w:hyperlink>
      <w:r w:rsidR="00C307C3" w:rsidRPr="00856137">
        <w:rPr>
          <w:b/>
          <w:sz w:val="18"/>
          <w:szCs w:val="20"/>
        </w:rPr>
        <w:t xml:space="preserve"> </w:t>
      </w:r>
      <w:r w:rsidR="00C307C3">
        <w:rPr>
          <w:sz w:val="20"/>
          <w:szCs w:val="20"/>
        </w:rPr>
        <w:t>– per video, even if 526 or other attachment only says A&amp;A, still have to address HB if get 21-2680</w:t>
      </w:r>
      <w:r w:rsidR="0027435D">
        <w:rPr>
          <w:sz w:val="20"/>
          <w:szCs w:val="20"/>
        </w:rPr>
        <w:t xml:space="preserve"> &amp; deny A&amp;A</w:t>
      </w:r>
    </w:p>
    <w:tbl>
      <w:tblPr>
        <w:tblW w:w="0" w:type="auto"/>
        <w:tblCellSpacing w:w="0" w:type="dxa"/>
        <w:tblCellMar>
          <w:left w:w="0" w:type="dxa"/>
          <w:right w:w="0" w:type="dxa"/>
        </w:tblCellMar>
        <w:tblLook w:val="04A0" w:firstRow="1" w:lastRow="0" w:firstColumn="1" w:lastColumn="0" w:noHBand="0" w:noVBand="1"/>
      </w:tblPr>
      <w:tblGrid>
        <w:gridCol w:w="10530"/>
      </w:tblGrid>
      <w:tr w:rsidR="002F3AE3" w:rsidRPr="002F3AE3" w:rsidTr="002F3AE3">
        <w:trPr>
          <w:tblCellSpacing w:w="0" w:type="dxa"/>
        </w:trPr>
        <w:tc>
          <w:tcPr>
            <w:tcW w:w="0" w:type="auto"/>
            <w:tcMar>
              <w:top w:w="36" w:type="dxa"/>
              <w:left w:w="36" w:type="dxa"/>
              <w:bottom w:w="36" w:type="dxa"/>
              <w:right w:w="36" w:type="dxa"/>
            </w:tcMar>
            <w:vAlign w:val="center"/>
            <w:hideMark/>
          </w:tcPr>
          <w:p w:rsidR="002F3AE3" w:rsidRDefault="002F3AE3" w:rsidP="002F3AE3">
            <w:r w:rsidRPr="00E52B68">
              <w:rPr>
                <w:b/>
                <w:color w:val="000000"/>
                <w:highlight w:val="darkGray"/>
              </w:rPr>
              <w:t>III.v.2.B.10.b</w:t>
            </w:r>
            <w:r w:rsidRPr="00E52B68">
              <w:rPr>
                <w:color w:val="000000"/>
                <w:highlight w:val="darkGray"/>
              </w:rPr>
              <w:t xml:space="preserve"> - </w:t>
            </w:r>
            <w:r w:rsidRPr="00E52B68">
              <w:rPr>
                <w:highlight w:val="darkGray"/>
              </w:rPr>
              <w:t>If A&amp;A benefits are denied but Housebound benefits are awarded, inform the claimant of the denial as well as the award.</w:t>
            </w:r>
            <w:r w:rsidRPr="002F3AE3">
              <w:t> </w:t>
            </w:r>
          </w:p>
          <w:p w:rsidR="002F3AE3" w:rsidRDefault="002F3AE3" w:rsidP="002F3AE3"/>
          <w:p w:rsidR="002F3AE3" w:rsidRPr="002F3AE3" w:rsidRDefault="002F3AE3" w:rsidP="002F3AE3">
            <w:pPr>
              <w:pStyle w:val="norm12"/>
              <w:rPr>
                <w:rFonts w:ascii="Arial" w:hAnsi="Arial" w:cs="Arial"/>
                <w:sz w:val="20"/>
                <w:szCs w:val="20"/>
              </w:rPr>
            </w:pPr>
            <w:r w:rsidRPr="002F3AE3">
              <w:rPr>
                <w:rFonts w:ascii="Arial" w:hAnsi="Arial" w:cs="Arial"/>
                <w:sz w:val="20"/>
                <w:szCs w:val="20"/>
              </w:rPr>
              <w:t>If the following exceptions apply, do not invite a claim for benefits:</w:t>
            </w:r>
          </w:p>
          <w:p w:rsidR="002F3AE3" w:rsidRPr="002F3AE3" w:rsidRDefault="002F3AE3" w:rsidP="00F063AF">
            <w:pPr>
              <w:pStyle w:val="norm12"/>
              <w:numPr>
                <w:ilvl w:val="0"/>
                <w:numId w:val="158"/>
              </w:numPr>
              <w:rPr>
                <w:rFonts w:ascii="Arial" w:hAnsi="Arial" w:cs="Arial"/>
                <w:sz w:val="20"/>
                <w:szCs w:val="20"/>
              </w:rPr>
            </w:pPr>
            <w:r w:rsidRPr="002F3AE3">
              <w:rPr>
                <w:rFonts w:ascii="Arial" w:hAnsi="Arial" w:cs="Arial"/>
                <w:sz w:val="20"/>
                <w:szCs w:val="20"/>
              </w:rPr>
              <w:t>Acute and transitory disorders without residual disability</w:t>
            </w:r>
          </w:p>
          <w:p w:rsidR="002F3AE3" w:rsidRPr="002F3AE3" w:rsidRDefault="002F3AE3" w:rsidP="00F063AF">
            <w:pPr>
              <w:pStyle w:val="norm12"/>
              <w:numPr>
                <w:ilvl w:val="0"/>
                <w:numId w:val="158"/>
              </w:numPr>
              <w:rPr>
                <w:rFonts w:ascii="Arial" w:hAnsi="Arial" w:cs="Arial"/>
                <w:sz w:val="20"/>
                <w:szCs w:val="20"/>
              </w:rPr>
            </w:pPr>
            <w:r w:rsidRPr="002F3AE3">
              <w:rPr>
                <w:rFonts w:ascii="Arial" w:hAnsi="Arial" w:cs="Arial"/>
                <w:sz w:val="20"/>
                <w:szCs w:val="20"/>
              </w:rPr>
              <w:t>Non-compensable residual disabilities from venereal disease</w:t>
            </w:r>
          </w:p>
          <w:p w:rsidR="002F3AE3" w:rsidRPr="002F3AE3" w:rsidRDefault="002F3AE3" w:rsidP="00F063AF">
            <w:pPr>
              <w:pStyle w:val="norm12"/>
              <w:numPr>
                <w:ilvl w:val="0"/>
                <w:numId w:val="158"/>
              </w:numPr>
              <w:rPr>
                <w:rFonts w:ascii="Arial" w:hAnsi="Arial" w:cs="Arial"/>
                <w:sz w:val="20"/>
                <w:szCs w:val="20"/>
              </w:rPr>
            </w:pPr>
            <w:r w:rsidRPr="002F3AE3">
              <w:rPr>
                <w:rFonts w:ascii="Arial" w:hAnsi="Arial" w:cs="Arial"/>
                <w:sz w:val="20"/>
                <w:szCs w:val="20"/>
              </w:rPr>
              <w:t>Disabilities noted only during an induction examination</w:t>
            </w:r>
          </w:p>
          <w:p w:rsidR="002F3AE3" w:rsidRPr="002F3AE3" w:rsidRDefault="002F3AE3" w:rsidP="00F063AF">
            <w:pPr>
              <w:pStyle w:val="norm12"/>
              <w:numPr>
                <w:ilvl w:val="0"/>
                <w:numId w:val="158"/>
              </w:numPr>
              <w:rPr>
                <w:rFonts w:ascii="Arial" w:hAnsi="Arial" w:cs="Arial"/>
                <w:sz w:val="20"/>
                <w:szCs w:val="20"/>
              </w:rPr>
            </w:pPr>
            <w:r w:rsidRPr="002F3AE3">
              <w:rPr>
                <w:rFonts w:ascii="Arial" w:hAnsi="Arial" w:cs="Arial"/>
                <w:sz w:val="20"/>
                <w:szCs w:val="20"/>
              </w:rPr>
              <w:t>Disorders noted by history only</w:t>
            </w:r>
          </w:p>
          <w:p w:rsidR="002F3AE3" w:rsidRPr="002F3AE3" w:rsidRDefault="002F3AE3" w:rsidP="00F063AF">
            <w:pPr>
              <w:pStyle w:val="norm12"/>
              <w:numPr>
                <w:ilvl w:val="0"/>
                <w:numId w:val="158"/>
              </w:numPr>
              <w:rPr>
                <w:rFonts w:ascii="Arial" w:hAnsi="Arial" w:cs="Arial"/>
                <w:sz w:val="20"/>
                <w:szCs w:val="20"/>
              </w:rPr>
            </w:pPr>
            <w:r w:rsidRPr="002F3AE3">
              <w:rPr>
                <w:rFonts w:ascii="Arial" w:hAnsi="Arial" w:cs="Arial"/>
                <w:sz w:val="20"/>
                <w:szCs w:val="20"/>
              </w:rPr>
              <w:t xml:space="preserve">Disabilities that authorization activity determines were not incurred in the line-of-duty </w:t>
            </w:r>
          </w:p>
          <w:p w:rsidR="002F3AE3" w:rsidRPr="002F3AE3" w:rsidRDefault="002F3AE3" w:rsidP="00F063AF">
            <w:pPr>
              <w:pStyle w:val="norm12"/>
              <w:numPr>
                <w:ilvl w:val="0"/>
                <w:numId w:val="158"/>
              </w:numPr>
              <w:rPr>
                <w:rFonts w:ascii="Arial" w:hAnsi="Arial" w:cs="Arial"/>
                <w:color w:val="1F497D"/>
                <w:sz w:val="20"/>
                <w:szCs w:val="20"/>
              </w:rPr>
            </w:pPr>
            <w:r w:rsidRPr="002F3AE3">
              <w:rPr>
                <w:rFonts w:ascii="Arial" w:hAnsi="Arial" w:cs="Arial"/>
                <w:sz w:val="20"/>
                <w:szCs w:val="20"/>
              </w:rPr>
              <w:t>Abnormal clinical findings, such as cholesterol or blood sugar levels, that are not generally recognized as disabilities or subject to service connection</w:t>
            </w:r>
          </w:p>
          <w:p w:rsidR="002F3AE3" w:rsidRDefault="002F3AE3" w:rsidP="002F3AE3">
            <w:pPr>
              <w:rPr>
                <w:rFonts w:eastAsiaTheme="minorHAnsi"/>
              </w:rPr>
            </w:pPr>
          </w:p>
          <w:p w:rsidR="00097EEA" w:rsidRPr="00097EEA" w:rsidRDefault="00991E8B" w:rsidP="00991E8B">
            <w:pPr>
              <w:rPr>
                <w:i/>
              </w:rPr>
            </w:pPr>
            <w:r w:rsidRPr="00097EEA">
              <w:rPr>
                <w:rFonts w:eastAsiaTheme="minorHAnsi"/>
                <w:i/>
                <w:color w:val="00B050"/>
              </w:rPr>
              <w:t xml:space="preserve">My Notes:  </w:t>
            </w:r>
            <w:r w:rsidRPr="00097EEA">
              <w:rPr>
                <w:rFonts w:eastAsiaTheme="minorHAnsi"/>
                <w:i/>
              </w:rPr>
              <w:t>If a prior RD has issues inferred &amp; deferred that were not claimed</w:t>
            </w:r>
            <w:r w:rsidR="00097EEA" w:rsidRPr="00097EEA">
              <w:rPr>
                <w:rFonts w:eastAsiaTheme="minorHAnsi"/>
                <w:i/>
              </w:rPr>
              <w:t xml:space="preserve"> &amp; they aren’t within the scope or complications that can be granted (i.e. </w:t>
            </w:r>
            <w:r w:rsidR="00097EEA" w:rsidRPr="00097EEA">
              <w:rPr>
                <w:i/>
              </w:rPr>
              <w:t>DM was claimed, neuro exam was unclear, PN UEs were deferred &amp; now examiner has said they don’t exist</w:t>
            </w:r>
            <w:r w:rsidR="00097EEA" w:rsidRPr="00097EEA">
              <w:rPr>
                <w:rFonts w:eastAsiaTheme="minorHAnsi"/>
                <w:i/>
              </w:rPr>
              <w:t>)</w:t>
            </w:r>
            <w:r w:rsidRPr="00097EEA">
              <w:rPr>
                <w:rFonts w:eastAsiaTheme="minorHAnsi"/>
                <w:i/>
              </w:rPr>
              <w:t xml:space="preserve">, it’s best to </w:t>
            </w:r>
            <w:r w:rsidRPr="00097EEA">
              <w:rPr>
                <w:i/>
                <w:color w:val="000000"/>
              </w:rPr>
              <w:t>clear the deferrals off the codesheet &amp; addr</w:t>
            </w:r>
            <w:r w:rsidR="00E653BF">
              <w:rPr>
                <w:i/>
                <w:color w:val="000000"/>
              </w:rPr>
              <w:t>ess it in the I</w:t>
            </w:r>
            <w:r w:rsidR="00097EEA" w:rsidRPr="00097EEA">
              <w:rPr>
                <w:i/>
                <w:color w:val="000000"/>
              </w:rPr>
              <w:t>ntroduction with something like:  Rating Decision dated {}</w:t>
            </w:r>
            <w:r w:rsidRPr="00097EEA">
              <w:rPr>
                <w:i/>
                <w:color w:val="000000"/>
              </w:rPr>
              <w:t xml:space="preserve"> deferred the issues of </w:t>
            </w:r>
            <w:r w:rsidR="00097EEA" w:rsidRPr="00097EEA">
              <w:rPr>
                <w:i/>
                <w:color w:val="000000"/>
              </w:rPr>
              <w:t xml:space="preserve">{} and {}. However, </w:t>
            </w:r>
            <w:r w:rsidRPr="00097EEA">
              <w:rPr>
                <w:i/>
                <w:color w:val="000000"/>
              </w:rPr>
              <w:t xml:space="preserve">we </w:t>
            </w:r>
            <w:r w:rsidR="005B3EA3">
              <w:rPr>
                <w:i/>
                <w:color w:val="000000"/>
              </w:rPr>
              <w:t>do not have a</w:t>
            </w:r>
            <w:r w:rsidRPr="00097EEA">
              <w:rPr>
                <w:i/>
                <w:color w:val="000000"/>
              </w:rPr>
              <w:t xml:space="preserve"> claim</w:t>
            </w:r>
            <w:r w:rsidR="005B3EA3">
              <w:rPr>
                <w:i/>
                <w:color w:val="000000"/>
              </w:rPr>
              <w:t xml:space="preserve"> for</w:t>
            </w:r>
            <w:r w:rsidRPr="00097EEA">
              <w:rPr>
                <w:i/>
                <w:color w:val="000000"/>
              </w:rPr>
              <w:t xml:space="preserve"> </w:t>
            </w:r>
            <w:r w:rsidR="00097EEA" w:rsidRPr="00097EEA">
              <w:rPr>
                <w:i/>
                <w:color w:val="000000"/>
              </w:rPr>
              <w:t>{} and {}. Ther</w:t>
            </w:r>
            <w:r w:rsidRPr="00097EEA">
              <w:rPr>
                <w:i/>
                <w:color w:val="000000"/>
              </w:rPr>
              <w:t>efore</w:t>
            </w:r>
            <w:r w:rsidR="00097EEA" w:rsidRPr="00097EEA">
              <w:rPr>
                <w:i/>
                <w:color w:val="000000"/>
              </w:rPr>
              <w:t>,</w:t>
            </w:r>
            <w:r w:rsidRPr="00097EEA">
              <w:rPr>
                <w:i/>
                <w:color w:val="000000"/>
              </w:rPr>
              <w:t xml:space="preserve"> no further action is to be taken. </w:t>
            </w:r>
            <w:r w:rsidR="005B3EA3">
              <w:rPr>
                <w:i/>
                <w:color w:val="000000"/>
              </w:rPr>
              <w:t xml:space="preserve">{maybe include this if can grant:  </w:t>
            </w:r>
            <w:r w:rsidRPr="00097EEA">
              <w:rPr>
                <w:i/>
                <w:color w:val="000000"/>
              </w:rPr>
              <w:t xml:space="preserve">If </w:t>
            </w:r>
            <w:r w:rsidR="00097EEA">
              <w:rPr>
                <w:i/>
                <w:color w:val="000000"/>
              </w:rPr>
              <w:t>you would like</w:t>
            </w:r>
            <w:r w:rsidRPr="00097EEA">
              <w:rPr>
                <w:i/>
                <w:color w:val="000000"/>
              </w:rPr>
              <w:t xml:space="preserve"> to claim </w:t>
            </w:r>
            <w:r w:rsidR="00097EEA" w:rsidRPr="00097EEA">
              <w:rPr>
                <w:i/>
                <w:color w:val="000000"/>
              </w:rPr>
              <w:t>{} and {}</w:t>
            </w:r>
            <w:r w:rsidRPr="00097EEA">
              <w:rPr>
                <w:i/>
                <w:color w:val="000000"/>
              </w:rPr>
              <w:t xml:space="preserve">, </w:t>
            </w:r>
            <w:r w:rsidR="00097EEA" w:rsidRPr="00097EEA">
              <w:rPr>
                <w:i/>
              </w:rPr>
              <w:t xml:space="preserve">please submit a completed VA Form 21-526EZ, </w:t>
            </w:r>
            <w:r w:rsidR="00097EEA" w:rsidRPr="00097EEA">
              <w:rPr>
                <w:i/>
                <w:iCs/>
              </w:rPr>
              <w:t xml:space="preserve">Application For Disability Compensation And Related Compensation Benefits, </w:t>
            </w:r>
            <w:r w:rsidR="00097EEA" w:rsidRPr="00097EEA">
              <w:rPr>
                <w:i/>
              </w:rPr>
              <w:t xml:space="preserve">to the appropriate address listed on the attached </w:t>
            </w:r>
            <w:r w:rsidR="00097EEA" w:rsidRPr="00097EEA">
              <w:rPr>
                <w:i/>
                <w:iCs/>
              </w:rPr>
              <w:t xml:space="preserve">Where to Send Your Written Correspondence </w:t>
            </w:r>
            <w:r w:rsidR="00097EEA" w:rsidRPr="00097EEA">
              <w:rPr>
                <w:i/>
              </w:rPr>
              <w:t xml:space="preserve">chart. You can download the form at </w:t>
            </w:r>
            <w:hyperlink r:id="rId204" w:history="1">
              <w:r w:rsidR="00097EEA" w:rsidRPr="00097EEA">
                <w:rPr>
                  <w:rStyle w:val="Hyperlink"/>
                  <w:i/>
                </w:rPr>
                <w:t>http://www.va.gov/vaforms</w:t>
              </w:r>
            </w:hyperlink>
            <w:r w:rsidR="00097EEA" w:rsidRPr="00097EEA">
              <w:rPr>
                <w:i/>
              </w:rPr>
              <w:t xml:space="preserve"> or you can call us at 1-800-827-1000. We recommend you return the form as soon as you can, in order to ensure the earliest possible payment date, if an award is authorized.</w:t>
            </w:r>
            <w:r w:rsidR="005B3EA3">
              <w:rPr>
                <w:i/>
              </w:rPr>
              <w:t>}</w:t>
            </w:r>
          </w:p>
          <w:p w:rsidR="00097EEA" w:rsidRPr="00097EEA" w:rsidRDefault="00097EEA" w:rsidP="00991E8B">
            <w:r w:rsidRPr="00097EEA">
              <w:t xml:space="preserve">Note for codesheet:  VSR:  Please attached a </w:t>
            </w:r>
            <w:r w:rsidRPr="00097EEA">
              <w:rPr>
                <w:iCs/>
              </w:rPr>
              <w:t xml:space="preserve">Where to Send Your Written Correspondence </w:t>
            </w:r>
            <w:r w:rsidRPr="00097EEA">
              <w:t>chart</w:t>
            </w:r>
            <w:r>
              <w:t xml:space="preserve"> to the notification letter.</w:t>
            </w:r>
          </w:p>
          <w:p w:rsidR="00991E8B" w:rsidRPr="002F3AE3" w:rsidRDefault="00991E8B" w:rsidP="002F3AE3">
            <w:pPr>
              <w:rPr>
                <w:rFonts w:eastAsiaTheme="minorHAnsi"/>
              </w:rPr>
            </w:pPr>
          </w:p>
        </w:tc>
      </w:tr>
    </w:tbl>
    <w:p w:rsidR="00013EB8" w:rsidRDefault="00013EB8">
      <w:pPr>
        <w:widowControl w:val="0"/>
        <w:tabs>
          <w:tab w:val="left" w:pos="0"/>
          <w:tab w:val="left" w:pos="144"/>
        </w:tabs>
        <w:rPr>
          <w:b/>
          <w:bCs/>
          <w:i/>
          <w:iCs/>
          <w:sz w:val="22"/>
        </w:rPr>
      </w:pPr>
    </w:p>
    <w:p w:rsidR="00013EB8" w:rsidRDefault="00013EB8">
      <w:pPr>
        <w:widowControl w:val="0"/>
        <w:pBdr>
          <w:top w:val="single" w:sz="4" w:space="1" w:color="auto"/>
        </w:pBdr>
        <w:tabs>
          <w:tab w:val="left" w:pos="0"/>
          <w:tab w:val="left" w:pos="144"/>
        </w:tabs>
        <w:rPr>
          <w:b/>
          <w:bCs/>
          <w:i/>
          <w:iCs/>
          <w:sz w:val="22"/>
        </w:rPr>
      </w:pPr>
    </w:p>
    <w:p w:rsidR="00013EB8" w:rsidRDefault="00517098">
      <w:pPr>
        <w:pStyle w:val="Heading4"/>
        <w:keepNext w:val="0"/>
        <w:widowControl w:val="0"/>
        <w:pBdr>
          <w:top w:val="none" w:sz="0" w:space="0" w:color="auto"/>
          <w:left w:val="none" w:sz="0" w:space="0" w:color="auto"/>
          <w:bottom w:val="none" w:sz="0" w:space="0" w:color="auto"/>
          <w:right w:val="none" w:sz="0" w:space="0" w:color="auto"/>
        </w:pBdr>
        <w:tabs>
          <w:tab w:val="clear" w:pos="0"/>
          <w:tab w:val="clear" w:pos="144"/>
        </w:tabs>
      </w:pPr>
      <w:bookmarkStart w:id="7" w:name="CUE"/>
      <w:bookmarkEnd w:id="7"/>
      <w:r>
        <w:t>Clear and Unmistakable (CUE) –</w:t>
      </w:r>
    </w:p>
    <w:p w:rsidR="00393C23" w:rsidRDefault="00393C23" w:rsidP="00393C23"/>
    <w:p w:rsidR="00393C23" w:rsidRDefault="00393C23" w:rsidP="00393C23">
      <w:pPr>
        <w:rPr>
          <w:b/>
        </w:rPr>
      </w:pPr>
      <w:r w:rsidRPr="00393C23">
        <w:rPr>
          <w:b/>
        </w:rPr>
        <w:t>III.iv.7.</w:t>
      </w:r>
      <w:r>
        <w:rPr>
          <w:b/>
        </w:rPr>
        <w:t>B</w:t>
      </w:r>
      <w:r w:rsidRPr="00393C23">
        <w:rPr>
          <w:b/>
        </w:rPr>
        <w:t>.3</w:t>
      </w:r>
    </w:p>
    <w:p w:rsidR="00274613" w:rsidRPr="00274613" w:rsidRDefault="00274613" w:rsidP="00393C23">
      <w:r w:rsidRPr="001E4612">
        <w:rPr>
          <w:rStyle w:val="Hyperlink"/>
          <w:b/>
          <w:color w:val="auto"/>
          <w:u w:val="none"/>
        </w:rPr>
        <w:t>III.ii.2.B.1.c</w:t>
      </w:r>
      <w:r>
        <w:rPr>
          <w:rStyle w:val="Hyperlink"/>
          <w:b/>
          <w:color w:val="auto"/>
          <w:u w:val="none"/>
        </w:rPr>
        <w:t xml:space="preserve"> – </w:t>
      </w:r>
      <w:r w:rsidRPr="00274613">
        <w:rPr>
          <w:rStyle w:val="Hyperlink"/>
          <w:color w:val="auto"/>
          <w:u w:val="none"/>
        </w:rPr>
        <w:t>claim does not need to be on prescribed form</w:t>
      </w:r>
    </w:p>
    <w:p w:rsidR="00013EB8" w:rsidRDefault="00013EB8">
      <w:pPr>
        <w:widowControl w:val="0"/>
        <w:rPr>
          <w:sz w:val="22"/>
        </w:rPr>
      </w:pPr>
    </w:p>
    <w:p w:rsidR="00BC2707" w:rsidRPr="00F37079" w:rsidRDefault="00BC2707" w:rsidP="00BC2707">
      <w:pPr>
        <w:widowControl w:val="0"/>
        <w:pBdr>
          <w:top w:val="double" w:sz="4" w:space="1" w:color="auto"/>
          <w:left w:val="double" w:sz="4" w:space="4" w:color="auto"/>
          <w:bottom w:val="double" w:sz="4" w:space="1" w:color="auto"/>
          <w:right w:val="double" w:sz="4" w:space="4" w:color="auto"/>
        </w:pBdr>
        <w:shd w:val="clear" w:color="auto" w:fill="FFC000"/>
        <w:tabs>
          <w:tab w:val="left" w:pos="0"/>
        </w:tabs>
        <w:spacing w:after="120"/>
        <w:ind w:right="-90"/>
        <w:rPr>
          <w:rFonts w:eastAsiaTheme="minorHAnsi"/>
        </w:rPr>
      </w:pPr>
      <w:r w:rsidRPr="00F37079">
        <w:rPr>
          <w:b/>
        </w:rPr>
        <w:t>STAR Errors VSC Review</w:t>
      </w:r>
      <w:r w:rsidRPr="00F37079">
        <w:rPr>
          <w:i/>
        </w:rPr>
        <w:t xml:space="preserve"> </w:t>
      </w:r>
      <w:r w:rsidRPr="00F37079">
        <w:t>(spreadsheet</w:t>
      </w:r>
      <w:r>
        <w:t>, 10/15 to 5/16</w:t>
      </w:r>
      <w:r w:rsidRPr="00F37079">
        <w:t>) is saved at</w:t>
      </w:r>
      <w:r>
        <w:rPr>
          <w:i/>
        </w:rPr>
        <w:t xml:space="preserve"> </w:t>
      </w:r>
      <w:r>
        <w:rPr>
          <w:b/>
          <w:bCs/>
          <w:i/>
          <w:iCs/>
        </w:rPr>
        <w:t>H:\</w:t>
      </w:r>
      <w:r w:rsidRPr="00F37079">
        <w:rPr>
          <w:b/>
          <w:bCs/>
          <w:i/>
          <w:iCs/>
        </w:rPr>
        <w:t>VSC\Rating Reference</w:t>
      </w:r>
    </w:p>
    <w:p w:rsidR="00BC2707" w:rsidRDefault="00BC2707">
      <w:pPr>
        <w:widowControl w:val="0"/>
        <w:rPr>
          <w:sz w:val="22"/>
        </w:rPr>
      </w:pPr>
    </w:p>
    <w:p w:rsidR="00BC2707" w:rsidRDefault="00BC2707" w:rsidP="00BC2707">
      <w:pPr>
        <w:pBdr>
          <w:top w:val="single" w:sz="2" w:space="0" w:color="auto"/>
          <w:left w:val="single" w:sz="2" w:space="4" w:color="auto"/>
          <w:bottom w:val="single" w:sz="2" w:space="0" w:color="auto"/>
          <w:right w:val="single" w:sz="2" w:space="4" w:color="auto"/>
        </w:pBdr>
        <w:shd w:val="clear" w:color="auto" w:fill="FFC000"/>
        <w:rPr>
          <w:b/>
          <w:bCs/>
          <w:i/>
          <w:iCs/>
        </w:rPr>
      </w:pPr>
      <w:r>
        <w:t xml:space="preserve">VA Form 21-0961, </w:t>
      </w:r>
      <w:r w:rsidRPr="00CE5DB8">
        <w:rPr>
          <w:i/>
        </w:rPr>
        <w:t>Electronic Signatures</w:t>
      </w:r>
      <w:r>
        <w:rPr>
          <w:i/>
        </w:rPr>
        <w:t xml:space="preserve"> – </w:t>
      </w:r>
      <w:r>
        <w:t>for CUEs, use the “21-0961 for CUEs</w:t>
      </w:r>
      <w:r w:rsidR="005D5B1E">
        <w:t xml:space="preserve"> (use eff 3-14-16)</w:t>
      </w:r>
      <w:r>
        <w:t xml:space="preserve">” </w:t>
      </w:r>
      <w:r w:rsidRPr="00C240A2">
        <w:t>at</w:t>
      </w:r>
      <w:r>
        <w:rPr>
          <w:i/>
        </w:rPr>
        <w:t xml:space="preserve"> </w:t>
      </w:r>
      <w:r w:rsidRPr="001453C4">
        <w:rPr>
          <w:b/>
          <w:bCs/>
          <w:i/>
          <w:iCs/>
        </w:rPr>
        <w:t>H:\VSC\Rating Reference</w:t>
      </w:r>
    </w:p>
    <w:p w:rsidR="00BC2707" w:rsidRPr="00CB472A" w:rsidRDefault="00D97868" w:rsidP="00BC2707">
      <w:pPr>
        <w:pBdr>
          <w:top w:val="single" w:sz="2" w:space="0" w:color="auto"/>
          <w:left w:val="single" w:sz="2" w:space="4" w:color="auto"/>
          <w:bottom w:val="single" w:sz="2" w:space="0" w:color="auto"/>
          <w:right w:val="single" w:sz="2" w:space="4" w:color="auto"/>
        </w:pBdr>
        <w:shd w:val="clear" w:color="auto" w:fill="FFC000"/>
        <w:rPr>
          <w:bCs/>
          <w:iCs/>
        </w:rPr>
      </w:pPr>
      <w:r>
        <w:rPr>
          <w:rStyle w:val="admincol2"/>
        </w:rPr>
        <w:t>http://vbaw.vba.va.gov/bl/20/cio/20s5/forms/VBA-21-0961-ARE.pdf</w:t>
      </w:r>
    </w:p>
    <w:p w:rsidR="00BC2707" w:rsidRDefault="00BC2707" w:rsidP="00BC2707">
      <w:pPr>
        <w:widowControl w:val="0"/>
        <w:spacing w:after="120"/>
        <w:rPr>
          <w:b/>
          <w:bCs/>
          <w:u w:val="single"/>
        </w:rPr>
      </w:pPr>
    </w:p>
    <w:p w:rsidR="00BC2707" w:rsidRDefault="00BC2707" w:rsidP="00BC2707">
      <w:pPr>
        <w:widowControl w:val="0"/>
        <w:spacing w:after="120"/>
        <w:rPr>
          <w:b/>
          <w:bCs/>
          <w:u w:val="single"/>
        </w:rPr>
      </w:pPr>
      <w:r>
        <w:rPr>
          <w:b/>
          <w:bCs/>
          <w:u w:val="single"/>
        </w:rPr>
        <w:t>Effective 4/1/16, 2 signatures required (RVSR &amp; RQRS) for:</w:t>
      </w:r>
    </w:p>
    <w:p w:rsidR="00BC2707" w:rsidRDefault="00BC2707" w:rsidP="00BC2707">
      <w:pPr>
        <w:widowControl w:val="0"/>
        <w:numPr>
          <w:ilvl w:val="0"/>
          <w:numId w:val="46"/>
        </w:numPr>
        <w:tabs>
          <w:tab w:val="clear" w:pos="720"/>
          <w:tab w:val="num" w:pos="360"/>
        </w:tabs>
        <w:spacing w:after="120"/>
        <w:ind w:left="360"/>
      </w:pPr>
      <w:r>
        <w:t>SMC greater than “L”</w:t>
      </w:r>
    </w:p>
    <w:p w:rsidR="00BC2707" w:rsidRPr="00850EF8" w:rsidRDefault="00BC2707" w:rsidP="00BC2707">
      <w:pPr>
        <w:widowControl w:val="0"/>
        <w:spacing w:after="120"/>
        <w:rPr>
          <w:b/>
          <w:bCs/>
          <w:u w:val="single"/>
        </w:rPr>
      </w:pPr>
      <w:r>
        <w:rPr>
          <w:b/>
          <w:bCs/>
          <w:u w:val="single"/>
        </w:rPr>
        <w:t>Effective 4/</w:t>
      </w:r>
      <w:r w:rsidRPr="00850EF8">
        <w:rPr>
          <w:b/>
          <w:bCs/>
          <w:u w:val="single"/>
        </w:rPr>
        <w:t>1/1</w:t>
      </w:r>
      <w:r>
        <w:rPr>
          <w:b/>
          <w:bCs/>
          <w:u w:val="single"/>
        </w:rPr>
        <w:t>6</w:t>
      </w:r>
      <w:r w:rsidRPr="00850EF8">
        <w:rPr>
          <w:b/>
          <w:bCs/>
          <w:u w:val="single"/>
        </w:rPr>
        <w:t xml:space="preserve">, 3 </w:t>
      </w:r>
      <w:r w:rsidR="00853EDE">
        <w:rPr>
          <w:b/>
          <w:bCs/>
          <w:u w:val="single"/>
        </w:rPr>
        <w:t>signature</w:t>
      </w:r>
      <w:r w:rsidRPr="00850EF8">
        <w:rPr>
          <w:b/>
          <w:bCs/>
          <w:u w:val="single"/>
        </w:rPr>
        <w:t>s required (RVSR, RQRS &amp; VSCM</w:t>
      </w:r>
      <w:r>
        <w:rPr>
          <w:b/>
          <w:bCs/>
          <w:u w:val="single"/>
        </w:rPr>
        <w:t xml:space="preserve"> </w:t>
      </w:r>
      <w:r w:rsidRPr="00850EF8">
        <w:rPr>
          <w:b/>
          <w:bCs/>
          <w:u w:val="single"/>
        </w:rPr>
        <w:t xml:space="preserve">designee </w:t>
      </w:r>
      <w:r w:rsidRPr="00850EF8">
        <w:rPr>
          <w:b/>
          <w:bCs/>
          <w:i/>
          <w:u w:val="single"/>
        </w:rPr>
        <w:t>with Name &amp; Title</w:t>
      </w:r>
      <w:r w:rsidRPr="00850EF8">
        <w:rPr>
          <w:b/>
          <w:bCs/>
          <w:u w:val="single"/>
        </w:rPr>
        <w:t>) for:</w:t>
      </w:r>
    </w:p>
    <w:p w:rsidR="00BC2707" w:rsidRPr="00C520B3" w:rsidRDefault="00BC2707" w:rsidP="00BC2707">
      <w:pPr>
        <w:widowControl w:val="0"/>
        <w:numPr>
          <w:ilvl w:val="0"/>
          <w:numId w:val="46"/>
        </w:numPr>
        <w:tabs>
          <w:tab w:val="clear" w:pos="720"/>
          <w:tab w:val="num" w:pos="360"/>
        </w:tabs>
        <w:spacing w:after="120"/>
        <w:ind w:left="360"/>
        <w:rPr>
          <w:i/>
          <w:iCs/>
        </w:rPr>
      </w:pPr>
      <w:r>
        <w:rPr>
          <w:iCs/>
        </w:rPr>
        <w:t>POW ratings</w:t>
      </w:r>
    </w:p>
    <w:p w:rsidR="00BC2707" w:rsidRPr="008B75DF" w:rsidRDefault="00BC2707" w:rsidP="00BC2707">
      <w:pPr>
        <w:widowControl w:val="0"/>
        <w:numPr>
          <w:ilvl w:val="0"/>
          <w:numId w:val="46"/>
        </w:numPr>
        <w:tabs>
          <w:tab w:val="clear" w:pos="720"/>
          <w:tab w:val="num" w:pos="360"/>
        </w:tabs>
        <w:spacing w:after="120"/>
        <w:ind w:left="360"/>
        <w:rPr>
          <w:i/>
          <w:iCs/>
        </w:rPr>
      </w:pPr>
      <w:r>
        <w:rPr>
          <w:iCs/>
        </w:rPr>
        <w:t>Extensions of hospitalization rates under 4.29 &amp; convalescent ratings under 4.30</w:t>
      </w:r>
    </w:p>
    <w:p w:rsidR="00BC2707" w:rsidRPr="000C548B" w:rsidRDefault="00BC2707" w:rsidP="00BC2707">
      <w:pPr>
        <w:widowControl w:val="0"/>
        <w:numPr>
          <w:ilvl w:val="0"/>
          <w:numId w:val="46"/>
        </w:numPr>
        <w:tabs>
          <w:tab w:val="clear" w:pos="720"/>
          <w:tab w:val="num" w:pos="360"/>
          <w:tab w:val="num" w:pos="400"/>
        </w:tabs>
        <w:spacing w:after="120"/>
        <w:ind w:left="400"/>
        <w:rPr>
          <w:sz w:val="18"/>
        </w:rPr>
      </w:pPr>
      <w:r>
        <w:t xml:space="preserve">CUEs </w:t>
      </w:r>
    </w:p>
    <w:p w:rsidR="00BC2707" w:rsidRPr="00EE23A4" w:rsidRDefault="00BC2707" w:rsidP="00BC2707">
      <w:pPr>
        <w:widowControl w:val="0"/>
        <w:numPr>
          <w:ilvl w:val="0"/>
          <w:numId w:val="46"/>
        </w:numPr>
        <w:tabs>
          <w:tab w:val="clear" w:pos="720"/>
          <w:tab w:val="num" w:pos="360"/>
          <w:tab w:val="num" w:pos="400"/>
        </w:tabs>
        <w:spacing w:after="120"/>
        <w:ind w:left="400"/>
        <w:rPr>
          <w:sz w:val="18"/>
        </w:rPr>
      </w:pPr>
      <w:r>
        <w:t xml:space="preserve">proposals to sever SC </w:t>
      </w:r>
    </w:p>
    <w:p w:rsidR="00EE23A4" w:rsidRDefault="00EE23A4" w:rsidP="00EE23A4">
      <w:pPr>
        <w:widowControl w:val="0"/>
        <w:tabs>
          <w:tab w:val="num" w:pos="720"/>
        </w:tabs>
        <w:spacing w:after="120"/>
      </w:pPr>
    </w:p>
    <w:p w:rsidR="007B541B" w:rsidRDefault="007B541B" w:rsidP="001A081F">
      <w:pPr>
        <w:widowControl w:val="0"/>
        <w:spacing w:after="120"/>
        <w:rPr>
          <w:color w:val="0D0D0D"/>
        </w:rPr>
      </w:pPr>
      <w:r w:rsidRPr="004C2291">
        <w:rPr>
          <w:b/>
          <w:color w:val="0D0D0D"/>
        </w:rPr>
        <w:t>III.iv.6.D.7.d</w:t>
      </w:r>
      <w:r>
        <w:rPr>
          <w:b/>
          <w:color w:val="0D0D0D"/>
        </w:rPr>
        <w:t xml:space="preserve"> – </w:t>
      </w:r>
      <w:r w:rsidRPr="004C2291">
        <w:rPr>
          <w:color w:val="0D0D0D"/>
        </w:rPr>
        <w:t>Two Signature Ratings</w:t>
      </w:r>
    </w:p>
    <w:p w:rsidR="007B541B" w:rsidRDefault="007B541B" w:rsidP="007B541B">
      <w:pPr>
        <w:widowControl w:val="0"/>
        <w:spacing w:after="120"/>
        <w:rPr>
          <w:b/>
          <w:bCs/>
          <w:u w:val="single"/>
        </w:rPr>
      </w:pPr>
      <w:r>
        <w:rPr>
          <w:b/>
          <w:bCs/>
          <w:u w:val="single"/>
        </w:rPr>
        <w:t>RVSR &amp; “designated reviewer” signatures required for:</w:t>
      </w:r>
    </w:p>
    <w:p w:rsidR="007B541B" w:rsidRDefault="007B541B" w:rsidP="007B541B">
      <w:pPr>
        <w:widowControl w:val="0"/>
        <w:numPr>
          <w:ilvl w:val="0"/>
          <w:numId w:val="46"/>
        </w:numPr>
        <w:tabs>
          <w:tab w:val="clear" w:pos="720"/>
          <w:tab w:val="num" w:pos="360"/>
        </w:tabs>
        <w:spacing w:after="120"/>
        <w:ind w:left="360"/>
      </w:pPr>
      <w:r>
        <w:t>SMC greater than “L”</w:t>
      </w:r>
    </w:p>
    <w:p w:rsidR="007B541B" w:rsidRDefault="007B541B" w:rsidP="007B541B">
      <w:pPr>
        <w:widowControl w:val="0"/>
        <w:numPr>
          <w:ilvl w:val="0"/>
          <w:numId w:val="46"/>
        </w:numPr>
        <w:tabs>
          <w:tab w:val="clear" w:pos="720"/>
          <w:tab w:val="num" w:pos="360"/>
        </w:tabs>
        <w:spacing w:after="120"/>
        <w:ind w:left="360"/>
      </w:pPr>
      <w:r>
        <w:t>extra-schedular pension</w:t>
      </w:r>
      <w:r w:rsidR="00A86F3E">
        <w:t xml:space="preserve"> </w:t>
      </w:r>
      <w:r w:rsidR="00A86F3E" w:rsidRPr="00A86F3E">
        <w:rPr>
          <w:i/>
          <w:color w:val="FF0000"/>
        </w:rPr>
        <w:t>(not listed on 4/1/16 SDRO Memo</w:t>
      </w:r>
      <w:r w:rsidR="0064033A">
        <w:rPr>
          <w:i/>
          <w:color w:val="FF0000"/>
        </w:rPr>
        <w:t>, but listed on Quality Checklist</w:t>
      </w:r>
      <w:r w:rsidR="00A86F3E" w:rsidRPr="00A86F3E">
        <w:rPr>
          <w:i/>
          <w:color w:val="FF0000"/>
        </w:rPr>
        <w:t>)</w:t>
      </w:r>
    </w:p>
    <w:p w:rsidR="007B541B" w:rsidRDefault="007B541B" w:rsidP="007B541B">
      <w:pPr>
        <w:widowControl w:val="0"/>
        <w:numPr>
          <w:ilvl w:val="0"/>
          <w:numId w:val="46"/>
        </w:numPr>
        <w:tabs>
          <w:tab w:val="clear" w:pos="720"/>
          <w:tab w:val="num" w:pos="360"/>
        </w:tabs>
        <w:spacing w:after="120"/>
        <w:ind w:left="360"/>
      </w:pPr>
      <w:r>
        <w:t>POWs</w:t>
      </w:r>
    </w:p>
    <w:p w:rsidR="007B541B" w:rsidRDefault="007B541B" w:rsidP="007B541B">
      <w:pPr>
        <w:widowControl w:val="0"/>
        <w:numPr>
          <w:ilvl w:val="0"/>
          <w:numId w:val="46"/>
        </w:numPr>
        <w:tabs>
          <w:tab w:val="clear" w:pos="720"/>
          <w:tab w:val="num" w:pos="360"/>
        </w:tabs>
        <w:spacing w:after="120"/>
        <w:ind w:left="360"/>
      </w:pPr>
      <w:r>
        <w:lastRenderedPageBreak/>
        <w:t>proposals to sever SC</w:t>
      </w:r>
    </w:p>
    <w:p w:rsidR="006A49C3" w:rsidRPr="006A49C3" w:rsidRDefault="006A49C3" w:rsidP="006A49C3">
      <w:pPr>
        <w:widowControl w:val="0"/>
        <w:spacing w:after="120"/>
        <w:rPr>
          <w:i/>
          <w:sz w:val="18"/>
        </w:rPr>
      </w:pPr>
      <w:r w:rsidRPr="006A49C3">
        <w:rPr>
          <w:i/>
          <w:sz w:val="18"/>
        </w:rPr>
        <w:t>*</w:t>
      </w:r>
      <w:r w:rsidRPr="006A49C3">
        <w:rPr>
          <w:bCs/>
          <w:i/>
          <w:sz w:val="18"/>
        </w:rPr>
        <w:t>also lists TBI until 90% or greater accuracy on at least 10 TBI cases (</w:t>
      </w:r>
      <w:r w:rsidRPr="006A49C3">
        <w:rPr>
          <w:i/>
          <w:sz w:val="18"/>
        </w:rPr>
        <w:t>*for at least the last year, this is taken care of before single-signature authority is authorized for a trainee RVSR)</w:t>
      </w:r>
    </w:p>
    <w:p w:rsidR="006A49C3" w:rsidRDefault="006A49C3" w:rsidP="006A49C3">
      <w:pPr>
        <w:widowControl w:val="0"/>
        <w:spacing w:after="120"/>
        <w:rPr>
          <w:b/>
          <w:bCs/>
          <w:u w:val="single"/>
        </w:rPr>
      </w:pPr>
      <w:r>
        <w:rPr>
          <w:b/>
          <w:bCs/>
          <w:u w:val="single"/>
        </w:rPr>
        <w:t>RVSR &amp; VSCM (or designee at Coach level or higher) signatures required for:</w:t>
      </w:r>
    </w:p>
    <w:p w:rsidR="006A49C3" w:rsidRDefault="006A49C3" w:rsidP="00F063AF">
      <w:pPr>
        <w:widowControl w:val="0"/>
        <w:numPr>
          <w:ilvl w:val="0"/>
          <w:numId w:val="372"/>
        </w:numPr>
        <w:tabs>
          <w:tab w:val="num" w:pos="360"/>
        </w:tabs>
        <w:spacing w:after="120"/>
        <w:ind w:left="360"/>
        <w:textAlignment w:val="auto"/>
        <w:rPr>
          <w:i/>
          <w:iCs/>
        </w:rPr>
      </w:pPr>
      <w:r>
        <w:t xml:space="preserve">CUEs </w:t>
      </w:r>
    </w:p>
    <w:p w:rsidR="006A49C3" w:rsidRDefault="006A49C3" w:rsidP="006A49C3">
      <w:pPr>
        <w:widowControl w:val="0"/>
        <w:spacing w:after="120"/>
        <w:rPr>
          <w:b/>
          <w:bCs/>
          <w:u w:val="single"/>
        </w:rPr>
      </w:pPr>
      <w:r>
        <w:rPr>
          <w:b/>
          <w:bCs/>
          <w:u w:val="single"/>
        </w:rPr>
        <w:t>RVSR &amp; VSCM signatures required for:</w:t>
      </w:r>
    </w:p>
    <w:p w:rsidR="006A49C3" w:rsidRDefault="006A49C3" w:rsidP="00F063AF">
      <w:pPr>
        <w:widowControl w:val="0"/>
        <w:numPr>
          <w:ilvl w:val="0"/>
          <w:numId w:val="372"/>
        </w:numPr>
        <w:tabs>
          <w:tab w:val="num" w:pos="360"/>
        </w:tabs>
        <w:spacing w:after="120"/>
        <w:ind w:left="360"/>
        <w:textAlignment w:val="auto"/>
        <w:rPr>
          <w:i/>
          <w:iCs/>
        </w:rPr>
      </w:pPr>
      <w:r>
        <w:rPr>
          <w:iCs/>
        </w:rPr>
        <w:t>extensions of hospitalization rates under 4.29 &amp; convalescent ratings under 4.30</w:t>
      </w:r>
    </w:p>
    <w:p w:rsidR="00CA15B2" w:rsidRPr="00CA15B2" w:rsidRDefault="00CA15B2" w:rsidP="00CA15B2">
      <w:r w:rsidRPr="00CA15B2">
        <w:rPr>
          <w:b/>
          <w:i/>
        </w:rPr>
        <w:t>Note</w:t>
      </w:r>
      <w:r w:rsidRPr="00CA15B2">
        <w:t>:  Follow locally established policies to obtain a third signature, when required.</w:t>
      </w:r>
    </w:p>
    <w:p w:rsidR="007B541B" w:rsidRDefault="007B541B" w:rsidP="00EE23A4">
      <w:pPr>
        <w:widowControl w:val="0"/>
        <w:tabs>
          <w:tab w:val="num" w:pos="720"/>
        </w:tabs>
        <w:spacing w:after="120"/>
      </w:pPr>
    </w:p>
    <w:p w:rsidR="00CA15B2" w:rsidRDefault="00CA15B2" w:rsidP="00CA15B2">
      <w:pPr>
        <w:widowControl w:val="0"/>
        <w:rPr>
          <w:b/>
          <w:bCs/>
          <w:u w:val="single"/>
        </w:rPr>
      </w:pPr>
      <w:r>
        <w:rPr>
          <w:b/>
          <w:bCs/>
          <w:u w:val="single"/>
        </w:rPr>
        <w:t>Signatures should read:</w:t>
      </w:r>
    </w:p>
    <w:p w:rsidR="00CA15B2" w:rsidRDefault="00CA15B2" w:rsidP="00CA15B2">
      <w:pPr>
        <w:widowControl w:val="0"/>
      </w:pPr>
      <w:r w:rsidRPr="000961BA">
        <w:rPr>
          <w:highlight w:val="lightGray"/>
        </w:rPr>
        <w:t>Stacey Bonnett, VSCM</w:t>
      </w:r>
    </w:p>
    <w:p w:rsidR="00CA15B2" w:rsidRDefault="00CA15B2" w:rsidP="00CA15B2">
      <w:pPr>
        <w:widowControl w:val="0"/>
      </w:pPr>
      <w:r>
        <w:t>E. Townsend, AVSCM</w:t>
      </w:r>
    </w:p>
    <w:p w:rsidR="00CA15B2" w:rsidRDefault="00CA15B2" w:rsidP="00CA15B2">
      <w:pPr>
        <w:widowControl w:val="0"/>
      </w:pPr>
      <w:r>
        <w:t>Kristina Morabito, AVSCM</w:t>
      </w:r>
    </w:p>
    <w:p w:rsidR="00CA15B2" w:rsidRDefault="00CA15B2" w:rsidP="00CA15B2">
      <w:pPr>
        <w:widowControl w:val="0"/>
      </w:pPr>
      <w:r>
        <w:t>E. Croft, AVSCM</w:t>
      </w:r>
    </w:p>
    <w:p w:rsidR="00CA15B2" w:rsidRDefault="00CA15B2" w:rsidP="00CA15B2">
      <w:pPr>
        <w:widowControl w:val="0"/>
      </w:pPr>
      <w:r>
        <w:t>RQRS, QRT</w:t>
      </w:r>
    </w:p>
    <w:p w:rsidR="00CD351C" w:rsidRPr="00CD351C" w:rsidRDefault="00CD351C" w:rsidP="00CA15B2">
      <w:pPr>
        <w:widowControl w:val="0"/>
      </w:pPr>
      <w:r w:rsidRPr="00CD351C">
        <w:rPr>
          <w:rStyle w:val="Emphasis"/>
          <w:i w:val="0"/>
        </w:rPr>
        <w:t>eSign:  certified by [decision maker’s LAN ID, job title]</w:t>
      </w:r>
      <w:r w:rsidRPr="00CD351C">
        <w:rPr>
          <w:rStyle w:val="Emphasis"/>
        </w:rPr>
        <w:t> </w:t>
      </w:r>
      <w:r>
        <w:rPr>
          <w:rStyle w:val="Emphasis"/>
        </w:rPr>
        <w:t>(changed 6/9/17)</w:t>
      </w:r>
    </w:p>
    <w:p w:rsidR="00CA15B2" w:rsidRDefault="00CA15B2" w:rsidP="00EE23A4">
      <w:pPr>
        <w:widowControl w:val="0"/>
        <w:tabs>
          <w:tab w:val="num" w:pos="720"/>
        </w:tabs>
        <w:spacing w:after="120"/>
      </w:pPr>
    </w:p>
    <w:p w:rsidR="00DB7F5C" w:rsidRPr="00DB7F5C" w:rsidRDefault="00DB7F5C" w:rsidP="00DB7F5C">
      <w:pPr>
        <w:pBdr>
          <w:top w:val="single" w:sz="4" w:space="1" w:color="auto"/>
          <w:left w:val="single" w:sz="4" w:space="4" w:color="auto"/>
          <w:bottom w:val="single" w:sz="4" w:space="1" w:color="auto"/>
          <w:right w:val="single" w:sz="4" w:space="4" w:color="auto"/>
        </w:pBdr>
      </w:pPr>
      <w:r w:rsidRPr="00DB7F5C">
        <w:rPr>
          <w:b/>
          <w:bCs/>
        </w:rPr>
        <w:t>From:</w:t>
      </w:r>
      <w:r w:rsidRPr="00DB7F5C">
        <w:t xml:space="preserve"> VAVBASDC/RO/VSC </w:t>
      </w:r>
      <w:r w:rsidRPr="00DB7F5C">
        <w:br/>
      </w:r>
      <w:r w:rsidRPr="00DB7F5C">
        <w:rPr>
          <w:b/>
          <w:bCs/>
        </w:rPr>
        <w:t>Sent:</w:t>
      </w:r>
      <w:r w:rsidRPr="00DB7F5C">
        <w:t xml:space="preserve"> Friday, June 30, 2017 3:39 PM</w:t>
      </w:r>
      <w:r w:rsidRPr="00DB7F5C">
        <w:br/>
      </w:r>
      <w:r w:rsidRPr="00DB7F5C">
        <w:rPr>
          <w:b/>
          <w:bCs/>
        </w:rPr>
        <w:t>Subject:</w:t>
      </w:r>
      <w:r w:rsidRPr="00DB7F5C">
        <w:t xml:space="preserve"> FW: Q-Tip: Updated VBMS routing procedures for ratings requiring 2nd/3rd signatures</w:t>
      </w:r>
    </w:p>
    <w:p w:rsidR="00DB7F5C" w:rsidRPr="00DB7F5C" w:rsidRDefault="00DB7F5C" w:rsidP="00DB7F5C">
      <w:pPr>
        <w:pBdr>
          <w:top w:val="single" w:sz="4" w:space="1" w:color="auto"/>
          <w:left w:val="single" w:sz="4" w:space="4" w:color="auto"/>
          <w:bottom w:val="single" w:sz="4" w:space="1" w:color="auto"/>
          <w:right w:val="single" w:sz="4" w:space="4" w:color="auto"/>
        </w:pBdr>
        <w:rPr>
          <w:rFonts w:eastAsiaTheme="minorHAnsi"/>
          <w:sz w:val="22"/>
          <w:szCs w:val="22"/>
        </w:rPr>
      </w:pPr>
    </w:p>
    <w:p w:rsidR="00DB7F5C" w:rsidRPr="00DB7F5C" w:rsidRDefault="00DB7F5C" w:rsidP="00DB7F5C">
      <w:pPr>
        <w:pBdr>
          <w:top w:val="single" w:sz="4" w:space="1" w:color="auto"/>
          <w:left w:val="single" w:sz="4" w:space="4" w:color="auto"/>
          <w:bottom w:val="single" w:sz="4" w:space="1" w:color="auto"/>
          <w:right w:val="single" w:sz="4" w:space="4" w:color="auto"/>
        </w:pBdr>
      </w:pPr>
      <w:r w:rsidRPr="00DB7F5C">
        <w:t>VSC – Forwarded for your information.</w:t>
      </w:r>
    </w:p>
    <w:p w:rsidR="00DB7F5C" w:rsidRPr="00DB7F5C" w:rsidRDefault="00DB7F5C" w:rsidP="00DB7F5C">
      <w:pPr>
        <w:pBdr>
          <w:top w:val="single" w:sz="4" w:space="1" w:color="auto"/>
          <w:left w:val="single" w:sz="4" w:space="4" w:color="auto"/>
          <w:bottom w:val="single" w:sz="4" w:space="1" w:color="auto"/>
          <w:right w:val="single" w:sz="4" w:space="4" w:color="auto"/>
        </w:pBdr>
      </w:pPr>
    </w:p>
    <w:p w:rsidR="00DB7F5C" w:rsidRPr="00DB7F5C" w:rsidRDefault="00DB7F5C" w:rsidP="00DB7F5C">
      <w:pPr>
        <w:pBdr>
          <w:top w:val="single" w:sz="4" w:space="1" w:color="auto"/>
          <w:left w:val="single" w:sz="4" w:space="4" w:color="auto"/>
          <w:bottom w:val="single" w:sz="4" w:space="1" w:color="auto"/>
          <w:right w:val="single" w:sz="4" w:space="4" w:color="auto"/>
        </w:pBdr>
        <w:rPr>
          <w:b/>
          <w:bCs/>
        </w:rPr>
      </w:pPr>
      <w:r w:rsidRPr="00DB7F5C">
        <w:rPr>
          <w:b/>
          <w:bCs/>
        </w:rPr>
        <w:t>Q-Tip:  Updated VBMS routing procedures for ratings requiring 2nd/3rd signatures</w:t>
      </w:r>
    </w:p>
    <w:p w:rsidR="00DB7F5C" w:rsidRPr="00DB7F5C" w:rsidRDefault="00DB7F5C" w:rsidP="00DB7F5C">
      <w:pPr>
        <w:pBdr>
          <w:top w:val="single" w:sz="4" w:space="1" w:color="auto"/>
          <w:left w:val="single" w:sz="4" w:space="4" w:color="auto"/>
          <w:bottom w:val="single" w:sz="4" w:space="1" w:color="auto"/>
          <w:right w:val="single" w:sz="4" w:space="4" w:color="auto"/>
        </w:pBdr>
        <w:rPr>
          <w:b/>
          <w:bCs/>
        </w:rPr>
      </w:pPr>
    </w:p>
    <w:p w:rsidR="00DB7F5C" w:rsidRPr="00DB7F5C" w:rsidRDefault="00DB7F5C" w:rsidP="00DB7F5C">
      <w:pPr>
        <w:pBdr>
          <w:top w:val="single" w:sz="4" w:space="1" w:color="auto"/>
          <w:left w:val="single" w:sz="4" w:space="4" w:color="auto"/>
          <w:bottom w:val="single" w:sz="4" w:space="1" w:color="auto"/>
          <w:right w:val="single" w:sz="4" w:space="4" w:color="auto"/>
        </w:pBdr>
        <w:rPr>
          <w:b/>
          <w:bCs/>
        </w:rPr>
      </w:pPr>
      <w:r w:rsidRPr="00DB7F5C">
        <w:rPr>
          <w:b/>
          <w:bCs/>
        </w:rPr>
        <w:t>Target Audience:  RVSRs and DROs</w:t>
      </w:r>
    </w:p>
    <w:p w:rsidR="00DB7F5C" w:rsidRPr="00DB7F5C" w:rsidRDefault="00DB7F5C" w:rsidP="00DB7F5C">
      <w:pPr>
        <w:pBdr>
          <w:top w:val="single" w:sz="4" w:space="1" w:color="auto"/>
          <w:left w:val="single" w:sz="4" w:space="4" w:color="auto"/>
          <w:bottom w:val="single" w:sz="4" w:space="1" w:color="auto"/>
          <w:right w:val="single" w:sz="4" w:space="4" w:color="auto"/>
        </w:pBdr>
      </w:pPr>
    </w:p>
    <w:p w:rsidR="00DB7F5C" w:rsidRPr="00DB7F5C" w:rsidRDefault="00DB7F5C" w:rsidP="00DB7F5C">
      <w:pPr>
        <w:pBdr>
          <w:top w:val="single" w:sz="4" w:space="1" w:color="auto"/>
          <w:left w:val="single" w:sz="4" w:space="4" w:color="auto"/>
          <w:bottom w:val="single" w:sz="4" w:space="1" w:color="auto"/>
          <w:right w:val="single" w:sz="4" w:space="4" w:color="auto"/>
        </w:pBdr>
      </w:pPr>
      <w:r w:rsidRPr="00DB7F5C">
        <w:t>M21-1 III.iv.6.D.7.e was revised on June 9, 2016 to update the routing procedures in VBMS for ratings requiring 2</w:t>
      </w:r>
      <w:r w:rsidRPr="00DB7F5C">
        <w:rPr>
          <w:vertAlign w:val="superscript"/>
        </w:rPr>
        <w:t>nd</w:t>
      </w:r>
      <w:r w:rsidRPr="00DB7F5C">
        <w:t>/3</w:t>
      </w:r>
      <w:r w:rsidRPr="00DB7F5C">
        <w:rPr>
          <w:vertAlign w:val="superscript"/>
        </w:rPr>
        <w:t>rd</w:t>
      </w:r>
      <w:r w:rsidRPr="00DB7F5C">
        <w:t xml:space="preserve"> signatures.  Per the June 2017 Compensation Service Quality Call, these instructions incorporated those provided by the NWQ Playbook and supersede where they differ.</w:t>
      </w:r>
    </w:p>
    <w:p w:rsidR="00DB7F5C" w:rsidRPr="00DB7F5C" w:rsidRDefault="00DB7F5C" w:rsidP="00DB7F5C">
      <w:pPr>
        <w:pBdr>
          <w:top w:val="single" w:sz="4" w:space="1" w:color="auto"/>
          <w:left w:val="single" w:sz="4" w:space="4" w:color="auto"/>
          <w:bottom w:val="single" w:sz="4" w:space="1" w:color="auto"/>
          <w:right w:val="single" w:sz="4" w:space="4" w:color="auto"/>
        </w:pBdr>
      </w:pPr>
    </w:p>
    <w:p w:rsidR="00DB7F5C" w:rsidRPr="00DB7F5C" w:rsidRDefault="00DB7F5C" w:rsidP="00DB7F5C">
      <w:pPr>
        <w:pBdr>
          <w:top w:val="single" w:sz="4" w:space="1" w:color="auto"/>
          <w:left w:val="single" w:sz="4" w:space="4" w:color="auto"/>
          <w:bottom w:val="single" w:sz="4" w:space="1" w:color="auto"/>
          <w:right w:val="single" w:sz="4" w:space="4" w:color="auto"/>
        </w:pBdr>
      </w:pPr>
      <w:r w:rsidRPr="00DB7F5C">
        <w:t>Notable changes include updating the claim level suspense and assigning the case to the next reviewer in VBMS.  These updated procedures takes into consideration Time In Queue (TIQ) expectations for employees. </w:t>
      </w:r>
    </w:p>
    <w:p w:rsidR="00DB7F5C" w:rsidRPr="00DB7F5C" w:rsidRDefault="00DB7F5C" w:rsidP="00DB7F5C">
      <w:pPr>
        <w:pBdr>
          <w:top w:val="single" w:sz="4" w:space="1" w:color="auto"/>
          <w:left w:val="single" w:sz="4" w:space="4" w:color="auto"/>
          <w:bottom w:val="single" w:sz="4" w:space="1" w:color="auto"/>
          <w:right w:val="single" w:sz="4" w:space="4" w:color="auto"/>
        </w:pBdr>
      </w:pPr>
    </w:p>
    <w:p w:rsidR="00DB7F5C" w:rsidRPr="00DB7F5C" w:rsidRDefault="00DB7F5C" w:rsidP="00DB7F5C">
      <w:pPr>
        <w:pBdr>
          <w:top w:val="single" w:sz="4" w:space="1" w:color="auto"/>
          <w:left w:val="single" w:sz="4" w:space="4" w:color="auto"/>
          <w:bottom w:val="single" w:sz="4" w:space="1" w:color="auto"/>
          <w:right w:val="single" w:sz="4" w:space="4" w:color="auto"/>
        </w:pBdr>
      </w:pPr>
      <w:r w:rsidRPr="00DB7F5C">
        <w:t xml:space="preserve">Please see the attached document for details on how to update the claim level suspense and how to assign the case to the next reviewer in VBMS.  These procedures currently do not apply to rating decisions by trainees/mentees that require second signature by their mentors.  </w:t>
      </w:r>
    </w:p>
    <w:p w:rsidR="00DB7F5C" w:rsidRPr="00DB7F5C" w:rsidRDefault="00DB7F5C" w:rsidP="00DB7F5C">
      <w:pPr>
        <w:pBdr>
          <w:top w:val="single" w:sz="4" w:space="1" w:color="auto"/>
          <w:left w:val="single" w:sz="4" w:space="4" w:color="auto"/>
          <w:bottom w:val="single" w:sz="4" w:space="1" w:color="auto"/>
          <w:right w:val="single" w:sz="4" w:space="4" w:color="auto"/>
        </w:pBdr>
      </w:pPr>
    </w:p>
    <w:p w:rsidR="00DB7F5C" w:rsidRPr="00DB7F5C" w:rsidRDefault="00DB7F5C" w:rsidP="00DB7F5C">
      <w:pPr>
        <w:pBdr>
          <w:top w:val="single" w:sz="4" w:space="1" w:color="auto"/>
          <w:left w:val="single" w:sz="4" w:space="4" w:color="auto"/>
          <w:bottom w:val="single" w:sz="4" w:space="1" w:color="auto"/>
          <w:right w:val="single" w:sz="4" w:space="4" w:color="auto"/>
        </w:pBdr>
      </w:pPr>
      <w:r w:rsidRPr="00DB7F5C">
        <w:t>Reminders:</w:t>
      </w:r>
    </w:p>
    <w:p w:rsidR="00DB7F5C" w:rsidRPr="00DB7F5C" w:rsidRDefault="00DB7F5C" w:rsidP="00F063AF">
      <w:pPr>
        <w:pStyle w:val="ListParagraph"/>
        <w:numPr>
          <w:ilvl w:val="0"/>
          <w:numId w:val="371"/>
        </w:numPr>
        <w:pBdr>
          <w:top w:val="single" w:sz="4" w:space="1" w:color="auto"/>
          <w:left w:val="single" w:sz="4" w:space="4" w:color="auto"/>
          <w:bottom w:val="single" w:sz="4" w:space="1" w:color="auto"/>
          <w:right w:val="single" w:sz="4" w:space="4" w:color="auto"/>
        </w:pBdr>
        <w:spacing w:after="0" w:line="240" w:lineRule="auto"/>
        <w:ind w:left="360"/>
        <w:rPr>
          <w:rStyle w:val="Hyperlink"/>
          <w:rFonts w:ascii="Arial" w:hAnsi="Arial"/>
          <w:color w:val="auto"/>
          <w:sz w:val="20"/>
          <w:szCs w:val="20"/>
          <w:u w:val="none"/>
        </w:rPr>
      </w:pPr>
      <w:r w:rsidRPr="00DB7F5C">
        <w:rPr>
          <w:rStyle w:val="Hyperlink"/>
          <w:rFonts w:ascii="Arial" w:hAnsi="Arial"/>
          <w:color w:val="auto"/>
          <w:sz w:val="20"/>
          <w:szCs w:val="20"/>
          <w:u w:val="none"/>
        </w:rPr>
        <w:t>The “Rating Decision Review – Level 1” special issue should be added to the first contention of the claim in VBMS.</w:t>
      </w:r>
    </w:p>
    <w:p w:rsidR="00DB7F5C" w:rsidRPr="00DB7F5C" w:rsidRDefault="00DB7F5C" w:rsidP="00F063AF">
      <w:pPr>
        <w:pStyle w:val="ListParagraph"/>
        <w:numPr>
          <w:ilvl w:val="0"/>
          <w:numId w:val="371"/>
        </w:numPr>
        <w:pBdr>
          <w:top w:val="single" w:sz="4" w:space="1" w:color="auto"/>
          <w:left w:val="single" w:sz="4" w:space="4" w:color="auto"/>
          <w:bottom w:val="single" w:sz="4" w:space="1" w:color="auto"/>
          <w:right w:val="single" w:sz="4" w:space="4" w:color="auto"/>
        </w:pBdr>
        <w:spacing w:after="0" w:line="240" w:lineRule="auto"/>
        <w:ind w:left="360"/>
        <w:rPr>
          <w:rStyle w:val="Hyperlink"/>
          <w:rFonts w:ascii="Arial" w:hAnsi="Arial"/>
          <w:color w:val="auto"/>
          <w:sz w:val="20"/>
          <w:szCs w:val="20"/>
          <w:u w:val="none"/>
        </w:rPr>
      </w:pPr>
      <w:r w:rsidRPr="00DB7F5C">
        <w:rPr>
          <w:rStyle w:val="Hyperlink"/>
          <w:rFonts w:ascii="Arial" w:hAnsi="Arial"/>
          <w:color w:val="auto"/>
          <w:sz w:val="20"/>
          <w:szCs w:val="20"/>
          <w:u w:val="none"/>
        </w:rPr>
        <w:t>Ratings must remain in draft status until all signatures are obtained.</w:t>
      </w:r>
    </w:p>
    <w:p w:rsidR="00DB7F5C" w:rsidRPr="00DB7F5C" w:rsidRDefault="00DB7F5C" w:rsidP="00F063AF">
      <w:pPr>
        <w:pStyle w:val="ListParagraph"/>
        <w:numPr>
          <w:ilvl w:val="0"/>
          <w:numId w:val="371"/>
        </w:numPr>
        <w:pBdr>
          <w:top w:val="single" w:sz="4" w:space="1" w:color="auto"/>
          <w:left w:val="single" w:sz="4" w:space="4" w:color="auto"/>
          <w:bottom w:val="single" w:sz="4" w:space="1" w:color="auto"/>
          <w:right w:val="single" w:sz="4" w:space="4" w:color="auto"/>
        </w:pBdr>
        <w:spacing w:after="0" w:line="240" w:lineRule="auto"/>
        <w:ind w:left="360"/>
        <w:rPr>
          <w:rFonts w:ascii="Arial" w:hAnsi="Arial"/>
          <w:sz w:val="20"/>
          <w:szCs w:val="20"/>
        </w:rPr>
      </w:pPr>
      <w:r w:rsidRPr="00DB7F5C">
        <w:rPr>
          <w:rFonts w:ascii="Arial" w:hAnsi="Arial"/>
          <w:sz w:val="20"/>
          <w:szCs w:val="20"/>
        </w:rPr>
        <w:t>Continue to email the QRT mailbox (</w:t>
      </w:r>
      <w:hyperlink r:id="rId205" w:history="1">
        <w:r w:rsidRPr="00DB7F5C">
          <w:rPr>
            <w:rStyle w:val="Hyperlink"/>
            <w:rFonts w:ascii="Arial" w:hAnsi="Arial"/>
            <w:sz w:val="20"/>
            <w:szCs w:val="20"/>
          </w:rPr>
          <w:t>VAVBASDC/RO/QRT</w:t>
        </w:r>
      </w:hyperlink>
      <w:r w:rsidRPr="00DB7F5C">
        <w:rPr>
          <w:rFonts w:ascii="Arial" w:hAnsi="Arial"/>
          <w:sz w:val="20"/>
          <w:szCs w:val="20"/>
        </w:rPr>
        <w:t>) for ratings that require review by the QRT as determined by VSC Policy Memo 21-16-08.  Also attached for reference are previously provided local instructions on how to refer a rating to the QRT for 2</w:t>
      </w:r>
      <w:r w:rsidRPr="00DB7F5C">
        <w:rPr>
          <w:rFonts w:ascii="Arial" w:hAnsi="Arial"/>
          <w:sz w:val="20"/>
          <w:szCs w:val="20"/>
          <w:vertAlign w:val="superscript"/>
        </w:rPr>
        <w:t>nd</w:t>
      </w:r>
      <w:r w:rsidRPr="00DB7F5C">
        <w:rPr>
          <w:rFonts w:ascii="Arial" w:hAnsi="Arial"/>
          <w:sz w:val="20"/>
          <w:szCs w:val="20"/>
        </w:rPr>
        <w:t>/3</w:t>
      </w:r>
      <w:r w:rsidRPr="00DB7F5C">
        <w:rPr>
          <w:rFonts w:ascii="Arial" w:hAnsi="Arial"/>
          <w:sz w:val="20"/>
          <w:szCs w:val="20"/>
          <w:vertAlign w:val="superscript"/>
        </w:rPr>
        <w:t>rd</w:t>
      </w:r>
      <w:r w:rsidRPr="00DB7F5C">
        <w:rPr>
          <w:rFonts w:ascii="Arial" w:hAnsi="Arial"/>
          <w:sz w:val="20"/>
          <w:szCs w:val="20"/>
        </w:rPr>
        <w:t xml:space="preserve"> signature review.  </w:t>
      </w:r>
    </w:p>
    <w:p w:rsidR="00DB7F5C" w:rsidRPr="00DB7F5C" w:rsidRDefault="00DB7F5C" w:rsidP="00F063AF">
      <w:pPr>
        <w:pStyle w:val="ListParagraph"/>
        <w:numPr>
          <w:ilvl w:val="0"/>
          <w:numId w:val="371"/>
        </w:numPr>
        <w:pBdr>
          <w:top w:val="single" w:sz="4" w:space="1" w:color="auto"/>
          <w:left w:val="single" w:sz="4" w:space="4" w:color="auto"/>
          <w:bottom w:val="single" w:sz="4" w:space="1" w:color="auto"/>
          <w:right w:val="single" w:sz="4" w:space="4" w:color="auto"/>
        </w:pBdr>
        <w:spacing w:after="0" w:line="240" w:lineRule="auto"/>
        <w:ind w:left="360"/>
        <w:rPr>
          <w:rFonts w:ascii="Arial" w:hAnsi="Arial"/>
          <w:sz w:val="20"/>
          <w:szCs w:val="20"/>
        </w:rPr>
      </w:pPr>
      <w:r w:rsidRPr="00DB7F5C">
        <w:rPr>
          <w:rFonts w:ascii="Arial" w:hAnsi="Arial"/>
          <w:sz w:val="20"/>
          <w:szCs w:val="20"/>
        </w:rPr>
        <w:t>Reviews and corrections are expected to be completed within 2 business days of assignment.</w:t>
      </w:r>
    </w:p>
    <w:p w:rsidR="00DB7F5C" w:rsidRPr="00DB7F5C" w:rsidRDefault="00DB7F5C" w:rsidP="00DB7F5C">
      <w:pPr>
        <w:pBdr>
          <w:top w:val="single" w:sz="4" w:space="1" w:color="auto"/>
          <w:left w:val="single" w:sz="4" w:space="4" w:color="auto"/>
          <w:bottom w:val="single" w:sz="4" w:space="1" w:color="auto"/>
          <w:right w:val="single" w:sz="4" w:space="4" w:color="auto"/>
        </w:pBdr>
      </w:pPr>
    </w:p>
    <w:p w:rsidR="00DB7F5C" w:rsidRDefault="00DB7F5C" w:rsidP="00DB7F5C">
      <w:pPr>
        <w:pBdr>
          <w:top w:val="single" w:sz="4" w:space="1" w:color="auto"/>
          <w:left w:val="single" w:sz="4" w:space="4" w:color="auto"/>
          <w:bottom w:val="single" w:sz="4" w:space="1" w:color="auto"/>
          <w:right w:val="single" w:sz="4" w:space="4" w:color="auto"/>
        </w:pBdr>
      </w:pPr>
      <w:r w:rsidRPr="00DB7F5C">
        <w:t>For any questions relating to this topic, please contact the QRT or your Coach.</w:t>
      </w:r>
    </w:p>
    <w:p w:rsidR="00030335" w:rsidRDefault="00DB7F5C" w:rsidP="00645432">
      <w:pPr>
        <w:widowControl w:val="0"/>
        <w:pBdr>
          <w:top w:val="double" w:sz="4" w:space="1" w:color="auto"/>
          <w:left w:val="double" w:sz="4" w:space="4" w:color="auto"/>
          <w:bottom w:val="double" w:sz="4" w:space="1" w:color="auto"/>
          <w:right w:val="double" w:sz="4" w:space="4" w:color="auto"/>
        </w:pBdr>
        <w:shd w:val="clear" w:color="auto" w:fill="FFC000"/>
        <w:tabs>
          <w:tab w:val="left" w:pos="0"/>
        </w:tabs>
        <w:spacing w:after="120"/>
        <w:rPr>
          <w:b/>
          <w:bCs/>
          <w:i/>
          <w:iCs/>
        </w:rPr>
      </w:pPr>
      <w:r>
        <w:rPr>
          <w:b/>
        </w:rPr>
        <w:t xml:space="preserve">Updated NWQ routing procedures for rating decisions requiring second or third signatures – Final.pdf </w:t>
      </w:r>
      <w:r w:rsidR="00030335">
        <w:rPr>
          <w:b/>
        </w:rPr>
        <w:t>is</w:t>
      </w:r>
      <w:r w:rsidRPr="00F37079">
        <w:t xml:space="preserve"> saved at</w:t>
      </w:r>
      <w:r>
        <w:rPr>
          <w:i/>
        </w:rPr>
        <w:t xml:space="preserve"> </w:t>
      </w:r>
      <w:r>
        <w:rPr>
          <w:b/>
          <w:bCs/>
          <w:i/>
          <w:iCs/>
        </w:rPr>
        <w:t>H:\</w:t>
      </w:r>
      <w:r w:rsidR="00030335">
        <w:rPr>
          <w:b/>
          <w:bCs/>
          <w:i/>
          <w:iCs/>
        </w:rPr>
        <w:t>VSC\Rating Reference</w:t>
      </w:r>
    </w:p>
    <w:p w:rsidR="00DB7F5C" w:rsidRPr="00F37079" w:rsidRDefault="00030335" w:rsidP="00645432">
      <w:pPr>
        <w:widowControl w:val="0"/>
        <w:pBdr>
          <w:top w:val="double" w:sz="4" w:space="1" w:color="auto"/>
          <w:left w:val="double" w:sz="4" w:space="4" w:color="auto"/>
          <w:bottom w:val="double" w:sz="4" w:space="1" w:color="auto"/>
          <w:right w:val="double" w:sz="4" w:space="4" w:color="auto"/>
        </w:pBdr>
        <w:shd w:val="clear" w:color="auto" w:fill="FFC000"/>
        <w:tabs>
          <w:tab w:val="left" w:pos="0"/>
        </w:tabs>
        <w:spacing w:after="120"/>
        <w:rPr>
          <w:rFonts w:eastAsiaTheme="minorHAnsi"/>
        </w:rPr>
      </w:pPr>
      <w:r>
        <w:rPr>
          <w:b/>
          <w:bCs/>
          <w:i/>
          <w:iCs/>
        </w:rPr>
        <w:t>*</w:t>
      </w:r>
      <w:r w:rsidRPr="00030335">
        <w:rPr>
          <w:i/>
        </w:rPr>
        <w:t>as of sometime b</w:t>
      </w:r>
      <w:r>
        <w:rPr>
          <w:i/>
        </w:rPr>
        <w:t xml:space="preserve">efore 3/18, someone deleted </w:t>
      </w:r>
      <w:r>
        <w:rPr>
          <w:b/>
        </w:rPr>
        <w:t>Local instructions for referring 2</w:t>
      </w:r>
      <w:r w:rsidRPr="00DB7F5C">
        <w:rPr>
          <w:b/>
          <w:vertAlign w:val="superscript"/>
        </w:rPr>
        <w:t>nd</w:t>
      </w:r>
      <w:r>
        <w:rPr>
          <w:b/>
        </w:rPr>
        <w:t>-3</w:t>
      </w:r>
      <w:r w:rsidRPr="00DB7F5C">
        <w:rPr>
          <w:b/>
          <w:vertAlign w:val="superscript"/>
        </w:rPr>
        <w:t>rd</w:t>
      </w:r>
      <w:r>
        <w:rPr>
          <w:b/>
        </w:rPr>
        <w:t xml:space="preserve"> signatures.pdf</w:t>
      </w:r>
    </w:p>
    <w:p w:rsidR="00D32F7F" w:rsidRDefault="00123FAF" w:rsidP="00EE23A4">
      <w:pPr>
        <w:widowControl w:val="0"/>
        <w:tabs>
          <w:tab w:val="num" w:pos="720"/>
        </w:tabs>
        <w:spacing w:after="120"/>
        <w:rPr>
          <w:rStyle w:val="Hyperlink"/>
          <w:i/>
          <w:color w:val="auto"/>
          <w:u w:val="none"/>
        </w:rPr>
      </w:pPr>
      <w:r>
        <w:rPr>
          <w:rStyle w:val="Hyperlink"/>
          <w:color w:val="auto"/>
          <w:u w:val="none"/>
        </w:rPr>
        <w:t>1. Create folder</w:t>
      </w:r>
      <w:r w:rsidR="00AC5779">
        <w:rPr>
          <w:rStyle w:val="Hyperlink"/>
          <w:color w:val="auto"/>
          <w:u w:val="none"/>
        </w:rPr>
        <w:t xml:space="preserve"> at </w:t>
      </w:r>
      <w:r w:rsidR="00AC5779" w:rsidRPr="00555E19">
        <w:t>H:\</w:t>
      </w:r>
      <w:r w:rsidR="00555E19">
        <w:t>\</w:t>
      </w:r>
      <w:r w:rsidR="00AC5779" w:rsidRPr="00555E19">
        <w:t>VSC\2nd&amp;3rd Signature\1 - SUBMISSION TO QRT</w:t>
      </w:r>
      <w:r w:rsidR="00D32F7F">
        <w:rPr>
          <w:rStyle w:val="Hyperlink"/>
          <w:color w:val="auto"/>
          <w:u w:val="none"/>
        </w:rPr>
        <w:t xml:space="preserve">– </w:t>
      </w:r>
      <w:r w:rsidR="00D32F7F" w:rsidRPr="00123FAF">
        <w:rPr>
          <w:rStyle w:val="Hyperlink"/>
          <w:i/>
          <w:color w:val="auto"/>
          <w:u w:val="none"/>
        </w:rPr>
        <w:t>Last6789</w:t>
      </w:r>
    </w:p>
    <w:p w:rsidR="00123FAF" w:rsidRPr="00123FAF" w:rsidRDefault="00D32F7F" w:rsidP="00EE23A4">
      <w:pPr>
        <w:widowControl w:val="0"/>
        <w:tabs>
          <w:tab w:val="num" w:pos="720"/>
        </w:tabs>
        <w:spacing w:after="120"/>
        <w:rPr>
          <w:rStyle w:val="Hyperlink"/>
          <w:i/>
          <w:color w:val="auto"/>
          <w:u w:val="none"/>
        </w:rPr>
      </w:pPr>
      <w:r>
        <w:rPr>
          <w:rStyle w:val="Hyperlink"/>
          <w:color w:val="auto"/>
          <w:u w:val="none"/>
        </w:rPr>
        <w:t>2. S</w:t>
      </w:r>
      <w:r w:rsidR="00123FAF">
        <w:rPr>
          <w:rStyle w:val="Hyperlink"/>
          <w:color w:val="auto"/>
          <w:u w:val="none"/>
        </w:rPr>
        <w:t>ave draft pdfs –</w:t>
      </w:r>
      <w:r>
        <w:rPr>
          <w:rStyle w:val="Hyperlink"/>
          <w:color w:val="auto"/>
          <w:u w:val="none"/>
        </w:rPr>
        <w:t xml:space="preserve"> </w:t>
      </w:r>
      <w:r w:rsidR="00A34DAD">
        <w:rPr>
          <w:rStyle w:val="Hyperlink"/>
          <w:i/>
          <w:color w:val="auto"/>
          <w:u w:val="none"/>
        </w:rPr>
        <w:t>Last6789 0961, Last6789 c</w:t>
      </w:r>
      <w:r w:rsidR="00123FAF" w:rsidRPr="00123FAF">
        <w:rPr>
          <w:rStyle w:val="Hyperlink"/>
          <w:i/>
          <w:color w:val="auto"/>
          <w:u w:val="none"/>
        </w:rPr>
        <w:t xml:space="preserve">odesheet, Last6789 </w:t>
      </w:r>
      <w:r w:rsidR="00A34DAD">
        <w:rPr>
          <w:rStyle w:val="Hyperlink"/>
          <w:i/>
          <w:color w:val="auto"/>
          <w:u w:val="none"/>
        </w:rPr>
        <w:t>n</w:t>
      </w:r>
      <w:r w:rsidR="00123FAF" w:rsidRPr="00123FAF">
        <w:rPr>
          <w:rStyle w:val="Hyperlink"/>
          <w:i/>
          <w:color w:val="auto"/>
          <w:u w:val="none"/>
        </w:rPr>
        <w:t>arrative</w:t>
      </w:r>
    </w:p>
    <w:p w:rsidR="00DB7F5C" w:rsidRDefault="00D32F7F" w:rsidP="00EE23A4">
      <w:pPr>
        <w:widowControl w:val="0"/>
        <w:tabs>
          <w:tab w:val="num" w:pos="720"/>
        </w:tabs>
        <w:spacing w:after="120"/>
        <w:rPr>
          <w:rStyle w:val="Hyperlink"/>
          <w:color w:val="auto"/>
          <w:u w:val="none"/>
        </w:rPr>
      </w:pPr>
      <w:r>
        <w:rPr>
          <w:rStyle w:val="Hyperlink"/>
          <w:color w:val="auto"/>
          <w:u w:val="none"/>
        </w:rPr>
        <w:t>3</w:t>
      </w:r>
      <w:r w:rsidR="00123FAF">
        <w:rPr>
          <w:rStyle w:val="Hyperlink"/>
          <w:color w:val="auto"/>
          <w:u w:val="none"/>
        </w:rPr>
        <w:t xml:space="preserve">. Add </w:t>
      </w:r>
      <w:r w:rsidR="00123FAF" w:rsidRPr="00DB7F5C">
        <w:rPr>
          <w:rStyle w:val="Hyperlink"/>
          <w:color w:val="auto"/>
          <w:u w:val="none"/>
        </w:rPr>
        <w:t>“Rating Decision Review – Level 1” special</w:t>
      </w:r>
      <w:r w:rsidR="00123FAF">
        <w:rPr>
          <w:rStyle w:val="Hyperlink"/>
          <w:color w:val="auto"/>
          <w:u w:val="none"/>
        </w:rPr>
        <w:t xml:space="preserve"> issue to first contention</w:t>
      </w:r>
    </w:p>
    <w:p w:rsidR="00123FAF" w:rsidRDefault="00D32F7F" w:rsidP="00EE23A4">
      <w:pPr>
        <w:widowControl w:val="0"/>
        <w:tabs>
          <w:tab w:val="num" w:pos="720"/>
        </w:tabs>
        <w:spacing w:after="120"/>
      </w:pPr>
      <w:r>
        <w:rPr>
          <w:rStyle w:val="Hyperlink"/>
          <w:color w:val="auto"/>
          <w:u w:val="none"/>
        </w:rPr>
        <w:t>4</w:t>
      </w:r>
      <w:r w:rsidR="00123FAF">
        <w:rPr>
          <w:rStyle w:val="Hyperlink"/>
          <w:color w:val="auto"/>
          <w:u w:val="none"/>
        </w:rPr>
        <w:t>. Pencil</w:t>
      </w:r>
      <w:r>
        <w:rPr>
          <w:rStyle w:val="Hyperlink"/>
          <w:color w:val="auto"/>
          <w:u w:val="none"/>
        </w:rPr>
        <w:t xml:space="preserve"> </w:t>
      </w:r>
      <w:r w:rsidR="00123FAF">
        <w:rPr>
          <w:rStyle w:val="Hyperlink"/>
          <w:color w:val="auto"/>
          <w:u w:val="none"/>
        </w:rPr>
        <w:t>/</w:t>
      </w:r>
      <w:r>
        <w:rPr>
          <w:rStyle w:val="Hyperlink"/>
          <w:color w:val="auto"/>
          <w:u w:val="none"/>
        </w:rPr>
        <w:t xml:space="preserve"> </w:t>
      </w:r>
      <w:r w:rsidR="00DE57F0">
        <w:rPr>
          <w:rStyle w:val="Hyperlink"/>
          <w:color w:val="auto"/>
          <w:u w:val="none"/>
        </w:rPr>
        <w:t>“Update</w:t>
      </w:r>
      <w:r w:rsidR="00123FAF">
        <w:rPr>
          <w:rStyle w:val="Hyperlink"/>
          <w:color w:val="auto"/>
          <w:u w:val="none"/>
        </w:rPr>
        <w:t xml:space="preserve"> Claim Details” – change to “Second Signature Review” with 2 day suspense &amp;</w:t>
      </w:r>
      <w:r>
        <w:rPr>
          <w:rStyle w:val="Hyperlink"/>
          <w:color w:val="auto"/>
          <w:u w:val="none"/>
        </w:rPr>
        <w:t xml:space="preserve"> S</w:t>
      </w:r>
      <w:r w:rsidR="00123FAF">
        <w:rPr>
          <w:rStyle w:val="Hyperlink"/>
          <w:color w:val="auto"/>
          <w:u w:val="none"/>
        </w:rPr>
        <w:t>ave</w:t>
      </w:r>
    </w:p>
    <w:p w:rsidR="00CB18CF" w:rsidRDefault="00D32F7F" w:rsidP="00EE23A4">
      <w:pPr>
        <w:widowControl w:val="0"/>
        <w:tabs>
          <w:tab w:val="num" w:pos="720"/>
        </w:tabs>
        <w:spacing w:after="120"/>
      </w:pPr>
      <w:r>
        <w:lastRenderedPageBreak/>
        <w:t>5</w:t>
      </w:r>
      <w:r w:rsidR="00123FAF">
        <w:t xml:space="preserve">. </w:t>
      </w:r>
      <w:r w:rsidR="00CB18CF">
        <w:t xml:space="preserve">Add Claim Note:  </w:t>
      </w:r>
      <w:r w:rsidR="00CB18CF">
        <w:rPr>
          <w:sz w:val="18"/>
        </w:rPr>
        <w:t>*Emailed QRT</w:t>
      </w:r>
      <w:r w:rsidR="00CB18CF" w:rsidRPr="00E82636">
        <w:rPr>
          <w:sz w:val="18"/>
        </w:rPr>
        <w:t xml:space="preserve"> that rating needs 3 signatures. Documents saved at </w:t>
      </w:r>
      <w:r w:rsidR="00CB18CF" w:rsidRPr="00555E19">
        <w:rPr>
          <w:bCs/>
          <w:szCs w:val="24"/>
        </w:rPr>
        <w:t>H:\</w:t>
      </w:r>
      <w:r w:rsidR="00CB18CF">
        <w:rPr>
          <w:bCs/>
          <w:szCs w:val="24"/>
        </w:rPr>
        <w:t>\</w:t>
      </w:r>
      <w:r w:rsidR="00CB18CF" w:rsidRPr="00555E19">
        <w:rPr>
          <w:bCs/>
          <w:szCs w:val="24"/>
        </w:rPr>
        <w:t>VSC\2nd&amp;3rd Signature\1 - SUBMISSION TO QRT</w:t>
      </w:r>
      <w:r w:rsidR="00CB18CF" w:rsidRPr="004F3A91">
        <w:rPr>
          <w:rFonts w:asciiTheme="minorHAnsi" w:hAnsiTheme="minorHAnsi"/>
        </w:rPr>
        <w:t>.</w:t>
      </w:r>
      <w:r w:rsidR="00CB18CF">
        <w:rPr>
          <w:rFonts w:asciiTheme="minorHAnsi" w:hAnsiTheme="minorHAnsi"/>
        </w:rPr>
        <w:t xml:space="preserve"> Added </w:t>
      </w:r>
      <w:r w:rsidR="00CB18CF" w:rsidRPr="0021329E">
        <w:rPr>
          <w:rFonts w:asciiTheme="minorHAnsi" w:hAnsiTheme="minorHAnsi"/>
          <w:color w:val="0D0D0D"/>
        </w:rPr>
        <w:t>Rating Decision Review - Level 1 Spec</w:t>
      </w:r>
      <w:r w:rsidR="00CB18CF">
        <w:rPr>
          <w:rFonts w:asciiTheme="minorHAnsi" w:hAnsiTheme="minorHAnsi"/>
          <w:color w:val="0D0D0D"/>
        </w:rPr>
        <w:t>i</w:t>
      </w:r>
      <w:r w:rsidR="00CB18CF" w:rsidRPr="0021329E">
        <w:rPr>
          <w:rFonts w:asciiTheme="minorHAnsi" w:hAnsiTheme="minorHAnsi"/>
          <w:color w:val="0D0D0D"/>
        </w:rPr>
        <w:t>al Issue under</w:t>
      </w:r>
      <w:r w:rsidR="00CB18CF">
        <w:rPr>
          <w:rFonts w:asciiTheme="minorHAnsi" w:hAnsiTheme="minorHAnsi"/>
          <w:color w:val="0D0D0D"/>
        </w:rPr>
        <w:t xml:space="preserve"> {}</w:t>
      </w:r>
      <w:r w:rsidR="00CB18CF" w:rsidRPr="0021329E">
        <w:rPr>
          <w:rFonts w:asciiTheme="minorHAnsi" w:hAnsiTheme="minorHAnsi"/>
          <w:color w:val="0D0D0D"/>
        </w:rPr>
        <w:t xml:space="preserve"> issue</w:t>
      </w:r>
      <w:r w:rsidR="00CB18CF">
        <w:rPr>
          <w:rFonts w:asciiTheme="minorHAnsi" w:hAnsiTheme="minorHAnsi"/>
          <w:color w:val="0D0D0D"/>
        </w:rPr>
        <w:t xml:space="preserve"> &amp; assigned to QRT</w:t>
      </w:r>
      <w:r w:rsidR="00CB18CF" w:rsidRPr="0021329E">
        <w:rPr>
          <w:rFonts w:asciiTheme="minorHAnsi" w:hAnsiTheme="minorHAnsi"/>
          <w:color w:val="0D0D0D"/>
        </w:rPr>
        <w:t>.</w:t>
      </w:r>
    </w:p>
    <w:p w:rsidR="00CB18CF" w:rsidRDefault="004A6FD4" w:rsidP="00CB18CF">
      <w:pPr>
        <w:widowControl w:val="0"/>
        <w:tabs>
          <w:tab w:val="num" w:pos="720"/>
        </w:tabs>
        <w:spacing w:after="120"/>
      </w:pPr>
      <w:r>
        <w:t xml:space="preserve">6.  </w:t>
      </w:r>
      <w:r w:rsidR="00CB18CF">
        <w:t>Green check mark / “Complete Work Item” – change to “RATING_INCOMPLETE,” choose Amanda Matthews, add “Pending second signature review”  &amp; Submit</w:t>
      </w:r>
    </w:p>
    <w:p w:rsidR="004A6FD4" w:rsidRDefault="004A6FD4" w:rsidP="00EE23A4">
      <w:pPr>
        <w:widowControl w:val="0"/>
        <w:tabs>
          <w:tab w:val="num" w:pos="720"/>
        </w:tabs>
        <w:spacing w:after="120"/>
      </w:pPr>
      <w:r>
        <w:t xml:space="preserve">7.  send email:  </w:t>
      </w:r>
    </w:p>
    <w:p w:rsidR="004A6FD4" w:rsidRDefault="004A6FD4" w:rsidP="004A6FD4">
      <w:pPr>
        <w:widowControl w:val="0"/>
        <w:spacing w:after="120"/>
        <w:ind w:left="40"/>
        <w:rPr>
          <w:rFonts w:asciiTheme="minorHAnsi" w:hAnsiTheme="minorHAnsi"/>
          <w:b/>
          <w:sz w:val="22"/>
          <w:szCs w:val="22"/>
        </w:rPr>
      </w:pPr>
      <w:r>
        <w:rPr>
          <w:i/>
        </w:rPr>
        <w:t xml:space="preserve">To: </w:t>
      </w:r>
      <w:r>
        <w:rPr>
          <w:rFonts w:asciiTheme="minorHAnsi" w:hAnsiTheme="minorHAnsi"/>
          <w:b/>
          <w:sz w:val="22"/>
          <w:szCs w:val="22"/>
        </w:rPr>
        <w:t>QRT mailbox / VAVBASDC/RO/QRT &lt;qrt.vbasdc@va.gov&gt;</w:t>
      </w:r>
    </w:p>
    <w:p w:rsidR="004A6FD4" w:rsidRDefault="004A6FD4" w:rsidP="004A6FD4">
      <w:pPr>
        <w:widowControl w:val="0"/>
        <w:spacing w:after="120"/>
        <w:ind w:left="40"/>
        <w:rPr>
          <w:rFonts w:asciiTheme="minorHAnsi" w:hAnsiTheme="minorHAnsi"/>
          <w:b/>
          <w:sz w:val="22"/>
          <w:szCs w:val="22"/>
        </w:rPr>
      </w:pPr>
      <w:r>
        <w:rPr>
          <w:i/>
        </w:rPr>
        <w:t xml:space="preserve">cc: </w:t>
      </w:r>
      <w:r>
        <w:rPr>
          <w:rFonts w:asciiTheme="minorHAnsi" w:hAnsiTheme="minorHAnsi"/>
          <w:b/>
          <w:sz w:val="22"/>
          <w:szCs w:val="22"/>
        </w:rPr>
        <w:t>Charlene Eckstein, Sheena Jennings</w:t>
      </w:r>
    </w:p>
    <w:p w:rsidR="004A6FD4" w:rsidRPr="00EE23A4" w:rsidRDefault="004A6FD4" w:rsidP="004A6FD4">
      <w:pPr>
        <w:widowControl w:val="0"/>
        <w:spacing w:after="120"/>
        <w:ind w:left="40"/>
        <w:rPr>
          <w:rFonts w:asciiTheme="minorHAnsi" w:hAnsiTheme="minorHAnsi"/>
          <w:color w:val="000000"/>
        </w:rPr>
      </w:pPr>
      <w:r w:rsidRPr="00EE23A4">
        <w:rPr>
          <w:i/>
        </w:rPr>
        <w:t>Subject:</w:t>
      </w:r>
      <w:r w:rsidRPr="00EE23A4">
        <w:rPr>
          <w:i/>
          <w:sz w:val="22"/>
          <w:szCs w:val="22"/>
        </w:rPr>
        <w:t xml:space="preserve"> </w:t>
      </w:r>
      <w:r w:rsidRPr="00EE23A4">
        <w:rPr>
          <w:rFonts w:asciiTheme="minorHAnsi" w:hAnsiTheme="minorHAnsi"/>
          <w:sz w:val="22"/>
          <w:szCs w:val="22"/>
        </w:rPr>
        <w:t xml:space="preserve"> {</w:t>
      </w:r>
      <w:r w:rsidRPr="00EE23A4">
        <w:rPr>
          <w:rFonts w:asciiTheme="minorHAnsi" w:hAnsiTheme="minorHAnsi"/>
          <w:color w:val="000000"/>
          <w:sz w:val="22"/>
          <w:szCs w:val="22"/>
        </w:rPr>
        <w:t>3</w:t>
      </w:r>
      <w:r w:rsidRPr="00EE23A4">
        <w:rPr>
          <w:rFonts w:asciiTheme="minorHAnsi" w:hAnsiTheme="minorHAnsi"/>
          <w:color w:val="000000"/>
          <w:sz w:val="22"/>
          <w:szCs w:val="22"/>
          <w:vertAlign w:val="superscript"/>
        </w:rPr>
        <w:t>rd</w:t>
      </w:r>
      <w:r w:rsidRPr="00EE23A4">
        <w:rPr>
          <w:rFonts w:asciiTheme="minorHAnsi" w:hAnsiTheme="minorHAnsi"/>
          <w:color w:val="000000"/>
          <w:sz w:val="22"/>
          <w:szCs w:val="22"/>
        </w:rPr>
        <w:t xml:space="preserve"> /2</w:t>
      </w:r>
      <w:r w:rsidRPr="00EE23A4">
        <w:rPr>
          <w:rFonts w:asciiTheme="minorHAnsi" w:hAnsiTheme="minorHAnsi"/>
          <w:color w:val="000000"/>
          <w:sz w:val="22"/>
          <w:szCs w:val="22"/>
          <w:vertAlign w:val="superscript"/>
        </w:rPr>
        <w:t>nd</w:t>
      </w:r>
      <w:r w:rsidRPr="00EE23A4">
        <w:rPr>
          <w:rFonts w:asciiTheme="minorHAnsi" w:hAnsiTheme="minorHAnsi"/>
          <w:color w:val="000000"/>
          <w:sz w:val="22"/>
          <w:szCs w:val="22"/>
        </w:rPr>
        <w:t xml:space="preserve"> / ALS} -  Doe1234</w:t>
      </w:r>
    </w:p>
    <w:p w:rsidR="004A6FD4" w:rsidRPr="00EE23A4" w:rsidRDefault="004A6FD4" w:rsidP="004A6FD4">
      <w:pPr>
        <w:rPr>
          <w:rFonts w:asciiTheme="minorHAnsi" w:hAnsiTheme="minorHAnsi"/>
          <w:color w:val="000000"/>
          <w:sz w:val="22"/>
        </w:rPr>
      </w:pPr>
      <w:r w:rsidRPr="00EE23A4">
        <w:rPr>
          <w:rFonts w:asciiTheme="minorHAnsi" w:hAnsiTheme="minorHAnsi"/>
          <w:color w:val="000000"/>
          <w:sz w:val="22"/>
        </w:rPr>
        <w:t>CUE: C# / SS#</w:t>
      </w:r>
    </w:p>
    <w:p w:rsidR="004A6FD4" w:rsidRPr="00EE23A4" w:rsidRDefault="004A6FD4" w:rsidP="00555E19">
      <w:pPr>
        <w:spacing w:after="120"/>
        <w:rPr>
          <w:rFonts w:asciiTheme="minorHAnsi" w:hAnsiTheme="minorHAnsi"/>
          <w:color w:val="000000"/>
          <w:sz w:val="22"/>
        </w:rPr>
      </w:pPr>
      <w:r w:rsidRPr="00EE23A4">
        <w:rPr>
          <w:rFonts w:asciiTheme="minorHAnsi" w:hAnsiTheme="minorHAnsi"/>
          <w:color w:val="000000"/>
          <w:sz w:val="22"/>
        </w:rPr>
        <w:t>RQRS: First name and Last name, if applicable</w:t>
      </w:r>
    </w:p>
    <w:p w:rsidR="00555E19" w:rsidRDefault="00555E19" w:rsidP="00555E19">
      <w:pPr>
        <w:widowControl w:val="0"/>
        <w:tabs>
          <w:tab w:val="num" w:pos="720"/>
        </w:tabs>
        <w:spacing w:after="120"/>
      </w:pPr>
      <w:r>
        <w:t>8.  When hear back that 0961 is signed by everyone, remove Rating Decision Review – Level 1 Special Issue, upload the 0961, delete folder from H:\\VSC\2</w:t>
      </w:r>
      <w:r w:rsidRPr="00555E19">
        <w:rPr>
          <w:vertAlign w:val="superscript"/>
        </w:rPr>
        <w:t>nd</w:t>
      </w:r>
      <w:r>
        <w:t>&amp;3</w:t>
      </w:r>
      <w:r w:rsidRPr="00555E19">
        <w:rPr>
          <w:vertAlign w:val="superscript"/>
        </w:rPr>
        <w:t>rd</w:t>
      </w:r>
      <w:r>
        <w:t>Signature\3- RETURN TO RATING EMPLOYEE (</w:t>
      </w:r>
      <w:r w:rsidRPr="00555E19">
        <w:rPr>
          <w:i/>
          <w:color w:val="00B050"/>
        </w:rPr>
        <w:t xml:space="preserve">My Notes:  </w:t>
      </w:r>
      <w:r w:rsidRPr="00555E19">
        <w:rPr>
          <w:i/>
        </w:rPr>
        <w:t>As of 2/1/18, I am unable to access any folders within this folder</w:t>
      </w:r>
      <w:r w:rsidR="003F0201">
        <w:rPr>
          <w:i/>
        </w:rPr>
        <w:t>, as of 3/2/18 have access again</w:t>
      </w:r>
      <w:r>
        <w:t xml:space="preserve">) &amp; Finalize.  </w:t>
      </w:r>
    </w:p>
    <w:p w:rsidR="00555E19" w:rsidRDefault="00555E19" w:rsidP="004A6FD4">
      <w:pPr>
        <w:widowControl w:val="0"/>
        <w:spacing w:after="120"/>
        <w:rPr>
          <w:sz w:val="18"/>
        </w:rPr>
      </w:pPr>
    </w:p>
    <w:p w:rsidR="004A6FD4" w:rsidRDefault="004A6FD4" w:rsidP="004A6FD4">
      <w:pPr>
        <w:contextualSpacing/>
      </w:pPr>
      <w:r w:rsidRPr="00CA15B2">
        <w:rPr>
          <w:b/>
          <w:color w:val="0D0D0D"/>
        </w:rPr>
        <w:t xml:space="preserve">III.iv.6.D.7.e – </w:t>
      </w:r>
      <w:r w:rsidRPr="00CA15B2">
        <w:t>A rating decision should not be finalized until all necessary 2</w:t>
      </w:r>
      <w:r w:rsidRPr="00CA15B2">
        <w:rPr>
          <w:vertAlign w:val="superscript"/>
        </w:rPr>
        <w:t>nd</w:t>
      </w:r>
      <w:r w:rsidRPr="00CA15B2">
        <w:t xml:space="preserve"> and 3</w:t>
      </w:r>
      <w:r w:rsidRPr="00CA15B2">
        <w:rPr>
          <w:vertAlign w:val="superscript"/>
        </w:rPr>
        <w:t>rd</w:t>
      </w:r>
      <w:r w:rsidRPr="00CA15B2">
        <w:t xml:space="preserve"> signatures have been obtained.</w:t>
      </w:r>
    </w:p>
    <w:p w:rsidR="00123FAF" w:rsidRDefault="00123FAF" w:rsidP="00EE23A4">
      <w:pPr>
        <w:widowControl w:val="0"/>
        <w:tabs>
          <w:tab w:val="num" w:pos="720"/>
        </w:tabs>
        <w:spacing w:after="120"/>
      </w:pPr>
    </w:p>
    <w:p w:rsidR="00DB7F5C" w:rsidRDefault="00DB7F5C" w:rsidP="00DB7F5C">
      <w:pPr>
        <w:widowControl w:val="0"/>
        <w:tabs>
          <w:tab w:val="num" w:pos="720"/>
        </w:tabs>
      </w:pPr>
      <w:r>
        <w:t xml:space="preserve">This email was not included in </w:t>
      </w:r>
      <w:r>
        <w:rPr>
          <w:b/>
        </w:rPr>
        <w:t>Local instructions for referring 2</w:t>
      </w:r>
      <w:r w:rsidRPr="00DB7F5C">
        <w:rPr>
          <w:b/>
          <w:vertAlign w:val="superscript"/>
        </w:rPr>
        <w:t>nd</w:t>
      </w:r>
      <w:r>
        <w:rPr>
          <w:b/>
        </w:rPr>
        <w:t>-3</w:t>
      </w:r>
      <w:r w:rsidRPr="00DB7F5C">
        <w:rPr>
          <w:b/>
          <w:vertAlign w:val="superscript"/>
        </w:rPr>
        <w:t>rd</w:t>
      </w:r>
      <w:r>
        <w:rPr>
          <w:b/>
        </w:rPr>
        <w:t xml:space="preserve"> signatures.pdf</w:t>
      </w:r>
      <w:r w:rsidRPr="00DB7F5C">
        <w:t>:</w:t>
      </w:r>
    </w:p>
    <w:p w:rsidR="00EE23A4" w:rsidRPr="00EE23A4" w:rsidRDefault="00EE23A4" w:rsidP="00EE23A4">
      <w:pPr>
        <w:pBdr>
          <w:top w:val="single" w:sz="4" w:space="1" w:color="auto"/>
          <w:left w:val="single" w:sz="4" w:space="4" w:color="auto"/>
          <w:bottom w:val="single" w:sz="4" w:space="1" w:color="auto"/>
          <w:right w:val="single" w:sz="4" w:space="4" w:color="auto"/>
        </w:pBdr>
        <w:outlineLvl w:val="0"/>
      </w:pPr>
      <w:r w:rsidRPr="00EE23A4">
        <w:rPr>
          <w:b/>
          <w:bCs/>
        </w:rPr>
        <w:t>From:</w:t>
      </w:r>
      <w:r w:rsidRPr="00EE23A4">
        <w:t xml:space="preserve"> Matthews, Amanda L., VBASDGO </w:t>
      </w:r>
      <w:r w:rsidRPr="00EE23A4">
        <w:br/>
      </w:r>
      <w:r w:rsidRPr="00EE23A4">
        <w:rPr>
          <w:b/>
          <w:bCs/>
        </w:rPr>
        <w:t>Sent:</w:t>
      </w:r>
      <w:r w:rsidRPr="00EE23A4">
        <w:t xml:space="preserve"> Monday, January 23, 2017 3:40 PM</w:t>
      </w:r>
      <w:r w:rsidRPr="00EE23A4">
        <w:br/>
      </w:r>
      <w:r w:rsidRPr="00EE23A4">
        <w:rPr>
          <w:b/>
          <w:bCs/>
        </w:rPr>
        <w:t>Subject:</w:t>
      </w:r>
      <w:r w:rsidRPr="00EE23A4">
        <w:t xml:space="preserve"> 2nd/3rd Signatures - update</w:t>
      </w:r>
    </w:p>
    <w:p w:rsidR="00EE23A4" w:rsidRPr="00EE23A4" w:rsidRDefault="00EE23A4" w:rsidP="00EE23A4">
      <w:pPr>
        <w:pBdr>
          <w:top w:val="single" w:sz="4" w:space="1" w:color="auto"/>
          <w:left w:val="single" w:sz="4" w:space="4" w:color="auto"/>
          <w:bottom w:val="single" w:sz="4" w:space="1" w:color="auto"/>
          <w:right w:val="single" w:sz="4" w:space="4" w:color="auto"/>
        </w:pBdr>
      </w:pPr>
    </w:p>
    <w:p w:rsidR="00EE23A4" w:rsidRPr="00EE23A4" w:rsidRDefault="00EE23A4" w:rsidP="00EE23A4">
      <w:pPr>
        <w:pBdr>
          <w:top w:val="single" w:sz="4" w:space="1" w:color="auto"/>
          <w:left w:val="single" w:sz="4" w:space="4" w:color="auto"/>
          <w:bottom w:val="single" w:sz="4" w:space="1" w:color="auto"/>
          <w:right w:val="single" w:sz="4" w:space="4" w:color="auto"/>
        </w:pBdr>
        <w:rPr>
          <w:color w:val="000000"/>
        </w:rPr>
      </w:pPr>
      <w:r w:rsidRPr="00EE23A4">
        <w:rPr>
          <w:color w:val="000000"/>
        </w:rPr>
        <w:t xml:space="preserve">Afternoon Coaches, </w:t>
      </w:r>
    </w:p>
    <w:p w:rsidR="00EE23A4" w:rsidRPr="00EE23A4" w:rsidRDefault="00EE23A4" w:rsidP="00EE23A4">
      <w:pPr>
        <w:pBdr>
          <w:top w:val="single" w:sz="4" w:space="1" w:color="auto"/>
          <w:left w:val="single" w:sz="4" w:space="4" w:color="auto"/>
          <w:bottom w:val="single" w:sz="4" w:space="1" w:color="auto"/>
          <w:right w:val="single" w:sz="4" w:space="4" w:color="auto"/>
        </w:pBdr>
        <w:rPr>
          <w:color w:val="000000"/>
        </w:rPr>
      </w:pPr>
    </w:p>
    <w:p w:rsidR="00EE23A4" w:rsidRPr="00EE23A4" w:rsidRDefault="00EE23A4" w:rsidP="00EE23A4">
      <w:pPr>
        <w:pBdr>
          <w:top w:val="single" w:sz="4" w:space="1" w:color="auto"/>
          <w:left w:val="single" w:sz="4" w:space="4" w:color="auto"/>
          <w:bottom w:val="single" w:sz="4" w:space="1" w:color="auto"/>
          <w:right w:val="single" w:sz="4" w:space="4" w:color="auto"/>
        </w:pBdr>
        <w:rPr>
          <w:color w:val="000000"/>
        </w:rPr>
      </w:pPr>
      <w:r w:rsidRPr="00EE23A4">
        <w:rPr>
          <w:color w:val="000000"/>
        </w:rPr>
        <w:t>Per discussion with the AVSCMs we need to be more uniformed when requesting 2</w:t>
      </w:r>
      <w:r w:rsidRPr="00EE23A4">
        <w:rPr>
          <w:color w:val="000000"/>
          <w:vertAlign w:val="superscript"/>
        </w:rPr>
        <w:t>nd</w:t>
      </w:r>
      <w:r w:rsidRPr="00EE23A4">
        <w:rPr>
          <w:color w:val="000000"/>
        </w:rPr>
        <w:t>/3</w:t>
      </w:r>
      <w:r w:rsidRPr="00EE23A4">
        <w:rPr>
          <w:color w:val="000000"/>
          <w:vertAlign w:val="superscript"/>
        </w:rPr>
        <w:t>rd</w:t>
      </w:r>
      <w:r w:rsidRPr="00EE23A4">
        <w:rPr>
          <w:color w:val="000000"/>
        </w:rPr>
        <w:t xml:space="preserve"> Signatures. </w:t>
      </w:r>
    </w:p>
    <w:p w:rsidR="00EE23A4" w:rsidRPr="00EE23A4" w:rsidRDefault="00EE23A4" w:rsidP="00EE23A4">
      <w:pPr>
        <w:pBdr>
          <w:top w:val="single" w:sz="4" w:space="1" w:color="auto"/>
          <w:left w:val="single" w:sz="4" w:space="4" w:color="auto"/>
          <w:bottom w:val="single" w:sz="4" w:space="1" w:color="auto"/>
          <w:right w:val="single" w:sz="4" w:space="4" w:color="auto"/>
        </w:pBdr>
        <w:rPr>
          <w:color w:val="000000"/>
        </w:rPr>
      </w:pPr>
    </w:p>
    <w:p w:rsidR="00EE23A4" w:rsidRPr="00EE23A4" w:rsidRDefault="00EE23A4" w:rsidP="00F063AF">
      <w:pPr>
        <w:numPr>
          <w:ilvl w:val="0"/>
          <w:numId w:val="341"/>
        </w:numPr>
        <w:pBdr>
          <w:top w:val="single" w:sz="4" w:space="1" w:color="auto"/>
          <w:left w:val="single" w:sz="4" w:space="4" w:color="auto"/>
          <w:bottom w:val="single" w:sz="4" w:space="1" w:color="auto"/>
          <w:right w:val="single" w:sz="4" w:space="4" w:color="auto"/>
        </w:pBdr>
        <w:overflowPunct/>
        <w:autoSpaceDE/>
        <w:autoSpaceDN/>
        <w:adjustRightInd/>
        <w:textAlignment w:val="auto"/>
        <w:rPr>
          <w:color w:val="000000"/>
        </w:rPr>
      </w:pPr>
      <w:r w:rsidRPr="00EE23A4">
        <w:rPr>
          <w:color w:val="000000"/>
        </w:rPr>
        <w:t xml:space="preserve">The CUE signature requests should be consistently saved with Veteran’s last name and last four. If not saved properly, it conflicts with previous saved Rating Decisions in the Queue. Please request all employees use one of the below examples for the subject line in order to identify the type of signature required </w:t>
      </w:r>
      <w:r w:rsidRPr="00EE23A4">
        <w:rPr>
          <w:color w:val="000000"/>
          <w:u w:val="single"/>
        </w:rPr>
        <w:t>and</w:t>
      </w:r>
      <w:r w:rsidRPr="00EE23A4">
        <w:rPr>
          <w:color w:val="000000"/>
        </w:rPr>
        <w:t xml:space="preserve"> to cc their coach. </w:t>
      </w:r>
    </w:p>
    <w:p w:rsidR="00EE23A4" w:rsidRPr="00EE23A4" w:rsidRDefault="00EE23A4" w:rsidP="00EE23A4">
      <w:pPr>
        <w:pBdr>
          <w:top w:val="single" w:sz="4" w:space="1" w:color="auto"/>
          <w:left w:val="single" w:sz="4" w:space="4" w:color="auto"/>
          <w:bottom w:val="single" w:sz="4" w:space="1" w:color="auto"/>
          <w:right w:val="single" w:sz="4" w:space="4" w:color="auto"/>
        </w:pBdr>
        <w:ind w:firstLine="360"/>
        <w:rPr>
          <w:color w:val="000000"/>
        </w:rPr>
      </w:pPr>
      <w:r w:rsidRPr="00EE23A4">
        <w:rPr>
          <w:color w:val="FF0000"/>
        </w:rPr>
        <w:t xml:space="preserve">Example: </w:t>
      </w:r>
      <w:r w:rsidRPr="00EE23A4">
        <w:rPr>
          <w:b/>
          <w:bCs/>
          <w:color w:val="000000"/>
        </w:rPr>
        <w:t>3</w:t>
      </w:r>
      <w:r w:rsidRPr="00EE23A4">
        <w:rPr>
          <w:b/>
          <w:bCs/>
          <w:color w:val="000000"/>
          <w:vertAlign w:val="superscript"/>
        </w:rPr>
        <w:t>rd</w:t>
      </w:r>
      <w:r w:rsidRPr="00EE23A4">
        <w:rPr>
          <w:b/>
          <w:bCs/>
          <w:color w:val="000000"/>
        </w:rPr>
        <w:t xml:space="preserve"> -  Doe1234</w:t>
      </w:r>
      <w:r w:rsidRPr="00EE23A4">
        <w:rPr>
          <w:color w:val="000000"/>
        </w:rPr>
        <w:t xml:space="preserve"> or </w:t>
      </w:r>
      <w:r w:rsidRPr="00EE23A4">
        <w:rPr>
          <w:b/>
          <w:bCs/>
          <w:color w:val="000000"/>
        </w:rPr>
        <w:t>2</w:t>
      </w:r>
      <w:r w:rsidRPr="00EE23A4">
        <w:rPr>
          <w:b/>
          <w:bCs/>
          <w:color w:val="000000"/>
          <w:vertAlign w:val="superscript"/>
        </w:rPr>
        <w:t>nd</w:t>
      </w:r>
      <w:r w:rsidRPr="00EE23A4">
        <w:rPr>
          <w:b/>
          <w:bCs/>
          <w:color w:val="000000"/>
        </w:rPr>
        <w:t xml:space="preserve"> -  Doe1234</w:t>
      </w:r>
      <w:r w:rsidRPr="00EE23A4">
        <w:rPr>
          <w:color w:val="000000"/>
        </w:rPr>
        <w:t xml:space="preserve"> or </w:t>
      </w:r>
      <w:r w:rsidRPr="00EE23A4">
        <w:rPr>
          <w:b/>
          <w:bCs/>
          <w:color w:val="000000"/>
        </w:rPr>
        <w:t>ALS - Doe1234</w:t>
      </w:r>
    </w:p>
    <w:p w:rsidR="00EE23A4" w:rsidRPr="00EE23A4" w:rsidRDefault="00EE23A4" w:rsidP="00EE23A4">
      <w:pPr>
        <w:pBdr>
          <w:top w:val="single" w:sz="4" w:space="1" w:color="auto"/>
          <w:left w:val="single" w:sz="4" w:space="4" w:color="auto"/>
          <w:bottom w:val="single" w:sz="4" w:space="1" w:color="auto"/>
          <w:right w:val="single" w:sz="4" w:space="4" w:color="auto"/>
        </w:pBdr>
        <w:overflowPunct/>
        <w:autoSpaceDE/>
        <w:autoSpaceDN/>
        <w:adjustRightInd/>
        <w:textAlignment w:val="auto"/>
        <w:rPr>
          <w:color w:val="000000"/>
        </w:rPr>
      </w:pPr>
    </w:p>
    <w:p w:rsidR="00EE23A4" w:rsidRPr="00EE23A4" w:rsidRDefault="00EE23A4" w:rsidP="00F063AF">
      <w:pPr>
        <w:numPr>
          <w:ilvl w:val="0"/>
          <w:numId w:val="341"/>
        </w:numPr>
        <w:pBdr>
          <w:top w:val="single" w:sz="4" w:space="1" w:color="auto"/>
          <w:left w:val="single" w:sz="4" w:space="4" w:color="auto"/>
          <w:bottom w:val="single" w:sz="4" w:space="1" w:color="auto"/>
          <w:right w:val="single" w:sz="4" w:space="4" w:color="auto"/>
        </w:pBdr>
        <w:overflowPunct/>
        <w:autoSpaceDE/>
        <w:autoSpaceDN/>
        <w:adjustRightInd/>
        <w:textAlignment w:val="auto"/>
        <w:rPr>
          <w:color w:val="000000"/>
        </w:rPr>
      </w:pPr>
      <w:r w:rsidRPr="00EE23A4">
        <w:rPr>
          <w:color w:val="000000"/>
        </w:rPr>
        <w:t xml:space="preserve">Please include a narrative/details on the VA Form 21-0961.  </w:t>
      </w:r>
    </w:p>
    <w:p w:rsidR="00EE23A4" w:rsidRPr="00EE23A4" w:rsidRDefault="00EE23A4" w:rsidP="00EE23A4">
      <w:pPr>
        <w:pBdr>
          <w:top w:val="single" w:sz="4" w:space="1" w:color="auto"/>
          <w:left w:val="single" w:sz="4" w:space="4" w:color="auto"/>
          <w:bottom w:val="single" w:sz="4" w:space="1" w:color="auto"/>
          <w:right w:val="single" w:sz="4" w:space="4" w:color="auto"/>
        </w:pBdr>
        <w:rPr>
          <w:rFonts w:eastAsiaTheme="minorHAnsi"/>
          <w:color w:val="000000"/>
        </w:rPr>
      </w:pPr>
    </w:p>
    <w:p w:rsidR="00EE23A4" w:rsidRPr="00EE23A4" w:rsidRDefault="00EE23A4" w:rsidP="00F063AF">
      <w:pPr>
        <w:numPr>
          <w:ilvl w:val="0"/>
          <w:numId w:val="341"/>
        </w:numPr>
        <w:pBdr>
          <w:top w:val="single" w:sz="4" w:space="1" w:color="auto"/>
          <w:left w:val="single" w:sz="4" w:space="4" w:color="auto"/>
          <w:bottom w:val="single" w:sz="4" w:space="1" w:color="auto"/>
          <w:right w:val="single" w:sz="4" w:space="4" w:color="auto"/>
        </w:pBdr>
        <w:overflowPunct/>
        <w:autoSpaceDE/>
        <w:autoSpaceDN/>
        <w:adjustRightInd/>
        <w:textAlignment w:val="auto"/>
        <w:rPr>
          <w:b/>
          <w:bCs/>
          <w:color w:val="FF0000"/>
        </w:rPr>
      </w:pPr>
      <w:r w:rsidRPr="00EE23A4">
        <w:rPr>
          <w:color w:val="000000"/>
        </w:rPr>
        <w:t xml:space="preserve">Please follow the 2nd/3rd signature policy procedures by uploading the VA Form 21-0961, Rating Narrative, and Code Sheet to </w:t>
      </w:r>
      <w:hyperlink r:id="rId206" w:history="1">
        <w:r w:rsidRPr="00EE23A4">
          <w:rPr>
            <w:rStyle w:val="Hyperlink"/>
          </w:rPr>
          <w:t>H:\VSC\2nd&amp;3rd Signature\1 - SUBMISSION TO QRT</w:t>
        </w:r>
      </w:hyperlink>
      <w:r w:rsidRPr="00EE23A4">
        <w:rPr>
          <w:b/>
          <w:bCs/>
          <w:color w:val="FF0000"/>
        </w:rPr>
        <w:t xml:space="preserve"> </w:t>
      </w:r>
      <w:r w:rsidRPr="00EE23A4">
        <w:rPr>
          <w:color w:val="000000"/>
        </w:rPr>
        <w:t xml:space="preserve">and notifying the QRT mailbox for proper assignment. </w:t>
      </w:r>
    </w:p>
    <w:p w:rsidR="00EE23A4" w:rsidRPr="00EE23A4" w:rsidRDefault="00EE23A4" w:rsidP="00EE23A4">
      <w:pPr>
        <w:pBdr>
          <w:top w:val="single" w:sz="4" w:space="1" w:color="auto"/>
          <w:left w:val="single" w:sz="4" w:space="4" w:color="auto"/>
          <w:bottom w:val="single" w:sz="4" w:space="1" w:color="auto"/>
          <w:right w:val="single" w:sz="4" w:space="4" w:color="auto"/>
        </w:pBdr>
        <w:overflowPunct/>
        <w:autoSpaceDE/>
        <w:autoSpaceDN/>
        <w:adjustRightInd/>
        <w:ind w:firstLine="360"/>
        <w:textAlignment w:val="auto"/>
        <w:rPr>
          <w:b/>
          <w:bCs/>
          <w:color w:val="FF0000"/>
        </w:rPr>
      </w:pPr>
      <w:r w:rsidRPr="00EE23A4">
        <w:rPr>
          <w:color w:val="FF0000"/>
        </w:rPr>
        <w:t xml:space="preserve">Example: </w:t>
      </w:r>
      <w:r w:rsidRPr="00EE23A4">
        <w:rPr>
          <w:b/>
          <w:bCs/>
          <w:color w:val="000000"/>
        </w:rPr>
        <w:t>Doe1234 0961, Doe1234 Codesheet, Doe1234 Narrative</w:t>
      </w:r>
    </w:p>
    <w:p w:rsidR="00EE23A4" w:rsidRPr="00EE23A4" w:rsidRDefault="00EE23A4" w:rsidP="00EE23A4">
      <w:pPr>
        <w:pBdr>
          <w:top w:val="single" w:sz="4" w:space="1" w:color="auto"/>
          <w:left w:val="single" w:sz="4" w:space="4" w:color="auto"/>
          <w:bottom w:val="single" w:sz="4" w:space="1" w:color="auto"/>
          <w:right w:val="single" w:sz="4" w:space="4" w:color="auto"/>
        </w:pBdr>
        <w:rPr>
          <w:rFonts w:eastAsiaTheme="minorHAnsi"/>
          <w:color w:val="000000"/>
        </w:rPr>
      </w:pPr>
    </w:p>
    <w:p w:rsidR="00EE23A4" w:rsidRDefault="00EE23A4" w:rsidP="00F063AF">
      <w:pPr>
        <w:numPr>
          <w:ilvl w:val="0"/>
          <w:numId w:val="341"/>
        </w:numPr>
        <w:pBdr>
          <w:top w:val="single" w:sz="4" w:space="1" w:color="auto"/>
          <w:left w:val="single" w:sz="4" w:space="4" w:color="auto"/>
          <w:bottom w:val="single" w:sz="4" w:space="1" w:color="auto"/>
          <w:right w:val="single" w:sz="4" w:space="4" w:color="auto"/>
        </w:pBdr>
        <w:overflowPunct/>
        <w:autoSpaceDE/>
        <w:autoSpaceDN/>
        <w:adjustRightInd/>
        <w:textAlignment w:val="auto"/>
      </w:pPr>
      <w:r w:rsidRPr="00EE23A4">
        <w:t xml:space="preserve">Finally, if applicable, indicate the name of the RQRS that called the correction for an error in the body of the email, so it can be assigned accordingly. </w:t>
      </w:r>
    </w:p>
    <w:p w:rsidR="00EE23A4" w:rsidRPr="00EE23A4" w:rsidRDefault="00EE23A4" w:rsidP="00EE23A4">
      <w:pPr>
        <w:pBdr>
          <w:top w:val="single" w:sz="4" w:space="1" w:color="auto"/>
          <w:left w:val="single" w:sz="4" w:space="4" w:color="auto"/>
          <w:bottom w:val="single" w:sz="4" w:space="1" w:color="auto"/>
          <w:right w:val="single" w:sz="4" w:space="4" w:color="auto"/>
        </w:pBdr>
        <w:overflowPunct/>
        <w:autoSpaceDE/>
        <w:autoSpaceDN/>
        <w:adjustRightInd/>
        <w:textAlignment w:val="auto"/>
      </w:pPr>
    </w:p>
    <w:p w:rsidR="00EE23A4" w:rsidRPr="00EE23A4" w:rsidRDefault="00EE23A4" w:rsidP="00EE23A4">
      <w:pPr>
        <w:pBdr>
          <w:top w:val="single" w:sz="4" w:space="1" w:color="auto"/>
          <w:left w:val="single" w:sz="4" w:space="4" w:color="auto"/>
          <w:bottom w:val="single" w:sz="4" w:space="1" w:color="auto"/>
          <w:right w:val="single" w:sz="4" w:space="4" w:color="auto"/>
        </w:pBdr>
        <w:ind w:firstLine="360"/>
        <w:rPr>
          <w:b/>
          <w:bCs/>
          <w:color w:val="FF0000"/>
        </w:rPr>
      </w:pPr>
      <w:r w:rsidRPr="00EE23A4">
        <w:rPr>
          <w:b/>
          <w:bCs/>
          <w:color w:val="FF0000"/>
        </w:rPr>
        <w:t xml:space="preserve">Example Email: </w:t>
      </w:r>
    </w:p>
    <w:p w:rsidR="00EE23A4" w:rsidRPr="00EE23A4" w:rsidRDefault="00EE23A4" w:rsidP="00EE23A4">
      <w:pPr>
        <w:pBdr>
          <w:top w:val="single" w:sz="4" w:space="1" w:color="auto"/>
          <w:left w:val="single" w:sz="4" w:space="4" w:color="auto"/>
          <w:bottom w:val="single" w:sz="4" w:space="1" w:color="auto"/>
          <w:right w:val="single" w:sz="4" w:space="4" w:color="auto"/>
        </w:pBdr>
        <w:rPr>
          <w:b/>
          <w:bCs/>
          <w:color w:val="FF0000"/>
        </w:rPr>
      </w:pPr>
    </w:p>
    <w:p w:rsidR="00EE23A4" w:rsidRPr="00EE23A4" w:rsidRDefault="00EE23A4" w:rsidP="00EE23A4">
      <w:pPr>
        <w:pBdr>
          <w:top w:val="single" w:sz="4" w:space="1" w:color="auto"/>
          <w:left w:val="single" w:sz="4" w:space="4" w:color="auto"/>
          <w:bottom w:val="single" w:sz="4" w:space="1" w:color="auto"/>
          <w:right w:val="single" w:sz="4" w:space="4" w:color="auto"/>
        </w:pBdr>
        <w:ind w:firstLine="360"/>
        <w:rPr>
          <w:color w:val="000000"/>
        </w:rPr>
      </w:pPr>
      <w:r w:rsidRPr="00EE23A4">
        <w:rPr>
          <w:color w:val="000000"/>
        </w:rPr>
        <w:t xml:space="preserve">To: VAVBASDC/RO/QRT </w:t>
      </w:r>
    </w:p>
    <w:p w:rsidR="00EE23A4" w:rsidRPr="00EE23A4" w:rsidRDefault="00EE23A4" w:rsidP="00EE23A4">
      <w:pPr>
        <w:pBdr>
          <w:top w:val="single" w:sz="4" w:space="1" w:color="auto"/>
          <w:left w:val="single" w:sz="4" w:space="4" w:color="auto"/>
          <w:bottom w:val="single" w:sz="4" w:space="1" w:color="auto"/>
          <w:right w:val="single" w:sz="4" w:space="4" w:color="auto"/>
        </w:pBdr>
        <w:ind w:firstLine="360"/>
        <w:rPr>
          <w:color w:val="000000"/>
        </w:rPr>
      </w:pPr>
      <w:r w:rsidRPr="00EE23A4">
        <w:rPr>
          <w:color w:val="000000"/>
        </w:rPr>
        <w:t>Cc: Team Coach or Coaches</w:t>
      </w:r>
    </w:p>
    <w:p w:rsidR="00EE23A4" w:rsidRPr="00EE23A4" w:rsidRDefault="00EE23A4" w:rsidP="00EE23A4">
      <w:pPr>
        <w:pBdr>
          <w:top w:val="single" w:sz="4" w:space="1" w:color="auto"/>
          <w:left w:val="single" w:sz="4" w:space="4" w:color="auto"/>
          <w:bottom w:val="single" w:sz="4" w:space="1" w:color="auto"/>
          <w:right w:val="single" w:sz="4" w:space="4" w:color="auto"/>
        </w:pBdr>
        <w:ind w:firstLine="360"/>
        <w:rPr>
          <w:color w:val="000000"/>
        </w:rPr>
      </w:pPr>
      <w:r w:rsidRPr="00EE23A4">
        <w:rPr>
          <w:color w:val="000000"/>
        </w:rPr>
        <w:t xml:space="preserve">Subject: </w:t>
      </w:r>
      <w:r w:rsidRPr="00EE23A4">
        <w:rPr>
          <w:color w:val="000000"/>
          <w:highlight w:val="yellow"/>
        </w:rPr>
        <w:t>3</w:t>
      </w:r>
      <w:r w:rsidRPr="00EE23A4">
        <w:rPr>
          <w:color w:val="000000"/>
          <w:highlight w:val="yellow"/>
          <w:vertAlign w:val="superscript"/>
        </w:rPr>
        <w:t>rd</w:t>
      </w:r>
      <w:r w:rsidRPr="00EE23A4">
        <w:rPr>
          <w:color w:val="000000"/>
          <w:highlight w:val="yellow"/>
        </w:rPr>
        <w:t xml:space="preserve"> -  Doe1234</w:t>
      </w:r>
      <w:r w:rsidRPr="00EE23A4">
        <w:rPr>
          <w:color w:val="000000"/>
        </w:rPr>
        <w:t xml:space="preserve"> or </w:t>
      </w:r>
      <w:r w:rsidRPr="00EE23A4">
        <w:rPr>
          <w:color w:val="000000"/>
          <w:highlight w:val="yellow"/>
        </w:rPr>
        <w:t>2</w:t>
      </w:r>
      <w:r w:rsidRPr="00EE23A4">
        <w:rPr>
          <w:color w:val="000000"/>
          <w:highlight w:val="yellow"/>
          <w:vertAlign w:val="superscript"/>
        </w:rPr>
        <w:t>nd</w:t>
      </w:r>
      <w:r w:rsidRPr="00EE23A4">
        <w:rPr>
          <w:color w:val="000000"/>
          <w:highlight w:val="yellow"/>
        </w:rPr>
        <w:t xml:space="preserve"> - Doe1234</w:t>
      </w:r>
      <w:r w:rsidRPr="00EE23A4">
        <w:rPr>
          <w:color w:val="000000"/>
        </w:rPr>
        <w:t xml:space="preserve"> or </w:t>
      </w:r>
      <w:r w:rsidRPr="00EE23A4">
        <w:rPr>
          <w:color w:val="000000"/>
          <w:highlight w:val="yellow"/>
        </w:rPr>
        <w:t>ALS - Doe1234</w:t>
      </w:r>
    </w:p>
    <w:p w:rsidR="00EE23A4" w:rsidRPr="00EE23A4" w:rsidRDefault="00EE23A4" w:rsidP="00EE23A4">
      <w:pPr>
        <w:pBdr>
          <w:top w:val="single" w:sz="4" w:space="1" w:color="auto"/>
          <w:left w:val="single" w:sz="4" w:space="4" w:color="auto"/>
          <w:bottom w:val="single" w:sz="4" w:space="1" w:color="auto"/>
          <w:right w:val="single" w:sz="4" w:space="4" w:color="auto"/>
        </w:pBdr>
        <w:rPr>
          <w:color w:val="000000"/>
        </w:rPr>
      </w:pPr>
    </w:p>
    <w:p w:rsidR="00EE23A4" w:rsidRPr="00EE23A4" w:rsidRDefault="00EE23A4" w:rsidP="00EE23A4">
      <w:pPr>
        <w:pBdr>
          <w:top w:val="single" w:sz="4" w:space="1" w:color="auto"/>
          <w:left w:val="single" w:sz="4" w:space="4" w:color="auto"/>
          <w:bottom w:val="single" w:sz="4" w:space="1" w:color="auto"/>
          <w:right w:val="single" w:sz="4" w:space="4" w:color="auto"/>
        </w:pBdr>
        <w:ind w:firstLine="360"/>
        <w:rPr>
          <w:color w:val="000000"/>
          <w:u w:val="single"/>
        </w:rPr>
      </w:pPr>
      <w:r w:rsidRPr="00EE23A4">
        <w:rPr>
          <w:color w:val="000000"/>
          <w:u w:val="single"/>
        </w:rPr>
        <w:t>Body of email</w:t>
      </w:r>
    </w:p>
    <w:p w:rsidR="00EE23A4" w:rsidRPr="00EE23A4" w:rsidRDefault="00EE23A4" w:rsidP="00EE23A4">
      <w:pPr>
        <w:pBdr>
          <w:top w:val="single" w:sz="4" w:space="1" w:color="auto"/>
          <w:left w:val="single" w:sz="4" w:space="4" w:color="auto"/>
          <w:bottom w:val="single" w:sz="4" w:space="1" w:color="auto"/>
          <w:right w:val="single" w:sz="4" w:space="4" w:color="auto"/>
        </w:pBdr>
        <w:ind w:firstLine="360"/>
        <w:rPr>
          <w:color w:val="000000"/>
        </w:rPr>
      </w:pPr>
      <w:r w:rsidRPr="00EE23A4">
        <w:rPr>
          <w:color w:val="000000"/>
        </w:rPr>
        <w:t xml:space="preserve">CUE: </w:t>
      </w:r>
      <w:r w:rsidRPr="00EE23A4">
        <w:rPr>
          <w:color w:val="000000"/>
          <w:highlight w:val="yellow"/>
        </w:rPr>
        <w:t>C# or SS#</w:t>
      </w:r>
    </w:p>
    <w:p w:rsidR="00EE23A4" w:rsidRPr="00EE23A4" w:rsidRDefault="00EE23A4" w:rsidP="00EE23A4">
      <w:pPr>
        <w:pBdr>
          <w:top w:val="single" w:sz="4" w:space="1" w:color="auto"/>
          <w:left w:val="single" w:sz="4" w:space="4" w:color="auto"/>
          <w:bottom w:val="single" w:sz="4" w:space="1" w:color="auto"/>
          <w:right w:val="single" w:sz="4" w:space="4" w:color="auto"/>
        </w:pBdr>
        <w:ind w:firstLine="360"/>
        <w:rPr>
          <w:color w:val="000000"/>
        </w:rPr>
      </w:pPr>
      <w:r w:rsidRPr="00EE23A4">
        <w:rPr>
          <w:color w:val="000000"/>
        </w:rPr>
        <w:t xml:space="preserve">RQRS: </w:t>
      </w:r>
      <w:r w:rsidRPr="00EE23A4">
        <w:rPr>
          <w:color w:val="000000"/>
          <w:highlight w:val="yellow"/>
        </w:rPr>
        <w:t>First name and Last name</w:t>
      </w:r>
    </w:p>
    <w:p w:rsidR="00EE23A4" w:rsidRDefault="00EE23A4" w:rsidP="00EE23A4">
      <w:pPr>
        <w:widowControl w:val="0"/>
        <w:tabs>
          <w:tab w:val="num" w:pos="720"/>
        </w:tabs>
        <w:spacing w:after="120"/>
        <w:rPr>
          <w:sz w:val="18"/>
        </w:rPr>
      </w:pPr>
    </w:p>
    <w:p w:rsidR="000D098A" w:rsidRPr="003C038F" w:rsidRDefault="000D098A" w:rsidP="00CA15B2">
      <w:pPr>
        <w:widowControl w:val="0"/>
        <w:pBdr>
          <w:top w:val="single" w:sz="4" w:space="1" w:color="auto"/>
        </w:pBdr>
        <w:tabs>
          <w:tab w:val="num" w:pos="720"/>
        </w:tabs>
        <w:spacing w:after="120"/>
        <w:rPr>
          <w:sz w:val="18"/>
        </w:rPr>
      </w:pPr>
    </w:p>
    <w:p w:rsidR="008F5A6D" w:rsidRDefault="00974077">
      <w:pPr>
        <w:widowControl w:val="0"/>
        <w:rPr>
          <w:rFonts w:ascii="Verdana" w:hAnsi="Verdana"/>
          <w:b/>
        </w:rPr>
      </w:pPr>
      <w:r w:rsidRPr="004E16AB">
        <w:rPr>
          <w:rFonts w:ascii="Verdana" w:hAnsi="Verdana"/>
          <w:b/>
          <w:highlight w:val="green"/>
        </w:rPr>
        <w:t xml:space="preserve">USE </w:t>
      </w:r>
      <w:r w:rsidR="00C551BE" w:rsidRPr="00C551BE">
        <w:rPr>
          <w:rFonts w:ascii="Verdana" w:hAnsi="Verdana"/>
          <w:b/>
          <w:szCs w:val="22"/>
          <w:highlight w:val="green"/>
        </w:rPr>
        <w:t>VBMS-R System-Generated Text</w:t>
      </w:r>
      <w:r w:rsidR="00C551BE">
        <w:rPr>
          <w:b/>
          <w:szCs w:val="22"/>
          <w:highlight w:val="green"/>
        </w:rPr>
        <w:t xml:space="preserve"> </w:t>
      </w:r>
      <w:r w:rsidR="006038C8">
        <w:rPr>
          <w:rFonts w:ascii="Verdana" w:hAnsi="Verdana"/>
          <w:b/>
          <w:highlight w:val="green"/>
        </w:rPr>
        <w:t xml:space="preserve">or </w:t>
      </w:r>
      <w:r>
        <w:rPr>
          <w:rFonts w:ascii="Verdana" w:hAnsi="Verdana"/>
          <w:b/>
          <w:highlight w:val="green"/>
        </w:rPr>
        <w:t>CU1</w:t>
      </w:r>
    </w:p>
    <w:p w:rsidR="00974077" w:rsidRDefault="00974077">
      <w:pPr>
        <w:widowControl w:val="0"/>
        <w:rPr>
          <w:sz w:val="22"/>
        </w:rPr>
      </w:pPr>
    </w:p>
    <w:p w:rsidR="00013EB8" w:rsidRDefault="00013EB8">
      <w:pPr>
        <w:pStyle w:val="Header"/>
        <w:widowControl w:val="0"/>
        <w:tabs>
          <w:tab w:val="clear" w:pos="4320"/>
          <w:tab w:val="clear" w:pos="8640"/>
        </w:tabs>
        <w:spacing w:after="120"/>
      </w:pPr>
      <w:r>
        <w:t>Also see:</w:t>
      </w:r>
    </w:p>
    <w:p w:rsidR="00013EB8" w:rsidRDefault="00013EB8" w:rsidP="00333C92">
      <w:pPr>
        <w:pStyle w:val="Header"/>
        <w:widowControl w:val="0"/>
        <w:numPr>
          <w:ilvl w:val="0"/>
          <w:numId w:val="58"/>
        </w:numPr>
        <w:tabs>
          <w:tab w:val="clear" w:pos="4320"/>
          <w:tab w:val="clear" w:pos="8640"/>
        </w:tabs>
        <w:spacing w:after="120"/>
      </w:pPr>
      <w:r w:rsidRPr="00F673C9">
        <w:rPr>
          <w:b/>
          <w:bCs/>
        </w:rPr>
        <w:lastRenderedPageBreak/>
        <w:t>3.105 – Revision of Decisions</w:t>
      </w:r>
      <w:r>
        <w:t xml:space="preserve"> (discussion above)</w:t>
      </w:r>
    </w:p>
    <w:p w:rsidR="00013EB8" w:rsidRDefault="00013EB8" w:rsidP="00333C92">
      <w:pPr>
        <w:pStyle w:val="Header"/>
        <w:widowControl w:val="0"/>
        <w:numPr>
          <w:ilvl w:val="0"/>
          <w:numId w:val="58"/>
        </w:numPr>
        <w:tabs>
          <w:tab w:val="clear" w:pos="4320"/>
          <w:tab w:val="clear" w:pos="8640"/>
        </w:tabs>
        <w:spacing w:after="120"/>
        <w:rPr>
          <w:b/>
          <w:bCs/>
          <w:szCs w:val="24"/>
        </w:rPr>
      </w:pPr>
      <w:r w:rsidRPr="00BA78B4">
        <w:rPr>
          <w:b/>
          <w:bCs/>
          <w:szCs w:val="24"/>
        </w:rPr>
        <w:t>III.iv.2.B.7</w:t>
      </w:r>
    </w:p>
    <w:p w:rsidR="009C034B" w:rsidRDefault="009C034B" w:rsidP="00333C92">
      <w:pPr>
        <w:pStyle w:val="Header"/>
        <w:widowControl w:val="0"/>
        <w:numPr>
          <w:ilvl w:val="0"/>
          <w:numId w:val="58"/>
        </w:numPr>
        <w:tabs>
          <w:tab w:val="clear" w:pos="4320"/>
          <w:tab w:val="clear" w:pos="8640"/>
        </w:tabs>
        <w:spacing w:after="120"/>
        <w:rPr>
          <w:rStyle w:val="referencecode1"/>
          <w:b/>
          <w:bCs/>
          <w:sz w:val="20"/>
        </w:rPr>
      </w:pPr>
      <w:r>
        <w:rPr>
          <w:b/>
          <w:bCs/>
          <w:szCs w:val="24"/>
        </w:rPr>
        <w:t>III.iv.8.E</w:t>
      </w:r>
    </w:p>
    <w:p w:rsidR="00013EB8" w:rsidRPr="00270104" w:rsidRDefault="00D571C5" w:rsidP="00333C92">
      <w:pPr>
        <w:widowControl w:val="0"/>
        <w:numPr>
          <w:ilvl w:val="0"/>
          <w:numId w:val="58"/>
        </w:numPr>
        <w:tabs>
          <w:tab w:val="left" w:pos="0"/>
          <w:tab w:val="left" w:pos="144"/>
        </w:tabs>
        <w:spacing w:after="120"/>
        <w:rPr>
          <w:rStyle w:val="referencecode1"/>
          <w:b/>
          <w:bCs/>
          <w:sz w:val="20"/>
        </w:rPr>
      </w:pPr>
      <w:hyperlink r:id="rId207" w:history="1">
        <w:r w:rsidR="00013EB8">
          <w:rPr>
            <w:rStyle w:val="Hyperlink"/>
            <w:b/>
            <w:bCs/>
            <w:i/>
            <w:iCs/>
            <w:szCs w:val="24"/>
          </w:rPr>
          <w:t>CUE training by STAR (February 2012)</w:t>
        </w:r>
      </w:hyperlink>
      <w:r w:rsidR="00013EB8">
        <w:rPr>
          <w:rStyle w:val="referencecode1"/>
          <w:sz w:val="20"/>
        </w:rPr>
        <w:t xml:space="preserve"> – a CUE cannot be based on additional evidence submitted, have to identify law/regulation violated (cannot be based on policy or a training guide)</w:t>
      </w:r>
    </w:p>
    <w:p w:rsidR="00013EB8" w:rsidRPr="00FB3678" w:rsidRDefault="00013EB8" w:rsidP="00333C92">
      <w:pPr>
        <w:widowControl w:val="0"/>
        <w:numPr>
          <w:ilvl w:val="0"/>
          <w:numId w:val="58"/>
        </w:numPr>
        <w:tabs>
          <w:tab w:val="left" w:pos="0"/>
          <w:tab w:val="left" w:pos="144"/>
        </w:tabs>
        <w:spacing w:after="120"/>
        <w:rPr>
          <w:rStyle w:val="referencecode1"/>
          <w:b/>
          <w:bCs/>
          <w:sz w:val="20"/>
        </w:rPr>
      </w:pPr>
      <w:r>
        <w:rPr>
          <w:bCs/>
          <w:iCs/>
        </w:rPr>
        <w:t xml:space="preserve">Per </w:t>
      </w:r>
      <w:r w:rsidRPr="00C40657">
        <w:rPr>
          <w:b/>
          <w:i/>
          <w:u w:val="single"/>
        </w:rPr>
        <w:t xml:space="preserve">June 2012 CUE </w:t>
      </w:r>
      <w:r w:rsidR="00C40657">
        <w:rPr>
          <w:b/>
          <w:i/>
          <w:u w:val="single"/>
        </w:rPr>
        <w:t>T</w:t>
      </w:r>
      <w:r w:rsidRPr="00C40657">
        <w:rPr>
          <w:b/>
          <w:i/>
          <w:u w:val="single"/>
        </w:rPr>
        <w:t>raining</w:t>
      </w:r>
      <w:r>
        <w:rPr>
          <w:bCs/>
          <w:iCs/>
        </w:rPr>
        <w:t xml:space="preserve"> – </w:t>
      </w:r>
      <w:r>
        <w:rPr>
          <w:rStyle w:val="referencecode1"/>
          <w:sz w:val="20"/>
        </w:rPr>
        <w:t>a CUE:</w:t>
      </w:r>
    </w:p>
    <w:p w:rsidR="00FB3678" w:rsidRDefault="00FB3678" w:rsidP="00333C92">
      <w:pPr>
        <w:widowControl w:val="0"/>
        <w:numPr>
          <w:ilvl w:val="12"/>
          <w:numId w:val="58"/>
        </w:numPr>
        <w:pBdr>
          <w:top w:val="double" w:sz="4" w:space="1" w:color="auto"/>
          <w:left w:val="double" w:sz="4" w:space="4" w:color="auto"/>
          <w:bottom w:val="double" w:sz="4" w:space="1" w:color="auto"/>
          <w:right w:val="double" w:sz="4" w:space="4" w:color="auto"/>
        </w:pBdr>
        <w:shd w:val="clear" w:color="auto" w:fill="FFC000"/>
        <w:tabs>
          <w:tab w:val="left" w:pos="0"/>
        </w:tabs>
        <w:spacing w:after="120"/>
        <w:rPr>
          <w:i/>
        </w:rPr>
      </w:pPr>
      <w:r w:rsidRPr="0059725E">
        <w:rPr>
          <w:i/>
        </w:rPr>
        <w:t>Training documents are under “</w:t>
      </w:r>
      <w:r>
        <w:rPr>
          <w:i/>
        </w:rPr>
        <w:t xml:space="preserve">Understanding Clear and Unmistakable Errors” &amp; Clear and Unmistakable Errors versus Difference of Opinion” at </w:t>
      </w:r>
      <w:r w:rsidRPr="001453C4">
        <w:rPr>
          <w:b/>
          <w:i/>
        </w:rPr>
        <w:t>http://hvnc.gdit.com/lc/</w:t>
      </w:r>
    </w:p>
    <w:p w:rsidR="00013EB8" w:rsidRDefault="00013EB8" w:rsidP="00F063AF">
      <w:pPr>
        <w:widowControl w:val="0"/>
        <w:numPr>
          <w:ilvl w:val="1"/>
          <w:numId w:val="149"/>
        </w:numPr>
        <w:tabs>
          <w:tab w:val="clear" w:pos="1440"/>
          <w:tab w:val="left" w:pos="0"/>
          <w:tab w:val="left" w:pos="144"/>
          <w:tab w:val="num" w:pos="720"/>
        </w:tabs>
        <w:spacing w:after="120"/>
        <w:ind w:left="720"/>
        <w:rPr>
          <w:rStyle w:val="referencecode1"/>
          <w:b/>
          <w:bCs/>
          <w:sz w:val="20"/>
        </w:rPr>
      </w:pPr>
      <w:r>
        <w:rPr>
          <w:rStyle w:val="referencecode1"/>
          <w:sz w:val="20"/>
        </w:rPr>
        <w:t>Must be a mistake of law or facts, NOT judgment or weighing evidence (if a manual reference is substantive, it can be considered law and an error is a CUE, but if a manual reference is administrative, it is not law and an error is not a CUE).</w:t>
      </w:r>
    </w:p>
    <w:p w:rsidR="00013EB8" w:rsidRDefault="00013EB8" w:rsidP="00F063AF">
      <w:pPr>
        <w:widowControl w:val="0"/>
        <w:numPr>
          <w:ilvl w:val="1"/>
          <w:numId w:val="149"/>
        </w:numPr>
        <w:tabs>
          <w:tab w:val="clear" w:pos="1440"/>
          <w:tab w:val="left" w:pos="0"/>
          <w:tab w:val="left" w:pos="144"/>
          <w:tab w:val="num" w:pos="720"/>
        </w:tabs>
        <w:spacing w:after="120"/>
        <w:ind w:left="720"/>
        <w:rPr>
          <w:rStyle w:val="referencecode1"/>
          <w:b/>
          <w:bCs/>
          <w:sz w:val="20"/>
        </w:rPr>
      </w:pPr>
      <w:r>
        <w:rPr>
          <w:rStyle w:val="referencecode1"/>
          <w:sz w:val="20"/>
        </w:rPr>
        <w:t>Must be outcome determinative (if the decision does not change, it is not a CUE).</w:t>
      </w:r>
    </w:p>
    <w:p w:rsidR="00013EB8" w:rsidRDefault="00013EB8" w:rsidP="00F063AF">
      <w:pPr>
        <w:widowControl w:val="0"/>
        <w:numPr>
          <w:ilvl w:val="1"/>
          <w:numId w:val="149"/>
        </w:numPr>
        <w:tabs>
          <w:tab w:val="clear" w:pos="1440"/>
          <w:tab w:val="left" w:pos="0"/>
          <w:tab w:val="left" w:pos="144"/>
          <w:tab w:val="num" w:pos="720"/>
        </w:tabs>
        <w:spacing w:after="120"/>
        <w:ind w:left="720"/>
        <w:rPr>
          <w:rStyle w:val="referencecode1"/>
          <w:b/>
          <w:bCs/>
          <w:sz w:val="20"/>
        </w:rPr>
      </w:pPr>
      <w:r>
        <w:rPr>
          <w:rStyle w:val="referencecode1"/>
          <w:sz w:val="20"/>
        </w:rPr>
        <w:t>Has no time limit (can be called within a year of the decision or anytime after a decision).</w:t>
      </w:r>
    </w:p>
    <w:p w:rsidR="00013EB8" w:rsidRDefault="00013EB8" w:rsidP="00F063AF">
      <w:pPr>
        <w:widowControl w:val="0"/>
        <w:numPr>
          <w:ilvl w:val="1"/>
          <w:numId w:val="149"/>
        </w:numPr>
        <w:tabs>
          <w:tab w:val="clear" w:pos="1440"/>
          <w:tab w:val="left" w:pos="0"/>
          <w:tab w:val="left" w:pos="144"/>
          <w:tab w:val="num" w:pos="720"/>
        </w:tabs>
        <w:spacing w:after="120"/>
        <w:ind w:left="720"/>
        <w:rPr>
          <w:rStyle w:val="referencecode1"/>
          <w:b/>
          <w:bCs/>
          <w:sz w:val="20"/>
        </w:rPr>
      </w:pPr>
      <w:r>
        <w:rPr>
          <w:rStyle w:val="referencecode1"/>
          <w:sz w:val="20"/>
        </w:rPr>
        <w:t>Cannot be based on evidence not requested/on file (that’s a failure to comply with Duty to Assist rather than a CUE).</w:t>
      </w:r>
    </w:p>
    <w:p w:rsidR="00013EB8" w:rsidRDefault="00013EB8" w:rsidP="00F063AF">
      <w:pPr>
        <w:widowControl w:val="0"/>
        <w:numPr>
          <w:ilvl w:val="1"/>
          <w:numId w:val="149"/>
        </w:numPr>
        <w:tabs>
          <w:tab w:val="clear" w:pos="1440"/>
          <w:tab w:val="left" w:pos="0"/>
          <w:tab w:val="left" w:pos="144"/>
          <w:tab w:val="num" w:pos="720"/>
        </w:tabs>
        <w:spacing w:after="120"/>
        <w:ind w:left="720"/>
        <w:rPr>
          <w:rStyle w:val="referencecode1"/>
          <w:b/>
          <w:bCs/>
          <w:sz w:val="20"/>
        </w:rPr>
      </w:pPr>
      <w:r>
        <w:rPr>
          <w:rStyle w:val="referencecode1"/>
          <w:sz w:val="20"/>
        </w:rPr>
        <w:t>Can only be claimed ONCE by the Veteran.</w:t>
      </w:r>
    </w:p>
    <w:p w:rsidR="00997BBA" w:rsidRDefault="00997BBA">
      <w:pPr>
        <w:pStyle w:val="Header"/>
        <w:widowControl w:val="0"/>
        <w:tabs>
          <w:tab w:val="clear" w:pos="4320"/>
          <w:tab w:val="clear" w:pos="8640"/>
        </w:tabs>
        <w:ind w:left="40"/>
      </w:pPr>
    </w:p>
    <w:p w:rsidR="00013EB8" w:rsidRDefault="00013EB8">
      <w:pPr>
        <w:pStyle w:val="Header"/>
        <w:widowControl w:val="0"/>
        <w:pBdr>
          <w:top w:val="single" w:sz="4" w:space="1" w:color="auto"/>
        </w:pBdr>
        <w:tabs>
          <w:tab w:val="clear" w:pos="4320"/>
          <w:tab w:val="clear" w:pos="8640"/>
        </w:tabs>
      </w:pPr>
    </w:p>
    <w:p w:rsidR="00013EB8" w:rsidRDefault="00013EB8">
      <w:pPr>
        <w:widowControl w:val="0"/>
        <w:outlineLvl w:val="0"/>
        <w:rPr>
          <w:i/>
        </w:rPr>
      </w:pPr>
      <w:r>
        <w:rPr>
          <w:i/>
        </w:rPr>
        <w:t>If a law cannot be applied, there is no CUE!</w:t>
      </w:r>
    </w:p>
    <w:p w:rsidR="00013EB8" w:rsidRDefault="00013EB8">
      <w:pPr>
        <w:widowControl w:val="0"/>
        <w:rPr>
          <w:i/>
        </w:rPr>
      </w:pPr>
    </w:p>
    <w:p w:rsidR="00FF2BA8" w:rsidRDefault="00FA7DD7" w:rsidP="00FF2BA8">
      <w:pPr>
        <w:rPr>
          <w:b/>
          <w:i/>
        </w:rPr>
      </w:pPr>
      <w:r w:rsidRPr="00FA7DD7">
        <w:rPr>
          <w:b/>
          <w:i/>
        </w:rPr>
        <w:t>On the Profile page in VBMS-R, check the 38 CFR 3.105(a) box under Templates, then summarize the error in the box</w:t>
      </w:r>
      <w:r>
        <w:rPr>
          <w:b/>
          <w:i/>
        </w:rPr>
        <w:t>. A</w:t>
      </w:r>
      <w:r w:rsidRPr="00FA7DD7">
        <w:rPr>
          <w:b/>
          <w:bCs/>
          <w:i/>
        </w:rPr>
        <w:t xml:space="preserve">dd the 38 CFR </w:t>
      </w:r>
      <w:r w:rsidRPr="00FA7DD7">
        <w:rPr>
          <w:b/>
          <w:i/>
        </w:rPr>
        <w:t>3.105</w:t>
      </w:r>
      <w:r w:rsidRPr="00FA7DD7">
        <w:rPr>
          <w:b/>
          <w:bCs/>
          <w:i/>
        </w:rPr>
        <w:t>(a) Grant Clause (</w:t>
      </w:r>
      <w:r w:rsidRPr="00FA7DD7">
        <w:rPr>
          <w:b/>
          <w:bCs/>
          <w:i/>
          <w:highlight w:val="cyan"/>
        </w:rPr>
        <w:t>ONLY IF IT IS APPLICABLE TO YOUR CASE</w:t>
      </w:r>
      <w:r w:rsidRPr="00FA7DD7">
        <w:rPr>
          <w:b/>
          <w:bCs/>
          <w:i/>
        </w:rPr>
        <w:t>)</w:t>
      </w:r>
      <w:r w:rsidR="00FF2BA8">
        <w:rPr>
          <w:b/>
          <w:i/>
        </w:rPr>
        <w:t xml:space="preserve">. </w:t>
      </w:r>
      <w:r w:rsidR="00FF2BA8" w:rsidRPr="00FA7DD7">
        <w:rPr>
          <w:b/>
          <w:i/>
        </w:rPr>
        <w:t>This will show up toward the top of the codesheet.</w:t>
      </w:r>
    </w:p>
    <w:p w:rsidR="00FF2BA8" w:rsidRDefault="00FF2BA8" w:rsidP="00FF2BA8">
      <w:pPr>
        <w:rPr>
          <w:b/>
          <w:i/>
        </w:rPr>
      </w:pPr>
    </w:p>
    <w:p w:rsidR="00A40940" w:rsidRDefault="00A40940" w:rsidP="00FF2BA8">
      <w:r w:rsidRPr="00246E17">
        <w:rPr>
          <w:b/>
        </w:rPr>
        <w:t>3.105(a)</w:t>
      </w:r>
      <w:r w:rsidRPr="00A40940">
        <w:t xml:space="preserve"> Grant Clause says:  </w:t>
      </w:r>
      <w:r>
        <w:t>Each assigned effective date of this corrected rating</w:t>
      </w:r>
      <w:r w:rsidR="00D6117D">
        <w:t xml:space="preserve"> </w:t>
      </w:r>
      <w:r>
        <w:t>corresponds to the date from which benefits whould have been payable if it had been made on the date of the reversed decisions (38 CFR 3.400(k)).</w:t>
      </w:r>
    </w:p>
    <w:p w:rsidR="00A40940" w:rsidRPr="00246E17" w:rsidRDefault="00246E17" w:rsidP="00FF2BA8">
      <w:pPr>
        <w:rPr>
          <w:i/>
        </w:rPr>
      </w:pPr>
      <w:r w:rsidRPr="00246E17">
        <w:rPr>
          <w:i/>
        </w:rPr>
        <w:t>*says it’s a grant clause, but verbiage is generic enough to apply to non-grants</w:t>
      </w:r>
    </w:p>
    <w:p w:rsidR="00246E17" w:rsidRDefault="00246E17" w:rsidP="00FF2BA8"/>
    <w:p w:rsidR="00A40940" w:rsidRPr="00246E17" w:rsidRDefault="00A40940" w:rsidP="00FF2BA8">
      <w:r w:rsidRPr="00246E17">
        <w:rPr>
          <w:b/>
        </w:rPr>
        <w:t>3.400(k)</w:t>
      </w:r>
      <w:r w:rsidRPr="00246E17">
        <w:t xml:space="preserve"> says:  </w:t>
      </w:r>
      <w:r w:rsidR="00246E17" w:rsidRPr="00246E17">
        <w:t>Date from which benefits would have been payable if the corrected decision had been made on the date of the reversed decision.</w:t>
      </w:r>
    </w:p>
    <w:p w:rsidR="00A40940" w:rsidRDefault="00A40940" w:rsidP="00FF2BA8">
      <w:pPr>
        <w:rPr>
          <w:b/>
          <w:i/>
        </w:rPr>
      </w:pPr>
    </w:p>
    <w:p w:rsidR="00FF2BA8" w:rsidRPr="00FA7DD7" w:rsidRDefault="00FF2BA8" w:rsidP="00FF2BA8">
      <w:pPr>
        <w:rPr>
          <w:b/>
          <w:bCs/>
          <w:i/>
        </w:rPr>
      </w:pPr>
      <w:r w:rsidRPr="00FA7DD7">
        <w:rPr>
          <w:b/>
          <w:i/>
        </w:rPr>
        <w:t xml:space="preserve">Also check the Special Approval Signature box. </w:t>
      </w:r>
    </w:p>
    <w:p w:rsidR="00FA7DD7" w:rsidRDefault="00FA7DD7">
      <w:pPr>
        <w:widowControl w:val="0"/>
        <w:rPr>
          <w:b/>
          <w:bCs/>
          <w:i/>
        </w:rPr>
      </w:pPr>
    </w:p>
    <w:p w:rsidR="00013EB8" w:rsidRDefault="00013EB8">
      <w:pPr>
        <w:widowControl w:val="0"/>
        <w:outlineLvl w:val="0"/>
        <w:rPr>
          <w:b/>
          <w:bCs/>
          <w:iCs/>
        </w:rPr>
      </w:pPr>
      <w:r>
        <w:rPr>
          <w:b/>
          <w:bCs/>
          <w:iCs/>
        </w:rPr>
        <w:t>If there are no other issues but the CUE, can use Admin review for jurisdiction &amp; the intro.</w:t>
      </w:r>
    </w:p>
    <w:p w:rsidR="00645432" w:rsidRDefault="00645432">
      <w:pPr>
        <w:widowControl w:val="0"/>
        <w:outlineLvl w:val="0"/>
        <w:rPr>
          <w:b/>
          <w:bCs/>
          <w:iCs/>
        </w:rPr>
      </w:pPr>
    </w:p>
    <w:p w:rsidR="00512661" w:rsidRDefault="00512661">
      <w:pPr>
        <w:widowControl w:val="0"/>
        <w:outlineLvl w:val="0"/>
        <w:rPr>
          <w:b/>
          <w:bCs/>
          <w:iCs/>
        </w:rPr>
      </w:pPr>
      <w:r>
        <w:rPr>
          <w:b/>
          <w:bCs/>
          <w:iCs/>
        </w:rPr>
        <w:t>Need to use Supplementary Decision</w:t>
      </w:r>
      <w:r w:rsidR="00645432">
        <w:rPr>
          <w:b/>
          <w:bCs/>
          <w:iCs/>
        </w:rPr>
        <w:t>*</w:t>
      </w:r>
      <w:r>
        <w:rPr>
          <w:b/>
          <w:bCs/>
          <w:iCs/>
        </w:rPr>
        <w:t xml:space="preserve"> </w:t>
      </w:r>
      <w:r w:rsidR="00645432">
        <w:rPr>
          <w:b/>
          <w:bCs/>
          <w:iCs/>
        </w:rPr>
        <w:t>drop-down within issue &amp; choose the appropriate selection.</w:t>
      </w:r>
    </w:p>
    <w:p w:rsidR="00512661" w:rsidRPr="00645432" w:rsidRDefault="00512661">
      <w:pPr>
        <w:widowControl w:val="0"/>
        <w:outlineLvl w:val="0"/>
        <w:rPr>
          <w:bCs/>
          <w:i/>
          <w:iCs/>
        </w:rPr>
      </w:pPr>
      <w:r w:rsidRPr="00645432">
        <w:rPr>
          <w:bCs/>
          <w:i/>
          <w:iCs/>
        </w:rPr>
        <w:t>*if you don’t do this, you won’t get the correct Issue &amp; Decision lines, or the correct Generated Text</w:t>
      </w:r>
    </w:p>
    <w:p w:rsidR="00013EB8" w:rsidRDefault="00013EB8">
      <w:pPr>
        <w:widowControl w:val="0"/>
      </w:pPr>
    </w:p>
    <w:p w:rsidR="00013EB8" w:rsidRDefault="00013EB8">
      <w:pPr>
        <w:pStyle w:val="Heading1"/>
        <w:keepNext w:val="0"/>
        <w:widowControl w:val="0"/>
        <w:pBdr>
          <w:top w:val="single" w:sz="4" w:space="1" w:color="auto"/>
          <w:left w:val="single" w:sz="4" w:space="1" w:color="auto"/>
          <w:bottom w:val="single" w:sz="4" w:space="1" w:color="auto"/>
          <w:right w:val="single" w:sz="4" w:space="1" w:color="auto"/>
        </w:pBdr>
        <w:jc w:val="center"/>
        <w:rPr>
          <w:b/>
          <w:bCs/>
          <w:sz w:val="20"/>
        </w:rPr>
      </w:pPr>
      <w:r>
        <w:rPr>
          <w:b/>
          <w:bCs/>
          <w:sz w:val="20"/>
        </w:rPr>
        <w:t>Taming the CUE Beast</w:t>
      </w:r>
    </w:p>
    <w:p w:rsidR="00013EB8" w:rsidRDefault="00013EB8">
      <w:pPr>
        <w:widowControl w:val="0"/>
        <w:pBdr>
          <w:top w:val="single" w:sz="4" w:space="1" w:color="auto"/>
          <w:left w:val="single" w:sz="4" w:space="1" w:color="auto"/>
          <w:bottom w:val="single" w:sz="4" w:space="1" w:color="auto"/>
          <w:right w:val="single" w:sz="4" w:space="1" w:color="auto"/>
        </w:pBdr>
        <w:jc w:val="center"/>
        <w:rPr>
          <w:bCs/>
        </w:rPr>
      </w:pPr>
      <w:r>
        <w:t>Submitted by: Paul Jonsson and Chris Mannion</w:t>
      </w:r>
    </w:p>
    <w:p w:rsidR="00013EB8" w:rsidRDefault="00013EB8">
      <w:pPr>
        <w:widowControl w:val="0"/>
        <w:pBdr>
          <w:top w:val="single" w:sz="4" w:space="1" w:color="auto"/>
          <w:left w:val="single" w:sz="4" w:space="1" w:color="auto"/>
          <w:bottom w:val="single" w:sz="4" w:space="1" w:color="auto"/>
          <w:right w:val="single" w:sz="4" w:space="1" w:color="auto"/>
        </w:pBdr>
        <w:rPr>
          <w:b/>
          <w:bCs/>
        </w:rPr>
      </w:pPr>
    </w:p>
    <w:p w:rsidR="00013EB8" w:rsidRDefault="00013EB8">
      <w:pPr>
        <w:widowControl w:val="0"/>
        <w:pBdr>
          <w:top w:val="single" w:sz="4" w:space="1" w:color="auto"/>
          <w:left w:val="single" w:sz="4" w:space="1" w:color="auto"/>
          <w:bottom w:val="single" w:sz="4" w:space="1" w:color="auto"/>
          <w:right w:val="single" w:sz="4" w:space="1" w:color="auto"/>
        </w:pBdr>
        <w:rPr>
          <w:b/>
          <w:bCs/>
        </w:rPr>
      </w:pPr>
      <w:r>
        <w:rPr>
          <w:b/>
          <w:bCs/>
        </w:rPr>
        <w:t>Animal, Mineral, or Vegetable: is a CUE an “original” or a “reopened” claim?</w:t>
      </w:r>
    </w:p>
    <w:p w:rsidR="00013EB8" w:rsidRDefault="00013EB8" w:rsidP="003063BD">
      <w:pPr>
        <w:widowControl w:val="0"/>
        <w:pBdr>
          <w:top w:val="single" w:sz="4" w:space="1" w:color="auto"/>
          <w:left w:val="single" w:sz="4" w:space="1" w:color="auto"/>
          <w:bottom w:val="single" w:sz="4" w:space="1" w:color="auto"/>
          <w:right w:val="single" w:sz="4" w:space="1" w:color="auto"/>
        </w:pBdr>
      </w:pPr>
      <w:r>
        <w:t>A claim for CUE is an origi</w:t>
      </w:r>
      <w:r w:rsidR="003063BD">
        <w:t xml:space="preserve">nal claim, not a reopened one. </w:t>
      </w:r>
      <w:r>
        <w:rPr>
          <w:szCs w:val="18"/>
        </w:rPr>
        <w:t xml:space="preserve">The CAVC has explained that a claim of CUE in a prior decision is “not being reopened…[Rather] it is being revised to conform to the ‘true’ state of the facts or law that existed at the time of the original decision.” </w:t>
      </w:r>
      <w:r>
        <w:rPr>
          <w:i/>
          <w:iCs/>
          <w:szCs w:val="18"/>
        </w:rPr>
        <w:t>Russell v. Principi</w:t>
      </w:r>
      <w:r>
        <w:rPr>
          <w:szCs w:val="18"/>
        </w:rPr>
        <w:t xml:space="preserve"> 3 Vet. App. 310, 313 (1992)(en banc).</w:t>
      </w:r>
    </w:p>
    <w:p w:rsidR="00013EB8" w:rsidRDefault="00013EB8">
      <w:pPr>
        <w:widowControl w:val="0"/>
        <w:pBdr>
          <w:top w:val="single" w:sz="4" w:space="1" w:color="auto"/>
          <w:left w:val="single" w:sz="4" w:space="1" w:color="auto"/>
          <w:bottom w:val="single" w:sz="4" w:space="1" w:color="auto"/>
          <w:right w:val="single" w:sz="4" w:space="1" w:color="auto"/>
        </w:pBdr>
        <w:tabs>
          <w:tab w:val="left" w:pos="1770"/>
        </w:tabs>
      </w:pPr>
    </w:p>
    <w:p w:rsidR="00013EB8" w:rsidRDefault="00013EB8">
      <w:pPr>
        <w:widowControl w:val="0"/>
        <w:pBdr>
          <w:top w:val="single" w:sz="4" w:space="1" w:color="auto"/>
          <w:left w:val="single" w:sz="4" w:space="1" w:color="auto"/>
          <w:bottom w:val="single" w:sz="4" w:space="1" w:color="auto"/>
          <w:right w:val="single" w:sz="4" w:space="1" w:color="auto"/>
        </w:pBdr>
        <w:rPr>
          <w:b/>
          <w:bCs/>
        </w:rPr>
      </w:pPr>
      <w:r>
        <w:rPr>
          <w:b/>
          <w:bCs/>
        </w:rPr>
        <w:t>When can a Veteran claim a CUE?</w:t>
      </w:r>
    </w:p>
    <w:p w:rsidR="00013EB8" w:rsidRDefault="00013EB8">
      <w:pPr>
        <w:pStyle w:val="BodyTextIndent2"/>
        <w:widowControl w:val="0"/>
        <w:pBdr>
          <w:top w:val="single" w:sz="4" w:space="1" w:color="auto"/>
          <w:left w:val="single" w:sz="4" w:space="1" w:color="auto"/>
          <w:bottom w:val="single" w:sz="4" w:space="1" w:color="auto"/>
          <w:right w:val="single" w:sz="4" w:space="1" w:color="auto"/>
        </w:pBdr>
        <w:ind w:left="0"/>
        <w:rPr>
          <w:sz w:val="20"/>
        </w:rPr>
      </w:pPr>
      <w:r>
        <w:rPr>
          <w:sz w:val="20"/>
        </w:rPr>
        <w:t>There is no time limit for requesting that a previous final decision be reviewed for CUE; such a request may be made at any time, even decades after the RO decision becomes final.</w:t>
      </w:r>
    </w:p>
    <w:p w:rsidR="00013EB8" w:rsidRDefault="00013EB8">
      <w:pPr>
        <w:widowControl w:val="0"/>
        <w:pBdr>
          <w:top w:val="single" w:sz="4" w:space="1" w:color="auto"/>
          <w:left w:val="single" w:sz="4" w:space="1" w:color="auto"/>
          <w:bottom w:val="single" w:sz="4" w:space="1" w:color="auto"/>
          <w:right w:val="single" w:sz="4" w:space="1" w:color="auto"/>
        </w:pBdr>
      </w:pPr>
    </w:p>
    <w:p w:rsidR="00013EB8" w:rsidRDefault="00013EB8">
      <w:pPr>
        <w:widowControl w:val="0"/>
        <w:pBdr>
          <w:top w:val="single" w:sz="4" w:space="1" w:color="auto"/>
          <w:left w:val="single" w:sz="4" w:space="1" w:color="auto"/>
          <w:bottom w:val="single" w:sz="4" w:space="1" w:color="auto"/>
          <w:right w:val="single" w:sz="4" w:space="1" w:color="auto"/>
        </w:pBdr>
        <w:rPr>
          <w:b/>
          <w:bCs/>
        </w:rPr>
      </w:pPr>
      <w:r>
        <w:rPr>
          <w:b/>
          <w:bCs/>
        </w:rPr>
        <w:t>What’s the effect of a finding of CUE?</w:t>
      </w:r>
    </w:p>
    <w:p w:rsidR="00013EB8" w:rsidRDefault="00013EB8">
      <w:pPr>
        <w:widowControl w:val="0"/>
        <w:pBdr>
          <w:top w:val="single" w:sz="4" w:space="1" w:color="auto"/>
          <w:left w:val="single" w:sz="4" w:space="1" w:color="auto"/>
          <w:bottom w:val="single" w:sz="4" w:space="1" w:color="auto"/>
          <w:right w:val="single" w:sz="4" w:space="1" w:color="auto"/>
        </w:pBdr>
      </w:pPr>
      <w:r>
        <w:t xml:space="preserve">Revision of a prior final denial based on CUE is powerful because it “relates back” to an earlier decision and often confers an earlier effective date, i.e., if successful the veteran’s effective date would be the date that would have been given to the previously denied claim had it been granted instead of denied. </w:t>
      </w:r>
      <w:hyperlink r:id="rId208" w:history="1">
        <w:r>
          <w:rPr>
            <w:rStyle w:val="Hyperlink"/>
          </w:rPr>
          <w:t>38 U.S.C. 5109A.</w:t>
        </w:r>
      </w:hyperlink>
    </w:p>
    <w:p w:rsidR="00013EB8" w:rsidRDefault="00013EB8">
      <w:pPr>
        <w:pStyle w:val="Header"/>
        <w:widowControl w:val="0"/>
        <w:pBdr>
          <w:top w:val="single" w:sz="4" w:space="1" w:color="auto"/>
          <w:left w:val="single" w:sz="4" w:space="1" w:color="auto"/>
          <w:bottom w:val="single" w:sz="4" w:space="1" w:color="auto"/>
          <w:right w:val="single" w:sz="4" w:space="1" w:color="auto"/>
        </w:pBdr>
        <w:tabs>
          <w:tab w:val="clear" w:pos="4320"/>
          <w:tab w:val="clear" w:pos="8640"/>
        </w:tabs>
        <w:rPr>
          <w:szCs w:val="18"/>
        </w:rPr>
      </w:pPr>
    </w:p>
    <w:p w:rsidR="00013EB8" w:rsidRDefault="00013EB8">
      <w:pPr>
        <w:widowControl w:val="0"/>
        <w:pBdr>
          <w:top w:val="single" w:sz="4" w:space="1" w:color="auto"/>
          <w:left w:val="single" w:sz="4" w:space="1" w:color="auto"/>
          <w:bottom w:val="single" w:sz="4" w:space="1" w:color="auto"/>
          <w:right w:val="single" w:sz="4" w:space="1" w:color="auto"/>
        </w:pBdr>
        <w:rPr>
          <w:b/>
          <w:bCs/>
        </w:rPr>
      </w:pPr>
      <w:r>
        <w:rPr>
          <w:b/>
          <w:bCs/>
        </w:rPr>
        <w:t>What is a CUE?  A clear and unmistakable error is present when noted in previous determinations, which are final and binding.  Note - the key term “final and binding</w:t>
      </w:r>
      <w:r w:rsidR="001946CC">
        <w:rPr>
          <w:b/>
          <w:bCs/>
        </w:rPr>
        <w:t>.”</w:t>
      </w:r>
      <w:r>
        <w:rPr>
          <w:b/>
          <w:bCs/>
        </w:rPr>
        <w:t xml:space="preserve"> </w:t>
      </w:r>
    </w:p>
    <w:p w:rsidR="00013EB8" w:rsidRDefault="00013EB8">
      <w:pPr>
        <w:widowControl w:val="0"/>
        <w:pBdr>
          <w:top w:val="single" w:sz="4" w:space="1" w:color="auto"/>
          <w:left w:val="single" w:sz="4" w:space="1" w:color="auto"/>
          <w:bottom w:val="single" w:sz="4" w:space="1" w:color="auto"/>
          <w:right w:val="single" w:sz="4" w:space="1" w:color="auto"/>
        </w:pBdr>
      </w:pPr>
      <w:r>
        <w:t>Where evidence establishes such error, the prior decision will be reversed or amended. For the purpose of authorizing benefits, the rating or other adjudicative decision which constitutes a reversal of a prior decision on the grounds of clear and unmistakable error has the same effect as if the corrected decision had been made on the date of the reversed decision. (</w:t>
      </w:r>
      <w:r w:rsidRPr="00EC4CEC">
        <w:t>38 CFR 3.105</w:t>
      </w:r>
      <w:r>
        <w:t>)</w:t>
      </w:r>
    </w:p>
    <w:p w:rsidR="00013EB8" w:rsidRDefault="00013EB8">
      <w:pPr>
        <w:widowControl w:val="0"/>
        <w:pBdr>
          <w:top w:val="single" w:sz="4" w:space="1" w:color="auto"/>
          <w:left w:val="single" w:sz="4" w:space="1" w:color="auto"/>
          <w:bottom w:val="single" w:sz="4" w:space="1" w:color="auto"/>
          <w:right w:val="single" w:sz="4" w:space="1" w:color="auto"/>
        </w:pBdr>
      </w:pPr>
    </w:p>
    <w:p w:rsidR="00013EB8" w:rsidRDefault="00013EB8">
      <w:pPr>
        <w:widowControl w:val="0"/>
        <w:pBdr>
          <w:top w:val="single" w:sz="4" w:space="1" w:color="auto"/>
          <w:left w:val="single" w:sz="4" w:space="1" w:color="auto"/>
          <w:bottom w:val="single" w:sz="4" w:space="1" w:color="auto"/>
          <w:right w:val="single" w:sz="4" w:space="1" w:color="auto"/>
        </w:pBdr>
        <w:jc w:val="both"/>
        <w:rPr>
          <w:b/>
          <w:bCs/>
        </w:rPr>
      </w:pPr>
      <w:r>
        <w:rPr>
          <w:b/>
          <w:bCs/>
        </w:rPr>
        <w:t>What is a final and binding determination?</w:t>
      </w:r>
    </w:p>
    <w:p w:rsidR="00013EB8" w:rsidRDefault="00013EB8">
      <w:pPr>
        <w:widowControl w:val="0"/>
        <w:pBdr>
          <w:top w:val="single" w:sz="4" w:space="1" w:color="auto"/>
          <w:left w:val="single" w:sz="4" w:space="1" w:color="auto"/>
          <w:bottom w:val="single" w:sz="4" w:space="1" w:color="auto"/>
          <w:right w:val="single" w:sz="4" w:space="1" w:color="auto"/>
        </w:pBdr>
      </w:pPr>
      <w:r>
        <w:t xml:space="preserve">The decision of a duly constituted rating agency or other agency of original jurisdiction shall be final and binding on all field offices of the Department of Veterans Affairs as to conclusions based on evidence on file at the time VA issues written notification in accordance with </w:t>
      </w:r>
      <w:hyperlink r:id="rId209" w:history="1">
        <w:r>
          <w:rPr>
            <w:rStyle w:val="Hyperlink"/>
          </w:rPr>
          <w:t>38 U.S.C. 5104</w:t>
        </w:r>
      </w:hyperlink>
      <w:r>
        <w:t>. (</w:t>
      </w:r>
      <w:r w:rsidRPr="00EC4CEC">
        <w:t xml:space="preserve">38 CFR 3.104 </w:t>
      </w:r>
      <w:r>
        <w:t xml:space="preserve"> Finality of decisions).</w:t>
      </w:r>
    </w:p>
    <w:p w:rsidR="00013EB8" w:rsidRDefault="00013EB8">
      <w:pPr>
        <w:widowControl w:val="0"/>
        <w:pBdr>
          <w:top w:val="single" w:sz="4" w:space="1" w:color="auto"/>
          <w:left w:val="single" w:sz="4" w:space="1" w:color="auto"/>
          <w:bottom w:val="single" w:sz="4" w:space="1" w:color="auto"/>
          <w:right w:val="single" w:sz="4" w:space="1" w:color="auto"/>
        </w:pBdr>
        <w:tabs>
          <w:tab w:val="left" w:pos="0"/>
          <w:tab w:val="left" w:pos="720"/>
          <w:tab w:val="left" w:pos="1440"/>
          <w:tab w:val="left" w:pos="2160"/>
          <w:tab w:val="left" w:pos="3600"/>
          <w:tab w:val="left" w:pos="4320"/>
          <w:tab w:val="left" w:pos="5040"/>
          <w:tab w:val="left" w:pos="5760"/>
          <w:tab w:val="left" w:pos="6480"/>
          <w:tab w:val="left" w:pos="7200"/>
          <w:tab w:val="left" w:pos="7920"/>
          <w:tab w:val="left" w:pos="8640"/>
        </w:tabs>
        <w:ind w:left="360" w:hanging="360"/>
        <w:jc w:val="both"/>
      </w:pPr>
    </w:p>
    <w:p w:rsidR="00013EB8" w:rsidRDefault="00013EB8">
      <w:pPr>
        <w:widowControl w:val="0"/>
        <w:pBdr>
          <w:top w:val="single" w:sz="4" w:space="1" w:color="auto"/>
          <w:left w:val="single" w:sz="4" w:space="1" w:color="auto"/>
          <w:bottom w:val="single" w:sz="4" w:space="1" w:color="auto"/>
          <w:right w:val="single" w:sz="4" w:space="1" w:color="auto"/>
        </w:pBdr>
        <w:tabs>
          <w:tab w:val="left" w:pos="0"/>
          <w:tab w:val="left" w:pos="720"/>
          <w:tab w:val="left" w:pos="1440"/>
          <w:tab w:val="left" w:pos="2160"/>
          <w:tab w:val="left" w:pos="3600"/>
          <w:tab w:val="left" w:pos="4320"/>
          <w:tab w:val="left" w:pos="5040"/>
          <w:tab w:val="left" w:pos="5760"/>
          <w:tab w:val="left" w:pos="6480"/>
          <w:tab w:val="left" w:pos="7200"/>
          <w:tab w:val="left" w:pos="7920"/>
          <w:tab w:val="left" w:pos="8640"/>
        </w:tabs>
        <w:jc w:val="both"/>
      </w:pPr>
      <w:r>
        <w:t>Sometimes there is confusion in believing that a decision must be “Finally adjudicated” in order to be a CUE.  What is a finally adjudicated claim?</w:t>
      </w:r>
    </w:p>
    <w:p w:rsidR="00013EB8" w:rsidRDefault="00013EB8">
      <w:pPr>
        <w:widowControl w:val="0"/>
        <w:pBdr>
          <w:top w:val="single" w:sz="4" w:space="1" w:color="auto"/>
          <w:left w:val="single" w:sz="4" w:space="1" w:color="auto"/>
          <w:bottom w:val="single" w:sz="4" w:space="1" w:color="auto"/>
          <w:right w:val="single" w:sz="4" w:space="1" w:color="auto"/>
        </w:pBdr>
        <w:tabs>
          <w:tab w:val="left" w:pos="0"/>
          <w:tab w:val="left" w:pos="720"/>
          <w:tab w:val="left" w:pos="1440"/>
          <w:tab w:val="left" w:pos="2160"/>
          <w:tab w:val="left" w:pos="3600"/>
          <w:tab w:val="left" w:pos="4320"/>
          <w:tab w:val="left" w:pos="5040"/>
          <w:tab w:val="left" w:pos="5760"/>
          <w:tab w:val="left" w:pos="6480"/>
          <w:tab w:val="left" w:pos="7200"/>
          <w:tab w:val="left" w:pos="7920"/>
          <w:tab w:val="left" w:pos="8640"/>
        </w:tabs>
        <w:jc w:val="both"/>
      </w:pPr>
    </w:p>
    <w:p w:rsidR="00013EB8" w:rsidRDefault="00013EB8">
      <w:pPr>
        <w:pStyle w:val="BodyTextIndent3"/>
        <w:widowControl w:val="0"/>
        <w:pBdr>
          <w:left w:val="single" w:sz="4" w:space="1" w:color="auto"/>
          <w:right w:val="single" w:sz="4" w:space="1" w:color="auto"/>
        </w:pBdr>
        <w:ind w:left="0" w:firstLine="0"/>
      </w:pPr>
      <w:r>
        <w:t>A finally adjudicated claim is an application, formal or informal, which has been allowed or disallowed by the agency of original jurisdiction, the action having become final by the expiration of 1 year after the date of notice of an award or disallowance, or by denial on appellate review, whichever is the earlier.  (§3.160  Status of claims).</w:t>
      </w:r>
    </w:p>
    <w:p w:rsidR="00013EB8" w:rsidRDefault="00013EB8">
      <w:pPr>
        <w:widowControl w:val="0"/>
        <w:pBdr>
          <w:top w:val="single" w:sz="4" w:space="1" w:color="auto"/>
          <w:left w:val="single" w:sz="4" w:space="1" w:color="auto"/>
          <w:bottom w:val="single" w:sz="4" w:space="1" w:color="auto"/>
          <w:right w:val="single" w:sz="4" w:space="1" w:color="auto"/>
        </w:pBdr>
        <w:tabs>
          <w:tab w:val="left" w:pos="360"/>
          <w:tab w:val="left" w:pos="720"/>
          <w:tab w:val="left" w:pos="1440"/>
          <w:tab w:val="left" w:pos="2160"/>
          <w:tab w:val="left" w:pos="3600"/>
          <w:tab w:val="left" w:pos="4320"/>
          <w:tab w:val="left" w:pos="5040"/>
          <w:tab w:val="left" w:pos="5760"/>
          <w:tab w:val="left" w:pos="6480"/>
          <w:tab w:val="left" w:pos="7200"/>
          <w:tab w:val="left" w:pos="7920"/>
          <w:tab w:val="left" w:pos="8640"/>
        </w:tabs>
        <w:jc w:val="both"/>
      </w:pPr>
    </w:p>
    <w:p w:rsidR="00013EB8" w:rsidRDefault="00013EB8">
      <w:pPr>
        <w:widowControl w:val="0"/>
        <w:pBdr>
          <w:top w:val="single" w:sz="4" w:space="1" w:color="auto"/>
          <w:left w:val="single" w:sz="4" w:space="1" w:color="auto"/>
          <w:bottom w:val="single" w:sz="4" w:space="1" w:color="auto"/>
          <w:right w:val="single" w:sz="4" w:space="1" w:color="auto"/>
        </w:pBdr>
        <w:rPr>
          <w:b/>
          <w:bCs/>
        </w:rPr>
      </w:pPr>
      <w:r>
        <w:rPr>
          <w:b/>
          <w:bCs/>
        </w:rPr>
        <w:t>What constitutes a CUE?</w:t>
      </w:r>
    </w:p>
    <w:p w:rsidR="00013EB8" w:rsidRDefault="00013EB8">
      <w:pPr>
        <w:widowControl w:val="0"/>
        <w:pBdr>
          <w:top w:val="single" w:sz="4" w:space="1" w:color="auto"/>
          <w:left w:val="single" w:sz="4" w:space="1" w:color="auto"/>
          <w:bottom w:val="single" w:sz="4" w:space="1" w:color="auto"/>
          <w:right w:val="single" w:sz="4" w:space="1" w:color="auto"/>
        </w:pBdr>
      </w:pPr>
      <w:r>
        <w:t>To constitute a CUE the claimant must show that the error was outcome-determinative, i.e., the error was so important that if it had not occurred it would have manifestly changed the outcome of the prior decision containing the CUE.</w:t>
      </w:r>
      <w:r>
        <w:rPr>
          <w:i/>
          <w:iCs/>
        </w:rPr>
        <w:t xml:space="preserve"> Yates v. West</w:t>
      </w:r>
      <w:r>
        <w:t>, 213 F. 3d 1372 (Fed Cir 2000); and</w:t>
      </w:r>
      <w:r>
        <w:rPr>
          <w:i/>
          <w:iCs/>
        </w:rPr>
        <w:t xml:space="preserve"> Bustos v. West</w:t>
      </w:r>
      <w:r>
        <w:t xml:space="preserve"> 179 F. 3d 1378 1380 (1999).</w:t>
      </w:r>
    </w:p>
    <w:p w:rsidR="00013EB8" w:rsidRDefault="00013EB8">
      <w:pPr>
        <w:widowControl w:val="0"/>
        <w:pBdr>
          <w:top w:val="single" w:sz="4" w:space="1" w:color="auto"/>
          <w:left w:val="single" w:sz="4" w:space="1" w:color="auto"/>
          <w:bottom w:val="single" w:sz="4" w:space="1" w:color="auto"/>
          <w:right w:val="single" w:sz="4" w:space="1" w:color="auto"/>
        </w:pBdr>
      </w:pPr>
    </w:p>
    <w:p w:rsidR="00013EB8" w:rsidRDefault="00013EB8">
      <w:pPr>
        <w:pStyle w:val="NormalWeb"/>
        <w:widowControl w:val="0"/>
        <w:pBdr>
          <w:top w:val="single" w:sz="4" w:space="1" w:color="auto"/>
          <w:left w:val="single" w:sz="4" w:space="1" w:color="auto"/>
          <w:bottom w:val="single" w:sz="4" w:space="1" w:color="auto"/>
          <w:right w:val="single" w:sz="4" w:space="1" w:color="auto"/>
        </w:pBdr>
        <w:rPr>
          <w:sz w:val="20"/>
          <w:szCs w:val="20"/>
        </w:rPr>
      </w:pPr>
      <w:r>
        <w:rPr>
          <w:b/>
          <w:bCs/>
          <w:sz w:val="20"/>
          <w:szCs w:val="20"/>
        </w:rPr>
        <w:t>What if there is a disagreement on how the facts were weighed?</w:t>
      </w:r>
      <w:r>
        <w:rPr>
          <w:b/>
          <w:bCs/>
          <w:sz w:val="20"/>
          <w:szCs w:val="20"/>
        </w:rPr>
        <w:br/>
      </w:r>
      <w:r>
        <w:rPr>
          <w:sz w:val="20"/>
          <w:szCs w:val="20"/>
        </w:rPr>
        <w:t>A disagreement on how the facts were weighed or evaluated by the VA cannot amount to a CUE.</w:t>
      </w:r>
      <w:r>
        <w:rPr>
          <w:i/>
          <w:iCs/>
          <w:sz w:val="20"/>
          <w:szCs w:val="20"/>
        </w:rPr>
        <w:t xml:space="preserve"> Simmons v. West</w:t>
      </w:r>
      <w:r>
        <w:rPr>
          <w:sz w:val="20"/>
          <w:szCs w:val="20"/>
        </w:rPr>
        <w:t xml:space="preserve"> 13 Vet App 501 (2000); </w:t>
      </w:r>
      <w:r>
        <w:rPr>
          <w:i/>
          <w:iCs/>
          <w:sz w:val="20"/>
          <w:szCs w:val="20"/>
        </w:rPr>
        <w:t>Crippen v. Brown</w:t>
      </w:r>
      <w:r>
        <w:rPr>
          <w:sz w:val="20"/>
          <w:szCs w:val="20"/>
        </w:rPr>
        <w:t xml:space="preserve"> 9 Vet. App. at 418,</w:t>
      </w:r>
      <w:r>
        <w:rPr>
          <w:i/>
          <w:iCs/>
          <w:sz w:val="20"/>
          <w:szCs w:val="20"/>
        </w:rPr>
        <w:t xml:space="preserve"> Russell v. Principi,</w:t>
      </w:r>
      <w:r>
        <w:rPr>
          <w:sz w:val="20"/>
          <w:szCs w:val="20"/>
        </w:rPr>
        <w:t xml:space="preserve"> 3 Vet App 310, 313 (1992).  This means that even if a decision is unfavorable to a veteran (e.g., there is no nexus between the veteran’s current disability and an in-service event, injury or disease) and even if it is against the overwhelming weight of the evidence, it is not a CUE if there is</w:t>
      </w:r>
      <w:r>
        <w:rPr>
          <w:i/>
          <w:iCs/>
          <w:sz w:val="20"/>
          <w:szCs w:val="20"/>
        </w:rPr>
        <w:t xml:space="preserve"> some</w:t>
      </w:r>
      <w:r>
        <w:rPr>
          <w:sz w:val="20"/>
          <w:szCs w:val="20"/>
        </w:rPr>
        <w:t xml:space="preserve"> evidence in the record that supports the adverse decision no matter how weak the subsequent rater believes that evidence to be.  The CAVC has stated "When there is evidence both pro and con on the issue it is impossible… to succeed in showing that 'the result would have been</w:t>
      </w:r>
      <w:r>
        <w:rPr>
          <w:i/>
          <w:iCs/>
          <w:sz w:val="20"/>
          <w:szCs w:val="20"/>
        </w:rPr>
        <w:t xml:space="preserve"> manifestly</w:t>
      </w:r>
      <w:r>
        <w:rPr>
          <w:sz w:val="20"/>
          <w:szCs w:val="20"/>
        </w:rPr>
        <w:t xml:space="preserve"> different'" </w:t>
      </w:r>
      <w:r>
        <w:rPr>
          <w:i/>
          <w:iCs/>
          <w:sz w:val="20"/>
          <w:szCs w:val="20"/>
        </w:rPr>
        <w:t xml:space="preserve"> Simmons v. West, </w:t>
      </w:r>
      <w:r>
        <w:rPr>
          <w:sz w:val="20"/>
          <w:szCs w:val="20"/>
        </w:rPr>
        <w:t>13 Vet. App. 501 quoting</w:t>
      </w:r>
      <w:r>
        <w:rPr>
          <w:i/>
          <w:iCs/>
          <w:sz w:val="20"/>
          <w:szCs w:val="20"/>
        </w:rPr>
        <w:t xml:space="preserve"> Fugo v. Brown</w:t>
      </w:r>
      <w:r>
        <w:rPr>
          <w:sz w:val="20"/>
          <w:szCs w:val="20"/>
        </w:rPr>
        <w:t xml:space="preserve"> 6 Vet App 40, 44 (1993) (emphasis supplied by the Court).</w:t>
      </w:r>
      <w:r>
        <w:rPr>
          <w:sz w:val="20"/>
          <w:szCs w:val="20"/>
        </w:rPr>
        <w:br/>
      </w:r>
      <w:r>
        <w:rPr>
          <w:sz w:val="20"/>
          <w:szCs w:val="20"/>
        </w:rPr>
        <w:br/>
      </w:r>
      <w:r>
        <w:rPr>
          <w:b/>
          <w:bCs/>
          <w:sz w:val="20"/>
          <w:szCs w:val="20"/>
        </w:rPr>
        <w:t>What about fact versus opinion?</w:t>
      </w:r>
      <w:r>
        <w:rPr>
          <w:b/>
          <w:bCs/>
          <w:sz w:val="20"/>
          <w:szCs w:val="20"/>
        </w:rPr>
        <w:br/>
      </w:r>
      <w:r>
        <w:rPr>
          <w:sz w:val="20"/>
          <w:szCs w:val="20"/>
        </w:rPr>
        <w:t>"Difference of opinion" v. "error of fact": CUE</w:t>
      </w:r>
      <w:r>
        <w:rPr>
          <w:i/>
          <w:iCs/>
          <w:sz w:val="20"/>
          <w:szCs w:val="20"/>
        </w:rPr>
        <w:t xml:space="preserve"> can</w:t>
      </w:r>
      <w:r>
        <w:rPr>
          <w:sz w:val="20"/>
          <w:szCs w:val="20"/>
        </w:rPr>
        <w:t xml:space="preserve"> occur where evaluation granted is too low but the CUE must be supported by "clear and undisputed evidence of record"</w:t>
      </w:r>
      <w:r>
        <w:rPr>
          <w:i/>
          <w:iCs/>
          <w:sz w:val="20"/>
          <w:szCs w:val="20"/>
        </w:rPr>
        <w:t xml:space="preserve"> Myler v. Derwinski</w:t>
      </w:r>
      <w:r>
        <w:rPr>
          <w:sz w:val="20"/>
          <w:szCs w:val="20"/>
        </w:rPr>
        <w:t xml:space="preserve"> 1 Vet App at 574 and</w:t>
      </w:r>
      <w:r>
        <w:rPr>
          <w:i/>
          <w:iCs/>
          <w:sz w:val="20"/>
          <w:szCs w:val="20"/>
        </w:rPr>
        <w:t xml:space="preserve"> Berle v. Brown,</w:t>
      </w:r>
      <w:r>
        <w:rPr>
          <w:sz w:val="20"/>
          <w:szCs w:val="20"/>
        </w:rPr>
        <w:t xml:space="preserve"> 9 Vet App 377 (1996).  This is essentially an "error of fact" where evidence contained in the record at the time of the offending rating was ignored or neglected by the rater and of course it has to meet "outcome determinative" test.</w:t>
      </w:r>
    </w:p>
    <w:p w:rsidR="00013EB8" w:rsidRDefault="00013EB8">
      <w:pPr>
        <w:widowControl w:val="0"/>
        <w:pBdr>
          <w:top w:val="single" w:sz="4" w:space="1" w:color="auto"/>
          <w:left w:val="single" w:sz="4" w:space="1" w:color="auto"/>
          <w:bottom w:val="single" w:sz="4" w:space="1" w:color="auto"/>
          <w:right w:val="single" w:sz="4" w:space="1" w:color="auto"/>
        </w:pBdr>
        <w:rPr>
          <w:b/>
          <w:bCs/>
        </w:rPr>
      </w:pPr>
      <w:r>
        <w:rPr>
          <w:b/>
          <w:bCs/>
        </w:rPr>
        <w:t>More CUE Trivia:</w:t>
      </w:r>
    </w:p>
    <w:p w:rsidR="00013EB8" w:rsidRDefault="00013EB8" w:rsidP="00691877">
      <w:pPr>
        <w:widowControl w:val="0"/>
        <w:numPr>
          <w:ilvl w:val="0"/>
          <w:numId w:val="6"/>
        </w:numPr>
        <w:pBdr>
          <w:top w:val="single" w:sz="4" w:space="1" w:color="auto"/>
          <w:left w:val="single" w:sz="4" w:space="1" w:color="auto"/>
          <w:bottom w:val="single" w:sz="4" w:space="1" w:color="auto"/>
          <w:right w:val="single" w:sz="4" w:space="1" w:color="auto"/>
        </w:pBdr>
        <w:tabs>
          <w:tab w:val="clear" w:pos="720"/>
          <w:tab w:val="num" w:pos="360"/>
        </w:tabs>
        <w:ind w:left="360"/>
      </w:pPr>
      <w:r>
        <w:t>The “Benefit of the Doubt” rule does not apply to a CUE claim. VA Gen Coun. Prec. 4-2002 (May 28, 2004).</w:t>
      </w:r>
    </w:p>
    <w:p w:rsidR="00013EB8" w:rsidRDefault="00013EB8" w:rsidP="00691877">
      <w:pPr>
        <w:widowControl w:val="0"/>
        <w:numPr>
          <w:ilvl w:val="0"/>
          <w:numId w:val="6"/>
        </w:numPr>
        <w:pBdr>
          <w:top w:val="single" w:sz="4" w:space="1" w:color="auto"/>
          <w:left w:val="single" w:sz="4" w:space="1" w:color="auto"/>
          <w:bottom w:val="single" w:sz="4" w:space="1" w:color="auto"/>
          <w:right w:val="single" w:sz="4" w:space="1" w:color="auto"/>
        </w:pBdr>
        <w:tabs>
          <w:tab w:val="clear" w:pos="720"/>
          <w:tab w:val="num" w:pos="360"/>
        </w:tabs>
        <w:ind w:left="360"/>
      </w:pPr>
      <w:r>
        <w:t>A change in the interpretation of a regulation</w:t>
      </w:r>
      <w:r>
        <w:rPr>
          <w:i/>
          <w:iCs/>
        </w:rPr>
        <w:t xml:space="preserve"> after</w:t>
      </w:r>
      <w:r>
        <w:t xml:space="preserve"> a decision is rendered cannot be CUE. 38 CFR 20.1403(e)(2006)</w:t>
      </w:r>
    </w:p>
    <w:p w:rsidR="00013EB8" w:rsidRDefault="00013EB8" w:rsidP="00691877">
      <w:pPr>
        <w:widowControl w:val="0"/>
        <w:numPr>
          <w:ilvl w:val="0"/>
          <w:numId w:val="6"/>
        </w:numPr>
        <w:pBdr>
          <w:top w:val="single" w:sz="4" w:space="1" w:color="auto"/>
          <w:left w:val="single" w:sz="4" w:space="1" w:color="auto"/>
          <w:bottom w:val="single" w:sz="4" w:space="1" w:color="auto"/>
          <w:right w:val="single" w:sz="4" w:space="1" w:color="auto"/>
        </w:pBdr>
        <w:tabs>
          <w:tab w:val="clear" w:pos="720"/>
          <w:tab w:val="num" w:pos="360"/>
        </w:tabs>
        <w:ind w:left="360"/>
      </w:pPr>
      <w:r>
        <w:t>Failure of the VA to fulfill the VCAA “Duty to Assist” cannot be grounds for CUE.  38 CFR 20.1403(d)(2)(2006). Moreover, the “Duty to Assist” with claim development imposed by the VCAA does not apply to the veteran’s CUE claim itself.</w:t>
      </w:r>
      <w:r>
        <w:rPr>
          <w:i/>
          <w:iCs/>
        </w:rPr>
        <w:t xml:space="preserve"> Livesay v. Principi</w:t>
      </w:r>
      <w:r>
        <w:t xml:space="preserve">, 15 Vet. App. 165, 179 (2001), </w:t>
      </w:r>
      <w:r>
        <w:rPr>
          <w:i/>
          <w:iCs/>
        </w:rPr>
        <w:t>Huston v. Principi</w:t>
      </w:r>
      <w:r>
        <w:t xml:space="preserve"> 17 Vet. App. 195, 206 (2003) and </w:t>
      </w:r>
      <w:r>
        <w:rPr>
          <w:i/>
          <w:iCs/>
        </w:rPr>
        <w:t>Parker v. Principi</w:t>
      </w:r>
      <w:r>
        <w:t>, 15 Vet. App. 407, 412 (2002).</w:t>
      </w:r>
    </w:p>
    <w:p w:rsidR="00013EB8" w:rsidRDefault="00013EB8" w:rsidP="00691877">
      <w:pPr>
        <w:widowControl w:val="0"/>
        <w:numPr>
          <w:ilvl w:val="0"/>
          <w:numId w:val="6"/>
        </w:numPr>
        <w:pBdr>
          <w:top w:val="single" w:sz="4" w:space="1" w:color="auto"/>
          <w:left w:val="single" w:sz="4" w:space="1" w:color="auto"/>
          <w:bottom w:val="single" w:sz="4" w:space="1" w:color="auto"/>
          <w:right w:val="single" w:sz="4" w:space="1" w:color="auto"/>
        </w:pBdr>
        <w:tabs>
          <w:tab w:val="clear" w:pos="720"/>
          <w:tab w:val="num" w:pos="360"/>
        </w:tabs>
        <w:ind w:left="360"/>
      </w:pPr>
      <w:r>
        <w:t xml:space="preserve">In order to make out a CUE claim the Veteran must raise the CUE claim with </w:t>
      </w:r>
      <w:r>
        <w:rPr>
          <w:i/>
          <w:iCs/>
        </w:rPr>
        <w:t xml:space="preserve">specificity; </w:t>
      </w:r>
      <w:r>
        <w:t xml:space="preserve">in other words, it is not enough for the veteran to merely state the VA was wrong in its prior decision; rather, the veteran must identify the error by articulating when and how the error occurred. </w:t>
      </w:r>
      <w:r>
        <w:rPr>
          <w:i/>
          <w:iCs/>
        </w:rPr>
        <w:t>McIntosh v. Brown</w:t>
      </w:r>
      <w:r>
        <w:t xml:space="preserve">, 4 Vet. App. 553, 561.  </w:t>
      </w:r>
      <w:r>
        <w:rPr>
          <w:i/>
          <w:iCs/>
        </w:rPr>
        <w:t>Simmons v. Principi,</w:t>
      </w:r>
      <w:r>
        <w:t xml:space="preserve"> 17 Vet. App. 104 (2003).  If the veteran fails to adequately articulate the claim for CUE the claim may be dismissed without prejudice.  Note however that although VA has no statutory “Duty to Assist” with developing the CUE claim, VA must “…give a sympathetic reading to the veteran’s filings…” in order to determine the scope or nature of the claim. </w:t>
      </w:r>
      <w:r>
        <w:rPr>
          <w:i/>
          <w:iCs/>
        </w:rPr>
        <w:t>Szemraj v. Principi</w:t>
      </w:r>
      <w:r>
        <w:t>, 357 F. 3d. 1370, 1373 (Fed. Cir. 2004).</w:t>
      </w:r>
    </w:p>
    <w:p w:rsidR="00013EB8" w:rsidRDefault="00013EB8" w:rsidP="00691877">
      <w:pPr>
        <w:widowControl w:val="0"/>
        <w:numPr>
          <w:ilvl w:val="0"/>
          <w:numId w:val="6"/>
        </w:numPr>
        <w:pBdr>
          <w:top w:val="single" w:sz="4" w:space="1" w:color="auto"/>
          <w:left w:val="single" w:sz="4" w:space="1" w:color="auto"/>
          <w:bottom w:val="single" w:sz="4" w:space="1" w:color="auto"/>
          <w:right w:val="single" w:sz="4" w:space="1" w:color="auto"/>
        </w:pBdr>
        <w:tabs>
          <w:tab w:val="clear" w:pos="720"/>
          <w:tab w:val="num" w:pos="360"/>
        </w:tabs>
        <w:ind w:left="360"/>
      </w:pPr>
      <w:r>
        <w:t>Failure to schedule a VAE can never be grounds for CUE.</w:t>
      </w:r>
    </w:p>
    <w:p w:rsidR="00013EB8" w:rsidRDefault="00013EB8" w:rsidP="00691877">
      <w:pPr>
        <w:widowControl w:val="0"/>
        <w:numPr>
          <w:ilvl w:val="0"/>
          <w:numId w:val="6"/>
        </w:numPr>
        <w:pBdr>
          <w:top w:val="single" w:sz="4" w:space="1" w:color="auto"/>
          <w:left w:val="single" w:sz="4" w:space="1" w:color="auto"/>
          <w:bottom w:val="single" w:sz="4" w:space="1" w:color="auto"/>
          <w:right w:val="single" w:sz="4" w:space="1" w:color="auto"/>
        </w:pBdr>
        <w:tabs>
          <w:tab w:val="clear" w:pos="720"/>
          <w:tab w:val="num" w:pos="360"/>
        </w:tabs>
        <w:ind w:left="360"/>
      </w:pPr>
      <w:r>
        <w:t>A CUE must be based on the available evidence at that time of the prior Rating Decision.</w:t>
      </w:r>
    </w:p>
    <w:p w:rsidR="00013EB8" w:rsidRDefault="00013EB8" w:rsidP="00691877">
      <w:pPr>
        <w:widowControl w:val="0"/>
        <w:numPr>
          <w:ilvl w:val="0"/>
          <w:numId w:val="6"/>
        </w:numPr>
        <w:pBdr>
          <w:top w:val="single" w:sz="4" w:space="1" w:color="auto"/>
          <w:left w:val="single" w:sz="4" w:space="1" w:color="auto"/>
          <w:bottom w:val="single" w:sz="4" w:space="1" w:color="auto"/>
          <w:right w:val="single" w:sz="4" w:space="1" w:color="auto"/>
        </w:pBdr>
        <w:tabs>
          <w:tab w:val="clear" w:pos="720"/>
          <w:tab w:val="num" w:pos="360"/>
        </w:tabs>
        <w:ind w:left="360"/>
      </w:pPr>
      <w:r>
        <w:t>A CUE cannot be based on a subsequent change in the law; or, a recent change in how we applied the law at the time of the prior Rating Decision.</w:t>
      </w:r>
    </w:p>
    <w:p w:rsidR="00013EB8" w:rsidRDefault="00013EB8">
      <w:pPr>
        <w:widowControl w:val="0"/>
      </w:pPr>
    </w:p>
    <w:p w:rsidR="00FF6928" w:rsidRPr="00FF6928" w:rsidRDefault="00FF6928">
      <w:pPr>
        <w:widowControl w:val="0"/>
        <w:rPr>
          <w:i/>
        </w:rPr>
      </w:pPr>
      <w:r w:rsidRPr="00FF6928">
        <w:rPr>
          <w:i/>
        </w:rPr>
        <w:t xml:space="preserve">General Discussion from </w:t>
      </w:r>
      <w:r w:rsidR="00D94044" w:rsidRPr="004E16AB">
        <w:rPr>
          <w:rFonts w:ascii="Verdana" w:hAnsi="Verdana"/>
          <w:b/>
          <w:highlight w:val="green"/>
        </w:rPr>
        <w:t>VBMS-R</w:t>
      </w:r>
      <w:r w:rsidRPr="00FF6928">
        <w:rPr>
          <w:i/>
        </w:rPr>
        <w:t>:</w:t>
      </w:r>
    </w:p>
    <w:p w:rsidR="00FF6928" w:rsidRDefault="00FF6928">
      <w:pPr>
        <w:widowControl w:val="0"/>
      </w:pPr>
      <w:r w:rsidRPr="00FF6928">
        <w:lastRenderedPageBreak/>
        <w:t>Clear and unmistakable errors are errors that are undebatable, so that it can be said that reasonable minds could only conclude that the previous decision was fatally flawed at the time it was made.  A determination that there was a clear and unmistakable error must be based on the record and the law that existed at the time of the prior decision.  Once a determination is made that there was a clear and unmistakable error in a prior decision that would change the outcome, then that decision must be revised to conform to what the decision should have been.  In this case, the disability evaluation is reduced because the previous decision was a clear and unmistakable error.</w:t>
      </w:r>
    </w:p>
    <w:p w:rsidR="00013EB8" w:rsidRDefault="00013EB8">
      <w:pPr>
        <w:widowControl w:val="0"/>
      </w:pPr>
    </w:p>
    <w:p w:rsidR="00E37FE2" w:rsidRDefault="00013EB8" w:rsidP="00E37FE2">
      <w:pPr>
        <w:widowControl w:val="0"/>
        <w:pBdr>
          <w:top w:val="single" w:sz="4" w:space="1" w:color="auto"/>
          <w:left w:val="single" w:sz="4" w:space="4" w:color="auto"/>
          <w:bottom w:val="single" w:sz="4" w:space="0" w:color="auto"/>
          <w:right w:val="single" w:sz="4" w:space="4" w:color="auto"/>
        </w:pBdr>
        <w:rPr>
          <w:b/>
          <w:bCs/>
          <w:iCs/>
        </w:rPr>
      </w:pPr>
      <w:r>
        <w:rPr>
          <w:b/>
          <w:bCs/>
          <w:iCs/>
        </w:rPr>
        <w:t>TEMPLATE</w:t>
      </w:r>
      <w:r w:rsidR="00950263">
        <w:rPr>
          <w:b/>
          <w:bCs/>
          <w:iCs/>
        </w:rPr>
        <w:t xml:space="preserve"> </w:t>
      </w:r>
      <w:r w:rsidR="00950263">
        <w:rPr>
          <w:i/>
        </w:rPr>
        <w:t>(</w:t>
      </w:r>
      <w:r w:rsidR="00950263">
        <w:rPr>
          <w:bCs/>
          <w:i/>
        </w:rPr>
        <w:t xml:space="preserve">CUEs, including EEDs, </w:t>
      </w:r>
      <w:r w:rsidR="00950263" w:rsidRPr="007A4EEB">
        <w:rPr>
          <w:bCs/>
          <w:i/>
        </w:rPr>
        <w:t xml:space="preserve">need Long Form Narrative, per </w:t>
      </w:r>
      <w:r w:rsidR="00950263" w:rsidRPr="007A4EEB">
        <w:rPr>
          <w:b/>
          <w:bCs/>
        </w:rPr>
        <w:t>III.iv.6.C.7.a</w:t>
      </w:r>
      <w:r w:rsidR="00950263">
        <w:rPr>
          <w:i/>
        </w:rPr>
        <w:t>):</w:t>
      </w:r>
    </w:p>
    <w:p w:rsidR="00E37FE2" w:rsidRDefault="00E37FE2" w:rsidP="00E37FE2">
      <w:pPr>
        <w:widowControl w:val="0"/>
        <w:pBdr>
          <w:top w:val="single" w:sz="4" w:space="1" w:color="auto"/>
          <w:left w:val="single" w:sz="4" w:space="4" w:color="auto"/>
          <w:bottom w:val="single" w:sz="4" w:space="0" w:color="auto"/>
          <w:right w:val="single" w:sz="4" w:space="4" w:color="auto"/>
        </w:pBdr>
        <w:rPr>
          <w:b/>
          <w:bCs/>
          <w:iCs/>
        </w:rPr>
      </w:pPr>
    </w:p>
    <w:p w:rsidR="00E37FE2" w:rsidRDefault="00E37FE2" w:rsidP="00E37FE2">
      <w:pPr>
        <w:widowControl w:val="0"/>
        <w:pBdr>
          <w:top w:val="single" w:sz="4" w:space="1" w:color="auto"/>
          <w:left w:val="single" w:sz="4" w:space="4" w:color="auto"/>
          <w:bottom w:val="single" w:sz="4" w:space="0" w:color="auto"/>
          <w:right w:val="single" w:sz="4" w:space="4" w:color="auto"/>
        </w:pBdr>
        <w:rPr>
          <w:b/>
          <w:bCs/>
          <w:iCs/>
        </w:rPr>
      </w:pPr>
      <w:r w:rsidRPr="00964EE0">
        <w:rPr>
          <w:i/>
        </w:rPr>
        <w:t>Issue:</w:t>
      </w:r>
      <w:r>
        <w:t xml:space="preserve">  Whether the {} was a clear and unmistakable error.</w:t>
      </w:r>
    </w:p>
    <w:p w:rsidR="00E37FE2" w:rsidRDefault="00E37FE2" w:rsidP="00E37FE2">
      <w:pPr>
        <w:widowControl w:val="0"/>
        <w:pBdr>
          <w:top w:val="single" w:sz="4" w:space="1" w:color="auto"/>
          <w:left w:val="single" w:sz="4" w:space="4" w:color="auto"/>
          <w:bottom w:val="single" w:sz="4" w:space="0" w:color="auto"/>
          <w:right w:val="single" w:sz="4" w:space="4" w:color="auto"/>
        </w:pBdr>
        <w:rPr>
          <w:b/>
          <w:bCs/>
          <w:iCs/>
        </w:rPr>
      </w:pPr>
    </w:p>
    <w:p w:rsidR="00E37FE2" w:rsidRPr="00E37FE2" w:rsidRDefault="00E37FE2" w:rsidP="00E37FE2">
      <w:pPr>
        <w:widowControl w:val="0"/>
        <w:pBdr>
          <w:top w:val="single" w:sz="4" w:space="1" w:color="auto"/>
          <w:left w:val="single" w:sz="4" w:space="4" w:color="auto"/>
          <w:bottom w:val="single" w:sz="4" w:space="0" w:color="auto"/>
          <w:right w:val="single" w:sz="4" w:space="4" w:color="auto"/>
        </w:pBdr>
        <w:rPr>
          <w:b/>
          <w:bCs/>
          <w:iCs/>
        </w:rPr>
      </w:pPr>
      <w:r w:rsidRPr="00964EE0">
        <w:rPr>
          <w:i/>
        </w:rPr>
        <w:t>Decision:</w:t>
      </w:r>
      <w:r>
        <w:t xml:space="preserve">  A clear and unmistakable error is found in {}.</w:t>
      </w:r>
    </w:p>
    <w:p w:rsidR="00E37FE2" w:rsidRDefault="00E37FE2" w:rsidP="00634105">
      <w:pPr>
        <w:widowControl w:val="0"/>
        <w:pBdr>
          <w:top w:val="single" w:sz="4" w:space="1" w:color="auto"/>
          <w:left w:val="single" w:sz="4" w:space="4" w:color="auto"/>
          <w:bottom w:val="single" w:sz="4" w:space="0" w:color="auto"/>
          <w:right w:val="single" w:sz="4" w:space="4" w:color="auto"/>
        </w:pBdr>
        <w:rPr>
          <w:i/>
        </w:rPr>
      </w:pPr>
    </w:p>
    <w:p w:rsidR="00013EB8" w:rsidRDefault="00013EB8" w:rsidP="00634105">
      <w:pPr>
        <w:widowControl w:val="0"/>
        <w:pBdr>
          <w:top w:val="single" w:sz="4" w:space="1" w:color="auto"/>
          <w:left w:val="single" w:sz="4" w:space="4" w:color="auto"/>
          <w:bottom w:val="single" w:sz="4" w:space="0" w:color="auto"/>
          <w:right w:val="single" w:sz="4" w:space="4" w:color="auto"/>
        </w:pBdr>
      </w:pPr>
      <w:r>
        <w:rPr>
          <w:i/>
        </w:rPr>
        <w:t>Reasons for Decision:</w:t>
      </w:r>
    </w:p>
    <w:p w:rsidR="00013EB8" w:rsidRDefault="00964EE0" w:rsidP="00634105">
      <w:pPr>
        <w:widowControl w:val="0"/>
        <w:pBdr>
          <w:top w:val="single" w:sz="4" w:space="1" w:color="auto"/>
          <w:left w:val="single" w:sz="4" w:space="4" w:color="auto"/>
          <w:bottom w:val="single" w:sz="4" w:space="0" w:color="auto"/>
          <w:right w:val="single" w:sz="4" w:space="4" w:color="auto"/>
        </w:pBdr>
        <w:rPr>
          <w:rFonts w:ascii="Verdana" w:hAnsi="Verdana"/>
          <w:b/>
        </w:rPr>
      </w:pPr>
      <w:bookmarkStart w:id="8" w:name="_Hlk517095945"/>
      <w:r w:rsidRPr="004E16AB">
        <w:rPr>
          <w:rFonts w:ascii="Verdana" w:hAnsi="Verdana"/>
          <w:b/>
          <w:highlight w:val="green"/>
        </w:rPr>
        <w:t xml:space="preserve">USE </w:t>
      </w:r>
      <w:r w:rsidR="00C551BE">
        <w:rPr>
          <w:rFonts w:ascii="Verdana" w:hAnsi="Verdana"/>
          <w:b/>
          <w:highlight w:val="green"/>
        </w:rPr>
        <w:t>VBMS-R System-Generated Text</w:t>
      </w:r>
      <w:r w:rsidR="006038C8">
        <w:rPr>
          <w:rFonts w:ascii="Verdana" w:hAnsi="Verdana"/>
          <w:b/>
          <w:highlight w:val="green"/>
        </w:rPr>
        <w:t xml:space="preserve"> or </w:t>
      </w:r>
      <w:r w:rsidR="00E67403">
        <w:rPr>
          <w:rFonts w:ascii="Verdana" w:hAnsi="Verdana"/>
          <w:b/>
          <w:highlight w:val="green"/>
        </w:rPr>
        <w:t>CU1</w:t>
      </w:r>
      <w:r w:rsidR="00E67403">
        <w:rPr>
          <w:rFonts w:ascii="Verdana" w:hAnsi="Verdana"/>
          <w:b/>
        </w:rPr>
        <w:t xml:space="preserve"> </w:t>
      </w:r>
    </w:p>
    <w:p w:rsidR="00964EE0" w:rsidRDefault="00964EE0" w:rsidP="00634105">
      <w:pPr>
        <w:widowControl w:val="0"/>
        <w:pBdr>
          <w:top w:val="single" w:sz="4" w:space="1" w:color="auto"/>
          <w:left w:val="single" w:sz="4" w:space="4" w:color="auto"/>
          <w:bottom w:val="single" w:sz="4" w:space="0" w:color="auto"/>
          <w:right w:val="single" w:sz="4" w:space="4" w:color="auto"/>
        </w:pBdr>
      </w:pPr>
    </w:p>
    <w:p w:rsidR="00013EB8" w:rsidRDefault="00013EB8" w:rsidP="00634105">
      <w:pPr>
        <w:widowControl w:val="0"/>
        <w:pBdr>
          <w:top w:val="single" w:sz="4" w:space="1" w:color="auto"/>
          <w:left w:val="single" w:sz="4" w:space="4" w:color="auto"/>
          <w:bottom w:val="single" w:sz="4" w:space="0" w:color="auto"/>
          <w:right w:val="single" w:sz="4" w:space="4" w:color="auto"/>
        </w:pBdr>
      </w:pPr>
      <w:r>
        <w:t>{state facts from rating that is in er</w:t>
      </w:r>
      <w:r w:rsidR="000358EA">
        <w:t xml:space="preserve">ror} The </w:t>
      </w:r>
      <w:r>
        <w:t xml:space="preserve">Rating Decision dated </w:t>
      </w:r>
      <w:r w:rsidR="00A46221">
        <w:t>{}</w:t>
      </w:r>
      <w:r>
        <w:t xml:space="preserve">… The service treatment records show </w:t>
      </w:r>
      <w:r w:rsidR="00A46221">
        <w:t>{}</w:t>
      </w:r>
      <w:r>
        <w:t xml:space="preserve">. The </w:t>
      </w:r>
      <w:r w:rsidR="00AC28AF">
        <w:t>DBQ</w:t>
      </w:r>
      <w:r w:rsidR="00E903AC">
        <w:t xml:space="preserve"> </w:t>
      </w:r>
      <w:r w:rsidR="00357EC6">
        <w:t>dated</w:t>
      </w:r>
      <w:r>
        <w:t xml:space="preserve"> </w:t>
      </w:r>
      <w:r w:rsidR="00A46221">
        <w:t>{}</w:t>
      </w:r>
      <w:r>
        <w:t xml:space="preserve"> shows </w:t>
      </w:r>
      <w:r w:rsidR="00A46221">
        <w:t>{}</w:t>
      </w:r>
      <w:r>
        <w:t>.</w:t>
      </w:r>
    </w:p>
    <w:p w:rsidR="00013EB8" w:rsidRDefault="00013EB8" w:rsidP="00634105">
      <w:pPr>
        <w:widowControl w:val="0"/>
        <w:pBdr>
          <w:top w:val="single" w:sz="4" w:space="1" w:color="auto"/>
          <w:left w:val="single" w:sz="4" w:space="4" w:color="auto"/>
          <w:bottom w:val="single" w:sz="4" w:space="0" w:color="auto"/>
          <w:right w:val="single" w:sz="4" w:space="4" w:color="auto"/>
        </w:pBdr>
      </w:pPr>
    </w:p>
    <w:p w:rsidR="00013EB8" w:rsidRDefault="00013EB8" w:rsidP="00634105">
      <w:pPr>
        <w:widowControl w:val="0"/>
        <w:pBdr>
          <w:top w:val="single" w:sz="4" w:space="1" w:color="auto"/>
          <w:left w:val="single" w:sz="4" w:space="4" w:color="auto"/>
          <w:bottom w:val="single" w:sz="4" w:space="0" w:color="auto"/>
          <w:right w:val="single" w:sz="4" w:space="4" w:color="auto"/>
        </w:pBdr>
      </w:pPr>
      <w:r>
        <w:t xml:space="preserve">{state law} </w:t>
      </w:r>
      <w:bookmarkStart w:id="9" w:name="_Hlk517873297"/>
      <w:r>
        <w:t xml:space="preserve">VA regulations say </w:t>
      </w:r>
      <w:r w:rsidR="00A46221">
        <w:t>{}</w:t>
      </w:r>
      <w:r>
        <w:t>.</w:t>
      </w:r>
      <w:bookmarkEnd w:id="9"/>
    </w:p>
    <w:p w:rsidR="00013EB8" w:rsidRDefault="00013EB8" w:rsidP="00634105">
      <w:pPr>
        <w:widowControl w:val="0"/>
        <w:pBdr>
          <w:top w:val="single" w:sz="4" w:space="1" w:color="auto"/>
          <w:left w:val="single" w:sz="4" w:space="4" w:color="auto"/>
          <w:bottom w:val="single" w:sz="4" w:space="0" w:color="auto"/>
          <w:right w:val="single" w:sz="4" w:space="4" w:color="auto"/>
        </w:pBdr>
        <w:tabs>
          <w:tab w:val="left" w:pos="2009"/>
        </w:tabs>
      </w:pPr>
    </w:p>
    <w:p w:rsidR="00013EB8" w:rsidRDefault="00013EB8" w:rsidP="00634105">
      <w:pPr>
        <w:widowControl w:val="0"/>
        <w:pBdr>
          <w:top w:val="single" w:sz="4" w:space="1" w:color="auto"/>
          <w:left w:val="single" w:sz="4" w:space="4" w:color="auto"/>
          <w:bottom w:val="single" w:sz="4" w:space="0" w:color="auto"/>
          <w:right w:val="single" w:sz="4" w:space="4" w:color="auto"/>
        </w:pBdr>
      </w:pPr>
      <w:r>
        <w:t xml:space="preserve">{state error &amp; why} A clear and unmistakable error occurred when </w:t>
      </w:r>
      <w:r w:rsidR="00A46221">
        <w:t>{}</w:t>
      </w:r>
      <w:r>
        <w:t>. Service connection</w:t>
      </w:r>
      <w:r w:rsidR="00634105">
        <w:t xml:space="preserve"> is granted effective {}. </w:t>
      </w:r>
      <w:r>
        <w:t>/</w:t>
      </w:r>
      <w:r w:rsidR="00634105">
        <w:t xml:space="preserve"> </w:t>
      </w:r>
      <w:r>
        <w:t xml:space="preserve">A higher evaluation of </w:t>
      </w:r>
      <w:r w:rsidR="00A46221">
        <w:t>{}</w:t>
      </w:r>
      <w:r>
        <w:t xml:space="preserve"> </w:t>
      </w:r>
      <w:r w:rsidR="00E67DCA">
        <w:t xml:space="preserve">percent </w:t>
      </w:r>
      <w:r>
        <w:t xml:space="preserve">is granted from </w:t>
      </w:r>
      <w:r w:rsidR="00A46221">
        <w:t>{}</w:t>
      </w:r>
      <w:r>
        <w:t>.</w:t>
      </w:r>
      <w:r w:rsidR="00634105">
        <w:t xml:space="preserve"> /</w:t>
      </w:r>
      <w:r w:rsidR="00634105" w:rsidRPr="00634105">
        <w:t xml:space="preserve"> </w:t>
      </w:r>
      <w:r w:rsidR="00634105">
        <w:t xml:space="preserve">An earlier effective date is </w:t>
      </w:r>
      <w:r w:rsidR="00B2402A">
        <w:t>established</w:t>
      </w:r>
      <w:r w:rsidR="00634105">
        <w:t xml:space="preserve"> from {}.</w:t>
      </w:r>
    </w:p>
    <w:bookmarkEnd w:id="8"/>
    <w:p w:rsidR="00DF1DCA" w:rsidRDefault="00DF1DCA" w:rsidP="00634105">
      <w:pPr>
        <w:widowControl w:val="0"/>
        <w:pBdr>
          <w:top w:val="single" w:sz="4" w:space="1" w:color="auto"/>
          <w:left w:val="single" w:sz="4" w:space="4" w:color="auto"/>
          <w:bottom w:val="single" w:sz="4" w:space="0" w:color="auto"/>
          <w:right w:val="single" w:sz="4" w:space="4" w:color="auto"/>
        </w:pBdr>
      </w:pPr>
    </w:p>
    <w:p w:rsidR="00D64628" w:rsidRDefault="00DF1DCA" w:rsidP="00D64628">
      <w:pPr>
        <w:widowControl w:val="0"/>
        <w:pBdr>
          <w:top w:val="single" w:sz="4" w:space="1" w:color="auto"/>
          <w:left w:val="single" w:sz="4" w:space="4" w:color="auto"/>
          <w:bottom w:val="single" w:sz="4" w:space="0" w:color="auto"/>
          <w:right w:val="single" w:sz="4" w:space="4" w:color="auto"/>
        </w:pBdr>
      </w:pPr>
      <w:r w:rsidRPr="00634105">
        <w:rPr>
          <w:i/>
        </w:rPr>
        <w:t>If relevant, add:</w:t>
      </w:r>
      <w:r>
        <w:t xml:space="preserve">  </w:t>
      </w:r>
      <w:r w:rsidRPr="00DF1DCA">
        <w:t>The correction of this error does not reduce your combined evaluation.</w:t>
      </w:r>
    </w:p>
    <w:p w:rsidR="00D64628" w:rsidRDefault="00D64628" w:rsidP="00D64628">
      <w:pPr>
        <w:widowControl w:val="0"/>
        <w:pBdr>
          <w:top w:val="single" w:sz="4" w:space="1" w:color="auto"/>
          <w:left w:val="single" w:sz="4" w:space="4" w:color="auto"/>
          <w:bottom w:val="single" w:sz="4" w:space="0" w:color="auto"/>
          <w:right w:val="single" w:sz="4" w:space="4" w:color="auto"/>
        </w:pBdr>
      </w:pPr>
    </w:p>
    <w:p w:rsidR="00D64628" w:rsidRDefault="00D64628" w:rsidP="00634105">
      <w:pPr>
        <w:widowControl w:val="0"/>
        <w:pBdr>
          <w:top w:val="single" w:sz="4" w:space="1" w:color="auto"/>
          <w:left w:val="single" w:sz="4" w:space="4" w:color="auto"/>
          <w:bottom w:val="single" w:sz="4" w:space="0" w:color="auto"/>
          <w:right w:val="single" w:sz="4" w:space="4" w:color="auto"/>
        </w:pBdr>
      </w:pPr>
      <w:r w:rsidRPr="00196CA9">
        <w:rPr>
          <w:i/>
          <w:highlight w:val="yellow"/>
        </w:rPr>
        <w:t xml:space="preserve">If relevant, add this note on the codesheet:  </w:t>
      </w:r>
      <w:r w:rsidRPr="00196CA9">
        <w:rPr>
          <w:highlight w:val="yellow"/>
        </w:rPr>
        <w:t>Please waive any potential overpayment due to administrative error on VA’s part</w:t>
      </w:r>
      <w:r w:rsidR="009D42F2" w:rsidRPr="00196CA9">
        <w:rPr>
          <w:highlight w:val="yellow"/>
        </w:rPr>
        <w:t>.</w:t>
      </w:r>
    </w:p>
    <w:p w:rsidR="00013EB8" w:rsidRDefault="00013EB8">
      <w:pPr>
        <w:widowControl w:val="0"/>
        <w:rPr>
          <w:b/>
          <w:bCs/>
        </w:rPr>
      </w:pPr>
    </w:p>
    <w:p w:rsidR="004415BB" w:rsidRDefault="004415BB">
      <w:pPr>
        <w:widowControl w:val="0"/>
        <w:rPr>
          <w:b/>
          <w:bCs/>
        </w:rPr>
      </w:pPr>
    </w:p>
    <w:p w:rsidR="004F315B" w:rsidRDefault="00DB530A" w:rsidP="004F315B">
      <w:pPr>
        <w:widowControl w:val="0"/>
        <w:pBdr>
          <w:top w:val="single" w:sz="4" w:space="1" w:color="auto"/>
          <w:left w:val="single" w:sz="4" w:space="4" w:color="auto"/>
          <w:right w:val="single" w:sz="4" w:space="4" w:color="auto"/>
        </w:pBdr>
        <w:rPr>
          <w:b/>
          <w:bCs/>
        </w:rPr>
      </w:pPr>
      <w:bookmarkStart w:id="10" w:name="_Hlk514417003"/>
      <w:r>
        <w:rPr>
          <w:b/>
          <w:bCs/>
        </w:rPr>
        <w:t>Earlier Effective Date</w:t>
      </w:r>
      <w:r w:rsidR="00950263">
        <w:rPr>
          <w:b/>
          <w:bCs/>
        </w:rPr>
        <w:t xml:space="preserve"> (EED)</w:t>
      </w:r>
      <w:r>
        <w:rPr>
          <w:b/>
          <w:bCs/>
        </w:rPr>
        <w:t>:</w:t>
      </w:r>
    </w:p>
    <w:p w:rsidR="00B90705" w:rsidRDefault="00B90705" w:rsidP="00692E32">
      <w:pPr>
        <w:widowControl w:val="0"/>
        <w:pBdr>
          <w:top w:val="single" w:sz="4" w:space="1" w:color="auto"/>
          <w:left w:val="single" w:sz="4" w:space="4" w:color="auto"/>
          <w:right w:val="single" w:sz="4" w:space="4" w:color="auto"/>
        </w:pBdr>
        <w:rPr>
          <w:b/>
          <w:bCs/>
        </w:rPr>
      </w:pPr>
    </w:p>
    <w:p w:rsidR="00DB530A" w:rsidRPr="00DB530A" w:rsidRDefault="00B90705" w:rsidP="00B90705">
      <w:pPr>
        <w:widowControl w:val="0"/>
        <w:pBdr>
          <w:top w:val="single" w:sz="4" w:space="1" w:color="auto"/>
          <w:left w:val="single" w:sz="4" w:space="4" w:color="auto"/>
          <w:right w:val="single" w:sz="4" w:space="4" w:color="auto"/>
        </w:pBdr>
        <w:rPr>
          <w:i/>
        </w:rPr>
      </w:pPr>
      <w:r>
        <w:rPr>
          <w:b/>
          <w:bCs/>
        </w:rPr>
        <w:t xml:space="preserve">For SC/Compensation:  </w:t>
      </w:r>
      <w:r w:rsidR="00DB530A" w:rsidRPr="00DB530A">
        <w:rPr>
          <w:i/>
        </w:rPr>
        <w:t>“Earlier Effective Date Granted” under Supplementary Decision, then choose "CUE Comp Earlier Effective Date Granted”</w:t>
      </w:r>
    </w:p>
    <w:p w:rsidR="00DB530A" w:rsidRDefault="00DB530A" w:rsidP="00692E32">
      <w:pPr>
        <w:widowControl w:val="0"/>
        <w:pBdr>
          <w:top w:val="single" w:sz="4" w:space="1" w:color="auto"/>
          <w:left w:val="single" w:sz="4" w:space="4" w:color="auto"/>
          <w:right w:val="single" w:sz="4" w:space="4" w:color="auto"/>
        </w:pBdr>
        <w:rPr>
          <w:b/>
          <w:bCs/>
        </w:rPr>
      </w:pPr>
    </w:p>
    <w:p w:rsidR="00DB530A" w:rsidRDefault="00DB530A" w:rsidP="00692E32">
      <w:pPr>
        <w:pBdr>
          <w:top w:val="single" w:sz="4" w:space="1" w:color="auto"/>
          <w:left w:val="single" w:sz="4" w:space="4" w:color="auto"/>
          <w:right w:val="single" w:sz="4" w:space="4" w:color="auto"/>
        </w:pBdr>
        <w:rPr>
          <w:color w:val="1F497D"/>
        </w:rPr>
      </w:pPr>
      <w:r w:rsidRPr="00964EE0">
        <w:rPr>
          <w:i/>
        </w:rPr>
        <w:t>Issue:</w:t>
      </w:r>
      <w:r>
        <w:t xml:space="preserve">  </w:t>
      </w:r>
      <w:bookmarkStart w:id="11" w:name="_Hlk515016723"/>
      <w:r>
        <w:t>Whether th</w:t>
      </w:r>
      <w:r w:rsidR="00B2402A">
        <w:t xml:space="preserve">e effective date of </w:t>
      </w:r>
      <w:r w:rsidR="004415BB">
        <w:t>service connection</w:t>
      </w:r>
      <w:r>
        <w:t xml:space="preserve"> for {} was a clear and unmistakable error.</w:t>
      </w:r>
      <w:bookmarkEnd w:id="11"/>
    </w:p>
    <w:p w:rsidR="00DB530A" w:rsidRDefault="00DB530A" w:rsidP="00692E32">
      <w:pPr>
        <w:pBdr>
          <w:top w:val="single" w:sz="4" w:space="1" w:color="auto"/>
          <w:left w:val="single" w:sz="4" w:space="4" w:color="auto"/>
          <w:right w:val="single" w:sz="4" w:space="4" w:color="auto"/>
        </w:pBdr>
      </w:pPr>
    </w:p>
    <w:p w:rsidR="00DB530A" w:rsidRDefault="00DB530A" w:rsidP="00692E32">
      <w:pPr>
        <w:pBdr>
          <w:top w:val="single" w:sz="4" w:space="1" w:color="auto"/>
          <w:left w:val="single" w:sz="4" w:space="4" w:color="auto"/>
          <w:right w:val="single" w:sz="4" w:space="4" w:color="auto"/>
        </w:pBdr>
      </w:pPr>
      <w:r w:rsidRPr="00964EE0">
        <w:rPr>
          <w:i/>
        </w:rPr>
        <w:t>Decision:</w:t>
      </w:r>
      <w:r>
        <w:t xml:space="preserve">  </w:t>
      </w:r>
      <w:r w:rsidR="00B7015C">
        <w:t xml:space="preserve">A clear and unmistakable error is found in the </w:t>
      </w:r>
      <w:r>
        <w:t>effectiv</w:t>
      </w:r>
      <w:r w:rsidR="00B7015C">
        <w:t>e date for service connection for</w:t>
      </w:r>
      <w:r>
        <w:t xml:space="preserve"> {}</w:t>
      </w:r>
      <w:r w:rsidR="00B7015C">
        <w:t xml:space="preserve"> and an earlier effective date of {} is </w:t>
      </w:r>
      <w:r w:rsidR="00B2402A">
        <w:t>established</w:t>
      </w:r>
      <w:r w:rsidR="00B7015C">
        <w:t xml:space="preserve"> for the {</w:t>
      </w:r>
      <w:r>
        <w:t>}</w:t>
      </w:r>
      <w:r w:rsidR="00B7015C">
        <w:t xml:space="preserve"> evaluation</w:t>
      </w:r>
      <w:r>
        <w:t>.</w:t>
      </w:r>
    </w:p>
    <w:p w:rsidR="00692E32" w:rsidRDefault="00692E32" w:rsidP="00692E32">
      <w:pPr>
        <w:pBdr>
          <w:top w:val="single" w:sz="4" w:space="1" w:color="auto"/>
          <w:left w:val="single" w:sz="4" w:space="4" w:color="auto"/>
          <w:right w:val="single" w:sz="4" w:space="4" w:color="auto"/>
        </w:pBdr>
      </w:pPr>
    </w:p>
    <w:p w:rsidR="00692E32" w:rsidRDefault="00692E32" w:rsidP="00692E32">
      <w:pPr>
        <w:widowControl w:val="0"/>
        <w:pBdr>
          <w:left w:val="single" w:sz="4" w:space="4" w:color="auto"/>
          <w:right w:val="single" w:sz="4" w:space="4" w:color="auto"/>
        </w:pBdr>
        <w:rPr>
          <w:rFonts w:ascii="Verdana" w:hAnsi="Verdana"/>
          <w:b/>
        </w:rPr>
      </w:pPr>
      <w:r w:rsidRPr="004E16AB">
        <w:rPr>
          <w:rFonts w:ascii="Verdana" w:hAnsi="Verdana"/>
          <w:b/>
          <w:highlight w:val="green"/>
        </w:rPr>
        <w:t xml:space="preserve">USE </w:t>
      </w:r>
      <w:r>
        <w:rPr>
          <w:rFonts w:ascii="Verdana" w:hAnsi="Verdana"/>
          <w:b/>
          <w:highlight w:val="green"/>
        </w:rPr>
        <w:t>VBMS-R System-Generated Text or CU1</w:t>
      </w:r>
    </w:p>
    <w:p w:rsidR="00692E32" w:rsidRDefault="00692E32" w:rsidP="00692E32">
      <w:pPr>
        <w:widowControl w:val="0"/>
        <w:pBdr>
          <w:left w:val="single" w:sz="4" w:space="4" w:color="auto"/>
          <w:right w:val="single" w:sz="4" w:space="4" w:color="auto"/>
        </w:pBdr>
        <w:rPr>
          <w:rFonts w:ascii="Verdana" w:hAnsi="Verdana"/>
          <w:b/>
        </w:rPr>
      </w:pPr>
    </w:p>
    <w:p w:rsidR="00B90705" w:rsidRPr="00B90705" w:rsidRDefault="00B90705" w:rsidP="00B90705">
      <w:pPr>
        <w:widowControl w:val="0"/>
        <w:pBdr>
          <w:left w:val="single" w:sz="4" w:space="4" w:color="auto"/>
          <w:right w:val="single" w:sz="4" w:space="4" w:color="auto"/>
        </w:pBdr>
      </w:pPr>
      <w:r w:rsidRPr="00B90705">
        <w:t xml:space="preserve">The Rating Decision dated {} assigned an effective date of {}, the day VA received the claim for </w:t>
      </w:r>
      <w:r w:rsidR="00B10909">
        <w:t>service connection</w:t>
      </w:r>
      <w:r w:rsidRPr="00B90705">
        <w:t xml:space="preserve"> for {disability}. However, an Intent to File (ITF) was received on {}, within one year prior to the day VA received the claim</w:t>
      </w:r>
      <w:r w:rsidR="00B10909">
        <w:t>.</w:t>
      </w:r>
    </w:p>
    <w:p w:rsidR="00B90705" w:rsidRPr="00B90705" w:rsidRDefault="00B90705" w:rsidP="00B90705">
      <w:pPr>
        <w:widowControl w:val="0"/>
        <w:pBdr>
          <w:left w:val="single" w:sz="4" w:space="4" w:color="auto"/>
          <w:right w:val="single" w:sz="4" w:space="4" w:color="auto"/>
        </w:pBdr>
      </w:pPr>
    </w:p>
    <w:p w:rsidR="00B90705" w:rsidRPr="00B90705" w:rsidRDefault="00B90705" w:rsidP="00B90705">
      <w:pPr>
        <w:widowControl w:val="0"/>
        <w:pBdr>
          <w:left w:val="single" w:sz="4" w:space="4" w:color="auto"/>
          <w:right w:val="single" w:sz="4" w:space="4" w:color="auto"/>
        </w:pBdr>
      </w:pPr>
      <w:r w:rsidRPr="00B90705">
        <w:t>VA policy says VA may grant entitlement to benefits from an effective date prior to the date of claim as long as the claimant submits a complete claim within one year of the date VA received the ITF. {</w:t>
      </w:r>
      <w:r w:rsidRPr="00B90705">
        <w:rPr>
          <w:rStyle w:val="Strong"/>
          <w:b w:val="0"/>
          <w:bCs w:val="0"/>
        </w:rPr>
        <w:t>III.ii.2.C.2.c</w:t>
      </w:r>
      <w:r w:rsidRPr="00B90705">
        <w:t>}</w:t>
      </w:r>
    </w:p>
    <w:p w:rsidR="00B90705" w:rsidRPr="00B90705" w:rsidRDefault="00B90705" w:rsidP="00B90705">
      <w:pPr>
        <w:widowControl w:val="0"/>
        <w:pBdr>
          <w:left w:val="single" w:sz="4" w:space="4" w:color="auto"/>
          <w:right w:val="single" w:sz="4" w:space="4" w:color="auto"/>
        </w:pBdr>
      </w:pPr>
    </w:p>
    <w:p w:rsidR="00B90705" w:rsidRPr="00B90705" w:rsidRDefault="00B90705" w:rsidP="00B90705">
      <w:pPr>
        <w:widowControl w:val="0"/>
        <w:pBdr>
          <w:left w:val="single" w:sz="4" w:space="4" w:color="auto"/>
          <w:right w:val="single" w:sz="4" w:space="4" w:color="auto"/>
        </w:pBdr>
      </w:pPr>
      <w:r w:rsidRPr="00B90705">
        <w:t xml:space="preserve">As the previous decision was clearly and unmistakably erroneous, </w:t>
      </w:r>
      <w:r w:rsidR="00B10909">
        <w:t xml:space="preserve">service connection is now granted </w:t>
      </w:r>
      <w:r w:rsidRPr="00B90705">
        <w:t xml:space="preserve">effective {}. </w:t>
      </w:r>
    </w:p>
    <w:p w:rsidR="00B90705" w:rsidRDefault="00B90705" w:rsidP="00B90705">
      <w:pPr>
        <w:widowControl w:val="0"/>
        <w:pBdr>
          <w:left w:val="single" w:sz="4" w:space="4" w:color="auto"/>
          <w:right w:val="single" w:sz="4" w:space="4" w:color="auto"/>
        </w:pBdr>
      </w:pPr>
    </w:p>
    <w:p w:rsidR="00B90705" w:rsidRDefault="00B90705" w:rsidP="00B90705">
      <w:pPr>
        <w:pBdr>
          <w:left w:val="single" w:sz="4" w:space="4" w:color="auto"/>
          <w:right w:val="single" w:sz="4" w:space="4" w:color="auto"/>
        </w:pBdr>
      </w:pPr>
      <w:r w:rsidRPr="002369C2">
        <w:rPr>
          <w:i/>
        </w:rPr>
        <w:t>CUE Description:</w:t>
      </w:r>
      <w:r>
        <w:rPr>
          <w:b/>
          <w:bCs/>
          <w:i/>
        </w:rPr>
        <w:t xml:space="preserve"> </w:t>
      </w:r>
      <w:r>
        <w:t xml:space="preserve"> RD dated {} assigned an effective date of {}, the day VA received the claim. The effective should have been based on the ITF received {} because a complete claim was received within one year of the ITF.</w:t>
      </w:r>
    </w:p>
    <w:bookmarkEnd w:id="10"/>
    <w:p w:rsidR="00B90705" w:rsidRDefault="00B90705" w:rsidP="00692E32">
      <w:pPr>
        <w:widowControl w:val="0"/>
        <w:pBdr>
          <w:left w:val="single" w:sz="4" w:space="4" w:color="auto"/>
          <w:right w:val="single" w:sz="4" w:space="4" w:color="auto"/>
        </w:pBdr>
        <w:rPr>
          <w:rFonts w:ascii="Verdana" w:hAnsi="Verdana"/>
          <w:b/>
        </w:rPr>
      </w:pPr>
    </w:p>
    <w:p w:rsidR="00B90705" w:rsidRDefault="00B90705" w:rsidP="00B90705">
      <w:pPr>
        <w:pBdr>
          <w:left w:val="single" w:sz="4" w:space="4" w:color="auto"/>
          <w:right w:val="single" w:sz="4" w:space="4" w:color="auto"/>
        </w:pBdr>
        <w:rPr>
          <w:i/>
        </w:rPr>
      </w:pPr>
    </w:p>
    <w:p w:rsidR="00B90705" w:rsidRPr="00DB530A" w:rsidRDefault="00B90705" w:rsidP="00B90705">
      <w:pPr>
        <w:pBdr>
          <w:left w:val="single" w:sz="4" w:space="4" w:color="auto"/>
          <w:right w:val="single" w:sz="4" w:space="4" w:color="auto"/>
        </w:pBdr>
        <w:rPr>
          <w:i/>
        </w:rPr>
      </w:pPr>
      <w:r>
        <w:rPr>
          <w:b/>
          <w:bCs/>
        </w:rPr>
        <w:t xml:space="preserve">For Evaluation:  </w:t>
      </w:r>
      <w:r w:rsidRPr="00DB530A">
        <w:rPr>
          <w:i/>
        </w:rPr>
        <w:t>“Earlier Effective Date Granted” under Supplem</w:t>
      </w:r>
      <w:r>
        <w:rPr>
          <w:i/>
        </w:rPr>
        <w:t>entary Decision, then choose "Earlier Date – Evaluation Granted</w:t>
      </w:r>
      <w:r w:rsidRPr="00DB530A">
        <w:rPr>
          <w:i/>
        </w:rPr>
        <w:t>”</w:t>
      </w:r>
      <w:r>
        <w:rPr>
          <w:i/>
        </w:rPr>
        <w:t xml:space="preserve"> (no option for CUE, so you need to modify the generated language)</w:t>
      </w:r>
      <w:r w:rsidR="00B10909">
        <w:rPr>
          <w:i/>
        </w:rPr>
        <w:t>; or use the above SC/Compensations selections &amp; still modify the languge as below</w:t>
      </w:r>
    </w:p>
    <w:p w:rsidR="00B90705" w:rsidRDefault="00B90705" w:rsidP="00B90705">
      <w:pPr>
        <w:widowControl w:val="0"/>
        <w:pBdr>
          <w:left w:val="single" w:sz="4" w:space="4" w:color="auto"/>
          <w:right w:val="single" w:sz="4" w:space="4" w:color="auto"/>
        </w:pBdr>
        <w:rPr>
          <w:b/>
          <w:bCs/>
        </w:rPr>
      </w:pPr>
    </w:p>
    <w:p w:rsidR="00B10909" w:rsidRDefault="00B10909" w:rsidP="00B10909">
      <w:pPr>
        <w:pBdr>
          <w:left w:val="single" w:sz="4" w:space="4" w:color="auto"/>
          <w:right w:val="single" w:sz="4" w:space="4" w:color="auto"/>
        </w:pBdr>
        <w:rPr>
          <w:color w:val="1F497D"/>
        </w:rPr>
      </w:pPr>
      <w:r w:rsidRPr="00964EE0">
        <w:rPr>
          <w:i/>
        </w:rPr>
        <w:t>Issue:</w:t>
      </w:r>
      <w:r>
        <w:t xml:space="preserve">  Whether the effective date of the increased evaluation assigned for </w:t>
      </w:r>
      <w:r w:rsidRPr="00B90705">
        <w:t>the serv</w:t>
      </w:r>
      <w:r>
        <w:t>ice connected {disability} was a clear and unmistakable error.</w:t>
      </w:r>
    </w:p>
    <w:p w:rsidR="00B10909" w:rsidRDefault="00B10909" w:rsidP="00B10909">
      <w:pPr>
        <w:pBdr>
          <w:left w:val="single" w:sz="4" w:space="4" w:color="auto"/>
          <w:right w:val="single" w:sz="4" w:space="4" w:color="auto"/>
        </w:pBdr>
      </w:pPr>
    </w:p>
    <w:p w:rsidR="00B2402A" w:rsidRDefault="00B10909" w:rsidP="00B2402A">
      <w:pPr>
        <w:pBdr>
          <w:left w:val="single" w:sz="4" w:space="4" w:color="auto"/>
          <w:right w:val="single" w:sz="4" w:space="4" w:color="auto"/>
        </w:pBdr>
      </w:pPr>
      <w:r w:rsidRPr="00964EE0">
        <w:rPr>
          <w:i/>
        </w:rPr>
        <w:lastRenderedPageBreak/>
        <w:t>Decision:</w:t>
      </w:r>
      <w:r>
        <w:t xml:space="preserve">  </w:t>
      </w:r>
      <w:r w:rsidR="00B2402A">
        <w:t xml:space="preserve">A clear and unmistakable error is found in the effective date for the increased evaluation assigned for </w:t>
      </w:r>
      <w:r w:rsidR="00B2402A" w:rsidRPr="00B90705">
        <w:t>the serv</w:t>
      </w:r>
      <w:r w:rsidR="00B2402A">
        <w:t>ice connected {disability} and an earlier effective date of {} is established for the {} evaluation.</w:t>
      </w:r>
    </w:p>
    <w:p w:rsidR="00B2402A" w:rsidRDefault="00B2402A" w:rsidP="00B10909">
      <w:pPr>
        <w:pBdr>
          <w:left w:val="single" w:sz="4" w:space="4" w:color="auto"/>
          <w:right w:val="single" w:sz="4" w:space="4" w:color="auto"/>
        </w:pBdr>
      </w:pPr>
    </w:p>
    <w:p w:rsidR="00504099" w:rsidRDefault="00504099" w:rsidP="00504099">
      <w:pPr>
        <w:widowControl w:val="0"/>
        <w:pBdr>
          <w:left w:val="single" w:sz="4" w:space="4" w:color="auto"/>
          <w:right w:val="single" w:sz="4" w:space="4" w:color="auto"/>
        </w:pBdr>
        <w:rPr>
          <w:rFonts w:ascii="Verdana" w:hAnsi="Verdana"/>
          <w:b/>
        </w:rPr>
      </w:pPr>
      <w:r w:rsidRPr="004E16AB">
        <w:rPr>
          <w:rFonts w:ascii="Verdana" w:hAnsi="Verdana"/>
          <w:b/>
          <w:highlight w:val="green"/>
        </w:rPr>
        <w:t xml:space="preserve">USE </w:t>
      </w:r>
      <w:r>
        <w:rPr>
          <w:rFonts w:ascii="Verdana" w:hAnsi="Verdana"/>
          <w:b/>
          <w:highlight w:val="green"/>
        </w:rPr>
        <w:t>VBMS-R System-Generated Text or CU1</w:t>
      </w:r>
    </w:p>
    <w:p w:rsidR="00B90705" w:rsidRDefault="00B90705" w:rsidP="00692E32">
      <w:pPr>
        <w:widowControl w:val="0"/>
        <w:pBdr>
          <w:left w:val="single" w:sz="4" w:space="4" w:color="auto"/>
          <w:right w:val="single" w:sz="4" w:space="4" w:color="auto"/>
        </w:pBdr>
        <w:rPr>
          <w:rFonts w:ascii="Verdana" w:hAnsi="Verdana"/>
          <w:b/>
        </w:rPr>
      </w:pPr>
    </w:p>
    <w:p w:rsidR="00692E32" w:rsidRPr="00B90705" w:rsidRDefault="00692E32" w:rsidP="00692E32">
      <w:pPr>
        <w:widowControl w:val="0"/>
        <w:pBdr>
          <w:left w:val="single" w:sz="4" w:space="4" w:color="auto"/>
          <w:right w:val="single" w:sz="4" w:space="4" w:color="auto"/>
        </w:pBdr>
      </w:pPr>
      <w:r w:rsidRPr="00B90705">
        <w:t xml:space="preserve">The Rating Decision dated {} assigned an effective date of {}, the day VA received the claim, for the increased evaluation to </w:t>
      </w:r>
      <w:r w:rsidR="00B90705" w:rsidRPr="00B90705">
        <w:t>{}</w:t>
      </w:r>
      <w:r w:rsidRPr="00B90705">
        <w:t xml:space="preserve"> percent for {disability}. However, an Intent to File (ITF) was received on {}, within one year prior to the day VA received the claim</w:t>
      </w:r>
      <w:r w:rsidR="00B10909">
        <w:t>.</w:t>
      </w:r>
    </w:p>
    <w:p w:rsidR="00692E32" w:rsidRPr="00B90705" w:rsidRDefault="00692E32" w:rsidP="00692E32">
      <w:pPr>
        <w:widowControl w:val="0"/>
        <w:pBdr>
          <w:left w:val="single" w:sz="4" w:space="4" w:color="auto"/>
          <w:right w:val="single" w:sz="4" w:space="4" w:color="auto"/>
        </w:pBdr>
      </w:pPr>
    </w:p>
    <w:p w:rsidR="00692E32" w:rsidRPr="00B90705" w:rsidRDefault="00692E32" w:rsidP="00692E32">
      <w:pPr>
        <w:widowControl w:val="0"/>
        <w:pBdr>
          <w:left w:val="single" w:sz="4" w:space="4" w:color="auto"/>
          <w:right w:val="single" w:sz="4" w:space="4" w:color="auto"/>
        </w:pBdr>
      </w:pPr>
      <w:r w:rsidRPr="00B90705">
        <w:t>VA policy says VA may grant entitlement to benefits from an effective date prior to the date of claim as long as the claimant submits a complete claim within one year of the date VA received the ITF. {</w:t>
      </w:r>
      <w:r w:rsidRPr="00B90705">
        <w:rPr>
          <w:rStyle w:val="Strong"/>
          <w:b w:val="0"/>
          <w:bCs w:val="0"/>
        </w:rPr>
        <w:t>III.ii.2.C.2.c</w:t>
      </w:r>
      <w:r w:rsidRPr="00B90705">
        <w:t>}</w:t>
      </w:r>
    </w:p>
    <w:p w:rsidR="00692E32" w:rsidRPr="00B90705" w:rsidRDefault="00692E32" w:rsidP="00692E32">
      <w:pPr>
        <w:widowControl w:val="0"/>
        <w:pBdr>
          <w:left w:val="single" w:sz="4" w:space="4" w:color="auto"/>
          <w:right w:val="single" w:sz="4" w:space="4" w:color="auto"/>
        </w:pBdr>
      </w:pPr>
    </w:p>
    <w:p w:rsidR="00692E32" w:rsidRPr="00B90705" w:rsidRDefault="00692E32" w:rsidP="00692E32">
      <w:pPr>
        <w:widowControl w:val="0"/>
        <w:pBdr>
          <w:left w:val="single" w:sz="4" w:space="4" w:color="auto"/>
          <w:right w:val="single" w:sz="4" w:space="4" w:color="auto"/>
        </w:pBdr>
      </w:pPr>
      <w:r w:rsidRPr="00B90705">
        <w:t xml:space="preserve">As the previous decision was clearly and unmistakably erroneous, </w:t>
      </w:r>
      <w:r w:rsidR="00B90705" w:rsidRPr="00B90705">
        <w:t xml:space="preserve">the increased evaluation of </w:t>
      </w:r>
      <w:r w:rsidRPr="00B90705">
        <w:t>{}</w:t>
      </w:r>
      <w:r w:rsidR="00B90705" w:rsidRPr="00B90705">
        <w:t xml:space="preserve"> percent is now </w:t>
      </w:r>
      <w:r w:rsidRPr="00B90705">
        <w:t xml:space="preserve">effective {}. </w:t>
      </w:r>
    </w:p>
    <w:p w:rsidR="00692E32" w:rsidRDefault="00692E32" w:rsidP="00692E32">
      <w:pPr>
        <w:widowControl w:val="0"/>
        <w:pBdr>
          <w:left w:val="single" w:sz="4" w:space="4" w:color="auto"/>
          <w:right w:val="single" w:sz="4" w:space="4" w:color="auto"/>
        </w:pBdr>
      </w:pPr>
    </w:p>
    <w:p w:rsidR="00DB530A" w:rsidRDefault="002369C2" w:rsidP="00D84463">
      <w:pPr>
        <w:pBdr>
          <w:left w:val="single" w:sz="4" w:space="4" w:color="auto"/>
          <w:bottom w:val="single" w:sz="4" w:space="2" w:color="auto"/>
          <w:right w:val="single" w:sz="4" w:space="4" w:color="auto"/>
        </w:pBdr>
      </w:pPr>
      <w:r w:rsidRPr="002369C2">
        <w:rPr>
          <w:i/>
        </w:rPr>
        <w:t>CUE Description:</w:t>
      </w:r>
      <w:r w:rsidR="00DB530A">
        <w:rPr>
          <w:b/>
          <w:bCs/>
          <w:i/>
        </w:rPr>
        <w:t xml:space="preserve"> </w:t>
      </w:r>
      <w:r w:rsidR="00DB530A">
        <w:t xml:space="preserve"> </w:t>
      </w:r>
      <w:r>
        <w:t>RD</w:t>
      </w:r>
      <w:r w:rsidR="00DB530A">
        <w:t xml:space="preserve"> dated {} assigned an effective date of {}, the day VA received the claim. The effective should have been based on the ITF received {} because a complete claim was received within one year of the ITF.</w:t>
      </w:r>
    </w:p>
    <w:p w:rsidR="00DB530A" w:rsidRDefault="00DB530A" w:rsidP="00DB530A"/>
    <w:p w:rsidR="00AC7CBF" w:rsidRDefault="00AC7CBF" w:rsidP="00DB530A"/>
    <w:p w:rsidR="00AC7CBF" w:rsidRDefault="00AC7CBF" w:rsidP="00A40940">
      <w:pPr>
        <w:widowControl w:val="0"/>
        <w:pBdr>
          <w:top w:val="single" w:sz="4" w:space="1" w:color="auto"/>
          <w:left w:val="single" w:sz="4" w:space="4" w:color="auto"/>
          <w:bottom w:val="single" w:sz="4" w:space="1" w:color="auto"/>
          <w:right w:val="single" w:sz="4" w:space="4" w:color="auto"/>
        </w:pBdr>
        <w:rPr>
          <w:b/>
          <w:bCs/>
        </w:rPr>
      </w:pPr>
      <w:r>
        <w:rPr>
          <w:b/>
          <w:bCs/>
        </w:rPr>
        <w:t>Later Effective Date:</w:t>
      </w:r>
    </w:p>
    <w:p w:rsidR="00AC7CBF" w:rsidRDefault="00AC7CBF" w:rsidP="00A40940">
      <w:pPr>
        <w:widowControl w:val="0"/>
        <w:pBdr>
          <w:top w:val="single" w:sz="4" w:space="1" w:color="auto"/>
          <w:left w:val="single" w:sz="4" w:space="4" w:color="auto"/>
          <w:bottom w:val="single" w:sz="4" w:space="1" w:color="auto"/>
          <w:right w:val="single" w:sz="4" w:space="4" w:color="auto"/>
        </w:pBdr>
        <w:rPr>
          <w:b/>
          <w:bCs/>
        </w:rPr>
      </w:pPr>
    </w:p>
    <w:p w:rsidR="00AC7CBF" w:rsidRPr="00DB530A" w:rsidRDefault="00AC7CBF" w:rsidP="00A40940">
      <w:pPr>
        <w:widowControl w:val="0"/>
        <w:pBdr>
          <w:top w:val="single" w:sz="4" w:space="1" w:color="auto"/>
          <w:left w:val="single" w:sz="4" w:space="4" w:color="auto"/>
          <w:bottom w:val="single" w:sz="4" w:space="1" w:color="auto"/>
          <w:right w:val="single" w:sz="4" w:space="4" w:color="auto"/>
        </w:pBdr>
        <w:rPr>
          <w:i/>
        </w:rPr>
      </w:pPr>
      <w:r>
        <w:rPr>
          <w:b/>
          <w:bCs/>
        </w:rPr>
        <w:t>For Compensation/SC:</w:t>
      </w:r>
    </w:p>
    <w:p w:rsidR="00AC7CBF" w:rsidRDefault="00AC7CBF" w:rsidP="00A40940">
      <w:pPr>
        <w:widowControl w:val="0"/>
        <w:pBdr>
          <w:top w:val="single" w:sz="4" w:space="1" w:color="auto"/>
          <w:left w:val="single" w:sz="4" w:space="4" w:color="auto"/>
          <w:bottom w:val="single" w:sz="4" w:space="1" w:color="auto"/>
          <w:right w:val="single" w:sz="4" w:space="4" w:color="auto"/>
        </w:pBdr>
        <w:rPr>
          <w:b/>
          <w:bCs/>
        </w:rPr>
      </w:pPr>
    </w:p>
    <w:p w:rsidR="00AC7CBF" w:rsidRPr="00AC7CBF" w:rsidRDefault="00AC7CBF" w:rsidP="00A40940">
      <w:pPr>
        <w:pBdr>
          <w:top w:val="single" w:sz="4" w:space="1" w:color="auto"/>
          <w:left w:val="single" w:sz="4" w:space="4" w:color="auto"/>
          <w:bottom w:val="single" w:sz="4" w:space="1" w:color="auto"/>
          <w:right w:val="single" w:sz="4" w:space="4" w:color="auto"/>
        </w:pBdr>
        <w:rPr>
          <w:color w:val="1F497D"/>
        </w:rPr>
      </w:pPr>
      <w:r w:rsidRPr="00AC7CBF">
        <w:rPr>
          <w:i/>
        </w:rPr>
        <w:t>Issue:</w:t>
      </w:r>
      <w:r w:rsidRPr="00AC7CBF">
        <w:t xml:space="preserve">  Whether the effective date of compensation/service connection for {} was a clear and unmistakable error.</w:t>
      </w:r>
    </w:p>
    <w:p w:rsidR="00AC7CBF" w:rsidRPr="00AC7CBF" w:rsidRDefault="00AC7CBF" w:rsidP="00A40940">
      <w:pPr>
        <w:pBdr>
          <w:top w:val="single" w:sz="4" w:space="1" w:color="auto"/>
          <w:left w:val="single" w:sz="4" w:space="4" w:color="auto"/>
          <w:bottom w:val="single" w:sz="4" w:space="1" w:color="auto"/>
          <w:right w:val="single" w:sz="4" w:space="4" w:color="auto"/>
        </w:pBdr>
      </w:pPr>
    </w:p>
    <w:p w:rsidR="00AC7CBF" w:rsidRPr="00AC7CBF" w:rsidRDefault="00AC7CBF" w:rsidP="00A40940">
      <w:pPr>
        <w:pBdr>
          <w:top w:val="single" w:sz="4" w:space="1" w:color="auto"/>
          <w:left w:val="single" w:sz="4" w:space="4" w:color="auto"/>
          <w:bottom w:val="single" w:sz="4" w:space="1" w:color="auto"/>
          <w:right w:val="single" w:sz="4" w:space="4" w:color="auto"/>
        </w:pBdr>
      </w:pPr>
      <w:bookmarkStart w:id="12" w:name="_Hlk519751643"/>
      <w:r w:rsidRPr="00AC7CBF">
        <w:rPr>
          <w:i/>
        </w:rPr>
        <w:t>Decision:</w:t>
      </w:r>
      <w:r w:rsidRPr="00AC7CBF">
        <w:t xml:space="preserve">  </w:t>
      </w:r>
      <w:bookmarkStart w:id="13" w:name="_Hlk518048425"/>
      <w:r w:rsidRPr="00AC7CBF">
        <w:t xml:space="preserve">A clear and unmistakable error is found in the effective date for service connection for {} and an effective date of {} is </w:t>
      </w:r>
      <w:r w:rsidR="0062062F">
        <w:t xml:space="preserve">proposed </w:t>
      </w:r>
      <w:r w:rsidRPr="00AC7CBF">
        <w:t>for the {} percent evaluation.</w:t>
      </w:r>
      <w:bookmarkEnd w:id="13"/>
    </w:p>
    <w:bookmarkEnd w:id="12"/>
    <w:p w:rsidR="00AC7CBF" w:rsidRDefault="00AC7CBF" w:rsidP="00A40940">
      <w:pPr>
        <w:pBdr>
          <w:top w:val="single" w:sz="4" w:space="1" w:color="auto"/>
          <w:left w:val="single" w:sz="4" w:space="4" w:color="auto"/>
          <w:bottom w:val="single" w:sz="4" w:space="1" w:color="auto"/>
          <w:right w:val="single" w:sz="4" w:space="4" w:color="auto"/>
        </w:pBdr>
      </w:pPr>
    </w:p>
    <w:p w:rsidR="00B30E10" w:rsidRDefault="00B30E10" w:rsidP="00A40940">
      <w:pPr>
        <w:widowControl w:val="0"/>
        <w:pBdr>
          <w:top w:val="single" w:sz="4" w:space="1" w:color="auto"/>
          <w:left w:val="single" w:sz="4" w:space="4" w:color="auto"/>
          <w:bottom w:val="single" w:sz="4" w:space="1" w:color="auto"/>
          <w:right w:val="single" w:sz="4" w:space="4" w:color="auto"/>
        </w:pBdr>
        <w:rPr>
          <w:i/>
        </w:rPr>
      </w:pPr>
      <w:r>
        <w:rPr>
          <w:i/>
        </w:rPr>
        <w:t>Reasons for Decision:</w:t>
      </w:r>
    </w:p>
    <w:p w:rsidR="00AC7CBF" w:rsidRDefault="00AC7CBF" w:rsidP="00A40940">
      <w:pPr>
        <w:widowControl w:val="0"/>
        <w:pBdr>
          <w:top w:val="single" w:sz="4" w:space="1" w:color="auto"/>
          <w:left w:val="single" w:sz="4" w:space="4" w:color="auto"/>
          <w:bottom w:val="single" w:sz="4" w:space="1" w:color="auto"/>
          <w:right w:val="single" w:sz="4" w:space="4" w:color="auto"/>
        </w:pBdr>
        <w:rPr>
          <w:rFonts w:ascii="Verdana" w:hAnsi="Verdana"/>
          <w:b/>
        </w:rPr>
      </w:pPr>
      <w:r w:rsidRPr="004E16AB">
        <w:rPr>
          <w:rFonts w:ascii="Verdana" w:hAnsi="Verdana"/>
          <w:b/>
          <w:highlight w:val="green"/>
        </w:rPr>
        <w:t xml:space="preserve">USE </w:t>
      </w:r>
      <w:r>
        <w:rPr>
          <w:rFonts w:ascii="Verdana" w:hAnsi="Verdana"/>
          <w:b/>
          <w:highlight w:val="green"/>
        </w:rPr>
        <w:t>VBMS-R System-Generated Text or CU1</w:t>
      </w:r>
    </w:p>
    <w:p w:rsidR="00AC7CBF" w:rsidRDefault="00AC7CBF" w:rsidP="00A40940">
      <w:pPr>
        <w:widowControl w:val="0"/>
        <w:pBdr>
          <w:top w:val="single" w:sz="4" w:space="1" w:color="auto"/>
          <w:left w:val="single" w:sz="4" w:space="4" w:color="auto"/>
          <w:bottom w:val="single" w:sz="4" w:space="1" w:color="auto"/>
          <w:right w:val="single" w:sz="4" w:space="4" w:color="auto"/>
        </w:pBdr>
        <w:rPr>
          <w:rFonts w:ascii="Verdana" w:hAnsi="Verdana"/>
          <w:b/>
        </w:rPr>
      </w:pPr>
    </w:p>
    <w:p w:rsidR="00A40940" w:rsidRDefault="00AC7CBF" w:rsidP="00A40940">
      <w:pPr>
        <w:widowControl w:val="0"/>
        <w:pBdr>
          <w:top w:val="single" w:sz="4" w:space="1" w:color="auto"/>
          <w:left w:val="single" w:sz="4" w:space="4" w:color="auto"/>
          <w:bottom w:val="single" w:sz="4" w:space="1" w:color="auto"/>
          <w:right w:val="single" w:sz="4" w:space="4" w:color="auto"/>
        </w:pBdr>
      </w:pPr>
      <w:r w:rsidRPr="00B90705">
        <w:t>The Rating Decision dated {} assigned an effective date of {}</w:t>
      </w:r>
      <w:r w:rsidR="00B30E10">
        <w:t xml:space="preserve"> for the grant of service connection for {}, which is</w:t>
      </w:r>
      <w:r w:rsidRPr="00B90705">
        <w:t xml:space="preserve"> the day VA received the </w:t>
      </w:r>
      <w:r w:rsidR="00B30E10">
        <w:t xml:space="preserve">original </w:t>
      </w:r>
      <w:r w:rsidRPr="00B90705">
        <w:t xml:space="preserve">claim for </w:t>
      </w:r>
      <w:r>
        <w:t>service connection</w:t>
      </w:r>
      <w:r w:rsidR="00B30E10">
        <w:t xml:space="preserve"> for {</w:t>
      </w:r>
      <w:r w:rsidRPr="00B90705">
        <w:t xml:space="preserve">}. </w:t>
      </w:r>
      <w:r w:rsidR="00B30E10">
        <w:t xml:space="preserve">However, service connection was denied by Rating Decision dated {} </w:t>
      </w:r>
      <w:bookmarkStart w:id="14" w:name="_Hlk515020025"/>
      <w:r w:rsidR="00B30E10">
        <w:t xml:space="preserve">and a notification letter was sent on {}. </w:t>
      </w:r>
      <w:bookmarkStart w:id="15" w:name="_Hlk515019582"/>
      <w:bookmarkEnd w:id="14"/>
      <w:r w:rsidR="00B30E10">
        <w:t>An Intent to File (ITF) was received on {}, but a complete claim was not received until {}.</w:t>
      </w:r>
      <w:r w:rsidR="004A29FF">
        <w:t xml:space="preserve"> </w:t>
      </w:r>
      <w:bookmarkEnd w:id="15"/>
      <w:r w:rsidR="00A40940">
        <w:t xml:space="preserve">Although the Intent to File was received within one year of the notification of the previous decision, the subsequent complete claim was not received within one year of the notification of the previous decision. </w:t>
      </w:r>
    </w:p>
    <w:p w:rsidR="00AC7CBF" w:rsidRPr="00B90705" w:rsidRDefault="00AC7CBF" w:rsidP="00A40940">
      <w:pPr>
        <w:widowControl w:val="0"/>
        <w:pBdr>
          <w:top w:val="single" w:sz="4" w:space="1" w:color="auto"/>
          <w:left w:val="single" w:sz="4" w:space="4" w:color="auto"/>
          <w:bottom w:val="single" w:sz="4" w:space="1" w:color="auto"/>
          <w:right w:val="single" w:sz="4" w:space="4" w:color="auto"/>
        </w:pBdr>
      </w:pPr>
    </w:p>
    <w:p w:rsidR="00AC7CBF" w:rsidRPr="00B90705" w:rsidRDefault="00A40940" w:rsidP="00A40940">
      <w:pPr>
        <w:widowControl w:val="0"/>
        <w:pBdr>
          <w:top w:val="single" w:sz="4" w:space="1" w:color="auto"/>
          <w:left w:val="single" w:sz="4" w:space="4" w:color="auto"/>
          <w:bottom w:val="single" w:sz="4" w:space="1" w:color="auto"/>
          <w:right w:val="single" w:sz="4" w:space="4" w:color="auto"/>
        </w:pBdr>
      </w:pPr>
      <w:bookmarkStart w:id="16" w:name="_Hlk515019807"/>
      <w:r>
        <w:t>VA policy says a</w:t>
      </w:r>
      <w:r>
        <w:rPr>
          <w:szCs w:val="21"/>
        </w:rPr>
        <w:t>n ITF may not be used to extend the period of non-finality for a recently decided claim, and if VA receives communication of a claimant’s ITF within one year of the non-final denial of a claim for service connection (SC), but the subsequent claim for SC for the same issue is not received within one year of the denial of the prior claim, the earliest potential effective date of entitlement to benefits is the date of receipt of the ITF.</w:t>
      </w:r>
    </w:p>
    <w:bookmarkEnd w:id="16"/>
    <w:p w:rsidR="00A40940" w:rsidRDefault="00A40940" w:rsidP="00A40940">
      <w:pPr>
        <w:widowControl w:val="0"/>
        <w:pBdr>
          <w:top w:val="single" w:sz="4" w:space="1" w:color="auto"/>
          <w:left w:val="single" w:sz="4" w:space="4" w:color="auto"/>
          <w:bottom w:val="single" w:sz="4" w:space="1" w:color="auto"/>
          <w:right w:val="single" w:sz="4" w:space="4" w:color="auto"/>
        </w:pBdr>
      </w:pPr>
    </w:p>
    <w:p w:rsidR="00AC7CBF" w:rsidRPr="00B90705" w:rsidRDefault="00AC7CBF" w:rsidP="00A40940">
      <w:pPr>
        <w:widowControl w:val="0"/>
        <w:pBdr>
          <w:top w:val="single" w:sz="4" w:space="1" w:color="auto"/>
          <w:left w:val="single" w:sz="4" w:space="4" w:color="auto"/>
          <w:bottom w:val="single" w:sz="4" w:space="1" w:color="auto"/>
          <w:right w:val="single" w:sz="4" w:space="4" w:color="auto"/>
        </w:pBdr>
      </w:pPr>
      <w:r w:rsidRPr="00B90705">
        <w:t xml:space="preserve">As the previous decision was clearly and unmistakably erroneous, </w:t>
      </w:r>
      <w:r>
        <w:t xml:space="preserve">service connection is </w:t>
      </w:r>
      <w:r w:rsidR="0086757A">
        <w:t xml:space="preserve">proposed to be </w:t>
      </w:r>
      <w:r>
        <w:t xml:space="preserve">granted </w:t>
      </w:r>
      <w:r w:rsidRPr="00B90705">
        <w:t xml:space="preserve">effective {}. </w:t>
      </w:r>
    </w:p>
    <w:p w:rsidR="00AC7CBF" w:rsidRDefault="00AC7CBF" w:rsidP="00A40940">
      <w:pPr>
        <w:widowControl w:val="0"/>
        <w:pBdr>
          <w:top w:val="single" w:sz="4" w:space="1" w:color="auto"/>
          <w:left w:val="single" w:sz="4" w:space="4" w:color="auto"/>
          <w:bottom w:val="single" w:sz="4" w:space="1" w:color="auto"/>
          <w:right w:val="single" w:sz="4" w:space="4" w:color="auto"/>
        </w:pBdr>
      </w:pPr>
    </w:p>
    <w:p w:rsidR="00AC7CBF" w:rsidRDefault="00AC7CBF" w:rsidP="00A40940">
      <w:pPr>
        <w:pBdr>
          <w:top w:val="single" w:sz="4" w:space="1" w:color="auto"/>
          <w:left w:val="single" w:sz="4" w:space="4" w:color="auto"/>
          <w:bottom w:val="single" w:sz="4" w:space="1" w:color="auto"/>
          <w:right w:val="single" w:sz="4" w:space="4" w:color="auto"/>
        </w:pBdr>
      </w:pPr>
      <w:r w:rsidRPr="002369C2">
        <w:rPr>
          <w:i/>
        </w:rPr>
        <w:t>CUE Description:</w:t>
      </w:r>
      <w:r>
        <w:rPr>
          <w:b/>
          <w:bCs/>
          <w:i/>
        </w:rPr>
        <w:t xml:space="preserve"> </w:t>
      </w:r>
      <w:r>
        <w:t xml:space="preserve"> </w:t>
      </w:r>
      <w:bookmarkStart w:id="17" w:name="_Hlk515020967"/>
      <w:r>
        <w:t xml:space="preserve">RD dated {} assigned an effective date of {}, the day VA received the </w:t>
      </w:r>
      <w:r w:rsidR="00A40940">
        <w:t xml:space="preserve">original </w:t>
      </w:r>
      <w:r>
        <w:t>claim</w:t>
      </w:r>
      <w:r w:rsidR="00A40940">
        <w:t xml:space="preserve"> for SC</w:t>
      </w:r>
      <w:r>
        <w:t xml:space="preserve">. The effective should have been based </w:t>
      </w:r>
      <w:r w:rsidR="00A40940">
        <w:t>on the ITF received {} because the</w:t>
      </w:r>
      <w:r>
        <w:t xml:space="preserve"> </w:t>
      </w:r>
      <w:r w:rsidR="00A40940">
        <w:t>subsequent complete claim was not received within one year of the notification of the previous decision.</w:t>
      </w:r>
      <w:bookmarkEnd w:id="17"/>
    </w:p>
    <w:p w:rsidR="0086757A" w:rsidRDefault="0086757A" w:rsidP="00A40940">
      <w:pPr>
        <w:pBdr>
          <w:top w:val="single" w:sz="4" w:space="1" w:color="auto"/>
          <w:left w:val="single" w:sz="4" w:space="4" w:color="auto"/>
          <w:bottom w:val="single" w:sz="4" w:space="1" w:color="auto"/>
          <w:right w:val="single" w:sz="4" w:space="4" w:color="auto"/>
        </w:pBdr>
      </w:pPr>
    </w:p>
    <w:p w:rsidR="0086757A" w:rsidRDefault="0086757A" w:rsidP="00A40940">
      <w:pPr>
        <w:pBdr>
          <w:top w:val="single" w:sz="4" w:space="1" w:color="auto"/>
          <w:left w:val="single" w:sz="4" w:space="4" w:color="auto"/>
          <w:bottom w:val="single" w:sz="4" w:space="1" w:color="auto"/>
          <w:right w:val="single" w:sz="4" w:space="4" w:color="auto"/>
        </w:pBdr>
      </w:pPr>
      <w:r w:rsidRPr="00760224">
        <w:rPr>
          <w:i/>
          <w:highlight w:val="yellow"/>
        </w:rPr>
        <w:t xml:space="preserve">Add this note on the codesheet:  </w:t>
      </w:r>
      <w:r w:rsidRPr="00760224">
        <w:rPr>
          <w:highlight w:val="yellow"/>
        </w:rPr>
        <w:t xml:space="preserve">Please </w:t>
      </w:r>
      <w:r w:rsidRPr="00760224">
        <w:rPr>
          <w:szCs w:val="21"/>
          <w:highlight w:val="yellow"/>
        </w:rPr>
        <w:t xml:space="preserve">include appropriate language in the notice of proposed adverse action, including language stating that the adjustment </w:t>
      </w:r>
      <w:r w:rsidRPr="00760224">
        <w:rPr>
          <w:rStyle w:val="Emphasis"/>
          <w:b/>
          <w:bCs/>
          <w:szCs w:val="21"/>
          <w:highlight w:val="yellow"/>
        </w:rPr>
        <w:t>may</w:t>
      </w:r>
      <w:r w:rsidRPr="00760224">
        <w:rPr>
          <w:szCs w:val="21"/>
          <w:highlight w:val="yellow"/>
        </w:rPr>
        <w:t xml:space="preserve"> result in an overpayment of benefits</w:t>
      </w:r>
      <w:r w:rsidR="00E57740" w:rsidRPr="00760224">
        <w:rPr>
          <w:szCs w:val="21"/>
          <w:highlight w:val="yellow"/>
        </w:rPr>
        <w:t>.</w:t>
      </w:r>
    </w:p>
    <w:p w:rsidR="00AC7CBF" w:rsidRDefault="00AC7CBF" w:rsidP="00DB530A"/>
    <w:p w:rsidR="004415BB" w:rsidRDefault="004415BB" w:rsidP="00DB530A"/>
    <w:p w:rsidR="00DD758C" w:rsidRPr="00DD758C" w:rsidRDefault="00FD6E82" w:rsidP="00692E32">
      <w:pPr>
        <w:pBdr>
          <w:top w:val="single" w:sz="4" w:space="1" w:color="auto"/>
          <w:left w:val="single" w:sz="4" w:space="4" w:color="auto"/>
          <w:bottom w:val="single" w:sz="4" w:space="0" w:color="auto"/>
          <w:right w:val="single" w:sz="4" w:space="4" w:color="auto"/>
        </w:pBdr>
        <w:rPr>
          <w:b/>
        </w:rPr>
      </w:pPr>
      <w:r>
        <w:rPr>
          <w:b/>
        </w:rPr>
        <w:t>Incorrect d</w:t>
      </w:r>
      <w:r w:rsidR="00DD758C" w:rsidRPr="00DD758C">
        <w:rPr>
          <w:b/>
        </w:rPr>
        <w:t>enial:</w:t>
      </w:r>
    </w:p>
    <w:p w:rsidR="00DD758C" w:rsidRDefault="00DD758C" w:rsidP="00692E32">
      <w:pPr>
        <w:widowControl w:val="0"/>
        <w:pBdr>
          <w:top w:val="single" w:sz="4" w:space="1" w:color="auto"/>
          <w:left w:val="single" w:sz="4" w:space="4" w:color="auto"/>
          <w:bottom w:val="single" w:sz="4" w:space="0" w:color="auto"/>
          <w:right w:val="single" w:sz="4" w:space="4" w:color="auto"/>
        </w:pBdr>
      </w:pPr>
      <w:r w:rsidRPr="00964EE0">
        <w:rPr>
          <w:i/>
        </w:rPr>
        <w:t>Issue:</w:t>
      </w:r>
      <w:r>
        <w:t xml:space="preserve">  </w:t>
      </w:r>
      <w:r w:rsidRPr="00555094">
        <w:t xml:space="preserve">Whether the decision to deny </w:t>
      </w:r>
      <w:r w:rsidR="00E37FE2">
        <w:t>service connection</w:t>
      </w:r>
      <w:r w:rsidRPr="00555094">
        <w:t xml:space="preserve"> for </w:t>
      </w:r>
      <w:r>
        <w:t>{}</w:t>
      </w:r>
      <w:r w:rsidRPr="00555094">
        <w:t xml:space="preserve"> was clearly and unmistakably erroneous.</w:t>
      </w:r>
    </w:p>
    <w:p w:rsidR="00DD758C" w:rsidRDefault="00DD758C" w:rsidP="00692E32">
      <w:pPr>
        <w:widowControl w:val="0"/>
        <w:pBdr>
          <w:top w:val="single" w:sz="4" w:space="1" w:color="auto"/>
          <w:left w:val="single" w:sz="4" w:space="4" w:color="auto"/>
          <w:bottom w:val="single" w:sz="4" w:space="0" w:color="auto"/>
          <w:right w:val="single" w:sz="4" w:space="4" w:color="auto"/>
        </w:pBdr>
      </w:pPr>
    </w:p>
    <w:p w:rsidR="00DD758C" w:rsidRDefault="00DD758C" w:rsidP="00692E32">
      <w:pPr>
        <w:widowControl w:val="0"/>
        <w:pBdr>
          <w:top w:val="single" w:sz="4" w:space="1" w:color="auto"/>
          <w:left w:val="single" w:sz="4" w:space="4" w:color="auto"/>
          <w:bottom w:val="single" w:sz="4" w:space="0" w:color="auto"/>
          <w:right w:val="single" w:sz="4" w:space="4" w:color="auto"/>
        </w:pBdr>
      </w:pPr>
      <w:r w:rsidRPr="00964EE0">
        <w:rPr>
          <w:i/>
        </w:rPr>
        <w:t>Decision:</w:t>
      </w:r>
      <w:r>
        <w:t xml:space="preserve">  A clear and unmistakable error is found in the denia</w:t>
      </w:r>
      <w:r w:rsidR="00B2402A">
        <w:t>l of service connection for {}, and s</w:t>
      </w:r>
      <w:r>
        <w:t>ervice connection is established with an evaluation of {} percent effective {}.</w:t>
      </w:r>
    </w:p>
    <w:p w:rsidR="00DD758C" w:rsidRPr="00964EE0" w:rsidRDefault="00DD758C" w:rsidP="00692E32">
      <w:pPr>
        <w:widowControl w:val="0"/>
        <w:pBdr>
          <w:top w:val="single" w:sz="4" w:space="1" w:color="auto"/>
          <w:left w:val="single" w:sz="4" w:space="4" w:color="auto"/>
          <w:bottom w:val="single" w:sz="4" w:space="0" w:color="auto"/>
          <w:right w:val="single" w:sz="4" w:space="4" w:color="auto"/>
        </w:pBdr>
      </w:pPr>
    </w:p>
    <w:p w:rsidR="00DD758C" w:rsidRPr="00964EE0" w:rsidRDefault="00DD758C" w:rsidP="00692E32">
      <w:pPr>
        <w:widowControl w:val="0"/>
        <w:pBdr>
          <w:top w:val="single" w:sz="4" w:space="1" w:color="auto"/>
          <w:left w:val="single" w:sz="4" w:space="4" w:color="auto"/>
          <w:bottom w:val="single" w:sz="4" w:space="0" w:color="auto"/>
          <w:right w:val="single" w:sz="4" w:space="4" w:color="auto"/>
        </w:pBdr>
        <w:rPr>
          <w:i/>
        </w:rPr>
      </w:pPr>
      <w:r w:rsidRPr="00964EE0">
        <w:rPr>
          <w:i/>
        </w:rPr>
        <w:t>Reasons for Decision:</w:t>
      </w:r>
    </w:p>
    <w:p w:rsidR="00DD758C" w:rsidRDefault="00DD758C" w:rsidP="00692E32">
      <w:pPr>
        <w:widowControl w:val="0"/>
        <w:pBdr>
          <w:top w:val="single" w:sz="4" w:space="1" w:color="auto"/>
          <w:left w:val="single" w:sz="4" w:space="4" w:color="auto"/>
          <w:bottom w:val="single" w:sz="4" w:space="0" w:color="auto"/>
          <w:right w:val="single" w:sz="4" w:space="4" w:color="auto"/>
        </w:pBdr>
        <w:rPr>
          <w:rFonts w:ascii="Verdana" w:hAnsi="Verdana"/>
          <w:b/>
        </w:rPr>
      </w:pPr>
      <w:r w:rsidRPr="004E16AB">
        <w:rPr>
          <w:rFonts w:ascii="Verdana" w:hAnsi="Verdana"/>
          <w:b/>
          <w:highlight w:val="green"/>
        </w:rPr>
        <w:lastRenderedPageBreak/>
        <w:t xml:space="preserve">USE </w:t>
      </w:r>
      <w:r w:rsidR="00C551BE">
        <w:rPr>
          <w:rFonts w:ascii="Verdana" w:hAnsi="Verdana"/>
          <w:b/>
          <w:highlight w:val="green"/>
        </w:rPr>
        <w:t>VBMS-R System-Generated Text</w:t>
      </w:r>
      <w:r w:rsidR="006038C8">
        <w:rPr>
          <w:rFonts w:ascii="Verdana" w:hAnsi="Verdana"/>
          <w:b/>
          <w:highlight w:val="green"/>
        </w:rPr>
        <w:t xml:space="preserve"> or CU1</w:t>
      </w:r>
    </w:p>
    <w:p w:rsidR="00DD758C" w:rsidRDefault="00DD758C" w:rsidP="00692E32">
      <w:pPr>
        <w:widowControl w:val="0"/>
        <w:pBdr>
          <w:top w:val="single" w:sz="4" w:space="1" w:color="auto"/>
          <w:left w:val="single" w:sz="4" w:space="4" w:color="auto"/>
          <w:bottom w:val="single" w:sz="4" w:space="0" w:color="auto"/>
          <w:right w:val="single" w:sz="4" w:space="4" w:color="auto"/>
        </w:pBdr>
        <w:rPr>
          <w:rFonts w:ascii="Verdana" w:hAnsi="Verdana"/>
          <w:b/>
        </w:rPr>
      </w:pPr>
    </w:p>
    <w:p w:rsidR="00DD758C" w:rsidRDefault="00DD758C" w:rsidP="00692E32">
      <w:pPr>
        <w:widowControl w:val="0"/>
        <w:pBdr>
          <w:top w:val="single" w:sz="4" w:space="1" w:color="auto"/>
          <w:left w:val="single" w:sz="4" w:space="4" w:color="auto"/>
          <w:bottom w:val="single" w:sz="4" w:space="0" w:color="auto"/>
          <w:right w:val="single" w:sz="4" w:space="4" w:color="auto"/>
        </w:pBdr>
      </w:pPr>
      <w:r w:rsidRPr="00964EE0">
        <w:t>The Rating Decision</w:t>
      </w:r>
      <w:r>
        <w:t xml:space="preserve"> dated {} denied service connection for {}. The service treatment records show {}. The </w:t>
      </w:r>
      <w:r w:rsidR="00AC28AF">
        <w:t>DBQ</w:t>
      </w:r>
      <w:r>
        <w:t xml:space="preserve"> dated {} shows {}. Service connection is warranted.</w:t>
      </w:r>
    </w:p>
    <w:p w:rsidR="00DD758C" w:rsidRDefault="00DD758C" w:rsidP="00692E32">
      <w:pPr>
        <w:widowControl w:val="0"/>
        <w:pBdr>
          <w:top w:val="single" w:sz="4" w:space="1" w:color="auto"/>
          <w:left w:val="single" w:sz="4" w:space="4" w:color="auto"/>
          <w:bottom w:val="single" w:sz="4" w:space="0" w:color="auto"/>
          <w:right w:val="single" w:sz="4" w:space="4" w:color="auto"/>
        </w:pBdr>
      </w:pPr>
    </w:p>
    <w:p w:rsidR="00275CC4" w:rsidRDefault="00DD758C" w:rsidP="00275CC4">
      <w:pPr>
        <w:widowControl w:val="0"/>
        <w:pBdr>
          <w:top w:val="single" w:sz="4" w:space="1" w:color="auto"/>
          <w:left w:val="single" w:sz="4" w:space="4" w:color="auto"/>
          <w:bottom w:val="single" w:sz="4" w:space="0" w:color="auto"/>
          <w:right w:val="single" w:sz="4" w:space="4" w:color="auto"/>
        </w:pBdr>
      </w:pPr>
      <w:r>
        <w:t>VA regulations say {}.</w:t>
      </w:r>
    </w:p>
    <w:p w:rsidR="00275CC4" w:rsidRPr="00275CC4" w:rsidRDefault="00275CC4" w:rsidP="00275CC4">
      <w:pPr>
        <w:widowControl w:val="0"/>
        <w:pBdr>
          <w:top w:val="single" w:sz="4" w:space="1" w:color="auto"/>
          <w:left w:val="single" w:sz="4" w:space="4" w:color="auto"/>
          <w:bottom w:val="single" w:sz="4" w:space="0" w:color="auto"/>
          <w:right w:val="single" w:sz="4" w:space="4" w:color="auto"/>
        </w:pBdr>
      </w:pPr>
      <w:r w:rsidRPr="00275CC4">
        <w:rPr>
          <w:i/>
        </w:rPr>
        <w:t>*for denial when have non-PTSD dx &amp; verified event:</w:t>
      </w:r>
      <w:r>
        <w:t xml:space="preserve">  </w:t>
      </w:r>
      <w:r w:rsidRPr="00275CC4">
        <w:t>VA regulations say, “Service connection connotes many factors but basically it means that the facts, shown by evidence, establish that a particular injury or disease resulting in disability was incurred coincident with service in the Armed Forces…” VA policy says non-PTSD diagnoses require “actual documentation of the in-service event” and to grant the claim “if further development is possible and that development permits a finding that the in-service event(s) forming the basis for the diagnosis occurred.”</w:t>
      </w:r>
    </w:p>
    <w:p w:rsidR="00DD758C" w:rsidRDefault="00DD758C" w:rsidP="00692E32">
      <w:pPr>
        <w:widowControl w:val="0"/>
        <w:pBdr>
          <w:top w:val="single" w:sz="4" w:space="1" w:color="auto"/>
          <w:left w:val="single" w:sz="4" w:space="4" w:color="auto"/>
          <w:bottom w:val="single" w:sz="4" w:space="0" w:color="auto"/>
          <w:right w:val="single" w:sz="4" w:space="4" w:color="auto"/>
        </w:pBdr>
      </w:pPr>
    </w:p>
    <w:p w:rsidR="00DD758C" w:rsidRDefault="00DD758C" w:rsidP="00692E32">
      <w:pPr>
        <w:widowControl w:val="0"/>
        <w:pBdr>
          <w:top w:val="single" w:sz="4" w:space="1" w:color="auto"/>
          <w:left w:val="single" w:sz="4" w:space="4" w:color="auto"/>
          <w:bottom w:val="single" w:sz="4" w:space="0" w:color="auto"/>
          <w:right w:val="single" w:sz="4" w:space="4" w:color="auto"/>
        </w:pBdr>
      </w:pPr>
      <w:r>
        <w:t xml:space="preserve">As the previous decision was clearly and unmistakably erroneous, service connection is established for {} with an evaluation of {} percent effective {}. </w:t>
      </w:r>
    </w:p>
    <w:p w:rsidR="00DD758C" w:rsidRDefault="00DD758C" w:rsidP="00692E32">
      <w:pPr>
        <w:widowControl w:val="0"/>
        <w:pBdr>
          <w:top w:val="single" w:sz="4" w:space="1" w:color="auto"/>
          <w:left w:val="single" w:sz="4" w:space="4" w:color="auto"/>
          <w:bottom w:val="single" w:sz="4" w:space="0" w:color="auto"/>
          <w:right w:val="single" w:sz="4" w:space="4" w:color="auto"/>
        </w:pBdr>
      </w:pPr>
    </w:p>
    <w:p w:rsidR="00DD758C" w:rsidRDefault="00DD758C" w:rsidP="00692E32">
      <w:pPr>
        <w:widowControl w:val="0"/>
        <w:pBdr>
          <w:top w:val="single" w:sz="4" w:space="1" w:color="auto"/>
          <w:left w:val="single" w:sz="4" w:space="4" w:color="auto"/>
          <w:bottom w:val="single" w:sz="4" w:space="0" w:color="auto"/>
          <w:right w:val="single" w:sz="4" w:space="4" w:color="auto"/>
        </w:pBdr>
      </w:pPr>
      <w:r>
        <w:t>An evaluation of {} percent is assigned from {}…</w:t>
      </w:r>
    </w:p>
    <w:p w:rsidR="00DD758C" w:rsidRDefault="00DD758C" w:rsidP="00DB530A"/>
    <w:p w:rsidR="00E37FE2" w:rsidRDefault="00E37FE2" w:rsidP="00DB530A"/>
    <w:p w:rsidR="00E37FE2" w:rsidRPr="00DD758C" w:rsidRDefault="00E37FE2" w:rsidP="00E37FE2">
      <w:pPr>
        <w:pBdr>
          <w:top w:val="single" w:sz="4" w:space="1" w:color="auto"/>
          <w:left w:val="single" w:sz="4" w:space="4" w:color="auto"/>
          <w:bottom w:val="single" w:sz="4" w:space="0" w:color="auto"/>
          <w:right w:val="single" w:sz="4" w:space="4" w:color="auto"/>
        </w:pBdr>
        <w:rPr>
          <w:b/>
        </w:rPr>
      </w:pPr>
      <w:r>
        <w:rPr>
          <w:b/>
        </w:rPr>
        <w:t>Incorrect grant</w:t>
      </w:r>
      <w:r w:rsidRPr="00DD758C">
        <w:rPr>
          <w:b/>
        </w:rPr>
        <w:t>:</w:t>
      </w:r>
    </w:p>
    <w:p w:rsidR="00E37FE2" w:rsidRDefault="00E37FE2" w:rsidP="00E37FE2">
      <w:pPr>
        <w:widowControl w:val="0"/>
        <w:pBdr>
          <w:top w:val="single" w:sz="4" w:space="1" w:color="auto"/>
          <w:left w:val="single" w:sz="4" w:space="4" w:color="auto"/>
          <w:bottom w:val="single" w:sz="4" w:space="0" w:color="auto"/>
          <w:right w:val="single" w:sz="4" w:space="4" w:color="auto"/>
        </w:pBdr>
      </w:pPr>
      <w:bookmarkStart w:id="18" w:name="_Hlk519841438"/>
      <w:r w:rsidRPr="00964EE0">
        <w:rPr>
          <w:i/>
        </w:rPr>
        <w:t>Issue:</w:t>
      </w:r>
      <w:r>
        <w:t xml:space="preserve">  </w:t>
      </w:r>
      <w:r w:rsidRPr="00555094">
        <w:t xml:space="preserve">Whether the decision to </w:t>
      </w:r>
      <w:r>
        <w:t>grant service connection</w:t>
      </w:r>
      <w:r w:rsidRPr="00555094">
        <w:t xml:space="preserve"> for </w:t>
      </w:r>
      <w:r>
        <w:t>{}</w:t>
      </w:r>
      <w:r w:rsidRPr="00555094">
        <w:t xml:space="preserve"> was clearly and unmistakably erroneous.</w:t>
      </w:r>
    </w:p>
    <w:p w:rsidR="00E37FE2" w:rsidRDefault="00E37FE2" w:rsidP="00E37FE2">
      <w:pPr>
        <w:widowControl w:val="0"/>
        <w:pBdr>
          <w:top w:val="single" w:sz="4" w:space="1" w:color="auto"/>
          <w:left w:val="single" w:sz="4" w:space="4" w:color="auto"/>
          <w:bottom w:val="single" w:sz="4" w:space="0" w:color="auto"/>
          <w:right w:val="single" w:sz="4" w:space="4" w:color="auto"/>
        </w:pBdr>
      </w:pPr>
    </w:p>
    <w:p w:rsidR="00E37FE2" w:rsidRDefault="00E37FE2" w:rsidP="00E37FE2">
      <w:pPr>
        <w:widowControl w:val="0"/>
        <w:pBdr>
          <w:top w:val="single" w:sz="4" w:space="1" w:color="auto"/>
          <w:left w:val="single" w:sz="4" w:space="4" w:color="auto"/>
          <w:bottom w:val="single" w:sz="4" w:space="0" w:color="auto"/>
          <w:right w:val="single" w:sz="4" w:space="4" w:color="auto"/>
        </w:pBdr>
      </w:pPr>
      <w:r w:rsidRPr="00964EE0">
        <w:rPr>
          <w:i/>
        </w:rPr>
        <w:t>Decision:</w:t>
      </w:r>
      <w:r>
        <w:t xml:space="preserve">  A clear and unmistakable error is found in the grant of service connection for {}, and </w:t>
      </w:r>
      <w:r w:rsidR="006B7DC9">
        <w:t>we are proposing to sever service connection.</w:t>
      </w:r>
    </w:p>
    <w:bookmarkEnd w:id="18"/>
    <w:p w:rsidR="006B7DC9" w:rsidRPr="00964EE0" w:rsidRDefault="006B7DC9" w:rsidP="00E37FE2">
      <w:pPr>
        <w:widowControl w:val="0"/>
        <w:pBdr>
          <w:top w:val="single" w:sz="4" w:space="1" w:color="auto"/>
          <w:left w:val="single" w:sz="4" w:space="4" w:color="auto"/>
          <w:bottom w:val="single" w:sz="4" w:space="0" w:color="auto"/>
          <w:right w:val="single" w:sz="4" w:space="4" w:color="auto"/>
        </w:pBdr>
      </w:pPr>
    </w:p>
    <w:p w:rsidR="00E37FE2" w:rsidRPr="00964EE0" w:rsidRDefault="00E37FE2" w:rsidP="00E37FE2">
      <w:pPr>
        <w:widowControl w:val="0"/>
        <w:pBdr>
          <w:top w:val="single" w:sz="4" w:space="1" w:color="auto"/>
          <w:left w:val="single" w:sz="4" w:space="4" w:color="auto"/>
          <w:bottom w:val="single" w:sz="4" w:space="0" w:color="auto"/>
          <w:right w:val="single" w:sz="4" w:space="4" w:color="auto"/>
        </w:pBdr>
        <w:rPr>
          <w:i/>
        </w:rPr>
      </w:pPr>
      <w:r w:rsidRPr="00964EE0">
        <w:rPr>
          <w:i/>
        </w:rPr>
        <w:t>Reasons for Decision:</w:t>
      </w:r>
    </w:p>
    <w:p w:rsidR="00E37FE2" w:rsidRDefault="00E37FE2" w:rsidP="00E37FE2">
      <w:pPr>
        <w:widowControl w:val="0"/>
        <w:pBdr>
          <w:top w:val="single" w:sz="4" w:space="1" w:color="auto"/>
          <w:left w:val="single" w:sz="4" w:space="4" w:color="auto"/>
          <w:bottom w:val="single" w:sz="4" w:space="0" w:color="auto"/>
          <w:right w:val="single" w:sz="4" w:space="4" w:color="auto"/>
        </w:pBdr>
        <w:rPr>
          <w:rFonts w:ascii="Verdana" w:hAnsi="Verdana"/>
          <w:b/>
        </w:rPr>
      </w:pPr>
      <w:r w:rsidRPr="004E16AB">
        <w:rPr>
          <w:rFonts w:ascii="Verdana" w:hAnsi="Verdana"/>
          <w:b/>
          <w:highlight w:val="green"/>
        </w:rPr>
        <w:t xml:space="preserve">USE </w:t>
      </w:r>
      <w:r>
        <w:rPr>
          <w:rFonts w:ascii="Verdana" w:hAnsi="Verdana"/>
          <w:b/>
          <w:highlight w:val="green"/>
        </w:rPr>
        <w:t>VBMS-R System-Generated Text or CU1</w:t>
      </w:r>
    </w:p>
    <w:p w:rsidR="00E37FE2" w:rsidRDefault="00E37FE2" w:rsidP="00E37FE2">
      <w:pPr>
        <w:widowControl w:val="0"/>
        <w:pBdr>
          <w:top w:val="single" w:sz="4" w:space="1" w:color="auto"/>
          <w:left w:val="single" w:sz="4" w:space="4" w:color="auto"/>
          <w:bottom w:val="single" w:sz="4" w:space="0" w:color="auto"/>
          <w:right w:val="single" w:sz="4" w:space="4" w:color="auto"/>
        </w:pBdr>
        <w:rPr>
          <w:rFonts w:ascii="Verdana" w:hAnsi="Verdana"/>
          <w:b/>
        </w:rPr>
      </w:pPr>
    </w:p>
    <w:p w:rsidR="00E37FE2" w:rsidRDefault="00E37FE2" w:rsidP="00E37FE2">
      <w:pPr>
        <w:widowControl w:val="0"/>
        <w:pBdr>
          <w:top w:val="single" w:sz="4" w:space="1" w:color="auto"/>
          <w:left w:val="single" w:sz="4" w:space="4" w:color="auto"/>
          <w:bottom w:val="single" w:sz="4" w:space="0" w:color="auto"/>
          <w:right w:val="single" w:sz="4" w:space="4" w:color="auto"/>
        </w:pBdr>
      </w:pPr>
      <w:r w:rsidRPr="00964EE0">
        <w:t>The Rating Decision</w:t>
      </w:r>
      <w:r w:rsidR="006B7DC9">
        <w:t xml:space="preserve"> dated {} granted</w:t>
      </w:r>
      <w:r>
        <w:t xml:space="preserve"> service connection for {}. The service treatment records </w:t>
      </w:r>
      <w:r w:rsidR="006B7DC9">
        <w:t xml:space="preserve">do not </w:t>
      </w:r>
      <w:r>
        <w:t xml:space="preserve">show {}. The DBQ dated {} shows </w:t>
      </w:r>
      <w:r w:rsidR="006B7DC9">
        <w:t xml:space="preserve">no diagnosis of </w:t>
      </w:r>
      <w:r>
        <w:t xml:space="preserve">{}. Service connection is </w:t>
      </w:r>
      <w:r w:rsidR="006B7DC9">
        <w:t xml:space="preserve">not </w:t>
      </w:r>
      <w:r>
        <w:t>warranted.</w:t>
      </w:r>
    </w:p>
    <w:p w:rsidR="00E37FE2" w:rsidRDefault="00E37FE2" w:rsidP="00E37FE2">
      <w:pPr>
        <w:widowControl w:val="0"/>
        <w:pBdr>
          <w:top w:val="single" w:sz="4" w:space="1" w:color="auto"/>
          <w:left w:val="single" w:sz="4" w:space="4" w:color="auto"/>
          <w:bottom w:val="single" w:sz="4" w:space="0" w:color="auto"/>
          <w:right w:val="single" w:sz="4" w:space="4" w:color="auto"/>
        </w:pBdr>
      </w:pPr>
    </w:p>
    <w:p w:rsidR="00E37FE2" w:rsidRDefault="00E37FE2" w:rsidP="00E37FE2">
      <w:pPr>
        <w:widowControl w:val="0"/>
        <w:pBdr>
          <w:top w:val="single" w:sz="4" w:space="1" w:color="auto"/>
          <w:left w:val="single" w:sz="4" w:space="4" w:color="auto"/>
          <w:bottom w:val="single" w:sz="4" w:space="0" w:color="auto"/>
          <w:right w:val="single" w:sz="4" w:space="4" w:color="auto"/>
        </w:pBdr>
      </w:pPr>
      <w:r>
        <w:t>VA regulations say {}.</w:t>
      </w:r>
    </w:p>
    <w:p w:rsidR="006B7DC9" w:rsidRPr="006B7DC9" w:rsidRDefault="006B7DC9" w:rsidP="00E37FE2">
      <w:pPr>
        <w:widowControl w:val="0"/>
        <w:pBdr>
          <w:top w:val="single" w:sz="4" w:space="1" w:color="auto"/>
          <w:left w:val="single" w:sz="4" w:space="4" w:color="auto"/>
          <w:bottom w:val="single" w:sz="4" w:space="0" w:color="auto"/>
          <w:right w:val="single" w:sz="4" w:space="4" w:color="auto"/>
        </w:pBdr>
        <w:rPr>
          <w:i/>
        </w:rPr>
      </w:pPr>
      <w:r>
        <w:rPr>
          <w:i/>
        </w:rPr>
        <w:t>i</w:t>
      </w:r>
      <w:r w:rsidRPr="006B7DC9">
        <w:rPr>
          <w:i/>
        </w:rPr>
        <w:t>f have no dx:</w:t>
      </w:r>
      <w:r>
        <w:t xml:space="preserve">  </w:t>
      </w:r>
      <w:r w:rsidRPr="006B7DC9">
        <w:rPr>
          <w:szCs w:val="23"/>
        </w:rPr>
        <w:t>VA policy states "evidence of a current disability is required as one of the components of</w:t>
      </w:r>
      <w:r>
        <w:rPr>
          <w:szCs w:val="23"/>
        </w:rPr>
        <w:t xml:space="preserve"> </w:t>
      </w:r>
      <w:r w:rsidRPr="006B7DC9">
        <w:rPr>
          <w:szCs w:val="23"/>
        </w:rPr>
        <w:t>establishing SC. Generally, this criterion is satisfied when a current examination or other</w:t>
      </w:r>
      <w:r>
        <w:rPr>
          <w:szCs w:val="23"/>
        </w:rPr>
        <w:t xml:space="preserve"> </w:t>
      </w:r>
      <w:r w:rsidRPr="006B7DC9">
        <w:rPr>
          <w:szCs w:val="23"/>
        </w:rPr>
        <w:t xml:space="preserve">evidence demonstrates the presence of a chronic disability. </w:t>
      </w:r>
      <w:bookmarkStart w:id="19" w:name="_Hlk519841774"/>
      <w:r w:rsidRPr="006B7DC9">
        <w:rPr>
          <w:szCs w:val="23"/>
        </w:rPr>
        <w:t>However, the evidence must be</w:t>
      </w:r>
      <w:r>
        <w:rPr>
          <w:szCs w:val="23"/>
        </w:rPr>
        <w:t xml:space="preserve"> </w:t>
      </w:r>
      <w:r w:rsidRPr="006B7DC9">
        <w:rPr>
          <w:szCs w:val="23"/>
        </w:rPr>
        <w:t>reviewed to determine whether a disability was present at the time the claim was filed or during</w:t>
      </w:r>
      <w:r>
        <w:rPr>
          <w:szCs w:val="23"/>
        </w:rPr>
        <w:t xml:space="preserve"> </w:t>
      </w:r>
      <w:r w:rsidRPr="006B7DC9">
        <w:rPr>
          <w:szCs w:val="23"/>
        </w:rPr>
        <w:t>the pendency of the claim but has since resolved..."</w:t>
      </w:r>
      <w:r>
        <w:rPr>
          <w:szCs w:val="23"/>
        </w:rPr>
        <w:t xml:space="preserve"> </w:t>
      </w:r>
      <w:bookmarkEnd w:id="19"/>
      <w:r w:rsidRPr="006B7DC9">
        <w:rPr>
          <w:i/>
          <w:szCs w:val="23"/>
        </w:rPr>
        <w:t>(can move last sentence, if not relevant)</w:t>
      </w:r>
    </w:p>
    <w:p w:rsidR="00E37FE2" w:rsidRDefault="00E37FE2" w:rsidP="00E37FE2">
      <w:pPr>
        <w:widowControl w:val="0"/>
        <w:pBdr>
          <w:top w:val="single" w:sz="4" w:space="1" w:color="auto"/>
          <w:left w:val="single" w:sz="4" w:space="4" w:color="auto"/>
          <w:bottom w:val="single" w:sz="4" w:space="0" w:color="auto"/>
          <w:right w:val="single" w:sz="4" w:space="4" w:color="auto"/>
        </w:pBdr>
      </w:pPr>
    </w:p>
    <w:p w:rsidR="00E37FE2" w:rsidRDefault="00E37FE2" w:rsidP="00E37FE2">
      <w:pPr>
        <w:widowControl w:val="0"/>
        <w:pBdr>
          <w:top w:val="single" w:sz="4" w:space="1" w:color="auto"/>
          <w:left w:val="single" w:sz="4" w:space="4" w:color="auto"/>
          <w:bottom w:val="single" w:sz="4" w:space="0" w:color="auto"/>
          <w:right w:val="single" w:sz="4" w:space="4" w:color="auto"/>
        </w:pBdr>
      </w:pPr>
      <w:r>
        <w:t xml:space="preserve">As the previous decision was clearly and unmistakably erroneous, service connection is </w:t>
      </w:r>
      <w:r w:rsidR="006B7DC9">
        <w:t>proposed to be severed.</w:t>
      </w:r>
    </w:p>
    <w:p w:rsidR="00E37FE2" w:rsidRDefault="00E37FE2" w:rsidP="00DB530A"/>
    <w:p w:rsidR="00275CC4" w:rsidRDefault="00275CC4" w:rsidP="00DB530A"/>
    <w:p w:rsidR="00013EB8" w:rsidRDefault="000265C9">
      <w:pPr>
        <w:widowControl w:val="0"/>
        <w:pBdr>
          <w:top w:val="single" w:sz="4" w:space="1" w:color="auto"/>
          <w:left w:val="single" w:sz="4" w:space="4" w:color="auto"/>
          <w:bottom w:val="single" w:sz="4" w:space="1" w:color="auto"/>
          <w:right w:val="single" w:sz="4" w:space="4" w:color="auto"/>
        </w:pBdr>
        <w:rPr>
          <w:b/>
          <w:bCs/>
        </w:rPr>
      </w:pPr>
      <w:r>
        <w:rPr>
          <w:b/>
          <w:bCs/>
        </w:rPr>
        <w:t>Under-</w:t>
      </w:r>
      <w:r w:rsidR="001A3A22">
        <w:rPr>
          <w:b/>
          <w:bCs/>
        </w:rPr>
        <w:t>evaluation</w:t>
      </w:r>
      <w:r w:rsidR="00013EB8">
        <w:rPr>
          <w:b/>
          <w:bCs/>
        </w:rPr>
        <w:t>:</w:t>
      </w:r>
    </w:p>
    <w:p w:rsidR="00013EB8" w:rsidRDefault="00964EE0">
      <w:pPr>
        <w:widowControl w:val="0"/>
        <w:pBdr>
          <w:top w:val="single" w:sz="4" w:space="1" w:color="auto"/>
          <w:left w:val="single" w:sz="4" w:space="4" w:color="auto"/>
          <w:bottom w:val="single" w:sz="4" w:space="1" w:color="auto"/>
          <w:right w:val="single" w:sz="4" w:space="4" w:color="auto"/>
        </w:pBdr>
        <w:outlineLvl w:val="0"/>
      </w:pPr>
      <w:r w:rsidRPr="00964EE0">
        <w:rPr>
          <w:i/>
        </w:rPr>
        <w:t>Issue:</w:t>
      </w:r>
      <w:r>
        <w:t xml:space="preserve">  </w:t>
      </w:r>
      <w:r w:rsidR="00013EB8">
        <w:t xml:space="preserve">Whether the evaluation assigned for </w:t>
      </w:r>
      <w:r w:rsidR="00A46221">
        <w:t>{}</w:t>
      </w:r>
      <w:r w:rsidR="00013EB8">
        <w:t xml:space="preserve"> was clearly and unmistakably erroneous. </w:t>
      </w:r>
    </w:p>
    <w:p w:rsidR="00013EB8" w:rsidRDefault="00013EB8">
      <w:pPr>
        <w:widowControl w:val="0"/>
        <w:pBdr>
          <w:top w:val="single" w:sz="4" w:space="1" w:color="auto"/>
          <w:left w:val="single" w:sz="4" w:space="4" w:color="auto"/>
          <w:bottom w:val="single" w:sz="4" w:space="1" w:color="auto"/>
          <w:right w:val="single" w:sz="4" w:space="4" w:color="auto"/>
        </w:pBdr>
        <w:rPr>
          <w:i/>
        </w:rPr>
      </w:pPr>
    </w:p>
    <w:p w:rsidR="00013EB8" w:rsidRDefault="00964EE0">
      <w:pPr>
        <w:widowControl w:val="0"/>
        <w:pBdr>
          <w:top w:val="single" w:sz="4" w:space="1" w:color="auto"/>
          <w:left w:val="single" w:sz="4" w:space="4" w:color="auto"/>
          <w:bottom w:val="single" w:sz="4" w:space="1" w:color="auto"/>
          <w:right w:val="single" w:sz="4" w:space="4" w:color="auto"/>
        </w:pBdr>
      </w:pPr>
      <w:r w:rsidRPr="00964EE0">
        <w:rPr>
          <w:i/>
        </w:rPr>
        <w:t>Decision:</w:t>
      </w:r>
      <w:r>
        <w:t xml:space="preserve">  </w:t>
      </w:r>
      <w:r w:rsidR="00013EB8">
        <w:t xml:space="preserve">A clear and unmistakable error is found in the evaluation of </w:t>
      </w:r>
      <w:r w:rsidR="00A46221">
        <w:t>{}</w:t>
      </w:r>
      <w:r w:rsidR="00013EB8">
        <w:t xml:space="preserve"> and a retroactive increased evaluation to </w:t>
      </w:r>
      <w:r w:rsidR="00A46221">
        <w:t>{}</w:t>
      </w:r>
      <w:r w:rsidR="00013EB8">
        <w:t xml:space="preserve"> percent disabling is established </w:t>
      </w:r>
      <w:r w:rsidR="00B2402A">
        <w:t>effective</w:t>
      </w:r>
      <w:r w:rsidR="00013EB8">
        <w:t xml:space="preserve"> </w:t>
      </w:r>
      <w:r w:rsidR="00A46221">
        <w:t>{}</w:t>
      </w:r>
      <w:r w:rsidR="00013EB8">
        <w:t>.</w:t>
      </w:r>
    </w:p>
    <w:p w:rsidR="00964EE0" w:rsidRDefault="00964EE0">
      <w:pPr>
        <w:widowControl w:val="0"/>
        <w:pBdr>
          <w:top w:val="single" w:sz="4" w:space="1" w:color="auto"/>
          <w:left w:val="single" w:sz="4" w:space="4" w:color="auto"/>
          <w:bottom w:val="single" w:sz="4" w:space="1" w:color="auto"/>
          <w:right w:val="single" w:sz="4" w:space="4" w:color="auto"/>
        </w:pBdr>
      </w:pPr>
    </w:p>
    <w:p w:rsidR="00E91C58" w:rsidRPr="00964EE0" w:rsidRDefault="00964EE0">
      <w:pPr>
        <w:widowControl w:val="0"/>
        <w:pBdr>
          <w:top w:val="single" w:sz="4" w:space="1" w:color="auto"/>
          <w:left w:val="single" w:sz="4" w:space="4" w:color="auto"/>
          <w:bottom w:val="single" w:sz="4" w:space="1" w:color="auto"/>
          <w:right w:val="single" w:sz="4" w:space="4" w:color="auto"/>
        </w:pBdr>
        <w:rPr>
          <w:i/>
        </w:rPr>
      </w:pPr>
      <w:r w:rsidRPr="00964EE0">
        <w:rPr>
          <w:i/>
        </w:rPr>
        <w:t>Reasons for Decision:</w:t>
      </w:r>
    </w:p>
    <w:p w:rsidR="00E67403" w:rsidRDefault="00E67403" w:rsidP="00E67403">
      <w:pPr>
        <w:widowControl w:val="0"/>
        <w:pBdr>
          <w:top w:val="single" w:sz="4" w:space="1" w:color="auto"/>
          <w:left w:val="single" w:sz="4" w:space="4" w:color="auto"/>
          <w:bottom w:val="single" w:sz="4" w:space="1" w:color="auto"/>
          <w:right w:val="single" w:sz="4" w:space="4" w:color="auto"/>
        </w:pBdr>
        <w:rPr>
          <w:rFonts w:ascii="Verdana" w:hAnsi="Verdana"/>
          <w:b/>
        </w:rPr>
      </w:pPr>
      <w:r w:rsidRPr="004E16AB">
        <w:rPr>
          <w:rFonts w:ascii="Verdana" w:hAnsi="Verdana"/>
          <w:b/>
          <w:highlight w:val="green"/>
        </w:rPr>
        <w:t xml:space="preserve">USE </w:t>
      </w:r>
      <w:r w:rsidR="00C551BE">
        <w:rPr>
          <w:rFonts w:ascii="Verdana" w:hAnsi="Verdana"/>
          <w:b/>
          <w:highlight w:val="green"/>
        </w:rPr>
        <w:t>VBMS-R System-Generated Text</w:t>
      </w:r>
      <w:r w:rsidR="006038C8">
        <w:rPr>
          <w:rFonts w:ascii="Verdana" w:hAnsi="Verdana"/>
          <w:b/>
          <w:highlight w:val="green"/>
        </w:rPr>
        <w:t xml:space="preserve"> or CU1</w:t>
      </w:r>
      <w:r>
        <w:rPr>
          <w:rFonts w:ascii="Verdana" w:hAnsi="Verdana"/>
          <w:b/>
        </w:rPr>
        <w:t xml:space="preserve"> </w:t>
      </w:r>
    </w:p>
    <w:p w:rsidR="00964EE0" w:rsidRDefault="00964EE0">
      <w:pPr>
        <w:widowControl w:val="0"/>
        <w:pBdr>
          <w:top w:val="single" w:sz="4" w:space="1" w:color="auto"/>
          <w:left w:val="single" w:sz="4" w:space="4" w:color="auto"/>
          <w:bottom w:val="single" w:sz="4" w:space="1" w:color="auto"/>
          <w:right w:val="single" w:sz="4" w:space="4" w:color="auto"/>
        </w:pBdr>
      </w:pPr>
    </w:p>
    <w:p w:rsidR="00013EB8" w:rsidRDefault="00013EB8">
      <w:pPr>
        <w:widowControl w:val="0"/>
        <w:pBdr>
          <w:top w:val="single" w:sz="4" w:space="1" w:color="auto"/>
          <w:left w:val="single" w:sz="4" w:space="4" w:color="auto"/>
          <w:bottom w:val="single" w:sz="4" w:space="1" w:color="auto"/>
          <w:right w:val="single" w:sz="4" w:space="4" w:color="auto"/>
        </w:pBdr>
      </w:pPr>
      <w:bookmarkStart w:id="20" w:name="_Hlk514852026"/>
      <w:r>
        <w:t xml:space="preserve">The Rating Decision dated </w:t>
      </w:r>
      <w:r w:rsidR="00A46221">
        <w:t>{}</w:t>
      </w:r>
      <w:r>
        <w:t xml:space="preserve"> granted </w:t>
      </w:r>
      <w:r w:rsidR="00A46221">
        <w:t>{}</w:t>
      </w:r>
      <w:r>
        <w:t xml:space="preserve">. The service treatment records show </w:t>
      </w:r>
      <w:r w:rsidR="00A46221">
        <w:t>{}</w:t>
      </w:r>
      <w:r>
        <w:t xml:space="preserve">. The </w:t>
      </w:r>
      <w:r w:rsidR="00AC28AF">
        <w:t>DBQ</w:t>
      </w:r>
      <w:r>
        <w:t xml:space="preserve"> dated </w:t>
      </w:r>
      <w:r w:rsidR="00A46221">
        <w:t>{}</w:t>
      </w:r>
      <w:r>
        <w:t xml:space="preserve"> shows </w:t>
      </w:r>
      <w:r w:rsidR="00A46221">
        <w:t>{}</w:t>
      </w:r>
      <w:r>
        <w:t>.</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013EB8">
      <w:pPr>
        <w:widowControl w:val="0"/>
        <w:pBdr>
          <w:top w:val="single" w:sz="4" w:space="1" w:color="auto"/>
          <w:left w:val="single" w:sz="4" w:space="4" w:color="auto"/>
          <w:bottom w:val="single" w:sz="4" w:space="1" w:color="auto"/>
          <w:right w:val="single" w:sz="4" w:space="4" w:color="auto"/>
        </w:pBdr>
      </w:pPr>
      <w:r>
        <w:t xml:space="preserve">VA regulations say </w:t>
      </w:r>
      <w:r w:rsidR="00A46221">
        <w:t>{}</w:t>
      </w:r>
      <w:r>
        <w:t>.</w:t>
      </w:r>
    </w:p>
    <w:p w:rsidR="00013EB8" w:rsidRDefault="00013EB8">
      <w:pPr>
        <w:widowControl w:val="0"/>
        <w:pBdr>
          <w:top w:val="single" w:sz="4" w:space="1" w:color="auto"/>
          <w:left w:val="single" w:sz="4" w:space="4" w:color="auto"/>
          <w:bottom w:val="single" w:sz="4" w:space="1" w:color="auto"/>
          <w:right w:val="single" w:sz="4" w:space="4" w:color="auto"/>
        </w:pBdr>
      </w:pPr>
    </w:p>
    <w:p w:rsidR="000059A3" w:rsidRDefault="00013EB8" w:rsidP="004415BB">
      <w:pPr>
        <w:widowControl w:val="0"/>
        <w:pBdr>
          <w:top w:val="single" w:sz="4" w:space="1" w:color="auto"/>
          <w:left w:val="single" w:sz="4" w:space="4" w:color="auto"/>
          <w:bottom w:val="single" w:sz="4" w:space="1" w:color="auto"/>
          <w:right w:val="single" w:sz="4" w:space="4" w:color="auto"/>
        </w:pBdr>
      </w:pPr>
      <w:r>
        <w:t xml:space="preserve">A clear and unmistakable error occurred when </w:t>
      </w:r>
      <w:r w:rsidR="00A46221">
        <w:t>{}</w:t>
      </w:r>
      <w:r>
        <w:t xml:space="preserve">. A higher evaluation of </w:t>
      </w:r>
      <w:r w:rsidR="00A46221">
        <w:t>{}</w:t>
      </w:r>
      <w:r>
        <w:t xml:space="preserve"> is granted from </w:t>
      </w:r>
      <w:r w:rsidR="00A46221">
        <w:t>{}</w:t>
      </w:r>
      <w:r>
        <w:t>.</w:t>
      </w:r>
      <w:bookmarkEnd w:id="20"/>
    </w:p>
    <w:p w:rsidR="00871602" w:rsidRDefault="00871602" w:rsidP="000059A3">
      <w:pPr>
        <w:pStyle w:val="Header"/>
        <w:widowControl w:val="0"/>
        <w:tabs>
          <w:tab w:val="clear" w:pos="4320"/>
          <w:tab w:val="clear" w:pos="8640"/>
        </w:tabs>
      </w:pPr>
    </w:p>
    <w:p w:rsidR="00B2402A" w:rsidRDefault="00B2402A" w:rsidP="000059A3">
      <w:pPr>
        <w:pStyle w:val="Header"/>
        <w:widowControl w:val="0"/>
        <w:tabs>
          <w:tab w:val="clear" w:pos="4320"/>
          <w:tab w:val="clear" w:pos="8640"/>
        </w:tabs>
      </w:pPr>
    </w:p>
    <w:p w:rsidR="00013EB8" w:rsidRPr="00B4605E" w:rsidRDefault="00013EB8" w:rsidP="00B4605E">
      <w:pPr>
        <w:pStyle w:val="Header"/>
        <w:widowControl w:val="0"/>
        <w:pBdr>
          <w:top w:val="single" w:sz="2" w:space="1" w:color="auto"/>
          <w:left w:val="single" w:sz="2" w:space="4" w:color="auto"/>
          <w:bottom w:val="single" w:sz="2" w:space="1" w:color="auto"/>
          <w:right w:val="single" w:sz="2" w:space="4" w:color="auto"/>
        </w:pBdr>
        <w:tabs>
          <w:tab w:val="clear" w:pos="4320"/>
          <w:tab w:val="clear" w:pos="8640"/>
        </w:tabs>
        <w:rPr>
          <w:b/>
          <w:bCs/>
        </w:rPr>
      </w:pPr>
      <w:r w:rsidRPr="00B4605E">
        <w:rPr>
          <w:b/>
          <w:bCs/>
        </w:rPr>
        <w:t>Two skin conditions each rated at 10%</w:t>
      </w:r>
      <w:r w:rsidR="007335EF">
        <w:rPr>
          <w:b/>
          <w:bCs/>
        </w:rPr>
        <w:t xml:space="preserve"> </w:t>
      </w:r>
      <w:r w:rsidR="007335EF" w:rsidRPr="007335EF">
        <w:rPr>
          <w:bCs/>
          <w:i/>
        </w:rPr>
        <w:t>(if changes combined, must propose)</w:t>
      </w:r>
      <w:r w:rsidRPr="00B4605E">
        <w:rPr>
          <w:b/>
          <w:bCs/>
        </w:rPr>
        <w:t>:</w:t>
      </w:r>
    </w:p>
    <w:p w:rsidR="00013EB8" w:rsidRPr="00B4605E" w:rsidRDefault="00964EE0" w:rsidP="00B4605E">
      <w:pPr>
        <w:widowControl w:val="0"/>
        <w:pBdr>
          <w:top w:val="single" w:sz="2" w:space="1" w:color="auto"/>
          <w:left w:val="single" w:sz="2" w:space="4" w:color="auto"/>
          <w:bottom w:val="single" w:sz="2" w:space="1" w:color="auto"/>
          <w:right w:val="single" w:sz="2" w:space="4" w:color="auto"/>
        </w:pBdr>
      </w:pPr>
      <w:bookmarkStart w:id="21" w:name="_Hlk520120449"/>
      <w:r w:rsidRPr="00B4605E">
        <w:rPr>
          <w:i/>
        </w:rPr>
        <w:t>Issue:</w:t>
      </w:r>
      <w:r w:rsidRPr="00B4605E">
        <w:t xml:space="preserve">  </w:t>
      </w:r>
      <w:r w:rsidR="00013EB8" w:rsidRPr="00B4605E">
        <w:t>Whether the assignment of separate 10 percent evaluations for {</w:t>
      </w:r>
      <w:r w:rsidR="00195CBD" w:rsidRPr="00B4605E">
        <w:t>}</w:t>
      </w:r>
      <w:r w:rsidR="00013EB8" w:rsidRPr="00B4605E">
        <w:t xml:space="preserve"> and </w:t>
      </w:r>
      <w:r w:rsidR="00195CBD" w:rsidRPr="00B4605E">
        <w:t>{}</w:t>
      </w:r>
      <w:r w:rsidR="00013EB8" w:rsidRPr="00B4605E">
        <w:t xml:space="preserve"> was clearly and unmistakably erroneous.</w:t>
      </w:r>
    </w:p>
    <w:p w:rsidR="00013EB8" w:rsidRPr="00B4605E" w:rsidRDefault="00013EB8" w:rsidP="00B4605E">
      <w:pPr>
        <w:widowControl w:val="0"/>
        <w:pBdr>
          <w:top w:val="single" w:sz="2" w:space="1" w:color="auto"/>
          <w:left w:val="single" w:sz="2" w:space="4" w:color="auto"/>
          <w:bottom w:val="single" w:sz="2" w:space="1" w:color="auto"/>
          <w:right w:val="single" w:sz="2" w:space="4" w:color="auto"/>
        </w:pBdr>
      </w:pPr>
    </w:p>
    <w:p w:rsidR="00013EB8" w:rsidRPr="00B4605E" w:rsidRDefault="00964EE0" w:rsidP="00B4605E">
      <w:pPr>
        <w:widowControl w:val="0"/>
        <w:pBdr>
          <w:top w:val="single" w:sz="2" w:space="1" w:color="auto"/>
          <w:left w:val="single" w:sz="2" w:space="4" w:color="auto"/>
          <w:bottom w:val="single" w:sz="2" w:space="1" w:color="auto"/>
          <w:right w:val="single" w:sz="2" w:space="4" w:color="auto"/>
        </w:pBdr>
      </w:pPr>
      <w:r w:rsidRPr="00B4605E">
        <w:rPr>
          <w:i/>
        </w:rPr>
        <w:lastRenderedPageBreak/>
        <w:t>Decision:</w:t>
      </w:r>
      <w:r w:rsidRPr="00B4605E">
        <w:t xml:space="preserve">  </w:t>
      </w:r>
      <w:r w:rsidR="00013EB8" w:rsidRPr="00B4605E">
        <w:t>A clear and unmistakable error is found in the assignment of separate 10 percent evaluations for {</w:t>
      </w:r>
      <w:r w:rsidR="00195CBD" w:rsidRPr="00B4605E">
        <w:t>}</w:t>
      </w:r>
      <w:r w:rsidR="00013EB8" w:rsidRPr="00B4605E">
        <w:t xml:space="preserve"> and </w:t>
      </w:r>
      <w:r w:rsidR="00195CBD" w:rsidRPr="00B4605E">
        <w:t>{</w:t>
      </w:r>
      <w:r w:rsidR="00013EB8" w:rsidRPr="00B4605E">
        <w:t>}, and the conditions</w:t>
      </w:r>
      <w:r w:rsidR="00195CBD" w:rsidRPr="00B4605E">
        <w:t xml:space="preserve"> are now evaluated together{ as 10</w:t>
      </w:r>
      <w:r w:rsidR="00013EB8" w:rsidRPr="00B4605E">
        <w:t xml:space="preserve"> percent disabling</w:t>
      </w:r>
      <w:r w:rsidR="00195CBD" w:rsidRPr="00B4605E">
        <w:t xml:space="preserve"> from {}} OR {, and only as 0 percent disabling from {}.}</w:t>
      </w:r>
    </w:p>
    <w:p w:rsidR="00E91C58" w:rsidRPr="00B4605E" w:rsidRDefault="00E91C58" w:rsidP="00B4605E">
      <w:pPr>
        <w:widowControl w:val="0"/>
        <w:pBdr>
          <w:top w:val="single" w:sz="2" w:space="1" w:color="auto"/>
          <w:left w:val="single" w:sz="2" w:space="4" w:color="auto"/>
          <w:bottom w:val="single" w:sz="2" w:space="1" w:color="auto"/>
          <w:right w:val="single" w:sz="2" w:space="4" w:color="auto"/>
        </w:pBdr>
      </w:pPr>
    </w:p>
    <w:p w:rsidR="00964EE0" w:rsidRPr="00B4605E" w:rsidRDefault="00964EE0" w:rsidP="00B4605E">
      <w:pPr>
        <w:widowControl w:val="0"/>
        <w:pBdr>
          <w:top w:val="single" w:sz="2" w:space="1" w:color="auto"/>
          <w:left w:val="single" w:sz="2" w:space="4" w:color="auto"/>
          <w:bottom w:val="single" w:sz="2" w:space="1" w:color="auto"/>
          <w:right w:val="single" w:sz="2" w:space="4" w:color="auto"/>
        </w:pBdr>
        <w:rPr>
          <w:i/>
        </w:rPr>
      </w:pPr>
      <w:r w:rsidRPr="00B4605E">
        <w:rPr>
          <w:i/>
        </w:rPr>
        <w:t>Reasons for Decision:</w:t>
      </w:r>
    </w:p>
    <w:p w:rsidR="00E67403" w:rsidRPr="00DD7CD1" w:rsidRDefault="006038C8" w:rsidP="00B4605E">
      <w:pPr>
        <w:widowControl w:val="0"/>
        <w:pBdr>
          <w:top w:val="single" w:sz="2" w:space="1" w:color="auto"/>
          <w:left w:val="single" w:sz="2" w:space="4" w:color="auto"/>
          <w:bottom w:val="single" w:sz="2" w:space="1" w:color="auto"/>
          <w:right w:val="single" w:sz="2" w:space="4" w:color="auto"/>
        </w:pBdr>
        <w:rPr>
          <w:rFonts w:ascii="Verdana" w:hAnsi="Verdana"/>
          <w:b/>
        </w:rPr>
      </w:pPr>
      <w:r>
        <w:rPr>
          <w:rFonts w:ascii="Verdana" w:hAnsi="Verdana"/>
          <w:b/>
          <w:highlight w:val="green"/>
        </w:rPr>
        <w:t xml:space="preserve">USE </w:t>
      </w:r>
      <w:r w:rsidR="00C551BE">
        <w:rPr>
          <w:rFonts w:ascii="Verdana" w:hAnsi="Verdana"/>
          <w:b/>
          <w:highlight w:val="green"/>
        </w:rPr>
        <w:t>VBMS-R System-Generated Text</w:t>
      </w:r>
      <w:r>
        <w:rPr>
          <w:rFonts w:ascii="Verdana" w:hAnsi="Verdana"/>
          <w:b/>
          <w:highlight w:val="green"/>
        </w:rPr>
        <w:t xml:space="preserve"> or </w:t>
      </w:r>
      <w:r w:rsidR="00E67403" w:rsidRPr="00DD7CD1">
        <w:rPr>
          <w:rFonts w:ascii="Verdana" w:hAnsi="Verdana"/>
          <w:b/>
          <w:highlight w:val="green"/>
        </w:rPr>
        <w:t>CU1</w:t>
      </w:r>
      <w:r w:rsidR="00E67403" w:rsidRPr="00DD7CD1">
        <w:rPr>
          <w:rFonts w:ascii="Verdana" w:hAnsi="Verdana"/>
          <w:b/>
        </w:rPr>
        <w:t xml:space="preserve"> </w:t>
      </w:r>
    </w:p>
    <w:p w:rsidR="00964EE0" w:rsidRPr="00B4605E" w:rsidRDefault="00964EE0" w:rsidP="00B4605E">
      <w:pPr>
        <w:widowControl w:val="0"/>
        <w:pBdr>
          <w:top w:val="single" w:sz="2" w:space="1" w:color="auto"/>
          <w:left w:val="single" w:sz="2" w:space="4" w:color="auto"/>
          <w:bottom w:val="single" w:sz="2" w:space="1" w:color="auto"/>
          <w:right w:val="single" w:sz="2" w:space="4" w:color="auto"/>
        </w:pBdr>
      </w:pPr>
    </w:p>
    <w:p w:rsidR="00195CBD" w:rsidRPr="00B4605E" w:rsidRDefault="00013EB8" w:rsidP="00B4605E">
      <w:pPr>
        <w:pBdr>
          <w:top w:val="single" w:sz="2" w:space="1" w:color="auto"/>
          <w:left w:val="single" w:sz="2" w:space="4" w:color="auto"/>
          <w:bottom w:val="single" w:sz="2" w:space="1" w:color="auto"/>
          <w:right w:val="single" w:sz="2" w:space="4" w:color="auto"/>
        </w:pBdr>
        <w:overflowPunct/>
        <w:textAlignment w:val="auto"/>
        <w:rPr>
          <w:i/>
        </w:rPr>
      </w:pPr>
      <w:r w:rsidRPr="00B4605E">
        <w:t xml:space="preserve">The Rating Decision dated </w:t>
      </w:r>
      <w:r w:rsidR="00A46221" w:rsidRPr="00B4605E">
        <w:t>{}</w:t>
      </w:r>
      <w:r w:rsidR="00195CBD" w:rsidRPr="00B4605E">
        <w:t xml:space="preserve"> granted a 10 percent evaluation for {} and another 10 percent evaluation for {} effective {}. The 10 percent for {} was based on {}. The 10 percent for {} was based on {}. </w:t>
      </w:r>
      <w:r w:rsidR="00195CBD" w:rsidRPr="00B4605E">
        <w:rPr>
          <w:i/>
        </w:rPr>
        <w:t>*ensure a 10% is warranted, may only be 0%</w:t>
      </w:r>
    </w:p>
    <w:p w:rsidR="00195CBD" w:rsidRPr="00B4605E" w:rsidRDefault="00195CBD" w:rsidP="00B4605E">
      <w:pPr>
        <w:pBdr>
          <w:top w:val="single" w:sz="2" w:space="1" w:color="auto"/>
          <w:left w:val="single" w:sz="2" w:space="4" w:color="auto"/>
          <w:bottom w:val="single" w:sz="2" w:space="1" w:color="auto"/>
          <w:right w:val="single" w:sz="2" w:space="4" w:color="auto"/>
        </w:pBdr>
        <w:overflowPunct/>
        <w:textAlignment w:val="auto"/>
      </w:pPr>
    </w:p>
    <w:p w:rsidR="00013EB8" w:rsidRPr="00B4605E" w:rsidRDefault="00013EB8" w:rsidP="00B4605E">
      <w:pPr>
        <w:pBdr>
          <w:top w:val="single" w:sz="2" w:space="1" w:color="auto"/>
          <w:left w:val="single" w:sz="2" w:space="4" w:color="auto"/>
          <w:bottom w:val="single" w:sz="2" w:space="1" w:color="auto"/>
          <w:right w:val="single" w:sz="2" w:space="4" w:color="auto"/>
        </w:pBdr>
        <w:overflowPunct/>
        <w:textAlignment w:val="auto"/>
        <w:rPr>
          <w:i/>
        </w:rPr>
      </w:pPr>
      <w:r w:rsidRPr="00B4605E">
        <w:t xml:space="preserve">VA regulations do not allow the assignment of separate evaluations for </w:t>
      </w:r>
      <w:r w:rsidR="006F6DFA" w:rsidRPr="00B4605E">
        <w:t>{</w:t>
      </w:r>
      <w:r w:rsidRPr="00B4605E">
        <w:t>different</w:t>
      </w:r>
      <w:r w:rsidR="006F6DFA" w:rsidRPr="00B4605E">
        <w:t>}</w:t>
      </w:r>
      <w:r w:rsidRPr="00B4605E">
        <w:t xml:space="preserve"> skin conditions, as the evaluation criteria is the same.</w:t>
      </w:r>
      <w:r w:rsidR="00195CBD" w:rsidRPr="00B4605E">
        <w:t xml:space="preserve"> Separate evaluations for each diagnosis are only permissible when the evaluation is based on disability due solely to the individual diagnosis. </w:t>
      </w:r>
      <w:r w:rsidR="00195CBD" w:rsidRPr="00B4605E">
        <w:rPr>
          <w:i/>
        </w:rPr>
        <w:t>*if only 0% is warranted:</w:t>
      </w:r>
      <w:r w:rsidR="00195CBD" w:rsidRPr="00B4605E">
        <w:t xml:space="preserve">  </w:t>
      </w:r>
      <w:r w:rsidR="00195CBD" w:rsidRPr="00B4605E">
        <w:rPr>
          <w:i/>
        </w:rPr>
        <w:t>Additionally, the evaluation criteria indicates that only a 0 percent evaluation is warranted for “no more than topical therapy required during the past 12-month period."</w:t>
      </w:r>
    </w:p>
    <w:p w:rsidR="00195CBD" w:rsidRPr="00B4605E" w:rsidRDefault="00195CBD" w:rsidP="00B4605E">
      <w:pPr>
        <w:pBdr>
          <w:top w:val="single" w:sz="2" w:space="1" w:color="auto"/>
          <w:left w:val="single" w:sz="2" w:space="4" w:color="auto"/>
          <w:bottom w:val="single" w:sz="2" w:space="1" w:color="auto"/>
          <w:right w:val="single" w:sz="2" w:space="4" w:color="auto"/>
        </w:pBdr>
        <w:overflowPunct/>
        <w:textAlignment w:val="auto"/>
      </w:pPr>
    </w:p>
    <w:p w:rsidR="00013EB8" w:rsidRPr="00B4605E" w:rsidRDefault="00013EB8" w:rsidP="00B4605E">
      <w:pPr>
        <w:pBdr>
          <w:top w:val="single" w:sz="2" w:space="1" w:color="auto"/>
          <w:left w:val="single" w:sz="2" w:space="4" w:color="auto"/>
          <w:bottom w:val="single" w:sz="2" w:space="1" w:color="auto"/>
          <w:right w:val="single" w:sz="2" w:space="4" w:color="auto"/>
        </w:pBdr>
        <w:overflowPunct/>
        <w:textAlignment w:val="auto"/>
      </w:pPr>
      <w:r w:rsidRPr="00B4605E">
        <w:t xml:space="preserve">A clear and unmistakable error occurred when separate 10 percent evaluations were assigned </w:t>
      </w:r>
      <w:r w:rsidR="00195CBD" w:rsidRPr="00B4605E">
        <w:t>for {} and {}</w:t>
      </w:r>
      <w:r w:rsidRPr="00B4605E">
        <w:t xml:space="preserve">. </w:t>
      </w:r>
      <w:r w:rsidR="00195CBD" w:rsidRPr="00B4605E">
        <w:rPr>
          <w:i/>
        </w:rPr>
        <w:t>*if only 0% is warranted:</w:t>
      </w:r>
      <w:r w:rsidR="00195CBD" w:rsidRPr="00B4605E">
        <w:t xml:space="preserve">  </w:t>
      </w:r>
      <w:r w:rsidR="00195CBD" w:rsidRPr="00B4605E">
        <w:rPr>
          <w:i/>
        </w:rPr>
        <w:t xml:space="preserve">Additionally, only a 0 percent evaluation is warranted based on the use of topical medication. A higher evaluation of 10 percent is not warranted unless the record shows 20 to 40 percent of the entire body or 20 to 40 percent of exposed areas affected, or; systemic therapy such as corticosteroids or other immunosuppressive drugs required for a total duration of six weeks or more, but not constantly, during the past 12-month period. </w:t>
      </w:r>
      <w:r w:rsidRPr="00B4605E">
        <w:t xml:space="preserve">The conditions </w:t>
      </w:r>
      <w:r w:rsidR="00195CBD" w:rsidRPr="00B4605E">
        <w:t>are now evaluated together as {10 or 0}</w:t>
      </w:r>
      <w:r w:rsidRPr="00B4605E">
        <w:t xml:space="preserve"> percent disabling from </w:t>
      </w:r>
      <w:r w:rsidR="00A46221" w:rsidRPr="00B4605E">
        <w:t>{}</w:t>
      </w:r>
      <w:r w:rsidRPr="00B4605E">
        <w:t>.</w:t>
      </w:r>
    </w:p>
    <w:p w:rsidR="00DF1DCA" w:rsidRPr="00B4605E" w:rsidRDefault="00DF1DCA" w:rsidP="00B4605E">
      <w:pPr>
        <w:widowControl w:val="0"/>
        <w:pBdr>
          <w:top w:val="single" w:sz="2" w:space="1" w:color="auto"/>
          <w:left w:val="single" w:sz="2" w:space="4" w:color="auto"/>
          <w:bottom w:val="single" w:sz="2" w:space="1" w:color="auto"/>
          <w:right w:val="single" w:sz="2" w:space="4" w:color="auto"/>
        </w:pBdr>
      </w:pPr>
    </w:p>
    <w:p w:rsidR="00DF1DCA" w:rsidRPr="00B4605E" w:rsidRDefault="00DF1DCA" w:rsidP="00B4605E">
      <w:pPr>
        <w:widowControl w:val="0"/>
        <w:pBdr>
          <w:top w:val="single" w:sz="2" w:space="1" w:color="auto"/>
          <w:left w:val="single" w:sz="2" w:space="4" w:color="auto"/>
          <w:bottom w:val="single" w:sz="2" w:space="1" w:color="auto"/>
          <w:right w:val="single" w:sz="2" w:space="4" w:color="auto"/>
        </w:pBdr>
      </w:pPr>
      <w:r w:rsidRPr="00B4605E">
        <w:t>The correction of this error does not reduce your combined evaluation.</w:t>
      </w:r>
    </w:p>
    <w:p w:rsidR="00195CBD" w:rsidRPr="00B4605E" w:rsidRDefault="00195CBD" w:rsidP="00B4605E">
      <w:pPr>
        <w:widowControl w:val="0"/>
        <w:pBdr>
          <w:top w:val="single" w:sz="2" w:space="1" w:color="auto"/>
          <w:left w:val="single" w:sz="2" w:space="4" w:color="auto"/>
          <w:bottom w:val="single" w:sz="2" w:space="1" w:color="auto"/>
          <w:right w:val="single" w:sz="2" w:space="4" w:color="auto"/>
        </w:pBdr>
      </w:pPr>
      <w:r w:rsidRPr="00B4605E">
        <w:t>OR</w:t>
      </w:r>
    </w:p>
    <w:p w:rsidR="00195CBD" w:rsidRPr="00B4605E" w:rsidRDefault="00195CBD" w:rsidP="00B4605E">
      <w:pPr>
        <w:pBdr>
          <w:top w:val="single" w:sz="2" w:space="1" w:color="auto"/>
          <w:left w:val="single" w:sz="2" w:space="4" w:color="auto"/>
          <w:bottom w:val="single" w:sz="2" w:space="1" w:color="auto"/>
          <w:right w:val="single" w:sz="2" w:space="4" w:color="auto"/>
        </w:pBdr>
        <w:overflowPunct/>
        <w:textAlignment w:val="auto"/>
      </w:pPr>
      <w:r w:rsidRPr="00B4605E">
        <w:t>The correction of this error will reduce your combined evaluation to {} percent effective {}.</w:t>
      </w:r>
    </w:p>
    <w:bookmarkEnd w:id="21"/>
    <w:p w:rsidR="00195CBD" w:rsidRPr="00B4605E" w:rsidRDefault="00195CBD" w:rsidP="00B4605E">
      <w:pPr>
        <w:pBdr>
          <w:top w:val="single" w:sz="2" w:space="1" w:color="auto"/>
          <w:left w:val="single" w:sz="2" w:space="4" w:color="auto"/>
          <w:bottom w:val="single" w:sz="2" w:space="1" w:color="auto"/>
          <w:right w:val="single" w:sz="2" w:space="4" w:color="auto"/>
        </w:pBdr>
        <w:overflowPunct/>
        <w:textAlignment w:val="auto"/>
      </w:pPr>
    </w:p>
    <w:p w:rsidR="0086757A" w:rsidRPr="00196CA9" w:rsidRDefault="00B4605E" w:rsidP="0086757A">
      <w:pPr>
        <w:pBdr>
          <w:top w:val="single" w:sz="2" w:space="1" w:color="auto"/>
          <w:left w:val="single" w:sz="2" w:space="4" w:color="auto"/>
          <w:bottom w:val="single" w:sz="2" w:space="1" w:color="auto"/>
          <w:right w:val="single" w:sz="2" w:space="4" w:color="auto"/>
        </w:pBdr>
        <w:rPr>
          <w:highlight w:val="yellow"/>
        </w:rPr>
      </w:pPr>
      <w:r w:rsidRPr="00196CA9">
        <w:rPr>
          <w:i/>
          <w:highlight w:val="yellow"/>
        </w:rPr>
        <w:t xml:space="preserve">Note for codesheet:  </w:t>
      </w:r>
      <w:r w:rsidRPr="00196CA9">
        <w:rPr>
          <w:highlight w:val="yellow"/>
        </w:rPr>
        <w:t xml:space="preserve">Please </w:t>
      </w:r>
      <w:r w:rsidR="00A03202" w:rsidRPr="00196CA9">
        <w:rPr>
          <w:highlight w:val="yellow"/>
        </w:rPr>
        <w:t>consider waiving</w:t>
      </w:r>
      <w:r w:rsidR="00D64628" w:rsidRPr="00196CA9">
        <w:rPr>
          <w:highlight w:val="yellow"/>
        </w:rPr>
        <w:t xml:space="preserve"> a</w:t>
      </w:r>
      <w:r w:rsidR="00B07B19" w:rsidRPr="00196CA9">
        <w:rPr>
          <w:highlight w:val="yellow"/>
        </w:rPr>
        <w:t>ny potential</w:t>
      </w:r>
      <w:r w:rsidRPr="00196CA9">
        <w:rPr>
          <w:highlight w:val="yellow"/>
        </w:rPr>
        <w:t xml:space="preserve"> overpayment due to ad</w:t>
      </w:r>
      <w:r w:rsidR="00A03202" w:rsidRPr="00196CA9">
        <w:rPr>
          <w:highlight w:val="yellow"/>
        </w:rPr>
        <w:t>ministrative error on VA’s part</w:t>
      </w:r>
      <w:r w:rsidR="00D64628" w:rsidRPr="00196CA9">
        <w:rPr>
          <w:highlight w:val="yellow"/>
        </w:rPr>
        <w:t>.</w:t>
      </w:r>
    </w:p>
    <w:p w:rsidR="00B4605E" w:rsidRDefault="00B4605E" w:rsidP="00195CBD">
      <w:pPr>
        <w:overflowPunct/>
        <w:textAlignment w:val="auto"/>
        <w:rPr>
          <w:rFonts w:ascii="Times New Roman" w:hAnsi="Times New Roman" w:cs="Times New Roman"/>
          <w:sz w:val="24"/>
          <w:szCs w:val="24"/>
        </w:rPr>
      </w:pPr>
    </w:p>
    <w:p w:rsidR="007335EF" w:rsidRDefault="007335EF" w:rsidP="00195CBD">
      <w:pPr>
        <w:overflowPunct/>
        <w:textAlignment w:val="auto"/>
        <w:rPr>
          <w:rFonts w:ascii="Times New Roman" w:hAnsi="Times New Roman" w:cs="Times New Roman"/>
          <w:sz w:val="24"/>
          <w:szCs w:val="24"/>
        </w:rPr>
      </w:pPr>
    </w:p>
    <w:p w:rsidR="007335EF" w:rsidRDefault="007335EF" w:rsidP="007335EF">
      <w:pPr>
        <w:widowControl w:val="0"/>
        <w:pBdr>
          <w:top w:val="single" w:sz="2" w:space="1" w:color="auto"/>
          <w:left w:val="single" w:sz="2" w:space="4" w:color="auto"/>
          <w:bottom w:val="single" w:sz="2" w:space="1" w:color="auto"/>
          <w:right w:val="single" w:sz="2" w:space="4" w:color="auto"/>
        </w:pBdr>
        <w:rPr>
          <w:i/>
        </w:rPr>
      </w:pPr>
      <w:r>
        <w:rPr>
          <w:b/>
          <w:bCs/>
        </w:rPr>
        <w:t xml:space="preserve">Conds separate when should be together </w:t>
      </w:r>
      <w:r w:rsidR="007F1002">
        <w:rPr>
          <w:bCs/>
          <w:i/>
        </w:rPr>
        <w:t>(can u</w:t>
      </w:r>
      <w:r w:rsidRPr="007335EF">
        <w:rPr>
          <w:bCs/>
          <w:i/>
        </w:rPr>
        <w:t>se for TBI &amp; mental, respiratory, digestive)</w:t>
      </w:r>
      <w:r>
        <w:rPr>
          <w:b/>
          <w:bCs/>
        </w:rPr>
        <w:t>:</w:t>
      </w:r>
    </w:p>
    <w:p w:rsidR="007335EF" w:rsidRDefault="007335EF" w:rsidP="007335EF">
      <w:pPr>
        <w:widowControl w:val="0"/>
        <w:pBdr>
          <w:top w:val="single" w:sz="2" w:space="1" w:color="auto"/>
          <w:left w:val="single" w:sz="2" w:space="4" w:color="auto"/>
          <w:bottom w:val="single" w:sz="2" w:space="1" w:color="auto"/>
          <w:right w:val="single" w:sz="2" w:space="4" w:color="auto"/>
        </w:pBdr>
      </w:pPr>
      <w:r>
        <w:rPr>
          <w:i/>
        </w:rPr>
        <w:t>Issue:</w:t>
      </w:r>
      <w:r>
        <w:t xml:space="preserve">  Whether the assignment of separate 10 percent evaluations for {} and {} was clearly and unmistakably erroneous.</w:t>
      </w:r>
    </w:p>
    <w:p w:rsidR="007F1002" w:rsidRDefault="00257248" w:rsidP="007F1002">
      <w:pPr>
        <w:widowControl w:val="0"/>
        <w:pBdr>
          <w:top w:val="single" w:sz="2" w:space="1" w:color="auto"/>
          <w:left w:val="single" w:sz="2" w:space="4" w:color="auto"/>
          <w:bottom w:val="single" w:sz="2" w:space="1" w:color="auto"/>
          <w:right w:val="single" w:sz="2" w:space="4" w:color="auto"/>
        </w:pBdr>
      </w:pPr>
      <w:r>
        <w:t>OR</w:t>
      </w:r>
    </w:p>
    <w:p w:rsidR="00257248" w:rsidRDefault="00257248" w:rsidP="007F1002">
      <w:pPr>
        <w:widowControl w:val="0"/>
        <w:pBdr>
          <w:top w:val="single" w:sz="2" w:space="1" w:color="auto"/>
          <w:left w:val="single" w:sz="2" w:space="4" w:color="auto"/>
          <w:bottom w:val="single" w:sz="2" w:space="1" w:color="auto"/>
          <w:right w:val="single" w:sz="2" w:space="4" w:color="auto"/>
        </w:pBdr>
        <w:rPr>
          <w:rFonts w:ascii="Calibri" w:hAnsi="Calibri"/>
          <w:color w:val="1F497D" w:themeColor="dark2"/>
          <w:sz w:val="22"/>
          <w:szCs w:val="22"/>
        </w:rPr>
      </w:pPr>
      <w:r>
        <w:rPr>
          <w:szCs w:val="22"/>
        </w:rPr>
        <w:t>Whether the assignment of a 40 percent evaluation for traumatic brain injury (TBI) and a 70 percent evaluation for bipolar II disorder, major depressive disorder, and insomnia disorder was clearly and unmistakably erroneous.</w:t>
      </w:r>
    </w:p>
    <w:p w:rsidR="00257248" w:rsidRDefault="00257248" w:rsidP="007335EF">
      <w:pPr>
        <w:widowControl w:val="0"/>
        <w:pBdr>
          <w:top w:val="single" w:sz="2" w:space="1" w:color="auto"/>
          <w:left w:val="single" w:sz="2" w:space="4" w:color="auto"/>
          <w:bottom w:val="single" w:sz="2" w:space="1" w:color="auto"/>
          <w:right w:val="single" w:sz="2" w:space="4" w:color="auto"/>
        </w:pBdr>
      </w:pPr>
    </w:p>
    <w:p w:rsidR="007335EF" w:rsidRDefault="007335EF" w:rsidP="007335EF">
      <w:pPr>
        <w:widowControl w:val="0"/>
        <w:pBdr>
          <w:top w:val="single" w:sz="2" w:space="1" w:color="auto"/>
          <w:left w:val="single" w:sz="2" w:space="4" w:color="auto"/>
          <w:bottom w:val="single" w:sz="2" w:space="1" w:color="auto"/>
          <w:right w:val="single" w:sz="2" w:space="4" w:color="auto"/>
        </w:pBdr>
      </w:pPr>
      <w:r>
        <w:rPr>
          <w:i/>
        </w:rPr>
        <w:t>Decision:</w:t>
      </w:r>
      <w:r>
        <w:t xml:space="preserve">  A clear and unmistakable error is found in the assignment of separate 10 percent evaluations for {} and {}, and the conditions are proposed to be evaluated together as 10 percent disabling from {}.</w:t>
      </w:r>
    </w:p>
    <w:p w:rsidR="007F1002" w:rsidRDefault="007F1002" w:rsidP="007F1002">
      <w:pPr>
        <w:widowControl w:val="0"/>
        <w:pBdr>
          <w:top w:val="single" w:sz="2" w:space="1" w:color="auto"/>
          <w:left w:val="single" w:sz="2" w:space="4" w:color="auto"/>
          <w:bottom w:val="single" w:sz="2" w:space="1" w:color="auto"/>
          <w:right w:val="single" w:sz="2" w:space="4" w:color="auto"/>
        </w:pBdr>
      </w:pPr>
      <w:r>
        <w:t>OR</w:t>
      </w:r>
    </w:p>
    <w:p w:rsidR="007F1002" w:rsidRDefault="007F1002" w:rsidP="007F1002">
      <w:pPr>
        <w:widowControl w:val="0"/>
        <w:pBdr>
          <w:top w:val="single" w:sz="2" w:space="1" w:color="auto"/>
          <w:left w:val="single" w:sz="2" w:space="4" w:color="auto"/>
          <w:bottom w:val="single" w:sz="2" w:space="1" w:color="auto"/>
          <w:right w:val="single" w:sz="2" w:space="4" w:color="auto"/>
        </w:pBdr>
        <w:rPr>
          <w:rFonts w:ascii="Calibri" w:hAnsi="Calibri"/>
          <w:color w:val="1F497D" w:themeColor="dark2"/>
          <w:sz w:val="22"/>
          <w:szCs w:val="22"/>
        </w:rPr>
      </w:pPr>
      <w:r>
        <w:rPr>
          <w:szCs w:val="22"/>
        </w:rPr>
        <w:t>A clear and unmistakable error is found in the assignment of a 40 percent evaluation for traumatic brain injury (TBI) and a 70 percent evaluation for bipolar II disorder, major depressive disorder, and insomnia disorder. Traumatic brain injury (TBI) is proposed to be evaluated together with bipolar II disorder, major depressive disorder, and insomnia disorder as 70 percent disabling from June 2, 2017.</w:t>
      </w:r>
    </w:p>
    <w:p w:rsidR="007335EF" w:rsidRDefault="007335EF" w:rsidP="007335EF">
      <w:pPr>
        <w:widowControl w:val="0"/>
        <w:pBdr>
          <w:top w:val="single" w:sz="2" w:space="1" w:color="auto"/>
          <w:left w:val="single" w:sz="2" w:space="4" w:color="auto"/>
          <w:bottom w:val="single" w:sz="2" w:space="1" w:color="auto"/>
          <w:right w:val="single" w:sz="2" w:space="4" w:color="auto"/>
        </w:pBdr>
      </w:pPr>
    </w:p>
    <w:p w:rsidR="007335EF" w:rsidRDefault="007335EF" w:rsidP="007335EF">
      <w:pPr>
        <w:widowControl w:val="0"/>
        <w:pBdr>
          <w:top w:val="single" w:sz="2" w:space="1" w:color="auto"/>
          <w:left w:val="single" w:sz="2" w:space="4" w:color="auto"/>
          <w:bottom w:val="single" w:sz="2" w:space="1" w:color="auto"/>
          <w:right w:val="single" w:sz="2" w:space="4" w:color="auto"/>
        </w:pBdr>
        <w:rPr>
          <w:i/>
        </w:rPr>
      </w:pPr>
      <w:r>
        <w:rPr>
          <w:i/>
        </w:rPr>
        <w:t>Reasons for Decision:</w:t>
      </w:r>
    </w:p>
    <w:p w:rsidR="007335EF" w:rsidRDefault="007335EF" w:rsidP="007335EF">
      <w:pPr>
        <w:widowControl w:val="0"/>
        <w:pBdr>
          <w:top w:val="single" w:sz="2" w:space="1" w:color="auto"/>
          <w:left w:val="single" w:sz="2" w:space="4" w:color="auto"/>
          <w:bottom w:val="single" w:sz="2" w:space="1" w:color="auto"/>
          <w:right w:val="single" w:sz="2" w:space="4" w:color="auto"/>
        </w:pBdr>
        <w:rPr>
          <w:b/>
        </w:rPr>
      </w:pPr>
      <w:r>
        <w:rPr>
          <w:b/>
          <w:highlight w:val="green"/>
        </w:rPr>
        <w:t>USE VBMS-R System-Generated Text or CU1</w:t>
      </w:r>
      <w:r>
        <w:rPr>
          <w:b/>
        </w:rPr>
        <w:t xml:space="preserve"> </w:t>
      </w:r>
    </w:p>
    <w:p w:rsidR="007335EF" w:rsidRDefault="007335EF" w:rsidP="007335EF">
      <w:pPr>
        <w:widowControl w:val="0"/>
        <w:pBdr>
          <w:top w:val="single" w:sz="2" w:space="1" w:color="auto"/>
          <w:left w:val="single" w:sz="2" w:space="4" w:color="auto"/>
          <w:bottom w:val="single" w:sz="2" w:space="1" w:color="auto"/>
          <w:right w:val="single" w:sz="2" w:space="4" w:color="auto"/>
        </w:pBdr>
      </w:pPr>
    </w:p>
    <w:p w:rsidR="007335EF" w:rsidRDefault="007335EF" w:rsidP="007335EF">
      <w:pPr>
        <w:pBdr>
          <w:top w:val="single" w:sz="2" w:space="1" w:color="auto"/>
          <w:left w:val="single" w:sz="2" w:space="4" w:color="auto"/>
          <w:bottom w:val="single" w:sz="2" w:space="1" w:color="auto"/>
          <w:right w:val="single" w:sz="2" w:space="4" w:color="auto"/>
        </w:pBdr>
        <w:rPr>
          <w:rFonts w:ascii="Verdana" w:hAnsi="Verdana"/>
          <w:i/>
        </w:rPr>
      </w:pPr>
      <w:r>
        <w:t>The Rating Decision dated {} granted a 10 percent evaluation for {} and another 10 percent evaluation for {} effective {}. The 10 percent for {} was based on {}. The 10 percent for {} was based on {}.</w:t>
      </w:r>
    </w:p>
    <w:p w:rsidR="007335EF" w:rsidRDefault="007335EF" w:rsidP="007335EF">
      <w:pPr>
        <w:pBdr>
          <w:top w:val="single" w:sz="2" w:space="1" w:color="auto"/>
          <w:left w:val="single" w:sz="2" w:space="4" w:color="auto"/>
          <w:bottom w:val="single" w:sz="2" w:space="1" w:color="auto"/>
          <w:right w:val="single" w:sz="2" w:space="4" w:color="auto"/>
        </w:pBdr>
      </w:pPr>
    </w:p>
    <w:p w:rsidR="007335EF" w:rsidRDefault="007335EF" w:rsidP="007335EF">
      <w:pPr>
        <w:pBdr>
          <w:top w:val="single" w:sz="2" w:space="1" w:color="auto"/>
          <w:left w:val="single" w:sz="2" w:space="4" w:color="auto"/>
          <w:bottom w:val="single" w:sz="2" w:space="1" w:color="auto"/>
          <w:right w:val="single" w:sz="2" w:space="4" w:color="auto"/>
        </w:pBdr>
        <w:rPr>
          <w:i/>
        </w:rPr>
      </w:pPr>
      <w:r>
        <w:t>VA policy says {}.</w:t>
      </w:r>
    </w:p>
    <w:p w:rsidR="007335EF" w:rsidRDefault="007335EF" w:rsidP="007335EF">
      <w:pPr>
        <w:pBdr>
          <w:top w:val="single" w:sz="2" w:space="1" w:color="auto"/>
          <w:left w:val="single" w:sz="2" w:space="4" w:color="auto"/>
          <w:bottom w:val="single" w:sz="2" w:space="1" w:color="auto"/>
          <w:right w:val="single" w:sz="2" w:space="4" w:color="auto"/>
        </w:pBdr>
      </w:pPr>
    </w:p>
    <w:p w:rsidR="007335EF" w:rsidRDefault="007335EF" w:rsidP="007335EF">
      <w:pPr>
        <w:pBdr>
          <w:top w:val="single" w:sz="2" w:space="1" w:color="auto"/>
          <w:left w:val="single" w:sz="2" w:space="4" w:color="auto"/>
          <w:bottom w:val="single" w:sz="2" w:space="1" w:color="auto"/>
          <w:right w:val="single" w:sz="2" w:space="4" w:color="auto"/>
        </w:pBdr>
      </w:pPr>
      <w:r>
        <w:t>A clear and unmistakable error occurred when separate 10 percent evaluations were assigned for {} and {}.</w:t>
      </w:r>
      <w:r>
        <w:rPr>
          <w:i/>
        </w:rPr>
        <w:t xml:space="preserve"> </w:t>
      </w:r>
      <w:r>
        <w:t>The conditions are proposed to be evaluated together as 10 percent disabling from {}.</w:t>
      </w:r>
    </w:p>
    <w:p w:rsidR="007335EF" w:rsidRDefault="007335EF" w:rsidP="007335EF">
      <w:pPr>
        <w:pBdr>
          <w:top w:val="single" w:sz="2" w:space="1" w:color="auto"/>
          <w:left w:val="single" w:sz="2" w:space="4" w:color="auto"/>
          <w:bottom w:val="single" w:sz="2" w:space="1" w:color="auto"/>
          <w:right w:val="single" w:sz="2" w:space="4" w:color="auto"/>
        </w:pBdr>
      </w:pPr>
    </w:p>
    <w:p w:rsidR="007335EF" w:rsidRDefault="007335EF" w:rsidP="007335EF">
      <w:pPr>
        <w:pBdr>
          <w:top w:val="single" w:sz="2" w:space="1" w:color="auto"/>
          <w:left w:val="single" w:sz="2" w:space="4" w:color="auto"/>
          <w:bottom w:val="single" w:sz="2" w:space="1" w:color="auto"/>
          <w:right w:val="single" w:sz="2" w:space="4" w:color="auto"/>
        </w:pBdr>
      </w:pPr>
      <w:r>
        <w:t>If the proposed reduction takes effect, your combined evaluation will be {} percent.</w:t>
      </w:r>
    </w:p>
    <w:p w:rsidR="007335EF" w:rsidRDefault="007335EF" w:rsidP="00195CBD">
      <w:pPr>
        <w:overflowPunct/>
        <w:textAlignment w:val="auto"/>
        <w:rPr>
          <w:rFonts w:ascii="Times New Roman" w:hAnsi="Times New Roman" w:cs="Times New Roman"/>
          <w:sz w:val="24"/>
          <w:szCs w:val="24"/>
        </w:rPr>
      </w:pPr>
    </w:p>
    <w:p w:rsidR="00135330" w:rsidRDefault="00135330" w:rsidP="00195CBD">
      <w:pPr>
        <w:overflowPunct/>
        <w:textAlignment w:val="auto"/>
        <w:rPr>
          <w:rFonts w:ascii="Times New Roman" w:hAnsi="Times New Roman" w:cs="Times New Roman"/>
          <w:sz w:val="24"/>
          <w:szCs w:val="24"/>
        </w:rPr>
      </w:pPr>
    </w:p>
    <w:p w:rsidR="00F47445" w:rsidRPr="00F47445" w:rsidRDefault="003000A7" w:rsidP="00135330">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rPr>
          <w:b/>
          <w:bCs/>
        </w:rPr>
      </w:pPr>
      <w:r>
        <w:rPr>
          <w:b/>
          <w:bCs/>
        </w:rPr>
        <w:lastRenderedPageBreak/>
        <w:t>s</w:t>
      </w:r>
      <w:r w:rsidR="00F47445">
        <w:rPr>
          <w:b/>
          <w:bCs/>
        </w:rPr>
        <w:t>car</w:t>
      </w:r>
      <w:r w:rsidR="00135330">
        <w:rPr>
          <w:b/>
          <w:bCs/>
        </w:rPr>
        <w:t>(s) included with SC disability &amp; wrong eff date</w:t>
      </w:r>
      <w:r w:rsidR="00F47445">
        <w:rPr>
          <w:b/>
          <w:bCs/>
        </w:rPr>
        <w:t>:</w:t>
      </w:r>
      <w:r w:rsidR="00F47445" w:rsidRPr="00B4605E">
        <w:t xml:space="preserve"> </w:t>
      </w:r>
    </w:p>
    <w:p w:rsidR="00F47445" w:rsidRDefault="00F47445" w:rsidP="00135330">
      <w:pPr>
        <w:pStyle w:val="Default"/>
        <w:pBdr>
          <w:top w:val="single" w:sz="4" w:space="1" w:color="auto"/>
          <w:left w:val="single" w:sz="4" w:space="4" w:color="auto"/>
          <w:bottom w:val="single" w:sz="4" w:space="1" w:color="auto"/>
          <w:right w:val="single" w:sz="4" w:space="4" w:color="auto"/>
        </w:pBdr>
        <w:rPr>
          <w:sz w:val="20"/>
          <w:szCs w:val="20"/>
        </w:rPr>
      </w:pPr>
      <w:r>
        <w:rPr>
          <w:i/>
          <w:sz w:val="20"/>
          <w:szCs w:val="20"/>
        </w:rPr>
        <w:t>Issue:</w:t>
      </w:r>
      <w:r>
        <w:rPr>
          <w:sz w:val="20"/>
          <w:szCs w:val="20"/>
        </w:rPr>
        <w:t xml:space="preserve">  Whether evaluating {</w:t>
      </w:r>
      <w:r w:rsidR="00135330">
        <w:rPr>
          <w:sz w:val="20"/>
          <w:szCs w:val="20"/>
        </w:rPr>
        <w:t>scar name</w:t>
      </w:r>
      <w:r>
        <w:rPr>
          <w:sz w:val="20"/>
          <w:szCs w:val="20"/>
        </w:rPr>
        <w:t xml:space="preserve">} </w:t>
      </w:r>
      <w:r w:rsidR="00135330">
        <w:rPr>
          <w:sz w:val="20"/>
          <w:szCs w:val="20"/>
        </w:rPr>
        <w:t xml:space="preserve">together </w:t>
      </w:r>
      <w:r>
        <w:rPr>
          <w:sz w:val="20"/>
          <w:szCs w:val="20"/>
        </w:rPr>
        <w:t xml:space="preserve">with </w:t>
      </w:r>
      <w:r w:rsidR="00135330">
        <w:rPr>
          <w:sz w:val="20"/>
          <w:szCs w:val="20"/>
        </w:rPr>
        <w:t>{disability name}</w:t>
      </w:r>
      <w:r>
        <w:rPr>
          <w:sz w:val="20"/>
          <w:szCs w:val="20"/>
        </w:rPr>
        <w:t xml:space="preserve"> was clearly and unmistakably erroneous. Whether the effective date of </w:t>
      </w:r>
      <w:r w:rsidR="00135330">
        <w:rPr>
          <w:sz w:val="20"/>
          <w:szCs w:val="20"/>
        </w:rPr>
        <w:t>{}</w:t>
      </w:r>
      <w:r>
        <w:rPr>
          <w:sz w:val="20"/>
          <w:szCs w:val="20"/>
        </w:rPr>
        <w:t xml:space="preserve"> was clearly and unmistakably erroneous.</w:t>
      </w:r>
    </w:p>
    <w:p w:rsidR="00F47445" w:rsidRDefault="00F47445" w:rsidP="00135330">
      <w:pPr>
        <w:pStyle w:val="Default"/>
        <w:pBdr>
          <w:top w:val="single" w:sz="4" w:space="1" w:color="auto"/>
          <w:left w:val="single" w:sz="4" w:space="4" w:color="auto"/>
          <w:bottom w:val="single" w:sz="4" w:space="1" w:color="auto"/>
          <w:right w:val="single" w:sz="4" w:space="4" w:color="auto"/>
        </w:pBdr>
        <w:rPr>
          <w:sz w:val="20"/>
          <w:szCs w:val="20"/>
        </w:rPr>
      </w:pPr>
    </w:p>
    <w:p w:rsidR="00135330" w:rsidRDefault="00F47445" w:rsidP="00135330">
      <w:pPr>
        <w:pStyle w:val="Default"/>
        <w:pBdr>
          <w:top w:val="single" w:sz="4" w:space="1" w:color="auto"/>
          <w:left w:val="single" w:sz="4" w:space="4" w:color="auto"/>
          <w:bottom w:val="single" w:sz="4" w:space="1" w:color="auto"/>
          <w:right w:val="single" w:sz="4" w:space="4" w:color="auto"/>
        </w:pBdr>
        <w:rPr>
          <w:sz w:val="20"/>
          <w:szCs w:val="20"/>
        </w:rPr>
      </w:pPr>
      <w:r>
        <w:rPr>
          <w:i/>
          <w:sz w:val="20"/>
          <w:szCs w:val="20"/>
        </w:rPr>
        <w:t>Decision:</w:t>
      </w:r>
      <w:r>
        <w:rPr>
          <w:sz w:val="20"/>
          <w:szCs w:val="20"/>
        </w:rPr>
        <w:t xml:space="preserve">  A clear and unmistakable error is found in the evaluation of </w:t>
      </w:r>
      <w:r w:rsidR="00135330">
        <w:rPr>
          <w:sz w:val="20"/>
          <w:szCs w:val="20"/>
        </w:rPr>
        <w:t>{scar name}</w:t>
      </w:r>
      <w:r>
        <w:rPr>
          <w:sz w:val="20"/>
          <w:szCs w:val="20"/>
        </w:rPr>
        <w:t xml:space="preserve"> </w:t>
      </w:r>
      <w:r w:rsidR="00135330">
        <w:rPr>
          <w:sz w:val="20"/>
          <w:szCs w:val="20"/>
        </w:rPr>
        <w:t>together with {disability name},</w:t>
      </w:r>
      <w:r>
        <w:rPr>
          <w:sz w:val="20"/>
          <w:szCs w:val="20"/>
        </w:rPr>
        <w:t xml:space="preserve"> and a separate evaluation of 0 percent is granted. A clear and unmistakable error is found in the effective date, and the effective date is now </w:t>
      </w:r>
      <w:r w:rsidR="00135330">
        <w:rPr>
          <w:sz w:val="20"/>
          <w:szCs w:val="20"/>
        </w:rPr>
        <w:t>{}.</w:t>
      </w:r>
    </w:p>
    <w:p w:rsidR="00135330" w:rsidRDefault="00135330" w:rsidP="00135330">
      <w:pPr>
        <w:pStyle w:val="Default"/>
        <w:pBdr>
          <w:top w:val="single" w:sz="4" w:space="1" w:color="auto"/>
          <w:left w:val="single" w:sz="4" w:space="4" w:color="auto"/>
          <w:bottom w:val="single" w:sz="4" w:space="1" w:color="auto"/>
          <w:right w:val="single" w:sz="4" w:space="4" w:color="auto"/>
        </w:pBdr>
        <w:rPr>
          <w:sz w:val="20"/>
          <w:szCs w:val="20"/>
        </w:rPr>
      </w:pPr>
    </w:p>
    <w:p w:rsidR="00F47445" w:rsidRPr="00135330" w:rsidRDefault="00F47445" w:rsidP="00135330">
      <w:pPr>
        <w:pStyle w:val="Default"/>
        <w:pBdr>
          <w:top w:val="single" w:sz="4" w:space="1" w:color="auto"/>
          <w:left w:val="single" w:sz="4" w:space="4" w:color="auto"/>
          <w:bottom w:val="single" w:sz="4" w:space="1" w:color="auto"/>
          <w:right w:val="single" w:sz="4" w:space="4" w:color="auto"/>
        </w:pBdr>
        <w:rPr>
          <w:sz w:val="16"/>
          <w:szCs w:val="20"/>
        </w:rPr>
      </w:pPr>
      <w:r w:rsidRPr="00135330">
        <w:rPr>
          <w:i/>
          <w:sz w:val="20"/>
        </w:rPr>
        <w:t>Reasons for Decision:</w:t>
      </w:r>
    </w:p>
    <w:p w:rsidR="00F47445" w:rsidRDefault="00F47445" w:rsidP="00135330">
      <w:pPr>
        <w:widowControl w:val="0"/>
        <w:pBdr>
          <w:top w:val="single" w:sz="4" w:space="1" w:color="auto"/>
          <w:left w:val="single" w:sz="4" w:space="4" w:color="auto"/>
          <w:bottom w:val="single" w:sz="4" w:space="1" w:color="auto"/>
          <w:right w:val="single" w:sz="4" w:space="4" w:color="auto"/>
        </w:pBdr>
        <w:rPr>
          <w:rFonts w:ascii="Verdana" w:hAnsi="Verdana"/>
          <w:b/>
        </w:rPr>
      </w:pPr>
      <w:r>
        <w:rPr>
          <w:rFonts w:ascii="Verdana" w:hAnsi="Verdana"/>
          <w:b/>
          <w:highlight w:val="green"/>
        </w:rPr>
        <w:t>USE VBMS-R System-Generated Text or CU1</w:t>
      </w:r>
      <w:r>
        <w:rPr>
          <w:rFonts w:ascii="Verdana" w:hAnsi="Verdana"/>
          <w:b/>
        </w:rPr>
        <w:t xml:space="preserve"> </w:t>
      </w:r>
    </w:p>
    <w:p w:rsidR="00F47445" w:rsidRDefault="00F47445" w:rsidP="00135330">
      <w:pPr>
        <w:widowControl w:val="0"/>
        <w:pBdr>
          <w:top w:val="single" w:sz="4" w:space="1" w:color="auto"/>
          <w:left w:val="single" w:sz="4" w:space="4" w:color="auto"/>
          <w:bottom w:val="single" w:sz="4" w:space="1" w:color="auto"/>
          <w:right w:val="single" w:sz="4" w:space="4" w:color="auto"/>
        </w:pBdr>
      </w:pPr>
    </w:p>
    <w:p w:rsidR="00F47445" w:rsidRDefault="00F47445" w:rsidP="00135330">
      <w:pPr>
        <w:widowControl w:val="0"/>
        <w:pBdr>
          <w:top w:val="single" w:sz="4" w:space="1" w:color="auto"/>
          <w:left w:val="single" w:sz="4" w:space="4" w:color="auto"/>
          <w:bottom w:val="single" w:sz="4" w:space="1" w:color="auto"/>
          <w:right w:val="single" w:sz="4" w:space="4" w:color="auto"/>
        </w:pBdr>
        <w:rPr>
          <w:rFonts w:ascii="Calibri" w:hAnsi="Calibri"/>
        </w:rPr>
      </w:pPr>
      <w:r>
        <w:t>{state facts from rating that is in error} The Rating Decision dated {}… The DBQ dated {} shows {}.</w:t>
      </w:r>
    </w:p>
    <w:p w:rsidR="00F47445" w:rsidRDefault="00F47445" w:rsidP="00135330">
      <w:pPr>
        <w:widowControl w:val="0"/>
        <w:pBdr>
          <w:top w:val="single" w:sz="4" w:space="1" w:color="auto"/>
          <w:left w:val="single" w:sz="4" w:space="4" w:color="auto"/>
          <w:bottom w:val="single" w:sz="4" w:space="1" w:color="auto"/>
          <w:right w:val="single" w:sz="4" w:space="4" w:color="auto"/>
        </w:pBdr>
      </w:pPr>
    </w:p>
    <w:p w:rsidR="00F47445" w:rsidRDefault="00135330" w:rsidP="00135330">
      <w:pPr>
        <w:widowControl w:val="0"/>
        <w:pBdr>
          <w:top w:val="single" w:sz="4" w:space="1" w:color="auto"/>
          <w:left w:val="single" w:sz="4" w:space="4" w:color="auto"/>
          <w:bottom w:val="single" w:sz="4" w:space="1" w:color="auto"/>
          <w:right w:val="single" w:sz="4" w:space="4" w:color="auto"/>
        </w:pBdr>
      </w:pPr>
      <w:r>
        <w:t>{state law} VA policy</w:t>
      </w:r>
      <w:r w:rsidR="00F47445">
        <w:t xml:space="preserve"> say</w:t>
      </w:r>
      <w:r>
        <w:t>s</w:t>
      </w:r>
      <w:r w:rsidR="00F47445">
        <w:t xml:space="preserve"> {}.</w:t>
      </w:r>
    </w:p>
    <w:p w:rsidR="00F47445" w:rsidRDefault="00F47445" w:rsidP="00135330">
      <w:pPr>
        <w:widowControl w:val="0"/>
        <w:pBdr>
          <w:top w:val="single" w:sz="4" w:space="1" w:color="auto"/>
          <w:left w:val="single" w:sz="4" w:space="4" w:color="auto"/>
          <w:bottom w:val="single" w:sz="4" w:space="1" w:color="auto"/>
          <w:right w:val="single" w:sz="4" w:space="4" w:color="auto"/>
        </w:pBdr>
        <w:tabs>
          <w:tab w:val="left" w:pos="2009"/>
        </w:tabs>
      </w:pPr>
    </w:p>
    <w:p w:rsidR="00F47445" w:rsidRDefault="00F47445" w:rsidP="00135330">
      <w:pPr>
        <w:widowControl w:val="0"/>
        <w:pBdr>
          <w:top w:val="single" w:sz="4" w:space="1" w:color="auto"/>
          <w:left w:val="single" w:sz="4" w:space="4" w:color="auto"/>
          <w:bottom w:val="single" w:sz="4" w:space="1" w:color="auto"/>
          <w:right w:val="single" w:sz="4" w:space="4" w:color="auto"/>
        </w:pBdr>
      </w:pPr>
      <w:r>
        <w:t xml:space="preserve">{state error &amp; why} A clear and unmistakable error occurred when {}. A separate evaluation of 0 percent is granted for </w:t>
      </w:r>
      <w:r w:rsidR="00135330">
        <w:t>{}</w:t>
      </w:r>
      <w:r>
        <w:t xml:space="preserve"> effective </w:t>
      </w:r>
      <w:r w:rsidR="00135330">
        <w:t>{}</w:t>
      </w:r>
      <w:r>
        <w:t>.</w:t>
      </w:r>
    </w:p>
    <w:p w:rsidR="00F47445" w:rsidRDefault="00F47445" w:rsidP="00135330">
      <w:pPr>
        <w:widowControl w:val="0"/>
        <w:pBdr>
          <w:top w:val="single" w:sz="4" w:space="1" w:color="auto"/>
          <w:left w:val="single" w:sz="4" w:space="4" w:color="auto"/>
          <w:bottom w:val="single" w:sz="4" w:space="1" w:color="auto"/>
          <w:right w:val="single" w:sz="4" w:space="4" w:color="auto"/>
        </w:pBdr>
        <w:rPr>
          <w:rFonts w:ascii="Calibri" w:hAnsi="Calibri" w:cs="Times New Roman"/>
          <w:sz w:val="22"/>
          <w:szCs w:val="22"/>
        </w:rPr>
      </w:pPr>
    </w:p>
    <w:p w:rsidR="00F47445" w:rsidRDefault="00F47445" w:rsidP="00135330">
      <w:pPr>
        <w:widowControl w:val="0"/>
        <w:pBdr>
          <w:top w:val="single" w:sz="4" w:space="1" w:color="auto"/>
          <w:left w:val="single" w:sz="4" w:space="4" w:color="auto"/>
          <w:bottom w:val="single" w:sz="4" w:space="1" w:color="auto"/>
          <w:right w:val="single" w:sz="4" w:space="4" w:color="auto"/>
        </w:pBdr>
      </w:pPr>
      <w:r>
        <w:rPr>
          <w:i/>
        </w:rPr>
        <w:t>If relevant, add:</w:t>
      </w:r>
      <w:r>
        <w:t xml:space="preserve">  The correction of this error does not reduce your combined evaluation.</w:t>
      </w:r>
    </w:p>
    <w:p w:rsidR="00F47445" w:rsidRDefault="00F47445" w:rsidP="00195CBD">
      <w:pPr>
        <w:overflowPunct/>
        <w:textAlignment w:val="auto"/>
        <w:rPr>
          <w:rFonts w:ascii="Times New Roman" w:hAnsi="Times New Roman" w:cs="Times New Roman"/>
          <w:sz w:val="24"/>
          <w:szCs w:val="24"/>
        </w:rPr>
      </w:pPr>
    </w:p>
    <w:p w:rsidR="00F47445" w:rsidRDefault="00F47445" w:rsidP="00195CBD">
      <w:pPr>
        <w:overflowPunct/>
        <w:textAlignment w:val="auto"/>
        <w:rPr>
          <w:rFonts w:ascii="Times New Roman" w:hAnsi="Times New Roman" w:cs="Times New Roman"/>
          <w:sz w:val="24"/>
          <w:szCs w:val="24"/>
        </w:rPr>
      </w:pPr>
    </w:p>
    <w:p w:rsidR="003000A7" w:rsidRPr="00F47445" w:rsidRDefault="003000A7" w:rsidP="003000A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rPr>
          <w:b/>
          <w:bCs/>
        </w:rPr>
      </w:pPr>
      <w:r>
        <w:rPr>
          <w:b/>
          <w:bCs/>
        </w:rPr>
        <w:t>surgical scar(s) not granted:</w:t>
      </w:r>
      <w:r w:rsidRPr="00B4605E">
        <w:t xml:space="preserve"> </w:t>
      </w:r>
    </w:p>
    <w:p w:rsidR="003000A7" w:rsidRDefault="003000A7" w:rsidP="003000A7">
      <w:pPr>
        <w:pStyle w:val="Default"/>
        <w:pBdr>
          <w:top w:val="single" w:sz="4" w:space="1" w:color="auto"/>
          <w:left w:val="single" w:sz="4" w:space="4" w:color="auto"/>
          <w:bottom w:val="single" w:sz="4" w:space="1" w:color="auto"/>
          <w:right w:val="single" w:sz="4" w:space="4" w:color="auto"/>
        </w:pBdr>
        <w:rPr>
          <w:sz w:val="20"/>
          <w:szCs w:val="20"/>
        </w:rPr>
      </w:pPr>
      <w:r>
        <w:rPr>
          <w:i/>
          <w:sz w:val="20"/>
          <w:szCs w:val="20"/>
        </w:rPr>
        <w:t>Issue:</w:t>
      </w:r>
      <w:r>
        <w:rPr>
          <w:sz w:val="20"/>
          <w:szCs w:val="20"/>
        </w:rPr>
        <w:t xml:space="preserve">  Whether </w:t>
      </w:r>
      <w:r w:rsidR="006C2369">
        <w:rPr>
          <w:sz w:val="20"/>
          <w:szCs w:val="20"/>
        </w:rPr>
        <w:t>the failure to</w:t>
      </w:r>
      <w:r>
        <w:rPr>
          <w:sz w:val="20"/>
          <w:szCs w:val="20"/>
        </w:rPr>
        <w:t xml:space="preserve"> </w:t>
      </w:r>
      <w:r w:rsidR="0047133F">
        <w:rPr>
          <w:sz w:val="20"/>
          <w:szCs w:val="20"/>
        </w:rPr>
        <w:t xml:space="preserve">establish </w:t>
      </w:r>
      <w:r w:rsidR="004F1CB9">
        <w:rPr>
          <w:sz w:val="20"/>
          <w:szCs w:val="20"/>
        </w:rPr>
        <w:t>service connection for surgical scars</w:t>
      </w:r>
      <w:r w:rsidR="00DB2EC8">
        <w:rPr>
          <w:sz w:val="20"/>
          <w:szCs w:val="20"/>
        </w:rPr>
        <w:t>, {}</w:t>
      </w:r>
      <w:r>
        <w:rPr>
          <w:sz w:val="20"/>
          <w:szCs w:val="20"/>
        </w:rPr>
        <w:t xml:space="preserve"> was clea</w:t>
      </w:r>
      <w:r w:rsidR="004F1CB9">
        <w:rPr>
          <w:sz w:val="20"/>
          <w:szCs w:val="20"/>
        </w:rPr>
        <w:t>rly and unmistakably erroneous.</w:t>
      </w:r>
    </w:p>
    <w:p w:rsidR="004F1CB9" w:rsidRDefault="004F1CB9" w:rsidP="003000A7">
      <w:pPr>
        <w:pStyle w:val="Default"/>
        <w:pBdr>
          <w:top w:val="single" w:sz="4" w:space="1" w:color="auto"/>
          <w:left w:val="single" w:sz="4" w:space="4" w:color="auto"/>
          <w:bottom w:val="single" w:sz="4" w:space="1" w:color="auto"/>
          <w:right w:val="single" w:sz="4" w:space="4" w:color="auto"/>
        </w:pBdr>
        <w:rPr>
          <w:sz w:val="20"/>
          <w:szCs w:val="20"/>
        </w:rPr>
      </w:pPr>
    </w:p>
    <w:p w:rsidR="003000A7" w:rsidRDefault="003000A7" w:rsidP="003000A7">
      <w:pPr>
        <w:pStyle w:val="Default"/>
        <w:pBdr>
          <w:top w:val="single" w:sz="4" w:space="1" w:color="auto"/>
          <w:left w:val="single" w:sz="4" w:space="4" w:color="auto"/>
          <w:bottom w:val="single" w:sz="4" w:space="1" w:color="auto"/>
          <w:right w:val="single" w:sz="4" w:space="4" w:color="auto"/>
        </w:pBdr>
        <w:rPr>
          <w:sz w:val="20"/>
          <w:szCs w:val="20"/>
        </w:rPr>
      </w:pPr>
      <w:r>
        <w:rPr>
          <w:i/>
          <w:sz w:val="20"/>
          <w:szCs w:val="20"/>
        </w:rPr>
        <w:t>Decision:</w:t>
      </w:r>
      <w:r>
        <w:rPr>
          <w:sz w:val="20"/>
          <w:szCs w:val="20"/>
        </w:rPr>
        <w:t xml:space="preserve">  </w:t>
      </w:r>
      <w:r w:rsidR="00B2402A">
        <w:rPr>
          <w:sz w:val="20"/>
          <w:szCs w:val="20"/>
        </w:rPr>
        <w:t xml:space="preserve">A clear and unmistakable error is found in the </w:t>
      </w:r>
      <w:r w:rsidR="00DB2EC8" w:rsidRPr="00DB2EC8">
        <w:rPr>
          <w:sz w:val="20"/>
        </w:rPr>
        <w:t>failure to establish service connection for surgical scars,</w:t>
      </w:r>
      <w:r w:rsidR="00B2402A">
        <w:rPr>
          <w:sz w:val="20"/>
        </w:rPr>
        <w:t xml:space="preserve"> and s</w:t>
      </w:r>
      <w:r w:rsidR="00DB2EC8" w:rsidRPr="00DB2EC8">
        <w:rPr>
          <w:sz w:val="20"/>
        </w:rPr>
        <w:t>ervice connection is established with an evaluation of {} percent effective {}.</w:t>
      </w:r>
    </w:p>
    <w:p w:rsidR="003000A7" w:rsidRDefault="003000A7" w:rsidP="003000A7">
      <w:pPr>
        <w:pStyle w:val="Default"/>
        <w:pBdr>
          <w:top w:val="single" w:sz="4" w:space="1" w:color="auto"/>
          <w:left w:val="single" w:sz="4" w:space="4" w:color="auto"/>
          <w:bottom w:val="single" w:sz="4" w:space="1" w:color="auto"/>
          <w:right w:val="single" w:sz="4" w:space="4" w:color="auto"/>
        </w:pBdr>
        <w:rPr>
          <w:sz w:val="20"/>
          <w:szCs w:val="20"/>
        </w:rPr>
      </w:pPr>
    </w:p>
    <w:p w:rsidR="003000A7" w:rsidRPr="00135330" w:rsidRDefault="003000A7" w:rsidP="003000A7">
      <w:pPr>
        <w:pStyle w:val="Default"/>
        <w:pBdr>
          <w:top w:val="single" w:sz="4" w:space="1" w:color="auto"/>
          <w:left w:val="single" w:sz="4" w:space="4" w:color="auto"/>
          <w:bottom w:val="single" w:sz="4" w:space="1" w:color="auto"/>
          <w:right w:val="single" w:sz="4" w:space="4" w:color="auto"/>
        </w:pBdr>
        <w:rPr>
          <w:sz w:val="16"/>
          <w:szCs w:val="20"/>
        </w:rPr>
      </w:pPr>
      <w:r w:rsidRPr="00135330">
        <w:rPr>
          <w:i/>
          <w:sz w:val="20"/>
        </w:rPr>
        <w:t>Reasons for Decision:</w:t>
      </w:r>
    </w:p>
    <w:p w:rsidR="003000A7" w:rsidRDefault="003000A7" w:rsidP="003000A7">
      <w:pPr>
        <w:widowControl w:val="0"/>
        <w:pBdr>
          <w:top w:val="single" w:sz="4" w:space="1" w:color="auto"/>
          <w:left w:val="single" w:sz="4" w:space="4" w:color="auto"/>
          <w:bottom w:val="single" w:sz="4" w:space="1" w:color="auto"/>
          <w:right w:val="single" w:sz="4" w:space="4" w:color="auto"/>
        </w:pBdr>
        <w:rPr>
          <w:rFonts w:ascii="Verdana" w:hAnsi="Verdana"/>
          <w:b/>
        </w:rPr>
      </w:pPr>
      <w:r>
        <w:rPr>
          <w:rFonts w:ascii="Verdana" w:hAnsi="Verdana"/>
          <w:b/>
          <w:highlight w:val="green"/>
        </w:rPr>
        <w:t>USE VBMS-R System-Generated Text or CU1</w:t>
      </w:r>
      <w:r>
        <w:rPr>
          <w:rFonts w:ascii="Verdana" w:hAnsi="Verdana"/>
          <w:b/>
        </w:rPr>
        <w:t xml:space="preserve"> </w:t>
      </w:r>
    </w:p>
    <w:p w:rsidR="003000A7" w:rsidRDefault="003000A7" w:rsidP="003000A7">
      <w:pPr>
        <w:widowControl w:val="0"/>
        <w:pBdr>
          <w:top w:val="single" w:sz="4" w:space="1" w:color="auto"/>
          <w:left w:val="single" w:sz="4" w:space="4" w:color="auto"/>
          <w:bottom w:val="single" w:sz="4" w:space="1" w:color="auto"/>
          <w:right w:val="single" w:sz="4" w:space="4" w:color="auto"/>
        </w:pBdr>
      </w:pPr>
    </w:p>
    <w:p w:rsidR="00DB2EC8" w:rsidRDefault="00DB2EC8" w:rsidP="00DB2EC8">
      <w:pPr>
        <w:widowControl w:val="0"/>
        <w:pBdr>
          <w:top w:val="single" w:sz="4" w:space="1" w:color="auto"/>
          <w:left w:val="single" w:sz="4" w:space="4" w:color="auto"/>
          <w:bottom w:val="single" w:sz="4" w:space="1" w:color="auto"/>
          <w:right w:val="single" w:sz="4" w:space="4" w:color="auto"/>
        </w:pBdr>
      </w:pPr>
      <w:r w:rsidRPr="00964EE0">
        <w:t>The Rating Decision</w:t>
      </w:r>
      <w:r>
        <w:t xml:space="preserve"> dated {} failed to establish service connection for surgical scars, {}. The DBQ dated {} shows {}. Service connection is warranted.</w:t>
      </w:r>
    </w:p>
    <w:p w:rsidR="00C76496" w:rsidRDefault="00C76496" w:rsidP="00C76496">
      <w:pPr>
        <w:widowControl w:val="0"/>
        <w:pBdr>
          <w:top w:val="single" w:sz="4" w:space="1" w:color="auto"/>
          <w:left w:val="single" w:sz="4" w:space="4" w:color="auto"/>
          <w:bottom w:val="single" w:sz="4" w:space="1" w:color="auto"/>
          <w:right w:val="single" w:sz="4" w:space="4" w:color="auto"/>
        </w:pBdr>
        <w:rPr>
          <w:rFonts w:ascii="Calibri" w:hAnsi="Calibri"/>
        </w:rPr>
      </w:pPr>
    </w:p>
    <w:p w:rsidR="00C76496" w:rsidRPr="00C76496" w:rsidRDefault="00C76496" w:rsidP="00C76496">
      <w:pPr>
        <w:widowControl w:val="0"/>
        <w:pBdr>
          <w:top w:val="single" w:sz="4" w:space="1" w:color="auto"/>
          <w:left w:val="single" w:sz="4" w:space="4" w:color="auto"/>
          <w:bottom w:val="single" w:sz="4" w:space="1" w:color="auto"/>
          <w:right w:val="single" w:sz="4" w:space="4" w:color="auto"/>
        </w:pBdr>
        <w:rPr>
          <w:rFonts w:ascii="Calibri" w:hAnsi="Calibri"/>
        </w:rPr>
      </w:pPr>
      <w:r w:rsidRPr="00C76496">
        <w:rPr>
          <w:rFonts w:cstheme="minorBidi"/>
        </w:rPr>
        <w:t>VA policy states that</w:t>
      </w:r>
      <w:r>
        <w:rPr>
          <w:rFonts w:cstheme="minorBidi"/>
        </w:rPr>
        <w:t xml:space="preserve"> a </w:t>
      </w:r>
      <w:r>
        <w:t xml:space="preserve">scar </w:t>
      </w:r>
      <w:r w:rsidRPr="00C76496">
        <w:t xml:space="preserve">from surgical intervention </w:t>
      </w:r>
      <w:r>
        <w:t>is</w:t>
      </w:r>
      <w:r w:rsidRPr="00C76496">
        <w:t xml:space="preserve"> an issue within the scope of the claim and a complication of the claimed issue.</w:t>
      </w:r>
    </w:p>
    <w:p w:rsidR="003000A7" w:rsidRDefault="003000A7" w:rsidP="003000A7">
      <w:pPr>
        <w:widowControl w:val="0"/>
        <w:pBdr>
          <w:top w:val="single" w:sz="4" w:space="1" w:color="auto"/>
          <w:left w:val="single" w:sz="4" w:space="4" w:color="auto"/>
          <w:bottom w:val="single" w:sz="4" w:space="1" w:color="auto"/>
          <w:right w:val="single" w:sz="4" w:space="4" w:color="auto"/>
        </w:pBdr>
        <w:tabs>
          <w:tab w:val="left" w:pos="2009"/>
        </w:tabs>
      </w:pPr>
    </w:p>
    <w:p w:rsidR="00DB2EC8" w:rsidRDefault="00DB2EC8" w:rsidP="00DB2EC8">
      <w:pPr>
        <w:widowControl w:val="0"/>
        <w:pBdr>
          <w:top w:val="single" w:sz="4" w:space="1" w:color="auto"/>
          <w:left w:val="single" w:sz="4" w:space="4" w:color="auto"/>
          <w:bottom w:val="single" w:sz="4" w:space="1" w:color="auto"/>
          <w:right w:val="single" w:sz="4" w:space="4" w:color="auto"/>
        </w:pBdr>
      </w:pPr>
      <w:r>
        <w:t xml:space="preserve">As the previous decision was clearly and unmistakably erroneous, service connection is established for {} with an evaluation of {} percent effective {}. </w:t>
      </w:r>
    </w:p>
    <w:p w:rsidR="003000A7" w:rsidRDefault="003000A7" w:rsidP="00195CBD">
      <w:pPr>
        <w:overflowPunct/>
        <w:textAlignment w:val="auto"/>
        <w:rPr>
          <w:rFonts w:ascii="Times New Roman" w:hAnsi="Times New Roman" w:cs="Times New Roman"/>
          <w:sz w:val="24"/>
          <w:szCs w:val="24"/>
        </w:rPr>
      </w:pPr>
    </w:p>
    <w:p w:rsidR="00DB2EC8" w:rsidRDefault="00DB2EC8" w:rsidP="00195CBD">
      <w:pPr>
        <w:overflowPunct/>
        <w:textAlignment w:val="auto"/>
        <w:rPr>
          <w:rFonts w:ascii="Times New Roman" w:hAnsi="Times New Roman" w:cs="Times New Roman"/>
          <w:sz w:val="24"/>
          <w:szCs w:val="24"/>
        </w:rPr>
      </w:pPr>
    </w:p>
    <w:p w:rsidR="0047133F" w:rsidRDefault="0047133F" w:rsidP="0047133F">
      <w:pPr>
        <w:widowControl w:val="0"/>
        <w:pBdr>
          <w:top w:val="single" w:sz="4" w:space="1" w:color="auto"/>
          <w:left w:val="single" w:sz="4" w:space="4" w:color="auto"/>
          <w:bottom w:val="single" w:sz="4" w:space="1" w:color="auto"/>
          <w:right w:val="single" w:sz="4" w:space="4" w:color="auto"/>
        </w:pBdr>
        <w:rPr>
          <w:b/>
          <w:bCs/>
        </w:rPr>
      </w:pPr>
      <w:r>
        <w:rPr>
          <w:b/>
          <w:bCs/>
        </w:rPr>
        <w:t>Failure to address inferred issue:</w:t>
      </w:r>
    </w:p>
    <w:p w:rsidR="0047133F" w:rsidRDefault="0047133F" w:rsidP="0047133F">
      <w:pPr>
        <w:widowControl w:val="0"/>
        <w:pBdr>
          <w:top w:val="single" w:sz="4" w:space="1" w:color="auto"/>
          <w:left w:val="single" w:sz="4" w:space="4" w:color="auto"/>
          <w:bottom w:val="single" w:sz="4" w:space="1" w:color="auto"/>
          <w:right w:val="single" w:sz="4" w:space="4" w:color="auto"/>
        </w:pBdr>
        <w:outlineLvl w:val="0"/>
      </w:pPr>
      <w:r w:rsidRPr="00964EE0">
        <w:rPr>
          <w:i/>
        </w:rPr>
        <w:t>Issue:</w:t>
      </w:r>
      <w:r>
        <w:t xml:space="preserve">  Whether the failure to establish service connection for {} was clearly and unmistakable erroneous. </w:t>
      </w:r>
    </w:p>
    <w:p w:rsidR="0047133F" w:rsidRDefault="0047133F" w:rsidP="0047133F">
      <w:pPr>
        <w:widowControl w:val="0"/>
        <w:pBdr>
          <w:top w:val="single" w:sz="4" w:space="1" w:color="auto"/>
          <w:left w:val="single" w:sz="4" w:space="4" w:color="auto"/>
          <w:bottom w:val="single" w:sz="4" w:space="1" w:color="auto"/>
          <w:right w:val="single" w:sz="4" w:space="4" w:color="auto"/>
        </w:pBdr>
        <w:rPr>
          <w:i/>
        </w:rPr>
      </w:pPr>
    </w:p>
    <w:p w:rsidR="00B2402A" w:rsidRDefault="00B2402A" w:rsidP="00B2402A">
      <w:pPr>
        <w:pStyle w:val="Default"/>
        <w:pBdr>
          <w:top w:val="single" w:sz="4" w:space="1" w:color="auto"/>
          <w:left w:val="single" w:sz="4" w:space="4" w:color="auto"/>
          <w:bottom w:val="single" w:sz="4" w:space="1" w:color="auto"/>
          <w:right w:val="single" w:sz="4" w:space="4" w:color="auto"/>
        </w:pBdr>
        <w:rPr>
          <w:sz w:val="20"/>
          <w:szCs w:val="20"/>
        </w:rPr>
      </w:pPr>
      <w:r>
        <w:rPr>
          <w:i/>
          <w:sz w:val="20"/>
          <w:szCs w:val="20"/>
        </w:rPr>
        <w:t>Decision:</w:t>
      </w:r>
      <w:r>
        <w:rPr>
          <w:sz w:val="20"/>
          <w:szCs w:val="20"/>
        </w:rPr>
        <w:t xml:space="preserve">  A clear and unmistakable error is found in the </w:t>
      </w:r>
      <w:r w:rsidRPr="00DB2EC8">
        <w:rPr>
          <w:sz w:val="20"/>
        </w:rPr>
        <w:t xml:space="preserve">failure to establish service connection for </w:t>
      </w:r>
      <w:r>
        <w:rPr>
          <w:sz w:val="20"/>
        </w:rPr>
        <w:t>{}</w:t>
      </w:r>
      <w:r w:rsidRPr="00DB2EC8">
        <w:rPr>
          <w:sz w:val="20"/>
        </w:rPr>
        <w:t>,</w:t>
      </w:r>
      <w:r>
        <w:rPr>
          <w:sz w:val="20"/>
        </w:rPr>
        <w:t xml:space="preserve"> and s</w:t>
      </w:r>
      <w:r w:rsidRPr="00DB2EC8">
        <w:rPr>
          <w:sz w:val="20"/>
        </w:rPr>
        <w:t>ervice connection is established with an evaluation of {} percent effective {}.</w:t>
      </w:r>
    </w:p>
    <w:p w:rsidR="00B2402A" w:rsidRDefault="00B2402A" w:rsidP="0047133F">
      <w:pPr>
        <w:widowControl w:val="0"/>
        <w:pBdr>
          <w:top w:val="single" w:sz="4" w:space="1" w:color="auto"/>
          <w:left w:val="single" w:sz="4" w:space="4" w:color="auto"/>
          <w:bottom w:val="single" w:sz="4" w:space="1" w:color="auto"/>
          <w:right w:val="single" w:sz="4" w:space="4" w:color="auto"/>
        </w:pBdr>
      </w:pPr>
    </w:p>
    <w:p w:rsidR="0047133F" w:rsidRPr="00964EE0" w:rsidRDefault="0047133F" w:rsidP="0047133F">
      <w:pPr>
        <w:widowControl w:val="0"/>
        <w:pBdr>
          <w:top w:val="single" w:sz="4" w:space="1" w:color="auto"/>
          <w:left w:val="single" w:sz="4" w:space="4" w:color="auto"/>
          <w:bottom w:val="single" w:sz="4" w:space="1" w:color="auto"/>
          <w:right w:val="single" w:sz="4" w:space="4" w:color="auto"/>
        </w:pBdr>
        <w:rPr>
          <w:i/>
        </w:rPr>
      </w:pPr>
      <w:r w:rsidRPr="00964EE0">
        <w:rPr>
          <w:i/>
        </w:rPr>
        <w:t>Reasons for Decision:</w:t>
      </w:r>
    </w:p>
    <w:p w:rsidR="0047133F" w:rsidRDefault="0047133F" w:rsidP="0047133F">
      <w:pPr>
        <w:widowControl w:val="0"/>
        <w:pBdr>
          <w:top w:val="single" w:sz="4" w:space="1" w:color="auto"/>
          <w:left w:val="single" w:sz="4" w:space="4" w:color="auto"/>
          <w:bottom w:val="single" w:sz="4" w:space="1" w:color="auto"/>
          <w:right w:val="single" w:sz="4" w:space="4" w:color="auto"/>
        </w:pBdr>
        <w:rPr>
          <w:rFonts w:ascii="Verdana" w:hAnsi="Verdana"/>
          <w:b/>
        </w:rPr>
      </w:pPr>
      <w:r w:rsidRPr="004E16AB">
        <w:rPr>
          <w:rFonts w:ascii="Verdana" w:hAnsi="Verdana"/>
          <w:b/>
          <w:highlight w:val="green"/>
        </w:rPr>
        <w:t xml:space="preserve">USE </w:t>
      </w:r>
      <w:r>
        <w:rPr>
          <w:rFonts w:ascii="Verdana" w:hAnsi="Verdana"/>
          <w:b/>
          <w:highlight w:val="green"/>
        </w:rPr>
        <w:t>VBMS-R System-Generated Text or CU1</w:t>
      </w:r>
      <w:r>
        <w:rPr>
          <w:rFonts w:ascii="Verdana" w:hAnsi="Verdana"/>
          <w:b/>
        </w:rPr>
        <w:t xml:space="preserve"> </w:t>
      </w:r>
    </w:p>
    <w:p w:rsidR="0047133F" w:rsidRDefault="0047133F" w:rsidP="0047133F">
      <w:pPr>
        <w:widowControl w:val="0"/>
        <w:pBdr>
          <w:top w:val="single" w:sz="4" w:space="1" w:color="auto"/>
          <w:left w:val="single" w:sz="4" w:space="4" w:color="auto"/>
          <w:bottom w:val="single" w:sz="4" w:space="1" w:color="auto"/>
          <w:right w:val="single" w:sz="4" w:space="4" w:color="auto"/>
        </w:pBdr>
        <w:rPr>
          <w:rFonts w:ascii="Verdana" w:hAnsi="Verdana"/>
          <w:b/>
        </w:rPr>
      </w:pPr>
    </w:p>
    <w:p w:rsidR="0047133F" w:rsidRDefault="0047133F" w:rsidP="0047133F">
      <w:pPr>
        <w:widowControl w:val="0"/>
        <w:pBdr>
          <w:top w:val="single" w:sz="4" w:space="1" w:color="auto"/>
          <w:left w:val="single" w:sz="4" w:space="4" w:color="auto"/>
          <w:bottom w:val="single" w:sz="4" w:space="1" w:color="auto"/>
          <w:right w:val="single" w:sz="4" w:space="4" w:color="auto"/>
        </w:pBdr>
      </w:pPr>
      <w:r w:rsidRPr="00964EE0">
        <w:t>The Rating Decision</w:t>
      </w:r>
      <w:r>
        <w:t xml:space="preserve"> dated {} failed to establish service connection for {}. The service treatment records show {}. The DBQ dated {} shows {}. Service connection is warranted.</w:t>
      </w:r>
    </w:p>
    <w:p w:rsidR="0047133F" w:rsidRDefault="0047133F" w:rsidP="0047133F">
      <w:pPr>
        <w:widowControl w:val="0"/>
        <w:pBdr>
          <w:top w:val="single" w:sz="4" w:space="1" w:color="auto"/>
          <w:left w:val="single" w:sz="4" w:space="4" w:color="auto"/>
          <w:bottom w:val="single" w:sz="4" w:space="1" w:color="auto"/>
          <w:right w:val="single" w:sz="4" w:space="4" w:color="auto"/>
        </w:pBdr>
      </w:pPr>
    </w:p>
    <w:p w:rsidR="00DB2EC8" w:rsidRDefault="00DB2EC8" w:rsidP="0047133F">
      <w:pPr>
        <w:widowControl w:val="0"/>
        <w:pBdr>
          <w:top w:val="single" w:sz="4" w:space="1" w:color="auto"/>
          <w:left w:val="single" w:sz="4" w:space="4" w:color="auto"/>
          <w:bottom w:val="single" w:sz="4" w:space="1" w:color="auto"/>
          <w:right w:val="single" w:sz="4" w:space="4" w:color="auto"/>
        </w:pBdr>
      </w:pPr>
      <w:r w:rsidRPr="00C76496">
        <w:rPr>
          <w:rFonts w:cstheme="minorBidi"/>
        </w:rPr>
        <w:t>VA policy states that</w:t>
      </w:r>
      <w:r>
        <w:rPr>
          <w:rFonts w:cstheme="minorBidi"/>
        </w:rPr>
        <w:t xml:space="preserve"> {} </w:t>
      </w:r>
      <w:r>
        <w:t>is</w:t>
      </w:r>
      <w:r w:rsidRPr="00C76496">
        <w:t xml:space="preserve"> an issue within the scope of the claim</w:t>
      </w:r>
      <w:r>
        <w:t xml:space="preserve"> for {}</w:t>
      </w:r>
      <w:r w:rsidRPr="00C76496">
        <w:t xml:space="preserve"> </w:t>
      </w:r>
      <w:r>
        <w:t>{</w:t>
      </w:r>
      <w:r w:rsidRPr="00C76496">
        <w:t>and</w:t>
      </w:r>
      <w:r>
        <w:t xml:space="preserve"> </w:t>
      </w:r>
      <w:r w:rsidRPr="00C76496">
        <w:t>a complication of the claimed issue</w:t>
      </w:r>
      <w:r>
        <w:t>}</w:t>
      </w:r>
      <w:r w:rsidRPr="00C76496">
        <w:t>.</w:t>
      </w:r>
    </w:p>
    <w:p w:rsidR="0047133F" w:rsidRDefault="0047133F" w:rsidP="0047133F">
      <w:pPr>
        <w:widowControl w:val="0"/>
        <w:pBdr>
          <w:top w:val="single" w:sz="4" w:space="1" w:color="auto"/>
          <w:left w:val="single" w:sz="4" w:space="4" w:color="auto"/>
          <w:bottom w:val="single" w:sz="4" w:space="1" w:color="auto"/>
          <w:right w:val="single" w:sz="4" w:space="4" w:color="auto"/>
        </w:pBdr>
      </w:pPr>
    </w:p>
    <w:p w:rsidR="0047133F" w:rsidRDefault="0047133F" w:rsidP="0047133F">
      <w:pPr>
        <w:widowControl w:val="0"/>
        <w:pBdr>
          <w:top w:val="single" w:sz="4" w:space="1" w:color="auto"/>
          <w:left w:val="single" w:sz="4" w:space="4" w:color="auto"/>
          <w:bottom w:val="single" w:sz="4" w:space="1" w:color="auto"/>
          <w:right w:val="single" w:sz="4" w:space="4" w:color="auto"/>
        </w:pBdr>
      </w:pPr>
      <w:r>
        <w:t xml:space="preserve">As the previous decision was clearly and unmistakably erroneous, service connection is established for {} with an evaluation of {} percent effective {}. </w:t>
      </w:r>
    </w:p>
    <w:p w:rsidR="003000A7" w:rsidRDefault="003000A7" w:rsidP="00195CBD">
      <w:pPr>
        <w:overflowPunct/>
        <w:textAlignment w:val="auto"/>
        <w:rPr>
          <w:rFonts w:ascii="Times New Roman" w:hAnsi="Times New Roman" w:cs="Times New Roman"/>
          <w:sz w:val="24"/>
          <w:szCs w:val="24"/>
        </w:rPr>
      </w:pPr>
    </w:p>
    <w:p w:rsidR="00DB2EC8" w:rsidRDefault="00DB2EC8" w:rsidP="00195CBD">
      <w:pPr>
        <w:overflowPunct/>
        <w:textAlignment w:val="auto"/>
        <w:rPr>
          <w:rFonts w:ascii="Times New Roman" w:hAnsi="Times New Roman" w:cs="Times New Roman"/>
          <w:sz w:val="24"/>
          <w:szCs w:val="24"/>
        </w:rPr>
      </w:pPr>
    </w:p>
    <w:p w:rsidR="00B4605E" w:rsidRPr="00DE2BD0" w:rsidRDefault="00B4605E" w:rsidP="00B4605E">
      <w:pPr>
        <w:pStyle w:val="Header"/>
        <w:widowControl w:val="0"/>
        <w:pBdr>
          <w:top w:val="single" w:sz="2" w:space="1" w:color="auto"/>
          <w:left w:val="single" w:sz="2" w:space="4" w:color="auto"/>
          <w:bottom w:val="single" w:sz="2" w:space="1" w:color="auto"/>
          <w:right w:val="single" w:sz="2" w:space="4" w:color="auto"/>
        </w:pBdr>
        <w:tabs>
          <w:tab w:val="clear" w:pos="4320"/>
          <w:tab w:val="clear" w:pos="8640"/>
        </w:tabs>
        <w:rPr>
          <w:b/>
          <w:bCs/>
          <w:highlight w:val="lightGray"/>
        </w:rPr>
      </w:pPr>
      <w:r w:rsidRPr="00DE2BD0">
        <w:rPr>
          <w:b/>
          <w:bCs/>
          <w:highlight w:val="lightGray"/>
        </w:rPr>
        <w:lastRenderedPageBreak/>
        <w:t>Two knee evals under 5258 &amp; 5260:</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r w:rsidRPr="00DE2BD0">
        <w:rPr>
          <w:i/>
          <w:highlight w:val="lightGray"/>
        </w:rPr>
        <w:t>Issue:</w:t>
      </w:r>
      <w:r w:rsidRPr="00DE2BD0">
        <w:rPr>
          <w:highlight w:val="lightGray"/>
        </w:rPr>
        <w:t xml:space="preserve">  Whether the assignment of a 20 percent evaluation for {}, and a separate 10 percent evaluation for {} was clearly and unmistakably erroneous. Evaluation of the current level of the {right/left} knee disability.</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r w:rsidRPr="00DE2BD0">
        <w:rPr>
          <w:i/>
          <w:highlight w:val="lightGray"/>
        </w:rPr>
        <w:t>Decision:</w:t>
      </w:r>
      <w:r w:rsidRPr="00DE2BD0">
        <w:rPr>
          <w:highlight w:val="lightGray"/>
        </w:rPr>
        <w:t xml:space="preserve">  A clear and unmistakable error is found in the assignment of a 20 percent evaluation for {} and a separate 10 percent evaluation for {}. The disability is now called {}, and is evaluated as 20 percent disabling from {}. Additionally, the 20 percent evaluation is proposed to be decreased to 10 percent.</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i/>
          <w:highlight w:val="lightGray"/>
        </w:rPr>
      </w:pPr>
      <w:r w:rsidRPr="00DE2BD0">
        <w:rPr>
          <w:i/>
          <w:highlight w:val="lightGray"/>
        </w:rPr>
        <w:t>Reasons for Decision:</w:t>
      </w:r>
    </w:p>
    <w:p w:rsidR="00B4605E" w:rsidRPr="00DE2BD0" w:rsidRDefault="006038C8" w:rsidP="00B4605E">
      <w:pPr>
        <w:widowControl w:val="0"/>
        <w:pBdr>
          <w:top w:val="single" w:sz="2" w:space="1" w:color="auto"/>
          <w:left w:val="single" w:sz="2" w:space="4" w:color="auto"/>
          <w:bottom w:val="single" w:sz="2" w:space="1" w:color="auto"/>
          <w:right w:val="single" w:sz="2" w:space="4" w:color="auto"/>
        </w:pBdr>
        <w:rPr>
          <w:rFonts w:ascii="Verdana" w:hAnsi="Verdana"/>
          <w:b/>
          <w:highlight w:val="lightGray"/>
        </w:rPr>
      </w:pPr>
      <w:r w:rsidRPr="00DE2BD0">
        <w:rPr>
          <w:rFonts w:ascii="Verdana" w:hAnsi="Verdana"/>
          <w:b/>
          <w:highlight w:val="lightGray"/>
        </w:rPr>
        <w:t xml:space="preserve">USE </w:t>
      </w:r>
      <w:r w:rsidR="00C551BE" w:rsidRPr="00DE2BD0">
        <w:rPr>
          <w:rFonts w:ascii="Verdana" w:hAnsi="Verdana"/>
          <w:b/>
          <w:highlight w:val="lightGray"/>
        </w:rPr>
        <w:t>VBMS-R System-Generated Text</w:t>
      </w:r>
      <w:r w:rsidRPr="00DE2BD0">
        <w:rPr>
          <w:rFonts w:ascii="Verdana" w:hAnsi="Verdana"/>
          <w:b/>
          <w:highlight w:val="lightGray"/>
        </w:rPr>
        <w:t xml:space="preserve"> or </w:t>
      </w:r>
      <w:r w:rsidR="00B4605E" w:rsidRPr="00DE2BD0">
        <w:rPr>
          <w:rFonts w:ascii="Verdana" w:hAnsi="Verdana"/>
          <w:b/>
          <w:highlight w:val="lightGray"/>
        </w:rPr>
        <w:t xml:space="preserve">CU1 </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p>
    <w:p w:rsidR="00B4605E" w:rsidRPr="00DE2BD0" w:rsidRDefault="00B4605E" w:rsidP="00B4605E">
      <w:pPr>
        <w:pBdr>
          <w:top w:val="single" w:sz="2" w:space="1" w:color="auto"/>
          <w:left w:val="single" w:sz="2" w:space="4" w:color="auto"/>
          <w:bottom w:val="single" w:sz="2" w:space="1" w:color="auto"/>
          <w:right w:val="single" w:sz="2" w:space="4" w:color="auto"/>
        </w:pBdr>
        <w:rPr>
          <w:i/>
          <w:highlight w:val="lightGray"/>
        </w:rPr>
      </w:pPr>
      <w:r w:rsidRPr="00DE2BD0">
        <w:rPr>
          <w:highlight w:val="lightGray"/>
        </w:rPr>
        <w:t>The Rating Decision dated {} granted a 20 percent evaluation for {} based on a meniscus disability with swelling and locking.</w:t>
      </w:r>
      <w:r w:rsidRPr="00DE2BD0">
        <w:rPr>
          <w:i/>
          <w:highlight w:val="lightGray"/>
        </w:rPr>
        <w:t xml:space="preserve"> </w:t>
      </w:r>
      <w:r w:rsidRPr="00DE2BD0">
        <w:rPr>
          <w:highlight w:val="lightGray"/>
        </w:rPr>
        <w:t xml:space="preserve">The decision also granted a separate 10 percent evaluation for {} based on limitation of flexion. The service treatment records show a right ACL reconstruction and partial lateral meniscectomy. The {} examination/DBQ shows a diagnosis of {}. Based on the {} examination/DBQ results, only one 20 percent evaluation is warranted for dislocated semilunar cartilage with frequent episodes of "locking," pain, and effusion into the joint, and x-ray evidence of traumatic arthritis along with any limitation of motion of the joint. </w:t>
      </w:r>
    </w:p>
    <w:p w:rsidR="00B4605E" w:rsidRPr="00DE2BD0" w:rsidRDefault="00B4605E" w:rsidP="00B4605E">
      <w:pPr>
        <w:pBdr>
          <w:top w:val="single" w:sz="2" w:space="1" w:color="auto"/>
          <w:left w:val="single" w:sz="2" w:space="4" w:color="auto"/>
          <w:bottom w:val="single" w:sz="2" w:space="1" w:color="auto"/>
          <w:right w:val="single" w:sz="2" w:space="4" w:color="auto"/>
        </w:pBdr>
        <w:rPr>
          <w:highlight w:val="lightGray"/>
        </w:rPr>
      </w:pPr>
    </w:p>
    <w:p w:rsidR="00B4605E" w:rsidRPr="00DE2BD0" w:rsidRDefault="00B4605E" w:rsidP="00B4605E">
      <w:pPr>
        <w:pStyle w:val="Default"/>
        <w:pBdr>
          <w:top w:val="single" w:sz="2" w:space="1" w:color="auto"/>
          <w:left w:val="single" w:sz="2" w:space="4" w:color="auto"/>
          <w:bottom w:val="single" w:sz="2" w:space="1" w:color="auto"/>
          <w:right w:val="single" w:sz="2" w:space="4" w:color="auto"/>
        </w:pBdr>
        <w:rPr>
          <w:sz w:val="20"/>
          <w:szCs w:val="20"/>
          <w:highlight w:val="lightGray"/>
        </w:rPr>
      </w:pPr>
      <w:r w:rsidRPr="00DE2BD0">
        <w:rPr>
          <w:sz w:val="20"/>
          <w:szCs w:val="20"/>
          <w:highlight w:val="lightGray"/>
        </w:rPr>
        <w:t>The Rating Decision dated {} continued the 20 percent evaluation for {} based on semilunar cartilage is dislocated with frequent episodes of "locking," pain, and effusion into the joint. The Rating Decision also continued the 10 percent evaluation for {} based on painful motion of the knee and x-ray evidence of traumatic arthritis. The {} DBQ diagnosed {}. Based on the DBQ results, only a 10 percent evaluation is warranted based on painful motion of the knee, symptomatic residuals of semilunar cartilage removal, and x-ray evidence of traumatic arthritis. However, sustained improvement was not demonstrated.</w:t>
      </w:r>
    </w:p>
    <w:p w:rsidR="00B4605E" w:rsidRPr="00DE2BD0" w:rsidRDefault="00B4605E" w:rsidP="00B4605E">
      <w:pPr>
        <w:pBdr>
          <w:top w:val="single" w:sz="2" w:space="1" w:color="auto"/>
          <w:left w:val="single" w:sz="2" w:space="4" w:color="auto"/>
          <w:bottom w:val="single" w:sz="2" w:space="1" w:color="auto"/>
          <w:right w:val="single" w:sz="2" w:space="4" w:color="auto"/>
        </w:pBdr>
        <w:rPr>
          <w:highlight w:val="lightGray"/>
        </w:rPr>
      </w:pP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r w:rsidRPr="00DE2BD0">
        <w:rPr>
          <w:highlight w:val="lightGray"/>
        </w:rPr>
        <w:t>VA regulations do not allow the assignment of separate evaluations under the rating criteria for “Cartilage, semilunar, dislocated, with frequent episodes of “locking,” pain, and effusion into the joint” and for “Leg, limitation of flexion of” as the evaluation criteria for “Cartilage, semilunar, dislocated, with frequent episodes of “locking,” pain, and effusion into the joint” includes any limitation of motion from pain and effusion. VA regulations say “The evaluation of the same disability under various diagnoses is to be avoided. Disability from injuries to the muscles, nerves, and joints of an extremity may overlap to a great extent, so that special rules are included in the appropriate bodily system for their evaluation… Both the use of manifestations not resulting from service-connected disease or injury in establishing the service-connected evaluation, and the evaluation of the same manifestation under different diagnoses are to be avoided.”</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r w:rsidRPr="00DE2BD0">
        <w:rPr>
          <w:highlight w:val="lightGray"/>
        </w:rPr>
        <w:t xml:space="preserve">A clear and unmistakable error occurred when a 20 percent evaluation was assigned for </w:t>
      </w:r>
      <w:r w:rsidR="004D5352" w:rsidRPr="00DE2BD0">
        <w:rPr>
          <w:highlight w:val="lightGray"/>
        </w:rPr>
        <w:t>{}</w:t>
      </w:r>
      <w:r w:rsidRPr="00DE2BD0">
        <w:rPr>
          <w:highlight w:val="lightGray"/>
        </w:rPr>
        <w:t xml:space="preserve">, and a separate 10 percent evaluation was assigned for </w:t>
      </w:r>
      <w:r w:rsidR="004D5352" w:rsidRPr="00DE2BD0">
        <w:rPr>
          <w:highlight w:val="lightGray"/>
        </w:rPr>
        <w:t>{}</w:t>
      </w:r>
      <w:r w:rsidRPr="00DE2BD0">
        <w:rPr>
          <w:highlight w:val="lightGray"/>
        </w:rPr>
        <w:t xml:space="preserve">. The disability is now called </w:t>
      </w:r>
      <w:r w:rsidR="004D5352" w:rsidRPr="00DE2BD0">
        <w:rPr>
          <w:highlight w:val="lightGray"/>
        </w:rPr>
        <w:t>{}</w:t>
      </w:r>
      <w:r w:rsidRPr="00DE2BD0">
        <w:rPr>
          <w:highlight w:val="lightGray"/>
        </w:rPr>
        <w:t xml:space="preserve">, and is evaluated as 20 percent disabling from </w:t>
      </w:r>
      <w:r w:rsidR="004D5352" w:rsidRPr="00DE2BD0">
        <w:rPr>
          <w:highlight w:val="lightGray"/>
        </w:rPr>
        <w:t>{}</w:t>
      </w:r>
      <w:r w:rsidRPr="00DE2BD0">
        <w:rPr>
          <w:highlight w:val="lightGray"/>
        </w:rPr>
        <w:t xml:space="preserve">. </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r w:rsidRPr="00DE2BD0">
        <w:rPr>
          <w:highlight w:val="lightGray"/>
        </w:rPr>
        <w:t xml:space="preserve">The correction of this error reduces your combined evaluation to </w:t>
      </w:r>
      <w:r w:rsidR="004D5352" w:rsidRPr="00DE2BD0">
        <w:rPr>
          <w:highlight w:val="lightGray"/>
        </w:rPr>
        <w:t>{}</w:t>
      </w:r>
      <w:r w:rsidRPr="00DE2BD0">
        <w:rPr>
          <w:highlight w:val="lightGray"/>
        </w:rPr>
        <w:t xml:space="preserve"> percent from </w:t>
      </w:r>
      <w:r w:rsidR="004D5352" w:rsidRPr="00DE2BD0">
        <w:rPr>
          <w:highlight w:val="lightGray"/>
        </w:rPr>
        <w:t>{}</w:t>
      </w:r>
      <w:r w:rsidRPr="00DE2BD0">
        <w:rPr>
          <w:highlight w:val="lightGray"/>
        </w:rPr>
        <w:t>.</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rPr>
          <w:highlight w:val="lightGray"/>
        </w:rPr>
      </w:pPr>
    </w:p>
    <w:p w:rsidR="00B4605E" w:rsidRPr="00DE2BD0" w:rsidRDefault="00B4605E" w:rsidP="00B4605E">
      <w:pPr>
        <w:pStyle w:val="CommentText"/>
        <w:pBdr>
          <w:top w:val="single" w:sz="2" w:space="1" w:color="auto"/>
          <w:left w:val="single" w:sz="2" w:space="4" w:color="auto"/>
          <w:bottom w:val="single" w:sz="2" w:space="1" w:color="auto"/>
          <w:right w:val="single" w:sz="2" w:space="4" w:color="auto"/>
        </w:pBdr>
        <w:rPr>
          <w:highlight w:val="lightGray"/>
        </w:rPr>
      </w:pPr>
      <w:r w:rsidRPr="00DE2BD0">
        <w:rPr>
          <w:highlight w:val="lightGray"/>
        </w:rPr>
        <w:t xml:space="preserve">Additionally, the </w:t>
      </w:r>
      <w:r w:rsidR="004D5352" w:rsidRPr="00DE2BD0">
        <w:rPr>
          <w:highlight w:val="lightGray"/>
        </w:rPr>
        <w:t>{}</w:t>
      </w:r>
      <w:r w:rsidRPr="00DE2BD0">
        <w:rPr>
          <w:highlight w:val="lightGray"/>
        </w:rPr>
        <w:t xml:space="preserve"> DBQ diagnosed </w:t>
      </w:r>
      <w:r w:rsidR="004D5352" w:rsidRPr="00DE2BD0">
        <w:rPr>
          <w:highlight w:val="lightGray"/>
        </w:rPr>
        <w:t>{}</w:t>
      </w:r>
      <w:r w:rsidRPr="00DE2BD0">
        <w:rPr>
          <w:highlight w:val="lightGray"/>
        </w:rPr>
        <w:t>. Based on the DBQ results, only a 10 percent evaluation is warranted based on painful motion of the knee, symptomatic residuals of semilunar cartilage removal, and x-ray evidence of traumatic arthritis. This is considered sustained improvement.</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tabs>
          <w:tab w:val="left" w:pos="0"/>
          <w:tab w:val="left" w:pos="144"/>
        </w:tabs>
        <w:rPr>
          <w:highlight w:val="lightGray"/>
        </w:rPr>
      </w:pP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tabs>
          <w:tab w:val="left" w:pos="0"/>
          <w:tab w:val="left" w:pos="144"/>
        </w:tabs>
        <w:rPr>
          <w:highlight w:val="lightGray"/>
        </w:rPr>
      </w:pPr>
      <w:r w:rsidRPr="00DE2BD0">
        <w:rPr>
          <w:highlight w:val="lightGray"/>
        </w:rPr>
        <w:t xml:space="preserve">We are proposing to decrease the evaluation to 10 percent because the </w:t>
      </w:r>
      <w:r w:rsidR="004D5352" w:rsidRPr="00DE2BD0">
        <w:rPr>
          <w:highlight w:val="lightGray"/>
        </w:rPr>
        <w:t xml:space="preserve">{} and {} </w:t>
      </w:r>
      <w:r w:rsidRPr="00DE2BD0">
        <w:rPr>
          <w:highlight w:val="lightGray"/>
        </w:rPr>
        <w:t xml:space="preserve">DBQs show sustained improvement as described above. Although you have been evaluated at 20 percent for </w:t>
      </w:r>
      <w:r w:rsidRPr="00DE2BD0">
        <w:rPr>
          <w:bCs/>
          <w:highlight w:val="lightGray"/>
        </w:rPr>
        <w:t>more than 5 years</w:t>
      </w:r>
      <w:r w:rsidRPr="00DE2BD0">
        <w:rPr>
          <w:highlight w:val="lightGray"/>
        </w:rPr>
        <w:t>, sustained improvement is shown and there is no other evidence to support this 20 percent evaluation.</w:t>
      </w:r>
    </w:p>
    <w:p w:rsidR="00B4605E" w:rsidRPr="00DE2BD0" w:rsidRDefault="00B4605E" w:rsidP="00B4605E">
      <w:pPr>
        <w:pStyle w:val="CommentText"/>
        <w:pBdr>
          <w:top w:val="single" w:sz="2" w:space="1" w:color="auto"/>
          <w:left w:val="single" w:sz="2" w:space="4" w:color="auto"/>
          <w:bottom w:val="single" w:sz="2" w:space="1" w:color="auto"/>
          <w:right w:val="single" w:sz="2" w:space="4" w:color="auto"/>
        </w:pBdr>
        <w:rPr>
          <w:highlight w:val="lightGray"/>
        </w:rPr>
      </w:pP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tabs>
          <w:tab w:val="left" w:pos="0"/>
          <w:tab w:val="left" w:pos="144"/>
        </w:tabs>
        <w:rPr>
          <w:highlight w:val="lightGray"/>
        </w:rPr>
      </w:pPr>
      <w:r w:rsidRPr="00DE2BD0">
        <w:rPr>
          <w:highlight w:val="lightGray"/>
        </w:rPr>
        <w:t>This proposal is based on the following:</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tabs>
          <w:tab w:val="left" w:pos="0"/>
          <w:tab w:val="left" w:pos="144"/>
        </w:tabs>
        <w:rPr>
          <w:highlight w:val="lightGray"/>
        </w:rPr>
      </w:pPr>
      <w:r w:rsidRPr="00DE2BD0">
        <w:rPr>
          <w:highlight w:val="lightGray"/>
        </w:rPr>
        <w:t>[add VEB/LEB/ Quick Reference Calculator: Evaluation Builder under Tools in VBMS-R info for proposed evaluation]</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tabs>
          <w:tab w:val="left" w:pos="0"/>
          <w:tab w:val="left" w:pos="144"/>
        </w:tabs>
        <w:rPr>
          <w:highlight w:val="lightGray"/>
        </w:rPr>
      </w:pP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tabs>
          <w:tab w:val="left" w:pos="0"/>
          <w:tab w:val="left" w:pos="144"/>
        </w:tabs>
        <w:rPr>
          <w:highlight w:val="lightGray"/>
        </w:rPr>
      </w:pPr>
      <w:r w:rsidRPr="00DE2BD0">
        <w:rPr>
          <w:highlight w:val="lightGray"/>
        </w:rPr>
        <w:t xml:space="preserve">If the proposed reduction takes effect, your combined evaluation will be </w:t>
      </w:r>
      <w:r w:rsidR="004D5352" w:rsidRPr="00DE2BD0">
        <w:rPr>
          <w:highlight w:val="lightGray"/>
        </w:rPr>
        <w:t>{}</w:t>
      </w:r>
      <w:r w:rsidRPr="00DE2BD0">
        <w:rPr>
          <w:highlight w:val="lightGray"/>
        </w:rPr>
        <w:t xml:space="preserve"> percent.</w:t>
      </w:r>
    </w:p>
    <w:p w:rsidR="00B4605E" w:rsidRPr="00DE2BD0" w:rsidRDefault="00B4605E" w:rsidP="00B4605E">
      <w:pPr>
        <w:widowControl w:val="0"/>
        <w:pBdr>
          <w:top w:val="single" w:sz="2" w:space="1" w:color="auto"/>
          <w:left w:val="single" w:sz="2" w:space="4" w:color="auto"/>
          <w:bottom w:val="single" w:sz="2" w:space="1" w:color="auto"/>
          <w:right w:val="single" w:sz="2" w:space="4" w:color="auto"/>
        </w:pBdr>
        <w:tabs>
          <w:tab w:val="left" w:pos="0"/>
          <w:tab w:val="left" w:pos="144"/>
        </w:tabs>
        <w:rPr>
          <w:iCs/>
          <w:highlight w:val="lightGray"/>
        </w:rPr>
      </w:pPr>
    </w:p>
    <w:p w:rsidR="00B4605E" w:rsidRDefault="00B4605E" w:rsidP="00B4605E">
      <w:pPr>
        <w:pStyle w:val="Header"/>
        <w:widowControl w:val="0"/>
        <w:pBdr>
          <w:top w:val="single" w:sz="2" w:space="1" w:color="auto"/>
          <w:left w:val="single" w:sz="2" w:space="4" w:color="auto"/>
          <w:bottom w:val="single" w:sz="2" w:space="1" w:color="auto"/>
          <w:right w:val="single" w:sz="2" w:space="4" w:color="auto"/>
        </w:pBdr>
        <w:tabs>
          <w:tab w:val="clear" w:pos="4320"/>
          <w:tab w:val="clear" w:pos="8640"/>
        </w:tabs>
        <w:rPr>
          <w:iCs/>
        </w:rPr>
      </w:pPr>
      <w:r w:rsidRPr="00DE2BD0">
        <w:rPr>
          <w:iCs/>
          <w:highlight w:val="lightGray"/>
        </w:rPr>
        <w:t>As this is a proposed action, you will have 60-days from the date of this notification letter to provide additional evidence to support why this action should not be taken or request a hearing.  If we do not receive a request for a hearing or additional evidence supporting the continued evaluation or entitlement to service connection for this condition, a new rating will be sent finalizing this proposed rating.  The effective date assigned will be the first of the month following 60-days from the date of that final notification letter to you.</w:t>
      </w:r>
    </w:p>
    <w:p w:rsidR="00DE2BD0" w:rsidRDefault="00DE2BD0" w:rsidP="00B4605E">
      <w:pPr>
        <w:pStyle w:val="Header"/>
        <w:widowControl w:val="0"/>
        <w:pBdr>
          <w:top w:val="single" w:sz="2" w:space="1" w:color="auto"/>
          <w:left w:val="single" w:sz="2" w:space="4" w:color="auto"/>
          <w:bottom w:val="single" w:sz="2" w:space="1" w:color="auto"/>
          <w:right w:val="single" w:sz="2" w:space="4" w:color="auto"/>
        </w:pBdr>
        <w:tabs>
          <w:tab w:val="clear" w:pos="4320"/>
          <w:tab w:val="clear" w:pos="8640"/>
        </w:tabs>
        <w:rPr>
          <w:bCs/>
        </w:rPr>
      </w:pPr>
      <w:r>
        <w:rPr>
          <w:bCs/>
        </w:rPr>
        <w:t xml:space="preserve">(changed 4/13/18, </w:t>
      </w:r>
      <w:r>
        <w:rPr>
          <w:b/>
          <w:bCs/>
        </w:rPr>
        <w:t>III.iv.4.A.6.f</w:t>
      </w:r>
      <w:r>
        <w:rPr>
          <w:bCs/>
        </w:rPr>
        <w:t xml:space="preserve">, per </w:t>
      </w:r>
      <w:r w:rsidRPr="001D3D0C">
        <w:rPr>
          <w:bCs/>
          <w:i/>
        </w:rPr>
        <w:t xml:space="preserve">Lyles v. Shulkin </w:t>
      </w:r>
      <w:r>
        <w:rPr>
          <w:bCs/>
        </w:rPr>
        <w:t>(2017)</w:t>
      </w:r>
    </w:p>
    <w:p w:rsidR="009F097B" w:rsidRPr="00B4605E" w:rsidRDefault="009F097B" w:rsidP="00B4605E">
      <w:pPr>
        <w:pStyle w:val="Header"/>
        <w:widowControl w:val="0"/>
        <w:pBdr>
          <w:top w:val="single" w:sz="2" w:space="1" w:color="auto"/>
          <w:left w:val="single" w:sz="2" w:space="4" w:color="auto"/>
          <w:bottom w:val="single" w:sz="2" w:space="1" w:color="auto"/>
          <w:right w:val="single" w:sz="2" w:space="4" w:color="auto"/>
        </w:pBdr>
        <w:tabs>
          <w:tab w:val="clear" w:pos="4320"/>
          <w:tab w:val="clear" w:pos="8640"/>
        </w:tabs>
        <w:rPr>
          <w:b/>
          <w:bCs/>
        </w:rPr>
      </w:pPr>
      <w:r>
        <w:rPr>
          <w:bCs/>
        </w:rPr>
        <w:t xml:space="preserve">NOT A CUE IF FOLLOWED PRIOR POLICY </w:t>
      </w:r>
      <w:r w:rsidR="00CA5CD0">
        <w:rPr>
          <w:bCs/>
        </w:rPr>
        <w:t>(before 4/13/18 changes)</w:t>
      </w:r>
    </w:p>
    <w:p w:rsidR="00B4605E" w:rsidRDefault="00B4605E" w:rsidP="00195CBD">
      <w:pPr>
        <w:overflowPunct/>
        <w:textAlignment w:val="auto"/>
        <w:rPr>
          <w:rFonts w:ascii="Times New Roman" w:hAnsi="Times New Roman" w:cs="Times New Roman"/>
          <w:sz w:val="24"/>
          <w:szCs w:val="24"/>
        </w:rPr>
      </w:pPr>
    </w:p>
    <w:p w:rsidR="00DB2EC8" w:rsidRDefault="00DB2EC8" w:rsidP="00195CBD">
      <w:pPr>
        <w:overflowPunct/>
        <w:textAlignment w:val="auto"/>
        <w:rPr>
          <w:rFonts w:ascii="Times New Roman" w:hAnsi="Times New Roman" w:cs="Times New Roman"/>
          <w:sz w:val="24"/>
          <w:szCs w:val="24"/>
        </w:rPr>
      </w:pPr>
    </w:p>
    <w:p w:rsidR="00013EB8" w:rsidRDefault="00013EB8">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rPr>
          <w:b/>
          <w:bCs/>
        </w:rPr>
      </w:pPr>
      <w:r>
        <w:rPr>
          <w:b/>
          <w:bCs/>
        </w:rPr>
        <w:t>Two limbs rated together:</w:t>
      </w:r>
    </w:p>
    <w:p w:rsidR="00013EB8" w:rsidRDefault="00964EE0">
      <w:pPr>
        <w:widowControl w:val="0"/>
        <w:pBdr>
          <w:top w:val="single" w:sz="4" w:space="1" w:color="auto"/>
          <w:left w:val="single" w:sz="4" w:space="4" w:color="auto"/>
          <w:bottom w:val="single" w:sz="4" w:space="1" w:color="auto"/>
          <w:right w:val="single" w:sz="4" w:space="4" w:color="auto"/>
        </w:pBdr>
      </w:pPr>
      <w:r w:rsidRPr="00964EE0">
        <w:rPr>
          <w:i/>
        </w:rPr>
        <w:t>Issue:</w:t>
      </w:r>
      <w:r>
        <w:t xml:space="preserve">  </w:t>
      </w:r>
      <w:r w:rsidR="00013EB8">
        <w:t>Whether the {evaluation assigned for amputation, all toes, both feet,} was clearly and unmistakably erroneous.</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964EE0">
      <w:pPr>
        <w:widowControl w:val="0"/>
        <w:pBdr>
          <w:top w:val="single" w:sz="4" w:space="1" w:color="auto"/>
          <w:left w:val="single" w:sz="4" w:space="4" w:color="auto"/>
          <w:bottom w:val="single" w:sz="4" w:space="1" w:color="auto"/>
          <w:right w:val="single" w:sz="4" w:space="4" w:color="auto"/>
        </w:pBdr>
      </w:pPr>
      <w:r w:rsidRPr="00964EE0">
        <w:rPr>
          <w:i/>
        </w:rPr>
        <w:t>Decision:</w:t>
      </w:r>
      <w:r>
        <w:t xml:space="preserve">  </w:t>
      </w:r>
      <w:r w:rsidR="00013EB8">
        <w:t xml:space="preserve">A clear and unmistakable error is found in the {evaluation of amputation, all toes, both feet, as each foot should </w:t>
      </w:r>
      <w:r w:rsidR="00B2402A">
        <w:t>have been evaluated separately.</w:t>
      </w:r>
      <w:r w:rsidR="00013EB8">
        <w:t xml:space="preserve"> Retroactive increased evaluations of 30 percent for each foot are established from March 21, 1946}.</w:t>
      </w:r>
    </w:p>
    <w:p w:rsidR="00013EB8" w:rsidRDefault="00013EB8">
      <w:pPr>
        <w:widowControl w:val="0"/>
        <w:rPr>
          <w:i/>
        </w:rPr>
      </w:pPr>
    </w:p>
    <w:p w:rsidR="00DB2EC8" w:rsidRDefault="00DB2EC8">
      <w:pPr>
        <w:widowControl w:val="0"/>
        <w:rPr>
          <w:i/>
        </w:rPr>
      </w:pPr>
    </w:p>
    <w:p w:rsidR="00013EB8" w:rsidRDefault="00013EB8">
      <w:pPr>
        <w:widowControl w:val="0"/>
        <w:pBdr>
          <w:top w:val="single" w:sz="4" w:space="1" w:color="auto"/>
          <w:left w:val="single" w:sz="4" w:space="4" w:color="auto"/>
          <w:bottom w:val="single" w:sz="4" w:space="1" w:color="auto"/>
          <w:right w:val="single" w:sz="4" w:space="4" w:color="auto"/>
        </w:pBdr>
        <w:rPr>
          <w:b/>
          <w:bCs/>
        </w:rPr>
      </w:pPr>
      <w:r>
        <w:rPr>
          <w:b/>
          <w:bCs/>
        </w:rPr>
        <w:t>SMC too low:</w:t>
      </w:r>
    </w:p>
    <w:p w:rsidR="00013EB8" w:rsidRDefault="00964EE0">
      <w:pPr>
        <w:widowControl w:val="0"/>
        <w:pBdr>
          <w:top w:val="single" w:sz="4" w:space="1" w:color="auto"/>
          <w:left w:val="single" w:sz="4" w:space="4" w:color="auto"/>
          <w:bottom w:val="single" w:sz="4" w:space="1" w:color="auto"/>
          <w:right w:val="single" w:sz="4" w:space="4" w:color="auto"/>
        </w:pBdr>
      </w:pPr>
      <w:r w:rsidRPr="00964EE0">
        <w:rPr>
          <w:i/>
        </w:rPr>
        <w:t>Issue:</w:t>
      </w:r>
      <w:r>
        <w:t xml:space="preserve">  </w:t>
      </w:r>
      <w:r w:rsidR="00013EB8">
        <w:t>Whether the assignment of the level of special monthly compensation was clearly and unmistakably erroneous.</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964EE0">
      <w:pPr>
        <w:widowControl w:val="0"/>
        <w:pBdr>
          <w:top w:val="single" w:sz="4" w:space="1" w:color="auto"/>
          <w:left w:val="single" w:sz="4" w:space="4" w:color="auto"/>
          <w:bottom w:val="single" w:sz="4" w:space="1" w:color="auto"/>
          <w:right w:val="single" w:sz="4" w:space="4" w:color="auto"/>
        </w:pBdr>
      </w:pPr>
      <w:r w:rsidRPr="00964EE0">
        <w:rPr>
          <w:i/>
        </w:rPr>
        <w:t>Decision:</w:t>
      </w:r>
      <w:r>
        <w:t xml:space="preserve">  </w:t>
      </w:r>
      <w:r w:rsidR="00013EB8">
        <w:t xml:space="preserve">A clear and unmistakable error is found in the assignment of the level of special monthly compensation, as the next higher level should have been assigned based on an additional independent 100 percent evaluation, and a retroactive increase to this higher level is assigned </w:t>
      </w:r>
      <w:r w:rsidR="00B2402A">
        <w:t>effective</w:t>
      </w:r>
      <w:r w:rsidR="00013EB8">
        <w:t xml:space="preserve"> </w:t>
      </w:r>
      <w:r w:rsidR="00A46221">
        <w:t>{}</w:t>
      </w:r>
      <w:r w:rsidR="00013EB8">
        <w:t>.</w:t>
      </w:r>
    </w:p>
    <w:p w:rsidR="00013EB8" w:rsidRDefault="00013EB8">
      <w:pPr>
        <w:widowControl w:val="0"/>
        <w:pBdr>
          <w:top w:val="single" w:sz="4" w:space="1" w:color="auto"/>
          <w:left w:val="single" w:sz="4" w:space="4" w:color="auto"/>
          <w:bottom w:val="single" w:sz="4" w:space="1" w:color="auto"/>
          <w:right w:val="single" w:sz="4" w:space="4" w:color="auto"/>
        </w:pBdr>
      </w:pPr>
      <w:r>
        <w:t xml:space="preserve">OR </w:t>
      </w:r>
    </w:p>
    <w:p w:rsidR="00013EB8" w:rsidRDefault="00013EB8">
      <w:pPr>
        <w:widowControl w:val="0"/>
        <w:pBdr>
          <w:top w:val="single" w:sz="4" w:space="1" w:color="auto"/>
          <w:left w:val="single" w:sz="4" w:space="4" w:color="auto"/>
          <w:bottom w:val="single" w:sz="4" w:space="1" w:color="auto"/>
          <w:right w:val="single" w:sz="4" w:space="4" w:color="auto"/>
        </w:pBdr>
      </w:pPr>
      <w:r>
        <w:t xml:space="preserve">A clear and unmistakable error is found in the assignment of the basic rate for aid and attendance, as you have an additional independent 100 percent evaluation, which allows for entitlement to the next higher statutory rate, and a retroactive increase to this higher level is assigned </w:t>
      </w:r>
      <w:r w:rsidR="00B2402A">
        <w:t>effective</w:t>
      </w:r>
      <w:r>
        <w:t xml:space="preserve"> </w:t>
      </w:r>
      <w:r w:rsidR="00A46221">
        <w:t>{}</w:t>
      </w:r>
      <w:r>
        <w:t xml:space="preserve">.  </w:t>
      </w:r>
    </w:p>
    <w:p w:rsidR="00013EB8" w:rsidRDefault="00013EB8">
      <w:pPr>
        <w:widowControl w:val="0"/>
      </w:pPr>
    </w:p>
    <w:p w:rsidR="00DB2EC8" w:rsidRDefault="00DB2EC8">
      <w:pPr>
        <w:widowControl w:val="0"/>
      </w:pPr>
    </w:p>
    <w:p w:rsidR="003A60B3" w:rsidRDefault="003A60B3" w:rsidP="003A60B3">
      <w:pPr>
        <w:widowControl w:val="0"/>
        <w:pBdr>
          <w:top w:val="single" w:sz="4" w:space="1" w:color="auto"/>
          <w:left w:val="single" w:sz="4" w:space="4" w:color="auto"/>
          <w:bottom w:val="single" w:sz="4" w:space="1" w:color="auto"/>
          <w:right w:val="single" w:sz="4" w:space="4" w:color="auto"/>
        </w:pBdr>
        <w:rPr>
          <w:b/>
          <w:bCs/>
        </w:rPr>
      </w:pPr>
      <w:r>
        <w:rPr>
          <w:b/>
          <w:bCs/>
        </w:rPr>
        <w:t>SMC S not granted:</w:t>
      </w:r>
    </w:p>
    <w:p w:rsidR="00F878CA" w:rsidRDefault="00F878CA" w:rsidP="003A60B3">
      <w:pPr>
        <w:widowControl w:val="0"/>
        <w:pBdr>
          <w:top w:val="single" w:sz="4" w:space="1" w:color="auto"/>
          <w:left w:val="single" w:sz="4" w:space="4" w:color="auto"/>
          <w:bottom w:val="single" w:sz="4" w:space="1" w:color="auto"/>
          <w:right w:val="single" w:sz="4" w:space="4" w:color="auto"/>
        </w:pBdr>
        <w:rPr>
          <w:b/>
          <w:bCs/>
        </w:rPr>
      </w:pPr>
    </w:p>
    <w:p w:rsidR="00F878CA" w:rsidRPr="00F878CA" w:rsidRDefault="00F878CA" w:rsidP="003A60B3">
      <w:pPr>
        <w:widowControl w:val="0"/>
        <w:pBdr>
          <w:top w:val="single" w:sz="4" w:space="1" w:color="auto"/>
          <w:left w:val="single" w:sz="4" w:space="4" w:color="auto"/>
          <w:bottom w:val="single" w:sz="4" w:space="1" w:color="auto"/>
          <w:right w:val="single" w:sz="4" w:space="4" w:color="auto"/>
        </w:pBdr>
        <w:rPr>
          <w:u w:val="single"/>
        </w:rPr>
      </w:pPr>
      <w:r>
        <w:rPr>
          <w:u w:val="single"/>
        </w:rPr>
        <w:t>Temporary 100%</w:t>
      </w:r>
      <w:r w:rsidRPr="00F878CA">
        <w:rPr>
          <w:u w:val="single"/>
        </w:rPr>
        <w:t>:</w:t>
      </w:r>
    </w:p>
    <w:p w:rsidR="003A60B3" w:rsidRDefault="003A60B3" w:rsidP="003A60B3">
      <w:pPr>
        <w:widowControl w:val="0"/>
        <w:pBdr>
          <w:top w:val="single" w:sz="4" w:space="1" w:color="auto"/>
          <w:left w:val="single" w:sz="4" w:space="4" w:color="auto"/>
          <w:bottom w:val="single" w:sz="4" w:space="1" w:color="auto"/>
          <w:right w:val="single" w:sz="4" w:space="4" w:color="auto"/>
        </w:pBdr>
      </w:pPr>
      <w:r w:rsidRPr="00964EE0">
        <w:rPr>
          <w:i/>
        </w:rPr>
        <w:t>Issue:</w:t>
      </w:r>
      <w:r>
        <w:t xml:space="preserve">  </w:t>
      </w:r>
      <w:r w:rsidRPr="003A60B3">
        <w:t>Whether the failure to establish entitlement to Special Monthly Compensation was a clear and unmistakable error.</w:t>
      </w:r>
    </w:p>
    <w:p w:rsidR="003A60B3" w:rsidRDefault="003A60B3" w:rsidP="003A60B3">
      <w:pPr>
        <w:widowControl w:val="0"/>
        <w:pBdr>
          <w:top w:val="single" w:sz="4" w:space="1" w:color="auto"/>
          <w:left w:val="single" w:sz="4" w:space="4" w:color="auto"/>
          <w:bottom w:val="single" w:sz="4" w:space="1" w:color="auto"/>
          <w:right w:val="single" w:sz="4" w:space="4" w:color="auto"/>
        </w:pBdr>
      </w:pPr>
    </w:p>
    <w:p w:rsidR="003A60B3" w:rsidRDefault="003A60B3" w:rsidP="003A60B3">
      <w:pPr>
        <w:widowControl w:val="0"/>
        <w:pBdr>
          <w:top w:val="single" w:sz="4" w:space="1" w:color="auto"/>
          <w:left w:val="single" w:sz="4" w:space="4" w:color="auto"/>
          <w:bottom w:val="single" w:sz="4" w:space="1" w:color="auto"/>
          <w:right w:val="single" w:sz="4" w:space="4" w:color="auto"/>
        </w:pBdr>
      </w:pPr>
      <w:r w:rsidRPr="00964EE0">
        <w:rPr>
          <w:i/>
        </w:rPr>
        <w:t>Decision:</w:t>
      </w:r>
      <w:r>
        <w:t xml:space="preserve">  </w:t>
      </w:r>
      <w:r w:rsidR="00B2402A">
        <w:t xml:space="preserve">A clear and unmistakable error is found in the </w:t>
      </w:r>
      <w:r w:rsidRPr="003A60B3">
        <w:t>failure to establish entitlement to Special Monthly Compensation</w:t>
      </w:r>
      <w:r w:rsidR="00B2402A">
        <w:t xml:space="preserve"> and e</w:t>
      </w:r>
      <w:r w:rsidRPr="003A60B3">
        <w:t xml:space="preserve">ntitlement is established based on </w:t>
      </w:r>
      <w:r w:rsidR="00B2402A">
        <w:t xml:space="preserve">the </w:t>
      </w:r>
      <w:r w:rsidRPr="003A60B3">
        <w:t>housebound</w:t>
      </w:r>
      <w:r>
        <w:t xml:space="preserve"> criteria being met</w:t>
      </w:r>
      <w:r w:rsidRPr="003A60B3">
        <w:t xml:space="preserve"> from </w:t>
      </w:r>
      <w:r>
        <w:t>{} to {}</w:t>
      </w:r>
      <w:r w:rsidRPr="003A60B3">
        <w:t>.</w:t>
      </w:r>
    </w:p>
    <w:p w:rsidR="003A60B3" w:rsidRDefault="003A60B3" w:rsidP="003A60B3">
      <w:pPr>
        <w:widowControl w:val="0"/>
        <w:pBdr>
          <w:top w:val="single" w:sz="4" w:space="1" w:color="auto"/>
          <w:left w:val="single" w:sz="4" w:space="4" w:color="auto"/>
          <w:bottom w:val="single" w:sz="4" w:space="1" w:color="auto"/>
          <w:right w:val="single" w:sz="4" w:space="4" w:color="auto"/>
        </w:pBdr>
      </w:pPr>
    </w:p>
    <w:p w:rsidR="003A60B3" w:rsidRDefault="003A60B3" w:rsidP="003A60B3">
      <w:pPr>
        <w:widowControl w:val="0"/>
        <w:pBdr>
          <w:top w:val="single" w:sz="4" w:space="1" w:color="auto"/>
          <w:left w:val="single" w:sz="4" w:space="4" w:color="auto"/>
          <w:bottom w:val="single" w:sz="4" w:space="1" w:color="auto"/>
          <w:right w:val="single" w:sz="4" w:space="4" w:color="auto"/>
        </w:pBdr>
        <w:rPr>
          <w:i/>
        </w:rPr>
      </w:pPr>
      <w:r w:rsidRPr="00964EE0">
        <w:rPr>
          <w:i/>
        </w:rPr>
        <w:t>Reasons for Decision:</w:t>
      </w:r>
    </w:p>
    <w:p w:rsidR="000059A3" w:rsidRDefault="000059A3" w:rsidP="000059A3">
      <w:pPr>
        <w:widowControl w:val="0"/>
        <w:pBdr>
          <w:top w:val="single" w:sz="4" w:space="1" w:color="auto"/>
          <w:left w:val="single" w:sz="4" w:space="4" w:color="auto"/>
          <w:bottom w:val="single" w:sz="4" w:space="1" w:color="auto"/>
          <w:right w:val="single" w:sz="4" w:space="4" w:color="auto"/>
        </w:pBdr>
        <w:rPr>
          <w:rFonts w:ascii="Verdana" w:hAnsi="Verdana"/>
          <w:b/>
        </w:rPr>
      </w:pPr>
      <w:r w:rsidRPr="004E16AB">
        <w:rPr>
          <w:rFonts w:ascii="Verdana" w:hAnsi="Verdana"/>
          <w:b/>
          <w:highlight w:val="green"/>
        </w:rPr>
        <w:t xml:space="preserve">USE </w:t>
      </w:r>
      <w:r w:rsidR="00C551BE">
        <w:rPr>
          <w:rFonts w:ascii="Verdana" w:hAnsi="Verdana"/>
          <w:b/>
          <w:highlight w:val="green"/>
        </w:rPr>
        <w:t>VBMS-R System-Generated Text</w:t>
      </w:r>
      <w:r w:rsidR="006038C8">
        <w:rPr>
          <w:rFonts w:ascii="Verdana" w:hAnsi="Verdana"/>
          <w:b/>
          <w:highlight w:val="green"/>
        </w:rPr>
        <w:t xml:space="preserve"> or </w:t>
      </w:r>
      <w:r>
        <w:rPr>
          <w:rFonts w:ascii="Verdana" w:hAnsi="Verdana"/>
          <w:b/>
          <w:highlight w:val="green"/>
        </w:rPr>
        <w:t>CU1</w:t>
      </w:r>
      <w:r>
        <w:rPr>
          <w:rFonts w:ascii="Verdana" w:hAnsi="Verdana"/>
          <w:b/>
        </w:rPr>
        <w:t xml:space="preserve"> </w:t>
      </w:r>
    </w:p>
    <w:p w:rsidR="000059A3" w:rsidRPr="00964EE0" w:rsidRDefault="000059A3" w:rsidP="003A60B3">
      <w:pPr>
        <w:widowControl w:val="0"/>
        <w:pBdr>
          <w:top w:val="single" w:sz="4" w:space="1" w:color="auto"/>
          <w:left w:val="single" w:sz="4" w:space="4" w:color="auto"/>
          <w:bottom w:val="single" w:sz="4" w:space="1" w:color="auto"/>
          <w:right w:val="single" w:sz="4" w:space="4" w:color="auto"/>
        </w:pBdr>
        <w:rPr>
          <w:i/>
        </w:rPr>
      </w:pPr>
    </w:p>
    <w:p w:rsidR="003A60B3" w:rsidRDefault="003A60B3" w:rsidP="003A60B3">
      <w:pPr>
        <w:widowControl w:val="0"/>
        <w:pBdr>
          <w:top w:val="single" w:sz="4" w:space="1" w:color="auto"/>
          <w:left w:val="single" w:sz="4" w:space="4" w:color="auto"/>
          <w:bottom w:val="single" w:sz="4" w:space="1" w:color="auto"/>
          <w:right w:val="single" w:sz="4" w:space="4" w:color="auto"/>
        </w:pBdr>
      </w:pPr>
      <w:r>
        <w:t>The Rating Decision dated {} failed to establish entitlement to Special Monthly Compensation based on housebound when a temporary evaluation of 100 percent was assigned from {} to {}, and there were separate and distinct service-connected disabilities, involving different anatomical segments/bodily systems, independently ratable at 60 percent.</w:t>
      </w:r>
    </w:p>
    <w:p w:rsidR="003A60B3" w:rsidRDefault="003A60B3" w:rsidP="003A60B3">
      <w:pPr>
        <w:widowControl w:val="0"/>
        <w:pBdr>
          <w:top w:val="single" w:sz="4" w:space="1" w:color="auto"/>
          <w:left w:val="single" w:sz="4" w:space="4" w:color="auto"/>
          <w:bottom w:val="single" w:sz="4" w:space="1" w:color="auto"/>
          <w:right w:val="single" w:sz="4" w:space="4" w:color="auto"/>
        </w:pBdr>
      </w:pPr>
    </w:p>
    <w:p w:rsidR="003A60B3" w:rsidRDefault="003A60B3" w:rsidP="003A60B3">
      <w:pPr>
        <w:widowControl w:val="0"/>
        <w:pBdr>
          <w:top w:val="single" w:sz="4" w:space="1" w:color="auto"/>
          <w:left w:val="single" w:sz="4" w:space="4" w:color="auto"/>
          <w:bottom w:val="single" w:sz="4" w:space="1" w:color="auto"/>
          <w:right w:val="single" w:sz="4" w:space="4" w:color="auto"/>
        </w:pBdr>
      </w:pPr>
      <w:r>
        <w:t>VA regulations say "The special monthly compensation provided by 38 U.S.C. 1114(s) is payable where the veteran has a single service-connected disability rated as 100 percent and, has additional service-connected disability or disabilities independently ratable at 60 percent, separate and distinct from the 100 percent service-connected disability and involving different anatomical segments or bodily systems..."</w:t>
      </w:r>
    </w:p>
    <w:p w:rsidR="003A60B3" w:rsidRDefault="003A60B3" w:rsidP="003A60B3">
      <w:pPr>
        <w:widowControl w:val="0"/>
        <w:pBdr>
          <w:top w:val="single" w:sz="4" w:space="1" w:color="auto"/>
          <w:left w:val="single" w:sz="4" w:space="4" w:color="auto"/>
          <w:bottom w:val="single" w:sz="4" w:space="1" w:color="auto"/>
          <w:right w:val="single" w:sz="4" w:space="4" w:color="auto"/>
        </w:pBdr>
      </w:pPr>
    </w:p>
    <w:p w:rsidR="003A60B3" w:rsidRDefault="003A60B3" w:rsidP="003A60B3">
      <w:pPr>
        <w:widowControl w:val="0"/>
        <w:pBdr>
          <w:top w:val="single" w:sz="4" w:space="1" w:color="auto"/>
          <w:left w:val="single" w:sz="4" w:space="4" w:color="auto"/>
          <w:bottom w:val="single" w:sz="4" w:space="1" w:color="auto"/>
          <w:right w:val="single" w:sz="4" w:space="4" w:color="auto"/>
        </w:pBdr>
      </w:pPr>
      <w:r>
        <w:t xml:space="preserve">A clear and unmistakable error occurred when entitlement to Special Monthly Compensation based on housebound was not established. </w:t>
      </w:r>
    </w:p>
    <w:p w:rsidR="003A60B3" w:rsidRDefault="003A60B3" w:rsidP="003A60B3">
      <w:pPr>
        <w:widowControl w:val="0"/>
        <w:pBdr>
          <w:top w:val="single" w:sz="4" w:space="1" w:color="auto"/>
          <w:left w:val="single" w:sz="4" w:space="4" w:color="auto"/>
          <w:bottom w:val="single" w:sz="4" w:space="1" w:color="auto"/>
          <w:right w:val="single" w:sz="4" w:space="4" w:color="auto"/>
        </w:pBdr>
      </w:pPr>
    </w:p>
    <w:p w:rsidR="003A60B3" w:rsidRDefault="003A60B3" w:rsidP="003A60B3">
      <w:pPr>
        <w:widowControl w:val="0"/>
        <w:pBdr>
          <w:top w:val="single" w:sz="4" w:space="1" w:color="auto"/>
          <w:left w:val="single" w:sz="4" w:space="4" w:color="auto"/>
          <w:bottom w:val="single" w:sz="4" w:space="1" w:color="auto"/>
          <w:right w:val="single" w:sz="4" w:space="4" w:color="auto"/>
        </w:pBdr>
      </w:pPr>
      <w:r>
        <w:t>Entitlement to special monthly compensation is warranted in this case because criteria regarding housebound were met from {} to {}.</w:t>
      </w:r>
    </w:p>
    <w:p w:rsidR="00B879F3" w:rsidRDefault="00B879F3" w:rsidP="003A60B3">
      <w:pPr>
        <w:widowControl w:val="0"/>
        <w:pBdr>
          <w:top w:val="single" w:sz="4" w:space="1" w:color="auto"/>
          <w:left w:val="single" w:sz="4" w:space="4" w:color="auto"/>
          <w:bottom w:val="single" w:sz="4" w:space="1" w:color="auto"/>
          <w:right w:val="single" w:sz="4" w:space="4" w:color="auto"/>
        </w:pBdr>
      </w:pPr>
    </w:p>
    <w:p w:rsidR="00B879F3" w:rsidRDefault="00B879F3" w:rsidP="003A60B3">
      <w:pPr>
        <w:widowControl w:val="0"/>
        <w:pBdr>
          <w:top w:val="single" w:sz="4" w:space="1" w:color="auto"/>
          <w:left w:val="single" w:sz="4" w:space="4" w:color="auto"/>
          <w:bottom w:val="single" w:sz="4" w:space="1" w:color="auto"/>
          <w:right w:val="single" w:sz="4" w:space="4" w:color="auto"/>
        </w:pBdr>
      </w:pPr>
      <w:r w:rsidRPr="00917DA7">
        <w:rPr>
          <w:i/>
        </w:rPr>
        <w:t>CUE Description:</w:t>
      </w:r>
      <w:r>
        <w:t xml:space="preserve"> </w:t>
      </w:r>
      <w:r w:rsidR="00917DA7">
        <w:t xml:space="preserve"> </w:t>
      </w:r>
      <w:r w:rsidR="002369C2">
        <w:t>RD</w:t>
      </w:r>
      <w:r>
        <w:t xml:space="preserve"> dated {} </w:t>
      </w:r>
      <w:r w:rsidRPr="00B879F3">
        <w:t>failed to establish entitlement to SMC S when g</w:t>
      </w:r>
      <w:r>
        <w:t>ranting a temporary 100% for</w:t>
      </w:r>
      <w:r w:rsidRPr="00B879F3">
        <w:t xml:space="preserve"> </w:t>
      </w:r>
      <w:r>
        <w:t>{disability name}</w:t>
      </w:r>
      <w:r w:rsidRPr="00B879F3">
        <w:t xml:space="preserve"> from </w:t>
      </w:r>
      <w:r>
        <w:t>{} to {}</w:t>
      </w:r>
      <w:r w:rsidRPr="00B879F3">
        <w:t xml:space="preserve">, and </w:t>
      </w:r>
      <w:r>
        <w:t>{disability name}</w:t>
      </w:r>
      <w:r w:rsidRPr="00B879F3">
        <w:t xml:space="preserve"> and</w:t>
      </w:r>
      <w:r>
        <w:t xml:space="preserve"> {disability name}</w:t>
      </w:r>
      <w:r w:rsidR="0050641E">
        <w:t xml:space="preserve"> combine</w:t>
      </w:r>
      <w:r w:rsidRPr="00B879F3">
        <w:t xml:space="preserve"> to a separate 60%.</w:t>
      </w:r>
    </w:p>
    <w:p w:rsidR="00517C68" w:rsidRDefault="00517C68" w:rsidP="003A60B3">
      <w:pPr>
        <w:widowControl w:val="0"/>
        <w:pBdr>
          <w:top w:val="single" w:sz="4" w:space="1" w:color="auto"/>
          <w:left w:val="single" w:sz="4" w:space="4" w:color="auto"/>
          <w:bottom w:val="single" w:sz="4" w:space="1" w:color="auto"/>
          <w:right w:val="single" w:sz="4" w:space="4" w:color="auto"/>
        </w:pBdr>
      </w:pPr>
    </w:p>
    <w:p w:rsidR="00517C68" w:rsidRDefault="00517C68" w:rsidP="003A60B3">
      <w:pPr>
        <w:widowControl w:val="0"/>
        <w:pBdr>
          <w:top w:val="single" w:sz="4" w:space="1" w:color="auto"/>
          <w:left w:val="single" w:sz="4" w:space="4" w:color="auto"/>
          <w:bottom w:val="single" w:sz="4" w:space="1" w:color="auto"/>
          <w:right w:val="single" w:sz="4" w:space="4" w:color="auto"/>
        </w:pBdr>
      </w:pPr>
    </w:p>
    <w:p w:rsidR="00517C68" w:rsidRPr="006D511F" w:rsidRDefault="00517C68" w:rsidP="003A60B3">
      <w:pPr>
        <w:widowControl w:val="0"/>
        <w:pBdr>
          <w:top w:val="single" w:sz="4" w:space="1" w:color="auto"/>
          <w:left w:val="single" w:sz="4" w:space="4" w:color="auto"/>
          <w:bottom w:val="single" w:sz="4" w:space="1" w:color="auto"/>
          <w:right w:val="single" w:sz="4" w:space="4" w:color="auto"/>
        </w:pBdr>
      </w:pPr>
      <w:r w:rsidRPr="00F878CA">
        <w:rPr>
          <w:u w:val="single"/>
        </w:rPr>
        <w:t>Bradley cases</w:t>
      </w:r>
      <w:r w:rsidR="006D511F">
        <w:rPr>
          <w:u w:val="single"/>
        </w:rPr>
        <w:t xml:space="preserve"> (effective 11/26/08)</w:t>
      </w:r>
      <w:r w:rsidRPr="006D511F">
        <w:t>:</w:t>
      </w:r>
    </w:p>
    <w:p w:rsidR="00F878CA" w:rsidRDefault="00F878CA" w:rsidP="00F878CA">
      <w:pPr>
        <w:widowControl w:val="0"/>
        <w:pBdr>
          <w:top w:val="single" w:sz="4" w:space="1" w:color="auto"/>
          <w:left w:val="single" w:sz="4" w:space="4" w:color="auto"/>
          <w:bottom w:val="single" w:sz="4" w:space="1" w:color="auto"/>
          <w:right w:val="single" w:sz="4" w:space="4" w:color="auto"/>
        </w:pBdr>
      </w:pPr>
      <w:bookmarkStart w:id="22" w:name="_Hlk517097363"/>
      <w:r w:rsidRPr="00964EE0">
        <w:rPr>
          <w:i/>
        </w:rPr>
        <w:t>Issue:</w:t>
      </w:r>
      <w:r>
        <w:t xml:space="preserve">  </w:t>
      </w:r>
      <w:r w:rsidRPr="003A60B3">
        <w:t>Whether the failure to establish entitlement to Special Monthly Compensation was a clear and unmistakable error.</w:t>
      </w:r>
    </w:p>
    <w:p w:rsidR="00F878CA" w:rsidRDefault="00F878CA" w:rsidP="00F878CA">
      <w:pPr>
        <w:widowControl w:val="0"/>
        <w:pBdr>
          <w:top w:val="single" w:sz="4" w:space="1" w:color="auto"/>
          <w:left w:val="single" w:sz="4" w:space="4" w:color="auto"/>
          <w:bottom w:val="single" w:sz="4" w:space="1" w:color="auto"/>
          <w:right w:val="single" w:sz="4" w:space="4" w:color="auto"/>
        </w:pBdr>
      </w:pPr>
    </w:p>
    <w:bookmarkEnd w:id="22"/>
    <w:p w:rsidR="00B2402A" w:rsidRDefault="00B2402A" w:rsidP="00B2402A">
      <w:pPr>
        <w:widowControl w:val="0"/>
        <w:pBdr>
          <w:top w:val="single" w:sz="4" w:space="1" w:color="auto"/>
          <w:left w:val="single" w:sz="4" w:space="4" w:color="auto"/>
          <w:bottom w:val="single" w:sz="4" w:space="1" w:color="auto"/>
          <w:right w:val="single" w:sz="4" w:space="4" w:color="auto"/>
        </w:pBdr>
      </w:pPr>
      <w:r w:rsidRPr="00964EE0">
        <w:rPr>
          <w:i/>
        </w:rPr>
        <w:t>Decision:</w:t>
      </w:r>
      <w:r>
        <w:t xml:space="preserve">  A clear and unmistakable error is found in the </w:t>
      </w:r>
      <w:r w:rsidRPr="003A60B3">
        <w:t>failure to establish entitlement to Special Monthly Compensation</w:t>
      </w:r>
      <w:r>
        <w:t xml:space="preserve"> and e</w:t>
      </w:r>
      <w:r w:rsidRPr="003A60B3">
        <w:t xml:space="preserve">ntitlement is established based on </w:t>
      </w:r>
      <w:r>
        <w:t xml:space="preserve">the </w:t>
      </w:r>
      <w:r w:rsidRPr="003A60B3">
        <w:t>housebound</w:t>
      </w:r>
      <w:r>
        <w:t xml:space="preserve"> criteria being met</w:t>
      </w:r>
      <w:r w:rsidRPr="003A60B3">
        <w:t xml:space="preserve"> from </w:t>
      </w:r>
      <w:r>
        <w:t>{} to {}</w:t>
      </w:r>
      <w:r w:rsidRPr="003A60B3">
        <w:t>.</w:t>
      </w:r>
    </w:p>
    <w:p w:rsidR="00F878CA" w:rsidRPr="00F878CA" w:rsidRDefault="00F878CA" w:rsidP="003A60B3">
      <w:pPr>
        <w:widowControl w:val="0"/>
        <w:pBdr>
          <w:top w:val="single" w:sz="4" w:space="1" w:color="auto"/>
          <w:left w:val="single" w:sz="4" w:space="4" w:color="auto"/>
          <w:bottom w:val="single" w:sz="4" w:space="1" w:color="auto"/>
          <w:right w:val="single" w:sz="4" w:space="4" w:color="auto"/>
        </w:pBdr>
        <w:rPr>
          <w:u w:val="single"/>
        </w:rPr>
      </w:pPr>
    </w:p>
    <w:p w:rsidR="0012149B" w:rsidRDefault="0012149B" w:rsidP="0012149B">
      <w:pPr>
        <w:widowControl w:val="0"/>
        <w:pBdr>
          <w:top w:val="single" w:sz="4" w:space="1" w:color="auto"/>
          <w:left w:val="single" w:sz="4" w:space="4" w:color="auto"/>
          <w:bottom w:val="single" w:sz="4" w:space="1" w:color="auto"/>
          <w:right w:val="single" w:sz="4" w:space="4" w:color="auto"/>
        </w:pBdr>
        <w:rPr>
          <w:i/>
        </w:rPr>
      </w:pPr>
      <w:r w:rsidRPr="00964EE0">
        <w:rPr>
          <w:i/>
        </w:rPr>
        <w:t>Reasons for Decision:</w:t>
      </w:r>
    </w:p>
    <w:p w:rsidR="000059A3" w:rsidRDefault="000059A3" w:rsidP="000059A3">
      <w:pPr>
        <w:widowControl w:val="0"/>
        <w:pBdr>
          <w:top w:val="single" w:sz="4" w:space="1" w:color="auto"/>
          <w:left w:val="single" w:sz="4" w:space="4" w:color="auto"/>
          <w:bottom w:val="single" w:sz="4" w:space="1" w:color="auto"/>
          <w:right w:val="single" w:sz="4" w:space="4" w:color="auto"/>
        </w:pBdr>
        <w:rPr>
          <w:rFonts w:ascii="Verdana" w:hAnsi="Verdana"/>
          <w:b/>
        </w:rPr>
      </w:pPr>
      <w:r w:rsidRPr="004E16AB">
        <w:rPr>
          <w:rFonts w:ascii="Verdana" w:hAnsi="Verdana"/>
          <w:b/>
          <w:highlight w:val="green"/>
        </w:rPr>
        <w:lastRenderedPageBreak/>
        <w:t xml:space="preserve">USE </w:t>
      </w:r>
      <w:r w:rsidR="00C551BE">
        <w:rPr>
          <w:rFonts w:ascii="Verdana" w:hAnsi="Verdana"/>
          <w:b/>
          <w:highlight w:val="green"/>
        </w:rPr>
        <w:t>VBMS-R System-Generated Text</w:t>
      </w:r>
      <w:r>
        <w:rPr>
          <w:rFonts w:ascii="Verdana" w:hAnsi="Verdana"/>
          <w:b/>
          <w:highlight w:val="green"/>
        </w:rPr>
        <w:t xml:space="preserve"> or CU1</w:t>
      </w:r>
      <w:r>
        <w:rPr>
          <w:rFonts w:ascii="Verdana" w:hAnsi="Verdana"/>
          <w:b/>
        </w:rPr>
        <w:t xml:space="preserve"> </w:t>
      </w:r>
    </w:p>
    <w:p w:rsidR="000059A3" w:rsidRPr="00964EE0" w:rsidRDefault="000059A3" w:rsidP="0012149B">
      <w:pPr>
        <w:widowControl w:val="0"/>
        <w:pBdr>
          <w:top w:val="single" w:sz="4" w:space="1" w:color="auto"/>
          <w:left w:val="single" w:sz="4" w:space="4" w:color="auto"/>
          <w:bottom w:val="single" w:sz="4" w:space="1" w:color="auto"/>
          <w:right w:val="single" w:sz="4" w:space="4" w:color="auto"/>
        </w:pBdr>
        <w:rPr>
          <w:i/>
        </w:rPr>
      </w:pPr>
    </w:p>
    <w:p w:rsidR="0012149B" w:rsidRDefault="0012149B" w:rsidP="0012149B">
      <w:pPr>
        <w:widowControl w:val="0"/>
        <w:pBdr>
          <w:top w:val="single" w:sz="4" w:space="1" w:color="auto"/>
          <w:left w:val="single" w:sz="4" w:space="4" w:color="auto"/>
          <w:bottom w:val="single" w:sz="4" w:space="1" w:color="auto"/>
          <w:right w:val="single" w:sz="4" w:space="4" w:color="auto"/>
        </w:pBdr>
      </w:pPr>
      <w:r>
        <w:t xml:space="preserve">The Rating Decision dated {} failed to establish entitlement to Special Monthly Compensation based on housebound when the grant of Individual Unemployability was based on a single disability (evaluated at 60 percent or more) from {}, and there </w:t>
      </w:r>
      <w:r w:rsidR="00DA69CB">
        <w:t>we</w:t>
      </w:r>
      <w:r>
        <w:t>re separate and distinct service-connected disabilities, involving different anatomical segments/bodily systems, independently ratable at 60 percent.</w:t>
      </w:r>
    </w:p>
    <w:p w:rsidR="0012149B" w:rsidRDefault="0012149B" w:rsidP="0012149B">
      <w:pPr>
        <w:widowControl w:val="0"/>
        <w:pBdr>
          <w:top w:val="single" w:sz="4" w:space="1" w:color="auto"/>
          <w:left w:val="single" w:sz="4" w:space="4" w:color="auto"/>
          <w:bottom w:val="single" w:sz="4" w:space="1" w:color="auto"/>
          <w:right w:val="single" w:sz="4" w:space="4" w:color="auto"/>
        </w:pBdr>
      </w:pPr>
    </w:p>
    <w:p w:rsidR="0012149B" w:rsidRPr="00AA4C0C" w:rsidRDefault="0012149B" w:rsidP="0012149B">
      <w:pPr>
        <w:widowControl w:val="0"/>
        <w:pBdr>
          <w:top w:val="single" w:sz="4" w:space="1" w:color="auto"/>
          <w:left w:val="single" w:sz="4" w:space="4" w:color="auto"/>
          <w:bottom w:val="single" w:sz="4" w:space="1" w:color="auto"/>
          <w:right w:val="single" w:sz="4" w:space="4" w:color="auto"/>
        </w:pBdr>
        <w:rPr>
          <w:color w:val="000000"/>
          <w:szCs w:val="22"/>
        </w:rPr>
      </w:pPr>
      <w:r>
        <w:t xml:space="preserve">VA regulations say "The special monthly compensation provided by 38 U.S.C. 1114(s) is payable where the veteran has a single service-connected disability rated as 100 percent and, has additional service-connected disability or disabilities independently ratable at 60 percent, separate and distinct from the 100 percent service-connected disability and involving different anatomical segments or bodily systems..." </w:t>
      </w:r>
      <w:r w:rsidRPr="00AA4C0C">
        <w:rPr>
          <w:color w:val="000000"/>
          <w:szCs w:val="22"/>
        </w:rPr>
        <w:t>In </w:t>
      </w:r>
      <w:r w:rsidRPr="00AA4C0C">
        <w:rPr>
          <w:i/>
          <w:iCs/>
          <w:color w:val="000000"/>
          <w:szCs w:val="22"/>
        </w:rPr>
        <w:t>Bradley v. Peake</w:t>
      </w:r>
      <w:r w:rsidRPr="00AA4C0C">
        <w:rPr>
          <w:color w:val="000000"/>
          <w:szCs w:val="22"/>
        </w:rPr>
        <w:t xml:space="preserve">, the </w:t>
      </w:r>
      <w:r>
        <w:rPr>
          <w:bCs/>
          <w:szCs w:val="24"/>
        </w:rPr>
        <w:t>United States Court of Appeals for Veterans Claims</w:t>
      </w:r>
      <w:r w:rsidRPr="00AA4C0C">
        <w:rPr>
          <w:color w:val="000000"/>
          <w:szCs w:val="22"/>
        </w:rPr>
        <w:t xml:space="preserve"> held that section 1114(s) does not limit the requirement for a “</w:t>
      </w:r>
      <w:r w:rsidRPr="00AA4C0C">
        <w:rPr>
          <w:i/>
          <w:iCs/>
          <w:color w:val="000000"/>
          <w:szCs w:val="22"/>
        </w:rPr>
        <w:t>service-connected disability rated as total</w:t>
      </w:r>
      <w:r w:rsidRPr="00AA4C0C">
        <w:rPr>
          <w:color w:val="000000"/>
          <w:szCs w:val="22"/>
        </w:rPr>
        <w:t>” to only a schedular ra</w:t>
      </w:r>
      <w:r>
        <w:rPr>
          <w:color w:val="000000"/>
          <w:szCs w:val="22"/>
        </w:rPr>
        <w:t>ting of 100 percent</w:t>
      </w:r>
      <w:r w:rsidRPr="00AA4C0C">
        <w:rPr>
          <w:color w:val="000000"/>
          <w:szCs w:val="22"/>
        </w:rPr>
        <w:t>, but may be satisfied by a Total Disability Individual Unemployability (TDIU) rati</w:t>
      </w:r>
      <w:r>
        <w:rPr>
          <w:color w:val="000000"/>
          <w:szCs w:val="22"/>
        </w:rPr>
        <w:t>ng based on a single disability (if that single disability is evaluated at 60 percent or more).</w:t>
      </w:r>
    </w:p>
    <w:p w:rsidR="0012149B" w:rsidRDefault="0012149B" w:rsidP="0012149B">
      <w:pPr>
        <w:widowControl w:val="0"/>
        <w:pBdr>
          <w:top w:val="single" w:sz="4" w:space="1" w:color="auto"/>
          <w:left w:val="single" w:sz="4" w:space="4" w:color="auto"/>
          <w:bottom w:val="single" w:sz="4" w:space="1" w:color="auto"/>
          <w:right w:val="single" w:sz="4" w:space="4" w:color="auto"/>
        </w:pBdr>
      </w:pPr>
    </w:p>
    <w:p w:rsidR="0012149B" w:rsidRDefault="0012149B" w:rsidP="0012149B">
      <w:pPr>
        <w:widowControl w:val="0"/>
        <w:pBdr>
          <w:top w:val="single" w:sz="4" w:space="1" w:color="auto"/>
          <w:left w:val="single" w:sz="4" w:space="4" w:color="auto"/>
          <w:bottom w:val="single" w:sz="4" w:space="1" w:color="auto"/>
          <w:right w:val="single" w:sz="4" w:space="4" w:color="auto"/>
        </w:pBdr>
      </w:pPr>
      <w:r>
        <w:t xml:space="preserve">A clear and unmistakable error occurred when entitlement to Special Monthly Compensation based on housebound was not established. </w:t>
      </w:r>
    </w:p>
    <w:p w:rsidR="0012149B" w:rsidRDefault="0012149B" w:rsidP="0012149B">
      <w:pPr>
        <w:widowControl w:val="0"/>
        <w:pBdr>
          <w:top w:val="single" w:sz="4" w:space="1" w:color="auto"/>
          <w:left w:val="single" w:sz="4" w:space="4" w:color="auto"/>
          <w:bottom w:val="single" w:sz="4" w:space="1" w:color="auto"/>
          <w:right w:val="single" w:sz="4" w:space="4" w:color="auto"/>
        </w:pBdr>
      </w:pPr>
    </w:p>
    <w:p w:rsidR="0012149B" w:rsidRDefault="0012149B" w:rsidP="0012149B">
      <w:pPr>
        <w:widowControl w:val="0"/>
        <w:pBdr>
          <w:top w:val="single" w:sz="4" w:space="1" w:color="auto"/>
          <w:left w:val="single" w:sz="4" w:space="4" w:color="auto"/>
          <w:bottom w:val="single" w:sz="4" w:space="1" w:color="auto"/>
          <w:right w:val="single" w:sz="4" w:space="4" w:color="auto"/>
        </w:pBdr>
      </w:pPr>
      <w:r>
        <w:t>Entitlement to special monthly compensation is warranted in this case because criteria regarding housebound were met from {}.</w:t>
      </w:r>
    </w:p>
    <w:p w:rsidR="0012149B" w:rsidRDefault="0012149B" w:rsidP="0012149B">
      <w:pPr>
        <w:widowControl w:val="0"/>
        <w:pBdr>
          <w:top w:val="single" w:sz="4" w:space="1" w:color="auto"/>
          <w:left w:val="single" w:sz="4" w:space="4" w:color="auto"/>
          <w:bottom w:val="single" w:sz="4" w:space="1" w:color="auto"/>
          <w:right w:val="single" w:sz="4" w:space="4" w:color="auto"/>
        </w:pBdr>
      </w:pPr>
    </w:p>
    <w:p w:rsidR="00517C68" w:rsidRDefault="0012149B" w:rsidP="003A60B3">
      <w:pPr>
        <w:widowControl w:val="0"/>
        <w:pBdr>
          <w:top w:val="single" w:sz="4" w:space="1" w:color="auto"/>
          <w:left w:val="single" w:sz="4" w:space="4" w:color="auto"/>
          <w:bottom w:val="single" w:sz="4" w:space="1" w:color="auto"/>
          <w:right w:val="single" w:sz="4" w:space="4" w:color="auto"/>
        </w:pBdr>
      </w:pPr>
      <w:r w:rsidRPr="00917DA7">
        <w:rPr>
          <w:i/>
        </w:rPr>
        <w:t>CUE Description:</w:t>
      </w:r>
      <w:r>
        <w:t xml:space="preserve">  RD dated {} </w:t>
      </w:r>
      <w:r w:rsidRPr="00B879F3">
        <w:t>failed to establish entitlement to SMC S when g</w:t>
      </w:r>
      <w:r>
        <w:t>ranting Individual Unemployability based on a single disability, {disability name} (evaluated at {}%)</w:t>
      </w:r>
      <w:r w:rsidRPr="00B879F3">
        <w:t xml:space="preserve"> from </w:t>
      </w:r>
      <w:r>
        <w:t>{}</w:t>
      </w:r>
      <w:r w:rsidRPr="00B879F3">
        <w:t xml:space="preserve">, and </w:t>
      </w:r>
      <w:r w:rsidR="00EC5A16">
        <w:t>there are separate evaluations combining</w:t>
      </w:r>
      <w:r w:rsidRPr="00B879F3">
        <w:t xml:space="preserve"> to</w:t>
      </w:r>
      <w:r w:rsidR="00EC5A16">
        <w:t xml:space="preserve"> </w:t>
      </w:r>
      <w:r w:rsidRPr="00B879F3">
        <w:t>60%.</w:t>
      </w:r>
    </w:p>
    <w:p w:rsidR="003A60B3" w:rsidRDefault="003A60B3">
      <w:pPr>
        <w:widowControl w:val="0"/>
      </w:pPr>
    </w:p>
    <w:p w:rsidR="00DB2EC8" w:rsidRDefault="00DB2EC8">
      <w:pPr>
        <w:widowControl w:val="0"/>
      </w:pPr>
    </w:p>
    <w:p w:rsidR="00013EB8" w:rsidRDefault="00013EB8" w:rsidP="00C96770">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rPr>
          <w:b/>
          <w:bCs/>
        </w:rPr>
      </w:pPr>
      <w:r>
        <w:rPr>
          <w:b/>
          <w:bCs/>
        </w:rPr>
        <w:t>Frostbite with two limbs rated together:</w:t>
      </w:r>
    </w:p>
    <w:p w:rsidR="00013EB8" w:rsidRDefault="00964EE0" w:rsidP="00C96770">
      <w:pPr>
        <w:widowControl w:val="0"/>
        <w:pBdr>
          <w:top w:val="single" w:sz="4" w:space="1" w:color="auto"/>
          <w:left w:val="single" w:sz="4" w:space="4" w:color="auto"/>
          <w:bottom w:val="single" w:sz="4" w:space="1" w:color="auto"/>
          <w:right w:val="single" w:sz="4" w:space="4" w:color="auto"/>
        </w:pBdr>
      </w:pPr>
      <w:r w:rsidRPr="00964EE0">
        <w:rPr>
          <w:i/>
        </w:rPr>
        <w:t>Issue:</w:t>
      </w:r>
      <w:r>
        <w:t xml:space="preserve">  </w:t>
      </w:r>
      <w:r w:rsidR="00013EB8">
        <w:t xml:space="preserve">Whether the single evaluation assigned for residuals, frostbite feet was clearly and unmistakably erroneous. </w:t>
      </w:r>
    </w:p>
    <w:p w:rsidR="00013EB8" w:rsidRDefault="00013EB8" w:rsidP="00C96770">
      <w:pPr>
        <w:widowControl w:val="0"/>
        <w:pBdr>
          <w:top w:val="single" w:sz="4" w:space="1" w:color="auto"/>
          <w:left w:val="single" w:sz="4" w:space="4" w:color="auto"/>
          <w:bottom w:val="single" w:sz="4" w:space="1" w:color="auto"/>
          <w:right w:val="single" w:sz="4" w:space="4" w:color="auto"/>
        </w:pBdr>
      </w:pPr>
    </w:p>
    <w:p w:rsidR="00013EB8" w:rsidRDefault="00964EE0" w:rsidP="00C96770">
      <w:pPr>
        <w:widowControl w:val="0"/>
        <w:pBdr>
          <w:top w:val="single" w:sz="4" w:space="1" w:color="auto"/>
          <w:left w:val="single" w:sz="4" w:space="4" w:color="auto"/>
          <w:bottom w:val="single" w:sz="4" w:space="1" w:color="auto"/>
          <w:right w:val="single" w:sz="4" w:space="4" w:color="auto"/>
        </w:pBdr>
      </w:pPr>
      <w:r w:rsidRPr="00964EE0">
        <w:rPr>
          <w:i/>
        </w:rPr>
        <w:t>Decision:</w:t>
      </w:r>
      <w:r>
        <w:t xml:space="preserve">  </w:t>
      </w:r>
      <w:r w:rsidR="00013EB8">
        <w:t xml:space="preserve">A clear and unmistakable error is found in the single 10 percent evaluation of residuals, frostbite feet for both lower extremities and a retroactive increased evaluation to 10 percent for each lower extremity for cold injury residuals is established </w:t>
      </w:r>
      <w:r w:rsidR="00B2402A">
        <w:t xml:space="preserve">effective </w:t>
      </w:r>
      <w:r w:rsidR="00013EB8">
        <w:t xml:space="preserve">January 12, 1998.  </w:t>
      </w:r>
    </w:p>
    <w:p w:rsidR="00013EB8" w:rsidRDefault="00013EB8" w:rsidP="00C96770">
      <w:pPr>
        <w:widowControl w:val="0"/>
        <w:pBdr>
          <w:top w:val="single" w:sz="4" w:space="1" w:color="auto"/>
          <w:left w:val="single" w:sz="4" w:space="4" w:color="auto"/>
          <w:bottom w:val="single" w:sz="4" w:space="1" w:color="auto"/>
          <w:right w:val="single" w:sz="4" w:space="4" w:color="auto"/>
        </w:pBdr>
      </w:pPr>
    </w:p>
    <w:p w:rsidR="00964EE0" w:rsidRPr="00964EE0" w:rsidRDefault="00964EE0" w:rsidP="00C96770">
      <w:pPr>
        <w:widowControl w:val="0"/>
        <w:pBdr>
          <w:top w:val="single" w:sz="4" w:space="1" w:color="auto"/>
          <w:left w:val="single" w:sz="4" w:space="4" w:color="auto"/>
          <w:bottom w:val="single" w:sz="4" w:space="1" w:color="auto"/>
          <w:right w:val="single" w:sz="4" w:space="4" w:color="auto"/>
        </w:pBdr>
        <w:rPr>
          <w:i/>
        </w:rPr>
      </w:pPr>
      <w:r w:rsidRPr="00964EE0">
        <w:rPr>
          <w:i/>
        </w:rPr>
        <w:t>Reasons for Decision:</w:t>
      </w:r>
    </w:p>
    <w:p w:rsidR="00E67403" w:rsidRDefault="00E67403" w:rsidP="00C96770">
      <w:pPr>
        <w:widowControl w:val="0"/>
        <w:pBdr>
          <w:top w:val="single" w:sz="4" w:space="1" w:color="auto"/>
          <w:left w:val="single" w:sz="4" w:space="4" w:color="auto"/>
          <w:bottom w:val="single" w:sz="4" w:space="1" w:color="auto"/>
          <w:right w:val="single" w:sz="4" w:space="4" w:color="auto"/>
        </w:pBdr>
        <w:rPr>
          <w:rFonts w:ascii="Verdana" w:hAnsi="Verdana"/>
          <w:b/>
        </w:rPr>
      </w:pPr>
      <w:r w:rsidRPr="004E16AB">
        <w:rPr>
          <w:rFonts w:ascii="Verdana" w:hAnsi="Verdana"/>
          <w:b/>
          <w:highlight w:val="green"/>
        </w:rPr>
        <w:t xml:space="preserve">USE </w:t>
      </w:r>
      <w:r w:rsidR="00C551BE">
        <w:rPr>
          <w:rFonts w:ascii="Verdana" w:hAnsi="Verdana"/>
          <w:b/>
          <w:highlight w:val="green"/>
        </w:rPr>
        <w:t>VBMS-R System-Generated Text</w:t>
      </w:r>
      <w:r w:rsidR="006038C8">
        <w:rPr>
          <w:rFonts w:ascii="Verdana" w:hAnsi="Verdana"/>
          <w:b/>
          <w:highlight w:val="green"/>
        </w:rPr>
        <w:t xml:space="preserve"> or CU1</w:t>
      </w:r>
      <w:r>
        <w:rPr>
          <w:rFonts w:ascii="Verdana" w:hAnsi="Verdana"/>
          <w:b/>
        </w:rPr>
        <w:t xml:space="preserve"> </w:t>
      </w:r>
    </w:p>
    <w:p w:rsidR="00964EE0" w:rsidRDefault="00964EE0" w:rsidP="00C96770">
      <w:pPr>
        <w:widowControl w:val="0"/>
        <w:pBdr>
          <w:top w:val="single" w:sz="4" w:space="1" w:color="auto"/>
          <w:left w:val="single" w:sz="4" w:space="4" w:color="auto"/>
          <w:bottom w:val="single" w:sz="4" w:space="1" w:color="auto"/>
          <w:right w:val="single" w:sz="4" w:space="4" w:color="auto"/>
        </w:pBdr>
      </w:pPr>
    </w:p>
    <w:p w:rsidR="00013EB8" w:rsidRDefault="00013EB8" w:rsidP="00C96770">
      <w:pPr>
        <w:widowControl w:val="0"/>
        <w:pBdr>
          <w:top w:val="single" w:sz="4" w:space="1" w:color="auto"/>
          <w:left w:val="single" w:sz="4" w:space="4" w:color="auto"/>
          <w:bottom w:val="single" w:sz="4" w:space="1" w:color="auto"/>
          <w:right w:val="single" w:sz="4" w:space="4" w:color="auto"/>
        </w:pBdr>
      </w:pPr>
      <w:r>
        <w:t>The Rating Decisions dated May 6, 1998, September 12, 2002, February 23, 2005 and April 30, 2005 failed to separately evaluate each lower extremity for cold injury residuals based on the regulation change on January 12, 1998.  VA cardiovascular regulations were changed effective January 12, 1998 to allow for separate evaluations for each extremity.  A clear and unmistakable error occurred when you were not assigned separate evaluations for each lower extremity for your cold injury residuals on the four ratings that were done following the regulation change.   Separate evaluations of 10 percent for each lower extremity are granted from January 12, 1998, since you had a claim pending from November 12, 1997 that was rated on May 6, 1998 and the change should have been made at that time.</w:t>
      </w:r>
    </w:p>
    <w:p w:rsidR="00C96770" w:rsidRDefault="00C96770" w:rsidP="00C96770">
      <w:pPr>
        <w:widowControl w:val="0"/>
        <w:pBdr>
          <w:top w:val="single" w:sz="4" w:space="1" w:color="auto"/>
          <w:left w:val="single" w:sz="4" w:space="4" w:color="auto"/>
          <w:bottom w:val="single" w:sz="4" w:space="1" w:color="auto"/>
          <w:right w:val="single" w:sz="4" w:space="4" w:color="auto"/>
        </w:pBdr>
      </w:pPr>
    </w:p>
    <w:p w:rsidR="00C96770" w:rsidRDefault="00C96770" w:rsidP="00C96770">
      <w:pPr>
        <w:widowControl w:val="0"/>
        <w:pBdr>
          <w:top w:val="single" w:sz="4" w:space="1" w:color="auto"/>
          <w:left w:val="single" w:sz="4" w:space="4" w:color="auto"/>
          <w:bottom w:val="single" w:sz="4" w:space="1" w:color="auto"/>
          <w:right w:val="single" w:sz="4" w:space="4" w:color="auto"/>
        </w:pBdr>
      </w:pPr>
    </w:p>
    <w:p w:rsidR="00C96770" w:rsidRDefault="00C96770" w:rsidP="00C96770">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rPr>
          <w:b/>
          <w:bCs/>
        </w:rPr>
      </w:pPr>
      <w:r>
        <w:rPr>
          <w:b/>
          <w:bCs/>
        </w:rPr>
        <w:t>Neuro with two limbs rated together:</w:t>
      </w:r>
    </w:p>
    <w:p w:rsidR="00C96770" w:rsidRPr="00C96770" w:rsidRDefault="00C96770" w:rsidP="00C96770">
      <w:pPr>
        <w:pBdr>
          <w:top w:val="single" w:sz="4" w:space="1" w:color="auto"/>
          <w:left w:val="single" w:sz="4" w:space="4" w:color="auto"/>
          <w:bottom w:val="single" w:sz="4" w:space="1" w:color="auto"/>
          <w:right w:val="single" w:sz="4" w:space="4" w:color="auto"/>
        </w:pBdr>
      </w:pPr>
      <w:r w:rsidRPr="00C96770">
        <w:rPr>
          <w:i/>
        </w:rPr>
        <w:t>Issue:</w:t>
      </w:r>
      <w:r w:rsidRPr="00C96770">
        <w:t xml:space="preserve">  Whether the single evaluation assigned for bilateral lower radicular pain S/P hemilaminectomy and discectomy was clearly and unmistakably erroneous. </w:t>
      </w:r>
    </w:p>
    <w:p w:rsidR="00C96770" w:rsidRPr="00C96770" w:rsidRDefault="00C96770" w:rsidP="00C96770">
      <w:pPr>
        <w:pBdr>
          <w:top w:val="single" w:sz="4" w:space="1" w:color="auto"/>
          <w:left w:val="single" w:sz="4" w:space="4" w:color="auto"/>
          <w:bottom w:val="single" w:sz="4" w:space="1" w:color="auto"/>
          <w:right w:val="single" w:sz="4" w:space="4" w:color="auto"/>
        </w:pBdr>
      </w:pPr>
    </w:p>
    <w:p w:rsidR="00C96770" w:rsidRPr="00C96770" w:rsidRDefault="00C96770" w:rsidP="00C96770">
      <w:pPr>
        <w:pBdr>
          <w:top w:val="single" w:sz="4" w:space="1" w:color="auto"/>
          <w:left w:val="single" w:sz="4" w:space="4" w:color="auto"/>
          <w:bottom w:val="single" w:sz="4" w:space="1" w:color="auto"/>
          <w:right w:val="single" w:sz="4" w:space="4" w:color="auto"/>
        </w:pBdr>
      </w:pPr>
      <w:r w:rsidRPr="00C96770">
        <w:rPr>
          <w:i/>
        </w:rPr>
        <w:t>Decision:</w:t>
      </w:r>
      <w:r w:rsidRPr="00C96770">
        <w:t xml:space="preserve">  A clear and unmistakable error is found in the single 10 percent evaluation for bilateral lower radicular pain S/P hemilaminectomy and discectomy and retroactive increased evaluations to 10 percent for each lower extremity, as right lower extremity radiculopathy and left lower extremity radiculopathy, are established </w:t>
      </w:r>
      <w:r w:rsidR="00B2402A">
        <w:t>effective</w:t>
      </w:r>
      <w:r w:rsidRPr="00C96770">
        <w:t xml:space="preserve"> February 24, 2003.  </w:t>
      </w:r>
    </w:p>
    <w:p w:rsidR="00C96770" w:rsidRDefault="00C96770" w:rsidP="00C96770">
      <w:pPr>
        <w:pBdr>
          <w:top w:val="single" w:sz="4" w:space="1" w:color="auto"/>
          <w:left w:val="single" w:sz="4" w:space="4" w:color="auto"/>
          <w:bottom w:val="single" w:sz="4" w:space="1" w:color="auto"/>
          <w:right w:val="single" w:sz="4" w:space="4" w:color="auto"/>
        </w:pBdr>
      </w:pPr>
    </w:p>
    <w:p w:rsidR="00C96770" w:rsidRDefault="00C96770" w:rsidP="00C96770">
      <w:pPr>
        <w:pBdr>
          <w:top w:val="single" w:sz="4" w:space="1" w:color="auto"/>
          <w:left w:val="single" w:sz="4" w:space="4" w:color="auto"/>
          <w:bottom w:val="single" w:sz="4" w:space="1" w:color="auto"/>
          <w:right w:val="single" w:sz="4" w:space="4" w:color="auto"/>
        </w:pBdr>
        <w:rPr>
          <w:i/>
        </w:rPr>
      </w:pPr>
      <w:r>
        <w:rPr>
          <w:i/>
        </w:rPr>
        <w:t>Reasons for Decision:</w:t>
      </w:r>
    </w:p>
    <w:p w:rsidR="00C96770" w:rsidRDefault="00C96770" w:rsidP="00C96770">
      <w:pPr>
        <w:pBdr>
          <w:top w:val="single" w:sz="4" w:space="1" w:color="auto"/>
          <w:left w:val="single" w:sz="4" w:space="4" w:color="auto"/>
          <w:bottom w:val="single" w:sz="4" w:space="1" w:color="auto"/>
          <w:right w:val="single" w:sz="4" w:space="4" w:color="auto"/>
        </w:pBdr>
        <w:rPr>
          <w:rFonts w:ascii="Verdana" w:hAnsi="Verdana"/>
          <w:b/>
        </w:rPr>
      </w:pPr>
      <w:r>
        <w:rPr>
          <w:rFonts w:ascii="Verdana" w:hAnsi="Verdana"/>
          <w:b/>
          <w:highlight w:val="green"/>
        </w:rPr>
        <w:t xml:space="preserve">USE </w:t>
      </w:r>
      <w:r w:rsidR="00C551BE">
        <w:rPr>
          <w:rFonts w:ascii="Verdana" w:hAnsi="Verdana"/>
          <w:b/>
          <w:highlight w:val="green"/>
        </w:rPr>
        <w:t>VBMS-R System-Generated Text</w:t>
      </w:r>
      <w:r>
        <w:rPr>
          <w:rFonts w:ascii="Verdana" w:hAnsi="Verdana"/>
          <w:b/>
          <w:highlight w:val="green"/>
        </w:rPr>
        <w:t xml:space="preserve"> or CU1</w:t>
      </w:r>
    </w:p>
    <w:p w:rsidR="00C96770" w:rsidRDefault="00C96770" w:rsidP="00C96770">
      <w:pPr>
        <w:pBdr>
          <w:top w:val="single" w:sz="4" w:space="1" w:color="auto"/>
          <w:left w:val="single" w:sz="4" w:space="4" w:color="auto"/>
          <w:bottom w:val="single" w:sz="4" w:space="1" w:color="auto"/>
          <w:right w:val="single" w:sz="4" w:space="4" w:color="auto"/>
        </w:pBdr>
        <w:rPr>
          <w:rFonts w:ascii="Verdana" w:hAnsi="Verdana"/>
          <w:b/>
        </w:rPr>
      </w:pPr>
    </w:p>
    <w:p w:rsidR="00C96770" w:rsidRPr="00C96770" w:rsidRDefault="00C96770" w:rsidP="00C96770">
      <w:pPr>
        <w:pBdr>
          <w:top w:val="single" w:sz="4" w:space="1" w:color="auto"/>
          <w:left w:val="single" w:sz="4" w:space="4" w:color="auto"/>
          <w:bottom w:val="single" w:sz="4" w:space="1" w:color="auto"/>
          <w:right w:val="single" w:sz="4" w:space="4" w:color="auto"/>
        </w:pBdr>
      </w:pPr>
      <w:r>
        <w:t xml:space="preserve">The Rating Decision dated </w:t>
      </w:r>
      <w:r w:rsidRPr="00C96770">
        <w:t>May 12, 2004 granted a single 10 percent evaluation for bilateral lower radicular pain S/P hemilaminectomy and discectomy from February 24, 2003.</w:t>
      </w:r>
    </w:p>
    <w:p w:rsidR="00C96770" w:rsidRPr="00C96770" w:rsidRDefault="00C96770" w:rsidP="00C96770">
      <w:pPr>
        <w:pBdr>
          <w:top w:val="single" w:sz="4" w:space="1" w:color="auto"/>
          <w:left w:val="single" w:sz="4" w:space="4" w:color="auto"/>
          <w:bottom w:val="single" w:sz="4" w:space="1" w:color="auto"/>
          <w:right w:val="single" w:sz="4" w:space="4" w:color="auto"/>
        </w:pBdr>
      </w:pPr>
    </w:p>
    <w:p w:rsidR="00C96770" w:rsidRPr="00C96770" w:rsidRDefault="00C96770" w:rsidP="00C96770">
      <w:pPr>
        <w:pBdr>
          <w:top w:val="single" w:sz="4" w:space="1" w:color="auto"/>
          <w:left w:val="single" w:sz="4" w:space="4" w:color="auto"/>
          <w:bottom w:val="single" w:sz="4" w:space="1" w:color="auto"/>
          <w:right w:val="single" w:sz="4" w:space="4" w:color="auto"/>
        </w:pBdr>
      </w:pPr>
      <w:r w:rsidRPr="00C96770">
        <w:t>VA regulations state “The ratings for the peripheral nerves are for unilateral involvement; when bilateral, combine with application of the bilateral factor.”</w:t>
      </w:r>
    </w:p>
    <w:p w:rsidR="00C96770" w:rsidRPr="00C96770" w:rsidRDefault="00C96770" w:rsidP="00C96770">
      <w:pPr>
        <w:pBdr>
          <w:top w:val="single" w:sz="4" w:space="1" w:color="auto"/>
          <w:left w:val="single" w:sz="4" w:space="4" w:color="auto"/>
          <w:bottom w:val="single" w:sz="4" w:space="1" w:color="auto"/>
          <w:right w:val="single" w:sz="4" w:space="4" w:color="auto"/>
        </w:pBdr>
      </w:pPr>
    </w:p>
    <w:p w:rsidR="00C96770" w:rsidRPr="00C96770" w:rsidRDefault="00C96770" w:rsidP="00C96770">
      <w:pPr>
        <w:pBdr>
          <w:top w:val="single" w:sz="4" w:space="1" w:color="auto"/>
          <w:left w:val="single" w:sz="4" w:space="4" w:color="auto"/>
          <w:bottom w:val="single" w:sz="4" w:space="1" w:color="auto"/>
          <w:right w:val="single" w:sz="4" w:space="4" w:color="auto"/>
        </w:pBdr>
      </w:pPr>
      <w:r w:rsidRPr="00C96770">
        <w:t>A clear and unmistakable error occurred when you were not assigned separate evaluations for each lower extremity.  Separate evaluations of 10 percent for each lower extremity, as right lower extremity radiculopathy and left lower extremity radiculopathy, are granted from February 24, 2003.</w:t>
      </w:r>
    </w:p>
    <w:p w:rsidR="00013EB8" w:rsidRDefault="00013EB8">
      <w:pPr>
        <w:widowControl w:val="0"/>
      </w:pPr>
    </w:p>
    <w:p w:rsidR="00DB2EC8" w:rsidRDefault="00DB2EC8">
      <w:pPr>
        <w:widowControl w:val="0"/>
      </w:pPr>
    </w:p>
    <w:p w:rsidR="00013EB8" w:rsidRDefault="00013EB8">
      <w:pPr>
        <w:widowControl w:val="0"/>
        <w:pBdr>
          <w:top w:val="single" w:sz="4" w:space="1" w:color="auto"/>
          <w:left w:val="single" w:sz="4" w:space="4" w:color="auto"/>
          <w:bottom w:val="single" w:sz="4" w:space="1" w:color="auto"/>
          <w:right w:val="single" w:sz="4" w:space="4" w:color="auto"/>
        </w:pBdr>
        <w:rPr>
          <w:b/>
          <w:bCs/>
        </w:rPr>
      </w:pPr>
      <w:r>
        <w:rPr>
          <w:b/>
          <w:bCs/>
        </w:rPr>
        <w:t>NO CUE &amp; continuing evaluation:</w:t>
      </w:r>
    </w:p>
    <w:p w:rsidR="00013EB8" w:rsidRDefault="00013EB8">
      <w:pPr>
        <w:widowControl w:val="0"/>
        <w:pBdr>
          <w:top w:val="single" w:sz="4" w:space="1" w:color="auto"/>
          <w:left w:val="single" w:sz="4" w:space="4" w:color="auto"/>
          <w:bottom w:val="single" w:sz="4" w:space="1" w:color="auto"/>
          <w:right w:val="single" w:sz="4" w:space="4" w:color="auto"/>
        </w:pBdr>
      </w:pPr>
      <w:r>
        <w:rPr>
          <w:i/>
          <w:iCs/>
        </w:rPr>
        <w:t>Add to decision line:</w:t>
      </w:r>
      <w:r>
        <w:t xml:space="preserve">  “and the </w:t>
      </w:r>
      <w:r w:rsidR="00A46221">
        <w:t>{}</w:t>
      </w:r>
      <w:r>
        <w:t xml:space="preserve"> percent evaluation is continued.”</w:t>
      </w:r>
    </w:p>
    <w:p w:rsidR="00013EB8" w:rsidRDefault="00013EB8">
      <w:pPr>
        <w:widowControl w:val="0"/>
        <w:pBdr>
          <w:top w:val="single" w:sz="4" w:space="1" w:color="auto"/>
          <w:left w:val="single" w:sz="4" w:space="4" w:color="auto"/>
          <w:bottom w:val="single" w:sz="4" w:space="1" w:color="auto"/>
          <w:right w:val="single" w:sz="4" w:space="4" w:color="auto"/>
        </w:pBdr>
      </w:pPr>
    </w:p>
    <w:p w:rsidR="00964EE0" w:rsidRPr="00964EE0" w:rsidRDefault="00964EE0" w:rsidP="00964EE0">
      <w:pPr>
        <w:widowControl w:val="0"/>
        <w:pBdr>
          <w:top w:val="single" w:sz="4" w:space="1" w:color="auto"/>
          <w:left w:val="single" w:sz="4" w:space="4" w:color="auto"/>
          <w:bottom w:val="single" w:sz="4" w:space="1" w:color="auto"/>
          <w:right w:val="single" w:sz="4" w:space="4" w:color="auto"/>
        </w:pBdr>
        <w:rPr>
          <w:i/>
        </w:rPr>
      </w:pPr>
      <w:r w:rsidRPr="00964EE0">
        <w:rPr>
          <w:i/>
        </w:rPr>
        <w:t>Reasons for Decision:</w:t>
      </w:r>
    </w:p>
    <w:p w:rsidR="00E67403" w:rsidRDefault="00E67403" w:rsidP="00E67403">
      <w:pPr>
        <w:widowControl w:val="0"/>
        <w:pBdr>
          <w:top w:val="single" w:sz="4" w:space="1" w:color="auto"/>
          <w:left w:val="single" w:sz="4" w:space="4" w:color="auto"/>
          <w:bottom w:val="single" w:sz="4" w:space="1" w:color="auto"/>
          <w:right w:val="single" w:sz="4" w:space="4" w:color="auto"/>
        </w:pBdr>
        <w:rPr>
          <w:rFonts w:ascii="Verdana" w:hAnsi="Verdana"/>
          <w:b/>
        </w:rPr>
      </w:pPr>
      <w:r w:rsidRPr="004E16AB">
        <w:rPr>
          <w:rFonts w:ascii="Verdana" w:hAnsi="Verdana"/>
          <w:b/>
          <w:highlight w:val="green"/>
        </w:rPr>
        <w:t xml:space="preserve">USE </w:t>
      </w:r>
      <w:r w:rsidR="00C551BE">
        <w:rPr>
          <w:rFonts w:ascii="Verdana" w:hAnsi="Verdana"/>
          <w:b/>
          <w:highlight w:val="green"/>
        </w:rPr>
        <w:t>VBMS-R System-Generated Text</w:t>
      </w:r>
      <w:r w:rsidR="006038C8">
        <w:rPr>
          <w:rFonts w:ascii="Verdana" w:hAnsi="Verdana"/>
          <w:b/>
          <w:highlight w:val="green"/>
        </w:rPr>
        <w:t xml:space="preserve"> or </w:t>
      </w:r>
      <w:r>
        <w:rPr>
          <w:rFonts w:ascii="Verdana" w:hAnsi="Verdana"/>
          <w:b/>
          <w:highlight w:val="green"/>
        </w:rPr>
        <w:t>CU1</w:t>
      </w:r>
      <w:r>
        <w:rPr>
          <w:rFonts w:ascii="Verdana" w:hAnsi="Verdana"/>
          <w:b/>
        </w:rPr>
        <w:t xml:space="preserve"> </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013EB8">
      <w:pPr>
        <w:widowControl w:val="0"/>
        <w:pBdr>
          <w:top w:val="single" w:sz="4" w:space="1" w:color="auto"/>
          <w:left w:val="single" w:sz="4" w:space="4" w:color="auto"/>
          <w:bottom w:val="single" w:sz="4" w:space="1" w:color="auto"/>
          <w:right w:val="single" w:sz="4" w:space="4" w:color="auto"/>
        </w:pBdr>
      </w:pPr>
      <w:r>
        <w:t xml:space="preserve">The Rating Decision dated </w:t>
      </w:r>
      <w:r w:rsidR="00A46221">
        <w:t>{}</w:t>
      </w:r>
      <w:r>
        <w:t xml:space="preserve"> shows a 10 percent evaluation was assigned for </w:t>
      </w:r>
      <w:r w:rsidR="00A46221">
        <w:t>{}</w:t>
      </w:r>
      <w:r>
        <w:t>.</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013EB8">
      <w:pPr>
        <w:widowControl w:val="0"/>
        <w:pBdr>
          <w:top w:val="single" w:sz="4" w:space="1" w:color="auto"/>
          <w:left w:val="single" w:sz="4" w:space="4" w:color="auto"/>
          <w:bottom w:val="single" w:sz="4" w:space="1" w:color="auto"/>
          <w:right w:val="single" w:sz="4" w:space="4" w:color="auto"/>
        </w:pBdr>
      </w:pPr>
      <w:r>
        <w:rPr>
          <w:i/>
          <w:iCs/>
        </w:rPr>
        <w:t>If needed:</w:t>
      </w:r>
      <w:r>
        <w:t xml:space="preserve">  The service treatment records show </w:t>
      </w:r>
      <w:r w:rsidR="00A46221">
        <w:t>{}</w:t>
      </w:r>
      <w:r>
        <w:t>.</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013EB8">
      <w:pPr>
        <w:widowControl w:val="0"/>
        <w:pBdr>
          <w:top w:val="single" w:sz="4" w:space="1" w:color="auto"/>
          <w:left w:val="single" w:sz="4" w:space="4" w:color="auto"/>
          <w:bottom w:val="single" w:sz="4" w:space="1" w:color="auto"/>
          <w:right w:val="single" w:sz="4" w:space="4" w:color="auto"/>
        </w:pBdr>
      </w:pPr>
      <w:r>
        <w:t xml:space="preserve">The </w:t>
      </w:r>
      <w:r w:rsidR="00AC28AF">
        <w:t>DBQ</w:t>
      </w:r>
      <w:r>
        <w:t xml:space="preserve"> of </w:t>
      </w:r>
      <w:r w:rsidR="00A46221">
        <w:t>{}</w:t>
      </w:r>
      <w:r>
        <w:t xml:space="preserve"> shows your reports of </w:t>
      </w:r>
      <w:r w:rsidR="00A46221">
        <w:t>{}</w:t>
      </w:r>
      <w:r>
        <w:t xml:space="preserve">, and the examiner's findings of </w:t>
      </w:r>
      <w:r w:rsidR="00A46221">
        <w:t>{}</w:t>
      </w:r>
      <w:r>
        <w:t xml:space="preserve">.  These findings warrant a 10 percent evaluation.  A higher evaluation of 20 percent is not warranted because the (service treatment records and) </w:t>
      </w:r>
      <w:r w:rsidR="00AC28AF">
        <w:t>DBQ</w:t>
      </w:r>
      <w:r>
        <w:t xml:space="preserve"> did not show </w:t>
      </w:r>
      <w:r w:rsidR="00A46221">
        <w:t>{}</w:t>
      </w:r>
      <w:r>
        <w:t>.</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013EB8">
      <w:pPr>
        <w:widowControl w:val="0"/>
        <w:pBdr>
          <w:top w:val="single" w:sz="4" w:space="1" w:color="auto"/>
          <w:left w:val="single" w:sz="4" w:space="4" w:color="auto"/>
          <w:bottom w:val="single" w:sz="4" w:space="1" w:color="auto"/>
          <w:right w:val="single" w:sz="4" w:space="4" w:color="auto"/>
        </w:pBdr>
      </w:pPr>
      <w:r>
        <w:t xml:space="preserve">We have continued the evaluation as 10 percent disabling as the current </w:t>
      </w:r>
      <w:r w:rsidR="00AC28AF">
        <w:t>DBQ</w:t>
      </w:r>
      <w:r>
        <w:t xml:space="preserve"> shows your reports of </w:t>
      </w:r>
      <w:r w:rsidR="00A46221">
        <w:t>{}</w:t>
      </w:r>
      <w:r>
        <w:t xml:space="preserve">, and the examiner's findings of </w:t>
      </w:r>
      <w:r w:rsidR="00A46221">
        <w:t>{}</w:t>
      </w:r>
      <w:r>
        <w:t>.</w:t>
      </w:r>
    </w:p>
    <w:p w:rsidR="00013EB8" w:rsidRDefault="00013EB8">
      <w:pPr>
        <w:widowControl w:val="0"/>
      </w:pPr>
    </w:p>
    <w:p w:rsidR="00DB2EC8" w:rsidRDefault="00DB2EC8">
      <w:pPr>
        <w:widowControl w:val="0"/>
      </w:pPr>
    </w:p>
    <w:p w:rsidR="00555094" w:rsidRPr="00555094" w:rsidRDefault="00555094" w:rsidP="00555094">
      <w:pPr>
        <w:widowControl w:val="0"/>
        <w:pBdr>
          <w:top w:val="single" w:sz="2" w:space="1" w:color="auto"/>
          <w:left w:val="single" w:sz="2" w:space="4" w:color="auto"/>
          <w:bottom w:val="single" w:sz="2" w:space="1" w:color="auto"/>
          <w:right w:val="single" w:sz="2" w:space="4" w:color="auto"/>
        </w:pBdr>
        <w:rPr>
          <w:b/>
        </w:rPr>
      </w:pPr>
      <w:r>
        <w:rPr>
          <w:b/>
        </w:rPr>
        <w:t>NO CUE on</w:t>
      </w:r>
      <w:r w:rsidRPr="00555094">
        <w:rPr>
          <w:b/>
        </w:rPr>
        <w:t xml:space="preserve"> denial:</w:t>
      </w:r>
    </w:p>
    <w:p w:rsidR="00555094" w:rsidRDefault="00555094" w:rsidP="00555094">
      <w:pPr>
        <w:widowControl w:val="0"/>
        <w:pBdr>
          <w:top w:val="single" w:sz="2" w:space="1" w:color="auto"/>
          <w:left w:val="single" w:sz="2" w:space="4" w:color="auto"/>
          <w:bottom w:val="single" w:sz="2" w:space="1" w:color="auto"/>
          <w:right w:val="single" w:sz="2" w:space="4" w:color="auto"/>
        </w:pBdr>
      </w:pPr>
    </w:p>
    <w:p w:rsidR="00555094" w:rsidRDefault="00555094" w:rsidP="00555094">
      <w:pPr>
        <w:widowControl w:val="0"/>
        <w:pBdr>
          <w:top w:val="single" w:sz="2" w:space="1" w:color="auto"/>
          <w:left w:val="single" w:sz="2" w:space="4" w:color="auto"/>
          <w:bottom w:val="single" w:sz="2" w:space="1" w:color="auto"/>
          <w:right w:val="single" w:sz="2" w:space="4" w:color="auto"/>
        </w:pBdr>
      </w:pPr>
      <w:r w:rsidRPr="00555094">
        <w:t xml:space="preserve">Whether the decision to deny compensation for </w:t>
      </w:r>
      <w:r>
        <w:t>{}</w:t>
      </w:r>
      <w:r w:rsidRPr="00555094">
        <w:t xml:space="preserve"> was clearly and unmistakably erroneous.</w:t>
      </w:r>
    </w:p>
    <w:p w:rsidR="00555094" w:rsidRDefault="00555094" w:rsidP="00555094">
      <w:pPr>
        <w:widowControl w:val="0"/>
        <w:pBdr>
          <w:top w:val="single" w:sz="2" w:space="1" w:color="auto"/>
          <w:left w:val="single" w:sz="2" w:space="4" w:color="auto"/>
          <w:bottom w:val="single" w:sz="2" w:space="1" w:color="auto"/>
          <w:right w:val="single" w:sz="2" w:space="4" w:color="auto"/>
        </w:pBdr>
      </w:pPr>
    </w:p>
    <w:p w:rsidR="00D0717B" w:rsidRDefault="00555094" w:rsidP="00D0717B">
      <w:pPr>
        <w:widowControl w:val="0"/>
        <w:pBdr>
          <w:top w:val="single" w:sz="2" w:space="1" w:color="auto"/>
          <w:left w:val="single" w:sz="2" w:space="4" w:color="auto"/>
          <w:bottom w:val="single" w:sz="2" w:space="1" w:color="auto"/>
          <w:right w:val="single" w:sz="2" w:space="4" w:color="auto"/>
        </w:pBdr>
      </w:pPr>
      <w:r w:rsidRPr="00555094">
        <w:t xml:space="preserve">No revision is warranted in the decision to deny compensation for </w:t>
      </w:r>
      <w:r>
        <w:t>{}</w:t>
      </w:r>
      <w:r w:rsidRPr="00555094">
        <w:t>.</w:t>
      </w:r>
    </w:p>
    <w:p w:rsidR="00D0717B" w:rsidRDefault="00D0717B" w:rsidP="00D0717B">
      <w:pPr>
        <w:widowControl w:val="0"/>
        <w:pBdr>
          <w:top w:val="single" w:sz="2" w:space="1" w:color="auto"/>
          <w:left w:val="single" w:sz="2" w:space="4" w:color="auto"/>
          <w:bottom w:val="single" w:sz="2" w:space="1" w:color="auto"/>
          <w:right w:val="single" w:sz="2" w:space="4" w:color="auto"/>
        </w:pBdr>
      </w:pPr>
    </w:p>
    <w:p w:rsidR="00D0717B" w:rsidRDefault="00D0717B" w:rsidP="00D0717B">
      <w:pPr>
        <w:widowControl w:val="0"/>
        <w:pBdr>
          <w:top w:val="single" w:sz="2" w:space="1" w:color="auto"/>
          <w:left w:val="single" w:sz="2" w:space="4" w:color="auto"/>
          <w:bottom w:val="single" w:sz="2" w:space="1" w:color="auto"/>
          <w:right w:val="single" w:sz="2" w:space="4" w:color="auto"/>
        </w:pBdr>
        <w:rPr>
          <w:rFonts w:ascii="Verdana" w:hAnsi="Verdana"/>
          <w:b/>
        </w:rPr>
      </w:pPr>
      <w:r w:rsidRPr="004E16AB">
        <w:rPr>
          <w:rFonts w:ascii="Verdana" w:hAnsi="Verdana"/>
          <w:b/>
          <w:highlight w:val="green"/>
        </w:rPr>
        <w:t xml:space="preserve">USE </w:t>
      </w:r>
      <w:r>
        <w:rPr>
          <w:rFonts w:ascii="Verdana" w:hAnsi="Verdana"/>
          <w:b/>
          <w:highlight w:val="green"/>
        </w:rPr>
        <w:t>VBMS-R System-Generated Text or CU1</w:t>
      </w:r>
    </w:p>
    <w:p w:rsidR="00555094" w:rsidRDefault="00555094" w:rsidP="00555094">
      <w:pPr>
        <w:widowControl w:val="0"/>
        <w:pBdr>
          <w:top w:val="single" w:sz="2" w:space="1" w:color="auto"/>
          <w:left w:val="single" w:sz="2" w:space="4" w:color="auto"/>
          <w:bottom w:val="single" w:sz="2" w:space="1" w:color="auto"/>
          <w:right w:val="single" w:sz="2" w:space="4" w:color="auto"/>
        </w:pBdr>
      </w:pPr>
    </w:p>
    <w:p w:rsidR="00555094" w:rsidRDefault="00555094" w:rsidP="00555094">
      <w:pPr>
        <w:widowControl w:val="0"/>
        <w:pBdr>
          <w:top w:val="single" w:sz="2" w:space="1" w:color="auto"/>
          <w:left w:val="single" w:sz="2" w:space="4" w:color="auto"/>
          <w:bottom w:val="single" w:sz="2" w:space="1" w:color="auto"/>
          <w:right w:val="single" w:sz="2" w:space="4" w:color="auto"/>
        </w:pBdr>
      </w:pPr>
      <w:r>
        <w:rPr>
          <w:i/>
          <w:iCs/>
        </w:rPr>
        <w:t xml:space="preserve">CUE Denied (Evidence of Record/Rules in Effect At Time) </w:t>
      </w:r>
      <w:r>
        <w:rPr>
          <w:iCs/>
        </w:rPr>
        <w:t xml:space="preserve">– </w:t>
      </w:r>
      <w:r>
        <w:t>The decision to deny compensation for {} is not considered to have been clearly and unmistakably erroneous because the decision was properly based on the available evidence of record at the time and the rules then in effect.</w:t>
      </w:r>
    </w:p>
    <w:p w:rsidR="00555094" w:rsidRDefault="00555094" w:rsidP="00555094">
      <w:pPr>
        <w:widowControl w:val="0"/>
        <w:pBdr>
          <w:top w:val="single" w:sz="2" w:space="1" w:color="auto"/>
          <w:left w:val="single" w:sz="2" w:space="4" w:color="auto"/>
          <w:bottom w:val="single" w:sz="2" w:space="1" w:color="auto"/>
          <w:right w:val="single" w:sz="2" w:space="4" w:color="auto"/>
        </w:pBdr>
      </w:pPr>
    </w:p>
    <w:p w:rsidR="00555094" w:rsidRDefault="00555094" w:rsidP="00555094">
      <w:pPr>
        <w:widowControl w:val="0"/>
        <w:pBdr>
          <w:top w:val="single" w:sz="2" w:space="1" w:color="auto"/>
          <w:left w:val="single" w:sz="2" w:space="4" w:color="auto"/>
          <w:bottom w:val="single" w:sz="2" w:space="1" w:color="auto"/>
          <w:right w:val="single" w:sz="2" w:space="4" w:color="auto"/>
        </w:pBdr>
        <w:rPr>
          <w:iCs/>
        </w:rPr>
      </w:pPr>
      <w:r>
        <w:rPr>
          <w:i/>
          <w:iCs/>
        </w:rPr>
        <w:t>CUE Denied (Not Undebateably Erroneous) –</w:t>
      </w:r>
      <w:r w:rsidRPr="00555094">
        <w:t xml:space="preserve"> </w:t>
      </w:r>
      <w:r w:rsidRPr="00555094">
        <w:rPr>
          <w:iCs/>
        </w:rPr>
        <w:t>The decision to deny compensation for left knee degenerative joint disease claimed as bilateral knee condition is not considered to have been clearly and unmistakably erroneous because the alleged error involved an exercise of judgment which cannot be characterized as undebatably erroneous.</w:t>
      </w:r>
    </w:p>
    <w:p w:rsidR="00555094" w:rsidRPr="00555094" w:rsidRDefault="00555094" w:rsidP="00555094">
      <w:pPr>
        <w:widowControl w:val="0"/>
        <w:pBdr>
          <w:top w:val="single" w:sz="2" w:space="1" w:color="auto"/>
          <w:left w:val="single" w:sz="2" w:space="4" w:color="auto"/>
          <w:bottom w:val="single" w:sz="2" w:space="1" w:color="auto"/>
          <w:right w:val="single" w:sz="2" w:space="4" w:color="auto"/>
        </w:pBdr>
        <w:rPr>
          <w:iCs/>
        </w:rPr>
      </w:pPr>
    </w:p>
    <w:p w:rsidR="00555094" w:rsidRDefault="00555094" w:rsidP="00555094">
      <w:pPr>
        <w:widowControl w:val="0"/>
        <w:pBdr>
          <w:top w:val="single" w:sz="2" w:space="1" w:color="auto"/>
          <w:left w:val="single" w:sz="2" w:space="4" w:color="auto"/>
          <w:bottom w:val="single" w:sz="2" w:space="1" w:color="auto"/>
          <w:right w:val="single" w:sz="2" w:space="4" w:color="auto"/>
        </w:pBdr>
      </w:pPr>
      <w:r>
        <w:rPr>
          <w:i/>
          <w:iCs/>
        </w:rPr>
        <w:t>CUE Denied (Error Would Not have Changed Outcome)</w:t>
      </w:r>
      <w:r w:rsidRPr="00555094">
        <w:rPr>
          <w:i/>
          <w:iCs/>
        </w:rPr>
        <w:t xml:space="preserve"> </w:t>
      </w:r>
      <w:r>
        <w:rPr>
          <w:i/>
          <w:iCs/>
        </w:rPr>
        <w:t xml:space="preserve">– </w:t>
      </w:r>
      <w:r w:rsidRPr="00555094">
        <w:rPr>
          <w:iCs/>
        </w:rPr>
        <w:t>The decision to deny compensation for left knee degenerative joint disease claimed as bilateral knee condition is not considered to have been clearly and unmistakably erroneous because the error is considered harmless since it would not have changed the outcome of the decision at the time.</w:t>
      </w:r>
    </w:p>
    <w:p w:rsidR="00555094" w:rsidRDefault="00555094">
      <w:pPr>
        <w:widowControl w:val="0"/>
      </w:pPr>
    </w:p>
    <w:p w:rsidR="00555094" w:rsidRDefault="00555094">
      <w:pPr>
        <w:widowControl w:val="0"/>
      </w:pPr>
    </w:p>
    <w:p w:rsidR="00661AE1" w:rsidRPr="00661AE1" w:rsidRDefault="00661AE1">
      <w:pPr>
        <w:widowControl w:val="0"/>
        <w:rPr>
          <w:b/>
          <w:i/>
          <w:iCs/>
        </w:rPr>
      </w:pPr>
      <w:r w:rsidRPr="00661AE1">
        <w:rPr>
          <w:b/>
          <w:i/>
          <w:iCs/>
        </w:rPr>
        <w:t>Earlier Effective Date</w:t>
      </w:r>
      <w:r w:rsidR="00BF4E47">
        <w:rPr>
          <w:b/>
          <w:i/>
          <w:iCs/>
        </w:rPr>
        <w:t xml:space="preserve"> (EED)</w:t>
      </w:r>
    </w:p>
    <w:p w:rsidR="00013EB8" w:rsidRDefault="00013EB8" w:rsidP="00661AE1">
      <w:pPr>
        <w:widowControl w:val="0"/>
        <w:rPr>
          <w:b/>
          <w:bCs/>
        </w:rPr>
      </w:pPr>
    </w:p>
    <w:p w:rsidR="00ED5C7F" w:rsidRPr="0052421B" w:rsidRDefault="00ED5C7F" w:rsidP="00F063AF">
      <w:pPr>
        <w:widowControl w:val="0"/>
        <w:numPr>
          <w:ilvl w:val="0"/>
          <w:numId w:val="104"/>
        </w:numPr>
        <w:tabs>
          <w:tab w:val="clear" w:pos="720"/>
          <w:tab w:val="num" w:pos="0"/>
          <w:tab w:val="left" w:pos="400"/>
        </w:tabs>
        <w:spacing w:after="120"/>
        <w:ind w:left="403" w:hanging="403"/>
        <w:rPr>
          <w:b/>
          <w:bCs/>
        </w:rPr>
      </w:pPr>
      <w:r>
        <w:rPr>
          <w:b/>
        </w:rPr>
        <w:t>I.1.B.1.k</w:t>
      </w:r>
    </w:p>
    <w:p w:rsidR="0052421B" w:rsidRPr="00D93EEB" w:rsidRDefault="0052421B" w:rsidP="00F063AF">
      <w:pPr>
        <w:widowControl w:val="0"/>
        <w:numPr>
          <w:ilvl w:val="0"/>
          <w:numId w:val="104"/>
        </w:numPr>
        <w:tabs>
          <w:tab w:val="clear" w:pos="720"/>
          <w:tab w:val="num" w:pos="0"/>
          <w:tab w:val="left" w:pos="400"/>
        </w:tabs>
        <w:spacing w:after="120"/>
        <w:ind w:left="403" w:hanging="403"/>
        <w:rPr>
          <w:b/>
          <w:bCs/>
        </w:rPr>
      </w:pPr>
      <w:r>
        <w:rPr>
          <w:b/>
        </w:rPr>
        <w:t>III.iv.</w:t>
      </w:r>
      <w:r w:rsidR="008E7849">
        <w:rPr>
          <w:b/>
        </w:rPr>
        <w:t>5.C.8</w:t>
      </w:r>
      <w:r w:rsidR="004F315B">
        <w:t xml:space="preserve"> – effective dates</w:t>
      </w:r>
    </w:p>
    <w:p w:rsidR="00287A19" w:rsidRPr="006406A9" w:rsidRDefault="00D571C5" w:rsidP="00F063AF">
      <w:pPr>
        <w:widowControl w:val="0"/>
        <w:numPr>
          <w:ilvl w:val="0"/>
          <w:numId w:val="104"/>
        </w:numPr>
        <w:tabs>
          <w:tab w:val="clear" w:pos="720"/>
          <w:tab w:val="num" w:pos="360"/>
          <w:tab w:val="left" w:pos="400"/>
        </w:tabs>
        <w:spacing w:after="120"/>
        <w:ind w:left="360"/>
      </w:pPr>
      <w:hyperlink r:id="rId210" w:history="1">
        <w:r w:rsidR="00287A19" w:rsidRPr="00287A19">
          <w:rPr>
            <w:rStyle w:val="Hyperlink"/>
            <w:b/>
            <w:i/>
          </w:rPr>
          <w:t xml:space="preserve">October 2014 Rating </w:t>
        </w:r>
        <w:r w:rsidR="00FF4E63">
          <w:rPr>
            <w:rStyle w:val="Hyperlink"/>
            <w:b/>
            <w:i/>
          </w:rPr>
          <w:t>Quality Call Notes</w:t>
        </w:r>
      </w:hyperlink>
      <w:r w:rsidR="00287A19" w:rsidRPr="00287A19">
        <w:t xml:space="preserve"> –</w:t>
      </w:r>
      <w:r w:rsidR="00287A19" w:rsidRPr="00287A19">
        <w:rPr>
          <w:sz w:val="22"/>
          <w:szCs w:val="22"/>
        </w:rPr>
        <w:t xml:space="preserve"> </w:t>
      </w:r>
      <w:r w:rsidR="00287A19" w:rsidRPr="00287A19">
        <w:t xml:space="preserve">VA has no authority to adjudicate a freestanding claim for an earlier effective date </w:t>
      </w:r>
      <w:r w:rsidR="00BF4E47">
        <w:t xml:space="preserve">(EED) </w:t>
      </w:r>
      <w:r w:rsidR="00287A19" w:rsidRPr="00287A19">
        <w:t>in an attempt to overcome the finality of an unappealed RO decision.  However, the claimant may request revision based on clear and unmistakable error (CUE) with respect to the assignment of the effective date in that prior final RO decision</w:t>
      </w:r>
      <w:r w:rsidR="00287A19" w:rsidRPr="00BF4E47">
        <w:t xml:space="preserve">. </w:t>
      </w:r>
      <w:r w:rsidR="00BA78B4" w:rsidRPr="00BF4E47">
        <w:rPr>
          <w:b/>
          <w:bCs/>
        </w:rPr>
        <w:t>I.1.B</w:t>
      </w:r>
      <w:r w:rsidR="00BF4E47">
        <w:rPr>
          <w:b/>
          <w:bCs/>
        </w:rPr>
        <w:t>.1.</w:t>
      </w:r>
      <w:r w:rsidR="00974121">
        <w:rPr>
          <w:b/>
          <w:bCs/>
        </w:rPr>
        <w:t>k</w:t>
      </w:r>
      <w:r w:rsidR="00BA78B4">
        <w:rPr>
          <w:b/>
          <w:bCs/>
          <w:i/>
        </w:rPr>
        <w:t xml:space="preserve"> </w:t>
      </w:r>
      <w:r w:rsidR="00706E09">
        <w:rPr>
          <w:i/>
        </w:rPr>
        <w:t>has text to include in lette</w:t>
      </w:r>
      <w:r w:rsidR="00974121">
        <w:rPr>
          <w:i/>
        </w:rPr>
        <w:t>r if CUE not claimed</w:t>
      </w:r>
    </w:p>
    <w:p w:rsidR="006406A9" w:rsidRPr="00287A19" w:rsidRDefault="006406A9" w:rsidP="00F063AF">
      <w:pPr>
        <w:widowControl w:val="0"/>
        <w:numPr>
          <w:ilvl w:val="0"/>
          <w:numId w:val="104"/>
        </w:numPr>
        <w:tabs>
          <w:tab w:val="clear" w:pos="720"/>
          <w:tab w:val="left" w:pos="400"/>
          <w:tab w:val="num" w:pos="450"/>
        </w:tabs>
        <w:spacing w:after="120"/>
        <w:ind w:left="360"/>
      </w:pPr>
      <w:r>
        <w:t xml:space="preserve">Per VA Pulse, </w:t>
      </w:r>
      <w:r w:rsidRPr="00000E48">
        <w:rPr>
          <w:i/>
        </w:rPr>
        <w:t>https://www.vapulse.net/message/20799</w:t>
      </w:r>
      <w:r>
        <w:t>, a request for an earlier effective date</w:t>
      </w:r>
      <w:r w:rsidR="00BF4E47">
        <w:t xml:space="preserve"> (EED)</w:t>
      </w:r>
      <w:r>
        <w:t xml:space="preserve"> does not ne</w:t>
      </w:r>
      <w:r w:rsidR="00BF4E47">
        <w:t>ed</w:t>
      </w:r>
      <w:r>
        <w:t xml:space="preserve"> to be on a specific form </w:t>
      </w:r>
    </w:p>
    <w:p w:rsidR="00BD7A5C" w:rsidRDefault="00BD7A5C">
      <w:pPr>
        <w:widowControl w:val="0"/>
        <w:tabs>
          <w:tab w:val="left" w:pos="0"/>
          <w:tab w:val="left" w:pos="144"/>
        </w:tabs>
      </w:pPr>
    </w:p>
    <w:p w:rsidR="00661AE1" w:rsidRDefault="00D40D20" w:rsidP="00661AE1">
      <w:pPr>
        <w:widowControl w:val="0"/>
        <w:pBdr>
          <w:top w:val="single" w:sz="4" w:space="1" w:color="auto"/>
          <w:left w:val="single" w:sz="4" w:space="4" w:color="auto"/>
          <w:bottom w:val="single" w:sz="4" w:space="1" w:color="auto"/>
          <w:right w:val="single" w:sz="4" w:space="4" w:color="auto"/>
        </w:pBdr>
        <w:rPr>
          <w:b/>
          <w:bCs/>
        </w:rPr>
      </w:pPr>
      <w:r>
        <w:rPr>
          <w:b/>
          <w:bCs/>
        </w:rPr>
        <w:t xml:space="preserve">Claim for CUE, but none found, so </w:t>
      </w:r>
      <w:r w:rsidR="00661AE1">
        <w:rPr>
          <w:b/>
          <w:bCs/>
        </w:rPr>
        <w:t>NO earlier effective date (EED):</w:t>
      </w:r>
    </w:p>
    <w:p w:rsidR="00661AE1" w:rsidRDefault="00661AE1" w:rsidP="00661AE1">
      <w:pPr>
        <w:widowControl w:val="0"/>
        <w:pBdr>
          <w:top w:val="single" w:sz="4" w:space="1" w:color="auto"/>
          <w:left w:val="single" w:sz="4" w:space="4" w:color="auto"/>
          <w:bottom w:val="single" w:sz="4" w:space="1" w:color="auto"/>
          <w:right w:val="single" w:sz="4" w:space="4" w:color="auto"/>
        </w:pBdr>
        <w:rPr>
          <w:b/>
          <w:bCs/>
        </w:rPr>
      </w:pPr>
    </w:p>
    <w:p w:rsidR="00307FED" w:rsidRDefault="00661AE1" w:rsidP="00661AE1">
      <w:pPr>
        <w:widowControl w:val="0"/>
        <w:pBdr>
          <w:top w:val="single" w:sz="4" w:space="1" w:color="auto"/>
          <w:left w:val="single" w:sz="4" w:space="4" w:color="auto"/>
          <w:bottom w:val="single" w:sz="4" w:space="1" w:color="auto"/>
          <w:right w:val="single" w:sz="4" w:space="4" w:color="auto"/>
        </w:pBdr>
        <w:rPr>
          <w:i/>
          <w:iCs/>
        </w:rPr>
      </w:pPr>
      <w:r>
        <w:rPr>
          <w:i/>
          <w:iCs/>
        </w:rPr>
        <w:t>Choose “Earlier Effective Date Denied” under Supplementary Decision, then: “</w:t>
      </w:r>
      <w:r>
        <w:rPr>
          <w:b/>
          <w:bCs/>
          <w:i/>
          <w:iCs/>
        </w:rPr>
        <w:t>CUE Comp Earlier Effective Date Denied</w:t>
      </w:r>
      <w:r>
        <w:rPr>
          <w:i/>
          <w:iCs/>
        </w:rPr>
        <w:t>” &amp;</w:t>
      </w:r>
      <w:r w:rsidR="00307FED">
        <w:rPr>
          <w:i/>
          <w:iCs/>
        </w:rPr>
        <w:t>:</w:t>
      </w:r>
    </w:p>
    <w:p w:rsidR="00910053" w:rsidRDefault="00910053" w:rsidP="00910053">
      <w:pPr>
        <w:widowControl w:val="0"/>
        <w:pBdr>
          <w:top w:val="single" w:sz="4" w:space="1" w:color="auto"/>
          <w:left w:val="single" w:sz="4" w:space="4" w:color="auto"/>
          <w:bottom w:val="single" w:sz="4" w:space="1" w:color="auto"/>
          <w:right w:val="single" w:sz="4" w:space="4" w:color="auto"/>
        </w:pBdr>
        <w:rPr>
          <w:i/>
          <w:iCs/>
        </w:rPr>
      </w:pPr>
      <w:r>
        <w:rPr>
          <w:i/>
          <w:iCs/>
        </w:rPr>
        <w:t xml:space="preserve">or CUE Denied (Evidence of Record/Rules in Effect At Time) </w:t>
      </w:r>
      <w:r>
        <w:rPr>
          <w:iCs/>
        </w:rPr>
        <w:t xml:space="preserve">– </w:t>
      </w:r>
      <w:r w:rsidRPr="00307FED">
        <w:rPr>
          <w:iCs/>
        </w:rPr>
        <w:t>“</w:t>
      </w:r>
      <w:r>
        <w:rPr>
          <w:iCs/>
        </w:rPr>
        <w:t>…</w:t>
      </w:r>
      <w:r w:rsidRPr="00307FED">
        <w:rPr>
          <w:iCs/>
        </w:rPr>
        <w:t>because the decision was properly based on the available evidence of record at the time and the rules then in effect.”</w:t>
      </w:r>
    </w:p>
    <w:p w:rsidR="00307FED" w:rsidRDefault="00555094" w:rsidP="00661AE1">
      <w:pPr>
        <w:widowControl w:val="0"/>
        <w:pBdr>
          <w:top w:val="single" w:sz="4" w:space="1" w:color="auto"/>
          <w:left w:val="single" w:sz="4" w:space="4" w:color="auto"/>
          <w:bottom w:val="single" w:sz="4" w:space="1" w:color="auto"/>
          <w:right w:val="single" w:sz="4" w:space="4" w:color="auto"/>
        </w:pBdr>
        <w:rPr>
          <w:i/>
          <w:iCs/>
        </w:rPr>
      </w:pPr>
      <w:r>
        <w:rPr>
          <w:i/>
          <w:iCs/>
        </w:rPr>
        <w:t xml:space="preserve">or </w:t>
      </w:r>
      <w:r w:rsidR="00661AE1">
        <w:rPr>
          <w:i/>
          <w:iCs/>
        </w:rPr>
        <w:t>CUE Denied (Error Would Not have Changed Outcome)</w:t>
      </w:r>
      <w:r w:rsidR="00307FED">
        <w:rPr>
          <w:i/>
          <w:iCs/>
        </w:rPr>
        <w:t xml:space="preserve"> </w:t>
      </w:r>
      <w:r w:rsidR="00307FED" w:rsidRPr="00307FED">
        <w:rPr>
          <w:iCs/>
        </w:rPr>
        <w:t>– “</w:t>
      </w:r>
      <w:r w:rsidR="00910053">
        <w:rPr>
          <w:iCs/>
        </w:rPr>
        <w:t xml:space="preserve">… </w:t>
      </w:r>
      <w:r w:rsidR="00307FED" w:rsidRPr="00307FED">
        <w:rPr>
          <w:iCs/>
        </w:rPr>
        <w:t>the error is considered harmless since it would not have changed the outcome of the decision at the time.”</w:t>
      </w:r>
    </w:p>
    <w:p w:rsidR="00307FED" w:rsidRDefault="00661AE1" w:rsidP="00661AE1">
      <w:pPr>
        <w:widowControl w:val="0"/>
        <w:pBdr>
          <w:top w:val="single" w:sz="4" w:space="1" w:color="auto"/>
          <w:left w:val="single" w:sz="4" w:space="4" w:color="auto"/>
          <w:bottom w:val="single" w:sz="4" w:space="1" w:color="auto"/>
          <w:right w:val="single" w:sz="4" w:space="4" w:color="auto"/>
        </w:pBdr>
        <w:rPr>
          <w:i/>
          <w:iCs/>
        </w:rPr>
      </w:pPr>
      <w:r>
        <w:rPr>
          <w:i/>
          <w:iCs/>
        </w:rPr>
        <w:t xml:space="preserve">or CUE Denied (Not Undebateably Erroneous) </w:t>
      </w:r>
      <w:r w:rsidR="00307FED">
        <w:rPr>
          <w:i/>
          <w:iCs/>
        </w:rPr>
        <w:t xml:space="preserve">– </w:t>
      </w:r>
      <w:r w:rsidR="00307FED" w:rsidRPr="00307FED">
        <w:rPr>
          <w:iCs/>
        </w:rPr>
        <w:t>“</w:t>
      </w:r>
      <w:r w:rsidR="00910053">
        <w:rPr>
          <w:iCs/>
        </w:rPr>
        <w:t xml:space="preserve">… </w:t>
      </w:r>
      <w:r w:rsidR="00307FED" w:rsidRPr="00307FED">
        <w:rPr>
          <w:iCs/>
        </w:rPr>
        <w:t>alleged error involved an exercise of judgment which cannot be characterized as undebatably erroneous</w:t>
      </w:r>
      <w:r w:rsidR="006D213B">
        <w:rPr>
          <w:iCs/>
        </w:rPr>
        <w:t>.</w:t>
      </w:r>
      <w:r w:rsidR="00307FED" w:rsidRPr="00307FED">
        <w:rPr>
          <w:iCs/>
        </w:rPr>
        <w:t>”</w:t>
      </w:r>
    </w:p>
    <w:p w:rsidR="00661AE1" w:rsidRDefault="00661AE1" w:rsidP="00661AE1">
      <w:pPr>
        <w:widowControl w:val="0"/>
        <w:pBdr>
          <w:top w:val="single" w:sz="4" w:space="1" w:color="auto"/>
          <w:left w:val="single" w:sz="4" w:space="4" w:color="auto"/>
          <w:bottom w:val="single" w:sz="4" w:space="1" w:color="auto"/>
          <w:right w:val="single" w:sz="4" w:space="4" w:color="auto"/>
        </w:pBdr>
        <w:rPr>
          <w:i/>
          <w:iCs/>
        </w:rPr>
      </w:pPr>
    </w:p>
    <w:p w:rsidR="00661AE1" w:rsidRDefault="00661AE1" w:rsidP="00661AE1">
      <w:pPr>
        <w:widowControl w:val="0"/>
        <w:pBdr>
          <w:top w:val="single" w:sz="4" w:space="1" w:color="auto"/>
          <w:left w:val="single" w:sz="4" w:space="4" w:color="auto"/>
          <w:bottom w:val="single" w:sz="4" w:space="1" w:color="auto"/>
          <w:right w:val="single" w:sz="4" w:space="4" w:color="auto"/>
        </w:pBdr>
      </w:pPr>
      <w:r>
        <w:rPr>
          <w:i/>
          <w:iCs/>
        </w:rPr>
        <w:t>Issue:</w:t>
      </w:r>
      <w:r>
        <w:t xml:space="preserve">  Whether the </w:t>
      </w:r>
      <w:r>
        <w:rPr>
          <w:b/>
          <w:bCs/>
        </w:rPr>
        <w:t>effective date of compensation</w:t>
      </w:r>
      <w:r>
        <w:t xml:space="preserve"> for posttraumatic stress disorder was a clear and unmistakable error.</w:t>
      </w:r>
    </w:p>
    <w:p w:rsidR="00661AE1" w:rsidRDefault="00661AE1" w:rsidP="00661AE1">
      <w:pPr>
        <w:widowControl w:val="0"/>
        <w:pBdr>
          <w:top w:val="single" w:sz="4" w:space="1" w:color="auto"/>
          <w:left w:val="single" w:sz="4" w:space="4" w:color="auto"/>
          <w:bottom w:val="single" w:sz="4" w:space="1" w:color="auto"/>
          <w:right w:val="single" w:sz="4" w:space="4" w:color="auto"/>
        </w:pBdr>
      </w:pPr>
      <w:r>
        <w:rPr>
          <w:i/>
          <w:iCs/>
        </w:rPr>
        <w:t>Decision:</w:t>
      </w:r>
      <w:r>
        <w:t xml:space="preserve">  Entitlement to an earlier effective date of service connection for posttraumatic stress disorder is not shown due to a clear and unmistakable error. The 50 percent evaluation is continued from December 18, 2008.</w:t>
      </w:r>
    </w:p>
    <w:p w:rsidR="00661AE1" w:rsidRDefault="00661AE1" w:rsidP="00661AE1">
      <w:pPr>
        <w:widowControl w:val="0"/>
        <w:pBdr>
          <w:top w:val="single" w:sz="4" w:space="1" w:color="auto"/>
          <w:left w:val="single" w:sz="4" w:space="4" w:color="auto"/>
          <w:bottom w:val="single" w:sz="4" w:space="1" w:color="auto"/>
          <w:right w:val="single" w:sz="4" w:space="4" w:color="auto"/>
        </w:pBdr>
      </w:pPr>
    </w:p>
    <w:p w:rsidR="00661AE1" w:rsidRDefault="00661AE1" w:rsidP="00661AE1">
      <w:pPr>
        <w:pStyle w:val="BodyText"/>
        <w:widowControl w:val="0"/>
        <w:pBdr>
          <w:top w:val="single" w:sz="4" w:space="1" w:color="auto"/>
          <w:left w:val="single" w:sz="4" w:space="4" w:color="auto"/>
          <w:bottom w:val="single" w:sz="4" w:space="1" w:color="auto"/>
          <w:right w:val="single" w:sz="4" w:space="4" w:color="auto"/>
        </w:pBdr>
        <w:rPr>
          <w:i/>
          <w:iCs/>
          <w:sz w:val="20"/>
        </w:rPr>
      </w:pPr>
      <w:r>
        <w:rPr>
          <w:i/>
          <w:iCs/>
          <w:sz w:val="20"/>
        </w:rPr>
        <w:t>May need to modify to:</w:t>
      </w:r>
    </w:p>
    <w:p w:rsidR="00661AE1" w:rsidRDefault="00661AE1" w:rsidP="00661AE1">
      <w:pPr>
        <w:widowControl w:val="0"/>
        <w:pBdr>
          <w:top w:val="single" w:sz="4" w:space="1" w:color="auto"/>
          <w:left w:val="single" w:sz="4" w:space="4" w:color="auto"/>
          <w:bottom w:val="single" w:sz="4" w:space="1" w:color="auto"/>
          <w:right w:val="single" w:sz="4" w:space="4" w:color="auto"/>
        </w:pBdr>
      </w:pPr>
      <w:r>
        <w:rPr>
          <w:i/>
          <w:iCs/>
        </w:rPr>
        <w:t>Issue:</w:t>
      </w:r>
      <w:r>
        <w:t xml:space="preserve">  Whether the effective date of the {increased} evaluation assigned to the service-connected posttraumatic stress disorder was a clear and unmistakable error.</w:t>
      </w:r>
    </w:p>
    <w:p w:rsidR="00661AE1" w:rsidRDefault="00661AE1" w:rsidP="00661AE1">
      <w:pPr>
        <w:widowControl w:val="0"/>
        <w:pBdr>
          <w:top w:val="single" w:sz="4" w:space="1" w:color="auto"/>
          <w:left w:val="single" w:sz="4" w:space="4" w:color="auto"/>
          <w:bottom w:val="single" w:sz="4" w:space="1" w:color="auto"/>
          <w:right w:val="single" w:sz="4" w:space="4" w:color="auto"/>
        </w:pBdr>
      </w:pPr>
      <w:r>
        <w:rPr>
          <w:i/>
          <w:iCs/>
        </w:rPr>
        <w:t>Decision:</w:t>
      </w:r>
      <w:r>
        <w:t xml:space="preserve">  Entitlement to an earlier effective date for the {increased} evaluation of posttraumatic stress disorder is not warranted.  The 50 percent evaluation is continued from December 18, 2008.</w:t>
      </w:r>
    </w:p>
    <w:p w:rsidR="00661AE1" w:rsidRDefault="00661AE1" w:rsidP="00661AE1">
      <w:pPr>
        <w:widowControl w:val="0"/>
        <w:pBdr>
          <w:top w:val="single" w:sz="4" w:space="1" w:color="auto"/>
          <w:left w:val="single" w:sz="4" w:space="4" w:color="auto"/>
          <w:bottom w:val="single" w:sz="4" w:space="1" w:color="auto"/>
          <w:right w:val="single" w:sz="4" w:space="4" w:color="auto"/>
        </w:pBdr>
      </w:pPr>
      <w:r>
        <w:t>________</w:t>
      </w:r>
    </w:p>
    <w:p w:rsidR="00661AE1" w:rsidRDefault="00661AE1" w:rsidP="00661AE1">
      <w:pPr>
        <w:widowControl w:val="0"/>
        <w:pBdr>
          <w:top w:val="single" w:sz="4" w:space="1" w:color="auto"/>
          <w:left w:val="single" w:sz="4" w:space="4" w:color="auto"/>
          <w:bottom w:val="single" w:sz="4" w:space="1" w:color="auto"/>
          <w:right w:val="single" w:sz="4" w:space="4" w:color="auto"/>
        </w:pBdr>
      </w:pPr>
    </w:p>
    <w:p w:rsidR="00661AE1" w:rsidRDefault="00661AE1" w:rsidP="00661AE1">
      <w:pPr>
        <w:widowControl w:val="0"/>
        <w:pBdr>
          <w:top w:val="single" w:sz="4" w:space="1" w:color="auto"/>
          <w:left w:val="single" w:sz="4" w:space="4" w:color="auto"/>
          <w:bottom w:val="single" w:sz="4" w:space="1" w:color="auto"/>
          <w:right w:val="single" w:sz="4" w:space="4" w:color="auto"/>
        </w:pBdr>
      </w:pPr>
      <w:r>
        <w:t>A clear and unmistakable error will be held to exist when there is a finding in a prior decision that there were factual or legal errors which are more than a disagreement over matters of judgment.  The finding must be limited to the factual record which was previously before the Department, the laws or regulations which existed at the time of the decision and the error must be material to the outcome of the claim.  In this case, the previous disability evaluation is continued as no clear and unmistakable error is shown.</w:t>
      </w:r>
    </w:p>
    <w:p w:rsidR="00661AE1" w:rsidRDefault="00661AE1" w:rsidP="00661AE1">
      <w:pPr>
        <w:widowControl w:val="0"/>
        <w:pBdr>
          <w:top w:val="single" w:sz="4" w:space="1" w:color="auto"/>
          <w:left w:val="single" w:sz="4" w:space="4" w:color="auto"/>
          <w:bottom w:val="single" w:sz="4" w:space="1" w:color="auto"/>
          <w:right w:val="single" w:sz="4" w:space="4" w:color="auto"/>
        </w:pBdr>
      </w:pPr>
    </w:p>
    <w:p w:rsidR="00661AE1" w:rsidRDefault="00661AE1" w:rsidP="00661AE1">
      <w:pPr>
        <w:widowControl w:val="0"/>
        <w:pBdr>
          <w:top w:val="single" w:sz="4" w:space="1" w:color="auto"/>
          <w:left w:val="single" w:sz="4" w:space="4" w:color="auto"/>
          <w:bottom w:val="single" w:sz="4" w:space="1" w:color="auto"/>
          <w:right w:val="single" w:sz="4" w:space="4" w:color="auto"/>
        </w:pBdr>
      </w:pPr>
      <w:r>
        <w:t>VA regulations say the "effective date of pension or compensation benefits, if otherwise in order, will be the date of receipt of a claim or the date when entitlement arose, whichever is the later."</w:t>
      </w:r>
    </w:p>
    <w:p w:rsidR="00661AE1" w:rsidRDefault="00661AE1" w:rsidP="00661AE1">
      <w:pPr>
        <w:widowControl w:val="0"/>
        <w:pBdr>
          <w:top w:val="single" w:sz="4" w:space="1" w:color="auto"/>
          <w:left w:val="single" w:sz="4" w:space="4" w:color="auto"/>
          <w:bottom w:val="single" w:sz="4" w:space="1" w:color="auto"/>
          <w:right w:val="single" w:sz="4" w:space="4" w:color="auto"/>
        </w:pBdr>
      </w:pPr>
      <w:r>
        <w:t>OR</w:t>
      </w:r>
    </w:p>
    <w:p w:rsidR="00661AE1" w:rsidRDefault="00661AE1" w:rsidP="00661AE1">
      <w:pPr>
        <w:widowControl w:val="0"/>
        <w:pBdr>
          <w:top w:val="single" w:sz="4" w:space="1" w:color="auto"/>
          <w:left w:val="single" w:sz="4" w:space="4" w:color="auto"/>
          <w:bottom w:val="single" w:sz="4" w:space="1" w:color="auto"/>
          <w:right w:val="single" w:sz="4" w:space="4" w:color="auto"/>
        </w:pBdr>
      </w:pPr>
      <w:r>
        <w:t>VA regulations state that, for disability compensation, for direct service connection, the effective date will be the "day following separation from active service or date entitlement arose if claim is received within 1 year after separation from service; otherwise, date of receipt of claim, or date entitlement arose, whichever is later."</w:t>
      </w:r>
    </w:p>
    <w:p w:rsidR="00661AE1" w:rsidRDefault="00661AE1" w:rsidP="00661AE1">
      <w:pPr>
        <w:widowControl w:val="0"/>
        <w:pBdr>
          <w:top w:val="single" w:sz="4" w:space="1" w:color="auto"/>
          <w:left w:val="single" w:sz="4" w:space="4" w:color="auto"/>
          <w:bottom w:val="single" w:sz="4" w:space="1" w:color="auto"/>
          <w:right w:val="single" w:sz="4" w:space="4" w:color="auto"/>
        </w:pBdr>
      </w:pPr>
    </w:p>
    <w:p w:rsidR="00661AE1" w:rsidRDefault="00661AE1" w:rsidP="00661AE1">
      <w:pPr>
        <w:widowControl w:val="0"/>
        <w:pBdr>
          <w:top w:val="single" w:sz="4" w:space="1" w:color="auto"/>
          <w:left w:val="single" w:sz="4" w:space="4" w:color="auto"/>
          <w:bottom w:val="single" w:sz="4" w:space="1" w:color="auto"/>
          <w:right w:val="single" w:sz="4" w:space="4" w:color="auto"/>
        </w:pBdr>
      </w:pPr>
      <w:r>
        <w:t>{The Statement of the Case dated July 13, 2009 shows a 50 percent evaluation was assigned for post traumatic stress disorder effective December 18, 2008 because the December 18, 2008 VA examination was the first evidence of record showing worsening of the condition. All prior evidence showed that a continued 10 percent evaluation was warranted.  There is no evidence of a clear and unmistakable error warranting entitlement to an earlier effective date for the increased evaluation of posttraumatic stress disorder.}</w:t>
      </w:r>
    </w:p>
    <w:p w:rsidR="00661AE1" w:rsidRDefault="00661AE1" w:rsidP="00661AE1">
      <w:pPr>
        <w:widowControl w:val="0"/>
        <w:pBdr>
          <w:top w:val="single" w:sz="4" w:space="1" w:color="auto"/>
          <w:left w:val="single" w:sz="4" w:space="4" w:color="auto"/>
          <w:bottom w:val="single" w:sz="4" w:space="1" w:color="auto"/>
          <w:right w:val="single" w:sz="4" w:space="4" w:color="auto"/>
        </w:pBdr>
      </w:pPr>
    </w:p>
    <w:p w:rsidR="00661AE1" w:rsidRDefault="00661AE1" w:rsidP="00661AE1">
      <w:pPr>
        <w:widowControl w:val="0"/>
        <w:pBdr>
          <w:top w:val="single" w:sz="4" w:space="1" w:color="auto"/>
          <w:left w:val="single" w:sz="4" w:space="4" w:color="auto"/>
          <w:bottom w:val="single" w:sz="4" w:space="1" w:color="auto"/>
          <w:right w:val="single" w:sz="4" w:space="4" w:color="auto"/>
        </w:pBdr>
      </w:pPr>
      <w:r>
        <w:t xml:space="preserve">We have continued the evaluation as </w:t>
      </w:r>
      <w:r w:rsidR="00A46221">
        <w:t>{}</w:t>
      </w:r>
      <w:r>
        <w:t xml:space="preserve"> percent disabling.  The treatment records show </w:t>
      </w:r>
      <w:r w:rsidR="00A46221">
        <w:t>{}</w:t>
      </w:r>
      <w:r>
        <w:t xml:space="preserve">.  The current </w:t>
      </w:r>
      <w:r w:rsidR="00AC28AF">
        <w:t>DBQ</w:t>
      </w:r>
      <w:r>
        <w:t xml:space="preserve"> shows your reports of </w:t>
      </w:r>
      <w:r w:rsidR="00A46221">
        <w:t>{}</w:t>
      </w:r>
      <w:r>
        <w:t xml:space="preserve">.  The examiner found </w:t>
      </w:r>
      <w:r w:rsidR="00A46221">
        <w:t>{}</w:t>
      </w:r>
      <w:r>
        <w:t>.</w:t>
      </w:r>
    </w:p>
    <w:p w:rsidR="00661AE1" w:rsidRDefault="00661AE1" w:rsidP="00661AE1">
      <w:pPr>
        <w:widowControl w:val="0"/>
        <w:pBdr>
          <w:top w:val="single" w:sz="4" w:space="1" w:color="auto"/>
          <w:left w:val="single" w:sz="4" w:space="4" w:color="auto"/>
          <w:bottom w:val="single" w:sz="4" w:space="1" w:color="auto"/>
          <w:right w:val="single" w:sz="4" w:space="4" w:color="auto"/>
        </w:pBdr>
      </w:pPr>
    </w:p>
    <w:p w:rsidR="00661AE1" w:rsidRDefault="00661AE1" w:rsidP="00661AE1">
      <w:pPr>
        <w:widowControl w:val="0"/>
        <w:pBdr>
          <w:top w:val="single" w:sz="4" w:space="1" w:color="auto"/>
          <w:left w:val="single" w:sz="4" w:space="4" w:color="auto"/>
          <w:bottom w:val="single" w:sz="4" w:space="1" w:color="auto"/>
          <w:right w:val="single" w:sz="4" w:space="4" w:color="auto"/>
        </w:pBdr>
        <w:rPr>
          <w:b/>
          <w:bCs/>
        </w:rPr>
      </w:pPr>
      <w:r>
        <w:rPr>
          <w:b/>
          <w:bCs/>
        </w:rPr>
        <w:t xml:space="preserve">These choices in </w:t>
      </w:r>
      <w:r w:rsidR="00D94044" w:rsidRPr="004E16AB">
        <w:rPr>
          <w:rFonts w:ascii="Verdana" w:hAnsi="Verdana"/>
          <w:b/>
          <w:highlight w:val="green"/>
        </w:rPr>
        <w:t>VBMS-R</w:t>
      </w:r>
      <w:r>
        <w:rPr>
          <w:b/>
          <w:bCs/>
        </w:rPr>
        <w:t xml:space="preserve"> do not discuss CUE</w:t>
      </w:r>
      <w:r w:rsidR="00C334D1">
        <w:rPr>
          <w:b/>
          <w:bCs/>
        </w:rPr>
        <w:t xml:space="preserve"> &amp; we do not address EED unless CUE claimed</w:t>
      </w:r>
      <w:r>
        <w:rPr>
          <w:b/>
          <w:bCs/>
        </w:rPr>
        <w:t>:</w:t>
      </w:r>
    </w:p>
    <w:p w:rsidR="00661AE1" w:rsidRDefault="00661AE1" w:rsidP="00661AE1">
      <w:pPr>
        <w:widowControl w:val="0"/>
        <w:pBdr>
          <w:top w:val="single" w:sz="4" w:space="1" w:color="auto"/>
          <w:left w:val="single" w:sz="4" w:space="4" w:color="auto"/>
          <w:bottom w:val="single" w:sz="4" w:space="1" w:color="auto"/>
          <w:right w:val="single" w:sz="4" w:space="4" w:color="auto"/>
        </w:pBdr>
        <w:rPr>
          <w:i/>
          <w:iCs/>
        </w:rPr>
      </w:pPr>
      <w:r>
        <w:rPr>
          <w:i/>
          <w:iCs/>
        </w:rPr>
        <w:t>Then: “SC Earlier Effective Date Denial” =</w:t>
      </w:r>
    </w:p>
    <w:p w:rsidR="00661AE1" w:rsidRDefault="00661AE1" w:rsidP="00661AE1">
      <w:pPr>
        <w:widowControl w:val="0"/>
        <w:pBdr>
          <w:top w:val="single" w:sz="4" w:space="1" w:color="auto"/>
          <w:left w:val="single" w:sz="4" w:space="4" w:color="auto"/>
          <w:bottom w:val="single" w:sz="4" w:space="1" w:color="auto"/>
          <w:right w:val="single" w:sz="4" w:space="4" w:color="auto"/>
        </w:pBdr>
      </w:pPr>
      <w:r>
        <w:rPr>
          <w:i/>
          <w:iCs/>
        </w:rPr>
        <w:t>Issue:</w:t>
      </w:r>
      <w:r>
        <w:t xml:space="preserve">  Entitlement to an earlier effective date for service connection of </w:t>
      </w:r>
      <w:r w:rsidR="00A46221">
        <w:t>{}</w:t>
      </w:r>
      <w:r>
        <w:t>.</w:t>
      </w:r>
    </w:p>
    <w:p w:rsidR="00661AE1" w:rsidRDefault="00661AE1" w:rsidP="00661AE1">
      <w:pPr>
        <w:widowControl w:val="0"/>
        <w:pBdr>
          <w:top w:val="single" w:sz="4" w:space="1" w:color="auto"/>
          <w:left w:val="single" w:sz="4" w:space="4" w:color="auto"/>
          <w:bottom w:val="single" w:sz="4" w:space="1" w:color="auto"/>
          <w:right w:val="single" w:sz="4" w:space="4" w:color="auto"/>
        </w:pBdr>
      </w:pPr>
      <w:r>
        <w:rPr>
          <w:i/>
          <w:iCs/>
        </w:rPr>
        <w:t>Decision:</w:t>
      </w:r>
      <w:r>
        <w:t xml:space="preserve">  Entitlement to an earlier effective date for service connection of </w:t>
      </w:r>
      <w:r w:rsidR="00A46221">
        <w:t>{}</w:t>
      </w:r>
      <w:r>
        <w:t xml:space="preserve"> is denied.</w:t>
      </w:r>
    </w:p>
    <w:p w:rsidR="00661AE1" w:rsidRDefault="00661AE1" w:rsidP="00661AE1">
      <w:pPr>
        <w:widowControl w:val="0"/>
        <w:pBdr>
          <w:top w:val="single" w:sz="4" w:space="1" w:color="auto"/>
          <w:left w:val="single" w:sz="4" w:space="4" w:color="auto"/>
          <w:bottom w:val="single" w:sz="4" w:space="1" w:color="auto"/>
          <w:right w:val="single" w:sz="4" w:space="4" w:color="auto"/>
        </w:pBdr>
      </w:pPr>
    </w:p>
    <w:p w:rsidR="00661AE1" w:rsidRDefault="00661AE1" w:rsidP="00661AE1">
      <w:pPr>
        <w:widowControl w:val="0"/>
        <w:pBdr>
          <w:top w:val="single" w:sz="4" w:space="1" w:color="auto"/>
          <w:left w:val="single" w:sz="4" w:space="4" w:color="auto"/>
          <w:bottom w:val="single" w:sz="4" w:space="1" w:color="auto"/>
          <w:right w:val="single" w:sz="4" w:space="4" w:color="auto"/>
        </w:pBdr>
        <w:rPr>
          <w:i/>
          <w:iCs/>
        </w:rPr>
      </w:pPr>
      <w:r>
        <w:rPr>
          <w:i/>
          <w:iCs/>
        </w:rPr>
        <w:t>Then: “Earlier Date - Evaluation Denied” =</w:t>
      </w:r>
    </w:p>
    <w:p w:rsidR="00661AE1" w:rsidRDefault="00661AE1" w:rsidP="00661AE1">
      <w:pPr>
        <w:widowControl w:val="0"/>
        <w:pBdr>
          <w:top w:val="single" w:sz="4" w:space="1" w:color="auto"/>
          <w:left w:val="single" w:sz="4" w:space="4" w:color="auto"/>
          <w:bottom w:val="single" w:sz="4" w:space="1" w:color="auto"/>
          <w:right w:val="single" w:sz="4" w:space="4" w:color="auto"/>
        </w:pBdr>
      </w:pPr>
      <w:r>
        <w:rPr>
          <w:i/>
          <w:iCs/>
        </w:rPr>
        <w:t>Issue:</w:t>
      </w:r>
      <w:r>
        <w:t xml:space="preserve">  Entitlement to an earlier effective date for the evaluation assigned to the service connected </w:t>
      </w:r>
      <w:r w:rsidR="00A46221">
        <w:t>{}</w:t>
      </w:r>
      <w:r>
        <w:t>.</w:t>
      </w:r>
    </w:p>
    <w:p w:rsidR="00661AE1" w:rsidRDefault="00661AE1" w:rsidP="00661AE1">
      <w:pPr>
        <w:widowControl w:val="0"/>
        <w:pBdr>
          <w:top w:val="single" w:sz="4" w:space="1" w:color="auto"/>
          <w:left w:val="single" w:sz="4" w:space="4" w:color="auto"/>
          <w:bottom w:val="single" w:sz="4" w:space="1" w:color="auto"/>
          <w:right w:val="single" w:sz="4" w:space="4" w:color="auto"/>
        </w:pBdr>
      </w:pPr>
      <w:r>
        <w:rPr>
          <w:i/>
          <w:iCs/>
        </w:rPr>
        <w:t>Decision:</w:t>
      </w:r>
      <w:r>
        <w:t xml:space="preserve">  Entitlement to an earlier effective date for the evaluation of </w:t>
      </w:r>
      <w:r w:rsidR="00A46221">
        <w:t>{}</w:t>
      </w:r>
      <w:r>
        <w:t xml:space="preserve"> is denied.</w:t>
      </w:r>
    </w:p>
    <w:p w:rsidR="00BD7A5C" w:rsidRDefault="00BD7A5C">
      <w:pPr>
        <w:widowControl w:val="0"/>
        <w:tabs>
          <w:tab w:val="left" w:pos="0"/>
          <w:tab w:val="left" w:pos="144"/>
        </w:tabs>
      </w:pPr>
    </w:p>
    <w:p w:rsidR="00013EB8" w:rsidRDefault="00013EB8">
      <w:pPr>
        <w:widowControl w:val="0"/>
        <w:pBdr>
          <w:top w:val="single" w:sz="4" w:space="1" w:color="auto"/>
        </w:pBdr>
        <w:tabs>
          <w:tab w:val="left" w:pos="0"/>
          <w:tab w:val="left" w:pos="144"/>
        </w:tabs>
        <w:rPr>
          <w:b/>
          <w:bCs/>
          <w:i/>
          <w:iCs/>
          <w:sz w:val="22"/>
        </w:rPr>
      </w:pPr>
    </w:p>
    <w:p w:rsidR="00013EB8" w:rsidRDefault="00013EB8">
      <w:pPr>
        <w:widowControl w:val="0"/>
        <w:tabs>
          <w:tab w:val="left" w:pos="0"/>
          <w:tab w:val="left" w:pos="144"/>
        </w:tabs>
        <w:rPr>
          <w:b/>
          <w:bCs/>
          <w:i/>
          <w:iCs/>
          <w:sz w:val="22"/>
        </w:rPr>
      </w:pPr>
      <w:bookmarkStart w:id="23" w:name="CFI"/>
      <w:r>
        <w:rPr>
          <w:b/>
          <w:bCs/>
          <w:i/>
          <w:iCs/>
          <w:sz w:val="22"/>
        </w:rPr>
        <w:t>Claims for Increase –</w:t>
      </w:r>
    </w:p>
    <w:bookmarkEnd w:id="23"/>
    <w:p w:rsidR="00013EB8" w:rsidRDefault="00013EB8">
      <w:pPr>
        <w:pStyle w:val="BodyTextIndent"/>
        <w:widowControl w:val="0"/>
        <w:ind w:left="0"/>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F673C9">
              <w:rPr>
                <w:b/>
              </w:rPr>
              <w:t>3.157</w:t>
            </w:r>
          </w:p>
        </w:tc>
        <w:tc>
          <w:tcPr>
            <w:tcW w:w="10170" w:type="dxa"/>
            <w:tcBorders>
              <w:top w:val="nil"/>
              <w:left w:val="nil"/>
              <w:bottom w:val="nil"/>
              <w:right w:val="nil"/>
            </w:tcBorders>
          </w:tcPr>
          <w:p w:rsidR="00013EB8" w:rsidRDefault="00013EB8" w:rsidP="006417E3">
            <w:pPr>
              <w:widowControl w:val="0"/>
              <w:numPr>
                <w:ilvl w:val="12"/>
                <w:numId w:val="0"/>
              </w:numPr>
              <w:spacing w:after="120"/>
            </w:pPr>
            <w:r>
              <w:rPr>
                <w:b/>
              </w:rPr>
              <w:t>Report of examination or hospitalization as claim for increase or to reopen</w:t>
            </w:r>
            <w:r w:rsidR="00D50C67">
              <w:rPr>
                <w:b/>
              </w:rPr>
              <w:t xml:space="preserve"> (eliminated 3/24/15)</w:t>
            </w:r>
            <w:r>
              <w:t xml:space="preserve"> –</w:t>
            </w:r>
          </w:p>
          <w:p w:rsidR="00A8778A" w:rsidRPr="003C43F3" w:rsidRDefault="00A8778A" w:rsidP="00F063AF">
            <w:pPr>
              <w:widowControl w:val="0"/>
              <w:numPr>
                <w:ilvl w:val="0"/>
                <w:numId w:val="125"/>
              </w:numPr>
              <w:spacing w:after="120"/>
              <w:rPr>
                <w:bCs/>
                <w:i/>
                <w:color w:val="0000FF"/>
              </w:rPr>
            </w:pPr>
            <w:r w:rsidRPr="003C43F3">
              <w:rPr>
                <w:b/>
              </w:rPr>
              <w:t>I.1.C.3.</w:t>
            </w:r>
            <w:r w:rsidR="00777E40">
              <w:rPr>
                <w:b/>
              </w:rPr>
              <w:t>j</w:t>
            </w:r>
            <w:r>
              <w:t xml:space="preserve"> </w:t>
            </w:r>
            <w:r w:rsidR="00CB472A">
              <w:t xml:space="preserve">– from 8/26/15-9/21/17, this said exam only if an exam (or other med evid) within the last year </w:t>
            </w:r>
            <w:r>
              <w:t xml:space="preserve"> </w:t>
            </w:r>
            <w:r w:rsidR="00CB472A">
              <w:t xml:space="preserve">is not of record; </w:t>
            </w:r>
            <w:r w:rsidR="00767276">
              <w:t>changed 9/22/17</w:t>
            </w:r>
            <w:r w:rsidR="008119CD">
              <w:t xml:space="preserve">, </w:t>
            </w:r>
            <w:r w:rsidR="00767276">
              <w:t>request exam unless (1) have veteran</w:t>
            </w:r>
            <w:r w:rsidR="004F00DB">
              <w:t xml:space="preserve"> </w:t>
            </w:r>
            <w:r w:rsidR="00767276">
              <w:t>provided DBQ</w:t>
            </w:r>
            <w:r w:rsidR="004B18A3">
              <w:t xml:space="preserve"> / private DBQ</w:t>
            </w:r>
            <w:r w:rsidR="00767276">
              <w:t xml:space="preserve">, (2) have surgical report for 4.29, 4.30 or joint replacement, (3) veteran has active </w:t>
            </w:r>
            <w:r w:rsidR="00A5470F">
              <w:t>cancer, (4) disability is at it</w:t>
            </w:r>
            <w:r w:rsidR="00767276">
              <w:t xml:space="preserve">s </w:t>
            </w:r>
            <w:r w:rsidR="00767276">
              <w:lastRenderedPageBreak/>
              <w:t>maximum evaluation</w:t>
            </w:r>
          </w:p>
          <w:p w:rsidR="00767276" w:rsidRPr="00767276" w:rsidRDefault="00767276" w:rsidP="00F063AF">
            <w:pPr>
              <w:widowControl w:val="0"/>
              <w:numPr>
                <w:ilvl w:val="0"/>
                <w:numId w:val="125"/>
              </w:numPr>
              <w:spacing w:after="120"/>
              <w:rPr>
                <w:i/>
              </w:rPr>
            </w:pPr>
            <w:r w:rsidRPr="003C43F3">
              <w:rPr>
                <w:b/>
              </w:rPr>
              <w:t>I.1.C.3.</w:t>
            </w:r>
            <w:r>
              <w:rPr>
                <w:b/>
              </w:rPr>
              <w:t>k</w:t>
            </w:r>
            <w:r>
              <w:t xml:space="preserve"> – need STRs before request audio exam</w:t>
            </w:r>
          </w:p>
          <w:p w:rsidR="00845CA1" w:rsidRPr="00845CA1" w:rsidRDefault="00066584" w:rsidP="00F063AF">
            <w:pPr>
              <w:widowControl w:val="0"/>
              <w:numPr>
                <w:ilvl w:val="0"/>
                <w:numId w:val="125"/>
              </w:numPr>
              <w:spacing w:after="120"/>
              <w:rPr>
                <w:i/>
              </w:rPr>
            </w:pPr>
            <w:r>
              <w:rPr>
                <w:b/>
              </w:rPr>
              <w:t>III.ii.2.C</w:t>
            </w:r>
          </w:p>
          <w:p w:rsidR="00050E1A" w:rsidRPr="004F315B" w:rsidRDefault="00050E1A" w:rsidP="00F063AF">
            <w:pPr>
              <w:widowControl w:val="0"/>
              <w:numPr>
                <w:ilvl w:val="0"/>
                <w:numId w:val="125"/>
              </w:numPr>
              <w:spacing w:after="120"/>
              <w:rPr>
                <w:i/>
              </w:rPr>
            </w:pPr>
            <w:r>
              <w:rPr>
                <w:b/>
              </w:rPr>
              <w:t>III</w:t>
            </w:r>
            <w:r w:rsidR="00845CA1">
              <w:rPr>
                <w:b/>
              </w:rPr>
              <w:t>.ii.2.C.5</w:t>
            </w:r>
            <w:r>
              <w:t xml:space="preserve"> – medical evidence of treatment before 3/24/15 (if after 3/24/15, need formal claim within one year of date of treatment)</w:t>
            </w:r>
          </w:p>
          <w:p w:rsidR="00C27BCC" w:rsidRDefault="00A8778A" w:rsidP="00F063AF">
            <w:pPr>
              <w:widowControl w:val="0"/>
              <w:numPr>
                <w:ilvl w:val="0"/>
                <w:numId w:val="125"/>
              </w:numPr>
              <w:spacing w:after="120"/>
              <w:rPr>
                <w:b/>
              </w:rPr>
            </w:pPr>
            <w:r w:rsidRPr="00A8778A">
              <w:rPr>
                <w:b/>
              </w:rPr>
              <w:t>III.ii.2.E.3</w:t>
            </w:r>
            <w:r>
              <w:rPr>
                <w:b/>
              </w:rPr>
              <w:t xml:space="preserve"> </w:t>
            </w:r>
          </w:p>
          <w:p w:rsidR="004F315B" w:rsidRDefault="004F315B" w:rsidP="00F063AF">
            <w:pPr>
              <w:widowControl w:val="0"/>
              <w:numPr>
                <w:ilvl w:val="0"/>
                <w:numId w:val="125"/>
              </w:numPr>
              <w:spacing w:after="120"/>
              <w:rPr>
                <w:b/>
                <w:iCs/>
              </w:rPr>
            </w:pPr>
            <w:r>
              <w:rPr>
                <w:b/>
                <w:iCs/>
              </w:rPr>
              <w:t>III.iv.5.C.5</w:t>
            </w:r>
            <w:r w:rsidRPr="002C1FE6">
              <w:rPr>
                <w:iCs/>
              </w:rPr>
              <w:t xml:space="preserve"> – </w:t>
            </w:r>
            <w:r>
              <w:rPr>
                <w:iCs/>
              </w:rPr>
              <w:t>effective date</w:t>
            </w:r>
            <w:r w:rsidRPr="002C1FE6">
              <w:rPr>
                <w:iCs/>
              </w:rPr>
              <w:t>s</w:t>
            </w:r>
          </w:p>
          <w:p w:rsidR="00A8778A" w:rsidRPr="0049433B" w:rsidRDefault="00C27BCC" w:rsidP="00F063AF">
            <w:pPr>
              <w:widowControl w:val="0"/>
              <w:numPr>
                <w:ilvl w:val="0"/>
                <w:numId w:val="125"/>
              </w:numPr>
              <w:spacing w:after="120"/>
              <w:rPr>
                <w:b/>
              </w:rPr>
            </w:pPr>
            <w:r>
              <w:rPr>
                <w:b/>
              </w:rPr>
              <w:t>III.iv.5.</w:t>
            </w:r>
            <w:r w:rsidRPr="00C27BCC">
              <w:rPr>
                <w:b/>
              </w:rPr>
              <w:t>C.5.e-h</w:t>
            </w:r>
            <w:r w:rsidR="00A8778A" w:rsidRPr="00C27BCC">
              <w:rPr>
                <w:b/>
              </w:rPr>
              <w:t xml:space="preserve">– </w:t>
            </w:r>
            <w:r w:rsidR="00A8778A" w:rsidRPr="00C27BCC">
              <w:t>need to determine if reconsideration or CFI, recommend explaining effective date even if it is the DOC</w:t>
            </w:r>
            <w:r w:rsidR="00D36CD9" w:rsidRPr="00C27BCC">
              <w:t xml:space="preserve">; </w:t>
            </w:r>
            <w:r w:rsidR="00A8778A" w:rsidRPr="00C27BCC">
              <w:rPr>
                <w:i/>
                <w:color w:val="00B050"/>
              </w:rPr>
              <w:t>My Notes:</w:t>
            </w:r>
            <w:r w:rsidR="00A8778A" w:rsidRPr="00C27BCC">
              <w:rPr>
                <w:color w:val="00B050"/>
              </w:rPr>
              <w:t xml:space="preserve">  </w:t>
            </w:r>
            <w:r w:rsidR="0059417E" w:rsidRPr="00C27BCC">
              <w:rPr>
                <w:i/>
              </w:rPr>
              <w:t>Examples</w:t>
            </w:r>
            <w:r w:rsidR="00DE5AD8" w:rsidRPr="00C27BCC">
              <w:rPr>
                <w:i/>
              </w:rPr>
              <w:t xml:space="preserve"> 1</w:t>
            </w:r>
            <w:r w:rsidR="0059417E" w:rsidRPr="00C27BCC">
              <w:rPr>
                <w:i/>
              </w:rPr>
              <w:t xml:space="preserve"> (</w:t>
            </w:r>
            <w:r w:rsidR="0059417E" w:rsidRPr="00C27BCC">
              <w:rPr>
                <w:b/>
                <w:i/>
              </w:rPr>
              <w:t>III.i</w:t>
            </w:r>
            <w:r>
              <w:rPr>
                <w:b/>
                <w:i/>
              </w:rPr>
              <w:t>v.5.C.5.f</w:t>
            </w:r>
            <w:r w:rsidRPr="00C27BCC">
              <w:rPr>
                <w:i/>
              </w:rPr>
              <w:t>, prior FTR</w:t>
            </w:r>
            <w:r w:rsidR="0059417E" w:rsidRPr="00C27BCC">
              <w:rPr>
                <w:i/>
              </w:rPr>
              <w:t>)</w:t>
            </w:r>
            <w:r w:rsidR="00DE5AD8" w:rsidRPr="00C27BCC">
              <w:rPr>
                <w:i/>
              </w:rPr>
              <w:t xml:space="preserve"> &amp; 2</w:t>
            </w:r>
            <w:r w:rsidR="0059417E" w:rsidRPr="00C27BCC">
              <w:rPr>
                <w:i/>
              </w:rPr>
              <w:t xml:space="preserve"> (</w:t>
            </w:r>
            <w:r w:rsidRPr="00C27BCC">
              <w:rPr>
                <w:b/>
                <w:i/>
              </w:rPr>
              <w:t>III.i</w:t>
            </w:r>
            <w:r>
              <w:rPr>
                <w:b/>
                <w:i/>
              </w:rPr>
              <w:t>v.5.C.5.g</w:t>
            </w:r>
            <w:r w:rsidRPr="00C27BCC">
              <w:rPr>
                <w:i/>
              </w:rPr>
              <w:t>, submitted PTRs</w:t>
            </w:r>
            <w:r w:rsidR="0059417E" w:rsidRPr="00C27BCC">
              <w:rPr>
                <w:i/>
              </w:rPr>
              <w:t>)</w:t>
            </w:r>
            <w:r w:rsidR="00DE5AD8" w:rsidRPr="00C27BCC">
              <w:rPr>
                <w:i/>
              </w:rPr>
              <w:t xml:space="preserve"> show continuously prosecuted claims</w:t>
            </w:r>
            <w:r w:rsidR="0059417E" w:rsidRPr="00C27BCC">
              <w:rPr>
                <w:i/>
              </w:rPr>
              <w:t xml:space="preserve"> where 3.400(q) was applied</w:t>
            </w:r>
            <w:r>
              <w:rPr>
                <w:i/>
              </w:rPr>
              <w:t>. Example 3 (</w:t>
            </w:r>
            <w:r w:rsidRPr="00C27BCC">
              <w:rPr>
                <w:b/>
                <w:i/>
              </w:rPr>
              <w:t>III.i</w:t>
            </w:r>
            <w:r>
              <w:rPr>
                <w:b/>
                <w:i/>
              </w:rPr>
              <w:t>v.5.C.5.h</w:t>
            </w:r>
            <w:r>
              <w:rPr>
                <w:i/>
              </w:rPr>
              <w:t>) shows application of 3.400(o).</w:t>
            </w:r>
          </w:p>
          <w:p w:rsidR="0049433B" w:rsidRDefault="00617641" w:rsidP="00E13B5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420" w:right="240"/>
              <w:rPr>
                <w:b/>
                <w:szCs w:val="22"/>
              </w:rPr>
            </w:pPr>
            <w:r w:rsidRPr="00617641">
              <w:rPr>
                <w:b/>
              </w:rPr>
              <w:t>III.iv.5.C.5.f</w:t>
            </w:r>
            <w:r w:rsidRPr="00463D3C">
              <w:rPr>
                <w:szCs w:val="22"/>
              </w:rPr>
              <w:t xml:space="preserve"> </w:t>
            </w:r>
            <w:r w:rsidR="0049433B" w:rsidRPr="00463D3C">
              <w:rPr>
                <w:szCs w:val="22"/>
              </w:rPr>
              <w:t>&amp;</w:t>
            </w:r>
            <w:r w:rsidR="0049433B">
              <w:rPr>
                <w:b/>
                <w:szCs w:val="22"/>
              </w:rPr>
              <w:t xml:space="preserve"> 3.400(q)</w:t>
            </w:r>
          </w:p>
          <w:p w:rsidR="0049433B" w:rsidRDefault="0049433B" w:rsidP="00E13B5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spacing w:after="120"/>
              <w:ind w:left="420" w:right="240"/>
            </w:pPr>
            <w:r>
              <w:t xml:space="preserve">Entitlement to an increased evaluation has been established </w:t>
            </w:r>
            <w:r w:rsidRPr="004D6135">
              <w:t>from</w:t>
            </w:r>
            <w:r>
              <w:t xml:space="preserve"> the day VA received the previous claim, as you continuously prosecuted your claim. OR </w:t>
            </w:r>
            <w:r w:rsidR="00737CE2">
              <w:t xml:space="preserve">Entitlement to an increased evaluation has </w:t>
            </w:r>
            <w:r w:rsidRPr="009D49F6">
              <w:t>be</w:t>
            </w:r>
            <w:r>
              <w:t xml:space="preserve">en established from the day VA received your Intent to File (ITF) for the previous claim, as </w:t>
            </w:r>
            <w:r>
              <w:rPr>
                <w:lang w:val="en"/>
              </w:rPr>
              <w:t xml:space="preserve">a complete claim was received within one year of the ITF, and </w:t>
            </w:r>
            <w:r>
              <w:t>you continuously prosecuted your claim.</w:t>
            </w:r>
          </w:p>
          <w:p w:rsidR="00EB55E3" w:rsidRDefault="00617641" w:rsidP="00E13B5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420" w:right="240"/>
              <w:rPr>
                <w:b/>
                <w:szCs w:val="22"/>
              </w:rPr>
            </w:pPr>
            <w:r w:rsidRPr="00617641">
              <w:rPr>
                <w:b/>
              </w:rPr>
              <w:t>III.i</w:t>
            </w:r>
            <w:r>
              <w:rPr>
                <w:b/>
              </w:rPr>
              <w:t>v.5.C.5.g</w:t>
            </w:r>
            <w:r w:rsidRPr="00463D3C">
              <w:rPr>
                <w:szCs w:val="22"/>
              </w:rPr>
              <w:t xml:space="preserve"> </w:t>
            </w:r>
            <w:r w:rsidR="0049433B" w:rsidRPr="00463D3C">
              <w:rPr>
                <w:szCs w:val="22"/>
              </w:rPr>
              <w:t>&amp;</w:t>
            </w:r>
            <w:r w:rsidR="0049433B">
              <w:rPr>
                <w:b/>
                <w:szCs w:val="22"/>
              </w:rPr>
              <w:t xml:space="preserve"> 3.400(q)</w:t>
            </w:r>
          </w:p>
          <w:p w:rsidR="00EB55E3" w:rsidRDefault="0049433B" w:rsidP="00E13B5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420" w:right="240"/>
            </w:pPr>
            <w:r>
              <w:t>Entitlement to an increased evaluation has been established from the earliest date the treatment records show evidence of increased disability, within one year prior to the day VA received the previous claim, as you continuously prosecuted your claim.</w:t>
            </w:r>
          </w:p>
          <w:p w:rsidR="00EB55E3" w:rsidRDefault="00EB55E3" w:rsidP="00E13B5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420" w:right="240"/>
            </w:pPr>
            <w:r w:rsidRPr="00EB55E3">
              <w:rPr>
                <w:i/>
              </w:rPr>
              <w:t>For special notation:</w:t>
            </w:r>
            <w:r>
              <w:rPr>
                <w:i/>
              </w:rPr>
              <w:t xml:space="preserve">  </w:t>
            </w:r>
            <w:r w:rsidRPr="00EB55E3">
              <w:t>ITF 12/29/15 associated with 4/19/16 claim. 5/8/17 reconsideration filed within one year of 8/17/16 notification letter (of 8/15/16 decision).</w:t>
            </w:r>
          </w:p>
          <w:p w:rsidR="000F25C9" w:rsidRDefault="000F25C9" w:rsidP="00E13B5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420" w:right="240"/>
            </w:pPr>
          </w:p>
          <w:p w:rsidR="00CB472A" w:rsidRDefault="000F25C9" w:rsidP="00E13B5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420" w:right="240"/>
              <w:rPr>
                <w:bCs/>
                <w:szCs w:val="24"/>
              </w:rPr>
            </w:pPr>
            <w:r>
              <w:t xml:space="preserve">*also see </w:t>
            </w:r>
            <w:r>
              <w:rPr>
                <w:b/>
                <w:bCs/>
                <w:szCs w:val="24"/>
              </w:rPr>
              <w:t>III.iv.5.C.6.d &amp; III.iv.5.C.6.e</w:t>
            </w:r>
            <w:r>
              <w:rPr>
                <w:bCs/>
                <w:szCs w:val="24"/>
              </w:rPr>
              <w:t xml:space="preserve"> for 3.156(b)(1)</w:t>
            </w:r>
          </w:p>
          <w:p w:rsidR="00CB472A" w:rsidRDefault="00CB472A" w:rsidP="00E13B5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420" w:right="240"/>
              <w:rPr>
                <w:bCs/>
                <w:szCs w:val="24"/>
              </w:rPr>
            </w:pPr>
          </w:p>
          <w:p w:rsidR="00617641" w:rsidRPr="00CB472A" w:rsidRDefault="00617641" w:rsidP="00E13B57">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420" w:right="240"/>
              <w:rPr>
                <w:bCs/>
                <w:szCs w:val="24"/>
              </w:rPr>
            </w:pPr>
            <w:r w:rsidRPr="00617641">
              <w:rPr>
                <w:szCs w:val="21"/>
              </w:rPr>
              <w:t xml:space="preserve">Rating Note:  Per </w:t>
            </w:r>
            <w:r w:rsidRPr="00617641">
              <w:rPr>
                <w:b/>
                <w:szCs w:val="21"/>
              </w:rPr>
              <w:t>III.iv.5.C.5.h</w:t>
            </w:r>
            <w:r w:rsidRPr="00617641">
              <w:rPr>
                <w:szCs w:val="21"/>
              </w:rPr>
              <w:t>, as there was no evidence relevant to the initially received claim, the 12/4/17 claim is considered a freestanding claim for increase independent of the prior claim even though it was received during the appeal period, and 3.400(o) governs the assignment of effective date.</w:t>
            </w:r>
          </w:p>
          <w:p w:rsidR="00CB472A" w:rsidRPr="00CB472A" w:rsidRDefault="00CB472A" w:rsidP="00CB472A">
            <w:pPr>
              <w:widowControl w:val="0"/>
              <w:spacing w:after="120"/>
              <w:ind w:left="360"/>
              <w:rPr>
                <w:i/>
              </w:rPr>
            </w:pPr>
          </w:p>
          <w:p w:rsidR="00845CA1" w:rsidRPr="00050E1A" w:rsidRDefault="00845CA1" w:rsidP="00F063AF">
            <w:pPr>
              <w:widowControl w:val="0"/>
              <w:numPr>
                <w:ilvl w:val="0"/>
                <w:numId w:val="125"/>
              </w:numPr>
              <w:spacing w:after="120"/>
              <w:rPr>
                <w:i/>
              </w:rPr>
            </w:pPr>
            <w:r>
              <w:rPr>
                <w:b/>
              </w:rPr>
              <w:t>III</w:t>
            </w:r>
            <w:r w:rsidRPr="00845CA1">
              <w:rPr>
                <w:i/>
              </w:rPr>
              <w:t>.</w:t>
            </w:r>
            <w:r w:rsidRPr="00845CA1">
              <w:rPr>
                <w:b/>
              </w:rPr>
              <w:t>iii.1.C.9.a</w:t>
            </w:r>
          </w:p>
          <w:p w:rsidR="00013EB8" w:rsidRPr="00C274BF" w:rsidRDefault="00013EB8" w:rsidP="00F063AF">
            <w:pPr>
              <w:widowControl w:val="0"/>
              <w:numPr>
                <w:ilvl w:val="0"/>
                <w:numId w:val="125"/>
              </w:numPr>
              <w:spacing w:after="120"/>
              <w:rPr>
                <w:i/>
              </w:rPr>
            </w:pPr>
            <w:r w:rsidRPr="00A33C49">
              <w:rPr>
                <w:b/>
                <w:bCs/>
              </w:rPr>
              <w:t>III.iv.3</w:t>
            </w:r>
          </w:p>
          <w:p w:rsidR="00C274BF" w:rsidRPr="00A33C49" w:rsidRDefault="00C274BF" w:rsidP="00F063AF">
            <w:pPr>
              <w:widowControl w:val="0"/>
              <w:numPr>
                <w:ilvl w:val="0"/>
                <w:numId w:val="125"/>
              </w:numPr>
              <w:spacing w:after="120"/>
              <w:rPr>
                <w:i/>
              </w:rPr>
            </w:pPr>
            <w:r>
              <w:rPr>
                <w:b/>
                <w:bCs/>
              </w:rPr>
              <w:t>III.iv.5.C.9</w:t>
            </w:r>
          </w:p>
          <w:p w:rsidR="00013EB8" w:rsidRDefault="00013EB8" w:rsidP="00F063AF">
            <w:pPr>
              <w:widowControl w:val="0"/>
              <w:numPr>
                <w:ilvl w:val="0"/>
                <w:numId w:val="125"/>
              </w:numPr>
              <w:tabs>
                <w:tab w:val="left" w:pos="330"/>
              </w:tabs>
              <w:spacing w:after="120"/>
            </w:pPr>
            <w:r>
              <w:rPr>
                <w:b/>
                <w:i/>
              </w:rPr>
              <w:t>Bowers v.</w:t>
            </w:r>
            <w:r>
              <w:t xml:space="preserve"> </w:t>
            </w:r>
            <w:r>
              <w:rPr>
                <w:b/>
                <w:i/>
              </w:rPr>
              <w:t>Derwinski</w:t>
            </w:r>
            <w:r>
              <w:t xml:space="preserve"> </w:t>
            </w:r>
            <w:r w:rsidRPr="00F863FB">
              <w:t>(8/6/92)</w:t>
            </w:r>
            <w:r>
              <w:t xml:space="preserve"> &amp; </w:t>
            </w:r>
            <w:r>
              <w:rPr>
                <w:b/>
                <w:i/>
              </w:rPr>
              <w:t>Ardison v. Brown</w:t>
            </w:r>
            <w:r>
              <w:t xml:space="preserve"> </w:t>
            </w:r>
            <w:r w:rsidRPr="00F863FB">
              <w:t>(4/4/94)</w:t>
            </w:r>
            <w:r>
              <w:t xml:space="preserve"> – if veteran received treatment for a worsened condition, they should be asked to submit evidence of the treatment </w:t>
            </w:r>
            <w:r>
              <w:rPr>
                <w:bCs/>
                <w:iCs/>
              </w:rPr>
              <w:t>(</w:t>
            </w:r>
            <w:r w:rsidRPr="00A33C49">
              <w:rPr>
                <w:b/>
                <w:bCs/>
              </w:rPr>
              <w:t>III.iv.3</w:t>
            </w:r>
            <w:r>
              <w:t>)</w:t>
            </w:r>
          </w:p>
          <w:p w:rsidR="00013EB8" w:rsidRDefault="00013EB8" w:rsidP="00F063AF">
            <w:pPr>
              <w:widowControl w:val="0"/>
              <w:numPr>
                <w:ilvl w:val="0"/>
                <w:numId w:val="125"/>
              </w:numPr>
              <w:tabs>
                <w:tab w:val="left" w:pos="330"/>
              </w:tabs>
              <w:spacing w:after="120"/>
            </w:pPr>
            <w:r>
              <w:rPr>
                <w:b/>
                <w:i/>
              </w:rPr>
              <w:t>Crawford v. Brown</w:t>
            </w:r>
            <w:r>
              <w:rPr>
                <w:b/>
              </w:rPr>
              <w:t xml:space="preserve"> </w:t>
            </w:r>
            <w:r w:rsidRPr="00F863FB">
              <w:t>(4/22/93)</w:t>
            </w:r>
            <w:r>
              <w:rPr>
                <w:b/>
              </w:rPr>
              <w:t xml:space="preserve"> </w:t>
            </w:r>
            <w:r>
              <w:t>- a invoked when b criteria are met</w:t>
            </w:r>
          </w:p>
          <w:p w:rsidR="00013EB8" w:rsidRDefault="00013EB8" w:rsidP="00F063AF">
            <w:pPr>
              <w:widowControl w:val="0"/>
              <w:numPr>
                <w:ilvl w:val="0"/>
                <w:numId w:val="125"/>
              </w:numPr>
              <w:tabs>
                <w:tab w:val="left" w:pos="330"/>
              </w:tabs>
              <w:spacing w:after="120"/>
            </w:pPr>
            <w:r>
              <w:rPr>
                <w:b/>
                <w:i/>
              </w:rPr>
              <w:t xml:space="preserve">Sears v. Principi </w:t>
            </w:r>
            <w:r w:rsidRPr="00F863FB">
              <w:t xml:space="preserve">(8/20/02) </w:t>
            </w:r>
            <w:r>
              <w:rPr>
                <w:b/>
              </w:rPr>
              <w:t>–</w:t>
            </w:r>
            <w:r>
              <w:t xml:space="preserve"> 3.157 does not apply to N&amp;M evidence (only to claims for increase); three classes of claims:  original, reopened after previously denied, and claims for increase (Judge asked that this reg be re-written)</w:t>
            </w:r>
          </w:p>
          <w:p w:rsidR="00013EB8" w:rsidRDefault="00013EB8" w:rsidP="00F063AF">
            <w:pPr>
              <w:pStyle w:val="HTMLPreformatted"/>
              <w:widowControl w:val="0"/>
              <w:numPr>
                <w:ilvl w:val="0"/>
                <w:numId w:val="125"/>
              </w:numPr>
              <w:spacing w:after="120"/>
              <w:rPr>
                <w:rFonts w:ascii="Arial" w:hAnsi="Arial"/>
                <w:b/>
                <w:i/>
              </w:rPr>
            </w:pPr>
            <w:r>
              <w:rPr>
                <w:rFonts w:ascii="Arial" w:hAnsi="Arial"/>
                <w:b/>
                <w:i/>
              </w:rPr>
              <w:t xml:space="preserve">VAOPGCPREC 5-2003 </w:t>
            </w:r>
            <w:r w:rsidRPr="00F863FB">
              <w:rPr>
                <w:rFonts w:ascii="Arial" w:hAnsi="Arial"/>
              </w:rPr>
              <w:t xml:space="preserve">(9/15/03)- </w:t>
            </w:r>
            <w:r>
              <w:rPr>
                <w:rFonts w:ascii="Arial" w:hAnsi="Arial"/>
              </w:rPr>
              <w:t>3.157(b)(1), which states that date of admission to a “uniformed services hospital will be accepted as the date of receipt of a claim” for increased benefits, is applicable to veterans hospitalized in private facilities at DoD expense under DoD's TRICARE program.</w:t>
            </w:r>
          </w:p>
          <w:p w:rsidR="00250D60" w:rsidRPr="00250D60" w:rsidRDefault="00250D60" w:rsidP="00F063AF">
            <w:pPr>
              <w:pStyle w:val="HTMLPreformatted"/>
              <w:widowControl w:val="0"/>
              <w:numPr>
                <w:ilvl w:val="0"/>
                <w:numId w:val="125"/>
              </w:numPr>
              <w:spacing w:after="120"/>
              <w:rPr>
                <w:rFonts w:ascii="Arial" w:eastAsia="Arial Unicode MS" w:hAnsi="Arial"/>
              </w:rPr>
            </w:pPr>
            <w:r w:rsidRPr="00000E48">
              <w:rPr>
                <w:rFonts w:ascii="Arial" w:eastAsia="Arial Unicode MS" w:hAnsi="Arial"/>
                <w:b/>
                <w:i/>
              </w:rPr>
              <w:t>Gaston v. Shinseki</w:t>
            </w:r>
            <w:r w:rsidRPr="00250D60">
              <w:rPr>
                <w:rFonts w:ascii="Arial" w:eastAsia="Arial Unicode MS" w:hAnsi="Arial"/>
              </w:rPr>
              <w:t xml:space="preserve"> (5/20/10) - </w:t>
            </w:r>
            <w:r>
              <w:rPr>
                <w:rFonts w:ascii="Arial" w:eastAsia="MS PGothic" w:hAnsi="Arial"/>
                <w:kern w:val="24"/>
              </w:rPr>
              <w:t xml:space="preserve">Both the statute (38 USC § 5110(b)(2)) and the regulation (38 CFR 3.400(o)(2)) require “that an increase in a veteran’s service-connected disability must have occurred during the one year prior to the date of the veteran’s claim in order to receive the benefit of an earlier effective date.” </w:t>
            </w:r>
            <w:r w:rsidRPr="00250D60">
              <w:rPr>
                <w:rFonts w:ascii="Arial" w:eastAsia="MS PGothic" w:hAnsi="Arial"/>
                <w:b/>
                <w:kern w:val="24"/>
              </w:rPr>
              <w:t>Impact on VBA</w:t>
            </w:r>
            <w:r>
              <w:rPr>
                <w:rFonts w:ascii="Arial" w:eastAsia="MS PGothic" w:hAnsi="Arial"/>
                <w:kern w:val="24"/>
              </w:rPr>
              <w:t xml:space="preserve"> says “</w:t>
            </w:r>
            <w:r w:rsidRPr="00250D60">
              <w:rPr>
                <w:rFonts w:ascii="Arial" w:hAnsi="Arial"/>
              </w:rPr>
              <w:t>please note that VA or uniformed services medical records may provide a basis for an effective date earlier than one year prior to the date of claim for increased evaluation for a service-connected disability if these records adequately demonstrate that the disability was of such severity to warrant a higher evaluation at such date.  See 38 C.F.R. § 3.157(b)(1).  This case does not affect that established rule.”</w:t>
            </w:r>
          </w:p>
          <w:p w:rsidR="00013EB8" w:rsidRPr="00F03735" w:rsidRDefault="006F13C6" w:rsidP="00F063AF">
            <w:pPr>
              <w:pStyle w:val="ListParagraph"/>
              <w:numPr>
                <w:ilvl w:val="0"/>
                <w:numId w:val="125"/>
              </w:numPr>
              <w:spacing w:after="120" w:line="240" w:lineRule="auto"/>
              <w:rPr>
                <w:rStyle w:val="id-mask"/>
                <w:color w:val="000000"/>
              </w:rPr>
            </w:pPr>
            <w:r w:rsidRPr="006E501E">
              <w:rPr>
                <w:rFonts w:ascii="Arial" w:hAnsi="Arial"/>
                <w:b/>
                <w:i/>
                <w:sz w:val="20"/>
                <w:szCs w:val="20"/>
              </w:rPr>
              <w:t xml:space="preserve">October 2014 </w:t>
            </w:r>
            <w:r w:rsidR="00EB6F0B" w:rsidRPr="006E501E">
              <w:rPr>
                <w:rFonts w:ascii="Arial" w:hAnsi="Arial"/>
                <w:b/>
                <w:i/>
                <w:sz w:val="20"/>
                <w:szCs w:val="20"/>
              </w:rPr>
              <w:t>Compensation Service Bulletin (CSB)</w:t>
            </w:r>
            <w:r w:rsidRPr="00AA1AB8">
              <w:rPr>
                <w:rStyle w:val="Hyperlink"/>
                <w:rFonts w:ascii="Arial" w:hAnsi="Arial"/>
                <w:sz w:val="20"/>
                <w:szCs w:val="20"/>
                <w:u w:val="none"/>
              </w:rPr>
              <w:t xml:space="preserve"> –</w:t>
            </w:r>
            <w:r w:rsidR="00D91844">
              <w:rPr>
                <w:rStyle w:val="Hyperlink"/>
                <w:rFonts w:ascii="Arial" w:hAnsi="Arial"/>
                <w:sz w:val="20"/>
                <w:szCs w:val="20"/>
                <w:u w:val="none"/>
              </w:rPr>
              <w:t xml:space="preserve"> </w:t>
            </w:r>
            <w:r>
              <w:rPr>
                <w:rFonts w:ascii="Arial" w:hAnsi="Arial"/>
                <w:sz w:val="20"/>
                <w:szCs w:val="20"/>
              </w:rPr>
              <w:t xml:space="preserve">As of </w:t>
            </w:r>
            <w:r w:rsidRPr="003C3882">
              <w:rPr>
                <w:rFonts w:ascii="Arial" w:hAnsi="Arial"/>
                <w:sz w:val="20"/>
                <w:szCs w:val="20"/>
                <w:highlight w:val="cyan"/>
              </w:rPr>
              <w:t>3/24/15</w:t>
            </w:r>
            <w:r>
              <w:rPr>
                <w:rFonts w:ascii="Arial" w:hAnsi="Arial"/>
                <w:sz w:val="20"/>
                <w:szCs w:val="20"/>
              </w:rPr>
              <w:t>,</w:t>
            </w:r>
            <w:r>
              <w:rPr>
                <w:rFonts w:ascii="Arial" w:hAnsi="Arial"/>
                <w:b/>
                <w:sz w:val="20"/>
                <w:szCs w:val="20"/>
              </w:rPr>
              <w:t xml:space="preserve"> </w:t>
            </w:r>
            <w:r>
              <w:rPr>
                <w:rStyle w:val="id-mask"/>
                <w:rFonts w:ascii="Arial" w:hAnsi="Arial"/>
                <w:color w:val="000000"/>
                <w:sz w:val="20"/>
                <w:szCs w:val="20"/>
              </w:rPr>
              <w:t xml:space="preserve">informal claims under current </w:t>
            </w:r>
            <w:r w:rsidRPr="00EC4CEC">
              <w:rPr>
                <w:rFonts w:ascii="Arial" w:hAnsi="Arial"/>
                <w:sz w:val="20"/>
                <w:szCs w:val="20"/>
              </w:rPr>
              <w:t>38 CFR 3.155</w:t>
            </w:r>
            <w:r>
              <w:rPr>
                <w:rFonts w:ascii="Arial" w:hAnsi="Arial"/>
                <w:color w:val="000000"/>
                <w:sz w:val="20"/>
                <w:szCs w:val="20"/>
              </w:rPr>
              <w:t xml:space="preserve"> w</w:t>
            </w:r>
            <w:r>
              <w:rPr>
                <w:rStyle w:val="id-mask"/>
                <w:rFonts w:ascii="Arial" w:hAnsi="Arial"/>
                <w:color w:val="000000"/>
                <w:sz w:val="20"/>
                <w:szCs w:val="20"/>
              </w:rPr>
              <w:t xml:space="preserve">ill be eliminated.  However, claimants will be able to preserve a potentially earlier effective date as currently provided by the informal claim process through a new “intent to file a claim for benefits” process whereby the date of receipt of the intent to file a claim that is submitted in a prescribed form will secure an </w:t>
            </w:r>
            <w:r>
              <w:rPr>
                <w:rStyle w:val="id-mask"/>
                <w:rFonts w:ascii="Arial" w:hAnsi="Arial"/>
                <w:color w:val="000000"/>
                <w:sz w:val="20"/>
                <w:szCs w:val="20"/>
              </w:rPr>
              <w:lastRenderedPageBreak/>
              <w:t xml:space="preserve">earlier effective date if a complete claim is filed within one year.  Otherwise, a complete claim on a prescribed form will be considered filed as of the date of its receipt. The final rule also will eliminate </w:t>
            </w:r>
            <w:r w:rsidRPr="00EC4CEC">
              <w:rPr>
                <w:rFonts w:ascii="Arial" w:hAnsi="Arial"/>
                <w:sz w:val="20"/>
                <w:szCs w:val="20"/>
              </w:rPr>
              <w:t>38 CFR 3.157</w:t>
            </w:r>
            <w:r>
              <w:rPr>
                <w:rStyle w:val="id-mask"/>
                <w:rFonts w:ascii="Arial" w:hAnsi="Arial"/>
                <w:color w:val="000000"/>
                <w:sz w:val="20"/>
                <w:szCs w:val="20"/>
              </w:rPr>
              <w:t>, “Report of examination or hospitalization as claim for increase or to reopen.” However,</w:t>
            </w:r>
            <w:r>
              <w:rPr>
                <w:rFonts w:ascii="Arial" w:hAnsi="Arial"/>
                <w:sz w:val="20"/>
                <w:szCs w:val="20"/>
              </w:rPr>
              <w:t xml:space="preserve"> </w:t>
            </w:r>
            <w:r w:rsidRPr="00EC4CEC">
              <w:rPr>
                <w:rFonts w:ascii="Arial" w:hAnsi="Arial"/>
                <w:sz w:val="20"/>
                <w:szCs w:val="20"/>
              </w:rPr>
              <w:t>38 CFR 3.400(o)(2)</w:t>
            </w:r>
            <w:r>
              <w:rPr>
                <w:rFonts w:ascii="Arial" w:hAnsi="Arial"/>
                <w:color w:val="000000"/>
                <w:sz w:val="20"/>
                <w:szCs w:val="20"/>
              </w:rPr>
              <w:t xml:space="preserve"> </w:t>
            </w:r>
            <w:r>
              <w:rPr>
                <w:rStyle w:val="id-mask"/>
                <w:rFonts w:ascii="Arial" w:hAnsi="Arial"/>
                <w:color w:val="000000"/>
                <w:sz w:val="20"/>
                <w:szCs w:val="20"/>
              </w:rPr>
              <w:t xml:space="preserve"> has been amended to provide potential retroactive effective date assignments for evaluations based on such medical records if a claimant files either a complete claim or an intent to file a claim within one year of such medical care or treatment. Finally, new sections, 38 CFR §§ 19.23 and 19.24, have been added to provide that if VA provides a form specifically for an appeal, claimant must express a notice of disagreement on such form to initiate an appeal.  If VA does not provide a claimant a form to initiate an appeal, then claimant may submit an expression of disagreement in any format as current procedures allow.</w:t>
            </w:r>
          </w:p>
          <w:p w:rsidR="00537C48" w:rsidRPr="00537C48" w:rsidRDefault="00D571C5" w:rsidP="00F063AF">
            <w:pPr>
              <w:pStyle w:val="ListParagraph"/>
              <w:numPr>
                <w:ilvl w:val="0"/>
                <w:numId w:val="125"/>
              </w:numPr>
              <w:spacing w:after="120" w:line="240" w:lineRule="auto"/>
              <w:rPr>
                <w:rFonts w:ascii="Arial" w:hAnsi="Arial"/>
                <w:color w:val="000000"/>
              </w:rPr>
            </w:pPr>
            <w:hyperlink r:id="rId211" w:history="1">
              <w:r w:rsidR="00F03735" w:rsidRPr="00F03735">
                <w:rPr>
                  <w:rStyle w:val="Hyperlink"/>
                  <w:rFonts w:ascii="Arial" w:hAnsi="Arial"/>
                  <w:b/>
                  <w:bCs/>
                  <w:i/>
                  <w:sz w:val="20"/>
                </w:rPr>
                <w:t>March 2016 Quality Call Notes</w:t>
              </w:r>
            </w:hyperlink>
            <w:r w:rsidR="00F03735">
              <w:rPr>
                <w:rFonts w:ascii="Arial" w:hAnsi="Arial"/>
                <w:bCs/>
                <w:sz w:val="20"/>
              </w:rPr>
              <w:t xml:space="preserve"> – Reminder to still apply 3.157 for informal claims rec’d prior to 3/24/15 (to include treatment records show worsening to next level, even if that condition is not specifically claimed), includes 6 scenarios</w:t>
            </w:r>
          </w:p>
        </w:tc>
      </w:tr>
    </w:tbl>
    <w:p w:rsidR="00013EB8" w:rsidRDefault="00013EB8">
      <w:pPr>
        <w:widowControl w:val="0"/>
        <w:tabs>
          <w:tab w:val="left" w:pos="0"/>
          <w:tab w:val="left" w:pos="144"/>
        </w:tabs>
        <w:rPr>
          <w:sz w:val="22"/>
        </w:rPr>
      </w:pPr>
    </w:p>
    <w:p w:rsidR="00013EB8" w:rsidRDefault="00013EB8">
      <w:pPr>
        <w:widowControl w:val="0"/>
        <w:pBdr>
          <w:top w:val="single" w:sz="4" w:space="1" w:color="auto"/>
        </w:pBdr>
        <w:tabs>
          <w:tab w:val="left" w:pos="0"/>
          <w:tab w:val="left" w:pos="144"/>
        </w:tabs>
        <w:rPr>
          <w:b/>
          <w:bCs/>
          <w:i/>
          <w:iCs/>
          <w:sz w:val="22"/>
        </w:rPr>
      </w:pPr>
    </w:p>
    <w:p w:rsidR="00013EB8" w:rsidRDefault="00013EB8">
      <w:pPr>
        <w:widowControl w:val="0"/>
        <w:tabs>
          <w:tab w:val="left" w:pos="0"/>
          <w:tab w:val="left" w:pos="144"/>
        </w:tabs>
        <w:rPr>
          <w:b/>
          <w:bCs/>
          <w:i/>
          <w:iCs/>
          <w:sz w:val="22"/>
        </w:rPr>
      </w:pPr>
      <w:bookmarkStart w:id="24" w:name="Reopen"/>
      <w:r>
        <w:rPr>
          <w:b/>
          <w:bCs/>
          <w:i/>
          <w:iCs/>
          <w:sz w:val="22"/>
        </w:rPr>
        <w:t>Reopened Claims –</w:t>
      </w:r>
    </w:p>
    <w:bookmarkEnd w:id="24"/>
    <w:p w:rsidR="00013EB8" w:rsidRDefault="00013EB8">
      <w:pPr>
        <w:widowControl w:val="0"/>
        <w:tabs>
          <w:tab w:val="left" w:pos="0"/>
          <w:tab w:val="left" w:pos="144"/>
        </w:tabs>
        <w:rPr>
          <w:sz w:val="22"/>
        </w:rPr>
      </w:pPr>
    </w:p>
    <w:tbl>
      <w:tblPr>
        <w:tblW w:w="10785" w:type="dxa"/>
        <w:tblInd w:w="-45" w:type="dxa"/>
        <w:tblLayout w:type="fixed"/>
        <w:tblCellMar>
          <w:left w:w="30" w:type="dxa"/>
          <w:right w:w="30" w:type="dxa"/>
        </w:tblCellMar>
        <w:tblLook w:val="0000" w:firstRow="0" w:lastRow="0" w:firstColumn="0" w:lastColumn="0" w:noHBand="0" w:noVBand="0"/>
      </w:tblPr>
      <w:tblGrid>
        <w:gridCol w:w="615"/>
        <w:gridCol w:w="10170"/>
      </w:tblGrid>
      <w:tr w:rsidR="00013EB8" w:rsidTr="00982297">
        <w:tc>
          <w:tcPr>
            <w:tcW w:w="615" w:type="dxa"/>
            <w:tcBorders>
              <w:top w:val="nil"/>
              <w:left w:val="nil"/>
              <w:bottom w:val="nil"/>
              <w:right w:val="nil"/>
            </w:tcBorders>
          </w:tcPr>
          <w:p w:rsidR="00013EB8" w:rsidRDefault="00013EB8">
            <w:pPr>
              <w:widowControl w:val="0"/>
              <w:numPr>
                <w:ilvl w:val="12"/>
                <w:numId w:val="0"/>
              </w:numPr>
              <w:rPr>
                <w:b/>
              </w:rPr>
            </w:pPr>
            <w:r w:rsidRPr="00F673C9">
              <w:rPr>
                <w:b/>
              </w:rPr>
              <w:t>3.156</w:t>
            </w:r>
          </w:p>
        </w:tc>
        <w:tc>
          <w:tcPr>
            <w:tcW w:w="10170" w:type="dxa"/>
            <w:tcBorders>
              <w:top w:val="nil"/>
              <w:left w:val="nil"/>
              <w:bottom w:val="nil"/>
              <w:right w:val="nil"/>
            </w:tcBorders>
          </w:tcPr>
          <w:p w:rsidR="00013EB8" w:rsidRDefault="00013EB8">
            <w:pPr>
              <w:widowControl w:val="0"/>
              <w:numPr>
                <w:ilvl w:val="12"/>
                <w:numId w:val="0"/>
              </w:numPr>
              <w:spacing w:after="120"/>
            </w:pPr>
            <w:r>
              <w:rPr>
                <w:b/>
              </w:rPr>
              <w:t>New and material evidence</w:t>
            </w:r>
            <w:r>
              <w:t xml:space="preserve"> </w:t>
            </w:r>
          </w:p>
          <w:p w:rsidR="00EF24E5" w:rsidRPr="00900333" w:rsidRDefault="00EF24E5" w:rsidP="00691877">
            <w:pPr>
              <w:widowControl w:val="0"/>
              <w:numPr>
                <w:ilvl w:val="0"/>
                <w:numId w:val="2"/>
              </w:numPr>
              <w:spacing w:after="120"/>
              <w:rPr>
                <w:b/>
                <w:bCs/>
                <w:szCs w:val="24"/>
              </w:rPr>
            </w:pPr>
            <w:r w:rsidRPr="00EF24E5">
              <w:rPr>
                <w:b/>
              </w:rPr>
              <w:t>I.1.A.3.i</w:t>
            </w:r>
          </w:p>
          <w:p w:rsidR="00900333" w:rsidRPr="005356BE" w:rsidRDefault="00900333" w:rsidP="00691877">
            <w:pPr>
              <w:widowControl w:val="0"/>
              <w:numPr>
                <w:ilvl w:val="0"/>
                <w:numId w:val="2"/>
              </w:numPr>
              <w:spacing w:after="120"/>
              <w:rPr>
                <w:b/>
                <w:bCs/>
                <w:szCs w:val="24"/>
              </w:rPr>
            </w:pPr>
            <w:r>
              <w:rPr>
                <w:b/>
              </w:rPr>
              <w:t>III.ii.2.D.1</w:t>
            </w:r>
          </w:p>
          <w:p w:rsidR="005356BE" w:rsidRPr="00310B75" w:rsidRDefault="005356BE" w:rsidP="00691877">
            <w:pPr>
              <w:widowControl w:val="0"/>
              <w:numPr>
                <w:ilvl w:val="0"/>
                <w:numId w:val="2"/>
              </w:numPr>
              <w:spacing w:after="120"/>
              <w:rPr>
                <w:b/>
                <w:bCs/>
              </w:rPr>
            </w:pPr>
            <w:r>
              <w:rPr>
                <w:b/>
              </w:rPr>
              <w:t>III.ii.2.D.2.c</w:t>
            </w:r>
            <w:r w:rsidR="00982297">
              <w:rPr>
                <w:b/>
              </w:rPr>
              <w:t xml:space="preserve"> </w:t>
            </w:r>
            <w:r w:rsidR="00310B75" w:rsidRPr="00310B75">
              <w:rPr>
                <w:b/>
              </w:rPr>
              <w:t xml:space="preserve">&amp; </w:t>
            </w:r>
            <w:r w:rsidR="00310B75" w:rsidRPr="00310B75">
              <w:rPr>
                <w:rStyle w:val="Strong"/>
              </w:rPr>
              <w:t>III.ii.2.D.3.h &amp; III.ii.2.D.3.i </w:t>
            </w:r>
            <w:r w:rsidR="00982297" w:rsidRPr="00310B75">
              <w:rPr>
                <w:b/>
              </w:rPr>
              <w:t xml:space="preserve">– </w:t>
            </w:r>
          </w:p>
          <w:p w:rsidR="00982297" w:rsidRPr="00310B75" w:rsidRDefault="00982297" w:rsidP="00982297">
            <w:pPr>
              <w:widowControl w:val="0"/>
              <w:pBdr>
                <w:top w:val="single" w:sz="4" w:space="1" w:color="auto"/>
                <w:left w:val="single" w:sz="4" w:space="4" w:color="auto"/>
                <w:bottom w:val="single" w:sz="4" w:space="1" w:color="auto"/>
                <w:right w:val="single" w:sz="4" w:space="4" w:color="auto"/>
              </w:pBdr>
              <w:spacing w:after="120"/>
              <w:ind w:left="60" w:right="60"/>
              <w:rPr>
                <w:rStyle w:val="Hyperlink"/>
                <w:b/>
                <w:bCs/>
                <w:color w:val="auto"/>
                <w:u w:val="none"/>
              </w:rPr>
            </w:pPr>
            <w:r w:rsidRPr="00310B75">
              <w:t>VSR:</w:t>
            </w:r>
            <w:r w:rsidR="002B76B1" w:rsidRPr="00310B75">
              <w:t xml:space="preserve"> </w:t>
            </w:r>
            <w:r w:rsidRPr="00310B75">
              <w:t xml:space="preserve"> Please administratively deny {}, per III.ii.2.D.2.c</w:t>
            </w:r>
            <w:r w:rsidR="00310B75" w:rsidRPr="00310B75">
              <w:t xml:space="preserve">, </w:t>
            </w:r>
            <w:r w:rsidR="00310B75" w:rsidRPr="00310B75">
              <w:rPr>
                <w:rStyle w:val="Strong"/>
                <w:b w:val="0"/>
              </w:rPr>
              <w:t>III.ii.2.D.3.h &amp; III.ii.2.D.3.i</w:t>
            </w:r>
            <w:r w:rsidRPr="00310B75">
              <w:t xml:space="preserve">, as </w:t>
            </w:r>
            <w:r w:rsidR="00310B75" w:rsidRPr="00310B75">
              <w:t>{</w:t>
            </w:r>
            <w:r w:rsidRPr="00310B75">
              <w:t>no evidence has been submitted</w:t>
            </w:r>
            <w:r w:rsidR="00310B75" w:rsidRPr="00310B75">
              <w:t xml:space="preserve"> / the evidence submitted is clearly and entirely duplicative}.</w:t>
            </w:r>
          </w:p>
          <w:p w:rsidR="0072580E" w:rsidRPr="00F7044A" w:rsidRDefault="0072580E" w:rsidP="00691877">
            <w:pPr>
              <w:widowControl w:val="0"/>
              <w:numPr>
                <w:ilvl w:val="0"/>
                <w:numId w:val="2"/>
              </w:numPr>
              <w:spacing w:after="120"/>
              <w:rPr>
                <w:rStyle w:val="Hyperlink"/>
                <w:b/>
                <w:bCs/>
                <w:color w:val="auto"/>
                <w:szCs w:val="24"/>
                <w:u w:val="none"/>
              </w:rPr>
            </w:pPr>
            <w:r w:rsidRPr="00BA78B4">
              <w:rPr>
                <w:b/>
                <w:bCs/>
                <w:szCs w:val="24"/>
              </w:rPr>
              <w:t>III.ii.2.E</w:t>
            </w:r>
            <w:r w:rsidR="0031136F" w:rsidRPr="0031136F">
              <w:rPr>
                <w:bCs/>
                <w:szCs w:val="24"/>
              </w:rPr>
              <w:t xml:space="preserve"> -</w:t>
            </w:r>
            <w:r w:rsidR="0031136F">
              <w:rPr>
                <w:b/>
                <w:bCs/>
                <w:szCs w:val="24"/>
              </w:rPr>
              <w:t xml:space="preserve"> </w:t>
            </w:r>
            <w:r w:rsidR="0031136F" w:rsidRPr="0031136F">
              <w:rPr>
                <w:bCs/>
                <w:szCs w:val="24"/>
              </w:rPr>
              <w:t>N&amp;M in CFI</w:t>
            </w:r>
          </w:p>
          <w:p w:rsidR="00F7044A" w:rsidRDefault="00E76788" w:rsidP="00691877">
            <w:pPr>
              <w:widowControl w:val="0"/>
              <w:numPr>
                <w:ilvl w:val="0"/>
                <w:numId w:val="2"/>
              </w:numPr>
              <w:spacing w:after="120"/>
              <w:rPr>
                <w:rStyle w:val="referencecode1"/>
                <w:b/>
                <w:bCs/>
                <w:sz w:val="20"/>
              </w:rPr>
            </w:pPr>
            <w:r>
              <w:rPr>
                <w:b/>
                <w:bCs/>
                <w:szCs w:val="24"/>
              </w:rPr>
              <w:t>III.iii.1.B</w:t>
            </w:r>
            <w:r w:rsidR="00726302">
              <w:rPr>
                <w:b/>
                <w:bCs/>
                <w:szCs w:val="24"/>
              </w:rPr>
              <w:t>.6</w:t>
            </w:r>
            <w:r w:rsidR="000F25C9">
              <w:rPr>
                <w:b/>
                <w:bCs/>
                <w:szCs w:val="24"/>
              </w:rPr>
              <w:t xml:space="preserve"> – </w:t>
            </w:r>
            <w:r w:rsidR="000F25C9" w:rsidRPr="000F25C9">
              <w:rPr>
                <w:bCs/>
                <w:szCs w:val="24"/>
              </w:rPr>
              <w:t>effective dates</w:t>
            </w:r>
          </w:p>
          <w:p w:rsidR="00013EB8" w:rsidRDefault="00013EB8" w:rsidP="00691877">
            <w:pPr>
              <w:widowControl w:val="0"/>
              <w:numPr>
                <w:ilvl w:val="0"/>
                <w:numId w:val="2"/>
              </w:numPr>
              <w:spacing w:after="120"/>
              <w:rPr>
                <w:b/>
                <w:bCs/>
                <w:szCs w:val="24"/>
              </w:rPr>
            </w:pPr>
            <w:r w:rsidRPr="00BA78B4">
              <w:rPr>
                <w:b/>
                <w:bCs/>
                <w:szCs w:val="24"/>
              </w:rPr>
              <w:t>III.iv.2.B</w:t>
            </w:r>
            <w:r w:rsidR="00726302">
              <w:rPr>
                <w:b/>
                <w:bCs/>
                <w:szCs w:val="24"/>
              </w:rPr>
              <w:t>.3</w:t>
            </w:r>
            <w:r w:rsidR="002C64A6">
              <w:rPr>
                <w:b/>
                <w:bCs/>
                <w:szCs w:val="24"/>
              </w:rPr>
              <w:t xml:space="preserve"> –</w:t>
            </w:r>
            <w:r w:rsidR="007F0A40">
              <w:rPr>
                <w:b/>
                <w:bCs/>
                <w:szCs w:val="24"/>
              </w:rPr>
              <w:t xml:space="preserve"> </w:t>
            </w:r>
            <w:r w:rsidR="007F0A40" w:rsidRPr="00A847AE">
              <w:rPr>
                <w:bCs/>
              </w:rPr>
              <w:t>“</w:t>
            </w:r>
            <w:r w:rsidR="007F0A40" w:rsidRPr="00A847AE">
              <w:t xml:space="preserve">Evidence is </w:t>
            </w:r>
            <w:r w:rsidR="007F0A40" w:rsidRPr="00A847AE">
              <w:rPr>
                <w:rStyle w:val="Emphasis"/>
                <w:b/>
                <w:bCs/>
              </w:rPr>
              <w:t>material</w:t>
            </w:r>
            <w:r w:rsidR="007F0A40" w:rsidRPr="00A847AE">
              <w:t xml:space="preserve"> if, by itself, or when considered with previous evidence of record, it relates to any unestablished fact neces</w:t>
            </w:r>
            <w:r w:rsidR="00A847AE" w:rsidRPr="00A847AE">
              <w:t>sary to substantiate the claim.</w:t>
            </w:r>
            <w:r w:rsidR="007F0A40" w:rsidRPr="00A847AE">
              <w:rPr>
                <w:bCs/>
              </w:rPr>
              <w:t>”</w:t>
            </w:r>
            <w:r w:rsidR="002C64A6">
              <w:rPr>
                <w:b/>
                <w:bCs/>
                <w:szCs w:val="24"/>
              </w:rPr>
              <w:t xml:space="preserve"> </w:t>
            </w:r>
            <w:r w:rsidR="00A847AE" w:rsidRPr="00A847AE">
              <w:rPr>
                <w:bCs/>
                <w:szCs w:val="24"/>
              </w:rPr>
              <w:t xml:space="preserve">N&amp;M evid “must raise a </w:t>
            </w:r>
            <w:r w:rsidR="002C64A6" w:rsidRPr="002C64A6">
              <w:rPr>
                <w:bCs/>
                <w:szCs w:val="24"/>
              </w:rPr>
              <w:t>reasonable possibility of substantiating the claim</w:t>
            </w:r>
            <w:r w:rsidR="00A847AE">
              <w:rPr>
                <w:bCs/>
                <w:szCs w:val="24"/>
              </w:rPr>
              <w:t>.”</w:t>
            </w:r>
            <w:r w:rsidR="002C64A6">
              <w:rPr>
                <w:bCs/>
                <w:szCs w:val="24"/>
              </w:rPr>
              <w:t xml:space="preserve"> </w:t>
            </w:r>
            <w:r w:rsidR="00A847AE">
              <w:rPr>
                <w:bCs/>
                <w:szCs w:val="24"/>
              </w:rPr>
              <w:t xml:space="preserve">“… </w:t>
            </w:r>
            <w:r w:rsidR="002C64A6">
              <w:rPr>
                <w:bCs/>
                <w:szCs w:val="24"/>
              </w:rPr>
              <w:t>low threshold for reo</w:t>
            </w:r>
            <w:r w:rsidR="00A847AE">
              <w:rPr>
                <w:bCs/>
                <w:szCs w:val="24"/>
              </w:rPr>
              <w:t>pening claims.” Example 1 – if denied because treated in service (skin), but not diagnosed at VAE… then provides evidence of diagnosis = reopened [no need for nexus info]. Example 2 – if denied because not treated in service &amp; not diagnosed at VAE (claimed asthma)… then provides evidence of treatment by private physician for acute issues (URIs) in service = not reopened as no evid if current disability [only one ele</w:t>
            </w:r>
            <w:r w:rsidR="001E0E8E">
              <w:rPr>
                <w:bCs/>
                <w:szCs w:val="24"/>
              </w:rPr>
              <w:t>ment addressed by new evidence]</w:t>
            </w:r>
          </w:p>
          <w:p w:rsidR="00F41556" w:rsidRPr="00F41556" w:rsidRDefault="00F41556" w:rsidP="00691877">
            <w:pPr>
              <w:widowControl w:val="0"/>
              <w:numPr>
                <w:ilvl w:val="0"/>
                <w:numId w:val="2"/>
              </w:numPr>
              <w:tabs>
                <w:tab w:val="left" w:pos="330"/>
              </w:tabs>
              <w:spacing w:after="120"/>
            </w:pPr>
            <w:r w:rsidRPr="00407CAD">
              <w:rPr>
                <w:b/>
              </w:rPr>
              <w:t>III.iv.5.C.</w:t>
            </w:r>
            <w:r>
              <w:rPr>
                <w:b/>
              </w:rPr>
              <w:t xml:space="preserve">6 – </w:t>
            </w:r>
            <w:r w:rsidRPr="00F41556">
              <w:t>effective dates</w:t>
            </w:r>
          </w:p>
          <w:p w:rsidR="00013EB8" w:rsidRDefault="00013EB8" w:rsidP="00691877">
            <w:pPr>
              <w:widowControl w:val="0"/>
              <w:numPr>
                <w:ilvl w:val="0"/>
                <w:numId w:val="2"/>
              </w:numPr>
              <w:tabs>
                <w:tab w:val="left" w:pos="330"/>
              </w:tabs>
              <w:spacing w:after="120"/>
            </w:pPr>
            <w:r>
              <w:rPr>
                <w:b/>
                <w:i/>
              </w:rPr>
              <w:t>Manio v. Derwinski</w:t>
            </w:r>
            <w:r>
              <w:rPr>
                <w:b/>
              </w:rPr>
              <w:t xml:space="preserve"> (2/15/91), </w:t>
            </w:r>
            <w:r>
              <w:rPr>
                <w:b/>
                <w:i/>
              </w:rPr>
              <w:t>Colvin v. Derwinski</w:t>
            </w:r>
            <w:r>
              <w:rPr>
                <w:b/>
              </w:rPr>
              <w:t xml:space="preserve"> </w:t>
            </w:r>
            <w:r w:rsidRPr="00484DB7">
              <w:t>(3/8/91)</w:t>
            </w:r>
            <w:r w:rsidRPr="00484DB7">
              <w:rPr>
                <w:i/>
              </w:rPr>
              <w:t>,</w:t>
            </w:r>
            <w:r>
              <w:rPr>
                <w:b/>
                <w:i/>
              </w:rPr>
              <w:t xml:space="preserve"> Hayes v. Brown </w:t>
            </w:r>
            <w:r w:rsidRPr="00484DB7">
              <w:t>(</w:t>
            </w:r>
            <w:r w:rsidR="00484DB7" w:rsidRPr="00484DB7">
              <w:t>19</w:t>
            </w:r>
            <w:r w:rsidRPr="00484DB7">
              <w:t>9</w:t>
            </w:r>
            <w:r w:rsidR="00484DB7" w:rsidRPr="00484DB7">
              <w:t>3</w:t>
            </w:r>
            <w:r w:rsidRPr="00484DB7">
              <w:t>)</w:t>
            </w:r>
            <w:r>
              <w:rPr>
                <w:b/>
              </w:rPr>
              <w:t xml:space="preserve"> </w:t>
            </w:r>
            <w:r>
              <w:rPr>
                <w:b/>
                <w:i/>
              </w:rPr>
              <w:t xml:space="preserve">&amp; Hodge v. West </w:t>
            </w:r>
            <w:r w:rsidRPr="00484DB7">
              <w:t>(1998)</w:t>
            </w:r>
            <w:r>
              <w:t xml:space="preserve"> - defines N&amp;M &amp; 2-step analysis, Colvin also discusses limited weight of evidence &amp; Hayes also discusses credibility</w:t>
            </w:r>
          </w:p>
          <w:p w:rsidR="00013EB8" w:rsidRDefault="00013EB8" w:rsidP="00691877">
            <w:pPr>
              <w:widowControl w:val="0"/>
              <w:numPr>
                <w:ilvl w:val="0"/>
                <w:numId w:val="2"/>
              </w:numPr>
              <w:tabs>
                <w:tab w:val="left" w:pos="330"/>
              </w:tabs>
              <w:spacing w:after="120"/>
            </w:pPr>
            <w:r>
              <w:rPr>
                <w:b/>
                <w:i/>
              </w:rPr>
              <w:t>Masors v</w:t>
            </w:r>
            <w:r>
              <w:t xml:space="preserve">. </w:t>
            </w:r>
            <w:r>
              <w:rPr>
                <w:b/>
                <w:i/>
              </w:rPr>
              <w:t>Derwinski</w:t>
            </w:r>
            <w:r>
              <w:rPr>
                <w:b/>
              </w:rPr>
              <w:t xml:space="preserve"> </w:t>
            </w:r>
            <w:r w:rsidRPr="00484DB7">
              <w:t>(2/7//92),</w:t>
            </w:r>
            <w:r>
              <w:rPr>
                <w:b/>
                <w:i/>
              </w:rPr>
              <w:t xml:space="preserve"> Allday v. Brown </w:t>
            </w:r>
            <w:r w:rsidRPr="00484DB7">
              <w:t>(4/14/95)</w:t>
            </w:r>
            <w:r>
              <w:rPr>
                <w:b/>
              </w:rPr>
              <w:t xml:space="preserve"> </w:t>
            </w:r>
            <w:r>
              <w:rPr>
                <w:b/>
                <w:i/>
              </w:rPr>
              <w:t xml:space="preserve">&amp; Evans v. Brown </w:t>
            </w:r>
            <w:r w:rsidRPr="00484DB7">
              <w:t>(8/1/96)</w:t>
            </w:r>
            <w:r w:rsidRPr="00484DB7">
              <w:rPr>
                <w:i/>
              </w:rPr>
              <w:t xml:space="preserve"> </w:t>
            </w:r>
            <w:r w:rsidRPr="00484DB7">
              <w:t xml:space="preserve">- </w:t>
            </w:r>
            <w:r>
              <w:t>defines what is not material</w:t>
            </w:r>
          </w:p>
          <w:p w:rsidR="00013EB8" w:rsidRDefault="00013EB8" w:rsidP="00691877">
            <w:pPr>
              <w:widowControl w:val="0"/>
              <w:numPr>
                <w:ilvl w:val="0"/>
                <w:numId w:val="2"/>
              </w:numPr>
              <w:tabs>
                <w:tab w:val="left" w:pos="330"/>
              </w:tabs>
              <w:spacing w:after="120"/>
            </w:pPr>
            <w:r>
              <w:rPr>
                <w:b/>
                <w:i/>
              </w:rPr>
              <w:t>Gobber v. Derwinski</w:t>
            </w:r>
            <w:r>
              <w:rPr>
                <w:b/>
              </w:rPr>
              <w:t xml:space="preserve"> </w:t>
            </w:r>
            <w:r w:rsidRPr="00484DB7">
              <w:t>(5/27/92)</w:t>
            </w:r>
            <w:r>
              <w:t xml:space="preserve"> - well-grounded, outcome might change</w:t>
            </w:r>
          </w:p>
          <w:p w:rsidR="00013EB8" w:rsidRDefault="00013EB8" w:rsidP="00691877">
            <w:pPr>
              <w:widowControl w:val="0"/>
              <w:numPr>
                <w:ilvl w:val="0"/>
                <w:numId w:val="2"/>
              </w:numPr>
              <w:tabs>
                <w:tab w:val="left" w:pos="330"/>
              </w:tabs>
              <w:spacing w:after="120"/>
            </w:pPr>
            <w:r>
              <w:rPr>
                <w:b/>
                <w:i/>
              </w:rPr>
              <w:t>Justus v. Principi</w:t>
            </w:r>
            <w:r>
              <w:rPr>
                <w:b/>
              </w:rPr>
              <w:t xml:space="preserve"> </w:t>
            </w:r>
            <w:r w:rsidRPr="00484DB7">
              <w:t>(12/2/92)</w:t>
            </w:r>
            <w:r>
              <w:t xml:space="preserve"> - credible when N&amp;M</w:t>
            </w:r>
          </w:p>
          <w:p w:rsidR="00013EB8" w:rsidRDefault="00013EB8" w:rsidP="00691877">
            <w:pPr>
              <w:numPr>
                <w:ilvl w:val="0"/>
                <w:numId w:val="2"/>
              </w:numPr>
              <w:tabs>
                <w:tab w:val="left" w:pos="2880"/>
                <w:tab w:val="left" w:pos="5280"/>
                <w:tab w:val="left" w:pos="7080"/>
              </w:tabs>
              <w:spacing w:after="120"/>
              <w:ind w:right="835"/>
              <w:rPr>
                <w:szCs w:val="24"/>
              </w:rPr>
            </w:pPr>
            <w:r w:rsidRPr="00000E48">
              <w:rPr>
                <w:b/>
                <w:i/>
              </w:rPr>
              <w:t>Guerrieri v. Brown</w:t>
            </w:r>
            <w:r>
              <w:t xml:space="preserve"> (4/7/93) &amp; </w:t>
            </w:r>
            <w:r w:rsidRPr="00000E48">
              <w:rPr>
                <w:b/>
                <w:i/>
              </w:rPr>
              <w:t>White v. Principi</w:t>
            </w:r>
            <w:r>
              <w:rPr>
                <w:bCs/>
                <w:iCs/>
              </w:rPr>
              <w:t xml:space="preserve"> (3/27/01)</w:t>
            </w:r>
            <w:r>
              <w:t xml:space="preserve"> – N&amp;M evidence; “</w:t>
            </w:r>
            <w:r>
              <w:rPr>
                <w:szCs w:val="24"/>
              </w:rPr>
              <w:t>treating physician rule" is not suitable for application to the issue of service connection of a veteran's disabilities.  The Court has not adopted and will not today adopt, a rule that gives the opinions of treating physicians greater weight in evaluating claims made by veterans.</w:t>
            </w:r>
          </w:p>
          <w:p w:rsidR="00013EB8" w:rsidRDefault="00013EB8" w:rsidP="00691877">
            <w:pPr>
              <w:widowControl w:val="0"/>
              <w:numPr>
                <w:ilvl w:val="0"/>
                <w:numId w:val="2"/>
              </w:numPr>
              <w:tabs>
                <w:tab w:val="left" w:pos="330"/>
              </w:tabs>
              <w:spacing w:after="120"/>
            </w:pPr>
            <w:r>
              <w:rPr>
                <w:b/>
                <w:i/>
              </w:rPr>
              <w:t xml:space="preserve">Cox v. Brown </w:t>
            </w:r>
            <w:r w:rsidRPr="00E61608">
              <w:t>(5/12/93)</w:t>
            </w:r>
            <w:r>
              <w:t xml:space="preserve"> - defines N&amp;M</w:t>
            </w:r>
          </w:p>
          <w:p w:rsidR="00013EB8" w:rsidRPr="00E61608" w:rsidRDefault="00013EB8" w:rsidP="00691877">
            <w:pPr>
              <w:widowControl w:val="0"/>
              <w:numPr>
                <w:ilvl w:val="0"/>
                <w:numId w:val="2"/>
              </w:numPr>
              <w:tabs>
                <w:tab w:val="left" w:pos="330"/>
              </w:tabs>
              <w:spacing w:after="120"/>
              <w:rPr>
                <w:i/>
              </w:rPr>
            </w:pPr>
            <w:r>
              <w:rPr>
                <w:b/>
                <w:i/>
              </w:rPr>
              <w:t>Moray v. Brown</w:t>
            </w:r>
            <w:r>
              <w:rPr>
                <w:b/>
              </w:rPr>
              <w:t xml:space="preserve"> </w:t>
            </w:r>
            <w:r w:rsidRPr="00E61608">
              <w:t xml:space="preserve">(6/11/93) - </w:t>
            </w:r>
            <w:r>
              <w:t>lay medical evidence not good, not N&amp;M</w:t>
            </w:r>
          </w:p>
          <w:p w:rsidR="00E61608" w:rsidRDefault="00E61608" w:rsidP="00691877">
            <w:pPr>
              <w:widowControl w:val="0"/>
              <w:numPr>
                <w:ilvl w:val="0"/>
                <w:numId w:val="2"/>
              </w:numPr>
              <w:tabs>
                <w:tab w:val="left" w:pos="420"/>
              </w:tabs>
              <w:spacing w:after="120"/>
              <w:rPr>
                <w:iCs/>
              </w:rPr>
            </w:pPr>
            <w:r w:rsidRPr="00000E48">
              <w:rPr>
                <w:b/>
                <w:i/>
              </w:rPr>
              <w:t>Reonal v. Brown</w:t>
            </w:r>
            <w:r w:rsidRPr="00E61608">
              <w:rPr>
                <w:i/>
              </w:rPr>
              <w:t xml:space="preserve"> </w:t>
            </w:r>
            <w:r w:rsidRPr="00E61608">
              <w:rPr>
                <w:iCs/>
              </w:rPr>
              <w:t>(9/8/93) – opinion based on inaccurate data is not credible opinion, thus not material evidence</w:t>
            </w:r>
          </w:p>
          <w:p w:rsidR="00013EB8" w:rsidRDefault="00013EB8" w:rsidP="00691877">
            <w:pPr>
              <w:widowControl w:val="0"/>
              <w:numPr>
                <w:ilvl w:val="0"/>
                <w:numId w:val="2"/>
              </w:numPr>
              <w:tabs>
                <w:tab w:val="left" w:pos="330"/>
              </w:tabs>
              <w:spacing w:after="120"/>
              <w:rPr>
                <w:i/>
              </w:rPr>
            </w:pPr>
            <w:r>
              <w:rPr>
                <w:b/>
                <w:i/>
              </w:rPr>
              <w:t xml:space="preserve">Martinez v. Brown </w:t>
            </w:r>
            <w:r w:rsidRPr="00E61608">
              <w:t>(5/27/94)</w:t>
            </w:r>
            <w:r>
              <w:rPr>
                <w:b/>
              </w:rPr>
              <w:t xml:space="preserve"> </w:t>
            </w:r>
            <w:r>
              <w:t>– benefit of the doubt does not apply to reopening claims that are finally denied, as the evidence is not weighed</w:t>
            </w:r>
          </w:p>
          <w:p w:rsidR="00013EB8" w:rsidRDefault="00013EB8" w:rsidP="00691877">
            <w:pPr>
              <w:widowControl w:val="0"/>
              <w:numPr>
                <w:ilvl w:val="0"/>
                <w:numId w:val="2"/>
              </w:numPr>
              <w:tabs>
                <w:tab w:val="left" w:pos="330"/>
              </w:tabs>
              <w:spacing w:after="120"/>
              <w:rPr>
                <w:i/>
              </w:rPr>
            </w:pPr>
            <w:r>
              <w:rPr>
                <w:b/>
                <w:i/>
              </w:rPr>
              <w:lastRenderedPageBreak/>
              <w:t>Barnett v</w:t>
            </w:r>
            <w:r>
              <w:rPr>
                <w:i/>
              </w:rPr>
              <w:t xml:space="preserve">. </w:t>
            </w:r>
            <w:r>
              <w:rPr>
                <w:b/>
                <w:i/>
              </w:rPr>
              <w:t>Brown</w:t>
            </w:r>
            <w:r>
              <w:rPr>
                <w:i/>
              </w:rPr>
              <w:t xml:space="preserve"> </w:t>
            </w:r>
            <w:r w:rsidRPr="00E61608">
              <w:t>(4/13/95 &amp; 5/6/96)</w:t>
            </w:r>
            <w:r>
              <w:t xml:space="preserve"> - defines what is not new</w:t>
            </w:r>
          </w:p>
          <w:p w:rsidR="00013EB8" w:rsidRDefault="00013EB8" w:rsidP="00691877">
            <w:pPr>
              <w:widowControl w:val="0"/>
              <w:numPr>
                <w:ilvl w:val="0"/>
                <w:numId w:val="2"/>
              </w:numPr>
              <w:tabs>
                <w:tab w:val="left" w:pos="330"/>
              </w:tabs>
              <w:spacing w:after="120"/>
              <w:rPr>
                <w:i/>
              </w:rPr>
            </w:pPr>
            <w:r w:rsidRPr="00000E48">
              <w:rPr>
                <w:b/>
                <w:i/>
              </w:rPr>
              <w:t>Curtis v. Brown</w:t>
            </w:r>
            <w:r>
              <w:rPr>
                <w:i/>
              </w:rPr>
              <w:t xml:space="preserve"> </w:t>
            </w:r>
            <w:r>
              <w:rPr>
                <w:iCs/>
              </w:rPr>
              <w:t>(8/1/95) – must consider treating physician’s uncontradicted statements</w:t>
            </w:r>
          </w:p>
          <w:p w:rsidR="00013EB8" w:rsidRDefault="00013EB8" w:rsidP="00691877">
            <w:pPr>
              <w:widowControl w:val="0"/>
              <w:numPr>
                <w:ilvl w:val="0"/>
                <w:numId w:val="2"/>
              </w:numPr>
              <w:tabs>
                <w:tab w:val="left" w:pos="330"/>
              </w:tabs>
              <w:spacing w:after="120"/>
              <w:rPr>
                <w:i/>
              </w:rPr>
            </w:pPr>
            <w:r>
              <w:rPr>
                <w:b/>
                <w:i/>
              </w:rPr>
              <w:t>Butler v. Brown</w:t>
            </w:r>
            <w:r>
              <w:rPr>
                <w:b/>
              </w:rPr>
              <w:t xml:space="preserve"> </w:t>
            </w:r>
            <w:r w:rsidRPr="00E61608">
              <w:t>(6/12/96)</w:t>
            </w:r>
            <w:r>
              <w:rPr>
                <w:b/>
              </w:rPr>
              <w:t xml:space="preserve"> </w:t>
            </w:r>
            <w:r>
              <w:t>- if no N&amp;M, no further analysis is required or permitted</w:t>
            </w:r>
          </w:p>
          <w:p w:rsidR="00013EB8" w:rsidRDefault="00013EB8" w:rsidP="00691877">
            <w:pPr>
              <w:widowControl w:val="0"/>
              <w:numPr>
                <w:ilvl w:val="0"/>
                <w:numId w:val="2"/>
              </w:numPr>
              <w:tabs>
                <w:tab w:val="left" w:pos="360"/>
              </w:tabs>
              <w:spacing w:after="120"/>
              <w:rPr>
                <w:i/>
              </w:rPr>
            </w:pPr>
            <w:r>
              <w:rPr>
                <w:b/>
                <w:i/>
              </w:rPr>
              <w:t xml:space="preserve">Sears v. Principi </w:t>
            </w:r>
            <w:r>
              <w:rPr>
                <w:b/>
              </w:rPr>
              <w:t>(</w:t>
            </w:r>
            <w:r w:rsidRPr="00E61608">
              <w:t>8/20/02)</w:t>
            </w:r>
            <w:r w:rsidRPr="00E61608">
              <w:rPr>
                <w:i/>
              </w:rPr>
              <w:t xml:space="preserve"> </w:t>
            </w:r>
            <w:r>
              <w:t xml:space="preserve">- “new claim” under </w:t>
            </w:r>
            <w:r w:rsidRPr="00895E95">
              <w:rPr>
                <w:b/>
                <w:bCs/>
                <w:iCs/>
              </w:rPr>
              <w:t>3.400</w:t>
            </w:r>
            <w:r>
              <w:t xml:space="preserve">(q)(1)(ii) refers to a claim to reopen a previous &amp; finally denied claim; the </w:t>
            </w:r>
            <w:r>
              <w:rPr>
                <w:color w:val="000000"/>
              </w:rPr>
              <w:t>earliest possible effective date for service connection benefits granted for a reopened claim as the date of receipt of the request to reopen</w:t>
            </w:r>
          </w:p>
          <w:p w:rsidR="00013EB8" w:rsidRPr="0072580E" w:rsidRDefault="00013EB8" w:rsidP="00691877">
            <w:pPr>
              <w:widowControl w:val="0"/>
              <w:numPr>
                <w:ilvl w:val="0"/>
                <w:numId w:val="2"/>
              </w:numPr>
              <w:tabs>
                <w:tab w:val="left" w:pos="360"/>
              </w:tabs>
              <w:spacing w:after="120"/>
              <w:rPr>
                <w:rStyle w:val="Hyperlink"/>
                <w:i/>
                <w:color w:val="auto"/>
                <w:u w:val="none"/>
              </w:rPr>
            </w:pPr>
            <w:r w:rsidRPr="006E501E">
              <w:rPr>
                <w:b/>
                <w:bCs/>
                <w:i/>
                <w:iCs/>
              </w:rPr>
              <w:t xml:space="preserve">October 2010 </w:t>
            </w:r>
            <w:r w:rsidR="00EB6F0B" w:rsidRPr="006E501E">
              <w:rPr>
                <w:b/>
                <w:bCs/>
                <w:i/>
                <w:iCs/>
              </w:rPr>
              <w:t>Compensation Service Bulletin (CSB)</w:t>
            </w:r>
            <w:r w:rsidRPr="006E501E">
              <w:rPr>
                <w:b/>
                <w:bCs/>
                <w:i/>
                <w:iCs/>
              </w:rPr>
              <w:t xml:space="preserve"> Addendum</w:t>
            </w:r>
          </w:p>
          <w:p w:rsidR="0072580E" w:rsidRDefault="0072580E" w:rsidP="00691877">
            <w:pPr>
              <w:widowControl w:val="0"/>
              <w:numPr>
                <w:ilvl w:val="0"/>
                <w:numId w:val="2"/>
              </w:numPr>
              <w:tabs>
                <w:tab w:val="left" w:pos="360"/>
              </w:tabs>
              <w:spacing w:after="120"/>
              <w:rPr>
                <w:i/>
              </w:rPr>
            </w:pPr>
            <w:r w:rsidRPr="00000E48">
              <w:rPr>
                <w:b/>
                <w:bCs/>
                <w:iCs/>
              </w:rPr>
              <w:t>S</w:t>
            </w:r>
            <w:r w:rsidRPr="00000E48">
              <w:rPr>
                <w:b/>
                <w:bCs/>
                <w:i/>
                <w:iCs/>
              </w:rPr>
              <w:t>hade v. Shinseki</w:t>
            </w:r>
            <w:r>
              <w:rPr>
                <w:rStyle w:val="Hyperlink"/>
                <w:bCs/>
                <w:iCs/>
                <w:u w:val="none"/>
              </w:rPr>
              <w:t xml:space="preserve"> </w:t>
            </w:r>
            <w:r w:rsidRPr="0072580E">
              <w:rPr>
                <w:rStyle w:val="Hyperlink"/>
                <w:bCs/>
                <w:iCs/>
                <w:color w:val="auto"/>
                <w:u w:val="none"/>
              </w:rPr>
              <w:t xml:space="preserve">(11/2/10) </w:t>
            </w:r>
            <w:r>
              <w:rPr>
                <w:rStyle w:val="Hyperlink"/>
                <w:bCs/>
                <w:iCs/>
                <w:u w:val="none"/>
              </w:rPr>
              <w:t xml:space="preserve">– </w:t>
            </w:r>
            <w:r>
              <w:rPr>
                <w:rStyle w:val="Hyperlink"/>
                <w:bCs/>
                <w:iCs/>
                <w:color w:val="auto"/>
                <w:u w:val="none"/>
              </w:rPr>
              <w:t>reopen if newly submitted evidence raises a reasonable possibility of substantiating the claim (low threshold)</w:t>
            </w:r>
          </w:p>
          <w:p w:rsidR="00D93EEB" w:rsidRPr="005356BE" w:rsidRDefault="003C282E" w:rsidP="00691877">
            <w:pPr>
              <w:pStyle w:val="ListParagraph"/>
              <w:numPr>
                <w:ilvl w:val="0"/>
                <w:numId w:val="2"/>
              </w:numPr>
              <w:tabs>
                <w:tab w:val="left" w:pos="360"/>
              </w:tabs>
              <w:spacing w:after="120" w:line="240" w:lineRule="auto"/>
              <w:rPr>
                <w:rFonts w:ascii="Arial" w:hAnsi="Arial"/>
                <w:sz w:val="20"/>
                <w:szCs w:val="20"/>
              </w:rPr>
            </w:pPr>
            <w:r w:rsidRPr="006E501E">
              <w:rPr>
                <w:rFonts w:ascii="Arial" w:hAnsi="Arial"/>
                <w:b/>
                <w:i/>
                <w:sz w:val="20"/>
                <w:szCs w:val="20"/>
              </w:rPr>
              <w:t xml:space="preserve">March 2015 </w:t>
            </w:r>
            <w:r w:rsidR="00EB6F0B" w:rsidRPr="006E501E">
              <w:rPr>
                <w:rFonts w:ascii="Arial" w:hAnsi="Arial"/>
                <w:b/>
                <w:i/>
                <w:sz w:val="20"/>
                <w:szCs w:val="20"/>
              </w:rPr>
              <w:t>Compensation Service Bulletin (CSB)</w:t>
            </w:r>
            <w:r>
              <w:rPr>
                <w:rFonts w:ascii="Arial" w:hAnsi="Arial"/>
                <w:sz w:val="20"/>
                <w:szCs w:val="20"/>
              </w:rPr>
              <w:t xml:space="preserve">, says to refer to </w:t>
            </w:r>
            <w:hyperlink r:id="rId212" w:history="1">
              <w:r w:rsidR="00F863FB">
                <w:rPr>
                  <w:rStyle w:val="Hyperlink"/>
                  <w:rFonts w:ascii="Arial" w:hAnsi="Arial"/>
                  <w:b/>
                  <w:i/>
                  <w:sz w:val="20"/>
                  <w:szCs w:val="20"/>
                </w:rPr>
                <w:t>VAOPGCPREC 12-98</w:t>
              </w:r>
            </w:hyperlink>
            <w:r>
              <w:rPr>
                <w:rFonts w:ascii="Arial" w:hAnsi="Arial"/>
                <w:sz w:val="20"/>
                <w:szCs w:val="20"/>
              </w:rPr>
              <w:t xml:space="preserve"> (9/23/98)</w:t>
            </w:r>
          </w:p>
        </w:tc>
      </w:tr>
      <w:tr w:rsidR="00856815" w:rsidTr="00982297">
        <w:tc>
          <w:tcPr>
            <w:tcW w:w="615" w:type="dxa"/>
            <w:tcBorders>
              <w:top w:val="nil"/>
              <w:left w:val="nil"/>
              <w:bottom w:val="nil"/>
              <w:right w:val="nil"/>
            </w:tcBorders>
          </w:tcPr>
          <w:p w:rsidR="00856815" w:rsidRDefault="00856815">
            <w:pPr>
              <w:widowControl w:val="0"/>
              <w:numPr>
                <w:ilvl w:val="12"/>
                <w:numId w:val="0"/>
              </w:numPr>
            </w:pPr>
          </w:p>
        </w:tc>
        <w:tc>
          <w:tcPr>
            <w:tcW w:w="10170" w:type="dxa"/>
            <w:tcBorders>
              <w:top w:val="nil"/>
              <w:left w:val="nil"/>
              <w:bottom w:val="nil"/>
              <w:right w:val="nil"/>
            </w:tcBorders>
          </w:tcPr>
          <w:p w:rsidR="00856815" w:rsidRDefault="00856815">
            <w:pPr>
              <w:widowControl w:val="0"/>
              <w:numPr>
                <w:ilvl w:val="12"/>
                <w:numId w:val="0"/>
              </w:numPr>
              <w:spacing w:after="120"/>
              <w:rPr>
                <w:b/>
              </w:rPr>
            </w:pPr>
          </w:p>
        </w:tc>
      </w:tr>
    </w:tbl>
    <w:p w:rsidR="00013EB8" w:rsidRDefault="00013EB8">
      <w:pPr>
        <w:widowControl w:val="0"/>
        <w:pBdr>
          <w:bottom w:val="single" w:sz="4" w:space="1" w:color="auto"/>
        </w:pBdr>
        <w:tabs>
          <w:tab w:val="left" w:pos="0"/>
          <w:tab w:val="left" w:pos="144"/>
        </w:tabs>
        <w:rPr>
          <w:sz w:val="22"/>
        </w:rPr>
      </w:pPr>
    </w:p>
    <w:p w:rsidR="00390BD1" w:rsidRDefault="00390BD1">
      <w:pPr>
        <w:widowControl w:val="0"/>
        <w:pBdr>
          <w:bottom w:val="single" w:sz="4" w:space="1" w:color="auto"/>
        </w:pBdr>
        <w:tabs>
          <w:tab w:val="left" w:pos="0"/>
          <w:tab w:val="left" w:pos="144"/>
        </w:tabs>
        <w:rPr>
          <w:sz w:val="22"/>
        </w:rPr>
      </w:pPr>
    </w:p>
    <w:p w:rsidR="00013EB8" w:rsidRDefault="00013EB8">
      <w:pPr>
        <w:widowControl w:val="0"/>
        <w:pBdr>
          <w:top w:val="double" w:sz="4" w:space="1" w:color="auto"/>
        </w:pBdr>
        <w:tabs>
          <w:tab w:val="left" w:pos="0"/>
          <w:tab w:val="left" w:pos="144"/>
        </w:tabs>
        <w:rPr>
          <w:sz w:val="22"/>
        </w:rPr>
      </w:pPr>
      <w:r>
        <w:rPr>
          <w:sz w:val="22"/>
        </w:rPr>
        <w:br w:type="page"/>
      </w:r>
    </w:p>
    <w:p w:rsidR="004D429B" w:rsidRDefault="004D429B" w:rsidP="004D429B">
      <w:pPr>
        <w:widowControl w:val="0"/>
        <w:pBdr>
          <w:top w:val="double" w:sz="4" w:space="1" w:color="auto"/>
        </w:pBdr>
        <w:rPr>
          <w:b/>
          <w:bCs/>
          <w:i/>
          <w:sz w:val="22"/>
        </w:rPr>
      </w:pPr>
      <w:bookmarkStart w:id="25" w:name="SNL"/>
    </w:p>
    <w:p w:rsidR="00013EB8" w:rsidRPr="004D429B" w:rsidRDefault="00BD1EBC">
      <w:pPr>
        <w:widowControl w:val="0"/>
        <w:rPr>
          <w:b/>
          <w:bCs/>
          <w:i/>
          <w:sz w:val="22"/>
        </w:rPr>
      </w:pPr>
      <w:r w:rsidRPr="004D429B">
        <w:rPr>
          <w:b/>
          <w:bCs/>
          <w:i/>
          <w:sz w:val="22"/>
        </w:rPr>
        <w:t>E</w:t>
      </w:r>
      <w:r w:rsidR="004D429B">
        <w:rPr>
          <w:b/>
          <w:bCs/>
          <w:i/>
          <w:sz w:val="22"/>
        </w:rPr>
        <w:t>VALUATION BUILDER</w:t>
      </w:r>
      <w:r w:rsidR="001A22A4" w:rsidRPr="004D429B">
        <w:rPr>
          <w:b/>
          <w:bCs/>
          <w:i/>
          <w:sz w:val="22"/>
        </w:rPr>
        <w:t xml:space="preserve">, </w:t>
      </w:r>
      <w:r w:rsidR="00D94044" w:rsidRPr="004E16AB">
        <w:rPr>
          <w:rFonts w:ascii="Verdana" w:hAnsi="Verdana"/>
          <w:b/>
          <w:highlight w:val="green"/>
        </w:rPr>
        <w:t>VBMS-R</w:t>
      </w:r>
      <w:r w:rsidR="001A22A4" w:rsidRPr="004D429B">
        <w:rPr>
          <w:b/>
          <w:bCs/>
          <w:i/>
          <w:sz w:val="22"/>
        </w:rPr>
        <w:t xml:space="preserve"> &amp; VBMS</w:t>
      </w:r>
      <w:r w:rsidR="00013EB8" w:rsidRPr="004D429B">
        <w:rPr>
          <w:b/>
          <w:bCs/>
          <w:i/>
          <w:sz w:val="22"/>
        </w:rPr>
        <w:t xml:space="preserve"> </w:t>
      </w:r>
      <w:r w:rsidR="004D429B">
        <w:rPr>
          <w:b/>
          <w:bCs/>
          <w:i/>
          <w:sz w:val="22"/>
        </w:rPr>
        <w:t>INFO</w:t>
      </w:r>
    </w:p>
    <w:bookmarkEnd w:id="25"/>
    <w:p w:rsidR="00013EB8" w:rsidRDefault="00013EB8">
      <w:pPr>
        <w:widowControl w:val="0"/>
      </w:pPr>
    </w:p>
    <w:p w:rsidR="00013EB8" w:rsidRPr="004741FA" w:rsidRDefault="00D571C5" w:rsidP="00F063AF">
      <w:pPr>
        <w:widowControl w:val="0"/>
        <w:numPr>
          <w:ilvl w:val="0"/>
          <w:numId w:val="108"/>
        </w:numPr>
        <w:spacing w:after="120"/>
        <w:rPr>
          <w:sz w:val="22"/>
        </w:rPr>
      </w:pPr>
      <w:hyperlink r:id="rId213" w:history="1">
        <w:r w:rsidR="00013EB8" w:rsidRPr="004741FA">
          <w:rPr>
            <w:rStyle w:val="Hyperlink"/>
            <w:b/>
            <w:bCs/>
            <w:i/>
            <w:iCs/>
            <w:color w:val="auto"/>
          </w:rPr>
          <w:t>RVSR SNL Trainee Handout</w:t>
        </w:r>
      </w:hyperlink>
      <w:r w:rsidR="00013EB8" w:rsidRPr="004741FA">
        <w:t xml:space="preserve"> – </w:t>
      </w:r>
    </w:p>
    <w:p w:rsidR="00013EB8" w:rsidRDefault="00013EB8" w:rsidP="00F063AF">
      <w:pPr>
        <w:widowControl w:val="0"/>
        <w:numPr>
          <w:ilvl w:val="1"/>
          <w:numId w:val="164"/>
        </w:numPr>
        <w:tabs>
          <w:tab w:val="clear" w:pos="1440"/>
          <w:tab w:val="num" w:pos="1080"/>
        </w:tabs>
        <w:spacing w:after="120"/>
        <w:ind w:left="1080"/>
        <w:rPr>
          <w:sz w:val="22"/>
        </w:rPr>
      </w:pPr>
      <w:r>
        <w:t>“When there is a change in range of motion due to repetition, the additional limiting factors should be checked off in the boxes on the right side of the screen. The “Select from List” checkbox for pain is also for objective evidence of painful motion with or without further limitation due to repetitive motion.</w:t>
      </w:r>
      <w:bookmarkStart w:id="26" w:name="_Joint_Replacements"/>
      <w:bookmarkEnd w:id="26"/>
      <w:r>
        <w:t>”</w:t>
      </w:r>
    </w:p>
    <w:p w:rsidR="00013EB8" w:rsidRDefault="00013EB8" w:rsidP="00F063AF">
      <w:pPr>
        <w:widowControl w:val="0"/>
        <w:numPr>
          <w:ilvl w:val="1"/>
          <w:numId w:val="164"/>
        </w:numPr>
        <w:tabs>
          <w:tab w:val="clear" w:pos="1440"/>
          <w:tab w:val="num" w:pos="1080"/>
        </w:tabs>
        <w:spacing w:after="120"/>
        <w:ind w:left="1080"/>
        <w:rPr>
          <w:sz w:val="22"/>
        </w:rPr>
      </w:pPr>
      <w:r>
        <w:rPr>
          <w:color w:val="000000"/>
        </w:rPr>
        <w:t>If granting individual unemployability (IU) you must list all the disabilities that contributed to the establishme</w:t>
      </w:r>
      <w:r w:rsidR="00DA3E79">
        <w:rPr>
          <w:color w:val="000000"/>
        </w:rPr>
        <w:t>nt in the Special Notation box.</w:t>
      </w:r>
    </w:p>
    <w:p w:rsidR="00A70919" w:rsidRPr="00A70919" w:rsidRDefault="00C40657" w:rsidP="00F063AF">
      <w:pPr>
        <w:widowControl w:val="0"/>
        <w:numPr>
          <w:ilvl w:val="0"/>
          <w:numId w:val="108"/>
        </w:numPr>
        <w:spacing w:after="120"/>
        <w:rPr>
          <w:sz w:val="22"/>
        </w:rPr>
      </w:pPr>
      <w:r w:rsidRPr="00BC03F7">
        <w:rPr>
          <w:bCs/>
        </w:rPr>
        <w:t xml:space="preserve">Notes from </w:t>
      </w:r>
      <w:r w:rsidR="0008526C" w:rsidRPr="0008526C">
        <w:rPr>
          <w:b/>
          <w:i/>
          <w:szCs w:val="24"/>
          <w:u w:val="single"/>
        </w:rPr>
        <w:t>January 2014 Evaluation Builder Refresher Training</w:t>
      </w:r>
      <w:r w:rsidR="0008526C">
        <w:rPr>
          <w:szCs w:val="24"/>
        </w:rPr>
        <w:t xml:space="preserve"> – </w:t>
      </w:r>
    </w:p>
    <w:p w:rsidR="0008526C" w:rsidRPr="0008526C" w:rsidRDefault="0008526C" w:rsidP="00F063AF">
      <w:pPr>
        <w:widowControl w:val="0"/>
        <w:numPr>
          <w:ilvl w:val="1"/>
          <w:numId w:val="160"/>
        </w:numPr>
        <w:tabs>
          <w:tab w:val="clear" w:pos="1440"/>
          <w:tab w:val="left" w:pos="1080"/>
        </w:tabs>
        <w:spacing w:after="120"/>
        <w:ind w:left="1080"/>
        <w:rPr>
          <w:sz w:val="22"/>
        </w:rPr>
      </w:pPr>
      <w:r>
        <w:rPr>
          <w:szCs w:val="24"/>
        </w:rPr>
        <w:t>remember 4.7</w:t>
      </w:r>
    </w:p>
    <w:p w:rsidR="0008526C" w:rsidRPr="0008526C" w:rsidRDefault="0008526C" w:rsidP="00F063AF">
      <w:pPr>
        <w:widowControl w:val="0"/>
        <w:numPr>
          <w:ilvl w:val="1"/>
          <w:numId w:val="160"/>
        </w:numPr>
        <w:tabs>
          <w:tab w:val="clear" w:pos="1440"/>
          <w:tab w:val="left" w:pos="1080"/>
        </w:tabs>
        <w:spacing w:after="120"/>
        <w:ind w:left="1080"/>
        <w:rPr>
          <w:sz w:val="22"/>
        </w:rPr>
      </w:pPr>
      <w:r w:rsidRPr="0008526C">
        <w:rPr>
          <w:szCs w:val="24"/>
        </w:rPr>
        <w:t xml:space="preserve">successive </w:t>
      </w:r>
      <w:r>
        <w:rPr>
          <w:szCs w:val="24"/>
        </w:rPr>
        <w:t xml:space="preserve">builds upon itself, often </w:t>
      </w:r>
      <w:r w:rsidRPr="0008526C">
        <w:rPr>
          <w:szCs w:val="24"/>
        </w:rPr>
        <w:t>uses “and” (diabetes is example</w:t>
      </w:r>
      <w:r>
        <w:rPr>
          <w:szCs w:val="24"/>
        </w:rPr>
        <w:t>;</w:t>
      </w:r>
      <w:r w:rsidRPr="0008526C">
        <w:rPr>
          <w:szCs w:val="24"/>
        </w:rPr>
        <w:t xml:space="preserve"> but in some cases can give the higher even if don’t have ALL, especially if have one from even higher eval</w:t>
      </w:r>
      <w:r>
        <w:rPr>
          <w:szCs w:val="24"/>
        </w:rPr>
        <w:t>, Camacho - thyroid)</w:t>
      </w:r>
    </w:p>
    <w:p w:rsidR="0008526C" w:rsidRPr="0008526C" w:rsidRDefault="0008526C" w:rsidP="00F063AF">
      <w:pPr>
        <w:widowControl w:val="0"/>
        <w:numPr>
          <w:ilvl w:val="1"/>
          <w:numId w:val="160"/>
        </w:numPr>
        <w:tabs>
          <w:tab w:val="clear" w:pos="1440"/>
          <w:tab w:val="left" w:pos="1080"/>
        </w:tabs>
        <w:spacing w:after="120"/>
        <w:ind w:left="1080"/>
        <w:rPr>
          <w:sz w:val="22"/>
        </w:rPr>
      </w:pPr>
      <w:r w:rsidRPr="0008526C">
        <w:rPr>
          <w:szCs w:val="24"/>
        </w:rPr>
        <w:t>non-successive doesn’t build upon itself</w:t>
      </w:r>
      <w:r w:rsidR="00A70919">
        <w:rPr>
          <w:szCs w:val="24"/>
        </w:rPr>
        <w:t xml:space="preserve"> (HIV is example)</w:t>
      </w:r>
    </w:p>
    <w:p w:rsidR="0008526C" w:rsidRPr="0008526C" w:rsidRDefault="0008526C" w:rsidP="00F063AF">
      <w:pPr>
        <w:widowControl w:val="0"/>
        <w:numPr>
          <w:ilvl w:val="1"/>
          <w:numId w:val="160"/>
        </w:numPr>
        <w:tabs>
          <w:tab w:val="clear" w:pos="1440"/>
          <w:tab w:val="left" w:pos="1080"/>
        </w:tabs>
        <w:spacing w:after="120"/>
        <w:ind w:left="1080"/>
        <w:rPr>
          <w:sz w:val="22"/>
        </w:rPr>
      </w:pPr>
      <w:r>
        <w:rPr>
          <w:szCs w:val="24"/>
        </w:rPr>
        <w:t xml:space="preserve">PVD </w:t>
      </w:r>
      <w:r w:rsidR="00A70919">
        <w:rPr>
          <w:szCs w:val="24"/>
        </w:rPr>
        <w:t xml:space="preserve">(7199-7114) </w:t>
      </w:r>
      <w:r>
        <w:rPr>
          <w:szCs w:val="24"/>
        </w:rPr>
        <w:t>is over-evaluated in EB</w:t>
      </w:r>
      <w:r w:rsidR="00A70919">
        <w:rPr>
          <w:szCs w:val="24"/>
        </w:rPr>
        <w:t xml:space="preserve"> (gives 100% for ischemic limb pain at rest)</w:t>
      </w:r>
      <w:r>
        <w:rPr>
          <w:szCs w:val="24"/>
        </w:rPr>
        <w:t>, but Comp Service says that’s how it is to be applied</w:t>
      </w:r>
    </w:p>
    <w:p w:rsidR="0008526C" w:rsidRPr="00EA0432" w:rsidRDefault="0008526C" w:rsidP="00F063AF">
      <w:pPr>
        <w:widowControl w:val="0"/>
        <w:numPr>
          <w:ilvl w:val="1"/>
          <w:numId w:val="160"/>
        </w:numPr>
        <w:tabs>
          <w:tab w:val="clear" w:pos="1440"/>
          <w:tab w:val="left" w:pos="1080"/>
        </w:tabs>
        <w:spacing w:after="120"/>
        <w:ind w:left="1080"/>
      </w:pPr>
      <w:r>
        <w:rPr>
          <w:szCs w:val="24"/>
        </w:rPr>
        <w:t>Migraines – “</w:t>
      </w:r>
      <w:r>
        <w:t>productive of severe economic inadaptability” doesn’t have to be shown in record, if affects work (lie down in dark room, occasionally miss work) it is 50%</w:t>
      </w:r>
      <w:r w:rsidR="005D1A27">
        <w:t>, take their word, don’t need objective evidence</w:t>
      </w:r>
      <w:r w:rsidR="00A70919">
        <w:t xml:space="preserve"> (&amp; don’t have to be completely unable to work to qualify for 50%)</w:t>
      </w:r>
      <w:r w:rsidR="0022634A">
        <w:t xml:space="preserve">, Comp Service says very </w:t>
      </w:r>
      <w:r w:rsidR="0022634A" w:rsidRPr="00EA0432">
        <w:t>frequent completely prostrating and prolonged attacks = 50%</w:t>
      </w:r>
      <w:r w:rsidR="008906F1">
        <w:t xml:space="preserve">; </w:t>
      </w:r>
      <w:r w:rsidR="008906F1" w:rsidRPr="008906F1">
        <w:rPr>
          <w:i/>
          <w:color w:val="00B050"/>
        </w:rPr>
        <w:t>My Notes:</w:t>
      </w:r>
      <w:r w:rsidR="008906F1" w:rsidRPr="008906F1">
        <w:rPr>
          <w:color w:val="00B050"/>
        </w:rPr>
        <w:t xml:space="preserve">  </w:t>
      </w:r>
      <w:r w:rsidR="008906F1" w:rsidRPr="00D36CD9">
        <w:rPr>
          <w:i/>
        </w:rPr>
        <w:t>8100 says “very frequent completely prostrating and prolonged attacks</w:t>
      </w:r>
      <w:r w:rsidR="001946CC">
        <w:rPr>
          <w:i/>
        </w:rPr>
        <w:t>,”</w:t>
      </w:r>
      <w:r w:rsidR="008906F1" w:rsidRPr="00D36CD9">
        <w:rPr>
          <w:i/>
        </w:rPr>
        <w:t xml:space="preserve"> DBQ says “very frequent prostrating and prolonged attacks”</w:t>
      </w:r>
    </w:p>
    <w:p w:rsidR="0022634A" w:rsidRPr="00EA0432" w:rsidRDefault="0022634A" w:rsidP="00F063AF">
      <w:pPr>
        <w:widowControl w:val="0"/>
        <w:numPr>
          <w:ilvl w:val="1"/>
          <w:numId w:val="160"/>
        </w:numPr>
        <w:tabs>
          <w:tab w:val="clear" w:pos="1440"/>
          <w:tab w:val="left" w:pos="1080"/>
        </w:tabs>
        <w:spacing w:after="120"/>
        <w:ind w:left="1080"/>
      </w:pPr>
      <w:r w:rsidRPr="00EA0432">
        <w:t xml:space="preserve">IVDS – need evidence of </w:t>
      </w:r>
      <w:r w:rsidRPr="00EA0432">
        <w:rPr>
          <w:i/>
        </w:rPr>
        <w:t>prescribed</w:t>
      </w:r>
      <w:r w:rsidRPr="00EA0432">
        <w:t xml:space="preserve"> bedrest under 5243, can’t accept just the checked box on the DBQ based on reported history, this is per Note 1. Don’t defer for clarification.</w:t>
      </w:r>
    </w:p>
    <w:p w:rsidR="0022634A" w:rsidRPr="00EA0432" w:rsidRDefault="0022634A" w:rsidP="00F063AF">
      <w:pPr>
        <w:widowControl w:val="0"/>
        <w:numPr>
          <w:ilvl w:val="1"/>
          <w:numId w:val="160"/>
        </w:numPr>
        <w:tabs>
          <w:tab w:val="clear" w:pos="1440"/>
          <w:tab w:val="left" w:pos="1080"/>
        </w:tabs>
        <w:spacing w:after="120"/>
        <w:ind w:left="1080"/>
      </w:pPr>
      <w:r w:rsidRPr="00EA0432">
        <w:t>IBS is generally high</w:t>
      </w:r>
      <w:r w:rsidR="00356A5B" w:rsidRPr="00EA0432">
        <w:t>.</w:t>
      </w:r>
    </w:p>
    <w:p w:rsidR="00A70919" w:rsidRPr="00EA0432" w:rsidRDefault="00356A5B" w:rsidP="00F063AF">
      <w:pPr>
        <w:widowControl w:val="0"/>
        <w:numPr>
          <w:ilvl w:val="1"/>
          <w:numId w:val="160"/>
        </w:numPr>
        <w:tabs>
          <w:tab w:val="clear" w:pos="1440"/>
          <w:tab w:val="left" w:pos="1080"/>
        </w:tabs>
        <w:spacing w:after="120"/>
        <w:ind w:left="1080"/>
      </w:pPr>
      <w:r w:rsidRPr="00EA0432">
        <w:t xml:space="preserve">Mental – Comp </w:t>
      </w:r>
      <w:r w:rsidR="00DD03A9" w:rsidRPr="00EA0432">
        <w:t>Service</w:t>
      </w:r>
      <w:r w:rsidRPr="00EA0432">
        <w:t xml:space="preserve"> wants you to check all three for stressful circumstances, work &amp; worklike setting; plus all three for circumstantial, circumlocutory, or stereotyped speech</w:t>
      </w:r>
      <w:r w:rsidR="00A70919" w:rsidRPr="00EA0432">
        <w:t>.</w:t>
      </w:r>
    </w:p>
    <w:p w:rsidR="00A70919" w:rsidRPr="00EA0432" w:rsidRDefault="00A70919" w:rsidP="00F063AF">
      <w:pPr>
        <w:widowControl w:val="0"/>
        <w:numPr>
          <w:ilvl w:val="1"/>
          <w:numId w:val="160"/>
        </w:numPr>
        <w:tabs>
          <w:tab w:val="clear" w:pos="1440"/>
          <w:tab w:val="left" w:pos="1080"/>
        </w:tabs>
        <w:spacing w:after="120"/>
        <w:ind w:left="1080"/>
      </w:pPr>
      <w:r w:rsidRPr="00EA0432">
        <w:t>Peripheral Nerves – Sensory only can only be mild or moderate</w:t>
      </w:r>
    </w:p>
    <w:p w:rsidR="00A70919" w:rsidRPr="00EA0432" w:rsidRDefault="00A70919" w:rsidP="00F063AF">
      <w:pPr>
        <w:widowControl w:val="0"/>
        <w:numPr>
          <w:ilvl w:val="1"/>
          <w:numId w:val="160"/>
        </w:numPr>
        <w:tabs>
          <w:tab w:val="clear" w:pos="1440"/>
          <w:tab w:val="left" w:pos="1080"/>
        </w:tabs>
        <w:spacing w:after="120"/>
        <w:ind w:left="1080"/>
      </w:pPr>
      <w:r w:rsidRPr="00EA0432">
        <w:t>Joints – 4.</w:t>
      </w:r>
      <w:r w:rsidR="00DA3E79">
        <w:t>7 is not applied by VEB</w:t>
      </w:r>
    </w:p>
    <w:p w:rsidR="00A70919" w:rsidRPr="00EA0432" w:rsidRDefault="00A70919" w:rsidP="00F063AF">
      <w:pPr>
        <w:widowControl w:val="0"/>
        <w:numPr>
          <w:ilvl w:val="1"/>
          <w:numId w:val="160"/>
        </w:numPr>
        <w:tabs>
          <w:tab w:val="clear" w:pos="1440"/>
          <w:tab w:val="left" w:pos="1080"/>
        </w:tabs>
        <w:spacing w:after="120"/>
        <w:ind w:left="1080"/>
      </w:pPr>
      <w:r w:rsidRPr="00EA0432">
        <w:t>Don’t use “more closely approximates” to give a lower eval than generated by EB unless have ample evidence to support</w:t>
      </w:r>
      <w:r w:rsidR="00DA3E79">
        <w:t xml:space="preserve"> lower eval</w:t>
      </w:r>
    </w:p>
    <w:p w:rsidR="00D07E83" w:rsidRPr="00D07E83" w:rsidRDefault="004869DB" w:rsidP="00F063AF">
      <w:pPr>
        <w:pStyle w:val="ListParagraph"/>
        <w:numPr>
          <w:ilvl w:val="0"/>
          <w:numId w:val="160"/>
        </w:numPr>
        <w:tabs>
          <w:tab w:val="clear" w:pos="720"/>
          <w:tab w:val="left" w:pos="990"/>
        </w:tabs>
        <w:spacing w:after="120" w:line="240" w:lineRule="auto"/>
        <w:rPr>
          <w:rFonts w:ascii="Arial" w:hAnsi="Arial"/>
          <w:sz w:val="20"/>
          <w:szCs w:val="20"/>
        </w:rPr>
      </w:pPr>
      <w:r w:rsidRPr="004869DB">
        <w:rPr>
          <w:rFonts w:ascii="Arial" w:hAnsi="Arial"/>
          <w:b/>
          <w:iCs/>
          <w:sz w:val="20"/>
          <w:szCs w:val="20"/>
          <w:u w:val="single"/>
        </w:rPr>
        <w:t xml:space="preserve">Evaluation </w:t>
      </w:r>
      <w:r w:rsidRPr="00D07E83">
        <w:rPr>
          <w:rFonts w:ascii="Arial" w:hAnsi="Arial"/>
          <w:b/>
          <w:iCs/>
          <w:sz w:val="20"/>
          <w:szCs w:val="20"/>
          <w:u w:val="single"/>
        </w:rPr>
        <w:t xml:space="preserve">Builder Refresher Student Handout dated September 2013 </w:t>
      </w:r>
      <w:r w:rsidRPr="00D07E83">
        <w:rPr>
          <w:rFonts w:ascii="Arial" w:hAnsi="Arial"/>
          <w:iCs/>
          <w:sz w:val="20"/>
          <w:szCs w:val="20"/>
        </w:rPr>
        <w:t xml:space="preserve"> – </w:t>
      </w:r>
    </w:p>
    <w:p w:rsidR="004869DB" w:rsidRPr="00D07E83" w:rsidRDefault="004869DB" w:rsidP="00F063AF">
      <w:pPr>
        <w:pStyle w:val="ListParagraph"/>
        <w:numPr>
          <w:ilvl w:val="1"/>
          <w:numId w:val="160"/>
        </w:numPr>
        <w:tabs>
          <w:tab w:val="clear" w:pos="1440"/>
          <w:tab w:val="left" w:pos="1080"/>
        </w:tabs>
        <w:spacing w:after="120"/>
        <w:ind w:left="1080"/>
        <w:rPr>
          <w:rFonts w:ascii="Arial" w:hAnsi="Arial"/>
          <w:sz w:val="20"/>
          <w:szCs w:val="20"/>
        </w:rPr>
      </w:pPr>
      <w:r w:rsidRPr="00D07E83">
        <w:rPr>
          <w:rFonts w:ascii="Arial" w:hAnsi="Arial"/>
          <w:iCs/>
          <w:sz w:val="20"/>
          <w:szCs w:val="20"/>
        </w:rPr>
        <w:t>records showing “bedrest prescribed by a physician and treatment by a physician” are required to confirm incapacitating episodes</w:t>
      </w:r>
      <w:r w:rsidR="00141DE8">
        <w:rPr>
          <w:rFonts w:ascii="Arial" w:hAnsi="Arial"/>
          <w:iCs/>
          <w:sz w:val="20"/>
          <w:szCs w:val="20"/>
        </w:rPr>
        <w:t>, 5243</w:t>
      </w:r>
    </w:p>
    <w:p w:rsidR="00D07E83" w:rsidRPr="00D07E83" w:rsidRDefault="00D07E83" w:rsidP="00F063AF">
      <w:pPr>
        <w:widowControl w:val="0"/>
        <w:numPr>
          <w:ilvl w:val="1"/>
          <w:numId w:val="160"/>
        </w:numPr>
        <w:tabs>
          <w:tab w:val="clear" w:pos="1440"/>
          <w:tab w:val="left" w:pos="1080"/>
          <w:tab w:val="left" w:pos="9413"/>
        </w:tabs>
        <w:spacing w:after="120"/>
        <w:ind w:left="1080"/>
        <w:rPr>
          <w:b/>
        </w:rPr>
      </w:pPr>
      <w:r w:rsidRPr="00D07E83">
        <w:rPr>
          <w:iCs/>
        </w:rPr>
        <w:t>When frequent, completely prostrating attacks are indicated, assign the 50%</w:t>
      </w:r>
      <w:r w:rsidR="00141DE8">
        <w:rPr>
          <w:iCs/>
        </w:rPr>
        <w:t>, 8100</w:t>
      </w:r>
    </w:p>
    <w:p w:rsidR="004869DB" w:rsidRDefault="00D07E83" w:rsidP="00F063AF">
      <w:pPr>
        <w:widowControl w:val="0"/>
        <w:numPr>
          <w:ilvl w:val="1"/>
          <w:numId w:val="160"/>
        </w:numPr>
        <w:tabs>
          <w:tab w:val="clear" w:pos="1440"/>
          <w:tab w:val="left" w:pos="1080"/>
        </w:tabs>
        <w:spacing w:after="120"/>
        <w:ind w:left="1080"/>
      </w:pPr>
      <w:r w:rsidRPr="00D07E83">
        <w:t>Use the generated evaluation for 7319, IBS</w:t>
      </w:r>
    </w:p>
    <w:p w:rsidR="00D07E83" w:rsidRPr="00D07E83" w:rsidRDefault="00D07E83" w:rsidP="00F063AF">
      <w:pPr>
        <w:widowControl w:val="0"/>
        <w:numPr>
          <w:ilvl w:val="1"/>
          <w:numId w:val="160"/>
        </w:numPr>
        <w:tabs>
          <w:tab w:val="clear" w:pos="1440"/>
          <w:tab w:val="left" w:pos="1080"/>
        </w:tabs>
        <w:spacing w:after="120"/>
        <w:ind w:left="1080"/>
      </w:pPr>
      <w:r>
        <w:t>4.7 doesn’t apply to joint evaluations since they are based on ROM</w:t>
      </w:r>
    </w:p>
    <w:p w:rsidR="002D59FE" w:rsidRDefault="00D571C5" w:rsidP="00691877">
      <w:pPr>
        <w:pStyle w:val="ListParagraph"/>
        <w:numPr>
          <w:ilvl w:val="0"/>
          <w:numId w:val="42"/>
        </w:numPr>
        <w:spacing w:after="120" w:line="240" w:lineRule="auto"/>
        <w:ind w:left="720"/>
        <w:rPr>
          <w:rFonts w:ascii="Arial" w:eastAsiaTheme="minorHAnsi" w:hAnsi="Arial"/>
          <w:sz w:val="20"/>
          <w:szCs w:val="20"/>
        </w:rPr>
      </w:pPr>
      <w:hyperlink r:id="rId214" w:history="1">
        <w:r w:rsidR="002D59FE" w:rsidRPr="005D694D">
          <w:rPr>
            <w:rStyle w:val="Hyperlink"/>
            <w:rFonts w:ascii="Arial" w:eastAsiaTheme="minorHAnsi" w:hAnsi="Arial"/>
            <w:b/>
            <w:i/>
            <w:sz w:val="20"/>
            <w:szCs w:val="20"/>
          </w:rPr>
          <w:t>ADL SOP March 2014</w:t>
        </w:r>
      </w:hyperlink>
      <w:r w:rsidR="002D59FE" w:rsidRPr="005D694D">
        <w:rPr>
          <w:rFonts w:ascii="Arial" w:eastAsiaTheme="minorHAnsi" w:hAnsi="Arial"/>
          <w:b/>
          <w:i/>
          <w:sz w:val="20"/>
          <w:szCs w:val="20"/>
          <w:u w:val="single"/>
        </w:rPr>
        <w:t xml:space="preserve"> </w:t>
      </w:r>
      <w:r w:rsidR="002D59FE" w:rsidRPr="005D694D">
        <w:rPr>
          <w:rFonts w:ascii="Arial" w:eastAsiaTheme="minorHAnsi" w:hAnsi="Arial"/>
          <w:sz w:val="20"/>
          <w:szCs w:val="20"/>
        </w:rPr>
        <w:t xml:space="preserve">– </w:t>
      </w:r>
    </w:p>
    <w:p w:rsidR="009835CF" w:rsidRDefault="009835CF" w:rsidP="00F063AF">
      <w:pPr>
        <w:pStyle w:val="ListParagraph"/>
        <w:widowControl w:val="0"/>
        <w:numPr>
          <w:ilvl w:val="1"/>
          <w:numId w:val="167"/>
        </w:numPr>
        <w:spacing w:after="120" w:line="240" w:lineRule="auto"/>
        <w:ind w:left="1080"/>
        <w:rPr>
          <w:rFonts w:ascii="Arial" w:hAnsi="Arial"/>
          <w:sz w:val="20"/>
          <w:szCs w:val="20"/>
        </w:rPr>
      </w:pPr>
      <w:r>
        <w:rPr>
          <w:rFonts w:ascii="Arial" w:hAnsi="Arial"/>
          <w:sz w:val="20"/>
          <w:szCs w:val="20"/>
        </w:rPr>
        <w:t>Add ef</w:t>
      </w:r>
      <w:r w:rsidR="003E5A87">
        <w:rPr>
          <w:rFonts w:ascii="Arial" w:hAnsi="Arial"/>
          <w:sz w:val="20"/>
          <w:szCs w:val="20"/>
        </w:rPr>
        <w:t>fective date explanation if it’</w:t>
      </w:r>
      <w:r>
        <w:rPr>
          <w:rFonts w:ascii="Arial" w:hAnsi="Arial"/>
          <w:sz w:val="20"/>
          <w:szCs w:val="20"/>
        </w:rPr>
        <w:t>s</w:t>
      </w:r>
      <w:r w:rsidR="003E5A87">
        <w:rPr>
          <w:rFonts w:ascii="Arial" w:hAnsi="Arial"/>
          <w:sz w:val="20"/>
          <w:szCs w:val="20"/>
        </w:rPr>
        <w:t xml:space="preserve"> </w:t>
      </w:r>
      <w:r>
        <w:rPr>
          <w:rFonts w:ascii="Arial" w:hAnsi="Arial"/>
          <w:sz w:val="20"/>
          <w:szCs w:val="20"/>
        </w:rPr>
        <w:t>other that the date of claim or the day after discharge.</w:t>
      </w:r>
    </w:p>
    <w:p w:rsidR="002D59FE" w:rsidRPr="00B545B8" w:rsidRDefault="002D59FE" w:rsidP="00F063AF">
      <w:pPr>
        <w:pStyle w:val="ListParagraph"/>
        <w:widowControl w:val="0"/>
        <w:numPr>
          <w:ilvl w:val="1"/>
          <w:numId w:val="167"/>
        </w:numPr>
        <w:spacing w:after="120" w:line="240" w:lineRule="auto"/>
        <w:ind w:left="1080"/>
        <w:rPr>
          <w:rFonts w:ascii="Arial" w:hAnsi="Arial"/>
          <w:sz w:val="20"/>
          <w:szCs w:val="20"/>
        </w:rPr>
      </w:pPr>
      <w:r w:rsidRPr="00B545B8">
        <w:rPr>
          <w:rFonts w:ascii="Arial" w:hAnsi="Arial"/>
          <w:sz w:val="20"/>
          <w:szCs w:val="20"/>
        </w:rPr>
        <w:t xml:space="preserve">Most of the time, the extra information included in the rating decision is not required in the decision letter.  </w:t>
      </w:r>
    </w:p>
    <w:p w:rsidR="002D59FE" w:rsidRPr="00B545B8" w:rsidRDefault="002D59FE" w:rsidP="00F063AF">
      <w:pPr>
        <w:pStyle w:val="ListParagraph"/>
        <w:widowControl w:val="0"/>
        <w:numPr>
          <w:ilvl w:val="1"/>
          <w:numId w:val="167"/>
        </w:numPr>
        <w:spacing w:after="120" w:line="240" w:lineRule="auto"/>
        <w:ind w:left="1080"/>
        <w:rPr>
          <w:rFonts w:ascii="Arial" w:hAnsi="Arial"/>
          <w:sz w:val="20"/>
          <w:szCs w:val="20"/>
        </w:rPr>
      </w:pPr>
      <w:r w:rsidRPr="00B545B8">
        <w:rPr>
          <w:rFonts w:ascii="Arial" w:hAnsi="Arial"/>
          <w:sz w:val="20"/>
          <w:szCs w:val="20"/>
        </w:rPr>
        <w:t xml:space="preserve">If the rating narrative includes free text, then the corresponding decision notice may also require free text to further explain the rating. Use free text in the decision notice </w:t>
      </w:r>
      <w:r w:rsidRPr="00B545B8">
        <w:rPr>
          <w:rFonts w:ascii="Arial" w:hAnsi="Arial"/>
          <w:sz w:val="20"/>
          <w:szCs w:val="20"/>
          <w:u w:val="single"/>
        </w:rPr>
        <w:t>infrequently</w:t>
      </w:r>
      <w:r w:rsidRPr="00B545B8">
        <w:rPr>
          <w:rFonts w:ascii="Arial" w:hAnsi="Arial"/>
          <w:sz w:val="20"/>
          <w:szCs w:val="20"/>
        </w:rPr>
        <w:t>…</w:t>
      </w:r>
    </w:p>
    <w:p w:rsidR="002D59FE" w:rsidRPr="00B545B8" w:rsidRDefault="002D59FE" w:rsidP="00F063AF">
      <w:pPr>
        <w:pStyle w:val="ListParagraph"/>
        <w:numPr>
          <w:ilvl w:val="0"/>
          <w:numId w:val="166"/>
        </w:numPr>
        <w:spacing w:after="120" w:line="240" w:lineRule="auto"/>
        <w:ind w:left="1080"/>
        <w:rPr>
          <w:rFonts w:ascii="Arial" w:hAnsi="Arial"/>
          <w:sz w:val="20"/>
          <w:szCs w:val="20"/>
        </w:rPr>
      </w:pPr>
      <w:r w:rsidRPr="00B545B8">
        <w:rPr>
          <w:rFonts w:ascii="Arial" w:hAnsi="Arial"/>
          <w:sz w:val="20"/>
          <w:szCs w:val="20"/>
        </w:rPr>
        <w:t>Use language that is appropriate for the audience (e.g. reader focused writing).</w:t>
      </w:r>
    </w:p>
    <w:p w:rsidR="002D59FE" w:rsidRPr="00B545B8" w:rsidRDefault="002D59FE" w:rsidP="00F063AF">
      <w:pPr>
        <w:pStyle w:val="ListParagraph"/>
        <w:numPr>
          <w:ilvl w:val="0"/>
          <w:numId w:val="166"/>
        </w:numPr>
        <w:spacing w:after="120" w:line="240" w:lineRule="auto"/>
        <w:ind w:left="1080"/>
        <w:rPr>
          <w:rFonts w:ascii="Arial" w:hAnsi="Arial"/>
          <w:sz w:val="20"/>
          <w:szCs w:val="20"/>
        </w:rPr>
      </w:pPr>
      <w:r w:rsidRPr="00B545B8">
        <w:rPr>
          <w:rFonts w:ascii="Arial" w:hAnsi="Arial"/>
          <w:sz w:val="20"/>
          <w:szCs w:val="20"/>
        </w:rPr>
        <w:t>Avoid legal terminology.  If unavoidable, explain the terminology in layman’s terms.</w:t>
      </w:r>
    </w:p>
    <w:p w:rsidR="002D59FE" w:rsidRPr="00B545B8" w:rsidRDefault="002D59FE" w:rsidP="00F063AF">
      <w:pPr>
        <w:pStyle w:val="ListParagraph"/>
        <w:numPr>
          <w:ilvl w:val="0"/>
          <w:numId w:val="166"/>
        </w:numPr>
        <w:spacing w:after="120" w:line="240" w:lineRule="auto"/>
        <w:ind w:left="1080"/>
        <w:rPr>
          <w:rFonts w:ascii="Arial" w:hAnsi="Arial"/>
          <w:sz w:val="20"/>
          <w:szCs w:val="20"/>
        </w:rPr>
      </w:pPr>
      <w:r w:rsidRPr="00B545B8">
        <w:rPr>
          <w:rFonts w:ascii="Arial" w:hAnsi="Arial"/>
          <w:sz w:val="20"/>
          <w:szCs w:val="20"/>
        </w:rPr>
        <w:t>Never include legal citations such as the CFR or case law.  This is appropriate for the rating narrative but not in the notice to the Veteran.</w:t>
      </w:r>
    </w:p>
    <w:p w:rsidR="002D59FE" w:rsidRPr="00B545B8" w:rsidRDefault="002D59FE" w:rsidP="00F063AF">
      <w:pPr>
        <w:pStyle w:val="ListParagraph"/>
        <w:numPr>
          <w:ilvl w:val="0"/>
          <w:numId w:val="166"/>
        </w:numPr>
        <w:spacing w:after="120" w:line="240" w:lineRule="auto"/>
        <w:ind w:left="1080"/>
        <w:rPr>
          <w:rFonts w:ascii="Arial" w:hAnsi="Arial"/>
          <w:sz w:val="20"/>
          <w:szCs w:val="20"/>
        </w:rPr>
      </w:pPr>
      <w:r w:rsidRPr="00B545B8">
        <w:rPr>
          <w:rFonts w:ascii="Arial" w:hAnsi="Arial"/>
          <w:sz w:val="20"/>
          <w:szCs w:val="20"/>
        </w:rPr>
        <w:lastRenderedPageBreak/>
        <w:t>Keep sentences direct, concise and clear.</w:t>
      </w:r>
    </w:p>
    <w:p w:rsidR="00914519" w:rsidRPr="003F75B3" w:rsidRDefault="00D571C5" w:rsidP="00F063AF">
      <w:pPr>
        <w:pStyle w:val="ListParagraph"/>
        <w:numPr>
          <w:ilvl w:val="0"/>
          <w:numId w:val="159"/>
        </w:numPr>
        <w:spacing w:after="120" w:line="240" w:lineRule="auto"/>
        <w:rPr>
          <w:rFonts w:ascii="Arial" w:eastAsiaTheme="minorHAnsi" w:hAnsi="Arial"/>
          <w:sz w:val="20"/>
          <w:szCs w:val="20"/>
        </w:rPr>
      </w:pPr>
      <w:hyperlink r:id="rId215" w:history="1">
        <w:r w:rsidR="00914519" w:rsidRPr="003F75B3">
          <w:rPr>
            <w:rStyle w:val="Hyperlink"/>
            <w:rFonts w:ascii="Arial" w:eastAsiaTheme="minorHAnsi" w:hAnsi="Arial"/>
            <w:b/>
            <w:i/>
            <w:sz w:val="20"/>
            <w:szCs w:val="20"/>
          </w:rPr>
          <w:t>ADL SOP May 2014</w:t>
        </w:r>
      </w:hyperlink>
      <w:r w:rsidR="00914519" w:rsidRPr="003F75B3">
        <w:rPr>
          <w:rFonts w:ascii="Arial" w:eastAsiaTheme="minorHAnsi" w:hAnsi="Arial"/>
          <w:b/>
          <w:i/>
          <w:sz w:val="20"/>
          <w:szCs w:val="20"/>
          <w:u w:val="single"/>
        </w:rPr>
        <w:t xml:space="preserve"> </w:t>
      </w:r>
      <w:r w:rsidR="00914519" w:rsidRPr="003F75B3">
        <w:rPr>
          <w:rFonts w:ascii="Arial" w:eastAsiaTheme="minorHAnsi" w:hAnsi="Arial"/>
          <w:sz w:val="20"/>
          <w:szCs w:val="20"/>
        </w:rPr>
        <w:t xml:space="preserve">– </w:t>
      </w:r>
    </w:p>
    <w:p w:rsidR="002D59FE" w:rsidRPr="003F75B3" w:rsidRDefault="00914519" w:rsidP="00F063AF">
      <w:pPr>
        <w:pStyle w:val="ListParagraph"/>
        <w:widowControl w:val="0"/>
        <w:numPr>
          <w:ilvl w:val="0"/>
          <w:numId w:val="166"/>
        </w:numPr>
        <w:spacing w:after="120" w:line="240" w:lineRule="auto"/>
        <w:ind w:left="1080"/>
      </w:pPr>
      <w:r w:rsidRPr="00914519">
        <w:rPr>
          <w:rFonts w:ascii="Arial" w:eastAsiaTheme="minorHAnsi" w:hAnsi="Arial"/>
          <w:sz w:val="20"/>
          <w:szCs w:val="20"/>
        </w:rPr>
        <w:t xml:space="preserve"> </w:t>
      </w:r>
      <w:r>
        <w:rPr>
          <w:rFonts w:ascii="Arial" w:eastAsiaTheme="minorHAnsi" w:hAnsi="Arial"/>
          <w:sz w:val="20"/>
          <w:szCs w:val="20"/>
        </w:rPr>
        <w:t xml:space="preserve">Write the rating decision using </w:t>
      </w:r>
      <w:r w:rsidRPr="00914519">
        <w:rPr>
          <w:rFonts w:ascii="Arial" w:eastAsiaTheme="minorHAnsi" w:hAnsi="Arial"/>
          <w:sz w:val="20"/>
          <w:szCs w:val="20"/>
        </w:rPr>
        <w:t>second person active voice</w:t>
      </w:r>
      <w:r w:rsidR="009E4918">
        <w:rPr>
          <w:rFonts w:ascii="Arial" w:eastAsiaTheme="minorHAnsi" w:hAnsi="Arial"/>
          <w:sz w:val="20"/>
          <w:szCs w:val="20"/>
        </w:rPr>
        <w:t xml:space="preserve">, </w:t>
      </w:r>
      <w:r w:rsidR="009E4918" w:rsidRPr="009E4918">
        <w:rPr>
          <w:rFonts w:ascii="Arial" w:eastAsiaTheme="minorHAnsi" w:hAnsi="Arial"/>
          <w:b/>
          <w:sz w:val="20"/>
          <w:szCs w:val="20"/>
        </w:rPr>
        <w:t>III.iv.6.C.5.f</w:t>
      </w:r>
      <w:r w:rsidR="00A929E5">
        <w:rPr>
          <w:rFonts w:ascii="Arial" w:eastAsiaTheme="minorHAnsi" w:hAnsi="Arial"/>
          <w:sz w:val="20"/>
          <w:szCs w:val="20"/>
        </w:rPr>
        <w:t>.</w:t>
      </w:r>
    </w:p>
    <w:p w:rsidR="003F75B3" w:rsidRPr="008E0653" w:rsidRDefault="00D571C5" w:rsidP="00F063AF">
      <w:pPr>
        <w:pStyle w:val="ListParagraph"/>
        <w:numPr>
          <w:ilvl w:val="0"/>
          <w:numId w:val="159"/>
        </w:numPr>
        <w:tabs>
          <w:tab w:val="left" w:pos="720"/>
        </w:tabs>
        <w:spacing w:after="120" w:line="240" w:lineRule="auto"/>
        <w:rPr>
          <w:rStyle w:val="Hyperlink"/>
          <w:rFonts w:ascii="Arial" w:hAnsi="Arial"/>
          <w:b/>
          <w:i/>
          <w:color w:val="auto"/>
          <w:sz w:val="20"/>
          <w:szCs w:val="20"/>
          <w:u w:val="none"/>
        </w:rPr>
      </w:pPr>
      <w:hyperlink r:id="rId216" w:history="1">
        <w:r w:rsidR="003F75B3" w:rsidRPr="003F75B3">
          <w:rPr>
            <w:rStyle w:val="Hyperlink"/>
            <w:rFonts w:ascii="Arial" w:hAnsi="Arial"/>
            <w:b/>
            <w:i/>
            <w:sz w:val="20"/>
            <w:szCs w:val="20"/>
          </w:rPr>
          <w:t>Auto-populating a DBQ to the Evaluation Builder in VBMS-R</w:t>
        </w:r>
      </w:hyperlink>
    </w:p>
    <w:p w:rsidR="002E4EAD" w:rsidRPr="002A50A0" w:rsidRDefault="00D571C5" w:rsidP="00F063AF">
      <w:pPr>
        <w:pStyle w:val="ListParagraph"/>
        <w:widowControl w:val="0"/>
        <w:numPr>
          <w:ilvl w:val="0"/>
          <w:numId w:val="203"/>
        </w:numPr>
        <w:tabs>
          <w:tab w:val="left" w:pos="0"/>
          <w:tab w:val="left" w:pos="144"/>
        </w:tabs>
        <w:spacing w:after="120" w:line="240" w:lineRule="auto"/>
        <w:ind w:left="720"/>
        <w:rPr>
          <w:rFonts w:ascii="Arial" w:hAnsi="Arial"/>
        </w:rPr>
      </w:pPr>
      <w:hyperlink r:id="rId217" w:history="1">
        <w:r w:rsidR="00C906D7" w:rsidRPr="002A50A0">
          <w:rPr>
            <w:rStyle w:val="Hyperlink"/>
            <w:rFonts w:ascii="Arial" w:hAnsi="Arial"/>
            <w:b/>
            <w:i/>
            <w:sz w:val="20"/>
            <w:szCs w:val="20"/>
          </w:rPr>
          <w:t xml:space="preserve">January 2015 Rating </w:t>
        </w:r>
        <w:r w:rsidR="00FF4E63" w:rsidRPr="002A50A0">
          <w:rPr>
            <w:rStyle w:val="Hyperlink"/>
            <w:rFonts w:ascii="Arial" w:hAnsi="Arial"/>
            <w:b/>
            <w:i/>
            <w:sz w:val="20"/>
            <w:szCs w:val="20"/>
          </w:rPr>
          <w:t>Quality Call Notes</w:t>
        </w:r>
      </w:hyperlink>
      <w:r w:rsidR="00C906D7" w:rsidRPr="002A50A0">
        <w:rPr>
          <w:rStyle w:val="Hyperlink"/>
          <w:rFonts w:ascii="Arial" w:hAnsi="Arial"/>
          <w:sz w:val="20"/>
          <w:szCs w:val="20"/>
          <w:u w:val="none"/>
        </w:rPr>
        <w:t xml:space="preserve"> </w:t>
      </w:r>
      <w:r w:rsidR="00C906D7" w:rsidRPr="002A50A0">
        <w:rPr>
          <w:rFonts w:ascii="Arial" w:hAnsi="Arial"/>
          <w:sz w:val="20"/>
          <w:szCs w:val="20"/>
        </w:rPr>
        <w:t>– Info on ADL.</w:t>
      </w:r>
      <w:r w:rsidR="002E4EAD" w:rsidRPr="002A50A0">
        <w:rPr>
          <w:rFonts w:ascii="Arial" w:hAnsi="Arial"/>
          <w:sz w:val="20"/>
          <w:szCs w:val="20"/>
        </w:rPr>
        <w:t xml:space="preserve"> </w:t>
      </w:r>
    </w:p>
    <w:p w:rsidR="007873A1" w:rsidRPr="00B04086" w:rsidRDefault="007873A1" w:rsidP="00F063AF">
      <w:pPr>
        <w:pStyle w:val="ListParagraph"/>
        <w:widowControl w:val="0"/>
        <w:numPr>
          <w:ilvl w:val="0"/>
          <w:numId w:val="203"/>
        </w:numPr>
        <w:tabs>
          <w:tab w:val="left" w:pos="0"/>
          <w:tab w:val="left" w:pos="144"/>
        </w:tabs>
        <w:spacing w:after="120" w:line="240" w:lineRule="auto"/>
        <w:ind w:left="720"/>
        <w:rPr>
          <w:rFonts w:ascii="Arial" w:hAnsi="Arial"/>
          <w:i/>
        </w:rPr>
      </w:pPr>
      <w:r w:rsidRPr="002A50A0">
        <w:rPr>
          <w:rFonts w:ascii="Arial" w:hAnsi="Arial"/>
          <w:sz w:val="20"/>
          <w:szCs w:val="20"/>
        </w:rPr>
        <w:t xml:space="preserve">To change claim status (to OPEN, RFD, RDC, etc) and re-assign, </w:t>
      </w:r>
      <w:r w:rsidRPr="002A50A0">
        <w:rPr>
          <w:rFonts w:ascii="Arial" w:hAnsi="Arial"/>
          <w:bCs/>
          <w:sz w:val="20"/>
          <w:szCs w:val="20"/>
        </w:rPr>
        <w:t xml:space="preserve">choose “Complete Work Item” (green check mark </w:t>
      </w:r>
      <w:r w:rsidR="00B04086">
        <w:rPr>
          <w:rFonts w:ascii="Arial" w:hAnsi="Arial"/>
          <w:bCs/>
          <w:sz w:val="20"/>
          <w:szCs w:val="20"/>
        </w:rPr>
        <w:t xml:space="preserve">icon </w:t>
      </w:r>
      <w:r w:rsidRPr="002A50A0">
        <w:rPr>
          <w:rFonts w:ascii="Arial" w:hAnsi="Arial"/>
          <w:bCs/>
          <w:sz w:val="20"/>
          <w:szCs w:val="20"/>
        </w:rPr>
        <w:t>under Claim</w:t>
      </w:r>
      <w:r w:rsidRPr="00C61237">
        <w:rPr>
          <w:rFonts w:ascii="Arial" w:hAnsi="Arial"/>
          <w:bCs/>
          <w:sz w:val="20"/>
          <w:szCs w:val="20"/>
        </w:rPr>
        <w:t>)</w:t>
      </w:r>
      <w:r w:rsidR="00C61237" w:rsidRPr="00C61237">
        <w:rPr>
          <w:rFonts w:ascii="Arial" w:hAnsi="Arial"/>
          <w:bCs/>
          <w:sz w:val="20"/>
          <w:szCs w:val="20"/>
        </w:rPr>
        <w:t xml:space="preserve"> [CANCELLED is for erroneous EPs, CLOSED gives the RO credit]</w:t>
      </w:r>
      <w:r w:rsidR="00B04086">
        <w:rPr>
          <w:rFonts w:ascii="Arial" w:hAnsi="Arial"/>
          <w:bCs/>
          <w:sz w:val="20"/>
          <w:szCs w:val="20"/>
        </w:rPr>
        <w:t xml:space="preserve"> </w:t>
      </w:r>
      <w:r w:rsidR="00B04086" w:rsidRPr="00B04086">
        <w:rPr>
          <w:rFonts w:ascii="Arial" w:hAnsi="Arial"/>
          <w:bCs/>
          <w:i/>
          <w:color w:val="00B050"/>
          <w:sz w:val="20"/>
          <w:szCs w:val="20"/>
        </w:rPr>
        <w:t xml:space="preserve">My Notes:  </w:t>
      </w:r>
      <w:r w:rsidR="00B04086" w:rsidRPr="00B04086">
        <w:rPr>
          <w:rFonts w:ascii="Arial" w:hAnsi="Arial"/>
          <w:bCs/>
          <w:i/>
          <w:sz w:val="20"/>
          <w:szCs w:val="20"/>
        </w:rPr>
        <w:t>Do not change to RDC if you did not do the RD. If it is in RC/Rating Correction status, email your Coach to have it assigned to the correct RVSR.</w:t>
      </w:r>
    </w:p>
    <w:p w:rsidR="00CB472A" w:rsidRPr="00CB472A" w:rsidRDefault="00860AF5" w:rsidP="00F063AF">
      <w:pPr>
        <w:pStyle w:val="ListParagraph"/>
        <w:widowControl w:val="0"/>
        <w:numPr>
          <w:ilvl w:val="0"/>
          <w:numId w:val="203"/>
        </w:numPr>
        <w:tabs>
          <w:tab w:val="left" w:pos="0"/>
          <w:tab w:val="left" w:pos="144"/>
        </w:tabs>
        <w:spacing w:after="120" w:line="240" w:lineRule="auto"/>
        <w:ind w:left="720"/>
        <w:rPr>
          <w:rFonts w:ascii="Arial" w:hAnsi="Arial"/>
        </w:rPr>
      </w:pPr>
      <w:r w:rsidRPr="00017884">
        <w:rPr>
          <w:rFonts w:ascii="Arial" w:hAnsi="Arial"/>
          <w:b/>
          <w:color w:val="000000"/>
          <w:sz w:val="20"/>
          <w:szCs w:val="20"/>
        </w:rPr>
        <w:t>III.v.2.B</w:t>
      </w:r>
      <w:r w:rsidR="00017884">
        <w:rPr>
          <w:rFonts w:ascii="Arial" w:hAnsi="Arial"/>
          <w:b/>
          <w:color w:val="000000"/>
          <w:sz w:val="20"/>
          <w:szCs w:val="20"/>
        </w:rPr>
        <w:t>.4</w:t>
      </w:r>
      <w:r w:rsidR="009474DB" w:rsidRPr="00017884">
        <w:rPr>
          <w:rFonts w:ascii="Arial" w:hAnsi="Arial"/>
          <w:color w:val="000000"/>
          <w:sz w:val="20"/>
          <w:szCs w:val="20"/>
        </w:rPr>
        <w:t xml:space="preserve">, </w:t>
      </w:r>
      <w:r w:rsidR="009474DB" w:rsidRPr="00017884">
        <w:rPr>
          <w:rFonts w:ascii="Arial" w:hAnsi="Arial"/>
          <w:b/>
          <w:color w:val="000000"/>
          <w:sz w:val="20"/>
          <w:szCs w:val="20"/>
        </w:rPr>
        <w:t>III.iv.6.C.5</w:t>
      </w:r>
      <w:r w:rsidR="002A50A0" w:rsidRPr="00017884">
        <w:rPr>
          <w:rFonts w:ascii="Arial" w:hAnsi="Arial"/>
          <w:color w:val="000000"/>
          <w:sz w:val="20"/>
          <w:szCs w:val="20"/>
        </w:rPr>
        <w:t xml:space="preserve"> </w:t>
      </w:r>
      <w:r w:rsidR="00105C4D" w:rsidRPr="00017884">
        <w:rPr>
          <w:rFonts w:ascii="Arial" w:hAnsi="Arial"/>
          <w:color w:val="000000"/>
          <w:sz w:val="20"/>
          <w:szCs w:val="20"/>
        </w:rPr>
        <w:t>–</w:t>
      </w:r>
      <w:r w:rsidR="002A50A0" w:rsidRPr="00017884">
        <w:rPr>
          <w:rFonts w:ascii="Arial" w:hAnsi="Arial"/>
          <w:color w:val="000000"/>
          <w:sz w:val="20"/>
          <w:szCs w:val="20"/>
        </w:rPr>
        <w:t xml:space="preserve"> </w:t>
      </w:r>
      <w:r w:rsidR="00105C4D" w:rsidRPr="00017884">
        <w:rPr>
          <w:rFonts w:ascii="Arial" w:hAnsi="Arial"/>
          <w:color w:val="000000"/>
          <w:sz w:val="20"/>
          <w:szCs w:val="20"/>
        </w:rPr>
        <w:t>Redesigned ADL (</w:t>
      </w:r>
      <w:r w:rsidR="002A50A0" w:rsidRPr="00017884">
        <w:rPr>
          <w:rFonts w:ascii="Arial" w:hAnsi="Arial"/>
          <w:color w:val="000000"/>
          <w:sz w:val="20"/>
          <w:szCs w:val="20"/>
        </w:rPr>
        <w:t>RADL</w:t>
      </w:r>
      <w:r w:rsidR="00105C4D" w:rsidRPr="00017884">
        <w:rPr>
          <w:rFonts w:ascii="Arial" w:hAnsi="Arial"/>
          <w:color w:val="000000"/>
          <w:sz w:val="20"/>
          <w:szCs w:val="20"/>
        </w:rPr>
        <w:t>), eff 12/11/17</w:t>
      </w:r>
      <w:r w:rsidR="00094D68" w:rsidRPr="00017884">
        <w:rPr>
          <w:rFonts w:ascii="Arial" w:hAnsi="Arial"/>
          <w:color w:val="000000"/>
          <w:sz w:val="20"/>
          <w:szCs w:val="20"/>
        </w:rPr>
        <w:t xml:space="preserve"> (now sending copy of RD with notification letters AGAIN)</w:t>
      </w:r>
      <w:r w:rsidR="00094D68">
        <w:rPr>
          <w:rFonts w:ascii="Arial" w:hAnsi="Arial"/>
          <w:color w:val="000000"/>
          <w:sz w:val="20"/>
          <w:szCs w:val="20"/>
        </w:rPr>
        <w:t xml:space="preserve"> </w:t>
      </w:r>
    </w:p>
    <w:p w:rsidR="00CB472A" w:rsidRPr="00CB472A" w:rsidRDefault="00CB472A" w:rsidP="00F063AF">
      <w:pPr>
        <w:pStyle w:val="ListParagraph"/>
        <w:widowControl w:val="0"/>
        <w:numPr>
          <w:ilvl w:val="0"/>
          <w:numId w:val="203"/>
        </w:numPr>
        <w:tabs>
          <w:tab w:val="left" w:pos="0"/>
          <w:tab w:val="left" w:pos="144"/>
        </w:tabs>
        <w:spacing w:after="120" w:line="240" w:lineRule="auto"/>
        <w:ind w:left="720"/>
        <w:rPr>
          <w:rFonts w:ascii="Arial" w:hAnsi="Arial"/>
        </w:rPr>
      </w:pPr>
      <w:r w:rsidRPr="00CB472A">
        <w:rPr>
          <w:rFonts w:ascii="Arial" w:hAnsi="Arial"/>
          <w:b/>
          <w:color w:val="000000"/>
          <w:sz w:val="20"/>
          <w:szCs w:val="20"/>
        </w:rPr>
        <w:t xml:space="preserve">III.iv.6.C.5.f </w:t>
      </w:r>
      <w:r w:rsidRPr="00CB472A">
        <w:rPr>
          <w:rFonts w:ascii="Arial" w:hAnsi="Arial"/>
          <w:color w:val="000000"/>
          <w:sz w:val="20"/>
          <w:szCs w:val="20"/>
        </w:rPr>
        <w:t>says avoid complex medical or legal terminology in the Reasons for Decision</w:t>
      </w:r>
    </w:p>
    <w:p w:rsidR="00CB472A" w:rsidRPr="00CB472A" w:rsidRDefault="00CB472A" w:rsidP="00F063AF">
      <w:pPr>
        <w:pStyle w:val="ListParagraph"/>
        <w:widowControl w:val="0"/>
        <w:numPr>
          <w:ilvl w:val="0"/>
          <w:numId w:val="203"/>
        </w:numPr>
        <w:tabs>
          <w:tab w:val="left" w:pos="0"/>
          <w:tab w:val="left" w:pos="144"/>
        </w:tabs>
        <w:spacing w:after="120" w:line="240" w:lineRule="auto"/>
        <w:ind w:left="720"/>
        <w:rPr>
          <w:rFonts w:ascii="Arial" w:hAnsi="Arial"/>
        </w:rPr>
      </w:pPr>
      <w:r w:rsidRPr="00CB472A">
        <w:rPr>
          <w:rFonts w:ascii="Arial" w:hAnsi="Arial"/>
          <w:sz w:val="20"/>
          <w:szCs w:val="20"/>
        </w:rPr>
        <w:t xml:space="preserve">Notification Letter Text &amp; Notification Letter User Text no longer relevant as of 12/11/17 or 1/4/18, </w:t>
      </w:r>
      <w:r w:rsidRPr="00CB472A">
        <w:rPr>
          <w:rFonts w:ascii="Arial" w:hAnsi="Arial"/>
          <w:b/>
          <w:color w:val="000000"/>
          <w:sz w:val="20"/>
          <w:szCs w:val="20"/>
        </w:rPr>
        <w:t>III.iv.6.C.5</w:t>
      </w:r>
      <w:r w:rsidRPr="00CB472A">
        <w:rPr>
          <w:rFonts w:ascii="Arial" w:hAnsi="Arial"/>
          <w:color w:val="000000"/>
          <w:sz w:val="20"/>
          <w:szCs w:val="20"/>
        </w:rPr>
        <w:t xml:space="preserve">; BUT </w:t>
      </w:r>
      <w:r w:rsidRPr="00CB472A">
        <w:rPr>
          <w:rFonts w:ascii="Arial" w:hAnsi="Arial"/>
          <w:sz w:val="20"/>
          <w:szCs w:val="20"/>
        </w:rPr>
        <w:t>Do not use abbreviations.</w:t>
      </w:r>
    </w:p>
    <w:p w:rsidR="00056DFA" w:rsidRDefault="00056DFA" w:rsidP="00EB153F">
      <w:pPr>
        <w:widowControl w:val="0"/>
        <w:pBdr>
          <w:top w:val="single" w:sz="4" w:space="1" w:color="auto"/>
        </w:pBdr>
        <w:rPr>
          <w:rFonts w:ascii="Verdana" w:hAnsi="Verdana"/>
          <w:b/>
          <w:bCs/>
          <w:highlight w:val="green"/>
        </w:rPr>
      </w:pPr>
    </w:p>
    <w:p w:rsidR="00013EB8" w:rsidRDefault="00013EB8" w:rsidP="00701942">
      <w:pPr>
        <w:widowControl w:val="0"/>
        <w:rPr>
          <w:rFonts w:ascii="Verdana" w:hAnsi="Verdana"/>
          <w:b/>
          <w:bCs/>
        </w:rPr>
      </w:pPr>
      <w:r>
        <w:rPr>
          <w:rFonts w:ascii="Verdana" w:hAnsi="Verdana"/>
          <w:b/>
          <w:bCs/>
          <w:highlight w:val="green"/>
        </w:rPr>
        <w:t xml:space="preserve">In VBMS-R, type in the Abbreviation </w:t>
      </w:r>
      <w:r>
        <w:rPr>
          <w:rFonts w:ascii="Verdana" w:hAnsi="Verdana"/>
          <w:b/>
          <w:bCs/>
          <w:i/>
          <w:iCs/>
          <w:highlight w:val="green"/>
        </w:rPr>
        <w:t>(if Abbreviation different in VBMS-R, it is in italics below)</w:t>
      </w:r>
      <w:r>
        <w:rPr>
          <w:rFonts w:ascii="Verdana" w:hAnsi="Verdana"/>
          <w:b/>
          <w:bCs/>
          <w:highlight w:val="green"/>
        </w:rPr>
        <w:t xml:space="preserve"> &amp; do Ctrl</w:t>
      </w:r>
      <w:r w:rsidR="00C84417">
        <w:rPr>
          <w:rFonts w:ascii="Verdana" w:hAnsi="Verdana"/>
          <w:b/>
          <w:bCs/>
          <w:highlight w:val="green"/>
        </w:rPr>
        <w:t>-S</w:t>
      </w:r>
      <w:r>
        <w:rPr>
          <w:rFonts w:ascii="Verdana" w:hAnsi="Verdana"/>
          <w:b/>
          <w:bCs/>
          <w:highlight w:val="green"/>
        </w:rPr>
        <w:t>hift</w:t>
      </w:r>
      <w:r w:rsidR="00C84417">
        <w:rPr>
          <w:rFonts w:ascii="Verdana" w:hAnsi="Verdana"/>
          <w:b/>
          <w:bCs/>
          <w:highlight w:val="green"/>
        </w:rPr>
        <w:t>-</w:t>
      </w:r>
      <w:r>
        <w:rPr>
          <w:rFonts w:ascii="Verdana" w:hAnsi="Verdana"/>
          <w:b/>
          <w:bCs/>
          <w:highlight w:val="green"/>
        </w:rPr>
        <w:t>A</w:t>
      </w:r>
    </w:p>
    <w:p w:rsidR="00013EB8" w:rsidRDefault="00013EB8" w:rsidP="00701942">
      <w:pPr>
        <w:widowControl w:val="0"/>
        <w:rPr>
          <w:rFonts w:ascii="Verdana" w:hAnsi="Verdana"/>
          <w:b/>
          <w:bCs/>
        </w:rPr>
      </w:pPr>
    </w:p>
    <w:p w:rsidR="004001AC" w:rsidRDefault="004001AC" w:rsidP="00025078">
      <w:pPr>
        <w:widowControl w:val="0"/>
        <w:pBdr>
          <w:top w:val="single" w:sz="4" w:space="1" w:color="auto"/>
        </w:pBdr>
        <w:rPr>
          <w:rFonts w:ascii="Verdana" w:hAnsi="Verdana"/>
          <w:b/>
          <w:bCs/>
          <w:u w:val="single"/>
        </w:rPr>
      </w:pPr>
    </w:p>
    <w:p w:rsidR="004001AC" w:rsidRPr="0099386D" w:rsidRDefault="00C551BE" w:rsidP="004001AC">
      <w:pPr>
        <w:jc w:val="center"/>
        <w:rPr>
          <w:b/>
          <w:sz w:val="22"/>
          <w:szCs w:val="22"/>
          <w:u w:val="single"/>
        </w:rPr>
      </w:pPr>
      <w:bookmarkStart w:id="27" w:name="VBMSRGenText"/>
      <w:bookmarkStart w:id="28" w:name="_GoBack"/>
      <w:bookmarkEnd w:id="28"/>
      <w:r>
        <w:rPr>
          <w:rFonts w:ascii="Verdana" w:hAnsi="Verdana"/>
          <w:b/>
          <w:highlight w:val="green"/>
          <w:u w:val="single"/>
        </w:rPr>
        <w:t>VBMS-R System-Generated Text</w:t>
      </w:r>
    </w:p>
    <w:bookmarkEnd w:id="27"/>
    <w:p w:rsidR="004001AC" w:rsidRPr="0010111B" w:rsidRDefault="004001AC" w:rsidP="004001AC">
      <w:pPr>
        <w:rPr>
          <w:sz w:val="22"/>
          <w:szCs w:val="22"/>
        </w:rPr>
      </w:pPr>
    </w:p>
    <w:p w:rsidR="001A037E" w:rsidRDefault="001A037E" w:rsidP="004001AC">
      <w:pPr>
        <w:rPr>
          <w:i/>
          <w:sz w:val="22"/>
          <w:szCs w:val="22"/>
        </w:rPr>
      </w:pPr>
    </w:p>
    <w:p w:rsidR="004001AC" w:rsidRPr="0010111B" w:rsidRDefault="004001AC" w:rsidP="004001AC">
      <w:pPr>
        <w:rPr>
          <w:i/>
          <w:sz w:val="22"/>
          <w:szCs w:val="22"/>
        </w:rPr>
      </w:pPr>
      <w:r w:rsidRPr="0010111B">
        <w:rPr>
          <w:i/>
          <w:sz w:val="22"/>
          <w:szCs w:val="22"/>
        </w:rPr>
        <w:t xml:space="preserve">If Decision is </w:t>
      </w:r>
      <w:r w:rsidRPr="0010111B">
        <w:rPr>
          <w:i/>
          <w:color w:val="FF0000"/>
          <w:sz w:val="22"/>
          <w:szCs w:val="22"/>
        </w:rPr>
        <w:t>Not Incurred/Caused by Service</w:t>
      </w:r>
    </w:p>
    <w:p w:rsidR="004001AC" w:rsidRPr="0010111B" w:rsidRDefault="004001AC" w:rsidP="004001AC">
      <w:pPr>
        <w:ind w:left="360"/>
        <w:rPr>
          <w:sz w:val="22"/>
          <w:szCs w:val="22"/>
        </w:rPr>
      </w:pPr>
      <w:r w:rsidRPr="0010111B">
        <w:rPr>
          <w:rFonts w:ascii="Helvetica" w:hAnsi="Helvetica" w:cs="Helvetica"/>
          <w:color w:val="808080"/>
          <w:sz w:val="22"/>
          <w:szCs w:val="22"/>
        </w:rPr>
        <w:t xml:space="preserve">Service connection may be granted for a disability which began in military service or was caused by some event or experience in service. </w:t>
      </w:r>
    </w:p>
    <w:p w:rsidR="004001AC" w:rsidRPr="0010111B" w:rsidRDefault="004001AC" w:rsidP="004001AC">
      <w:pPr>
        <w:rPr>
          <w:rFonts w:ascii="Helvetica" w:hAnsi="Helvetica" w:cs="Helvetica"/>
          <w:color w:val="808080"/>
          <w:sz w:val="22"/>
          <w:szCs w:val="22"/>
        </w:rPr>
      </w:pPr>
    </w:p>
    <w:p w:rsidR="004001AC" w:rsidRPr="0010111B" w:rsidRDefault="004001AC" w:rsidP="004001AC">
      <w:pPr>
        <w:ind w:left="360"/>
        <w:rPr>
          <w:i/>
          <w:sz w:val="22"/>
          <w:szCs w:val="22"/>
        </w:rPr>
      </w:pPr>
      <w:r w:rsidRPr="0010111B">
        <w:rPr>
          <w:i/>
          <w:sz w:val="22"/>
          <w:szCs w:val="22"/>
        </w:rPr>
        <w:t>Then also have</w:t>
      </w:r>
      <w:r w:rsidR="0010111B">
        <w:rPr>
          <w:i/>
          <w:sz w:val="22"/>
          <w:szCs w:val="22"/>
        </w:rPr>
        <w:t xml:space="preserve"> these FIVE choices </w:t>
      </w:r>
      <w:r w:rsidR="00BE4BD4">
        <w:rPr>
          <w:i/>
          <w:sz w:val="22"/>
          <w:szCs w:val="22"/>
        </w:rPr>
        <w:t xml:space="preserve">for Decision Basis </w:t>
      </w:r>
      <w:r w:rsidR="0010111B">
        <w:rPr>
          <w:i/>
          <w:sz w:val="22"/>
          <w:szCs w:val="22"/>
        </w:rPr>
        <w:t>(should probably just pick one)</w:t>
      </w:r>
      <w:r w:rsidRPr="0010111B">
        <w:rPr>
          <w:i/>
          <w:sz w:val="22"/>
          <w:szCs w:val="22"/>
        </w:rPr>
        <w:t>:</w:t>
      </w:r>
    </w:p>
    <w:p w:rsidR="004001AC" w:rsidRPr="0010111B" w:rsidRDefault="004001AC" w:rsidP="004001AC">
      <w:pPr>
        <w:ind w:left="720"/>
        <w:rPr>
          <w:sz w:val="22"/>
          <w:szCs w:val="22"/>
        </w:rPr>
      </w:pPr>
      <w:r w:rsidRPr="0010111B">
        <w:rPr>
          <w:i/>
          <w:color w:val="FF0000"/>
          <w:sz w:val="22"/>
          <w:szCs w:val="22"/>
        </w:rPr>
        <w:t>No Actual Disability</w:t>
      </w:r>
      <w:r w:rsidRPr="0010111B">
        <w:rPr>
          <w:color w:val="FF0000"/>
          <w:sz w:val="22"/>
          <w:szCs w:val="22"/>
        </w:rPr>
        <w:t xml:space="preserve"> </w:t>
      </w:r>
      <w:r w:rsidR="00D06BFE">
        <w:t xml:space="preserve">(should also use </w:t>
      </w:r>
      <w:r w:rsidR="007D3F63">
        <w:rPr>
          <w:rFonts w:ascii="Verdana" w:hAnsi="Verdana"/>
          <w:b/>
          <w:bCs/>
          <w:highlight w:val="green"/>
        </w:rPr>
        <w:t>NODX</w:t>
      </w:r>
      <w:r w:rsidR="00D06BFE">
        <w:t>)</w:t>
      </w:r>
      <w:r w:rsidR="00D06BFE" w:rsidRPr="0010111B">
        <w:rPr>
          <w:sz w:val="22"/>
          <w:szCs w:val="22"/>
        </w:rPr>
        <w:t xml:space="preserve"> </w:t>
      </w:r>
      <w:r w:rsidRPr="0010111B">
        <w:rPr>
          <w:sz w:val="22"/>
          <w:szCs w:val="22"/>
        </w:rPr>
        <w:t xml:space="preserve">- </w:t>
      </w:r>
      <w:r w:rsidRPr="0010111B">
        <w:rPr>
          <w:rFonts w:ascii="Helvetica" w:hAnsi="Helvetica" w:cs="Helvetica"/>
          <w:color w:val="808080"/>
          <w:sz w:val="22"/>
          <w:szCs w:val="22"/>
        </w:rPr>
        <w:t xml:space="preserve">Service connection is denied because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is not considered an actually disabling condition.</w:t>
      </w:r>
    </w:p>
    <w:p w:rsidR="004001AC" w:rsidRPr="0010111B" w:rsidRDefault="004001AC" w:rsidP="004001AC">
      <w:pPr>
        <w:ind w:left="720"/>
        <w:rPr>
          <w:rFonts w:ascii="Helvetica" w:hAnsi="Helvetica" w:cs="Helvetica"/>
          <w:color w:val="808080"/>
          <w:sz w:val="22"/>
          <w:szCs w:val="22"/>
        </w:rPr>
      </w:pPr>
      <w:r w:rsidRPr="0010111B">
        <w:rPr>
          <w:i/>
          <w:color w:val="FF0000"/>
          <w:sz w:val="22"/>
          <w:szCs w:val="22"/>
        </w:rPr>
        <w:t>No Record of Condition</w:t>
      </w:r>
      <w:r w:rsidRPr="0010111B">
        <w:rPr>
          <w:color w:val="FF0000"/>
          <w:sz w:val="22"/>
          <w:szCs w:val="22"/>
        </w:rPr>
        <w:t xml:space="preserve"> </w:t>
      </w:r>
      <w:r w:rsidR="00D14F9B" w:rsidRPr="004559D4">
        <w:t xml:space="preserve">(use </w:t>
      </w:r>
      <w:r w:rsidR="00D14F9B">
        <w:t xml:space="preserve">when no evidence of </w:t>
      </w:r>
      <w:r w:rsidR="00D06BFE">
        <w:t>treatment, should</w:t>
      </w:r>
      <w:r w:rsidR="00D14F9B">
        <w:t xml:space="preserve"> also use </w:t>
      </w:r>
      <w:r w:rsidR="007D3F63">
        <w:rPr>
          <w:rFonts w:ascii="Verdana" w:hAnsi="Verdana"/>
          <w:b/>
          <w:bCs/>
          <w:highlight w:val="green"/>
        </w:rPr>
        <w:t>NODX</w:t>
      </w:r>
      <w:r w:rsidR="00D14F9B" w:rsidRPr="004559D4">
        <w:t>)</w:t>
      </w:r>
      <w:r w:rsidR="00D14F9B">
        <w:t xml:space="preserve"> </w:t>
      </w:r>
      <w:r w:rsidRPr="0010111B">
        <w:rPr>
          <w:sz w:val="22"/>
          <w:szCs w:val="22"/>
        </w:rPr>
        <w:t xml:space="preserve">- </w:t>
      </w:r>
      <w:r w:rsidRPr="0010111B">
        <w:rPr>
          <w:rFonts w:ascii="Helvetica" w:hAnsi="Helvetica" w:cs="Helvetica"/>
          <w:color w:val="808080"/>
          <w:sz w:val="22"/>
          <w:szCs w:val="22"/>
        </w:rPr>
        <w:t xml:space="preserve">Service connection for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is denied since there is no evidence the claimed condition exists.</w:t>
      </w:r>
    </w:p>
    <w:p w:rsidR="004001AC" w:rsidRPr="0010111B" w:rsidRDefault="004001AC" w:rsidP="004001AC">
      <w:pPr>
        <w:ind w:left="720"/>
        <w:rPr>
          <w:sz w:val="22"/>
          <w:szCs w:val="22"/>
        </w:rPr>
      </w:pPr>
      <w:r w:rsidRPr="0010111B">
        <w:rPr>
          <w:i/>
          <w:color w:val="FF0000"/>
          <w:sz w:val="22"/>
          <w:szCs w:val="22"/>
        </w:rPr>
        <w:t>No Relationship to Service</w:t>
      </w:r>
      <w:r w:rsidRPr="0010111B">
        <w:rPr>
          <w:color w:val="FF0000"/>
          <w:sz w:val="22"/>
          <w:szCs w:val="22"/>
        </w:rPr>
        <w:t xml:space="preserve"> </w:t>
      </w:r>
      <w:r w:rsidR="002A526C" w:rsidRPr="004559D4">
        <w:t>(</w:t>
      </w:r>
      <w:r w:rsidR="002A526C">
        <w:t>not very useful, maybe for when have a negative opinion OR maybe when have Element 1 &amp; Element 2, but don’t have Element 3...,</w:t>
      </w:r>
      <w:r w:rsidR="002A526C" w:rsidRPr="002A526C">
        <w:t xml:space="preserve"> </w:t>
      </w:r>
      <w:r w:rsidR="002A526C">
        <w:t xml:space="preserve">should also use </w:t>
      </w:r>
      <w:r w:rsidR="002A526C">
        <w:rPr>
          <w:rFonts w:ascii="Verdana" w:hAnsi="Verdana"/>
          <w:b/>
          <w:bCs/>
          <w:highlight w:val="green"/>
        </w:rPr>
        <w:t>NONEX</w:t>
      </w:r>
      <w:r w:rsidR="002A526C">
        <w:t>)</w:t>
      </w:r>
      <w:r w:rsidR="002A526C" w:rsidRPr="0010111B">
        <w:rPr>
          <w:sz w:val="22"/>
          <w:szCs w:val="22"/>
        </w:rPr>
        <w:t xml:space="preserve"> </w:t>
      </w:r>
      <w:r w:rsidRPr="0010111B">
        <w:rPr>
          <w:sz w:val="22"/>
          <w:szCs w:val="22"/>
        </w:rPr>
        <w:t xml:space="preserve">- </w:t>
      </w:r>
      <w:r w:rsidRPr="0010111B">
        <w:rPr>
          <w:rFonts w:ascii="Helvetica" w:hAnsi="Helvetica" w:cs="Helvetica"/>
          <w:color w:val="808080"/>
          <w:sz w:val="22"/>
          <w:szCs w:val="22"/>
        </w:rPr>
        <w:t>There is no evidence to show a relationship between [required fill-in] which you had while in service, and your current [required fill-in] condition. Therefore, service connection is denied.</w:t>
      </w:r>
    </w:p>
    <w:p w:rsidR="004001AC" w:rsidRPr="0010111B" w:rsidRDefault="004001AC" w:rsidP="004001AC">
      <w:pPr>
        <w:ind w:left="720"/>
        <w:rPr>
          <w:sz w:val="22"/>
          <w:szCs w:val="22"/>
        </w:rPr>
      </w:pPr>
      <w:r w:rsidRPr="0010111B">
        <w:rPr>
          <w:i/>
          <w:color w:val="FF0000"/>
          <w:sz w:val="22"/>
          <w:szCs w:val="22"/>
        </w:rPr>
        <w:t>Acute and Transitory</w:t>
      </w:r>
      <w:r w:rsidRPr="0010111B">
        <w:rPr>
          <w:color w:val="FF0000"/>
          <w:sz w:val="22"/>
          <w:szCs w:val="22"/>
        </w:rPr>
        <w:t xml:space="preserve"> </w:t>
      </w:r>
      <w:r w:rsidR="004559D4" w:rsidRPr="004559D4">
        <w:t xml:space="preserve">(use for </w:t>
      </w:r>
      <w:r w:rsidR="004559D4">
        <w:t>acute</w:t>
      </w:r>
      <w:r w:rsidR="007D3F63">
        <w:t xml:space="preserve"> (</w:t>
      </w:r>
      <w:r w:rsidR="00234459">
        <w:rPr>
          <w:rFonts w:ascii="Verdana" w:hAnsi="Verdana"/>
          <w:b/>
          <w:bCs/>
          <w:highlight w:val="green"/>
        </w:rPr>
        <w:t>AT</w:t>
      </w:r>
      <w:r w:rsidR="00234459" w:rsidRPr="00234459">
        <w:rPr>
          <w:bCs/>
        </w:rPr>
        <w:t>)</w:t>
      </w:r>
      <w:r w:rsidR="004559D4">
        <w:t xml:space="preserve"> in STRs, then </w:t>
      </w:r>
      <w:r w:rsidR="00F67DDA">
        <w:rPr>
          <w:rFonts w:ascii="Verdana" w:hAnsi="Verdana"/>
          <w:b/>
          <w:bCs/>
          <w:highlight w:val="green"/>
        </w:rPr>
        <w:t>FTR</w:t>
      </w:r>
      <w:r w:rsidR="004559D4">
        <w:t>; OR acute</w:t>
      </w:r>
      <w:r w:rsidR="007D3F63">
        <w:t xml:space="preserve"> (</w:t>
      </w:r>
      <w:r w:rsidR="00234459">
        <w:rPr>
          <w:rFonts w:ascii="Verdana" w:hAnsi="Verdana"/>
          <w:b/>
          <w:bCs/>
          <w:highlight w:val="green"/>
        </w:rPr>
        <w:t>AT</w:t>
      </w:r>
      <w:r w:rsidR="007D3F63">
        <w:t xml:space="preserve">) </w:t>
      </w:r>
      <w:r w:rsidR="004559D4">
        <w:t xml:space="preserve">in STRs &amp; no lay/medical evidence of </w:t>
      </w:r>
      <w:r w:rsidR="00D06BFE">
        <w:t>association</w:t>
      </w:r>
      <w:r w:rsidR="00507BCC">
        <w:t xml:space="preserve"> </w:t>
      </w:r>
      <w:r w:rsidR="00507BCC">
        <w:rPr>
          <w:rFonts w:ascii="Verdana" w:hAnsi="Verdana"/>
          <w:b/>
          <w:bCs/>
          <w:highlight w:val="green"/>
        </w:rPr>
        <w:t>NONEX</w:t>
      </w:r>
      <w:r w:rsidR="00D06BFE">
        <w:t xml:space="preserve">, should probably also use </w:t>
      </w:r>
      <w:r w:rsidR="00234459">
        <w:rPr>
          <w:rFonts w:ascii="Verdana" w:hAnsi="Verdana"/>
          <w:b/>
          <w:bCs/>
          <w:highlight w:val="green"/>
        </w:rPr>
        <w:t>NOCONT</w:t>
      </w:r>
      <w:r w:rsidR="009B27C8">
        <w:t xml:space="preserve"> or </w:t>
      </w:r>
      <w:r w:rsidR="007D3F63">
        <w:rPr>
          <w:rFonts w:ascii="Verdana" w:hAnsi="Verdana"/>
          <w:b/>
          <w:bCs/>
          <w:highlight w:val="green"/>
        </w:rPr>
        <w:t>NODX</w:t>
      </w:r>
      <w:r w:rsidR="004559D4" w:rsidRPr="004559D4">
        <w:t>)</w:t>
      </w:r>
      <w:r w:rsidR="004559D4">
        <w:t xml:space="preserve"> </w:t>
      </w:r>
      <w:r w:rsidRPr="0010111B">
        <w:rPr>
          <w:sz w:val="22"/>
          <w:szCs w:val="22"/>
        </w:rPr>
        <w:t xml:space="preserve">- </w:t>
      </w:r>
      <w:r w:rsidRPr="0010111B">
        <w:rPr>
          <w:rFonts w:ascii="Helvetica" w:hAnsi="Helvetica" w:cs="Helvetica"/>
          <w:color w:val="808080"/>
          <w:sz w:val="22"/>
          <w:szCs w:val="22"/>
        </w:rPr>
        <w:t xml:space="preserve">A disability which began in service or was caused by some event in service must be considered "chronic" before service connection can be granted. Although there is a record of treatment in service for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no permanent residual or chronic disability subject to service connection is shown by the service medical records or demonstrated by evidence following service. Therefore, service connection for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is denied.</w:t>
      </w:r>
      <w:r w:rsidR="00D37092">
        <w:rPr>
          <w:rFonts w:ascii="Helvetica" w:hAnsi="Helvetica" w:cs="Helvetica"/>
          <w:color w:val="808080"/>
          <w:sz w:val="22"/>
          <w:szCs w:val="22"/>
        </w:rPr>
        <w:t xml:space="preserve"> </w:t>
      </w:r>
      <w:r w:rsidR="00D37092" w:rsidRPr="00D37092">
        <w:rPr>
          <w:b/>
          <w:szCs w:val="22"/>
        </w:rPr>
        <w:t>IV.ii.2.B.1.g</w:t>
      </w:r>
      <w:r w:rsidR="00D37092" w:rsidRPr="00D37092">
        <w:rPr>
          <w:szCs w:val="22"/>
        </w:rPr>
        <w:t xml:space="preserve"> -</w:t>
      </w:r>
      <w:r w:rsidR="00D37092" w:rsidRPr="00D37092">
        <w:rPr>
          <w:rFonts w:ascii="Helvetica" w:hAnsi="Helvetica" w:cs="Helvetica"/>
          <w:szCs w:val="22"/>
        </w:rPr>
        <w:t xml:space="preserve"> </w:t>
      </w:r>
      <w:r w:rsidR="00D37092" w:rsidRPr="00D37092">
        <w:t>Do not arbitrarily determine in-service injuries to be acute and transitory without relying on competent medical evidence determining that chronic disability was not demonstrated.</w:t>
      </w:r>
    </w:p>
    <w:p w:rsidR="004001AC" w:rsidRPr="0010111B" w:rsidRDefault="004001AC" w:rsidP="004001AC">
      <w:pPr>
        <w:ind w:left="720"/>
        <w:rPr>
          <w:sz w:val="22"/>
          <w:szCs w:val="22"/>
        </w:rPr>
      </w:pPr>
      <w:r w:rsidRPr="0010111B">
        <w:rPr>
          <w:i/>
          <w:color w:val="FF0000"/>
          <w:sz w:val="22"/>
          <w:szCs w:val="22"/>
        </w:rPr>
        <w:t>Not Incurred/Caused by Service</w:t>
      </w:r>
      <w:r w:rsidRPr="0010111B">
        <w:rPr>
          <w:color w:val="FF0000"/>
          <w:sz w:val="22"/>
          <w:szCs w:val="22"/>
        </w:rPr>
        <w:t xml:space="preserve"> </w:t>
      </w:r>
      <w:r w:rsidRPr="0010111B">
        <w:rPr>
          <w:sz w:val="22"/>
          <w:szCs w:val="22"/>
        </w:rPr>
        <w:t xml:space="preserve">- </w:t>
      </w:r>
      <w:r w:rsidRPr="0010111B">
        <w:rPr>
          <w:rFonts w:ascii="Helvetica" w:hAnsi="Helvetica" w:cs="Helvetica"/>
          <w:color w:val="808080"/>
          <w:sz w:val="22"/>
          <w:szCs w:val="22"/>
        </w:rPr>
        <w:t xml:space="preserve">Service connection for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is denied since this condition neither occurred in nor was caused by service.</w:t>
      </w:r>
    </w:p>
    <w:p w:rsidR="004001AC" w:rsidRPr="0010111B" w:rsidRDefault="004001AC" w:rsidP="004001AC">
      <w:pPr>
        <w:rPr>
          <w:i/>
          <w:sz w:val="22"/>
          <w:szCs w:val="22"/>
        </w:rPr>
      </w:pPr>
    </w:p>
    <w:p w:rsidR="0010111B" w:rsidRPr="0010111B" w:rsidRDefault="0010111B" w:rsidP="0010111B">
      <w:pPr>
        <w:rPr>
          <w:i/>
          <w:sz w:val="22"/>
          <w:szCs w:val="22"/>
        </w:rPr>
      </w:pPr>
      <w:r w:rsidRPr="008467B8">
        <w:rPr>
          <w:i/>
          <w:sz w:val="22"/>
          <w:szCs w:val="22"/>
        </w:rPr>
        <w:t xml:space="preserve">If Decision Basis is </w:t>
      </w:r>
      <w:r w:rsidRPr="008467B8">
        <w:rPr>
          <w:i/>
          <w:color w:val="FF0000"/>
          <w:sz w:val="22"/>
          <w:szCs w:val="22"/>
        </w:rPr>
        <w:t>No Diagnosis</w:t>
      </w:r>
      <w:r w:rsidR="004559D4" w:rsidRPr="008467B8">
        <w:rPr>
          <w:i/>
          <w:color w:val="FF0000"/>
          <w:sz w:val="22"/>
          <w:szCs w:val="22"/>
        </w:rPr>
        <w:t xml:space="preserve"> </w:t>
      </w:r>
      <w:r w:rsidR="004559D4" w:rsidRPr="008467B8">
        <w:t>(</w:t>
      </w:r>
      <w:r w:rsidR="00D06BFE" w:rsidRPr="008467B8">
        <w:t xml:space="preserve">not very useful; maybe </w:t>
      </w:r>
      <w:r w:rsidR="004559D4" w:rsidRPr="008467B8">
        <w:t xml:space="preserve">use </w:t>
      </w:r>
      <w:r w:rsidR="00D14F9B" w:rsidRPr="008467B8">
        <w:t>with treatment fo</w:t>
      </w:r>
      <w:r w:rsidR="004559D4" w:rsidRPr="008467B8">
        <w:t>r pain or other symptom</w:t>
      </w:r>
      <w:r w:rsidR="00FB7C6D" w:rsidRPr="008467B8">
        <w:t>, or if no diagnosis on DBQ</w:t>
      </w:r>
      <w:r w:rsidR="00D06BFE">
        <w:t xml:space="preserve">, </w:t>
      </w:r>
      <w:r w:rsidR="0048541E">
        <w:t>most contentions are b</w:t>
      </w:r>
      <w:r w:rsidR="00D06BFE">
        <w:t xml:space="preserve">etter addressed by </w:t>
      </w:r>
      <w:r w:rsidR="00D06BFE" w:rsidRPr="0010111B">
        <w:rPr>
          <w:i/>
          <w:color w:val="FF0000"/>
          <w:sz w:val="22"/>
          <w:szCs w:val="22"/>
        </w:rPr>
        <w:t>No Actual Disability</w:t>
      </w:r>
      <w:r w:rsidR="00D14F9B">
        <w:t>,</w:t>
      </w:r>
      <w:r w:rsidR="0048541E">
        <w:t xml:space="preserve"> </w:t>
      </w:r>
      <w:r w:rsidR="0048541E" w:rsidRPr="0010111B">
        <w:rPr>
          <w:i/>
          <w:color w:val="FF0000"/>
          <w:sz w:val="22"/>
          <w:szCs w:val="22"/>
        </w:rPr>
        <w:t>No Record of Condition</w:t>
      </w:r>
      <w:r w:rsidR="0048541E">
        <w:t xml:space="preserve">, or </w:t>
      </w:r>
      <w:r w:rsidR="0048541E" w:rsidRPr="0010111B">
        <w:rPr>
          <w:i/>
          <w:color w:val="FF0000"/>
          <w:sz w:val="22"/>
          <w:szCs w:val="22"/>
        </w:rPr>
        <w:t>Acute and Transitory</w:t>
      </w:r>
      <w:r w:rsidR="0048541E">
        <w:rPr>
          <w:color w:val="FF0000"/>
          <w:sz w:val="22"/>
          <w:szCs w:val="22"/>
        </w:rPr>
        <w:t xml:space="preserve">; </w:t>
      </w:r>
      <w:r w:rsidR="0048541E">
        <w:t>if use this, obviously s</w:t>
      </w:r>
      <w:r w:rsidR="00D14F9B">
        <w:t xml:space="preserve">hould also use </w:t>
      </w:r>
      <w:r w:rsidR="007D3F63">
        <w:rPr>
          <w:rFonts w:ascii="Verdana" w:hAnsi="Verdana"/>
          <w:b/>
          <w:bCs/>
          <w:highlight w:val="green"/>
        </w:rPr>
        <w:t>NODX</w:t>
      </w:r>
      <w:r w:rsidR="004559D4" w:rsidRPr="004559D4">
        <w:t>)</w:t>
      </w:r>
    </w:p>
    <w:p w:rsidR="0010111B" w:rsidRPr="004559D4" w:rsidRDefault="0010111B" w:rsidP="004559D4">
      <w:pPr>
        <w:ind w:left="360"/>
        <w:rPr>
          <w:rFonts w:ascii="Helvetica" w:hAnsi="Helvetica" w:cs="Helvetica"/>
          <w:color w:val="808080"/>
          <w:sz w:val="22"/>
          <w:szCs w:val="22"/>
        </w:rPr>
      </w:pPr>
      <w:r w:rsidRPr="0010111B">
        <w:rPr>
          <w:rFonts w:ascii="Helvetica" w:hAnsi="Helvetica" w:cs="Helvetica"/>
          <w:color w:val="808080"/>
          <w:sz w:val="22"/>
          <w:szCs w:val="22"/>
        </w:rPr>
        <w:t xml:space="preserve">Service connection may be granted for a disability which began in military service or was caused by some event or experience in service. </w:t>
      </w:r>
      <w:r>
        <w:rPr>
          <w:rFonts w:ascii="Helvetica" w:hAnsi="Helvetica" w:cs="Helvetica"/>
          <w:color w:val="808080"/>
          <w:sz w:val="22"/>
          <w:szCs w:val="22"/>
        </w:rPr>
        <w:t xml:space="preserve">Service connection for </w:t>
      </w:r>
      <w:r w:rsidR="00A46221">
        <w:rPr>
          <w:rFonts w:ascii="Helvetica" w:hAnsi="Helvetica" w:cs="Helvetica"/>
          <w:color w:val="808080"/>
          <w:sz w:val="22"/>
          <w:szCs w:val="22"/>
        </w:rPr>
        <w:t>{}</w:t>
      </w:r>
      <w:r>
        <w:rPr>
          <w:rFonts w:ascii="Helvetica" w:hAnsi="Helvetica" w:cs="Helvetica"/>
          <w:color w:val="808080"/>
          <w:sz w:val="22"/>
          <w:szCs w:val="22"/>
        </w:rPr>
        <w:t xml:space="preserve"> is denied because the medical evidence of record fails to show that this disability has been clinically diagnosed.</w:t>
      </w:r>
    </w:p>
    <w:p w:rsidR="0010111B" w:rsidRDefault="0010111B" w:rsidP="004001AC">
      <w:pPr>
        <w:rPr>
          <w:i/>
          <w:sz w:val="22"/>
          <w:szCs w:val="22"/>
        </w:rPr>
      </w:pPr>
    </w:p>
    <w:p w:rsidR="004001AC" w:rsidRPr="0010111B" w:rsidRDefault="004001AC" w:rsidP="004001AC">
      <w:pPr>
        <w:pBdr>
          <w:top w:val="single" w:sz="4" w:space="1" w:color="auto"/>
        </w:pBdr>
        <w:rPr>
          <w:i/>
          <w:sz w:val="22"/>
          <w:szCs w:val="22"/>
        </w:rPr>
      </w:pPr>
    </w:p>
    <w:p w:rsidR="004001AC" w:rsidRPr="0010111B" w:rsidRDefault="004001AC" w:rsidP="004001AC">
      <w:pPr>
        <w:pBdr>
          <w:top w:val="single" w:sz="4" w:space="1" w:color="auto"/>
        </w:pBdr>
        <w:rPr>
          <w:i/>
          <w:sz w:val="22"/>
          <w:szCs w:val="22"/>
        </w:rPr>
      </w:pPr>
      <w:r w:rsidRPr="0010111B">
        <w:rPr>
          <w:i/>
          <w:sz w:val="22"/>
          <w:szCs w:val="22"/>
        </w:rPr>
        <w:t xml:space="preserve">If Decision Basis is </w:t>
      </w:r>
      <w:r w:rsidRPr="0010111B">
        <w:rPr>
          <w:i/>
          <w:color w:val="FF0000"/>
          <w:sz w:val="22"/>
          <w:szCs w:val="22"/>
        </w:rPr>
        <w:t xml:space="preserve">Not Established by Presumption </w:t>
      </w:r>
    </w:p>
    <w:p w:rsidR="004001AC" w:rsidRPr="0010111B" w:rsidRDefault="004001AC" w:rsidP="004001AC">
      <w:pPr>
        <w:ind w:left="360"/>
        <w:rPr>
          <w:sz w:val="22"/>
          <w:szCs w:val="22"/>
        </w:rPr>
      </w:pPr>
      <w:r w:rsidRPr="0010111B">
        <w:rPr>
          <w:i/>
          <w:sz w:val="22"/>
          <w:szCs w:val="22"/>
        </w:rPr>
        <w:t>will also include Generated Text for Decision Basis of</w:t>
      </w:r>
      <w:r w:rsidRPr="0010111B">
        <w:rPr>
          <w:sz w:val="22"/>
          <w:szCs w:val="22"/>
        </w:rPr>
        <w:t xml:space="preserve"> </w:t>
      </w:r>
      <w:r w:rsidRPr="0010111B">
        <w:rPr>
          <w:i/>
          <w:color w:val="FF0000"/>
          <w:sz w:val="22"/>
          <w:szCs w:val="22"/>
        </w:rPr>
        <w:t>Not Incurred/Caused by Service</w:t>
      </w:r>
      <w:r w:rsidRPr="0010111B">
        <w:rPr>
          <w:sz w:val="22"/>
          <w:szCs w:val="22"/>
        </w:rPr>
        <w:t xml:space="preserve"> &amp; additional sentence for Not Incurred/Caused by Service - </w:t>
      </w:r>
      <w:r w:rsidRPr="0010111B">
        <w:rPr>
          <w:rFonts w:ascii="Helvetica" w:hAnsi="Helvetica" w:cs="Helvetica"/>
          <w:color w:val="808080"/>
          <w:sz w:val="22"/>
          <w:szCs w:val="22"/>
        </w:rPr>
        <w:t xml:space="preserve">Service connection may be granted for a disability which began in military service or was caused by some event or experience in service. Service connection for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is denied since this condition neither occurred in nor was caused by service.</w:t>
      </w:r>
    </w:p>
    <w:p w:rsidR="004001AC" w:rsidRPr="0010111B" w:rsidRDefault="004001AC" w:rsidP="004001AC">
      <w:pPr>
        <w:rPr>
          <w:sz w:val="22"/>
          <w:szCs w:val="22"/>
        </w:rPr>
      </w:pPr>
    </w:p>
    <w:p w:rsidR="00CA7CDF" w:rsidRPr="0010111B" w:rsidRDefault="004001AC" w:rsidP="00CA7CDF">
      <w:pPr>
        <w:ind w:left="360"/>
        <w:rPr>
          <w:i/>
          <w:sz w:val="22"/>
          <w:szCs w:val="22"/>
        </w:rPr>
      </w:pPr>
      <w:r w:rsidRPr="0010111B">
        <w:rPr>
          <w:i/>
          <w:sz w:val="22"/>
          <w:szCs w:val="22"/>
        </w:rPr>
        <w:t>Then also have</w:t>
      </w:r>
      <w:r w:rsidR="00CA7CDF" w:rsidRPr="00CA7CDF">
        <w:rPr>
          <w:i/>
          <w:sz w:val="22"/>
          <w:szCs w:val="22"/>
        </w:rPr>
        <w:t xml:space="preserve"> </w:t>
      </w:r>
      <w:r w:rsidR="00CA7CDF">
        <w:rPr>
          <w:i/>
          <w:sz w:val="22"/>
          <w:szCs w:val="22"/>
        </w:rPr>
        <w:t>these FIVE choices (just pick one)</w:t>
      </w:r>
      <w:r w:rsidR="00CA7CDF" w:rsidRPr="0010111B">
        <w:rPr>
          <w:i/>
          <w:sz w:val="22"/>
          <w:szCs w:val="22"/>
        </w:rPr>
        <w:t>:</w:t>
      </w:r>
    </w:p>
    <w:p w:rsidR="004001AC" w:rsidRPr="0010111B" w:rsidRDefault="004001AC" w:rsidP="00CA7CDF">
      <w:pPr>
        <w:ind w:left="720"/>
        <w:rPr>
          <w:sz w:val="22"/>
          <w:szCs w:val="22"/>
        </w:rPr>
      </w:pPr>
      <w:r w:rsidRPr="00CA7CDF">
        <w:rPr>
          <w:i/>
          <w:color w:val="FF0000"/>
          <w:sz w:val="22"/>
          <w:szCs w:val="22"/>
        </w:rPr>
        <w:t>Not Presumptive (Not a Condition In 3.309(a))</w:t>
      </w:r>
      <w:r w:rsidRPr="00CA7CDF">
        <w:rPr>
          <w:color w:val="FF0000"/>
          <w:sz w:val="22"/>
          <w:szCs w:val="22"/>
        </w:rPr>
        <w:t xml:space="preserve"> </w:t>
      </w:r>
      <w:r w:rsidRPr="0010111B">
        <w:rPr>
          <w:sz w:val="22"/>
          <w:szCs w:val="22"/>
        </w:rPr>
        <w:t xml:space="preserve">- </w:t>
      </w:r>
      <w:r w:rsidRPr="0010111B">
        <w:rPr>
          <w:rFonts w:ascii="Helvetica" w:hAnsi="Helvetica" w:cs="Helvetica"/>
          <w:color w:val="808080"/>
          <w:sz w:val="22"/>
          <w:szCs w:val="22"/>
        </w:rPr>
        <w:t xml:space="preserve">Service connection may be granted on a presumptive basis for a chronic disease cited under 38 CFR 3.309(a) (also 38 CFR 3.309(c) for former POWs) if the disease is manifested to a compensable degree (severe enough to be evaluated at least 10 percent disabling) within a certain period after military discharge (specified under 38 CFR 3.307). As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is not one of the cited diseases, service connection on a presumptive basis is denied.</w:t>
      </w:r>
    </w:p>
    <w:p w:rsidR="004001AC" w:rsidRPr="0010111B" w:rsidRDefault="004001AC" w:rsidP="004001AC">
      <w:pPr>
        <w:ind w:left="720"/>
        <w:rPr>
          <w:sz w:val="22"/>
          <w:szCs w:val="22"/>
        </w:rPr>
      </w:pPr>
      <w:r w:rsidRPr="00CA7CDF">
        <w:rPr>
          <w:i/>
          <w:color w:val="FF0000"/>
          <w:sz w:val="22"/>
          <w:szCs w:val="22"/>
        </w:rPr>
        <w:t>Not Presumptive (Not Compensable Within Time Limits)</w:t>
      </w:r>
      <w:r w:rsidRPr="00CA7CDF">
        <w:rPr>
          <w:color w:val="FF0000"/>
          <w:sz w:val="22"/>
          <w:szCs w:val="22"/>
        </w:rPr>
        <w:t xml:space="preserve"> </w:t>
      </w:r>
      <w:r w:rsidR="00D04374" w:rsidRPr="004559D4">
        <w:t>(</w:t>
      </w:r>
      <w:r w:rsidR="00D04374">
        <w:t xml:space="preserve">if have evidence that currently compensable, but not </w:t>
      </w:r>
      <w:r w:rsidR="00D04374" w:rsidRPr="00D04374">
        <w:rPr>
          <w:b/>
        </w:rPr>
        <w:t xml:space="preserve">diagnosed </w:t>
      </w:r>
      <w:r w:rsidR="00D04374">
        <w:t xml:space="preserve">[does not specifically say that though] &amp; compensable within a year; although below paragraph is better) </w:t>
      </w:r>
      <w:r w:rsidRPr="0010111B">
        <w:rPr>
          <w:sz w:val="22"/>
          <w:szCs w:val="22"/>
        </w:rPr>
        <w:t xml:space="preserve">- </w:t>
      </w:r>
      <w:r w:rsidRPr="0010111B">
        <w:rPr>
          <w:rFonts w:ascii="Helvetica" w:hAnsi="Helvetica" w:cs="Helvetica"/>
          <w:color w:val="808080"/>
          <w:sz w:val="22"/>
          <w:szCs w:val="22"/>
        </w:rPr>
        <w:t xml:space="preserve">Service connection may be granted on a presumptive basis for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if this condition is manifested to a compensable degree (severe enough to be evaluated at least 10 percent disabling) within a certain period after military discharge (specified under 38 CFR 3.307). While the medical evidence shows that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is currently disabling to a compensable degree, the medical evidence fails to show that the disability became compensable within the time period specified under 38 CFR 3.307. Therefore, service connection on a presumptive basis must be denied.</w:t>
      </w:r>
    </w:p>
    <w:p w:rsidR="004001AC" w:rsidRDefault="004001AC" w:rsidP="004001AC">
      <w:pPr>
        <w:ind w:left="720"/>
        <w:rPr>
          <w:rFonts w:ascii="Helvetica" w:hAnsi="Helvetica" w:cs="Helvetica"/>
          <w:color w:val="808080"/>
          <w:sz w:val="22"/>
          <w:szCs w:val="22"/>
        </w:rPr>
      </w:pPr>
      <w:r w:rsidRPr="00CA7CDF">
        <w:rPr>
          <w:i/>
          <w:color w:val="FF0000"/>
          <w:sz w:val="22"/>
          <w:szCs w:val="22"/>
        </w:rPr>
        <w:t>Not Presumptive (No Diagnosis Within Time Limits)</w:t>
      </w:r>
      <w:r w:rsidRPr="00CA7CDF">
        <w:rPr>
          <w:color w:val="FF0000"/>
          <w:sz w:val="22"/>
          <w:szCs w:val="22"/>
        </w:rPr>
        <w:t xml:space="preserve"> </w:t>
      </w:r>
      <w:r w:rsidRPr="0010111B">
        <w:rPr>
          <w:sz w:val="22"/>
          <w:szCs w:val="22"/>
        </w:rPr>
        <w:t xml:space="preserve">- </w:t>
      </w:r>
      <w:r w:rsidRPr="0010111B">
        <w:rPr>
          <w:rFonts w:ascii="Helvetica" w:hAnsi="Helvetica" w:cs="Helvetica"/>
          <w:color w:val="808080"/>
          <w:sz w:val="22"/>
          <w:szCs w:val="22"/>
        </w:rPr>
        <w:t xml:space="preserve">Service connection may be granted on a presumptive basis for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if this condition is manifested to a compensable degree (severe enough to be evaluated at least 10 percent disabling) within a certain period after military discharge. As the medical evidence fails to show a diagnosis of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within the time period specified under 38 CFR 3.307, service connection on a presumptive basis must be denied.</w:t>
      </w:r>
    </w:p>
    <w:p w:rsidR="004001AC" w:rsidRDefault="004001AC" w:rsidP="004001AC">
      <w:pPr>
        <w:ind w:left="720"/>
        <w:rPr>
          <w:rFonts w:ascii="Helvetica" w:hAnsi="Helvetica" w:cs="Helvetica"/>
          <w:color w:val="808080"/>
          <w:sz w:val="22"/>
          <w:szCs w:val="22"/>
        </w:rPr>
      </w:pPr>
      <w:r w:rsidRPr="00CA7CDF">
        <w:rPr>
          <w:i/>
          <w:color w:val="FF0000"/>
          <w:sz w:val="22"/>
          <w:szCs w:val="22"/>
        </w:rPr>
        <w:t>Not Presumptive (Not Compensable)</w:t>
      </w:r>
      <w:r w:rsidRPr="00CA7CDF">
        <w:rPr>
          <w:color w:val="FF0000"/>
          <w:sz w:val="22"/>
          <w:szCs w:val="22"/>
        </w:rPr>
        <w:t xml:space="preserve"> </w:t>
      </w:r>
      <w:r w:rsidR="00D04374" w:rsidRPr="004559D4">
        <w:t>(</w:t>
      </w:r>
      <w:r w:rsidR="00D04374">
        <w:t xml:space="preserve">if have diagnosis within a year, but not compensable) </w:t>
      </w:r>
      <w:r w:rsidRPr="0010111B">
        <w:rPr>
          <w:sz w:val="22"/>
          <w:szCs w:val="22"/>
        </w:rPr>
        <w:t xml:space="preserve">- </w:t>
      </w:r>
      <w:r w:rsidRPr="0010111B">
        <w:rPr>
          <w:rFonts w:ascii="Helvetica" w:hAnsi="Helvetica" w:cs="Helvetica"/>
          <w:color w:val="808080"/>
          <w:sz w:val="22"/>
          <w:szCs w:val="22"/>
        </w:rPr>
        <w:t xml:space="preserve">Service connection may be granted on a presumptive basis for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if this condition is manifested to a compensable degree (severe enough to be evaluated at least 10 percent disabling) within a certain period after military discharge (specified under 38 CFR 3.307). The medical evidence establishes the existence of </w:t>
      </w:r>
      <w:r w:rsidR="00A46221">
        <w:rPr>
          <w:rFonts w:ascii="Helvetica" w:hAnsi="Helvetica" w:cs="Helvetica"/>
          <w:color w:val="808080"/>
          <w:sz w:val="22"/>
          <w:szCs w:val="22"/>
        </w:rPr>
        <w:t>{}</w:t>
      </w:r>
      <w:r w:rsidRPr="0010111B">
        <w:rPr>
          <w:rFonts w:ascii="Helvetica" w:hAnsi="Helvetica" w:cs="Helvetica"/>
          <w:color w:val="808080"/>
          <w:sz w:val="22"/>
          <w:szCs w:val="22"/>
        </w:rPr>
        <w:t xml:space="preserve"> within the specified period after military service; however, the severity of the disability is not shown to be at a compensable level within that specified period. Therefore, service connection on a presumptive basis is denied.</w:t>
      </w:r>
    </w:p>
    <w:p w:rsidR="00DC3574" w:rsidRDefault="00DC3574" w:rsidP="00DC3574">
      <w:pPr>
        <w:rPr>
          <w:sz w:val="22"/>
          <w:szCs w:val="22"/>
        </w:rPr>
      </w:pPr>
    </w:p>
    <w:p w:rsidR="0010111B" w:rsidRDefault="0010111B" w:rsidP="0010111B">
      <w:pPr>
        <w:rPr>
          <w:i/>
          <w:color w:val="FF0000"/>
          <w:sz w:val="22"/>
          <w:szCs w:val="22"/>
        </w:rPr>
      </w:pPr>
      <w:r w:rsidRPr="0010111B">
        <w:rPr>
          <w:i/>
          <w:sz w:val="22"/>
          <w:szCs w:val="22"/>
        </w:rPr>
        <w:t xml:space="preserve">If Decision Basis is </w:t>
      </w:r>
      <w:r>
        <w:rPr>
          <w:i/>
          <w:color w:val="FF0000"/>
          <w:sz w:val="22"/>
          <w:szCs w:val="22"/>
        </w:rPr>
        <w:t>Constitutional/Developmental Abnormality</w:t>
      </w:r>
    </w:p>
    <w:p w:rsidR="0010111B" w:rsidRDefault="0010111B" w:rsidP="0010111B">
      <w:pPr>
        <w:ind w:left="360"/>
        <w:rPr>
          <w:color w:val="808080" w:themeColor="background1" w:themeShade="80"/>
          <w:sz w:val="22"/>
          <w:szCs w:val="22"/>
        </w:rPr>
      </w:pPr>
      <w:r w:rsidRPr="0010111B">
        <w:rPr>
          <w:color w:val="808080" w:themeColor="background1" w:themeShade="80"/>
          <w:sz w:val="22"/>
          <w:szCs w:val="22"/>
        </w:rPr>
        <w:t xml:space="preserve">The condition identified as </w:t>
      </w:r>
      <w:r w:rsidR="00A46221">
        <w:rPr>
          <w:color w:val="808080" w:themeColor="background1" w:themeShade="80"/>
          <w:sz w:val="22"/>
          <w:szCs w:val="22"/>
        </w:rPr>
        <w:t>{}</w:t>
      </w:r>
      <w:r w:rsidRPr="0010111B">
        <w:rPr>
          <w:color w:val="808080" w:themeColor="background1" w:themeShade="80"/>
          <w:sz w:val="22"/>
          <w:szCs w:val="22"/>
        </w:rPr>
        <w:t xml:space="preserve"> is considered a congenital or developmental defect which is unrelated to military service and not subject to service connection.</w:t>
      </w:r>
    </w:p>
    <w:p w:rsidR="00E16714" w:rsidRDefault="00E16714" w:rsidP="0010111B">
      <w:pPr>
        <w:ind w:left="360"/>
        <w:rPr>
          <w:color w:val="808080" w:themeColor="background1" w:themeShade="80"/>
          <w:sz w:val="22"/>
          <w:szCs w:val="22"/>
        </w:rPr>
      </w:pPr>
    </w:p>
    <w:p w:rsidR="0010111B" w:rsidRDefault="0010111B" w:rsidP="0010111B">
      <w:pPr>
        <w:rPr>
          <w:i/>
          <w:color w:val="FF0000"/>
          <w:sz w:val="22"/>
          <w:szCs w:val="22"/>
        </w:rPr>
      </w:pPr>
      <w:r w:rsidRPr="0010111B">
        <w:rPr>
          <w:i/>
          <w:sz w:val="22"/>
          <w:szCs w:val="22"/>
        </w:rPr>
        <w:t xml:space="preserve">If Decision Basis is </w:t>
      </w:r>
      <w:r>
        <w:rPr>
          <w:i/>
          <w:color w:val="FF0000"/>
          <w:sz w:val="22"/>
          <w:szCs w:val="22"/>
        </w:rPr>
        <w:t>Not Aggravated by Service</w:t>
      </w:r>
    </w:p>
    <w:p w:rsidR="0010111B" w:rsidRDefault="0010111B" w:rsidP="004559D4">
      <w:pPr>
        <w:widowControl w:val="0"/>
        <w:ind w:left="360"/>
        <w:rPr>
          <w:color w:val="808080" w:themeColor="background1" w:themeShade="80"/>
          <w:sz w:val="22"/>
          <w:szCs w:val="22"/>
        </w:rPr>
      </w:pPr>
      <w:r w:rsidRPr="0010111B">
        <w:rPr>
          <w:color w:val="808080" w:themeColor="background1" w:themeShade="80"/>
          <w:sz w:val="22"/>
          <w:szCs w:val="22"/>
        </w:rPr>
        <w:t xml:space="preserve">The evidence shows that </w:t>
      </w:r>
      <w:r w:rsidR="00A46221">
        <w:rPr>
          <w:color w:val="808080" w:themeColor="background1" w:themeShade="80"/>
          <w:sz w:val="22"/>
          <w:szCs w:val="22"/>
        </w:rPr>
        <w:t>{}</w:t>
      </w:r>
      <w:r w:rsidRPr="0010111B">
        <w:rPr>
          <w:color w:val="808080" w:themeColor="background1" w:themeShade="80"/>
          <w:sz w:val="22"/>
          <w:szCs w:val="22"/>
        </w:rPr>
        <w:t xml:space="preserve"> existed prior to service.  There must be objective evidence of worsening of a pre-existing condition in order to establish service connection by aggravation.  There is no evidence that the condition permanently worsened as a result of service.</w:t>
      </w:r>
    </w:p>
    <w:p w:rsidR="004559D4" w:rsidRDefault="004559D4" w:rsidP="004559D4">
      <w:pPr>
        <w:widowControl w:val="0"/>
        <w:rPr>
          <w:color w:val="808080" w:themeColor="background1" w:themeShade="80"/>
          <w:sz w:val="22"/>
          <w:szCs w:val="22"/>
        </w:rPr>
      </w:pPr>
    </w:p>
    <w:p w:rsidR="004559D4" w:rsidRPr="00CA7CDF" w:rsidRDefault="0010111B" w:rsidP="00CA7CDF">
      <w:pPr>
        <w:rPr>
          <w:i/>
          <w:color w:val="FF0000"/>
          <w:sz w:val="22"/>
          <w:szCs w:val="22"/>
        </w:rPr>
      </w:pPr>
      <w:r w:rsidRPr="0010111B">
        <w:rPr>
          <w:i/>
          <w:sz w:val="22"/>
          <w:szCs w:val="22"/>
        </w:rPr>
        <w:t xml:space="preserve">If Decision Basis is </w:t>
      </w:r>
      <w:r w:rsidR="004559D4">
        <w:rPr>
          <w:i/>
          <w:color w:val="FF0000"/>
          <w:sz w:val="22"/>
          <w:szCs w:val="22"/>
        </w:rPr>
        <w:t>Not Secondary</w:t>
      </w:r>
      <w:r w:rsidR="00CA7CDF">
        <w:rPr>
          <w:i/>
          <w:color w:val="FF0000"/>
          <w:sz w:val="22"/>
          <w:szCs w:val="22"/>
        </w:rPr>
        <w:t xml:space="preserve">, </w:t>
      </w:r>
      <w:r w:rsidR="004559D4" w:rsidRPr="0010111B">
        <w:rPr>
          <w:i/>
          <w:sz w:val="22"/>
          <w:szCs w:val="22"/>
        </w:rPr>
        <w:t>also have</w:t>
      </w:r>
      <w:r w:rsidR="004559D4">
        <w:rPr>
          <w:i/>
          <w:sz w:val="22"/>
          <w:szCs w:val="22"/>
        </w:rPr>
        <w:t xml:space="preserve"> these choices</w:t>
      </w:r>
      <w:r w:rsidR="004559D4" w:rsidRPr="0010111B">
        <w:rPr>
          <w:i/>
          <w:sz w:val="22"/>
          <w:szCs w:val="22"/>
        </w:rPr>
        <w:t>:</w:t>
      </w:r>
    </w:p>
    <w:p w:rsidR="004559D4" w:rsidRDefault="004559D4" w:rsidP="004559D4">
      <w:pPr>
        <w:ind w:left="720"/>
        <w:rPr>
          <w:rFonts w:ascii="Helvetica" w:hAnsi="Helvetica" w:cs="Helvetica"/>
          <w:color w:val="808080"/>
          <w:sz w:val="22"/>
          <w:szCs w:val="22"/>
        </w:rPr>
      </w:pPr>
      <w:r>
        <w:rPr>
          <w:i/>
          <w:color w:val="FF0000"/>
          <w:sz w:val="22"/>
          <w:szCs w:val="22"/>
        </w:rPr>
        <w:t xml:space="preserve">NSC Secondary – Primary Condition is NSC </w:t>
      </w:r>
      <w:r w:rsidRPr="0010111B">
        <w:rPr>
          <w:sz w:val="22"/>
          <w:szCs w:val="22"/>
        </w:rPr>
        <w:t xml:space="preserve">- </w:t>
      </w:r>
      <w:r w:rsidRPr="004559D4">
        <w:rPr>
          <w:rFonts w:ascii="Helvetica" w:hAnsi="Helvetica" w:cs="Helvetica"/>
          <w:color w:val="808080"/>
          <w:sz w:val="22"/>
          <w:szCs w:val="22"/>
        </w:rPr>
        <w:t xml:space="preserve">Service connection may be granted for a disease or injury which resulted from a service-connected disability or was aggravated thereby.  The evidence does not show that </w:t>
      </w:r>
      <w:r w:rsidR="00A46221">
        <w:rPr>
          <w:rFonts w:ascii="Helvetica" w:hAnsi="Helvetica" w:cs="Helvetica"/>
          <w:color w:val="808080"/>
          <w:sz w:val="22"/>
          <w:szCs w:val="22"/>
        </w:rPr>
        <w:t>{}</w:t>
      </w:r>
      <w:r w:rsidRPr="004559D4">
        <w:rPr>
          <w:rFonts w:ascii="Helvetica" w:hAnsi="Helvetica" w:cs="Helvetica"/>
          <w:color w:val="808080"/>
          <w:sz w:val="22"/>
          <w:szCs w:val="22"/>
        </w:rPr>
        <w:t xml:space="preserve"> is related to service.  The</w:t>
      </w:r>
      <w:r w:rsidR="00CA7CDF">
        <w:rPr>
          <w:rFonts w:ascii="Helvetica" w:hAnsi="Helvetica" w:cs="Helvetica"/>
          <w:color w:val="808080"/>
          <w:sz w:val="22"/>
          <w:szCs w:val="22"/>
        </w:rPr>
        <w:t xml:space="preserve">refore, service-connection for </w:t>
      </w:r>
      <w:r w:rsidR="00A46221">
        <w:rPr>
          <w:rFonts w:ascii="Helvetica" w:hAnsi="Helvetica" w:cs="Helvetica"/>
          <w:color w:val="808080"/>
          <w:sz w:val="22"/>
          <w:szCs w:val="22"/>
        </w:rPr>
        <w:t>{}</w:t>
      </w:r>
      <w:r w:rsidRPr="004559D4">
        <w:rPr>
          <w:rFonts w:ascii="Helvetica" w:hAnsi="Helvetica" w:cs="Helvetica"/>
          <w:color w:val="808080"/>
          <w:sz w:val="22"/>
          <w:szCs w:val="22"/>
        </w:rPr>
        <w:t xml:space="preserve"> on a secondary basis to this condition cannot be established.  There </w:t>
      </w:r>
      <w:r w:rsidR="00054B8A">
        <w:rPr>
          <w:rFonts w:ascii="Helvetica" w:hAnsi="Helvetica" w:cs="Helvetica"/>
          <w:color w:val="808080"/>
          <w:sz w:val="22"/>
          <w:szCs w:val="22"/>
        </w:rPr>
        <w:t>is also no evidence showing {}</w:t>
      </w:r>
      <w:r w:rsidRPr="004559D4">
        <w:rPr>
          <w:rFonts w:ascii="Helvetica" w:hAnsi="Helvetica" w:cs="Helvetica"/>
          <w:color w:val="808080"/>
          <w:sz w:val="22"/>
          <w:szCs w:val="22"/>
        </w:rPr>
        <w:t xml:space="preserve"> was incurred in or aggravated by military service.</w:t>
      </w:r>
    </w:p>
    <w:p w:rsidR="00CA7CDF" w:rsidRDefault="004559D4" w:rsidP="00CA7CDF">
      <w:pPr>
        <w:ind w:left="720"/>
        <w:rPr>
          <w:color w:val="808080" w:themeColor="background1" w:themeShade="80"/>
          <w:sz w:val="22"/>
          <w:szCs w:val="22"/>
        </w:rPr>
      </w:pPr>
      <w:r>
        <w:rPr>
          <w:i/>
          <w:color w:val="FF0000"/>
          <w:sz w:val="22"/>
          <w:szCs w:val="22"/>
        </w:rPr>
        <w:t xml:space="preserve">NSC Secondary – Primary Condition is SC </w:t>
      </w:r>
      <w:r w:rsidRPr="0010111B">
        <w:rPr>
          <w:sz w:val="22"/>
          <w:szCs w:val="22"/>
        </w:rPr>
        <w:t xml:space="preserve">- </w:t>
      </w:r>
      <w:r w:rsidR="00CA7CDF" w:rsidRPr="004559D4">
        <w:rPr>
          <w:color w:val="808080" w:themeColor="background1" w:themeShade="80"/>
          <w:sz w:val="22"/>
          <w:szCs w:val="22"/>
        </w:rPr>
        <w:t xml:space="preserve">Service connection may be granted for a disease or injury which resulted from a service-connected disability or was aggravated thereby.  The evidence does not show that </w:t>
      </w:r>
      <w:r w:rsidR="00054B8A">
        <w:rPr>
          <w:color w:val="808080" w:themeColor="background1" w:themeShade="80"/>
          <w:sz w:val="22"/>
          <w:szCs w:val="22"/>
        </w:rPr>
        <w:t>{}</w:t>
      </w:r>
      <w:r w:rsidR="00CA7CDF" w:rsidRPr="004559D4">
        <w:rPr>
          <w:color w:val="808080" w:themeColor="background1" w:themeShade="80"/>
          <w:sz w:val="22"/>
          <w:szCs w:val="22"/>
        </w:rPr>
        <w:t xml:space="preserve"> is related to the service-connected condition </w:t>
      </w:r>
      <w:r w:rsidR="00153214">
        <w:rPr>
          <w:color w:val="808080" w:themeColor="background1" w:themeShade="80"/>
          <w:sz w:val="22"/>
          <w:szCs w:val="22"/>
        </w:rPr>
        <w:t xml:space="preserve">of </w:t>
      </w:r>
      <w:r w:rsidR="00A46221">
        <w:rPr>
          <w:color w:val="808080" w:themeColor="background1" w:themeShade="80"/>
          <w:sz w:val="22"/>
          <w:szCs w:val="22"/>
        </w:rPr>
        <w:t>{}</w:t>
      </w:r>
      <w:r w:rsidR="00CA7CDF" w:rsidRPr="004559D4">
        <w:rPr>
          <w:color w:val="808080" w:themeColor="background1" w:themeShade="80"/>
          <w:sz w:val="22"/>
          <w:szCs w:val="22"/>
        </w:rPr>
        <w:t>, nor is there any evidence of this disability during military service.</w:t>
      </w:r>
    </w:p>
    <w:p w:rsidR="006A315C" w:rsidRDefault="006A315C" w:rsidP="006A315C">
      <w:pPr>
        <w:rPr>
          <w:i/>
          <w:sz w:val="22"/>
          <w:szCs w:val="22"/>
        </w:rPr>
      </w:pPr>
    </w:p>
    <w:p w:rsidR="006A315C" w:rsidRPr="0010111B" w:rsidRDefault="006A315C" w:rsidP="006A315C">
      <w:pPr>
        <w:pBdr>
          <w:top w:val="single" w:sz="4" w:space="1" w:color="auto"/>
        </w:pBdr>
        <w:rPr>
          <w:i/>
          <w:sz w:val="22"/>
          <w:szCs w:val="22"/>
        </w:rPr>
      </w:pPr>
    </w:p>
    <w:p w:rsidR="00F407C6" w:rsidRDefault="006A315C" w:rsidP="00F407C6">
      <w:pPr>
        <w:rPr>
          <w:i/>
          <w:sz w:val="22"/>
          <w:szCs w:val="22"/>
        </w:rPr>
      </w:pPr>
      <w:r w:rsidRPr="0010111B">
        <w:rPr>
          <w:i/>
          <w:sz w:val="22"/>
          <w:szCs w:val="22"/>
        </w:rPr>
        <w:t xml:space="preserve">If </w:t>
      </w:r>
      <w:r>
        <w:rPr>
          <w:i/>
          <w:sz w:val="22"/>
          <w:szCs w:val="22"/>
        </w:rPr>
        <w:t xml:space="preserve">the decision is </w:t>
      </w:r>
      <w:r w:rsidRPr="00F407C6">
        <w:rPr>
          <w:i/>
          <w:color w:val="FF0000"/>
          <w:sz w:val="22"/>
          <w:szCs w:val="22"/>
        </w:rPr>
        <w:t xml:space="preserve">Confirmed and Continued </w:t>
      </w:r>
      <w:r w:rsidR="002452EE">
        <w:rPr>
          <w:i/>
          <w:color w:val="FF0000"/>
          <w:sz w:val="22"/>
          <w:szCs w:val="22"/>
        </w:rPr>
        <w:t xml:space="preserve">(under Supplementary Decision) </w:t>
      </w:r>
      <w:r>
        <w:rPr>
          <w:i/>
          <w:sz w:val="22"/>
          <w:szCs w:val="22"/>
        </w:rPr>
        <w:t xml:space="preserve">because the </w:t>
      </w:r>
      <w:r>
        <w:rPr>
          <w:i/>
          <w:color w:val="FF0000"/>
          <w:sz w:val="22"/>
          <w:szCs w:val="22"/>
        </w:rPr>
        <w:t>Reopened Claim for SC Denied on Merits</w:t>
      </w:r>
      <w:r>
        <w:rPr>
          <w:i/>
          <w:sz w:val="22"/>
          <w:szCs w:val="22"/>
        </w:rPr>
        <w:t>, generated text is:</w:t>
      </w:r>
    </w:p>
    <w:p w:rsidR="006A315C" w:rsidRDefault="006A315C" w:rsidP="00F407C6">
      <w:pPr>
        <w:rPr>
          <w:color w:val="808080" w:themeColor="background1" w:themeShade="80"/>
          <w:sz w:val="22"/>
          <w:szCs w:val="22"/>
        </w:rPr>
      </w:pPr>
      <w:r w:rsidRPr="006A315C">
        <w:rPr>
          <w:color w:val="808080" w:themeColor="background1" w:themeShade="80"/>
          <w:sz w:val="22"/>
          <w:szCs w:val="22"/>
        </w:rPr>
        <w:t xml:space="preserve">The claim for service connection for </w:t>
      </w:r>
      <w:r w:rsidR="00530B47">
        <w:rPr>
          <w:color w:val="808080" w:themeColor="background1" w:themeShade="80"/>
          <w:sz w:val="22"/>
          <w:szCs w:val="22"/>
        </w:rPr>
        <w:t>{}</w:t>
      </w:r>
      <w:r w:rsidRPr="006A315C">
        <w:rPr>
          <w:color w:val="808080" w:themeColor="background1" w:themeShade="80"/>
          <w:sz w:val="22"/>
          <w:szCs w:val="22"/>
        </w:rPr>
        <w:t xml:space="preserve"> is considered reopened. However, the evidence continues to show this condition was not incurred in or aggravated by military service.</w:t>
      </w:r>
    </w:p>
    <w:p w:rsidR="006A315C" w:rsidRPr="006A315C" w:rsidRDefault="006A315C" w:rsidP="00F407C6">
      <w:pPr>
        <w:rPr>
          <w:i/>
          <w:sz w:val="22"/>
          <w:szCs w:val="22"/>
        </w:rPr>
      </w:pPr>
      <w:r w:rsidRPr="006A315C">
        <w:rPr>
          <w:i/>
          <w:sz w:val="22"/>
          <w:szCs w:val="22"/>
        </w:rPr>
        <w:t xml:space="preserve">*need to add </w:t>
      </w:r>
      <w:r w:rsidR="007D3F63">
        <w:rPr>
          <w:rFonts w:ascii="Verdana" w:hAnsi="Verdana"/>
          <w:b/>
          <w:bCs/>
          <w:highlight w:val="green"/>
        </w:rPr>
        <w:t>CCDENY</w:t>
      </w:r>
    </w:p>
    <w:p w:rsidR="006A315C" w:rsidRPr="005665D9" w:rsidRDefault="002E4207" w:rsidP="006A315C">
      <w:pPr>
        <w:rPr>
          <w:i/>
        </w:rPr>
      </w:pPr>
      <w:r w:rsidRPr="002E4207">
        <w:rPr>
          <w:szCs w:val="22"/>
        </w:rPr>
        <w:t>**not for RECONSIDERATIONS, only for reopened claims with N&amp;M evidence, but still denied</w:t>
      </w:r>
      <w:r w:rsidR="00315D48">
        <w:rPr>
          <w:szCs w:val="22"/>
        </w:rPr>
        <w:t xml:space="preserve">; </w:t>
      </w:r>
      <w:r w:rsidR="00315D48" w:rsidRPr="005665D9">
        <w:rPr>
          <w:i/>
          <w:color w:val="00B050"/>
        </w:rPr>
        <w:t xml:space="preserve">My Notes: </w:t>
      </w:r>
      <w:r w:rsidR="00315D48" w:rsidRPr="005665D9">
        <w:rPr>
          <w:i/>
        </w:rPr>
        <w:t xml:space="preserve">I think it’s also for </w:t>
      </w:r>
      <w:r w:rsidR="00B1266B" w:rsidRPr="005665D9">
        <w:rPr>
          <w:i/>
        </w:rPr>
        <w:t>reopen claims without N&amp;M evidence</w:t>
      </w:r>
      <w:r w:rsidR="00315D48" w:rsidRPr="005665D9">
        <w:rPr>
          <w:i/>
        </w:rPr>
        <w:t xml:space="preserve">, as </w:t>
      </w:r>
      <w:r w:rsidR="00315D48" w:rsidRPr="005665D9">
        <w:rPr>
          <w:rStyle w:val="Strong"/>
          <w:bCs w:val="0"/>
          <w:i/>
        </w:rPr>
        <w:t>III.ii.2.D.4.b</w:t>
      </w:r>
      <w:r w:rsidR="00315D48" w:rsidRPr="005665D9">
        <w:rPr>
          <w:rStyle w:val="Strong"/>
          <w:b w:val="0"/>
          <w:bCs w:val="0"/>
          <w:i/>
        </w:rPr>
        <w:t xml:space="preserve"> says we have to make a two part decision (1-whether N</w:t>
      </w:r>
      <w:r w:rsidR="005665D9" w:rsidRPr="005665D9">
        <w:rPr>
          <w:rStyle w:val="Strong"/>
          <w:b w:val="0"/>
          <w:bCs w:val="0"/>
          <w:i/>
        </w:rPr>
        <w:t>&amp;M evidence has been submitted;</w:t>
      </w:r>
      <w:r w:rsidR="00315D48" w:rsidRPr="005665D9">
        <w:rPr>
          <w:rStyle w:val="Strong"/>
          <w:b w:val="0"/>
          <w:bCs w:val="0"/>
          <w:i/>
        </w:rPr>
        <w:t xml:space="preserve"> 2-whether to grant or continue the denial) &amp; </w:t>
      </w:r>
      <w:r w:rsidR="00315D48" w:rsidRPr="005665D9">
        <w:rPr>
          <w:rStyle w:val="Strong"/>
          <w:bCs w:val="0"/>
          <w:i/>
        </w:rPr>
        <w:t>III.iv.2.B.3.m</w:t>
      </w:r>
      <w:r w:rsidR="00315D48" w:rsidRPr="005665D9">
        <w:rPr>
          <w:rStyle w:val="Strong"/>
          <w:b w:val="0"/>
          <w:bCs w:val="0"/>
          <w:i/>
        </w:rPr>
        <w:t xml:space="preserve"> says if evidence is new, but not material, we confirm the previous denial &amp; say the claim is not reopened.</w:t>
      </w:r>
    </w:p>
    <w:p w:rsidR="002E4207" w:rsidRDefault="002E4207" w:rsidP="006A315C">
      <w:pPr>
        <w:rPr>
          <w:i/>
          <w:sz w:val="22"/>
          <w:szCs w:val="22"/>
        </w:rPr>
      </w:pPr>
    </w:p>
    <w:p w:rsidR="006A315C" w:rsidRPr="0010111B" w:rsidRDefault="006A315C" w:rsidP="006A315C">
      <w:pPr>
        <w:pBdr>
          <w:top w:val="single" w:sz="4" w:space="1" w:color="auto"/>
        </w:pBdr>
        <w:rPr>
          <w:i/>
          <w:sz w:val="22"/>
          <w:szCs w:val="22"/>
        </w:rPr>
      </w:pPr>
    </w:p>
    <w:p w:rsidR="006A315C" w:rsidRDefault="006A315C" w:rsidP="00F407C6">
      <w:pPr>
        <w:rPr>
          <w:i/>
          <w:sz w:val="22"/>
          <w:szCs w:val="22"/>
        </w:rPr>
      </w:pPr>
    </w:p>
    <w:p w:rsidR="00F407C6" w:rsidRDefault="00F407C6" w:rsidP="00F407C6">
      <w:pPr>
        <w:rPr>
          <w:i/>
          <w:sz w:val="22"/>
          <w:szCs w:val="22"/>
        </w:rPr>
      </w:pPr>
      <w:r w:rsidRPr="0010111B">
        <w:rPr>
          <w:i/>
          <w:sz w:val="22"/>
          <w:szCs w:val="22"/>
        </w:rPr>
        <w:t xml:space="preserve">If </w:t>
      </w:r>
      <w:r>
        <w:rPr>
          <w:i/>
          <w:sz w:val="22"/>
          <w:szCs w:val="22"/>
        </w:rPr>
        <w:t xml:space="preserve">the decision is </w:t>
      </w:r>
      <w:r w:rsidRPr="00F407C6">
        <w:rPr>
          <w:i/>
          <w:color w:val="FF0000"/>
          <w:sz w:val="22"/>
          <w:szCs w:val="22"/>
        </w:rPr>
        <w:t xml:space="preserve">Confirmed and Continued </w:t>
      </w:r>
      <w:r>
        <w:rPr>
          <w:i/>
          <w:sz w:val="22"/>
          <w:szCs w:val="22"/>
        </w:rPr>
        <w:t xml:space="preserve">because the </w:t>
      </w:r>
      <w:r w:rsidRPr="00F407C6">
        <w:rPr>
          <w:i/>
          <w:color w:val="FF0000"/>
          <w:sz w:val="22"/>
          <w:szCs w:val="22"/>
        </w:rPr>
        <w:t>Evidence Not New/Material</w:t>
      </w:r>
      <w:r>
        <w:rPr>
          <w:i/>
          <w:sz w:val="22"/>
          <w:szCs w:val="22"/>
        </w:rPr>
        <w:t xml:space="preserve">, also have these choices: </w:t>
      </w:r>
    </w:p>
    <w:p w:rsidR="00F407C6" w:rsidRDefault="00F407C6" w:rsidP="00F407C6">
      <w:pPr>
        <w:tabs>
          <w:tab w:val="left" w:pos="720"/>
        </w:tabs>
        <w:ind w:left="720"/>
        <w:rPr>
          <w:i/>
          <w:sz w:val="22"/>
          <w:szCs w:val="22"/>
        </w:rPr>
      </w:pPr>
      <w:r w:rsidRPr="00F407C6">
        <w:rPr>
          <w:i/>
          <w:color w:val="FF0000"/>
          <w:sz w:val="22"/>
          <w:szCs w:val="22"/>
        </w:rPr>
        <w:t xml:space="preserve">Evidence </w:t>
      </w:r>
      <w:r>
        <w:rPr>
          <w:i/>
          <w:color w:val="FF0000"/>
          <w:sz w:val="22"/>
          <w:szCs w:val="22"/>
        </w:rPr>
        <w:t>Not Material</w:t>
      </w:r>
      <w:r w:rsidR="00DD0F2A">
        <w:rPr>
          <w:i/>
          <w:color w:val="FF0000"/>
          <w:sz w:val="22"/>
          <w:szCs w:val="22"/>
        </w:rPr>
        <w:t xml:space="preserve"> </w:t>
      </w:r>
      <w:r w:rsidR="00DD0F2A" w:rsidRPr="00DD0F2A">
        <w:rPr>
          <w:i/>
        </w:rPr>
        <w:t>(</w:t>
      </w:r>
      <w:r w:rsidR="008D1357">
        <w:rPr>
          <w:i/>
        </w:rPr>
        <w:t>**</w:t>
      </w:r>
      <w:r w:rsidR="001F60C5">
        <w:rPr>
          <w:i/>
        </w:rPr>
        <w:t>S</w:t>
      </w:r>
      <w:r w:rsidR="008D1357">
        <w:rPr>
          <w:i/>
        </w:rPr>
        <w:t>imilar to Not Material D</w:t>
      </w:r>
      <w:r w:rsidR="00DD0F2A" w:rsidRPr="00DD0F2A">
        <w:rPr>
          <w:i/>
        </w:rPr>
        <w:t xml:space="preserve">enial </w:t>
      </w:r>
      <w:r w:rsidR="008D1357">
        <w:rPr>
          <w:i/>
        </w:rPr>
        <w:t>R</w:t>
      </w:r>
      <w:r w:rsidR="00DD0F2A" w:rsidRPr="00DD0F2A">
        <w:rPr>
          <w:i/>
        </w:rPr>
        <w:t>eason</w:t>
      </w:r>
      <w:r w:rsidR="00E7649D">
        <w:rPr>
          <w:i/>
        </w:rPr>
        <w:t xml:space="preserve">, </w:t>
      </w:r>
      <w:r w:rsidR="00E7649D">
        <w:rPr>
          <w:rFonts w:ascii="Verdana" w:hAnsi="Verdana"/>
          <w:b/>
          <w:bCs/>
          <w:highlight w:val="green"/>
        </w:rPr>
        <w:t>NM</w:t>
      </w:r>
      <w:r w:rsidR="00DD0F2A" w:rsidRPr="00DD0F2A">
        <w:rPr>
          <w:i/>
        </w:rPr>
        <w:t>)</w:t>
      </w:r>
      <w:r w:rsidR="00DD0F2A">
        <w:rPr>
          <w:i/>
          <w:sz w:val="22"/>
          <w:szCs w:val="22"/>
        </w:rPr>
        <w:t>:</w:t>
      </w:r>
    </w:p>
    <w:p w:rsidR="00F407C6" w:rsidRPr="00F407C6" w:rsidRDefault="00F407C6" w:rsidP="00F407C6">
      <w:pPr>
        <w:tabs>
          <w:tab w:val="left" w:pos="720"/>
        </w:tabs>
        <w:ind w:left="720"/>
        <w:rPr>
          <w:color w:val="808080" w:themeColor="background1" w:themeShade="80"/>
          <w:sz w:val="22"/>
          <w:szCs w:val="22"/>
        </w:rPr>
      </w:pPr>
      <w:r w:rsidRPr="00F407C6">
        <w:rPr>
          <w:color w:val="808080" w:themeColor="background1" w:themeShade="80"/>
          <w:sz w:val="22"/>
          <w:szCs w:val="22"/>
        </w:rPr>
        <w:t>A claimant may reopen a finally adjudicated claim by submitting new and material evidence.  New evidence means existing evidence not previously submitted to agency decisionmakers.  Material evidence means existing evidence that, by itself or when considered with previous evidence of record, relates to an unestablished fact necessary to substantiate the claim.  New and material evidence can be neither cumulative nor redundant of the evidence of record at the time of the last prior final denial of the claim sought to be reopened, and must raise a reasonable possibility of substantiating the claim.</w:t>
      </w:r>
    </w:p>
    <w:p w:rsidR="00F407C6" w:rsidRPr="00F407C6" w:rsidRDefault="00F407C6" w:rsidP="00F407C6">
      <w:pPr>
        <w:tabs>
          <w:tab w:val="left" w:pos="720"/>
        </w:tabs>
        <w:ind w:left="720"/>
        <w:rPr>
          <w:color w:val="808080" w:themeColor="background1" w:themeShade="80"/>
          <w:sz w:val="22"/>
          <w:szCs w:val="22"/>
        </w:rPr>
      </w:pPr>
    </w:p>
    <w:p w:rsidR="00F407C6" w:rsidRDefault="00F407C6" w:rsidP="00F407C6">
      <w:pPr>
        <w:tabs>
          <w:tab w:val="left" w:pos="720"/>
        </w:tabs>
        <w:ind w:left="720"/>
        <w:rPr>
          <w:color w:val="808080" w:themeColor="background1" w:themeShade="80"/>
          <w:sz w:val="22"/>
          <w:szCs w:val="22"/>
        </w:rPr>
      </w:pPr>
      <w:r w:rsidRPr="00F407C6">
        <w:rPr>
          <w:color w:val="808080" w:themeColor="background1" w:themeShade="80"/>
          <w:sz w:val="22"/>
          <w:szCs w:val="22"/>
        </w:rPr>
        <w:t xml:space="preserve">The evidence from the </w:t>
      </w:r>
      <w:r w:rsidR="00A46221">
        <w:rPr>
          <w:color w:val="808080" w:themeColor="background1" w:themeShade="80"/>
          <w:sz w:val="22"/>
          <w:szCs w:val="22"/>
        </w:rPr>
        <w:t>{}</w:t>
      </w:r>
      <w:r w:rsidRPr="00F407C6">
        <w:rPr>
          <w:color w:val="808080" w:themeColor="background1" w:themeShade="80"/>
          <w:sz w:val="22"/>
          <w:szCs w:val="22"/>
        </w:rPr>
        <w:t xml:space="preserve"> submitted in connection with the current claim does not constitute new and material evidence because it does not relate to an unestablished fact necessary to substantiate the claim and does not raise a reasonable possibility of substantiating the claim.</w:t>
      </w:r>
    </w:p>
    <w:p w:rsidR="00F407C6" w:rsidRDefault="00F407C6" w:rsidP="00F407C6">
      <w:pPr>
        <w:tabs>
          <w:tab w:val="left" w:pos="720"/>
        </w:tabs>
        <w:ind w:left="720"/>
        <w:rPr>
          <w:color w:val="808080" w:themeColor="background1" w:themeShade="80"/>
          <w:sz w:val="22"/>
          <w:szCs w:val="22"/>
        </w:rPr>
      </w:pPr>
    </w:p>
    <w:p w:rsidR="00F407C6" w:rsidRDefault="00F407C6" w:rsidP="00F407C6">
      <w:pPr>
        <w:tabs>
          <w:tab w:val="left" w:pos="720"/>
        </w:tabs>
        <w:ind w:left="720"/>
        <w:rPr>
          <w:i/>
          <w:sz w:val="22"/>
          <w:szCs w:val="22"/>
        </w:rPr>
      </w:pPr>
      <w:r w:rsidRPr="00F407C6">
        <w:rPr>
          <w:i/>
          <w:color w:val="FF0000"/>
          <w:sz w:val="22"/>
          <w:szCs w:val="22"/>
        </w:rPr>
        <w:t xml:space="preserve">Evidence </w:t>
      </w:r>
      <w:r>
        <w:rPr>
          <w:i/>
          <w:color w:val="FF0000"/>
          <w:sz w:val="22"/>
          <w:szCs w:val="22"/>
        </w:rPr>
        <w:t>Not New</w:t>
      </w:r>
      <w:r w:rsidR="00DD0F2A">
        <w:rPr>
          <w:i/>
          <w:color w:val="FF0000"/>
          <w:sz w:val="22"/>
          <w:szCs w:val="22"/>
        </w:rPr>
        <w:t xml:space="preserve"> </w:t>
      </w:r>
      <w:r w:rsidR="00DD0F2A" w:rsidRPr="00DD0F2A">
        <w:rPr>
          <w:i/>
        </w:rPr>
        <w:t>(</w:t>
      </w:r>
      <w:r w:rsidR="008D1357">
        <w:rPr>
          <w:i/>
        </w:rPr>
        <w:t>**</w:t>
      </w:r>
      <w:r w:rsidR="001F60C5">
        <w:rPr>
          <w:i/>
        </w:rPr>
        <w:t>S</w:t>
      </w:r>
      <w:r w:rsidR="00DD0F2A" w:rsidRPr="00DD0F2A">
        <w:rPr>
          <w:i/>
        </w:rPr>
        <w:t xml:space="preserve">imilar to </w:t>
      </w:r>
      <w:r w:rsidR="00DD0F2A">
        <w:rPr>
          <w:i/>
        </w:rPr>
        <w:t>Cumulative</w:t>
      </w:r>
      <w:r w:rsidR="008D1357">
        <w:rPr>
          <w:i/>
        </w:rPr>
        <w:t xml:space="preserve"> D</w:t>
      </w:r>
      <w:r w:rsidR="00DD0F2A" w:rsidRPr="00DD0F2A">
        <w:rPr>
          <w:i/>
        </w:rPr>
        <w:t xml:space="preserve">enial </w:t>
      </w:r>
      <w:r w:rsidR="008D1357">
        <w:rPr>
          <w:i/>
        </w:rPr>
        <w:t>R</w:t>
      </w:r>
      <w:r w:rsidR="00DD0F2A" w:rsidRPr="00DD0F2A">
        <w:rPr>
          <w:i/>
        </w:rPr>
        <w:t>eason</w:t>
      </w:r>
      <w:r w:rsidR="00E7649D">
        <w:rPr>
          <w:i/>
        </w:rPr>
        <w:t xml:space="preserve">, </w:t>
      </w:r>
      <w:r w:rsidR="00E7649D">
        <w:rPr>
          <w:rFonts w:ascii="Verdana" w:hAnsi="Verdana"/>
          <w:b/>
          <w:bCs/>
          <w:highlight w:val="green"/>
        </w:rPr>
        <w:t>NM_CU</w:t>
      </w:r>
      <w:r w:rsidR="00DD0F2A" w:rsidRPr="00DD0F2A">
        <w:rPr>
          <w:i/>
        </w:rPr>
        <w:t>)</w:t>
      </w:r>
      <w:r w:rsidR="000B4400">
        <w:rPr>
          <w:i/>
        </w:rPr>
        <w:t xml:space="preserve"> – not very useful, check for CAPRI records</w:t>
      </w:r>
      <w:r w:rsidR="00DD0F2A">
        <w:rPr>
          <w:i/>
        </w:rPr>
        <w:t>:</w:t>
      </w:r>
    </w:p>
    <w:p w:rsidR="00F407C6" w:rsidRPr="00F407C6" w:rsidRDefault="00F407C6" w:rsidP="00F407C6">
      <w:pPr>
        <w:tabs>
          <w:tab w:val="left" w:pos="720"/>
        </w:tabs>
        <w:ind w:left="720"/>
        <w:rPr>
          <w:color w:val="808080" w:themeColor="background1" w:themeShade="80"/>
          <w:sz w:val="22"/>
          <w:szCs w:val="22"/>
        </w:rPr>
      </w:pPr>
      <w:r w:rsidRPr="00F407C6">
        <w:rPr>
          <w:color w:val="808080" w:themeColor="background1" w:themeShade="80"/>
          <w:sz w:val="22"/>
          <w:szCs w:val="22"/>
        </w:rPr>
        <w:t>A claimant may reopen a finally adjudicated claim by submitting new and material evidence.  New evidence means existing evidence not previously submitted to agency decisionmakers.  Material evidence means existing evidence that, by itself or when considered with previous evidence of record, relates to an unestablished fact necessary to substantiate the claim.  New and material evidence can be neither cumulative nor redundant of the evidence of record at the time of the last prior final denial of the claim sought to be reopened, and must raise a reasonable possibility of substantiating the claim.</w:t>
      </w:r>
    </w:p>
    <w:p w:rsidR="00F407C6" w:rsidRPr="00F407C6" w:rsidRDefault="00F407C6" w:rsidP="00F407C6">
      <w:pPr>
        <w:tabs>
          <w:tab w:val="left" w:pos="720"/>
        </w:tabs>
        <w:ind w:left="720"/>
        <w:rPr>
          <w:color w:val="808080" w:themeColor="background1" w:themeShade="80"/>
          <w:sz w:val="22"/>
          <w:szCs w:val="22"/>
        </w:rPr>
      </w:pPr>
    </w:p>
    <w:p w:rsidR="00F407C6" w:rsidRPr="00F407C6" w:rsidRDefault="00F407C6" w:rsidP="00F407C6">
      <w:pPr>
        <w:tabs>
          <w:tab w:val="left" w:pos="720"/>
        </w:tabs>
        <w:ind w:left="720"/>
        <w:rPr>
          <w:color w:val="808080" w:themeColor="background1" w:themeShade="80"/>
          <w:sz w:val="22"/>
          <w:szCs w:val="22"/>
        </w:rPr>
      </w:pPr>
      <w:r w:rsidRPr="00F407C6">
        <w:rPr>
          <w:color w:val="808080" w:themeColor="background1" w:themeShade="80"/>
          <w:sz w:val="22"/>
          <w:szCs w:val="22"/>
        </w:rPr>
        <w:t xml:space="preserve">The evidence from </w:t>
      </w:r>
      <w:r w:rsidR="00A46221">
        <w:rPr>
          <w:color w:val="808080" w:themeColor="background1" w:themeShade="80"/>
          <w:sz w:val="22"/>
          <w:szCs w:val="22"/>
        </w:rPr>
        <w:t>{}</w:t>
      </w:r>
      <w:r w:rsidR="00A46221" w:rsidRPr="00F407C6">
        <w:rPr>
          <w:color w:val="808080" w:themeColor="background1" w:themeShade="80"/>
          <w:sz w:val="22"/>
          <w:szCs w:val="22"/>
        </w:rPr>
        <w:t xml:space="preserve"> </w:t>
      </w:r>
      <w:r w:rsidRPr="00F407C6">
        <w:rPr>
          <w:color w:val="808080" w:themeColor="background1" w:themeShade="80"/>
          <w:sz w:val="22"/>
          <w:szCs w:val="22"/>
        </w:rPr>
        <w:t xml:space="preserve">submitted in connection with the current claim does not constitute new and material evidence because it was previously submitted and considered in the rating decision of </w:t>
      </w:r>
      <w:r w:rsidR="00A46221">
        <w:rPr>
          <w:color w:val="808080" w:themeColor="background1" w:themeShade="80"/>
          <w:sz w:val="22"/>
          <w:szCs w:val="22"/>
        </w:rPr>
        <w:t>{}</w:t>
      </w:r>
      <w:r w:rsidRPr="00F407C6">
        <w:rPr>
          <w:color w:val="808080" w:themeColor="background1" w:themeShade="80"/>
          <w:sz w:val="22"/>
          <w:szCs w:val="22"/>
        </w:rPr>
        <w:t>.</w:t>
      </w:r>
    </w:p>
    <w:p w:rsidR="00F407C6" w:rsidRDefault="00F407C6" w:rsidP="00F407C6">
      <w:pPr>
        <w:rPr>
          <w:color w:val="808080" w:themeColor="background1" w:themeShade="80"/>
          <w:sz w:val="22"/>
          <w:szCs w:val="22"/>
        </w:rPr>
      </w:pPr>
    </w:p>
    <w:p w:rsidR="00647F01" w:rsidRDefault="00647F01" w:rsidP="00647F01">
      <w:pPr>
        <w:pBdr>
          <w:top w:val="single" w:sz="4" w:space="1" w:color="auto"/>
          <w:left w:val="single" w:sz="4" w:space="4" w:color="auto"/>
          <w:bottom w:val="single" w:sz="4" w:space="1" w:color="auto"/>
          <w:right w:val="single" w:sz="4" w:space="4" w:color="auto"/>
        </w:pBdr>
        <w:rPr>
          <w:color w:val="808080" w:themeColor="background1" w:themeShade="80"/>
          <w:sz w:val="22"/>
          <w:szCs w:val="22"/>
        </w:rPr>
      </w:pPr>
      <w:r>
        <w:rPr>
          <w:color w:val="808080" w:themeColor="background1" w:themeShade="80"/>
          <w:sz w:val="22"/>
          <w:szCs w:val="22"/>
        </w:rPr>
        <w:t xml:space="preserve">Issue:  </w:t>
      </w:r>
      <w:r w:rsidRPr="00647F01">
        <w:rPr>
          <w:color w:val="808080" w:themeColor="background1" w:themeShade="80"/>
          <w:sz w:val="22"/>
          <w:szCs w:val="22"/>
        </w:rPr>
        <w:t xml:space="preserve">Service connection for </w:t>
      </w:r>
      <w:r>
        <w:rPr>
          <w:color w:val="808080" w:themeColor="background1" w:themeShade="80"/>
          <w:sz w:val="22"/>
          <w:szCs w:val="22"/>
        </w:rPr>
        <w:t>{}.</w:t>
      </w:r>
    </w:p>
    <w:p w:rsidR="00647F01" w:rsidRDefault="00647F01" w:rsidP="00647F01">
      <w:pPr>
        <w:pBdr>
          <w:top w:val="single" w:sz="4" w:space="1" w:color="auto"/>
          <w:left w:val="single" w:sz="4" w:space="4" w:color="auto"/>
          <w:bottom w:val="single" w:sz="4" w:space="1" w:color="auto"/>
          <w:right w:val="single" w:sz="4" w:space="4" w:color="auto"/>
        </w:pBdr>
        <w:rPr>
          <w:color w:val="808080" w:themeColor="background1" w:themeShade="80"/>
          <w:sz w:val="22"/>
          <w:szCs w:val="22"/>
        </w:rPr>
      </w:pPr>
      <w:r>
        <w:rPr>
          <w:color w:val="808080" w:themeColor="background1" w:themeShade="80"/>
          <w:sz w:val="22"/>
          <w:szCs w:val="22"/>
        </w:rPr>
        <w:t xml:space="preserve">Decision:  </w:t>
      </w:r>
      <w:r w:rsidRPr="00647F01">
        <w:rPr>
          <w:color w:val="808080" w:themeColor="background1" w:themeShade="80"/>
          <w:sz w:val="22"/>
          <w:szCs w:val="22"/>
        </w:rPr>
        <w:t xml:space="preserve">The claim for service connection for </w:t>
      </w:r>
      <w:r>
        <w:rPr>
          <w:color w:val="808080" w:themeColor="background1" w:themeShade="80"/>
          <w:sz w:val="22"/>
          <w:szCs w:val="22"/>
        </w:rPr>
        <w:t xml:space="preserve">{} </w:t>
      </w:r>
      <w:r w:rsidRPr="00647F01">
        <w:rPr>
          <w:color w:val="808080" w:themeColor="background1" w:themeShade="80"/>
          <w:sz w:val="22"/>
          <w:szCs w:val="22"/>
        </w:rPr>
        <w:t>remains denied because the evidence submitted is not new and material.</w:t>
      </w:r>
    </w:p>
    <w:p w:rsidR="008D1357" w:rsidRDefault="008D1357" w:rsidP="00F407C6">
      <w:pPr>
        <w:rPr>
          <w:color w:val="808080" w:themeColor="background1" w:themeShade="80"/>
          <w:sz w:val="22"/>
          <w:szCs w:val="22"/>
        </w:rPr>
      </w:pPr>
    </w:p>
    <w:p w:rsidR="008D1357" w:rsidRDefault="008D1357" w:rsidP="008D1357">
      <w:pPr>
        <w:rPr>
          <w:i/>
          <w:sz w:val="22"/>
          <w:szCs w:val="22"/>
        </w:rPr>
      </w:pPr>
      <w:r w:rsidRPr="0010111B">
        <w:rPr>
          <w:i/>
          <w:sz w:val="22"/>
          <w:szCs w:val="22"/>
        </w:rPr>
        <w:t xml:space="preserve">If </w:t>
      </w:r>
      <w:r>
        <w:rPr>
          <w:i/>
          <w:sz w:val="22"/>
          <w:szCs w:val="22"/>
        </w:rPr>
        <w:t xml:space="preserve">the decision is </w:t>
      </w:r>
      <w:r>
        <w:rPr>
          <w:i/>
          <w:color w:val="FF0000"/>
          <w:sz w:val="22"/>
          <w:szCs w:val="22"/>
        </w:rPr>
        <w:t>Individual Unemployability Denied</w:t>
      </w:r>
      <w:r>
        <w:rPr>
          <w:i/>
          <w:sz w:val="22"/>
          <w:szCs w:val="22"/>
        </w:rPr>
        <w:t xml:space="preserve">, also have these FOUR choices </w:t>
      </w:r>
      <w:r w:rsidRPr="008D1357">
        <w:rPr>
          <w:i/>
        </w:rPr>
        <w:t xml:space="preserve">(**first sentence in each of these choices is similar to IU Denial Reason): </w:t>
      </w:r>
    </w:p>
    <w:p w:rsidR="008D1357" w:rsidRDefault="008D1357" w:rsidP="008D1357">
      <w:pPr>
        <w:tabs>
          <w:tab w:val="left" w:pos="720"/>
        </w:tabs>
        <w:ind w:left="720"/>
        <w:rPr>
          <w:i/>
          <w:sz w:val="22"/>
          <w:szCs w:val="22"/>
        </w:rPr>
      </w:pPr>
      <w:r>
        <w:rPr>
          <w:i/>
          <w:color w:val="FF0000"/>
          <w:sz w:val="22"/>
          <w:szCs w:val="22"/>
        </w:rPr>
        <w:t>IU Deny - Schedular:</w:t>
      </w:r>
    </w:p>
    <w:p w:rsidR="008D1357" w:rsidRDefault="008D1357" w:rsidP="008D1357">
      <w:pPr>
        <w:tabs>
          <w:tab w:val="left" w:pos="810"/>
        </w:tabs>
        <w:ind w:left="720"/>
        <w:rPr>
          <w:color w:val="808080" w:themeColor="background1" w:themeShade="80"/>
          <w:sz w:val="22"/>
          <w:szCs w:val="22"/>
        </w:rPr>
      </w:pPr>
      <w:r w:rsidRPr="008D1357">
        <w:rPr>
          <w:color w:val="808080" w:themeColor="background1" w:themeShade="80"/>
          <w:sz w:val="22"/>
          <w:szCs w:val="22"/>
        </w:rPr>
        <w:t>Entitlement to individual unemployability is denied because the claimant has not been found unable to secure or follow a substantially gainful occupation as a result of service connected disabilities.  Service connected disabi</w:t>
      </w:r>
      <w:r w:rsidR="00A46221">
        <w:rPr>
          <w:color w:val="808080" w:themeColor="background1" w:themeShade="80"/>
          <w:sz w:val="22"/>
          <w:szCs w:val="22"/>
        </w:rPr>
        <w:t>lities currently evaluated as {}</w:t>
      </w:r>
      <w:r w:rsidR="00A46221" w:rsidRPr="00F407C6">
        <w:rPr>
          <w:color w:val="808080" w:themeColor="background1" w:themeShade="80"/>
          <w:sz w:val="22"/>
          <w:szCs w:val="22"/>
        </w:rPr>
        <w:t xml:space="preserve"> </w:t>
      </w:r>
      <w:r w:rsidRPr="008D1357">
        <w:rPr>
          <w:color w:val="808080" w:themeColor="background1" w:themeShade="80"/>
          <w:sz w:val="22"/>
          <w:szCs w:val="22"/>
        </w:rPr>
        <w:t xml:space="preserve">percent do not meet the schedular requirements for entitlement to individual unemployability.  38 CFR 4.16 provides that individual unemployability may be granted where there is one disability evaluated as 60 percent disabling, or two or more disabilities, one of which is 40 percent with a combined evaluation of 70 percent or more.  These percentage standards are set aside only when the evidence clearly and factually shows the veteran has been rendered unemployable solely due to service connected disabilities </w:t>
      </w:r>
      <w:r w:rsidRPr="008D1357">
        <w:rPr>
          <w:color w:val="808080" w:themeColor="background1" w:themeShade="80"/>
          <w:sz w:val="22"/>
          <w:szCs w:val="22"/>
        </w:rPr>
        <w:lastRenderedPageBreak/>
        <w:t>regardless of their individual and combined percentages.  Such cases are submitted to the Director of the Compensation and Pension Service for extra-schedular consideration.  This case has not been submitted for extra-schedular consideration because the evidence fails to show the veteran is unemployable due to service connected disabilities.  (38 CFR 4.16)</w:t>
      </w:r>
    </w:p>
    <w:p w:rsidR="008D1357" w:rsidRDefault="008D1357" w:rsidP="008D1357">
      <w:pPr>
        <w:tabs>
          <w:tab w:val="left" w:pos="720"/>
        </w:tabs>
        <w:ind w:left="720"/>
        <w:rPr>
          <w:i/>
          <w:sz w:val="22"/>
          <w:szCs w:val="22"/>
        </w:rPr>
      </w:pPr>
      <w:r>
        <w:rPr>
          <w:i/>
          <w:color w:val="FF0000"/>
          <w:sz w:val="22"/>
          <w:szCs w:val="22"/>
        </w:rPr>
        <w:t>IU Deny - Capable of Employment:</w:t>
      </w:r>
    </w:p>
    <w:p w:rsidR="008D1357" w:rsidRDefault="008D1357" w:rsidP="008D1357">
      <w:pPr>
        <w:tabs>
          <w:tab w:val="left" w:pos="720"/>
        </w:tabs>
        <w:ind w:left="720"/>
        <w:rPr>
          <w:color w:val="808080" w:themeColor="background1" w:themeShade="80"/>
          <w:sz w:val="22"/>
          <w:szCs w:val="22"/>
        </w:rPr>
      </w:pPr>
      <w:r w:rsidRPr="008D1357">
        <w:rPr>
          <w:color w:val="808080" w:themeColor="background1" w:themeShade="80"/>
          <w:sz w:val="22"/>
          <w:szCs w:val="22"/>
        </w:rPr>
        <w:t>Entitlement to individual unemployability is denied because the claimant has not been found unable to secure or follow a substantially gainful occupation as a result of service connected disabilities.  The veteran is considered capable of gainful employment. {38 CFR 4.16}</w:t>
      </w:r>
    </w:p>
    <w:p w:rsidR="008D1357" w:rsidRDefault="008D1357" w:rsidP="008D1357">
      <w:pPr>
        <w:tabs>
          <w:tab w:val="left" w:pos="720"/>
        </w:tabs>
        <w:ind w:left="720"/>
        <w:rPr>
          <w:i/>
          <w:sz w:val="22"/>
          <w:szCs w:val="22"/>
        </w:rPr>
      </w:pPr>
      <w:r>
        <w:rPr>
          <w:i/>
          <w:color w:val="FF0000"/>
          <w:sz w:val="22"/>
          <w:szCs w:val="22"/>
        </w:rPr>
        <w:t>IU Deny - NSC Caused:</w:t>
      </w:r>
    </w:p>
    <w:p w:rsidR="008D1357" w:rsidRDefault="008D1357" w:rsidP="008D1357">
      <w:pPr>
        <w:tabs>
          <w:tab w:val="left" w:pos="720"/>
        </w:tabs>
        <w:ind w:left="720"/>
        <w:rPr>
          <w:color w:val="808080" w:themeColor="background1" w:themeShade="80"/>
          <w:sz w:val="22"/>
          <w:szCs w:val="22"/>
        </w:rPr>
      </w:pPr>
      <w:r w:rsidRPr="008D1357">
        <w:rPr>
          <w:color w:val="808080" w:themeColor="background1" w:themeShade="80"/>
          <w:sz w:val="22"/>
          <w:szCs w:val="22"/>
        </w:rPr>
        <w:t>Entitlement to individual unemployability is denied because the claimant has not been found unable to secure or follow a substantially gainful occupation as a result of service connected disabilities.  The veteran is considered unemployable due to nonservice-connected factors. The service connected disabilities, when considered apart from the nonservice-connected conditions, are not the cause of unemployability. {38 CFR 4.16}</w:t>
      </w:r>
    </w:p>
    <w:p w:rsidR="008D1357" w:rsidRDefault="008D1357" w:rsidP="008D1357">
      <w:pPr>
        <w:tabs>
          <w:tab w:val="left" w:pos="720"/>
        </w:tabs>
        <w:ind w:left="720"/>
        <w:rPr>
          <w:i/>
          <w:sz w:val="22"/>
          <w:szCs w:val="22"/>
        </w:rPr>
      </w:pPr>
      <w:r>
        <w:rPr>
          <w:i/>
          <w:color w:val="FF0000"/>
          <w:sz w:val="22"/>
          <w:szCs w:val="22"/>
        </w:rPr>
        <w:t>IU Deny - Employed:</w:t>
      </w:r>
    </w:p>
    <w:p w:rsidR="008D1357" w:rsidRDefault="008D1357" w:rsidP="008D1357">
      <w:pPr>
        <w:ind w:left="720"/>
        <w:rPr>
          <w:color w:val="808080" w:themeColor="background1" w:themeShade="80"/>
          <w:sz w:val="22"/>
          <w:szCs w:val="22"/>
        </w:rPr>
      </w:pPr>
      <w:r w:rsidRPr="008D1357">
        <w:rPr>
          <w:color w:val="808080" w:themeColor="background1" w:themeShade="80"/>
          <w:sz w:val="22"/>
          <w:szCs w:val="22"/>
        </w:rPr>
        <w:t>Entitlement to individual unemployability is denied because the claimant has not been found unable to secure or follow a substantially gainful occupation as a result of service connected disabilities.  The Veteran is considered gainfully employed. {38 CFR 4.16}</w:t>
      </w:r>
    </w:p>
    <w:p w:rsidR="00B759D3" w:rsidRDefault="00B759D3" w:rsidP="008D1357">
      <w:pPr>
        <w:ind w:left="720"/>
        <w:rPr>
          <w:color w:val="808080" w:themeColor="background1" w:themeShade="80"/>
          <w:sz w:val="22"/>
          <w:szCs w:val="22"/>
        </w:rPr>
      </w:pPr>
    </w:p>
    <w:p w:rsidR="00B759D3" w:rsidRPr="00B759D3" w:rsidRDefault="00B759D3" w:rsidP="00B759D3">
      <w:pPr>
        <w:rPr>
          <w:i/>
          <w:sz w:val="22"/>
          <w:szCs w:val="22"/>
        </w:rPr>
      </w:pPr>
      <w:r w:rsidRPr="00B759D3">
        <w:rPr>
          <w:i/>
          <w:sz w:val="22"/>
          <w:szCs w:val="22"/>
        </w:rPr>
        <w:t>If the Special Issue</w:t>
      </w:r>
      <w:r w:rsidR="005B451B">
        <w:rPr>
          <w:i/>
          <w:sz w:val="22"/>
          <w:szCs w:val="22"/>
        </w:rPr>
        <w:t xml:space="preserve"> in</w:t>
      </w:r>
      <w:r w:rsidRPr="00B759D3">
        <w:rPr>
          <w:i/>
          <w:sz w:val="22"/>
          <w:szCs w:val="22"/>
        </w:rPr>
        <w:t xml:space="preserve"> </w:t>
      </w:r>
      <w:r w:rsidR="005B451B">
        <w:rPr>
          <w:rFonts w:ascii="Verdana" w:hAnsi="Verdana"/>
          <w:b/>
          <w:bCs/>
          <w:highlight w:val="green"/>
        </w:rPr>
        <w:t>VBMS-R</w:t>
      </w:r>
      <w:r w:rsidR="005B451B" w:rsidRPr="00B759D3">
        <w:rPr>
          <w:i/>
          <w:sz w:val="22"/>
          <w:szCs w:val="22"/>
        </w:rPr>
        <w:t xml:space="preserve"> </w:t>
      </w:r>
      <w:r w:rsidRPr="00B759D3">
        <w:rPr>
          <w:i/>
          <w:sz w:val="22"/>
          <w:szCs w:val="22"/>
        </w:rPr>
        <w:t xml:space="preserve">is </w:t>
      </w:r>
      <w:r w:rsidRPr="00B759D3">
        <w:rPr>
          <w:i/>
          <w:color w:val="FF0000"/>
          <w:sz w:val="22"/>
          <w:szCs w:val="22"/>
        </w:rPr>
        <w:t>Environmental Hazard in Gulf War-Undiagnosed Illness</w:t>
      </w:r>
      <w:r w:rsidR="00995F26">
        <w:rPr>
          <w:i/>
          <w:color w:val="FF0000"/>
          <w:sz w:val="22"/>
          <w:szCs w:val="22"/>
        </w:rPr>
        <w:t xml:space="preserve"> (&amp; </w:t>
      </w:r>
      <w:r w:rsidR="00995F26" w:rsidRPr="00B759D3">
        <w:rPr>
          <w:i/>
          <w:color w:val="FF0000"/>
          <w:sz w:val="22"/>
          <w:szCs w:val="22"/>
        </w:rPr>
        <w:t>Environmental Hazard in Gulf War-</w:t>
      </w:r>
      <w:r w:rsidR="00995F26">
        <w:rPr>
          <w:i/>
          <w:color w:val="FF0000"/>
          <w:sz w:val="22"/>
          <w:szCs w:val="22"/>
        </w:rPr>
        <w:t xml:space="preserve">Other Unidentified; </w:t>
      </w:r>
      <w:r w:rsidR="00995F26" w:rsidRPr="00B759D3">
        <w:rPr>
          <w:i/>
          <w:color w:val="FF0000"/>
          <w:sz w:val="22"/>
          <w:szCs w:val="22"/>
        </w:rPr>
        <w:t>Environmental Hazard in Gulf War-</w:t>
      </w:r>
      <w:r w:rsidR="00995F26">
        <w:rPr>
          <w:i/>
          <w:color w:val="FF0000"/>
          <w:sz w:val="22"/>
          <w:szCs w:val="22"/>
        </w:rPr>
        <w:t xml:space="preserve">Environmental; </w:t>
      </w:r>
      <w:r w:rsidR="00995F26" w:rsidRPr="00B759D3">
        <w:rPr>
          <w:i/>
          <w:color w:val="FF0000"/>
          <w:sz w:val="22"/>
          <w:szCs w:val="22"/>
        </w:rPr>
        <w:t>Environmental Hazard in Gulf War-</w:t>
      </w:r>
      <w:r w:rsidR="00995F26">
        <w:rPr>
          <w:i/>
          <w:color w:val="FF0000"/>
          <w:sz w:val="22"/>
          <w:szCs w:val="22"/>
        </w:rPr>
        <w:t>Diagnosed-Biological)</w:t>
      </w:r>
      <w:r w:rsidRPr="00B759D3">
        <w:rPr>
          <w:i/>
          <w:color w:val="FF0000"/>
          <w:sz w:val="22"/>
          <w:szCs w:val="22"/>
        </w:rPr>
        <w:t>,</w:t>
      </w:r>
      <w:r>
        <w:rPr>
          <w:i/>
          <w:sz w:val="22"/>
          <w:szCs w:val="22"/>
        </w:rPr>
        <w:t>also have the</w:t>
      </w:r>
      <w:r w:rsidRPr="00B759D3">
        <w:rPr>
          <w:i/>
          <w:sz w:val="22"/>
          <w:szCs w:val="22"/>
        </w:rPr>
        <w:t xml:space="preserve"> FOUR choices</w:t>
      </w:r>
      <w:r>
        <w:rPr>
          <w:i/>
          <w:sz w:val="22"/>
          <w:szCs w:val="22"/>
        </w:rPr>
        <w:t xml:space="preserve"> below</w:t>
      </w:r>
      <w:r w:rsidRPr="00B759D3">
        <w:rPr>
          <w:i/>
          <w:sz w:val="22"/>
          <w:szCs w:val="22"/>
        </w:rPr>
        <w:t xml:space="preserve">: </w:t>
      </w:r>
    </w:p>
    <w:p w:rsidR="00A351A1" w:rsidRDefault="00B759D3" w:rsidP="00B759D3">
      <w:pPr>
        <w:rPr>
          <w:color w:val="808080"/>
          <w:sz w:val="22"/>
          <w:szCs w:val="22"/>
        </w:rPr>
      </w:pPr>
      <w:r w:rsidRPr="00B759D3">
        <w:rPr>
          <w:color w:val="808080"/>
          <w:sz w:val="22"/>
          <w:szCs w:val="22"/>
        </w:rPr>
        <w:t xml:space="preserve">The "Persian Gulf War Veterans' Benefits Act" authorizes VA to compensate any Gulf veteran suffering from a "qualifying chronic disability," resulting from an undiagnosed illness or combination of undiagnosed illnesses, appearing either during active duty in the Southwest Asia theater of operations during the Gulf War, or to a degree of 10 percent or more within a presumptive period following service in the theater. Section 202 of the "Veterans Education and Benefits Expansion Act of 2001" expanded the definition of "qualifying chronic disability" to include (1) a medically unexplained chronic multi-symptom illness (such as chronic fatigue syndrome, fibromyalgia, and irritable bowel syndrome) that is defined by a cluster of signs or symptoms; and (2) any diagnosed illness that the Secretary of the VA determines in regulations warrants a presumption of service-connection. </w:t>
      </w:r>
    </w:p>
    <w:p w:rsidR="00A351A1" w:rsidRDefault="00A351A1" w:rsidP="00B759D3">
      <w:pPr>
        <w:rPr>
          <w:color w:val="808080"/>
          <w:sz w:val="22"/>
          <w:szCs w:val="22"/>
        </w:rPr>
      </w:pPr>
    </w:p>
    <w:p w:rsidR="00B759D3" w:rsidRDefault="00B759D3" w:rsidP="00B759D3">
      <w:pPr>
        <w:rPr>
          <w:color w:val="808080"/>
          <w:sz w:val="22"/>
          <w:szCs w:val="22"/>
        </w:rPr>
      </w:pPr>
      <w:r w:rsidRPr="00B759D3">
        <w:rPr>
          <w:color w:val="808080"/>
          <w:sz w:val="22"/>
          <w:szCs w:val="22"/>
        </w:rPr>
        <w:t>To fulfill the requirement for chronicity, the claimed illness must have persisted for a period of 6 months. The 6-month period of chronicity is measured from the earliest date on which all pertinent evidence establishes that the signs or symptoms of the disability first became manifest.</w:t>
      </w:r>
    </w:p>
    <w:p w:rsidR="00E07978" w:rsidRDefault="00E07978" w:rsidP="00E07978">
      <w:pPr>
        <w:rPr>
          <w:szCs w:val="22"/>
        </w:rPr>
      </w:pPr>
      <w:r>
        <w:rPr>
          <w:szCs w:val="22"/>
        </w:rPr>
        <w:t>**p</w:t>
      </w:r>
      <w:r w:rsidRPr="00E21FA7">
        <w:rPr>
          <w:szCs w:val="22"/>
        </w:rPr>
        <w:t xml:space="preserve">er </w:t>
      </w:r>
      <w:r>
        <w:rPr>
          <w:b/>
          <w:szCs w:val="22"/>
        </w:rPr>
        <w:t>IV.ii.2.D.5.b</w:t>
      </w:r>
      <w:r>
        <w:rPr>
          <w:szCs w:val="22"/>
        </w:rPr>
        <w:t>, the</w:t>
      </w:r>
      <w:r w:rsidRPr="00E21FA7">
        <w:rPr>
          <w:szCs w:val="22"/>
        </w:rPr>
        <w:t xml:space="preserve"> paragraph</w:t>
      </w:r>
      <w:r>
        <w:rPr>
          <w:szCs w:val="22"/>
        </w:rPr>
        <w:t>s</w:t>
      </w:r>
      <w:r w:rsidRPr="00E21FA7">
        <w:rPr>
          <w:szCs w:val="22"/>
        </w:rPr>
        <w:t xml:space="preserve"> </w:t>
      </w:r>
      <w:r>
        <w:rPr>
          <w:szCs w:val="22"/>
        </w:rPr>
        <w:t>are</w:t>
      </w:r>
      <w:r w:rsidRPr="00E21FA7">
        <w:rPr>
          <w:szCs w:val="22"/>
        </w:rPr>
        <w:t xml:space="preserve"> required in all denials</w:t>
      </w:r>
      <w:r>
        <w:rPr>
          <w:szCs w:val="22"/>
        </w:rPr>
        <w:t xml:space="preserve"> of undiagnosed illness &amp; MUCMIs, infectious diseases has additional paragraph</w:t>
      </w:r>
    </w:p>
    <w:p w:rsidR="00952CE6" w:rsidRDefault="00952CE6" w:rsidP="00952CE6">
      <w:pPr>
        <w:tabs>
          <w:tab w:val="left" w:pos="720"/>
        </w:tabs>
        <w:rPr>
          <w:i/>
          <w:szCs w:val="22"/>
        </w:rPr>
      </w:pPr>
    </w:p>
    <w:p w:rsidR="00E07978" w:rsidRDefault="00654266" w:rsidP="00952CE6">
      <w:pPr>
        <w:tabs>
          <w:tab w:val="left" w:pos="720"/>
        </w:tabs>
        <w:rPr>
          <w:szCs w:val="22"/>
        </w:rPr>
      </w:pPr>
      <w:r>
        <w:rPr>
          <w:szCs w:val="22"/>
        </w:rPr>
        <w:t xml:space="preserve">eff 8/1/17, </w:t>
      </w:r>
      <w:r w:rsidR="00E21FA7" w:rsidRPr="00E21FA7">
        <w:rPr>
          <w:b/>
          <w:szCs w:val="22"/>
        </w:rPr>
        <w:t>IV.ii.2.D.5.</w:t>
      </w:r>
      <w:r w:rsidR="00E07978">
        <w:rPr>
          <w:b/>
          <w:szCs w:val="22"/>
        </w:rPr>
        <w:t xml:space="preserve">c </w:t>
      </w:r>
      <w:r w:rsidR="00E07978" w:rsidRPr="00E07978">
        <w:rPr>
          <w:szCs w:val="22"/>
        </w:rPr>
        <w:t>shows:</w:t>
      </w:r>
    </w:p>
    <w:p w:rsidR="00E07978" w:rsidRPr="008467B8" w:rsidRDefault="00654266" w:rsidP="00B759D3">
      <w:pPr>
        <w:tabs>
          <w:tab w:val="left" w:pos="720"/>
        </w:tabs>
        <w:ind w:left="720"/>
        <w:rPr>
          <w:i/>
        </w:rPr>
      </w:pPr>
      <w:r w:rsidRPr="00654266">
        <w:t>N</w:t>
      </w:r>
      <w:r>
        <w:t>OT</w:t>
      </w:r>
      <w:r w:rsidRPr="00654266">
        <w:t xml:space="preserve"> </w:t>
      </w:r>
      <w:r w:rsidR="00952CE6">
        <w:t>an option i</w:t>
      </w:r>
      <w:r w:rsidRPr="00654266">
        <w:t>n</w:t>
      </w:r>
      <w:r w:rsidRPr="00654266">
        <w:rPr>
          <w:i/>
        </w:rPr>
        <w:t xml:space="preserve"> </w:t>
      </w:r>
      <w:r w:rsidRPr="0099386D">
        <w:rPr>
          <w:rFonts w:ascii="Verdana" w:hAnsi="Verdana"/>
          <w:b/>
          <w:highlight w:val="green"/>
        </w:rPr>
        <w:t>VBMS-R</w:t>
      </w:r>
      <w:r w:rsidRPr="00654266">
        <w:rPr>
          <w:rFonts w:ascii="Verdana" w:hAnsi="Verdana"/>
          <w:b/>
        </w:rPr>
        <w:t xml:space="preserve"> - </w:t>
      </w:r>
      <w:r w:rsidR="00E07978" w:rsidRPr="008467B8">
        <w:rPr>
          <w:i/>
        </w:rPr>
        <w:t>No Southwest Asia service:</w:t>
      </w:r>
    </w:p>
    <w:p w:rsidR="00E07978" w:rsidRDefault="00E07978" w:rsidP="00B759D3">
      <w:pPr>
        <w:tabs>
          <w:tab w:val="left" w:pos="720"/>
        </w:tabs>
        <w:ind w:left="720"/>
        <w:rPr>
          <w:b/>
          <w:szCs w:val="22"/>
        </w:rPr>
      </w:pPr>
      <w:r w:rsidRPr="008467B8">
        <w:rPr>
          <w:i/>
          <w:iCs/>
        </w:rPr>
        <w:t xml:space="preserve">If evidence demonstrates service in the Southwest Asia theater of operations, service connection may be granted on a presumptive basis for certain qualifying chronic disabilities if the condition became manifest either during active military, naval, or air service in the Southwest Asia theater of operations, or to a degree of 10 percent or more not later than December 31, 2021.  Service connection for </w:t>
      </w:r>
      <w:r w:rsidRPr="008467B8">
        <w:rPr>
          <w:b/>
          <w:bCs/>
        </w:rPr>
        <w:t>[enter disability]</w:t>
      </w:r>
      <w:r w:rsidRPr="008467B8">
        <w:rPr>
          <w:i/>
          <w:iCs/>
        </w:rPr>
        <w:t xml:space="preserve"> is denied, because the required service is not shown.</w:t>
      </w:r>
    </w:p>
    <w:p w:rsidR="00952CE6" w:rsidRDefault="00952CE6" w:rsidP="00B759D3">
      <w:pPr>
        <w:tabs>
          <w:tab w:val="left" w:pos="720"/>
        </w:tabs>
        <w:ind w:left="720"/>
        <w:rPr>
          <w:i/>
          <w:color w:val="FF0000"/>
          <w:sz w:val="22"/>
          <w:szCs w:val="22"/>
        </w:rPr>
      </w:pPr>
    </w:p>
    <w:p w:rsidR="00B759D3" w:rsidRPr="00B759D3" w:rsidRDefault="00B759D3" w:rsidP="00B759D3">
      <w:pPr>
        <w:tabs>
          <w:tab w:val="left" w:pos="720"/>
        </w:tabs>
        <w:ind w:left="720"/>
        <w:rPr>
          <w:i/>
          <w:sz w:val="22"/>
          <w:szCs w:val="22"/>
        </w:rPr>
      </w:pPr>
      <w:r w:rsidRPr="00B759D3">
        <w:rPr>
          <w:i/>
          <w:color w:val="FF0000"/>
          <w:sz w:val="22"/>
          <w:szCs w:val="22"/>
        </w:rPr>
        <w:t>Deny – Attributable to Other Etiology:</w:t>
      </w:r>
    </w:p>
    <w:p w:rsidR="00B759D3" w:rsidRDefault="00B759D3" w:rsidP="00B759D3">
      <w:pPr>
        <w:tabs>
          <w:tab w:val="left" w:pos="720"/>
        </w:tabs>
        <w:ind w:left="720"/>
        <w:rPr>
          <w:color w:val="808080"/>
          <w:sz w:val="22"/>
          <w:szCs w:val="22"/>
        </w:rPr>
      </w:pPr>
      <w:r w:rsidRPr="00B759D3">
        <w:rPr>
          <w:color w:val="808080"/>
          <w:sz w:val="22"/>
          <w:szCs w:val="22"/>
        </w:rPr>
        <w:t xml:space="preserve">Service connection under this provision is precluded if there is affirmative evidence that the disability was unrelated to service in the Gulf War. Service connection for </w:t>
      </w:r>
      <w:r w:rsidR="00A46221">
        <w:rPr>
          <w:color w:val="808080" w:themeColor="background1" w:themeShade="80"/>
          <w:sz w:val="22"/>
          <w:szCs w:val="22"/>
        </w:rPr>
        <w:t>{}</w:t>
      </w:r>
      <w:r w:rsidR="00A46221" w:rsidRPr="00F407C6">
        <w:rPr>
          <w:color w:val="808080" w:themeColor="background1" w:themeShade="80"/>
          <w:sz w:val="22"/>
          <w:szCs w:val="22"/>
        </w:rPr>
        <w:t xml:space="preserve"> </w:t>
      </w:r>
      <w:r w:rsidRPr="00B759D3">
        <w:rPr>
          <w:color w:val="808080"/>
          <w:sz w:val="22"/>
          <w:szCs w:val="22"/>
        </w:rPr>
        <w:t xml:space="preserve">is denied because evidence established that </w:t>
      </w:r>
      <w:r w:rsidR="00A46221">
        <w:rPr>
          <w:color w:val="808080"/>
          <w:sz w:val="22"/>
          <w:szCs w:val="22"/>
        </w:rPr>
        <w:t xml:space="preserve">this disability resulted from </w:t>
      </w:r>
      <w:r w:rsidR="00A46221">
        <w:rPr>
          <w:color w:val="808080" w:themeColor="background1" w:themeShade="80"/>
          <w:sz w:val="22"/>
          <w:szCs w:val="22"/>
        </w:rPr>
        <w:t>{}</w:t>
      </w:r>
      <w:r w:rsidRPr="00B759D3">
        <w:rPr>
          <w:color w:val="808080"/>
          <w:sz w:val="22"/>
          <w:szCs w:val="22"/>
        </w:rPr>
        <w:t>.</w:t>
      </w:r>
    </w:p>
    <w:p w:rsidR="00952CE6" w:rsidRPr="00B759D3" w:rsidRDefault="00952CE6" w:rsidP="00B759D3">
      <w:pPr>
        <w:tabs>
          <w:tab w:val="left" w:pos="720"/>
        </w:tabs>
        <w:ind w:left="720"/>
        <w:rPr>
          <w:color w:val="808080"/>
          <w:sz w:val="22"/>
          <w:szCs w:val="22"/>
        </w:rPr>
      </w:pPr>
      <w:r>
        <w:rPr>
          <w:szCs w:val="22"/>
        </w:rPr>
        <w:t xml:space="preserve">eff 8/1/17, </w:t>
      </w:r>
      <w:r w:rsidRPr="00E21FA7">
        <w:rPr>
          <w:b/>
          <w:szCs w:val="22"/>
        </w:rPr>
        <w:t>IV.ii.2.D.5.</w:t>
      </w:r>
      <w:r>
        <w:rPr>
          <w:b/>
          <w:szCs w:val="22"/>
        </w:rPr>
        <w:t xml:space="preserve">c </w:t>
      </w:r>
      <w:r w:rsidRPr="00654266">
        <w:rPr>
          <w:szCs w:val="22"/>
        </w:rPr>
        <w:t>shows</w:t>
      </w:r>
      <w:r>
        <w:rPr>
          <w:szCs w:val="22"/>
        </w:rPr>
        <w:t xml:space="preserve"> this, which is </w:t>
      </w:r>
      <w:r>
        <w:t xml:space="preserve">different from the above </w:t>
      </w:r>
      <w:r w:rsidR="00C551BE">
        <w:rPr>
          <w:rFonts w:ascii="Verdana" w:hAnsi="Verdana"/>
          <w:b/>
          <w:highlight w:val="green"/>
        </w:rPr>
        <w:t>VBMS-R System-Generated Text</w:t>
      </w:r>
      <w:r w:rsidRPr="00654266">
        <w:rPr>
          <w:szCs w:val="22"/>
        </w:rPr>
        <w:t>:</w:t>
      </w:r>
      <w:r>
        <w:rPr>
          <w:b/>
          <w:szCs w:val="22"/>
        </w:rPr>
        <w:t xml:space="preserve"> </w:t>
      </w:r>
      <w:r w:rsidRPr="008467B8">
        <w:rPr>
          <w:i/>
          <w:color w:val="000000" w:themeColor="text1"/>
        </w:rPr>
        <w:t xml:space="preserve">Service connection under this provision is precluded if there is affirmative evidence that the disability was unrelated to service in the Southwest Asia theater of operations.  Service connection for </w:t>
      </w:r>
      <w:r w:rsidRPr="008467B8">
        <w:rPr>
          <w:b/>
          <w:color w:val="000000" w:themeColor="text1"/>
        </w:rPr>
        <w:t>[disability]</w:t>
      </w:r>
      <w:r w:rsidRPr="008467B8">
        <w:rPr>
          <w:i/>
          <w:color w:val="000000" w:themeColor="text1"/>
        </w:rPr>
        <w:t xml:space="preserve"> is denied because evidence established that this disability resulted from </w:t>
      </w:r>
      <w:r w:rsidRPr="008467B8">
        <w:rPr>
          <w:b/>
          <w:color w:val="000000" w:themeColor="text1"/>
        </w:rPr>
        <w:t>[unrelated event, accident, injury, etc.]</w:t>
      </w:r>
      <w:r w:rsidRPr="008467B8">
        <w:rPr>
          <w:color w:val="000000" w:themeColor="text1"/>
        </w:rPr>
        <w:t>.</w:t>
      </w:r>
    </w:p>
    <w:p w:rsidR="00952CE6" w:rsidRDefault="00952CE6" w:rsidP="00B759D3">
      <w:pPr>
        <w:tabs>
          <w:tab w:val="left" w:pos="720"/>
        </w:tabs>
        <w:ind w:left="720"/>
        <w:rPr>
          <w:i/>
          <w:color w:val="FF0000"/>
          <w:sz w:val="22"/>
          <w:szCs w:val="22"/>
        </w:rPr>
      </w:pPr>
    </w:p>
    <w:p w:rsidR="00B759D3" w:rsidRPr="00B759D3" w:rsidRDefault="00B759D3" w:rsidP="00B759D3">
      <w:pPr>
        <w:tabs>
          <w:tab w:val="left" w:pos="720"/>
        </w:tabs>
        <w:ind w:left="720"/>
        <w:rPr>
          <w:i/>
          <w:sz w:val="22"/>
          <w:szCs w:val="22"/>
        </w:rPr>
      </w:pPr>
      <w:r w:rsidRPr="00B759D3">
        <w:rPr>
          <w:i/>
          <w:color w:val="FF0000"/>
          <w:sz w:val="22"/>
          <w:szCs w:val="22"/>
        </w:rPr>
        <w:t>Deny – Diagnosed Illness:</w:t>
      </w:r>
    </w:p>
    <w:p w:rsidR="00654266" w:rsidRDefault="00B759D3" w:rsidP="00B759D3">
      <w:pPr>
        <w:tabs>
          <w:tab w:val="left" w:pos="720"/>
        </w:tabs>
        <w:ind w:left="720"/>
        <w:rPr>
          <w:color w:val="808080"/>
          <w:sz w:val="22"/>
          <w:szCs w:val="22"/>
        </w:rPr>
      </w:pPr>
      <w:r w:rsidRPr="00B759D3">
        <w:rPr>
          <w:color w:val="808080"/>
          <w:sz w:val="22"/>
          <w:szCs w:val="22"/>
        </w:rPr>
        <w:lastRenderedPageBreak/>
        <w:t xml:space="preserve">Service connection for </w:t>
      </w:r>
      <w:r w:rsidR="00A46221">
        <w:rPr>
          <w:color w:val="808080"/>
          <w:sz w:val="22"/>
          <w:szCs w:val="22"/>
        </w:rPr>
        <w:t>{}</w:t>
      </w:r>
      <w:r w:rsidRPr="00B759D3">
        <w:rPr>
          <w:color w:val="808080"/>
          <w:sz w:val="22"/>
          <w:szCs w:val="22"/>
        </w:rPr>
        <w:t xml:space="preserve"> is denied because this disability is determined to result from a known clinical diagnosis of </w:t>
      </w:r>
      <w:r w:rsidR="00A46221">
        <w:rPr>
          <w:color w:val="808080"/>
          <w:sz w:val="22"/>
          <w:szCs w:val="22"/>
        </w:rPr>
        <w:t>{}</w:t>
      </w:r>
      <w:r w:rsidRPr="00B759D3">
        <w:rPr>
          <w:color w:val="808080"/>
          <w:sz w:val="22"/>
          <w:szCs w:val="22"/>
        </w:rPr>
        <w:t>, which neither occurred in nor was caused or aggravated by service.</w:t>
      </w:r>
    </w:p>
    <w:p w:rsidR="00B759D3" w:rsidRPr="00B759D3" w:rsidRDefault="00654266" w:rsidP="00B759D3">
      <w:pPr>
        <w:tabs>
          <w:tab w:val="left" w:pos="720"/>
        </w:tabs>
        <w:ind w:left="720"/>
        <w:rPr>
          <w:color w:val="808080"/>
          <w:sz w:val="22"/>
          <w:szCs w:val="22"/>
        </w:rPr>
      </w:pPr>
      <w:r>
        <w:rPr>
          <w:szCs w:val="22"/>
        </w:rPr>
        <w:t xml:space="preserve">eff 8/1/17, </w:t>
      </w:r>
      <w:r w:rsidRPr="00E21FA7">
        <w:rPr>
          <w:b/>
          <w:szCs w:val="22"/>
        </w:rPr>
        <w:t>IV.ii.2.D.5.</w:t>
      </w:r>
      <w:r>
        <w:rPr>
          <w:b/>
          <w:szCs w:val="22"/>
        </w:rPr>
        <w:t xml:space="preserve">c </w:t>
      </w:r>
      <w:r w:rsidRPr="00654266">
        <w:rPr>
          <w:szCs w:val="22"/>
        </w:rPr>
        <w:t>shows</w:t>
      </w:r>
      <w:r>
        <w:rPr>
          <w:szCs w:val="22"/>
        </w:rPr>
        <w:t xml:space="preserve"> this, which is </w:t>
      </w:r>
      <w:r w:rsidR="00952CE6">
        <w:t xml:space="preserve">different from the above </w:t>
      </w:r>
      <w:r w:rsidR="00C551BE">
        <w:rPr>
          <w:rFonts w:ascii="Verdana" w:hAnsi="Verdana"/>
          <w:b/>
          <w:highlight w:val="green"/>
        </w:rPr>
        <w:t>VBMS-R System-Generated Text</w:t>
      </w:r>
      <w:r w:rsidR="00952CE6" w:rsidRPr="00654266">
        <w:rPr>
          <w:szCs w:val="22"/>
        </w:rPr>
        <w:t>:</w:t>
      </w:r>
      <w:r w:rsidR="00952CE6">
        <w:rPr>
          <w:b/>
          <w:szCs w:val="22"/>
        </w:rPr>
        <w:t xml:space="preserve"> </w:t>
      </w:r>
      <w:r w:rsidRPr="008467B8">
        <w:rPr>
          <w:i/>
          <w:color w:val="000000" w:themeColor="text1"/>
        </w:rPr>
        <w:t xml:space="preserve">Service connection for </w:t>
      </w:r>
      <w:r w:rsidRPr="008467B8">
        <w:rPr>
          <w:b/>
          <w:color w:val="000000" w:themeColor="text1"/>
        </w:rPr>
        <w:t>[claimed disability]</w:t>
      </w:r>
      <w:r w:rsidRPr="008467B8">
        <w:rPr>
          <w:i/>
          <w:color w:val="000000" w:themeColor="text1"/>
        </w:rPr>
        <w:t xml:space="preserve"> is denied because this disability is determined to result from a known clinical diagnosis of </w:t>
      </w:r>
      <w:r w:rsidRPr="008467B8">
        <w:rPr>
          <w:b/>
          <w:color w:val="000000" w:themeColor="text1"/>
        </w:rPr>
        <w:t>[diagnosed disability]</w:t>
      </w:r>
      <w:r w:rsidRPr="008467B8">
        <w:rPr>
          <w:i/>
          <w:color w:val="000000" w:themeColor="text1"/>
        </w:rPr>
        <w:t>, which, under current law, is not a qualifying disability associated with Gulf War service.  Further, the condition was not incurred in or aggravated by service.</w:t>
      </w:r>
      <w:r w:rsidR="00B759D3" w:rsidRPr="00B759D3">
        <w:rPr>
          <w:color w:val="808080"/>
          <w:sz w:val="22"/>
          <w:szCs w:val="22"/>
        </w:rPr>
        <w:t xml:space="preserve"> </w:t>
      </w:r>
    </w:p>
    <w:p w:rsidR="00952CE6" w:rsidRDefault="00952CE6" w:rsidP="00B759D3">
      <w:pPr>
        <w:tabs>
          <w:tab w:val="left" w:pos="720"/>
        </w:tabs>
        <w:ind w:left="720"/>
        <w:rPr>
          <w:b/>
          <w:szCs w:val="22"/>
        </w:rPr>
      </w:pPr>
    </w:p>
    <w:p w:rsidR="00B759D3" w:rsidRPr="00B759D3" w:rsidRDefault="00B759D3" w:rsidP="00B759D3">
      <w:pPr>
        <w:tabs>
          <w:tab w:val="left" w:pos="720"/>
        </w:tabs>
        <w:ind w:left="720"/>
        <w:rPr>
          <w:i/>
          <w:sz w:val="22"/>
          <w:szCs w:val="22"/>
        </w:rPr>
      </w:pPr>
      <w:r w:rsidRPr="00B759D3">
        <w:rPr>
          <w:i/>
          <w:color w:val="FF0000"/>
          <w:sz w:val="22"/>
          <w:szCs w:val="22"/>
        </w:rPr>
        <w:t>Deny – Illness Not Chronic</w:t>
      </w:r>
    </w:p>
    <w:p w:rsidR="00B759D3" w:rsidRDefault="00B759D3" w:rsidP="00B759D3">
      <w:pPr>
        <w:tabs>
          <w:tab w:val="left" w:pos="720"/>
        </w:tabs>
        <w:ind w:left="720"/>
        <w:rPr>
          <w:color w:val="808080"/>
          <w:sz w:val="22"/>
          <w:szCs w:val="22"/>
        </w:rPr>
      </w:pPr>
      <w:r w:rsidRPr="00B759D3">
        <w:rPr>
          <w:color w:val="808080"/>
          <w:sz w:val="22"/>
          <w:szCs w:val="22"/>
        </w:rPr>
        <w:t xml:space="preserve">The disability must have persisted for a period of at least 6 months. Service connection for </w:t>
      </w:r>
      <w:r w:rsidR="00A46221">
        <w:rPr>
          <w:color w:val="808080"/>
          <w:sz w:val="22"/>
          <w:szCs w:val="22"/>
        </w:rPr>
        <w:t>{}</w:t>
      </w:r>
      <w:r w:rsidR="009F2C07">
        <w:rPr>
          <w:color w:val="808080"/>
          <w:sz w:val="22"/>
          <w:szCs w:val="22"/>
        </w:rPr>
        <w:t xml:space="preserve"> </w:t>
      </w:r>
      <w:r w:rsidRPr="00B759D3">
        <w:rPr>
          <w:color w:val="808080"/>
          <w:sz w:val="22"/>
          <w:szCs w:val="22"/>
        </w:rPr>
        <w:t xml:space="preserve">is denied since this disability was first manifested on </w:t>
      </w:r>
      <w:r w:rsidR="00A46221">
        <w:rPr>
          <w:color w:val="808080"/>
          <w:sz w:val="22"/>
          <w:szCs w:val="22"/>
        </w:rPr>
        <w:t>{}</w:t>
      </w:r>
      <w:r w:rsidRPr="00B759D3">
        <w:rPr>
          <w:color w:val="808080"/>
          <w:sz w:val="22"/>
          <w:szCs w:val="22"/>
        </w:rPr>
        <w:t xml:space="preserve"> and lasted less than 6 months. </w:t>
      </w:r>
    </w:p>
    <w:p w:rsidR="00654266" w:rsidRPr="00B759D3" w:rsidRDefault="00654266" w:rsidP="00B759D3">
      <w:pPr>
        <w:tabs>
          <w:tab w:val="left" w:pos="720"/>
        </w:tabs>
        <w:ind w:left="720"/>
        <w:rPr>
          <w:color w:val="808080"/>
          <w:sz w:val="22"/>
          <w:szCs w:val="22"/>
        </w:rPr>
      </w:pPr>
      <w:r>
        <w:rPr>
          <w:szCs w:val="22"/>
        </w:rPr>
        <w:t xml:space="preserve">eff 8/1/17, </w:t>
      </w:r>
      <w:r w:rsidRPr="00E21FA7">
        <w:rPr>
          <w:b/>
          <w:szCs w:val="22"/>
        </w:rPr>
        <w:t>IV.ii.2.D.5.</w:t>
      </w:r>
      <w:r>
        <w:rPr>
          <w:b/>
          <w:szCs w:val="22"/>
        </w:rPr>
        <w:t xml:space="preserve">c </w:t>
      </w:r>
      <w:r w:rsidRPr="00654266">
        <w:rPr>
          <w:szCs w:val="22"/>
        </w:rPr>
        <w:t>shows</w:t>
      </w:r>
      <w:r>
        <w:rPr>
          <w:szCs w:val="22"/>
        </w:rPr>
        <w:t xml:space="preserve"> “six” instead of “6”</w:t>
      </w:r>
    </w:p>
    <w:p w:rsidR="00952CE6" w:rsidRDefault="00952CE6" w:rsidP="00B759D3">
      <w:pPr>
        <w:tabs>
          <w:tab w:val="left" w:pos="720"/>
        </w:tabs>
        <w:ind w:left="720"/>
        <w:rPr>
          <w:b/>
          <w:szCs w:val="22"/>
        </w:rPr>
      </w:pPr>
    </w:p>
    <w:p w:rsidR="00B759D3" w:rsidRPr="00B759D3" w:rsidRDefault="00B759D3" w:rsidP="00B759D3">
      <w:pPr>
        <w:tabs>
          <w:tab w:val="left" w:pos="720"/>
        </w:tabs>
        <w:ind w:left="720"/>
        <w:rPr>
          <w:i/>
          <w:sz w:val="22"/>
          <w:szCs w:val="22"/>
        </w:rPr>
      </w:pPr>
      <w:r w:rsidRPr="00B759D3">
        <w:rPr>
          <w:i/>
          <w:color w:val="FF0000"/>
          <w:sz w:val="22"/>
          <w:szCs w:val="22"/>
        </w:rPr>
        <w:t>Deny – Found Less Than 10 Percent Disabling:</w:t>
      </w:r>
    </w:p>
    <w:p w:rsidR="00B759D3" w:rsidRDefault="00B759D3" w:rsidP="008D1357">
      <w:pPr>
        <w:ind w:left="720"/>
        <w:rPr>
          <w:color w:val="808080"/>
          <w:sz w:val="22"/>
          <w:szCs w:val="22"/>
        </w:rPr>
      </w:pPr>
      <w:r w:rsidRPr="00B759D3">
        <w:rPr>
          <w:color w:val="808080"/>
          <w:sz w:val="22"/>
          <w:szCs w:val="22"/>
        </w:rPr>
        <w:t xml:space="preserve">Service connection for </w:t>
      </w:r>
      <w:r w:rsidR="00A46221">
        <w:rPr>
          <w:color w:val="808080"/>
          <w:sz w:val="22"/>
          <w:szCs w:val="22"/>
        </w:rPr>
        <w:t>{}</w:t>
      </w:r>
      <w:r w:rsidRPr="00B759D3">
        <w:rPr>
          <w:color w:val="808080"/>
          <w:sz w:val="22"/>
          <w:szCs w:val="22"/>
        </w:rPr>
        <w:t xml:space="preserve"> is denied since this disability neither arose during service in the Gulf theater, nor was it manifested to a compensable degree after the last date of service in the Gulf theater during the Gulf War.</w:t>
      </w:r>
    </w:p>
    <w:p w:rsidR="00952CE6" w:rsidRPr="00B759D3" w:rsidRDefault="00952CE6" w:rsidP="008D1357">
      <w:pPr>
        <w:ind w:left="720"/>
        <w:rPr>
          <w:color w:val="808080" w:themeColor="background1" w:themeShade="80"/>
          <w:sz w:val="22"/>
          <w:szCs w:val="22"/>
        </w:rPr>
      </w:pPr>
      <w:r>
        <w:rPr>
          <w:szCs w:val="22"/>
        </w:rPr>
        <w:t xml:space="preserve">eff 8/1/17, </w:t>
      </w:r>
      <w:r w:rsidRPr="00E21FA7">
        <w:rPr>
          <w:b/>
          <w:szCs w:val="22"/>
        </w:rPr>
        <w:t>IV.ii.2.D.5.</w:t>
      </w:r>
      <w:r>
        <w:rPr>
          <w:b/>
          <w:szCs w:val="22"/>
        </w:rPr>
        <w:t xml:space="preserve">c </w:t>
      </w:r>
      <w:r w:rsidRPr="00654266">
        <w:rPr>
          <w:szCs w:val="22"/>
        </w:rPr>
        <w:t>shows</w:t>
      </w:r>
      <w:r>
        <w:rPr>
          <w:szCs w:val="22"/>
        </w:rPr>
        <w:t xml:space="preserve"> this, which is </w:t>
      </w:r>
      <w:r>
        <w:t xml:space="preserve">different from the above </w:t>
      </w:r>
      <w:r w:rsidR="00C551BE">
        <w:rPr>
          <w:rFonts w:ascii="Verdana" w:hAnsi="Verdana"/>
          <w:b/>
          <w:highlight w:val="green"/>
        </w:rPr>
        <w:t>VBMS-R System-Generated Text</w:t>
      </w:r>
      <w:r w:rsidRPr="00654266">
        <w:rPr>
          <w:szCs w:val="22"/>
        </w:rPr>
        <w:t>:</w:t>
      </w:r>
      <w:r>
        <w:rPr>
          <w:b/>
          <w:szCs w:val="22"/>
        </w:rPr>
        <w:t xml:space="preserve"> </w:t>
      </w:r>
      <w:r w:rsidRPr="008467B8">
        <w:rPr>
          <w:i/>
          <w:color w:val="000000" w:themeColor="text1"/>
        </w:rPr>
        <w:t xml:space="preserve">Service connection for </w:t>
      </w:r>
      <w:r w:rsidRPr="008467B8">
        <w:rPr>
          <w:b/>
          <w:color w:val="000000" w:themeColor="text1"/>
        </w:rPr>
        <w:t>[disability]</w:t>
      </w:r>
      <w:r w:rsidRPr="008467B8">
        <w:rPr>
          <w:i/>
          <w:color w:val="000000" w:themeColor="text1"/>
        </w:rPr>
        <w:t xml:space="preserve"> is denied since this disability neither arose during service in the Southwest Asia theater of operations,</w:t>
      </w:r>
      <w:r w:rsidRPr="008467B8">
        <w:rPr>
          <w:color w:val="000000" w:themeColor="text1"/>
        </w:rPr>
        <w:t xml:space="preserve"> </w:t>
      </w:r>
      <w:r w:rsidRPr="008467B8">
        <w:rPr>
          <w:i/>
          <w:color w:val="000000" w:themeColor="text1"/>
        </w:rPr>
        <w:t>nor was it manifested to a compensable degree after the last date of service in the Southwest Asia theater during the Gulf War period</w:t>
      </w:r>
      <w:r w:rsidRPr="008467B8">
        <w:rPr>
          <w:color w:val="000000" w:themeColor="text1"/>
        </w:rPr>
        <w:t>.</w:t>
      </w:r>
    </w:p>
    <w:p w:rsidR="00156EA6" w:rsidRDefault="00156EA6" w:rsidP="00156EA6">
      <w:pPr>
        <w:rPr>
          <w:sz w:val="22"/>
        </w:rPr>
      </w:pPr>
    </w:p>
    <w:p w:rsidR="00280A80" w:rsidRDefault="00280A80" w:rsidP="00280A80">
      <w:pPr>
        <w:rPr>
          <w:rFonts w:ascii="Tahoma" w:hAnsi="Tahoma" w:cs="Tahoma"/>
        </w:rPr>
      </w:pPr>
      <w:r>
        <w:rPr>
          <w:rFonts w:ascii="Tahoma" w:hAnsi="Tahoma" w:cs="Tahoma"/>
          <w:b/>
          <w:bCs/>
        </w:rPr>
        <w:t>From:</w:t>
      </w:r>
      <w:r>
        <w:rPr>
          <w:rFonts w:ascii="Tahoma" w:hAnsi="Tahoma" w:cs="Tahoma"/>
        </w:rPr>
        <w:t xml:space="preserve"> VAVBAWAS/CO/21WEB </w:t>
      </w:r>
      <w:r>
        <w:rPr>
          <w:rFonts w:ascii="Tahoma" w:hAnsi="Tahoma" w:cs="Tahoma"/>
        </w:rPr>
        <w:br/>
      </w:r>
      <w:r>
        <w:rPr>
          <w:rFonts w:ascii="Tahoma" w:hAnsi="Tahoma" w:cs="Tahoma"/>
          <w:b/>
          <w:bCs/>
        </w:rPr>
        <w:t>Sent:</w:t>
      </w:r>
      <w:r>
        <w:rPr>
          <w:rFonts w:ascii="Tahoma" w:hAnsi="Tahoma" w:cs="Tahoma"/>
        </w:rPr>
        <w:t xml:space="preserve"> Friday, January 12, 2018 10:06 AM</w:t>
      </w:r>
      <w:r>
        <w:rPr>
          <w:rFonts w:ascii="Tahoma" w:hAnsi="Tahoma" w:cs="Tahoma"/>
        </w:rPr>
        <w:br/>
      </w:r>
      <w:r>
        <w:rPr>
          <w:rFonts w:ascii="Tahoma" w:hAnsi="Tahoma" w:cs="Tahoma"/>
          <w:b/>
          <w:bCs/>
        </w:rPr>
        <w:t>Subject:</w:t>
      </w:r>
      <w:r>
        <w:rPr>
          <w:rFonts w:ascii="Tahoma" w:hAnsi="Tahoma" w:cs="Tahoma"/>
        </w:rPr>
        <w:t xml:space="preserve"> Compensation Service Calendar Update - New fragment added to the VBMS-R National Glossary</w:t>
      </w:r>
    </w:p>
    <w:p w:rsidR="00280A80" w:rsidRDefault="00280A80" w:rsidP="00280A80"/>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514"/>
      </w:tblGrid>
      <w:tr w:rsidR="00280A80" w:rsidTr="00280A80">
        <w:trPr>
          <w:tblCellSpacing w:w="0" w:type="dxa"/>
        </w:trPr>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280A80" w:rsidRDefault="00280A80">
            <w:pPr>
              <w:rPr>
                <w:rFonts w:eastAsiaTheme="minorHAnsi"/>
                <w:sz w:val="24"/>
                <w:szCs w:val="24"/>
              </w:rPr>
            </w:pPr>
            <w:r>
              <w:rPr>
                <w:b/>
                <w:bCs/>
              </w:rPr>
              <w:t>Friday, January 12, 2018</w:t>
            </w:r>
            <w:r>
              <w:br/>
            </w:r>
            <w:r>
              <w:br/>
            </w:r>
            <w:r>
              <w:rPr>
                <w:rStyle w:val="Strong"/>
              </w:rPr>
              <w:t>Compensation Service has added a new fragment to the VBMS-R National Glossary.  Decision makers can use fragment, GW_NoSvc, in claims that are denied based on no Southwest Asia (Gulf War) service.  When selected, the following text will be added to the decision:  “If evidence demonstrates service in the Southwest Asia theater of operations, service connection may be granted on a presumptive basis for certain qualifying chronic disabilities if the condition became manifest either during active military, naval, or air service in the Southwest Asia theater of operations, or to a degree of 10 percent or more not later than December 31, 2021. Service connection for {enter disability} is denied, because the required service is not shown.</w:t>
            </w:r>
          </w:p>
        </w:tc>
      </w:tr>
    </w:tbl>
    <w:p w:rsidR="00280A80" w:rsidRDefault="00280A80" w:rsidP="00280A80">
      <w:pPr>
        <w:tabs>
          <w:tab w:val="left" w:pos="720"/>
        </w:tabs>
        <w:rPr>
          <w:szCs w:val="22"/>
        </w:rPr>
      </w:pPr>
    </w:p>
    <w:p w:rsidR="00156EA6" w:rsidRPr="0010111B" w:rsidRDefault="00156EA6" w:rsidP="00156EA6">
      <w:pPr>
        <w:rPr>
          <w:i/>
          <w:sz w:val="22"/>
          <w:szCs w:val="22"/>
        </w:rPr>
      </w:pPr>
      <w:bookmarkStart w:id="29" w:name="_Hlk517875002"/>
      <w:r w:rsidRPr="0010111B">
        <w:rPr>
          <w:i/>
          <w:sz w:val="22"/>
          <w:szCs w:val="22"/>
        </w:rPr>
        <w:t xml:space="preserve">If </w:t>
      </w:r>
      <w:r>
        <w:rPr>
          <w:i/>
          <w:sz w:val="22"/>
          <w:szCs w:val="22"/>
        </w:rPr>
        <w:t>doing a</w:t>
      </w:r>
      <w:r w:rsidRPr="0010111B">
        <w:rPr>
          <w:i/>
          <w:sz w:val="22"/>
          <w:szCs w:val="22"/>
        </w:rPr>
        <w:t xml:space="preserve">  </w:t>
      </w:r>
      <w:r>
        <w:rPr>
          <w:i/>
          <w:color w:val="FF0000"/>
          <w:sz w:val="22"/>
          <w:szCs w:val="22"/>
        </w:rPr>
        <w:t>Proposal to Sever,</w:t>
      </w:r>
      <w:r w:rsidRPr="00156EA6">
        <w:rPr>
          <w:i/>
          <w:sz w:val="22"/>
          <w:szCs w:val="22"/>
        </w:rPr>
        <w:t xml:space="preserve"> </w:t>
      </w:r>
      <w:bookmarkEnd w:id="29"/>
      <w:r>
        <w:rPr>
          <w:i/>
          <w:sz w:val="22"/>
          <w:szCs w:val="22"/>
        </w:rPr>
        <w:t>have these</w:t>
      </w:r>
      <w:r w:rsidRPr="00B759D3">
        <w:rPr>
          <w:i/>
          <w:sz w:val="22"/>
          <w:szCs w:val="22"/>
        </w:rPr>
        <w:t xml:space="preserve"> F</w:t>
      </w:r>
      <w:r>
        <w:rPr>
          <w:i/>
          <w:sz w:val="22"/>
          <w:szCs w:val="22"/>
        </w:rPr>
        <w:t>IVE</w:t>
      </w:r>
      <w:r w:rsidRPr="00B759D3">
        <w:rPr>
          <w:i/>
          <w:sz w:val="22"/>
          <w:szCs w:val="22"/>
        </w:rPr>
        <w:t xml:space="preserve"> choices:</w:t>
      </w:r>
    </w:p>
    <w:p w:rsidR="00156EA6" w:rsidRDefault="00156EA6" w:rsidP="00156EA6">
      <w:pPr>
        <w:ind w:left="720"/>
        <w:rPr>
          <w:i/>
          <w:color w:val="FF0000"/>
          <w:sz w:val="22"/>
        </w:rPr>
      </w:pPr>
      <w:r w:rsidRPr="00156EA6">
        <w:rPr>
          <w:i/>
          <w:color w:val="FF0000"/>
          <w:sz w:val="22"/>
        </w:rPr>
        <w:t>Change In Law</w:t>
      </w:r>
      <w:r>
        <w:rPr>
          <w:i/>
          <w:color w:val="FF0000"/>
          <w:sz w:val="22"/>
        </w:rPr>
        <w:t>:</w:t>
      </w:r>
    </w:p>
    <w:p w:rsidR="00156EA6" w:rsidRPr="00156EA6" w:rsidRDefault="00156EA6" w:rsidP="00156EA6">
      <w:pPr>
        <w:ind w:left="720"/>
        <w:rPr>
          <w:color w:val="808080" w:themeColor="background1" w:themeShade="80"/>
          <w:sz w:val="22"/>
        </w:rPr>
      </w:pPr>
      <w:r w:rsidRPr="00156EA6">
        <w:rPr>
          <w:color w:val="808080" w:themeColor="background1" w:themeShade="80"/>
          <w:sz w:val="22"/>
        </w:rPr>
        <w:t>It is proposed to sever service connection for {} due to a change in law or interpretation of the law or VA issue.</w:t>
      </w:r>
    </w:p>
    <w:p w:rsidR="00156EA6" w:rsidRPr="00156EA6" w:rsidRDefault="00156EA6" w:rsidP="00156EA6">
      <w:pPr>
        <w:ind w:left="720"/>
        <w:rPr>
          <w:i/>
          <w:color w:val="FF0000"/>
          <w:sz w:val="22"/>
        </w:rPr>
      </w:pPr>
      <w:r w:rsidRPr="00156EA6">
        <w:rPr>
          <w:i/>
          <w:color w:val="FF0000"/>
          <w:sz w:val="22"/>
        </w:rPr>
        <w:t>Character of Discharge:</w:t>
      </w:r>
    </w:p>
    <w:p w:rsidR="00156EA6" w:rsidRPr="00156EA6" w:rsidRDefault="00156EA6" w:rsidP="00156EA6">
      <w:pPr>
        <w:ind w:left="720"/>
        <w:rPr>
          <w:color w:val="808080" w:themeColor="background1" w:themeShade="80"/>
          <w:sz w:val="22"/>
        </w:rPr>
      </w:pPr>
      <w:r w:rsidRPr="00156EA6">
        <w:rPr>
          <w:color w:val="808080" w:themeColor="background1" w:themeShade="80"/>
          <w:sz w:val="22"/>
        </w:rPr>
        <w:t>It is proposed to sever service connection for {} because the veteran does not have a character of discharge requisite for service connection.</w:t>
      </w:r>
    </w:p>
    <w:p w:rsidR="00156EA6" w:rsidRPr="00156EA6" w:rsidRDefault="00156EA6" w:rsidP="00156EA6">
      <w:pPr>
        <w:ind w:left="720"/>
        <w:rPr>
          <w:i/>
          <w:color w:val="FF0000"/>
          <w:sz w:val="22"/>
        </w:rPr>
      </w:pPr>
      <w:r w:rsidRPr="00156EA6">
        <w:rPr>
          <w:i/>
          <w:color w:val="FF0000"/>
          <w:sz w:val="22"/>
        </w:rPr>
        <w:t>Fraud:</w:t>
      </w:r>
    </w:p>
    <w:p w:rsidR="00156EA6" w:rsidRPr="00156EA6" w:rsidRDefault="00156EA6" w:rsidP="00156EA6">
      <w:pPr>
        <w:ind w:left="720"/>
        <w:rPr>
          <w:color w:val="808080" w:themeColor="background1" w:themeShade="80"/>
          <w:sz w:val="22"/>
        </w:rPr>
      </w:pPr>
      <w:r>
        <w:rPr>
          <w:color w:val="808080" w:themeColor="background1" w:themeShade="80"/>
          <w:sz w:val="22"/>
        </w:rPr>
        <w:t>I</w:t>
      </w:r>
      <w:r w:rsidRPr="00156EA6">
        <w:rPr>
          <w:color w:val="808080" w:themeColor="background1" w:themeShade="80"/>
          <w:sz w:val="22"/>
        </w:rPr>
        <w:t>t is proposed to sever service connection for {} due to fraud.</w:t>
      </w:r>
    </w:p>
    <w:p w:rsidR="00156EA6" w:rsidRPr="00156EA6" w:rsidRDefault="00156EA6" w:rsidP="00156EA6">
      <w:pPr>
        <w:ind w:left="720"/>
        <w:rPr>
          <w:i/>
          <w:color w:val="FF0000"/>
          <w:sz w:val="22"/>
        </w:rPr>
      </w:pPr>
      <w:r w:rsidRPr="00156EA6">
        <w:rPr>
          <w:i/>
          <w:color w:val="FF0000"/>
          <w:sz w:val="22"/>
        </w:rPr>
        <w:t>No Requisite Service:</w:t>
      </w:r>
    </w:p>
    <w:p w:rsidR="00156EA6" w:rsidRPr="00156EA6" w:rsidRDefault="00156EA6" w:rsidP="00156EA6">
      <w:pPr>
        <w:ind w:left="720"/>
        <w:rPr>
          <w:color w:val="808080" w:themeColor="background1" w:themeShade="80"/>
          <w:sz w:val="22"/>
        </w:rPr>
      </w:pPr>
      <w:r w:rsidRPr="00156EA6">
        <w:rPr>
          <w:color w:val="808080" w:themeColor="background1" w:themeShade="80"/>
          <w:sz w:val="22"/>
        </w:rPr>
        <w:t>It is proposed to sever service connection for {} because the veteran does not have requisite service.</w:t>
      </w:r>
    </w:p>
    <w:p w:rsidR="00156EA6" w:rsidRPr="00156EA6" w:rsidRDefault="00156EA6" w:rsidP="00156EA6">
      <w:pPr>
        <w:ind w:left="720"/>
        <w:rPr>
          <w:i/>
          <w:color w:val="FF0000"/>
          <w:sz w:val="22"/>
        </w:rPr>
      </w:pPr>
      <w:r w:rsidRPr="00156EA6">
        <w:rPr>
          <w:i/>
          <w:color w:val="FF0000"/>
          <w:sz w:val="22"/>
        </w:rPr>
        <w:t xml:space="preserve">CUE:  </w:t>
      </w:r>
    </w:p>
    <w:p w:rsidR="00156EA6" w:rsidRPr="00156EA6" w:rsidRDefault="00156EA6" w:rsidP="00156EA6">
      <w:pPr>
        <w:ind w:left="720"/>
        <w:rPr>
          <w:color w:val="808080" w:themeColor="background1" w:themeShade="80"/>
          <w:sz w:val="22"/>
        </w:rPr>
      </w:pPr>
      <w:bookmarkStart w:id="30" w:name="_Hlk517875014"/>
      <w:r w:rsidRPr="00156EA6">
        <w:rPr>
          <w:color w:val="808080" w:themeColor="background1" w:themeShade="80"/>
          <w:sz w:val="22"/>
        </w:rPr>
        <w:t>It is proposed to sever service connection for {} due to a clear and unmistakable error. Clear and unmistakable errors are errors that are undebatable, so that it can be said that reasonable minds could only conclude that the previous decision was fatally flawed at the time it was made. A determination that there was clear and unmistakable error must be based on the record and the law that existed at the time of the prior decision. Once a determination is made that there was a clear and unmistakable error in a prior decision that would change the outcome, then that decision must be revised to conform to what the decision should have been.</w:t>
      </w:r>
    </w:p>
    <w:bookmarkEnd w:id="30"/>
    <w:p w:rsidR="00156EA6" w:rsidRDefault="00156EA6" w:rsidP="00156EA6">
      <w:pPr>
        <w:rPr>
          <w:sz w:val="22"/>
        </w:rPr>
      </w:pPr>
    </w:p>
    <w:p w:rsidR="00A66915" w:rsidRDefault="00A66915" w:rsidP="00156EA6">
      <w:pPr>
        <w:rPr>
          <w:sz w:val="22"/>
        </w:rPr>
      </w:pPr>
      <w:r>
        <w:rPr>
          <w:bCs/>
          <w:i/>
        </w:rPr>
        <w:t>Proposals &amp; Final severance decis</w:t>
      </w:r>
      <w:r w:rsidR="00FE7625">
        <w:rPr>
          <w:bCs/>
          <w:i/>
        </w:rPr>
        <w:t>i</w:t>
      </w:r>
      <w:r>
        <w:rPr>
          <w:bCs/>
          <w:i/>
        </w:rPr>
        <w:t xml:space="preserve">ons </w:t>
      </w:r>
      <w:r w:rsidRPr="007A4EEB">
        <w:rPr>
          <w:bCs/>
          <w:i/>
        </w:rPr>
        <w:t xml:space="preserve">need Long Form Narrative, per </w:t>
      </w:r>
      <w:r w:rsidRPr="007A4EEB">
        <w:rPr>
          <w:b/>
          <w:bCs/>
        </w:rPr>
        <w:t>III.iv.6.C.7.a</w:t>
      </w:r>
    </w:p>
    <w:p w:rsidR="00A66915" w:rsidRDefault="00A66915" w:rsidP="00156EA6">
      <w:pPr>
        <w:rPr>
          <w:sz w:val="22"/>
        </w:rPr>
      </w:pPr>
    </w:p>
    <w:p w:rsidR="0056419A" w:rsidRDefault="0056419A" w:rsidP="0056419A">
      <w:pPr>
        <w:pBdr>
          <w:top w:val="single" w:sz="4" w:space="1" w:color="auto"/>
        </w:pBdr>
        <w:rPr>
          <w:sz w:val="22"/>
        </w:rPr>
      </w:pPr>
    </w:p>
    <w:p w:rsidR="0056419A" w:rsidRDefault="0056419A" w:rsidP="0056419A">
      <w:pPr>
        <w:rPr>
          <w:i/>
          <w:sz w:val="22"/>
          <w:szCs w:val="22"/>
        </w:rPr>
      </w:pPr>
      <w:r w:rsidRPr="00B759D3">
        <w:rPr>
          <w:i/>
          <w:sz w:val="22"/>
          <w:szCs w:val="22"/>
        </w:rPr>
        <w:t xml:space="preserve">If the Special Issue </w:t>
      </w:r>
      <w:r w:rsidR="005B451B">
        <w:rPr>
          <w:i/>
          <w:sz w:val="22"/>
          <w:szCs w:val="22"/>
        </w:rPr>
        <w:t xml:space="preserve">in </w:t>
      </w:r>
      <w:r w:rsidR="005B451B">
        <w:rPr>
          <w:rFonts w:ascii="Verdana" w:hAnsi="Verdana"/>
          <w:b/>
          <w:bCs/>
          <w:highlight w:val="green"/>
        </w:rPr>
        <w:t>VBMS-R</w:t>
      </w:r>
      <w:r w:rsidR="005B451B" w:rsidRPr="00B759D3">
        <w:rPr>
          <w:i/>
          <w:sz w:val="22"/>
          <w:szCs w:val="22"/>
        </w:rPr>
        <w:t xml:space="preserve"> </w:t>
      </w:r>
      <w:r w:rsidRPr="00B759D3">
        <w:rPr>
          <w:i/>
          <w:sz w:val="22"/>
          <w:szCs w:val="22"/>
        </w:rPr>
        <w:t xml:space="preserve">is </w:t>
      </w:r>
      <w:r>
        <w:rPr>
          <w:i/>
          <w:color w:val="FF0000"/>
          <w:sz w:val="22"/>
          <w:szCs w:val="22"/>
        </w:rPr>
        <w:t xml:space="preserve">Agent Orange – Vietnam – Other/Unknown-Agent Orange …, </w:t>
      </w:r>
      <w:r>
        <w:rPr>
          <w:i/>
          <w:sz w:val="22"/>
          <w:szCs w:val="22"/>
        </w:rPr>
        <w:t>also have the SIX</w:t>
      </w:r>
      <w:r w:rsidRPr="00B759D3">
        <w:rPr>
          <w:i/>
          <w:sz w:val="22"/>
          <w:szCs w:val="22"/>
        </w:rPr>
        <w:t xml:space="preserve"> choices</w:t>
      </w:r>
      <w:r>
        <w:rPr>
          <w:i/>
          <w:sz w:val="22"/>
          <w:szCs w:val="22"/>
        </w:rPr>
        <w:t xml:space="preserve"> below</w:t>
      </w:r>
      <w:r w:rsidRPr="00B759D3">
        <w:rPr>
          <w:i/>
          <w:sz w:val="22"/>
          <w:szCs w:val="22"/>
        </w:rPr>
        <w:t xml:space="preserve">: </w:t>
      </w:r>
    </w:p>
    <w:p w:rsidR="0056419A" w:rsidRDefault="0056419A" w:rsidP="0056419A">
      <w:pPr>
        <w:tabs>
          <w:tab w:val="left" w:pos="720"/>
        </w:tabs>
        <w:ind w:left="720"/>
        <w:rPr>
          <w:color w:val="808080"/>
          <w:sz w:val="22"/>
          <w:szCs w:val="22"/>
        </w:rPr>
      </w:pPr>
      <w:r w:rsidRPr="0056419A">
        <w:rPr>
          <w:color w:val="808080"/>
          <w:sz w:val="22"/>
          <w:szCs w:val="22"/>
        </w:rPr>
        <w:t>Under the authority granted by the Agent Orange Act of 1991, VA has determined that presumption of service connection based on exposure to herbicides used in Vietnam is not warranted for any conditions other than those for which VA has found a positive association between the condition and such exposure. VA has determined that a positive association exists between exposure to herbicides and the subsequent development of the following conditions: AL amyloidosis; chloracne or other acneform disease consistent with chloracne; type 2 diabetes (also known as type II diabetes mellitus or adult-onset diabetes); Hodgkin's disease; ischemic heart disease (including, but not limited to, acute, subacute, and old myocardial infarction, atherosclerotic cardiovascular disease including coronary artery disease, including coronary spasm, and coronary bypass surgery, and stable, unstable and Prinzmetal's angina); all chronic B-cell leukemias (including but not limited to, hairy-cell leukemia and chronic lymphocytic leukemia); multiple myeloma; non-Hodgkin's lymphoma; Parkinson's disease; early-onset peripheral neuropathy; porphyria cutanea tarda (PCT); prostate cancer; respiratory cancers (cancer of the lung, bronchus, larynx, or trachea); and soft-tissue sarcoma (other than osteosarcoma, chondrosarcoma, Kaposi's sarcoma, or mesothelioma). PCT, chloracne, and early-onset peripheral neuropathy are required to become manifest to a compensable degree within one year from last exposure.</w:t>
      </w:r>
    </w:p>
    <w:p w:rsidR="0056419A" w:rsidRPr="00B759D3" w:rsidRDefault="0056419A" w:rsidP="0056419A">
      <w:pPr>
        <w:rPr>
          <w:i/>
          <w:sz w:val="22"/>
          <w:szCs w:val="22"/>
        </w:rPr>
      </w:pPr>
    </w:p>
    <w:p w:rsidR="0056419A" w:rsidRPr="00B759D3" w:rsidRDefault="0056419A" w:rsidP="0056419A">
      <w:pPr>
        <w:tabs>
          <w:tab w:val="left" w:pos="720"/>
        </w:tabs>
        <w:ind w:left="720"/>
        <w:rPr>
          <w:i/>
          <w:sz w:val="22"/>
          <w:szCs w:val="22"/>
        </w:rPr>
      </w:pPr>
      <w:r>
        <w:rPr>
          <w:i/>
          <w:color w:val="FF0000"/>
          <w:sz w:val="22"/>
          <w:szCs w:val="22"/>
        </w:rPr>
        <w:t>No Nexus</w:t>
      </w:r>
      <w:r w:rsidRPr="00B759D3">
        <w:rPr>
          <w:i/>
          <w:color w:val="FF0000"/>
          <w:sz w:val="22"/>
          <w:szCs w:val="22"/>
        </w:rPr>
        <w:t>:</w:t>
      </w:r>
    </w:p>
    <w:p w:rsidR="0056419A" w:rsidRDefault="0056419A" w:rsidP="0056419A">
      <w:pPr>
        <w:tabs>
          <w:tab w:val="left" w:pos="720"/>
        </w:tabs>
        <w:ind w:left="720"/>
        <w:rPr>
          <w:color w:val="808080"/>
          <w:sz w:val="22"/>
          <w:szCs w:val="22"/>
        </w:rPr>
      </w:pPr>
      <w:r w:rsidRPr="0056419A">
        <w:rPr>
          <w:color w:val="808080"/>
          <w:sz w:val="22"/>
          <w:szCs w:val="22"/>
        </w:rPr>
        <w:t>The available scientific and medical evidence does not support the conclusion that the condition is associated with herbicide exposure.</w:t>
      </w:r>
    </w:p>
    <w:p w:rsidR="0056419A" w:rsidRDefault="0056419A" w:rsidP="00156EA6">
      <w:pPr>
        <w:rPr>
          <w:sz w:val="22"/>
        </w:rPr>
      </w:pPr>
    </w:p>
    <w:p w:rsidR="0056419A" w:rsidRPr="00B759D3" w:rsidRDefault="0056419A" w:rsidP="0056419A">
      <w:pPr>
        <w:tabs>
          <w:tab w:val="left" w:pos="720"/>
        </w:tabs>
        <w:ind w:left="720"/>
        <w:rPr>
          <w:i/>
          <w:sz w:val="22"/>
          <w:szCs w:val="22"/>
        </w:rPr>
      </w:pPr>
      <w:r>
        <w:rPr>
          <w:i/>
          <w:color w:val="FF0000"/>
          <w:sz w:val="22"/>
          <w:szCs w:val="22"/>
        </w:rPr>
        <w:t>No Exposure:</w:t>
      </w:r>
    </w:p>
    <w:p w:rsidR="0056419A" w:rsidRDefault="0056419A" w:rsidP="0056419A">
      <w:pPr>
        <w:tabs>
          <w:tab w:val="left" w:pos="720"/>
        </w:tabs>
        <w:ind w:left="720"/>
        <w:rPr>
          <w:color w:val="808080"/>
          <w:sz w:val="22"/>
          <w:szCs w:val="22"/>
        </w:rPr>
      </w:pPr>
      <w:r w:rsidRPr="0056419A">
        <w:rPr>
          <w:color w:val="808080"/>
          <w:sz w:val="22"/>
          <w:szCs w:val="22"/>
        </w:rPr>
        <w:t>Service connection may be established based on a relationship to herbicide exposure only if evidence demonstrates either service in Vietnam during the Vietnam era or exposure to herbicides through some other military experience. The required service in Vietnam is not shown, nor is there evidence of exposure to herbicides during military service.</w:t>
      </w:r>
    </w:p>
    <w:p w:rsidR="0056419A" w:rsidRDefault="0056419A" w:rsidP="00156EA6">
      <w:pPr>
        <w:rPr>
          <w:sz w:val="22"/>
        </w:rPr>
      </w:pPr>
    </w:p>
    <w:p w:rsidR="0056419A" w:rsidRPr="00B759D3" w:rsidRDefault="0056419A" w:rsidP="0056419A">
      <w:pPr>
        <w:tabs>
          <w:tab w:val="left" w:pos="720"/>
        </w:tabs>
        <w:ind w:left="720"/>
        <w:rPr>
          <w:i/>
          <w:sz w:val="22"/>
          <w:szCs w:val="22"/>
        </w:rPr>
      </w:pPr>
      <w:r>
        <w:rPr>
          <w:i/>
          <w:color w:val="FF0000"/>
          <w:sz w:val="22"/>
          <w:szCs w:val="22"/>
        </w:rPr>
        <w:t>Not SC</w:t>
      </w:r>
      <w:r w:rsidRPr="00B759D3">
        <w:rPr>
          <w:i/>
          <w:color w:val="FF0000"/>
          <w:sz w:val="22"/>
          <w:szCs w:val="22"/>
        </w:rPr>
        <w:t>:</w:t>
      </w:r>
    </w:p>
    <w:p w:rsidR="0056419A" w:rsidRDefault="0056419A" w:rsidP="0056419A">
      <w:pPr>
        <w:tabs>
          <w:tab w:val="left" w:pos="720"/>
        </w:tabs>
        <w:ind w:left="720"/>
        <w:rPr>
          <w:color w:val="808080"/>
          <w:sz w:val="22"/>
          <w:szCs w:val="22"/>
        </w:rPr>
      </w:pPr>
      <w:r w:rsidRPr="0056419A">
        <w:rPr>
          <w:color w:val="808080"/>
          <w:sz w:val="22"/>
          <w:szCs w:val="22"/>
        </w:rPr>
        <w:t xml:space="preserve">There is no basis in the available evidence of record to establish service connection for </w:t>
      </w:r>
      <w:r w:rsidR="0073745F">
        <w:rPr>
          <w:color w:val="808080"/>
          <w:sz w:val="22"/>
          <w:szCs w:val="22"/>
        </w:rPr>
        <w:t>{}.</w:t>
      </w:r>
      <w:r w:rsidRPr="0056419A">
        <w:rPr>
          <w:color w:val="808080"/>
          <w:sz w:val="22"/>
          <w:szCs w:val="22"/>
        </w:rPr>
        <w:t xml:space="preserve"> This condition did not happen in military service, nor was it aggravated or caused by service.</w:t>
      </w:r>
    </w:p>
    <w:p w:rsidR="0056419A" w:rsidRDefault="0056419A" w:rsidP="00156EA6">
      <w:pPr>
        <w:rPr>
          <w:sz w:val="22"/>
        </w:rPr>
      </w:pPr>
    </w:p>
    <w:p w:rsidR="0056419A" w:rsidRPr="00B759D3" w:rsidRDefault="0056419A" w:rsidP="0056419A">
      <w:pPr>
        <w:tabs>
          <w:tab w:val="left" w:pos="720"/>
        </w:tabs>
        <w:ind w:left="720"/>
        <w:rPr>
          <w:i/>
          <w:sz w:val="22"/>
          <w:szCs w:val="22"/>
        </w:rPr>
      </w:pPr>
      <w:r>
        <w:rPr>
          <w:i/>
          <w:color w:val="FF0000"/>
          <w:sz w:val="22"/>
          <w:szCs w:val="22"/>
        </w:rPr>
        <w:t>No Diagnosis</w:t>
      </w:r>
      <w:r w:rsidRPr="00B759D3">
        <w:rPr>
          <w:i/>
          <w:color w:val="FF0000"/>
          <w:sz w:val="22"/>
          <w:szCs w:val="22"/>
        </w:rPr>
        <w:t>:</w:t>
      </w:r>
    </w:p>
    <w:p w:rsidR="0056419A" w:rsidRDefault="0056419A" w:rsidP="0056419A">
      <w:pPr>
        <w:tabs>
          <w:tab w:val="left" w:pos="720"/>
        </w:tabs>
        <w:ind w:left="720"/>
        <w:rPr>
          <w:color w:val="808080"/>
          <w:sz w:val="22"/>
          <w:szCs w:val="22"/>
        </w:rPr>
      </w:pPr>
      <w:r w:rsidRPr="0056419A">
        <w:rPr>
          <w:color w:val="808080"/>
          <w:sz w:val="22"/>
          <w:szCs w:val="22"/>
        </w:rPr>
        <w:t>Service connection based on a relationship to herbicide exposure is denied because the evidence does not show a diagnosis of a condition for which VA has found a positive association to herbicide exposure.</w:t>
      </w:r>
    </w:p>
    <w:p w:rsidR="0056419A" w:rsidRDefault="0056419A" w:rsidP="00156EA6">
      <w:pPr>
        <w:rPr>
          <w:sz w:val="22"/>
        </w:rPr>
      </w:pPr>
    </w:p>
    <w:p w:rsidR="0056419A" w:rsidRPr="00B759D3" w:rsidRDefault="0056419A" w:rsidP="0056419A">
      <w:pPr>
        <w:tabs>
          <w:tab w:val="left" w:pos="720"/>
        </w:tabs>
        <w:ind w:left="720"/>
        <w:rPr>
          <w:i/>
          <w:sz w:val="22"/>
          <w:szCs w:val="22"/>
        </w:rPr>
      </w:pPr>
      <w:r>
        <w:rPr>
          <w:i/>
          <w:color w:val="FF0000"/>
          <w:sz w:val="22"/>
          <w:szCs w:val="22"/>
        </w:rPr>
        <w:t>Peripheral Neuropathy Not Within 1 Year</w:t>
      </w:r>
    </w:p>
    <w:p w:rsidR="0056419A" w:rsidRDefault="0056419A" w:rsidP="0056419A">
      <w:pPr>
        <w:tabs>
          <w:tab w:val="left" w:pos="720"/>
        </w:tabs>
        <w:ind w:left="720"/>
        <w:rPr>
          <w:color w:val="808080"/>
          <w:sz w:val="22"/>
          <w:szCs w:val="22"/>
        </w:rPr>
      </w:pPr>
      <w:r w:rsidRPr="0056419A">
        <w:rPr>
          <w:color w:val="808080"/>
          <w:sz w:val="22"/>
          <w:szCs w:val="22"/>
        </w:rPr>
        <w:t>Service connection for peripheral neuropathy cannot be established since the neuropathy did not first become manifest to a compensable degree within one year after last exposure to herbicides.</w:t>
      </w:r>
    </w:p>
    <w:p w:rsidR="0056419A" w:rsidRDefault="0056419A" w:rsidP="00156EA6">
      <w:pPr>
        <w:rPr>
          <w:sz w:val="22"/>
        </w:rPr>
      </w:pPr>
    </w:p>
    <w:p w:rsidR="0056419A" w:rsidRPr="00B759D3" w:rsidRDefault="0056419A" w:rsidP="0056419A">
      <w:pPr>
        <w:tabs>
          <w:tab w:val="left" w:pos="720"/>
        </w:tabs>
        <w:ind w:left="720"/>
        <w:rPr>
          <w:i/>
          <w:sz w:val="22"/>
          <w:szCs w:val="22"/>
        </w:rPr>
      </w:pPr>
      <w:r>
        <w:rPr>
          <w:i/>
          <w:color w:val="FF0000"/>
          <w:sz w:val="22"/>
          <w:szCs w:val="22"/>
        </w:rPr>
        <w:t>Porphyria Cutanea Tardae Not within 1 Year</w:t>
      </w:r>
      <w:r w:rsidRPr="00B759D3">
        <w:rPr>
          <w:i/>
          <w:color w:val="FF0000"/>
          <w:sz w:val="22"/>
          <w:szCs w:val="22"/>
        </w:rPr>
        <w:t>:</w:t>
      </w:r>
    </w:p>
    <w:p w:rsidR="0056419A" w:rsidRDefault="0056419A" w:rsidP="0056419A">
      <w:pPr>
        <w:tabs>
          <w:tab w:val="left" w:pos="720"/>
        </w:tabs>
        <w:ind w:left="720"/>
        <w:rPr>
          <w:color w:val="808080"/>
          <w:sz w:val="22"/>
          <w:szCs w:val="22"/>
        </w:rPr>
      </w:pPr>
      <w:r w:rsidRPr="0056419A">
        <w:rPr>
          <w:color w:val="808080"/>
          <w:sz w:val="22"/>
          <w:szCs w:val="22"/>
        </w:rPr>
        <w:t>Service connection for porphyria cutanea tarda cannot be established since the porphyria cutanea tarda did not first become manifest to a compensable degree within one year after last exposure to herbicides.</w:t>
      </w:r>
    </w:p>
    <w:p w:rsidR="0056419A" w:rsidRDefault="0056419A" w:rsidP="00156EA6">
      <w:pPr>
        <w:rPr>
          <w:sz w:val="22"/>
        </w:rPr>
      </w:pPr>
    </w:p>
    <w:p w:rsidR="0056419A" w:rsidRPr="00B759D3" w:rsidRDefault="0056419A" w:rsidP="0056419A">
      <w:pPr>
        <w:tabs>
          <w:tab w:val="left" w:pos="720"/>
        </w:tabs>
        <w:ind w:left="720"/>
        <w:rPr>
          <w:i/>
          <w:sz w:val="22"/>
          <w:szCs w:val="22"/>
        </w:rPr>
      </w:pPr>
      <w:r>
        <w:rPr>
          <w:i/>
          <w:color w:val="FF0000"/>
          <w:sz w:val="22"/>
          <w:szCs w:val="22"/>
        </w:rPr>
        <w:t>Chloracne Not Within 1 Year</w:t>
      </w:r>
      <w:r w:rsidRPr="00B759D3">
        <w:rPr>
          <w:i/>
          <w:color w:val="FF0000"/>
          <w:sz w:val="22"/>
          <w:szCs w:val="22"/>
        </w:rPr>
        <w:t>:</w:t>
      </w:r>
    </w:p>
    <w:p w:rsidR="0056419A" w:rsidRDefault="0056419A" w:rsidP="0056419A">
      <w:pPr>
        <w:tabs>
          <w:tab w:val="left" w:pos="720"/>
        </w:tabs>
        <w:ind w:left="720"/>
        <w:rPr>
          <w:color w:val="808080"/>
          <w:sz w:val="22"/>
          <w:szCs w:val="22"/>
        </w:rPr>
      </w:pPr>
      <w:r w:rsidRPr="0056419A">
        <w:rPr>
          <w:color w:val="808080"/>
          <w:sz w:val="22"/>
          <w:szCs w:val="22"/>
        </w:rPr>
        <w:t>Service connection for chloracne cannot be established since the chloracne did not first become manifest to a compensable degree within one year after last exposure to herbicides.</w:t>
      </w:r>
    </w:p>
    <w:p w:rsidR="0056419A" w:rsidRDefault="0056419A" w:rsidP="00156EA6">
      <w:pPr>
        <w:rPr>
          <w:sz w:val="22"/>
        </w:rPr>
      </w:pPr>
    </w:p>
    <w:p w:rsidR="00156EA6" w:rsidRDefault="00156EA6" w:rsidP="00156EA6">
      <w:pPr>
        <w:rPr>
          <w:sz w:val="22"/>
        </w:rPr>
      </w:pPr>
    </w:p>
    <w:p w:rsidR="006F1329" w:rsidRDefault="006F1329" w:rsidP="006F1329">
      <w:pPr>
        <w:pStyle w:val="BulletText1"/>
        <w:widowControl w:val="0"/>
        <w:tabs>
          <w:tab w:val="clear" w:pos="187"/>
          <w:tab w:val="clear" w:pos="360"/>
          <w:tab w:val="left" w:pos="400"/>
        </w:tabs>
        <w:spacing w:after="120"/>
        <w:ind w:left="0" w:firstLine="0"/>
        <w:rPr>
          <w:i/>
          <w:sz w:val="22"/>
          <w:szCs w:val="22"/>
        </w:rPr>
      </w:pPr>
      <w:r w:rsidRPr="00B759D3">
        <w:rPr>
          <w:i/>
          <w:sz w:val="22"/>
          <w:szCs w:val="22"/>
        </w:rPr>
        <w:t>If the Special Issue</w:t>
      </w:r>
      <w:r w:rsidR="005B451B">
        <w:rPr>
          <w:i/>
          <w:sz w:val="22"/>
          <w:szCs w:val="22"/>
        </w:rPr>
        <w:t xml:space="preserve"> in </w:t>
      </w:r>
      <w:r w:rsidR="005B451B">
        <w:rPr>
          <w:rFonts w:ascii="Verdana" w:hAnsi="Verdana"/>
          <w:b/>
          <w:bCs/>
          <w:highlight w:val="green"/>
        </w:rPr>
        <w:t>VBMS-R</w:t>
      </w:r>
      <w:r w:rsidRPr="00B759D3">
        <w:rPr>
          <w:i/>
          <w:sz w:val="22"/>
          <w:szCs w:val="22"/>
        </w:rPr>
        <w:t xml:space="preserve"> is </w:t>
      </w:r>
      <w:r>
        <w:rPr>
          <w:i/>
          <w:color w:val="FF0000"/>
          <w:sz w:val="22"/>
          <w:szCs w:val="22"/>
        </w:rPr>
        <w:t xml:space="preserve">PTSD – Non-Combat – Stressful Event </w:t>
      </w:r>
      <w:r w:rsidRPr="006F1329">
        <w:rPr>
          <w:i/>
          <w:sz w:val="22"/>
          <w:szCs w:val="22"/>
        </w:rPr>
        <w:t>(</w:t>
      </w:r>
      <w:r>
        <w:rPr>
          <w:b/>
          <w:bCs/>
          <w:i/>
          <w:iCs/>
          <w:sz w:val="20"/>
          <w:u w:val="single"/>
        </w:rPr>
        <w:t>don’t use</w:t>
      </w:r>
      <w:r>
        <w:rPr>
          <w:i/>
          <w:iCs/>
          <w:sz w:val="20"/>
        </w:rPr>
        <w:t xml:space="preserve"> “PTSD-Combat – Fear-Easing Standard” or “PTSD-Non-Combat – Other Stressor Verification”)</w:t>
      </w:r>
      <w:r>
        <w:rPr>
          <w:i/>
          <w:sz w:val="22"/>
          <w:szCs w:val="22"/>
        </w:rPr>
        <w:t>, also have THREE</w:t>
      </w:r>
      <w:r w:rsidRPr="00B759D3">
        <w:rPr>
          <w:i/>
          <w:sz w:val="22"/>
          <w:szCs w:val="22"/>
        </w:rPr>
        <w:t xml:space="preserve"> choices</w:t>
      </w:r>
      <w:r>
        <w:rPr>
          <w:i/>
          <w:sz w:val="22"/>
          <w:szCs w:val="22"/>
        </w:rPr>
        <w:t xml:space="preserve"> below</w:t>
      </w:r>
      <w:r w:rsidRPr="00B759D3">
        <w:rPr>
          <w:i/>
          <w:sz w:val="22"/>
          <w:szCs w:val="22"/>
        </w:rPr>
        <w:t xml:space="preserve">: </w:t>
      </w:r>
    </w:p>
    <w:p w:rsidR="006F1329" w:rsidRDefault="006F1329" w:rsidP="006F1329">
      <w:pPr>
        <w:rPr>
          <w:i/>
          <w:sz w:val="22"/>
          <w:szCs w:val="22"/>
        </w:rPr>
      </w:pPr>
    </w:p>
    <w:p w:rsidR="006F1329" w:rsidRDefault="006F1329" w:rsidP="006F1329">
      <w:pPr>
        <w:tabs>
          <w:tab w:val="left" w:pos="720"/>
        </w:tabs>
        <w:ind w:left="720"/>
        <w:rPr>
          <w:i/>
          <w:color w:val="FF0000"/>
          <w:sz w:val="22"/>
          <w:szCs w:val="22"/>
        </w:rPr>
      </w:pPr>
      <w:r>
        <w:rPr>
          <w:i/>
          <w:color w:val="FF0000"/>
          <w:sz w:val="22"/>
          <w:szCs w:val="22"/>
        </w:rPr>
        <w:t>No Link</w:t>
      </w:r>
      <w:r w:rsidRPr="00B759D3">
        <w:rPr>
          <w:i/>
          <w:color w:val="FF0000"/>
          <w:sz w:val="22"/>
          <w:szCs w:val="22"/>
        </w:rPr>
        <w:t>:</w:t>
      </w:r>
    </w:p>
    <w:p w:rsidR="006F1329" w:rsidRPr="006F1329" w:rsidRDefault="006F1329" w:rsidP="006F1329">
      <w:pPr>
        <w:tabs>
          <w:tab w:val="left" w:pos="720"/>
        </w:tabs>
        <w:ind w:left="720"/>
        <w:rPr>
          <w:color w:val="808080"/>
          <w:sz w:val="22"/>
          <w:szCs w:val="22"/>
        </w:rPr>
      </w:pPr>
      <w:r w:rsidRPr="006F1329">
        <w:rPr>
          <w:color w:val="808080"/>
          <w:sz w:val="22"/>
          <w:szCs w:val="22"/>
        </w:rPr>
        <w:t>Service connection for posttraumatic stress disorder requires medical evidence diagnosing the condition in accordance with 38 CFR 4.125(a); a link, established by medical evidence, between current symptoms and an in-service stressor; and credible supporting evidence that the claimed in-service stressor occurred.</w:t>
      </w:r>
    </w:p>
    <w:p w:rsidR="006F1329" w:rsidRPr="006F1329" w:rsidRDefault="006F1329" w:rsidP="006F1329">
      <w:pPr>
        <w:tabs>
          <w:tab w:val="left" w:pos="720"/>
        </w:tabs>
        <w:ind w:left="720"/>
        <w:rPr>
          <w:color w:val="808080"/>
          <w:sz w:val="22"/>
          <w:szCs w:val="22"/>
        </w:rPr>
      </w:pPr>
    </w:p>
    <w:p w:rsidR="006F1329" w:rsidRDefault="006F1329" w:rsidP="006F1329">
      <w:pPr>
        <w:tabs>
          <w:tab w:val="left" w:pos="720"/>
        </w:tabs>
        <w:ind w:left="720"/>
        <w:rPr>
          <w:color w:val="808080"/>
          <w:sz w:val="22"/>
          <w:szCs w:val="22"/>
        </w:rPr>
      </w:pPr>
      <w:r w:rsidRPr="006F1329">
        <w:rPr>
          <w:color w:val="808080"/>
          <w:sz w:val="22"/>
          <w:szCs w:val="22"/>
        </w:rPr>
        <w:t>If the evidence establishes that the veteran engaged in combat with the enemy and the claimed stressor is related to that combat, in the absence of clear and convincing evidence to the contrary, and provided that the claimed stressor is consistent with the circumstances, conditions, or hardships of the veteran's service, occurrence of the claimed in-service stressor may be established by the veteran's lay testimony alone. If the evidence establishes that the veteran was a prisoner-of-war under the provisions of 38 CFR 3.1(y) and the claimed stressor is related to that prisoner-of-war experience, in the absence of clear and convincing evidence to the contrary, and provided that the claimed stressor is consistent with the circumstances, conditions, or hardships of the veteran's service, occurrence of the claimed in-service stressor may be established by the veteran's lay testimony alone. {38 CFR Sections 3.1(y), 3.304(f), 4.125(a)}</w:t>
      </w:r>
    </w:p>
    <w:p w:rsidR="006F1329" w:rsidRPr="00B759D3" w:rsidRDefault="006F1329" w:rsidP="006F1329">
      <w:pPr>
        <w:tabs>
          <w:tab w:val="left" w:pos="720"/>
        </w:tabs>
        <w:ind w:left="720"/>
        <w:rPr>
          <w:i/>
          <w:sz w:val="22"/>
          <w:szCs w:val="22"/>
        </w:rPr>
      </w:pPr>
    </w:p>
    <w:p w:rsidR="006F1329" w:rsidRDefault="006F1329" w:rsidP="006F1329">
      <w:pPr>
        <w:tabs>
          <w:tab w:val="left" w:pos="720"/>
        </w:tabs>
        <w:ind w:left="720"/>
        <w:rPr>
          <w:color w:val="808080"/>
          <w:sz w:val="22"/>
          <w:szCs w:val="22"/>
        </w:rPr>
      </w:pPr>
      <w:r w:rsidRPr="006F1329">
        <w:rPr>
          <w:color w:val="808080"/>
          <w:sz w:val="22"/>
          <w:szCs w:val="22"/>
        </w:rPr>
        <w:t>The available medical evidence is insufficient to confirm a link between current symptoms and an in-service stressor.</w:t>
      </w:r>
    </w:p>
    <w:p w:rsidR="006F1329" w:rsidRDefault="006F1329" w:rsidP="006F1329">
      <w:pPr>
        <w:tabs>
          <w:tab w:val="left" w:pos="720"/>
        </w:tabs>
        <w:ind w:left="720"/>
        <w:rPr>
          <w:color w:val="808080"/>
          <w:sz w:val="22"/>
          <w:szCs w:val="22"/>
        </w:rPr>
      </w:pPr>
    </w:p>
    <w:p w:rsidR="006F1329" w:rsidRPr="00B759D3" w:rsidRDefault="006F1329" w:rsidP="006F1329">
      <w:pPr>
        <w:tabs>
          <w:tab w:val="left" w:pos="720"/>
        </w:tabs>
        <w:ind w:left="720"/>
        <w:rPr>
          <w:i/>
          <w:sz w:val="22"/>
          <w:szCs w:val="22"/>
        </w:rPr>
      </w:pPr>
      <w:r>
        <w:rPr>
          <w:i/>
          <w:color w:val="FF0000"/>
          <w:sz w:val="22"/>
          <w:szCs w:val="22"/>
        </w:rPr>
        <w:t>No Combat Stressor (PTSD):</w:t>
      </w:r>
    </w:p>
    <w:p w:rsidR="006F1329" w:rsidRPr="006F1329" w:rsidRDefault="006F1329" w:rsidP="006F1329">
      <w:pPr>
        <w:tabs>
          <w:tab w:val="left" w:pos="720"/>
        </w:tabs>
        <w:ind w:left="720"/>
        <w:rPr>
          <w:color w:val="808080"/>
          <w:sz w:val="22"/>
          <w:szCs w:val="22"/>
        </w:rPr>
      </w:pPr>
      <w:r w:rsidRPr="006F1329">
        <w:rPr>
          <w:color w:val="808080"/>
          <w:sz w:val="22"/>
          <w:szCs w:val="22"/>
        </w:rPr>
        <w:t>Service connection for posttraumatic stress disorder requires medical evidence diagnosing the condition in accordance with 38 CFR 4.125(a); a link, established by medical evidence, between current symptoms and an in-service stressor; and credible supporting evidence that the claimed in-service stressor occurred.</w:t>
      </w:r>
    </w:p>
    <w:p w:rsidR="006F1329" w:rsidRPr="006F1329" w:rsidRDefault="006F1329" w:rsidP="006F1329">
      <w:pPr>
        <w:tabs>
          <w:tab w:val="left" w:pos="720"/>
        </w:tabs>
        <w:ind w:left="720"/>
        <w:rPr>
          <w:color w:val="808080"/>
          <w:sz w:val="22"/>
          <w:szCs w:val="22"/>
        </w:rPr>
      </w:pPr>
    </w:p>
    <w:p w:rsidR="006F1329" w:rsidRDefault="006F1329" w:rsidP="006F1329">
      <w:pPr>
        <w:tabs>
          <w:tab w:val="left" w:pos="720"/>
        </w:tabs>
        <w:ind w:left="720"/>
        <w:rPr>
          <w:color w:val="808080"/>
          <w:sz w:val="22"/>
          <w:szCs w:val="22"/>
        </w:rPr>
      </w:pPr>
      <w:r w:rsidRPr="006F1329">
        <w:rPr>
          <w:color w:val="808080"/>
          <w:sz w:val="22"/>
          <w:szCs w:val="22"/>
        </w:rPr>
        <w:t>If the veteran engaged in combat with the enemy and the claimed stressor is related to that combat, the Veteran's lay statement alone may establish the occurrence of the stressor. The available evidence is not sufficient to confirm that the Veteran actually engaged in combat with the enemy. Receipt of an award or medal related to combat or other documentation of combat has not been established. When determining whether to grant service connection for PTSD, VA considers all potential in-service stressors reported by the Veteran or raised by the evidence. The stressors can include combat, non-combat, fear of hostile military or terrorist activity, or personal assault. VA was unable to corroborate combat or any other in-service stressor.</w:t>
      </w:r>
    </w:p>
    <w:p w:rsidR="006F1329" w:rsidRDefault="006F1329" w:rsidP="006F1329">
      <w:pPr>
        <w:rPr>
          <w:sz w:val="22"/>
        </w:rPr>
      </w:pPr>
    </w:p>
    <w:p w:rsidR="006F1329" w:rsidRPr="00B759D3" w:rsidRDefault="006F1329" w:rsidP="006F1329">
      <w:pPr>
        <w:tabs>
          <w:tab w:val="left" w:pos="720"/>
        </w:tabs>
        <w:ind w:left="720"/>
        <w:rPr>
          <w:i/>
          <w:sz w:val="22"/>
          <w:szCs w:val="22"/>
        </w:rPr>
      </w:pPr>
      <w:r>
        <w:rPr>
          <w:i/>
          <w:color w:val="FF0000"/>
          <w:sz w:val="22"/>
          <w:szCs w:val="22"/>
        </w:rPr>
        <w:t xml:space="preserve">No Diagnosis (PTSD) </w:t>
      </w:r>
      <w:r>
        <w:rPr>
          <w:i/>
          <w:szCs w:val="22"/>
        </w:rPr>
        <w:t>(it seems y</w:t>
      </w:r>
      <w:r w:rsidRPr="006F1329">
        <w:rPr>
          <w:i/>
          <w:szCs w:val="22"/>
        </w:rPr>
        <w:t xml:space="preserve">ou </w:t>
      </w:r>
      <w:r>
        <w:rPr>
          <w:i/>
          <w:szCs w:val="22"/>
        </w:rPr>
        <w:t>may</w:t>
      </w:r>
      <w:r w:rsidRPr="006F1329">
        <w:rPr>
          <w:i/>
          <w:szCs w:val="22"/>
        </w:rPr>
        <w:t xml:space="preserve">l also automatically get this language if you choose No Diagnosis as a Decision </w:t>
      </w:r>
      <w:r>
        <w:rPr>
          <w:i/>
          <w:szCs w:val="22"/>
        </w:rPr>
        <w:t>B</w:t>
      </w:r>
      <w:r w:rsidRPr="006F1329">
        <w:rPr>
          <w:i/>
          <w:szCs w:val="22"/>
        </w:rPr>
        <w:t>asis</w:t>
      </w:r>
      <w:r>
        <w:rPr>
          <w:i/>
          <w:szCs w:val="22"/>
        </w:rPr>
        <w:t xml:space="preserve"> on the DDI screen)</w:t>
      </w:r>
      <w:r w:rsidRPr="00B759D3">
        <w:rPr>
          <w:i/>
          <w:color w:val="FF0000"/>
          <w:sz w:val="22"/>
          <w:szCs w:val="22"/>
        </w:rPr>
        <w:t>:</w:t>
      </w:r>
    </w:p>
    <w:p w:rsidR="006F1329" w:rsidRPr="006F1329" w:rsidRDefault="006F1329" w:rsidP="006F1329">
      <w:pPr>
        <w:ind w:left="720"/>
        <w:rPr>
          <w:color w:val="808080"/>
          <w:sz w:val="22"/>
          <w:szCs w:val="22"/>
        </w:rPr>
      </w:pPr>
      <w:r w:rsidRPr="006F1329">
        <w:rPr>
          <w:color w:val="808080"/>
          <w:sz w:val="22"/>
          <w:szCs w:val="22"/>
        </w:rPr>
        <w:t>Service connection for posttraumatic stress disorder requires medical evidence diagnosing the condition in accordance with 38 CFR 4.125(a); a link, established by medical evidence, between current symptoms and an in-service stressor; and credible supporting evidence that the claimed in-service stressor occurred.</w:t>
      </w:r>
    </w:p>
    <w:p w:rsidR="006F1329" w:rsidRPr="006F1329" w:rsidRDefault="006F1329" w:rsidP="006F1329">
      <w:pPr>
        <w:ind w:left="720"/>
        <w:rPr>
          <w:color w:val="808080"/>
          <w:sz w:val="22"/>
          <w:szCs w:val="22"/>
        </w:rPr>
      </w:pPr>
    </w:p>
    <w:p w:rsidR="006F1329" w:rsidRPr="006F1329" w:rsidRDefault="006F1329" w:rsidP="006F1329">
      <w:pPr>
        <w:ind w:left="720"/>
        <w:rPr>
          <w:color w:val="808080"/>
          <w:sz w:val="22"/>
          <w:szCs w:val="22"/>
        </w:rPr>
      </w:pPr>
      <w:r w:rsidRPr="006F1329">
        <w:rPr>
          <w:color w:val="808080"/>
          <w:sz w:val="22"/>
          <w:szCs w:val="22"/>
        </w:rPr>
        <w:t>If the evidence establishes that the veteran engaged in combat with the enemy and the claimed stressor is related to that combat, in the absence of clear and convincing evidence to the contrary, and provided that the claimed stressor is consistent with the circumstances, conditions, or hardships of the veteran's service, occurrence of the claimed in-service stressor may be established by the veteran's lay testimony alone. If the evidence establishes that the veteran was a prisoner-of-war under the provisions of 38 CFR 3.1(y) and the claimed stressor is related to that prisoner-of-war experience, in the absence of clear and convincing evidence to the contrary, and provided that the claimed stressor is consistent with the circumstances, conditions, or hardships of the veteran's service, occurrence of the claimed in-service stressor may be established by the veteran's lay testimony alone. {38 CFR Sections 3.1(y), 3.304(f), 4.125(a)}</w:t>
      </w:r>
    </w:p>
    <w:p w:rsidR="006F1329" w:rsidRPr="006F1329" w:rsidRDefault="006F1329" w:rsidP="006F1329">
      <w:pPr>
        <w:ind w:left="720"/>
        <w:rPr>
          <w:color w:val="808080"/>
          <w:sz w:val="22"/>
          <w:szCs w:val="22"/>
        </w:rPr>
      </w:pPr>
    </w:p>
    <w:p w:rsidR="006F1329" w:rsidRDefault="006F1329" w:rsidP="006F1329">
      <w:pPr>
        <w:ind w:left="720"/>
        <w:rPr>
          <w:i/>
          <w:sz w:val="22"/>
          <w:szCs w:val="22"/>
        </w:rPr>
      </w:pPr>
      <w:r w:rsidRPr="006F1329">
        <w:rPr>
          <w:color w:val="808080"/>
          <w:sz w:val="22"/>
          <w:szCs w:val="22"/>
        </w:rPr>
        <w:t xml:space="preserve">A diagnosis of posttraumatic stress disorder must meet all diagnostic criteria as stated in the Diagnostic and Statistical Manual of Mental Disorders published by the American Psychiatric </w:t>
      </w:r>
      <w:r w:rsidRPr="006F1329">
        <w:rPr>
          <w:color w:val="808080"/>
          <w:sz w:val="22"/>
          <w:szCs w:val="22"/>
        </w:rPr>
        <w:lastRenderedPageBreak/>
        <w:t>Association. The evidence does not show a confirmed diagnosis of posttraumatic stress disorder which would permit a finding of service connection.</w:t>
      </w:r>
    </w:p>
    <w:p w:rsidR="006F1329" w:rsidRDefault="006F1329" w:rsidP="00156EA6">
      <w:pPr>
        <w:rPr>
          <w:sz w:val="22"/>
        </w:rPr>
      </w:pPr>
    </w:p>
    <w:p w:rsidR="006F1329" w:rsidRDefault="006F1329" w:rsidP="00156EA6">
      <w:pPr>
        <w:rPr>
          <w:sz w:val="22"/>
        </w:rPr>
      </w:pPr>
    </w:p>
    <w:p w:rsidR="006F1329" w:rsidRDefault="006F1329" w:rsidP="00156EA6">
      <w:pPr>
        <w:rPr>
          <w:sz w:val="22"/>
        </w:rPr>
      </w:pPr>
    </w:p>
    <w:p w:rsidR="00013EB8" w:rsidRDefault="00013EB8">
      <w:pPr>
        <w:widowControl w:val="0"/>
        <w:pBdr>
          <w:top w:val="double" w:sz="4" w:space="1" w:color="auto"/>
        </w:pBdr>
        <w:tabs>
          <w:tab w:val="left" w:pos="0"/>
          <w:tab w:val="left" w:pos="144"/>
        </w:tabs>
        <w:rPr>
          <w:sz w:val="22"/>
        </w:rPr>
      </w:pPr>
    </w:p>
    <w:tbl>
      <w:tblPr>
        <w:tblW w:w="4947" w:type="pct"/>
        <w:tblLayout w:type="fixed"/>
        <w:tblCellMar>
          <w:left w:w="0" w:type="dxa"/>
          <w:right w:w="0" w:type="dxa"/>
        </w:tblCellMar>
        <w:tblLook w:val="0000" w:firstRow="0" w:lastRow="0" w:firstColumn="0" w:lastColumn="0" w:noHBand="0" w:noVBand="0"/>
      </w:tblPr>
      <w:tblGrid>
        <w:gridCol w:w="1180"/>
        <w:gridCol w:w="2273"/>
        <w:gridCol w:w="5360"/>
        <w:gridCol w:w="1595"/>
      </w:tblGrid>
      <w:tr w:rsidR="00013EB8">
        <w:trPr>
          <w:trHeight w:val="480"/>
          <w:tblHeader/>
        </w:trPr>
        <w:tc>
          <w:tcPr>
            <w:tcW w:w="5000" w:type="pct"/>
            <w:gridSpan w:val="4"/>
            <w:tcBorders>
              <w:top w:val="single" w:sz="4" w:space="0" w:color="auto"/>
              <w:left w:val="single" w:sz="4" w:space="0" w:color="auto"/>
              <w:bottom w:val="single" w:sz="4" w:space="0" w:color="auto"/>
              <w:right w:val="single" w:sz="4" w:space="0" w:color="000000"/>
            </w:tcBorders>
            <w:shd w:val="clear" w:color="auto" w:fill="FFFF00"/>
            <w:noWrap/>
            <w:tcMar>
              <w:top w:w="15" w:type="dxa"/>
              <w:left w:w="15" w:type="dxa"/>
              <w:bottom w:w="0" w:type="dxa"/>
              <w:right w:w="15" w:type="dxa"/>
            </w:tcMar>
            <w:vAlign w:val="bottom"/>
          </w:tcPr>
          <w:p w:rsidR="00013EB8" w:rsidRDefault="0011066A" w:rsidP="0011066A">
            <w:pPr>
              <w:pStyle w:val="Heading2"/>
              <w:keepNext w:val="0"/>
              <w:widowControl w:val="0"/>
              <w:jc w:val="center"/>
              <w:rPr>
                <w:sz w:val="20"/>
              </w:rPr>
            </w:pPr>
            <w:bookmarkStart w:id="31" w:name="SNLDenialReasons"/>
            <w:r>
              <w:rPr>
                <w:sz w:val="20"/>
              </w:rPr>
              <w:t xml:space="preserve">Glossary fragments </w:t>
            </w:r>
            <w:r w:rsidRPr="0011066A">
              <w:rPr>
                <w:b w:val="0"/>
                <w:sz w:val="20"/>
              </w:rPr>
              <w:t>(</w:t>
            </w:r>
            <w:r>
              <w:rPr>
                <w:b w:val="0"/>
                <w:sz w:val="20"/>
              </w:rPr>
              <w:t>S</w:t>
            </w:r>
            <w:r w:rsidRPr="0011066A">
              <w:rPr>
                <w:b w:val="0"/>
                <w:sz w:val="20"/>
              </w:rPr>
              <w:t>NL/ADL codes, use</w:t>
            </w:r>
            <w:r>
              <w:rPr>
                <w:sz w:val="20"/>
              </w:rPr>
              <w:t xml:space="preserve"> CTRL-SHIFT-A</w:t>
            </w:r>
            <w:r w:rsidRPr="0011066A">
              <w:rPr>
                <w:b w:val="0"/>
                <w:sz w:val="20"/>
              </w:rPr>
              <w:t>)</w:t>
            </w:r>
            <w:r w:rsidR="00013EB8">
              <w:rPr>
                <w:sz w:val="20"/>
              </w:rPr>
              <w:t xml:space="preserve"> and </w:t>
            </w:r>
            <w:r w:rsidR="00D94044" w:rsidRPr="00D94044">
              <w:rPr>
                <w:rFonts w:ascii="Verdana" w:hAnsi="Verdana"/>
                <w:sz w:val="20"/>
                <w:highlight w:val="green"/>
              </w:rPr>
              <w:t>VBMS-R</w:t>
            </w:r>
            <w:r>
              <w:rPr>
                <w:sz w:val="20"/>
              </w:rPr>
              <w:t xml:space="preserve"> Denial REASONS</w:t>
            </w:r>
            <w:bookmarkEnd w:id="31"/>
          </w:p>
        </w:tc>
      </w:tr>
      <w:tr w:rsidR="00013EB8" w:rsidTr="009F3C20">
        <w:trPr>
          <w:trHeight w:val="480"/>
          <w:tblHeader/>
        </w:trPr>
        <w:tc>
          <w:tcPr>
            <w:tcW w:w="567" w:type="pct"/>
            <w:tcBorders>
              <w:top w:val="nil"/>
              <w:left w:val="single" w:sz="4" w:space="0" w:color="auto"/>
              <w:bottom w:val="single" w:sz="4" w:space="0" w:color="auto"/>
              <w:right w:val="single" w:sz="4" w:space="0" w:color="auto"/>
            </w:tcBorders>
            <w:shd w:val="clear" w:color="auto" w:fill="C0C0C0"/>
            <w:noWrap/>
            <w:tcMar>
              <w:top w:w="15" w:type="dxa"/>
              <w:left w:w="15" w:type="dxa"/>
              <w:bottom w:w="0" w:type="dxa"/>
              <w:right w:w="15" w:type="dxa"/>
            </w:tcMar>
            <w:vAlign w:val="bottom"/>
          </w:tcPr>
          <w:p w:rsidR="00013EB8" w:rsidRDefault="00013EB8">
            <w:pPr>
              <w:widowControl w:val="0"/>
              <w:rPr>
                <w:b/>
                <w:bCs/>
              </w:rPr>
            </w:pPr>
            <w:r>
              <w:rPr>
                <w:b/>
                <w:bCs/>
              </w:rPr>
              <w:t>Abbreviation</w:t>
            </w:r>
          </w:p>
        </w:tc>
        <w:tc>
          <w:tcPr>
            <w:tcW w:w="1092" w:type="pct"/>
            <w:tcBorders>
              <w:top w:val="nil"/>
              <w:left w:val="nil"/>
              <w:bottom w:val="single" w:sz="4" w:space="0" w:color="auto"/>
              <w:right w:val="single" w:sz="4" w:space="0" w:color="auto"/>
            </w:tcBorders>
            <w:shd w:val="clear" w:color="auto" w:fill="C0C0C0"/>
            <w:noWrap/>
            <w:tcMar>
              <w:top w:w="15" w:type="dxa"/>
              <w:left w:w="15" w:type="dxa"/>
              <w:bottom w:w="0" w:type="dxa"/>
              <w:right w:w="15" w:type="dxa"/>
            </w:tcMar>
            <w:vAlign w:val="bottom"/>
          </w:tcPr>
          <w:p w:rsidR="00013EB8" w:rsidRDefault="00013EB8">
            <w:pPr>
              <w:widowControl w:val="0"/>
              <w:rPr>
                <w:b/>
                <w:bCs/>
              </w:rPr>
            </w:pPr>
            <w:r>
              <w:rPr>
                <w:b/>
                <w:bCs/>
              </w:rPr>
              <w:t>Definition</w:t>
            </w:r>
          </w:p>
        </w:tc>
        <w:tc>
          <w:tcPr>
            <w:tcW w:w="2575" w:type="pct"/>
            <w:tcBorders>
              <w:top w:val="nil"/>
              <w:left w:val="nil"/>
              <w:bottom w:val="single" w:sz="4" w:space="0" w:color="auto"/>
              <w:right w:val="single" w:sz="4" w:space="0" w:color="auto"/>
            </w:tcBorders>
            <w:shd w:val="clear" w:color="auto" w:fill="C0C0C0"/>
            <w:tcMar>
              <w:top w:w="15" w:type="dxa"/>
              <w:left w:w="15" w:type="dxa"/>
              <w:bottom w:w="0" w:type="dxa"/>
              <w:right w:w="15" w:type="dxa"/>
            </w:tcMar>
            <w:vAlign w:val="bottom"/>
          </w:tcPr>
          <w:p w:rsidR="00013EB8" w:rsidRDefault="00013EB8">
            <w:pPr>
              <w:widowControl w:val="0"/>
              <w:rPr>
                <w:b/>
                <w:bCs/>
              </w:rPr>
            </w:pPr>
            <w:r>
              <w:rPr>
                <w:b/>
                <w:bCs/>
              </w:rPr>
              <w:t>Language</w:t>
            </w:r>
          </w:p>
        </w:tc>
        <w:tc>
          <w:tcPr>
            <w:tcW w:w="766" w:type="pct"/>
            <w:tcBorders>
              <w:top w:val="nil"/>
              <w:left w:val="nil"/>
              <w:bottom w:val="single" w:sz="4" w:space="0" w:color="auto"/>
              <w:right w:val="single" w:sz="4" w:space="0" w:color="auto"/>
            </w:tcBorders>
            <w:shd w:val="clear" w:color="auto" w:fill="C0C0C0"/>
          </w:tcPr>
          <w:p w:rsidR="00013EB8" w:rsidRDefault="00013EB8">
            <w:pPr>
              <w:widowControl w:val="0"/>
              <w:rPr>
                <w:b/>
                <w:bCs/>
              </w:rPr>
            </w:pPr>
            <w:r>
              <w:rPr>
                <w:b/>
                <w:bCs/>
              </w:rPr>
              <w:t>Reasons That Require Additional Free Text</w:t>
            </w:r>
          </w:p>
        </w:tc>
      </w:tr>
      <w:tr w:rsidR="00013EB8" w:rsidTr="009F3C20">
        <w:trPr>
          <w:trHeight w:val="313"/>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7D3F63" w:rsidP="00CF7482">
            <w:pPr>
              <w:widowControl w:val="0"/>
            </w:pPr>
            <w:r>
              <w:rPr>
                <w:rFonts w:ascii="Verdana" w:hAnsi="Verdana"/>
                <w:b/>
                <w:bCs/>
                <w:highlight w:val="green"/>
              </w:rPr>
              <w:t>NODX</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 Diagnosed Condition</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The evidence does not show a current diagnosed disability.</w:t>
            </w:r>
          </w:p>
        </w:tc>
        <w:tc>
          <w:tcPr>
            <w:tcW w:w="766" w:type="pct"/>
            <w:tcBorders>
              <w:top w:val="nil"/>
              <w:left w:val="nil"/>
              <w:bottom w:val="single" w:sz="4" w:space="0" w:color="auto"/>
              <w:right w:val="single" w:sz="4" w:space="0" w:color="auto"/>
            </w:tcBorders>
            <w:vAlign w:val="bottom"/>
          </w:tcPr>
          <w:p w:rsidR="00013EB8" w:rsidRDefault="00D571C5">
            <w:pPr>
              <w:pStyle w:val="TableofFigures"/>
              <w:widowControl w:val="0"/>
              <w:ind w:left="99"/>
              <w:rPr>
                <w:rFonts w:ascii="Arial" w:eastAsia="Arial Unicode MS" w:hAnsi="Arial"/>
                <w:smallCaps w:val="0"/>
                <w:szCs w:val="24"/>
              </w:rPr>
            </w:pPr>
            <w:hyperlink w:anchor="NODXFreeText" w:history="1">
              <w:r w:rsidR="00013EB8">
                <w:rPr>
                  <w:rStyle w:val="Hyperlink"/>
                  <w:rFonts w:ascii="Arial" w:hAnsi="Arial"/>
                  <w:smallCaps w:val="0"/>
                  <w:szCs w:val="24"/>
                </w:rPr>
                <w:t>None</w:t>
              </w:r>
            </w:hyperlink>
          </w:p>
        </w:tc>
      </w:tr>
      <w:tr w:rsidR="00013EB8" w:rsidTr="009F3C20">
        <w:trPr>
          <w:trHeight w:val="600"/>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7D3F63" w:rsidP="007D3F63">
            <w:pPr>
              <w:widowControl w:val="0"/>
            </w:pPr>
            <w:r>
              <w:rPr>
                <w:rFonts w:ascii="Verdana" w:hAnsi="Verdana"/>
                <w:b/>
                <w:bCs/>
                <w:highlight w:val="green"/>
              </w:rPr>
              <w:t>NIS</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 Event, Disease or Injury in Service (Not-in-service)</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TableofFigures"/>
              <w:widowControl w:val="0"/>
              <w:rPr>
                <w:rFonts w:ascii="Arial" w:hAnsi="Arial"/>
                <w:smallCaps w:val="0"/>
                <w:szCs w:val="24"/>
              </w:rPr>
            </w:pPr>
            <w:r>
              <w:rPr>
                <w:rFonts w:ascii="Arial" w:hAnsi="Arial"/>
                <w:smallCaps w:val="0"/>
                <w:szCs w:val="24"/>
              </w:rPr>
              <w:t>The evidence does not show an event, disease or injury in service.</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NISFreeText" w:history="1">
              <w:r w:rsidR="00013EB8">
                <w:rPr>
                  <w:rStyle w:val="Hyperlink"/>
                </w:rPr>
                <w:t>None</w:t>
              </w:r>
            </w:hyperlink>
          </w:p>
        </w:tc>
      </w:tr>
      <w:tr w:rsidR="00013EB8" w:rsidTr="009F3C20">
        <w:trPr>
          <w:trHeight w:hRule="exact" w:val="600"/>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7D3F63" w:rsidP="007D3F63">
            <w:pPr>
              <w:widowControl w:val="0"/>
            </w:pPr>
            <w:r>
              <w:rPr>
                <w:rFonts w:ascii="Verdana" w:hAnsi="Verdana"/>
                <w:b/>
                <w:bCs/>
                <w:highlight w:val="green"/>
              </w:rPr>
              <w:t>NONEX</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 Nexus or Link</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TableofFigures"/>
              <w:widowControl w:val="0"/>
              <w:rPr>
                <w:rFonts w:ascii="Arial" w:hAnsi="Arial"/>
                <w:smallCaps w:val="0"/>
                <w:szCs w:val="24"/>
              </w:rPr>
            </w:pPr>
            <w:r>
              <w:rPr>
                <w:rFonts w:ascii="Arial" w:hAnsi="Arial"/>
                <w:smallCaps w:val="0"/>
                <w:szCs w:val="24"/>
              </w:rPr>
              <w:t>We did not find a link between your medical condition and military service.</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NONEXFreeText" w:history="1">
              <w:r w:rsidR="00013EB8">
                <w:rPr>
                  <w:rStyle w:val="Hyperlink"/>
                </w:rPr>
                <w:t>Free Text</w:t>
              </w:r>
            </w:hyperlink>
          </w:p>
        </w:tc>
      </w:tr>
      <w:tr w:rsidR="00013EB8" w:rsidTr="009F3C20">
        <w:trPr>
          <w:trHeight w:val="1095"/>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7D3F63" w:rsidP="007D3F63">
            <w:pPr>
              <w:widowControl w:val="0"/>
              <w:rPr>
                <w:iCs/>
              </w:rPr>
            </w:pPr>
            <w:r>
              <w:rPr>
                <w:rFonts w:ascii="Verdana" w:hAnsi="Verdana"/>
                <w:b/>
                <w:bCs/>
                <w:highlight w:val="green"/>
              </w:rPr>
              <w:t>NM</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Not Material</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The evidence you subm</w:t>
            </w:r>
            <w:r w:rsidR="00A04A81">
              <w:t xml:space="preserve">itted is not new and material. </w:t>
            </w:r>
            <w:r>
              <w:t xml:space="preserve">Therefore, your claim is not reopened. It is not material because it does not relate to an unestablished fact necessary to substantiate the claim and/or does not raise a reasonable possibility of substantiating the claim.  </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NMFreeText" w:history="1">
              <w:r w:rsidR="00013EB8">
                <w:rPr>
                  <w:rStyle w:val="Hyperlink"/>
                </w:rPr>
                <w:t>Free Text</w:t>
              </w:r>
            </w:hyperlink>
          </w:p>
        </w:tc>
      </w:tr>
      <w:tr w:rsidR="00013EB8" w:rsidTr="009F3C20">
        <w:trPr>
          <w:trHeight w:val="750"/>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013EB8" w:rsidP="007D3F63">
            <w:pPr>
              <w:widowControl w:val="0"/>
            </w:pPr>
            <w:r w:rsidRPr="00A0086D">
              <w:br/>
            </w:r>
            <w:r w:rsidR="007D3F63">
              <w:rPr>
                <w:rFonts w:ascii="Verdana" w:hAnsi="Verdana"/>
                <w:b/>
                <w:bCs/>
                <w:highlight w:val="green"/>
              </w:rPr>
              <w:t>NM_DUP</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Not New 1 (Duplicate evidence)</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rsidP="00A04A81">
            <w:pPr>
              <w:widowControl w:val="0"/>
            </w:pPr>
            <w:r>
              <w:t>The evidence you sub</w:t>
            </w:r>
            <w:r w:rsidR="00A04A81">
              <w:t>mitted is not new and material. T</w:t>
            </w:r>
            <w:r>
              <w:t xml:space="preserve">herefore, your claim is not reopened. It is not new because it had already been submitted and considered.  </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NMDupFreeText" w:history="1">
              <w:r w:rsidR="00013EB8">
                <w:rPr>
                  <w:rStyle w:val="Hyperlink"/>
                </w:rPr>
                <w:t>Free Text</w:t>
              </w:r>
            </w:hyperlink>
          </w:p>
        </w:tc>
      </w:tr>
      <w:tr w:rsidR="00013EB8" w:rsidTr="009F3C20">
        <w:trPr>
          <w:trHeight w:val="665"/>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7D3F63" w:rsidP="007D3F63">
            <w:pPr>
              <w:widowControl w:val="0"/>
              <w:rPr>
                <w:iCs/>
              </w:rPr>
            </w:pPr>
            <w:r>
              <w:rPr>
                <w:rFonts w:ascii="Verdana" w:hAnsi="Verdana"/>
                <w:b/>
                <w:bCs/>
                <w:highlight w:val="green"/>
              </w:rPr>
              <w:t>NM_NONE</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Not New 2 (No medical evidence submitted)</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The evidence you sub</w:t>
            </w:r>
            <w:r w:rsidR="00A04A81">
              <w:t>mitted is not new and material. T</w:t>
            </w:r>
            <w:r>
              <w:t xml:space="preserve">herefore, your claim is not reopened. Although you raised the possibility that more evidence exists, you did not submit it.  </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NMNoneFreeText" w:history="1">
              <w:r w:rsidR="00013EB8">
                <w:rPr>
                  <w:rStyle w:val="Hyperlink"/>
                </w:rPr>
                <w:t>Free Text</w:t>
              </w:r>
            </w:hyperlink>
          </w:p>
        </w:tc>
      </w:tr>
      <w:tr w:rsidR="00013EB8" w:rsidTr="009F3C20">
        <w:trPr>
          <w:trHeight w:val="779"/>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7D3F63" w:rsidP="007D3F63">
            <w:pPr>
              <w:widowControl w:val="0"/>
              <w:rPr>
                <w:iCs/>
              </w:rPr>
            </w:pPr>
            <w:r>
              <w:rPr>
                <w:rFonts w:ascii="Verdana" w:hAnsi="Verdana"/>
                <w:b/>
                <w:bCs/>
                <w:highlight w:val="green"/>
              </w:rPr>
              <w:t>NM_CU</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Not New and Material (Cumulative)</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The evidence you submitted is not new and material. Therefore, your claim is not reopened. It is not new because it is cumulative or redundant of evidence we already considered.  </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NMCUFreeText" w:history="1">
              <w:r w:rsidR="00013EB8">
                <w:rPr>
                  <w:rStyle w:val="Hyperlink"/>
                </w:rPr>
                <w:t>Free Text</w:t>
              </w:r>
            </w:hyperlink>
          </w:p>
        </w:tc>
      </w:tr>
      <w:tr w:rsidR="00013EB8" w:rsidTr="009F3C20">
        <w:trPr>
          <w:trHeight w:val="667"/>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7D3F63" w:rsidP="007D3F63">
            <w:pPr>
              <w:widowControl w:val="0"/>
            </w:pPr>
            <w:r>
              <w:rPr>
                <w:rFonts w:ascii="Verdana" w:hAnsi="Verdana"/>
                <w:b/>
                <w:bCs/>
                <w:highlight w:val="green"/>
              </w:rPr>
              <w:t>P_NP</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Not a presumptive condition – Chronic (Not Presumptive)</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TableofFigures"/>
              <w:widowControl w:val="0"/>
              <w:rPr>
                <w:rFonts w:ascii="Arial" w:hAnsi="Arial"/>
                <w:smallCaps w:val="0"/>
                <w:szCs w:val="24"/>
              </w:rPr>
            </w:pPr>
            <w:r>
              <w:rPr>
                <w:rFonts w:ascii="Arial" w:hAnsi="Arial"/>
                <w:smallCaps w:val="0"/>
                <w:szCs w:val="24"/>
              </w:rPr>
              <w:t>Your condition is not one of the chronic diseases that VA presumes is related to your military service.</w:t>
            </w:r>
          </w:p>
        </w:tc>
        <w:tc>
          <w:tcPr>
            <w:tcW w:w="766" w:type="pct"/>
            <w:tcBorders>
              <w:top w:val="single" w:sz="4" w:space="0" w:color="auto"/>
              <w:left w:val="nil"/>
              <w:bottom w:val="single" w:sz="4" w:space="0" w:color="auto"/>
              <w:right w:val="single" w:sz="4" w:space="0" w:color="auto"/>
            </w:tcBorders>
            <w:vAlign w:val="bottom"/>
          </w:tcPr>
          <w:p w:rsidR="00013EB8" w:rsidRDefault="00013EB8">
            <w:pPr>
              <w:widowControl w:val="0"/>
              <w:ind w:left="99"/>
              <w:rPr>
                <w:rFonts w:eastAsia="Arial Unicode MS"/>
              </w:rPr>
            </w:pPr>
            <w:r w:rsidRPr="006032B1">
              <w:t>None</w:t>
            </w:r>
          </w:p>
        </w:tc>
      </w:tr>
      <w:tr w:rsidR="00013EB8" w:rsidTr="009F3C20">
        <w:trPr>
          <w:trHeight w:val="781"/>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7D3F63" w:rsidP="007D3F63">
            <w:pPr>
              <w:pStyle w:val="Header"/>
              <w:widowControl w:val="0"/>
              <w:tabs>
                <w:tab w:val="clear" w:pos="4320"/>
                <w:tab w:val="clear" w:pos="8640"/>
              </w:tabs>
              <w:rPr>
                <w:iCs/>
              </w:rPr>
            </w:pPr>
            <w:r>
              <w:rPr>
                <w:rFonts w:ascii="Verdana" w:hAnsi="Verdana"/>
                <w:b/>
                <w:bCs/>
                <w:highlight w:val="green"/>
              </w:rPr>
              <w:t>P_NC</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Did not develop to compensable degree (Not Compensable)</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rPr>
                <w:i/>
                <w:iCs/>
              </w:rPr>
            </w:pPr>
            <w:r>
              <w:t xml:space="preserve">The evidence does not show that your disease developed to a compensable degree within the specified time period after release from service to qualify for the presumption of service connection.  </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PNCFreeText" w:history="1">
              <w:r w:rsidR="00013EB8">
                <w:rPr>
                  <w:rStyle w:val="Hyperlink"/>
                </w:rPr>
                <w:t>Free Text</w:t>
              </w:r>
            </w:hyperlink>
          </w:p>
        </w:tc>
      </w:tr>
      <w:tr w:rsidR="00013EB8" w:rsidTr="009F3C20">
        <w:trPr>
          <w:trHeight w:val="630"/>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7D3F63" w:rsidP="007D3F63">
            <w:pPr>
              <w:widowControl w:val="0"/>
              <w:rPr>
                <w:iCs/>
              </w:rPr>
            </w:pPr>
            <w:r>
              <w:rPr>
                <w:rFonts w:ascii="Verdana" w:hAnsi="Verdana"/>
                <w:b/>
                <w:bCs/>
                <w:highlight w:val="green"/>
              </w:rPr>
              <w:t>P_NE</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 qualifying exposure (No Exposure)</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The evidence does not show the location(s) of your military service, or the events you experienced therein, qualify for the presumption of service connection for your disease.  </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PNEFreeText" w:history="1">
              <w:r w:rsidR="00013EB8">
                <w:rPr>
                  <w:rStyle w:val="Hyperlink"/>
                </w:rPr>
                <w:t>Free Text</w:t>
              </w:r>
            </w:hyperlink>
          </w:p>
        </w:tc>
      </w:tr>
      <w:tr w:rsidR="00013EB8" w:rsidTr="009F3C20">
        <w:trPr>
          <w:trHeight w:val="493"/>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7D3F63" w:rsidP="007D3F63">
            <w:pPr>
              <w:widowControl w:val="0"/>
              <w:rPr>
                <w:iCs/>
              </w:rPr>
            </w:pPr>
            <w:r>
              <w:rPr>
                <w:rFonts w:ascii="Verdana" w:hAnsi="Verdana"/>
                <w:b/>
                <w:bCs/>
                <w:highlight w:val="green"/>
              </w:rPr>
              <w:t>P_NS</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 service qualifying for presumption (No Service)</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We did not find that you had active, continuous service for 90 days or more to qualify for the presumption of service connection.</w:t>
            </w:r>
          </w:p>
        </w:tc>
        <w:tc>
          <w:tcPr>
            <w:tcW w:w="766" w:type="pct"/>
            <w:tcBorders>
              <w:top w:val="single" w:sz="4" w:space="0" w:color="auto"/>
              <w:left w:val="nil"/>
              <w:bottom w:val="single" w:sz="4" w:space="0" w:color="auto"/>
              <w:right w:val="single" w:sz="4" w:space="0" w:color="auto"/>
            </w:tcBorders>
            <w:vAlign w:val="bottom"/>
          </w:tcPr>
          <w:p w:rsidR="00013EB8" w:rsidRDefault="00013EB8">
            <w:pPr>
              <w:widowControl w:val="0"/>
              <w:ind w:left="99"/>
              <w:rPr>
                <w:rFonts w:eastAsia="Arial Unicode MS"/>
              </w:rPr>
            </w:pPr>
            <w:r>
              <w:t>None</w:t>
            </w:r>
          </w:p>
        </w:tc>
      </w:tr>
      <w:tr w:rsidR="00013EB8" w:rsidTr="009F3C20">
        <w:trPr>
          <w:trHeight w:val="524"/>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013EB8">
            <w:pPr>
              <w:pStyle w:val="Header"/>
              <w:widowControl w:val="0"/>
              <w:tabs>
                <w:tab w:val="clear" w:pos="4320"/>
                <w:tab w:val="clear" w:pos="8640"/>
              </w:tabs>
            </w:pPr>
          </w:p>
          <w:p w:rsidR="00013EB8" w:rsidRPr="00A0086D" w:rsidRDefault="007D3F63">
            <w:pPr>
              <w:pStyle w:val="Header"/>
              <w:widowControl w:val="0"/>
              <w:tabs>
                <w:tab w:val="clear" w:pos="4320"/>
                <w:tab w:val="clear" w:pos="8640"/>
              </w:tabs>
              <w:rPr>
                <w:iCs/>
              </w:rPr>
            </w:pPr>
            <w:r>
              <w:rPr>
                <w:rFonts w:ascii="Verdana" w:hAnsi="Verdana"/>
                <w:b/>
                <w:bCs/>
                <w:highlight w:val="green"/>
              </w:rPr>
              <w:t>CCDENY</w:t>
            </w:r>
          </w:p>
          <w:p w:rsidR="00013EB8" w:rsidRPr="00A0086D" w:rsidRDefault="00013EB8">
            <w:pPr>
              <w:pStyle w:val="Header"/>
              <w:widowControl w:val="0"/>
              <w:tabs>
                <w:tab w:val="clear" w:pos="4320"/>
                <w:tab w:val="clear" w:pos="8640"/>
              </w:tabs>
              <w:rPr>
                <w:iCs/>
              </w:rPr>
            </w:pPr>
          </w:p>
          <w:p w:rsidR="002E4207" w:rsidRDefault="001D615F" w:rsidP="00B1266B">
            <w:pPr>
              <w:pStyle w:val="Header"/>
              <w:widowControl w:val="0"/>
              <w:tabs>
                <w:tab w:val="clear" w:pos="4320"/>
                <w:tab w:val="clear" w:pos="8640"/>
              </w:tabs>
              <w:rPr>
                <w:rFonts w:ascii="Verdana" w:hAnsi="Verdana"/>
                <w:b/>
                <w:bCs/>
              </w:rPr>
            </w:pPr>
            <w:r w:rsidRPr="001D615F">
              <w:rPr>
                <w:bCs/>
              </w:rPr>
              <w:t>also see</w:t>
            </w:r>
            <w:r>
              <w:rPr>
                <w:bCs/>
              </w:rPr>
              <w:t xml:space="preserve"> </w:t>
            </w:r>
            <w:r w:rsidR="00D11117" w:rsidRPr="00D11117">
              <w:rPr>
                <w:rFonts w:ascii="Verdana" w:hAnsi="Verdana"/>
                <w:b/>
                <w:bCs/>
                <w:highlight w:val="green"/>
              </w:rPr>
              <w:t>CC1</w:t>
            </w:r>
            <w:r w:rsidRPr="00494A88">
              <w:rPr>
                <w:bCs/>
              </w:rPr>
              <w:t xml:space="preserve"> &amp;</w:t>
            </w:r>
            <w:r w:rsidRPr="00494A88">
              <w:rPr>
                <w:rFonts w:ascii="Verdana" w:hAnsi="Verdana"/>
                <w:b/>
                <w:bCs/>
              </w:rPr>
              <w:t xml:space="preserve"> </w:t>
            </w:r>
            <w:r>
              <w:rPr>
                <w:rFonts w:ascii="Verdana" w:hAnsi="Verdana"/>
                <w:b/>
                <w:bCs/>
                <w:highlight w:val="green"/>
              </w:rPr>
              <w:t>CC2</w:t>
            </w:r>
          </w:p>
          <w:p w:rsidR="00B1266B" w:rsidRDefault="00B1266B" w:rsidP="00B1266B">
            <w:pPr>
              <w:pStyle w:val="Header"/>
              <w:widowControl w:val="0"/>
              <w:tabs>
                <w:tab w:val="clear" w:pos="4320"/>
                <w:tab w:val="clear" w:pos="8640"/>
              </w:tabs>
              <w:rPr>
                <w:rFonts w:ascii="Verdana" w:hAnsi="Verdana"/>
                <w:b/>
                <w:bCs/>
              </w:rPr>
            </w:pPr>
          </w:p>
          <w:p w:rsidR="00B1266B" w:rsidRPr="00B1266B" w:rsidRDefault="00B1266B" w:rsidP="00B1266B">
            <w:pPr>
              <w:rPr>
                <w:sz w:val="18"/>
                <w:szCs w:val="18"/>
              </w:rPr>
            </w:pPr>
            <w:r w:rsidRPr="005B3C51">
              <w:rPr>
                <w:sz w:val="18"/>
                <w:szCs w:val="18"/>
              </w:rPr>
              <w:t>*also need other Reasons (like an initial denial)</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Confirm and Continue previous denial</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rsidP="003865A3">
            <w:pPr>
              <w:widowControl w:val="0"/>
            </w:pPr>
            <w:r>
              <w:t>The evidence does not support a change in our prior decision. Therefore, we are confirming the previous denial of this claim.</w:t>
            </w:r>
          </w:p>
          <w:p w:rsidR="00736386" w:rsidRPr="003C6ACD" w:rsidRDefault="00736386" w:rsidP="00736386">
            <w:pPr>
              <w:widowControl w:val="0"/>
              <w:rPr>
                <w:i/>
              </w:rPr>
            </w:pPr>
          </w:p>
          <w:p w:rsidR="00736386" w:rsidRDefault="00736386" w:rsidP="00736386">
            <w:pPr>
              <w:widowControl w:val="0"/>
            </w:pPr>
            <w:r>
              <w:t>“</w:t>
            </w:r>
            <w:r w:rsidR="0001727C" w:rsidRPr="00F407C6">
              <w:rPr>
                <w:i/>
                <w:color w:val="FF0000"/>
                <w:sz w:val="22"/>
                <w:szCs w:val="22"/>
              </w:rPr>
              <w:t>Confirmed and Continued</w:t>
            </w:r>
            <w:r>
              <w:t>” under Supplementary Decision</w:t>
            </w:r>
            <w:r w:rsidR="00C0370A">
              <w:t xml:space="preserve"> - then </w:t>
            </w:r>
            <w:r>
              <w:t>“</w:t>
            </w:r>
            <w:r w:rsidR="0001727C">
              <w:rPr>
                <w:i/>
                <w:color w:val="FF0000"/>
                <w:sz w:val="22"/>
                <w:szCs w:val="22"/>
              </w:rPr>
              <w:t>Reopened Claim for SC Denied on Merits</w:t>
            </w:r>
            <w:r>
              <w:t>”</w:t>
            </w:r>
          </w:p>
          <w:p w:rsidR="00736386" w:rsidRPr="0099386D" w:rsidRDefault="00C551BE" w:rsidP="00736386">
            <w:pPr>
              <w:widowControl w:val="0"/>
              <w:rPr>
                <w:rFonts w:ascii="Verdana" w:hAnsi="Verdana"/>
                <w:b/>
              </w:rPr>
            </w:pPr>
            <w:r>
              <w:rPr>
                <w:rFonts w:ascii="Verdana" w:hAnsi="Verdana"/>
                <w:b/>
                <w:highlight w:val="green"/>
              </w:rPr>
              <w:t>VBMS-R System-Generated Text</w:t>
            </w:r>
            <w:r w:rsidR="00736386" w:rsidRPr="0099386D">
              <w:rPr>
                <w:rFonts w:ascii="Verdana" w:hAnsi="Verdana"/>
                <w:b/>
                <w:highlight w:val="green"/>
              </w:rPr>
              <w:t>:</w:t>
            </w:r>
          </w:p>
          <w:p w:rsidR="00736386" w:rsidRDefault="00736386" w:rsidP="00736386">
            <w:pPr>
              <w:widowControl w:val="0"/>
            </w:pPr>
            <w:r>
              <w:t xml:space="preserve">Decision:  The previous denial of service connection for </w:t>
            </w:r>
            <w:r w:rsidR="00A46221">
              <w:t>{}</w:t>
            </w:r>
            <w:r>
              <w:t xml:space="preserve"> is confirmed and continued.</w:t>
            </w:r>
          </w:p>
          <w:p w:rsidR="00736386" w:rsidRDefault="00736386" w:rsidP="00736386">
            <w:pPr>
              <w:widowControl w:val="0"/>
            </w:pPr>
            <w:r>
              <w:t xml:space="preserve">Reasons:  </w:t>
            </w:r>
            <w:r w:rsidRPr="00B96590">
              <w:t>The cla</w:t>
            </w:r>
            <w:r>
              <w:t xml:space="preserve">im for service connection for </w:t>
            </w:r>
            <w:r w:rsidR="00A46221">
              <w:t>{}</w:t>
            </w:r>
            <w:r w:rsidRPr="00B96590">
              <w:t xml:space="preserve"> is </w:t>
            </w:r>
            <w:r w:rsidRPr="00B96590">
              <w:lastRenderedPageBreak/>
              <w:t>considered reopened.  However, the evidence continues to show this condition was not incurred in or aggravated by military service.</w:t>
            </w:r>
          </w:p>
          <w:p w:rsidR="002E4207" w:rsidRDefault="002E4207" w:rsidP="00736386">
            <w:pPr>
              <w:widowControl w:val="0"/>
            </w:pPr>
          </w:p>
          <w:p w:rsidR="002E4207" w:rsidRPr="00315D48" w:rsidRDefault="002E4207" w:rsidP="00315D48">
            <w:pPr>
              <w:rPr>
                <w:i/>
              </w:rPr>
            </w:pPr>
            <w:r w:rsidRPr="00B1266B">
              <w:rPr>
                <w:sz w:val="18"/>
                <w:szCs w:val="18"/>
              </w:rPr>
              <w:t xml:space="preserve">**not for RECONSIDERATIONS, only for reopened claims with N&amp;M evidence, but still </w:t>
            </w:r>
            <w:r w:rsidR="00315D48">
              <w:rPr>
                <w:sz w:val="18"/>
                <w:szCs w:val="18"/>
              </w:rPr>
              <w:t>denied;</w:t>
            </w:r>
            <w:r w:rsidR="00315D48">
              <w:rPr>
                <w:szCs w:val="22"/>
              </w:rPr>
              <w:t xml:space="preserve"> </w:t>
            </w:r>
            <w:r w:rsidR="00315D48" w:rsidRPr="00315D48">
              <w:rPr>
                <w:i/>
                <w:color w:val="00B050"/>
                <w:sz w:val="18"/>
                <w:szCs w:val="18"/>
              </w:rPr>
              <w:t xml:space="preserve">My Notes: </w:t>
            </w:r>
            <w:r w:rsidR="00315D48" w:rsidRPr="00315D48">
              <w:rPr>
                <w:i/>
                <w:sz w:val="18"/>
                <w:szCs w:val="18"/>
              </w:rPr>
              <w:t xml:space="preserve">I think it’s also for reopen claims without N&amp;M evidence, as </w:t>
            </w:r>
            <w:r w:rsidR="00315D48" w:rsidRPr="005665D9">
              <w:rPr>
                <w:rStyle w:val="Strong"/>
                <w:bCs w:val="0"/>
                <w:i/>
                <w:sz w:val="18"/>
                <w:szCs w:val="18"/>
              </w:rPr>
              <w:t>III.ii.2.D.4.b</w:t>
            </w:r>
            <w:r w:rsidR="00315D48" w:rsidRPr="00315D48">
              <w:rPr>
                <w:rStyle w:val="Strong"/>
                <w:b w:val="0"/>
                <w:bCs w:val="0"/>
                <w:i/>
                <w:sz w:val="18"/>
                <w:szCs w:val="18"/>
              </w:rPr>
              <w:t xml:space="preserve"> says we have to make a two part decision (1-whether N</w:t>
            </w:r>
            <w:r w:rsidR="005665D9">
              <w:rPr>
                <w:rStyle w:val="Strong"/>
                <w:b w:val="0"/>
                <w:bCs w:val="0"/>
                <w:i/>
                <w:sz w:val="18"/>
                <w:szCs w:val="18"/>
              </w:rPr>
              <w:t>&amp;M evidence has been submitted;</w:t>
            </w:r>
            <w:r w:rsidR="00315D48" w:rsidRPr="00315D48">
              <w:rPr>
                <w:rStyle w:val="Strong"/>
                <w:b w:val="0"/>
                <w:bCs w:val="0"/>
                <w:i/>
                <w:sz w:val="18"/>
                <w:szCs w:val="18"/>
              </w:rPr>
              <w:t xml:space="preserve"> 2-whether to grant or continue the denial)</w:t>
            </w:r>
            <w:r w:rsidR="00315D48">
              <w:rPr>
                <w:rStyle w:val="Strong"/>
                <w:b w:val="0"/>
                <w:bCs w:val="0"/>
                <w:i/>
                <w:sz w:val="18"/>
                <w:szCs w:val="18"/>
              </w:rPr>
              <w:t xml:space="preserve"> &amp; </w:t>
            </w:r>
            <w:r w:rsidR="00315D48" w:rsidRPr="005665D9">
              <w:rPr>
                <w:rStyle w:val="Strong"/>
                <w:bCs w:val="0"/>
                <w:i/>
                <w:sz w:val="18"/>
                <w:szCs w:val="18"/>
              </w:rPr>
              <w:t>III.iv.2.B.3.m</w:t>
            </w:r>
            <w:r w:rsidR="00315D48">
              <w:rPr>
                <w:rStyle w:val="Strong"/>
                <w:b w:val="0"/>
                <w:bCs w:val="0"/>
                <w:i/>
                <w:sz w:val="18"/>
                <w:szCs w:val="18"/>
              </w:rPr>
              <w:t xml:space="preserve"> says if evidence is new, but not material, we confirm the previous denial &amp; say the claim is not reopened.</w:t>
            </w:r>
          </w:p>
        </w:tc>
        <w:tc>
          <w:tcPr>
            <w:tcW w:w="766" w:type="pct"/>
            <w:tcBorders>
              <w:top w:val="single" w:sz="4" w:space="0" w:color="auto"/>
              <w:left w:val="nil"/>
              <w:bottom w:val="single" w:sz="4" w:space="0" w:color="auto"/>
              <w:right w:val="single" w:sz="4" w:space="0" w:color="auto"/>
            </w:tcBorders>
            <w:vAlign w:val="bottom"/>
          </w:tcPr>
          <w:p w:rsidR="00013EB8" w:rsidRPr="009203B0" w:rsidRDefault="009203B0" w:rsidP="009203B0">
            <w:pPr>
              <w:widowControl w:val="0"/>
              <w:ind w:left="99"/>
            </w:pPr>
            <w:r>
              <w:lastRenderedPageBreak/>
              <w:t>None</w:t>
            </w:r>
          </w:p>
        </w:tc>
      </w:tr>
      <w:tr w:rsidR="00013EB8" w:rsidTr="009F3C20">
        <w:trPr>
          <w:trHeight w:val="546"/>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234459" w:rsidP="00234459">
            <w:pPr>
              <w:widowControl w:val="0"/>
            </w:pPr>
            <w:r>
              <w:rPr>
                <w:rFonts w:ascii="Verdana" w:hAnsi="Verdana"/>
                <w:b/>
                <w:bCs/>
                <w:highlight w:val="green"/>
              </w:rPr>
              <w:t>NSC2</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Not a secondary condition</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The evidence does not show that your condition resulted from, or was aggravated by, a service-connected disability.</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NSC2FreeText" w:history="1">
              <w:r w:rsidR="00013EB8">
                <w:rPr>
                  <w:rStyle w:val="Hyperlink"/>
                </w:rPr>
                <w:t>Free Text</w:t>
              </w:r>
            </w:hyperlink>
          </w:p>
        </w:tc>
      </w:tr>
      <w:tr w:rsidR="00013EB8" w:rsidTr="009F3C20">
        <w:trPr>
          <w:trHeight w:val="523"/>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pStyle w:val="Header"/>
              <w:widowControl w:val="0"/>
              <w:tabs>
                <w:tab w:val="clear" w:pos="4320"/>
                <w:tab w:val="clear" w:pos="8640"/>
              </w:tabs>
              <w:rPr>
                <w:iCs/>
              </w:rPr>
            </w:pPr>
            <w:r>
              <w:rPr>
                <w:rFonts w:ascii="Verdana" w:hAnsi="Verdana"/>
                <w:b/>
                <w:bCs/>
                <w:highlight w:val="green"/>
              </w:rPr>
              <w:t>NO_AGG</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 evidence of aggravation</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The evidence does not show that your condition, which existed prior to service, permanently worsened as a result of service.</w:t>
            </w:r>
          </w:p>
          <w:p w:rsidR="005E0A87" w:rsidRDefault="005E0A87">
            <w:pPr>
              <w:widowControl w:val="0"/>
            </w:pPr>
          </w:p>
          <w:p w:rsidR="005E0A87" w:rsidRPr="005E0A87" w:rsidRDefault="005E0A87">
            <w:pPr>
              <w:widowControl w:val="0"/>
              <w:rPr>
                <w:i/>
              </w:rPr>
            </w:pPr>
            <w:r w:rsidRPr="005E0A87">
              <w:rPr>
                <w:i/>
                <w:sz w:val="18"/>
              </w:rPr>
              <w:t>*Do not also address direct SC in aggravation cases (i.e. do not use NIS or STRs or AT</w:t>
            </w:r>
            <w:r>
              <w:rPr>
                <w:i/>
                <w:sz w:val="18"/>
              </w:rPr>
              <w:t xml:space="preserve"> or NONEX or V_NONEX</w:t>
            </w:r>
            <w:r w:rsidRPr="005E0A87">
              <w:rPr>
                <w:i/>
                <w:sz w:val="18"/>
              </w:rPr>
              <w:t>).</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NOAggFreeText" w:history="1">
              <w:r w:rsidR="00013EB8">
                <w:rPr>
                  <w:rStyle w:val="Hyperlink"/>
                </w:rPr>
                <w:t>Free Text</w:t>
              </w:r>
            </w:hyperlink>
          </w:p>
        </w:tc>
      </w:tr>
      <w:tr w:rsidR="00013EB8" w:rsidTr="009F3C20">
        <w:trPr>
          <w:trHeight w:val="480"/>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4206E" w:rsidRPr="0004206E" w:rsidRDefault="00234459" w:rsidP="00234459">
            <w:pPr>
              <w:widowControl w:val="0"/>
            </w:pPr>
            <w:r>
              <w:rPr>
                <w:rFonts w:ascii="Verdana" w:hAnsi="Verdana"/>
                <w:b/>
                <w:bCs/>
                <w:highlight w:val="green"/>
              </w:rPr>
              <w:t>WMC</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Willful misconduct</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The evidence shows that this condition resulted from willful misconduct.</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WMCFreeText" w:history="1">
              <w:r w:rsidR="00013EB8">
                <w:rPr>
                  <w:rStyle w:val="Hyperlink"/>
                </w:rPr>
                <w:t>Free Text</w:t>
              </w:r>
            </w:hyperlink>
          </w:p>
        </w:tc>
      </w:tr>
      <w:tr w:rsidR="00013EB8" w:rsidTr="009F3C20">
        <w:trPr>
          <w:trHeight w:val="418"/>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234459" w:rsidRDefault="00D571C5">
            <w:pPr>
              <w:widowControl w:val="0"/>
              <w:rPr>
                <w:rFonts w:ascii="Verdana" w:hAnsi="Verdana"/>
                <w:b/>
              </w:rPr>
            </w:pPr>
            <w:hyperlink w:anchor="CDincludes" w:history="1">
              <w:r w:rsidR="00A0086D" w:rsidRPr="00234459">
                <w:rPr>
                  <w:rStyle w:val="Hyperlink"/>
                  <w:rFonts w:ascii="Verdana" w:hAnsi="Verdana"/>
                  <w:b/>
                  <w:highlight w:val="green"/>
                </w:rPr>
                <w:t>CD</w:t>
              </w:r>
            </w:hyperlink>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Constitutional and Developmental Condition</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2246D6" w:rsidRDefault="00013EB8">
            <w:pPr>
              <w:widowControl w:val="0"/>
            </w:pPr>
            <w:r>
              <w:t>Your condition is considered a congenital or developmental defect, which is unrelated to military service and not aggravated by it.</w:t>
            </w:r>
          </w:p>
          <w:p w:rsidR="001F60C5" w:rsidRDefault="001F60C5">
            <w:pPr>
              <w:widowControl w:val="0"/>
            </w:pPr>
          </w:p>
          <w:p w:rsidR="004E16AB" w:rsidRPr="0099386D" w:rsidRDefault="001F60C5">
            <w:pPr>
              <w:widowControl w:val="0"/>
              <w:rPr>
                <w:rFonts w:ascii="Verdana" w:hAnsi="Verdana"/>
                <w:b/>
              </w:rPr>
            </w:pPr>
            <w:r w:rsidRPr="0099386D">
              <w:rPr>
                <w:rFonts w:ascii="Verdana" w:hAnsi="Verdana"/>
                <w:b/>
                <w:highlight w:val="green"/>
              </w:rPr>
              <w:t xml:space="preserve">**Similar to </w:t>
            </w:r>
            <w:r w:rsidR="00C551BE">
              <w:rPr>
                <w:rFonts w:ascii="Verdana" w:hAnsi="Verdana"/>
                <w:b/>
                <w:highlight w:val="green"/>
              </w:rPr>
              <w:t>VBMS-R System-Generated Text</w:t>
            </w:r>
          </w:p>
        </w:tc>
        <w:tc>
          <w:tcPr>
            <w:tcW w:w="766" w:type="pct"/>
            <w:tcBorders>
              <w:top w:val="single" w:sz="4" w:space="0" w:color="auto"/>
              <w:left w:val="nil"/>
              <w:bottom w:val="single" w:sz="4" w:space="0" w:color="auto"/>
              <w:right w:val="single" w:sz="4" w:space="0" w:color="auto"/>
            </w:tcBorders>
            <w:vAlign w:val="bottom"/>
          </w:tcPr>
          <w:p w:rsidR="00013EB8" w:rsidRDefault="00013EB8">
            <w:pPr>
              <w:widowControl w:val="0"/>
              <w:ind w:left="99"/>
              <w:rPr>
                <w:rFonts w:eastAsia="Arial Unicode MS"/>
              </w:rPr>
            </w:pPr>
            <w:r>
              <w:t>None</w:t>
            </w:r>
          </w:p>
        </w:tc>
      </w:tr>
      <w:tr w:rsidR="00013EB8" w:rsidTr="009F3C20">
        <w:trPr>
          <w:trHeight w:val="485"/>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widowControl w:val="0"/>
              <w:rPr>
                <w:iCs/>
              </w:rPr>
            </w:pPr>
            <w:r>
              <w:rPr>
                <w:rFonts w:ascii="Verdana" w:hAnsi="Verdana"/>
                <w:b/>
                <w:bCs/>
                <w:highlight w:val="green"/>
              </w:rPr>
              <w:t>R_NP</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Radiation (Not a presumptive condition)</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Header"/>
              <w:widowControl w:val="0"/>
              <w:tabs>
                <w:tab w:val="clear" w:pos="4320"/>
                <w:tab w:val="clear" w:pos="8640"/>
              </w:tabs>
            </w:pPr>
            <w:r>
              <w:t>Your condition is not one of the diseases that VA presumes is related to radiation exposure.</w:t>
            </w:r>
          </w:p>
        </w:tc>
        <w:tc>
          <w:tcPr>
            <w:tcW w:w="766" w:type="pct"/>
            <w:tcBorders>
              <w:top w:val="single" w:sz="4" w:space="0" w:color="auto"/>
              <w:left w:val="nil"/>
              <w:bottom w:val="single" w:sz="4" w:space="0" w:color="auto"/>
              <w:right w:val="single" w:sz="4" w:space="0" w:color="auto"/>
            </w:tcBorders>
            <w:vAlign w:val="bottom"/>
          </w:tcPr>
          <w:p w:rsidR="00013EB8" w:rsidRDefault="00013EB8">
            <w:pPr>
              <w:widowControl w:val="0"/>
              <w:ind w:left="99"/>
              <w:rPr>
                <w:rFonts w:eastAsia="Arial Unicode MS"/>
              </w:rPr>
            </w:pPr>
            <w:r>
              <w:t>None</w:t>
            </w:r>
          </w:p>
        </w:tc>
      </w:tr>
      <w:tr w:rsidR="00013EB8" w:rsidTr="0076092B">
        <w:trPr>
          <w:trHeight w:val="72"/>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76092B" w:rsidRPr="0076092B" w:rsidRDefault="00234459" w:rsidP="00234459">
            <w:pPr>
              <w:widowControl w:val="0"/>
              <w:rPr>
                <w:rFonts w:ascii="Verdana" w:hAnsi="Verdana"/>
                <w:bCs/>
              </w:rPr>
            </w:pPr>
            <w:r w:rsidRPr="0076092B">
              <w:rPr>
                <w:rFonts w:ascii="Verdana" w:hAnsi="Verdana"/>
                <w:bCs/>
              </w:rPr>
              <w:t>R_NE</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Radiation (No exposure)</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We did not find that you participated in a radiation risk activity while in service.</w:t>
            </w:r>
          </w:p>
          <w:p w:rsidR="0076092B" w:rsidRDefault="0076092B">
            <w:pPr>
              <w:widowControl w:val="0"/>
            </w:pPr>
            <w:r w:rsidRPr="0076092B">
              <w:rPr>
                <w:bCs/>
                <w:sz w:val="18"/>
              </w:rPr>
              <w:t xml:space="preserve">*probably only for use by Jackson RO &amp; only if have </w:t>
            </w:r>
            <w:r>
              <w:rPr>
                <w:bCs/>
                <w:sz w:val="18"/>
              </w:rPr>
              <w:t xml:space="preserve">claim for </w:t>
            </w:r>
            <w:r w:rsidRPr="0076092B">
              <w:rPr>
                <w:bCs/>
                <w:sz w:val="18"/>
              </w:rPr>
              <w:t>disability linked to radi</w:t>
            </w:r>
            <w:r>
              <w:rPr>
                <w:bCs/>
                <w:sz w:val="18"/>
              </w:rPr>
              <w:t>a</w:t>
            </w:r>
            <w:r w:rsidRPr="0076092B">
              <w:rPr>
                <w:bCs/>
                <w:sz w:val="18"/>
              </w:rPr>
              <w:t>tion</w:t>
            </w:r>
          </w:p>
        </w:tc>
        <w:tc>
          <w:tcPr>
            <w:tcW w:w="766" w:type="pct"/>
            <w:tcBorders>
              <w:top w:val="single" w:sz="4" w:space="0" w:color="auto"/>
              <w:left w:val="nil"/>
              <w:bottom w:val="single" w:sz="4" w:space="0" w:color="auto"/>
              <w:right w:val="single" w:sz="4" w:space="0" w:color="auto"/>
            </w:tcBorders>
            <w:vAlign w:val="bottom"/>
          </w:tcPr>
          <w:p w:rsidR="00013EB8" w:rsidRDefault="00013EB8">
            <w:pPr>
              <w:widowControl w:val="0"/>
              <w:ind w:left="99"/>
              <w:rPr>
                <w:rFonts w:eastAsia="Arial Unicode MS"/>
              </w:rPr>
            </w:pPr>
            <w:r>
              <w:t>None</w:t>
            </w:r>
          </w:p>
        </w:tc>
      </w:tr>
      <w:tr w:rsidR="00013EB8" w:rsidTr="009F3C20">
        <w:trPr>
          <w:trHeight w:val="1569"/>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277F2B" w:rsidRPr="00A0086D" w:rsidRDefault="00234459" w:rsidP="00234459">
            <w:pPr>
              <w:widowControl w:val="0"/>
              <w:rPr>
                <w:iCs/>
              </w:rPr>
            </w:pPr>
            <w:r>
              <w:rPr>
                <w:rFonts w:ascii="Verdana" w:hAnsi="Verdana"/>
                <w:b/>
                <w:bCs/>
                <w:highlight w:val="green"/>
              </w:rPr>
              <w:t>CCEVAL</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Confirm and Continue current evaluation</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943BE4" w:rsidRDefault="00013EB8">
            <w:pPr>
              <w:widowControl w:val="0"/>
            </w:pPr>
            <w:r>
              <w:t>We reviewed the evidence received and determined your service-connected condition(s) hasn’t/haven’t increased in severity sufficiently to warrant a higher evaluation.</w:t>
            </w:r>
          </w:p>
          <w:p w:rsidR="00277F2B" w:rsidRDefault="00277F2B">
            <w:pPr>
              <w:widowControl w:val="0"/>
            </w:pPr>
          </w:p>
          <w:p w:rsidR="00277F2B" w:rsidRDefault="00277F2B" w:rsidP="008133EF">
            <w:pPr>
              <w:rPr>
                <w:i/>
              </w:rPr>
            </w:pPr>
            <w:r w:rsidRPr="00D7582D">
              <w:rPr>
                <w:i/>
              </w:rPr>
              <w:t>*August</w:t>
            </w:r>
            <w:r>
              <w:rPr>
                <w:i/>
              </w:rPr>
              <w:t xml:space="preserve"> 2014</w:t>
            </w:r>
            <w:r w:rsidRPr="00D7582D">
              <w:rPr>
                <w:i/>
              </w:rPr>
              <w:t xml:space="preserve"> EB training said </w:t>
            </w:r>
            <w:r>
              <w:rPr>
                <w:i/>
              </w:rPr>
              <w:t xml:space="preserve">do not use EB for C&amp;Cs, go directly to the </w:t>
            </w:r>
            <w:r w:rsidR="004B190D" w:rsidRPr="004F6948">
              <w:rPr>
                <w:bCs/>
                <w:i/>
              </w:rPr>
              <w:t>Disability Decision Information</w:t>
            </w:r>
            <w:r w:rsidR="004B190D">
              <w:rPr>
                <w:bCs/>
                <w:i/>
              </w:rPr>
              <w:t xml:space="preserve"> (DDI) </w:t>
            </w:r>
            <w:r w:rsidR="008133EF">
              <w:rPr>
                <w:bCs/>
                <w:i/>
              </w:rPr>
              <w:t>– manual entry scr</w:t>
            </w:r>
            <w:r>
              <w:rPr>
                <w:i/>
              </w:rPr>
              <w:t>een.</w:t>
            </w:r>
          </w:p>
          <w:p w:rsidR="006A6ED5" w:rsidRDefault="006A6ED5" w:rsidP="008133EF">
            <w:pPr>
              <w:rPr>
                <w:i/>
              </w:rPr>
            </w:pPr>
          </w:p>
          <w:p w:rsidR="006A6ED5" w:rsidRPr="006A6ED5" w:rsidRDefault="006A6ED5" w:rsidP="006A6ED5">
            <w:pPr>
              <w:rPr>
                <w:i/>
                <w:sz w:val="18"/>
              </w:rPr>
            </w:pPr>
            <w:r w:rsidRPr="006A6ED5">
              <w:rPr>
                <w:i/>
                <w:sz w:val="18"/>
              </w:rPr>
              <w:t>*as of 12/11/17</w:t>
            </w:r>
          </w:p>
          <w:p w:rsidR="00D42B70" w:rsidRDefault="009E1C61" w:rsidP="00D42B70">
            <w:pPr>
              <w:rPr>
                <w:color w:val="00B050"/>
                <w:sz w:val="18"/>
              </w:rPr>
            </w:pPr>
            <w:r>
              <w:rPr>
                <w:color w:val="00B050"/>
                <w:sz w:val="18"/>
                <w:szCs w:val="18"/>
              </w:rPr>
              <w:t>the VBMS-R work</w:t>
            </w:r>
            <w:r w:rsidR="00DE7310" w:rsidRPr="00DE7310">
              <w:rPr>
                <w:color w:val="00B050"/>
                <w:sz w:val="18"/>
                <w:szCs w:val="18"/>
              </w:rPr>
              <w:t xml:space="preserve">around, so that you don’t lose your Evaluation Builder verbiage on a confirmed &amp; continued evaluation, is to </w:t>
            </w:r>
            <w:r w:rsidR="00DE7310" w:rsidRPr="00DE7310">
              <w:rPr>
                <w:color w:val="00B050"/>
                <w:sz w:val="18"/>
              </w:rPr>
              <w:t>add the original effective date to the new card, add "Confirmed and Continued Evaluation" under the Supplementary Decision drop-down, then delete old card</w:t>
            </w:r>
          </w:p>
          <w:p w:rsidR="00AC25D1" w:rsidRPr="00DE7310" w:rsidRDefault="00AC25D1" w:rsidP="00D42B70">
            <w:pPr>
              <w:rPr>
                <w:color w:val="00B050"/>
                <w:sz w:val="18"/>
              </w:rPr>
            </w:pPr>
            <w:r>
              <w:rPr>
                <w:color w:val="00B050"/>
                <w:sz w:val="18"/>
              </w:rPr>
              <w:t xml:space="preserve">OR </w:t>
            </w:r>
          </w:p>
          <w:p w:rsidR="00AC25D1" w:rsidRPr="00AC25D1" w:rsidRDefault="00AC25D1" w:rsidP="00AC25D1">
            <w:pPr>
              <w:rPr>
                <w:b/>
                <w:color w:val="00B050"/>
                <w:sz w:val="18"/>
              </w:rPr>
            </w:pPr>
            <w:r>
              <w:rPr>
                <w:sz w:val="22"/>
                <w:szCs w:val="22"/>
              </w:rPr>
              <w:t xml:space="preserve">End-users should select the corresponding EB result by placing a check mark under the Save Changes button. </w:t>
            </w:r>
          </w:p>
          <w:p w:rsidR="00DE7310" w:rsidRDefault="00DE7310" w:rsidP="00D42B70">
            <w:pPr>
              <w:rPr>
                <w:sz w:val="18"/>
              </w:rPr>
            </w:pPr>
          </w:p>
          <w:p w:rsidR="005237E9" w:rsidRPr="00BA5B2B" w:rsidRDefault="005237E9" w:rsidP="005237E9">
            <w:pPr>
              <w:rPr>
                <w:i/>
                <w:sz w:val="18"/>
              </w:rPr>
            </w:pPr>
            <w:r>
              <w:rPr>
                <w:i/>
                <w:sz w:val="18"/>
              </w:rPr>
              <w:t>*n</w:t>
            </w:r>
            <w:r w:rsidRPr="00BA5B2B">
              <w:rPr>
                <w:i/>
                <w:sz w:val="18"/>
              </w:rPr>
              <w:t>on-CCEVAL notes:</w:t>
            </w:r>
          </w:p>
          <w:p w:rsidR="005237E9" w:rsidRDefault="005237E9" w:rsidP="005237E9">
            <w:pPr>
              <w:rPr>
                <w:sz w:val="18"/>
              </w:rPr>
            </w:pPr>
            <w:r w:rsidRPr="00BA5B2B">
              <w:rPr>
                <w:sz w:val="18"/>
              </w:rPr>
              <w:t xml:space="preserve">Rating Note:  It seems that due to the </w:t>
            </w:r>
            <w:r>
              <w:rPr>
                <w:sz w:val="18"/>
              </w:rPr>
              <w:t>recent coordinated install</w:t>
            </w:r>
            <w:r w:rsidRPr="00BA5B2B">
              <w:rPr>
                <w:sz w:val="18"/>
              </w:rPr>
              <w:t>, VBMS-R is now duplicating verbiage. I've deleted the duplicate verbiage under Reasons for Decision</w:t>
            </w:r>
            <w:r w:rsidR="008467B8">
              <w:rPr>
                <w:sz w:val="18"/>
              </w:rPr>
              <w:t>.</w:t>
            </w:r>
          </w:p>
          <w:p w:rsidR="005237E9" w:rsidRPr="00BA5B2B" w:rsidRDefault="005237E9" w:rsidP="00D42B70">
            <w:pPr>
              <w:rPr>
                <w:sz w:val="18"/>
              </w:rPr>
            </w:pPr>
          </w:p>
          <w:p w:rsidR="006A1AB6" w:rsidRDefault="00D42B70" w:rsidP="00D42B70">
            <w:pPr>
              <w:rPr>
                <w:sz w:val="18"/>
              </w:rPr>
            </w:pPr>
            <w:r w:rsidRPr="00BA5B2B">
              <w:rPr>
                <w:sz w:val="18"/>
              </w:rPr>
              <w:lastRenderedPageBreak/>
              <w:t>Rating Note:  It seems that due to the</w:t>
            </w:r>
            <w:r w:rsidR="00B929CE">
              <w:rPr>
                <w:sz w:val="18"/>
              </w:rPr>
              <w:t xml:space="preserve"> recent</w:t>
            </w:r>
            <w:r w:rsidRPr="00BA5B2B">
              <w:rPr>
                <w:sz w:val="18"/>
              </w:rPr>
              <w:t xml:space="preserve"> coordinated install, VBMS-R is now generating verbiage used on prior denials</w:t>
            </w:r>
            <w:r w:rsidR="006A1AB6">
              <w:rPr>
                <w:sz w:val="18"/>
              </w:rPr>
              <w:t>.</w:t>
            </w:r>
            <w:r w:rsidRPr="00BA5B2B">
              <w:rPr>
                <w:sz w:val="18"/>
              </w:rPr>
              <w:t xml:space="preserve"> </w:t>
            </w:r>
            <w:r w:rsidR="006A1AB6" w:rsidRPr="00BA5B2B">
              <w:rPr>
                <w:sz w:val="18"/>
              </w:rPr>
              <w:t>I've deleted the duplicate verbiage under Reasons for Decision</w:t>
            </w:r>
            <w:r w:rsidR="008467B8">
              <w:rPr>
                <w:sz w:val="18"/>
              </w:rPr>
              <w:t>.</w:t>
            </w:r>
          </w:p>
          <w:p w:rsidR="00D42B70" w:rsidRDefault="006A1AB6" w:rsidP="00D42B70">
            <w:pPr>
              <w:rPr>
                <w:i/>
                <w:sz w:val="18"/>
              </w:rPr>
            </w:pPr>
            <w:r w:rsidRPr="006A1AB6">
              <w:rPr>
                <w:i/>
                <w:sz w:val="18"/>
              </w:rPr>
              <w:t xml:space="preserve">sometimes </w:t>
            </w:r>
            <w:r w:rsidR="00D42B70" w:rsidRPr="006A1AB6">
              <w:rPr>
                <w:i/>
                <w:sz w:val="18"/>
              </w:rPr>
              <w:t>only in the Reasons for De</w:t>
            </w:r>
            <w:r w:rsidRPr="006A1AB6">
              <w:rPr>
                <w:i/>
                <w:sz w:val="18"/>
              </w:rPr>
              <w:t>cision box, if so, just delete</w:t>
            </w:r>
          </w:p>
          <w:p w:rsidR="0083780A" w:rsidRPr="006A1AB6" w:rsidRDefault="0083780A" w:rsidP="00D42B70">
            <w:pPr>
              <w:rPr>
                <w:i/>
                <w:sz w:val="18"/>
              </w:rPr>
            </w:pPr>
            <w:r>
              <w:rPr>
                <w:i/>
                <w:sz w:val="18"/>
              </w:rPr>
              <w:t>*might want to delete issue from Master Record &amp; start from scratch, but need to retain “Original Date of Denial”</w:t>
            </w:r>
            <w:r w:rsidRPr="0083780A">
              <w:rPr>
                <w:i/>
                <w:sz w:val="18"/>
                <w:szCs w:val="18"/>
              </w:rPr>
              <w:t xml:space="preserve"> </w:t>
            </w:r>
            <w:r w:rsidRPr="0083780A">
              <w:rPr>
                <w:i/>
                <w:sz w:val="18"/>
                <w:szCs w:val="18"/>
                <w:lang w:val="en"/>
              </w:rPr>
              <w:t xml:space="preserve">on codesheet, per </w:t>
            </w:r>
            <w:r w:rsidRPr="0083780A">
              <w:rPr>
                <w:b/>
                <w:sz w:val="18"/>
                <w:szCs w:val="18"/>
                <w:lang w:val="en"/>
              </w:rPr>
              <w:t>III.iv.6.E.8.b</w:t>
            </w:r>
          </w:p>
          <w:p w:rsidR="00FF62A9" w:rsidRPr="00BA5B2B" w:rsidRDefault="00FF62A9" w:rsidP="00D42B70">
            <w:pPr>
              <w:rPr>
                <w:sz w:val="18"/>
              </w:rPr>
            </w:pPr>
          </w:p>
          <w:p w:rsidR="00FF62A9" w:rsidRPr="004741FA" w:rsidRDefault="00FF62A9" w:rsidP="008467B8">
            <w:r w:rsidRPr="00BA5B2B">
              <w:rPr>
                <w:sz w:val="18"/>
              </w:rPr>
              <w:t>Rating Note:  It seems that due to the</w:t>
            </w:r>
            <w:r w:rsidR="00B929CE">
              <w:rPr>
                <w:sz w:val="18"/>
              </w:rPr>
              <w:t xml:space="preserve"> recent</w:t>
            </w:r>
            <w:r w:rsidRPr="00BA5B2B">
              <w:rPr>
                <w:sz w:val="18"/>
              </w:rPr>
              <w:t xml:space="preserve"> coordinated install, VBMS-R is now generating evaluation verbiage with </w:t>
            </w:r>
            <w:r w:rsidR="00BA5B2B">
              <w:rPr>
                <w:sz w:val="18"/>
              </w:rPr>
              <w:t xml:space="preserve">some </w:t>
            </w:r>
            <w:r w:rsidRPr="00BA5B2B">
              <w:rPr>
                <w:sz w:val="18"/>
              </w:rPr>
              <w:t>denials.</w:t>
            </w:r>
            <w:r w:rsidR="00BA5B2B" w:rsidRPr="00BA5B2B">
              <w:rPr>
                <w:sz w:val="18"/>
              </w:rPr>
              <w:t xml:space="preserve"> I've deleted the evaluation verbiage under Reasons for Decision</w:t>
            </w:r>
            <w:r w:rsidR="00BA5B2B">
              <w:rPr>
                <w:sz w:val="18"/>
              </w:rPr>
              <w:t xml:space="preserve"> {for the ? issue</w:t>
            </w:r>
            <w:r w:rsidR="008467B8">
              <w:rPr>
                <w:sz w:val="18"/>
              </w:rPr>
              <w:t>}.</w:t>
            </w:r>
          </w:p>
        </w:tc>
        <w:tc>
          <w:tcPr>
            <w:tcW w:w="766" w:type="pct"/>
            <w:tcBorders>
              <w:top w:val="single" w:sz="4" w:space="0" w:color="auto"/>
              <w:left w:val="nil"/>
              <w:bottom w:val="single" w:sz="4" w:space="0" w:color="auto"/>
              <w:right w:val="single" w:sz="4" w:space="0" w:color="auto"/>
            </w:tcBorders>
            <w:vAlign w:val="bottom"/>
          </w:tcPr>
          <w:p w:rsidR="00013EB8" w:rsidRPr="00EC5354" w:rsidRDefault="00D571C5" w:rsidP="00EC5354">
            <w:pPr>
              <w:widowControl w:val="0"/>
              <w:ind w:left="99"/>
            </w:pPr>
            <w:hyperlink w:anchor="Improve" w:history="1">
              <w:r w:rsidR="00013EB8">
                <w:rPr>
                  <w:rStyle w:val="Hyperlink"/>
                </w:rPr>
                <w:t>None</w:t>
              </w:r>
            </w:hyperlink>
          </w:p>
        </w:tc>
      </w:tr>
      <w:tr w:rsidR="00013EB8" w:rsidTr="009F3C20">
        <w:trPr>
          <w:trHeight w:val="971"/>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234459" w:rsidP="00234459">
            <w:pPr>
              <w:widowControl w:val="0"/>
            </w:pPr>
            <w:r>
              <w:rPr>
                <w:rFonts w:ascii="Verdana" w:hAnsi="Verdana"/>
                <w:b/>
                <w:bCs/>
                <w:highlight w:val="green"/>
              </w:rPr>
              <w:t>IU</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Individual Unemployability</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Header"/>
              <w:widowControl w:val="0"/>
              <w:tabs>
                <w:tab w:val="clear" w:pos="4320"/>
                <w:tab w:val="clear" w:pos="8640"/>
              </w:tabs>
            </w:pPr>
            <w:r>
              <w:t>Your claim for individual unemployability was denied because the evidence does not show you are unable to secure or follow a substantially gainful occupation as a result of service-connected disabilities.</w:t>
            </w:r>
          </w:p>
        </w:tc>
        <w:tc>
          <w:tcPr>
            <w:tcW w:w="766" w:type="pct"/>
            <w:tcBorders>
              <w:top w:val="single" w:sz="4" w:space="0" w:color="auto"/>
              <w:left w:val="nil"/>
              <w:bottom w:val="single" w:sz="4" w:space="0" w:color="auto"/>
              <w:right w:val="single" w:sz="4" w:space="0" w:color="auto"/>
            </w:tcBorders>
            <w:vAlign w:val="bottom"/>
          </w:tcPr>
          <w:p w:rsidR="00013EB8" w:rsidRPr="00EC5354" w:rsidRDefault="00D571C5" w:rsidP="00EC5354">
            <w:pPr>
              <w:widowControl w:val="0"/>
              <w:ind w:left="99"/>
            </w:pPr>
            <w:hyperlink w:anchor="IUFreeText" w:history="1">
              <w:r w:rsidR="00013EB8">
                <w:rPr>
                  <w:rStyle w:val="Hyperlink"/>
                </w:rPr>
                <w:t>Free Text</w:t>
              </w:r>
            </w:hyperlink>
          </w:p>
        </w:tc>
      </w:tr>
      <w:tr w:rsidR="00013EB8" w:rsidTr="009F3C20">
        <w:trPr>
          <w:trHeight w:val="1214"/>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234459" w:rsidP="00234459">
            <w:pPr>
              <w:widowControl w:val="0"/>
              <w:rPr>
                <w:rFonts w:ascii="Verdana" w:hAnsi="Verdana"/>
                <w:b/>
                <w:bCs/>
              </w:rPr>
            </w:pPr>
            <w:r>
              <w:rPr>
                <w:rFonts w:ascii="Verdana" w:hAnsi="Verdana"/>
                <w:b/>
                <w:bCs/>
                <w:highlight w:val="green"/>
              </w:rPr>
              <w:t>IU416</w:t>
            </w:r>
          </w:p>
          <w:p w:rsidR="00353B4E" w:rsidRDefault="00353B4E" w:rsidP="00234459">
            <w:pPr>
              <w:widowControl w:val="0"/>
              <w:rPr>
                <w:rFonts w:ascii="Verdana" w:hAnsi="Verdana"/>
                <w:b/>
                <w:bCs/>
              </w:rPr>
            </w:pPr>
          </w:p>
          <w:p w:rsidR="00353B4E" w:rsidRPr="00353B4E" w:rsidRDefault="00353B4E" w:rsidP="00353B4E">
            <w:pPr>
              <w:rPr>
                <w:sz w:val="18"/>
              </w:rPr>
            </w:pPr>
            <w:r w:rsidRPr="00353B4E">
              <w:rPr>
                <w:bCs/>
                <w:sz w:val="18"/>
              </w:rPr>
              <w:t>use if does not meet schedular criteria</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Individual Unemployability - Does not meet the schedular requirements</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We denied your claim for individual unemployability because you do not have one disability rated at 60%, or a combined rating of at least 70% with one disability rated at 40%, and the evidence does not demonstrate that you are unable to secure or follow substantially gainful occupation solely due to service-connected conditions.    </w:t>
            </w:r>
          </w:p>
          <w:p w:rsidR="002F5222" w:rsidRDefault="002F5222">
            <w:pPr>
              <w:widowControl w:val="0"/>
            </w:pPr>
          </w:p>
          <w:p w:rsidR="002F5222" w:rsidRDefault="002F5222">
            <w:pPr>
              <w:widowControl w:val="0"/>
            </w:pPr>
          </w:p>
          <w:p w:rsidR="002F5222" w:rsidRPr="002F5222" w:rsidRDefault="002F5222">
            <w:pPr>
              <w:widowControl w:val="0"/>
              <w:rPr>
                <w:i/>
              </w:rPr>
            </w:pPr>
            <w:r w:rsidRPr="002F5222">
              <w:rPr>
                <w:i/>
              </w:rPr>
              <w:t>We denied your claim for individual unemployability because you do not have one disability rated at 60 percent, or a combined rating of at least 70 percent with one disability rated at 40 percent, and the evidence does not demonstrate that you are unable to secure or follow substantially gainful occupation solely due to service-connected conditions.</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IUFreeText" w:history="1">
              <w:r w:rsidR="00013EB8">
                <w:rPr>
                  <w:rStyle w:val="Hyperlink"/>
                </w:rPr>
                <w:t>Free Text</w:t>
              </w:r>
            </w:hyperlink>
          </w:p>
        </w:tc>
      </w:tr>
      <w:tr w:rsidR="00013EB8" w:rsidTr="009F3C20">
        <w:trPr>
          <w:trHeight w:val="786"/>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581371" w:rsidP="00234459">
            <w:pPr>
              <w:widowControl w:val="0"/>
              <w:rPr>
                <w:iCs/>
              </w:rPr>
            </w:pPr>
            <w:r>
              <w:rPr>
                <w:rFonts w:ascii="Verdana" w:hAnsi="Verdana"/>
                <w:b/>
                <w:bCs/>
                <w:highlight w:val="green"/>
              </w:rPr>
              <w:t>P29_</w:t>
            </w:r>
            <w:r w:rsidR="00234459">
              <w:rPr>
                <w:rFonts w:ascii="Verdana" w:hAnsi="Verdana"/>
                <w:b/>
                <w:bCs/>
                <w:highlight w:val="green"/>
              </w:rPr>
              <w:t>21</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Hospitalized less than 21 days</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We denied your claim for a temporary total evaluation (100%). The evidence does not show that your service-connected condition required hospitalization for a period of more than 21 days.</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P29FreeText" w:history="1">
              <w:r w:rsidR="00581371">
                <w:rPr>
                  <w:rStyle w:val="Hyperlink"/>
                </w:rPr>
                <w:t>Free Text</w:t>
              </w:r>
            </w:hyperlink>
          </w:p>
        </w:tc>
      </w:tr>
      <w:tr w:rsidR="00013EB8" w:rsidTr="009F3C20">
        <w:trPr>
          <w:trHeight w:val="785"/>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widowControl w:val="0"/>
              <w:rPr>
                <w:iCs/>
              </w:rPr>
            </w:pPr>
            <w:r>
              <w:rPr>
                <w:rFonts w:ascii="Verdana" w:hAnsi="Verdana"/>
                <w:b/>
                <w:bCs/>
                <w:highlight w:val="green"/>
              </w:rPr>
              <w:t>P29_1</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Private hospital summary received more than one year following discharge</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We denied your claim for a temporary total evaluation (100%). The evidence shows VA received the summary of hospitalization more than one year following discharge from the hospital.</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P29greaterFreeText" w:history="1">
              <w:r w:rsidR="00013EB8">
                <w:rPr>
                  <w:rStyle w:val="Hyperlink"/>
                </w:rPr>
                <w:t>Free Text</w:t>
              </w:r>
            </w:hyperlink>
          </w:p>
        </w:tc>
      </w:tr>
      <w:tr w:rsidR="00013EB8" w:rsidTr="009F3C20">
        <w:trPr>
          <w:trHeight w:val="1226"/>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234459" w:rsidP="00234459">
            <w:pPr>
              <w:pStyle w:val="Header"/>
              <w:widowControl w:val="0"/>
              <w:tabs>
                <w:tab w:val="clear" w:pos="4320"/>
                <w:tab w:val="clear" w:pos="8640"/>
              </w:tabs>
            </w:pPr>
            <w:r>
              <w:rPr>
                <w:rFonts w:ascii="Verdana" w:hAnsi="Verdana"/>
                <w:b/>
                <w:bCs/>
                <w:highlight w:val="green"/>
              </w:rPr>
              <w:t>P30</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Temp 100% for surgery</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We denied your claim for a temporary total evaluation (100%). The evidence does not show that a service-connected disability required surgery necessitating at least one month of convalescence, surgery with severe postoperative residuals, or treatment with immobilization by cast of one major joint or more.</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P30FreeText" w:history="1">
              <w:r w:rsidR="00013EB8">
                <w:rPr>
                  <w:rStyle w:val="Hyperlink"/>
                </w:rPr>
                <w:t>Free Text</w:t>
              </w:r>
            </w:hyperlink>
          </w:p>
        </w:tc>
      </w:tr>
      <w:tr w:rsidR="00013EB8" w:rsidTr="009F3C20">
        <w:trPr>
          <w:trHeight w:val="945"/>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widowControl w:val="0"/>
              <w:rPr>
                <w:iCs/>
              </w:rPr>
            </w:pPr>
            <w:r>
              <w:rPr>
                <w:rFonts w:ascii="Verdana" w:hAnsi="Verdana"/>
                <w:b/>
                <w:bCs/>
                <w:highlight w:val="green"/>
              </w:rPr>
              <w:t>3324</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3.324 Denied</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Header"/>
              <w:widowControl w:val="0"/>
              <w:tabs>
                <w:tab w:val="clear" w:pos="4320"/>
                <w:tab w:val="clear" w:pos="8640"/>
              </w:tabs>
            </w:pPr>
            <w:r>
              <w:t>We denied a 10% combined evaluation based on your multiple 0% service-connected disabilities. The evidence does not show that your service-connected disabilities clearly interfere with normal employment.</w:t>
            </w:r>
          </w:p>
          <w:p w:rsidR="004E16AB" w:rsidRDefault="004E16AB">
            <w:pPr>
              <w:pStyle w:val="Header"/>
              <w:widowControl w:val="0"/>
              <w:tabs>
                <w:tab w:val="clear" w:pos="4320"/>
                <w:tab w:val="clear" w:pos="8640"/>
              </w:tabs>
              <w:rPr>
                <w:i/>
              </w:rPr>
            </w:pPr>
          </w:p>
          <w:p w:rsidR="004E16AB" w:rsidRPr="004E16AB" w:rsidRDefault="004E16AB" w:rsidP="005F7DF0">
            <w:pPr>
              <w:pStyle w:val="Header"/>
              <w:widowControl w:val="0"/>
              <w:tabs>
                <w:tab w:val="clear" w:pos="4320"/>
                <w:tab w:val="clear" w:pos="8640"/>
              </w:tabs>
              <w:rPr>
                <w:rFonts w:ascii="Verdana" w:hAnsi="Verdana"/>
                <w:b/>
              </w:rPr>
            </w:pPr>
            <w:r w:rsidRPr="004E16AB">
              <w:rPr>
                <w:rFonts w:ascii="Verdana" w:hAnsi="Verdana"/>
                <w:b/>
                <w:highlight w:val="green"/>
              </w:rPr>
              <w:t xml:space="preserve">OR USE </w:t>
            </w:r>
            <w:r w:rsidR="00C551BE">
              <w:rPr>
                <w:rFonts w:ascii="Verdana" w:hAnsi="Verdana"/>
                <w:b/>
                <w:highlight w:val="green"/>
              </w:rPr>
              <w:t>VBMS-R System-Generated Text</w:t>
            </w:r>
            <w:r>
              <w:rPr>
                <w:rFonts w:ascii="Verdana" w:hAnsi="Verdana"/>
                <w:b/>
              </w:rPr>
              <w:t xml:space="preserve"> </w:t>
            </w:r>
            <w:r w:rsidRPr="004E16AB">
              <w:rPr>
                <w:rFonts w:ascii="Verdana" w:hAnsi="Verdana"/>
                <w:b/>
                <w:i/>
              </w:rPr>
              <w:t>or BOTH</w:t>
            </w:r>
          </w:p>
        </w:tc>
        <w:tc>
          <w:tcPr>
            <w:tcW w:w="766" w:type="pct"/>
            <w:tcBorders>
              <w:top w:val="single" w:sz="4" w:space="0" w:color="auto"/>
              <w:left w:val="nil"/>
              <w:bottom w:val="single" w:sz="4" w:space="0" w:color="auto"/>
              <w:right w:val="single" w:sz="4" w:space="0" w:color="auto"/>
            </w:tcBorders>
            <w:vAlign w:val="bottom"/>
          </w:tcPr>
          <w:p w:rsidR="00013EB8" w:rsidRDefault="00013EB8">
            <w:pPr>
              <w:widowControl w:val="0"/>
              <w:ind w:left="99"/>
              <w:rPr>
                <w:rFonts w:eastAsia="Arial Unicode MS"/>
              </w:rPr>
            </w:pPr>
            <w:r>
              <w:t>None</w:t>
            </w:r>
          </w:p>
        </w:tc>
      </w:tr>
      <w:tr w:rsidR="00013EB8" w:rsidTr="009F3C20">
        <w:trPr>
          <w:trHeight w:val="894"/>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widowControl w:val="0"/>
              <w:rPr>
                <w:iCs/>
              </w:rPr>
            </w:pPr>
            <w:r>
              <w:rPr>
                <w:rFonts w:ascii="Verdana" w:hAnsi="Verdana"/>
                <w:b/>
                <w:bCs/>
                <w:highlight w:val="green"/>
              </w:rPr>
              <w:lastRenderedPageBreak/>
              <w:t>SMC_KCO</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Loss of, or loss of use of Creative Organ</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We have denied entitlement to special monthly compensation because the evidence shows you have not suffered the loss or loss of use of one or more creative organs due to your service-connected disability(ies).  </w:t>
            </w:r>
          </w:p>
          <w:p w:rsidR="006147CF" w:rsidRDefault="006147CF">
            <w:pPr>
              <w:widowControl w:val="0"/>
            </w:pPr>
          </w:p>
          <w:p w:rsidR="006147CF" w:rsidRPr="006147CF" w:rsidRDefault="006147CF">
            <w:pPr>
              <w:widowControl w:val="0"/>
              <w:rPr>
                <w:i/>
              </w:rPr>
            </w:pPr>
            <w:r w:rsidRPr="006147CF">
              <w:rPr>
                <w:i/>
              </w:rPr>
              <w:t>For generic anatomical loss/loss of use:</w:t>
            </w:r>
          </w:p>
          <w:p w:rsidR="006147CF" w:rsidRDefault="006147CF">
            <w:pPr>
              <w:widowControl w:val="0"/>
            </w:pPr>
            <w:r w:rsidRPr="006147CF">
              <w:rPr>
                <w:i/>
              </w:rPr>
              <w:t>We have denied entitlement to special monthly compensation because the evidence shows you have not suffered an anatomical loss or loss of use due to your service-connected disability(ies).</w:t>
            </w:r>
            <w:r w:rsidRPr="006147CF">
              <w:t xml:space="preserve">  </w:t>
            </w:r>
          </w:p>
        </w:tc>
        <w:tc>
          <w:tcPr>
            <w:tcW w:w="766" w:type="pct"/>
            <w:tcBorders>
              <w:top w:val="single" w:sz="4" w:space="0" w:color="auto"/>
              <w:left w:val="nil"/>
              <w:bottom w:val="single" w:sz="4" w:space="0" w:color="auto"/>
              <w:right w:val="single" w:sz="4" w:space="0" w:color="auto"/>
            </w:tcBorders>
            <w:vAlign w:val="bottom"/>
          </w:tcPr>
          <w:p w:rsidR="00013EB8" w:rsidRDefault="00013EB8">
            <w:pPr>
              <w:widowControl w:val="0"/>
              <w:ind w:left="99"/>
              <w:rPr>
                <w:rFonts w:eastAsia="Arial Unicode MS"/>
              </w:rPr>
            </w:pPr>
            <w:r>
              <w:t>None</w:t>
            </w:r>
          </w:p>
        </w:tc>
      </w:tr>
      <w:tr w:rsidR="00013EB8" w:rsidTr="009F3C20">
        <w:trPr>
          <w:trHeight w:val="3027"/>
        </w:trPr>
        <w:tc>
          <w:tcPr>
            <w:tcW w:w="567"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234459" w:rsidP="00234459">
            <w:pPr>
              <w:widowControl w:val="0"/>
              <w:rPr>
                <w:bCs/>
              </w:rPr>
            </w:pPr>
            <w:r>
              <w:rPr>
                <w:rFonts w:ascii="Verdana" w:hAnsi="Verdana"/>
                <w:b/>
                <w:bCs/>
                <w:highlight w:val="green"/>
              </w:rPr>
              <w:t>SMC_AA</w:t>
            </w:r>
          </w:p>
          <w:p w:rsidR="005F5A9A" w:rsidRDefault="005F5A9A" w:rsidP="00234459">
            <w:pPr>
              <w:widowControl w:val="0"/>
              <w:rPr>
                <w:bCs/>
              </w:rPr>
            </w:pPr>
          </w:p>
          <w:p w:rsidR="005F5A9A" w:rsidRPr="005F5A9A" w:rsidRDefault="005F5A9A" w:rsidP="00234459">
            <w:pPr>
              <w:widowControl w:val="0"/>
              <w:rPr>
                <w:iCs/>
              </w:rPr>
            </w:pPr>
            <w:r>
              <w:rPr>
                <w:bCs/>
              </w:rPr>
              <w:t>denyaa</w:t>
            </w:r>
          </w:p>
        </w:tc>
        <w:tc>
          <w:tcPr>
            <w:tcW w:w="1092" w:type="pct"/>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Denial of SMC A/A</w:t>
            </w:r>
          </w:p>
        </w:tc>
        <w:tc>
          <w:tcPr>
            <w:tcW w:w="2575" w:type="pct"/>
            <w:tcBorders>
              <w:top w:val="nil"/>
              <w:left w:val="nil"/>
              <w:bottom w:val="single" w:sz="4" w:space="0" w:color="auto"/>
              <w:right w:val="single" w:sz="4" w:space="0" w:color="auto"/>
            </w:tcBorders>
            <w:tcMar>
              <w:top w:w="15" w:type="dxa"/>
              <w:left w:w="15" w:type="dxa"/>
              <w:bottom w:w="0" w:type="dxa"/>
              <w:right w:w="15" w:type="dxa"/>
            </w:tcMar>
            <w:vAlign w:val="bottom"/>
          </w:tcPr>
          <w:p w:rsidR="00241B95" w:rsidRDefault="00013EB8">
            <w:pPr>
              <w:widowControl w:val="0"/>
            </w:pPr>
            <w:r>
              <w:t xml:space="preserve">We have denied entitlement to special monthly compensation because the evidence shows you do not need the regular aid and attendance of another person to perform routine activities of daily living, OR you are not permanently bedridden.  </w:t>
            </w:r>
          </w:p>
          <w:p w:rsidR="00BA716D" w:rsidRDefault="00BA716D">
            <w:pPr>
              <w:widowControl w:val="0"/>
            </w:pPr>
          </w:p>
          <w:p w:rsidR="00C20A06" w:rsidRDefault="0031608D" w:rsidP="0031608D">
            <w:pPr>
              <w:widowControl w:val="0"/>
              <w:rPr>
                <w:i/>
              </w:rPr>
            </w:pPr>
            <w:r>
              <w:rPr>
                <w:i/>
              </w:rPr>
              <w:t>use:</w:t>
            </w:r>
          </w:p>
          <w:p w:rsidR="0031608D" w:rsidRPr="0031608D" w:rsidRDefault="0031608D" w:rsidP="0031608D">
            <w:pPr>
              <w:widowControl w:val="0"/>
              <w:rPr>
                <w:i/>
              </w:rPr>
            </w:pPr>
            <w:r w:rsidRPr="0031608D">
              <w:rPr>
                <w:i/>
              </w:rPr>
              <w:t xml:space="preserve">We have denied entitlement to special monthly compensation because the evidence shows you do not need the regular aid and attendance of another person to perform routine activities of daily living </w:t>
            </w:r>
            <w:r w:rsidR="00D163C0">
              <w:rPr>
                <w:i/>
                <w:highlight w:val="green"/>
              </w:rPr>
              <w:t>due to service-</w:t>
            </w:r>
            <w:r w:rsidRPr="00D163C0">
              <w:rPr>
                <w:i/>
                <w:highlight w:val="green"/>
              </w:rPr>
              <w:t>connected disabilities,</w:t>
            </w:r>
            <w:r w:rsidRPr="0031608D">
              <w:rPr>
                <w:i/>
              </w:rPr>
              <w:t xml:space="preserve"> and/or you are not permanently bedridden </w:t>
            </w:r>
            <w:r w:rsidRPr="00836506">
              <w:rPr>
                <w:i/>
                <w:highlight w:val="green"/>
              </w:rPr>
              <w:t>due to service connected disabilities</w:t>
            </w:r>
            <w:r w:rsidRPr="0031608D">
              <w:rPr>
                <w:i/>
              </w:rPr>
              <w:t>.</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AAFreeText" w:history="1">
              <w:r w:rsidR="00013EB8">
                <w:rPr>
                  <w:rStyle w:val="Hyperlink"/>
                </w:rPr>
                <w:t>None</w:t>
              </w:r>
            </w:hyperlink>
          </w:p>
        </w:tc>
      </w:tr>
      <w:tr w:rsidR="00013EB8" w:rsidTr="009F3C20">
        <w:trPr>
          <w:trHeight w:val="1398"/>
        </w:trPr>
        <w:tc>
          <w:tcPr>
            <w:tcW w:w="56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234459" w:rsidP="00234459">
            <w:pPr>
              <w:widowControl w:val="0"/>
              <w:rPr>
                <w:rFonts w:ascii="Verdana" w:hAnsi="Verdana"/>
                <w:b/>
                <w:bCs/>
              </w:rPr>
            </w:pPr>
            <w:r>
              <w:rPr>
                <w:rFonts w:ascii="Verdana" w:hAnsi="Verdana"/>
                <w:b/>
                <w:bCs/>
                <w:highlight w:val="green"/>
              </w:rPr>
              <w:t>SMC_HB</w:t>
            </w:r>
          </w:p>
          <w:p w:rsidR="005F5A9A" w:rsidRDefault="005F5A9A" w:rsidP="005F5A9A">
            <w:pPr>
              <w:widowControl w:val="0"/>
              <w:rPr>
                <w:bCs/>
              </w:rPr>
            </w:pPr>
          </w:p>
          <w:p w:rsidR="005F5A9A" w:rsidRPr="00A0086D" w:rsidRDefault="005F5A9A" w:rsidP="005F5A9A">
            <w:pPr>
              <w:widowControl w:val="0"/>
              <w:rPr>
                <w:iCs/>
              </w:rPr>
            </w:pPr>
            <w:r>
              <w:rPr>
                <w:bCs/>
              </w:rPr>
              <w:t>denyhb</w:t>
            </w:r>
          </w:p>
        </w:tc>
        <w:tc>
          <w:tcPr>
            <w:tcW w:w="1092" w:type="pct"/>
            <w:tcBorders>
              <w:top w:val="single" w:sz="4" w:space="0" w:color="auto"/>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Denial of SMC HB</w:t>
            </w:r>
          </w:p>
        </w:tc>
        <w:tc>
          <w:tcPr>
            <w:tcW w:w="2575" w:type="pct"/>
            <w:tcBorders>
              <w:top w:val="single" w:sz="4" w:space="0" w:color="auto"/>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We have denied entitlement to special monthly compensation because the evidence shows you are not substantially confined to your home or immediate premises due to your service-connected disability OR that you have a single service-connected disability rated 100 percent and a separate service-connected disability or disabilities independently rated 60 percent or more.  </w:t>
            </w:r>
          </w:p>
          <w:p w:rsidR="00BA716D" w:rsidRDefault="00BA716D">
            <w:pPr>
              <w:widowControl w:val="0"/>
            </w:pPr>
          </w:p>
          <w:p w:rsidR="0031608D" w:rsidRDefault="0031608D">
            <w:pPr>
              <w:widowControl w:val="0"/>
            </w:pPr>
            <w:r>
              <w:rPr>
                <w:i/>
              </w:rPr>
              <w:t>use:</w:t>
            </w:r>
          </w:p>
          <w:p w:rsidR="00C20A06" w:rsidRPr="00C20A06" w:rsidRDefault="00C20A06">
            <w:pPr>
              <w:widowControl w:val="0"/>
              <w:rPr>
                <w:i/>
              </w:rPr>
            </w:pPr>
            <w:r w:rsidRPr="00C20A06">
              <w:rPr>
                <w:i/>
              </w:rPr>
              <w:t>We have denied entitlement to special monthly compensation because the evidence shows you are not substantially confined to your home or immediate premises due to yo</w:t>
            </w:r>
            <w:r w:rsidR="00CF242C">
              <w:rPr>
                <w:i/>
              </w:rPr>
              <w:t xml:space="preserve">ur service-connected disabilities </w:t>
            </w:r>
            <w:r w:rsidRPr="00C20A06">
              <w:rPr>
                <w:i/>
              </w:rPr>
              <w:t>and/or that you do not have a single service-connected disability rated 100 percent and a separate service-connected disability or disabilities independently rated 60 percent or more.</w:t>
            </w:r>
          </w:p>
        </w:tc>
        <w:tc>
          <w:tcPr>
            <w:tcW w:w="766" w:type="pct"/>
            <w:tcBorders>
              <w:top w:val="single" w:sz="4" w:space="0" w:color="auto"/>
              <w:left w:val="nil"/>
              <w:bottom w:val="single" w:sz="4" w:space="0" w:color="auto"/>
              <w:right w:val="single" w:sz="4" w:space="0" w:color="auto"/>
            </w:tcBorders>
            <w:vAlign w:val="bottom"/>
          </w:tcPr>
          <w:p w:rsidR="00013EB8" w:rsidRDefault="00D571C5">
            <w:pPr>
              <w:widowControl w:val="0"/>
              <w:ind w:left="99"/>
              <w:rPr>
                <w:rFonts w:eastAsia="Arial Unicode MS"/>
              </w:rPr>
            </w:pPr>
            <w:hyperlink w:anchor="HBFreeText" w:history="1">
              <w:r w:rsidR="00013EB8">
                <w:rPr>
                  <w:rStyle w:val="Hyperlink"/>
                </w:rPr>
                <w:t>None</w:t>
              </w:r>
            </w:hyperlink>
          </w:p>
        </w:tc>
      </w:tr>
      <w:tr w:rsidR="00013EB8" w:rsidTr="009F3C20">
        <w:trPr>
          <w:trHeight w:val="1398"/>
        </w:trPr>
        <w:tc>
          <w:tcPr>
            <w:tcW w:w="567"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234459">
            <w:pPr>
              <w:widowControl w:val="0"/>
              <w:rPr>
                <w:iCs/>
              </w:rPr>
            </w:pPr>
            <w:r>
              <w:rPr>
                <w:rFonts w:ascii="Verdana" w:hAnsi="Verdana"/>
                <w:b/>
                <w:bCs/>
                <w:highlight w:val="green"/>
              </w:rPr>
              <w:t>CC3324</w:t>
            </w:r>
          </w:p>
          <w:p w:rsidR="00D1450F" w:rsidRPr="00D1450F" w:rsidRDefault="00D1450F">
            <w:pPr>
              <w:widowControl w:val="0"/>
              <w:rPr>
                <w:i/>
                <w:iCs/>
                <w:sz w:val="16"/>
              </w:rPr>
            </w:pPr>
            <w:r>
              <w:rPr>
                <w:i/>
                <w:iCs/>
                <w:sz w:val="16"/>
              </w:rPr>
              <w:t>(added 7/9/12)</w:t>
            </w:r>
          </w:p>
        </w:tc>
        <w:tc>
          <w:tcPr>
            <w:tcW w:w="1092" w:type="pct"/>
            <w:tcBorders>
              <w:top w:val="single" w:sz="4" w:space="0" w:color="auto"/>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Header"/>
              <w:widowControl w:val="0"/>
              <w:tabs>
                <w:tab w:val="clear" w:pos="4320"/>
                <w:tab w:val="clear" w:pos="8640"/>
              </w:tabs>
            </w:pPr>
            <w:r>
              <w:t>Confirmed and continued (C&amp;C) 3.324 entitlement </w:t>
            </w:r>
          </w:p>
        </w:tc>
        <w:tc>
          <w:tcPr>
            <w:tcW w:w="2575" w:type="pct"/>
            <w:tcBorders>
              <w:top w:val="single" w:sz="4" w:space="0" w:color="auto"/>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Header"/>
              <w:widowControl w:val="0"/>
              <w:tabs>
                <w:tab w:val="clear" w:pos="4320"/>
                <w:tab w:val="clear" w:pos="8640"/>
              </w:tabs>
              <w:rPr>
                <w:bCs/>
                <w:iCs/>
              </w:rPr>
            </w:pPr>
            <w:r>
              <w:rPr>
                <w:bCs/>
                <w:iCs/>
              </w:rPr>
              <w:t>We have continued your 10% combined evaluation for multiple 0% S/C disabilities. The evidence shows that your service-connected disabilities clearly interfere with normal employment.</w:t>
            </w:r>
          </w:p>
        </w:tc>
        <w:tc>
          <w:tcPr>
            <w:tcW w:w="766" w:type="pct"/>
            <w:tcBorders>
              <w:top w:val="single" w:sz="4" w:space="0" w:color="auto"/>
              <w:left w:val="nil"/>
              <w:bottom w:val="single" w:sz="4" w:space="0" w:color="auto"/>
              <w:right w:val="single" w:sz="4" w:space="0" w:color="auto"/>
            </w:tcBorders>
            <w:vAlign w:val="bottom"/>
          </w:tcPr>
          <w:p w:rsidR="00013EB8" w:rsidRDefault="00013EB8">
            <w:pPr>
              <w:widowControl w:val="0"/>
              <w:ind w:left="99"/>
            </w:pPr>
          </w:p>
        </w:tc>
      </w:tr>
    </w:tbl>
    <w:p w:rsidR="00013EB8" w:rsidRDefault="00013EB8">
      <w:pPr>
        <w:pStyle w:val="TableofFigures"/>
        <w:widowControl w:val="0"/>
        <w:rPr>
          <w:rFonts w:ascii="Arial" w:hAnsi="Arial"/>
          <w:smallCaps w:val="0"/>
          <w:szCs w:val="24"/>
          <w:lang w:eastAsia="x-none"/>
        </w:rPr>
      </w:pPr>
    </w:p>
    <w:p w:rsidR="00C13D26" w:rsidRPr="00C13D26" w:rsidRDefault="00C13D26" w:rsidP="00C13D26">
      <w:pPr>
        <w:rPr>
          <w:lang w:eastAsia="x-none"/>
        </w:rPr>
      </w:pPr>
    </w:p>
    <w:p w:rsidR="00013EB8" w:rsidRDefault="00013EB8">
      <w:pPr>
        <w:widowControl w:val="0"/>
      </w:pPr>
    </w:p>
    <w:tbl>
      <w:tblPr>
        <w:tblW w:w="10715" w:type="dxa"/>
        <w:tblLayout w:type="fixed"/>
        <w:tblCellMar>
          <w:left w:w="0" w:type="dxa"/>
          <w:right w:w="0" w:type="dxa"/>
        </w:tblCellMar>
        <w:tblLook w:val="0000" w:firstRow="0" w:lastRow="0" w:firstColumn="0" w:lastColumn="0" w:noHBand="0" w:noVBand="0"/>
      </w:tblPr>
      <w:tblGrid>
        <w:gridCol w:w="1455"/>
        <w:gridCol w:w="2880"/>
        <w:gridCol w:w="6380"/>
      </w:tblGrid>
      <w:tr w:rsidR="00013EB8">
        <w:trPr>
          <w:trHeight w:val="510"/>
          <w:tblHeader/>
        </w:trPr>
        <w:tc>
          <w:tcPr>
            <w:tcW w:w="10715" w:type="dxa"/>
            <w:gridSpan w:val="3"/>
            <w:tcBorders>
              <w:top w:val="single" w:sz="4" w:space="0" w:color="auto"/>
              <w:left w:val="single" w:sz="4" w:space="0" w:color="auto"/>
              <w:bottom w:val="single" w:sz="4" w:space="0" w:color="auto"/>
              <w:right w:val="single" w:sz="4" w:space="0" w:color="000000"/>
            </w:tcBorders>
            <w:shd w:val="clear" w:color="auto" w:fill="CC99FF"/>
            <w:noWrap/>
            <w:tcMar>
              <w:top w:w="15" w:type="dxa"/>
              <w:left w:w="15" w:type="dxa"/>
              <w:bottom w:w="0" w:type="dxa"/>
              <w:right w:w="15" w:type="dxa"/>
            </w:tcMar>
            <w:vAlign w:val="bottom"/>
          </w:tcPr>
          <w:p w:rsidR="00013EB8" w:rsidRDefault="0011066A" w:rsidP="0011066A">
            <w:pPr>
              <w:widowControl w:val="0"/>
              <w:jc w:val="center"/>
              <w:rPr>
                <w:b/>
                <w:bCs/>
              </w:rPr>
            </w:pPr>
            <w:bookmarkStart w:id="32" w:name="Rationales"/>
            <w:bookmarkStart w:id="33" w:name="SNLRationales"/>
            <w:r w:rsidRPr="0011066A">
              <w:rPr>
                <w:b/>
              </w:rPr>
              <w:lastRenderedPageBreak/>
              <w:t>Glossary fragments</w:t>
            </w:r>
            <w:r>
              <w:t xml:space="preserve"> (SNL/ADL codes, use </w:t>
            </w:r>
            <w:r w:rsidRPr="0011066A">
              <w:rPr>
                <w:b/>
              </w:rPr>
              <w:t>CTRL-SHIFT-A</w:t>
            </w:r>
            <w:r>
              <w:t xml:space="preserve">) </w:t>
            </w:r>
            <w:r w:rsidR="00013EB8">
              <w:rPr>
                <w:b/>
                <w:bCs/>
              </w:rPr>
              <w:t xml:space="preserve">and </w:t>
            </w:r>
            <w:r w:rsidR="00D94044" w:rsidRPr="004E16AB">
              <w:rPr>
                <w:rFonts w:ascii="Verdana" w:hAnsi="Verdana"/>
                <w:b/>
                <w:highlight w:val="green"/>
              </w:rPr>
              <w:t>VBMS-R</w:t>
            </w:r>
            <w:r w:rsidR="00013EB8">
              <w:rPr>
                <w:b/>
                <w:bCs/>
              </w:rPr>
              <w:t xml:space="preserve"> Denial R</w:t>
            </w:r>
            <w:bookmarkEnd w:id="32"/>
            <w:bookmarkEnd w:id="33"/>
            <w:r>
              <w:rPr>
                <w:b/>
                <w:bCs/>
              </w:rPr>
              <w:t>ATIONALES</w:t>
            </w:r>
          </w:p>
        </w:tc>
      </w:tr>
      <w:tr w:rsidR="00013EB8">
        <w:trPr>
          <w:trHeight w:val="465"/>
          <w:tblHeader/>
        </w:trPr>
        <w:tc>
          <w:tcPr>
            <w:tcW w:w="1455" w:type="dxa"/>
            <w:tcBorders>
              <w:top w:val="nil"/>
              <w:left w:val="single" w:sz="4" w:space="0" w:color="auto"/>
              <w:bottom w:val="single" w:sz="4" w:space="0" w:color="auto"/>
              <w:right w:val="single" w:sz="4" w:space="0" w:color="auto"/>
            </w:tcBorders>
            <w:shd w:val="clear" w:color="auto" w:fill="C0C0C0"/>
            <w:noWrap/>
            <w:tcMar>
              <w:top w:w="15" w:type="dxa"/>
              <w:left w:w="15" w:type="dxa"/>
              <w:bottom w:w="0" w:type="dxa"/>
              <w:right w:w="15" w:type="dxa"/>
            </w:tcMar>
            <w:vAlign w:val="bottom"/>
          </w:tcPr>
          <w:p w:rsidR="00013EB8" w:rsidRDefault="00013EB8">
            <w:pPr>
              <w:widowControl w:val="0"/>
              <w:rPr>
                <w:b/>
                <w:bCs/>
              </w:rPr>
            </w:pPr>
            <w:r>
              <w:rPr>
                <w:b/>
                <w:bCs/>
              </w:rPr>
              <w:t>Abbreviation</w:t>
            </w:r>
          </w:p>
        </w:tc>
        <w:tc>
          <w:tcPr>
            <w:tcW w:w="2880" w:type="dxa"/>
            <w:tcBorders>
              <w:top w:val="nil"/>
              <w:left w:val="nil"/>
              <w:bottom w:val="single" w:sz="4" w:space="0" w:color="auto"/>
              <w:right w:val="single" w:sz="4" w:space="0" w:color="auto"/>
            </w:tcBorders>
            <w:shd w:val="clear" w:color="auto" w:fill="C0C0C0"/>
            <w:noWrap/>
            <w:tcMar>
              <w:top w:w="15" w:type="dxa"/>
              <w:left w:w="15" w:type="dxa"/>
              <w:bottom w:w="0" w:type="dxa"/>
              <w:right w:w="15" w:type="dxa"/>
            </w:tcMar>
            <w:vAlign w:val="bottom"/>
          </w:tcPr>
          <w:p w:rsidR="00013EB8" w:rsidRDefault="00013EB8">
            <w:pPr>
              <w:widowControl w:val="0"/>
              <w:rPr>
                <w:b/>
                <w:bCs/>
              </w:rPr>
            </w:pPr>
            <w:r>
              <w:rPr>
                <w:b/>
                <w:bCs/>
              </w:rPr>
              <w:t>Definition</w:t>
            </w:r>
          </w:p>
        </w:tc>
        <w:tc>
          <w:tcPr>
            <w:tcW w:w="6380" w:type="dxa"/>
            <w:tcBorders>
              <w:top w:val="nil"/>
              <w:left w:val="nil"/>
              <w:bottom w:val="single" w:sz="4" w:space="0" w:color="auto"/>
              <w:right w:val="single" w:sz="4" w:space="0" w:color="auto"/>
            </w:tcBorders>
            <w:shd w:val="clear" w:color="auto" w:fill="C0C0C0"/>
            <w:tcMar>
              <w:top w:w="15" w:type="dxa"/>
              <w:left w:w="15" w:type="dxa"/>
              <w:bottom w:w="0" w:type="dxa"/>
              <w:right w:w="15" w:type="dxa"/>
            </w:tcMar>
            <w:vAlign w:val="bottom"/>
          </w:tcPr>
          <w:p w:rsidR="00013EB8" w:rsidRDefault="00013EB8">
            <w:pPr>
              <w:widowControl w:val="0"/>
              <w:rPr>
                <w:b/>
                <w:bCs/>
              </w:rPr>
            </w:pPr>
            <w:r>
              <w:rPr>
                <w:b/>
                <w:bCs/>
              </w:rPr>
              <w:t>Language</w:t>
            </w:r>
          </w:p>
        </w:tc>
      </w:tr>
      <w:tr w:rsidR="00013EB8">
        <w:trPr>
          <w:trHeight w:val="588"/>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7D3F63" w:rsidP="00D04374">
            <w:pPr>
              <w:widowControl w:val="0"/>
            </w:pPr>
            <w:r>
              <w:rPr>
                <w:rFonts w:ascii="Verdana" w:hAnsi="Verdana"/>
                <w:b/>
                <w:bCs/>
                <w:highlight w:val="green"/>
              </w:rPr>
              <w:t>STRs</w:t>
            </w:r>
            <w:r w:rsidR="00013EB8">
              <w:t>*</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Not shown in STRs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Header"/>
              <w:widowControl w:val="0"/>
              <w:tabs>
                <w:tab w:val="clear" w:pos="4320"/>
                <w:tab w:val="clear" w:pos="8640"/>
              </w:tabs>
            </w:pPr>
            <w:r>
              <w:t>Your service treatment records do not contain complaints, treatment, or diagnosis for this condition.</w:t>
            </w:r>
          </w:p>
        </w:tc>
      </w:tr>
      <w:tr w:rsidR="00013EB8">
        <w:trPr>
          <w:trHeight w:val="813"/>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EC019D" w:rsidRDefault="00234459">
            <w:pPr>
              <w:widowControl w:val="0"/>
              <w:rPr>
                <w:rFonts w:ascii="Verdana" w:hAnsi="Verdana"/>
                <w:b/>
                <w:bCs/>
              </w:rPr>
            </w:pPr>
            <w:r>
              <w:rPr>
                <w:rFonts w:ascii="Verdana" w:hAnsi="Verdana"/>
                <w:b/>
                <w:bCs/>
                <w:highlight w:val="green"/>
              </w:rPr>
              <w:t>AT</w:t>
            </w:r>
          </w:p>
          <w:p w:rsidR="00234459" w:rsidRDefault="00234459">
            <w:pPr>
              <w:widowControl w:val="0"/>
            </w:pPr>
          </w:p>
          <w:p w:rsidR="00EC019D" w:rsidRDefault="00EC019D">
            <w:pPr>
              <w:widowControl w:val="0"/>
            </w:pPr>
            <w:r w:rsidRPr="00EC019D">
              <w:rPr>
                <w:i/>
                <w:iCs/>
                <w:sz w:val="18"/>
              </w:rPr>
              <w:t xml:space="preserve">consider also using </w:t>
            </w:r>
            <w:r w:rsidR="00234459">
              <w:rPr>
                <w:rFonts w:ascii="Verdana" w:hAnsi="Verdana"/>
                <w:b/>
                <w:bCs/>
                <w:highlight w:val="green"/>
              </w:rPr>
              <w:t>NOCONT</w:t>
            </w:r>
            <w:r w:rsidRPr="00EC019D">
              <w:rPr>
                <w:i/>
                <w:iCs/>
                <w:sz w:val="18"/>
              </w:rPr>
              <w:t>, if pertinent</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Shown in STRs, but not persistent (Acute-&amp;-Transitory)</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While your service treatment records reflect complaints, treatment, or a diagnosis similar to that claimed, the medical evidence supports the conclusion that a persistent disability was not present in service.</w:t>
            </w:r>
          </w:p>
          <w:p w:rsidR="00D37092" w:rsidRDefault="00D37092">
            <w:pPr>
              <w:widowControl w:val="0"/>
            </w:pPr>
          </w:p>
          <w:p w:rsidR="00D37092" w:rsidRPr="00D37092" w:rsidRDefault="00D37092" w:rsidP="00D37092">
            <w:pPr>
              <w:rPr>
                <w:sz w:val="22"/>
                <w:szCs w:val="22"/>
              </w:rPr>
            </w:pPr>
            <w:r w:rsidRPr="00D37092">
              <w:rPr>
                <w:b/>
                <w:szCs w:val="22"/>
              </w:rPr>
              <w:t>IV.ii.2.B.1.g</w:t>
            </w:r>
            <w:r w:rsidRPr="00D37092">
              <w:rPr>
                <w:szCs w:val="22"/>
              </w:rPr>
              <w:t xml:space="preserve"> -</w:t>
            </w:r>
            <w:r w:rsidRPr="00D37092">
              <w:rPr>
                <w:rFonts w:ascii="Helvetica" w:hAnsi="Helvetica" w:cs="Helvetica"/>
                <w:szCs w:val="22"/>
              </w:rPr>
              <w:t xml:space="preserve"> </w:t>
            </w:r>
            <w:r w:rsidRPr="00D37092">
              <w:t>Do not arbitrarily determine in-service injuries to be acute and transitory without relying on competent medical evidence determining that chronic disability was not demonstrated.</w:t>
            </w:r>
          </w:p>
        </w:tc>
      </w:tr>
      <w:tr w:rsidR="00013EB8">
        <w:trPr>
          <w:trHeight w:val="258"/>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234459" w:rsidP="00234459">
            <w:pPr>
              <w:widowControl w:val="0"/>
            </w:pPr>
            <w:r>
              <w:rPr>
                <w:rFonts w:ascii="Verdana" w:hAnsi="Verdana"/>
                <w:b/>
                <w:bCs/>
                <w:highlight w:val="green"/>
              </w:rPr>
              <w:t>NOCONT</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61357F" w:rsidRPr="00717686" w:rsidRDefault="00013EB8">
            <w:pPr>
              <w:widowControl w:val="0"/>
            </w:pPr>
            <w:r>
              <w:t>No Co</w:t>
            </w:r>
            <w:r w:rsidR="00717686">
              <w:t>ntinuity of Symptoms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There was no continuity of symptoms from service to the present.  </w:t>
            </w:r>
          </w:p>
        </w:tc>
      </w:tr>
      <w:tr w:rsidR="00013EB8">
        <w:trPr>
          <w:trHeight w:val="1132"/>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widowControl w:val="0"/>
              <w:rPr>
                <w:iCs/>
              </w:rPr>
            </w:pPr>
            <w:r>
              <w:rPr>
                <w:rFonts w:ascii="Verdana" w:hAnsi="Verdana"/>
                <w:b/>
                <w:bCs/>
                <w:highlight w:val="green"/>
              </w:rPr>
              <w:t>L_NODX</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Lay Evidence–No Diagnosis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You submitted a lay statement to support your claim. A credible lay statement may establish what was seen, heard, and directly experienced. </w:t>
            </w:r>
            <w:r>
              <w:rPr>
                <w:i/>
                <w:iCs/>
              </w:rPr>
              <w:t>The lay evidence was found not to be competent and sufficient in this case to establish a diagnosis of your condition or to show that a diagnosis had been made by a medical professional.</w:t>
            </w:r>
            <w:r>
              <w:t xml:space="preserve">  </w:t>
            </w:r>
          </w:p>
        </w:tc>
      </w:tr>
      <w:tr w:rsidR="00013EB8">
        <w:trPr>
          <w:trHeight w:val="922"/>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widowControl w:val="0"/>
              <w:rPr>
                <w:iCs/>
              </w:rPr>
            </w:pPr>
            <w:r>
              <w:rPr>
                <w:rFonts w:ascii="Verdana" w:hAnsi="Verdana"/>
                <w:b/>
                <w:bCs/>
                <w:highlight w:val="green"/>
              </w:rPr>
              <w:t>L_NONEX</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Lay Evidence– No Nexus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You submitted a lay statement to support your claim. A credible lay statement may establish what was seen, heard, and directly experienced. </w:t>
            </w:r>
            <w:r>
              <w:rPr>
                <w:i/>
                <w:iCs/>
              </w:rPr>
              <w:t>The lay evidence was found not to be competent and sufficient in this case to establish a link or nexus between your medical condition and military service or to establish that such a link has been found by a medical professional.</w:t>
            </w:r>
            <w:r>
              <w:t xml:space="preserve">  </w:t>
            </w:r>
          </w:p>
        </w:tc>
      </w:tr>
      <w:tr w:rsidR="00013EB8">
        <w:trPr>
          <w:trHeight w:val="878"/>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widowControl w:val="0"/>
              <w:rPr>
                <w:iCs/>
              </w:rPr>
            </w:pPr>
            <w:r>
              <w:rPr>
                <w:rFonts w:ascii="Verdana" w:hAnsi="Verdana"/>
                <w:b/>
                <w:bCs/>
                <w:highlight w:val="green"/>
              </w:rPr>
              <w:t>L_NOSYM</w:t>
            </w:r>
            <w:r w:rsidR="00A0086D" w:rsidRPr="00A0086D">
              <w:rPr>
                <w:iCs/>
              </w:rPr>
              <w:t>*</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Lay Evidence – Current symptoms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You submitted a lay statement to support your claim. A credible lay statement may establish what was seen, heard, and directly experienced. </w:t>
            </w:r>
            <w:r>
              <w:rPr>
                <w:i/>
                <w:iCs/>
              </w:rPr>
              <w:t>The lay evidence was found not to be competent or credible evidence of the symptoms of your claimed condition.</w:t>
            </w:r>
            <w:r>
              <w:t xml:space="preserve">  </w:t>
            </w:r>
          </w:p>
        </w:tc>
      </w:tr>
      <w:tr w:rsidR="00013EB8">
        <w:trPr>
          <w:trHeight w:val="1311"/>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widowControl w:val="0"/>
            </w:pPr>
            <w:r>
              <w:rPr>
                <w:rFonts w:ascii="Verdana" w:hAnsi="Verdana"/>
                <w:b/>
                <w:bCs/>
                <w:highlight w:val="green"/>
              </w:rPr>
              <w:t>NOCRED</w:t>
            </w:r>
            <w:r w:rsidR="00013EB8" w:rsidRPr="00A0086D">
              <w:t>*</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 Credible event</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D066C" w:rsidRPr="000D066C" w:rsidRDefault="00013EB8" w:rsidP="00037363">
            <w:pPr>
              <w:widowControl w:val="0"/>
            </w:pPr>
            <w:r>
              <w:t xml:space="preserve">You submitted lay evidence that your claimed disability is related to events or treatment in service. We have determined that the service treatment records and post service evidence contradict your statement(s) of a connection between your service and your claimed condition, and find the other evidence is more credible when considered in light of all the evidence.  </w:t>
            </w:r>
          </w:p>
        </w:tc>
      </w:tr>
      <w:tr w:rsidR="00013EB8">
        <w:trPr>
          <w:trHeight w:val="469"/>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C0672F">
            <w:pPr>
              <w:widowControl w:val="0"/>
              <w:rPr>
                <w:iCs/>
              </w:rPr>
            </w:pPr>
            <w:r>
              <w:rPr>
                <w:rFonts w:ascii="Verdana" w:hAnsi="Verdana"/>
                <w:b/>
                <w:bCs/>
                <w:highlight w:val="green"/>
              </w:rPr>
              <w:t>V_NONEX</w:t>
            </w:r>
            <w:r w:rsidR="00A0086D" w:rsidRPr="00A0086D">
              <w:rPr>
                <w:iCs/>
              </w:rPr>
              <w:t>*</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Negative VAMC opinion (No nexus)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The VA medical opinion found no link between your diagnosed medical condition and military service.</w:t>
            </w:r>
          </w:p>
        </w:tc>
      </w:tr>
      <w:tr w:rsidR="00013EB8">
        <w:trPr>
          <w:trHeight w:val="518"/>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234459" w:rsidP="00234459">
            <w:pPr>
              <w:widowControl w:val="0"/>
              <w:rPr>
                <w:iCs/>
              </w:rPr>
            </w:pPr>
            <w:r>
              <w:rPr>
                <w:rFonts w:ascii="Verdana" w:hAnsi="Verdana"/>
                <w:b/>
                <w:bCs/>
                <w:highlight w:val="green"/>
              </w:rPr>
              <w:t>V_AT</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Negative VAMC Opinion (Acute-&amp;-Transitory)</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The VA medical opinion found no persistent disability.</w:t>
            </w:r>
          </w:p>
        </w:tc>
      </w:tr>
      <w:tr w:rsidR="00013EB8">
        <w:trPr>
          <w:trHeight w:val="540"/>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7D3F63">
            <w:pPr>
              <w:widowControl w:val="0"/>
              <w:rPr>
                <w:rFonts w:ascii="Verdana" w:hAnsi="Verdana"/>
                <w:b/>
                <w:bCs/>
              </w:rPr>
            </w:pPr>
            <w:r>
              <w:rPr>
                <w:rFonts w:ascii="Verdana" w:hAnsi="Verdana"/>
                <w:b/>
                <w:bCs/>
                <w:highlight w:val="green"/>
              </w:rPr>
              <w:t>PTSD_C</w:t>
            </w:r>
          </w:p>
          <w:p w:rsidR="00CF76D5" w:rsidRPr="00CF76D5" w:rsidRDefault="00CF76D5" w:rsidP="00CF76D5">
            <w:pPr>
              <w:widowControl w:val="0"/>
              <w:rPr>
                <w:rFonts w:ascii="Verdana" w:hAnsi="Verdana"/>
                <w:b/>
                <w:bCs/>
              </w:rPr>
            </w:pP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Concede PTSD Stressor</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We concede you experienced a stressful event in service or fear of hostile </w:t>
            </w:r>
            <w:r w:rsidR="00514C84">
              <w:t>military or terrorist activity.</w:t>
            </w:r>
          </w:p>
        </w:tc>
      </w:tr>
      <w:tr w:rsidR="00013EB8">
        <w:trPr>
          <w:trHeight w:val="517"/>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7D3F63">
            <w:pPr>
              <w:widowControl w:val="0"/>
              <w:rPr>
                <w:iCs/>
              </w:rPr>
            </w:pPr>
            <w:r>
              <w:rPr>
                <w:rFonts w:ascii="Verdana" w:hAnsi="Verdana"/>
                <w:b/>
                <w:bCs/>
                <w:highlight w:val="green"/>
              </w:rPr>
              <w:t>PTSD_NC</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No PTSD stressor concession</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Pr="00514C84" w:rsidRDefault="00013EB8">
            <w:pPr>
              <w:widowControl w:val="0"/>
            </w:pPr>
            <w:r>
              <w:t xml:space="preserve">We have not found that you experienced a stressful event in service, including fear of hostile </w:t>
            </w:r>
            <w:r w:rsidR="00514C84">
              <w:t>military or terrorist activity.</w:t>
            </w:r>
          </w:p>
        </w:tc>
      </w:tr>
      <w:tr w:rsidR="00013EB8">
        <w:trPr>
          <w:trHeight w:val="811"/>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234459" w:rsidP="00234459">
            <w:pPr>
              <w:widowControl w:val="0"/>
              <w:rPr>
                <w:iCs/>
              </w:rPr>
            </w:pPr>
            <w:r>
              <w:rPr>
                <w:rFonts w:ascii="Verdana" w:hAnsi="Verdana"/>
                <w:b/>
                <w:bCs/>
                <w:highlight w:val="green"/>
              </w:rPr>
              <w:t>PV_RAT</w:t>
            </w:r>
            <w:r w:rsidR="00A0086D" w:rsidRPr="00A0086D">
              <w:rPr>
                <w:iCs/>
              </w:rPr>
              <w:t>*</w:t>
            </w:r>
          </w:p>
          <w:p w:rsidR="008F4022" w:rsidRDefault="008F4022" w:rsidP="00234459">
            <w:pPr>
              <w:widowControl w:val="0"/>
              <w:rPr>
                <w:iCs/>
              </w:rPr>
            </w:pPr>
          </w:p>
          <w:p w:rsidR="008F4022" w:rsidRPr="008F4022" w:rsidRDefault="008F4022" w:rsidP="00234459">
            <w:pPr>
              <w:widowControl w:val="0"/>
              <w:rPr>
                <w:b/>
                <w:iCs/>
              </w:rPr>
            </w:pPr>
            <w:r w:rsidRPr="008F4022">
              <w:rPr>
                <w:b/>
                <w:szCs w:val="21"/>
              </w:rPr>
              <w:t>III.iv.5.A.9.g</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Rationale better supported (Probative Value Rationale)</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While you submitted positive medical evidence to support your claim, we found other medical evidence more persuasive </w:t>
            </w:r>
            <w:r>
              <w:rPr>
                <w:i/>
                <w:iCs/>
              </w:rPr>
              <w:t>because it is better supported in its rationale and conclusions.</w:t>
            </w:r>
          </w:p>
        </w:tc>
      </w:tr>
      <w:tr w:rsidR="00013EB8">
        <w:trPr>
          <w:trHeight w:val="663"/>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F67DDA" w:rsidP="00F67DDA">
            <w:pPr>
              <w:widowControl w:val="0"/>
              <w:rPr>
                <w:iCs/>
              </w:rPr>
            </w:pPr>
            <w:r>
              <w:rPr>
                <w:rFonts w:ascii="Verdana" w:hAnsi="Verdana"/>
                <w:b/>
                <w:bCs/>
                <w:highlight w:val="green"/>
              </w:rPr>
              <w:t>PV_S</w:t>
            </w:r>
            <w:r w:rsidRPr="00A0086D">
              <w:rPr>
                <w:iCs/>
              </w:rPr>
              <w:t>*</w:t>
            </w:r>
          </w:p>
          <w:p w:rsidR="008F4022" w:rsidRDefault="008F4022" w:rsidP="00F67DDA">
            <w:pPr>
              <w:widowControl w:val="0"/>
              <w:rPr>
                <w:iCs/>
              </w:rPr>
            </w:pPr>
          </w:p>
          <w:p w:rsidR="008F4022" w:rsidRPr="00A0086D" w:rsidRDefault="008F4022" w:rsidP="00F67DDA">
            <w:pPr>
              <w:widowControl w:val="0"/>
              <w:rPr>
                <w:iCs/>
              </w:rPr>
            </w:pPr>
            <w:r w:rsidRPr="008F4022">
              <w:rPr>
                <w:b/>
                <w:szCs w:val="21"/>
              </w:rPr>
              <w:t>III.iv.5.A.9.g</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Authored by specialist (Probative Value Specialist)</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Some evidence supports your claim; however, we found other medical evidence more persuasive because </w:t>
            </w:r>
            <w:r>
              <w:rPr>
                <w:i/>
                <w:iCs/>
              </w:rPr>
              <w:t>a medical specialist in the appropriate field provided it.</w:t>
            </w:r>
          </w:p>
        </w:tc>
      </w:tr>
      <w:tr w:rsidR="00013EB8">
        <w:trPr>
          <w:trHeight w:val="795"/>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F67DDA" w:rsidP="00F67DDA">
            <w:pPr>
              <w:widowControl w:val="0"/>
              <w:rPr>
                <w:iCs/>
              </w:rPr>
            </w:pPr>
            <w:r>
              <w:rPr>
                <w:rFonts w:ascii="Verdana" w:hAnsi="Verdana"/>
                <w:b/>
                <w:bCs/>
                <w:highlight w:val="green"/>
              </w:rPr>
              <w:t>PV_HX</w:t>
            </w:r>
            <w:r w:rsidRPr="00A0086D">
              <w:rPr>
                <w:iCs/>
              </w:rPr>
              <w:t>*</w:t>
            </w:r>
          </w:p>
          <w:p w:rsidR="008F4022" w:rsidRDefault="008F4022" w:rsidP="00F67DDA">
            <w:pPr>
              <w:widowControl w:val="0"/>
              <w:rPr>
                <w:iCs/>
              </w:rPr>
            </w:pPr>
          </w:p>
          <w:p w:rsidR="008F4022" w:rsidRPr="00A0086D" w:rsidRDefault="008F4022" w:rsidP="00F67DDA">
            <w:pPr>
              <w:widowControl w:val="0"/>
              <w:rPr>
                <w:iCs/>
              </w:rPr>
            </w:pPr>
            <w:r w:rsidRPr="008F4022">
              <w:rPr>
                <w:b/>
                <w:szCs w:val="21"/>
              </w:rPr>
              <w:t>III.iv.5.A.9.g</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Accurate account of medical history (Probative Value Medical History)</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Although some evidence supports your claim, we found other medical evidence more persuasive because </w:t>
            </w:r>
            <w:r>
              <w:rPr>
                <w:i/>
                <w:iCs/>
              </w:rPr>
              <w:t>it is supported by an accurate account of the medical history and/or it is the most detailed and reliable depiction of your medical condition.</w:t>
            </w:r>
          </w:p>
        </w:tc>
      </w:tr>
      <w:tr w:rsidR="00013EB8">
        <w:trPr>
          <w:trHeight w:val="687"/>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F67DDA" w:rsidP="00F67DDA">
            <w:pPr>
              <w:widowControl w:val="0"/>
              <w:rPr>
                <w:iCs/>
              </w:rPr>
            </w:pPr>
            <w:r>
              <w:rPr>
                <w:rFonts w:ascii="Verdana" w:hAnsi="Verdana"/>
                <w:b/>
                <w:bCs/>
                <w:highlight w:val="green"/>
              </w:rPr>
              <w:t>PV_HX2</w:t>
            </w:r>
            <w:r w:rsidRPr="00A0086D">
              <w:rPr>
                <w:iCs/>
              </w:rPr>
              <w:t>*</w:t>
            </w:r>
          </w:p>
          <w:p w:rsidR="008F4022" w:rsidRDefault="008F4022" w:rsidP="00F67DDA">
            <w:pPr>
              <w:widowControl w:val="0"/>
              <w:rPr>
                <w:iCs/>
              </w:rPr>
            </w:pPr>
          </w:p>
          <w:p w:rsidR="008F4022" w:rsidRPr="00A0086D" w:rsidRDefault="008F4022" w:rsidP="00F67DDA">
            <w:pPr>
              <w:widowControl w:val="0"/>
              <w:rPr>
                <w:iCs/>
              </w:rPr>
            </w:pPr>
            <w:r w:rsidRPr="008F4022">
              <w:rPr>
                <w:b/>
                <w:szCs w:val="21"/>
              </w:rPr>
              <w:t>III.iv.5.A.9.g</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Includes relevant personal and/or military history (Probative Value Medical History2)</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rPr>
                <w:i/>
                <w:iCs/>
              </w:rPr>
            </w:pPr>
            <w:r>
              <w:t xml:space="preserve">While some evidence supports your claim, we found other medical evidence more persuasive because </w:t>
            </w:r>
            <w:r>
              <w:rPr>
                <w:i/>
                <w:iCs/>
              </w:rPr>
              <w:t>it is supported by your relevant military and/or personal history.</w:t>
            </w:r>
          </w:p>
          <w:p w:rsidR="00037363" w:rsidRDefault="00037363">
            <w:pPr>
              <w:widowControl w:val="0"/>
              <w:rPr>
                <w:i/>
                <w:iCs/>
              </w:rPr>
            </w:pPr>
          </w:p>
          <w:p w:rsidR="00037363" w:rsidRPr="00510DA1" w:rsidRDefault="00037363" w:rsidP="00037363">
            <w:pPr>
              <w:widowControl w:val="0"/>
              <w:rPr>
                <w:u w:val="single"/>
              </w:rPr>
            </w:pPr>
            <w:r w:rsidRPr="00510DA1">
              <w:rPr>
                <w:u w:val="single"/>
              </w:rPr>
              <w:t>May want to add:</w:t>
            </w:r>
          </w:p>
          <w:p w:rsidR="00037363" w:rsidRDefault="00037363" w:rsidP="00037363">
            <w:pPr>
              <w:tabs>
                <w:tab w:val="left" w:pos="0"/>
                <w:tab w:val="left" w:pos="144"/>
              </w:tabs>
              <w:rPr>
                <w:i/>
              </w:rPr>
            </w:pPr>
            <w:r>
              <w:rPr>
                <w:i/>
              </w:rPr>
              <w:lastRenderedPageBreak/>
              <w:t xml:space="preserve">The opinion from </w:t>
            </w:r>
            <w:r w:rsidR="00A46221">
              <w:rPr>
                <w:i/>
              </w:rPr>
              <w:t>{}</w:t>
            </w:r>
            <w:r>
              <w:rPr>
                <w:i/>
              </w:rPr>
              <w:t xml:space="preserve"> is not credible or persuasive, as w</w:t>
            </w:r>
            <w:r w:rsidRPr="00140D9F">
              <w:rPr>
                <w:i/>
              </w:rPr>
              <w:t xml:space="preserve">ithout any evidence of </w:t>
            </w:r>
            <w:r>
              <w:rPr>
                <w:i/>
              </w:rPr>
              <w:t xml:space="preserve">treatment or </w:t>
            </w:r>
            <w:r w:rsidRPr="00140D9F">
              <w:rPr>
                <w:i/>
              </w:rPr>
              <w:t>symptoms during service, an opinion connecting a current condition to military service, ba</w:t>
            </w:r>
            <w:r>
              <w:rPr>
                <w:i/>
              </w:rPr>
              <w:t xml:space="preserve">sed on history, is not credible or persuasive. </w:t>
            </w:r>
          </w:p>
          <w:p w:rsidR="00037363" w:rsidRDefault="00037363" w:rsidP="00037363">
            <w:pPr>
              <w:widowControl w:val="0"/>
              <w:rPr>
                <w:rFonts w:ascii="Verdana" w:hAnsi="Verdana"/>
                <w:b/>
                <w:bCs/>
              </w:rPr>
            </w:pPr>
            <w:r>
              <w:t xml:space="preserve">&amp; also use </w:t>
            </w:r>
            <w:r w:rsidR="007D3F63">
              <w:rPr>
                <w:rFonts w:ascii="Verdana" w:hAnsi="Verdana"/>
                <w:b/>
                <w:bCs/>
                <w:highlight w:val="green"/>
              </w:rPr>
              <w:t>NONEX</w:t>
            </w:r>
          </w:p>
          <w:p w:rsidR="00154A59" w:rsidRDefault="00154A59" w:rsidP="00037363">
            <w:pPr>
              <w:widowControl w:val="0"/>
              <w:rPr>
                <w:rFonts w:ascii="Verdana" w:hAnsi="Verdana"/>
                <w:b/>
                <w:bCs/>
              </w:rPr>
            </w:pPr>
          </w:p>
          <w:p w:rsidR="00154A59" w:rsidRDefault="00154A59" w:rsidP="00037363">
            <w:pPr>
              <w:widowControl w:val="0"/>
              <w:rPr>
                <w:i/>
              </w:rPr>
            </w:pPr>
            <w:r w:rsidRPr="00154A59">
              <w:rPr>
                <w:i/>
              </w:rPr>
              <w:t>Without any evidence of treatment or symptoms during service, statements of symptoms in service</w:t>
            </w:r>
            <w:r>
              <w:rPr>
                <w:i/>
              </w:rPr>
              <w:t>,</w:t>
            </w:r>
            <w:r w:rsidRPr="00154A59">
              <w:rPr>
                <w:i/>
              </w:rPr>
              <w:t xml:space="preserve"> by history, are not credible or persuasive</w:t>
            </w:r>
            <w:r>
              <w:rPr>
                <w:i/>
              </w:rPr>
              <w:t>.</w:t>
            </w:r>
          </w:p>
          <w:p w:rsidR="00C1326E" w:rsidRDefault="00677E97" w:rsidP="00037363">
            <w:pPr>
              <w:widowControl w:val="0"/>
              <w:rPr>
                <w:rFonts w:ascii="Verdana" w:hAnsi="Verdana"/>
                <w:b/>
                <w:bCs/>
              </w:rPr>
            </w:pPr>
            <w:r>
              <w:t xml:space="preserve">&amp; also use </w:t>
            </w:r>
            <w:r>
              <w:rPr>
                <w:rFonts w:ascii="Verdana" w:hAnsi="Verdana"/>
                <w:b/>
                <w:bCs/>
                <w:highlight w:val="green"/>
              </w:rPr>
              <w:t>NOCRED</w:t>
            </w:r>
          </w:p>
          <w:p w:rsidR="006D3D21" w:rsidRDefault="006D3D21" w:rsidP="00037363">
            <w:pPr>
              <w:widowControl w:val="0"/>
              <w:rPr>
                <w:i/>
              </w:rPr>
            </w:pPr>
          </w:p>
          <w:p w:rsidR="00C1326E" w:rsidRDefault="00C1326E" w:rsidP="00037363">
            <w:pPr>
              <w:widowControl w:val="0"/>
              <w:rPr>
                <w:u w:val="single"/>
              </w:rPr>
            </w:pPr>
            <w:r>
              <w:rPr>
                <w:u w:val="single"/>
              </w:rPr>
              <w:t xml:space="preserve">If </w:t>
            </w:r>
            <w:r w:rsidRPr="00C1326E">
              <w:rPr>
                <w:u w:val="single"/>
              </w:rPr>
              <w:t>get VA examiner’s opinion based on</w:t>
            </w:r>
            <w:r w:rsidR="008058D8">
              <w:rPr>
                <w:u w:val="single"/>
              </w:rPr>
              <w:t xml:space="preserve"> “overuse” or reported</w:t>
            </w:r>
            <w:r w:rsidRPr="00C1326E">
              <w:rPr>
                <w:u w:val="single"/>
              </w:rPr>
              <w:t xml:space="preserve"> history</w:t>
            </w:r>
            <w:r w:rsidR="008058D8">
              <w:rPr>
                <w:u w:val="single"/>
              </w:rPr>
              <w:t xml:space="preserve"> of injury</w:t>
            </w:r>
            <w:r w:rsidRPr="00C1326E">
              <w:rPr>
                <w:u w:val="single"/>
              </w:rPr>
              <w:t>:</w:t>
            </w:r>
          </w:p>
          <w:p w:rsidR="00510DA1" w:rsidRDefault="00510DA1" w:rsidP="00510DA1">
            <w:pPr>
              <w:widowControl w:val="0"/>
              <w:rPr>
                <w:i/>
              </w:rPr>
            </w:pPr>
            <w:r w:rsidRPr="00154A59">
              <w:rPr>
                <w:i/>
              </w:rPr>
              <w:t>Without any evidence of treatment or symptoms</w:t>
            </w:r>
            <w:r>
              <w:rPr>
                <w:i/>
              </w:rPr>
              <w:t xml:space="preserve"> during service, statements of injury and overuse </w:t>
            </w:r>
            <w:r w:rsidRPr="00154A59">
              <w:rPr>
                <w:i/>
              </w:rPr>
              <w:t>in service</w:t>
            </w:r>
            <w:r>
              <w:rPr>
                <w:i/>
              </w:rPr>
              <w:t>,</w:t>
            </w:r>
            <w:r w:rsidRPr="00154A59">
              <w:rPr>
                <w:i/>
              </w:rPr>
              <w:t xml:space="preserve"> by history, are not credible or persuasive</w:t>
            </w:r>
            <w:r>
              <w:rPr>
                <w:i/>
              </w:rPr>
              <w:t>.</w:t>
            </w:r>
          </w:p>
          <w:p w:rsidR="00677E97" w:rsidRDefault="00510DA1" w:rsidP="00677E97">
            <w:pPr>
              <w:widowControl w:val="0"/>
              <w:rPr>
                <w:i/>
              </w:rPr>
            </w:pPr>
            <w:r>
              <w:t xml:space="preserve">&amp; also use </w:t>
            </w:r>
            <w:r>
              <w:rPr>
                <w:rFonts w:ascii="Verdana" w:hAnsi="Verdana"/>
                <w:b/>
                <w:bCs/>
                <w:highlight w:val="green"/>
              </w:rPr>
              <w:t>NONEX</w:t>
            </w:r>
            <w:r w:rsidR="00677E97">
              <w:rPr>
                <w:rFonts w:ascii="Verdana" w:hAnsi="Verdana"/>
                <w:b/>
                <w:bCs/>
              </w:rPr>
              <w:t xml:space="preserve"> </w:t>
            </w:r>
            <w:r w:rsidR="00677E97">
              <w:t xml:space="preserve">&amp; </w:t>
            </w:r>
            <w:r w:rsidR="00677E97">
              <w:rPr>
                <w:rFonts w:ascii="Verdana" w:hAnsi="Verdana"/>
                <w:b/>
                <w:bCs/>
                <w:highlight w:val="green"/>
              </w:rPr>
              <w:t>NOCRED</w:t>
            </w:r>
          </w:p>
          <w:p w:rsidR="006D3D21" w:rsidRDefault="006D3D21" w:rsidP="00037363">
            <w:pPr>
              <w:widowControl w:val="0"/>
            </w:pPr>
            <w:r w:rsidRPr="00C1326E">
              <w:t xml:space="preserve">Rating Note:  The VA examiner’s opinion links the diagnosed </w:t>
            </w:r>
            <w:r>
              <w:t>{}</w:t>
            </w:r>
            <w:r w:rsidRPr="00C1326E">
              <w:t xml:space="preserve"> to "overuse"</w:t>
            </w:r>
            <w:r>
              <w:t xml:space="preserve"> and “injury</w:t>
            </w:r>
            <w:r w:rsidR="001946CC">
              <w:t>.</w:t>
            </w:r>
            <w:r>
              <w:t>”</w:t>
            </w:r>
            <w:r w:rsidRPr="00C1326E">
              <w:t xml:space="preserve"> STRs are silent for treatment. VATRs show </w:t>
            </w:r>
            <w:r>
              <w:t>{}</w:t>
            </w:r>
            <w:r w:rsidRPr="00C1326E">
              <w:t xml:space="preserve"> (</w:t>
            </w:r>
            <w:r>
              <w:t>{}</w:t>
            </w:r>
            <w:r w:rsidRPr="00C1326E">
              <w:t xml:space="preserve"> years after separation). We have no regulation or policy that allows for SC based on "overuse"</w:t>
            </w:r>
            <w:r>
              <w:t xml:space="preserve"> or reported injury</w:t>
            </w:r>
            <w:r w:rsidRPr="00C1326E">
              <w:t xml:space="preserve"> without</w:t>
            </w:r>
            <w:r>
              <w:t xml:space="preserve"> some</w:t>
            </w:r>
            <w:r w:rsidRPr="00C1326E">
              <w:t xml:space="preserve"> treatment in service.</w:t>
            </w:r>
          </w:p>
          <w:p w:rsidR="006D3D21" w:rsidRDefault="006D3D21" w:rsidP="00037363">
            <w:pPr>
              <w:widowControl w:val="0"/>
            </w:pPr>
          </w:p>
          <w:p w:rsidR="00C1326E" w:rsidRDefault="006D3D21" w:rsidP="006D3D21">
            <w:pPr>
              <w:widowControl w:val="0"/>
              <w:rPr>
                <w:i/>
              </w:rPr>
            </w:pPr>
            <w:r w:rsidRPr="00154A59">
              <w:rPr>
                <w:i/>
              </w:rPr>
              <w:t>Without any evidence of treatment or symptoms</w:t>
            </w:r>
            <w:r>
              <w:rPr>
                <w:i/>
              </w:rPr>
              <w:t xml:space="preserve"> during service, reports of wearing boots without support </w:t>
            </w:r>
            <w:r w:rsidRPr="00154A59">
              <w:rPr>
                <w:i/>
              </w:rPr>
              <w:t>in service</w:t>
            </w:r>
            <w:r>
              <w:rPr>
                <w:i/>
              </w:rPr>
              <w:t xml:space="preserve"> </w:t>
            </w:r>
            <w:r w:rsidRPr="00154A59">
              <w:rPr>
                <w:i/>
              </w:rPr>
              <w:t xml:space="preserve">are not </w:t>
            </w:r>
            <w:r>
              <w:rPr>
                <w:i/>
              </w:rPr>
              <w:t xml:space="preserve">a </w:t>
            </w:r>
            <w:r w:rsidRPr="00154A59">
              <w:rPr>
                <w:i/>
              </w:rPr>
              <w:t>credible or persuasive</w:t>
            </w:r>
            <w:r>
              <w:rPr>
                <w:i/>
              </w:rPr>
              <w:t xml:space="preserve"> basis for service connection.</w:t>
            </w:r>
          </w:p>
          <w:p w:rsidR="006D3D21" w:rsidRDefault="006D3D21" w:rsidP="006D3D21">
            <w:pPr>
              <w:widowControl w:val="0"/>
              <w:rPr>
                <w:i/>
              </w:rPr>
            </w:pPr>
            <w:r>
              <w:t xml:space="preserve">&amp; also use </w:t>
            </w:r>
            <w:r>
              <w:rPr>
                <w:rFonts w:ascii="Verdana" w:hAnsi="Verdana"/>
                <w:b/>
                <w:bCs/>
                <w:highlight w:val="green"/>
              </w:rPr>
              <w:t>NONEX</w:t>
            </w:r>
            <w:r>
              <w:rPr>
                <w:rFonts w:ascii="Verdana" w:hAnsi="Verdana"/>
                <w:b/>
                <w:bCs/>
              </w:rPr>
              <w:t xml:space="preserve"> </w:t>
            </w:r>
            <w:r>
              <w:t xml:space="preserve">&amp; </w:t>
            </w:r>
            <w:r>
              <w:rPr>
                <w:rFonts w:ascii="Verdana" w:hAnsi="Verdana"/>
                <w:b/>
                <w:bCs/>
                <w:highlight w:val="green"/>
              </w:rPr>
              <w:t>NOCRED</w:t>
            </w:r>
          </w:p>
          <w:p w:rsidR="006D3D21" w:rsidRPr="006D3D21" w:rsidRDefault="006D3D21" w:rsidP="006D3D21">
            <w:pPr>
              <w:widowControl w:val="0"/>
            </w:pPr>
            <w:r w:rsidRPr="00C1326E">
              <w:t xml:space="preserve">Rating Note:  The </w:t>
            </w:r>
            <w:r>
              <w:t>{}</w:t>
            </w:r>
            <w:r w:rsidRPr="00C1326E">
              <w:t xml:space="preserve"> opinion links the diagnosed </w:t>
            </w:r>
            <w:r>
              <w:t>{}</w:t>
            </w:r>
            <w:r w:rsidRPr="00C1326E">
              <w:t xml:space="preserve"> to </w:t>
            </w:r>
            <w:r>
              <w:t>wearing boots in service</w:t>
            </w:r>
            <w:r w:rsidRPr="00C1326E">
              <w:t xml:space="preserve">. STRs are silent for treatment. VATRs show </w:t>
            </w:r>
            <w:r>
              <w:t>{}</w:t>
            </w:r>
            <w:r w:rsidRPr="00C1326E">
              <w:t xml:space="preserve"> (</w:t>
            </w:r>
            <w:r>
              <w:t>{}</w:t>
            </w:r>
            <w:r w:rsidRPr="00C1326E">
              <w:t xml:space="preserve"> years after separation). We have no regulation or poli</w:t>
            </w:r>
            <w:r>
              <w:t>cy that allows for SC based on wearing boots</w:t>
            </w:r>
            <w:r w:rsidRPr="00C1326E">
              <w:t xml:space="preserve"> without</w:t>
            </w:r>
            <w:r>
              <w:t xml:space="preserve"> some</w:t>
            </w:r>
            <w:r w:rsidRPr="00C1326E">
              <w:t xml:space="preserve"> treatment in service.</w:t>
            </w:r>
          </w:p>
        </w:tc>
      </w:tr>
      <w:tr w:rsidR="00013EB8">
        <w:trPr>
          <w:trHeight w:val="714"/>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F67DDA" w:rsidP="00F67DDA">
            <w:pPr>
              <w:widowControl w:val="0"/>
              <w:rPr>
                <w:iCs/>
              </w:rPr>
            </w:pPr>
            <w:r>
              <w:rPr>
                <w:rFonts w:ascii="Verdana" w:hAnsi="Verdana"/>
                <w:b/>
                <w:bCs/>
                <w:highlight w:val="green"/>
              </w:rPr>
              <w:lastRenderedPageBreak/>
              <w:t>PV_MULTI</w:t>
            </w:r>
            <w:r w:rsidRPr="00A0086D">
              <w:rPr>
                <w:iCs/>
              </w:rPr>
              <w:t>*</w:t>
            </w:r>
          </w:p>
          <w:p w:rsidR="008F4022" w:rsidRDefault="008F4022" w:rsidP="00F67DDA">
            <w:pPr>
              <w:widowControl w:val="0"/>
              <w:rPr>
                <w:iCs/>
              </w:rPr>
            </w:pPr>
          </w:p>
          <w:p w:rsidR="008F4022" w:rsidRPr="00A0086D" w:rsidRDefault="008F4022" w:rsidP="00F67DDA">
            <w:pPr>
              <w:widowControl w:val="0"/>
              <w:rPr>
                <w:iCs/>
              </w:rPr>
            </w:pPr>
            <w:r w:rsidRPr="008F4022">
              <w:rPr>
                <w:b/>
                <w:szCs w:val="21"/>
              </w:rPr>
              <w:t>III.iv.5.A.9.g</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Multiple medical professionals (Probative Value supported by multiple medical professionals)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Even though some evidence supports your claim, we found other medical evidence more persuasive because </w:t>
            </w:r>
            <w:r>
              <w:rPr>
                <w:i/>
                <w:iCs/>
              </w:rPr>
              <w:t>it is supported by a consensus of medical expertise.</w:t>
            </w:r>
          </w:p>
        </w:tc>
      </w:tr>
      <w:tr w:rsidR="00013EB8">
        <w:trPr>
          <w:trHeight w:val="674"/>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F67DDA" w:rsidP="00F67DDA">
            <w:pPr>
              <w:widowControl w:val="0"/>
              <w:rPr>
                <w:iCs/>
              </w:rPr>
            </w:pPr>
            <w:r>
              <w:rPr>
                <w:rFonts w:ascii="Verdana" w:hAnsi="Verdana"/>
                <w:b/>
                <w:bCs/>
                <w:highlight w:val="green"/>
              </w:rPr>
              <w:t>PV_CERT</w:t>
            </w:r>
            <w:r w:rsidRPr="00A0086D">
              <w:rPr>
                <w:iCs/>
              </w:rPr>
              <w:t>*</w:t>
            </w:r>
          </w:p>
          <w:p w:rsidR="008F4022" w:rsidRDefault="008F4022" w:rsidP="00F67DDA">
            <w:pPr>
              <w:widowControl w:val="0"/>
              <w:rPr>
                <w:iCs/>
              </w:rPr>
            </w:pPr>
          </w:p>
          <w:p w:rsidR="008F4022" w:rsidRPr="00A0086D" w:rsidRDefault="008F4022" w:rsidP="00F67DDA">
            <w:pPr>
              <w:widowControl w:val="0"/>
              <w:rPr>
                <w:iCs/>
              </w:rPr>
            </w:pPr>
            <w:r w:rsidRPr="008F4022">
              <w:rPr>
                <w:b/>
                <w:szCs w:val="21"/>
              </w:rPr>
              <w:t>III.iv.5.A.9.g</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Greater certainty (Probative Value supported by a greater medical certainty)</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 xml:space="preserve">Some evidence supports your claim; however, we found other medical evidence more persuasive because </w:t>
            </w:r>
            <w:r>
              <w:rPr>
                <w:i/>
                <w:iCs/>
              </w:rPr>
              <w:t>it is supported by a greater degree of medical confidence.</w:t>
            </w:r>
          </w:p>
        </w:tc>
      </w:tr>
      <w:tr w:rsidR="00013EB8">
        <w:trPr>
          <w:trHeight w:val="928"/>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F67DDA" w:rsidP="00F67DDA">
            <w:pPr>
              <w:widowControl w:val="0"/>
              <w:rPr>
                <w:iCs/>
              </w:rPr>
            </w:pPr>
            <w:r>
              <w:rPr>
                <w:rFonts w:ascii="Verdana" w:hAnsi="Verdana"/>
                <w:b/>
                <w:bCs/>
                <w:highlight w:val="green"/>
              </w:rPr>
              <w:t>PV_V_P</w:t>
            </w:r>
            <w:r w:rsidRPr="00A0086D">
              <w:rPr>
                <w:iCs/>
              </w:rPr>
              <w:t>*</w:t>
            </w:r>
          </w:p>
          <w:p w:rsidR="008F4022" w:rsidRDefault="008F4022" w:rsidP="00F67DDA">
            <w:pPr>
              <w:widowControl w:val="0"/>
              <w:rPr>
                <w:iCs/>
              </w:rPr>
            </w:pPr>
          </w:p>
          <w:p w:rsidR="008F4022" w:rsidRPr="00A0086D" w:rsidRDefault="008F4022" w:rsidP="00F67DDA">
            <w:pPr>
              <w:widowControl w:val="0"/>
              <w:rPr>
                <w:iCs/>
              </w:rPr>
            </w:pPr>
            <w:r w:rsidRPr="008F4022">
              <w:rPr>
                <w:b/>
                <w:szCs w:val="21"/>
              </w:rPr>
              <w:t>III.iv.5.A.9.g</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Private vs. VAMC medical opinion (Probative Value-VAX more convincing than private opinion)</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140D9F" w:rsidRDefault="00013EB8" w:rsidP="00BD05CC">
            <w:pPr>
              <w:widowControl w:val="0"/>
            </w:pPr>
            <w:r>
              <w:t>The medical opinion we received from the VA Medical Center was more persuasive than your private physician’s opinion because it was based on a thorough review of your relevant military and/or personal history and contain</w:t>
            </w:r>
            <w:r w:rsidR="00BD05CC">
              <w:t>ed a more convincing rationale.</w:t>
            </w:r>
          </w:p>
        </w:tc>
      </w:tr>
      <w:tr w:rsidR="00013EB8">
        <w:trPr>
          <w:trHeight w:val="1194"/>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F67DDA" w:rsidP="00F67DDA">
            <w:pPr>
              <w:widowControl w:val="0"/>
              <w:rPr>
                <w:iCs/>
              </w:rPr>
            </w:pPr>
            <w:r>
              <w:rPr>
                <w:rFonts w:ascii="Verdana" w:hAnsi="Verdana"/>
                <w:b/>
                <w:bCs/>
                <w:highlight w:val="green"/>
              </w:rPr>
              <w:t>ACK_NONEX</w:t>
            </w:r>
            <w:r w:rsidR="00A0086D" w:rsidRPr="00A0086D">
              <w:rPr>
                <w:iCs/>
              </w:rPr>
              <w:t>*</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Acknowledge receipt of Private Medical Opinion (PMO) Link (Acknowledgment of private medical evidence but insufficient to establish a nexus)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TableofFigures"/>
              <w:widowControl w:val="0"/>
              <w:rPr>
                <w:rFonts w:ascii="Arial" w:hAnsi="Arial"/>
                <w:smallCaps w:val="0"/>
                <w:szCs w:val="24"/>
              </w:rPr>
            </w:pPr>
            <w:r>
              <w:rPr>
                <w:rFonts w:ascii="Arial" w:hAnsi="Arial"/>
                <w:smallCaps w:val="0"/>
                <w:szCs w:val="24"/>
              </w:rPr>
              <w:t>We acknowledge receipt of your private medical opinion intending to link your current disability to a disease, event, or injury from your military service.</w:t>
            </w:r>
          </w:p>
        </w:tc>
      </w:tr>
      <w:tr w:rsidR="00013EB8">
        <w:trPr>
          <w:trHeight w:val="552"/>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Pr="00A0086D" w:rsidRDefault="00F67DDA" w:rsidP="00F67DDA">
            <w:pPr>
              <w:widowControl w:val="0"/>
              <w:rPr>
                <w:iCs/>
              </w:rPr>
            </w:pPr>
            <w:r>
              <w:rPr>
                <w:rFonts w:ascii="Verdana" w:hAnsi="Verdana"/>
                <w:b/>
                <w:bCs/>
                <w:highlight w:val="green"/>
              </w:rPr>
              <w:t>ACK_NODX</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Acknowledge receipt of PMO diagnosis.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We acknowledge receipt of your private medical opinion, which diagnosed your current disability.</w:t>
            </w:r>
          </w:p>
        </w:tc>
      </w:tr>
      <w:tr w:rsidR="00013EB8">
        <w:trPr>
          <w:trHeight w:val="552"/>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F67DDA">
            <w:pPr>
              <w:widowControl w:val="0"/>
              <w:rPr>
                <w:iCs/>
              </w:rPr>
            </w:pPr>
            <w:r>
              <w:rPr>
                <w:rFonts w:ascii="Verdana" w:hAnsi="Verdana"/>
                <w:b/>
                <w:bCs/>
                <w:highlight w:val="green"/>
              </w:rPr>
              <w:t>ACK_SX</w:t>
            </w:r>
            <w:r w:rsidR="00A0086D" w:rsidRPr="00A0086D">
              <w:rPr>
                <w:iCs/>
              </w:rPr>
              <w:t>*</w:t>
            </w:r>
          </w:p>
          <w:p w:rsidR="003402EE" w:rsidRPr="003402EE" w:rsidRDefault="003402EE" w:rsidP="003402EE">
            <w:pPr>
              <w:widowControl w:val="0"/>
              <w:rPr>
                <w:i/>
                <w:iCs/>
              </w:rPr>
            </w:pP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TableofFigures"/>
              <w:widowControl w:val="0"/>
              <w:rPr>
                <w:rFonts w:ascii="Arial" w:hAnsi="Arial"/>
                <w:smallCaps w:val="0"/>
                <w:szCs w:val="24"/>
              </w:rPr>
            </w:pPr>
            <w:r>
              <w:rPr>
                <w:rFonts w:ascii="Arial" w:hAnsi="Arial"/>
                <w:smallCaps w:val="0"/>
                <w:szCs w:val="24"/>
              </w:rPr>
              <w:t>Acknowledge receipt of symptom evidence</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pStyle w:val="Header"/>
              <w:widowControl w:val="0"/>
              <w:tabs>
                <w:tab w:val="clear" w:pos="4320"/>
                <w:tab w:val="clear" w:pos="8640"/>
              </w:tabs>
            </w:pPr>
            <w:r>
              <w:t>We received your medical evidence which discusses the symptoms of your medical condition.</w:t>
            </w:r>
          </w:p>
        </w:tc>
      </w:tr>
      <w:tr w:rsidR="00013EB8" w:rsidTr="00E86050">
        <w:trPr>
          <w:trHeight w:val="1488"/>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013EB8" w:rsidRDefault="00F67DDA">
            <w:pPr>
              <w:pStyle w:val="Header"/>
              <w:widowControl w:val="0"/>
              <w:tabs>
                <w:tab w:val="clear" w:pos="4320"/>
                <w:tab w:val="clear" w:pos="8640"/>
              </w:tabs>
            </w:pPr>
            <w:r>
              <w:rPr>
                <w:rFonts w:ascii="Verdana" w:hAnsi="Verdana"/>
                <w:b/>
                <w:bCs/>
                <w:highlight w:val="green"/>
              </w:rPr>
              <w:lastRenderedPageBreak/>
              <w:t>FTR</w:t>
            </w:r>
            <w:r w:rsidR="00013EB8">
              <w:t>*</w:t>
            </w:r>
          </w:p>
          <w:p w:rsidR="00013EB8" w:rsidRDefault="00013EB8">
            <w:pPr>
              <w:widowControl w:val="0"/>
            </w:pPr>
          </w:p>
          <w:p w:rsidR="00013EB8" w:rsidRDefault="001D615F" w:rsidP="00D11117">
            <w:pPr>
              <w:widowControl w:val="0"/>
              <w:rPr>
                <w:rFonts w:ascii="Verdana" w:hAnsi="Verdana"/>
                <w:b/>
                <w:bCs/>
              </w:rPr>
            </w:pPr>
            <w:r w:rsidRPr="001D615F">
              <w:rPr>
                <w:bCs/>
              </w:rPr>
              <w:t>also see</w:t>
            </w:r>
            <w:r>
              <w:rPr>
                <w:bCs/>
              </w:rPr>
              <w:t xml:space="preserve"> </w:t>
            </w:r>
            <w:r w:rsidR="00A510DB" w:rsidRPr="00D11117">
              <w:rPr>
                <w:rFonts w:ascii="Verdana" w:hAnsi="Verdana"/>
                <w:b/>
                <w:bCs/>
                <w:highlight w:val="green"/>
              </w:rPr>
              <w:t>VE</w:t>
            </w:r>
            <w:r>
              <w:rPr>
                <w:rFonts w:ascii="Verdana" w:hAnsi="Verdana"/>
                <w:b/>
                <w:bCs/>
                <w:highlight w:val="green"/>
              </w:rPr>
              <w:t>1</w:t>
            </w:r>
          </w:p>
          <w:p w:rsidR="009D6313" w:rsidRDefault="009D6313" w:rsidP="00D11117">
            <w:pPr>
              <w:widowControl w:val="0"/>
              <w:rPr>
                <w:rFonts w:ascii="Verdana" w:hAnsi="Verdana"/>
                <w:b/>
                <w:bCs/>
              </w:rPr>
            </w:pPr>
          </w:p>
          <w:p w:rsidR="003F449B" w:rsidRPr="003F449B" w:rsidRDefault="003F449B" w:rsidP="003F449B">
            <w:pPr>
              <w:spacing w:after="120"/>
              <w:rPr>
                <w:sz w:val="18"/>
              </w:rPr>
            </w:pPr>
            <w:r w:rsidRPr="003F449B">
              <w:rPr>
                <w:b/>
                <w:sz w:val="18"/>
              </w:rPr>
              <w:t>I.1.C.3.m</w:t>
            </w:r>
            <w:r w:rsidRPr="003F449B">
              <w:rPr>
                <w:sz w:val="18"/>
              </w:rPr>
              <w:t xml:space="preserve"> - non-cooperation with exam</w:t>
            </w:r>
          </w:p>
          <w:p w:rsidR="00F737BD" w:rsidRPr="003F449B" w:rsidRDefault="00F737BD" w:rsidP="00D11117">
            <w:pPr>
              <w:widowControl w:val="0"/>
              <w:rPr>
                <w:rFonts w:ascii="Verdana" w:hAnsi="Verdana"/>
                <w:b/>
                <w:bCs/>
                <w:sz w:val="18"/>
              </w:rPr>
            </w:pPr>
          </w:p>
          <w:p w:rsidR="00F737BD" w:rsidRPr="003F449B" w:rsidRDefault="00271601" w:rsidP="00D11117">
            <w:pPr>
              <w:widowControl w:val="0"/>
              <w:rPr>
                <w:bCs/>
                <w:sz w:val="18"/>
              </w:rPr>
            </w:pPr>
            <w:r w:rsidRPr="003F449B">
              <w:rPr>
                <w:b/>
                <w:bCs/>
                <w:sz w:val="18"/>
              </w:rPr>
              <w:t>I.1.C.3.n</w:t>
            </w:r>
            <w:r w:rsidR="00F737BD" w:rsidRPr="003F449B">
              <w:rPr>
                <w:b/>
                <w:bCs/>
                <w:sz w:val="18"/>
              </w:rPr>
              <w:t xml:space="preserve"> – </w:t>
            </w:r>
            <w:r w:rsidR="00F737BD" w:rsidRPr="003F449B">
              <w:rPr>
                <w:bCs/>
                <w:sz w:val="18"/>
              </w:rPr>
              <w:t>good cause</w:t>
            </w:r>
            <w:r w:rsidR="003F449B" w:rsidRPr="003F449B">
              <w:rPr>
                <w:sz w:val="18"/>
              </w:rPr>
              <w:t>; “any reason other than failure to receive notice of the examination,” procee</w:t>
            </w:r>
            <w:r w:rsidR="003F449B">
              <w:rPr>
                <w:sz w:val="18"/>
              </w:rPr>
              <w:t>d with decision after two FTRs</w:t>
            </w:r>
          </w:p>
          <w:p w:rsidR="00AF2B46" w:rsidRDefault="00AF2B46" w:rsidP="00D11117">
            <w:pPr>
              <w:widowControl w:val="0"/>
              <w:rPr>
                <w:b/>
                <w:bCs/>
                <w:sz w:val="18"/>
              </w:rPr>
            </w:pPr>
          </w:p>
          <w:p w:rsidR="003F449B" w:rsidRPr="003F449B" w:rsidRDefault="003F449B" w:rsidP="00D11117">
            <w:pPr>
              <w:widowControl w:val="0"/>
              <w:rPr>
                <w:b/>
                <w:bCs/>
                <w:sz w:val="16"/>
              </w:rPr>
            </w:pPr>
            <w:r>
              <w:rPr>
                <w:b/>
                <w:bCs/>
                <w:sz w:val="18"/>
              </w:rPr>
              <w:t>I</w:t>
            </w:r>
            <w:r w:rsidRPr="003F449B">
              <w:rPr>
                <w:b/>
                <w:bCs/>
                <w:sz w:val="18"/>
              </w:rPr>
              <w:t>.1.C.3.</w:t>
            </w:r>
            <w:r>
              <w:rPr>
                <w:b/>
                <w:bCs/>
                <w:sz w:val="18"/>
              </w:rPr>
              <w:t>p</w:t>
            </w:r>
            <w:r w:rsidRPr="003F449B">
              <w:rPr>
                <w:b/>
                <w:bCs/>
                <w:sz w:val="18"/>
              </w:rPr>
              <w:t xml:space="preserve"> – </w:t>
            </w:r>
            <w:r w:rsidRPr="003F449B">
              <w:rPr>
                <w:sz w:val="18"/>
              </w:rPr>
              <w:t>chart for if notice undeliverable / returned mail</w:t>
            </w:r>
          </w:p>
          <w:p w:rsidR="003F449B" w:rsidRDefault="003F449B" w:rsidP="00D11117">
            <w:pPr>
              <w:widowControl w:val="0"/>
              <w:rPr>
                <w:b/>
                <w:bCs/>
                <w:sz w:val="18"/>
              </w:rPr>
            </w:pPr>
          </w:p>
          <w:p w:rsidR="003F449B" w:rsidRDefault="003F449B" w:rsidP="00D11117">
            <w:pPr>
              <w:widowControl w:val="0"/>
              <w:rPr>
                <w:b/>
                <w:bCs/>
                <w:sz w:val="18"/>
              </w:rPr>
            </w:pPr>
            <w:r w:rsidRPr="003F449B">
              <w:rPr>
                <w:b/>
                <w:sz w:val="18"/>
              </w:rPr>
              <w:t>I.1.C.3.q</w:t>
            </w:r>
            <w:r>
              <w:rPr>
                <w:sz w:val="18"/>
              </w:rPr>
              <w:t xml:space="preserve"> -</w:t>
            </w:r>
            <w:r w:rsidRPr="003F449B">
              <w:rPr>
                <w:sz w:val="18"/>
              </w:rPr>
              <w:t xml:space="preserve"> we will consider evidence that rebuts the presumption of regularity, i.e. VA didn’t update the veteran’s address timely, or the exam notice was received after the date of the exam</w:t>
            </w:r>
          </w:p>
          <w:p w:rsidR="003F449B" w:rsidRDefault="003F449B" w:rsidP="00D11117">
            <w:pPr>
              <w:widowControl w:val="0"/>
              <w:rPr>
                <w:b/>
                <w:bCs/>
                <w:sz w:val="18"/>
              </w:rPr>
            </w:pPr>
          </w:p>
          <w:p w:rsidR="003F449B" w:rsidRPr="003F449B" w:rsidRDefault="003F449B" w:rsidP="00D11117">
            <w:pPr>
              <w:widowControl w:val="0"/>
              <w:rPr>
                <w:b/>
                <w:bCs/>
                <w:sz w:val="18"/>
              </w:rPr>
            </w:pPr>
          </w:p>
          <w:p w:rsidR="0015741D" w:rsidRPr="003F449B" w:rsidRDefault="0015741D" w:rsidP="0071589F">
            <w:pPr>
              <w:widowControl w:val="0"/>
              <w:pBdr>
                <w:left w:val="single" w:sz="4" w:space="4" w:color="auto"/>
                <w:right w:val="single" w:sz="4" w:space="4" w:color="auto"/>
              </w:pBdr>
              <w:tabs>
                <w:tab w:val="left" w:pos="144"/>
                <w:tab w:val="left" w:pos="720"/>
              </w:tabs>
              <w:rPr>
                <w:bCs/>
                <w:sz w:val="18"/>
              </w:rPr>
            </w:pPr>
            <w:r w:rsidRPr="003F449B">
              <w:rPr>
                <w:b/>
                <w:bCs/>
                <w:sz w:val="18"/>
              </w:rPr>
              <w:t xml:space="preserve">IV.ii.3.B.1 – </w:t>
            </w:r>
            <w:r w:rsidR="009D304B" w:rsidRPr="003F449B">
              <w:rPr>
                <w:bCs/>
                <w:sz w:val="18"/>
              </w:rPr>
              <w:t>FTR for review exam</w:t>
            </w:r>
            <w:r w:rsidR="003F449B">
              <w:rPr>
                <w:bCs/>
                <w:sz w:val="18"/>
              </w:rPr>
              <w:t>, 3.655</w:t>
            </w:r>
          </w:p>
          <w:p w:rsidR="0015741D" w:rsidRPr="003F449B" w:rsidRDefault="0015741D" w:rsidP="00D11117">
            <w:pPr>
              <w:widowControl w:val="0"/>
              <w:rPr>
                <w:b/>
                <w:bCs/>
                <w:sz w:val="18"/>
              </w:rPr>
            </w:pPr>
          </w:p>
          <w:p w:rsidR="00581CB5" w:rsidRPr="00581CB5" w:rsidRDefault="0015741D" w:rsidP="00D11117">
            <w:pPr>
              <w:widowControl w:val="0"/>
              <w:rPr>
                <w:rFonts w:ascii="Helvetica" w:hAnsi="Helvetica"/>
                <w:lang w:val="en"/>
              </w:rPr>
            </w:pPr>
            <w:r w:rsidRPr="003F449B">
              <w:rPr>
                <w:rFonts w:ascii="Helvetica" w:hAnsi="Helvetica"/>
                <w:b/>
                <w:sz w:val="18"/>
                <w:lang w:val="en"/>
              </w:rPr>
              <w:t>I</w:t>
            </w:r>
            <w:r w:rsidR="00AF2B46" w:rsidRPr="003F449B">
              <w:rPr>
                <w:rFonts w:ascii="Helvetica" w:hAnsi="Helvetica"/>
                <w:b/>
                <w:sz w:val="18"/>
                <w:lang w:val="en"/>
              </w:rPr>
              <w:t>V.ii.3.B.2</w:t>
            </w:r>
            <w:r w:rsidR="00AF2B46" w:rsidRPr="003F449B">
              <w:rPr>
                <w:rFonts w:ascii="Helvetica" w:hAnsi="Helvetica"/>
                <w:sz w:val="18"/>
                <w:lang w:val="en"/>
              </w:rPr>
              <w:t xml:space="preserve"> </w:t>
            </w:r>
            <w:r w:rsidR="00581CB5" w:rsidRPr="003F449B">
              <w:rPr>
                <w:rFonts w:ascii="Helvetica" w:hAnsi="Helvetica"/>
                <w:sz w:val="18"/>
                <w:lang w:val="en"/>
              </w:rPr>
              <w:t>–</w:t>
            </w:r>
            <w:r w:rsidR="00AF2B46" w:rsidRPr="003F449B">
              <w:rPr>
                <w:rFonts w:ascii="Helvetica" w:hAnsi="Helvetica"/>
                <w:sz w:val="18"/>
                <w:lang w:val="en"/>
              </w:rPr>
              <w:t xml:space="preserve"> RSVP</w:t>
            </w:r>
            <w:r w:rsidR="00581CB5" w:rsidRPr="003F449B">
              <w:rPr>
                <w:rFonts w:ascii="Helvetica" w:hAnsi="Helvetica"/>
                <w:sz w:val="18"/>
                <w:lang w:val="en"/>
              </w:rPr>
              <w:t xml:space="preserve"> / FTRSVP</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Failed to Report to VA Exam (Failure-to-report)</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B12597" w:rsidRDefault="00013EB8" w:rsidP="00B12597">
            <w:pPr>
              <w:pStyle w:val="TableofFigures"/>
              <w:widowControl w:val="0"/>
              <w:rPr>
                <w:rFonts w:ascii="Arial" w:hAnsi="Arial"/>
                <w:szCs w:val="24"/>
              </w:rPr>
            </w:pPr>
            <w:r w:rsidRPr="00E52B68">
              <w:rPr>
                <w:rFonts w:ascii="Arial" w:hAnsi="Arial"/>
                <w:smallCaps w:val="0"/>
                <w:szCs w:val="24"/>
                <w:highlight w:val="darkGray"/>
              </w:rPr>
              <w:t>You did not attend the VA examination we scheduled in connection with your claim, and did not show good cause for your failure to do so. Therefore, medical evidence that could have been useful to support your claim was not available to us</w:t>
            </w:r>
            <w:r w:rsidRPr="00E52B68">
              <w:rPr>
                <w:rFonts w:ascii="Arial" w:hAnsi="Arial"/>
                <w:szCs w:val="24"/>
                <w:highlight w:val="darkGray"/>
              </w:rPr>
              <w:t>.</w:t>
            </w:r>
            <w:r>
              <w:rPr>
                <w:rFonts w:ascii="Arial" w:hAnsi="Arial"/>
                <w:szCs w:val="24"/>
              </w:rPr>
              <w:t xml:space="preserve">  </w:t>
            </w:r>
          </w:p>
          <w:p w:rsidR="00954228" w:rsidRDefault="00954228" w:rsidP="00954228"/>
          <w:p w:rsidR="00954228" w:rsidRPr="00954228" w:rsidRDefault="00954228" w:rsidP="00954228">
            <w:pPr>
              <w:rPr>
                <w:i/>
              </w:rPr>
            </w:pPr>
            <w:r w:rsidRPr="00954228">
              <w:rPr>
                <w:i/>
              </w:rPr>
              <w:t>Changed to</w:t>
            </w:r>
            <w:r>
              <w:rPr>
                <w:i/>
              </w:rPr>
              <w:t xml:space="preserve"> (date of change unknown</w:t>
            </w:r>
            <w:r w:rsidR="00C40140">
              <w:rPr>
                <w:i/>
              </w:rPr>
              <w:t>, does not talk about good cause</w:t>
            </w:r>
            <w:r>
              <w:rPr>
                <w:i/>
              </w:rPr>
              <w:t>)</w:t>
            </w:r>
            <w:r w:rsidRPr="00954228">
              <w:rPr>
                <w:i/>
              </w:rPr>
              <w:t>:</w:t>
            </w:r>
          </w:p>
          <w:p w:rsidR="00954228" w:rsidRDefault="00954228" w:rsidP="00954228">
            <w:r w:rsidRPr="00954228">
              <w:t>We have been informed that you have missed the VA examination scheduled in support of your claim.  There is no information presently indicating good cause for absence on the scheduled appointment date.  As a result, medical evidence that could have been used to support your claim was not available to us.  Please notify us when you are ready to report for an examination, or you may submit a disability benefits questionnaire (DBQ) which must be completed and signed by a physician.</w:t>
            </w:r>
          </w:p>
          <w:p w:rsidR="003F449B" w:rsidRDefault="003F449B" w:rsidP="00954228"/>
          <w:p w:rsidR="003F449B" w:rsidRDefault="003F449B" w:rsidP="00954228">
            <w:r>
              <w:t>*****</w:t>
            </w:r>
          </w:p>
          <w:p w:rsidR="003F449B" w:rsidRDefault="003F449B" w:rsidP="003F449B">
            <w:pPr>
              <w:widowControl w:val="0"/>
              <w:tabs>
                <w:tab w:val="left" w:pos="9690"/>
              </w:tabs>
              <w:spacing w:after="120"/>
              <w:ind w:right="520"/>
            </w:pPr>
            <w:r>
              <w:t xml:space="preserve">Rating Note:  </w:t>
            </w:r>
            <w:r w:rsidRPr="006D10DA">
              <w:t>The veteran has FTR twice. I.1.C.3.</w:t>
            </w:r>
            <w:r>
              <w:t>n</w:t>
            </w:r>
            <w:r w:rsidRPr="006D10DA">
              <w:t xml:space="preserve"> says "Do not reschedule the examination if the claimant has previously been rescheduled for the same examination and did not report."</w:t>
            </w:r>
            <w:r>
              <w:t xml:space="preserve"> FTR SNL code text has been modified.</w:t>
            </w:r>
          </w:p>
          <w:p w:rsidR="003F449B" w:rsidRPr="00E248E9" w:rsidRDefault="003F449B" w:rsidP="003F449B">
            <w:pPr>
              <w:widowControl w:val="0"/>
              <w:tabs>
                <w:tab w:val="left" w:pos="9690"/>
              </w:tabs>
              <w:spacing w:after="120"/>
              <w:ind w:right="520"/>
              <w:rPr>
                <w:i/>
              </w:rPr>
            </w:pPr>
            <w:r w:rsidRPr="00E248E9">
              <w:rPr>
                <w:i/>
              </w:rPr>
              <w:t xml:space="preserve">Use this in </w:t>
            </w:r>
            <w:r>
              <w:rPr>
                <w:i/>
              </w:rPr>
              <w:t>the Reasons for Decision</w:t>
            </w:r>
            <w:r w:rsidRPr="00E248E9">
              <w:rPr>
                <w:i/>
              </w:rPr>
              <w:t>:</w:t>
            </w:r>
          </w:p>
          <w:p w:rsidR="003F449B" w:rsidRDefault="003F449B" w:rsidP="003F449B">
            <w:pPr>
              <w:widowControl w:val="0"/>
              <w:tabs>
                <w:tab w:val="left" w:pos="9690"/>
              </w:tabs>
              <w:spacing w:after="120"/>
              <w:ind w:right="520"/>
            </w:pPr>
            <w:r w:rsidRPr="00954228">
              <w:t>We have been informed that you have missed the VA examination</w:t>
            </w:r>
            <w:r>
              <w:t>s</w:t>
            </w:r>
            <w:r w:rsidRPr="00954228">
              <w:t xml:space="preserve"> sched</w:t>
            </w:r>
            <w:r>
              <w:t xml:space="preserve">uled {and rescheduled} in support of your claim. </w:t>
            </w:r>
            <w:r w:rsidRPr="00954228">
              <w:t xml:space="preserve">As a result, medical evidence that could have been used to support your </w:t>
            </w:r>
            <w:r>
              <w:t>claim was not available to us. Y</w:t>
            </w:r>
            <w:r w:rsidRPr="00954228">
              <w:t>ou may submit a disability benefits questionnaire (DBQ) which must be completed and signed by a physician.</w:t>
            </w:r>
          </w:p>
          <w:p w:rsidR="003F449B" w:rsidRDefault="003F449B" w:rsidP="00954228"/>
          <w:p w:rsidR="003F449B" w:rsidRDefault="003F449B" w:rsidP="003F449B">
            <w:r>
              <w:t>*****</w:t>
            </w:r>
          </w:p>
          <w:p w:rsidR="003F449B" w:rsidRDefault="003F449B" w:rsidP="00954228"/>
          <w:p w:rsidR="003F449B" w:rsidRDefault="003F449B" w:rsidP="003F449B">
            <w:pPr>
              <w:widowControl w:val="0"/>
              <w:tabs>
                <w:tab w:val="left" w:pos="9690"/>
              </w:tabs>
              <w:spacing w:after="120"/>
              <w:ind w:right="520"/>
            </w:pPr>
            <w:r>
              <w:t xml:space="preserve">Rating Note:  </w:t>
            </w:r>
            <w:r w:rsidRPr="009766B2">
              <w:t>I.1.C.3.</w:t>
            </w:r>
            <w:r>
              <w:t>n&amp;q</w:t>
            </w:r>
            <w:r w:rsidRPr="009766B2">
              <w:t xml:space="preserve"> say that allegations of failure to receive/non-receipt of a notice of a scheduled examination is not good cause &amp; we should not reschedule the examination if the claimant indicates he/she did not receive notice of the examination.</w:t>
            </w:r>
          </w:p>
          <w:p w:rsidR="003F449B" w:rsidRPr="00954228" w:rsidRDefault="003F449B" w:rsidP="00954228"/>
          <w:p w:rsidR="003F449B" w:rsidRDefault="003F449B" w:rsidP="003F449B">
            <w:r>
              <w:t>*****</w:t>
            </w:r>
          </w:p>
          <w:p w:rsidR="00571142" w:rsidRDefault="00571142" w:rsidP="00571142"/>
          <w:p w:rsidR="005263C9" w:rsidRDefault="005263C9" w:rsidP="0016511C">
            <w:pPr>
              <w:rPr>
                <w:rFonts w:ascii="Verdana" w:hAnsi="Verdana"/>
                <w:b/>
              </w:rPr>
            </w:pPr>
            <w:r w:rsidRPr="005F7DF0">
              <w:rPr>
                <w:rFonts w:ascii="Verdana" w:hAnsi="Verdana"/>
                <w:b/>
                <w:highlight w:val="green"/>
              </w:rPr>
              <w:t>Hearing Loss Calculator Generated Text:</w:t>
            </w:r>
          </w:p>
          <w:p w:rsidR="00A30940" w:rsidRDefault="00A30940" w:rsidP="0016511C">
            <w:r w:rsidRPr="00A30940">
              <w:t xml:space="preserve">This claim is considered based on the evidence of record as you failed to report for the scheduled VA examination.  Evidence expected from this examination which might have been material to the outcome of this </w:t>
            </w:r>
            <w:r w:rsidR="00510E18">
              <w:t xml:space="preserve">claim could not be considered. </w:t>
            </w:r>
            <w:r w:rsidR="003F0168" w:rsidRPr="009807C5">
              <w:rPr>
                <w:highlight w:val="cyan"/>
              </w:rPr>
              <w:t>In order for your claim to be reconsidered, you must submit medical evidence of current treatment or show good cause for missing the examination, while indicating a willingness to report for another VA examination.</w:t>
            </w:r>
          </w:p>
          <w:p w:rsidR="005522BF" w:rsidRDefault="00B45D63" w:rsidP="0016511C">
            <w:r>
              <w:t xml:space="preserve">*similar to </w:t>
            </w:r>
            <w:r w:rsidRPr="00D11117">
              <w:rPr>
                <w:rFonts w:ascii="Verdana" w:hAnsi="Verdana"/>
                <w:b/>
                <w:bCs/>
                <w:highlight w:val="green"/>
              </w:rPr>
              <w:t>VE</w:t>
            </w:r>
            <w:r>
              <w:rPr>
                <w:rFonts w:ascii="Verdana" w:hAnsi="Verdana"/>
                <w:b/>
                <w:bCs/>
                <w:highlight w:val="green"/>
              </w:rPr>
              <w:t>1</w:t>
            </w:r>
          </w:p>
          <w:p w:rsidR="005522BF" w:rsidRDefault="005522BF" w:rsidP="0016511C"/>
          <w:p w:rsidR="003F449B" w:rsidRDefault="003F449B" w:rsidP="003F449B">
            <w:r>
              <w:t>*****</w:t>
            </w:r>
          </w:p>
          <w:p w:rsidR="003F449B" w:rsidRDefault="003F449B" w:rsidP="0016511C"/>
          <w:p w:rsidR="00AF2B46" w:rsidRDefault="005522BF" w:rsidP="00AF2B46">
            <w:pPr>
              <w:widowControl w:val="0"/>
              <w:rPr>
                <w:rFonts w:ascii="Helvetica" w:hAnsi="Helvetica"/>
                <w:color w:val="3D3D3D"/>
                <w:lang w:val="en"/>
              </w:rPr>
            </w:pPr>
            <w:r w:rsidRPr="00E52B68">
              <w:rPr>
                <w:i/>
                <w:highlight w:val="darkGray"/>
              </w:rPr>
              <w:t>https://www.vapulse.net/message/24552</w:t>
            </w:r>
            <w:r w:rsidRPr="00E52B68">
              <w:rPr>
                <w:highlight w:val="darkGray"/>
              </w:rPr>
              <w:t xml:space="preserve">, recommends this for RSVP: </w:t>
            </w:r>
            <w:r w:rsidRPr="00E52B68">
              <w:rPr>
                <w:rFonts w:ascii="Helvetica" w:hAnsi="Helvetica"/>
                <w:color w:val="3D3D3D"/>
                <w:highlight w:val="darkGray"/>
                <w:lang w:val="en"/>
              </w:rPr>
              <w:t>"You did not respond to attempts to schedule a VA examination in connection with your claim. Therefore, medical evidence that could have been useful to support your claim was not available to us."</w:t>
            </w:r>
          </w:p>
          <w:p w:rsidR="003438D0" w:rsidRDefault="003438D0" w:rsidP="00AF2B46">
            <w:pPr>
              <w:widowControl w:val="0"/>
              <w:rPr>
                <w:rFonts w:ascii="Helvetica" w:hAnsi="Helvetica"/>
                <w:color w:val="3D3D3D"/>
                <w:lang w:val="en"/>
              </w:rPr>
            </w:pPr>
          </w:p>
          <w:p w:rsidR="00B45D63" w:rsidRPr="003438D0" w:rsidRDefault="003438D0" w:rsidP="00AF2B46">
            <w:pPr>
              <w:widowControl w:val="0"/>
              <w:rPr>
                <w:rFonts w:ascii="Helvetica" w:hAnsi="Helvetica"/>
                <w:i/>
                <w:color w:val="3D3D3D"/>
                <w:lang w:val="en"/>
              </w:rPr>
            </w:pPr>
            <w:r w:rsidRPr="003438D0">
              <w:rPr>
                <w:rFonts w:ascii="Helvetica" w:hAnsi="Helvetica"/>
                <w:i/>
                <w:lang w:val="en"/>
              </w:rPr>
              <w:t>OR,</w:t>
            </w:r>
            <w:r>
              <w:rPr>
                <w:rFonts w:ascii="Helvetica" w:hAnsi="Helvetica"/>
                <w:i/>
                <w:lang w:val="en"/>
              </w:rPr>
              <w:t xml:space="preserve"> RSVP paragraph</w:t>
            </w:r>
            <w:r w:rsidRPr="003438D0">
              <w:rPr>
                <w:rFonts w:ascii="Helvetica" w:hAnsi="Helvetica"/>
                <w:i/>
                <w:lang w:val="en"/>
              </w:rPr>
              <w:t xml:space="preserve"> based on new </w:t>
            </w:r>
            <w:r>
              <w:rPr>
                <w:rFonts w:ascii="Helvetica" w:hAnsi="Helvetica"/>
                <w:i/>
                <w:lang w:val="en"/>
              </w:rPr>
              <w:t xml:space="preserve">FTR </w:t>
            </w:r>
            <w:r w:rsidRPr="003438D0">
              <w:rPr>
                <w:rFonts w:ascii="Helvetica" w:hAnsi="Helvetica"/>
                <w:i/>
                <w:lang w:val="en"/>
              </w:rPr>
              <w:t>paragraph above</w:t>
            </w:r>
            <w:r>
              <w:rPr>
                <w:rFonts w:ascii="Helvetica" w:hAnsi="Helvetica"/>
                <w:i/>
                <w:lang w:val="en"/>
              </w:rPr>
              <w:t xml:space="preserve"> (for Reasons for Decision)</w:t>
            </w:r>
            <w:r w:rsidRPr="003438D0">
              <w:rPr>
                <w:rFonts w:ascii="Helvetica" w:hAnsi="Helvetica"/>
                <w:i/>
                <w:lang w:val="en"/>
              </w:rPr>
              <w:t>:</w:t>
            </w:r>
          </w:p>
          <w:p w:rsidR="003438D0" w:rsidRDefault="003438D0" w:rsidP="003438D0">
            <w:r w:rsidRPr="00954228">
              <w:t>We h</w:t>
            </w:r>
            <w:r w:rsidR="00B0547E">
              <w:t xml:space="preserve">ave been informed that you </w:t>
            </w:r>
            <w:r>
              <w:t xml:space="preserve">did not respond to attempts to schedule a VA examination </w:t>
            </w:r>
            <w:r w:rsidRPr="00954228">
              <w:t xml:space="preserve">in support of your claim. </w:t>
            </w:r>
            <w:r>
              <w:t xml:space="preserve"> </w:t>
            </w:r>
            <w:r w:rsidRPr="00954228">
              <w:t>As a result, medical evidence that could have been used to support your claim was not available to us.  Please notify us when you are ready to report for an examination, or you may submit a DBQ which must be completed and signed by a physician.</w:t>
            </w:r>
          </w:p>
          <w:p w:rsidR="00B0547E" w:rsidRDefault="00B0547E" w:rsidP="003438D0">
            <w:pPr>
              <w:rPr>
                <w:i/>
              </w:rPr>
            </w:pPr>
          </w:p>
          <w:p w:rsidR="003438D0" w:rsidRDefault="00B0547E" w:rsidP="003438D0">
            <w:r w:rsidRPr="00B0547E">
              <w:rPr>
                <w:i/>
              </w:rPr>
              <w:t>for Evidence:</w:t>
            </w:r>
            <w:r>
              <w:rPr>
                <w:i/>
              </w:rPr>
              <w:t xml:space="preserve">  </w:t>
            </w:r>
            <w:r w:rsidRPr="00B0547E">
              <w:t xml:space="preserve">Report of </w:t>
            </w:r>
            <w:r>
              <w:t>inability to contact you to schedule VA examination</w:t>
            </w:r>
            <w:r w:rsidR="006A1FA3">
              <w:t xml:space="preserve"> (RSVP)</w:t>
            </w:r>
            <w:r>
              <w:t>, received {}</w:t>
            </w:r>
          </w:p>
          <w:p w:rsidR="008A1508" w:rsidRDefault="008A1508" w:rsidP="003438D0"/>
          <w:p w:rsidR="003438D0" w:rsidRDefault="003438D0" w:rsidP="00AF2B46">
            <w:pPr>
              <w:widowControl w:val="0"/>
              <w:rPr>
                <w:rFonts w:ascii="Helvetica" w:hAnsi="Helvetica"/>
                <w:color w:val="3D3D3D"/>
                <w:lang w:val="en"/>
              </w:rPr>
            </w:pPr>
          </w:p>
          <w:p w:rsidR="00AA4B75" w:rsidRPr="00AA4B75" w:rsidRDefault="00AA4B75" w:rsidP="00AF2B46">
            <w:pPr>
              <w:widowControl w:val="0"/>
              <w:rPr>
                <w:rFonts w:ascii="Helvetica" w:hAnsi="Helvetica"/>
                <w:lang w:val="en"/>
              </w:rPr>
            </w:pPr>
            <w:r w:rsidRPr="00AA4B75">
              <w:rPr>
                <w:rFonts w:ascii="Helvetica" w:hAnsi="Helvetica"/>
                <w:lang w:val="en"/>
              </w:rPr>
              <w:t>Rating Note:  HL Calculator does not have a selection for failure to RSVP, so I modified/added the language.</w:t>
            </w:r>
          </w:p>
          <w:p w:rsidR="00AA4B75" w:rsidRDefault="00AA4B75" w:rsidP="00AF2B46">
            <w:pPr>
              <w:widowControl w:val="0"/>
              <w:rPr>
                <w:rFonts w:ascii="Helvetica" w:hAnsi="Helvetica"/>
                <w:color w:val="3D3D3D"/>
                <w:lang w:val="en"/>
              </w:rPr>
            </w:pPr>
          </w:p>
          <w:p w:rsidR="00B45D63" w:rsidRDefault="00B45D63" w:rsidP="00AF2B46">
            <w:pPr>
              <w:widowControl w:val="0"/>
              <w:rPr>
                <w:rFonts w:ascii="Helvetica" w:hAnsi="Helvetica"/>
                <w:lang w:val="en"/>
              </w:rPr>
            </w:pPr>
          </w:p>
          <w:p w:rsidR="00B45D63" w:rsidRPr="00B45D63" w:rsidRDefault="00B45D63" w:rsidP="00AF2B46">
            <w:pPr>
              <w:widowControl w:val="0"/>
              <w:rPr>
                <w:i/>
                <w:lang w:val="en"/>
              </w:rPr>
            </w:pPr>
            <w:r w:rsidRPr="00B45D63">
              <w:rPr>
                <w:i/>
                <w:lang w:val="en"/>
              </w:rPr>
              <w:t>If unavailable</w:t>
            </w:r>
            <w:r>
              <w:rPr>
                <w:i/>
                <w:lang w:val="en"/>
              </w:rPr>
              <w:t xml:space="preserve"> (modified from H</w:t>
            </w:r>
            <w:r w:rsidR="00726302">
              <w:rPr>
                <w:i/>
                <w:lang w:val="en"/>
              </w:rPr>
              <w:t xml:space="preserve">earing </w:t>
            </w:r>
            <w:r>
              <w:rPr>
                <w:i/>
                <w:lang w:val="en"/>
              </w:rPr>
              <w:t>L</w:t>
            </w:r>
            <w:r w:rsidR="00726302">
              <w:rPr>
                <w:i/>
                <w:lang w:val="en"/>
              </w:rPr>
              <w:t>oss</w:t>
            </w:r>
            <w:r>
              <w:rPr>
                <w:i/>
                <w:lang w:val="en"/>
              </w:rPr>
              <w:t xml:space="preserve"> Calculator Generated Text, similar to </w:t>
            </w:r>
            <w:r w:rsidRPr="00D11117">
              <w:rPr>
                <w:rFonts w:ascii="Verdana" w:hAnsi="Verdana"/>
                <w:b/>
                <w:bCs/>
                <w:highlight w:val="green"/>
              </w:rPr>
              <w:t>VE</w:t>
            </w:r>
            <w:r>
              <w:rPr>
                <w:rFonts w:ascii="Verdana" w:hAnsi="Verdana"/>
                <w:b/>
                <w:bCs/>
                <w:highlight w:val="green"/>
              </w:rPr>
              <w:t>1</w:t>
            </w:r>
            <w:r>
              <w:rPr>
                <w:i/>
                <w:lang w:val="en"/>
              </w:rPr>
              <w:t>)</w:t>
            </w:r>
            <w:r w:rsidRPr="00B45D63">
              <w:rPr>
                <w:i/>
                <w:lang w:val="en"/>
              </w:rPr>
              <w:t>:</w:t>
            </w:r>
          </w:p>
          <w:p w:rsidR="00B45D63" w:rsidRPr="00B45D63" w:rsidRDefault="00B45D63" w:rsidP="00B45D63">
            <w:pPr>
              <w:overflowPunct/>
              <w:textAlignment w:val="auto"/>
              <w:rPr>
                <w:rFonts w:ascii="Helvetica" w:hAnsi="Helvetica"/>
                <w:lang w:val="en"/>
              </w:rPr>
            </w:pPr>
            <w:r w:rsidRPr="00B45D63">
              <w:rPr>
                <w:color w:val="000000"/>
              </w:rPr>
              <w:t>This claim is considered based on the evidence of record as you were unavailable for a VA</w:t>
            </w:r>
            <w:r>
              <w:rPr>
                <w:color w:val="000000"/>
              </w:rPr>
              <w:t xml:space="preserve"> </w:t>
            </w:r>
            <w:r w:rsidRPr="00B45D63">
              <w:rPr>
                <w:color w:val="000000"/>
              </w:rPr>
              <w:t>examination. Evidence expected from this examination which might have been material to the</w:t>
            </w:r>
            <w:r>
              <w:rPr>
                <w:color w:val="000000"/>
              </w:rPr>
              <w:t xml:space="preserve"> </w:t>
            </w:r>
            <w:r w:rsidRPr="00B45D63">
              <w:rPr>
                <w:color w:val="000000"/>
              </w:rPr>
              <w:t>outcome of this claim could not be considered. In order for your claim to be reconsidered, you</w:t>
            </w:r>
            <w:r>
              <w:rPr>
                <w:color w:val="000000"/>
              </w:rPr>
              <w:t xml:space="preserve"> </w:t>
            </w:r>
            <w:r w:rsidRPr="00B45D63">
              <w:rPr>
                <w:color w:val="000000"/>
              </w:rPr>
              <w:t>must submit medical evidence of current treatment or indicate a willingn</w:t>
            </w:r>
            <w:r>
              <w:rPr>
                <w:color w:val="000000"/>
              </w:rPr>
              <w:t xml:space="preserve">ess to report for a </w:t>
            </w:r>
            <w:r w:rsidRPr="00B45D63">
              <w:rPr>
                <w:color w:val="000000"/>
              </w:rPr>
              <w:t>VA examination.</w:t>
            </w:r>
          </w:p>
        </w:tc>
      </w:tr>
      <w:tr w:rsidR="00013EB8">
        <w:trPr>
          <w:trHeight w:val="588"/>
        </w:trPr>
        <w:tc>
          <w:tcPr>
            <w:tcW w:w="145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F67DDA" w:rsidRDefault="00F67DDA">
            <w:pPr>
              <w:widowControl w:val="0"/>
              <w:rPr>
                <w:i/>
                <w:iCs/>
                <w:sz w:val="16"/>
              </w:rPr>
            </w:pPr>
            <w:r>
              <w:rPr>
                <w:rFonts w:ascii="Verdana" w:hAnsi="Verdana"/>
                <w:b/>
                <w:bCs/>
                <w:highlight w:val="green"/>
              </w:rPr>
              <w:lastRenderedPageBreak/>
              <w:t>SUST</w:t>
            </w:r>
            <w:r w:rsidRPr="00D1450F">
              <w:rPr>
                <w:i/>
                <w:iCs/>
                <w:sz w:val="16"/>
              </w:rPr>
              <w:t xml:space="preserve"> </w:t>
            </w:r>
          </w:p>
          <w:p w:rsidR="00013EB8" w:rsidRDefault="00D66F32">
            <w:pPr>
              <w:widowControl w:val="0"/>
              <w:rPr>
                <w:i/>
                <w:iCs/>
                <w:sz w:val="16"/>
              </w:rPr>
            </w:pPr>
            <w:r>
              <w:rPr>
                <w:i/>
                <w:iCs/>
                <w:sz w:val="16"/>
              </w:rPr>
              <w:t>(added 7/9/12)</w:t>
            </w:r>
          </w:p>
          <w:p w:rsidR="00D66F32" w:rsidRPr="00D66F32" w:rsidRDefault="00D66F32">
            <w:pPr>
              <w:widowControl w:val="0"/>
              <w:rPr>
                <w:i/>
                <w:iCs/>
                <w:sz w:val="16"/>
              </w:rPr>
            </w:pPr>
          </w:p>
          <w:p w:rsidR="00D66F32" w:rsidRDefault="00D66F32">
            <w:pPr>
              <w:widowControl w:val="0"/>
              <w:rPr>
                <w:b/>
              </w:rPr>
            </w:pPr>
            <w:r>
              <w:rPr>
                <w:b/>
              </w:rPr>
              <w:t>III.iv.8.D.2.b</w:t>
            </w:r>
          </w:p>
          <w:p w:rsidR="00D66F32" w:rsidRDefault="00D66F32">
            <w:pPr>
              <w:widowControl w:val="0"/>
              <w:rPr>
                <w:i/>
                <w:iCs/>
                <w:sz w:val="18"/>
              </w:rPr>
            </w:pPr>
          </w:p>
          <w:p w:rsidR="00013EB8" w:rsidRDefault="00013EB8">
            <w:pPr>
              <w:widowControl w:val="0"/>
              <w:rPr>
                <w:i/>
                <w:iCs/>
                <w:sz w:val="18"/>
              </w:rPr>
            </w:pPr>
            <w:r>
              <w:rPr>
                <w:i/>
                <w:iCs/>
                <w:sz w:val="18"/>
              </w:rPr>
              <w:t>*see “Improvement” below</w:t>
            </w:r>
          </w:p>
        </w:tc>
        <w:tc>
          <w:tcPr>
            <w:tcW w:w="28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rPr>
                <w:i/>
                <w:iCs/>
              </w:rPr>
            </w:pPr>
            <w:r>
              <w:rPr>
                <w:i/>
                <w:iCs/>
              </w:rPr>
              <w:t>For use with C&amp;C Evaluations</w:t>
            </w:r>
          </w:p>
        </w:tc>
        <w:tc>
          <w:tcPr>
            <w:tcW w:w="6380" w:type="dxa"/>
            <w:tcBorders>
              <w:top w:val="nil"/>
              <w:left w:val="nil"/>
              <w:bottom w:val="single" w:sz="4" w:space="0" w:color="auto"/>
              <w:right w:val="single" w:sz="4" w:space="0" w:color="auto"/>
            </w:tcBorders>
            <w:tcMar>
              <w:top w:w="15" w:type="dxa"/>
              <w:left w:w="15" w:type="dxa"/>
              <w:bottom w:w="0" w:type="dxa"/>
              <w:right w:w="15" w:type="dxa"/>
            </w:tcMar>
            <w:vAlign w:val="bottom"/>
          </w:tcPr>
          <w:p w:rsidR="00013EB8" w:rsidRDefault="00013EB8">
            <w:pPr>
              <w:widowControl w:val="0"/>
            </w:pPr>
            <w:r>
              <w:t>Although current evidence demonstrates some improvement in your condition, the record as a whole does not show that sustained improvement has been demonstrated, or that the improvement will be maintained under the ordinary conditions of life.</w:t>
            </w:r>
          </w:p>
        </w:tc>
      </w:tr>
    </w:tbl>
    <w:p w:rsidR="00013EB8" w:rsidRDefault="00013EB8">
      <w:pPr>
        <w:widowControl w:val="0"/>
      </w:pPr>
    </w:p>
    <w:p w:rsidR="005522BF" w:rsidRDefault="005522BF">
      <w:pPr>
        <w:widowControl w:val="0"/>
      </w:pPr>
    </w:p>
    <w:p w:rsidR="005522BF" w:rsidRDefault="005522BF">
      <w:pPr>
        <w:widowControl w:val="0"/>
      </w:pPr>
    </w:p>
    <w:p w:rsidR="00013EB8" w:rsidRDefault="00013EB8">
      <w:pPr>
        <w:widowControl w:val="0"/>
      </w:pPr>
    </w:p>
    <w:tbl>
      <w:tblPr>
        <w:tblW w:w="5099" w:type="pct"/>
        <w:tblInd w:w="-45" w:type="dxa"/>
        <w:tblLayout w:type="fixed"/>
        <w:tblCellMar>
          <w:left w:w="0" w:type="dxa"/>
          <w:right w:w="0" w:type="dxa"/>
        </w:tblCellMar>
        <w:tblLook w:val="0000" w:firstRow="0" w:lastRow="0" w:firstColumn="0" w:lastColumn="0" w:noHBand="0" w:noVBand="0"/>
      </w:tblPr>
      <w:tblGrid>
        <w:gridCol w:w="41"/>
        <w:gridCol w:w="1309"/>
        <w:gridCol w:w="9378"/>
      </w:tblGrid>
      <w:tr w:rsidR="00013EB8" w:rsidTr="00636754">
        <w:trPr>
          <w:gridBefore w:val="1"/>
          <w:wBefore w:w="19" w:type="pct"/>
          <w:cantSplit/>
          <w:trHeight w:val="480"/>
          <w:tblHeader/>
        </w:trPr>
        <w:tc>
          <w:tcPr>
            <w:tcW w:w="4981" w:type="pct"/>
            <w:gridSpan w:val="2"/>
            <w:tcBorders>
              <w:top w:val="single" w:sz="4" w:space="0" w:color="auto"/>
              <w:left w:val="single" w:sz="4" w:space="0" w:color="auto"/>
              <w:bottom w:val="single" w:sz="4" w:space="0" w:color="auto"/>
              <w:right w:val="single" w:sz="4" w:space="0" w:color="auto"/>
            </w:tcBorders>
            <w:shd w:val="clear" w:color="auto" w:fill="CCFFCC"/>
            <w:noWrap/>
            <w:tcMar>
              <w:top w:w="15" w:type="dxa"/>
              <w:left w:w="15" w:type="dxa"/>
              <w:bottom w:w="0" w:type="dxa"/>
              <w:right w:w="15" w:type="dxa"/>
            </w:tcMar>
            <w:vAlign w:val="bottom"/>
          </w:tcPr>
          <w:p w:rsidR="00A60703" w:rsidRDefault="00013EB8" w:rsidP="00636754">
            <w:pPr>
              <w:pStyle w:val="Heading2"/>
              <w:keepNext w:val="0"/>
              <w:widowControl w:val="0"/>
              <w:tabs>
                <w:tab w:val="clear" w:pos="0"/>
              </w:tabs>
              <w:jc w:val="center"/>
              <w:rPr>
                <w:sz w:val="20"/>
              </w:rPr>
            </w:pPr>
            <w:r>
              <w:rPr>
                <w:sz w:val="20"/>
              </w:rPr>
              <w:t>ADDITIONAL GLOSSAR</w:t>
            </w:r>
            <w:r w:rsidR="00B01A20">
              <w:rPr>
                <w:sz w:val="20"/>
              </w:rPr>
              <w:t xml:space="preserve">IES FROM </w:t>
            </w:r>
            <w:r w:rsidR="00D94044" w:rsidRPr="00D94044">
              <w:rPr>
                <w:rFonts w:ascii="Verdana" w:hAnsi="Verdana"/>
                <w:sz w:val="20"/>
                <w:highlight w:val="green"/>
              </w:rPr>
              <w:t>VBMS-R</w:t>
            </w:r>
            <w:r w:rsidR="00B01A20" w:rsidRPr="00D94044">
              <w:rPr>
                <w:sz w:val="16"/>
              </w:rPr>
              <w:t xml:space="preserve"> </w:t>
            </w:r>
            <w:r w:rsidR="00B01A20">
              <w:rPr>
                <w:sz w:val="20"/>
              </w:rPr>
              <w:t>(use CTRL-SHIFT-A)</w:t>
            </w:r>
          </w:p>
          <w:p w:rsidR="00EB153F" w:rsidRDefault="00013EB8" w:rsidP="00636754">
            <w:pPr>
              <w:pStyle w:val="Heading2"/>
              <w:keepNext w:val="0"/>
              <w:widowControl w:val="0"/>
              <w:tabs>
                <w:tab w:val="clear" w:pos="0"/>
              </w:tabs>
              <w:jc w:val="center"/>
              <w:rPr>
                <w:i/>
                <w:iCs/>
                <w:sz w:val="20"/>
              </w:rPr>
            </w:pPr>
            <w:r>
              <w:rPr>
                <w:i/>
                <w:iCs/>
                <w:sz w:val="20"/>
              </w:rPr>
              <w:t>[excluding Nehmer</w:t>
            </w:r>
            <w:r w:rsidR="00A60703">
              <w:rPr>
                <w:i/>
                <w:iCs/>
                <w:sz w:val="20"/>
              </w:rPr>
              <w:t>, death decisions</w:t>
            </w:r>
            <w:r w:rsidR="002E6D61">
              <w:rPr>
                <w:i/>
                <w:iCs/>
                <w:sz w:val="20"/>
              </w:rPr>
              <w:t xml:space="preserve"> &amp; final incompetency</w:t>
            </w:r>
            <w:r w:rsidR="00EB153F">
              <w:rPr>
                <w:i/>
                <w:iCs/>
                <w:sz w:val="20"/>
              </w:rPr>
              <w:t xml:space="preserve">; </w:t>
            </w:r>
          </w:p>
          <w:p w:rsidR="00013EB8" w:rsidRDefault="00EB153F" w:rsidP="00636754">
            <w:pPr>
              <w:pStyle w:val="Heading2"/>
              <w:keepNext w:val="0"/>
              <w:widowControl w:val="0"/>
              <w:tabs>
                <w:tab w:val="clear" w:pos="0"/>
              </w:tabs>
              <w:jc w:val="center"/>
              <w:rPr>
                <w:sz w:val="20"/>
              </w:rPr>
            </w:pPr>
            <w:r>
              <w:rPr>
                <w:i/>
                <w:iCs/>
                <w:sz w:val="20"/>
              </w:rPr>
              <w:t>see Rating References Archive for SMP</w:t>
            </w:r>
            <w:r w:rsidR="005D5F47">
              <w:rPr>
                <w:i/>
                <w:iCs/>
                <w:sz w:val="20"/>
              </w:rPr>
              <w:t>, HL</w:t>
            </w:r>
            <w:r>
              <w:rPr>
                <w:i/>
                <w:iCs/>
                <w:sz w:val="20"/>
              </w:rPr>
              <w:t xml:space="preserve"> &amp; more </w:t>
            </w:r>
            <w:r w:rsidR="00013EB8">
              <w:rPr>
                <w:i/>
                <w:iCs/>
                <w:sz w:val="20"/>
              </w:rPr>
              <w:t>]</w:t>
            </w:r>
          </w:p>
        </w:tc>
      </w:tr>
      <w:tr w:rsidR="00013EB8" w:rsidTr="00636754">
        <w:trPr>
          <w:gridBefore w:val="1"/>
          <w:wBefore w:w="19" w:type="pct"/>
          <w:trHeight w:val="480"/>
          <w:tblHeader/>
        </w:trPr>
        <w:tc>
          <w:tcPr>
            <w:tcW w:w="610" w:type="pct"/>
            <w:tcBorders>
              <w:top w:val="single" w:sz="4" w:space="0" w:color="auto"/>
              <w:left w:val="single" w:sz="4" w:space="0" w:color="auto"/>
              <w:bottom w:val="single" w:sz="4" w:space="0" w:color="auto"/>
              <w:right w:val="single" w:sz="4" w:space="0" w:color="auto"/>
            </w:tcBorders>
            <w:shd w:val="clear" w:color="auto" w:fill="C0C0C0"/>
            <w:noWrap/>
            <w:tcMar>
              <w:top w:w="15" w:type="dxa"/>
              <w:left w:w="15" w:type="dxa"/>
              <w:bottom w:w="0" w:type="dxa"/>
              <w:right w:w="15" w:type="dxa"/>
            </w:tcMar>
            <w:vAlign w:val="bottom"/>
          </w:tcPr>
          <w:p w:rsidR="00013EB8" w:rsidRDefault="00013EB8" w:rsidP="00636754">
            <w:pPr>
              <w:widowControl w:val="0"/>
              <w:rPr>
                <w:b/>
                <w:bCs/>
              </w:rPr>
            </w:pPr>
            <w:r>
              <w:rPr>
                <w:b/>
                <w:bCs/>
              </w:rPr>
              <w:t>Glossary Key</w:t>
            </w:r>
          </w:p>
        </w:tc>
        <w:tc>
          <w:tcPr>
            <w:tcW w:w="4372" w:type="pct"/>
            <w:tcBorders>
              <w:top w:val="single" w:sz="4" w:space="0" w:color="auto"/>
              <w:left w:val="nil"/>
              <w:bottom w:val="single" w:sz="4" w:space="0" w:color="auto"/>
              <w:right w:val="single" w:sz="4" w:space="0" w:color="auto"/>
            </w:tcBorders>
            <w:shd w:val="clear" w:color="auto" w:fill="C0C0C0"/>
          </w:tcPr>
          <w:p w:rsidR="00013EB8" w:rsidRDefault="00013EB8" w:rsidP="00636754">
            <w:pPr>
              <w:widowControl w:val="0"/>
              <w:rPr>
                <w:b/>
                <w:bCs/>
              </w:rPr>
            </w:pPr>
          </w:p>
          <w:p w:rsidR="00013EB8" w:rsidRDefault="00013EB8" w:rsidP="00636754">
            <w:pPr>
              <w:widowControl w:val="0"/>
              <w:rPr>
                <w:b/>
                <w:bCs/>
              </w:rPr>
            </w:pPr>
            <w:r>
              <w:rPr>
                <w:b/>
                <w:bCs/>
              </w:rPr>
              <w:t>Associated Text</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Pr="000B79A7" w:rsidRDefault="00D571C5" w:rsidP="00636754">
            <w:pPr>
              <w:rPr>
                <w:i/>
              </w:rPr>
            </w:pPr>
            <w:hyperlink r:id="rId218" w:history="1">
              <w:r w:rsidR="00EB153F">
                <w:t>ACE</w:t>
              </w:r>
            </w:hyperlink>
          </w:p>
        </w:tc>
        <w:tc>
          <w:tcPr>
            <w:tcW w:w="4372"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Although we notified you of pending disability examinations, we determined that we could resolve your claim through a review of the evidence of record.</w:t>
            </w:r>
          </w:p>
          <w:p w:rsidR="00105C4D" w:rsidRDefault="00105C4D" w:rsidP="00636754"/>
          <w:p w:rsidR="00105C4D" w:rsidRPr="00105C4D" w:rsidRDefault="00105C4D" w:rsidP="00B07B27">
            <w:r w:rsidRPr="00105C4D">
              <w:rPr>
                <w:b/>
                <w:bCs/>
              </w:rPr>
              <w:t>III.iv.3.A.4.b</w:t>
            </w:r>
            <w:r w:rsidRPr="00105C4D">
              <w:t xml:space="preserve"> – ACE is only for VA</w:t>
            </w:r>
            <w:r w:rsidR="00B07B27">
              <w:t xml:space="preserve">, to include telehealth &amp; telemental health exams, see </w:t>
            </w:r>
            <w:r w:rsidR="00B07B27" w:rsidRPr="004612A0">
              <w:rPr>
                <w:b/>
              </w:rPr>
              <w:t>III</w:t>
            </w:r>
            <w:r w:rsidR="00B07B27" w:rsidRPr="004612A0">
              <w:rPr>
                <w:b/>
                <w:bCs/>
              </w:rPr>
              <w:t>.</w:t>
            </w:r>
            <w:r w:rsidR="00B07B27">
              <w:rPr>
                <w:b/>
                <w:bCs/>
              </w:rPr>
              <w:t>iv.3.D.2.c</w:t>
            </w:r>
            <w:r w:rsidR="00B07B27">
              <w:rPr>
                <w:bCs/>
              </w:rPr>
              <w:t xml:space="preserve"> below; which also says no</w:t>
            </w:r>
            <w:r w:rsidR="00B07B27">
              <w:t>n-VA (veteran provided) DBQ</w:t>
            </w:r>
            <w:r>
              <w:t>s</w:t>
            </w:r>
            <w:r w:rsidR="004B18A3">
              <w:t xml:space="preserve"> / private DBQs</w:t>
            </w:r>
            <w:r>
              <w:t xml:space="preserve"> cannot be done </w:t>
            </w:r>
            <w:r w:rsidR="00B07B27">
              <w:t>remotely</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D571C5" w:rsidP="00636754">
            <w:hyperlink r:id="rId219" w:history="1">
              <w:r w:rsidR="00EB153F">
                <w:rPr>
                  <w:rFonts w:ascii="Verdana" w:hAnsi="Verdana"/>
                  <w:b/>
                  <w:bCs/>
                  <w:highlight w:val="green"/>
                </w:rPr>
                <w:t>AG1</w:t>
              </w:r>
            </w:hyperlink>
          </w:p>
          <w:p w:rsidR="00EB153F" w:rsidRDefault="00EB153F" w:rsidP="00636754"/>
          <w:p w:rsidR="004A20C3" w:rsidRPr="004A20C3" w:rsidRDefault="004A20C3" w:rsidP="00636754">
            <w:pPr>
              <w:rPr>
                <w:b/>
              </w:rPr>
            </w:pPr>
            <w:r>
              <w:rPr>
                <w:b/>
              </w:rPr>
              <w:t>I.1.C.2.g</w:t>
            </w:r>
          </w:p>
          <w:p w:rsidR="00EB153F" w:rsidRPr="00C501B7" w:rsidRDefault="00EB153F" w:rsidP="00636754">
            <w:pPr>
              <w:rPr>
                <w:i/>
                <w:sz w:val="18"/>
              </w:rPr>
            </w:pPr>
            <w:r>
              <w:rPr>
                <w:b/>
              </w:rPr>
              <w:t>IV.ii.2.B.5</w:t>
            </w:r>
          </w:p>
        </w:tc>
        <w:tc>
          <w:tcPr>
            <w:tcW w:w="4372"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In instances where a nonservice-connected disability is claimed to have been permanently aggravated by a service connected injury or disease, service connection may be granted. In order to warrant service connection on the basis of such aggravation, the medical evidence of record must show the baseline level of the nonservice-connected disability that existed prior to the onset of aggravation or by the earliest medical evidence created at any time between the onset of aggravation and receipt of medical evidence showing the current severity of the nonservice-connected disability. This baseline level, prior to aggravation, is deducted from the current level of impairment for compensation purposes.</w:t>
            </w:r>
          </w:p>
          <w:p w:rsidR="00EB153F" w:rsidRDefault="00EB153F" w:rsidP="00636754"/>
          <w:p w:rsidR="00EB153F" w:rsidRDefault="00EB153F" w:rsidP="00636754"/>
          <w:p w:rsidR="00EB153F" w:rsidRDefault="00EB153F" w:rsidP="00636754">
            <w:r>
              <w:rPr>
                <w:b/>
              </w:rPr>
              <w:t>IV.ii.2.B.5.</w:t>
            </w:r>
            <w:r w:rsidR="00A76FED">
              <w:rPr>
                <w:b/>
              </w:rPr>
              <w:t>d</w:t>
            </w:r>
            <w:r>
              <w:rPr>
                <w:b/>
              </w:rPr>
              <w:t xml:space="preserve"> - </w:t>
            </w:r>
            <w:r w:rsidRPr="00EC59DE">
              <w:t>The responsibility for submitting evidence to establish a baseline level of disability for a claim for secondary SC based on aggravation of a NSC disability by a</w:t>
            </w:r>
            <w:r>
              <w:t>n SC disability rests with the claimant</w:t>
            </w:r>
            <w:r w:rsidRPr="00EC59DE">
              <w:t>.</w:t>
            </w:r>
            <w:r>
              <w:t xml:space="preserve">  </w:t>
            </w:r>
          </w:p>
          <w:p w:rsidR="00EB153F" w:rsidRDefault="00EB153F" w:rsidP="00636754">
            <w:r w:rsidRPr="008C2DB9">
              <w:rPr>
                <w:b/>
                <w:i/>
              </w:rPr>
              <w:t>Notes</w:t>
            </w:r>
            <w:r w:rsidRPr="008C2DB9">
              <w:t>:  Do not request an examination if the Veteran has failed to furnish medical evidence establishing a baseline level of the severity of the NSC disability.  If no baseline can be established, no aggravation can be demonstrated and the claim should be denied.</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Pr="006F641A" w:rsidRDefault="006038C8" w:rsidP="00636754">
            <w:pPr>
              <w:rPr>
                <w:i/>
                <w:sz w:val="18"/>
              </w:rPr>
            </w:pPr>
            <w:r>
              <w:rPr>
                <w:rFonts w:ascii="Verdana" w:hAnsi="Verdana"/>
                <w:b/>
                <w:bCs/>
                <w:highlight w:val="green"/>
              </w:rPr>
              <w:lastRenderedPageBreak/>
              <w:t>AL1</w:t>
            </w:r>
          </w:p>
        </w:tc>
        <w:tc>
          <w:tcPr>
            <w:tcW w:w="4372"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Seasonal and other acute allergic manifestations, which subside in the absence of or removal of the allergen, are generally regarded as acute diseases, healing without residuals. In order for service connection to be granted by way of incurrence or aggravation, the determination must be made on the whole of the record which must indicate that a chronic, permanent disease or disability was either incurred in or aggravated beyond normal progression as a result of a veteran's military service.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hyperlink r:id="rId220" w:history="1">
              <w:r w:rsidR="00EB153F">
                <w:t>ANALOGOUS</w:t>
              </w:r>
            </w:hyperlink>
          </w:p>
          <w:p w:rsidR="00EB153F" w:rsidRDefault="00EB153F" w:rsidP="00636754"/>
          <w:p w:rsidR="00EB153F" w:rsidRDefault="00EB153F" w:rsidP="00636754">
            <w:r w:rsidRPr="00F91B8B">
              <w:rPr>
                <w:b/>
              </w:rPr>
              <w:t>III.iv.6.E.2</w:t>
            </w:r>
          </w:p>
        </w:tc>
        <w:tc>
          <w:tcPr>
            <w:tcW w:w="4372" w:type="pct"/>
            <w:tcBorders>
              <w:top w:val="single" w:sz="4" w:space="0" w:color="auto"/>
              <w:left w:val="single" w:sz="4" w:space="0" w:color="auto"/>
              <w:bottom w:val="single" w:sz="4" w:space="0" w:color="auto"/>
              <w:right w:val="single" w:sz="4" w:space="0" w:color="auto"/>
            </w:tcBorders>
            <w:vAlign w:val="center"/>
            <w:hideMark/>
          </w:tcPr>
          <w:p w:rsidR="00EB153F" w:rsidRPr="003F0C17" w:rsidRDefault="00EB153F" w:rsidP="00636754">
            <w:r>
              <w:t>This disability is not specifically listed in the rating schedule; therefore, it is rated analogous to a disability in which not only the functions affected, but anatomical localization and</w:t>
            </w:r>
            <w:r w:rsidR="008467B8">
              <w:t xml:space="preserve"> symptoms, are closely related.</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EB153F" w:rsidRPr="00F402C5" w:rsidRDefault="006038C8" w:rsidP="00636754">
            <w:pPr>
              <w:rPr>
                <w:b/>
              </w:rPr>
            </w:pPr>
            <w:r>
              <w:rPr>
                <w:rFonts w:ascii="Verdana" w:hAnsi="Verdana"/>
                <w:b/>
                <w:bCs/>
                <w:highlight w:val="green"/>
              </w:rPr>
              <w:t>AO2</w:t>
            </w:r>
          </w:p>
        </w:tc>
        <w:tc>
          <w:tcPr>
            <w:tcW w:w="4372" w:type="pct"/>
            <w:tcBorders>
              <w:top w:val="single" w:sz="4" w:space="0" w:color="auto"/>
              <w:left w:val="single" w:sz="4" w:space="0" w:color="auto"/>
              <w:bottom w:val="single" w:sz="4" w:space="0" w:color="auto"/>
              <w:right w:val="single" w:sz="4" w:space="0" w:color="auto"/>
            </w:tcBorders>
            <w:vAlign w:val="center"/>
          </w:tcPr>
          <w:p w:rsidR="00EB153F" w:rsidRPr="008C2DB9" w:rsidRDefault="00EB153F" w:rsidP="00636754">
            <w:pPr>
              <w:pStyle w:val="BlockText"/>
              <w:ind w:left="0"/>
            </w:pPr>
            <w:r w:rsidRPr="00D11117">
              <w:t>On June 10, 2008, the Secretary of Veterans Affairs announced that, based on the National Academies of Science (NAS) Institute of Medicine (IOM) report, there was no evidence to support the presumption of service connection for hypertension due to herbicide (Agent Orange) exposure. This information continues to be current. Therefore, under existent law, hypertension has not been added to the list of presumptive disabilities associated with herbicide exposure.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6038C8" w:rsidP="00636754">
            <w:pPr>
              <w:rPr>
                <w:rFonts w:ascii="Verdana" w:hAnsi="Verdana"/>
                <w:b/>
                <w:bCs/>
              </w:rPr>
            </w:pPr>
            <w:r w:rsidRPr="00D11117">
              <w:rPr>
                <w:rFonts w:ascii="Verdana" w:hAnsi="Verdana"/>
                <w:b/>
                <w:bCs/>
                <w:highlight w:val="green"/>
              </w:rPr>
              <w:t>AO</w:t>
            </w:r>
            <w:r>
              <w:rPr>
                <w:rFonts w:ascii="Verdana" w:hAnsi="Verdana"/>
                <w:b/>
                <w:bCs/>
                <w:highlight w:val="green"/>
              </w:rPr>
              <w:t>3</w:t>
            </w:r>
          </w:p>
          <w:p w:rsidR="006038C8" w:rsidRDefault="006038C8" w:rsidP="00636754"/>
          <w:p w:rsidR="00EB153F" w:rsidRDefault="00EB153F" w:rsidP="00636754">
            <w:r>
              <w:rPr>
                <w:b/>
              </w:rPr>
              <w:t>IV.ii.1.H.2.m</w:t>
            </w:r>
          </w:p>
        </w:tc>
        <w:tc>
          <w:tcPr>
            <w:tcW w:w="4372"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rsidRPr="00D11117">
              <w:t>VA evaluates Agent Orange exposure claims on a case-by-case basis. In this case, the evidence is insufficient for VA to acknowledge Agent Orange exposure on either a presumptive or direct facts-found basis due to secondary or remote contact with aircraft or equipment previously used in Vietnam.</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D86647" w:rsidRDefault="00D86647" w:rsidP="00D86647">
            <w:pPr>
              <w:widowControl w:val="0"/>
              <w:rPr>
                <w:rFonts w:ascii="Verdana" w:hAnsi="Verdana"/>
                <w:b/>
                <w:bCs/>
              </w:rPr>
            </w:pPr>
            <w:r>
              <w:rPr>
                <w:rFonts w:ascii="Verdana" w:hAnsi="Verdana"/>
                <w:b/>
                <w:bCs/>
                <w:highlight w:val="green"/>
              </w:rPr>
              <w:t>BD1</w:t>
            </w:r>
          </w:p>
          <w:p w:rsidR="00EB153F" w:rsidRDefault="00EB153F" w:rsidP="00636754"/>
          <w:p w:rsidR="00EB153F" w:rsidRPr="00F91B8B" w:rsidRDefault="00EB153F" w:rsidP="00636754">
            <w:pPr>
              <w:rPr>
                <w:b/>
              </w:rPr>
            </w:pPr>
            <w:r w:rsidRPr="00EA0432">
              <w:rPr>
                <w:b/>
              </w:rPr>
              <w:t>III.iv.5.</w:t>
            </w:r>
            <w:r w:rsidR="00E41417">
              <w:rPr>
                <w:b/>
              </w:rPr>
              <w:t>A.</w:t>
            </w:r>
            <w:r w:rsidRPr="00EA0432">
              <w:rPr>
                <w:b/>
              </w:rPr>
              <w:t>1.</w:t>
            </w:r>
            <w:r w:rsidR="00E41417">
              <w:rPr>
                <w:b/>
              </w:rPr>
              <w:t>j</w:t>
            </w:r>
          </w:p>
        </w:tc>
        <w:tc>
          <w:tcPr>
            <w:tcW w:w="4372" w:type="pct"/>
            <w:tcBorders>
              <w:top w:val="single" w:sz="4" w:space="0" w:color="auto"/>
              <w:left w:val="single" w:sz="4" w:space="0" w:color="auto"/>
              <w:bottom w:val="single" w:sz="4" w:space="0" w:color="auto"/>
              <w:right w:val="single" w:sz="4" w:space="0" w:color="auto"/>
            </w:tcBorders>
            <w:vAlign w:val="center"/>
            <w:hideMark/>
          </w:tcPr>
          <w:p w:rsidR="00EB153F" w:rsidRPr="008F06B1" w:rsidRDefault="00EB153F" w:rsidP="00636754">
            <w:pPr>
              <w:rPr>
                <w:rFonts w:asciiTheme="minorHAnsi" w:hAnsiTheme="minorHAnsi"/>
              </w:rPr>
            </w:pPr>
            <w:r>
              <w:t>When, after careful consideration of all procurable and assembled data, a reasonable doubt arises regarding service origin, the degree of disability, or any other point, such doubt will be resolved in favor of the claimant. Reasonable doubt exists because of an approximate balance of positive and negative evidence which does not satisfactorily prove or disprove the claim.</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Pr="00040A3C" w:rsidRDefault="00D571C5" w:rsidP="00636754">
            <w:pPr>
              <w:rPr>
                <w:highlight w:val="darkGray"/>
              </w:rPr>
            </w:pPr>
            <w:hyperlink r:id="rId221" w:history="1">
              <w:r w:rsidR="00EB153F">
                <w:t>CA1</w:t>
              </w:r>
            </w:hyperlink>
          </w:p>
        </w:tc>
        <w:tc>
          <w:tcPr>
            <w:tcW w:w="4372" w:type="pct"/>
            <w:tcBorders>
              <w:top w:val="single" w:sz="4" w:space="0" w:color="auto"/>
              <w:left w:val="single" w:sz="4" w:space="0" w:color="auto"/>
              <w:bottom w:val="single" w:sz="4" w:space="0" w:color="auto"/>
              <w:right w:val="single" w:sz="4" w:space="0" w:color="auto"/>
            </w:tcBorders>
            <w:vAlign w:val="center"/>
          </w:tcPr>
          <w:p w:rsidR="00EB153F" w:rsidRPr="00040A3C" w:rsidRDefault="00EB153F" w:rsidP="00636754">
            <w:pPr>
              <w:rPr>
                <w:highlight w:val="darkGray"/>
              </w:rPr>
            </w:pPr>
            <w:r>
              <w:t>VA General Counsel Precedent Opinion dated 5/2/97 noted that it is well established that a primary cancer of one organ may metastasize into other organs, causing secondary tumors in those other organs. "Metastasis" is the transfer of disease from one organ or part to another not directly connected with it. By definition, metastasis would represent the progress of the nonservice-connected primary cancer, and evidence that a secondary cancer resulted from metastasis of a primary cancer would be affirmative evidence that the secondary cancer was not the result of some other cause, such as herbicide exposure.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EB153F" w:rsidP="00636754">
            <w:pPr>
              <w:widowControl w:val="0"/>
              <w:rPr>
                <w:i/>
                <w:iCs/>
                <w:sz w:val="16"/>
              </w:rPr>
            </w:pPr>
            <w:r>
              <w:rPr>
                <w:rFonts w:ascii="Verdana" w:hAnsi="Verdana"/>
                <w:b/>
                <w:bCs/>
                <w:highlight w:val="green"/>
              </w:rPr>
              <w:t>CC1</w:t>
            </w:r>
            <w:r w:rsidRPr="00D1450F">
              <w:rPr>
                <w:i/>
                <w:iCs/>
                <w:sz w:val="16"/>
              </w:rPr>
              <w:t xml:space="preserve"> </w:t>
            </w:r>
          </w:p>
          <w:p w:rsidR="00EB153F" w:rsidRDefault="00EB153F" w:rsidP="00636754">
            <w:pPr>
              <w:rPr>
                <w:highlight w:val="lightGray"/>
              </w:rPr>
            </w:pPr>
          </w:p>
        </w:tc>
        <w:tc>
          <w:tcPr>
            <w:tcW w:w="4372" w:type="pct"/>
            <w:tcBorders>
              <w:top w:val="single" w:sz="4" w:space="0" w:color="auto"/>
              <w:left w:val="single" w:sz="4" w:space="0" w:color="auto"/>
              <w:bottom w:val="single" w:sz="4" w:space="0" w:color="auto"/>
              <w:right w:val="single" w:sz="4" w:space="0" w:color="auto"/>
            </w:tcBorders>
            <w:vAlign w:val="center"/>
          </w:tcPr>
          <w:p w:rsidR="00EB153F" w:rsidRDefault="00EB153F" w:rsidP="00636754">
            <w:pPr>
              <w:rPr>
                <w:highlight w:val="lightGray"/>
              </w:rPr>
            </w:pPr>
            <w:r>
              <w:t>The medical records fail to provide any evidence which would warrant any change in the previous decision.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Pr="007A18B1" w:rsidRDefault="00EB153F" w:rsidP="00636754">
            <w:pPr>
              <w:rPr>
                <w:b/>
              </w:rPr>
            </w:pPr>
            <w:r>
              <w:rPr>
                <w:rFonts w:ascii="Verdana" w:hAnsi="Verdana"/>
                <w:b/>
                <w:bCs/>
                <w:highlight w:val="green"/>
              </w:rPr>
              <w:t>CC2</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Service-connection for this condition remains denied as the evidence continues to show this condition was not incurred in or aggravated by military service.</w:t>
            </w:r>
          </w:p>
          <w:p w:rsidR="00EB153F" w:rsidRDefault="00EB153F" w:rsidP="00636754"/>
          <w:p w:rsidR="00EB153F" w:rsidRDefault="00EB153F" w:rsidP="00636754">
            <w:pPr>
              <w:rPr>
                <w:highlight w:val="lightGray"/>
              </w:rPr>
            </w:pPr>
            <w:r w:rsidRPr="0099386D">
              <w:rPr>
                <w:rFonts w:ascii="Verdana" w:hAnsi="Verdana"/>
                <w:b/>
                <w:highlight w:val="green"/>
              </w:rPr>
              <w:t xml:space="preserve">**Similar to </w:t>
            </w:r>
            <w:r w:rsidR="00C551BE">
              <w:rPr>
                <w:rFonts w:ascii="Verdana" w:hAnsi="Verdana"/>
                <w:b/>
                <w:highlight w:val="green"/>
              </w:rPr>
              <w:t>VBMS-R System-Generated Text</w:t>
            </w:r>
            <w:r w:rsidRPr="0099386D">
              <w:rPr>
                <w:rFonts w:ascii="Verdana" w:hAnsi="Verdana"/>
                <w:b/>
                <w:highlight w:val="green"/>
              </w:rPr>
              <w:t xml:space="preserve"> when select “Reopened Claim for SC Denied on Merits”</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D571C5" w:rsidP="00636754">
            <w:hyperlink r:id="rId222" w:history="1">
              <w:r w:rsidR="00EB153F">
                <w:rPr>
                  <w:rFonts w:ascii="Verdana" w:hAnsi="Verdana"/>
                  <w:b/>
                  <w:bCs/>
                  <w:highlight w:val="green"/>
                </w:rPr>
                <w:t>CC5YR</w:t>
              </w:r>
            </w:hyperlink>
          </w:p>
          <w:p w:rsidR="00EB153F" w:rsidRPr="00040A3C" w:rsidRDefault="00EB153F" w:rsidP="00636754">
            <w:pPr>
              <w:rPr>
                <w:highlight w:val="darkGray"/>
              </w:rPr>
            </w:pPr>
            <w:r>
              <w:rPr>
                <w:i/>
                <w:sz w:val="16"/>
                <w:szCs w:val="16"/>
              </w:rPr>
              <w:t>(</w:t>
            </w:r>
            <w:r w:rsidRPr="00BC4145">
              <w:rPr>
                <w:i/>
                <w:sz w:val="16"/>
                <w:szCs w:val="16"/>
              </w:rPr>
              <w:t>added 12/2/13</w:t>
            </w:r>
            <w:r>
              <w:rPr>
                <w:i/>
                <w:sz w:val="16"/>
                <w:szCs w:val="16"/>
              </w:rPr>
              <w:t>)</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Pr="00040A3C" w:rsidRDefault="00EB153F" w:rsidP="00636754">
            <w:pPr>
              <w:rPr>
                <w:highlight w:val="darkGray"/>
              </w:rPr>
            </w:pPr>
            <w:r w:rsidRPr="00FF1962">
              <w:rPr>
                <w:rFonts w:ascii="Helvetica" w:hAnsi="Helvetica"/>
              </w:rPr>
              <w:t>You will be scheduled for an examination at a future date to determine if your disability has shown sustained improvement.</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D571C5" w:rsidP="00636754">
            <w:hyperlink r:id="rId223" w:history="1">
              <w:r w:rsidR="00EB153F">
                <w:rPr>
                  <w:rFonts w:ascii="Verdana" w:hAnsi="Verdana"/>
                  <w:b/>
                  <w:bCs/>
                  <w:highlight w:val="green"/>
                </w:rPr>
                <w:t>CH1</w:t>
              </w:r>
            </w:hyperlink>
          </w:p>
          <w:p w:rsidR="00EB153F" w:rsidRDefault="00EB153F" w:rsidP="00636754"/>
          <w:p w:rsidR="00EB153F" w:rsidRDefault="00EB153F" w:rsidP="00636754"/>
          <w:p w:rsidR="00EB153F" w:rsidRDefault="00EB153F" w:rsidP="00636754">
            <w:pPr>
              <w:rPr>
                <w:i/>
                <w:sz w:val="18"/>
                <w:szCs w:val="18"/>
              </w:rPr>
            </w:pPr>
            <w:r w:rsidRPr="00153214">
              <w:rPr>
                <w:i/>
                <w:sz w:val="18"/>
                <w:szCs w:val="18"/>
              </w:rPr>
              <w:t>hypercholesterolemia / high cholesterol</w:t>
            </w:r>
          </w:p>
          <w:p w:rsidR="00EB153F" w:rsidRPr="00040A3C" w:rsidRDefault="00EB153F" w:rsidP="00636754">
            <w:pPr>
              <w:rPr>
                <w:highlight w:val="darkGray"/>
              </w:rPr>
            </w:pPr>
            <w:r w:rsidRPr="00AE56A6">
              <w:rPr>
                <w:i/>
                <w:iCs/>
                <w:sz w:val="18"/>
              </w:rPr>
              <w:t>7099-7000</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Pr="00040A3C" w:rsidRDefault="00EB153F" w:rsidP="00636754">
            <w:pPr>
              <w:rPr>
                <w:highlight w:val="darkGray"/>
              </w:rPr>
            </w:pPr>
            <w:r>
              <w:t>High cholesterol is a symptom or abnormal finding and not recognized as a chronic disability under VA law for which compensation may be paid. Also, a chronic disability manifested by this symptom is not shown. Service connection for high cholesterol is denied.</w:t>
            </w:r>
            <w:r w:rsidRPr="00D1760D">
              <w:rPr>
                <w:i/>
              </w:rPr>
              <w:t xml:space="preserve"> </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Pr="00040A3C" w:rsidRDefault="006038C8" w:rsidP="00636754">
            <w:pPr>
              <w:rPr>
                <w:highlight w:val="darkGray"/>
              </w:rPr>
            </w:pPr>
            <w:r>
              <w:rPr>
                <w:rFonts w:ascii="Verdana" w:hAnsi="Verdana"/>
                <w:b/>
                <w:highlight w:val="green"/>
              </w:rPr>
              <w:lastRenderedPageBreak/>
              <w:t>CU1</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Pr="00040A3C" w:rsidRDefault="00EB153F" w:rsidP="00636754">
            <w:pPr>
              <w:rPr>
                <w:highlight w:val="darkGray"/>
              </w:rPr>
            </w:pPr>
            <w:r>
              <w:t>A clear and unmistakable error (CUE) is an error that is undebatable, so that reasonable minds could not differ. A determination of CUE must be based on the record and the law that existed at the time of the prior decision. Such error must have been prejudicial to the claimant. Once a determination is made that there was a CUE in a prior decision that would change the outcome of that decision that decision must be corrected so as if the former error had not been made.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Pr>
              <w:widowControl w:val="0"/>
              <w:rPr>
                <w:rFonts w:ascii="Verdana" w:hAnsi="Verdana"/>
                <w:b/>
              </w:rPr>
            </w:pPr>
            <w:r>
              <w:fldChar w:fldCharType="begin"/>
            </w:r>
            <w:r>
              <w:instrText xml:space="preserve"> HYPERLINK "https://www.vbms.vba.va.gov/rating/webapp/secure/file/work" </w:instrText>
            </w:r>
            <w:r>
              <w:fldChar w:fldCharType="separate"/>
            </w:r>
            <w:r>
              <w:rPr>
                <w:rFonts w:ascii="Verdana" w:hAnsi="Verdana"/>
                <w:b/>
                <w:highlight w:val="green"/>
              </w:rPr>
              <w:t>CV1</w:t>
            </w:r>
          </w:p>
          <w:p w:rsidR="00EB153F" w:rsidRPr="00EA0432" w:rsidRDefault="00EB153F" w:rsidP="00636754">
            <w:pPr>
              <w:rPr>
                <w:b/>
                <w:highlight w:val="lightGray"/>
              </w:rPr>
            </w:pPr>
            <w:r>
              <w:fldChar w:fldCharType="end"/>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Pr>
              <w:rPr>
                <w:highlight w:val="lightGray"/>
              </w:rPr>
            </w:pPr>
            <w:r>
              <w:t>One MET (metabolic equivalent) is the energy cost of standing quietly at rest and represents an oxygen uptake of 3.5 milliliters per kilogram of body weight per minute.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pPr>
              <w:rPr>
                <w:highlight w:val="lightGray"/>
              </w:rPr>
            </w:pPr>
            <w:hyperlink r:id="rId224" w:history="1">
              <w:r w:rsidR="00EB153F">
                <w:rPr>
                  <w:rFonts w:ascii="Verdana" w:hAnsi="Verdana"/>
                  <w:b/>
                  <w:bCs/>
                  <w:highlight w:val="green"/>
                </w:rPr>
                <w:t>DL1</w:t>
              </w:r>
            </w:hyperlink>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Pr>
              <w:rPr>
                <w:highlight w:val="lightGray"/>
              </w:rPr>
            </w:pPr>
            <w:r>
              <w:t>The provisions of 38 CFR 4.40 and 4.45 concerning function loss due to pain, as cited in DeLuca v. Brown, 8 Vet. App. 202 (1995), have been considered and are not warranted because there was no additional loss of range of motion with repetitive movements as it relates to pain, weakness, excessive fatigability or incoordination.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pPr>
              <w:rPr>
                <w:highlight w:val="lightGray"/>
              </w:rPr>
            </w:pPr>
            <w:hyperlink r:id="rId225" w:history="1">
              <w:r w:rsidR="00EB153F">
                <w:t>DM1</w:t>
              </w:r>
            </w:hyperlink>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Pr>
              <w:rPr>
                <w:highlight w:val="lightGray"/>
              </w:rPr>
            </w:pPr>
            <w:r>
              <w:t>Because { BENEFIT } would be rated as a non-compensable disability by itself, it has been included in combination with your service-connected {S/C DISABILITY}. A higher and separate evaluation for { BENEFIT } is not warranted unless there is {FIRST COMPENSABLE CRITERIA}.</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 w:rsidR="00EB153F" w:rsidRDefault="00D571C5" w:rsidP="00636754">
            <w:hyperlink r:id="rId226" w:history="1">
              <w:r w:rsidR="00EB153F">
                <w:rPr>
                  <w:rFonts w:ascii="Verdana" w:hAnsi="Verdana"/>
                  <w:b/>
                  <w:bCs/>
                  <w:highlight w:val="green"/>
                </w:rPr>
                <w:t>DM2</w:t>
              </w:r>
            </w:hyperlink>
          </w:p>
          <w:p w:rsidR="00EB153F" w:rsidRDefault="00EB153F" w:rsidP="00636754"/>
          <w:p w:rsidR="00EB153F" w:rsidRPr="00307D0B" w:rsidRDefault="006D16BF" w:rsidP="00636754">
            <w:pPr>
              <w:widowControl w:val="0"/>
              <w:spacing w:after="120"/>
              <w:rPr>
                <w:b/>
                <w:i/>
              </w:rPr>
            </w:pPr>
            <w:r>
              <w:rPr>
                <w:b/>
              </w:rPr>
              <w:t>III.iv.4.M</w:t>
            </w:r>
            <w:r w:rsidR="00EB153F">
              <w:rPr>
                <w:b/>
              </w:rPr>
              <w:t>.1.e</w:t>
            </w:r>
          </w:p>
          <w:p w:rsidR="00EB153F" w:rsidRDefault="00EB153F" w:rsidP="00636754">
            <w:pPr>
              <w:rPr>
                <w:highlight w:val="lightGray"/>
              </w:rPr>
            </w:pP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Pr="0099386D" w:rsidRDefault="00EB153F" w:rsidP="00636754">
            <w:pPr>
              <w:rPr>
                <w:highlight w:val="lightGray"/>
              </w:rPr>
            </w:pPr>
            <w:r>
              <w:t>Regulation of activities does not refer to the need for ordinary exercise, which is a standard prescription for diabetics. Regulation of activities refers to the avoidance of strenuous occupational and recreational activities in diabetics with poor blood sugar control. There is no indication that you have been advised by a physician to reduce your physical activities due to diabetic symptoms or complications.</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hyperlink r:id="rId227" w:history="1">
              <w:r w:rsidR="00EB153F">
                <w:rPr>
                  <w:rFonts w:ascii="Verdana" w:hAnsi="Verdana"/>
                  <w:b/>
                  <w:bCs/>
                  <w:highlight w:val="green"/>
                </w:rPr>
                <w:t>DT1</w:t>
              </w:r>
            </w:hyperlink>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Treatable carious teeth, replaceable missing teeth, dental or alveolar abscesses, and periodontal disease will be considered service-connected solely for the purpose of establishing eligibility for outpatient dental treatment only. For compensation purposes, service connection may only be granted if there was service trauma or a chronic or systemic disease with loss of substance of the mandible and/or maxilla bone and there is clinical evidence that dentures or implants cannot replace the missing teeth. The term "service trauma" does not include the intended effects of treatment provided during military service. Thus, therapeutic tooth extractions are not considered dental trauma.</w:t>
            </w:r>
          </w:p>
        </w:tc>
      </w:tr>
      <w:tr w:rsidR="000B69CA"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0B69CA" w:rsidRPr="000B69CA" w:rsidRDefault="000B69CA" w:rsidP="000B69CA">
            <w:pPr>
              <w:widowControl w:val="0"/>
              <w:spacing w:after="120"/>
              <w:rPr>
                <w:rFonts w:ascii="Verdana" w:hAnsi="Verdana"/>
                <w:b/>
                <w:bCs/>
              </w:rPr>
            </w:pPr>
            <w:r w:rsidRPr="000B69CA">
              <w:rPr>
                <w:rFonts w:ascii="Verdana" w:hAnsi="Verdana"/>
                <w:b/>
                <w:bCs/>
                <w:highlight w:val="green"/>
              </w:rPr>
              <w:t>ED1</w:t>
            </w:r>
          </w:p>
          <w:p w:rsidR="000B69CA" w:rsidRPr="000B69CA" w:rsidRDefault="000B69CA" w:rsidP="00636754">
            <w:pPr>
              <w:rPr>
                <w:rFonts w:ascii="Verdana" w:hAnsi="Verdana"/>
                <w:b/>
                <w:bCs/>
                <w:highlight w:val="lightGray"/>
              </w:rPr>
            </w:pPr>
          </w:p>
        </w:tc>
        <w:tc>
          <w:tcPr>
            <w:tcW w:w="4371" w:type="pct"/>
            <w:tcBorders>
              <w:top w:val="single" w:sz="4" w:space="0" w:color="auto"/>
              <w:left w:val="single" w:sz="4" w:space="0" w:color="auto"/>
              <w:bottom w:val="single" w:sz="4" w:space="0" w:color="auto"/>
              <w:right w:val="single" w:sz="4" w:space="0" w:color="auto"/>
            </w:tcBorders>
            <w:vAlign w:val="center"/>
          </w:tcPr>
          <w:p w:rsidR="000B69CA" w:rsidRPr="000B69CA" w:rsidRDefault="000B69CA" w:rsidP="00636754">
            <w:r w:rsidRPr="000B69CA">
              <w:rPr>
                <w:rFonts w:ascii="Helvetica" w:hAnsi="Helvetica" w:cs="Helvetica"/>
              </w:rPr>
              <w:t>The date of your claim for { BENEFIT CLAIMED }is { DATE }, which is within one year following the effective date from { DATE OF LAW CHANGE }, when the law changed for { NEW BENEFIT }.' Under 38 CFR '3.114, entitlement to { BENEFIT CLAIMED } can be established in your case from { DATE OF LAW CHANGE }, the date the law changed, since you were eligible for the { BENEFIT CLAIMED } on that date.</w:t>
            </w:r>
          </w:p>
        </w:tc>
      </w:tr>
      <w:tr w:rsidR="000B69CA"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0B69CA" w:rsidRPr="000B69CA" w:rsidRDefault="000B69CA" w:rsidP="00636754">
            <w:pPr>
              <w:rPr>
                <w:rFonts w:ascii="Verdana" w:hAnsi="Verdana"/>
                <w:b/>
                <w:bCs/>
                <w:highlight w:val="lightGray"/>
              </w:rPr>
            </w:pPr>
            <w:r w:rsidRPr="000B69CA">
              <w:rPr>
                <w:rFonts w:ascii="Verdana" w:hAnsi="Verdana"/>
                <w:b/>
                <w:bCs/>
                <w:highlight w:val="green"/>
              </w:rPr>
              <w:t>ED2</w:t>
            </w:r>
          </w:p>
        </w:tc>
        <w:tc>
          <w:tcPr>
            <w:tcW w:w="4371" w:type="pct"/>
            <w:tcBorders>
              <w:top w:val="single" w:sz="4" w:space="0" w:color="auto"/>
              <w:left w:val="single" w:sz="4" w:space="0" w:color="auto"/>
              <w:bottom w:val="single" w:sz="4" w:space="0" w:color="auto"/>
              <w:right w:val="single" w:sz="4" w:space="0" w:color="auto"/>
            </w:tcBorders>
            <w:vAlign w:val="center"/>
          </w:tcPr>
          <w:p w:rsidR="000B69CA" w:rsidRPr="000B69CA" w:rsidRDefault="000B69CA" w:rsidP="00636754">
            <w:r w:rsidRPr="000B69CA">
              <w:rPr>
                <w:rFonts w:ascii="Helvetica" w:hAnsi="Helvetica" w:cs="Helvetica"/>
              </w:rPr>
              <w:t>The date of your claim for { BENEFIT CLAIMED }is { DATE }, more than one year following the effective date from { DATE OF LAW CHANGE }, when the law changed for { BENEFIT CLAIMED }.' Under 38 CFR '3.114, entitlement to { BENEFIT CLAIMED } can be established in your case from { ONE YEAR PRIOR TO DATE OF CLAIM }, or one year prior to your date of claim, since you were eligible for the { BENEFIT CLAIMED } effective { DATE OF LAW CHANGE }.-OR- The date of your claim for { BENEFIT CLAIMED }is { DATE }, which is within one year following the effective date from { DATE OF LAW CHANGE }, when the law changed for { NEW BENEFIT }.' Under 38 CFR '3.114, entitlement to { BENEFIT CLAIMED } can be established in your case from { DATE OF LAW CHANGE }, the date the law changed, since you were eligible for the { BENEFIT CLAIMED } on that date.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EB153F" w:rsidP="00636754">
            <w:r w:rsidRPr="000A0871">
              <w:rPr>
                <w:rFonts w:ascii="Verdana" w:hAnsi="Verdana"/>
                <w:b/>
                <w:bCs/>
                <w:highlight w:val="lightGray"/>
              </w:rPr>
              <w:t>ELCT</w:t>
            </w:r>
          </w:p>
          <w:p w:rsidR="00EB153F" w:rsidRDefault="00EB153F" w:rsidP="00636754">
            <w:pPr>
              <w:rPr>
                <w:i/>
                <w:sz w:val="16"/>
                <w:szCs w:val="16"/>
              </w:rPr>
            </w:pPr>
            <w:r>
              <w:rPr>
                <w:i/>
                <w:sz w:val="16"/>
                <w:szCs w:val="16"/>
              </w:rPr>
              <w:t xml:space="preserve">(added </w:t>
            </w:r>
            <w:r w:rsidRPr="003C556A">
              <w:rPr>
                <w:i/>
                <w:sz w:val="16"/>
                <w:szCs w:val="16"/>
                <w:highlight w:val="yellow"/>
              </w:rPr>
              <w:t>?</w:t>
            </w:r>
            <w:r>
              <w:rPr>
                <w:i/>
                <w:sz w:val="16"/>
                <w:szCs w:val="16"/>
              </w:rPr>
              <w:t>)</w:t>
            </w:r>
          </w:p>
          <w:p w:rsidR="000A0871" w:rsidRDefault="000A0871" w:rsidP="00846475">
            <w:r>
              <w:rPr>
                <w:i/>
                <w:sz w:val="16"/>
                <w:szCs w:val="16"/>
              </w:rPr>
              <w:t xml:space="preserve">Changed to </w:t>
            </w:r>
            <w:r w:rsidRPr="000A0871">
              <w:rPr>
                <w:b/>
                <w:highlight w:val="green"/>
              </w:rPr>
              <w:t>Elective procedure</w:t>
            </w:r>
            <w:r>
              <w:rPr>
                <w:i/>
                <w:sz w:val="16"/>
                <w:szCs w:val="16"/>
              </w:rPr>
              <w:t xml:space="preserve"> at some point, but have to use light bulb</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rsidRPr="00A60703">
              <w:t>Service connection is denied since there is no relationship between {disability}, which occurred in service, and a non-elective medical procedure, or no unexpected complications/subsequent aggravation was found. Service connection is denied because the evidence shows your {disability} is a result of your elective procedure and would not otherwise have occurred had your elective procedure not been performed.</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EB153F" w:rsidP="00636754">
            <w:r>
              <w:t>EMPLO</w:t>
            </w:r>
          </w:p>
          <w:p w:rsidR="00EB153F" w:rsidRDefault="00EB153F" w:rsidP="00636754">
            <w:pPr>
              <w:rPr>
                <w:i/>
                <w:sz w:val="16"/>
                <w:szCs w:val="16"/>
              </w:rPr>
            </w:pPr>
            <w:r>
              <w:rPr>
                <w:i/>
                <w:sz w:val="16"/>
                <w:szCs w:val="16"/>
              </w:rPr>
              <w:t xml:space="preserve">(added </w:t>
            </w:r>
            <w:r w:rsidR="00BF59B8">
              <w:rPr>
                <w:i/>
                <w:sz w:val="16"/>
                <w:szCs w:val="16"/>
              </w:rPr>
              <w:t>?)</w:t>
            </w:r>
          </w:p>
          <w:p w:rsidR="00EB153F" w:rsidRDefault="00EB153F" w:rsidP="00636754"/>
          <w:p w:rsidR="00EB153F" w:rsidRDefault="00EB153F" w:rsidP="00636754">
            <w:pPr>
              <w:pStyle w:val="Header"/>
              <w:tabs>
                <w:tab w:val="clear" w:pos="4320"/>
                <w:tab w:val="clear" w:pos="8640"/>
              </w:tabs>
            </w:pPr>
            <w:r>
              <w:rPr>
                <w:i/>
                <w:sz w:val="18"/>
              </w:rPr>
              <w:t>g</w:t>
            </w:r>
            <w:r w:rsidRPr="000B79A7">
              <w:rPr>
                <w:i/>
                <w:sz w:val="18"/>
              </w:rPr>
              <w:t>rant</w:t>
            </w:r>
            <w:r>
              <w:rPr>
                <w:i/>
                <w:sz w:val="18"/>
              </w:rPr>
              <w:t xml:space="preserve"> IU</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rsidRPr="00A60703">
              <w:t>Information that you provided on your application, as well as at your VA examination, indicates that you have been working as {}. You have a projected annual income of approximately {}. With a {} education and the nature and combination of your disabilities, it is considered that you are only able to maintain marginal employment and unable to maintain full-time gainful employment. Therefore, all reasonable doubt has been resolved in your favor.</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pPr>
              <w:rPr>
                <w:rFonts w:ascii="Verdana" w:hAnsi="Verdana"/>
                <w:b/>
                <w:bCs/>
              </w:rPr>
            </w:pPr>
            <w:hyperlink r:id="rId228" w:history="1">
              <w:r w:rsidR="00EB153F">
                <w:rPr>
                  <w:rFonts w:ascii="Verdana" w:hAnsi="Verdana"/>
                  <w:b/>
                  <w:bCs/>
                  <w:highlight w:val="green"/>
                </w:rPr>
                <w:t>ES1</w:t>
              </w:r>
            </w:hyperlink>
          </w:p>
          <w:p w:rsidR="00C802D8" w:rsidRDefault="00C802D8" w:rsidP="00636754">
            <w:pPr>
              <w:rPr>
                <w:rFonts w:ascii="Verdana" w:hAnsi="Verdana"/>
                <w:b/>
                <w:bCs/>
              </w:rPr>
            </w:pPr>
          </w:p>
          <w:p w:rsidR="00C802D8" w:rsidRDefault="00645488" w:rsidP="00636754">
            <w:r>
              <w:rPr>
                <w:b/>
              </w:rPr>
              <w:t>III.iv.5.B.2.h</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Consideration has been given to the extra-schedular provisions of 38 CFR 3.321(b)(1). This case does not present such an unusual disability picture to warrant referral to the Director, Compensation and Pension Service, because the evidence does not show a marked interference with employment or frequent periods of hospitalization due to the service connected condition as to render impractical the application of the regular schedular standards.</w:t>
            </w:r>
          </w:p>
          <w:p w:rsidR="00EB153F" w:rsidRDefault="00EB153F" w:rsidP="00636754"/>
          <w:p w:rsidR="00EB153F" w:rsidRDefault="00EB153F" w:rsidP="00636754"/>
          <w:p w:rsidR="00EB153F" w:rsidRPr="006128DC" w:rsidRDefault="0076213C" w:rsidP="00636754">
            <w:pPr>
              <w:rPr>
                <w:rFonts w:ascii="Verdana" w:hAnsi="Verdana"/>
                <w:b/>
                <w:i/>
              </w:rPr>
            </w:pPr>
            <w:r>
              <w:rPr>
                <w:b/>
              </w:rPr>
              <w:t>III.iv.6.B.4.d</w:t>
            </w:r>
            <w:r w:rsidR="00EB153F">
              <w:t xml:space="preserve"> shows how to submit claims to Compensation Service for extra-schedular consideration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hyperlink r:id="rId229" w:history="1">
              <w:r w:rsidR="00EB153F">
                <w:rPr>
                  <w:rFonts w:ascii="Verdana" w:hAnsi="Verdana"/>
                  <w:b/>
                  <w:bCs/>
                  <w:highlight w:val="green"/>
                </w:rPr>
                <w:t>ES2</w:t>
              </w:r>
            </w:hyperlink>
          </w:p>
          <w:p w:rsidR="00EB153F" w:rsidRDefault="00EB153F" w:rsidP="00636754"/>
          <w:p w:rsidR="00EB153F" w:rsidRDefault="00EB153F" w:rsidP="00777E40">
            <w:pPr>
              <w:widowControl w:val="0"/>
              <w:rPr>
                <w:rFonts w:ascii="Verdana" w:hAnsi="Verdana"/>
                <w:b/>
                <w:bCs/>
              </w:rPr>
            </w:pPr>
            <w:r w:rsidRPr="001D615F">
              <w:rPr>
                <w:bCs/>
              </w:rPr>
              <w:t>also see</w:t>
            </w:r>
            <w:r w:rsidRPr="001D615F">
              <w:rPr>
                <w:rFonts w:ascii="Verdana" w:hAnsi="Verdana"/>
                <w:b/>
                <w:bCs/>
              </w:rPr>
              <w:t xml:space="preserve"> </w:t>
            </w:r>
            <w:r>
              <w:rPr>
                <w:rFonts w:ascii="Verdana" w:hAnsi="Verdana"/>
                <w:b/>
                <w:bCs/>
                <w:highlight w:val="green"/>
              </w:rPr>
              <w:t>MAX_EVAL</w:t>
            </w:r>
          </w:p>
          <w:p w:rsidR="00777E40" w:rsidRDefault="00777E40" w:rsidP="00777E40">
            <w:pPr>
              <w:widowControl w:val="0"/>
              <w:rPr>
                <w:rFonts w:ascii="Verdana" w:hAnsi="Verdana"/>
                <w:b/>
                <w:bCs/>
              </w:rPr>
            </w:pPr>
          </w:p>
          <w:p w:rsidR="00EB153F" w:rsidRPr="00777E40" w:rsidRDefault="00777E40" w:rsidP="00777E40">
            <w:pPr>
              <w:widowControl w:val="0"/>
              <w:ind w:right="86"/>
              <w:rPr>
                <w:b/>
                <w:i/>
              </w:rPr>
            </w:pPr>
            <w:r w:rsidRPr="00777E40">
              <w:rPr>
                <w:b/>
                <w:sz w:val="18"/>
              </w:rPr>
              <w:t>I.1.C.3.j</w:t>
            </w:r>
            <w:r w:rsidRPr="00777E40">
              <w:rPr>
                <w:sz w:val="18"/>
              </w:rPr>
              <w:t xml:space="preserve"> - no automatic exams of disabilities at schedular maximum evaluation</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This is the highest evaluation allowed under the law for this condition. An extra-schedular evaluation was considered. The evidence does not show that your case presents such an exceptional or unusual disability picture with such factors as marked interference with employment or frequent periods of hospitalization as to render impractical the application of the regular schedular standards.</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Pr="00DA3E79" w:rsidRDefault="00EB153F" w:rsidP="00636754">
            <w:r>
              <w:rPr>
                <w:rFonts w:ascii="Verdana" w:hAnsi="Verdana"/>
                <w:b/>
                <w:bCs/>
                <w:highlight w:val="green"/>
              </w:rPr>
              <w:t>EXAMG</w:t>
            </w:r>
          </w:p>
          <w:p w:rsidR="00EB153F" w:rsidRDefault="00EB153F" w:rsidP="00636754"/>
          <w:p w:rsidR="00EB153F" w:rsidRDefault="00EB153F" w:rsidP="00636754">
            <w:pPr>
              <w:rPr>
                <w:i/>
                <w:sz w:val="18"/>
              </w:rPr>
            </w:pPr>
            <w:r>
              <w:rPr>
                <w:i/>
                <w:sz w:val="18"/>
              </w:rPr>
              <w:t>g</w:t>
            </w:r>
            <w:r w:rsidRPr="000B79A7">
              <w:rPr>
                <w:i/>
                <w:sz w:val="18"/>
              </w:rPr>
              <w:t xml:space="preserve">rant </w:t>
            </w:r>
            <w:r>
              <w:rPr>
                <w:i/>
                <w:sz w:val="18"/>
              </w:rPr>
              <w:t>P&amp;T / grantp&amp;t</w:t>
            </w:r>
          </w:p>
          <w:p w:rsidR="00EB153F" w:rsidRDefault="00EB153F" w:rsidP="00636754">
            <w:pPr>
              <w:rPr>
                <w:i/>
                <w:sz w:val="18"/>
              </w:rPr>
            </w:pPr>
          </w:p>
          <w:p w:rsidR="00EB153F" w:rsidRDefault="00EB153F" w:rsidP="00636754">
            <w:r w:rsidRPr="001D615F">
              <w:rPr>
                <w:bCs/>
              </w:rPr>
              <w:t>also see</w:t>
            </w:r>
            <w:r w:rsidRPr="001D615F">
              <w:rPr>
                <w:rFonts w:ascii="Verdana" w:hAnsi="Verdana"/>
                <w:b/>
                <w:bCs/>
              </w:rPr>
              <w:t xml:space="preserve"> </w:t>
            </w:r>
            <w:r>
              <w:rPr>
                <w:rFonts w:ascii="Verdana" w:hAnsi="Verdana"/>
                <w:b/>
                <w:bCs/>
                <w:highlight w:val="green"/>
              </w:rPr>
              <w:t>PT-65</w:t>
            </w:r>
            <w:r w:rsidRPr="001D615F">
              <w:rPr>
                <w:bCs/>
              </w:rPr>
              <w:t xml:space="preserve"> &amp;</w:t>
            </w:r>
            <w:r w:rsidRPr="001D615F">
              <w:rPr>
                <w:rFonts w:ascii="Verdana" w:hAnsi="Verdana"/>
                <w:b/>
                <w:bCs/>
              </w:rPr>
              <w:t xml:space="preserve"> </w:t>
            </w:r>
            <w:r>
              <w:rPr>
                <w:rFonts w:ascii="Verdana" w:hAnsi="Verdana"/>
                <w:b/>
                <w:bCs/>
                <w:highlight w:val="green"/>
              </w:rPr>
              <w:t xml:space="preserve">PT-EX </w:t>
            </w:r>
            <w:r w:rsidRPr="00494A88">
              <w:rPr>
                <w:bCs/>
              </w:rPr>
              <w:t xml:space="preserve"> &amp;</w:t>
            </w:r>
            <w:r w:rsidRPr="00494A88">
              <w:rPr>
                <w:rFonts w:ascii="Verdana" w:hAnsi="Verdana"/>
                <w:b/>
                <w:bCs/>
              </w:rPr>
              <w:t xml:space="preserve"> </w:t>
            </w:r>
            <w:r>
              <w:rPr>
                <w:rFonts w:ascii="Verdana" w:hAnsi="Verdana"/>
                <w:b/>
                <w:bCs/>
                <w:highlight w:val="green"/>
              </w:rPr>
              <w:t>PT-MED</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rsidRPr="006F641A">
              <w:t>We scheduled an examination for you to evaluate your disabilities and your potential entitlement to non-service connected pension benefits. Specifically, we asked a VA examiner to provide all diagnoses found with associated objective findings. In addition, we asked the examiner to provide an opinion as to whether you are unable to secure or follow a substantially gainful occupation as the result of your disability(ies). You were examined at the {} VAMC on {}. The VA examiner noted that you are disabled due to {}, among other disabilities. Also, the examiner opined that your disabilities prevent you from maintaining substantial gainful employment.</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hyperlink r:id="rId230" w:history="1">
              <w:r w:rsidR="00EB153F">
                <w:t>FD1</w:t>
              </w:r>
            </w:hyperlink>
          </w:p>
          <w:p w:rsidR="00EB153F" w:rsidRPr="0053291F" w:rsidRDefault="00B651EC" w:rsidP="006166BF">
            <w:pPr>
              <w:rPr>
                <w:sz w:val="18"/>
                <w:szCs w:val="18"/>
              </w:rPr>
            </w:pPr>
            <w:r w:rsidRPr="0053291F">
              <w:rPr>
                <w:b/>
                <w:sz w:val="18"/>
                <w:szCs w:val="18"/>
              </w:rPr>
              <w:t>III.iv.4.J</w:t>
            </w:r>
            <w:r w:rsidR="00B4721C">
              <w:rPr>
                <w:b/>
                <w:sz w:val="18"/>
                <w:szCs w:val="18"/>
              </w:rPr>
              <w:t>.3.c</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Fibrocystic disease of the breast, more appropriately called fibrocystic condition of the breast, is not a pathological condition, but a physiologic (or normal and non-pathologic) finding occurring in two thirds of all women. As a physiologic finding it does not warrant service connection.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Pr>
              <w:pStyle w:val="Header"/>
              <w:tabs>
                <w:tab w:val="clear" w:pos="4320"/>
                <w:tab w:val="clear" w:pos="8640"/>
              </w:tabs>
            </w:pPr>
            <w:r>
              <w:rPr>
                <w:rFonts w:ascii="Verdana" w:hAnsi="Verdana"/>
                <w:b/>
                <w:bCs/>
                <w:highlight w:val="green"/>
              </w:rPr>
              <w:t>FED_REC</w:t>
            </w:r>
            <w:r w:rsidRPr="001D615F">
              <w:rPr>
                <w:bCs/>
              </w:rPr>
              <w:t xml:space="preserve"> &amp;</w:t>
            </w:r>
            <w:r>
              <w:rPr>
                <w:bCs/>
              </w:rPr>
              <w:t>/or</w:t>
            </w:r>
            <w:r w:rsidRPr="001D615F">
              <w:rPr>
                <w:rFonts w:ascii="Verdana" w:hAnsi="Verdana"/>
                <w:b/>
                <w:bCs/>
              </w:rPr>
              <w:t xml:space="preserve"> </w:t>
            </w:r>
            <w:r>
              <w:rPr>
                <w:rFonts w:ascii="Verdana" w:hAnsi="Verdana"/>
                <w:b/>
                <w:bCs/>
                <w:highlight w:val="green"/>
              </w:rPr>
              <w:t>FRU</w:t>
            </w:r>
            <w:r>
              <w:t>*</w:t>
            </w:r>
          </w:p>
          <w:p w:rsidR="00EB153F" w:rsidRPr="002B3556" w:rsidRDefault="00EB153F" w:rsidP="00636754">
            <w:pPr>
              <w:pStyle w:val="Header"/>
              <w:tabs>
                <w:tab w:val="clear" w:pos="4320"/>
                <w:tab w:val="clear" w:pos="8640"/>
              </w:tabs>
              <w:rPr>
                <w:i/>
                <w:sz w:val="18"/>
                <w:szCs w:val="18"/>
              </w:rPr>
            </w:pPr>
            <w:r w:rsidRPr="002B3556">
              <w:rPr>
                <w:i/>
                <w:sz w:val="18"/>
                <w:szCs w:val="18"/>
              </w:rPr>
              <w:t>nostrs</w:t>
            </w:r>
          </w:p>
          <w:p w:rsidR="00EB153F" w:rsidRPr="00D1450F" w:rsidRDefault="00EB153F" w:rsidP="00636754">
            <w:pPr>
              <w:widowControl w:val="0"/>
              <w:rPr>
                <w:i/>
                <w:iCs/>
                <w:sz w:val="16"/>
              </w:rPr>
            </w:pPr>
            <w:r w:rsidRPr="00D1450F">
              <w:rPr>
                <w:i/>
                <w:iCs/>
                <w:sz w:val="16"/>
              </w:rPr>
              <w:t xml:space="preserve">(added </w:t>
            </w:r>
            <w:r>
              <w:rPr>
                <w:i/>
                <w:iCs/>
                <w:sz w:val="16"/>
              </w:rPr>
              <w:t>4/8/14</w:t>
            </w:r>
            <w:r w:rsidRPr="00D1450F">
              <w:rPr>
                <w:i/>
                <w:iCs/>
                <w:sz w:val="16"/>
              </w:rPr>
              <w:t>)</w:t>
            </w:r>
          </w:p>
          <w:p w:rsidR="00EB153F" w:rsidRDefault="00EB153F" w:rsidP="00636754">
            <w:pPr>
              <w:pStyle w:val="Header"/>
              <w:tabs>
                <w:tab w:val="clear" w:pos="4320"/>
                <w:tab w:val="clear" w:pos="8640"/>
              </w:tabs>
            </w:pPr>
          </w:p>
          <w:p w:rsidR="00EB153F" w:rsidRDefault="00EB153F" w:rsidP="00636754">
            <w:pPr>
              <w:pStyle w:val="Header"/>
              <w:tabs>
                <w:tab w:val="clear" w:pos="4320"/>
                <w:tab w:val="clear" w:pos="8640"/>
              </w:tabs>
              <w:rPr>
                <w:i/>
                <w:sz w:val="16"/>
                <w:szCs w:val="16"/>
              </w:rPr>
            </w:pPr>
            <w:r>
              <w:rPr>
                <w:i/>
                <w:sz w:val="16"/>
                <w:szCs w:val="16"/>
              </w:rPr>
              <w:t xml:space="preserve">*can use CTL-SHIFT-A for </w:t>
            </w:r>
            <w:r w:rsidR="006828CF">
              <w:rPr>
                <w:rFonts w:ascii="Verdana" w:hAnsi="Verdana"/>
                <w:b/>
                <w:bCs/>
                <w:highlight w:val="green"/>
              </w:rPr>
              <w:t>FRU</w:t>
            </w:r>
            <w:r w:rsidR="006828CF">
              <w:rPr>
                <w:i/>
                <w:sz w:val="16"/>
                <w:szCs w:val="16"/>
              </w:rPr>
              <w:t xml:space="preserve"> in Free</w:t>
            </w:r>
            <w:r w:rsidR="00716A61">
              <w:rPr>
                <w:i/>
                <w:sz w:val="16"/>
                <w:szCs w:val="16"/>
              </w:rPr>
              <w:t xml:space="preserve"> </w:t>
            </w:r>
            <w:r w:rsidR="006828CF">
              <w:rPr>
                <w:i/>
                <w:sz w:val="16"/>
                <w:szCs w:val="16"/>
              </w:rPr>
              <w:t xml:space="preserve">Text Evidence in </w:t>
            </w:r>
            <w:r w:rsidR="006828CF" w:rsidRPr="006828CF">
              <w:rPr>
                <w:rFonts w:ascii="Verdana" w:hAnsi="Verdana"/>
                <w:b/>
                <w:highlight w:val="green"/>
              </w:rPr>
              <w:t>VBMS-R</w:t>
            </w:r>
            <w:r>
              <w:rPr>
                <w:i/>
                <w:sz w:val="16"/>
                <w:szCs w:val="16"/>
              </w:rPr>
              <w:t xml:space="preserve">, but have to add </w:t>
            </w:r>
            <w:r w:rsidR="006828CF">
              <w:rPr>
                <w:rFonts w:ascii="Verdana" w:hAnsi="Verdana"/>
                <w:b/>
                <w:bCs/>
                <w:highlight w:val="green"/>
              </w:rPr>
              <w:t>FED_REC</w:t>
            </w:r>
            <w:r w:rsidR="006828CF" w:rsidRPr="001D615F">
              <w:rPr>
                <w:bCs/>
              </w:rPr>
              <w:t xml:space="preserve"> </w:t>
            </w:r>
            <w:r>
              <w:rPr>
                <w:i/>
                <w:sz w:val="16"/>
                <w:szCs w:val="16"/>
              </w:rPr>
              <w:t>thru Glossary icon</w:t>
            </w:r>
          </w:p>
          <w:p w:rsidR="000A57BB" w:rsidRDefault="000A57BB" w:rsidP="00636754">
            <w:pPr>
              <w:rPr>
                <w:bCs/>
                <w:sz w:val="16"/>
                <w:szCs w:val="16"/>
              </w:rPr>
            </w:pPr>
          </w:p>
          <w:p w:rsidR="000A57BB" w:rsidRDefault="000A57BB" w:rsidP="00636754">
            <w:pPr>
              <w:rPr>
                <w:rStyle w:val="Strong"/>
                <w:sz w:val="16"/>
                <w:szCs w:val="16"/>
              </w:rPr>
            </w:pPr>
            <w:r>
              <w:rPr>
                <w:bCs/>
                <w:sz w:val="16"/>
                <w:szCs w:val="16"/>
              </w:rPr>
              <w:t>**</w:t>
            </w:r>
            <w:r w:rsidRPr="000A57BB">
              <w:rPr>
                <w:bCs/>
                <w:sz w:val="16"/>
                <w:szCs w:val="16"/>
              </w:rPr>
              <w:t xml:space="preserve">verbiage required in Evidence per </w:t>
            </w:r>
            <w:r w:rsidR="00384F23">
              <w:rPr>
                <w:rStyle w:val="Strong"/>
                <w:sz w:val="16"/>
                <w:szCs w:val="16"/>
              </w:rPr>
              <w:t>???</w:t>
            </w:r>
          </w:p>
          <w:p w:rsidR="000A57BB" w:rsidRDefault="000A57BB" w:rsidP="00636754">
            <w:pPr>
              <w:rPr>
                <w:rStyle w:val="Strong"/>
                <w:sz w:val="16"/>
                <w:szCs w:val="16"/>
              </w:rPr>
            </w:pPr>
          </w:p>
          <w:p w:rsidR="000A57BB" w:rsidRPr="000A57BB" w:rsidRDefault="000A57BB" w:rsidP="00636754">
            <w:pPr>
              <w:rPr>
                <w:rFonts w:ascii="Verdana" w:hAnsi="Verdana"/>
                <w:b/>
                <w:bCs/>
              </w:rPr>
            </w:pPr>
            <w:r w:rsidRPr="001D615F">
              <w:rPr>
                <w:bCs/>
              </w:rPr>
              <w:t>also see</w:t>
            </w:r>
            <w:r w:rsidRPr="001D615F">
              <w:rPr>
                <w:rFonts w:ascii="Verdana" w:hAnsi="Verdana"/>
                <w:b/>
                <w:bCs/>
              </w:rPr>
              <w:t xml:space="preserve"> </w:t>
            </w:r>
            <w:r w:rsidRPr="00AC33B8">
              <w:rPr>
                <w:rFonts w:ascii="Verdana" w:hAnsi="Verdana"/>
                <w:b/>
                <w:bCs/>
                <w:highlight w:val="green"/>
              </w:rPr>
              <w:t>NO-STR</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Pr>
              <w:rPr>
                <w:color w:val="000000"/>
              </w:rPr>
            </w:pPr>
            <w:r w:rsidRPr="002B3556">
              <w:rPr>
                <w:color w:val="000000"/>
              </w:rPr>
              <w:t xml:space="preserve">As we informed you in our previous letter, we have determined that </w:t>
            </w:r>
            <w:r>
              <w:rPr>
                <w:color w:val="000000"/>
              </w:rPr>
              <w:t>{}</w:t>
            </w:r>
            <w:r w:rsidRPr="002B3556">
              <w:rPr>
                <w:color w:val="000000"/>
              </w:rPr>
              <w:t xml:space="preserve"> cannot be located and therefore are unavailable for review. If VA subsequently obtains the records, it will reconsider your claim as though the records were in VA custody at the time VA originally decided the claim.</w:t>
            </w:r>
          </w:p>
          <w:p w:rsidR="00EB153F" w:rsidRDefault="00EB153F" w:rsidP="00636754">
            <w:pPr>
              <w:rPr>
                <w:color w:val="000000"/>
              </w:rPr>
            </w:pPr>
          </w:p>
          <w:p w:rsidR="00EB153F" w:rsidRDefault="00EB153F" w:rsidP="00636754">
            <w:pPr>
              <w:rPr>
                <w:color w:val="000000"/>
              </w:rPr>
            </w:pPr>
            <w:r>
              <w:rPr>
                <w:color w:val="000000"/>
              </w:rPr>
              <w:t>*your STRs</w:t>
            </w:r>
          </w:p>
          <w:p w:rsidR="00EB153F" w:rsidRDefault="00EB153F" w:rsidP="00636754">
            <w:pPr>
              <w:rPr>
                <w:color w:val="000000"/>
              </w:rPr>
            </w:pPr>
            <w:r>
              <w:rPr>
                <w:color w:val="000000"/>
              </w:rPr>
              <w:t>*</w:t>
            </w:r>
            <w:r w:rsidRPr="0016365E">
              <w:rPr>
                <w:color w:val="000000"/>
              </w:rPr>
              <w:t>your complete STRs</w:t>
            </w:r>
          </w:p>
          <w:p w:rsidR="00895E11" w:rsidRPr="00895E11" w:rsidRDefault="00EB153F" w:rsidP="00895E11">
            <w:pPr>
              <w:rPr>
                <w:color w:val="000000"/>
              </w:rPr>
            </w:pPr>
            <w:r>
              <w:rPr>
                <w:color w:val="000000"/>
              </w:rPr>
              <w:t>*the separation examination for your {} to {} period of service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860A80" w:rsidRDefault="00860A80" w:rsidP="00636754">
            <w:pPr>
              <w:widowControl w:val="0"/>
              <w:rPr>
                <w:rFonts w:ascii="Verdana" w:hAnsi="Verdana"/>
                <w:b/>
                <w:bCs/>
              </w:rPr>
            </w:pPr>
            <w:r>
              <w:rPr>
                <w:rFonts w:ascii="Verdana" w:hAnsi="Verdana"/>
                <w:b/>
                <w:bCs/>
                <w:highlight w:val="green"/>
              </w:rPr>
              <w:t>FIRE1</w:t>
            </w:r>
          </w:p>
          <w:p w:rsidR="00EB153F" w:rsidRDefault="00EB153F" w:rsidP="00636754">
            <w:pPr>
              <w:widowControl w:val="0"/>
              <w:rPr>
                <w:i/>
                <w:iCs/>
                <w:sz w:val="16"/>
              </w:rPr>
            </w:pPr>
            <w:r w:rsidRPr="00D1450F">
              <w:rPr>
                <w:i/>
                <w:iCs/>
                <w:sz w:val="16"/>
              </w:rPr>
              <w:t xml:space="preserve">(added </w:t>
            </w:r>
            <w:r>
              <w:rPr>
                <w:i/>
                <w:iCs/>
                <w:sz w:val="16"/>
              </w:rPr>
              <w:t>11/20/13)</w:t>
            </w:r>
          </w:p>
          <w:p w:rsidR="00EB153F" w:rsidRDefault="00EB153F" w:rsidP="00636754">
            <w:pPr>
              <w:widowControl w:val="0"/>
              <w:spacing w:after="120"/>
              <w:ind w:right="540"/>
              <w:rPr>
                <w:rFonts w:ascii="Verdana" w:hAnsi="Verdana"/>
                <w:b/>
                <w:bCs/>
                <w:highlight w:val="green"/>
              </w:rPr>
            </w:pPr>
          </w:p>
          <w:p w:rsidR="00EB153F" w:rsidRDefault="00EB153F" w:rsidP="00636754">
            <w:r w:rsidRPr="001D615F">
              <w:rPr>
                <w:bCs/>
              </w:rPr>
              <w:lastRenderedPageBreak/>
              <w:t>also see</w:t>
            </w:r>
            <w:r w:rsidRPr="001D615F">
              <w:rPr>
                <w:rFonts w:ascii="Verdana" w:hAnsi="Verdana"/>
                <w:b/>
                <w:bCs/>
              </w:rPr>
              <w:t xml:space="preserve"> </w:t>
            </w:r>
            <w:r>
              <w:rPr>
                <w:rFonts w:ascii="Verdana" w:hAnsi="Verdana"/>
                <w:b/>
                <w:bCs/>
                <w:highlight w:val="green"/>
              </w:rPr>
              <w:t>PMC-NPRC</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rsidRPr="00A35D86">
              <w:lastRenderedPageBreak/>
              <w:t>Efforts to obtain your service treatment records from all potential sources were unsuccessful.  The National Personnel Records Center (NPRC) reported that the records may have been destroyed in a fire at the Records Center in 1973.  If these records are located at a later date, we will reconsider this decision.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rHeight w:val="2417"/>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hyperlink r:id="rId231" w:history="1">
              <w:r w:rsidR="00EB153F">
                <w:t>GR1</w:t>
              </w:r>
            </w:hyperlink>
          </w:p>
          <w:p w:rsidR="00EB153F" w:rsidRDefault="00EB153F" w:rsidP="00636754"/>
          <w:p w:rsidR="00EB153F" w:rsidRDefault="00EB153F" w:rsidP="00636754">
            <w:r>
              <w:rPr>
                <w:i/>
                <w:sz w:val="18"/>
              </w:rPr>
              <w:t>d</w:t>
            </w:r>
            <w:r w:rsidRPr="00153214">
              <w:rPr>
                <w:i/>
                <w:sz w:val="18"/>
              </w:rPr>
              <w:t>irect</w:t>
            </w:r>
            <w:r>
              <w:rPr>
                <w:i/>
                <w:sz w:val="18"/>
              </w:rPr>
              <w:t xml:space="preserve"> &amp; pres</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Service connection may be granted for any disease or injury that is considered to have resulted in a period of war or service. To establish direct service connection for a claimed disorder, objective evidence must show a diagnosis of a current disability that is related to a disease or injury incurred in or aggravated during "active " service; or that manifested itself to a compensable degree within one year from the date of discharge.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D571C5" w:rsidP="00636754">
            <w:hyperlink r:id="rId232" w:history="1">
              <w:r w:rsidR="00EB153F">
                <w:t>GR2</w:t>
              </w:r>
            </w:hyperlink>
          </w:p>
          <w:p w:rsidR="00EB153F" w:rsidRDefault="00EB153F" w:rsidP="00636754"/>
          <w:p w:rsidR="00EB153F" w:rsidRDefault="00EB153F" w:rsidP="00636754">
            <w:r w:rsidRPr="00153214">
              <w:rPr>
                <w:i/>
                <w:sz w:val="18"/>
              </w:rPr>
              <w:t>aggravated</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A preexisting injury or disease will be considered service-connected when it is shown to have been aggravated by active service or where there is an increase in disability during such service, which is beyond the natural progress of the disease. In cases involving aggravation by active service, the rating will reflect only the degree of disability over and above the degree of disability existing at the time of entrance into active service, whether the particular condition was noted at the time of entrance into active service, or whether it is determined upon the evidence of record to have existed at that time. It is necessary to deduct from the present evaluation the degree, if ascertainable, of the disability existing at the time of entrance into active service, in terms of the rating schedule except that if the disability is total (100 percent) no deduction will be made. If the degree of disability at the time of entrance into service is not ascertainable in terms of the schedule, no deduction will be made. Service treatment records show the condition pre-existed your active service and that there was an injury or disease that caused the condition to worsen beyond its normal progression.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D571C5" w:rsidP="00636754">
            <w:hyperlink r:id="rId233" w:history="1">
              <w:r w:rsidR="00EB153F">
                <w:t>GR3</w:t>
              </w:r>
            </w:hyperlink>
          </w:p>
          <w:p w:rsidR="00EB153F" w:rsidRDefault="00EB153F" w:rsidP="00636754"/>
          <w:p w:rsidR="00EB153F" w:rsidRDefault="00EB153F" w:rsidP="00636754">
            <w:r w:rsidRPr="00153214">
              <w:rPr>
                <w:i/>
                <w:sz w:val="18"/>
              </w:rPr>
              <w:t>tinnitus</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The VA examiner indicates your tinnitus began many years after military service. However, you indicate that you did not fully understand the questions the examiner was asking and meant to indicate to the examiner that the ringing in your ears has been present since military service. We have assigned a 10 percent disability evaluation based on (in-service event/acoustic trauma/medical nexus to hearing loss) recurrent tinnitus. Reasonable doubt is found in your favor when, after careful consideration of all procurable and assembled data, a reasonable doubt arises regarding service origin, the degree of disability, or any other point, such doubt will be resolved in favor of the claimant. By reasonable doubt is meant one which exists because of an approximate balance of positive and negative evidence which does not satisfactorily prove or disprove the claim.</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Pr="00EB153F" w:rsidRDefault="00D571C5" w:rsidP="00636754">
            <w:pPr>
              <w:widowControl w:val="0"/>
              <w:spacing w:after="120"/>
              <w:rPr>
                <w:rFonts w:ascii="Verdana" w:hAnsi="Verdana"/>
                <w:i/>
                <w:iCs/>
              </w:rPr>
            </w:pPr>
            <w:hyperlink r:id="rId234" w:history="1">
              <w:r w:rsidR="00EB153F">
                <w:rPr>
                  <w:rFonts w:ascii="Verdana" w:hAnsi="Verdana"/>
                  <w:b/>
                  <w:bCs/>
                  <w:highlight w:val="green"/>
                </w:rPr>
                <w:t>GW1</w:t>
              </w:r>
            </w:hyperlink>
          </w:p>
          <w:p w:rsidR="00EB153F" w:rsidRDefault="00EB153F" w:rsidP="00636754"/>
          <w:p w:rsidR="00EB153F" w:rsidRDefault="00EB153F" w:rsidP="00636754">
            <w:pPr>
              <w:rPr>
                <w:i/>
                <w:sz w:val="18"/>
                <w:szCs w:val="18"/>
              </w:rPr>
            </w:pPr>
            <w:r w:rsidRPr="00153214">
              <w:rPr>
                <w:i/>
                <w:sz w:val="18"/>
                <w:szCs w:val="18"/>
              </w:rPr>
              <w:t>Gulf War</w:t>
            </w:r>
          </w:p>
          <w:p w:rsidR="00EB153F" w:rsidRDefault="00EB153F" w:rsidP="00636754">
            <w:pPr>
              <w:rPr>
                <w:i/>
                <w:sz w:val="18"/>
                <w:szCs w:val="18"/>
              </w:rPr>
            </w:pPr>
          </w:p>
          <w:p w:rsidR="008058D8" w:rsidRPr="008058D8" w:rsidRDefault="00EB153F" w:rsidP="00636754">
            <w:pPr>
              <w:rPr>
                <w:i/>
                <w:sz w:val="18"/>
                <w:szCs w:val="18"/>
              </w:rPr>
            </w:pPr>
            <w:r>
              <w:rPr>
                <w:i/>
                <w:sz w:val="18"/>
                <w:szCs w:val="18"/>
              </w:rPr>
              <w:t>MUCMI</w:t>
            </w:r>
          </w:p>
        </w:tc>
        <w:tc>
          <w:tcPr>
            <w:tcW w:w="4371" w:type="pct"/>
            <w:tcBorders>
              <w:top w:val="single" w:sz="4" w:space="0" w:color="auto"/>
              <w:left w:val="single" w:sz="4" w:space="0" w:color="auto"/>
              <w:bottom w:val="single" w:sz="4" w:space="0" w:color="auto"/>
              <w:right w:val="single" w:sz="4" w:space="0" w:color="auto"/>
            </w:tcBorders>
            <w:vAlign w:val="center"/>
            <w:hideMark/>
          </w:tcPr>
          <w:p w:rsidR="008058D8" w:rsidRPr="005D5AC1" w:rsidRDefault="00EB153F" w:rsidP="00636754">
            <w:r>
              <w:t xml:space="preserve">Service connection may be established for a disability resulting from undiagnosed illness or a medically unexplained chronic multi-symptom illness that is defined by a cluster of symptoms, or a diagnosed illness that is determined by VA regulation to warrant a presumption of service connection which manifested itself either during active service in the Southwest Asia theater of operations during the Gulf War, or to a degree of ten percent or more after the date on which the veteran last performed service in the Southwest Asia theater of </w:t>
            </w:r>
            <w:r w:rsidR="005D5AC1">
              <w:t>operations during the Gulf War.</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Pr="00F40E5B" w:rsidRDefault="00D571C5" w:rsidP="00636754">
            <w:pPr>
              <w:widowControl w:val="0"/>
              <w:spacing w:after="120"/>
              <w:rPr>
                <w:rFonts w:ascii="Verdana" w:hAnsi="Verdana"/>
                <w:i/>
                <w:iCs/>
              </w:rPr>
            </w:pPr>
            <w:hyperlink r:id="rId235" w:history="1">
              <w:r w:rsidR="00EB153F">
                <w:rPr>
                  <w:rFonts w:ascii="Verdana" w:hAnsi="Verdana"/>
                  <w:b/>
                  <w:bCs/>
                  <w:highlight w:val="green"/>
                </w:rPr>
                <w:t>HA1</w:t>
              </w:r>
            </w:hyperlink>
          </w:p>
          <w:p w:rsidR="00EB153F" w:rsidRDefault="00EB153F" w:rsidP="00636754">
            <w:r w:rsidRPr="00153214">
              <w:rPr>
                <w:i/>
                <w:sz w:val="18"/>
                <w:szCs w:val="18"/>
              </w:rPr>
              <w:t>prostrating</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A prostrating attack is defined as so debilitating that a person is unable to function within normal daily activity.</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Pr="00DD1E4E" w:rsidRDefault="00D571C5" w:rsidP="00DD1E4E">
            <w:pPr>
              <w:widowControl w:val="0"/>
              <w:spacing w:after="120"/>
              <w:rPr>
                <w:rFonts w:ascii="Verdana" w:hAnsi="Verdana"/>
                <w:i/>
                <w:iCs/>
              </w:rPr>
            </w:pPr>
            <w:hyperlink r:id="rId236" w:history="1">
              <w:r w:rsidR="00DD1E4E">
                <w:rPr>
                  <w:rFonts w:ascii="Verdana" w:hAnsi="Verdana"/>
                  <w:b/>
                  <w:bCs/>
                  <w:highlight w:val="green"/>
                </w:rPr>
                <w:t>HC1</w:t>
              </w:r>
            </w:hyperlink>
          </w:p>
          <w:p w:rsidR="00EB153F" w:rsidRDefault="00EB153F" w:rsidP="00636754">
            <w:r w:rsidRPr="00153214">
              <w:rPr>
                <w:i/>
                <w:sz w:val="18"/>
                <w:szCs w:val="18"/>
              </w:rPr>
              <w:t>hepatitis C</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Medically recognized risk factors for hepatitis C consist of transfusion of blood or blood product before 1992, organ transplant before 1992, hemodialysis, tattoos, body piercing, intravenous drug use (due to shared instruments), high-risk sexual activity (risk is relatively low), intranasal cocaine (due to shared instruments), accidental exposure to blood products in health care workers or combat medic or corpsman by percutaneous (through the skin) exposure or on mucous membrane, and other direct percutaneous exposure to blood such as by acupuncture with non-sterile needles and sharing of toothbrushes or shaving razors.</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 w:rsidR="00EB153F" w:rsidRDefault="00EB153F" w:rsidP="00636754"/>
          <w:p w:rsidR="00EB153F" w:rsidRDefault="00D571C5" w:rsidP="00636754">
            <w:hyperlink r:id="rId237" w:history="1">
              <w:r w:rsidR="00EB153F">
                <w:rPr>
                  <w:rFonts w:ascii="Verdana" w:hAnsi="Verdana"/>
                  <w:b/>
                  <w:bCs/>
                  <w:highlight w:val="green"/>
                </w:rPr>
                <w:t>HL1</w:t>
              </w:r>
            </w:hyperlink>
          </w:p>
          <w:p w:rsidR="00EB153F" w:rsidRDefault="00EB153F" w:rsidP="00636754"/>
          <w:p w:rsidR="00EB153F" w:rsidRDefault="00EB153F" w:rsidP="00636754">
            <w:pPr>
              <w:rPr>
                <w:i/>
                <w:sz w:val="18"/>
                <w:szCs w:val="18"/>
              </w:rPr>
            </w:pPr>
            <w:r>
              <w:rPr>
                <w:i/>
                <w:sz w:val="18"/>
                <w:szCs w:val="18"/>
              </w:rPr>
              <w:lastRenderedPageBreak/>
              <w:t>hyperlipidemia</w:t>
            </w:r>
          </w:p>
          <w:p w:rsidR="00EB153F" w:rsidRPr="00C712AF" w:rsidRDefault="00EB153F" w:rsidP="00636754">
            <w:pPr>
              <w:rPr>
                <w:b/>
              </w:rPr>
            </w:pPr>
            <w:r w:rsidRPr="00AE56A6">
              <w:rPr>
                <w:i/>
                <w:iCs/>
                <w:sz w:val="18"/>
              </w:rPr>
              <w:t>7099-7000</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lastRenderedPageBreak/>
              <w:t>Hyperlipidemia is a laboratory finding and is not considered an actual disabling condition for VA purposes. The evidence does not show a disability for which compensation may be established. Compensation is payable for a disease or injury which causes a disabling physical or mental limitation.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EB153F" w:rsidP="00636754">
            <w:pPr>
              <w:widowControl w:val="0"/>
              <w:spacing w:after="120"/>
              <w:rPr>
                <w:rFonts w:ascii="Verdana" w:hAnsi="Verdana"/>
                <w:b/>
                <w:bCs/>
                <w:highlight w:val="green"/>
              </w:rPr>
            </w:pPr>
            <w:r>
              <w:fldChar w:fldCharType="begin"/>
            </w:r>
            <w:r>
              <w:instrText xml:space="preserve"> HYPERLINK "https://www.vbms.vba.va.gov/rating/webapp/secure/file/work" </w:instrText>
            </w:r>
            <w:r>
              <w:fldChar w:fldCharType="separate"/>
            </w:r>
            <w:r>
              <w:rPr>
                <w:rFonts w:ascii="Verdana" w:hAnsi="Verdana"/>
                <w:b/>
                <w:bCs/>
                <w:highlight w:val="green"/>
              </w:rPr>
              <w:t>HT1</w:t>
            </w:r>
          </w:p>
          <w:p w:rsidR="00EB153F" w:rsidRDefault="00EB153F" w:rsidP="00636754">
            <w:r>
              <w:fldChar w:fldCharType="end"/>
            </w:r>
          </w:p>
          <w:p w:rsidR="00EB153F" w:rsidRDefault="00EB153F" w:rsidP="00636754">
            <w:pPr>
              <w:widowControl w:val="0"/>
              <w:spacing w:after="120"/>
              <w:ind w:right="540"/>
            </w:pPr>
            <w:r w:rsidRPr="00153214">
              <w:rPr>
                <w:i/>
                <w:iCs/>
                <w:sz w:val="18"/>
                <w:szCs w:val="18"/>
              </w:rPr>
              <w:t>1151</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Pr="002B3556" w:rsidRDefault="00EB153F" w:rsidP="00636754">
            <w:pPr>
              <w:rPr>
                <w:color w:val="000000"/>
              </w:rPr>
            </w:pPr>
            <w:r>
              <w:t>You filed a claim for a disability which you indicated was caused by care, treatment, or other services in a VA facility. When a disability is caused by the administration of VA services and the disability is not due to the claimant's own willful misconduct, such disability may be compensated. In order to be considered for compensation, the claimed disability must be caused by carelessness, negligence, lack of proper skill, error in judgment, or similar instance of fault on VA's part in furnishing the care, treatment, or examination or by an event not reasonably foreseeable.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Pr="00EB153F" w:rsidRDefault="00D571C5" w:rsidP="00636754">
            <w:pPr>
              <w:widowControl w:val="0"/>
              <w:spacing w:after="120"/>
              <w:rPr>
                <w:rFonts w:ascii="Verdana" w:hAnsi="Verdana"/>
                <w:b/>
                <w:bCs/>
                <w:highlight w:val="green"/>
              </w:rPr>
            </w:pPr>
            <w:hyperlink r:id="rId238" w:history="1">
              <w:r w:rsidR="00EB153F">
                <w:rPr>
                  <w:rFonts w:ascii="Verdana" w:hAnsi="Verdana"/>
                  <w:b/>
                  <w:bCs/>
                  <w:highlight w:val="green"/>
                </w:rPr>
                <w:t>HT2</w:t>
              </w:r>
            </w:hyperlink>
          </w:p>
          <w:p w:rsidR="00EB153F" w:rsidRDefault="00EB153F" w:rsidP="00636754"/>
          <w:p w:rsidR="00EB153F" w:rsidRDefault="00EB153F" w:rsidP="00636754">
            <w:pPr>
              <w:rPr>
                <w:i/>
                <w:iCs/>
                <w:sz w:val="18"/>
                <w:szCs w:val="18"/>
              </w:rPr>
            </w:pPr>
            <w:r w:rsidRPr="00153214">
              <w:rPr>
                <w:i/>
                <w:iCs/>
                <w:sz w:val="18"/>
                <w:szCs w:val="18"/>
              </w:rPr>
              <w:t>1151</w:t>
            </w:r>
          </w:p>
          <w:p w:rsidR="00EB153F" w:rsidRDefault="00EB153F" w:rsidP="00636754">
            <w:pPr>
              <w:rPr>
                <w:i/>
                <w:iCs/>
                <w:sz w:val="18"/>
                <w:szCs w:val="18"/>
              </w:rPr>
            </w:pPr>
          </w:p>
          <w:p w:rsidR="00EB153F" w:rsidRPr="00D1450F" w:rsidRDefault="00EB153F" w:rsidP="00636754">
            <w:pPr>
              <w:widowControl w:val="0"/>
              <w:rPr>
                <w:i/>
                <w:iCs/>
                <w:sz w:val="16"/>
              </w:rPr>
            </w:pPr>
            <w:r w:rsidRPr="00D1450F">
              <w:rPr>
                <w:i/>
                <w:iCs/>
                <w:sz w:val="16"/>
                <w:highlight w:val="yellow"/>
              </w:rPr>
              <w:t>(changed at some point)</w:t>
            </w:r>
          </w:p>
          <w:p w:rsidR="00EB153F" w:rsidRPr="00D1450F" w:rsidRDefault="00EB153F" w:rsidP="00636754">
            <w:pPr>
              <w:widowControl w:val="0"/>
              <w:rPr>
                <w:i/>
                <w:iCs/>
                <w:sz w:val="16"/>
              </w:rPr>
            </w:pP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rsidRPr="007E6A0C">
              <w:t>Compensation is payable for any disability which is caused by VA hospitalization, medical or surgical treatment, vocational rehabilitation, compensated work therapy program (CWT), or as the result of having submitted to a VA medical examination. The evidence must show that the veteran's additional disability is actually the result of the VA care. Specifically, carelessness, negligence, lack of proper skill, error in judgment, or similar instance of fault on the part of the Department in furnishing the hospital care, medical or surgical treatment, or examination must be shown; or the proximate cause of disability must be an event not reasonably foreseeable. For training and rehabilitation services or compensated work therapy program, it must be shown that the veteran's participation in an essential activity or function of the training, services, or CWT program provided or authorized by VA proximately caused the disability. Merely showing that a veteran has additional disability is not sufficient to establish causation.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IHD</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rsidRPr="003C3BD2">
              <w:t>Ischemic heart disease, for the purposes of establishing a positive association between exposure to herbicides and the subsequent development of the condition, does not include hypertension or peripheral manifestations of arteriosclerosis such as peripheral vascular disease or stroke, or any other condition that does not qualify within the generally accepted medical definition of ischemic heart disease.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hyperlink r:id="rId239" w:history="1">
              <w:r w:rsidR="00EB153F">
                <w:t>IN1</w:t>
              </w:r>
            </w:hyperlink>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The evidence of record does demonstrate that an increased evaluation for your service-connected disability is warranted. (Sufficient findings seem to imply that the record may not have been adequately developed).</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hyperlink r:id="rId240" w:history="1">
              <w:r w:rsidR="00EB153F">
                <w:rPr>
                  <w:rFonts w:ascii="Verdana" w:hAnsi="Verdana"/>
                  <w:b/>
                  <w:bCs/>
                  <w:highlight w:val="green"/>
                </w:rPr>
                <w:t>IU1</w:t>
              </w:r>
            </w:hyperlink>
          </w:p>
          <w:p w:rsidR="00EB153F" w:rsidRDefault="00EB153F" w:rsidP="00636754"/>
          <w:p w:rsidR="00EB153F" w:rsidRDefault="00EB153F" w:rsidP="00636754"/>
          <w:p w:rsidR="00EB153F" w:rsidRDefault="00EB153F" w:rsidP="00636754">
            <w:r w:rsidRPr="00153214">
              <w:rPr>
                <w:i/>
                <w:sz w:val="18"/>
                <w:szCs w:val="18"/>
              </w:rPr>
              <w:t>gainful employment</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Substantially gainful employment is defined as employment at which non-disabled individuals earn their livelihood with earnings comparable to the particular occupation in the community where the veteran resides.</w:t>
            </w:r>
          </w:p>
          <w:p w:rsidR="00EB153F" w:rsidRDefault="00EB153F" w:rsidP="00636754"/>
          <w:p w:rsidR="00EB153F" w:rsidRDefault="00D571C5" w:rsidP="00636754">
            <w:pPr>
              <w:rPr>
                <w:rFonts w:ascii="Helvetica" w:hAnsi="Helvetica"/>
                <w:color w:val="606068"/>
              </w:rPr>
            </w:pPr>
            <w:hyperlink r:id="rId241" w:history="1">
              <w:r w:rsidR="00EB153F" w:rsidRPr="004D2FC1">
                <w:rPr>
                  <w:rStyle w:val="Hyperlink"/>
                </w:rPr>
                <w:t>http://www.blogs.va.gov/VAntage/17608/individual-unemployability-understanding-basics/</w:t>
              </w:r>
            </w:hyperlink>
            <w:r w:rsidR="00EB153F">
              <w:t xml:space="preserve"> - “</w:t>
            </w:r>
            <w:r w:rsidR="00EB153F">
              <w:rPr>
                <w:rFonts w:ascii="Helvetica" w:hAnsi="Helvetica"/>
                <w:color w:val="606068"/>
              </w:rPr>
              <w:t xml:space="preserve">Substantially gainful employment is simply full-time employment that provides a wage greater than the poverty level. (Note: In 2014, the U.S. Census Bureau considered </w:t>
            </w:r>
            <w:hyperlink r:id="rId242" w:tooltip="U.S. Census Bureau" w:history="1">
              <w:r w:rsidR="00EB153F">
                <w:rPr>
                  <w:rStyle w:val="Hyperlink"/>
                  <w:rFonts w:ascii="Helvetica" w:hAnsi="Helvetica"/>
                </w:rPr>
                <w:t>a poverty-level, yearly wage</w:t>
              </w:r>
            </w:hyperlink>
            <w:r w:rsidR="00EB153F">
              <w:rPr>
                <w:rFonts w:ascii="Helvetica" w:hAnsi="Helvetica"/>
                <w:color w:val="606068"/>
              </w:rPr>
              <w:t xml:space="preserve"> for a person under the age of 65 to be $12,316.)”</w:t>
            </w:r>
          </w:p>
          <w:p w:rsidR="00EB153F" w:rsidRDefault="00EB153F" w:rsidP="00636754">
            <w:pPr>
              <w:rPr>
                <w:rFonts w:ascii="Helvetica" w:hAnsi="Helvetica"/>
                <w:color w:val="606068"/>
              </w:rPr>
            </w:pPr>
          </w:p>
          <w:p w:rsidR="00EB153F" w:rsidRDefault="00EB153F" w:rsidP="00636754">
            <w:r w:rsidRPr="002B613A">
              <w:rPr>
                <w:b/>
              </w:rPr>
              <w:t>IV.ii.2.F.9</w:t>
            </w:r>
            <w:r>
              <w:rPr>
                <w:b/>
              </w:rPr>
              <w:t>.b</w:t>
            </w:r>
            <w:r>
              <w:t xml:space="preserve"> – confirms 2014 was $12,316, 2015 (added 4/20/16) as $12,331, nothing on 2016 as of 4/20/16</w:t>
            </w:r>
          </w:p>
          <w:p w:rsidR="00BB0B80" w:rsidRDefault="00BB0B80" w:rsidP="00636754"/>
          <w:p w:rsidR="00BB0B80" w:rsidRDefault="00BB0B80" w:rsidP="00636754">
            <w:pPr>
              <w:widowControl w:val="0"/>
              <w:spacing w:after="120"/>
              <w:rPr>
                <w:b/>
              </w:rPr>
            </w:pPr>
            <w:r w:rsidRPr="00BB0B80">
              <w:rPr>
                <w:b/>
                <w:highlight w:val="cyan"/>
              </w:rPr>
              <w:t>2013 Federal Poverty Guidelines – federal poverty level for 1 person - $11,888/</w:t>
            </w:r>
            <w:r>
              <w:rPr>
                <w:b/>
                <w:highlight w:val="cyan"/>
              </w:rPr>
              <w:t>$12,119/$11,173; 2014 - $12,316</w:t>
            </w:r>
          </w:p>
          <w:p w:rsidR="00BB0B80" w:rsidRDefault="00D571C5" w:rsidP="00636754">
            <w:pPr>
              <w:widowControl w:val="0"/>
              <w:spacing w:after="120"/>
            </w:pPr>
            <w:hyperlink r:id="rId243" w:history="1">
              <w:r w:rsidR="00BB0B80" w:rsidRPr="00BB0B80">
                <w:rPr>
                  <w:rStyle w:val="Hyperlink"/>
                  <w:b/>
                </w:rPr>
                <w:t>http://www.census.gov/hhes/www/poverty/data/threshld/index.html</w:t>
              </w:r>
            </w:hyperlink>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353B4E" w:rsidRDefault="00EB153F" w:rsidP="00636754">
            <w:pPr>
              <w:rPr>
                <w:bCs/>
              </w:rPr>
            </w:pPr>
            <w:r>
              <w:rPr>
                <w:rFonts w:ascii="Verdana" w:hAnsi="Verdana"/>
                <w:b/>
                <w:bCs/>
                <w:highlight w:val="green"/>
              </w:rPr>
              <w:t>IU2</w:t>
            </w:r>
            <w:r w:rsidR="00353B4E" w:rsidRPr="001D615F">
              <w:rPr>
                <w:bCs/>
              </w:rPr>
              <w:t xml:space="preserve"> </w:t>
            </w:r>
          </w:p>
          <w:p w:rsidR="00353B4E" w:rsidRDefault="00353B4E" w:rsidP="00636754">
            <w:pPr>
              <w:rPr>
                <w:bCs/>
              </w:rPr>
            </w:pPr>
          </w:p>
          <w:p w:rsidR="00EB153F" w:rsidRPr="00353B4E" w:rsidRDefault="00353B4E" w:rsidP="00636754">
            <w:pPr>
              <w:rPr>
                <w:sz w:val="18"/>
              </w:rPr>
            </w:pPr>
            <w:r w:rsidRPr="00353B4E">
              <w:rPr>
                <w:bCs/>
                <w:sz w:val="18"/>
              </w:rPr>
              <w:t>use if does not meet schedular criteria</w:t>
            </w:r>
          </w:p>
          <w:p w:rsidR="00EB153F" w:rsidRPr="00C501B7" w:rsidRDefault="00EB153F" w:rsidP="00636754">
            <w:pPr>
              <w:pStyle w:val="Header"/>
              <w:tabs>
                <w:tab w:val="clear" w:pos="4320"/>
                <w:tab w:val="clear" w:pos="8640"/>
              </w:tabs>
              <w:rPr>
                <w:i/>
                <w:sz w:val="18"/>
              </w:rPr>
            </w:pPr>
          </w:p>
        </w:tc>
        <w:tc>
          <w:tcPr>
            <w:tcW w:w="4372"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Total disability ratings for compensation based on individual unemployability may be assigned where the schedular rating is less than total if it is found that the disabled person is unable to secure or follow a substantially gainful occupation as a result of 1) a single service-connected disability ratable at 60 percent or more, or 2) as a result of two or more disabilities, provided at least one disability is ratable at 40 percent or more, and there is sufficient additional service-connected disability to bring the combined rating to 70 percent or more. For the purposes of one 60 percent disability, or one 40 percent disability in combination, the following will be considered as one disability: disabilities of one or both upper extremities; or of one or both lower extremities, including the bilateral factor, if applicable; disabilities resulting from common etiology or a single accident; disabilities affecting a single body system (e.g. orthopedic, digestive, respiratory, cardiovascular-renal, neuropsychiatric); multiple injuries incurred in action; or multiple disabilities incurred as a prisoner of war. Prior employment or unemployment status is immaterial if your disabilities render you unemployable.</w:t>
            </w:r>
          </w:p>
          <w:p w:rsidR="00C400AA" w:rsidRDefault="00C400AA" w:rsidP="00636754">
            <w:r w:rsidRPr="0099386D">
              <w:rPr>
                <w:rFonts w:ascii="Verdana" w:hAnsi="Verdana"/>
                <w:b/>
                <w:highlight w:val="green"/>
              </w:rPr>
              <w:t xml:space="preserve">**Similar to </w:t>
            </w:r>
            <w:r w:rsidR="00C551BE">
              <w:rPr>
                <w:rFonts w:ascii="Verdana" w:hAnsi="Verdana"/>
                <w:b/>
                <w:highlight w:val="green"/>
              </w:rPr>
              <w:t>VBMS-R System-Generated Text</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lastRenderedPageBreak/>
              <w:fldChar w:fldCharType="begin"/>
            </w:r>
            <w:r>
              <w:instrText xml:space="preserve"> HYPERLINK "https://www.vbms.vba.va.gov/rating/webapp/secure/file/work" </w:instrText>
            </w:r>
            <w:r>
              <w:fldChar w:fldCharType="separate"/>
            </w:r>
            <w:hyperlink r:id="rId244" w:history="1">
              <w:r>
                <w:rPr>
                  <w:rFonts w:ascii="Verdana" w:hAnsi="Verdana"/>
                  <w:b/>
                  <w:bCs/>
                  <w:highlight w:val="green"/>
                </w:rPr>
                <w:t>LAB</w:t>
              </w:r>
            </w:hyperlink>
          </w:p>
          <w:p w:rsidR="00EB153F" w:rsidRDefault="00EB153F" w:rsidP="00636754">
            <w:pPr>
              <w:pStyle w:val="Header"/>
              <w:tabs>
                <w:tab w:val="clear" w:pos="4320"/>
                <w:tab w:val="clear" w:pos="8640"/>
              </w:tabs>
            </w:pPr>
            <w:r>
              <w:fldChar w:fldCharType="end"/>
            </w:r>
          </w:p>
          <w:p w:rsidR="00EB153F" w:rsidRPr="00153214" w:rsidRDefault="00EB153F" w:rsidP="00636754">
            <w:pPr>
              <w:rPr>
                <w:i/>
              </w:rPr>
            </w:pPr>
            <w:r w:rsidRPr="00D1450F">
              <w:rPr>
                <w:i/>
                <w:iCs/>
                <w:sz w:val="16"/>
              </w:rPr>
              <w:t xml:space="preserve">(added </w:t>
            </w:r>
            <w:r>
              <w:rPr>
                <w:i/>
                <w:iCs/>
                <w:sz w:val="16"/>
              </w:rPr>
              <w:t>10/8/14)</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rsidRPr="008630FD">
              <w:rPr>
                <w:rFonts w:ascii="Helvetica" w:hAnsi="Helvetica"/>
                <w:color w:val="000000" w:themeColor="text1"/>
              </w:rPr>
              <w:t>{Disability} is a laboratory finding. Laboratory findings alone are not considered disabling conditions for VA purposes. The evidence does not show a disability for which compensation may be established. Compensation is payable for a disease or injury which causes a disabling physical or mental limitation.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777E40" w:rsidP="00636754">
            <w:r>
              <w:rPr>
                <w:rFonts w:ascii="Verdana" w:hAnsi="Verdana"/>
                <w:b/>
                <w:bCs/>
                <w:highlight w:val="green"/>
              </w:rPr>
              <w:t>MAX_EVAL</w:t>
            </w:r>
            <w:r>
              <w:t xml:space="preserve"> </w:t>
            </w:r>
          </w:p>
          <w:p w:rsidR="00777E40" w:rsidRDefault="00777E40" w:rsidP="00636754"/>
          <w:p w:rsidR="00EB153F" w:rsidRDefault="00EB153F" w:rsidP="00636754">
            <w:pPr>
              <w:rPr>
                <w:rFonts w:ascii="Verdana" w:hAnsi="Verdana"/>
                <w:b/>
                <w:bCs/>
              </w:rPr>
            </w:pPr>
            <w:r w:rsidRPr="001D615F">
              <w:rPr>
                <w:bCs/>
              </w:rPr>
              <w:t>also see</w:t>
            </w:r>
            <w:r>
              <w:rPr>
                <w:bCs/>
              </w:rPr>
              <w:t xml:space="preserve"> </w:t>
            </w:r>
            <w:r>
              <w:rPr>
                <w:rFonts w:ascii="Verdana" w:hAnsi="Verdana"/>
                <w:b/>
                <w:bCs/>
                <w:highlight w:val="green"/>
              </w:rPr>
              <w:t>ES2</w:t>
            </w:r>
          </w:p>
          <w:p w:rsidR="00777E40" w:rsidRDefault="00777E40" w:rsidP="00636754">
            <w:pPr>
              <w:rPr>
                <w:rFonts w:ascii="Verdana" w:hAnsi="Verdana"/>
                <w:b/>
                <w:bCs/>
              </w:rPr>
            </w:pPr>
          </w:p>
          <w:p w:rsidR="00777E40" w:rsidRPr="00153214" w:rsidRDefault="00777E40" w:rsidP="00636754">
            <w:pPr>
              <w:rPr>
                <w:i/>
              </w:rPr>
            </w:pPr>
            <w:r w:rsidRPr="00777E40">
              <w:rPr>
                <w:b/>
                <w:sz w:val="18"/>
              </w:rPr>
              <w:t>I.1.C.3.j</w:t>
            </w:r>
            <w:r w:rsidRPr="00777E40">
              <w:rPr>
                <w:sz w:val="18"/>
              </w:rPr>
              <w:t xml:space="preserve"> - no automatic exams of disabilities at schedular maximum evaluation</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rsidRPr="003C3BD2">
              <w:t>The assigned evaluation of {} percent for {} is the maximum evaluation provided in the Rating Schedule for this disability. The disability findings in this case do not present such an exceptional or unusual disability picture with such related factors as marked interference with employment or frequent periods of hospitalization as to render impractical the application of the regular schedular standards or warrant a referral for an extra-schedular evaluation.</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D571C5" w:rsidP="00636754">
            <w:hyperlink r:id="rId245" w:history="1">
              <w:r w:rsidR="00EB153F">
                <w:rPr>
                  <w:rFonts w:ascii="Verdana" w:hAnsi="Verdana"/>
                  <w:b/>
                  <w:bCs/>
                  <w:highlight w:val="green"/>
                </w:rPr>
                <w:t>MD1</w:t>
              </w:r>
            </w:hyperlink>
          </w:p>
          <w:p w:rsidR="00EB153F" w:rsidRDefault="00EB153F" w:rsidP="00636754">
            <w:pPr>
              <w:pStyle w:val="Header"/>
              <w:tabs>
                <w:tab w:val="clear" w:pos="4320"/>
                <w:tab w:val="clear" w:pos="8640"/>
              </w:tabs>
            </w:pPr>
          </w:p>
          <w:p w:rsidR="00EB153F" w:rsidRPr="00C501B7" w:rsidRDefault="00EB153F" w:rsidP="00636754">
            <w:pPr>
              <w:widowControl w:val="0"/>
              <w:spacing w:after="120"/>
              <w:rPr>
                <w:rFonts w:ascii="Verdana" w:hAnsi="Verdana"/>
                <w:i/>
                <w:iCs/>
              </w:rPr>
            </w:pPr>
            <w:r w:rsidRPr="00153214">
              <w:rPr>
                <w:i/>
                <w:sz w:val="18"/>
                <w:szCs w:val="18"/>
              </w:rPr>
              <w:t>4.28</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The law requires that, when a mental disorder that develops in service, as a result of a highly stressful event, is severe enough to bring about a veteran's release from active military service, an evaluation of not less than 50 percent will be assigned. An examination will be scheduled within the six-month period following your discharge to determine whether a change in evaluation is warranted.</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D571C5" w:rsidP="00636754">
            <w:hyperlink r:id="rId246" w:history="1">
              <w:r w:rsidR="00EB153F">
                <w:rPr>
                  <w:rFonts w:ascii="Verdana" w:hAnsi="Verdana"/>
                  <w:b/>
                  <w:bCs/>
                  <w:highlight w:val="green"/>
                </w:rPr>
                <w:t>MD3</w:t>
              </w:r>
            </w:hyperlink>
          </w:p>
          <w:p w:rsidR="00EB153F" w:rsidRDefault="00EB153F" w:rsidP="00636754"/>
          <w:p w:rsidR="00EB153F" w:rsidRPr="00153214" w:rsidRDefault="00EB153F" w:rsidP="00636754">
            <w:pPr>
              <w:rPr>
                <w:i/>
              </w:rPr>
            </w:pPr>
            <w:r w:rsidRPr="00153214">
              <w:rPr>
                <w:i/>
                <w:sz w:val="18"/>
                <w:szCs w:val="18"/>
              </w:rPr>
              <w:t>PTSD</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Service connection for post-traumatic distress disorder (PTSD) requires the presence of three elements: (1) credible supporting evidence that the claimed in-service stressor actually occurred; (2) a current diagnosis of PTSD; and (3) medical evidence of a causal connection between current symptoms and the claimed in-service stressor. For a stressor to be sufficient for PTSD, the stressor must meet two requirements: (1) you must have been exposed to a traumatic event in which you experienced, witnessed, or were confronted with an event or events that involved actual or threatened death or serious injury or threat to the physical integrity of yourself or others and (2) your response must have involved a psychological or physio-psychological state of fear, helplessness, or horror. Combat decorations will be accepted, in the absence of evidence to the contrary, as conclusive evidence of the claimed service stressor. Additionally, confirmed prisoner of war (POW) status is considered conclusive evidence of a stressor. In-service personal assault cases, may result in evidence from sources other than the veteran's service records to corroborate the veteran's account of the stressor incident.</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9B27E7" w:rsidRPr="009B27E7" w:rsidRDefault="00716A61" w:rsidP="00636754">
            <w:pPr>
              <w:rPr>
                <w:i/>
                <w:sz w:val="16"/>
              </w:rPr>
            </w:pPr>
            <w:r w:rsidRPr="00AC33B8">
              <w:rPr>
                <w:rFonts w:ascii="Verdana" w:hAnsi="Verdana"/>
                <w:b/>
                <w:bCs/>
                <w:highlight w:val="green"/>
              </w:rPr>
              <w:t>NO-STR</w:t>
            </w:r>
            <w:r>
              <w:rPr>
                <w:i/>
                <w:sz w:val="16"/>
              </w:rPr>
              <w:t xml:space="preserve"> </w:t>
            </w:r>
            <w:r w:rsidR="009B27E7">
              <w:rPr>
                <w:i/>
                <w:sz w:val="16"/>
              </w:rPr>
              <w:t>n</w:t>
            </w:r>
            <w:r w:rsidR="009B27E7" w:rsidRPr="009B27E7">
              <w:rPr>
                <w:i/>
                <w:sz w:val="16"/>
              </w:rPr>
              <w:t>o_STR</w:t>
            </w:r>
            <w:r w:rsidR="009B27E7">
              <w:rPr>
                <w:i/>
                <w:sz w:val="16"/>
              </w:rPr>
              <w:t>, nostrs</w:t>
            </w:r>
          </w:p>
          <w:p w:rsidR="00EB153F" w:rsidRDefault="00EB153F" w:rsidP="00636754"/>
          <w:p w:rsidR="00EB153F" w:rsidRPr="00153214" w:rsidRDefault="00EB153F" w:rsidP="00636754">
            <w:pPr>
              <w:rPr>
                <w:i/>
              </w:rPr>
            </w:pPr>
            <w:r w:rsidRPr="001D615F">
              <w:rPr>
                <w:bCs/>
              </w:rPr>
              <w:t>also se</w:t>
            </w:r>
            <w:r>
              <w:rPr>
                <w:bCs/>
              </w:rPr>
              <w:t xml:space="preserve">e </w:t>
            </w:r>
            <w:r>
              <w:rPr>
                <w:rFonts w:ascii="Verdana" w:hAnsi="Verdana"/>
                <w:b/>
                <w:bCs/>
                <w:highlight w:val="green"/>
              </w:rPr>
              <w:t>FED_REC</w:t>
            </w:r>
            <w:r w:rsidRPr="001D615F">
              <w:rPr>
                <w:bCs/>
              </w:rPr>
              <w:t xml:space="preserve"> &amp;</w:t>
            </w:r>
            <w:r w:rsidRPr="001D615F">
              <w:rPr>
                <w:rFonts w:ascii="Verdana" w:hAnsi="Verdana"/>
                <w:b/>
                <w:bCs/>
              </w:rPr>
              <w:t xml:space="preserve"> </w:t>
            </w:r>
            <w:r>
              <w:rPr>
                <w:rFonts w:ascii="Verdana" w:hAnsi="Verdana"/>
                <w:b/>
                <w:bCs/>
                <w:highlight w:val="green"/>
              </w:rPr>
              <w:t>FRU</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rsidRPr="00AC33B8">
              <w:t>Efforts to obtain your service medical records from all potential sources were unsuccessful. If these records are located at a later date, this decision will be reconsidered.</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EB153F" w:rsidP="00636754">
            <w:r>
              <w:t>P-HBD</w:t>
            </w:r>
          </w:p>
          <w:p w:rsidR="00EB153F" w:rsidRDefault="00EB153F" w:rsidP="00636754"/>
          <w:p w:rsidR="00EB153F" w:rsidRDefault="00EB153F" w:rsidP="00636754">
            <w:pPr>
              <w:rPr>
                <w:i/>
                <w:sz w:val="18"/>
              </w:rPr>
            </w:pPr>
            <w:r>
              <w:rPr>
                <w:i/>
                <w:sz w:val="18"/>
              </w:rPr>
              <w:t>deny SMP HB</w:t>
            </w:r>
          </w:p>
          <w:p w:rsidR="00EB153F" w:rsidRDefault="00EB153F" w:rsidP="00636754">
            <w:pPr>
              <w:rPr>
                <w:i/>
                <w:sz w:val="18"/>
              </w:rPr>
            </w:pPr>
          </w:p>
          <w:p w:rsidR="00EB153F" w:rsidRDefault="00EB153F" w:rsidP="00636754">
            <w:r w:rsidRPr="001D615F">
              <w:rPr>
                <w:bCs/>
              </w:rPr>
              <w:t>also see</w:t>
            </w:r>
            <w:r>
              <w:rPr>
                <w:bCs/>
              </w:rPr>
              <w:t xml:space="preserve"> </w:t>
            </w:r>
            <w:r>
              <w:rPr>
                <w:rFonts w:ascii="Verdana" w:hAnsi="Verdana"/>
                <w:b/>
                <w:bCs/>
                <w:highlight w:val="green"/>
              </w:rPr>
              <w:t>PMC-SMPD</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rsidRPr="00AC33B8">
              <w:t xml:space="preserve">Housebound benefits are payable if the Veteran has a single disability ratable at 100 percent and additional disabilities independently ratable at 60 percent or more; or if the Veteran is substantially confined to his or her dwelling and immediate premises due to disability. Entitlement to special monthly pension on this basis is not established by the evidence of record. {38 CFR 3.351}. We sent you a letter dated {}, in which we asked you to submit medical evidence showing the need for the housebound benefit, as outlined above, and you were advised of the housebound benefit requirements. You had 30 days to submit the requested evidence to substantiate your claim. </w:t>
            </w:r>
            <w:r w:rsidRPr="003C556A">
              <w:rPr>
                <w:highlight w:val="yellow"/>
              </w:rPr>
              <w:t>If applicable &lt;&gt;&lt;&gt; &lt;&gt;</w:t>
            </w:r>
            <w:r w:rsidRPr="00AC33B8">
              <w:t xml:space="preserve"> The medical evidence reviewed shows that you are not substantially confined to your dwelling and immediate premises due to disability. Based on all evidence of record, entitlement to special monthly pension based on housebound status is denied.</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hyperlink r:id="rId247" w:history="1">
              <w:r w:rsidR="00EB153F">
                <w:t>P28G100</w:t>
              </w:r>
            </w:hyperlink>
          </w:p>
          <w:p w:rsidR="00EB153F" w:rsidRDefault="00EB153F" w:rsidP="00636754"/>
          <w:p w:rsidR="00EB153F" w:rsidRPr="00153214" w:rsidRDefault="00EB153F" w:rsidP="00636754">
            <w:pPr>
              <w:rPr>
                <w:i/>
                <w:sz w:val="18"/>
                <w:szCs w:val="18"/>
              </w:rPr>
            </w:pPr>
            <w:r w:rsidRPr="00153214">
              <w:rPr>
                <w:i/>
                <w:sz w:val="18"/>
                <w:szCs w:val="18"/>
              </w:rPr>
              <w:t>4.28</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 w:rsidR="00EB153F" w:rsidRDefault="00EB153F" w:rsidP="00636754">
            <w:r>
              <w:t>A 100 percent prestabilization rating is assigned from {} for an unstabilized condition with severe disability and substantial gainful employment is not feasible or advisable.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D571C5" w:rsidP="00636754">
            <w:hyperlink r:id="rId248" w:history="1">
              <w:r w:rsidR="00EB153F">
                <w:t>P28G50</w:t>
              </w:r>
            </w:hyperlink>
          </w:p>
          <w:p w:rsidR="00EB153F" w:rsidRDefault="00EB153F" w:rsidP="00636754"/>
          <w:p w:rsidR="00EB153F" w:rsidRPr="007E6A0C" w:rsidRDefault="00EB153F" w:rsidP="00636754">
            <w:pPr>
              <w:rPr>
                <w:b/>
                <w:sz w:val="18"/>
                <w:szCs w:val="18"/>
              </w:rPr>
            </w:pPr>
            <w:r w:rsidRPr="00153214">
              <w:rPr>
                <w:i/>
                <w:sz w:val="18"/>
                <w:szCs w:val="18"/>
              </w:rPr>
              <w:t>4.28</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p w:rsidR="00EB153F" w:rsidRDefault="00EB153F" w:rsidP="00636754">
            <w:r>
              <w:t>A 50 percent prestabilization rating is assigned from {} for unhealed or incompletely healed wounds or injuries, and it is likely there will be material impariment of employability. A 100 percent rating is not assigned since gainful employment is feasible and the veteran does not have an unstabilized condition with severe disability.</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B36D5B" w:rsidRDefault="00D571C5" w:rsidP="00636754">
            <w:hyperlink r:id="rId249" w:history="1">
              <w:r w:rsidR="00B36D5B">
                <w:rPr>
                  <w:rFonts w:ascii="Verdana" w:hAnsi="Verdana"/>
                  <w:b/>
                  <w:bCs/>
                  <w:highlight w:val="green"/>
                </w:rPr>
                <w:t>P29G</w:t>
              </w:r>
            </w:hyperlink>
          </w:p>
          <w:p w:rsidR="00EB153F" w:rsidRDefault="00EB153F" w:rsidP="00636754"/>
          <w:p w:rsidR="00EB153F" w:rsidRDefault="00B36D5B" w:rsidP="00636754">
            <w:r>
              <w:rPr>
                <w:i/>
                <w:sz w:val="18"/>
                <w:szCs w:val="18"/>
              </w:rPr>
              <w:t>4.29</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t>An evaluation of 100 percent has been assigned because of hospitalization over 21 days from {}.</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B36D5B" w:rsidRDefault="00D571C5" w:rsidP="00636754">
            <w:hyperlink r:id="rId250" w:history="1">
              <w:r w:rsidR="00B36D5B">
                <w:rPr>
                  <w:rFonts w:ascii="Verdana" w:hAnsi="Verdana"/>
                  <w:b/>
                  <w:bCs/>
                  <w:highlight w:val="green"/>
                </w:rPr>
                <w:t>P30G</w:t>
              </w:r>
            </w:hyperlink>
          </w:p>
          <w:p w:rsidR="00EB153F" w:rsidRDefault="00EB153F" w:rsidP="00636754"/>
          <w:p w:rsidR="00EB153F" w:rsidRPr="00153214" w:rsidRDefault="00EB153F" w:rsidP="00636754">
            <w:pPr>
              <w:rPr>
                <w:i/>
                <w:sz w:val="18"/>
                <w:szCs w:val="18"/>
              </w:rPr>
            </w:pPr>
            <w:r w:rsidRPr="00153214">
              <w:rPr>
                <w:i/>
                <w:sz w:val="18"/>
                <w:szCs w:val="18"/>
              </w:rPr>
              <w:t>4.30</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An evaluation of 100 percent has been assigned effective {} based on surgical or other treatment necessitating convalescence.</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Pr="00153214" w:rsidRDefault="00D571C5" w:rsidP="00636754">
            <w:pPr>
              <w:rPr>
                <w:i/>
                <w:sz w:val="18"/>
                <w:szCs w:val="18"/>
              </w:rPr>
            </w:pPr>
            <w:hyperlink r:id="rId251" w:history="1">
              <w:r w:rsidR="00EB153F">
                <w:t>PA1</w:t>
              </w:r>
            </w:hyperlink>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38 CFR 4.59 allows consideration of functional loss due to painful motion. Objective evidence reveals painful motion, therefore a 10 percent evaluation is assigned, effective { }.</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EB153F" w:rsidP="00636754">
            <w:r>
              <w:t>PMC-HCD</w:t>
            </w:r>
          </w:p>
          <w:p w:rsidR="00EB153F" w:rsidRDefault="00EB153F" w:rsidP="00636754"/>
          <w:p w:rsidR="00EB153F" w:rsidRPr="00153214" w:rsidRDefault="00EB153F" w:rsidP="00636754">
            <w:pPr>
              <w:rPr>
                <w:i/>
                <w:iCs/>
                <w:sz w:val="18"/>
                <w:szCs w:val="18"/>
              </w:rPr>
            </w:pPr>
            <w:r>
              <w:rPr>
                <w:i/>
                <w:sz w:val="18"/>
              </w:rPr>
              <w:t>deny helpless child</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rsidRPr="00AC33B8">
              <w:t xml:space="preserve">For purposes of establishing entitlement to VA benefits, a child over 18 years of age must be shown to be permanently incapable of self-support by reason of mental or physical defect by the age of 18. Our letter to you, dated {} requested that you submit evidence showing the extent to which {} is physically or mentally deficient, such as the ability to perform self-care functions, and ordinary tasks expected of a child that age; whether or not {}attended school and the maximum grade attended; evidence showing if any material improvement in {}condition has occurred; evidence showing if {}have ever been employed and, if so, the nature and dates of such employment, and amount of pay received; information as to whether or not {}have ever married; and a description of present condition. The letter also afforded you VA authorization forms for you to complete so that the agency can assist you in securing any additional medical evidence to help substantiate your claim. </w:t>
            </w:r>
            <w:r w:rsidRPr="003C556A">
              <w:rPr>
                <w:highlight w:val="yellow"/>
              </w:rPr>
              <w:t>&lt;&gt;</w:t>
            </w:r>
            <w:r w:rsidRPr="00AC33B8">
              <w:t xml:space="preserve"> Currently, there is no medical evidence of record showing that {}, became permanently incapable of self-support prior to age 18 on {}. Based on these findings, permanent incapacity for self-support is not established.</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EB153F" w:rsidP="00636754">
            <w:r>
              <w:t>PMC-HCG</w:t>
            </w:r>
          </w:p>
          <w:p w:rsidR="00EB153F" w:rsidRDefault="00EB153F" w:rsidP="00636754"/>
          <w:p w:rsidR="00EB153F" w:rsidRPr="00D1450F" w:rsidRDefault="00EB153F" w:rsidP="00636754">
            <w:pPr>
              <w:widowControl w:val="0"/>
              <w:rPr>
                <w:i/>
                <w:iCs/>
                <w:sz w:val="16"/>
              </w:rPr>
            </w:pPr>
            <w:r>
              <w:rPr>
                <w:i/>
                <w:sz w:val="18"/>
              </w:rPr>
              <w:t>grant helpless child</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Pr="008630FD" w:rsidRDefault="00EB153F" w:rsidP="00636754">
            <w:pPr>
              <w:rPr>
                <w:color w:val="000000" w:themeColor="text1"/>
              </w:rPr>
            </w:pPr>
            <w:r w:rsidRPr="00C501B7">
              <w:t>For purposes of establishing entitlement to VA benefits, a child over 18 years of age must be shown to be permanently incapable of self-support by reason of mental or physical disability by the age of 18. The evidence establishes that {} became permanently incapable of self-support prior to (his or her) 18th birthday due to a physical or mental disability diagnosed as {}. The cited evidence reports that {}</w:t>
            </w:r>
            <w:r w:rsidRPr="003C556A">
              <w:rPr>
                <w:highlight w:val="yellow"/>
              </w:rPr>
              <w:t>?</w:t>
            </w:r>
            <w:r w:rsidRPr="00C501B7">
              <w:t>s diagnosis of {} severely limits (his or her) ability to care for their daily needs. The cited treatment report from Dr. {} indicates {}. The evidence shows {} became incapable of self- support prior to (his or her) 18th birthday. Therefore, entitlement as a helpless child for VA purposes is granted effective {} the date we received your claim. OR the date that {} reached the age of majority.</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EB153F" w:rsidP="00636754">
            <w:r>
              <w:t>PMC-INCCC</w:t>
            </w:r>
          </w:p>
          <w:p w:rsidR="00EB153F" w:rsidRDefault="00EB153F" w:rsidP="00636754">
            <w:pPr>
              <w:rPr>
                <w:i/>
                <w:sz w:val="16"/>
                <w:szCs w:val="16"/>
              </w:rPr>
            </w:pPr>
          </w:p>
          <w:p w:rsidR="00EB153F" w:rsidRPr="003C3BD2" w:rsidRDefault="00EB153F" w:rsidP="00636754">
            <w:pPr>
              <w:widowControl w:val="0"/>
              <w:spacing w:after="120"/>
              <w:ind w:right="540"/>
              <w:rPr>
                <w:b/>
                <w:i/>
              </w:rPr>
            </w:pPr>
            <w:r w:rsidRPr="00C501B7">
              <w:rPr>
                <w:i/>
                <w:sz w:val="18"/>
                <w:szCs w:val="16"/>
              </w:rPr>
              <w:t>propose incompetency</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rsidRPr="00C501B7">
              <w:t>A mentally incompetent person is defined as one who, because of injury or disease, lacks the mental capacity to control or manage his or her own affairs, including disbursements of funds without limitation. Where there is a doubt as to whether the beneficiary is capable of administering his or her funds, such doubt will be resolved in favor of competency. The medical statement from {} notes that you have {}. The indicated level of severity of this mental disorder is such that you are unable to perform most basic tasks without assistance or reminders. Based on your diagnosis, the evidence of record is clear and convincing that you are unable to manage your affairs to include the disbursement of funds without limitation; therefore, we propose to rate you incompetent for VA purposes.</w:t>
            </w:r>
          </w:p>
          <w:p w:rsidR="00EB153F" w:rsidRDefault="00EB153F" w:rsidP="00636754"/>
          <w:p w:rsidR="00EB153F" w:rsidRDefault="00EB153F" w:rsidP="00636754">
            <w:r>
              <w:rPr>
                <w:bCs/>
                <w:i/>
              </w:rPr>
              <w:t xml:space="preserve">Proposals &amp; Final incompetency decisions </w:t>
            </w:r>
            <w:r w:rsidRPr="007A4EEB">
              <w:rPr>
                <w:bCs/>
                <w:i/>
              </w:rPr>
              <w:t xml:space="preserve">need Long Form Narrative, per </w:t>
            </w:r>
            <w:r w:rsidRPr="007A4EEB">
              <w:rPr>
                <w:b/>
                <w:bCs/>
              </w:rPr>
              <w:t>III.iv.6.C.7.a</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t>PMC-INCDEF</w:t>
            </w:r>
          </w:p>
          <w:p w:rsidR="00EB153F" w:rsidRDefault="00EB153F" w:rsidP="00636754">
            <w:pPr>
              <w:rPr>
                <w:i/>
                <w:sz w:val="16"/>
                <w:szCs w:val="16"/>
              </w:rPr>
            </w:pPr>
          </w:p>
          <w:p w:rsidR="00EB153F" w:rsidRPr="00153214" w:rsidRDefault="00EB153F" w:rsidP="00636754">
            <w:pPr>
              <w:rPr>
                <w:sz w:val="18"/>
                <w:szCs w:val="18"/>
              </w:rPr>
            </w:pPr>
            <w:r w:rsidRPr="00C501B7">
              <w:rPr>
                <w:i/>
                <w:sz w:val="18"/>
                <w:szCs w:val="16"/>
              </w:rPr>
              <w:t>propose incompetency</w:t>
            </w:r>
          </w:p>
        </w:tc>
        <w:tc>
          <w:tcPr>
            <w:tcW w:w="4371" w:type="pct"/>
            <w:tcBorders>
              <w:top w:val="single" w:sz="4" w:space="0" w:color="auto"/>
              <w:left w:val="single" w:sz="4" w:space="0" w:color="auto"/>
              <w:bottom w:val="single" w:sz="4" w:space="0" w:color="auto"/>
              <w:right w:val="single" w:sz="4" w:space="0" w:color="auto"/>
            </w:tcBorders>
            <w:vAlign w:val="center"/>
            <w:hideMark/>
          </w:tcPr>
          <w:p w:rsidR="00EB153F" w:rsidRDefault="00EB153F" w:rsidP="00636754">
            <w:r w:rsidRPr="00C501B7">
              <w:t>A mentally incompetent person is defined as one who, because of injury or disease, lacks the mental capacity to control or manage his or her own affairs, including disbursements of funds without limitation. Where there is a doubt as to whether the beneficiary is capable of administering his or her funds, such doubt will be resolved in favor of competency. The medical statement from your physician notes that you have {} and are unable to manage your financial affairs. Since there is a definitive finding of incompetency by a physician in this case, and you are not shown to be able to manage personal affairs to include disbursement of funds, we propose to make a determination of incompetency for VA purposes. {38 CFR 3.353}</w:t>
            </w:r>
          </w:p>
          <w:p w:rsidR="00EB153F" w:rsidRDefault="00EB153F" w:rsidP="00636754"/>
          <w:p w:rsidR="00EB153F" w:rsidRDefault="00EB153F" w:rsidP="00636754">
            <w:r>
              <w:rPr>
                <w:bCs/>
                <w:i/>
              </w:rPr>
              <w:t xml:space="preserve">Proposals &amp; Final incompetency decisions </w:t>
            </w:r>
            <w:r w:rsidRPr="007A4EEB">
              <w:rPr>
                <w:bCs/>
                <w:i/>
              </w:rPr>
              <w:t xml:space="preserve">need Long Form Narrative, per </w:t>
            </w:r>
            <w:r w:rsidRPr="007A4EEB">
              <w:rPr>
                <w:b/>
                <w:bCs/>
              </w:rPr>
              <w:t>III.iv.6.C.7.a</w:t>
            </w:r>
          </w:p>
        </w:tc>
      </w:tr>
      <w:tr w:rsidR="00EB153F"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B153F" w:rsidRDefault="00D8520C" w:rsidP="00636754">
            <w:r>
              <w:rPr>
                <w:rFonts w:ascii="Verdana" w:hAnsi="Verdana"/>
                <w:b/>
                <w:bCs/>
                <w:highlight w:val="green"/>
              </w:rPr>
              <w:t>PMC-NPRC</w:t>
            </w:r>
          </w:p>
          <w:p w:rsidR="00EB153F" w:rsidRDefault="00EB153F" w:rsidP="00636754"/>
          <w:p w:rsidR="00EB153F" w:rsidRDefault="00EB153F" w:rsidP="00636754">
            <w:r w:rsidRPr="001D615F">
              <w:rPr>
                <w:bCs/>
              </w:rPr>
              <w:t>also see</w:t>
            </w:r>
            <w:r>
              <w:rPr>
                <w:bCs/>
              </w:rPr>
              <w:t xml:space="preserve"> </w:t>
            </w:r>
            <w:r>
              <w:rPr>
                <w:rFonts w:ascii="Verdana" w:hAnsi="Verdana"/>
                <w:b/>
                <w:bCs/>
                <w:highlight w:val="green"/>
              </w:rPr>
              <w:t>FIRE1</w:t>
            </w:r>
          </w:p>
        </w:tc>
        <w:tc>
          <w:tcPr>
            <w:tcW w:w="4371" w:type="pct"/>
            <w:tcBorders>
              <w:top w:val="single" w:sz="4" w:space="0" w:color="auto"/>
              <w:left w:val="single" w:sz="4" w:space="0" w:color="auto"/>
              <w:bottom w:val="single" w:sz="4" w:space="0" w:color="auto"/>
              <w:right w:val="single" w:sz="4" w:space="0" w:color="auto"/>
            </w:tcBorders>
            <w:vAlign w:val="center"/>
          </w:tcPr>
          <w:p w:rsidR="00EB153F" w:rsidRDefault="00EB153F" w:rsidP="00636754">
            <w:r w:rsidRPr="00C501B7">
              <w:t xml:space="preserve">No service treatment records were available for review. Efforts to obtain service medical records from all potential sources were unsuccessful. The National Personnel Records Center (NPRC), St. Louis Missouri, in response to VA requests, reported the records may have been destroyed in a fire at the Records Center in 1973. NPRC could not confirm the existence of such records; only the fact that if they had been stored at the Records Center, they would have been stored in an area damaged by the fire. If </w:t>
            </w:r>
            <w:r w:rsidRPr="00C501B7">
              <w:lastRenderedPageBreak/>
              <w:t xml:space="preserve">these records are located at a later date, this decision will be reconsidered. If a different </w:t>
            </w:r>
            <w:r w:rsidR="005D5F47">
              <w:t xml:space="preserve">decision results, that decision </w:t>
            </w:r>
            <w:r w:rsidRPr="00C501B7">
              <w:t>will be effective as of the date of this pending claim.</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D571C5" w:rsidP="00636754">
            <w:hyperlink r:id="rId252" w:history="1">
              <w:r w:rsidR="005D5F47">
                <w:t>PR1</w:t>
              </w:r>
            </w:hyperlink>
          </w:p>
          <w:p w:rsidR="005D5F47" w:rsidRDefault="005D5F47" w:rsidP="00636754"/>
          <w:p w:rsidR="005D5F47" w:rsidRPr="00153214" w:rsidRDefault="005D5F47" w:rsidP="00636754">
            <w:pPr>
              <w:rPr>
                <w:i/>
                <w:sz w:val="18"/>
                <w:szCs w:val="18"/>
              </w:rPr>
            </w:pPr>
            <w:r w:rsidRPr="00153214">
              <w:rPr>
                <w:i/>
                <w:sz w:val="18"/>
                <w:szCs w:val="18"/>
              </w:rPr>
              <w:t>protected</w:t>
            </w:r>
          </w:p>
        </w:tc>
        <w:tc>
          <w:tcPr>
            <w:tcW w:w="4371"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t>Service connection for any disability or death granted or continued, which has been in effect for 10 or more years will not be severed except upon a showing that the original grant was based on fraud or it is clearly shown from military records that the person concerned did not have the requisite service or character of discharge. The 10-year period will be computed from the effective date of the finding of service connection to the effective date of the rating decision severing service connection.</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674B1" w:rsidRPr="00E674B1" w:rsidRDefault="007C1287" w:rsidP="00E674B1">
            <w:pPr>
              <w:pStyle w:val="Header"/>
              <w:widowControl w:val="0"/>
              <w:tabs>
                <w:tab w:val="clear" w:pos="4320"/>
                <w:tab w:val="clear" w:pos="8640"/>
              </w:tabs>
            </w:pPr>
            <w:r>
              <w:rPr>
                <w:rFonts w:ascii="Verdana" w:hAnsi="Verdana"/>
                <w:b/>
                <w:bCs/>
                <w:highlight w:val="green"/>
              </w:rPr>
              <w:t>PR2</w:t>
            </w:r>
          </w:p>
          <w:p w:rsidR="00E674B1" w:rsidRDefault="00E674B1" w:rsidP="00E674B1"/>
          <w:p w:rsidR="005D5F47" w:rsidRPr="00AC33B8" w:rsidRDefault="00E674B1" w:rsidP="00E674B1">
            <w:pPr>
              <w:widowControl w:val="0"/>
              <w:spacing w:after="120"/>
              <w:ind w:right="540"/>
              <w:rPr>
                <w:b/>
                <w:i/>
              </w:rPr>
            </w:pPr>
            <w:r w:rsidRPr="00153214">
              <w:rPr>
                <w:i/>
                <w:sz w:val="18"/>
                <w:szCs w:val="18"/>
              </w:rPr>
              <w:t>protected</w:t>
            </w:r>
          </w:p>
        </w:tc>
        <w:tc>
          <w:tcPr>
            <w:tcW w:w="4371"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t>The evaluation of xxxx is continued as xx percent disabling. A disability that has been continuously rated at or above any evaluation for 20 or more years cannot be reduced except upon a showing that such rating was based on fraud.</w:t>
            </w:r>
          </w:p>
          <w:p w:rsidR="00BE4C8A" w:rsidRDefault="00BE4C8A" w:rsidP="00BE4C8A">
            <w:r w:rsidRPr="0099386D">
              <w:rPr>
                <w:rFonts w:ascii="Verdana" w:hAnsi="Verdana"/>
                <w:b/>
                <w:highlight w:val="green"/>
              </w:rPr>
              <w:t xml:space="preserve">**Similar to </w:t>
            </w:r>
            <w:r w:rsidR="00C551BE">
              <w:rPr>
                <w:rFonts w:ascii="Verdana" w:hAnsi="Verdana"/>
                <w:b/>
                <w:highlight w:val="green"/>
              </w:rPr>
              <w:t>VBMS-R System-Generated Text</w:t>
            </w:r>
          </w:p>
          <w:p w:rsidR="005D5F47" w:rsidRDefault="005D5F47" w:rsidP="00636754"/>
          <w:p w:rsidR="005D5F47" w:rsidRDefault="005D5F47" w:rsidP="00636754"/>
          <w:p w:rsidR="005D5F47" w:rsidRPr="00D66896" w:rsidRDefault="005D5F47" w:rsidP="00636754">
            <w:pPr>
              <w:rPr>
                <w:i/>
              </w:rPr>
            </w:pPr>
            <w:r w:rsidRPr="00D66896">
              <w:rPr>
                <w:i/>
              </w:rPr>
              <w:t>Example text:</w:t>
            </w:r>
          </w:p>
          <w:p w:rsidR="005D5F47" w:rsidRDefault="005D5F47" w:rsidP="00636754">
            <w:r>
              <w:t xml:space="preserve">The evaluation of {} is decreased to 10 percent from {}, the date of the DBQ showing improvement. </w:t>
            </w:r>
            <w:r w:rsidRPr="00162D48">
              <w:t>You have been evaluated at</w:t>
            </w:r>
            <w:r>
              <w:t xml:space="preserve"> 30</w:t>
            </w:r>
            <w:r w:rsidRPr="00162D48">
              <w:t xml:space="preserve"> percent for fewer than 5 years, the </w:t>
            </w:r>
            <w:r>
              <w:t>DBQ</w:t>
            </w:r>
            <w:r w:rsidRPr="00162D48">
              <w:t xml:space="preserve"> shows improvement</w:t>
            </w:r>
            <w:r>
              <w:t xml:space="preserve"> to the 10 percent level</w:t>
            </w:r>
            <w:r w:rsidRPr="00162D48">
              <w:t xml:space="preserve">, and there is </w:t>
            </w:r>
            <w:r>
              <w:t>no other evidence to support a 30</w:t>
            </w:r>
            <w:r w:rsidRPr="00162D48">
              <w:t xml:space="preserve"> percent evaluation.</w:t>
            </w:r>
            <w:r>
              <w:t xml:space="preserve"> However, since you have been evaluated at 20 percent or above for more than 20 years, we are only reducing your evaluation to 20 percent.</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E674B1" w:rsidP="00636754">
            <w:pPr>
              <w:rPr>
                <w:rFonts w:ascii="Verdana" w:hAnsi="Verdana"/>
                <w:b/>
                <w:bCs/>
              </w:rPr>
            </w:pPr>
            <w:r>
              <w:rPr>
                <w:rFonts w:ascii="Verdana" w:hAnsi="Verdana"/>
                <w:b/>
                <w:bCs/>
                <w:highlight w:val="green"/>
              </w:rPr>
              <w:t>PR3</w:t>
            </w:r>
          </w:p>
          <w:p w:rsidR="00E674B1" w:rsidRDefault="00E674B1" w:rsidP="00636754"/>
          <w:p w:rsidR="005D5F47" w:rsidRDefault="005D5F47" w:rsidP="00636754">
            <w:r w:rsidRPr="00153214">
              <w:rPr>
                <w:i/>
                <w:sz w:val="18"/>
                <w:szCs w:val="18"/>
              </w:rPr>
              <w:t>protected</w:t>
            </w:r>
          </w:p>
        </w:tc>
        <w:tc>
          <w:tcPr>
            <w:tcW w:w="4371"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t>A readjustment to the schedule for rating disabilities shall not be grounds for reduction of a disability rating in effect on the date of the readjustment unless medical evidence establishes that the disability to be evaluated has actually improved. Your condition was previously rated as {} percent disabling under the condition that was changed on {}. A higher rating of HIGHER PERCENT is not warranted under the new schedule effective {}, unless there is medical evidence of HIGHER CRITERIA. Because there is no evidence that establishes that your condition has actually improved, your {} percent rating is continued.</w:t>
            </w:r>
          </w:p>
          <w:p w:rsidR="005D5F47" w:rsidRDefault="005D5F47" w:rsidP="00636754"/>
          <w:p w:rsidR="005D5F47" w:rsidRDefault="005D5F47" w:rsidP="00636754">
            <w:r>
              <w:rPr>
                <w:rFonts w:ascii="Verdana" w:hAnsi="Verdana"/>
                <w:b/>
                <w:bCs/>
                <w:szCs w:val="22"/>
                <w:highlight w:val="green"/>
              </w:rPr>
              <w:t>VBMS-R now (as of at least April 2015) has PR3 as the below, but it’s not listed in the Glossary:</w:t>
            </w:r>
          </w:p>
          <w:p w:rsidR="005D5F47" w:rsidRPr="008467B8" w:rsidRDefault="005D5F47" w:rsidP="00636754">
            <w:r w:rsidRPr="008467B8">
              <w:t>Since your last evaluation the rating criteria for {} disabilities have changed.  Based on this change, we will evaluate your disability under the new criteria, as your claim was not pending at the time the criteria changed.  Please note in order to obtain an increased evaluation you must meet the new criteria.</w:t>
            </w:r>
          </w:p>
          <w:p w:rsidR="005D5F47" w:rsidRPr="008467B8" w:rsidRDefault="005D5F47" w:rsidP="00636754"/>
          <w:p w:rsidR="005D5F47" w:rsidRDefault="005D5F47" w:rsidP="00636754">
            <w:r w:rsidRPr="008467B8">
              <w:t>Under the old criteria you were rated 30 percent for {}, which is continued. The current evaluation takes into consideration the {}.</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5D5F47" w:rsidP="00636754">
            <w:r>
              <w:rPr>
                <w:rFonts w:ascii="Verdana" w:hAnsi="Verdana"/>
                <w:b/>
                <w:bCs/>
                <w:highlight w:val="green"/>
              </w:rPr>
              <w:t>PT-65</w:t>
            </w:r>
          </w:p>
          <w:p w:rsidR="005D5F47" w:rsidRDefault="005D5F47" w:rsidP="00636754">
            <w:pPr>
              <w:rPr>
                <w:i/>
                <w:sz w:val="16"/>
                <w:szCs w:val="16"/>
              </w:rPr>
            </w:pPr>
          </w:p>
          <w:p w:rsidR="005D5F47" w:rsidRDefault="005D5F47" w:rsidP="00636754"/>
          <w:p w:rsidR="005D5F47" w:rsidRDefault="005D5F47" w:rsidP="00636754">
            <w:pPr>
              <w:rPr>
                <w:i/>
                <w:sz w:val="18"/>
              </w:rPr>
            </w:pPr>
            <w:r>
              <w:rPr>
                <w:i/>
                <w:sz w:val="18"/>
              </w:rPr>
              <w:t>g</w:t>
            </w:r>
            <w:r w:rsidRPr="000B79A7">
              <w:rPr>
                <w:i/>
                <w:sz w:val="18"/>
              </w:rPr>
              <w:t xml:space="preserve">rant </w:t>
            </w:r>
            <w:r>
              <w:rPr>
                <w:i/>
                <w:sz w:val="18"/>
              </w:rPr>
              <w:t>P&amp;T / grantp&amp;t</w:t>
            </w:r>
          </w:p>
          <w:p w:rsidR="005D5F47" w:rsidRDefault="005D5F47" w:rsidP="00636754">
            <w:pPr>
              <w:rPr>
                <w:i/>
                <w:sz w:val="18"/>
              </w:rPr>
            </w:pPr>
          </w:p>
          <w:p w:rsidR="005D5F47" w:rsidRDefault="005D5F47" w:rsidP="00636754">
            <w:r w:rsidRPr="001D615F">
              <w:rPr>
                <w:bCs/>
              </w:rPr>
              <w:t>also see</w:t>
            </w:r>
            <w:r>
              <w:rPr>
                <w:bCs/>
              </w:rPr>
              <w:t xml:space="preserve"> </w:t>
            </w:r>
            <w:r>
              <w:rPr>
                <w:rFonts w:ascii="Verdana" w:hAnsi="Verdana"/>
                <w:b/>
                <w:bCs/>
                <w:highlight w:val="green"/>
              </w:rPr>
              <w:t>EXAMG</w:t>
            </w:r>
            <w:r w:rsidRPr="001D615F">
              <w:rPr>
                <w:bCs/>
              </w:rPr>
              <w:t xml:space="preserve"> &amp;</w:t>
            </w:r>
            <w:r w:rsidRPr="001D615F">
              <w:rPr>
                <w:rFonts w:ascii="Verdana" w:hAnsi="Verdana"/>
                <w:b/>
                <w:bCs/>
              </w:rPr>
              <w:t xml:space="preserve"> </w:t>
            </w:r>
            <w:r>
              <w:rPr>
                <w:rFonts w:ascii="Verdana" w:hAnsi="Verdana"/>
                <w:b/>
                <w:bCs/>
                <w:highlight w:val="green"/>
              </w:rPr>
              <w:t>PT-EX</w:t>
            </w:r>
            <w:r w:rsidRPr="001D615F">
              <w:rPr>
                <w:bCs/>
              </w:rPr>
              <w:t xml:space="preserve"> &amp; </w:t>
            </w:r>
            <w:r>
              <w:rPr>
                <w:rFonts w:ascii="Verdana" w:hAnsi="Verdana"/>
                <w:b/>
                <w:bCs/>
                <w:highlight w:val="green"/>
              </w:rPr>
              <w:t>PT-MED</w:t>
            </w:r>
          </w:p>
        </w:tc>
        <w:tc>
          <w:tcPr>
            <w:tcW w:w="4371"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rsidRPr="00CC1867">
              <w:t>We have determined that you are unable to secure and follow a substantially gainful occupation due to your age and disability. You are {} years old and you are not employed. You meet the basic eligibility requirements for nonservice connected pension as you are either age 65 or older, or have been deemed disabled by the commissioner of Social Security, and have the requisite wartime service for VA pension purposes. The cited medical evidence shows that you are disabled due to your disabilities of {}. Entitlement to nonservice connected disability pension is established effective {}, the date that we received your claim.</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5D5F47" w:rsidP="00636754">
            <w:pPr>
              <w:rPr>
                <w:i/>
                <w:sz w:val="16"/>
                <w:szCs w:val="16"/>
              </w:rPr>
            </w:pPr>
            <w:r>
              <w:rPr>
                <w:rFonts w:ascii="Verdana" w:hAnsi="Verdana"/>
                <w:b/>
                <w:bCs/>
                <w:highlight w:val="green"/>
              </w:rPr>
              <w:t>PT-D</w:t>
            </w:r>
            <w:r>
              <w:rPr>
                <w:i/>
                <w:sz w:val="16"/>
                <w:szCs w:val="16"/>
              </w:rPr>
              <w:t xml:space="preserve"> </w:t>
            </w:r>
          </w:p>
          <w:p w:rsidR="005D5F47" w:rsidRDefault="005D5F47" w:rsidP="00636754"/>
          <w:p w:rsidR="005D5F47" w:rsidRPr="00153214" w:rsidRDefault="005D5F47" w:rsidP="00636754">
            <w:pPr>
              <w:pStyle w:val="Header"/>
              <w:tabs>
                <w:tab w:val="clear" w:pos="4320"/>
                <w:tab w:val="clear" w:pos="8640"/>
              </w:tabs>
              <w:rPr>
                <w:i/>
                <w:sz w:val="18"/>
                <w:szCs w:val="18"/>
              </w:rPr>
            </w:pPr>
            <w:r>
              <w:rPr>
                <w:i/>
                <w:sz w:val="18"/>
              </w:rPr>
              <w:t>deny P&amp;T / denyp&amp;t</w:t>
            </w:r>
          </w:p>
        </w:tc>
        <w:tc>
          <w:tcPr>
            <w:tcW w:w="4371"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rsidRPr="009723A9">
              <w:t xml:space="preserve">You are {} years old, have a level of education reported as {} and last worked in {} as a {}. Entitlement to non-service-connected pension is granted to Veterans who are basically eligible and who are unable to secure and follow a substantially gainful occupation by reason of disability which is likely to be permanent. Permanent and total disability for pension purposes is held to exist when the Veteran is, in the judgment of the rating agency, unable to secure or follow a substantially gainful occupation as the result of such disability (ies). The evidence of record fails to demonstrate that you are unable to secure or follow a substantially gainful occupation as the result of disability. Our letter to you dated {} asked you to provide us with additional information in support of your claim for VA pension benefits. </w:t>
            </w:r>
            <w:r w:rsidRPr="003C556A">
              <w:rPr>
                <w:highlight w:val="yellow"/>
              </w:rPr>
              <w:t>If applicable &lt;&gt;&lt;&gt; &lt;&gt;</w:t>
            </w:r>
            <w:r w:rsidRPr="009723A9">
              <w:t xml:space="preserve"> Based on the evidence of record, entitlement to nonservice-connected disability pension is not established.</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5D5F47" w:rsidRPr="00DA3E79" w:rsidRDefault="005D5F47" w:rsidP="00636754">
            <w:r>
              <w:rPr>
                <w:rFonts w:ascii="Verdana" w:hAnsi="Verdana"/>
                <w:b/>
                <w:bCs/>
                <w:highlight w:val="green"/>
              </w:rPr>
              <w:lastRenderedPageBreak/>
              <w:t>PT-EX</w:t>
            </w:r>
          </w:p>
          <w:p w:rsidR="005D5F47" w:rsidRDefault="005D5F47" w:rsidP="00636754"/>
          <w:p w:rsidR="005D5F47" w:rsidRDefault="005D5F47" w:rsidP="00636754">
            <w:pPr>
              <w:rPr>
                <w:i/>
                <w:sz w:val="18"/>
              </w:rPr>
            </w:pPr>
            <w:r>
              <w:rPr>
                <w:i/>
                <w:sz w:val="18"/>
              </w:rPr>
              <w:t>g</w:t>
            </w:r>
            <w:r w:rsidRPr="000B79A7">
              <w:rPr>
                <w:i/>
                <w:sz w:val="18"/>
              </w:rPr>
              <w:t xml:space="preserve">rant </w:t>
            </w:r>
            <w:r>
              <w:rPr>
                <w:i/>
                <w:sz w:val="18"/>
              </w:rPr>
              <w:t>P&amp;T / grantp&amp;t</w:t>
            </w:r>
          </w:p>
          <w:p w:rsidR="005D5F47" w:rsidRDefault="005D5F47" w:rsidP="00636754">
            <w:pPr>
              <w:rPr>
                <w:i/>
                <w:sz w:val="18"/>
              </w:rPr>
            </w:pPr>
          </w:p>
          <w:p w:rsidR="005D5F47" w:rsidRPr="00510E18" w:rsidRDefault="005D5F47" w:rsidP="00636754">
            <w:pPr>
              <w:rPr>
                <w:highlight w:val="lightGray"/>
              </w:rPr>
            </w:pPr>
            <w:r w:rsidRPr="001D615F">
              <w:rPr>
                <w:bCs/>
              </w:rPr>
              <w:t>also see</w:t>
            </w:r>
            <w:r w:rsidRPr="001D615F">
              <w:rPr>
                <w:rFonts w:ascii="Verdana" w:hAnsi="Verdana"/>
                <w:b/>
                <w:bCs/>
              </w:rPr>
              <w:t xml:space="preserve"> </w:t>
            </w:r>
            <w:r>
              <w:rPr>
                <w:rFonts w:ascii="Verdana" w:hAnsi="Verdana"/>
                <w:b/>
                <w:bCs/>
                <w:highlight w:val="green"/>
              </w:rPr>
              <w:t>EXAMG</w:t>
            </w:r>
            <w:r w:rsidRPr="00494A88">
              <w:rPr>
                <w:bCs/>
              </w:rPr>
              <w:t xml:space="preserve"> &amp;</w:t>
            </w:r>
            <w:r w:rsidRPr="00494A88">
              <w:rPr>
                <w:rFonts w:ascii="Verdana" w:hAnsi="Verdana"/>
                <w:b/>
                <w:bCs/>
              </w:rPr>
              <w:t xml:space="preserve"> </w:t>
            </w:r>
            <w:r>
              <w:rPr>
                <w:rFonts w:ascii="Verdana" w:hAnsi="Verdana"/>
                <w:b/>
                <w:bCs/>
                <w:highlight w:val="green"/>
              </w:rPr>
              <w:t>PT-65</w:t>
            </w:r>
            <w:r w:rsidRPr="00494A88">
              <w:rPr>
                <w:bCs/>
              </w:rPr>
              <w:t xml:space="preserve"> &amp;</w:t>
            </w:r>
            <w:r w:rsidRPr="00494A88">
              <w:rPr>
                <w:rFonts w:ascii="Verdana" w:hAnsi="Verdana"/>
                <w:b/>
                <w:bCs/>
              </w:rPr>
              <w:t xml:space="preserve"> </w:t>
            </w:r>
            <w:r>
              <w:rPr>
                <w:rFonts w:ascii="Verdana" w:hAnsi="Verdana"/>
                <w:b/>
                <w:bCs/>
                <w:highlight w:val="green"/>
              </w:rPr>
              <w:t>PT-MED</w:t>
            </w:r>
          </w:p>
        </w:tc>
        <w:tc>
          <w:tcPr>
            <w:tcW w:w="4371" w:type="pct"/>
            <w:tcBorders>
              <w:top w:val="single" w:sz="4" w:space="0" w:color="auto"/>
              <w:left w:val="single" w:sz="4" w:space="0" w:color="auto"/>
              <w:bottom w:val="single" w:sz="4" w:space="0" w:color="auto"/>
              <w:right w:val="single" w:sz="4" w:space="0" w:color="auto"/>
            </w:tcBorders>
            <w:vAlign w:val="center"/>
            <w:hideMark/>
          </w:tcPr>
          <w:p w:rsidR="005D5F47" w:rsidRPr="00510E18" w:rsidRDefault="005D5F47" w:rsidP="00636754">
            <w:pPr>
              <w:rPr>
                <w:highlight w:val="lightGray"/>
              </w:rPr>
            </w:pPr>
            <w:r w:rsidRPr="009723A9">
              <w:t>We have granted entitlement to non-service-connected pension benefits because the evidence shows that you are unable to maintain substantially gainful employment due to your disability(ies). Entitlement to non-service-connected pension is granted to Veterans who are eligible and who are unable to secure and follow a substantially gainful occupation due to a disability(ies) which is likely to be permanent. Permanent and total disability for pension purposes is held to exist when there is a single disability ratable at 60 percent or more, or where there are two or more disabilities with a combined evaluation of 70 percent or more, with at least one of the disabilities rated at least 40 percent, and the Veteran is, in the judgment of the rating agency, unable to secure or follow a substantially gainful occupation as the result of such disability(ies). Where the evidence fails to establish the basic disability percentage requirements, consideration is given to extraschedular entitlement to non-service-connected pension based on such factors as the degree and nature of the disability, your age, educational and occupational background or other factors pertinent to each individual case. You are {} years old, and the evidence shows that you are disabled due to {}, among other disabilities. You do not meet the schedular requirements of a single disability ratable at 60 percent or more, or two or more disabilities combining to 70 percent with at least one ratable at 40 percent. However, considering the level of your disability(ies) and other factors, such as your age, education and occupational background, extraschedular entitlement to non-service-connected pension is granted subject to approval by the Pension Center Manager. Therefore, entitlement to non-service connected disability benefits is warranted as allowed under 38 CFR 3.321(b)(2). The effective date for your entitlement to non-service-connected pension benefits is {}, the date that we received your claim.</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5D5F47" w:rsidRPr="00DA3E79" w:rsidRDefault="005D5F47" w:rsidP="00636754">
            <w:r>
              <w:rPr>
                <w:rFonts w:ascii="Verdana" w:hAnsi="Verdana"/>
                <w:b/>
                <w:bCs/>
                <w:highlight w:val="green"/>
              </w:rPr>
              <w:t>PT-MED</w:t>
            </w:r>
          </w:p>
          <w:p w:rsidR="005D5F47" w:rsidRDefault="005D5F47" w:rsidP="00636754"/>
          <w:p w:rsidR="005D5F47" w:rsidRDefault="005D5F47" w:rsidP="00636754">
            <w:pPr>
              <w:rPr>
                <w:i/>
                <w:sz w:val="18"/>
              </w:rPr>
            </w:pPr>
            <w:r>
              <w:rPr>
                <w:i/>
                <w:sz w:val="18"/>
              </w:rPr>
              <w:t>g</w:t>
            </w:r>
            <w:r w:rsidRPr="000B79A7">
              <w:rPr>
                <w:i/>
                <w:sz w:val="18"/>
              </w:rPr>
              <w:t xml:space="preserve">rant </w:t>
            </w:r>
            <w:r>
              <w:rPr>
                <w:i/>
                <w:sz w:val="18"/>
              </w:rPr>
              <w:t>P&amp;T / grantp&amp;t</w:t>
            </w:r>
          </w:p>
          <w:p w:rsidR="005D5F47" w:rsidRDefault="005D5F47" w:rsidP="00636754">
            <w:pPr>
              <w:rPr>
                <w:i/>
                <w:sz w:val="18"/>
              </w:rPr>
            </w:pPr>
          </w:p>
          <w:p w:rsidR="005D5F47" w:rsidRPr="00153214" w:rsidRDefault="005D5F47" w:rsidP="00636754">
            <w:pPr>
              <w:rPr>
                <w:i/>
                <w:sz w:val="18"/>
                <w:szCs w:val="18"/>
              </w:rPr>
            </w:pPr>
            <w:r w:rsidRPr="001D615F">
              <w:rPr>
                <w:bCs/>
              </w:rPr>
              <w:t>also see</w:t>
            </w:r>
            <w:r>
              <w:rPr>
                <w:bCs/>
              </w:rPr>
              <w:t xml:space="preserve"> </w:t>
            </w:r>
            <w:r>
              <w:rPr>
                <w:rFonts w:ascii="Verdana" w:hAnsi="Verdana"/>
                <w:b/>
                <w:bCs/>
                <w:highlight w:val="green"/>
              </w:rPr>
              <w:t>EXAMG</w:t>
            </w:r>
            <w:r w:rsidRPr="00494A88">
              <w:rPr>
                <w:bCs/>
              </w:rPr>
              <w:t xml:space="preserve"> &amp;</w:t>
            </w:r>
            <w:r w:rsidRPr="00494A88">
              <w:rPr>
                <w:rFonts w:ascii="Verdana" w:hAnsi="Verdana"/>
                <w:b/>
                <w:bCs/>
              </w:rPr>
              <w:t xml:space="preserve"> </w:t>
            </w:r>
            <w:r>
              <w:rPr>
                <w:rFonts w:ascii="Verdana" w:hAnsi="Verdana"/>
                <w:b/>
                <w:bCs/>
                <w:highlight w:val="green"/>
              </w:rPr>
              <w:t>PT-65</w:t>
            </w:r>
            <w:r w:rsidRPr="00494A88">
              <w:rPr>
                <w:bCs/>
              </w:rPr>
              <w:t xml:space="preserve"> &amp;</w:t>
            </w:r>
            <w:r w:rsidRPr="00494A88">
              <w:rPr>
                <w:rFonts w:ascii="Verdana" w:hAnsi="Verdana"/>
                <w:b/>
                <w:bCs/>
              </w:rPr>
              <w:t xml:space="preserve"> </w:t>
            </w:r>
            <w:r>
              <w:rPr>
                <w:rFonts w:ascii="Verdana" w:hAnsi="Verdana"/>
                <w:b/>
                <w:bCs/>
                <w:highlight w:val="green"/>
              </w:rPr>
              <w:t>PT-EX</w:t>
            </w:r>
          </w:p>
        </w:tc>
        <w:tc>
          <w:tcPr>
            <w:tcW w:w="4371" w:type="pct"/>
            <w:tcBorders>
              <w:top w:val="single" w:sz="4" w:space="0" w:color="auto"/>
              <w:left w:val="single" w:sz="4" w:space="0" w:color="auto"/>
              <w:bottom w:val="single" w:sz="4" w:space="0" w:color="auto"/>
              <w:right w:val="single" w:sz="4" w:space="0" w:color="auto"/>
            </w:tcBorders>
            <w:vAlign w:val="center"/>
            <w:hideMark/>
          </w:tcPr>
          <w:p w:rsidR="005D5F47" w:rsidRDefault="005D5F47" w:rsidP="00636754">
            <w:r w:rsidRPr="009723A9">
              <w:t>We have granted entitlement to non-service-connected pension benefits because the evidence shows that you are unable to maintain substantially gainful employment due to your disability(ies). Entitlement to non-service-connected pension is granted to Veterans who are eligible and unable to secure and follow a substantially gainful occupation because of a disability that is likely to be permanent. Permanent and total disability for pension purposes is when a Veteran has a single disability ratable at 60 percent or more, or where there are two or more disabilities with a combined evaluation of 70 percent or more, with at least one of the disabilities rated at least 40 percent, and the Veteran is, in the judgment of the rating agency, unable to secure or follow a substantially gainful occupation as the result of such disability(ies). You are {} years old, and the evidence shows that you are disabled due to {}. The effective date for your entitlement to non-service-connected pension benefits is {}, the date that we received your claim.</w:t>
            </w:r>
          </w:p>
        </w:tc>
      </w:tr>
      <w:bookmarkStart w:id="34" w:name="_Hlk516550797"/>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5D5F47" w:rsidRDefault="00C83B2C" w:rsidP="00CF76D5">
            <w:pPr>
              <w:rPr>
                <w:rFonts w:ascii="Verdana" w:hAnsi="Verdana"/>
                <w:b/>
                <w:bCs/>
              </w:rPr>
            </w:pPr>
            <w:r>
              <w:fldChar w:fldCharType="begin"/>
            </w:r>
            <w:r>
              <w:instrText xml:space="preserve"> HYPERLINK "https://www.vbms.vba.va.gov/rating/webapp/secure/file/work" </w:instrText>
            </w:r>
            <w:r>
              <w:fldChar w:fldCharType="separate"/>
            </w:r>
            <w:r w:rsidR="00CF76D5">
              <w:rPr>
                <w:rFonts w:ascii="Verdana" w:hAnsi="Verdana"/>
                <w:b/>
                <w:bCs/>
                <w:highlight w:val="green"/>
              </w:rPr>
              <w:t>PTSD3304</w:t>
            </w:r>
            <w:r>
              <w:rPr>
                <w:rFonts w:ascii="Verdana" w:hAnsi="Verdana"/>
                <w:b/>
                <w:bCs/>
                <w:highlight w:val="green"/>
              </w:rPr>
              <w:fldChar w:fldCharType="end"/>
            </w:r>
          </w:p>
          <w:bookmarkEnd w:id="34"/>
          <w:p w:rsidR="00CF76D5" w:rsidRDefault="00CF76D5" w:rsidP="00CF76D5">
            <w:pPr>
              <w:rPr>
                <w:bCs/>
              </w:rPr>
            </w:pPr>
          </w:p>
          <w:p w:rsidR="00CF76D5" w:rsidRPr="00153214" w:rsidRDefault="00CF76D5" w:rsidP="00CF76D5">
            <w:pPr>
              <w:rPr>
                <w:sz w:val="18"/>
                <w:szCs w:val="18"/>
              </w:rPr>
            </w:pPr>
            <w:r>
              <w:rPr>
                <w:bCs/>
              </w:rPr>
              <w:t xml:space="preserve">*may also want </w:t>
            </w:r>
            <w:r>
              <w:rPr>
                <w:rFonts w:ascii="Verdana" w:hAnsi="Verdana"/>
                <w:b/>
                <w:bCs/>
                <w:highlight w:val="green"/>
              </w:rPr>
              <w:t>PTSD_C</w:t>
            </w:r>
          </w:p>
        </w:tc>
        <w:tc>
          <w:tcPr>
            <w:tcW w:w="4372" w:type="pct"/>
            <w:tcBorders>
              <w:top w:val="single" w:sz="4" w:space="0" w:color="auto"/>
              <w:left w:val="single" w:sz="4" w:space="0" w:color="auto"/>
              <w:bottom w:val="single" w:sz="4" w:space="0" w:color="auto"/>
              <w:right w:val="single" w:sz="4" w:space="0" w:color="auto"/>
            </w:tcBorders>
            <w:vAlign w:val="center"/>
            <w:hideMark/>
          </w:tcPr>
          <w:p w:rsidR="005D5F47" w:rsidRDefault="005D5F47" w:rsidP="00636754">
            <w:bookmarkStart w:id="35" w:name="_Hlk516550832"/>
            <w:r w:rsidRPr="009723A9">
              <w:t>We took your statement as evidence of the claimed stressful experience or stressor. The VA examiner related the stressor to fear of hostile military or terrorist activity, and the VA examiner linked your symptoms to the stressor.</w:t>
            </w:r>
            <w:bookmarkEnd w:id="35"/>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D571C5" w:rsidP="00636754">
            <w:hyperlink r:id="rId253" w:history="1">
              <w:r w:rsidR="005D5F47">
                <w:t>PY1</w:t>
              </w:r>
            </w:hyperlink>
          </w:p>
          <w:p w:rsidR="005D5F47" w:rsidRDefault="005D5F47" w:rsidP="00636754"/>
          <w:p w:rsidR="005D5F47" w:rsidRDefault="005D5F47" w:rsidP="00636754">
            <w:r>
              <w:rPr>
                <w:i/>
                <w:sz w:val="18"/>
                <w:szCs w:val="18"/>
              </w:rPr>
              <w:t>4.14, p</w:t>
            </w:r>
            <w:r w:rsidRPr="00153214">
              <w:rPr>
                <w:i/>
                <w:sz w:val="18"/>
                <w:szCs w:val="18"/>
              </w:rPr>
              <w:t>yramiding</w:t>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t>The evaluation of the same disability under various diagnoses is to be avoided. Disability from injuries to the muscles, nerves, and joints of an extremity may overlap to a great extent, so that special rules are included in the appropriate bodily system for their evaluation. Dyspnea, tachycardia, nervousness, fatigability, etc., may result from many causes; some may be service-connected, others, not. Both the use of manifestations not resulting from service-connected disease or injury in establishing the service connected evaluation and the evaluation of the same manifestation under different diagnoses are to be avoided.</w:t>
            </w:r>
          </w:p>
          <w:p w:rsidR="00E4323A" w:rsidRDefault="00E4323A" w:rsidP="00636754"/>
          <w:p w:rsidR="00E4323A" w:rsidRDefault="00E4323A" w:rsidP="00636754">
            <w:pPr>
              <w:overflowPunct/>
              <w:textAlignment w:val="auto"/>
            </w:pPr>
            <w:r>
              <w:t xml:space="preserve">{} </w:t>
            </w:r>
            <w:r>
              <w:rPr>
                <w:rFonts w:ascii="Times New Roman" w:hAnsi="Times New Roman" w:cs="Times New Roman"/>
                <w:sz w:val="23"/>
                <w:szCs w:val="23"/>
              </w:rPr>
              <w:t xml:space="preserve">does not warrant a </w:t>
            </w:r>
            <w:r>
              <w:rPr>
                <w:rFonts w:ascii="Times New Roman" w:hAnsi="Times New Roman" w:cs="Times New Roman"/>
                <w:sz w:val="24"/>
                <w:szCs w:val="24"/>
              </w:rPr>
              <w:t xml:space="preserve">separate evaluation because </w:t>
            </w:r>
            <w:r>
              <w:rPr>
                <w:rFonts w:ascii="Times New Roman" w:hAnsi="Times New Roman" w:cs="Times New Roman"/>
                <w:sz w:val="22"/>
                <w:szCs w:val="22"/>
              </w:rPr>
              <w:t xml:space="preserve">it </w:t>
            </w:r>
            <w:r>
              <w:rPr>
                <w:rFonts w:ascii="Times New Roman" w:hAnsi="Times New Roman" w:cs="Times New Roman"/>
                <w:sz w:val="23"/>
                <w:szCs w:val="23"/>
              </w:rPr>
              <w:t>affects the same anatomical part and produces the same symptoms as {}.</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EA44DF" w:rsidRDefault="00D571C5" w:rsidP="00EA44DF">
            <w:hyperlink r:id="rId254" w:history="1">
              <w:r w:rsidR="00EA44DF">
                <w:rPr>
                  <w:rFonts w:ascii="Verdana" w:hAnsi="Verdana"/>
                  <w:b/>
                  <w:bCs/>
                  <w:highlight w:val="green"/>
                </w:rPr>
                <w:t>RE1</w:t>
              </w:r>
            </w:hyperlink>
          </w:p>
          <w:p w:rsidR="005D5F47" w:rsidRDefault="005D5F47" w:rsidP="00636754"/>
          <w:p w:rsidR="005D5F47" w:rsidRDefault="005D5F47" w:rsidP="00636754">
            <w:r w:rsidRPr="00153214">
              <w:rPr>
                <w:i/>
                <w:sz w:val="18"/>
                <w:szCs w:val="18"/>
              </w:rPr>
              <w:t>proposed reduction</w:t>
            </w:r>
            <w:r>
              <w:rPr>
                <w:i/>
                <w:sz w:val="18"/>
                <w:szCs w:val="18"/>
              </w:rPr>
              <w:t xml:space="preserve"> including SMC HB</w:t>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t>If the proposed reduction takes effect, your combined evaluation will be {} percent. Additionally, if this proposed reduction takes place you will no longer be entitled to special monthly compensation at the housebound rate, and will only be entitled to special monthly compensation based on the loss of use of a creative organ.</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Pr="00044D40" w:rsidRDefault="00D571C5" w:rsidP="00636754">
            <w:pPr>
              <w:rPr>
                <w:rFonts w:ascii="Verdana" w:hAnsi="Verdana"/>
                <w:b/>
              </w:rPr>
            </w:pPr>
            <w:hyperlink r:id="rId255" w:history="1">
              <w:r w:rsidR="005D5F47" w:rsidRPr="00044D40">
                <w:rPr>
                  <w:rFonts w:ascii="Verdana" w:hAnsi="Verdana"/>
                  <w:b/>
                  <w:highlight w:val="green"/>
                </w:rPr>
                <w:t>SA1</w:t>
              </w:r>
            </w:hyperlink>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t>Service connection may be established for a disability which was incurred in or caused by military service if such disability was not the result of alcohol or drug abuse. Disabilities caused by or incurred due to alcohol or drug abuse are not considered to have occurred in the line of duty.</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D5F47" w:rsidRDefault="00D571C5" w:rsidP="00636754">
            <w:hyperlink r:id="rId256" w:history="1">
              <w:r w:rsidR="005D5F47">
                <w:rPr>
                  <w:rFonts w:ascii="Verdana" w:hAnsi="Verdana"/>
                  <w:b/>
                  <w:bCs/>
                  <w:highlight w:val="green"/>
                </w:rPr>
                <w:t>SE1</w:t>
              </w:r>
            </w:hyperlink>
          </w:p>
          <w:p w:rsidR="005D5F47" w:rsidRDefault="005D5F47" w:rsidP="00636754"/>
          <w:p w:rsidR="005D5F47" w:rsidRDefault="005D5F47" w:rsidP="00636754">
            <w:pPr>
              <w:rPr>
                <w:i/>
                <w:sz w:val="18"/>
              </w:rPr>
            </w:pPr>
            <w:r w:rsidRPr="00422DF5">
              <w:rPr>
                <w:i/>
                <w:sz w:val="18"/>
              </w:rPr>
              <w:t>INDUTRA &amp; A</w:t>
            </w:r>
            <w:r>
              <w:rPr>
                <w:i/>
                <w:sz w:val="18"/>
              </w:rPr>
              <w:t>C</w:t>
            </w:r>
            <w:r w:rsidRPr="00422DF5">
              <w:rPr>
                <w:i/>
                <w:sz w:val="18"/>
              </w:rPr>
              <w:t>DUTRA</w:t>
            </w:r>
          </w:p>
          <w:p w:rsidR="005D5F47" w:rsidRDefault="005D5F47" w:rsidP="00636754">
            <w:pPr>
              <w:rPr>
                <w:i/>
                <w:sz w:val="18"/>
              </w:rPr>
            </w:pPr>
          </w:p>
          <w:p w:rsidR="005D5F47" w:rsidRDefault="005D5F47" w:rsidP="00636754">
            <w:r>
              <w:rPr>
                <w:i/>
                <w:sz w:val="18"/>
              </w:rPr>
              <w:t>IADT &amp; ADT</w:t>
            </w:r>
          </w:p>
        </w:tc>
        <w:tc>
          <w:tcPr>
            <w:tcW w:w="4372" w:type="pct"/>
            <w:tcBorders>
              <w:top w:val="single" w:sz="4" w:space="0" w:color="auto"/>
              <w:left w:val="single" w:sz="4" w:space="0" w:color="auto"/>
              <w:bottom w:val="single" w:sz="4" w:space="0" w:color="auto"/>
              <w:right w:val="single" w:sz="4" w:space="0" w:color="auto"/>
            </w:tcBorders>
            <w:shd w:val="clear" w:color="auto" w:fill="auto"/>
            <w:vAlign w:val="center"/>
          </w:tcPr>
          <w:p w:rsidR="005D5F47" w:rsidRDefault="005D5F47" w:rsidP="00636754">
            <w:r>
              <w:t>Active military service includes active duty or any period of active duty for training during which the individual concerned was disabled or died from a disease or injury incurred or aggravated in line of duty. "Active duty" means full-time duty in the Armed Forces, other than active duty for training. "Active duty for training" means full-time duty in the Armed Forces performed by Reserves for training purposes. Disabilities caused by a disease process cannot be service connected if they are discovered during a period of inactive duty for training. Service connection may be warranted for an injury incurred or aggravated while performing inactive duty for training. Service connection may also be warranted for an acute myocardial infarction, a cardiac arrest, or a cerebrovascular accident which occurred during inactive duty for training.</w:t>
            </w:r>
          </w:p>
          <w:p w:rsidR="005D5F47" w:rsidRDefault="005D5F47" w:rsidP="00636754"/>
          <w:p w:rsidR="00FC39B3" w:rsidRDefault="00FC39B3" w:rsidP="00636754"/>
          <w:p w:rsidR="005D5F47" w:rsidRDefault="005D5F47" w:rsidP="00636754">
            <w:pPr>
              <w:widowControl w:val="0"/>
              <w:tabs>
                <w:tab w:val="left" w:pos="144"/>
              </w:tabs>
            </w:pPr>
            <w:r>
              <w:t>OR</w:t>
            </w:r>
          </w:p>
          <w:p w:rsidR="005D5F47" w:rsidRDefault="005D5F47" w:rsidP="00636754">
            <w:pPr>
              <w:widowControl w:val="0"/>
              <w:tabs>
                <w:tab w:val="left" w:pos="144"/>
              </w:tabs>
            </w:pPr>
            <w:r>
              <w:t>Please note that we can only establish service connection for</w:t>
            </w:r>
            <w:r>
              <w:rPr>
                <w:b/>
                <w:bCs/>
              </w:rPr>
              <w:t xml:space="preserve"> death or injury/disease</w:t>
            </w:r>
            <w:r>
              <w:t xml:space="preserve"> (including myocardial infarction and stroke) that occur while performing, or in transit to or from, </w:t>
            </w:r>
            <w:r>
              <w:rPr>
                <w:u w:val="single"/>
              </w:rPr>
              <w:t>active</w:t>
            </w:r>
            <w:r>
              <w:t xml:space="preserve"> duty for training. We can also grant service connection for</w:t>
            </w:r>
            <w:r>
              <w:rPr>
                <w:b/>
                <w:bCs/>
              </w:rPr>
              <w:t xml:space="preserve"> death or injury</w:t>
            </w:r>
            <w:r>
              <w:t xml:space="preserve"> that occur while performing, or in transit to or from, </w:t>
            </w:r>
            <w:r>
              <w:rPr>
                <w:u w:val="single"/>
              </w:rPr>
              <w:t>inactive</w:t>
            </w:r>
            <w:r>
              <w:t xml:space="preserve"> duty for training. All other diseases are excluded from service connection based on reserve status or active/inactive duty for training.</w:t>
            </w:r>
          </w:p>
          <w:p w:rsidR="005D5F47" w:rsidRDefault="005D5F47" w:rsidP="00636754">
            <w:pPr>
              <w:widowControl w:val="0"/>
              <w:tabs>
                <w:tab w:val="left" w:pos="144"/>
              </w:tabs>
            </w:pPr>
            <w:r>
              <w:t>OR</w:t>
            </w:r>
          </w:p>
          <w:p w:rsidR="005D5F47" w:rsidRDefault="005D5F47" w:rsidP="00636754">
            <w:pPr>
              <w:widowControl w:val="0"/>
              <w:tabs>
                <w:tab w:val="left" w:pos="144"/>
              </w:tabs>
            </w:pPr>
            <w:r>
              <w:rPr>
                <w:i/>
                <w:iCs/>
              </w:rPr>
              <w:t>if injury (including myocardial infarction and stroke):</w:t>
            </w:r>
          </w:p>
          <w:p w:rsidR="005D5F47" w:rsidRDefault="005D5F47" w:rsidP="00636754">
            <w:pPr>
              <w:widowControl w:val="0"/>
              <w:tabs>
                <w:tab w:val="left" w:pos="144"/>
              </w:tabs>
            </w:pPr>
            <w:r>
              <w:rPr>
                <w:rFonts w:ascii="Verdana" w:hAnsi="Verdana"/>
                <w:b/>
                <w:bCs/>
                <w:highlight w:val="green"/>
              </w:rPr>
              <w:t>ACK_SX</w:t>
            </w:r>
            <w:r w:rsidRPr="00E2441B">
              <w:t xml:space="preserve"> The evidence does not show an event, disease or injury during active duty service. Your active duty service treatment records do not contain complaints, treatment, or diagnosis for this condition. </w:t>
            </w:r>
            <w:r>
              <w:t>Although the reserve treatment records show you were treated for {} in {}, this is not during your active duty period and there is no evidence of a {} injury while performing, or in transit to or from, active or inactive duty for training.</w:t>
            </w:r>
          </w:p>
          <w:p w:rsidR="005D5F47" w:rsidRDefault="005D5F47" w:rsidP="00636754">
            <w:pPr>
              <w:widowControl w:val="0"/>
              <w:tabs>
                <w:tab w:val="left" w:pos="144"/>
              </w:tabs>
            </w:pPr>
            <w:r>
              <w:t>OR</w:t>
            </w:r>
          </w:p>
          <w:p w:rsidR="005D5F47" w:rsidRDefault="005D5F47" w:rsidP="00636754">
            <w:pPr>
              <w:widowControl w:val="0"/>
              <w:tabs>
                <w:tab w:val="left" w:pos="144"/>
              </w:tabs>
              <w:rPr>
                <w:i/>
                <w:iCs/>
              </w:rPr>
            </w:pPr>
            <w:r>
              <w:rPr>
                <w:i/>
                <w:iCs/>
              </w:rPr>
              <w:t>if disease:</w:t>
            </w:r>
          </w:p>
          <w:p w:rsidR="005D5F47" w:rsidRDefault="005D5F47" w:rsidP="00636754">
            <w:pPr>
              <w:widowControl w:val="0"/>
              <w:tabs>
                <w:tab w:val="left" w:pos="144"/>
              </w:tabs>
              <w:rPr>
                <w:sz w:val="22"/>
              </w:rPr>
            </w:pPr>
            <w:r>
              <w:rPr>
                <w:rFonts w:ascii="Verdana" w:hAnsi="Verdana"/>
                <w:b/>
                <w:bCs/>
                <w:highlight w:val="green"/>
              </w:rPr>
              <w:t>ACK_SX</w:t>
            </w:r>
            <w:r w:rsidRPr="00E2441B">
              <w:t xml:space="preserve"> The evidence does not show an event, disease or injury during active duty service. Your active duty service treatment records do not contain complaints, treatment, or diagnosis for this condition. </w:t>
            </w:r>
            <w:r>
              <w:t>Although the reserve treatment records show you were treated for {} in {}, this is not during your active duty period {and there is no evidence of {} while performing, or in transit to or from, active duty for training.}</w:t>
            </w:r>
          </w:p>
          <w:p w:rsidR="005D5F47" w:rsidRDefault="005D5F47" w:rsidP="00636754"/>
          <w:p w:rsidR="00737CE2" w:rsidRDefault="00A85818" w:rsidP="00737CE2">
            <w:r>
              <w:rPr>
                <w:b/>
                <w:bCs/>
                <w:iCs/>
              </w:rPr>
              <w:t>III.ii.3.C.7.a</w:t>
            </w:r>
            <w:r>
              <w:rPr>
                <w:bCs/>
                <w:iCs/>
              </w:rPr>
              <w:t xml:space="preserve"> - </w:t>
            </w:r>
            <w:r w:rsidRPr="00A85818">
              <w:t>In some situations, service connection (SC) is awarded for a death, disease, or injury incurred or aggravated during a period of duty other than full-time active duty in the Armed Forces.  In these situations, the period of duty during which the death, disease, or injury occurred is considered active military service for VA compensation purposes.</w:t>
            </w:r>
            <w:r>
              <w:t xml:space="preserve"> </w:t>
            </w:r>
            <w:r w:rsidRPr="00A85818">
              <w:rPr>
                <w:b/>
                <w:i/>
              </w:rPr>
              <w:t>Example</w:t>
            </w:r>
            <w:r w:rsidRPr="00A85818">
              <w:t xml:space="preserve">:  SC may be awarded for an injury incurred in the line of duty (LOD) during inactive duty for training (IADT).  Once it is determined that SC is in order for that injury, the period of IADT is considered active military service for VA compensation purposes. </w:t>
            </w:r>
          </w:p>
          <w:p w:rsidR="00737CE2" w:rsidRDefault="00737CE2" w:rsidP="00737CE2"/>
          <w:p w:rsidR="00737CE2" w:rsidRDefault="00737CE2" w:rsidP="00737CE2"/>
          <w:p w:rsidR="00737CE2" w:rsidRDefault="00E9724E" w:rsidP="00737CE2">
            <w:pPr>
              <w:widowControl w:val="0"/>
            </w:pPr>
            <w:r>
              <w:rPr>
                <w:b/>
              </w:rPr>
              <w:t>III.iv.4.D.1.c</w:t>
            </w:r>
            <w:r w:rsidR="00737CE2">
              <w:t xml:space="preserve"> -</w:t>
            </w:r>
            <w:r w:rsidR="00737CE2" w:rsidRPr="00812EC6">
              <w:t xml:space="preserve"> </w:t>
            </w:r>
            <w:r w:rsidR="00737CE2">
              <w:rPr>
                <w:b/>
              </w:rPr>
              <w:t>C</w:t>
            </w:r>
            <w:r w:rsidR="00737CE2" w:rsidRPr="00A57A67">
              <w:rPr>
                <w:b/>
              </w:rPr>
              <w:t>onsidering National Guard and Reserve Duty for Hearing Loss and/or Tinnitus claims</w:t>
            </w:r>
            <w:r w:rsidR="00737CE2">
              <w:t xml:space="preserve"> – 1</w:t>
            </w:r>
            <w:r w:rsidR="00737CE2" w:rsidRPr="00812EC6">
              <w:rPr>
                <w:vertAlign w:val="superscript"/>
              </w:rPr>
              <w:t>st</w:t>
            </w:r>
            <w:r w:rsidR="00737CE2">
              <w:t xml:space="preserve"> basis to consider should be active duty or active duty for training (ADT / ACDUTRA), 2</w:t>
            </w:r>
            <w:r w:rsidR="00737CE2" w:rsidRPr="00812EC6">
              <w:rPr>
                <w:vertAlign w:val="superscript"/>
              </w:rPr>
              <w:t>nd</w:t>
            </w:r>
            <w:r w:rsidR="00737CE2">
              <w:t xml:space="preserve"> basis should be “decrease in auditory acuity d/t military duties as a member of the National Guard or Reserves</w:t>
            </w:r>
            <w:r w:rsidR="001946CC">
              <w:t>,”</w:t>
            </w:r>
            <w:r w:rsidR="00737CE2">
              <w:t xml:space="preserve"> 3</w:t>
            </w:r>
            <w:r w:rsidR="00737CE2" w:rsidRPr="00812EC6">
              <w:rPr>
                <w:vertAlign w:val="superscript"/>
              </w:rPr>
              <w:t>rd</w:t>
            </w:r>
            <w:r w:rsidR="00737CE2">
              <w:t xml:space="preserve"> basis should be “injury” during inactive duty for training shown by nature of service, MOS, lay evidence or other competent evidence </w:t>
            </w:r>
          </w:p>
          <w:p w:rsidR="00737CE2" w:rsidRDefault="00737CE2" w:rsidP="00737CE2">
            <w:pPr>
              <w:rPr>
                <w:b/>
                <w:bCs/>
                <w:iCs/>
              </w:rPr>
            </w:pPr>
          </w:p>
          <w:p w:rsidR="00737CE2" w:rsidRDefault="00737CE2" w:rsidP="00737CE2">
            <w:pPr>
              <w:rPr>
                <w:b/>
                <w:bCs/>
                <w:iCs/>
              </w:rPr>
            </w:pPr>
          </w:p>
          <w:p w:rsidR="00A85818" w:rsidRPr="00344913" w:rsidRDefault="00A85818" w:rsidP="00737CE2">
            <w:r w:rsidRPr="00344913">
              <w:rPr>
                <w:b/>
                <w:bCs/>
                <w:iCs/>
              </w:rPr>
              <w:t>III.ii.3.C.7.d</w:t>
            </w:r>
            <w:r w:rsidRPr="00344913">
              <w:rPr>
                <w:bCs/>
                <w:iCs/>
              </w:rPr>
              <w:t xml:space="preserve"> - </w:t>
            </w:r>
            <w:r w:rsidRPr="00344913">
              <w:rPr>
                <w:b/>
              </w:rPr>
              <w:t>Updating VA Systems for Active Service Based on a Single Day of ADT or IADT</w:t>
            </w:r>
          </w:p>
          <w:p w:rsidR="00A85818" w:rsidRDefault="00A85818" w:rsidP="00636754"/>
          <w:p w:rsidR="007851FB" w:rsidRPr="00344913" w:rsidRDefault="007851FB" w:rsidP="00636754"/>
          <w:p w:rsidR="00A85818" w:rsidRPr="00344913" w:rsidRDefault="00A85818" w:rsidP="00636754">
            <w:r w:rsidRPr="00344913">
              <w:rPr>
                <w:b/>
                <w:bCs/>
                <w:iCs/>
              </w:rPr>
              <w:t>III.ii.3.C.7.e</w:t>
            </w:r>
            <w:r w:rsidRPr="00344913">
              <w:rPr>
                <w:bCs/>
                <w:iCs/>
              </w:rPr>
              <w:t xml:space="preserve"> – </w:t>
            </w:r>
            <w:r w:rsidRPr="00344913">
              <w:rPr>
                <w:b/>
              </w:rPr>
              <w:t>Updating VA Systems for Active Service Based on Multiple Periods of ADT or IADT</w:t>
            </w:r>
          </w:p>
          <w:p w:rsidR="00A85818" w:rsidRDefault="00A85818" w:rsidP="00636754"/>
          <w:p w:rsidR="007851FB" w:rsidRPr="00344913" w:rsidRDefault="007851FB" w:rsidP="00636754"/>
          <w:p w:rsidR="00A85818" w:rsidRDefault="00A85818" w:rsidP="00833346">
            <w:pPr>
              <w:rPr>
                <w:b/>
              </w:rPr>
            </w:pPr>
            <w:r w:rsidRPr="00344913">
              <w:rPr>
                <w:b/>
                <w:bCs/>
                <w:iCs/>
              </w:rPr>
              <w:t>III.ii.3.C.7.f</w:t>
            </w:r>
            <w:r w:rsidRPr="00344913">
              <w:rPr>
                <w:bCs/>
                <w:iCs/>
              </w:rPr>
              <w:t xml:space="preserve"> – </w:t>
            </w:r>
            <w:r w:rsidRPr="00344913">
              <w:rPr>
                <w:b/>
              </w:rPr>
              <w:t xml:space="preserve">Updating VA Systems for </w:t>
            </w:r>
            <w:r w:rsidR="004D11F8" w:rsidRPr="00344913">
              <w:rPr>
                <w:b/>
              </w:rPr>
              <w:t xml:space="preserve">Claims When </w:t>
            </w:r>
            <w:r w:rsidRPr="00344913">
              <w:rPr>
                <w:b/>
              </w:rPr>
              <w:t>ADT or IADT</w:t>
            </w:r>
            <w:r w:rsidR="003F6105" w:rsidRPr="00344913">
              <w:rPr>
                <w:b/>
              </w:rPr>
              <w:t xml:space="preserve"> </w:t>
            </w:r>
            <w:r w:rsidR="004D11F8" w:rsidRPr="00344913">
              <w:rPr>
                <w:b/>
              </w:rPr>
              <w:t>Is the Only Service</w:t>
            </w:r>
          </w:p>
          <w:p w:rsidR="00833346" w:rsidRPr="00833346" w:rsidRDefault="00833346" w:rsidP="00833346">
            <w:r>
              <w:lastRenderedPageBreak/>
              <w:t xml:space="preserve">In </w:t>
            </w:r>
            <w:r w:rsidRPr="00833346">
              <w:rPr>
                <w:i/>
              </w:rPr>
              <w:t>Participant Profile</w:t>
            </w:r>
            <w:r w:rsidRPr="00833346">
              <w:t>:</w:t>
            </w:r>
          </w:p>
          <w:p w:rsidR="00833346" w:rsidRDefault="00833346" w:rsidP="00F063AF">
            <w:pPr>
              <w:pStyle w:val="ListParagraph"/>
              <w:numPr>
                <w:ilvl w:val="0"/>
                <w:numId w:val="370"/>
              </w:numPr>
              <w:spacing w:after="0" w:line="240" w:lineRule="auto"/>
              <w:rPr>
                <w:rFonts w:ascii="Arial" w:hAnsi="Arial"/>
                <w:sz w:val="20"/>
                <w:szCs w:val="20"/>
              </w:rPr>
            </w:pPr>
            <w:r w:rsidRPr="00833346">
              <w:rPr>
                <w:rFonts w:ascii="Arial" w:hAnsi="Arial"/>
                <w:sz w:val="20"/>
                <w:szCs w:val="20"/>
              </w:rPr>
              <w:t>enter BRANCH (i.e. Army Reserve or Air National Guard)</w:t>
            </w:r>
          </w:p>
          <w:p w:rsidR="00833346" w:rsidRDefault="00833346" w:rsidP="00F063AF">
            <w:pPr>
              <w:pStyle w:val="ListParagraph"/>
              <w:numPr>
                <w:ilvl w:val="0"/>
                <w:numId w:val="370"/>
              </w:numPr>
              <w:spacing w:after="0" w:line="240" w:lineRule="auto"/>
              <w:rPr>
                <w:rFonts w:ascii="Arial" w:hAnsi="Arial"/>
                <w:sz w:val="20"/>
                <w:szCs w:val="20"/>
              </w:rPr>
            </w:pPr>
            <w:r>
              <w:rPr>
                <w:rFonts w:ascii="Arial" w:hAnsi="Arial"/>
                <w:sz w:val="20"/>
                <w:szCs w:val="20"/>
              </w:rPr>
              <w:t>enter Sep reason or Unknown</w:t>
            </w:r>
          </w:p>
          <w:p w:rsidR="00833346" w:rsidRDefault="00833346" w:rsidP="00F063AF">
            <w:pPr>
              <w:pStyle w:val="ListParagraph"/>
              <w:numPr>
                <w:ilvl w:val="0"/>
                <w:numId w:val="370"/>
              </w:numPr>
              <w:spacing w:after="0" w:line="240" w:lineRule="auto"/>
              <w:rPr>
                <w:rFonts w:ascii="Arial" w:hAnsi="Arial"/>
                <w:sz w:val="20"/>
                <w:szCs w:val="20"/>
              </w:rPr>
            </w:pPr>
            <w:r>
              <w:rPr>
                <w:rFonts w:ascii="Arial" w:hAnsi="Arial"/>
                <w:sz w:val="20"/>
                <w:szCs w:val="20"/>
              </w:rPr>
              <w:t>enter Character or Unknown</w:t>
            </w:r>
          </w:p>
          <w:p w:rsidR="00833346" w:rsidRDefault="00833346" w:rsidP="00F063AF">
            <w:pPr>
              <w:pStyle w:val="ListParagraph"/>
              <w:numPr>
                <w:ilvl w:val="0"/>
                <w:numId w:val="370"/>
              </w:numPr>
              <w:spacing w:after="0" w:line="240" w:lineRule="auto"/>
              <w:rPr>
                <w:rFonts w:ascii="Arial" w:hAnsi="Arial"/>
                <w:sz w:val="20"/>
                <w:szCs w:val="20"/>
              </w:rPr>
            </w:pPr>
            <w:r>
              <w:rPr>
                <w:rFonts w:ascii="Arial" w:hAnsi="Arial"/>
                <w:sz w:val="20"/>
                <w:szCs w:val="20"/>
              </w:rPr>
              <w:t>enter Service Type</w:t>
            </w:r>
          </w:p>
          <w:p w:rsidR="00833346" w:rsidRDefault="00833346" w:rsidP="00833346">
            <w:pPr>
              <w:rPr>
                <w:b/>
              </w:rPr>
            </w:pPr>
            <w:r>
              <w:t xml:space="preserve">If VA grants SC, change to active service after RD complete, per </w:t>
            </w:r>
            <w:r w:rsidRPr="00833346">
              <w:rPr>
                <w:b/>
              </w:rPr>
              <w:t>III.ii.3.C.7.a</w:t>
            </w:r>
            <w:r>
              <w:t xml:space="preserve"> &amp; </w:t>
            </w:r>
            <w:r w:rsidRPr="00833346">
              <w:rPr>
                <w:b/>
              </w:rPr>
              <w:t>III.ii.3.C.7.d</w:t>
            </w:r>
          </w:p>
          <w:p w:rsidR="00833346" w:rsidRPr="00833346" w:rsidRDefault="00833346" w:rsidP="00833346">
            <w:r w:rsidRPr="00833346">
              <w:rPr>
                <w:i/>
                <w:color w:val="00B050"/>
              </w:rPr>
              <w:t>My Notes:</w:t>
            </w:r>
            <w:r w:rsidRPr="00833346">
              <w:rPr>
                <w:color w:val="00B050"/>
              </w:rPr>
              <w:t xml:space="preserve">  </w:t>
            </w:r>
            <w:r w:rsidRPr="00D36CD9">
              <w:rPr>
                <w:i/>
              </w:rPr>
              <w:t xml:space="preserve">Also see </w:t>
            </w:r>
            <w:r w:rsidRPr="00D36CD9">
              <w:rPr>
                <w:rStyle w:val="Strong"/>
                <w:bCs w:val="0"/>
                <w:i/>
                <w:szCs w:val="21"/>
              </w:rPr>
              <w:t>III.ii.6.A.2.k</w:t>
            </w:r>
            <w:r w:rsidRPr="00D36CD9">
              <w:rPr>
                <w:rStyle w:val="Strong"/>
                <w:bCs w:val="0"/>
                <w:i/>
                <w:color w:val="444444"/>
                <w:szCs w:val="21"/>
              </w:rPr>
              <w:t>.</w:t>
            </w:r>
          </w:p>
          <w:p w:rsidR="00A85818" w:rsidRDefault="00A85818" w:rsidP="00636754"/>
          <w:p w:rsidR="007851FB" w:rsidRPr="00344913" w:rsidRDefault="007851FB" w:rsidP="00636754"/>
          <w:p w:rsidR="00A85818" w:rsidRPr="00344913" w:rsidRDefault="00A85818" w:rsidP="00636754">
            <w:r w:rsidRPr="00344913">
              <w:rPr>
                <w:b/>
                <w:bCs/>
                <w:iCs/>
              </w:rPr>
              <w:t>III.ii.3.C.7.g</w:t>
            </w:r>
            <w:r w:rsidRPr="00344913">
              <w:rPr>
                <w:bCs/>
                <w:iCs/>
              </w:rPr>
              <w:t xml:space="preserve"> - </w:t>
            </w:r>
            <w:r w:rsidRPr="00344913">
              <w:rPr>
                <w:b/>
              </w:rPr>
              <w:t>Updating VA Systems For Active Service Based on Multiple Title 10 Activations of Seven Days or Less</w:t>
            </w:r>
          </w:p>
          <w:p w:rsidR="00833346" w:rsidRDefault="00833346" w:rsidP="00636754"/>
          <w:p w:rsidR="007851FB" w:rsidRDefault="007851FB" w:rsidP="00636754"/>
          <w:p w:rsidR="005D5F47" w:rsidRPr="00164A8E" w:rsidRDefault="005D5F47" w:rsidP="00636754">
            <w:pPr>
              <w:widowControl w:val="0"/>
              <w:tabs>
                <w:tab w:val="left" w:pos="360"/>
              </w:tabs>
            </w:pPr>
            <w:r w:rsidRPr="00164A8E">
              <w:rPr>
                <w:b/>
                <w:bCs/>
              </w:rPr>
              <w:t xml:space="preserve">Active Service - </w:t>
            </w:r>
            <w:r>
              <w:rPr>
                <w:b/>
                <w:bCs/>
              </w:rPr>
              <w:t>III.ii.6.A.1.c</w:t>
            </w:r>
            <w:r w:rsidRPr="00164A8E">
              <w:br/>
              <w:t xml:space="preserve">"Active service" includes </w:t>
            </w:r>
          </w:p>
          <w:p w:rsidR="005D5F47" w:rsidRPr="00164A8E" w:rsidRDefault="005D5F47" w:rsidP="00F063AF">
            <w:pPr>
              <w:pStyle w:val="ListParagraph"/>
              <w:widowControl w:val="0"/>
              <w:numPr>
                <w:ilvl w:val="0"/>
                <w:numId w:val="370"/>
              </w:numPr>
              <w:tabs>
                <w:tab w:val="left" w:pos="360"/>
              </w:tabs>
              <w:spacing w:after="0" w:line="240" w:lineRule="auto"/>
              <w:rPr>
                <w:rFonts w:ascii="Arial" w:hAnsi="Arial"/>
                <w:sz w:val="20"/>
                <w:szCs w:val="20"/>
              </w:rPr>
            </w:pPr>
            <w:r w:rsidRPr="00164A8E">
              <w:rPr>
                <w:rFonts w:ascii="Arial" w:hAnsi="Arial"/>
                <w:sz w:val="20"/>
                <w:szCs w:val="20"/>
              </w:rPr>
              <w:t>active duty</w:t>
            </w:r>
          </w:p>
          <w:p w:rsidR="005D5F47" w:rsidRPr="00164A8E" w:rsidRDefault="005D5F47" w:rsidP="00F063AF">
            <w:pPr>
              <w:pStyle w:val="ListParagraph"/>
              <w:widowControl w:val="0"/>
              <w:numPr>
                <w:ilvl w:val="0"/>
                <w:numId w:val="370"/>
              </w:numPr>
              <w:tabs>
                <w:tab w:val="left" w:pos="360"/>
              </w:tabs>
              <w:spacing w:after="0" w:line="240" w:lineRule="auto"/>
              <w:rPr>
                <w:rFonts w:ascii="Arial" w:hAnsi="Arial"/>
                <w:sz w:val="20"/>
                <w:szCs w:val="20"/>
              </w:rPr>
            </w:pPr>
            <w:r w:rsidRPr="00164A8E">
              <w:rPr>
                <w:rFonts w:ascii="Arial" w:hAnsi="Arial"/>
                <w:sz w:val="20"/>
                <w:szCs w:val="20"/>
              </w:rPr>
              <w:t xml:space="preserve">any period of </w:t>
            </w:r>
            <w:r w:rsidRPr="00164A8E">
              <w:rPr>
                <w:rFonts w:ascii="Arial" w:hAnsi="Arial"/>
                <w:sz w:val="20"/>
                <w:szCs w:val="20"/>
                <w:u w:val="single"/>
              </w:rPr>
              <w:t>active</w:t>
            </w:r>
            <w:r w:rsidRPr="00164A8E">
              <w:rPr>
                <w:rFonts w:ascii="Arial" w:hAnsi="Arial"/>
                <w:sz w:val="20"/>
                <w:szCs w:val="20"/>
              </w:rPr>
              <w:t xml:space="preserve"> duty for training (ADT) during which a person is disabled or dies from a disease or injury incurred or aggravated in the line of duty</w:t>
            </w:r>
          </w:p>
          <w:p w:rsidR="005D5F47" w:rsidRPr="00164A8E" w:rsidRDefault="005D5F47" w:rsidP="00F063AF">
            <w:pPr>
              <w:pStyle w:val="ListParagraph"/>
              <w:widowControl w:val="0"/>
              <w:numPr>
                <w:ilvl w:val="0"/>
                <w:numId w:val="370"/>
              </w:numPr>
              <w:tabs>
                <w:tab w:val="left" w:pos="360"/>
              </w:tabs>
              <w:spacing w:after="0" w:line="240" w:lineRule="auto"/>
              <w:rPr>
                <w:rFonts w:ascii="Arial" w:hAnsi="Arial"/>
                <w:sz w:val="20"/>
                <w:szCs w:val="20"/>
              </w:rPr>
            </w:pPr>
            <w:r w:rsidRPr="00164A8E">
              <w:rPr>
                <w:rFonts w:ascii="Arial" w:hAnsi="Arial"/>
                <w:sz w:val="20"/>
                <w:szCs w:val="20"/>
              </w:rPr>
              <w:t xml:space="preserve">any period of </w:t>
            </w:r>
            <w:r w:rsidRPr="00164A8E">
              <w:rPr>
                <w:rFonts w:ascii="Arial" w:hAnsi="Arial"/>
                <w:sz w:val="20"/>
                <w:szCs w:val="20"/>
                <w:u w:val="single"/>
              </w:rPr>
              <w:t>inactive</w:t>
            </w:r>
            <w:r w:rsidRPr="00164A8E">
              <w:rPr>
                <w:rFonts w:ascii="Arial" w:hAnsi="Arial"/>
                <w:sz w:val="20"/>
                <w:szCs w:val="20"/>
              </w:rPr>
              <w:t xml:space="preserve"> duty for training (IADT) during which a person is disabled or dies from an injury incurred in or aggravated in the line of duty or from an acute myocardial infarction, a cardiac arrest, or a cerebrovascular accident that occurred during training</w:t>
            </w:r>
          </w:p>
          <w:p w:rsidR="005D5F47" w:rsidRPr="00164A8E" w:rsidRDefault="00F90BEA" w:rsidP="00636754">
            <w:pPr>
              <w:widowControl w:val="0"/>
            </w:pPr>
            <w:r w:rsidRPr="00F90BEA">
              <w:rPr>
                <w:i/>
                <w:iCs/>
                <w:color w:val="00B050"/>
              </w:rPr>
              <w:t>My Notes</w:t>
            </w:r>
            <w:r>
              <w:rPr>
                <w:i/>
                <w:iCs/>
              </w:rPr>
              <w:t xml:space="preserve">:  </w:t>
            </w:r>
            <w:r w:rsidRPr="00D36CD9">
              <w:rPr>
                <w:i/>
                <w:iCs/>
              </w:rPr>
              <w:t xml:space="preserve">Inactive duty </w:t>
            </w:r>
            <w:r w:rsidR="005D5F47" w:rsidRPr="00D36CD9">
              <w:rPr>
                <w:i/>
                <w:iCs/>
              </w:rPr>
              <w:t xml:space="preserve">does </w:t>
            </w:r>
            <w:r w:rsidRPr="00D36CD9">
              <w:rPr>
                <w:i/>
                <w:iCs/>
              </w:rPr>
              <w:t>not include disease.</w:t>
            </w:r>
          </w:p>
          <w:p w:rsidR="005D5F47" w:rsidRDefault="005D5F47" w:rsidP="00636754"/>
          <w:p w:rsidR="005D5F47" w:rsidRDefault="005D5F47" w:rsidP="00636754"/>
          <w:p w:rsidR="005D5F47" w:rsidRDefault="005D5F47" w:rsidP="00636754">
            <w:pPr>
              <w:rPr>
                <w:bCs/>
              </w:rPr>
            </w:pPr>
            <w:r>
              <w:rPr>
                <w:b/>
                <w:bCs/>
              </w:rPr>
              <w:t>III.ii.6.A.2.b &amp; III.ii.</w:t>
            </w:r>
            <w:r w:rsidR="00977ADE">
              <w:rPr>
                <w:b/>
                <w:bCs/>
              </w:rPr>
              <w:t>6</w:t>
            </w:r>
            <w:r>
              <w:rPr>
                <w:b/>
                <w:bCs/>
              </w:rPr>
              <w:t>.A.3.a</w:t>
            </w:r>
            <w:r>
              <w:rPr>
                <w:bCs/>
              </w:rPr>
              <w:t xml:space="preserve"> – Ina</w:t>
            </w:r>
            <w:r w:rsidRPr="00F2233D">
              <w:rPr>
                <w:bCs/>
              </w:rPr>
              <w:t>ctive Duty for Training (IADT)</w:t>
            </w:r>
            <w:r>
              <w:rPr>
                <w:bCs/>
              </w:rPr>
              <w:t xml:space="preserve"> [includes traditional drill weekends] </w:t>
            </w:r>
            <w:r w:rsidRPr="00F2233D">
              <w:rPr>
                <w:bCs/>
              </w:rPr>
              <w:t>&amp; Active Duty Training (ADT)</w:t>
            </w:r>
            <w:r>
              <w:rPr>
                <w:bCs/>
              </w:rPr>
              <w:t xml:space="preserve"> [incl initial basic training/specialized job skill training &amp; 2 week annual training (AT)]</w:t>
            </w:r>
            <w:r w:rsidRPr="00F2233D">
              <w:rPr>
                <w:bCs/>
              </w:rPr>
              <w:t xml:space="preserve"> are </w:t>
            </w:r>
            <w:r w:rsidRPr="003D4F4A">
              <w:rPr>
                <w:b/>
                <w:bCs/>
                <w:u w:val="single"/>
              </w:rPr>
              <w:t>not</w:t>
            </w:r>
            <w:r w:rsidRPr="00F2233D">
              <w:rPr>
                <w:bCs/>
              </w:rPr>
              <w:t xml:space="preserve"> considered full-time duty</w:t>
            </w:r>
          </w:p>
          <w:p w:rsidR="005D5F47" w:rsidRDefault="005D5F47" w:rsidP="00636754">
            <w:pPr>
              <w:rPr>
                <w:bCs/>
              </w:rPr>
            </w:pPr>
          </w:p>
          <w:p w:rsidR="005D5F47" w:rsidRDefault="005D5F47" w:rsidP="00636754">
            <w:pPr>
              <w:rPr>
                <w:bCs/>
              </w:rPr>
            </w:pPr>
          </w:p>
          <w:p w:rsidR="005B3C93" w:rsidRPr="005C3FB3" w:rsidRDefault="00A83D50" w:rsidP="006624E0">
            <w:pPr>
              <w:spacing w:after="120"/>
              <w:rPr>
                <w:b/>
              </w:rPr>
            </w:pPr>
            <w:r w:rsidRPr="005C3FB3">
              <w:rPr>
                <w:b/>
                <w:bCs/>
                <w:u w:val="single"/>
              </w:rPr>
              <w:t>Reserve AND</w:t>
            </w:r>
            <w:r w:rsidR="005B3C93" w:rsidRPr="005C3FB3">
              <w:rPr>
                <w:b/>
                <w:bCs/>
                <w:u w:val="single"/>
              </w:rPr>
              <w:t xml:space="preserve"> National Guard </w:t>
            </w:r>
            <w:r w:rsidR="00872BF1" w:rsidRPr="005C3FB3">
              <w:rPr>
                <w:b/>
                <w:bCs/>
                <w:u w:val="single"/>
              </w:rPr>
              <w:t>(Army National Guard (ARNG) &amp; Air National Guard (ANG)</w:t>
            </w:r>
            <w:r w:rsidR="006624E0" w:rsidRPr="005C3FB3">
              <w:rPr>
                <w:b/>
                <w:bCs/>
                <w:u w:val="single"/>
              </w:rPr>
              <w:t>)</w:t>
            </w:r>
            <w:r w:rsidR="00872BF1" w:rsidRPr="005C3FB3">
              <w:rPr>
                <w:b/>
                <w:bCs/>
                <w:u w:val="single"/>
              </w:rPr>
              <w:t xml:space="preserve"> </w:t>
            </w:r>
            <w:r w:rsidR="005B3C93" w:rsidRPr="005C3FB3">
              <w:rPr>
                <w:b/>
                <w:bCs/>
                <w:u w:val="single"/>
              </w:rPr>
              <w:t>Service</w:t>
            </w:r>
            <w:r w:rsidR="00CC5E6D" w:rsidRPr="006624E0">
              <w:rPr>
                <w:bCs/>
              </w:rPr>
              <w:t xml:space="preserve"> </w:t>
            </w:r>
            <w:r w:rsidR="005C3FB3">
              <w:rPr>
                <w:bCs/>
              </w:rPr>
              <w:t>(</w:t>
            </w:r>
            <w:r w:rsidR="005C3FB3" w:rsidRPr="003B3A72">
              <w:rPr>
                <w:bCs/>
              </w:rPr>
              <w:t>from</w:t>
            </w:r>
            <w:r w:rsidR="005C3FB3">
              <w:rPr>
                <w:b/>
                <w:bCs/>
              </w:rPr>
              <w:t xml:space="preserve"> </w:t>
            </w:r>
            <w:r w:rsidR="005C3FB3" w:rsidRPr="003B3A72">
              <w:rPr>
                <w:b/>
                <w:bCs/>
              </w:rPr>
              <w:t>III.ii.6.A.1.b</w:t>
            </w:r>
            <w:r w:rsidR="005C3FB3">
              <w:rPr>
                <w:bCs/>
              </w:rPr>
              <w:t xml:space="preserve">, </w:t>
            </w:r>
            <w:r w:rsidR="005C3FB3" w:rsidRPr="003B3A72">
              <w:rPr>
                <w:b/>
                <w:bCs/>
              </w:rPr>
              <w:t>III.ii.6.A.2.c</w:t>
            </w:r>
            <w:r w:rsidR="005C3FB3">
              <w:rPr>
                <w:bCs/>
              </w:rPr>
              <w:t xml:space="preserve">, </w:t>
            </w:r>
            <w:r w:rsidR="005C3FB3" w:rsidRPr="003B3A72">
              <w:rPr>
                <w:rStyle w:val="Strong"/>
              </w:rPr>
              <w:t>III.ii.6.A.2.d</w:t>
            </w:r>
            <w:r w:rsidR="005C3FB3">
              <w:t xml:space="preserve">, </w:t>
            </w:r>
            <w:r w:rsidR="005C3FB3" w:rsidRPr="003B3A72">
              <w:rPr>
                <w:rStyle w:val="Strong"/>
                <w:bCs w:val="0"/>
              </w:rPr>
              <w:t>III.ii.6.A.2.f</w:t>
            </w:r>
            <w:r w:rsidR="005C3FB3">
              <w:rPr>
                <w:b/>
                <w:bCs/>
              </w:rPr>
              <w:t>, III.ii.6.A.3.b</w:t>
            </w:r>
            <w:r w:rsidR="005C3FB3">
              <w:rPr>
                <w:bCs/>
              </w:rPr>
              <w:t xml:space="preserve">, </w:t>
            </w:r>
            <w:r w:rsidR="005C3FB3">
              <w:rPr>
                <w:b/>
                <w:bCs/>
              </w:rPr>
              <w:t xml:space="preserve">III.ii.6.A.4.b, </w:t>
            </w:r>
            <w:r w:rsidR="005C3FB3" w:rsidRPr="003B3A72">
              <w:rPr>
                <w:b/>
              </w:rPr>
              <w:t>III.ii.6.A.4.c</w:t>
            </w:r>
            <w:r w:rsidR="005C3FB3" w:rsidRPr="005C3FB3">
              <w:t>)</w:t>
            </w:r>
            <w:r w:rsidR="005C3FB3">
              <w:rPr>
                <w:b/>
              </w:rPr>
              <w:t xml:space="preserve"> </w:t>
            </w:r>
            <w:r w:rsidR="00CC5E6D" w:rsidRPr="006624E0">
              <w:rPr>
                <w:bCs/>
              </w:rPr>
              <w:t xml:space="preserve">– </w:t>
            </w:r>
          </w:p>
          <w:p w:rsidR="005B3C93" w:rsidRDefault="007B5CCB" w:rsidP="00F063AF">
            <w:pPr>
              <w:pStyle w:val="ListParagraph"/>
              <w:numPr>
                <w:ilvl w:val="0"/>
                <w:numId w:val="370"/>
              </w:numPr>
              <w:spacing w:after="120" w:line="240" w:lineRule="auto"/>
              <w:rPr>
                <w:rFonts w:ascii="Arial" w:hAnsi="Arial"/>
                <w:bCs/>
                <w:sz w:val="20"/>
                <w:szCs w:val="20"/>
              </w:rPr>
            </w:pPr>
            <w:r w:rsidRPr="006624E0">
              <w:rPr>
                <w:rFonts w:ascii="Arial" w:hAnsi="Arial"/>
                <w:bCs/>
                <w:sz w:val="20"/>
                <w:szCs w:val="20"/>
              </w:rPr>
              <w:t>Federal A</w:t>
            </w:r>
            <w:r w:rsidR="00CC5E6D" w:rsidRPr="006624E0">
              <w:rPr>
                <w:rFonts w:ascii="Arial" w:hAnsi="Arial"/>
                <w:bCs/>
                <w:sz w:val="20"/>
                <w:szCs w:val="20"/>
              </w:rPr>
              <w:t xml:space="preserve">ctive </w:t>
            </w:r>
            <w:r w:rsidRPr="006624E0">
              <w:rPr>
                <w:rFonts w:ascii="Arial" w:hAnsi="Arial"/>
                <w:bCs/>
                <w:sz w:val="20"/>
                <w:szCs w:val="20"/>
              </w:rPr>
              <w:t>D</w:t>
            </w:r>
            <w:r w:rsidR="00CC5E6D" w:rsidRPr="006624E0">
              <w:rPr>
                <w:rFonts w:ascii="Arial" w:hAnsi="Arial"/>
                <w:bCs/>
                <w:sz w:val="20"/>
                <w:szCs w:val="20"/>
              </w:rPr>
              <w:t>uty</w:t>
            </w:r>
            <w:r w:rsidR="00E90FCB" w:rsidRPr="006624E0">
              <w:rPr>
                <w:rFonts w:ascii="Arial" w:hAnsi="Arial"/>
                <w:bCs/>
                <w:sz w:val="20"/>
                <w:szCs w:val="20"/>
              </w:rPr>
              <w:t xml:space="preserve"> – </w:t>
            </w:r>
            <w:r w:rsidR="006624E0">
              <w:rPr>
                <w:rFonts w:ascii="Arial" w:hAnsi="Arial"/>
                <w:bCs/>
                <w:sz w:val="20"/>
                <w:szCs w:val="20"/>
              </w:rPr>
              <w:t>full-time</w:t>
            </w:r>
            <w:r w:rsidR="00E90FCB" w:rsidRPr="006624E0">
              <w:rPr>
                <w:rFonts w:ascii="Arial" w:hAnsi="Arial"/>
                <w:bCs/>
                <w:sz w:val="20"/>
                <w:szCs w:val="20"/>
              </w:rPr>
              <w:t xml:space="preserve"> active duty under </w:t>
            </w:r>
            <w:r w:rsidR="005B3C93" w:rsidRPr="006624E0">
              <w:rPr>
                <w:rFonts w:ascii="Arial" w:hAnsi="Arial"/>
                <w:bCs/>
                <w:sz w:val="20"/>
                <w:szCs w:val="20"/>
              </w:rPr>
              <w:t>Title 10</w:t>
            </w:r>
            <w:r w:rsidRPr="006624E0">
              <w:rPr>
                <w:rFonts w:ascii="Arial" w:hAnsi="Arial"/>
                <w:bCs/>
                <w:sz w:val="20"/>
                <w:szCs w:val="20"/>
              </w:rPr>
              <w:t xml:space="preserve"> / 10 USC / 10 U.S.C</w:t>
            </w:r>
            <w:r w:rsidR="005B3C93" w:rsidRPr="006624E0">
              <w:rPr>
                <w:rFonts w:ascii="Arial" w:hAnsi="Arial"/>
                <w:bCs/>
                <w:sz w:val="20"/>
                <w:szCs w:val="20"/>
              </w:rPr>
              <w:t xml:space="preserve"> = veteran status</w:t>
            </w:r>
            <w:r w:rsidR="00E90FCB" w:rsidRPr="006624E0">
              <w:rPr>
                <w:rFonts w:ascii="Arial" w:hAnsi="Arial"/>
                <w:bCs/>
                <w:sz w:val="20"/>
                <w:szCs w:val="20"/>
              </w:rPr>
              <w:t xml:space="preserve"> &amp; will get DD214</w:t>
            </w:r>
            <w:r w:rsidR="00A83D50" w:rsidRPr="006624E0">
              <w:rPr>
                <w:rFonts w:ascii="Arial" w:hAnsi="Arial"/>
                <w:bCs/>
                <w:sz w:val="20"/>
                <w:szCs w:val="20"/>
              </w:rPr>
              <w:t xml:space="preserve">, per </w:t>
            </w:r>
            <w:r w:rsidR="00A83D50" w:rsidRPr="006624E0">
              <w:rPr>
                <w:rFonts w:ascii="Arial" w:hAnsi="Arial"/>
                <w:b/>
                <w:bCs/>
                <w:sz w:val="20"/>
                <w:szCs w:val="20"/>
              </w:rPr>
              <w:t>III.ii.6.A.2.c</w:t>
            </w:r>
          </w:p>
          <w:p w:rsidR="006624E0" w:rsidRPr="006624E0" w:rsidRDefault="006624E0" w:rsidP="00F063AF">
            <w:pPr>
              <w:pStyle w:val="ListParagraph"/>
              <w:numPr>
                <w:ilvl w:val="0"/>
                <w:numId w:val="370"/>
              </w:numPr>
              <w:spacing w:after="120" w:line="240" w:lineRule="auto"/>
              <w:rPr>
                <w:rFonts w:ascii="Arial" w:hAnsi="Arial"/>
                <w:bCs/>
                <w:sz w:val="20"/>
                <w:szCs w:val="20"/>
              </w:rPr>
            </w:pPr>
            <w:r>
              <w:rPr>
                <w:rFonts w:ascii="Arial" w:hAnsi="Arial"/>
                <w:bCs/>
                <w:sz w:val="20"/>
                <w:szCs w:val="20"/>
              </w:rPr>
              <w:t>D</w:t>
            </w:r>
            <w:r w:rsidRPr="006624E0">
              <w:rPr>
                <w:rFonts w:ascii="Arial" w:hAnsi="Arial"/>
                <w:bCs/>
                <w:sz w:val="20"/>
                <w:szCs w:val="20"/>
              </w:rPr>
              <w:t xml:space="preserve">ual </w:t>
            </w:r>
            <w:r>
              <w:rPr>
                <w:rFonts w:ascii="Arial" w:hAnsi="Arial"/>
                <w:bCs/>
                <w:sz w:val="20"/>
                <w:szCs w:val="20"/>
              </w:rPr>
              <w:t>S</w:t>
            </w:r>
            <w:r w:rsidRPr="006624E0">
              <w:rPr>
                <w:rFonts w:ascii="Arial" w:hAnsi="Arial"/>
                <w:bCs/>
                <w:sz w:val="20"/>
                <w:szCs w:val="20"/>
              </w:rPr>
              <w:t xml:space="preserve">tatus </w:t>
            </w:r>
            <w:r>
              <w:rPr>
                <w:rFonts w:ascii="Arial" w:hAnsi="Arial"/>
                <w:bCs/>
                <w:sz w:val="20"/>
                <w:szCs w:val="20"/>
              </w:rPr>
              <w:t>T</w:t>
            </w:r>
            <w:r w:rsidRPr="006624E0">
              <w:rPr>
                <w:rFonts w:ascii="Arial" w:hAnsi="Arial"/>
                <w:bCs/>
                <w:sz w:val="20"/>
                <w:szCs w:val="20"/>
              </w:rPr>
              <w:t>echnician –</w:t>
            </w:r>
            <w:r>
              <w:rPr>
                <w:rFonts w:ascii="Arial" w:hAnsi="Arial"/>
                <w:bCs/>
                <w:sz w:val="20"/>
                <w:szCs w:val="20"/>
              </w:rPr>
              <w:t xml:space="preserve"> F</w:t>
            </w:r>
            <w:r w:rsidRPr="006624E0">
              <w:rPr>
                <w:rFonts w:ascii="Arial" w:hAnsi="Arial"/>
                <w:bCs/>
                <w:sz w:val="20"/>
                <w:szCs w:val="20"/>
              </w:rPr>
              <w:t xml:space="preserve">ederal employee under Title 5 / 5 USC / 5 U.S.C for the Reserve – not qualifying service &amp; not subject to VA benefits (unless during ADT or IADT </w:t>
            </w:r>
            <w:r w:rsidRPr="006624E0">
              <w:rPr>
                <w:rFonts w:ascii="Arial" w:hAnsi="Arial"/>
                <w:bCs/>
                <w:sz w:val="20"/>
                <w:szCs w:val="20"/>
                <w:u w:val="single"/>
              </w:rPr>
              <w:t>not</w:t>
            </w:r>
            <w:r w:rsidRPr="006624E0">
              <w:rPr>
                <w:rFonts w:ascii="Arial" w:hAnsi="Arial"/>
                <w:bCs/>
                <w:sz w:val="20"/>
                <w:szCs w:val="20"/>
              </w:rPr>
              <w:t xml:space="preserve"> under Title 5 employment)</w:t>
            </w:r>
          </w:p>
          <w:p w:rsidR="006624E0" w:rsidRPr="006624E0" w:rsidRDefault="006624E0" w:rsidP="00F063AF">
            <w:pPr>
              <w:pStyle w:val="ListParagraph"/>
              <w:numPr>
                <w:ilvl w:val="0"/>
                <w:numId w:val="370"/>
              </w:numPr>
              <w:spacing w:after="120" w:line="240" w:lineRule="auto"/>
              <w:rPr>
                <w:rFonts w:ascii="Arial" w:hAnsi="Arial"/>
                <w:sz w:val="20"/>
                <w:szCs w:val="20"/>
              </w:rPr>
            </w:pPr>
            <w:r w:rsidRPr="006624E0">
              <w:rPr>
                <w:rFonts w:ascii="Arial" w:hAnsi="Arial"/>
                <w:bCs/>
                <w:sz w:val="20"/>
                <w:szCs w:val="20"/>
              </w:rPr>
              <w:t>additional ADT – periods of training in addition to the two week period of ADT – might get DD214</w:t>
            </w:r>
          </w:p>
          <w:p w:rsidR="006624E0" w:rsidRPr="006624E0" w:rsidRDefault="006624E0" w:rsidP="006624E0">
            <w:pPr>
              <w:spacing w:after="120"/>
              <w:ind w:left="360"/>
              <w:rPr>
                <w:bCs/>
              </w:rPr>
            </w:pPr>
          </w:p>
          <w:p w:rsidR="006624E0" w:rsidRPr="006624E0" w:rsidRDefault="006624E0" w:rsidP="006624E0">
            <w:pPr>
              <w:spacing w:after="120"/>
              <w:ind w:left="105"/>
              <w:rPr>
                <w:b/>
                <w:bCs/>
              </w:rPr>
            </w:pPr>
            <w:r w:rsidRPr="006624E0">
              <w:rPr>
                <w:b/>
                <w:bCs/>
              </w:rPr>
              <w:t>RESERVE:</w:t>
            </w:r>
          </w:p>
          <w:p w:rsidR="005B3C93" w:rsidRPr="006624E0" w:rsidRDefault="005B3C93" w:rsidP="00F063AF">
            <w:pPr>
              <w:pStyle w:val="ListParagraph"/>
              <w:numPr>
                <w:ilvl w:val="0"/>
                <w:numId w:val="370"/>
              </w:numPr>
              <w:spacing w:after="120" w:line="240" w:lineRule="auto"/>
              <w:rPr>
                <w:rFonts w:ascii="Arial" w:hAnsi="Arial"/>
                <w:bCs/>
                <w:sz w:val="20"/>
                <w:szCs w:val="20"/>
              </w:rPr>
            </w:pPr>
            <w:r w:rsidRPr="006624E0">
              <w:rPr>
                <w:rFonts w:ascii="Arial" w:hAnsi="Arial"/>
                <w:bCs/>
                <w:sz w:val="20"/>
                <w:szCs w:val="20"/>
              </w:rPr>
              <w:t>Active Guard Reserve (AGR)</w:t>
            </w:r>
            <w:r w:rsidR="00E90FCB" w:rsidRPr="006624E0">
              <w:rPr>
                <w:rFonts w:ascii="Arial" w:hAnsi="Arial"/>
                <w:bCs/>
                <w:sz w:val="20"/>
                <w:szCs w:val="20"/>
              </w:rPr>
              <w:t xml:space="preserve"> – </w:t>
            </w:r>
            <w:r w:rsidR="006624E0">
              <w:rPr>
                <w:rFonts w:ascii="Arial" w:hAnsi="Arial"/>
                <w:bCs/>
                <w:sz w:val="20"/>
                <w:szCs w:val="20"/>
              </w:rPr>
              <w:t>full-time</w:t>
            </w:r>
            <w:r w:rsidR="00E90FCB" w:rsidRPr="006624E0">
              <w:rPr>
                <w:rFonts w:ascii="Arial" w:hAnsi="Arial"/>
                <w:bCs/>
                <w:sz w:val="20"/>
                <w:szCs w:val="20"/>
              </w:rPr>
              <w:t xml:space="preserve"> duty for operational support of the </w:t>
            </w:r>
            <w:r w:rsidR="00E90FCB" w:rsidRPr="006624E0">
              <w:rPr>
                <w:rFonts w:ascii="Arial" w:hAnsi="Arial"/>
                <w:bCs/>
                <w:sz w:val="20"/>
                <w:szCs w:val="20"/>
                <w:u w:val="single"/>
              </w:rPr>
              <w:t>Reserve</w:t>
            </w:r>
            <w:r w:rsidR="00E90FCB" w:rsidRPr="006624E0">
              <w:rPr>
                <w:rFonts w:ascii="Arial" w:hAnsi="Arial"/>
                <w:bCs/>
                <w:sz w:val="20"/>
                <w:szCs w:val="20"/>
              </w:rPr>
              <w:t xml:space="preserve"> under Title 10 / 10 USC / 10 U.S.C</w:t>
            </w:r>
            <w:r w:rsidR="006624E0" w:rsidRPr="006624E0">
              <w:rPr>
                <w:rFonts w:ascii="Arial" w:hAnsi="Arial"/>
                <w:bCs/>
                <w:sz w:val="20"/>
                <w:szCs w:val="20"/>
              </w:rPr>
              <w:t xml:space="preserve"> &amp; will get DD214</w:t>
            </w:r>
            <w:r w:rsidR="00E90FCB" w:rsidRPr="006624E0">
              <w:rPr>
                <w:rFonts w:ascii="Arial" w:hAnsi="Arial"/>
                <w:bCs/>
                <w:sz w:val="20"/>
                <w:szCs w:val="20"/>
              </w:rPr>
              <w:t xml:space="preserve">, </w:t>
            </w:r>
            <w:r w:rsidR="00A83D50" w:rsidRPr="006624E0">
              <w:rPr>
                <w:rFonts w:ascii="Arial" w:hAnsi="Arial"/>
                <w:bCs/>
                <w:sz w:val="20"/>
                <w:szCs w:val="20"/>
              </w:rPr>
              <w:t xml:space="preserve">per </w:t>
            </w:r>
            <w:r w:rsidR="00A83D50" w:rsidRPr="006624E0">
              <w:rPr>
                <w:rFonts w:ascii="Arial" w:hAnsi="Arial"/>
                <w:b/>
                <w:bCs/>
                <w:sz w:val="20"/>
                <w:szCs w:val="20"/>
              </w:rPr>
              <w:t>III.ii.6.A.2.</w:t>
            </w:r>
            <w:r w:rsidR="006624E0">
              <w:rPr>
                <w:rFonts w:ascii="Arial" w:hAnsi="Arial"/>
                <w:b/>
                <w:bCs/>
                <w:sz w:val="20"/>
                <w:szCs w:val="20"/>
              </w:rPr>
              <w:t>c</w:t>
            </w:r>
            <w:r w:rsidR="00A83D50" w:rsidRPr="006624E0">
              <w:rPr>
                <w:rFonts w:ascii="Arial" w:hAnsi="Arial"/>
                <w:bCs/>
                <w:sz w:val="20"/>
                <w:szCs w:val="20"/>
              </w:rPr>
              <w:t xml:space="preserve">; </w:t>
            </w:r>
            <w:r w:rsidR="00872BF1" w:rsidRPr="006624E0">
              <w:rPr>
                <w:rFonts w:ascii="Arial" w:hAnsi="Arial"/>
                <w:bCs/>
                <w:sz w:val="20"/>
                <w:szCs w:val="20"/>
                <w:u w:val="single"/>
              </w:rPr>
              <w:t>BUT</w:t>
            </w:r>
            <w:r w:rsidR="00872BF1" w:rsidRPr="006624E0">
              <w:rPr>
                <w:rFonts w:ascii="Arial" w:hAnsi="Arial"/>
                <w:bCs/>
                <w:sz w:val="20"/>
                <w:szCs w:val="20"/>
              </w:rPr>
              <w:t xml:space="preserve"> </w:t>
            </w:r>
            <w:r w:rsidR="00872BF1" w:rsidRPr="006624E0">
              <w:rPr>
                <w:rFonts w:ascii="Arial" w:hAnsi="Arial"/>
                <w:b/>
                <w:bCs/>
                <w:sz w:val="20"/>
                <w:szCs w:val="20"/>
              </w:rPr>
              <w:t>III.ii.6.A.3.b</w:t>
            </w:r>
            <w:r w:rsidR="00872BF1" w:rsidRPr="006624E0">
              <w:rPr>
                <w:rFonts w:ascii="Arial" w:hAnsi="Arial"/>
                <w:bCs/>
                <w:sz w:val="20"/>
                <w:szCs w:val="20"/>
              </w:rPr>
              <w:t xml:space="preserve"> says </w:t>
            </w:r>
            <w:r w:rsidR="00A83D50" w:rsidRPr="006624E0">
              <w:rPr>
                <w:rFonts w:ascii="Arial" w:hAnsi="Arial"/>
                <w:sz w:val="20"/>
                <w:szCs w:val="20"/>
              </w:rPr>
              <w:t>Tit</w:t>
            </w:r>
            <w:r w:rsidR="001D09B0">
              <w:rPr>
                <w:rFonts w:ascii="Arial" w:hAnsi="Arial"/>
                <w:sz w:val="20"/>
                <w:szCs w:val="20"/>
              </w:rPr>
              <w:t>le 32 / 32 USC / 32 U.S.C 502(f)</w:t>
            </w:r>
            <w:r w:rsidR="00A83D50" w:rsidRPr="006624E0">
              <w:rPr>
                <w:rFonts w:ascii="Arial" w:hAnsi="Arial"/>
                <w:sz w:val="20"/>
                <w:szCs w:val="20"/>
              </w:rPr>
              <w:t>,</w:t>
            </w:r>
            <w:r w:rsidR="00872BF1" w:rsidRPr="006624E0">
              <w:rPr>
                <w:rFonts w:ascii="Arial" w:hAnsi="Arial"/>
                <w:sz w:val="20"/>
                <w:szCs w:val="20"/>
              </w:rPr>
              <w:t xml:space="preserve"> </w:t>
            </w:r>
            <w:r w:rsidR="00872BF1" w:rsidRPr="006624E0">
              <w:rPr>
                <w:rFonts w:ascii="Arial" w:hAnsi="Arial"/>
                <w:b/>
                <w:bCs/>
                <w:sz w:val="20"/>
                <w:szCs w:val="20"/>
              </w:rPr>
              <w:t>III.ii.6.A.3.b</w:t>
            </w:r>
            <w:r w:rsidR="00872BF1" w:rsidRPr="006624E0">
              <w:rPr>
                <w:rFonts w:ascii="Arial" w:hAnsi="Arial"/>
                <w:bCs/>
                <w:sz w:val="20"/>
                <w:szCs w:val="20"/>
              </w:rPr>
              <w:t xml:space="preserve"> </w:t>
            </w:r>
            <w:r w:rsidR="00872BF1" w:rsidRPr="006624E0">
              <w:rPr>
                <w:rFonts w:ascii="Arial" w:hAnsi="Arial"/>
                <w:sz w:val="20"/>
                <w:szCs w:val="20"/>
              </w:rPr>
              <w:t>also says</w:t>
            </w:r>
            <w:r w:rsidR="00A83D50" w:rsidRPr="006624E0">
              <w:rPr>
                <w:rFonts w:ascii="Arial" w:hAnsi="Arial"/>
                <w:sz w:val="20"/>
                <w:szCs w:val="20"/>
              </w:rPr>
              <w:t xml:space="preserve"> if </w:t>
            </w:r>
            <w:r w:rsidR="006624E0">
              <w:rPr>
                <w:rFonts w:ascii="Arial" w:hAnsi="Arial"/>
                <w:sz w:val="20"/>
                <w:szCs w:val="20"/>
              </w:rPr>
              <w:t>full-time</w:t>
            </w:r>
            <w:r w:rsidR="00A83D50" w:rsidRPr="006624E0">
              <w:rPr>
                <w:rFonts w:ascii="Arial" w:hAnsi="Arial"/>
                <w:sz w:val="20"/>
                <w:szCs w:val="20"/>
              </w:rPr>
              <w:t xml:space="preserve"> for operational support </w:t>
            </w:r>
            <w:r w:rsidR="00A83D50" w:rsidRPr="006624E0">
              <w:rPr>
                <w:rFonts w:ascii="Arial" w:hAnsi="Arial"/>
                <w:i/>
                <w:sz w:val="20"/>
                <w:szCs w:val="20"/>
              </w:rPr>
              <w:t xml:space="preserve">(not training) </w:t>
            </w:r>
            <w:r w:rsidR="00A83D50" w:rsidRPr="006624E0">
              <w:rPr>
                <w:rFonts w:ascii="Arial" w:hAnsi="Arial"/>
                <w:sz w:val="20"/>
                <w:szCs w:val="20"/>
              </w:rPr>
              <w:t xml:space="preserve">= </w:t>
            </w:r>
            <w:r w:rsidR="006624E0">
              <w:rPr>
                <w:rFonts w:ascii="Arial" w:hAnsi="Arial"/>
                <w:sz w:val="20"/>
                <w:szCs w:val="20"/>
              </w:rPr>
              <w:t>considered active duty</w:t>
            </w:r>
          </w:p>
          <w:p w:rsidR="006624E0" w:rsidRPr="006624E0" w:rsidRDefault="006624E0" w:rsidP="00F063AF">
            <w:pPr>
              <w:pStyle w:val="ListParagraph"/>
              <w:numPr>
                <w:ilvl w:val="0"/>
                <w:numId w:val="370"/>
              </w:numPr>
              <w:spacing w:after="120" w:line="240" w:lineRule="auto"/>
              <w:rPr>
                <w:rFonts w:ascii="Arial" w:hAnsi="Arial"/>
                <w:sz w:val="20"/>
                <w:szCs w:val="20"/>
              </w:rPr>
            </w:pPr>
            <w:r w:rsidRPr="006624E0">
              <w:rPr>
                <w:rFonts w:ascii="Arial" w:hAnsi="Arial"/>
                <w:bCs/>
                <w:sz w:val="20"/>
                <w:szCs w:val="20"/>
              </w:rPr>
              <w:t xml:space="preserve">Active Duty Support (ADS), previously known as Active Duty Special Work (ADSW) – </w:t>
            </w:r>
            <w:r>
              <w:rPr>
                <w:rFonts w:ascii="Arial" w:hAnsi="Arial"/>
                <w:bCs/>
                <w:sz w:val="20"/>
                <w:szCs w:val="20"/>
              </w:rPr>
              <w:t>full-time</w:t>
            </w:r>
            <w:r w:rsidRPr="006624E0">
              <w:rPr>
                <w:rFonts w:ascii="Arial" w:hAnsi="Arial"/>
                <w:bCs/>
                <w:sz w:val="20"/>
                <w:szCs w:val="20"/>
              </w:rPr>
              <w:t xml:space="preserve">, temporary (generally fewer than 180 days) duty for operational support of the </w:t>
            </w:r>
            <w:r w:rsidRPr="006624E0">
              <w:rPr>
                <w:rFonts w:ascii="Arial" w:hAnsi="Arial"/>
                <w:bCs/>
                <w:sz w:val="20"/>
                <w:szCs w:val="20"/>
                <w:u w:val="single"/>
              </w:rPr>
              <w:t>Reserve</w:t>
            </w:r>
            <w:r w:rsidRPr="006624E0">
              <w:rPr>
                <w:rFonts w:ascii="Arial" w:hAnsi="Arial"/>
                <w:bCs/>
                <w:sz w:val="20"/>
                <w:szCs w:val="20"/>
              </w:rPr>
              <w:t xml:space="preserve"> – usually no DD214,</w:t>
            </w:r>
            <w:r w:rsidRPr="006624E0">
              <w:rPr>
                <w:rFonts w:ascii="Arial" w:hAnsi="Arial"/>
                <w:b/>
                <w:bCs/>
                <w:sz w:val="20"/>
                <w:szCs w:val="20"/>
              </w:rPr>
              <w:t xml:space="preserve"> </w:t>
            </w:r>
            <w:r w:rsidRPr="006624E0">
              <w:rPr>
                <w:rFonts w:ascii="Arial" w:hAnsi="Arial"/>
                <w:bCs/>
                <w:sz w:val="20"/>
                <w:szCs w:val="20"/>
              </w:rPr>
              <w:t xml:space="preserve">per </w:t>
            </w:r>
            <w:r w:rsidRPr="006624E0">
              <w:rPr>
                <w:rFonts w:ascii="Arial" w:hAnsi="Arial"/>
                <w:b/>
                <w:bCs/>
                <w:sz w:val="20"/>
                <w:szCs w:val="20"/>
              </w:rPr>
              <w:t>III.ii.6.A.2.c</w:t>
            </w:r>
            <w:r w:rsidRPr="006624E0">
              <w:rPr>
                <w:rFonts w:ascii="Arial" w:hAnsi="Arial"/>
                <w:bCs/>
                <w:sz w:val="20"/>
                <w:szCs w:val="20"/>
              </w:rPr>
              <w:t xml:space="preserve"> (</w:t>
            </w:r>
            <w:r w:rsidRPr="006624E0">
              <w:rPr>
                <w:rStyle w:val="Strong"/>
                <w:rFonts w:ascii="Arial" w:hAnsi="Arial"/>
                <w:sz w:val="20"/>
                <w:szCs w:val="20"/>
              </w:rPr>
              <w:t>III.ii.6.A.2.d</w:t>
            </w:r>
            <w:r w:rsidRPr="006624E0">
              <w:rPr>
                <w:rFonts w:ascii="Arial" w:hAnsi="Arial"/>
                <w:bCs/>
                <w:sz w:val="20"/>
                <w:szCs w:val="20"/>
              </w:rPr>
              <w:t xml:space="preserve"> also says routinely no DD214);</w:t>
            </w:r>
            <w:r>
              <w:rPr>
                <w:rFonts w:ascii="Arial" w:hAnsi="Arial"/>
                <w:bCs/>
                <w:sz w:val="20"/>
                <w:szCs w:val="20"/>
              </w:rPr>
              <w:t xml:space="preserve"> </w:t>
            </w:r>
            <w:r w:rsidRPr="006624E0">
              <w:rPr>
                <w:rFonts w:ascii="Arial" w:hAnsi="Arial"/>
                <w:sz w:val="20"/>
                <w:szCs w:val="20"/>
              </w:rPr>
              <w:t xml:space="preserve">Title 32 / 32 USC / 32 U.S.C 502(f), if </w:t>
            </w:r>
            <w:r>
              <w:rPr>
                <w:rFonts w:ascii="Arial" w:hAnsi="Arial"/>
                <w:sz w:val="20"/>
                <w:szCs w:val="20"/>
              </w:rPr>
              <w:t>full-time</w:t>
            </w:r>
            <w:r w:rsidRPr="006624E0">
              <w:rPr>
                <w:rFonts w:ascii="Arial" w:hAnsi="Arial"/>
                <w:sz w:val="20"/>
                <w:szCs w:val="20"/>
              </w:rPr>
              <w:t xml:space="preserve"> for operational support </w:t>
            </w:r>
            <w:r w:rsidRPr="006624E0">
              <w:rPr>
                <w:rFonts w:ascii="Arial" w:hAnsi="Arial"/>
                <w:i/>
                <w:sz w:val="20"/>
                <w:szCs w:val="20"/>
              </w:rPr>
              <w:t>(not training)</w:t>
            </w:r>
            <w:r w:rsidRPr="006624E0">
              <w:rPr>
                <w:rFonts w:ascii="Arial" w:hAnsi="Arial"/>
                <w:sz w:val="20"/>
                <w:szCs w:val="20"/>
              </w:rPr>
              <w:t xml:space="preserve"> = considered active duty, per</w:t>
            </w:r>
            <w:r w:rsidRPr="006624E0">
              <w:rPr>
                <w:rFonts w:ascii="Arial" w:hAnsi="Arial"/>
                <w:bCs/>
                <w:sz w:val="20"/>
                <w:szCs w:val="20"/>
              </w:rPr>
              <w:t xml:space="preserve"> </w:t>
            </w:r>
            <w:r w:rsidRPr="006624E0">
              <w:rPr>
                <w:rFonts w:ascii="Arial" w:hAnsi="Arial"/>
                <w:b/>
                <w:bCs/>
                <w:sz w:val="20"/>
                <w:szCs w:val="20"/>
              </w:rPr>
              <w:t xml:space="preserve">III.ii.6.A.3.b &amp; </w:t>
            </w:r>
            <w:r w:rsidRPr="006624E0">
              <w:rPr>
                <w:rStyle w:val="Strong"/>
                <w:rFonts w:ascii="Arial" w:hAnsi="Arial"/>
                <w:sz w:val="20"/>
                <w:szCs w:val="20"/>
              </w:rPr>
              <w:t>III.ii.6.A.2.d</w:t>
            </w:r>
            <w:r w:rsidRPr="006624E0">
              <w:rPr>
                <w:rFonts w:ascii="Arial" w:hAnsi="Arial"/>
                <w:bCs/>
                <w:sz w:val="20"/>
                <w:szCs w:val="20"/>
              </w:rPr>
              <w:t xml:space="preserve">; if 180 days or more = active duty, per </w:t>
            </w:r>
            <w:r w:rsidRPr="006624E0">
              <w:rPr>
                <w:rStyle w:val="Strong"/>
                <w:rFonts w:ascii="Arial" w:hAnsi="Arial"/>
                <w:sz w:val="20"/>
                <w:szCs w:val="20"/>
              </w:rPr>
              <w:t>III.ii.6.A.2.d</w:t>
            </w:r>
            <w:r w:rsidRPr="006624E0">
              <w:rPr>
                <w:rFonts w:ascii="Arial" w:hAnsi="Arial"/>
                <w:bCs/>
                <w:sz w:val="20"/>
                <w:szCs w:val="20"/>
              </w:rPr>
              <w:t xml:space="preserve">; if fewer than 180 days = type of ADT, per </w:t>
            </w:r>
            <w:r w:rsidRPr="006624E0">
              <w:rPr>
                <w:rStyle w:val="Strong"/>
                <w:rFonts w:ascii="Arial" w:hAnsi="Arial"/>
                <w:sz w:val="20"/>
                <w:szCs w:val="20"/>
              </w:rPr>
              <w:t>III.ii.6.A.2.d</w:t>
            </w:r>
          </w:p>
          <w:p w:rsidR="006624E0" w:rsidRDefault="006624E0" w:rsidP="006624E0">
            <w:pPr>
              <w:spacing w:after="120"/>
              <w:ind w:left="105"/>
              <w:rPr>
                <w:b/>
                <w:bCs/>
              </w:rPr>
            </w:pPr>
          </w:p>
          <w:p w:rsidR="006624E0" w:rsidRPr="006624E0" w:rsidRDefault="006624E0" w:rsidP="006624E0">
            <w:pPr>
              <w:spacing w:after="120"/>
              <w:ind w:left="105"/>
              <w:rPr>
                <w:b/>
                <w:bCs/>
              </w:rPr>
            </w:pPr>
            <w:r w:rsidRPr="006624E0">
              <w:rPr>
                <w:b/>
                <w:bCs/>
              </w:rPr>
              <w:lastRenderedPageBreak/>
              <w:t>NATIONAL GUARD:</w:t>
            </w:r>
          </w:p>
          <w:p w:rsidR="006624E0" w:rsidRDefault="00E90FCB" w:rsidP="00F063AF">
            <w:pPr>
              <w:pStyle w:val="ListParagraph"/>
              <w:numPr>
                <w:ilvl w:val="0"/>
                <w:numId w:val="370"/>
              </w:numPr>
              <w:spacing w:after="120" w:line="240" w:lineRule="auto"/>
              <w:rPr>
                <w:rFonts w:ascii="Arial" w:hAnsi="Arial"/>
                <w:bCs/>
                <w:sz w:val="20"/>
                <w:szCs w:val="20"/>
              </w:rPr>
            </w:pPr>
            <w:r w:rsidRPr="006624E0">
              <w:rPr>
                <w:rFonts w:ascii="Arial" w:hAnsi="Arial"/>
                <w:bCs/>
                <w:sz w:val="20"/>
                <w:szCs w:val="20"/>
              </w:rPr>
              <w:t xml:space="preserve">Active Guard Reserve (AGR) – </w:t>
            </w:r>
            <w:r w:rsidR="006624E0">
              <w:rPr>
                <w:rFonts w:ascii="Arial" w:hAnsi="Arial"/>
                <w:bCs/>
                <w:sz w:val="20"/>
                <w:szCs w:val="20"/>
              </w:rPr>
              <w:t>full-time</w:t>
            </w:r>
            <w:r w:rsidRPr="006624E0">
              <w:rPr>
                <w:rFonts w:ascii="Arial" w:hAnsi="Arial"/>
                <w:bCs/>
                <w:sz w:val="20"/>
                <w:szCs w:val="20"/>
              </w:rPr>
              <w:t xml:space="preserve"> duty for operational support of the </w:t>
            </w:r>
            <w:r w:rsidRPr="006624E0">
              <w:rPr>
                <w:rFonts w:ascii="Arial" w:hAnsi="Arial"/>
                <w:bCs/>
                <w:sz w:val="20"/>
                <w:szCs w:val="20"/>
                <w:u w:val="single"/>
              </w:rPr>
              <w:t>National Guard</w:t>
            </w:r>
            <w:r w:rsidRPr="006624E0">
              <w:rPr>
                <w:rFonts w:ascii="Arial" w:hAnsi="Arial"/>
                <w:bCs/>
                <w:sz w:val="20"/>
                <w:szCs w:val="20"/>
              </w:rPr>
              <w:t xml:space="preserve"> under </w:t>
            </w:r>
            <w:r w:rsidRPr="006624E0">
              <w:rPr>
                <w:rFonts w:ascii="Arial" w:hAnsi="Arial"/>
                <w:sz w:val="20"/>
                <w:szCs w:val="20"/>
              </w:rPr>
              <w:t>Title 32 / 32 U.S.C 502(f)</w:t>
            </w:r>
            <w:r w:rsidR="006624E0" w:rsidRPr="006624E0">
              <w:rPr>
                <w:rFonts w:ascii="Arial" w:hAnsi="Arial"/>
                <w:sz w:val="20"/>
                <w:szCs w:val="20"/>
              </w:rPr>
              <w:t xml:space="preserve"> &amp; will get DD214</w:t>
            </w:r>
            <w:r w:rsidRPr="006624E0">
              <w:rPr>
                <w:rFonts w:ascii="Arial" w:hAnsi="Arial"/>
                <w:sz w:val="20"/>
                <w:szCs w:val="20"/>
              </w:rPr>
              <w:t>,</w:t>
            </w:r>
            <w:r w:rsidR="00A83D50" w:rsidRPr="006624E0">
              <w:rPr>
                <w:rFonts w:ascii="Arial" w:hAnsi="Arial"/>
                <w:sz w:val="20"/>
                <w:szCs w:val="20"/>
              </w:rPr>
              <w:t xml:space="preserve"> per</w:t>
            </w:r>
            <w:r w:rsidRPr="006624E0">
              <w:rPr>
                <w:rFonts w:ascii="Arial" w:hAnsi="Arial"/>
                <w:sz w:val="20"/>
                <w:szCs w:val="20"/>
              </w:rPr>
              <w:t xml:space="preserve"> </w:t>
            </w:r>
            <w:r w:rsidR="00A83D50" w:rsidRPr="006624E0">
              <w:rPr>
                <w:rFonts w:ascii="Arial" w:hAnsi="Arial"/>
                <w:b/>
                <w:bCs/>
                <w:sz w:val="20"/>
                <w:szCs w:val="20"/>
              </w:rPr>
              <w:t>III.ii.6.A.2.</w:t>
            </w:r>
            <w:r w:rsidR="006624E0">
              <w:rPr>
                <w:rFonts w:ascii="Arial" w:hAnsi="Arial"/>
                <w:b/>
                <w:bCs/>
                <w:sz w:val="20"/>
                <w:szCs w:val="20"/>
              </w:rPr>
              <w:t>c</w:t>
            </w:r>
            <w:r w:rsidR="00A83D50" w:rsidRPr="006624E0">
              <w:rPr>
                <w:rFonts w:ascii="Arial" w:hAnsi="Arial"/>
                <w:bCs/>
                <w:sz w:val="20"/>
                <w:szCs w:val="20"/>
              </w:rPr>
              <w:t>;</w:t>
            </w:r>
            <w:r w:rsidR="00DD253B" w:rsidRPr="006624E0">
              <w:rPr>
                <w:rFonts w:ascii="Arial" w:hAnsi="Arial"/>
                <w:bCs/>
                <w:sz w:val="20"/>
                <w:szCs w:val="20"/>
              </w:rPr>
              <w:t xml:space="preserve"> </w:t>
            </w:r>
            <w:r w:rsidR="006624E0">
              <w:rPr>
                <w:rFonts w:ascii="Arial" w:hAnsi="Arial"/>
                <w:bCs/>
                <w:sz w:val="20"/>
                <w:szCs w:val="20"/>
              </w:rPr>
              <w:t>full-time</w:t>
            </w:r>
            <w:r w:rsidR="00872BF1" w:rsidRPr="006624E0">
              <w:rPr>
                <w:rFonts w:ascii="Arial" w:hAnsi="Arial"/>
                <w:bCs/>
                <w:sz w:val="20"/>
                <w:szCs w:val="20"/>
              </w:rPr>
              <w:t xml:space="preserve"> operational/support service in ADT is NOT active duty, per</w:t>
            </w:r>
            <w:r w:rsidR="00872BF1" w:rsidRPr="006624E0">
              <w:rPr>
                <w:rFonts w:ascii="Arial" w:hAnsi="Arial"/>
                <w:b/>
                <w:bCs/>
                <w:sz w:val="20"/>
                <w:szCs w:val="20"/>
              </w:rPr>
              <w:t xml:space="preserve"> III.ii.6.A.4.b </w:t>
            </w:r>
            <w:r w:rsidR="00872BF1" w:rsidRPr="006624E0">
              <w:rPr>
                <w:rFonts w:ascii="Arial" w:hAnsi="Arial"/>
                <w:bCs/>
                <w:sz w:val="20"/>
                <w:szCs w:val="20"/>
              </w:rPr>
              <w:t xml:space="preserve">UNLESS it’s “other than active service” </w:t>
            </w:r>
            <w:r w:rsidR="00872BF1" w:rsidRPr="006624E0">
              <w:rPr>
                <w:rFonts w:ascii="Arial" w:hAnsi="Arial"/>
                <w:bCs/>
                <w:i/>
                <w:sz w:val="20"/>
                <w:szCs w:val="20"/>
              </w:rPr>
              <w:t xml:space="preserve">(I think they mean “active service”) </w:t>
            </w:r>
            <w:r w:rsidR="00872BF1" w:rsidRPr="006624E0">
              <w:rPr>
                <w:rFonts w:ascii="Arial" w:hAnsi="Arial"/>
                <w:bCs/>
                <w:sz w:val="20"/>
                <w:szCs w:val="20"/>
              </w:rPr>
              <w:t xml:space="preserve">under </w:t>
            </w:r>
            <w:r w:rsidR="00872BF1" w:rsidRPr="006624E0">
              <w:rPr>
                <w:rFonts w:ascii="Arial" w:hAnsi="Arial"/>
                <w:b/>
                <w:bCs/>
                <w:sz w:val="20"/>
                <w:szCs w:val="20"/>
              </w:rPr>
              <w:t>III.ii.6.A.1.b</w:t>
            </w:r>
            <w:r w:rsidR="00872BF1" w:rsidRPr="006624E0">
              <w:rPr>
                <w:rFonts w:ascii="Arial" w:hAnsi="Arial"/>
                <w:bCs/>
                <w:sz w:val="20"/>
                <w:szCs w:val="20"/>
              </w:rPr>
              <w:t xml:space="preserve"> (</w:t>
            </w:r>
            <w:r w:rsidR="00C6524B" w:rsidRPr="006624E0">
              <w:rPr>
                <w:rFonts w:ascii="Arial" w:hAnsi="Arial"/>
                <w:b/>
                <w:bCs/>
                <w:sz w:val="20"/>
                <w:szCs w:val="20"/>
              </w:rPr>
              <w:t>III.ii.6.A.1.b</w:t>
            </w:r>
            <w:r w:rsidR="00C6524B" w:rsidRPr="006624E0">
              <w:rPr>
                <w:rFonts w:ascii="Arial" w:hAnsi="Arial"/>
                <w:bCs/>
                <w:sz w:val="20"/>
                <w:szCs w:val="20"/>
              </w:rPr>
              <w:t xml:space="preserve"> </w:t>
            </w:r>
            <w:r w:rsidR="00C6524B">
              <w:rPr>
                <w:rFonts w:ascii="Arial" w:hAnsi="Arial"/>
                <w:bCs/>
                <w:sz w:val="20"/>
                <w:szCs w:val="20"/>
              </w:rPr>
              <w:t>says “active service” is</w:t>
            </w:r>
            <w:r w:rsidR="00872BF1" w:rsidRPr="006624E0">
              <w:rPr>
                <w:rFonts w:ascii="Arial" w:hAnsi="Arial"/>
                <w:bCs/>
                <w:sz w:val="20"/>
                <w:szCs w:val="20"/>
              </w:rPr>
              <w:t xml:space="preserve"> active duty, ADT with injury or di</w:t>
            </w:r>
            <w:r w:rsidR="00C6524B">
              <w:rPr>
                <w:rFonts w:ascii="Arial" w:hAnsi="Arial"/>
                <w:bCs/>
                <w:sz w:val="20"/>
                <w:szCs w:val="20"/>
              </w:rPr>
              <w:t>s</w:t>
            </w:r>
            <w:r w:rsidR="00872BF1" w:rsidRPr="006624E0">
              <w:rPr>
                <w:rFonts w:ascii="Arial" w:hAnsi="Arial"/>
                <w:bCs/>
                <w:sz w:val="20"/>
                <w:szCs w:val="20"/>
              </w:rPr>
              <w:t>ease, IADT with injury or MI or CVA</w:t>
            </w:r>
            <w:r w:rsidR="006624E0">
              <w:rPr>
                <w:rFonts w:ascii="Arial" w:hAnsi="Arial"/>
                <w:bCs/>
                <w:sz w:val="20"/>
                <w:szCs w:val="20"/>
              </w:rPr>
              <w:t>)</w:t>
            </w:r>
            <w:r w:rsidR="00872BF1" w:rsidRPr="006624E0">
              <w:rPr>
                <w:rFonts w:ascii="Arial" w:hAnsi="Arial"/>
                <w:bCs/>
                <w:sz w:val="20"/>
                <w:szCs w:val="20"/>
              </w:rPr>
              <w:t xml:space="preserve">; </w:t>
            </w:r>
            <w:r w:rsidR="00DD253B" w:rsidRPr="006624E0">
              <w:rPr>
                <w:rFonts w:ascii="Arial" w:hAnsi="Arial"/>
                <w:sz w:val="20"/>
                <w:szCs w:val="20"/>
              </w:rPr>
              <w:t>Title 32 / 32 USC / 32 U.S.C 502(f) OR 316, 502, 503, 504,</w:t>
            </w:r>
            <w:r w:rsidR="00C6524B">
              <w:rPr>
                <w:rFonts w:ascii="Arial" w:hAnsi="Arial"/>
                <w:sz w:val="20"/>
                <w:szCs w:val="20"/>
              </w:rPr>
              <w:t xml:space="preserve"> </w:t>
            </w:r>
            <w:r w:rsidR="00DD253B" w:rsidRPr="006624E0">
              <w:rPr>
                <w:rFonts w:ascii="Arial" w:hAnsi="Arial"/>
                <w:sz w:val="20"/>
                <w:szCs w:val="20"/>
              </w:rPr>
              <w:t xml:space="preserve">404 , if </w:t>
            </w:r>
            <w:r w:rsidR="006624E0">
              <w:rPr>
                <w:rFonts w:ascii="Arial" w:hAnsi="Arial"/>
                <w:sz w:val="20"/>
                <w:szCs w:val="20"/>
              </w:rPr>
              <w:t>full-time</w:t>
            </w:r>
            <w:r w:rsidR="00DD253B" w:rsidRPr="006624E0">
              <w:rPr>
                <w:rFonts w:ascii="Arial" w:hAnsi="Arial"/>
                <w:sz w:val="20"/>
                <w:szCs w:val="20"/>
              </w:rPr>
              <w:t xml:space="preserve"> for operational duty = ADT, per </w:t>
            </w:r>
            <w:r w:rsidRPr="006624E0">
              <w:rPr>
                <w:rFonts w:ascii="Arial" w:hAnsi="Arial"/>
                <w:b/>
                <w:sz w:val="20"/>
                <w:szCs w:val="20"/>
              </w:rPr>
              <w:t>III.ii.6.A.4.c</w:t>
            </w:r>
            <w:r w:rsidR="00872BF1" w:rsidRPr="006624E0">
              <w:rPr>
                <w:rFonts w:ascii="Arial" w:hAnsi="Arial"/>
                <w:sz w:val="20"/>
                <w:szCs w:val="20"/>
              </w:rPr>
              <w:t xml:space="preserve">; </w:t>
            </w:r>
            <w:r w:rsidR="00DD253B" w:rsidRPr="006624E0">
              <w:rPr>
                <w:rFonts w:ascii="Arial" w:hAnsi="Arial"/>
                <w:sz w:val="20"/>
                <w:szCs w:val="20"/>
              </w:rPr>
              <w:t xml:space="preserve">only </w:t>
            </w:r>
            <w:r w:rsidR="00872BF1" w:rsidRPr="006624E0">
              <w:rPr>
                <w:rFonts w:ascii="Arial" w:hAnsi="Arial"/>
                <w:sz w:val="20"/>
                <w:szCs w:val="20"/>
              </w:rPr>
              <w:t>active duty</w:t>
            </w:r>
            <w:r w:rsidR="00DD253B" w:rsidRPr="006624E0">
              <w:rPr>
                <w:rFonts w:ascii="Arial" w:hAnsi="Arial"/>
                <w:sz w:val="20"/>
                <w:szCs w:val="20"/>
              </w:rPr>
              <w:t xml:space="preserve"> if disabled or dies, also per </w:t>
            </w:r>
            <w:r w:rsidR="00DD253B" w:rsidRPr="006624E0">
              <w:rPr>
                <w:rFonts w:ascii="Arial" w:hAnsi="Arial"/>
                <w:b/>
                <w:bCs/>
                <w:sz w:val="20"/>
                <w:szCs w:val="20"/>
              </w:rPr>
              <w:t>III.ii.6.A.4.c</w:t>
            </w:r>
            <w:r w:rsidR="00DD253B" w:rsidRPr="006624E0">
              <w:rPr>
                <w:rFonts w:ascii="Arial" w:hAnsi="Arial"/>
                <w:bCs/>
                <w:sz w:val="20"/>
                <w:szCs w:val="20"/>
              </w:rPr>
              <w:t xml:space="preserve"> </w:t>
            </w:r>
            <w:r w:rsidR="00872BF1" w:rsidRPr="006624E0">
              <w:rPr>
                <w:rFonts w:ascii="Arial" w:hAnsi="Arial"/>
                <w:bCs/>
                <w:sz w:val="20"/>
                <w:szCs w:val="20"/>
              </w:rPr>
              <w:t xml:space="preserve">&amp; per </w:t>
            </w:r>
            <w:r w:rsidR="00872BF1" w:rsidRPr="006624E0">
              <w:rPr>
                <w:rStyle w:val="Strong"/>
                <w:rFonts w:ascii="Arial" w:hAnsi="Arial"/>
                <w:bCs w:val="0"/>
                <w:sz w:val="20"/>
                <w:szCs w:val="20"/>
              </w:rPr>
              <w:t>III.ii.6.A.2.f</w:t>
            </w:r>
            <w:bookmarkStart w:id="36" w:name="2f"/>
            <w:r w:rsidR="00872BF1" w:rsidRPr="006624E0">
              <w:rPr>
                <w:rStyle w:val="Strong"/>
                <w:rFonts w:ascii="Arial" w:hAnsi="Arial"/>
                <w:bCs w:val="0"/>
                <w:color w:val="444444"/>
                <w:sz w:val="20"/>
                <w:szCs w:val="20"/>
              </w:rPr>
              <w:t>.</w:t>
            </w:r>
            <w:bookmarkEnd w:id="36"/>
            <w:r w:rsidR="00872BF1" w:rsidRPr="006624E0">
              <w:rPr>
                <w:rStyle w:val="Strong"/>
                <w:rFonts w:ascii="Arial" w:hAnsi="Arial"/>
                <w:b w:val="0"/>
                <w:bCs w:val="0"/>
                <w:sz w:val="20"/>
                <w:szCs w:val="20"/>
              </w:rPr>
              <w:t> </w:t>
            </w:r>
          </w:p>
          <w:p w:rsidR="00E90FCB" w:rsidRPr="006624E0" w:rsidRDefault="00E90FCB" w:rsidP="00F063AF">
            <w:pPr>
              <w:pStyle w:val="ListParagraph"/>
              <w:numPr>
                <w:ilvl w:val="0"/>
                <w:numId w:val="370"/>
              </w:numPr>
              <w:spacing w:after="120" w:line="240" w:lineRule="auto"/>
              <w:rPr>
                <w:rFonts w:ascii="Arial" w:hAnsi="Arial"/>
                <w:bCs/>
                <w:sz w:val="20"/>
                <w:szCs w:val="20"/>
              </w:rPr>
            </w:pPr>
            <w:r w:rsidRPr="006624E0">
              <w:rPr>
                <w:rFonts w:ascii="Arial" w:hAnsi="Arial"/>
                <w:bCs/>
                <w:sz w:val="20"/>
                <w:szCs w:val="20"/>
              </w:rPr>
              <w:t xml:space="preserve">Active Duty Support (ADS), previously known as Active Duty Special Work (ADSW) – </w:t>
            </w:r>
            <w:r w:rsidR="006624E0" w:rsidRPr="006624E0">
              <w:rPr>
                <w:rFonts w:ascii="Arial" w:hAnsi="Arial"/>
                <w:bCs/>
                <w:sz w:val="20"/>
                <w:szCs w:val="20"/>
              </w:rPr>
              <w:t>full-time</w:t>
            </w:r>
            <w:r w:rsidRPr="006624E0">
              <w:rPr>
                <w:rFonts w:ascii="Arial" w:hAnsi="Arial"/>
                <w:bCs/>
                <w:sz w:val="20"/>
                <w:szCs w:val="20"/>
              </w:rPr>
              <w:t xml:space="preserve">, temporary (generally fewer than180 days) duty for operational support of the </w:t>
            </w:r>
            <w:r w:rsidRPr="006624E0">
              <w:rPr>
                <w:rFonts w:ascii="Arial" w:hAnsi="Arial"/>
                <w:bCs/>
                <w:sz w:val="20"/>
                <w:szCs w:val="20"/>
                <w:u w:val="single"/>
              </w:rPr>
              <w:t>National Guard</w:t>
            </w:r>
            <w:r w:rsidRPr="006624E0">
              <w:rPr>
                <w:rFonts w:ascii="Arial" w:hAnsi="Arial"/>
                <w:bCs/>
                <w:sz w:val="20"/>
                <w:szCs w:val="20"/>
              </w:rPr>
              <w:t xml:space="preserve"> – usually no DD214</w:t>
            </w:r>
            <w:r w:rsidR="00C8167B" w:rsidRPr="006624E0">
              <w:rPr>
                <w:rFonts w:ascii="Arial" w:hAnsi="Arial"/>
                <w:bCs/>
                <w:sz w:val="20"/>
                <w:szCs w:val="20"/>
              </w:rPr>
              <w:t>, per</w:t>
            </w:r>
            <w:r w:rsidR="00A83D50" w:rsidRPr="006624E0">
              <w:rPr>
                <w:rFonts w:ascii="Arial" w:hAnsi="Arial"/>
                <w:b/>
                <w:bCs/>
                <w:sz w:val="20"/>
                <w:szCs w:val="20"/>
              </w:rPr>
              <w:t xml:space="preserve"> III.ii.6.A.2.c </w:t>
            </w:r>
            <w:r w:rsidR="00DD253B" w:rsidRPr="006624E0">
              <w:rPr>
                <w:rFonts w:ascii="Arial" w:hAnsi="Arial"/>
                <w:bCs/>
                <w:sz w:val="20"/>
                <w:szCs w:val="20"/>
              </w:rPr>
              <w:t>(</w:t>
            </w:r>
            <w:r w:rsidR="00DD253B" w:rsidRPr="006624E0">
              <w:rPr>
                <w:rStyle w:val="Strong"/>
                <w:rFonts w:ascii="Arial" w:hAnsi="Arial"/>
                <w:sz w:val="20"/>
                <w:szCs w:val="20"/>
              </w:rPr>
              <w:t>III.ii.6.A.2.d</w:t>
            </w:r>
            <w:r w:rsidR="00DD253B" w:rsidRPr="006624E0">
              <w:rPr>
                <w:rFonts w:ascii="Arial" w:hAnsi="Arial"/>
                <w:bCs/>
                <w:sz w:val="20"/>
                <w:szCs w:val="20"/>
              </w:rPr>
              <w:t xml:space="preserve"> also says routinely no DD214)</w:t>
            </w:r>
            <w:r w:rsidR="00C8167B" w:rsidRPr="006624E0">
              <w:rPr>
                <w:rFonts w:ascii="Arial" w:hAnsi="Arial"/>
                <w:bCs/>
                <w:sz w:val="20"/>
                <w:szCs w:val="20"/>
              </w:rPr>
              <w:t xml:space="preserve">; if 180 days or more = active duty, per </w:t>
            </w:r>
            <w:r w:rsidR="00C8167B" w:rsidRPr="006624E0">
              <w:rPr>
                <w:rStyle w:val="Strong"/>
                <w:rFonts w:ascii="Arial" w:hAnsi="Arial"/>
                <w:sz w:val="20"/>
                <w:szCs w:val="20"/>
              </w:rPr>
              <w:t>III.ii.6.A.2.d</w:t>
            </w:r>
            <w:r w:rsidR="00C8167B" w:rsidRPr="006624E0">
              <w:rPr>
                <w:rFonts w:ascii="Arial" w:hAnsi="Arial"/>
                <w:bCs/>
                <w:sz w:val="20"/>
                <w:szCs w:val="20"/>
              </w:rPr>
              <w:t xml:space="preserve">; if fewer than 180 days = type of ADT, per </w:t>
            </w:r>
            <w:r w:rsidR="00C8167B" w:rsidRPr="006624E0">
              <w:rPr>
                <w:rStyle w:val="Strong"/>
                <w:rFonts w:ascii="Arial" w:hAnsi="Arial"/>
                <w:sz w:val="20"/>
                <w:szCs w:val="20"/>
              </w:rPr>
              <w:t>III.ii.6.A.2.d</w:t>
            </w:r>
            <w:r w:rsidR="00A83D50" w:rsidRPr="006624E0">
              <w:rPr>
                <w:rFonts w:ascii="Arial" w:hAnsi="Arial"/>
                <w:bCs/>
                <w:sz w:val="20"/>
                <w:szCs w:val="20"/>
              </w:rPr>
              <w:t>;</w:t>
            </w:r>
            <w:r w:rsidR="00C8167B" w:rsidRPr="006624E0">
              <w:rPr>
                <w:rFonts w:ascii="Arial" w:hAnsi="Arial"/>
                <w:bCs/>
                <w:sz w:val="20"/>
                <w:szCs w:val="20"/>
              </w:rPr>
              <w:t xml:space="preserve"> BUT </w:t>
            </w:r>
            <w:r w:rsidRPr="006624E0">
              <w:rPr>
                <w:rFonts w:ascii="Arial" w:hAnsi="Arial"/>
                <w:b/>
                <w:bCs/>
                <w:sz w:val="20"/>
                <w:szCs w:val="20"/>
              </w:rPr>
              <w:t>III.ii.6.A.4.c</w:t>
            </w:r>
            <w:r w:rsidR="00C8167B" w:rsidRPr="006624E0">
              <w:rPr>
                <w:rFonts w:ascii="Arial" w:hAnsi="Arial"/>
                <w:bCs/>
                <w:sz w:val="20"/>
                <w:szCs w:val="20"/>
              </w:rPr>
              <w:t xml:space="preserve"> says </w:t>
            </w:r>
            <w:r w:rsidR="00DD253B" w:rsidRPr="006624E0">
              <w:rPr>
                <w:rFonts w:ascii="Arial" w:hAnsi="Arial"/>
                <w:sz w:val="20"/>
                <w:szCs w:val="20"/>
              </w:rPr>
              <w:t xml:space="preserve">Title 32 / 32 USC / 32 U.S.C 502(f) OR 316, 502, 503, 504,404 , if </w:t>
            </w:r>
            <w:r w:rsidR="006624E0" w:rsidRPr="006624E0">
              <w:rPr>
                <w:rFonts w:ascii="Arial" w:hAnsi="Arial"/>
                <w:sz w:val="20"/>
                <w:szCs w:val="20"/>
              </w:rPr>
              <w:t>full-time</w:t>
            </w:r>
            <w:r w:rsidR="00DD253B" w:rsidRPr="006624E0">
              <w:rPr>
                <w:rFonts w:ascii="Arial" w:hAnsi="Arial"/>
                <w:sz w:val="20"/>
                <w:szCs w:val="20"/>
              </w:rPr>
              <w:t xml:space="preserve"> for operational duty = ADT, only AD if disabled or dies, also per </w:t>
            </w:r>
            <w:r w:rsidR="00DD253B" w:rsidRPr="006624E0">
              <w:rPr>
                <w:rFonts w:ascii="Arial" w:hAnsi="Arial"/>
                <w:b/>
                <w:bCs/>
                <w:sz w:val="20"/>
                <w:szCs w:val="20"/>
              </w:rPr>
              <w:t>III.ii.6.A.4.c</w:t>
            </w:r>
            <w:r w:rsidR="006624E0" w:rsidRPr="006624E0">
              <w:rPr>
                <w:rFonts w:ascii="Arial" w:hAnsi="Arial"/>
                <w:bCs/>
                <w:sz w:val="20"/>
                <w:szCs w:val="20"/>
              </w:rPr>
              <w:t xml:space="preserve"> </w:t>
            </w:r>
            <w:r w:rsidR="00DD253B" w:rsidRPr="006624E0">
              <w:rPr>
                <w:rFonts w:ascii="Arial" w:hAnsi="Arial"/>
                <w:sz w:val="20"/>
                <w:szCs w:val="20"/>
              </w:rPr>
              <w:t>(contradicts</w:t>
            </w:r>
            <w:r w:rsidR="00DD253B" w:rsidRPr="006624E0">
              <w:rPr>
                <w:rFonts w:ascii="Arial" w:hAnsi="Arial"/>
                <w:bCs/>
                <w:sz w:val="20"/>
                <w:szCs w:val="20"/>
              </w:rPr>
              <w:t xml:space="preserve"> </w:t>
            </w:r>
            <w:r w:rsidR="00DD253B" w:rsidRPr="006624E0">
              <w:rPr>
                <w:rStyle w:val="Strong"/>
                <w:rFonts w:ascii="Arial" w:hAnsi="Arial"/>
                <w:sz w:val="20"/>
                <w:szCs w:val="20"/>
              </w:rPr>
              <w:t>III.ii.6.A.2.d</w:t>
            </w:r>
            <w:r w:rsidR="00DD253B" w:rsidRPr="006624E0">
              <w:rPr>
                <w:rStyle w:val="Strong"/>
                <w:rFonts w:ascii="Arial" w:hAnsi="Arial"/>
                <w:b w:val="0"/>
                <w:sz w:val="20"/>
                <w:szCs w:val="20"/>
              </w:rPr>
              <w:t>, which says it’s AD if 180 days or more</w:t>
            </w:r>
            <w:r w:rsidR="001D09B0" w:rsidRPr="001D09B0">
              <w:rPr>
                <w:rStyle w:val="Strong"/>
                <w:rFonts w:ascii="Arial" w:hAnsi="Arial"/>
                <w:b w:val="0"/>
                <w:sz w:val="20"/>
                <w:szCs w:val="20"/>
              </w:rPr>
              <w:t>)</w:t>
            </w:r>
          </w:p>
          <w:p w:rsidR="00E90FCB" w:rsidRDefault="00E90FCB" w:rsidP="00636754"/>
          <w:p w:rsidR="006624E0" w:rsidRDefault="006624E0" w:rsidP="00636754"/>
          <w:p w:rsidR="005D5F47" w:rsidRPr="002D4334" w:rsidRDefault="005D5F47" w:rsidP="00636754">
            <w:pPr>
              <w:widowControl w:val="0"/>
              <w:rPr>
                <w:b/>
                <w:sz w:val="22"/>
              </w:rPr>
            </w:pPr>
            <w:r w:rsidRPr="002D4334">
              <w:rPr>
                <w:b/>
              </w:rPr>
              <w:t>III.ii.6.A.2.e</w:t>
            </w:r>
            <w:r>
              <w:rPr>
                <w:b/>
              </w:rPr>
              <w:t xml:space="preserve"> </w:t>
            </w:r>
            <w:r>
              <w:t>says NGB Form 22, Report of Separation and Record of Service “does not verify individual periods of ADT or IADT</w:t>
            </w:r>
            <w:r w:rsidR="001946CC">
              <w:t>.</w:t>
            </w:r>
            <w:r>
              <w:t xml:space="preserve">” </w:t>
            </w:r>
            <w:r w:rsidRPr="002D4334">
              <w:rPr>
                <w:b/>
              </w:rPr>
              <w:t>III.ii.6.A.4.a</w:t>
            </w:r>
            <w:r>
              <w:rPr>
                <w:b/>
              </w:rPr>
              <w:t xml:space="preserve"> &amp; III.ii.6.A.4.e</w:t>
            </w:r>
            <w:r>
              <w:t xml:space="preserve"> say will get 2</w:t>
            </w:r>
            <w:r w:rsidR="001D09B0">
              <w:t>14 for period of initial ADT. BUT</w:t>
            </w:r>
            <w:r>
              <w:rPr>
                <w:b/>
              </w:rPr>
              <w:t xml:space="preserve"> </w:t>
            </w:r>
            <w:r w:rsidRPr="00AD038A">
              <w:rPr>
                <w:b/>
              </w:rPr>
              <w:t>III.ii.6.B.3.a</w:t>
            </w:r>
            <w:r>
              <w:t xml:space="preserve"> says</w:t>
            </w:r>
            <w:r w:rsidRPr="00AD038A">
              <w:t xml:space="preserve"> </w:t>
            </w:r>
            <w:r w:rsidRPr="00AD038A">
              <w:rPr>
                <w:i/>
              </w:rPr>
              <w:t>NGB Form 22, National Guard Report of Separation and Record of Service,</w:t>
            </w:r>
            <w:r w:rsidRPr="00AD038A">
              <w:t xml:space="preserve"> </w:t>
            </w:r>
            <w:r>
              <w:t xml:space="preserve">is acceptable/adequate evidence of </w:t>
            </w:r>
            <w:r w:rsidRPr="00AD038A">
              <w:t>service</w:t>
            </w:r>
            <w:r>
              <w:t>.</w:t>
            </w:r>
          </w:p>
          <w:p w:rsidR="005B6D00" w:rsidRDefault="005D5F47" w:rsidP="00636754">
            <w:r>
              <w:rPr>
                <w:b/>
              </w:rPr>
              <w:t xml:space="preserve">III.ii.6.A.4.d </w:t>
            </w:r>
            <w:r w:rsidRPr="00C43A10">
              <w:t>– Title 10 service in National Guard</w:t>
            </w:r>
            <w:r w:rsidR="00C97F07">
              <w:t xml:space="preserve"> / 10 USC</w:t>
            </w:r>
            <w:r w:rsidR="005B3C93">
              <w:t xml:space="preserve"> / 10 U.S</w:t>
            </w:r>
            <w:r w:rsidR="005B6D00">
              <w:t>.C.</w:t>
            </w:r>
          </w:p>
          <w:p w:rsidR="005B6D00" w:rsidRDefault="005B3C93" w:rsidP="00636754">
            <w:r>
              <w:t>if Federal active duty = qualifying service</w:t>
            </w:r>
          </w:p>
          <w:p w:rsidR="005D5F47" w:rsidRDefault="005B3C93" w:rsidP="00636754">
            <w:r>
              <w:t>if ADT</w:t>
            </w:r>
            <w:r w:rsidR="005B6D00">
              <w:t xml:space="preserve"> under 10 U.S.C. 12301(d)</w:t>
            </w:r>
            <w:r>
              <w:t xml:space="preserve"> = NOT actually ADT</w:t>
            </w:r>
          </w:p>
          <w:p w:rsidR="005D5F47" w:rsidRDefault="005D5F47" w:rsidP="00636754"/>
          <w:p w:rsidR="005D5F47" w:rsidRDefault="005D5F47" w:rsidP="00636754"/>
          <w:p w:rsidR="005D5F47" w:rsidRDefault="005D5F47" w:rsidP="00636754">
            <w:pPr>
              <w:widowControl w:val="0"/>
              <w:rPr>
                <w:b/>
                <w:bCs/>
              </w:rPr>
            </w:pPr>
            <w:r w:rsidRPr="00F11169">
              <w:rPr>
                <w:b/>
                <w:bCs/>
              </w:rPr>
              <w:t>IADT – III.ii.6.A.2.g &amp; IV.ii.2.B.1.m</w:t>
            </w:r>
            <w:r w:rsidRPr="00F11169">
              <w:rPr>
                <w:bCs/>
              </w:rPr>
              <w:t>,</w:t>
            </w:r>
            <w:r w:rsidRPr="00F11169">
              <w:rPr>
                <w:b/>
                <w:bCs/>
              </w:rPr>
              <w:t xml:space="preserve"> </w:t>
            </w:r>
            <w:r w:rsidRPr="00533E2B">
              <w:rPr>
                <w:bCs/>
              </w:rPr>
              <w:t>“</w:t>
            </w:r>
            <w:r w:rsidRPr="00F11169">
              <w:t>An individual who suffers from posttraumatic stress disorder (PTSD) as a result of military sexual trauma (MST) that occurred during a period of inactive duty for training may be considered disabled by an injury for purposes of 38 U.S.C. 101(2) and (24)”</w:t>
            </w:r>
          </w:p>
          <w:p w:rsidR="005D5F47" w:rsidRDefault="005D5F47" w:rsidP="00636754">
            <w:pPr>
              <w:widowControl w:val="0"/>
              <w:rPr>
                <w:b/>
                <w:bCs/>
              </w:rPr>
            </w:pPr>
          </w:p>
          <w:p w:rsidR="005D5F47" w:rsidRDefault="005D5F47" w:rsidP="00636754">
            <w:pPr>
              <w:widowControl w:val="0"/>
              <w:rPr>
                <w:b/>
                <w:bCs/>
              </w:rPr>
            </w:pPr>
          </w:p>
          <w:p w:rsidR="005D5F47" w:rsidRDefault="005D5F47" w:rsidP="00636754">
            <w:r w:rsidRPr="002D4334">
              <w:rPr>
                <w:b/>
              </w:rPr>
              <w:t>III.ii.6.A.2.h</w:t>
            </w:r>
            <w:r>
              <w:t xml:space="preserve"> – The presumption of soundness does not automatically apply to all periods of ADT &amp; IADT.</w:t>
            </w:r>
          </w:p>
          <w:p w:rsidR="005D5F47" w:rsidRDefault="005D5F47" w:rsidP="00636754">
            <w:r w:rsidRPr="00F2233D">
              <w:rPr>
                <w:b/>
                <w:bCs/>
              </w:rPr>
              <w:t>IV.ii.2.B.2.</w:t>
            </w:r>
            <w:r w:rsidR="00F82612">
              <w:rPr>
                <w:b/>
                <w:bCs/>
              </w:rPr>
              <w:t>b</w:t>
            </w:r>
            <w:r w:rsidRPr="00F2233D">
              <w:rPr>
                <w:bCs/>
              </w:rPr>
              <w:t xml:space="preserve"> – </w:t>
            </w:r>
            <w:r w:rsidR="00216768">
              <w:rPr>
                <w:bCs/>
              </w:rPr>
              <w:t>“</w:t>
            </w:r>
            <w:r w:rsidRPr="00F2233D">
              <w:rPr>
                <w:bCs/>
              </w:rPr>
              <w:t xml:space="preserve">In </w:t>
            </w:r>
            <w:r w:rsidRPr="00F2233D">
              <w:t>claims based on a period of active duty for training</w:t>
            </w:r>
            <w:r w:rsidR="00F82612">
              <w:t xml:space="preserve"> (ADT)</w:t>
            </w:r>
            <w:r w:rsidRPr="00F2233D">
              <w:t>, there is no presumption of SC for chronic diseases under</w:t>
            </w:r>
            <w:r>
              <w:t xml:space="preserve"> 3.309(a) or tropical disea</w:t>
            </w:r>
            <w:r w:rsidRPr="00F2233D">
              <w:t>ses under</w:t>
            </w:r>
            <w:r>
              <w:t xml:space="preserve"> 3.309(b).</w:t>
            </w:r>
            <w:r w:rsidR="00216768">
              <w:t>”</w:t>
            </w:r>
          </w:p>
          <w:p w:rsidR="005D5F47" w:rsidRDefault="005D5F47" w:rsidP="00636754">
            <w:pPr>
              <w:rPr>
                <w:bCs/>
              </w:rPr>
            </w:pPr>
            <w:r w:rsidRPr="00DA4C08">
              <w:rPr>
                <w:b/>
                <w:bCs/>
              </w:rPr>
              <w:t>III.ii.6.A.2.</w:t>
            </w:r>
            <w:r>
              <w:rPr>
                <w:b/>
                <w:bCs/>
              </w:rPr>
              <w:t>i</w:t>
            </w:r>
            <w:r>
              <w:rPr>
                <w:bCs/>
              </w:rPr>
              <w:t xml:space="preserve"> </w:t>
            </w:r>
            <w:r w:rsidR="00216768" w:rsidRPr="00216768">
              <w:rPr>
                <w:bCs/>
              </w:rPr>
              <w:t>“</w:t>
            </w:r>
            <w:r w:rsidR="00216768" w:rsidRPr="00216768">
              <w:t xml:space="preserve">As ADT and IADT is not considered active service and Veteran status is not achieved on the basis of ADT or IADT, presumptive provisions under </w:t>
            </w:r>
            <w:r w:rsidR="00216768" w:rsidRPr="00216768">
              <w:rPr>
                <w:b/>
                <w:bCs/>
                <w:u w:val="single"/>
              </w:rPr>
              <w:t>38 CFR 3.307</w:t>
            </w:r>
            <w:r w:rsidR="00216768" w:rsidRPr="00216768">
              <w:t xml:space="preserve"> cannot apply to periods of ADT or IADT.</w:t>
            </w:r>
            <w:r w:rsidR="00216768" w:rsidRPr="00216768">
              <w:rPr>
                <w:bCs/>
              </w:rPr>
              <w:t xml:space="preserve">” </w:t>
            </w:r>
            <w:r w:rsidRPr="00216768">
              <w:rPr>
                <w:bCs/>
              </w:rPr>
              <w:t>(exception:  if SC is established)</w:t>
            </w:r>
          </w:p>
          <w:p w:rsidR="005D5F47" w:rsidRPr="00AD038A" w:rsidRDefault="005D5F47" w:rsidP="00636754">
            <w:pPr>
              <w:widowControl w:val="0"/>
              <w:rPr>
                <w:b/>
                <w:bCs/>
              </w:rPr>
            </w:pPr>
            <w:r>
              <w:rPr>
                <w:b/>
                <w:bCs/>
              </w:rPr>
              <w:t xml:space="preserve">ADT &amp; presumption of soundness </w:t>
            </w:r>
            <w:r w:rsidRPr="00AD038A">
              <w:rPr>
                <w:b/>
                <w:bCs/>
              </w:rPr>
              <w:t>- IV.ii.2.B.1.l</w:t>
            </w:r>
          </w:p>
          <w:p w:rsidR="005D5F47" w:rsidRDefault="005D5F47" w:rsidP="00636754">
            <w:pPr>
              <w:widowControl w:val="0"/>
            </w:pPr>
            <w:r w:rsidRPr="00AD038A">
              <w:rPr>
                <w:b/>
                <w:bCs/>
              </w:rPr>
              <w:t>IADT &amp; presumption of soundness - IV.ii.2.B.1.m</w:t>
            </w:r>
          </w:p>
          <w:p w:rsidR="005D5F47" w:rsidRDefault="005D5F47" w:rsidP="00636754"/>
          <w:p w:rsidR="005D5F47" w:rsidRDefault="005D5F47" w:rsidP="00636754"/>
          <w:p w:rsidR="005D5F47" w:rsidRDefault="005D5F47" w:rsidP="00636754">
            <w:pPr>
              <w:rPr>
                <w:bCs/>
                <w:i/>
              </w:rPr>
            </w:pPr>
            <w:r w:rsidRPr="00DA4C08">
              <w:rPr>
                <w:b/>
                <w:bCs/>
              </w:rPr>
              <w:t>III.ii.6.A.2.</w:t>
            </w:r>
            <w:r>
              <w:rPr>
                <w:b/>
                <w:bCs/>
              </w:rPr>
              <w:t>j</w:t>
            </w:r>
            <w:r>
              <w:rPr>
                <w:bCs/>
              </w:rPr>
              <w:t xml:space="preserve"> says ADT / IADT does not establish veteran status, the presumption of aggravation does not apply for preexisting conditions (the evidence must show worsening CAUSED by the ADT / IADT); </w:t>
            </w:r>
            <w:r w:rsidRPr="00C820D0">
              <w:rPr>
                <w:bCs/>
                <w:i/>
              </w:rPr>
              <w:t>this is different from normal aggravat</w:t>
            </w:r>
            <w:r>
              <w:rPr>
                <w:bCs/>
                <w:i/>
              </w:rPr>
              <w:t>ion</w:t>
            </w:r>
            <w:r w:rsidRPr="00C820D0">
              <w:rPr>
                <w:bCs/>
                <w:i/>
              </w:rPr>
              <w:t xml:space="preserve">, where VA has to prove </w:t>
            </w:r>
            <w:r>
              <w:rPr>
                <w:bCs/>
                <w:i/>
              </w:rPr>
              <w:t>there was no</w:t>
            </w:r>
            <w:r w:rsidRPr="00C820D0">
              <w:rPr>
                <w:bCs/>
                <w:i/>
              </w:rPr>
              <w:t xml:space="preserve"> aggravation</w:t>
            </w:r>
          </w:p>
          <w:p w:rsidR="00FF0858" w:rsidRPr="00FF0858" w:rsidRDefault="00FF0858" w:rsidP="00FF0858">
            <w:pPr>
              <w:widowControl w:val="0"/>
              <w:spacing w:after="120"/>
              <w:rPr>
                <w:i/>
                <w:iCs/>
              </w:rPr>
            </w:pPr>
            <w:r w:rsidRPr="00FF0858">
              <w:rPr>
                <w:b/>
                <w:iCs/>
              </w:rPr>
              <w:t>IV.ii.2.B.4</w:t>
            </w:r>
            <w:r>
              <w:rPr>
                <w:b/>
                <w:iCs/>
              </w:rPr>
              <w:t>.g</w:t>
            </w:r>
            <w:r>
              <w:rPr>
                <w:iCs/>
              </w:rPr>
              <w:t xml:space="preserve"> – more on aggravation during ADT / IADT</w:t>
            </w:r>
          </w:p>
          <w:p w:rsidR="005D5F47" w:rsidRDefault="005D5F47" w:rsidP="00636754">
            <w:pPr>
              <w:widowControl w:val="0"/>
              <w:rPr>
                <w:b/>
                <w:bCs/>
              </w:rPr>
            </w:pPr>
          </w:p>
          <w:p w:rsidR="008A476F" w:rsidRPr="00D62885" w:rsidRDefault="00D62885" w:rsidP="00636754">
            <w:pPr>
              <w:widowControl w:val="0"/>
              <w:rPr>
                <w:bCs/>
                <w:i/>
              </w:rPr>
            </w:pPr>
            <w:r>
              <w:rPr>
                <w:bCs/>
                <w:i/>
              </w:rPr>
              <w:t>u</w:t>
            </w:r>
            <w:r w:rsidRPr="00D62885">
              <w:rPr>
                <w:bCs/>
                <w:i/>
              </w:rPr>
              <w:t>pdated 7/8/16</w:t>
            </w:r>
          </w:p>
          <w:p w:rsidR="005D5F47" w:rsidRPr="003C69A5" w:rsidRDefault="00CC5E6D" w:rsidP="00636754">
            <w:pPr>
              <w:widowControl w:val="0"/>
              <w:rPr>
                <w:bCs/>
              </w:rPr>
            </w:pPr>
            <w:r w:rsidRPr="00CC5E6D">
              <w:rPr>
                <w:rStyle w:val="Strong"/>
                <w:bCs w:val="0"/>
                <w:szCs w:val="21"/>
              </w:rPr>
              <w:t>III.ii.6.A.2.k</w:t>
            </w:r>
            <w:r w:rsidRPr="00CC5E6D">
              <w:rPr>
                <w:rStyle w:val="Strong"/>
                <w:b w:val="0"/>
                <w:bCs w:val="0"/>
                <w:color w:val="444444"/>
                <w:szCs w:val="21"/>
              </w:rPr>
              <w:t>.</w:t>
            </w:r>
            <w:r w:rsidRPr="00CC5E6D">
              <w:rPr>
                <w:rStyle w:val="Strong"/>
                <w:b w:val="0"/>
                <w:bCs w:val="0"/>
                <w:szCs w:val="21"/>
              </w:rPr>
              <w:t xml:space="preserve"> </w:t>
            </w:r>
            <w:r w:rsidRPr="003C69A5">
              <w:rPr>
                <w:rStyle w:val="Strong"/>
                <w:bCs w:val="0"/>
                <w:szCs w:val="21"/>
              </w:rPr>
              <w:t>Adjudicating Claims Based on ADT and IADT</w:t>
            </w:r>
          </w:p>
          <w:p w:rsidR="00833346" w:rsidRPr="00833346" w:rsidRDefault="00833346" w:rsidP="007B5CCB">
            <w:r w:rsidRPr="00833346">
              <w:t xml:space="preserve">When SC for disability or death has been established based on a period of ADT or IADT, the rating activity will identify this period as active service by </w:t>
            </w:r>
            <w:r w:rsidRPr="004B39B6">
              <w:t xml:space="preserve">preparing </w:t>
            </w:r>
            <w:r w:rsidR="004B39B6" w:rsidRPr="004B39B6">
              <w:rPr>
                <w:rStyle w:val="Emphasis"/>
              </w:rPr>
              <w:t>VA Form 21-6789</w:t>
            </w:r>
            <w:r w:rsidRPr="004B39B6">
              <w:rPr>
                <w:rStyle w:val="Emphasis"/>
              </w:rPr>
              <w:t>,</w:t>
            </w:r>
            <w:r w:rsidRPr="004B39B6">
              <w:t xml:space="preserve"> identifying</w:t>
            </w:r>
          </w:p>
          <w:p w:rsidR="00833346" w:rsidRPr="00833346" w:rsidRDefault="00833346" w:rsidP="00F063AF">
            <w:pPr>
              <w:numPr>
                <w:ilvl w:val="0"/>
                <w:numId w:val="370"/>
              </w:numPr>
              <w:overflowPunct/>
              <w:autoSpaceDE/>
              <w:autoSpaceDN/>
              <w:adjustRightInd/>
              <w:textAlignment w:val="auto"/>
            </w:pPr>
            <w:r w:rsidRPr="00833346">
              <w:t>the dates of service, and</w:t>
            </w:r>
          </w:p>
          <w:p w:rsidR="00833346" w:rsidRPr="00833346" w:rsidRDefault="00833346" w:rsidP="00F063AF">
            <w:pPr>
              <w:numPr>
                <w:ilvl w:val="0"/>
                <w:numId w:val="370"/>
              </w:numPr>
              <w:overflowPunct/>
              <w:autoSpaceDE/>
              <w:autoSpaceDN/>
              <w:adjustRightInd/>
              <w:spacing w:before="100" w:beforeAutospacing="1"/>
              <w:textAlignment w:val="auto"/>
            </w:pPr>
            <w:r w:rsidRPr="00833346">
              <w:t>an explanation of the reason for establishing this period as active service.  </w:t>
            </w:r>
          </w:p>
          <w:p w:rsidR="00833346" w:rsidRPr="00833346" w:rsidRDefault="00833346" w:rsidP="00833346">
            <w:r w:rsidRPr="00833346">
              <w:rPr>
                <w:rStyle w:val="Emphasis"/>
                <w:b/>
                <w:bCs/>
              </w:rPr>
              <w:lastRenderedPageBreak/>
              <w:t>Example</w:t>
            </w:r>
            <w:r w:rsidRPr="00833346">
              <w:t xml:space="preserve">:  </w:t>
            </w:r>
            <w:r w:rsidRPr="00833346">
              <w:rPr>
                <w:rStyle w:val="Emphasis"/>
              </w:rPr>
              <w:t>Service in the Army National Guard from January 16-17, 2016, is now considered active service based on the grant of SC for right knee ACL injury that was incurred in the line of duty during this period of service.</w:t>
            </w:r>
          </w:p>
          <w:p w:rsidR="00833346" w:rsidRPr="00833346" w:rsidRDefault="00833346" w:rsidP="00833346">
            <w:r w:rsidRPr="00833346">
              <w:t> </w:t>
            </w:r>
          </w:p>
          <w:p w:rsidR="00833346" w:rsidRPr="00833346" w:rsidRDefault="00833346" w:rsidP="00833346">
            <w:r w:rsidRPr="00833346">
              <w:rPr>
                <w:rStyle w:val="Strong"/>
                <w:i/>
                <w:iCs/>
              </w:rPr>
              <w:t>Note</w:t>
            </w:r>
            <w:r w:rsidRPr="00833346">
              <w:t xml:space="preserve">:  If the period of ADT or IADT upon which the grant of SC is based is a single day of ADT or IADT (the claimant was only called to a one-day period of ADT or IADT), utilize the day following as the end date of service but clearly annotate </w:t>
            </w:r>
            <w:r w:rsidRPr="004B39B6">
              <w:rPr>
                <w:i/>
                <w:iCs/>
              </w:rPr>
              <w:t>VA Form 21-6789</w:t>
            </w:r>
            <w:r w:rsidRPr="00833346">
              <w:t xml:space="preserve"> (created as directed in Step 7 above) to reflect that the service was actually only one single day of service.</w:t>
            </w:r>
          </w:p>
          <w:p w:rsidR="005D5F47" w:rsidRPr="00E5160E" w:rsidRDefault="00833346" w:rsidP="00636754">
            <w:pPr>
              <w:contextualSpacing/>
              <w:rPr>
                <w:i/>
              </w:rPr>
            </w:pPr>
            <w:r w:rsidRPr="00833346">
              <w:rPr>
                <w:i/>
                <w:color w:val="00B050"/>
              </w:rPr>
              <w:t xml:space="preserve">My Notes:  </w:t>
            </w:r>
            <w:r>
              <w:rPr>
                <w:i/>
              </w:rPr>
              <w:t>A</w:t>
            </w:r>
            <w:r w:rsidR="00E5160E" w:rsidRPr="00E5160E">
              <w:rPr>
                <w:i/>
              </w:rPr>
              <w:t xml:space="preserve">ctive service </w:t>
            </w:r>
            <w:r w:rsidR="00E5160E">
              <w:rPr>
                <w:i/>
              </w:rPr>
              <w:t xml:space="preserve">based on ADT or IADT </w:t>
            </w:r>
            <w:r w:rsidR="00E5160E" w:rsidRPr="00E5160E">
              <w:rPr>
                <w:i/>
              </w:rPr>
              <w:t xml:space="preserve">will not be entered into the system until after the RD granting SC based on </w:t>
            </w:r>
            <w:r w:rsidR="00E5160E">
              <w:rPr>
                <w:i/>
              </w:rPr>
              <w:t>that service</w:t>
            </w:r>
            <w:r w:rsidR="00453E4A">
              <w:rPr>
                <w:i/>
              </w:rPr>
              <w:t>.</w:t>
            </w:r>
          </w:p>
          <w:p w:rsidR="00E5160E" w:rsidRDefault="00E5160E" w:rsidP="00636754">
            <w:pPr>
              <w:widowControl w:val="0"/>
              <w:rPr>
                <w:sz w:val="16"/>
              </w:rPr>
            </w:pPr>
          </w:p>
          <w:p w:rsidR="00737CE2" w:rsidRDefault="00737CE2" w:rsidP="008F4102">
            <w:pPr>
              <w:rPr>
                <w:b/>
                <w:bCs/>
              </w:rPr>
            </w:pPr>
          </w:p>
          <w:p w:rsidR="008F4102" w:rsidRDefault="008F4102" w:rsidP="008F4102">
            <w:pPr>
              <w:rPr>
                <w:rFonts w:ascii="Helvetica" w:hAnsi="Helvetica" w:cs="Helvetica"/>
                <w:lang w:val="en"/>
              </w:rPr>
            </w:pPr>
            <w:r w:rsidRPr="008F4102">
              <w:rPr>
                <w:i/>
                <w:szCs w:val="21"/>
              </w:rPr>
              <w:t>https://www.vapulse.net/message/145624</w:t>
            </w:r>
            <w:r w:rsidRPr="008F4102">
              <w:rPr>
                <w:szCs w:val="21"/>
              </w:rPr>
              <w:t xml:space="preserve"> - </w:t>
            </w:r>
            <w:r w:rsidRPr="008F4102">
              <w:rPr>
                <w:rFonts w:ascii="Helvetica" w:hAnsi="Helvetica" w:cs="Helvetica"/>
                <w:lang w:val="en"/>
              </w:rPr>
              <w:t>There is no requirement to remove IADT/ADT that has been added (previously).</w:t>
            </w:r>
          </w:p>
          <w:p w:rsidR="008F4102" w:rsidRDefault="008F4102" w:rsidP="00636754">
            <w:pPr>
              <w:widowControl w:val="0"/>
            </w:pPr>
          </w:p>
          <w:p w:rsidR="008F4102" w:rsidRDefault="008F4102" w:rsidP="00636754">
            <w:pPr>
              <w:widowControl w:val="0"/>
            </w:pPr>
            <w:r>
              <w:rPr>
                <w:noProof/>
              </w:rPr>
              <w:drawing>
                <wp:inline distT="0" distB="0" distL="0" distR="0" wp14:anchorId="17296F72" wp14:editId="2BA51692">
                  <wp:extent cx="5943600" cy="7620635"/>
                  <wp:effectExtent l="0" t="0" r="0" b="0"/>
                  <wp:docPr id="24587" name="Picture 24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7"/>
                          <a:stretch>
                            <a:fillRect/>
                          </a:stretch>
                        </pic:blipFill>
                        <pic:spPr>
                          <a:xfrm>
                            <a:off x="0" y="0"/>
                            <a:ext cx="5943600" cy="7620635"/>
                          </a:xfrm>
                          <a:prstGeom prst="rect">
                            <a:avLst/>
                          </a:prstGeom>
                        </pic:spPr>
                      </pic:pic>
                    </a:graphicData>
                  </a:graphic>
                </wp:inline>
              </w:drawing>
            </w:r>
          </w:p>
          <w:p w:rsidR="008F4102" w:rsidRDefault="008F4102" w:rsidP="00636754">
            <w:pPr>
              <w:widowControl w:val="0"/>
            </w:pPr>
          </w:p>
          <w:p w:rsidR="00300B89" w:rsidRDefault="005D5F47" w:rsidP="00636754">
            <w:r>
              <w:t xml:space="preserve">Per </w:t>
            </w:r>
            <w:r w:rsidR="00DE2BD0">
              <w:t>QRT/</w:t>
            </w:r>
            <w:r>
              <w:t>GiaBao Nguyen, 8/4/16 – points for Reserves are an indication that the veteran served during those dates &amp; we need to develop for duty status (ADT or IADT)</w:t>
            </w:r>
          </w:p>
          <w:p w:rsidR="00300B89" w:rsidRDefault="00300B89" w:rsidP="00636754"/>
          <w:p w:rsidR="00E90FCB" w:rsidRDefault="00E90FCB" w:rsidP="00636754"/>
          <w:p w:rsidR="00062192" w:rsidRPr="00062192" w:rsidRDefault="00062192" w:rsidP="00062192">
            <w:pPr>
              <w:rPr>
                <w:rFonts w:ascii="Tahoma" w:hAnsi="Tahoma" w:cs="Tahoma"/>
              </w:rPr>
            </w:pPr>
            <w:r w:rsidRPr="00062192">
              <w:rPr>
                <w:rFonts w:ascii="Tahoma" w:hAnsi="Tahoma" w:cs="Tahoma"/>
                <w:b/>
                <w:bCs/>
              </w:rPr>
              <w:t>From:</w:t>
            </w:r>
            <w:r w:rsidRPr="00062192">
              <w:rPr>
                <w:rFonts w:ascii="Tahoma" w:hAnsi="Tahoma" w:cs="Tahoma"/>
              </w:rPr>
              <w:t xml:space="preserve"> VAVBASDC/RO/VSC </w:t>
            </w:r>
            <w:r w:rsidRPr="00062192">
              <w:rPr>
                <w:rFonts w:ascii="Tahoma" w:hAnsi="Tahoma" w:cs="Tahoma"/>
              </w:rPr>
              <w:br/>
            </w:r>
            <w:r w:rsidRPr="00062192">
              <w:rPr>
                <w:rFonts w:ascii="Tahoma" w:hAnsi="Tahoma" w:cs="Tahoma"/>
                <w:b/>
                <w:bCs/>
              </w:rPr>
              <w:t>Sent:</w:t>
            </w:r>
            <w:r w:rsidRPr="00062192">
              <w:rPr>
                <w:rFonts w:ascii="Tahoma" w:hAnsi="Tahoma" w:cs="Tahoma"/>
              </w:rPr>
              <w:t xml:space="preserve"> Thursday, September 21, 2017 10:58 AM</w:t>
            </w:r>
            <w:r w:rsidRPr="00062192">
              <w:rPr>
                <w:rFonts w:ascii="Tahoma" w:hAnsi="Tahoma" w:cs="Tahoma"/>
              </w:rPr>
              <w:br/>
            </w:r>
            <w:r w:rsidRPr="00062192">
              <w:rPr>
                <w:rFonts w:ascii="Tahoma" w:hAnsi="Tahoma" w:cs="Tahoma"/>
                <w:b/>
                <w:bCs/>
              </w:rPr>
              <w:t>Subject:</w:t>
            </w:r>
            <w:r w:rsidRPr="00062192">
              <w:rPr>
                <w:rFonts w:ascii="Tahoma" w:hAnsi="Tahoma" w:cs="Tahoma"/>
              </w:rPr>
              <w:t xml:space="preserve"> FW: Q-Tip: Updating Military Service in Systems</w:t>
            </w:r>
          </w:p>
          <w:p w:rsidR="00062192" w:rsidRPr="00062192" w:rsidRDefault="00062192" w:rsidP="00062192">
            <w:pPr>
              <w:rPr>
                <w:rFonts w:ascii="Calibri" w:eastAsiaTheme="minorHAnsi" w:hAnsi="Calibri" w:cs="Times New Roman"/>
              </w:rPr>
            </w:pPr>
          </w:p>
          <w:p w:rsidR="00062192" w:rsidRPr="00062192" w:rsidRDefault="00062192" w:rsidP="00062192">
            <w:pPr>
              <w:rPr>
                <w:b/>
                <w:bCs/>
              </w:rPr>
            </w:pPr>
            <w:r w:rsidRPr="00062192">
              <w:rPr>
                <w:b/>
                <w:bCs/>
              </w:rPr>
              <w:t xml:space="preserve">Good Morning VSC, </w:t>
            </w:r>
          </w:p>
          <w:p w:rsidR="00062192" w:rsidRPr="00062192" w:rsidRDefault="00062192" w:rsidP="00062192">
            <w:pPr>
              <w:rPr>
                <w:b/>
                <w:bCs/>
              </w:rPr>
            </w:pPr>
          </w:p>
          <w:p w:rsidR="00062192" w:rsidRPr="00062192" w:rsidRDefault="00062192" w:rsidP="00062192">
            <w:pPr>
              <w:rPr>
                <w:b/>
                <w:bCs/>
              </w:rPr>
            </w:pPr>
            <w:r w:rsidRPr="00062192">
              <w:rPr>
                <w:b/>
                <w:bCs/>
              </w:rPr>
              <w:t>Q-Tip:  Updating Military Service in Systems</w:t>
            </w:r>
          </w:p>
          <w:p w:rsidR="00062192" w:rsidRPr="00062192" w:rsidRDefault="00062192" w:rsidP="00062192">
            <w:pPr>
              <w:rPr>
                <w:b/>
                <w:bCs/>
              </w:rPr>
            </w:pPr>
          </w:p>
          <w:p w:rsidR="00062192" w:rsidRPr="00062192" w:rsidRDefault="00062192" w:rsidP="00062192">
            <w:pPr>
              <w:rPr>
                <w:b/>
                <w:bCs/>
              </w:rPr>
            </w:pPr>
            <w:r w:rsidRPr="00062192">
              <w:rPr>
                <w:b/>
                <w:bCs/>
              </w:rPr>
              <w:t>Target Audience:  VSRs, RVSRs, and DROs</w:t>
            </w:r>
          </w:p>
          <w:p w:rsidR="00062192" w:rsidRPr="00062192" w:rsidRDefault="00062192" w:rsidP="00062192"/>
          <w:p w:rsidR="00062192" w:rsidRPr="00062192" w:rsidRDefault="00062192" w:rsidP="00062192">
            <w:r w:rsidRPr="00062192">
              <w:t xml:space="preserve">This Quality Tip (Q-Tip) discusses updating systems for military service to include periods of active duty, ADT, and IADT.  This Q-Tip </w:t>
            </w:r>
            <w:r w:rsidRPr="00062192">
              <w:rPr>
                <w:b/>
                <w:bCs/>
              </w:rPr>
              <w:t>supersedes</w:t>
            </w:r>
            <w:r w:rsidRPr="00062192">
              <w:t xml:space="preserve"> prior guidance provided by Q-Tip dated June 8, 2017 on a similar topic. </w:t>
            </w:r>
          </w:p>
          <w:p w:rsidR="00062192" w:rsidRPr="00062192" w:rsidRDefault="00062192" w:rsidP="00062192"/>
          <w:p w:rsidR="00062192" w:rsidRPr="00062192" w:rsidRDefault="00062192" w:rsidP="00062192">
            <w:r w:rsidRPr="00062192">
              <w:t xml:space="preserve">Please note that this Q-Tip relates to system updates only, and is </w:t>
            </w:r>
            <w:r w:rsidRPr="00062192">
              <w:rPr>
                <w:u w:val="single"/>
              </w:rPr>
              <w:t>not</w:t>
            </w:r>
            <w:r w:rsidRPr="00062192">
              <w:t xml:space="preserve"> meant as a training item for National Guard/Reserve service or development for records relating ADT/IADT.</w:t>
            </w:r>
          </w:p>
          <w:p w:rsidR="00062192" w:rsidRPr="00062192" w:rsidRDefault="00062192" w:rsidP="00062192">
            <w:pPr>
              <w:rPr>
                <w:b/>
                <w:bCs/>
              </w:rPr>
            </w:pPr>
          </w:p>
          <w:p w:rsidR="00062192" w:rsidRPr="00062192" w:rsidRDefault="00062192" w:rsidP="00062192">
            <w:pPr>
              <w:rPr>
                <w:b/>
                <w:bCs/>
              </w:rPr>
            </w:pPr>
            <w:r w:rsidRPr="00062192">
              <w:rPr>
                <w:b/>
                <w:bCs/>
              </w:rPr>
              <w:t>Background</w:t>
            </w:r>
          </w:p>
          <w:p w:rsidR="00062192" w:rsidRPr="00062192" w:rsidRDefault="00062192" w:rsidP="00062192">
            <w:pPr>
              <w:rPr>
                <w:b/>
                <w:bCs/>
              </w:rPr>
            </w:pPr>
          </w:p>
          <w:p w:rsidR="00062192" w:rsidRPr="00062192" w:rsidRDefault="00062192" w:rsidP="00062192">
            <w:r w:rsidRPr="00062192">
              <w:t xml:space="preserve">A Veteran is a person who has service in the active military, naval or air service, and was discharged or released under conditions other than dishonorable.  </w:t>
            </w:r>
            <w:r w:rsidRPr="00062192">
              <w:rPr>
                <w:u w:val="single"/>
              </w:rPr>
              <w:t>Active service</w:t>
            </w:r>
            <w:r w:rsidRPr="00062192">
              <w:t xml:space="preserve"> includes (but is not limited to):</w:t>
            </w:r>
          </w:p>
          <w:p w:rsidR="00062192" w:rsidRPr="00062192" w:rsidRDefault="00062192" w:rsidP="00F063AF">
            <w:pPr>
              <w:numPr>
                <w:ilvl w:val="0"/>
                <w:numId w:val="381"/>
              </w:numPr>
              <w:overflowPunct/>
              <w:autoSpaceDE/>
              <w:autoSpaceDN/>
              <w:adjustRightInd/>
              <w:spacing w:line="276" w:lineRule="auto"/>
              <w:textAlignment w:val="auto"/>
              <w:rPr>
                <w:u w:val="single"/>
              </w:rPr>
            </w:pPr>
            <w:r w:rsidRPr="00062192">
              <w:rPr>
                <w:u w:val="single"/>
              </w:rPr>
              <w:t>active duty</w:t>
            </w:r>
          </w:p>
          <w:p w:rsidR="00062192" w:rsidRPr="00062192" w:rsidRDefault="00062192" w:rsidP="00F063AF">
            <w:pPr>
              <w:numPr>
                <w:ilvl w:val="0"/>
                <w:numId w:val="381"/>
              </w:numPr>
              <w:overflowPunct/>
              <w:autoSpaceDE/>
              <w:autoSpaceDN/>
              <w:adjustRightInd/>
              <w:spacing w:line="276" w:lineRule="auto"/>
              <w:textAlignment w:val="auto"/>
            </w:pPr>
            <w:r w:rsidRPr="00062192">
              <w:t xml:space="preserve">any period of </w:t>
            </w:r>
            <w:r w:rsidRPr="00062192">
              <w:rPr>
                <w:u w:val="single"/>
              </w:rPr>
              <w:t>active duty for training (ADT)</w:t>
            </w:r>
            <w:r w:rsidRPr="00062192">
              <w:t xml:space="preserve"> during which the individual concerned was disabled or died from a disease or injury incurred or aggravated in line of duty, and</w:t>
            </w:r>
          </w:p>
          <w:p w:rsidR="00062192" w:rsidRPr="00062192" w:rsidRDefault="00062192" w:rsidP="00F063AF">
            <w:pPr>
              <w:numPr>
                <w:ilvl w:val="0"/>
                <w:numId w:val="381"/>
              </w:numPr>
              <w:overflowPunct/>
              <w:autoSpaceDE/>
              <w:autoSpaceDN/>
              <w:adjustRightInd/>
              <w:spacing w:line="276" w:lineRule="auto"/>
              <w:textAlignment w:val="auto"/>
            </w:pPr>
            <w:r w:rsidRPr="00062192">
              <w:t xml:space="preserve">any period </w:t>
            </w:r>
            <w:r w:rsidRPr="00062192">
              <w:rPr>
                <w:u w:val="single"/>
              </w:rPr>
              <w:t>of inactive duty training during (IADT)</w:t>
            </w:r>
            <w:r w:rsidRPr="00062192">
              <w:t xml:space="preserve"> which the individual concerned was disabled or died from an injury incurred or aggravated in line of duty or from an acute myocardial infarction, a cardiac arrest, or a cerebrovascular accident which occurred during such training.</w:t>
            </w:r>
          </w:p>
          <w:p w:rsidR="00062192" w:rsidRPr="00062192" w:rsidRDefault="00062192" w:rsidP="00062192">
            <w:pPr>
              <w:rPr>
                <w:rFonts w:eastAsiaTheme="minorHAnsi"/>
                <w:b/>
                <w:bCs/>
              </w:rPr>
            </w:pPr>
          </w:p>
          <w:p w:rsidR="00062192" w:rsidRPr="00062192" w:rsidRDefault="00062192" w:rsidP="00062192">
            <w:pPr>
              <w:rPr>
                <w:b/>
                <w:bCs/>
              </w:rPr>
            </w:pPr>
            <w:r w:rsidRPr="00062192">
              <w:rPr>
                <w:b/>
                <w:bCs/>
              </w:rPr>
              <w:t>Responsibilities</w:t>
            </w:r>
          </w:p>
          <w:p w:rsidR="00062192" w:rsidRPr="00062192" w:rsidRDefault="00062192" w:rsidP="00062192"/>
          <w:p w:rsidR="00062192" w:rsidRPr="00062192" w:rsidRDefault="00062192" w:rsidP="00062192">
            <w:r w:rsidRPr="00062192">
              <w:t xml:space="preserve">Each RO employee must check to ensure all periods of </w:t>
            </w:r>
            <w:r w:rsidRPr="00062192">
              <w:rPr>
                <w:u w:val="single"/>
              </w:rPr>
              <w:t>active service</w:t>
            </w:r>
            <w:r w:rsidRPr="00062192">
              <w:t xml:space="preserve"> are updated and verified in the appropriate system(s) when undertaking any claim action.</w:t>
            </w:r>
          </w:p>
          <w:p w:rsidR="00062192" w:rsidRPr="00062192" w:rsidRDefault="00062192" w:rsidP="00062192"/>
          <w:p w:rsidR="00062192" w:rsidRPr="00062192" w:rsidRDefault="00062192" w:rsidP="00062192">
            <w:r w:rsidRPr="00062192">
              <w:t xml:space="preserve">All periods of </w:t>
            </w:r>
            <w:r w:rsidRPr="00062192">
              <w:rPr>
                <w:u w:val="single"/>
              </w:rPr>
              <w:t>active service</w:t>
            </w:r>
            <w:r w:rsidRPr="00062192">
              <w:t xml:space="preserve"> must be updated and verified in the systems by the rating activity prior to completion of the rating decision.  Failure to do so will result in inaccurate or incomplete service displayed on the rating decision </w:t>
            </w:r>
            <w:r w:rsidRPr="00062192">
              <w:rPr>
                <w:i/>
                <w:iCs/>
              </w:rPr>
              <w:t>Codesheet</w:t>
            </w:r>
            <w:r w:rsidRPr="00062192">
              <w:t xml:space="preserve">.  </w:t>
            </w:r>
          </w:p>
          <w:p w:rsidR="00062192" w:rsidRPr="00062192" w:rsidRDefault="00062192" w:rsidP="00F063AF">
            <w:pPr>
              <w:numPr>
                <w:ilvl w:val="0"/>
                <w:numId w:val="382"/>
              </w:numPr>
              <w:overflowPunct/>
              <w:autoSpaceDE/>
              <w:autoSpaceDN/>
              <w:adjustRightInd/>
              <w:spacing w:line="276" w:lineRule="auto"/>
              <w:contextualSpacing/>
              <w:textAlignment w:val="auto"/>
            </w:pPr>
            <w:r w:rsidRPr="00062192">
              <w:t>ADT/IADT is not considered active duty.  ADT/IADT is also not considered active service unless the Rating Activity deems it to be.</w:t>
            </w:r>
          </w:p>
          <w:p w:rsidR="00062192" w:rsidRPr="00062192" w:rsidRDefault="00062192" w:rsidP="00F063AF">
            <w:pPr>
              <w:numPr>
                <w:ilvl w:val="0"/>
                <w:numId w:val="382"/>
              </w:numPr>
              <w:overflowPunct/>
              <w:autoSpaceDE/>
              <w:autoSpaceDN/>
              <w:adjustRightInd/>
              <w:spacing w:line="276" w:lineRule="auto"/>
              <w:contextualSpacing/>
              <w:textAlignment w:val="auto"/>
            </w:pPr>
            <w:r w:rsidRPr="00062192">
              <w:t xml:space="preserve">The completion and authorization of a rating decision granting SC based on a period of ADT or IADT is required before the service is considered active service.  Therefore, it is appropriate to enter the period of ADT or IADT into the systems </w:t>
            </w:r>
            <w:r w:rsidRPr="00062192">
              <w:rPr>
                <w:u w:val="single"/>
              </w:rPr>
              <w:t>after</w:t>
            </w:r>
            <w:r w:rsidRPr="00062192">
              <w:t xml:space="preserve"> completion of the rating decision.</w:t>
            </w:r>
          </w:p>
          <w:p w:rsidR="00062192" w:rsidRPr="00062192" w:rsidRDefault="00062192" w:rsidP="00062192">
            <w:pPr>
              <w:rPr>
                <w:b/>
                <w:bCs/>
              </w:rPr>
            </w:pPr>
          </w:p>
          <w:p w:rsidR="00062192" w:rsidRPr="00062192" w:rsidRDefault="00062192" w:rsidP="00062192">
            <w:pPr>
              <w:rPr>
                <w:rFonts w:ascii="Calibri" w:hAnsi="Calibri" w:cs="Times New Roman"/>
              </w:rPr>
            </w:pPr>
            <w:r w:rsidRPr="00062192">
              <w:rPr>
                <w:b/>
                <w:bCs/>
                <w:i/>
                <w:iCs/>
              </w:rPr>
              <w:t xml:space="preserve">Areas of responsibility (development, rating, and authorization) are delineated in the </w:t>
            </w:r>
            <w:r w:rsidRPr="00062192">
              <w:rPr>
                <w:b/>
                <w:bCs/>
                <w:i/>
                <w:iCs/>
                <w:color w:val="FF0000"/>
              </w:rPr>
              <w:t>attached</w:t>
            </w:r>
            <w:r w:rsidRPr="00062192">
              <w:rPr>
                <w:b/>
                <w:bCs/>
                <w:i/>
                <w:iCs/>
              </w:rPr>
              <w:t xml:space="preserve"> Q-Tip document.</w:t>
            </w:r>
            <w:r w:rsidRPr="00062192">
              <w:t xml:space="preserve">  Also attached is a one-page “desk guide” summary.  Please note that the Q-Tip document should be reviewed in its entirety for detailed information and references.  </w:t>
            </w:r>
          </w:p>
          <w:p w:rsidR="00062192" w:rsidRPr="00062192" w:rsidRDefault="00062192" w:rsidP="00062192"/>
          <w:p w:rsidR="00062192" w:rsidRPr="00062192" w:rsidRDefault="00062192" w:rsidP="00062192">
            <w:r w:rsidRPr="00062192">
              <w:t>For any questions relating to this topic, please contact the QRT or your Coach.</w:t>
            </w:r>
          </w:p>
          <w:p w:rsidR="00062192" w:rsidRDefault="00062192" w:rsidP="008A476F">
            <w:pPr>
              <w:rPr>
                <w:i/>
                <w:color w:val="00B050"/>
                <w:szCs w:val="24"/>
              </w:rPr>
            </w:pPr>
          </w:p>
          <w:p w:rsidR="00062192" w:rsidRPr="00D10240" w:rsidRDefault="00062192" w:rsidP="00062192">
            <w:pPr>
              <w:pBdr>
                <w:top w:val="double" w:sz="4" w:space="1" w:color="auto"/>
                <w:left w:val="double" w:sz="4" w:space="4" w:color="auto"/>
                <w:bottom w:val="double" w:sz="4" w:space="1" w:color="auto"/>
                <w:right w:val="double" w:sz="4" w:space="4" w:color="auto"/>
              </w:pBdr>
              <w:shd w:val="clear" w:color="auto" w:fill="FFC000"/>
              <w:tabs>
                <w:tab w:val="left" w:pos="9195"/>
              </w:tabs>
              <w:ind w:left="105" w:right="124"/>
              <w:rPr>
                <w:rFonts w:eastAsiaTheme="minorHAnsi"/>
              </w:rPr>
            </w:pPr>
            <w:r>
              <w:rPr>
                <w:rFonts w:eastAsiaTheme="minorHAnsi"/>
                <w:b/>
              </w:rPr>
              <w:t>Q-Tip for Updating Military Service in Systems AD ADT IADT</w:t>
            </w:r>
            <w:r>
              <w:rPr>
                <w:rFonts w:eastAsiaTheme="minorHAnsi"/>
              </w:rPr>
              <w:t xml:space="preserve"> </w:t>
            </w:r>
            <w:r w:rsidR="00F87C4A">
              <w:rPr>
                <w:rFonts w:eastAsiaTheme="minorHAnsi"/>
              </w:rPr>
              <w:t xml:space="preserve">&amp; </w:t>
            </w:r>
            <w:r w:rsidR="00F87C4A" w:rsidRPr="00F87C4A">
              <w:rPr>
                <w:rFonts w:eastAsiaTheme="minorHAnsi"/>
                <w:b/>
              </w:rPr>
              <w:t>Desk Guide System Updates AD ADT IADT</w:t>
            </w:r>
            <w:r w:rsidR="00F87C4A">
              <w:rPr>
                <w:rFonts w:eastAsiaTheme="minorHAnsi"/>
              </w:rPr>
              <w:t xml:space="preserve"> are</w:t>
            </w:r>
            <w:r w:rsidRPr="0036376C">
              <w:t xml:space="preserve"> saved at </w:t>
            </w:r>
            <w:r w:rsidRPr="001453C4">
              <w:rPr>
                <w:b/>
                <w:bCs/>
                <w:i/>
                <w:iCs/>
              </w:rPr>
              <w:t>H:\VSC\Rating Reference</w:t>
            </w:r>
          </w:p>
          <w:p w:rsidR="00062192" w:rsidRDefault="00062192" w:rsidP="008A476F">
            <w:pPr>
              <w:rPr>
                <w:i/>
                <w:szCs w:val="24"/>
              </w:rPr>
            </w:pPr>
          </w:p>
          <w:p w:rsidR="00062192" w:rsidRPr="00062192" w:rsidRDefault="00062192" w:rsidP="008A476F">
            <w:pPr>
              <w:rPr>
                <w:b/>
                <w:i/>
                <w:szCs w:val="24"/>
              </w:rPr>
            </w:pPr>
            <w:r w:rsidRPr="00062192">
              <w:rPr>
                <w:b/>
                <w:i/>
                <w:color w:val="00B050"/>
                <w:sz w:val="24"/>
                <w:szCs w:val="24"/>
              </w:rPr>
              <w:t xml:space="preserve">*If a </w:t>
            </w:r>
            <w:r>
              <w:rPr>
                <w:b/>
                <w:i/>
                <w:color w:val="00B050"/>
                <w:sz w:val="24"/>
                <w:szCs w:val="24"/>
              </w:rPr>
              <w:t xml:space="preserve">veteran only has ADT/IADT, </w:t>
            </w:r>
            <w:r w:rsidRPr="00062192">
              <w:rPr>
                <w:b/>
                <w:i/>
                <w:color w:val="00B050"/>
                <w:sz w:val="24"/>
                <w:szCs w:val="24"/>
              </w:rPr>
              <w:t xml:space="preserve">enter it in Participant Profile (see </w:t>
            </w:r>
            <w:r w:rsidRPr="00062192">
              <w:rPr>
                <w:b/>
                <w:color w:val="00B050"/>
                <w:sz w:val="24"/>
                <w:szCs w:val="24"/>
              </w:rPr>
              <w:t>III.ii.3.C.7.f</w:t>
            </w:r>
            <w:r w:rsidRPr="00062192">
              <w:rPr>
                <w:b/>
                <w:i/>
                <w:color w:val="00B050"/>
                <w:sz w:val="24"/>
                <w:szCs w:val="24"/>
              </w:rPr>
              <w:t xml:space="preserve">), </w:t>
            </w:r>
            <w:r>
              <w:rPr>
                <w:b/>
                <w:i/>
                <w:color w:val="00B050"/>
                <w:sz w:val="24"/>
                <w:szCs w:val="24"/>
              </w:rPr>
              <w:t>NOT in</w:t>
            </w:r>
            <w:r w:rsidRPr="00062192">
              <w:rPr>
                <w:b/>
                <w:i/>
                <w:color w:val="00B050"/>
                <w:sz w:val="24"/>
                <w:szCs w:val="24"/>
              </w:rPr>
              <w:t xml:space="preserve"> BIRLS.</w:t>
            </w:r>
          </w:p>
          <w:p w:rsidR="00062192" w:rsidRDefault="00062192" w:rsidP="008A476F">
            <w:pPr>
              <w:rPr>
                <w:i/>
                <w:color w:val="00B050"/>
                <w:szCs w:val="24"/>
              </w:rPr>
            </w:pPr>
          </w:p>
          <w:p w:rsidR="00062192" w:rsidRDefault="00062192" w:rsidP="008A476F">
            <w:pPr>
              <w:rPr>
                <w:i/>
                <w:color w:val="00B050"/>
                <w:szCs w:val="24"/>
              </w:rPr>
            </w:pPr>
          </w:p>
          <w:p w:rsidR="00062192" w:rsidRPr="005A3A51" w:rsidRDefault="00062192" w:rsidP="008A476F">
            <w:pPr>
              <w:rPr>
                <w:i/>
                <w:color w:val="00B050"/>
                <w:szCs w:val="24"/>
              </w:rPr>
            </w:pPr>
          </w:p>
          <w:p w:rsidR="005A3A51" w:rsidRDefault="00062192" w:rsidP="008A476F">
            <w:pPr>
              <w:rPr>
                <w:color w:val="00B050"/>
                <w:szCs w:val="24"/>
              </w:rPr>
            </w:pPr>
            <w:r>
              <w:rPr>
                <w:i/>
                <w:color w:val="00B050"/>
                <w:szCs w:val="24"/>
              </w:rPr>
              <w:t>My Notes (early September 2017):</w:t>
            </w:r>
            <w:r w:rsidR="005A3A51" w:rsidRPr="005A3A51">
              <w:rPr>
                <w:color w:val="00B050"/>
                <w:szCs w:val="24"/>
              </w:rPr>
              <w:t xml:space="preserve">  </w:t>
            </w:r>
          </w:p>
          <w:p w:rsidR="005A3A51" w:rsidRDefault="007C044E" w:rsidP="008A476F">
            <w:pPr>
              <w:rPr>
                <w:szCs w:val="24"/>
              </w:rPr>
            </w:pPr>
            <w:r>
              <w:rPr>
                <w:szCs w:val="24"/>
              </w:rPr>
              <w:t>If V</w:t>
            </w:r>
            <w:r w:rsidR="005A3A51">
              <w:rPr>
                <w:szCs w:val="24"/>
              </w:rPr>
              <w:t>BMS shows</w:t>
            </w:r>
            <w:r>
              <w:rPr>
                <w:szCs w:val="24"/>
              </w:rPr>
              <w:t xml:space="preserve"> Satisfactory &amp; Active Duty with only ADT service</w:t>
            </w:r>
            <w:r w:rsidR="005A3A51">
              <w:rPr>
                <w:szCs w:val="24"/>
              </w:rPr>
              <w:t>:</w:t>
            </w:r>
          </w:p>
          <w:p w:rsidR="005A3A51" w:rsidRDefault="005A3A51" w:rsidP="008A476F">
            <w:pPr>
              <w:rPr>
                <w:szCs w:val="24"/>
              </w:rPr>
            </w:pPr>
            <w:r>
              <w:rPr>
                <w:noProof/>
              </w:rPr>
              <w:drawing>
                <wp:inline distT="0" distB="0" distL="0" distR="0" wp14:anchorId="775FB4AE" wp14:editId="2DA368A7">
                  <wp:extent cx="5791981" cy="1233377"/>
                  <wp:effectExtent l="0" t="0" r="0" b="5080"/>
                  <wp:docPr id="24588" name="Picture 24588" descr="cid:image001.png@01D326F6.267EA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26F6.267EA280"/>
                          <pic:cNvPicPr>
                            <a:picLocks noChangeAspect="1" noChangeArrowheads="1"/>
                          </pic:cNvPicPr>
                        </pic:nvPicPr>
                        <pic:blipFill>
                          <a:blip r:embed="rId258" r:link="rId259">
                            <a:extLst>
                              <a:ext uri="{28A0092B-C50C-407E-A947-70E740481C1C}">
                                <a14:useLocalDpi xmlns:a14="http://schemas.microsoft.com/office/drawing/2010/main" val="0"/>
                              </a:ext>
                            </a:extLst>
                          </a:blip>
                          <a:srcRect/>
                          <a:stretch>
                            <a:fillRect/>
                          </a:stretch>
                        </pic:blipFill>
                        <pic:spPr bwMode="auto">
                          <a:xfrm>
                            <a:off x="0" y="0"/>
                            <a:ext cx="5792575" cy="1233503"/>
                          </a:xfrm>
                          <a:prstGeom prst="rect">
                            <a:avLst/>
                          </a:prstGeom>
                          <a:noFill/>
                          <a:ln>
                            <a:noFill/>
                          </a:ln>
                        </pic:spPr>
                      </pic:pic>
                    </a:graphicData>
                  </a:graphic>
                </wp:inline>
              </w:drawing>
            </w:r>
          </w:p>
          <w:p w:rsidR="007C044E" w:rsidRDefault="007C044E" w:rsidP="008A476F">
            <w:pPr>
              <w:rPr>
                <w:szCs w:val="24"/>
              </w:rPr>
            </w:pPr>
          </w:p>
          <w:p w:rsidR="005A3A51" w:rsidRDefault="007C044E" w:rsidP="008A476F">
            <w:pPr>
              <w:rPr>
                <w:i/>
                <w:szCs w:val="24"/>
              </w:rPr>
            </w:pPr>
            <w:r>
              <w:rPr>
                <w:szCs w:val="24"/>
              </w:rPr>
              <w:t xml:space="preserve">… you </w:t>
            </w:r>
            <w:r w:rsidRPr="007C044E">
              <w:rPr>
                <w:szCs w:val="24"/>
              </w:rPr>
              <w:t>c</w:t>
            </w:r>
            <w:r w:rsidR="005A3A51" w:rsidRPr="007C044E">
              <w:rPr>
                <w:szCs w:val="24"/>
              </w:rPr>
              <w:t>an update Separation Reason &amp; Service Type in Participant Profile (but it</w:t>
            </w:r>
            <w:r>
              <w:rPr>
                <w:szCs w:val="24"/>
              </w:rPr>
              <w:t xml:space="preserve"> does not update VBMS)</w:t>
            </w:r>
            <w:r w:rsidR="00582300">
              <w:rPr>
                <w:szCs w:val="24"/>
              </w:rPr>
              <w:t>. You also need to remove the check for “Service Verified”</w:t>
            </w:r>
            <w:r>
              <w:rPr>
                <w:szCs w:val="24"/>
              </w:rPr>
              <w:t>:</w:t>
            </w:r>
          </w:p>
          <w:p w:rsidR="007C044E" w:rsidRDefault="00582300" w:rsidP="008A476F">
            <w:pPr>
              <w:rPr>
                <w:i/>
                <w:szCs w:val="24"/>
              </w:rPr>
            </w:pPr>
            <w:r>
              <w:rPr>
                <w:noProof/>
              </w:rPr>
              <w:drawing>
                <wp:inline distT="0" distB="0" distL="0" distR="0" wp14:anchorId="70F2A8A7" wp14:editId="283D14A4">
                  <wp:extent cx="5629275" cy="2447925"/>
                  <wp:effectExtent l="0" t="0" r="9525" b="9525"/>
                  <wp:docPr id="24598" name="Picture 24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0"/>
                          <a:stretch>
                            <a:fillRect/>
                          </a:stretch>
                        </pic:blipFill>
                        <pic:spPr>
                          <a:xfrm>
                            <a:off x="0" y="0"/>
                            <a:ext cx="5629275" cy="2447925"/>
                          </a:xfrm>
                          <a:prstGeom prst="rect">
                            <a:avLst/>
                          </a:prstGeom>
                        </pic:spPr>
                      </pic:pic>
                    </a:graphicData>
                  </a:graphic>
                </wp:inline>
              </w:drawing>
            </w:r>
          </w:p>
          <w:p w:rsidR="007C044E" w:rsidRPr="005A3A51" w:rsidRDefault="007C044E" w:rsidP="008A476F">
            <w:pPr>
              <w:rPr>
                <w:i/>
                <w:szCs w:val="24"/>
              </w:rPr>
            </w:pPr>
          </w:p>
          <w:p w:rsidR="005A3A51" w:rsidRDefault="005A3A51" w:rsidP="008A476F">
            <w:pPr>
              <w:rPr>
                <w:szCs w:val="24"/>
              </w:rPr>
            </w:pPr>
          </w:p>
          <w:p w:rsidR="00F87C4A" w:rsidRPr="007C044E" w:rsidRDefault="00F87C4A" w:rsidP="008A476F">
            <w:pPr>
              <w:rPr>
                <w:szCs w:val="24"/>
              </w:rPr>
            </w:pPr>
            <w:r w:rsidRPr="00062192">
              <w:rPr>
                <w:b/>
                <w:i/>
                <w:color w:val="00B050"/>
                <w:sz w:val="22"/>
                <w:szCs w:val="24"/>
              </w:rPr>
              <w:t>9/21/17 Q</w:t>
            </w:r>
            <w:r w:rsidR="003219A0">
              <w:rPr>
                <w:b/>
                <w:i/>
                <w:color w:val="00B050"/>
                <w:sz w:val="22"/>
                <w:szCs w:val="24"/>
              </w:rPr>
              <w:t>-</w:t>
            </w:r>
            <w:r w:rsidRPr="00062192">
              <w:rPr>
                <w:b/>
                <w:i/>
                <w:color w:val="00B050"/>
                <w:sz w:val="22"/>
                <w:szCs w:val="24"/>
              </w:rPr>
              <w:t>Tip says do not enter ADT/IADT in BIRLS</w:t>
            </w:r>
            <w:r>
              <w:rPr>
                <w:b/>
                <w:i/>
                <w:color w:val="00B050"/>
                <w:sz w:val="22"/>
                <w:szCs w:val="24"/>
              </w:rPr>
              <w:t>, which resolves all of these problems!!</w:t>
            </w:r>
          </w:p>
          <w:p w:rsidR="007A0435" w:rsidRPr="00F87C4A" w:rsidRDefault="005A3A51" w:rsidP="008A476F">
            <w:pPr>
              <w:rPr>
                <w:szCs w:val="24"/>
                <w:highlight w:val="lightGray"/>
              </w:rPr>
            </w:pPr>
            <w:r w:rsidRPr="00F87C4A">
              <w:rPr>
                <w:szCs w:val="24"/>
                <w:highlight w:val="lightGray"/>
              </w:rPr>
              <w:t>SHARE only gives these options</w:t>
            </w:r>
            <w:r w:rsidR="007C044E" w:rsidRPr="00F87C4A">
              <w:rPr>
                <w:szCs w:val="24"/>
                <w:highlight w:val="lightGray"/>
              </w:rPr>
              <w:t>, so you can update Sep Reason, but not Service Type</w:t>
            </w:r>
            <w:r w:rsidR="007A0435" w:rsidRPr="00F87C4A">
              <w:rPr>
                <w:szCs w:val="24"/>
                <w:highlight w:val="lightGray"/>
              </w:rPr>
              <w:t xml:space="preserve"> (SHARE also does not have Army Reserves)</w:t>
            </w:r>
            <w:r w:rsidR="00F87C4A" w:rsidRPr="00F87C4A">
              <w:rPr>
                <w:szCs w:val="24"/>
                <w:highlight w:val="lightGray"/>
              </w:rPr>
              <w:t>:</w:t>
            </w:r>
          </w:p>
          <w:p w:rsidR="005A3A51" w:rsidRPr="00F87C4A" w:rsidRDefault="007C044E" w:rsidP="008A476F">
            <w:pPr>
              <w:rPr>
                <w:szCs w:val="24"/>
                <w:highlight w:val="lightGray"/>
              </w:rPr>
            </w:pPr>
            <w:r w:rsidRPr="00F87C4A">
              <w:rPr>
                <w:szCs w:val="24"/>
                <w:highlight w:val="lightGray"/>
              </w:rPr>
              <w:t>:</w:t>
            </w:r>
            <w:r w:rsidR="005A3A51" w:rsidRPr="00F87C4A">
              <w:rPr>
                <w:noProof/>
                <w:highlight w:val="lightGray"/>
              </w:rPr>
              <w:drawing>
                <wp:inline distT="0" distB="0" distL="0" distR="0" wp14:anchorId="4A4DA8BA" wp14:editId="204EB68C">
                  <wp:extent cx="2486025" cy="2257425"/>
                  <wp:effectExtent l="0" t="0" r="9525" b="9525"/>
                  <wp:docPr id="24589" name="Picture 24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1"/>
                          <a:stretch>
                            <a:fillRect/>
                          </a:stretch>
                        </pic:blipFill>
                        <pic:spPr>
                          <a:xfrm>
                            <a:off x="0" y="0"/>
                            <a:ext cx="2486025" cy="2257425"/>
                          </a:xfrm>
                          <a:prstGeom prst="rect">
                            <a:avLst/>
                          </a:prstGeom>
                        </pic:spPr>
                      </pic:pic>
                    </a:graphicData>
                  </a:graphic>
                </wp:inline>
              </w:drawing>
            </w:r>
          </w:p>
          <w:p w:rsidR="000C4918" w:rsidRPr="00F87C4A" w:rsidRDefault="000C4918" w:rsidP="008A476F">
            <w:pPr>
              <w:rPr>
                <w:szCs w:val="24"/>
                <w:highlight w:val="lightGray"/>
              </w:rPr>
            </w:pPr>
          </w:p>
          <w:p w:rsidR="000C4918" w:rsidRPr="00F87C4A" w:rsidRDefault="000C4918" w:rsidP="008A476F">
            <w:pPr>
              <w:rPr>
                <w:szCs w:val="24"/>
                <w:highlight w:val="lightGray"/>
              </w:rPr>
            </w:pPr>
            <w:r w:rsidRPr="00F87C4A">
              <w:rPr>
                <w:szCs w:val="24"/>
                <w:highlight w:val="lightGray"/>
              </w:rPr>
              <w:t>It will also give you this error (so you have to remove the “Y” from verified with NG or Unknown):</w:t>
            </w:r>
          </w:p>
          <w:p w:rsidR="000C4918" w:rsidRDefault="000C4918" w:rsidP="008A476F">
            <w:pPr>
              <w:rPr>
                <w:i/>
                <w:szCs w:val="24"/>
              </w:rPr>
            </w:pPr>
            <w:r w:rsidRPr="00F87C4A">
              <w:rPr>
                <w:noProof/>
                <w:highlight w:val="lightGray"/>
              </w:rPr>
              <w:drawing>
                <wp:inline distT="0" distB="0" distL="0" distR="0" wp14:anchorId="06BDDD93" wp14:editId="3CE9F32B">
                  <wp:extent cx="3955311" cy="1337704"/>
                  <wp:effectExtent l="0" t="0" r="7620" b="0"/>
                  <wp:docPr id="24592" name="Picture 24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2"/>
                          <a:stretch>
                            <a:fillRect/>
                          </a:stretch>
                        </pic:blipFill>
                        <pic:spPr>
                          <a:xfrm>
                            <a:off x="0" y="0"/>
                            <a:ext cx="3958721" cy="1338857"/>
                          </a:xfrm>
                          <a:prstGeom prst="rect">
                            <a:avLst/>
                          </a:prstGeom>
                        </pic:spPr>
                      </pic:pic>
                    </a:graphicData>
                  </a:graphic>
                </wp:inline>
              </w:drawing>
            </w:r>
          </w:p>
          <w:p w:rsidR="000C4918" w:rsidRDefault="000C4918" w:rsidP="008A476F">
            <w:pPr>
              <w:rPr>
                <w:i/>
                <w:szCs w:val="24"/>
              </w:rPr>
            </w:pPr>
            <w:r>
              <w:rPr>
                <w:noProof/>
              </w:rPr>
              <w:drawing>
                <wp:inline distT="0" distB="0" distL="0" distR="0" wp14:anchorId="76229D3F" wp14:editId="28F777EB">
                  <wp:extent cx="2333625" cy="2362200"/>
                  <wp:effectExtent l="0" t="0" r="9525" b="0"/>
                  <wp:docPr id="24594" name="Picture 24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3"/>
                          <a:stretch>
                            <a:fillRect/>
                          </a:stretch>
                        </pic:blipFill>
                        <pic:spPr>
                          <a:xfrm>
                            <a:off x="0" y="0"/>
                            <a:ext cx="2333625" cy="2362200"/>
                          </a:xfrm>
                          <a:prstGeom prst="rect">
                            <a:avLst/>
                          </a:prstGeom>
                        </pic:spPr>
                      </pic:pic>
                    </a:graphicData>
                  </a:graphic>
                </wp:inline>
              </w:drawing>
            </w:r>
          </w:p>
          <w:p w:rsidR="00582300" w:rsidRDefault="00582300" w:rsidP="008A476F">
            <w:pPr>
              <w:rPr>
                <w:i/>
                <w:szCs w:val="24"/>
              </w:rPr>
            </w:pPr>
          </w:p>
          <w:p w:rsidR="00582300" w:rsidRPr="00582300" w:rsidRDefault="00582300" w:rsidP="008A476F">
            <w:pPr>
              <w:rPr>
                <w:szCs w:val="24"/>
              </w:rPr>
            </w:pPr>
            <w:r w:rsidRPr="00F87C4A">
              <w:rPr>
                <w:szCs w:val="24"/>
                <w:highlight w:val="lightGray"/>
              </w:rPr>
              <w:t>Then SPP no longer has “Active Duty for Training” (so you have to go back in &amp; add it back):</w:t>
            </w:r>
          </w:p>
          <w:p w:rsidR="00582300" w:rsidRDefault="00582300" w:rsidP="008A476F">
            <w:pPr>
              <w:rPr>
                <w:i/>
                <w:szCs w:val="24"/>
              </w:rPr>
            </w:pPr>
            <w:r>
              <w:rPr>
                <w:noProof/>
              </w:rPr>
              <w:drawing>
                <wp:inline distT="0" distB="0" distL="0" distR="0" wp14:anchorId="38C039C7" wp14:editId="4175651A">
                  <wp:extent cx="5905500" cy="2495550"/>
                  <wp:effectExtent l="0" t="0" r="0" b="0"/>
                  <wp:docPr id="24597" name="Picture 24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4"/>
                          <a:stretch>
                            <a:fillRect/>
                          </a:stretch>
                        </pic:blipFill>
                        <pic:spPr>
                          <a:xfrm>
                            <a:off x="0" y="0"/>
                            <a:ext cx="5905500" cy="2495550"/>
                          </a:xfrm>
                          <a:prstGeom prst="rect">
                            <a:avLst/>
                          </a:prstGeom>
                        </pic:spPr>
                      </pic:pic>
                    </a:graphicData>
                  </a:graphic>
                </wp:inline>
              </w:drawing>
            </w:r>
          </w:p>
          <w:p w:rsidR="007C044E" w:rsidRPr="007C044E" w:rsidRDefault="007C044E" w:rsidP="008A476F">
            <w:pPr>
              <w:rPr>
                <w:szCs w:val="24"/>
              </w:rPr>
            </w:pPr>
          </w:p>
          <w:p w:rsidR="007C044E" w:rsidRPr="007C044E" w:rsidRDefault="007C044E" w:rsidP="007C044E">
            <w:pPr>
              <w:rPr>
                <w:szCs w:val="24"/>
              </w:rPr>
            </w:pPr>
            <w:r w:rsidRPr="00F87C4A">
              <w:rPr>
                <w:szCs w:val="24"/>
                <w:highlight w:val="lightGray"/>
              </w:rPr>
              <w:t>Separation Reason will update in VBMS, but Service Type will still show Active Duty:</w:t>
            </w:r>
          </w:p>
          <w:p w:rsidR="007C044E" w:rsidRPr="005A3A51" w:rsidRDefault="000C4918" w:rsidP="008A476F">
            <w:pPr>
              <w:rPr>
                <w:i/>
                <w:szCs w:val="24"/>
              </w:rPr>
            </w:pPr>
            <w:r>
              <w:rPr>
                <w:noProof/>
              </w:rPr>
              <w:drawing>
                <wp:inline distT="0" distB="0" distL="0" distR="0" wp14:anchorId="4FB4802B" wp14:editId="5AA5D6C6">
                  <wp:extent cx="5741581" cy="1110898"/>
                  <wp:effectExtent l="0" t="0" r="0" b="0"/>
                  <wp:docPr id="24596" name="Picture 24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5749926" cy="1112513"/>
                          </a:xfrm>
                          <a:prstGeom prst="rect">
                            <a:avLst/>
                          </a:prstGeom>
                        </pic:spPr>
                      </pic:pic>
                    </a:graphicData>
                  </a:graphic>
                </wp:inline>
              </w:drawing>
            </w:r>
          </w:p>
          <w:p w:rsidR="005A3A51" w:rsidRDefault="005A3A51" w:rsidP="008A476F">
            <w:pPr>
              <w:rPr>
                <w:szCs w:val="24"/>
              </w:rPr>
            </w:pPr>
          </w:p>
          <w:p w:rsidR="000C4918" w:rsidRDefault="000C4918" w:rsidP="008A476F">
            <w:pPr>
              <w:rPr>
                <w:szCs w:val="24"/>
              </w:rPr>
            </w:pPr>
            <w:r w:rsidRPr="00F87C4A">
              <w:rPr>
                <w:szCs w:val="24"/>
                <w:highlight w:val="lightGray"/>
              </w:rPr>
              <w:t>VBMS-R will give you this message (but you can still rate):</w:t>
            </w:r>
          </w:p>
          <w:p w:rsidR="000C4918" w:rsidRDefault="000C4918" w:rsidP="008A476F">
            <w:pPr>
              <w:rPr>
                <w:szCs w:val="24"/>
              </w:rPr>
            </w:pPr>
            <w:r>
              <w:rPr>
                <w:noProof/>
              </w:rPr>
              <w:drawing>
                <wp:inline distT="0" distB="0" distL="0" distR="0" wp14:anchorId="272D4C03" wp14:editId="0FC9E004">
                  <wp:extent cx="3181350" cy="1809750"/>
                  <wp:effectExtent l="0" t="0" r="0" b="0"/>
                  <wp:docPr id="24595" name="Picture 24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6"/>
                          <a:stretch>
                            <a:fillRect/>
                          </a:stretch>
                        </pic:blipFill>
                        <pic:spPr>
                          <a:xfrm>
                            <a:off x="0" y="0"/>
                            <a:ext cx="3181350" cy="1809750"/>
                          </a:xfrm>
                          <a:prstGeom prst="rect">
                            <a:avLst/>
                          </a:prstGeom>
                        </pic:spPr>
                      </pic:pic>
                    </a:graphicData>
                  </a:graphic>
                </wp:inline>
              </w:drawing>
            </w:r>
          </w:p>
          <w:p w:rsidR="000C4918" w:rsidRDefault="000C4918" w:rsidP="008A476F">
            <w:pPr>
              <w:rPr>
                <w:szCs w:val="24"/>
              </w:rPr>
            </w:pPr>
          </w:p>
          <w:p w:rsidR="005A3A51" w:rsidRDefault="005A3A51" w:rsidP="008A476F">
            <w:pPr>
              <w:rPr>
                <w:szCs w:val="24"/>
              </w:rPr>
            </w:pPr>
          </w:p>
          <w:p w:rsidR="005A3A51" w:rsidRDefault="005A3A51" w:rsidP="008A476F">
            <w:pPr>
              <w:rPr>
                <w:szCs w:val="24"/>
              </w:rPr>
            </w:pPr>
          </w:p>
          <w:p w:rsidR="008A476F" w:rsidRDefault="00AE240F" w:rsidP="008A476F">
            <w:pPr>
              <w:rPr>
                <w:rFonts w:cstheme="minorBidi"/>
                <w:color w:val="1F497D" w:themeColor="dark2"/>
              </w:rPr>
            </w:pPr>
            <w:r w:rsidRPr="00AE240F">
              <w:rPr>
                <w:rFonts w:cstheme="minorBidi"/>
                <w:i/>
                <w:color w:val="00B050"/>
              </w:rPr>
              <w:t>My Notes:</w:t>
            </w:r>
            <w:r w:rsidRPr="00AE240F">
              <w:rPr>
                <w:rFonts w:cstheme="minorBidi"/>
                <w:color w:val="00B050"/>
              </w:rPr>
              <w:t xml:space="preserve">  </w:t>
            </w:r>
            <w:r w:rsidR="008A476F" w:rsidRPr="00D36CD9">
              <w:rPr>
                <w:rFonts w:cstheme="minorBidi"/>
                <w:i/>
                <w:color w:val="1F497D" w:themeColor="dark2"/>
              </w:rPr>
              <w:t>As of June 2017, Post is deferring ratings if the Pre-VSR put in ADT in the system &amp; listed it as verified:</w:t>
            </w:r>
          </w:p>
          <w:p w:rsidR="008A476F" w:rsidRDefault="008A476F" w:rsidP="008A476F">
            <w:pPr>
              <w:rPr>
                <w:rFonts w:cstheme="minorBidi"/>
                <w:color w:val="1F497D" w:themeColor="dark2"/>
              </w:rPr>
            </w:pPr>
            <w:r>
              <w:rPr>
                <w:noProof/>
              </w:rPr>
              <w:drawing>
                <wp:inline distT="0" distB="0" distL="0" distR="0" wp14:anchorId="4EA3B386" wp14:editId="792AECC0">
                  <wp:extent cx="5475767" cy="1791247"/>
                  <wp:effectExtent l="0" t="0" r="0" b="0"/>
                  <wp:docPr id="24586" name="Picture 24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5475600" cy="1791192"/>
                          </a:xfrm>
                          <a:prstGeom prst="rect">
                            <a:avLst/>
                          </a:prstGeom>
                          <a:noFill/>
                          <a:ln>
                            <a:noFill/>
                          </a:ln>
                        </pic:spPr>
                      </pic:pic>
                    </a:graphicData>
                  </a:graphic>
                </wp:inline>
              </w:drawing>
            </w:r>
          </w:p>
          <w:p w:rsidR="008A476F" w:rsidRDefault="008A476F" w:rsidP="008A476F">
            <w:pPr>
              <w:rPr>
                <w:rFonts w:cstheme="minorBidi"/>
                <w:color w:val="1F497D" w:themeColor="dark2"/>
              </w:rPr>
            </w:pPr>
          </w:p>
          <w:p w:rsidR="008A476F" w:rsidRDefault="008A476F" w:rsidP="008A476F">
            <w:pPr>
              <w:rPr>
                <w:rFonts w:cstheme="minorBidi"/>
                <w:color w:val="1F497D" w:themeColor="dark2"/>
              </w:rPr>
            </w:pPr>
            <w:r>
              <w:rPr>
                <w:rFonts w:cstheme="minorBidi"/>
                <w:color w:val="1F497D" w:themeColor="dark2"/>
              </w:rPr>
              <w:t>And they’re changing the entries to:</w:t>
            </w:r>
          </w:p>
          <w:p w:rsidR="008A476F" w:rsidRDefault="008A476F" w:rsidP="008A476F">
            <w:pPr>
              <w:rPr>
                <w:rFonts w:cstheme="minorBidi"/>
                <w:color w:val="1F497D" w:themeColor="dark2"/>
              </w:rPr>
            </w:pPr>
            <w:r>
              <w:rPr>
                <w:noProof/>
              </w:rPr>
              <w:drawing>
                <wp:inline distT="0" distB="0" distL="0" distR="0" wp14:anchorId="7EC9701E" wp14:editId="10DF1E2C">
                  <wp:extent cx="1605516" cy="1663624"/>
                  <wp:effectExtent l="0" t="0" r="0" b="0"/>
                  <wp:docPr id="24583" name="Picture 24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605638" cy="1663750"/>
                          </a:xfrm>
                          <a:prstGeom prst="rect">
                            <a:avLst/>
                          </a:prstGeom>
                          <a:noFill/>
                          <a:ln>
                            <a:noFill/>
                          </a:ln>
                        </pic:spPr>
                      </pic:pic>
                    </a:graphicData>
                  </a:graphic>
                </wp:inline>
              </w:drawing>
            </w:r>
          </w:p>
          <w:p w:rsidR="008A476F" w:rsidRDefault="008A476F" w:rsidP="008A476F">
            <w:pPr>
              <w:rPr>
                <w:rFonts w:cstheme="minorBidi"/>
                <w:color w:val="1F497D" w:themeColor="dark2"/>
              </w:rPr>
            </w:pPr>
          </w:p>
          <w:p w:rsidR="008A476F" w:rsidRDefault="008A476F" w:rsidP="008A476F">
            <w:pPr>
              <w:rPr>
                <w:rFonts w:cstheme="minorBidi"/>
                <w:color w:val="1F497D" w:themeColor="dark2"/>
              </w:rPr>
            </w:pPr>
            <w:r>
              <w:rPr>
                <w:rFonts w:cstheme="minorBidi"/>
                <w:color w:val="1F497D" w:themeColor="dark2"/>
              </w:rPr>
              <w:t>Then, in VBMS-R, you will get this message:</w:t>
            </w:r>
          </w:p>
          <w:p w:rsidR="008A476F" w:rsidRDefault="008A476F" w:rsidP="008A476F">
            <w:pPr>
              <w:rPr>
                <w:rFonts w:cstheme="minorBidi"/>
                <w:color w:val="1F497D" w:themeColor="dark2"/>
              </w:rPr>
            </w:pPr>
            <w:r>
              <w:rPr>
                <w:noProof/>
              </w:rPr>
              <w:drawing>
                <wp:inline distT="0" distB="0" distL="0" distR="0" wp14:anchorId="5A95276B" wp14:editId="27161EDF">
                  <wp:extent cx="3104515" cy="1775460"/>
                  <wp:effectExtent l="0" t="0" r="635" b="0"/>
                  <wp:docPr id="24581" name="Picture 24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3104515" cy="1775460"/>
                          </a:xfrm>
                          <a:prstGeom prst="rect">
                            <a:avLst/>
                          </a:prstGeom>
                          <a:noFill/>
                          <a:ln>
                            <a:noFill/>
                          </a:ln>
                        </pic:spPr>
                      </pic:pic>
                    </a:graphicData>
                  </a:graphic>
                </wp:inline>
              </w:drawing>
            </w:r>
          </w:p>
          <w:p w:rsidR="008A476F" w:rsidRDefault="008A476F" w:rsidP="008A476F">
            <w:pPr>
              <w:rPr>
                <w:rFonts w:cstheme="minorBidi"/>
                <w:color w:val="1F497D" w:themeColor="dark2"/>
              </w:rPr>
            </w:pPr>
          </w:p>
          <w:p w:rsidR="008A476F" w:rsidRDefault="009132EA" w:rsidP="008A476F">
            <w:pPr>
              <w:rPr>
                <w:rFonts w:cstheme="minorBidi"/>
                <w:color w:val="1F497D" w:themeColor="dark2"/>
              </w:rPr>
            </w:pPr>
            <w:r>
              <w:rPr>
                <w:rFonts w:cstheme="minorBidi"/>
                <w:color w:val="1F497D" w:themeColor="dark2"/>
              </w:rPr>
              <w:t>You s</w:t>
            </w:r>
            <w:r w:rsidR="008A476F">
              <w:rPr>
                <w:rFonts w:cstheme="minorBidi"/>
                <w:color w:val="1F497D" w:themeColor="dark2"/>
              </w:rPr>
              <w:t xml:space="preserve">hould follow </w:t>
            </w:r>
            <w:r w:rsidR="008A476F">
              <w:rPr>
                <w:rStyle w:val="Strong"/>
                <w:b w:val="0"/>
                <w:bCs w:val="0"/>
                <w:sz w:val="21"/>
                <w:szCs w:val="21"/>
              </w:rPr>
              <w:t>III.ii.6.A.2.k</w:t>
            </w:r>
            <w:r w:rsidR="008A476F">
              <w:rPr>
                <w:rStyle w:val="Strong"/>
                <w:b w:val="0"/>
                <w:bCs w:val="0"/>
                <w:color w:val="444444"/>
                <w:sz w:val="21"/>
                <w:szCs w:val="21"/>
              </w:rPr>
              <w:t>.</w:t>
            </w:r>
            <w:r w:rsidR="008A476F">
              <w:rPr>
                <w:rFonts w:cstheme="minorBidi"/>
                <w:color w:val="1F497D" w:themeColor="dark2"/>
              </w:rPr>
              <w:t>(</w:t>
            </w:r>
            <w:r w:rsidR="008A476F">
              <w:rPr>
                <w:rFonts w:cstheme="minorBidi"/>
                <w:i/>
                <w:color w:val="1F497D" w:themeColor="dark2"/>
              </w:rPr>
              <w:t xml:space="preserve">which is </w:t>
            </w:r>
            <w:r>
              <w:rPr>
                <w:rFonts w:cstheme="minorBidi"/>
                <w:i/>
                <w:color w:val="1F497D" w:themeColor="dark2"/>
              </w:rPr>
              <w:t>actually</w:t>
            </w:r>
            <w:r w:rsidR="008A476F">
              <w:rPr>
                <w:rFonts w:cstheme="minorBidi"/>
                <w:i/>
                <w:color w:val="1F497D" w:themeColor="dark2"/>
              </w:rPr>
              <w:t xml:space="preserve"> insufficient, as it doesn’t discuss when you have other AD periods</w:t>
            </w:r>
            <w:r w:rsidR="008A476F">
              <w:rPr>
                <w:rFonts w:cstheme="minorBidi"/>
                <w:color w:val="1F497D" w:themeColor="dark2"/>
              </w:rPr>
              <w:t>) &amp; remove ADT from the system (</w:t>
            </w:r>
            <w:r w:rsidR="008A476F" w:rsidRPr="008A476F">
              <w:rPr>
                <w:rFonts w:cstheme="minorBidi"/>
                <w:i/>
                <w:color w:val="1F497D" w:themeColor="dark2"/>
              </w:rPr>
              <w:t>if it is not the basis for SC</w:t>
            </w:r>
            <w:r w:rsidR="008A476F">
              <w:rPr>
                <w:rFonts w:cstheme="minorBidi"/>
                <w:color w:val="1F497D" w:themeColor="dark2"/>
              </w:rPr>
              <w:t>) &amp; add this note:</w:t>
            </w:r>
          </w:p>
          <w:p w:rsidR="00453E4A" w:rsidRDefault="00453E4A" w:rsidP="008A476F">
            <w:pPr>
              <w:rPr>
                <w:rFonts w:cstheme="minorBidi"/>
                <w:color w:val="1F497D" w:themeColor="dark2"/>
              </w:rPr>
            </w:pPr>
          </w:p>
          <w:p w:rsidR="008A476F" w:rsidRDefault="00EA1748" w:rsidP="008A476F">
            <w:pPr>
              <w:rPr>
                <w:rFonts w:cstheme="minorBidi"/>
                <w:color w:val="1F497D" w:themeColor="dark2"/>
              </w:rPr>
            </w:pPr>
            <w:r>
              <w:rPr>
                <w:rFonts w:cstheme="minorBidi"/>
                <w:color w:val="1F497D" w:themeColor="dark2"/>
              </w:rPr>
              <w:t xml:space="preserve">Note to File:  The ADT period </w:t>
            </w:r>
            <w:r w:rsidR="008A476F">
              <w:rPr>
                <w:rFonts w:cstheme="minorBidi"/>
                <w:color w:val="1F497D" w:themeColor="dark2"/>
              </w:rPr>
              <w:t>{} is not the period on which SC is based, so it is not listed in the system, as it is not considered active duty.</w:t>
            </w:r>
          </w:p>
          <w:p w:rsidR="005E64AB" w:rsidRDefault="005E64AB" w:rsidP="008A476F">
            <w:pPr>
              <w:rPr>
                <w:rFonts w:cstheme="minorBidi"/>
                <w:color w:val="1F497D" w:themeColor="dark2"/>
              </w:rPr>
            </w:pPr>
          </w:p>
          <w:p w:rsidR="00453E4A" w:rsidRPr="008467B8" w:rsidRDefault="005E64AB" w:rsidP="008467B8">
            <w:pPr>
              <w:rPr>
                <w:rFonts w:ascii="Calibri" w:hAnsi="Calibri"/>
              </w:rPr>
            </w:pPr>
            <w:r w:rsidRPr="005E64AB">
              <w:rPr>
                <w:rFonts w:cstheme="minorBidi"/>
                <w:color w:val="1F497D" w:themeColor="dark2"/>
              </w:rPr>
              <w:t>Note to File:  2/4/75-6/3/75 is ADT &amp; there is no indication of any disability incurred du</w:t>
            </w:r>
            <w:r w:rsidR="00506EF7">
              <w:rPr>
                <w:rFonts w:cstheme="minorBidi"/>
                <w:color w:val="1F497D" w:themeColor="dark2"/>
              </w:rPr>
              <w:t>ring that period, so it is not active duty</w:t>
            </w:r>
            <w:r w:rsidRPr="005E64AB">
              <w:rPr>
                <w:rFonts w:cstheme="minorBidi"/>
                <w:color w:val="1F497D" w:themeColor="dark2"/>
              </w:rPr>
              <w:t xml:space="preserve"> &amp; has been removed from the Participant Profile (but could not be deleted from BIRLS).</w:t>
            </w:r>
            <w:r w:rsidR="00416598">
              <w:rPr>
                <w:rFonts w:cstheme="minorBidi"/>
                <w:color w:val="1F497D" w:themeColor="dark2"/>
              </w:rPr>
              <w:t xml:space="preserve"> </w:t>
            </w:r>
            <w:r w:rsidR="00416598" w:rsidRPr="00416598">
              <w:rPr>
                <w:color w:val="365F91" w:themeColor="accent1" w:themeShade="BF"/>
              </w:rPr>
              <w:t xml:space="preserve">The Master Record shows these service event dates for the SC disabilities:  </w:t>
            </w:r>
            <w:r w:rsidR="00416598">
              <w:rPr>
                <w:color w:val="365F91" w:themeColor="accent1" w:themeShade="BF"/>
              </w:rPr>
              <w:t>{disability}</w:t>
            </w:r>
            <w:r w:rsidR="00416598" w:rsidRPr="00416598">
              <w:rPr>
                <w:color w:val="365F91" w:themeColor="accent1" w:themeShade="BF"/>
              </w:rPr>
              <w:t xml:space="preserve"> </w:t>
            </w:r>
            <w:r w:rsidR="00416598">
              <w:rPr>
                <w:color w:val="365F91" w:themeColor="accent1" w:themeShade="BF"/>
              </w:rPr>
              <w:t>{date}</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5D5F47" w:rsidP="00636754">
            <w:r>
              <w:rPr>
                <w:rFonts w:ascii="Verdana" w:hAnsi="Verdana"/>
                <w:b/>
                <w:bCs/>
                <w:highlight w:val="green"/>
              </w:rPr>
              <w:lastRenderedPageBreak/>
              <w:t>SAH_GWOT</w:t>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rsidRPr="003C556A">
              <w:t xml:space="preserve">Section 202 of Public Law 112-154 provides that in addition to those Veterans currently eligible for Specially Adaptive Housing (SAH) </w:t>
            </w:r>
            <w:r w:rsidR="00245A7A">
              <w:t>(</w:t>
            </w:r>
            <w:r w:rsidR="00245A7A" w:rsidRPr="00245A7A">
              <w:rPr>
                <w:rFonts w:ascii="Helvetica" w:hAnsi="Helvetica" w:cs="Helvetica"/>
                <w:i/>
                <w:color w:val="00B050"/>
              </w:rPr>
              <w:t xml:space="preserve">My Notes:  </w:t>
            </w:r>
            <w:r w:rsidR="00245A7A" w:rsidRPr="00245A7A">
              <w:rPr>
                <w:rFonts w:ascii="Helvetica" w:hAnsi="Helvetica" w:cs="Helvetica"/>
                <w:i/>
              </w:rPr>
              <w:t xml:space="preserve">It’s actually called </w:t>
            </w:r>
            <w:r w:rsidR="00245A7A" w:rsidRPr="00245A7A">
              <w:rPr>
                <w:i/>
              </w:rPr>
              <w:t>Specially Adapt</w:t>
            </w:r>
            <w:r w:rsidR="00245A7A" w:rsidRPr="00245A7A">
              <w:rPr>
                <w:b/>
                <w:i/>
                <w:u w:val="single"/>
              </w:rPr>
              <w:t>ed</w:t>
            </w:r>
            <w:r w:rsidR="00245A7A" w:rsidRPr="00245A7A">
              <w:rPr>
                <w:i/>
              </w:rPr>
              <w:t xml:space="preserve"> Housing</w:t>
            </w:r>
            <w:r w:rsidR="00245A7A">
              <w:rPr>
                <w:i/>
              </w:rPr>
              <w:t>.</w:t>
            </w:r>
            <w:r w:rsidR="00245A7A">
              <w:t xml:space="preserve">) </w:t>
            </w:r>
            <w:r w:rsidRPr="003C556A">
              <w:t xml:space="preserve">under 38 U.S.C. § 2101(a), Veterans who served on or after September 11, 2001, and incurred a permanent disability that is </w:t>
            </w:r>
            <w:r w:rsidRPr="003C556A">
              <w:rPr>
                <w:highlight w:val="yellow"/>
              </w:rPr>
              <w:t>?</w:t>
            </w:r>
            <w:r w:rsidRPr="003C556A">
              <w:t>due to the loss or loss of use of one or more lower extremities which so affects the functions of balance or propulsion as to preclude ambulating without the aid of braces, crutches, canes, or a wheelchair</w:t>
            </w:r>
            <w:r w:rsidRPr="003C556A">
              <w:rPr>
                <w:highlight w:val="yellow"/>
              </w:rPr>
              <w:t>?</w:t>
            </w:r>
            <w:r w:rsidRPr="003C556A">
              <w:t xml:space="preserve"> are eligible for the SAH benefit. Originally, this provision, which is temporary, provided that SAH may be awarded for claims pending on or after October 1, 2012, as long as the application was approved on or before September 30, 2014. However, section 405 of Public Law 113-175 extended this provision for claims pending for the same period as long as the application is approved on or before September 30, 2015.</w:t>
            </w:r>
          </w:p>
          <w:p w:rsidR="005D5F47" w:rsidRDefault="005D5F47" w:rsidP="00636754"/>
          <w:p w:rsidR="005D5F47" w:rsidRDefault="005D5F47" w:rsidP="00636754">
            <w:r>
              <w:t>Then:</w:t>
            </w:r>
          </w:p>
          <w:p w:rsidR="005D5F47" w:rsidRDefault="005D5F47" w:rsidP="00636754">
            <w:pPr>
              <w:rPr>
                <w:rFonts w:ascii="Helvetica" w:hAnsi="Helvetica" w:cs="Helvetica"/>
                <w:color w:val="808080"/>
              </w:rPr>
            </w:pPr>
            <w:r>
              <w:rPr>
                <w:rFonts w:ascii="Helvetica" w:hAnsi="Helvetica" w:cs="Helvetica"/>
                <w:color w:val="808080"/>
              </w:rPr>
              <w:t xml:space="preserve">Section 202 of Public Law 112-154 provides that in addition to those Veterans currently eligible for Specially Adaptive Housing (SAH) </w:t>
            </w:r>
            <w:r w:rsidR="00245A7A">
              <w:rPr>
                <w:rFonts w:ascii="Helvetica" w:hAnsi="Helvetica" w:cs="Helvetica"/>
                <w:color w:val="808080"/>
              </w:rPr>
              <w:t>(</w:t>
            </w:r>
            <w:r w:rsidR="00245A7A" w:rsidRPr="00245A7A">
              <w:rPr>
                <w:rFonts w:ascii="Helvetica" w:hAnsi="Helvetica" w:cs="Helvetica"/>
                <w:i/>
                <w:color w:val="00B050"/>
              </w:rPr>
              <w:t xml:space="preserve">My Notes:  </w:t>
            </w:r>
            <w:r w:rsidR="00245A7A" w:rsidRPr="00245A7A">
              <w:rPr>
                <w:rFonts w:ascii="Helvetica" w:hAnsi="Helvetica" w:cs="Helvetica"/>
                <w:i/>
              </w:rPr>
              <w:t xml:space="preserve">It’s actually called </w:t>
            </w:r>
            <w:r w:rsidR="00245A7A" w:rsidRPr="00245A7A">
              <w:rPr>
                <w:i/>
              </w:rPr>
              <w:t>Specially Adapt</w:t>
            </w:r>
            <w:r w:rsidR="00245A7A" w:rsidRPr="00245A7A">
              <w:rPr>
                <w:b/>
                <w:i/>
                <w:u w:val="single"/>
              </w:rPr>
              <w:t>ed</w:t>
            </w:r>
            <w:r w:rsidR="00245A7A" w:rsidRPr="00245A7A">
              <w:rPr>
                <w:i/>
              </w:rPr>
              <w:t xml:space="preserve"> Housing</w:t>
            </w:r>
            <w:r w:rsidR="00245A7A">
              <w:rPr>
                <w:i/>
              </w:rPr>
              <w:t>.</w:t>
            </w:r>
            <w:r w:rsidR="00245A7A">
              <w:rPr>
                <w:rFonts w:ascii="Helvetica" w:hAnsi="Helvetica" w:cs="Helvetica"/>
                <w:color w:val="808080"/>
              </w:rPr>
              <w:t>) u</w:t>
            </w:r>
            <w:r>
              <w:rPr>
                <w:rFonts w:ascii="Helvetica" w:hAnsi="Helvetica" w:cs="Helvetica"/>
                <w:color w:val="808080"/>
              </w:rPr>
              <w:t>nder 38 U.S.C. § 2101(a), Veterans who served on or after September 11, 2001, and incurred a permanent disability that is ?due to the loss or loss of use of one or more lower extremities which so affects the functions of balance or propulsion as to preclude ambulating without the aid of braces, crutches, canes, or a wheelchair? are eligible for the SAH benefit. Originally, this provision, which is temporary, provided that SAH may be awarded for claims pending on or after October 1, 2012, as long as the application was approved on or before September 30, 2013. However, section 405 of Public Law 113-175 extended this provision for claims pending for the same period as long as the application is approved on or before September 30, 2016. By law, VA may not approve more than 30 applications within a fiscal year. As of June 2016, VA has approved 30 applications. You will receive additional information regarding the status in a separate notification letter.</w:t>
            </w:r>
          </w:p>
          <w:p w:rsidR="005D5F47" w:rsidRDefault="005D5F47" w:rsidP="00636754">
            <w:pPr>
              <w:rPr>
                <w:rFonts w:ascii="Helvetica" w:hAnsi="Helvetica" w:cs="Helvetica"/>
              </w:rPr>
            </w:pPr>
            <w:r w:rsidRPr="00472785">
              <w:rPr>
                <w:rFonts w:ascii="Helvetica" w:hAnsi="Helvetica" w:cs="Helvetica"/>
              </w:rPr>
              <w:t>*SEEMS YOU CAN GRANT &amp; FINANCE WILL DECIDE IF CAN ACTUALLY PAY</w:t>
            </w:r>
          </w:p>
          <w:p w:rsidR="00A07E41" w:rsidRDefault="00A07E41" w:rsidP="00636754">
            <w:pPr>
              <w:rPr>
                <w:rFonts w:ascii="Helvetica" w:hAnsi="Helvetica" w:cs="Helvetica"/>
              </w:rPr>
            </w:pPr>
          </w:p>
          <w:p w:rsidR="00245A7A" w:rsidRPr="00245A7A" w:rsidRDefault="00A07E41" w:rsidP="00636754">
            <w:pPr>
              <w:rPr>
                <w:rFonts w:ascii="Helvetica" w:hAnsi="Helvetica" w:cs="Helvetica"/>
              </w:rPr>
            </w:pPr>
            <w:r w:rsidRPr="00A07E41">
              <w:rPr>
                <w:rFonts w:ascii="Helvetica" w:hAnsi="Helvetica" w:cs="Helvetica"/>
                <w:b/>
              </w:rPr>
              <w:t>IV.i.3.1.f</w:t>
            </w:r>
            <w:r>
              <w:rPr>
                <w:rFonts w:ascii="Helvetica" w:hAnsi="Helvetica" w:cs="Helvetica"/>
              </w:rPr>
              <w:t xml:space="preserve"> – changed to 9/30/17</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5D5F47" w:rsidP="00636754">
            <w:r>
              <w:t>SC/DEN/RATI</w:t>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rsidRPr="003C556A">
              <w:t>On {} we received your submission of a VCAA Notice Response form indicating that you have no additional evidence to submit regarding your claim and that you wish to have a decision rendered as soon as possible</w:t>
            </w:r>
            <w:r w:rsidRPr="003C556A">
              <w:rPr>
                <w:highlight w:val="yellow"/>
              </w:rPr>
              <w:t>.&gt;&gt; &lt;&gt;&lt;&gt; &lt;&gt;</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D571C5" w:rsidP="00636754">
            <w:hyperlink r:id="rId270" w:history="1">
              <w:r w:rsidR="005D5F47">
                <w:rPr>
                  <w:rFonts w:ascii="Verdana" w:hAnsi="Verdana"/>
                  <w:b/>
                  <w:bCs/>
                  <w:highlight w:val="green"/>
                </w:rPr>
                <w:t>SE2</w:t>
              </w:r>
            </w:hyperlink>
          </w:p>
          <w:p w:rsidR="005D5F47" w:rsidRDefault="005D5F47" w:rsidP="00636754"/>
          <w:p w:rsidR="005D5F47" w:rsidRDefault="005D5F47" w:rsidP="00636754">
            <w:pPr>
              <w:rPr>
                <w:i/>
                <w:sz w:val="18"/>
              </w:rPr>
            </w:pPr>
          </w:p>
          <w:p w:rsidR="005D5F47" w:rsidRDefault="005D5F47" w:rsidP="00636754">
            <w:pPr>
              <w:rPr>
                <w:i/>
                <w:sz w:val="18"/>
              </w:rPr>
            </w:pPr>
          </w:p>
          <w:p w:rsidR="005D5F47" w:rsidRDefault="005D5F47" w:rsidP="00636754">
            <w:pPr>
              <w:rPr>
                <w:i/>
                <w:sz w:val="18"/>
              </w:rPr>
            </w:pPr>
          </w:p>
          <w:p w:rsidR="005D5F47" w:rsidRDefault="005D5F47" w:rsidP="00636754">
            <w:r>
              <w:rPr>
                <w:i/>
                <w:sz w:val="18"/>
              </w:rPr>
              <w:t>o</w:t>
            </w:r>
            <w:r w:rsidRPr="00422DF5">
              <w:rPr>
                <w:i/>
                <w:sz w:val="18"/>
              </w:rPr>
              <w:t>nly INDUTRA &amp; A</w:t>
            </w:r>
            <w:r>
              <w:rPr>
                <w:i/>
                <w:sz w:val="18"/>
              </w:rPr>
              <w:t>C</w:t>
            </w:r>
            <w:r w:rsidRPr="00422DF5">
              <w:rPr>
                <w:i/>
                <w:sz w:val="18"/>
              </w:rPr>
              <w:t>DUTRA</w:t>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624E0">
            <w:r>
              <w:t>The records show the veteran served on periods of inactive duty for training and active duty for training during his military service. He had no periods of active service. Service connection may be granted for a disease which began during active military service or active duty for training, or for an injury incurred during any period of service, active or inactive. Active duty for training is defined as full</w:t>
            </w:r>
            <w:r w:rsidR="006624E0">
              <w:t>-</w:t>
            </w:r>
            <w:r>
              <w:t>time duty in the Armed Forces performed by Reserves for training purposes. Inactive duty for tra</w:t>
            </w:r>
            <w:r w:rsidR="006624E0">
              <w:t>ining is duty (other than full-t</w:t>
            </w:r>
            <w:r>
              <w:t>ime duty) in the Armed Forces prescribed for Reserves by the Secretary concerned. “Active duty" means full-time duty in the Armed Forces, other than active duty for training. “Active duty for training" means full-time duty in the Armed Forces performed by Reserves for training purposes. “Inactive duty training" means duty (other than full-time duty) prescribed for Reserves. Active duty for training and inactive duty training also include other types of service, but none of these are relevant to the issue raised by the facts in this case.</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5D5F47" w:rsidP="00636754">
            <w:r>
              <w:t>SHA_GWOT</w:t>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rsidRPr="003C556A">
              <w:t>Section 203 of P.L. 112-154 amends section 2101(b)(2) to provide special home adaptations to Veterans who have central acuity of 20/200 or less in the better eye with the use of a standard correcting lens. An eye with a limitation in the fields of vision such that the widest diameter of the visual field subtends an angle no greater than 20 degrees shall be considered as having a central visual acuity of 20/200 or less.</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Pr="00DA3E79" w:rsidRDefault="005D5F47" w:rsidP="00636754">
            <w:r>
              <w:t>STGD</w:t>
            </w:r>
          </w:p>
          <w:p w:rsidR="005D5F47" w:rsidRDefault="005D5F47" w:rsidP="00636754">
            <w:pPr>
              <w:rPr>
                <w:i/>
                <w:sz w:val="16"/>
                <w:szCs w:val="16"/>
              </w:rPr>
            </w:pPr>
          </w:p>
          <w:p w:rsidR="00480FF5" w:rsidRPr="005A6595" w:rsidRDefault="005D5F47" w:rsidP="00636754">
            <w:pPr>
              <w:rPr>
                <w:i/>
                <w:sz w:val="18"/>
              </w:rPr>
            </w:pPr>
            <w:r>
              <w:rPr>
                <w:i/>
                <w:sz w:val="18"/>
              </w:rPr>
              <w:t>staged ratings</w:t>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rsidRPr="00CF6E9E">
              <w:t>The Court of Appeals for Veterans Claims (CAVC) has ruled that notice requirements concerning the reduction of compensation evaluations are not applicable to separate (staged) ratings that are assigned as part of the initial disability rating decision.</w:t>
            </w:r>
          </w:p>
          <w:p w:rsidR="005A6595" w:rsidRDefault="005A6595" w:rsidP="00636754"/>
          <w:p w:rsidR="005A6595" w:rsidRDefault="005A6595" w:rsidP="00636754"/>
          <w:p w:rsidR="005A6595" w:rsidRPr="00480FF5" w:rsidRDefault="00D571C5" w:rsidP="00636754">
            <w:pPr>
              <w:rPr>
                <w:sz w:val="18"/>
              </w:rPr>
            </w:pPr>
            <w:hyperlink r:id="rId271" w:tooltip="http://vbaw.vba.va.gov/vbms/multimedia.asp" w:history="1">
              <w:r w:rsidR="005A6595" w:rsidRPr="00480FF5">
                <w:rPr>
                  <w:rStyle w:val="Hyperlink"/>
                  <w:sz w:val="18"/>
                </w:rPr>
                <w:t>http://vbaw.vba.va.gov/vbms/multimedia.asp</w:t>
              </w:r>
            </w:hyperlink>
          </w:p>
          <w:p w:rsidR="005A6595" w:rsidRPr="00480FF5" w:rsidRDefault="005A6595" w:rsidP="00636754">
            <w:pPr>
              <w:rPr>
                <w:sz w:val="18"/>
              </w:rPr>
            </w:pPr>
            <w:r w:rsidRPr="00480FF5">
              <w:rPr>
                <w:color w:val="000000"/>
                <w:sz w:val="18"/>
              </w:rPr>
              <w:t>search "staged rating"</w:t>
            </w:r>
          </w:p>
          <w:p w:rsidR="005A6595" w:rsidRDefault="005A6595" w:rsidP="00636754"/>
          <w:p w:rsidR="005A6595" w:rsidRPr="005A6595" w:rsidRDefault="005A6595" w:rsidP="00636754">
            <w:pPr>
              <w:rPr>
                <w:i/>
                <w:sz w:val="18"/>
              </w:rPr>
            </w:pPr>
            <w:r w:rsidRPr="005A6595">
              <w:rPr>
                <w:i/>
                <w:sz w:val="18"/>
              </w:rPr>
              <w:t>With VBMS-R change in December 2016, no longer the same as above.</w:t>
            </w:r>
          </w:p>
          <w:p w:rsidR="005A6595" w:rsidRDefault="005A6595" w:rsidP="00636754"/>
          <w:p w:rsidR="005A6595" w:rsidRPr="005A6595" w:rsidRDefault="005A6595" w:rsidP="00636754">
            <w:pPr>
              <w:pStyle w:val="CommentText"/>
              <w:rPr>
                <w:i/>
              </w:rPr>
            </w:pPr>
            <w:r w:rsidRPr="005A6595">
              <w:rPr>
                <w:i/>
              </w:rPr>
              <w:t>Decision &amp; first line in Reasons for Decision:</w:t>
            </w:r>
          </w:p>
          <w:p w:rsidR="005A6595" w:rsidRDefault="005A6595" w:rsidP="00636754">
            <w:r>
              <w:t>Evaluation of {}, which is {} percent disabling, is increased to {} percent effective {}. A {} percent evaluation is assigned effective {}.</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5D5F47" w:rsidRDefault="005D5F47" w:rsidP="00636754">
            <w:r>
              <w:rPr>
                <w:rFonts w:ascii="Verdana" w:hAnsi="Verdana"/>
                <w:b/>
                <w:bCs/>
                <w:highlight w:val="green"/>
              </w:rPr>
              <w:t>SUPP</w:t>
            </w:r>
          </w:p>
          <w:p w:rsidR="005D5F47" w:rsidRDefault="005D5F47" w:rsidP="00636754">
            <w:pPr>
              <w:rPr>
                <w:i/>
                <w:sz w:val="16"/>
                <w:szCs w:val="16"/>
              </w:rPr>
            </w:pPr>
          </w:p>
          <w:p w:rsidR="005D5F47" w:rsidRDefault="005D5F47" w:rsidP="00636754">
            <w:pPr>
              <w:rPr>
                <w:i/>
                <w:sz w:val="18"/>
              </w:rPr>
            </w:pPr>
            <w:r>
              <w:rPr>
                <w:i/>
                <w:sz w:val="18"/>
              </w:rPr>
              <w:t>supplemental STRs</w:t>
            </w:r>
          </w:p>
          <w:p w:rsidR="00014883" w:rsidRDefault="00014883" w:rsidP="00636754">
            <w:pPr>
              <w:rPr>
                <w:i/>
                <w:sz w:val="18"/>
              </w:rPr>
            </w:pPr>
          </w:p>
          <w:p w:rsidR="00014883" w:rsidRDefault="003A403C" w:rsidP="00636754">
            <w:pPr>
              <w:rPr>
                <w:b/>
                <w:sz w:val="18"/>
                <w:szCs w:val="18"/>
              </w:rPr>
            </w:pPr>
            <w:r>
              <w:rPr>
                <w:b/>
                <w:sz w:val="18"/>
                <w:szCs w:val="18"/>
              </w:rPr>
              <w:t>IV.ii.2.A.3.d</w:t>
            </w:r>
          </w:p>
          <w:p w:rsidR="000F25C9" w:rsidRPr="00153214" w:rsidRDefault="000F25C9" w:rsidP="000F25C9">
            <w:pPr>
              <w:rPr>
                <w:sz w:val="18"/>
                <w:szCs w:val="18"/>
              </w:rPr>
            </w:pPr>
            <w:r w:rsidRPr="000F25C9">
              <w:rPr>
                <w:b/>
                <w:bCs/>
                <w:sz w:val="18"/>
                <w:szCs w:val="24"/>
              </w:rPr>
              <w:t>III.iv.5.C.6.f</w:t>
            </w:r>
            <w:r w:rsidRPr="000F25C9">
              <w:rPr>
                <w:bCs/>
                <w:sz w:val="18"/>
                <w:szCs w:val="24"/>
              </w:rPr>
              <w:t xml:space="preserve"> </w:t>
            </w:r>
            <w:r>
              <w:rPr>
                <w:bCs/>
                <w:sz w:val="18"/>
                <w:szCs w:val="24"/>
              </w:rPr>
              <w:t>(</w:t>
            </w:r>
            <w:r w:rsidRPr="000F25C9">
              <w:rPr>
                <w:bCs/>
                <w:sz w:val="18"/>
                <w:szCs w:val="24"/>
              </w:rPr>
              <w:t>3.156(c)</w:t>
            </w:r>
            <w:r>
              <w:rPr>
                <w:bCs/>
                <w:sz w:val="18"/>
                <w:szCs w:val="24"/>
              </w:rPr>
              <w:t>)</w:t>
            </w:r>
          </w:p>
        </w:tc>
        <w:tc>
          <w:tcPr>
            <w:tcW w:w="4372" w:type="pct"/>
            <w:tcBorders>
              <w:top w:val="single" w:sz="4" w:space="0" w:color="auto"/>
              <w:left w:val="single" w:sz="4" w:space="0" w:color="auto"/>
              <w:bottom w:val="single" w:sz="4" w:space="0" w:color="auto"/>
              <w:right w:val="single" w:sz="4" w:space="0" w:color="auto"/>
            </w:tcBorders>
            <w:vAlign w:val="center"/>
            <w:hideMark/>
          </w:tcPr>
          <w:p w:rsidR="005D5F47" w:rsidRDefault="005D5F47" w:rsidP="00636754">
            <w:r w:rsidRPr="00CF6E9E">
              <w:t>VA has received additional service treatment records that were previously unavailable. The following decision is based on the additional medical evidence.</w:t>
            </w:r>
          </w:p>
          <w:p w:rsidR="009A02D7" w:rsidRDefault="009A02D7" w:rsidP="00636754"/>
          <w:p w:rsidR="009A02D7" w:rsidRDefault="009A02D7" w:rsidP="00636754"/>
          <w:p w:rsidR="009A02D7" w:rsidRPr="009A02D7" w:rsidRDefault="009A02D7" w:rsidP="00636754">
            <w:pPr>
              <w:rPr>
                <w:i/>
              </w:rPr>
            </w:pPr>
            <w:r w:rsidRPr="009A02D7">
              <w:rPr>
                <w:i/>
              </w:rPr>
              <w:t>Can add:</w:t>
            </w:r>
          </w:p>
          <w:p w:rsidR="009A02D7" w:rsidRPr="009A02D7" w:rsidRDefault="009A02D7" w:rsidP="00636754">
            <w:r w:rsidRPr="009A02D7">
              <w:rPr>
                <w:bCs/>
              </w:rPr>
              <w:t>At any time after VA issues a decision on a claim, if VA receives or associates with the claims file relevant official service department records that existed and had not been associated with the claims file when VA first decided the claim, we will reconsider the claim</w:t>
            </w:r>
            <w:r w:rsidRPr="009A02D7">
              <w:t>. </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hideMark/>
          </w:tcPr>
          <w:p w:rsidR="005D5F47" w:rsidRDefault="00D571C5" w:rsidP="00636754">
            <w:hyperlink r:id="rId272" w:history="1">
              <w:r w:rsidR="005D5F47">
                <w:rPr>
                  <w:rFonts w:ascii="Verdana" w:hAnsi="Verdana"/>
                  <w:b/>
                  <w:bCs/>
                  <w:highlight w:val="green"/>
                </w:rPr>
                <w:t>TR1</w:t>
              </w:r>
            </w:hyperlink>
          </w:p>
          <w:p w:rsidR="005D5F47" w:rsidRDefault="005D5F47" w:rsidP="00636754"/>
          <w:p w:rsidR="005D5F47" w:rsidRDefault="005D5F47" w:rsidP="00636754">
            <w:pPr>
              <w:rPr>
                <w:i/>
                <w:iCs/>
                <w:sz w:val="18"/>
              </w:rPr>
            </w:pPr>
            <w:r>
              <w:rPr>
                <w:i/>
                <w:iCs/>
                <w:sz w:val="18"/>
              </w:rPr>
              <w:t>grant of 1702</w:t>
            </w:r>
          </w:p>
          <w:p w:rsidR="005D5F47" w:rsidRDefault="005D5F47" w:rsidP="00636754">
            <w:pPr>
              <w:rPr>
                <w:i/>
                <w:iCs/>
                <w:sz w:val="18"/>
              </w:rPr>
            </w:pPr>
          </w:p>
          <w:p w:rsidR="00276D01" w:rsidRDefault="00276D01" w:rsidP="00636754">
            <w:pPr>
              <w:rPr>
                <w:i/>
                <w:iCs/>
                <w:sz w:val="18"/>
              </w:rPr>
            </w:pPr>
            <w:r>
              <w:rPr>
                <w:i/>
                <w:iCs/>
                <w:sz w:val="18"/>
              </w:rPr>
              <w:t>*</w:t>
            </w:r>
            <w:r w:rsidR="005D5F47">
              <w:rPr>
                <w:i/>
                <w:iCs/>
                <w:sz w:val="18"/>
              </w:rPr>
              <w:t>use “psychosis” or “mental illness”</w:t>
            </w:r>
            <w:r>
              <w:rPr>
                <w:i/>
                <w:iCs/>
                <w:sz w:val="18"/>
              </w:rPr>
              <w:t xml:space="preserve"> as diagnosis</w:t>
            </w:r>
          </w:p>
          <w:p w:rsidR="00276D01" w:rsidRDefault="00276D01" w:rsidP="00636754">
            <w:pPr>
              <w:rPr>
                <w:i/>
                <w:iCs/>
                <w:sz w:val="18"/>
              </w:rPr>
            </w:pPr>
          </w:p>
          <w:p w:rsidR="005D5F47" w:rsidRDefault="00276D01" w:rsidP="00636754">
            <w:pPr>
              <w:rPr>
                <w:i/>
                <w:iCs/>
                <w:sz w:val="18"/>
              </w:rPr>
            </w:pPr>
            <w:r>
              <w:rPr>
                <w:i/>
                <w:iCs/>
                <w:sz w:val="18"/>
              </w:rPr>
              <w:t>issue line will say “psychosis” so need to change to “mental illness” if appropriate</w:t>
            </w:r>
          </w:p>
          <w:p w:rsidR="005D5F47" w:rsidRDefault="005D5F47" w:rsidP="00636754">
            <w:pPr>
              <w:rPr>
                <w:i/>
                <w:iCs/>
                <w:sz w:val="18"/>
              </w:rPr>
            </w:pPr>
          </w:p>
          <w:p w:rsidR="00F93536" w:rsidRDefault="00F93536" w:rsidP="00636754">
            <w:pPr>
              <w:rPr>
                <w:i/>
                <w:iCs/>
                <w:sz w:val="18"/>
              </w:rPr>
            </w:pPr>
            <w:r>
              <w:rPr>
                <w:i/>
                <w:iCs/>
                <w:sz w:val="18"/>
              </w:rPr>
              <w:t>Decision line is also missing “for mental illness” or “for psychosis”</w:t>
            </w:r>
          </w:p>
          <w:p w:rsidR="00F93536" w:rsidRDefault="00F93536" w:rsidP="00636754">
            <w:pPr>
              <w:rPr>
                <w:i/>
                <w:iCs/>
                <w:sz w:val="18"/>
              </w:rPr>
            </w:pPr>
          </w:p>
          <w:p w:rsidR="005D5F47" w:rsidRDefault="00C551BE" w:rsidP="00636754">
            <w:pPr>
              <w:tabs>
                <w:tab w:val="left" w:pos="144"/>
              </w:tabs>
            </w:pPr>
            <w:r>
              <w:rPr>
                <w:rFonts w:ascii="Verdana" w:hAnsi="Verdana"/>
                <w:b/>
                <w:bCs/>
                <w:sz w:val="14"/>
                <w:szCs w:val="16"/>
                <w:highlight w:val="green"/>
              </w:rPr>
              <w:t>VBMS-R System-Generated Text</w:t>
            </w:r>
            <w:r w:rsidR="005D5F47" w:rsidRPr="00825228">
              <w:rPr>
                <w:rFonts w:ascii="Verdana" w:hAnsi="Verdana"/>
                <w:b/>
                <w:bCs/>
                <w:sz w:val="14"/>
                <w:szCs w:val="16"/>
              </w:rPr>
              <w:t xml:space="preserve"> </w:t>
            </w:r>
            <w:r w:rsidR="00276D01">
              <w:rPr>
                <w:rFonts w:ascii="Verdana" w:hAnsi="Verdana"/>
                <w:b/>
                <w:bCs/>
                <w:sz w:val="14"/>
                <w:szCs w:val="16"/>
              </w:rPr>
              <w:t xml:space="preserve">shows </w:t>
            </w:r>
            <w:r w:rsidR="00276D01">
              <w:rPr>
                <w:rFonts w:ascii="Verdana" w:hAnsi="Verdana"/>
                <w:b/>
                <w:bCs/>
                <w:sz w:val="14"/>
                <w:szCs w:val="16"/>
              </w:rPr>
              <w:br/>
              <w:t>“psychosis/mental illness</w:t>
            </w:r>
            <w:r w:rsidR="001946CC">
              <w:rPr>
                <w:rFonts w:ascii="Verdana" w:hAnsi="Verdana"/>
                <w:b/>
                <w:bCs/>
                <w:sz w:val="14"/>
                <w:szCs w:val="16"/>
              </w:rPr>
              <w:t>,”</w:t>
            </w:r>
            <w:r w:rsidR="00276D01">
              <w:rPr>
                <w:rFonts w:ascii="Verdana" w:hAnsi="Verdana"/>
                <w:b/>
                <w:bCs/>
                <w:sz w:val="14"/>
                <w:szCs w:val="16"/>
              </w:rPr>
              <w:t xml:space="preserve"> so need to change that too, if appropriate</w:t>
            </w:r>
          </w:p>
        </w:tc>
        <w:tc>
          <w:tcPr>
            <w:tcW w:w="4372" w:type="pct"/>
            <w:tcBorders>
              <w:top w:val="single" w:sz="4" w:space="0" w:color="auto"/>
              <w:left w:val="single" w:sz="4" w:space="0" w:color="auto"/>
              <w:bottom w:val="single" w:sz="4" w:space="0" w:color="auto"/>
              <w:right w:val="single" w:sz="4" w:space="0" w:color="auto"/>
            </w:tcBorders>
            <w:vAlign w:val="center"/>
            <w:hideMark/>
          </w:tcPr>
          <w:p w:rsidR="005D5F47" w:rsidRDefault="005D5F47" w:rsidP="00636754">
            <w:r>
              <w:t>A determination of entitlement to service connection under 38 USC 1702 is inferred for the purpose of establishing eligibility for hospital and medical treatment for certain wartime veterans. Service connection for treatment purposes only may be granted for veterans of World War II, Korean Conflict or Vietnam era who develop an active psychosis and veterans of Gulf War service who develop an active psychosis or other mental illness within two years after discharge or release from the active military, naval, or air service, and before July 26, 1949, in the case of a veteran of World War II, before February 1, 1957, in the case of a veteran of the Korean conflict, before May 8, 1977, in the case of a Vietnam era veteran, or before the end of the two-year period beginning on the last day of the Persian Gulf War, in the case of a veteran of the Persian Gulf War. A review of the evidence shows that you were discharged on XXXX. The medical evidence shows that your XXXX was first diagnosed on XXXX, which was within the required period of time. Therefore, entitlement to service connection for treatment purposes only under 38 USC 1702 is established.</w:t>
            </w:r>
          </w:p>
          <w:p w:rsidR="00276D01" w:rsidRDefault="00276D01" w:rsidP="00636754"/>
          <w:p w:rsidR="00276D01" w:rsidRDefault="00276D01" w:rsidP="00636754">
            <w:r w:rsidRPr="0099386D">
              <w:rPr>
                <w:rFonts w:ascii="Verdana" w:hAnsi="Verdana"/>
                <w:b/>
                <w:highlight w:val="green"/>
              </w:rPr>
              <w:t xml:space="preserve">**Similar to </w:t>
            </w:r>
            <w:r w:rsidR="00C551BE">
              <w:rPr>
                <w:rFonts w:ascii="Verdana" w:hAnsi="Verdana"/>
                <w:b/>
                <w:highlight w:val="green"/>
              </w:rPr>
              <w:t>VBMS-R System-Generated Text</w:t>
            </w:r>
          </w:p>
          <w:p w:rsidR="005D5F47" w:rsidRDefault="005D5F47" w:rsidP="00636754"/>
          <w:p w:rsidR="005D5F47" w:rsidRDefault="005D5F47" w:rsidP="00636754"/>
          <w:p w:rsidR="005D5F47" w:rsidRDefault="005D5F47" w:rsidP="00636754">
            <w:r w:rsidRPr="007E3583">
              <w:rPr>
                <w:i/>
              </w:rPr>
              <w:t xml:space="preserve">Issue:  </w:t>
            </w:r>
            <w:r w:rsidRPr="007E3583">
              <w:t xml:space="preserve">Service connection for </w:t>
            </w:r>
            <w:r w:rsidRPr="00276D01">
              <w:rPr>
                <w:b/>
              </w:rPr>
              <w:t>mental illness</w:t>
            </w:r>
            <w:r w:rsidRPr="007E3583">
              <w:t xml:space="preserve"> for the purpose of establishing eligibility to treatment.</w:t>
            </w:r>
          </w:p>
          <w:p w:rsidR="005D5F47" w:rsidRDefault="005D5F47" w:rsidP="00636754"/>
          <w:p w:rsidR="005D5F47" w:rsidRDefault="005D5F47" w:rsidP="00636754">
            <w:r w:rsidRPr="007E3583">
              <w:rPr>
                <w:i/>
              </w:rPr>
              <w:t>Decision:</w:t>
            </w:r>
            <w:r>
              <w:t xml:space="preserve">  </w:t>
            </w:r>
            <w:r w:rsidRPr="007E3583">
              <w:t xml:space="preserve">Service connection for the purpose of establishing eligibility to treatment </w:t>
            </w:r>
            <w:r w:rsidR="00F93536">
              <w:t>{</w:t>
            </w:r>
            <w:r w:rsidRPr="00F93536">
              <w:rPr>
                <w:b/>
              </w:rPr>
              <w:t>for mental illness</w:t>
            </w:r>
            <w:r w:rsidR="00F93536">
              <w:t>}</w:t>
            </w:r>
            <w:r w:rsidRPr="007E3583">
              <w:t xml:space="preserve"> is established.</w:t>
            </w:r>
          </w:p>
          <w:p w:rsidR="00276D01" w:rsidRDefault="00276D01" w:rsidP="00636754"/>
          <w:p w:rsidR="00276D01" w:rsidRDefault="00276D01" w:rsidP="00636754">
            <w:r>
              <w:rPr>
                <w:i/>
              </w:rPr>
              <w:t xml:space="preserve">last line of Reasons for </w:t>
            </w:r>
            <w:r w:rsidRPr="007E3583">
              <w:rPr>
                <w:i/>
              </w:rPr>
              <w:t>Decision:</w:t>
            </w:r>
            <w:r>
              <w:t xml:space="preserve">  </w:t>
            </w:r>
          </w:p>
          <w:p w:rsidR="00276D01" w:rsidRDefault="00276D01" w:rsidP="00636754">
            <w:r w:rsidRPr="00276D01">
              <w:t xml:space="preserve">Entitlement to treatment is established because a </w:t>
            </w:r>
            <w:r w:rsidRPr="00276D01">
              <w:rPr>
                <w:b/>
              </w:rPr>
              <w:t>mental illness</w:t>
            </w:r>
            <w:r w:rsidRPr="00276D01">
              <w:t xml:space="preserve"> was diagnosed within the required period of time.</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Pr="00CC1867" w:rsidRDefault="00B57774" w:rsidP="00636754">
            <w:pPr>
              <w:rPr>
                <w:i/>
                <w:sz w:val="18"/>
              </w:rPr>
            </w:pPr>
            <w:bookmarkStart w:id="37" w:name="_Hlk514667144"/>
            <w:r>
              <w:rPr>
                <w:rFonts w:ascii="Verdana" w:hAnsi="Verdana"/>
                <w:b/>
                <w:highlight w:val="green"/>
              </w:rPr>
              <w:t>V</w:t>
            </w:r>
            <w:r w:rsidRPr="007B2503">
              <w:rPr>
                <w:rFonts w:ascii="Verdana" w:hAnsi="Verdana"/>
                <w:b/>
                <w:highlight w:val="green"/>
              </w:rPr>
              <w:t>A_COMPETEN</w:t>
            </w:r>
            <w:r>
              <w:rPr>
                <w:rFonts w:ascii="Verdana" w:hAnsi="Verdana"/>
                <w:b/>
                <w:highlight w:val="green"/>
              </w:rPr>
              <w:t>T</w:t>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rsidRPr="000B15B1">
              <w:t>There is no evidence of record that shows that you are unable to manage your financial affairs.</w:t>
            </w:r>
          </w:p>
        </w:tc>
      </w:tr>
      <w:bookmarkEnd w:id="37"/>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FE1903" w:rsidP="00636754">
            <w:r w:rsidRPr="00D11117">
              <w:rPr>
                <w:rFonts w:ascii="Verdana" w:hAnsi="Verdana"/>
                <w:b/>
                <w:bCs/>
                <w:highlight w:val="green"/>
              </w:rPr>
              <w:t>VE</w:t>
            </w:r>
            <w:r>
              <w:rPr>
                <w:rFonts w:ascii="Verdana" w:hAnsi="Verdana"/>
                <w:b/>
                <w:bCs/>
                <w:highlight w:val="green"/>
              </w:rPr>
              <w:t>1</w:t>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t>We received notification from {} that you did not report for your scheduled examination. Evidence expected from this examination that might have been material to the outcome of this claim could not be considered. When a claimant does not report for an examination scheduled in conjunction with an original compensation claim, the claim shall be rated based on the evidence of record. -OR- We received notification from {} that you did not report for your scheduled examination. Evidence expected from this examination that might have been material to the outcome of this claim could not be considered. When the examination was scheduled in conjunction with any other original claim, a reopened claim for a benefit, which was previously disallowed, or a claim for increase, the claim shall be denied.</w:t>
            </w:r>
          </w:p>
        </w:tc>
      </w:tr>
      <w:tr w:rsidR="005D5F47" w:rsidTr="00636754">
        <w:tblPrEx>
          <w:tblCellSpacing w:w="15" w:type="dxa"/>
          <w:tblCellMar>
            <w:top w:w="15" w:type="dxa"/>
            <w:left w:w="15" w:type="dxa"/>
            <w:bottom w:w="15" w:type="dxa"/>
            <w:right w:w="15" w:type="dxa"/>
          </w:tblCellMar>
          <w:tblLook w:val="04A0" w:firstRow="1" w:lastRow="0" w:firstColumn="1" w:lastColumn="0" w:noHBand="0" w:noVBand="1"/>
        </w:tblPrEx>
        <w:trPr>
          <w:tblCellSpacing w:w="15" w:type="dxa"/>
        </w:trPr>
        <w:tc>
          <w:tcPr>
            <w:tcW w:w="628" w:type="pct"/>
            <w:gridSpan w:val="2"/>
            <w:tcBorders>
              <w:top w:val="single" w:sz="4" w:space="0" w:color="auto"/>
              <w:left w:val="single" w:sz="4" w:space="0" w:color="auto"/>
              <w:bottom w:val="single" w:sz="4" w:space="0" w:color="auto"/>
              <w:right w:val="single" w:sz="4" w:space="0" w:color="auto"/>
            </w:tcBorders>
            <w:vAlign w:val="center"/>
          </w:tcPr>
          <w:p w:rsidR="005D5F47" w:rsidRDefault="005D5F47" w:rsidP="00636754">
            <w:pPr>
              <w:pStyle w:val="Header"/>
              <w:widowControl w:val="0"/>
              <w:tabs>
                <w:tab w:val="clear" w:pos="4320"/>
                <w:tab w:val="clear" w:pos="8640"/>
              </w:tabs>
            </w:pPr>
            <w:r>
              <w:fldChar w:fldCharType="begin"/>
            </w:r>
            <w:r>
              <w:instrText xml:space="preserve"> HYPERLINK "https://www.vbms.vba.va.gov/rating/webapp/secure/file/work" </w:instrText>
            </w:r>
            <w:r>
              <w:fldChar w:fldCharType="separate"/>
            </w:r>
            <w:r>
              <w:rPr>
                <w:rFonts w:ascii="Verdana" w:hAnsi="Verdana"/>
                <w:b/>
                <w:bCs/>
                <w:highlight w:val="green"/>
              </w:rPr>
              <w:t>VE2</w:t>
            </w:r>
          </w:p>
          <w:p w:rsidR="005D5F47" w:rsidRDefault="005D5F47" w:rsidP="00636754">
            <w:r>
              <w:fldChar w:fldCharType="end"/>
            </w:r>
          </w:p>
        </w:tc>
        <w:tc>
          <w:tcPr>
            <w:tcW w:w="4372" w:type="pct"/>
            <w:tcBorders>
              <w:top w:val="single" w:sz="4" w:space="0" w:color="auto"/>
              <w:left w:val="single" w:sz="4" w:space="0" w:color="auto"/>
              <w:bottom w:val="single" w:sz="4" w:space="0" w:color="auto"/>
              <w:right w:val="single" w:sz="4" w:space="0" w:color="auto"/>
            </w:tcBorders>
            <w:vAlign w:val="center"/>
          </w:tcPr>
          <w:p w:rsidR="005D5F47" w:rsidRDefault="005D5F47" w:rsidP="00636754">
            <w:r>
              <w:t>Since there is a likelihood of improvement, the assigned evaluation is not considered permanent and is subject to a future review examination.</w:t>
            </w:r>
          </w:p>
        </w:tc>
      </w:tr>
    </w:tbl>
    <w:p w:rsidR="00013EB8" w:rsidRDefault="00013EB8"/>
    <w:p w:rsidR="00013EB8" w:rsidRDefault="00013EB8">
      <w:pPr>
        <w:widowControl w:val="0"/>
      </w:pPr>
    </w:p>
    <w:p w:rsidR="00013EB8" w:rsidRDefault="00013EB8">
      <w:pPr>
        <w:pStyle w:val="BodyText2"/>
        <w:widowControl w:val="0"/>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3"/>
        <w:gridCol w:w="8187"/>
      </w:tblGrid>
      <w:tr w:rsidR="00013EB8" w:rsidTr="00B1266B">
        <w:trPr>
          <w:tblHeader/>
        </w:trPr>
        <w:tc>
          <w:tcPr>
            <w:tcW w:w="10746" w:type="dxa"/>
            <w:gridSpan w:val="2"/>
            <w:tcBorders>
              <w:bottom w:val="single" w:sz="4" w:space="0" w:color="auto"/>
            </w:tcBorders>
            <w:shd w:val="clear" w:color="auto" w:fill="CCFFFF"/>
          </w:tcPr>
          <w:p w:rsidR="00013EB8" w:rsidRPr="006F584C" w:rsidRDefault="00D94044" w:rsidP="006F584C">
            <w:pPr>
              <w:widowControl w:val="0"/>
              <w:jc w:val="center"/>
              <w:rPr>
                <w:b/>
                <w:bCs/>
              </w:rPr>
            </w:pPr>
            <w:bookmarkStart w:id="38" w:name="FreeText"/>
            <w:bookmarkStart w:id="39" w:name="SNLFreeText"/>
            <w:r w:rsidRPr="004E16AB">
              <w:rPr>
                <w:rFonts w:ascii="Verdana" w:hAnsi="Verdana"/>
                <w:b/>
                <w:highlight w:val="green"/>
              </w:rPr>
              <w:t>VBMS-R</w:t>
            </w:r>
            <w:r w:rsidR="00013EB8">
              <w:rPr>
                <w:b/>
                <w:bCs/>
              </w:rPr>
              <w:t xml:space="preserve"> FREE TEXT</w:t>
            </w:r>
            <w:bookmarkEnd w:id="38"/>
          </w:p>
        </w:tc>
      </w:tr>
      <w:bookmarkEnd w:id="39"/>
      <w:tr w:rsidR="00013EB8" w:rsidTr="00581371">
        <w:trPr>
          <w:tblHeader/>
        </w:trPr>
        <w:tc>
          <w:tcPr>
            <w:tcW w:w="2365" w:type="dxa"/>
            <w:shd w:val="clear" w:color="auto" w:fill="B3B3B3"/>
            <w:vAlign w:val="bottom"/>
          </w:tcPr>
          <w:p w:rsidR="00013EB8" w:rsidRDefault="00013EB8">
            <w:pPr>
              <w:widowControl w:val="0"/>
              <w:rPr>
                <w:b/>
                <w:bCs/>
              </w:rPr>
            </w:pPr>
            <w:r>
              <w:rPr>
                <w:b/>
                <w:bCs/>
              </w:rPr>
              <w:t>Definition</w:t>
            </w:r>
          </w:p>
        </w:tc>
        <w:tc>
          <w:tcPr>
            <w:tcW w:w="8381" w:type="dxa"/>
            <w:shd w:val="clear" w:color="auto" w:fill="B3B3B3"/>
            <w:vAlign w:val="bottom"/>
          </w:tcPr>
          <w:p w:rsidR="00013EB8" w:rsidRDefault="00013EB8">
            <w:pPr>
              <w:widowControl w:val="0"/>
              <w:rPr>
                <w:b/>
                <w:bCs/>
              </w:rPr>
            </w:pPr>
            <w:r>
              <w:rPr>
                <w:b/>
                <w:bCs/>
              </w:rPr>
              <w:t>Language</w:t>
            </w:r>
          </w:p>
        </w:tc>
      </w:tr>
      <w:tr w:rsidR="00013EB8" w:rsidTr="00581371">
        <w:tc>
          <w:tcPr>
            <w:tcW w:w="2365" w:type="dxa"/>
          </w:tcPr>
          <w:p w:rsidR="00013EB8" w:rsidRDefault="007D3F63">
            <w:pPr>
              <w:pStyle w:val="TableofFigures"/>
              <w:widowControl w:val="0"/>
              <w:rPr>
                <w:rFonts w:ascii="Arial" w:hAnsi="Arial"/>
                <w:smallCaps w:val="0"/>
                <w:szCs w:val="24"/>
              </w:rPr>
            </w:pPr>
            <w:bookmarkStart w:id="40" w:name="NODXFreeText"/>
            <w:r>
              <w:rPr>
                <w:rFonts w:ascii="Verdana" w:hAnsi="Verdana"/>
                <w:b/>
                <w:bCs/>
                <w:highlight w:val="green"/>
              </w:rPr>
              <w:t>NODX</w:t>
            </w:r>
            <w:r w:rsidR="00013EB8">
              <w:rPr>
                <w:rFonts w:ascii="Arial" w:hAnsi="Arial"/>
                <w:smallCaps w:val="0"/>
                <w:szCs w:val="24"/>
              </w:rPr>
              <w:t xml:space="preserve"> Free Text</w:t>
            </w:r>
            <w:bookmarkEnd w:id="40"/>
          </w:p>
          <w:p w:rsidR="00013EB8" w:rsidRDefault="00013EB8">
            <w:pPr>
              <w:widowControl w:val="0"/>
              <w:rPr>
                <w:i/>
                <w:iCs/>
                <w:sz w:val="18"/>
              </w:rPr>
            </w:pPr>
            <w:r>
              <w:rPr>
                <w:i/>
                <w:iCs/>
                <w:sz w:val="18"/>
              </w:rPr>
              <w:t>(not required)</w:t>
            </w: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sz w:val="18"/>
              </w:rPr>
            </w:pPr>
          </w:p>
          <w:p w:rsidR="00013EB8" w:rsidRDefault="00013EB8">
            <w:pPr>
              <w:widowControl w:val="0"/>
              <w:rPr>
                <w:i/>
                <w:iCs/>
              </w:rPr>
            </w:pPr>
          </w:p>
          <w:p w:rsidR="00013EB8" w:rsidRDefault="00013EB8">
            <w:pPr>
              <w:widowControl w:val="0"/>
              <w:rPr>
                <w:i/>
                <w:iCs/>
              </w:rPr>
            </w:pPr>
          </w:p>
          <w:p w:rsidR="00013EB8" w:rsidRDefault="00013EB8">
            <w:pPr>
              <w:widowControl w:val="0"/>
              <w:rPr>
                <w:i/>
                <w:iCs/>
              </w:rPr>
            </w:pPr>
          </w:p>
          <w:p w:rsidR="00013EB8" w:rsidRDefault="00013EB8">
            <w:pPr>
              <w:widowControl w:val="0"/>
              <w:rPr>
                <w:i/>
                <w:iCs/>
              </w:rPr>
            </w:pPr>
          </w:p>
          <w:p w:rsidR="00013EB8" w:rsidRDefault="00013EB8">
            <w:pPr>
              <w:widowControl w:val="0"/>
              <w:rPr>
                <w:i/>
                <w:iCs/>
              </w:rPr>
            </w:pPr>
          </w:p>
          <w:p w:rsidR="00013EB8" w:rsidRDefault="00013EB8">
            <w:pPr>
              <w:widowControl w:val="0"/>
              <w:rPr>
                <w:i/>
                <w:iCs/>
              </w:rPr>
            </w:pPr>
          </w:p>
          <w:p w:rsidR="00013EB8" w:rsidRDefault="00013EB8">
            <w:pPr>
              <w:widowControl w:val="0"/>
              <w:rPr>
                <w:i/>
                <w:iCs/>
              </w:rPr>
            </w:pPr>
            <w:r>
              <w:rPr>
                <w:i/>
                <w:iCs/>
              </w:rPr>
              <w:t>NON-DISABILITIES:</w:t>
            </w:r>
          </w:p>
          <w:p w:rsidR="001E7541" w:rsidRDefault="001E7541" w:rsidP="00493DE3">
            <w:pPr>
              <w:widowControl w:val="0"/>
            </w:pPr>
          </w:p>
          <w:p w:rsidR="00013EB8" w:rsidRPr="00234459" w:rsidRDefault="00013EB8" w:rsidP="00493DE3">
            <w:pPr>
              <w:widowControl w:val="0"/>
              <w:rPr>
                <w:rFonts w:ascii="Verdana" w:hAnsi="Verdana"/>
                <w:b/>
                <w:bCs/>
              </w:rPr>
            </w:pPr>
            <w:r>
              <w:t>(</w:t>
            </w:r>
            <w:r>
              <w:rPr>
                <w:i/>
                <w:iCs/>
              </w:rPr>
              <w:t xml:space="preserve">probably </w:t>
            </w:r>
            <w:r w:rsidR="007D3F63">
              <w:rPr>
                <w:rFonts w:ascii="Verdana" w:hAnsi="Verdana"/>
                <w:b/>
                <w:bCs/>
                <w:highlight w:val="green"/>
              </w:rPr>
              <w:t>NIS</w:t>
            </w:r>
            <w:r w:rsidR="00493DE3">
              <w:rPr>
                <w:i/>
                <w:iCs/>
              </w:rPr>
              <w:t xml:space="preserve">, </w:t>
            </w:r>
            <w:r w:rsidR="007D3F63">
              <w:rPr>
                <w:rFonts w:ascii="Verdana" w:hAnsi="Verdana"/>
                <w:b/>
                <w:bCs/>
                <w:highlight w:val="green"/>
              </w:rPr>
              <w:t>STRs</w:t>
            </w:r>
            <w:r w:rsidR="00493DE3">
              <w:rPr>
                <w:i/>
                <w:iCs/>
              </w:rPr>
              <w:t xml:space="preserve"> or </w:t>
            </w:r>
            <w:r w:rsidR="00234459">
              <w:rPr>
                <w:rFonts w:ascii="Verdana" w:hAnsi="Verdana"/>
                <w:b/>
                <w:bCs/>
                <w:highlight w:val="green"/>
              </w:rPr>
              <w:t>AT</w:t>
            </w:r>
            <w:r w:rsidR="00493DE3">
              <w:rPr>
                <w:i/>
                <w:iCs/>
              </w:rPr>
              <w:t xml:space="preserve">, </w:t>
            </w:r>
            <w:r w:rsidR="007D3F63">
              <w:rPr>
                <w:rFonts w:ascii="Verdana" w:hAnsi="Verdana"/>
                <w:b/>
                <w:bCs/>
                <w:highlight w:val="green"/>
              </w:rPr>
              <w:t>NODX</w:t>
            </w:r>
            <w:r w:rsidR="0025558C">
              <w:rPr>
                <w:i/>
                <w:iCs/>
              </w:rPr>
              <w:t xml:space="preserve">, plus maybe </w:t>
            </w:r>
            <w:r w:rsidR="00234459">
              <w:rPr>
                <w:rFonts w:ascii="Verdana" w:hAnsi="Verdana"/>
                <w:b/>
                <w:bCs/>
                <w:highlight w:val="green"/>
              </w:rPr>
              <w:t>V_AT</w:t>
            </w:r>
            <w:r w:rsidR="0025558C">
              <w:rPr>
                <w:i/>
                <w:iCs/>
              </w:rPr>
              <w:t xml:space="preserve">, </w:t>
            </w:r>
            <w:r w:rsidR="00F67DDA">
              <w:rPr>
                <w:rFonts w:ascii="Verdana" w:hAnsi="Verdana"/>
                <w:b/>
                <w:bCs/>
                <w:highlight w:val="green"/>
              </w:rPr>
              <w:t>ACK_SX</w:t>
            </w:r>
            <w:r>
              <w:rPr>
                <w:i/>
                <w:iCs/>
              </w:rPr>
              <w:t>)</w:t>
            </w:r>
          </w:p>
          <w:p w:rsidR="001E7541" w:rsidRDefault="001E7541" w:rsidP="00493DE3">
            <w:pPr>
              <w:widowControl w:val="0"/>
              <w:rPr>
                <w:i/>
                <w:iCs/>
              </w:rPr>
            </w:pPr>
          </w:p>
          <w:p w:rsidR="001E7541" w:rsidRDefault="001E7541" w:rsidP="001E7541">
            <w:pPr>
              <w:widowControl w:val="0"/>
              <w:rPr>
                <w:i/>
                <w:iCs/>
              </w:rPr>
            </w:pPr>
            <w:r w:rsidRPr="009807C5">
              <w:rPr>
                <w:i/>
                <w:iCs/>
                <w:highlight w:val="cyan"/>
              </w:rPr>
              <w:t xml:space="preserve">**choose </w:t>
            </w:r>
            <w:r w:rsidR="00C83E11" w:rsidRPr="00C554D1">
              <w:rPr>
                <w:i/>
                <w:color w:val="FF0000"/>
                <w:highlight w:val="cyan"/>
              </w:rPr>
              <w:t>No Actual Disability</w:t>
            </w:r>
            <w:r w:rsidRPr="009807C5">
              <w:rPr>
                <w:i/>
                <w:iCs/>
                <w:highlight w:val="cyan"/>
              </w:rPr>
              <w:t>, if applicable**</w:t>
            </w:r>
          </w:p>
          <w:p w:rsidR="001E7541" w:rsidRDefault="001E7541" w:rsidP="00493DE3">
            <w:pPr>
              <w:widowControl w:val="0"/>
              <w:rPr>
                <w:sz w:val="18"/>
              </w:rPr>
            </w:pPr>
          </w:p>
          <w:p w:rsidR="00707DD6" w:rsidRDefault="00707DD6" w:rsidP="00493DE3">
            <w:pPr>
              <w:widowControl w:val="0"/>
              <w:rPr>
                <w:sz w:val="18"/>
              </w:rPr>
            </w:pPr>
          </w:p>
          <w:p w:rsidR="00707DD6" w:rsidRPr="00D10240" w:rsidRDefault="00707DD6" w:rsidP="00707DD6">
            <w:pPr>
              <w:pBdr>
                <w:top w:val="double" w:sz="4" w:space="1" w:color="auto"/>
                <w:left w:val="double" w:sz="4" w:space="4" w:color="auto"/>
                <w:bottom w:val="double" w:sz="4" w:space="1" w:color="auto"/>
                <w:right w:val="double" w:sz="4" w:space="4" w:color="auto"/>
              </w:pBdr>
              <w:shd w:val="clear" w:color="auto" w:fill="FFC000"/>
              <w:rPr>
                <w:rFonts w:eastAsiaTheme="minorHAnsi"/>
              </w:rPr>
            </w:pPr>
            <w:r>
              <w:rPr>
                <w:rFonts w:eastAsiaTheme="minorHAnsi"/>
                <w:b/>
              </w:rPr>
              <w:t>Non-disabilities</w:t>
            </w:r>
            <w:r>
              <w:rPr>
                <w:rFonts w:eastAsiaTheme="minorHAnsi"/>
              </w:rPr>
              <w:t xml:space="preserve"> </w:t>
            </w:r>
            <w:r w:rsidR="00104FA3">
              <w:rPr>
                <w:rFonts w:eastAsiaTheme="minorHAnsi"/>
              </w:rPr>
              <w:t xml:space="preserve">(scan of local 2004 document) </w:t>
            </w:r>
            <w:r>
              <w:rPr>
                <w:rFonts w:eastAsiaTheme="minorHAnsi"/>
              </w:rPr>
              <w:t>is</w:t>
            </w:r>
            <w:r w:rsidRPr="0036376C">
              <w:t xml:space="preserve"> saved at </w:t>
            </w:r>
            <w:r w:rsidRPr="001453C4">
              <w:rPr>
                <w:b/>
                <w:bCs/>
                <w:i/>
                <w:iCs/>
              </w:rPr>
              <w:t>H:\VSC\Rating Reference</w:t>
            </w:r>
          </w:p>
          <w:p w:rsidR="00707DD6" w:rsidRDefault="00707DD6" w:rsidP="00493DE3">
            <w:pPr>
              <w:widowControl w:val="0"/>
              <w:rPr>
                <w:sz w:val="18"/>
              </w:rPr>
            </w:pPr>
          </w:p>
        </w:tc>
        <w:tc>
          <w:tcPr>
            <w:tcW w:w="8381" w:type="dxa"/>
          </w:tcPr>
          <w:p w:rsidR="00C61B97" w:rsidRDefault="00C61B97">
            <w:pPr>
              <w:widowControl w:val="0"/>
              <w:rPr>
                <w:iCs/>
              </w:rPr>
            </w:pPr>
            <w:r w:rsidRPr="00C61B97">
              <w:rPr>
                <w:iCs/>
              </w:rPr>
              <w:t xml:space="preserve">The </w:t>
            </w:r>
            <w:r w:rsidR="00366C1B">
              <w:rPr>
                <w:iCs/>
              </w:rPr>
              <w:t>DBQ</w:t>
            </w:r>
            <w:r w:rsidR="00916231">
              <w:rPr>
                <w:iCs/>
              </w:rPr>
              <w:t xml:space="preserve"> indicate</w:t>
            </w:r>
            <w:r w:rsidR="00366C1B">
              <w:rPr>
                <w:iCs/>
              </w:rPr>
              <w:t>s</w:t>
            </w:r>
            <w:r w:rsidR="00916231">
              <w:rPr>
                <w:iCs/>
              </w:rPr>
              <w:t xml:space="preserve"> that</w:t>
            </w:r>
            <w:r w:rsidRPr="00C61B97">
              <w:rPr>
                <w:iCs/>
              </w:rPr>
              <w:t xml:space="preserve"> you do</w:t>
            </w:r>
            <w:r w:rsidR="00096229">
              <w:rPr>
                <w:iCs/>
              </w:rPr>
              <w:t xml:space="preserve"> not now have, nor have you ever</w:t>
            </w:r>
            <w:r w:rsidRPr="00C61B97">
              <w:rPr>
                <w:iCs/>
              </w:rPr>
              <w:t xml:space="preserve"> been diagnosed with, a </w:t>
            </w:r>
            <w:r w:rsidR="00A46221">
              <w:rPr>
                <w:iCs/>
              </w:rPr>
              <w:t>{}</w:t>
            </w:r>
            <w:r w:rsidRPr="00C61B97">
              <w:rPr>
                <w:iCs/>
              </w:rPr>
              <w:t xml:space="preserve"> condition.</w:t>
            </w:r>
          </w:p>
          <w:p w:rsidR="00A24AF0" w:rsidRDefault="00A24AF0">
            <w:pPr>
              <w:widowControl w:val="0"/>
              <w:rPr>
                <w:iCs/>
              </w:rPr>
            </w:pPr>
            <w:r w:rsidRPr="00A24AF0">
              <w:rPr>
                <w:iCs/>
              </w:rPr>
              <w:t xml:space="preserve">The </w:t>
            </w:r>
            <w:r w:rsidR="00366C1B">
              <w:rPr>
                <w:iCs/>
              </w:rPr>
              <w:t>DBQ</w:t>
            </w:r>
            <w:r w:rsidRPr="00A24AF0">
              <w:rPr>
                <w:iCs/>
              </w:rPr>
              <w:t xml:space="preserve"> indicate</w:t>
            </w:r>
            <w:r w:rsidR="00366C1B">
              <w:rPr>
                <w:iCs/>
              </w:rPr>
              <w:t>s</w:t>
            </w:r>
            <w:r w:rsidRPr="00A24AF0">
              <w:rPr>
                <w:iCs/>
              </w:rPr>
              <w:t xml:space="preserve"> that you do not now have, nor have you ever had, a </w:t>
            </w:r>
            <w:r w:rsidR="00A46221">
              <w:rPr>
                <w:iCs/>
              </w:rPr>
              <w:t>{}</w:t>
            </w:r>
            <w:r w:rsidRPr="00A24AF0">
              <w:rPr>
                <w:iCs/>
              </w:rPr>
              <w:t xml:space="preserve"> condition.</w:t>
            </w:r>
          </w:p>
          <w:p w:rsidR="006F35ED" w:rsidRPr="00C61B97" w:rsidRDefault="006F35ED">
            <w:pPr>
              <w:widowControl w:val="0"/>
              <w:rPr>
                <w:iCs/>
              </w:rPr>
            </w:pPr>
            <w:r w:rsidRPr="006F35ED">
              <w:rPr>
                <w:iCs/>
              </w:rPr>
              <w:t xml:space="preserve">The </w:t>
            </w:r>
            <w:r w:rsidR="00366C1B">
              <w:rPr>
                <w:iCs/>
              </w:rPr>
              <w:t>DBQ</w:t>
            </w:r>
            <w:r w:rsidRPr="006F35ED">
              <w:rPr>
                <w:iCs/>
              </w:rPr>
              <w:t xml:space="preserve"> indicate</w:t>
            </w:r>
            <w:r w:rsidR="00366C1B">
              <w:rPr>
                <w:iCs/>
              </w:rPr>
              <w:t>s</w:t>
            </w:r>
            <w:r w:rsidRPr="006F35ED">
              <w:rPr>
                <w:iCs/>
              </w:rPr>
              <w:t xml:space="preserve"> that you do not have a current diagnosis associated with the claimed</w:t>
            </w:r>
            <w:r>
              <w:rPr>
                <w:iCs/>
              </w:rPr>
              <w:t xml:space="preserve"> </w:t>
            </w:r>
            <w:r w:rsidR="00A46221">
              <w:rPr>
                <w:iCs/>
              </w:rPr>
              <w:t>{}</w:t>
            </w:r>
            <w:r w:rsidR="00F762AF" w:rsidRPr="00F762AF">
              <w:rPr>
                <w:iCs/>
              </w:rPr>
              <w:t>, as there is no pathology to render a diagnosis.</w:t>
            </w:r>
          </w:p>
          <w:p w:rsidR="00C61B97" w:rsidRDefault="00C61B97">
            <w:pPr>
              <w:widowControl w:val="0"/>
              <w:rPr>
                <w:i/>
                <w:iCs/>
              </w:rPr>
            </w:pPr>
          </w:p>
          <w:p w:rsidR="009B0DE0" w:rsidRDefault="00013EB8">
            <w:pPr>
              <w:widowControl w:val="0"/>
            </w:pPr>
            <w:r>
              <w:rPr>
                <w:i/>
                <w:iCs/>
              </w:rPr>
              <w:t>borderline hypertension</w:t>
            </w:r>
            <w:r w:rsidR="009B0DE0">
              <w:rPr>
                <w:i/>
                <w:iCs/>
              </w:rPr>
              <w:t xml:space="preserve"> </w:t>
            </w:r>
            <w:r w:rsidR="00E67684">
              <w:rPr>
                <w:i/>
                <w:iCs/>
              </w:rPr>
              <w:t>/</w:t>
            </w:r>
            <w:r w:rsidR="009B0DE0">
              <w:rPr>
                <w:i/>
                <w:iCs/>
              </w:rPr>
              <w:t xml:space="preserve"> </w:t>
            </w:r>
            <w:r w:rsidR="00E67684">
              <w:rPr>
                <w:i/>
                <w:iCs/>
              </w:rPr>
              <w:t xml:space="preserve">pre-hypertension, </w:t>
            </w:r>
            <w:r w:rsidR="001F7E5B">
              <w:rPr>
                <w:b/>
                <w:iCs/>
              </w:rPr>
              <w:t>III.iv.4.G</w:t>
            </w:r>
            <w:r w:rsidR="00526485">
              <w:rPr>
                <w:b/>
                <w:iCs/>
              </w:rPr>
              <w:t>.3</w:t>
            </w:r>
            <w:r w:rsidR="009474D3">
              <w:rPr>
                <w:b/>
                <w:iCs/>
              </w:rPr>
              <w:t>.d &amp; IV.ii.2.A.2.a</w:t>
            </w:r>
            <w:r w:rsidR="009B0DE0">
              <w:rPr>
                <w:b/>
              </w:rPr>
              <w:t xml:space="preserve"> </w:t>
            </w:r>
            <w:r w:rsidR="009B0DE0">
              <w:rPr>
                <w:i/>
                <w:iCs/>
              </w:rPr>
              <w:t xml:space="preserve">– use </w:t>
            </w:r>
            <w:r w:rsidR="009B0DE0" w:rsidRPr="0010111B">
              <w:rPr>
                <w:i/>
                <w:color w:val="FF0000"/>
                <w:sz w:val="22"/>
                <w:szCs w:val="22"/>
              </w:rPr>
              <w:t>No Diagnosis</w:t>
            </w:r>
            <w:r w:rsidR="009B0DE0">
              <w:rPr>
                <w:i/>
                <w:iCs/>
              </w:rPr>
              <w:t xml:space="preserve"> if claims hypertension</w:t>
            </w:r>
            <w:r w:rsidR="00D25202">
              <w:rPr>
                <w:i/>
                <w:iCs/>
              </w:rPr>
              <w:t xml:space="preserve"> or high blood pressure</w:t>
            </w:r>
            <w:r w:rsidR="009B0DE0">
              <w:rPr>
                <w:i/>
                <w:iCs/>
              </w:rPr>
              <w:t>, but only has borderline hypertension / pre-hypertension</w:t>
            </w:r>
          </w:p>
          <w:p w:rsidR="00D25202" w:rsidRDefault="00013EB8">
            <w:pPr>
              <w:widowControl w:val="0"/>
            </w:pPr>
            <w:r>
              <w:t xml:space="preserve">Since the </w:t>
            </w:r>
            <w:r w:rsidR="009B0DE0">
              <w:t>STRs</w:t>
            </w:r>
            <w:r>
              <w:t xml:space="preserve"> do not show a diagnosis of hypertension in service and the </w:t>
            </w:r>
            <w:r w:rsidR="00AC28AF">
              <w:t>DBQ</w:t>
            </w:r>
            <w:r>
              <w:t>, blood pressure checks, and addendum only show a diagnosis of borderline hypertension, asymptomatic, with readings that do not allow for a full diagnosis of hypertension, we cannot establish service connect</w:t>
            </w:r>
            <w:r w:rsidR="00D25202">
              <w:t>ion for borderline hypertension.</w:t>
            </w:r>
          </w:p>
          <w:p w:rsidR="00013EB8" w:rsidRDefault="00013EB8">
            <w:pPr>
              <w:pStyle w:val="Header"/>
              <w:widowControl w:val="0"/>
              <w:tabs>
                <w:tab w:val="clear" w:pos="4320"/>
                <w:tab w:val="clear" w:pos="8640"/>
              </w:tabs>
            </w:pPr>
          </w:p>
          <w:p w:rsidR="001C5C40" w:rsidRPr="00F67DDA" w:rsidRDefault="00A64822" w:rsidP="00F67DDA">
            <w:pPr>
              <w:pStyle w:val="Header"/>
              <w:widowControl w:val="0"/>
              <w:tabs>
                <w:tab w:val="clear" w:pos="4320"/>
                <w:tab w:val="clear" w:pos="8640"/>
              </w:tabs>
              <w:rPr>
                <w:i/>
                <w:iCs/>
              </w:rPr>
            </w:pPr>
            <w:r>
              <w:rPr>
                <w:i/>
                <w:iCs/>
              </w:rPr>
              <w:t>carious teeth / c</w:t>
            </w:r>
            <w:r w:rsidR="00013EB8">
              <w:rPr>
                <w:i/>
                <w:iCs/>
              </w:rPr>
              <w:t>avities</w:t>
            </w:r>
            <w:r>
              <w:rPr>
                <w:i/>
                <w:iCs/>
              </w:rPr>
              <w:t xml:space="preserve"> </w:t>
            </w:r>
            <w:r w:rsidR="000406DA">
              <w:rPr>
                <w:i/>
                <w:iCs/>
              </w:rPr>
              <w:t>/</w:t>
            </w:r>
            <w:r>
              <w:rPr>
                <w:i/>
                <w:iCs/>
              </w:rPr>
              <w:t xml:space="preserve"> </w:t>
            </w:r>
            <w:r w:rsidR="000406DA">
              <w:rPr>
                <w:i/>
                <w:iCs/>
              </w:rPr>
              <w:t>replaceable missing teeth</w:t>
            </w:r>
            <w:r>
              <w:rPr>
                <w:i/>
                <w:iCs/>
              </w:rPr>
              <w:t xml:space="preserve"> </w:t>
            </w:r>
            <w:r w:rsidR="00013EB8">
              <w:rPr>
                <w:i/>
                <w:iCs/>
              </w:rPr>
              <w:t>/</w:t>
            </w:r>
            <w:r>
              <w:rPr>
                <w:i/>
                <w:iCs/>
              </w:rPr>
              <w:t xml:space="preserve"> </w:t>
            </w:r>
            <w:r w:rsidR="000406DA">
              <w:rPr>
                <w:i/>
                <w:iCs/>
              </w:rPr>
              <w:t>abscesses</w:t>
            </w:r>
            <w:r>
              <w:rPr>
                <w:i/>
                <w:iCs/>
              </w:rPr>
              <w:t xml:space="preserve"> </w:t>
            </w:r>
            <w:r w:rsidR="000406DA">
              <w:rPr>
                <w:i/>
                <w:iCs/>
              </w:rPr>
              <w:t>/</w:t>
            </w:r>
            <w:r>
              <w:rPr>
                <w:i/>
                <w:iCs/>
              </w:rPr>
              <w:t xml:space="preserve"> </w:t>
            </w:r>
            <w:r w:rsidR="000406DA">
              <w:rPr>
                <w:i/>
                <w:iCs/>
              </w:rPr>
              <w:t>periodontal disease</w:t>
            </w:r>
            <w:r>
              <w:rPr>
                <w:i/>
                <w:iCs/>
              </w:rPr>
              <w:t xml:space="preserve"> </w:t>
            </w:r>
            <w:r w:rsidR="000406DA">
              <w:rPr>
                <w:i/>
                <w:iCs/>
              </w:rPr>
              <w:t>/</w:t>
            </w:r>
            <w:r>
              <w:rPr>
                <w:i/>
                <w:iCs/>
              </w:rPr>
              <w:t xml:space="preserve"> </w:t>
            </w:r>
            <w:r w:rsidR="00013EB8">
              <w:rPr>
                <w:i/>
                <w:iCs/>
              </w:rPr>
              <w:t>wisdom teeth extraction</w:t>
            </w:r>
            <w:r>
              <w:rPr>
                <w:i/>
                <w:iCs/>
              </w:rPr>
              <w:t xml:space="preserve"> </w:t>
            </w:r>
            <w:r w:rsidR="00013EB8">
              <w:rPr>
                <w:i/>
                <w:iCs/>
              </w:rPr>
              <w:t>/</w:t>
            </w:r>
            <w:r>
              <w:rPr>
                <w:i/>
                <w:iCs/>
              </w:rPr>
              <w:t xml:space="preserve"> </w:t>
            </w:r>
            <w:r w:rsidR="00013EB8">
              <w:rPr>
                <w:i/>
                <w:iCs/>
              </w:rPr>
              <w:t>cracked</w:t>
            </w:r>
            <w:r>
              <w:rPr>
                <w:i/>
                <w:iCs/>
              </w:rPr>
              <w:t>/chipped/broken/</w:t>
            </w:r>
            <w:r w:rsidR="007D6015">
              <w:rPr>
                <w:i/>
                <w:iCs/>
              </w:rPr>
              <w:t>fractured</w:t>
            </w:r>
            <w:r>
              <w:rPr>
                <w:i/>
                <w:iCs/>
              </w:rPr>
              <w:t xml:space="preserve"> tee</w:t>
            </w:r>
            <w:r w:rsidR="00013EB8">
              <w:rPr>
                <w:i/>
                <w:iCs/>
              </w:rPr>
              <w:t>th (9999-9900</w:t>
            </w:r>
            <w:r w:rsidR="00207D9B">
              <w:rPr>
                <w:i/>
                <w:iCs/>
              </w:rPr>
              <w:t xml:space="preserve"> or another 99##</w:t>
            </w:r>
            <w:r w:rsidR="007D728D">
              <w:rPr>
                <w:i/>
                <w:iCs/>
              </w:rPr>
              <w:t>, choose “No Actual Disability</w:t>
            </w:r>
            <w:r w:rsidR="001946CC">
              <w:rPr>
                <w:i/>
                <w:iCs/>
              </w:rPr>
              <w:t>,”</w:t>
            </w:r>
            <w:r w:rsidR="005C4936">
              <w:rPr>
                <w:i/>
                <w:iCs/>
              </w:rPr>
              <w:t xml:space="preserve"> </w:t>
            </w:r>
            <w:r w:rsidR="005C4936" w:rsidRPr="005C4936">
              <w:rPr>
                <w:b/>
                <w:szCs w:val="21"/>
              </w:rPr>
              <w:t>IX.ii.2.2.a</w:t>
            </w:r>
            <w:r w:rsidR="00F67DDA">
              <w:rPr>
                <w:i/>
                <w:iCs/>
              </w:rPr>
              <w:t xml:space="preserve">) </w:t>
            </w:r>
            <w:r w:rsidR="00D11117">
              <w:rPr>
                <w:rFonts w:ascii="Verdana" w:hAnsi="Verdana"/>
                <w:b/>
                <w:bCs/>
                <w:highlight w:val="green"/>
              </w:rPr>
              <w:t>DT1</w:t>
            </w:r>
          </w:p>
          <w:p w:rsidR="009F5416" w:rsidRDefault="001C5C40">
            <w:pPr>
              <w:widowControl w:val="0"/>
            </w:pPr>
            <w:r w:rsidRPr="001C5C40">
              <w:rPr>
                <w:i/>
              </w:rPr>
              <w:t>Then add:</w:t>
            </w:r>
            <w:r>
              <w:t xml:space="preserve">  </w:t>
            </w:r>
            <w:r w:rsidR="00013EB8">
              <w:t xml:space="preserve">{Treatable carious teeth, replaceable missing teeth not resulting from bone loss </w:t>
            </w:r>
            <w:r w:rsidR="00013EB8" w:rsidRPr="005C4936">
              <w:t xml:space="preserve">due to trauma or disease (such as osteomyelitis), dental or alveolar abscesses, periodontal disease, </w:t>
            </w:r>
            <w:r w:rsidR="005C4936" w:rsidRPr="005C4936">
              <w:t>calculus, acute periodontal disease, third molars, impacted or malposed teeth, or other developmental defects, …</w:t>
            </w:r>
            <w:r w:rsidR="00A64822">
              <w:t>cracked/</w:t>
            </w:r>
            <w:r w:rsidR="00013EB8" w:rsidRPr="005C4936">
              <w:t>chipped/broken</w:t>
            </w:r>
            <w:r w:rsidR="00A64822">
              <w:t>/fractured</w:t>
            </w:r>
            <w:r w:rsidR="00013EB8" w:rsidRPr="005C4936">
              <w:t xml:space="preserve"> teeth, other gum/pulp issues</w:t>
            </w:r>
            <w:r w:rsidRPr="005C4936">
              <w:t xml:space="preserve">, </w:t>
            </w:r>
            <w:r w:rsidRPr="005C4936">
              <w:rPr>
                <w:i/>
              </w:rPr>
              <w:t>whatever claimed</w:t>
            </w:r>
            <w:r w:rsidR="00825206">
              <w:rPr>
                <w:i/>
              </w:rPr>
              <w:t>, can use “The claimed {}”</w:t>
            </w:r>
            <w:r w:rsidR="00013EB8" w:rsidRPr="005C4936">
              <w:t>} is/are not</w:t>
            </w:r>
            <w:r w:rsidR="00013EB8">
              <w:t xml:space="preserve"> a disability for compensation purposes. </w:t>
            </w:r>
            <w:r w:rsidR="00140980">
              <w:t xml:space="preserve">{OR </w:t>
            </w:r>
            <w:r w:rsidR="00140980" w:rsidRPr="00140980">
              <w:t>The record shows your missing teeth and restorations are not due to service trauma</w:t>
            </w:r>
            <w:r w:rsidR="00603FD4">
              <w:t xml:space="preserve"> </w:t>
            </w:r>
            <w:r w:rsidR="00603FD4" w:rsidRPr="00140980">
              <w:t>with loss of substance of the mandible and/or maxilla bone</w:t>
            </w:r>
            <w:r w:rsidR="00140980" w:rsidRPr="00140980">
              <w:t xml:space="preserve"> or a chronic or systemic disease with loss of substance of the mandible and/or maxilla bone, or that dentures or implants cannot replace the missing teeth</w:t>
            </w:r>
            <w:r w:rsidR="000406DA">
              <w:t xml:space="preserve">/The record shows your missing </w:t>
            </w:r>
            <w:r w:rsidR="00BF1EA6">
              <w:t>t</w:t>
            </w:r>
            <w:r w:rsidR="000406DA">
              <w:t>eeth are replaced with dentures/implants</w:t>
            </w:r>
            <w:r w:rsidR="00140980" w:rsidRPr="00140980">
              <w:t>. You do not have a disability for compensation purposes.</w:t>
            </w:r>
            <w:r w:rsidR="00140980">
              <w:t xml:space="preserve">)} </w:t>
            </w:r>
          </w:p>
          <w:p w:rsidR="005C4936" w:rsidRDefault="005C4936">
            <w:pPr>
              <w:widowControl w:val="0"/>
            </w:pPr>
          </w:p>
          <w:p w:rsidR="00A64822" w:rsidRPr="00A64822" w:rsidRDefault="00A64822" w:rsidP="00A64822">
            <w:pPr>
              <w:widowControl w:val="0"/>
              <w:tabs>
                <w:tab w:val="left" w:pos="360"/>
              </w:tabs>
              <w:outlineLvl w:val="0"/>
              <w:rPr>
                <w:bCs/>
                <w:i/>
                <w:sz w:val="18"/>
              </w:rPr>
            </w:pPr>
            <w:r w:rsidRPr="00A64822">
              <w:rPr>
                <w:bCs/>
                <w:i/>
                <w:sz w:val="18"/>
              </w:rPr>
              <w:t>This is also under the Dental section:</w:t>
            </w:r>
          </w:p>
          <w:p w:rsidR="00A64822" w:rsidRPr="00BD15E8" w:rsidRDefault="00A64822" w:rsidP="00A64822">
            <w:pPr>
              <w:widowControl w:val="0"/>
              <w:tabs>
                <w:tab w:val="left" w:pos="360"/>
              </w:tabs>
              <w:spacing w:after="120"/>
              <w:outlineLvl w:val="0"/>
              <w:rPr>
                <w:bCs/>
                <w:highlight w:val="red"/>
              </w:rPr>
            </w:pPr>
            <w:r w:rsidRPr="00C1219A">
              <w:rPr>
                <w:b/>
                <w:bCs/>
              </w:rPr>
              <w:t>IX.ii.2.2</w:t>
            </w:r>
            <w:r>
              <w:rPr>
                <w:b/>
                <w:bCs/>
              </w:rPr>
              <w:t>.a</w:t>
            </w:r>
            <w:r w:rsidRPr="00C1219A">
              <w:rPr>
                <w:b/>
                <w:bCs/>
              </w:rPr>
              <w:t xml:space="preserve"> </w:t>
            </w:r>
            <w:r w:rsidRPr="00F46F2A">
              <w:rPr>
                <w:bCs/>
              </w:rPr>
              <w:t>says to clarify claims if they only say “dental” or "dental condition" &amp; refers us to</w:t>
            </w:r>
            <w:r w:rsidRPr="00C1219A">
              <w:rPr>
                <w:b/>
                <w:bCs/>
              </w:rPr>
              <w:t xml:space="preserve"> III.iii.1.B.1.c</w:t>
            </w:r>
            <w:r w:rsidRPr="00BD15E8">
              <w:rPr>
                <w:bCs/>
              </w:rPr>
              <w:t xml:space="preserve">, which says "If the claim is substantially complete per Step 1, but attempts to clarify the claim with the claimant and representative are unsuccessful, continue the required claims development, and when complete, </w:t>
            </w:r>
            <w:r>
              <w:rPr>
                <w:bCs/>
              </w:rPr>
              <w:t xml:space="preserve">refer the claim for a decision.” </w:t>
            </w:r>
            <w:r w:rsidRPr="00BD15E8">
              <w:rPr>
                <w:bCs/>
                <w:highlight w:val="red"/>
              </w:rPr>
              <w:t>But, it’s unclear if it is “substantially complete” if we don’t know if the veteran is claiming compensation or treatment…</w:t>
            </w:r>
          </w:p>
          <w:p w:rsidR="00A146A4" w:rsidRDefault="00A146A4">
            <w:pPr>
              <w:widowControl w:val="0"/>
            </w:pPr>
          </w:p>
          <w:p w:rsidR="00013EB8" w:rsidRDefault="00013EB8">
            <w:pPr>
              <w:pStyle w:val="Header"/>
              <w:widowControl w:val="0"/>
              <w:tabs>
                <w:tab w:val="clear" w:pos="4320"/>
                <w:tab w:val="clear" w:pos="8640"/>
              </w:tabs>
              <w:overflowPunct/>
              <w:autoSpaceDE/>
              <w:autoSpaceDN/>
              <w:adjustRightInd/>
              <w:textAlignment w:val="auto"/>
            </w:pPr>
          </w:p>
          <w:p w:rsidR="00013EB8" w:rsidRDefault="00013EB8">
            <w:pPr>
              <w:widowControl w:val="0"/>
              <w:rPr>
                <w:i/>
                <w:iCs/>
              </w:rPr>
            </w:pPr>
            <w:r>
              <w:rPr>
                <w:i/>
                <w:iCs/>
              </w:rPr>
              <w:t>unconfirmed diagnoses</w:t>
            </w:r>
          </w:p>
          <w:p w:rsidR="00013EB8" w:rsidRDefault="00013EB8">
            <w:pPr>
              <w:widowControl w:val="0"/>
            </w:pPr>
            <w:r>
              <w:t>In the absence of clinical findings of asthma on examination, a verified history of asthmatic attacks must be of record.</w:t>
            </w:r>
          </w:p>
          <w:p w:rsidR="00013EB8" w:rsidRDefault="00013EB8">
            <w:pPr>
              <w:widowControl w:val="0"/>
            </w:pPr>
            <w:r>
              <w:t>Gastritis must be identified by gastroscope.</w:t>
            </w:r>
          </w:p>
          <w:p w:rsidR="009973A0" w:rsidRDefault="00013EB8">
            <w:pPr>
              <w:pStyle w:val="Header"/>
              <w:widowControl w:val="0"/>
              <w:tabs>
                <w:tab w:val="clear" w:pos="4320"/>
                <w:tab w:val="clear" w:pos="8640"/>
              </w:tabs>
              <w:overflowPunct/>
              <w:autoSpaceDE/>
              <w:autoSpaceDN/>
              <w:adjustRightInd/>
              <w:textAlignment w:val="auto"/>
              <w:rPr>
                <w:bCs/>
                <w:iCs/>
              </w:rPr>
            </w:pPr>
            <w:r>
              <w:t>Sleep apnea must be confirmed by a sleep study.</w:t>
            </w:r>
          </w:p>
          <w:p w:rsidR="00B13B3A" w:rsidRPr="009973A0" w:rsidRDefault="00B13B3A">
            <w:pPr>
              <w:pStyle w:val="Header"/>
              <w:widowControl w:val="0"/>
              <w:tabs>
                <w:tab w:val="clear" w:pos="4320"/>
                <w:tab w:val="clear" w:pos="8640"/>
              </w:tabs>
              <w:overflowPunct/>
              <w:autoSpaceDE/>
              <w:autoSpaceDN/>
              <w:adjustRightInd/>
              <w:textAlignment w:val="auto"/>
              <w:rPr>
                <w:bCs/>
                <w:iCs/>
              </w:rPr>
            </w:pPr>
          </w:p>
          <w:p w:rsidR="00013EB8" w:rsidRDefault="00013EB8">
            <w:pPr>
              <w:pStyle w:val="Header"/>
              <w:widowControl w:val="0"/>
              <w:tabs>
                <w:tab w:val="clear" w:pos="4320"/>
                <w:tab w:val="clear" w:pos="8640"/>
              </w:tabs>
              <w:overflowPunct/>
              <w:autoSpaceDE/>
              <w:autoSpaceDN/>
              <w:adjustRightInd/>
              <w:textAlignment w:val="auto"/>
            </w:pPr>
          </w:p>
          <w:p w:rsidR="000126A7" w:rsidRPr="00B36405" w:rsidRDefault="000126A7" w:rsidP="000126A7">
            <w:pPr>
              <w:widowControl w:val="0"/>
              <w:rPr>
                <w:iCs/>
              </w:rPr>
            </w:pPr>
            <w:r w:rsidRPr="00B36405">
              <w:rPr>
                <w:i/>
                <w:iCs/>
              </w:rPr>
              <w:t>pain only</w:t>
            </w:r>
            <w:r w:rsidR="001A5E87" w:rsidRPr="00B36405">
              <w:rPr>
                <w:i/>
                <w:iCs/>
              </w:rPr>
              <w:t xml:space="preserve">, </w:t>
            </w:r>
            <w:r w:rsidR="001A5E87" w:rsidRPr="00B36405">
              <w:rPr>
                <w:b/>
              </w:rPr>
              <w:t>IV.ii.2.A.2.c</w:t>
            </w:r>
          </w:p>
          <w:p w:rsidR="000126A7" w:rsidRPr="00B36405" w:rsidRDefault="000126A7" w:rsidP="000126A7">
            <w:pPr>
              <w:widowControl w:val="0"/>
              <w:overflowPunct/>
              <w:autoSpaceDE/>
              <w:autoSpaceDN/>
              <w:adjustRightInd/>
              <w:textAlignment w:val="auto"/>
            </w:pPr>
            <w:r w:rsidRPr="00B36405">
              <w:rPr>
                <w:color w:val="000000"/>
              </w:rPr>
              <w:t>Service connection cannot be granted for pain without a diagnosis of an associated chronic disability.</w:t>
            </w:r>
          </w:p>
          <w:p w:rsidR="00013EB8" w:rsidRPr="009807C5" w:rsidRDefault="000126A7">
            <w:pPr>
              <w:pStyle w:val="Header"/>
              <w:widowControl w:val="0"/>
              <w:tabs>
                <w:tab w:val="clear" w:pos="4320"/>
                <w:tab w:val="clear" w:pos="8640"/>
              </w:tabs>
              <w:overflowPunct/>
              <w:autoSpaceDE/>
              <w:autoSpaceDN/>
              <w:adjustRightInd/>
              <w:textAlignment w:val="auto"/>
              <w:rPr>
                <w:highlight w:val="cyan"/>
              </w:rPr>
            </w:pPr>
            <w:r w:rsidRPr="009807C5">
              <w:rPr>
                <w:highlight w:val="cyan"/>
              </w:rPr>
              <w:t>OR</w:t>
            </w:r>
          </w:p>
          <w:p w:rsidR="000126A7" w:rsidRPr="009807C5" w:rsidRDefault="000126A7" w:rsidP="000126A7">
            <w:pPr>
              <w:widowControl w:val="0"/>
              <w:rPr>
                <w:i/>
                <w:iCs/>
                <w:highlight w:val="cyan"/>
              </w:rPr>
            </w:pPr>
            <w:r w:rsidRPr="009807C5">
              <w:rPr>
                <w:i/>
                <w:iCs/>
                <w:highlight w:val="cyan"/>
              </w:rPr>
              <w:t>finding/symptom only</w:t>
            </w:r>
            <w:r w:rsidR="001E7541" w:rsidRPr="009807C5">
              <w:rPr>
                <w:i/>
                <w:iCs/>
                <w:highlight w:val="cyan"/>
              </w:rPr>
              <w:t xml:space="preserve"> (</w:t>
            </w:r>
            <w:r w:rsidR="001E7541" w:rsidRPr="00C554D1">
              <w:rPr>
                <w:i/>
                <w:iCs/>
                <w:highlight w:val="cyan"/>
              </w:rPr>
              <w:t xml:space="preserve">choose </w:t>
            </w:r>
            <w:r w:rsidR="00C554D1" w:rsidRPr="00C554D1">
              <w:rPr>
                <w:i/>
                <w:color w:val="FF0000"/>
                <w:highlight w:val="cyan"/>
              </w:rPr>
              <w:t xml:space="preserve">No Actual </w:t>
            </w:r>
            <w:r w:rsidR="00C554D1" w:rsidRPr="00C83E11">
              <w:rPr>
                <w:i/>
                <w:color w:val="FF0000"/>
                <w:highlight w:val="cyan"/>
              </w:rPr>
              <w:t>Disability</w:t>
            </w:r>
            <w:r w:rsidR="001E7541" w:rsidRPr="00C83E11">
              <w:rPr>
                <w:i/>
                <w:iCs/>
                <w:highlight w:val="cyan"/>
              </w:rPr>
              <w:t>)</w:t>
            </w:r>
            <w:r w:rsidR="00B36405" w:rsidRPr="00B36405">
              <w:rPr>
                <w:i/>
                <w:iCs/>
              </w:rPr>
              <w:t>, plus</w:t>
            </w:r>
            <w:r w:rsidR="00C83E11" w:rsidRPr="00B36405">
              <w:rPr>
                <w:i/>
                <w:iCs/>
              </w:rPr>
              <w:t>:</w:t>
            </w:r>
            <w:r w:rsidR="00C83E11">
              <w:rPr>
                <w:i/>
                <w:iCs/>
              </w:rPr>
              <w:t xml:space="preserve"> </w:t>
            </w:r>
            <w:r w:rsidR="00C83E11">
              <w:rPr>
                <w:iCs/>
              </w:rPr>
              <w:t xml:space="preserve"> </w:t>
            </w:r>
          </w:p>
          <w:p w:rsidR="00B54885" w:rsidRDefault="00A46221" w:rsidP="00C83E11">
            <w:pPr>
              <w:widowControl w:val="0"/>
              <w:rPr>
                <w:rFonts w:ascii="Helvetica" w:hAnsi="Helvetica"/>
                <w:color w:val="000000" w:themeColor="text1"/>
              </w:rPr>
            </w:pPr>
            <w:r w:rsidRPr="00B36405">
              <w:t>{}</w:t>
            </w:r>
            <w:r w:rsidR="00013EB8" w:rsidRPr="00B36405">
              <w:t xml:space="preserve"> is </w:t>
            </w:r>
            <w:r w:rsidR="00FE517B" w:rsidRPr="00B36405">
              <w:t xml:space="preserve">{a </w:t>
            </w:r>
            <w:r w:rsidR="00013EB8" w:rsidRPr="00B36405">
              <w:t>finding/</w:t>
            </w:r>
            <w:r w:rsidR="00B54885" w:rsidRPr="00B36405">
              <w:t xml:space="preserve">symptom and} not considered a </w:t>
            </w:r>
            <w:r w:rsidR="00013EB8" w:rsidRPr="00B36405">
              <w:t>disabling condition</w:t>
            </w:r>
            <w:r w:rsidR="00800C3A" w:rsidRPr="00B36405">
              <w:t xml:space="preserve"> for VA purposes. </w:t>
            </w:r>
            <w:r w:rsidR="00B54885" w:rsidRPr="00B36405">
              <w:t>T</w:t>
            </w:r>
            <w:r w:rsidR="00B54885" w:rsidRPr="00B36405">
              <w:rPr>
                <w:rFonts w:ascii="Helvetica" w:hAnsi="Helvetica"/>
                <w:color w:val="000000" w:themeColor="text1"/>
              </w:rPr>
              <w:t>he evidence does not show a disability for which compensation may be established. Compensation is payable for a disease or injury which causes a disabling physical or mental limitation.</w:t>
            </w:r>
          </w:p>
          <w:p w:rsidR="00C83E11" w:rsidRPr="009807C5" w:rsidRDefault="00C83E11" w:rsidP="00C83E11">
            <w:pPr>
              <w:pStyle w:val="Header"/>
              <w:widowControl w:val="0"/>
              <w:tabs>
                <w:tab w:val="clear" w:pos="4320"/>
                <w:tab w:val="clear" w:pos="8640"/>
              </w:tabs>
              <w:overflowPunct/>
              <w:autoSpaceDE/>
              <w:autoSpaceDN/>
              <w:adjustRightInd/>
              <w:textAlignment w:val="auto"/>
              <w:rPr>
                <w:highlight w:val="cyan"/>
              </w:rPr>
            </w:pPr>
            <w:r w:rsidRPr="009807C5">
              <w:rPr>
                <w:highlight w:val="cyan"/>
              </w:rPr>
              <w:t>OR</w:t>
            </w:r>
          </w:p>
          <w:p w:rsidR="00C83E11" w:rsidRPr="00B36405" w:rsidRDefault="00C83E11" w:rsidP="00C83E11">
            <w:pPr>
              <w:widowControl w:val="0"/>
              <w:rPr>
                <w:iCs/>
              </w:rPr>
            </w:pPr>
            <w:r w:rsidRPr="00C83E11">
              <w:rPr>
                <w:i/>
                <w:iCs/>
                <w:highlight w:val="cyan"/>
              </w:rPr>
              <w:t xml:space="preserve">choose </w:t>
            </w:r>
            <w:r w:rsidRPr="00C83E11">
              <w:rPr>
                <w:i/>
                <w:color w:val="FF0000"/>
                <w:szCs w:val="22"/>
                <w:highlight w:val="cyan"/>
              </w:rPr>
              <w:t>No Actual Disability</w:t>
            </w:r>
            <w:r w:rsidR="00B36405" w:rsidRPr="00B36405">
              <w:rPr>
                <w:i/>
                <w:iCs/>
              </w:rPr>
              <w:t>, plus:</w:t>
            </w:r>
            <w:r w:rsidRPr="00B36405">
              <w:rPr>
                <w:iCs/>
              </w:rPr>
              <w:t xml:space="preserve"> </w:t>
            </w:r>
          </w:p>
          <w:p w:rsidR="00C83E11" w:rsidRDefault="00C83E11">
            <w:pPr>
              <w:widowControl w:val="0"/>
              <w:spacing w:after="120"/>
            </w:pPr>
            <w:r w:rsidRPr="00B36405">
              <w:rPr>
                <w:iCs/>
              </w:rPr>
              <w:t>{} is not an actually disabling condition for which service connection can be granted.</w:t>
            </w:r>
          </w:p>
          <w:p w:rsidR="00013EB8" w:rsidRDefault="00013EB8">
            <w:pPr>
              <w:widowControl w:val="0"/>
              <w:spacing w:after="120"/>
            </w:pPr>
            <w:r>
              <w:rPr>
                <w:i/>
                <w:iCs/>
                <w:smallCaps/>
              </w:rPr>
              <w:t>includes:</w:t>
            </w:r>
          </w:p>
          <w:p w:rsidR="00C83E11" w:rsidRPr="00D37092" w:rsidRDefault="00C83E11" w:rsidP="00F063AF">
            <w:pPr>
              <w:widowControl w:val="0"/>
              <w:numPr>
                <w:ilvl w:val="0"/>
                <w:numId w:val="115"/>
              </w:numPr>
              <w:tabs>
                <w:tab w:val="clear" w:pos="720"/>
                <w:tab w:val="num" w:pos="495"/>
              </w:tabs>
              <w:spacing w:after="120"/>
              <w:ind w:left="490"/>
            </w:pPr>
            <w:r>
              <w:rPr>
                <w:i/>
                <w:iCs/>
              </w:rPr>
              <w:t>a</w:t>
            </w:r>
            <w:r w:rsidR="00013EB8">
              <w:rPr>
                <w:i/>
                <w:iCs/>
              </w:rPr>
              <w:t>bdominal</w:t>
            </w:r>
            <w:r>
              <w:rPr>
                <w:i/>
                <w:iCs/>
              </w:rPr>
              <w:t xml:space="preserve"> </w:t>
            </w:r>
            <w:r w:rsidR="00013EB8">
              <w:rPr>
                <w:i/>
                <w:iCs/>
              </w:rPr>
              <w:t>/</w:t>
            </w:r>
            <w:r>
              <w:rPr>
                <w:i/>
                <w:iCs/>
              </w:rPr>
              <w:t xml:space="preserve"> </w:t>
            </w:r>
            <w:r w:rsidR="00013EB8">
              <w:rPr>
                <w:i/>
                <w:iCs/>
              </w:rPr>
              <w:t>stomach pain (7399-7319)</w:t>
            </w:r>
            <w:r>
              <w:rPr>
                <w:i/>
                <w:iCs/>
              </w:rPr>
              <w:t xml:space="preserve">, </w:t>
            </w:r>
            <w:r>
              <w:rPr>
                <w:i/>
                <w:iCs/>
                <w:highlight w:val="cyan"/>
              </w:rPr>
              <w:t>pain only, see</w:t>
            </w:r>
            <w:r w:rsidRPr="00C83E11">
              <w:rPr>
                <w:i/>
                <w:iCs/>
                <w:highlight w:val="cyan"/>
              </w:rPr>
              <w:t xml:space="preserve"> above</w:t>
            </w:r>
          </w:p>
          <w:p w:rsidR="00013EB8" w:rsidRPr="00D37092" w:rsidRDefault="00013EB8" w:rsidP="00F063AF">
            <w:pPr>
              <w:widowControl w:val="0"/>
              <w:numPr>
                <w:ilvl w:val="0"/>
                <w:numId w:val="115"/>
              </w:numPr>
              <w:tabs>
                <w:tab w:val="clear" w:pos="720"/>
                <w:tab w:val="num" w:pos="495"/>
              </w:tabs>
              <w:spacing w:after="120"/>
              <w:ind w:left="490"/>
            </w:pPr>
            <w:r>
              <w:rPr>
                <w:i/>
                <w:iCs/>
              </w:rPr>
              <w:t>a</w:t>
            </w:r>
            <w:r>
              <w:rPr>
                <w:rStyle w:val="Emphasis"/>
              </w:rPr>
              <w:t>cute bronchitis</w:t>
            </w:r>
            <w:r w:rsidR="0025558C">
              <w:rPr>
                <w:rStyle w:val="Emphasis"/>
              </w:rPr>
              <w:t xml:space="preserve"> </w:t>
            </w:r>
            <w:r>
              <w:rPr>
                <w:rStyle w:val="Emphasis"/>
              </w:rPr>
              <w:t>/</w:t>
            </w:r>
            <w:r w:rsidR="0025558C">
              <w:rPr>
                <w:rStyle w:val="Emphasis"/>
              </w:rPr>
              <w:t xml:space="preserve"> </w:t>
            </w:r>
            <w:r>
              <w:rPr>
                <w:rStyle w:val="Emphasis"/>
              </w:rPr>
              <w:t>flu</w:t>
            </w:r>
            <w:r w:rsidR="0025558C">
              <w:rPr>
                <w:rStyle w:val="Emphasis"/>
              </w:rPr>
              <w:t xml:space="preserve"> </w:t>
            </w:r>
            <w:r w:rsidR="00B14228">
              <w:rPr>
                <w:rStyle w:val="Emphasis"/>
              </w:rPr>
              <w:t>/</w:t>
            </w:r>
            <w:r w:rsidR="0025558C">
              <w:rPr>
                <w:rStyle w:val="Emphasis"/>
              </w:rPr>
              <w:t xml:space="preserve"> </w:t>
            </w:r>
            <w:r w:rsidR="00B14228">
              <w:rPr>
                <w:rStyle w:val="Emphasis"/>
              </w:rPr>
              <w:t>influenza</w:t>
            </w:r>
            <w:r>
              <w:t xml:space="preserve"> [usually acute]</w:t>
            </w:r>
            <w:r>
              <w:rPr>
                <w:rStyle w:val="Emphasis"/>
              </w:rPr>
              <w:t xml:space="preserve"> (6699-6600)</w:t>
            </w:r>
            <w:r w:rsidR="00617ED9">
              <w:rPr>
                <w:rStyle w:val="Emphasis"/>
              </w:rPr>
              <w:t>,</w:t>
            </w:r>
            <w:r w:rsidR="00617ED9">
              <w:rPr>
                <w:i/>
                <w:iCs/>
              </w:rPr>
              <w:t xml:space="preserve"> </w:t>
            </w:r>
            <w:r w:rsidR="00617ED9" w:rsidRPr="00C83E11">
              <w:rPr>
                <w:i/>
                <w:iCs/>
                <w:highlight w:val="cyan"/>
              </w:rPr>
              <w:t xml:space="preserve">choose </w:t>
            </w:r>
            <w:r w:rsidR="00C83E11" w:rsidRPr="00C83E11">
              <w:rPr>
                <w:i/>
                <w:color w:val="FF0000"/>
                <w:szCs w:val="22"/>
                <w:highlight w:val="cyan"/>
              </w:rPr>
              <w:t>No Actual Disability</w:t>
            </w:r>
            <w:r w:rsidR="00C83E11" w:rsidRPr="00C83E11">
              <w:rPr>
                <w:i/>
                <w:iCs/>
                <w:highlight w:val="cyan"/>
              </w:rPr>
              <w:t xml:space="preserve"> &amp; see above</w:t>
            </w:r>
            <w:r w:rsidR="00C83E11">
              <w:rPr>
                <w:i/>
                <w:iCs/>
              </w:rPr>
              <w:t xml:space="preserve">, plus </w:t>
            </w:r>
            <w:r w:rsidR="00C83E11">
              <w:rPr>
                <w:rFonts w:ascii="Verdana" w:hAnsi="Verdana"/>
                <w:b/>
                <w:bCs/>
                <w:highlight w:val="green"/>
              </w:rPr>
              <w:t>AT</w:t>
            </w:r>
          </w:p>
          <w:p w:rsidR="00013EB8" w:rsidRDefault="00013EB8" w:rsidP="00F063AF">
            <w:pPr>
              <w:widowControl w:val="0"/>
              <w:numPr>
                <w:ilvl w:val="0"/>
                <w:numId w:val="115"/>
              </w:numPr>
              <w:tabs>
                <w:tab w:val="clear" w:pos="720"/>
                <w:tab w:val="num" w:pos="495"/>
              </w:tabs>
              <w:spacing w:after="120"/>
              <w:ind w:left="495"/>
            </w:pPr>
            <w:r>
              <w:rPr>
                <w:rStyle w:val="Emphasis"/>
              </w:rPr>
              <w:t>acute gonorrhea (7599-7512)</w:t>
            </w:r>
            <w:r w:rsidR="00C83E11">
              <w:rPr>
                <w:rStyle w:val="Emphasis"/>
              </w:rPr>
              <w:t xml:space="preserve">, </w:t>
            </w:r>
            <w:r w:rsidR="00C83E11">
              <w:rPr>
                <w:rFonts w:ascii="Verdana" w:hAnsi="Verdana"/>
                <w:b/>
                <w:bCs/>
                <w:highlight w:val="green"/>
              </w:rPr>
              <w:t>AT</w:t>
            </w:r>
          </w:p>
          <w:p w:rsidR="00013EB8" w:rsidRDefault="00013EB8" w:rsidP="00F063AF">
            <w:pPr>
              <w:widowControl w:val="0"/>
              <w:numPr>
                <w:ilvl w:val="0"/>
                <w:numId w:val="115"/>
              </w:numPr>
              <w:tabs>
                <w:tab w:val="clear" w:pos="720"/>
                <w:tab w:val="num" w:pos="495"/>
              </w:tabs>
              <w:spacing w:after="120"/>
              <w:ind w:left="495"/>
            </w:pPr>
            <w:r>
              <w:rPr>
                <w:i/>
                <w:iCs/>
              </w:rPr>
              <w:t xml:space="preserve">acute infections with no disease diagnosed (6399-6300) </w:t>
            </w:r>
            <w:r w:rsidR="00C83E11">
              <w:rPr>
                <w:i/>
                <w:iCs/>
              </w:rPr>
              <w:t xml:space="preserve">, </w:t>
            </w:r>
            <w:r w:rsidR="00C83E11">
              <w:rPr>
                <w:rFonts w:ascii="Verdana" w:hAnsi="Verdana"/>
                <w:b/>
                <w:bCs/>
                <w:highlight w:val="green"/>
              </w:rPr>
              <w:t>AT</w:t>
            </w:r>
          </w:p>
          <w:p w:rsidR="00013EB8" w:rsidRDefault="00013EB8" w:rsidP="00F063AF">
            <w:pPr>
              <w:widowControl w:val="0"/>
              <w:numPr>
                <w:ilvl w:val="0"/>
                <w:numId w:val="115"/>
              </w:numPr>
              <w:tabs>
                <w:tab w:val="clear" w:pos="720"/>
                <w:tab w:val="num" w:pos="495"/>
              </w:tabs>
              <w:spacing w:after="120"/>
              <w:ind w:left="495"/>
              <w:rPr>
                <w:i/>
                <w:iCs/>
              </w:rPr>
            </w:pPr>
            <w:r>
              <w:rPr>
                <w:rStyle w:val="Emphasis"/>
              </w:rPr>
              <w:t>acute non-specific urethritis (NSU) (7599-7518)</w:t>
            </w:r>
            <w:r w:rsidR="00C83E11">
              <w:rPr>
                <w:rStyle w:val="Emphasis"/>
              </w:rPr>
              <w:t xml:space="preserve">, </w:t>
            </w:r>
            <w:r w:rsidR="00C83E11">
              <w:rPr>
                <w:rFonts w:ascii="Verdana" w:hAnsi="Verdana"/>
                <w:b/>
                <w:bCs/>
                <w:highlight w:val="green"/>
              </w:rPr>
              <w:t>AT</w:t>
            </w:r>
          </w:p>
          <w:p w:rsidR="0058069E" w:rsidRDefault="0058069E" w:rsidP="00F063AF">
            <w:pPr>
              <w:widowControl w:val="0"/>
              <w:numPr>
                <w:ilvl w:val="0"/>
                <w:numId w:val="115"/>
              </w:numPr>
              <w:tabs>
                <w:tab w:val="clear" w:pos="720"/>
                <w:tab w:val="num" w:pos="495"/>
              </w:tabs>
              <w:spacing w:after="120"/>
              <w:ind w:left="495"/>
              <w:rPr>
                <w:rStyle w:val="Emphasis"/>
              </w:rPr>
            </w:pPr>
            <w:r>
              <w:rPr>
                <w:rStyle w:val="Emphasis"/>
              </w:rPr>
              <w:t>acute sinusitis</w:t>
            </w:r>
            <w:r w:rsidR="00C83E11">
              <w:rPr>
                <w:rStyle w:val="Emphasis"/>
              </w:rPr>
              <w:t xml:space="preserve">, </w:t>
            </w:r>
            <w:r w:rsidR="00C83E11">
              <w:rPr>
                <w:rFonts w:ascii="Verdana" w:hAnsi="Verdana"/>
                <w:b/>
                <w:bCs/>
                <w:highlight w:val="green"/>
              </w:rPr>
              <w:t>AT</w:t>
            </w:r>
          </w:p>
          <w:p w:rsidR="00013EB8" w:rsidRDefault="00013EB8" w:rsidP="00F063AF">
            <w:pPr>
              <w:widowControl w:val="0"/>
              <w:numPr>
                <w:ilvl w:val="0"/>
                <w:numId w:val="115"/>
              </w:numPr>
              <w:tabs>
                <w:tab w:val="clear" w:pos="720"/>
                <w:tab w:val="num" w:pos="495"/>
              </w:tabs>
              <w:spacing w:after="120"/>
              <w:ind w:left="495"/>
              <w:rPr>
                <w:i/>
                <w:iCs/>
              </w:rPr>
            </w:pPr>
            <w:r>
              <w:rPr>
                <w:rStyle w:val="Emphasis"/>
              </w:rPr>
              <w:t>adult situational reaction (9499-9400)</w:t>
            </w:r>
            <w:r w:rsidR="00C83E11">
              <w:rPr>
                <w:rStyle w:val="Emphasis"/>
              </w:rPr>
              <w:t xml:space="preserve">, </w:t>
            </w:r>
            <w:r w:rsidR="00C83E11">
              <w:rPr>
                <w:rFonts w:ascii="Verdana" w:hAnsi="Verdana"/>
                <w:b/>
                <w:bCs/>
                <w:highlight w:val="green"/>
              </w:rPr>
              <w:t>AT</w:t>
            </w:r>
          </w:p>
          <w:p w:rsidR="00013EB8" w:rsidRDefault="00013EB8" w:rsidP="00F063AF">
            <w:pPr>
              <w:widowControl w:val="0"/>
              <w:numPr>
                <w:ilvl w:val="0"/>
                <w:numId w:val="115"/>
              </w:numPr>
              <w:tabs>
                <w:tab w:val="clear" w:pos="720"/>
                <w:tab w:val="num" w:pos="495"/>
              </w:tabs>
              <w:spacing w:after="120"/>
              <w:ind w:left="495"/>
              <w:rPr>
                <w:rFonts w:ascii="Verdana" w:hAnsi="Verdana"/>
                <w:i/>
                <w:iCs/>
              </w:rPr>
            </w:pPr>
            <w:r>
              <w:rPr>
                <w:i/>
                <w:iCs/>
              </w:rPr>
              <w:t>a</w:t>
            </w:r>
            <w:r w:rsidR="00F67DDA">
              <w:rPr>
                <w:i/>
                <w:iCs/>
              </w:rPr>
              <w:t>llergies</w:t>
            </w:r>
            <w:r w:rsidR="00F95CEE">
              <w:rPr>
                <w:i/>
                <w:iCs/>
              </w:rPr>
              <w:t xml:space="preserve"> / </w:t>
            </w:r>
            <w:r w:rsidR="00F67DDA">
              <w:rPr>
                <w:i/>
                <w:iCs/>
              </w:rPr>
              <w:t>hayfever (6599-6522</w:t>
            </w:r>
            <w:r w:rsidR="006D05D1">
              <w:rPr>
                <w:i/>
                <w:iCs/>
              </w:rPr>
              <w:t xml:space="preserve">), </w:t>
            </w:r>
            <w:r w:rsidR="00D11117">
              <w:rPr>
                <w:rFonts w:ascii="Verdana" w:hAnsi="Verdana"/>
                <w:b/>
                <w:bCs/>
                <w:highlight w:val="green"/>
              </w:rPr>
              <w:t>AL1</w:t>
            </w:r>
          </w:p>
          <w:p w:rsidR="00460B7E" w:rsidRPr="00C75534" w:rsidRDefault="00013EB8" w:rsidP="00F063AF">
            <w:pPr>
              <w:widowControl w:val="0"/>
              <w:numPr>
                <w:ilvl w:val="0"/>
                <w:numId w:val="115"/>
              </w:numPr>
              <w:tabs>
                <w:tab w:val="clear" w:pos="720"/>
                <w:tab w:val="num" w:pos="495"/>
              </w:tabs>
              <w:spacing w:after="120"/>
              <w:ind w:left="495"/>
              <w:rPr>
                <w:rFonts w:ascii="Times New Roman" w:hAnsi="Times New Roman"/>
                <w:sz w:val="24"/>
                <w:szCs w:val="24"/>
              </w:rPr>
            </w:pPr>
            <w:r w:rsidRPr="00C75534">
              <w:rPr>
                <w:i/>
                <w:iCs/>
              </w:rPr>
              <w:t>arthralgia</w:t>
            </w:r>
            <w:r w:rsidR="00F95CEE" w:rsidRPr="00C75534">
              <w:rPr>
                <w:i/>
                <w:iCs/>
              </w:rPr>
              <w:t xml:space="preserve"> </w:t>
            </w:r>
            <w:r w:rsidRPr="00C75534">
              <w:rPr>
                <w:i/>
                <w:iCs/>
              </w:rPr>
              <w:t>/</w:t>
            </w:r>
            <w:r w:rsidR="00F95CEE" w:rsidRPr="00C75534">
              <w:rPr>
                <w:i/>
                <w:iCs/>
              </w:rPr>
              <w:t xml:space="preserve"> </w:t>
            </w:r>
            <w:r w:rsidR="00C83E11" w:rsidRPr="00C75534">
              <w:rPr>
                <w:i/>
                <w:iCs/>
              </w:rPr>
              <w:t xml:space="preserve">pain of joints (5099-5003), </w:t>
            </w:r>
            <w:r w:rsidR="00C83E11" w:rsidRPr="00C75534">
              <w:rPr>
                <w:i/>
                <w:iCs/>
                <w:highlight w:val="cyan"/>
              </w:rPr>
              <w:t>pain only, see above</w:t>
            </w:r>
          </w:p>
          <w:p w:rsidR="008D2640" w:rsidRPr="004F685F" w:rsidRDefault="008D2640" w:rsidP="00F063AF">
            <w:pPr>
              <w:widowControl w:val="0"/>
              <w:numPr>
                <w:ilvl w:val="0"/>
                <w:numId w:val="115"/>
              </w:numPr>
              <w:tabs>
                <w:tab w:val="clear" w:pos="720"/>
                <w:tab w:val="num" w:pos="495"/>
              </w:tabs>
              <w:spacing w:after="120"/>
              <w:ind w:left="495"/>
              <w:rPr>
                <w:iCs/>
              </w:rPr>
            </w:pPr>
            <w:r w:rsidRPr="004F685F">
              <w:rPr>
                <w:i/>
                <w:iCs/>
              </w:rPr>
              <w:t>breast surgeries / reduction mammoplasty / cosmetic breast reduction</w:t>
            </w:r>
            <w:r w:rsidR="00F95CEE">
              <w:rPr>
                <w:iCs/>
              </w:rPr>
              <w:t xml:space="preserve"> [elective, per</w:t>
            </w:r>
            <w:r w:rsidRPr="004F685F">
              <w:rPr>
                <w:b/>
              </w:rPr>
              <w:t xml:space="preserve"> </w:t>
            </w:r>
            <w:r w:rsidR="0053291F">
              <w:rPr>
                <w:b/>
              </w:rPr>
              <w:t>III.iv.4.J.3.</w:t>
            </w:r>
            <w:r w:rsidR="003F26AB">
              <w:rPr>
                <w:b/>
              </w:rPr>
              <w:t>d</w:t>
            </w:r>
            <w:r w:rsidR="0053291F" w:rsidRPr="0053291F">
              <w:t xml:space="preserve"> </w:t>
            </w:r>
            <w:r w:rsidR="001A5E87">
              <w:t xml:space="preserve">&amp; </w:t>
            </w:r>
            <w:r w:rsidR="001A5E87" w:rsidRPr="001A5E87">
              <w:rPr>
                <w:b/>
              </w:rPr>
              <w:t>IV.ii.2.A.2</w:t>
            </w:r>
            <w:r w:rsidR="001A5E87">
              <w:rPr>
                <w:b/>
              </w:rPr>
              <w:t>.b</w:t>
            </w:r>
            <w:r w:rsidR="001A5E87">
              <w:t>,</w:t>
            </w:r>
            <w:r>
              <w:t xml:space="preserve"> can only do reduction mammoplasty on basis of aggravation if recommended to alleviate physical discomfort (also consider SMC K)</w:t>
            </w:r>
            <w:r w:rsidR="00F95CEE">
              <w:t>]</w:t>
            </w:r>
            <w:r>
              <w:t xml:space="preserve"> - </w:t>
            </w:r>
            <w:r w:rsidRPr="004F685F">
              <w:rPr>
                <w:i/>
              </w:rPr>
              <w:t>(</w:t>
            </w:r>
            <w:r w:rsidRPr="004F685F">
              <w:rPr>
                <w:i/>
                <w:iCs/>
              </w:rPr>
              <w:t>7626)</w:t>
            </w:r>
            <w:r w:rsidR="008A0160">
              <w:rPr>
                <w:iCs/>
              </w:rPr>
              <w:t xml:space="preserve">, </w:t>
            </w:r>
            <w:r w:rsidR="00846475" w:rsidRPr="000A0871">
              <w:rPr>
                <w:b/>
                <w:highlight w:val="green"/>
              </w:rPr>
              <w:t>Elective procedure</w:t>
            </w:r>
            <w:r w:rsidR="00B36405">
              <w:rPr>
                <w:i/>
              </w:rPr>
              <w:t>, pl</w:t>
            </w:r>
            <w:r w:rsidR="008A0160" w:rsidRPr="00B36405">
              <w:rPr>
                <w:i/>
              </w:rPr>
              <w:t>us:</w:t>
            </w:r>
            <w:r w:rsidR="008A0160">
              <w:rPr>
                <w:i/>
                <w:sz w:val="16"/>
                <w:szCs w:val="16"/>
              </w:rPr>
              <w:t xml:space="preserve">  </w:t>
            </w:r>
            <w:r w:rsidRPr="004F685F">
              <w:t>We can only establish service connection for an elective surgery if there were unexpected, disabling residuals.</w:t>
            </w:r>
          </w:p>
          <w:p w:rsidR="0061357F" w:rsidRPr="00460B7E" w:rsidRDefault="003968CC" w:rsidP="00F063AF">
            <w:pPr>
              <w:widowControl w:val="0"/>
              <w:numPr>
                <w:ilvl w:val="0"/>
                <w:numId w:val="115"/>
              </w:numPr>
              <w:tabs>
                <w:tab w:val="clear" w:pos="720"/>
                <w:tab w:val="num" w:pos="516"/>
              </w:tabs>
              <w:spacing w:after="120"/>
              <w:ind w:left="516"/>
              <w:rPr>
                <w:rFonts w:ascii="Times New Roman" w:hAnsi="Times New Roman"/>
                <w:sz w:val="24"/>
                <w:szCs w:val="24"/>
              </w:rPr>
            </w:pPr>
            <w:r>
              <w:rPr>
                <w:i/>
                <w:iCs/>
              </w:rPr>
              <w:t>bruise</w:t>
            </w:r>
            <w:r w:rsidR="00F95CEE">
              <w:rPr>
                <w:i/>
                <w:iCs/>
              </w:rPr>
              <w:t xml:space="preserve"> </w:t>
            </w:r>
            <w:r w:rsidR="00F95CEE" w:rsidRPr="00F95CEE">
              <w:rPr>
                <w:iCs/>
              </w:rPr>
              <w:t>[</w:t>
            </w:r>
            <w:r w:rsidRPr="00F95CEE">
              <w:rPr>
                <w:iCs/>
              </w:rPr>
              <w:t>acute per</w:t>
            </w:r>
            <w:r w:rsidRPr="00F95CEE">
              <w:rPr>
                <w:bCs/>
              </w:rPr>
              <w:t xml:space="preserve"> </w:t>
            </w:r>
            <w:r w:rsidRPr="00F95CEE">
              <w:rPr>
                <w:b/>
                <w:bCs/>
              </w:rPr>
              <w:t>IV</w:t>
            </w:r>
            <w:r w:rsidRPr="003968CC">
              <w:rPr>
                <w:b/>
                <w:bCs/>
              </w:rPr>
              <w:t>.ii.2.B.1.g</w:t>
            </w:r>
            <w:r w:rsidR="00F95CEE">
              <w:rPr>
                <w:bCs/>
              </w:rPr>
              <w:t>]</w:t>
            </w:r>
            <w:r w:rsidR="00C83E11">
              <w:rPr>
                <w:bCs/>
              </w:rPr>
              <w:t xml:space="preserve">, </w:t>
            </w:r>
            <w:r w:rsidR="00C83E11">
              <w:rPr>
                <w:rFonts w:ascii="Verdana" w:hAnsi="Verdana"/>
                <w:b/>
                <w:bCs/>
                <w:highlight w:val="green"/>
              </w:rPr>
              <w:t>AT</w:t>
            </w:r>
          </w:p>
          <w:p w:rsidR="00460B7E" w:rsidRPr="00A24AF0" w:rsidRDefault="00013EB8" w:rsidP="00F063AF">
            <w:pPr>
              <w:widowControl w:val="0"/>
              <w:numPr>
                <w:ilvl w:val="0"/>
                <w:numId w:val="115"/>
              </w:numPr>
              <w:tabs>
                <w:tab w:val="clear" w:pos="720"/>
                <w:tab w:val="num" w:pos="495"/>
              </w:tabs>
              <w:spacing w:after="120"/>
              <w:ind w:left="495"/>
              <w:rPr>
                <w:rStyle w:val="Hyperlink"/>
                <w:rFonts w:ascii="Times New Roman" w:hAnsi="Times New Roman"/>
                <w:color w:val="auto"/>
                <w:sz w:val="24"/>
                <w:szCs w:val="24"/>
                <w:u w:val="none"/>
              </w:rPr>
            </w:pPr>
            <w:r w:rsidRPr="00460B7E">
              <w:rPr>
                <w:i/>
                <w:iCs/>
              </w:rPr>
              <w:t>bruxism (9999-990</w:t>
            </w:r>
            <w:r w:rsidR="00207D9B">
              <w:rPr>
                <w:i/>
                <w:iCs/>
              </w:rPr>
              <w:t>5</w:t>
            </w:r>
            <w:r w:rsidRPr="00460B7E">
              <w:rPr>
                <w:i/>
                <w:iCs/>
              </w:rPr>
              <w:t>)</w:t>
            </w:r>
            <w:r w:rsidR="00460B7E" w:rsidRPr="00460B7E">
              <w:rPr>
                <w:i/>
                <w:iCs/>
              </w:rPr>
              <w:t xml:space="preserve"> - </w:t>
            </w:r>
            <w:r w:rsidR="00460B7E" w:rsidRPr="006E501E">
              <w:rPr>
                <w:b/>
                <w:i/>
              </w:rPr>
              <w:t xml:space="preserve">March 2014 </w:t>
            </w:r>
            <w:r w:rsidR="00EB6F0B" w:rsidRPr="006E501E">
              <w:rPr>
                <w:b/>
                <w:i/>
              </w:rPr>
              <w:t>Compensation Service Bulletin (CSB)</w:t>
            </w:r>
            <w:r w:rsidR="00460B7E" w:rsidRPr="00460B7E">
              <w:t xml:space="preserve"> – Bruxism may not be rated as a stand-alone service-connected disability.  However, it may be considered </w:t>
            </w:r>
            <w:r w:rsidR="00460B7E" w:rsidRPr="00460B7E">
              <w:rPr>
                <w:bdr w:val="none" w:sz="0" w:space="0" w:color="auto" w:frame="1"/>
              </w:rPr>
              <w:t xml:space="preserve">on a </w:t>
            </w:r>
            <w:r w:rsidR="00460B7E" w:rsidRPr="00460B7E">
              <w:rPr>
                <w:b/>
                <w:bdr w:val="none" w:sz="0" w:space="0" w:color="auto" w:frame="1"/>
              </w:rPr>
              <w:t>secondary</w:t>
            </w:r>
            <w:r w:rsidR="00460B7E" w:rsidRPr="00460B7E">
              <w:rPr>
                <w:bdr w:val="none" w:sz="0" w:space="0" w:color="auto" w:frame="1"/>
              </w:rPr>
              <w:t xml:space="preserve"> basis </w:t>
            </w:r>
            <w:r w:rsidR="00460B7E" w:rsidRPr="00460B7E">
              <w:t>as a symptom of a service-connected disability</w:t>
            </w:r>
            <w:r w:rsidR="00460B7E">
              <w:t xml:space="preserve">, such as an anxiety disorder, </w:t>
            </w:r>
            <w:r w:rsidR="00460B7E" w:rsidRPr="00460B7E">
              <w:t xml:space="preserve">TMJ dysfunction, etc. for rating purposes. If an examination report diagnoses bruxism, the examination must be returned to the examiner to provide the etiology of bruxism. </w:t>
            </w:r>
            <w:r w:rsidR="00460B7E" w:rsidRPr="00EB42DC">
              <w:rPr>
                <w:b/>
                <w:bCs/>
              </w:rPr>
              <w:t>III.iv.3.D.</w:t>
            </w:r>
            <w:r w:rsidR="00EB42DC" w:rsidRPr="00EB42DC">
              <w:rPr>
                <w:b/>
                <w:bCs/>
              </w:rPr>
              <w:t>4</w:t>
            </w:r>
            <w:r w:rsidR="00855CD7">
              <w:rPr>
                <w:b/>
                <w:bCs/>
              </w:rPr>
              <w:t xml:space="preserve">.a </w:t>
            </w:r>
            <w:r w:rsidR="00C75534">
              <w:rPr>
                <w:rStyle w:val="Hyperlink"/>
                <w:bCs/>
                <w:i/>
                <w:color w:val="auto"/>
                <w:u w:val="none"/>
              </w:rPr>
              <w:t xml:space="preserve">Per </w:t>
            </w:r>
            <w:r w:rsidR="00DC5883" w:rsidRPr="00C75534">
              <w:rPr>
                <w:rStyle w:val="Hyperlink"/>
                <w:bCs/>
                <w:i/>
                <w:color w:val="auto"/>
                <w:u w:val="none"/>
              </w:rPr>
              <w:t>QRT</w:t>
            </w:r>
            <w:r w:rsidR="00C75534">
              <w:rPr>
                <w:rStyle w:val="Hyperlink"/>
                <w:bCs/>
                <w:i/>
                <w:color w:val="auto"/>
                <w:u w:val="none"/>
              </w:rPr>
              <w:t>/</w:t>
            </w:r>
            <w:r w:rsidR="00DC5883" w:rsidRPr="00C75534">
              <w:rPr>
                <w:rStyle w:val="Hyperlink"/>
                <w:bCs/>
                <w:i/>
                <w:color w:val="auto"/>
                <w:u w:val="none"/>
              </w:rPr>
              <w:t>Erin</w:t>
            </w:r>
            <w:r w:rsidR="00C75534">
              <w:rPr>
                <w:rStyle w:val="Hyperlink"/>
                <w:bCs/>
                <w:i/>
                <w:color w:val="auto"/>
                <w:u w:val="none"/>
              </w:rPr>
              <w:t xml:space="preserve"> Walsh, 3/14, </w:t>
            </w:r>
            <w:r w:rsidR="00DC5883" w:rsidRPr="00C75534">
              <w:rPr>
                <w:rStyle w:val="Hyperlink"/>
                <w:bCs/>
                <w:i/>
                <w:color w:val="auto"/>
                <w:u w:val="none"/>
              </w:rPr>
              <w:t>grant as “anxiety disorder with bruxism</w:t>
            </w:r>
            <w:r w:rsidR="001946CC" w:rsidRPr="00C75534">
              <w:rPr>
                <w:rStyle w:val="Hyperlink"/>
                <w:bCs/>
                <w:i/>
                <w:color w:val="auto"/>
                <w:u w:val="none"/>
              </w:rPr>
              <w:t>.</w:t>
            </w:r>
            <w:r w:rsidR="00DC5883" w:rsidRPr="00C75534">
              <w:rPr>
                <w:rStyle w:val="Hyperlink"/>
                <w:bCs/>
                <w:i/>
                <w:color w:val="auto"/>
                <w:u w:val="none"/>
              </w:rPr>
              <w:t>”</w:t>
            </w:r>
          </w:p>
          <w:p w:rsidR="00A24AF0" w:rsidRPr="00A24AF0" w:rsidRDefault="00A24AF0" w:rsidP="0051775E">
            <w:pPr>
              <w:widowControl w:val="0"/>
              <w:ind w:left="515"/>
              <w:rPr>
                <w:rFonts w:ascii="Times New Roman" w:hAnsi="Times New Roman"/>
                <w:i/>
                <w:sz w:val="22"/>
                <w:szCs w:val="22"/>
              </w:rPr>
            </w:pPr>
            <w:r w:rsidRPr="00A24AF0">
              <w:rPr>
                <w:rFonts w:ascii="Times New Roman" w:hAnsi="Times New Roman"/>
                <w:i/>
                <w:sz w:val="22"/>
                <w:szCs w:val="22"/>
              </w:rPr>
              <w:t>Can use:</w:t>
            </w:r>
          </w:p>
          <w:p w:rsidR="00A24AF0" w:rsidRPr="00A24AF0" w:rsidRDefault="00A24AF0" w:rsidP="0051775E">
            <w:pPr>
              <w:widowControl w:val="0"/>
              <w:spacing w:after="120"/>
              <w:ind w:left="515"/>
              <w:rPr>
                <w:i/>
                <w:iCs/>
                <w:sz w:val="22"/>
                <w:szCs w:val="22"/>
              </w:rPr>
            </w:pPr>
            <w:r w:rsidRPr="00A24AF0">
              <w:rPr>
                <w:rFonts w:ascii="Times New Roman" w:hAnsi="Times New Roman"/>
                <w:sz w:val="22"/>
                <w:szCs w:val="22"/>
              </w:rPr>
              <w:t>Bruxism, alone, is</w:t>
            </w:r>
            <w:r w:rsidR="00FA09DA">
              <w:rPr>
                <w:rFonts w:ascii="Times New Roman" w:hAnsi="Times New Roman"/>
                <w:sz w:val="22"/>
                <w:szCs w:val="22"/>
              </w:rPr>
              <w:t xml:space="preserve"> a</w:t>
            </w:r>
            <w:r w:rsidRPr="00A24AF0">
              <w:rPr>
                <w:rFonts w:ascii="Times New Roman" w:hAnsi="Times New Roman"/>
                <w:sz w:val="22"/>
                <w:szCs w:val="22"/>
              </w:rPr>
              <w:t xml:space="preserve"> symptom and not an actually disabling condition for which service connection can be granted. The VA examiner indicated that you do not now have, nor have you ever had, a temporomandibular joint condition. There is no evidence that your bruxism is a symptom of a service-connected disability. </w:t>
            </w:r>
          </w:p>
          <w:p w:rsidR="00CB5BDA" w:rsidRDefault="00CB5BDA" w:rsidP="00F063AF">
            <w:pPr>
              <w:widowControl w:val="0"/>
              <w:numPr>
                <w:ilvl w:val="0"/>
                <w:numId w:val="115"/>
              </w:numPr>
              <w:tabs>
                <w:tab w:val="clear" w:pos="720"/>
                <w:tab w:val="num" w:pos="475"/>
              </w:tabs>
              <w:spacing w:after="120"/>
              <w:ind w:left="475"/>
            </w:pPr>
            <w:r>
              <w:rPr>
                <w:i/>
                <w:iCs/>
              </w:rPr>
              <w:t xml:space="preserve">bundle branch block, right or left (RBBB, LBBB) (7099-7000),  </w:t>
            </w:r>
            <w:r>
              <w:rPr>
                <w:i/>
                <w:iCs/>
                <w:highlight w:val="cyan"/>
              </w:rPr>
              <w:t>EKG finding only, unless it’s disabling (i.e. causes syncope) or can rate the underlying heart disease (usually RBBBs are caused by MIs &amp; LBBBs are caused by CAD, valvular heart disease or other heart disease, can lead to very slow heart rate causing dizzy spells/passing out) (do “also claimed as …”), ch</w:t>
            </w:r>
            <w:r w:rsidRPr="00C83E11">
              <w:rPr>
                <w:i/>
                <w:iCs/>
                <w:highlight w:val="cyan"/>
              </w:rPr>
              <w:t xml:space="preserve">oose </w:t>
            </w:r>
            <w:r w:rsidRPr="00C83E11">
              <w:rPr>
                <w:i/>
                <w:color w:val="FF0000"/>
                <w:szCs w:val="22"/>
                <w:highlight w:val="cyan"/>
              </w:rPr>
              <w:t>No Actual Disability</w:t>
            </w:r>
            <w:r w:rsidRPr="00C83E11">
              <w:rPr>
                <w:i/>
                <w:iCs/>
                <w:highlight w:val="cyan"/>
              </w:rPr>
              <w:t xml:space="preserve"> &amp; see abo</w:t>
            </w:r>
            <w:r>
              <w:rPr>
                <w:i/>
                <w:iCs/>
                <w:highlight w:val="cyan"/>
              </w:rPr>
              <w:t>ve</w:t>
            </w:r>
            <w:r w:rsidRPr="008A0160">
              <w:rPr>
                <w:i/>
                <w:iCs/>
              </w:rPr>
              <w:t>, plus:</w:t>
            </w:r>
            <w:r>
              <w:rPr>
                <w:i/>
                <w:iCs/>
              </w:rPr>
              <w:t xml:space="preserve">  </w:t>
            </w:r>
            <w:r>
              <w:t>The DBQ shows a diagnosis of right bundle branch block with no clinical significance. Bundle branch block without symptoms or heart disease is a finding and not an actually disabling condition for which service connection can be granted.</w:t>
            </w:r>
          </w:p>
          <w:p w:rsidR="00013EB8" w:rsidRDefault="00C83E11" w:rsidP="00F063AF">
            <w:pPr>
              <w:widowControl w:val="0"/>
              <w:numPr>
                <w:ilvl w:val="0"/>
                <w:numId w:val="115"/>
              </w:numPr>
              <w:tabs>
                <w:tab w:val="clear" w:pos="720"/>
                <w:tab w:val="num" w:pos="495"/>
              </w:tabs>
              <w:spacing w:after="120"/>
              <w:ind w:left="495"/>
              <w:rPr>
                <w:i/>
                <w:iCs/>
              </w:rPr>
            </w:pPr>
            <w:r>
              <w:rPr>
                <w:i/>
                <w:iCs/>
              </w:rPr>
              <w:t xml:space="preserve">calluses (7899-7819), </w:t>
            </w:r>
            <w:r w:rsidRPr="00C83E11">
              <w:rPr>
                <w:i/>
                <w:iCs/>
                <w:highlight w:val="cyan"/>
              </w:rPr>
              <w:t xml:space="preserve">choose </w:t>
            </w:r>
            <w:r w:rsidRPr="00C83E11">
              <w:rPr>
                <w:i/>
                <w:color w:val="FF0000"/>
                <w:szCs w:val="22"/>
                <w:highlight w:val="cyan"/>
              </w:rPr>
              <w:t>No Actual Disability</w:t>
            </w:r>
            <w:r w:rsidRPr="00C83E11">
              <w:rPr>
                <w:i/>
                <w:iCs/>
                <w:highlight w:val="cyan"/>
              </w:rPr>
              <w:t xml:space="preserve"> &amp; see above</w:t>
            </w:r>
          </w:p>
          <w:p w:rsidR="00013EB8" w:rsidRDefault="00013EB8" w:rsidP="00F063AF">
            <w:pPr>
              <w:widowControl w:val="0"/>
              <w:numPr>
                <w:ilvl w:val="0"/>
                <w:numId w:val="115"/>
              </w:numPr>
              <w:tabs>
                <w:tab w:val="clear" w:pos="720"/>
                <w:tab w:val="num" w:pos="495"/>
              </w:tabs>
              <w:spacing w:after="120"/>
              <w:ind w:left="495"/>
              <w:rPr>
                <w:i/>
                <w:iCs/>
              </w:rPr>
            </w:pPr>
            <w:r>
              <w:rPr>
                <w:i/>
                <w:iCs/>
              </w:rPr>
              <w:t>cardiomegaly</w:t>
            </w:r>
            <w:r w:rsidR="00C83E11">
              <w:rPr>
                <w:i/>
                <w:iCs/>
              </w:rPr>
              <w:t xml:space="preserve"> </w:t>
            </w:r>
            <w:r>
              <w:rPr>
                <w:i/>
                <w:iCs/>
              </w:rPr>
              <w:t>/</w:t>
            </w:r>
            <w:r w:rsidR="00C83E11">
              <w:rPr>
                <w:i/>
                <w:iCs/>
              </w:rPr>
              <w:t xml:space="preserve"> </w:t>
            </w:r>
            <w:r>
              <w:rPr>
                <w:i/>
                <w:iCs/>
              </w:rPr>
              <w:t xml:space="preserve">left ventricular hypertrophy (LVH) </w:t>
            </w:r>
            <w:r>
              <w:t xml:space="preserve">[finding only if no heart disease] </w:t>
            </w:r>
            <w:r>
              <w:rPr>
                <w:i/>
                <w:iCs/>
              </w:rPr>
              <w:t>(7099-7005 or 7007)</w:t>
            </w:r>
            <w:r w:rsidR="00C83E11">
              <w:rPr>
                <w:i/>
                <w:iCs/>
              </w:rPr>
              <w:t xml:space="preserve">, </w:t>
            </w:r>
            <w:r w:rsidR="00C83E11">
              <w:rPr>
                <w:i/>
                <w:iCs/>
                <w:highlight w:val="cyan"/>
              </w:rPr>
              <w:t xml:space="preserve">finding </w:t>
            </w:r>
            <w:r w:rsidR="00C83E11" w:rsidRPr="00C83E11">
              <w:rPr>
                <w:i/>
                <w:iCs/>
                <w:highlight w:val="cyan"/>
              </w:rPr>
              <w:t xml:space="preserve">only, choose </w:t>
            </w:r>
            <w:r w:rsidR="00C83E11" w:rsidRPr="00C83E11">
              <w:rPr>
                <w:i/>
                <w:color w:val="FF0000"/>
                <w:szCs w:val="22"/>
                <w:highlight w:val="cyan"/>
              </w:rPr>
              <w:t>No Actual Disability</w:t>
            </w:r>
            <w:r w:rsidR="00C83E11" w:rsidRPr="00C83E11">
              <w:rPr>
                <w:i/>
                <w:iCs/>
                <w:highlight w:val="cyan"/>
              </w:rPr>
              <w:t xml:space="preserve"> &amp; see above</w:t>
            </w:r>
          </w:p>
          <w:p w:rsidR="00013EB8" w:rsidRDefault="00013EB8" w:rsidP="00F063AF">
            <w:pPr>
              <w:widowControl w:val="0"/>
              <w:numPr>
                <w:ilvl w:val="0"/>
                <w:numId w:val="115"/>
              </w:numPr>
              <w:tabs>
                <w:tab w:val="clear" w:pos="720"/>
                <w:tab w:val="num" w:pos="495"/>
              </w:tabs>
              <w:spacing w:after="120"/>
              <w:ind w:left="495"/>
              <w:rPr>
                <w:i/>
                <w:iCs/>
              </w:rPr>
            </w:pPr>
            <w:r>
              <w:rPr>
                <w:i/>
                <w:iCs/>
              </w:rPr>
              <w:t>cervical dysplasia</w:t>
            </w:r>
            <w:r w:rsidR="00C83E11">
              <w:rPr>
                <w:i/>
                <w:iCs/>
              </w:rPr>
              <w:t xml:space="preserve"> </w:t>
            </w:r>
            <w:r>
              <w:rPr>
                <w:i/>
                <w:iCs/>
              </w:rPr>
              <w:t>/</w:t>
            </w:r>
            <w:r w:rsidR="00C83E11">
              <w:rPr>
                <w:i/>
                <w:iCs/>
              </w:rPr>
              <w:t xml:space="preserve"> </w:t>
            </w:r>
            <w:r>
              <w:rPr>
                <w:i/>
                <w:iCs/>
              </w:rPr>
              <w:t>cervical intraepithelial neoplasia</w:t>
            </w:r>
            <w:r w:rsidR="00B4721C">
              <w:rPr>
                <w:i/>
                <w:iCs/>
              </w:rPr>
              <w:t xml:space="preserve"> / CIN</w:t>
            </w:r>
            <w:r w:rsidR="00C83E11">
              <w:rPr>
                <w:i/>
                <w:iCs/>
              </w:rPr>
              <w:t xml:space="preserve"> </w:t>
            </w:r>
            <w:r>
              <w:rPr>
                <w:i/>
                <w:iCs/>
              </w:rPr>
              <w:t>/</w:t>
            </w:r>
            <w:r w:rsidR="00C83E11">
              <w:rPr>
                <w:i/>
                <w:iCs/>
              </w:rPr>
              <w:t xml:space="preserve"> </w:t>
            </w:r>
            <w:r>
              <w:rPr>
                <w:i/>
                <w:iCs/>
              </w:rPr>
              <w:t xml:space="preserve">abnormal pap smear </w:t>
            </w:r>
            <w:r>
              <w:t xml:space="preserve">[lab finding &amp; usually acute, </w:t>
            </w:r>
            <w:r w:rsidR="00B4721C">
              <w:t xml:space="preserve">per </w:t>
            </w:r>
            <w:r w:rsidR="00B4721C">
              <w:rPr>
                <w:b/>
              </w:rPr>
              <w:t>III.iv.4.J.2.e</w:t>
            </w:r>
            <w:r w:rsidR="00B4721C">
              <w:rPr>
                <w:b/>
                <w:color w:val="000000"/>
              </w:rPr>
              <w:t xml:space="preserve"> </w:t>
            </w:r>
            <w:r>
              <w:t xml:space="preserve">not a disability unless requires treatment and there are residuals post-treatment, </w:t>
            </w:r>
            <w:r w:rsidR="00B4721C">
              <w:t xml:space="preserve">or if </w:t>
            </w:r>
            <w:r w:rsidR="00FA24C4">
              <w:rPr>
                <w:color w:val="000000"/>
              </w:rPr>
              <w:t>linked to subsequent development of cervical cancer</w:t>
            </w:r>
            <w:r>
              <w:t>]</w:t>
            </w:r>
            <w:r>
              <w:rPr>
                <w:i/>
                <w:iCs/>
              </w:rPr>
              <w:t xml:space="preserve"> (7699-7612</w:t>
            </w:r>
            <w:r w:rsidR="006D05D1">
              <w:rPr>
                <w:i/>
                <w:iCs/>
              </w:rPr>
              <w:t xml:space="preserve">), </w:t>
            </w:r>
            <w:r w:rsidR="008630FD">
              <w:rPr>
                <w:rFonts w:ascii="Verdana" w:hAnsi="Verdana"/>
                <w:b/>
                <w:bCs/>
                <w:highlight w:val="green"/>
              </w:rPr>
              <w:t>LAB</w:t>
            </w:r>
          </w:p>
          <w:p w:rsidR="00013EB8" w:rsidRDefault="00013EB8" w:rsidP="00F063AF">
            <w:pPr>
              <w:widowControl w:val="0"/>
              <w:numPr>
                <w:ilvl w:val="0"/>
                <w:numId w:val="115"/>
              </w:numPr>
              <w:tabs>
                <w:tab w:val="clear" w:pos="720"/>
                <w:tab w:val="num" w:pos="495"/>
              </w:tabs>
              <w:spacing w:after="120"/>
              <w:ind w:left="495"/>
              <w:rPr>
                <w:i/>
                <w:iCs/>
              </w:rPr>
            </w:pPr>
            <w:r>
              <w:rPr>
                <w:i/>
                <w:iCs/>
              </w:rPr>
              <w:t>cervicalgia (5299-5237)</w:t>
            </w:r>
            <w:r w:rsidR="00C83E11">
              <w:rPr>
                <w:i/>
                <w:iCs/>
              </w:rPr>
              <w:t xml:space="preserve">, </w:t>
            </w:r>
            <w:r w:rsidR="00C83E11">
              <w:rPr>
                <w:i/>
                <w:iCs/>
                <w:highlight w:val="cyan"/>
              </w:rPr>
              <w:t>pain only, see</w:t>
            </w:r>
            <w:r w:rsidR="00C83E11" w:rsidRPr="00C83E11">
              <w:rPr>
                <w:i/>
                <w:iCs/>
                <w:highlight w:val="cyan"/>
              </w:rPr>
              <w:t xml:space="preserve"> above</w:t>
            </w:r>
          </w:p>
          <w:p w:rsidR="00013EB8" w:rsidRDefault="00013EB8" w:rsidP="00F063AF">
            <w:pPr>
              <w:widowControl w:val="0"/>
              <w:numPr>
                <w:ilvl w:val="0"/>
                <w:numId w:val="115"/>
              </w:numPr>
              <w:tabs>
                <w:tab w:val="clear" w:pos="720"/>
                <w:tab w:val="num" w:pos="495"/>
              </w:tabs>
              <w:spacing w:after="120"/>
              <w:ind w:left="495"/>
              <w:rPr>
                <w:i/>
                <w:iCs/>
              </w:rPr>
            </w:pPr>
            <w:r>
              <w:rPr>
                <w:i/>
                <w:iCs/>
              </w:rPr>
              <w:t>chest pain (cardio 7099-7000, muscle strain</w:t>
            </w:r>
            <w:r w:rsidR="00C83E11">
              <w:rPr>
                <w:i/>
                <w:iCs/>
              </w:rPr>
              <w:t xml:space="preserve"> 5399-5321, pleuritic 6799-6732), </w:t>
            </w:r>
            <w:r w:rsidR="00C83E11">
              <w:rPr>
                <w:i/>
                <w:iCs/>
                <w:highlight w:val="cyan"/>
              </w:rPr>
              <w:t>pain only, see</w:t>
            </w:r>
            <w:r w:rsidR="00C83E11" w:rsidRPr="00C83E11">
              <w:rPr>
                <w:i/>
                <w:iCs/>
                <w:highlight w:val="cyan"/>
              </w:rPr>
              <w:t xml:space="preserve"> above</w:t>
            </w:r>
          </w:p>
          <w:p w:rsidR="00A43189" w:rsidRDefault="00A43189" w:rsidP="00F063AF">
            <w:pPr>
              <w:widowControl w:val="0"/>
              <w:numPr>
                <w:ilvl w:val="0"/>
                <w:numId w:val="115"/>
              </w:numPr>
              <w:tabs>
                <w:tab w:val="clear" w:pos="720"/>
                <w:tab w:val="num" w:pos="495"/>
              </w:tabs>
              <w:spacing w:after="120"/>
              <w:ind w:left="495"/>
              <w:rPr>
                <w:i/>
                <w:iCs/>
              </w:rPr>
            </w:pPr>
            <w:r>
              <w:rPr>
                <w:rStyle w:val="Emphasis"/>
              </w:rPr>
              <w:t xml:space="preserve">circumcision (7899-7805) </w:t>
            </w:r>
            <w:r>
              <w:rPr>
                <w:iCs/>
              </w:rPr>
              <w:t xml:space="preserve">- </w:t>
            </w:r>
            <w:r w:rsidR="00B36405">
              <w:rPr>
                <w:b/>
                <w:highlight w:val="green"/>
              </w:rPr>
              <w:t>Elective procedure</w:t>
            </w:r>
            <w:r w:rsidR="00B36405">
              <w:rPr>
                <w:i/>
              </w:rPr>
              <w:t>, p</w:t>
            </w:r>
            <w:r w:rsidR="008A0160" w:rsidRPr="00B36405">
              <w:rPr>
                <w:i/>
              </w:rPr>
              <w:t>lus:</w:t>
            </w:r>
            <w:r w:rsidR="008A0160">
              <w:rPr>
                <w:i/>
                <w:sz w:val="16"/>
                <w:szCs w:val="16"/>
              </w:rPr>
              <w:t xml:space="preserve">  </w:t>
            </w:r>
            <w:r w:rsidRPr="004F685F">
              <w:t xml:space="preserve">We can only establish service connection for an elective </w:t>
            </w:r>
            <w:r>
              <w:t>procedure</w:t>
            </w:r>
            <w:r w:rsidRPr="004F685F">
              <w:t xml:space="preserve"> if there were unexpected, disabling residuals.</w:t>
            </w:r>
          </w:p>
          <w:p w:rsidR="00013EB8" w:rsidRDefault="00013EB8" w:rsidP="00F063AF">
            <w:pPr>
              <w:widowControl w:val="0"/>
              <w:numPr>
                <w:ilvl w:val="0"/>
                <w:numId w:val="115"/>
              </w:numPr>
              <w:tabs>
                <w:tab w:val="clear" w:pos="720"/>
                <w:tab w:val="num" w:pos="495"/>
              </w:tabs>
              <w:spacing w:after="120"/>
              <w:ind w:left="495"/>
              <w:rPr>
                <w:i/>
                <w:iCs/>
              </w:rPr>
            </w:pPr>
            <w:r>
              <w:rPr>
                <w:i/>
                <w:iCs/>
              </w:rPr>
              <w:t>color blindness (6099-6066)</w:t>
            </w:r>
            <w:r w:rsidR="00C83E11">
              <w:rPr>
                <w:i/>
                <w:iCs/>
              </w:rPr>
              <w:t xml:space="preserve">, or </w:t>
            </w:r>
            <w:r w:rsidR="00C83E11">
              <w:rPr>
                <w:rFonts w:ascii="Verdana" w:hAnsi="Verdana"/>
                <w:b/>
                <w:highlight w:val="green"/>
              </w:rPr>
              <w:t>CD</w:t>
            </w:r>
          </w:p>
          <w:p w:rsidR="00965E59" w:rsidRPr="00D92735" w:rsidRDefault="00013EB8" w:rsidP="00F063AF">
            <w:pPr>
              <w:pStyle w:val="ListParagraph"/>
              <w:widowControl w:val="0"/>
              <w:numPr>
                <w:ilvl w:val="0"/>
                <w:numId w:val="154"/>
              </w:numPr>
              <w:tabs>
                <w:tab w:val="left" w:pos="475"/>
              </w:tabs>
              <w:spacing w:after="120" w:line="240" w:lineRule="auto"/>
              <w:ind w:left="475"/>
              <w:rPr>
                <w:color w:val="000000"/>
              </w:rPr>
            </w:pPr>
            <w:r w:rsidRPr="00965E59">
              <w:rPr>
                <w:rFonts w:ascii="Arial" w:hAnsi="Arial"/>
                <w:i/>
                <w:iCs/>
                <w:sz w:val="20"/>
                <w:szCs w:val="20"/>
              </w:rPr>
              <w:t>constipation (</w:t>
            </w:r>
            <w:r w:rsidR="00913656">
              <w:rPr>
                <w:rFonts w:ascii="Arial" w:hAnsi="Arial"/>
                <w:i/>
                <w:iCs/>
                <w:sz w:val="20"/>
                <w:szCs w:val="20"/>
              </w:rPr>
              <w:t>7399-7319</w:t>
            </w:r>
            <w:r w:rsidRPr="00965E59">
              <w:rPr>
                <w:rFonts w:ascii="Arial" w:hAnsi="Arial"/>
                <w:i/>
                <w:iCs/>
                <w:sz w:val="20"/>
                <w:szCs w:val="20"/>
              </w:rPr>
              <w:t>)</w:t>
            </w:r>
            <w:r w:rsidR="00C83E11">
              <w:rPr>
                <w:rFonts w:ascii="Arial" w:hAnsi="Arial"/>
                <w:i/>
                <w:iCs/>
                <w:sz w:val="20"/>
                <w:szCs w:val="20"/>
              </w:rPr>
              <w:t xml:space="preserve">, </w:t>
            </w:r>
            <w:r w:rsidR="00C83E11" w:rsidRPr="00C83E11">
              <w:rPr>
                <w:rFonts w:ascii="Arial" w:hAnsi="Arial"/>
                <w:i/>
                <w:iCs/>
                <w:sz w:val="20"/>
                <w:highlight w:val="cyan"/>
              </w:rPr>
              <w:t xml:space="preserve">symptom only, choose </w:t>
            </w:r>
            <w:r w:rsidR="00C83E11" w:rsidRPr="00C83E11">
              <w:rPr>
                <w:rFonts w:ascii="Arial" w:hAnsi="Arial"/>
                <w:i/>
                <w:color w:val="FF0000"/>
                <w:sz w:val="20"/>
                <w:highlight w:val="cyan"/>
              </w:rPr>
              <w:t>No Actual Disability</w:t>
            </w:r>
            <w:r w:rsidR="00C83E11" w:rsidRPr="00C83E11">
              <w:rPr>
                <w:rFonts w:ascii="Arial" w:hAnsi="Arial"/>
                <w:i/>
                <w:iCs/>
                <w:sz w:val="20"/>
                <w:highlight w:val="cyan"/>
              </w:rPr>
              <w:t xml:space="preserve"> &amp; see above</w:t>
            </w:r>
            <w:r w:rsidR="00B87EE0">
              <w:rPr>
                <w:sz w:val="20"/>
              </w:rPr>
              <w:t xml:space="preserve">, </w:t>
            </w:r>
            <w:hyperlink r:id="rId273" w:history="1">
              <w:r w:rsidR="00965E59">
                <w:rPr>
                  <w:rStyle w:val="Hyperlink"/>
                  <w:rFonts w:asciiTheme="minorHAnsi" w:hAnsiTheme="minorHAnsi"/>
                  <w:b/>
                  <w:i/>
                  <w:sz w:val="24"/>
                  <w:szCs w:val="24"/>
                </w:rPr>
                <w:t>7/11/14 DBQ Call</w:t>
              </w:r>
            </w:hyperlink>
            <w:r w:rsidR="00965E59" w:rsidRPr="00D92735">
              <w:rPr>
                <w:rFonts w:asciiTheme="minorHAnsi" w:hAnsiTheme="minorHAnsi"/>
                <w:b/>
                <w:sz w:val="24"/>
                <w:szCs w:val="24"/>
              </w:rPr>
              <w:t xml:space="preserve"> –</w:t>
            </w:r>
            <w:r w:rsidR="00965E59">
              <w:rPr>
                <w:rFonts w:asciiTheme="minorHAnsi" w:hAnsiTheme="minorHAnsi"/>
                <w:b/>
                <w:sz w:val="24"/>
                <w:szCs w:val="24"/>
              </w:rPr>
              <w:t xml:space="preserve"> </w:t>
            </w:r>
            <w:r w:rsidR="00965E59">
              <w:rPr>
                <w:rFonts w:asciiTheme="minorHAnsi" w:hAnsiTheme="minorHAnsi"/>
                <w:sz w:val="24"/>
                <w:szCs w:val="24"/>
              </w:rPr>
              <w:t>Chronic diarrhea and chronic constipation are only listed as diagnoses so that the examiner can enter a diagnosis and complete the DBQ, otherwise if there is no diagnosis most of the DBQ is disabled and can’t be answered.</w:t>
            </w:r>
          </w:p>
          <w:p w:rsidR="00540451" w:rsidRPr="004F685F" w:rsidRDefault="00013EB8" w:rsidP="00F063AF">
            <w:pPr>
              <w:widowControl w:val="0"/>
              <w:numPr>
                <w:ilvl w:val="0"/>
                <w:numId w:val="115"/>
              </w:numPr>
              <w:tabs>
                <w:tab w:val="clear" w:pos="720"/>
                <w:tab w:val="num" w:pos="495"/>
              </w:tabs>
              <w:spacing w:after="120"/>
              <w:ind w:left="495"/>
              <w:rPr>
                <w:iCs/>
              </w:rPr>
            </w:pPr>
            <w:r>
              <w:rPr>
                <w:rStyle w:val="Emphasis"/>
              </w:rPr>
              <w:t>contusion with no residuals (7899-7805)</w:t>
            </w:r>
            <w:r w:rsidR="00C83E11">
              <w:rPr>
                <w:bCs/>
              </w:rPr>
              <w:t xml:space="preserve">, </w:t>
            </w:r>
            <w:r w:rsidR="00C83E11">
              <w:rPr>
                <w:rFonts w:ascii="Verdana" w:hAnsi="Verdana"/>
                <w:b/>
                <w:bCs/>
                <w:highlight w:val="green"/>
              </w:rPr>
              <w:t>AT</w:t>
            </w:r>
          </w:p>
          <w:p w:rsidR="00013EB8" w:rsidRDefault="00013EB8" w:rsidP="00F063AF">
            <w:pPr>
              <w:widowControl w:val="0"/>
              <w:numPr>
                <w:ilvl w:val="0"/>
                <w:numId w:val="115"/>
              </w:numPr>
              <w:tabs>
                <w:tab w:val="clear" w:pos="720"/>
                <w:tab w:val="num" w:pos="495"/>
              </w:tabs>
              <w:spacing w:after="120"/>
              <w:ind w:left="495"/>
              <w:rPr>
                <w:i/>
                <w:iCs/>
              </w:rPr>
            </w:pPr>
            <w:r>
              <w:rPr>
                <w:i/>
                <w:iCs/>
              </w:rPr>
              <w:t>cough</w:t>
            </w:r>
            <w:r w:rsidR="00F95CEE">
              <w:rPr>
                <w:i/>
                <w:iCs/>
              </w:rPr>
              <w:t xml:space="preserve"> </w:t>
            </w:r>
            <w:r>
              <w:rPr>
                <w:i/>
                <w:iCs/>
              </w:rPr>
              <w:t>/</w:t>
            </w:r>
            <w:r w:rsidR="00F95CEE">
              <w:rPr>
                <w:i/>
                <w:iCs/>
              </w:rPr>
              <w:t xml:space="preserve"> </w:t>
            </w:r>
            <w:r>
              <w:rPr>
                <w:i/>
                <w:iCs/>
              </w:rPr>
              <w:t>shortness of breath</w:t>
            </w:r>
            <w:r w:rsidR="00F95CEE">
              <w:rPr>
                <w:i/>
                <w:iCs/>
              </w:rPr>
              <w:t xml:space="preserve"> </w:t>
            </w:r>
            <w:r w:rsidR="00E41EBD">
              <w:rPr>
                <w:i/>
                <w:iCs/>
              </w:rPr>
              <w:t>/</w:t>
            </w:r>
            <w:r w:rsidR="00F95CEE">
              <w:rPr>
                <w:i/>
                <w:iCs/>
              </w:rPr>
              <w:t xml:space="preserve"> </w:t>
            </w:r>
            <w:r w:rsidR="00E41EBD">
              <w:rPr>
                <w:i/>
                <w:iCs/>
              </w:rPr>
              <w:t>dyspne</w:t>
            </w:r>
            <w:r w:rsidR="009F6F89">
              <w:rPr>
                <w:i/>
                <w:iCs/>
              </w:rPr>
              <w:t>a</w:t>
            </w:r>
            <w:r>
              <w:rPr>
                <w:i/>
                <w:iCs/>
              </w:rPr>
              <w:t xml:space="preserve"> (6699-6600)</w:t>
            </w:r>
            <w:r w:rsidR="00C83E11">
              <w:rPr>
                <w:i/>
                <w:iCs/>
              </w:rPr>
              <w:t xml:space="preserve">, </w:t>
            </w:r>
            <w:r w:rsidR="00C83E11" w:rsidRPr="00C83E11">
              <w:rPr>
                <w:i/>
                <w:iCs/>
                <w:highlight w:val="cyan"/>
              </w:rPr>
              <w:t xml:space="preserve">symptom only, choose </w:t>
            </w:r>
            <w:r w:rsidR="00C83E11" w:rsidRPr="00C83E11">
              <w:rPr>
                <w:i/>
                <w:color w:val="FF0000"/>
                <w:szCs w:val="22"/>
                <w:highlight w:val="cyan"/>
              </w:rPr>
              <w:t>No Actual Disability</w:t>
            </w:r>
            <w:r w:rsidR="00C83E11" w:rsidRPr="00C83E11">
              <w:rPr>
                <w:i/>
                <w:iCs/>
                <w:highlight w:val="cyan"/>
              </w:rPr>
              <w:t xml:space="preserve"> &amp; see above</w:t>
            </w:r>
          </w:p>
          <w:p w:rsidR="00CD6F81" w:rsidRPr="00C83E11" w:rsidRDefault="00CD6F81" w:rsidP="00F063AF">
            <w:pPr>
              <w:widowControl w:val="0"/>
              <w:numPr>
                <w:ilvl w:val="0"/>
                <w:numId w:val="115"/>
              </w:numPr>
              <w:tabs>
                <w:tab w:val="clear" w:pos="720"/>
                <w:tab w:val="num" w:pos="495"/>
              </w:tabs>
              <w:spacing w:after="120"/>
              <w:ind w:left="495"/>
              <w:rPr>
                <w:i/>
                <w:iCs/>
              </w:rPr>
            </w:pPr>
            <w:r>
              <w:rPr>
                <w:i/>
                <w:iCs/>
              </w:rPr>
              <w:t xml:space="preserve">dehydration </w:t>
            </w:r>
            <w:r w:rsidR="00C83E11">
              <w:rPr>
                <w:rStyle w:val="Emphasis"/>
              </w:rPr>
              <w:t xml:space="preserve">(7099-7000), </w:t>
            </w:r>
            <w:r w:rsidR="00C83E11" w:rsidRPr="00C83E11">
              <w:rPr>
                <w:i/>
                <w:iCs/>
                <w:highlight w:val="cyan"/>
              </w:rPr>
              <w:t xml:space="preserve">choose </w:t>
            </w:r>
            <w:r w:rsidR="00C83E11" w:rsidRPr="00C83E11">
              <w:rPr>
                <w:i/>
                <w:color w:val="FF0000"/>
                <w:szCs w:val="22"/>
                <w:highlight w:val="cyan"/>
              </w:rPr>
              <w:t>No Actual Disability</w:t>
            </w:r>
            <w:r w:rsidR="00C83E11" w:rsidRPr="00C83E11">
              <w:rPr>
                <w:i/>
                <w:iCs/>
                <w:highlight w:val="cyan"/>
              </w:rPr>
              <w:t xml:space="preserve"> &amp; see above</w:t>
            </w:r>
            <w:r w:rsidR="00C83E11" w:rsidRPr="00C83E11">
              <w:rPr>
                <w:bCs/>
              </w:rPr>
              <w:t>,</w:t>
            </w:r>
            <w:r w:rsidR="00B87EE0">
              <w:rPr>
                <w:bCs/>
              </w:rPr>
              <w:t xml:space="preserve"> plus</w:t>
            </w:r>
            <w:r w:rsidR="00C83E11" w:rsidRPr="00C83E11">
              <w:rPr>
                <w:bCs/>
              </w:rPr>
              <w:t xml:space="preserve"> </w:t>
            </w:r>
            <w:r w:rsidR="00C83E11" w:rsidRPr="00C83E11">
              <w:rPr>
                <w:rFonts w:ascii="Verdana" w:hAnsi="Verdana"/>
                <w:b/>
                <w:bCs/>
                <w:highlight w:val="green"/>
              </w:rPr>
              <w:t>AT</w:t>
            </w:r>
          </w:p>
          <w:p w:rsidR="00013EB8" w:rsidRDefault="00013EB8" w:rsidP="00F063AF">
            <w:pPr>
              <w:widowControl w:val="0"/>
              <w:numPr>
                <w:ilvl w:val="0"/>
                <w:numId w:val="115"/>
              </w:numPr>
              <w:tabs>
                <w:tab w:val="clear" w:pos="720"/>
                <w:tab w:val="num" w:pos="515"/>
              </w:tabs>
              <w:spacing w:after="120"/>
              <w:ind w:left="515"/>
              <w:rPr>
                <w:i/>
                <w:iCs/>
              </w:rPr>
            </w:pPr>
            <w:r>
              <w:rPr>
                <w:i/>
                <w:iCs/>
              </w:rPr>
              <w:t>dyslipidemia</w:t>
            </w:r>
            <w:r w:rsidR="00F95CEE">
              <w:rPr>
                <w:i/>
                <w:iCs/>
              </w:rPr>
              <w:t xml:space="preserve"> </w:t>
            </w:r>
            <w:r>
              <w:rPr>
                <w:i/>
                <w:iCs/>
              </w:rPr>
              <w:t>/</w:t>
            </w:r>
            <w:r w:rsidR="00F95CEE">
              <w:rPr>
                <w:i/>
                <w:iCs/>
              </w:rPr>
              <w:t xml:space="preserve"> </w:t>
            </w:r>
            <w:r>
              <w:rPr>
                <w:i/>
                <w:iCs/>
              </w:rPr>
              <w:t>hyperlipidemia</w:t>
            </w:r>
            <w:r w:rsidR="00F95CEE">
              <w:rPr>
                <w:i/>
                <w:iCs/>
              </w:rPr>
              <w:t xml:space="preserve"> </w:t>
            </w:r>
            <w:r>
              <w:rPr>
                <w:i/>
                <w:iCs/>
              </w:rPr>
              <w:t>/</w:t>
            </w:r>
            <w:r w:rsidR="00F95CEE">
              <w:rPr>
                <w:i/>
                <w:iCs/>
              </w:rPr>
              <w:t xml:space="preserve"> </w:t>
            </w:r>
            <w:r>
              <w:rPr>
                <w:i/>
                <w:iCs/>
              </w:rPr>
              <w:t>hypercholesterolemia</w:t>
            </w:r>
            <w:r w:rsidR="00F95CEE">
              <w:rPr>
                <w:i/>
                <w:iCs/>
              </w:rPr>
              <w:t xml:space="preserve"> </w:t>
            </w:r>
            <w:r>
              <w:rPr>
                <w:i/>
                <w:iCs/>
              </w:rPr>
              <w:t>/</w:t>
            </w:r>
            <w:r w:rsidR="00F95CEE">
              <w:rPr>
                <w:i/>
                <w:iCs/>
              </w:rPr>
              <w:t xml:space="preserve"> </w:t>
            </w:r>
            <w:r>
              <w:rPr>
                <w:i/>
                <w:iCs/>
              </w:rPr>
              <w:t>high cholesterol</w:t>
            </w:r>
            <w:r w:rsidR="00F95CEE">
              <w:rPr>
                <w:i/>
                <w:iCs/>
              </w:rPr>
              <w:t xml:space="preserve"> </w:t>
            </w:r>
            <w:r>
              <w:rPr>
                <w:i/>
                <w:iCs/>
              </w:rPr>
              <w:t>/</w:t>
            </w:r>
            <w:r w:rsidR="00F95CEE">
              <w:rPr>
                <w:i/>
                <w:iCs/>
              </w:rPr>
              <w:t xml:space="preserve"> </w:t>
            </w:r>
            <w:r>
              <w:rPr>
                <w:i/>
                <w:iCs/>
              </w:rPr>
              <w:t xml:space="preserve"> </w:t>
            </w:r>
            <w:r w:rsidR="00661FC0">
              <w:rPr>
                <w:i/>
                <w:iCs/>
              </w:rPr>
              <w:t xml:space="preserve">elevated cholesterol / </w:t>
            </w:r>
            <w:r>
              <w:rPr>
                <w:i/>
                <w:iCs/>
              </w:rPr>
              <w:t>hypertriglyceridemia</w:t>
            </w:r>
            <w:r w:rsidR="00F95CEE">
              <w:rPr>
                <w:i/>
                <w:iCs/>
              </w:rPr>
              <w:t xml:space="preserve"> </w:t>
            </w:r>
            <w:r>
              <w:rPr>
                <w:i/>
                <w:iCs/>
              </w:rPr>
              <w:t>/</w:t>
            </w:r>
            <w:r w:rsidR="00F95CEE">
              <w:rPr>
                <w:i/>
                <w:iCs/>
              </w:rPr>
              <w:t xml:space="preserve"> </w:t>
            </w:r>
            <w:r w:rsidR="00661FC0">
              <w:rPr>
                <w:i/>
                <w:iCs/>
              </w:rPr>
              <w:t xml:space="preserve">elevated triglycerides / </w:t>
            </w:r>
            <w:r>
              <w:rPr>
                <w:i/>
                <w:iCs/>
              </w:rPr>
              <w:t>hyperlipoproteinemia</w:t>
            </w:r>
            <w:r w:rsidR="00661FC0">
              <w:rPr>
                <w:i/>
                <w:iCs/>
              </w:rPr>
              <w:t xml:space="preserve"> </w:t>
            </w:r>
            <w:r w:rsidRPr="008630FD">
              <w:rPr>
                <w:iCs/>
              </w:rPr>
              <w:t>[lab finding</w:t>
            </w:r>
            <w:r w:rsidR="00661FC0">
              <w:rPr>
                <w:iCs/>
              </w:rPr>
              <w:t xml:space="preserve">, </w:t>
            </w:r>
            <w:r w:rsidR="00661FC0" w:rsidRPr="00014883">
              <w:rPr>
                <w:iCs/>
              </w:rPr>
              <w:t>per</w:t>
            </w:r>
            <w:r w:rsidR="00014883">
              <w:rPr>
                <w:iCs/>
              </w:rPr>
              <w:t xml:space="preserve"> </w:t>
            </w:r>
            <w:r w:rsidR="00014883" w:rsidRPr="001A5E87">
              <w:rPr>
                <w:b/>
              </w:rPr>
              <w:t>IV.ii.2.A.2</w:t>
            </w:r>
            <w:r w:rsidR="002A1AF7">
              <w:rPr>
                <w:b/>
              </w:rPr>
              <w:t>.h</w:t>
            </w:r>
            <w:r w:rsidRPr="008630FD">
              <w:rPr>
                <w:iCs/>
              </w:rPr>
              <w:t>]</w:t>
            </w:r>
            <w:r>
              <w:rPr>
                <w:i/>
                <w:iCs/>
              </w:rPr>
              <w:t xml:space="preserve"> (7099-7000)</w:t>
            </w:r>
            <w:r w:rsidR="00B87EE0">
              <w:rPr>
                <w:i/>
                <w:iCs/>
              </w:rPr>
              <w:t xml:space="preserve">, </w:t>
            </w:r>
            <w:r w:rsidR="00C554D1">
              <w:rPr>
                <w:i/>
                <w:iCs/>
              </w:rPr>
              <w:t xml:space="preserve"> </w:t>
            </w:r>
            <w:r w:rsidR="00B87EE0" w:rsidRPr="00C83E11">
              <w:rPr>
                <w:i/>
                <w:iCs/>
                <w:highlight w:val="cyan"/>
              </w:rPr>
              <w:t xml:space="preserve">choose </w:t>
            </w:r>
            <w:r w:rsidR="00B87EE0" w:rsidRPr="00C83E11">
              <w:rPr>
                <w:i/>
                <w:color w:val="FF0000"/>
                <w:szCs w:val="22"/>
                <w:highlight w:val="cyan"/>
              </w:rPr>
              <w:t>No Actual Disability</w:t>
            </w:r>
            <w:r w:rsidR="00B36405">
              <w:rPr>
                <w:i/>
                <w:iCs/>
              </w:rPr>
              <w:t>, plus:</w:t>
            </w:r>
            <w:r w:rsidR="00C554D1">
              <w:rPr>
                <w:i/>
                <w:iCs/>
              </w:rPr>
              <w:t xml:space="preserve"> </w:t>
            </w:r>
            <w:r>
              <w:rPr>
                <w:i/>
                <w:iCs/>
              </w:rPr>
              <w:t xml:space="preserve"> </w:t>
            </w:r>
            <w:r>
              <w:rPr>
                <w:rFonts w:ascii="Verdana" w:hAnsi="Verdana"/>
                <w:b/>
                <w:bCs/>
                <w:highlight w:val="green"/>
              </w:rPr>
              <w:t>HL1</w:t>
            </w:r>
            <w:r w:rsidR="00F67DDA" w:rsidRPr="00472785">
              <w:rPr>
                <w:bCs/>
              </w:rPr>
              <w:t xml:space="preserve"> </w:t>
            </w:r>
            <w:r w:rsidR="00C554D1">
              <w:rPr>
                <w:bCs/>
              </w:rPr>
              <w:t>or</w:t>
            </w:r>
            <w:r w:rsidR="00472785">
              <w:rPr>
                <w:rFonts w:ascii="Verdana" w:hAnsi="Verdana"/>
                <w:b/>
                <w:bCs/>
              </w:rPr>
              <w:t xml:space="preserve"> </w:t>
            </w:r>
            <w:r>
              <w:rPr>
                <w:rFonts w:ascii="Verdana" w:hAnsi="Verdana"/>
                <w:b/>
                <w:bCs/>
                <w:highlight w:val="green"/>
              </w:rPr>
              <w:t>CH</w:t>
            </w:r>
            <w:r w:rsidR="00F67DDA">
              <w:rPr>
                <w:rFonts w:ascii="Verdana" w:hAnsi="Verdana"/>
                <w:b/>
                <w:bCs/>
                <w:highlight w:val="green"/>
              </w:rPr>
              <w:t>1</w:t>
            </w:r>
          </w:p>
          <w:p w:rsidR="00B87EE0" w:rsidRDefault="00B87EE0" w:rsidP="00F063AF">
            <w:pPr>
              <w:widowControl w:val="0"/>
              <w:numPr>
                <w:ilvl w:val="0"/>
                <w:numId w:val="115"/>
              </w:numPr>
              <w:tabs>
                <w:tab w:val="clear" w:pos="720"/>
                <w:tab w:val="num" w:pos="495"/>
              </w:tabs>
              <w:spacing w:after="120"/>
              <w:ind w:left="495"/>
              <w:rPr>
                <w:i/>
                <w:iCs/>
              </w:rPr>
            </w:pPr>
            <w:r>
              <w:rPr>
                <w:i/>
                <w:iCs/>
              </w:rPr>
              <w:t xml:space="preserve">dyspepsia (7399-7346), </w:t>
            </w:r>
            <w:r w:rsidRPr="00C83E11">
              <w:rPr>
                <w:i/>
                <w:iCs/>
                <w:highlight w:val="cyan"/>
              </w:rPr>
              <w:t xml:space="preserve">symptom only, choose </w:t>
            </w:r>
            <w:r w:rsidRPr="00C83E11">
              <w:rPr>
                <w:i/>
                <w:color w:val="FF0000"/>
                <w:szCs w:val="22"/>
                <w:highlight w:val="cyan"/>
              </w:rPr>
              <w:t>No Actual Disability</w:t>
            </w:r>
            <w:r w:rsidRPr="00C83E11">
              <w:rPr>
                <w:i/>
                <w:iCs/>
                <w:highlight w:val="cyan"/>
              </w:rPr>
              <w:t xml:space="preserve"> &amp; see above</w:t>
            </w:r>
          </w:p>
          <w:p w:rsidR="008D2640" w:rsidRPr="00B87EE0" w:rsidRDefault="008D2640" w:rsidP="00F063AF">
            <w:pPr>
              <w:widowControl w:val="0"/>
              <w:numPr>
                <w:ilvl w:val="0"/>
                <w:numId w:val="115"/>
              </w:numPr>
              <w:tabs>
                <w:tab w:val="clear" w:pos="720"/>
                <w:tab w:val="num" w:pos="495"/>
              </w:tabs>
              <w:spacing w:after="120"/>
              <w:ind w:left="495"/>
              <w:rPr>
                <w:i/>
                <w:iCs/>
              </w:rPr>
            </w:pPr>
            <w:r w:rsidRPr="00B87EE0">
              <w:rPr>
                <w:i/>
                <w:iCs/>
              </w:rPr>
              <w:t>di</w:t>
            </w:r>
            <w:r w:rsidR="00B87EE0" w:rsidRPr="00B87EE0">
              <w:rPr>
                <w:i/>
                <w:iCs/>
              </w:rPr>
              <w:t xml:space="preserve">arrhea (7399-7319), </w:t>
            </w:r>
            <w:r w:rsidR="00B87EE0" w:rsidRPr="00B87EE0">
              <w:rPr>
                <w:i/>
                <w:iCs/>
                <w:highlight w:val="cyan"/>
              </w:rPr>
              <w:t xml:space="preserve">symptom only, choose </w:t>
            </w:r>
            <w:r w:rsidR="00B87EE0" w:rsidRPr="00B87EE0">
              <w:rPr>
                <w:i/>
                <w:color w:val="FF0000"/>
                <w:szCs w:val="22"/>
                <w:highlight w:val="cyan"/>
              </w:rPr>
              <w:t>No Actual Disability</w:t>
            </w:r>
            <w:r w:rsidR="00B87EE0" w:rsidRPr="00B87EE0">
              <w:rPr>
                <w:i/>
                <w:iCs/>
                <w:highlight w:val="cyan"/>
              </w:rPr>
              <w:t xml:space="preserve"> &amp; see above</w:t>
            </w:r>
            <w:r w:rsidR="00B87EE0" w:rsidRPr="00B87EE0">
              <w:rPr>
                <w:i/>
                <w:iCs/>
              </w:rPr>
              <w:t xml:space="preserve">, </w:t>
            </w:r>
            <w:hyperlink r:id="rId274" w:history="1">
              <w:r w:rsidRPr="00B87EE0">
                <w:rPr>
                  <w:rStyle w:val="Hyperlink"/>
                  <w:rFonts w:asciiTheme="minorHAnsi" w:hAnsiTheme="minorHAnsi"/>
                  <w:b/>
                  <w:i/>
                  <w:sz w:val="24"/>
                  <w:szCs w:val="24"/>
                </w:rPr>
                <w:t>7/11/14 DBQ Call</w:t>
              </w:r>
            </w:hyperlink>
            <w:r w:rsidRPr="00B87EE0">
              <w:rPr>
                <w:rFonts w:asciiTheme="minorHAnsi" w:hAnsiTheme="minorHAnsi"/>
                <w:b/>
                <w:sz w:val="24"/>
                <w:szCs w:val="24"/>
              </w:rPr>
              <w:t xml:space="preserve"> – </w:t>
            </w:r>
            <w:r w:rsidRPr="00B87EE0">
              <w:rPr>
                <w:rFonts w:asciiTheme="minorHAnsi" w:hAnsiTheme="minorHAnsi"/>
                <w:sz w:val="24"/>
                <w:szCs w:val="24"/>
              </w:rPr>
              <w:t>Chronic diarrhea and chronic constipation are only listed as diagnoses so that the examiner can enter a diagnosis and complete the DBQ, otherwise if there is no diagnosis most of the DBQ is disabled and can’t be answered.</w:t>
            </w:r>
          </w:p>
          <w:p w:rsidR="00013EB8" w:rsidRDefault="00013EB8" w:rsidP="00F063AF">
            <w:pPr>
              <w:widowControl w:val="0"/>
              <w:numPr>
                <w:ilvl w:val="0"/>
                <w:numId w:val="115"/>
              </w:numPr>
              <w:tabs>
                <w:tab w:val="clear" w:pos="720"/>
                <w:tab w:val="num" w:pos="495"/>
              </w:tabs>
              <w:spacing w:after="120"/>
              <w:ind w:left="495"/>
              <w:rPr>
                <w:i/>
                <w:iCs/>
              </w:rPr>
            </w:pPr>
            <w:r>
              <w:rPr>
                <w:rStyle w:val="Emphasis"/>
              </w:rPr>
              <w:t>elective tattoo removal (7899-7805)</w:t>
            </w:r>
            <w:r w:rsidR="008A0160">
              <w:rPr>
                <w:rStyle w:val="Emphasis"/>
              </w:rPr>
              <w:t xml:space="preserve">, </w:t>
            </w:r>
            <w:r w:rsidR="008A0160" w:rsidRPr="000A0871">
              <w:rPr>
                <w:b/>
                <w:highlight w:val="green"/>
              </w:rPr>
              <w:t>Elective procedure</w:t>
            </w:r>
            <w:r w:rsidR="00B36405">
              <w:t xml:space="preserve">, </w:t>
            </w:r>
            <w:r w:rsidR="00B36405" w:rsidRPr="00B36405">
              <w:rPr>
                <w:i/>
              </w:rPr>
              <w:t>p</w:t>
            </w:r>
            <w:r w:rsidR="008A0160" w:rsidRPr="00B36405">
              <w:rPr>
                <w:i/>
              </w:rPr>
              <w:t>lus:</w:t>
            </w:r>
            <w:r w:rsidR="008A0160">
              <w:rPr>
                <w:i/>
                <w:sz w:val="16"/>
                <w:szCs w:val="16"/>
              </w:rPr>
              <w:t xml:space="preserve">  </w:t>
            </w:r>
            <w:r w:rsidR="008A0160" w:rsidRPr="004F685F">
              <w:t xml:space="preserve">We can only establish service connection for an elective </w:t>
            </w:r>
            <w:r w:rsidR="008A0160">
              <w:t>procedure</w:t>
            </w:r>
            <w:r w:rsidR="008A0160" w:rsidRPr="004F685F">
              <w:t xml:space="preserve"> if there were unexpected, disabling residuals.</w:t>
            </w:r>
          </w:p>
          <w:p w:rsidR="00013EB8" w:rsidRDefault="00013EB8" w:rsidP="00F063AF">
            <w:pPr>
              <w:widowControl w:val="0"/>
              <w:numPr>
                <w:ilvl w:val="0"/>
                <w:numId w:val="115"/>
              </w:numPr>
              <w:tabs>
                <w:tab w:val="clear" w:pos="720"/>
                <w:tab w:val="num" w:pos="495"/>
              </w:tabs>
              <w:spacing w:after="120"/>
              <w:ind w:left="495"/>
              <w:rPr>
                <w:i/>
                <w:iCs/>
              </w:rPr>
            </w:pPr>
            <w:r>
              <w:rPr>
                <w:rStyle w:val="Emphasis"/>
              </w:rPr>
              <w:t>elective tubal ligation (7699-7614</w:t>
            </w:r>
            <w:r w:rsidR="008A0160">
              <w:rPr>
                <w:rStyle w:val="Emphasis"/>
              </w:rPr>
              <w:t xml:space="preserve">), </w:t>
            </w:r>
            <w:r w:rsidR="008A0160" w:rsidRPr="000A0871">
              <w:rPr>
                <w:b/>
                <w:highlight w:val="green"/>
              </w:rPr>
              <w:t>Elective procedure</w:t>
            </w:r>
            <w:r w:rsidR="00B36405">
              <w:t xml:space="preserve">, </w:t>
            </w:r>
            <w:r w:rsidR="00B36405" w:rsidRPr="00B36405">
              <w:rPr>
                <w:i/>
              </w:rPr>
              <w:t>p</w:t>
            </w:r>
            <w:r w:rsidR="008A0160" w:rsidRPr="00B36405">
              <w:rPr>
                <w:i/>
              </w:rPr>
              <w:t>lus:</w:t>
            </w:r>
            <w:r w:rsidR="008A0160">
              <w:rPr>
                <w:i/>
                <w:sz w:val="16"/>
                <w:szCs w:val="16"/>
              </w:rPr>
              <w:t xml:space="preserve">  </w:t>
            </w:r>
            <w:r w:rsidR="008A0160" w:rsidRPr="004F685F">
              <w:t xml:space="preserve">We can only establish service connection for an elective </w:t>
            </w:r>
            <w:r w:rsidR="008A0160">
              <w:t>procedure</w:t>
            </w:r>
            <w:r w:rsidR="008A0160" w:rsidRPr="004F685F">
              <w:t xml:space="preserve"> if there were unexpected, disabling residuals.</w:t>
            </w:r>
          </w:p>
          <w:p w:rsidR="00B87EE0" w:rsidRDefault="00773462" w:rsidP="00F063AF">
            <w:pPr>
              <w:widowControl w:val="0"/>
              <w:numPr>
                <w:ilvl w:val="0"/>
                <w:numId w:val="115"/>
              </w:numPr>
              <w:tabs>
                <w:tab w:val="clear" w:pos="720"/>
                <w:tab w:val="num" w:pos="495"/>
              </w:tabs>
              <w:spacing w:after="120"/>
              <w:ind w:left="495"/>
              <w:rPr>
                <w:i/>
                <w:iCs/>
              </w:rPr>
            </w:pPr>
            <w:r>
              <w:rPr>
                <w:i/>
                <w:iCs/>
              </w:rPr>
              <w:t>epitaxis / nose bleeds (6599-6522)</w:t>
            </w:r>
            <w:r w:rsidR="00B87EE0">
              <w:rPr>
                <w:i/>
                <w:iCs/>
              </w:rPr>
              <w:t xml:space="preserve">, </w:t>
            </w:r>
            <w:r w:rsidR="00B87EE0">
              <w:rPr>
                <w:i/>
                <w:iCs/>
                <w:highlight w:val="cyan"/>
              </w:rPr>
              <w:t>ch</w:t>
            </w:r>
            <w:r w:rsidR="00B87EE0" w:rsidRPr="00C83E11">
              <w:rPr>
                <w:i/>
                <w:iCs/>
                <w:highlight w:val="cyan"/>
              </w:rPr>
              <w:t xml:space="preserve">oose </w:t>
            </w:r>
            <w:r w:rsidR="00B87EE0" w:rsidRPr="00C83E11">
              <w:rPr>
                <w:i/>
                <w:color w:val="FF0000"/>
                <w:szCs w:val="22"/>
                <w:highlight w:val="cyan"/>
              </w:rPr>
              <w:t>No Actual Disability</w:t>
            </w:r>
            <w:r w:rsidR="00B87EE0" w:rsidRPr="00C83E11">
              <w:rPr>
                <w:i/>
                <w:iCs/>
                <w:highlight w:val="cyan"/>
              </w:rPr>
              <w:t xml:space="preserve"> &amp; see above</w:t>
            </w:r>
          </w:p>
          <w:p w:rsidR="00B87EE0" w:rsidRDefault="001F741A" w:rsidP="00F063AF">
            <w:pPr>
              <w:widowControl w:val="0"/>
              <w:numPr>
                <w:ilvl w:val="0"/>
                <w:numId w:val="115"/>
              </w:numPr>
              <w:tabs>
                <w:tab w:val="clear" w:pos="720"/>
                <w:tab w:val="num" w:pos="495"/>
              </w:tabs>
              <w:spacing w:after="120"/>
              <w:ind w:left="495"/>
              <w:rPr>
                <w:i/>
                <w:iCs/>
              </w:rPr>
            </w:pPr>
            <w:r>
              <w:rPr>
                <w:i/>
                <w:iCs/>
              </w:rPr>
              <w:t xml:space="preserve">fatty liver / fatty liver disease </w:t>
            </w:r>
            <w:r w:rsidR="00F95CEE">
              <w:rPr>
                <w:iCs/>
              </w:rPr>
              <w:t xml:space="preserve">[lab finding </w:t>
            </w:r>
            <w:r w:rsidR="00F95CEE" w:rsidRPr="00F95CEE">
              <w:rPr>
                <w:iCs/>
              </w:rPr>
              <w:t>per</w:t>
            </w:r>
            <w:r w:rsidR="002505D9" w:rsidRPr="002505D9">
              <w:rPr>
                <w:b/>
              </w:rPr>
              <w:t xml:space="preserve"> III.iv.4.H.3.</w:t>
            </w:r>
            <w:r w:rsidR="002505D9">
              <w:rPr>
                <w:b/>
              </w:rPr>
              <w:t>e</w:t>
            </w:r>
            <w:r w:rsidR="00F95CEE">
              <w:rPr>
                <w:bCs/>
              </w:rPr>
              <w:t>]</w:t>
            </w:r>
            <w:r w:rsidR="00F95CEE">
              <w:rPr>
                <w:i/>
                <w:iCs/>
              </w:rPr>
              <w:t xml:space="preserve"> </w:t>
            </w:r>
            <w:r>
              <w:rPr>
                <w:i/>
                <w:iCs/>
              </w:rPr>
              <w:t>(7399-7345)</w:t>
            </w:r>
            <w:r w:rsidR="00B87EE0">
              <w:rPr>
                <w:i/>
                <w:iCs/>
              </w:rPr>
              <w:t xml:space="preserve">, </w:t>
            </w:r>
            <w:r w:rsidR="00B87EE0">
              <w:rPr>
                <w:i/>
                <w:iCs/>
                <w:highlight w:val="cyan"/>
              </w:rPr>
              <w:t>finding</w:t>
            </w:r>
            <w:r w:rsidR="00B87EE0" w:rsidRPr="00C83E11">
              <w:rPr>
                <w:i/>
                <w:iCs/>
                <w:highlight w:val="cyan"/>
              </w:rPr>
              <w:t xml:space="preserve"> only, choose </w:t>
            </w:r>
            <w:r w:rsidR="00B87EE0" w:rsidRPr="00C83E11">
              <w:rPr>
                <w:i/>
                <w:color w:val="FF0000"/>
                <w:szCs w:val="22"/>
                <w:highlight w:val="cyan"/>
              </w:rPr>
              <w:t>No Actual Disability</w:t>
            </w:r>
            <w:r w:rsidR="00B87EE0" w:rsidRPr="00C83E11">
              <w:rPr>
                <w:i/>
                <w:iCs/>
                <w:highlight w:val="cyan"/>
              </w:rPr>
              <w:t xml:space="preserve"> &amp; see above</w:t>
            </w:r>
          </w:p>
          <w:p w:rsidR="00013EB8" w:rsidRPr="00B87EE0" w:rsidRDefault="00013EB8" w:rsidP="00F063AF">
            <w:pPr>
              <w:widowControl w:val="0"/>
              <w:numPr>
                <w:ilvl w:val="0"/>
                <w:numId w:val="115"/>
              </w:numPr>
              <w:tabs>
                <w:tab w:val="clear" w:pos="720"/>
                <w:tab w:val="num" w:pos="495"/>
              </w:tabs>
              <w:spacing w:after="120"/>
              <w:ind w:left="495"/>
              <w:rPr>
                <w:i/>
                <w:iCs/>
              </w:rPr>
            </w:pPr>
            <w:r w:rsidRPr="00B87EE0">
              <w:rPr>
                <w:i/>
                <w:iCs/>
              </w:rPr>
              <w:t xml:space="preserve">fibrocystic breast disease </w:t>
            </w:r>
            <w:r>
              <w:t>[not a disability per</w:t>
            </w:r>
            <w:r w:rsidR="0053291F" w:rsidRPr="00B87EE0">
              <w:rPr>
                <w:b/>
              </w:rPr>
              <w:t xml:space="preserve"> III.iv.4.J.3.</w:t>
            </w:r>
            <w:r w:rsidR="00B4721C">
              <w:rPr>
                <w:b/>
              </w:rPr>
              <w:t>c</w:t>
            </w:r>
            <w:r w:rsidR="0053291F" w:rsidRPr="00B87EE0">
              <w:rPr>
                <w:b/>
              </w:rPr>
              <w:t xml:space="preserve"> </w:t>
            </w:r>
            <w:r w:rsidR="00C712AF" w:rsidRPr="00B87EE0">
              <w:rPr>
                <w:color w:val="000000"/>
              </w:rPr>
              <w:t xml:space="preserve">unless nexus to </w:t>
            </w:r>
            <w:r w:rsidR="00FA24C4" w:rsidRPr="00B87EE0">
              <w:rPr>
                <w:color w:val="000000"/>
              </w:rPr>
              <w:t xml:space="preserve">subsequent excision of persistent lumps/thickening or </w:t>
            </w:r>
            <w:r w:rsidR="003F26AB">
              <w:rPr>
                <w:color w:val="000000"/>
              </w:rPr>
              <w:t xml:space="preserve">associated atypical hyperplasia and the </w:t>
            </w:r>
            <w:r w:rsidR="00FA24C4" w:rsidRPr="003F26AB">
              <w:rPr>
                <w:color w:val="000000"/>
              </w:rPr>
              <w:t>development of breast cancer</w:t>
            </w:r>
            <w:r>
              <w:t>]</w:t>
            </w:r>
            <w:r w:rsidR="00B87EE0" w:rsidRPr="00B87EE0">
              <w:rPr>
                <w:i/>
                <w:iCs/>
              </w:rPr>
              <w:t xml:space="preserve"> (7699-7628), </w:t>
            </w:r>
            <w:r w:rsidR="00B87EE0" w:rsidRPr="00B87EE0">
              <w:rPr>
                <w:i/>
                <w:iCs/>
                <w:highlight w:val="cyan"/>
              </w:rPr>
              <w:t xml:space="preserve">choose </w:t>
            </w:r>
            <w:r w:rsidR="00B87EE0" w:rsidRPr="00B87EE0">
              <w:rPr>
                <w:i/>
                <w:color w:val="FF0000"/>
                <w:szCs w:val="22"/>
                <w:highlight w:val="cyan"/>
              </w:rPr>
              <w:t>No Actual Disability</w:t>
            </w:r>
            <w:r w:rsidR="00B36405">
              <w:rPr>
                <w:i/>
                <w:iCs/>
              </w:rPr>
              <w:t>, plus:</w:t>
            </w:r>
            <w:r w:rsidR="00B87EE0" w:rsidRPr="00B87EE0">
              <w:rPr>
                <w:i/>
                <w:iCs/>
              </w:rPr>
              <w:t xml:space="preserve">  </w:t>
            </w:r>
            <w:r w:rsidRPr="00B87EE0">
              <w:rPr>
                <w:rFonts w:ascii="Verdana" w:hAnsi="Verdana"/>
                <w:b/>
                <w:bCs/>
                <w:highlight w:val="green"/>
              </w:rPr>
              <w:t>FD</w:t>
            </w:r>
            <w:r w:rsidR="008630FD" w:rsidRPr="00B87EE0">
              <w:rPr>
                <w:rFonts w:ascii="Verdana" w:hAnsi="Verdana"/>
                <w:b/>
                <w:bCs/>
                <w:highlight w:val="green"/>
              </w:rPr>
              <w:t>1</w:t>
            </w:r>
          </w:p>
          <w:p w:rsidR="00B87EE0" w:rsidRDefault="00013EB8" w:rsidP="00F063AF">
            <w:pPr>
              <w:widowControl w:val="0"/>
              <w:numPr>
                <w:ilvl w:val="0"/>
                <w:numId w:val="115"/>
              </w:numPr>
              <w:tabs>
                <w:tab w:val="clear" w:pos="720"/>
                <w:tab w:val="num" w:pos="495"/>
              </w:tabs>
              <w:spacing w:after="120"/>
              <w:ind w:left="495"/>
              <w:rPr>
                <w:i/>
                <w:iCs/>
              </w:rPr>
            </w:pPr>
            <w:r>
              <w:rPr>
                <w:i/>
                <w:iCs/>
              </w:rPr>
              <w:t>floaters in eyes (6099-6066)</w:t>
            </w:r>
            <w:r w:rsidR="00B87EE0">
              <w:rPr>
                <w:i/>
                <w:iCs/>
              </w:rPr>
              <w:t xml:space="preserve">, </w:t>
            </w:r>
            <w:r w:rsidR="00B87EE0">
              <w:rPr>
                <w:i/>
                <w:iCs/>
                <w:highlight w:val="cyan"/>
              </w:rPr>
              <w:t>choose</w:t>
            </w:r>
            <w:r w:rsidR="00B87EE0" w:rsidRPr="00C83E11">
              <w:rPr>
                <w:i/>
                <w:iCs/>
                <w:highlight w:val="cyan"/>
              </w:rPr>
              <w:t xml:space="preserve"> </w:t>
            </w:r>
            <w:r w:rsidR="00B87EE0" w:rsidRPr="00C83E11">
              <w:rPr>
                <w:i/>
                <w:color w:val="FF0000"/>
                <w:szCs w:val="22"/>
                <w:highlight w:val="cyan"/>
              </w:rPr>
              <w:t>No Actual Disability</w:t>
            </w:r>
            <w:r w:rsidR="00B87EE0" w:rsidRPr="00C83E11">
              <w:rPr>
                <w:i/>
                <w:iCs/>
                <w:highlight w:val="cyan"/>
              </w:rPr>
              <w:t xml:space="preserve"> &amp; see above</w:t>
            </w:r>
          </w:p>
          <w:p w:rsidR="00B87EE0" w:rsidRDefault="00013EB8" w:rsidP="00F063AF">
            <w:pPr>
              <w:widowControl w:val="0"/>
              <w:numPr>
                <w:ilvl w:val="0"/>
                <w:numId w:val="115"/>
              </w:numPr>
              <w:tabs>
                <w:tab w:val="clear" w:pos="720"/>
                <w:tab w:val="num" w:pos="495"/>
              </w:tabs>
              <w:spacing w:after="120"/>
              <w:ind w:left="495"/>
              <w:rPr>
                <w:i/>
                <w:iCs/>
              </w:rPr>
            </w:pPr>
            <w:r>
              <w:rPr>
                <w:rStyle w:val="Emphasis"/>
              </w:rPr>
              <w:t>G6PD deficiency, asymptomatic (7799-7700)</w:t>
            </w:r>
            <w:r w:rsidR="00B87EE0">
              <w:rPr>
                <w:i/>
                <w:iCs/>
              </w:rPr>
              <w:t xml:space="preserve">, </w:t>
            </w:r>
            <w:r w:rsidR="00B87EE0">
              <w:rPr>
                <w:i/>
                <w:iCs/>
                <w:highlight w:val="cyan"/>
              </w:rPr>
              <w:t>finding</w:t>
            </w:r>
            <w:r w:rsidR="00B87EE0" w:rsidRPr="00C83E11">
              <w:rPr>
                <w:i/>
                <w:iCs/>
                <w:highlight w:val="cyan"/>
              </w:rPr>
              <w:t xml:space="preserve"> only, choose </w:t>
            </w:r>
            <w:r w:rsidR="00B87EE0" w:rsidRPr="00C83E11">
              <w:rPr>
                <w:i/>
                <w:color w:val="FF0000"/>
                <w:szCs w:val="22"/>
                <w:highlight w:val="cyan"/>
              </w:rPr>
              <w:t>No Actual Disability</w:t>
            </w:r>
            <w:r w:rsidR="00B87EE0" w:rsidRPr="00C83E11">
              <w:rPr>
                <w:i/>
                <w:iCs/>
                <w:highlight w:val="cyan"/>
              </w:rPr>
              <w:t xml:space="preserve"> &amp; see above</w:t>
            </w:r>
          </w:p>
          <w:p w:rsidR="00013EB8" w:rsidRDefault="00F95CEE" w:rsidP="00F063AF">
            <w:pPr>
              <w:widowControl w:val="0"/>
              <w:numPr>
                <w:ilvl w:val="0"/>
                <w:numId w:val="115"/>
              </w:numPr>
              <w:tabs>
                <w:tab w:val="clear" w:pos="720"/>
                <w:tab w:val="num" w:pos="495"/>
              </w:tabs>
              <w:spacing w:after="120"/>
              <w:ind w:left="490"/>
              <w:rPr>
                <w:i/>
                <w:iCs/>
              </w:rPr>
            </w:pPr>
            <w:r>
              <w:rPr>
                <w:i/>
                <w:iCs/>
              </w:rPr>
              <w:t>g</w:t>
            </w:r>
            <w:r w:rsidR="00013EB8">
              <w:rPr>
                <w:i/>
                <w:iCs/>
              </w:rPr>
              <w:t>astroenteritis</w:t>
            </w:r>
            <w:r>
              <w:rPr>
                <w:i/>
                <w:iCs/>
              </w:rPr>
              <w:t xml:space="preserve"> </w:t>
            </w:r>
            <w:r w:rsidR="00013EB8">
              <w:rPr>
                <w:i/>
                <w:iCs/>
              </w:rPr>
              <w:t>/</w:t>
            </w:r>
            <w:r>
              <w:rPr>
                <w:i/>
                <w:iCs/>
              </w:rPr>
              <w:t xml:space="preserve"> </w:t>
            </w:r>
            <w:r w:rsidR="00013EB8">
              <w:rPr>
                <w:i/>
                <w:iCs/>
              </w:rPr>
              <w:t>food poisoning</w:t>
            </w:r>
            <w:r>
              <w:rPr>
                <w:i/>
                <w:iCs/>
              </w:rPr>
              <w:t xml:space="preserve"> </w:t>
            </w:r>
            <w:r w:rsidR="00D2786E">
              <w:rPr>
                <w:i/>
                <w:iCs/>
              </w:rPr>
              <w:t>/</w:t>
            </w:r>
            <w:r>
              <w:rPr>
                <w:i/>
                <w:iCs/>
              </w:rPr>
              <w:t xml:space="preserve"> </w:t>
            </w:r>
            <w:r w:rsidR="00D2786E">
              <w:rPr>
                <w:i/>
                <w:iCs/>
              </w:rPr>
              <w:t>enterovirus</w:t>
            </w:r>
            <w:r w:rsidR="00013EB8">
              <w:t xml:space="preserve"> [usually acute]</w:t>
            </w:r>
            <w:r w:rsidR="00B87EE0">
              <w:rPr>
                <w:i/>
                <w:iCs/>
              </w:rPr>
              <w:t xml:space="preserve"> (7399-7307</w:t>
            </w:r>
            <w:r w:rsidR="00B87EE0">
              <w:rPr>
                <w:rStyle w:val="Emphasis"/>
              </w:rPr>
              <w:t>)</w:t>
            </w:r>
            <w:r w:rsidR="00B87EE0">
              <w:rPr>
                <w:bCs/>
              </w:rPr>
              <w:t xml:space="preserve">, </w:t>
            </w:r>
            <w:r w:rsidR="00B87EE0">
              <w:rPr>
                <w:rFonts w:ascii="Verdana" w:hAnsi="Verdana"/>
                <w:b/>
                <w:bCs/>
                <w:highlight w:val="green"/>
              </w:rPr>
              <w:t>AT</w:t>
            </w:r>
          </w:p>
          <w:p w:rsidR="009B0DE0" w:rsidRPr="009B0DE0" w:rsidRDefault="00013EB8" w:rsidP="00F063AF">
            <w:pPr>
              <w:widowControl w:val="0"/>
              <w:numPr>
                <w:ilvl w:val="0"/>
                <w:numId w:val="115"/>
              </w:numPr>
              <w:tabs>
                <w:tab w:val="clear" w:pos="720"/>
                <w:tab w:val="num" w:pos="495"/>
              </w:tabs>
              <w:spacing w:after="120"/>
              <w:ind w:left="518"/>
            </w:pPr>
            <w:r w:rsidRPr="00B87EE0">
              <w:rPr>
                <w:i/>
                <w:iCs/>
              </w:rPr>
              <w:t>glaucoma suspect</w:t>
            </w:r>
            <w:r w:rsidR="00F95CEE" w:rsidRPr="00B87EE0">
              <w:rPr>
                <w:i/>
                <w:iCs/>
              </w:rPr>
              <w:t xml:space="preserve"> </w:t>
            </w:r>
            <w:r w:rsidRPr="00B87EE0">
              <w:rPr>
                <w:i/>
                <w:iCs/>
              </w:rPr>
              <w:t>/</w:t>
            </w:r>
            <w:r w:rsidR="00F95CEE" w:rsidRPr="00B87EE0">
              <w:rPr>
                <w:i/>
                <w:iCs/>
              </w:rPr>
              <w:t xml:space="preserve"> </w:t>
            </w:r>
            <w:r w:rsidRPr="00B87EE0">
              <w:rPr>
                <w:i/>
                <w:iCs/>
              </w:rPr>
              <w:t>preglaucoma</w:t>
            </w:r>
            <w:r w:rsidR="00F95CEE" w:rsidRPr="00B87EE0">
              <w:rPr>
                <w:i/>
                <w:iCs/>
              </w:rPr>
              <w:t xml:space="preserve"> </w:t>
            </w:r>
            <w:r w:rsidR="00C655E3" w:rsidRPr="00B87EE0">
              <w:rPr>
                <w:i/>
                <w:iCs/>
              </w:rPr>
              <w:t>/</w:t>
            </w:r>
            <w:r w:rsidR="00F95CEE" w:rsidRPr="00B87EE0">
              <w:rPr>
                <w:i/>
                <w:iCs/>
              </w:rPr>
              <w:t xml:space="preserve"> </w:t>
            </w:r>
            <w:r w:rsidR="00C655E3" w:rsidRPr="00B87EE0">
              <w:rPr>
                <w:i/>
                <w:iCs/>
              </w:rPr>
              <w:t>pre-glaucoma</w:t>
            </w:r>
            <w:r w:rsidR="00F95CEE" w:rsidRPr="00B87EE0">
              <w:rPr>
                <w:i/>
                <w:iCs/>
              </w:rPr>
              <w:t xml:space="preserve"> </w:t>
            </w:r>
            <w:r w:rsidRPr="00B87EE0">
              <w:rPr>
                <w:i/>
                <w:iCs/>
              </w:rPr>
              <w:t>/</w:t>
            </w:r>
            <w:r w:rsidR="00F95CEE" w:rsidRPr="00B87EE0">
              <w:rPr>
                <w:i/>
                <w:iCs/>
              </w:rPr>
              <w:t xml:space="preserve"> </w:t>
            </w:r>
            <w:r w:rsidR="00B87EE0" w:rsidRPr="00B87EE0">
              <w:rPr>
                <w:i/>
                <w:iCs/>
              </w:rPr>
              <w:t xml:space="preserve">borderline glaucoma (6099-6013), </w:t>
            </w:r>
            <w:r w:rsidR="00B87EE0" w:rsidRPr="00B87EE0">
              <w:rPr>
                <w:i/>
                <w:iCs/>
                <w:highlight w:val="cyan"/>
              </w:rPr>
              <w:t xml:space="preserve">choose </w:t>
            </w:r>
            <w:r w:rsidR="00B87EE0" w:rsidRPr="00B87EE0">
              <w:rPr>
                <w:i/>
                <w:color w:val="FF0000"/>
                <w:szCs w:val="22"/>
                <w:highlight w:val="cyan"/>
              </w:rPr>
              <w:t>No Actual Disability</w:t>
            </w:r>
            <w:r w:rsidR="00B87EE0" w:rsidRPr="00B87EE0">
              <w:rPr>
                <w:i/>
                <w:iCs/>
                <w:highlight w:val="cyan"/>
              </w:rPr>
              <w:t xml:space="preserve"> &amp; see above</w:t>
            </w:r>
            <w:r w:rsidR="00B87EE0" w:rsidRPr="00B87EE0">
              <w:rPr>
                <w:i/>
                <w:iCs/>
              </w:rPr>
              <w:t xml:space="preserve">; </w:t>
            </w:r>
            <w:r w:rsidR="00B87EE0" w:rsidRPr="006D05D1">
              <w:rPr>
                <w:iCs/>
              </w:rPr>
              <w:t>OR</w:t>
            </w:r>
            <w:r w:rsidR="00B87EE0" w:rsidRPr="00B87EE0">
              <w:rPr>
                <w:i/>
                <w:iCs/>
              </w:rPr>
              <w:t xml:space="preserve"> if claims glaucoma, but only has ucoma suspect / preglaucoma / pre-glaucoma / borderline glaucoma, </w:t>
            </w:r>
            <w:r w:rsidR="009B0DE0" w:rsidRPr="00B87EE0">
              <w:rPr>
                <w:i/>
                <w:iCs/>
              </w:rPr>
              <w:t xml:space="preserve"> use </w:t>
            </w:r>
            <w:r w:rsidR="009B0DE0" w:rsidRPr="00B87EE0">
              <w:rPr>
                <w:i/>
                <w:color w:val="FF0000"/>
                <w:sz w:val="22"/>
                <w:szCs w:val="22"/>
              </w:rPr>
              <w:t>No Diagnosis</w:t>
            </w:r>
            <w:r w:rsidR="00B36405">
              <w:rPr>
                <w:i/>
                <w:iCs/>
              </w:rPr>
              <w:t>, plus:</w:t>
            </w:r>
            <w:r w:rsidR="00B87EE0" w:rsidRPr="00B87EE0">
              <w:rPr>
                <w:i/>
                <w:iCs/>
              </w:rPr>
              <w:t xml:space="preserve">  </w:t>
            </w:r>
            <w:r w:rsidR="009B0DE0" w:rsidRPr="009B0DE0">
              <w:t>The STRs only show borderline glaucoma/pre-glaucoma, which is not considered an actually disabling condition. The STRs do not show a diagnosis of glaucoma. The DBQ also does not show a diagnosis of glaucoma.</w:t>
            </w:r>
          </w:p>
          <w:p w:rsidR="00013EB8" w:rsidRDefault="00B87EE0" w:rsidP="00F063AF">
            <w:pPr>
              <w:widowControl w:val="0"/>
              <w:numPr>
                <w:ilvl w:val="0"/>
                <w:numId w:val="115"/>
              </w:numPr>
              <w:tabs>
                <w:tab w:val="clear" w:pos="720"/>
                <w:tab w:val="num" w:pos="495"/>
              </w:tabs>
              <w:spacing w:after="120"/>
              <w:ind w:left="495"/>
              <w:rPr>
                <w:rStyle w:val="Emphasis"/>
                <w:i w:val="0"/>
                <w:iCs w:val="0"/>
              </w:rPr>
            </w:pPr>
            <w:r>
              <w:rPr>
                <w:rStyle w:val="Emphasis"/>
              </w:rPr>
              <w:t>heat rash (7899-7806),</w:t>
            </w:r>
            <w:r>
              <w:rPr>
                <w:i/>
                <w:iCs/>
              </w:rPr>
              <w:t xml:space="preserve"> </w:t>
            </w:r>
            <w:r w:rsidRPr="00C83E11">
              <w:rPr>
                <w:i/>
                <w:iCs/>
                <w:highlight w:val="cyan"/>
              </w:rPr>
              <w:t xml:space="preserve">choose </w:t>
            </w:r>
            <w:r w:rsidRPr="00C83E11">
              <w:rPr>
                <w:i/>
                <w:color w:val="FF0000"/>
                <w:szCs w:val="22"/>
                <w:highlight w:val="cyan"/>
              </w:rPr>
              <w:t>No Actual Disability</w:t>
            </w:r>
            <w:r w:rsidRPr="00C83E11">
              <w:rPr>
                <w:i/>
                <w:iCs/>
                <w:highlight w:val="cyan"/>
              </w:rPr>
              <w:t xml:space="preserve"> &amp; see above</w:t>
            </w:r>
            <w:r>
              <w:rPr>
                <w:i/>
                <w:iCs/>
              </w:rPr>
              <w:t xml:space="preserve">, plus </w:t>
            </w:r>
            <w:r>
              <w:rPr>
                <w:rFonts w:ascii="Verdana" w:hAnsi="Verdana"/>
                <w:b/>
                <w:bCs/>
                <w:highlight w:val="green"/>
              </w:rPr>
              <w:t>AT</w:t>
            </w:r>
          </w:p>
          <w:p w:rsidR="00013EB8" w:rsidRDefault="00013EB8" w:rsidP="00F063AF">
            <w:pPr>
              <w:widowControl w:val="0"/>
              <w:numPr>
                <w:ilvl w:val="0"/>
                <w:numId w:val="115"/>
              </w:numPr>
              <w:tabs>
                <w:tab w:val="clear" w:pos="720"/>
                <w:tab w:val="num" w:pos="495"/>
              </w:tabs>
              <w:spacing w:after="120"/>
              <w:ind w:left="495"/>
            </w:pPr>
            <w:r>
              <w:rPr>
                <w:rStyle w:val="Emphasis"/>
              </w:rPr>
              <w:t>heat stroke</w:t>
            </w:r>
            <w:r w:rsidR="009230B9">
              <w:rPr>
                <w:rStyle w:val="Emphasis"/>
              </w:rPr>
              <w:t xml:space="preserve"> </w:t>
            </w:r>
            <w:r>
              <w:rPr>
                <w:rStyle w:val="Emphasis"/>
              </w:rPr>
              <w:t>/</w:t>
            </w:r>
            <w:r w:rsidR="009230B9">
              <w:rPr>
                <w:rStyle w:val="Emphasis"/>
              </w:rPr>
              <w:t xml:space="preserve"> heat exhaustion, </w:t>
            </w:r>
            <w:r>
              <w:rPr>
                <w:rStyle w:val="Emphasis"/>
              </w:rPr>
              <w:t>with no residuals (7099-7000)</w:t>
            </w:r>
            <w:r w:rsidR="00B87EE0">
              <w:rPr>
                <w:rStyle w:val="Emphasis"/>
              </w:rPr>
              <w:t xml:space="preserve"> ,</w:t>
            </w:r>
            <w:r w:rsidR="00B87EE0">
              <w:rPr>
                <w:i/>
                <w:iCs/>
              </w:rPr>
              <w:t xml:space="preserve"> </w:t>
            </w:r>
            <w:r w:rsidR="00B87EE0" w:rsidRPr="00C83E11">
              <w:rPr>
                <w:i/>
                <w:iCs/>
                <w:highlight w:val="cyan"/>
              </w:rPr>
              <w:t xml:space="preserve">choose </w:t>
            </w:r>
            <w:r w:rsidR="00B87EE0" w:rsidRPr="00C83E11">
              <w:rPr>
                <w:i/>
                <w:color w:val="FF0000"/>
                <w:szCs w:val="22"/>
                <w:highlight w:val="cyan"/>
              </w:rPr>
              <w:t>No Actual Disability</w:t>
            </w:r>
            <w:r w:rsidR="00B87EE0" w:rsidRPr="00C83E11">
              <w:rPr>
                <w:i/>
                <w:iCs/>
                <w:highlight w:val="cyan"/>
              </w:rPr>
              <w:t xml:space="preserve"> &amp; see above</w:t>
            </w:r>
            <w:r w:rsidR="00B87EE0">
              <w:rPr>
                <w:i/>
                <w:iCs/>
              </w:rPr>
              <w:t xml:space="preserve">, plus </w:t>
            </w:r>
            <w:r w:rsidR="00B87EE0">
              <w:rPr>
                <w:rFonts w:ascii="Verdana" w:hAnsi="Verdana"/>
                <w:b/>
                <w:bCs/>
                <w:highlight w:val="green"/>
              </w:rPr>
              <w:t>AT</w:t>
            </w:r>
          </w:p>
          <w:p w:rsidR="00B54885" w:rsidRDefault="00013EB8" w:rsidP="00F063AF">
            <w:pPr>
              <w:widowControl w:val="0"/>
              <w:numPr>
                <w:ilvl w:val="0"/>
                <w:numId w:val="115"/>
              </w:numPr>
              <w:tabs>
                <w:tab w:val="clear" w:pos="720"/>
                <w:tab w:val="num" w:pos="495"/>
              </w:tabs>
              <w:spacing w:after="120"/>
              <w:ind w:left="515"/>
            </w:pPr>
            <w:r w:rsidRPr="006D05D1">
              <w:rPr>
                <w:i/>
                <w:iCs/>
              </w:rPr>
              <w:t xml:space="preserve">hematuria </w:t>
            </w:r>
            <w:r>
              <w:t>[</w:t>
            </w:r>
            <w:r w:rsidR="00B54885">
              <w:t>symptom/</w:t>
            </w:r>
            <w:r>
              <w:t>lab finding]</w:t>
            </w:r>
            <w:r w:rsidRPr="006D05D1">
              <w:rPr>
                <w:i/>
                <w:iCs/>
              </w:rPr>
              <w:t xml:space="preserve"> (7599-7500)</w:t>
            </w:r>
            <w:r w:rsidR="00B87EE0">
              <w:rPr>
                <w:rStyle w:val="Emphasis"/>
              </w:rPr>
              <w:t>,</w:t>
            </w:r>
            <w:r w:rsidR="00B87EE0" w:rsidRPr="006D05D1">
              <w:rPr>
                <w:i/>
                <w:iCs/>
              </w:rPr>
              <w:t xml:space="preserve"> </w:t>
            </w:r>
            <w:r w:rsidR="00B87EE0" w:rsidRPr="006D05D1">
              <w:rPr>
                <w:i/>
                <w:iCs/>
                <w:highlight w:val="cyan"/>
              </w:rPr>
              <w:t xml:space="preserve">if symptom, choose </w:t>
            </w:r>
            <w:r w:rsidR="00B87EE0" w:rsidRPr="006D05D1">
              <w:rPr>
                <w:i/>
                <w:color w:val="FF0000"/>
                <w:szCs w:val="22"/>
                <w:highlight w:val="cyan"/>
              </w:rPr>
              <w:t>No Actual Disability</w:t>
            </w:r>
            <w:r w:rsidR="00B87EE0" w:rsidRPr="006D05D1">
              <w:rPr>
                <w:i/>
                <w:iCs/>
                <w:highlight w:val="cyan"/>
              </w:rPr>
              <w:t xml:space="preserve"> &amp; see above</w:t>
            </w:r>
            <w:r w:rsidR="00B87EE0" w:rsidRPr="006D05D1">
              <w:rPr>
                <w:i/>
                <w:iCs/>
              </w:rPr>
              <w:t xml:space="preserve">, if found on labs, </w:t>
            </w:r>
            <w:r w:rsidR="006D05D1" w:rsidRPr="006D05D1">
              <w:rPr>
                <w:i/>
                <w:iCs/>
              </w:rPr>
              <w:t>use</w:t>
            </w:r>
            <w:r w:rsidR="008630FD" w:rsidRPr="006D05D1">
              <w:rPr>
                <w:i/>
                <w:iCs/>
              </w:rPr>
              <w:t xml:space="preserve"> </w:t>
            </w:r>
            <w:r w:rsidR="008630FD" w:rsidRPr="006D05D1">
              <w:rPr>
                <w:rFonts w:ascii="Verdana" w:hAnsi="Verdana"/>
                <w:b/>
                <w:bCs/>
                <w:highlight w:val="green"/>
              </w:rPr>
              <w:t>LAB</w:t>
            </w:r>
          </w:p>
          <w:p w:rsidR="000411B7" w:rsidRDefault="000411B7" w:rsidP="00F063AF">
            <w:pPr>
              <w:widowControl w:val="0"/>
              <w:numPr>
                <w:ilvl w:val="0"/>
                <w:numId w:val="115"/>
              </w:numPr>
              <w:tabs>
                <w:tab w:val="clear" w:pos="720"/>
                <w:tab w:val="num" w:pos="495"/>
              </w:tabs>
              <w:spacing w:after="120"/>
              <w:ind w:left="495"/>
              <w:rPr>
                <w:i/>
              </w:rPr>
            </w:pPr>
            <w:r>
              <w:rPr>
                <w:i/>
              </w:rPr>
              <w:t>hirsutism – maybe not a disability</w:t>
            </w:r>
          </w:p>
          <w:p w:rsidR="009B408C" w:rsidRPr="009B408C" w:rsidRDefault="009B408C" w:rsidP="00F063AF">
            <w:pPr>
              <w:widowControl w:val="0"/>
              <w:numPr>
                <w:ilvl w:val="0"/>
                <w:numId w:val="115"/>
              </w:numPr>
              <w:tabs>
                <w:tab w:val="clear" w:pos="720"/>
                <w:tab w:val="num" w:pos="495"/>
              </w:tabs>
              <w:spacing w:after="120"/>
              <w:ind w:left="495"/>
              <w:rPr>
                <w:i/>
              </w:rPr>
            </w:pPr>
            <w:r w:rsidRPr="009B408C">
              <w:rPr>
                <w:i/>
              </w:rPr>
              <w:t>hoarseness (6599-6516)</w:t>
            </w:r>
            <w:r w:rsidR="006D05D1">
              <w:rPr>
                <w:rStyle w:val="Emphasis"/>
              </w:rPr>
              <w:t>,</w:t>
            </w:r>
            <w:r w:rsidR="006D05D1">
              <w:rPr>
                <w:i/>
                <w:iCs/>
              </w:rPr>
              <w:t xml:space="preserve"> </w:t>
            </w:r>
            <w:r w:rsidR="006D05D1">
              <w:rPr>
                <w:i/>
                <w:iCs/>
                <w:highlight w:val="cyan"/>
              </w:rPr>
              <w:t>symptom only, c</w:t>
            </w:r>
            <w:r w:rsidR="006D05D1" w:rsidRPr="00C83E11">
              <w:rPr>
                <w:i/>
                <w:iCs/>
                <w:highlight w:val="cyan"/>
              </w:rPr>
              <w:t xml:space="preserve">hoose </w:t>
            </w:r>
            <w:r w:rsidR="006D05D1" w:rsidRPr="00C83E11">
              <w:rPr>
                <w:i/>
                <w:color w:val="FF0000"/>
                <w:szCs w:val="22"/>
                <w:highlight w:val="cyan"/>
              </w:rPr>
              <w:t>No Actual Disability</w:t>
            </w:r>
            <w:r w:rsidR="006D05D1" w:rsidRPr="00C83E11">
              <w:rPr>
                <w:i/>
                <w:iCs/>
                <w:highlight w:val="cyan"/>
              </w:rPr>
              <w:t xml:space="preserve"> &amp; see above</w:t>
            </w:r>
            <w:r w:rsidR="006D05D1">
              <w:rPr>
                <w:i/>
                <w:iCs/>
              </w:rPr>
              <w:t xml:space="preserve">, </w:t>
            </w:r>
            <w:r w:rsidR="006D05D1">
              <w:t>can grant if diagnosis</w:t>
            </w:r>
            <w:r w:rsidRPr="009B408C">
              <w:t xml:space="preserve"> is dysphonia</w:t>
            </w:r>
          </w:p>
          <w:p w:rsidR="00A61D42" w:rsidRDefault="00013EB8" w:rsidP="00F063AF">
            <w:pPr>
              <w:widowControl w:val="0"/>
              <w:numPr>
                <w:ilvl w:val="0"/>
                <w:numId w:val="115"/>
              </w:numPr>
              <w:tabs>
                <w:tab w:val="clear" w:pos="720"/>
                <w:tab w:val="num" w:pos="495"/>
              </w:tabs>
              <w:spacing w:after="120"/>
              <w:ind w:left="495"/>
            </w:pPr>
            <w:r w:rsidRPr="00A61D42">
              <w:rPr>
                <w:i/>
                <w:iCs/>
              </w:rPr>
              <w:t xml:space="preserve">human papilloma virus (HPV) </w:t>
            </w:r>
            <w:r>
              <w:t xml:space="preserve">[lab finding, </w:t>
            </w:r>
            <w:r w:rsidR="00B4721C">
              <w:t xml:space="preserve">per </w:t>
            </w:r>
            <w:r w:rsidR="00B4721C" w:rsidRPr="0053291F">
              <w:rPr>
                <w:b/>
              </w:rPr>
              <w:t>III.iv.4.J.2.</w:t>
            </w:r>
            <w:r w:rsidR="00B4721C">
              <w:rPr>
                <w:b/>
              </w:rPr>
              <w:t>f</w:t>
            </w:r>
            <w:r w:rsidR="00B4721C" w:rsidRPr="0053291F">
              <w:rPr>
                <w:b/>
              </w:rPr>
              <w:t xml:space="preserve"> </w:t>
            </w:r>
            <w:r>
              <w:t>not a disability unle</w:t>
            </w:r>
            <w:r w:rsidR="00C712AF">
              <w:t xml:space="preserve">ss there are </w:t>
            </w:r>
            <w:r w:rsidR="00B4721C">
              <w:t xml:space="preserve">associated genital warts, </w:t>
            </w:r>
            <w:r w:rsidR="00FA24C4">
              <w:rPr>
                <w:color w:val="000000"/>
              </w:rPr>
              <w:t>or development of persistent infection that progresses to cervical dysplasia and then cervical cancer</w:t>
            </w:r>
            <w:r>
              <w:t>]</w:t>
            </w:r>
            <w:r w:rsidRPr="00A61D42">
              <w:rPr>
                <w:i/>
                <w:iCs/>
              </w:rPr>
              <w:t xml:space="preserve"> (7899-7819)</w:t>
            </w:r>
            <w:r w:rsidR="006D05D1">
              <w:rPr>
                <w:i/>
                <w:iCs/>
              </w:rPr>
              <w:t xml:space="preserve">, </w:t>
            </w:r>
            <w:r w:rsidR="006D05D1">
              <w:rPr>
                <w:i/>
                <w:iCs/>
                <w:highlight w:val="cyan"/>
              </w:rPr>
              <w:t>finding only, c</w:t>
            </w:r>
            <w:r w:rsidR="006D05D1" w:rsidRPr="00C83E11">
              <w:rPr>
                <w:i/>
                <w:iCs/>
                <w:highlight w:val="cyan"/>
              </w:rPr>
              <w:t xml:space="preserve">hoose </w:t>
            </w:r>
            <w:r w:rsidR="006D05D1" w:rsidRPr="00C83E11">
              <w:rPr>
                <w:i/>
                <w:color w:val="FF0000"/>
                <w:szCs w:val="22"/>
                <w:highlight w:val="cyan"/>
              </w:rPr>
              <w:t>No Actual Disability</w:t>
            </w:r>
            <w:r w:rsidR="006D05D1" w:rsidRPr="00C83E11">
              <w:rPr>
                <w:i/>
                <w:iCs/>
                <w:highlight w:val="cyan"/>
              </w:rPr>
              <w:t xml:space="preserve"> &amp; see above</w:t>
            </w:r>
            <w:r w:rsidR="006D05D1">
              <w:rPr>
                <w:i/>
                <w:iCs/>
              </w:rPr>
              <w:t>, OR</w:t>
            </w:r>
            <w:r w:rsidR="006D05D1" w:rsidRPr="006D05D1">
              <w:rPr>
                <w:i/>
                <w:iCs/>
              </w:rPr>
              <w:t xml:space="preserve"> use </w:t>
            </w:r>
            <w:r w:rsidR="006D05D1" w:rsidRPr="006D05D1">
              <w:rPr>
                <w:rFonts w:ascii="Verdana" w:hAnsi="Verdana"/>
                <w:b/>
                <w:bCs/>
                <w:highlight w:val="green"/>
              </w:rPr>
              <w:t>LAB</w:t>
            </w:r>
            <w:r w:rsidR="00B36405">
              <w:rPr>
                <w:i/>
                <w:iCs/>
              </w:rPr>
              <w:t>, plus</w:t>
            </w:r>
            <w:r w:rsidR="006D05D1">
              <w:rPr>
                <w:i/>
                <w:iCs/>
              </w:rPr>
              <w:t>:</w:t>
            </w:r>
            <w:r w:rsidR="00A61D42" w:rsidRPr="00A61D42">
              <w:rPr>
                <w:i/>
                <w:iCs/>
              </w:rPr>
              <w:t xml:space="preserve"> </w:t>
            </w:r>
            <w:r w:rsidR="006D05D1">
              <w:rPr>
                <w:i/>
                <w:iCs/>
              </w:rPr>
              <w:t xml:space="preserve"> </w:t>
            </w:r>
            <w:r w:rsidR="00A61D42">
              <w:t>Human papilloma virus, in the absence of genital warts, is a laboratory finding and not an actually disabling condition for which service connection can be granted.</w:t>
            </w:r>
          </w:p>
          <w:p w:rsidR="00013EB8" w:rsidRDefault="00013EB8" w:rsidP="00F063AF">
            <w:pPr>
              <w:widowControl w:val="0"/>
              <w:numPr>
                <w:ilvl w:val="0"/>
                <w:numId w:val="115"/>
              </w:numPr>
              <w:tabs>
                <w:tab w:val="clear" w:pos="720"/>
                <w:tab w:val="num" w:pos="495"/>
              </w:tabs>
              <w:spacing w:after="120"/>
              <w:ind w:left="495"/>
            </w:pPr>
            <w:r>
              <w:rPr>
                <w:i/>
                <w:iCs/>
              </w:rPr>
              <w:t>hypoglycemia</w:t>
            </w:r>
            <w:r w:rsidR="00F95CEE">
              <w:rPr>
                <w:i/>
                <w:iCs/>
              </w:rPr>
              <w:t xml:space="preserve"> </w:t>
            </w:r>
            <w:r>
              <w:rPr>
                <w:i/>
                <w:iCs/>
              </w:rPr>
              <w:t>/</w:t>
            </w:r>
            <w:r w:rsidR="00F95CEE">
              <w:rPr>
                <w:i/>
                <w:iCs/>
              </w:rPr>
              <w:t xml:space="preserve"> </w:t>
            </w:r>
            <w:r>
              <w:rPr>
                <w:i/>
                <w:iCs/>
              </w:rPr>
              <w:t>hyperglycemi</w:t>
            </w:r>
            <w:r w:rsidR="00F95CEE">
              <w:rPr>
                <w:i/>
                <w:iCs/>
              </w:rPr>
              <w:t xml:space="preserve">a </w:t>
            </w:r>
            <w:r>
              <w:rPr>
                <w:i/>
                <w:iCs/>
              </w:rPr>
              <w:t>/</w:t>
            </w:r>
            <w:r w:rsidR="00F95CEE">
              <w:rPr>
                <w:i/>
                <w:iCs/>
              </w:rPr>
              <w:t xml:space="preserve"> </w:t>
            </w:r>
            <w:r>
              <w:rPr>
                <w:i/>
                <w:iCs/>
              </w:rPr>
              <w:t xml:space="preserve">elevated blood glucose </w:t>
            </w:r>
            <w:r w:rsidR="00661FC0">
              <w:rPr>
                <w:i/>
                <w:iCs/>
              </w:rPr>
              <w:t>/ elevated blood sugar / pre-diabetes</w:t>
            </w:r>
            <w:r w:rsidR="00151B40">
              <w:rPr>
                <w:i/>
                <w:iCs/>
              </w:rPr>
              <w:t xml:space="preserve"> / prediabetes</w:t>
            </w:r>
            <w:r w:rsidR="00661FC0">
              <w:rPr>
                <w:i/>
                <w:iCs/>
              </w:rPr>
              <w:t xml:space="preserve"> </w:t>
            </w:r>
            <w:r>
              <w:t>[lab finding</w:t>
            </w:r>
            <w:r w:rsidR="00661FC0">
              <w:t>,</w:t>
            </w:r>
            <w:r w:rsidR="00661FC0">
              <w:rPr>
                <w:iCs/>
              </w:rPr>
              <w:t xml:space="preserve"> </w:t>
            </w:r>
            <w:r w:rsidR="00D76247">
              <w:rPr>
                <w:iCs/>
              </w:rPr>
              <w:t>per</w:t>
            </w:r>
            <w:r w:rsidR="00014883">
              <w:rPr>
                <w:b/>
                <w:iCs/>
              </w:rPr>
              <w:t xml:space="preserve"> </w:t>
            </w:r>
            <w:r w:rsidR="00014883" w:rsidRPr="001A5E87">
              <w:rPr>
                <w:b/>
              </w:rPr>
              <w:t>IV.ii.2.A.2</w:t>
            </w:r>
            <w:r w:rsidR="002A1AF7">
              <w:rPr>
                <w:b/>
              </w:rPr>
              <w:t>.h</w:t>
            </w:r>
            <w:r w:rsidR="009474D3">
              <w:rPr>
                <w:b/>
              </w:rPr>
              <w:t xml:space="preserve"> </w:t>
            </w:r>
            <w:r w:rsidR="009474D3" w:rsidRPr="002A1AF7">
              <w:t>&amp;</w:t>
            </w:r>
            <w:r w:rsidR="009474D3">
              <w:rPr>
                <w:b/>
              </w:rPr>
              <w:t xml:space="preserve"> </w:t>
            </w:r>
            <w:r w:rsidR="009474D3">
              <w:rPr>
                <w:b/>
                <w:iCs/>
              </w:rPr>
              <w:t>IV.ii.2.A.2.a</w:t>
            </w:r>
            <w:r>
              <w:t>]</w:t>
            </w:r>
            <w:r>
              <w:rPr>
                <w:i/>
                <w:iCs/>
              </w:rPr>
              <w:t xml:space="preserve"> (7999-7913)</w:t>
            </w:r>
            <w:r w:rsidR="006D05D1">
              <w:rPr>
                <w:i/>
                <w:iCs/>
              </w:rPr>
              <w:t xml:space="preserve">, </w:t>
            </w:r>
            <w:r w:rsidR="008630FD">
              <w:rPr>
                <w:rFonts w:ascii="Verdana" w:hAnsi="Verdana"/>
                <w:b/>
                <w:bCs/>
                <w:highlight w:val="green"/>
              </w:rPr>
              <w:t>LAB</w:t>
            </w:r>
          </w:p>
          <w:p w:rsidR="00013EB8" w:rsidRDefault="00013EB8" w:rsidP="00F063AF">
            <w:pPr>
              <w:widowControl w:val="0"/>
              <w:numPr>
                <w:ilvl w:val="0"/>
                <w:numId w:val="115"/>
              </w:numPr>
              <w:tabs>
                <w:tab w:val="clear" w:pos="720"/>
                <w:tab w:val="num" w:pos="495"/>
              </w:tabs>
              <w:spacing w:after="120"/>
              <w:ind w:left="495"/>
            </w:pPr>
            <w:r>
              <w:rPr>
                <w:i/>
                <w:iCs/>
              </w:rPr>
              <w:t>hypotension (7199-7101)</w:t>
            </w:r>
            <w:r w:rsidR="006D05D1">
              <w:rPr>
                <w:i/>
                <w:iCs/>
              </w:rPr>
              <w:t xml:space="preserve">, </w:t>
            </w:r>
            <w:r w:rsidR="006D05D1">
              <w:rPr>
                <w:i/>
                <w:iCs/>
                <w:highlight w:val="cyan"/>
              </w:rPr>
              <w:t>c</w:t>
            </w:r>
            <w:r w:rsidR="006D05D1" w:rsidRPr="00C83E11">
              <w:rPr>
                <w:i/>
                <w:iCs/>
                <w:highlight w:val="cyan"/>
              </w:rPr>
              <w:t xml:space="preserve">hoose </w:t>
            </w:r>
            <w:r w:rsidR="006D05D1" w:rsidRPr="00C83E11">
              <w:rPr>
                <w:i/>
                <w:color w:val="FF0000"/>
                <w:szCs w:val="22"/>
                <w:highlight w:val="cyan"/>
              </w:rPr>
              <w:t>No Actual Disability</w:t>
            </w:r>
            <w:r w:rsidR="006D05D1" w:rsidRPr="00C83E11">
              <w:rPr>
                <w:i/>
                <w:iCs/>
                <w:highlight w:val="cyan"/>
              </w:rPr>
              <w:t xml:space="preserve"> &amp; see abo</w:t>
            </w:r>
            <w:r w:rsidR="006D05D1">
              <w:rPr>
                <w:i/>
                <w:iCs/>
                <w:highlight w:val="cyan"/>
              </w:rPr>
              <w:t>ve</w:t>
            </w:r>
          </w:p>
          <w:p w:rsidR="00013EB8" w:rsidRDefault="00013EB8" w:rsidP="00F063AF">
            <w:pPr>
              <w:widowControl w:val="0"/>
              <w:numPr>
                <w:ilvl w:val="0"/>
                <w:numId w:val="115"/>
              </w:numPr>
              <w:tabs>
                <w:tab w:val="clear" w:pos="720"/>
                <w:tab w:val="num" w:pos="515"/>
              </w:tabs>
              <w:spacing w:after="120"/>
              <w:ind w:left="515"/>
              <w:rPr>
                <w:rStyle w:val="Emphasis"/>
              </w:rPr>
            </w:pPr>
            <w:r>
              <w:rPr>
                <w:i/>
                <w:iCs/>
              </w:rPr>
              <w:t>i</w:t>
            </w:r>
            <w:r>
              <w:rPr>
                <w:rStyle w:val="Emphasis"/>
              </w:rPr>
              <w:t>nfertility (7599-7523)</w:t>
            </w:r>
            <w:r w:rsidR="00D446C1">
              <w:rPr>
                <w:rStyle w:val="Emphasis"/>
              </w:rPr>
              <w:t xml:space="preserve"> – </w:t>
            </w:r>
            <w:r w:rsidR="000B2D3A" w:rsidRPr="00CA24DF">
              <w:rPr>
                <w:i/>
              </w:rPr>
              <w:t>https://www.gpo.gov/fdsys/pkg/FR-2018-04-09/pdf/2018-07081.pdf</w:t>
            </w:r>
            <w:r w:rsidR="000B2D3A">
              <w:rPr>
                <w:rStyle w:val="Emphasis"/>
              </w:rPr>
              <w:t xml:space="preserve"> </w:t>
            </w:r>
            <w:r w:rsidR="00D446C1">
              <w:rPr>
                <w:rStyle w:val="Emphasis"/>
              </w:rPr>
              <w:t>says “…infertility is not in itself a disability for VA rating purposes. It does not result in the loss of average earning capacity.”</w:t>
            </w:r>
          </w:p>
          <w:p w:rsidR="00B470C0" w:rsidRDefault="003E3140" w:rsidP="00B470C0">
            <w:pPr>
              <w:widowControl w:val="0"/>
              <w:spacing w:after="120"/>
              <w:ind w:left="135"/>
              <w:rPr>
                <w:rStyle w:val="Emphasis"/>
              </w:rPr>
            </w:pPr>
            <w:r>
              <w:rPr>
                <w:rStyle w:val="Emphasis"/>
              </w:rPr>
              <w:t>Per QRT/</w:t>
            </w:r>
            <w:r w:rsidR="00B470C0">
              <w:rPr>
                <w:rStyle w:val="Emphasis"/>
              </w:rPr>
              <w:t>Carlos Rosario, 9/16:</w:t>
            </w:r>
          </w:p>
          <w:p w:rsidR="00B470C0" w:rsidRPr="00D446C1" w:rsidRDefault="00B470C0" w:rsidP="00EF4D23">
            <w:pPr>
              <w:pStyle w:val="NormalWeb"/>
              <w:ind w:left="156"/>
              <w:rPr>
                <w:sz w:val="20"/>
                <w:szCs w:val="20"/>
              </w:rPr>
            </w:pPr>
            <w:r w:rsidRPr="00D446C1">
              <w:rPr>
                <w:color w:val="1F497D"/>
                <w:sz w:val="20"/>
                <w:szCs w:val="20"/>
              </w:rPr>
              <w:t>This is one of those</w:t>
            </w:r>
            <w:r w:rsidRPr="00D446C1">
              <w:rPr>
                <w:sz w:val="20"/>
                <w:szCs w:val="20"/>
              </w:rPr>
              <w:t xml:space="preserve"> </w:t>
            </w:r>
            <w:r w:rsidRPr="00D446C1">
              <w:rPr>
                <w:color w:val="1F497D"/>
                <w:sz w:val="20"/>
                <w:szCs w:val="20"/>
              </w:rPr>
              <w:t>issues we do not and should not be generalizing.  This</w:t>
            </w:r>
            <w:r w:rsidRPr="00D446C1">
              <w:rPr>
                <w:sz w:val="20"/>
                <w:szCs w:val="20"/>
              </w:rPr>
              <w:t xml:space="preserve"> </w:t>
            </w:r>
            <w:r w:rsidRPr="00D446C1">
              <w:rPr>
                <w:color w:val="1F497D"/>
                <w:sz w:val="20"/>
                <w:szCs w:val="20"/>
              </w:rPr>
              <w:t>must be handled on a</w:t>
            </w:r>
            <w:r w:rsidRPr="00D446C1">
              <w:rPr>
                <w:sz w:val="20"/>
                <w:szCs w:val="20"/>
              </w:rPr>
              <w:t xml:space="preserve"> </w:t>
            </w:r>
            <w:r w:rsidRPr="00D446C1">
              <w:rPr>
                <w:color w:val="1F497D"/>
                <w:sz w:val="20"/>
                <w:szCs w:val="20"/>
              </w:rPr>
              <w:t>case by case</w:t>
            </w:r>
            <w:r w:rsidRPr="00D446C1">
              <w:rPr>
                <w:sz w:val="20"/>
                <w:szCs w:val="20"/>
              </w:rPr>
              <w:t xml:space="preserve"> </w:t>
            </w:r>
            <w:r w:rsidRPr="00D446C1">
              <w:rPr>
                <w:color w:val="1F497D"/>
                <w:sz w:val="20"/>
                <w:szCs w:val="20"/>
              </w:rPr>
              <w:t>basis.</w:t>
            </w:r>
          </w:p>
          <w:p w:rsidR="00B470C0" w:rsidRPr="00D446C1" w:rsidRDefault="00B470C0" w:rsidP="00EF4D23">
            <w:pPr>
              <w:pStyle w:val="NormalWeb"/>
              <w:ind w:left="156"/>
              <w:rPr>
                <w:sz w:val="20"/>
                <w:szCs w:val="20"/>
              </w:rPr>
            </w:pPr>
            <w:r w:rsidRPr="00D446C1">
              <w:rPr>
                <w:color w:val="1F497D"/>
                <w:sz w:val="20"/>
                <w:szCs w:val="20"/>
              </w:rPr>
              <w:t>Infertility</w:t>
            </w:r>
            <w:r w:rsidRPr="00D446C1">
              <w:rPr>
                <w:sz w:val="20"/>
                <w:szCs w:val="20"/>
              </w:rPr>
              <w:t xml:space="preserve"> </w:t>
            </w:r>
            <w:r w:rsidRPr="00D446C1">
              <w:rPr>
                <w:color w:val="1F497D"/>
                <w:sz w:val="20"/>
                <w:szCs w:val="20"/>
              </w:rPr>
              <w:t>may or may not be</w:t>
            </w:r>
            <w:r w:rsidRPr="00D446C1">
              <w:rPr>
                <w:sz w:val="20"/>
                <w:szCs w:val="20"/>
              </w:rPr>
              <w:t xml:space="preserve"> </w:t>
            </w:r>
            <w:r w:rsidRPr="00D446C1">
              <w:rPr>
                <w:color w:val="1F497D"/>
                <w:sz w:val="20"/>
                <w:szCs w:val="20"/>
              </w:rPr>
              <w:t>a</w:t>
            </w:r>
            <w:r w:rsidRPr="00D446C1">
              <w:rPr>
                <w:sz w:val="20"/>
                <w:szCs w:val="20"/>
              </w:rPr>
              <w:t xml:space="preserve"> </w:t>
            </w:r>
            <w:r w:rsidRPr="00D446C1">
              <w:rPr>
                <w:color w:val="1F497D"/>
                <w:sz w:val="20"/>
                <w:szCs w:val="20"/>
              </w:rPr>
              <w:t>congenital, developmental or hereditary disorder. Infertility</w:t>
            </w:r>
            <w:r w:rsidRPr="00D446C1">
              <w:rPr>
                <w:sz w:val="20"/>
                <w:szCs w:val="20"/>
              </w:rPr>
              <w:t xml:space="preserve"> </w:t>
            </w:r>
            <w:r w:rsidRPr="00D446C1">
              <w:rPr>
                <w:color w:val="1F497D"/>
                <w:sz w:val="20"/>
                <w:szCs w:val="20"/>
              </w:rPr>
              <w:t>is definitely</w:t>
            </w:r>
            <w:r w:rsidRPr="00D446C1">
              <w:rPr>
                <w:sz w:val="20"/>
                <w:szCs w:val="20"/>
              </w:rPr>
              <w:t xml:space="preserve"> </w:t>
            </w:r>
            <w:r w:rsidRPr="00D446C1">
              <w:rPr>
                <w:color w:val="1F497D"/>
                <w:sz w:val="20"/>
                <w:szCs w:val="20"/>
              </w:rPr>
              <w:t>not a laboratory finding.</w:t>
            </w:r>
            <w:r w:rsidRPr="00D446C1">
              <w:rPr>
                <w:sz w:val="20"/>
                <w:szCs w:val="20"/>
              </w:rPr>
              <w:t xml:space="preserve"> </w:t>
            </w:r>
          </w:p>
          <w:p w:rsidR="00B470C0" w:rsidRPr="00D446C1" w:rsidRDefault="00B470C0" w:rsidP="00EF4D23">
            <w:pPr>
              <w:pStyle w:val="NormalWeb"/>
              <w:ind w:left="156"/>
              <w:rPr>
                <w:sz w:val="20"/>
                <w:szCs w:val="20"/>
              </w:rPr>
            </w:pPr>
            <w:r w:rsidRPr="00D446C1">
              <w:rPr>
                <w:color w:val="1F497D"/>
                <w:sz w:val="20"/>
                <w:szCs w:val="20"/>
              </w:rPr>
              <w:t>Infertility is secondary to something. Sometimes</w:t>
            </w:r>
            <w:r w:rsidRPr="00D446C1">
              <w:rPr>
                <w:sz w:val="20"/>
                <w:szCs w:val="20"/>
              </w:rPr>
              <w:t xml:space="preserve"> </w:t>
            </w:r>
            <w:r w:rsidRPr="00D446C1">
              <w:rPr>
                <w:color w:val="1F497D"/>
                <w:sz w:val="20"/>
                <w:szCs w:val="20"/>
              </w:rPr>
              <w:t>the pathology is known and sometimes it is not.</w:t>
            </w:r>
            <w:r w:rsidRPr="00D446C1">
              <w:rPr>
                <w:sz w:val="20"/>
                <w:szCs w:val="20"/>
              </w:rPr>
              <w:t xml:space="preserve"> </w:t>
            </w:r>
          </w:p>
          <w:p w:rsidR="00B470C0" w:rsidRPr="00D446C1" w:rsidRDefault="00B470C0" w:rsidP="00EF4D23">
            <w:pPr>
              <w:pStyle w:val="NormalWeb"/>
              <w:ind w:left="156"/>
              <w:rPr>
                <w:sz w:val="20"/>
                <w:szCs w:val="20"/>
              </w:rPr>
            </w:pPr>
            <w:r w:rsidRPr="00D446C1">
              <w:rPr>
                <w:color w:val="1F497D"/>
                <w:sz w:val="20"/>
                <w:szCs w:val="20"/>
              </w:rPr>
              <w:t>Consider the following when reviewing evidence:</w:t>
            </w:r>
          </w:p>
          <w:p w:rsidR="00B470C0" w:rsidRPr="00D446C1" w:rsidRDefault="00B470C0" w:rsidP="00B6708D">
            <w:pPr>
              <w:pStyle w:val="NormalWeb"/>
              <w:ind w:left="516"/>
              <w:rPr>
                <w:sz w:val="20"/>
                <w:szCs w:val="20"/>
              </w:rPr>
            </w:pPr>
            <w:r w:rsidRPr="00D446C1">
              <w:rPr>
                <w:color w:val="1F497D"/>
                <w:sz w:val="20"/>
                <w:szCs w:val="20"/>
              </w:rPr>
              <w:t>Infertility</w:t>
            </w:r>
            <w:r w:rsidRPr="00D446C1">
              <w:rPr>
                <w:sz w:val="20"/>
                <w:szCs w:val="20"/>
              </w:rPr>
              <w:t xml:space="preserve"> </w:t>
            </w:r>
            <w:r w:rsidRPr="00D446C1">
              <w:rPr>
                <w:color w:val="1F497D"/>
                <w:sz w:val="20"/>
                <w:szCs w:val="20"/>
              </w:rPr>
              <w:t>causes in women</w:t>
            </w:r>
            <w:r w:rsidRPr="00D446C1">
              <w:rPr>
                <w:sz w:val="20"/>
                <w:szCs w:val="20"/>
              </w:rPr>
              <w:t xml:space="preserve"> </w:t>
            </w:r>
            <w:r w:rsidRPr="00D446C1">
              <w:rPr>
                <w:color w:val="1F497D"/>
                <w:sz w:val="20"/>
                <w:szCs w:val="20"/>
              </w:rPr>
              <w:t>may</w:t>
            </w:r>
            <w:r w:rsidRPr="00D446C1">
              <w:rPr>
                <w:sz w:val="20"/>
                <w:szCs w:val="20"/>
              </w:rPr>
              <w:t xml:space="preserve"> </w:t>
            </w:r>
            <w:r w:rsidRPr="00D446C1">
              <w:rPr>
                <w:color w:val="1F497D"/>
                <w:sz w:val="20"/>
                <w:szCs w:val="20"/>
              </w:rPr>
              <w:t>include: ovulation disorders,</w:t>
            </w:r>
            <w:r w:rsidRPr="00D446C1">
              <w:rPr>
                <w:sz w:val="20"/>
                <w:szCs w:val="20"/>
              </w:rPr>
              <w:t xml:space="preserve"> </w:t>
            </w:r>
            <w:r w:rsidRPr="00D446C1">
              <w:rPr>
                <w:color w:val="1F497D"/>
                <w:sz w:val="20"/>
                <w:szCs w:val="20"/>
              </w:rPr>
              <w:t>polycystic ovary syndrome, hypothalamic dysfunction, premature ovarian insufficiency,</w:t>
            </w:r>
            <w:r w:rsidRPr="00D446C1">
              <w:rPr>
                <w:sz w:val="20"/>
                <w:szCs w:val="20"/>
              </w:rPr>
              <w:t xml:space="preserve"> </w:t>
            </w:r>
            <w:r w:rsidRPr="00D446C1">
              <w:rPr>
                <w:color w:val="1F497D"/>
                <w:sz w:val="20"/>
                <w:szCs w:val="20"/>
              </w:rPr>
              <w:t>damage to the fallopian tubes, endometriosis,</w:t>
            </w:r>
            <w:r w:rsidRPr="00D446C1">
              <w:rPr>
                <w:sz w:val="20"/>
                <w:szCs w:val="20"/>
              </w:rPr>
              <w:t xml:space="preserve"> </w:t>
            </w:r>
            <w:r w:rsidRPr="00D446C1">
              <w:rPr>
                <w:color w:val="1F497D"/>
                <w:sz w:val="20"/>
                <w:szCs w:val="20"/>
              </w:rPr>
              <w:t>polyps or fibromas of the cervix or uterus, and</w:t>
            </w:r>
            <w:r w:rsidRPr="00D446C1">
              <w:rPr>
                <w:sz w:val="20"/>
                <w:szCs w:val="20"/>
              </w:rPr>
              <w:t xml:space="preserve"> </w:t>
            </w:r>
            <w:r w:rsidRPr="00D446C1">
              <w:rPr>
                <w:color w:val="1F497D"/>
                <w:sz w:val="20"/>
                <w:szCs w:val="20"/>
              </w:rPr>
              <w:t>there is</w:t>
            </w:r>
            <w:r w:rsidRPr="008C10C6">
              <w:rPr>
                <w:sz w:val="20"/>
                <w:szCs w:val="20"/>
              </w:rPr>
              <w:t xml:space="preserve"> </w:t>
            </w:r>
            <w:r w:rsidRPr="00D446C1">
              <w:rPr>
                <w:color w:val="1F497D"/>
                <w:sz w:val="20"/>
                <w:szCs w:val="20"/>
                <w:u w:val="single"/>
              </w:rPr>
              <w:t>unexplained infertility</w:t>
            </w:r>
            <w:r w:rsidRPr="00D446C1">
              <w:rPr>
                <w:color w:val="1F497D"/>
                <w:sz w:val="20"/>
                <w:szCs w:val="20"/>
              </w:rPr>
              <w:t>.</w:t>
            </w:r>
            <w:r w:rsidRPr="00D446C1">
              <w:rPr>
                <w:sz w:val="20"/>
                <w:szCs w:val="20"/>
              </w:rPr>
              <w:t xml:space="preserve"> </w:t>
            </w:r>
          </w:p>
          <w:p w:rsidR="00B470C0" w:rsidRPr="00D446C1" w:rsidRDefault="00B470C0" w:rsidP="00B6708D">
            <w:pPr>
              <w:pStyle w:val="NormalWeb"/>
              <w:ind w:left="516"/>
              <w:rPr>
                <w:sz w:val="20"/>
                <w:szCs w:val="20"/>
              </w:rPr>
            </w:pPr>
            <w:r w:rsidRPr="00D446C1">
              <w:rPr>
                <w:color w:val="1F497D"/>
                <w:sz w:val="20"/>
                <w:szCs w:val="20"/>
              </w:rPr>
              <w:t>Laboratory and physical</w:t>
            </w:r>
            <w:r w:rsidRPr="00D446C1">
              <w:rPr>
                <w:sz w:val="20"/>
                <w:szCs w:val="20"/>
              </w:rPr>
              <w:t xml:space="preserve"> </w:t>
            </w:r>
            <w:r w:rsidRPr="00D446C1">
              <w:rPr>
                <w:color w:val="1F497D"/>
                <w:sz w:val="20"/>
                <w:szCs w:val="20"/>
              </w:rPr>
              <w:t>testing</w:t>
            </w:r>
            <w:r w:rsidRPr="00D446C1">
              <w:rPr>
                <w:sz w:val="20"/>
                <w:szCs w:val="20"/>
              </w:rPr>
              <w:t xml:space="preserve"> </w:t>
            </w:r>
            <w:r w:rsidRPr="00D446C1">
              <w:rPr>
                <w:color w:val="1F497D"/>
                <w:sz w:val="20"/>
                <w:szCs w:val="20"/>
              </w:rPr>
              <w:t>are</w:t>
            </w:r>
            <w:r w:rsidRPr="00D446C1">
              <w:rPr>
                <w:sz w:val="20"/>
                <w:szCs w:val="20"/>
              </w:rPr>
              <w:t xml:space="preserve"> </w:t>
            </w:r>
            <w:r w:rsidRPr="00D446C1">
              <w:rPr>
                <w:color w:val="1F497D"/>
                <w:sz w:val="20"/>
                <w:szCs w:val="20"/>
              </w:rPr>
              <w:t>used to confirm or rule out possible pathologies such as ovulation testing, hysterosalpingography, ovarian reserve testing,</w:t>
            </w:r>
            <w:r w:rsidRPr="00D446C1">
              <w:rPr>
                <w:sz w:val="20"/>
                <w:szCs w:val="20"/>
              </w:rPr>
              <w:t xml:space="preserve"> </w:t>
            </w:r>
            <w:r w:rsidRPr="00D446C1">
              <w:rPr>
                <w:color w:val="1F497D"/>
                <w:sz w:val="20"/>
                <w:szCs w:val="20"/>
              </w:rPr>
              <w:t>other hormone testing, laparoscopy,</w:t>
            </w:r>
            <w:r w:rsidRPr="00D446C1">
              <w:rPr>
                <w:sz w:val="20"/>
                <w:szCs w:val="20"/>
              </w:rPr>
              <w:t xml:space="preserve"> </w:t>
            </w:r>
            <w:r w:rsidRPr="00D446C1">
              <w:rPr>
                <w:color w:val="1F497D"/>
                <w:sz w:val="20"/>
                <w:szCs w:val="20"/>
              </w:rPr>
              <w:t>ultrasounds</w:t>
            </w:r>
            <w:r w:rsidRPr="00D446C1">
              <w:rPr>
                <w:sz w:val="20"/>
                <w:szCs w:val="20"/>
              </w:rPr>
              <w:t xml:space="preserve"> </w:t>
            </w:r>
            <w:r w:rsidRPr="00D446C1">
              <w:rPr>
                <w:color w:val="1F497D"/>
                <w:sz w:val="20"/>
                <w:szCs w:val="20"/>
              </w:rPr>
              <w:t>and genetic testing.</w:t>
            </w:r>
            <w:r w:rsidRPr="00D446C1">
              <w:rPr>
                <w:sz w:val="20"/>
                <w:szCs w:val="20"/>
              </w:rPr>
              <w:t xml:space="preserve"> </w:t>
            </w:r>
          </w:p>
          <w:p w:rsidR="00B470C0" w:rsidRPr="00D446C1" w:rsidRDefault="00B470C0" w:rsidP="00B6708D">
            <w:pPr>
              <w:pStyle w:val="NormalWeb"/>
              <w:ind w:left="516"/>
              <w:rPr>
                <w:sz w:val="20"/>
                <w:szCs w:val="20"/>
              </w:rPr>
            </w:pPr>
            <w:r w:rsidRPr="00D446C1">
              <w:rPr>
                <w:color w:val="1F497D"/>
                <w:sz w:val="20"/>
                <w:szCs w:val="20"/>
              </w:rPr>
              <w:t>Infertility causes in men may include: varicoceles, infection, ejaculation issues,</w:t>
            </w:r>
            <w:r w:rsidRPr="00D446C1">
              <w:rPr>
                <w:sz w:val="20"/>
                <w:szCs w:val="20"/>
              </w:rPr>
              <w:t xml:space="preserve"> </w:t>
            </w:r>
            <w:r w:rsidRPr="00D446C1">
              <w:rPr>
                <w:color w:val="1F497D"/>
                <w:sz w:val="20"/>
                <w:szCs w:val="20"/>
              </w:rPr>
              <w:t>autoimmune antibodies that attack the sperm, tumors, undescended testicles, hormone imbalances,</w:t>
            </w:r>
            <w:r w:rsidRPr="00D446C1">
              <w:rPr>
                <w:sz w:val="20"/>
                <w:szCs w:val="20"/>
              </w:rPr>
              <w:t xml:space="preserve"> </w:t>
            </w:r>
            <w:r w:rsidRPr="00D446C1">
              <w:rPr>
                <w:color w:val="1F497D"/>
                <w:sz w:val="20"/>
                <w:szCs w:val="20"/>
              </w:rPr>
              <w:t>defects of the tubules, chromosome defects, problems with sexual intercourse, celiac disease, certain medications, and prior surgeries. There are</w:t>
            </w:r>
            <w:r w:rsidRPr="00D446C1">
              <w:rPr>
                <w:sz w:val="20"/>
                <w:szCs w:val="20"/>
              </w:rPr>
              <w:t xml:space="preserve"> </w:t>
            </w:r>
            <w:r w:rsidRPr="00D446C1">
              <w:rPr>
                <w:color w:val="1F497D"/>
                <w:sz w:val="20"/>
                <w:szCs w:val="20"/>
              </w:rPr>
              <w:t>environmental</w:t>
            </w:r>
            <w:r w:rsidRPr="00D446C1">
              <w:rPr>
                <w:sz w:val="20"/>
                <w:szCs w:val="20"/>
              </w:rPr>
              <w:t xml:space="preserve"> </w:t>
            </w:r>
            <w:r w:rsidRPr="00D446C1">
              <w:rPr>
                <w:color w:val="1F497D"/>
                <w:sz w:val="20"/>
                <w:szCs w:val="20"/>
              </w:rPr>
              <w:t>exposure to chemicals and pollutants. Occupational causes like prolonged sitting such as truck driving.</w:t>
            </w:r>
            <w:r w:rsidRPr="00D446C1">
              <w:rPr>
                <w:sz w:val="20"/>
                <w:szCs w:val="20"/>
              </w:rPr>
              <w:t xml:space="preserve"> </w:t>
            </w:r>
            <w:r w:rsidRPr="00D446C1">
              <w:rPr>
                <w:color w:val="1F497D"/>
                <w:sz w:val="20"/>
                <w:szCs w:val="20"/>
              </w:rPr>
              <w:t>Other contributing causes are</w:t>
            </w:r>
            <w:r w:rsidRPr="00D446C1">
              <w:rPr>
                <w:sz w:val="20"/>
                <w:szCs w:val="20"/>
              </w:rPr>
              <w:t xml:space="preserve"> </w:t>
            </w:r>
            <w:r w:rsidRPr="00D446C1">
              <w:rPr>
                <w:color w:val="1F497D"/>
                <w:sz w:val="20"/>
                <w:szCs w:val="20"/>
              </w:rPr>
              <w:t>health and lifestyle causes like stress, alcohol, drugs, and obesity.</w:t>
            </w:r>
          </w:p>
          <w:p w:rsidR="00B470C0" w:rsidRPr="00D446C1" w:rsidRDefault="00B470C0" w:rsidP="00B6708D">
            <w:pPr>
              <w:pStyle w:val="NormalWeb"/>
              <w:ind w:left="516"/>
              <w:rPr>
                <w:sz w:val="20"/>
                <w:szCs w:val="20"/>
              </w:rPr>
            </w:pPr>
            <w:r w:rsidRPr="00D446C1">
              <w:rPr>
                <w:color w:val="1F497D"/>
                <w:sz w:val="20"/>
                <w:szCs w:val="20"/>
              </w:rPr>
              <w:t>Laboratory and physical</w:t>
            </w:r>
            <w:r w:rsidRPr="00D446C1">
              <w:rPr>
                <w:sz w:val="20"/>
                <w:szCs w:val="20"/>
              </w:rPr>
              <w:t xml:space="preserve"> </w:t>
            </w:r>
            <w:r w:rsidRPr="00D446C1">
              <w:rPr>
                <w:color w:val="1F497D"/>
                <w:sz w:val="20"/>
                <w:szCs w:val="20"/>
              </w:rPr>
              <w:t>testing</w:t>
            </w:r>
            <w:r w:rsidRPr="00D446C1">
              <w:rPr>
                <w:sz w:val="20"/>
                <w:szCs w:val="20"/>
              </w:rPr>
              <w:t xml:space="preserve"> </w:t>
            </w:r>
            <w:r w:rsidRPr="00D446C1">
              <w:rPr>
                <w:color w:val="1F497D"/>
                <w:sz w:val="20"/>
                <w:szCs w:val="20"/>
              </w:rPr>
              <w:t>are</w:t>
            </w:r>
            <w:r w:rsidRPr="00D446C1">
              <w:rPr>
                <w:sz w:val="20"/>
                <w:szCs w:val="20"/>
              </w:rPr>
              <w:t xml:space="preserve"> </w:t>
            </w:r>
            <w:r w:rsidRPr="00D446C1">
              <w:rPr>
                <w:color w:val="1F497D"/>
                <w:sz w:val="20"/>
                <w:szCs w:val="20"/>
              </w:rPr>
              <w:t>used to confirm or rule out possible pathologies such as</w:t>
            </w:r>
            <w:r w:rsidRPr="00D446C1">
              <w:rPr>
                <w:sz w:val="20"/>
                <w:szCs w:val="20"/>
              </w:rPr>
              <w:t xml:space="preserve"> </w:t>
            </w:r>
            <w:r w:rsidRPr="00D446C1">
              <w:rPr>
                <w:color w:val="1F497D"/>
                <w:sz w:val="20"/>
                <w:szCs w:val="20"/>
              </w:rPr>
              <w:t>hormone</w:t>
            </w:r>
            <w:r w:rsidRPr="00D446C1">
              <w:rPr>
                <w:sz w:val="20"/>
                <w:szCs w:val="20"/>
              </w:rPr>
              <w:t xml:space="preserve"> </w:t>
            </w:r>
            <w:r w:rsidRPr="00D446C1">
              <w:rPr>
                <w:color w:val="1F497D"/>
                <w:sz w:val="20"/>
                <w:szCs w:val="20"/>
              </w:rPr>
              <w:t>testing,</w:t>
            </w:r>
            <w:r w:rsidRPr="00D446C1">
              <w:rPr>
                <w:sz w:val="20"/>
                <w:szCs w:val="20"/>
              </w:rPr>
              <w:t xml:space="preserve"> </w:t>
            </w:r>
            <w:r w:rsidRPr="00D446C1">
              <w:rPr>
                <w:color w:val="1F497D"/>
                <w:sz w:val="20"/>
                <w:szCs w:val="20"/>
              </w:rPr>
              <w:t>semen analysis, scrotal or transrectal</w:t>
            </w:r>
            <w:r w:rsidRPr="00D446C1">
              <w:rPr>
                <w:sz w:val="20"/>
                <w:szCs w:val="20"/>
              </w:rPr>
              <w:t xml:space="preserve"> </w:t>
            </w:r>
            <w:r w:rsidRPr="00D446C1">
              <w:rPr>
                <w:color w:val="1F497D"/>
                <w:sz w:val="20"/>
                <w:szCs w:val="20"/>
              </w:rPr>
              <w:t>ultrasound, genetic testing, testicular biopsy, specialized sperm function tests,</w:t>
            </w:r>
            <w:r w:rsidRPr="00D446C1">
              <w:rPr>
                <w:sz w:val="20"/>
                <w:szCs w:val="20"/>
              </w:rPr>
              <w:t xml:space="preserve"> </w:t>
            </w:r>
          </w:p>
          <w:p w:rsidR="00B470C0" w:rsidRPr="00D446C1" w:rsidRDefault="00B470C0" w:rsidP="00EF4D23">
            <w:pPr>
              <w:pStyle w:val="NormalWeb"/>
              <w:ind w:left="156"/>
              <w:rPr>
                <w:sz w:val="20"/>
                <w:szCs w:val="20"/>
              </w:rPr>
            </w:pPr>
            <w:r w:rsidRPr="00D446C1">
              <w:rPr>
                <w:color w:val="1F497D"/>
                <w:sz w:val="20"/>
                <w:szCs w:val="20"/>
              </w:rPr>
              <w:t>The M21-1 III.iv.3.D.2.n</w:t>
            </w:r>
            <w:r w:rsidRPr="00D446C1">
              <w:rPr>
                <w:sz w:val="20"/>
                <w:szCs w:val="20"/>
              </w:rPr>
              <w:t xml:space="preserve"> </w:t>
            </w:r>
            <w:r w:rsidRPr="00D446C1">
              <w:rPr>
                <w:color w:val="1F497D"/>
                <w:sz w:val="20"/>
                <w:szCs w:val="20"/>
              </w:rPr>
              <w:t>guides us</w:t>
            </w:r>
            <w:r w:rsidRPr="00D446C1">
              <w:rPr>
                <w:sz w:val="20"/>
                <w:szCs w:val="20"/>
              </w:rPr>
              <w:t xml:space="preserve"> </w:t>
            </w:r>
            <w:r w:rsidRPr="00D446C1">
              <w:rPr>
                <w:color w:val="1F497D"/>
                <w:sz w:val="20"/>
                <w:szCs w:val="20"/>
              </w:rPr>
              <w:t>to use the table to determine what is required for a</w:t>
            </w:r>
            <w:r w:rsidRPr="00D446C1">
              <w:rPr>
                <w:sz w:val="20"/>
                <w:szCs w:val="20"/>
                <w:u w:val="single"/>
              </w:rPr>
              <w:t xml:space="preserve"> </w:t>
            </w:r>
            <w:r w:rsidRPr="00D446C1">
              <w:rPr>
                <w:color w:val="1F497D"/>
                <w:sz w:val="20"/>
                <w:szCs w:val="20"/>
                <w:u w:val="single"/>
              </w:rPr>
              <w:t>sufficient diagnosis</w:t>
            </w:r>
            <w:r w:rsidRPr="00D446C1">
              <w:rPr>
                <w:color w:val="1F497D"/>
                <w:sz w:val="20"/>
                <w:szCs w:val="20"/>
              </w:rPr>
              <w:t>. </w:t>
            </w:r>
            <w:r w:rsidRPr="00D446C1">
              <w:rPr>
                <w:sz w:val="20"/>
                <w:szCs w:val="20"/>
              </w:rPr>
              <w:t xml:space="preserve"> </w:t>
            </w:r>
            <w:r w:rsidRPr="00D446C1">
              <w:rPr>
                <w:color w:val="1F497D"/>
                <w:sz w:val="20"/>
                <w:szCs w:val="20"/>
              </w:rPr>
              <w:t>It says, if a definite disability exists but a</w:t>
            </w:r>
            <w:r w:rsidRPr="00D446C1">
              <w:rPr>
                <w:sz w:val="20"/>
                <w:szCs w:val="20"/>
              </w:rPr>
              <w:t xml:space="preserve"> </w:t>
            </w:r>
            <w:r w:rsidRPr="00D446C1">
              <w:rPr>
                <w:color w:val="1F497D"/>
                <w:sz w:val="20"/>
                <w:szCs w:val="20"/>
              </w:rPr>
              <w:t>definitive diagnosis cannot be given, the examiner should describe the disability and indicate that it is of</w:t>
            </w:r>
            <w:r w:rsidRPr="00D446C1">
              <w:rPr>
                <w:sz w:val="20"/>
                <w:szCs w:val="20"/>
              </w:rPr>
              <w:t xml:space="preserve"> </w:t>
            </w:r>
            <w:r w:rsidRPr="00D446C1">
              <w:rPr>
                <w:color w:val="1F497D"/>
                <w:sz w:val="20"/>
                <w:szCs w:val="20"/>
              </w:rPr>
              <w:t>unknown etiology.</w:t>
            </w:r>
            <w:r w:rsidRPr="00D446C1">
              <w:rPr>
                <w:sz w:val="20"/>
                <w:szCs w:val="20"/>
              </w:rPr>
              <w:t xml:space="preserve"> </w:t>
            </w:r>
            <w:r w:rsidRPr="00D446C1">
              <w:rPr>
                <w:color w:val="1F497D"/>
                <w:sz w:val="20"/>
                <w:szCs w:val="20"/>
              </w:rPr>
              <w:t>This is will be a sufficient diagnosis for VA purpose.</w:t>
            </w:r>
            <w:r w:rsidRPr="00D446C1">
              <w:rPr>
                <w:sz w:val="20"/>
                <w:szCs w:val="20"/>
              </w:rPr>
              <w:t xml:space="preserve"> </w:t>
            </w:r>
          </w:p>
          <w:p w:rsidR="00B470C0" w:rsidRPr="00D446C1" w:rsidRDefault="00B470C0" w:rsidP="00EF4D23">
            <w:pPr>
              <w:pStyle w:val="NormalWeb"/>
              <w:ind w:left="156"/>
              <w:rPr>
                <w:sz w:val="20"/>
                <w:szCs w:val="20"/>
              </w:rPr>
            </w:pPr>
            <w:r w:rsidRPr="00D446C1">
              <w:rPr>
                <w:color w:val="1F497D"/>
                <w:sz w:val="20"/>
                <w:szCs w:val="20"/>
              </w:rPr>
              <w:t>The regulation and the M21-1 makes a distinction between</w:t>
            </w:r>
            <w:r w:rsidRPr="00D446C1">
              <w:rPr>
                <w:sz w:val="20"/>
                <w:szCs w:val="20"/>
                <w:u w:val="single"/>
              </w:rPr>
              <w:t xml:space="preserve"> </w:t>
            </w:r>
            <w:r w:rsidRPr="00D446C1">
              <w:rPr>
                <w:color w:val="1F497D"/>
                <w:sz w:val="20"/>
                <w:szCs w:val="20"/>
                <w:u w:val="single"/>
              </w:rPr>
              <w:t>defects</w:t>
            </w:r>
            <w:r w:rsidRPr="00D446C1">
              <w:rPr>
                <w:color w:val="1F497D"/>
                <w:sz w:val="20"/>
                <w:szCs w:val="20"/>
              </w:rPr>
              <w:t xml:space="preserve"> and diseases</w:t>
            </w:r>
            <w:r w:rsidRPr="00D446C1">
              <w:rPr>
                <w:sz w:val="20"/>
                <w:szCs w:val="20"/>
              </w:rPr>
              <w:t xml:space="preserve"> </w:t>
            </w:r>
            <w:r w:rsidRPr="00D446C1">
              <w:rPr>
                <w:color w:val="1F497D"/>
                <w:sz w:val="20"/>
                <w:szCs w:val="20"/>
              </w:rPr>
              <w:t>or disorders</w:t>
            </w:r>
            <w:r w:rsidRPr="00D446C1">
              <w:rPr>
                <w:sz w:val="20"/>
                <w:szCs w:val="20"/>
              </w:rPr>
              <w:t xml:space="preserve"> </w:t>
            </w:r>
            <w:r w:rsidRPr="00D446C1">
              <w:rPr>
                <w:color w:val="1F497D"/>
                <w:sz w:val="20"/>
                <w:szCs w:val="20"/>
              </w:rPr>
              <w:t>of</w:t>
            </w:r>
            <w:r w:rsidRPr="00D446C1">
              <w:rPr>
                <w:sz w:val="20"/>
                <w:szCs w:val="20"/>
              </w:rPr>
              <w:t xml:space="preserve"> </w:t>
            </w:r>
            <w:r w:rsidRPr="00D446C1">
              <w:rPr>
                <w:color w:val="1F497D"/>
                <w:sz w:val="20"/>
                <w:szCs w:val="20"/>
              </w:rPr>
              <w:t>congenital,</w:t>
            </w:r>
            <w:r w:rsidRPr="00D446C1">
              <w:rPr>
                <w:sz w:val="20"/>
                <w:szCs w:val="20"/>
              </w:rPr>
              <w:t xml:space="preserve"> </w:t>
            </w:r>
            <w:r w:rsidRPr="00D446C1">
              <w:rPr>
                <w:color w:val="1F497D"/>
                <w:sz w:val="20"/>
                <w:szCs w:val="20"/>
              </w:rPr>
              <w:t>developmental or hereditary origins.</w:t>
            </w:r>
            <w:r w:rsidRPr="00D446C1">
              <w:rPr>
                <w:sz w:val="20"/>
                <w:szCs w:val="20"/>
              </w:rPr>
              <w:t xml:space="preserve"> </w:t>
            </w:r>
            <w:r w:rsidRPr="00D446C1">
              <w:rPr>
                <w:color w:val="1F497D"/>
                <w:sz w:val="20"/>
                <w:szCs w:val="20"/>
              </w:rPr>
              <w:t>{M21-1 IV.ii.2.B.6.a and b}.</w:t>
            </w:r>
            <w:r w:rsidRPr="00D446C1">
              <w:rPr>
                <w:sz w:val="20"/>
                <w:szCs w:val="20"/>
              </w:rPr>
              <w:t xml:space="preserve"> </w:t>
            </w:r>
          </w:p>
          <w:p w:rsidR="00B470C0" w:rsidRPr="00D446C1" w:rsidRDefault="00B470C0" w:rsidP="00B470C0">
            <w:pPr>
              <w:pStyle w:val="NormalWeb"/>
              <w:rPr>
                <w:sz w:val="20"/>
                <w:szCs w:val="20"/>
              </w:rPr>
            </w:pPr>
            <w:r w:rsidRPr="00D446C1">
              <w:rPr>
                <w:color w:val="1F497D"/>
                <w:sz w:val="20"/>
                <w:szCs w:val="20"/>
              </w:rPr>
              <w:t>The M21-1</w:t>
            </w:r>
            <w:r w:rsidRPr="00D446C1">
              <w:rPr>
                <w:sz w:val="20"/>
                <w:szCs w:val="20"/>
              </w:rPr>
              <w:t xml:space="preserve"> </w:t>
            </w:r>
            <w:r w:rsidRPr="00D446C1">
              <w:rPr>
                <w:color w:val="1F497D"/>
                <w:sz w:val="20"/>
                <w:szCs w:val="20"/>
              </w:rPr>
              <w:t>IV.ii.2.B.6.b – Establish service connection for congenital</w:t>
            </w:r>
            <w:r w:rsidRPr="00D446C1">
              <w:rPr>
                <w:sz w:val="20"/>
                <w:szCs w:val="20"/>
              </w:rPr>
              <w:t xml:space="preserve"> </w:t>
            </w:r>
            <w:r w:rsidRPr="00D446C1">
              <w:rPr>
                <w:color w:val="1F497D"/>
                <w:sz w:val="20"/>
                <w:szCs w:val="20"/>
              </w:rPr>
              <w:t>developmental or hereditary disorders</w:t>
            </w:r>
            <w:r w:rsidRPr="00D446C1">
              <w:rPr>
                <w:sz w:val="20"/>
                <w:szCs w:val="20"/>
              </w:rPr>
              <w:t xml:space="preserve"> </w:t>
            </w:r>
          </w:p>
          <w:p w:rsidR="00B470C0" w:rsidRPr="00D446C1" w:rsidRDefault="00B470C0" w:rsidP="00B470C0">
            <w:pPr>
              <w:pStyle w:val="NormalWeb"/>
              <w:rPr>
                <w:sz w:val="20"/>
                <w:szCs w:val="20"/>
              </w:rPr>
            </w:pPr>
            <w:r w:rsidRPr="00D446C1">
              <w:rPr>
                <w:rFonts w:ascii="Symbol" w:hAnsi="Symbol"/>
                <w:color w:val="1F497D"/>
                <w:sz w:val="20"/>
                <w:szCs w:val="20"/>
              </w:rPr>
              <w:t></w:t>
            </w:r>
            <w:r w:rsidRPr="00D446C1">
              <w:rPr>
                <w:rFonts w:ascii="Courier New" w:hAnsi="Courier New" w:cs="Courier New"/>
                <w:color w:val="1F497D"/>
                <w:sz w:val="20"/>
                <w:szCs w:val="20"/>
              </w:rPr>
              <w:t>      </w:t>
            </w:r>
            <w:r w:rsidRPr="00D446C1">
              <w:rPr>
                <w:sz w:val="20"/>
                <w:szCs w:val="20"/>
              </w:rPr>
              <w:t xml:space="preserve"> </w:t>
            </w:r>
            <w:r w:rsidRPr="00D446C1">
              <w:rPr>
                <w:color w:val="1F497D"/>
                <w:sz w:val="20"/>
                <w:szCs w:val="20"/>
              </w:rPr>
              <w:t>that first manifested themselves during service</w:t>
            </w:r>
          </w:p>
          <w:p w:rsidR="00B470C0" w:rsidRPr="00D446C1" w:rsidRDefault="00B470C0" w:rsidP="00B470C0">
            <w:pPr>
              <w:pStyle w:val="NormalWeb"/>
              <w:rPr>
                <w:sz w:val="20"/>
                <w:szCs w:val="20"/>
              </w:rPr>
            </w:pPr>
            <w:r w:rsidRPr="00D446C1">
              <w:rPr>
                <w:rFonts w:ascii="Symbol" w:hAnsi="Symbol"/>
                <w:color w:val="1F497D"/>
                <w:sz w:val="20"/>
                <w:szCs w:val="20"/>
              </w:rPr>
              <w:t></w:t>
            </w:r>
            <w:r w:rsidRPr="00D446C1">
              <w:rPr>
                <w:rFonts w:ascii="Courier New" w:hAnsi="Courier New" w:cs="Courier New"/>
                <w:color w:val="1F497D"/>
                <w:sz w:val="20"/>
                <w:szCs w:val="20"/>
              </w:rPr>
              <w:t>      </w:t>
            </w:r>
            <w:r w:rsidRPr="00D446C1">
              <w:rPr>
                <w:sz w:val="20"/>
                <w:szCs w:val="20"/>
              </w:rPr>
              <w:t xml:space="preserve"> </w:t>
            </w:r>
            <w:r w:rsidRPr="00D446C1">
              <w:rPr>
                <w:color w:val="1F497D"/>
                <w:sz w:val="20"/>
                <w:szCs w:val="20"/>
              </w:rPr>
              <w:t>or pre-existed and progressed at an abnormally</w:t>
            </w:r>
            <w:r w:rsidRPr="00D446C1">
              <w:rPr>
                <w:sz w:val="20"/>
                <w:szCs w:val="20"/>
              </w:rPr>
              <w:t xml:space="preserve"> </w:t>
            </w:r>
            <w:r w:rsidRPr="00D446C1">
              <w:rPr>
                <w:color w:val="1F497D"/>
                <w:sz w:val="20"/>
                <w:szCs w:val="20"/>
              </w:rPr>
              <w:t>high</w:t>
            </w:r>
            <w:r w:rsidRPr="00D446C1">
              <w:rPr>
                <w:sz w:val="20"/>
                <w:szCs w:val="20"/>
              </w:rPr>
              <w:t xml:space="preserve"> </w:t>
            </w:r>
            <w:r w:rsidRPr="00D446C1">
              <w:rPr>
                <w:color w:val="1F497D"/>
                <w:sz w:val="20"/>
                <w:szCs w:val="20"/>
              </w:rPr>
              <w:t>rate during service</w:t>
            </w:r>
          </w:p>
          <w:p w:rsidR="00B470C0" w:rsidRPr="00D446C1" w:rsidRDefault="00B470C0" w:rsidP="00B470C0">
            <w:pPr>
              <w:pStyle w:val="NormalWeb"/>
              <w:rPr>
                <w:sz w:val="20"/>
                <w:szCs w:val="20"/>
              </w:rPr>
            </w:pPr>
            <w:r w:rsidRPr="00D446C1">
              <w:rPr>
                <w:rFonts w:ascii="Symbol" w:hAnsi="Symbol"/>
                <w:color w:val="1F497D"/>
                <w:sz w:val="20"/>
                <w:szCs w:val="20"/>
              </w:rPr>
              <w:t></w:t>
            </w:r>
            <w:r w:rsidRPr="00D446C1">
              <w:rPr>
                <w:rFonts w:ascii="Courier New" w:hAnsi="Courier New" w:cs="Courier New"/>
                <w:color w:val="1F497D"/>
                <w:sz w:val="20"/>
                <w:szCs w:val="20"/>
              </w:rPr>
              <w:t>      </w:t>
            </w:r>
            <w:r w:rsidRPr="00D446C1">
              <w:rPr>
                <w:sz w:val="20"/>
                <w:szCs w:val="20"/>
              </w:rPr>
              <w:t xml:space="preserve"> </w:t>
            </w:r>
            <w:r w:rsidRPr="00D446C1">
              <w:rPr>
                <w:color w:val="1F497D"/>
                <w:sz w:val="20"/>
                <w:szCs w:val="20"/>
              </w:rPr>
              <w:t>or manifested to a compensable degree within the presumptive period.</w:t>
            </w:r>
            <w:r w:rsidRPr="00D446C1">
              <w:rPr>
                <w:sz w:val="20"/>
                <w:szCs w:val="20"/>
              </w:rPr>
              <w:t xml:space="preserve"> </w:t>
            </w:r>
          </w:p>
          <w:p w:rsidR="00B470C0" w:rsidRPr="00D446C1" w:rsidRDefault="00B470C0" w:rsidP="00B470C0">
            <w:pPr>
              <w:pStyle w:val="NormalWeb"/>
              <w:rPr>
                <w:sz w:val="20"/>
                <w:szCs w:val="20"/>
              </w:rPr>
            </w:pPr>
            <w:r w:rsidRPr="00D446C1">
              <w:rPr>
                <w:color w:val="1F497D"/>
                <w:sz w:val="20"/>
                <w:szCs w:val="20"/>
              </w:rPr>
              <w:t>Bottom line, it is a case by case scenario. We need to</w:t>
            </w:r>
            <w:r w:rsidRPr="00D446C1">
              <w:rPr>
                <w:sz w:val="20"/>
                <w:szCs w:val="20"/>
              </w:rPr>
              <w:t xml:space="preserve"> </w:t>
            </w:r>
            <w:r w:rsidRPr="00D446C1">
              <w:rPr>
                <w:color w:val="1F497D"/>
                <w:sz w:val="20"/>
                <w:szCs w:val="20"/>
              </w:rPr>
              <w:t>analyze the evidence</w:t>
            </w:r>
            <w:r w:rsidRPr="00D446C1">
              <w:rPr>
                <w:sz w:val="20"/>
                <w:szCs w:val="20"/>
              </w:rPr>
              <w:t xml:space="preserve"> </w:t>
            </w:r>
            <w:r w:rsidRPr="00D446C1">
              <w:rPr>
                <w:color w:val="1F497D"/>
                <w:sz w:val="20"/>
                <w:szCs w:val="20"/>
              </w:rPr>
              <w:t>to find out if testing has been done. Is there a cause? Is</w:t>
            </w:r>
            <w:r w:rsidRPr="00D446C1">
              <w:rPr>
                <w:sz w:val="20"/>
                <w:szCs w:val="20"/>
              </w:rPr>
              <w:t xml:space="preserve"> </w:t>
            </w:r>
            <w:r w:rsidRPr="00D446C1">
              <w:rPr>
                <w:color w:val="1F497D"/>
                <w:sz w:val="20"/>
                <w:szCs w:val="20"/>
              </w:rPr>
              <w:t>it a defect? Is</w:t>
            </w:r>
            <w:r w:rsidRPr="00D446C1">
              <w:rPr>
                <w:sz w:val="20"/>
                <w:szCs w:val="20"/>
              </w:rPr>
              <w:t xml:space="preserve"> </w:t>
            </w:r>
            <w:r w:rsidRPr="00D446C1">
              <w:rPr>
                <w:color w:val="1F497D"/>
                <w:sz w:val="20"/>
                <w:szCs w:val="20"/>
              </w:rPr>
              <w:t>it a disease or disorder? Is it of</w:t>
            </w:r>
            <w:r w:rsidRPr="00D446C1">
              <w:rPr>
                <w:sz w:val="20"/>
                <w:szCs w:val="20"/>
              </w:rPr>
              <w:t xml:space="preserve"> </w:t>
            </w:r>
            <w:r w:rsidRPr="00D446C1">
              <w:rPr>
                <w:color w:val="1F497D"/>
                <w:sz w:val="20"/>
                <w:szCs w:val="20"/>
              </w:rPr>
              <w:t>unknown etiology?  If we don’t know,</w:t>
            </w:r>
            <w:r w:rsidRPr="00D446C1">
              <w:rPr>
                <w:sz w:val="20"/>
                <w:szCs w:val="20"/>
              </w:rPr>
              <w:t xml:space="preserve"> </w:t>
            </w:r>
            <w:r w:rsidRPr="00D446C1">
              <w:rPr>
                <w:color w:val="1F497D"/>
                <w:sz w:val="20"/>
                <w:szCs w:val="20"/>
              </w:rPr>
              <w:t>ask</w:t>
            </w:r>
            <w:r w:rsidRPr="00D446C1">
              <w:rPr>
                <w:sz w:val="20"/>
                <w:szCs w:val="20"/>
              </w:rPr>
              <w:t xml:space="preserve"> </w:t>
            </w:r>
            <w:r w:rsidRPr="00D446C1">
              <w:rPr>
                <w:color w:val="1F497D"/>
                <w:sz w:val="20"/>
                <w:szCs w:val="20"/>
              </w:rPr>
              <w:t>the examiner to help.</w:t>
            </w:r>
          </w:p>
          <w:p w:rsidR="00B470C0" w:rsidRPr="00D446C1" w:rsidRDefault="00B470C0" w:rsidP="00B470C0">
            <w:pPr>
              <w:pStyle w:val="NormalWeb"/>
              <w:rPr>
                <w:sz w:val="20"/>
                <w:szCs w:val="20"/>
              </w:rPr>
            </w:pPr>
            <w:r w:rsidRPr="00D446C1">
              <w:rPr>
                <w:color w:val="1F497D"/>
                <w:sz w:val="20"/>
                <w:szCs w:val="20"/>
              </w:rPr>
              <w:t>Other references:</w:t>
            </w:r>
          </w:p>
          <w:bookmarkStart w:id="41" w:name=""/>
          <w:bookmarkEnd w:id="41"/>
          <w:p w:rsidR="00B470C0" w:rsidRPr="00D446C1" w:rsidRDefault="00B470C0" w:rsidP="00B470C0">
            <w:pPr>
              <w:pStyle w:val="NormalWeb"/>
              <w:rPr>
                <w:sz w:val="20"/>
                <w:szCs w:val="20"/>
              </w:rPr>
            </w:pPr>
            <w:r w:rsidRPr="00D446C1">
              <w:rPr>
                <w:sz w:val="20"/>
                <w:szCs w:val="20"/>
              </w:rPr>
              <w:fldChar w:fldCharType="begin"/>
            </w:r>
            <w:r w:rsidRPr="00D446C1">
              <w:rPr>
                <w:sz w:val="20"/>
                <w:szCs w:val="20"/>
              </w:rPr>
              <w:instrText xml:space="preserve"> HYPERLINK "http://www.mayoclinic.org/diseases-conditions/female-infertility/basics/causes/con-20033618" </w:instrText>
            </w:r>
            <w:r w:rsidRPr="00D446C1">
              <w:rPr>
                <w:sz w:val="20"/>
                <w:szCs w:val="20"/>
              </w:rPr>
              <w:fldChar w:fldCharType="separate"/>
            </w:r>
            <w:r w:rsidRPr="00D446C1">
              <w:rPr>
                <w:rStyle w:val="Hyperlink"/>
                <w:sz w:val="20"/>
                <w:szCs w:val="20"/>
              </w:rPr>
              <w:t>Mayo Clinic - Female Infertility</w:t>
            </w:r>
            <w:r w:rsidRPr="00D446C1">
              <w:rPr>
                <w:sz w:val="20"/>
                <w:szCs w:val="20"/>
              </w:rPr>
              <w:fldChar w:fldCharType="end"/>
            </w:r>
            <w:r w:rsidRPr="00D446C1">
              <w:rPr>
                <w:sz w:val="20"/>
                <w:szCs w:val="20"/>
              </w:rPr>
              <w:t xml:space="preserve"> </w:t>
            </w:r>
          </w:p>
          <w:p w:rsidR="00B470C0" w:rsidRPr="00D446C1" w:rsidRDefault="00D571C5" w:rsidP="00B470C0">
            <w:pPr>
              <w:pStyle w:val="NormalWeb"/>
              <w:rPr>
                <w:sz w:val="20"/>
                <w:szCs w:val="20"/>
              </w:rPr>
            </w:pPr>
            <w:hyperlink r:id="rId275" w:history="1">
              <w:r w:rsidR="00B470C0" w:rsidRPr="00D446C1">
                <w:rPr>
                  <w:rStyle w:val="Hyperlink"/>
                  <w:sz w:val="20"/>
                  <w:szCs w:val="20"/>
                </w:rPr>
                <w:t>Mayo Clinic - Male Infertility</w:t>
              </w:r>
            </w:hyperlink>
          </w:p>
          <w:p w:rsidR="00B470C0" w:rsidRDefault="00B470C0" w:rsidP="00B470C0">
            <w:pPr>
              <w:widowControl w:val="0"/>
              <w:spacing w:after="120"/>
              <w:ind w:left="135"/>
              <w:rPr>
                <w:i/>
                <w:iCs/>
              </w:rPr>
            </w:pPr>
          </w:p>
          <w:p w:rsidR="00013EB8" w:rsidRDefault="00013EB8" w:rsidP="00F063AF">
            <w:pPr>
              <w:widowControl w:val="0"/>
              <w:numPr>
                <w:ilvl w:val="0"/>
                <w:numId w:val="115"/>
              </w:numPr>
              <w:tabs>
                <w:tab w:val="clear" w:pos="720"/>
                <w:tab w:val="num" w:pos="515"/>
              </w:tabs>
              <w:spacing w:after="120"/>
              <w:ind w:left="425"/>
              <w:rPr>
                <w:i/>
                <w:iCs/>
              </w:rPr>
            </w:pPr>
            <w:r>
              <w:rPr>
                <w:i/>
                <w:iCs/>
              </w:rPr>
              <w:t xml:space="preserve">insomnia without an Axis I diagnosis </w:t>
            </w:r>
            <w:r>
              <w:t>[can only grant if given as Axis</w:t>
            </w:r>
            <w:r w:rsidR="00F4346A">
              <w:t xml:space="preserve"> I diagnosis</w:t>
            </w:r>
            <w:r>
              <w:t>, per STAR quality call - FEB 2010 Q&amp;A's, otherwise not a disability</w:t>
            </w:r>
            <w:r w:rsidR="001F0231">
              <w:t>]</w:t>
            </w:r>
            <w:r w:rsidR="00604172">
              <w:t xml:space="preserve"> </w:t>
            </w:r>
            <w:r w:rsidR="00604172">
              <w:rPr>
                <w:i/>
                <w:iCs/>
              </w:rPr>
              <w:t>(9499-9400)</w:t>
            </w:r>
            <w:r w:rsidR="001F0231">
              <w:t xml:space="preserve"> </w:t>
            </w:r>
            <w:r w:rsidR="007D3F63">
              <w:rPr>
                <w:rFonts w:ascii="Verdana" w:hAnsi="Verdana"/>
                <w:b/>
                <w:bCs/>
                <w:highlight w:val="green"/>
              </w:rPr>
              <w:t>NODX</w:t>
            </w:r>
            <w:r w:rsidR="00E86050">
              <w:t> </w:t>
            </w:r>
            <w:r w:rsidR="00BA4217">
              <w:t xml:space="preserve">&amp; </w:t>
            </w:r>
            <w:r>
              <w:t>We can only establish service connection for an Axis I psychiatric</w:t>
            </w:r>
            <w:r w:rsidR="00BA4217">
              <w:t xml:space="preserve"> diagnosis of </w:t>
            </w:r>
            <w:r w:rsidR="00F4346A">
              <w:t xml:space="preserve">primary </w:t>
            </w:r>
            <w:r w:rsidR="00BA4217">
              <w:t>insomnia</w:t>
            </w:r>
            <w:r w:rsidR="00F95CEE">
              <w:t xml:space="preserve"> </w:t>
            </w:r>
            <w:r w:rsidR="00F4346A">
              <w:t>/</w:t>
            </w:r>
            <w:r w:rsidR="00F95CEE">
              <w:t xml:space="preserve"> </w:t>
            </w:r>
            <w:r w:rsidR="00F4346A">
              <w:t>insomnia disorder</w:t>
            </w:r>
            <w:r w:rsidR="000C170B">
              <w:t xml:space="preserve"> </w:t>
            </w:r>
            <w:r w:rsidR="001F0231">
              <w:t>/</w:t>
            </w:r>
            <w:r w:rsidR="000C170B">
              <w:t xml:space="preserve"> </w:t>
            </w:r>
            <w:r w:rsidR="001F0231">
              <w:t>sleep disorder</w:t>
            </w:r>
            <w:r w:rsidR="00BA4217">
              <w:t>.</w:t>
            </w:r>
            <w:r w:rsidR="001F0231">
              <w:t xml:space="preserve"> </w:t>
            </w:r>
            <w:r w:rsidR="00604172" w:rsidRPr="00604172">
              <w:rPr>
                <w:i/>
                <w:color w:val="00B050"/>
              </w:rPr>
              <w:t xml:space="preserve">My Notes:  </w:t>
            </w:r>
            <w:r w:rsidR="00604172" w:rsidRPr="00604172">
              <w:rPr>
                <w:i/>
              </w:rPr>
              <w:t xml:space="preserve">It is unclear, but it seems it </w:t>
            </w:r>
            <w:r w:rsidR="00604172">
              <w:rPr>
                <w:i/>
              </w:rPr>
              <w:t xml:space="preserve">can be “insomnia” or </w:t>
            </w:r>
            <w:r w:rsidR="00604172" w:rsidRPr="00604172">
              <w:rPr>
                <w:i/>
              </w:rPr>
              <w:t>“insomnia disorder” or “primary insomnia” or “sleep disorder</w:t>
            </w:r>
            <w:r w:rsidR="00604172">
              <w:rPr>
                <w:i/>
              </w:rPr>
              <w:t>,” per</w:t>
            </w:r>
            <w:r w:rsidR="00604172" w:rsidRPr="00604172">
              <w:rPr>
                <w:i/>
              </w:rPr>
              <w:t xml:space="preserve"> https://mhreference.org/dsm-codes/dsm-category/</w:t>
            </w:r>
            <w:r w:rsidR="00604172">
              <w:rPr>
                <w:i/>
                <w:iCs/>
              </w:rPr>
              <w:t xml:space="preserve"> </w:t>
            </w:r>
          </w:p>
          <w:p w:rsidR="00013EB8" w:rsidRDefault="00013EB8" w:rsidP="00F063AF">
            <w:pPr>
              <w:widowControl w:val="0"/>
              <w:numPr>
                <w:ilvl w:val="0"/>
                <w:numId w:val="115"/>
              </w:numPr>
              <w:tabs>
                <w:tab w:val="clear" w:pos="720"/>
                <w:tab w:val="num" w:pos="495"/>
              </w:tabs>
              <w:spacing w:after="120"/>
              <w:ind w:left="495"/>
            </w:pPr>
            <w:r>
              <w:rPr>
                <w:i/>
                <w:iCs/>
              </w:rPr>
              <w:t>jaundice (7399-7345)</w:t>
            </w:r>
            <w:r w:rsidR="006D05D1">
              <w:rPr>
                <w:i/>
                <w:iCs/>
              </w:rPr>
              <w:t xml:space="preserve">, </w:t>
            </w:r>
            <w:r w:rsidR="006D05D1">
              <w:rPr>
                <w:i/>
                <w:iCs/>
                <w:highlight w:val="cyan"/>
              </w:rPr>
              <w:t>symptom only, c</w:t>
            </w:r>
            <w:r w:rsidR="006D05D1" w:rsidRPr="00C83E11">
              <w:rPr>
                <w:i/>
                <w:iCs/>
                <w:highlight w:val="cyan"/>
              </w:rPr>
              <w:t xml:space="preserve">hoose </w:t>
            </w:r>
            <w:r w:rsidR="006D05D1" w:rsidRPr="00C83E11">
              <w:rPr>
                <w:i/>
                <w:color w:val="FF0000"/>
                <w:szCs w:val="22"/>
                <w:highlight w:val="cyan"/>
              </w:rPr>
              <w:t>No Actual Disability</w:t>
            </w:r>
            <w:r w:rsidR="006D05D1" w:rsidRPr="00C83E11">
              <w:rPr>
                <w:i/>
                <w:iCs/>
                <w:highlight w:val="cyan"/>
              </w:rPr>
              <w:t xml:space="preserve"> &amp; see abo</w:t>
            </w:r>
            <w:r w:rsidR="006D05D1">
              <w:rPr>
                <w:i/>
                <w:iCs/>
                <w:highlight w:val="cyan"/>
              </w:rPr>
              <w:t>ve</w:t>
            </w:r>
          </w:p>
          <w:p w:rsidR="00013EB8" w:rsidRDefault="00013EB8" w:rsidP="00F063AF">
            <w:pPr>
              <w:widowControl w:val="0"/>
              <w:numPr>
                <w:ilvl w:val="0"/>
                <w:numId w:val="115"/>
              </w:numPr>
              <w:tabs>
                <w:tab w:val="clear" w:pos="720"/>
                <w:tab w:val="num" w:pos="495"/>
              </w:tabs>
              <w:spacing w:after="120"/>
              <w:ind w:left="495"/>
            </w:pPr>
            <w:r>
              <w:rPr>
                <w:rStyle w:val="Emphasis"/>
              </w:rPr>
              <w:t>Klinefelter’s syndrome (7599-7523)</w:t>
            </w:r>
          </w:p>
          <w:p w:rsidR="00013EB8" w:rsidRDefault="00013EB8" w:rsidP="00F063AF">
            <w:pPr>
              <w:widowControl w:val="0"/>
              <w:numPr>
                <w:ilvl w:val="0"/>
                <w:numId w:val="115"/>
              </w:numPr>
              <w:tabs>
                <w:tab w:val="clear" w:pos="720"/>
                <w:tab w:val="num" w:pos="495"/>
              </w:tabs>
              <w:spacing w:after="120"/>
              <w:ind w:left="495"/>
              <w:rPr>
                <w:i/>
                <w:iCs/>
              </w:rPr>
            </w:pPr>
            <w:r>
              <w:rPr>
                <w:rStyle w:val="Emphasis"/>
              </w:rPr>
              <w:t>labile hypertension (7199-7101)</w:t>
            </w:r>
            <w:r w:rsidR="006D05D1">
              <w:rPr>
                <w:rStyle w:val="Emphasis"/>
              </w:rPr>
              <w:t xml:space="preserve">, </w:t>
            </w:r>
            <w:r w:rsidR="006D05D1">
              <w:rPr>
                <w:i/>
                <w:iCs/>
                <w:highlight w:val="cyan"/>
              </w:rPr>
              <w:t>c</w:t>
            </w:r>
            <w:r w:rsidR="006D05D1" w:rsidRPr="00C83E11">
              <w:rPr>
                <w:i/>
                <w:iCs/>
                <w:highlight w:val="cyan"/>
              </w:rPr>
              <w:t xml:space="preserve">hoose </w:t>
            </w:r>
            <w:r w:rsidR="006D05D1" w:rsidRPr="00C83E11">
              <w:rPr>
                <w:i/>
                <w:color w:val="FF0000"/>
                <w:szCs w:val="22"/>
                <w:highlight w:val="cyan"/>
              </w:rPr>
              <w:t>No Actual Disability</w:t>
            </w:r>
            <w:r w:rsidR="006D05D1" w:rsidRPr="00C83E11">
              <w:rPr>
                <w:i/>
                <w:iCs/>
                <w:highlight w:val="cyan"/>
              </w:rPr>
              <w:t xml:space="preserve"> &amp; see abo</w:t>
            </w:r>
            <w:r w:rsidR="006D05D1">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i/>
                <w:iCs/>
              </w:rPr>
              <w:t xml:space="preserve">lactose intolerance (7399-7319) </w:t>
            </w:r>
            <w:r w:rsidR="006D05D1">
              <w:rPr>
                <w:i/>
                <w:iCs/>
              </w:rPr>
              <w:t xml:space="preserve">, </w:t>
            </w:r>
            <w:r w:rsidR="006D05D1">
              <w:rPr>
                <w:i/>
                <w:iCs/>
                <w:highlight w:val="cyan"/>
              </w:rPr>
              <w:t>c</w:t>
            </w:r>
            <w:r w:rsidR="006D05D1" w:rsidRPr="00C83E11">
              <w:rPr>
                <w:i/>
                <w:iCs/>
                <w:highlight w:val="cyan"/>
              </w:rPr>
              <w:t xml:space="preserve">hoose </w:t>
            </w:r>
            <w:r w:rsidR="006D05D1" w:rsidRPr="00C83E11">
              <w:rPr>
                <w:i/>
                <w:color w:val="FF0000"/>
                <w:szCs w:val="22"/>
                <w:highlight w:val="cyan"/>
              </w:rPr>
              <w:t>No Actual Disability</w:t>
            </w:r>
            <w:r w:rsidR="006D05D1" w:rsidRPr="00C83E11">
              <w:rPr>
                <w:i/>
                <w:iCs/>
                <w:highlight w:val="cyan"/>
              </w:rPr>
              <w:t xml:space="preserve"> &amp; see abo</w:t>
            </w:r>
            <w:r w:rsidR="006D05D1">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i/>
                <w:iCs/>
              </w:rPr>
              <w:t>Lasik</w:t>
            </w:r>
            <w:r w:rsidR="006C6FF3">
              <w:rPr>
                <w:i/>
                <w:iCs/>
              </w:rPr>
              <w:t xml:space="preserve"> </w:t>
            </w:r>
            <w:r>
              <w:rPr>
                <w:i/>
                <w:iCs/>
              </w:rPr>
              <w:t>/</w:t>
            </w:r>
            <w:r w:rsidR="006C6FF3">
              <w:rPr>
                <w:i/>
                <w:iCs/>
              </w:rPr>
              <w:t xml:space="preserve"> </w:t>
            </w:r>
            <w:r>
              <w:rPr>
                <w:i/>
                <w:iCs/>
              </w:rPr>
              <w:t xml:space="preserve">PRK </w:t>
            </w:r>
            <w:r>
              <w:t>[without unexpected, disabling residuals, it’s ameliorative surgery</w:t>
            </w:r>
            <w:r w:rsidR="001A5E87">
              <w:t xml:space="preserve">, per </w:t>
            </w:r>
            <w:r w:rsidR="001A5E87" w:rsidRPr="000E2E8C">
              <w:rPr>
                <w:b/>
              </w:rPr>
              <w:t>III.iv.4.</w:t>
            </w:r>
            <w:r w:rsidR="000E2E8C" w:rsidRPr="000E2E8C">
              <w:rPr>
                <w:b/>
              </w:rPr>
              <w:t>C.3.d</w:t>
            </w:r>
            <w:r w:rsidR="001A5E87">
              <w:t xml:space="preserve"> &amp; </w:t>
            </w:r>
            <w:r w:rsidR="001A5E87" w:rsidRPr="001A5E87">
              <w:rPr>
                <w:b/>
              </w:rPr>
              <w:t>IV.ii.2.A.2</w:t>
            </w:r>
            <w:r>
              <w:t>]</w:t>
            </w:r>
            <w:r>
              <w:rPr>
                <w:i/>
                <w:iCs/>
              </w:rPr>
              <w:t xml:space="preserve"> (6099-6066</w:t>
            </w:r>
            <w:r w:rsidR="008A0160">
              <w:rPr>
                <w:i/>
                <w:iCs/>
              </w:rPr>
              <w:t xml:space="preserve">), </w:t>
            </w:r>
            <w:r w:rsidR="008C10E0" w:rsidRPr="0010111B">
              <w:rPr>
                <w:i/>
                <w:color w:val="FF0000"/>
                <w:sz w:val="22"/>
                <w:szCs w:val="22"/>
              </w:rPr>
              <w:t>Not Incurred/Caused by Service</w:t>
            </w:r>
            <w:r w:rsidR="008A0160">
              <w:t xml:space="preserve">, plus </w:t>
            </w:r>
            <w:r w:rsidR="008C10E0">
              <w:rPr>
                <w:rFonts w:ascii="Verdana" w:hAnsi="Verdana"/>
                <w:b/>
                <w:bCs/>
                <w:highlight w:val="green"/>
              </w:rPr>
              <w:t>NODX</w:t>
            </w:r>
            <w:r w:rsidR="008A0160" w:rsidRPr="008A0160">
              <w:rPr>
                <w:i/>
              </w:rPr>
              <w:t>, plus:</w:t>
            </w:r>
            <w:r w:rsidR="008A0160">
              <w:t xml:space="preserve"> </w:t>
            </w:r>
            <w:r w:rsidR="008C10E0">
              <w:t xml:space="preserve"> </w:t>
            </w:r>
            <w:r>
              <w:t xml:space="preserve">We can only establish service connection for an ameliorative surgery if there were disabling, </w:t>
            </w:r>
            <w:r w:rsidR="00641ABE">
              <w:t>unexpected residuals.</w:t>
            </w:r>
          </w:p>
          <w:p w:rsidR="00013EB8" w:rsidRDefault="00013EB8" w:rsidP="00F063AF">
            <w:pPr>
              <w:widowControl w:val="0"/>
              <w:numPr>
                <w:ilvl w:val="0"/>
                <w:numId w:val="115"/>
              </w:numPr>
              <w:tabs>
                <w:tab w:val="clear" w:pos="720"/>
                <w:tab w:val="num" w:pos="495"/>
              </w:tabs>
              <w:spacing w:after="120"/>
              <w:ind w:left="495"/>
              <w:rPr>
                <w:i/>
                <w:iCs/>
              </w:rPr>
            </w:pPr>
            <w:r>
              <w:rPr>
                <w:i/>
                <w:iCs/>
              </w:rPr>
              <w:t>low testosterone (7599-7523)</w:t>
            </w:r>
            <w:r w:rsidR="006D05D1">
              <w:rPr>
                <w:i/>
                <w:iCs/>
              </w:rPr>
              <w:t>,</w:t>
            </w:r>
            <w:r w:rsidR="006D05D1">
              <w:rPr>
                <w:i/>
                <w:iCs/>
                <w:highlight w:val="cyan"/>
              </w:rPr>
              <w:t>finding only, c</w:t>
            </w:r>
            <w:r w:rsidR="006D05D1" w:rsidRPr="00C83E11">
              <w:rPr>
                <w:i/>
                <w:iCs/>
                <w:highlight w:val="cyan"/>
              </w:rPr>
              <w:t xml:space="preserve">hoose </w:t>
            </w:r>
            <w:r w:rsidR="006D05D1" w:rsidRPr="00C83E11">
              <w:rPr>
                <w:i/>
                <w:color w:val="FF0000"/>
                <w:szCs w:val="22"/>
                <w:highlight w:val="cyan"/>
              </w:rPr>
              <w:t>No Actual Disability</w:t>
            </w:r>
            <w:r w:rsidR="006D05D1" w:rsidRPr="00C83E11">
              <w:rPr>
                <w:i/>
                <w:iCs/>
                <w:highlight w:val="cyan"/>
              </w:rPr>
              <w:t xml:space="preserve"> &amp; see abo</w:t>
            </w:r>
            <w:r w:rsidR="006D05D1">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i/>
                <w:iCs/>
              </w:rPr>
              <w:t xml:space="preserve">lumbago </w:t>
            </w:r>
            <w:r w:rsidR="000454C6" w:rsidRPr="000454C6">
              <w:rPr>
                <w:iCs/>
              </w:rPr>
              <w:t xml:space="preserve">or </w:t>
            </w:r>
            <w:r w:rsidR="000454C6">
              <w:rPr>
                <w:i/>
                <w:iCs/>
              </w:rPr>
              <w:t xml:space="preserve">mechanical low back pain </w:t>
            </w:r>
            <w:r>
              <w:rPr>
                <w:i/>
                <w:iCs/>
              </w:rPr>
              <w:t>(5299-5237</w:t>
            </w:r>
            <w:r w:rsidR="00C83E11">
              <w:rPr>
                <w:i/>
                <w:iCs/>
              </w:rPr>
              <w:t xml:space="preserve">), </w:t>
            </w:r>
            <w:r w:rsidR="00C83E11">
              <w:rPr>
                <w:i/>
                <w:iCs/>
                <w:highlight w:val="cyan"/>
              </w:rPr>
              <w:t>pain only, see</w:t>
            </w:r>
            <w:r w:rsidR="00C83E11" w:rsidRPr="00C83E11">
              <w:rPr>
                <w:i/>
                <w:iCs/>
                <w:highlight w:val="cyan"/>
              </w:rPr>
              <w:t xml:space="preserve"> above</w:t>
            </w:r>
            <w:r>
              <w:rPr>
                <w:i/>
                <w:iCs/>
              </w:rPr>
              <w:t xml:space="preserve"> </w:t>
            </w:r>
            <w:r w:rsidR="000454C6" w:rsidRPr="000454C6">
              <w:rPr>
                <w:iCs/>
              </w:rPr>
              <w:t xml:space="preserve">– per </w:t>
            </w:r>
            <w:r w:rsidR="003D044A">
              <w:rPr>
                <w:b/>
                <w:bCs/>
                <w:highlight w:val="magenta"/>
              </w:rPr>
              <w:t>STAR error</w:t>
            </w:r>
            <w:r w:rsidR="000454C6" w:rsidRPr="000454C6">
              <w:rPr>
                <w:iCs/>
              </w:rPr>
              <w:t>, if diagnosed by examiner but exam shows symptoms of a thoracolumbar spine disability, send back for clarification and new diagnosis, if any</w:t>
            </w:r>
          </w:p>
          <w:p w:rsidR="00013EB8" w:rsidRDefault="00013EB8" w:rsidP="00F063AF">
            <w:pPr>
              <w:widowControl w:val="0"/>
              <w:numPr>
                <w:ilvl w:val="0"/>
                <w:numId w:val="115"/>
              </w:numPr>
              <w:tabs>
                <w:tab w:val="clear" w:pos="720"/>
                <w:tab w:val="num" w:pos="495"/>
              </w:tabs>
              <w:spacing w:after="120"/>
              <w:ind w:left="495"/>
              <w:rPr>
                <w:rStyle w:val="Emphasis"/>
              </w:rPr>
            </w:pPr>
            <w:r>
              <w:rPr>
                <w:rStyle w:val="Emphasis"/>
              </w:rPr>
              <w:t>measles with no residuals (6399-6300</w:t>
            </w:r>
            <w:r w:rsidR="006D05D1">
              <w:rPr>
                <w:rStyle w:val="Emphasis"/>
              </w:rPr>
              <w:t>)</w:t>
            </w:r>
            <w:r w:rsidR="006D05D1">
              <w:rPr>
                <w:bCs/>
              </w:rPr>
              <w:t xml:space="preserve">, </w:t>
            </w:r>
            <w:r w:rsidR="006D05D1">
              <w:rPr>
                <w:rFonts w:ascii="Verdana" w:hAnsi="Verdana"/>
                <w:b/>
                <w:bCs/>
                <w:highlight w:val="green"/>
              </w:rPr>
              <w:t>AT</w:t>
            </w:r>
          </w:p>
          <w:p w:rsidR="009B04B0" w:rsidRPr="009B04B0" w:rsidRDefault="00013EB8" w:rsidP="00F063AF">
            <w:pPr>
              <w:widowControl w:val="0"/>
              <w:numPr>
                <w:ilvl w:val="0"/>
                <w:numId w:val="115"/>
              </w:numPr>
              <w:spacing w:after="120"/>
              <w:ind w:left="516"/>
              <w:rPr>
                <w:iCs/>
              </w:rPr>
            </w:pPr>
            <w:r>
              <w:rPr>
                <w:i/>
                <w:iCs/>
              </w:rPr>
              <w:t xml:space="preserve">mitral valve prolapse, if alone </w:t>
            </w:r>
            <w:r>
              <w:t>[finding only]</w:t>
            </w:r>
            <w:r>
              <w:rPr>
                <w:i/>
                <w:iCs/>
              </w:rPr>
              <w:t xml:space="preserve"> (7099-7000</w:t>
            </w:r>
            <w:r w:rsidR="006D05D1">
              <w:rPr>
                <w:i/>
                <w:iCs/>
              </w:rPr>
              <w:t xml:space="preserve">), </w:t>
            </w:r>
            <w:r w:rsidR="006D05D1">
              <w:rPr>
                <w:i/>
                <w:iCs/>
                <w:highlight w:val="cyan"/>
              </w:rPr>
              <w:t>finding only, c</w:t>
            </w:r>
            <w:r w:rsidR="006D05D1" w:rsidRPr="00C83E11">
              <w:rPr>
                <w:i/>
                <w:iCs/>
                <w:highlight w:val="cyan"/>
              </w:rPr>
              <w:t xml:space="preserve">hoose </w:t>
            </w:r>
            <w:r w:rsidR="006D05D1" w:rsidRPr="00C83E11">
              <w:rPr>
                <w:i/>
                <w:color w:val="FF0000"/>
                <w:szCs w:val="22"/>
                <w:highlight w:val="cyan"/>
              </w:rPr>
              <w:t>No Actual Disability</w:t>
            </w:r>
            <w:r w:rsidR="006D05D1" w:rsidRPr="00C83E11">
              <w:rPr>
                <w:i/>
                <w:iCs/>
                <w:highlight w:val="cyan"/>
              </w:rPr>
              <w:t xml:space="preserve"> &amp; see abo</w:t>
            </w:r>
            <w:r w:rsidR="006D05D1">
              <w:rPr>
                <w:i/>
                <w:iCs/>
                <w:highlight w:val="cyan"/>
              </w:rPr>
              <w:t>ve</w:t>
            </w:r>
            <w:r w:rsidR="006D05D1">
              <w:rPr>
                <w:i/>
                <w:iCs/>
              </w:rPr>
              <w:t>, plus</w:t>
            </w:r>
            <w:r w:rsidR="00B36405">
              <w:rPr>
                <w:i/>
                <w:iCs/>
              </w:rPr>
              <w:t>:</w:t>
            </w:r>
            <w:r w:rsidR="006D05D1">
              <w:rPr>
                <w:i/>
                <w:iCs/>
              </w:rPr>
              <w:t xml:space="preserve">  </w:t>
            </w:r>
            <w:r w:rsidR="009B04B0">
              <w:rPr>
                <w:iCs/>
              </w:rPr>
              <w:t>Your STRs show mitral valve prolaps</w:t>
            </w:r>
            <w:r w:rsidR="00A752A0">
              <w:rPr>
                <w:iCs/>
              </w:rPr>
              <w:t>e</w:t>
            </w:r>
            <w:r w:rsidR="009B04B0" w:rsidRPr="009B04B0">
              <w:rPr>
                <w:iCs/>
              </w:rPr>
              <w:t xml:space="preserve">, which </w:t>
            </w:r>
            <w:r w:rsidR="009B04B0">
              <w:rPr>
                <w:iCs/>
              </w:rPr>
              <w:t xml:space="preserve">is a finding when </w:t>
            </w:r>
            <w:r w:rsidR="009B04B0" w:rsidRPr="009B04B0">
              <w:rPr>
                <w:iCs/>
              </w:rPr>
              <w:t xml:space="preserve">alone (without a diagnosis of a specific disease process), and not </w:t>
            </w:r>
            <w:r w:rsidR="009B04B0">
              <w:rPr>
                <w:iCs/>
              </w:rPr>
              <w:t xml:space="preserve">an actually disabling condition </w:t>
            </w:r>
            <w:r w:rsidR="009B04B0" w:rsidRPr="009B04B0">
              <w:rPr>
                <w:iCs/>
              </w:rPr>
              <w:t>for which service connection can be granted.</w:t>
            </w:r>
          </w:p>
          <w:p w:rsidR="00013EB8" w:rsidRDefault="00013EB8" w:rsidP="00F063AF">
            <w:pPr>
              <w:widowControl w:val="0"/>
              <w:numPr>
                <w:ilvl w:val="0"/>
                <w:numId w:val="115"/>
              </w:numPr>
              <w:tabs>
                <w:tab w:val="clear" w:pos="720"/>
                <w:tab w:val="num" w:pos="495"/>
              </w:tabs>
              <w:spacing w:after="120"/>
              <w:ind w:left="495"/>
              <w:rPr>
                <w:i/>
                <w:iCs/>
              </w:rPr>
            </w:pPr>
            <w:r>
              <w:rPr>
                <w:i/>
                <w:iCs/>
              </w:rPr>
              <w:t>moles (7899-7819)</w:t>
            </w:r>
            <w:r w:rsidR="005F6BAF">
              <w:rPr>
                <w:i/>
                <w:iCs/>
              </w:rPr>
              <w:t xml:space="preserve"> </w:t>
            </w:r>
            <w:r w:rsidR="005F6BAF" w:rsidRPr="007B052A">
              <w:rPr>
                <w:iCs/>
              </w:rPr>
              <w:t xml:space="preserve">– MEPSS says </w:t>
            </w:r>
            <w:r w:rsidR="007B052A" w:rsidRPr="007B052A">
              <w:rPr>
                <w:iCs/>
              </w:rPr>
              <w:t>moles, dysplastic nevi &amp; skin tags are be</w:t>
            </w:r>
            <w:r w:rsidR="007B052A">
              <w:rPr>
                <w:iCs/>
              </w:rPr>
              <w:t>nign ski</w:t>
            </w:r>
            <w:r w:rsidR="003E3140">
              <w:rPr>
                <w:iCs/>
              </w:rPr>
              <w:t xml:space="preserve">n neoplasms under 7819; </w:t>
            </w:r>
            <w:r w:rsidR="003E3140" w:rsidRPr="003E3140">
              <w:rPr>
                <w:i/>
                <w:iCs/>
              </w:rPr>
              <w:t>Per QRT/</w:t>
            </w:r>
            <w:r w:rsidR="007B052A" w:rsidRPr="003E3140">
              <w:rPr>
                <w:i/>
                <w:iCs/>
              </w:rPr>
              <w:t>Larry Townsend, 6/29/16 - grant SC</w:t>
            </w:r>
            <w:r w:rsidR="007B052A" w:rsidRPr="007B052A">
              <w:rPr>
                <w:iCs/>
              </w:rPr>
              <w:t>.</w:t>
            </w:r>
          </w:p>
          <w:p w:rsidR="0013420C" w:rsidRPr="00D37092" w:rsidRDefault="0013420C" w:rsidP="00F063AF">
            <w:pPr>
              <w:widowControl w:val="0"/>
              <w:numPr>
                <w:ilvl w:val="0"/>
                <w:numId w:val="115"/>
              </w:numPr>
              <w:tabs>
                <w:tab w:val="clear" w:pos="720"/>
                <w:tab w:val="num" w:pos="495"/>
              </w:tabs>
              <w:spacing w:after="120"/>
              <w:ind w:left="490"/>
            </w:pPr>
            <w:r>
              <w:rPr>
                <w:rStyle w:val="Emphasis"/>
              </w:rPr>
              <w:t>mononucleosis</w:t>
            </w:r>
            <w:r>
              <w:t xml:space="preserve"> [usually acute]</w:t>
            </w:r>
            <w:r>
              <w:rPr>
                <w:rStyle w:val="Emphasis"/>
              </w:rPr>
              <w:t xml:space="preserve"> (7799-7709),</w:t>
            </w:r>
            <w:r>
              <w:rPr>
                <w:i/>
                <w:iCs/>
              </w:rPr>
              <w:t xml:space="preserve"> </w:t>
            </w:r>
            <w:r w:rsidR="006D05D1">
              <w:rPr>
                <w:i/>
                <w:iCs/>
                <w:highlight w:val="cyan"/>
              </w:rPr>
              <w:t>c</w:t>
            </w:r>
            <w:r w:rsidR="006D05D1" w:rsidRPr="00C83E11">
              <w:rPr>
                <w:i/>
                <w:iCs/>
                <w:highlight w:val="cyan"/>
              </w:rPr>
              <w:t xml:space="preserve">hoose </w:t>
            </w:r>
            <w:r w:rsidR="006D05D1" w:rsidRPr="00C83E11">
              <w:rPr>
                <w:i/>
                <w:color w:val="FF0000"/>
                <w:szCs w:val="22"/>
                <w:highlight w:val="cyan"/>
              </w:rPr>
              <w:t>No Actual Disability</w:t>
            </w:r>
            <w:r w:rsidR="006D05D1" w:rsidRPr="00C83E11">
              <w:rPr>
                <w:i/>
                <w:iCs/>
                <w:highlight w:val="cyan"/>
              </w:rPr>
              <w:t xml:space="preserve"> &amp; see abo</w:t>
            </w:r>
            <w:r w:rsidR="006D05D1">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rStyle w:val="Emphasis"/>
              </w:rPr>
              <w:t>mumps with no residuals (6399-6300)</w:t>
            </w:r>
            <w:r w:rsidR="006D05D1">
              <w:rPr>
                <w:bCs/>
              </w:rPr>
              <w:t xml:space="preserve">, </w:t>
            </w:r>
            <w:r w:rsidR="006D05D1">
              <w:rPr>
                <w:rFonts w:ascii="Verdana" w:hAnsi="Verdana"/>
                <w:b/>
                <w:bCs/>
                <w:highlight w:val="green"/>
              </w:rPr>
              <w:t>AT</w:t>
            </w:r>
          </w:p>
          <w:p w:rsidR="00013EB8" w:rsidRDefault="006D05D1" w:rsidP="00F063AF">
            <w:pPr>
              <w:widowControl w:val="0"/>
              <w:numPr>
                <w:ilvl w:val="0"/>
                <w:numId w:val="115"/>
              </w:numPr>
              <w:tabs>
                <w:tab w:val="clear" w:pos="720"/>
                <w:tab w:val="num" w:pos="495"/>
              </w:tabs>
              <w:spacing w:after="120"/>
              <w:ind w:left="495"/>
              <w:rPr>
                <w:i/>
                <w:iCs/>
              </w:rPr>
            </w:pPr>
            <w:r>
              <w:rPr>
                <w:i/>
                <w:iCs/>
              </w:rPr>
              <w:t xml:space="preserve">muscle cramps (5399-5301), </w:t>
            </w:r>
            <w:r>
              <w:rPr>
                <w:i/>
                <w:iCs/>
                <w:highlight w:val="cyan"/>
              </w:rPr>
              <w:t>symptom only, c</w:t>
            </w:r>
            <w:r w:rsidRPr="00C83E11">
              <w:rPr>
                <w:i/>
                <w:iCs/>
                <w:highlight w:val="cyan"/>
              </w:rPr>
              <w:t xml:space="preserve">hoose </w:t>
            </w:r>
            <w:r w:rsidRPr="00C83E11">
              <w:rPr>
                <w:i/>
                <w:color w:val="FF0000"/>
                <w:szCs w:val="22"/>
                <w:highlight w:val="cyan"/>
              </w:rPr>
              <w:t>No Actual Disability</w:t>
            </w:r>
            <w:r w:rsidRPr="00C83E11">
              <w:rPr>
                <w:i/>
                <w:iCs/>
                <w:highlight w:val="cyan"/>
              </w:rPr>
              <w:t xml:space="preserve"> &amp; see abo</w:t>
            </w:r>
            <w:r>
              <w:rPr>
                <w:i/>
                <w:iCs/>
                <w:highlight w:val="cyan"/>
              </w:rPr>
              <w:t>ve</w:t>
            </w:r>
          </w:p>
          <w:p w:rsidR="00013EB8" w:rsidRDefault="00013EB8" w:rsidP="00F063AF">
            <w:pPr>
              <w:widowControl w:val="0"/>
              <w:numPr>
                <w:ilvl w:val="0"/>
                <w:numId w:val="115"/>
              </w:numPr>
              <w:tabs>
                <w:tab w:val="clear" w:pos="720"/>
                <w:tab w:val="num" w:pos="516"/>
              </w:tabs>
              <w:spacing w:after="120"/>
              <w:ind w:left="516"/>
              <w:rPr>
                <w:i/>
                <w:iCs/>
              </w:rPr>
            </w:pPr>
            <w:r>
              <w:rPr>
                <w:i/>
                <w:iCs/>
              </w:rPr>
              <w:t>nasopharyngitis (6599-6521)</w:t>
            </w:r>
            <w:r w:rsidR="0061357F">
              <w:rPr>
                <w:i/>
                <w:iCs/>
              </w:rPr>
              <w:t xml:space="preserve"> or catarrhal fever (common cold) </w:t>
            </w:r>
            <w:r w:rsidR="00F95CEE" w:rsidRPr="00F95CEE">
              <w:rPr>
                <w:iCs/>
              </w:rPr>
              <w:t>[</w:t>
            </w:r>
            <w:r w:rsidR="0061357F" w:rsidRPr="00F95CEE">
              <w:rPr>
                <w:iCs/>
              </w:rPr>
              <w:t>acute per</w:t>
            </w:r>
            <w:r w:rsidR="0061357F">
              <w:rPr>
                <w:i/>
                <w:iCs/>
              </w:rPr>
              <w:t xml:space="preserve"> </w:t>
            </w:r>
            <w:r w:rsidR="003968CC" w:rsidRPr="003968CC">
              <w:rPr>
                <w:b/>
                <w:bCs/>
              </w:rPr>
              <w:t>IV.ii.2.B.1.g</w:t>
            </w:r>
            <w:r w:rsidR="00F95CEE">
              <w:rPr>
                <w:bCs/>
              </w:rPr>
              <w:t>]</w:t>
            </w:r>
            <w:r w:rsidR="00D37092">
              <w:rPr>
                <w:bCs/>
              </w:rPr>
              <w:t xml:space="preserve"> also </w:t>
            </w:r>
            <w:r w:rsidR="00D37092">
              <w:rPr>
                <w:rStyle w:val="Emphasis"/>
              </w:rPr>
              <w:t>upper respiratory infection / URI / cold / head cold / common cold</w:t>
            </w:r>
            <w:r w:rsidR="006D05D1">
              <w:rPr>
                <w:bCs/>
              </w:rPr>
              <w:t xml:space="preserve">, </w:t>
            </w:r>
            <w:r w:rsidR="006D05D1">
              <w:rPr>
                <w:rFonts w:ascii="Verdana" w:hAnsi="Verdana"/>
                <w:b/>
                <w:bCs/>
                <w:highlight w:val="green"/>
              </w:rPr>
              <w:t>AT</w:t>
            </w:r>
          </w:p>
          <w:p w:rsidR="00013EB8" w:rsidRDefault="006D05D1" w:rsidP="00F063AF">
            <w:pPr>
              <w:widowControl w:val="0"/>
              <w:numPr>
                <w:ilvl w:val="0"/>
                <w:numId w:val="115"/>
              </w:numPr>
              <w:tabs>
                <w:tab w:val="clear" w:pos="720"/>
                <w:tab w:val="num" w:pos="495"/>
              </w:tabs>
              <w:spacing w:after="120"/>
              <w:ind w:left="495"/>
              <w:rPr>
                <w:i/>
                <w:iCs/>
              </w:rPr>
            </w:pPr>
            <w:r>
              <w:rPr>
                <w:rStyle w:val="Emphasis"/>
              </w:rPr>
              <w:t>natural menopause (7699-7617),</w:t>
            </w:r>
            <w:r>
              <w:rPr>
                <w:i/>
                <w:iCs/>
              </w:rPr>
              <w:t xml:space="preserve"> </w:t>
            </w:r>
            <w:r>
              <w:rPr>
                <w:i/>
                <w:iCs/>
                <w:highlight w:val="cyan"/>
              </w:rPr>
              <w:t>c</w:t>
            </w:r>
            <w:r w:rsidRPr="00C83E11">
              <w:rPr>
                <w:i/>
                <w:iCs/>
                <w:highlight w:val="cyan"/>
              </w:rPr>
              <w:t xml:space="preserve">hoose </w:t>
            </w:r>
            <w:r w:rsidRPr="00C83E11">
              <w:rPr>
                <w:i/>
                <w:color w:val="FF0000"/>
                <w:szCs w:val="22"/>
                <w:highlight w:val="cyan"/>
              </w:rPr>
              <w:t>No Actual Disability</w:t>
            </w:r>
            <w:r w:rsidRPr="00C83E11">
              <w:rPr>
                <w:i/>
                <w:iCs/>
                <w:highlight w:val="cyan"/>
              </w:rPr>
              <w:t xml:space="preserve"> &amp; see abo</w:t>
            </w:r>
            <w:r>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i/>
                <w:iCs/>
              </w:rPr>
              <w:t>obesity</w:t>
            </w:r>
            <w:r w:rsidR="00F95CEE">
              <w:rPr>
                <w:i/>
                <w:iCs/>
              </w:rPr>
              <w:t xml:space="preserve"> </w:t>
            </w:r>
            <w:r>
              <w:rPr>
                <w:i/>
                <w:iCs/>
              </w:rPr>
              <w:t>/</w:t>
            </w:r>
            <w:r w:rsidR="00F95CEE">
              <w:rPr>
                <w:i/>
                <w:iCs/>
              </w:rPr>
              <w:t xml:space="preserve"> </w:t>
            </w:r>
            <w:r>
              <w:rPr>
                <w:i/>
                <w:iCs/>
              </w:rPr>
              <w:t>weight gain</w:t>
            </w:r>
            <w:r w:rsidR="00F95CEE">
              <w:rPr>
                <w:i/>
                <w:iCs/>
              </w:rPr>
              <w:t xml:space="preserve"> </w:t>
            </w:r>
            <w:r>
              <w:rPr>
                <w:i/>
                <w:iCs/>
              </w:rPr>
              <w:t>/</w:t>
            </w:r>
            <w:r w:rsidR="00F95CEE">
              <w:rPr>
                <w:i/>
                <w:iCs/>
              </w:rPr>
              <w:t xml:space="preserve"> </w:t>
            </w:r>
            <w:r>
              <w:rPr>
                <w:i/>
                <w:iCs/>
              </w:rPr>
              <w:t>weight loss</w:t>
            </w:r>
            <w:r w:rsidR="001A5E87">
              <w:rPr>
                <w:iCs/>
              </w:rPr>
              <w:t xml:space="preserve"> [obesity not a disease/injury per </w:t>
            </w:r>
            <w:r w:rsidR="001A5E87" w:rsidRPr="001A5E87">
              <w:rPr>
                <w:b/>
              </w:rPr>
              <w:t>IV.ii.2.A.2</w:t>
            </w:r>
            <w:r w:rsidR="002A1AF7">
              <w:rPr>
                <w:b/>
              </w:rPr>
              <w:t>.e</w:t>
            </w:r>
            <w:r w:rsidR="001A5E87">
              <w:t>]</w:t>
            </w:r>
            <w:r w:rsidR="00014883">
              <w:t xml:space="preserve">, but if obesity results from SC disability &amp; produces impairment beyond rating criteria, consider extra-schedular rating under 3.321(b)(1) per </w:t>
            </w:r>
            <w:r w:rsidR="00014883" w:rsidRPr="001A5E87">
              <w:rPr>
                <w:b/>
              </w:rPr>
              <w:t>IV.ii.2.A.2</w:t>
            </w:r>
            <w:r w:rsidR="002A1AF7">
              <w:rPr>
                <w:b/>
              </w:rPr>
              <w:t>.f</w:t>
            </w:r>
            <w:r w:rsidR="00014883">
              <w:t xml:space="preserve"> &amp; if caused a potential secondary disability, consider secondary SC under 3.310(a) per </w:t>
            </w:r>
            <w:r w:rsidR="00014883" w:rsidRPr="001A5E87">
              <w:rPr>
                <w:b/>
              </w:rPr>
              <w:t>IV.ii.2.A.2</w:t>
            </w:r>
            <w:r w:rsidR="002A1AF7">
              <w:rPr>
                <w:b/>
              </w:rPr>
              <w:t>.f</w:t>
            </w:r>
            <w:r w:rsidR="00014883" w:rsidRPr="00014883">
              <w:t>]</w:t>
            </w:r>
            <w:r>
              <w:rPr>
                <w:i/>
                <w:iCs/>
              </w:rPr>
              <w:t xml:space="preserve"> (7399-7310</w:t>
            </w:r>
            <w:r w:rsidR="00A67492">
              <w:rPr>
                <w:i/>
                <w:iCs/>
              </w:rPr>
              <w:t>, or 7999-7903</w:t>
            </w:r>
            <w:r>
              <w:rPr>
                <w:i/>
                <w:iCs/>
              </w:rPr>
              <w:t>)</w:t>
            </w:r>
            <w:r w:rsidR="00ED2099">
              <w:rPr>
                <w:i/>
                <w:iCs/>
              </w:rPr>
              <w:t xml:space="preserve">; </w:t>
            </w:r>
            <w:r w:rsidR="00ED2099">
              <w:rPr>
                <w:b/>
              </w:rPr>
              <w:t>Dec</w:t>
            </w:r>
            <w:r w:rsidR="00ED2099" w:rsidRPr="006732E3">
              <w:rPr>
                <w:b/>
              </w:rPr>
              <w:t>ember 2017 Compensation Service Bulletin (CSB)</w:t>
            </w:r>
            <w:r w:rsidR="00ED2099" w:rsidRPr="006732E3">
              <w:t xml:space="preserve"> –</w:t>
            </w:r>
            <w:r w:rsidR="00ED2099">
              <w:t xml:space="preserve"> reiterates the above</w:t>
            </w:r>
          </w:p>
          <w:p w:rsidR="00BA3470" w:rsidRDefault="00BA3470" w:rsidP="00F063AF">
            <w:pPr>
              <w:widowControl w:val="0"/>
              <w:numPr>
                <w:ilvl w:val="0"/>
                <w:numId w:val="115"/>
              </w:numPr>
              <w:tabs>
                <w:tab w:val="clear" w:pos="720"/>
                <w:tab w:val="num" w:pos="495"/>
              </w:tabs>
              <w:spacing w:after="120"/>
              <w:ind w:left="495"/>
              <w:rPr>
                <w:i/>
                <w:iCs/>
              </w:rPr>
            </w:pPr>
            <w:r>
              <w:rPr>
                <w:i/>
                <w:iCs/>
              </w:rPr>
              <w:t xml:space="preserve">ocular hypertension </w:t>
            </w:r>
            <w:r>
              <w:t>[finding</w:t>
            </w:r>
            <w:r w:rsidR="00F95CEE">
              <w:t xml:space="preserve"> only</w:t>
            </w:r>
            <w:r>
              <w:t>]</w:t>
            </w:r>
            <w:r>
              <w:rPr>
                <w:i/>
                <w:iCs/>
              </w:rPr>
              <w:t xml:space="preserve"> (6099-6013)</w:t>
            </w:r>
            <w:r w:rsidR="008A0160">
              <w:rPr>
                <w:rStyle w:val="Emphasis"/>
              </w:rPr>
              <w:t>,</w:t>
            </w:r>
            <w:r w:rsidR="008A0160">
              <w:rPr>
                <w:i/>
                <w:iCs/>
              </w:rPr>
              <w:t xml:space="preserve"> </w:t>
            </w:r>
            <w:r w:rsidR="008A0160">
              <w:rPr>
                <w:i/>
                <w:iCs/>
                <w:highlight w:val="cyan"/>
              </w:rPr>
              <w:t>finding only, 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p>
          <w:p w:rsidR="008A0160" w:rsidRDefault="00013EB8" w:rsidP="00F063AF">
            <w:pPr>
              <w:widowControl w:val="0"/>
              <w:numPr>
                <w:ilvl w:val="0"/>
                <w:numId w:val="115"/>
              </w:numPr>
              <w:tabs>
                <w:tab w:val="clear" w:pos="720"/>
                <w:tab w:val="num" w:pos="495"/>
              </w:tabs>
              <w:spacing w:after="120"/>
              <w:ind w:left="495"/>
              <w:rPr>
                <w:i/>
                <w:iCs/>
              </w:rPr>
            </w:pPr>
            <w:r>
              <w:rPr>
                <w:i/>
                <w:iCs/>
              </w:rPr>
              <w:t xml:space="preserve">osteopenia , if alone and no osteoporosis </w:t>
            </w:r>
            <w:r>
              <w:t>[finding only]</w:t>
            </w:r>
            <w:r>
              <w:rPr>
                <w:i/>
                <w:iCs/>
              </w:rPr>
              <w:t xml:space="preserve"> (5099-5013)</w:t>
            </w:r>
            <w:r w:rsidR="00AF22E8">
              <w:rPr>
                <w:i/>
                <w:iCs/>
              </w:rPr>
              <w:t xml:space="preserve">, confirmed by </w:t>
            </w:r>
            <w:r w:rsidR="00AF22E8" w:rsidRPr="006E501E">
              <w:rPr>
                <w:b/>
                <w:bCs/>
                <w:i/>
              </w:rPr>
              <w:t xml:space="preserve">December 2013 </w:t>
            </w:r>
            <w:r w:rsidR="00EB6F0B" w:rsidRPr="006E501E">
              <w:rPr>
                <w:b/>
                <w:bCs/>
                <w:i/>
              </w:rPr>
              <w:t>Compensation Service Bulletin (CSB)</w:t>
            </w:r>
            <w:r w:rsidR="008A0160">
              <w:rPr>
                <w:rStyle w:val="Emphasis"/>
              </w:rPr>
              <w:t>,</w:t>
            </w:r>
            <w:r w:rsidR="008A0160">
              <w:rPr>
                <w:i/>
                <w:iCs/>
              </w:rPr>
              <w:t xml:space="preserve"> </w:t>
            </w:r>
            <w:r w:rsidR="008A0160">
              <w:rPr>
                <w:i/>
                <w:iCs/>
                <w:highlight w:val="cyan"/>
              </w:rPr>
              <w:t>finding only, 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p>
          <w:p w:rsidR="00CD6F81" w:rsidRDefault="00CD6F81" w:rsidP="00F063AF">
            <w:pPr>
              <w:widowControl w:val="0"/>
              <w:numPr>
                <w:ilvl w:val="0"/>
                <w:numId w:val="115"/>
              </w:numPr>
              <w:tabs>
                <w:tab w:val="clear" w:pos="720"/>
                <w:tab w:val="num" w:pos="495"/>
              </w:tabs>
              <w:spacing w:after="120"/>
              <w:ind w:left="495"/>
              <w:rPr>
                <w:rStyle w:val="Emphasis"/>
              </w:rPr>
            </w:pPr>
            <w:r>
              <w:rPr>
                <w:rStyle w:val="Emphasis"/>
              </w:rPr>
              <w:t>pelvic pain (7699-7613)</w:t>
            </w:r>
            <w:r w:rsidR="00C83E11">
              <w:rPr>
                <w:i/>
                <w:iCs/>
              </w:rPr>
              <w:t xml:space="preserve">, </w:t>
            </w:r>
            <w:r w:rsidR="00C83E11">
              <w:rPr>
                <w:i/>
                <w:iCs/>
                <w:highlight w:val="cyan"/>
              </w:rPr>
              <w:t>pain only, see</w:t>
            </w:r>
            <w:r w:rsidR="00C83E11" w:rsidRPr="00C83E11">
              <w:rPr>
                <w:i/>
                <w:iCs/>
                <w:highlight w:val="cyan"/>
              </w:rPr>
              <w:t xml:space="preserve"> above</w:t>
            </w:r>
          </w:p>
          <w:p w:rsidR="004959B5" w:rsidRPr="004959B5" w:rsidRDefault="00013EB8" w:rsidP="00F96E36">
            <w:pPr>
              <w:widowControl w:val="0"/>
              <w:numPr>
                <w:ilvl w:val="0"/>
                <w:numId w:val="115"/>
              </w:numPr>
              <w:tabs>
                <w:tab w:val="clear" w:pos="720"/>
                <w:tab w:val="num" w:pos="495"/>
              </w:tabs>
              <w:overflowPunct/>
              <w:spacing w:after="120"/>
              <w:ind w:left="495"/>
              <w:textAlignment w:val="auto"/>
              <w:rPr>
                <w:i/>
                <w:iCs/>
              </w:rPr>
            </w:pPr>
            <w:r>
              <w:rPr>
                <w:rStyle w:val="Emphasis"/>
              </w:rPr>
              <w:t>penicillin</w:t>
            </w:r>
            <w:r w:rsidR="00F95CEE">
              <w:rPr>
                <w:rStyle w:val="Emphasis"/>
              </w:rPr>
              <w:t xml:space="preserve"> </w:t>
            </w:r>
            <w:r>
              <w:rPr>
                <w:rStyle w:val="Emphasis"/>
              </w:rPr>
              <w:t>/</w:t>
            </w:r>
            <w:r w:rsidR="00F95CEE">
              <w:rPr>
                <w:rStyle w:val="Emphasis"/>
              </w:rPr>
              <w:t xml:space="preserve"> </w:t>
            </w:r>
            <w:r>
              <w:rPr>
                <w:rStyle w:val="Emphasis"/>
              </w:rPr>
              <w:t>drug allergy (7099-7000)</w:t>
            </w:r>
            <w:r w:rsidR="008A0160">
              <w:rPr>
                <w:rStyle w:val="Emphasis"/>
              </w:rPr>
              <w:t>,</w:t>
            </w:r>
            <w:r w:rsidR="008A0160" w:rsidRPr="004959B5">
              <w:rPr>
                <w:i/>
                <w:iCs/>
                <w:highlight w:val="cyan"/>
              </w:rPr>
              <w:t xml:space="preserve">choose </w:t>
            </w:r>
            <w:r w:rsidR="008A0160" w:rsidRPr="004959B5">
              <w:rPr>
                <w:i/>
                <w:color w:val="FF0000"/>
                <w:szCs w:val="22"/>
                <w:highlight w:val="cyan"/>
              </w:rPr>
              <w:t>No Actual Disability</w:t>
            </w:r>
            <w:r w:rsidR="008A0160" w:rsidRPr="004959B5">
              <w:rPr>
                <w:i/>
                <w:iCs/>
                <w:highlight w:val="cyan"/>
              </w:rPr>
              <w:t xml:space="preserve"> &amp; see above</w:t>
            </w:r>
            <w:r w:rsidR="008A0160" w:rsidRPr="004959B5">
              <w:rPr>
                <w:i/>
                <w:iCs/>
              </w:rPr>
              <w:t xml:space="preserve">, plus </w:t>
            </w:r>
            <w:r w:rsidR="009447D8">
              <w:rPr>
                <w:rStyle w:val="Emphasis"/>
              </w:rPr>
              <w:t xml:space="preserve"> </w:t>
            </w:r>
            <w:r w:rsidR="009447D8" w:rsidRPr="004959B5">
              <w:rPr>
                <w:rFonts w:ascii="Verdana" w:hAnsi="Verdana"/>
                <w:b/>
                <w:bCs/>
                <w:highlight w:val="green"/>
              </w:rPr>
              <w:t>AL1</w:t>
            </w:r>
          </w:p>
          <w:p w:rsidR="00CB7BF6" w:rsidRDefault="00CB7BF6" w:rsidP="00F96E36">
            <w:pPr>
              <w:widowControl w:val="0"/>
              <w:numPr>
                <w:ilvl w:val="0"/>
                <w:numId w:val="115"/>
              </w:numPr>
              <w:tabs>
                <w:tab w:val="clear" w:pos="720"/>
                <w:tab w:val="num" w:pos="495"/>
              </w:tabs>
              <w:overflowPunct/>
              <w:spacing w:after="120"/>
              <w:ind w:left="495"/>
              <w:textAlignment w:val="auto"/>
              <w:rPr>
                <w:rStyle w:val="Emphasis"/>
              </w:rPr>
            </w:pPr>
            <w:r>
              <w:rPr>
                <w:rStyle w:val="Emphasis"/>
              </w:rPr>
              <w:t xml:space="preserve">pressure ulcers (7199-7121), </w:t>
            </w:r>
            <w:r w:rsidR="004959B5" w:rsidRPr="004959B5">
              <w:rPr>
                <w:i/>
                <w:iCs/>
                <w:highlight w:val="cyan"/>
              </w:rPr>
              <w:t xml:space="preserve">choose </w:t>
            </w:r>
            <w:r w:rsidR="004959B5" w:rsidRPr="004959B5">
              <w:rPr>
                <w:i/>
                <w:color w:val="FF0000"/>
                <w:szCs w:val="22"/>
                <w:highlight w:val="cyan"/>
              </w:rPr>
              <w:t>No Actual Disability</w:t>
            </w:r>
            <w:r w:rsidR="004959B5" w:rsidRPr="004959B5">
              <w:rPr>
                <w:i/>
                <w:iCs/>
                <w:highlight w:val="cyan"/>
              </w:rPr>
              <w:t xml:space="preserve"> &amp; see above</w:t>
            </w:r>
            <w:r w:rsidR="004959B5">
              <w:rPr>
                <w:rStyle w:val="Emphasis"/>
              </w:rPr>
              <w:t xml:space="preserve">; </w:t>
            </w:r>
            <w:r w:rsidR="004959B5" w:rsidRPr="004959B5">
              <w:rPr>
                <w:rStyle w:val="Emphasis"/>
              </w:rPr>
              <w:t>https://www.gpo.gov/fdsys/pkg/FR-2018-07-13/pdf/2018-14957.pdf</w:t>
            </w:r>
            <w:r w:rsidR="004959B5">
              <w:rPr>
                <w:rStyle w:val="Emphasis"/>
              </w:rPr>
              <w:t xml:space="preserve"> says </w:t>
            </w:r>
            <w:r w:rsidR="004959B5" w:rsidRPr="004959B5">
              <w:rPr>
                <w:rStyle w:val="Emphasis"/>
                <w:i w:val="0"/>
              </w:rPr>
              <w:t>“</w:t>
            </w:r>
            <w:r w:rsidR="004959B5" w:rsidRPr="004959B5">
              <w:rPr>
                <w:i/>
              </w:rPr>
              <w:t>pressure ulcers normally are not considered a skin condition warranting compensation</w:t>
            </w:r>
            <w:r w:rsidR="004959B5" w:rsidRPr="004959B5">
              <w:rPr>
                <w:rStyle w:val="Emphasis"/>
                <w:i w:val="0"/>
              </w:rPr>
              <w:t>.”</w:t>
            </w:r>
          </w:p>
          <w:p w:rsidR="008A0160" w:rsidRDefault="00013EB8" w:rsidP="00F063AF">
            <w:pPr>
              <w:widowControl w:val="0"/>
              <w:numPr>
                <w:ilvl w:val="0"/>
                <w:numId w:val="115"/>
              </w:numPr>
              <w:tabs>
                <w:tab w:val="clear" w:pos="720"/>
                <w:tab w:val="num" w:pos="495"/>
              </w:tabs>
              <w:spacing w:after="120"/>
              <w:ind w:left="495"/>
              <w:rPr>
                <w:i/>
                <w:iCs/>
              </w:rPr>
            </w:pPr>
            <w:r>
              <w:rPr>
                <w:rStyle w:val="Emphasis"/>
              </w:rPr>
              <w:t>primary drug</w:t>
            </w:r>
            <w:r w:rsidR="00F95CEE">
              <w:rPr>
                <w:rStyle w:val="Emphasis"/>
              </w:rPr>
              <w:t xml:space="preserve"> </w:t>
            </w:r>
            <w:r>
              <w:rPr>
                <w:rStyle w:val="Emphasis"/>
              </w:rPr>
              <w:t>/</w:t>
            </w:r>
            <w:r w:rsidR="00F95CEE">
              <w:rPr>
                <w:rStyle w:val="Emphasis"/>
              </w:rPr>
              <w:t xml:space="preserve"> </w:t>
            </w:r>
            <w:r>
              <w:rPr>
                <w:rStyle w:val="Emphasis"/>
              </w:rPr>
              <w:t>substance abuse (9399-9326</w:t>
            </w:r>
            <w:r w:rsidR="008A0160">
              <w:rPr>
                <w:rStyle w:val="Emphasis"/>
              </w:rPr>
              <w:t xml:space="preserve">), </w:t>
            </w:r>
            <w:r w:rsidR="008A0160">
              <w:rPr>
                <w:i/>
                <w:iCs/>
                <w:highlight w:val="cyan"/>
              </w:rPr>
              <w:t>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p>
          <w:p w:rsidR="008A0160" w:rsidRDefault="00013EB8" w:rsidP="00F063AF">
            <w:pPr>
              <w:widowControl w:val="0"/>
              <w:numPr>
                <w:ilvl w:val="0"/>
                <w:numId w:val="115"/>
              </w:numPr>
              <w:tabs>
                <w:tab w:val="clear" w:pos="720"/>
                <w:tab w:val="num" w:pos="495"/>
              </w:tabs>
              <w:spacing w:after="120"/>
              <w:ind w:left="495"/>
              <w:rPr>
                <w:i/>
                <w:iCs/>
              </w:rPr>
            </w:pPr>
            <w:r>
              <w:rPr>
                <w:rStyle w:val="Emphasis"/>
              </w:rPr>
              <w:t>primary enuresis (bed-wetting) (7599-7512)</w:t>
            </w:r>
            <w:r w:rsidR="008A0160">
              <w:rPr>
                <w:rStyle w:val="Emphasis"/>
              </w:rPr>
              <w:t xml:space="preserve">, </w:t>
            </w:r>
            <w:r w:rsidR="008A0160">
              <w:rPr>
                <w:i/>
                <w:iCs/>
                <w:highlight w:val="cyan"/>
              </w:rPr>
              <w:t>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p>
          <w:p w:rsidR="00013EB8" w:rsidRPr="008A0160" w:rsidRDefault="00013EB8" w:rsidP="00F063AF">
            <w:pPr>
              <w:widowControl w:val="0"/>
              <w:numPr>
                <w:ilvl w:val="0"/>
                <w:numId w:val="115"/>
              </w:numPr>
              <w:tabs>
                <w:tab w:val="clear" w:pos="720"/>
                <w:tab w:val="num" w:pos="495"/>
              </w:tabs>
              <w:spacing w:after="120"/>
              <w:ind w:left="495"/>
              <w:rPr>
                <w:i/>
                <w:iCs/>
              </w:rPr>
            </w:pPr>
            <w:r>
              <w:rPr>
                <w:i/>
                <w:iCs/>
              </w:rPr>
              <w:t xml:space="preserve">PPD converter </w:t>
            </w:r>
            <w:r>
              <w:t>[lab finding]</w:t>
            </w:r>
            <w:r>
              <w:rPr>
                <w:i/>
                <w:iCs/>
              </w:rPr>
              <w:t xml:space="preserve"> (6799-6731)</w:t>
            </w:r>
            <w:r w:rsidR="008A0160">
              <w:rPr>
                <w:rStyle w:val="Emphasis"/>
              </w:rPr>
              <w:t>,</w:t>
            </w:r>
            <w:r w:rsidR="008A0160">
              <w:rPr>
                <w:i/>
                <w:iCs/>
              </w:rPr>
              <w:t xml:space="preserve"> </w:t>
            </w:r>
            <w:r w:rsidR="008A0160">
              <w:rPr>
                <w:i/>
                <w:iCs/>
                <w:highlight w:val="cyan"/>
              </w:rPr>
              <w:t>finding only, 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r w:rsidR="008A0160">
              <w:rPr>
                <w:i/>
                <w:iCs/>
              </w:rPr>
              <w:t>, plus</w:t>
            </w:r>
            <w:r w:rsidR="008630FD" w:rsidRPr="008A0160">
              <w:rPr>
                <w:i/>
                <w:iCs/>
              </w:rPr>
              <w:t xml:space="preserve"> </w:t>
            </w:r>
            <w:r w:rsidR="008630FD" w:rsidRPr="008A0160">
              <w:rPr>
                <w:rFonts w:ascii="Verdana" w:hAnsi="Verdana"/>
                <w:b/>
                <w:bCs/>
                <w:highlight w:val="green"/>
              </w:rPr>
              <w:t>LAB</w:t>
            </w:r>
          </w:p>
          <w:p w:rsidR="00013EB8" w:rsidRDefault="00013EB8" w:rsidP="00F063AF">
            <w:pPr>
              <w:widowControl w:val="0"/>
              <w:numPr>
                <w:ilvl w:val="0"/>
                <w:numId w:val="115"/>
              </w:numPr>
              <w:tabs>
                <w:tab w:val="clear" w:pos="720"/>
                <w:tab w:val="num" w:pos="516"/>
              </w:tabs>
              <w:spacing w:after="120"/>
              <w:ind w:left="516"/>
              <w:rPr>
                <w:i/>
                <w:iCs/>
              </w:rPr>
            </w:pPr>
            <w:r>
              <w:rPr>
                <w:i/>
                <w:iCs/>
              </w:rPr>
              <w:t>pneumonia (6</w:t>
            </w:r>
            <w:r w:rsidR="00695768">
              <w:rPr>
                <w:i/>
                <w:iCs/>
              </w:rPr>
              <w:t>6</w:t>
            </w:r>
            <w:r>
              <w:rPr>
                <w:i/>
                <w:iCs/>
              </w:rPr>
              <w:t>99-6</w:t>
            </w:r>
            <w:r w:rsidR="00695768">
              <w:rPr>
                <w:i/>
                <w:iCs/>
              </w:rPr>
              <w:t>6</w:t>
            </w:r>
            <w:r>
              <w:rPr>
                <w:i/>
                <w:iCs/>
              </w:rPr>
              <w:t>00)</w:t>
            </w:r>
            <w:r w:rsidR="00F95CEE">
              <w:rPr>
                <w:i/>
                <w:iCs/>
              </w:rPr>
              <w:t xml:space="preserve"> </w:t>
            </w:r>
            <w:r w:rsidR="00F95CEE" w:rsidRPr="00F95CEE">
              <w:rPr>
                <w:iCs/>
              </w:rPr>
              <w:t>[</w:t>
            </w:r>
            <w:r w:rsidR="003968CC" w:rsidRPr="00F95CEE">
              <w:rPr>
                <w:iCs/>
              </w:rPr>
              <w:t>acute per</w:t>
            </w:r>
            <w:r w:rsidR="003968CC">
              <w:rPr>
                <w:i/>
                <w:iCs/>
              </w:rPr>
              <w:t xml:space="preserve"> </w:t>
            </w:r>
            <w:r w:rsidR="003968CC" w:rsidRPr="003968CC">
              <w:rPr>
                <w:b/>
              </w:rPr>
              <w:t>IV.ii.2.B.1.g</w:t>
            </w:r>
            <w:r w:rsidR="00F95CEE">
              <w:t>]</w:t>
            </w:r>
            <w:r w:rsidR="008A0160">
              <w:rPr>
                <w:bCs/>
              </w:rPr>
              <w:t xml:space="preserve">, </w:t>
            </w:r>
            <w:r w:rsidR="008A0160">
              <w:rPr>
                <w:rFonts w:ascii="Verdana" w:hAnsi="Verdana"/>
                <w:b/>
                <w:bCs/>
                <w:highlight w:val="green"/>
              </w:rPr>
              <w:t>AT</w:t>
            </w:r>
          </w:p>
          <w:p w:rsidR="00013EB8" w:rsidRDefault="00013EB8" w:rsidP="00F063AF">
            <w:pPr>
              <w:widowControl w:val="0"/>
              <w:numPr>
                <w:ilvl w:val="0"/>
                <w:numId w:val="115"/>
              </w:numPr>
              <w:tabs>
                <w:tab w:val="clear" w:pos="720"/>
                <w:tab w:val="num" w:pos="515"/>
              </w:tabs>
              <w:spacing w:after="120"/>
              <w:ind w:left="515"/>
              <w:rPr>
                <w:i/>
                <w:iCs/>
              </w:rPr>
            </w:pPr>
            <w:r>
              <w:rPr>
                <w:rStyle w:val="Emphasis"/>
              </w:rPr>
              <w:t>pregnancy</w:t>
            </w:r>
            <w:r w:rsidR="00F95CEE">
              <w:rPr>
                <w:rStyle w:val="Emphasis"/>
              </w:rPr>
              <w:t xml:space="preserve"> </w:t>
            </w:r>
            <w:r>
              <w:rPr>
                <w:rStyle w:val="Emphasis"/>
              </w:rPr>
              <w:t>/</w:t>
            </w:r>
            <w:r w:rsidR="00F95CEE">
              <w:rPr>
                <w:rStyle w:val="Emphasis"/>
              </w:rPr>
              <w:t xml:space="preserve"> </w:t>
            </w:r>
            <w:r>
              <w:rPr>
                <w:rStyle w:val="Emphasis"/>
              </w:rPr>
              <w:t>child birth</w:t>
            </w:r>
            <w:r w:rsidR="00F95CEE">
              <w:rPr>
                <w:rStyle w:val="Emphasis"/>
              </w:rPr>
              <w:t xml:space="preserve"> </w:t>
            </w:r>
            <w:r>
              <w:rPr>
                <w:rStyle w:val="Emphasis"/>
              </w:rPr>
              <w:t>/</w:t>
            </w:r>
            <w:r w:rsidR="00F95CEE">
              <w:rPr>
                <w:rStyle w:val="Emphasis"/>
              </w:rPr>
              <w:t xml:space="preserve"> </w:t>
            </w:r>
            <w:r>
              <w:rPr>
                <w:rStyle w:val="Emphasis"/>
              </w:rPr>
              <w:t>miscarriage</w:t>
            </w:r>
            <w:r w:rsidR="00F95CEE">
              <w:rPr>
                <w:rStyle w:val="Emphasis"/>
              </w:rPr>
              <w:t xml:space="preserve"> </w:t>
            </w:r>
            <w:r>
              <w:rPr>
                <w:rStyle w:val="Emphasis"/>
              </w:rPr>
              <w:t>/</w:t>
            </w:r>
            <w:r w:rsidR="00F95CEE">
              <w:rPr>
                <w:rStyle w:val="Emphasis"/>
              </w:rPr>
              <w:t xml:space="preserve"> </w:t>
            </w:r>
            <w:r>
              <w:rPr>
                <w:rStyle w:val="Emphasis"/>
              </w:rPr>
              <w:t>abortion (7699-7613</w:t>
            </w:r>
            <w:r w:rsidR="008A0160">
              <w:rPr>
                <w:rStyle w:val="Emphasis"/>
              </w:rPr>
              <w:t xml:space="preserve">), </w:t>
            </w:r>
            <w:r w:rsidR="008A0160">
              <w:rPr>
                <w:i/>
                <w:iCs/>
                <w:highlight w:val="cyan"/>
              </w:rPr>
              <w:t>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r w:rsidR="00D446C1">
              <w:rPr>
                <w:rStyle w:val="Emphasis"/>
              </w:rPr>
              <w:t xml:space="preserve">; </w:t>
            </w:r>
            <w:r w:rsidR="000B2D3A" w:rsidRPr="00CA24DF">
              <w:rPr>
                <w:i/>
              </w:rPr>
              <w:t>https://www.gpo.gov/fdsys/pkg/FR-2018-04-09/pdf/2018-07081.pdf</w:t>
            </w:r>
            <w:r w:rsidR="000B2D3A">
              <w:rPr>
                <w:rStyle w:val="Emphasis"/>
              </w:rPr>
              <w:t xml:space="preserve"> </w:t>
            </w:r>
            <w:r w:rsidR="00D446C1">
              <w:rPr>
                <w:rStyle w:val="Emphasis"/>
              </w:rPr>
              <w:t>says “Miscarriages themselves are not disabilities for VA rating purposes, as they do not result in impairment of earning capacity.”</w:t>
            </w:r>
          </w:p>
          <w:p w:rsidR="00013EB8" w:rsidRDefault="00013EB8" w:rsidP="00F063AF">
            <w:pPr>
              <w:widowControl w:val="0"/>
              <w:numPr>
                <w:ilvl w:val="0"/>
                <w:numId w:val="115"/>
              </w:numPr>
              <w:tabs>
                <w:tab w:val="clear" w:pos="720"/>
                <w:tab w:val="num" w:pos="495"/>
              </w:tabs>
              <w:spacing w:after="120"/>
              <w:ind w:left="495"/>
              <w:rPr>
                <w:i/>
                <w:iCs/>
              </w:rPr>
            </w:pPr>
            <w:r>
              <w:rPr>
                <w:i/>
                <w:iCs/>
              </w:rPr>
              <w:t xml:space="preserve">proteinuria </w:t>
            </w:r>
            <w:r w:rsidRPr="008630FD">
              <w:rPr>
                <w:iCs/>
              </w:rPr>
              <w:t>[lab finding]</w:t>
            </w:r>
            <w:r>
              <w:rPr>
                <w:i/>
                <w:iCs/>
              </w:rPr>
              <w:t xml:space="preserve"> (6799-6731</w:t>
            </w:r>
            <w:r w:rsidR="008A0160">
              <w:rPr>
                <w:i/>
                <w:iCs/>
              </w:rPr>
              <w:t>)</w:t>
            </w:r>
            <w:r w:rsidR="008A0160">
              <w:rPr>
                <w:rStyle w:val="Emphasis"/>
              </w:rPr>
              <w:t>,</w:t>
            </w:r>
            <w:r w:rsidR="008A0160">
              <w:rPr>
                <w:i/>
                <w:iCs/>
              </w:rPr>
              <w:t xml:space="preserve"> </w:t>
            </w:r>
            <w:r w:rsidR="008A0160">
              <w:rPr>
                <w:i/>
                <w:iCs/>
                <w:highlight w:val="cyan"/>
              </w:rPr>
              <w:t>finding only, 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r w:rsidR="008A0160">
              <w:rPr>
                <w:i/>
                <w:iCs/>
              </w:rPr>
              <w:t>, plus</w:t>
            </w:r>
            <w:r w:rsidR="008A0160" w:rsidRPr="008A0160">
              <w:rPr>
                <w:i/>
                <w:iCs/>
              </w:rPr>
              <w:t xml:space="preserve"> </w:t>
            </w:r>
            <w:r w:rsidR="008A0160" w:rsidRPr="008A0160">
              <w:rPr>
                <w:rFonts w:ascii="Verdana" w:hAnsi="Verdana"/>
                <w:b/>
                <w:bCs/>
                <w:highlight w:val="green"/>
              </w:rPr>
              <w:t>LAB</w:t>
            </w:r>
          </w:p>
          <w:p w:rsidR="00013EB8" w:rsidRDefault="00F95CEE" w:rsidP="00F063AF">
            <w:pPr>
              <w:widowControl w:val="0"/>
              <w:numPr>
                <w:ilvl w:val="0"/>
                <w:numId w:val="115"/>
              </w:numPr>
              <w:tabs>
                <w:tab w:val="clear" w:pos="720"/>
                <w:tab w:val="num" w:pos="495"/>
              </w:tabs>
              <w:spacing w:after="120"/>
              <w:ind w:left="495"/>
              <w:rPr>
                <w:rStyle w:val="Emphasis"/>
              </w:rPr>
            </w:pPr>
            <w:r>
              <w:rPr>
                <w:rStyle w:val="Emphasis"/>
              </w:rPr>
              <w:t>s</w:t>
            </w:r>
            <w:r w:rsidR="00013EB8">
              <w:rPr>
                <w:rStyle w:val="Emphasis"/>
              </w:rPr>
              <w:t>easickness</w:t>
            </w:r>
            <w:r>
              <w:rPr>
                <w:rStyle w:val="Emphasis"/>
              </w:rPr>
              <w:t xml:space="preserve"> </w:t>
            </w:r>
            <w:r w:rsidR="00013EB8">
              <w:rPr>
                <w:rStyle w:val="Emphasis"/>
              </w:rPr>
              <w:t>/</w:t>
            </w:r>
            <w:r>
              <w:rPr>
                <w:rStyle w:val="Emphasis"/>
              </w:rPr>
              <w:t xml:space="preserve"> </w:t>
            </w:r>
            <w:r w:rsidR="008A0160">
              <w:rPr>
                <w:rStyle w:val="Emphasis"/>
              </w:rPr>
              <w:t xml:space="preserve">motion sickness (6299-6204), </w:t>
            </w:r>
            <w:r w:rsidR="008A0160">
              <w:rPr>
                <w:i/>
                <w:iCs/>
                <w:highlight w:val="cyan"/>
              </w:rPr>
              <w:t>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i/>
                <w:iCs/>
              </w:rPr>
              <w:t>short term memory loss (9399-9310)</w:t>
            </w:r>
            <w:r w:rsidR="008A0160">
              <w:rPr>
                <w:rStyle w:val="Emphasis"/>
              </w:rPr>
              <w:t>,</w:t>
            </w:r>
            <w:r w:rsidR="008A0160">
              <w:rPr>
                <w:i/>
                <w:iCs/>
              </w:rPr>
              <w:t xml:space="preserve"> </w:t>
            </w:r>
            <w:r w:rsidR="008A0160">
              <w:rPr>
                <w:i/>
                <w:iCs/>
                <w:highlight w:val="cyan"/>
              </w:rPr>
              <w:t>symptom only, 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rStyle w:val="Emphasis"/>
              </w:rPr>
              <w:t>sickle cell</w:t>
            </w:r>
            <w:r w:rsidR="008A0160">
              <w:rPr>
                <w:rStyle w:val="Emphasis"/>
              </w:rPr>
              <w:t xml:space="preserve"> trait, asymptomatic (7799-7714), </w:t>
            </w:r>
            <w:r w:rsidR="008A0160">
              <w:rPr>
                <w:i/>
                <w:iCs/>
                <w:highlight w:val="cyan"/>
              </w:rPr>
              <w:t>finding only, 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r w:rsidR="008A0160">
              <w:rPr>
                <w:i/>
                <w:iCs/>
              </w:rPr>
              <w:t>, plus</w:t>
            </w:r>
            <w:r w:rsidR="008A0160" w:rsidRPr="008A0160">
              <w:rPr>
                <w:i/>
                <w:iCs/>
              </w:rPr>
              <w:t xml:space="preserve"> </w:t>
            </w:r>
            <w:r w:rsidR="008A0160" w:rsidRPr="008A0160">
              <w:rPr>
                <w:rFonts w:ascii="Verdana" w:hAnsi="Verdana"/>
                <w:b/>
                <w:bCs/>
                <w:highlight w:val="green"/>
              </w:rPr>
              <w:t>LAB</w:t>
            </w:r>
          </w:p>
          <w:p w:rsidR="00013EB8" w:rsidRPr="009B04B0" w:rsidRDefault="00013EB8" w:rsidP="00F063AF">
            <w:pPr>
              <w:widowControl w:val="0"/>
              <w:numPr>
                <w:ilvl w:val="0"/>
                <w:numId w:val="115"/>
              </w:numPr>
              <w:spacing w:after="120"/>
              <w:ind w:left="516"/>
              <w:rPr>
                <w:iCs/>
              </w:rPr>
            </w:pPr>
            <w:r>
              <w:rPr>
                <w:i/>
                <w:iCs/>
              </w:rPr>
              <w:t>sinus bradycardia</w:t>
            </w:r>
            <w:r w:rsidR="00F95CEE">
              <w:rPr>
                <w:i/>
                <w:iCs/>
              </w:rPr>
              <w:t xml:space="preserve"> </w:t>
            </w:r>
            <w:r>
              <w:rPr>
                <w:i/>
                <w:iCs/>
              </w:rPr>
              <w:t>/</w:t>
            </w:r>
            <w:r w:rsidR="00F95CEE">
              <w:rPr>
                <w:i/>
                <w:iCs/>
              </w:rPr>
              <w:t xml:space="preserve"> </w:t>
            </w:r>
            <w:r>
              <w:rPr>
                <w:i/>
                <w:iCs/>
              </w:rPr>
              <w:t>decreased heart rate</w:t>
            </w:r>
            <w:r w:rsidR="00F95CEE">
              <w:rPr>
                <w:i/>
                <w:iCs/>
              </w:rPr>
              <w:t xml:space="preserve"> </w:t>
            </w:r>
            <w:r w:rsidR="00C40489">
              <w:rPr>
                <w:i/>
                <w:iCs/>
              </w:rPr>
              <w:t>/</w:t>
            </w:r>
            <w:r w:rsidR="00F95CEE">
              <w:rPr>
                <w:i/>
                <w:iCs/>
              </w:rPr>
              <w:t xml:space="preserve"> </w:t>
            </w:r>
            <w:r w:rsidR="00C40489">
              <w:rPr>
                <w:i/>
                <w:iCs/>
              </w:rPr>
              <w:t xml:space="preserve">slow heart rate </w:t>
            </w:r>
            <w:r>
              <w:t xml:space="preserve">[finding only, if alone] </w:t>
            </w:r>
            <w:r w:rsidR="00644DCB">
              <w:rPr>
                <w:i/>
                <w:iCs/>
              </w:rPr>
              <w:t>(7099-701</w:t>
            </w:r>
            <w:r>
              <w:rPr>
                <w:i/>
                <w:iCs/>
              </w:rPr>
              <w:t>0)</w:t>
            </w:r>
            <w:r w:rsidR="008A0160">
              <w:rPr>
                <w:rStyle w:val="Emphasis"/>
              </w:rPr>
              <w:t>,</w:t>
            </w:r>
            <w:r w:rsidR="008A0160">
              <w:rPr>
                <w:i/>
                <w:iCs/>
              </w:rPr>
              <w:t xml:space="preserve"> </w:t>
            </w:r>
            <w:r w:rsidR="008A0160">
              <w:rPr>
                <w:i/>
                <w:iCs/>
                <w:highlight w:val="cyan"/>
              </w:rPr>
              <w:t>finding only, 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r w:rsidR="008A0160">
              <w:rPr>
                <w:i/>
                <w:iCs/>
              </w:rPr>
              <w:t xml:space="preserve">, plus:  </w:t>
            </w:r>
            <w:r w:rsidR="009B04B0" w:rsidRPr="009B04B0">
              <w:rPr>
                <w:iCs/>
              </w:rPr>
              <w:t xml:space="preserve">Your STRs show bradycardia, which </w:t>
            </w:r>
            <w:r w:rsidR="009B04B0">
              <w:rPr>
                <w:iCs/>
              </w:rPr>
              <w:t xml:space="preserve">is a finding when </w:t>
            </w:r>
            <w:r w:rsidR="009B04B0" w:rsidRPr="009B04B0">
              <w:rPr>
                <w:iCs/>
              </w:rPr>
              <w:t xml:space="preserve">alone (without a diagnosis of a specific disease process), and not </w:t>
            </w:r>
            <w:r w:rsidR="009B04B0">
              <w:rPr>
                <w:iCs/>
              </w:rPr>
              <w:t xml:space="preserve">an actually disabling condition </w:t>
            </w:r>
            <w:r w:rsidR="009B04B0" w:rsidRPr="009B04B0">
              <w:rPr>
                <w:iCs/>
              </w:rPr>
              <w:t>for which service connection can be granted.</w:t>
            </w:r>
          </w:p>
          <w:p w:rsidR="00013EB8" w:rsidRPr="006F33F5" w:rsidRDefault="00013EB8" w:rsidP="00F063AF">
            <w:pPr>
              <w:widowControl w:val="0"/>
              <w:numPr>
                <w:ilvl w:val="0"/>
                <w:numId w:val="115"/>
              </w:numPr>
              <w:tabs>
                <w:tab w:val="clear" w:pos="720"/>
                <w:tab w:val="num" w:pos="495"/>
              </w:tabs>
              <w:spacing w:after="120"/>
              <w:ind w:left="495"/>
              <w:rPr>
                <w:i/>
                <w:iCs/>
              </w:rPr>
            </w:pPr>
            <w:r w:rsidRPr="006F33F5">
              <w:rPr>
                <w:i/>
                <w:iCs/>
              </w:rPr>
              <w:t>skin tags (7899-7819</w:t>
            </w:r>
            <w:r w:rsidR="008A0160" w:rsidRPr="006F33F5">
              <w:rPr>
                <w:i/>
                <w:iCs/>
              </w:rPr>
              <w:t xml:space="preserve">), </w:t>
            </w:r>
            <w:r w:rsidR="008A0160" w:rsidRPr="006F33F5">
              <w:rPr>
                <w:i/>
                <w:iCs/>
                <w:highlight w:val="cyan"/>
              </w:rPr>
              <w:t xml:space="preserve">choose </w:t>
            </w:r>
            <w:r w:rsidR="008A0160" w:rsidRPr="006F33F5">
              <w:rPr>
                <w:i/>
                <w:color w:val="FF0000"/>
                <w:szCs w:val="22"/>
                <w:highlight w:val="cyan"/>
              </w:rPr>
              <w:t>No Actual Disability</w:t>
            </w:r>
            <w:r w:rsidR="008A0160" w:rsidRPr="006F33F5">
              <w:rPr>
                <w:i/>
                <w:iCs/>
                <w:highlight w:val="cyan"/>
              </w:rPr>
              <w:t xml:space="preserve"> &amp; see above</w:t>
            </w:r>
            <w:r w:rsidR="006F33F5" w:rsidRPr="006F33F5">
              <w:rPr>
                <w:i/>
                <w:iCs/>
              </w:rPr>
              <w:t xml:space="preserve"> </w:t>
            </w:r>
            <w:r w:rsidR="006F33F5" w:rsidRPr="006F33F5">
              <w:rPr>
                <w:iCs/>
              </w:rPr>
              <w:t>– MEPSS says moles, dysplastic nevi &amp; skin tags are benign skin neoplasms under 7819</w:t>
            </w:r>
          </w:p>
          <w:p w:rsidR="00013EB8" w:rsidRDefault="00013EB8" w:rsidP="00F063AF">
            <w:pPr>
              <w:widowControl w:val="0"/>
              <w:numPr>
                <w:ilvl w:val="0"/>
                <w:numId w:val="115"/>
              </w:numPr>
              <w:tabs>
                <w:tab w:val="clear" w:pos="720"/>
                <w:tab w:val="num" w:pos="495"/>
              </w:tabs>
              <w:spacing w:after="120"/>
              <w:ind w:left="495"/>
              <w:rPr>
                <w:rStyle w:val="Emphasis"/>
              </w:rPr>
            </w:pPr>
            <w:r>
              <w:rPr>
                <w:rStyle w:val="Emphasis"/>
              </w:rPr>
              <w:t>sleep walking (8199-8108</w:t>
            </w:r>
            <w:r w:rsidR="008A0160">
              <w:rPr>
                <w:rStyle w:val="Emphasis"/>
              </w:rPr>
              <w:t xml:space="preserve">), </w:t>
            </w:r>
            <w:r w:rsidR="008A0160">
              <w:rPr>
                <w:i/>
                <w:iCs/>
                <w:highlight w:val="cyan"/>
              </w:rPr>
              <w:t>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rStyle w:val="Emphasis"/>
              </w:rPr>
              <w:t xml:space="preserve">splenomegaly </w:t>
            </w:r>
            <w:r>
              <w:t xml:space="preserve">[finding only, if alone] </w:t>
            </w:r>
            <w:r>
              <w:rPr>
                <w:i/>
                <w:iCs/>
              </w:rPr>
              <w:t>(7799-7706)</w:t>
            </w:r>
            <w:r w:rsidR="008A0160">
              <w:rPr>
                <w:i/>
                <w:iCs/>
              </w:rPr>
              <w:t xml:space="preserve">, </w:t>
            </w:r>
            <w:r w:rsidR="008A0160">
              <w:rPr>
                <w:i/>
                <w:iCs/>
                <w:highlight w:val="cyan"/>
              </w:rPr>
              <w:t>finding only, 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i/>
                <w:iCs/>
              </w:rPr>
              <w:t>sterilization (7599-7523</w:t>
            </w:r>
            <w:r w:rsidR="008A0160">
              <w:rPr>
                <w:i/>
                <w:iCs/>
              </w:rPr>
              <w:t xml:space="preserve">), </w:t>
            </w:r>
            <w:r w:rsidR="008A0160" w:rsidRPr="000A0871">
              <w:rPr>
                <w:b/>
                <w:highlight w:val="green"/>
              </w:rPr>
              <w:t>Elective procedure</w:t>
            </w:r>
            <w:r w:rsidR="008A0160" w:rsidRPr="008A0160">
              <w:rPr>
                <w:i/>
              </w:rPr>
              <w:t>, plus:</w:t>
            </w:r>
            <w:r w:rsidR="008A0160">
              <w:t xml:space="preserve">  We can only establish service connection for an elective surgery if there were unexpected, disabling residuals.</w:t>
            </w:r>
          </w:p>
          <w:p w:rsidR="00013EB8" w:rsidRDefault="00013EB8" w:rsidP="00F063AF">
            <w:pPr>
              <w:widowControl w:val="0"/>
              <w:numPr>
                <w:ilvl w:val="0"/>
                <w:numId w:val="115"/>
              </w:numPr>
              <w:tabs>
                <w:tab w:val="clear" w:pos="720"/>
                <w:tab w:val="num" w:pos="495"/>
              </w:tabs>
              <w:spacing w:after="120"/>
              <w:ind w:left="495"/>
              <w:rPr>
                <w:i/>
                <w:iCs/>
              </w:rPr>
            </w:pPr>
            <w:r>
              <w:rPr>
                <w:i/>
                <w:iCs/>
              </w:rPr>
              <w:t>stretch marks (7899-7805</w:t>
            </w:r>
            <w:r w:rsidR="008A0160">
              <w:rPr>
                <w:i/>
                <w:iCs/>
              </w:rPr>
              <w:t xml:space="preserve">), </w:t>
            </w:r>
            <w:r w:rsidR="008A0160">
              <w:rPr>
                <w:i/>
                <w:iCs/>
                <w:highlight w:val="cyan"/>
              </w:rPr>
              <w:t>ch</w:t>
            </w:r>
            <w:r w:rsidR="008A0160" w:rsidRPr="00C83E11">
              <w:rPr>
                <w:i/>
                <w:iCs/>
                <w:highlight w:val="cyan"/>
              </w:rPr>
              <w:t xml:space="preserve">oose </w:t>
            </w:r>
            <w:r w:rsidR="008A0160" w:rsidRPr="00C83E11">
              <w:rPr>
                <w:i/>
                <w:color w:val="FF0000"/>
                <w:szCs w:val="22"/>
                <w:highlight w:val="cyan"/>
              </w:rPr>
              <w:t>No Actual Disability</w:t>
            </w:r>
            <w:r w:rsidR="008A0160" w:rsidRPr="00C83E11">
              <w:rPr>
                <w:i/>
                <w:iCs/>
                <w:highlight w:val="cyan"/>
              </w:rPr>
              <w:t xml:space="preserve"> &amp; see abo</w:t>
            </w:r>
            <w:r w:rsidR="008A0160">
              <w:rPr>
                <w:i/>
                <w:iCs/>
                <w:highlight w:val="cyan"/>
              </w:rPr>
              <w:t>ve</w:t>
            </w:r>
          </w:p>
          <w:p w:rsidR="00CD6F81" w:rsidRDefault="00B36405" w:rsidP="00F063AF">
            <w:pPr>
              <w:widowControl w:val="0"/>
              <w:numPr>
                <w:ilvl w:val="0"/>
                <w:numId w:val="115"/>
              </w:numPr>
              <w:tabs>
                <w:tab w:val="clear" w:pos="720"/>
                <w:tab w:val="num" w:pos="495"/>
              </w:tabs>
              <w:spacing w:after="120"/>
              <w:ind w:left="495"/>
              <w:rPr>
                <w:rStyle w:val="Emphasis"/>
              </w:rPr>
            </w:pPr>
            <w:r>
              <w:rPr>
                <w:rStyle w:val="Emphasis"/>
              </w:rPr>
              <w:t>sun sensitivity (7899-7806</w:t>
            </w:r>
            <w:r>
              <w:rPr>
                <w:i/>
                <w:iCs/>
              </w:rPr>
              <w:t xml:space="preserve">), </w:t>
            </w:r>
            <w:r>
              <w:rPr>
                <w:i/>
                <w:iCs/>
                <w:highlight w:val="cyan"/>
              </w:rPr>
              <w:t>ch</w:t>
            </w:r>
            <w:r w:rsidRPr="00C83E11">
              <w:rPr>
                <w:i/>
                <w:iCs/>
                <w:highlight w:val="cyan"/>
              </w:rPr>
              <w:t xml:space="preserve">oose </w:t>
            </w:r>
            <w:r w:rsidRPr="00C83E11">
              <w:rPr>
                <w:i/>
                <w:color w:val="FF0000"/>
                <w:szCs w:val="22"/>
                <w:highlight w:val="cyan"/>
              </w:rPr>
              <w:t>No Actual Disability</w:t>
            </w:r>
            <w:r w:rsidRPr="00C83E11">
              <w:rPr>
                <w:i/>
                <w:iCs/>
                <w:highlight w:val="cyan"/>
              </w:rPr>
              <w:t xml:space="preserve"> &amp; see abo</w:t>
            </w:r>
            <w:r>
              <w:rPr>
                <w:i/>
                <w:iCs/>
                <w:highlight w:val="cyan"/>
              </w:rPr>
              <w:t>ve</w:t>
            </w:r>
          </w:p>
          <w:p w:rsidR="00494562" w:rsidRDefault="00494562" w:rsidP="00F063AF">
            <w:pPr>
              <w:widowControl w:val="0"/>
              <w:numPr>
                <w:ilvl w:val="0"/>
                <w:numId w:val="115"/>
              </w:numPr>
              <w:tabs>
                <w:tab w:val="clear" w:pos="720"/>
                <w:tab w:val="num" w:pos="495"/>
              </w:tabs>
              <w:spacing w:after="120"/>
              <w:ind w:left="495"/>
            </w:pPr>
            <w:r>
              <w:rPr>
                <w:rStyle w:val="Emphasis"/>
              </w:rPr>
              <w:t>temperature</w:t>
            </w:r>
            <w:r w:rsidR="00F95CEE">
              <w:rPr>
                <w:rStyle w:val="Emphasis"/>
              </w:rPr>
              <w:t xml:space="preserve"> intolerance </w:t>
            </w:r>
            <w:r>
              <w:rPr>
                <w:rStyle w:val="Emphasis"/>
              </w:rPr>
              <w:t>/</w:t>
            </w:r>
            <w:r w:rsidR="00F95CEE">
              <w:rPr>
                <w:rStyle w:val="Emphasis"/>
              </w:rPr>
              <w:t xml:space="preserve"> </w:t>
            </w:r>
            <w:r>
              <w:rPr>
                <w:rStyle w:val="Emphasis"/>
              </w:rPr>
              <w:t>cold</w:t>
            </w:r>
            <w:r w:rsidR="00F95CEE">
              <w:rPr>
                <w:rStyle w:val="Emphasis"/>
              </w:rPr>
              <w:t xml:space="preserve"> intolerance </w:t>
            </w:r>
            <w:r>
              <w:rPr>
                <w:rStyle w:val="Emphasis"/>
              </w:rPr>
              <w:t>/</w:t>
            </w:r>
            <w:r w:rsidR="00F95CEE">
              <w:rPr>
                <w:rStyle w:val="Emphasis"/>
              </w:rPr>
              <w:t xml:space="preserve"> </w:t>
            </w:r>
            <w:r w:rsidR="00B36405">
              <w:rPr>
                <w:rStyle w:val="Emphasis"/>
              </w:rPr>
              <w:t>heat intolerance (7099-7000</w:t>
            </w:r>
            <w:r w:rsidR="00B36405">
              <w:rPr>
                <w:i/>
                <w:iCs/>
              </w:rPr>
              <w:t xml:space="preserve">), </w:t>
            </w:r>
            <w:r w:rsidR="00B36405">
              <w:rPr>
                <w:i/>
                <w:iCs/>
                <w:highlight w:val="cyan"/>
              </w:rPr>
              <w:t>ch</w:t>
            </w:r>
            <w:r w:rsidR="00B36405" w:rsidRPr="00C83E11">
              <w:rPr>
                <w:i/>
                <w:iCs/>
                <w:highlight w:val="cyan"/>
              </w:rPr>
              <w:t xml:space="preserve">oose </w:t>
            </w:r>
            <w:r w:rsidR="00B36405" w:rsidRPr="00C83E11">
              <w:rPr>
                <w:i/>
                <w:color w:val="FF0000"/>
                <w:szCs w:val="22"/>
                <w:highlight w:val="cyan"/>
              </w:rPr>
              <w:t>No Actual Disability</w:t>
            </w:r>
            <w:r w:rsidR="00B36405" w:rsidRPr="00C83E11">
              <w:rPr>
                <w:i/>
                <w:iCs/>
                <w:highlight w:val="cyan"/>
              </w:rPr>
              <w:t xml:space="preserve"> &amp; see abo</w:t>
            </w:r>
            <w:r w:rsidR="00B36405">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i/>
                <w:iCs/>
              </w:rPr>
              <w:t xml:space="preserve">tobacco dependence </w:t>
            </w:r>
            <w:r>
              <w:t>[not a disease or injury for compensation purposes]</w:t>
            </w:r>
            <w:r>
              <w:rPr>
                <w:i/>
                <w:iCs/>
              </w:rPr>
              <w:t xml:space="preserve"> (6699-6600)</w:t>
            </w:r>
            <w:r w:rsidR="00B36405">
              <w:rPr>
                <w:i/>
                <w:iCs/>
              </w:rPr>
              <w:t xml:space="preserve">, </w:t>
            </w:r>
            <w:r w:rsidR="00B36405">
              <w:rPr>
                <w:i/>
                <w:iCs/>
                <w:highlight w:val="cyan"/>
              </w:rPr>
              <w:t>ch</w:t>
            </w:r>
            <w:r w:rsidR="00B36405" w:rsidRPr="00C83E11">
              <w:rPr>
                <w:i/>
                <w:iCs/>
                <w:highlight w:val="cyan"/>
              </w:rPr>
              <w:t xml:space="preserve">oose </w:t>
            </w:r>
            <w:r w:rsidR="00B36405" w:rsidRPr="00C83E11">
              <w:rPr>
                <w:i/>
                <w:color w:val="FF0000"/>
                <w:szCs w:val="22"/>
                <w:highlight w:val="cyan"/>
              </w:rPr>
              <w:t>No Actual Disability</w:t>
            </w:r>
            <w:r w:rsidR="00B36405" w:rsidRPr="00C83E11">
              <w:rPr>
                <w:i/>
                <w:iCs/>
                <w:highlight w:val="cyan"/>
              </w:rPr>
              <w:t xml:space="preserve"> &amp; see abo</w:t>
            </w:r>
            <w:r w:rsidR="00B36405">
              <w:rPr>
                <w:i/>
                <w:iCs/>
                <w:highlight w:val="cyan"/>
              </w:rPr>
              <w:t>ve</w:t>
            </w:r>
          </w:p>
          <w:p w:rsidR="00013EB8" w:rsidRDefault="00013EB8" w:rsidP="00F063AF">
            <w:pPr>
              <w:widowControl w:val="0"/>
              <w:numPr>
                <w:ilvl w:val="0"/>
                <w:numId w:val="115"/>
              </w:numPr>
              <w:tabs>
                <w:tab w:val="clear" w:pos="720"/>
                <w:tab w:val="num" w:pos="495"/>
              </w:tabs>
              <w:spacing w:after="120"/>
              <w:ind w:left="495"/>
              <w:rPr>
                <w:i/>
                <w:iCs/>
              </w:rPr>
            </w:pPr>
            <w:r>
              <w:rPr>
                <w:i/>
                <w:iCs/>
              </w:rPr>
              <w:t>tonsillitis</w:t>
            </w:r>
            <w:r w:rsidR="00F95CEE">
              <w:rPr>
                <w:i/>
                <w:iCs/>
              </w:rPr>
              <w:t xml:space="preserve"> </w:t>
            </w:r>
            <w:r>
              <w:rPr>
                <w:i/>
                <w:iCs/>
              </w:rPr>
              <w:t>/</w:t>
            </w:r>
            <w:r w:rsidR="00F95CEE">
              <w:rPr>
                <w:i/>
                <w:iCs/>
              </w:rPr>
              <w:t xml:space="preserve"> </w:t>
            </w:r>
            <w:r>
              <w:rPr>
                <w:i/>
                <w:iCs/>
              </w:rPr>
              <w:t>tonsillectomy (6599-6516)</w:t>
            </w:r>
            <w:r w:rsidR="0004034D">
              <w:rPr>
                <w:iCs/>
              </w:rPr>
              <w:t xml:space="preserve"> – seems you can grant if chronic in service,</w:t>
            </w:r>
            <w:r w:rsidR="0004034D" w:rsidRPr="0050635A">
              <w:t xml:space="preserve"> </w:t>
            </w:r>
            <w:r w:rsidR="0004034D" w:rsidRPr="0004034D">
              <w:rPr>
                <w:b/>
              </w:rPr>
              <w:t>III.iv.4</w:t>
            </w:r>
            <w:r w:rsidR="009E2330">
              <w:rPr>
                <w:b/>
              </w:rPr>
              <w:t>.F.6</w:t>
            </w:r>
            <w:r w:rsidR="00B36405">
              <w:t>, or</w:t>
            </w:r>
            <w:r w:rsidR="005F06A3">
              <w:t xml:space="preserve"> choose </w:t>
            </w:r>
            <w:r w:rsidR="005F06A3" w:rsidRPr="005F06A3">
              <w:rPr>
                <w:i/>
                <w:color w:val="FF0000"/>
                <w:szCs w:val="22"/>
              </w:rPr>
              <w:t>Acute and Transitory</w:t>
            </w:r>
            <w:r w:rsidR="00B36405" w:rsidRPr="005F06A3">
              <w:rPr>
                <w:bCs/>
                <w:sz w:val="18"/>
              </w:rPr>
              <w:t xml:space="preserve"> </w:t>
            </w:r>
            <w:r w:rsidR="005F06A3" w:rsidRPr="005F06A3">
              <w:rPr>
                <w:bCs/>
              </w:rPr>
              <w:t xml:space="preserve">&amp; use </w:t>
            </w:r>
            <w:r w:rsidR="00B36405">
              <w:rPr>
                <w:rFonts w:ascii="Verdana" w:hAnsi="Verdana"/>
                <w:b/>
                <w:bCs/>
                <w:highlight w:val="green"/>
              </w:rPr>
              <w:t>AT</w:t>
            </w:r>
            <w:r w:rsidR="005F06A3">
              <w:rPr>
                <w:rFonts w:ascii="Verdana" w:hAnsi="Verdana"/>
                <w:b/>
                <w:bCs/>
              </w:rPr>
              <w:t xml:space="preserve">, </w:t>
            </w:r>
            <w:r w:rsidR="005F06A3">
              <w:rPr>
                <w:rFonts w:ascii="Verdana" w:hAnsi="Verdana"/>
                <w:b/>
                <w:bCs/>
                <w:highlight w:val="green"/>
              </w:rPr>
              <w:t>NOCONT</w:t>
            </w:r>
            <w:r w:rsidR="005F06A3">
              <w:rPr>
                <w:rFonts w:ascii="Verdana" w:hAnsi="Verdana"/>
                <w:b/>
                <w:bCs/>
              </w:rPr>
              <w:t xml:space="preserve"> &amp; </w:t>
            </w:r>
            <w:r w:rsidR="005F06A3">
              <w:rPr>
                <w:rFonts w:ascii="Verdana" w:hAnsi="Verdana"/>
                <w:b/>
                <w:bCs/>
                <w:highlight w:val="green"/>
              </w:rPr>
              <w:t>NODX</w:t>
            </w:r>
          </w:p>
          <w:p w:rsidR="00013EB8" w:rsidRDefault="00013EB8" w:rsidP="00F063AF">
            <w:pPr>
              <w:widowControl w:val="0"/>
              <w:numPr>
                <w:ilvl w:val="0"/>
                <w:numId w:val="115"/>
              </w:numPr>
              <w:tabs>
                <w:tab w:val="clear" w:pos="720"/>
                <w:tab w:val="num" w:pos="495"/>
              </w:tabs>
              <w:spacing w:after="120"/>
              <w:ind w:left="495"/>
              <w:rPr>
                <w:i/>
                <w:iCs/>
              </w:rPr>
            </w:pPr>
            <w:r>
              <w:rPr>
                <w:i/>
                <w:iCs/>
              </w:rPr>
              <w:t xml:space="preserve">undescended, or congenitally undeveloped testis </w:t>
            </w:r>
            <w:r>
              <w:t>[not a ratable disability</w:t>
            </w:r>
            <w:r w:rsidR="005B22B5">
              <w:t>,</w:t>
            </w:r>
            <w:r>
              <w:t xml:space="preserve"> per note under 7524] </w:t>
            </w:r>
            <w:r w:rsidR="00B36405">
              <w:rPr>
                <w:i/>
                <w:iCs/>
              </w:rPr>
              <w:t xml:space="preserve">(7599-7523), </w:t>
            </w:r>
            <w:r w:rsidR="00B36405">
              <w:rPr>
                <w:i/>
                <w:iCs/>
                <w:highlight w:val="cyan"/>
              </w:rPr>
              <w:t>ch</w:t>
            </w:r>
            <w:r w:rsidR="00B36405" w:rsidRPr="00C83E11">
              <w:rPr>
                <w:i/>
                <w:iCs/>
                <w:highlight w:val="cyan"/>
              </w:rPr>
              <w:t xml:space="preserve">oose </w:t>
            </w:r>
            <w:r w:rsidR="00B36405" w:rsidRPr="00C83E11">
              <w:rPr>
                <w:i/>
                <w:color w:val="FF0000"/>
                <w:szCs w:val="22"/>
                <w:highlight w:val="cyan"/>
              </w:rPr>
              <w:t>No Actual Disability</w:t>
            </w:r>
            <w:r w:rsidR="00B36405" w:rsidRPr="00C83E11">
              <w:rPr>
                <w:i/>
                <w:iCs/>
                <w:highlight w:val="cyan"/>
              </w:rPr>
              <w:t xml:space="preserve"> &amp; see abo</w:t>
            </w:r>
            <w:r w:rsidR="00B36405">
              <w:rPr>
                <w:i/>
                <w:iCs/>
                <w:highlight w:val="cyan"/>
              </w:rPr>
              <w:t>ve</w:t>
            </w:r>
          </w:p>
          <w:p w:rsidR="005B22B5" w:rsidRDefault="005B22B5" w:rsidP="00F063AF">
            <w:pPr>
              <w:widowControl w:val="0"/>
              <w:numPr>
                <w:ilvl w:val="0"/>
                <w:numId w:val="115"/>
              </w:numPr>
              <w:tabs>
                <w:tab w:val="clear" w:pos="720"/>
                <w:tab w:val="num" w:pos="495"/>
              </w:tabs>
              <w:spacing w:after="120"/>
              <w:ind w:left="495"/>
              <w:rPr>
                <w:i/>
                <w:iCs/>
              </w:rPr>
            </w:pPr>
            <w:r>
              <w:rPr>
                <w:i/>
                <w:iCs/>
              </w:rPr>
              <w:t xml:space="preserve">upper airway resistance syndrome (UARS) </w:t>
            </w:r>
            <w:r>
              <w:rPr>
                <w:iCs/>
              </w:rPr>
              <w:t>[not a ratable disability, per</w:t>
            </w:r>
            <w:r w:rsidR="00C1445C">
              <w:rPr>
                <w:iCs/>
              </w:rPr>
              <w:t xml:space="preserve"> </w:t>
            </w:r>
            <w:r w:rsidR="00C1445C" w:rsidRPr="00C1445C">
              <w:rPr>
                <w:b/>
                <w:iCs/>
              </w:rPr>
              <w:t>III.iv.3.D.4.m</w:t>
            </w:r>
            <w:r w:rsidR="00C1445C" w:rsidRPr="00C1445C">
              <w:rPr>
                <w:iCs/>
                <w:sz w:val="18"/>
              </w:rPr>
              <w:t xml:space="preserve"> </w:t>
            </w:r>
            <w:r w:rsidR="00C1445C" w:rsidRPr="00C1445C">
              <w:rPr>
                <w:iCs/>
              </w:rPr>
              <w:t>&amp;</w:t>
            </w:r>
            <w:r w:rsidR="00C1445C">
              <w:rPr>
                <w:iCs/>
              </w:rPr>
              <w:t xml:space="preserve"> </w:t>
            </w:r>
            <w:r w:rsidR="00C1445C">
              <w:rPr>
                <w:b/>
                <w:iCs/>
              </w:rPr>
              <w:t>III.iv.4.F.5.f</w:t>
            </w:r>
            <w:r>
              <w:rPr>
                <w:iCs/>
              </w:rPr>
              <w:t>]</w:t>
            </w:r>
            <w:r w:rsidR="00C1445C">
              <w:rPr>
                <w:i/>
                <w:iCs/>
              </w:rPr>
              <w:t xml:space="preserve">, </w:t>
            </w:r>
            <w:r w:rsidR="00C1445C" w:rsidRPr="00C1445C">
              <w:rPr>
                <w:i/>
                <w:iCs/>
                <w:highlight w:val="cyan"/>
              </w:rPr>
              <w:t xml:space="preserve">I </w:t>
            </w:r>
            <w:r w:rsidR="00C1445C">
              <w:rPr>
                <w:i/>
                <w:iCs/>
                <w:highlight w:val="cyan"/>
              </w:rPr>
              <w:t xml:space="preserve">think </w:t>
            </w:r>
            <w:r w:rsidR="00B36405" w:rsidRPr="00C1445C">
              <w:rPr>
                <w:i/>
                <w:color w:val="FF0000"/>
                <w:szCs w:val="22"/>
                <w:highlight w:val="cyan"/>
              </w:rPr>
              <w:t>No Actual Disability</w:t>
            </w:r>
            <w:r w:rsidR="00B36405" w:rsidRPr="00C1445C">
              <w:rPr>
                <w:i/>
                <w:iCs/>
                <w:highlight w:val="cyan"/>
              </w:rPr>
              <w:t xml:space="preserve"> </w:t>
            </w:r>
            <w:r w:rsidR="00C1445C" w:rsidRPr="00C1445C">
              <w:rPr>
                <w:i/>
                <w:iCs/>
                <w:highlight w:val="cyan"/>
              </w:rPr>
              <w:t>(</w:t>
            </w:r>
            <w:r w:rsidR="00B36405" w:rsidRPr="00C1445C">
              <w:rPr>
                <w:i/>
                <w:iCs/>
                <w:highlight w:val="cyan"/>
              </w:rPr>
              <w:t xml:space="preserve">&amp; </w:t>
            </w:r>
            <w:r w:rsidR="00C1445C" w:rsidRPr="00C1445C">
              <w:rPr>
                <w:i/>
                <w:iCs/>
                <w:highlight w:val="cyan"/>
              </w:rPr>
              <w:t xml:space="preserve">sentences </w:t>
            </w:r>
            <w:r w:rsidR="00B36405" w:rsidRPr="00C1445C">
              <w:rPr>
                <w:i/>
                <w:iCs/>
                <w:highlight w:val="cyan"/>
              </w:rPr>
              <w:t>above</w:t>
            </w:r>
            <w:r w:rsidR="00C1445C">
              <w:rPr>
                <w:i/>
                <w:iCs/>
                <w:highlight w:val="cyan"/>
              </w:rPr>
              <w:t>) is more appropriate</w:t>
            </w:r>
            <w:r w:rsidR="00C1445C" w:rsidRPr="00C1445C">
              <w:rPr>
                <w:i/>
                <w:iCs/>
              </w:rPr>
              <w:t>,</w:t>
            </w:r>
            <w:r w:rsidR="00C1445C">
              <w:rPr>
                <w:i/>
                <w:iCs/>
              </w:rPr>
              <w:t xml:space="preserve"> </w:t>
            </w:r>
            <w:r w:rsidR="00A76FED">
              <w:rPr>
                <w:iCs/>
              </w:rPr>
              <w:t xml:space="preserve">but </w:t>
            </w:r>
            <w:r w:rsidR="00C1445C" w:rsidRPr="00C1445C">
              <w:rPr>
                <w:b/>
                <w:iCs/>
              </w:rPr>
              <w:t>III.iv.4.F.5.f</w:t>
            </w:r>
            <w:r w:rsidR="00C1445C" w:rsidRPr="00C1445C">
              <w:rPr>
                <w:iCs/>
              </w:rPr>
              <w:t xml:space="preserve"> says use</w:t>
            </w:r>
            <w:r w:rsidR="00C1445C">
              <w:rPr>
                <w:i/>
                <w:iCs/>
              </w:rPr>
              <w:t xml:space="preserve"> </w:t>
            </w:r>
            <w:r w:rsidR="00C1445C" w:rsidRPr="00C1445C">
              <w:rPr>
                <w:i/>
                <w:iCs/>
                <w:color w:val="FF0000"/>
              </w:rPr>
              <w:t>No Diagnosis</w:t>
            </w:r>
          </w:p>
          <w:p w:rsidR="00013EB8" w:rsidRDefault="00013EB8" w:rsidP="00F063AF">
            <w:pPr>
              <w:widowControl w:val="0"/>
              <w:numPr>
                <w:ilvl w:val="0"/>
                <w:numId w:val="115"/>
              </w:numPr>
              <w:tabs>
                <w:tab w:val="clear" w:pos="720"/>
                <w:tab w:val="num" w:pos="495"/>
              </w:tabs>
              <w:spacing w:after="120"/>
              <w:ind w:left="495"/>
              <w:rPr>
                <w:i/>
                <w:iCs/>
              </w:rPr>
            </w:pPr>
            <w:r>
              <w:rPr>
                <w:i/>
                <w:iCs/>
              </w:rPr>
              <w:t xml:space="preserve">urinary frequency </w:t>
            </w:r>
            <w:r>
              <w:t>[symptom only, if alone]</w:t>
            </w:r>
            <w:r w:rsidR="00B36405">
              <w:rPr>
                <w:i/>
                <w:iCs/>
              </w:rPr>
              <w:t xml:space="preserve"> (7599-7512), </w:t>
            </w:r>
            <w:r w:rsidR="00B36405">
              <w:rPr>
                <w:i/>
                <w:iCs/>
                <w:highlight w:val="cyan"/>
              </w:rPr>
              <w:t>symptom only, ch</w:t>
            </w:r>
            <w:r w:rsidR="00B36405" w:rsidRPr="00C83E11">
              <w:rPr>
                <w:i/>
                <w:iCs/>
                <w:highlight w:val="cyan"/>
              </w:rPr>
              <w:t xml:space="preserve">oose </w:t>
            </w:r>
            <w:r w:rsidR="00B36405" w:rsidRPr="00C83E11">
              <w:rPr>
                <w:i/>
                <w:color w:val="FF0000"/>
                <w:szCs w:val="22"/>
                <w:highlight w:val="cyan"/>
              </w:rPr>
              <w:t>No Actual Disability</w:t>
            </w:r>
            <w:r w:rsidR="00B36405" w:rsidRPr="00C83E11">
              <w:rPr>
                <w:i/>
                <w:iCs/>
                <w:highlight w:val="cyan"/>
              </w:rPr>
              <w:t xml:space="preserve"> &amp; see abo</w:t>
            </w:r>
            <w:r w:rsidR="00B36405">
              <w:rPr>
                <w:i/>
                <w:iCs/>
                <w:highlight w:val="cyan"/>
              </w:rPr>
              <w:t>ve</w:t>
            </w:r>
          </w:p>
          <w:p w:rsidR="00013EB8" w:rsidRPr="00D37092" w:rsidRDefault="00013EB8" w:rsidP="00F063AF">
            <w:pPr>
              <w:widowControl w:val="0"/>
              <w:numPr>
                <w:ilvl w:val="0"/>
                <w:numId w:val="115"/>
              </w:numPr>
              <w:tabs>
                <w:tab w:val="clear" w:pos="720"/>
              </w:tabs>
              <w:spacing w:after="120"/>
              <w:ind w:left="475"/>
            </w:pPr>
            <w:r>
              <w:rPr>
                <w:i/>
                <w:iCs/>
              </w:rPr>
              <w:t>urinary tract infection</w:t>
            </w:r>
            <w:r w:rsidR="00E523DD">
              <w:rPr>
                <w:i/>
                <w:iCs/>
              </w:rPr>
              <w:t xml:space="preserve"> (UTI)</w:t>
            </w:r>
            <w:r>
              <w:rPr>
                <w:i/>
                <w:iCs/>
              </w:rPr>
              <w:t xml:space="preserve"> </w:t>
            </w:r>
            <w:r>
              <w:t xml:space="preserve">[usually acute] </w:t>
            </w:r>
            <w:r w:rsidR="00617ED9">
              <w:rPr>
                <w:i/>
                <w:iCs/>
              </w:rPr>
              <w:t xml:space="preserve">(7599-7516), </w:t>
            </w:r>
            <w:r w:rsidR="00B36405">
              <w:rPr>
                <w:i/>
                <w:iCs/>
              </w:rPr>
              <w:t xml:space="preserve"> </w:t>
            </w:r>
            <w:r w:rsidR="00B36405">
              <w:rPr>
                <w:i/>
                <w:iCs/>
                <w:highlight w:val="cyan"/>
              </w:rPr>
              <w:t>ch</w:t>
            </w:r>
            <w:r w:rsidR="00B36405" w:rsidRPr="00C83E11">
              <w:rPr>
                <w:i/>
                <w:iCs/>
                <w:highlight w:val="cyan"/>
              </w:rPr>
              <w:t xml:space="preserve">oose </w:t>
            </w:r>
            <w:r w:rsidR="00B36405" w:rsidRPr="00C83E11">
              <w:rPr>
                <w:i/>
                <w:color w:val="FF0000"/>
                <w:szCs w:val="22"/>
                <w:highlight w:val="cyan"/>
              </w:rPr>
              <w:t>No Actual Disability</w:t>
            </w:r>
            <w:r w:rsidR="00B36405" w:rsidRPr="00C83E11">
              <w:rPr>
                <w:i/>
                <w:iCs/>
                <w:highlight w:val="cyan"/>
              </w:rPr>
              <w:t xml:space="preserve"> &amp; see abo</w:t>
            </w:r>
            <w:r w:rsidR="00B36405">
              <w:rPr>
                <w:i/>
                <w:iCs/>
                <w:highlight w:val="cyan"/>
              </w:rPr>
              <w:t>ve</w:t>
            </w:r>
          </w:p>
          <w:p w:rsidR="00F24B87" w:rsidRPr="00F24B87" w:rsidRDefault="00F24B87" w:rsidP="00F063AF">
            <w:pPr>
              <w:numPr>
                <w:ilvl w:val="0"/>
                <w:numId w:val="115"/>
              </w:numPr>
              <w:tabs>
                <w:tab w:val="clear" w:pos="720"/>
                <w:tab w:val="num" w:pos="495"/>
              </w:tabs>
              <w:spacing w:after="120"/>
              <w:ind w:left="495"/>
            </w:pPr>
            <w:r w:rsidRPr="00250462">
              <w:rPr>
                <w:i/>
              </w:rPr>
              <w:t>uvulopalatopharyngoplasty / UPPP</w:t>
            </w:r>
            <w:r>
              <w:t xml:space="preserve"> </w:t>
            </w:r>
            <w:r>
              <w:rPr>
                <w:i/>
                <w:iCs/>
              </w:rPr>
              <w:t>(6599-6515)</w:t>
            </w:r>
            <w:r>
              <w:rPr>
                <w:iCs/>
              </w:rPr>
              <w:t xml:space="preserve">, if no residuals, then </w:t>
            </w:r>
            <w:r w:rsidR="00B36405">
              <w:rPr>
                <w:i/>
                <w:iCs/>
                <w:highlight w:val="cyan"/>
              </w:rPr>
              <w:t>ch</w:t>
            </w:r>
            <w:r w:rsidR="00B36405" w:rsidRPr="00C83E11">
              <w:rPr>
                <w:i/>
                <w:iCs/>
                <w:highlight w:val="cyan"/>
              </w:rPr>
              <w:t xml:space="preserve">oose </w:t>
            </w:r>
            <w:r w:rsidR="00B36405" w:rsidRPr="00C83E11">
              <w:rPr>
                <w:i/>
                <w:color w:val="FF0000"/>
                <w:szCs w:val="22"/>
                <w:highlight w:val="cyan"/>
              </w:rPr>
              <w:t>No Actual Disability</w:t>
            </w:r>
            <w:r w:rsidR="00B36405">
              <w:rPr>
                <w:i/>
                <w:iCs/>
              </w:rPr>
              <w:t>, plus</w:t>
            </w:r>
            <w:r>
              <w:rPr>
                <w:i/>
                <w:iCs/>
              </w:rPr>
              <w:t>:</w:t>
            </w:r>
            <w:r w:rsidR="00B36405">
              <w:rPr>
                <w:i/>
                <w:iCs/>
              </w:rPr>
              <w:t xml:space="preserve"> </w:t>
            </w:r>
            <w:r>
              <w:rPr>
                <w:i/>
                <w:iCs/>
              </w:rPr>
              <w:t xml:space="preserve"> </w:t>
            </w:r>
            <w:r>
              <w:rPr>
                <w:iCs/>
              </w:rPr>
              <w:t xml:space="preserve">A </w:t>
            </w:r>
            <w:r>
              <w:t>uvulopalatopharyngoplasty is a surgical procedure and not an actual disability.</w:t>
            </w:r>
            <w:r w:rsidR="00771D3C">
              <w:t xml:space="preserve"> The DBQ shows no residuals.</w:t>
            </w:r>
          </w:p>
          <w:p w:rsidR="00013EB8" w:rsidRPr="00736F4F" w:rsidRDefault="00013EB8" w:rsidP="00F063AF">
            <w:pPr>
              <w:numPr>
                <w:ilvl w:val="0"/>
                <w:numId w:val="115"/>
              </w:numPr>
              <w:tabs>
                <w:tab w:val="clear" w:pos="720"/>
                <w:tab w:val="num" w:pos="495"/>
              </w:tabs>
              <w:spacing w:after="120"/>
              <w:ind w:left="495"/>
            </w:pPr>
            <w:r>
              <w:rPr>
                <w:i/>
                <w:iCs/>
              </w:rPr>
              <w:t xml:space="preserve">vasectomy </w:t>
            </w:r>
            <w:r>
              <w:t>[without unexpected, disabling residuals, it’s elective surgery</w:t>
            </w:r>
            <w:r w:rsidR="00FF0858">
              <w:t xml:space="preserve">, per </w:t>
            </w:r>
            <w:r w:rsidR="001A5E87" w:rsidRPr="001A5E87">
              <w:rPr>
                <w:b/>
              </w:rPr>
              <w:t>IV.ii.2.A.2</w:t>
            </w:r>
            <w:r w:rsidR="001A5E87">
              <w:rPr>
                <w:b/>
              </w:rPr>
              <w:t>.b</w:t>
            </w:r>
            <w:r>
              <w:t>]</w:t>
            </w:r>
            <w:r>
              <w:rPr>
                <w:i/>
                <w:iCs/>
              </w:rPr>
              <w:t xml:space="preserve"> (7599-7525)</w:t>
            </w:r>
            <w:r w:rsidR="00617ED9">
              <w:rPr>
                <w:i/>
                <w:iCs/>
              </w:rPr>
              <w:t>,</w:t>
            </w:r>
            <w:r>
              <w:rPr>
                <w:i/>
                <w:iCs/>
              </w:rPr>
              <w:t xml:space="preserve"> </w:t>
            </w:r>
            <w:r w:rsidR="008A0160" w:rsidRPr="000A0871">
              <w:rPr>
                <w:b/>
                <w:highlight w:val="green"/>
              </w:rPr>
              <w:t>Elective procedure</w:t>
            </w:r>
            <w:r w:rsidR="008A0160">
              <w:rPr>
                <w:i/>
                <w:sz w:val="16"/>
                <w:szCs w:val="16"/>
              </w:rPr>
              <w:t xml:space="preserve"> </w:t>
            </w:r>
            <w:r w:rsidR="008A0160" w:rsidRPr="00B36405">
              <w:rPr>
                <w:i/>
              </w:rPr>
              <w:t>plus:</w:t>
            </w:r>
            <w:r w:rsidR="008A0160">
              <w:rPr>
                <w:i/>
                <w:sz w:val="16"/>
                <w:szCs w:val="16"/>
              </w:rPr>
              <w:t xml:space="preserve">  </w:t>
            </w:r>
            <w:r w:rsidR="008A0160" w:rsidRPr="004F685F">
              <w:t xml:space="preserve">We can only establish service connection for an elective </w:t>
            </w:r>
            <w:r w:rsidR="008A0160">
              <w:t>procedure</w:t>
            </w:r>
            <w:r w:rsidR="008A0160" w:rsidRPr="004F685F">
              <w:t xml:space="preserve"> if there were unexpected, disabling residuals.</w:t>
            </w:r>
            <w:r w:rsidR="00DD6BA6">
              <w:t xml:space="preserve"> *</w:t>
            </w:r>
            <w:r w:rsidR="00DD6BA6">
              <w:rPr>
                <w:iCs/>
              </w:rPr>
              <w:t>w</w:t>
            </w:r>
            <w:r w:rsidR="00DD6BA6" w:rsidRPr="00F93DDC">
              <w:rPr>
                <w:iCs/>
              </w:rPr>
              <w:t xml:space="preserve">ill be added to manual per VA Pulse, </w:t>
            </w:r>
            <w:r w:rsidR="00736F4F" w:rsidRPr="00846475">
              <w:rPr>
                <w:i/>
                <w:iCs/>
              </w:rPr>
              <w:t>https://www.vapulse.net/thread/10077</w:t>
            </w:r>
          </w:p>
          <w:p w:rsidR="00B36405" w:rsidRPr="00D37092" w:rsidRDefault="00250462" w:rsidP="00F063AF">
            <w:pPr>
              <w:widowControl w:val="0"/>
              <w:numPr>
                <w:ilvl w:val="0"/>
                <w:numId w:val="115"/>
              </w:numPr>
              <w:tabs>
                <w:tab w:val="clear" w:pos="720"/>
              </w:tabs>
              <w:spacing w:after="120"/>
              <w:ind w:left="475"/>
            </w:pPr>
            <w:r w:rsidRPr="00250462">
              <w:rPr>
                <w:i/>
              </w:rPr>
              <w:t>vitamin deficiency</w:t>
            </w:r>
            <w:r>
              <w:t xml:space="preserve"> </w:t>
            </w:r>
            <w:r>
              <w:rPr>
                <w:i/>
                <w:iCs/>
              </w:rPr>
              <w:t>(6399-6313</w:t>
            </w:r>
            <w:r w:rsidR="00B36405">
              <w:rPr>
                <w:i/>
                <w:iCs/>
              </w:rPr>
              <w:t xml:space="preserve">),  </w:t>
            </w:r>
            <w:r w:rsidR="00B36405">
              <w:rPr>
                <w:i/>
                <w:iCs/>
                <w:highlight w:val="cyan"/>
              </w:rPr>
              <w:t>ch</w:t>
            </w:r>
            <w:r w:rsidR="00B36405" w:rsidRPr="00C83E11">
              <w:rPr>
                <w:i/>
                <w:iCs/>
                <w:highlight w:val="cyan"/>
              </w:rPr>
              <w:t xml:space="preserve">oose </w:t>
            </w:r>
            <w:r w:rsidR="00B36405" w:rsidRPr="00C83E11">
              <w:rPr>
                <w:i/>
                <w:color w:val="FF0000"/>
                <w:szCs w:val="22"/>
                <w:highlight w:val="cyan"/>
              </w:rPr>
              <w:t>No Actual Disability</w:t>
            </w:r>
            <w:r w:rsidR="00B36405" w:rsidRPr="00C83E11">
              <w:rPr>
                <w:i/>
                <w:iCs/>
                <w:highlight w:val="cyan"/>
              </w:rPr>
              <w:t xml:space="preserve"> &amp; see abo</w:t>
            </w:r>
            <w:r w:rsidR="00B36405">
              <w:rPr>
                <w:i/>
                <w:iCs/>
                <w:highlight w:val="cyan"/>
              </w:rPr>
              <w:t>ve</w:t>
            </w:r>
          </w:p>
          <w:p w:rsidR="00E01B8D" w:rsidRDefault="00736F4F" w:rsidP="00F063AF">
            <w:pPr>
              <w:widowControl w:val="0"/>
              <w:numPr>
                <w:ilvl w:val="0"/>
                <w:numId w:val="115"/>
              </w:numPr>
              <w:tabs>
                <w:tab w:val="clear" w:pos="720"/>
              </w:tabs>
              <w:spacing w:after="120"/>
              <w:ind w:left="475"/>
            </w:pPr>
            <w:r>
              <w:rPr>
                <w:i/>
                <w:iCs/>
              </w:rPr>
              <w:t>yeast infection / vaginal candidiasis</w:t>
            </w:r>
            <w:r w:rsidR="00B36405">
              <w:rPr>
                <w:i/>
                <w:iCs/>
              </w:rPr>
              <w:t xml:space="preserve">),  </w:t>
            </w:r>
            <w:r w:rsidR="00B36405">
              <w:rPr>
                <w:i/>
                <w:iCs/>
                <w:highlight w:val="cyan"/>
              </w:rPr>
              <w:t>ch</w:t>
            </w:r>
            <w:r w:rsidR="00B36405" w:rsidRPr="00C83E11">
              <w:rPr>
                <w:i/>
                <w:iCs/>
                <w:highlight w:val="cyan"/>
              </w:rPr>
              <w:t xml:space="preserve">oose </w:t>
            </w:r>
            <w:r w:rsidR="00B36405" w:rsidRPr="00C83E11">
              <w:rPr>
                <w:i/>
                <w:color w:val="FF0000"/>
                <w:szCs w:val="22"/>
                <w:highlight w:val="cyan"/>
              </w:rPr>
              <w:t>No Actual Disability</w:t>
            </w:r>
            <w:r w:rsidR="00B36405" w:rsidRPr="00C83E11">
              <w:rPr>
                <w:i/>
                <w:iCs/>
                <w:highlight w:val="cyan"/>
              </w:rPr>
              <w:t xml:space="preserve"> &amp; see abo</w:t>
            </w:r>
            <w:r w:rsidR="00B36405">
              <w:rPr>
                <w:i/>
                <w:iCs/>
                <w:highlight w:val="cyan"/>
              </w:rPr>
              <w:t>ve</w:t>
            </w:r>
          </w:p>
        </w:tc>
      </w:tr>
      <w:tr w:rsidR="00013EB8" w:rsidTr="00581371">
        <w:trPr>
          <w:trHeight w:val="2564"/>
        </w:trPr>
        <w:tc>
          <w:tcPr>
            <w:tcW w:w="2365" w:type="dxa"/>
          </w:tcPr>
          <w:p w:rsidR="00013EB8" w:rsidRDefault="007D3F63">
            <w:pPr>
              <w:widowControl w:val="0"/>
            </w:pPr>
            <w:bookmarkStart w:id="42" w:name="NISFreeText"/>
            <w:r>
              <w:rPr>
                <w:rFonts w:ascii="Verdana" w:hAnsi="Verdana"/>
                <w:b/>
                <w:bCs/>
                <w:highlight w:val="green"/>
              </w:rPr>
              <w:t>NIS</w:t>
            </w:r>
            <w:r w:rsidR="00013EB8">
              <w:t xml:space="preserve"> Free Text</w:t>
            </w:r>
            <w:bookmarkEnd w:id="42"/>
          </w:p>
          <w:p w:rsidR="00013EB8" w:rsidRDefault="00013EB8">
            <w:pPr>
              <w:widowControl w:val="0"/>
            </w:pPr>
            <w:r>
              <w:rPr>
                <w:i/>
                <w:iCs/>
                <w:sz w:val="18"/>
              </w:rPr>
              <w:t>(not required)</w:t>
            </w:r>
          </w:p>
        </w:tc>
        <w:tc>
          <w:tcPr>
            <w:tcW w:w="8381" w:type="dxa"/>
          </w:tcPr>
          <w:p w:rsidR="00013EB8" w:rsidRDefault="00013EB8">
            <w:pPr>
              <w:widowControl w:val="0"/>
              <w:rPr>
                <w:i/>
                <w:iCs/>
              </w:rPr>
            </w:pPr>
            <w:r>
              <w:rPr>
                <w:i/>
                <w:iCs/>
              </w:rPr>
              <w:t>For hepatitis C –</w:t>
            </w:r>
          </w:p>
          <w:p w:rsidR="008F45D0" w:rsidRDefault="008F45D0" w:rsidP="008F45D0">
            <w:pPr>
              <w:widowControl w:val="0"/>
              <w:spacing w:after="120"/>
              <w:rPr>
                <w:rFonts w:ascii="Verdana" w:hAnsi="Verdana"/>
                <w:i/>
                <w:iCs/>
              </w:rPr>
            </w:pPr>
            <w:r>
              <w:rPr>
                <w:rFonts w:ascii="Verdana" w:hAnsi="Verdana"/>
                <w:b/>
                <w:bCs/>
                <w:highlight w:val="green"/>
              </w:rPr>
              <w:t>HC1</w:t>
            </w:r>
          </w:p>
          <w:p w:rsidR="00FB4FA3" w:rsidRDefault="00FB4FA3">
            <w:pPr>
              <w:widowControl w:val="0"/>
            </w:pPr>
            <w:r w:rsidRPr="00FB4FA3">
              <w:t>There is no evidence any medically recognized risk factors in service.</w:t>
            </w:r>
          </w:p>
          <w:p w:rsidR="00FB4FA3" w:rsidRDefault="00FB4FA3">
            <w:pPr>
              <w:widowControl w:val="0"/>
            </w:pPr>
          </w:p>
          <w:p w:rsidR="00013EB8" w:rsidRDefault="00BC2DC3">
            <w:pPr>
              <w:widowControl w:val="0"/>
            </w:pPr>
            <w:r w:rsidRPr="00BC2DC3">
              <w:t>Jet injectors are not a medically recognized risk factor.</w:t>
            </w:r>
          </w:p>
          <w:p w:rsidR="00BC2DC3" w:rsidRDefault="00BC2DC3">
            <w:pPr>
              <w:widowControl w:val="0"/>
            </w:pPr>
          </w:p>
          <w:p w:rsidR="00F91F11" w:rsidRDefault="00F91F11">
            <w:pPr>
              <w:widowControl w:val="0"/>
            </w:pPr>
          </w:p>
          <w:p w:rsidR="00013EB8" w:rsidRDefault="00013EB8">
            <w:pPr>
              <w:widowControl w:val="0"/>
              <w:rPr>
                <w:i/>
                <w:iCs/>
              </w:rPr>
            </w:pPr>
            <w:r>
              <w:rPr>
                <w:i/>
                <w:iCs/>
              </w:rPr>
              <w:t xml:space="preserve">For septum deviation without </w:t>
            </w:r>
            <w:r w:rsidR="00F87F12">
              <w:rPr>
                <w:i/>
                <w:iCs/>
              </w:rPr>
              <w:t xml:space="preserve">in-service </w:t>
            </w:r>
            <w:r>
              <w:rPr>
                <w:i/>
                <w:iCs/>
              </w:rPr>
              <w:t xml:space="preserve">trauma </w:t>
            </w:r>
            <w:r w:rsidR="00264933">
              <w:rPr>
                <w:i/>
                <w:iCs/>
              </w:rPr>
              <w:t xml:space="preserve">(6502) </w:t>
            </w:r>
            <w:r>
              <w:rPr>
                <w:i/>
                <w:iCs/>
              </w:rPr>
              <w:t>-</w:t>
            </w:r>
          </w:p>
          <w:p w:rsidR="00013EB8" w:rsidRDefault="00013EB8" w:rsidP="000F6C81">
            <w:pPr>
              <w:widowControl w:val="0"/>
            </w:pPr>
            <w:r>
              <w:t>There is no evidence of trauma causing nasal septum deviation in service.</w:t>
            </w:r>
            <w:r w:rsidR="000F6C81">
              <w:t xml:space="preserve"> We can only establish service con</w:t>
            </w:r>
            <w:r w:rsidR="00A1348C">
              <w:t>n</w:t>
            </w:r>
            <w:r w:rsidR="000F6C81">
              <w:t xml:space="preserve">ection for traumatic deviation of the nasal septum. </w:t>
            </w:r>
          </w:p>
        </w:tc>
      </w:tr>
      <w:tr w:rsidR="00013EB8" w:rsidTr="00581371">
        <w:trPr>
          <w:trHeight w:val="4022"/>
        </w:trPr>
        <w:tc>
          <w:tcPr>
            <w:tcW w:w="2365" w:type="dxa"/>
          </w:tcPr>
          <w:p w:rsidR="00013EB8" w:rsidRDefault="007D3F63">
            <w:pPr>
              <w:widowControl w:val="0"/>
            </w:pPr>
            <w:bookmarkStart w:id="43" w:name="NONEXFreeText"/>
            <w:r>
              <w:rPr>
                <w:rFonts w:ascii="Verdana" w:hAnsi="Verdana"/>
                <w:b/>
                <w:bCs/>
                <w:highlight w:val="green"/>
              </w:rPr>
              <w:t>NONEX</w:t>
            </w:r>
            <w:r w:rsidR="00013EB8">
              <w:t xml:space="preserve"> Free Text</w:t>
            </w:r>
            <w:bookmarkEnd w:id="43"/>
          </w:p>
          <w:p w:rsidR="007A25DC" w:rsidRDefault="007A25DC">
            <w:pPr>
              <w:widowControl w:val="0"/>
            </w:pPr>
          </w:p>
          <w:p w:rsidR="007A25DC" w:rsidRDefault="007A25DC">
            <w:pPr>
              <w:widowControl w:val="0"/>
              <w:rPr>
                <w:b/>
              </w:rPr>
            </w:pPr>
            <w:r w:rsidRPr="00463EEB">
              <w:rPr>
                <w:b/>
              </w:rPr>
              <w:t>I.1.C.3.b</w:t>
            </w:r>
          </w:p>
          <w:p w:rsidR="007A25DC" w:rsidRDefault="007A25DC">
            <w:pPr>
              <w:widowControl w:val="0"/>
              <w:rPr>
                <w:b/>
              </w:rPr>
            </w:pPr>
          </w:p>
          <w:p w:rsidR="007A25DC" w:rsidRDefault="007A25DC">
            <w:pPr>
              <w:widowControl w:val="0"/>
            </w:pPr>
            <w:r>
              <w:rPr>
                <w:b/>
              </w:rPr>
              <w:t xml:space="preserve">I.1.C.3.d </w:t>
            </w:r>
            <w:r w:rsidRPr="007A25DC">
              <w:t>–</w:t>
            </w:r>
            <w:r>
              <w:t xml:space="preserve"> E</w:t>
            </w:r>
            <w:r w:rsidRPr="007A25DC">
              <w:t>lement 1</w:t>
            </w:r>
            <w:r>
              <w:t xml:space="preserve"> (current disability/sx</w:t>
            </w:r>
            <w:r w:rsidR="0059482E">
              <w:t>; certain conditions require evid of dx, like cancer</w:t>
            </w:r>
            <w:r>
              <w:t>)</w:t>
            </w:r>
          </w:p>
          <w:p w:rsidR="007A25DC" w:rsidRDefault="007A25DC">
            <w:pPr>
              <w:widowControl w:val="0"/>
            </w:pPr>
          </w:p>
          <w:p w:rsidR="007A25DC" w:rsidRDefault="007A25DC" w:rsidP="007A25DC">
            <w:pPr>
              <w:widowControl w:val="0"/>
            </w:pPr>
            <w:r>
              <w:rPr>
                <w:b/>
              </w:rPr>
              <w:t xml:space="preserve">I.1.C.3.e </w:t>
            </w:r>
            <w:r w:rsidRPr="007A25DC">
              <w:t>–</w:t>
            </w:r>
            <w:r>
              <w:t xml:space="preserve"> E</w:t>
            </w:r>
            <w:r w:rsidRPr="007A25DC">
              <w:t xml:space="preserve">lement </w:t>
            </w:r>
            <w:r>
              <w:t>2 (in-service event/injury/dz)</w:t>
            </w:r>
          </w:p>
          <w:p w:rsidR="007A25DC" w:rsidRDefault="007A25DC" w:rsidP="007A25DC">
            <w:pPr>
              <w:widowControl w:val="0"/>
            </w:pPr>
          </w:p>
          <w:p w:rsidR="00C37BD6" w:rsidRDefault="007A25DC" w:rsidP="00635FC3">
            <w:pPr>
              <w:widowControl w:val="0"/>
            </w:pPr>
            <w:r>
              <w:rPr>
                <w:b/>
              </w:rPr>
              <w:t xml:space="preserve">I.1.C.3.f </w:t>
            </w:r>
            <w:r w:rsidRPr="007A25DC">
              <w:t>–</w:t>
            </w:r>
            <w:r>
              <w:t xml:space="preserve"> E</w:t>
            </w:r>
            <w:r w:rsidRPr="007A25DC">
              <w:t xml:space="preserve">lement </w:t>
            </w:r>
            <w:r>
              <w:t>3 (indication of association)</w:t>
            </w:r>
            <w:r w:rsidR="005E342E">
              <w:t xml:space="preserve"> </w:t>
            </w:r>
          </w:p>
        </w:tc>
        <w:tc>
          <w:tcPr>
            <w:tcW w:w="8381" w:type="dxa"/>
          </w:tcPr>
          <w:p w:rsidR="000A68D6" w:rsidRPr="000A68D6" w:rsidRDefault="000A68D6">
            <w:pPr>
              <w:widowControl w:val="0"/>
              <w:rPr>
                <w:u w:val="single"/>
              </w:rPr>
            </w:pPr>
            <w:r w:rsidRPr="006C2D10">
              <w:rPr>
                <w:b/>
                <w:u w:val="single"/>
              </w:rPr>
              <w:t>NEGATIVE OPINION</w:t>
            </w:r>
            <w:r>
              <w:rPr>
                <w:i/>
              </w:rPr>
              <w:t xml:space="preserve"> (</w:t>
            </w:r>
            <w:r w:rsidRPr="00BD6691">
              <w:rPr>
                <w:i/>
              </w:rPr>
              <w:t xml:space="preserve">also use </w:t>
            </w:r>
            <w:r w:rsidR="00234459">
              <w:rPr>
                <w:rFonts w:ascii="Verdana" w:hAnsi="Verdana"/>
                <w:b/>
                <w:bCs/>
                <w:highlight w:val="green"/>
              </w:rPr>
              <w:t>V_NONEX</w:t>
            </w:r>
            <w:r>
              <w:rPr>
                <w:i/>
              </w:rPr>
              <w:t>):</w:t>
            </w:r>
          </w:p>
          <w:p w:rsidR="00B60B00" w:rsidRDefault="00013EB8" w:rsidP="00B60B00">
            <w:pPr>
              <w:widowControl w:val="0"/>
            </w:pPr>
            <w:r>
              <w:t xml:space="preserve">The VA examiner opined that your claimed </w:t>
            </w:r>
            <w:r w:rsidR="00A46221">
              <w:t>{}</w:t>
            </w:r>
            <w:r>
              <w:t xml:space="preserve"> (diagnosed as </w:t>
            </w:r>
            <w:r w:rsidR="00A46221">
              <w:t>{}</w:t>
            </w:r>
            <w:r>
              <w:t xml:space="preserve">) is less likely than not incurred in or caused by the claimed in-service injury, event or illness </w:t>
            </w:r>
            <w:r w:rsidR="00B60B00">
              <w:t>because</w:t>
            </w:r>
            <w:r w:rsidR="00CE554A">
              <w:t xml:space="preserve"> {}.</w:t>
            </w:r>
          </w:p>
          <w:p w:rsidR="00450FE4" w:rsidRDefault="00450FE4">
            <w:pPr>
              <w:widowControl w:val="0"/>
            </w:pPr>
          </w:p>
          <w:p w:rsidR="00B60B00" w:rsidRDefault="00E86050" w:rsidP="00B60B00">
            <w:pPr>
              <w:widowControl w:val="0"/>
            </w:pPr>
            <w:r w:rsidRPr="00450FE4">
              <w:t xml:space="preserve">The VA examiner opined that your tinnitus is less likely than not caused by or a result of military noise exposure </w:t>
            </w:r>
            <w:r w:rsidR="00B60B00">
              <w:t>because</w:t>
            </w:r>
            <w:r w:rsidR="003F6423">
              <w:t xml:space="preserve"> {</w:t>
            </w:r>
            <w:r w:rsidR="00B60B00">
              <w:t>}.</w:t>
            </w:r>
          </w:p>
          <w:p w:rsidR="004D48DF" w:rsidRDefault="004D48DF">
            <w:pPr>
              <w:widowControl w:val="0"/>
            </w:pPr>
          </w:p>
          <w:p w:rsidR="000A68D6" w:rsidRPr="00234459" w:rsidRDefault="009807C5" w:rsidP="00234459">
            <w:pPr>
              <w:widowControl w:val="0"/>
              <w:rPr>
                <w:rFonts w:ascii="Verdana" w:hAnsi="Verdana"/>
                <w:b/>
                <w:bCs/>
              </w:rPr>
            </w:pPr>
            <w:r>
              <w:rPr>
                <w:b/>
                <w:u w:val="single"/>
              </w:rPr>
              <w:t>HAVE ELEMENTS</w:t>
            </w:r>
            <w:r w:rsidR="000A68D6" w:rsidRPr="006C2D10">
              <w:rPr>
                <w:b/>
                <w:u w:val="single"/>
              </w:rPr>
              <w:t xml:space="preserve"> 1</w:t>
            </w:r>
            <w:r w:rsidR="006C2D10" w:rsidRPr="006C2D10">
              <w:rPr>
                <w:b/>
                <w:u w:val="single"/>
              </w:rPr>
              <w:t xml:space="preserve"> </w:t>
            </w:r>
            <w:r w:rsidR="000A68D6" w:rsidRPr="006C2D10">
              <w:rPr>
                <w:b/>
                <w:u w:val="single"/>
              </w:rPr>
              <w:t>&amp;</w:t>
            </w:r>
            <w:r w:rsidR="006C2D10" w:rsidRPr="006C2D10">
              <w:rPr>
                <w:b/>
                <w:u w:val="single"/>
              </w:rPr>
              <w:t xml:space="preserve"> </w:t>
            </w:r>
            <w:r w:rsidR="000A68D6" w:rsidRPr="006C2D10">
              <w:rPr>
                <w:b/>
                <w:u w:val="single"/>
              </w:rPr>
              <w:t xml:space="preserve">2, BUT </w:t>
            </w:r>
            <w:r w:rsidR="000A68D6" w:rsidRPr="009807C5">
              <w:rPr>
                <w:b/>
                <w:highlight w:val="cyan"/>
                <w:u w:val="single"/>
              </w:rPr>
              <w:t xml:space="preserve">MISSING </w:t>
            </w:r>
            <w:r>
              <w:rPr>
                <w:b/>
                <w:highlight w:val="cyan"/>
                <w:u w:val="single"/>
              </w:rPr>
              <w:t xml:space="preserve">ELEMENT </w:t>
            </w:r>
            <w:r w:rsidR="000A68D6" w:rsidRPr="009807C5">
              <w:rPr>
                <w:b/>
                <w:highlight w:val="cyan"/>
                <w:u w:val="single"/>
              </w:rPr>
              <w:t>3</w:t>
            </w:r>
            <w:r w:rsidR="000A68D6" w:rsidRPr="006C2D10">
              <w:rPr>
                <w:b/>
                <w:u w:val="single"/>
              </w:rPr>
              <w:t xml:space="preserve">, PER </w:t>
            </w:r>
            <w:r w:rsidR="000A68D6" w:rsidRPr="006C2D10">
              <w:rPr>
                <w:rStyle w:val="Hyperlink"/>
                <w:b/>
                <w:bCs/>
                <w:color w:val="auto"/>
              </w:rPr>
              <w:t xml:space="preserve">3.159(c)(4)(i)) &amp; </w:t>
            </w:r>
            <w:r w:rsidR="000A68D6" w:rsidRPr="006C2D10">
              <w:rPr>
                <w:b/>
                <w:u w:val="single"/>
              </w:rPr>
              <w:t>Waters v. Shinseki</w:t>
            </w:r>
            <w:r w:rsidR="00FE0834">
              <w:t xml:space="preserve"> </w:t>
            </w:r>
            <w:r w:rsidR="00FE0834" w:rsidRPr="00FE0834">
              <w:rPr>
                <w:i/>
              </w:rPr>
              <w:t xml:space="preserve">(probably </w:t>
            </w:r>
            <w:r w:rsidR="00234459">
              <w:rPr>
                <w:rFonts w:ascii="Verdana" w:hAnsi="Verdana"/>
                <w:b/>
                <w:bCs/>
                <w:highlight w:val="green"/>
              </w:rPr>
              <w:t>AT</w:t>
            </w:r>
            <w:r w:rsidR="00FE0834" w:rsidRPr="00FE0834">
              <w:rPr>
                <w:i/>
              </w:rPr>
              <w:t xml:space="preserve">, </w:t>
            </w:r>
            <w:r w:rsidR="007D3F63">
              <w:rPr>
                <w:rFonts w:ascii="Verdana" w:hAnsi="Verdana"/>
                <w:b/>
                <w:bCs/>
                <w:highlight w:val="green"/>
              </w:rPr>
              <w:t>NONEX</w:t>
            </w:r>
            <w:r w:rsidR="00FE0834" w:rsidRPr="00FE0834">
              <w:rPr>
                <w:i/>
              </w:rPr>
              <w:t xml:space="preserve">, </w:t>
            </w:r>
            <w:r w:rsidR="009C0897">
              <w:rPr>
                <w:i/>
              </w:rPr>
              <w:t xml:space="preserve">maybe </w:t>
            </w:r>
            <w:r w:rsidR="00F67DDA">
              <w:rPr>
                <w:rFonts w:ascii="Verdana" w:hAnsi="Verdana"/>
                <w:b/>
                <w:bCs/>
                <w:highlight w:val="green"/>
              </w:rPr>
              <w:t>ACK_SX</w:t>
            </w:r>
            <w:r w:rsidR="009C0897">
              <w:rPr>
                <w:i/>
              </w:rPr>
              <w:t xml:space="preserve">, </w:t>
            </w:r>
            <w:r w:rsidR="00FE0834" w:rsidRPr="00FE0834">
              <w:rPr>
                <w:i/>
              </w:rPr>
              <w:t>plus one of these)</w:t>
            </w:r>
            <w:r w:rsidR="000A68D6" w:rsidRPr="00FE0834">
              <w:rPr>
                <w:i/>
              </w:rPr>
              <w:t>:</w:t>
            </w:r>
          </w:p>
          <w:p w:rsidR="00FE0834" w:rsidRPr="00FE0834" w:rsidRDefault="00013EB8" w:rsidP="00F063AF">
            <w:pPr>
              <w:pStyle w:val="BodyText2"/>
              <w:widowControl w:val="0"/>
              <w:numPr>
                <w:ilvl w:val="0"/>
                <w:numId w:val="187"/>
              </w:numPr>
              <w:spacing w:after="120"/>
              <w:ind w:left="336"/>
              <w:rPr>
                <w:b w:val="0"/>
                <w:sz w:val="20"/>
              </w:rPr>
            </w:pPr>
            <w:r w:rsidRPr="00FE0834">
              <w:rPr>
                <w:b w:val="0"/>
                <w:bCs w:val="0"/>
                <w:sz w:val="20"/>
              </w:rPr>
              <w:t>While</w:t>
            </w:r>
            <w:r w:rsidR="00E4479C" w:rsidRPr="00FE0834">
              <w:rPr>
                <w:b w:val="0"/>
                <w:bCs w:val="0"/>
                <w:sz w:val="20"/>
              </w:rPr>
              <w:t xml:space="preserve"> </w:t>
            </w:r>
            <w:r w:rsidRPr="00FE0834">
              <w:rPr>
                <w:b w:val="0"/>
                <w:bCs w:val="0"/>
                <w:sz w:val="20"/>
              </w:rPr>
              <w:t xml:space="preserve">you report </w:t>
            </w:r>
            <w:r w:rsidR="006C2D10" w:rsidRPr="00FE0834">
              <w:rPr>
                <w:b w:val="0"/>
                <w:bCs w:val="0"/>
                <w:sz w:val="20"/>
              </w:rPr>
              <w:t>persistent/re</w:t>
            </w:r>
            <w:r w:rsidR="00E4479C" w:rsidRPr="00FE0834">
              <w:rPr>
                <w:b w:val="0"/>
                <w:bCs w:val="0"/>
                <w:sz w:val="20"/>
              </w:rPr>
              <w:t>current symptoms</w:t>
            </w:r>
            <w:r w:rsidRPr="00FE0834">
              <w:rPr>
                <w:b w:val="0"/>
                <w:bCs w:val="0"/>
                <w:sz w:val="20"/>
              </w:rPr>
              <w:t xml:space="preserve">, you have not </w:t>
            </w:r>
            <w:r w:rsidR="000A68D6" w:rsidRPr="00FE0834">
              <w:rPr>
                <w:b w:val="0"/>
                <w:sz w:val="20"/>
              </w:rPr>
              <w:t>submitted or identified any lay or medical indication of an association with service.</w:t>
            </w:r>
          </w:p>
          <w:p w:rsidR="00FE0834" w:rsidRPr="00FE0834" w:rsidRDefault="00E4479C" w:rsidP="00F063AF">
            <w:pPr>
              <w:pStyle w:val="BodyText2"/>
              <w:widowControl w:val="0"/>
              <w:numPr>
                <w:ilvl w:val="0"/>
                <w:numId w:val="187"/>
              </w:numPr>
              <w:spacing w:after="120"/>
              <w:ind w:left="336"/>
              <w:rPr>
                <w:sz w:val="20"/>
              </w:rPr>
            </w:pPr>
            <w:r w:rsidRPr="00FE0834">
              <w:rPr>
                <w:b w:val="0"/>
                <w:bCs w:val="0"/>
                <w:sz w:val="20"/>
              </w:rPr>
              <w:t xml:space="preserve">While the treatment records show {persistent/recurrent symptoms OR </w:t>
            </w:r>
            <w:r w:rsidR="00FE0834" w:rsidRPr="00FE0834">
              <w:rPr>
                <w:b w:val="0"/>
                <w:sz w:val="20"/>
              </w:rPr>
              <w:t>a current diagnosed disability}</w:t>
            </w:r>
            <w:r w:rsidRPr="00FE0834">
              <w:rPr>
                <w:b w:val="0"/>
                <w:bCs w:val="0"/>
                <w:sz w:val="20"/>
              </w:rPr>
              <w:t xml:space="preserve">, you have not </w:t>
            </w:r>
            <w:r w:rsidRPr="00FE0834">
              <w:rPr>
                <w:b w:val="0"/>
                <w:sz w:val="20"/>
              </w:rPr>
              <w:t>submitted or identified any lay or medical indication of an association with service.</w:t>
            </w:r>
          </w:p>
          <w:p w:rsidR="000A68D6" w:rsidRPr="00FE0834" w:rsidRDefault="000A68D6" w:rsidP="00F063AF">
            <w:pPr>
              <w:pStyle w:val="BodyText2"/>
              <w:widowControl w:val="0"/>
              <w:numPr>
                <w:ilvl w:val="0"/>
                <w:numId w:val="187"/>
              </w:numPr>
              <w:ind w:left="336"/>
              <w:rPr>
                <w:b w:val="0"/>
                <w:sz w:val="20"/>
              </w:rPr>
            </w:pPr>
            <w:r w:rsidRPr="00FE0834">
              <w:rPr>
                <w:b w:val="0"/>
                <w:sz w:val="20"/>
              </w:rPr>
              <w:t>You have not submitted or identified any lay or medical indication of an association with service.</w:t>
            </w:r>
          </w:p>
          <w:p w:rsidR="00740358" w:rsidRDefault="00740358">
            <w:pPr>
              <w:widowControl w:val="0"/>
            </w:pPr>
          </w:p>
          <w:p w:rsidR="00FE0834" w:rsidRPr="00234459" w:rsidRDefault="006C2D10">
            <w:pPr>
              <w:widowControl w:val="0"/>
              <w:rPr>
                <w:rFonts w:ascii="Verdana" w:hAnsi="Verdana"/>
                <w:b/>
                <w:bCs/>
              </w:rPr>
            </w:pPr>
            <w:r w:rsidRPr="006C2D10">
              <w:rPr>
                <w:b/>
                <w:u w:val="single"/>
              </w:rPr>
              <w:t>HAVE CLAIM</w:t>
            </w:r>
            <w:r>
              <w:rPr>
                <w:b/>
                <w:u w:val="single"/>
              </w:rPr>
              <w:t xml:space="preserve"> only</w:t>
            </w:r>
            <w:r w:rsidRPr="006C2D10">
              <w:rPr>
                <w:b/>
                <w:u w:val="single"/>
              </w:rPr>
              <w:t xml:space="preserve"> (</w:t>
            </w:r>
            <w:r>
              <w:rPr>
                <w:b/>
                <w:u w:val="single"/>
              </w:rPr>
              <w:t>NO</w:t>
            </w:r>
            <w:r w:rsidRPr="006C2D10">
              <w:rPr>
                <w:b/>
                <w:u w:val="single"/>
              </w:rPr>
              <w:t xml:space="preserve"> stmt of persistent/recurrent sx</w:t>
            </w:r>
            <w:r>
              <w:rPr>
                <w:b/>
                <w:u w:val="single"/>
              </w:rPr>
              <w:t xml:space="preserve"> or medical evid of dx</w:t>
            </w:r>
            <w:r w:rsidRPr="006C2D10">
              <w:rPr>
                <w:b/>
                <w:u w:val="single"/>
              </w:rPr>
              <w:t xml:space="preserve">) &amp; </w:t>
            </w:r>
            <w:r w:rsidR="00AA02AA">
              <w:rPr>
                <w:b/>
                <w:u w:val="single"/>
              </w:rPr>
              <w:t xml:space="preserve">ELEMENT </w:t>
            </w:r>
            <w:r w:rsidRPr="006C2D10">
              <w:rPr>
                <w:b/>
                <w:u w:val="single"/>
              </w:rPr>
              <w:t xml:space="preserve">2, BUT </w:t>
            </w:r>
            <w:r w:rsidRPr="00D2563F">
              <w:rPr>
                <w:b/>
                <w:highlight w:val="cyan"/>
                <w:u w:val="single"/>
              </w:rPr>
              <w:t xml:space="preserve">MISSING </w:t>
            </w:r>
            <w:r w:rsidR="00D2563F" w:rsidRPr="00D2563F">
              <w:rPr>
                <w:b/>
                <w:highlight w:val="cyan"/>
                <w:u w:val="single"/>
              </w:rPr>
              <w:t>ELEMENTS</w:t>
            </w:r>
            <w:r w:rsidRPr="00D2563F">
              <w:rPr>
                <w:b/>
                <w:highlight w:val="cyan"/>
                <w:u w:val="single"/>
              </w:rPr>
              <w:t xml:space="preserve"> 1 &amp; 3</w:t>
            </w:r>
            <w:r w:rsidRPr="006C2D10">
              <w:rPr>
                <w:b/>
                <w:u w:val="single"/>
              </w:rPr>
              <w:t xml:space="preserve">, PER </w:t>
            </w:r>
            <w:r w:rsidRPr="006C2D10">
              <w:rPr>
                <w:rStyle w:val="Hyperlink"/>
                <w:b/>
                <w:bCs/>
                <w:color w:val="auto"/>
              </w:rPr>
              <w:t xml:space="preserve">3.159(c)(4)(i)) &amp; </w:t>
            </w:r>
            <w:r w:rsidRPr="006C2D10">
              <w:rPr>
                <w:b/>
                <w:u w:val="single"/>
              </w:rPr>
              <w:t>Waters v. Shinseki</w:t>
            </w:r>
            <w:r w:rsidR="00FE0834">
              <w:t xml:space="preserve"> </w:t>
            </w:r>
            <w:r w:rsidR="00FE0834" w:rsidRPr="00FE0834">
              <w:rPr>
                <w:i/>
              </w:rPr>
              <w:t xml:space="preserve">(probably </w:t>
            </w:r>
            <w:r w:rsidR="00234459">
              <w:rPr>
                <w:rFonts w:ascii="Verdana" w:hAnsi="Verdana"/>
                <w:b/>
                <w:bCs/>
                <w:highlight w:val="green"/>
              </w:rPr>
              <w:t>AT</w:t>
            </w:r>
            <w:r w:rsidR="00FE0834" w:rsidRPr="00FE0834">
              <w:rPr>
                <w:i/>
              </w:rPr>
              <w:t>,</w:t>
            </w:r>
            <w:r w:rsidR="007D3F63">
              <w:rPr>
                <w:i/>
              </w:rPr>
              <w:t xml:space="preserve"> </w:t>
            </w:r>
            <w:r w:rsidR="00234459">
              <w:rPr>
                <w:rFonts w:ascii="Verdana" w:hAnsi="Verdana"/>
                <w:b/>
                <w:bCs/>
                <w:highlight w:val="green"/>
              </w:rPr>
              <w:t>NOCONT</w:t>
            </w:r>
            <w:r w:rsidR="007D3F63">
              <w:rPr>
                <w:i/>
              </w:rPr>
              <w:t xml:space="preserve">, </w:t>
            </w:r>
            <w:r w:rsidR="007D3F63">
              <w:rPr>
                <w:rFonts w:ascii="Verdana" w:hAnsi="Verdana"/>
                <w:b/>
                <w:bCs/>
                <w:highlight w:val="green"/>
              </w:rPr>
              <w:t>NONEX</w:t>
            </w:r>
            <w:r w:rsidR="00FE0834" w:rsidRPr="00FE0834">
              <w:rPr>
                <w:i/>
              </w:rPr>
              <w:t xml:space="preserve">, plus </w:t>
            </w:r>
            <w:r w:rsidR="00FE0834">
              <w:rPr>
                <w:i/>
              </w:rPr>
              <w:t>thi</w:t>
            </w:r>
            <w:r w:rsidR="00FE0834" w:rsidRPr="00FE0834">
              <w:rPr>
                <w:i/>
              </w:rPr>
              <w:t>s):</w:t>
            </w:r>
          </w:p>
          <w:p w:rsidR="00B7401A" w:rsidRDefault="000A68D6">
            <w:pPr>
              <w:widowControl w:val="0"/>
            </w:pPr>
            <w:r w:rsidRPr="000A68D6">
              <w:t xml:space="preserve">You have not submitted or identified any lay </w:t>
            </w:r>
            <w:r w:rsidR="00E4479C">
              <w:t xml:space="preserve">evidence of </w:t>
            </w:r>
            <w:r w:rsidR="006C2D10">
              <w:t>persistent/</w:t>
            </w:r>
            <w:r w:rsidR="00E4479C">
              <w:t>recurrent symptoms, or any</w:t>
            </w:r>
            <w:r w:rsidR="00E4479C" w:rsidRPr="000A68D6">
              <w:t xml:space="preserve"> medical evidence of </w:t>
            </w:r>
            <w:r w:rsidR="00E4479C" w:rsidRPr="00FE0834">
              <w:rPr>
                <w:bCs/>
              </w:rPr>
              <w:t>persistent/recurrent symptoms</w:t>
            </w:r>
            <w:r w:rsidR="00E4479C" w:rsidRPr="000A68D6">
              <w:t xml:space="preserve"> </w:t>
            </w:r>
            <w:r w:rsidR="00FE0834">
              <w:t>or</w:t>
            </w:r>
            <w:r w:rsidR="00E4479C">
              <w:t xml:space="preserve"> a c</w:t>
            </w:r>
            <w:r w:rsidR="00E4479C" w:rsidRPr="000A68D6">
              <w:t>urrent diagn</w:t>
            </w:r>
            <w:r w:rsidR="00E4479C">
              <w:t>osed disability</w:t>
            </w:r>
            <w:r w:rsidRPr="000A68D6">
              <w:t xml:space="preserve">, nor have you submitted or identified any lay or medical indication of an </w:t>
            </w:r>
            <w:r w:rsidR="006C2D10">
              <w:t>association with service.</w:t>
            </w:r>
          </w:p>
          <w:p w:rsidR="007C7906" w:rsidRDefault="007C7906">
            <w:pPr>
              <w:widowControl w:val="0"/>
            </w:pPr>
          </w:p>
          <w:p w:rsidR="006C2D10" w:rsidRPr="00C1320E" w:rsidRDefault="006C2D10" w:rsidP="006C2D10">
            <w:pPr>
              <w:widowControl w:val="0"/>
            </w:pPr>
            <w:r>
              <w:rPr>
                <w:i/>
                <w:iCs/>
              </w:rPr>
              <w:t xml:space="preserve">if also </w:t>
            </w:r>
            <w:r w:rsidR="00234459">
              <w:rPr>
                <w:rFonts w:ascii="Verdana" w:hAnsi="Verdana"/>
                <w:b/>
                <w:bCs/>
                <w:highlight w:val="green"/>
              </w:rPr>
              <w:t>L_NODX</w:t>
            </w:r>
            <w:r w:rsidRPr="0049237D">
              <w:rPr>
                <w:iCs/>
              </w:rPr>
              <w:t>:</w:t>
            </w:r>
          </w:p>
          <w:p w:rsidR="006C2D10" w:rsidRDefault="006C2D10" w:rsidP="006C2D10">
            <w:pPr>
              <w:widowControl w:val="0"/>
            </w:pPr>
            <w:r>
              <w:t xml:space="preserve">The evidence shows you have symptoms, but there is no competent medical evidence of a diagnosis or of a </w:t>
            </w:r>
            <w:r w:rsidRPr="006C2D10">
              <w:t>lay or medical indication of an association with service.</w:t>
            </w:r>
          </w:p>
          <w:p w:rsidR="006C2D10" w:rsidRDefault="006C2D10">
            <w:pPr>
              <w:widowControl w:val="0"/>
            </w:pPr>
          </w:p>
          <w:p w:rsidR="006C2D10" w:rsidRDefault="006C2D10">
            <w:pPr>
              <w:widowControl w:val="0"/>
            </w:pPr>
            <w:r w:rsidRPr="006C2D10">
              <w:rPr>
                <w:u w:val="single"/>
              </w:rPr>
              <w:t>OTHER NONEX</w:t>
            </w:r>
            <w:r>
              <w:t>:</w:t>
            </w:r>
          </w:p>
          <w:p w:rsidR="00013EB8" w:rsidRDefault="00A46221">
            <w:pPr>
              <w:widowControl w:val="0"/>
            </w:pPr>
            <w:r>
              <w:t>{}</w:t>
            </w:r>
            <w:r w:rsidR="00013EB8">
              <w:t xml:space="preserve"> is not a disease associated wi</w:t>
            </w:r>
            <w:r w:rsidR="007E2D03">
              <w:t>th asbestos/herbicide exposure.</w:t>
            </w:r>
          </w:p>
          <w:p w:rsidR="007E2D03" w:rsidRDefault="007E2D03">
            <w:pPr>
              <w:widowControl w:val="0"/>
            </w:pPr>
          </w:p>
          <w:p w:rsidR="007E2D03" w:rsidRDefault="00A46221" w:rsidP="007E2D03">
            <w:pPr>
              <w:widowControl w:val="0"/>
              <w:rPr>
                <w:i/>
                <w:iCs/>
              </w:rPr>
            </w:pPr>
            <w:r>
              <w:t>{}</w:t>
            </w:r>
            <w:r w:rsidR="007E2D03">
              <w:t xml:space="preserve"> is a condition that has been determined to have no positive association with herbicide exposure. - see </w:t>
            </w:r>
            <w:r w:rsidR="007E54DC">
              <w:rPr>
                <w:b/>
                <w:bCs/>
                <w:sz w:val="18"/>
                <w:szCs w:val="18"/>
              </w:rPr>
              <w:t>IV.ii.2.C.3.k</w:t>
            </w:r>
            <w:r w:rsidR="00F67DDA">
              <w:rPr>
                <w:bCs/>
                <w:szCs w:val="24"/>
              </w:rPr>
              <w:t xml:space="preserve">, for hypertension </w:t>
            </w:r>
            <w:r w:rsidR="00F67DDA">
              <w:rPr>
                <w:rFonts w:ascii="Verdana" w:hAnsi="Verdana"/>
                <w:b/>
                <w:bCs/>
                <w:highlight w:val="green"/>
              </w:rPr>
              <w:t>AO2</w:t>
            </w:r>
          </w:p>
          <w:p w:rsidR="00013EB8" w:rsidRDefault="00013EB8">
            <w:pPr>
              <w:pStyle w:val="Header"/>
              <w:widowControl w:val="0"/>
              <w:tabs>
                <w:tab w:val="clear" w:pos="4320"/>
                <w:tab w:val="clear" w:pos="8640"/>
              </w:tabs>
            </w:pPr>
          </w:p>
          <w:p w:rsidR="00355B91" w:rsidRDefault="00355B91">
            <w:pPr>
              <w:pStyle w:val="Header"/>
              <w:widowControl w:val="0"/>
              <w:tabs>
                <w:tab w:val="clear" w:pos="4320"/>
                <w:tab w:val="clear" w:pos="8640"/>
              </w:tabs>
            </w:pPr>
          </w:p>
          <w:p w:rsidR="00355B91" w:rsidRPr="0085508D" w:rsidRDefault="00355B91" w:rsidP="00355B91">
            <w:pPr>
              <w:pStyle w:val="Header"/>
              <w:widowControl w:val="0"/>
              <w:tabs>
                <w:tab w:val="clear" w:pos="4320"/>
                <w:tab w:val="clear" w:pos="8640"/>
              </w:tabs>
              <w:rPr>
                <w:i/>
              </w:rPr>
            </w:pPr>
            <w:r w:rsidRPr="0085508D">
              <w:rPr>
                <w:i/>
              </w:rPr>
              <w:t>AO:</w:t>
            </w:r>
          </w:p>
          <w:p w:rsidR="00355B91" w:rsidRPr="00315F62" w:rsidRDefault="00355B91" w:rsidP="00355B91">
            <w:pPr>
              <w:pStyle w:val="Header"/>
              <w:widowControl w:val="0"/>
              <w:tabs>
                <w:tab w:val="clear" w:pos="4320"/>
                <w:tab w:val="clear" w:pos="8640"/>
              </w:tabs>
            </w:pPr>
            <w:r w:rsidRPr="00315F62">
              <w:t>There is no evidence of early-onset peripheral neuropathy manifest to a degree of 10 percent or more within a year after the last date on which you were exposed to an herbicide agent during active service.</w:t>
            </w:r>
          </w:p>
          <w:p w:rsidR="00355B91" w:rsidRPr="00315F62" w:rsidRDefault="00355B91" w:rsidP="00355B91">
            <w:pPr>
              <w:pStyle w:val="Header"/>
              <w:widowControl w:val="0"/>
              <w:tabs>
                <w:tab w:val="clear" w:pos="4320"/>
                <w:tab w:val="clear" w:pos="8640"/>
              </w:tabs>
            </w:pPr>
          </w:p>
          <w:p w:rsidR="00355B91" w:rsidRPr="00315F62" w:rsidRDefault="00355B91" w:rsidP="00355B91">
            <w:pPr>
              <w:pStyle w:val="Header"/>
              <w:widowControl w:val="0"/>
              <w:tabs>
                <w:tab w:val="clear" w:pos="4320"/>
                <w:tab w:val="clear" w:pos="8640"/>
              </w:tabs>
            </w:pPr>
            <w:r w:rsidRPr="00315F62">
              <w:t>Chloracne (or other acneform disease consistent with chloracne) and porphyria cutanea tarda associated with herbicide exposure both have a one year presumptive period from the date of exposure.</w:t>
            </w:r>
          </w:p>
          <w:p w:rsidR="00355B91" w:rsidRPr="00315F62" w:rsidRDefault="00355B91" w:rsidP="00355B91">
            <w:pPr>
              <w:pStyle w:val="Header"/>
              <w:widowControl w:val="0"/>
              <w:tabs>
                <w:tab w:val="clear" w:pos="4320"/>
                <w:tab w:val="clear" w:pos="8640"/>
              </w:tabs>
            </w:pPr>
          </w:p>
          <w:p w:rsidR="00355B91" w:rsidRPr="00315F62" w:rsidRDefault="00355B91" w:rsidP="00355B91">
            <w:pPr>
              <w:pStyle w:val="Header"/>
              <w:widowControl w:val="0"/>
              <w:tabs>
                <w:tab w:val="clear" w:pos="4320"/>
                <w:tab w:val="clear" w:pos="8640"/>
              </w:tabs>
            </w:pPr>
            <w:r w:rsidRPr="00315F62">
              <w:t>Chloracne (or other acneform disease consistent with chloracne) associated with herbicide exposure has a one year presumptive period from the date of exposure.</w:t>
            </w:r>
          </w:p>
          <w:p w:rsidR="00355B91" w:rsidRPr="00315F62" w:rsidRDefault="00355B91" w:rsidP="00355B91">
            <w:pPr>
              <w:pStyle w:val="Header"/>
              <w:widowControl w:val="0"/>
              <w:tabs>
                <w:tab w:val="clear" w:pos="4320"/>
                <w:tab w:val="clear" w:pos="8640"/>
              </w:tabs>
            </w:pPr>
          </w:p>
          <w:p w:rsidR="00355B91" w:rsidRDefault="00355B91" w:rsidP="00355B91">
            <w:pPr>
              <w:pStyle w:val="Header"/>
              <w:widowControl w:val="0"/>
              <w:tabs>
                <w:tab w:val="clear" w:pos="4320"/>
                <w:tab w:val="clear" w:pos="8640"/>
              </w:tabs>
            </w:pPr>
            <w:r w:rsidRPr="00315F62">
              <w:t>Porphyria cutanea tarda associated with herbicide exposure has a one year presumptive pe</w:t>
            </w:r>
            <w:r>
              <w:t>riod from the date of exposure.</w:t>
            </w:r>
          </w:p>
          <w:p w:rsidR="00355B91" w:rsidRDefault="00355B91" w:rsidP="00355B91">
            <w:pPr>
              <w:pStyle w:val="Header"/>
              <w:widowControl w:val="0"/>
              <w:tabs>
                <w:tab w:val="clear" w:pos="4320"/>
                <w:tab w:val="clear" w:pos="8640"/>
              </w:tabs>
            </w:pPr>
          </w:p>
          <w:p w:rsidR="004945F9" w:rsidRDefault="004945F9">
            <w:pPr>
              <w:pStyle w:val="Header"/>
              <w:widowControl w:val="0"/>
              <w:tabs>
                <w:tab w:val="clear" w:pos="4320"/>
                <w:tab w:val="clear" w:pos="8640"/>
              </w:tabs>
            </w:pPr>
          </w:p>
          <w:p w:rsidR="004945F9" w:rsidRDefault="004945F9" w:rsidP="004945F9">
            <w:pPr>
              <w:pStyle w:val="Header"/>
              <w:widowControl w:val="0"/>
              <w:tabs>
                <w:tab w:val="clear" w:pos="4320"/>
                <w:tab w:val="clear" w:pos="8640"/>
              </w:tabs>
              <w:rPr>
                <w:i/>
              </w:rPr>
            </w:pPr>
            <w:r w:rsidRPr="00315F62">
              <w:rPr>
                <w:i/>
              </w:rPr>
              <w:t>G</w:t>
            </w:r>
            <w:r>
              <w:rPr>
                <w:i/>
              </w:rPr>
              <w:t xml:space="preserve">ulf </w:t>
            </w:r>
            <w:r w:rsidRPr="00315F62">
              <w:rPr>
                <w:i/>
              </w:rPr>
              <w:t>W</w:t>
            </w:r>
            <w:r>
              <w:rPr>
                <w:i/>
              </w:rPr>
              <w:t>ar</w:t>
            </w:r>
            <w:r w:rsidRPr="00315F62">
              <w:rPr>
                <w:i/>
              </w:rPr>
              <w:t>:</w:t>
            </w:r>
          </w:p>
          <w:p w:rsidR="004945F9" w:rsidRDefault="004945F9" w:rsidP="004945F9">
            <w:pPr>
              <w:pStyle w:val="Header"/>
              <w:widowControl w:val="0"/>
              <w:tabs>
                <w:tab w:val="clear" w:pos="4320"/>
                <w:tab w:val="clear" w:pos="8640"/>
              </w:tabs>
              <w:rPr>
                <w:rFonts w:ascii="Verdana" w:hAnsi="Verdana"/>
                <w:b/>
                <w:bCs/>
                <w:highlight w:val="green"/>
              </w:rPr>
            </w:pPr>
            <w:r>
              <w:rPr>
                <w:i/>
              </w:rPr>
              <w:t xml:space="preserve">If </w:t>
            </w:r>
            <w:r w:rsidRPr="00022B4F">
              <w:rPr>
                <w:i/>
                <w:color w:val="FF0000"/>
                <w:szCs w:val="22"/>
              </w:rPr>
              <w:t>No Record of Condition</w:t>
            </w:r>
            <w:r>
              <w:rPr>
                <w:i/>
                <w:sz w:val="18"/>
              </w:rPr>
              <w:t xml:space="preserve">, </w:t>
            </w:r>
            <w:r w:rsidRPr="00022B4F">
              <w:rPr>
                <w:i/>
                <w:sz w:val="18"/>
              </w:rPr>
              <w:t xml:space="preserve">use </w:t>
            </w:r>
            <w:r w:rsidRPr="005B451B">
              <w:rPr>
                <w:i/>
                <w:color w:val="FF0000"/>
                <w:sz w:val="18"/>
              </w:rPr>
              <w:t>Environmental Hazard in Gulf War – Other Unidentified</w:t>
            </w:r>
            <w:r w:rsidR="005B451B" w:rsidRPr="005B451B">
              <w:rPr>
                <w:i/>
                <w:color w:val="FF0000"/>
                <w:sz w:val="18"/>
              </w:rPr>
              <w:t xml:space="preserve"> </w:t>
            </w:r>
            <w:r w:rsidR="005B451B" w:rsidRPr="005B451B">
              <w:rPr>
                <w:i/>
                <w:sz w:val="18"/>
              </w:rPr>
              <w:t>Special Issue in</w:t>
            </w:r>
            <w:r w:rsidR="005B451B">
              <w:rPr>
                <w:i/>
              </w:rPr>
              <w:t xml:space="preserve"> </w:t>
            </w:r>
            <w:r w:rsidR="005B451B">
              <w:rPr>
                <w:rFonts w:ascii="Verdana" w:hAnsi="Verdana"/>
                <w:b/>
                <w:bCs/>
                <w:highlight w:val="green"/>
              </w:rPr>
              <w:t>VBMS-R</w:t>
            </w:r>
            <w:r w:rsidRPr="00022B4F">
              <w:rPr>
                <w:i/>
                <w:sz w:val="18"/>
              </w:rPr>
              <w:t xml:space="preserve"> &amp; choose “Deny – Found Less Than 10 Percent Disabling”</w:t>
            </w:r>
          </w:p>
          <w:p w:rsidR="004945F9" w:rsidRPr="00315F62" w:rsidRDefault="004945F9" w:rsidP="004945F9">
            <w:pPr>
              <w:pStyle w:val="Header"/>
              <w:widowControl w:val="0"/>
              <w:tabs>
                <w:tab w:val="clear" w:pos="4320"/>
                <w:tab w:val="clear" w:pos="8640"/>
              </w:tabs>
              <w:rPr>
                <w:i/>
              </w:rPr>
            </w:pPr>
            <w:r>
              <w:rPr>
                <w:rFonts w:ascii="Verdana" w:hAnsi="Verdana"/>
                <w:b/>
                <w:bCs/>
                <w:highlight w:val="green"/>
              </w:rPr>
              <w:t>NIS</w:t>
            </w:r>
            <w:r w:rsidRPr="00315F62">
              <w:t xml:space="preserve"> </w:t>
            </w:r>
            <w:r>
              <w:rPr>
                <w:rFonts w:ascii="Verdana" w:hAnsi="Verdana"/>
                <w:b/>
                <w:bCs/>
                <w:highlight w:val="green"/>
              </w:rPr>
              <w:t>STRs</w:t>
            </w:r>
            <w:r>
              <w:rPr>
                <w:rFonts w:ascii="Verdana" w:hAnsi="Verdana"/>
                <w:b/>
                <w:bCs/>
              </w:rPr>
              <w:t xml:space="preserve"> </w:t>
            </w:r>
            <w:r>
              <w:rPr>
                <w:rFonts w:ascii="Verdana" w:hAnsi="Verdana"/>
                <w:b/>
                <w:bCs/>
                <w:highlight w:val="green"/>
              </w:rPr>
              <w:t>NODX</w:t>
            </w:r>
            <w:r>
              <w:t xml:space="preserve"> </w:t>
            </w:r>
            <w:r>
              <w:rPr>
                <w:rFonts w:ascii="Verdana" w:hAnsi="Verdana"/>
                <w:b/>
                <w:bCs/>
                <w:highlight w:val="green"/>
              </w:rPr>
              <w:t>GW1</w:t>
            </w:r>
            <w:r>
              <w:rPr>
                <w:rFonts w:ascii="Verdana" w:hAnsi="Verdana"/>
                <w:b/>
                <w:bCs/>
              </w:rPr>
              <w:t xml:space="preserve"> </w:t>
            </w:r>
          </w:p>
          <w:p w:rsidR="004945F9" w:rsidRDefault="004945F9" w:rsidP="004945F9">
            <w:pPr>
              <w:pStyle w:val="Header"/>
              <w:widowControl w:val="0"/>
              <w:tabs>
                <w:tab w:val="clear" w:pos="4320"/>
                <w:tab w:val="clear" w:pos="8640"/>
              </w:tabs>
            </w:pPr>
          </w:p>
          <w:p w:rsidR="004945F9" w:rsidRPr="00315F62" w:rsidRDefault="004945F9" w:rsidP="004945F9">
            <w:pPr>
              <w:pStyle w:val="Header"/>
              <w:widowControl w:val="0"/>
              <w:tabs>
                <w:tab w:val="clear" w:pos="4320"/>
                <w:tab w:val="clear" w:pos="8640"/>
              </w:tabs>
            </w:pPr>
            <w:r w:rsidRPr="00315F62">
              <w:t xml:space="preserve">There is no evidence that your claimed </w:t>
            </w:r>
            <w:r>
              <w:t>{}</w:t>
            </w:r>
            <w:r w:rsidRPr="00315F62">
              <w:t xml:space="preserve"> is a manifestation of undiagnosed illnesses or medically unexplained chronic multi-symptom illnesses</w:t>
            </w:r>
            <w:r>
              <w:t xml:space="preserve"> (MUCMI)</w:t>
            </w:r>
            <w:r w:rsidRPr="00315F62">
              <w:t>.</w:t>
            </w:r>
          </w:p>
          <w:p w:rsidR="004945F9" w:rsidRPr="00315F62" w:rsidRDefault="004945F9" w:rsidP="004945F9">
            <w:pPr>
              <w:pStyle w:val="Header"/>
              <w:widowControl w:val="0"/>
              <w:tabs>
                <w:tab w:val="clear" w:pos="4320"/>
                <w:tab w:val="clear" w:pos="8640"/>
              </w:tabs>
            </w:pPr>
          </w:p>
          <w:p w:rsidR="004945F9" w:rsidRDefault="004945F9" w:rsidP="004945F9">
            <w:pPr>
              <w:pStyle w:val="Header"/>
              <w:widowControl w:val="0"/>
              <w:tabs>
                <w:tab w:val="clear" w:pos="4320"/>
                <w:tab w:val="clear" w:pos="8640"/>
              </w:tabs>
            </w:pPr>
            <w:r w:rsidRPr="00315F62">
              <w:t>The evidence does not show treatment for the disability claimed, nor is there lay testimony describing the disability pattern.</w:t>
            </w:r>
            <w:r>
              <w:t xml:space="preserve"> </w:t>
            </w:r>
          </w:p>
          <w:p w:rsidR="004945F9" w:rsidRDefault="004945F9" w:rsidP="004945F9">
            <w:pPr>
              <w:pStyle w:val="Header"/>
              <w:widowControl w:val="0"/>
              <w:tabs>
                <w:tab w:val="clear" w:pos="4320"/>
                <w:tab w:val="clear" w:pos="8640"/>
              </w:tabs>
            </w:pPr>
            <w:r>
              <w:t>OR</w:t>
            </w:r>
          </w:p>
          <w:p w:rsidR="004945F9" w:rsidRDefault="004945F9" w:rsidP="004945F9">
            <w:pPr>
              <w:pStyle w:val="Header"/>
              <w:widowControl w:val="0"/>
              <w:tabs>
                <w:tab w:val="clear" w:pos="4320"/>
                <w:tab w:val="clear" w:pos="8640"/>
              </w:tabs>
            </w:pPr>
            <w:r>
              <w:t>There is no evidence of that the claimed illness persisted for 6 months, nor is there evidence of a current disability.</w:t>
            </w:r>
          </w:p>
          <w:p w:rsidR="004945F9" w:rsidRDefault="004945F9" w:rsidP="004945F9">
            <w:pPr>
              <w:rPr>
                <w:rFonts w:ascii="Helvetica" w:hAnsi="Helvetica" w:cs="Helvetica"/>
                <w:color w:val="808080"/>
                <w:sz w:val="22"/>
                <w:szCs w:val="22"/>
              </w:rPr>
            </w:pPr>
          </w:p>
          <w:p w:rsidR="004945F9" w:rsidRPr="0010111B" w:rsidRDefault="004945F9" w:rsidP="004945F9">
            <w:pPr>
              <w:rPr>
                <w:rFonts w:ascii="Helvetica" w:hAnsi="Helvetica" w:cs="Helvetica"/>
                <w:color w:val="808080"/>
                <w:sz w:val="22"/>
                <w:szCs w:val="22"/>
              </w:rPr>
            </w:pPr>
            <w:r>
              <w:rPr>
                <w:rFonts w:ascii="Helvetica" w:hAnsi="Helvetica" w:cs="Helvetica"/>
                <w:color w:val="808080"/>
                <w:sz w:val="22"/>
                <w:szCs w:val="22"/>
              </w:rPr>
              <w:t>Service connection for {} is denied since t</w:t>
            </w:r>
            <w:r w:rsidRPr="0010111B">
              <w:rPr>
                <w:rFonts w:ascii="Helvetica" w:hAnsi="Helvetica" w:cs="Helvetica"/>
                <w:color w:val="808080"/>
                <w:sz w:val="22"/>
                <w:szCs w:val="22"/>
              </w:rPr>
              <w:t>here is no evidence the claimed condition exists.</w:t>
            </w:r>
          </w:p>
          <w:p w:rsidR="004945F9" w:rsidRDefault="004945F9" w:rsidP="004945F9">
            <w:pPr>
              <w:pStyle w:val="Header"/>
              <w:widowControl w:val="0"/>
              <w:tabs>
                <w:tab w:val="clear" w:pos="4320"/>
                <w:tab w:val="clear" w:pos="8640"/>
              </w:tabs>
            </w:pPr>
          </w:p>
          <w:p w:rsidR="004945F9" w:rsidRDefault="004945F9" w:rsidP="004945F9">
            <w:pPr>
              <w:pStyle w:val="Header"/>
              <w:widowControl w:val="0"/>
              <w:tabs>
                <w:tab w:val="clear" w:pos="4320"/>
                <w:tab w:val="clear" w:pos="8640"/>
              </w:tabs>
            </w:pPr>
            <w:r w:rsidRPr="007B1292">
              <w:t>The Gulf War General Medical Examination DBQ indicates no diagnosed illnesses for which no etiology was established; shows you did not report any additional signs and/or symptoms that may represent an “undiagnosed illness” or “diagnosed medically unexplained chronic multisymptom illness”</w:t>
            </w:r>
            <w:r>
              <w:t xml:space="preserve"> (MUCMI)</w:t>
            </w:r>
            <w:r w:rsidRPr="007B1292">
              <w:t>; and indicates you do not have additional signs and/or symptoms that may represent an “undiagnosed illness” or “diagnosed medically unexplained chronic multisymptom illness”</w:t>
            </w:r>
            <w:r w:rsidR="00493BE0">
              <w:t xml:space="preserve"> (MUCMI)</w:t>
            </w:r>
            <w:r w:rsidRPr="007B1292">
              <w:t>.</w:t>
            </w:r>
            <w:r>
              <w:t xml:space="preserve"> </w:t>
            </w:r>
          </w:p>
          <w:p w:rsidR="004945F9" w:rsidRDefault="004945F9" w:rsidP="004945F9">
            <w:pPr>
              <w:pStyle w:val="Header"/>
              <w:widowControl w:val="0"/>
              <w:tabs>
                <w:tab w:val="clear" w:pos="4320"/>
                <w:tab w:val="clear" w:pos="8640"/>
              </w:tabs>
            </w:pPr>
          </w:p>
          <w:p w:rsidR="004945F9" w:rsidRDefault="004945F9" w:rsidP="004945F9">
            <w:pPr>
              <w:pStyle w:val="Header"/>
              <w:widowControl w:val="0"/>
              <w:tabs>
                <w:tab w:val="clear" w:pos="4320"/>
                <w:tab w:val="clear" w:pos="8640"/>
              </w:tabs>
            </w:pPr>
            <w:r w:rsidRPr="007B1292">
              <w:t>The Gulf War General Medical Examination DBQ indicates</w:t>
            </w:r>
            <w:r>
              <w:t xml:space="preserve"> {} is a disease with a clear and specific etiology and is not caused by exposure to environmental hazards while stationed in Southwest Asia.</w:t>
            </w:r>
          </w:p>
          <w:p w:rsidR="004945F9" w:rsidRDefault="004945F9" w:rsidP="004945F9">
            <w:pPr>
              <w:pStyle w:val="Header"/>
              <w:widowControl w:val="0"/>
              <w:tabs>
                <w:tab w:val="clear" w:pos="4320"/>
                <w:tab w:val="clear" w:pos="8640"/>
              </w:tabs>
            </w:pPr>
          </w:p>
          <w:p w:rsidR="004945F9" w:rsidRDefault="004945F9" w:rsidP="004945F9">
            <w:pPr>
              <w:pStyle w:val="Header"/>
              <w:widowControl w:val="0"/>
              <w:tabs>
                <w:tab w:val="clear" w:pos="4320"/>
                <w:tab w:val="clear" w:pos="8640"/>
              </w:tabs>
            </w:pPr>
            <w:r w:rsidRPr="007B1292">
              <w:t>The Gulf War General Medical Examination DBQ indicates</w:t>
            </w:r>
            <w:r>
              <w:t xml:space="preserve"> {} is a disease with a partially explained etiology and is not caused by exposure to environmental hazards while stationed in Southwest Asia.</w:t>
            </w:r>
          </w:p>
          <w:p w:rsidR="004945F9" w:rsidRDefault="004945F9" w:rsidP="004945F9">
            <w:pPr>
              <w:pStyle w:val="Header"/>
              <w:widowControl w:val="0"/>
              <w:tabs>
                <w:tab w:val="clear" w:pos="4320"/>
                <w:tab w:val="clear" w:pos="8640"/>
              </w:tabs>
            </w:pPr>
          </w:p>
          <w:p w:rsidR="004945F9" w:rsidRDefault="004945F9" w:rsidP="004945F9">
            <w:pPr>
              <w:widowControl w:val="0"/>
              <w:spacing w:after="120"/>
            </w:pPr>
            <w:r>
              <w:t>{</w:t>
            </w:r>
            <w:r w:rsidRPr="005F759A">
              <w:t>Inflammatory bowel disease / ulcerative colitis / Crohn's disease / gastroesop</w:t>
            </w:r>
            <w:r>
              <w:t>hageal reflux disease (GERD)} is a</w:t>
            </w:r>
            <w:r w:rsidRPr="005F759A">
              <w:t xml:space="preserve"> stru</w:t>
            </w:r>
            <w:r>
              <w:t>ctural gastrointestinal disease</w:t>
            </w:r>
            <w:r w:rsidRPr="005F759A">
              <w:t xml:space="preserve"> and do</w:t>
            </w:r>
            <w:r>
              <w:t>es</w:t>
            </w:r>
            <w:r w:rsidRPr="005F759A">
              <w:t xml:space="preserve"> not fall under the </w:t>
            </w:r>
            <w:r>
              <w:t>m</w:t>
            </w:r>
            <w:r w:rsidRPr="005F759A">
              <w:t>edically unexplained chronic multi-symptom illness (MUCMI) of functional gastrointestinal disorders (FGIDs).</w:t>
            </w:r>
          </w:p>
          <w:p w:rsidR="004945F9" w:rsidRDefault="004945F9" w:rsidP="004945F9">
            <w:pPr>
              <w:pStyle w:val="Header"/>
              <w:widowControl w:val="0"/>
              <w:tabs>
                <w:tab w:val="clear" w:pos="4320"/>
                <w:tab w:val="clear" w:pos="8640"/>
              </w:tabs>
            </w:pPr>
            <w:r>
              <w:t>*</w:t>
            </w:r>
            <w:r w:rsidRPr="007B1292">
              <w:rPr>
                <w:i/>
              </w:rPr>
              <w:t xml:space="preserve">See </w:t>
            </w:r>
            <w:hyperlink r:id="rId276" w:history="1">
              <w:r w:rsidRPr="007B1292">
                <w:rPr>
                  <w:rStyle w:val="Hyperlink"/>
                  <w:i/>
                </w:rPr>
                <w:t>Gulf War General Medical DBQ</w:t>
              </w:r>
            </w:hyperlink>
            <w:r w:rsidRPr="007B1292">
              <w:rPr>
                <w:i/>
              </w:rPr>
              <w:t>, if needed</w:t>
            </w:r>
            <w:r>
              <w:rPr>
                <w:i/>
              </w:rPr>
              <w:t>.</w:t>
            </w:r>
          </w:p>
          <w:p w:rsidR="004945F9" w:rsidRDefault="004945F9">
            <w:pPr>
              <w:pStyle w:val="Header"/>
              <w:widowControl w:val="0"/>
              <w:tabs>
                <w:tab w:val="clear" w:pos="4320"/>
                <w:tab w:val="clear" w:pos="8640"/>
              </w:tabs>
            </w:pPr>
          </w:p>
          <w:p w:rsidR="004945F9" w:rsidRDefault="004945F9">
            <w:pPr>
              <w:pStyle w:val="Header"/>
              <w:widowControl w:val="0"/>
              <w:tabs>
                <w:tab w:val="clear" w:pos="4320"/>
                <w:tab w:val="clear" w:pos="8640"/>
              </w:tabs>
            </w:pPr>
          </w:p>
          <w:p w:rsidR="00013EB8" w:rsidRPr="004D48DF" w:rsidRDefault="00013EB8">
            <w:pPr>
              <w:overflowPunct/>
              <w:textAlignment w:val="auto"/>
              <w:rPr>
                <w:u w:val="single"/>
              </w:rPr>
            </w:pPr>
            <w:r w:rsidRPr="004D48DF">
              <w:rPr>
                <w:b/>
                <w:bCs/>
                <w:u w:val="single"/>
              </w:rPr>
              <w:t>Bader opinion:</w:t>
            </w:r>
          </w:p>
          <w:p w:rsidR="00013EB8" w:rsidRDefault="00013EB8">
            <w:pPr>
              <w:widowControl w:val="0"/>
            </w:pPr>
            <w:r>
              <w:t xml:space="preserve">The VA examiner opined that your claimed </w:t>
            </w:r>
            <w:r w:rsidR="00A46221">
              <w:t>{}</w:t>
            </w:r>
            <w:r>
              <w:t xml:space="preserve"> (diagnosed as </w:t>
            </w:r>
            <w:r w:rsidR="00A46221">
              <w:t>{}</w:t>
            </w:r>
            <w:r>
              <w:t xml:space="preserve">) is less likely than not incurred in or caused by the claimed in-service injury, event or illness because the service record does not document objective findings consistent with a high energy injury to the soft tissue or osseous structures of your </w:t>
            </w:r>
            <w:r w:rsidR="00A46221">
              <w:t>{}</w:t>
            </w:r>
            <w:r>
              <w:t>, such as fracture, internal derangement/herniated disc or dislocation, and in the absence of such findings a post traumatic or chronic inflammatory process is less likey than not; nor does the service record document repetitive microtrauma which would be required to initiate and sustain a posttraumatic or chronic inflammatory process; and you were on active duty for less than 10 years so any microtrauma you sustained during active duty, even in aggregate, would be insufficient to initiate and sustain a posttraumatic or chronic inflammatory process since the literature suggest a 10 year exposure as the threshold value; furthermore your radiographs do not reveal advanced degenerative changes and therefore are inconsistent with a post traumatic process.</w:t>
            </w:r>
          </w:p>
          <w:p w:rsidR="004D48DF" w:rsidRDefault="004D48DF">
            <w:pPr>
              <w:widowControl w:val="0"/>
            </w:pPr>
          </w:p>
          <w:p w:rsidR="004D48DF" w:rsidRPr="004D48DF" w:rsidRDefault="004D48DF" w:rsidP="004D48DF">
            <w:pPr>
              <w:widowControl w:val="0"/>
              <w:rPr>
                <w:b/>
                <w:u w:val="single"/>
              </w:rPr>
            </w:pPr>
            <w:r w:rsidRPr="004D48DF">
              <w:rPr>
                <w:b/>
                <w:u w:val="single"/>
              </w:rPr>
              <w:t>Magnusson opinions:</w:t>
            </w:r>
          </w:p>
          <w:p w:rsidR="00B60B00" w:rsidRDefault="00CB370D" w:rsidP="00B60B00">
            <w:pPr>
              <w:widowControl w:val="0"/>
            </w:pPr>
            <w:r>
              <w:t>The</w:t>
            </w:r>
            <w:r w:rsidR="004D48DF">
              <w:t xml:space="preserve"> VA examiner opined that it is less likely than not that your hearing loss is due to military noise exposure. Your examiner provided the following rationale:  The separation audiogram demonstrates excellent hearing, so the current hearing loss is more likely from other sources/factors, as a 2010 study shows hearing loss increases with age but is not significantly different for veterans and non-veterans, so it is difficult to attribute your recent hearing impairment functioning solely to the trauma suffered during military service and not to consider other factors such as aging, and noise exposure from occupational activities after military service.</w:t>
            </w:r>
          </w:p>
          <w:p w:rsidR="004D48DF" w:rsidRDefault="004D48DF" w:rsidP="004D48DF"/>
          <w:p w:rsidR="004D48DF" w:rsidRDefault="004D48DF">
            <w:pPr>
              <w:widowControl w:val="0"/>
            </w:pPr>
            <w:r>
              <w:t>The VA examiner opined that your tinnitus is less likely than not incurred in or caused by the claimed in-service injury, event or illness because tinnitus is more likely from other sources, as a 2006 Institute of Medicine study stated there is no scientific basis on which to conclude that a hearing loss that appeared many years after noise exposure could be casually related to that noise exposure if hearing was normal</w:t>
            </w:r>
            <w:r w:rsidR="00B60B00">
              <w:t xml:space="preserve"> immediately after the exposure. </w:t>
            </w:r>
            <w:r>
              <w:t>The VA examiner linked your tinnitus to your hearing loss, which is not service-connected.</w:t>
            </w:r>
          </w:p>
        </w:tc>
      </w:tr>
      <w:tr w:rsidR="00013EB8" w:rsidTr="00581371">
        <w:trPr>
          <w:trHeight w:val="321"/>
        </w:trPr>
        <w:tc>
          <w:tcPr>
            <w:tcW w:w="2365" w:type="dxa"/>
          </w:tcPr>
          <w:p w:rsidR="00013EB8" w:rsidRDefault="007D3F63">
            <w:pPr>
              <w:widowControl w:val="0"/>
            </w:pPr>
            <w:bookmarkStart w:id="44" w:name="NMFreeText"/>
            <w:r>
              <w:rPr>
                <w:rFonts w:ascii="Verdana" w:hAnsi="Verdana"/>
                <w:b/>
                <w:bCs/>
                <w:highlight w:val="green"/>
              </w:rPr>
              <w:t>NM</w:t>
            </w:r>
            <w:r w:rsidR="00013EB8">
              <w:t xml:space="preserve"> Free T</w:t>
            </w:r>
            <w:bookmarkEnd w:id="44"/>
            <w:r w:rsidR="00013EB8">
              <w:t>ext</w:t>
            </w:r>
          </w:p>
          <w:p w:rsidR="00013EB8" w:rsidRDefault="00013EB8">
            <w:pPr>
              <w:widowControl w:val="0"/>
            </w:pPr>
          </w:p>
          <w:p w:rsidR="00013EB8" w:rsidRDefault="00013EB8">
            <w:pPr>
              <w:widowControl w:val="0"/>
              <w:rPr>
                <w:i/>
                <w:iCs/>
                <w:sz w:val="18"/>
              </w:rPr>
            </w:pPr>
            <w:r>
              <w:rPr>
                <w:i/>
                <w:iCs/>
                <w:sz w:val="18"/>
              </w:rPr>
              <w:t xml:space="preserve">(see </w:t>
            </w:r>
            <w:hyperlink w:anchor="CCDENYFreeText" w:history="1">
              <w:r>
                <w:rPr>
                  <w:rStyle w:val="Hyperlink"/>
                  <w:i/>
                  <w:iCs/>
                  <w:sz w:val="18"/>
                </w:rPr>
                <w:t>C&amp;C DENY Free Text</w:t>
              </w:r>
            </w:hyperlink>
            <w:r>
              <w:rPr>
                <w:i/>
                <w:iCs/>
                <w:sz w:val="18"/>
              </w:rPr>
              <w:t xml:space="preserve"> if receive N&amp;M evid sufficient to reopen the claim, but denial is continued)</w:t>
            </w:r>
          </w:p>
          <w:p w:rsidR="00310B75" w:rsidRDefault="00310B75">
            <w:pPr>
              <w:widowControl w:val="0"/>
              <w:rPr>
                <w:i/>
                <w:iCs/>
                <w:sz w:val="18"/>
              </w:rPr>
            </w:pPr>
          </w:p>
          <w:p w:rsidR="00310B75" w:rsidRDefault="00310B75">
            <w:pPr>
              <w:widowControl w:val="0"/>
              <w:rPr>
                <w:i/>
                <w:iCs/>
                <w:sz w:val="18"/>
              </w:rPr>
            </w:pPr>
          </w:p>
          <w:p w:rsidR="00304F1E" w:rsidRDefault="00304F1E" w:rsidP="00304F1E">
            <w:pPr>
              <w:rPr>
                <w:i/>
                <w:sz w:val="18"/>
              </w:rPr>
            </w:pPr>
            <w:r>
              <w:rPr>
                <w:i/>
                <w:sz w:val="18"/>
              </w:rPr>
              <w:t>For reopens, you o</w:t>
            </w:r>
            <w:r w:rsidR="00310B75" w:rsidRPr="00310B75">
              <w:rPr>
                <w:i/>
                <w:sz w:val="18"/>
              </w:rPr>
              <w:t xml:space="preserve">nly need </w:t>
            </w:r>
            <w:r>
              <w:rPr>
                <w:i/>
                <w:sz w:val="18"/>
              </w:rPr>
              <w:t xml:space="preserve">one of the </w:t>
            </w:r>
            <w:r w:rsidR="00310B75" w:rsidRPr="00310B75">
              <w:rPr>
                <w:i/>
                <w:sz w:val="18"/>
              </w:rPr>
              <w:t>NM code</w:t>
            </w:r>
            <w:r>
              <w:rPr>
                <w:i/>
                <w:sz w:val="18"/>
              </w:rPr>
              <w:t>s, plus F</w:t>
            </w:r>
            <w:r w:rsidR="00310B75" w:rsidRPr="00310B75">
              <w:rPr>
                <w:i/>
                <w:sz w:val="18"/>
              </w:rPr>
              <w:t xml:space="preserve">ree Text. </w:t>
            </w:r>
          </w:p>
          <w:p w:rsidR="00304F1E" w:rsidRDefault="00304F1E" w:rsidP="00304F1E">
            <w:pPr>
              <w:rPr>
                <w:i/>
                <w:sz w:val="18"/>
              </w:rPr>
            </w:pPr>
          </w:p>
          <w:p w:rsidR="00310B75" w:rsidRPr="00310B75" w:rsidRDefault="00310B75" w:rsidP="00304F1E">
            <w:pPr>
              <w:rPr>
                <w:i/>
              </w:rPr>
            </w:pPr>
            <w:r w:rsidRPr="00310B75">
              <w:rPr>
                <w:i/>
                <w:sz w:val="18"/>
              </w:rPr>
              <w:t>Just address the evidence received</w:t>
            </w:r>
            <w:r>
              <w:rPr>
                <w:i/>
                <w:sz w:val="18"/>
              </w:rPr>
              <w:t xml:space="preserve"> for this claim</w:t>
            </w:r>
            <w:r w:rsidR="00304F1E">
              <w:rPr>
                <w:i/>
                <w:sz w:val="18"/>
              </w:rPr>
              <w:t>.</w:t>
            </w:r>
            <w:r>
              <w:rPr>
                <w:i/>
                <w:sz w:val="18"/>
              </w:rPr>
              <w:t xml:space="preserve"> Y</w:t>
            </w:r>
            <w:r w:rsidRPr="00310B75">
              <w:rPr>
                <w:i/>
                <w:sz w:val="18"/>
              </w:rPr>
              <w:t xml:space="preserve">ou need to know why it was previously denied, as that’s the only way you </w:t>
            </w:r>
            <w:r w:rsidR="00304F1E">
              <w:rPr>
                <w:i/>
                <w:sz w:val="18"/>
              </w:rPr>
              <w:t>will know if the evidence is N&amp;M. B</w:t>
            </w:r>
            <w:r w:rsidRPr="00310B75">
              <w:rPr>
                <w:i/>
                <w:sz w:val="18"/>
              </w:rPr>
              <w:t>ut</w:t>
            </w:r>
            <w:r w:rsidR="00304F1E">
              <w:rPr>
                <w:i/>
                <w:sz w:val="18"/>
              </w:rPr>
              <w:t xml:space="preserve"> if the evidence is not N&amp;M,</w:t>
            </w:r>
            <w:r w:rsidRPr="00310B75">
              <w:rPr>
                <w:i/>
                <w:sz w:val="18"/>
              </w:rPr>
              <w:t xml:space="preserve"> you don’t need to explain </w:t>
            </w:r>
            <w:r w:rsidR="00304F1E">
              <w:rPr>
                <w:i/>
                <w:sz w:val="18"/>
              </w:rPr>
              <w:t>why the issue was previously denied, you just need to explain why the evidence isn’t N&amp;M.</w:t>
            </w:r>
          </w:p>
        </w:tc>
        <w:tc>
          <w:tcPr>
            <w:tcW w:w="8381" w:type="dxa"/>
          </w:tcPr>
          <w:p w:rsidR="00013EB8" w:rsidRDefault="00013EB8">
            <w:pPr>
              <w:widowControl w:val="0"/>
              <w:rPr>
                <w:rStyle w:val="Emphasis"/>
                <w:i w:val="0"/>
              </w:rPr>
            </w:pPr>
            <w:r>
              <w:rPr>
                <w:rStyle w:val="Emphasis"/>
                <w:i w:val="0"/>
                <w:iCs w:val="0"/>
              </w:rPr>
              <w:t xml:space="preserve">The statement you submitted from your spouse addressed the symptoms you currently experience, and that information is not material to the question of whether there is </w:t>
            </w:r>
            <w:r w:rsidR="000735FC" w:rsidRPr="000A68D6">
              <w:t xml:space="preserve">an </w:t>
            </w:r>
            <w:r w:rsidR="000735FC">
              <w:t>association with service</w:t>
            </w:r>
            <w:r>
              <w:rPr>
                <w:rStyle w:val="Emphasis"/>
                <w:i w:val="0"/>
                <w:iCs w:val="0"/>
              </w:rPr>
              <w:t xml:space="preserve">. While the evidence from </w:t>
            </w:r>
            <w:r w:rsidR="00A46221">
              <w:rPr>
                <w:rStyle w:val="Emphasis"/>
                <w:i w:val="0"/>
                <w:iCs w:val="0"/>
              </w:rPr>
              <w:t>{}</w:t>
            </w:r>
            <w:r>
              <w:rPr>
                <w:rStyle w:val="Emphasis"/>
                <w:i w:val="0"/>
                <w:iCs w:val="0"/>
              </w:rPr>
              <w:t xml:space="preserve"> provided a diagnosis, he reported that your disability is due to an automobile accident that occurred after your discharge from the military, so </w:t>
            </w:r>
            <w:r w:rsidR="000735FC">
              <w:rPr>
                <w:rStyle w:val="Emphasis"/>
                <w:i w:val="0"/>
                <w:iCs w:val="0"/>
              </w:rPr>
              <w:t xml:space="preserve">it does not provide </w:t>
            </w:r>
            <w:r w:rsidR="000735FC" w:rsidRPr="000A68D6">
              <w:t xml:space="preserve">an </w:t>
            </w:r>
            <w:r w:rsidR="000735FC">
              <w:t>association with service</w:t>
            </w:r>
            <w:r>
              <w:rPr>
                <w:rStyle w:val="Emphasis"/>
                <w:i w:val="0"/>
              </w:rPr>
              <w:t xml:space="preserve">. </w:t>
            </w:r>
            <w:r w:rsidR="00FC721E">
              <w:t>You have not</w:t>
            </w:r>
            <w:r w:rsidR="00FC721E" w:rsidRPr="000A68D6">
              <w:t xml:space="preserve"> submitted or identified any lay or medical indication of an </w:t>
            </w:r>
            <w:r w:rsidR="00FC721E">
              <w:t>association with service</w:t>
            </w:r>
            <w:r w:rsidR="00FC721E">
              <w:rPr>
                <w:rStyle w:val="Emphasis"/>
                <w:i w:val="0"/>
              </w:rPr>
              <w:t>.</w:t>
            </w:r>
          </w:p>
          <w:p w:rsidR="000735FC" w:rsidRDefault="000735FC">
            <w:pPr>
              <w:widowControl w:val="0"/>
              <w:rPr>
                <w:rStyle w:val="Emphasis"/>
                <w:i w:val="0"/>
              </w:rPr>
            </w:pPr>
          </w:p>
          <w:p w:rsidR="00013EB8" w:rsidRDefault="00013EB8">
            <w:pPr>
              <w:widowControl w:val="0"/>
              <w:rPr>
                <w:rStyle w:val="Emphasis"/>
                <w:i w:val="0"/>
              </w:rPr>
            </w:pPr>
            <w:r>
              <w:rPr>
                <w:rStyle w:val="Emphasis"/>
                <w:i w:val="0"/>
              </w:rPr>
              <w:t xml:space="preserve">While the evidence from the treatment records provides a diagnosis, it also shows your disability is due to injuries that occurred after your discharge from the military. </w:t>
            </w:r>
            <w:r w:rsidR="00FC721E">
              <w:t>You have not</w:t>
            </w:r>
            <w:r w:rsidR="00FC721E" w:rsidRPr="000A68D6">
              <w:t xml:space="preserve"> submitted or identified any lay or medical indication of an </w:t>
            </w:r>
            <w:r w:rsidR="00FC721E">
              <w:t>association with service</w:t>
            </w:r>
            <w:r>
              <w:rPr>
                <w:rStyle w:val="Emphasis"/>
                <w:i w:val="0"/>
              </w:rPr>
              <w:t>.</w:t>
            </w:r>
          </w:p>
          <w:p w:rsidR="00013EB8" w:rsidRDefault="00013EB8">
            <w:pPr>
              <w:widowControl w:val="0"/>
              <w:rPr>
                <w:rStyle w:val="Emphasis"/>
                <w:i w:val="0"/>
              </w:rPr>
            </w:pPr>
          </w:p>
          <w:p w:rsidR="00013EB8" w:rsidRDefault="00013EB8">
            <w:pPr>
              <w:widowControl w:val="0"/>
              <w:rPr>
                <w:rStyle w:val="Emphasis"/>
                <w:i w:val="0"/>
              </w:rPr>
            </w:pPr>
            <w:r>
              <w:rPr>
                <w:rStyle w:val="Emphasis"/>
                <w:i w:val="0"/>
              </w:rPr>
              <w:t xml:space="preserve">While the evidence from the treatment records provides a diagnosis, </w:t>
            </w:r>
            <w:r w:rsidR="000735FC">
              <w:t>you have not</w:t>
            </w:r>
            <w:r w:rsidR="000735FC" w:rsidRPr="000A68D6">
              <w:t xml:space="preserve"> submitted or identified any lay or medical indication of an </w:t>
            </w:r>
            <w:r w:rsidR="000735FC">
              <w:t>association with service</w:t>
            </w:r>
            <w:r w:rsidR="0006516F">
              <w:rPr>
                <w:rStyle w:val="Emphasis"/>
                <w:i w:val="0"/>
              </w:rPr>
              <w:t xml:space="preserve">{, nor </w:t>
            </w:r>
            <w:r w:rsidR="0006516F">
              <w:rPr>
                <w:szCs w:val="24"/>
              </w:rPr>
              <w:t>is there evidence that your condition manifested itself to a compensable degree within a year of your release from service}.</w:t>
            </w:r>
          </w:p>
          <w:p w:rsidR="000735FC" w:rsidRDefault="000735FC">
            <w:pPr>
              <w:widowControl w:val="0"/>
              <w:rPr>
                <w:rStyle w:val="Emphasis"/>
                <w:i w:val="0"/>
              </w:rPr>
            </w:pPr>
          </w:p>
          <w:p w:rsidR="000735FC" w:rsidRDefault="000735FC" w:rsidP="000735FC">
            <w:pPr>
              <w:widowControl w:val="0"/>
            </w:pPr>
            <w:r w:rsidRPr="000A68D6">
              <w:t xml:space="preserve">You have not submitted or identified any lay </w:t>
            </w:r>
            <w:r>
              <w:t>evidence of persistent/recurrent symptoms{, or any</w:t>
            </w:r>
            <w:r w:rsidRPr="000A68D6">
              <w:t xml:space="preserve"> medical evidence of </w:t>
            </w:r>
            <w:r w:rsidRPr="00FE0834">
              <w:rPr>
                <w:bCs/>
              </w:rPr>
              <w:t>persistent/recurrent symptoms</w:t>
            </w:r>
            <w:r w:rsidRPr="000A68D6">
              <w:t xml:space="preserve"> </w:t>
            </w:r>
            <w:r>
              <w:t>or a c</w:t>
            </w:r>
            <w:r w:rsidRPr="000A68D6">
              <w:t>urrent diagn</w:t>
            </w:r>
            <w:r>
              <w:t>osed disability}</w:t>
            </w:r>
            <w:r w:rsidRPr="000A68D6">
              <w:t xml:space="preserve">, nor have you submitted or identified any lay or medical indication of an </w:t>
            </w:r>
            <w:r>
              <w:t>association with service.</w:t>
            </w:r>
          </w:p>
          <w:p w:rsidR="000735FC" w:rsidRDefault="000735FC">
            <w:pPr>
              <w:widowControl w:val="0"/>
              <w:rPr>
                <w:rStyle w:val="Emphasis"/>
                <w:i w:val="0"/>
              </w:rPr>
            </w:pPr>
          </w:p>
          <w:p w:rsidR="00013EB8" w:rsidRDefault="00013EB8">
            <w:pPr>
              <w:widowControl w:val="0"/>
            </w:pPr>
            <w:r>
              <w:t xml:space="preserve">While the evidence from treatment records shows your reports of </w:t>
            </w:r>
            <w:r w:rsidR="00A46221">
              <w:t>{}</w:t>
            </w:r>
            <w:r>
              <w:t xml:space="preserve"> pain, there is no evidence that e</w:t>
            </w:r>
            <w:r w:rsidR="000735FC">
              <w:t>stablishes a chronic disability</w:t>
            </w:r>
            <w:r w:rsidR="000735FC" w:rsidRPr="000A68D6">
              <w:t xml:space="preserve">, nor have you submitted or identified any lay or medical indication of an </w:t>
            </w:r>
            <w:r w:rsidR="000735FC">
              <w:t>association with service</w:t>
            </w:r>
            <w:r w:rsidR="000735FC">
              <w:rPr>
                <w:rStyle w:val="Emphasis"/>
                <w:i w:val="0"/>
              </w:rPr>
              <w:t>.</w:t>
            </w:r>
          </w:p>
          <w:p w:rsidR="00013EB8" w:rsidRDefault="00013EB8">
            <w:pPr>
              <w:widowControl w:val="0"/>
            </w:pPr>
          </w:p>
          <w:p w:rsidR="00013EB8" w:rsidRDefault="00013EB8" w:rsidP="00331FE5">
            <w:pPr>
              <w:widowControl w:val="0"/>
              <w:tabs>
                <w:tab w:val="left" w:pos="1236"/>
              </w:tabs>
            </w:pPr>
            <w:r>
              <w:t xml:space="preserve">The treatment records do not show any evidence of a chronic </w:t>
            </w:r>
            <w:r w:rsidR="00A46221">
              <w:t>{}</w:t>
            </w:r>
            <w:r>
              <w:t xml:space="preserve"> disability with</w:t>
            </w:r>
            <w:r w:rsidR="000735FC">
              <w:t xml:space="preserve"> an</w:t>
            </w:r>
            <w:r>
              <w:t xml:space="preserve"> </w:t>
            </w:r>
            <w:r w:rsidR="000735FC" w:rsidRPr="000A68D6">
              <w:t xml:space="preserve">indication of an </w:t>
            </w:r>
            <w:r w:rsidR="000735FC">
              <w:t>association with service</w:t>
            </w:r>
            <w:r>
              <w:t>.</w:t>
            </w:r>
          </w:p>
          <w:p w:rsidR="000735FC" w:rsidRDefault="000735FC">
            <w:pPr>
              <w:widowControl w:val="0"/>
            </w:pPr>
          </w:p>
          <w:p w:rsidR="00013EB8" w:rsidRDefault="00013EB8">
            <w:pPr>
              <w:widowControl w:val="0"/>
            </w:pPr>
            <w:r>
              <w:t xml:space="preserve">While the evidence from the </w:t>
            </w:r>
            <w:r w:rsidR="00AC28AF">
              <w:t>DBQ</w:t>
            </w:r>
            <w:r>
              <w:t xml:space="preserve"> shows left ear hearing loss, there is no </w:t>
            </w:r>
            <w:r w:rsidR="000735FC" w:rsidRPr="000A68D6">
              <w:t xml:space="preserve">indication of an </w:t>
            </w:r>
            <w:r w:rsidR="000735FC">
              <w:t>association with service</w:t>
            </w:r>
            <w:r>
              <w:t>.</w:t>
            </w:r>
          </w:p>
          <w:p w:rsidR="00D907CE" w:rsidRDefault="00D907CE">
            <w:pPr>
              <w:widowControl w:val="0"/>
            </w:pPr>
          </w:p>
          <w:p w:rsidR="00D907CE" w:rsidRDefault="00C13D26">
            <w:pPr>
              <w:widowControl w:val="0"/>
            </w:pPr>
            <w:r>
              <w:t xml:space="preserve">The treatment records do not show any evidence of </w:t>
            </w:r>
            <w:r w:rsidR="00A46221">
              <w:t>{}</w:t>
            </w:r>
            <w:r>
              <w:t>.</w:t>
            </w:r>
            <w:r w:rsidR="000735FC">
              <w:t xml:space="preserve"> </w:t>
            </w:r>
            <w:r w:rsidR="000735FC" w:rsidRPr="000A68D6">
              <w:t xml:space="preserve">You have not submitted or identified any lay </w:t>
            </w:r>
            <w:r w:rsidR="000735FC">
              <w:t>evidence of persistent/recurrent symptoms{, or any</w:t>
            </w:r>
            <w:r w:rsidR="000735FC" w:rsidRPr="000A68D6">
              <w:t xml:space="preserve"> medical evidence of </w:t>
            </w:r>
            <w:r w:rsidR="000735FC" w:rsidRPr="00FE0834">
              <w:rPr>
                <w:bCs/>
              </w:rPr>
              <w:t>persistent/recurrent symptoms</w:t>
            </w:r>
            <w:r w:rsidR="000735FC" w:rsidRPr="000A68D6">
              <w:t xml:space="preserve"> </w:t>
            </w:r>
            <w:r w:rsidR="000735FC">
              <w:t>or a c</w:t>
            </w:r>
            <w:r w:rsidR="000735FC" w:rsidRPr="000A68D6">
              <w:t>urrent diagn</w:t>
            </w:r>
            <w:r w:rsidR="000735FC">
              <w:t>osed disability}</w:t>
            </w:r>
            <w:r w:rsidR="000735FC" w:rsidRPr="000A68D6">
              <w:t xml:space="preserve">, nor have you submitted or identified any lay or medical indication of an </w:t>
            </w:r>
            <w:r w:rsidR="000735FC">
              <w:t>association with service.</w:t>
            </w:r>
          </w:p>
          <w:p w:rsidR="00874566" w:rsidRPr="00874566" w:rsidRDefault="00874566" w:rsidP="00874566">
            <w:pPr>
              <w:pStyle w:val="Header"/>
              <w:widowControl w:val="0"/>
              <w:tabs>
                <w:tab w:val="clear" w:pos="4320"/>
                <w:tab w:val="clear" w:pos="8640"/>
              </w:tabs>
              <w:rPr>
                <w:i/>
                <w:sz w:val="18"/>
              </w:rPr>
            </w:pPr>
            <w:r w:rsidRPr="00310B75">
              <w:rPr>
                <w:i/>
                <w:sz w:val="18"/>
              </w:rPr>
              <w:t>*</w:t>
            </w:r>
            <w:r>
              <w:rPr>
                <w:i/>
                <w:sz w:val="18"/>
              </w:rPr>
              <w:t xml:space="preserve">Or could do </w:t>
            </w:r>
            <w:r w:rsidRPr="00310B75">
              <w:rPr>
                <w:i/>
                <w:sz w:val="18"/>
              </w:rPr>
              <w:t xml:space="preserve">an admin </w:t>
            </w:r>
            <w:r>
              <w:rPr>
                <w:i/>
                <w:sz w:val="18"/>
              </w:rPr>
              <w:t>denial.</w:t>
            </w:r>
          </w:p>
          <w:p w:rsidR="003D77C3" w:rsidRDefault="003D77C3">
            <w:pPr>
              <w:widowControl w:val="0"/>
            </w:pPr>
          </w:p>
          <w:p w:rsidR="00331FE5" w:rsidRDefault="003D77C3" w:rsidP="00331FE5">
            <w:pPr>
              <w:widowControl w:val="0"/>
            </w:pPr>
            <w:r w:rsidRPr="003D77C3">
              <w:t>The evidence from the treatment records shows you have this condition, but not that it is related to your military service, or diagnosed within one year of discharge (to a compensable level).</w:t>
            </w:r>
          </w:p>
          <w:p w:rsidR="007B32D0" w:rsidRDefault="007B32D0" w:rsidP="00331FE5">
            <w:pPr>
              <w:widowControl w:val="0"/>
            </w:pPr>
          </w:p>
          <w:p w:rsidR="007B32D0" w:rsidRDefault="007B32D0" w:rsidP="00331FE5">
            <w:pPr>
              <w:widowControl w:val="0"/>
            </w:pPr>
            <w:r w:rsidRPr="007B32D0">
              <w:t xml:space="preserve">The evidence from the treatment records continues to show you have </w:t>
            </w:r>
            <w:r w:rsidR="00491F98">
              <w:t>{</w:t>
            </w:r>
            <w:r w:rsidRPr="007B32D0">
              <w:t>this condition</w:t>
            </w:r>
            <w:r w:rsidR="00491F98">
              <w:t xml:space="preserve"> / complaints}</w:t>
            </w:r>
            <w:r w:rsidRPr="007B32D0">
              <w:t xml:space="preserve">, but not that </w:t>
            </w:r>
            <w:r w:rsidR="00491F98">
              <w:t>{</w:t>
            </w:r>
            <w:r w:rsidRPr="007B32D0">
              <w:t>it is</w:t>
            </w:r>
            <w:r w:rsidR="00491F98">
              <w:t xml:space="preserve"> / they are}</w:t>
            </w:r>
            <w:r w:rsidRPr="007B32D0">
              <w:t xml:space="preserve"> related to your military service, or diagnosed within one year of discharge (to a compensable level).</w:t>
            </w:r>
          </w:p>
          <w:p w:rsidR="008913CB" w:rsidRDefault="008913CB" w:rsidP="00331FE5">
            <w:pPr>
              <w:widowControl w:val="0"/>
            </w:pPr>
          </w:p>
          <w:p w:rsidR="008913CB" w:rsidRDefault="008913CB" w:rsidP="008913CB">
            <w:pPr>
              <w:widowControl w:val="0"/>
            </w:pPr>
            <w:r w:rsidRPr="007B32D0">
              <w:t xml:space="preserve">The evidence from the treatment records continues to show you have </w:t>
            </w:r>
            <w:r>
              <w:t>{</w:t>
            </w:r>
            <w:r w:rsidRPr="007B32D0">
              <w:t>this condition</w:t>
            </w:r>
            <w:r>
              <w:t xml:space="preserve"> / complaints}</w:t>
            </w:r>
            <w:r w:rsidRPr="007B32D0">
              <w:t xml:space="preserve">, but not that </w:t>
            </w:r>
            <w:r>
              <w:t>{</w:t>
            </w:r>
            <w:r w:rsidRPr="007B32D0">
              <w:t>it is</w:t>
            </w:r>
            <w:r>
              <w:t xml:space="preserve"> / they are}</w:t>
            </w:r>
            <w:r w:rsidRPr="007B32D0">
              <w:t xml:space="preserve"> related to your military service, or diagnosed within one year of dis</w:t>
            </w:r>
            <w:r>
              <w:t>charge (to a compensable level), or that {it / they} resulted from, or was aggravated by, a service-connected disability.</w:t>
            </w:r>
          </w:p>
        </w:tc>
      </w:tr>
      <w:tr w:rsidR="00013EB8" w:rsidTr="00D41C82">
        <w:trPr>
          <w:trHeight w:val="1835"/>
        </w:trPr>
        <w:tc>
          <w:tcPr>
            <w:tcW w:w="2365" w:type="dxa"/>
          </w:tcPr>
          <w:p w:rsidR="00013EB8" w:rsidRDefault="007D3F63">
            <w:pPr>
              <w:widowControl w:val="0"/>
            </w:pPr>
            <w:bookmarkStart w:id="45" w:name="NMDupFreeText"/>
            <w:r>
              <w:rPr>
                <w:rFonts w:ascii="Verdana" w:hAnsi="Verdana"/>
                <w:b/>
                <w:bCs/>
                <w:highlight w:val="green"/>
              </w:rPr>
              <w:t>NM_DUP</w:t>
            </w:r>
            <w:r w:rsidR="00013EB8">
              <w:t xml:space="preserve"> Free Text</w:t>
            </w:r>
            <w:bookmarkEnd w:id="45"/>
          </w:p>
        </w:tc>
        <w:tc>
          <w:tcPr>
            <w:tcW w:w="8381" w:type="dxa"/>
          </w:tcPr>
          <w:p w:rsidR="00013EB8" w:rsidRDefault="00013EB8">
            <w:pPr>
              <w:widowControl w:val="0"/>
            </w:pPr>
            <w:r>
              <w:t xml:space="preserve">The evidence from </w:t>
            </w:r>
            <w:r w:rsidR="00A46221">
              <w:t>{}</w:t>
            </w:r>
            <w:r>
              <w:t xml:space="preserve"> was previously considered on Rating Decision dated </w:t>
            </w:r>
            <w:r w:rsidR="00A46221">
              <w:t>{}</w:t>
            </w:r>
            <w:r>
              <w:t>.</w:t>
            </w:r>
          </w:p>
          <w:p w:rsidR="00310B75" w:rsidRPr="00310B75" w:rsidRDefault="00310B75" w:rsidP="00310B75">
            <w:pPr>
              <w:pStyle w:val="Header"/>
              <w:widowControl w:val="0"/>
              <w:tabs>
                <w:tab w:val="clear" w:pos="4320"/>
                <w:tab w:val="clear" w:pos="8640"/>
              </w:tabs>
              <w:rPr>
                <w:i/>
                <w:sz w:val="18"/>
              </w:rPr>
            </w:pPr>
            <w:r w:rsidRPr="00310B75">
              <w:rPr>
                <w:i/>
                <w:sz w:val="18"/>
              </w:rPr>
              <w:t>*Normally this is an admin denial, but you can use “claim form” in generated verbiage if an exam was ordered in error &amp; the veteran FTR, so you really only have the claim form, but you have to rate the case due to the FTR.</w:t>
            </w:r>
          </w:p>
          <w:p w:rsidR="00310B75" w:rsidRDefault="00310B75">
            <w:pPr>
              <w:widowControl w:val="0"/>
            </w:pPr>
          </w:p>
          <w:p w:rsidR="00310B75" w:rsidRPr="00310B75" w:rsidRDefault="00310B75" w:rsidP="00310B75">
            <w:pPr>
              <w:pStyle w:val="Header"/>
              <w:widowControl w:val="0"/>
              <w:tabs>
                <w:tab w:val="clear" w:pos="4320"/>
                <w:tab w:val="clear" w:pos="8640"/>
              </w:tabs>
              <w:rPr>
                <w:u w:val="single"/>
              </w:rPr>
            </w:pPr>
            <w:r w:rsidRPr="00310B75">
              <w:rPr>
                <w:u w:val="single"/>
              </w:rPr>
              <w:t>O</w:t>
            </w:r>
            <w:r>
              <w:rPr>
                <w:u w:val="single"/>
              </w:rPr>
              <w:t>R</w:t>
            </w:r>
            <w:r w:rsidRPr="00310B75">
              <w:rPr>
                <w:u w:val="single"/>
              </w:rPr>
              <w:t xml:space="preserve"> don’t rate</w:t>
            </w:r>
            <w:r>
              <w:rPr>
                <w:u w:val="single"/>
              </w:rPr>
              <w:t xml:space="preserve"> / admin denial</w:t>
            </w:r>
            <w:r w:rsidRPr="00310B75">
              <w:t>:</w:t>
            </w:r>
          </w:p>
          <w:p w:rsidR="00310B75" w:rsidRDefault="00310B75" w:rsidP="00272FEB">
            <w:pPr>
              <w:widowControl w:val="0"/>
            </w:pPr>
            <w:r>
              <w:t xml:space="preserve">VSR:  Please administratively deny {}, per III.ii.2.D.2.c, </w:t>
            </w:r>
            <w:r>
              <w:rPr>
                <w:rStyle w:val="Strong"/>
                <w:b w:val="0"/>
              </w:rPr>
              <w:t>III.ii.2.D.3.h &amp; III.ii.2.D.3.i</w:t>
            </w:r>
            <w:r w:rsidR="00272FEB">
              <w:t>,</w:t>
            </w:r>
            <w:r w:rsidR="00272FEB" w:rsidRPr="00272FEB">
              <w:t xml:space="preserve"> as these claims have previously been denied and</w:t>
            </w:r>
            <w:r w:rsidR="00272FEB">
              <w:t xml:space="preserve"> </w:t>
            </w:r>
            <w:r>
              <w:t>the evidence submitted is clearly and entirely duplicative.</w:t>
            </w:r>
          </w:p>
        </w:tc>
      </w:tr>
      <w:tr w:rsidR="00013EB8" w:rsidTr="00581371">
        <w:tc>
          <w:tcPr>
            <w:tcW w:w="2365" w:type="dxa"/>
          </w:tcPr>
          <w:p w:rsidR="00013EB8" w:rsidRDefault="007D3F63" w:rsidP="007D3F63">
            <w:pPr>
              <w:widowControl w:val="0"/>
            </w:pPr>
            <w:bookmarkStart w:id="46" w:name="NMNoneFreeText"/>
            <w:r>
              <w:rPr>
                <w:rFonts w:ascii="Verdana" w:hAnsi="Verdana"/>
                <w:b/>
                <w:bCs/>
                <w:highlight w:val="green"/>
              </w:rPr>
              <w:t>NM_NONE</w:t>
            </w:r>
            <w:r w:rsidR="00013EB8">
              <w:t xml:space="preserve"> Free Text</w:t>
            </w:r>
            <w:bookmarkEnd w:id="46"/>
          </w:p>
        </w:tc>
        <w:tc>
          <w:tcPr>
            <w:tcW w:w="8381" w:type="dxa"/>
          </w:tcPr>
          <w:p w:rsidR="00013EB8" w:rsidRDefault="00013EB8">
            <w:pPr>
              <w:pStyle w:val="Header"/>
              <w:widowControl w:val="0"/>
              <w:tabs>
                <w:tab w:val="clear" w:pos="4320"/>
                <w:tab w:val="clear" w:pos="8640"/>
              </w:tabs>
            </w:pPr>
            <w:r>
              <w:t xml:space="preserve">You did not submit any evidence with regard to </w:t>
            </w:r>
            <w:r w:rsidR="00A46221">
              <w:t>{}</w:t>
            </w:r>
            <w:r>
              <w:t>.</w:t>
            </w:r>
          </w:p>
          <w:p w:rsidR="00310B75" w:rsidRPr="00310B75" w:rsidRDefault="00310B75">
            <w:pPr>
              <w:pStyle w:val="Header"/>
              <w:widowControl w:val="0"/>
              <w:tabs>
                <w:tab w:val="clear" w:pos="4320"/>
                <w:tab w:val="clear" w:pos="8640"/>
              </w:tabs>
              <w:rPr>
                <w:i/>
                <w:sz w:val="18"/>
              </w:rPr>
            </w:pPr>
            <w:r w:rsidRPr="00310B75">
              <w:rPr>
                <w:i/>
                <w:sz w:val="18"/>
              </w:rPr>
              <w:t>*Normally this is an admin denial, but you can use “</w:t>
            </w:r>
            <w:r w:rsidR="00D41C82">
              <w:rPr>
                <w:i/>
                <w:sz w:val="18"/>
              </w:rPr>
              <w:t xml:space="preserve">your </w:t>
            </w:r>
            <w:r w:rsidRPr="00310B75">
              <w:rPr>
                <w:i/>
                <w:sz w:val="18"/>
              </w:rPr>
              <w:t>claim form” in generated verbiage if an exam was ordered in error &amp; the veteran FTR, so you really only have the claim form, but you have to rate the case due to the FTR.</w:t>
            </w:r>
          </w:p>
          <w:p w:rsidR="00C13D26" w:rsidRDefault="00C13D26">
            <w:pPr>
              <w:pStyle w:val="Header"/>
              <w:widowControl w:val="0"/>
              <w:tabs>
                <w:tab w:val="clear" w:pos="4320"/>
                <w:tab w:val="clear" w:pos="8640"/>
              </w:tabs>
            </w:pPr>
          </w:p>
          <w:p w:rsidR="002B76B1" w:rsidRPr="00310B75" w:rsidRDefault="00310B75" w:rsidP="00310B75">
            <w:pPr>
              <w:pStyle w:val="Header"/>
              <w:widowControl w:val="0"/>
              <w:tabs>
                <w:tab w:val="clear" w:pos="4320"/>
                <w:tab w:val="clear" w:pos="8640"/>
              </w:tabs>
              <w:rPr>
                <w:u w:val="single"/>
              </w:rPr>
            </w:pPr>
            <w:r w:rsidRPr="00310B75">
              <w:rPr>
                <w:u w:val="single"/>
              </w:rPr>
              <w:t>O</w:t>
            </w:r>
            <w:r>
              <w:rPr>
                <w:u w:val="single"/>
              </w:rPr>
              <w:t>R</w:t>
            </w:r>
            <w:r w:rsidRPr="00310B75">
              <w:rPr>
                <w:u w:val="single"/>
              </w:rPr>
              <w:t xml:space="preserve"> don’t rate</w:t>
            </w:r>
            <w:r>
              <w:rPr>
                <w:u w:val="single"/>
              </w:rPr>
              <w:t xml:space="preserve"> / admin denial</w:t>
            </w:r>
            <w:r w:rsidRPr="00310B75">
              <w:t>:</w:t>
            </w:r>
          </w:p>
          <w:p w:rsidR="00310B75" w:rsidRPr="00310B75" w:rsidRDefault="00310B75" w:rsidP="00272FEB">
            <w:pPr>
              <w:widowControl w:val="0"/>
              <w:ind w:right="58"/>
              <w:rPr>
                <w:b/>
                <w:bCs/>
                <w:color w:val="0000FF"/>
                <w:u w:val="single"/>
              </w:rPr>
            </w:pPr>
            <w:r>
              <w:t xml:space="preserve">VSR:  Please administratively deny {}, per III.ii.2.D.2.c, </w:t>
            </w:r>
            <w:r>
              <w:rPr>
                <w:rStyle w:val="Strong"/>
                <w:b w:val="0"/>
              </w:rPr>
              <w:t>III.ii.2.D.3.h &amp; III.ii.2.D.3.i</w:t>
            </w:r>
            <w:r>
              <w:t xml:space="preserve">, </w:t>
            </w:r>
            <w:r w:rsidR="00272FEB" w:rsidRPr="00272FEB">
              <w:t>as these claims have previously been denied and no evidence has been submitted.</w:t>
            </w:r>
          </w:p>
        </w:tc>
      </w:tr>
      <w:tr w:rsidR="00013EB8" w:rsidTr="00581371">
        <w:tc>
          <w:tcPr>
            <w:tcW w:w="2365" w:type="dxa"/>
          </w:tcPr>
          <w:p w:rsidR="00013EB8" w:rsidRDefault="007D3F63" w:rsidP="007D3F63">
            <w:pPr>
              <w:widowControl w:val="0"/>
            </w:pPr>
            <w:bookmarkStart w:id="47" w:name="NMCUFreeText"/>
            <w:r>
              <w:rPr>
                <w:rFonts w:ascii="Verdana" w:hAnsi="Verdana"/>
                <w:b/>
                <w:bCs/>
                <w:highlight w:val="green"/>
              </w:rPr>
              <w:t>NM_CU</w:t>
            </w:r>
            <w:r w:rsidR="00013EB8">
              <w:t xml:space="preserve"> Free Text</w:t>
            </w:r>
            <w:bookmarkEnd w:id="47"/>
          </w:p>
        </w:tc>
        <w:tc>
          <w:tcPr>
            <w:tcW w:w="8381" w:type="dxa"/>
          </w:tcPr>
          <w:p w:rsidR="005F5B1A" w:rsidRDefault="00013EB8">
            <w:pPr>
              <w:widowControl w:val="0"/>
            </w:pPr>
            <w:r>
              <w:t xml:space="preserve">The evidence from the {treatment records and </w:t>
            </w:r>
            <w:r w:rsidR="00AC28AF">
              <w:t>DBQ</w:t>
            </w:r>
            <w:r>
              <w:t xml:space="preserve">} essentially duplicates evidence that was previously considered which showed that you {were diagnosed with </w:t>
            </w:r>
            <w:r w:rsidR="00A46221">
              <w:t>{}</w:t>
            </w:r>
            <w:r>
              <w:t xml:space="preserve"> after service, but not that it is related to your military service, or was diagnosed within one year of dis</w:t>
            </w:r>
            <w:r w:rsidR="005F5B1A">
              <w:t>charge (to a compensable level).</w:t>
            </w:r>
          </w:p>
          <w:p w:rsidR="00E86F84" w:rsidRDefault="00013EB8">
            <w:pPr>
              <w:widowControl w:val="0"/>
            </w:pPr>
            <w:r>
              <w:rPr>
                <w:b/>
              </w:rPr>
              <w:t>OR</w:t>
            </w:r>
          </w:p>
          <w:p w:rsidR="00E86F84" w:rsidRDefault="00E86F84" w:rsidP="005F5B1A">
            <w:pPr>
              <w:widowControl w:val="0"/>
            </w:pPr>
            <w:r w:rsidRPr="00E86F84">
              <w:t xml:space="preserve">The evidence from the treatment records continues to show you have this condition, but not that it is related to your military service, </w:t>
            </w:r>
            <w:r w:rsidR="005F5B1A">
              <w:t xml:space="preserve">or diagnosed within one year of discharge (to a compensable level), </w:t>
            </w:r>
            <w:r w:rsidRPr="00E86F84">
              <w:t>or that it resulted from, or was aggravated by, a service-connected disability.</w:t>
            </w:r>
          </w:p>
        </w:tc>
      </w:tr>
      <w:tr w:rsidR="00013EB8" w:rsidTr="00581371">
        <w:tc>
          <w:tcPr>
            <w:tcW w:w="2365" w:type="dxa"/>
          </w:tcPr>
          <w:p w:rsidR="00013EB8" w:rsidRPr="00315F62" w:rsidRDefault="007D3F63">
            <w:pPr>
              <w:widowControl w:val="0"/>
            </w:pPr>
            <w:bookmarkStart w:id="48" w:name="PNCFreeText"/>
            <w:r>
              <w:rPr>
                <w:rFonts w:ascii="Verdana" w:hAnsi="Verdana"/>
                <w:b/>
                <w:bCs/>
                <w:highlight w:val="green"/>
              </w:rPr>
              <w:t>P_NC</w:t>
            </w:r>
            <w:r w:rsidR="00013EB8" w:rsidRPr="00315F62">
              <w:t xml:space="preserve"> Free T</w:t>
            </w:r>
            <w:bookmarkEnd w:id="48"/>
            <w:r w:rsidR="00013EB8" w:rsidRPr="00315F62">
              <w:t xml:space="preserve">ext </w:t>
            </w:r>
          </w:p>
          <w:p w:rsidR="00013EB8" w:rsidRPr="00315F62" w:rsidRDefault="00013EB8">
            <w:pPr>
              <w:widowControl w:val="0"/>
              <w:rPr>
                <w:i/>
                <w:iCs/>
              </w:rPr>
            </w:pPr>
            <w:r w:rsidRPr="00315F62">
              <w:rPr>
                <w:i/>
                <w:iCs/>
              </w:rPr>
              <w:t>(</w:t>
            </w:r>
            <w:r w:rsidR="007D3F63">
              <w:rPr>
                <w:rFonts w:ascii="Verdana" w:hAnsi="Verdana"/>
                <w:b/>
                <w:bCs/>
                <w:highlight w:val="green"/>
              </w:rPr>
              <w:t>NIS</w:t>
            </w:r>
            <w:r w:rsidRPr="00315F62">
              <w:rPr>
                <w:i/>
                <w:iCs/>
              </w:rPr>
              <w:t xml:space="preserve"> should also be included as a reason code)</w:t>
            </w:r>
          </w:p>
        </w:tc>
        <w:tc>
          <w:tcPr>
            <w:tcW w:w="8381" w:type="dxa"/>
          </w:tcPr>
          <w:p w:rsidR="00013EB8" w:rsidRPr="00315F62" w:rsidRDefault="0090141F">
            <w:pPr>
              <w:widowControl w:val="0"/>
            </w:pPr>
            <w:r w:rsidRPr="00315F62">
              <w:t>There is no evidence that your condition</w:t>
            </w:r>
            <w:r w:rsidR="006D5087">
              <w:t xml:space="preserve"> was diagnosed, and</w:t>
            </w:r>
            <w:r w:rsidR="00F96701" w:rsidRPr="00315F62">
              <w:t xml:space="preserve"> </w:t>
            </w:r>
            <w:r w:rsidR="000D2A6E">
              <w:t>m</w:t>
            </w:r>
            <w:r w:rsidR="00013EB8" w:rsidRPr="00315F62">
              <w:t>anifested</w:t>
            </w:r>
            <w:r w:rsidR="006D5087">
              <w:t xml:space="preserve"> itself to a compensable degree, </w:t>
            </w:r>
            <w:r w:rsidR="00013EB8" w:rsidRPr="00315F62">
              <w:t>within a year of your release from service.</w:t>
            </w:r>
          </w:p>
          <w:p w:rsidR="00013EB8" w:rsidRPr="00315F62" w:rsidRDefault="00013EB8">
            <w:pPr>
              <w:widowControl w:val="0"/>
            </w:pPr>
          </w:p>
          <w:p w:rsidR="00013EB8" w:rsidRPr="00315F62" w:rsidRDefault="0090141F">
            <w:pPr>
              <w:widowControl w:val="0"/>
            </w:pPr>
            <w:r w:rsidRPr="00315F62">
              <w:t>Your condition</w:t>
            </w:r>
            <w:r w:rsidR="00013EB8" w:rsidRPr="00315F62">
              <w:t xml:space="preserve"> was diagnosed more than one year after your release from service.</w:t>
            </w:r>
          </w:p>
          <w:p w:rsidR="00013EB8" w:rsidRPr="00315F62" w:rsidRDefault="00013EB8">
            <w:pPr>
              <w:widowControl w:val="0"/>
            </w:pPr>
          </w:p>
          <w:p w:rsidR="00013EB8" w:rsidRDefault="00013EB8">
            <w:pPr>
              <w:widowControl w:val="0"/>
            </w:pPr>
            <w:r w:rsidRPr="00315F62">
              <w:t xml:space="preserve">The treatment records show that you have </w:t>
            </w:r>
            <w:r w:rsidR="00A46221">
              <w:t>{}</w:t>
            </w:r>
            <w:r w:rsidRPr="00315F62">
              <w:t>, but not that it was diagnosed in service or within one year of your release from service.</w:t>
            </w:r>
          </w:p>
          <w:p w:rsidR="00315F62" w:rsidRDefault="00315F62">
            <w:pPr>
              <w:widowControl w:val="0"/>
            </w:pPr>
          </w:p>
          <w:p w:rsidR="00315F62" w:rsidRPr="00315F62" w:rsidRDefault="00315F62" w:rsidP="00315F62">
            <w:pPr>
              <w:pStyle w:val="Header"/>
              <w:widowControl w:val="0"/>
              <w:tabs>
                <w:tab w:val="clear" w:pos="4320"/>
                <w:tab w:val="clear" w:pos="8640"/>
              </w:tabs>
              <w:rPr>
                <w:i/>
              </w:rPr>
            </w:pPr>
            <w:r w:rsidRPr="00315F62">
              <w:rPr>
                <w:i/>
              </w:rPr>
              <w:t>If presumptive disability, but no medical evidence of diagnosis:</w:t>
            </w:r>
          </w:p>
          <w:p w:rsidR="00315F62" w:rsidRDefault="00315F62" w:rsidP="00315F62">
            <w:pPr>
              <w:widowControl w:val="0"/>
            </w:pPr>
            <w:r w:rsidRPr="00315F62">
              <w:t xml:space="preserve">Use </w:t>
            </w:r>
            <w:r w:rsidR="007D3F63">
              <w:rPr>
                <w:rFonts w:ascii="Verdana" w:hAnsi="Verdana"/>
                <w:b/>
                <w:bCs/>
                <w:highlight w:val="green"/>
              </w:rPr>
              <w:t>NIS</w:t>
            </w:r>
            <w:r w:rsidRPr="00315F62">
              <w:t xml:space="preserve"> </w:t>
            </w:r>
            <w:r w:rsidR="007D3F63">
              <w:rPr>
                <w:rFonts w:ascii="Verdana" w:hAnsi="Verdana"/>
                <w:b/>
                <w:bCs/>
                <w:highlight w:val="green"/>
              </w:rPr>
              <w:t>STRs</w:t>
            </w:r>
            <w:r w:rsidRPr="00315F62">
              <w:t xml:space="preserve"> </w:t>
            </w:r>
            <w:r w:rsidR="007D3F63">
              <w:rPr>
                <w:rFonts w:ascii="Verdana" w:hAnsi="Verdana"/>
                <w:b/>
                <w:bCs/>
                <w:highlight w:val="green"/>
              </w:rPr>
              <w:t>P_NC</w:t>
            </w:r>
            <w:r w:rsidR="00501197">
              <w:t xml:space="preserve"> </w:t>
            </w:r>
            <w:r w:rsidR="007D3F63">
              <w:rPr>
                <w:rFonts w:ascii="Verdana" w:hAnsi="Verdana"/>
                <w:b/>
                <w:bCs/>
                <w:highlight w:val="green"/>
              </w:rPr>
              <w:t>NODX</w:t>
            </w:r>
            <w:r w:rsidRPr="00315F62">
              <w:t xml:space="preserve"> </w:t>
            </w:r>
          </w:p>
          <w:p w:rsidR="0085508D" w:rsidRDefault="0085508D" w:rsidP="0085508D">
            <w:pPr>
              <w:pStyle w:val="Header"/>
              <w:widowControl w:val="0"/>
              <w:tabs>
                <w:tab w:val="clear" w:pos="4320"/>
                <w:tab w:val="clear" w:pos="8640"/>
              </w:tabs>
              <w:rPr>
                <w:i/>
              </w:rPr>
            </w:pPr>
          </w:p>
          <w:p w:rsidR="00EF149E" w:rsidRDefault="0073745F" w:rsidP="0085508D">
            <w:pPr>
              <w:pStyle w:val="Header"/>
              <w:widowControl w:val="0"/>
              <w:tabs>
                <w:tab w:val="clear" w:pos="4320"/>
                <w:tab w:val="clear" w:pos="8640"/>
              </w:tabs>
            </w:pPr>
            <w:r>
              <w:t>high blood pressure</w:t>
            </w:r>
            <w:r w:rsidR="00D25202">
              <w:t xml:space="preserve"> </w:t>
            </w:r>
            <w:r>
              <w:t>/</w:t>
            </w:r>
            <w:r w:rsidR="00D25202">
              <w:t xml:space="preserve"> </w:t>
            </w:r>
            <w:r>
              <w:t>HBP</w:t>
            </w:r>
            <w:r w:rsidR="00D96801">
              <w:t xml:space="preserve"> claimed</w:t>
            </w:r>
            <w:r>
              <w:t>:</w:t>
            </w:r>
          </w:p>
          <w:p w:rsidR="00D96801" w:rsidRPr="0010111B" w:rsidRDefault="00D96801" w:rsidP="00D96801">
            <w:pPr>
              <w:rPr>
                <w:rFonts w:ascii="Helvetica" w:hAnsi="Helvetica" w:cs="Helvetica"/>
                <w:color w:val="808080"/>
                <w:sz w:val="22"/>
                <w:szCs w:val="22"/>
              </w:rPr>
            </w:pPr>
            <w:r>
              <w:rPr>
                <w:i/>
              </w:rPr>
              <w:t xml:space="preserve">if not in service &amp; </w:t>
            </w:r>
            <w:r w:rsidR="0073745F" w:rsidRPr="00315F62">
              <w:rPr>
                <w:i/>
              </w:rPr>
              <w:t>no</w:t>
            </w:r>
            <w:r w:rsidR="0073745F">
              <w:rPr>
                <w:i/>
              </w:rPr>
              <w:t xml:space="preserve"> medical evidence of diagnosis of hypertension/HTN:  </w:t>
            </w:r>
            <w:r w:rsidR="0073745F">
              <w:rPr>
                <w:rFonts w:ascii="Verdana" w:hAnsi="Verdana"/>
                <w:b/>
                <w:bCs/>
                <w:highlight w:val="green"/>
              </w:rPr>
              <w:t>NIS</w:t>
            </w:r>
            <w:r w:rsidR="0073745F" w:rsidRPr="00315F62">
              <w:t xml:space="preserve"> </w:t>
            </w:r>
            <w:r w:rsidR="0073745F">
              <w:rPr>
                <w:rFonts w:ascii="Verdana" w:hAnsi="Verdana"/>
                <w:b/>
                <w:bCs/>
                <w:highlight w:val="green"/>
              </w:rPr>
              <w:t>STRs</w:t>
            </w:r>
            <w:r w:rsidR="0073745F" w:rsidRPr="00315F62">
              <w:t xml:space="preserve"> </w:t>
            </w:r>
            <w:r w:rsidR="0073745F">
              <w:rPr>
                <w:rFonts w:ascii="Verdana" w:hAnsi="Verdana"/>
                <w:b/>
                <w:bCs/>
                <w:highlight w:val="green"/>
              </w:rPr>
              <w:t>P_NC</w:t>
            </w:r>
            <w:r w:rsidR="0073745F">
              <w:t xml:space="preserve"> </w:t>
            </w:r>
            <w:r w:rsidR="0073745F">
              <w:rPr>
                <w:rFonts w:ascii="Verdana" w:hAnsi="Verdana"/>
                <w:b/>
                <w:bCs/>
                <w:highlight w:val="green"/>
              </w:rPr>
              <w:t>NODX</w:t>
            </w:r>
            <w:r w:rsidR="0073745F" w:rsidRPr="00315F62">
              <w:t xml:space="preserve"> </w:t>
            </w:r>
            <w:r w:rsidR="0073745F" w:rsidRPr="0073745F">
              <w:t>There is no evidence that hypertension was diagnosed, and manifested itself to a compensable degree, within a year of your release from service.</w:t>
            </w:r>
            <w:r>
              <w:t xml:space="preserve"> </w:t>
            </w:r>
            <w:r>
              <w:rPr>
                <w:rFonts w:ascii="Helvetica" w:hAnsi="Helvetica" w:cs="Helvetica"/>
                <w:color w:val="808080"/>
                <w:sz w:val="22"/>
                <w:szCs w:val="22"/>
              </w:rPr>
              <w:t>T</w:t>
            </w:r>
            <w:r w:rsidRPr="0010111B">
              <w:rPr>
                <w:rFonts w:ascii="Helvetica" w:hAnsi="Helvetica" w:cs="Helvetica"/>
                <w:color w:val="808080"/>
                <w:sz w:val="22"/>
                <w:szCs w:val="22"/>
              </w:rPr>
              <w:t>here is no evidence the claimed condition exists.</w:t>
            </w:r>
          </w:p>
          <w:p w:rsidR="00D96801" w:rsidRPr="0010111B" w:rsidRDefault="00D96801" w:rsidP="00D96801">
            <w:pPr>
              <w:rPr>
                <w:rFonts w:ascii="Helvetica" w:hAnsi="Helvetica" w:cs="Helvetica"/>
                <w:color w:val="808080"/>
                <w:sz w:val="22"/>
                <w:szCs w:val="22"/>
              </w:rPr>
            </w:pPr>
            <w:r>
              <w:rPr>
                <w:i/>
              </w:rPr>
              <w:t xml:space="preserve">if not in service, but have diagnosis of hypertension/HTN:  </w:t>
            </w:r>
            <w:r>
              <w:rPr>
                <w:rFonts w:ascii="Verdana" w:hAnsi="Verdana"/>
                <w:b/>
                <w:bCs/>
                <w:highlight w:val="green"/>
              </w:rPr>
              <w:t>NIS</w:t>
            </w:r>
            <w:r w:rsidRPr="00315F62">
              <w:t xml:space="preserve"> </w:t>
            </w:r>
            <w:r>
              <w:rPr>
                <w:rFonts w:ascii="Verdana" w:hAnsi="Verdana"/>
                <w:b/>
                <w:bCs/>
                <w:highlight w:val="green"/>
              </w:rPr>
              <w:t>STRs</w:t>
            </w:r>
            <w:r w:rsidRPr="00315F62">
              <w:t xml:space="preserve"> </w:t>
            </w:r>
            <w:r>
              <w:rPr>
                <w:rFonts w:ascii="Verdana" w:hAnsi="Verdana"/>
                <w:b/>
                <w:bCs/>
                <w:highlight w:val="green"/>
              </w:rPr>
              <w:t>ACK_DX</w:t>
            </w:r>
            <w:r w:rsidRPr="00D96801">
              <w:rPr>
                <w:rFonts w:ascii="Verdana" w:hAnsi="Verdana"/>
                <w:b/>
                <w:bCs/>
              </w:rPr>
              <w:t xml:space="preserve"> </w:t>
            </w:r>
            <w:r>
              <w:rPr>
                <w:rFonts w:ascii="Verdana" w:hAnsi="Verdana"/>
                <w:b/>
                <w:bCs/>
                <w:highlight w:val="green"/>
              </w:rPr>
              <w:t>P_NC</w:t>
            </w:r>
            <w:r>
              <w:t xml:space="preserve"> </w:t>
            </w:r>
            <w:r w:rsidRPr="0073745F">
              <w:t>There is no evidence that hypertension was diagnosed, and manifested itself to a compensable degree, within a year of your release from service.</w:t>
            </w:r>
          </w:p>
          <w:p w:rsidR="00EF149E" w:rsidRPr="00315F62" w:rsidRDefault="00D96801" w:rsidP="004945F9">
            <w:pPr>
              <w:pStyle w:val="Header"/>
              <w:widowControl w:val="0"/>
              <w:tabs>
                <w:tab w:val="clear" w:pos="4320"/>
                <w:tab w:val="clear" w:pos="8640"/>
              </w:tabs>
            </w:pPr>
            <w:r w:rsidRPr="00D96801">
              <w:rPr>
                <w:i/>
              </w:rPr>
              <w:t>for both, change</w:t>
            </w:r>
            <w:r>
              <w:t xml:space="preserve"> </w:t>
            </w:r>
            <w:r w:rsidR="00C551BE">
              <w:rPr>
                <w:rFonts w:ascii="Verdana" w:hAnsi="Verdana"/>
                <w:b/>
                <w:highlight w:val="green"/>
              </w:rPr>
              <w:t>VBMS-R System-Generated Text</w:t>
            </w:r>
            <w:r>
              <w:t xml:space="preserve"> </w:t>
            </w:r>
            <w:r w:rsidRPr="00D96801">
              <w:rPr>
                <w:i/>
              </w:rPr>
              <w:t>to:</w:t>
            </w:r>
            <w:r>
              <w:t xml:space="preserve"> </w:t>
            </w:r>
            <w:r w:rsidRPr="0073745F">
              <w:t>Service connection may be granted on a presumptive basis for hypertension if this condition is manifested to a compensable degree (severe enough to be evaluated at least 10 percent disabling) within a certain period after military discharge. As the medical evidence fails to show a diagnosis of hypertension within the time period specified under 38 CFR 3.307, service connection on a pr</w:t>
            </w:r>
            <w:r w:rsidR="00355B91">
              <w:t>esumptive basis must be denied.</w:t>
            </w:r>
          </w:p>
        </w:tc>
      </w:tr>
      <w:tr w:rsidR="00013EB8" w:rsidTr="00581371">
        <w:tc>
          <w:tcPr>
            <w:tcW w:w="2365" w:type="dxa"/>
          </w:tcPr>
          <w:p w:rsidR="00013EB8" w:rsidRDefault="007D3F63" w:rsidP="007D3F63">
            <w:pPr>
              <w:pStyle w:val="TableofFigures"/>
              <w:widowControl w:val="0"/>
              <w:rPr>
                <w:rFonts w:ascii="Arial" w:hAnsi="Arial"/>
                <w:smallCaps w:val="0"/>
                <w:szCs w:val="24"/>
              </w:rPr>
            </w:pPr>
            <w:bookmarkStart w:id="49" w:name="PNEFreeText"/>
            <w:r>
              <w:rPr>
                <w:rFonts w:ascii="Verdana" w:hAnsi="Verdana"/>
                <w:b/>
                <w:bCs/>
                <w:highlight w:val="green"/>
              </w:rPr>
              <w:t>P_NE</w:t>
            </w:r>
            <w:r w:rsidR="00013EB8">
              <w:rPr>
                <w:rFonts w:ascii="Arial" w:hAnsi="Arial"/>
                <w:smallCaps w:val="0"/>
                <w:szCs w:val="24"/>
              </w:rPr>
              <w:t xml:space="preserve"> Free Text</w:t>
            </w:r>
            <w:bookmarkEnd w:id="49"/>
          </w:p>
          <w:p w:rsidR="00B77300" w:rsidRDefault="00B77300" w:rsidP="00B77300"/>
          <w:p w:rsidR="00B77300" w:rsidRPr="00B77300" w:rsidRDefault="00B77300" w:rsidP="00B77300"/>
        </w:tc>
        <w:tc>
          <w:tcPr>
            <w:tcW w:w="8381" w:type="dxa"/>
          </w:tcPr>
          <w:p w:rsidR="00E15BF2" w:rsidRDefault="00E15BF2">
            <w:pPr>
              <w:widowControl w:val="0"/>
            </w:pPr>
            <w:r>
              <w:t xml:space="preserve">Choose </w:t>
            </w:r>
            <w:r w:rsidRPr="00463162">
              <w:rPr>
                <w:i/>
                <w:color w:val="FF0000"/>
              </w:rPr>
              <w:t>Not In Country</w:t>
            </w:r>
            <w:r w:rsidRPr="00463162">
              <w:rPr>
                <w:color w:val="FF0000"/>
              </w:rPr>
              <w:t xml:space="preserve"> </w:t>
            </w:r>
            <w:r>
              <w:t xml:space="preserve">for </w:t>
            </w:r>
            <w:r w:rsidR="00463162">
              <w:t xml:space="preserve">the </w:t>
            </w:r>
            <w:r>
              <w:t>Decision Basis</w:t>
            </w:r>
            <w:r w:rsidRPr="00463162">
              <w:t xml:space="preserve">, </w:t>
            </w:r>
            <w:r w:rsidR="003C699E" w:rsidRPr="00463162">
              <w:t>use</w:t>
            </w:r>
            <w:r w:rsidR="003C699E" w:rsidRPr="003C699E">
              <w:rPr>
                <w:i/>
              </w:rPr>
              <w:t xml:space="preserve"> </w:t>
            </w:r>
            <w:r w:rsidRPr="005B451B">
              <w:rPr>
                <w:i/>
                <w:color w:val="FF0000"/>
              </w:rPr>
              <w:t>Agent Orange – outside Vietnam or u</w:t>
            </w:r>
            <w:r w:rsidR="001746D2" w:rsidRPr="005B451B">
              <w:rPr>
                <w:i/>
                <w:color w:val="FF0000"/>
              </w:rPr>
              <w:t>n</w:t>
            </w:r>
            <w:r w:rsidR="005B451B" w:rsidRPr="005B451B">
              <w:rPr>
                <w:i/>
                <w:color w:val="FF0000"/>
              </w:rPr>
              <w:t>known</w:t>
            </w:r>
            <w:r w:rsidR="00B3116A" w:rsidRPr="005B451B">
              <w:rPr>
                <w:i/>
                <w:color w:val="FF0000"/>
              </w:rPr>
              <w:t xml:space="preserve"> </w:t>
            </w:r>
            <w:r w:rsidR="005B451B">
              <w:rPr>
                <w:i/>
              </w:rPr>
              <w:t>OR</w:t>
            </w:r>
            <w:r w:rsidR="00B3116A" w:rsidRPr="003C699E">
              <w:rPr>
                <w:i/>
              </w:rPr>
              <w:t xml:space="preserve"> </w:t>
            </w:r>
            <w:r w:rsidR="00B3116A" w:rsidRPr="005B451B">
              <w:rPr>
                <w:i/>
                <w:color w:val="FF0000"/>
              </w:rPr>
              <w:t>Other/Unknown-Agent Orange</w:t>
            </w:r>
            <w:r w:rsidRPr="005B451B">
              <w:rPr>
                <w:i/>
                <w:color w:val="FF0000"/>
              </w:rPr>
              <w:t xml:space="preserve"> </w:t>
            </w:r>
            <w:r w:rsidR="005B451B">
              <w:rPr>
                <w:i/>
              </w:rPr>
              <w:t>OR</w:t>
            </w:r>
            <w:r w:rsidR="00B87D76" w:rsidRPr="003C699E">
              <w:rPr>
                <w:i/>
              </w:rPr>
              <w:t xml:space="preserve"> other appropriate </w:t>
            </w:r>
            <w:r w:rsidR="005B451B" w:rsidRPr="0051775E">
              <w:rPr>
                <w:i/>
              </w:rPr>
              <w:t>Special Issue</w:t>
            </w:r>
            <w:r w:rsidR="005B451B">
              <w:rPr>
                <w:i/>
              </w:rPr>
              <w:t xml:space="preserve"> in </w:t>
            </w:r>
            <w:r w:rsidR="005B451B">
              <w:rPr>
                <w:rFonts w:ascii="Verdana" w:hAnsi="Verdana"/>
                <w:b/>
                <w:bCs/>
                <w:highlight w:val="green"/>
              </w:rPr>
              <w:t>VBMS-R</w:t>
            </w:r>
            <w:r w:rsidR="009C78D8">
              <w:t xml:space="preserve">; then </w:t>
            </w:r>
            <w:r>
              <w:t>if not Diabetes</w:t>
            </w:r>
            <w:r w:rsidR="000E2198">
              <w:t>/IHD/etc</w:t>
            </w:r>
            <w:r>
              <w:t xml:space="preserve">, </w:t>
            </w:r>
            <w:r w:rsidRPr="00E52B68">
              <w:rPr>
                <w:highlight w:val="darkGray"/>
              </w:rPr>
              <w:t>choose “NSC – Agent Orange General</w:t>
            </w:r>
            <w:r w:rsidR="001946CC" w:rsidRPr="00E52B68">
              <w:rPr>
                <w:highlight w:val="darkGray"/>
              </w:rPr>
              <w:t>,”</w:t>
            </w:r>
            <w:r>
              <w:t xml:space="preserve"> then choose “Not SC” and “No Exposure”</w:t>
            </w:r>
          </w:p>
          <w:p w:rsidR="00E15BF2" w:rsidRDefault="00E15BF2">
            <w:pPr>
              <w:widowControl w:val="0"/>
            </w:pPr>
          </w:p>
          <w:p w:rsidR="00EF203E" w:rsidRPr="0029353F" w:rsidRDefault="0029353F" w:rsidP="0029353F">
            <w:pPr>
              <w:rPr>
                <w:szCs w:val="22"/>
              </w:rPr>
            </w:pPr>
            <w:r>
              <w:t>The STRs, SPRs and DD214(s) do not show that you served in-country in Vietnam during the Vietnam Era. AND/OR Although you may have served aboard a vessel which was in the official waters of Vietnam, there is no proof of in-country service</w:t>
            </w:r>
            <w:r w:rsidRPr="008467B8">
              <w:t>. OR The JSRRC response shows that the USS {} did not dock in the Republic of Vietnam in {September} or {October} 196{4}. OR You reported that you did not serve in Vietnam during the Vietnam Era.</w:t>
            </w:r>
          </w:p>
        </w:tc>
      </w:tr>
      <w:tr w:rsidR="00013EB8" w:rsidTr="00581371">
        <w:tc>
          <w:tcPr>
            <w:tcW w:w="2365" w:type="dxa"/>
          </w:tcPr>
          <w:p w:rsidR="00013EB8" w:rsidRDefault="00234459">
            <w:pPr>
              <w:pStyle w:val="TableofFigures"/>
              <w:widowControl w:val="0"/>
              <w:rPr>
                <w:rFonts w:ascii="Arial" w:hAnsi="Arial"/>
                <w:smallCaps w:val="0"/>
                <w:szCs w:val="24"/>
              </w:rPr>
            </w:pPr>
            <w:bookmarkStart w:id="50" w:name="NSC2FreeText"/>
            <w:r>
              <w:rPr>
                <w:rFonts w:ascii="Verdana" w:hAnsi="Verdana"/>
                <w:b/>
                <w:bCs/>
                <w:highlight w:val="green"/>
              </w:rPr>
              <w:t>NSC2</w:t>
            </w:r>
            <w:r w:rsidR="00013EB8">
              <w:rPr>
                <w:rFonts w:ascii="Arial" w:hAnsi="Arial"/>
                <w:smallCaps w:val="0"/>
                <w:szCs w:val="24"/>
              </w:rPr>
              <w:t xml:space="preserve"> Free Text</w:t>
            </w:r>
            <w:bookmarkEnd w:id="50"/>
          </w:p>
          <w:p w:rsidR="00013EB8" w:rsidRDefault="00013EB8">
            <w:pPr>
              <w:widowControl w:val="0"/>
              <w:rPr>
                <w:i/>
                <w:iCs/>
                <w:sz w:val="18"/>
              </w:rPr>
            </w:pPr>
            <w:r>
              <w:rPr>
                <w:i/>
                <w:iCs/>
                <w:sz w:val="18"/>
              </w:rPr>
              <w:t>(</w:t>
            </w:r>
            <w:r w:rsidR="007D3F63">
              <w:rPr>
                <w:rFonts w:ascii="Verdana" w:hAnsi="Verdana"/>
                <w:b/>
                <w:bCs/>
                <w:highlight w:val="green"/>
              </w:rPr>
              <w:t>NODX</w:t>
            </w:r>
            <w:r>
              <w:rPr>
                <w:i/>
                <w:iCs/>
                <w:sz w:val="18"/>
              </w:rPr>
              <w:t xml:space="preserve"> should also be included as a reason code if there is no medical evidence of a disability)</w:t>
            </w:r>
          </w:p>
          <w:p w:rsidR="00871602" w:rsidRDefault="00871602">
            <w:pPr>
              <w:widowControl w:val="0"/>
              <w:rPr>
                <w:i/>
                <w:iCs/>
                <w:sz w:val="18"/>
              </w:rPr>
            </w:pPr>
          </w:p>
          <w:p w:rsidR="00871602" w:rsidRDefault="00871602">
            <w:pPr>
              <w:widowControl w:val="0"/>
              <w:rPr>
                <w:i/>
                <w:iCs/>
                <w:sz w:val="18"/>
              </w:rPr>
            </w:pPr>
          </w:p>
          <w:p w:rsidR="0067399F" w:rsidRPr="0067399F" w:rsidRDefault="00E16E58" w:rsidP="00E16E58">
            <w:pPr>
              <w:widowControl w:val="0"/>
              <w:rPr>
                <w:sz w:val="18"/>
              </w:rPr>
            </w:pPr>
            <w:r w:rsidRPr="00C37BD6">
              <w:rPr>
                <w:b/>
              </w:rPr>
              <w:t>I.1.C.3.g</w:t>
            </w:r>
            <w:r>
              <w:t xml:space="preserve"> - 3 elements for secondary &amp; aggravation of NSC disability by SC disability</w:t>
            </w:r>
            <w:r w:rsidR="0067399F">
              <w:t xml:space="preserve"> - </w:t>
            </w:r>
            <w:r w:rsidR="0067399F" w:rsidRPr="0067399F">
              <w:rPr>
                <w:sz w:val="18"/>
              </w:rPr>
              <w:t>“</w:t>
            </w:r>
            <w:r w:rsidR="0067399F" w:rsidRPr="0067399F">
              <w:rPr>
                <w:color w:val="333333"/>
                <w:sz w:val="18"/>
              </w:rPr>
              <w:t>A generalized statement merely asserting a conclusion that a condition is secondary to an SC disability is not sufficient to satisfy the Element 3 standard for requesting an examination.”</w:t>
            </w:r>
          </w:p>
          <w:p w:rsidR="00871602" w:rsidRDefault="00871602">
            <w:pPr>
              <w:widowControl w:val="0"/>
            </w:pPr>
          </w:p>
          <w:p w:rsidR="008E1A17" w:rsidRPr="008E1A17" w:rsidRDefault="008E1A17">
            <w:pPr>
              <w:widowControl w:val="0"/>
              <w:rPr>
                <w:sz w:val="16"/>
              </w:rPr>
            </w:pPr>
          </w:p>
          <w:p w:rsidR="008E1A17" w:rsidRDefault="008E1A17" w:rsidP="008467B8">
            <w:pPr>
              <w:widowControl w:val="0"/>
            </w:pPr>
            <w:r w:rsidRPr="008E1A17">
              <w:rPr>
                <w:sz w:val="16"/>
              </w:rPr>
              <w:t xml:space="preserve">Deferral:  No exam is in order for </w:t>
            </w:r>
            <w:r>
              <w:rPr>
                <w:sz w:val="16"/>
              </w:rPr>
              <w:t>{}</w:t>
            </w:r>
            <w:r w:rsidRPr="008E1A17">
              <w:rPr>
                <w:sz w:val="16"/>
              </w:rPr>
              <w:t xml:space="preserve"> at this point, as we do not have Element 3 </w:t>
            </w:r>
            <w:r w:rsidRPr="008E1A17">
              <w:rPr>
                <w:sz w:val="16"/>
                <w:szCs w:val="16"/>
              </w:rPr>
              <w:t>(an indication that the claimed secondary condition may be associated with the primary disability</w:t>
            </w:r>
            <w:r>
              <w:rPr>
                <w:sz w:val="16"/>
                <w:szCs w:val="16"/>
              </w:rPr>
              <w:t>, including medical evidence, a lay statement or a medical treatise), per I.1.C.3.g.</w:t>
            </w:r>
          </w:p>
        </w:tc>
        <w:tc>
          <w:tcPr>
            <w:tcW w:w="8381" w:type="dxa"/>
          </w:tcPr>
          <w:p w:rsidR="00013EB8" w:rsidRDefault="00013EB8">
            <w:pPr>
              <w:widowControl w:val="0"/>
            </w:pPr>
            <w:r>
              <w:t xml:space="preserve">The VA examiner opined that your diagnosed </w:t>
            </w:r>
            <w:r w:rsidR="00A46221">
              <w:t>{}</w:t>
            </w:r>
            <w:r>
              <w:t xml:space="preserve"> </w:t>
            </w:r>
            <w:r w:rsidR="00F31DF8">
              <w:t xml:space="preserve">(claimed as {}) </w:t>
            </w:r>
            <w:r>
              <w:t xml:space="preserve">is less likely than not </w:t>
            </w:r>
            <w:r>
              <w:rPr>
                <w:szCs w:val="16"/>
              </w:rPr>
              <w:t xml:space="preserve">proximately due to or the result of </w:t>
            </w:r>
            <w:r>
              <w:t xml:space="preserve">your </w:t>
            </w:r>
            <w:r w:rsidR="00702C1D">
              <w:t xml:space="preserve">service-connected </w:t>
            </w:r>
            <w:r w:rsidR="00A46221">
              <w:t>{}</w:t>
            </w:r>
            <w:r>
              <w:t xml:space="preserve"> because</w:t>
            </w:r>
            <w:r w:rsidR="003F6423">
              <w:t xml:space="preserve"> {}</w:t>
            </w:r>
            <w:r w:rsidR="00B60B00">
              <w:t>.</w:t>
            </w:r>
          </w:p>
          <w:p w:rsidR="00013EB8" w:rsidRDefault="000422FC">
            <w:pPr>
              <w:widowControl w:val="0"/>
            </w:pPr>
            <w:r>
              <w:t>OR</w:t>
            </w:r>
          </w:p>
          <w:p w:rsidR="00013EB8" w:rsidRDefault="00013EB8" w:rsidP="00871602">
            <w:pPr>
              <w:pStyle w:val="BodyText2"/>
              <w:widowControl w:val="0"/>
              <w:rPr>
                <w:b w:val="0"/>
                <w:sz w:val="20"/>
              </w:rPr>
            </w:pPr>
            <w:r w:rsidRPr="00871602">
              <w:rPr>
                <w:b w:val="0"/>
                <w:sz w:val="20"/>
              </w:rPr>
              <w:t xml:space="preserve">Although you are claiming your </w:t>
            </w:r>
            <w:r w:rsidR="00A46221" w:rsidRPr="00871602">
              <w:rPr>
                <w:b w:val="0"/>
                <w:sz w:val="20"/>
              </w:rPr>
              <w:t>{}</w:t>
            </w:r>
            <w:r w:rsidRPr="00871602">
              <w:rPr>
                <w:b w:val="0"/>
                <w:sz w:val="20"/>
              </w:rPr>
              <w:t xml:space="preserve"> is due to your service-connected disability of </w:t>
            </w:r>
            <w:r w:rsidR="00A46221" w:rsidRPr="00871602">
              <w:rPr>
                <w:b w:val="0"/>
                <w:sz w:val="20"/>
              </w:rPr>
              <w:t>{}</w:t>
            </w:r>
            <w:r w:rsidRPr="00871602">
              <w:rPr>
                <w:b w:val="0"/>
                <w:sz w:val="20"/>
              </w:rPr>
              <w:t>, there is no objective medical</w:t>
            </w:r>
            <w:r w:rsidR="00871602" w:rsidRPr="00871602">
              <w:rPr>
                <w:b w:val="0"/>
                <w:sz w:val="20"/>
              </w:rPr>
              <w:t xml:space="preserve"> evidence to support your claim, nor </w:t>
            </w:r>
            <w:r w:rsidR="00871602" w:rsidRPr="00FE0834">
              <w:rPr>
                <w:b w:val="0"/>
                <w:sz w:val="20"/>
              </w:rPr>
              <w:t xml:space="preserve">have </w:t>
            </w:r>
            <w:r w:rsidR="00F776DB">
              <w:rPr>
                <w:b w:val="0"/>
                <w:sz w:val="20"/>
              </w:rPr>
              <w:t xml:space="preserve">you </w:t>
            </w:r>
            <w:r w:rsidR="00871602">
              <w:rPr>
                <w:b w:val="0"/>
                <w:sz w:val="20"/>
              </w:rPr>
              <w:t>submitted</w:t>
            </w:r>
            <w:r w:rsidR="00F776DB">
              <w:rPr>
                <w:b w:val="0"/>
                <w:sz w:val="20"/>
              </w:rPr>
              <w:t xml:space="preserve"> any</w:t>
            </w:r>
            <w:r w:rsidR="00871602" w:rsidRPr="00FE0834">
              <w:rPr>
                <w:b w:val="0"/>
                <w:sz w:val="20"/>
              </w:rPr>
              <w:t xml:space="preserve"> indication of an association with </w:t>
            </w:r>
            <w:r w:rsidR="00871602">
              <w:rPr>
                <w:b w:val="0"/>
                <w:sz w:val="20"/>
              </w:rPr>
              <w:t>t</w:t>
            </w:r>
            <w:r w:rsidR="0067399F">
              <w:rPr>
                <w:b w:val="0"/>
                <w:sz w:val="20"/>
              </w:rPr>
              <w:t>he service-connected disability (besides a generalized statement, which is insufficient).</w:t>
            </w:r>
          </w:p>
          <w:p w:rsidR="0067399F" w:rsidRPr="0067399F" w:rsidRDefault="0067399F" w:rsidP="0067399F">
            <w:pPr>
              <w:widowControl w:val="0"/>
            </w:pPr>
            <w:r w:rsidRPr="0067399F">
              <w:t>Rating Note:  I.1.C.3.g says “A generalized statement merely asserting a conclusion that a condition is secondary to an SC disability is not sufficient to satisfy the Element 3 standard for requesting an examination.”</w:t>
            </w:r>
          </w:p>
          <w:p w:rsidR="00466A65" w:rsidRDefault="000422FC">
            <w:pPr>
              <w:widowControl w:val="0"/>
            </w:pPr>
            <w:r>
              <w:t>OR</w:t>
            </w:r>
          </w:p>
          <w:p w:rsidR="00466A65" w:rsidRDefault="00466A65">
            <w:pPr>
              <w:widowControl w:val="0"/>
            </w:pPr>
            <w:r>
              <w:t xml:space="preserve">Although you are claiming </w:t>
            </w:r>
            <w:r w:rsidR="00A46221">
              <w:t>{}</w:t>
            </w:r>
            <w:r>
              <w:t xml:space="preserve"> is due to your service-connected disability of </w:t>
            </w:r>
            <w:r w:rsidR="00A46221">
              <w:t>{}</w:t>
            </w:r>
            <w:r>
              <w:t xml:space="preserve">, there is no objective medical evidence to support your claim, to include a clinical diagnosis of </w:t>
            </w:r>
            <w:r w:rsidR="00A46221">
              <w:t>{}</w:t>
            </w:r>
            <w:r>
              <w:t>.</w:t>
            </w:r>
          </w:p>
          <w:p w:rsidR="00466A65" w:rsidRDefault="00466A65">
            <w:pPr>
              <w:widowControl w:val="0"/>
              <w:rPr>
                <w:i/>
              </w:rPr>
            </w:pPr>
            <w:r>
              <w:t>*</w:t>
            </w:r>
            <w:r w:rsidRPr="00466A65">
              <w:rPr>
                <w:i/>
              </w:rPr>
              <w:t>add “There is no evidence the claimed condition exists.”</w:t>
            </w:r>
          </w:p>
          <w:p w:rsidR="002275C2" w:rsidRDefault="002275C2">
            <w:pPr>
              <w:widowControl w:val="0"/>
              <w:rPr>
                <w:i/>
              </w:rPr>
            </w:pPr>
          </w:p>
          <w:p w:rsidR="00376379" w:rsidRPr="00376379" w:rsidRDefault="00376379" w:rsidP="000A7ACD">
            <w:pPr>
              <w:rPr>
                <w:i/>
              </w:rPr>
            </w:pPr>
            <w:r>
              <w:rPr>
                <w:i/>
              </w:rPr>
              <w:t>d</w:t>
            </w:r>
            <w:r w:rsidRPr="00376379">
              <w:rPr>
                <w:i/>
              </w:rPr>
              <w:t>iabetic complications:</w:t>
            </w:r>
          </w:p>
          <w:p w:rsidR="000A7ACD" w:rsidRPr="000A7ACD" w:rsidRDefault="000A7ACD" w:rsidP="000A7ACD">
            <w:r w:rsidRPr="000A7ACD">
              <w:t>The VA examiner indicated that you do not have {erectile dysfunction/cardiac condition(s)/hypertension (in the presence of diabetic renal disease)/peripheral vascular disease/stroke/skin conditions/eye conditions other than diabetic retinopathy} that is at least as likely as not (at least a 50% probability) due to diabetes mellitus.</w:t>
            </w:r>
          </w:p>
          <w:p w:rsidR="00013EB8" w:rsidRDefault="00013EB8">
            <w:pPr>
              <w:widowControl w:val="0"/>
            </w:pPr>
          </w:p>
          <w:p w:rsidR="00CE323A" w:rsidRPr="00CE323A" w:rsidRDefault="00CE323A">
            <w:pPr>
              <w:widowControl w:val="0"/>
              <w:rPr>
                <w:i/>
              </w:rPr>
            </w:pPr>
            <w:r w:rsidRPr="00CE323A">
              <w:rPr>
                <w:i/>
              </w:rPr>
              <w:t>NSC</w:t>
            </w:r>
            <w:r>
              <w:rPr>
                <w:i/>
              </w:rPr>
              <w:t xml:space="preserve"> AGG</w:t>
            </w:r>
            <w:r w:rsidRPr="00CE323A">
              <w:rPr>
                <w:i/>
              </w:rPr>
              <w:t>:</w:t>
            </w:r>
          </w:p>
          <w:p w:rsidR="00CE323A" w:rsidRPr="00CE323A" w:rsidRDefault="00CE323A">
            <w:pPr>
              <w:widowControl w:val="0"/>
              <w:rPr>
                <w:sz w:val="18"/>
              </w:rPr>
            </w:pPr>
            <w:r>
              <w:t>Although you are claiming your {} is due to your service-connected disability of {}, t</w:t>
            </w:r>
            <w:r w:rsidRPr="00CE323A">
              <w:rPr>
                <w:szCs w:val="21"/>
              </w:rPr>
              <w:t>he m</w:t>
            </w:r>
            <w:r w:rsidRPr="001D2BF9">
              <w:rPr>
                <w:szCs w:val="21"/>
              </w:rPr>
              <w:t xml:space="preserve">edical evidence </w:t>
            </w:r>
            <w:r w:rsidRPr="00CE323A">
              <w:rPr>
                <w:szCs w:val="21"/>
              </w:rPr>
              <w:t>is in</w:t>
            </w:r>
            <w:r w:rsidRPr="001D2BF9">
              <w:rPr>
                <w:szCs w:val="21"/>
              </w:rPr>
              <w:t>adequate to establish the baseline level of disability</w:t>
            </w:r>
            <w:r w:rsidRPr="00CE323A">
              <w:rPr>
                <w:szCs w:val="21"/>
              </w:rPr>
              <w:t>, so no aggravation can be demonstrated.</w:t>
            </w:r>
          </w:p>
          <w:p w:rsidR="00CE323A" w:rsidRDefault="00CE323A">
            <w:pPr>
              <w:widowControl w:val="0"/>
            </w:pPr>
          </w:p>
          <w:p w:rsidR="00013EB8" w:rsidRPr="005A033D" w:rsidRDefault="003062C0" w:rsidP="005A033D">
            <w:pPr>
              <w:widowControl w:val="0"/>
              <w:rPr>
                <w:i/>
                <w:iCs/>
              </w:rPr>
            </w:pPr>
            <w:r>
              <w:rPr>
                <w:i/>
                <w:iCs/>
              </w:rPr>
              <w:t>I</w:t>
            </w:r>
            <w:r w:rsidR="00013EB8" w:rsidRPr="005A033D">
              <w:rPr>
                <w:i/>
                <w:iCs/>
              </w:rPr>
              <w:t>f claimed as secondary to NSC</w:t>
            </w:r>
            <w:r>
              <w:rPr>
                <w:i/>
                <w:iCs/>
              </w:rPr>
              <w:t xml:space="preserve"> condition</w:t>
            </w:r>
            <w:r w:rsidR="00013EB8" w:rsidRPr="005A033D">
              <w:rPr>
                <w:i/>
                <w:iCs/>
              </w:rPr>
              <w:t>:</w:t>
            </w:r>
          </w:p>
          <w:p w:rsidR="00EB1842" w:rsidRPr="00EB1842" w:rsidRDefault="007F1156" w:rsidP="005A033D">
            <w:pPr>
              <w:widowControl w:val="0"/>
            </w:pPr>
            <w:r w:rsidRPr="00EB1842">
              <w:t>{} is not related to service, so service connection on a secondary basis cannot be established.</w:t>
            </w:r>
            <w:r w:rsidR="00EB1842" w:rsidRPr="00EB1842">
              <w:t xml:space="preserve"> </w:t>
            </w:r>
          </w:p>
          <w:p w:rsidR="00013EB8" w:rsidRPr="00DD7CD1" w:rsidRDefault="00EB1842" w:rsidP="005A033D">
            <w:pPr>
              <w:widowControl w:val="0"/>
              <w:rPr>
                <w:highlight w:val="darkGray"/>
              </w:rPr>
            </w:pPr>
            <w:r w:rsidRPr="0099386D">
              <w:rPr>
                <w:rFonts w:ascii="Verdana" w:hAnsi="Verdana"/>
                <w:b/>
                <w:highlight w:val="green"/>
              </w:rPr>
              <w:t xml:space="preserve">**Similar to </w:t>
            </w:r>
            <w:r w:rsidR="00C551BE">
              <w:rPr>
                <w:rFonts w:ascii="Verdana" w:hAnsi="Verdana"/>
                <w:b/>
                <w:highlight w:val="green"/>
              </w:rPr>
              <w:t>VBMS-R System-Generated Text</w:t>
            </w:r>
          </w:p>
          <w:p w:rsidR="005D17D6" w:rsidRPr="00EB1842" w:rsidRDefault="005D17D6" w:rsidP="005A033D">
            <w:pPr>
              <w:widowControl w:val="0"/>
            </w:pPr>
          </w:p>
          <w:p w:rsidR="001D0EB1" w:rsidRDefault="005D17D6" w:rsidP="005A033D">
            <w:pPr>
              <w:widowControl w:val="0"/>
            </w:pPr>
            <w:r w:rsidRPr="00EB1842">
              <w:t>You do not have a {} disability that is related to service, so service connection on a secondary basis cannot be established.</w:t>
            </w:r>
          </w:p>
        </w:tc>
      </w:tr>
      <w:tr w:rsidR="00013EB8" w:rsidTr="00581371">
        <w:tc>
          <w:tcPr>
            <w:tcW w:w="2365" w:type="dxa"/>
          </w:tcPr>
          <w:p w:rsidR="00013EB8" w:rsidRDefault="00234459" w:rsidP="00234459">
            <w:pPr>
              <w:pStyle w:val="TableofFigures"/>
              <w:widowControl w:val="0"/>
              <w:rPr>
                <w:rFonts w:ascii="Arial" w:hAnsi="Arial"/>
                <w:smallCaps w:val="0"/>
                <w:szCs w:val="24"/>
              </w:rPr>
            </w:pPr>
            <w:bookmarkStart w:id="51" w:name="NOAggFreeText"/>
            <w:r>
              <w:rPr>
                <w:rFonts w:ascii="Verdana" w:hAnsi="Verdana"/>
                <w:b/>
                <w:bCs/>
                <w:highlight w:val="green"/>
              </w:rPr>
              <w:t>NO_AGG</w:t>
            </w:r>
            <w:r w:rsidR="00013EB8">
              <w:rPr>
                <w:rFonts w:ascii="Arial" w:hAnsi="Arial"/>
                <w:smallCaps w:val="0"/>
                <w:szCs w:val="24"/>
              </w:rPr>
              <w:t xml:space="preserve"> Free Text</w:t>
            </w:r>
            <w:bookmarkEnd w:id="51"/>
          </w:p>
          <w:p w:rsidR="00061C66" w:rsidRDefault="00061C66" w:rsidP="00061C66"/>
          <w:p w:rsidR="00061C66" w:rsidRDefault="00061C66" w:rsidP="00061C66">
            <w:pPr>
              <w:widowControl w:val="0"/>
            </w:pPr>
            <w:r>
              <w:rPr>
                <w:b/>
              </w:rPr>
              <w:t xml:space="preserve">I.1.C.3.h </w:t>
            </w:r>
            <w:r w:rsidRPr="007A25DC">
              <w:t>–</w:t>
            </w:r>
            <w:r>
              <w:t xml:space="preserve"> </w:t>
            </w:r>
          </w:p>
          <w:p w:rsidR="00061C66" w:rsidRDefault="00061C66" w:rsidP="00061C66">
            <w:pPr>
              <w:widowControl w:val="0"/>
            </w:pPr>
            <w:r>
              <w:t>E</w:t>
            </w:r>
            <w:r w:rsidRPr="007A25DC">
              <w:t>lement 1</w:t>
            </w:r>
            <w:r>
              <w:t xml:space="preserve"> (current disability/sx)</w:t>
            </w:r>
          </w:p>
          <w:p w:rsidR="00061C66" w:rsidRDefault="00061C66" w:rsidP="00061C66">
            <w:pPr>
              <w:widowControl w:val="0"/>
            </w:pPr>
          </w:p>
          <w:p w:rsidR="00061C66" w:rsidRDefault="00061C66" w:rsidP="00061C66">
            <w:pPr>
              <w:widowControl w:val="0"/>
            </w:pPr>
            <w:r>
              <w:t>E</w:t>
            </w:r>
            <w:r w:rsidRPr="007A25DC">
              <w:t xml:space="preserve">lement </w:t>
            </w:r>
            <w:r>
              <w:t xml:space="preserve">2 (evid the disability worsened – </w:t>
            </w:r>
            <w:r w:rsidRPr="00061C66">
              <w:rPr>
                <w:i/>
              </w:rPr>
              <w:t>Davis v. Principi, Maxson v. Gober, Verdon v. Brown, Jensen v. Brown, Paulson v. Brown</w:t>
            </w:r>
            <w:r>
              <w:t>)</w:t>
            </w:r>
          </w:p>
          <w:p w:rsidR="00061C66" w:rsidRDefault="00061C66" w:rsidP="00061C66">
            <w:pPr>
              <w:widowControl w:val="0"/>
              <w:rPr>
                <w:b/>
              </w:rPr>
            </w:pPr>
          </w:p>
          <w:p w:rsidR="00061C66" w:rsidRDefault="00061C66" w:rsidP="00061C66">
            <w:pPr>
              <w:widowControl w:val="0"/>
            </w:pPr>
            <w:r>
              <w:t>E</w:t>
            </w:r>
            <w:r w:rsidRPr="007A25DC">
              <w:t xml:space="preserve">lement </w:t>
            </w:r>
            <w:r>
              <w:t xml:space="preserve">3 (satisfied by Element 2) </w:t>
            </w:r>
          </w:p>
          <w:p w:rsidR="00061C66" w:rsidRPr="00061C66" w:rsidRDefault="00061C66" w:rsidP="00061C66"/>
        </w:tc>
        <w:tc>
          <w:tcPr>
            <w:tcW w:w="8381" w:type="dxa"/>
          </w:tcPr>
          <w:p w:rsidR="00B60B00" w:rsidRDefault="00013EB8" w:rsidP="00B60B00">
            <w:pPr>
              <w:widowControl w:val="0"/>
            </w:pPr>
            <w:r>
              <w:t xml:space="preserve">The VA examiner opined that your </w:t>
            </w:r>
            <w:r w:rsidR="00A46221">
              <w:t>{}</w:t>
            </w:r>
            <w:r>
              <w:t xml:space="preserve">, which clearly and unmistakably existed prior to service, was not aggravated beyond its natural progression by an in-service injury, event or illness </w:t>
            </w:r>
            <w:r w:rsidR="00B60B00">
              <w:t>because</w:t>
            </w:r>
            <w:r w:rsidR="003F6423">
              <w:t xml:space="preserve"> {</w:t>
            </w:r>
            <w:r w:rsidR="00B60B00">
              <w:t>}.</w:t>
            </w:r>
          </w:p>
          <w:p w:rsidR="00806E53" w:rsidRDefault="001C3B2E">
            <w:pPr>
              <w:pStyle w:val="Header"/>
              <w:widowControl w:val="0"/>
              <w:tabs>
                <w:tab w:val="clear" w:pos="4320"/>
                <w:tab w:val="clear" w:pos="8640"/>
              </w:tabs>
            </w:pPr>
            <w:r>
              <w:t>OR</w:t>
            </w:r>
          </w:p>
          <w:p w:rsidR="00806E53" w:rsidRDefault="001E1400" w:rsidP="001E1400">
            <w:pPr>
              <w:pStyle w:val="Header"/>
              <w:widowControl w:val="0"/>
              <w:tabs>
                <w:tab w:val="clear" w:pos="4320"/>
                <w:tab w:val="clear" w:pos="8640"/>
              </w:tabs>
            </w:pPr>
            <w:r>
              <w:t xml:space="preserve">The </w:t>
            </w:r>
            <w:r w:rsidRPr="001E1400">
              <w:t>evidence clearly indicates that there was no change in the condition</w:t>
            </w:r>
            <w:r w:rsidR="006A7756">
              <w:t xml:space="preserve"> during service</w:t>
            </w:r>
            <w:r w:rsidRPr="001E1400">
              <w:t>.</w:t>
            </w:r>
            <w:r>
              <w:t xml:space="preserve"> </w:t>
            </w:r>
            <w:r w:rsidR="00806E53" w:rsidRPr="00806E53">
              <w:t xml:space="preserve">Your </w:t>
            </w:r>
            <w:r w:rsidR="00A46221">
              <w:t>{</w:t>
            </w:r>
            <w:r w:rsidR="008E7849">
              <w:t>date</w:t>
            </w:r>
            <w:r w:rsidR="00A46221">
              <w:t>}</w:t>
            </w:r>
            <w:r w:rsidR="00806E53" w:rsidRPr="00806E53">
              <w:t xml:space="preserve"> </w:t>
            </w:r>
            <w:r w:rsidR="008F67DB">
              <w:t>{</w:t>
            </w:r>
            <w:r w:rsidR="0029353F">
              <w:t xml:space="preserve">entrance / </w:t>
            </w:r>
            <w:r w:rsidR="00806E53" w:rsidRPr="00806E53">
              <w:t>enlistment</w:t>
            </w:r>
            <w:r w:rsidR="008F67DB">
              <w:t>}</w:t>
            </w:r>
            <w:r w:rsidR="00806E53" w:rsidRPr="00806E53">
              <w:t xml:space="preserve"> examinat</w:t>
            </w:r>
            <w:r w:rsidR="00806E53">
              <w:t xml:space="preserve">ion shows </w:t>
            </w:r>
            <w:r w:rsidR="00A46221">
              <w:t>{}</w:t>
            </w:r>
            <w:r w:rsidR="00806E53" w:rsidRPr="00806E53">
              <w:t>. There is no evidence of any subsequent treatment during service.</w:t>
            </w:r>
            <w:r>
              <w:t xml:space="preserve"> </w:t>
            </w:r>
            <w:r w:rsidRPr="001E1400">
              <w:t xml:space="preserve">No </w:t>
            </w:r>
            <w:r w:rsidR="00A46221">
              <w:t>{}</w:t>
            </w:r>
            <w:r w:rsidRPr="001E1400">
              <w:t xml:space="preserve"> disability was mentioned on your </w:t>
            </w:r>
            <w:r w:rsidR="00A46221">
              <w:t>{</w:t>
            </w:r>
            <w:r w:rsidR="008E7849">
              <w:t>date</w:t>
            </w:r>
            <w:r w:rsidR="00A46221">
              <w:t>}</w:t>
            </w:r>
            <w:r w:rsidRPr="001E1400">
              <w:t xml:space="preserve"> separation examination.</w:t>
            </w:r>
          </w:p>
          <w:p w:rsidR="001C3B2E" w:rsidRDefault="001C3B2E" w:rsidP="001E1400">
            <w:pPr>
              <w:pStyle w:val="Header"/>
              <w:widowControl w:val="0"/>
              <w:tabs>
                <w:tab w:val="clear" w:pos="4320"/>
                <w:tab w:val="clear" w:pos="8640"/>
              </w:tabs>
            </w:pPr>
            <w:r>
              <w:t>OR</w:t>
            </w:r>
          </w:p>
          <w:p w:rsidR="001C3B2E" w:rsidRDefault="001C3B2E" w:rsidP="001C3B2E">
            <w:pPr>
              <w:pStyle w:val="Header"/>
              <w:widowControl w:val="0"/>
              <w:tabs>
                <w:tab w:val="clear" w:pos="4320"/>
                <w:tab w:val="clear" w:pos="8640"/>
              </w:tabs>
            </w:pPr>
            <w:r>
              <w:t>Although y</w:t>
            </w:r>
            <w:r w:rsidRPr="00806E53">
              <w:t xml:space="preserve">our </w:t>
            </w:r>
            <w:r>
              <w:t>{</w:t>
            </w:r>
            <w:r w:rsidR="008E7849">
              <w:t>date</w:t>
            </w:r>
            <w:r>
              <w:t>}</w:t>
            </w:r>
            <w:r w:rsidRPr="00806E53">
              <w:t xml:space="preserve"> </w:t>
            </w:r>
            <w:r w:rsidR="008F67DB">
              <w:t>{</w:t>
            </w:r>
            <w:r>
              <w:t xml:space="preserve">entrance / </w:t>
            </w:r>
            <w:r w:rsidRPr="00806E53">
              <w:t>enlistment</w:t>
            </w:r>
            <w:r w:rsidR="008F67DB">
              <w:t>}</w:t>
            </w:r>
            <w:r w:rsidRPr="00806E53">
              <w:t xml:space="preserve"> examinat</w:t>
            </w:r>
            <w:r>
              <w:t>ion does not show any mention of {}, the records show {x-ray evidence of an old fracture seven days after your enlistment, which clearly did not occur during service, and was attributed to an injury while playing football in High School}</w:t>
            </w:r>
            <w:r w:rsidRPr="00806E53">
              <w:t xml:space="preserve">. </w:t>
            </w:r>
            <w:r>
              <w:t xml:space="preserve">You were separated from service for a condition existing prior to service. The </w:t>
            </w:r>
            <w:r w:rsidRPr="001E1400">
              <w:t>evidence clearly indicates that there was no change in the condition</w:t>
            </w:r>
            <w:r>
              <w:t xml:space="preserve"> during service</w:t>
            </w:r>
            <w:r w:rsidRPr="001E1400">
              <w:t>.</w:t>
            </w:r>
          </w:p>
        </w:tc>
      </w:tr>
      <w:tr w:rsidR="00013EB8" w:rsidTr="00581371">
        <w:tc>
          <w:tcPr>
            <w:tcW w:w="2365" w:type="dxa"/>
          </w:tcPr>
          <w:p w:rsidR="00013EB8" w:rsidRDefault="00234459">
            <w:pPr>
              <w:pStyle w:val="TableofFigures"/>
              <w:widowControl w:val="0"/>
              <w:rPr>
                <w:rFonts w:ascii="Arial" w:hAnsi="Arial"/>
                <w:smallCaps w:val="0"/>
                <w:szCs w:val="24"/>
              </w:rPr>
            </w:pPr>
            <w:bookmarkStart w:id="52" w:name="WMCFreeText"/>
            <w:r>
              <w:rPr>
                <w:rFonts w:ascii="Verdana" w:hAnsi="Verdana"/>
                <w:b/>
                <w:bCs/>
                <w:highlight w:val="green"/>
              </w:rPr>
              <w:t>WMC</w:t>
            </w:r>
            <w:r w:rsidR="00013EB8">
              <w:rPr>
                <w:rFonts w:ascii="Arial" w:hAnsi="Arial"/>
                <w:smallCaps w:val="0"/>
                <w:szCs w:val="24"/>
              </w:rPr>
              <w:t xml:space="preserve"> Free Text</w:t>
            </w:r>
            <w:bookmarkEnd w:id="52"/>
          </w:p>
          <w:p w:rsidR="00013EB8" w:rsidRDefault="00013EB8">
            <w:pPr>
              <w:widowControl w:val="0"/>
            </w:pPr>
          </w:p>
          <w:p w:rsidR="00013EB8" w:rsidRDefault="00853C4D">
            <w:pPr>
              <w:widowControl w:val="0"/>
              <w:rPr>
                <w:b/>
                <w:bCs/>
              </w:rPr>
            </w:pPr>
            <w:r>
              <w:rPr>
                <w:b/>
                <w:bCs/>
              </w:rPr>
              <w:t>III.v.1.D</w:t>
            </w:r>
          </w:p>
          <w:p w:rsidR="006D0789" w:rsidRDefault="006D0789">
            <w:pPr>
              <w:widowControl w:val="0"/>
              <w:rPr>
                <w:rStyle w:val="Hyperlink"/>
                <w:b/>
                <w:bCs/>
              </w:rPr>
            </w:pPr>
          </w:p>
          <w:p w:rsidR="006D0789" w:rsidRPr="006D0789" w:rsidRDefault="001D615F" w:rsidP="00D11117">
            <w:pPr>
              <w:widowControl w:val="0"/>
              <w:spacing w:after="120"/>
              <w:rPr>
                <w:b/>
                <w:bCs/>
                <w:sz w:val="16"/>
                <w:szCs w:val="16"/>
              </w:rPr>
            </w:pPr>
            <w:r>
              <w:rPr>
                <w:rFonts w:ascii="Verdana" w:hAnsi="Verdana"/>
                <w:b/>
                <w:bCs/>
                <w:szCs w:val="16"/>
                <w:highlight w:val="green"/>
              </w:rPr>
              <w:t>SA1</w:t>
            </w:r>
          </w:p>
        </w:tc>
        <w:tc>
          <w:tcPr>
            <w:tcW w:w="8381" w:type="dxa"/>
          </w:tcPr>
          <w:p w:rsidR="00013EB8" w:rsidRDefault="00013EB8">
            <w:pPr>
              <w:pStyle w:val="Header"/>
              <w:widowControl w:val="0"/>
              <w:tabs>
                <w:tab w:val="clear" w:pos="4320"/>
                <w:tab w:val="clear" w:pos="8640"/>
              </w:tabs>
            </w:pPr>
            <w:r>
              <w:t xml:space="preserve">The </w:t>
            </w:r>
            <w:r w:rsidR="00AC28AF">
              <w:t>DBQ</w:t>
            </w:r>
            <w:r>
              <w:t xml:space="preserve"> shows a diagnosis of alcohol abuse. We will establish service connection for a chronic disabling condition which is not the result of the veteran's own willful misconduct. We will also evaluate the residuals of alcohol dependence under a service-connected psychiatric condition if it is determined that the alcohol dependence results from the psychiatric condition. Alcoholism is defined, by law, as willful misconduct, and you do not have a service-connected psychiatric condition that is shown to be causing your alcohol dependence.</w:t>
            </w:r>
            <w:r w:rsidR="00C87CCA">
              <w:t xml:space="preserve"> / The Mental DBQ does not show alcohol dependence/abuse is caused by your service-connected psychiatric condition.</w:t>
            </w:r>
          </w:p>
          <w:p w:rsidR="00853C4D" w:rsidRDefault="00853C4D">
            <w:pPr>
              <w:pStyle w:val="Header"/>
              <w:widowControl w:val="0"/>
              <w:tabs>
                <w:tab w:val="clear" w:pos="4320"/>
                <w:tab w:val="clear" w:pos="8640"/>
              </w:tabs>
            </w:pPr>
          </w:p>
          <w:p w:rsidR="00853C4D" w:rsidRDefault="00853C4D" w:rsidP="00C931F2">
            <w:pPr>
              <w:pStyle w:val="Header"/>
              <w:widowControl w:val="0"/>
              <w:tabs>
                <w:tab w:val="clear" w:pos="4320"/>
                <w:tab w:val="clear" w:pos="8640"/>
              </w:tabs>
            </w:pPr>
            <w:r w:rsidRPr="00853C4D">
              <w:t>Organic diseases that are secondary to chronic use of alcohol cannot be considered to have been incurred in the line of duty and cannot qualify for compensation.</w:t>
            </w:r>
            <w:r>
              <w:t xml:space="preserve"> </w:t>
            </w:r>
            <w:r w:rsidRPr="00853C4D">
              <w:t>Although it was first diagnosed in service, the VA examiner</w:t>
            </w:r>
            <w:r w:rsidR="00C931F2">
              <w:t xml:space="preserve"> reviewed your service treatment records and</w:t>
            </w:r>
            <w:r w:rsidRPr="00853C4D">
              <w:t xml:space="preserve"> indicated that your </w:t>
            </w:r>
            <w:r w:rsidR="00A46221">
              <w:t>{}</w:t>
            </w:r>
            <w:r w:rsidRPr="00853C4D">
              <w:t xml:space="preserve"> is at least as likely as not</w:t>
            </w:r>
            <w:r w:rsidR="00C931F2">
              <w:t xml:space="preserve"> related to alcohol consumption.</w:t>
            </w:r>
          </w:p>
        </w:tc>
      </w:tr>
      <w:tr w:rsidR="00013EB8" w:rsidTr="00581371">
        <w:tc>
          <w:tcPr>
            <w:tcW w:w="2365" w:type="dxa"/>
          </w:tcPr>
          <w:p w:rsidR="00013EB8" w:rsidRDefault="00234459">
            <w:pPr>
              <w:pStyle w:val="TableofFigures"/>
              <w:widowControl w:val="0"/>
              <w:rPr>
                <w:rFonts w:ascii="Arial" w:hAnsi="Arial"/>
                <w:smallCaps w:val="0"/>
                <w:szCs w:val="24"/>
              </w:rPr>
            </w:pPr>
            <w:bookmarkStart w:id="53" w:name="IUFreeText"/>
            <w:r>
              <w:rPr>
                <w:rFonts w:ascii="Verdana" w:hAnsi="Verdana"/>
                <w:b/>
                <w:bCs/>
                <w:highlight w:val="green"/>
              </w:rPr>
              <w:t>IU</w:t>
            </w:r>
            <w:r w:rsidR="00013EB8">
              <w:rPr>
                <w:rFonts w:ascii="Arial" w:hAnsi="Arial"/>
                <w:smallCaps w:val="0"/>
                <w:szCs w:val="24"/>
              </w:rPr>
              <w:t xml:space="preserve"> Free Text</w:t>
            </w:r>
            <w:bookmarkEnd w:id="53"/>
          </w:p>
          <w:p w:rsidR="00BA17F2" w:rsidRPr="00FB4FA3" w:rsidRDefault="00FB4FA3" w:rsidP="00BA17F2">
            <w:pPr>
              <w:rPr>
                <w:i/>
              </w:rPr>
            </w:pPr>
            <w:r w:rsidRPr="00FB4FA3">
              <w:rPr>
                <w:i/>
              </w:rPr>
              <w:t>denyiu</w:t>
            </w:r>
          </w:p>
          <w:p w:rsidR="00BA17F2" w:rsidRPr="00BA17F2" w:rsidRDefault="00BA17F2" w:rsidP="00BA17F2"/>
          <w:p w:rsidR="00BA17F2" w:rsidRDefault="00BA17F2" w:rsidP="00BA17F2">
            <w:pPr>
              <w:widowControl w:val="0"/>
              <w:numPr>
                <w:ilvl w:val="12"/>
                <w:numId w:val="0"/>
              </w:numPr>
              <w:tabs>
                <w:tab w:val="left" w:pos="0"/>
              </w:tabs>
            </w:pPr>
            <w:r w:rsidRPr="00B716A8">
              <w:t>Entitlement to individual unemployability.</w:t>
            </w:r>
          </w:p>
          <w:p w:rsidR="00BA17F2" w:rsidRPr="00B716A8" w:rsidRDefault="00BA17F2" w:rsidP="00BA17F2">
            <w:pPr>
              <w:widowControl w:val="0"/>
              <w:numPr>
                <w:ilvl w:val="12"/>
                <w:numId w:val="0"/>
              </w:numPr>
              <w:tabs>
                <w:tab w:val="left" w:pos="0"/>
              </w:tabs>
            </w:pPr>
          </w:p>
          <w:p w:rsidR="00BA17F2" w:rsidRPr="00B716A8" w:rsidRDefault="00BA17F2" w:rsidP="00BA17F2">
            <w:pPr>
              <w:widowControl w:val="0"/>
              <w:numPr>
                <w:ilvl w:val="12"/>
                <w:numId w:val="0"/>
              </w:numPr>
              <w:tabs>
                <w:tab w:val="left" w:pos="0"/>
              </w:tabs>
            </w:pPr>
            <w:r w:rsidRPr="00B716A8">
              <w:t>Entitlement to individual unemployability is denied.</w:t>
            </w:r>
          </w:p>
          <w:p w:rsidR="00013EB8" w:rsidRDefault="00013EB8">
            <w:pPr>
              <w:widowControl w:val="0"/>
              <w:rPr>
                <w:i/>
                <w:iCs/>
                <w:sz w:val="18"/>
              </w:rPr>
            </w:pPr>
          </w:p>
        </w:tc>
        <w:tc>
          <w:tcPr>
            <w:tcW w:w="8381" w:type="dxa"/>
          </w:tcPr>
          <w:p w:rsidR="00353B4E" w:rsidRPr="00353B4E" w:rsidRDefault="00353B4E" w:rsidP="00353B4E">
            <w:pPr>
              <w:rPr>
                <w:sz w:val="18"/>
                <w:szCs w:val="18"/>
              </w:rPr>
            </w:pPr>
            <w:r w:rsidRPr="00353B4E">
              <w:rPr>
                <w:bCs/>
                <w:sz w:val="18"/>
                <w:szCs w:val="18"/>
              </w:rPr>
              <w:t xml:space="preserve">use </w:t>
            </w:r>
            <w:r w:rsidRPr="00353B4E">
              <w:rPr>
                <w:rFonts w:ascii="Verdana" w:hAnsi="Verdana"/>
                <w:b/>
                <w:bCs/>
                <w:szCs w:val="18"/>
                <w:highlight w:val="green"/>
              </w:rPr>
              <w:t>IU2</w:t>
            </w:r>
            <w:r w:rsidRPr="00353B4E">
              <w:rPr>
                <w:rFonts w:ascii="Verdana" w:hAnsi="Verdana"/>
                <w:b/>
                <w:bCs/>
                <w:sz w:val="18"/>
                <w:szCs w:val="18"/>
              </w:rPr>
              <w:t xml:space="preserve"> </w:t>
            </w:r>
            <w:r w:rsidR="002F5222">
              <w:rPr>
                <w:bCs/>
                <w:sz w:val="18"/>
                <w:szCs w:val="18"/>
              </w:rPr>
              <w:t>and</w:t>
            </w:r>
            <w:r w:rsidRPr="00353B4E">
              <w:rPr>
                <w:rFonts w:ascii="Verdana" w:hAnsi="Verdana"/>
                <w:b/>
                <w:bCs/>
                <w:sz w:val="18"/>
                <w:szCs w:val="18"/>
              </w:rPr>
              <w:t xml:space="preserve"> </w:t>
            </w:r>
            <w:r w:rsidRPr="00353B4E">
              <w:rPr>
                <w:rFonts w:ascii="Verdana" w:hAnsi="Verdana"/>
                <w:b/>
                <w:bCs/>
                <w:szCs w:val="18"/>
                <w:highlight w:val="green"/>
              </w:rPr>
              <w:t>IU416</w:t>
            </w:r>
            <w:r w:rsidRPr="00353B4E">
              <w:rPr>
                <w:rFonts w:ascii="Verdana" w:hAnsi="Verdana"/>
                <w:b/>
                <w:bCs/>
                <w:sz w:val="18"/>
                <w:szCs w:val="18"/>
              </w:rPr>
              <w:t xml:space="preserve"> </w:t>
            </w:r>
            <w:r w:rsidRPr="00353B4E">
              <w:rPr>
                <w:bCs/>
                <w:sz w:val="18"/>
                <w:szCs w:val="18"/>
              </w:rPr>
              <w:t>if does not meet schedular criteria</w:t>
            </w:r>
          </w:p>
          <w:p w:rsidR="00496E41" w:rsidRDefault="00496E41">
            <w:pPr>
              <w:widowControl w:val="0"/>
              <w:tabs>
                <w:tab w:val="left" w:pos="0"/>
                <w:tab w:val="left" w:pos="144"/>
              </w:tabs>
            </w:pPr>
          </w:p>
          <w:p w:rsidR="00A9177F" w:rsidRDefault="00013EB8">
            <w:pPr>
              <w:widowControl w:val="0"/>
              <w:tabs>
                <w:tab w:val="left" w:pos="0"/>
                <w:tab w:val="left" w:pos="144"/>
              </w:tabs>
            </w:pPr>
            <w:r>
              <w:t xml:space="preserve">The VA Form 21-8940 shows your report that your </w:t>
            </w:r>
            <w:r w:rsidR="00A46221">
              <w:t>{}</w:t>
            </w:r>
            <w:r>
              <w:t xml:space="preserve"> prevent(s) you from securing or following any substantially gainful occupation and that you left your last job because of your disability, but you also reported that you have not tried to obtain employment since you became too disabled to work.</w:t>
            </w:r>
            <w:r w:rsidR="00F65128">
              <w:t xml:space="preserve"> OR The VA Form 21-8940 shows your report that your {} prevent(s) you from securing or following any substantially gainful occupation, but you also reported that you did not leave your last job because of your disability and you have not tried to obtain employment since you became too disabled to work. </w:t>
            </w:r>
            <w:r w:rsidR="00A9177F">
              <w:t>{You reported working for {}</w:t>
            </w:r>
            <w:r w:rsidR="00A9177F" w:rsidRPr="00A9177F">
              <w:t xml:space="preserve"> from </w:t>
            </w:r>
            <w:r w:rsidR="00A9177F">
              <w:t>{}</w:t>
            </w:r>
            <w:r w:rsidR="00A9177F" w:rsidRPr="00A9177F">
              <w:t xml:space="preserve"> to </w:t>
            </w:r>
            <w:r w:rsidR="00A9177F">
              <w:t>{}</w:t>
            </w:r>
            <w:r w:rsidR="00A9177F" w:rsidRPr="00A9177F">
              <w:t xml:space="preserve">. You reported becoming too disabled to work on </w:t>
            </w:r>
            <w:r w:rsidR="00A9177F">
              <w:t>{}</w:t>
            </w:r>
            <w:r w:rsidR="00176E93">
              <w:t xml:space="preserve"> and you last worked full-time on {}</w:t>
            </w:r>
            <w:r w:rsidR="00A9177F" w:rsidRPr="00A9177F">
              <w:t>. You reported not receiving or expecting to receive disability retirement benefits or workers compensation benefits.</w:t>
            </w:r>
            <w:r w:rsidR="00A9177F">
              <w:t>}</w:t>
            </w:r>
          </w:p>
          <w:p w:rsidR="00BA17F2" w:rsidRDefault="00BA17F2">
            <w:pPr>
              <w:widowControl w:val="0"/>
              <w:tabs>
                <w:tab w:val="left" w:pos="0"/>
                <w:tab w:val="left" w:pos="144"/>
              </w:tabs>
            </w:pPr>
          </w:p>
          <w:p w:rsidR="00BA17F2" w:rsidRDefault="00013EB8">
            <w:pPr>
              <w:widowControl w:val="0"/>
              <w:tabs>
                <w:tab w:val="left" w:pos="0"/>
                <w:tab w:val="left" w:pos="144"/>
              </w:tabs>
            </w:pPr>
            <w:r>
              <w:t>The treatment records do not show definitive evidence that you are unemployable because of your service-connected disabilities.</w:t>
            </w:r>
            <w:r w:rsidR="00D85232">
              <w:t xml:space="preserve"> </w:t>
            </w:r>
            <w:r w:rsidR="009419F7">
              <w:t>{ADD details from TRs}</w:t>
            </w:r>
          </w:p>
          <w:p w:rsidR="001C7682" w:rsidRDefault="001C7682">
            <w:pPr>
              <w:widowControl w:val="0"/>
              <w:tabs>
                <w:tab w:val="left" w:pos="0"/>
                <w:tab w:val="left" w:pos="144"/>
              </w:tabs>
            </w:pPr>
          </w:p>
          <w:p w:rsidR="001C7682" w:rsidRDefault="001C7682">
            <w:pPr>
              <w:widowControl w:val="0"/>
              <w:tabs>
                <w:tab w:val="left" w:pos="0"/>
                <w:tab w:val="left" w:pos="144"/>
              </w:tabs>
            </w:pPr>
            <w:r>
              <w:t xml:space="preserve">The </w:t>
            </w:r>
            <w:r w:rsidR="00D65695">
              <w:t>DBQ</w:t>
            </w:r>
            <w:r>
              <w:t>(</w:t>
            </w:r>
            <w:r w:rsidRPr="001C7682">
              <w:t>s</w:t>
            </w:r>
            <w:r>
              <w:t>) do(es) not show definitive evidence that you are unemployable because of your service-connected disabilities.</w:t>
            </w:r>
            <w:r w:rsidR="009419F7">
              <w:t xml:space="preserve"> {ADD details from DBQ(s)}</w:t>
            </w:r>
          </w:p>
          <w:p w:rsidR="00BA17F2" w:rsidRDefault="00BA17F2">
            <w:pPr>
              <w:widowControl w:val="0"/>
              <w:tabs>
                <w:tab w:val="left" w:pos="0"/>
                <w:tab w:val="left" w:pos="144"/>
              </w:tabs>
            </w:pPr>
          </w:p>
          <w:p w:rsidR="00A9177F" w:rsidRDefault="00BA17F2" w:rsidP="00BA17F2">
            <w:pPr>
              <w:widowControl w:val="0"/>
              <w:tabs>
                <w:tab w:val="left" w:pos="0"/>
                <w:tab w:val="left" w:pos="144"/>
              </w:tabs>
            </w:pPr>
            <w:r w:rsidRPr="00B716A8">
              <w:t xml:space="preserve">The employment information from </w:t>
            </w:r>
            <w:r w:rsidR="00A46221">
              <w:t>{}</w:t>
            </w:r>
            <w:r w:rsidR="00354CAE">
              <w:t xml:space="preserve"> [shows that you retired on </w:t>
            </w:r>
            <w:r w:rsidR="00A46221">
              <w:t>{</w:t>
            </w:r>
            <w:r w:rsidR="008E7849">
              <w:t>date</w:t>
            </w:r>
            <w:r w:rsidR="00A46221">
              <w:t>}</w:t>
            </w:r>
            <w:r w:rsidRPr="00B716A8">
              <w:t xml:space="preserve"> </w:t>
            </w:r>
            <w:r w:rsidR="00354CAE">
              <w:t xml:space="preserve">and indicates that no concessions were made to you by reason of disability / </w:t>
            </w:r>
            <w:r w:rsidRPr="00B716A8">
              <w:t>does not indicate that any concessions were made</w:t>
            </w:r>
            <w:r w:rsidR="00A9177F">
              <w:t xml:space="preserve"> to you by reason of disability; or </w:t>
            </w:r>
            <w:r w:rsidR="00A9177F" w:rsidRPr="00A9177F">
              <w:t xml:space="preserve">shows you were employed from </w:t>
            </w:r>
            <w:r w:rsidR="00A9177F">
              <w:t>{</w:t>
            </w:r>
            <w:r w:rsidR="008E7849">
              <w:t>date</w:t>
            </w:r>
            <w:r w:rsidR="00A9177F">
              <w:t>}</w:t>
            </w:r>
            <w:r w:rsidR="00A9177F" w:rsidRPr="00A9177F">
              <w:t xml:space="preserve"> to </w:t>
            </w:r>
            <w:r w:rsidR="00A9177F">
              <w:t>{</w:t>
            </w:r>
            <w:r w:rsidR="008E7849">
              <w:t>date</w:t>
            </w:r>
            <w:r w:rsidR="00A9177F">
              <w:t>}</w:t>
            </w:r>
            <w:r w:rsidR="00A9177F" w:rsidRPr="00A9177F">
              <w:t xml:space="preserve"> and you last worked on </w:t>
            </w:r>
            <w:r w:rsidR="00A9177F">
              <w:t>{</w:t>
            </w:r>
            <w:r w:rsidR="008E7849">
              <w:t>date</w:t>
            </w:r>
            <w:r w:rsidR="00A9177F">
              <w:t>}</w:t>
            </w:r>
            <w:r w:rsidR="00A9177F" w:rsidRPr="00A9177F">
              <w:t xml:space="preserve">. The type of work performed was </w:t>
            </w:r>
            <w:r w:rsidR="00A9177F">
              <w:t>{}</w:t>
            </w:r>
            <w:r w:rsidR="00A9177F" w:rsidRPr="00A9177F">
              <w:t xml:space="preserve">. There was no time loss during the 12 months preceding your last date of employment due to a disability. You are receiving retirement benefits which began on </w:t>
            </w:r>
            <w:r w:rsidR="00A9177F">
              <w:t>{</w:t>
            </w:r>
            <w:r w:rsidR="008E7849">
              <w:t>date</w:t>
            </w:r>
            <w:r w:rsidR="00A9177F">
              <w:t>}</w:t>
            </w:r>
            <w:r w:rsidR="00A9177F" w:rsidRPr="00A9177F">
              <w:t>. The evidence shows your employment ended due to retirement and not for any servi</w:t>
            </w:r>
            <w:r w:rsidR="00A9177F">
              <w:t>ce connected disability, and that no concessions were made to you by reason of disability.]</w:t>
            </w:r>
          </w:p>
          <w:p w:rsidR="00CC28DB" w:rsidRDefault="00CC28DB" w:rsidP="00BA17F2">
            <w:pPr>
              <w:widowControl w:val="0"/>
              <w:tabs>
                <w:tab w:val="left" w:pos="0"/>
                <w:tab w:val="left" w:pos="144"/>
              </w:tabs>
            </w:pPr>
          </w:p>
          <w:p w:rsidR="00CC28DB" w:rsidRDefault="00CC28DB" w:rsidP="00BA17F2">
            <w:pPr>
              <w:widowControl w:val="0"/>
              <w:tabs>
                <w:tab w:val="left" w:pos="0"/>
                <w:tab w:val="left" w:pos="144"/>
              </w:tabs>
            </w:pPr>
            <w:r>
              <w:t>The Social Security records show {}.</w:t>
            </w:r>
          </w:p>
          <w:p w:rsidR="009C2C77" w:rsidRDefault="009C2C77">
            <w:pPr>
              <w:widowControl w:val="0"/>
              <w:tabs>
                <w:tab w:val="left" w:pos="0"/>
                <w:tab w:val="left" w:pos="144"/>
              </w:tabs>
              <w:rPr>
                <w:b/>
                <w:bCs/>
              </w:rPr>
            </w:pPr>
          </w:p>
          <w:p w:rsidR="00BA17F2" w:rsidRDefault="00013EB8">
            <w:pPr>
              <w:widowControl w:val="0"/>
              <w:tabs>
                <w:tab w:val="left" w:pos="0"/>
                <w:tab w:val="left" w:pos="144"/>
              </w:tabs>
            </w:pPr>
            <w:r>
              <w:rPr>
                <w:b/>
                <w:bCs/>
              </w:rPr>
              <w:t>OR</w:t>
            </w:r>
            <w:r>
              <w:t xml:space="preserve"> </w:t>
            </w:r>
            <w:r w:rsidR="00A46221">
              <w:t>{}</w:t>
            </w:r>
            <w:r w:rsidR="00BA17F2" w:rsidRPr="00B716A8">
              <w:t xml:space="preserve"> stated that you would be unable to obtain and maintain </w:t>
            </w:r>
            <w:r w:rsidR="00BA17F2">
              <w:t xml:space="preserve">substantial gainful employment. </w:t>
            </w:r>
            <w:r>
              <w:t xml:space="preserve">The VA Form 21-8940 and your statements show your reports that you {retired with no mention of disability/did not leave your last job because of your disability} and have not tried to obtain employment since you became too disabled to work. </w:t>
            </w:r>
          </w:p>
          <w:p w:rsidR="00BA17F2" w:rsidRDefault="00013EB8">
            <w:pPr>
              <w:widowControl w:val="0"/>
              <w:tabs>
                <w:tab w:val="left" w:pos="0"/>
                <w:tab w:val="left" w:pos="144"/>
              </w:tabs>
            </w:pPr>
            <w:r>
              <w:rPr>
                <w:b/>
                <w:bCs/>
              </w:rPr>
              <w:t>OR</w:t>
            </w:r>
            <w:r>
              <w:t xml:space="preserve"> The </w:t>
            </w:r>
            <w:r w:rsidR="00A46221">
              <w:t>{}</w:t>
            </w:r>
            <w:r>
              <w:t xml:space="preserve"> shows that you are able to work/can work in another capacity/</w:t>
            </w:r>
            <w:r w:rsidR="006624E0">
              <w:t xml:space="preserve"> are currently working {full-t</w:t>
            </w:r>
            <w:r w:rsidR="00BA17F2" w:rsidRPr="00B716A8">
              <w:t>ime at ?}, so you are considered gainfully employed</w:t>
            </w:r>
            <w:r w:rsidR="00BA17F2">
              <w:t xml:space="preserve"> /</w:t>
            </w:r>
            <w:r>
              <w:t xml:space="preserve">are currently gainfully employed/are unemployable due </w:t>
            </w:r>
            <w:r w:rsidR="00A46221">
              <w:t>{}</w:t>
            </w:r>
            <w:r w:rsidR="00BA17F2" w:rsidRPr="00B716A8">
              <w:t>, which is not a service-connected disability. There is no evidence that your service-connected disabilities (when considered apart from the nonservice-connected conditions) are the cause of your unemployability</w:t>
            </w:r>
            <w:r>
              <w:t xml:space="preserve">. </w:t>
            </w:r>
          </w:p>
          <w:p w:rsidR="00BA17F2" w:rsidRDefault="00BA17F2" w:rsidP="00BA17F2">
            <w:pPr>
              <w:widowControl w:val="0"/>
              <w:tabs>
                <w:tab w:val="left" w:pos="0"/>
                <w:tab w:val="left" w:pos="144"/>
              </w:tabs>
            </w:pPr>
            <w:r w:rsidRPr="00BA17F2">
              <w:rPr>
                <w:b/>
              </w:rPr>
              <w:t xml:space="preserve">OR </w:t>
            </w:r>
            <w:r w:rsidRPr="00B716A8">
              <w:t xml:space="preserve">The </w:t>
            </w:r>
            <w:r w:rsidR="00A46221">
              <w:t>{}</w:t>
            </w:r>
            <w:r w:rsidRPr="00B716A8">
              <w:t xml:space="preserve"> shows that you are only partially disabled by your service-connected </w:t>
            </w:r>
            <w:r w:rsidR="00A46221">
              <w:t>{}</w:t>
            </w:r>
            <w:r w:rsidRPr="00B716A8">
              <w:t xml:space="preserve"> and that you can work in another capacity. You are in the VA Vocational Rehabilitation and Employment program being trained as a </w:t>
            </w:r>
            <w:r w:rsidR="00A46221">
              <w:t>{}</w:t>
            </w:r>
            <w:r w:rsidRPr="00B716A8">
              <w:t xml:space="preserve">, as they have determined that you are capable of gainful employment. </w:t>
            </w:r>
          </w:p>
          <w:p w:rsidR="0025701C" w:rsidRPr="00B716A8" w:rsidRDefault="0025701C" w:rsidP="0025701C">
            <w:pPr>
              <w:widowControl w:val="0"/>
              <w:tabs>
                <w:tab w:val="left" w:pos="0"/>
                <w:tab w:val="left" w:pos="144"/>
              </w:tabs>
            </w:pPr>
            <w:r w:rsidRPr="0025701C">
              <w:rPr>
                <w:b/>
              </w:rPr>
              <w:t>OR</w:t>
            </w:r>
            <w:r>
              <w:t xml:space="preserve"> for Evidence:  </w:t>
            </w:r>
            <w:r w:rsidRPr="00C92D85">
              <w:t>VA Form 21-4192, Request For Employment Information in Connection With Claim For Disability Benefits</w:t>
            </w:r>
            <w:r>
              <w:t xml:space="preserve">, requested from </w:t>
            </w:r>
            <w:r w:rsidRPr="00C92D85">
              <w:t>XXXX, but not received</w:t>
            </w:r>
          </w:p>
          <w:p w:rsidR="0025701C" w:rsidRDefault="0025701C" w:rsidP="00BA17F2">
            <w:pPr>
              <w:widowControl w:val="0"/>
              <w:tabs>
                <w:tab w:val="left" w:pos="0"/>
                <w:tab w:val="left" w:pos="144"/>
              </w:tabs>
            </w:pPr>
          </w:p>
          <w:p w:rsidR="00E43D4D" w:rsidRDefault="00E43D4D" w:rsidP="00CB1849">
            <w:pPr>
              <w:widowControl w:val="0"/>
              <w:tabs>
                <w:tab w:val="left" w:pos="0"/>
                <w:tab w:val="left" w:pos="144"/>
              </w:tabs>
              <w:rPr>
                <w:color w:val="000000"/>
              </w:rPr>
            </w:pPr>
            <w:r w:rsidRPr="00E43D4D">
              <w:rPr>
                <w:color w:val="000000"/>
              </w:rPr>
              <w:t>Vocational Rehabilitation &amp; Employment has found you entitled and you are in the evaluation and planning stage.</w:t>
            </w:r>
            <w:r w:rsidR="00A50F75">
              <w:rPr>
                <w:color w:val="000000"/>
              </w:rPr>
              <w:t xml:space="preserve"> / </w:t>
            </w:r>
            <w:r w:rsidR="00A50F75" w:rsidRPr="00A50F75">
              <w:rPr>
                <w:color w:val="000000"/>
              </w:rPr>
              <w:t xml:space="preserve">The information from Vocational Rehabilitation and Employment shows you are in training at </w:t>
            </w:r>
            <w:r w:rsidR="00A46221">
              <w:rPr>
                <w:color w:val="000000"/>
              </w:rPr>
              <w:t>{}</w:t>
            </w:r>
            <w:r w:rsidR="00A50F75" w:rsidRPr="00A50F75">
              <w:rPr>
                <w:color w:val="000000"/>
              </w:rPr>
              <w:t xml:space="preserve"> to complete a Bachelor’s degree in </w:t>
            </w:r>
            <w:r w:rsidR="00A46221">
              <w:rPr>
                <w:color w:val="000000"/>
              </w:rPr>
              <w:t>{}</w:t>
            </w:r>
            <w:r w:rsidR="00A50F75" w:rsidRPr="00A50F75">
              <w:rPr>
                <w:color w:val="000000"/>
              </w:rPr>
              <w:t xml:space="preserve">, starting around </w:t>
            </w:r>
            <w:r w:rsidR="00A46221">
              <w:rPr>
                <w:color w:val="000000"/>
              </w:rPr>
              <w:t>{</w:t>
            </w:r>
            <w:r w:rsidR="008E7849">
              <w:rPr>
                <w:color w:val="000000"/>
              </w:rPr>
              <w:t>date</w:t>
            </w:r>
            <w:r w:rsidR="00A46221">
              <w:rPr>
                <w:color w:val="000000"/>
              </w:rPr>
              <w:t>}</w:t>
            </w:r>
            <w:r w:rsidR="00A50F75" w:rsidRPr="00A50F75">
              <w:rPr>
                <w:color w:val="000000"/>
              </w:rPr>
              <w:t>.</w:t>
            </w:r>
          </w:p>
          <w:p w:rsidR="001079F5" w:rsidRDefault="001079F5" w:rsidP="00CB1849">
            <w:pPr>
              <w:widowControl w:val="0"/>
              <w:tabs>
                <w:tab w:val="left" w:pos="0"/>
                <w:tab w:val="left" w:pos="144"/>
              </w:tabs>
              <w:rPr>
                <w:color w:val="000000"/>
              </w:rPr>
            </w:pPr>
          </w:p>
          <w:p w:rsidR="001079F5" w:rsidRPr="00B716A8" w:rsidRDefault="001079F5" w:rsidP="001079F5">
            <w:pPr>
              <w:widowControl w:val="0"/>
              <w:tabs>
                <w:tab w:val="left" w:pos="0"/>
                <w:tab w:val="left" w:pos="144"/>
              </w:tabs>
            </w:pPr>
            <w:r>
              <w:t>T</w:t>
            </w:r>
            <w:r w:rsidRPr="00B716A8">
              <w:t>he record shows that you are attending school full-time instead of working, indicating an ability for employment/you are attending school part-time and working part-time because you are in school, indicating an ability for employment.</w:t>
            </w:r>
          </w:p>
          <w:p w:rsidR="00E43D4D" w:rsidRDefault="00E43D4D" w:rsidP="00CB1849">
            <w:pPr>
              <w:widowControl w:val="0"/>
              <w:tabs>
                <w:tab w:val="left" w:pos="0"/>
                <w:tab w:val="left" w:pos="144"/>
              </w:tabs>
              <w:rPr>
                <w:color w:val="000000"/>
              </w:rPr>
            </w:pPr>
          </w:p>
          <w:p w:rsidR="00CB1849" w:rsidRPr="00CB1849" w:rsidRDefault="00F67DDA" w:rsidP="00CB1849">
            <w:pPr>
              <w:widowControl w:val="0"/>
              <w:tabs>
                <w:tab w:val="left" w:pos="0"/>
                <w:tab w:val="left" w:pos="144"/>
              </w:tabs>
            </w:pPr>
            <w:r>
              <w:rPr>
                <w:rFonts w:ascii="Verdana" w:hAnsi="Verdana"/>
                <w:b/>
                <w:bCs/>
                <w:highlight w:val="green"/>
              </w:rPr>
              <w:t>PV_HX2</w:t>
            </w:r>
            <w:r w:rsidR="00EB0B96">
              <w:rPr>
                <w:color w:val="000000"/>
              </w:rPr>
              <w:t xml:space="preserve"> </w:t>
            </w:r>
            <w:r w:rsidR="00CB1849" w:rsidRPr="00CB1849">
              <w:rPr>
                <w:color w:val="000000"/>
              </w:rPr>
              <w:t xml:space="preserve">Despite …, your </w:t>
            </w:r>
            <w:r w:rsidR="00CB1849">
              <w:rPr>
                <w:color w:val="000000"/>
              </w:rPr>
              <w:t>attending school, your service in the Reserves</w:t>
            </w:r>
            <w:r w:rsidR="00E43D4D">
              <w:rPr>
                <w:color w:val="000000"/>
              </w:rPr>
              <w:t>,</w:t>
            </w:r>
            <w:r w:rsidR="00CB1849">
              <w:rPr>
                <w:color w:val="000000"/>
              </w:rPr>
              <w:t xml:space="preserve"> your</w:t>
            </w:r>
            <w:r w:rsidR="00E43D4D">
              <w:rPr>
                <w:color w:val="000000"/>
              </w:rPr>
              <w:t xml:space="preserve"> recent</w:t>
            </w:r>
            <w:r w:rsidR="00CB1849">
              <w:rPr>
                <w:color w:val="000000"/>
              </w:rPr>
              <w:t xml:space="preserve"> working </w:t>
            </w:r>
            <w:r w:rsidR="00E43D4D">
              <w:rPr>
                <w:color w:val="000000"/>
              </w:rPr>
              <w:t xml:space="preserve">and your participation in </w:t>
            </w:r>
            <w:r w:rsidR="00E43D4D" w:rsidRPr="00E43D4D">
              <w:rPr>
                <w:color w:val="000000"/>
              </w:rPr>
              <w:t>Vocational Rehabilitation &amp; Employment</w:t>
            </w:r>
            <w:r w:rsidR="00E43D4D">
              <w:rPr>
                <w:color w:val="000000"/>
              </w:rPr>
              <w:t xml:space="preserve"> </w:t>
            </w:r>
            <w:r w:rsidR="00CB1849">
              <w:rPr>
                <w:color w:val="000000"/>
              </w:rPr>
              <w:t>all</w:t>
            </w:r>
            <w:r w:rsidR="00CB1849" w:rsidRPr="00CB1849">
              <w:rPr>
                <w:color w:val="000000"/>
              </w:rPr>
              <w:t xml:space="preserve"> indicate an ability for employment.</w:t>
            </w:r>
          </w:p>
          <w:p w:rsidR="009D21D1" w:rsidRDefault="009D21D1" w:rsidP="00BA17F2">
            <w:pPr>
              <w:widowControl w:val="0"/>
              <w:tabs>
                <w:tab w:val="left" w:pos="0"/>
                <w:tab w:val="left" w:pos="144"/>
              </w:tabs>
            </w:pPr>
          </w:p>
          <w:p w:rsidR="009D21D1" w:rsidRDefault="009D21D1" w:rsidP="00BA17F2">
            <w:pPr>
              <w:widowControl w:val="0"/>
              <w:tabs>
                <w:tab w:val="left" w:pos="0"/>
                <w:tab w:val="left" w:pos="144"/>
              </w:tabs>
            </w:pPr>
            <w:r w:rsidRPr="00000E48">
              <w:rPr>
                <w:b/>
                <w:i/>
              </w:rPr>
              <w:t>Faust v. West</w:t>
            </w:r>
            <w:r w:rsidRPr="00224E7B">
              <w:rPr>
                <w:i/>
              </w:rPr>
              <w:t xml:space="preserve"> </w:t>
            </w:r>
            <w:r w:rsidRPr="00224E7B">
              <w:t xml:space="preserve">(2000) </w:t>
            </w:r>
            <w:r>
              <w:t>-</w:t>
            </w:r>
          </w:p>
          <w:p w:rsidR="009D21D1" w:rsidRPr="00B716A8" w:rsidRDefault="009D21D1" w:rsidP="00BA17F2">
            <w:pPr>
              <w:widowControl w:val="0"/>
              <w:tabs>
                <w:tab w:val="left" w:pos="0"/>
                <w:tab w:val="left" w:pos="144"/>
              </w:tabs>
            </w:pPr>
            <w:r>
              <w:t>Y</w:t>
            </w:r>
            <w:r w:rsidRPr="009D21D1">
              <w:t xml:space="preserve">ou </w:t>
            </w:r>
            <w:r>
              <w:t>are</w:t>
            </w:r>
            <w:r w:rsidRPr="009D21D1">
              <w:t xml:space="preserve"> considered capable of engaging in a substantiall</w:t>
            </w:r>
            <w:r>
              <w:t>y gainful occupation since you are</w:t>
            </w:r>
            <w:r w:rsidRPr="009D21D1">
              <w:t xml:space="preserve"> working and making an annual income that exceeds the poverty threshold for one person (irrespective of the number of</w:t>
            </w:r>
            <w:r>
              <w:t xml:space="preserve"> hours or days that you work).</w:t>
            </w:r>
            <w:r w:rsidR="00D309F5">
              <w:t xml:space="preserve"> </w:t>
            </w:r>
            <w:r w:rsidR="00D309F5" w:rsidRPr="001D615F">
              <w:rPr>
                <w:rFonts w:ascii="Verdana" w:hAnsi="Verdana"/>
                <w:b/>
                <w:bCs/>
                <w:highlight w:val="green"/>
              </w:rPr>
              <w:t>IU</w:t>
            </w:r>
            <w:r w:rsidR="00A60703" w:rsidRPr="001D615F">
              <w:rPr>
                <w:rFonts w:ascii="Verdana" w:hAnsi="Verdana"/>
                <w:b/>
                <w:bCs/>
                <w:highlight w:val="green"/>
              </w:rPr>
              <w:t>1</w:t>
            </w:r>
          </w:p>
          <w:p w:rsidR="00BA17F2" w:rsidRDefault="00BB184F">
            <w:pPr>
              <w:widowControl w:val="0"/>
              <w:tabs>
                <w:tab w:val="left" w:pos="0"/>
                <w:tab w:val="left" w:pos="144"/>
              </w:tabs>
            </w:pPr>
            <w:r w:rsidRPr="00BB184F">
              <w:rPr>
                <w:b/>
              </w:rPr>
              <w:t>IV.ii.2.f.9.b</w:t>
            </w:r>
            <w:r>
              <w:t xml:space="preserve"> – poverty thresholds</w:t>
            </w:r>
          </w:p>
          <w:p w:rsidR="00BB184F" w:rsidRDefault="00BB184F">
            <w:pPr>
              <w:widowControl w:val="0"/>
              <w:tabs>
                <w:tab w:val="left" w:pos="0"/>
                <w:tab w:val="left" w:pos="144"/>
              </w:tabs>
            </w:pPr>
          </w:p>
          <w:p w:rsidR="00136453" w:rsidRDefault="002B613A">
            <w:pPr>
              <w:widowControl w:val="0"/>
              <w:tabs>
                <w:tab w:val="left" w:pos="0"/>
                <w:tab w:val="left" w:pos="144"/>
              </w:tabs>
            </w:pPr>
            <w:r w:rsidRPr="002B613A">
              <w:rPr>
                <w:b/>
              </w:rPr>
              <w:t>IV.ii.2.F.1.b</w:t>
            </w:r>
            <w:r>
              <w:t xml:space="preserve"> </w:t>
            </w:r>
            <w:r w:rsidR="00136453">
              <w:t>–</w:t>
            </w:r>
            <w:r>
              <w:t xml:space="preserve"> </w:t>
            </w:r>
          </w:p>
          <w:p w:rsidR="00BA17F2" w:rsidRDefault="00013EB8">
            <w:pPr>
              <w:widowControl w:val="0"/>
              <w:tabs>
                <w:tab w:val="left" w:pos="0"/>
                <w:tab w:val="left" w:pos="144"/>
              </w:tabs>
            </w:pPr>
            <w:r>
              <w:t xml:space="preserve">Please note that being unemployed and being unemployable are not the same. Your service-connected disabilities are not shown to be of such severity as to render you </w:t>
            </w:r>
            <w:r w:rsidR="00136453">
              <w:t>{</w:t>
            </w:r>
            <w:r>
              <w:t>unemployable/unable to secure or follow a substantially gainful occupation</w:t>
            </w:r>
            <w:r w:rsidR="00136453">
              <w:t>}</w:t>
            </w:r>
            <w:r>
              <w:t>.</w:t>
            </w:r>
          </w:p>
          <w:p w:rsidR="00136453" w:rsidRDefault="00013EB8">
            <w:pPr>
              <w:widowControl w:val="0"/>
              <w:tabs>
                <w:tab w:val="left" w:pos="0"/>
                <w:tab w:val="left" w:pos="144"/>
              </w:tabs>
            </w:pPr>
            <w:r>
              <w:rPr>
                <w:b/>
                <w:bCs/>
              </w:rPr>
              <w:t>OR</w:t>
            </w:r>
            <w:r>
              <w:t xml:space="preserve"> </w:t>
            </w:r>
          </w:p>
          <w:p w:rsidR="00BA17F2" w:rsidRDefault="00013EB8">
            <w:pPr>
              <w:widowControl w:val="0"/>
              <w:tabs>
                <w:tab w:val="left" w:pos="0"/>
                <w:tab w:val="left" w:pos="144"/>
              </w:tabs>
            </w:pPr>
            <w:r>
              <w:t xml:space="preserve">Please note that being unemployed and being </w:t>
            </w:r>
            <w:r w:rsidR="00C80F57">
              <w:t xml:space="preserve">unemployable are not the same. </w:t>
            </w:r>
            <w:r>
              <w:t xml:space="preserve">Although your service-connected disabilities may </w:t>
            </w:r>
            <w:r w:rsidR="001B55FD">
              <w:t>{</w:t>
            </w:r>
            <w:r>
              <w:t>impair</w:t>
            </w:r>
            <w:r w:rsidR="001B55FD">
              <w:t>/impact} your work ability</w:t>
            </w:r>
            <w:r>
              <w:t xml:space="preserve">, this is the reason you are being compensated for those disabilities by VA, and there is no evidence that they render you </w:t>
            </w:r>
            <w:r w:rsidR="001B55FD">
              <w:t>{</w:t>
            </w:r>
            <w:r>
              <w:t>unemployable/unable to secure or follow a su</w:t>
            </w:r>
            <w:r w:rsidR="001B55FD">
              <w:t>bstantially gainful occupation}.</w:t>
            </w:r>
          </w:p>
          <w:p w:rsidR="002B613A" w:rsidRDefault="002B613A">
            <w:pPr>
              <w:widowControl w:val="0"/>
              <w:tabs>
                <w:tab w:val="left" w:pos="0"/>
                <w:tab w:val="left" w:pos="144"/>
              </w:tabs>
            </w:pPr>
          </w:p>
          <w:p w:rsidR="002B613A" w:rsidRDefault="002B613A">
            <w:pPr>
              <w:widowControl w:val="0"/>
              <w:tabs>
                <w:tab w:val="left" w:pos="0"/>
                <w:tab w:val="left" w:pos="144"/>
              </w:tabs>
            </w:pPr>
            <w:r w:rsidRPr="002B613A">
              <w:rPr>
                <w:b/>
              </w:rPr>
              <w:t>IV.ii.2.F.1.b</w:t>
            </w:r>
            <w:r>
              <w:t xml:space="preserve"> – Although you are unemployed from {list job} due to {list SC disability}, the VA examiner has indicated that you are capable of securing/following another substantially gainful occupation, specifically {}.</w:t>
            </w:r>
          </w:p>
          <w:p w:rsidR="00BA17F2" w:rsidRDefault="00BA17F2">
            <w:pPr>
              <w:widowControl w:val="0"/>
              <w:tabs>
                <w:tab w:val="left" w:pos="0"/>
                <w:tab w:val="left" w:pos="144"/>
              </w:tabs>
            </w:pPr>
          </w:p>
          <w:p w:rsidR="00505C1B" w:rsidRDefault="00505C1B">
            <w:pPr>
              <w:widowControl w:val="0"/>
              <w:tabs>
                <w:tab w:val="left" w:pos="0"/>
                <w:tab w:val="left" w:pos="144"/>
              </w:tabs>
              <w:rPr>
                <w:rFonts w:ascii="Verdana" w:hAnsi="Verdana"/>
                <w:b/>
                <w:bCs/>
              </w:rPr>
            </w:pPr>
            <w:r>
              <w:rPr>
                <w:rFonts w:ascii="Verdana" w:hAnsi="Verdana"/>
                <w:b/>
                <w:bCs/>
                <w:highlight w:val="green"/>
              </w:rPr>
              <w:t>PV_RAT</w:t>
            </w:r>
          </w:p>
          <w:p w:rsidR="00505C1B" w:rsidRDefault="00505C1B">
            <w:pPr>
              <w:widowControl w:val="0"/>
              <w:tabs>
                <w:tab w:val="left" w:pos="0"/>
                <w:tab w:val="left" w:pos="144"/>
              </w:tabs>
              <w:rPr>
                <w:rFonts w:ascii="Verdana" w:hAnsi="Verdana"/>
                <w:b/>
                <w:bCs/>
              </w:rPr>
            </w:pPr>
          </w:p>
          <w:p w:rsidR="00505C1B" w:rsidRDefault="00505C1B">
            <w:pPr>
              <w:widowControl w:val="0"/>
              <w:tabs>
                <w:tab w:val="left" w:pos="0"/>
                <w:tab w:val="left" w:pos="144"/>
              </w:tabs>
            </w:pPr>
            <w:r>
              <w:rPr>
                <w:rFonts w:ascii="Verdana" w:hAnsi="Verdana"/>
                <w:b/>
                <w:bCs/>
                <w:highlight w:val="green"/>
              </w:rPr>
              <w:t>PV_HX</w:t>
            </w:r>
          </w:p>
          <w:p w:rsidR="00505C1B" w:rsidRDefault="00505C1B">
            <w:pPr>
              <w:widowControl w:val="0"/>
              <w:tabs>
                <w:tab w:val="left" w:pos="0"/>
                <w:tab w:val="left" w:pos="144"/>
              </w:tabs>
            </w:pPr>
          </w:p>
          <w:p w:rsidR="00013EB8" w:rsidRDefault="00013EB8">
            <w:pPr>
              <w:widowControl w:val="0"/>
              <w:tabs>
                <w:tab w:val="left" w:pos="0"/>
                <w:tab w:val="left" w:pos="144"/>
              </w:tabs>
            </w:pPr>
            <w:r w:rsidRPr="004B6EAA">
              <w:t>Since the evidence does not show that you are unemployable due to service-connected disabilities, we cannot establish entitlement to individual unemployability.</w:t>
            </w:r>
          </w:p>
          <w:p w:rsidR="00013EB8" w:rsidRDefault="00013EB8">
            <w:pPr>
              <w:pStyle w:val="Header"/>
              <w:widowControl w:val="0"/>
              <w:tabs>
                <w:tab w:val="clear" w:pos="4320"/>
                <w:tab w:val="clear" w:pos="8640"/>
              </w:tabs>
            </w:pPr>
          </w:p>
          <w:p w:rsidR="001F7B4B" w:rsidRDefault="006B6E8B">
            <w:pPr>
              <w:pStyle w:val="Header"/>
              <w:widowControl w:val="0"/>
              <w:tabs>
                <w:tab w:val="clear" w:pos="4320"/>
                <w:tab w:val="clear" w:pos="8640"/>
              </w:tabs>
            </w:pPr>
            <w:r>
              <w:t>**********</w:t>
            </w:r>
          </w:p>
          <w:p w:rsidR="004C58FB" w:rsidRDefault="00920C5C" w:rsidP="004C58FB">
            <w:pPr>
              <w:widowControl w:val="0"/>
              <w:numPr>
                <w:ilvl w:val="12"/>
                <w:numId w:val="0"/>
              </w:numPr>
              <w:tabs>
                <w:tab w:val="left" w:pos="0"/>
              </w:tabs>
            </w:pPr>
            <w:r>
              <w:t>If granting 100%</w:t>
            </w:r>
            <w:r w:rsidR="008416E2">
              <w:t xml:space="preserve"> (</w:t>
            </w:r>
            <w:r w:rsidR="008416E2" w:rsidRPr="008416E2">
              <w:rPr>
                <w:i/>
                <w:color w:val="00B050"/>
              </w:rPr>
              <w:t xml:space="preserve">My Notes:  </w:t>
            </w:r>
            <w:r w:rsidR="008416E2">
              <w:rPr>
                <w:i/>
              </w:rPr>
              <w:t>It s</w:t>
            </w:r>
            <w:r w:rsidR="008416E2" w:rsidRPr="008416E2">
              <w:rPr>
                <w:i/>
              </w:rPr>
              <w:t>ays “a single SC disability rated 100-percent disabling</w:t>
            </w:r>
            <w:r w:rsidR="001946CC">
              <w:rPr>
                <w:i/>
              </w:rPr>
              <w:t>,”</w:t>
            </w:r>
            <w:r w:rsidR="008416E2" w:rsidRPr="008416E2">
              <w:rPr>
                <w:i/>
              </w:rPr>
              <w:t xml:space="preserve"> but it’s also moot with a combined 100%</w:t>
            </w:r>
            <w:r w:rsidR="008416E2">
              <w:rPr>
                <w:i/>
              </w:rPr>
              <w:t xml:space="preserve"> &amp; below says “your service-connected disabilities</w:t>
            </w:r>
            <w:r w:rsidR="001946CC">
              <w:rPr>
                <w:i/>
              </w:rPr>
              <w:t>.”</w:t>
            </w:r>
            <w:r w:rsidR="008416E2" w:rsidRPr="008416E2">
              <w:rPr>
                <w:i/>
              </w:rPr>
              <w:t>)</w:t>
            </w:r>
            <w:r w:rsidR="001D09B0">
              <w:rPr>
                <w:i/>
              </w:rPr>
              <w:t xml:space="preserve"> </w:t>
            </w:r>
            <w:r w:rsidR="00D7696B" w:rsidRPr="00D7696B">
              <w:rPr>
                <w:b/>
              </w:rPr>
              <w:t>IV.ii.2.F.4.h</w:t>
            </w:r>
            <w:r w:rsidR="00D7696B">
              <w:t xml:space="preserve"> says need to deny separately as free text issue:</w:t>
            </w:r>
          </w:p>
          <w:p w:rsidR="00106FE1" w:rsidRDefault="00106FE1" w:rsidP="004C58FB">
            <w:pPr>
              <w:widowControl w:val="0"/>
              <w:numPr>
                <w:ilvl w:val="12"/>
                <w:numId w:val="0"/>
              </w:numPr>
              <w:tabs>
                <w:tab w:val="left" w:pos="0"/>
              </w:tabs>
            </w:pPr>
          </w:p>
          <w:p w:rsidR="00D7696B" w:rsidRDefault="00D7696B" w:rsidP="00D7696B">
            <w:pPr>
              <w:contextualSpacing/>
            </w:pPr>
            <w:r w:rsidRPr="00D7696B">
              <w:rPr>
                <w:i/>
              </w:rPr>
              <w:t xml:space="preserve">Issue:  </w:t>
            </w:r>
            <w:r w:rsidRPr="00D7696B">
              <w:t>Entitlement to individual unemployability.</w:t>
            </w:r>
          </w:p>
          <w:p w:rsidR="00106FE1" w:rsidRPr="00D7696B" w:rsidRDefault="00106FE1" w:rsidP="00D7696B">
            <w:pPr>
              <w:contextualSpacing/>
              <w:rPr>
                <w:i/>
              </w:rPr>
            </w:pPr>
          </w:p>
          <w:p w:rsidR="00D7696B" w:rsidRPr="00D7696B" w:rsidRDefault="00D7696B" w:rsidP="00D7696B">
            <w:pPr>
              <w:contextualSpacing/>
            </w:pPr>
            <w:r w:rsidRPr="00D7696B">
              <w:rPr>
                <w:i/>
              </w:rPr>
              <w:t xml:space="preserve">Decision:  </w:t>
            </w:r>
            <w:r w:rsidRPr="00D7696B">
              <w:t xml:space="preserve">Entitlement to individual unemployability is moot.  </w:t>
            </w:r>
          </w:p>
          <w:p w:rsidR="00106FE1" w:rsidRDefault="00106FE1" w:rsidP="00D7696B">
            <w:pPr>
              <w:contextualSpacing/>
              <w:rPr>
                <w:i/>
              </w:rPr>
            </w:pPr>
          </w:p>
          <w:p w:rsidR="00106FE1" w:rsidRDefault="00D7696B" w:rsidP="00D7696B">
            <w:pPr>
              <w:contextualSpacing/>
            </w:pPr>
            <w:r w:rsidRPr="00D7696B">
              <w:rPr>
                <w:i/>
              </w:rPr>
              <w:t>Reasons for Decision:</w:t>
            </w:r>
            <w:r w:rsidRPr="00D7696B">
              <w:t xml:space="preserve">  </w:t>
            </w:r>
          </w:p>
          <w:p w:rsidR="00D7696B" w:rsidRPr="00D7696B" w:rsidRDefault="00D7696B" w:rsidP="00D7696B">
            <w:pPr>
              <w:pStyle w:val="ListParagraph"/>
              <w:spacing w:after="0" w:line="240" w:lineRule="auto"/>
              <w:ind w:left="158"/>
              <w:rPr>
                <w:rFonts w:ascii="Arial" w:hAnsi="Arial"/>
                <w:sz w:val="20"/>
              </w:rPr>
            </w:pPr>
            <w:r w:rsidRPr="00D7696B">
              <w:rPr>
                <w:rFonts w:ascii="Arial" w:hAnsi="Arial"/>
                <w:sz w:val="20"/>
              </w:rPr>
              <w:t>Entitlement to individual unemployability is moot because your service-connected disabilities are evaluated as 100 percent disabling and no potential entitlement to an earlier effective date for a total disability evaluation based on a grant of individual unemployability is warranted by the evidence of record.</w:t>
            </w:r>
          </w:p>
          <w:p w:rsidR="00106FE1" w:rsidRDefault="00106FE1" w:rsidP="00D7696B">
            <w:pPr>
              <w:contextualSpacing/>
            </w:pPr>
          </w:p>
          <w:p w:rsidR="001D1642" w:rsidRPr="00FA4BD0" w:rsidRDefault="00D7696B" w:rsidP="00FA4BD0">
            <w:pPr>
              <w:contextualSpacing/>
              <w:rPr>
                <w:i/>
              </w:rPr>
            </w:pPr>
            <w:r w:rsidRPr="00FA4BD0">
              <w:rPr>
                <w:i/>
              </w:rPr>
              <w:t>*There will be no record of an IU decision on the rating codesheet s</w:t>
            </w:r>
            <w:r w:rsidR="00FA4BD0">
              <w:rPr>
                <w:i/>
              </w:rPr>
              <w:t>ince no decision has been made.</w:t>
            </w:r>
          </w:p>
          <w:p w:rsidR="006B6E8B" w:rsidRDefault="006B6E8B" w:rsidP="001D1642">
            <w:pPr>
              <w:widowControl w:val="0"/>
              <w:numPr>
                <w:ilvl w:val="12"/>
                <w:numId w:val="0"/>
              </w:numPr>
              <w:tabs>
                <w:tab w:val="left" w:pos="0"/>
              </w:tabs>
              <w:rPr>
                <w:iCs/>
              </w:rPr>
            </w:pPr>
          </w:p>
          <w:p w:rsidR="006B6E8B" w:rsidRDefault="006B6E8B" w:rsidP="006B6E8B">
            <w:pPr>
              <w:pStyle w:val="Header"/>
              <w:widowControl w:val="0"/>
              <w:tabs>
                <w:tab w:val="clear" w:pos="4320"/>
                <w:tab w:val="clear" w:pos="8640"/>
              </w:tabs>
            </w:pPr>
            <w:r>
              <w:t>**********</w:t>
            </w:r>
          </w:p>
          <w:p w:rsidR="006B6E8B" w:rsidRDefault="006B6E8B" w:rsidP="001D1642">
            <w:pPr>
              <w:widowControl w:val="0"/>
              <w:numPr>
                <w:ilvl w:val="12"/>
                <w:numId w:val="0"/>
              </w:numPr>
              <w:tabs>
                <w:tab w:val="left" w:pos="0"/>
              </w:tabs>
              <w:rPr>
                <w:iCs/>
              </w:rPr>
            </w:pPr>
          </w:p>
          <w:p w:rsidR="006B6E8B" w:rsidRDefault="006B6E8B" w:rsidP="006B6E8B">
            <w:pPr>
              <w:widowControl w:val="0"/>
              <w:tabs>
                <w:tab w:val="left" w:pos="0"/>
                <w:tab w:val="left" w:pos="144"/>
              </w:tabs>
              <w:rPr>
                <w:i/>
                <w:iCs/>
              </w:rPr>
            </w:pPr>
            <w:r>
              <w:rPr>
                <w:i/>
                <w:iCs/>
              </w:rPr>
              <w:t>IU i</w:t>
            </w:r>
            <w:r w:rsidR="003C2DF9">
              <w:rPr>
                <w:i/>
                <w:iCs/>
              </w:rPr>
              <w:t>nferred</w:t>
            </w:r>
            <w:r>
              <w:rPr>
                <w:i/>
                <w:iCs/>
              </w:rPr>
              <w:t xml:space="preserve"> (if IU was </w:t>
            </w:r>
            <w:r w:rsidR="003C2DF9">
              <w:rPr>
                <w:i/>
                <w:iCs/>
              </w:rPr>
              <w:t>inferred</w:t>
            </w:r>
            <w:r>
              <w:rPr>
                <w:i/>
                <w:iCs/>
              </w:rPr>
              <w:t>):</w:t>
            </w:r>
          </w:p>
          <w:p w:rsidR="006B6E8B" w:rsidRDefault="006B6E8B" w:rsidP="006B6E8B">
            <w:pPr>
              <w:widowControl w:val="0"/>
              <w:tabs>
                <w:tab w:val="left" w:pos="0"/>
                <w:tab w:val="left" w:pos="144"/>
              </w:tabs>
              <w:rPr>
                <w:i/>
                <w:iCs/>
              </w:rPr>
            </w:pPr>
            <w:r>
              <w:rPr>
                <w:i/>
                <w:iCs/>
              </w:rPr>
              <w:t xml:space="preserve">Juris:  </w:t>
            </w:r>
            <w:r>
              <w:t>Same as pending claim with IU</w:t>
            </w:r>
            <w:r w:rsidR="003C2DF9">
              <w:t xml:space="preserve"> inferred &amp; </w:t>
            </w:r>
            <w:r>
              <w:t>deferred</w:t>
            </w:r>
          </w:p>
          <w:p w:rsidR="006B6E8B" w:rsidRDefault="006B6E8B" w:rsidP="006B6E8B">
            <w:pPr>
              <w:widowControl w:val="0"/>
              <w:tabs>
                <w:tab w:val="left" w:pos="0"/>
                <w:tab w:val="left" w:pos="144"/>
              </w:tabs>
            </w:pPr>
            <w:r>
              <w:rPr>
                <w:i/>
                <w:iCs/>
              </w:rPr>
              <w:t xml:space="preserve">Evidence: </w:t>
            </w:r>
            <w:r>
              <w:t>Rating Decision and all evidence contained therein, dated {}, and award notification letter dated {}</w:t>
            </w:r>
          </w:p>
          <w:p w:rsidR="006B6E8B" w:rsidRDefault="006B6E8B" w:rsidP="006B6E8B">
            <w:pPr>
              <w:pStyle w:val="Header"/>
              <w:widowControl w:val="0"/>
              <w:tabs>
                <w:tab w:val="clear" w:pos="4320"/>
                <w:tab w:val="clear" w:pos="8640"/>
              </w:tabs>
            </w:pPr>
          </w:p>
          <w:p w:rsidR="006B6E8B" w:rsidRDefault="006B6E8B" w:rsidP="006B6E8B">
            <w:pPr>
              <w:pStyle w:val="Header"/>
              <w:widowControl w:val="0"/>
              <w:tabs>
                <w:tab w:val="clear" w:pos="4320"/>
                <w:tab w:val="clear" w:pos="8640"/>
              </w:tabs>
            </w:pPr>
            <w:r>
              <w:t>**********</w:t>
            </w:r>
          </w:p>
          <w:p w:rsidR="006B6E8B" w:rsidRDefault="006B6E8B" w:rsidP="006B6E8B">
            <w:pPr>
              <w:pStyle w:val="Header"/>
              <w:widowControl w:val="0"/>
              <w:tabs>
                <w:tab w:val="clear" w:pos="4320"/>
                <w:tab w:val="clear" w:pos="8640"/>
              </w:tabs>
            </w:pPr>
          </w:p>
          <w:p w:rsidR="006B6E8B" w:rsidRDefault="00D571C5" w:rsidP="006B6E8B">
            <w:pPr>
              <w:spacing w:after="120"/>
              <w:rPr>
                <w:rFonts w:eastAsiaTheme="minorHAnsi"/>
              </w:rPr>
            </w:pPr>
            <w:hyperlink r:id="rId277" w:history="1">
              <w:r w:rsidR="006B6E8B" w:rsidRPr="00F41D7B">
                <w:rPr>
                  <w:rStyle w:val="Hyperlink"/>
                  <w:rFonts w:eastAsiaTheme="minorHAnsi"/>
                  <w:b/>
                  <w:i/>
                </w:rPr>
                <w:t>ADL SOP March 2014</w:t>
              </w:r>
            </w:hyperlink>
            <w:r w:rsidR="006B6E8B" w:rsidRPr="00F41D7B">
              <w:rPr>
                <w:rFonts w:eastAsiaTheme="minorHAnsi"/>
                <w:b/>
                <w:i/>
                <w:u w:val="single"/>
              </w:rPr>
              <w:t xml:space="preserve"> </w:t>
            </w:r>
            <w:r w:rsidR="006B6E8B" w:rsidRPr="00F41D7B">
              <w:rPr>
                <w:rFonts w:eastAsiaTheme="minorHAnsi"/>
              </w:rPr>
              <w:t>– IU When There Is No Complete VA Form 21-8940</w:t>
            </w:r>
          </w:p>
          <w:p w:rsidR="006B6E8B" w:rsidRDefault="006B6E8B" w:rsidP="006B6E8B">
            <w:pPr>
              <w:rPr>
                <w:rFonts w:eastAsiaTheme="minorHAnsi"/>
              </w:rPr>
            </w:pPr>
            <w:r>
              <w:rPr>
                <w:rFonts w:eastAsiaTheme="minorHAnsi"/>
              </w:rPr>
              <w:t xml:space="preserve">if does not return completed 8940, in </w:t>
            </w:r>
            <w:r w:rsidRPr="004E16AB">
              <w:rPr>
                <w:rFonts w:ascii="Verdana" w:hAnsi="Verdana"/>
                <w:b/>
                <w:highlight w:val="green"/>
              </w:rPr>
              <w:t>VBMS-</w:t>
            </w:r>
            <w:r>
              <w:rPr>
                <w:rFonts w:ascii="Verdana" w:hAnsi="Verdana"/>
                <w:b/>
                <w:highlight w:val="green"/>
              </w:rPr>
              <w:t xml:space="preserve">R, select “IU Deny – Failure to Return Form 21-8940” *Use </w:t>
            </w:r>
            <w:r w:rsidR="006505A3">
              <w:rPr>
                <w:rFonts w:ascii="Verdana" w:hAnsi="Verdana"/>
                <w:b/>
                <w:highlight w:val="green"/>
              </w:rPr>
              <w:t xml:space="preserve">VBMS-R </w:t>
            </w:r>
            <w:r>
              <w:rPr>
                <w:rFonts w:ascii="Verdana" w:hAnsi="Verdana"/>
                <w:b/>
                <w:highlight w:val="green"/>
              </w:rPr>
              <w:t>generated text</w:t>
            </w:r>
            <w:r>
              <w:rPr>
                <w:rFonts w:eastAsiaTheme="minorHAnsi"/>
              </w:rPr>
              <w:t xml:space="preserve"> (same text as listed at </w:t>
            </w:r>
            <w:r w:rsidR="00A37C24">
              <w:rPr>
                <w:rFonts w:eastAsiaTheme="minorHAnsi"/>
                <w:b/>
              </w:rPr>
              <w:t>IV.ii.2.F.4.m</w:t>
            </w:r>
            <w:r>
              <w:rPr>
                <w:rFonts w:eastAsiaTheme="minorHAnsi"/>
              </w:rPr>
              <w:t>)</w:t>
            </w:r>
            <w:r w:rsidR="006505A3">
              <w:rPr>
                <w:rFonts w:eastAsiaTheme="minorHAnsi"/>
              </w:rPr>
              <w:t>, which is:</w:t>
            </w:r>
          </w:p>
          <w:p w:rsidR="006505A3" w:rsidRPr="006505A3" w:rsidRDefault="006505A3" w:rsidP="006505A3">
            <w:pPr>
              <w:overflowPunct/>
              <w:autoSpaceDE/>
              <w:autoSpaceDN/>
              <w:adjustRightInd/>
              <w:textAlignment w:val="auto"/>
              <w:rPr>
                <w:rFonts w:ascii="Times New Roman" w:hAnsi="Times New Roman" w:cs="Times New Roman"/>
                <w:sz w:val="24"/>
                <w:szCs w:val="24"/>
              </w:rPr>
            </w:pPr>
            <w:r w:rsidRPr="006505A3">
              <w:rPr>
                <w:i/>
                <w:iCs/>
                <w:sz w:val="21"/>
                <w:szCs w:val="21"/>
              </w:rPr>
              <w:t>Entitlement to individual unemployability is denied because you have not been found unable to secure or follow a substantially gainful occupation as a result of service connected disabilities.</w:t>
            </w:r>
          </w:p>
          <w:p w:rsidR="006505A3" w:rsidRPr="006505A3" w:rsidRDefault="006505A3" w:rsidP="006505A3">
            <w:pPr>
              <w:overflowPunct/>
              <w:autoSpaceDE/>
              <w:autoSpaceDN/>
              <w:adjustRightInd/>
              <w:textAlignment w:val="auto"/>
              <w:rPr>
                <w:rFonts w:ascii="Times New Roman" w:hAnsi="Times New Roman" w:cs="Times New Roman"/>
                <w:sz w:val="24"/>
                <w:szCs w:val="24"/>
              </w:rPr>
            </w:pPr>
            <w:r w:rsidRPr="006505A3">
              <w:rPr>
                <w:sz w:val="24"/>
                <w:szCs w:val="24"/>
              </w:rPr>
              <w:t xml:space="preserve">  </w:t>
            </w:r>
          </w:p>
          <w:p w:rsidR="006B6E8B" w:rsidRPr="006505A3" w:rsidRDefault="006505A3" w:rsidP="006505A3">
            <w:pPr>
              <w:overflowPunct/>
              <w:autoSpaceDE/>
              <w:autoSpaceDN/>
              <w:adjustRightInd/>
              <w:textAlignment w:val="auto"/>
              <w:rPr>
                <w:rFonts w:ascii="Times New Roman" w:hAnsi="Times New Roman" w:cs="Times New Roman"/>
                <w:sz w:val="24"/>
                <w:szCs w:val="24"/>
              </w:rPr>
            </w:pPr>
            <w:r w:rsidRPr="006505A3">
              <w:rPr>
                <w:i/>
                <w:iCs/>
                <w:sz w:val="21"/>
                <w:szCs w:val="21"/>
              </w:rPr>
              <w:t xml:space="preserve">On </w:t>
            </w:r>
            <w:r w:rsidRPr="006505A3">
              <w:rPr>
                <w:b/>
                <w:bCs/>
                <w:i/>
                <w:iCs/>
                <w:sz w:val="21"/>
                <w:szCs w:val="21"/>
              </w:rPr>
              <w:t>[insert the date of the development letter that initially requested completion of the VA Form 21-8940 as Month DD, YYYY],</w:t>
            </w:r>
            <w:r w:rsidRPr="006505A3">
              <w:rPr>
                <w:i/>
                <w:iCs/>
                <w:sz w:val="21"/>
                <w:szCs w:val="21"/>
              </w:rPr>
              <w:t xml:space="preserve"> we wrote and asked you to send us a completed VA Form 21-8940, Veteran’s Application for Increased Compensation Based on Unemployability.  As of this date, we have not received a complete VA Form 21-8940.  This form is required to further consider your claim.</w:t>
            </w:r>
          </w:p>
        </w:tc>
      </w:tr>
      <w:tr w:rsidR="00581371" w:rsidTr="00581371">
        <w:tc>
          <w:tcPr>
            <w:tcW w:w="2365" w:type="dxa"/>
          </w:tcPr>
          <w:p w:rsidR="00581371" w:rsidRDefault="00581371" w:rsidP="0048384F">
            <w:pPr>
              <w:pStyle w:val="TableofFigures"/>
              <w:widowControl w:val="0"/>
              <w:rPr>
                <w:rFonts w:ascii="Arial" w:hAnsi="Arial"/>
                <w:smallCaps w:val="0"/>
                <w:szCs w:val="24"/>
              </w:rPr>
            </w:pPr>
            <w:bookmarkStart w:id="54" w:name="P29FreeText"/>
            <w:r>
              <w:rPr>
                <w:rFonts w:ascii="Verdana" w:hAnsi="Verdana"/>
                <w:b/>
                <w:bCs/>
                <w:highlight w:val="green"/>
              </w:rPr>
              <w:t>P29_21</w:t>
            </w:r>
            <w:r>
              <w:rPr>
                <w:rFonts w:ascii="Arial" w:hAnsi="Arial"/>
                <w:smallCaps w:val="0"/>
                <w:szCs w:val="24"/>
              </w:rPr>
              <w:t>Free Text</w:t>
            </w:r>
          </w:p>
          <w:bookmarkEnd w:id="54"/>
          <w:p w:rsidR="00581371" w:rsidRDefault="00581371" w:rsidP="0048384F"/>
          <w:p w:rsidR="00581371" w:rsidRPr="0065327C" w:rsidRDefault="00581371" w:rsidP="0048384F">
            <w:pPr>
              <w:widowControl w:val="0"/>
              <w:rPr>
                <w:sz w:val="16"/>
              </w:rPr>
            </w:pPr>
            <w:r w:rsidRPr="0065327C">
              <w:rPr>
                <w:i/>
                <w:iCs/>
                <w:sz w:val="16"/>
              </w:rPr>
              <w:t xml:space="preserve">Issue:  </w:t>
            </w:r>
            <w:r w:rsidRPr="0065327C">
              <w:rPr>
                <w:sz w:val="16"/>
              </w:rPr>
              <w:t>Entitlement to a temporary total evaluation because of hospital treatment in excess of 21 days for {}.</w:t>
            </w:r>
          </w:p>
          <w:p w:rsidR="00581371" w:rsidRPr="0065327C" w:rsidRDefault="00581371" w:rsidP="0048384F">
            <w:pPr>
              <w:widowControl w:val="0"/>
              <w:rPr>
                <w:sz w:val="16"/>
              </w:rPr>
            </w:pPr>
          </w:p>
          <w:p w:rsidR="00581371" w:rsidRPr="0065327C" w:rsidRDefault="00581371" w:rsidP="0048384F">
            <w:pPr>
              <w:pStyle w:val="Header"/>
              <w:widowControl w:val="0"/>
              <w:tabs>
                <w:tab w:val="clear" w:pos="4320"/>
                <w:tab w:val="clear" w:pos="8640"/>
              </w:tabs>
              <w:rPr>
                <w:sz w:val="16"/>
              </w:rPr>
            </w:pPr>
            <w:r w:rsidRPr="0065327C">
              <w:rPr>
                <w:i/>
                <w:iCs/>
                <w:sz w:val="16"/>
              </w:rPr>
              <w:t xml:space="preserve">Decision:  </w:t>
            </w:r>
            <w:r w:rsidRPr="0065327C">
              <w:rPr>
                <w:sz w:val="16"/>
              </w:rPr>
              <w:t>Entitlement to a temporary total evaluation because of hospital treatment in excess of 21 days is denied.</w:t>
            </w:r>
          </w:p>
          <w:p w:rsidR="00581371" w:rsidRDefault="00581371" w:rsidP="0048384F"/>
          <w:p w:rsidR="006664D3" w:rsidRPr="006664D3" w:rsidRDefault="006664D3" w:rsidP="0048384F">
            <w:r w:rsidRPr="006664D3">
              <w:rPr>
                <w:rStyle w:val="Strong"/>
                <w:bCs w:val="0"/>
                <w:sz w:val="18"/>
                <w:szCs w:val="21"/>
              </w:rPr>
              <w:t>IV.ii.2.J.2.f</w:t>
            </w:r>
          </w:p>
        </w:tc>
        <w:tc>
          <w:tcPr>
            <w:tcW w:w="8381" w:type="dxa"/>
          </w:tcPr>
          <w:p w:rsidR="006664D3" w:rsidRDefault="006664D3" w:rsidP="006664D3">
            <w:pPr>
              <w:pStyle w:val="Header"/>
              <w:widowControl w:val="0"/>
              <w:tabs>
                <w:tab w:val="clear" w:pos="4320"/>
                <w:tab w:val="clear" w:pos="8640"/>
              </w:tabs>
            </w:pPr>
            <w:r>
              <w:t xml:space="preserve">Treatment as a resident in a State Veterans’ home does not qualify for a temporary total evaluation. </w:t>
            </w:r>
          </w:p>
          <w:p w:rsidR="006664D3" w:rsidRDefault="006664D3" w:rsidP="0048384F">
            <w:pPr>
              <w:pStyle w:val="Header"/>
              <w:widowControl w:val="0"/>
              <w:tabs>
                <w:tab w:val="clear" w:pos="4320"/>
                <w:tab w:val="clear" w:pos="8640"/>
              </w:tabs>
            </w:pPr>
          </w:p>
          <w:p w:rsidR="006664D3" w:rsidRDefault="006664D3" w:rsidP="0048384F">
            <w:pPr>
              <w:pStyle w:val="Header"/>
              <w:widowControl w:val="0"/>
              <w:tabs>
                <w:tab w:val="clear" w:pos="4320"/>
                <w:tab w:val="clear" w:pos="8640"/>
              </w:tabs>
            </w:pPr>
            <w:r>
              <w:t>Residence at a VA domiciliary program</w:t>
            </w:r>
            <w:r w:rsidR="00C64A84">
              <w:t xml:space="preserve"> (</w:t>
            </w:r>
            <w:r w:rsidR="00C64A84" w:rsidRPr="00C64A84">
              <w:rPr>
                <w:i/>
              </w:rPr>
              <w:t>ASPIRE, then 5A-PRRTP / PRRP / RRTP</w:t>
            </w:r>
            <w:r w:rsidR="00DF71CE">
              <w:rPr>
                <w:i/>
              </w:rPr>
              <w:t xml:space="preserve"> / DRRTP</w:t>
            </w:r>
            <w:r w:rsidR="00C64A84" w:rsidRPr="00C64A84">
              <w:rPr>
                <w:i/>
              </w:rPr>
              <w:t>, name is unclear, see my notes below</w:t>
            </w:r>
            <w:r w:rsidR="00C64A84">
              <w:t>)</w:t>
            </w:r>
            <w:r>
              <w:t xml:space="preserve"> does not qualify for a temporary total evaluation</w:t>
            </w:r>
            <w:r w:rsidR="00C64A84">
              <w:t xml:space="preserve"> unless it is required as part of a day hospital program of treatment</w:t>
            </w:r>
            <w:r w:rsidR="002A5309">
              <w:t xml:space="preserve"> </w:t>
            </w:r>
            <w:r w:rsidR="00766A97">
              <w:t>consistent with hospital care.</w:t>
            </w:r>
          </w:p>
          <w:p w:rsidR="00EA2C93" w:rsidRDefault="00EA2C93" w:rsidP="0048384F">
            <w:pPr>
              <w:pStyle w:val="Header"/>
              <w:widowControl w:val="0"/>
              <w:tabs>
                <w:tab w:val="clear" w:pos="4320"/>
                <w:tab w:val="clear" w:pos="8640"/>
              </w:tabs>
            </w:pPr>
            <w:r>
              <w:rPr>
                <w:b/>
                <w:bCs/>
                <w:i/>
                <w:iCs/>
              </w:rPr>
              <w:t>February 2018</w:t>
            </w:r>
            <w:r w:rsidRPr="00637BF0">
              <w:rPr>
                <w:b/>
                <w:bCs/>
                <w:i/>
                <w:iCs/>
              </w:rPr>
              <w:t xml:space="preserve"> Compensation Service Bulletin (CSB)</w:t>
            </w:r>
            <w:r w:rsidRPr="00637BF0">
              <w:t xml:space="preserve"> -</w:t>
            </w:r>
            <w:r w:rsidRPr="00637BF0">
              <w:rPr>
                <w:lang w:val="en"/>
              </w:rPr>
              <w:t xml:space="preserve"> </w:t>
            </w:r>
            <w:r>
              <w:t>The ASPIRE program is a Residential Rehabilitation Treatment Program (RRTP) that promotes recovery in Veterans, particularly those who returned from the wars in Iraq and Afghanistan.  Since the level of care at ASPIRE does not equate to “hospitalization” under 38 CFR 4.29, Veterans would not be eligible for a temporary 100% evaluation.</w:t>
            </w:r>
          </w:p>
          <w:p w:rsidR="00EA2C93" w:rsidRDefault="009C6E98" w:rsidP="0048384F">
            <w:pPr>
              <w:pStyle w:val="Header"/>
              <w:widowControl w:val="0"/>
              <w:tabs>
                <w:tab w:val="clear" w:pos="4320"/>
                <w:tab w:val="clear" w:pos="8640"/>
              </w:tabs>
            </w:pPr>
            <w:r>
              <w:t>VHA Handbook 1162.02 shows many Programs:</w:t>
            </w:r>
          </w:p>
          <w:p w:rsidR="009C6E98" w:rsidRDefault="009C6E98" w:rsidP="009C6E98">
            <w:pPr>
              <w:pStyle w:val="Header"/>
              <w:widowControl w:val="0"/>
              <w:numPr>
                <w:ilvl w:val="0"/>
                <w:numId w:val="444"/>
              </w:numPr>
              <w:tabs>
                <w:tab w:val="clear" w:pos="4320"/>
                <w:tab w:val="clear" w:pos="8640"/>
              </w:tabs>
            </w:pPr>
            <w:r>
              <w:t>Psychosocial Residential Rehabilitation Treatment Program (PRRTP)</w:t>
            </w:r>
          </w:p>
          <w:p w:rsidR="009C6E98" w:rsidRDefault="009C6E98" w:rsidP="009C6E98">
            <w:pPr>
              <w:pStyle w:val="Header"/>
              <w:widowControl w:val="0"/>
              <w:numPr>
                <w:ilvl w:val="0"/>
                <w:numId w:val="444"/>
              </w:numPr>
              <w:tabs>
                <w:tab w:val="clear" w:pos="4320"/>
                <w:tab w:val="clear" w:pos="8640"/>
              </w:tabs>
            </w:pPr>
            <w:r>
              <w:t>Substance Abuse Residential Rehabilitation Treatment Program (SARRTP)</w:t>
            </w:r>
          </w:p>
          <w:p w:rsidR="009C6E98" w:rsidRDefault="009C6E98" w:rsidP="009C6E98">
            <w:pPr>
              <w:pStyle w:val="Header"/>
              <w:widowControl w:val="0"/>
              <w:numPr>
                <w:ilvl w:val="0"/>
                <w:numId w:val="444"/>
              </w:numPr>
              <w:tabs>
                <w:tab w:val="clear" w:pos="4320"/>
                <w:tab w:val="clear" w:pos="8640"/>
              </w:tabs>
            </w:pPr>
            <w:r>
              <w:t>Post-Traumatic Stress Disorder Residential Rehabilitation Treatment Program (PTSD-RRTP)</w:t>
            </w:r>
          </w:p>
          <w:p w:rsidR="009C6E98" w:rsidRPr="00EA2C93" w:rsidRDefault="009C6E98" w:rsidP="009C6E98">
            <w:pPr>
              <w:pStyle w:val="Header"/>
              <w:widowControl w:val="0"/>
              <w:numPr>
                <w:ilvl w:val="0"/>
                <w:numId w:val="444"/>
              </w:numPr>
              <w:tabs>
                <w:tab w:val="clear" w:pos="4320"/>
                <w:tab w:val="clear" w:pos="8640"/>
              </w:tabs>
            </w:pPr>
            <w:r>
              <w:t>Domiciliary Residential Rehabilitation Treatment Program (DRRTP)</w:t>
            </w:r>
          </w:p>
          <w:p w:rsidR="009C6E98" w:rsidRPr="00EA2C93" w:rsidRDefault="009C6E98" w:rsidP="009C6E98">
            <w:pPr>
              <w:pStyle w:val="Header"/>
              <w:widowControl w:val="0"/>
              <w:numPr>
                <w:ilvl w:val="0"/>
                <w:numId w:val="444"/>
              </w:numPr>
              <w:tabs>
                <w:tab w:val="clear" w:pos="4320"/>
                <w:tab w:val="clear" w:pos="8640"/>
              </w:tabs>
            </w:pPr>
            <w:r>
              <w:t>Domiciliary Care for Homeless Veterans (DCHV)</w:t>
            </w:r>
          </w:p>
          <w:p w:rsidR="009C6E98" w:rsidRPr="00EA2C93" w:rsidRDefault="009C6E98" w:rsidP="009C6E98">
            <w:pPr>
              <w:pStyle w:val="Header"/>
              <w:widowControl w:val="0"/>
              <w:numPr>
                <w:ilvl w:val="0"/>
                <w:numId w:val="444"/>
              </w:numPr>
              <w:tabs>
                <w:tab w:val="clear" w:pos="4320"/>
                <w:tab w:val="clear" w:pos="8640"/>
              </w:tabs>
            </w:pPr>
            <w:r>
              <w:t>Mental Health Residential Rehabilitation Treatment Program (MH-RRTP)</w:t>
            </w:r>
          </w:p>
          <w:p w:rsidR="009C6E98" w:rsidRPr="00EA2C93" w:rsidRDefault="009C6E98" w:rsidP="009C6E98">
            <w:pPr>
              <w:pStyle w:val="Header"/>
              <w:widowControl w:val="0"/>
              <w:numPr>
                <w:ilvl w:val="0"/>
                <w:numId w:val="444"/>
              </w:numPr>
              <w:tabs>
                <w:tab w:val="clear" w:pos="4320"/>
                <w:tab w:val="clear" w:pos="8640"/>
              </w:tabs>
            </w:pPr>
            <w:r>
              <w:t>Compensated Work Therapy-Transitional Residence (CWT-TR)</w:t>
            </w:r>
          </w:p>
          <w:p w:rsidR="006664D3" w:rsidRDefault="006664D3" w:rsidP="0048384F">
            <w:pPr>
              <w:pStyle w:val="Header"/>
              <w:widowControl w:val="0"/>
              <w:tabs>
                <w:tab w:val="clear" w:pos="4320"/>
                <w:tab w:val="clear" w:pos="8640"/>
              </w:tabs>
            </w:pPr>
          </w:p>
          <w:p w:rsidR="009C6E98" w:rsidRDefault="009C6E98" w:rsidP="009C6E98">
            <w:pPr>
              <w:pStyle w:val="Header"/>
              <w:widowControl w:val="0"/>
              <w:tabs>
                <w:tab w:val="clear" w:pos="4320"/>
                <w:tab w:val="clear" w:pos="8640"/>
              </w:tabs>
              <w:rPr>
                <w:i/>
              </w:rPr>
            </w:pPr>
            <w:r w:rsidRPr="00C64A84">
              <w:rPr>
                <w:i/>
                <w:color w:val="00B050"/>
              </w:rPr>
              <w:t xml:space="preserve">My Notes:  </w:t>
            </w:r>
            <w:r>
              <w:rPr>
                <w:i/>
              </w:rPr>
              <w:t xml:space="preserve">4.30 definitely not in order for domiciliary programs. </w:t>
            </w:r>
            <w:r w:rsidRPr="00C64A84">
              <w:rPr>
                <w:i/>
              </w:rPr>
              <w:t>It seems 5A-PRRTP is an addiction program</w:t>
            </w:r>
            <w:r>
              <w:rPr>
                <w:i/>
              </w:rPr>
              <w:t>. To determine if there is treatment consistent with hospital care, look for an admission, plus treatment notes every day.</w:t>
            </w:r>
          </w:p>
          <w:p w:rsidR="009C6E98" w:rsidRDefault="009C6E98" w:rsidP="0048384F">
            <w:pPr>
              <w:pStyle w:val="Header"/>
              <w:widowControl w:val="0"/>
              <w:tabs>
                <w:tab w:val="clear" w:pos="4320"/>
                <w:tab w:val="clear" w:pos="8640"/>
              </w:tabs>
            </w:pPr>
          </w:p>
          <w:p w:rsidR="006664D3" w:rsidRPr="006664D3" w:rsidRDefault="006664D3" w:rsidP="0048384F">
            <w:pPr>
              <w:pStyle w:val="Header"/>
              <w:widowControl w:val="0"/>
              <w:tabs>
                <w:tab w:val="clear" w:pos="4320"/>
                <w:tab w:val="clear" w:pos="8640"/>
              </w:tabs>
            </w:pPr>
            <w:r w:rsidRPr="006664D3">
              <w:t>Participation in a live-in/work out program to facilitate transition to community living does not qualify for a temporary total evaluation.</w:t>
            </w:r>
          </w:p>
          <w:p w:rsidR="006664D3" w:rsidRDefault="006664D3" w:rsidP="0048384F">
            <w:pPr>
              <w:pStyle w:val="Header"/>
              <w:widowControl w:val="0"/>
              <w:tabs>
                <w:tab w:val="clear" w:pos="4320"/>
                <w:tab w:val="clear" w:pos="8640"/>
              </w:tabs>
            </w:pPr>
          </w:p>
          <w:p w:rsidR="00EE0D7A" w:rsidRDefault="006664D3" w:rsidP="00EE0D7A">
            <w:pPr>
              <w:pStyle w:val="Header"/>
              <w:widowControl w:val="0"/>
              <w:tabs>
                <w:tab w:val="clear" w:pos="4320"/>
                <w:tab w:val="clear" w:pos="8640"/>
              </w:tabs>
            </w:pPr>
            <w:r w:rsidRPr="00581371">
              <w:t xml:space="preserve">STARR is </w:t>
            </w:r>
            <w:r w:rsidR="00EE0D7A">
              <w:t xml:space="preserve">not inpatient treatment and </w:t>
            </w:r>
            <w:r w:rsidR="00EE0D7A" w:rsidRPr="006664D3">
              <w:t>does not qualify for a temporary total evaluation.</w:t>
            </w:r>
          </w:p>
          <w:p w:rsidR="00EE0D7A" w:rsidRDefault="00EE0D7A" w:rsidP="00EE0D7A">
            <w:pPr>
              <w:pStyle w:val="Header"/>
              <w:widowControl w:val="0"/>
              <w:tabs>
                <w:tab w:val="clear" w:pos="4320"/>
                <w:tab w:val="clear" w:pos="8640"/>
              </w:tabs>
            </w:pPr>
          </w:p>
          <w:p w:rsidR="006664D3" w:rsidRDefault="00E07DBB" w:rsidP="0048384F">
            <w:pPr>
              <w:pStyle w:val="Header"/>
              <w:widowControl w:val="0"/>
              <w:tabs>
                <w:tab w:val="clear" w:pos="4320"/>
                <w:tab w:val="clear" w:pos="8640"/>
              </w:tabs>
            </w:pPr>
            <w:r w:rsidRPr="00E07DBB">
              <w:t>?</w:t>
            </w:r>
            <w:r w:rsidR="00EE0D7A">
              <w:t>Voluntary hospitalization does not qualify as “</w:t>
            </w:r>
            <w:r w:rsidR="00B57774">
              <w:t xml:space="preserve">required hospital treatment” and </w:t>
            </w:r>
            <w:r w:rsidR="00B57774" w:rsidRPr="006664D3">
              <w:t>a temporary total evaluation</w:t>
            </w:r>
            <w:r w:rsidR="002A5309">
              <w:t xml:space="preserve"> is not warranted.</w:t>
            </w:r>
            <w:r w:rsidR="00C64A84" w:rsidRPr="00C64A84">
              <w:rPr>
                <w:i/>
                <w:color w:val="00B050"/>
              </w:rPr>
              <w:t xml:space="preserve"> </w:t>
            </w:r>
          </w:p>
        </w:tc>
      </w:tr>
      <w:tr w:rsidR="00013EB8" w:rsidTr="00581371">
        <w:tc>
          <w:tcPr>
            <w:tcW w:w="2365" w:type="dxa"/>
          </w:tcPr>
          <w:p w:rsidR="00013EB8" w:rsidRDefault="00B36D5B" w:rsidP="00A0086D">
            <w:pPr>
              <w:pStyle w:val="TableofFigures"/>
              <w:widowControl w:val="0"/>
              <w:rPr>
                <w:rFonts w:ascii="Arial" w:hAnsi="Arial"/>
                <w:smallCaps w:val="0"/>
                <w:szCs w:val="24"/>
              </w:rPr>
            </w:pPr>
            <w:bookmarkStart w:id="55" w:name="P29greaterFreeText"/>
            <w:r>
              <w:rPr>
                <w:rFonts w:ascii="Verdana" w:hAnsi="Verdana"/>
                <w:b/>
                <w:bCs/>
                <w:highlight w:val="green"/>
              </w:rPr>
              <w:t>P29_1</w:t>
            </w:r>
            <w:r>
              <w:rPr>
                <w:rFonts w:ascii="Verdana" w:hAnsi="Verdana"/>
                <w:b/>
                <w:bCs/>
              </w:rPr>
              <w:t xml:space="preserve"> </w:t>
            </w:r>
            <w:r w:rsidR="00013EB8">
              <w:rPr>
                <w:rFonts w:ascii="Arial" w:hAnsi="Arial"/>
                <w:smallCaps w:val="0"/>
                <w:szCs w:val="24"/>
              </w:rPr>
              <w:t>Free Text</w:t>
            </w:r>
            <w:bookmarkEnd w:id="55"/>
          </w:p>
          <w:p w:rsidR="0065327C" w:rsidRDefault="0065327C" w:rsidP="0065327C"/>
          <w:p w:rsidR="0065327C" w:rsidRPr="0065327C" w:rsidRDefault="0065327C" w:rsidP="0065327C">
            <w:pPr>
              <w:widowControl w:val="0"/>
              <w:rPr>
                <w:sz w:val="16"/>
              </w:rPr>
            </w:pPr>
            <w:r w:rsidRPr="0065327C">
              <w:rPr>
                <w:i/>
                <w:iCs/>
                <w:sz w:val="16"/>
              </w:rPr>
              <w:t xml:space="preserve">Issue:  </w:t>
            </w:r>
            <w:r w:rsidRPr="0065327C">
              <w:rPr>
                <w:sz w:val="16"/>
              </w:rPr>
              <w:t>Entitlement to a temporary total evaluation because of hospital treatment in excess of 21 days for {}.</w:t>
            </w:r>
          </w:p>
          <w:p w:rsidR="0065327C" w:rsidRPr="0065327C" w:rsidRDefault="0065327C" w:rsidP="0065327C">
            <w:pPr>
              <w:widowControl w:val="0"/>
              <w:rPr>
                <w:sz w:val="16"/>
              </w:rPr>
            </w:pPr>
          </w:p>
          <w:p w:rsidR="0065327C" w:rsidRPr="0065327C" w:rsidRDefault="0065327C" w:rsidP="0065327C">
            <w:pPr>
              <w:pStyle w:val="Header"/>
              <w:widowControl w:val="0"/>
              <w:tabs>
                <w:tab w:val="clear" w:pos="4320"/>
                <w:tab w:val="clear" w:pos="8640"/>
              </w:tabs>
              <w:rPr>
                <w:sz w:val="16"/>
              </w:rPr>
            </w:pPr>
            <w:r w:rsidRPr="0065327C">
              <w:rPr>
                <w:i/>
                <w:iCs/>
                <w:sz w:val="16"/>
              </w:rPr>
              <w:t xml:space="preserve">Decision:  </w:t>
            </w:r>
            <w:r w:rsidRPr="0065327C">
              <w:rPr>
                <w:sz w:val="16"/>
              </w:rPr>
              <w:t>Entitlement to a temporary total evaluation because of hospital treatment in excess of 21 days is denied.</w:t>
            </w:r>
          </w:p>
          <w:p w:rsidR="0065327C" w:rsidRPr="0065327C" w:rsidRDefault="0065327C" w:rsidP="0065327C"/>
        </w:tc>
        <w:tc>
          <w:tcPr>
            <w:tcW w:w="8381" w:type="dxa"/>
          </w:tcPr>
          <w:p w:rsidR="00013EB8" w:rsidRDefault="00013EB8">
            <w:pPr>
              <w:pStyle w:val="Header"/>
              <w:widowControl w:val="0"/>
              <w:tabs>
                <w:tab w:val="clear" w:pos="4320"/>
                <w:tab w:val="clear" w:pos="8640"/>
              </w:tabs>
            </w:pPr>
            <w:r>
              <w:t xml:space="preserve">You were discharged from the hospital on </w:t>
            </w:r>
            <w:r w:rsidR="00A46221">
              <w:t>{</w:t>
            </w:r>
            <w:r w:rsidR="008E7849">
              <w:t>date</w:t>
            </w:r>
            <w:r w:rsidR="00A46221">
              <w:t>}</w:t>
            </w:r>
            <w:r>
              <w:t xml:space="preserve"> an</w:t>
            </w:r>
            <w:r w:rsidR="009F04D7">
              <w:t xml:space="preserve">d we received your claim on </w:t>
            </w:r>
            <w:r w:rsidR="00A46221">
              <w:t>{</w:t>
            </w:r>
            <w:r w:rsidR="008E7849">
              <w:t>date</w:t>
            </w:r>
            <w:r w:rsidR="00A46221">
              <w:t>}</w:t>
            </w:r>
            <w:r w:rsidR="009F04D7">
              <w:t>.</w:t>
            </w:r>
          </w:p>
        </w:tc>
      </w:tr>
      <w:tr w:rsidR="00013EB8" w:rsidTr="00581371">
        <w:tc>
          <w:tcPr>
            <w:tcW w:w="2365" w:type="dxa"/>
          </w:tcPr>
          <w:p w:rsidR="00013EB8" w:rsidRDefault="00234459">
            <w:pPr>
              <w:pStyle w:val="TableofFigures"/>
              <w:widowControl w:val="0"/>
              <w:rPr>
                <w:rFonts w:ascii="Arial" w:hAnsi="Arial"/>
                <w:smallCaps w:val="0"/>
                <w:szCs w:val="24"/>
              </w:rPr>
            </w:pPr>
            <w:bookmarkStart w:id="56" w:name="P30FreeText"/>
            <w:r>
              <w:rPr>
                <w:rFonts w:ascii="Verdana" w:hAnsi="Verdana"/>
                <w:b/>
                <w:bCs/>
                <w:highlight w:val="green"/>
              </w:rPr>
              <w:t>P30</w:t>
            </w:r>
            <w:r w:rsidR="00013EB8">
              <w:rPr>
                <w:rFonts w:ascii="Arial" w:hAnsi="Arial"/>
              </w:rPr>
              <w:t xml:space="preserve"> </w:t>
            </w:r>
            <w:r w:rsidR="00013EB8">
              <w:rPr>
                <w:rFonts w:ascii="Arial" w:hAnsi="Arial"/>
                <w:smallCaps w:val="0"/>
                <w:szCs w:val="24"/>
              </w:rPr>
              <w:t>Free Text</w:t>
            </w:r>
            <w:bookmarkEnd w:id="56"/>
          </w:p>
          <w:p w:rsidR="0065327C" w:rsidRDefault="0065327C" w:rsidP="0065327C"/>
          <w:p w:rsidR="0065327C" w:rsidRPr="0065327C" w:rsidRDefault="0065327C" w:rsidP="0065327C">
            <w:pPr>
              <w:widowControl w:val="0"/>
              <w:rPr>
                <w:sz w:val="16"/>
              </w:rPr>
            </w:pPr>
            <w:r w:rsidRPr="0065327C">
              <w:rPr>
                <w:i/>
                <w:iCs/>
                <w:sz w:val="16"/>
              </w:rPr>
              <w:t xml:space="preserve">Issue:  </w:t>
            </w:r>
            <w:r w:rsidRPr="0065327C">
              <w:rPr>
                <w:iCs/>
                <w:sz w:val="16"/>
              </w:rPr>
              <w:t xml:space="preserve">Evaluation of {} currently evaluated as {} percent disabling. </w:t>
            </w:r>
            <w:r w:rsidRPr="0065327C">
              <w:rPr>
                <w:sz w:val="16"/>
              </w:rPr>
              <w:t>Entitlement to a temporary total evaluation because of surgical treatment requiring convalescence for {}.</w:t>
            </w:r>
          </w:p>
          <w:p w:rsidR="0065327C" w:rsidRPr="0065327C" w:rsidRDefault="0065327C" w:rsidP="0065327C">
            <w:pPr>
              <w:widowControl w:val="0"/>
              <w:tabs>
                <w:tab w:val="left" w:pos="0"/>
                <w:tab w:val="left" w:pos="144"/>
              </w:tabs>
              <w:rPr>
                <w:sz w:val="16"/>
              </w:rPr>
            </w:pPr>
          </w:p>
          <w:p w:rsidR="0065327C" w:rsidRPr="0065327C" w:rsidRDefault="0065327C" w:rsidP="0065327C">
            <w:pPr>
              <w:widowControl w:val="0"/>
              <w:tabs>
                <w:tab w:val="left" w:pos="0"/>
                <w:tab w:val="left" w:pos="144"/>
              </w:tabs>
              <w:rPr>
                <w:sz w:val="16"/>
              </w:rPr>
            </w:pPr>
            <w:r w:rsidRPr="0065327C">
              <w:rPr>
                <w:i/>
                <w:iCs/>
                <w:sz w:val="16"/>
              </w:rPr>
              <w:t xml:space="preserve">Decision:  </w:t>
            </w:r>
            <w:r w:rsidRPr="0065327C">
              <w:rPr>
                <w:sz w:val="16"/>
              </w:rPr>
              <w:t>Evaluation of {}, which is currently {} percent disabling, is continued. Entitlement to a temporary total evaluation because of surgical treatment requiring convalescence for {} is denied.</w:t>
            </w:r>
          </w:p>
          <w:p w:rsidR="0065327C" w:rsidRPr="000E1337" w:rsidRDefault="0065327C" w:rsidP="0065327C">
            <w:pPr>
              <w:widowControl w:val="0"/>
            </w:pPr>
          </w:p>
          <w:p w:rsidR="0065327C" w:rsidRPr="0065327C" w:rsidRDefault="0065327C" w:rsidP="0065327C"/>
        </w:tc>
        <w:tc>
          <w:tcPr>
            <w:tcW w:w="8381" w:type="dxa"/>
          </w:tcPr>
          <w:p w:rsidR="00013EB8" w:rsidRDefault="00013EB8">
            <w:pPr>
              <w:pStyle w:val="Header"/>
              <w:widowControl w:val="0"/>
              <w:tabs>
                <w:tab w:val="clear" w:pos="4320"/>
                <w:tab w:val="clear" w:pos="8640"/>
              </w:tabs>
            </w:pPr>
            <w:r>
              <w:t>The treatment records show you were on co</w:t>
            </w:r>
            <w:r w:rsidR="00E73DE5">
              <w:t xml:space="preserve">nvalescence for </w:t>
            </w:r>
            <w:r w:rsidR="00A46221">
              <w:t>{}</w:t>
            </w:r>
            <w:r>
              <w:t xml:space="preserve"> days following your surgery.</w:t>
            </w:r>
          </w:p>
          <w:p w:rsidR="00013EB8" w:rsidRDefault="00013EB8">
            <w:pPr>
              <w:pStyle w:val="Header"/>
              <w:widowControl w:val="0"/>
              <w:tabs>
                <w:tab w:val="clear" w:pos="4320"/>
                <w:tab w:val="clear" w:pos="8640"/>
              </w:tabs>
              <w:rPr>
                <w:i/>
                <w:iCs/>
              </w:rPr>
            </w:pPr>
            <w:r>
              <w:rPr>
                <w:i/>
                <w:iCs/>
              </w:rPr>
              <w:t>OR</w:t>
            </w:r>
          </w:p>
          <w:p w:rsidR="00013EB8" w:rsidRDefault="00013EB8">
            <w:pPr>
              <w:pStyle w:val="Header"/>
              <w:widowControl w:val="0"/>
              <w:tabs>
                <w:tab w:val="clear" w:pos="4320"/>
                <w:tab w:val="clear" w:pos="8640"/>
              </w:tabs>
            </w:pPr>
            <w:r>
              <w:t xml:space="preserve">The treatment records do not show </w:t>
            </w:r>
            <w:r w:rsidR="008B35B0">
              <w:t xml:space="preserve">at least </w:t>
            </w:r>
            <w:r>
              <w:t>one month conva</w:t>
            </w:r>
            <w:r w:rsidR="004D1F0D">
              <w:t>lescence following your surgery, surgery with severe postoperative residuals, or treatment with immobilization by cast of one major joint or more.</w:t>
            </w:r>
          </w:p>
          <w:p w:rsidR="00013EB8" w:rsidRDefault="00013EB8">
            <w:pPr>
              <w:pStyle w:val="Header"/>
              <w:widowControl w:val="0"/>
              <w:tabs>
                <w:tab w:val="clear" w:pos="4320"/>
                <w:tab w:val="clear" w:pos="8640"/>
              </w:tabs>
              <w:rPr>
                <w:i/>
                <w:iCs/>
              </w:rPr>
            </w:pPr>
            <w:r>
              <w:rPr>
                <w:i/>
                <w:iCs/>
              </w:rPr>
              <w:t>OR</w:t>
            </w:r>
          </w:p>
          <w:p w:rsidR="00013EB8" w:rsidRDefault="00013EB8">
            <w:pPr>
              <w:pStyle w:val="Header"/>
              <w:widowControl w:val="0"/>
              <w:tabs>
                <w:tab w:val="clear" w:pos="4320"/>
                <w:tab w:val="clear" w:pos="8640"/>
              </w:tabs>
            </w:pPr>
            <w:r>
              <w:t>A temporary total evaluation cannot be granted for nonservice-connected disabilities.</w:t>
            </w:r>
          </w:p>
          <w:p w:rsidR="00013EB8" w:rsidRDefault="00013EB8">
            <w:pPr>
              <w:pStyle w:val="Header"/>
              <w:widowControl w:val="0"/>
              <w:tabs>
                <w:tab w:val="clear" w:pos="4320"/>
                <w:tab w:val="clear" w:pos="8640"/>
              </w:tabs>
            </w:pPr>
            <w:r>
              <w:t>OR</w:t>
            </w:r>
          </w:p>
          <w:p w:rsidR="002A5309" w:rsidRDefault="00013EB8" w:rsidP="001C25E7">
            <w:pPr>
              <w:pStyle w:val="Header"/>
              <w:widowControl w:val="0"/>
              <w:tabs>
                <w:tab w:val="clear" w:pos="4320"/>
                <w:tab w:val="clear" w:pos="8640"/>
              </w:tabs>
            </w:pPr>
            <w:r>
              <w:t>The</w:t>
            </w:r>
            <w:r w:rsidR="00E93583">
              <w:t xml:space="preserve"> private</w:t>
            </w:r>
            <w:r w:rsidR="001C25E7">
              <w:t xml:space="preserve"> medical</w:t>
            </w:r>
            <w:r>
              <w:t xml:space="preserve"> records show your surgery was more than one year prior to your date of claim. Entitlement to a temporary 100 percent evaluation can only be granted if the claim is filed within one year of the date of the surgery.</w:t>
            </w:r>
          </w:p>
        </w:tc>
      </w:tr>
      <w:tr w:rsidR="00013EB8" w:rsidTr="00581371">
        <w:tc>
          <w:tcPr>
            <w:tcW w:w="2365" w:type="dxa"/>
          </w:tcPr>
          <w:p w:rsidR="00013EB8" w:rsidRDefault="00234459">
            <w:pPr>
              <w:pStyle w:val="TableofFigures"/>
              <w:widowControl w:val="0"/>
              <w:rPr>
                <w:rFonts w:ascii="Arial" w:hAnsi="Arial"/>
                <w:smallCaps w:val="0"/>
                <w:szCs w:val="24"/>
              </w:rPr>
            </w:pPr>
            <w:bookmarkStart w:id="57" w:name="AAFreeText"/>
            <w:r>
              <w:rPr>
                <w:rFonts w:ascii="Verdana" w:hAnsi="Verdana"/>
                <w:b/>
                <w:bCs/>
                <w:highlight w:val="green"/>
              </w:rPr>
              <w:t>SMC_AA</w:t>
            </w:r>
            <w:r w:rsidR="00013EB8">
              <w:rPr>
                <w:rFonts w:ascii="Arial" w:hAnsi="Arial"/>
              </w:rPr>
              <w:t xml:space="preserve"> </w:t>
            </w:r>
            <w:r w:rsidR="00013EB8">
              <w:rPr>
                <w:rFonts w:ascii="Arial" w:hAnsi="Arial"/>
                <w:smallCaps w:val="0"/>
                <w:szCs w:val="24"/>
              </w:rPr>
              <w:t>Free Text</w:t>
            </w:r>
            <w:bookmarkEnd w:id="57"/>
          </w:p>
          <w:p w:rsidR="00013EB8" w:rsidRDefault="00013EB8">
            <w:pPr>
              <w:widowControl w:val="0"/>
            </w:pPr>
            <w:r>
              <w:rPr>
                <w:i/>
                <w:iCs/>
                <w:sz w:val="18"/>
              </w:rPr>
              <w:t>(not required)</w:t>
            </w:r>
          </w:p>
        </w:tc>
        <w:tc>
          <w:tcPr>
            <w:tcW w:w="8381" w:type="dxa"/>
          </w:tcPr>
          <w:p w:rsidR="00013EB8" w:rsidRDefault="00013EB8">
            <w:pPr>
              <w:pStyle w:val="Header"/>
              <w:widowControl w:val="0"/>
              <w:tabs>
                <w:tab w:val="clear" w:pos="4320"/>
                <w:tab w:val="clear" w:pos="8640"/>
              </w:tabs>
            </w:pPr>
            <w:r>
              <w:t>Although the {examination and treatment records} show that you need aid and attendance, the need is not based on your service-connected disabilities</w:t>
            </w:r>
            <w:r w:rsidR="00D163C0">
              <w:t>{</w:t>
            </w:r>
            <w:r>
              <w:t>, but rather on nonservice-connected disabilities</w:t>
            </w:r>
            <w:r w:rsidR="00D163C0">
              <w:t>}</w:t>
            </w:r>
            <w:r>
              <w:t>. You also do not have a single service-connected disability rated as totally disabling.</w:t>
            </w:r>
          </w:p>
          <w:p w:rsidR="008B3F0D" w:rsidRDefault="005F5A9A">
            <w:pPr>
              <w:pStyle w:val="Header"/>
              <w:widowControl w:val="0"/>
              <w:tabs>
                <w:tab w:val="clear" w:pos="4320"/>
                <w:tab w:val="clear" w:pos="8640"/>
              </w:tabs>
            </w:pPr>
            <w:r>
              <w:t>OR</w:t>
            </w:r>
          </w:p>
          <w:p w:rsidR="008B3F0D" w:rsidRDefault="008B3F0D" w:rsidP="00BB1804">
            <w:pPr>
              <w:pStyle w:val="Header"/>
              <w:widowControl w:val="0"/>
              <w:tabs>
                <w:tab w:val="clear" w:pos="4320"/>
                <w:tab w:val="clear" w:pos="8640"/>
              </w:tabs>
            </w:pPr>
            <w:r w:rsidRPr="008B3F0D">
              <w:t xml:space="preserve">We have denied entitlement to special monthly compensation because the evidence does not show you need the regular aid and attendance of another person to perform routine activities of daily living, </w:t>
            </w:r>
            <w:r>
              <w:t>nor are you</w:t>
            </w:r>
            <w:r w:rsidRPr="008B3F0D">
              <w:t xml:space="preserve"> permanently bedridden, as a result of service</w:t>
            </w:r>
            <w:r>
              <w:t>-</w:t>
            </w:r>
            <w:r w:rsidRPr="008B3F0D">
              <w:t>connected disabilities.</w:t>
            </w:r>
          </w:p>
        </w:tc>
      </w:tr>
      <w:tr w:rsidR="00013EB8" w:rsidTr="00C122F3">
        <w:trPr>
          <w:trHeight w:val="2915"/>
        </w:trPr>
        <w:tc>
          <w:tcPr>
            <w:tcW w:w="2365" w:type="dxa"/>
          </w:tcPr>
          <w:p w:rsidR="00013EB8" w:rsidRDefault="00234459">
            <w:pPr>
              <w:pStyle w:val="TableofFigures"/>
              <w:widowControl w:val="0"/>
              <w:rPr>
                <w:rFonts w:ascii="Arial" w:hAnsi="Arial"/>
                <w:smallCaps w:val="0"/>
                <w:szCs w:val="24"/>
              </w:rPr>
            </w:pPr>
            <w:bookmarkStart w:id="58" w:name="HBFreeText"/>
            <w:r>
              <w:rPr>
                <w:rFonts w:ascii="Verdana" w:hAnsi="Verdana"/>
                <w:b/>
                <w:bCs/>
                <w:highlight w:val="green"/>
              </w:rPr>
              <w:t>SMC_HB</w:t>
            </w:r>
            <w:r w:rsidR="00013EB8">
              <w:rPr>
                <w:rFonts w:ascii="Arial" w:hAnsi="Arial"/>
              </w:rPr>
              <w:t xml:space="preserve"> </w:t>
            </w:r>
            <w:r w:rsidR="00013EB8">
              <w:rPr>
                <w:rFonts w:ascii="Arial" w:hAnsi="Arial"/>
                <w:smallCaps w:val="0"/>
                <w:szCs w:val="24"/>
              </w:rPr>
              <w:t>Free Text</w:t>
            </w:r>
            <w:bookmarkEnd w:id="58"/>
          </w:p>
          <w:p w:rsidR="00013EB8" w:rsidRDefault="00013EB8">
            <w:pPr>
              <w:widowControl w:val="0"/>
            </w:pPr>
            <w:r>
              <w:rPr>
                <w:i/>
                <w:iCs/>
                <w:sz w:val="18"/>
              </w:rPr>
              <w:t>(not required)</w:t>
            </w:r>
          </w:p>
        </w:tc>
        <w:tc>
          <w:tcPr>
            <w:tcW w:w="8381" w:type="dxa"/>
          </w:tcPr>
          <w:p w:rsidR="00013EB8" w:rsidRDefault="00013EB8">
            <w:pPr>
              <w:pStyle w:val="Header"/>
              <w:widowControl w:val="0"/>
              <w:tabs>
                <w:tab w:val="clear" w:pos="4320"/>
                <w:tab w:val="clear" w:pos="8640"/>
              </w:tabs>
              <w:rPr>
                <w:b/>
                <w:bCs/>
                <w:u w:val="single"/>
              </w:rPr>
            </w:pPr>
            <w:r>
              <w:rPr>
                <w:b/>
                <w:bCs/>
                <w:u w:val="single"/>
              </w:rPr>
              <w:t>BRADLEY:</w:t>
            </w:r>
          </w:p>
          <w:p w:rsidR="00013EB8" w:rsidRDefault="00013EB8">
            <w:pPr>
              <w:pStyle w:val="Header"/>
              <w:widowControl w:val="0"/>
              <w:tabs>
                <w:tab w:val="clear" w:pos="4320"/>
                <w:tab w:val="clear" w:pos="8640"/>
              </w:tabs>
            </w:pPr>
            <w:r>
              <w:t>Additionally, the {examination and treatment records} do not show you are housebound {due to the service-connected disability on which Individual Unemployability is based}, nor do you have a separate service-connected disability or disabilities independently rated 60 percent or more.</w:t>
            </w:r>
          </w:p>
          <w:p w:rsidR="00E15289" w:rsidRDefault="00E15289">
            <w:pPr>
              <w:pStyle w:val="Header"/>
              <w:widowControl w:val="0"/>
              <w:tabs>
                <w:tab w:val="clear" w:pos="4320"/>
                <w:tab w:val="clear" w:pos="8640"/>
              </w:tabs>
            </w:pPr>
          </w:p>
          <w:p w:rsidR="00E15289" w:rsidRDefault="00E15289">
            <w:pPr>
              <w:pStyle w:val="Header"/>
              <w:widowControl w:val="0"/>
              <w:tabs>
                <w:tab w:val="clear" w:pos="4320"/>
                <w:tab w:val="clear" w:pos="8640"/>
              </w:tabs>
            </w:pPr>
            <w:r>
              <w:t>Or:</w:t>
            </w:r>
          </w:p>
          <w:p w:rsidR="00E15289" w:rsidRDefault="00E15289" w:rsidP="00794220">
            <w:pPr>
              <w:pStyle w:val="Header"/>
              <w:widowControl w:val="0"/>
              <w:tabs>
                <w:tab w:val="clear" w:pos="4320"/>
                <w:tab w:val="clear" w:pos="8640"/>
              </w:tabs>
              <w:rPr>
                <w:bCs/>
                <w:iCs/>
              </w:rPr>
            </w:pPr>
            <w:r w:rsidRPr="00E15289">
              <w:rPr>
                <w:bCs/>
              </w:rPr>
              <w:t>Rating Note:</w:t>
            </w:r>
            <w:r>
              <w:rPr>
                <w:bCs/>
                <w:i/>
              </w:rPr>
              <w:t xml:space="preserve">  </w:t>
            </w:r>
            <w:r w:rsidR="00794220">
              <w:rPr>
                <w:bCs/>
                <w:iCs/>
              </w:rPr>
              <w:t xml:space="preserve">SMC </w:t>
            </w:r>
            <w:r>
              <w:rPr>
                <w:bCs/>
                <w:iCs/>
              </w:rPr>
              <w:t>S is not being granted, as IU was based on m</w:t>
            </w:r>
            <w:r w:rsidR="009E5F38">
              <w:rPr>
                <w:bCs/>
                <w:iCs/>
              </w:rPr>
              <w:t>ultiple conditions</w:t>
            </w:r>
            <w:r w:rsidR="00794220">
              <w:rPr>
                <w:bCs/>
                <w:iCs/>
              </w:rPr>
              <w:t>, and for a Bradley grant of SMC S</w:t>
            </w:r>
            <w:r>
              <w:rPr>
                <w:bCs/>
                <w:iCs/>
              </w:rPr>
              <w:t xml:space="preserve"> the IU has to be based on a single disability and 4.16 does not apply, per FL 09-33.</w:t>
            </w:r>
          </w:p>
          <w:p w:rsidR="00C122F3" w:rsidRDefault="00C122F3" w:rsidP="00794220">
            <w:pPr>
              <w:pStyle w:val="Header"/>
              <w:widowControl w:val="0"/>
              <w:tabs>
                <w:tab w:val="clear" w:pos="4320"/>
                <w:tab w:val="clear" w:pos="8640"/>
              </w:tabs>
              <w:rPr>
                <w:bCs/>
                <w:iCs/>
              </w:rPr>
            </w:pPr>
          </w:p>
          <w:p w:rsidR="00C122F3" w:rsidRDefault="00C122F3" w:rsidP="00794220">
            <w:pPr>
              <w:pStyle w:val="Header"/>
              <w:widowControl w:val="0"/>
              <w:tabs>
                <w:tab w:val="clear" w:pos="4320"/>
                <w:tab w:val="clear" w:pos="8640"/>
              </w:tabs>
              <w:rPr>
                <w:bCs/>
                <w:iCs/>
              </w:rPr>
            </w:pPr>
          </w:p>
          <w:p w:rsidR="00C122F3" w:rsidRDefault="00C122F3" w:rsidP="00C122F3">
            <w:pPr>
              <w:pStyle w:val="Header"/>
              <w:widowControl w:val="0"/>
              <w:tabs>
                <w:tab w:val="clear" w:pos="4320"/>
                <w:tab w:val="clear" w:pos="8640"/>
              </w:tabs>
            </w:pPr>
            <w:r w:rsidRPr="00C122F3">
              <w:rPr>
                <w:bCs/>
                <w:i/>
                <w:iCs/>
                <w:color w:val="00B050"/>
              </w:rPr>
              <w:t>My Notes:</w:t>
            </w:r>
            <w:r w:rsidRPr="00C122F3">
              <w:rPr>
                <w:bCs/>
                <w:iCs/>
                <w:color w:val="00B050"/>
              </w:rPr>
              <w:t xml:space="preserve">  </w:t>
            </w:r>
            <w:r w:rsidRPr="00C122F3">
              <w:rPr>
                <w:bCs/>
                <w:i/>
                <w:iCs/>
              </w:rPr>
              <w:t xml:space="preserve">Review: SMC for Statutory Housebound - </w:t>
            </w:r>
            <w:r w:rsidRPr="00C122F3">
              <w:rPr>
                <w:i/>
              </w:rPr>
              <w:t>VBMS-R forces reviews of SMC S when there is one disability at 100% (or 70%+IU), but there are no separate disabilities that combine to 60% &amp; there is no option for that specific “reason” for not granting SMC S, so I select the first reason in the list.</w:t>
            </w:r>
          </w:p>
        </w:tc>
      </w:tr>
    </w:tbl>
    <w:p w:rsidR="00013EB8" w:rsidRDefault="00013EB8">
      <w:pPr>
        <w:widowControl w:val="0"/>
      </w:pPr>
    </w:p>
    <w:p w:rsidR="008F6AD8" w:rsidRDefault="008F6AD8">
      <w:bookmarkStart w:id="59" w:name="SNLNotes"/>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0"/>
        <w:gridCol w:w="8190"/>
      </w:tblGrid>
      <w:tr w:rsidR="00013EB8" w:rsidTr="004A5C18">
        <w:tc>
          <w:tcPr>
            <w:tcW w:w="10677" w:type="dxa"/>
            <w:gridSpan w:val="2"/>
            <w:tcBorders>
              <w:bottom w:val="single" w:sz="4" w:space="0" w:color="auto"/>
            </w:tcBorders>
            <w:shd w:val="clear" w:color="auto" w:fill="CCFFCC"/>
          </w:tcPr>
          <w:p w:rsidR="00013EB8" w:rsidRDefault="0011066A" w:rsidP="0011066A">
            <w:pPr>
              <w:widowControl w:val="0"/>
              <w:jc w:val="center"/>
              <w:rPr>
                <w:b/>
                <w:bCs/>
              </w:rPr>
            </w:pPr>
            <w:r w:rsidRPr="0011066A">
              <w:rPr>
                <w:b/>
              </w:rPr>
              <w:t>Glossary fragments</w:t>
            </w:r>
            <w:r>
              <w:t xml:space="preserve"> (SNL/ADL codes) </w:t>
            </w:r>
            <w:r w:rsidR="00013EB8">
              <w:rPr>
                <w:b/>
                <w:bCs/>
              </w:rPr>
              <w:t>and VBMS-R NOTES</w:t>
            </w:r>
            <w:bookmarkEnd w:id="59"/>
          </w:p>
        </w:tc>
      </w:tr>
      <w:tr w:rsidR="00013EB8" w:rsidTr="00BC2764">
        <w:tc>
          <w:tcPr>
            <w:tcW w:w="2379" w:type="dxa"/>
            <w:shd w:val="clear" w:color="auto" w:fill="B3B3B3"/>
            <w:vAlign w:val="bottom"/>
          </w:tcPr>
          <w:p w:rsidR="00013EB8" w:rsidRDefault="00013EB8">
            <w:pPr>
              <w:widowControl w:val="0"/>
              <w:rPr>
                <w:b/>
                <w:bCs/>
              </w:rPr>
            </w:pPr>
            <w:r>
              <w:rPr>
                <w:b/>
                <w:bCs/>
              </w:rPr>
              <w:t>Issue</w:t>
            </w:r>
          </w:p>
        </w:tc>
        <w:tc>
          <w:tcPr>
            <w:tcW w:w="8298" w:type="dxa"/>
            <w:shd w:val="clear" w:color="auto" w:fill="B3B3B3"/>
            <w:vAlign w:val="bottom"/>
          </w:tcPr>
          <w:p w:rsidR="00013EB8" w:rsidRDefault="00013EB8">
            <w:pPr>
              <w:widowControl w:val="0"/>
              <w:rPr>
                <w:b/>
                <w:bCs/>
              </w:rPr>
            </w:pPr>
            <w:r>
              <w:rPr>
                <w:b/>
                <w:bCs/>
              </w:rPr>
              <w:t>Notes/Language</w:t>
            </w:r>
          </w:p>
        </w:tc>
      </w:tr>
      <w:tr w:rsidR="00DE3176" w:rsidTr="00BC2764">
        <w:tc>
          <w:tcPr>
            <w:tcW w:w="2379" w:type="dxa"/>
          </w:tcPr>
          <w:p w:rsidR="00DE3176" w:rsidRDefault="007D385F" w:rsidP="007D385F">
            <w:pPr>
              <w:tabs>
                <w:tab w:val="left" w:pos="0"/>
                <w:tab w:val="left" w:pos="144"/>
              </w:tabs>
            </w:pPr>
            <w:r>
              <w:rPr>
                <w:iCs/>
              </w:rPr>
              <w:t xml:space="preserve">For Rating Introduction Text </w:t>
            </w:r>
            <w:r w:rsidRPr="007D385F">
              <w:rPr>
                <w:i/>
                <w:iCs/>
              </w:rPr>
              <w:t>(</w:t>
            </w:r>
            <w:r w:rsidRPr="007D385F">
              <w:rPr>
                <w:i/>
              </w:rPr>
              <w:t>*not required)</w:t>
            </w:r>
          </w:p>
          <w:p w:rsidR="007D385F" w:rsidRDefault="007D385F" w:rsidP="00C0370A">
            <w:pPr>
              <w:widowControl w:val="0"/>
            </w:pPr>
          </w:p>
          <w:p w:rsidR="002A3C72" w:rsidRDefault="002A3C72" w:rsidP="00A25786">
            <w:pPr>
              <w:widowControl w:val="0"/>
            </w:pPr>
          </w:p>
        </w:tc>
        <w:tc>
          <w:tcPr>
            <w:tcW w:w="8298" w:type="dxa"/>
          </w:tcPr>
          <w:p w:rsidR="00CD4C97" w:rsidRPr="0014579F" w:rsidRDefault="00CD4C97" w:rsidP="00F515F4">
            <w:pPr>
              <w:tabs>
                <w:tab w:val="left" w:pos="0"/>
              </w:tabs>
              <w:spacing w:after="120"/>
              <w:ind w:right="150"/>
              <w:rPr>
                <w:i/>
              </w:rPr>
            </w:pPr>
            <w:r w:rsidRPr="0014579F">
              <w:rPr>
                <w:i/>
              </w:rPr>
              <w:t>with EBN ITFs, eff 3/24/15 -</w:t>
            </w:r>
            <w:r w:rsidRPr="0014579F">
              <w:t xml:space="preserve"> </w:t>
            </w:r>
            <w:r w:rsidR="00DE3176" w:rsidRPr="0014579F">
              <w:t>You initiated your electronic application on {}, which is considered an Intent to File (ITF), and a complete claim was received on {}.</w:t>
            </w:r>
            <w:r w:rsidR="00537901" w:rsidRPr="0014579F">
              <w:t xml:space="preserve"> </w:t>
            </w:r>
          </w:p>
          <w:p w:rsidR="00DE3176" w:rsidRDefault="00DE3176" w:rsidP="00CD4C97">
            <w:pPr>
              <w:tabs>
                <w:tab w:val="left" w:pos="0"/>
              </w:tabs>
              <w:spacing w:after="120"/>
              <w:ind w:right="150"/>
            </w:pPr>
            <w:r w:rsidRPr="0014579F">
              <w:t>You filed an Intent to File (ITF) that was received on {} and a complete claim was received on {}.</w:t>
            </w:r>
          </w:p>
          <w:p w:rsidR="00E71C97" w:rsidRPr="00491203" w:rsidRDefault="00E71C97" w:rsidP="003778C5">
            <w:pPr>
              <w:tabs>
                <w:tab w:val="left" w:pos="0"/>
              </w:tabs>
              <w:spacing w:after="120"/>
              <w:ind w:right="150"/>
            </w:pPr>
            <w:r w:rsidRPr="00F3754A">
              <w:t>Y</w:t>
            </w:r>
            <w:r w:rsidRPr="00384E4D">
              <w:t>ou filed an original disability claim that wa</w:t>
            </w:r>
            <w:r>
              <w:t xml:space="preserve">s received prior to your </w:t>
            </w:r>
            <w:r w:rsidR="003778C5">
              <w:t>separation</w:t>
            </w:r>
            <w:r w:rsidRPr="00384E4D">
              <w:t xml:space="preserve"> from active duty</w:t>
            </w:r>
            <w:r>
              <w:t>.</w:t>
            </w:r>
          </w:p>
        </w:tc>
      </w:tr>
      <w:tr w:rsidR="00911094" w:rsidTr="00BC2764">
        <w:tc>
          <w:tcPr>
            <w:tcW w:w="2379" w:type="dxa"/>
          </w:tcPr>
          <w:p w:rsidR="00911094" w:rsidRPr="0011066A" w:rsidRDefault="00911094" w:rsidP="00533E2B">
            <w:pPr>
              <w:widowControl w:val="0"/>
            </w:pPr>
            <w:r w:rsidRPr="0011066A">
              <w:t xml:space="preserve">Effective Date </w:t>
            </w:r>
          </w:p>
          <w:p w:rsidR="00911094" w:rsidRPr="0011066A" w:rsidRDefault="00911094" w:rsidP="00533E2B">
            <w:pPr>
              <w:widowControl w:val="0"/>
            </w:pPr>
          </w:p>
          <w:p w:rsidR="00911094" w:rsidRPr="0011066A" w:rsidRDefault="00911094" w:rsidP="00533E2B">
            <w:pPr>
              <w:widowControl w:val="0"/>
              <w:rPr>
                <w:i/>
                <w:iCs/>
                <w:sz w:val="18"/>
              </w:rPr>
            </w:pPr>
            <w:r w:rsidRPr="0011066A">
              <w:rPr>
                <w:i/>
                <w:iCs/>
                <w:sz w:val="18"/>
              </w:rPr>
              <w:t xml:space="preserve">(a great effective date resource is </w:t>
            </w:r>
            <w:hyperlink r:id="rId278" w:history="1">
              <w:r w:rsidRPr="0011066A">
                <w:rPr>
                  <w:rStyle w:val="Hyperlink"/>
                  <w:i/>
                  <w:iCs/>
                  <w:sz w:val="18"/>
                </w:rPr>
                <w:t>RVSR Assistant</w:t>
              </w:r>
            </w:hyperlink>
            <w:r w:rsidRPr="0011066A">
              <w:rPr>
                <w:i/>
                <w:iCs/>
                <w:sz w:val="18"/>
              </w:rPr>
              <w:t>)</w:t>
            </w:r>
          </w:p>
          <w:p w:rsidR="00911094" w:rsidRPr="0011066A" w:rsidRDefault="00911094" w:rsidP="00533E2B">
            <w:pPr>
              <w:widowControl w:val="0"/>
              <w:rPr>
                <w:i/>
                <w:iCs/>
                <w:sz w:val="18"/>
              </w:rPr>
            </w:pPr>
          </w:p>
          <w:p w:rsidR="00911094" w:rsidRPr="0011066A" w:rsidRDefault="00911094" w:rsidP="00533E2B">
            <w:pPr>
              <w:widowControl w:val="0"/>
              <w:rPr>
                <w:i/>
                <w:iCs/>
                <w:sz w:val="18"/>
              </w:rPr>
            </w:pPr>
            <w:r w:rsidRPr="0011066A">
              <w:rPr>
                <w:i/>
                <w:iCs/>
                <w:sz w:val="18"/>
              </w:rPr>
              <w:t>*see DMII grant (for 3.114) and IU grant</w:t>
            </w:r>
          </w:p>
          <w:p w:rsidR="00911094" w:rsidRPr="0011066A" w:rsidRDefault="00911094" w:rsidP="00533E2B">
            <w:pPr>
              <w:widowControl w:val="0"/>
              <w:rPr>
                <w:i/>
                <w:iCs/>
                <w:sz w:val="18"/>
              </w:rPr>
            </w:pPr>
          </w:p>
          <w:p w:rsidR="00911094" w:rsidRPr="0011066A" w:rsidRDefault="00911094" w:rsidP="00533E2B">
            <w:pPr>
              <w:widowControl w:val="0"/>
              <w:rPr>
                <w:i/>
                <w:iCs/>
                <w:sz w:val="18"/>
              </w:rPr>
            </w:pPr>
          </w:p>
          <w:p w:rsidR="00911094" w:rsidRPr="0011066A" w:rsidRDefault="00911094" w:rsidP="00533E2B">
            <w:pPr>
              <w:widowControl w:val="0"/>
              <w:rPr>
                <w:sz w:val="18"/>
              </w:rPr>
            </w:pPr>
          </w:p>
          <w:p w:rsidR="00911094" w:rsidRPr="0011066A" w:rsidRDefault="00911094" w:rsidP="00533E2B">
            <w:pPr>
              <w:widowControl w:val="0"/>
              <w:rPr>
                <w:sz w:val="18"/>
                <w:szCs w:val="18"/>
              </w:rPr>
            </w:pPr>
            <w:r w:rsidRPr="0011066A">
              <w:rPr>
                <w:sz w:val="18"/>
                <w:szCs w:val="18"/>
              </w:rPr>
              <w:t xml:space="preserve">Rating Note:  Per </w:t>
            </w:r>
            <w:r w:rsidRPr="0011066A">
              <w:rPr>
                <w:b/>
                <w:sz w:val="18"/>
                <w:szCs w:val="18"/>
              </w:rPr>
              <w:t>III.iv.6.C.5.a</w:t>
            </w:r>
            <w:r w:rsidRPr="0011066A">
              <w:rPr>
                <w:sz w:val="18"/>
                <w:szCs w:val="18"/>
              </w:rPr>
              <w:t>, explanation of the effective date in the Reasons for Decision is not required since it is the date of the claim’s receipt</w:t>
            </w:r>
            <w:r w:rsidR="00E71C97" w:rsidRPr="0011066A">
              <w:rPr>
                <w:sz w:val="18"/>
                <w:szCs w:val="18"/>
              </w:rPr>
              <w:t xml:space="preserve"> </w:t>
            </w:r>
            <w:r w:rsidRPr="0011066A">
              <w:rPr>
                <w:sz w:val="18"/>
                <w:szCs w:val="18"/>
              </w:rPr>
              <w:t>/</w:t>
            </w:r>
            <w:r w:rsidR="00E71C97" w:rsidRPr="0011066A">
              <w:rPr>
                <w:sz w:val="18"/>
                <w:szCs w:val="18"/>
              </w:rPr>
              <w:t xml:space="preserve"> </w:t>
            </w:r>
            <w:r w:rsidRPr="0011066A">
              <w:rPr>
                <w:sz w:val="18"/>
                <w:szCs w:val="18"/>
              </w:rPr>
              <w:t>the day following discharge.</w:t>
            </w:r>
          </w:p>
          <w:p w:rsidR="00A25786" w:rsidRPr="0011066A" w:rsidRDefault="00A25786" w:rsidP="00533E2B">
            <w:pPr>
              <w:widowControl w:val="0"/>
              <w:rPr>
                <w:sz w:val="18"/>
                <w:szCs w:val="18"/>
              </w:rPr>
            </w:pPr>
          </w:p>
          <w:p w:rsidR="00A25786" w:rsidRPr="0011066A" w:rsidRDefault="00A25786" w:rsidP="00533E2B">
            <w:pPr>
              <w:widowControl w:val="0"/>
              <w:rPr>
                <w:sz w:val="18"/>
                <w:szCs w:val="18"/>
              </w:rPr>
            </w:pPr>
          </w:p>
          <w:p w:rsidR="00A25786" w:rsidRPr="0011066A" w:rsidRDefault="00A25786" w:rsidP="00533E2B">
            <w:pPr>
              <w:widowControl w:val="0"/>
              <w:rPr>
                <w:sz w:val="18"/>
                <w:szCs w:val="18"/>
              </w:rPr>
            </w:pPr>
          </w:p>
          <w:p w:rsidR="00A25786" w:rsidRPr="0011066A" w:rsidRDefault="00A25786" w:rsidP="00A25786">
            <w:pPr>
              <w:widowControl w:val="0"/>
            </w:pPr>
          </w:p>
          <w:p w:rsidR="00A25786" w:rsidRPr="0011066A" w:rsidRDefault="00A25786" w:rsidP="00A25786">
            <w:pPr>
              <w:widowControl w:val="0"/>
            </w:pPr>
          </w:p>
          <w:p w:rsidR="00A25786" w:rsidRPr="0011066A" w:rsidRDefault="00A25786" w:rsidP="00A25786">
            <w:pPr>
              <w:widowControl w:val="0"/>
            </w:pPr>
          </w:p>
          <w:p w:rsidR="00A25786" w:rsidRPr="0011066A" w:rsidRDefault="00A25786" w:rsidP="00A25786">
            <w:pPr>
              <w:widowControl w:val="0"/>
            </w:pPr>
            <w:r w:rsidRPr="0011066A">
              <w:t>For codesheet:</w:t>
            </w:r>
          </w:p>
          <w:p w:rsidR="001F5292" w:rsidRPr="00B36BC2" w:rsidRDefault="00A25786" w:rsidP="00B36BC2">
            <w:pPr>
              <w:widowControl w:val="0"/>
            </w:pPr>
            <w:r w:rsidRPr="0011066A">
              <w:t>I</w:t>
            </w:r>
            <w:r w:rsidR="00B36BC2">
              <w:t>TF {date}. / No associated ITF.</w:t>
            </w:r>
          </w:p>
        </w:tc>
        <w:tc>
          <w:tcPr>
            <w:tcW w:w="8298" w:type="dxa"/>
          </w:tcPr>
          <w:p w:rsidR="00911094" w:rsidRPr="0011066A" w:rsidRDefault="00066584" w:rsidP="00533E2B">
            <w:pPr>
              <w:pStyle w:val="Header"/>
              <w:widowControl w:val="0"/>
              <w:tabs>
                <w:tab w:val="clear" w:pos="4320"/>
                <w:tab w:val="clear" w:pos="8640"/>
              </w:tabs>
              <w:rPr>
                <w:lang w:val="en"/>
              </w:rPr>
            </w:pPr>
            <w:r w:rsidRPr="0011066A">
              <w:rPr>
                <w:b/>
              </w:rPr>
              <w:t>III.ii.2.C.2</w:t>
            </w:r>
            <w:r w:rsidR="00911094" w:rsidRPr="0011066A">
              <w:t xml:space="preserve"> - </w:t>
            </w:r>
            <w:r w:rsidR="00911094" w:rsidRPr="0011066A">
              <w:rPr>
                <w:u w:val="single"/>
              </w:rPr>
              <w:t>Service connection</w:t>
            </w:r>
            <w:r w:rsidR="00911094" w:rsidRPr="0011066A">
              <w:t xml:space="preserve"> has been established from the day VA received your Intent to File (ITF) because </w:t>
            </w:r>
            <w:r w:rsidR="00911094" w:rsidRPr="0011066A">
              <w:rPr>
                <w:lang w:val="en"/>
              </w:rPr>
              <w:t>a complete claim was received within one year of the ITF.</w:t>
            </w:r>
          </w:p>
          <w:p w:rsidR="000460E7" w:rsidRPr="0011066A" w:rsidRDefault="000460E7" w:rsidP="00533E2B">
            <w:pPr>
              <w:pStyle w:val="Header"/>
              <w:widowControl w:val="0"/>
              <w:tabs>
                <w:tab w:val="clear" w:pos="4320"/>
                <w:tab w:val="clear" w:pos="8640"/>
              </w:tabs>
              <w:rPr>
                <w:lang w:val="en"/>
              </w:rPr>
            </w:pPr>
          </w:p>
          <w:p w:rsidR="000460E7" w:rsidRPr="0011066A" w:rsidRDefault="000460E7" w:rsidP="00533E2B">
            <w:pPr>
              <w:pStyle w:val="Header"/>
              <w:widowControl w:val="0"/>
              <w:tabs>
                <w:tab w:val="clear" w:pos="4320"/>
                <w:tab w:val="clear" w:pos="8640"/>
              </w:tabs>
              <w:rPr>
                <w:lang w:val="en"/>
              </w:rPr>
            </w:pPr>
            <w:r w:rsidRPr="0011066A">
              <w:rPr>
                <w:u w:val="single"/>
              </w:rPr>
              <w:t>Service connection</w:t>
            </w:r>
            <w:r w:rsidRPr="0011066A">
              <w:t xml:space="preserve"> has been established from the day VA received your incomplete claim because </w:t>
            </w:r>
            <w:r w:rsidRPr="0011066A">
              <w:rPr>
                <w:lang w:val="en"/>
              </w:rPr>
              <w:t>a complete claim was received within one year of the incomplete claim. Your Intent to File (ITF) was received more than one year prior to the complete claim, and cannot be used as a basis for the effective date.</w:t>
            </w:r>
          </w:p>
          <w:p w:rsidR="00911094" w:rsidRPr="0011066A" w:rsidRDefault="00911094" w:rsidP="00533E2B">
            <w:pPr>
              <w:pStyle w:val="Header"/>
              <w:widowControl w:val="0"/>
              <w:tabs>
                <w:tab w:val="clear" w:pos="4320"/>
                <w:tab w:val="clear" w:pos="8640"/>
              </w:tabs>
              <w:rPr>
                <w:lang w:val="en"/>
              </w:rPr>
            </w:pPr>
          </w:p>
          <w:p w:rsidR="00911094" w:rsidRPr="0011066A" w:rsidRDefault="00911094" w:rsidP="00533E2B">
            <w:pPr>
              <w:pStyle w:val="Header"/>
              <w:widowControl w:val="0"/>
              <w:tabs>
                <w:tab w:val="clear" w:pos="4320"/>
                <w:tab w:val="clear" w:pos="8640"/>
              </w:tabs>
              <w:rPr>
                <w:b/>
                <w:bCs/>
              </w:rPr>
            </w:pPr>
          </w:p>
          <w:p w:rsidR="00911094" w:rsidRPr="0011066A" w:rsidRDefault="00911094" w:rsidP="00533E2B">
            <w:pPr>
              <w:pStyle w:val="Header"/>
              <w:widowControl w:val="0"/>
              <w:tabs>
                <w:tab w:val="clear" w:pos="4320"/>
                <w:tab w:val="clear" w:pos="8640"/>
              </w:tabs>
              <w:rPr>
                <w:b/>
                <w:bCs/>
              </w:rPr>
            </w:pPr>
            <w:r w:rsidRPr="0011066A">
              <w:rPr>
                <w:b/>
                <w:bCs/>
              </w:rPr>
              <w:t>CLAIMS FOR INCREASE:</w:t>
            </w:r>
          </w:p>
          <w:p w:rsidR="00911094" w:rsidRPr="0011066A" w:rsidRDefault="00066584" w:rsidP="00533E2B">
            <w:pPr>
              <w:pStyle w:val="Header"/>
              <w:widowControl w:val="0"/>
              <w:tabs>
                <w:tab w:val="clear" w:pos="4320"/>
                <w:tab w:val="clear" w:pos="8640"/>
              </w:tabs>
              <w:rPr>
                <w:rFonts w:ascii="Verdana" w:hAnsi="Verdana"/>
                <w:i/>
              </w:rPr>
            </w:pPr>
            <w:r w:rsidRPr="0011066A">
              <w:rPr>
                <w:b/>
              </w:rPr>
              <w:t>III.ii.2.C.2</w:t>
            </w:r>
            <w:r w:rsidR="00911094" w:rsidRPr="0011066A">
              <w:t xml:space="preserve"> - Entitlement to an </w:t>
            </w:r>
            <w:r w:rsidR="00911094" w:rsidRPr="0011066A">
              <w:rPr>
                <w:u w:val="single"/>
              </w:rPr>
              <w:t>increased evaluation</w:t>
            </w:r>
            <w:r w:rsidR="00911094" w:rsidRPr="0011066A">
              <w:t xml:space="preserve"> has been established from the day VA received your Intent to File (ITF) because </w:t>
            </w:r>
            <w:r w:rsidR="00911094" w:rsidRPr="0011066A">
              <w:rPr>
                <w:lang w:val="en"/>
              </w:rPr>
              <w:t xml:space="preserve">a complete claim was received within one year of the ITF. </w:t>
            </w:r>
            <w:r w:rsidR="00911094" w:rsidRPr="0011066A">
              <w:rPr>
                <w:i/>
                <w:lang w:val="en"/>
              </w:rPr>
              <w:t>*see below if have TRs</w:t>
            </w:r>
          </w:p>
          <w:p w:rsidR="00911094" w:rsidRPr="0011066A" w:rsidRDefault="00911094" w:rsidP="00533E2B">
            <w:pPr>
              <w:pStyle w:val="Header"/>
              <w:widowControl w:val="0"/>
              <w:tabs>
                <w:tab w:val="clear" w:pos="4320"/>
                <w:tab w:val="clear" w:pos="8640"/>
              </w:tabs>
              <w:rPr>
                <w:lang w:val="en"/>
              </w:rPr>
            </w:pP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pPr>
            <w:r w:rsidRPr="0011066A">
              <w:rPr>
                <w:b/>
              </w:rPr>
              <w:t xml:space="preserve">3.400(o)(2), w/TRs </w:t>
            </w:r>
            <w:r w:rsidR="00F41556">
              <w:rPr>
                <w:b/>
              </w:rPr>
              <w:t>(</w:t>
            </w:r>
            <w:r w:rsidR="00F41556" w:rsidRPr="00407CAD">
              <w:rPr>
                <w:b/>
              </w:rPr>
              <w:t>III.iv.5.C.</w:t>
            </w:r>
            <w:r w:rsidR="00F41556">
              <w:rPr>
                <w:b/>
              </w:rPr>
              <w:t xml:space="preserve">5) </w:t>
            </w:r>
            <w:r w:rsidRPr="0011066A">
              <w:rPr>
                <w:b/>
              </w:rPr>
              <w:t>–</w:t>
            </w:r>
            <w:r w:rsidRPr="0011066A">
              <w:t xml:space="preserve"> </w:t>
            </w: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i/>
              </w:rPr>
            </w:pPr>
            <w:r w:rsidRPr="0011066A">
              <w:rPr>
                <w:i/>
              </w:rPr>
              <w:t>based on DOC even though have TRs:</w:t>
            </w:r>
          </w:p>
          <w:p w:rsidR="00911094" w:rsidRPr="0011066A" w:rsidRDefault="00911094" w:rsidP="00533E2B">
            <w:pPr>
              <w:pStyle w:val="Header"/>
              <w:widowControl w:val="0"/>
              <w:tabs>
                <w:tab w:val="clear" w:pos="4320"/>
                <w:tab w:val="clear" w:pos="8640"/>
              </w:tabs>
              <w:rPr>
                <w:rFonts w:ascii="Verdana" w:hAnsi="Verdana"/>
              </w:rPr>
            </w:pPr>
            <w:r w:rsidRPr="0011066A">
              <w:rPr>
                <w:rFonts w:ascii="Verdana" w:hAnsi="Verdana"/>
              </w:rPr>
              <w:t>Entitlement to an increased evaluation has been established from</w:t>
            </w:r>
            <w:r w:rsidRPr="0011066A">
              <w:rPr>
                <w:rFonts w:ascii="Verdana" w:hAnsi="Verdana"/>
                <w:b/>
              </w:rPr>
              <w:t xml:space="preserve"> the day VA received your claim</w:t>
            </w:r>
            <w:r w:rsidRPr="0011066A">
              <w:rPr>
                <w:rFonts w:ascii="Verdana" w:hAnsi="Verdana"/>
              </w:rPr>
              <w:t xml:space="preserve">. The treatment records do not show evidence of </w:t>
            </w:r>
            <w:r w:rsidR="00282341" w:rsidRPr="0011066A">
              <w:rPr>
                <w:rFonts w:ascii="Verdana" w:hAnsi="Verdana"/>
              </w:rPr>
              <w:t>an increase in</w:t>
            </w:r>
            <w:r w:rsidRPr="0011066A">
              <w:rPr>
                <w:rFonts w:ascii="Verdana" w:hAnsi="Verdana"/>
              </w:rPr>
              <w:t xml:space="preserve"> disability</w:t>
            </w:r>
            <w:r w:rsidR="00282341" w:rsidRPr="0011066A">
              <w:rPr>
                <w:rFonts w:ascii="Verdana" w:hAnsi="Verdana"/>
              </w:rPr>
              <w:t xml:space="preserve"> </w:t>
            </w:r>
            <w:r w:rsidR="00282341" w:rsidRPr="0011066A">
              <w:rPr>
                <w:rFonts w:ascii="Verdana" w:hAnsi="Verdana"/>
                <w:sz w:val="16"/>
                <w:szCs w:val="16"/>
              </w:rPr>
              <w:t>(increase actually manifested itself)</w:t>
            </w:r>
            <w:r w:rsidRPr="0011066A">
              <w:rPr>
                <w:rFonts w:ascii="Verdana" w:hAnsi="Verdana"/>
              </w:rPr>
              <w:t xml:space="preserve"> within one year prior to the date of claim.</w:t>
            </w:r>
          </w:p>
          <w:p w:rsidR="00223343" w:rsidRPr="0011066A" w:rsidRDefault="00223343" w:rsidP="00533E2B">
            <w:pPr>
              <w:pStyle w:val="Header"/>
              <w:widowControl w:val="0"/>
              <w:tabs>
                <w:tab w:val="clear" w:pos="4320"/>
                <w:tab w:val="clear" w:pos="8640"/>
              </w:tabs>
              <w:rPr>
                <w:rFonts w:ascii="Verdana" w:hAnsi="Verdana"/>
              </w:rPr>
            </w:pPr>
          </w:p>
          <w:p w:rsidR="00D873ED" w:rsidRPr="0011066A" w:rsidRDefault="00223343" w:rsidP="00533E2B">
            <w:pPr>
              <w:pStyle w:val="Header"/>
              <w:widowControl w:val="0"/>
              <w:tabs>
                <w:tab w:val="clear" w:pos="4320"/>
                <w:tab w:val="clear" w:pos="8640"/>
              </w:tabs>
              <w:rPr>
                <w:rFonts w:ascii="Verdana" w:hAnsi="Verdana"/>
                <w:sz w:val="16"/>
                <w:szCs w:val="16"/>
              </w:rPr>
            </w:pPr>
            <w:r w:rsidRPr="0011066A">
              <w:rPr>
                <w:rFonts w:ascii="Verdana" w:hAnsi="Verdana"/>
              </w:rPr>
              <w:t>, the day VA received your claim, since the treatment records do not show evidence of</w:t>
            </w:r>
            <w:r w:rsidR="009D7C46" w:rsidRPr="0011066A">
              <w:rPr>
                <w:rFonts w:ascii="Verdana" w:hAnsi="Verdana"/>
              </w:rPr>
              <w:t xml:space="preserve"> </w:t>
            </w:r>
            <w:r w:rsidR="00282341" w:rsidRPr="0011066A">
              <w:rPr>
                <w:rFonts w:ascii="Verdana" w:hAnsi="Verdana"/>
              </w:rPr>
              <w:t>an increase in</w:t>
            </w:r>
            <w:r w:rsidR="009D7C46" w:rsidRPr="0011066A">
              <w:rPr>
                <w:rFonts w:ascii="Verdana" w:hAnsi="Verdana"/>
              </w:rPr>
              <w:t xml:space="preserve"> disability</w:t>
            </w:r>
            <w:r w:rsidR="00282341" w:rsidRPr="0011066A">
              <w:rPr>
                <w:rFonts w:ascii="Verdana" w:hAnsi="Verdana"/>
              </w:rPr>
              <w:t xml:space="preserve"> </w:t>
            </w:r>
            <w:r w:rsidR="00282341" w:rsidRPr="0011066A">
              <w:rPr>
                <w:rFonts w:ascii="Verdana" w:hAnsi="Verdana"/>
                <w:sz w:val="16"/>
              </w:rPr>
              <w:t>(incre</w:t>
            </w:r>
            <w:r w:rsidR="00D873ED" w:rsidRPr="0011066A">
              <w:rPr>
                <w:rFonts w:ascii="Verdana" w:hAnsi="Verdana"/>
                <w:sz w:val="16"/>
              </w:rPr>
              <w:t xml:space="preserve">ase actually manifested itself) </w:t>
            </w:r>
            <w:r w:rsidR="00D873ED" w:rsidRPr="0011066A">
              <w:rPr>
                <w:rFonts w:ascii="Verdana" w:hAnsi="Verdana"/>
              </w:rPr>
              <w:t>with</w:t>
            </w:r>
            <w:r w:rsidRPr="0011066A">
              <w:rPr>
                <w:rFonts w:ascii="Verdana" w:hAnsi="Verdana"/>
              </w:rPr>
              <w:t>in one year prior to the date of claim, or prior to March 24, 2015</w:t>
            </w:r>
            <w:r w:rsidR="00BB6647" w:rsidRPr="0011066A">
              <w:rPr>
                <w:rFonts w:ascii="Verdana" w:hAnsi="Verdana"/>
              </w:rPr>
              <w:t>.</w:t>
            </w:r>
            <w:r w:rsidR="00D873ED" w:rsidRPr="0011066A">
              <w:rPr>
                <w:rFonts w:ascii="Verdana" w:hAnsi="Verdana"/>
              </w:rPr>
              <w:t xml:space="preserve"> </w:t>
            </w:r>
            <w:r w:rsidR="00D873ED" w:rsidRPr="0011066A">
              <w:rPr>
                <w:rFonts w:ascii="Verdana" w:hAnsi="Verdana"/>
                <w:sz w:val="16"/>
              </w:rPr>
              <w:t xml:space="preserve">(prior to 3/24/15 in VATRs only, 3.157 for CFIs </w:t>
            </w:r>
            <w:r w:rsidR="00D873ED" w:rsidRPr="0011066A">
              <w:rPr>
                <w:rFonts w:ascii="Verdana" w:hAnsi="Verdana"/>
                <w:sz w:val="16"/>
                <w:szCs w:val="16"/>
              </w:rPr>
              <w:t xml:space="preserve">or </w:t>
            </w:r>
            <w:r w:rsidR="00D873ED" w:rsidRPr="0011066A">
              <w:rPr>
                <w:rFonts w:ascii="Verdana" w:hAnsi="Verdana"/>
                <w:i/>
                <w:sz w:val="16"/>
                <w:szCs w:val="16"/>
                <w:lang w:val="en"/>
              </w:rPr>
              <w:t>complications of diabetes, residuals of cancer, scars from surgery, neurological disabilities related to the spine, complications of progressive disorders (ALS, MS), constitutional symptoms of systemic disorders (RA, ankylosing spondylitis)</w:t>
            </w:r>
            <w:r w:rsidR="00D873ED" w:rsidRPr="0011066A">
              <w:rPr>
                <w:rFonts w:ascii="Verdana" w:hAnsi="Verdana"/>
                <w:sz w:val="16"/>
                <w:szCs w:val="16"/>
              </w:rPr>
              <w:t>).</w:t>
            </w:r>
          </w:p>
          <w:p w:rsidR="00D873ED" w:rsidRPr="0011066A" w:rsidRDefault="00D873ED" w:rsidP="00533E2B">
            <w:pPr>
              <w:pStyle w:val="Header"/>
              <w:widowControl w:val="0"/>
              <w:tabs>
                <w:tab w:val="clear" w:pos="4320"/>
                <w:tab w:val="clear" w:pos="8640"/>
              </w:tabs>
              <w:rPr>
                <w:rFonts w:ascii="Verdana" w:hAnsi="Verdana"/>
                <w:sz w:val="16"/>
              </w:rPr>
            </w:pPr>
          </w:p>
          <w:p w:rsidR="00D873ED" w:rsidRPr="0011066A" w:rsidRDefault="00D873ED" w:rsidP="00D873ED">
            <w:pPr>
              <w:pStyle w:val="Header"/>
              <w:widowControl w:val="0"/>
              <w:tabs>
                <w:tab w:val="clear" w:pos="4320"/>
                <w:tab w:val="clear" w:pos="8640"/>
              </w:tabs>
              <w:rPr>
                <w:rFonts w:ascii="Verdana" w:hAnsi="Verdana"/>
              </w:rPr>
            </w:pPr>
            <w:r w:rsidRPr="0011066A">
              <w:rPr>
                <w:rFonts w:ascii="Verdana" w:hAnsi="Verdana"/>
              </w:rPr>
              <w:t>, the day VA received your claim, since the treatment records do not show that this disability was diagnosed within one year prior to the date of claim, or prior to March 24, 2015</w:t>
            </w:r>
            <w:r w:rsidR="00BB6647" w:rsidRPr="0011066A">
              <w:rPr>
                <w:rFonts w:ascii="Verdana" w:hAnsi="Verdana"/>
              </w:rPr>
              <w:t>.</w:t>
            </w:r>
            <w:r w:rsidRPr="0011066A">
              <w:rPr>
                <w:rFonts w:ascii="Verdana" w:hAnsi="Verdana"/>
              </w:rPr>
              <w:t xml:space="preserve"> </w:t>
            </w:r>
            <w:r w:rsidRPr="0011066A">
              <w:rPr>
                <w:rFonts w:ascii="Verdana" w:hAnsi="Verdana"/>
                <w:sz w:val="16"/>
              </w:rPr>
              <w:t xml:space="preserve">(prior to 3/24/15 in VATRs only, 3.157 for CFIs </w:t>
            </w:r>
            <w:r w:rsidRPr="0011066A">
              <w:rPr>
                <w:rFonts w:ascii="Verdana" w:hAnsi="Verdana"/>
                <w:sz w:val="16"/>
                <w:szCs w:val="16"/>
              </w:rPr>
              <w:t xml:space="preserve">or </w:t>
            </w:r>
            <w:r w:rsidRPr="0011066A">
              <w:rPr>
                <w:rFonts w:ascii="Verdana" w:hAnsi="Verdana"/>
                <w:i/>
                <w:sz w:val="16"/>
                <w:szCs w:val="16"/>
                <w:lang w:val="en"/>
              </w:rPr>
              <w:t>complications of diabetes, residuals of cancer, scars from surgery, neurological disabilities related to the spine, complications of progressive disorders (ALS, MS), constitutional symptoms of systemic disorders (RA, ankylosing spondylitis)</w:t>
            </w:r>
            <w:r w:rsidRPr="0011066A">
              <w:rPr>
                <w:rFonts w:ascii="Verdana" w:hAnsi="Verdana"/>
                <w:sz w:val="16"/>
                <w:szCs w:val="16"/>
              </w:rPr>
              <w:t>)</w:t>
            </w:r>
          </w:p>
          <w:p w:rsidR="00223343" w:rsidRPr="0011066A" w:rsidRDefault="00223343"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pPr>
            <w:r w:rsidRPr="0011066A">
              <w:rPr>
                <w:i/>
              </w:rPr>
              <w:t>*with ITF</w:t>
            </w:r>
            <w:r w:rsidRPr="0011066A">
              <w:t xml:space="preserve"> - </w:t>
            </w:r>
            <w:r w:rsidRPr="0011066A">
              <w:rPr>
                <w:rFonts w:ascii="Verdana" w:hAnsi="Verdana"/>
              </w:rPr>
              <w:t xml:space="preserve">The treatment records do not show evidence of increased disability </w:t>
            </w:r>
            <w:r w:rsidR="00282341" w:rsidRPr="0011066A">
              <w:rPr>
                <w:rFonts w:ascii="Verdana" w:hAnsi="Verdana"/>
              </w:rPr>
              <w:t xml:space="preserve">that manifested </w:t>
            </w:r>
            <w:r w:rsidRPr="0011066A">
              <w:rPr>
                <w:rFonts w:ascii="Verdana" w:hAnsi="Verdana"/>
              </w:rPr>
              <w:t>within one year prior to the ITF.</w:t>
            </w:r>
          </w:p>
          <w:p w:rsidR="00911094" w:rsidRPr="0011066A" w:rsidRDefault="00911094" w:rsidP="00533E2B">
            <w:pPr>
              <w:pStyle w:val="Header"/>
              <w:widowControl w:val="0"/>
              <w:tabs>
                <w:tab w:val="clear" w:pos="4320"/>
                <w:tab w:val="clear" w:pos="8640"/>
              </w:tabs>
            </w:pPr>
          </w:p>
          <w:p w:rsidR="0061447D" w:rsidRPr="0011066A" w:rsidRDefault="004F00DB" w:rsidP="0061447D">
            <w:pPr>
              <w:pStyle w:val="Header"/>
              <w:widowControl w:val="0"/>
              <w:tabs>
                <w:tab w:val="clear" w:pos="4320"/>
                <w:tab w:val="clear" w:pos="8640"/>
              </w:tabs>
              <w:rPr>
                <w:i/>
              </w:rPr>
            </w:pPr>
            <w:r>
              <w:rPr>
                <w:i/>
              </w:rPr>
              <w:t xml:space="preserve">based on veteran </w:t>
            </w:r>
            <w:r w:rsidR="0061447D" w:rsidRPr="0011066A">
              <w:rPr>
                <w:i/>
              </w:rPr>
              <w:t xml:space="preserve">provided DBQ </w:t>
            </w:r>
            <w:r w:rsidR="004B18A3">
              <w:rPr>
                <w:i/>
              </w:rPr>
              <w:t xml:space="preserve">/ private DBQ </w:t>
            </w:r>
            <w:r w:rsidR="0061447D" w:rsidRPr="0011066A">
              <w:rPr>
                <w:i/>
              </w:rPr>
              <w:t>w/i year of claim, 3.400(o)(2):</w:t>
            </w:r>
          </w:p>
          <w:p w:rsidR="0061447D" w:rsidRPr="0011066A" w:rsidRDefault="0061447D" w:rsidP="0061447D">
            <w:pPr>
              <w:pStyle w:val="Header"/>
              <w:widowControl w:val="0"/>
              <w:tabs>
                <w:tab w:val="clear" w:pos="4320"/>
                <w:tab w:val="clear" w:pos="8640"/>
              </w:tabs>
            </w:pPr>
            <w:r w:rsidRPr="0011066A">
              <w:t>Entitlement to an increased evaluation has been establish</w:t>
            </w:r>
            <w:r w:rsidR="004F00DB">
              <w:t xml:space="preserve">ed from the date of the veteran </w:t>
            </w:r>
            <w:r w:rsidRPr="0011066A">
              <w:t>provided DBQ showing evidence of increased disability, within one year prior to the date of claim.</w:t>
            </w:r>
          </w:p>
          <w:p w:rsidR="0061447D" w:rsidRDefault="0027435D" w:rsidP="00533E2B">
            <w:pPr>
              <w:pStyle w:val="Header"/>
              <w:widowControl w:val="0"/>
              <w:tabs>
                <w:tab w:val="clear" w:pos="4320"/>
                <w:tab w:val="clear" w:pos="8640"/>
              </w:tabs>
            </w:pPr>
            <w:r>
              <w:t>OR</w:t>
            </w:r>
          </w:p>
          <w:p w:rsidR="0027435D" w:rsidRPr="0011066A" w:rsidRDefault="0027435D" w:rsidP="00533E2B">
            <w:pPr>
              <w:pStyle w:val="Header"/>
              <w:widowControl w:val="0"/>
              <w:tabs>
                <w:tab w:val="clear" w:pos="4320"/>
                <w:tab w:val="clear" w:pos="8640"/>
              </w:tabs>
            </w:pPr>
            <w:r w:rsidRPr="0027435D">
              <w:t>, the date of the veteran</w:t>
            </w:r>
            <w:r w:rsidR="004F00DB">
              <w:t xml:space="preserve"> </w:t>
            </w:r>
            <w:r w:rsidRPr="0027435D">
              <w:t>provided DBQ received within one year prior to the date of claim.</w:t>
            </w:r>
          </w:p>
          <w:p w:rsidR="0061447D" w:rsidRPr="0011066A" w:rsidRDefault="0061447D"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i/>
              </w:rPr>
            </w:pPr>
            <w:r w:rsidRPr="0011066A">
              <w:rPr>
                <w:i/>
              </w:rPr>
              <w:t>based on TRs w/i year of claim (*all three are the same, verbiage just slightly different):</w:t>
            </w:r>
          </w:p>
          <w:p w:rsidR="00911094" w:rsidRPr="0011066A" w:rsidRDefault="00911094" w:rsidP="00533E2B">
            <w:pPr>
              <w:pStyle w:val="Header"/>
              <w:widowControl w:val="0"/>
              <w:tabs>
                <w:tab w:val="clear" w:pos="4320"/>
                <w:tab w:val="clear" w:pos="8640"/>
              </w:tabs>
            </w:pPr>
            <w:r w:rsidRPr="0011066A">
              <w:t>Entitlement to an increased evaluation has been established from the earliest date the treatment records show evidence of increased disability</w:t>
            </w:r>
            <w:r w:rsidR="00282341" w:rsidRPr="0011066A">
              <w:t xml:space="preserve">, </w:t>
            </w:r>
            <w:r w:rsidRPr="0011066A">
              <w:t>within one year prior to the date of claim.</w:t>
            </w:r>
          </w:p>
          <w:p w:rsidR="00911094" w:rsidRPr="0011066A" w:rsidRDefault="00911094" w:rsidP="00533E2B">
            <w:pPr>
              <w:pStyle w:val="Header"/>
              <w:widowControl w:val="0"/>
              <w:tabs>
                <w:tab w:val="clear" w:pos="4320"/>
                <w:tab w:val="clear" w:pos="8640"/>
              </w:tabs>
            </w:pPr>
            <w:r w:rsidRPr="0011066A">
              <w:t>OR</w:t>
            </w:r>
          </w:p>
          <w:p w:rsidR="00911094" w:rsidRPr="0011066A" w:rsidRDefault="00911094" w:rsidP="00533E2B">
            <w:pPr>
              <w:pStyle w:val="Header"/>
              <w:widowControl w:val="0"/>
              <w:tabs>
                <w:tab w:val="clear" w:pos="4320"/>
                <w:tab w:val="clear" w:pos="8640"/>
              </w:tabs>
              <w:rPr>
                <w:rFonts w:ascii="Verdana" w:hAnsi="Verdana"/>
              </w:rPr>
            </w:pPr>
            <w:r w:rsidRPr="0011066A">
              <w:rPr>
                <w:rFonts w:ascii="Verdana" w:hAnsi="Verdana"/>
              </w:rPr>
              <w:t xml:space="preserve">Entitlement to an increased evaluation has been established from </w:t>
            </w:r>
            <w:r w:rsidRPr="0011066A">
              <w:rPr>
                <w:rFonts w:ascii="Verdana" w:hAnsi="Verdana"/>
                <w:b/>
              </w:rPr>
              <w:t>the date of the medical evidence showing an increase in disability</w:t>
            </w:r>
            <w:r w:rsidRPr="0011066A">
              <w:rPr>
                <w:rFonts w:ascii="Verdana" w:hAnsi="Verdana"/>
              </w:rPr>
              <w:t xml:space="preserve">. When an increased evaluation is granted based on </w:t>
            </w:r>
            <w:r w:rsidRPr="0011066A">
              <w:rPr>
                <w:rFonts w:ascii="Verdana" w:hAnsi="Verdana"/>
                <w:b/>
              </w:rPr>
              <w:t>medical evidence</w:t>
            </w:r>
            <w:r w:rsidRPr="0011066A">
              <w:rPr>
                <w:rFonts w:ascii="Verdana" w:hAnsi="Verdana"/>
              </w:rPr>
              <w:t xml:space="preserve"> showing an increase in disability within one year prior to the date the claim was received, the effective date of the increase is the date of the medical evidence.</w:t>
            </w:r>
          </w:p>
          <w:p w:rsidR="00911094" w:rsidRPr="0011066A" w:rsidRDefault="00911094" w:rsidP="00533E2B">
            <w:pPr>
              <w:pStyle w:val="Header"/>
              <w:widowControl w:val="0"/>
              <w:tabs>
                <w:tab w:val="clear" w:pos="4320"/>
                <w:tab w:val="clear" w:pos="8640"/>
              </w:tabs>
            </w:pPr>
            <w:r w:rsidRPr="0011066A">
              <w:t>OR</w:t>
            </w:r>
          </w:p>
          <w:p w:rsidR="00911094" w:rsidRDefault="00911094" w:rsidP="00533E2B">
            <w:pPr>
              <w:pStyle w:val="Header"/>
              <w:widowControl w:val="0"/>
              <w:tabs>
                <w:tab w:val="clear" w:pos="4320"/>
                <w:tab w:val="clear" w:pos="8640"/>
              </w:tabs>
              <w:rPr>
                <w:rFonts w:ascii="Verdana" w:hAnsi="Verdana"/>
              </w:rPr>
            </w:pPr>
            <w:r w:rsidRPr="0011066A">
              <w:rPr>
                <w:rFonts w:ascii="Verdana" w:hAnsi="Verdana"/>
              </w:rPr>
              <w:t>Entitlement to an increased evaluation has been established</w:t>
            </w:r>
            <w:r w:rsidRPr="0032250E">
              <w:rPr>
                <w:rFonts w:ascii="Verdana" w:hAnsi="Verdana"/>
              </w:rPr>
              <w:t xml:space="preserve"> from</w:t>
            </w:r>
            <w:r w:rsidRPr="0011066A">
              <w:rPr>
                <w:rFonts w:ascii="Verdana" w:hAnsi="Verdana"/>
                <w:b/>
              </w:rPr>
              <w:t xml:space="preserve"> the date of the medical evidence showing an increase in disability</w:t>
            </w:r>
            <w:r w:rsidRPr="0011066A">
              <w:rPr>
                <w:rFonts w:ascii="Verdana" w:hAnsi="Verdana"/>
              </w:rPr>
              <w:t xml:space="preserve">. When </w:t>
            </w:r>
            <w:r w:rsidRPr="0011066A">
              <w:rPr>
                <w:rFonts w:ascii="Verdana" w:hAnsi="Verdana"/>
                <w:b/>
              </w:rPr>
              <w:t xml:space="preserve">medical evidence </w:t>
            </w:r>
            <w:r w:rsidRPr="0011066A">
              <w:rPr>
                <w:rFonts w:ascii="Verdana" w:hAnsi="Verdana"/>
              </w:rPr>
              <w:t>showing an increase in disability is received within one year of the date of the evidence, the effective date of the increase is the date of the evidence.</w:t>
            </w:r>
          </w:p>
          <w:p w:rsidR="0032250E" w:rsidRDefault="0032250E" w:rsidP="00533E2B">
            <w:pPr>
              <w:pStyle w:val="Header"/>
              <w:widowControl w:val="0"/>
              <w:tabs>
                <w:tab w:val="clear" w:pos="4320"/>
                <w:tab w:val="clear" w:pos="8640"/>
              </w:tabs>
              <w:rPr>
                <w:rFonts w:ascii="Verdana" w:hAnsi="Verdana"/>
              </w:rPr>
            </w:pPr>
          </w:p>
          <w:p w:rsidR="0032250E" w:rsidRPr="0011066A" w:rsidRDefault="0032250E" w:rsidP="00533E2B">
            <w:pPr>
              <w:pStyle w:val="Header"/>
              <w:widowControl w:val="0"/>
              <w:tabs>
                <w:tab w:val="clear" w:pos="4320"/>
                <w:tab w:val="clear" w:pos="8640"/>
              </w:tabs>
            </w:pPr>
            <w:r w:rsidRPr="0011066A">
              <w:rPr>
                <w:i/>
              </w:rPr>
              <w:t>*with ITF</w:t>
            </w:r>
            <w:r w:rsidRPr="0011066A">
              <w:t xml:space="preserve"> - Entitlement to an </w:t>
            </w:r>
            <w:r w:rsidRPr="0032250E">
              <w:t xml:space="preserve">increased evaluation </w:t>
            </w:r>
            <w:r w:rsidRPr="0011066A">
              <w:t>has been established from the</w:t>
            </w:r>
            <w:r>
              <w:t xml:space="preserve"> date of the medical evidence showing an increase in disability, as you filed an In</w:t>
            </w:r>
            <w:r w:rsidRPr="0011066A">
              <w:t xml:space="preserve">tent to File (ITF) </w:t>
            </w:r>
            <w:r>
              <w:t>within one year of the date of the evidence, and a c</w:t>
            </w:r>
            <w:r w:rsidRPr="0011066A">
              <w:rPr>
                <w:lang w:val="en"/>
              </w:rPr>
              <w:t>omplete claim was received within one year of the ITF.</w:t>
            </w:r>
            <w:r>
              <w:rPr>
                <w:lang w:val="en"/>
              </w:rPr>
              <w:t xml:space="preserve"> - </w:t>
            </w:r>
            <w:r w:rsidRPr="0032250E">
              <w:rPr>
                <w:rStyle w:val="Strong"/>
                <w:bCs w:val="0"/>
                <w:szCs w:val="21"/>
              </w:rPr>
              <w:t xml:space="preserve">III.iv.5.C.5.b </w:t>
            </w:r>
            <w:r w:rsidRPr="0032250E">
              <w:rPr>
                <w:rStyle w:val="Strong"/>
                <w:b w:val="0"/>
                <w:bCs w:val="0"/>
                <w:szCs w:val="21"/>
              </w:rPr>
              <w:t xml:space="preserve">&amp; </w:t>
            </w:r>
            <w:r w:rsidRPr="0032250E">
              <w:rPr>
                <w:rStyle w:val="Strong"/>
                <w:bCs w:val="0"/>
                <w:szCs w:val="21"/>
              </w:rPr>
              <w:t>3.400(o)(2)</w:t>
            </w:r>
          </w:p>
          <w:p w:rsidR="00911094" w:rsidRPr="0011066A" w:rsidRDefault="00911094" w:rsidP="00533E2B">
            <w:pPr>
              <w:pStyle w:val="Header"/>
              <w:widowControl w:val="0"/>
              <w:tabs>
                <w:tab w:val="clear" w:pos="4320"/>
                <w:tab w:val="clear" w:pos="8640"/>
              </w:tabs>
              <w:rPr>
                <w:b/>
              </w:rPr>
            </w:pPr>
            <w:r w:rsidRPr="0011066A">
              <w:rPr>
                <w:b/>
              </w:rPr>
              <w:t xml:space="preserve"> </w:t>
            </w:r>
          </w:p>
          <w:p w:rsidR="00911094" w:rsidRPr="0011066A" w:rsidRDefault="00911094" w:rsidP="00533E2B">
            <w:pPr>
              <w:pStyle w:val="Header"/>
              <w:widowControl w:val="0"/>
              <w:tabs>
                <w:tab w:val="clear" w:pos="4320"/>
                <w:tab w:val="clear" w:pos="8640"/>
              </w:tabs>
              <w:rPr>
                <w:bCs/>
              </w:rPr>
            </w:pPr>
            <w:r w:rsidRPr="0011066A">
              <w:rPr>
                <w:bCs/>
              </w:rPr>
              <w:t>The DBQ associated with your prior claim for increase did not show evidence of increase in severity sufficient to warrant a higher evaluation, but the DBQ associated with the current claim for increase does show evidence of increase to the {} percent level.</w:t>
            </w:r>
          </w:p>
          <w:p w:rsidR="00911094" w:rsidRPr="0011066A" w:rsidRDefault="00911094" w:rsidP="00533E2B">
            <w:pPr>
              <w:pStyle w:val="Header"/>
              <w:widowControl w:val="0"/>
              <w:tabs>
                <w:tab w:val="clear" w:pos="4320"/>
                <w:tab w:val="clear" w:pos="8640"/>
              </w:tabs>
              <w:rPr>
                <w:bCs/>
              </w:rPr>
            </w:pPr>
          </w:p>
          <w:p w:rsidR="00911094" w:rsidRPr="0011066A" w:rsidRDefault="00911094" w:rsidP="00533E2B">
            <w:pPr>
              <w:pStyle w:val="Header"/>
              <w:widowControl w:val="0"/>
              <w:tabs>
                <w:tab w:val="clear" w:pos="4320"/>
                <w:tab w:val="clear" w:pos="8640"/>
              </w:tabs>
            </w:pPr>
            <w:r w:rsidRPr="0011066A">
              <w:rPr>
                <w:b/>
              </w:rPr>
              <w:t>TRs under historic 3.157 prior to 3/24/15</w:t>
            </w:r>
            <w:r w:rsidRPr="0011066A">
              <w:t xml:space="preserve"> (also applies to </w:t>
            </w:r>
            <w:r w:rsidRPr="0011066A">
              <w:rPr>
                <w:b/>
              </w:rPr>
              <w:t>seconday SC for common complications</w:t>
            </w:r>
            <w:r w:rsidRPr="0011066A">
              <w:t xml:space="preserve">; also see </w:t>
            </w:r>
            <w:r w:rsidRPr="0011066A">
              <w:rPr>
                <w:b/>
              </w:rPr>
              <w:t>III.ii.2.C.1.a</w:t>
            </w:r>
            <w:r w:rsidR="00393C23" w:rsidRPr="0011066A">
              <w:t xml:space="preserve"> </w:t>
            </w:r>
            <w:r w:rsidRPr="0011066A">
              <w:t>&amp;</w:t>
            </w:r>
            <w:r w:rsidR="00393C23" w:rsidRPr="0011066A">
              <w:rPr>
                <w:b/>
              </w:rPr>
              <w:t xml:space="preserve"> III.ii.2.C.1</w:t>
            </w:r>
            <w:r w:rsidR="00EF4E12" w:rsidRPr="0011066A">
              <w:rPr>
                <w:b/>
              </w:rPr>
              <w:t>.</w:t>
            </w:r>
            <w:r w:rsidRPr="0011066A">
              <w:rPr>
                <w:b/>
              </w:rPr>
              <w:t>c</w:t>
            </w:r>
            <w:r w:rsidRPr="0011066A">
              <w:t>, plus</w:t>
            </w:r>
            <w:r w:rsidRPr="0011066A">
              <w:rPr>
                <w:b/>
              </w:rPr>
              <w:t xml:space="preserve"> </w:t>
            </w:r>
            <w:r w:rsidRPr="0011066A">
              <w:t xml:space="preserve">VA Pulse, </w:t>
            </w:r>
            <w:r w:rsidRPr="0011066A">
              <w:rPr>
                <w:i/>
              </w:rPr>
              <w:t>https://www.vapulse.net/message/9403, https://www.vapulse.net/message/11293 &amp; https://www.vapulse.net/message/51221</w:t>
            </w:r>
            <w:r w:rsidRPr="0011066A">
              <w:t xml:space="preserve">)– </w:t>
            </w:r>
          </w:p>
          <w:p w:rsidR="00911094" w:rsidRPr="0011066A" w:rsidRDefault="00911094" w:rsidP="00533E2B">
            <w:pPr>
              <w:pStyle w:val="Header"/>
              <w:widowControl w:val="0"/>
              <w:tabs>
                <w:tab w:val="clear" w:pos="4320"/>
                <w:tab w:val="clear" w:pos="8640"/>
              </w:tabs>
              <w:rPr>
                <w:rFonts w:ascii="Verdana" w:hAnsi="Verdana"/>
              </w:rPr>
            </w:pPr>
            <w:r w:rsidRPr="0011066A">
              <w:rPr>
                <w:rFonts w:ascii="Verdana" w:hAnsi="Verdana"/>
              </w:rPr>
              <w:t xml:space="preserve">Entitlement to an increased evaluation has been established from </w:t>
            </w:r>
            <w:r w:rsidRPr="0011066A">
              <w:rPr>
                <w:rFonts w:ascii="Verdana" w:hAnsi="Verdana"/>
                <w:b/>
              </w:rPr>
              <w:t>the date of the VA medical evidence showing an increase in disability which is considered an informal claim based on our regulations prior to March 24, 2015</w:t>
            </w:r>
            <w:r w:rsidRPr="0011066A">
              <w:rPr>
                <w:rFonts w:ascii="Verdana" w:hAnsi="Verdana"/>
              </w:rPr>
              <w:t xml:space="preserve">. </w:t>
            </w:r>
          </w:p>
          <w:p w:rsidR="00223343" w:rsidRPr="0011066A" w:rsidRDefault="00223343" w:rsidP="00223343">
            <w:pPr>
              <w:pStyle w:val="Header"/>
              <w:widowControl w:val="0"/>
              <w:tabs>
                <w:tab w:val="clear" w:pos="4320"/>
                <w:tab w:val="clear" w:pos="8640"/>
              </w:tabs>
            </w:pPr>
          </w:p>
          <w:p w:rsidR="00223343" w:rsidRPr="0011066A" w:rsidRDefault="00223343" w:rsidP="00223343">
            <w:pPr>
              <w:pStyle w:val="Header"/>
              <w:widowControl w:val="0"/>
              <w:tabs>
                <w:tab w:val="clear" w:pos="4320"/>
                <w:tab w:val="clear" w:pos="8640"/>
              </w:tabs>
              <w:rPr>
                <w:rFonts w:ascii="Verdana" w:hAnsi="Verdana"/>
              </w:rPr>
            </w:pPr>
            <w:r w:rsidRPr="0011066A">
              <w:rPr>
                <w:rFonts w:ascii="Verdana" w:hAnsi="Verdana"/>
                <w:b/>
              </w:rPr>
              <w:t>, the date of the VA medical evidence showing an increase in disability which is considered an informal claim based on our regulations prior to March 24, 2015</w:t>
            </w:r>
            <w:r w:rsidRPr="0011066A">
              <w:rPr>
                <w:rFonts w:ascii="Verdana" w:hAnsi="Verdana"/>
              </w:rPr>
              <w:t xml:space="preserve">. </w:t>
            </w:r>
          </w:p>
          <w:p w:rsidR="00911094" w:rsidRPr="0011066A" w:rsidRDefault="00911094" w:rsidP="00533E2B">
            <w:pPr>
              <w:pStyle w:val="Header"/>
              <w:widowControl w:val="0"/>
              <w:tabs>
                <w:tab w:val="clear" w:pos="4320"/>
                <w:tab w:val="clear" w:pos="8640"/>
              </w:tabs>
              <w:rPr>
                <w:b/>
                <w:bCs/>
              </w:rPr>
            </w:pPr>
          </w:p>
          <w:p w:rsidR="00911094" w:rsidRPr="0011066A" w:rsidRDefault="00911094" w:rsidP="00533E2B">
            <w:pPr>
              <w:pStyle w:val="Header"/>
              <w:widowControl w:val="0"/>
              <w:tabs>
                <w:tab w:val="clear" w:pos="4320"/>
                <w:tab w:val="clear" w:pos="8640"/>
              </w:tabs>
              <w:rPr>
                <w:b/>
                <w:bCs/>
              </w:rPr>
            </w:pPr>
          </w:p>
          <w:p w:rsidR="00911094" w:rsidRPr="0011066A" w:rsidRDefault="00911094" w:rsidP="00533E2B">
            <w:pPr>
              <w:pStyle w:val="Header"/>
              <w:widowControl w:val="0"/>
              <w:tabs>
                <w:tab w:val="clear" w:pos="4320"/>
                <w:tab w:val="clear" w:pos="8640"/>
              </w:tabs>
              <w:rPr>
                <w:b/>
                <w:bCs/>
              </w:rPr>
            </w:pPr>
            <w:r w:rsidRPr="0011066A">
              <w:rPr>
                <w:b/>
                <w:bCs/>
              </w:rPr>
              <w:t>PRESUMPTIVE:</w:t>
            </w:r>
          </w:p>
          <w:p w:rsidR="00911094" w:rsidRPr="0011066A" w:rsidRDefault="00911094" w:rsidP="00533E2B">
            <w:pPr>
              <w:pStyle w:val="Header"/>
              <w:widowControl w:val="0"/>
              <w:tabs>
                <w:tab w:val="clear" w:pos="4320"/>
                <w:tab w:val="clear" w:pos="8640"/>
              </w:tabs>
            </w:pPr>
            <w:r w:rsidRPr="0011066A">
              <w:t>Service connection has been established from the date the treatment records show {}, because the claim was filed within one year of discharge.</w:t>
            </w:r>
          </w:p>
          <w:p w:rsidR="00911094" w:rsidRPr="0011066A" w:rsidRDefault="00911094" w:rsidP="00533E2B">
            <w:pPr>
              <w:pStyle w:val="Header"/>
              <w:widowControl w:val="0"/>
              <w:tabs>
                <w:tab w:val="clear" w:pos="4320"/>
                <w:tab w:val="clear" w:pos="8640"/>
              </w:tabs>
              <w:rPr>
                <w:i/>
                <w:iCs/>
              </w:rPr>
            </w:pPr>
            <w:r w:rsidRPr="0011066A">
              <w:rPr>
                <w:i/>
                <w:iCs/>
              </w:rPr>
              <w:t>*only if no evidence of the condition in the STRs</w:t>
            </w:r>
          </w:p>
          <w:p w:rsidR="00911094" w:rsidRPr="0011066A" w:rsidRDefault="00911094" w:rsidP="00533E2B">
            <w:pPr>
              <w:pStyle w:val="Header"/>
              <w:widowControl w:val="0"/>
              <w:tabs>
                <w:tab w:val="clear" w:pos="4320"/>
                <w:tab w:val="clear" w:pos="8640"/>
              </w:tabs>
              <w:rPr>
                <w:i/>
                <w:iCs/>
              </w:rPr>
            </w:pPr>
            <w:r w:rsidRPr="0011066A">
              <w:rPr>
                <w:i/>
                <w:iCs/>
              </w:rPr>
              <w:t>OR date of claim if diagnosed within one year of discharge, but no claim until more than one year following discharge</w:t>
            </w:r>
          </w:p>
          <w:p w:rsidR="00911094" w:rsidRPr="0011066A" w:rsidRDefault="00911094" w:rsidP="00533E2B">
            <w:pPr>
              <w:pStyle w:val="Header"/>
              <w:widowControl w:val="0"/>
              <w:tabs>
                <w:tab w:val="clear" w:pos="4320"/>
                <w:tab w:val="clear" w:pos="8640"/>
              </w:tabs>
              <w:rPr>
                <w:i/>
                <w:iCs/>
              </w:rPr>
            </w:pPr>
          </w:p>
          <w:p w:rsidR="00911094" w:rsidRPr="0011066A" w:rsidRDefault="00911094" w:rsidP="00533E2B">
            <w:pPr>
              <w:pStyle w:val="Header"/>
              <w:widowControl w:val="0"/>
              <w:tabs>
                <w:tab w:val="clear" w:pos="4320"/>
                <w:tab w:val="clear" w:pos="8640"/>
              </w:tabs>
              <w:rPr>
                <w:i/>
                <w:iCs/>
              </w:rPr>
            </w:pPr>
          </w:p>
          <w:p w:rsidR="00911094" w:rsidRPr="0011066A" w:rsidRDefault="00911094" w:rsidP="00533E2B">
            <w:pPr>
              <w:pStyle w:val="Header"/>
              <w:widowControl w:val="0"/>
              <w:tabs>
                <w:tab w:val="clear" w:pos="4320"/>
                <w:tab w:val="clear" w:pos="8640"/>
              </w:tabs>
              <w:rPr>
                <w:b/>
                <w:bCs/>
              </w:rPr>
            </w:pPr>
            <w:r w:rsidRPr="0011066A">
              <w:rPr>
                <w:b/>
                <w:bCs/>
              </w:rPr>
              <w:t>SECONDARY:</w:t>
            </w:r>
          </w:p>
          <w:p w:rsidR="00911094" w:rsidRPr="0011066A" w:rsidRDefault="00911094" w:rsidP="00533E2B">
            <w:pPr>
              <w:pStyle w:val="Header"/>
              <w:widowControl w:val="0"/>
              <w:tabs>
                <w:tab w:val="clear" w:pos="4320"/>
                <w:tab w:val="clear" w:pos="8640"/>
              </w:tabs>
              <w:rPr>
                <w:i/>
              </w:rPr>
            </w:pPr>
          </w:p>
          <w:p w:rsidR="00911094" w:rsidRPr="0011066A" w:rsidRDefault="00911094" w:rsidP="00533E2B">
            <w:pPr>
              <w:pStyle w:val="Header"/>
              <w:widowControl w:val="0"/>
              <w:tabs>
                <w:tab w:val="clear" w:pos="4320"/>
                <w:tab w:val="clear" w:pos="8640"/>
              </w:tabs>
            </w:pPr>
            <w:r w:rsidRPr="0011066A">
              <w:rPr>
                <w:b/>
              </w:rPr>
              <w:t>3.400(o)(2), w/TRs</w:t>
            </w:r>
            <w:r w:rsidR="00F41556">
              <w:rPr>
                <w:b/>
              </w:rPr>
              <w:t xml:space="preserve"> (</w:t>
            </w:r>
            <w:r w:rsidR="00F41556" w:rsidRPr="00407CAD">
              <w:rPr>
                <w:b/>
              </w:rPr>
              <w:t>III.iv.5.C.</w:t>
            </w:r>
            <w:r w:rsidR="00F41556">
              <w:rPr>
                <w:b/>
              </w:rPr>
              <w:t>5)</w:t>
            </w:r>
            <w:r w:rsidRPr="0011066A">
              <w:rPr>
                <w:b/>
              </w:rPr>
              <w:t xml:space="preserve"> –</w:t>
            </w:r>
            <w:r w:rsidRPr="0011066A">
              <w:t xml:space="preserve"> </w:t>
            </w:r>
          </w:p>
          <w:p w:rsidR="00911094" w:rsidRPr="0011066A" w:rsidRDefault="00911094" w:rsidP="00533E2B">
            <w:pPr>
              <w:pStyle w:val="Header"/>
              <w:widowControl w:val="0"/>
              <w:tabs>
                <w:tab w:val="clear" w:pos="4320"/>
                <w:tab w:val="clear" w:pos="8640"/>
              </w:tabs>
              <w:rPr>
                <w:rFonts w:ascii="Verdana" w:hAnsi="Verdana"/>
              </w:rPr>
            </w:pPr>
          </w:p>
          <w:p w:rsidR="00911094" w:rsidRPr="0011066A" w:rsidRDefault="00911094" w:rsidP="00533E2B">
            <w:pPr>
              <w:pStyle w:val="Header"/>
              <w:widowControl w:val="0"/>
              <w:tabs>
                <w:tab w:val="clear" w:pos="4320"/>
                <w:tab w:val="clear" w:pos="8640"/>
              </w:tabs>
              <w:rPr>
                <w:i/>
              </w:rPr>
            </w:pPr>
            <w:r w:rsidRPr="0011066A">
              <w:rPr>
                <w:i/>
              </w:rPr>
              <w:t>based on DOC even though have TRs:</w:t>
            </w:r>
          </w:p>
          <w:p w:rsidR="00911094" w:rsidRPr="0011066A" w:rsidRDefault="00911094" w:rsidP="00533E2B">
            <w:pPr>
              <w:pStyle w:val="Header"/>
              <w:widowControl w:val="0"/>
              <w:tabs>
                <w:tab w:val="clear" w:pos="4320"/>
                <w:tab w:val="clear" w:pos="8640"/>
              </w:tabs>
            </w:pPr>
            <w:r w:rsidRPr="0011066A">
              <w:rPr>
                <w:rFonts w:ascii="Verdana" w:hAnsi="Verdana"/>
              </w:rPr>
              <w:t xml:space="preserve">Service connection has been established from </w:t>
            </w:r>
            <w:r w:rsidRPr="0011066A">
              <w:rPr>
                <w:rFonts w:ascii="Verdana" w:hAnsi="Verdana"/>
                <w:b/>
              </w:rPr>
              <w:t>the day VA received your claim</w:t>
            </w:r>
            <w:r w:rsidRPr="0011066A">
              <w:rPr>
                <w:rFonts w:ascii="Verdana" w:hAnsi="Verdana"/>
              </w:rPr>
              <w:t>. The treatment records do not show evidence of {}, which is a medically-known complication of {}, within one year prior to the date of claim</w:t>
            </w:r>
            <w:r w:rsidRPr="0011066A">
              <w:t>.</w:t>
            </w:r>
          </w:p>
          <w:p w:rsidR="00911094" w:rsidRPr="0011066A" w:rsidRDefault="00911094" w:rsidP="00533E2B">
            <w:pPr>
              <w:pStyle w:val="Header"/>
              <w:widowControl w:val="0"/>
              <w:tabs>
                <w:tab w:val="clear" w:pos="4320"/>
                <w:tab w:val="clear" w:pos="8640"/>
              </w:tabs>
            </w:pPr>
            <w:r w:rsidRPr="0011066A">
              <w:rPr>
                <w:i/>
                <w:iCs/>
              </w:rPr>
              <w:t>OR</w:t>
            </w:r>
          </w:p>
          <w:p w:rsidR="00911094" w:rsidRPr="0011066A" w:rsidRDefault="00911094" w:rsidP="00533E2B">
            <w:pPr>
              <w:pStyle w:val="Header"/>
              <w:widowControl w:val="0"/>
              <w:tabs>
                <w:tab w:val="clear" w:pos="4320"/>
                <w:tab w:val="clear" w:pos="8640"/>
              </w:tabs>
              <w:rPr>
                <w:rFonts w:ascii="Verdana" w:hAnsi="Verdana"/>
              </w:rPr>
            </w:pPr>
            <w:r w:rsidRPr="0011066A">
              <w:rPr>
                <w:rFonts w:ascii="Verdana" w:hAnsi="Verdana"/>
              </w:rPr>
              <w:t xml:space="preserve">Service connection has been established from </w:t>
            </w:r>
            <w:r w:rsidRPr="0011066A">
              <w:rPr>
                <w:rFonts w:ascii="Verdana" w:hAnsi="Verdana"/>
                <w:b/>
              </w:rPr>
              <w:t>the day VA received your claim</w:t>
            </w:r>
            <w:r w:rsidRPr="0011066A">
              <w:rPr>
                <w:rFonts w:ascii="Verdana" w:hAnsi="Verdana"/>
              </w:rPr>
              <w:t xml:space="preserve">. [The </w:t>
            </w:r>
            <w:r w:rsidR="00AC28AF" w:rsidRPr="0011066A">
              <w:rPr>
                <w:rFonts w:ascii="Verdana" w:hAnsi="Verdana"/>
              </w:rPr>
              <w:t>DBQ</w:t>
            </w:r>
            <w:r w:rsidRPr="0011066A">
              <w:rPr>
                <w:rFonts w:ascii="Verdana" w:hAnsi="Verdana"/>
              </w:rPr>
              <w:t xml:space="preserve"> requested for your claim is the first date we have a medical opinion of its relationship to your service-connected ().]</w:t>
            </w: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b/>
                <w:i/>
              </w:rPr>
            </w:pPr>
            <w:r w:rsidRPr="0011066A">
              <w:rPr>
                <w:bCs/>
                <w:i/>
              </w:rPr>
              <w:t xml:space="preserve">3.155(d)(2) says </w:t>
            </w:r>
            <w:r w:rsidRPr="0011066A">
              <w:rPr>
                <w:i/>
                <w:noProof/>
              </w:rPr>
              <w:t>“VA will also consider all lay and medical evidence of record in order to adjudicate entitlement to benefits for the claimed condition as well as entitlement to any additional benefits for complications of the claimed condition, including those identified by the rating criteria for that condition in 38 CFR Part 4, VA Schedule for Rating Disabilities.”</w:t>
            </w: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rFonts w:ascii="Helvetica" w:hAnsi="Helvetica"/>
                <w:lang w:val="en"/>
              </w:rPr>
            </w:pPr>
            <w:r w:rsidRPr="0011066A">
              <w:rPr>
                <w:rFonts w:ascii="Helvetica" w:hAnsi="Helvetica"/>
                <w:lang w:val="en"/>
              </w:rPr>
              <w:t>Rating Note:</w:t>
            </w:r>
            <w:r w:rsidRPr="0011066A">
              <w:rPr>
                <w:rFonts w:ascii="Helvetica" w:hAnsi="Helvetica"/>
                <w:b/>
                <w:lang w:val="en"/>
              </w:rPr>
              <w:t xml:space="preserve">  III.iv.6.B.2.c </w:t>
            </w:r>
            <w:r w:rsidRPr="0011066A">
              <w:rPr>
                <w:rFonts w:ascii="Helvetica" w:hAnsi="Helvetica"/>
                <w:lang w:val="en"/>
              </w:rPr>
              <w:t xml:space="preserve">says complications* of an expressly claimed </w:t>
            </w:r>
            <w:r w:rsidR="00CF78C5" w:rsidRPr="0011066A">
              <w:rPr>
                <w:rFonts w:ascii="Helvetica" w:hAnsi="Helvetica"/>
                <w:lang w:val="en"/>
              </w:rPr>
              <w:t>condition</w:t>
            </w:r>
            <w:r w:rsidRPr="0011066A">
              <w:rPr>
                <w:rFonts w:ascii="Helvetica" w:hAnsi="Helvetica"/>
                <w:lang w:val="en"/>
              </w:rPr>
              <w:t xml:space="preserve"> are </w:t>
            </w:r>
            <w:r w:rsidR="00CF78C5" w:rsidRPr="0011066A">
              <w:rPr>
                <w:rFonts w:ascii="Helvetica" w:hAnsi="Helvetica"/>
                <w:lang w:val="en"/>
              </w:rPr>
              <w:t xml:space="preserve">issues </w:t>
            </w:r>
            <w:r w:rsidRPr="0011066A">
              <w:t xml:space="preserve">within </w:t>
            </w:r>
            <w:r w:rsidR="00CF78C5" w:rsidRPr="0011066A">
              <w:t>the s</w:t>
            </w:r>
            <w:r w:rsidRPr="0011066A">
              <w:t>cope of the claim (formerly “reasonably raised</w:t>
            </w:r>
            <w:r w:rsidR="001946CC">
              <w:t>,”</w:t>
            </w:r>
            <w:r w:rsidRPr="0011066A">
              <w:t xml:space="preserve"> formerly “sympathetic”).</w:t>
            </w:r>
          </w:p>
          <w:p w:rsidR="003C5E02" w:rsidRPr="0011066A" w:rsidRDefault="00911094" w:rsidP="003C5E02">
            <w:pPr>
              <w:pStyle w:val="Header"/>
              <w:widowControl w:val="0"/>
              <w:tabs>
                <w:tab w:val="clear" w:pos="4320"/>
                <w:tab w:val="clear" w:pos="8640"/>
              </w:tabs>
              <w:rPr>
                <w:rFonts w:ascii="Helvetica" w:hAnsi="Helvetica"/>
                <w:i/>
                <w:sz w:val="18"/>
                <w:lang w:val="en"/>
              </w:rPr>
            </w:pPr>
            <w:r w:rsidRPr="0011066A">
              <w:rPr>
                <w:rFonts w:ascii="Helvetica" w:hAnsi="Helvetica"/>
                <w:i/>
                <w:sz w:val="18"/>
                <w:lang w:val="en"/>
              </w:rPr>
              <w:t>*including (but not limited to) complications of diabetes, residuals of cancer, scars from sur</w:t>
            </w:r>
            <w:r w:rsidR="00285956" w:rsidRPr="0011066A">
              <w:rPr>
                <w:rFonts w:ascii="Helvetica" w:hAnsi="Helvetica"/>
                <w:i/>
                <w:sz w:val="18"/>
                <w:lang w:val="en"/>
              </w:rPr>
              <w:t xml:space="preserve">gery, neurological disabilities </w:t>
            </w:r>
            <w:r w:rsidRPr="0011066A">
              <w:rPr>
                <w:rFonts w:ascii="Helvetica" w:hAnsi="Helvetica"/>
                <w:i/>
                <w:sz w:val="18"/>
                <w:lang w:val="en"/>
              </w:rPr>
              <w:t>related to the spine, complications of progressive disorders (ALS, MS), constitutional symptoms of systemic disorders (RA, ankylosing spondylitis)</w:t>
            </w:r>
          </w:p>
          <w:p w:rsidR="003C5E02" w:rsidRPr="0011066A" w:rsidRDefault="003C5E02" w:rsidP="00533E2B">
            <w:pPr>
              <w:pStyle w:val="Header"/>
              <w:widowControl w:val="0"/>
              <w:tabs>
                <w:tab w:val="clear" w:pos="4320"/>
                <w:tab w:val="clear" w:pos="8640"/>
              </w:tabs>
              <w:spacing w:after="120"/>
              <w:rPr>
                <w:rFonts w:ascii="Helvetica" w:hAnsi="Helvetica"/>
                <w:i/>
                <w:sz w:val="18"/>
                <w:lang w:val="en"/>
              </w:rPr>
            </w:pPr>
            <w:r w:rsidRPr="0011066A">
              <w:rPr>
                <w:rFonts w:ascii="Helvetica" w:hAnsi="Helvetica"/>
                <w:i/>
                <w:sz w:val="18"/>
                <w:lang w:val="en"/>
              </w:rPr>
              <w:t>*</w:t>
            </w:r>
            <w:r w:rsidRPr="0011066A">
              <w:t xml:space="preserve">also see </w:t>
            </w:r>
            <w:r w:rsidRPr="0011066A">
              <w:rPr>
                <w:b/>
              </w:rPr>
              <w:t>III.iv.5.C.5</w:t>
            </w:r>
            <w:r w:rsidR="00F41556">
              <w:rPr>
                <w:b/>
              </w:rPr>
              <w:t>.i</w:t>
            </w:r>
            <w:r w:rsidRPr="0011066A">
              <w:t xml:space="preserve"> for </w:t>
            </w:r>
            <w:r w:rsidR="004F315B">
              <w:t>effective date</w:t>
            </w:r>
            <w:r w:rsidRPr="0011066A">
              <w:t xml:space="preserve"> for complications</w:t>
            </w:r>
          </w:p>
          <w:p w:rsidR="00911094" w:rsidRPr="0011066A" w:rsidRDefault="00911094" w:rsidP="00533E2B">
            <w:pPr>
              <w:pStyle w:val="Header"/>
              <w:widowControl w:val="0"/>
              <w:tabs>
                <w:tab w:val="clear" w:pos="4320"/>
                <w:tab w:val="clear" w:pos="8640"/>
              </w:tabs>
              <w:rPr>
                <w:rFonts w:ascii="Helvetica" w:hAnsi="Helvetica"/>
                <w:lang w:val="en"/>
              </w:rPr>
            </w:pPr>
          </w:p>
          <w:p w:rsidR="00911094" w:rsidRPr="0011066A" w:rsidRDefault="00D571C5" w:rsidP="00533E2B">
            <w:pPr>
              <w:spacing w:after="120"/>
            </w:pPr>
            <w:hyperlink r:id="rId279" w:history="1">
              <w:r w:rsidR="00911094" w:rsidRPr="0011066A">
                <w:rPr>
                  <w:rStyle w:val="Hyperlink"/>
                  <w:b/>
                  <w:bCs/>
                  <w:i/>
                </w:rPr>
                <w:t>March 2016 Quality Call Notes</w:t>
              </w:r>
            </w:hyperlink>
            <w:r w:rsidR="00911094" w:rsidRPr="0011066A">
              <w:rPr>
                <w:bCs/>
              </w:rPr>
              <w:t xml:space="preserve"> – Distinguishes arteriosclerotic manifestations </w:t>
            </w:r>
            <w:r w:rsidR="00911094" w:rsidRPr="0011066A">
              <w:rPr>
                <w:bCs/>
                <w:u w:val="single"/>
              </w:rPr>
              <w:t>secondary</w:t>
            </w:r>
            <w:r w:rsidR="00911094" w:rsidRPr="0011066A">
              <w:rPr>
                <w:bCs/>
              </w:rPr>
              <w:t xml:space="preserve"> to hypertension (&amp; depression </w:t>
            </w:r>
            <w:r w:rsidR="00911094" w:rsidRPr="0011066A">
              <w:rPr>
                <w:bCs/>
                <w:u w:val="single"/>
              </w:rPr>
              <w:t>secondary</w:t>
            </w:r>
            <w:r w:rsidR="00911094" w:rsidRPr="0011066A">
              <w:rPr>
                <w:bCs/>
              </w:rPr>
              <w:t xml:space="preserve"> to hearing loss) from diabetic neuropathy as a </w:t>
            </w:r>
            <w:r w:rsidR="00911094" w:rsidRPr="0011066A">
              <w:rPr>
                <w:bCs/>
                <w:u w:val="single"/>
              </w:rPr>
              <w:t>natural progression</w:t>
            </w:r>
            <w:r w:rsidR="00911094" w:rsidRPr="0011066A">
              <w:rPr>
                <w:bCs/>
              </w:rPr>
              <w:t xml:space="preserve"> of the complicated metabolic disorder of diabetes. 3.157 does not apply to secondary disabilities.</w:t>
            </w: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i/>
              </w:rPr>
            </w:pPr>
            <w:r w:rsidRPr="0011066A">
              <w:rPr>
                <w:i/>
              </w:rPr>
              <w:t>based on TRs w/i year of claim (*all three are the same, verbiage just slightly different):</w:t>
            </w:r>
          </w:p>
          <w:p w:rsidR="00911094" w:rsidRPr="0011066A" w:rsidRDefault="00911094" w:rsidP="00533E2B">
            <w:pPr>
              <w:pStyle w:val="Header"/>
              <w:widowControl w:val="0"/>
              <w:tabs>
                <w:tab w:val="clear" w:pos="4320"/>
                <w:tab w:val="clear" w:pos="8640"/>
              </w:tabs>
            </w:pPr>
            <w:r w:rsidRPr="0011066A">
              <w:t>Service connection has been established from the earliest date the treatment records show…</w:t>
            </w:r>
          </w:p>
          <w:p w:rsidR="00911094" w:rsidRPr="0011066A" w:rsidRDefault="00911094" w:rsidP="00533E2B">
            <w:pPr>
              <w:pStyle w:val="Header"/>
              <w:widowControl w:val="0"/>
              <w:tabs>
                <w:tab w:val="clear" w:pos="4320"/>
                <w:tab w:val="clear" w:pos="8640"/>
              </w:tabs>
              <w:rPr>
                <w:i/>
              </w:rPr>
            </w:pPr>
            <w:r w:rsidRPr="0011066A">
              <w:rPr>
                <w:i/>
              </w:rPr>
              <w:t>--neuropathy/radiculopathy</w:t>
            </w:r>
            <w:r w:rsidRPr="0011066A">
              <w:t xml:space="preserve">, which is a medically-known common complication of </w:t>
            </w:r>
            <w:r w:rsidRPr="0011066A">
              <w:rPr>
                <w:i/>
              </w:rPr>
              <w:t>{spine disability}</w:t>
            </w:r>
          </w:p>
          <w:p w:rsidR="00911094" w:rsidRPr="0011066A" w:rsidRDefault="00911094" w:rsidP="00533E2B">
            <w:pPr>
              <w:pStyle w:val="Header"/>
              <w:widowControl w:val="0"/>
              <w:tabs>
                <w:tab w:val="clear" w:pos="4320"/>
                <w:tab w:val="clear" w:pos="8640"/>
              </w:tabs>
              <w:rPr>
                <w:i/>
              </w:rPr>
            </w:pPr>
            <w:r w:rsidRPr="0011066A">
              <w:rPr>
                <w:i/>
              </w:rPr>
              <w:t>--common/recognized complication*</w:t>
            </w:r>
            <w:r w:rsidRPr="0011066A">
              <w:t xml:space="preserve">, which is a medically-known common complication of </w:t>
            </w:r>
            <w:r w:rsidRPr="0011066A">
              <w:rPr>
                <w:i/>
              </w:rPr>
              <w:t>diabetes mellitus</w:t>
            </w:r>
          </w:p>
          <w:p w:rsidR="00911094" w:rsidRPr="0011066A" w:rsidRDefault="00911094" w:rsidP="00533E2B">
            <w:pPr>
              <w:pStyle w:val="Header"/>
              <w:widowControl w:val="0"/>
              <w:tabs>
                <w:tab w:val="clear" w:pos="4320"/>
                <w:tab w:val="clear" w:pos="8640"/>
              </w:tabs>
              <w:rPr>
                <w:i/>
              </w:rPr>
            </w:pPr>
            <w:r w:rsidRPr="0011066A">
              <w:rPr>
                <w:i/>
              </w:rPr>
              <w:t>--{condition due to diabetes**}</w:t>
            </w:r>
            <w:r w:rsidRPr="0011066A">
              <w:t xml:space="preserve"> which the VA examiner indicated is due to </w:t>
            </w:r>
            <w:r w:rsidRPr="0011066A">
              <w:rPr>
                <w:i/>
              </w:rPr>
              <w:t>diabetes mellitus</w:t>
            </w:r>
            <w:r w:rsidRPr="0011066A">
              <w:t>, within one year prior to the date of claim.</w:t>
            </w: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i/>
                <w:sz w:val="18"/>
                <w:szCs w:val="18"/>
              </w:rPr>
            </w:pPr>
            <w:r w:rsidRPr="0011066A">
              <w:rPr>
                <w:i/>
                <w:sz w:val="18"/>
                <w:szCs w:val="18"/>
              </w:rPr>
              <w:t>*common/recognized complications:  neuropathy/radiculopathy related to the spine; diabetic peripheral neuropathy, diabetic nephropathy/renal dysfunction caused by diabetes mellitus and diabetic retinopathy [per RVSR Assistant, PVD should be up here]</w:t>
            </w:r>
          </w:p>
          <w:p w:rsidR="00911094" w:rsidRPr="0011066A" w:rsidRDefault="00911094" w:rsidP="00533E2B">
            <w:pPr>
              <w:pStyle w:val="Header"/>
              <w:widowControl w:val="0"/>
              <w:tabs>
                <w:tab w:val="clear" w:pos="4320"/>
                <w:tab w:val="clear" w:pos="8640"/>
              </w:tabs>
              <w:rPr>
                <w:i/>
                <w:sz w:val="18"/>
                <w:szCs w:val="18"/>
              </w:rPr>
            </w:pPr>
            <w:r w:rsidRPr="0011066A">
              <w:rPr>
                <w:i/>
                <w:sz w:val="18"/>
                <w:szCs w:val="18"/>
              </w:rPr>
              <w:t>**possible conditions due to diabetes mellitus:  ED, cardiac, hypertension (in the presence of diabetic renal disease), PVD, stroke, skin, other eye, other complications indicated by examiner as due to diabetes.</w:t>
            </w:r>
          </w:p>
          <w:p w:rsidR="00911094" w:rsidRPr="0011066A" w:rsidRDefault="00911094" w:rsidP="00533E2B">
            <w:pPr>
              <w:pStyle w:val="Header"/>
              <w:widowControl w:val="0"/>
              <w:tabs>
                <w:tab w:val="clear" w:pos="4320"/>
                <w:tab w:val="clear" w:pos="8640"/>
              </w:tabs>
              <w:rPr>
                <w:rFonts w:ascii="Verdana" w:hAnsi="Verdana"/>
              </w:rPr>
            </w:pPr>
          </w:p>
          <w:p w:rsidR="00911094" w:rsidRPr="0011066A" w:rsidRDefault="00911094" w:rsidP="00533E2B">
            <w:pPr>
              <w:pStyle w:val="Header"/>
              <w:widowControl w:val="0"/>
              <w:tabs>
                <w:tab w:val="clear" w:pos="4320"/>
                <w:tab w:val="clear" w:pos="8640"/>
              </w:tabs>
              <w:rPr>
                <w:rFonts w:ascii="Verdana" w:hAnsi="Verdana"/>
              </w:rPr>
            </w:pPr>
          </w:p>
          <w:p w:rsidR="00911094" w:rsidRPr="0011066A" w:rsidRDefault="00794220" w:rsidP="00533E2B">
            <w:pPr>
              <w:pStyle w:val="Header"/>
              <w:widowControl w:val="0"/>
              <w:tabs>
                <w:tab w:val="clear" w:pos="4320"/>
                <w:tab w:val="clear" w:pos="8640"/>
              </w:tabs>
              <w:rPr>
                <w:rFonts w:ascii="Verdana" w:hAnsi="Verdana"/>
                <w:b/>
                <w:bCs/>
              </w:rPr>
            </w:pPr>
            <w:r w:rsidRPr="0011066A">
              <w:rPr>
                <w:rFonts w:ascii="Verdana" w:hAnsi="Verdana"/>
                <w:b/>
                <w:bCs/>
              </w:rPr>
              <w:t xml:space="preserve">SMC </w:t>
            </w:r>
            <w:r w:rsidR="00911094" w:rsidRPr="0011066A">
              <w:rPr>
                <w:rFonts w:ascii="Verdana" w:hAnsi="Verdana"/>
                <w:b/>
                <w:bCs/>
              </w:rPr>
              <w:t>K:</w:t>
            </w:r>
          </w:p>
          <w:p w:rsidR="00911094" w:rsidRPr="0011066A" w:rsidRDefault="00911094" w:rsidP="00533E2B">
            <w:pPr>
              <w:pStyle w:val="Header"/>
              <w:widowControl w:val="0"/>
              <w:tabs>
                <w:tab w:val="clear" w:pos="4320"/>
                <w:tab w:val="clear" w:pos="8640"/>
              </w:tabs>
            </w:pPr>
            <w:r w:rsidRPr="0011066A">
              <w:rPr>
                <w:rFonts w:ascii="Verdana" w:hAnsi="Verdana"/>
              </w:rPr>
              <w:t>Service connection has been established from the date service connection was established for erectile dysfunction from diabetes mellitus type II.</w:t>
            </w: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b/>
                <w:bCs/>
                <w:smallCaps/>
              </w:rPr>
            </w:pPr>
            <w:r w:rsidRPr="0011066A">
              <w:rPr>
                <w:b/>
                <w:bCs/>
              </w:rPr>
              <w:t>increasing tinnitus from 0% to 10%, per 6/10/99 change allowing for disease process as well, apply 3.114:</w:t>
            </w:r>
          </w:p>
          <w:p w:rsidR="00911094" w:rsidRPr="0011066A" w:rsidRDefault="00911094" w:rsidP="00533E2B">
            <w:pPr>
              <w:pStyle w:val="Header"/>
              <w:widowControl w:val="0"/>
              <w:tabs>
                <w:tab w:val="clear" w:pos="4320"/>
                <w:tab w:val="clear" w:pos="8640"/>
              </w:tabs>
            </w:pPr>
            <w:r w:rsidRPr="0011066A">
              <w:t xml:space="preserve">Service connection has been established from one year prior to the </w:t>
            </w:r>
            <w:r w:rsidR="004F43CE" w:rsidRPr="0011066A">
              <w:t>day VA received your claim</w:t>
            </w:r>
            <w:r w:rsidRPr="0011066A">
              <w:t>. The disability existed at the time of the change in the law that allowed a 10 percent evaluation for all persistent/recurrent tinnitus (including from a disease process and not just from acoustic trauma), but the claim was filed more than a year after the change in the law.</w:t>
            </w: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b/>
                <w:bCs/>
              </w:rPr>
            </w:pPr>
            <w:r w:rsidRPr="0011066A">
              <w:rPr>
                <w:b/>
                <w:bCs/>
              </w:rPr>
              <w:t>Misc:</w:t>
            </w:r>
          </w:p>
          <w:p w:rsidR="00911094" w:rsidRPr="0011066A" w:rsidRDefault="00911094" w:rsidP="00533E2B">
            <w:pPr>
              <w:pStyle w:val="Header"/>
              <w:widowControl w:val="0"/>
              <w:tabs>
                <w:tab w:val="clear" w:pos="4320"/>
                <w:tab w:val="clear" w:pos="8640"/>
              </w:tabs>
            </w:pPr>
            <w:r w:rsidRPr="0011066A">
              <w:t>Service connection has been established from the date you met the criteria for this benefit.</w:t>
            </w: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pPr>
            <w:r w:rsidRPr="0011066A">
              <w:t>Service connection has been established from the day VA received your previous claim. Additional evidence has been received, and a review of that evidence and prior evidence reveals a higher evaluation is warranted.</w:t>
            </w:r>
          </w:p>
          <w:p w:rsidR="00911094" w:rsidRPr="0011066A" w:rsidRDefault="00911094" w:rsidP="00533E2B">
            <w:pPr>
              <w:pStyle w:val="Header"/>
              <w:widowControl w:val="0"/>
              <w:tabs>
                <w:tab w:val="clear" w:pos="4320"/>
                <w:tab w:val="clear" w:pos="8640"/>
              </w:tabs>
            </w:pPr>
          </w:p>
          <w:p w:rsidR="00463D3C" w:rsidRPr="0011066A" w:rsidRDefault="0014579F" w:rsidP="00533E2B">
            <w:pPr>
              <w:pStyle w:val="Header"/>
              <w:widowControl w:val="0"/>
              <w:tabs>
                <w:tab w:val="clear" w:pos="4320"/>
                <w:tab w:val="clear" w:pos="8640"/>
              </w:tabs>
              <w:rPr>
                <w:b/>
                <w:szCs w:val="22"/>
              </w:rPr>
            </w:pPr>
            <w:r>
              <w:rPr>
                <w:b/>
                <w:szCs w:val="22"/>
              </w:rPr>
              <w:t>III.iv.5.C.6.d, III.iv.5.C.6.e,</w:t>
            </w:r>
            <w:r w:rsidR="00463D3C" w:rsidRPr="0011066A">
              <w:rPr>
                <w:b/>
                <w:szCs w:val="22"/>
              </w:rPr>
              <w:t xml:space="preserve"> </w:t>
            </w:r>
            <w:r>
              <w:rPr>
                <w:b/>
                <w:szCs w:val="22"/>
              </w:rPr>
              <w:t xml:space="preserve">3.156(b) </w:t>
            </w:r>
            <w:r w:rsidR="00463D3C" w:rsidRPr="0011066A">
              <w:rPr>
                <w:szCs w:val="22"/>
              </w:rPr>
              <w:t>&amp;</w:t>
            </w:r>
            <w:r w:rsidR="00463D3C" w:rsidRPr="0011066A">
              <w:rPr>
                <w:b/>
                <w:szCs w:val="22"/>
              </w:rPr>
              <w:t xml:space="preserve"> 3.400(q)</w:t>
            </w:r>
          </w:p>
          <w:p w:rsidR="00332C6E" w:rsidRPr="0011066A" w:rsidRDefault="00911094" w:rsidP="00533E2B">
            <w:pPr>
              <w:pStyle w:val="Header"/>
              <w:widowControl w:val="0"/>
              <w:tabs>
                <w:tab w:val="clear" w:pos="4320"/>
                <w:tab w:val="clear" w:pos="8640"/>
              </w:tabs>
            </w:pPr>
            <w:r w:rsidRPr="0011066A">
              <w:t xml:space="preserve">Service connection has been established from the day VA received the previous claim, as you continuously prosecuted your claim. OR Service connection has been established from the day VA received your Intent to File (ITF) for the previous claim, as </w:t>
            </w:r>
            <w:r w:rsidRPr="0011066A">
              <w:rPr>
                <w:lang w:val="en"/>
              </w:rPr>
              <w:t xml:space="preserve">a complete claim was received within one year of the ITF, and </w:t>
            </w:r>
            <w:r w:rsidRPr="0011066A">
              <w:t>you continuously prosecuted your claim.</w:t>
            </w:r>
            <w:r w:rsidR="00332C6E" w:rsidRPr="0011066A">
              <w:t xml:space="preserve"> </w:t>
            </w:r>
          </w:p>
          <w:p w:rsidR="00332C6E" w:rsidRPr="0011066A" w:rsidRDefault="00332C6E" w:rsidP="00533E2B">
            <w:pPr>
              <w:pStyle w:val="Header"/>
              <w:widowControl w:val="0"/>
              <w:tabs>
                <w:tab w:val="clear" w:pos="4320"/>
                <w:tab w:val="clear" w:pos="8640"/>
              </w:tabs>
            </w:pPr>
          </w:p>
          <w:p w:rsidR="00332C6E" w:rsidRPr="0011066A" w:rsidRDefault="00332C6E" w:rsidP="00533E2B">
            <w:pPr>
              <w:pStyle w:val="Header"/>
              <w:widowControl w:val="0"/>
              <w:tabs>
                <w:tab w:val="clear" w:pos="4320"/>
                <w:tab w:val="clear" w:pos="8640"/>
              </w:tabs>
            </w:pPr>
            <w:r w:rsidRPr="0011066A">
              <w:t>Cannot use ITF to establish continuous prosecution:</w:t>
            </w:r>
          </w:p>
          <w:p w:rsidR="00332C6E" w:rsidRDefault="00332C6E" w:rsidP="00332C6E">
            <w:pPr>
              <w:pStyle w:val="Header"/>
              <w:widowControl w:val="0"/>
              <w:tabs>
                <w:tab w:val="clear" w:pos="4320"/>
                <w:tab w:val="clear" w:pos="8640"/>
              </w:tabs>
              <w:rPr>
                <w:szCs w:val="21"/>
              </w:rPr>
            </w:pPr>
            <w:r w:rsidRPr="0011066A">
              <w:rPr>
                <w:b/>
                <w:szCs w:val="22"/>
              </w:rPr>
              <w:t>III.ii.2.C.2.</w:t>
            </w:r>
            <w:r w:rsidR="00EC531C">
              <w:rPr>
                <w:b/>
                <w:szCs w:val="22"/>
              </w:rPr>
              <w:t>i</w:t>
            </w:r>
            <w:r w:rsidRPr="0011066A">
              <w:rPr>
                <w:szCs w:val="22"/>
              </w:rPr>
              <w:t xml:space="preserve"> - </w:t>
            </w:r>
            <w:r w:rsidRPr="0011066A">
              <w:rPr>
                <w:szCs w:val="21"/>
              </w:rPr>
              <w:t xml:space="preserve">An ITF may not be used to extend the period of non-finality for a recently decided claim.  Any evidence submitted in connection with a non-final claim will be assessed for a new and material determination in accordance with </w:t>
            </w:r>
            <w:hyperlink r:id="rId280" w:anchor="se38.1.3_1156" w:history="1">
              <w:r w:rsidRPr="0011066A">
                <w:rPr>
                  <w:rStyle w:val="Hyperlink"/>
                  <w:szCs w:val="21"/>
                </w:rPr>
                <w:t>38 CFR 3.156(b)</w:t>
              </w:r>
            </w:hyperlink>
            <w:r w:rsidRPr="0011066A">
              <w:rPr>
                <w:szCs w:val="21"/>
              </w:rPr>
              <w:t>.  Accept an ITF submitted during the period of non-finality as an active ITF, if an active ITF is not already of record, and associate it with a claim if received within one year of the ITF.</w:t>
            </w:r>
          </w:p>
          <w:p w:rsidR="004A29FF" w:rsidRDefault="004A29FF" w:rsidP="00332C6E">
            <w:pPr>
              <w:pStyle w:val="Header"/>
              <w:widowControl w:val="0"/>
              <w:tabs>
                <w:tab w:val="clear" w:pos="4320"/>
                <w:tab w:val="clear" w:pos="8640"/>
              </w:tabs>
              <w:rPr>
                <w:szCs w:val="21"/>
              </w:rPr>
            </w:pPr>
          </w:p>
          <w:p w:rsidR="004A29FF" w:rsidRDefault="004A29FF" w:rsidP="00332C6E">
            <w:pPr>
              <w:pStyle w:val="Header"/>
              <w:widowControl w:val="0"/>
              <w:tabs>
                <w:tab w:val="clear" w:pos="4320"/>
                <w:tab w:val="clear" w:pos="8640"/>
              </w:tabs>
              <w:rPr>
                <w:szCs w:val="22"/>
              </w:rPr>
            </w:pPr>
            <w:r w:rsidRPr="004A29FF">
              <w:rPr>
                <w:rStyle w:val="Strong"/>
                <w:bCs w:val="0"/>
                <w:szCs w:val="21"/>
              </w:rPr>
              <w:t>III.iv.5.C.2.b</w:t>
            </w:r>
            <w:r w:rsidRPr="004A29FF">
              <w:rPr>
                <w:rStyle w:val="Strong"/>
                <w:b w:val="0"/>
                <w:bCs w:val="0"/>
                <w:szCs w:val="21"/>
              </w:rPr>
              <w:t xml:space="preserve"> </w:t>
            </w:r>
            <w:r>
              <w:rPr>
                <w:rStyle w:val="Strong"/>
                <w:b w:val="0"/>
                <w:bCs w:val="0"/>
                <w:sz w:val="21"/>
                <w:szCs w:val="21"/>
              </w:rPr>
              <w:t>-</w:t>
            </w:r>
          </w:p>
          <w:p w:rsidR="00332C6E" w:rsidRPr="0011066A" w:rsidRDefault="00332C6E" w:rsidP="00332C6E">
            <w:pPr>
              <w:pStyle w:val="Header"/>
              <w:widowControl w:val="0"/>
              <w:tabs>
                <w:tab w:val="clear" w:pos="4320"/>
                <w:tab w:val="clear" w:pos="8640"/>
              </w:tabs>
              <w:rPr>
                <w:szCs w:val="22"/>
              </w:rPr>
            </w:pPr>
            <w:r w:rsidRPr="0011066A">
              <w:rPr>
                <w:noProof/>
              </w:rPr>
              <w:drawing>
                <wp:inline distT="0" distB="0" distL="0" distR="0" wp14:anchorId="4B5346E4" wp14:editId="54D37DE8">
                  <wp:extent cx="4752975" cy="1390650"/>
                  <wp:effectExtent l="0" t="0" r="9525" b="0"/>
                  <wp:docPr id="24671" name="Picture 24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1"/>
                          <a:stretch>
                            <a:fillRect/>
                          </a:stretch>
                        </pic:blipFill>
                        <pic:spPr>
                          <a:xfrm>
                            <a:off x="0" y="0"/>
                            <a:ext cx="4752975" cy="1390650"/>
                          </a:xfrm>
                          <a:prstGeom prst="rect">
                            <a:avLst/>
                          </a:prstGeom>
                        </pic:spPr>
                      </pic:pic>
                    </a:graphicData>
                  </a:graphic>
                </wp:inline>
              </w:drawing>
            </w:r>
          </w:p>
          <w:p w:rsidR="002B14E2" w:rsidRPr="0011066A" w:rsidRDefault="00332C6E" w:rsidP="002B14E2">
            <w:pPr>
              <w:pStyle w:val="Header"/>
              <w:widowControl w:val="0"/>
              <w:tabs>
                <w:tab w:val="left" w:pos="720"/>
              </w:tabs>
              <w:rPr>
                <w:i/>
                <w:lang w:val="en"/>
              </w:rPr>
            </w:pPr>
            <w:r w:rsidRPr="0011066A">
              <w:rPr>
                <w:u w:val="single"/>
              </w:rPr>
              <w:t>Service connection</w:t>
            </w:r>
            <w:r w:rsidRPr="0011066A">
              <w:t xml:space="preserve"> </w:t>
            </w:r>
            <w:r w:rsidR="002B14E2" w:rsidRPr="0011066A">
              <w:t xml:space="preserve">has been established from the day VA received your Intent to File (ITF) because </w:t>
            </w:r>
            <w:r w:rsidR="002B14E2" w:rsidRPr="0011066A">
              <w:rPr>
                <w:lang w:val="en"/>
              </w:rPr>
              <w:t xml:space="preserve">a complete claim was received within one year of the ITF. </w:t>
            </w:r>
            <w:r w:rsidR="002B14E2" w:rsidRPr="0011066A">
              <w:rPr>
                <w:i/>
                <w:lang w:val="en"/>
              </w:rPr>
              <w:t>Please note that an ITF may not be used to extend the one year period of non-finality following notification of a decision, and your complete claim was not received within one year of notification of the previous decision.</w:t>
            </w:r>
          </w:p>
          <w:p w:rsidR="002B14E2" w:rsidRPr="0011066A" w:rsidRDefault="009B6CD0" w:rsidP="00533E2B">
            <w:pPr>
              <w:pStyle w:val="Header"/>
              <w:widowControl w:val="0"/>
              <w:tabs>
                <w:tab w:val="clear" w:pos="4320"/>
                <w:tab w:val="clear" w:pos="8640"/>
              </w:tabs>
            </w:pPr>
            <w:r w:rsidRPr="0011066A">
              <w:t>Rating Note:  Although the {date} ITF was received within one year of the {date} denial notification, the complete claim was received {date}, more than one year after the notification, so the earliest effective date is the ITF, per III.ii.2.C.2.</w:t>
            </w:r>
            <w:r w:rsidR="00620C3D">
              <w:t>i</w:t>
            </w:r>
            <w:r w:rsidRPr="0011066A">
              <w:t>.</w:t>
            </w:r>
          </w:p>
          <w:p w:rsidR="002B14E2" w:rsidRPr="0011066A" w:rsidRDefault="002B14E2" w:rsidP="00533E2B">
            <w:pPr>
              <w:pStyle w:val="Header"/>
              <w:widowControl w:val="0"/>
              <w:tabs>
                <w:tab w:val="clear" w:pos="4320"/>
                <w:tab w:val="clear" w:pos="8640"/>
              </w:tabs>
            </w:pPr>
          </w:p>
          <w:p w:rsidR="00463D3C" w:rsidRPr="0011066A" w:rsidRDefault="00463D3C"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lang w:val="en"/>
              </w:rPr>
            </w:pPr>
            <w:r w:rsidRPr="0011066A">
              <w:t>Service connection has been established from the date of the sleep study showing a confirmed diagnosis of obstructive sleep apnea, based on facts found, as that is the date entitlement arose.</w:t>
            </w:r>
          </w:p>
          <w:p w:rsidR="00911094" w:rsidRPr="0011066A" w:rsidRDefault="00911094" w:rsidP="00533E2B">
            <w:pPr>
              <w:pStyle w:val="Header"/>
              <w:widowControl w:val="0"/>
              <w:tabs>
                <w:tab w:val="clear" w:pos="4320"/>
                <w:tab w:val="clear" w:pos="8640"/>
              </w:tabs>
            </w:pPr>
          </w:p>
          <w:p w:rsidR="003C1034" w:rsidRDefault="001E657D" w:rsidP="00533E2B">
            <w:pPr>
              <w:widowControl w:val="0"/>
              <w:overflowPunct/>
              <w:textAlignment w:val="auto"/>
            </w:pPr>
            <w:r>
              <w:rPr>
                <w:b/>
              </w:rPr>
              <w:t>III.iv.4.D</w:t>
            </w:r>
            <w:r w:rsidR="003C1034" w:rsidRPr="009902DB">
              <w:rPr>
                <w:b/>
              </w:rPr>
              <w:t>.</w:t>
            </w:r>
            <w:r>
              <w:rPr>
                <w:b/>
              </w:rPr>
              <w:t>2</w:t>
            </w:r>
            <w:r w:rsidR="003C1034" w:rsidRPr="009902DB">
              <w:rPr>
                <w:b/>
              </w:rPr>
              <w:t>.</w:t>
            </w:r>
            <w:r>
              <w:rPr>
                <w:b/>
              </w:rPr>
              <w:t>a</w:t>
            </w:r>
            <w:r w:rsidR="003C1034" w:rsidRPr="009902DB">
              <w:t xml:space="preserve"> – sympathetic reading of hearing loss claims</w:t>
            </w:r>
            <w:r w:rsidR="003C1034" w:rsidRPr="0011066A">
              <w:t xml:space="preserve"> </w:t>
            </w:r>
          </w:p>
          <w:p w:rsidR="00911094" w:rsidRPr="0011066A" w:rsidRDefault="00911094" w:rsidP="00533E2B">
            <w:pPr>
              <w:widowControl w:val="0"/>
              <w:overflowPunct/>
              <w:textAlignment w:val="auto"/>
            </w:pPr>
            <w:r w:rsidRPr="0011066A">
              <w:t>The claim for hearing loss is sympathetically read to include a claim for service connection for tinnitus because tinnitus was reported and associated with service.</w:t>
            </w:r>
          </w:p>
          <w:p w:rsidR="00911094" w:rsidRPr="0011066A" w:rsidRDefault="00911094" w:rsidP="00533E2B">
            <w:pPr>
              <w:widowControl w:val="0"/>
              <w:overflowPunct/>
              <w:textAlignment w:val="auto"/>
            </w:pPr>
            <w:r w:rsidRPr="0011066A">
              <w:t xml:space="preserve">Rating Note: Although the Veteran did not claim tinnitus until {}, the hearing loss claim is sympathetically read to include a claim for service connection for tinnitus.  </w:t>
            </w:r>
          </w:p>
          <w:p w:rsidR="00911094" w:rsidRPr="0011066A" w:rsidRDefault="00911094" w:rsidP="00533E2B">
            <w:pPr>
              <w:pStyle w:val="Header"/>
              <w:widowControl w:val="0"/>
              <w:tabs>
                <w:tab w:val="clear" w:pos="4320"/>
                <w:tab w:val="clear" w:pos="8640"/>
              </w:tabs>
              <w:spacing w:after="120"/>
            </w:pPr>
          </w:p>
          <w:p w:rsidR="00911094" w:rsidRPr="0011066A" w:rsidRDefault="00911094" w:rsidP="00533E2B">
            <w:pPr>
              <w:pStyle w:val="Header"/>
              <w:widowControl w:val="0"/>
              <w:tabs>
                <w:tab w:val="clear" w:pos="4320"/>
                <w:tab w:val="clear" w:pos="8640"/>
              </w:tabs>
              <w:spacing w:after="120"/>
            </w:pPr>
            <w:r w:rsidRPr="0011066A">
              <w:rPr>
                <w:b/>
              </w:rPr>
              <w:t>III.iv.4.</w:t>
            </w:r>
            <w:r w:rsidR="001E657D">
              <w:rPr>
                <w:b/>
              </w:rPr>
              <w:t>D.3.a</w:t>
            </w:r>
            <w:r w:rsidRPr="0011066A">
              <w:t xml:space="preserve"> - a claim for tinnitus is not a claim for hearing loss; if could grant, solicit claim</w:t>
            </w:r>
          </w:p>
          <w:p w:rsidR="008D10ED" w:rsidRPr="0011066A" w:rsidRDefault="00911094" w:rsidP="0045586D">
            <w:r w:rsidRPr="0011066A">
              <w:t xml:space="preserve">VSR, </w:t>
            </w:r>
            <w:r w:rsidRPr="0011066A">
              <w:rPr>
                <w:b/>
                <w:bCs/>
              </w:rPr>
              <w:t>solicitation</w:t>
            </w:r>
            <w:r w:rsidRPr="0011066A">
              <w:t xml:space="preserve"> is needed, so please include this in the notification letter to the Veteran:  “We have reviewed your records and they suggest you may be entitled to an additional benefit. If you want to file a claim for bilateral hearing loss</w:t>
            </w:r>
            <w:r w:rsidRPr="0011066A">
              <w:rPr>
                <w:color w:val="244061" w:themeColor="accent1" w:themeShade="80"/>
              </w:rPr>
              <w:t xml:space="preserve">, </w:t>
            </w:r>
            <w:r w:rsidRPr="0011066A">
              <w:t xml:space="preserve">please submit a completed VA Form 21-526EZ, </w:t>
            </w:r>
            <w:r w:rsidRPr="0011066A">
              <w:rPr>
                <w:i/>
                <w:iCs/>
              </w:rPr>
              <w:t xml:space="preserve">Application For Disability Compensation And Related Compensation Benefits, </w:t>
            </w:r>
            <w:r w:rsidRPr="0011066A">
              <w:t xml:space="preserve">to the appropriate address listed on the attached </w:t>
            </w:r>
            <w:r w:rsidRPr="0011066A">
              <w:rPr>
                <w:i/>
                <w:iCs/>
              </w:rPr>
              <w:t xml:space="preserve">Where to Send Your Written Correspondence </w:t>
            </w:r>
            <w:r w:rsidRPr="0011066A">
              <w:t xml:space="preserve">chart. You can download the form at </w:t>
            </w:r>
            <w:hyperlink r:id="rId282" w:history="1">
              <w:r w:rsidRPr="0011066A">
                <w:rPr>
                  <w:rStyle w:val="Hyperlink"/>
                </w:rPr>
                <w:t>http://www.va.gov/vaforms</w:t>
              </w:r>
            </w:hyperlink>
            <w:r w:rsidRPr="0011066A">
              <w:t xml:space="preserve"> or you can call us at 1-800-827-1000. We recommend you return the form as soon as you can, in order to ensure the earliest possible payment date, if an award is authorized.”</w:t>
            </w:r>
            <w:r w:rsidR="0045586D" w:rsidRPr="0011066A">
              <w:t xml:space="preserve"> </w:t>
            </w:r>
          </w:p>
          <w:p w:rsidR="00911094" w:rsidRPr="0011066A" w:rsidRDefault="008D10ED" w:rsidP="0045586D">
            <w:r w:rsidRPr="0011066A">
              <w:t>*</w:t>
            </w:r>
            <w:r w:rsidR="00911094" w:rsidRPr="0011066A">
              <w:t>*We already have a DBQ on file for bilateral hearing loss with a positive opinion.</w:t>
            </w:r>
          </w:p>
          <w:p w:rsidR="00911094" w:rsidRPr="0011066A" w:rsidRDefault="00911094" w:rsidP="00533E2B">
            <w:pPr>
              <w:pStyle w:val="Header"/>
              <w:widowControl w:val="0"/>
              <w:tabs>
                <w:tab w:val="clear" w:pos="4320"/>
                <w:tab w:val="clear" w:pos="8640"/>
              </w:tabs>
            </w:pPr>
          </w:p>
          <w:p w:rsidR="00911094" w:rsidRPr="0011066A" w:rsidRDefault="00911094" w:rsidP="00533E2B">
            <w:pPr>
              <w:pStyle w:val="Header"/>
              <w:widowControl w:val="0"/>
              <w:tabs>
                <w:tab w:val="clear" w:pos="4320"/>
                <w:tab w:val="clear" w:pos="8640"/>
              </w:tabs>
              <w:rPr>
                <w:i/>
              </w:rPr>
            </w:pPr>
            <w:r w:rsidRPr="0011066A">
              <w:rPr>
                <w:i/>
              </w:rPr>
              <w:t>From Hearing Loss &amp; Tinnitus training PowerPoint:</w:t>
            </w:r>
          </w:p>
          <w:p w:rsidR="00911094" w:rsidRPr="0011066A" w:rsidRDefault="00911094" w:rsidP="00533E2B">
            <w:pPr>
              <w:pStyle w:val="Header"/>
              <w:widowControl w:val="0"/>
              <w:tabs>
                <w:tab w:val="clear" w:pos="4320"/>
                <w:tab w:val="clear" w:pos="8640"/>
              </w:tabs>
            </w:pPr>
            <w:r w:rsidRPr="0011066A">
              <w:t>Although you did not claim this disability, service connection for tinnitus is granted as the VA examiner opined that your tinnitus is related to the noise exposure you experienced in the field artillery…</w:t>
            </w:r>
          </w:p>
        </w:tc>
      </w:tr>
      <w:tr w:rsidR="00911094" w:rsidTr="00BC2764">
        <w:tc>
          <w:tcPr>
            <w:tcW w:w="2379" w:type="dxa"/>
          </w:tcPr>
          <w:p w:rsidR="00911094" w:rsidRDefault="00AB462F">
            <w:pPr>
              <w:pStyle w:val="Header"/>
              <w:widowControl w:val="0"/>
              <w:tabs>
                <w:tab w:val="clear" w:pos="4320"/>
                <w:tab w:val="clear" w:pos="8640"/>
              </w:tabs>
            </w:pPr>
            <w:bookmarkStart w:id="60" w:name="CDincludes"/>
            <w:r>
              <w:rPr>
                <w:rFonts w:ascii="Verdana" w:hAnsi="Verdana"/>
                <w:b/>
                <w:highlight w:val="green"/>
              </w:rPr>
              <w:t>CD</w:t>
            </w:r>
            <w:r w:rsidR="00911094">
              <w:t xml:space="preserve"> includes</w:t>
            </w:r>
            <w:bookmarkEnd w:id="60"/>
          </w:p>
          <w:p w:rsidR="00911094" w:rsidRDefault="00911094">
            <w:pPr>
              <w:pStyle w:val="Header"/>
              <w:widowControl w:val="0"/>
              <w:tabs>
                <w:tab w:val="clear" w:pos="4320"/>
                <w:tab w:val="clear" w:pos="8640"/>
              </w:tabs>
            </w:pPr>
          </w:p>
          <w:p w:rsidR="00911094" w:rsidRDefault="00911094">
            <w:pPr>
              <w:pStyle w:val="Header"/>
              <w:widowControl w:val="0"/>
              <w:tabs>
                <w:tab w:val="clear" w:pos="4320"/>
                <w:tab w:val="clear" w:pos="8640"/>
              </w:tabs>
            </w:pPr>
            <w:r>
              <w:t xml:space="preserve">Manual says “congenital, developmental or hereditary disorders” and </w:t>
            </w:r>
            <w:r w:rsidRPr="004E16AB">
              <w:rPr>
                <w:rFonts w:ascii="Verdana" w:hAnsi="Verdana"/>
                <w:b/>
                <w:highlight w:val="green"/>
              </w:rPr>
              <w:t>VBMS-R</w:t>
            </w:r>
            <w:r>
              <w:t xml:space="preserve"> says</w:t>
            </w:r>
          </w:p>
          <w:p w:rsidR="00911094" w:rsidRDefault="00911094">
            <w:pPr>
              <w:pStyle w:val="Header"/>
              <w:widowControl w:val="0"/>
              <w:tabs>
                <w:tab w:val="clear" w:pos="4320"/>
                <w:tab w:val="clear" w:pos="8640"/>
              </w:tabs>
            </w:pPr>
            <w:r>
              <w:t>“Constitutional/</w:t>
            </w:r>
          </w:p>
          <w:p w:rsidR="00911094" w:rsidRDefault="00911094">
            <w:pPr>
              <w:pStyle w:val="Header"/>
              <w:widowControl w:val="0"/>
              <w:tabs>
                <w:tab w:val="clear" w:pos="4320"/>
                <w:tab w:val="clear" w:pos="8640"/>
              </w:tabs>
            </w:pPr>
            <w:r>
              <w:t>Developmental” but then the paragraph says “congenital or developmental defect”</w:t>
            </w:r>
          </w:p>
        </w:tc>
        <w:tc>
          <w:tcPr>
            <w:tcW w:w="8298" w:type="dxa"/>
          </w:tcPr>
          <w:p w:rsidR="00911094" w:rsidRDefault="00911094" w:rsidP="00F063AF">
            <w:pPr>
              <w:pStyle w:val="Header"/>
              <w:widowControl w:val="0"/>
              <w:numPr>
                <w:ilvl w:val="0"/>
                <w:numId w:val="116"/>
              </w:numPr>
              <w:tabs>
                <w:tab w:val="clear" w:pos="720"/>
                <w:tab w:val="clear" w:pos="4320"/>
                <w:tab w:val="clear" w:pos="8640"/>
                <w:tab w:val="num" w:pos="503"/>
              </w:tabs>
              <w:spacing w:after="120"/>
              <w:ind w:left="503"/>
              <w:rPr>
                <w:i/>
                <w:iCs/>
              </w:rPr>
            </w:pPr>
            <w:r>
              <w:rPr>
                <w:i/>
                <w:iCs/>
              </w:rPr>
              <w:t xml:space="preserve">absent parts, </w:t>
            </w:r>
            <w:r w:rsidRPr="0001466A">
              <w:rPr>
                <w:b/>
              </w:rPr>
              <w:t>III.iv.4.A.</w:t>
            </w:r>
            <w:r w:rsidR="00506F16">
              <w:rPr>
                <w:b/>
              </w:rPr>
              <w:t>8.h</w:t>
            </w:r>
          </w:p>
          <w:p w:rsidR="00911094" w:rsidRDefault="00911094" w:rsidP="00F063AF">
            <w:pPr>
              <w:pStyle w:val="Header"/>
              <w:widowControl w:val="0"/>
              <w:numPr>
                <w:ilvl w:val="0"/>
                <w:numId w:val="116"/>
              </w:numPr>
              <w:tabs>
                <w:tab w:val="clear" w:pos="720"/>
                <w:tab w:val="clear" w:pos="4320"/>
                <w:tab w:val="clear" w:pos="8640"/>
                <w:tab w:val="num" w:pos="503"/>
              </w:tabs>
              <w:spacing w:after="120"/>
              <w:ind w:left="503"/>
              <w:rPr>
                <w:i/>
                <w:iCs/>
              </w:rPr>
            </w:pPr>
            <w:r>
              <w:rPr>
                <w:i/>
                <w:iCs/>
              </w:rPr>
              <w:t xml:space="preserve">accessory or supernumerary parts, </w:t>
            </w:r>
            <w:r w:rsidR="00506F16" w:rsidRPr="0001466A">
              <w:rPr>
                <w:b/>
              </w:rPr>
              <w:t>III.iv.4.A.</w:t>
            </w:r>
            <w:r w:rsidR="00506F16">
              <w:rPr>
                <w:b/>
              </w:rPr>
              <w:t>8.h</w:t>
            </w:r>
          </w:p>
          <w:p w:rsidR="00EE3674" w:rsidRPr="00EE3674" w:rsidRDefault="00EE3674" w:rsidP="00F063AF">
            <w:pPr>
              <w:pStyle w:val="BodyText2"/>
              <w:widowControl w:val="0"/>
              <w:numPr>
                <w:ilvl w:val="0"/>
                <w:numId w:val="116"/>
              </w:numPr>
              <w:tabs>
                <w:tab w:val="clear" w:pos="720"/>
                <w:tab w:val="num" w:pos="503"/>
              </w:tabs>
              <w:spacing w:after="120"/>
              <w:ind w:left="503"/>
              <w:rPr>
                <w:b w:val="0"/>
                <w:bCs w:val="0"/>
                <w:i/>
                <w:iCs/>
                <w:sz w:val="20"/>
              </w:rPr>
            </w:pPr>
            <w:r w:rsidRPr="00EE3674">
              <w:rPr>
                <w:b w:val="0"/>
                <w:bCs w:val="0"/>
                <w:i/>
                <w:iCs/>
                <w:sz w:val="20"/>
              </w:rPr>
              <w:t>atrial septal defect,</w:t>
            </w:r>
            <w:r w:rsidRPr="00EE3674">
              <w:rPr>
                <w:bCs w:val="0"/>
                <w:iCs/>
                <w:sz w:val="20"/>
              </w:rPr>
              <w:t xml:space="preserve"> IV.ii.2.B.6.a</w:t>
            </w:r>
            <w:r w:rsidRPr="00EE3674">
              <w:rPr>
                <w:b w:val="0"/>
                <w:bCs w:val="0"/>
              </w:rPr>
              <w:t xml:space="preserve"> </w:t>
            </w:r>
          </w:p>
          <w:p w:rsidR="00911094" w:rsidRPr="00EE3674" w:rsidRDefault="00911094" w:rsidP="00F063AF">
            <w:pPr>
              <w:pStyle w:val="BodyText2"/>
              <w:widowControl w:val="0"/>
              <w:numPr>
                <w:ilvl w:val="0"/>
                <w:numId w:val="116"/>
              </w:numPr>
              <w:tabs>
                <w:tab w:val="clear" w:pos="720"/>
                <w:tab w:val="num" w:pos="503"/>
              </w:tabs>
              <w:spacing w:after="120"/>
              <w:ind w:left="503"/>
              <w:rPr>
                <w:b w:val="0"/>
                <w:bCs w:val="0"/>
                <w:i/>
                <w:iCs/>
                <w:sz w:val="20"/>
              </w:rPr>
            </w:pPr>
            <w:r w:rsidRPr="00EE3674">
              <w:rPr>
                <w:b w:val="0"/>
                <w:bCs w:val="0"/>
                <w:i/>
                <w:iCs/>
                <w:sz w:val="20"/>
              </w:rPr>
              <w:t>congenital deviated nasal septum without trauma in service or abnormal progression during service (6502)</w:t>
            </w:r>
          </w:p>
          <w:p w:rsidR="00911094" w:rsidRDefault="00911094" w:rsidP="00F063AF">
            <w:pPr>
              <w:pStyle w:val="BodyText2"/>
              <w:widowControl w:val="0"/>
              <w:numPr>
                <w:ilvl w:val="0"/>
                <w:numId w:val="116"/>
              </w:numPr>
              <w:tabs>
                <w:tab w:val="clear" w:pos="720"/>
                <w:tab w:val="num" w:pos="503"/>
              </w:tabs>
              <w:spacing w:after="120"/>
              <w:ind w:left="503"/>
              <w:rPr>
                <w:b w:val="0"/>
                <w:bCs w:val="0"/>
                <w:i/>
                <w:iCs/>
                <w:sz w:val="20"/>
              </w:rPr>
            </w:pPr>
            <w:r>
              <w:rPr>
                <w:b w:val="0"/>
                <w:bCs w:val="0"/>
                <w:i/>
                <w:iCs/>
                <w:sz w:val="20"/>
              </w:rPr>
              <w:t>congenital diastasis of the rectus abdominus</w:t>
            </w:r>
            <w:r w:rsidRPr="00B52641">
              <w:rPr>
                <w:b w:val="0"/>
                <w:i/>
                <w:iCs/>
                <w:sz w:val="20"/>
              </w:rPr>
              <w:t>,</w:t>
            </w:r>
            <w:r w:rsidRPr="00B52641">
              <w:rPr>
                <w:i/>
                <w:iCs/>
                <w:sz w:val="20"/>
              </w:rPr>
              <w:t xml:space="preserve"> </w:t>
            </w:r>
            <w:r w:rsidR="001F7581" w:rsidRPr="001F7581">
              <w:rPr>
                <w:sz w:val="20"/>
              </w:rPr>
              <w:t>III.iv.4.A.8.h</w:t>
            </w:r>
          </w:p>
          <w:p w:rsidR="00911094" w:rsidRDefault="00911094" w:rsidP="00F063AF">
            <w:pPr>
              <w:numPr>
                <w:ilvl w:val="0"/>
                <w:numId w:val="116"/>
              </w:numPr>
              <w:tabs>
                <w:tab w:val="clear" w:pos="720"/>
                <w:tab w:val="num" w:pos="503"/>
              </w:tabs>
              <w:spacing w:after="120"/>
              <w:ind w:left="503"/>
              <w:rPr>
                <w:rStyle w:val="Emphasis"/>
                <w:i w:val="0"/>
                <w:iCs w:val="0"/>
              </w:rPr>
            </w:pPr>
            <w:r>
              <w:rPr>
                <w:rStyle w:val="Emphasis"/>
              </w:rPr>
              <w:t xml:space="preserve">congenital heart defects (i.e. patent foramen ovale, patent ductus arteriosus, coarctation of the aorta, intraventricular septal defect) (7099-7000) </w:t>
            </w:r>
            <w:r w:rsidR="00526485">
              <w:rPr>
                <w:b/>
              </w:rPr>
              <w:t>III.iv.4.</w:t>
            </w:r>
            <w:r w:rsidR="001F7E5B">
              <w:rPr>
                <w:b/>
              </w:rPr>
              <w:t>G</w:t>
            </w:r>
            <w:r w:rsidR="00526485">
              <w:rPr>
                <w:b/>
              </w:rPr>
              <w:t>.1</w:t>
            </w:r>
            <w:r>
              <w:rPr>
                <w:b/>
              </w:rPr>
              <w:t>.h</w:t>
            </w:r>
          </w:p>
          <w:p w:rsidR="00911094" w:rsidRPr="00B52641" w:rsidRDefault="00911094" w:rsidP="00F063AF">
            <w:pPr>
              <w:pStyle w:val="Header"/>
              <w:widowControl w:val="0"/>
              <w:numPr>
                <w:ilvl w:val="0"/>
                <w:numId w:val="116"/>
              </w:numPr>
              <w:tabs>
                <w:tab w:val="clear" w:pos="720"/>
                <w:tab w:val="clear" w:pos="4320"/>
                <w:tab w:val="clear" w:pos="8640"/>
                <w:tab w:val="num" w:pos="503"/>
              </w:tabs>
              <w:spacing w:after="120"/>
              <w:ind w:left="503"/>
              <w:rPr>
                <w:i/>
                <w:iCs/>
              </w:rPr>
            </w:pPr>
            <w:r>
              <w:rPr>
                <w:i/>
                <w:iCs/>
              </w:rPr>
              <w:t xml:space="preserve">congenital pes planus (5276) </w:t>
            </w:r>
            <w:r>
              <w:t>(only SC for “acquired” pes planus, which is indicated by depression of the longitudinal arch, associated anatomical changes (such as the inward rotation of the superior portion of the os calcis, medial deviation of the insertion of the Achilles tendon, or a medial tilting of the upper border of the astragalus), painful plantar surface with demonstrable tenderness, spasm of the Achilles tendon with manipulation of the foot, peroneal spasm due to adhesion about the peroneal sheaths, and other evidence of pain and limitation of motion. Simple flattening of the arches without evidence of abnormal callosities, areas of pressure, strain or demonstrable tenderness, is a congenital abnormality.)</w:t>
            </w:r>
          </w:p>
          <w:p w:rsidR="00911094" w:rsidRPr="001F7581" w:rsidRDefault="00911094" w:rsidP="00F063AF">
            <w:pPr>
              <w:pStyle w:val="Header"/>
              <w:widowControl w:val="0"/>
              <w:numPr>
                <w:ilvl w:val="0"/>
                <w:numId w:val="116"/>
              </w:numPr>
              <w:tabs>
                <w:tab w:val="clear" w:pos="720"/>
                <w:tab w:val="clear" w:pos="4320"/>
                <w:tab w:val="clear" w:pos="8640"/>
                <w:tab w:val="num" w:pos="503"/>
              </w:tabs>
              <w:spacing w:after="120"/>
              <w:ind w:left="503"/>
              <w:rPr>
                <w:i/>
                <w:iCs/>
              </w:rPr>
            </w:pPr>
            <w:r w:rsidRPr="00B52641">
              <w:rPr>
                <w:i/>
              </w:rPr>
              <w:t xml:space="preserve">deformity or </w:t>
            </w:r>
            <w:r w:rsidRPr="001F7581">
              <w:rPr>
                <w:i/>
              </w:rPr>
              <w:t>exostosis (bony overgrowth) of parts</w:t>
            </w:r>
            <w:r w:rsidRPr="001F7581">
              <w:t xml:space="preserve">, </w:t>
            </w:r>
            <w:r w:rsidR="001F7581" w:rsidRPr="001F7581">
              <w:rPr>
                <w:b/>
              </w:rPr>
              <w:t>III.iv.4.A.8.h</w:t>
            </w:r>
          </w:p>
          <w:p w:rsidR="00911094" w:rsidRPr="001F7581" w:rsidRDefault="00911094" w:rsidP="00F063AF">
            <w:pPr>
              <w:pStyle w:val="Header"/>
              <w:widowControl w:val="0"/>
              <w:numPr>
                <w:ilvl w:val="0"/>
                <w:numId w:val="116"/>
              </w:numPr>
              <w:tabs>
                <w:tab w:val="clear" w:pos="720"/>
                <w:tab w:val="clear" w:pos="4320"/>
                <w:tab w:val="clear" w:pos="8640"/>
                <w:tab w:val="num" w:pos="503"/>
              </w:tabs>
              <w:spacing w:after="120"/>
              <w:ind w:left="503"/>
              <w:rPr>
                <w:i/>
                <w:iCs/>
              </w:rPr>
            </w:pPr>
            <w:r w:rsidRPr="001F7581">
              <w:rPr>
                <w:i/>
                <w:iCs/>
              </w:rPr>
              <w:t>displaced parts,</w:t>
            </w:r>
            <w:r w:rsidR="00EE3674">
              <w:rPr>
                <w:i/>
                <w:iCs/>
              </w:rPr>
              <w:t xml:space="preserve"> </w:t>
            </w:r>
            <w:r w:rsidR="00EE3674" w:rsidRPr="00EE3674">
              <w:rPr>
                <w:b/>
                <w:bCs/>
                <w:iCs/>
              </w:rPr>
              <w:t>IV.ii.2.B.6.a</w:t>
            </w:r>
          </w:p>
          <w:p w:rsidR="00911094" w:rsidRDefault="00911094" w:rsidP="00F063AF">
            <w:pPr>
              <w:widowControl w:val="0"/>
              <w:numPr>
                <w:ilvl w:val="0"/>
                <w:numId w:val="116"/>
              </w:numPr>
              <w:tabs>
                <w:tab w:val="clear" w:pos="720"/>
                <w:tab w:val="num" w:pos="503"/>
              </w:tabs>
              <w:spacing w:after="120"/>
              <w:ind w:left="503"/>
              <w:rPr>
                <w:iCs/>
              </w:rPr>
            </w:pPr>
            <w:r w:rsidRPr="009B04B0">
              <w:rPr>
                <w:bCs/>
                <w:i/>
                <w:iCs/>
              </w:rPr>
              <w:t>heart murmur, if alone (with</w:t>
            </w:r>
            <w:r w:rsidRPr="009B04B0">
              <w:rPr>
                <w:i/>
                <w:iCs/>
              </w:rPr>
              <w:t>out</w:t>
            </w:r>
            <w:r w:rsidRPr="009B04B0">
              <w:rPr>
                <w:bCs/>
                <w:i/>
                <w:iCs/>
              </w:rPr>
              <w:t xml:space="preserve"> </w:t>
            </w:r>
            <w:r w:rsidRPr="009B04B0">
              <w:rPr>
                <w:i/>
                <w:color w:val="000000"/>
              </w:rPr>
              <w:t>a diagnosis of a specific disease process)</w:t>
            </w:r>
            <w:r w:rsidRPr="009B04B0">
              <w:rPr>
                <w:color w:val="000000"/>
              </w:rPr>
              <w:t xml:space="preserve"> </w:t>
            </w:r>
            <w:r w:rsidRPr="009B04B0">
              <w:rPr>
                <w:bCs/>
                <w:i/>
                <w:iCs/>
              </w:rPr>
              <w:t>(7099-7000)</w:t>
            </w:r>
            <w:r>
              <w:rPr>
                <w:b/>
                <w:bCs/>
                <w:i/>
                <w:iCs/>
              </w:rPr>
              <w:t xml:space="preserve"> </w:t>
            </w:r>
            <w:r>
              <w:rPr>
                <w:iCs/>
              </w:rPr>
              <w:t>Your STRs show a heart murmur</w:t>
            </w:r>
            <w:r w:rsidRPr="009B04B0">
              <w:rPr>
                <w:iCs/>
              </w:rPr>
              <w:t xml:space="preserve">, which </w:t>
            </w:r>
            <w:r>
              <w:rPr>
                <w:iCs/>
              </w:rPr>
              <w:t xml:space="preserve">is a finding when </w:t>
            </w:r>
            <w:r w:rsidRPr="009B04B0">
              <w:rPr>
                <w:iCs/>
              </w:rPr>
              <w:t xml:space="preserve">alone (without a diagnosis of a specific disease process), and not </w:t>
            </w:r>
            <w:r>
              <w:rPr>
                <w:iCs/>
              </w:rPr>
              <w:t xml:space="preserve">an actually disabling condition </w:t>
            </w:r>
            <w:r w:rsidRPr="009B04B0">
              <w:rPr>
                <w:iCs/>
              </w:rPr>
              <w:t>for which service connection can be granted.</w:t>
            </w:r>
          </w:p>
          <w:p w:rsidR="00911094" w:rsidRDefault="00911094" w:rsidP="00F063AF">
            <w:pPr>
              <w:pStyle w:val="BodyText2"/>
              <w:widowControl w:val="0"/>
              <w:numPr>
                <w:ilvl w:val="0"/>
                <w:numId w:val="116"/>
              </w:numPr>
              <w:tabs>
                <w:tab w:val="clear" w:pos="720"/>
                <w:tab w:val="num" w:pos="503"/>
              </w:tabs>
              <w:spacing w:after="120"/>
              <w:ind w:left="503"/>
              <w:rPr>
                <w:b w:val="0"/>
                <w:bCs w:val="0"/>
                <w:i/>
                <w:iCs/>
                <w:sz w:val="20"/>
              </w:rPr>
            </w:pPr>
            <w:r>
              <w:rPr>
                <w:b w:val="0"/>
                <w:bCs w:val="0"/>
                <w:i/>
                <w:iCs/>
                <w:sz w:val="20"/>
              </w:rPr>
              <w:t xml:space="preserve">hernia of the </w:t>
            </w:r>
            <w:r w:rsidRPr="001F7581">
              <w:rPr>
                <w:b w:val="0"/>
                <w:bCs w:val="0"/>
                <w:i/>
                <w:iCs/>
                <w:sz w:val="20"/>
              </w:rPr>
              <w:t>diaphragm</w:t>
            </w:r>
            <w:r w:rsidRPr="001F7581">
              <w:rPr>
                <w:b w:val="0"/>
                <w:i/>
                <w:iCs/>
                <w:sz w:val="20"/>
              </w:rPr>
              <w:t>,</w:t>
            </w:r>
            <w:r w:rsidRPr="001F7581">
              <w:rPr>
                <w:i/>
                <w:iCs/>
                <w:sz w:val="20"/>
              </w:rPr>
              <w:t xml:space="preserve"> </w:t>
            </w:r>
            <w:r w:rsidRPr="001F7581">
              <w:rPr>
                <w:sz w:val="20"/>
              </w:rPr>
              <w:t>III.iv.4.A.</w:t>
            </w:r>
            <w:r w:rsidR="001F7581" w:rsidRPr="001F7581">
              <w:rPr>
                <w:sz w:val="20"/>
              </w:rPr>
              <w:t>8.h</w:t>
            </w:r>
          </w:p>
          <w:p w:rsidR="00911094" w:rsidRDefault="00911094" w:rsidP="00F063AF">
            <w:pPr>
              <w:pStyle w:val="BodyText2"/>
              <w:widowControl w:val="0"/>
              <w:numPr>
                <w:ilvl w:val="0"/>
                <w:numId w:val="116"/>
              </w:numPr>
              <w:tabs>
                <w:tab w:val="clear" w:pos="720"/>
                <w:tab w:val="num" w:pos="503"/>
              </w:tabs>
              <w:spacing w:after="120"/>
              <w:ind w:left="503"/>
              <w:rPr>
                <w:b w:val="0"/>
                <w:bCs w:val="0"/>
                <w:i/>
                <w:iCs/>
                <w:sz w:val="20"/>
              </w:rPr>
            </w:pPr>
            <w:r>
              <w:rPr>
                <w:b w:val="0"/>
                <w:bCs w:val="0"/>
                <w:i/>
                <w:iCs/>
                <w:sz w:val="20"/>
              </w:rPr>
              <w:t>incomplete sacralization</w:t>
            </w:r>
            <w:r w:rsidRPr="00B52641">
              <w:rPr>
                <w:b w:val="0"/>
                <w:i/>
                <w:iCs/>
                <w:sz w:val="20"/>
              </w:rPr>
              <w:t>,</w:t>
            </w:r>
            <w:r w:rsidRPr="00B52641">
              <w:rPr>
                <w:i/>
                <w:iCs/>
                <w:sz w:val="20"/>
              </w:rPr>
              <w:t xml:space="preserve"> </w:t>
            </w:r>
            <w:r w:rsidR="001F7581" w:rsidRPr="001F7581">
              <w:rPr>
                <w:sz w:val="20"/>
              </w:rPr>
              <w:t>III.iv.4.A.8.h</w:t>
            </w:r>
          </w:p>
          <w:p w:rsidR="00911094" w:rsidRDefault="00911094" w:rsidP="00F063AF">
            <w:pPr>
              <w:pStyle w:val="BodyText2"/>
              <w:widowControl w:val="0"/>
              <w:numPr>
                <w:ilvl w:val="0"/>
                <w:numId w:val="116"/>
              </w:numPr>
              <w:tabs>
                <w:tab w:val="clear" w:pos="720"/>
                <w:tab w:val="num" w:pos="503"/>
              </w:tabs>
              <w:spacing w:after="120"/>
              <w:ind w:left="503"/>
              <w:rPr>
                <w:b w:val="0"/>
                <w:bCs w:val="0"/>
                <w:i/>
                <w:iCs/>
                <w:sz w:val="20"/>
              </w:rPr>
            </w:pPr>
            <w:r>
              <w:rPr>
                <w:b w:val="0"/>
                <w:bCs w:val="0"/>
                <w:i/>
                <w:iCs/>
                <w:sz w:val="20"/>
              </w:rPr>
              <w:t>kyphosis, scoliosis, lordosis or hyperlordosis, if alone &amp; did not first manifest in service or permanently worsen in service (5299-5237)</w:t>
            </w:r>
          </w:p>
          <w:p w:rsidR="00911094" w:rsidRDefault="00911094" w:rsidP="00F063AF">
            <w:pPr>
              <w:pStyle w:val="Header"/>
              <w:widowControl w:val="0"/>
              <w:numPr>
                <w:ilvl w:val="0"/>
                <w:numId w:val="116"/>
              </w:numPr>
              <w:tabs>
                <w:tab w:val="clear" w:pos="720"/>
                <w:tab w:val="clear" w:pos="4320"/>
                <w:tab w:val="clear" w:pos="8640"/>
                <w:tab w:val="num" w:pos="503"/>
              </w:tabs>
              <w:spacing w:after="120"/>
              <w:ind w:left="503"/>
              <w:rPr>
                <w:i/>
                <w:iCs/>
              </w:rPr>
            </w:pPr>
            <w:r>
              <w:rPr>
                <w:i/>
                <w:iCs/>
              </w:rPr>
              <w:t>lazy eye/amblyopia (</w:t>
            </w:r>
            <w:r w:rsidR="000E2E8C" w:rsidRPr="000E2E8C">
              <w:rPr>
                <w:b/>
                <w:iCs/>
              </w:rPr>
              <w:t>III.iv.4.C.</w:t>
            </w:r>
            <w:r w:rsidRPr="000E2E8C">
              <w:rPr>
                <w:b/>
                <w:iCs/>
              </w:rPr>
              <w:t>2</w:t>
            </w:r>
            <w:r w:rsidR="000E2E8C" w:rsidRPr="000E2E8C">
              <w:rPr>
                <w:b/>
                <w:iCs/>
              </w:rPr>
              <w:t>.d</w:t>
            </w:r>
            <w:r>
              <w:rPr>
                <w:i/>
                <w:iCs/>
              </w:rPr>
              <w:t xml:space="preserve"> – need etiology, as may be developmental or acquired)/strabismus/estropia/exotropia/exophoria/hyperphoria (6099-6066)</w:t>
            </w:r>
          </w:p>
          <w:p w:rsidR="00911094" w:rsidRPr="00BD6E49" w:rsidRDefault="00911094" w:rsidP="00F063AF">
            <w:pPr>
              <w:pStyle w:val="BodyText2"/>
              <w:widowControl w:val="0"/>
              <w:numPr>
                <w:ilvl w:val="0"/>
                <w:numId w:val="116"/>
              </w:numPr>
              <w:tabs>
                <w:tab w:val="clear" w:pos="720"/>
                <w:tab w:val="num" w:pos="503"/>
              </w:tabs>
              <w:spacing w:after="120"/>
              <w:ind w:left="503"/>
              <w:rPr>
                <w:rStyle w:val="Hyperlink"/>
                <w:b w:val="0"/>
                <w:bCs w:val="0"/>
                <w:i/>
                <w:iCs/>
                <w:color w:val="auto"/>
                <w:sz w:val="20"/>
                <w:u w:val="none"/>
              </w:rPr>
            </w:pPr>
            <w:r>
              <w:rPr>
                <w:b w:val="0"/>
                <w:bCs w:val="0"/>
                <w:i/>
                <w:iCs/>
                <w:sz w:val="20"/>
              </w:rPr>
              <w:t xml:space="preserve">male pattern baldness/androgenetic alopecia/hair loss without alopecia areata or scarring alopecia (7899-7831), confirmed by </w:t>
            </w:r>
            <w:r w:rsidRPr="006E501E">
              <w:rPr>
                <w:bCs w:val="0"/>
                <w:i/>
                <w:iCs/>
                <w:sz w:val="20"/>
              </w:rPr>
              <w:t>September 2013 Compensation Service Bulletin (CSB)</w:t>
            </w:r>
            <w:r>
              <w:rPr>
                <w:rStyle w:val="Hyperlink"/>
                <w:b w:val="0"/>
                <w:bCs w:val="0"/>
                <w:iCs/>
                <w:sz w:val="20"/>
                <w:u w:val="none"/>
              </w:rPr>
              <w:t xml:space="preserve">, </w:t>
            </w:r>
            <w:hyperlink r:id="rId283" w:history="1">
              <w:r w:rsidRPr="00083D88">
                <w:rPr>
                  <w:rStyle w:val="Hyperlink"/>
                  <w:i/>
                  <w:sz w:val="20"/>
                </w:rPr>
                <w:t xml:space="preserve">October 2014 Rating </w:t>
              </w:r>
              <w:r>
                <w:rPr>
                  <w:rStyle w:val="Hyperlink"/>
                  <w:i/>
                  <w:sz w:val="20"/>
                </w:rPr>
                <w:t>Quality Call Notes</w:t>
              </w:r>
            </w:hyperlink>
            <w:r>
              <w:rPr>
                <w:rStyle w:val="Hyperlink"/>
                <w:b w:val="0"/>
                <w:sz w:val="20"/>
                <w:u w:val="none"/>
              </w:rPr>
              <w:t xml:space="preserve">, </w:t>
            </w:r>
            <w:r w:rsidRPr="00BD6E49">
              <w:rPr>
                <w:rStyle w:val="Hyperlink"/>
                <w:color w:val="auto"/>
                <w:sz w:val="20"/>
                <w:u w:val="none"/>
              </w:rPr>
              <w:t>III.iv.4.</w:t>
            </w:r>
            <w:r w:rsidR="000A1C0E">
              <w:rPr>
                <w:rStyle w:val="Hyperlink"/>
                <w:color w:val="auto"/>
                <w:sz w:val="20"/>
                <w:u w:val="none"/>
              </w:rPr>
              <w:t>L.4</w:t>
            </w:r>
            <w:r w:rsidRPr="00BD6E49">
              <w:rPr>
                <w:rStyle w:val="Hyperlink"/>
                <w:color w:val="auto"/>
                <w:sz w:val="20"/>
                <w:u w:val="none"/>
              </w:rPr>
              <w:t>.b</w:t>
            </w:r>
            <w:r>
              <w:rPr>
                <w:rStyle w:val="Hyperlink"/>
                <w:b w:val="0"/>
                <w:color w:val="auto"/>
                <w:sz w:val="20"/>
                <w:u w:val="none"/>
              </w:rPr>
              <w:t xml:space="preserve">, </w:t>
            </w:r>
            <w:r w:rsidRPr="00BD6E49">
              <w:rPr>
                <w:rStyle w:val="Hyperlink"/>
                <w:b w:val="0"/>
                <w:color w:val="auto"/>
                <w:sz w:val="20"/>
                <w:u w:val="none"/>
              </w:rPr>
              <w:t>eff 10/5/15</w:t>
            </w:r>
          </w:p>
          <w:p w:rsidR="00EE3674" w:rsidRDefault="00911094" w:rsidP="00F063AF">
            <w:pPr>
              <w:pStyle w:val="BodyText2"/>
              <w:widowControl w:val="0"/>
              <w:numPr>
                <w:ilvl w:val="0"/>
                <w:numId w:val="116"/>
              </w:numPr>
              <w:tabs>
                <w:tab w:val="clear" w:pos="720"/>
                <w:tab w:val="num" w:pos="503"/>
              </w:tabs>
              <w:spacing w:after="120"/>
              <w:ind w:left="503"/>
              <w:rPr>
                <w:b w:val="0"/>
                <w:bCs w:val="0"/>
                <w:i/>
                <w:iCs/>
                <w:sz w:val="20"/>
              </w:rPr>
            </w:pPr>
            <w:r>
              <w:rPr>
                <w:b w:val="0"/>
                <w:bCs w:val="0"/>
                <w:i/>
                <w:iCs/>
                <w:sz w:val="20"/>
              </w:rPr>
              <w:t>mental retardation/deficiency (9399-9327)</w:t>
            </w:r>
            <w:r w:rsidR="00EE3674">
              <w:rPr>
                <w:b w:val="0"/>
                <w:bCs w:val="0"/>
                <w:i/>
                <w:iCs/>
                <w:sz w:val="20"/>
              </w:rPr>
              <w:t>,</w:t>
            </w:r>
            <w:r w:rsidR="00EE3674">
              <w:rPr>
                <w:bCs w:val="0"/>
                <w:iCs/>
                <w:sz w:val="20"/>
              </w:rPr>
              <w:t xml:space="preserve"> IV.ii.2.B.6.a</w:t>
            </w:r>
          </w:p>
          <w:p w:rsidR="00911094" w:rsidRPr="001F7581" w:rsidRDefault="00911094" w:rsidP="00F063AF">
            <w:pPr>
              <w:pStyle w:val="BodyText2"/>
              <w:widowControl w:val="0"/>
              <w:numPr>
                <w:ilvl w:val="0"/>
                <w:numId w:val="116"/>
              </w:numPr>
              <w:tabs>
                <w:tab w:val="clear" w:pos="720"/>
                <w:tab w:val="num" w:pos="503"/>
              </w:tabs>
              <w:spacing w:after="120"/>
              <w:ind w:left="503"/>
              <w:rPr>
                <w:b w:val="0"/>
                <w:bCs w:val="0"/>
                <w:i/>
                <w:iCs/>
                <w:sz w:val="20"/>
              </w:rPr>
            </w:pPr>
            <w:r w:rsidRPr="001F7581">
              <w:rPr>
                <w:b w:val="0"/>
                <w:bCs w:val="0"/>
                <w:i/>
                <w:iCs/>
                <w:sz w:val="20"/>
              </w:rPr>
              <w:t>myotonias</w:t>
            </w:r>
            <w:r w:rsidRPr="001F7581">
              <w:rPr>
                <w:b w:val="0"/>
                <w:i/>
                <w:iCs/>
                <w:sz w:val="20"/>
              </w:rPr>
              <w:t>,</w:t>
            </w:r>
            <w:r w:rsidRPr="001F7581">
              <w:rPr>
                <w:i/>
                <w:iCs/>
                <w:sz w:val="20"/>
              </w:rPr>
              <w:t xml:space="preserve"> </w:t>
            </w:r>
            <w:r w:rsidR="001F7581" w:rsidRPr="001F7581">
              <w:rPr>
                <w:sz w:val="20"/>
              </w:rPr>
              <w:t>III.iv.4.A.8.h</w:t>
            </w:r>
          </w:p>
          <w:p w:rsidR="00EE3674" w:rsidRPr="00EE3674" w:rsidRDefault="00EE3674" w:rsidP="00F063AF">
            <w:pPr>
              <w:pStyle w:val="BodyText2"/>
              <w:widowControl w:val="0"/>
              <w:numPr>
                <w:ilvl w:val="0"/>
                <w:numId w:val="116"/>
              </w:numPr>
              <w:tabs>
                <w:tab w:val="clear" w:pos="720"/>
                <w:tab w:val="num" w:pos="503"/>
              </w:tabs>
              <w:spacing w:after="120"/>
              <w:ind w:left="503"/>
              <w:rPr>
                <w:i/>
                <w:iCs/>
              </w:rPr>
            </w:pPr>
            <w:r w:rsidRPr="00EE3674">
              <w:rPr>
                <w:b w:val="0"/>
                <w:i/>
                <w:iCs/>
                <w:sz w:val="20"/>
              </w:rPr>
              <w:t>pectus excavatum,</w:t>
            </w:r>
            <w:r w:rsidRPr="00EE3674">
              <w:rPr>
                <w:iCs/>
                <w:sz w:val="20"/>
              </w:rPr>
              <w:t xml:space="preserve"> IV.ii.2.B.6.a</w:t>
            </w:r>
            <w:r w:rsidRPr="00EE3674">
              <w:t xml:space="preserve"> </w:t>
            </w:r>
          </w:p>
          <w:p w:rsidR="00911094" w:rsidRDefault="00911094" w:rsidP="00F063AF">
            <w:pPr>
              <w:pStyle w:val="Header"/>
              <w:widowControl w:val="0"/>
              <w:numPr>
                <w:ilvl w:val="0"/>
                <w:numId w:val="116"/>
              </w:numPr>
              <w:tabs>
                <w:tab w:val="clear" w:pos="720"/>
                <w:tab w:val="clear" w:pos="4320"/>
                <w:tab w:val="clear" w:pos="8640"/>
                <w:tab w:val="num" w:pos="503"/>
              </w:tabs>
              <w:spacing w:after="120"/>
              <w:ind w:left="503"/>
              <w:rPr>
                <w:i/>
                <w:iCs/>
              </w:rPr>
            </w:pPr>
            <w:r>
              <w:rPr>
                <w:i/>
                <w:iCs/>
              </w:rPr>
              <w:t>p</w:t>
            </w:r>
            <w:r w:rsidRPr="00B52641">
              <w:rPr>
                <w:i/>
                <w:iCs/>
              </w:rPr>
              <w:t>ersonality disorder (9499-9400)</w:t>
            </w:r>
            <w:r w:rsidR="00EE3674">
              <w:rPr>
                <w:i/>
                <w:iCs/>
              </w:rPr>
              <w:t xml:space="preserve">, </w:t>
            </w:r>
            <w:r w:rsidR="00EE3674" w:rsidRPr="007259D5">
              <w:rPr>
                <w:b/>
                <w:bCs/>
              </w:rPr>
              <w:t>IV.ii.2.B</w:t>
            </w:r>
            <w:r w:rsidR="00EE3674">
              <w:rPr>
                <w:b/>
                <w:bCs/>
              </w:rPr>
              <w:t>.6.a</w:t>
            </w:r>
          </w:p>
          <w:p w:rsidR="00911094" w:rsidRDefault="00911094" w:rsidP="00F063AF">
            <w:pPr>
              <w:pStyle w:val="BodyText2"/>
              <w:widowControl w:val="0"/>
              <w:numPr>
                <w:ilvl w:val="0"/>
                <w:numId w:val="116"/>
              </w:numPr>
              <w:tabs>
                <w:tab w:val="clear" w:pos="720"/>
                <w:tab w:val="num" w:pos="503"/>
              </w:tabs>
              <w:spacing w:after="120"/>
              <w:ind w:left="503"/>
              <w:rPr>
                <w:i/>
                <w:iCs/>
                <w:sz w:val="20"/>
              </w:rPr>
            </w:pPr>
            <w:r>
              <w:rPr>
                <w:b w:val="0"/>
                <w:bCs w:val="0"/>
                <w:i/>
                <w:iCs/>
                <w:sz w:val="20"/>
              </w:rPr>
              <w:t>Scheuermann’s disease (5299-5237)</w:t>
            </w:r>
          </w:p>
          <w:p w:rsidR="00911094" w:rsidRPr="001F7581" w:rsidRDefault="00911094" w:rsidP="00F063AF">
            <w:pPr>
              <w:pStyle w:val="BodyText2"/>
              <w:widowControl w:val="0"/>
              <w:numPr>
                <w:ilvl w:val="0"/>
                <w:numId w:val="116"/>
              </w:numPr>
              <w:tabs>
                <w:tab w:val="clear" w:pos="720"/>
                <w:tab w:val="num" w:pos="503"/>
              </w:tabs>
              <w:spacing w:after="120"/>
              <w:ind w:left="503"/>
              <w:rPr>
                <w:bCs w:val="0"/>
                <w:i/>
                <w:iCs/>
                <w:sz w:val="20"/>
              </w:rPr>
            </w:pPr>
            <w:r>
              <w:rPr>
                <w:b w:val="0"/>
                <w:bCs w:val="0"/>
                <w:i/>
                <w:iCs/>
                <w:sz w:val="20"/>
              </w:rPr>
              <w:t>spina bifida</w:t>
            </w:r>
            <w:r w:rsidRPr="00B52641">
              <w:rPr>
                <w:b w:val="0"/>
                <w:i/>
                <w:iCs/>
                <w:sz w:val="20"/>
              </w:rPr>
              <w:t>,</w:t>
            </w:r>
            <w:r w:rsidRPr="00B52641">
              <w:rPr>
                <w:i/>
                <w:iCs/>
                <w:sz w:val="20"/>
              </w:rPr>
              <w:t xml:space="preserve"> </w:t>
            </w:r>
            <w:r w:rsidR="001F7581" w:rsidRPr="001F7581">
              <w:rPr>
                <w:sz w:val="20"/>
              </w:rPr>
              <w:t>III.iv.4.A.8.h</w:t>
            </w:r>
          </w:p>
          <w:p w:rsidR="00911094" w:rsidRDefault="00911094" w:rsidP="00F063AF">
            <w:pPr>
              <w:pStyle w:val="BodyText2"/>
              <w:widowControl w:val="0"/>
              <w:numPr>
                <w:ilvl w:val="0"/>
                <w:numId w:val="116"/>
              </w:numPr>
              <w:tabs>
                <w:tab w:val="clear" w:pos="720"/>
                <w:tab w:val="num" w:pos="503"/>
              </w:tabs>
              <w:spacing w:after="120"/>
              <w:ind w:left="503"/>
              <w:rPr>
                <w:b w:val="0"/>
                <w:bCs w:val="0"/>
                <w:i/>
                <w:iCs/>
                <w:sz w:val="20"/>
              </w:rPr>
            </w:pPr>
            <w:r>
              <w:rPr>
                <w:b w:val="0"/>
                <w:bCs w:val="0"/>
                <w:i/>
                <w:iCs/>
                <w:sz w:val="20"/>
              </w:rPr>
              <w:t>spondylolysis</w:t>
            </w:r>
            <w:r w:rsidRPr="00B52641">
              <w:rPr>
                <w:b w:val="0"/>
                <w:i/>
                <w:iCs/>
                <w:sz w:val="20"/>
              </w:rPr>
              <w:t>,</w:t>
            </w:r>
            <w:r w:rsidRPr="00B52641">
              <w:rPr>
                <w:i/>
                <w:iCs/>
                <w:sz w:val="20"/>
              </w:rPr>
              <w:t xml:space="preserve"> </w:t>
            </w:r>
            <w:r w:rsidR="001F7581">
              <w:rPr>
                <w:sz w:val="20"/>
              </w:rPr>
              <w:t>III.iv.4.A.8.h</w:t>
            </w:r>
            <w:r>
              <w:rPr>
                <w:b w:val="0"/>
                <w:sz w:val="20"/>
              </w:rPr>
              <w:t xml:space="preserve"> says congenital defect (</w:t>
            </w:r>
            <w:r>
              <w:rPr>
                <w:b w:val="0"/>
                <w:i/>
                <w:sz w:val="18"/>
              </w:rPr>
              <w:t>*i</w:t>
            </w:r>
            <w:r w:rsidRPr="00480D3D">
              <w:rPr>
                <w:b w:val="0"/>
                <w:i/>
                <w:sz w:val="18"/>
              </w:rPr>
              <w:t xml:space="preserve">t </w:t>
            </w:r>
            <w:r>
              <w:rPr>
                <w:b w:val="0"/>
                <w:i/>
                <w:sz w:val="18"/>
              </w:rPr>
              <w:t>appears this is not spondylosis</w:t>
            </w:r>
            <w:r>
              <w:rPr>
                <w:b w:val="0"/>
                <w:sz w:val="20"/>
              </w:rPr>
              <w:t>), but</w:t>
            </w:r>
            <w:r w:rsidRPr="00D233A5">
              <w:rPr>
                <w:b w:val="0"/>
                <w:i/>
                <w:sz w:val="20"/>
              </w:rPr>
              <w:t xml:space="preserve"> spondylolisthesis</w:t>
            </w:r>
            <w:r>
              <w:rPr>
                <w:b w:val="0"/>
                <w:sz w:val="20"/>
              </w:rPr>
              <w:t xml:space="preserve"> is not automatically a congential condition although is commonly associated with a congenital defect</w:t>
            </w:r>
          </w:p>
          <w:p w:rsidR="00911094" w:rsidRPr="00EE3674" w:rsidRDefault="00911094" w:rsidP="00F063AF">
            <w:pPr>
              <w:pStyle w:val="Header"/>
              <w:widowControl w:val="0"/>
              <w:numPr>
                <w:ilvl w:val="0"/>
                <w:numId w:val="116"/>
              </w:numPr>
              <w:tabs>
                <w:tab w:val="clear" w:pos="720"/>
                <w:tab w:val="clear" w:pos="4320"/>
                <w:tab w:val="clear" w:pos="8640"/>
                <w:tab w:val="num" w:pos="503"/>
              </w:tabs>
              <w:spacing w:after="120"/>
              <w:ind w:left="503"/>
              <w:rPr>
                <w:i/>
                <w:iCs/>
              </w:rPr>
            </w:pPr>
            <w:r w:rsidRPr="00B52641">
              <w:rPr>
                <w:i/>
              </w:rPr>
              <w:t>subluxation (partial dislocation of a joint</w:t>
            </w:r>
            <w:r>
              <w:t xml:space="preserve">), </w:t>
            </w:r>
            <w:r w:rsidR="001F7581">
              <w:rPr>
                <w:b/>
              </w:rPr>
              <w:t>III.iv.4.A.8</w:t>
            </w:r>
            <w:r w:rsidRPr="0001466A">
              <w:rPr>
                <w:b/>
              </w:rPr>
              <w:t>.</w:t>
            </w:r>
            <w:r w:rsidR="001F7581">
              <w:rPr>
                <w:b/>
              </w:rPr>
              <w:t>h</w:t>
            </w:r>
            <w:r w:rsidR="00E73137">
              <w:rPr>
                <w:b/>
              </w:rPr>
              <w:t xml:space="preserve"> </w:t>
            </w:r>
            <w:r w:rsidR="00E73137">
              <w:t>was</w:t>
            </w:r>
            <w:r w:rsidR="000F009F">
              <w:t xml:space="preserve"> modified 2/9/17 to </w:t>
            </w:r>
            <w:r w:rsidR="000F009F" w:rsidRPr="000F009F">
              <w:t>say “Do not automatically classify joint subluxation as a developmental or congenital condition.”</w:t>
            </w:r>
            <w:r w:rsidR="000F009F">
              <w:t xml:space="preserve"> </w:t>
            </w:r>
          </w:p>
          <w:p w:rsidR="00EE3674" w:rsidRPr="001F7581" w:rsidRDefault="00EE3674" w:rsidP="00F063AF">
            <w:pPr>
              <w:pStyle w:val="Header"/>
              <w:widowControl w:val="0"/>
              <w:numPr>
                <w:ilvl w:val="0"/>
                <w:numId w:val="116"/>
              </w:numPr>
              <w:tabs>
                <w:tab w:val="clear" w:pos="720"/>
                <w:tab w:val="clear" w:pos="4320"/>
                <w:tab w:val="clear" w:pos="8640"/>
                <w:tab w:val="num" w:pos="503"/>
              </w:tabs>
              <w:spacing w:after="120"/>
              <w:ind w:left="503"/>
              <w:rPr>
                <w:i/>
                <w:iCs/>
              </w:rPr>
            </w:pPr>
            <w:r>
              <w:rPr>
                <w:i/>
                <w:iCs/>
              </w:rPr>
              <w:t>supernumerary</w:t>
            </w:r>
            <w:r w:rsidRPr="001F7581">
              <w:rPr>
                <w:i/>
                <w:iCs/>
              </w:rPr>
              <w:t xml:space="preserve"> parts,</w:t>
            </w:r>
            <w:r>
              <w:rPr>
                <w:i/>
                <w:iCs/>
              </w:rPr>
              <w:t xml:space="preserve"> </w:t>
            </w:r>
            <w:r w:rsidRPr="00EE3674">
              <w:rPr>
                <w:b/>
                <w:bCs/>
                <w:iCs/>
              </w:rPr>
              <w:t>IV.ii.2.B.6.a</w:t>
            </w:r>
          </w:p>
          <w:p w:rsidR="00911094" w:rsidRPr="00B52641" w:rsidRDefault="00911094" w:rsidP="00F063AF">
            <w:pPr>
              <w:pStyle w:val="Header"/>
              <w:widowControl w:val="0"/>
              <w:numPr>
                <w:ilvl w:val="0"/>
                <w:numId w:val="116"/>
              </w:numPr>
              <w:tabs>
                <w:tab w:val="clear" w:pos="720"/>
                <w:tab w:val="clear" w:pos="4320"/>
                <w:tab w:val="clear" w:pos="8640"/>
                <w:tab w:val="num" w:pos="503"/>
              </w:tabs>
              <w:spacing w:after="120"/>
              <w:ind w:left="503"/>
              <w:rPr>
                <w:i/>
                <w:iCs/>
              </w:rPr>
            </w:pPr>
            <w:r>
              <w:rPr>
                <w:i/>
                <w:iCs/>
              </w:rPr>
              <w:t>uncomplicated refractive error (regular astigmatism, myopia, hyperopia</w:t>
            </w:r>
            <w:r w:rsidR="00CC2F1D">
              <w:rPr>
                <w:i/>
                <w:iCs/>
              </w:rPr>
              <w:t>/hypermetropia</w:t>
            </w:r>
            <w:r>
              <w:rPr>
                <w:i/>
                <w:iCs/>
              </w:rPr>
              <w:t xml:space="preserve"> &amp; presbyopia) </w:t>
            </w:r>
            <w:r w:rsidRPr="006C6FF3">
              <w:rPr>
                <w:iCs/>
              </w:rPr>
              <w:t xml:space="preserve">[blurry vision, blurred vision, eyesight, </w:t>
            </w:r>
            <w:r>
              <w:rPr>
                <w:iCs/>
              </w:rPr>
              <w:t xml:space="preserve">glasses, contacts, </w:t>
            </w:r>
            <w:r w:rsidRPr="006C6FF3">
              <w:rPr>
                <w:iCs/>
              </w:rPr>
              <w:t>etc.]</w:t>
            </w:r>
            <w:r>
              <w:rPr>
                <w:i/>
                <w:iCs/>
              </w:rPr>
              <w:t xml:space="preserve"> (6099-6066) </w:t>
            </w:r>
            <w:r>
              <w:t xml:space="preserve">*exceptions are malignant myopia and pernicious </w:t>
            </w:r>
            <w:r w:rsidRPr="000E2E8C">
              <w:t xml:space="preserve">myopia per </w:t>
            </w:r>
            <w:r w:rsidRPr="000E2E8C">
              <w:rPr>
                <w:b/>
                <w:bCs/>
              </w:rPr>
              <w:t>III.iv.4.</w:t>
            </w:r>
            <w:r w:rsidR="000E2E8C" w:rsidRPr="000E2E8C">
              <w:rPr>
                <w:b/>
                <w:bCs/>
              </w:rPr>
              <w:t>C.2.a</w:t>
            </w:r>
          </w:p>
          <w:p w:rsidR="00EE3674" w:rsidRPr="00EE3674" w:rsidRDefault="00EE3674" w:rsidP="00F063AF">
            <w:pPr>
              <w:pStyle w:val="BodyText2"/>
              <w:widowControl w:val="0"/>
              <w:numPr>
                <w:ilvl w:val="0"/>
                <w:numId w:val="116"/>
              </w:numPr>
              <w:tabs>
                <w:tab w:val="clear" w:pos="720"/>
                <w:tab w:val="num" w:pos="503"/>
              </w:tabs>
              <w:spacing w:after="120"/>
              <w:ind w:left="503"/>
              <w:rPr>
                <w:b w:val="0"/>
                <w:bCs w:val="0"/>
                <w:i/>
                <w:iCs/>
                <w:sz w:val="20"/>
              </w:rPr>
            </w:pPr>
            <w:r w:rsidRPr="00EE3674">
              <w:rPr>
                <w:b w:val="0"/>
                <w:bCs w:val="0"/>
                <w:i/>
                <w:iCs/>
                <w:sz w:val="20"/>
              </w:rPr>
              <w:t>undescended testicles,</w:t>
            </w:r>
            <w:r w:rsidRPr="00EE3674">
              <w:rPr>
                <w:bCs w:val="0"/>
                <w:iCs/>
                <w:sz w:val="20"/>
              </w:rPr>
              <w:t xml:space="preserve"> IV.ii.2.B.6.a</w:t>
            </w:r>
          </w:p>
          <w:p w:rsidR="00911094" w:rsidRPr="00EE3674" w:rsidRDefault="00911094" w:rsidP="00F063AF">
            <w:pPr>
              <w:pStyle w:val="BodyText2"/>
              <w:widowControl w:val="0"/>
              <w:numPr>
                <w:ilvl w:val="0"/>
                <w:numId w:val="116"/>
              </w:numPr>
              <w:tabs>
                <w:tab w:val="clear" w:pos="720"/>
                <w:tab w:val="num" w:pos="503"/>
              </w:tabs>
              <w:spacing w:after="120"/>
              <w:ind w:left="503"/>
              <w:rPr>
                <w:b w:val="0"/>
                <w:bCs w:val="0"/>
                <w:i/>
                <w:iCs/>
                <w:sz w:val="20"/>
              </w:rPr>
            </w:pPr>
            <w:r>
              <w:rPr>
                <w:b w:val="0"/>
                <w:bCs w:val="0"/>
                <w:i/>
                <w:iCs/>
                <w:sz w:val="20"/>
              </w:rPr>
              <w:t>unstable or exaggerated lumbosacral joints or angles</w:t>
            </w:r>
            <w:r w:rsidRPr="00B52641">
              <w:rPr>
                <w:b w:val="0"/>
                <w:i/>
                <w:iCs/>
                <w:sz w:val="20"/>
              </w:rPr>
              <w:t>,</w:t>
            </w:r>
            <w:r w:rsidRPr="00B52641">
              <w:rPr>
                <w:i/>
                <w:iCs/>
                <w:sz w:val="20"/>
              </w:rPr>
              <w:t xml:space="preserve"> </w:t>
            </w:r>
            <w:r w:rsidRPr="00B52641">
              <w:rPr>
                <w:sz w:val="20"/>
              </w:rPr>
              <w:t>III.iv.4.A.</w:t>
            </w:r>
            <w:r w:rsidR="001F7581">
              <w:rPr>
                <w:sz w:val="20"/>
              </w:rPr>
              <w:t>8.h</w:t>
            </w:r>
          </w:p>
          <w:p w:rsidR="00EE3674" w:rsidRPr="00B52641" w:rsidRDefault="00EE3674" w:rsidP="00F063AF">
            <w:pPr>
              <w:pStyle w:val="BodyText2"/>
              <w:widowControl w:val="0"/>
              <w:numPr>
                <w:ilvl w:val="0"/>
                <w:numId w:val="116"/>
              </w:numPr>
              <w:tabs>
                <w:tab w:val="clear" w:pos="720"/>
                <w:tab w:val="num" w:pos="503"/>
              </w:tabs>
              <w:spacing w:after="120"/>
              <w:ind w:left="503"/>
              <w:rPr>
                <w:b w:val="0"/>
                <w:bCs w:val="0"/>
                <w:i/>
                <w:iCs/>
                <w:sz w:val="20"/>
              </w:rPr>
            </w:pPr>
            <w:r>
              <w:rPr>
                <w:b w:val="0"/>
                <w:bCs w:val="0"/>
                <w:i/>
                <w:iCs/>
                <w:sz w:val="20"/>
              </w:rPr>
              <w:t>vertebral anomalies (i.e. block (fused) vertebrae)</w:t>
            </w:r>
            <w:r w:rsidRPr="00EE3674">
              <w:rPr>
                <w:b w:val="0"/>
                <w:bCs w:val="0"/>
                <w:i/>
                <w:iCs/>
                <w:sz w:val="20"/>
              </w:rPr>
              <w:t>,</w:t>
            </w:r>
            <w:r w:rsidRPr="00EE3674">
              <w:rPr>
                <w:bCs w:val="0"/>
                <w:iCs/>
                <w:sz w:val="20"/>
              </w:rPr>
              <w:t xml:space="preserve"> IV.ii.2.B.6.a</w:t>
            </w:r>
          </w:p>
        </w:tc>
      </w:tr>
      <w:tr w:rsidR="00911094" w:rsidTr="00BC2764">
        <w:tc>
          <w:tcPr>
            <w:tcW w:w="2379" w:type="dxa"/>
          </w:tcPr>
          <w:p w:rsidR="00911094" w:rsidRDefault="00911094">
            <w:pPr>
              <w:widowControl w:val="0"/>
            </w:pPr>
            <w:r>
              <w:t>Name change</w:t>
            </w:r>
          </w:p>
        </w:tc>
        <w:tc>
          <w:tcPr>
            <w:tcW w:w="8298" w:type="dxa"/>
          </w:tcPr>
          <w:p w:rsidR="00911094" w:rsidRDefault="00911094">
            <w:pPr>
              <w:pStyle w:val="Header"/>
              <w:widowControl w:val="0"/>
              <w:tabs>
                <w:tab w:val="clear" w:pos="4320"/>
                <w:tab w:val="clear" w:pos="8640"/>
              </w:tabs>
            </w:pPr>
            <w:r>
              <w:t>, and is now called {}.</w:t>
            </w:r>
          </w:p>
        </w:tc>
      </w:tr>
      <w:tr w:rsidR="00911094" w:rsidTr="00BC2764">
        <w:tc>
          <w:tcPr>
            <w:tcW w:w="2379" w:type="dxa"/>
          </w:tcPr>
          <w:p w:rsidR="00911094" w:rsidRDefault="00911094">
            <w:pPr>
              <w:widowControl w:val="0"/>
            </w:pPr>
            <w:r>
              <w:t>Close-outs</w:t>
            </w:r>
          </w:p>
          <w:p w:rsidR="00911094" w:rsidRDefault="00911094">
            <w:pPr>
              <w:widowControl w:val="0"/>
            </w:pPr>
          </w:p>
          <w:p w:rsidR="00C128BB" w:rsidRPr="00C128BB" w:rsidRDefault="00C128BB">
            <w:pPr>
              <w:widowControl w:val="0"/>
              <w:rPr>
                <w:i/>
              </w:rPr>
            </w:pPr>
          </w:p>
          <w:p w:rsidR="00C128BB" w:rsidRPr="00E54279" w:rsidRDefault="00C128BB">
            <w:pPr>
              <w:widowControl w:val="0"/>
              <w:rPr>
                <w:i/>
                <w:sz w:val="18"/>
              </w:rPr>
            </w:pPr>
            <w:r w:rsidRPr="00E54279">
              <w:rPr>
                <w:i/>
                <w:color w:val="00B050"/>
                <w:sz w:val="18"/>
              </w:rPr>
              <w:t xml:space="preserve">My Notes:  </w:t>
            </w:r>
            <w:r w:rsidRPr="00E54279">
              <w:rPr>
                <w:i/>
                <w:sz w:val="18"/>
              </w:rPr>
              <w:t xml:space="preserve">If a prior RD gave two 0% evaluations incorrectly (like two evals for plantar warts, or separate evals for shin splints &amp; knees; since 0% it doesn’t affect the combined), might not want to do a close-out, but just correct it in the Master Record, evaluate the new, corrected issue &amp; make a note on the codesheet about correcting it </w:t>
            </w:r>
          </w:p>
          <w:p w:rsidR="00DB379F" w:rsidRDefault="00DB379F" w:rsidP="008D22A7">
            <w:pPr>
              <w:pStyle w:val="CommentText"/>
            </w:pPr>
          </w:p>
        </w:tc>
        <w:tc>
          <w:tcPr>
            <w:tcW w:w="8298" w:type="dxa"/>
          </w:tcPr>
          <w:p w:rsidR="00760507" w:rsidRDefault="00760507" w:rsidP="00760507">
            <w:pPr>
              <w:pStyle w:val="Header"/>
              <w:widowControl w:val="0"/>
              <w:tabs>
                <w:tab w:val="clear" w:pos="4320"/>
                <w:tab w:val="clear" w:pos="8640"/>
              </w:tabs>
              <w:spacing w:after="120"/>
            </w:pPr>
            <w:r>
              <w:rPr>
                <w:rFonts w:ascii="Verdana" w:hAnsi="Verdana"/>
                <w:b/>
                <w:bCs/>
                <w:highlight w:val="green"/>
              </w:rPr>
              <w:t>With VBMS-R</w:t>
            </w:r>
            <w:r>
              <w:rPr>
                <w:i/>
              </w:rPr>
              <w:t>, i</w:t>
            </w:r>
            <w:r w:rsidRPr="00DB379F">
              <w:rPr>
                <w:i/>
              </w:rPr>
              <w:t>f you are separating issues (was one, needs to be two),</w:t>
            </w:r>
            <w:r>
              <w:t xml:space="preserve"> create the two new issues, then go into the Master Record &amp; close-out the old issue.</w:t>
            </w:r>
          </w:p>
          <w:p w:rsidR="00911094" w:rsidRDefault="00911094" w:rsidP="00A421FC">
            <w:pPr>
              <w:tabs>
                <w:tab w:val="left" w:pos="360"/>
              </w:tabs>
              <w:spacing w:after="120"/>
              <w:rPr>
                <w:rFonts w:eastAsiaTheme="minorHAnsi"/>
              </w:rPr>
            </w:pPr>
            <w:r w:rsidRPr="00732EE4">
              <w:rPr>
                <w:rFonts w:eastAsiaTheme="minorHAnsi"/>
                <w:i/>
              </w:rPr>
              <w:t>Issue:</w:t>
            </w:r>
            <w:r>
              <w:rPr>
                <w:rFonts w:eastAsiaTheme="minorHAnsi"/>
              </w:rPr>
              <w:t xml:space="preserve">  Establishment of a separate evaluation for {}.</w:t>
            </w:r>
          </w:p>
          <w:p w:rsidR="00911094" w:rsidRDefault="00911094" w:rsidP="00A421FC">
            <w:pPr>
              <w:pStyle w:val="Header"/>
              <w:widowControl w:val="0"/>
              <w:tabs>
                <w:tab w:val="clear" w:pos="4320"/>
                <w:tab w:val="clear" w:pos="8640"/>
              </w:tabs>
              <w:rPr>
                <w:rFonts w:eastAsiaTheme="minorHAnsi"/>
              </w:rPr>
            </w:pPr>
            <w:r w:rsidRPr="00732EE4">
              <w:rPr>
                <w:rFonts w:eastAsiaTheme="minorHAnsi"/>
                <w:i/>
              </w:rPr>
              <w:t>Decision:</w:t>
            </w:r>
            <w:r>
              <w:rPr>
                <w:rFonts w:eastAsiaTheme="minorHAnsi"/>
              </w:rPr>
              <w:t xml:space="preserve">  A separate evaluation for {} is granted with an evaluation of {} percent effective {}.</w:t>
            </w:r>
          </w:p>
          <w:p w:rsidR="00C831CA" w:rsidRDefault="00C831CA" w:rsidP="00A421FC">
            <w:pPr>
              <w:pStyle w:val="Header"/>
              <w:widowControl w:val="0"/>
              <w:tabs>
                <w:tab w:val="clear" w:pos="4320"/>
                <w:tab w:val="clear" w:pos="8640"/>
              </w:tabs>
              <w:rPr>
                <w:rFonts w:eastAsiaTheme="minorHAnsi"/>
              </w:rPr>
            </w:pPr>
          </w:p>
          <w:p w:rsidR="001A50C0" w:rsidRDefault="00911094" w:rsidP="001A50C0">
            <w:pPr>
              <w:pStyle w:val="Header"/>
              <w:widowControl w:val="0"/>
              <w:tabs>
                <w:tab w:val="clear" w:pos="4320"/>
                <w:tab w:val="clear" w:pos="8640"/>
              </w:tabs>
              <w:rPr>
                <w:rFonts w:eastAsiaTheme="minorHAnsi"/>
              </w:rPr>
            </w:pPr>
            <w:r w:rsidRPr="00732EE4">
              <w:rPr>
                <w:rFonts w:eastAsiaTheme="minorHAnsi"/>
                <w:i/>
              </w:rPr>
              <w:t>Reasons for Decision</w:t>
            </w:r>
            <w:r>
              <w:rPr>
                <w:rFonts w:eastAsiaTheme="minorHAnsi"/>
              </w:rPr>
              <w:t xml:space="preserve">:  </w:t>
            </w:r>
            <w:r w:rsidR="001A50C0">
              <w:t xml:space="preserve">The evaluation of {}, which is currently 10 percent disabling, is closed-out and each lower extremity is evaluated separately. </w:t>
            </w:r>
            <w:r w:rsidR="001A50C0">
              <w:rPr>
                <w:rFonts w:eastAsiaTheme="minorHAnsi"/>
              </w:rPr>
              <w:t>A separate evaluation for {} has been granted with an evaluation of {} percent from {}, the day VA received your claim.</w:t>
            </w:r>
          </w:p>
          <w:p w:rsidR="001A50C0" w:rsidRDefault="001A50C0" w:rsidP="00A421FC">
            <w:pPr>
              <w:pStyle w:val="Header"/>
              <w:widowControl w:val="0"/>
              <w:tabs>
                <w:tab w:val="clear" w:pos="4320"/>
                <w:tab w:val="clear" w:pos="8640"/>
              </w:tabs>
            </w:pPr>
          </w:p>
          <w:p w:rsidR="00760507" w:rsidRDefault="00760507" w:rsidP="00A421FC">
            <w:pPr>
              <w:pStyle w:val="Header"/>
              <w:widowControl w:val="0"/>
              <w:tabs>
                <w:tab w:val="clear" w:pos="4320"/>
                <w:tab w:val="clear" w:pos="8640"/>
              </w:tabs>
            </w:pPr>
          </w:p>
          <w:p w:rsidR="00760507" w:rsidRDefault="00760507" w:rsidP="00760507">
            <w:pPr>
              <w:pStyle w:val="Header"/>
              <w:widowControl w:val="0"/>
              <w:tabs>
                <w:tab w:val="clear" w:pos="4320"/>
                <w:tab w:val="clear" w:pos="8640"/>
              </w:tabs>
            </w:pPr>
            <w:r>
              <w:rPr>
                <w:rFonts w:ascii="Verdana" w:hAnsi="Verdana"/>
                <w:b/>
                <w:bCs/>
                <w:highlight w:val="green"/>
              </w:rPr>
              <w:t>With VBMS-R</w:t>
            </w:r>
            <w:r>
              <w:rPr>
                <w:i/>
              </w:rPr>
              <w:t>, i</w:t>
            </w:r>
            <w:r w:rsidRPr="00DB379F">
              <w:rPr>
                <w:i/>
              </w:rPr>
              <w:t>f you are combining issues (was two, needs to be one),</w:t>
            </w:r>
            <w:r>
              <w:t xml:space="preserve"> create a new issue with the new name, then go into the Master Record &amp; close out the old issues.</w:t>
            </w:r>
          </w:p>
          <w:p w:rsidR="00911094" w:rsidRDefault="00911094">
            <w:pPr>
              <w:pStyle w:val="Header"/>
              <w:widowControl w:val="0"/>
              <w:tabs>
                <w:tab w:val="clear" w:pos="4320"/>
                <w:tab w:val="clear" w:pos="8640"/>
              </w:tabs>
            </w:pPr>
          </w:p>
          <w:p w:rsidR="00911094" w:rsidRDefault="00760507">
            <w:pPr>
              <w:pStyle w:val="Header"/>
              <w:widowControl w:val="0"/>
              <w:tabs>
                <w:tab w:val="clear" w:pos="4320"/>
                <w:tab w:val="clear" w:pos="8640"/>
              </w:tabs>
            </w:pPr>
            <w:r>
              <w:rPr>
                <w:i/>
              </w:rPr>
              <w:t xml:space="preserve">“bilateral </w:t>
            </w:r>
            <w:r w:rsidR="00911094" w:rsidRPr="00C67721">
              <w:rPr>
                <w:i/>
              </w:rPr>
              <w:t>plantar fasciitis</w:t>
            </w:r>
            <w:r>
              <w:rPr>
                <w:i/>
              </w:rPr>
              <w:t>”</w:t>
            </w:r>
            <w:r w:rsidR="00911094" w:rsidRPr="00C67721">
              <w:rPr>
                <w:i/>
              </w:rPr>
              <w:t xml:space="preserve"> now together</w:t>
            </w:r>
            <w:r w:rsidR="00911094">
              <w:rPr>
                <w:i/>
              </w:rPr>
              <w:t xml:space="preserve"> under 5276</w:t>
            </w:r>
            <w:r w:rsidR="00911094">
              <w:t>:</w:t>
            </w:r>
          </w:p>
          <w:p w:rsidR="00911094" w:rsidRDefault="00911094">
            <w:pPr>
              <w:pStyle w:val="Header"/>
              <w:widowControl w:val="0"/>
              <w:tabs>
                <w:tab w:val="clear" w:pos="4320"/>
                <w:tab w:val="clear" w:pos="8640"/>
              </w:tabs>
            </w:pPr>
            <w:r w:rsidRPr="00732EE4">
              <w:rPr>
                <w:i/>
              </w:rPr>
              <w:t>Issue:</w:t>
            </w:r>
            <w:r>
              <w:t xml:space="preserve">  </w:t>
            </w:r>
            <w:r w:rsidRPr="00C67721">
              <w:t>Evaluation</w:t>
            </w:r>
            <w:r>
              <w:t>s</w:t>
            </w:r>
            <w:r w:rsidRPr="00C67721">
              <w:t xml:space="preserve"> of right foot plantar fasciitis and left foot plantar fasciitis with history of metatarsal stress fracture currently each evaluated as 0 percent disabling.</w:t>
            </w:r>
          </w:p>
          <w:p w:rsidR="00911094" w:rsidRPr="00732EE4" w:rsidRDefault="00911094">
            <w:pPr>
              <w:pStyle w:val="Header"/>
              <w:widowControl w:val="0"/>
              <w:tabs>
                <w:tab w:val="clear" w:pos="4320"/>
                <w:tab w:val="clear" w:pos="8640"/>
              </w:tabs>
              <w:rPr>
                <w:i/>
              </w:rPr>
            </w:pPr>
          </w:p>
          <w:p w:rsidR="00911094" w:rsidRDefault="00911094">
            <w:pPr>
              <w:pStyle w:val="Header"/>
              <w:widowControl w:val="0"/>
              <w:tabs>
                <w:tab w:val="clear" w:pos="4320"/>
                <w:tab w:val="clear" w:pos="8640"/>
              </w:tabs>
            </w:pPr>
            <w:r w:rsidRPr="00732EE4">
              <w:rPr>
                <w:i/>
              </w:rPr>
              <w:t>Decision:</w:t>
            </w:r>
            <w:r>
              <w:t xml:space="preserve">  E</w:t>
            </w:r>
            <w:r w:rsidRPr="00C67721">
              <w:t>valuation</w:t>
            </w:r>
            <w:r>
              <w:t>s</w:t>
            </w:r>
            <w:r w:rsidRPr="00C67721">
              <w:t xml:space="preserve"> of right foot plantar fasciitis and left foot plantar fasciitis with history of metatarsal stress fracture (now also claimed as foot injury and stress fractures), which are currently each 0 percent disabling, are closed-out and now evaluated as bilateral plantar fasciitis at 10 percent effective March 2, 2012.</w:t>
            </w:r>
          </w:p>
          <w:p w:rsidR="00911094" w:rsidRDefault="00911094">
            <w:pPr>
              <w:pStyle w:val="Header"/>
              <w:widowControl w:val="0"/>
              <w:tabs>
                <w:tab w:val="clear" w:pos="4320"/>
                <w:tab w:val="clear" w:pos="8640"/>
              </w:tabs>
            </w:pPr>
          </w:p>
          <w:p w:rsidR="00911094" w:rsidRDefault="00911094">
            <w:pPr>
              <w:pStyle w:val="Header"/>
              <w:widowControl w:val="0"/>
              <w:tabs>
                <w:tab w:val="clear" w:pos="4320"/>
                <w:tab w:val="clear" w:pos="8640"/>
              </w:tabs>
            </w:pPr>
            <w:r w:rsidRPr="00732EE4">
              <w:rPr>
                <w:i/>
              </w:rPr>
              <w:t>Reasons for Decision:</w:t>
            </w:r>
            <w:r>
              <w:t xml:space="preserve">  </w:t>
            </w:r>
            <w:r w:rsidRPr="00C67721">
              <w:t>The evaluation</w:t>
            </w:r>
            <w:r>
              <w:t>s</w:t>
            </w:r>
            <w:r w:rsidRPr="00C67721">
              <w:t xml:space="preserve"> of right foot plantar fasciitis and left foot plantar fasciitis with history of metatarsal stress fracture, which are currently each 0 percent disabling, are closed-out and now evaluated as bilateral plantar fasciitis at 10 percent effective March 2, 201</w:t>
            </w:r>
            <w:r>
              <w:t xml:space="preserve">2, the </w:t>
            </w:r>
            <w:r w:rsidRPr="00A521F0">
              <w:t xml:space="preserve">day VA received your claim. </w:t>
            </w:r>
          </w:p>
          <w:p w:rsidR="00911094" w:rsidRPr="00A521F0" w:rsidRDefault="00911094">
            <w:pPr>
              <w:pStyle w:val="Header"/>
              <w:widowControl w:val="0"/>
              <w:tabs>
                <w:tab w:val="clear" w:pos="4320"/>
                <w:tab w:val="clear" w:pos="8640"/>
              </w:tabs>
              <w:rPr>
                <w:i/>
              </w:rPr>
            </w:pPr>
            <w:r w:rsidRPr="00A521F0">
              <w:rPr>
                <w:i/>
              </w:rPr>
              <w:t>Or if not granting an increase, use July 23, 2013, the date of the policy clarification.</w:t>
            </w:r>
          </w:p>
          <w:p w:rsidR="00911094" w:rsidRDefault="00911094">
            <w:pPr>
              <w:pStyle w:val="Header"/>
              <w:widowControl w:val="0"/>
              <w:tabs>
                <w:tab w:val="clear" w:pos="4320"/>
                <w:tab w:val="clear" w:pos="8640"/>
              </w:tabs>
            </w:pPr>
          </w:p>
          <w:p w:rsidR="00C13121" w:rsidRDefault="00C13121">
            <w:pPr>
              <w:pStyle w:val="Header"/>
              <w:widowControl w:val="0"/>
              <w:tabs>
                <w:tab w:val="clear" w:pos="4320"/>
                <w:tab w:val="clear" w:pos="8640"/>
              </w:tabs>
            </w:pPr>
          </w:p>
          <w:p w:rsidR="00DB379F" w:rsidRPr="00760507" w:rsidRDefault="00DB379F" w:rsidP="00DB379F">
            <w:pPr>
              <w:pStyle w:val="CommentText"/>
              <w:rPr>
                <w:i/>
              </w:rPr>
            </w:pPr>
            <w:r w:rsidRPr="00760507">
              <w:rPr>
                <w:i/>
              </w:rPr>
              <w:t xml:space="preserve">“bilateral pes planus with posterior </w:t>
            </w:r>
            <w:r w:rsidR="00760507" w:rsidRPr="00760507">
              <w:rPr>
                <w:i/>
              </w:rPr>
              <w:t>tibialis” now together under 5276:</w:t>
            </w:r>
          </w:p>
          <w:p w:rsidR="00DB379F" w:rsidRDefault="00DB379F" w:rsidP="00DB379F">
            <w:pPr>
              <w:pStyle w:val="Header"/>
              <w:widowControl w:val="0"/>
              <w:tabs>
                <w:tab w:val="clear" w:pos="4320"/>
                <w:tab w:val="clear" w:pos="8640"/>
              </w:tabs>
            </w:pPr>
            <w:r w:rsidRPr="00732EE4">
              <w:rPr>
                <w:i/>
              </w:rPr>
              <w:t>Issue:</w:t>
            </w:r>
            <w:r>
              <w:t xml:space="preserve">  </w:t>
            </w:r>
            <w:r w:rsidRPr="00C67721">
              <w:t>Evaluation</w:t>
            </w:r>
            <w:r>
              <w:t>s</w:t>
            </w:r>
            <w:r w:rsidRPr="00C67721">
              <w:t xml:space="preserve"> of </w:t>
            </w:r>
            <w:r>
              <w:t>pes planus left foot with posterior tibial tendonitis, currently evaluated as 20 percent disabling,</w:t>
            </w:r>
            <w:r w:rsidRPr="00C67721">
              <w:t xml:space="preserve"> and </w:t>
            </w:r>
            <w:r>
              <w:t xml:space="preserve">pes planus, right foot, current </w:t>
            </w:r>
            <w:r w:rsidRPr="00C67721">
              <w:t>evaluated as 0 percent disabling.</w:t>
            </w:r>
          </w:p>
          <w:p w:rsidR="00DB379F" w:rsidRPr="00732EE4" w:rsidRDefault="00DB379F" w:rsidP="00DB379F">
            <w:pPr>
              <w:pStyle w:val="Header"/>
              <w:widowControl w:val="0"/>
              <w:tabs>
                <w:tab w:val="clear" w:pos="4320"/>
                <w:tab w:val="clear" w:pos="8640"/>
              </w:tabs>
              <w:rPr>
                <w:i/>
              </w:rPr>
            </w:pPr>
          </w:p>
          <w:p w:rsidR="00DB379F" w:rsidRDefault="00DB379F" w:rsidP="00DB379F">
            <w:pPr>
              <w:pStyle w:val="Header"/>
              <w:widowControl w:val="0"/>
              <w:tabs>
                <w:tab w:val="clear" w:pos="4320"/>
                <w:tab w:val="clear" w:pos="8640"/>
              </w:tabs>
            </w:pPr>
            <w:r w:rsidRPr="00732EE4">
              <w:rPr>
                <w:i/>
              </w:rPr>
              <w:t>Decision:</w:t>
            </w:r>
            <w:r>
              <w:t xml:space="preserve">  </w:t>
            </w:r>
            <w:r w:rsidRPr="00C67721">
              <w:t>Evaluation</w:t>
            </w:r>
            <w:r>
              <w:t>s</w:t>
            </w:r>
            <w:r w:rsidRPr="00C67721">
              <w:t xml:space="preserve"> of </w:t>
            </w:r>
            <w:r>
              <w:t>pes planus left foot with posterior tibial tendonitis, currently evaluated as 20 percent disabling,</w:t>
            </w:r>
            <w:r w:rsidRPr="00C67721">
              <w:t xml:space="preserve"> and </w:t>
            </w:r>
            <w:r>
              <w:t xml:space="preserve">pes planus, right foot, current </w:t>
            </w:r>
            <w:r w:rsidRPr="00C67721">
              <w:t>e</w:t>
            </w:r>
            <w:r>
              <w:t>valuated as 0 percent disabling</w:t>
            </w:r>
            <w:r w:rsidRPr="00C67721">
              <w:t xml:space="preserve">, are closed-out and now evaluated as bilateral </w:t>
            </w:r>
            <w:r>
              <w:t>pes planus with posterior tibialis at 50</w:t>
            </w:r>
            <w:r w:rsidRPr="00C67721">
              <w:t xml:space="preserve"> percent effective </w:t>
            </w:r>
            <w:r>
              <w:t>June 20, 2017</w:t>
            </w:r>
            <w:r w:rsidRPr="00C67721">
              <w:t>.</w:t>
            </w:r>
          </w:p>
          <w:p w:rsidR="00DB379F" w:rsidRDefault="00DB379F" w:rsidP="00DB379F">
            <w:pPr>
              <w:pStyle w:val="Header"/>
              <w:widowControl w:val="0"/>
              <w:tabs>
                <w:tab w:val="clear" w:pos="4320"/>
                <w:tab w:val="clear" w:pos="8640"/>
              </w:tabs>
            </w:pPr>
          </w:p>
          <w:p w:rsidR="00DB379F" w:rsidRDefault="00DB379F" w:rsidP="00DB379F">
            <w:pPr>
              <w:pStyle w:val="Header"/>
              <w:widowControl w:val="0"/>
              <w:tabs>
                <w:tab w:val="clear" w:pos="4320"/>
                <w:tab w:val="clear" w:pos="8640"/>
              </w:tabs>
            </w:pPr>
            <w:r w:rsidRPr="00732EE4">
              <w:rPr>
                <w:i/>
              </w:rPr>
              <w:t>Reasons for Decision:</w:t>
            </w:r>
            <w:r>
              <w:t xml:space="preserve">  </w:t>
            </w:r>
            <w:r w:rsidRPr="00C67721">
              <w:t>The evaluation</w:t>
            </w:r>
            <w:r>
              <w:t>s</w:t>
            </w:r>
            <w:r w:rsidRPr="00C67721">
              <w:t xml:space="preserve"> of </w:t>
            </w:r>
            <w:r>
              <w:t>pes planus left foot with posterior tibial tendonitis, currently evaluated as 20 percent disabling,</w:t>
            </w:r>
            <w:r w:rsidRPr="00C67721">
              <w:t xml:space="preserve"> and </w:t>
            </w:r>
            <w:r>
              <w:t xml:space="preserve">pes planus, right foot, current </w:t>
            </w:r>
            <w:r w:rsidRPr="00C67721">
              <w:t>e</w:t>
            </w:r>
            <w:r>
              <w:t>valuated as 0 percent disabling</w:t>
            </w:r>
            <w:r w:rsidRPr="00C67721">
              <w:t xml:space="preserve">, are closed-out and now evaluated as bilateral </w:t>
            </w:r>
            <w:r>
              <w:t>pes planus with posterior tibialis at 50</w:t>
            </w:r>
            <w:r w:rsidRPr="00C67721">
              <w:t xml:space="preserve"> percent effective </w:t>
            </w:r>
            <w:r>
              <w:t xml:space="preserve">June 20, 2017, the </w:t>
            </w:r>
            <w:r w:rsidRPr="00A521F0">
              <w:t xml:space="preserve">day VA received your claim. </w:t>
            </w:r>
          </w:p>
          <w:p w:rsidR="00DB379F" w:rsidRDefault="00DB379F" w:rsidP="00DB379F">
            <w:pPr>
              <w:pStyle w:val="CommentText"/>
            </w:pPr>
          </w:p>
          <w:p w:rsidR="00DB379F" w:rsidRDefault="00DB379F" w:rsidP="00DB379F">
            <w:pPr>
              <w:pStyle w:val="CommentText"/>
            </w:pPr>
            <w:r>
              <w:t>Add a note to the codesheet:</w:t>
            </w:r>
          </w:p>
          <w:p w:rsidR="00DB379F" w:rsidRDefault="00DB379F" w:rsidP="00DB379F">
            <w:pPr>
              <w:pStyle w:val="Header"/>
              <w:widowControl w:val="0"/>
              <w:tabs>
                <w:tab w:val="clear" w:pos="4320"/>
                <w:tab w:val="clear" w:pos="8640"/>
              </w:tabs>
            </w:pPr>
            <w:r>
              <w:t>Rating Note:  A CUE is not being called, as the two separate evaluations for the feet is not outcome determinative (i.e. the decision does not change). SC is still warranted and the combined evaluation doesn’t change.</w:t>
            </w:r>
          </w:p>
          <w:p w:rsidR="00DB379F" w:rsidRDefault="00DB379F">
            <w:pPr>
              <w:pStyle w:val="Header"/>
              <w:widowControl w:val="0"/>
              <w:tabs>
                <w:tab w:val="clear" w:pos="4320"/>
                <w:tab w:val="clear" w:pos="8640"/>
              </w:tabs>
            </w:pPr>
          </w:p>
          <w:p w:rsidR="001E0E8E" w:rsidRDefault="001E0E8E">
            <w:pPr>
              <w:pStyle w:val="Header"/>
              <w:widowControl w:val="0"/>
              <w:tabs>
                <w:tab w:val="clear" w:pos="4320"/>
                <w:tab w:val="clear" w:pos="8640"/>
              </w:tabs>
            </w:pPr>
          </w:p>
          <w:p w:rsidR="001E0E8E" w:rsidRPr="00760507" w:rsidRDefault="001E0E8E" w:rsidP="001E0E8E">
            <w:pPr>
              <w:pStyle w:val="CommentText"/>
              <w:rPr>
                <w:i/>
              </w:rPr>
            </w:pPr>
            <w:r>
              <w:rPr>
                <w:i/>
              </w:rPr>
              <w:t xml:space="preserve">shin splints </w:t>
            </w:r>
            <w:r w:rsidRPr="00760507">
              <w:rPr>
                <w:i/>
              </w:rPr>
              <w:t xml:space="preserve">now </w:t>
            </w:r>
            <w:r>
              <w:rPr>
                <w:i/>
              </w:rPr>
              <w:t>separated</w:t>
            </w:r>
            <w:r w:rsidRPr="00760507">
              <w:rPr>
                <w:i/>
              </w:rPr>
              <w:t>:</w:t>
            </w:r>
          </w:p>
          <w:p w:rsidR="001E0E8E" w:rsidRDefault="001E0E8E" w:rsidP="001E0E8E">
            <w:pPr>
              <w:tabs>
                <w:tab w:val="left" w:pos="0"/>
              </w:tabs>
            </w:pPr>
            <w:r w:rsidRPr="00F241BE">
              <w:rPr>
                <w:i/>
              </w:rPr>
              <w:t>Issue:</w:t>
            </w:r>
            <w:r w:rsidRPr="00F241BE">
              <w:t xml:space="preserve">  Entitlement to separate evaluations for each lower extremity for left shin splints and right shin splints (previously rated as bilateral shin splints).</w:t>
            </w:r>
          </w:p>
          <w:p w:rsidR="001E0E8E" w:rsidRPr="00F241BE" w:rsidRDefault="001E0E8E" w:rsidP="001E0E8E">
            <w:pPr>
              <w:tabs>
                <w:tab w:val="left" w:pos="0"/>
              </w:tabs>
            </w:pPr>
          </w:p>
          <w:p w:rsidR="001E0E8E" w:rsidRDefault="001E0E8E" w:rsidP="001E0E8E">
            <w:pPr>
              <w:tabs>
                <w:tab w:val="left" w:pos="0"/>
              </w:tabs>
            </w:pPr>
            <w:r w:rsidRPr="00F241BE">
              <w:rPr>
                <w:i/>
              </w:rPr>
              <w:t>Decision:</w:t>
            </w:r>
            <w:r w:rsidRPr="00F241BE">
              <w:t xml:space="preserve">   Separate evaluations for each lower extremity for  left shin splints and right shin splints (previously rated as bilateral shin splints) are granted at {} percent effective {}. [use DOC]</w:t>
            </w:r>
          </w:p>
          <w:p w:rsidR="001E0E8E" w:rsidRPr="00F241BE" w:rsidRDefault="001E0E8E" w:rsidP="001E0E8E">
            <w:pPr>
              <w:tabs>
                <w:tab w:val="left" w:pos="0"/>
              </w:tabs>
            </w:pPr>
          </w:p>
          <w:p w:rsidR="001E0E8E" w:rsidRDefault="001E0E8E" w:rsidP="001E0E8E">
            <w:pPr>
              <w:tabs>
                <w:tab w:val="left" w:pos="0"/>
              </w:tabs>
            </w:pPr>
            <w:r w:rsidRPr="00F241BE">
              <w:rPr>
                <w:i/>
              </w:rPr>
              <w:t>Reasons for Decision</w:t>
            </w:r>
            <w:r w:rsidRPr="00F241BE">
              <w:t xml:space="preserve">:  Separate noncompensable evaluations for each lower extremity for left shin splints and right shin splints (previously rated as bilateral shin splints) are granted from {}, the day VA received your claim. </w:t>
            </w:r>
          </w:p>
          <w:p w:rsidR="001E0E8E" w:rsidRDefault="001E0E8E" w:rsidP="001E0E8E">
            <w:pPr>
              <w:tabs>
                <w:tab w:val="left" w:pos="0"/>
              </w:tabs>
            </w:pPr>
          </w:p>
          <w:p w:rsidR="001E0E8E" w:rsidRDefault="001E0E8E" w:rsidP="001E0E8E">
            <w:pPr>
              <w:pStyle w:val="CommentText"/>
            </w:pPr>
            <w:r>
              <w:t>Add a note to the codesheet:</w:t>
            </w:r>
          </w:p>
          <w:p w:rsidR="001E0E8E" w:rsidRDefault="001E0E8E" w:rsidP="001E0E8E">
            <w:pPr>
              <w:pStyle w:val="Header"/>
              <w:widowControl w:val="0"/>
              <w:tabs>
                <w:tab w:val="clear" w:pos="4320"/>
                <w:tab w:val="clear" w:pos="8640"/>
              </w:tabs>
            </w:pPr>
            <w:r>
              <w:t>Rating Note:  A CUE is not being called, as the one evaluation is not outcome determinative (i.e. the decision does not change). SC is still warranted and the combined evaluation doesn’t change.</w:t>
            </w:r>
          </w:p>
          <w:p w:rsidR="001E0E8E" w:rsidRDefault="001E0E8E">
            <w:pPr>
              <w:pStyle w:val="Header"/>
              <w:widowControl w:val="0"/>
              <w:tabs>
                <w:tab w:val="clear" w:pos="4320"/>
                <w:tab w:val="clear" w:pos="8640"/>
              </w:tabs>
            </w:pPr>
          </w:p>
          <w:p w:rsidR="00760507" w:rsidRDefault="00760507">
            <w:pPr>
              <w:pStyle w:val="Header"/>
              <w:widowControl w:val="0"/>
              <w:tabs>
                <w:tab w:val="clear" w:pos="4320"/>
                <w:tab w:val="clear" w:pos="8640"/>
              </w:tabs>
            </w:pPr>
          </w:p>
          <w:p w:rsidR="00C13121" w:rsidRPr="00C13121" w:rsidRDefault="00C13121">
            <w:pPr>
              <w:pStyle w:val="Header"/>
              <w:widowControl w:val="0"/>
              <w:tabs>
                <w:tab w:val="clear" w:pos="4320"/>
                <w:tab w:val="clear" w:pos="8640"/>
              </w:tabs>
              <w:rPr>
                <w:i/>
              </w:rPr>
            </w:pPr>
            <w:r w:rsidRPr="00C13121">
              <w:rPr>
                <w:i/>
              </w:rPr>
              <w:t>*</w:t>
            </w:r>
            <w:r w:rsidR="001E0E8E">
              <w:rPr>
                <w:i/>
              </w:rPr>
              <w:t>adding 2</w:t>
            </w:r>
            <w:r w:rsidR="001E0E8E" w:rsidRPr="001E0E8E">
              <w:rPr>
                <w:i/>
                <w:vertAlign w:val="superscript"/>
              </w:rPr>
              <w:t>nd</w:t>
            </w:r>
            <w:r w:rsidR="001E0E8E">
              <w:rPr>
                <w:i/>
              </w:rPr>
              <w:t xml:space="preserve"> ear to HL, </w:t>
            </w:r>
            <w:r w:rsidRPr="00C13121">
              <w:rPr>
                <w:i/>
              </w:rPr>
              <w:t>probably best to do this decision under the previously denied ear</w:t>
            </w:r>
            <w:r w:rsidR="005A6C80">
              <w:rPr>
                <w:i/>
              </w:rPr>
              <w:t xml:space="preserve"> &amp; change to “bilateral hearing loss” in the Master Record, then backfill the prior SC cond</w:t>
            </w:r>
          </w:p>
          <w:p w:rsidR="00911094" w:rsidRDefault="00911094">
            <w:pPr>
              <w:pStyle w:val="Header"/>
              <w:widowControl w:val="0"/>
              <w:tabs>
                <w:tab w:val="clear" w:pos="4320"/>
                <w:tab w:val="clear" w:pos="8640"/>
              </w:tabs>
            </w:pPr>
            <w:r w:rsidRPr="00732EE4">
              <w:rPr>
                <w:i/>
              </w:rPr>
              <w:t>Issue:</w:t>
            </w:r>
            <w:r>
              <w:t xml:space="preserve">  </w:t>
            </w:r>
            <w:r w:rsidRPr="002C4B6A">
              <w:t xml:space="preserve">Evaluation of hearing loss, </w:t>
            </w:r>
            <w:r>
              <w:t xml:space="preserve">left </w:t>
            </w:r>
            <w:r w:rsidRPr="002C4B6A">
              <w:t>ear currently evaluated as 0 percent disabling.</w:t>
            </w:r>
            <w:r w:rsidR="005A6C80">
              <w:t xml:space="preserve"> </w:t>
            </w:r>
            <w:r w:rsidR="005A6C80" w:rsidRPr="005A6C80">
              <w:t>Service connection for hearing loss, right ear.</w:t>
            </w:r>
          </w:p>
          <w:p w:rsidR="00911094" w:rsidRDefault="00911094">
            <w:pPr>
              <w:pStyle w:val="Header"/>
              <w:widowControl w:val="0"/>
              <w:tabs>
                <w:tab w:val="clear" w:pos="4320"/>
                <w:tab w:val="clear" w:pos="8640"/>
              </w:tabs>
            </w:pPr>
          </w:p>
          <w:p w:rsidR="00911094" w:rsidRDefault="00911094">
            <w:pPr>
              <w:pStyle w:val="Header"/>
              <w:widowControl w:val="0"/>
              <w:tabs>
                <w:tab w:val="clear" w:pos="4320"/>
                <w:tab w:val="clear" w:pos="8640"/>
              </w:tabs>
            </w:pPr>
            <w:r w:rsidRPr="00732EE4">
              <w:rPr>
                <w:i/>
              </w:rPr>
              <w:t>Decision:</w:t>
            </w:r>
            <w:r>
              <w:t xml:space="preserve">  </w:t>
            </w:r>
            <w:r w:rsidR="005A6C80" w:rsidRPr="005A6C80">
              <w:t>Evaluation of hearing loss, left ear, which is currently 0 percent disabling, is continued and is now called bilateral hearing loss.</w:t>
            </w:r>
          </w:p>
          <w:p w:rsidR="00911094" w:rsidRDefault="00911094">
            <w:pPr>
              <w:pStyle w:val="Header"/>
              <w:widowControl w:val="0"/>
              <w:tabs>
                <w:tab w:val="clear" w:pos="4320"/>
                <w:tab w:val="clear" w:pos="8640"/>
              </w:tabs>
            </w:pPr>
          </w:p>
          <w:p w:rsidR="00BA7760" w:rsidRDefault="00911094" w:rsidP="00EB1842">
            <w:pPr>
              <w:pStyle w:val="Header"/>
              <w:widowControl w:val="0"/>
            </w:pPr>
            <w:r w:rsidRPr="00732EE4">
              <w:rPr>
                <w:i/>
              </w:rPr>
              <w:t>Reasons for Decision:</w:t>
            </w:r>
            <w:r>
              <w:t xml:space="preserve">  </w:t>
            </w:r>
          </w:p>
          <w:p w:rsidR="00911094" w:rsidRDefault="00BA7760" w:rsidP="001E0E8E">
            <w:pPr>
              <w:pStyle w:val="Header"/>
              <w:widowControl w:val="0"/>
            </w:pPr>
            <w:r>
              <w:t>Use HL Calculator verbiage</w:t>
            </w:r>
          </w:p>
        </w:tc>
      </w:tr>
      <w:tr w:rsidR="00911094" w:rsidTr="00BC2764">
        <w:tc>
          <w:tcPr>
            <w:tcW w:w="2379" w:type="dxa"/>
          </w:tcPr>
          <w:p w:rsidR="00911094" w:rsidRDefault="00911094">
            <w:pPr>
              <w:widowControl w:val="0"/>
            </w:pPr>
            <w:r>
              <w:t>Reopened claim granted</w:t>
            </w:r>
          </w:p>
        </w:tc>
        <w:tc>
          <w:tcPr>
            <w:tcW w:w="8298" w:type="dxa"/>
          </w:tcPr>
          <w:p w:rsidR="00911094" w:rsidRDefault="00911094">
            <w:pPr>
              <w:widowControl w:val="0"/>
              <w:rPr>
                <w:i/>
              </w:rPr>
            </w:pPr>
            <w:r>
              <w:rPr>
                <w:i/>
              </w:rPr>
              <w:t>Keep issue as is.</w:t>
            </w:r>
          </w:p>
          <w:p w:rsidR="00911094" w:rsidRDefault="00911094">
            <w:pPr>
              <w:widowControl w:val="0"/>
              <w:rPr>
                <w:iCs/>
              </w:rPr>
            </w:pPr>
          </w:p>
          <w:p w:rsidR="00911094" w:rsidRDefault="00911094">
            <w:pPr>
              <w:pStyle w:val="Header"/>
              <w:widowControl w:val="0"/>
              <w:tabs>
                <w:tab w:val="clear" w:pos="4320"/>
                <w:tab w:val="clear" w:pos="8640"/>
              </w:tabs>
              <w:rPr>
                <w:iCs/>
              </w:rPr>
            </w:pPr>
            <w:r>
              <w:rPr>
                <w:iCs/>
              </w:rPr>
              <w:t>Decision:  New and material evidence has been submitted that is sufficient to reopen a claim for {} (previously denied as {}, now claimed as {}). The claim is reopened and service connection is granted with an evaluation of {} percent effective {}.</w:t>
            </w:r>
          </w:p>
          <w:p w:rsidR="00911094" w:rsidRDefault="00911094">
            <w:pPr>
              <w:pStyle w:val="Header"/>
              <w:widowControl w:val="0"/>
              <w:tabs>
                <w:tab w:val="clear" w:pos="4320"/>
                <w:tab w:val="clear" w:pos="8640"/>
              </w:tabs>
              <w:rPr>
                <w:iCs/>
              </w:rPr>
            </w:pPr>
          </w:p>
          <w:p w:rsidR="00911094" w:rsidRDefault="00911094" w:rsidP="005E64C2">
            <w:pPr>
              <w:pStyle w:val="Header"/>
              <w:widowControl w:val="0"/>
              <w:tabs>
                <w:tab w:val="clear" w:pos="4320"/>
                <w:tab w:val="clear" w:pos="8640"/>
              </w:tabs>
              <w:rPr>
                <w:rFonts w:ascii="Verdana" w:hAnsi="Verdana"/>
                <w:iCs/>
              </w:rPr>
            </w:pPr>
            <w:r>
              <w:rPr>
                <w:rFonts w:ascii="Verdana" w:hAnsi="Verdana"/>
                <w:iCs/>
                <w:highlight w:val="green"/>
              </w:rPr>
              <w:t>Service connection has been established from the day VA received your claim where subsequent new and material evidence allowed for a grant of service connection.</w:t>
            </w:r>
          </w:p>
          <w:p w:rsidR="00911094" w:rsidRDefault="00911094" w:rsidP="005E64C2">
            <w:pPr>
              <w:pStyle w:val="Header"/>
              <w:widowControl w:val="0"/>
              <w:tabs>
                <w:tab w:val="clear" w:pos="4320"/>
                <w:tab w:val="clear" w:pos="8640"/>
              </w:tabs>
              <w:rPr>
                <w:rFonts w:ascii="Verdana" w:hAnsi="Verdana"/>
                <w:iCs/>
              </w:rPr>
            </w:pPr>
          </w:p>
          <w:p w:rsidR="00911094" w:rsidRDefault="00911094" w:rsidP="007B63BE">
            <w:pPr>
              <w:pStyle w:val="Header"/>
              <w:widowControl w:val="0"/>
              <w:tabs>
                <w:tab w:val="clear" w:pos="4320"/>
                <w:tab w:val="clear" w:pos="8640"/>
              </w:tabs>
              <w:rPr>
                <w:lang w:val="en"/>
              </w:rPr>
            </w:pPr>
            <w:r w:rsidRPr="007B63BE">
              <w:t xml:space="preserve">Service connection has been established from the day VA received your Intent to File (ITF) because </w:t>
            </w:r>
            <w:r w:rsidRPr="007B63BE">
              <w:rPr>
                <w:lang w:val="en"/>
              </w:rPr>
              <w:t>a complete claim was received within one year of the ITF</w:t>
            </w:r>
            <w:r>
              <w:rPr>
                <w:lang w:val="en"/>
              </w:rPr>
              <w:t>,</w:t>
            </w:r>
            <w:r w:rsidRPr="007B63BE">
              <w:rPr>
                <w:lang w:val="en"/>
              </w:rPr>
              <w:t xml:space="preserve"> and subsequent new and material evidence</w:t>
            </w:r>
            <w:r>
              <w:rPr>
                <w:lang w:val="en"/>
              </w:rPr>
              <w:t xml:space="preserve"> allowed for a grant of service connection</w:t>
            </w:r>
            <w:r w:rsidRPr="007B63BE">
              <w:rPr>
                <w:lang w:val="en"/>
              </w:rPr>
              <w:t>.</w:t>
            </w:r>
          </w:p>
          <w:p w:rsidR="00911094" w:rsidRDefault="00911094" w:rsidP="00E52B68">
            <w:pPr>
              <w:pStyle w:val="Header"/>
              <w:widowControl w:val="0"/>
              <w:tabs>
                <w:tab w:val="clear" w:pos="4320"/>
                <w:tab w:val="clear" w:pos="8640"/>
              </w:tabs>
              <w:rPr>
                <w:lang w:val="en"/>
              </w:rPr>
            </w:pPr>
          </w:p>
          <w:p w:rsidR="00911094" w:rsidRPr="007B63BE" w:rsidRDefault="00911094" w:rsidP="00DE3176">
            <w:pPr>
              <w:pStyle w:val="Header"/>
              <w:widowControl w:val="0"/>
              <w:tabs>
                <w:tab w:val="clear" w:pos="4320"/>
                <w:tab w:val="clear" w:pos="8640"/>
              </w:tabs>
              <w:rPr>
                <w:iCs/>
              </w:rPr>
            </w:pPr>
            <w:r>
              <w:rPr>
                <w:lang w:val="en"/>
              </w:rPr>
              <w:t xml:space="preserve">Need to retain Original Date of Denial on codesheet, per </w:t>
            </w:r>
            <w:r w:rsidRPr="00D251A7">
              <w:rPr>
                <w:b/>
                <w:lang w:val="en"/>
              </w:rPr>
              <w:t>III.iv.6.E.8.b</w:t>
            </w:r>
          </w:p>
        </w:tc>
      </w:tr>
      <w:tr w:rsidR="00911094" w:rsidTr="00BC2764">
        <w:tc>
          <w:tcPr>
            <w:tcW w:w="2379" w:type="dxa"/>
          </w:tcPr>
          <w:p w:rsidR="00911094" w:rsidRDefault="00911094">
            <w:pPr>
              <w:widowControl w:val="0"/>
            </w:pPr>
            <w:r>
              <w:t>Temporary evaluations</w:t>
            </w:r>
          </w:p>
          <w:p w:rsidR="00911094" w:rsidRDefault="00911094">
            <w:pPr>
              <w:widowControl w:val="0"/>
            </w:pPr>
          </w:p>
          <w:p w:rsidR="00911094" w:rsidRDefault="00911094">
            <w:pPr>
              <w:widowControl w:val="0"/>
            </w:pPr>
          </w:p>
          <w:p w:rsidR="00070D5C" w:rsidRDefault="006B6E8B" w:rsidP="0068640E">
            <w:pPr>
              <w:widowControl w:val="0"/>
            </w:pPr>
            <w:r w:rsidRPr="006B6E8B">
              <w:rPr>
                <w:b/>
              </w:rPr>
              <w:t>IV.ii.2.F.4.i</w:t>
            </w:r>
            <w:r>
              <w:t xml:space="preserve"> – no need to stop</w:t>
            </w:r>
            <w:r w:rsidR="00922301">
              <w:t>/discontinue</w:t>
            </w:r>
            <w:r>
              <w:t xml:space="preserve"> &amp; re-st</w:t>
            </w:r>
            <w:r w:rsidR="00B76655">
              <w:t>art IU when grant temporary total eval (temp 100%)</w:t>
            </w:r>
          </w:p>
        </w:tc>
        <w:tc>
          <w:tcPr>
            <w:tcW w:w="8298" w:type="dxa"/>
          </w:tcPr>
          <w:p w:rsidR="00911094" w:rsidRPr="00B36D5B" w:rsidRDefault="00911094" w:rsidP="00B36D5B">
            <w:r>
              <w:rPr>
                <w:rFonts w:ascii="Verdana" w:hAnsi="Verdana"/>
                <w:b/>
                <w:bCs/>
                <w:highlight w:val="green"/>
              </w:rPr>
              <w:t>P30</w:t>
            </w:r>
            <w:r w:rsidRPr="008E39DF">
              <w:rPr>
                <w:b/>
                <w:iCs/>
              </w:rPr>
              <w:t xml:space="preserve"> -</w:t>
            </w:r>
            <w:r>
              <w:rPr>
                <w:b/>
                <w:iCs/>
              </w:rPr>
              <w:t xml:space="preserve"> </w:t>
            </w:r>
            <w:r>
              <w:t>*also see</w:t>
            </w:r>
            <w:r>
              <w:rPr>
                <w:bCs/>
              </w:rPr>
              <w:t xml:space="preserve"> </w:t>
            </w:r>
            <w:r>
              <w:rPr>
                <w:rFonts w:ascii="Verdana" w:hAnsi="Verdana"/>
                <w:b/>
                <w:bCs/>
                <w:highlight w:val="green"/>
              </w:rPr>
              <w:t>P30G</w:t>
            </w:r>
            <w:r>
              <w:t xml:space="preserve"> - </w:t>
            </w:r>
          </w:p>
          <w:p w:rsidR="00911094" w:rsidRPr="000E1337" w:rsidRDefault="00911094" w:rsidP="008E39DF">
            <w:pPr>
              <w:widowControl w:val="0"/>
            </w:pPr>
            <w:r w:rsidRPr="000E1337">
              <w:rPr>
                <w:i/>
                <w:iCs/>
              </w:rPr>
              <w:t xml:space="preserve">Issue:  </w:t>
            </w:r>
            <w:r w:rsidRPr="000E1337">
              <w:rPr>
                <w:iCs/>
              </w:rPr>
              <w:t xml:space="preserve">{Evaluation of {} currently evaluated as {} percent disabling.} </w:t>
            </w:r>
            <w:r w:rsidRPr="000E1337">
              <w:t>Entitlement to a temporary total evaluation because of surgical treatment requiring convalescence for {}.</w:t>
            </w:r>
          </w:p>
          <w:p w:rsidR="00911094" w:rsidRPr="000E1337" w:rsidRDefault="00911094" w:rsidP="008E39DF">
            <w:pPr>
              <w:widowControl w:val="0"/>
            </w:pPr>
          </w:p>
          <w:p w:rsidR="00911094" w:rsidRPr="000E1337" w:rsidRDefault="00911094" w:rsidP="008E39DF">
            <w:pPr>
              <w:widowControl w:val="0"/>
            </w:pPr>
            <w:r w:rsidRPr="00EC58E2">
              <w:rPr>
                <w:i/>
                <w:u w:val="single"/>
              </w:rPr>
              <w:t>Grant</w:t>
            </w:r>
            <w:r w:rsidRPr="00164146">
              <w:rPr>
                <w:i/>
              </w:rPr>
              <w:t xml:space="preserve"> </w:t>
            </w:r>
            <w:r w:rsidRPr="000E1337">
              <w:rPr>
                <w:i/>
              </w:rPr>
              <w:t>Decision:</w:t>
            </w:r>
            <w:r w:rsidRPr="000E1337">
              <w:t xml:space="preserve">  A temporary evaluation of 100 percent has been assigned for {} effective {} based on surgical {or other} treatment necessitating convalescence. An evaluation of {} percent is assigned from {}.</w:t>
            </w:r>
          </w:p>
          <w:p w:rsidR="00911094" w:rsidRPr="000E1337" w:rsidRDefault="00911094" w:rsidP="008E39DF">
            <w:pPr>
              <w:widowControl w:val="0"/>
            </w:pPr>
          </w:p>
          <w:p w:rsidR="00911094" w:rsidRPr="000E1337" w:rsidRDefault="00911094" w:rsidP="008E39DF">
            <w:pPr>
              <w:widowControl w:val="0"/>
            </w:pPr>
            <w:r w:rsidRPr="00EC58E2">
              <w:rPr>
                <w:i/>
                <w:iCs/>
                <w:u w:val="single"/>
              </w:rPr>
              <w:t>Grant</w:t>
            </w:r>
            <w:r w:rsidRPr="00EC58E2">
              <w:rPr>
                <w:i/>
                <w:iCs/>
              </w:rPr>
              <w:t xml:space="preserve"> </w:t>
            </w:r>
            <w:r w:rsidRPr="000E1337">
              <w:rPr>
                <w:i/>
                <w:iCs/>
              </w:rPr>
              <w:t xml:space="preserve">Reasons for Decision:  </w:t>
            </w:r>
            <w:r w:rsidRPr="000E1337">
              <w:t>An evaluation of 100 percent has be</w:t>
            </w:r>
            <w:r w:rsidR="00773796">
              <w:t xml:space="preserve">en assigned for {} effective {}, the date of your surgery, </w:t>
            </w:r>
            <w:r w:rsidRPr="000E1337">
              <w:t>based on surgical treatment necessitating convalescence</w:t>
            </w:r>
            <w:r w:rsidR="00773796">
              <w:t>.</w:t>
            </w:r>
          </w:p>
          <w:p w:rsidR="00911094" w:rsidRPr="000E1337" w:rsidRDefault="00911094" w:rsidP="008E39DF">
            <w:pPr>
              <w:widowControl w:val="0"/>
            </w:pPr>
          </w:p>
          <w:p w:rsidR="00911094" w:rsidRPr="000E1337" w:rsidRDefault="00911094" w:rsidP="008E39DF">
            <w:pPr>
              <w:widowControl w:val="0"/>
            </w:pPr>
            <w:r w:rsidRPr="000E1337">
              <w:t>An evaluation of {} percent is assigned from {}, the first day of the month after {} full month</w:t>
            </w:r>
            <w:r w:rsidR="00BA1122">
              <w:t>(</w:t>
            </w:r>
            <w:r w:rsidRPr="000E1337">
              <w:t>s</w:t>
            </w:r>
            <w:r w:rsidR="00BA1122">
              <w:t>)</w:t>
            </w:r>
            <w:r w:rsidRPr="000E1337">
              <w:t xml:space="preserve"> at 100 percent following your surgery.</w:t>
            </w:r>
          </w:p>
          <w:p w:rsidR="00911094" w:rsidRPr="00461731" w:rsidRDefault="00F43B17" w:rsidP="008E39DF">
            <w:pPr>
              <w:widowControl w:val="0"/>
              <w:rPr>
                <w:i/>
              </w:rPr>
            </w:pPr>
            <w:r w:rsidRPr="00461731">
              <w:rPr>
                <w:i/>
                <w:color w:val="00B050"/>
              </w:rPr>
              <w:t xml:space="preserve">My Notes:  </w:t>
            </w:r>
            <w:r w:rsidR="00461731" w:rsidRPr="00461731">
              <w:rPr>
                <w:i/>
              </w:rPr>
              <w:t>End date is</w:t>
            </w:r>
            <w:r w:rsidRPr="00461731">
              <w:rPr>
                <w:i/>
              </w:rPr>
              <w:t xml:space="preserve"> the last day of the month in which convalescence ends, so </w:t>
            </w:r>
            <w:r w:rsidRPr="00461731">
              <w:rPr>
                <w:i/>
                <w:iCs/>
              </w:rPr>
              <w:t>we use the 1</w:t>
            </w:r>
            <w:r w:rsidRPr="00461731">
              <w:rPr>
                <w:i/>
                <w:iCs/>
                <w:vertAlign w:val="superscript"/>
              </w:rPr>
              <w:t>st</w:t>
            </w:r>
            <w:r w:rsidRPr="00461731">
              <w:rPr>
                <w:i/>
                <w:iCs/>
              </w:rPr>
              <w:t xml:space="preserve"> of the following month as the effective date.</w:t>
            </w:r>
          </w:p>
          <w:p w:rsidR="00911094" w:rsidRDefault="00911094" w:rsidP="008E39DF">
            <w:pPr>
              <w:widowControl w:val="0"/>
              <w:rPr>
                <w:i/>
              </w:rPr>
            </w:pPr>
          </w:p>
          <w:p w:rsidR="00911094" w:rsidRPr="00EC58E2" w:rsidRDefault="00911094" w:rsidP="008E39DF">
            <w:pPr>
              <w:widowControl w:val="0"/>
              <w:rPr>
                <w:b/>
                <w:i/>
                <w:u w:val="single"/>
              </w:rPr>
            </w:pPr>
            <w:r w:rsidRPr="00EC58E2">
              <w:rPr>
                <w:b/>
                <w:i/>
                <w:u w:val="single"/>
              </w:rPr>
              <w:t>JOINT REPLACEMENT:</w:t>
            </w:r>
          </w:p>
          <w:p w:rsidR="003C5617" w:rsidRDefault="00573293" w:rsidP="00D26013">
            <w:pPr>
              <w:widowControl w:val="0"/>
              <w:rPr>
                <w:i/>
              </w:rPr>
            </w:pPr>
            <w:r>
              <w:rPr>
                <w:i/>
              </w:rPr>
              <w:t>Under Total Prosthetic Replacement, c</w:t>
            </w:r>
            <w:r w:rsidR="00D26013">
              <w:rPr>
                <w:i/>
              </w:rPr>
              <w:t>heck</w:t>
            </w:r>
            <w:r w:rsidR="001D54BC">
              <w:rPr>
                <w:i/>
              </w:rPr>
              <w:t xml:space="preserve"> box for</w:t>
            </w:r>
            <w:r w:rsidR="00D26013">
              <w:rPr>
                <w:i/>
              </w:rPr>
              <w:t xml:space="preserve"> Rate Prosthetic Replacement – choose Rate Temporary 100% – </w:t>
            </w:r>
            <w:r w:rsidR="00D26013" w:rsidRPr="00E52B68">
              <w:rPr>
                <w:i/>
                <w:highlight w:val="darkGray"/>
              </w:rPr>
              <w:t>then check both boxes for 100% &amp; 30%</w:t>
            </w:r>
            <w:r w:rsidR="007D2E66" w:rsidRPr="00E52B68">
              <w:rPr>
                <w:i/>
                <w:highlight w:val="darkGray"/>
              </w:rPr>
              <w:t xml:space="preserve"> VEB results</w:t>
            </w:r>
            <w:r w:rsidR="00D26013" w:rsidRPr="00E52B68">
              <w:rPr>
                <w:i/>
                <w:highlight w:val="darkGray"/>
              </w:rPr>
              <w:t xml:space="preserve">, add date for the 100%, then Edit </w:t>
            </w:r>
            <w:r w:rsidR="007D2E66" w:rsidRPr="00E52B68">
              <w:rPr>
                <w:i/>
                <w:highlight w:val="darkGray"/>
              </w:rPr>
              <w:t xml:space="preserve">the 30% </w:t>
            </w:r>
            <w:r w:rsidR="00D26013" w:rsidRPr="00E52B68">
              <w:rPr>
                <w:i/>
                <w:highlight w:val="darkGray"/>
              </w:rPr>
              <w:t>&amp; add date for the 30%</w:t>
            </w:r>
            <w:r w:rsidR="003C5617" w:rsidRPr="00E52B68">
              <w:rPr>
                <w:i/>
                <w:highlight w:val="darkGray"/>
              </w:rPr>
              <w:t>, but it does the</w:t>
            </w:r>
            <w:r w:rsidR="001D54BC" w:rsidRPr="00E52B68">
              <w:rPr>
                <w:i/>
                <w:highlight w:val="darkGray"/>
              </w:rPr>
              <w:t xml:space="preserve"> 30% as I</w:t>
            </w:r>
            <w:r w:rsidR="003C5617" w:rsidRPr="00E52B68">
              <w:rPr>
                <w:i/>
                <w:highlight w:val="darkGray"/>
              </w:rPr>
              <w:t>nactive</w:t>
            </w:r>
            <w:r w:rsidR="001D54BC" w:rsidRPr="00E52B68">
              <w:rPr>
                <w:i/>
                <w:highlight w:val="darkGray"/>
              </w:rPr>
              <w:t xml:space="preserve"> initially (it changes to Active in the Master Record)</w:t>
            </w:r>
            <w:r w:rsidR="003C5617" w:rsidRPr="00E52B68">
              <w:rPr>
                <w:i/>
                <w:highlight w:val="darkGray"/>
              </w:rPr>
              <w:t xml:space="preserve">, Reasons for Decision verbiage is in </w:t>
            </w:r>
            <w:r w:rsidR="001D54BC" w:rsidRPr="00E52B68">
              <w:rPr>
                <w:i/>
                <w:highlight w:val="darkGray"/>
              </w:rPr>
              <w:t xml:space="preserve">the </w:t>
            </w:r>
            <w:r w:rsidR="003C5617" w:rsidRPr="00E52B68">
              <w:rPr>
                <w:i/>
                <w:highlight w:val="darkGray"/>
              </w:rPr>
              <w:t xml:space="preserve">correct order, need to </w:t>
            </w:r>
            <w:r w:rsidR="001D54BC" w:rsidRPr="00E52B68">
              <w:rPr>
                <w:i/>
                <w:highlight w:val="darkGray"/>
              </w:rPr>
              <w:t>add the 30% line to</w:t>
            </w:r>
            <w:r w:rsidR="003C5617" w:rsidRPr="00E52B68">
              <w:rPr>
                <w:i/>
                <w:highlight w:val="darkGray"/>
              </w:rPr>
              <w:t xml:space="preserve"> the Decision to match below</w:t>
            </w:r>
            <w:r w:rsidR="001F02E4">
              <w:rPr>
                <w:i/>
              </w:rPr>
              <w:t xml:space="preserve"> – as of 12/17, this no longer works</w:t>
            </w:r>
          </w:p>
          <w:p w:rsidR="00D26013" w:rsidRPr="001D54BC" w:rsidRDefault="001F02E4" w:rsidP="00D26013">
            <w:pPr>
              <w:widowControl w:val="0"/>
              <w:rPr>
                <w:i/>
              </w:rPr>
            </w:pPr>
            <w:r>
              <w:rPr>
                <w:i/>
              </w:rPr>
              <w:t xml:space="preserve">OR </w:t>
            </w:r>
            <w:r w:rsidR="003C5617">
              <w:rPr>
                <w:i/>
              </w:rPr>
              <w:t>do</w:t>
            </w:r>
            <w:r w:rsidR="00D26013">
              <w:rPr>
                <w:i/>
              </w:rPr>
              <w:t xml:space="preserve"> Staged Rating</w:t>
            </w:r>
            <w:r w:rsidR="003C5617">
              <w:rPr>
                <w:i/>
              </w:rPr>
              <w:t xml:space="preserve"> - </w:t>
            </w:r>
            <w:r w:rsidR="00D26013">
              <w:rPr>
                <w:i/>
              </w:rPr>
              <w:t>choose Rate Temporary 100% – then check box for 100%, add date for the 100%, then choose STAGE, click on Decrease Issue, add date &amp; change to 30%</w:t>
            </w:r>
            <w:r w:rsidR="003C5617">
              <w:rPr>
                <w:i/>
              </w:rPr>
              <w:t>, but then gives you Reasons for Decision verbiage backward</w:t>
            </w:r>
            <w:r w:rsidR="001D54BC">
              <w:rPr>
                <w:i/>
              </w:rPr>
              <w:t xml:space="preserve"> &amp; doesn’t explain the 30% well, need to add the 30% line to the Decision to match below</w:t>
            </w:r>
          </w:p>
          <w:p w:rsidR="00D26013" w:rsidRDefault="00D26013" w:rsidP="008E39DF">
            <w:pPr>
              <w:widowControl w:val="0"/>
              <w:rPr>
                <w:i/>
                <w:iCs/>
              </w:rPr>
            </w:pPr>
          </w:p>
          <w:p w:rsidR="00911094" w:rsidRDefault="00911094" w:rsidP="008E39DF">
            <w:pPr>
              <w:widowControl w:val="0"/>
            </w:pPr>
            <w:r w:rsidRPr="000E1337">
              <w:rPr>
                <w:i/>
                <w:iCs/>
              </w:rPr>
              <w:t xml:space="preserve">Issue:  </w:t>
            </w:r>
            <w:r w:rsidRPr="00EC58E2">
              <w:t xml:space="preserve">Evaluation of </w:t>
            </w:r>
            <w:r>
              <w:t>{} replacement</w:t>
            </w:r>
            <w:r w:rsidRPr="00EC58E2">
              <w:t xml:space="preserve"> (previously rated as </w:t>
            </w:r>
            <w:r w:rsidR="00FA68A6">
              <w:t>{}</w:t>
            </w:r>
            <w:r>
              <w:t>) currently evaluated as {}</w:t>
            </w:r>
            <w:r w:rsidRPr="00EC58E2">
              <w:t xml:space="preserve"> percent disabling.</w:t>
            </w:r>
          </w:p>
          <w:p w:rsidR="00911094" w:rsidRDefault="00911094" w:rsidP="008E39DF">
            <w:pPr>
              <w:widowControl w:val="0"/>
            </w:pPr>
          </w:p>
          <w:p w:rsidR="00911094" w:rsidRDefault="00911094" w:rsidP="008E39DF">
            <w:pPr>
              <w:widowControl w:val="0"/>
            </w:pPr>
            <w:r w:rsidRPr="000E1337">
              <w:rPr>
                <w:i/>
              </w:rPr>
              <w:t>Decision:</w:t>
            </w:r>
            <w:r w:rsidRPr="000E1337">
              <w:t xml:space="preserve">  </w:t>
            </w:r>
            <w:r w:rsidR="001F02E4">
              <w:t>Evaluation of</w:t>
            </w:r>
            <w:r w:rsidR="00573293">
              <w:t xml:space="preserve"> </w:t>
            </w:r>
            <w:r>
              <w:t>{} replacement</w:t>
            </w:r>
            <w:r w:rsidRPr="00EC58E2">
              <w:t xml:space="preserve"> (previously rated as </w:t>
            </w:r>
            <w:r w:rsidR="00FA68A6">
              <w:t>{}</w:t>
            </w:r>
            <w:r>
              <w:t>), which is currently {}</w:t>
            </w:r>
            <w:r w:rsidRPr="00EC58E2">
              <w:t xml:space="preserve"> percent disabling, is increased to 100 percent effective </w:t>
            </w:r>
            <w:r>
              <w:t>{}</w:t>
            </w:r>
            <w:r w:rsidRPr="00EC58E2">
              <w:t xml:space="preserve">. An evaluation of </w:t>
            </w:r>
            <w:r>
              <w:t>{</w:t>
            </w:r>
            <w:r w:rsidR="00ED62AD">
              <w:t>30</w:t>
            </w:r>
            <w:r>
              <w:t>}</w:t>
            </w:r>
            <w:r w:rsidRPr="00EC58E2">
              <w:t xml:space="preserve"> percent is assigned from </w:t>
            </w:r>
            <w:r>
              <w:t>{}</w:t>
            </w:r>
            <w:r w:rsidRPr="00EC58E2">
              <w:t>.</w:t>
            </w:r>
          </w:p>
          <w:p w:rsidR="00911094" w:rsidRDefault="00911094" w:rsidP="008E39DF">
            <w:pPr>
              <w:widowControl w:val="0"/>
            </w:pPr>
          </w:p>
          <w:p w:rsidR="00911094" w:rsidRDefault="00911094" w:rsidP="00EC58E2">
            <w:pPr>
              <w:widowControl w:val="0"/>
            </w:pPr>
            <w:r w:rsidRPr="000E1337">
              <w:rPr>
                <w:i/>
                <w:iCs/>
              </w:rPr>
              <w:t xml:space="preserve">Reasons for Decision:  </w:t>
            </w:r>
            <w:r w:rsidR="001F02E4">
              <w:t>The evaluation of</w:t>
            </w:r>
            <w:r w:rsidR="00573293">
              <w:t xml:space="preserve"> </w:t>
            </w:r>
            <w:r>
              <w:t>{} replacemen</w:t>
            </w:r>
            <w:r w:rsidR="00FA68A6">
              <w:t>t (previously rated as {}</w:t>
            </w:r>
            <w:r>
              <w:t xml:space="preserve">) is increased to 100 percent disabling </w:t>
            </w:r>
            <w:r w:rsidRPr="00EC58E2">
              <w:t>effective {}, the date of your</w:t>
            </w:r>
            <w:r w:rsidR="001F02E4">
              <w:t xml:space="preserve"> admission and</w:t>
            </w:r>
            <w:r w:rsidRPr="00EC58E2">
              <w:t xml:space="preserve"> surgery. An</w:t>
            </w:r>
            <w:r>
              <w:t xml:space="preserve"> evaluation of {30} percent is assigned from {}, the first day of the month after 13 full months at 100 percent following your surgery.</w:t>
            </w:r>
          </w:p>
          <w:p w:rsidR="001D54BC" w:rsidRDefault="001D54BC" w:rsidP="00EC58E2">
            <w:pPr>
              <w:widowControl w:val="0"/>
            </w:pPr>
          </w:p>
          <w:p w:rsidR="001D54BC" w:rsidRDefault="001D54BC" w:rsidP="001D54BC">
            <w:pPr>
              <w:widowControl w:val="0"/>
            </w:pPr>
            <w:r w:rsidRPr="001D54BC">
              <w:rPr>
                <w:i/>
              </w:rPr>
              <w:t>keep rest of</w:t>
            </w:r>
            <w:r>
              <w:t xml:space="preserve"> </w:t>
            </w:r>
            <w:r w:rsidRPr="000E1337">
              <w:rPr>
                <w:i/>
                <w:iCs/>
              </w:rPr>
              <w:t>Reasons for Decision</w:t>
            </w:r>
            <w:r>
              <w:rPr>
                <w:i/>
                <w:iCs/>
              </w:rPr>
              <w:t xml:space="preserve"> generated by system</w:t>
            </w:r>
          </w:p>
          <w:p w:rsidR="00911094" w:rsidRDefault="00911094" w:rsidP="00EC58E2">
            <w:pPr>
              <w:widowControl w:val="0"/>
            </w:pPr>
          </w:p>
          <w:p w:rsidR="00911094" w:rsidRDefault="00911094" w:rsidP="008E39DF">
            <w:pPr>
              <w:widowControl w:val="0"/>
            </w:pPr>
            <w:r w:rsidRPr="008E39DF">
              <w:rPr>
                <w:i/>
              </w:rPr>
              <w:t>Add if needed:</w:t>
            </w:r>
            <w:r w:rsidRPr="008E39DF">
              <w:t xml:space="preserve">  </w:t>
            </w:r>
            <w:r w:rsidRPr="00EC58E2">
              <w:t xml:space="preserve">Please let us know if you believe your disability meets the next higher evaluation when we are closer to the </w:t>
            </w:r>
            <w:r>
              <w:t>{}</w:t>
            </w:r>
            <w:r w:rsidRPr="00EC58E2">
              <w:t xml:space="preserve"> date.</w:t>
            </w:r>
          </w:p>
          <w:p w:rsidR="00911094" w:rsidRDefault="00911094" w:rsidP="008E39DF">
            <w:pPr>
              <w:widowControl w:val="0"/>
            </w:pPr>
          </w:p>
          <w:p w:rsidR="00911094" w:rsidRPr="008E39DF" w:rsidRDefault="00911094" w:rsidP="008E39DF">
            <w:pPr>
              <w:widowControl w:val="0"/>
            </w:pPr>
          </w:p>
          <w:p w:rsidR="00911094" w:rsidRPr="008E39DF" w:rsidRDefault="00911094" w:rsidP="008E39DF">
            <w:pPr>
              <w:widowControl w:val="0"/>
            </w:pPr>
          </w:p>
          <w:p w:rsidR="00911094" w:rsidRPr="008E39DF" w:rsidRDefault="00911094" w:rsidP="008E39DF">
            <w:pPr>
              <w:widowControl w:val="0"/>
              <w:rPr>
                <w:b/>
                <w:iCs/>
              </w:rPr>
            </w:pPr>
            <w:r w:rsidRPr="008E39DF">
              <w:rPr>
                <w:b/>
                <w:iCs/>
              </w:rPr>
              <w:t>P29</w:t>
            </w:r>
            <w:r>
              <w:rPr>
                <w:b/>
                <w:iCs/>
              </w:rPr>
              <w:t xml:space="preserve"> -</w:t>
            </w:r>
            <w:r>
              <w:t xml:space="preserve">*also see </w:t>
            </w:r>
            <w:hyperlink r:id="rId284" w:history="1">
              <w:r>
                <w:rPr>
                  <w:rFonts w:ascii="Verdana" w:hAnsi="Verdana"/>
                  <w:b/>
                  <w:bCs/>
                  <w:highlight w:val="green"/>
                </w:rPr>
                <w:t>P29G</w:t>
              </w:r>
            </w:hyperlink>
            <w:r w:rsidRPr="00494A88">
              <w:rPr>
                <w:bCs/>
              </w:rPr>
              <w:t xml:space="preserve"> &amp;</w:t>
            </w:r>
            <w:r>
              <w:rPr>
                <w:bCs/>
              </w:rPr>
              <w:t xml:space="preserve"> </w:t>
            </w:r>
            <w:r>
              <w:rPr>
                <w:rFonts w:ascii="Verdana" w:hAnsi="Verdana"/>
                <w:b/>
                <w:bCs/>
                <w:highlight w:val="green"/>
              </w:rPr>
              <w:t>P29&lt;21</w:t>
            </w:r>
            <w:r w:rsidRPr="00494A88">
              <w:rPr>
                <w:rFonts w:ascii="Verdana" w:hAnsi="Verdana"/>
                <w:b/>
                <w:bCs/>
              </w:rPr>
              <w:t xml:space="preserve"> </w:t>
            </w:r>
            <w:r w:rsidRPr="00494A88">
              <w:rPr>
                <w:bCs/>
              </w:rPr>
              <w:t>&amp;</w:t>
            </w:r>
            <w:r>
              <w:rPr>
                <w:bCs/>
              </w:rPr>
              <w:t xml:space="preserve"> </w:t>
            </w:r>
            <w:r>
              <w:rPr>
                <w:rFonts w:ascii="Verdana" w:hAnsi="Verdana"/>
                <w:b/>
                <w:bCs/>
                <w:highlight w:val="green"/>
              </w:rPr>
              <w:t>P29_1</w:t>
            </w:r>
            <w:r w:rsidRPr="008E39DF">
              <w:rPr>
                <w:b/>
                <w:iCs/>
              </w:rPr>
              <w:t xml:space="preserve"> -</w:t>
            </w:r>
          </w:p>
          <w:p w:rsidR="00911094" w:rsidRPr="008E39DF" w:rsidRDefault="00911094" w:rsidP="008E39DF">
            <w:pPr>
              <w:widowControl w:val="0"/>
            </w:pPr>
            <w:r w:rsidRPr="008E39DF">
              <w:rPr>
                <w:i/>
                <w:iCs/>
              </w:rPr>
              <w:t xml:space="preserve">Issue:  </w:t>
            </w:r>
            <w:r w:rsidRPr="008E39DF">
              <w:t xml:space="preserve">Entitlement to a temporary total evaluation because of hospital treatment in excess of 21 days for </w:t>
            </w:r>
            <w:r>
              <w:t>{}</w:t>
            </w:r>
            <w:r w:rsidRPr="008E39DF">
              <w:t>.</w:t>
            </w:r>
          </w:p>
          <w:p w:rsidR="00911094" w:rsidRPr="008E39DF" w:rsidRDefault="00911094" w:rsidP="008E39DF">
            <w:pPr>
              <w:widowControl w:val="0"/>
            </w:pPr>
          </w:p>
          <w:p w:rsidR="00911094" w:rsidRPr="008E39DF" w:rsidRDefault="00911094" w:rsidP="008E39DF">
            <w:pPr>
              <w:widowControl w:val="0"/>
            </w:pPr>
            <w:r w:rsidRPr="00EC58E2">
              <w:rPr>
                <w:i/>
                <w:u w:val="single"/>
              </w:rPr>
              <w:t>Grant</w:t>
            </w:r>
            <w:r w:rsidRPr="008E39DF">
              <w:rPr>
                <w:i/>
              </w:rPr>
              <w:t xml:space="preserve"> Decision:</w:t>
            </w:r>
            <w:r w:rsidRPr="008E39DF">
              <w:t xml:space="preserve">  A temporary evaluation of 100 percent has been assigned effective </w:t>
            </w:r>
            <w:r>
              <w:t>{}</w:t>
            </w:r>
            <w:r w:rsidRPr="008E39DF">
              <w:t xml:space="preserve"> based on hospital treatment in excess of 21 days. An evaluation of </w:t>
            </w:r>
            <w:r>
              <w:t>{}</w:t>
            </w:r>
            <w:r w:rsidRPr="008E39DF">
              <w:t xml:space="preserve"> percent is assigned from </w:t>
            </w:r>
            <w:r>
              <w:t>{}</w:t>
            </w:r>
            <w:r w:rsidRPr="008E39DF">
              <w:t>.</w:t>
            </w:r>
          </w:p>
          <w:p w:rsidR="00911094" w:rsidRDefault="00911094" w:rsidP="008E39DF">
            <w:pPr>
              <w:pStyle w:val="Header"/>
              <w:widowControl w:val="0"/>
              <w:tabs>
                <w:tab w:val="clear" w:pos="4320"/>
                <w:tab w:val="clear" w:pos="8640"/>
              </w:tabs>
            </w:pPr>
          </w:p>
          <w:p w:rsidR="00070D5C" w:rsidRDefault="00D571C5" w:rsidP="00070D5C">
            <w:pPr>
              <w:widowControl w:val="0"/>
              <w:spacing w:after="120"/>
              <w:rPr>
                <w:sz w:val="18"/>
              </w:rPr>
            </w:pPr>
            <w:hyperlink r:id="rId285" w:history="1">
              <w:r w:rsidR="00070D5C" w:rsidRPr="00070D5C">
                <w:rPr>
                  <w:rStyle w:val="Hyperlink"/>
                  <w:b/>
                  <w:bCs/>
                  <w:i/>
                  <w:sz w:val="18"/>
                </w:rPr>
                <w:t>January 2017 Quality Call Notes</w:t>
              </w:r>
            </w:hyperlink>
            <w:r w:rsidR="00070D5C" w:rsidRPr="00070D5C">
              <w:rPr>
                <w:i/>
                <w:sz w:val="18"/>
              </w:rPr>
              <w:t xml:space="preserve"> – </w:t>
            </w:r>
          </w:p>
          <w:p w:rsidR="00070D5C" w:rsidRPr="00070D5C" w:rsidRDefault="00070D5C" w:rsidP="00070D5C">
            <w:pPr>
              <w:spacing w:after="120"/>
              <w:rPr>
                <w:b/>
                <w:color w:val="FFFFFF"/>
                <w:sz w:val="18"/>
                <w:szCs w:val="22"/>
              </w:rPr>
            </w:pPr>
            <w:r w:rsidRPr="00070D5C">
              <w:rPr>
                <w:b/>
                <w:sz w:val="18"/>
                <w:szCs w:val="22"/>
              </w:rPr>
              <w:t>Question:  If we are to continue the IU entitlement, even while we are granting temporary 100 percent, how will this impact IU decisions that are based solely on a single issue that is assigned the temporary 100 percent?  This could potentially lead to confusion on the codesheet and erroneous entitlements to housebound.</w:t>
            </w:r>
          </w:p>
          <w:p w:rsidR="00070D5C" w:rsidRPr="00070D5C" w:rsidRDefault="00070D5C" w:rsidP="00461731">
            <w:pPr>
              <w:rPr>
                <w:color w:val="FFFFFF"/>
                <w:sz w:val="18"/>
                <w:szCs w:val="22"/>
              </w:rPr>
            </w:pPr>
            <w:r w:rsidRPr="00070D5C">
              <w:rPr>
                <w:sz w:val="18"/>
                <w:szCs w:val="22"/>
              </w:rPr>
              <w:t>Answer:  Payment cannot be made for a period of temporary 100 percent evaluation under 38 CFR 4.29 or 4.30 and IU for the same disability.  The IU is continued for the purposes of facilitating effective authorization of associated payments and does not bestow additional entitlement, including entitlement to SMC.  If the potential for confusion exists, then add a note to the codesheet explaining that the continuation of the IU coding is for records purposes only during the period of the temporary 100 percent evaluation, and no SMC entitlement is warranted.</w:t>
            </w:r>
          </w:p>
        </w:tc>
      </w:tr>
      <w:tr w:rsidR="00911094" w:rsidTr="00BC2764">
        <w:tc>
          <w:tcPr>
            <w:tcW w:w="2379" w:type="dxa"/>
          </w:tcPr>
          <w:p w:rsidR="00911094" w:rsidRPr="00736988" w:rsidRDefault="00911094">
            <w:pPr>
              <w:pStyle w:val="Header"/>
              <w:widowControl w:val="0"/>
              <w:tabs>
                <w:tab w:val="clear" w:pos="4320"/>
                <w:tab w:val="clear" w:pos="8640"/>
              </w:tabs>
              <w:rPr>
                <w:bCs/>
                <w:iCs/>
              </w:rPr>
            </w:pPr>
            <w:r w:rsidRPr="00736988">
              <w:rPr>
                <w:bCs/>
                <w:iCs/>
              </w:rPr>
              <w:t>S plus K</w:t>
            </w:r>
          </w:p>
        </w:tc>
        <w:tc>
          <w:tcPr>
            <w:tcW w:w="8298" w:type="dxa"/>
          </w:tcPr>
          <w:p w:rsidR="00911094" w:rsidRPr="000D1D67" w:rsidRDefault="00911094" w:rsidP="000D1D67">
            <w:pPr>
              <w:pStyle w:val="Header"/>
              <w:widowControl w:val="0"/>
              <w:tabs>
                <w:tab w:val="clear" w:pos="4320"/>
                <w:tab w:val="clear" w:pos="8640"/>
              </w:tabs>
              <w:rPr>
                <w:bCs/>
              </w:rPr>
            </w:pPr>
            <w:r w:rsidRPr="000D1D67">
              <w:rPr>
                <w:bCs/>
                <w:i/>
              </w:rPr>
              <w:t xml:space="preserve">Issue:  </w:t>
            </w:r>
            <w:r w:rsidRPr="000D1D67">
              <w:rPr>
                <w:bCs/>
              </w:rPr>
              <w:t>Entitlement to special monthly compensatio</w:t>
            </w:r>
            <w:r w:rsidR="00026455">
              <w:rPr>
                <w:bCs/>
              </w:rPr>
              <w:t>n based on housebound and l</w:t>
            </w:r>
            <w:r>
              <w:rPr>
                <w:bCs/>
              </w:rPr>
              <w:t xml:space="preserve">oss </w:t>
            </w:r>
            <w:r w:rsidR="00026455">
              <w:rPr>
                <w:bCs/>
              </w:rPr>
              <w:t>o</w:t>
            </w:r>
            <w:r>
              <w:rPr>
                <w:bCs/>
              </w:rPr>
              <w:t>f</w:t>
            </w:r>
            <w:r w:rsidR="00026455">
              <w:rPr>
                <w:bCs/>
              </w:rPr>
              <w:t xml:space="preserve"> u</w:t>
            </w:r>
            <w:r w:rsidRPr="000D1D67">
              <w:rPr>
                <w:bCs/>
              </w:rPr>
              <w:t>se.</w:t>
            </w:r>
          </w:p>
          <w:p w:rsidR="00911094" w:rsidRDefault="00911094" w:rsidP="000D1D67">
            <w:pPr>
              <w:pStyle w:val="Header"/>
              <w:widowControl w:val="0"/>
              <w:tabs>
                <w:tab w:val="clear" w:pos="4320"/>
                <w:tab w:val="clear" w:pos="8640"/>
              </w:tabs>
              <w:rPr>
                <w:bCs/>
                <w:i/>
              </w:rPr>
            </w:pPr>
          </w:p>
          <w:p w:rsidR="00911094" w:rsidRDefault="00911094" w:rsidP="000D1D67">
            <w:pPr>
              <w:pStyle w:val="Header"/>
              <w:widowControl w:val="0"/>
              <w:tabs>
                <w:tab w:val="clear" w:pos="4320"/>
                <w:tab w:val="clear" w:pos="8640"/>
              </w:tabs>
            </w:pPr>
            <w:r w:rsidRPr="00736988">
              <w:rPr>
                <w:bCs/>
                <w:i/>
              </w:rPr>
              <w:t>Decision:</w:t>
            </w:r>
            <w:r w:rsidRPr="00736988">
              <w:t xml:space="preserve">  Entitlement to special monthly compensation based on </w:t>
            </w:r>
            <w:r w:rsidR="00026455">
              <w:t>h</w:t>
            </w:r>
            <w:r w:rsidRPr="00736988">
              <w:t>ousebound c</w:t>
            </w:r>
            <w:r>
              <w:t xml:space="preserve">riteria being met and based on </w:t>
            </w:r>
            <w:r w:rsidR="00026455">
              <w:t>loss of use</w:t>
            </w:r>
            <w:r w:rsidRPr="00736988">
              <w:t xml:space="preserve"> of a creative organ is granted from </w:t>
            </w:r>
            <w:r>
              <w:t>{}</w:t>
            </w:r>
            <w:r w:rsidRPr="00736988">
              <w:t>.</w:t>
            </w:r>
          </w:p>
          <w:p w:rsidR="00911094" w:rsidRDefault="00911094" w:rsidP="000D1D67">
            <w:pPr>
              <w:pStyle w:val="Header"/>
              <w:widowControl w:val="0"/>
              <w:tabs>
                <w:tab w:val="clear" w:pos="4320"/>
                <w:tab w:val="clear" w:pos="8640"/>
              </w:tabs>
            </w:pPr>
          </w:p>
          <w:p w:rsidR="00911094" w:rsidRDefault="00911094" w:rsidP="007B58D4">
            <w:pPr>
              <w:pStyle w:val="Header"/>
              <w:widowControl w:val="0"/>
              <w:tabs>
                <w:tab w:val="clear" w:pos="4320"/>
                <w:tab w:val="clear" w:pos="8640"/>
              </w:tabs>
            </w:pPr>
            <w:r w:rsidRPr="00026455">
              <w:rPr>
                <w:i/>
              </w:rPr>
              <w:t>Reasons:</w:t>
            </w:r>
            <w:r>
              <w:t xml:space="preserve">  </w:t>
            </w:r>
            <w:r w:rsidRPr="000D1D67">
              <w:t>Entitlement to special monthly compensation is warranted in this c</w:t>
            </w:r>
            <w:r w:rsidR="00026455">
              <w:t>ase because criteria regarding h</w:t>
            </w:r>
            <w:r w:rsidRPr="000D1D67">
              <w:t xml:space="preserve">ousebound </w:t>
            </w:r>
            <w:r>
              <w:t xml:space="preserve">and criteria regarding </w:t>
            </w:r>
            <w:r w:rsidR="00026455">
              <w:t>loss of use</w:t>
            </w:r>
            <w:r>
              <w:t xml:space="preserve"> of a creative organ were met from {}.</w:t>
            </w:r>
          </w:p>
          <w:p w:rsidR="00911094" w:rsidRDefault="00911094" w:rsidP="007B58D4">
            <w:pPr>
              <w:pStyle w:val="Header"/>
              <w:widowControl w:val="0"/>
              <w:tabs>
                <w:tab w:val="clear" w:pos="4320"/>
                <w:tab w:val="clear" w:pos="8640"/>
              </w:tabs>
            </w:pPr>
          </w:p>
          <w:p w:rsidR="00911094" w:rsidRPr="00410230" w:rsidRDefault="00D571C5" w:rsidP="007B58D4">
            <w:pPr>
              <w:pStyle w:val="Header"/>
              <w:widowControl w:val="0"/>
              <w:tabs>
                <w:tab w:val="clear" w:pos="4320"/>
                <w:tab w:val="clear" w:pos="8640"/>
              </w:tabs>
              <w:rPr>
                <w:rFonts w:asciiTheme="minorHAnsi" w:hAnsiTheme="minorHAnsi"/>
              </w:rPr>
            </w:pPr>
            <w:hyperlink r:id="rId286" w:history="1">
              <w:r w:rsidR="00911094" w:rsidRPr="00410230">
                <w:rPr>
                  <w:rStyle w:val="Hyperlink"/>
                  <w:rFonts w:asciiTheme="minorHAnsi" w:eastAsiaTheme="minorHAnsi" w:hAnsiTheme="minorHAnsi"/>
                  <w:b/>
                  <w:i/>
                </w:rPr>
                <w:t>VBMS Tips &amp; Tricks 9.0</w:t>
              </w:r>
            </w:hyperlink>
            <w:r w:rsidR="00911094" w:rsidRPr="00410230">
              <w:rPr>
                <w:rFonts w:asciiTheme="minorHAnsi" w:eastAsiaTheme="minorHAnsi" w:hAnsiTheme="minorHAnsi"/>
                <w:b/>
                <w:i/>
              </w:rPr>
              <w:t xml:space="preserve"> </w:t>
            </w:r>
            <w:r w:rsidR="00911094" w:rsidRPr="00410230">
              <w:rPr>
                <w:rFonts w:asciiTheme="minorHAnsi" w:eastAsiaTheme="minorHAnsi" w:hAnsiTheme="minorHAnsi"/>
              </w:rPr>
              <w:t>–</w:t>
            </w:r>
          </w:p>
          <w:p w:rsidR="00911094" w:rsidRPr="00410230" w:rsidRDefault="00911094" w:rsidP="001D7A9F">
            <w:pPr>
              <w:pStyle w:val="Default"/>
              <w:rPr>
                <w:rFonts w:asciiTheme="minorHAnsi" w:hAnsiTheme="minorHAnsi"/>
                <w:sz w:val="20"/>
                <w:szCs w:val="20"/>
              </w:rPr>
            </w:pPr>
            <w:r w:rsidRPr="00410230">
              <w:rPr>
                <w:rFonts w:asciiTheme="minorHAnsi" w:hAnsiTheme="minorHAnsi"/>
                <w:sz w:val="20"/>
                <w:szCs w:val="20"/>
              </w:rPr>
              <w:t xml:space="preserve">To produce two SMC decisions for the Rating Decision and ADL, end-users should follow the following steps: </w:t>
            </w:r>
          </w:p>
          <w:p w:rsidR="00911094" w:rsidRPr="00410230" w:rsidRDefault="00911094" w:rsidP="001D7A9F">
            <w:pPr>
              <w:pStyle w:val="Default"/>
              <w:rPr>
                <w:rFonts w:asciiTheme="minorHAnsi" w:hAnsiTheme="minorHAnsi"/>
                <w:sz w:val="20"/>
                <w:szCs w:val="20"/>
              </w:rPr>
            </w:pPr>
            <w:r w:rsidRPr="00410230">
              <w:rPr>
                <w:rFonts w:asciiTheme="minorHAnsi" w:hAnsiTheme="minorHAnsi"/>
                <w:sz w:val="20"/>
                <w:szCs w:val="20"/>
              </w:rPr>
              <w:t xml:space="preserve">Enter in the decision for the first SMC grant. </w:t>
            </w:r>
          </w:p>
          <w:p w:rsidR="00911094" w:rsidRPr="00410230" w:rsidRDefault="00911094" w:rsidP="001D7A9F">
            <w:pPr>
              <w:pStyle w:val="Default"/>
              <w:rPr>
                <w:rFonts w:asciiTheme="minorHAnsi" w:hAnsiTheme="minorHAnsi"/>
                <w:sz w:val="20"/>
                <w:szCs w:val="20"/>
              </w:rPr>
            </w:pPr>
            <w:r w:rsidRPr="00410230">
              <w:rPr>
                <w:rFonts w:asciiTheme="minorHAnsi" w:hAnsiTheme="minorHAnsi"/>
                <w:sz w:val="20"/>
                <w:szCs w:val="20"/>
              </w:rPr>
              <w:t xml:space="preserve">Enter in the SMC code for the first SMC grant. </w:t>
            </w:r>
          </w:p>
          <w:p w:rsidR="00911094" w:rsidRPr="00410230" w:rsidRDefault="00911094" w:rsidP="001D7A9F">
            <w:pPr>
              <w:pStyle w:val="Default"/>
              <w:rPr>
                <w:rFonts w:asciiTheme="minorHAnsi" w:hAnsiTheme="minorHAnsi"/>
                <w:sz w:val="20"/>
                <w:szCs w:val="20"/>
              </w:rPr>
            </w:pPr>
            <w:r w:rsidRPr="00410230">
              <w:rPr>
                <w:rFonts w:asciiTheme="minorHAnsi" w:hAnsiTheme="minorHAnsi"/>
                <w:sz w:val="20"/>
                <w:szCs w:val="20"/>
              </w:rPr>
              <w:t xml:space="preserve">Create the narrative and hit accept. </w:t>
            </w:r>
          </w:p>
          <w:p w:rsidR="00911094" w:rsidRPr="00410230" w:rsidRDefault="00911094" w:rsidP="001D7A9F">
            <w:pPr>
              <w:pStyle w:val="Default"/>
              <w:rPr>
                <w:rFonts w:asciiTheme="minorHAnsi" w:hAnsiTheme="minorHAnsi"/>
                <w:sz w:val="20"/>
                <w:szCs w:val="20"/>
              </w:rPr>
            </w:pPr>
            <w:r w:rsidRPr="00410230">
              <w:rPr>
                <w:rFonts w:asciiTheme="minorHAnsi" w:hAnsiTheme="minorHAnsi"/>
                <w:sz w:val="20"/>
                <w:szCs w:val="20"/>
              </w:rPr>
              <w:t xml:space="preserve">Go back to the SMC code screen in the Master Record and delete the SMC code entered for the first decision. </w:t>
            </w:r>
          </w:p>
          <w:p w:rsidR="00911094" w:rsidRPr="00410230" w:rsidRDefault="00911094" w:rsidP="001D7A9F">
            <w:pPr>
              <w:pStyle w:val="Default"/>
              <w:rPr>
                <w:rFonts w:asciiTheme="minorHAnsi" w:hAnsiTheme="minorHAnsi"/>
                <w:sz w:val="20"/>
                <w:szCs w:val="20"/>
              </w:rPr>
            </w:pPr>
            <w:r w:rsidRPr="00410230">
              <w:rPr>
                <w:rFonts w:asciiTheme="minorHAnsi" w:hAnsiTheme="minorHAnsi"/>
                <w:sz w:val="20"/>
                <w:szCs w:val="20"/>
              </w:rPr>
              <w:t xml:space="preserve">Enter the decision for the second SMC grant. </w:t>
            </w:r>
          </w:p>
          <w:p w:rsidR="00911094" w:rsidRPr="00736988" w:rsidRDefault="00911094" w:rsidP="007B58D4">
            <w:pPr>
              <w:pStyle w:val="Header"/>
              <w:widowControl w:val="0"/>
              <w:tabs>
                <w:tab w:val="clear" w:pos="4320"/>
                <w:tab w:val="clear" w:pos="8640"/>
              </w:tabs>
            </w:pPr>
            <w:r w:rsidRPr="00410230">
              <w:rPr>
                <w:rFonts w:asciiTheme="minorHAnsi" w:hAnsiTheme="minorHAnsi"/>
              </w:rPr>
              <w:t>Enter in the correct SMC code for the first and second grant and complete the narrative for the second issue.</w:t>
            </w:r>
            <w:r>
              <w:rPr>
                <w:sz w:val="22"/>
                <w:szCs w:val="22"/>
              </w:rPr>
              <w:t xml:space="preserve"> </w:t>
            </w:r>
          </w:p>
        </w:tc>
      </w:tr>
      <w:tr w:rsidR="00911094" w:rsidTr="00BC2764">
        <w:tc>
          <w:tcPr>
            <w:tcW w:w="2379" w:type="dxa"/>
          </w:tcPr>
          <w:p w:rsidR="00911094" w:rsidRDefault="00911094">
            <w:pPr>
              <w:widowControl w:val="0"/>
            </w:pPr>
            <w:r w:rsidRPr="00957789">
              <w:t>100% Mental Eval</w:t>
            </w:r>
            <w:r w:rsidR="00934EFE">
              <w:t xml:space="preserve"> (or 70% + IU)</w:t>
            </w:r>
          </w:p>
          <w:p w:rsidR="00934EFE" w:rsidRDefault="00934EFE">
            <w:pPr>
              <w:widowControl w:val="0"/>
            </w:pPr>
          </w:p>
          <w:p w:rsidR="00934EFE" w:rsidRPr="00934EFE" w:rsidRDefault="00934EFE" w:rsidP="00934EFE">
            <w:pPr>
              <w:pStyle w:val="NoSpacing"/>
              <w:rPr>
                <w:rFonts w:ascii="Arial" w:hAnsi="Arial"/>
                <w:sz w:val="20"/>
              </w:rPr>
            </w:pPr>
            <w:r>
              <w:rPr>
                <w:rFonts w:ascii="Arial" w:hAnsi="Arial"/>
                <w:b/>
                <w:sz w:val="20"/>
              </w:rPr>
              <w:t>I</w:t>
            </w:r>
            <w:r w:rsidRPr="00D408C1">
              <w:rPr>
                <w:rFonts w:ascii="Arial" w:hAnsi="Arial"/>
                <w:b/>
                <w:sz w:val="20"/>
              </w:rPr>
              <w:t>II.iv.8.A.2</w:t>
            </w:r>
            <w:r>
              <w:rPr>
                <w:rFonts w:ascii="Arial" w:hAnsi="Arial"/>
                <w:b/>
                <w:sz w:val="20"/>
              </w:rPr>
              <w:t>.a</w:t>
            </w:r>
          </w:p>
        </w:tc>
        <w:tc>
          <w:tcPr>
            <w:tcW w:w="8298" w:type="dxa"/>
          </w:tcPr>
          <w:p w:rsidR="00911094" w:rsidRDefault="00911094" w:rsidP="006E6DDC">
            <w:pPr>
              <w:pStyle w:val="NoSpacing"/>
              <w:rPr>
                <w:rFonts w:ascii="Arial" w:hAnsi="Arial"/>
                <w:sz w:val="20"/>
                <w:szCs w:val="20"/>
              </w:rPr>
            </w:pPr>
            <w:r w:rsidRPr="006E501E">
              <w:rPr>
                <w:rFonts w:ascii="Arial" w:hAnsi="Arial"/>
                <w:b/>
                <w:i/>
                <w:sz w:val="20"/>
                <w:szCs w:val="20"/>
              </w:rPr>
              <w:t>April 2014 Compensation Service Bulletin (CSB)</w:t>
            </w:r>
            <w:r w:rsidRPr="006E6DDC">
              <w:rPr>
                <w:rStyle w:val="Hyperlink"/>
                <w:rFonts w:ascii="Arial" w:hAnsi="Arial"/>
                <w:color w:val="auto"/>
                <w:sz w:val="20"/>
                <w:szCs w:val="20"/>
                <w:u w:val="none"/>
              </w:rPr>
              <w:t xml:space="preserve"> – If the veteran is competent, delete the Competency issue and add this</w:t>
            </w:r>
            <w:r>
              <w:rPr>
                <w:rStyle w:val="Hyperlink"/>
                <w:rFonts w:ascii="Arial" w:hAnsi="Arial"/>
                <w:color w:val="auto"/>
                <w:sz w:val="20"/>
                <w:szCs w:val="20"/>
                <w:u w:val="none"/>
              </w:rPr>
              <w:t xml:space="preserve"> to the mental issue</w:t>
            </w:r>
            <w:r w:rsidRPr="006E6DDC">
              <w:rPr>
                <w:rStyle w:val="Hyperlink"/>
                <w:rFonts w:ascii="Arial" w:hAnsi="Arial"/>
                <w:color w:val="auto"/>
                <w:sz w:val="20"/>
                <w:szCs w:val="20"/>
                <w:u w:val="none"/>
              </w:rPr>
              <w:t xml:space="preserve">:  </w:t>
            </w:r>
            <w:r w:rsidRPr="006E6DDC">
              <w:rPr>
                <w:rFonts w:ascii="Arial" w:hAnsi="Arial"/>
                <w:sz w:val="20"/>
                <w:szCs w:val="20"/>
              </w:rPr>
              <w:t>There is no evidence of record that shows that you are unable to manage your financial affairs.</w:t>
            </w:r>
            <w:r>
              <w:rPr>
                <w:rFonts w:ascii="Arial" w:hAnsi="Arial"/>
                <w:sz w:val="20"/>
                <w:szCs w:val="20"/>
              </w:rPr>
              <w:t xml:space="preserve"> </w:t>
            </w:r>
          </w:p>
          <w:p w:rsidR="00911094" w:rsidRDefault="00911094" w:rsidP="006E6DDC">
            <w:pPr>
              <w:pStyle w:val="NoSpacing"/>
              <w:rPr>
                <w:rFonts w:ascii="Arial" w:hAnsi="Arial"/>
                <w:i/>
                <w:sz w:val="20"/>
                <w:szCs w:val="20"/>
              </w:rPr>
            </w:pPr>
          </w:p>
          <w:p w:rsidR="00911094" w:rsidRDefault="00D571C5" w:rsidP="009D64B2">
            <w:pPr>
              <w:tabs>
                <w:tab w:val="left" w:pos="720"/>
              </w:tabs>
              <w:spacing w:after="120"/>
            </w:pPr>
            <w:hyperlink r:id="rId287" w:history="1">
              <w:r w:rsidR="00911094" w:rsidRPr="008E0653">
                <w:rPr>
                  <w:rStyle w:val="Hyperlink"/>
                  <w:b/>
                  <w:i/>
                </w:rPr>
                <w:t xml:space="preserve">May 2014 Rating </w:t>
              </w:r>
              <w:r w:rsidR="00911094">
                <w:rPr>
                  <w:rStyle w:val="Hyperlink"/>
                  <w:b/>
                  <w:i/>
                </w:rPr>
                <w:t>Quality Call Notes</w:t>
              </w:r>
            </w:hyperlink>
            <w:r w:rsidR="00911094" w:rsidRPr="008E0653">
              <w:t xml:space="preserve"> – </w:t>
            </w:r>
            <w:r w:rsidR="00911094">
              <w:t>Competency needs to be considered if mental at 70% &amp; grant IU based on that mental disability.</w:t>
            </w:r>
          </w:p>
          <w:p w:rsidR="00911094" w:rsidRDefault="00911094" w:rsidP="00C50A43">
            <w:pPr>
              <w:tabs>
                <w:tab w:val="left" w:pos="720"/>
              </w:tabs>
            </w:pPr>
            <w:r w:rsidRPr="000721BA">
              <w:t xml:space="preserve">Rating Note:  Per May 2014 Rating Quality Call, Competency was </w:t>
            </w:r>
            <w:r>
              <w:t xml:space="preserve">addressed </w:t>
            </w:r>
            <w:r w:rsidRPr="000721BA">
              <w:t xml:space="preserve">because the mental disability is at 70% and IU is granted based on the mental disability. Per April 2014 </w:t>
            </w:r>
            <w:r>
              <w:t>and October 2014 CSB</w:t>
            </w:r>
            <w:r w:rsidRPr="000721BA">
              <w:t>, Competency is addressed within the mental issue</w:t>
            </w:r>
            <w:r>
              <w:t xml:space="preserve"> (there is no separate issue, so it is not on the codesheet)</w:t>
            </w:r>
            <w:r w:rsidRPr="000721BA">
              <w:t>.</w:t>
            </w:r>
          </w:p>
          <w:p w:rsidR="00911094" w:rsidRDefault="00911094" w:rsidP="00BF014F">
            <w:pPr>
              <w:tabs>
                <w:tab w:val="left" w:pos="720"/>
              </w:tabs>
            </w:pPr>
          </w:p>
          <w:p w:rsidR="00911094" w:rsidRDefault="00911094" w:rsidP="009D64B2">
            <w:pPr>
              <w:pStyle w:val="NoSpacing"/>
              <w:rPr>
                <w:rFonts w:ascii="Arial" w:hAnsi="Arial"/>
                <w:sz w:val="20"/>
              </w:rPr>
            </w:pPr>
            <w:r w:rsidRPr="006E501E">
              <w:rPr>
                <w:rFonts w:ascii="Arial" w:hAnsi="Arial"/>
                <w:b/>
                <w:i/>
                <w:sz w:val="20"/>
              </w:rPr>
              <w:t>October 2014 Compensation Service Bulletin (CSB)</w:t>
            </w:r>
            <w:r w:rsidRPr="00AA1AB8">
              <w:rPr>
                <w:rStyle w:val="Hyperlink"/>
                <w:rFonts w:ascii="Arial" w:hAnsi="Arial"/>
                <w:sz w:val="20"/>
                <w:u w:val="none"/>
              </w:rPr>
              <w:t xml:space="preserve"> – </w:t>
            </w:r>
            <w:r>
              <w:rPr>
                <w:rFonts w:ascii="Arial" w:hAnsi="Arial"/>
                <w:sz w:val="20"/>
              </w:rPr>
              <w:t xml:space="preserve">When a 100 percent evaluation for a mental condition is found warranted, the issue of competency must be addressed. In situations where the Veteran is found competent, address the fact that the Veteran has not been deemed incompetent under the mental condition which relates to the issue of competency. </w:t>
            </w:r>
            <w:r>
              <w:rPr>
                <w:rFonts w:ascii="Verdana" w:hAnsi="Verdana"/>
                <w:b/>
                <w:sz w:val="20"/>
                <w:highlight w:val="green"/>
              </w:rPr>
              <w:t>V</w:t>
            </w:r>
            <w:r w:rsidRPr="007B2503">
              <w:rPr>
                <w:rFonts w:ascii="Verdana" w:hAnsi="Verdana"/>
                <w:b/>
                <w:sz w:val="20"/>
                <w:highlight w:val="green"/>
              </w:rPr>
              <w:t>A_COMPETEN</w:t>
            </w:r>
            <w:r>
              <w:rPr>
                <w:rFonts w:ascii="Verdana" w:hAnsi="Verdana"/>
                <w:b/>
                <w:sz w:val="20"/>
                <w:highlight w:val="green"/>
              </w:rPr>
              <w:t>T</w:t>
            </w:r>
            <w:r>
              <w:rPr>
                <w:rFonts w:ascii="Arial" w:hAnsi="Arial"/>
                <w:sz w:val="20"/>
              </w:rPr>
              <w:t xml:space="preserve"> “There is no evidence of record that shows that you are unable to manage your financial affairs.”</w:t>
            </w:r>
          </w:p>
          <w:p w:rsidR="00934EFE" w:rsidRDefault="00934EFE" w:rsidP="000721BA">
            <w:pPr>
              <w:tabs>
                <w:tab w:val="left" w:pos="720"/>
              </w:tabs>
              <w:rPr>
                <w:i/>
              </w:rPr>
            </w:pPr>
          </w:p>
          <w:p w:rsidR="00911094" w:rsidRDefault="00DE2BD0" w:rsidP="000721BA">
            <w:pPr>
              <w:tabs>
                <w:tab w:val="left" w:pos="720"/>
              </w:tabs>
              <w:rPr>
                <w:i/>
              </w:rPr>
            </w:pPr>
            <w:r>
              <w:rPr>
                <w:i/>
              </w:rPr>
              <w:t xml:space="preserve">Per QRT/Carlos Rosario, don’t need to put it </w:t>
            </w:r>
            <w:r w:rsidR="00911094" w:rsidRPr="00CA51D3">
              <w:rPr>
                <w:i/>
              </w:rPr>
              <w:t>on the codesheet.</w:t>
            </w:r>
          </w:p>
          <w:p w:rsidR="00911094" w:rsidRDefault="00911094" w:rsidP="000721BA">
            <w:pPr>
              <w:tabs>
                <w:tab w:val="left" w:pos="720"/>
              </w:tabs>
              <w:rPr>
                <w:iCs/>
              </w:rPr>
            </w:pPr>
            <w:r>
              <w:rPr>
                <w:iCs/>
              </w:rPr>
              <w:t xml:space="preserve">per VA Pulse, </w:t>
            </w:r>
            <w:r w:rsidRPr="006E501E">
              <w:rPr>
                <w:i/>
                <w:iCs/>
              </w:rPr>
              <w:t>https://www.vapulse.net/message/21285</w:t>
            </w:r>
            <w:r>
              <w:rPr>
                <w:iCs/>
              </w:rPr>
              <w:t>, no procedural requirement to backfill</w:t>
            </w:r>
          </w:p>
          <w:p w:rsidR="00911094" w:rsidRDefault="00911094" w:rsidP="00F51EAE">
            <w:pPr>
              <w:tabs>
                <w:tab w:val="left" w:pos="720"/>
              </w:tabs>
              <w:rPr>
                <w:i/>
                <w:iCs/>
              </w:rPr>
            </w:pPr>
          </w:p>
          <w:p w:rsidR="00911094" w:rsidRDefault="00911094" w:rsidP="00F51EAE">
            <w:pPr>
              <w:tabs>
                <w:tab w:val="left" w:pos="720"/>
              </w:tabs>
              <w:rPr>
                <w:rStyle w:val="Emphasis"/>
              </w:rPr>
            </w:pPr>
            <w:r w:rsidRPr="00673BB5">
              <w:rPr>
                <w:b/>
                <w:i/>
              </w:rPr>
              <w:t>December 2015 Compensation Service Bulletin (CSB)</w:t>
            </w:r>
            <w:r w:rsidRPr="00673BB5">
              <w:t xml:space="preserve"> – The issue statement on the rating decision could be worded as follows: </w:t>
            </w:r>
            <w:r w:rsidRPr="00673BB5">
              <w:rPr>
                <w:rStyle w:val="Emphasis"/>
              </w:rPr>
              <w:t>“1. Evaluation of psychotic disorder currently evaluated as 30 percent disabling; Competency to handle disbursement of funds.”</w:t>
            </w:r>
          </w:p>
          <w:p w:rsidR="00911094" w:rsidRDefault="00911094" w:rsidP="00F51EAE">
            <w:pPr>
              <w:tabs>
                <w:tab w:val="left" w:pos="720"/>
              </w:tabs>
              <w:rPr>
                <w:rStyle w:val="Emphasis"/>
              </w:rPr>
            </w:pPr>
          </w:p>
          <w:p w:rsidR="00911094" w:rsidRDefault="00C551BE" w:rsidP="00F51EAE">
            <w:pPr>
              <w:tabs>
                <w:tab w:val="left" w:pos="720"/>
              </w:tabs>
              <w:rPr>
                <w:rStyle w:val="Emphasis"/>
              </w:rPr>
            </w:pPr>
            <w:r>
              <w:rPr>
                <w:rFonts w:ascii="Verdana" w:hAnsi="Verdana"/>
                <w:b/>
                <w:highlight w:val="green"/>
              </w:rPr>
              <w:t>VBMS-R System-Generated Text</w:t>
            </w:r>
            <w:r w:rsidR="00911094" w:rsidRPr="0099386D">
              <w:rPr>
                <w:rStyle w:val="Emphasis"/>
              </w:rPr>
              <w:t xml:space="preserve"> </w:t>
            </w:r>
          </w:p>
          <w:p w:rsidR="00911094" w:rsidRDefault="00911094" w:rsidP="00F51EAE">
            <w:pPr>
              <w:tabs>
                <w:tab w:val="left" w:pos="720"/>
              </w:tabs>
              <w:rPr>
                <w:rStyle w:val="Emphasis"/>
                <w:i w:val="0"/>
              </w:rPr>
            </w:pPr>
            <w:r w:rsidRPr="0099386D">
              <w:rPr>
                <w:rStyle w:val="Emphasis"/>
              </w:rPr>
              <w:t>Issue:</w:t>
            </w:r>
            <w:r>
              <w:rPr>
                <w:rStyle w:val="Emphasis"/>
                <w:i w:val="0"/>
              </w:rPr>
              <w:t xml:space="preserve">  </w:t>
            </w:r>
            <w:r w:rsidRPr="0099386D">
              <w:rPr>
                <w:rStyle w:val="Emphasis"/>
                <w:i w:val="0"/>
              </w:rPr>
              <w:t>Competency to handle disbursement of funds.</w:t>
            </w:r>
          </w:p>
          <w:p w:rsidR="00911094" w:rsidRPr="00673BB5" w:rsidRDefault="00911094" w:rsidP="00F51EAE">
            <w:pPr>
              <w:tabs>
                <w:tab w:val="left" w:pos="720"/>
              </w:tabs>
              <w:rPr>
                <w:rStyle w:val="Emphasis"/>
                <w:i w:val="0"/>
              </w:rPr>
            </w:pPr>
            <w:r w:rsidRPr="0099386D">
              <w:rPr>
                <w:rStyle w:val="Emphasis"/>
              </w:rPr>
              <w:t>Decision:</w:t>
            </w:r>
            <w:r w:rsidRPr="00673BB5">
              <w:rPr>
                <w:rStyle w:val="Emphasis"/>
                <w:i w:val="0"/>
              </w:rPr>
              <w:t xml:space="preserve">  The claimant is considered competent.</w:t>
            </w:r>
          </w:p>
          <w:p w:rsidR="00911094" w:rsidRPr="00673BB5" w:rsidRDefault="00911094" w:rsidP="00F51EAE">
            <w:pPr>
              <w:tabs>
                <w:tab w:val="left" w:pos="720"/>
              </w:tabs>
              <w:rPr>
                <w:i/>
              </w:rPr>
            </w:pPr>
            <w:r w:rsidRPr="0099386D">
              <w:rPr>
                <w:rStyle w:val="Emphasis"/>
              </w:rPr>
              <w:t>Generated Text:</w:t>
            </w:r>
            <w:r w:rsidRPr="00673BB5">
              <w:rPr>
                <w:rStyle w:val="Emphasis"/>
                <w:i w:val="0"/>
              </w:rPr>
              <w:t xml:space="preserve">  Since the claimant in this case is not shown as unable to manage personal affairs, we have determined that the claimant is competent for VA purposes.</w:t>
            </w:r>
          </w:p>
        </w:tc>
      </w:tr>
      <w:tr w:rsidR="00911094" w:rsidTr="00BC2764">
        <w:tc>
          <w:tcPr>
            <w:tcW w:w="2379" w:type="dxa"/>
          </w:tcPr>
          <w:p w:rsidR="00911094" w:rsidRDefault="00911094">
            <w:pPr>
              <w:widowControl w:val="0"/>
            </w:pPr>
            <w:bookmarkStart w:id="61" w:name="Improve"/>
            <w:r>
              <w:t xml:space="preserve">Improvement, but at that % more than five years, so need routine future exam / RFE </w:t>
            </w:r>
            <w:bookmarkEnd w:id="61"/>
            <w:r w:rsidR="00723390">
              <w:t>in 18/24/30 months</w:t>
            </w:r>
          </w:p>
          <w:p w:rsidR="00D66F32" w:rsidRDefault="00D66F32">
            <w:pPr>
              <w:widowControl w:val="0"/>
            </w:pPr>
          </w:p>
          <w:p w:rsidR="00911094" w:rsidRDefault="00911094">
            <w:pPr>
              <w:widowControl w:val="0"/>
              <w:rPr>
                <w:i/>
                <w:iCs/>
              </w:rPr>
            </w:pPr>
            <w:r>
              <w:rPr>
                <w:i/>
                <w:iCs/>
              </w:rPr>
              <w:t>OR</w:t>
            </w:r>
          </w:p>
          <w:p w:rsidR="00911094" w:rsidRDefault="00911094">
            <w:pPr>
              <w:widowControl w:val="0"/>
            </w:pPr>
          </w:p>
          <w:p w:rsidR="00911094" w:rsidRDefault="00911094">
            <w:pPr>
              <w:widowControl w:val="0"/>
            </w:pPr>
            <w:r>
              <w:t>Improvement, but</w:t>
            </w:r>
            <w:r>
              <w:rPr>
                <w:b/>
                <w:bCs/>
              </w:rPr>
              <w:t xml:space="preserve"> </w:t>
            </w:r>
            <w:r>
              <w:t xml:space="preserve">no future because over 55 </w:t>
            </w:r>
            <w:r>
              <w:rPr>
                <w:b/>
                <w:bCs/>
              </w:rPr>
              <w:t xml:space="preserve">or </w:t>
            </w:r>
            <w:r>
              <w:t>combined won’t change</w:t>
            </w:r>
          </w:p>
          <w:p w:rsidR="00911094" w:rsidRDefault="00911094">
            <w:pPr>
              <w:widowControl w:val="0"/>
              <w:rPr>
                <w:i/>
                <w:iCs/>
                <w:smallCaps/>
                <w:sz w:val="18"/>
                <w:szCs w:val="24"/>
              </w:rPr>
            </w:pPr>
          </w:p>
          <w:p w:rsidR="00911094" w:rsidRDefault="00911094">
            <w:pPr>
              <w:widowControl w:val="0"/>
              <w:rPr>
                <w:i/>
                <w:iCs/>
                <w:smallCaps/>
                <w:sz w:val="18"/>
                <w:szCs w:val="24"/>
              </w:rPr>
            </w:pPr>
          </w:p>
          <w:p w:rsidR="00911094" w:rsidRDefault="00911094">
            <w:pPr>
              <w:widowControl w:val="0"/>
              <w:rPr>
                <w:i/>
                <w:iCs/>
                <w:smallCaps/>
                <w:sz w:val="18"/>
                <w:szCs w:val="24"/>
              </w:rPr>
            </w:pPr>
          </w:p>
          <w:p w:rsidR="00911094" w:rsidRDefault="00911094" w:rsidP="00AC1C96">
            <w:pPr>
              <w:pStyle w:val="Header"/>
              <w:widowControl w:val="0"/>
              <w:tabs>
                <w:tab w:val="clear" w:pos="4320"/>
                <w:tab w:val="clear" w:pos="8640"/>
              </w:tabs>
              <w:rPr>
                <w:i/>
              </w:rPr>
            </w:pPr>
            <w:r w:rsidRPr="00BF1E67">
              <w:rPr>
                <w:i/>
              </w:rPr>
              <w:t xml:space="preserve">*August 2014 EB training said do not use EB for C&amp;Cs, go directly to the </w:t>
            </w:r>
            <w:r w:rsidRPr="00BF1E67">
              <w:rPr>
                <w:bCs/>
                <w:i/>
              </w:rPr>
              <w:t xml:space="preserve">Disability Decision Information (DDI) </w:t>
            </w:r>
            <w:r w:rsidR="008133EF" w:rsidRPr="00BF1E67">
              <w:rPr>
                <w:bCs/>
                <w:i/>
              </w:rPr>
              <w:t>– manual entry</w:t>
            </w:r>
            <w:r w:rsidRPr="00BF1E67">
              <w:rPr>
                <w:bCs/>
                <w:i/>
              </w:rPr>
              <w:t xml:space="preserve"> </w:t>
            </w:r>
            <w:r w:rsidRPr="00BF1E67">
              <w:rPr>
                <w:i/>
              </w:rPr>
              <w:t>screen.</w:t>
            </w:r>
          </w:p>
          <w:p w:rsidR="00BE4C8A" w:rsidRDefault="00BE4C8A" w:rsidP="00AC1C96">
            <w:pPr>
              <w:pStyle w:val="Header"/>
              <w:widowControl w:val="0"/>
              <w:tabs>
                <w:tab w:val="clear" w:pos="4320"/>
                <w:tab w:val="clear" w:pos="8640"/>
              </w:tabs>
              <w:rPr>
                <w:i/>
              </w:rPr>
            </w:pPr>
          </w:p>
          <w:p w:rsidR="00BE4C8A" w:rsidRPr="00AC1C96" w:rsidRDefault="00BE4C8A" w:rsidP="00AC1C96">
            <w:pPr>
              <w:pStyle w:val="Header"/>
              <w:widowControl w:val="0"/>
              <w:tabs>
                <w:tab w:val="clear" w:pos="4320"/>
                <w:tab w:val="clear" w:pos="8640"/>
              </w:tabs>
              <w:rPr>
                <w:i/>
              </w:rPr>
            </w:pPr>
            <w:r>
              <w:rPr>
                <w:i/>
              </w:rPr>
              <w:t>*Unclear if you have to change the language or if you can just leave it as generated by the system.</w:t>
            </w:r>
          </w:p>
        </w:tc>
        <w:tc>
          <w:tcPr>
            <w:tcW w:w="8298" w:type="dxa"/>
          </w:tcPr>
          <w:p w:rsidR="00911094" w:rsidRDefault="00911094" w:rsidP="00AC1C96">
            <w:pPr>
              <w:widowControl w:val="0"/>
              <w:tabs>
                <w:tab w:val="left" w:pos="0"/>
                <w:tab w:val="left" w:pos="144"/>
              </w:tabs>
              <w:rPr>
                <w:i/>
              </w:rPr>
            </w:pPr>
            <w:r>
              <w:rPr>
                <w:i/>
              </w:rPr>
              <w:t>Choose Confirm &amp; Continue Evaluation with Improvement</w:t>
            </w:r>
          </w:p>
          <w:p w:rsidR="00911094" w:rsidRDefault="00911094" w:rsidP="00AC1C96">
            <w:pPr>
              <w:widowControl w:val="0"/>
              <w:tabs>
                <w:tab w:val="left" w:pos="0"/>
                <w:tab w:val="left" w:pos="144"/>
              </w:tabs>
              <w:rPr>
                <w:i/>
              </w:rPr>
            </w:pPr>
          </w:p>
          <w:p w:rsidR="00911094" w:rsidRPr="00CC092B" w:rsidRDefault="00911094" w:rsidP="00AC1C96">
            <w:pPr>
              <w:widowControl w:val="0"/>
              <w:tabs>
                <w:tab w:val="left" w:pos="0"/>
                <w:tab w:val="left" w:pos="144"/>
              </w:tabs>
              <w:rPr>
                <w:i/>
              </w:rPr>
            </w:pPr>
            <w:r w:rsidRPr="0031253C">
              <w:rPr>
                <w:i/>
              </w:rPr>
              <w:t>Issue:</w:t>
            </w:r>
            <w:r w:rsidRPr="0031253C">
              <w:t xml:space="preserve">  Evaluation of {} currently evaluated as {} percent disabling.</w:t>
            </w:r>
          </w:p>
          <w:p w:rsidR="00911094" w:rsidRPr="0031253C" w:rsidRDefault="00911094" w:rsidP="00AC1C96">
            <w:pPr>
              <w:widowControl w:val="0"/>
              <w:tabs>
                <w:tab w:val="left" w:pos="0"/>
                <w:tab w:val="left" w:pos="144"/>
              </w:tabs>
              <w:rPr>
                <w:i/>
              </w:rPr>
            </w:pPr>
          </w:p>
          <w:p w:rsidR="00911094" w:rsidRPr="0031253C" w:rsidRDefault="00911094" w:rsidP="00AC1C96">
            <w:pPr>
              <w:widowControl w:val="0"/>
              <w:tabs>
                <w:tab w:val="left" w:pos="0"/>
                <w:tab w:val="left" w:pos="144"/>
              </w:tabs>
            </w:pPr>
            <w:r w:rsidRPr="0031253C">
              <w:rPr>
                <w:i/>
              </w:rPr>
              <w:t>Decision:</w:t>
            </w:r>
            <w:r w:rsidRPr="0031253C">
              <w:t xml:space="preserve">  Evaluation of {}, which is currently {} percent disabling, is continued. </w:t>
            </w:r>
          </w:p>
          <w:p w:rsidR="00911094" w:rsidRPr="0031253C" w:rsidRDefault="00911094" w:rsidP="00AC1C96">
            <w:pPr>
              <w:widowControl w:val="0"/>
              <w:tabs>
                <w:tab w:val="left" w:pos="0"/>
                <w:tab w:val="left" w:pos="144"/>
              </w:tabs>
            </w:pPr>
          </w:p>
          <w:p w:rsidR="00911094" w:rsidRDefault="00911094" w:rsidP="00AC1C96">
            <w:pPr>
              <w:widowControl w:val="0"/>
              <w:rPr>
                <w:i/>
              </w:rPr>
            </w:pPr>
            <w:r w:rsidRPr="0031253C">
              <w:rPr>
                <w:i/>
              </w:rPr>
              <w:t xml:space="preserve">Reasons for Decision:  </w:t>
            </w:r>
          </w:p>
          <w:p w:rsidR="00911094" w:rsidRDefault="00911094" w:rsidP="00AC1C96">
            <w:pPr>
              <w:widowControl w:val="0"/>
              <w:rPr>
                <w:i/>
              </w:rPr>
            </w:pPr>
            <w:r>
              <w:t>The e</w:t>
            </w:r>
            <w:r w:rsidRPr="0031253C">
              <w:t>valuation of {}, which is currently {} percent disabling, is continued.</w:t>
            </w:r>
          </w:p>
          <w:p w:rsidR="00911094" w:rsidRDefault="00C551BE" w:rsidP="00AC1C96">
            <w:pPr>
              <w:widowControl w:val="0"/>
            </w:pPr>
            <w:r>
              <w:rPr>
                <w:rFonts w:ascii="Verdana" w:hAnsi="Verdana"/>
                <w:b/>
                <w:highlight w:val="green"/>
              </w:rPr>
              <w:t>VBMS-R System-Generated Text</w:t>
            </w:r>
            <w:r w:rsidR="00911094" w:rsidRPr="0099386D">
              <w:rPr>
                <w:rFonts w:ascii="Verdana" w:hAnsi="Verdana"/>
                <w:b/>
              </w:rPr>
              <w:t>:</w:t>
            </w:r>
            <w:r w:rsidR="00911094">
              <w:rPr>
                <w:rFonts w:ascii="Verdana" w:hAnsi="Verdana"/>
                <w:b/>
                <w:i/>
              </w:rPr>
              <w:t xml:space="preserve">  </w:t>
            </w:r>
            <w:r w:rsidR="00911094" w:rsidRPr="00AC1C96">
              <w:t>Although recent evidence shows some improvement in the condition, sustained improvement has not been definitively established.</w:t>
            </w:r>
            <w:r w:rsidR="00911094">
              <w:t xml:space="preserve"> </w:t>
            </w:r>
          </w:p>
          <w:p w:rsidR="00911094" w:rsidRPr="00F67DDA" w:rsidRDefault="00911094" w:rsidP="00AC1C96">
            <w:pPr>
              <w:widowControl w:val="0"/>
              <w:rPr>
                <w:i/>
                <w:iCs/>
                <w:sz w:val="16"/>
              </w:rPr>
            </w:pPr>
            <w:r>
              <w:rPr>
                <w:rFonts w:ascii="Verdana" w:hAnsi="Verdana"/>
                <w:b/>
                <w:bCs/>
                <w:highlight w:val="green"/>
              </w:rPr>
              <w:t>SUST</w:t>
            </w:r>
          </w:p>
          <w:p w:rsidR="00911094" w:rsidRPr="00FF1962" w:rsidRDefault="00911094" w:rsidP="00AC1C96">
            <w:pPr>
              <w:pStyle w:val="Header"/>
              <w:widowControl w:val="0"/>
              <w:tabs>
                <w:tab w:val="clear" w:pos="4320"/>
                <w:tab w:val="clear" w:pos="8640"/>
              </w:tabs>
              <w:rPr>
                <w:rFonts w:ascii="Verdana" w:hAnsi="Verdana"/>
                <w:b/>
                <w:highlight w:val="green"/>
              </w:rPr>
            </w:pPr>
            <w:r>
              <w:rPr>
                <w:rFonts w:ascii="Verdana" w:hAnsi="Verdana"/>
                <w:b/>
                <w:bCs/>
                <w:highlight w:val="green"/>
              </w:rPr>
              <w:t>CCEVAL</w:t>
            </w:r>
          </w:p>
          <w:p w:rsidR="00911094" w:rsidRPr="0031253C" w:rsidRDefault="00911094" w:rsidP="00AC1C96">
            <w:pPr>
              <w:widowControl w:val="0"/>
              <w:tabs>
                <w:tab w:val="left" w:pos="0"/>
                <w:tab w:val="left" w:pos="144"/>
              </w:tabs>
              <w:rPr>
                <w:i/>
              </w:rPr>
            </w:pPr>
          </w:p>
          <w:p w:rsidR="00911094" w:rsidRDefault="00911094" w:rsidP="00AC1C96">
            <w:pPr>
              <w:pStyle w:val="Header"/>
              <w:widowControl w:val="0"/>
              <w:tabs>
                <w:tab w:val="clear" w:pos="4320"/>
                <w:tab w:val="clear" w:pos="8640"/>
              </w:tabs>
            </w:pPr>
            <w:r w:rsidRPr="0024360E">
              <w:t>The current evidence shows only a {noncompensable/10/20 percent} evaluation is warranted based on:</w:t>
            </w:r>
            <w:r>
              <w:t xml:space="preserve"> </w:t>
            </w:r>
            <w:r w:rsidRPr="0024360E">
              <w:t xml:space="preserve"> (add </w:t>
            </w:r>
            <w:r>
              <w:t>VEB/L</w:t>
            </w:r>
            <w:r w:rsidRPr="0024360E">
              <w:t>EB info)</w:t>
            </w:r>
          </w:p>
          <w:p w:rsidR="00911094" w:rsidRPr="0024360E" w:rsidRDefault="00911094" w:rsidP="00AC1C96">
            <w:pPr>
              <w:pStyle w:val="Header"/>
              <w:widowControl w:val="0"/>
              <w:tabs>
                <w:tab w:val="clear" w:pos="4320"/>
                <w:tab w:val="clear" w:pos="8640"/>
              </w:tabs>
            </w:pPr>
          </w:p>
          <w:p w:rsidR="00911094" w:rsidRDefault="00911094" w:rsidP="00AC1C96">
            <w:pPr>
              <w:pStyle w:val="Header"/>
              <w:widowControl w:val="0"/>
              <w:tabs>
                <w:tab w:val="clear" w:pos="4320"/>
                <w:tab w:val="clear" w:pos="8640"/>
              </w:tabs>
            </w:pPr>
            <w:r w:rsidRPr="0024360E">
              <w:t xml:space="preserve">An evaluation of {the current eval} percent is assigned if </w:t>
            </w:r>
            <w:r>
              <w:t>the evidence shows</w:t>
            </w:r>
            <w:r w:rsidRPr="0024360E">
              <w:t>:</w:t>
            </w:r>
            <w:r>
              <w:t xml:space="preserve">  (</w:t>
            </w:r>
            <w:r w:rsidR="009A3EE1" w:rsidRPr="0024360E">
              <w:t xml:space="preserve">add </w:t>
            </w:r>
            <w:r w:rsidR="009A3EE1">
              <w:t>VEB/L</w:t>
            </w:r>
            <w:r w:rsidR="009A3EE1" w:rsidRPr="0024360E">
              <w:t>EB info</w:t>
            </w:r>
            <w:r w:rsidR="009A3EE1">
              <w:t xml:space="preserve">; or </w:t>
            </w:r>
            <w:r>
              <w:t>text from “Alternative Text Builder” if needed)</w:t>
            </w:r>
          </w:p>
          <w:p w:rsidR="00911094" w:rsidRPr="0024360E" w:rsidRDefault="00911094" w:rsidP="00AC1C96">
            <w:pPr>
              <w:pStyle w:val="Header"/>
              <w:widowControl w:val="0"/>
              <w:tabs>
                <w:tab w:val="clear" w:pos="4320"/>
                <w:tab w:val="clear" w:pos="8640"/>
              </w:tabs>
            </w:pPr>
          </w:p>
          <w:p w:rsidR="00911094" w:rsidRDefault="00911094" w:rsidP="00AC1C96">
            <w:pPr>
              <w:pStyle w:val="Header"/>
              <w:widowControl w:val="0"/>
              <w:tabs>
                <w:tab w:val="clear" w:pos="4320"/>
                <w:tab w:val="clear" w:pos="8640"/>
              </w:tabs>
            </w:pPr>
            <w:r w:rsidRPr="0099386D">
              <w:rPr>
                <w:rFonts w:ascii="Verdana" w:hAnsi="Verdana"/>
                <w:b/>
                <w:highlight w:val="green"/>
              </w:rPr>
              <w:t>U</w:t>
            </w:r>
            <w:r>
              <w:rPr>
                <w:rFonts w:ascii="Verdana" w:hAnsi="Verdana"/>
                <w:b/>
                <w:highlight w:val="green"/>
              </w:rPr>
              <w:t>SE</w:t>
            </w:r>
            <w:r w:rsidRPr="0099386D">
              <w:rPr>
                <w:rFonts w:ascii="Verdana" w:hAnsi="Verdana"/>
                <w:b/>
                <w:highlight w:val="green"/>
              </w:rPr>
              <w:t xml:space="preserve"> </w:t>
            </w:r>
            <w:r w:rsidR="00C551BE">
              <w:rPr>
                <w:rFonts w:ascii="Verdana" w:hAnsi="Verdana"/>
                <w:b/>
                <w:highlight w:val="green"/>
              </w:rPr>
              <w:t>VBMS-R System-Generated Text</w:t>
            </w:r>
            <w:r w:rsidRPr="0024360E">
              <w:t xml:space="preserve"> </w:t>
            </w:r>
            <w:r>
              <w:t xml:space="preserve">or </w:t>
            </w:r>
            <w:r w:rsidRPr="0024360E">
              <w:t xml:space="preserve">A higher evaluation of </w:t>
            </w:r>
            <w:r>
              <w:t>{}</w:t>
            </w:r>
            <w:r w:rsidRPr="0024360E">
              <w:t xml:space="preserve"> percent is not warranted unless </w:t>
            </w:r>
            <w:r>
              <w:t>there is…</w:t>
            </w:r>
          </w:p>
          <w:p w:rsidR="00911094" w:rsidRPr="00072754" w:rsidRDefault="00911094" w:rsidP="00AC1C96">
            <w:pPr>
              <w:pStyle w:val="Header"/>
              <w:widowControl w:val="0"/>
              <w:tabs>
                <w:tab w:val="clear" w:pos="4320"/>
                <w:tab w:val="clear" w:pos="8640"/>
              </w:tabs>
              <w:ind w:left="360"/>
            </w:pPr>
          </w:p>
          <w:p w:rsidR="00911094" w:rsidRPr="00F67DDA" w:rsidRDefault="00D571C5" w:rsidP="00AC1C96">
            <w:pPr>
              <w:pStyle w:val="Header"/>
              <w:widowControl w:val="0"/>
              <w:tabs>
                <w:tab w:val="clear" w:pos="4320"/>
                <w:tab w:val="clear" w:pos="8640"/>
              </w:tabs>
            </w:pPr>
            <w:hyperlink r:id="rId288" w:history="1">
              <w:r w:rsidR="00911094">
                <w:rPr>
                  <w:rFonts w:ascii="Verdana" w:hAnsi="Verdana"/>
                  <w:b/>
                  <w:bCs/>
                  <w:highlight w:val="green"/>
                </w:rPr>
                <w:t>CC5YR</w:t>
              </w:r>
            </w:hyperlink>
            <w:r w:rsidR="00911094">
              <w:rPr>
                <w:rFonts w:ascii="Helvetica" w:hAnsi="Helvetica"/>
              </w:rPr>
              <w:t xml:space="preserve"> [do exam in 18, 24 or 30 months</w:t>
            </w:r>
            <w:r w:rsidR="007F248F">
              <w:rPr>
                <w:rFonts w:ascii="Helvetica" w:hAnsi="Helvetica"/>
              </w:rPr>
              <w:t xml:space="preserve"> from the date of the rating</w:t>
            </w:r>
            <w:r w:rsidR="00911094">
              <w:rPr>
                <w:rFonts w:ascii="Helvetica" w:hAnsi="Helvetica"/>
              </w:rPr>
              <w:t xml:space="preserve">] </w:t>
            </w:r>
          </w:p>
          <w:p w:rsidR="00911094" w:rsidRDefault="00911094" w:rsidP="00AC1C96">
            <w:pPr>
              <w:pStyle w:val="Header"/>
              <w:widowControl w:val="0"/>
              <w:tabs>
                <w:tab w:val="clear" w:pos="4320"/>
                <w:tab w:val="clear" w:pos="8640"/>
              </w:tabs>
            </w:pPr>
          </w:p>
          <w:p w:rsidR="00911094" w:rsidRDefault="00911094" w:rsidP="00AC1C96">
            <w:pPr>
              <w:pStyle w:val="Header"/>
              <w:widowControl w:val="0"/>
              <w:tabs>
                <w:tab w:val="clear" w:pos="4320"/>
                <w:tab w:val="clear" w:pos="8640"/>
              </w:tabs>
            </w:pPr>
          </w:p>
          <w:p w:rsidR="00911094" w:rsidRPr="00BE0EE2" w:rsidRDefault="00911094" w:rsidP="00AC1C96">
            <w:pPr>
              <w:pStyle w:val="Header"/>
              <w:widowControl w:val="0"/>
              <w:tabs>
                <w:tab w:val="clear" w:pos="4320"/>
                <w:tab w:val="clear" w:pos="8640"/>
              </w:tabs>
              <w:rPr>
                <w:i/>
              </w:rPr>
            </w:pPr>
            <w:r w:rsidRPr="00BE0EE2">
              <w:rPr>
                <w:i/>
              </w:rPr>
              <w:t xml:space="preserve">Other useful </w:t>
            </w:r>
            <w:r>
              <w:rPr>
                <w:i/>
              </w:rPr>
              <w:t xml:space="preserve">routine </w:t>
            </w:r>
            <w:r w:rsidRPr="00BE0EE2">
              <w:rPr>
                <w:i/>
              </w:rPr>
              <w:t>future exam</w:t>
            </w:r>
            <w:r>
              <w:rPr>
                <w:i/>
              </w:rPr>
              <w:t xml:space="preserve"> / RFE</w:t>
            </w:r>
            <w:r w:rsidRPr="00BE0EE2">
              <w:rPr>
                <w:i/>
              </w:rPr>
              <w:t xml:space="preserve"> language:</w:t>
            </w:r>
          </w:p>
          <w:p w:rsidR="00911094" w:rsidRDefault="00911094" w:rsidP="00AC1C96">
            <w:pPr>
              <w:widowControl w:val="0"/>
              <w:rPr>
                <w:highlight w:val="lightGray"/>
              </w:rPr>
            </w:pPr>
            <w:r w:rsidRPr="00BE0EE2">
              <w:t>Rating Note:  Future exam in three years due to watchful waiting status.</w:t>
            </w:r>
          </w:p>
          <w:p w:rsidR="00911094" w:rsidRDefault="00911094">
            <w:pPr>
              <w:widowControl w:val="0"/>
              <w:rPr>
                <w:highlight w:val="lightGray"/>
              </w:rPr>
            </w:pPr>
          </w:p>
          <w:p w:rsidR="00911094" w:rsidRPr="00445837" w:rsidRDefault="00911094">
            <w:pPr>
              <w:widowControl w:val="0"/>
              <w:rPr>
                <w:i/>
                <w:iCs/>
              </w:rPr>
            </w:pPr>
            <w:r w:rsidRPr="00445837">
              <w:rPr>
                <w:i/>
                <w:iCs/>
              </w:rPr>
              <w:t>OR</w:t>
            </w:r>
          </w:p>
          <w:p w:rsidR="00911094" w:rsidRPr="00445837" w:rsidRDefault="00911094">
            <w:pPr>
              <w:pStyle w:val="Header"/>
              <w:widowControl w:val="0"/>
              <w:tabs>
                <w:tab w:val="clear" w:pos="4320"/>
                <w:tab w:val="clear" w:pos="8640"/>
              </w:tabs>
            </w:pPr>
          </w:p>
          <w:p w:rsidR="00911094" w:rsidRPr="00EE602C" w:rsidRDefault="00911094" w:rsidP="00F30F16">
            <w:r>
              <w:t>Rating Note:  {} is c</w:t>
            </w:r>
            <w:r w:rsidRPr="00445837">
              <w:t>ontinued with improvement but no future review examination since (1) the Veteran is over 55 years of age (and there are no unusual circumstances involved in the case), and/OR (2) the combined evaluation would not change even if the reexamination re</w:t>
            </w:r>
            <w:r w:rsidR="00EE602C">
              <w:t>sulted in a</w:t>
            </w:r>
            <w:r w:rsidR="00F30F16">
              <w:t xml:space="preserve"> reduced evaluation, and/OR (3)</w:t>
            </w:r>
            <w:r w:rsidR="00EE602C">
              <w:rPr>
                <w:bCs/>
              </w:rPr>
              <w:t xml:space="preserve"> the evaluation is 10 percent or less, per</w:t>
            </w:r>
            <w:r w:rsidR="00663371">
              <w:rPr>
                <w:b/>
                <w:bCs/>
              </w:rPr>
              <w:t xml:space="preserve"> III.iv.3.B.2.d</w:t>
            </w:r>
            <w:r w:rsidR="00EE602C">
              <w:rPr>
                <w:bCs/>
              </w:rPr>
              <w:t>.</w:t>
            </w:r>
          </w:p>
        </w:tc>
      </w:tr>
      <w:tr w:rsidR="00911094" w:rsidTr="00BC2764">
        <w:tc>
          <w:tcPr>
            <w:tcW w:w="2379" w:type="dxa"/>
          </w:tcPr>
          <w:p w:rsidR="00911094" w:rsidRDefault="00911094">
            <w:pPr>
              <w:widowControl w:val="0"/>
            </w:pPr>
            <w:r>
              <w:t>Protected evaluation, 20+ years</w:t>
            </w:r>
          </w:p>
        </w:tc>
        <w:tc>
          <w:tcPr>
            <w:tcW w:w="8298" w:type="dxa"/>
          </w:tcPr>
          <w:p w:rsidR="00911094" w:rsidRPr="001D615F" w:rsidRDefault="00BE4C8A" w:rsidP="00F063AF">
            <w:pPr>
              <w:pStyle w:val="ListParagraph"/>
              <w:numPr>
                <w:ilvl w:val="0"/>
                <w:numId w:val="407"/>
              </w:numPr>
              <w:spacing w:after="0" w:line="240" w:lineRule="auto"/>
            </w:pPr>
            <w:r w:rsidRPr="00BE4C8A">
              <w:rPr>
                <w:rFonts w:ascii="Verdana" w:hAnsi="Verdana"/>
                <w:b/>
                <w:bCs/>
                <w:highlight w:val="green"/>
              </w:rPr>
              <w:t>PR2</w:t>
            </w:r>
            <w:r w:rsidRPr="00BE4C8A">
              <w:rPr>
                <w:rFonts w:ascii="Verdana" w:hAnsi="Verdana"/>
                <w:b/>
                <w:bCs/>
              </w:rPr>
              <w:t xml:space="preserve"> </w:t>
            </w:r>
            <w:r w:rsidRPr="00BE4C8A">
              <w:rPr>
                <w:rFonts w:ascii="Verdana" w:hAnsi="Verdana"/>
                <w:b/>
                <w:highlight w:val="green"/>
              </w:rPr>
              <w:t xml:space="preserve">**Similar to </w:t>
            </w:r>
            <w:r w:rsidR="00C551BE">
              <w:rPr>
                <w:rFonts w:ascii="Verdana" w:hAnsi="Verdana"/>
                <w:b/>
                <w:highlight w:val="green"/>
              </w:rPr>
              <w:t>VBMS-R System-Generated Text</w:t>
            </w:r>
          </w:p>
          <w:p w:rsidR="00911094" w:rsidRDefault="00911094" w:rsidP="00F063AF">
            <w:pPr>
              <w:pStyle w:val="Header"/>
              <w:widowControl w:val="0"/>
              <w:numPr>
                <w:ilvl w:val="0"/>
                <w:numId w:val="123"/>
              </w:numPr>
              <w:tabs>
                <w:tab w:val="clear" w:pos="4320"/>
                <w:tab w:val="clear" w:pos="8640"/>
              </w:tabs>
            </w:pPr>
            <w:r>
              <w:rPr>
                <w:rFonts w:ascii="Verdana" w:hAnsi="Verdana"/>
                <w:b/>
                <w:bCs/>
                <w:highlight w:val="green"/>
              </w:rPr>
              <w:t>CCEVAL</w:t>
            </w:r>
          </w:p>
          <w:p w:rsidR="00911094" w:rsidRPr="00072754" w:rsidRDefault="00911094" w:rsidP="00F063AF">
            <w:pPr>
              <w:pStyle w:val="Header"/>
              <w:widowControl w:val="0"/>
              <w:numPr>
                <w:ilvl w:val="0"/>
                <w:numId w:val="123"/>
              </w:numPr>
              <w:tabs>
                <w:tab w:val="clear" w:pos="4320"/>
                <w:tab w:val="clear" w:pos="8640"/>
              </w:tabs>
            </w:pPr>
            <w:r>
              <w:t>The current evidence shows only a {noncompensable/10/20 percent} evaluation is warranted based on: (add EB info)</w:t>
            </w:r>
          </w:p>
          <w:p w:rsidR="00911094" w:rsidRDefault="00911094" w:rsidP="00F063AF">
            <w:pPr>
              <w:pStyle w:val="Header"/>
              <w:widowControl w:val="0"/>
              <w:numPr>
                <w:ilvl w:val="0"/>
                <w:numId w:val="123"/>
              </w:numPr>
              <w:tabs>
                <w:tab w:val="clear" w:pos="4320"/>
                <w:tab w:val="clear" w:pos="8640"/>
              </w:tabs>
            </w:pPr>
            <w:r>
              <w:t>An evaluation of {the current eval} percent is assigned if there is:</w:t>
            </w:r>
          </w:p>
          <w:p w:rsidR="00911094" w:rsidRPr="00072754" w:rsidRDefault="00911094" w:rsidP="00F063AF">
            <w:pPr>
              <w:pStyle w:val="Header"/>
              <w:widowControl w:val="0"/>
              <w:numPr>
                <w:ilvl w:val="0"/>
                <w:numId w:val="123"/>
              </w:numPr>
              <w:tabs>
                <w:tab w:val="clear" w:pos="4320"/>
                <w:tab w:val="clear" w:pos="8640"/>
              </w:tabs>
              <w:rPr>
                <w:i/>
                <w:iCs/>
              </w:rPr>
            </w:pPr>
            <w:r w:rsidRPr="00072754">
              <w:t xml:space="preserve">A higher evaluation of </w:t>
            </w:r>
            <w:r>
              <w:t>{}</w:t>
            </w:r>
            <w:r w:rsidRPr="00072754">
              <w:t xml:space="preserve"> percent is not warranted unless there is:</w:t>
            </w:r>
          </w:p>
        </w:tc>
      </w:tr>
      <w:tr w:rsidR="00911094" w:rsidTr="00BC2764">
        <w:tc>
          <w:tcPr>
            <w:tcW w:w="2379" w:type="dxa"/>
          </w:tcPr>
          <w:p w:rsidR="00911094" w:rsidRDefault="00911094">
            <w:pPr>
              <w:widowControl w:val="0"/>
            </w:pPr>
            <w:r>
              <w:t>Protected evaluation, old criteria</w:t>
            </w:r>
          </w:p>
        </w:tc>
        <w:tc>
          <w:tcPr>
            <w:tcW w:w="8298" w:type="dxa"/>
          </w:tcPr>
          <w:p w:rsidR="00911094" w:rsidRDefault="00911094" w:rsidP="00072754">
            <w:pPr>
              <w:pStyle w:val="Header"/>
              <w:widowControl w:val="0"/>
              <w:tabs>
                <w:tab w:val="clear" w:pos="4320"/>
                <w:tab w:val="clear" w:pos="8640"/>
              </w:tabs>
            </w:pPr>
            <w:r>
              <w:rPr>
                <w:rFonts w:ascii="Verdana" w:hAnsi="Verdana"/>
                <w:b/>
                <w:bCs/>
                <w:highlight w:val="green"/>
              </w:rPr>
              <w:t>PR3</w:t>
            </w:r>
            <w:r>
              <w:rPr>
                <w:rFonts w:ascii="Verdana" w:hAnsi="Verdana"/>
                <w:b/>
                <w:bCs/>
              </w:rPr>
              <w:t xml:space="preserve"> </w:t>
            </w:r>
            <w:r>
              <w:t>&amp; change “under the condition” to “under rating criteria</w:t>
            </w:r>
            <w:r w:rsidR="001946CC">
              <w:t>,”</w:t>
            </w:r>
            <w:r>
              <w:t xml:space="preserve"> plus “under the new schedule” to “under the new criteria</w:t>
            </w:r>
            <w:r w:rsidR="001946CC">
              <w:t>,”</w:t>
            </w:r>
            <w:r>
              <w:t xml:space="preserve"> as below: </w:t>
            </w:r>
          </w:p>
          <w:p w:rsidR="00911094" w:rsidRDefault="00911094" w:rsidP="00072754">
            <w:pPr>
              <w:pStyle w:val="Header"/>
              <w:widowControl w:val="0"/>
              <w:tabs>
                <w:tab w:val="clear" w:pos="4320"/>
                <w:tab w:val="clear" w:pos="8640"/>
              </w:tabs>
            </w:pPr>
          </w:p>
          <w:p w:rsidR="00911094" w:rsidRDefault="00911094" w:rsidP="008F2746">
            <w:r>
              <w:t>A readjustment to the schedule for rating disabilities shall not be grounds for reduction of a disability rating in effect on the date of the readjustment unless medical evidence establishes that the disability to be evaluated has actually improved. Your condition was previously rated as {} percent disabling under the rating criteria that was changed on {}. A higher rating of {HIGHER PERCENT} is not warranted under the new criteria unless there is medical evidence of {HIGHER CRITERIA}. Because there is no evidence that establishes that your condition has actually improved, your {} percent rating is continued.</w:t>
            </w:r>
          </w:p>
          <w:p w:rsidR="00911094" w:rsidRPr="00072754" w:rsidRDefault="00911094" w:rsidP="00072754">
            <w:pPr>
              <w:pStyle w:val="Header"/>
              <w:widowControl w:val="0"/>
              <w:tabs>
                <w:tab w:val="clear" w:pos="4320"/>
                <w:tab w:val="clear" w:pos="8640"/>
              </w:tabs>
              <w:rPr>
                <w:rFonts w:ascii="Verdana" w:hAnsi="Verdana"/>
                <w:b/>
                <w:bCs/>
              </w:rPr>
            </w:pPr>
          </w:p>
          <w:p w:rsidR="00911094" w:rsidRDefault="00911094" w:rsidP="00072754">
            <w:pPr>
              <w:pStyle w:val="Header"/>
              <w:widowControl w:val="0"/>
              <w:tabs>
                <w:tab w:val="clear" w:pos="4320"/>
                <w:tab w:val="clear" w:pos="8640"/>
              </w:tabs>
            </w:pPr>
            <w:r>
              <w:t>Then add:</w:t>
            </w:r>
          </w:p>
          <w:p w:rsidR="00911094" w:rsidRDefault="00911094" w:rsidP="00072754">
            <w:pPr>
              <w:pStyle w:val="Header"/>
              <w:widowControl w:val="0"/>
              <w:tabs>
                <w:tab w:val="clear" w:pos="4320"/>
                <w:tab w:val="clear" w:pos="8640"/>
              </w:tabs>
            </w:pPr>
          </w:p>
          <w:p w:rsidR="00911094" w:rsidRDefault="00911094" w:rsidP="00F063AF">
            <w:pPr>
              <w:pStyle w:val="Header"/>
              <w:widowControl w:val="0"/>
              <w:numPr>
                <w:ilvl w:val="0"/>
                <w:numId w:val="213"/>
              </w:numPr>
              <w:tabs>
                <w:tab w:val="clear" w:pos="4320"/>
                <w:tab w:val="clear" w:pos="8640"/>
              </w:tabs>
            </w:pPr>
            <w:r>
              <w:t>You do not currently meet the {CURRENT EVALUATION} percent evaluation requirements under the current rating criteria, but your evaluation is being continued under the old criteria because it is most advantageous to you.</w:t>
            </w:r>
          </w:p>
          <w:p w:rsidR="00911094" w:rsidRPr="00FF1962" w:rsidRDefault="00911094" w:rsidP="00F063AF">
            <w:pPr>
              <w:pStyle w:val="Header"/>
              <w:widowControl w:val="0"/>
              <w:numPr>
                <w:ilvl w:val="0"/>
                <w:numId w:val="123"/>
              </w:numPr>
              <w:tabs>
                <w:tab w:val="clear" w:pos="4320"/>
                <w:tab w:val="clear" w:pos="8640"/>
              </w:tabs>
              <w:rPr>
                <w:rFonts w:ascii="Verdana" w:hAnsi="Verdana"/>
                <w:b/>
                <w:highlight w:val="green"/>
              </w:rPr>
            </w:pPr>
            <w:r>
              <w:rPr>
                <w:rFonts w:ascii="Verdana" w:hAnsi="Verdana"/>
                <w:b/>
                <w:bCs/>
                <w:highlight w:val="green"/>
              </w:rPr>
              <w:t>CCEVAL</w:t>
            </w:r>
          </w:p>
          <w:p w:rsidR="00911094" w:rsidRPr="00072754" w:rsidRDefault="00911094" w:rsidP="00F063AF">
            <w:pPr>
              <w:pStyle w:val="Header"/>
              <w:widowControl w:val="0"/>
              <w:numPr>
                <w:ilvl w:val="0"/>
                <w:numId w:val="123"/>
              </w:numPr>
              <w:tabs>
                <w:tab w:val="clear" w:pos="4320"/>
                <w:tab w:val="clear" w:pos="8640"/>
              </w:tabs>
            </w:pPr>
            <w:r>
              <w:t xml:space="preserve">The current evidence shows only a {noncompensable/10/20 percent} evaluation is warranted </w:t>
            </w:r>
            <w:r w:rsidRPr="00220638">
              <w:t>under the current rating criteria</w:t>
            </w:r>
            <w:r>
              <w:t xml:space="preserve"> based on: (add EB info)</w:t>
            </w:r>
          </w:p>
          <w:p w:rsidR="00911094" w:rsidRDefault="00911094" w:rsidP="00F063AF">
            <w:pPr>
              <w:pStyle w:val="Header"/>
              <w:widowControl w:val="0"/>
              <w:numPr>
                <w:ilvl w:val="0"/>
                <w:numId w:val="123"/>
              </w:numPr>
              <w:tabs>
                <w:tab w:val="clear" w:pos="4320"/>
                <w:tab w:val="clear" w:pos="8640"/>
              </w:tabs>
            </w:pPr>
            <w:r>
              <w:t xml:space="preserve">An evaluation of {the current eval} percent </w:t>
            </w:r>
            <w:r w:rsidRPr="00220638">
              <w:t>under the current rating criteria</w:t>
            </w:r>
            <w:r>
              <w:t xml:space="preserve"> is assigned if there is:</w:t>
            </w:r>
          </w:p>
          <w:p w:rsidR="00911094" w:rsidRPr="008452D4" w:rsidRDefault="00911094" w:rsidP="00F063AF">
            <w:pPr>
              <w:pStyle w:val="Header"/>
              <w:widowControl w:val="0"/>
              <w:numPr>
                <w:ilvl w:val="0"/>
                <w:numId w:val="123"/>
              </w:numPr>
              <w:tabs>
                <w:tab w:val="clear" w:pos="4320"/>
                <w:tab w:val="clear" w:pos="8640"/>
              </w:tabs>
            </w:pPr>
            <w:r w:rsidRPr="00072754">
              <w:t xml:space="preserve">A higher evaluation of </w:t>
            </w:r>
            <w:r>
              <w:t>{}</w:t>
            </w:r>
            <w:r w:rsidRPr="00072754">
              <w:t xml:space="preserve"> percent</w:t>
            </w:r>
            <w:r w:rsidRPr="00220638">
              <w:t xml:space="preserve"> under the current rating criteria</w:t>
            </w:r>
            <w:r w:rsidRPr="00072754">
              <w:t xml:space="preserve"> is not warranted unless there is:</w:t>
            </w:r>
          </w:p>
        </w:tc>
      </w:tr>
      <w:tr w:rsidR="00911094" w:rsidTr="00BC2764">
        <w:tc>
          <w:tcPr>
            <w:tcW w:w="2379" w:type="dxa"/>
          </w:tcPr>
          <w:p w:rsidR="00911094" w:rsidRDefault="00911094">
            <w:pPr>
              <w:pStyle w:val="Header"/>
              <w:widowControl w:val="0"/>
              <w:tabs>
                <w:tab w:val="clear" w:pos="4320"/>
                <w:tab w:val="clear" w:pos="8640"/>
              </w:tabs>
            </w:pPr>
            <w:r>
              <w:t>DMII grant</w:t>
            </w:r>
          </w:p>
          <w:p w:rsidR="00911094" w:rsidRDefault="00911094">
            <w:pPr>
              <w:widowControl w:val="0"/>
              <w:rPr>
                <w:sz w:val="18"/>
              </w:rPr>
            </w:pPr>
            <w:r>
              <w:rPr>
                <w:i/>
                <w:iCs/>
                <w:sz w:val="18"/>
              </w:rPr>
              <w:t>(consider 3.114)</w:t>
            </w:r>
          </w:p>
        </w:tc>
        <w:tc>
          <w:tcPr>
            <w:tcW w:w="8298" w:type="dxa"/>
          </w:tcPr>
          <w:p w:rsidR="00911094" w:rsidRDefault="00911094">
            <w:pPr>
              <w:pStyle w:val="Header"/>
              <w:widowControl w:val="0"/>
              <w:tabs>
                <w:tab w:val="clear" w:pos="4320"/>
                <w:tab w:val="clear" w:pos="8640"/>
              </w:tabs>
              <w:rPr>
                <w:b/>
                <w:bCs/>
              </w:rPr>
            </w:pPr>
            <w:r>
              <w:rPr>
                <w:b/>
                <w:bCs/>
              </w:rPr>
              <w:t>3.114 effective date:</w:t>
            </w:r>
          </w:p>
          <w:p w:rsidR="00911094" w:rsidRPr="00FF0B29" w:rsidRDefault="00911094">
            <w:pPr>
              <w:pStyle w:val="Header"/>
              <w:widowControl w:val="0"/>
              <w:tabs>
                <w:tab w:val="clear" w:pos="4320"/>
                <w:tab w:val="clear" w:pos="8640"/>
              </w:tabs>
              <w:rPr>
                <w:rFonts w:ascii="Verdana" w:hAnsi="Verdana"/>
              </w:rPr>
            </w:pPr>
            <w:r w:rsidRPr="00FF0B29">
              <w:rPr>
                <w:rFonts w:ascii="Verdana" w:hAnsi="Verdana"/>
                <w:highlight w:val="green"/>
              </w:rPr>
              <w:t>Service connection has been established from one year prior to the date VA received your claim.  When a claim of service connection is received more than one year after a change in law, and all the requirements were met for a grant on the date of the change in law, the effective date is one year prior to the date VA received your claim.</w:t>
            </w:r>
          </w:p>
          <w:p w:rsidR="000B69CA" w:rsidRDefault="000B69CA" w:rsidP="000B69CA">
            <w:pPr>
              <w:pStyle w:val="Header"/>
              <w:widowControl w:val="0"/>
              <w:tabs>
                <w:tab w:val="clear" w:pos="4320"/>
                <w:tab w:val="clear" w:pos="8640"/>
              </w:tabs>
            </w:pPr>
          </w:p>
          <w:p w:rsidR="000B69CA" w:rsidRDefault="000B69CA" w:rsidP="000B69CA">
            <w:pPr>
              <w:widowControl w:val="0"/>
              <w:spacing w:after="120"/>
              <w:rPr>
                <w:rFonts w:ascii="Verdana" w:hAnsi="Verdana"/>
                <w:b/>
                <w:bCs/>
              </w:rPr>
            </w:pPr>
            <w:r w:rsidRPr="001D615F">
              <w:rPr>
                <w:bCs/>
              </w:rPr>
              <w:t>also see</w:t>
            </w:r>
            <w:r>
              <w:rPr>
                <w:bCs/>
              </w:rPr>
              <w:t xml:space="preserve"> </w:t>
            </w:r>
            <w:r>
              <w:rPr>
                <w:rFonts w:ascii="Verdana" w:hAnsi="Verdana"/>
                <w:b/>
                <w:bCs/>
                <w:highlight w:val="green"/>
              </w:rPr>
              <w:t>ED1</w:t>
            </w:r>
            <w:r w:rsidRPr="00494A88">
              <w:rPr>
                <w:bCs/>
              </w:rPr>
              <w:t xml:space="preserve"> &amp;</w:t>
            </w:r>
            <w:r w:rsidRPr="00494A88">
              <w:rPr>
                <w:rFonts w:ascii="Verdana" w:hAnsi="Verdana"/>
                <w:b/>
                <w:bCs/>
              </w:rPr>
              <w:t xml:space="preserve"> </w:t>
            </w:r>
            <w:r>
              <w:rPr>
                <w:rFonts w:ascii="Verdana" w:hAnsi="Verdana"/>
                <w:b/>
                <w:bCs/>
                <w:highlight w:val="green"/>
              </w:rPr>
              <w:t>ED2</w:t>
            </w:r>
          </w:p>
          <w:p w:rsidR="00911094" w:rsidRPr="00A26732" w:rsidRDefault="00911094" w:rsidP="00463D34">
            <w:pPr>
              <w:pStyle w:val="Header"/>
              <w:widowControl w:val="0"/>
              <w:tabs>
                <w:tab w:val="clear" w:pos="4320"/>
                <w:tab w:val="clear" w:pos="8640"/>
              </w:tabs>
              <w:rPr>
                <w:b/>
                <w:bCs/>
              </w:rPr>
            </w:pPr>
            <w:r w:rsidRPr="00A26732">
              <w:rPr>
                <w:b/>
                <w:bCs/>
              </w:rPr>
              <w:t>applying 3.114 to ITF:</w:t>
            </w:r>
          </w:p>
          <w:p w:rsidR="00C64C46" w:rsidRPr="00A26732" w:rsidRDefault="00911094" w:rsidP="00C64C46">
            <w:pPr>
              <w:widowControl w:val="0"/>
              <w:rPr>
                <w:bCs/>
              </w:rPr>
            </w:pPr>
            <w:r w:rsidRPr="00A26732">
              <w:rPr>
                <w:bCs/>
              </w:rPr>
              <w:t>Service connection has been established from one year prior to the date VA received your Intent to File (ITF) because a complete</w:t>
            </w:r>
            <w:r w:rsidRPr="00A26732">
              <w:rPr>
                <w:lang w:val="en"/>
              </w:rPr>
              <w:t xml:space="preserve"> claim was received within one year of the ITF; and the ITF was </w:t>
            </w:r>
            <w:r w:rsidRPr="00A26732">
              <w:rPr>
                <w:bCs/>
              </w:rPr>
              <w:t>received more than one year after a change in law, and all the requirements were met for a grant on the date of the change in law.</w:t>
            </w:r>
            <w:r w:rsidR="0027686C" w:rsidRPr="00A26732">
              <w:rPr>
                <w:bCs/>
              </w:rPr>
              <w:t xml:space="preserve"> </w:t>
            </w:r>
          </w:p>
          <w:p w:rsidR="00911094" w:rsidRPr="00A26732" w:rsidRDefault="00A26732" w:rsidP="008F5A6D">
            <w:pPr>
              <w:widowControl w:val="0"/>
              <w:spacing w:after="120"/>
              <w:rPr>
                <w:bCs/>
                <w:i/>
              </w:rPr>
            </w:pPr>
            <w:r w:rsidRPr="00A26732">
              <w:rPr>
                <w:bCs/>
                <w:i/>
              </w:rPr>
              <w:t>*</w:t>
            </w:r>
            <w:r w:rsidR="0027686C" w:rsidRPr="00A26732">
              <w:rPr>
                <w:bCs/>
                <w:i/>
              </w:rPr>
              <w:t>3/18 ITF Consistency Study s</w:t>
            </w:r>
            <w:r w:rsidR="00C64C46" w:rsidRPr="00A26732">
              <w:rPr>
                <w:bCs/>
                <w:i/>
              </w:rPr>
              <w:t xml:space="preserve">eems to imply this is incorrect, but it’s supported by </w:t>
            </w:r>
            <w:r w:rsidR="00C64C46" w:rsidRPr="00A26732">
              <w:rPr>
                <w:b/>
                <w:bCs/>
              </w:rPr>
              <w:t>III.ii.2.C.2.c</w:t>
            </w:r>
          </w:p>
          <w:p w:rsidR="00911094" w:rsidRDefault="00911094" w:rsidP="008F5A6D">
            <w:pPr>
              <w:widowControl w:val="0"/>
              <w:spacing w:after="120"/>
              <w:rPr>
                <w:rFonts w:ascii="Verdana" w:hAnsi="Verdana"/>
                <w:b/>
                <w:bCs/>
              </w:rPr>
            </w:pPr>
          </w:p>
          <w:p w:rsidR="00C03EB3" w:rsidRDefault="00A17522" w:rsidP="0084052C">
            <w:pPr>
              <w:widowControl w:val="0"/>
              <w:spacing w:after="120"/>
            </w:pPr>
            <w:r w:rsidRPr="0084052C">
              <w:t>Please note that we cannot assign an effective date prior</w:t>
            </w:r>
            <w:r>
              <w:t xml:space="preserve"> to</w:t>
            </w:r>
            <w:r w:rsidRPr="0084052C">
              <w:t xml:space="preserve"> the date of claim, as although you reported</w:t>
            </w:r>
            <w:r>
              <w:t>/the VA treatment records show</w:t>
            </w:r>
            <w:r w:rsidRPr="0084052C">
              <w:t xml:space="preserve"> your diagnosis was made in </w:t>
            </w:r>
            <w:r>
              <w:t>{}</w:t>
            </w:r>
            <w:r w:rsidRPr="0084052C">
              <w:t>, we do not have any medical records confirming the date of your diagnosis.</w:t>
            </w:r>
          </w:p>
          <w:p w:rsidR="000B69CA" w:rsidRDefault="000B69CA" w:rsidP="0084052C">
            <w:pPr>
              <w:widowControl w:val="0"/>
              <w:spacing w:after="120"/>
            </w:pPr>
          </w:p>
          <w:p w:rsidR="000B69CA" w:rsidRDefault="000B69CA" w:rsidP="000B69CA">
            <w:pPr>
              <w:widowControl w:val="0"/>
              <w:tabs>
                <w:tab w:val="left" w:pos="0"/>
                <w:tab w:val="left" w:pos="360"/>
              </w:tabs>
            </w:pPr>
            <w:r w:rsidRPr="00FF0B29">
              <w:rPr>
                <w:bCs/>
              </w:rPr>
              <w:t>Service connection has been establishe</w:t>
            </w:r>
            <w:r>
              <w:rPr>
                <w:bCs/>
              </w:rPr>
              <w:t xml:space="preserve">d from </w:t>
            </w:r>
            <w:r w:rsidRPr="000B69CA">
              <w:rPr>
                <w:iCs/>
              </w:rPr>
              <w:t>date of the change in the law, as you filed your claim within one year of the change in the law</w:t>
            </w:r>
            <w:r>
              <w:rPr>
                <w:iCs/>
              </w:rPr>
              <w:t xml:space="preserve"> and your disability existed at the time of the change in the law</w:t>
            </w:r>
            <w:r w:rsidRPr="000B69CA">
              <w:rPr>
                <w:iCs/>
              </w:rPr>
              <w:t>.</w:t>
            </w:r>
          </w:p>
        </w:tc>
      </w:tr>
      <w:tr w:rsidR="00911094" w:rsidTr="00BC2764">
        <w:trPr>
          <w:trHeight w:val="190"/>
        </w:trPr>
        <w:tc>
          <w:tcPr>
            <w:tcW w:w="2379" w:type="dxa"/>
          </w:tcPr>
          <w:p w:rsidR="00911094" w:rsidRDefault="00911094">
            <w:pPr>
              <w:pStyle w:val="Header"/>
              <w:widowControl w:val="0"/>
              <w:tabs>
                <w:tab w:val="clear" w:pos="4320"/>
                <w:tab w:val="clear" w:pos="8640"/>
              </w:tabs>
              <w:rPr>
                <w:bCs/>
                <w:iCs/>
              </w:rPr>
            </w:pPr>
            <w:r>
              <w:rPr>
                <w:bCs/>
                <w:iCs/>
              </w:rPr>
              <w:t>Reasonable Doubt</w:t>
            </w:r>
          </w:p>
          <w:p w:rsidR="00911094" w:rsidRDefault="00911094">
            <w:pPr>
              <w:pStyle w:val="Header"/>
              <w:widowControl w:val="0"/>
              <w:tabs>
                <w:tab w:val="clear" w:pos="4320"/>
                <w:tab w:val="clear" w:pos="8640"/>
              </w:tabs>
              <w:rPr>
                <w:bCs/>
                <w:iCs/>
              </w:rPr>
            </w:pPr>
          </w:p>
          <w:p w:rsidR="00911094" w:rsidRDefault="00911094" w:rsidP="00E41417">
            <w:pPr>
              <w:pStyle w:val="Header"/>
              <w:widowControl w:val="0"/>
              <w:tabs>
                <w:tab w:val="clear" w:pos="4320"/>
                <w:tab w:val="clear" w:pos="8640"/>
              </w:tabs>
              <w:rPr>
                <w:bCs/>
                <w:iCs/>
              </w:rPr>
            </w:pPr>
            <w:r w:rsidRPr="00EA0432">
              <w:rPr>
                <w:b/>
              </w:rPr>
              <w:t>III.iv.5.</w:t>
            </w:r>
            <w:r w:rsidR="00E41417">
              <w:rPr>
                <w:b/>
              </w:rPr>
              <w:t>A.</w:t>
            </w:r>
            <w:r w:rsidRPr="00EA0432">
              <w:rPr>
                <w:b/>
              </w:rPr>
              <w:t>1.</w:t>
            </w:r>
            <w:r w:rsidR="00E41417">
              <w:rPr>
                <w:b/>
              </w:rPr>
              <w:t>j</w:t>
            </w:r>
          </w:p>
        </w:tc>
        <w:tc>
          <w:tcPr>
            <w:tcW w:w="8298" w:type="dxa"/>
          </w:tcPr>
          <w:p w:rsidR="00911094" w:rsidRDefault="00911094" w:rsidP="001B2A20">
            <w:pPr>
              <w:widowControl w:val="0"/>
              <w:rPr>
                <w:rFonts w:ascii="Verdana" w:hAnsi="Verdana"/>
                <w:b/>
                <w:bCs/>
              </w:rPr>
            </w:pPr>
            <w:r>
              <w:rPr>
                <w:rFonts w:ascii="Verdana" w:hAnsi="Verdana"/>
                <w:b/>
                <w:bCs/>
                <w:highlight w:val="green"/>
              </w:rPr>
              <w:t>BD1</w:t>
            </w:r>
          </w:p>
          <w:p w:rsidR="00911094" w:rsidRDefault="00911094">
            <w:pPr>
              <w:widowControl w:val="0"/>
            </w:pPr>
          </w:p>
          <w:p w:rsidR="00911094" w:rsidRDefault="00911094">
            <w:pPr>
              <w:widowControl w:val="0"/>
            </w:pPr>
            <w:r>
              <w:t>The evidence is in equipoise and reasonable doubt is resolved in your favor.</w:t>
            </w:r>
          </w:p>
          <w:p w:rsidR="00911094" w:rsidRDefault="00911094">
            <w:pPr>
              <w:widowControl w:val="0"/>
            </w:pPr>
          </w:p>
          <w:p w:rsidR="00911094" w:rsidRPr="00646CBB" w:rsidRDefault="00911094" w:rsidP="006141D6">
            <w:pPr>
              <w:pStyle w:val="NormalWeb"/>
              <w:spacing w:after="0"/>
              <w:rPr>
                <w:sz w:val="20"/>
              </w:rPr>
            </w:pPr>
            <w:r w:rsidRPr="00646CBB">
              <w:rPr>
                <w:sz w:val="20"/>
                <w:szCs w:val="20"/>
              </w:rPr>
              <w:t>When evidence is in proximate balance, reasonable doubt will be resolved in your favor.</w:t>
            </w:r>
            <w:r w:rsidRPr="00646CBB">
              <w:rPr>
                <w:sz w:val="20"/>
              </w:rPr>
              <w:t xml:space="preserve"> </w:t>
            </w:r>
          </w:p>
          <w:p w:rsidR="00911094" w:rsidRPr="00646CBB" w:rsidRDefault="00911094">
            <w:pPr>
              <w:widowControl w:val="0"/>
            </w:pPr>
          </w:p>
          <w:p w:rsidR="00911094" w:rsidRPr="00646CBB" w:rsidRDefault="00911094" w:rsidP="006141D6">
            <w:pPr>
              <w:pStyle w:val="NormalWeb"/>
              <w:spacing w:after="0"/>
              <w:rPr>
                <w:sz w:val="20"/>
                <w:szCs w:val="20"/>
              </w:rPr>
            </w:pPr>
            <w:r w:rsidRPr="00646CBB">
              <w:rPr>
                <w:sz w:val="20"/>
                <w:szCs w:val="20"/>
              </w:rPr>
              <w:t>When reasonable doubt arises regarding service origin, such doubt will be resolved in favor of the claimant.</w:t>
            </w:r>
          </w:p>
          <w:p w:rsidR="00911094" w:rsidRPr="00646CBB" w:rsidRDefault="00911094" w:rsidP="006141D6">
            <w:pPr>
              <w:pStyle w:val="NormalWeb"/>
              <w:spacing w:after="0"/>
              <w:rPr>
                <w:sz w:val="20"/>
                <w:szCs w:val="20"/>
              </w:rPr>
            </w:pPr>
          </w:p>
          <w:p w:rsidR="00911094" w:rsidRPr="00646CBB" w:rsidRDefault="00911094" w:rsidP="00646CBB">
            <w:pPr>
              <w:pStyle w:val="NormalWeb"/>
              <w:spacing w:after="0"/>
              <w:rPr>
                <w:sz w:val="20"/>
                <w:szCs w:val="20"/>
              </w:rPr>
            </w:pPr>
            <w:r w:rsidRPr="00646CBB">
              <w:rPr>
                <w:sz w:val="20"/>
                <w:szCs w:val="20"/>
              </w:rPr>
              <w:t>Reasonable doubt is to be resolved in the veteran's favor when the favorable and unfavorable evidence is in approximate balance.</w:t>
            </w:r>
          </w:p>
          <w:p w:rsidR="00911094" w:rsidRDefault="00911094">
            <w:pPr>
              <w:widowControl w:val="0"/>
              <w:rPr>
                <w:color w:val="000000"/>
              </w:rPr>
            </w:pPr>
          </w:p>
          <w:p w:rsidR="00911094" w:rsidRDefault="00911094" w:rsidP="006141D6">
            <w:pPr>
              <w:tabs>
                <w:tab w:val="left" w:pos="0"/>
                <w:tab w:val="left" w:pos="144"/>
              </w:tabs>
              <w:rPr>
                <w:color w:val="000000"/>
              </w:rPr>
            </w:pPr>
            <w:r>
              <w:rPr>
                <w:color w:val="000000"/>
              </w:rPr>
              <w:t>Reasonable doubt is resolved in your favor that these findings more closely approximate the level of functional impairment contemplated by the {} percent evaluation based on objective evidence of {} with subjective complaints of {} impacting functional activities.</w:t>
            </w:r>
          </w:p>
          <w:p w:rsidR="00911094" w:rsidRDefault="00911094" w:rsidP="006141D6">
            <w:pPr>
              <w:pStyle w:val="NormalWeb"/>
              <w:spacing w:after="0"/>
              <w:rPr>
                <w:sz w:val="20"/>
              </w:rPr>
            </w:pPr>
          </w:p>
          <w:p w:rsidR="00911094" w:rsidRDefault="00911094" w:rsidP="001B03BC">
            <w:pPr>
              <w:widowControl w:val="0"/>
              <w:rPr>
                <w:iCs/>
                <w:sz w:val="24"/>
              </w:rPr>
            </w:pPr>
            <w:r>
              <w:rPr>
                <w:i/>
                <w:iCs/>
                <w:color w:val="000000"/>
              </w:rPr>
              <w:t>If not in equipoise:</w:t>
            </w:r>
          </w:p>
          <w:p w:rsidR="00911094" w:rsidRPr="006141D6" w:rsidRDefault="00911094" w:rsidP="006141D6">
            <w:pPr>
              <w:pStyle w:val="BodyText3"/>
              <w:widowControl w:val="0"/>
              <w:numPr>
                <w:ilvl w:val="12"/>
                <w:numId w:val="0"/>
              </w:numPr>
              <w:overflowPunct w:val="0"/>
              <w:autoSpaceDE w:val="0"/>
              <w:autoSpaceDN w:val="0"/>
              <w:adjustRightInd w:val="0"/>
              <w:spacing w:before="0"/>
              <w:textAlignment w:val="baseline"/>
              <w:rPr>
                <w:rFonts w:ascii="Arial" w:hAnsi="Arial"/>
                <w:sz w:val="20"/>
              </w:rPr>
            </w:pPr>
            <w:r w:rsidRPr="006141D6">
              <w:rPr>
                <w:rFonts w:ascii="Arial" w:hAnsi="Arial"/>
                <w:iCs/>
                <w:sz w:val="20"/>
              </w:rPr>
              <w:t>The preponderance of the evidence is in favor of service connection.</w:t>
            </w:r>
            <w:r w:rsidRPr="006141D6">
              <w:rPr>
                <w:rFonts w:ascii="Arial" w:hAnsi="Arial"/>
                <w:sz w:val="20"/>
              </w:rPr>
              <w:t xml:space="preserve"> </w:t>
            </w:r>
          </w:p>
        </w:tc>
      </w:tr>
      <w:tr w:rsidR="00911094" w:rsidTr="00BC2764">
        <w:trPr>
          <w:trHeight w:val="190"/>
        </w:trPr>
        <w:tc>
          <w:tcPr>
            <w:tcW w:w="2379" w:type="dxa"/>
          </w:tcPr>
          <w:p w:rsidR="00911094" w:rsidRDefault="00911094">
            <w:pPr>
              <w:pStyle w:val="Header"/>
              <w:widowControl w:val="0"/>
              <w:tabs>
                <w:tab w:val="clear" w:pos="4320"/>
                <w:tab w:val="clear" w:pos="8640"/>
              </w:tabs>
              <w:rPr>
                <w:bCs/>
                <w:iCs/>
              </w:rPr>
            </w:pPr>
            <w:r>
              <w:rPr>
                <w:bCs/>
                <w:iCs/>
              </w:rPr>
              <w:t>Higher of two evaluations</w:t>
            </w:r>
            <w:r w:rsidR="00BE498E">
              <w:rPr>
                <w:bCs/>
                <w:iCs/>
              </w:rPr>
              <w:t xml:space="preserve"> / 4.7</w:t>
            </w:r>
          </w:p>
        </w:tc>
        <w:tc>
          <w:tcPr>
            <w:tcW w:w="8298" w:type="dxa"/>
          </w:tcPr>
          <w:p w:rsidR="00911094" w:rsidRDefault="00911094">
            <w:pPr>
              <w:widowControl w:val="0"/>
            </w:pPr>
            <w:r>
              <w:t>Rating Note:  The higher evaluation was assigned because the disability picture more nearly approximates the criteria required for that rating.</w:t>
            </w:r>
          </w:p>
          <w:p w:rsidR="00911094" w:rsidRDefault="00911094">
            <w:pPr>
              <w:widowControl w:val="0"/>
            </w:pPr>
            <w:r>
              <w:t>OR</w:t>
            </w:r>
          </w:p>
          <w:p w:rsidR="00911094" w:rsidRDefault="00911094" w:rsidP="00E00806">
            <w:pPr>
              <w:widowControl w:val="0"/>
            </w:pPr>
            <w:r>
              <w:t>The higher evaluation is assigned because the disability picture more nearly approximates the criteria required for that rating.</w:t>
            </w:r>
          </w:p>
        </w:tc>
      </w:tr>
      <w:tr w:rsidR="00911094" w:rsidTr="00BC2764">
        <w:tc>
          <w:tcPr>
            <w:tcW w:w="2379" w:type="dxa"/>
          </w:tcPr>
          <w:p w:rsidR="00441F14" w:rsidRDefault="00911094">
            <w:pPr>
              <w:widowControl w:val="0"/>
            </w:pPr>
            <w:r>
              <w:t>Grant 0% (or higher) and request At Once exam or clarification</w:t>
            </w:r>
            <w:r w:rsidR="00A14C83">
              <w:t xml:space="preserve"> </w:t>
            </w:r>
          </w:p>
          <w:p w:rsidR="00441F14" w:rsidRPr="00441F14" w:rsidRDefault="00441F14">
            <w:pPr>
              <w:widowControl w:val="0"/>
              <w:rPr>
                <w:sz w:val="18"/>
              </w:rPr>
            </w:pPr>
            <w:r w:rsidRPr="00441F14">
              <w:rPr>
                <w:sz w:val="18"/>
              </w:rPr>
              <w:t xml:space="preserve">(might just go straight to the Disability Decision Information (DDI) </w:t>
            </w:r>
            <w:r w:rsidR="008133EF">
              <w:rPr>
                <w:sz w:val="18"/>
              </w:rPr>
              <w:t>– manual entry</w:t>
            </w:r>
            <w:r w:rsidRPr="00441F14">
              <w:rPr>
                <w:sz w:val="18"/>
              </w:rPr>
              <w:t>screen rather than using VEB)</w:t>
            </w:r>
          </w:p>
          <w:p w:rsidR="00911094" w:rsidRDefault="00A14C83">
            <w:pPr>
              <w:widowControl w:val="0"/>
            </w:pPr>
            <w:r w:rsidRPr="00A14C83">
              <w:rPr>
                <w:i/>
                <w:sz w:val="18"/>
              </w:rPr>
              <w:t>(QRT/GiaBao Nguyen says for clarification</w:t>
            </w:r>
            <w:r>
              <w:rPr>
                <w:i/>
                <w:sz w:val="18"/>
              </w:rPr>
              <w:t>s</w:t>
            </w:r>
            <w:r w:rsidRPr="00A14C83">
              <w:rPr>
                <w:i/>
                <w:sz w:val="18"/>
              </w:rPr>
              <w:t xml:space="preserve">, we should go into the </w:t>
            </w:r>
            <w:r w:rsidR="0096278E">
              <w:rPr>
                <w:i/>
                <w:sz w:val="18"/>
              </w:rPr>
              <w:t xml:space="preserve">Master Record </w:t>
            </w:r>
            <w:r w:rsidRPr="00A14C83">
              <w:rPr>
                <w:i/>
                <w:sz w:val="18"/>
              </w:rPr>
              <w:t>backfill &amp; add “Deferred Evaluation” under Supplementary Decision of the “Diagnosis Information” card so it will show on the codesheet as both SC &amp; as deferred.)</w:t>
            </w:r>
          </w:p>
          <w:p w:rsidR="00A14C83" w:rsidRPr="00A14C83" w:rsidRDefault="00A14C83">
            <w:pPr>
              <w:pStyle w:val="Header"/>
              <w:widowControl w:val="0"/>
              <w:tabs>
                <w:tab w:val="clear" w:pos="4320"/>
                <w:tab w:val="clear" w:pos="8640"/>
              </w:tabs>
              <w:rPr>
                <w:i/>
                <w:iCs/>
                <w:sz w:val="18"/>
              </w:rPr>
            </w:pPr>
          </w:p>
        </w:tc>
        <w:tc>
          <w:tcPr>
            <w:tcW w:w="8298" w:type="dxa"/>
          </w:tcPr>
          <w:p w:rsidR="00A14C83" w:rsidRDefault="00A14C83">
            <w:pPr>
              <w:widowControl w:val="0"/>
            </w:pPr>
            <w:r>
              <w:rPr>
                <w:i/>
                <w:iCs/>
                <w:sz w:val="18"/>
              </w:rPr>
              <w:t>(put under EB text )</w:t>
            </w:r>
          </w:p>
          <w:p w:rsidR="00911094" w:rsidRDefault="00911094">
            <w:pPr>
              <w:widowControl w:val="0"/>
            </w:pPr>
            <w:r>
              <w:t xml:space="preserve">We are requesting a </w:t>
            </w:r>
            <w:r w:rsidRPr="00E903AC">
              <w:t>Disability Benefits Questionnaire</w:t>
            </w:r>
            <w:r>
              <w:t xml:space="preserve"> to determine your current level of disability.</w:t>
            </w:r>
          </w:p>
          <w:p w:rsidR="00911094" w:rsidRDefault="00911094">
            <w:pPr>
              <w:widowControl w:val="0"/>
              <w:rPr>
                <w:i/>
                <w:iCs/>
              </w:rPr>
            </w:pPr>
            <w:r>
              <w:rPr>
                <w:i/>
                <w:iCs/>
              </w:rPr>
              <w:t>OR</w:t>
            </w:r>
          </w:p>
          <w:p w:rsidR="00911094" w:rsidRPr="00410230" w:rsidRDefault="00911094" w:rsidP="000754A4">
            <w:pPr>
              <w:widowControl w:val="0"/>
            </w:pPr>
            <w:r>
              <w:t xml:space="preserve">We are requesting clarification of your </w:t>
            </w:r>
            <w:r w:rsidRPr="00E903AC">
              <w:t>Disability Benefits Questionnaire</w:t>
            </w:r>
            <w:r>
              <w:t xml:space="preserve"> results to determine/confirm yo</w:t>
            </w:r>
            <w:r w:rsidR="00410230">
              <w:t>ur current level of disability.</w:t>
            </w:r>
          </w:p>
        </w:tc>
      </w:tr>
      <w:tr w:rsidR="00911094" w:rsidTr="00BC2764">
        <w:trPr>
          <w:trHeight w:val="653"/>
        </w:trPr>
        <w:tc>
          <w:tcPr>
            <w:tcW w:w="2379" w:type="dxa"/>
          </w:tcPr>
          <w:p w:rsidR="00911094" w:rsidRDefault="00911094">
            <w:pPr>
              <w:pStyle w:val="Header"/>
              <w:widowControl w:val="0"/>
              <w:tabs>
                <w:tab w:val="clear" w:pos="4320"/>
                <w:tab w:val="clear" w:pos="8640"/>
              </w:tabs>
              <w:rPr>
                <w:bCs/>
                <w:iCs/>
              </w:rPr>
            </w:pPr>
            <w:r>
              <w:rPr>
                <w:bCs/>
                <w:iCs/>
              </w:rPr>
              <w:t>If rate on TRs</w:t>
            </w:r>
          </w:p>
        </w:tc>
        <w:tc>
          <w:tcPr>
            <w:tcW w:w="8298" w:type="dxa"/>
          </w:tcPr>
          <w:p w:rsidR="00911094" w:rsidRPr="000754A4" w:rsidRDefault="00911094" w:rsidP="00067948">
            <w:pPr>
              <w:widowControl w:val="0"/>
            </w:pPr>
            <w:r w:rsidRPr="000754A4">
              <w:rPr>
                <w:szCs w:val="56"/>
              </w:rPr>
              <w:t>We have evaluated your disability based on treatment rec</w:t>
            </w:r>
            <w:r>
              <w:rPr>
                <w:szCs w:val="56"/>
              </w:rPr>
              <w:t xml:space="preserve">ords. Please let us know if you </w:t>
            </w:r>
            <w:r w:rsidRPr="000754A4">
              <w:rPr>
                <w:szCs w:val="56"/>
              </w:rPr>
              <w:t>believe your disability meets the next higher evaluation.</w:t>
            </w:r>
          </w:p>
        </w:tc>
      </w:tr>
      <w:tr w:rsidR="00911094" w:rsidTr="00BC2764">
        <w:trPr>
          <w:trHeight w:val="653"/>
        </w:trPr>
        <w:tc>
          <w:tcPr>
            <w:tcW w:w="2379" w:type="dxa"/>
          </w:tcPr>
          <w:p w:rsidR="00911094" w:rsidRDefault="00911094">
            <w:pPr>
              <w:pStyle w:val="Header"/>
              <w:widowControl w:val="0"/>
              <w:tabs>
                <w:tab w:val="clear" w:pos="4320"/>
                <w:tab w:val="clear" w:pos="8640"/>
              </w:tabs>
              <w:rPr>
                <w:bCs/>
                <w:iCs/>
              </w:rPr>
            </w:pPr>
            <w:r>
              <w:rPr>
                <w:bCs/>
                <w:iCs/>
              </w:rPr>
              <w:t>If have deferred issues</w:t>
            </w:r>
          </w:p>
        </w:tc>
        <w:tc>
          <w:tcPr>
            <w:tcW w:w="8298" w:type="dxa"/>
          </w:tcPr>
          <w:p w:rsidR="00911094" w:rsidRDefault="00911094" w:rsidP="00B7594D">
            <w:pPr>
              <w:widowControl w:val="0"/>
            </w:pPr>
            <w:r w:rsidRPr="00732EE4">
              <w:rPr>
                <w:i/>
              </w:rPr>
              <w:t>Issue:</w:t>
            </w:r>
            <w:r>
              <w:t xml:space="preserve">  Compensation for {}.</w:t>
            </w:r>
          </w:p>
          <w:p w:rsidR="00911094" w:rsidRDefault="00911094" w:rsidP="00B7594D">
            <w:pPr>
              <w:widowControl w:val="0"/>
            </w:pPr>
            <w:r w:rsidRPr="00732EE4">
              <w:rPr>
                <w:i/>
              </w:rPr>
              <w:t>Decision:</w:t>
            </w:r>
            <w:r>
              <w:t xml:space="preserve">  A decision on entitlement to compensation for {} is deferred.</w:t>
            </w:r>
          </w:p>
          <w:p w:rsidR="00911094" w:rsidRDefault="00911094" w:rsidP="00B731C3">
            <w:pPr>
              <w:widowControl w:val="0"/>
            </w:pPr>
            <w:r w:rsidRPr="00732EE4">
              <w:rPr>
                <w:i/>
              </w:rPr>
              <w:t>Reasons:</w:t>
            </w:r>
            <w:r>
              <w:t xml:space="preserve">  The issue of compensation for {} is deferred for the following information:  further development</w:t>
            </w:r>
          </w:p>
        </w:tc>
      </w:tr>
      <w:tr w:rsidR="00911094" w:rsidTr="00BC2764">
        <w:trPr>
          <w:trHeight w:val="190"/>
        </w:trPr>
        <w:tc>
          <w:tcPr>
            <w:tcW w:w="2379" w:type="dxa"/>
          </w:tcPr>
          <w:p w:rsidR="00911094" w:rsidRDefault="00911094">
            <w:pPr>
              <w:pStyle w:val="Header"/>
              <w:widowControl w:val="0"/>
              <w:tabs>
                <w:tab w:val="clear" w:pos="4320"/>
                <w:tab w:val="clear" w:pos="8640"/>
              </w:tabs>
              <w:rPr>
                <w:bCs/>
                <w:iCs/>
              </w:rPr>
            </w:pPr>
            <w:r>
              <w:rPr>
                <w:bCs/>
                <w:iCs/>
              </w:rPr>
              <w:t>Exam missing info, but not insufficient</w:t>
            </w:r>
          </w:p>
        </w:tc>
        <w:tc>
          <w:tcPr>
            <w:tcW w:w="8298" w:type="dxa"/>
          </w:tcPr>
          <w:p w:rsidR="00911094" w:rsidRDefault="00911094">
            <w:pPr>
              <w:widowControl w:val="0"/>
              <w:rPr>
                <w:bCs/>
                <w:iCs/>
              </w:rPr>
            </w:pPr>
            <w:r>
              <w:rPr>
                <w:bCs/>
                <w:iCs/>
              </w:rPr>
              <w:t>Rating Note:  Although the VA examiner did not provide the degree where objective evidence of painful motion begins for {extension, lateral flexion or rotation}, other findings allow for a 10% and this missing information would not affect the veteran's evaluation.</w:t>
            </w:r>
          </w:p>
        </w:tc>
      </w:tr>
      <w:tr w:rsidR="00911094" w:rsidTr="00BC2764">
        <w:tc>
          <w:tcPr>
            <w:tcW w:w="2379" w:type="dxa"/>
          </w:tcPr>
          <w:p w:rsidR="00911094" w:rsidRPr="00060B8E" w:rsidRDefault="00911094">
            <w:pPr>
              <w:widowControl w:val="0"/>
            </w:pPr>
            <w:r w:rsidRPr="00060B8E">
              <w:t>Arthritis on x-ray, but not in diagnosis</w:t>
            </w:r>
          </w:p>
        </w:tc>
        <w:tc>
          <w:tcPr>
            <w:tcW w:w="8298" w:type="dxa"/>
          </w:tcPr>
          <w:p w:rsidR="00911094" w:rsidRDefault="00911094" w:rsidP="002C3B45">
            <w:pPr>
              <w:widowControl w:val="0"/>
              <w:overflowPunct/>
              <w:autoSpaceDE/>
              <w:autoSpaceDN/>
              <w:adjustRightInd/>
              <w:textAlignment w:val="auto"/>
              <w:rPr>
                <w:szCs w:val="24"/>
              </w:rPr>
            </w:pPr>
            <w:r w:rsidRPr="00060B8E">
              <w:rPr>
                <w:szCs w:val="24"/>
              </w:rPr>
              <w:t xml:space="preserve">Rating Note:  The x-ray shows </w:t>
            </w:r>
            <w:r>
              <w:rPr>
                <w:szCs w:val="24"/>
              </w:rPr>
              <w:t>{}</w:t>
            </w:r>
            <w:r w:rsidRPr="00060B8E">
              <w:rPr>
                <w:szCs w:val="24"/>
              </w:rPr>
              <w:t xml:space="preserve">, but the examiner did not include arthritis in the diagnosis, so only </w:t>
            </w:r>
            <w:r>
              <w:rPr>
                <w:szCs w:val="24"/>
              </w:rPr>
              <w:t>{}</w:t>
            </w:r>
            <w:r w:rsidRPr="00060B8E">
              <w:rPr>
                <w:szCs w:val="24"/>
              </w:rPr>
              <w:t xml:space="preserve"> was used.</w:t>
            </w:r>
          </w:p>
          <w:p w:rsidR="00911094" w:rsidRDefault="00911094" w:rsidP="002C3B45">
            <w:pPr>
              <w:widowControl w:val="0"/>
              <w:overflowPunct/>
              <w:autoSpaceDE/>
              <w:autoSpaceDN/>
              <w:adjustRightInd/>
              <w:textAlignment w:val="auto"/>
              <w:rPr>
                <w:szCs w:val="24"/>
              </w:rPr>
            </w:pPr>
          </w:p>
          <w:p w:rsidR="00911094" w:rsidRPr="00060B8E" w:rsidRDefault="00911094" w:rsidP="002C3B45">
            <w:pPr>
              <w:widowControl w:val="0"/>
              <w:overflowPunct/>
              <w:autoSpaceDE/>
              <w:autoSpaceDN/>
              <w:adjustRightInd/>
              <w:textAlignment w:val="auto"/>
              <w:rPr>
                <w:szCs w:val="24"/>
              </w:rPr>
            </w:pPr>
            <w:r>
              <w:rPr>
                <w:szCs w:val="24"/>
              </w:rPr>
              <w:t>Or use something like:  {} strain (with x-ray evidence of arthritis)</w:t>
            </w:r>
          </w:p>
          <w:p w:rsidR="00911094" w:rsidRPr="00060B8E" w:rsidRDefault="00911094" w:rsidP="002C3B45">
            <w:pPr>
              <w:pStyle w:val="TableofFigures"/>
              <w:widowControl w:val="0"/>
              <w:rPr>
                <w:rFonts w:ascii="Arial" w:hAnsi="Arial"/>
                <w:smallCaps w:val="0"/>
                <w:szCs w:val="24"/>
              </w:rPr>
            </w:pPr>
            <w:r w:rsidRPr="00060B8E">
              <w:rPr>
                <w:rFonts w:ascii="Arial" w:hAnsi="Arial"/>
                <w:smallCaps w:val="0"/>
                <w:szCs w:val="24"/>
              </w:rPr>
              <w:t xml:space="preserve">Rating Note:  The x-ray shows </w:t>
            </w:r>
            <w:r>
              <w:rPr>
                <w:rFonts w:ascii="Arial" w:hAnsi="Arial"/>
                <w:smallCaps w:val="0"/>
                <w:szCs w:val="24"/>
              </w:rPr>
              <w:t>{}</w:t>
            </w:r>
            <w:r w:rsidRPr="00060B8E">
              <w:rPr>
                <w:rFonts w:ascii="Arial" w:hAnsi="Arial"/>
                <w:smallCaps w:val="0"/>
                <w:szCs w:val="24"/>
              </w:rPr>
              <w:t>, but the examiner did not include it in the diagnosis, so it w</w:t>
            </w:r>
            <w:r>
              <w:rPr>
                <w:rFonts w:ascii="Arial" w:hAnsi="Arial"/>
                <w:smallCaps w:val="0"/>
                <w:szCs w:val="24"/>
              </w:rPr>
              <w:t>as put in parentheses.</w:t>
            </w:r>
          </w:p>
        </w:tc>
      </w:tr>
      <w:tr w:rsidR="00911094" w:rsidTr="00BC2764">
        <w:trPr>
          <w:trHeight w:val="350"/>
        </w:trPr>
        <w:tc>
          <w:tcPr>
            <w:tcW w:w="2379" w:type="dxa"/>
          </w:tcPr>
          <w:p w:rsidR="00911094" w:rsidRDefault="00911094">
            <w:pPr>
              <w:widowControl w:val="0"/>
            </w:pPr>
            <w:r>
              <w:t>Exposure only</w:t>
            </w:r>
          </w:p>
          <w:p w:rsidR="00911094" w:rsidRDefault="00911094">
            <w:pPr>
              <w:widowControl w:val="0"/>
            </w:pPr>
          </w:p>
          <w:p w:rsidR="00ED5C7F" w:rsidRPr="00A26FF2" w:rsidRDefault="00ED5C7F" w:rsidP="00ED5C7F">
            <w:pPr>
              <w:widowControl w:val="0"/>
              <w:tabs>
                <w:tab w:val="left" w:pos="400"/>
              </w:tabs>
              <w:spacing w:after="120"/>
            </w:pPr>
            <w:r w:rsidRPr="00BA78B4">
              <w:rPr>
                <w:b/>
              </w:rPr>
              <w:t>I.1.B</w:t>
            </w:r>
            <w:r>
              <w:rPr>
                <w:b/>
              </w:rPr>
              <w:t>.1.f</w:t>
            </w:r>
            <w:r w:rsidR="00A26FF2">
              <w:t xml:space="preserve"> – special issue notif</w:t>
            </w:r>
          </w:p>
          <w:p w:rsidR="00ED5C7F" w:rsidRDefault="00ED5C7F" w:rsidP="00ED5C7F">
            <w:pPr>
              <w:widowControl w:val="0"/>
              <w:tabs>
                <w:tab w:val="left" w:pos="400"/>
              </w:tabs>
              <w:spacing w:after="120"/>
              <w:rPr>
                <w:b/>
              </w:rPr>
            </w:pPr>
            <w:r w:rsidRPr="00BA78B4">
              <w:rPr>
                <w:b/>
              </w:rPr>
              <w:t>I.1.B</w:t>
            </w:r>
            <w:r>
              <w:rPr>
                <w:b/>
              </w:rPr>
              <w:t>.1.h</w:t>
            </w:r>
            <w:r w:rsidR="00A26FF2">
              <w:rPr>
                <w:b/>
              </w:rPr>
              <w:t xml:space="preserve"> – </w:t>
            </w:r>
            <w:r w:rsidR="00A26FF2">
              <w:t>incomplete application based on exposure</w:t>
            </w:r>
          </w:p>
          <w:p w:rsidR="007838C8" w:rsidRPr="00ED5C7F" w:rsidRDefault="007838C8" w:rsidP="00ED5C7F">
            <w:pPr>
              <w:widowControl w:val="0"/>
              <w:tabs>
                <w:tab w:val="left" w:pos="400"/>
              </w:tabs>
              <w:spacing w:after="120"/>
              <w:rPr>
                <w:b/>
                <w:bCs/>
              </w:rPr>
            </w:pPr>
            <w:r>
              <w:rPr>
                <w:b/>
              </w:rPr>
              <w:t>IV.ii.1.I.6.c</w:t>
            </w:r>
          </w:p>
          <w:p w:rsidR="00911094" w:rsidRPr="00771153" w:rsidRDefault="00911094">
            <w:pPr>
              <w:widowControl w:val="0"/>
              <w:rPr>
                <w:b/>
              </w:rPr>
            </w:pPr>
            <w:r w:rsidRPr="00771153">
              <w:rPr>
                <w:b/>
              </w:rPr>
              <w:t>IV.ii.2.A.1.c</w:t>
            </w:r>
          </w:p>
        </w:tc>
        <w:tc>
          <w:tcPr>
            <w:tcW w:w="8298" w:type="dxa"/>
          </w:tcPr>
          <w:p w:rsidR="00911094" w:rsidRDefault="00911094">
            <w:pPr>
              <w:pStyle w:val="TableofFigures"/>
              <w:widowControl w:val="0"/>
              <w:rPr>
                <w:rFonts w:ascii="Arial" w:hAnsi="Arial"/>
                <w:smallCaps w:val="0"/>
                <w:szCs w:val="24"/>
              </w:rPr>
            </w:pPr>
            <w:r>
              <w:rPr>
                <w:rFonts w:ascii="Arial" w:hAnsi="Arial"/>
                <w:smallCaps w:val="0"/>
                <w:szCs w:val="24"/>
              </w:rPr>
              <w:t xml:space="preserve">VSR:  The Veteran claimed exposure to {Agent Orange/other herbicide, asbestos, mustard gas, ionizing radiation, Gulf War environmental hazard}. However, we didn't receive a response to our {} </w:t>
            </w:r>
            <w:r w:rsidRPr="000F6B55">
              <w:rPr>
                <w:rFonts w:ascii="Arial" w:hAnsi="Arial"/>
                <w:smallCaps w:val="0"/>
                <w:szCs w:val="24"/>
              </w:rPr>
              <w:t>5103 Notice</w:t>
            </w:r>
            <w:r>
              <w:rPr>
                <w:rFonts w:ascii="Arial" w:hAnsi="Arial"/>
                <w:smallCaps w:val="0"/>
                <w:szCs w:val="24"/>
              </w:rPr>
              <w:t>,</w:t>
            </w:r>
            <w:r w:rsidRPr="000F6B55">
              <w:rPr>
                <w:rFonts w:ascii="Arial" w:hAnsi="Arial"/>
                <w:smallCaps w:val="0"/>
                <w:szCs w:val="24"/>
              </w:rPr>
              <w:t xml:space="preserve"> </w:t>
            </w:r>
            <w:r>
              <w:rPr>
                <w:rFonts w:ascii="Arial" w:hAnsi="Arial"/>
                <w:smallCaps w:val="0"/>
                <w:szCs w:val="24"/>
              </w:rPr>
              <w:t>which asked for a specific disability. No further action is needed for this substantially incomplete claim, per IV.ii.2.A.1.c</w:t>
            </w:r>
            <w:r w:rsidR="001C0B00">
              <w:rPr>
                <w:rFonts w:ascii="Arial" w:hAnsi="Arial"/>
                <w:smallCaps w:val="0"/>
                <w:szCs w:val="24"/>
              </w:rPr>
              <w:t xml:space="preserve"> &amp; I.1.B.1.h.</w:t>
            </w:r>
          </w:p>
          <w:p w:rsidR="00911094" w:rsidRDefault="00911094">
            <w:pPr>
              <w:pStyle w:val="TableofFigures"/>
              <w:widowControl w:val="0"/>
              <w:rPr>
                <w:rFonts w:ascii="Arial" w:hAnsi="Arial"/>
                <w:i/>
                <w:iCs/>
                <w:smallCaps w:val="0"/>
                <w:szCs w:val="24"/>
              </w:rPr>
            </w:pPr>
            <w:r>
              <w:rPr>
                <w:rFonts w:ascii="Arial" w:hAnsi="Arial"/>
                <w:i/>
                <w:iCs/>
                <w:smallCaps w:val="0"/>
                <w:szCs w:val="24"/>
              </w:rPr>
              <w:t>OR</w:t>
            </w:r>
          </w:p>
          <w:p w:rsidR="00911094" w:rsidRPr="00883EC5" w:rsidRDefault="00911094" w:rsidP="00A41D10">
            <w:pPr>
              <w:pStyle w:val="TableofFigures"/>
              <w:widowControl w:val="0"/>
              <w:rPr>
                <w:rFonts w:ascii="Arial" w:hAnsi="Arial"/>
                <w:smallCaps w:val="0"/>
                <w:szCs w:val="24"/>
              </w:rPr>
            </w:pPr>
            <w:r>
              <w:rPr>
                <w:rFonts w:ascii="Arial" w:hAnsi="Arial"/>
                <w:smallCaps w:val="0"/>
                <w:szCs w:val="24"/>
              </w:rPr>
              <w:t xml:space="preserve">VSR:  The Veteran claimed exposure to {Agent Orange/other herbicide, asbestos, mustard gas, ionizing radiation, Gulf War environmental hazard}. However, the {} </w:t>
            </w:r>
            <w:r w:rsidRPr="000F6B55">
              <w:rPr>
                <w:rFonts w:ascii="Arial" w:hAnsi="Arial"/>
                <w:smallCaps w:val="0"/>
                <w:szCs w:val="24"/>
              </w:rPr>
              <w:t xml:space="preserve">5103 Notice </w:t>
            </w:r>
            <w:r>
              <w:rPr>
                <w:rFonts w:ascii="Arial" w:hAnsi="Arial"/>
                <w:smallCaps w:val="0"/>
                <w:szCs w:val="24"/>
              </w:rPr>
              <w:t xml:space="preserve">failed to ask the veteran for a specific disability. Please </w:t>
            </w:r>
            <w:r w:rsidR="009A2F50">
              <w:rPr>
                <w:rFonts w:ascii="Arial" w:hAnsi="Arial"/>
                <w:smallCaps w:val="0"/>
                <w:szCs w:val="24"/>
              </w:rPr>
              <w:t>address this</w:t>
            </w:r>
            <w:r>
              <w:rPr>
                <w:rFonts w:ascii="Arial" w:hAnsi="Arial"/>
                <w:smallCaps w:val="0"/>
                <w:szCs w:val="24"/>
              </w:rPr>
              <w:t xml:space="preserve"> substantially incomplete exposure c</w:t>
            </w:r>
            <w:r w:rsidR="00575C7C">
              <w:rPr>
                <w:rFonts w:ascii="Arial" w:hAnsi="Arial"/>
                <w:smallCaps w:val="0"/>
                <w:szCs w:val="24"/>
              </w:rPr>
              <w:t>laim in the notification letter, per I.1.b.1.g &amp; I.1.B.1.h.</w:t>
            </w:r>
          </w:p>
        </w:tc>
      </w:tr>
      <w:tr w:rsidR="00911094" w:rsidTr="00BC2764">
        <w:trPr>
          <w:trHeight w:val="890"/>
        </w:trPr>
        <w:tc>
          <w:tcPr>
            <w:tcW w:w="2379" w:type="dxa"/>
          </w:tcPr>
          <w:p w:rsidR="00911094" w:rsidRDefault="00911094">
            <w:pPr>
              <w:widowControl w:val="0"/>
            </w:pPr>
            <w:r>
              <w:t>Tinnitus already at 10%</w:t>
            </w:r>
          </w:p>
          <w:p w:rsidR="00911094" w:rsidRDefault="00911094">
            <w:pPr>
              <w:widowControl w:val="0"/>
              <w:rPr>
                <w:rStyle w:val="Hyperlink"/>
                <w:b/>
                <w:bCs/>
                <w:i/>
                <w:iCs/>
                <w:sz w:val="18"/>
                <w:szCs w:val="24"/>
              </w:rPr>
            </w:pPr>
          </w:p>
          <w:p w:rsidR="00911094" w:rsidRDefault="00911094" w:rsidP="00777E40">
            <w:pPr>
              <w:widowControl w:val="0"/>
              <w:rPr>
                <w:i/>
                <w:iCs/>
                <w:sz w:val="18"/>
              </w:rPr>
            </w:pPr>
            <w:r w:rsidRPr="00777E40">
              <w:rPr>
                <w:b/>
                <w:sz w:val="18"/>
              </w:rPr>
              <w:t>I.1.C.3.</w:t>
            </w:r>
            <w:r w:rsidR="00777E40" w:rsidRPr="00777E40">
              <w:rPr>
                <w:b/>
                <w:sz w:val="18"/>
              </w:rPr>
              <w:t>j</w:t>
            </w:r>
            <w:r w:rsidR="008905EF" w:rsidRPr="00777E40">
              <w:rPr>
                <w:sz w:val="18"/>
              </w:rPr>
              <w:t xml:space="preserve"> - </w:t>
            </w:r>
            <w:r w:rsidRPr="00777E40">
              <w:rPr>
                <w:sz w:val="18"/>
              </w:rPr>
              <w:t xml:space="preserve">no automatic exams of disabilities at </w:t>
            </w:r>
            <w:r w:rsidR="00777E40" w:rsidRPr="00777E40">
              <w:rPr>
                <w:sz w:val="18"/>
              </w:rPr>
              <w:t xml:space="preserve">schedular </w:t>
            </w:r>
            <w:r w:rsidRPr="00777E40">
              <w:rPr>
                <w:sz w:val="18"/>
              </w:rPr>
              <w:t>maximum evaluation</w:t>
            </w:r>
          </w:p>
        </w:tc>
        <w:tc>
          <w:tcPr>
            <w:tcW w:w="8298" w:type="dxa"/>
          </w:tcPr>
          <w:p w:rsidR="00911094" w:rsidRDefault="00911094">
            <w:pPr>
              <w:widowControl w:val="0"/>
            </w:pPr>
            <w:r>
              <w:rPr>
                <w:rFonts w:ascii="Verdana" w:hAnsi="Verdana"/>
                <w:b/>
                <w:bCs/>
                <w:highlight w:val="green"/>
              </w:rPr>
              <w:t>ES2</w:t>
            </w:r>
            <w:r w:rsidRPr="00472785">
              <w:rPr>
                <w:bCs/>
              </w:rPr>
              <w:t xml:space="preserve"> &amp;</w:t>
            </w:r>
            <w:r w:rsidRPr="00472785">
              <w:rPr>
                <w:rFonts w:ascii="Verdana" w:hAnsi="Verdana"/>
                <w:b/>
                <w:bCs/>
              </w:rPr>
              <w:t xml:space="preserve"> </w:t>
            </w:r>
            <w:r>
              <w:rPr>
                <w:rFonts w:ascii="Verdana" w:hAnsi="Verdana"/>
                <w:b/>
                <w:bCs/>
                <w:highlight w:val="green"/>
              </w:rPr>
              <w:t>MAX_EVAL</w:t>
            </w:r>
          </w:p>
          <w:p w:rsidR="00911094" w:rsidRDefault="00911094">
            <w:pPr>
              <w:widowControl w:val="0"/>
            </w:pPr>
          </w:p>
          <w:p w:rsidR="00911094" w:rsidRDefault="00911094">
            <w:pPr>
              <w:widowControl w:val="0"/>
            </w:pPr>
            <w:r>
              <w:t>Rating Note:  CCEVAL not used for tinnitus</w:t>
            </w:r>
            <w:r w:rsidR="00B37238">
              <w:t xml:space="preserve"> </w:t>
            </w:r>
            <w:r>
              <w:t>/</w:t>
            </w:r>
            <w:r w:rsidR="00B37238">
              <w:t xml:space="preserve"> </w:t>
            </w:r>
            <w:r>
              <w:t>perforated tympanic membrane</w:t>
            </w:r>
            <w:r w:rsidR="00B37238">
              <w:t xml:space="preserve"> </w:t>
            </w:r>
            <w:r w:rsidR="006A7CCE">
              <w:t>/</w:t>
            </w:r>
            <w:r w:rsidR="00B37238">
              <w:t xml:space="preserve"> </w:t>
            </w:r>
            <w:r w:rsidR="006A7CCE">
              <w:t>hallux valgus</w:t>
            </w:r>
            <w:r>
              <w:t xml:space="preserve"> because increased severity is not relevant with a maximum schedular evaluation.</w:t>
            </w:r>
          </w:p>
          <w:p w:rsidR="00911094" w:rsidRDefault="00911094">
            <w:pPr>
              <w:widowControl w:val="0"/>
            </w:pPr>
          </w:p>
          <w:p w:rsidR="00911094" w:rsidRPr="00E4592C" w:rsidRDefault="00911094">
            <w:pPr>
              <w:widowControl w:val="0"/>
              <w:rPr>
                <w:i/>
              </w:rPr>
            </w:pPr>
            <w:r w:rsidRPr="00E4592C">
              <w:rPr>
                <w:i/>
              </w:rPr>
              <w:t>From VEB:</w:t>
            </w:r>
          </w:p>
          <w:p w:rsidR="00911094" w:rsidRDefault="00911094" w:rsidP="00E4592C">
            <w:pPr>
              <w:widowControl w:val="0"/>
            </w:pPr>
            <w:r>
              <w:t>A single evaluation for recurrent tinnitus is assigned whether the sound is perceived in one ear, both ears, or in the head.</w:t>
            </w:r>
          </w:p>
          <w:p w:rsidR="00911094" w:rsidRDefault="00911094" w:rsidP="00E4592C">
            <w:pPr>
              <w:widowControl w:val="0"/>
            </w:pPr>
          </w:p>
          <w:p w:rsidR="00911094" w:rsidRDefault="00911094" w:rsidP="00132D70">
            <w:pPr>
              <w:widowControl w:val="0"/>
            </w:pPr>
            <w:r>
              <w:t>This is the highest schedular evaluation allowed under the law for tinnitus.</w:t>
            </w:r>
          </w:p>
        </w:tc>
      </w:tr>
      <w:tr w:rsidR="00911094" w:rsidTr="00BC2764">
        <w:tc>
          <w:tcPr>
            <w:tcW w:w="2379" w:type="dxa"/>
          </w:tcPr>
          <w:p w:rsidR="00911094" w:rsidRDefault="00911094">
            <w:pPr>
              <w:widowControl w:val="0"/>
            </w:pPr>
            <w:r>
              <w:t xml:space="preserve">Tinnitus not reported </w:t>
            </w:r>
          </w:p>
          <w:p w:rsidR="00911094" w:rsidRDefault="00911094">
            <w:pPr>
              <w:widowControl w:val="0"/>
            </w:pPr>
          </w:p>
          <w:p w:rsidR="001D006D" w:rsidRPr="001D006D" w:rsidRDefault="00911094" w:rsidP="000C7E7B">
            <w:pPr>
              <w:widowControl w:val="0"/>
            </w:pPr>
            <w:r w:rsidRPr="000C7E7B">
              <w:rPr>
                <w:i/>
              </w:rPr>
              <w:t>(</w:t>
            </w:r>
            <w:r>
              <w:rPr>
                <w:i/>
              </w:rPr>
              <w:t xml:space="preserve">if also </w:t>
            </w:r>
            <w:r>
              <w:rPr>
                <w:rFonts w:ascii="Verdana" w:hAnsi="Verdana"/>
                <w:b/>
                <w:bCs/>
                <w:highlight w:val="green"/>
              </w:rPr>
              <w:t>NIS</w:t>
            </w:r>
            <w:r>
              <w:rPr>
                <w:i/>
              </w:rPr>
              <w:t xml:space="preserve"> &amp; </w:t>
            </w:r>
            <w:r>
              <w:rPr>
                <w:rFonts w:ascii="Verdana" w:hAnsi="Verdana"/>
                <w:b/>
                <w:bCs/>
                <w:highlight w:val="green"/>
              </w:rPr>
              <w:t>STRs</w:t>
            </w:r>
            <w:r>
              <w:rPr>
                <w:i/>
              </w:rPr>
              <w:t xml:space="preserve"> </w:t>
            </w:r>
            <w:r w:rsidRPr="000C7E7B">
              <w:rPr>
                <w:i/>
              </w:rPr>
              <w:t>cho</w:t>
            </w:r>
            <w:r w:rsidR="00AB5712">
              <w:rPr>
                <w:i/>
              </w:rPr>
              <w:t>o</w:t>
            </w:r>
            <w:r w:rsidRPr="000C7E7B">
              <w:rPr>
                <w:i/>
              </w:rPr>
              <w:t>se “</w:t>
            </w:r>
            <w:r w:rsidR="00157A6E" w:rsidRPr="0010111B">
              <w:rPr>
                <w:i/>
                <w:color w:val="FF0000"/>
                <w:sz w:val="22"/>
                <w:szCs w:val="22"/>
              </w:rPr>
              <w:t>No Record of Condition</w:t>
            </w:r>
            <w:r w:rsidRPr="000C7E7B">
              <w:rPr>
                <w:i/>
              </w:rPr>
              <w:t>”)</w:t>
            </w:r>
          </w:p>
        </w:tc>
        <w:tc>
          <w:tcPr>
            <w:tcW w:w="8298" w:type="dxa"/>
          </w:tcPr>
          <w:p w:rsidR="00911094" w:rsidRPr="002C01F0" w:rsidRDefault="00BB15A1" w:rsidP="002C01F0">
            <w:pPr>
              <w:widowControl w:val="0"/>
            </w:pPr>
            <w:r w:rsidRPr="006133EE">
              <w:t>The evidence does not show a current disability</w:t>
            </w:r>
            <w:r>
              <w:t xml:space="preserve">. </w:t>
            </w:r>
            <w:r w:rsidR="00911094">
              <w:t>The DBQ shows you did</w:t>
            </w:r>
            <w:r w:rsidR="002C01F0">
              <w:t xml:space="preserve"> not report recurrent tinnitus.</w:t>
            </w:r>
          </w:p>
        </w:tc>
      </w:tr>
      <w:tr w:rsidR="00911094" w:rsidTr="00BC2764">
        <w:tc>
          <w:tcPr>
            <w:tcW w:w="2379" w:type="dxa"/>
          </w:tcPr>
          <w:p w:rsidR="00911094" w:rsidRDefault="00911094">
            <w:pPr>
              <w:widowControl w:val="0"/>
            </w:pPr>
            <w:r>
              <w:t>Pension</w:t>
            </w:r>
          </w:p>
          <w:p w:rsidR="00FD6E82" w:rsidRDefault="00FD6E82">
            <w:pPr>
              <w:widowControl w:val="0"/>
            </w:pPr>
          </w:p>
          <w:p w:rsidR="00FD6E82" w:rsidRPr="00FD6E82" w:rsidRDefault="00FD6E82" w:rsidP="00FD6E82">
            <w:pPr>
              <w:rPr>
                <w:i/>
                <w:sz w:val="18"/>
              </w:rPr>
            </w:pPr>
            <w:r>
              <w:rPr>
                <w:i/>
                <w:sz w:val="18"/>
              </w:rPr>
              <w:t>g</w:t>
            </w:r>
            <w:r w:rsidRPr="000B79A7">
              <w:rPr>
                <w:i/>
                <w:sz w:val="18"/>
              </w:rPr>
              <w:t xml:space="preserve">rant </w:t>
            </w:r>
            <w:r>
              <w:rPr>
                <w:i/>
                <w:sz w:val="18"/>
              </w:rPr>
              <w:t>P&amp;T / grantp&amp;t</w:t>
            </w:r>
          </w:p>
        </w:tc>
        <w:tc>
          <w:tcPr>
            <w:tcW w:w="8298" w:type="dxa"/>
          </w:tcPr>
          <w:p w:rsidR="00911094" w:rsidRPr="004B3F87" w:rsidRDefault="00911094">
            <w:pPr>
              <w:widowControl w:val="0"/>
              <w:tabs>
                <w:tab w:val="left" w:pos="0"/>
                <w:tab w:val="left" w:pos="144"/>
              </w:tabs>
              <w:rPr>
                <w:b/>
              </w:rPr>
            </w:pPr>
            <w:r w:rsidRPr="004B3F87">
              <w:rPr>
                <w:b/>
              </w:rPr>
              <w:t>Administrative grants:</w:t>
            </w:r>
          </w:p>
          <w:p w:rsidR="00911094" w:rsidRDefault="00911094">
            <w:pPr>
              <w:widowControl w:val="0"/>
              <w:tabs>
                <w:tab w:val="left" w:pos="0"/>
                <w:tab w:val="left" w:pos="144"/>
              </w:tabs>
            </w:pPr>
            <w:r>
              <w:t>VSR:  Pension can be administratively granted based on the veteran’s age, if the income and net worth requirements are met.</w:t>
            </w:r>
          </w:p>
          <w:p w:rsidR="00911094" w:rsidRDefault="00911094">
            <w:pPr>
              <w:pStyle w:val="Heading3"/>
              <w:keepNext w:val="0"/>
              <w:widowControl w:val="0"/>
              <w:pBdr>
                <w:top w:val="none" w:sz="0" w:space="0" w:color="auto"/>
                <w:left w:val="none" w:sz="0" w:space="0" w:color="auto"/>
                <w:bottom w:val="none" w:sz="0" w:space="0" w:color="auto"/>
                <w:right w:val="none" w:sz="0" w:space="0" w:color="auto"/>
              </w:pBdr>
              <w:rPr>
                <w:b w:val="0"/>
                <w:bCs w:val="0"/>
                <w:i/>
                <w:iCs/>
                <w:sz w:val="20"/>
              </w:rPr>
            </w:pPr>
            <w:r>
              <w:rPr>
                <w:b w:val="0"/>
                <w:bCs w:val="0"/>
                <w:i/>
                <w:iCs/>
                <w:sz w:val="20"/>
              </w:rPr>
              <w:t>OR</w:t>
            </w:r>
          </w:p>
          <w:p w:rsidR="00911094" w:rsidRDefault="00911094">
            <w:pPr>
              <w:widowControl w:val="0"/>
            </w:pPr>
            <w:r>
              <w:t xml:space="preserve">VSR:  Pension can be administratively granted, if the income and net worth requirements are met, as the veteran is presumed to be totally and permanently disabled for pension purposes because he/she is (1) a patient in a nursing home for long-term care because of disability (SMP based on A&amp;A can also be granted without a rating, </w:t>
            </w:r>
            <w:r w:rsidRPr="0030434B">
              <w:t xml:space="preserve">per </w:t>
            </w:r>
            <w:r>
              <w:rPr>
                <w:b/>
                <w:bCs/>
              </w:rPr>
              <w:t>V.ii.3</w:t>
            </w:r>
            <w:r w:rsidRPr="0030434B">
              <w:t>);</w:t>
            </w:r>
            <w:r>
              <w:t xml:space="preserve"> or (2) disabled, as determined by the Commissioner of Social Security (SS) for purposes of any benefits administered by the Commissioner, such as SS disability insurance or supplemental security income.</w:t>
            </w:r>
          </w:p>
          <w:p w:rsidR="00911094" w:rsidRDefault="00911094">
            <w:pPr>
              <w:pStyle w:val="TableofFigures"/>
              <w:widowControl w:val="0"/>
              <w:rPr>
                <w:rFonts w:ascii="Arial" w:hAnsi="Arial"/>
                <w:i/>
                <w:iCs/>
                <w:smallCaps w:val="0"/>
                <w:szCs w:val="24"/>
              </w:rPr>
            </w:pPr>
          </w:p>
          <w:p w:rsidR="00911094" w:rsidRPr="004B3F87" w:rsidRDefault="00911094" w:rsidP="004B3F87">
            <w:pPr>
              <w:widowControl w:val="0"/>
              <w:tabs>
                <w:tab w:val="left" w:pos="0"/>
                <w:tab w:val="left" w:pos="144"/>
              </w:tabs>
              <w:rPr>
                <w:b/>
              </w:rPr>
            </w:pPr>
            <w:r w:rsidRPr="004B3F87">
              <w:rPr>
                <w:b/>
              </w:rPr>
              <w:t xml:space="preserve">Administrative </w:t>
            </w:r>
            <w:r>
              <w:rPr>
                <w:b/>
              </w:rPr>
              <w:t>denials</w:t>
            </w:r>
            <w:r w:rsidRPr="004B3F87">
              <w:rPr>
                <w:b/>
              </w:rPr>
              <w:t>:</w:t>
            </w:r>
          </w:p>
          <w:p w:rsidR="00911094" w:rsidRDefault="00911094">
            <w:pPr>
              <w:widowControl w:val="0"/>
            </w:pPr>
            <w:r>
              <w:t xml:space="preserve">VSR:  Please administratively deny pension for no wartime service, per </w:t>
            </w:r>
            <w:r w:rsidRPr="0030434B">
              <w:rPr>
                <w:b/>
              </w:rPr>
              <w:t>III.ii.7</w:t>
            </w:r>
            <w:r>
              <w:rPr>
                <w:b/>
              </w:rPr>
              <w:t>.2.b.</w:t>
            </w:r>
          </w:p>
          <w:p w:rsidR="00911094" w:rsidRDefault="00911094">
            <w:pPr>
              <w:pStyle w:val="Heading3"/>
              <w:keepNext w:val="0"/>
              <w:widowControl w:val="0"/>
              <w:pBdr>
                <w:top w:val="none" w:sz="0" w:space="0" w:color="auto"/>
                <w:left w:val="none" w:sz="0" w:space="0" w:color="auto"/>
                <w:bottom w:val="none" w:sz="0" w:space="0" w:color="auto"/>
                <w:right w:val="none" w:sz="0" w:space="0" w:color="auto"/>
              </w:pBdr>
              <w:rPr>
                <w:b w:val="0"/>
                <w:bCs w:val="0"/>
                <w:i/>
                <w:iCs/>
                <w:sz w:val="20"/>
              </w:rPr>
            </w:pPr>
            <w:r>
              <w:rPr>
                <w:b w:val="0"/>
                <w:bCs w:val="0"/>
                <w:i/>
                <w:iCs/>
                <w:sz w:val="20"/>
              </w:rPr>
              <w:t>OR</w:t>
            </w:r>
          </w:p>
          <w:p w:rsidR="00911094" w:rsidRDefault="00911094">
            <w:pPr>
              <w:widowControl w:val="0"/>
              <w:rPr>
                <w:i/>
                <w:iCs/>
                <w:sz w:val="18"/>
              </w:rPr>
            </w:pPr>
            <w:r>
              <w:t xml:space="preserve">VSR:  Please administratively deny pension, as the veteran did not have 24 months of active duty, did not serve the full period for which he was called/ordered to active duty and is not excluded from these requirements. Per </w:t>
            </w:r>
            <w:r w:rsidRPr="00895E95">
              <w:rPr>
                <w:b/>
                <w:bCs/>
              </w:rPr>
              <w:t>3.12</w:t>
            </w:r>
            <w:r>
              <w:rPr>
                <w:b/>
                <w:bCs/>
              </w:rPr>
              <w:t>(</w:t>
            </w:r>
            <w:r w:rsidRPr="00895E95">
              <w:rPr>
                <w:b/>
                <w:bCs/>
              </w:rPr>
              <w:t>a</w:t>
            </w:r>
            <w:r>
              <w:rPr>
                <w:b/>
                <w:bCs/>
              </w:rPr>
              <w:t>)</w:t>
            </w:r>
            <w:r>
              <w:t xml:space="preserve">.  </w:t>
            </w:r>
            <w:r>
              <w:rPr>
                <w:i/>
                <w:iCs/>
                <w:sz w:val="18"/>
              </w:rPr>
              <w:t>(A veteran can be excluded from the minimum active duty requirement if they (1) had a hardship discharge or early out, or (2) were discharged for a disability, or (3) have a compensable service-connected disability.)</w:t>
            </w:r>
          </w:p>
          <w:p w:rsidR="00911094" w:rsidRDefault="00911094">
            <w:pPr>
              <w:widowControl w:val="0"/>
              <w:rPr>
                <w:i/>
                <w:iCs/>
                <w:sz w:val="18"/>
              </w:rPr>
            </w:pPr>
          </w:p>
          <w:p w:rsidR="00911094" w:rsidRDefault="00911094">
            <w:pPr>
              <w:widowControl w:val="0"/>
              <w:rPr>
                <w:i/>
                <w:iCs/>
                <w:sz w:val="18"/>
              </w:rPr>
            </w:pPr>
          </w:p>
          <w:p w:rsidR="00911094" w:rsidRDefault="00911094" w:rsidP="00F72090">
            <w:pPr>
              <w:widowControl w:val="0"/>
            </w:pPr>
            <w:r w:rsidRPr="00F72090">
              <w:t xml:space="preserve">Note to File:  The veteran completed the income and net worth information, but put "N/A" or selected "No" on all other answers in the Pension section and indicated that </w:t>
            </w:r>
            <w:r>
              <w:t>he</w:t>
            </w:r>
            <w:r w:rsidRPr="00F72090">
              <w:t xml:space="preserve"> is only applying for Compensation.</w:t>
            </w:r>
          </w:p>
        </w:tc>
      </w:tr>
      <w:tr w:rsidR="00911094" w:rsidTr="00BC2764">
        <w:tc>
          <w:tcPr>
            <w:tcW w:w="2379" w:type="dxa"/>
          </w:tcPr>
          <w:p w:rsidR="00911094" w:rsidRDefault="00911094">
            <w:pPr>
              <w:pStyle w:val="Header"/>
              <w:widowControl w:val="0"/>
              <w:tabs>
                <w:tab w:val="clear" w:pos="4320"/>
                <w:tab w:val="clear" w:pos="8640"/>
              </w:tabs>
            </w:pPr>
            <w:r>
              <w:t>IU</w:t>
            </w:r>
          </w:p>
        </w:tc>
        <w:tc>
          <w:tcPr>
            <w:tcW w:w="8298" w:type="dxa"/>
          </w:tcPr>
          <w:p w:rsidR="00911094" w:rsidRPr="00E00806" w:rsidRDefault="00911094">
            <w:pPr>
              <w:widowControl w:val="0"/>
              <w:rPr>
                <w:i/>
              </w:rPr>
            </w:pPr>
            <w:r w:rsidRPr="00E00806">
              <w:rPr>
                <w:i/>
              </w:rPr>
              <w:t>No 8940</w:t>
            </w:r>
            <w:r>
              <w:rPr>
                <w:i/>
              </w:rPr>
              <w:t xml:space="preserve"> – no8940</w:t>
            </w:r>
          </w:p>
          <w:p w:rsidR="00911094" w:rsidRDefault="00911094">
            <w:pPr>
              <w:widowControl w:val="0"/>
            </w:pPr>
            <w:r>
              <w:t>Note to File:  The Veteran meets the minimum schedular criteria under 38 CFR 4.16(a), however there is no evidence the Veteran is unemployable due to S/C conditions at this time. Therefore, IU is not being put at issue.</w:t>
            </w:r>
          </w:p>
          <w:p w:rsidR="00911094" w:rsidRDefault="00911094">
            <w:pPr>
              <w:widowControl w:val="0"/>
            </w:pPr>
          </w:p>
          <w:p w:rsidR="00911094" w:rsidRDefault="003C2DF9">
            <w:pPr>
              <w:widowControl w:val="0"/>
              <w:rPr>
                <w:i/>
                <w:iCs/>
              </w:rPr>
            </w:pPr>
            <w:r>
              <w:rPr>
                <w:i/>
                <w:iCs/>
              </w:rPr>
              <w:t xml:space="preserve">OR if </w:t>
            </w:r>
            <w:r w:rsidR="00911094">
              <w:rPr>
                <w:i/>
                <w:iCs/>
              </w:rPr>
              <w:t>infer IU, defer &amp;:</w:t>
            </w:r>
          </w:p>
          <w:p w:rsidR="00314F48" w:rsidRDefault="00911094">
            <w:pPr>
              <w:widowControl w:val="0"/>
            </w:pPr>
            <w:r>
              <w:t xml:space="preserve">VSR:  Please send 21-8940, as the veteran meets the schedular requirements for IU, and the available evidence on file indicates the veteran is unemployable due to SC conditions, per </w:t>
            </w:r>
            <w:r w:rsidRPr="003955C6">
              <w:rPr>
                <w:b/>
                <w:szCs w:val="21"/>
              </w:rPr>
              <w:t>IV.ii.2.F.2.</w:t>
            </w:r>
            <w:r w:rsidR="00D52F59">
              <w:rPr>
                <w:b/>
                <w:szCs w:val="21"/>
              </w:rPr>
              <w:t xml:space="preserve">k </w:t>
            </w:r>
            <w:r w:rsidR="00D52F59" w:rsidRPr="00D52F59">
              <w:rPr>
                <w:szCs w:val="21"/>
              </w:rPr>
              <w:t>&amp;</w:t>
            </w:r>
            <w:r w:rsidR="00D52F59">
              <w:rPr>
                <w:b/>
                <w:szCs w:val="21"/>
              </w:rPr>
              <w:t xml:space="preserve"> IV.ii.2.F.2.l</w:t>
            </w:r>
            <w:r>
              <w:t>.</w:t>
            </w:r>
          </w:p>
          <w:p w:rsidR="00314F48" w:rsidRPr="00314F48" w:rsidRDefault="00314F48">
            <w:pPr>
              <w:widowControl w:val="0"/>
              <w:rPr>
                <w:i/>
              </w:rPr>
            </w:pPr>
            <w:r w:rsidRPr="00314F48">
              <w:rPr>
                <w:i/>
              </w:rPr>
              <w:t xml:space="preserve">*add </w:t>
            </w:r>
            <w:r>
              <w:rPr>
                <w:i/>
              </w:rPr>
              <w:t xml:space="preserve">a </w:t>
            </w:r>
            <w:r w:rsidRPr="00314F48">
              <w:rPr>
                <w:i/>
              </w:rPr>
              <w:t>deferral</w:t>
            </w:r>
            <w:r w:rsidR="00DA2B8B">
              <w:rPr>
                <w:i/>
              </w:rPr>
              <w:t xml:space="preserve"> under the Deferrals tab</w:t>
            </w:r>
            <w:r w:rsidRPr="00314F48">
              <w:rPr>
                <w:i/>
              </w:rPr>
              <w:t xml:space="preserve"> in VBMS</w:t>
            </w:r>
            <w:r>
              <w:rPr>
                <w:i/>
              </w:rPr>
              <w:t xml:space="preserve"> (Issue – Inferred Issue)</w:t>
            </w:r>
          </w:p>
          <w:p w:rsidR="00314F48" w:rsidRDefault="00314F48" w:rsidP="00314F48">
            <w:pPr>
              <w:widowControl w:val="0"/>
              <w:rPr>
                <w:i/>
              </w:rPr>
            </w:pPr>
            <w:r>
              <w:rPr>
                <w:i/>
              </w:rPr>
              <w:t xml:space="preserve">**if you are not granting a benefit, do not infer &amp; defer IU, per </w:t>
            </w:r>
            <w:r>
              <w:rPr>
                <w:b/>
                <w:szCs w:val="21"/>
              </w:rPr>
              <w:t>III.iv.6.A.1.e</w:t>
            </w:r>
            <w:r>
              <w:rPr>
                <w:szCs w:val="21"/>
              </w:rPr>
              <w:t xml:space="preserve">, </w:t>
            </w:r>
            <w:r>
              <w:rPr>
                <w:i/>
                <w:szCs w:val="21"/>
              </w:rPr>
              <w:t>you first need to develop for IU info per</w:t>
            </w:r>
            <w:r>
              <w:rPr>
                <w:szCs w:val="21"/>
              </w:rPr>
              <w:t xml:space="preserve"> </w:t>
            </w:r>
            <w:r>
              <w:rPr>
                <w:rStyle w:val="Strong"/>
                <w:bCs w:val="0"/>
                <w:szCs w:val="21"/>
              </w:rPr>
              <w:t xml:space="preserve">IV.ii.2.F.2.m </w:t>
            </w:r>
            <w:r>
              <w:rPr>
                <w:i/>
              </w:rPr>
              <w:t>(Issue – Inferred Issue)</w:t>
            </w:r>
          </w:p>
          <w:p w:rsidR="008D2A57" w:rsidRDefault="008D2A57">
            <w:pPr>
              <w:widowControl w:val="0"/>
            </w:pPr>
          </w:p>
          <w:p w:rsidR="00432F8D" w:rsidRDefault="00432F8D">
            <w:pPr>
              <w:widowControl w:val="0"/>
            </w:pPr>
            <w:r>
              <w:t xml:space="preserve">Per VA Pulse, </w:t>
            </w:r>
            <w:r w:rsidRPr="00432F8D">
              <w:rPr>
                <w:i/>
              </w:rPr>
              <w:t>https://www.vapulse.net/message/138355</w:t>
            </w:r>
            <w:r>
              <w:t>, IU should then be added as a contention in VBMS.</w:t>
            </w:r>
          </w:p>
          <w:p w:rsidR="00911094" w:rsidRDefault="00911094">
            <w:pPr>
              <w:widowControl w:val="0"/>
            </w:pPr>
          </w:p>
          <w:p w:rsidR="00911094" w:rsidRDefault="00911094">
            <w:pPr>
              <w:widowControl w:val="0"/>
            </w:pPr>
            <w:r>
              <w:t xml:space="preserve">Note:  </w:t>
            </w:r>
            <w:r w:rsidR="005E3CD6">
              <w:rPr>
                <w:b/>
              </w:rPr>
              <w:t>IV.ii.2.F.2.m</w:t>
            </w:r>
            <w:r>
              <w:t xml:space="preserve"> says if claim that prompted the reasonably raised inference of IU was on a non-EZ or rec’d more than one year ago, need to send 5103 notice with 8940.</w:t>
            </w:r>
          </w:p>
          <w:p w:rsidR="00911094" w:rsidRDefault="00911094" w:rsidP="00AC3217">
            <w:pPr>
              <w:widowControl w:val="0"/>
              <w:rPr>
                <w:rFonts w:ascii="Helvetica" w:hAnsi="Helvetica"/>
                <w:b/>
                <w:lang w:val="en"/>
              </w:rPr>
            </w:pPr>
          </w:p>
          <w:p w:rsidR="00911094" w:rsidRDefault="00911094" w:rsidP="00593549">
            <w:pPr>
              <w:widowControl w:val="0"/>
              <w:rPr>
                <w:lang w:val="en"/>
              </w:rPr>
            </w:pPr>
            <w:r w:rsidRPr="00001FA1">
              <w:rPr>
                <w:b/>
                <w:lang w:val="en"/>
              </w:rPr>
              <w:t xml:space="preserve">III.iv.6.B </w:t>
            </w:r>
            <w:r w:rsidRPr="006F06CC">
              <w:rPr>
                <w:lang w:val="en"/>
              </w:rPr>
              <w:t xml:space="preserve">– </w:t>
            </w:r>
            <w:r w:rsidRPr="006F06CC">
              <w:rPr>
                <w:i/>
                <w:lang w:val="en"/>
              </w:rPr>
              <w:t>interpretation of Example 2 under III.iv.6.B.1.</w:t>
            </w:r>
            <w:r>
              <w:rPr>
                <w:i/>
                <w:lang w:val="en"/>
              </w:rPr>
              <w:t>c</w:t>
            </w:r>
            <w:r>
              <w:rPr>
                <w:b/>
                <w:lang w:val="en"/>
              </w:rPr>
              <w:t xml:space="preserve"> - </w:t>
            </w:r>
            <w:r w:rsidRPr="00001FA1">
              <w:rPr>
                <w:lang w:val="en"/>
              </w:rPr>
              <w:t>IU is a “reasonably raised” claim if exam shows symptoms of SC disability cause veteran to be fired from their job</w:t>
            </w:r>
          </w:p>
          <w:p w:rsidR="00911094" w:rsidRDefault="00911094" w:rsidP="00593549">
            <w:pPr>
              <w:widowControl w:val="0"/>
              <w:rPr>
                <w:lang w:val="en"/>
              </w:rPr>
            </w:pPr>
          </w:p>
          <w:p w:rsidR="00911094" w:rsidRPr="001E0E8E" w:rsidRDefault="00911094" w:rsidP="001E0E8E">
            <w:pPr>
              <w:widowControl w:val="0"/>
              <w:rPr>
                <w:lang w:val="en"/>
              </w:rPr>
            </w:pPr>
            <w:r>
              <w:rPr>
                <w:b/>
                <w:lang w:val="en"/>
              </w:rPr>
              <w:t>IV.ii.1.F.2.b</w:t>
            </w:r>
            <w:r>
              <w:rPr>
                <w:lang w:val="en"/>
              </w:rPr>
              <w:t xml:space="preserve"> – need new 8940 if prior one was part of finally adjudicated claim</w:t>
            </w:r>
          </w:p>
        </w:tc>
      </w:tr>
      <w:tr w:rsidR="00911094" w:rsidTr="00BC2764">
        <w:tc>
          <w:tcPr>
            <w:tcW w:w="2379" w:type="dxa"/>
          </w:tcPr>
          <w:p w:rsidR="00911094" w:rsidRDefault="00911094">
            <w:pPr>
              <w:pStyle w:val="TableofFigures"/>
              <w:widowControl w:val="0"/>
              <w:rPr>
                <w:rFonts w:ascii="Arial" w:hAnsi="Arial"/>
                <w:smallCaps w:val="0"/>
                <w:szCs w:val="24"/>
              </w:rPr>
            </w:pPr>
            <w:r>
              <w:rPr>
                <w:rFonts w:ascii="Arial" w:hAnsi="Arial"/>
                <w:smallCaps w:val="0"/>
                <w:szCs w:val="24"/>
              </w:rPr>
              <w:t>IU grant</w:t>
            </w:r>
          </w:p>
          <w:p w:rsidR="00911094" w:rsidRDefault="00911094" w:rsidP="00C50A43"/>
          <w:p w:rsidR="00911094" w:rsidRDefault="00911094" w:rsidP="00C50A43">
            <w:r>
              <w:t>Grant IU</w:t>
            </w:r>
          </w:p>
          <w:p w:rsidR="00911094" w:rsidRDefault="00911094" w:rsidP="00C50A43"/>
          <w:p w:rsidR="00911094" w:rsidRDefault="00911094" w:rsidP="001F7B4B">
            <w:r>
              <w:t>grantIU</w:t>
            </w:r>
          </w:p>
          <w:p w:rsidR="00911094" w:rsidRDefault="00911094" w:rsidP="001F7B4B"/>
          <w:p w:rsidR="00911094" w:rsidRDefault="00911094" w:rsidP="001F7B4B"/>
          <w:p w:rsidR="00911094" w:rsidRPr="00AC2FD3" w:rsidRDefault="00911094" w:rsidP="00060ED5">
            <w:pPr>
              <w:widowControl w:val="0"/>
              <w:rPr>
                <w:i/>
                <w:iCs/>
              </w:rPr>
            </w:pPr>
            <w:r w:rsidRPr="00AC2FD3">
              <w:rPr>
                <w:b/>
              </w:rPr>
              <w:t>IV.ii.2.F.4.</w:t>
            </w:r>
            <w:r w:rsidR="00060ED5">
              <w:rPr>
                <w:b/>
              </w:rPr>
              <w:t>m</w:t>
            </w:r>
            <w:r w:rsidR="00060ED5">
              <w:t xml:space="preserve"> - </w:t>
            </w:r>
            <w:r w:rsidRPr="00AC2FD3">
              <w:t>we have to explain how impairment from SC disability supports the decision and specify which disability(ies) render the veteran unemployable.</w:t>
            </w:r>
          </w:p>
        </w:tc>
        <w:tc>
          <w:tcPr>
            <w:tcW w:w="8298" w:type="dxa"/>
          </w:tcPr>
          <w:p w:rsidR="00911094" w:rsidRDefault="00911094">
            <w:pPr>
              <w:widowControl w:val="0"/>
              <w:rPr>
                <w:iCs/>
              </w:rPr>
            </w:pPr>
            <w:r w:rsidRPr="00413C52">
              <w:rPr>
                <w:iCs/>
              </w:rPr>
              <w:t xml:space="preserve">Entitlement to individual unemployability is granted because </w:t>
            </w:r>
            <w:r>
              <w:rPr>
                <w:iCs/>
              </w:rPr>
              <w:t>you are</w:t>
            </w:r>
            <w:r w:rsidRPr="00413C52">
              <w:rPr>
                <w:iCs/>
              </w:rPr>
              <w:t xml:space="preserve"> unable to secure or follow a substantially gainful occupation as a result of</w:t>
            </w:r>
            <w:r>
              <w:rPr>
                <w:iCs/>
              </w:rPr>
              <w:t xml:space="preserve"> your</w:t>
            </w:r>
            <w:r w:rsidRPr="00413C52">
              <w:rPr>
                <w:iCs/>
              </w:rPr>
              <w:t xml:space="preserve"> service-connected disabilit</w:t>
            </w:r>
            <w:r>
              <w:rPr>
                <w:iCs/>
              </w:rPr>
              <w:t>y(</w:t>
            </w:r>
            <w:r w:rsidRPr="00413C52">
              <w:rPr>
                <w:iCs/>
              </w:rPr>
              <w:t>ies</w:t>
            </w:r>
            <w:r>
              <w:rPr>
                <w:iCs/>
              </w:rPr>
              <w:t>) of {} because {}</w:t>
            </w:r>
            <w:r w:rsidR="00BF59B8">
              <w:rPr>
                <w:iCs/>
              </w:rPr>
              <w:t>.</w:t>
            </w:r>
          </w:p>
          <w:p w:rsidR="00911094" w:rsidRDefault="00911094">
            <w:pPr>
              <w:widowControl w:val="0"/>
              <w:rPr>
                <w:i/>
                <w:iCs/>
              </w:rPr>
            </w:pPr>
          </w:p>
          <w:p w:rsidR="00911094" w:rsidRDefault="00911094">
            <w:pPr>
              <w:widowControl w:val="0"/>
              <w:rPr>
                <w:i/>
                <w:iCs/>
              </w:rPr>
            </w:pPr>
            <w:r>
              <w:rPr>
                <w:i/>
                <w:iCs/>
              </w:rPr>
              <w:t>*consider SMC S based on other conditions not rendering them unemployable, if grant IU due to just one disability</w:t>
            </w:r>
          </w:p>
          <w:p w:rsidR="00911094" w:rsidRDefault="00911094">
            <w:pPr>
              <w:widowControl w:val="0"/>
              <w:rPr>
                <w:i/>
                <w:iCs/>
              </w:rPr>
            </w:pPr>
          </w:p>
          <w:p w:rsidR="00911094" w:rsidRDefault="00911094">
            <w:pPr>
              <w:widowControl w:val="0"/>
              <w:rPr>
                <w:i/>
                <w:iCs/>
              </w:rPr>
            </w:pPr>
            <w:r>
              <w:rPr>
                <w:i/>
                <w:iCs/>
              </w:rPr>
              <w:t>*consider Ch. 35</w:t>
            </w:r>
          </w:p>
          <w:p w:rsidR="00911094" w:rsidRDefault="00911094">
            <w:pPr>
              <w:widowControl w:val="0"/>
              <w:rPr>
                <w:i/>
                <w:iCs/>
              </w:rPr>
            </w:pPr>
          </w:p>
          <w:p w:rsidR="00911094" w:rsidRDefault="00911094">
            <w:pPr>
              <w:widowControl w:val="0"/>
              <w:rPr>
                <w:i/>
                <w:iCs/>
              </w:rPr>
            </w:pPr>
          </w:p>
          <w:p w:rsidR="00911094" w:rsidRDefault="00911094" w:rsidP="006F641A">
            <w:pPr>
              <w:widowControl w:val="0"/>
              <w:rPr>
                <w:rFonts w:ascii="Verdana" w:hAnsi="Verdana"/>
                <w:b/>
                <w:bCs/>
              </w:rPr>
            </w:pPr>
            <w:r>
              <w:rPr>
                <w:rFonts w:ascii="Verdana" w:hAnsi="Verdana"/>
                <w:b/>
                <w:bCs/>
                <w:highlight w:val="green"/>
              </w:rPr>
              <w:t>EMPLO</w:t>
            </w:r>
          </w:p>
          <w:p w:rsidR="00911094" w:rsidRDefault="00911094">
            <w:pPr>
              <w:widowControl w:val="0"/>
              <w:rPr>
                <w:i/>
                <w:iCs/>
              </w:rPr>
            </w:pPr>
          </w:p>
          <w:p w:rsidR="00911094" w:rsidRDefault="00D571C5" w:rsidP="000D3716">
            <w:pPr>
              <w:tabs>
                <w:tab w:val="left" w:pos="720"/>
              </w:tabs>
              <w:spacing w:after="120"/>
              <w:rPr>
                <w:i/>
                <w:iCs/>
              </w:rPr>
            </w:pPr>
            <w:hyperlink r:id="rId289" w:history="1">
              <w:r w:rsidR="00911094" w:rsidRPr="008E0653">
                <w:rPr>
                  <w:rStyle w:val="Hyperlink"/>
                  <w:b/>
                  <w:i/>
                </w:rPr>
                <w:t xml:space="preserve">May 2014 Rating </w:t>
              </w:r>
              <w:r w:rsidR="00911094">
                <w:rPr>
                  <w:rStyle w:val="Hyperlink"/>
                  <w:b/>
                  <w:i/>
                </w:rPr>
                <w:t>Quality Call Notes</w:t>
              </w:r>
            </w:hyperlink>
            <w:r w:rsidR="00911094" w:rsidRPr="008E0653">
              <w:t xml:space="preserve"> – </w:t>
            </w:r>
            <w:r w:rsidR="00911094">
              <w:t>Competency needs to be considered if mental at 70% &amp; grant IU based on that mental disability.</w:t>
            </w:r>
          </w:p>
          <w:p w:rsidR="00911094" w:rsidRDefault="00911094">
            <w:pPr>
              <w:pStyle w:val="Header"/>
              <w:widowControl w:val="0"/>
              <w:tabs>
                <w:tab w:val="clear" w:pos="4320"/>
                <w:tab w:val="clear" w:pos="8640"/>
              </w:tabs>
              <w:rPr>
                <w:b/>
                <w:bCs/>
              </w:rPr>
            </w:pPr>
            <w:r>
              <w:rPr>
                <w:b/>
                <w:bCs/>
              </w:rPr>
              <w:t>IU effective date:</w:t>
            </w:r>
          </w:p>
          <w:p w:rsidR="00911094" w:rsidRDefault="00911094">
            <w:pPr>
              <w:pStyle w:val="Header"/>
              <w:widowControl w:val="0"/>
              <w:tabs>
                <w:tab w:val="clear" w:pos="4320"/>
                <w:tab w:val="clear" w:pos="8640"/>
              </w:tabs>
              <w:rPr>
                <w:iCs/>
              </w:rPr>
            </w:pPr>
            <w:r>
              <w:rPr>
                <w:iCs/>
              </w:rPr>
              <w:t>Individual Unemployability is granted from {}, the day following the date you last worked, as you filed the claim within one year of the date you last worked.</w:t>
            </w:r>
          </w:p>
          <w:p w:rsidR="00911094" w:rsidRDefault="00911094">
            <w:pPr>
              <w:pStyle w:val="Header"/>
              <w:widowControl w:val="0"/>
              <w:tabs>
                <w:tab w:val="clear" w:pos="4320"/>
                <w:tab w:val="clear" w:pos="8640"/>
              </w:tabs>
              <w:rPr>
                <w:i/>
              </w:rPr>
            </w:pPr>
            <w:r>
              <w:rPr>
                <w:i/>
              </w:rPr>
              <w:t>OR</w:t>
            </w:r>
          </w:p>
          <w:p w:rsidR="00911094" w:rsidRPr="00E55774" w:rsidRDefault="00911094">
            <w:pPr>
              <w:widowControl w:val="0"/>
              <w:rPr>
                <w:i/>
              </w:rPr>
            </w:pPr>
            <w:r>
              <w:rPr>
                <w:iCs/>
              </w:rPr>
              <w:t>Individual Unemployability is granted from {},</w:t>
            </w:r>
            <w:r>
              <w:t xml:space="preserve"> the earliest date you met all of the criteria for entitlement to individual unemployability. </w:t>
            </w:r>
            <w:r w:rsidR="000A3330">
              <w:t>OR , the day VA received your previous claim as that is the earliest date you met all of the criteria for entitlement to individual unemployability.</w:t>
            </w:r>
            <w:r w:rsidR="000A3330" w:rsidRPr="00E55774">
              <w:rPr>
                <w:i/>
              </w:rPr>
              <w:t xml:space="preserve"> </w:t>
            </w:r>
            <w:r w:rsidRPr="00E55774">
              <w:rPr>
                <w:i/>
              </w:rPr>
              <w:t>(use</w:t>
            </w:r>
            <w:r>
              <w:rPr>
                <w:i/>
              </w:rPr>
              <w:t xml:space="preserve"> this with</w:t>
            </w:r>
            <w:r w:rsidRPr="00E55774">
              <w:rPr>
                <w:i/>
              </w:rPr>
              <w:t xml:space="preserve"> </w:t>
            </w:r>
            <w:r>
              <w:rPr>
                <w:i/>
              </w:rPr>
              <w:t xml:space="preserve">date of CFI if </w:t>
            </w:r>
            <w:r w:rsidRPr="00E55774">
              <w:rPr>
                <w:i/>
              </w:rPr>
              <w:t>solicit IU claim &amp; get 8940 w/i 1 year)</w:t>
            </w:r>
          </w:p>
          <w:p w:rsidR="00911094" w:rsidRDefault="00911094">
            <w:pPr>
              <w:pStyle w:val="Header"/>
              <w:widowControl w:val="0"/>
              <w:tabs>
                <w:tab w:val="clear" w:pos="4320"/>
                <w:tab w:val="clear" w:pos="8640"/>
              </w:tabs>
              <w:rPr>
                <w:i/>
              </w:rPr>
            </w:pPr>
            <w:r>
              <w:rPr>
                <w:i/>
              </w:rPr>
              <w:t>OR</w:t>
            </w:r>
          </w:p>
          <w:p w:rsidR="00911094" w:rsidRDefault="00911094">
            <w:pPr>
              <w:widowControl w:val="0"/>
            </w:pPr>
            <w:r>
              <w:rPr>
                <w:iCs/>
              </w:rPr>
              <w:t>Individual Unemployability is granted from {},</w:t>
            </w:r>
            <w:r>
              <w:t xml:space="preserve"> the day VA received your claim.</w:t>
            </w:r>
          </w:p>
        </w:tc>
      </w:tr>
      <w:tr w:rsidR="00911094" w:rsidTr="00BC2764">
        <w:trPr>
          <w:trHeight w:val="3743"/>
        </w:trPr>
        <w:tc>
          <w:tcPr>
            <w:tcW w:w="2379" w:type="dxa"/>
          </w:tcPr>
          <w:p w:rsidR="00911094" w:rsidRDefault="00911094" w:rsidP="00360643">
            <w:pPr>
              <w:pStyle w:val="TableofFigures"/>
              <w:widowControl w:val="0"/>
              <w:rPr>
                <w:rFonts w:ascii="Arial" w:hAnsi="Arial"/>
                <w:smallCaps w:val="0"/>
                <w:szCs w:val="24"/>
              </w:rPr>
            </w:pPr>
            <w:r>
              <w:rPr>
                <w:rFonts w:ascii="Arial" w:hAnsi="Arial"/>
                <w:smallCaps w:val="0"/>
                <w:szCs w:val="24"/>
              </w:rPr>
              <w:t>Ch35 grant</w:t>
            </w:r>
          </w:p>
          <w:p w:rsidR="00911094" w:rsidRDefault="00911094" w:rsidP="00C50A43"/>
          <w:p w:rsidR="00911094" w:rsidRDefault="00911094" w:rsidP="00C50A43">
            <w:r>
              <w:t>Grant Ch35</w:t>
            </w:r>
          </w:p>
          <w:p w:rsidR="00911094" w:rsidRDefault="00911094" w:rsidP="00C50A43"/>
          <w:p w:rsidR="00911094" w:rsidRDefault="00911094" w:rsidP="00C50A43">
            <w:r>
              <w:t>grantch35</w:t>
            </w:r>
          </w:p>
          <w:p w:rsidR="00911094" w:rsidRDefault="00911094" w:rsidP="00C50A43"/>
          <w:p w:rsidR="00911094" w:rsidRDefault="00911094" w:rsidP="00C50A43">
            <w:r>
              <w:t>Ch. 35</w:t>
            </w:r>
          </w:p>
          <w:p w:rsidR="00FE0241" w:rsidRDefault="00FE0241" w:rsidP="00C50A43"/>
          <w:p w:rsidR="00FE0241" w:rsidRPr="00C50A43" w:rsidRDefault="00FE0241" w:rsidP="00C50A43">
            <w:r>
              <w:t>DEA</w:t>
            </w:r>
          </w:p>
        </w:tc>
        <w:tc>
          <w:tcPr>
            <w:tcW w:w="8298" w:type="dxa"/>
          </w:tcPr>
          <w:p w:rsidR="00911094" w:rsidRDefault="00911094">
            <w:pPr>
              <w:tabs>
                <w:tab w:val="left" w:pos="0"/>
                <w:tab w:val="left" w:pos="144"/>
              </w:tabs>
              <w:rPr>
                <w:rFonts w:ascii="Verdana" w:hAnsi="Verdana"/>
                <w:b/>
                <w:bCs/>
                <w:szCs w:val="22"/>
              </w:rPr>
            </w:pPr>
            <w:r>
              <w:rPr>
                <w:rFonts w:ascii="Verdana" w:hAnsi="Verdana"/>
                <w:b/>
                <w:bCs/>
                <w:szCs w:val="22"/>
                <w:highlight w:val="green"/>
              </w:rPr>
              <w:t xml:space="preserve">USE </w:t>
            </w:r>
            <w:r w:rsidR="00C551BE">
              <w:rPr>
                <w:rFonts w:ascii="Verdana" w:hAnsi="Verdana"/>
                <w:b/>
                <w:bCs/>
                <w:szCs w:val="22"/>
                <w:highlight w:val="green"/>
              </w:rPr>
              <w:t>VBMS-R System-Generated Text</w:t>
            </w:r>
          </w:p>
          <w:p w:rsidR="00911094" w:rsidRDefault="00911094">
            <w:pPr>
              <w:widowControl w:val="0"/>
              <w:rPr>
                <w:i/>
                <w:iCs/>
                <w:szCs w:val="22"/>
              </w:rPr>
            </w:pPr>
          </w:p>
          <w:p w:rsidR="00911094" w:rsidRDefault="00911094">
            <w:pPr>
              <w:widowControl w:val="0"/>
            </w:pPr>
            <w:r w:rsidRPr="00C63467">
              <w:rPr>
                <w:b/>
              </w:rPr>
              <w:t>IX.ii.2.1.k</w:t>
            </w:r>
            <w:r w:rsidRPr="00C63467">
              <w:t xml:space="preserve"> - The RO does not actually determine the effective date of  the DEA benefit.  It makes a determination on the date of commencement of a P&amp;T disability. </w:t>
            </w:r>
            <w:hyperlink r:id="rId290" w:tgtFrame="_blank" w:history="1">
              <w:r w:rsidRPr="00C63467">
                <w:rPr>
                  <w:rStyle w:val="Hyperlink"/>
                </w:rPr>
                <w:t xml:space="preserve"> 38 CFR 21.3021(r)</w:t>
              </w:r>
            </w:hyperlink>
            <w:r w:rsidRPr="00C63467">
              <w:t xml:space="preserve"> defines </w:t>
            </w:r>
            <w:r w:rsidRPr="00C63467">
              <w:rPr>
                <w:rStyle w:val="Emphasis"/>
                <w:b/>
                <w:bCs/>
              </w:rPr>
              <w:t>effective date of the P&amp;T rating</w:t>
            </w:r>
            <w:r w:rsidRPr="00C63467">
              <w:t xml:space="preserve"> as the date from which VA considers that P&amp;T disability commenced for the purpose of VA benefits as determined in the initial rating decision.</w:t>
            </w:r>
          </w:p>
          <w:p w:rsidR="00911094" w:rsidRDefault="00911094">
            <w:pPr>
              <w:widowControl w:val="0"/>
            </w:pPr>
          </w:p>
          <w:p w:rsidR="00911094" w:rsidRDefault="00911094">
            <w:pPr>
              <w:widowControl w:val="0"/>
              <w:rPr>
                <w:iCs/>
              </w:rPr>
            </w:pPr>
            <w:r w:rsidRPr="00EC59DE">
              <w:rPr>
                <w:b/>
                <w:iCs/>
              </w:rPr>
              <w:t>III.ii.2.B.1.i</w:t>
            </w:r>
            <w:r>
              <w:rPr>
                <w:iCs/>
              </w:rPr>
              <w:t xml:space="preserve"> – P&amp;T requests (veteran needs to specify SC issue(s) associated with claimed P&amp;T status, if not it’s an incomplete application; change 8/12/16 – exception is if only one SC disability exists); addressing Ch. 35 addresses request for P&amp;T</w:t>
            </w:r>
          </w:p>
          <w:p w:rsidR="000F483F" w:rsidRDefault="000F483F">
            <w:pPr>
              <w:widowControl w:val="0"/>
              <w:rPr>
                <w:iCs/>
              </w:rPr>
            </w:pPr>
          </w:p>
          <w:p w:rsidR="000F483F" w:rsidRDefault="000F483F">
            <w:pPr>
              <w:widowControl w:val="0"/>
              <w:rPr>
                <w:iCs/>
              </w:rPr>
            </w:pPr>
            <w:r w:rsidRPr="000F483F">
              <w:rPr>
                <w:b/>
                <w:iCs/>
              </w:rPr>
              <w:t>III.iv.5.B.3.a</w:t>
            </w:r>
            <w:r>
              <w:rPr>
                <w:iCs/>
              </w:rPr>
              <w:t xml:space="preserve"> – conceding permanence</w:t>
            </w:r>
          </w:p>
          <w:p w:rsidR="003677BC" w:rsidRDefault="003677BC">
            <w:pPr>
              <w:widowControl w:val="0"/>
              <w:rPr>
                <w:iCs/>
              </w:rPr>
            </w:pPr>
          </w:p>
          <w:p w:rsidR="003677BC" w:rsidRPr="003677BC" w:rsidRDefault="00D571C5" w:rsidP="003677BC">
            <w:pPr>
              <w:pStyle w:val="BodyText"/>
              <w:rPr>
                <w:sz w:val="20"/>
              </w:rPr>
            </w:pPr>
            <w:hyperlink r:id="rId291" w:history="1">
              <w:r w:rsidR="003677BC" w:rsidRPr="003677BC">
                <w:rPr>
                  <w:rStyle w:val="Hyperlink"/>
                  <w:b/>
                  <w:bCs/>
                  <w:i/>
                  <w:sz w:val="20"/>
                </w:rPr>
                <w:t>November 2017 Quality Call Notes</w:t>
              </w:r>
            </w:hyperlink>
            <w:r w:rsidR="003677BC" w:rsidRPr="003677BC">
              <w:rPr>
                <w:bCs/>
                <w:sz w:val="20"/>
              </w:rPr>
              <w:t xml:space="preserve"> </w:t>
            </w:r>
            <w:r w:rsidR="003677BC" w:rsidRPr="003677BC">
              <w:rPr>
                <w:sz w:val="20"/>
              </w:rPr>
              <w:t xml:space="preserve"> - </w:t>
            </w:r>
            <w:r w:rsidR="003677BC" w:rsidRPr="003677BC">
              <w:rPr>
                <w:b/>
                <w:sz w:val="20"/>
              </w:rPr>
              <w:t>FAQ regarding EP 310s for P&amp;T determinations</w:t>
            </w:r>
            <w:r w:rsidR="003677BC" w:rsidRPr="003677BC">
              <w:rPr>
                <w:sz w:val="20"/>
              </w:rPr>
              <w:t>:</w:t>
            </w:r>
          </w:p>
          <w:p w:rsidR="003677BC" w:rsidRPr="003677BC" w:rsidRDefault="003677BC" w:rsidP="00F063AF">
            <w:pPr>
              <w:pStyle w:val="BodyText"/>
              <w:numPr>
                <w:ilvl w:val="0"/>
                <w:numId w:val="396"/>
              </w:numPr>
              <w:tabs>
                <w:tab w:val="left" w:pos="3326"/>
              </w:tabs>
              <w:overflowPunct/>
              <w:autoSpaceDE/>
              <w:autoSpaceDN/>
              <w:adjustRightInd/>
              <w:spacing w:line="260" w:lineRule="atLeast"/>
              <w:jc w:val="both"/>
              <w:textAlignment w:val="auto"/>
              <w:rPr>
                <w:sz w:val="20"/>
              </w:rPr>
            </w:pPr>
            <w:r w:rsidRPr="003677BC">
              <w:rPr>
                <w:sz w:val="20"/>
              </w:rPr>
              <w:t>Effective date is generally the date of review.</w:t>
            </w:r>
          </w:p>
          <w:p w:rsidR="003677BC" w:rsidRPr="003677BC" w:rsidRDefault="003677BC" w:rsidP="00F063AF">
            <w:pPr>
              <w:pStyle w:val="BodyText"/>
              <w:numPr>
                <w:ilvl w:val="0"/>
                <w:numId w:val="396"/>
              </w:numPr>
              <w:tabs>
                <w:tab w:val="left" w:pos="3326"/>
              </w:tabs>
              <w:overflowPunct/>
              <w:autoSpaceDE/>
              <w:autoSpaceDN/>
              <w:adjustRightInd/>
              <w:spacing w:line="260" w:lineRule="atLeast"/>
              <w:jc w:val="both"/>
              <w:textAlignment w:val="auto"/>
              <w:rPr>
                <w:sz w:val="20"/>
              </w:rPr>
            </w:pPr>
            <w:r w:rsidRPr="003677BC">
              <w:rPr>
                <w:sz w:val="20"/>
              </w:rPr>
              <w:t>Only a P&amp;T decision is needed (no C&amp;C’s for RFE condition).</w:t>
            </w:r>
          </w:p>
          <w:p w:rsidR="003677BC" w:rsidRPr="003677BC" w:rsidRDefault="003677BC" w:rsidP="00F063AF">
            <w:pPr>
              <w:pStyle w:val="BodyText"/>
              <w:numPr>
                <w:ilvl w:val="0"/>
                <w:numId w:val="396"/>
              </w:numPr>
              <w:tabs>
                <w:tab w:val="left" w:pos="3326"/>
              </w:tabs>
              <w:overflowPunct/>
              <w:autoSpaceDE/>
              <w:autoSpaceDN/>
              <w:adjustRightInd/>
              <w:spacing w:line="260" w:lineRule="atLeast"/>
              <w:jc w:val="both"/>
              <w:textAlignment w:val="auto"/>
              <w:rPr>
                <w:sz w:val="20"/>
              </w:rPr>
            </w:pPr>
            <w:r w:rsidRPr="003677BC">
              <w:rPr>
                <w:sz w:val="20"/>
              </w:rPr>
              <w:t>If Veteran is already P&amp;T, no other action is required for RFE condition – submit EP 310 to be cancelled.</w:t>
            </w:r>
          </w:p>
          <w:p w:rsidR="003677BC" w:rsidRPr="003677BC" w:rsidRDefault="003677BC" w:rsidP="00F063AF">
            <w:pPr>
              <w:pStyle w:val="BodyText"/>
              <w:numPr>
                <w:ilvl w:val="0"/>
                <w:numId w:val="396"/>
              </w:numPr>
              <w:tabs>
                <w:tab w:val="left" w:pos="3326"/>
              </w:tabs>
              <w:overflowPunct/>
              <w:autoSpaceDE/>
              <w:autoSpaceDN/>
              <w:adjustRightInd/>
              <w:spacing w:line="260" w:lineRule="atLeast"/>
              <w:jc w:val="both"/>
              <w:textAlignment w:val="auto"/>
              <w:rPr>
                <w:sz w:val="20"/>
              </w:rPr>
            </w:pPr>
            <w:r w:rsidRPr="003677BC">
              <w:rPr>
                <w:sz w:val="20"/>
              </w:rPr>
              <w:t>If Veteran is 100% due to 1151 grant ensure that the 1151 flash is of record to avoid this coming up on our next review.</w:t>
            </w:r>
          </w:p>
          <w:p w:rsidR="003677BC" w:rsidRPr="003677BC" w:rsidRDefault="003677BC" w:rsidP="00F063AF">
            <w:pPr>
              <w:pStyle w:val="BodyText"/>
              <w:numPr>
                <w:ilvl w:val="0"/>
                <w:numId w:val="396"/>
              </w:numPr>
              <w:tabs>
                <w:tab w:val="left" w:pos="3326"/>
              </w:tabs>
              <w:overflowPunct/>
              <w:autoSpaceDE/>
              <w:autoSpaceDN/>
              <w:adjustRightInd/>
              <w:spacing w:line="260" w:lineRule="atLeast"/>
              <w:jc w:val="both"/>
              <w:textAlignment w:val="auto"/>
              <w:rPr>
                <w:sz w:val="20"/>
              </w:rPr>
            </w:pPr>
            <w:r w:rsidRPr="003677BC">
              <w:rPr>
                <w:sz w:val="20"/>
              </w:rPr>
              <w:t>If a regulatory DC exists (e.g. cancers), that was not the DC we cancelled.  Review the last codesheet.</w:t>
            </w:r>
          </w:p>
          <w:p w:rsidR="003677BC" w:rsidRPr="003677BC" w:rsidRDefault="003677BC" w:rsidP="00F063AF">
            <w:pPr>
              <w:pStyle w:val="BodyText"/>
              <w:numPr>
                <w:ilvl w:val="0"/>
                <w:numId w:val="396"/>
              </w:numPr>
              <w:tabs>
                <w:tab w:val="left" w:pos="3326"/>
              </w:tabs>
              <w:overflowPunct/>
              <w:autoSpaceDE/>
              <w:autoSpaceDN/>
              <w:adjustRightInd/>
              <w:spacing w:after="120" w:line="260" w:lineRule="atLeast"/>
              <w:jc w:val="both"/>
              <w:textAlignment w:val="auto"/>
              <w:rPr>
                <w:sz w:val="20"/>
              </w:rPr>
            </w:pPr>
            <w:r w:rsidRPr="003677BC">
              <w:rPr>
                <w:sz w:val="20"/>
              </w:rPr>
              <w:t>Document, document, document.  Write VBMS notes that others can understand.</w:t>
            </w:r>
          </w:p>
          <w:p w:rsidR="003677BC" w:rsidRPr="000F483F" w:rsidRDefault="003677BC">
            <w:pPr>
              <w:widowControl w:val="0"/>
              <w:rPr>
                <w:iCs/>
              </w:rPr>
            </w:pPr>
          </w:p>
          <w:p w:rsidR="00911094" w:rsidRDefault="00911094">
            <w:pPr>
              <w:widowControl w:val="0"/>
              <w:rPr>
                <w:iCs/>
              </w:rPr>
            </w:pPr>
          </w:p>
          <w:p w:rsidR="00911094" w:rsidRDefault="00911094">
            <w:pPr>
              <w:widowControl w:val="0"/>
              <w:rPr>
                <w:iCs/>
              </w:rPr>
            </w:pPr>
            <w:r w:rsidRPr="00201C34">
              <w:rPr>
                <w:i/>
                <w:iCs/>
                <w:color w:val="00B050"/>
              </w:rPr>
              <w:t>My Notes:</w:t>
            </w:r>
            <w:r w:rsidRPr="00201C34">
              <w:rPr>
                <w:iCs/>
                <w:color w:val="00B050"/>
              </w:rPr>
              <w:t xml:space="preserve">  </w:t>
            </w:r>
            <w:r w:rsidRPr="00D36CD9">
              <w:rPr>
                <w:i/>
                <w:iCs/>
              </w:rPr>
              <w:t>If P&amp;T based on review exam, use that exam date for effective date.</w:t>
            </w:r>
          </w:p>
          <w:p w:rsidR="00911094" w:rsidRDefault="00911094">
            <w:pPr>
              <w:widowControl w:val="0"/>
              <w:rPr>
                <w:iCs/>
              </w:rPr>
            </w:pPr>
          </w:p>
          <w:p w:rsidR="00911094" w:rsidRPr="00C80939" w:rsidRDefault="00911094">
            <w:pPr>
              <w:widowControl w:val="0"/>
              <w:rPr>
                <w:i/>
                <w:iCs/>
              </w:rPr>
            </w:pPr>
            <w:r w:rsidRPr="00C80939">
              <w:rPr>
                <w:i/>
                <w:iCs/>
              </w:rPr>
              <w:t xml:space="preserve">VSR at Houston RO (in Nov 2016) says effective date explanation is required, </w:t>
            </w:r>
            <w:r w:rsidRPr="00C80939">
              <w:rPr>
                <w:i/>
              </w:rPr>
              <w:t>per III.iv.6.C.5.a</w:t>
            </w:r>
            <w:r w:rsidRPr="00C80939">
              <w:rPr>
                <w:i/>
                <w:iCs/>
              </w:rPr>
              <w:t>, but to me it’s unclear, no one else seemed to be doing it &amp; I stopped several months prior without anyone saying anything until now. As of Dec 2016, Trainee RVSRs are adding explanation date (trained to do so at Challenge?).</w:t>
            </w:r>
          </w:p>
          <w:p w:rsidR="00911094" w:rsidRPr="004A5C18" w:rsidRDefault="00911094" w:rsidP="00C80939">
            <w:pPr>
              <w:widowControl w:val="0"/>
              <w:rPr>
                <w:i/>
                <w:iCs/>
              </w:rPr>
            </w:pPr>
            <w:r w:rsidRPr="00C80939">
              <w:t>Eligibility has been established from {}, the date of the DBQ showing permanency.</w:t>
            </w:r>
          </w:p>
        </w:tc>
      </w:tr>
      <w:tr w:rsidR="00911094" w:rsidTr="00BC2764">
        <w:trPr>
          <w:trHeight w:val="1214"/>
        </w:trPr>
        <w:tc>
          <w:tcPr>
            <w:tcW w:w="2379" w:type="dxa"/>
          </w:tcPr>
          <w:p w:rsidR="00911094" w:rsidRDefault="00911094">
            <w:pPr>
              <w:pStyle w:val="Header"/>
              <w:widowControl w:val="0"/>
              <w:tabs>
                <w:tab w:val="clear" w:pos="4320"/>
                <w:tab w:val="clear" w:pos="8640"/>
              </w:tabs>
              <w:rPr>
                <w:bCs/>
                <w:iCs/>
              </w:rPr>
            </w:pPr>
            <w:r>
              <w:rPr>
                <w:bCs/>
                <w:iCs/>
              </w:rPr>
              <w:t>EB Notes</w:t>
            </w:r>
          </w:p>
          <w:p w:rsidR="00911094" w:rsidRDefault="00911094">
            <w:pPr>
              <w:pStyle w:val="Header"/>
              <w:widowControl w:val="0"/>
              <w:tabs>
                <w:tab w:val="clear" w:pos="4320"/>
                <w:tab w:val="clear" w:pos="8640"/>
              </w:tabs>
              <w:rPr>
                <w:bCs/>
                <w:iCs/>
              </w:rPr>
            </w:pPr>
          </w:p>
          <w:p w:rsidR="00911094" w:rsidRDefault="00911094">
            <w:pPr>
              <w:pStyle w:val="Header"/>
              <w:widowControl w:val="0"/>
              <w:tabs>
                <w:tab w:val="clear" w:pos="4320"/>
                <w:tab w:val="clear" w:pos="8640"/>
              </w:tabs>
              <w:rPr>
                <w:bCs/>
                <w:iCs/>
              </w:rPr>
            </w:pPr>
          </w:p>
          <w:p w:rsidR="00911094" w:rsidRDefault="00911094" w:rsidP="001453C4">
            <w:pPr>
              <w:pStyle w:val="Header"/>
              <w:widowControl w:val="0"/>
              <w:shd w:val="clear" w:color="auto" w:fill="FFC000"/>
              <w:tabs>
                <w:tab w:val="clear" w:pos="4320"/>
                <w:tab w:val="clear" w:pos="8640"/>
              </w:tabs>
              <w:rPr>
                <w:bCs/>
                <w:iCs/>
              </w:rPr>
            </w:pPr>
            <w:r w:rsidRPr="001453C4">
              <w:rPr>
                <w:b/>
                <w:bCs/>
                <w:iCs/>
              </w:rPr>
              <w:t>OverrideTraining</w:t>
            </w:r>
            <w:r>
              <w:rPr>
                <w:bCs/>
                <w:iCs/>
              </w:rPr>
              <w:t xml:space="preserve"> PowerPoint is saved at H:\VSC\Development &amp; Rating Resources</w:t>
            </w:r>
          </w:p>
          <w:p w:rsidR="00911094" w:rsidRPr="00C50A43" w:rsidRDefault="00911094" w:rsidP="00C50A43"/>
        </w:tc>
        <w:tc>
          <w:tcPr>
            <w:tcW w:w="8298" w:type="dxa"/>
          </w:tcPr>
          <w:p w:rsidR="00911094" w:rsidRDefault="00911094" w:rsidP="00D846EF">
            <w:pPr>
              <w:pStyle w:val="Header"/>
              <w:widowControl w:val="0"/>
              <w:tabs>
                <w:tab w:val="clear" w:pos="4320"/>
                <w:tab w:val="clear" w:pos="8640"/>
              </w:tabs>
            </w:pPr>
            <w:r>
              <w:rPr>
                <w:i/>
              </w:rPr>
              <w:t>In July 2014, a VBMS PMO Program Analyst</w:t>
            </w:r>
            <w:r w:rsidRPr="00E92B05">
              <w:rPr>
                <w:i/>
              </w:rPr>
              <w:t xml:space="preserve"> said </w:t>
            </w:r>
            <w:r>
              <w:rPr>
                <w:i/>
              </w:rPr>
              <w:t>higher evals (specifically hemorrhoids at 20% for persistent bleeding) are</w:t>
            </w:r>
            <w:r w:rsidRPr="00E92B05">
              <w:rPr>
                <w:i/>
              </w:rPr>
              <w:t xml:space="preserve"> correct per </w:t>
            </w:r>
            <w:r>
              <w:rPr>
                <w:i/>
              </w:rPr>
              <w:t xml:space="preserve">4.7, per </w:t>
            </w:r>
            <w:r w:rsidRPr="00E92B05">
              <w:rPr>
                <w:i/>
              </w:rPr>
              <w:t>Tatum</w:t>
            </w:r>
            <w:r>
              <w:rPr>
                <w:i/>
              </w:rPr>
              <w:t xml:space="preserve"> (&amp; noted that it is supported &amp; approved by Comp Service and Policy Staff) </w:t>
            </w:r>
            <w:r w:rsidRPr="00D2563F">
              <w:rPr>
                <w:b/>
                <w:highlight w:val="cyan"/>
              </w:rPr>
              <w:t>VBA Issue Tracker Response – Issue 591</w:t>
            </w:r>
            <w:r>
              <w:t xml:space="preserve"> says do not check anemia (for hemorrhoids) if the hemoglobin level is normal, regardless of what the examiner checked.</w:t>
            </w:r>
          </w:p>
          <w:p w:rsidR="00911094" w:rsidRDefault="00911094" w:rsidP="00B14EA9">
            <w:pPr>
              <w:widowControl w:val="0"/>
              <w:rPr>
                <w:color w:val="000000"/>
              </w:rPr>
            </w:pPr>
          </w:p>
          <w:p w:rsidR="00911094" w:rsidRPr="008F06B1" w:rsidRDefault="00D571C5" w:rsidP="00BA38D5">
            <w:pPr>
              <w:pStyle w:val="Header"/>
              <w:widowControl w:val="0"/>
              <w:tabs>
                <w:tab w:val="clear" w:pos="4320"/>
                <w:tab w:val="clear" w:pos="8640"/>
                <w:tab w:val="left" w:pos="295"/>
              </w:tabs>
              <w:rPr>
                <w:rFonts w:asciiTheme="minorHAnsi" w:hAnsiTheme="minorHAnsi"/>
              </w:rPr>
            </w:pPr>
            <w:hyperlink r:id="rId292" w:history="1">
              <w:r w:rsidR="00911094" w:rsidRPr="008F06B1">
                <w:rPr>
                  <w:rStyle w:val="Hyperlink"/>
                  <w:rFonts w:asciiTheme="minorHAnsi" w:hAnsiTheme="minorHAnsi"/>
                  <w:b/>
                  <w:i/>
                </w:rPr>
                <w:t>Tips &amp; Tricks, as of 8/7/14</w:t>
              </w:r>
            </w:hyperlink>
            <w:r w:rsidR="00911094" w:rsidRPr="008F06B1">
              <w:rPr>
                <w:rFonts w:asciiTheme="minorHAnsi" w:hAnsiTheme="minorHAnsi"/>
              </w:rPr>
              <w:t xml:space="preserve"> –</w:t>
            </w:r>
          </w:p>
          <w:p w:rsidR="00911094" w:rsidRPr="008F06B1" w:rsidRDefault="00911094" w:rsidP="00BA38D5">
            <w:pPr>
              <w:pStyle w:val="Header"/>
              <w:widowControl w:val="0"/>
              <w:tabs>
                <w:tab w:val="clear" w:pos="4320"/>
                <w:tab w:val="clear" w:pos="8640"/>
                <w:tab w:val="left" w:pos="295"/>
              </w:tabs>
              <w:rPr>
                <w:rFonts w:asciiTheme="minorHAnsi" w:hAnsiTheme="minorHAnsi"/>
              </w:rPr>
            </w:pPr>
            <w:r w:rsidRPr="008F06B1">
              <w:rPr>
                <w:rFonts w:asciiTheme="minorHAnsi" w:hAnsiTheme="minorHAnsi"/>
              </w:rPr>
              <w:t>3.324 (2 separate issues)</w:t>
            </w:r>
          </w:p>
          <w:p w:rsidR="00911094" w:rsidRPr="008F06B1" w:rsidRDefault="00911094" w:rsidP="00BA38D5">
            <w:pPr>
              <w:pStyle w:val="Header"/>
              <w:widowControl w:val="0"/>
              <w:tabs>
                <w:tab w:val="clear" w:pos="4320"/>
                <w:tab w:val="clear" w:pos="8640"/>
                <w:tab w:val="left" w:pos="295"/>
              </w:tabs>
              <w:rPr>
                <w:rFonts w:asciiTheme="minorHAnsi" w:hAnsiTheme="minorHAnsi"/>
                <w:color w:val="000000"/>
              </w:rPr>
            </w:pPr>
            <w:r w:rsidRPr="008F06B1">
              <w:rPr>
                <w:rFonts w:asciiTheme="minorHAnsi" w:hAnsiTheme="minorHAnsi"/>
                <w:color w:val="000000"/>
              </w:rPr>
              <w:t>1151 &amp; Ch. 35</w:t>
            </w:r>
          </w:p>
          <w:p w:rsidR="00911094" w:rsidRPr="008F06B1" w:rsidRDefault="00911094" w:rsidP="00B14EA9">
            <w:pPr>
              <w:widowControl w:val="0"/>
              <w:rPr>
                <w:rFonts w:asciiTheme="minorHAnsi" w:hAnsiTheme="minorHAnsi"/>
                <w:color w:val="000000"/>
              </w:rPr>
            </w:pPr>
            <w:r w:rsidRPr="008F06B1">
              <w:rPr>
                <w:rFonts w:asciiTheme="minorHAnsi" w:hAnsiTheme="minorHAnsi"/>
                <w:color w:val="000000"/>
              </w:rPr>
              <w:t>BUN</w:t>
            </w:r>
          </w:p>
          <w:p w:rsidR="00911094" w:rsidRPr="008F06B1" w:rsidRDefault="00911094" w:rsidP="00B14EA9">
            <w:pPr>
              <w:widowControl w:val="0"/>
              <w:rPr>
                <w:rFonts w:asciiTheme="minorHAnsi" w:hAnsiTheme="minorHAnsi"/>
                <w:color w:val="000000"/>
              </w:rPr>
            </w:pPr>
            <w:r w:rsidRPr="008F06B1">
              <w:rPr>
                <w:rFonts w:asciiTheme="minorHAnsi" w:hAnsiTheme="minorHAnsi"/>
                <w:color w:val="000000"/>
              </w:rPr>
              <w:t>Hearing loss reductions/proposals to reduce</w:t>
            </w:r>
          </w:p>
          <w:p w:rsidR="00911094" w:rsidRPr="008F06B1" w:rsidRDefault="00911094" w:rsidP="00B14EA9">
            <w:pPr>
              <w:widowControl w:val="0"/>
              <w:rPr>
                <w:rFonts w:asciiTheme="minorHAnsi" w:hAnsiTheme="minorHAnsi"/>
                <w:color w:val="000000"/>
              </w:rPr>
            </w:pPr>
            <w:r w:rsidRPr="008F06B1">
              <w:rPr>
                <w:rFonts w:asciiTheme="minorHAnsi" w:hAnsiTheme="minorHAnsi"/>
                <w:color w:val="000000"/>
              </w:rPr>
              <w:t>Scars of head/face/neck with one characteristic of disfigurement</w:t>
            </w:r>
          </w:p>
          <w:p w:rsidR="00911094" w:rsidRPr="008F06B1" w:rsidRDefault="00911094" w:rsidP="00B14EA9">
            <w:pPr>
              <w:widowControl w:val="0"/>
              <w:rPr>
                <w:rFonts w:asciiTheme="minorHAnsi" w:hAnsiTheme="minorHAnsi"/>
                <w:color w:val="000000"/>
              </w:rPr>
            </w:pPr>
            <w:r w:rsidRPr="008F06B1">
              <w:rPr>
                <w:rFonts w:asciiTheme="minorHAnsi" w:hAnsiTheme="minorHAnsi"/>
                <w:color w:val="000000"/>
              </w:rPr>
              <w:t>Temporary Total musculoskeletal ratings</w:t>
            </w:r>
          </w:p>
          <w:p w:rsidR="00911094" w:rsidRPr="008F06B1" w:rsidRDefault="00911094" w:rsidP="00B14EA9">
            <w:pPr>
              <w:widowControl w:val="0"/>
              <w:rPr>
                <w:rFonts w:asciiTheme="minorHAnsi" w:hAnsiTheme="minorHAnsi"/>
                <w:color w:val="000000"/>
              </w:rPr>
            </w:pPr>
            <w:r w:rsidRPr="008F06B1">
              <w:rPr>
                <w:rFonts w:asciiTheme="minorHAnsi" w:hAnsiTheme="minorHAnsi"/>
                <w:color w:val="000000"/>
              </w:rPr>
              <w:t>Temporary Total ratings</w:t>
            </w:r>
          </w:p>
          <w:p w:rsidR="00911094" w:rsidRPr="008F06B1" w:rsidRDefault="00911094" w:rsidP="00B14EA9">
            <w:pPr>
              <w:widowControl w:val="0"/>
              <w:rPr>
                <w:rFonts w:asciiTheme="minorHAnsi" w:hAnsiTheme="minorHAnsi"/>
                <w:color w:val="000000"/>
              </w:rPr>
            </w:pPr>
            <w:r w:rsidRPr="008F06B1">
              <w:rPr>
                <w:rFonts w:asciiTheme="minorHAnsi" w:hAnsiTheme="minorHAnsi"/>
                <w:color w:val="000000"/>
              </w:rPr>
              <w:t>Amputation rule</w:t>
            </w:r>
          </w:p>
          <w:p w:rsidR="00911094" w:rsidRPr="008F06B1" w:rsidRDefault="00911094" w:rsidP="00B14EA9">
            <w:pPr>
              <w:widowControl w:val="0"/>
              <w:rPr>
                <w:rFonts w:asciiTheme="minorHAnsi" w:hAnsiTheme="minorHAnsi"/>
                <w:color w:val="000000"/>
              </w:rPr>
            </w:pPr>
            <w:r w:rsidRPr="008F06B1">
              <w:rPr>
                <w:rFonts w:asciiTheme="minorHAnsi" w:hAnsiTheme="minorHAnsi"/>
                <w:color w:val="000000"/>
              </w:rPr>
              <w:t>Effective date builder</w:t>
            </w:r>
          </w:p>
          <w:p w:rsidR="00911094" w:rsidRPr="008F06B1" w:rsidRDefault="00911094" w:rsidP="00BA38D5">
            <w:pPr>
              <w:widowControl w:val="0"/>
              <w:tabs>
                <w:tab w:val="left" w:pos="3282"/>
              </w:tabs>
              <w:rPr>
                <w:rFonts w:asciiTheme="minorHAnsi" w:hAnsiTheme="minorHAnsi"/>
                <w:color w:val="000000"/>
              </w:rPr>
            </w:pPr>
            <w:r w:rsidRPr="008F06B1">
              <w:rPr>
                <w:rFonts w:asciiTheme="minorHAnsi" w:hAnsiTheme="minorHAnsi"/>
                <w:color w:val="000000"/>
              </w:rPr>
              <w:t>Duplicate special issues</w:t>
            </w:r>
            <w:r w:rsidRPr="008F06B1">
              <w:rPr>
                <w:rFonts w:asciiTheme="minorHAnsi" w:hAnsiTheme="minorHAnsi"/>
                <w:color w:val="000000"/>
              </w:rPr>
              <w:tab/>
            </w:r>
          </w:p>
          <w:p w:rsidR="00911094" w:rsidRPr="008F06B1" w:rsidRDefault="00911094" w:rsidP="00BA38D5">
            <w:pPr>
              <w:widowControl w:val="0"/>
              <w:tabs>
                <w:tab w:val="left" w:pos="3282"/>
              </w:tabs>
              <w:rPr>
                <w:rFonts w:asciiTheme="minorHAnsi" w:hAnsiTheme="minorHAnsi"/>
                <w:color w:val="000000"/>
              </w:rPr>
            </w:pPr>
            <w:r w:rsidRPr="008F06B1">
              <w:rPr>
                <w:rFonts w:asciiTheme="minorHAnsi" w:hAnsiTheme="minorHAnsi"/>
                <w:color w:val="000000"/>
              </w:rPr>
              <w:t>FL 13-17</w:t>
            </w:r>
          </w:p>
          <w:p w:rsidR="00911094" w:rsidRPr="008F06B1" w:rsidRDefault="00911094" w:rsidP="00BA38D5">
            <w:pPr>
              <w:widowControl w:val="0"/>
              <w:tabs>
                <w:tab w:val="left" w:pos="3282"/>
              </w:tabs>
              <w:rPr>
                <w:rFonts w:asciiTheme="minorHAnsi" w:hAnsiTheme="minorHAnsi"/>
                <w:color w:val="000000"/>
              </w:rPr>
            </w:pPr>
            <w:r w:rsidRPr="008F06B1">
              <w:rPr>
                <w:rFonts w:asciiTheme="minorHAnsi" w:hAnsiTheme="minorHAnsi"/>
                <w:color w:val="000000"/>
              </w:rPr>
              <w:t>Female Sexual Arousal Disorder (FSAD)</w:t>
            </w:r>
          </w:p>
          <w:p w:rsidR="00911094" w:rsidRPr="008F06B1" w:rsidRDefault="00911094" w:rsidP="00BA38D5">
            <w:pPr>
              <w:widowControl w:val="0"/>
              <w:tabs>
                <w:tab w:val="left" w:pos="3282"/>
              </w:tabs>
              <w:rPr>
                <w:rFonts w:asciiTheme="minorHAnsi" w:hAnsiTheme="minorHAnsi"/>
                <w:color w:val="000000"/>
              </w:rPr>
            </w:pPr>
            <w:r w:rsidRPr="008F06B1">
              <w:rPr>
                <w:rFonts w:asciiTheme="minorHAnsi" w:hAnsiTheme="minorHAnsi"/>
                <w:color w:val="000000"/>
              </w:rPr>
              <w:t>Rheumatoid arthritis of the elbow</w:t>
            </w:r>
          </w:p>
          <w:p w:rsidR="00911094" w:rsidRPr="008F06B1" w:rsidRDefault="00911094" w:rsidP="00BA38D5">
            <w:pPr>
              <w:widowControl w:val="0"/>
              <w:tabs>
                <w:tab w:val="left" w:pos="3282"/>
              </w:tabs>
              <w:rPr>
                <w:rFonts w:asciiTheme="minorHAnsi" w:hAnsiTheme="minorHAnsi"/>
                <w:color w:val="000000"/>
              </w:rPr>
            </w:pPr>
            <w:r w:rsidRPr="008F06B1">
              <w:rPr>
                <w:rFonts w:asciiTheme="minorHAnsi" w:hAnsiTheme="minorHAnsi"/>
                <w:color w:val="000000"/>
              </w:rPr>
              <w:t>Analogous codes</w:t>
            </w:r>
          </w:p>
          <w:p w:rsidR="00911094" w:rsidRPr="008F06B1" w:rsidRDefault="00911094" w:rsidP="00BA38D5">
            <w:pPr>
              <w:widowControl w:val="0"/>
              <w:tabs>
                <w:tab w:val="left" w:pos="3282"/>
              </w:tabs>
              <w:rPr>
                <w:rFonts w:asciiTheme="minorHAnsi" w:hAnsiTheme="minorHAnsi"/>
                <w:color w:val="000000"/>
              </w:rPr>
            </w:pPr>
            <w:r w:rsidRPr="008F06B1">
              <w:rPr>
                <w:rFonts w:asciiTheme="minorHAnsi" w:hAnsiTheme="minorHAnsi"/>
                <w:color w:val="000000"/>
              </w:rPr>
              <w:t>Two evals of same body part (knees, etc)</w:t>
            </w:r>
          </w:p>
          <w:p w:rsidR="00911094" w:rsidRDefault="00911094" w:rsidP="00B14EA9">
            <w:pPr>
              <w:widowControl w:val="0"/>
              <w:rPr>
                <w:color w:val="000000"/>
              </w:rPr>
            </w:pPr>
          </w:p>
          <w:p w:rsidR="00911094" w:rsidRPr="008D4DE7" w:rsidRDefault="00911094" w:rsidP="00A37A23">
            <w:pPr>
              <w:pStyle w:val="Header"/>
              <w:widowControl w:val="0"/>
              <w:tabs>
                <w:tab w:val="clear" w:pos="4320"/>
                <w:tab w:val="clear" w:pos="8640"/>
              </w:tabs>
              <w:rPr>
                <w:b/>
                <w:i/>
                <w:u w:val="single"/>
              </w:rPr>
            </w:pPr>
            <w:r w:rsidRPr="008D4DE7">
              <w:rPr>
                <w:b/>
                <w:i/>
                <w:u w:val="single"/>
              </w:rPr>
              <w:t>August 2014, Jeff Henderson (Comp Service Quality Review &amp; ConsistencyTeam):</w:t>
            </w:r>
          </w:p>
          <w:p w:rsidR="00911094" w:rsidRPr="00A37A23" w:rsidRDefault="00911094" w:rsidP="00F063AF">
            <w:pPr>
              <w:pStyle w:val="Header"/>
              <w:widowControl w:val="0"/>
              <w:numPr>
                <w:ilvl w:val="0"/>
                <w:numId w:val="179"/>
              </w:numPr>
              <w:tabs>
                <w:tab w:val="clear" w:pos="4320"/>
                <w:tab w:val="clear" w:pos="8640"/>
                <w:tab w:val="left" w:pos="115"/>
                <w:tab w:val="left" w:pos="295"/>
              </w:tabs>
              <w:ind w:left="115" w:hanging="90"/>
            </w:pPr>
            <w:r w:rsidRPr="00A37A23">
              <w:t>EB does not automatically apply Tatum/4.7 to musculoskeletal, eyes or hearing loss.</w:t>
            </w:r>
          </w:p>
          <w:p w:rsidR="00911094" w:rsidRPr="00A37A23" w:rsidRDefault="00911094" w:rsidP="00F063AF">
            <w:pPr>
              <w:pStyle w:val="Header"/>
              <w:widowControl w:val="0"/>
              <w:numPr>
                <w:ilvl w:val="0"/>
                <w:numId w:val="179"/>
              </w:numPr>
              <w:tabs>
                <w:tab w:val="clear" w:pos="4320"/>
                <w:tab w:val="clear" w:pos="8640"/>
                <w:tab w:val="left" w:pos="115"/>
                <w:tab w:val="left" w:pos="295"/>
              </w:tabs>
              <w:ind w:left="115" w:hanging="90"/>
            </w:pPr>
            <w:r w:rsidRPr="00A37A23">
              <w:t>successive/cumulative rating criteria – builds on self – 7913 is the only one</w:t>
            </w:r>
          </w:p>
          <w:p w:rsidR="00911094" w:rsidRPr="00A37A23" w:rsidRDefault="00911094" w:rsidP="00F063AF">
            <w:pPr>
              <w:pStyle w:val="Header"/>
              <w:widowControl w:val="0"/>
              <w:numPr>
                <w:ilvl w:val="0"/>
                <w:numId w:val="179"/>
              </w:numPr>
              <w:tabs>
                <w:tab w:val="clear" w:pos="4320"/>
                <w:tab w:val="clear" w:pos="8640"/>
                <w:tab w:val="left" w:pos="115"/>
                <w:tab w:val="left" w:pos="295"/>
              </w:tabs>
              <w:ind w:left="115" w:hanging="90"/>
            </w:pPr>
            <w:r w:rsidRPr="00A37A23">
              <w:t>rest are non-successive – does not repeat self – good example is 7903</w:t>
            </w:r>
          </w:p>
          <w:p w:rsidR="00911094" w:rsidRDefault="00911094" w:rsidP="00F063AF">
            <w:pPr>
              <w:pStyle w:val="Header"/>
              <w:widowControl w:val="0"/>
              <w:numPr>
                <w:ilvl w:val="0"/>
                <w:numId w:val="179"/>
              </w:numPr>
              <w:tabs>
                <w:tab w:val="clear" w:pos="4320"/>
                <w:tab w:val="clear" w:pos="8640"/>
                <w:tab w:val="left" w:pos="115"/>
                <w:tab w:val="left" w:pos="295"/>
              </w:tabs>
              <w:ind w:left="115" w:hanging="90"/>
            </w:pPr>
            <w:r w:rsidRPr="00A37A23">
              <w:t>and, with, or, semi-colons, commas – mean nothing</w:t>
            </w:r>
          </w:p>
          <w:p w:rsidR="00911094" w:rsidRDefault="00911094" w:rsidP="00F063AF">
            <w:pPr>
              <w:pStyle w:val="Header"/>
              <w:widowControl w:val="0"/>
              <w:numPr>
                <w:ilvl w:val="0"/>
                <w:numId w:val="179"/>
              </w:numPr>
              <w:tabs>
                <w:tab w:val="clear" w:pos="4320"/>
                <w:tab w:val="clear" w:pos="8640"/>
                <w:tab w:val="left" w:pos="295"/>
              </w:tabs>
              <w:ind w:left="295" w:hanging="270"/>
            </w:pPr>
            <w:r>
              <w:t>Judgment is not an error, just explain why you made that decision (one or two sentences is plenty)</w:t>
            </w:r>
          </w:p>
          <w:p w:rsidR="00911094" w:rsidRPr="009276BF" w:rsidRDefault="00911094" w:rsidP="005C3813">
            <w:pPr>
              <w:tabs>
                <w:tab w:val="left" w:pos="0"/>
                <w:tab w:val="left" w:pos="144"/>
              </w:tabs>
              <w:rPr>
                <w:iCs/>
              </w:rPr>
            </w:pPr>
            <w:r>
              <w:t>For 7913, more than 1 episode of ketoacidosis is considered the same as regulation of activities, per policy staff, and EB will reflect as much</w:t>
            </w:r>
          </w:p>
        </w:tc>
      </w:tr>
      <w:tr w:rsidR="00911094" w:rsidTr="00BC2764">
        <w:trPr>
          <w:trHeight w:val="1161"/>
        </w:trPr>
        <w:tc>
          <w:tcPr>
            <w:tcW w:w="2379" w:type="dxa"/>
          </w:tcPr>
          <w:p w:rsidR="00911094" w:rsidRDefault="00911094">
            <w:pPr>
              <w:pStyle w:val="Header"/>
              <w:widowControl w:val="0"/>
              <w:tabs>
                <w:tab w:val="clear" w:pos="4320"/>
                <w:tab w:val="clear" w:pos="8640"/>
              </w:tabs>
              <w:rPr>
                <w:bCs/>
                <w:iCs/>
              </w:rPr>
            </w:pPr>
            <w:r>
              <w:rPr>
                <w:bCs/>
                <w:iCs/>
              </w:rPr>
              <w:t>Not using % from EB for Mental</w:t>
            </w:r>
          </w:p>
          <w:p w:rsidR="00911094" w:rsidRDefault="00911094">
            <w:pPr>
              <w:pStyle w:val="Header"/>
              <w:widowControl w:val="0"/>
              <w:tabs>
                <w:tab w:val="clear" w:pos="4320"/>
                <w:tab w:val="clear" w:pos="8640"/>
              </w:tabs>
              <w:rPr>
                <w:bCs/>
                <w:iCs/>
              </w:rPr>
            </w:pPr>
          </w:p>
          <w:p w:rsidR="00911094" w:rsidRDefault="00911094">
            <w:pPr>
              <w:pStyle w:val="Header"/>
              <w:widowControl w:val="0"/>
              <w:tabs>
                <w:tab w:val="clear" w:pos="4320"/>
                <w:tab w:val="clear" w:pos="8640"/>
              </w:tabs>
              <w:rPr>
                <w:bCs/>
                <w:iCs/>
              </w:rPr>
            </w:pPr>
            <w:r>
              <w:rPr>
                <w:bCs/>
                <w:i/>
              </w:rPr>
              <w:t>Add after this sentence:</w:t>
            </w:r>
            <w:r>
              <w:rPr>
                <w:bCs/>
                <w:iCs/>
              </w:rPr>
              <w:t xml:space="preserve"> “The overall evidentiary record shows that the severity of your disability most closely approximates the criteria for a {} percent disability evaluation.”</w:t>
            </w:r>
          </w:p>
        </w:tc>
        <w:tc>
          <w:tcPr>
            <w:tcW w:w="8298" w:type="dxa"/>
          </w:tcPr>
          <w:p w:rsidR="00911094" w:rsidRDefault="00911094" w:rsidP="00A712D2">
            <w:pPr>
              <w:pStyle w:val="Header"/>
              <w:widowControl w:val="0"/>
              <w:tabs>
                <w:tab w:val="clear" w:pos="4320"/>
                <w:tab w:val="clear" w:pos="8640"/>
              </w:tabs>
              <w:rPr>
                <w:i/>
                <w:iCs/>
              </w:rPr>
            </w:pPr>
            <w:r w:rsidRPr="00681460">
              <w:rPr>
                <w:i/>
                <w:iCs/>
              </w:rPr>
              <w:t xml:space="preserve">A 10 percent is assigned because the </w:t>
            </w:r>
            <w:r>
              <w:rPr>
                <w:i/>
                <w:iCs/>
              </w:rPr>
              <w:t>DBQ</w:t>
            </w:r>
            <w:r w:rsidRPr="00681460">
              <w:rPr>
                <w:i/>
                <w:iCs/>
              </w:rPr>
              <w:t xml:space="preserve"> shows a mental condition has been formally diagnosed, but symptoms are not severe enough either to interfere with occupational and social functioning or to require continuous medication, which generally indicates a 0 percent evaluation is warranted, but there are symptoms sufficient to warrant a 10 percent evaluation. Your functioning is not severely impaired enough to assign a 30 percent evaluation.</w:t>
            </w:r>
          </w:p>
          <w:p w:rsidR="00911094" w:rsidRDefault="00911094" w:rsidP="00A712D2">
            <w:pPr>
              <w:pStyle w:val="Header"/>
              <w:widowControl w:val="0"/>
              <w:tabs>
                <w:tab w:val="clear" w:pos="4320"/>
                <w:tab w:val="clear" w:pos="8640"/>
              </w:tabs>
              <w:rPr>
                <w:i/>
                <w:iCs/>
              </w:rPr>
            </w:pPr>
          </w:p>
          <w:p w:rsidR="00911094" w:rsidRDefault="00911094" w:rsidP="00A712D2">
            <w:pPr>
              <w:pStyle w:val="Header"/>
              <w:widowControl w:val="0"/>
              <w:tabs>
                <w:tab w:val="clear" w:pos="4320"/>
                <w:tab w:val="clear" w:pos="8640"/>
              </w:tabs>
              <w:rPr>
                <w:i/>
                <w:iCs/>
              </w:rPr>
            </w:pPr>
            <w:r w:rsidRPr="004E0870">
              <w:rPr>
                <w:i/>
                <w:iCs/>
              </w:rPr>
              <w:t xml:space="preserve">A 10 percent is assigned because the </w:t>
            </w:r>
            <w:r>
              <w:rPr>
                <w:i/>
                <w:iCs/>
              </w:rPr>
              <w:t>DBQ</w:t>
            </w:r>
            <w:r w:rsidRPr="004E0870">
              <w:rPr>
                <w:i/>
                <w:iCs/>
              </w:rPr>
              <w:t xml:space="preserve"> shows mild or transient symptoms, </w:t>
            </w:r>
            <w:r>
              <w:rPr>
                <w:i/>
                <w:iCs/>
              </w:rPr>
              <w:t xml:space="preserve">which </w:t>
            </w:r>
            <w:r w:rsidRPr="004E0870">
              <w:rPr>
                <w:i/>
                <w:iCs/>
              </w:rPr>
              <w:t>generally indicates a 10 percent evaluation is warranted. Your functioning is not severely impaired enough to assign a 30 percent evaluation.</w:t>
            </w:r>
          </w:p>
          <w:p w:rsidR="00911094" w:rsidRDefault="00911094" w:rsidP="00A712D2">
            <w:pPr>
              <w:pStyle w:val="Header"/>
              <w:widowControl w:val="0"/>
              <w:tabs>
                <w:tab w:val="clear" w:pos="4320"/>
                <w:tab w:val="clear" w:pos="8640"/>
              </w:tabs>
              <w:rPr>
                <w:i/>
                <w:iCs/>
              </w:rPr>
            </w:pPr>
          </w:p>
          <w:p w:rsidR="00911094" w:rsidRDefault="00911094" w:rsidP="00A712D2">
            <w:pPr>
              <w:pStyle w:val="Header"/>
              <w:widowControl w:val="0"/>
              <w:tabs>
                <w:tab w:val="clear" w:pos="4320"/>
                <w:tab w:val="clear" w:pos="8640"/>
              </w:tabs>
              <w:rPr>
                <w:i/>
                <w:iCs/>
              </w:rPr>
            </w:pPr>
            <w:r w:rsidRPr="0066276C">
              <w:rPr>
                <w:i/>
                <w:iCs/>
              </w:rPr>
              <w:t xml:space="preserve">A 30 percent is assigned because the </w:t>
            </w:r>
            <w:r>
              <w:rPr>
                <w:i/>
                <w:iCs/>
              </w:rPr>
              <w:t>DBQ</w:t>
            </w:r>
            <w:r w:rsidRPr="0066276C">
              <w:rPr>
                <w:i/>
                <w:iCs/>
              </w:rPr>
              <w:t xml:space="preserve"> shows mild or transient symptoms, which generally indicates a 10</w:t>
            </w:r>
            <w:r>
              <w:rPr>
                <w:i/>
                <w:iCs/>
              </w:rPr>
              <w:t xml:space="preserve"> percent evaluation is warranted, but t</w:t>
            </w:r>
            <w:r w:rsidRPr="0066276C">
              <w:rPr>
                <w:i/>
                <w:iCs/>
              </w:rPr>
              <w:t xml:space="preserve">here are symptoms sufficient to </w:t>
            </w:r>
            <w:r>
              <w:rPr>
                <w:i/>
                <w:iCs/>
              </w:rPr>
              <w:t>warrant a 30 percent evaluation. Your f</w:t>
            </w:r>
            <w:r w:rsidRPr="0066276C">
              <w:rPr>
                <w:i/>
                <w:iCs/>
              </w:rPr>
              <w:t>unctioning is not severely impaired enough to assign a 50 percent evaluation.</w:t>
            </w:r>
          </w:p>
          <w:p w:rsidR="00911094" w:rsidRDefault="00911094" w:rsidP="00A712D2">
            <w:pPr>
              <w:pStyle w:val="Header"/>
              <w:widowControl w:val="0"/>
              <w:tabs>
                <w:tab w:val="clear" w:pos="4320"/>
                <w:tab w:val="clear" w:pos="8640"/>
              </w:tabs>
              <w:rPr>
                <w:i/>
                <w:iCs/>
              </w:rPr>
            </w:pPr>
          </w:p>
          <w:p w:rsidR="00911094" w:rsidRDefault="00911094" w:rsidP="00A712D2">
            <w:pPr>
              <w:pStyle w:val="Header"/>
              <w:widowControl w:val="0"/>
              <w:tabs>
                <w:tab w:val="clear" w:pos="4320"/>
                <w:tab w:val="clear" w:pos="8640"/>
              </w:tabs>
              <w:rPr>
                <w:i/>
                <w:iCs/>
              </w:rPr>
            </w:pPr>
            <w:r w:rsidRPr="005231C4">
              <w:rPr>
                <w:i/>
                <w:iCs/>
              </w:rPr>
              <w:t xml:space="preserve">A 30 percent is assigned because the </w:t>
            </w:r>
            <w:r>
              <w:rPr>
                <w:i/>
                <w:iCs/>
              </w:rPr>
              <w:t>DBQ</w:t>
            </w:r>
            <w:r w:rsidRPr="005231C4">
              <w:rPr>
                <w:i/>
                <w:iCs/>
              </w:rPr>
              <w:t xml:space="preserve"> shows occasional decrease in work efficiency and intermittent periods of inability to perform occupational tasks, which generally indicates a 30 percent evaluation is warranted. Your functioning is not severely impaired enough to assign a 50 percent evaluation</w:t>
            </w:r>
            <w:r>
              <w:rPr>
                <w:i/>
                <w:iCs/>
              </w:rPr>
              <w:t>.</w:t>
            </w:r>
          </w:p>
          <w:p w:rsidR="00911094" w:rsidRDefault="00911094">
            <w:pPr>
              <w:pStyle w:val="Header"/>
              <w:widowControl w:val="0"/>
              <w:tabs>
                <w:tab w:val="clear" w:pos="4320"/>
                <w:tab w:val="clear" w:pos="8640"/>
              </w:tabs>
              <w:rPr>
                <w:i/>
                <w:iCs/>
              </w:rPr>
            </w:pPr>
          </w:p>
          <w:p w:rsidR="00911094" w:rsidRDefault="00911094">
            <w:pPr>
              <w:pStyle w:val="Header"/>
              <w:widowControl w:val="0"/>
              <w:tabs>
                <w:tab w:val="clear" w:pos="4320"/>
                <w:tab w:val="clear" w:pos="8640"/>
              </w:tabs>
              <w:rPr>
                <w:i/>
                <w:iCs/>
              </w:rPr>
            </w:pPr>
            <w:r w:rsidRPr="00DA2922">
              <w:rPr>
                <w:i/>
                <w:iCs/>
              </w:rPr>
              <w:t xml:space="preserve">A 50 percent is assigned because the </w:t>
            </w:r>
            <w:r>
              <w:rPr>
                <w:i/>
                <w:iCs/>
              </w:rPr>
              <w:t>DBQ</w:t>
            </w:r>
            <w:r w:rsidRPr="00DA2922">
              <w:rPr>
                <w:i/>
                <w:iCs/>
              </w:rPr>
              <w:t xml:space="preserve"> shows occasional decrease in work efficiency and intermittent periods of inability to perform occupational tasks, which generally indicates a 30 percent evaluation is warranted, but there are symptoms sufficient to warrant a 50 percent evaluation.</w:t>
            </w:r>
            <w:r>
              <w:rPr>
                <w:i/>
                <w:iCs/>
              </w:rPr>
              <w:t xml:space="preserve"> Your f</w:t>
            </w:r>
            <w:r w:rsidRPr="00DA2922">
              <w:rPr>
                <w:i/>
                <w:iCs/>
              </w:rPr>
              <w:t>unctioning is not severely impaired enough to assign a 70 percent evaluation.</w:t>
            </w:r>
          </w:p>
          <w:p w:rsidR="00911094" w:rsidRDefault="00911094">
            <w:pPr>
              <w:pStyle w:val="Header"/>
              <w:widowControl w:val="0"/>
              <w:tabs>
                <w:tab w:val="clear" w:pos="4320"/>
                <w:tab w:val="clear" w:pos="8640"/>
              </w:tabs>
              <w:rPr>
                <w:i/>
                <w:iCs/>
              </w:rPr>
            </w:pPr>
          </w:p>
          <w:p w:rsidR="00911094" w:rsidRDefault="00911094" w:rsidP="00A30E41">
            <w:pPr>
              <w:pStyle w:val="Header"/>
              <w:widowControl w:val="0"/>
              <w:tabs>
                <w:tab w:val="clear" w:pos="4320"/>
                <w:tab w:val="clear" w:pos="8640"/>
                <w:tab w:val="left" w:pos="295"/>
              </w:tabs>
              <w:ind w:left="25"/>
              <w:rPr>
                <w:i/>
                <w:iCs/>
              </w:rPr>
            </w:pPr>
            <w:r w:rsidRPr="00DF7312">
              <w:rPr>
                <w:i/>
                <w:iCs/>
              </w:rPr>
              <w:t xml:space="preserve">A </w:t>
            </w:r>
            <w:r>
              <w:rPr>
                <w:i/>
                <w:iCs/>
              </w:rPr>
              <w:t>5</w:t>
            </w:r>
            <w:r w:rsidRPr="00DF7312">
              <w:rPr>
                <w:i/>
                <w:iCs/>
              </w:rPr>
              <w:t xml:space="preserve">0 percent is assigned because the </w:t>
            </w:r>
            <w:r>
              <w:rPr>
                <w:i/>
                <w:iCs/>
              </w:rPr>
              <w:t>DBQ</w:t>
            </w:r>
            <w:r w:rsidRPr="00DF7312">
              <w:rPr>
                <w:i/>
                <w:iCs/>
              </w:rPr>
              <w:t xml:space="preserve"> shows occupational and social impairment with reduced reliability and productivity, which generally indicates a </w:t>
            </w:r>
            <w:r>
              <w:rPr>
                <w:i/>
                <w:iCs/>
              </w:rPr>
              <w:t>5</w:t>
            </w:r>
            <w:r w:rsidRPr="00DF7312">
              <w:rPr>
                <w:i/>
                <w:iCs/>
              </w:rPr>
              <w:t xml:space="preserve">0 percent evaluation is warranted. </w:t>
            </w:r>
            <w:r>
              <w:rPr>
                <w:i/>
                <w:iCs/>
              </w:rPr>
              <w:t>Your f</w:t>
            </w:r>
            <w:r w:rsidRPr="00DF7312">
              <w:rPr>
                <w:i/>
                <w:iCs/>
              </w:rPr>
              <w:t>unctioning is not severe</w:t>
            </w:r>
            <w:r>
              <w:rPr>
                <w:i/>
                <w:iCs/>
              </w:rPr>
              <w:t>ly impaired enough to assign a 7</w:t>
            </w:r>
            <w:r w:rsidRPr="00DF7312">
              <w:rPr>
                <w:i/>
                <w:iCs/>
              </w:rPr>
              <w:t>0 percent evaluation.</w:t>
            </w:r>
          </w:p>
          <w:p w:rsidR="00911094" w:rsidRDefault="00911094" w:rsidP="00A30E41">
            <w:pPr>
              <w:pStyle w:val="Header"/>
              <w:widowControl w:val="0"/>
              <w:tabs>
                <w:tab w:val="clear" w:pos="4320"/>
                <w:tab w:val="clear" w:pos="8640"/>
                <w:tab w:val="left" w:pos="295"/>
              </w:tabs>
              <w:ind w:left="25"/>
              <w:rPr>
                <w:i/>
                <w:iCs/>
              </w:rPr>
            </w:pPr>
          </w:p>
          <w:p w:rsidR="00911094" w:rsidRPr="00A37A23" w:rsidRDefault="00911094" w:rsidP="0015188A">
            <w:pPr>
              <w:pStyle w:val="Header"/>
              <w:widowControl w:val="0"/>
              <w:tabs>
                <w:tab w:val="clear" w:pos="4320"/>
                <w:tab w:val="clear" w:pos="8640"/>
                <w:tab w:val="left" w:pos="295"/>
              </w:tabs>
              <w:ind w:left="25"/>
              <w:rPr>
                <w:rStyle w:val="Strong"/>
                <w:b w:val="0"/>
                <w:bCs w:val="0"/>
              </w:rPr>
            </w:pPr>
            <w:r w:rsidRPr="00DF7312">
              <w:rPr>
                <w:i/>
                <w:iCs/>
              </w:rPr>
              <w:t xml:space="preserve">A </w:t>
            </w:r>
            <w:r>
              <w:rPr>
                <w:i/>
                <w:iCs/>
              </w:rPr>
              <w:t>7</w:t>
            </w:r>
            <w:r w:rsidRPr="00DF7312">
              <w:rPr>
                <w:i/>
                <w:iCs/>
              </w:rPr>
              <w:t xml:space="preserve">0 percent is assigned because the </w:t>
            </w:r>
            <w:r>
              <w:rPr>
                <w:i/>
                <w:iCs/>
              </w:rPr>
              <w:t>DBQ</w:t>
            </w:r>
            <w:r w:rsidRPr="00DF7312">
              <w:rPr>
                <w:i/>
                <w:iCs/>
              </w:rPr>
              <w:t xml:space="preserve"> shows occupational and social impairment with reduced reliability and productivity, which generally indicates a </w:t>
            </w:r>
            <w:r>
              <w:rPr>
                <w:i/>
                <w:iCs/>
              </w:rPr>
              <w:t>5</w:t>
            </w:r>
            <w:r w:rsidRPr="00DF7312">
              <w:rPr>
                <w:i/>
                <w:iCs/>
              </w:rPr>
              <w:t>0 percent evaluation is warranted</w:t>
            </w:r>
            <w:r w:rsidRPr="00DA2922">
              <w:rPr>
                <w:i/>
                <w:iCs/>
              </w:rPr>
              <w:t xml:space="preserve">, but there are symptoms sufficient to </w:t>
            </w:r>
            <w:r>
              <w:rPr>
                <w:i/>
                <w:iCs/>
              </w:rPr>
              <w:t>warrant a 70 percent evaluation</w:t>
            </w:r>
            <w:r w:rsidRPr="00DF7312">
              <w:rPr>
                <w:i/>
                <w:iCs/>
              </w:rPr>
              <w:t xml:space="preserve">. </w:t>
            </w:r>
            <w:r>
              <w:rPr>
                <w:i/>
                <w:iCs/>
              </w:rPr>
              <w:t>Your f</w:t>
            </w:r>
            <w:r w:rsidRPr="00DF7312">
              <w:rPr>
                <w:i/>
                <w:iCs/>
              </w:rPr>
              <w:t>unctioning is not severe</w:t>
            </w:r>
            <w:r>
              <w:rPr>
                <w:i/>
                <w:iCs/>
              </w:rPr>
              <w:t>ly impaired enough to assign a 100</w:t>
            </w:r>
            <w:r w:rsidRPr="00DF7312">
              <w:rPr>
                <w:i/>
                <w:iCs/>
              </w:rPr>
              <w:t xml:space="preserve"> percent evaluation.</w:t>
            </w:r>
          </w:p>
        </w:tc>
      </w:tr>
      <w:tr w:rsidR="00911094" w:rsidTr="00BC2764">
        <w:trPr>
          <w:trHeight w:val="190"/>
        </w:trPr>
        <w:tc>
          <w:tcPr>
            <w:tcW w:w="2379" w:type="dxa"/>
          </w:tcPr>
          <w:p w:rsidR="00911094" w:rsidRDefault="00911094">
            <w:pPr>
              <w:pStyle w:val="Header"/>
              <w:widowControl w:val="0"/>
              <w:tabs>
                <w:tab w:val="clear" w:pos="4320"/>
                <w:tab w:val="clear" w:pos="8640"/>
              </w:tabs>
              <w:rPr>
                <w:bCs/>
                <w:iCs/>
              </w:rPr>
            </w:pPr>
            <w:r>
              <w:rPr>
                <w:bCs/>
                <w:iCs/>
              </w:rPr>
              <w:t>Hypertension at 0% with previously established diagnosis</w:t>
            </w:r>
          </w:p>
          <w:p w:rsidR="00911094" w:rsidRDefault="00911094">
            <w:pPr>
              <w:pStyle w:val="Header"/>
              <w:widowControl w:val="0"/>
              <w:tabs>
                <w:tab w:val="clear" w:pos="4320"/>
                <w:tab w:val="clear" w:pos="8640"/>
              </w:tabs>
              <w:rPr>
                <w:bCs/>
                <w:iCs/>
              </w:rPr>
            </w:pPr>
            <w:r>
              <w:rPr>
                <w:bCs/>
                <w:i/>
                <w:sz w:val="18"/>
              </w:rPr>
              <w:t>(EB gives verbiage about unconfirmed diagnosis)</w:t>
            </w:r>
          </w:p>
        </w:tc>
        <w:tc>
          <w:tcPr>
            <w:tcW w:w="8298" w:type="dxa"/>
          </w:tcPr>
          <w:p w:rsidR="00911094" w:rsidRDefault="00911094" w:rsidP="008326F4">
            <w:pPr>
              <w:pStyle w:val="Header"/>
              <w:widowControl w:val="0"/>
              <w:tabs>
                <w:tab w:val="clear" w:pos="4320"/>
                <w:tab w:val="clear" w:pos="8640"/>
              </w:tabs>
              <w:rPr>
                <w:i/>
                <w:iCs/>
              </w:rPr>
            </w:pPr>
            <w:r>
              <w:t xml:space="preserve">     o A previously established diagnosis of hypertension with a requirement for continuous medication with currently controlled blood pressure readings (with no history of diastolic pressure predominantly 100 or more).</w:t>
            </w:r>
          </w:p>
        </w:tc>
      </w:tr>
      <w:tr w:rsidR="00911094" w:rsidTr="00BC2764">
        <w:trPr>
          <w:trHeight w:val="190"/>
        </w:trPr>
        <w:tc>
          <w:tcPr>
            <w:tcW w:w="2379" w:type="dxa"/>
          </w:tcPr>
          <w:p w:rsidR="00911094" w:rsidRDefault="00911094">
            <w:pPr>
              <w:pStyle w:val="Header"/>
              <w:widowControl w:val="0"/>
              <w:tabs>
                <w:tab w:val="clear" w:pos="4320"/>
                <w:tab w:val="clear" w:pos="8640"/>
              </w:tabs>
              <w:rPr>
                <w:bCs/>
                <w:i/>
                <w:sz w:val="18"/>
              </w:rPr>
            </w:pPr>
            <w:r>
              <w:rPr>
                <w:bCs/>
                <w:iCs/>
              </w:rPr>
              <w:t>Evaluating DM even though not specifically claimed</w:t>
            </w:r>
          </w:p>
        </w:tc>
        <w:tc>
          <w:tcPr>
            <w:tcW w:w="8298" w:type="dxa"/>
          </w:tcPr>
          <w:p w:rsidR="00911094" w:rsidRDefault="00911094">
            <w:pPr>
              <w:widowControl w:val="0"/>
            </w:pPr>
            <w:r>
              <w:rPr>
                <w:bCs/>
                <w:iCs/>
              </w:rPr>
              <w:t>Although you did not specifically claim an increase in your diabetes mellitus type II, you claimed a complication(s)/secondary condition(s) that we are required to evaluate together with diabetes mellitus type II.</w:t>
            </w:r>
          </w:p>
        </w:tc>
      </w:tr>
      <w:tr w:rsidR="00911094" w:rsidTr="00BC2764">
        <w:trPr>
          <w:trHeight w:val="190"/>
        </w:trPr>
        <w:tc>
          <w:tcPr>
            <w:tcW w:w="2379" w:type="dxa"/>
          </w:tcPr>
          <w:p w:rsidR="00911094" w:rsidRDefault="00911094">
            <w:pPr>
              <w:pStyle w:val="Header"/>
              <w:widowControl w:val="0"/>
              <w:tabs>
                <w:tab w:val="clear" w:pos="4320"/>
                <w:tab w:val="clear" w:pos="8640"/>
              </w:tabs>
              <w:rPr>
                <w:bCs/>
                <w:iCs/>
              </w:rPr>
            </w:pPr>
            <w:r>
              <w:rPr>
                <w:bCs/>
                <w:iCs/>
              </w:rPr>
              <w:t>“(claimed as…)”</w:t>
            </w:r>
          </w:p>
        </w:tc>
        <w:tc>
          <w:tcPr>
            <w:tcW w:w="8298" w:type="dxa"/>
          </w:tcPr>
          <w:p w:rsidR="00911094" w:rsidRPr="00017884" w:rsidRDefault="00911094" w:rsidP="000146CC">
            <w:pPr>
              <w:widowControl w:val="0"/>
              <w:rPr>
                <w:i/>
                <w:color w:val="000000"/>
                <w:highlight w:val="lightGray"/>
              </w:rPr>
            </w:pPr>
            <w:r w:rsidRPr="00017884">
              <w:rPr>
                <w:b/>
                <w:color w:val="000000"/>
                <w:highlight w:val="lightGray"/>
              </w:rPr>
              <w:t>III.iv.6.E.6.b</w:t>
            </w:r>
            <w:r w:rsidRPr="00017884">
              <w:rPr>
                <w:color w:val="000000"/>
                <w:highlight w:val="lightGray"/>
              </w:rPr>
              <w:t xml:space="preserve"> – </w:t>
            </w:r>
            <w:r w:rsidR="008119CD" w:rsidRPr="00017884">
              <w:rPr>
                <w:color w:val="000000"/>
                <w:highlight w:val="lightGray"/>
              </w:rPr>
              <w:t xml:space="preserve">changed 9/15/15, </w:t>
            </w:r>
            <w:r w:rsidRPr="00017884">
              <w:rPr>
                <w:color w:val="000000"/>
                <w:highlight w:val="lightGray"/>
              </w:rPr>
              <w:t>include “(claimed as …)” in the issue so its on the codesheet too</w:t>
            </w:r>
            <w:r w:rsidRPr="00017884">
              <w:rPr>
                <w:i/>
                <w:color w:val="000000"/>
                <w:highlight w:val="lightGray"/>
              </w:rPr>
              <w:t xml:space="preserve"> [under section #6, which is called “Listing Compensation Rating Codes”]</w:t>
            </w:r>
          </w:p>
          <w:p w:rsidR="00911094" w:rsidRPr="00F04BDE" w:rsidRDefault="00911094" w:rsidP="000146CC">
            <w:pPr>
              <w:widowControl w:val="0"/>
              <w:rPr>
                <w:i/>
                <w:color w:val="000000"/>
              </w:rPr>
            </w:pPr>
            <w:r w:rsidRPr="00017884">
              <w:rPr>
                <w:i/>
                <w:color w:val="000000"/>
                <w:highlight w:val="lightGray"/>
              </w:rPr>
              <w:t>*maximum is 254 characters</w:t>
            </w:r>
          </w:p>
          <w:p w:rsidR="00911094" w:rsidRDefault="00911094" w:rsidP="000146CC">
            <w:pPr>
              <w:widowControl w:val="0"/>
              <w:rPr>
                <w:color w:val="000000"/>
              </w:rPr>
            </w:pPr>
          </w:p>
          <w:p w:rsidR="00911094" w:rsidRDefault="00911094" w:rsidP="00017884">
            <w:pPr>
              <w:widowControl w:val="0"/>
              <w:tabs>
                <w:tab w:val="left" w:pos="0"/>
                <w:tab w:val="left" w:pos="144"/>
              </w:tabs>
              <w:rPr>
                <w:color w:val="000000"/>
              </w:rPr>
            </w:pPr>
            <w:r w:rsidRPr="00017884">
              <w:rPr>
                <w:color w:val="000000"/>
                <w:highlight w:val="lightGray"/>
              </w:rPr>
              <w:t xml:space="preserve">Per VA Pulse, </w:t>
            </w:r>
            <w:r w:rsidRPr="00017884">
              <w:rPr>
                <w:i/>
                <w:color w:val="000000"/>
                <w:highlight w:val="lightGray"/>
              </w:rPr>
              <w:t>https://www.vapulse.net/message/33297</w:t>
            </w:r>
            <w:r w:rsidRPr="00017884">
              <w:rPr>
                <w:color w:val="000000"/>
                <w:highlight w:val="lightGray"/>
              </w:rPr>
              <w:t xml:space="preserve">, keep claimed as on the codesheet, so it will be in the ADL letter, but with subsequent claims, can remove it </w:t>
            </w:r>
            <w:r w:rsidR="00017884" w:rsidRPr="00017884">
              <w:rPr>
                <w:color w:val="000000"/>
                <w:highlight w:val="lightGray"/>
              </w:rPr>
              <w:t>from Master Record before addressing issue</w:t>
            </w:r>
            <w:r w:rsidR="00017884" w:rsidRPr="00017884">
              <w:rPr>
                <w:color w:val="000000"/>
              </w:rPr>
              <w:t xml:space="preserve"> - Redesigned ADL (RADL), eff 12/11/17 (now sending copy of RD w</w:t>
            </w:r>
            <w:r w:rsidR="00017884">
              <w:rPr>
                <w:color w:val="000000"/>
              </w:rPr>
              <w:t>ith notification letters AGAIN)</w:t>
            </w:r>
          </w:p>
          <w:p w:rsidR="00017884" w:rsidRDefault="00017884" w:rsidP="00017884">
            <w:pPr>
              <w:widowControl w:val="0"/>
              <w:tabs>
                <w:tab w:val="left" w:pos="0"/>
                <w:tab w:val="left" w:pos="144"/>
              </w:tabs>
              <w:rPr>
                <w:color w:val="000000"/>
              </w:rPr>
            </w:pPr>
          </w:p>
          <w:p w:rsidR="00EA2DE1" w:rsidRDefault="00017884" w:rsidP="00EA2DE1">
            <w:pPr>
              <w:widowControl w:val="0"/>
              <w:tabs>
                <w:tab w:val="left" w:pos="0"/>
                <w:tab w:val="left" w:pos="144"/>
              </w:tabs>
              <w:rPr>
                <w:i/>
                <w:color w:val="00B050"/>
              </w:rPr>
            </w:pPr>
            <w:r w:rsidRPr="00017884">
              <w:rPr>
                <w:i/>
                <w:color w:val="00B050"/>
              </w:rPr>
              <w:t xml:space="preserve">My Notes:  </w:t>
            </w:r>
          </w:p>
          <w:p w:rsidR="00EA2DE1" w:rsidRDefault="00017884" w:rsidP="00EA2DE1">
            <w:pPr>
              <w:widowControl w:val="0"/>
              <w:tabs>
                <w:tab w:val="left" w:pos="0"/>
                <w:tab w:val="left" w:pos="144"/>
              </w:tabs>
              <w:rPr>
                <w:i/>
                <w:color w:val="000000"/>
              </w:rPr>
            </w:pPr>
            <w:r w:rsidRPr="00017884">
              <w:rPr>
                <w:i/>
                <w:color w:val="000000"/>
              </w:rPr>
              <w:t>If granting</w:t>
            </w:r>
            <w:r w:rsidR="00EA2DE1">
              <w:rPr>
                <w:i/>
                <w:color w:val="000000"/>
              </w:rPr>
              <w:t>, use the diagnosis from the DBQ/TRs &amp;</w:t>
            </w:r>
            <w:r w:rsidRPr="00017884">
              <w:rPr>
                <w:i/>
                <w:color w:val="000000"/>
              </w:rPr>
              <w:t xml:space="preserve"> add </w:t>
            </w:r>
            <w:r>
              <w:rPr>
                <w:i/>
                <w:color w:val="000000"/>
              </w:rPr>
              <w:t>“</w:t>
            </w:r>
            <w:r w:rsidRPr="00017884">
              <w:rPr>
                <w:i/>
                <w:color w:val="000000"/>
              </w:rPr>
              <w:t>(claimed as…)</w:t>
            </w:r>
            <w:r>
              <w:rPr>
                <w:i/>
                <w:color w:val="000000"/>
              </w:rPr>
              <w:t>”</w:t>
            </w:r>
            <w:r w:rsidRPr="00017884">
              <w:rPr>
                <w:i/>
                <w:color w:val="000000"/>
              </w:rPr>
              <w:t xml:space="preserve"> to the decision line</w:t>
            </w:r>
            <w:r w:rsidR="00EA2DE1">
              <w:rPr>
                <w:i/>
                <w:color w:val="000000"/>
              </w:rPr>
              <w:t xml:space="preserve">. </w:t>
            </w:r>
            <w:r w:rsidR="00EA2DE1" w:rsidRPr="00EA2DE1">
              <w:rPr>
                <w:b/>
                <w:color w:val="000000"/>
              </w:rPr>
              <w:t>III.iv.6.E.6.b</w:t>
            </w:r>
          </w:p>
          <w:p w:rsidR="00017884" w:rsidRPr="00017884" w:rsidRDefault="00017884" w:rsidP="00EA2DE1">
            <w:pPr>
              <w:widowControl w:val="0"/>
              <w:tabs>
                <w:tab w:val="left" w:pos="0"/>
                <w:tab w:val="left" w:pos="144"/>
              </w:tabs>
              <w:rPr>
                <w:i/>
              </w:rPr>
            </w:pPr>
            <w:r w:rsidRPr="00017884">
              <w:rPr>
                <w:i/>
                <w:color w:val="000000"/>
              </w:rPr>
              <w:t>If denying, deny as claimed.</w:t>
            </w:r>
          </w:p>
        </w:tc>
      </w:tr>
      <w:tr w:rsidR="00911094" w:rsidTr="00BC2764">
        <w:trPr>
          <w:trHeight w:val="190"/>
        </w:trPr>
        <w:tc>
          <w:tcPr>
            <w:tcW w:w="2379" w:type="dxa"/>
          </w:tcPr>
          <w:p w:rsidR="00911094" w:rsidRDefault="00911094">
            <w:pPr>
              <w:pStyle w:val="Header"/>
              <w:widowControl w:val="0"/>
              <w:tabs>
                <w:tab w:val="clear" w:pos="4320"/>
                <w:tab w:val="clear" w:pos="8640"/>
              </w:tabs>
              <w:rPr>
                <w:bCs/>
                <w:iCs/>
              </w:rPr>
            </w:pPr>
            <w:r>
              <w:rPr>
                <w:bCs/>
                <w:iCs/>
              </w:rPr>
              <w:t>The Issue</w:t>
            </w:r>
          </w:p>
        </w:tc>
        <w:tc>
          <w:tcPr>
            <w:tcW w:w="8298" w:type="dxa"/>
          </w:tcPr>
          <w:p w:rsidR="00911094" w:rsidRDefault="00911094" w:rsidP="000146CC">
            <w:pPr>
              <w:widowControl w:val="0"/>
            </w:pPr>
            <w:r>
              <w:t xml:space="preserve">The Issue should always be </w:t>
            </w:r>
            <w:r w:rsidRPr="008008F2">
              <w:rPr>
                <w:b/>
              </w:rPr>
              <w:t>clean</w:t>
            </w:r>
            <w:r>
              <w:t>. Do not include “</w:t>
            </w:r>
            <w:r w:rsidRPr="008008F2">
              <w:t xml:space="preserve">secondary to the service-connected disability of </w:t>
            </w:r>
            <w:r>
              <w:t>…” or “associated with herbicide exposure</w:t>
            </w:r>
            <w:r w:rsidR="001946CC">
              <w:t>.”</w:t>
            </w:r>
            <w:r>
              <w:t xml:space="preserve"> The issue is service connection, including </w:t>
            </w:r>
            <w:r w:rsidRPr="008008F2">
              <w:rPr>
                <w:u w:val="single"/>
              </w:rPr>
              <w:t>ALL</w:t>
            </w:r>
            <w:r>
              <w:t xml:space="preserve"> relevant types of service connection - direct, presumptive, and secondary, not just the </w:t>
            </w:r>
            <w:r w:rsidRPr="008008F2">
              <w:rPr>
                <w:u w:val="single"/>
              </w:rPr>
              <w:t>ONE</w:t>
            </w:r>
            <w:r>
              <w:t xml:space="preserve"> type being granted/claimed/denied.</w:t>
            </w:r>
          </w:p>
        </w:tc>
      </w:tr>
      <w:tr w:rsidR="00911094" w:rsidTr="00BC2764">
        <w:trPr>
          <w:trHeight w:val="190"/>
        </w:trPr>
        <w:tc>
          <w:tcPr>
            <w:tcW w:w="2379" w:type="dxa"/>
          </w:tcPr>
          <w:p w:rsidR="00911094" w:rsidRDefault="00911094">
            <w:pPr>
              <w:pStyle w:val="Header"/>
              <w:widowControl w:val="0"/>
              <w:tabs>
                <w:tab w:val="clear" w:pos="4320"/>
                <w:tab w:val="clear" w:pos="8640"/>
              </w:tabs>
              <w:rPr>
                <w:bCs/>
                <w:iCs/>
              </w:rPr>
            </w:pPr>
            <w:r>
              <w:rPr>
                <w:bCs/>
                <w:iCs/>
              </w:rPr>
              <w:t>EP 960s</w:t>
            </w:r>
          </w:p>
          <w:p w:rsidR="00911094" w:rsidRDefault="00911094">
            <w:pPr>
              <w:pStyle w:val="Header"/>
              <w:widowControl w:val="0"/>
              <w:tabs>
                <w:tab w:val="clear" w:pos="4320"/>
                <w:tab w:val="clear" w:pos="8640"/>
              </w:tabs>
              <w:rPr>
                <w:bCs/>
                <w:iCs/>
              </w:rPr>
            </w:pPr>
          </w:p>
          <w:p w:rsidR="00911094" w:rsidRDefault="00911094">
            <w:pPr>
              <w:pStyle w:val="Header"/>
              <w:widowControl w:val="0"/>
              <w:tabs>
                <w:tab w:val="clear" w:pos="4320"/>
                <w:tab w:val="clear" w:pos="8640"/>
              </w:tabs>
              <w:rPr>
                <w:bCs/>
                <w:iCs/>
              </w:rPr>
            </w:pPr>
            <w:r>
              <w:rPr>
                <w:bCs/>
                <w:i/>
              </w:rPr>
              <w:t>(per AVSCM 7/23/12)</w:t>
            </w:r>
          </w:p>
        </w:tc>
        <w:tc>
          <w:tcPr>
            <w:tcW w:w="8298" w:type="dxa"/>
          </w:tcPr>
          <w:p w:rsidR="00911094" w:rsidRDefault="00911094">
            <w:pPr>
              <w:widowControl w:val="0"/>
            </w:pPr>
            <w:r>
              <w:t>VSR:  PCLR the EP 960, as this RD addresses all issues that need to be addressed under the 960.</w:t>
            </w:r>
          </w:p>
          <w:p w:rsidR="00911094" w:rsidRDefault="00911094">
            <w:pPr>
              <w:widowControl w:val="0"/>
              <w:rPr>
                <w:i/>
                <w:iCs/>
              </w:rPr>
            </w:pPr>
            <w:r>
              <w:rPr>
                <w:i/>
                <w:iCs/>
              </w:rPr>
              <w:t>OR</w:t>
            </w:r>
          </w:p>
          <w:p w:rsidR="00911094" w:rsidRDefault="00911094">
            <w:pPr>
              <w:widowControl w:val="0"/>
            </w:pPr>
            <w:r>
              <w:t xml:space="preserve">VSR: PCAN the EP 960, as all issues are addressed under the 960 but we cannot take the 960 credit because we already have a running EP. </w:t>
            </w:r>
          </w:p>
          <w:p w:rsidR="00911094" w:rsidRDefault="00911094">
            <w:pPr>
              <w:widowControl w:val="0"/>
              <w:rPr>
                <w:i/>
                <w:iCs/>
              </w:rPr>
            </w:pPr>
            <w:r>
              <w:rPr>
                <w:i/>
                <w:iCs/>
              </w:rPr>
              <w:t>OR</w:t>
            </w:r>
          </w:p>
          <w:p w:rsidR="00911094" w:rsidRDefault="00911094" w:rsidP="003E4933">
            <w:pPr>
              <w:widowControl w:val="0"/>
            </w:pPr>
            <w:r>
              <w:t>VSR:  This RD does not address the EP 960, and it will be addressed separately.</w:t>
            </w:r>
          </w:p>
        </w:tc>
      </w:tr>
      <w:tr w:rsidR="00911094" w:rsidTr="00BC2764">
        <w:trPr>
          <w:trHeight w:val="719"/>
        </w:trPr>
        <w:tc>
          <w:tcPr>
            <w:tcW w:w="2379" w:type="dxa"/>
          </w:tcPr>
          <w:p w:rsidR="00911094" w:rsidRDefault="00911094">
            <w:pPr>
              <w:pStyle w:val="Header"/>
              <w:widowControl w:val="0"/>
              <w:tabs>
                <w:tab w:val="clear" w:pos="4320"/>
                <w:tab w:val="clear" w:pos="8640"/>
              </w:tabs>
              <w:rPr>
                <w:bCs/>
                <w:iCs/>
              </w:rPr>
            </w:pPr>
            <w:r>
              <w:rPr>
                <w:bCs/>
                <w:iCs/>
              </w:rPr>
              <w:t>POA Change</w:t>
            </w:r>
          </w:p>
          <w:p w:rsidR="00911094" w:rsidRDefault="00911094">
            <w:pPr>
              <w:pStyle w:val="Header"/>
              <w:widowControl w:val="0"/>
              <w:tabs>
                <w:tab w:val="clear" w:pos="4320"/>
                <w:tab w:val="clear" w:pos="8640"/>
              </w:tabs>
              <w:rPr>
                <w:bCs/>
                <w:iCs/>
              </w:rPr>
            </w:pPr>
          </w:p>
          <w:p w:rsidR="00911094" w:rsidRDefault="00911094">
            <w:pPr>
              <w:pStyle w:val="Header"/>
              <w:widowControl w:val="0"/>
              <w:tabs>
                <w:tab w:val="clear" w:pos="4320"/>
                <w:tab w:val="clear" w:pos="8640"/>
              </w:tabs>
              <w:rPr>
                <w:bCs/>
                <w:iCs/>
              </w:rPr>
            </w:pPr>
            <w:r w:rsidRPr="00CF468D">
              <w:rPr>
                <w:b/>
                <w:bCs/>
                <w:iCs/>
              </w:rPr>
              <w:t>I.3.A</w:t>
            </w:r>
            <w:r>
              <w:rPr>
                <w:bCs/>
                <w:iCs/>
              </w:rPr>
              <w:t xml:space="preserve"> – info on POAs</w:t>
            </w:r>
          </w:p>
        </w:tc>
        <w:tc>
          <w:tcPr>
            <w:tcW w:w="8298" w:type="dxa"/>
          </w:tcPr>
          <w:p w:rsidR="00F75466" w:rsidRDefault="00911094">
            <w:pPr>
              <w:widowControl w:val="0"/>
              <w:rPr>
                <w:i/>
                <w:iCs/>
              </w:rPr>
            </w:pPr>
            <w:r>
              <w:rPr>
                <w:i/>
                <w:iCs/>
              </w:rPr>
              <w:t>Update Power of Attorney (POA) in SHARE with BIRLS Update (Locate – In Database – “Disabled” or oth</w:t>
            </w:r>
            <w:r w:rsidR="00F75466">
              <w:rPr>
                <w:i/>
                <w:iCs/>
              </w:rPr>
              <w:t>er - Locate) &amp; do a PIF Change</w:t>
            </w:r>
          </w:p>
          <w:p w:rsidR="00F75466" w:rsidRDefault="00F75466">
            <w:pPr>
              <w:widowControl w:val="0"/>
              <w:rPr>
                <w:i/>
                <w:iCs/>
              </w:rPr>
            </w:pPr>
          </w:p>
          <w:p w:rsidR="00911094" w:rsidRDefault="00911094" w:rsidP="00F75466">
            <w:pPr>
              <w:widowControl w:val="0"/>
              <w:rPr>
                <w:i/>
                <w:iCs/>
              </w:rPr>
            </w:pPr>
            <w:r>
              <w:rPr>
                <w:i/>
                <w:iCs/>
              </w:rPr>
              <w:t>c</w:t>
            </w:r>
            <w:r w:rsidR="00F75466">
              <w:rPr>
                <w:i/>
                <w:iCs/>
              </w:rPr>
              <w:t>heck</w:t>
            </w:r>
            <w:r w:rsidR="00AC249E">
              <w:rPr>
                <w:i/>
                <w:iCs/>
              </w:rPr>
              <w:t xml:space="preserve"> the POA access box in VBMS, only if 7332 box is checked</w:t>
            </w:r>
          </w:p>
          <w:p w:rsidR="007032C2" w:rsidRDefault="007032C2" w:rsidP="00F75466">
            <w:pPr>
              <w:widowControl w:val="0"/>
              <w:rPr>
                <w:i/>
                <w:iCs/>
              </w:rPr>
            </w:pPr>
          </w:p>
          <w:p w:rsidR="003E3A80" w:rsidRDefault="003E3A80" w:rsidP="00F75466">
            <w:pPr>
              <w:widowControl w:val="0"/>
              <w:rPr>
                <w:rStyle w:val="ng-binding"/>
              </w:rPr>
            </w:pPr>
            <w:r w:rsidRPr="005B3BFD">
              <w:rPr>
                <w:rStyle w:val="ng-binding"/>
                <w:b/>
              </w:rPr>
              <w:t>III.ii.3.C.4.e</w:t>
            </w:r>
            <w:r>
              <w:rPr>
                <w:rStyle w:val="ng-binding"/>
              </w:rPr>
              <w:t xml:space="preserve"> – POAs must sign 21-22s rec’d after 4/22/13</w:t>
            </w:r>
          </w:p>
          <w:p w:rsidR="005B3BFD" w:rsidRDefault="005B3BFD" w:rsidP="00F75466">
            <w:pPr>
              <w:widowControl w:val="0"/>
              <w:rPr>
                <w:rStyle w:val="ng-binding"/>
              </w:rPr>
            </w:pPr>
          </w:p>
          <w:p w:rsidR="005B3BFD" w:rsidRPr="003E3A80" w:rsidRDefault="005B3BFD" w:rsidP="00F75466">
            <w:pPr>
              <w:widowControl w:val="0"/>
              <w:rPr>
                <w:iCs/>
              </w:rPr>
            </w:pPr>
            <w:r w:rsidRPr="005B3BFD">
              <w:rPr>
                <w:rStyle w:val="ng-binding"/>
                <w:b/>
              </w:rPr>
              <w:t>III.i.4.B</w:t>
            </w:r>
            <w:r>
              <w:rPr>
                <w:rStyle w:val="ng-binding"/>
              </w:rPr>
              <w:t xml:space="preserve"> – if 21-22 doesn’t upload with VDC/SEP claims (check SHARE – All Relationships, which is under the Corporate Inquiry command; will show VAEBENEFITS),  POA appointment is still valid, need to email </w:t>
            </w:r>
            <w:r w:rsidRPr="005B3BFD">
              <w:rPr>
                <w:rStyle w:val="ng-binding"/>
              </w:rPr>
              <w:t>EVSShelpdesk@va.gov</w:t>
            </w:r>
            <w:r>
              <w:rPr>
                <w:rStyle w:val="ng-binding"/>
              </w:rPr>
              <w:t xml:space="preserve"> to re-initiate the upload of the 21-22 to the eFolder</w:t>
            </w:r>
          </w:p>
          <w:p w:rsidR="003E3A80" w:rsidRDefault="003E3A80" w:rsidP="00F75466">
            <w:pPr>
              <w:widowControl w:val="0"/>
              <w:rPr>
                <w:i/>
                <w:iCs/>
              </w:rPr>
            </w:pPr>
          </w:p>
          <w:p w:rsidR="007032C2" w:rsidRPr="007032C2" w:rsidRDefault="007032C2" w:rsidP="007032C2">
            <w:r w:rsidRPr="007032C2">
              <w:rPr>
                <w:b/>
                <w:bCs/>
              </w:rPr>
              <w:t>From:</w:t>
            </w:r>
            <w:r w:rsidRPr="007032C2">
              <w:t xml:space="preserve"> VAVBASDC/RO/VSC </w:t>
            </w:r>
            <w:r w:rsidRPr="007032C2">
              <w:br/>
            </w:r>
            <w:r w:rsidRPr="007032C2">
              <w:rPr>
                <w:b/>
                <w:bCs/>
              </w:rPr>
              <w:t>Sent:</w:t>
            </w:r>
            <w:r w:rsidRPr="007032C2">
              <w:t xml:space="preserve"> Tuesday, November 14, 2017 8:11 AM</w:t>
            </w:r>
            <w:r w:rsidRPr="007032C2">
              <w:br/>
            </w:r>
            <w:r w:rsidRPr="007032C2">
              <w:rPr>
                <w:b/>
                <w:bCs/>
              </w:rPr>
              <w:t>Subject:</w:t>
            </w:r>
            <w:r w:rsidRPr="007032C2">
              <w:t xml:space="preserve"> Q-Tip: Updating Electronic Systems to Reflect POA Access</w:t>
            </w:r>
          </w:p>
          <w:p w:rsidR="007032C2" w:rsidRPr="007032C2" w:rsidRDefault="007032C2" w:rsidP="007032C2">
            <w:pPr>
              <w:rPr>
                <w:rFonts w:eastAsiaTheme="minorHAnsi"/>
              </w:rPr>
            </w:pPr>
          </w:p>
          <w:p w:rsidR="007032C2" w:rsidRPr="007032C2" w:rsidRDefault="007032C2" w:rsidP="007032C2">
            <w:r w:rsidRPr="007032C2">
              <w:t xml:space="preserve">VSC – QRT would like to put out the below information as a quality tip: </w:t>
            </w:r>
          </w:p>
          <w:p w:rsidR="007032C2" w:rsidRPr="007032C2" w:rsidRDefault="007032C2" w:rsidP="007032C2"/>
          <w:p w:rsidR="007032C2" w:rsidRPr="007032C2" w:rsidRDefault="007032C2" w:rsidP="007032C2">
            <w:pPr>
              <w:jc w:val="center"/>
              <w:rPr>
                <w:b/>
                <w:bCs/>
                <w:u w:val="single"/>
              </w:rPr>
            </w:pPr>
            <w:r w:rsidRPr="007032C2">
              <w:rPr>
                <w:b/>
                <w:bCs/>
                <w:u w:val="single"/>
              </w:rPr>
              <w:t xml:space="preserve">Q-Tip: Updating Electronic Systems to Reflect POA Access to the eFolder </w:t>
            </w:r>
          </w:p>
          <w:p w:rsidR="007032C2" w:rsidRPr="007032C2" w:rsidRDefault="007032C2" w:rsidP="007032C2">
            <w:pPr>
              <w:rPr>
                <w:b/>
                <w:bCs/>
                <w:u w:val="single"/>
              </w:rPr>
            </w:pPr>
          </w:p>
          <w:p w:rsidR="007032C2" w:rsidRPr="007032C2" w:rsidRDefault="007032C2" w:rsidP="007032C2">
            <w:r w:rsidRPr="007032C2">
              <w:t xml:space="preserve">The Quality Tip is provided as a reminder for granting and removing POA access in the eFolder. </w:t>
            </w:r>
          </w:p>
          <w:p w:rsidR="007032C2" w:rsidRPr="007032C2" w:rsidRDefault="007032C2" w:rsidP="007032C2"/>
          <w:p w:rsidR="007032C2" w:rsidRPr="007032C2" w:rsidRDefault="00D571C5" w:rsidP="007032C2">
            <w:pPr>
              <w:rPr>
                <w:color w:val="0000FF"/>
                <w:u w:val="single"/>
              </w:rPr>
            </w:pPr>
            <w:hyperlink r:id="rId293" w:anchor="2f" w:history="1">
              <w:r w:rsidR="007032C2" w:rsidRPr="007032C2">
                <w:rPr>
                  <w:rStyle w:val="Hyperlink"/>
                  <w:b/>
                  <w:bCs/>
                </w:rPr>
                <w:t>M21-1 I.3.B.2.f. Duration of 38 U.S.C. 7332 Authorization</w:t>
              </w:r>
            </w:hyperlink>
          </w:p>
          <w:p w:rsidR="007032C2" w:rsidRPr="007032C2" w:rsidRDefault="007032C2" w:rsidP="007032C2">
            <w:pPr>
              <w:rPr>
                <w:b/>
                <w:bCs/>
                <w:color w:val="0000FF"/>
                <w:u w:val="single"/>
              </w:rPr>
            </w:pPr>
            <w:r w:rsidRPr="007032C2">
              <w:rPr>
                <w:color w:val="333333"/>
              </w:rPr>
              <w:t xml:space="preserve">When a claimant has completed a </w:t>
            </w:r>
            <w:hyperlink r:id="rId294" w:history="1">
              <w:r w:rsidRPr="007032C2">
                <w:rPr>
                  <w:rStyle w:val="Hyperlink"/>
                  <w:b/>
                  <w:bCs/>
                </w:rPr>
                <w:t>38 U.S.C. 7332</w:t>
              </w:r>
            </w:hyperlink>
            <w:r w:rsidRPr="007032C2">
              <w:rPr>
                <w:color w:val="333333"/>
              </w:rPr>
              <w:t xml:space="preserve"> authorization in connection with appointment of a representative using </w:t>
            </w:r>
            <w:hyperlink r:id="rId295" w:history="1">
              <w:r w:rsidRPr="007032C2">
                <w:rPr>
                  <w:rStyle w:val="Hyperlink"/>
                  <w:b/>
                  <w:bCs/>
                  <w:i/>
                  <w:iCs/>
                </w:rPr>
                <w:t>VA Form 21-22</w:t>
              </w:r>
            </w:hyperlink>
            <w:r w:rsidRPr="007032C2">
              <w:rPr>
                <w:color w:val="333333"/>
              </w:rPr>
              <w:t xml:space="preserve"> or </w:t>
            </w:r>
            <w:hyperlink r:id="rId296" w:history="1">
              <w:r w:rsidRPr="007032C2">
                <w:rPr>
                  <w:rStyle w:val="Hyperlink"/>
                  <w:b/>
                  <w:bCs/>
                  <w:i/>
                  <w:iCs/>
                </w:rPr>
                <w:t>VA Form 21-22a</w:t>
              </w:r>
            </w:hyperlink>
            <w:r w:rsidRPr="007032C2">
              <w:rPr>
                <w:color w:val="333333"/>
              </w:rPr>
              <w:t xml:space="preserve">, the authorization remains in effect until the </w:t>
            </w:r>
            <w:r w:rsidRPr="007032C2">
              <w:rPr>
                <w:b/>
                <w:bCs/>
                <w:i/>
                <w:iCs/>
                <w:color w:val="333333"/>
              </w:rPr>
              <w:t>earliest</w:t>
            </w:r>
            <w:r w:rsidRPr="007032C2">
              <w:rPr>
                <w:b/>
                <w:bCs/>
                <w:color w:val="333333"/>
              </w:rPr>
              <w:t xml:space="preserve"> </w:t>
            </w:r>
            <w:r w:rsidRPr="007032C2">
              <w:rPr>
                <w:color w:val="333333"/>
              </w:rPr>
              <w:t>of the following:</w:t>
            </w:r>
          </w:p>
          <w:p w:rsidR="007032C2" w:rsidRPr="007032C2" w:rsidRDefault="007032C2" w:rsidP="00F063AF">
            <w:pPr>
              <w:numPr>
                <w:ilvl w:val="0"/>
                <w:numId w:val="388"/>
              </w:numPr>
              <w:overflowPunct/>
              <w:autoSpaceDE/>
              <w:autoSpaceDN/>
              <w:adjustRightInd/>
              <w:ind w:right="245"/>
              <w:contextualSpacing/>
              <w:textAlignment w:val="auto"/>
              <w:rPr>
                <w:color w:val="333333"/>
              </w:rPr>
            </w:pPr>
            <w:r w:rsidRPr="007032C2">
              <w:rPr>
                <w:color w:val="333333"/>
              </w:rPr>
              <w:t xml:space="preserve">the claimant revokes the </w:t>
            </w:r>
            <w:hyperlink r:id="rId297" w:history="1">
              <w:r w:rsidRPr="007032C2">
                <w:rPr>
                  <w:rStyle w:val="Hyperlink"/>
                  <w:b/>
                  <w:bCs/>
                </w:rPr>
                <w:t>38 U.S.C. 7332</w:t>
              </w:r>
            </w:hyperlink>
            <w:r w:rsidRPr="007032C2">
              <w:rPr>
                <w:color w:val="333333"/>
              </w:rPr>
              <w:t xml:space="preserve"> authorization by filing a written revocation with VA</w:t>
            </w:r>
          </w:p>
          <w:p w:rsidR="007032C2" w:rsidRPr="007032C2" w:rsidRDefault="007032C2" w:rsidP="00F063AF">
            <w:pPr>
              <w:numPr>
                <w:ilvl w:val="0"/>
                <w:numId w:val="388"/>
              </w:numPr>
              <w:overflowPunct/>
              <w:autoSpaceDE/>
              <w:autoSpaceDN/>
              <w:adjustRightInd/>
              <w:spacing w:before="100" w:beforeAutospacing="1" w:after="100" w:afterAutospacing="1"/>
              <w:ind w:right="240"/>
              <w:contextualSpacing/>
              <w:textAlignment w:val="auto"/>
              <w:rPr>
                <w:color w:val="333333"/>
              </w:rPr>
            </w:pPr>
            <w:r w:rsidRPr="007032C2">
              <w:rPr>
                <w:color w:val="333333"/>
              </w:rPr>
              <w:t>the claimant revokes the representative’s appointment explicitly, or</w:t>
            </w:r>
          </w:p>
          <w:p w:rsidR="007032C2" w:rsidRPr="007032C2" w:rsidRDefault="007032C2" w:rsidP="00F063AF">
            <w:pPr>
              <w:numPr>
                <w:ilvl w:val="0"/>
                <w:numId w:val="388"/>
              </w:numPr>
              <w:overflowPunct/>
              <w:autoSpaceDE/>
              <w:autoSpaceDN/>
              <w:adjustRightInd/>
              <w:spacing w:before="100" w:beforeAutospacing="1" w:after="100" w:afterAutospacing="1"/>
              <w:ind w:right="240"/>
              <w:contextualSpacing/>
              <w:textAlignment w:val="auto"/>
              <w:rPr>
                <w:color w:val="333333"/>
              </w:rPr>
            </w:pPr>
            <w:r w:rsidRPr="007032C2">
              <w:rPr>
                <w:color w:val="333333"/>
              </w:rPr>
              <w:t>the claimant implicitly revokes the representative’s appointment by appointing another representative.</w:t>
            </w:r>
          </w:p>
          <w:p w:rsidR="007032C2" w:rsidRPr="007032C2" w:rsidRDefault="00D571C5" w:rsidP="007032C2">
            <w:pPr>
              <w:rPr>
                <w:rFonts w:eastAsiaTheme="minorHAnsi"/>
                <w:b/>
                <w:bCs/>
                <w:color w:val="0000FF"/>
                <w:u w:val="single"/>
              </w:rPr>
            </w:pPr>
            <w:hyperlink r:id="rId298" w:anchor="2g" w:history="1">
              <w:r w:rsidR="007032C2" w:rsidRPr="007032C2">
                <w:rPr>
                  <w:rStyle w:val="Hyperlink"/>
                  <w:b/>
                  <w:bCs/>
                </w:rPr>
                <w:t>M21-1 I.3.B.2.g. 38 U.S.C. 7332 Authorization – Relationship to the Representatives System Access</w:t>
              </w:r>
            </w:hyperlink>
          </w:p>
          <w:p w:rsidR="007032C2" w:rsidRPr="007032C2" w:rsidRDefault="007032C2" w:rsidP="007032C2"/>
          <w:p w:rsidR="007032C2" w:rsidRPr="007032C2" w:rsidRDefault="007032C2" w:rsidP="007032C2">
            <w:r w:rsidRPr="007032C2">
              <w:t xml:space="preserve">To prevent inadvertent disclosure of records protected by </w:t>
            </w:r>
            <w:hyperlink r:id="rId299" w:tgtFrame="_blank" w:history="1">
              <w:r w:rsidRPr="007032C2">
                <w:rPr>
                  <w:rStyle w:val="Hyperlink"/>
                  <w:b/>
                  <w:bCs/>
                </w:rPr>
                <w:t>38 U.S.C. 7332</w:t>
              </w:r>
            </w:hyperlink>
            <w:r w:rsidRPr="007032C2">
              <w:t xml:space="preserve">, a claimant’s representative may only access VA electronic systems pertaining to the claimant when there is a </w:t>
            </w:r>
            <w:r w:rsidRPr="007032C2">
              <w:rPr>
                <w:b/>
                <w:bCs/>
                <w:i/>
                <w:iCs/>
              </w:rPr>
              <w:t xml:space="preserve">valid </w:t>
            </w:r>
            <w:r w:rsidRPr="007032C2">
              <w:t>claimant authorization in effect permitting disclosure of</w:t>
            </w:r>
            <w:r w:rsidRPr="007032C2">
              <w:rPr>
                <w:b/>
                <w:bCs/>
              </w:rPr>
              <w:t xml:space="preserve"> </w:t>
            </w:r>
            <w:r w:rsidRPr="007032C2">
              <w:rPr>
                <w:b/>
                <w:bCs/>
                <w:i/>
                <w:iCs/>
              </w:rPr>
              <w:t>all protected records</w:t>
            </w:r>
            <w:r w:rsidRPr="007032C2">
              <w:t>.  </w:t>
            </w:r>
          </w:p>
          <w:p w:rsidR="007032C2" w:rsidRPr="007032C2" w:rsidRDefault="007032C2" w:rsidP="007032C2"/>
          <w:p w:rsidR="007032C2" w:rsidRPr="007032C2" w:rsidRDefault="007032C2" w:rsidP="007032C2">
            <w:r w:rsidRPr="007032C2">
              <w:t xml:space="preserve">Upon review of a claimant’s VA file, prior completion of a </w:t>
            </w:r>
            <w:hyperlink r:id="rId300" w:tgtFrame="_blank" w:history="1">
              <w:r w:rsidRPr="007032C2">
                <w:rPr>
                  <w:rStyle w:val="Hyperlink"/>
                  <w:b/>
                  <w:bCs/>
                </w:rPr>
                <w:t>38 U.S.C. 7332</w:t>
              </w:r>
            </w:hyperlink>
            <w:r w:rsidRPr="007032C2">
              <w:t xml:space="preserve"> authorization (already of record) in connection with the representative’s appointment using </w:t>
            </w:r>
            <w:hyperlink r:id="rId301" w:history="1">
              <w:r w:rsidRPr="007032C2">
                <w:rPr>
                  <w:rStyle w:val="Hyperlink"/>
                  <w:b/>
                  <w:bCs/>
                  <w:i/>
                  <w:iCs/>
                </w:rPr>
                <w:t>VA Form 21-22</w:t>
              </w:r>
            </w:hyperlink>
            <w:r w:rsidRPr="007032C2">
              <w:t xml:space="preserve"> or </w:t>
            </w:r>
            <w:hyperlink r:id="rId302" w:history="1">
              <w:r w:rsidRPr="007032C2">
                <w:rPr>
                  <w:rStyle w:val="Hyperlink"/>
                  <w:b/>
                  <w:bCs/>
                  <w:i/>
                  <w:iCs/>
                </w:rPr>
                <w:t xml:space="preserve">VA Form 21-22a </w:t>
              </w:r>
            </w:hyperlink>
            <w:r w:rsidRPr="007032C2">
              <w:t>remains in effect and is sufficient for purposes of establishing VA electronic system access by a specific representative if:</w:t>
            </w:r>
          </w:p>
          <w:p w:rsidR="007032C2" w:rsidRPr="007032C2" w:rsidRDefault="007032C2" w:rsidP="00F063AF">
            <w:pPr>
              <w:numPr>
                <w:ilvl w:val="0"/>
                <w:numId w:val="389"/>
              </w:numPr>
              <w:overflowPunct/>
              <w:autoSpaceDE/>
              <w:autoSpaceDN/>
              <w:adjustRightInd/>
              <w:ind w:right="245"/>
              <w:textAlignment w:val="auto"/>
            </w:pPr>
            <w:r w:rsidRPr="007032C2">
              <w:t>the form was valid at the time it was received</w:t>
            </w:r>
          </w:p>
          <w:p w:rsidR="007032C2" w:rsidRPr="007032C2" w:rsidRDefault="007032C2" w:rsidP="00F063AF">
            <w:pPr>
              <w:numPr>
                <w:ilvl w:val="0"/>
                <w:numId w:val="389"/>
              </w:numPr>
              <w:overflowPunct/>
              <w:autoSpaceDE/>
              <w:autoSpaceDN/>
              <w:adjustRightInd/>
              <w:spacing w:before="100" w:beforeAutospacing="1" w:after="100" w:afterAutospacing="1"/>
              <w:ind w:right="240"/>
              <w:textAlignment w:val="auto"/>
              <w:rPr>
                <w:color w:val="333333"/>
              </w:rPr>
            </w:pPr>
            <w:r w:rsidRPr="007032C2">
              <w:t xml:space="preserve">the claimant has explicitly authorized the representative to access records protected by </w:t>
            </w:r>
            <w:hyperlink r:id="rId303" w:tgtFrame="_blank" w:history="1">
              <w:r w:rsidRPr="007032C2">
                <w:rPr>
                  <w:rStyle w:val="Hyperlink"/>
                  <w:b/>
                  <w:bCs/>
                </w:rPr>
                <w:t>38 U.S.C. 7332</w:t>
              </w:r>
            </w:hyperlink>
            <w:r w:rsidRPr="007032C2">
              <w:rPr>
                <w:color w:val="333333"/>
              </w:rPr>
              <w:t xml:space="preserve">, </w:t>
            </w:r>
            <w:r w:rsidRPr="007032C2">
              <w:rPr>
                <w:b/>
                <w:bCs/>
                <w:i/>
                <w:iCs/>
              </w:rPr>
              <w:t>and</w:t>
            </w:r>
          </w:p>
          <w:p w:rsidR="007032C2" w:rsidRPr="007032C2" w:rsidRDefault="007032C2" w:rsidP="00F063AF">
            <w:pPr>
              <w:numPr>
                <w:ilvl w:val="0"/>
                <w:numId w:val="389"/>
              </w:numPr>
              <w:overflowPunct/>
              <w:autoSpaceDE/>
              <w:autoSpaceDN/>
              <w:adjustRightInd/>
              <w:spacing w:before="100" w:beforeAutospacing="1" w:after="100" w:afterAutospacing="1"/>
              <w:ind w:right="240"/>
              <w:textAlignment w:val="auto"/>
              <w:rPr>
                <w:color w:val="333333"/>
              </w:rPr>
            </w:pPr>
            <w:r w:rsidRPr="007032C2">
              <w:t>there are no restrictions described by the Veteran</w:t>
            </w:r>
            <w:r w:rsidRPr="007032C2">
              <w:rPr>
                <w:color w:val="FF0000"/>
              </w:rPr>
              <w:t>.</w:t>
            </w:r>
            <w:r w:rsidRPr="007032C2">
              <w:rPr>
                <w:color w:val="333333"/>
              </w:rPr>
              <w:t> </w:t>
            </w:r>
          </w:p>
          <w:p w:rsidR="007032C2" w:rsidRPr="007032C2" w:rsidRDefault="007032C2" w:rsidP="007032C2">
            <w:pPr>
              <w:rPr>
                <w:rFonts w:eastAsiaTheme="minorHAnsi"/>
              </w:rPr>
            </w:pPr>
            <w:r w:rsidRPr="007032C2">
              <w:t>The representative</w:t>
            </w:r>
            <w:r w:rsidRPr="007032C2">
              <w:rPr>
                <w:b/>
                <w:bCs/>
              </w:rPr>
              <w:t xml:space="preserve"> </w:t>
            </w:r>
            <w:r w:rsidRPr="007032C2">
              <w:rPr>
                <w:b/>
                <w:bCs/>
                <w:i/>
                <w:iCs/>
              </w:rPr>
              <w:t>may</w:t>
            </w:r>
            <w:r w:rsidRPr="007032C2">
              <w:rPr>
                <w:i/>
                <w:iCs/>
              </w:rPr>
              <w:t xml:space="preserve"> </w:t>
            </w:r>
            <w:r w:rsidRPr="007032C2">
              <w:rPr>
                <w:b/>
                <w:bCs/>
                <w:i/>
                <w:iCs/>
              </w:rPr>
              <w:t>not</w:t>
            </w:r>
            <w:r w:rsidRPr="007032C2">
              <w:t xml:space="preserve"> access VA electronic systems if: </w:t>
            </w:r>
          </w:p>
          <w:p w:rsidR="007032C2" w:rsidRPr="007032C2" w:rsidRDefault="007032C2" w:rsidP="00F063AF">
            <w:pPr>
              <w:numPr>
                <w:ilvl w:val="0"/>
                <w:numId w:val="390"/>
              </w:numPr>
              <w:overflowPunct/>
              <w:autoSpaceDE/>
              <w:autoSpaceDN/>
              <w:adjustRightInd/>
              <w:ind w:right="245"/>
              <w:textAlignment w:val="auto"/>
            </w:pPr>
            <w:r w:rsidRPr="007032C2">
              <w:t xml:space="preserve">the claimant did not provided specific authorization to release </w:t>
            </w:r>
            <w:r w:rsidRPr="007032C2">
              <w:rPr>
                <w:b/>
                <w:bCs/>
              </w:rPr>
              <w:t xml:space="preserve">all </w:t>
            </w:r>
            <w:r w:rsidRPr="007032C2">
              <w:t xml:space="preserve">records protected by </w:t>
            </w:r>
            <w:hyperlink r:id="rId304" w:tgtFrame="_blank" w:history="1">
              <w:r w:rsidRPr="007032C2">
                <w:rPr>
                  <w:rStyle w:val="Hyperlink"/>
                  <w:b/>
                  <w:bCs/>
                </w:rPr>
                <w:t>38 U.S.C. 7332</w:t>
              </w:r>
            </w:hyperlink>
            <w:r w:rsidRPr="007032C2">
              <w:rPr>
                <w:color w:val="333333"/>
              </w:rPr>
              <w:t xml:space="preserve"> </w:t>
            </w:r>
            <w:r w:rsidRPr="007032C2">
              <w:t xml:space="preserve">(including cases where the claimant has provided a limited authorization), </w:t>
            </w:r>
            <w:r w:rsidRPr="007032C2">
              <w:rPr>
                <w:b/>
                <w:bCs/>
                <w:i/>
                <w:iCs/>
              </w:rPr>
              <w:t>or</w:t>
            </w:r>
          </w:p>
          <w:p w:rsidR="007032C2" w:rsidRPr="007032C2" w:rsidRDefault="007032C2" w:rsidP="00F063AF">
            <w:pPr>
              <w:numPr>
                <w:ilvl w:val="0"/>
                <w:numId w:val="390"/>
              </w:numPr>
              <w:overflowPunct/>
              <w:autoSpaceDE/>
              <w:autoSpaceDN/>
              <w:adjustRightInd/>
              <w:textAlignment w:val="auto"/>
            </w:pPr>
            <w:r w:rsidRPr="007032C2">
              <w:t xml:space="preserve">the claimant has </w:t>
            </w:r>
            <w:r w:rsidRPr="007032C2">
              <w:rPr>
                <w:b/>
                <w:bCs/>
              </w:rPr>
              <w:t>revoked</w:t>
            </w:r>
            <w:r w:rsidRPr="007032C2">
              <w:t xml:space="preserve"> the </w:t>
            </w:r>
            <w:hyperlink r:id="rId305" w:tgtFrame="_blank" w:history="1">
              <w:r w:rsidRPr="007032C2">
                <w:rPr>
                  <w:rStyle w:val="Hyperlink"/>
                  <w:b/>
                  <w:bCs/>
                </w:rPr>
                <w:t>38 U.S.C. 7332</w:t>
              </w:r>
            </w:hyperlink>
            <w:r w:rsidRPr="007032C2">
              <w:t xml:space="preserve"> authorization in writing</w:t>
            </w:r>
          </w:p>
          <w:p w:rsidR="007032C2" w:rsidRPr="007032C2" w:rsidRDefault="007032C2" w:rsidP="007032C2">
            <w:pPr>
              <w:rPr>
                <w:rFonts w:eastAsiaTheme="minorHAnsi"/>
              </w:rPr>
            </w:pPr>
          </w:p>
          <w:p w:rsidR="007032C2" w:rsidRPr="007032C2" w:rsidRDefault="00D571C5" w:rsidP="007032C2">
            <w:pPr>
              <w:rPr>
                <w:u w:val="single"/>
              </w:rPr>
            </w:pPr>
            <w:hyperlink r:id="rId306" w:anchor="4c" w:history="1">
              <w:r w:rsidR="007032C2" w:rsidRPr="007032C2">
                <w:rPr>
                  <w:rStyle w:val="Hyperlink"/>
                  <w:b/>
                  <w:bCs/>
                </w:rPr>
                <w:t>M21-1 III.ii.3.C.4.c</w:t>
              </w:r>
              <w:r w:rsidR="007032C2" w:rsidRPr="007032C2">
                <w:rPr>
                  <w:rStyle w:val="Hyperlink"/>
                </w:rPr>
                <w:t xml:space="preserve">. </w:t>
              </w:r>
              <w:r w:rsidR="007032C2" w:rsidRPr="007032C2">
                <w:rPr>
                  <w:rStyle w:val="Hyperlink"/>
                  <w:b/>
                  <w:bCs/>
                </w:rPr>
                <w:t>Acceptable Versions of VA Form 21-22</w:t>
              </w:r>
            </w:hyperlink>
            <w:r w:rsidR="007032C2" w:rsidRPr="007032C2">
              <w:rPr>
                <w:u w:val="single"/>
              </w:rPr>
              <w:t xml:space="preserve"> </w:t>
            </w:r>
          </w:p>
          <w:p w:rsidR="007032C2" w:rsidRPr="007032C2" w:rsidRDefault="007032C2" w:rsidP="007032C2"/>
          <w:p w:rsidR="007032C2" w:rsidRPr="007032C2" w:rsidRDefault="007032C2" w:rsidP="007032C2">
            <w:r w:rsidRPr="007032C2">
              <w:t>VA</w:t>
            </w:r>
            <w:r w:rsidRPr="007032C2">
              <w:rPr>
                <w:b/>
                <w:bCs/>
              </w:rPr>
              <w:t xml:space="preserve"> can</w:t>
            </w:r>
            <w:r w:rsidRPr="007032C2">
              <w:t xml:space="preserve"> accept older versions of VA Form 21-22 until depletion of existing stock in accordance with </w:t>
            </w:r>
            <w:hyperlink r:id="rId307" w:anchor="8b" w:history="1">
              <w:r w:rsidRPr="007032C2">
                <w:rPr>
                  <w:rStyle w:val="Hyperlink"/>
                </w:rPr>
                <w:t>M21-1 III.ii1.C.8.b. </w:t>
              </w:r>
            </w:hyperlink>
            <w:r w:rsidRPr="007032C2">
              <w:t xml:space="preserve"> Follow the guidance in </w:t>
            </w:r>
            <w:hyperlink r:id="rId308" w:anchor="4g" w:history="1">
              <w:r w:rsidRPr="007032C2">
                <w:rPr>
                  <w:rStyle w:val="Hyperlink"/>
                </w:rPr>
                <w:t>M21-1 III.ii.3.C.4.g.</w:t>
              </w:r>
            </w:hyperlink>
            <w:r w:rsidRPr="007032C2">
              <w:t>, for establishment of representation when an outdated version of the VA Form 21-22 is received.</w:t>
            </w:r>
          </w:p>
          <w:p w:rsidR="007032C2" w:rsidRPr="007032C2" w:rsidRDefault="007032C2" w:rsidP="007032C2"/>
          <w:p w:rsidR="007032C2" w:rsidRPr="007032C2" w:rsidRDefault="00D571C5" w:rsidP="007032C2">
            <w:pPr>
              <w:rPr>
                <w:b/>
                <w:bCs/>
                <w:u w:val="single"/>
              </w:rPr>
            </w:pPr>
            <w:hyperlink r:id="rId309" w:anchor="5d" w:history="1">
              <w:r w:rsidR="007032C2" w:rsidRPr="007032C2">
                <w:rPr>
                  <w:rStyle w:val="Hyperlink"/>
                  <w:b/>
                  <w:bCs/>
                </w:rPr>
                <w:t>M21-1 III.ii.3.C.5.d. Updating Electronic Systems to Reflect POA Access to the eFolder</w:t>
              </w:r>
            </w:hyperlink>
          </w:p>
          <w:p w:rsidR="007032C2" w:rsidRPr="007032C2" w:rsidRDefault="007032C2" w:rsidP="007032C2"/>
          <w:p w:rsidR="007032C2" w:rsidRPr="007032C2" w:rsidRDefault="007032C2" w:rsidP="007032C2">
            <w:r w:rsidRPr="007032C2">
              <w:t xml:space="preserve">As a reminder, POA electronic access </w:t>
            </w:r>
            <w:r w:rsidRPr="007032C2">
              <w:rPr>
                <w:b/>
                <w:bCs/>
              </w:rPr>
              <w:t xml:space="preserve">must </w:t>
            </w:r>
            <w:r w:rsidRPr="007032C2">
              <w:t xml:space="preserve">be granted if a claimant has authorized disclosure to an appointed representative for records protected under 38 U.S.C. 7332 (relating to drug abuse, alcoholism or alcohol abuse, infection with human immunodeficiency virus (HIV), or sickle cell anemia) without limitation.  SHARE must be updated to ensure POA access to the eFolder and then POA access must be also verified in VBMS. </w:t>
            </w:r>
          </w:p>
          <w:p w:rsidR="007032C2" w:rsidRPr="007032C2" w:rsidRDefault="007032C2" w:rsidP="007032C2"/>
          <w:p w:rsidR="007032C2" w:rsidRPr="007032C2" w:rsidRDefault="007032C2" w:rsidP="007032C2">
            <w:r w:rsidRPr="007032C2">
              <w:rPr>
                <w:b/>
                <w:bCs/>
                <w:i/>
                <w:iCs/>
              </w:rPr>
              <w:t>Important</w:t>
            </w:r>
            <w:r w:rsidRPr="007032C2">
              <w:t xml:space="preserve">:  Authorization to sensitive records is granted by the claimant by checking either Box 12 on </w:t>
            </w:r>
            <w:hyperlink r:id="rId310" w:tgtFrame="_blank" w:history="1">
              <w:r w:rsidRPr="007032C2">
                <w:rPr>
                  <w:rStyle w:val="Hyperlink"/>
                  <w:b/>
                  <w:bCs/>
                  <w:i/>
                  <w:iCs/>
                </w:rPr>
                <w:t>VA Form 21-22</w:t>
              </w:r>
            </w:hyperlink>
            <w:r w:rsidRPr="007032C2">
              <w:t xml:space="preserve"> or Box 9 on </w:t>
            </w:r>
            <w:hyperlink r:id="rId311" w:tgtFrame="_blank" w:history="1">
              <w:r w:rsidRPr="007032C2">
                <w:rPr>
                  <w:rStyle w:val="Hyperlink"/>
                  <w:b/>
                  <w:bCs/>
                  <w:i/>
                  <w:iCs/>
                </w:rPr>
                <w:t>VA Form 21-22a</w:t>
              </w:r>
            </w:hyperlink>
            <w:r w:rsidRPr="007032C2">
              <w:t>.</w:t>
            </w:r>
          </w:p>
          <w:p w:rsidR="007032C2" w:rsidRPr="007032C2" w:rsidRDefault="007032C2" w:rsidP="007032C2">
            <w:r w:rsidRPr="007032C2">
              <w:t> </w:t>
            </w:r>
          </w:p>
          <w:p w:rsidR="007032C2" w:rsidRPr="007032C2" w:rsidRDefault="007032C2" w:rsidP="007032C2">
            <w:r w:rsidRPr="007032C2">
              <w:t>Use the table below to determine how to update electronic systems to reflect POA access to sensitive information.</w:t>
            </w:r>
          </w:p>
          <w:p w:rsidR="007032C2" w:rsidRPr="007032C2" w:rsidRDefault="007032C2" w:rsidP="007032C2">
            <w:r w:rsidRPr="007032C2">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Description w:val="This is an if-and-then table.  Column 1 provides the first criteria, column 2 provides the second criteria, and column 3 provides instructions to update electronic systems to reflect POA access to sensitive information."/>
            </w:tblPr>
            <w:tblGrid>
              <w:gridCol w:w="2393"/>
              <w:gridCol w:w="2011"/>
              <w:gridCol w:w="3554"/>
            </w:tblGrid>
            <w:tr w:rsidR="007032C2" w:rsidRPr="007032C2" w:rsidTr="007032C2">
              <w:trPr>
                <w:tblHeader/>
              </w:trPr>
              <w:tc>
                <w:tcPr>
                  <w:tcW w:w="2805" w:type="dxa"/>
                  <w:tcBorders>
                    <w:top w:val="outset" w:sz="6" w:space="0" w:color="auto"/>
                    <w:left w:val="outset" w:sz="6" w:space="0" w:color="auto"/>
                    <w:bottom w:val="outset" w:sz="6" w:space="0" w:color="auto"/>
                    <w:right w:val="outset" w:sz="6" w:space="0" w:color="auto"/>
                  </w:tcBorders>
                  <w:vAlign w:val="bottom"/>
                  <w:hideMark/>
                </w:tcPr>
                <w:p w:rsidR="007032C2" w:rsidRPr="007032C2" w:rsidRDefault="007032C2">
                  <w:pPr>
                    <w:spacing w:line="276" w:lineRule="auto"/>
                    <w:rPr>
                      <w:rFonts w:eastAsiaTheme="minorHAnsi"/>
                      <w:b/>
                      <w:bCs/>
                    </w:rPr>
                  </w:pPr>
                  <w:r w:rsidRPr="007032C2">
                    <w:rPr>
                      <w:b/>
                      <w:bCs/>
                    </w:rPr>
                    <w:t>If the claimant …</w:t>
                  </w:r>
                </w:p>
              </w:tc>
              <w:tc>
                <w:tcPr>
                  <w:tcW w:w="2520" w:type="dxa"/>
                  <w:tcBorders>
                    <w:top w:val="outset" w:sz="6" w:space="0" w:color="auto"/>
                    <w:left w:val="outset" w:sz="6" w:space="0" w:color="auto"/>
                    <w:bottom w:val="outset" w:sz="6" w:space="0" w:color="auto"/>
                    <w:right w:val="outset" w:sz="6" w:space="0" w:color="auto"/>
                  </w:tcBorders>
                  <w:vAlign w:val="bottom"/>
                  <w:hideMark/>
                </w:tcPr>
                <w:p w:rsidR="007032C2" w:rsidRPr="007032C2" w:rsidRDefault="007032C2">
                  <w:pPr>
                    <w:spacing w:line="276" w:lineRule="auto"/>
                    <w:rPr>
                      <w:rFonts w:eastAsiaTheme="minorHAnsi"/>
                      <w:b/>
                      <w:bCs/>
                    </w:rPr>
                  </w:pPr>
                  <w:r w:rsidRPr="007032C2">
                    <w:rPr>
                      <w:b/>
                      <w:bCs/>
                    </w:rPr>
                    <w:t>And …</w:t>
                  </w:r>
                </w:p>
              </w:tc>
              <w:tc>
                <w:tcPr>
                  <w:tcW w:w="4245" w:type="dxa"/>
                  <w:tcBorders>
                    <w:top w:val="outset" w:sz="6" w:space="0" w:color="auto"/>
                    <w:left w:val="outset" w:sz="6" w:space="0" w:color="auto"/>
                    <w:bottom w:val="outset" w:sz="6" w:space="0" w:color="auto"/>
                    <w:right w:val="outset" w:sz="6" w:space="0" w:color="auto"/>
                  </w:tcBorders>
                  <w:vAlign w:val="bottom"/>
                  <w:hideMark/>
                </w:tcPr>
                <w:p w:rsidR="007032C2" w:rsidRPr="007032C2" w:rsidRDefault="007032C2">
                  <w:pPr>
                    <w:spacing w:line="276" w:lineRule="auto"/>
                    <w:rPr>
                      <w:rFonts w:eastAsiaTheme="minorHAnsi"/>
                      <w:b/>
                      <w:bCs/>
                    </w:rPr>
                  </w:pPr>
                  <w:r w:rsidRPr="007032C2">
                    <w:rPr>
                      <w:b/>
                      <w:bCs/>
                    </w:rPr>
                    <w:t>Then …</w:t>
                  </w:r>
                </w:p>
              </w:tc>
            </w:tr>
            <w:tr w:rsidR="007032C2" w:rsidRPr="007032C2" w:rsidTr="007032C2">
              <w:tc>
                <w:tcPr>
                  <w:tcW w:w="280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032C2" w:rsidRPr="007032C2" w:rsidRDefault="007032C2">
                  <w:pPr>
                    <w:spacing w:line="276" w:lineRule="auto"/>
                    <w:rPr>
                      <w:rFonts w:eastAsiaTheme="minorHAnsi"/>
                    </w:rPr>
                  </w:pPr>
                  <w:r w:rsidRPr="007032C2">
                    <w:rPr>
                      <w:i/>
                      <w:iCs/>
                    </w:rPr>
                    <w:t>authorizes</w:t>
                  </w:r>
                  <w:r w:rsidRPr="007032C2">
                    <w:t xml:space="preserve"> a representative’s access with no limitations to records protected by </w:t>
                  </w:r>
                  <w:hyperlink r:id="rId312" w:history="1">
                    <w:r w:rsidRPr="007032C2">
                      <w:rPr>
                        <w:rStyle w:val="Hyperlink"/>
                        <w:b/>
                        <w:bCs/>
                      </w:rPr>
                      <w:t>38 U.S.C. 7332</w:t>
                    </w:r>
                  </w:hyperlink>
                </w:p>
              </w:tc>
              <w:tc>
                <w:tcPr>
                  <w:tcW w:w="25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032C2" w:rsidRPr="007032C2" w:rsidRDefault="007032C2">
                  <w:pPr>
                    <w:spacing w:line="276" w:lineRule="auto"/>
                    <w:rPr>
                      <w:rFonts w:eastAsiaTheme="minorHAnsi"/>
                    </w:rPr>
                  </w:pPr>
                  <w:r w:rsidRPr="007032C2">
                    <w:t>Share will be used to update VA’s computer systems</w:t>
                  </w:r>
                </w:p>
              </w:tc>
              <w:tc>
                <w:tcPr>
                  <w:tcW w:w="42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032C2" w:rsidRPr="007032C2" w:rsidRDefault="007032C2">
                  <w:pPr>
                    <w:spacing w:line="276" w:lineRule="auto"/>
                    <w:rPr>
                      <w:rFonts w:eastAsiaTheme="minorHAnsi"/>
                    </w:rPr>
                  </w:pPr>
                  <w:r w:rsidRPr="007032C2">
                    <w:t xml:space="preserve">select </w:t>
                  </w:r>
                  <w:r w:rsidRPr="007032C2">
                    <w:rPr>
                      <w:i/>
                      <w:iCs/>
                    </w:rPr>
                    <w:t>Yes</w:t>
                  </w:r>
                  <w:r w:rsidRPr="007032C2">
                    <w:t xml:space="preserve"> from the drop-down box in the AUTH’D POA ACCESS field on the 101 PENDING ISSUE/CORPORATE CONTROL ESTABLISHMENT screen.</w:t>
                  </w:r>
                </w:p>
              </w:tc>
            </w:tr>
            <w:tr w:rsidR="007032C2" w:rsidRPr="007032C2" w:rsidTr="007032C2">
              <w:tc>
                <w:tcPr>
                  <w:tcW w:w="0" w:type="auto"/>
                  <w:vMerge/>
                  <w:tcBorders>
                    <w:top w:val="outset" w:sz="6" w:space="0" w:color="auto"/>
                    <w:left w:val="outset" w:sz="6" w:space="0" w:color="auto"/>
                    <w:bottom w:val="outset" w:sz="6" w:space="0" w:color="auto"/>
                    <w:right w:val="outset" w:sz="6" w:space="0" w:color="auto"/>
                  </w:tcBorders>
                  <w:vAlign w:val="center"/>
                  <w:hideMark/>
                </w:tcPr>
                <w:p w:rsidR="007032C2" w:rsidRPr="007032C2" w:rsidRDefault="007032C2">
                  <w:pPr>
                    <w:rPr>
                      <w:rFonts w:eastAsiaTheme="minorHAnsi"/>
                    </w:rPr>
                  </w:pPr>
                </w:p>
              </w:tc>
              <w:tc>
                <w:tcPr>
                  <w:tcW w:w="25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032C2" w:rsidRPr="007032C2" w:rsidRDefault="007032C2">
                  <w:pPr>
                    <w:spacing w:line="276" w:lineRule="auto"/>
                    <w:rPr>
                      <w:rFonts w:eastAsiaTheme="minorHAnsi"/>
                    </w:rPr>
                  </w:pPr>
                  <w:r w:rsidRPr="007032C2">
                    <w:t>VBMS will be used to update VA’s computer systems</w:t>
                  </w:r>
                </w:p>
              </w:tc>
              <w:tc>
                <w:tcPr>
                  <w:tcW w:w="42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032C2" w:rsidRPr="007032C2" w:rsidRDefault="007032C2" w:rsidP="00F063AF">
                  <w:pPr>
                    <w:numPr>
                      <w:ilvl w:val="0"/>
                      <w:numId w:val="391"/>
                    </w:numPr>
                    <w:overflowPunct/>
                    <w:autoSpaceDE/>
                    <w:autoSpaceDN/>
                    <w:adjustRightInd/>
                    <w:spacing w:line="276" w:lineRule="auto"/>
                    <w:textAlignment w:val="auto"/>
                  </w:pPr>
                  <w:r w:rsidRPr="007032C2">
                    <w:t>click on the VETERAN down arrow on the VETERAN PROFILE screen</w:t>
                  </w:r>
                </w:p>
                <w:p w:rsidR="007032C2" w:rsidRPr="007032C2" w:rsidRDefault="007032C2" w:rsidP="00F063AF">
                  <w:pPr>
                    <w:numPr>
                      <w:ilvl w:val="0"/>
                      <w:numId w:val="391"/>
                    </w:numPr>
                    <w:overflowPunct/>
                    <w:autoSpaceDE/>
                    <w:autoSpaceDN/>
                    <w:adjustRightInd/>
                    <w:spacing w:line="276" w:lineRule="auto"/>
                    <w:textAlignment w:val="auto"/>
                  </w:pPr>
                  <w:r w:rsidRPr="007032C2">
                    <w:t xml:space="preserve">select </w:t>
                  </w:r>
                  <w:r w:rsidRPr="007032C2">
                    <w:rPr>
                      <w:i/>
                      <w:iCs/>
                    </w:rPr>
                    <w:t>POA</w:t>
                  </w:r>
                  <w:r w:rsidRPr="007032C2">
                    <w:t>, and</w:t>
                  </w:r>
                </w:p>
                <w:p w:rsidR="007032C2" w:rsidRPr="007032C2" w:rsidRDefault="007032C2" w:rsidP="00F063AF">
                  <w:pPr>
                    <w:numPr>
                      <w:ilvl w:val="0"/>
                      <w:numId w:val="391"/>
                    </w:numPr>
                    <w:overflowPunct/>
                    <w:autoSpaceDE/>
                    <w:autoSpaceDN/>
                    <w:adjustRightInd/>
                    <w:spacing w:line="276" w:lineRule="auto"/>
                    <w:textAlignment w:val="auto"/>
                  </w:pPr>
                  <w:r w:rsidRPr="007032C2">
                    <w:t>place a check mark in the ALLOW POA ACCESS TO DOCUMENTS box.</w:t>
                  </w:r>
                </w:p>
              </w:tc>
            </w:tr>
            <w:tr w:rsidR="007032C2" w:rsidRPr="007032C2" w:rsidTr="007032C2">
              <w:tc>
                <w:tcPr>
                  <w:tcW w:w="280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032C2" w:rsidRPr="007032C2" w:rsidRDefault="007032C2">
                  <w:pPr>
                    <w:spacing w:line="276" w:lineRule="auto"/>
                    <w:rPr>
                      <w:rFonts w:eastAsiaTheme="minorHAnsi"/>
                    </w:rPr>
                  </w:pPr>
                  <w:r w:rsidRPr="007032C2">
                    <w:rPr>
                      <w:i/>
                      <w:iCs/>
                    </w:rPr>
                    <w:t>indicates any limitation to or does not authorize</w:t>
                  </w:r>
                  <w:r w:rsidRPr="007032C2">
                    <w:t xml:space="preserve"> a representative’s access to records protected by </w:t>
                  </w:r>
                  <w:hyperlink r:id="rId313" w:history="1">
                    <w:r w:rsidRPr="007032C2">
                      <w:rPr>
                        <w:rStyle w:val="Hyperlink"/>
                        <w:b/>
                        <w:bCs/>
                      </w:rPr>
                      <w:t>38 U.S.C. 7332</w:t>
                    </w:r>
                  </w:hyperlink>
                </w:p>
              </w:tc>
              <w:tc>
                <w:tcPr>
                  <w:tcW w:w="25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032C2" w:rsidRPr="007032C2" w:rsidRDefault="007032C2">
                  <w:pPr>
                    <w:spacing w:line="276" w:lineRule="auto"/>
                    <w:rPr>
                      <w:rFonts w:eastAsiaTheme="minorHAnsi"/>
                    </w:rPr>
                  </w:pPr>
                  <w:r w:rsidRPr="007032C2">
                    <w:t>Share will be used to update VA’s computer systems</w:t>
                  </w:r>
                </w:p>
              </w:tc>
              <w:tc>
                <w:tcPr>
                  <w:tcW w:w="42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bottom"/>
                  <w:hideMark/>
                </w:tcPr>
                <w:p w:rsidR="007032C2" w:rsidRPr="007032C2" w:rsidRDefault="007032C2">
                  <w:pPr>
                    <w:spacing w:line="276" w:lineRule="auto"/>
                    <w:rPr>
                      <w:rFonts w:eastAsiaTheme="minorHAnsi"/>
                    </w:rPr>
                  </w:pPr>
                  <w:r w:rsidRPr="007032C2">
                    <w:t xml:space="preserve">select </w:t>
                  </w:r>
                  <w:r w:rsidRPr="007032C2">
                    <w:rPr>
                      <w:i/>
                      <w:iCs/>
                    </w:rPr>
                    <w:t>No</w:t>
                  </w:r>
                  <w:r w:rsidRPr="007032C2">
                    <w:t xml:space="preserve"> from the drop-down box in the AUTH’D POA ACCESS field on the 101 PENDING ISSUE/CORPORATE CONTROL ESTABLISHMENT screen.</w:t>
                  </w:r>
                </w:p>
              </w:tc>
            </w:tr>
            <w:tr w:rsidR="007032C2" w:rsidRPr="007032C2" w:rsidTr="007032C2">
              <w:tc>
                <w:tcPr>
                  <w:tcW w:w="0" w:type="auto"/>
                  <w:vMerge/>
                  <w:tcBorders>
                    <w:top w:val="outset" w:sz="6" w:space="0" w:color="auto"/>
                    <w:left w:val="outset" w:sz="6" w:space="0" w:color="auto"/>
                    <w:bottom w:val="outset" w:sz="6" w:space="0" w:color="auto"/>
                    <w:right w:val="outset" w:sz="6" w:space="0" w:color="auto"/>
                  </w:tcBorders>
                  <w:vAlign w:val="center"/>
                  <w:hideMark/>
                </w:tcPr>
                <w:p w:rsidR="007032C2" w:rsidRPr="007032C2" w:rsidRDefault="007032C2">
                  <w:pPr>
                    <w:rPr>
                      <w:rFonts w:eastAsiaTheme="minorHAnsi"/>
                    </w:rPr>
                  </w:pPr>
                </w:p>
              </w:tc>
              <w:tc>
                <w:tcPr>
                  <w:tcW w:w="25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032C2" w:rsidRPr="007032C2" w:rsidRDefault="007032C2">
                  <w:pPr>
                    <w:spacing w:line="276" w:lineRule="auto"/>
                    <w:rPr>
                      <w:rFonts w:eastAsiaTheme="minorHAnsi"/>
                    </w:rPr>
                  </w:pPr>
                  <w:r w:rsidRPr="007032C2">
                    <w:t>VBMS will be used to update VA’s computer systems</w:t>
                  </w:r>
                </w:p>
              </w:tc>
              <w:tc>
                <w:tcPr>
                  <w:tcW w:w="42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7032C2" w:rsidRPr="007032C2" w:rsidRDefault="007032C2" w:rsidP="00F063AF">
                  <w:pPr>
                    <w:numPr>
                      <w:ilvl w:val="0"/>
                      <w:numId w:val="392"/>
                    </w:numPr>
                    <w:overflowPunct/>
                    <w:autoSpaceDE/>
                    <w:autoSpaceDN/>
                    <w:adjustRightInd/>
                    <w:spacing w:line="276" w:lineRule="auto"/>
                    <w:textAlignment w:val="auto"/>
                  </w:pPr>
                  <w:r w:rsidRPr="007032C2">
                    <w:t>click on the VETERAN down arrow on the VETERAN PROFILE screen</w:t>
                  </w:r>
                </w:p>
                <w:p w:rsidR="007032C2" w:rsidRPr="007032C2" w:rsidRDefault="007032C2" w:rsidP="00F063AF">
                  <w:pPr>
                    <w:numPr>
                      <w:ilvl w:val="0"/>
                      <w:numId w:val="392"/>
                    </w:numPr>
                    <w:overflowPunct/>
                    <w:autoSpaceDE/>
                    <w:autoSpaceDN/>
                    <w:adjustRightInd/>
                    <w:spacing w:line="276" w:lineRule="auto"/>
                    <w:textAlignment w:val="auto"/>
                  </w:pPr>
                  <w:r w:rsidRPr="007032C2">
                    <w:t xml:space="preserve">select </w:t>
                  </w:r>
                  <w:r w:rsidRPr="007032C2">
                    <w:rPr>
                      <w:i/>
                      <w:iCs/>
                    </w:rPr>
                    <w:t>POA</w:t>
                  </w:r>
                  <w:r w:rsidRPr="007032C2">
                    <w:t>, and</w:t>
                  </w:r>
                </w:p>
                <w:p w:rsidR="007032C2" w:rsidRPr="007032C2" w:rsidRDefault="007032C2" w:rsidP="00F063AF">
                  <w:pPr>
                    <w:numPr>
                      <w:ilvl w:val="0"/>
                      <w:numId w:val="392"/>
                    </w:numPr>
                    <w:overflowPunct/>
                    <w:autoSpaceDE/>
                    <w:autoSpaceDN/>
                    <w:adjustRightInd/>
                    <w:spacing w:line="276" w:lineRule="auto"/>
                    <w:textAlignment w:val="auto"/>
                  </w:pPr>
                  <w:r w:rsidRPr="007032C2">
                    <w:t>ensure the ALLOW POA ACCESS TO DOCUMENTS box is blank.</w:t>
                  </w:r>
                </w:p>
              </w:tc>
            </w:tr>
          </w:tbl>
          <w:p w:rsidR="007032C2" w:rsidRPr="007032C2" w:rsidRDefault="007032C2" w:rsidP="007032C2">
            <w:pPr>
              <w:rPr>
                <w:rFonts w:eastAsiaTheme="minorHAnsi"/>
              </w:rPr>
            </w:pPr>
            <w:r w:rsidRPr="007032C2">
              <w:t> </w:t>
            </w:r>
            <w:r w:rsidRPr="007032C2">
              <w:rPr>
                <w:b/>
                <w:bCs/>
                <w:i/>
                <w:iCs/>
              </w:rPr>
              <w:t>Important</w:t>
            </w:r>
            <w:r w:rsidRPr="007032C2">
              <w:t>:  A PIF CHANGE is necessary to update disclosure of records when:</w:t>
            </w:r>
          </w:p>
          <w:p w:rsidR="007032C2" w:rsidRPr="007032C2" w:rsidRDefault="007032C2" w:rsidP="00F063AF">
            <w:pPr>
              <w:numPr>
                <w:ilvl w:val="0"/>
                <w:numId w:val="393"/>
              </w:numPr>
              <w:overflowPunct/>
              <w:autoSpaceDE/>
              <w:autoSpaceDN/>
              <w:adjustRightInd/>
              <w:textAlignment w:val="auto"/>
            </w:pPr>
            <w:r w:rsidRPr="007032C2">
              <w:t>there is a pending claim, and</w:t>
            </w:r>
          </w:p>
          <w:p w:rsidR="007032C2" w:rsidRPr="007032C2" w:rsidRDefault="007032C2" w:rsidP="00F063AF">
            <w:pPr>
              <w:numPr>
                <w:ilvl w:val="0"/>
                <w:numId w:val="393"/>
              </w:numPr>
              <w:overflowPunct/>
              <w:autoSpaceDE/>
              <w:autoSpaceDN/>
              <w:adjustRightInd/>
              <w:textAlignment w:val="auto"/>
            </w:pPr>
            <w:r w:rsidRPr="007032C2">
              <w:t>representation is changed via the BIRLS system </w:t>
            </w:r>
          </w:p>
          <w:p w:rsidR="007032C2" w:rsidRPr="007032C2" w:rsidRDefault="007032C2" w:rsidP="007032C2">
            <w:pPr>
              <w:ind w:firstLine="360"/>
              <w:rPr>
                <w:rFonts w:eastAsiaTheme="minorHAnsi"/>
              </w:rPr>
            </w:pPr>
            <w:r w:rsidRPr="007032C2">
              <w:rPr>
                <w:b/>
                <w:bCs/>
                <w:i/>
                <w:iCs/>
              </w:rPr>
              <w:t>*Note</w:t>
            </w:r>
            <w:r w:rsidRPr="007032C2">
              <w:t>:  Details regarding POA access are viewable in Share via:</w:t>
            </w:r>
          </w:p>
          <w:p w:rsidR="007032C2" w:rsidRPr="007032C2" w:rsidRDefault="007032C2" w:rsidP="00F063AF">
            <w:pPr>
              <w:numPr>
                <w:ilvl w:val="0"/>
                <w:numId w:val="394"/>
              </w:numPr>
              <w:overflowPunct/>
              <w:autoSpaceDE/>
              <w:autoSpaceDN/>
              <w:adjustRightInd/>
              <w:textAlignment w:val="auto"/>
            </w:pPr>
            <w:r w:rsidRPr="007032C2">
              <w:t>the All Relationship screen using Corporate Inquiry, and</w:t>
            </w:r>
          </w:p>
          <w:p w:rsidR="007032C2" w:rsidRPr="007032C2" w:rsidRDefault="007032C2" w:rsidP="00F063AF">
            <w:pPr>
              <w:numPr>
                <w:ilvl w:val="0"/>
                <w:numId w:val="394"/>
              </w:numPr>
              <w:overflowPunct/>
              <w:autoSpaceDE/>
              <w:autoSpaceDN/>
              <w:adjustRightInd/>
              <w:textAlignment w:val="auto"/>
            </w:pPr>
            <w:r w:rsidRPr="007032C2">
              <w:t>the General Information screen under Awards/Ratings</w:t>
            </w:r>
          </w:p>
          <w:p w:rsidR="007032C2" w:rsidRPr="007032C2" w:rsidRDefault="007032C2" w:rsidP="007032C2">
            <w:pPr>
              <w:rPr>
                <w:rFonts w:eastAsiaTheme="minorHAnsi"/>
              </w:rPr>
            </w:pPr>
            <w:r w:rsidRPr="007032C2">
              <w:rPr>
                <w:b/>
                <w:bCs/>
                <w:i/>
                <w:iCs/>
              </w:rPr>
              <w:t>References</w:t>
            </w:r>
            <w:r w:rsidRPr="007032C2">
              <w:t>:</w:t>
            </w:r>
          </w:p>
          <w:p w:rsidR="007032C2" w:rsidRPr="007032C2" w:rsidRDefault="007032C2" w:rsidP="007032C2">
            <w:r w:rsidRPr="007032C2">
              <w:t xml:space="preserve">For more information on: </w:t>
            </w:r>
          </w:p>
          <w:p w:rsidR="007032C2" w:rsidRPr="007032C2" w:rsidRDefault="007032C2" w:rsidP="00F063AF">
            <w:pPr>
              <w:numPr>
                <w:ilvl w:val="0"/>
                <w:numId w:val="395"/>
              </w:numPr>
              <w:overflowPunct/>
              <w:autoSpaceDE/>
              <w:autoSpaceDN/>
              <w:adjustRightInd/>
              <w:textAlignment w:val="auto"/>
            </w:pPr>
            <w:r w:rsidRPr="007032C2">
              <w:t xml:space="preserve">executing a PIF CHANGE to update POA, see Step 4 of </w:t>
            </w:r>
            <w:r w:rsidRPr="007032C2">
              <w:rPr>
                <w:b/>
                <w:bCs/>
                <w:u w:val="single"/>
              </w:rPr>
              <w:t>M21-1 III. ii.3.C.5.b.</w:t>
            </w:r>
          </w:p>
          <w:p w:rsidR="007032C2" w:rsidRPr="007032C2" w:rsidRDefault="007032C2" w:rsidP="00F063AF">
            <w:pPr>
              <w:numPr>
                <w:ilvl w:val="0"/>
                <w:numId w:val="395"/>
              </w:numPr>
              <w:overflowPunct/>
              <w:autoSpaceDE/>
              <w:autoSpaceDN/>
              <w:adjustRightInd/>
              <w:textAlignment w:val="auto"/>
            </w:pPr>
            <w:r w:rsidRPr="007032C2">
              <w:t xml:space="preserve">using Share to allow POA access to the eFolder when no EP is pending, see </w:t>
            </w:r>
            <w:r w:rsidRPr="007032C2">
              <w:rPr>
                <w:b/>
                <w:bCs/>
                <w:u w:val="single"/>
              </w:rPr>
              <w:t>M21-1 III.ii. 3.C.5.e.</w:t>
            </w:r>
          </w:p>
          <w:p w:rsidR="007032C2" w:rsidRPr="007032C2" w:rsidRDefault="007032C2" w:rsidP="00F063AF">
            <w:pPr>
              <w:numPr>
                <w:ilvl w:val="0"/>
                <w:numId w:val="395"/>
              </w:numPr>
              <w:overflowPunct/>
              <w:autoSpaceDE/>
              <w:autoSpaceDN/>
              <w:adjustRightInd/>
              <w:textAlignment w:val="auto"/>
            </w:pPr>
            <w:r w:rsidRPr="007032C2">
              <w:t xml:space="preserve">claims establishment, see </w:t>
            </w:r>
            <w:hyperlink r:id="rId314" w:history="1">
              <w:r w:rsidRPr="007032C2">
                <w:rPr>
                  <w:rStyle w:val="Hyperlink"/>
                  <w:b/>
                  <w:bCs/>
                </w:rPr>
                <w:t>M21-1 III.ii.3.D.2</w:t>
              </w:r>
            </w:hyperlink>
            <w:r w:rsidRPr="007032C2">
              <w:t>, and</w:t>
            </w:r>
          </w:p>
          <w:p w:rsidR="0077226B" w:rsidRPr="00B523A8" w:rsidRDefault="007032C2" w:rsidP="00B523A8">
            <w:pPr>
              <w:ind w:firstLine="720"/>
              <w:rPr>
                <w:rFonts w:eastAsiaTheme="minorHAnsi"/>
              </w:rPr>
            </w:pPr>
            <w:r w:rsidRPr="007032C2">
              <w:t xml:space="preserve">records protected by 38 U.S.C. 7332, see </w:t>
            </w:r>
            <w:hyperlink r:id="rId315" w:history="1">
              <w:r w:rsidRPr="007032C2">
                <w:rPr>
                  <w:rStyle w:val="Hyperlink"/>
                  <w:b/>
                  <w:bCs/>
                </w:rPr>
                <w:t>M21-1 I. 3.B.2</w:t>
              </w:r>
            </w:hyperlink>
            <w:r w:rsidR="0077226B" w:rsidRPr="0077226B">
              <w:rPr>
                <w:color w:val="0000FF"/>
              </w:rPr>
              <w:t xml:space="preserve"> </w:t>
            </w:r>
          </w:p>
        </w:tc>
      </w:tr>
      <w:tr w:rsidR="00911094" w:rsidTr="00BC2764">
        <w:trPr>
          <w:trHeight w:val="1988"/>
        </w:trPr>
        <w:tc>
          <w:tcPr>
            <w:tcW w:w="2379" w:type="dxa"/>
          </w:tcPr>
          <w:p w:rsidR="00911094" w:rsidRDefault="00911094">
            <w:pPr>
              <w:pStyle w:val="Header"/>
              <w:widowControl w:val="0"/>
              <w:tabs>
                <w:tab w:val="clear" w:pos="4320"/>
                <w:tab w:val="clear" w:pos="8640"/>
              </w:tabs>
              <w:rPr>
                <w:bCs/>
                <w:iCs/>
              </w:rPr>
            </w:pPr>
            <w:r>
              <w:rPr>
                <w:bCs/>
                <w:iCs/>
              </w:rPr>
              <w:t>Service incomplete</w:t>
            </w:r>
          </w:p>
          <w:p w:rsidR="00911094" w:rsidRDefault="00911094">
            <w:pPr>
              <w:pStyle w:val="Header"/>
              <w:widowControl w:val="0"/>
              <w:tabs>
                <w:tab w:val="clear" w:pos="4320"/>
                <w:tab w:val="clear" w:pos="8640"/>
              </w:tabs>
              <w:rPr>
                <w:bCs/>
                <w:iCs/>
              </w:rPr>
            </w:pPr>
          </w:p>
          <w:p w:rsidR="00911094" w:rsidRDefault="00911094">
            <w:pPr>
              <w:pStyle w:val="Header"/>
              <w:widowControl w:val="0"/>
              <w:tabs>
                <w:tab w:val="clear" w:pos="4320"/>
                <w:tab w:val="clear" w:pos="8640"/>
              </w:tabs>
              <w:rPr>
                <w:b/>
                <w:bCs/>
                <w:iCs/>
              </w:rPr>
            </w:pPr>
            <w:r w:rsidRPr="00CF468D">
              <w:rPr>
                <w:b/>
                <w:bCs/>
                <w:iCs/>
              </w:rPr>
              <w:t>III.ii.1.A.2.a</w:t>
            </w:r>
          </w:p>
          <w:p w:rsidR="00911094" w:rsidRDefault="00911094">
            <w:pPr>
              <w:pStyle w:val="Header"/>
              <w:widowControl w:val="0"/>
              <w:tabs>
                <w:tab w:val="clear" w:pos="4320"/>
                <w:tab w:val="clear" w:pos="8640"/>
              </w:tabs>
              <w:rPr>
                <w:b/>
                <w:bCs/>
                <w:iCs/>
              </w:rPr>
            </w:pPr>
          </w:p>
          <w:p w:rsidR="00911094" w:rsidRDefault="00911094">
            <w:pPr>
              <w:pStyle w:val="Header"/>
              <w:widowControl w:val="0"/>
              <w:tabs>
                <w:tab w:val="clear" w:pos="4320"/>
                <w:tab w:val="clear" w:pos="8640"/>
              </w:tabs>
              <w:rPr>
                <w:bCs/>
                <w:iCs/>
              </w:rPr>
            </w:pPr>
            <w:r>
              <w:rPr>
                <w:b/>
                <w:bCs/>
                <w:iCs/>
              </w:rPr>
              <w:t>III.ii.3.C.7</w:t>
            </w:r>
          </w:p>
        </w:tc>
        <w:tc>
          <w:tcPr>
            <w:tcW w:w="8298" w:type="dxa"/>
          </w:tcPr>
          <w:p w:rsidR="00911094" w:rsidRDefault="00911094">
            <w:pPr>
              <w:widowControl w:val="0"/>
              <w:rPr>
                <w:bCs/>
                <w:i/>
              </w:rPr>
            </w:pPr>
            <w:r>
              <w:rPr>
                <w:bCs/>
                <w:i/>
              </w:rPr>
              <w:t xml:space="preserve">Update service information in SPP/Participant Profile, then </w:t>
            </w:r>
            <w:r w:rsidRPr="00C76C18">
              <w:rPr>
                <w:bCs/>
                <w:i/>
              </w:rPr>
              <w:t xml:space="preserve">in </w:t>
            </w:r>
            <w:r w:rsidR="00903C39">
              <w:rPr>
                <w:bCs/>
                <w:i/>
              </w:rPr>
              <w:t xml:space="preserve">SHARE with </w:t>
            </w:r>
            <w:r w:rsidRPr="00C76C18">
              <w:rPr>
                <w:bCs/>
                <w:i/>
              </w:rPr>
              <w:t>BIRLS</w:t>
            </w:r>
            <w:r w:rsidR="00903C39">
              <w:rPr>
                <w:bCs/>
                <w:i/>
              </w:rPr>
              <w:t xml:space="preserve"> Update</w:t>
            </w:r>
            <w:r>
              <w:rPr>
                <w:bCs/>
                <w:i/>
              </w:rPr>
              <w:t xml:space="preserve">, then do “Refresh Profile” in </w:t>
            </w:r>
            <w:r w:rsidRPr="004E16AB">
              <w:rPr>
                <w:rFonts w:ascii="Verdana" w:hAnsi="Verdana"/>
                <w:b/>
                <w:highlight w:val="green"/>
              </w:rPr>
              <w:t>VBMS-R</w:t>
            </w:r>
            <w:r>
              <w:rPr>
                <w:bCs/>
                <w:i/>
              </w:rPr>
              <w:t>.</w:t>
            </w:r>
          </w:p>
          <w:p w:rsidR="00911094" w:rsidRDefault="00911094">
            <w:pPr>
              <w:widowControl w:val="0"/>
              <w:rPr>
                <w:bCs/>
                <w:i/>
              </w:rPr>
            </w:pPr>
          </w:p>
          <w:p w:rsidR="009327C0" w:rsidRDefault="009327C0">
            <w:pPr>
              <w:widowControl w:val="0"/>
              <w:rPr>
                <w:bCs/>
                <w:i/>
              </w:rPr>
            </w:pPr>
          </w:p>
          <w:p w:rsidR="00911094" w:rsidRDefault="00D571C5">
            <w:pPr>
              <w:widowControl w:val="0"/>
              <w:rPr>
                <w:bCs/>
                <w:i/>
              </w:rPr>
            </w:pPr>
            <w:hyperlink r:id="rId316" w:history="1">
              <w:r w:rsidR="00911094" w:rsidRPr="00FF4E63">
                <w:rPr>
                  <w:rStyle w:val="Hyperlink"/>
                  <w:b/>
                  <w:i/>
                </w:rPr>
                <w:t xml:space="preserve">June 2015 </w:t>
              </w:r>
              <w:r w:rsidR="00911094">
                <w:rPr>
                  <w:rStyle w:val="Hyperlink"/>
                  <w:b/>
                  <w:i/>
                </w:rPr>
                <w:t>Quality Call Notes</w:t>
              </w:r>
            </w:hyperlink>
            <w:r w:rsidR="00911094" w:rsidRPr="00FF4E63">
              <w:rPr>
                <w:rStyle w:val="Hyperlink"/>
                <w:u w:val="none"/>
              </w:rPr>
              <w:t xml:space="preserve"> </w:t>
            </w:r>
            <w:r w:rsidR="00911094" w:rsidRPr="00FF4E63">
              <w:rPr>
                <w:rStyle w:val="Hyperlink"/>
                <w:color w:val="auto"/>
                <w:u w:val="none"/>
              </w:rPr>
              <w:t>–</w:t>
            </w:r>
            <w:r w:rsidR="00911094">
              <w:rPr>
                <w:rStyle w:val="Hyperlink"/>
                <w:color w:val="auto"/>
                <w:u w:val="none"/>
              </w:rPr>
              <w:t xml:space="preserve"> the above is still correct</w:t>
            </w:r>
            <w:r w:rsidR="00911094">
              <w:rPr>
                <w:bCs/>
                <w:i/>
              </w:rPr>
              <w:t>.</w:t>
            </w:r>
          </w:p>
          <w:p w:rsidR="00911094" w:rsidRDefault="00911094">
            <w:pPr>
              <w:widowControl w:val="0"/>
              <w:rPr>
                <w:bCs/>
                <w:i/>
              </w:rPr>
            </w:pPr>
          </w:p>
          <w:p w:rsidR="009327C0" w:rsidRDefault="009327C0">
            <w:pPr>
              <w:widowControl w:val="0"/>
              <w:rPr>
                <w:bCs/>
                <w:i/>
              </w:rPr>
            </w:pPr>
          </w:p>
          <w:p w:rsidR="009327C0" w:rsidRDefault="009327C0" w:rsidP="009327C0">
            <w:r>
              <w:t xml:space="preserve">If you are a WAH &amp; do not have access to Participant Profile through the START menu, you likely have access through the Terminal Server/Citrix, </w:t>
            </w:r>
            <w:hyperlink r:id="rId317" w:history="1">
              <w:r>
                <w:rPr>
                  <w:rStyle w:val="Hyperlink"/>
                </w:rPr>
                <w:t>https://citrixaccess.va.gov</w:t>
              </w:r>
            </w:hyperlink>
            <w:r>
              <w:t> </w:t>
            </w:r>
          </w:p>
          <w:p w:rsidR="009327C0" w:rsidRDefault="009327C0" w:rsidP="009327C0"/>
          <w:p w:rsidR="009327C0" w:rsidRDefault="009327C0" w:rsidP="009327C0">
            <w:r>
              <w:t>Click on Log On</w:t>
            </w:r>
          </w:p>
          <w:p w:rsidR="009327C0" w:rsidRDefault="009327C0" w:rsidP="009327C0">
            <w:r>
              <w:t>Click on DESKTOPS</w:t>
            </w:r>
          </w:p>
          <w:p w:rsidR="009327C0" w:rsidRDefault="009327C0" w:rsidP="009327C0">
            <w:r>
              <w:t>Click on R05 - VBApp Desktop</w:t>
            </w:r>
          </w:p>
          <w:p w:rsidR="009327C0" w:rsidRDefault="009327C0" w:rsidP="009327C0">
            <w:r>
              <w:t>Click OK</w:t>
            </w:r>
          </w:p>
          <w:p w:rsidR="009327C0" w:rsidRDefault="009327C0" w:rsidP="009327C0">
            <w:r>
              <w:t>It may take a few minutes, will say “Welcome” then “Please wait for the Citrix Profile Management</w:t>
            </w:r>
            <w:r w:rsidR="001946CC">
              <w:t>,”</w:t>
            </w:r>
            <w:r>
              <w:t xml:space="preserve"> then several other messages while it’s preparing the desktop</w:t>
            </w:r>
          </w:p>
          <w:p w:rsidR="009327C0" w:rsidRDefault="009327C0" w:rsidP="009327C0">
            <w:r>
              <w:t>Within the desktop, click on START, type in “Participant” &amp; it will pull up “Participant Profile T11</w:t>
            </w:r>
            <w:r w:rsidR="001946CC">
              <w:t>,”</w:t>
            </w:r>
            <w:r>
              <w:t xml:space="preserve"> click on that, click OK</w:t>
            </w:r>
          </w:p>
          <w:p w:rsidR="009327C0" w:rsidRDefault="009327C0" w:rsidP="009327C0">
            <w:r>
              <w:t>Enter 377, then click on PIV Card Only, click on your name, enter your PIN [or log-in with username &amp; password]</w:t>
            </w:r>
          </w:p>
        </w:tc>
      </w:tr>
      <w:tr w:rsidR="00DE57F0" w:rsidTr="00BC2764">
        <w:trPr>
          <w:trHeight w:val="1988"/>
        </w:trPr>
        <w:tc>
          <w:tcPr>
            <w:tcW w:w="2379" w:type="dxa"/>
          </w:tcPr>
          <w:p w:rsidR="00DE57F0" w:rsidRDefault="00C37BC3">
            <w:pPr>
              <w:pStyle w:val="Header"/>
              <w:widowControl w:val="0"/>
              <w:tabs>
                <w:tab w:val="clear" w:pos="4320"/>
                <w:tab w:val="clear" w:pos="8640"/>
              </w:tabs>
              <w:rPr>
                <w:bCs/>
                <w:iCs/>
              </w:rPr>
            </w:pPr>
            <w:r>
              <w:rPr>
                <w:bCs/>
                <w:iCs/>
              </w:rPr>
              <w:t>End Product (</w:t>
            </w:r>
            <w:r w:rsidR="00DE57F0">
              <w:rPr>
                <w:bCs/>
                <w:iCs/>
              </w:rPr>
              <w:t>EP</w:t>
            </w:r>
            <w:r>
              <w:rPr>
                <w:bCs/>
                <w:iCs/>
              </w:rPr>
              <w:t>)</w:t>
            </w:r>
            <w:r w:rsidR="00DE57F0">
              <w:rPr>
                <w:bCs/>
                <w:iCs/>
              </w:rPr>
              <w:t xml:space="preserve"> or Claim Label incorrect</w:t>
            </w:r>
          </w:p>
          <w:p w:rsidR="00DB4F72" w:rsidRDefault="00DB4F72" w:rsidP="00DB4F72">
            <w:pPr>
              <w:pStyle w:val="Header"/>
              <w:widowControl w:val="0"/>
              <w:tabs>
                <w:tab w:val="clear" w:pos="4320"/>
                <w:tab w:val="clear" w:pos="8640"/>
              </w:tabs>
              <w:rPr>
                <w:bCs/>
                <w:iCs/>
              </w:rPr>
            </w:pPr>
            <w:r>
              <w:rPr>
                <w:bCs/>
                <w:iCs/>
              </w:rPr>
              <w:t>(formerly PIF / PIF Change)</w:t>
            </w:r>
          </w:p>
          <w:p w:rsidR="00DB4F72" w:rsidRDefault="00DB4F72">
            <w:pPr>
              <w:pStyle w:val="Header"/>
              <w:widowControl w:val="0"/>
              <w:tabs>
                <w:tab w:val="clear" w:pos="4320"/>
                <w:tab w:val="clear" w:pos="8640"/>
              </w:tabs>
              <w:rPr>
                <w:bCs/>
                <w:iCs/>
              </w:rPr>
            </w:pPr>
          </w:p>
          <w:p w:rsidR="00FB1E5A" w:rsidRDefault="00DE57F0" w:rsidP="00C37BC3">
            <w:pPr>
              <w:pStyle w:val="Header"/>
              <w:widowControl w:val="0"/>
              <w:tabs>
                <w:tab w:val="clear" w:pos="4320"/>
                <w:tab w:val="clear" w:pos="8640"/>
              </w:tabs>
              <w:rPr>
                <w:rStyle w:val="Hyperlink"/>
                <w:i/>
                <w:color w:val="auto"/>
                <w:u w:val="none"/>
              </w:rPr>
            </w:pPr>
            <w:r w:rsidRPr="00DE57F0">
              <w:rPr>
                <w:rStyle w:val="Hyperlink"/>
                <w:i/>
                <w:color w:val="auto"/>
                <w:u w:val="none"/>
              </w:rPr>
              <w:t>*Pencil</w:t>
            </w:r>
            <w:r w:rsidR="00E07C8A">
              <w:rPr>
                <w:rStyle w:val="Hyperlink"/>
                <w:i/>
                <w:color w:val="auto"/>
                <w:u w:val="none"/>
              </w:rPr>
              <w:t xml:space="preserve"> icon</w:t>
            </w:r>
            <w:r w:rsidRPr="00DE57F0">
              <w:rPr>
                <w:rStyle w:val="Hyperlink"/>
                <w:i/>
                <w:color w:val="auto"/>
                <w:u w:val="none"/>
              </w:rPr>
              <w:t xml:space="preserve"> / “</w:t>
            </w:r>
            <w:r w:rsidR="00C0638A">
              <w:rPr>
                <w:rStyle w:val="Hyperlink"/>
                <w:i/>
                <w:color w:val="auto"/>
                <w:u w:val="none"/>
              </w:rPr>
              <w:t>Update</w:t>
            </w:r>
            <w:r w:rsidRPr="00DE57F0">
              <w:rPr>
                <w:rStyle w:val="Hyperlink"/>
                <w:i/>
                <w:color w:val="auto"/>
                <w:u w:val="none"/>
              </w:rPr>
              <w:t xml:space="preserve"> Claim Details”</w:t>
            </w:r>
            <w:r w:rsidR="00C37BC3">
              <w:rPr>
                <w:rStyle w:val="Hyperlink"/>
                <w:i/>
                <w:color w:val="auto"/>
                <w:u w:val="none"/>
              </w:rPr>
              <w:t xml:space="preserve"> in VBMS</w:t>
            </w:r>
          </w:p>
          <w:p w:rsidR="00C37BC3" w:rsidRDefault="00C37BC3" w:rsidP="00C37BC3">
            <w:pPr>
              <w:pStyle w:val="Header"/>
              <w:widowControl w:val="0"/>
              <w:tabs>
                <w:tab w:val="clear" w:pos="4320"/>
                <w:tab w:val="clear" w:pos="8640"/>
              </w:tabs>
              <w:rPr>
                <w:rStyle w:val="Hyperlink"/>
                <w:i/>
                <w:color w:val="auto"/>
                <w:u w:val="none"/>
              </w:rPr>
            </w:pPr>
          </w:p>
          <w:p w:rsidR="00C37BC3" w:rsidRPr="006945DA" w:rsidRDefault="00C37BC3" w:rsidP="00C37BC3">
            <w:pPr>
              <w:pStyle w:val="Header"/>
              <w:widowControl w:val="0"/>
              <w:tabs>
                <w:tab w:val="clear" w:pos="4320"/>
                <w:tab w:val="clear" w:pos="8640"/>
              </w:tabs>
              <w:rPr>
                <w:i/>
              </w:rPr>
            </w:pPr>
            <w:r>
              <w:rPr>
                <w:rStyle w:val="Hyperlink"/>
                <w:i/>
                <w:color w:val="auto"/>
                <w:u w:val="none"/>
              </w:rPr>
              <w:t>Then, in VBMS-R, do “Claim Association”</w:t>
            </w:r>
          </w:p>
        </w:tc>
        <w:tc>
          <w:tcPr>
            <w:tcW w:w="8298" w:type="dxa"/>
          </w:tcPr>
          <w:p w:rsidR="00DB4F72" w:rsidRDefault="00DE57F0" w:rsidP="00DB4F72">
            <w:pPr>
              <w:widowControl w:val="0"/>
              <w:rPr>
                <w:bCs/>
              </w:rPr>
            </w:pPr>
            <w:r w:rsidRPr="00DE57F0">
              <w:rPr>
                <w:bCs/>
              </w:rPr>
              <w:t>Note to File:  I did "</w:t>
            </w:r>
            <w:r w:rsidR="00C0638A">
              <w:rPr>
                <w:bCs/>
              </w:rPr>
              <w:t>Update</w:t>
            </w:r>
            <w:r w:rsidRPr="00DE57F0">
              <w:rPr>
                <w:bCs/>
              </w:rPr>
              <w:t xml:space="preserve"> Claim Details" in VBMS &amp; changed the EP &amp; Claim Label from "020NEW - New" to "020CLMINC - Claim for Increase</w:t>
            </w:r>
            <w:r w:rsidR="00C37BC3">
              <w:rPr>
                <w:bCs/>
              </w:rPr>
              <w:t>.”</w:t>
            </w:r>
          </w:p>
          <w:p w:rsidR="0086760B" w:rsidRDefault="0086760B" w:rsidP="00DB4F72">
            <w:pPr>
              <w:widowControl w:val="0"/>
              <w:rPr>
                <w:bCs/>
              </w:rPr>
            </w:pPr>
          </w:p>
          <w:p w:rsidR="0086760B" w:rsidRDefault="0086760B" w:rsidP="00DB4F72">
            <w:pPr>
              <w:widowControl w:val="0"/>
              <w:rPr>
                <w:bCs/>
              </w:rPr>
            </w:pPr>
          </w:p>
          <w:p w:rsidR="0086760B" w:rsidRPr="00DE57F0" w:rsidRDefault="0086760B" w:rsidP="00202C97">
            <w:pPr>
              <w:widowControl w:val="0"/>
              <w:rPr>
                <w:bCs/>
              </w:rPr>
            </w:pPr>
            <w:r>
              <w:rPr>
                <w:bCs/>
              </w:rPr>
              <w:t>*Don’t need to change 110 to 010 or vice versa, eff 10/30/17 (see M21-4</w:t>
            </w:r>
            <w:r w:rsidR="00202C97">
              <w:rPr>
                <w:bCs/>
              </w:rPr>
              <w:t xml:space="preserve">, Appendix B, </w:t>
            </w:r>
            <w:hyperlink r:id="rId318" w:history="1">
              <w:r w:rsidR="00202C97" w:rsidRPr="003677BC">
                <w:rPr>
                  <w:rStyle w:val="Hyperlink"/>
                  <w:b/>
                  <w:bCs/>
                  <w:i/>
                </w:rPr>
                <w:t>November 2017 Quality Call Notes</w:t>
              </w:r>
            </w:hyperlink>
            <w:r w:rsidR="00202C97">
              <w:rPr>
                <w:bCs/>
              </w:rPr>
              <w:t xml:space="preserve"> </w:t>
            </w:r>
            <w:r>
              <w:rPr>
                <w:bCs/>
              </w:rPr>
              <w:t xml:space="preserve">&amp; </w:t>
            </w:r>
            <w:hyperlink r:id="rId319" w:history="1">
              <w:r>
                <w:rPr>
                  <w:rStyle w:val="Hyperlink"/>
                  <w:b/>
                  <w:bCs/>
                  <w:i/>
                </w:rPr>
                <w:t>December 2017 Quality Call Notes</w:t>
              </w:r>
            </w:hyperlink>
            <w:r>
              <w:rPr>
                <w:bCs/>
              </w:rPr>
              <w:t>)</w:t>
            </w:r>
          </w:p>
        </w:tc>
      </w:tr>
    </w:tbl>
    <w:p w:rsidR="00013EB8" w:rsidRDefault="00013EB8">
      <w:pPr>
        <w:pStyle w:val="VBABulletLevel1"/>
        <w:widowControl w:val="0"/>
        <w:numPr>
          <w:ilvl w:val="0"/>
          <w:numId w:val="0"/>
        </w:numPr>
        <w:rPr>
          <w:sz w:val="20"/>
        </w:rPr>
      </w:pPr>
    </w:p>
    <w:p w:rsidR="006945DA" w:rsidRDefault="006945DA" w:rsidP="006945DA">
      <w:pPr>
        <w:pStyle w:val="Header"/>
        <w:widowControl w:val="0"/>
        <w:tabs>
          <w:tab w:val="clear" w:pos="4320"/>
          <w:tab w:val="clear" w:pos="8640"/>
        </w:tabs>
        <w:rPr>
          <w:rStyle w:val="Hyperlink"/>
          <w:color w:val="auto"/>
          <w:sz w:val="16"/>
        </w:rPr>
      </w:pPr>
      <w:r>
        <w:rPr>
          <w:rStyle w:val="Hyperlink"/>
          <w:color w:val="auto"/>
          <w:sz w:val="16"/>
        </w:rPr>
        <w:t>110 options:</w:t>
      </w:r>
    </w:p>
    <w:p w:rsidR="006945DA" w:rsidRDefault="006945DA">
      <w:pPr>
        <w:pStyle w:val="VBABulletLevel1"/>
        <w:widowControl w:val="0"/>
        <w:numPr>
          <w:ilvl w:val="0"/>
          <w:numId w:val="0"/>
        </w:numPr>
        <w:rPr>
          <w:sz w:val="20"/>
        </w:rPr>
      </w:pPr>
      <w:r>
        <w:rPr>
          <w:noProof/>
        </w:rPr>
        <w:drawing>
          <wp:inline distT="0" distB="0" distL="0" distR="0" wp14:anchorId="66146380" wp14:editId="373A08DC">
            <wp:extent cx="3171606" cy="2083981"/>
            <wp:effectExtent l="0" t="0" r="0" b="0"/>
            <wp:docPr id="24600" name="Picture 24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0"/>
                    <a:stretch>
                      <a:fillRect/>
                    </a:stretch>
                  </pic:blipFill>
                  <pic:spPr>
                    <a:xfrm>
                      <a:off x="0" y="0"/>
                      <a:ext cx="3177539" cy="2087879"/>
                    </a:xfrm>
                    <a:prstGeom prst="rect">
                      <a:avLst/>
                    </a:prstGeom>
                  </pic:spPr>
                </pic:pic>
              </a:graphicData>
            </a:graphic>
          </wp:inline>
        </w:drawing>
      </w:r>
    </w:p>
    <w:p w:rsidR="006945DA" w:rsidRDefault="006945DA" w:rsidP="006945DA">
      <w:pPr>
        <w:pStyle w:val="Header"/>
        <w:widowControl w:val="0"/>
        <w:tabs>
          <w:tab w:val="clear" w:pos="4320"/>
          <w:tab w:val="clear" w:pos="8640"/>
        </w:tabs>
        <w:rPr>
          <w:rStyle w:val="Hyperlink"/>
          <w:color w:val="auto"/>
          <w:sz w:val="16"/>
        </w:rPr>
      </w:pPr>
    </w:p>
    <w:p w:rsidR="006945DA" w:rsidRDefault="006945DA" w:rsidP="006945DA">
      <w:pPr>
        <w:pStyle w:val="Header"/>
        <w:widowControl w:val="0"/>
        <w:tabs>
          <w:tab w:val="clear" w:pos="4320"/>
          <w:tab w:val="clear" w:pos="8640"/>
        </w:tabs>
        <w:rPr>
          <w:rStyle w:val="Hyperlink"/>
          <w:color w:val="auto"/>
          <w:sz w:val="16"/>
        </w:rPr>
      </w:pPr>
      <w:r>
        <w:rPr>
          <w:rStyle w:val="Hyperlink"/>
          <w:color w:val="auto"/>
          <w:sz w:val="16"/>
        </w:rPr>
        <w:t>010 options:</w:t>
      </w:r>
    </w:p>
    <w:p w:rsidR="006945DA" w:rsidRDefault="006945DA">
      <w:pPr>
        <w:pStyle w:val="VBABulletLevel1"/>
        <w:widowControl w:val="0"/>
        <w:numPr>
          <w:ilvl w:val="0"/>
          <w:numId w:val="0"/>
        </w:numPr>
        <w:rPr>
          <w:sz w:val="20"/>
        </w:rPr>
      </w:pPr>
      <w:r>
        <w:rPr>
          <w:noProof/>
        </w:rPr>
        <w:drawing>
          <wp:inline distT="0" distB="0" distL="0" distR="0" wp14:anchorId="4872A4DB" wp14:editId="712B4397">
            <wp:extent cx="3077461" cy="1754372"/>
            <wp:effectExtent l="0" t="0" r="8890" b="0"/>
            <wp:docPr id="24601" name="Picture 24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1"/>
                    <a:stretch>
                      <a:fillRect/>
                    </a:stretch>
                  </pic:blipFill>
                  <pic:spPr>
                    <a:xfrm>
                      <a:off x="0" y="0"/>
                      <a:ext cx="3082884" cy="1757464"/>
                    </a:xfrm>
                    <a:prstGeom prst="rect">
                      <a:avLst/>
                    </a:prstGeom>
                  </pic:spPr>
                </pic:pic>
              </a:graphicData>
            </a:graphic>
          </wp:inline>
        </w:drawing>
      </w:r>
    </w:p>
    <w:p w:rsidR="006945DA" w:rsidRDefault="006945DA">
      <w:pPr>
        <w:pStyle w:val="VBABulletLevel1"/>
        <w:widowControl w:val="0"/>
        <w:numPr>
          <w:ilvl w:val="0"/>
          <w:numId w:val="0"/>
        </w:numPr>
        <w:rPr>
          <w:sz w:val="20"/>
        </w:rPr>
      </w:pPr>
    </w:p>
    <w:p w:rsidR="006945DA" w:rsidRPr="006945DA" w:rsidRDefault="006945DA" w:rsidP="006945DA">
      <w:pPr>
        <w:pStyle w:val="Header"/>
        <w:widowControl w:val="0"/>
        <w:tabs>
          <w:tab w:val="clear" w:pos="4320"/>
          <w:tab w:val="clear" w:pos="8640"/>
        </w:tabs>
        <w:rPr>
          <w:rStyle w:val="Hyperlink"/>
          <w:color w:val="auto"/>
          <w:sz w:val="16"/>
        </w:rPr>
      </w:pPr>
      <w:r w:rsidRPr="006945DA">
        <w:rPr>
          <w:rStyle w:val="Hyperlink"/>
          <w:color w:val="auto"/>
          <w:sz w:val="16"/>
        </w:rPr>
        <w:t>020 options:</w:t>
      </w:r>
    </w:p>
    <w:p w:rsidR="006945DA" w:rsidRDefault="006945DA">
      <w:pPr>
        <w:pStyle w:val="VBABulletLevel1"/>
        <w:widowControl w:val="0"/>
        <w:numPr>
          <w:ilvl w:val="0"/>
          <w:numId w:val="0"/>
        </w:numPr>
        <w:rPr>
          <w:sz w:val="20"/>
        </w:rPr>
      </w:pPr>
      <w:r>
        <w:rPr>
          <w:noProof/>
        </w:rPr>
        <w:drawing>
          <wp:inline distT="0" distB="0" distL="0" distR="0" wp14:anchorId="23CCF67C" wp14:editId="0918CBD7">
            <wp:extent cx="3228005" cy="2551814"/>
            <wp:effectExtent l="0" t="0" r="0" b="1270"/>
            <wp:docPr id="24591" name="Picture 24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2"/>
                    <a:stretch>
                      <a:fillRect/>
                    </a:stretch>
                  </pic:blipFill>
                  <pic:spPr>
                    <a:xfrm>
                      <a:off x="0" y="0"/>
                      <a:ext cx="3230066" cy="2553443"/>
                    </a:xfrm>
                    <a:prstGeom prst="rect">
                      <a:avLst/>
                    </a:prstGeom>
                  </pic:spPr>
                </pic:pic>
              </a:graphicData>
            </a:graphic>
          </wp:inline>
        </w:drawing>
      </w:r>
    </w:p>
    <w:p w:rsidR="007226DD" w:rsidRDefault="006945DA">
      <w:pPr>
        <w:pStyle w:val="VBABulletLevel1"/>
        <w:widowControl w:val="0"/>
        <w:numPr>
          <w:ilvl w:val="0"/>
          <w:numId w:val="0"/>
        </w:numPr>
        <w:rPr>
          <w:sz w:val="20"/>
        </w:rPr>
      </w:pPr>
      <w:r>
        <w:rPr>
          <w:noProof/>
        </w:rPr>
        <w:drawing>
          <wp:inline distT="0" distB="0" distL="0" distR="0" wp14:anchorId="1750B3F3" wp14:editId="0E1437A3">
            <wp:extent cx="2839709" cy="2307265"/>
            <wp:effectExtent l="0" t="0" r="0" b="0"/>
            <wp:docPr id="24599" name="Picture 24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3"/>
                    <a:stretch>
                      <a:fillRect/>
                    </a:stretch>
                  </pic:blipFill>
                  <pic:spPr>
                    <a:xfrm>
                      <a:off x="0" y="0"/>
                      <a:ext cx="2842713" cy="2309706"/>
                    </a:xfrm>
                    <a:prstGeom prst="rect">
                      <a:avLst/>
                    </a:prstGeom>
                  </pic:spPr>
                </pic:pic>
              </a:graphicData>
            </a:graphic>
          </wp:inline>
        </w:drawing>
      </w:r>
    </w:p>
    <w:p w:rsidR="00962B7B" w:rsidRDefault="00962B7B">
      <w:pPr>
        <w:pStyle w:val="VBABulletLevel1"/>
        <w:widowControl w:val="0"/>
        <w:numPr>
          <w:ilvl w:val="0"/>
          <w:numId w:val="0"/>
        </w:numPr>
        <w:rPr>
          <w:sz w:val="20"/>
        </w:rPr>
      </w:pPr>
    </w:p>
    <w:p w:rsidR="00962B7B" w:rsidRDefault="00962B7B">
      <w:pPr>
        <w:pStyle w:val="VBABulletLevel1"/>
        <w:widowControl w:val="0"/>
        <w:numPr>
          <w:ilvl w:val="0"/>
          <w:numId w:val="0"/>
        </w:numPr>
        <w:rPr>
          <w:sz w:val="20"/>
        </w:rPr>
      </w:pPr>
      <w:r>
        <w:rPr>
          <w:sz w:val="20"/>
        </w:rPr>
        <w:t>I’ve also seen this (which doesn’t come up as an option for me, so must be just a system option for electronic claims):</w:t>
      </w:r>
    </w:p>
    <w:p w:rsidR="00962B7B" w:rsidRPr="00F27FDE" w:rsidRDefault="00962B7B">
      <w:pPr>
        <w:pStyle w:val="VBABulletLevel1"/>
        <w:widowControl w:val="0"/>
        <w:numPr>
          <w:ilvl w:val="0"/>
          <w:numId w:val="0"/>
        </w:numPr>
        <w:rPr>
          <w:sz w:val="16"/>
        </w:rPr>
      </w:pPr>
      <w:r w:rsidRPr="00F27FDE">
        <w:rPr>
          <w:sz w:val="20"/>
          <w:lang w:val="en"/>
        </w:rPr>
        <w:t>020 - eBenefits 526EZ-Supplemental (020)</w:t>
      </w:r>
    </w:p>
    <w:p w:rsidR="006945DA" w:rsidRDefault="006945DA">
      <w:pPr>
        <w:pStyle w:val="VBABulletLevel1"/>
        <w:widowControl w:val="0"/>
        <w:numPr>
          <w:ilvl w:val="0"/>
          <w:numId w:val="0"/>
        </w:numPr>
        <w:rPr>
          <w:sz w:val="20"/>
        </w:rPr>
      </w:pPr>
    </w:p>
    <w:p w:rsidR="007226DD" w:rsidRPr="00AC078A" w:rsidRDefault="007226DD" w:rsidP="007226DD">
      <w:pPr>
        <w:widowControl w:val="0"/>
        <w:pBdr>
          <w:top w:val="double" w:sz="4" w:space="1" w:color="auto"/>
        </w:pBdr>
        <w:rPr>
          <w:i/>
          <w:iCs/>
          <w:highlight w:val="lightGray"/>
        </w:rPr>
      </w:pPr>
    </w:p>
    <w:p w:rsidR="00165248" w:rsidRDefault="00165248" w:rsidP="00165248">
      <w:pPr>
        <w:rPr>
          <w:sz w:val="18"/>
          <w:szCs w:val="18"/>
        </w:rPr>
      </w:pPr>
    </w:p>
    <w:p w:rsidR="007226DD" w:rsidRDefault="007226DD">
      <w:pPr>
        <w:pStyle w:val="VBABulletLevel1"/>
        <w:widowControl w:val="0"/>
        <w:numPr>
          <w:ilvl w:val="0"/>
          <w:numId w:val="0"/>
        </w:numPr>
        <w:rPr>
          <w:sz w:val="20"/>
        </w:rPr>
      </w:pPr>
    </w:p>
    <w:p w:rsidR="00172077" w:rsidRDefault="00172077">
      <w:pPr>
        <w:pStyle w:val="VBABulletLevel1"/>
        <w:widowControl w:val="0"/>
        <w:numPr>
          <w:ilvl w:val="0"/>
          <w:numId w:val="0"/>
        </w:numPr>
        <w:rPr>
          <w:sz w:val="20"/>
        </w:rPr>
      </w:pPr>
    </w:p>
    <w:p w:rsidR="004D429B" w:rsidRDefault="004D429B">
      <w:pPr>
        <w:overflowPunct/>
        <w:autoSpaceDE/>
        <w:autoSpaceDN/>
        <w:adjustRightInd/>
        <w:textAlignment w:val="auto"/>
        <w:rPr>
          <w:sz w:val="22"/>
        </w:rPr>
      </w:pPr>
      <w:r>
        <w:rPr>
          <w:sz w:val="22"/>
        </w:rPr>
        <w:br w:type="page"/>
      </w:r>
    </w:p>
    <w:p w:rsidR="00013EB8" w:rsidRDefault="00013EB8">
      <w:pPr>
        <w:widowControl w:val="0"/>
        <w:pBdr>
          <w:top w:val="double" w:sz="4" w:space="1" w:color="auto"/>
        </w:pBdr>
        <w:tabs>
          <w:tab w:val="left" w:pos="0"/>
          <w:tab w:val="left" w:pos="144"/>
        </w:tabs>
        <w:rPr>
          <w:sz w:val="22"/>
        </w:rPr>
      </w:pPr>
    </w:p>
    <w:p w:rsidR="00013EB8" w:rsidRDefault="00013EB8">
      <w:pPr>
        <w:widowControl w:val="0"/>
        <w:tabs>
          <w:tab w:val="left" w:pos="0"/>
          <w:tab w:val="left" w:pos="144"/>
        </w:tabs>
        <w:rPr>
          <w:i/>
          <w:iCs/>
        </w:rPr>
      </w:pPr>
      <w:bookmarkStart w:id="62" w:name="EffDates"/>
      <w:r>
        <w:rPr>
          <w:b/>
          <w:bCs/>
          <w:i/>
          <w:iCs/>
          <w:sz w:val="22"/>
        </w:rPr>
        <w:t xml:space="preserve">EFFECTIVE DATES – </w:t>
      </w:r>
      <w:r>
        <w:rPr>
          <w:i/>
          <w:iCs/>
        </w:rPr>
        <w:t xml:space="preserve">a great effective date resource is </w:t>
      </w:r>
      <w:hyperlink r:id="rId324" w:history="1">
        <w:r>
          <w:rPr>
            <w:rStyle w:val="Hyperlink"/>
            <w:b/>
            <w:bCs/>
            <w:i/>
            <w:iCs/>
          </w:rPr>
          <w:t>RVSR Assistant</w:t>
        </w:r>
      </w:hyperlink>
    </w:p>
    <w:bookmarkEnd w:id="62"/>
    <w:p w:rsidR="00013EB8" w:rsidRDefault="00013EB8">
      <w:pPr>
        <w:widowControl w:val="0"/>
        <w:tabs>
          <w:tab w:val="left" w:pos="0"/>
          <w:tab w:val="left" w:pos="144"/>
        </w:tabs>
        <w:rPr>
          <w:b/>
          <w:bCs/>
          <w:sz w:val="22"/>
        </w:rPr>
      </w:pPr>
    </w:p>
    <w:tbl>
      <w:tblPr>
        <w:tblW w:w="10875" w:type="dxa"/>
        <w:tblInd w:w="-45" w:type="dxa"/>
        <w:tblLayout w:type="fixed"/>
        <w:tblCellMar>
          <w:left w:w="30" w:type="dxa"/>
          <w:right w:w="30" w:type="dxa"/>
        </w:tblCellMar>
        <w:tblLook w:val="0000" w:firstRow="0" w:lastRow="0" w:firstColumn="0" w:lastColumn="0" w:noHBand="0" w:noVBand="0"/>
      </w:tblPr>
      <w:tblGrid>
        <w:gridCol w:w="705"/>
        <w:gridCol w:w="10170"/>
      </w:tblGrid>
      <w:tr w:rsidR="00013EB8" w:rsidTr="0036376C">
        <w:tc>
          <w:tcPr>
            <w:tcW w:w="705" w:type="dxa"/>
            <w:tcBorders>
              <w:top w:val="nil"/>
              <w:left w:val="nil"/>
              <w:bottom w:val="nil"/>
              <w:right w:val="nil"/>
            </w:tcBorders>
          </w:tcPr>
          <w:p w:rsidR="00013EB8" w:rsidRDefault="00013EB8">
            <w:pPr>
              <w:widowControl w:val="0"/>
              <w:numPr>
                <w:ilvl w:val="12"/>
                <w:numId w:val="0"/>
              </w:numPr>
              <w:rPr>
                <w:b/>
              </w:rPr>
            </w:pPr>
            <w:r w:rsidRPr="00F673C9">
              <w:rPr>
                <w:b/>
              </w:rPr>
              <w:t>3.400</w:t>
            </w:r>
          </w:p>
        </w:tc>
        <w:tc>
          <w:tcPr>
            <w:tcW w:w="10170" w:type="dxa"/>
            <w:tcBorders>
              <w:top w:val="nil"/>
              <w:left w:val="nil"/>
              <w:bottom w:val="nil"/>
              <w:right w:val="nil"/>
            </w:tcBorders>
          </w:tcPr>
          <w:p w:rsidR="00013EB8" w:rsidRDefault="00013EB8">
            <w:pPr>
              <w:widowControl w:val="0"/>
              <w:numPr>
                <w:ilvl w:val="12"/>
                <w:numId w:val="0"/>
              </w:numPr>
              <w:spacing w:after="120"/>
            </w:pPr>
            <w:r>
              <w:rPr>
                <w:b/>
              </w:rPr>
              <w:t>General</w:t>
            </w:r>
            <w:r>
              <w:t xml:space="preserve"> (2/6/97</w:t>
            </w:r>
            <w:r w:rsidR="00BA78B4">
              <w:t xml:space="preserve">, </w:t>
            </w:r>
            <w:r w:rsidR="00BA78B4" w:rsidRPr="003C3882">
              <w:rPr>
                <w:highlight w:val="cyan"/>
              </w:rPr>
              <w:t>3/24/15</w:t>
            </w:r>
            <w:r w:rsidR="00BA78B4">
              <w:t>)</w:t>
            </w:r>
          </w:p>
          <w:p w:rsidR="00177313" w:rsidRPr="00767276" w:rsidRDefault="00177313" w:rsidP="00177313">
            <w:pPr>
              <w:widowControl w:val="0"/>
              <w:numPr>
                <w:ilvl w:val="0"/>
                <w:numId w:val="49"/>
              </w:numPr>
              <w:spacing w:after="120"/>
            </w:pPr>
            <w:r w:rsidRPr="00767276">
              <w:rPr>
                <w:b/>
              </w:rPr>
              <w:t>III.iv.5.C</w:t>
            </w:r>
            <w:r>
              <w:t xml:space="preserve"> – added 9/22/17, </w:t>
            </w:r>
            <w:r w:rsidRPr="000F53D7">
              <w:rPr>
                <w:b/>
                <w:i/>
              </w:rPr>
              <w:t>Wright v. Gober</w:t>
            </w:r>
            <w:r>
              <w:rPr>
                <w:b/>
                <w:i/>
              </w:rPr>
              <w:t xml:space="preserve"> (1997)</w:t>
            </w:r>
            <w:r>
              <w:t xml:space="preserve"> says “date entitlement arose” similar to “facts found”; </w:t>
            </w:r>
            <w:r w:rsidRPr="00407CAD">
              <w:rPr>
                <w:b/>
              </w:rPr>
              <w:t>III.iv.5.C.2</w:t>
            </w:r>
            <w:r>
              <w:t xml:space="preserve"> – ITFs; </w:t>
            </w:r>
            <w:r w:rsidRPr="00407CAD">
              <w:rPr>
                <w:b/>
              </w:rPr>
              <w:t>III.iv.5.C.3</w:t>
            </w:r>
            <w:r>
              <w:t xml:space="preserve"> – direct &amp; secondary (incl non-continous service &amp; DVA period);  </w:t>
            </w:r>
            <w:r w:rsidRPr="00407CAD">
              <w:rPr>
                <w:b/>
              </w:rPr>
              <w:t>III.iv.5.C.</w:t>
            </w:r>
            <w:r>
              <w:rPr>
                <w:b/>
              </w:rPr>
              <w:t>4</w:t>
            </w:r>
            <w:r>
              <w:t xml:space="preserve"> – presumptive;</w:t>
            </w:r>
            <w:r w:rsidRPr="00407CAD">
              <w:rPr>
                <w:b/>
              </w:rPr>
              <w:t xml:space="preserve"> III.iv.5.C.</w:t>
            </w:r>
            <w:r>
              <w:rPr>
                <w:b/>
              </w:rPr>
              <w:t>5</w:t>
            </w:r>
            <w:r>
              <w:t xml:space="preserve"> – CFIs (incl IU &amp; complications);</w:t>
            </w:r>
            <w:r w:rsidRPr="00407CAD">
              <w:rPr>
                <w:b/>
              </w:rPr>
              <w:t xml:space="preserve"> III.iv.5.C.</w:t>
            </w:r>
            <w:r>
              <w:rPr>
                <w:b/>
              </w:rPr>
              <w:t>6</w:t>
            </w:r>
            <w:r>
              <w:t xml:space="preserve"> – reopened claims; </w:t>
            </w:r>
            <w:bookmarkStart w:id="63" w:name="_Hlk519265243"/>
            <w:r w:rsidRPr="00407CAD">
              <w:rPr>
                <w:b/>
              </w:rPr>
              <w:t>III.iv.5.C.</w:t>
            </w:r>
            <w:r>
              <w:rPr>
                <w:b/>
              </w:rPr>
              <w:t>7</w:t>
            </w:r>
            <w:r>
              <w:t xml:space="preserve"> </w:t>
            </w:r>
            <w:bookmarkEnd w:id="63"/>
            <w:r>
              <w:t>– 3.114;</w:t>
            </w:r>
          </w:p>
          <w:p w:rsidR="00177313" w:rsidRPr="006D6E77" w:rsidRDefault="00177313" w:rsidP="00177313">
            <w:pPr>
              <w:widowControl w:val="0"/>
              <w:numPr>
                <w:ilvl w:val="0"/>
                <w:numId w:val="49"/>
              </w:numPr>
              <w:spacing w:after="120"/>
            </w:pPr>
            <w:r>
              <w:rPr>
                <w:b/>
                <w:bCs/>
              </w:rPr>
              <w:t>III.iv.6.E</w:t>
            </w:r>
          </w:p>
          <w:p w:rsidR="00013EB8" w:rsidRDefault="00013EB8" w:rsidP="00691877">
            <w:pPr>
              <w:widowControl w:val="0"/>
              <w:numPr>
                <w:ilvl w:val="0"/>
                <w:numId w:val="49"/>
              </w:numPr>
              <w:spacing w:after="120"/>
              <w:rPr>
                <w:b/>
                <w:iCs/>
              </w:rPr>
            </w:pPr>
            <w:r w:rsidRPr="00F673C9">
              <w:rPr>
                <w:b/>
                <w:iCs/>
              </w:rPr>
              <w:t>3.151</w:t>
            </w:r>
            <w:r>
              <w:rPr>
                <w:b/>
                <w:iCs/>
              </w:rPr>
              <w:t xml:space="preserve"> </w:t>
            </w:r>
          </w:p>
          <w:p w:rsidR="00013EB8" w:rsidRDefault="00013EB8" w:rsidP="00691877">
            <w:pPr>
              <w:widowControl w:val="0"/>
              <w:numPr>
                <w:ilvl w:val="0"/>
                <w:numId w:val="49"/>
              </w:numPr>
              <w:spacing w:after="120"/>
              <w:rPr>
                <w:b/>
                <w:iCs/>
              </w:rPr>
            </w:pPr>
            <w:r w:rsidRPr="00F673C9">
              <w:rPr>
                <w:b/>
                <w:iCs/>
              </w:rPr>
              <w:t>3.156</w:t>
            </w:r>
            <w:r>
              <w:rPr>
                <w:b/>
                <w:iCs/>
              </w:rPr>
              <w:t xml:space="preserve"> </w:t>
            </w:r>
          </w:p>
          <w:p w:rsidR="00B966C4" w:rsidRPr="006417E3" w:rsidRDefault="00B966C4" w:rsidP="00691877">
            <w:pPr>
              <w:widowControl w:val="0"/>
              <w:numPr>
                <w:ilvl w:val="0"/>
                <w:numId w:val="49"/>
              </w:numPr>
              <w:spacing w:after="120"/>
              <w:rPr>
                <w:b/>
                <w:iCs/>
              </w:rPr>
            </w:pPr>
            <w:r>
              <w:rPr>
                <w:b/>
                <w:iCs/>
              </w:rPr>
              <w:t xml:space="preserve">3.400(g) – </w:t>
            </w:r>
            <w:r w:rsidRPr="00B966C4">
              <w:rPr>
                <w:iCs/>
              </w:rPr>
              <w:t>Correction of military records</w:t>
            </w:r>
            <w:r>
              <w:rPr>
                <w:b/>
                <w:iCs/>
              </w:rPr>
              <w:t xml:space="preserve"> </w:t>
            </w:r>
            <w:r>
              <w:rPr>
                <w:iCs/>
              </w:rPr>
              <w:t xml:space="preserve">(i.e. </w:t>
            </w:r>
            <w:r w:rsidRPr="00B966C4">
              <w:rPr>
                <w:iCs/>
              </w:rPr>
              <w:t>discharge upgrade</w:t>
            </w:r>
            <w:r>
              <w:rPr>
                <w:iCs/>
              </w:rPr>
              <w:t>)</w:t>
            </w:r>
          </w:p>
          <w:p w:rsidR="00013EB8" w:rsidRDefault="00013EB8" w:rsidP="00691877">
            <w:pPr>
              <w:widowControl w:val="0"/>
              <w:numPr>
                <w:ilvl w:val="0"/>
                <w:numId w:val="49"/>
              </w:numPr>
              <w:spacing w:after="120"/>
              <w:rPr>
                <w:b/>
                <w:i/>
              </w:rPr>
            </w:pPr>
            <w:r>
              <w:rPr>
                <w:b/>
                <w:i/>
              </w:rPr>
              <w:t xml:space="preserve">USB Letter 20-98-2 (2/27/98) </w:t>
            </w:r>
          </w:p>
          <w:p w:rsidR="00013EB8" w:rsidRDefault="00013EB8" w:rsidP="00691877">
            <w:pPr>
              <w:widowControl w:val="0"/>
              <w:numPr>
                <w:ilvl w:val="0"/>
                <w:numId w:val="49"/>
              </w:numPr>
              <w:spacing w:after="120"/>
              <w:rPr>
                <w:b/>
                <w:i/>
              </w:rPr>
            </w:pPr>
            <w:r>
              <w:rPr>
                <w:b/>
                <w:i/>
              </w:rPr>
              <w:t>GC 88-90, 19-92, 9-</w:t>
            </w:r>
            <w:r w:rsidR="003033FF">
              <w:rPr>
                <w:b/>
                <w:i/>
              </w:rPr>
              <w:t xml:space="preserve">94, 10-94, 26-97, 11-97, </w:t>
            </w:r>
            <w:r>
              <w:rPr>
                <w:b/>
                <w:i/>
              </w:rPr>
              <w:t>11-99 &amp; 3-2000</w:t>
            </w:r>
          </w:p>
          <w:p w:rsidR="003033FF" w:rsidRPr="00E8751B" w:rsidRDefault="00D571C5" w:rsidP="00691877">
            <w:pPr>
              <w:widowControl w:val="0"/>
              <w:numPr>
                <w:ilvl w:val="0"/>
                <w:numId w:val="49"/>
              </w:numPr>
              <w:spacing w:after="120"/>
              <w:rPr>
                <w:b/>
                <w:i/>
              </w:rPr>
            </w:pPr>
            <w:hyperlink r:id="rId325" w:history="1">
              <w:r w:rsidR="003033FF" w:rsidRPr="00E8751B">
                <w:rPr>
                  <w:rStyle w:val="Hyperlink"/>
                  <w:b/>
                  <w:i/>
                </w:rPr>
                <w:t>VAOPGCPREC 12-98</w:t>
              </w:r>
            </w:hyperlink>
            <w:r w:rsidR="003033FF" w:rsidRPr="00E8751B">
              <w:t xml:space="preserve"> (9/23/98) – “the effective date for increased disability compensation is the date on which the evidence establishes that a veteran’s disability increased, if the claim is received within one year from such date.  The effective date of an increased rating would be the date of claim only if the claim is not received within the year following the increase in disability, as explained in </w:t>
            </w:r>
            <w:r w:rsidR="003033FF" w:rsidRPr="00E8751B">
              <w:rPr>
                <w:i/>
              </w:rPr>
              <w:t>Harper</w:t>
            </w:r>
            <w:r w:rsidR="003033FF" w:rsidRPr="00E8751B">
              <w:t>.”</w:t>
            </w:r>
            <w:r w:rsidR="00B62F0E" w:rsidRPr="00E8751B">
              <w:t xml:space="preserve"> AND “the effective date of an increased rating based upon new and material evidence received within the appeal period or prior to an appellate decision is the date on which the facts establish the increase occurred or the date of the original claim for increase, whichever is later.”</w:t>
            </w:r>
          </w:p>
          <w:p w:rsidR="006D6E77" w:rsidRDefault="006D6E77" w:rsidP="00691877">
            <w:pPr>
              <w:widowControl w:val="0"/>
              <w:numPr>
                <w:ilvl w:val="0"/>
                <w:numId w:val="49"/>
              </w:numPr>
              <w:spacing w:after="120"/>
            </w:pPr>
            <w:r>
              <w:rPr>
                <w:b/>
                <w:i/>
              </w:rPr>
              <w:t>Lalonde v. West</w:t>
            </w:r>
            <w:r>
              <w:rPr>
                <w:b/>
              </w:rPr>
              <w:t xml:space="preserve"> (5/11/99)</w:t>
            </w:r>
            <w:r>
              <w:t xml:space="preserve"> - TRs not informal claim for secondary condition, but if an informal claim is filed, we will treat it like a claim for increase (and the date of treatment can be used for the </w:t>
            </w:r>
            <w:r w:rsidR="004F315B">
              <w:t>effective date</w:t>
            </w:r>
            <w:r>
              <w:t>)</w:t>
            </w:r>
          </w:p>
          <w:p w:rsidR="00013EB8" w:rsidRDefault="00013EB8" w:rsidP="00691877">
            <w:pPr>
              <w:widowControl w:val="0"/>
              <w:numPr>
                <w:ilvl w:val="0"/>
                <w:numId w:val="49"/>
              </w:numPr>
              <w:spacing w:after="120"/>
            </w:pPr>
            <w:r>
              <w:rPr>
                <w:b/>
                <w:i/>
              </w:rPr>
              <w:t xml:space="preserve">Sears v. Principi </w:t>
            </w:r>
            <w:r>
              <w:rPr>
                <w:b/>
              </w:rPr>
              <w:t>(8/20/02)</w:t>
            </w:r>
            <w:r>
              <w:rPr>
                <w:i/>
              </w:rPr>
              <w:t xml:space="preserve"> </w:t>
            </w:r>
            <w:r>
              <w:t>- “new claim” under (q)(1)(ii) refers to a claim to reopen a previous &amp; finally denied claim</w:t>
            </w:r>
          </w:p>
          <w:p w:rsidR="00013EB8" w:rsidRDefault="00013EB8" w:rsidP="008E3E69">
            <w:pPr>
              <w:widowControl w:val="0"/>
              <w:numPr>
                <w:ilvl w:val="12"/>
                <w:numId w:val="0"/>
              </w:numPr>
              <w:ind w:left="360"/>
            </w:pPr>
            <w:r>
              <w:t xml:space="preserve">RULE:  </w:t>
            </w:r>
          </w:p>
          <w:p w:rsidR="00013EB8" w:rsidRDefault="00013EB8" w:rsidP="008E3E69">
            <w:pPr>
              <w:widowControl w:val="0"/>
              <w:numPr>
                <w:ilvl w:val="12"/>
                <w:numId w:val="0"/>
              </w:numPr>
              <w:ind w:left="360"/>
            </w:pPr>
            <w:r>
              <w:t>effective date for pension, compensation, and DIC, for original, reopened after final disallowance, or increase is “the date of receipt of the claim, or the date entitlement arose, whichever is the later.”</w:t>
            </w:r>
          </w:p>
          <w:p w:rsidR="00013EB8" w:rsidRDefault="00013EB8" w:rsidP="008E3E69">
            <w:pPr>
              <w:widowControl w:val="0"/>
              <w:numPr>
                <w:ilvl w:val="12"/>
                <w:numId w:val="0"/>
              </w:numPr>
              <w:ind w:left="360"/>
            </w:pPr>
            <w:r>
              <w:t xml:space="preserve">EXCEPTIONS:  </w:t>
            </w:r>
          </w:p>
          <w:p w:rsidR="00013EB8" w:rsidRPr="00717686" w:rsidRDefault="00013EB8" w:rsidP="008E3E69">
            <w:pPr>
              <w:widowControl w:val="0"/>
              <w:numPr>
                <w:ilvl w:val="12"/>
                <w:numId w:val="0"/>
              </w:numPr>
              <w:ind w:left="360"/>
              <w:rPr>
                <w:i/>
              </w:rPr>
            </w:pPr>
            <w:r>
              <w:t xml:space="preserve">pension may not be prior to date entitlement arose, and </w:t>
            </w:r>
            <w:r w:rsidR="004F315B">
              <w:t>effective date</w:t>
            </w:r>
            <w:r>
              <w:t xml:space="preserve"> is date of receipt of claim, </w:t>
            </w:r>
            <w:r>
              <w:rPr>
                <w:i/>
              </w:rPr>
              <w:t>unless</w:t>
            </w:r>
            <w:r>
              <w:t xml:space="preserve"> the veteran became P&amp;T w/i 1 year prior to the date of claim for retroactive benefits, and could not file a claim for the first 30 days immediately following the date he/she became P&amp;T, then we can pay from date became P&amp;T (unless that is to the veteran’s disadvantage); </w:t>
            </w:r>
            <w:r w:rsidR="00CF557B">
              <w:rPr>
                <w:b/>
                <w:bCs/>
              </w:rPr>
              <w:t>III.iv.6.B</w:t>
            </w:r>
            <w:r>
              <w:t xml:space="preserve">, </w:t>
            </w:r>
            <w:r w:rsidR="00717686" w:rsidRPr="00BA78B4">
              <w:rPr>
                <w:b/>
                <w:bCs/>
              </w:rPr>
              <w:t>V.ii.1.B</w:t>
            </w:r>
          </w:p>
          <w:p w:rsidR="00013EB8" w:rsidRDefault="00013EB8" w:rsidP="008E3E69">
            <w:pPr>
              <w:pStyle w:val="Header"/>
              <w:widowControl w:val="0"/>
              <w:numPr>
                <w:ilvl w:val="12"/>
                <w:numId w:val="0"/>
              </w:numPr>
              <w:tabs>
                <w:tab w:val="clear" w:pos="4320"/>
                <w:tab w:val="clear" w:pos="8640"/>
              </w:tabs>
              <w:ind w:left="360"/>
            </w:pPr>
          </w:p>
          <w:p w:rsidR="00013EB8" w:rsidRDefault="00013EB8" w:rsidP="008E3E69">
            <w:pPr>
              <w:widowControl w:val="0"/>
              <w:numPr>
                <w:ilvl w:val="12"/>
                <w:numId w:val="0"/>
              </w:numPr>
              <w:ind w:left="360"/>
            </w:pPr>
            <w:r>
              <w:rPr>
                <w:u w:val="single"/>
              </w:rPr>
              <w:t>direct SC</w:t>
            </w:r>
            <w:r>
              <w:t xml:space="preserve"> can also be day following separation from active service, or date entitlement arose (if rec’d w/i 1 year after separation)</w:t>
            </w:r>
          </w:p>
          <w:p w:rsidR="00013EB8" w:rsidRDefault="00013EB8" w:rsidP="008E3E69">
            <w:pPr>
              <w:widowControl w:val="0"/>
              <w:numPr>
                <w:ilvl w:val="12"/>
                <w:numId w:val="0"/>
              </w:numPr>
              <w:ind w:left="360"/>
            </w:pPr>
            <w:r>
              <w:rPr>
                <w:u w:val="single"/>
              </w:rPr>
              <w:t>pres SC</w:t>
            </w:r>
            <w:r>
              <w:t xml:space="preserve"> can also be date entitlement arose (if rec’d w/i 1 year after separation)</w:t>
            </w:r>
          </w:p>
          <w:p w:rsidR="00013EB8" w:rsidRDefault="00013EB8" w:rsidP="008E3E69">
            <w:pPr>
              <w:widowControl w:val="0"/>
              <w:numPr>
                <w:ilvl w:val="12"/>
                <w:numId w:val="0"/>
              </w:numPr>
              <w:ind w:left="360"/>
            </w:pPr>
            <w:r>
              <w:rPr>
                <w:u w:val="single"/>
              </w:rPr>
              <w:t>increases</w:t>
            </w:r>
            <w:r>
              <w:t xml:space="preserve"> can be the earliest date it is factually ascertainable that an increase occurred if the claim is rec’d w/i 1 year</w:t>
            </w:r>
          </w:p>
          <w:p w:rsidR="00013EB8" w:rsidRDefault="00013EB8" w:rsidP="008E3E69">
            <w:pPr>
              <w:widowControl w:val="0"/>
              <w:numPr>
                <w:ilvl w:val="12"/>
                <w:numId w:val="0"/>
              </w:numPr>
              <w:ind w:left="360"/>
            </w:pPr>
            <w:r>
              <w:rPr>
                <w:u w:val="single"/>
              </w:rPr>
              <w:t>reopens</w:t>
            </w:r>
            <w:r>
              <w:t xml:space="preserve"> can be “as though the former decision had not been rendered” if N&amp;M evid is rec’d w/i the appeal period or prior to the appellate decision; or the date of receipt of the new claim (claim to reopen a previously &amp; finally denied claim, per </w:t>
            </w:r>
            <w:r>
              <w:rPr>
                <w:b/>
                <w:i/>
              </w:rPr>
              <w:t>Sears</w:t>
            </w:r>
            <w:r>
              <w:t xml:space="preserve"> case) or date entitlement arose if N&amp;M rec’d after final disallowance</w:t>
            </w:r>
          </w:p>
          <w:p w:rsidR="00013EB8" w:rsidRDefault="00013EB8" w:rsidP="008E3E69">
            <w:pPr>
              <w:widowControl w:val="0"/>
              <w:numPr>
                <w:ilvl w:val="12"/>
                <w:numId w:val="0"/>
              </w:numPr>
              <w:ind w:left="360"/>
            </w:pPr>
          </w:p>
          <w:p w:rsidR="00013EB8" w:rsidRDefault="00013EB8" w:rsidP="008E3E69">
            <w:pPr>
              <w:widowControl w:val="0"/>
              <w:numPr>
                <w:ilvl w:val="12"/>
                <w:numId w:val="0"/>
              </w:numPr>
              <w:ind w:left="360"/>
              <w:rPr>
                <w:b/>
                <w:i/>
              </w:rPr>
            </w:pPr>
            <w:r>
              <w:rPr>
                <w:b/>
                <w:i/>
                <w:u w:val="single"/>
              </w:rPr>
              <w:t>USB Letter dated 2/27/98:</w:t>
            </w:r>
          </w:p>
          <w:p w:rsidR="00013EB8" w:rsidRPr="00E52B68" w:rsidRDefault="00013EB8" w:rsidP="008E3E69">
            <w:pPr>
              <w:widowControl w:val="0"/>
              <w:numPr>
                <w:ilvl w:val="12"/>
                <w:numId w:val="0"/>
              </w:numPr>
              <w:spacing w:after="120"/>
              <w:ind w:left="360"/>
              <w:rPr>
                <w:highlight w:val="darkGray"/>
              </w:rPr>
            </w:pPr>
            <w:r w:rsidRPr="00E52B68">
              <w:rPr>
                <w:highlight w:val="darkGray"/>
              </w:rPr>
              <w:t>“reopen” does not refer to increase for an SC cond, 3.400(q)(1)(i) only refers to a previously denied claim for SC, N&amp;M only refers to a previously denied claim for SC &amp; we will only go back to prior claim “as though the former decision had not been rendered” for previously denied claims.</w:t>
            </w:r>
          </w:p>
          <w:p w:rsidR="00013EB8" w:rsidRPr="00463D3C" w:rsidRDefault="00013EB8" w:rsidP="008E3E69">
            <w:pPr>
              <w:widowControl w:val="0"/>
              <w:numPr>
                <w:ilvl w:val="12"/>
                <w:numId w:val="0"/>
              </w:numPr>
              <w:spacing w:after="120"/>
              <w:ind w:left="360"/>
              <w:rPr>
                <w:b/>
              </w:rPr>
            </w:pPr>
            <w:r w:rsidRPr="00E52B68">
              <w:rPr>
                <w:highlight w:val="darkGray"/>
              </w:rPr>
              <w:t xml:space="preserve">If an increase is correctly denied, then TRs/new claim comes in which shows increase, we will use trs/new claim as </w:t>
            </w:r>
            <w:r w:rsidR="004F315B">
              <w:rPr>
                <w:highlight w:val="darkGray"/>
              </w:rPr>
              <w:t>effective date</w:t>
            </w:r>
            <w:r w:rsidRPr="00E52B68">
              <w:rPr>
                <w:highlight w:val="darkGray"/>
              </w:rPr>
              <w:t>, we will NOT go back to the prior claim just because the claim was continuously prosecuted, as that only refers to previously denied claims &amp; increases are under 3.400(o)(2)</w:t>
            </w:r>
            <w:r w:rsidR="00463D3C">
              <w:t xml:space="preserve"> </w:t>
            </w:r>
            <w:r w:rsidR="00463D3C" w:rsidRPr="00463D3C">
              <w:t xml:space="preserve">- </w:t>
            </w:r>
            <w:r w:rsidR="00463D3C" w:rsidRPr="00463D3C">
              <w:rPr>
                <w:rStyle w:val="Strong"/>
              </w:rPr>
              <w:t>III.ii.2.E.3.c </w:t>
            </w:r>
            <w:r w:rsidR="0059417E">
              <w:rPr>
                <w:rStyle w:val="Strong"/>
                <w:b w:val="0"/>
              </w:rPr>
              <w:t>shows we can apply 3.400(q)</w:t>
            </w:r>
          </w:p>
          <w:p w:rsidR="00013EB8" w:rsidRDefault="00013EB8" w:rsidP="008E3E69">
            <w:pPr>
              <w:pStyle w:val="HTMLPreformatted"/>
              <w:widowControl w:val="0"/>
              <w:numPr>
                <w:ilvl w:val="12"/>
                <w:numId w:val="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120"/>
              <w:ind w:left="360"/>
              <w:rPr>
                <w:rFonts w:ascii="Arial" w:hAnsi="Arial"/>
              </w:rPr>
            </w:pPr>
            <w:r>
              <w:rPr>
                <w:rFonts w:ascii="Arial" w:hAnsi="Arial"/>
              </w:rPr>
              <w:t xml:space="preserve">However, if new evid comes in which shows an increase, we will use that evidence for </w:t>
            </w:r>
            <w:r w:rsidR="004F315B">
              <w:rPr>
                <w:rFonts w:ascii="Arial" w:hAnsi="Arial"/>
              </w:rPr>
              <w:t>effective date</w:t>
            </w:r>
            <w:r>
              <w:rPr>
                <w:rFonts w:ascii="Arial" w:hAnsi="Arial"/>
              </w:rPr>
              <w:t xml:space="preserve"> (which can be before DOC), based on the facts.</w:t>
            </w:r>
          </w:p>
          <w:p w:rsidR="00013EB8" w:rsidRDefault="00013EB8" w:rsidP="00691877">
            <w:pPr>
              <w:pStyle w:val="BodyTextIndent"/>
              <w:widowControl w:val="0"/>
              <w:numPr>
                <w:ilvl w:val="0"/>
                <w:numId w:val="49"/>
              </w:numPr>
              <w:tabs>
                <w:tab w:val="left" w:pos="360"/>
              </w:tabs>
              <w:spacing w:after="120"/>
              <w:rPr>
                <w:sz w:val="20"/>
              </w:rPr>
            </w:pPr>
            <w:r w:rsidRPr="00BC03F7">
              <w:rPr>
                <w:bCs/>
              </w:rPr>
              <w:t>N</w:t>
            </w:r>
            <w:r w:rsidRPr="00BC03F7">
              <w:rPr>
                <w:bCs/>
                <w:sz w:val="20"/>
              </w:rPr>
              <w:t xml:space="preserve">otes from </w:t>
            </w:r>
            <w:r w:rsidRPr="008A6C83">
              <w:rPr>
                <w:b/>
                <w:bCs/>
                <w:i/>
                <w:iCs/>
                <w:sz w:val="20"/>
                <w:u w:val="single"/>
              </w:rPr>
              <w:t>March 2012 Effective Date Training</w:t>
            </w:r>
            <w:r w:rsidRPr="00BC03F7">
              <w:rPr>
                <w:sz w:val="20"/>
              </w:rPr>
              <w:t>:</w:t>
            </w:r>
            <w:r>
              <w:rPr>
                <w:sz w:val="20"/>
              </w:rPr>
              <w:t xml:space="preserve"> (</w:t>
            </w:r>
            <w:hyperlink r:id="rId326" w:history="1">
              <w:r>
                <w:rPr>
                  <w:rStyle w:val="Hyperlink"/>
                  <w:b/>
                  <w:bCs/>
                  <w:i/>
                  <w:iCs/>
                  <w:sz w:val="20"/>
                </w:rPr>
                <w:t>http://cptraining.vba.va.gov/C&amp;P_Training/RVSR/rvsr_man.htm</w:t>
              </w:r>
            </w:hyperlink>
            <w:r>
              <w:rPr>
                <w:sz w:val="20"/>
              </w:rPr>
              <w:t xml:space="preserve">)- </w:t>
            </w:r>
          </w:p>
          <w:p w:rsidR="00013EB8" w:rsidRDefault="00013EB8" w:rsidP="00D07E83">
            <w:pPr>
              <w:pStyle w:val="BodyTextIndent"/>
              <w:widowControl w:val="0"/>
              <w:tabs>
                <w:tab w:val="left" w:pos="360"/>
              </w:tabs>
              <w:ind w:left="360"/>
              <w:rPr>
                <w:sz w:val="20"/>
              </w:rPr>
            </w:pPr>
            <w:r>
              <w:rPr>
                <w:sz w:val="20"/>
              </w:rPr>
              <w:t>1. Issue (What is the issue: Service connection, entitlement to pension, or claim for increased evaluation?)</w:t>
            </w:r>
          </w:p>
          <w:p w:rsidR="00013EB8" w:rsidRDefault="00013EB8" w:rsidP="00D07E83">
            <w:pPr>
              <w:widowControl w:val="0"/>
              <w:overflowPunct/>
              <w:ind w:left="360"/>
              <w:textAlignment w:val="auto"/>
            </w:pPr>
            <w:r>
              <w:t>2. DOC (What is the date of receipt of the claim?)</w:t>
            </w:r>
          </w:p>
          <w:p w:rsidR="00013EB8" w:rsidRDefault="00013EB8" w:rsidP="00D07E83">
            <w:pPr>
              <w:widowControl w:val="0"/>
              <w:overflowPunct/>
              <w:ind w:left="360"/>
              <w:textAlignment w:val="auto"/>
            </w:pPr>
            <w:r>
              <w:t>3. Entitlement (What is the date basic entitlement arose?)</w:t>
            </w:r>
          </w:p>
          <w:p w:rsidR="00C346B9" w:rsidRDefault="00013EB8" w:rsidP="00D07E83">
            <w:pPr>
              <w:pStyle w:val="HTMLPreformatted"/>
              <w:widowControl w:val="0"/>
              <w:numPr>
                <w:ilvl w:val="12"/>
                <w:numId w:val="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120"/>
              <w:ind w:left="360"/>
              <w:rPr>
                <w:rFonts w:ascii="Arial" w:hAnsi="Arial"/>
              </w:rPr>
            </w:pPr>
            <w:r>
              <w:rPr>
                <w:rFonts w:ascii="Arial" w:hAnsi="Arial"/>
              </w:rPr>
              <w:t>4. 3.114 (Do any liberalizing laws apply?)</w:t>
            </w:r>
          </w:p>
          <w:p w:rsidR="00442D34" w:rsidRPr="00F4444F" w:rsidRDefault="00D571C5" w:rsidP="008C5B63">
            <w:pPr>
              <w:rPr>
                <w:rStyle w:val="Hyperlink"/>
                <w:b/>
                <w:i/>
              </w:rPr>
            </w:pPr>
            <w:hyperlink r:id="rId327" w:history="1">
              <w:r w:rsidR="00E76788" w:rsidRPr="00F4444F">
                <w:rPr>
                  <w:rFonts w:eastAsia="Calibri"/>
                  <w:b/>
                  <w:color w:val="0000FF" w:themeColor="hyperlink"/>
                  <w:u w:val="single"/>
                </w:rPr>
                <w:t>M21-4 Appendix B</w:t>
              </w:r>
            </w:hyperlink>
            <w:r w:rsidR="00E76788" w:rsidRPr="00F4444F">
              <w:rPr>
                <w:rFonts w:eastAsia="Calibri"/>
                <w:color w:val="0000FF" w:themeColor="hyperlink"/>
              </w:rPr>
              <w:t xml:space="preserve"> </w:t>
            </w:r>
            <w:r w:rsidR="00E76788" w:rsidRPr="00F4444F">
              <w:rPr>
                <w:rFonts w:eastAsia="Calibri"/>
              </w:rPr>
              <w:t>– guidance on EP 930s</w:t>
            </w:r>
            <w:r w:rsidR="006C5F54" w:rsidRPr="00F4444F">
              <w:rPr>
                <w:rFonts w:eastAsia="Calibri"/>
              </w:rPr>
              <w:t xml:space="preserve">, updated per </w:t>
            </w:r>
            <w:hyperlink r:id="rId328" w:history="1">
              <w:r w:rsidR="00DC275A" w:rsidRPr="00F4444F">
                <w:rPr>
                  <w:rStyle w:val="Hyperlink"/>
                  <w:b/>
                  <w:i/>
                </w:rPr>
                <w:t>October 2015 Quality Call Notes</w:t>
              </w:r>
            </w:hyperlink>
          </w:p>
          <w:p w:rsidR="00F4444F" w:rsidRDefault="00442D34" w:rsidP="008C5B63">
            <w:pPr>
              <w:rPr>
                <w:color w:val="000000"/>
              </w:rPr>
            </w:pPr>
            <w:r w:rsidRPr="00F4444F">
              <w:rPr>
                <w:rStyle w:val="Hyperlink"/>
                <w:b/>
                <w:color w:val="auto"/>
                <w:u w:val="none"/>
              </w:rPr>
              <w:t>III.ii.4.G.2.m</w:t>
            </w:r>
            <w:r w:rsidRPr="00F4444F">
              <w:rPr>
                <w:color w:val="000000"/>
              </w:rPr>
              <w:t xml:space="preserve"> </w:t>
            </w:r>
            <w:r w:rsidR="000C4474" w:rsidRPr="00F4444F">
              <w:rPr>
                <w:color w:val="000000"/>
              </w:rPr>
              <w:t>–</w:t>
            </w:r>
            <w:r w:rsidRPr="00F4444F">
              <w:rPr>
                <w:color w:val="000000"/>
              </w:rPr>
              <w:t xml:space="preserve"> </w:t>
            </w:r>
            <w:r w:rsidR="000C4474" w:rsidRPr="00F4444F">
              <w:rPr>
                <w:color w:val="000000"/>
              </w:rPr>
              <w:t>need permanent, claim-associated note explaining why establishing a 930 &amp; if it’s a correction (include specific correction action taken, date of action taken &amp; station # that took the action) [also says need rationale for changing DOC of an EP]</w:t>
            </w:r>
          </w:p>
          <w:p w:rsidR="00F4444F" w:rsidRDefault="00F4444F" w:rsidP="00F4444F">
            <w:pPr>
              <w:widowControl w:val="0"/>
              <w:rPr>
                <w:iCs/>
              </w:rPr>
            </w:pPr>
          </w:p>
          <w:p w:rsidR="00E76788" w:rsidRPr="00F4444F" w:rsidRDefault="00D571C5" w:rsidP="00F4444F">
            <w:pPr>
              <w:rPr>
                <w:color w:val="000000"/>
              </w:rPr>
            </w:pPr>
            <w:hyperlink r:id="rId329" w:history="1">
              <w:r w:rsidR="00F4444F" w:rsidRPr="003677BC">
                <w:rPr>
                  <w:rStyle w:val="Hyperlink"/>
                  <w:b/>
                  <w:bCs/>
                  <w:i/>
                </w:rPr>
                <w:t>November 2017 Quality Call Notes</w:t>
              </w:r>
            </w:hyperlink>
            <w:r w:rsidR="00F4444F" w:rsidRPr="003677BC">
              <w:rPr>
                <w:bCs/>
              </w:rPr>
              <w:t xml:space="preserve"> </w:t>
            </w:r>
            <w:r w:rsidR="00F4444F" w:rsidRPr="003677BC">
              <w:t xml:space="preserve"> - </w:t>
            </w:r>
            <w:r w:rsidR="00F4444F">
              <w:t>110/010 is based on original application (do not need to change if # of issues changes during lifetime of claim)</w:t>
            </w:r>
            <w:hyperlink r:id="rId330" w:history="1"/>
          </w:p>
          <w:p w:rsidR="00E76788" w:rsidRPr="000F3F2F" w:rsidRDefault="00E76788" w:rsidP="008C5B63">
            <w:pPr>
              <w:rPr>
                <w:color w:val="000000"/>
              </w:rPr>
            </w:pPr>
          </w:p>
        </w:tc>
      </w:tr>
      <w:tr w:rsidR="002129EE" w:rsidRPr="007C6674" w:rsidTr="0036376C">
        <w:tc>
          <w:tcPr>
            <w:tcW w:w="705" w:type="dxa"/>
            <w:tcBorders>
              <w:top w:val="nil"/>
              <w:left w:val="nil"/>
              <w:bottom w:val="nil"/>
              <w:right w:val="nil"/>
            </w:tcBorders>
          </w:tcPr>
          <w:p w:rsidR="002129EE" w:rsidRDefault="002129EE">
            <w:pPr>
              <w:widowControl w:val="0"/>
              <w:numPr>
                <w:ilvl w:val="12"/>
                <w:numId w:val="0"/>
              </w:numPr>
            </w:pPr>
          </w:p>
        </w:tc>
        <w:tc>
          <w:tcPr>
            <w:tcW w:w="10170" w:type="dxa"/>
            <w:tcBorders>
              <w:top w:val="nil"/>
              <w:left w:val="nil"/>
              <w:bottom w:val="nil"/>
              <w:right w:val="nil"/>
            </w:tcBorders>
          </w:tcPr>
          <w:p w:rsidR="00C346B9" w:rsidRPr="007C6674" w:rsidRDefault="00C346B9" w:rsidP="00F063AF">
            <w:pPr>
              <w:widowControl w:val="0"/>
              <w:numPr>
                <w:ilvl w:val="0"/>
                <w:numId w:val="133"/>
              </w:numPr>
              <w:rPr>
                <w:rStyle w:val="Hyperlink"/>
                <w:color w:val="auto"/>
                <w:u w:val="none"/>
              </w:rPr>
            </w:pPr>
            <w:r w:rsidRPr="00000E48">
              <w:rPr>
                <w:b/>
                <w:bCs/>
                <w:i/>
                <w:iCs/>
              </w:rPr>
              <w:t xml:space="preserve">June 2013 </w:t>
            </w:r>
            <w:r w:rsidR="00EB6F0B" w:rsidRPr="00000E48">
              <w:rPr>
                <w:b/>
                <w:bCs/>
                <w:i/>
                <w:iCs/>
              </w:rPr>
              <w:t>Compensation Service Bulletin (CSB)</w:t>
            </w:r>
            <w:r w:rsidRPr="007C6674">
              <w:rPr>
                <w:rStyle w:val="Hyperlink"/>
                <w:color w:val="auto"/>
                <w:u w:val="none"/>
              </w:rPr>
              <w:t xml:space="preserve"> –</w:t>
            </w:r>
          </w:p>
          <w:p w:rsidR="007C6674" w:rsidRPr="007C6674" w:rsidRDefault="00C346B9" w:rsidP="00C00094">
            <w:pPr>
              <w:pStyle w:val="NoSpacing"/>
              <w:spacing w:after="120"/>
              <w:ind w:left="330"/>
              <w:rPr>
                <w:rFonts w:ascii="Arial" w:hAnsi="Arial"/>
                <w:sz w:val="20"/>
                <w:szCs w:val="20"/>
              </w:rPr>
            </w:pPr>
            <w:r w:rsidRPr="007C6674">
              <w:rPr>
                <w:rStyle w:val="Hyperlink"/>
                <w:rFonts w:ascii="Arial" w:hAnsi="Arial"/>
                <w:color w:val="auto"/>
                <w:sz w:val="20"/>
                <w:szCs w:val="20"/>
                <w:u w:val="none"/>
              </w:rPr>
              <w:t xml:space="preserve">The above FL </w:t>
            </w:r>
            <w:r w:rsidRPr="007C6674">
              <w:rPr>
                <w:rFonts w:ascii="Arial" w:hAnsi="Arial"/>
                <w:sz w:val="20"/>
                <w:szCs w:val="20"/>
              </w:rPr>
              <w:t xml:space="preserve">guidance applies to </w:t>
            </w:r>
            <w:r w:rsidRPr="007C6674">
              <w:rPr>
                <w:rFonts w:ascii="Arial" w:hAnsi="Arial"/>
                <w:b/>
                <w:sz w:val="20"/>
                <w:szCs w:val="20"/>
              </w:rPr>
              <w:t>any</w:t>
            </w:r>
            <w:r w:rsidRPr="007C6674">
              <w:rPr>
                <w:rFonts w:ascii="Arial" w:hAnsi="Arial"/>
                <w:sz w:val="20"/>
                <w:szCs w:val="20"/>
              </w:rPr>
              <w:t xml:space="preserve"> claim not identified and established in the normal control process.  Continue to follow other guidance relating to this issue as described in FL 13-10.  If an EP is already pending, </w:t>
            </w:r>
            <w:r w:rsidRPr="007C6674">
              <w:rPr>
                <w:rFonts w:ascii="Arial" w:hAnsi="Arial"/>
                <w:b/>
                <w:sz w:val="20"/>
                <w:szCs w:val="20"/>
              </w:rPr>
              <w:t>do not</w:t>
            </w:r>
            <w:r w:rsidRPr="007C6674">
              <w:rPr>
                <w:rFonts w:ascii="Arial" w:hAnsi="Arial"/>
                <w:sz w:val="20"/>
                <w:szCs w:val="20"/>
              </w:rPr>
              <w:t xml:space="preserve"> change the date of claim if the date of claim is incorrect.  The guidance in the FL </w:t>
            </w:r>
            <w:r w:rsidRPr="007C6674">
              <w:rPr>
                <w:rFonts w:ascii="Arial" w:hAnsi="Arial"/>
                <w:b/>
                <w:sz w:val="20"/>
                <w:szCs w:val="20"/>
              </w:rPr>
              <w:t>only</w:t>
            </w:r>
            <w:r w:rsidRPr="007C6674">
              <w:rPr>
                <w:rFonts w:ascii="Arial" w:hAnsi="Arial"/>
                <w:sz w:val="20"/>
                <w:szCs w:val="20"/>
              </w:rPr>
              <w:t xml:space="preserve"> applies to cla</w:t>
            </w:r>
            <w:r w:rsidR="007C6674" w:rsidRPr="007C6674">
              <w:rPr>
                <w:rFonts w:ascii="Arial" w:hAnsi="Arial"/>
                <w:sz w:val="20"/>
                <w:szCs w:val="20"/>
              </w:rPr>
              <w:t xml:space="preserve">ims not already under control. </w:t>
            </w:r>
          </w:p>
          <w:p w:rsidR="007C6674" w:rsidRPr="005A0248" w:rsidRDefault="00C40657" w:rsidP="00F063AF">
            <w:pPr>
              <w:pStyle w:val="NoSpacing"/>
              <w:numPr>
                <w:ilvl w:val="0"/>
                <w:numId w:val="133"/>
              </w:numPr>
              <w:tabs>
                <w:tab w:val="left" w:pos="420"/>
              </w:tabs>
              <w:rPr>
                <w:rFonts w:ascii="Arial" w:hAnsi="Arial"/>
                <w:b/>
                <w:i/>
                <w:sz w:val="20"/>
                <w:szCs w:val="20"/>
                <w:u w:val="single"/>
              </w:rPr>
            </w:pPr>
            <w:r w:rsidRPr="00C40657">
              <w:rPr>
                <w:rFonts w:ascii="Arial" w:hAnsi="Arial"/>
                <w:bCs/>
                <w:sz w:val="20"/>
                <w:szCs w:val="20"/>
              </w:rPr>
              <w:t xml:space="preserve">Notes from </w:t>
            </w:r>
            <w:r w:rsidR="007C6674" w:rsidRPr="00C40657">
              <w:rPr>
                <w:rFonts w:ascii="Arial" w:hAnsi="Arial"/>
                <w:b/>
                <w:i/>
                <w:sz w:val="20"/>
                <w:szCs w:val="20"/>
                <w:u w:val="single"/>
              </w:rPr>
              <w:t>August</w:t>
            </w:r>
            <w:r w:rsidR="007C6674" w:rsidRPr="005A0248">
              <w:rPr>
                <w:rFonts w:ascii="Arial" w:hAnsi="Arial"/>
                <w:b/>
                <w:i/>
                <w:sz w:val="20"/>
                <w:szCs w:val="20"/>
                <w:u w:val="single"/>
              </w:rPr>
              <w:t xml:space="preserve"> 2013 Training Provided by Central Office by RQRS Challenge Instructors on Effective Dates:</w:t>
            </w:r>
          </w:p>
          <w:p w:rsidR="007C6674" w:rsidRPr="007C6674" w:rsidRDefault="007C6674" w:rsidP="00C00094">
            <w:pPr>
              <w:spacing w:after="120"/>
              <w:ind w:left="330"/>
              <w:rPr>
                <w:b/>
              </w:rPr>
            </w:pPr>
            <w:r w:rsidRPr="007C6674">
              <w:rPr>
                <w:i/>
              </w:rPr>
              <w:t>SD’s “other” category has the highest error rate</w:t>
            </w:r>
          </w:p>
          <w:p w:rsidR="007C6674" w:rsidRPr="007C6674" w:rsidRDefault="007C6674" w:rsidP="00C00094">
            <w:pPr>
              <w:spacing w:after="120"/>
              <w:ind w:left="330"/>
            </w:pPr>
            <w:r w:rsidRPr="007C6674">
              <w:t>Informal claims – 3.155 – formal claim has to be received within 1 year of our letter to them; must identify benefit sought (</w:t>
            </w:r>
            <w:r w:rsidRPr="007C6674">
              <w:rPr>
                <w:i/>
              </w:rPr>
              <w:t>i.e. describe nature of disability</w:t>
            </w:r>
            <w:r w:rsidRPr="007C6674">
              <w:t>); if no disability described, need to send letter asking what claiming (do not send the informal claim letter, if informal claim letter sent need to tell veteran the letter was sent erroneously)</w:t>
            </w:r>
          </w:p>
          <w:p w:rsidR="00C346B9" w:rsidRDefault="006E5084" w:rsidP="001C44D3">
            <w:pPr>
              <w:widowControl w:val="0"/>
              <w:spacing w:after="120"/>
              <w:ind w:left="360"/>
            </w:pPr>
            <w:r>
              <w:t>Even if treatment is paid for by DoD or VA, records are not considered Federal because they are not in Federal custody</w:t>
            </w:r>
            <w:r w:rsidR="001C44D3">
              <w:t>.</w:t>
            </w:r>
          </w:p>
          <w:p w:rsidR="008A6C83" w:rsidRDefault="001C44D3" w:rsidP="008A6C83">
            <w:pPr>
              <w:widowControl w:val="0"/>
              <w:spacing w:after="120"/>
              <w:ind w:left="360"/>
              <w:rPr>
                <w:i/>
              </w:rPr>
            </w:pPr>
            <w:r>
              <w:t xml:space="preserve">The </w:t>
            </w:r>
            <w:r w:rsidRPr="001C44D3">
              <w:t>increased manifestation</w:t>
            </w:r>
            <w:r>
              <w:t xml:space="preserve"> (</w:t>
            </w:r>
            <w:r w:rsidRPr="001C44D3">
              <w:rPr>
                <w:i/>
              </w:rPr>
              <w:t>i.e. addition of Metformin</w:t>
            </w:r>
            <w:r>
              <w:t>) has to be shown within one year in PMEs. 3.400(o)(2) says “factually ascertainable that an increase in disability had occurred if claim is received within 1 year from such date</w:t>
            </w:r>
            <w:r w:rsidR="001946CC">
              <w:t>.”</w:t>
            </w:r>
            <w:r>
              <w:t xml:space="preserve"> </w:t>
            </w:r>
            <w:r w:rsidRPr="001C44D3">
              <w:rPr>
                <w:i/>
              </w:rPr>
              <w:t>Continuation on Metformin within one year of the claim is not sufficient to go back to the date within on year of the claim.</w:t>
            </w:r>
          </w:p>
          <w:p w:rsidR="008A6C83" w:rsidRPr="008023FF" w:rsidRDefault="008A6C83" w:rsidP="00F063AF">
            <w:pPr>
              <w:pStyle w:val="NoSpacing"/>
              <w:numPr>
                <w:ilvl w:val="0"/>
                <w:numId w:val="133"/>
              </w:numPr>
              <w:tabs>
                <w:tab w:val="left" w:pos="420"/>
              </w:tabs>
              <w:spacing w:after="120"/>
              <w:rPr>
                <w:rFonts w:ascii="Arial" w:hAnsi="Arial"/>
                <w:b/>
                <w:i/>
                <w:sz w:val="20"/>
                <w:szCs w:val="20"/>
                <w:u w:val="single"/>
              </w:rPr>
            </w:pPr>
            <w:r w:rsidRPr="008023FF">
              <w:rPr>
                <w:rFonts w:ascii="Arial" w:hAnsi="Arial"/>
                <w:bCs/>
                <w:sz w:val="20"/>
                <w:szCs w:val="20"/>
              </w:rPr>
              <w:t>Notes from</w:t>
            </w:r>
            <w:r w:rsidRPr="008023FF">
              <w:rPr>
                <w:bCs/>
                <w:sz w:val="20"/>
                <w:szCs w:val="20"/>
              </w:rPr>
              <w:t xml:space="preserve"> </w:t>
            </w:r>
            <w:r w:rsidRPr="008023FF">
              <w:rPr>
                <w:rFonts w:ascii="Arial" w:hAnsi="Arial"/>
                <w:b/>
                <w:i/>
                <w:sz w:val="20"/>
                <w:szCs w:val="20"/>
                <w:u w:val="single"/>
              </w:rPr>
              <w:t>January 2014 Effective Dates Training</w:t>
            </w:r>
            <w:r w:rsidR="003272B6">
              <w:rPr>
                <w:rFonts w:ascii="Arial" w:hAnsi="Arial"/>
                <w:sz w:val="20"/>
                <w:szCs w:val="20"/>
              </w:rPr>
              <w:t xml:space="preserve"> (John Trunick)</w:t>
            </w:r>
            <w:r w:rsidRPr="003F0C17">
              <w:rPr>
                <w:rFonts w:ascii="Arial" w:hAnsi="Arial"/>
                <w:b/>
                <w:i/>
                <w:sz w:val="20"/>
                <w:szCs w:val="20"/>
              </w:rPr>
              <w:t>:</w:t>
            </w:r>
          </w:p>
          <w:p w:rsidR="008A6C83" w:rsidRPr="008023FF" w:rsidRDefault="008A6C83" w:rsidP="008A6C83">
            <w:pPr>
              <w:spacing w:after="120"/>
              <w:ind w:left="330"/>
            </w:pPr>
            <w:r w:rsidRPr="008023FF">
              <w:t>General rule is fall back, if no other rule is provided.</w:t>
            </w:r>
          </w:p>
          <w:p w:rsidR="008A6C83" w:rsidRPr="008023FF" w:rsidRDefault="008A6C83" w:rsidP="008A6C83">
            <w:pPr>
              <w:pStyle w:val="BodyTextIndent"/>
              <w:widowControl w:val="0"/>
              <w:tabs>
                <w:tab w:val="left" w:pos="360"/>
              </w:tabs>
              <w:ind w:left="360"/>
              <w:rPr>
                <w:sz w:val="20"/>
              </w:rPr>
            </w:pPr>
            <w:r w:rsidRPr="008023FF">
              <w:rPr>
                <w:sz w:val="20"/>
              </w:rPr>
              <w:t>1. What is issue? (SC? CFI? “original” or “non-original”)</w:t>
            </w:r>
          </w:p>
          <w:p w:rsidR="008A6C83" w:rsidRPr="008023FF" w:rsidRDefault="008A6C83" w:rsidP="008A6C83">
            <w:pPr>
              <w:widowControl w:val="0"/>
              <w:overflowPunct/>
              <w:ind w:left="360"/>
              <w:textAlignment w:val="auto"/>
            </w:pPr>
            <w:r w:rsidRPr="008023FF">
              <w:t>2. What is the date of receipt of the claim?</w:t>
            </w:r>
          </w:p>
          <w:p w:rsidR="008A6C83" w:rsidRPr="008023FF" w:rsidRDefault="008A6C83" w:rsidP="008A6C83">
            <w:pPr>
              <w:widowControl w:val="0"/>
              <w:overflowPunct/>
              <w:ind w:left="360"/>
              <w:textAlignment w:val="auto"/>
            </w:pPr>
            <w:r w:rsidRPr="008023FF">
              <w:t>3. What is the date entitlement arose?</w:t>
            </w:r>
          </w:p>
          <w:p w:rsidR="008A6C83" w:rsidRPr="008023FF" w:rsidRDefault="008A6C83" w:rsidP="008A6C83">
            <w:pPr>
              <w:pStyle w:val="HTMLPreformatted"/>
              <w:widowControl w:val="0"/>
              <w:numPr>
                <w:ilvl w:val="12"/>
                <w:numId w:val="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after="120"/>
              <w:ind w:left="360"/>
              <w:rPr>
                <w:rFonts w:ascii="Arial" w:hAnsi="Arial"/>
              </w:rPr>
            </w:pPr>
            <w:r w:rsidRPr="008023FF">
              <w:rPr>
                <w:rFonts w:ascii="Arial" w:hAnsi="Arial"/>
              </w:rPr>
              <w:t xml:space="preserve">4. Do any </w:t>
            </w:r>
            <w:r w:rsidR="00D07E83">
              <w:rPr>
                <w:rFonts w:ascii="Arial" w:hAnsi="Arial"/>
              </w:rPr>
              <w:t>liberalizing laws apply? (3.114</w:t>
            </w:r>
            <w:r w:rsidRPr="008023FF">
              <w:rPr>
                <w:rFonts w:ascii="Arial" w:hAnsi="Arial"/>
              </w:rPr>
              <w:t>)</w:t>
            </w:r>
          </w:p>
          <w:p w:rsidR="008023FF" w:rsidRDefault="008023FF" w:rsidP="000A3C22">
            <w:pPr>
              <w:widowControl w:val="0"/>
              <w:spacing w:after="120"/>
              <w:ind w:left="360"/>
              <w:rPr>
                <w:rStyle w:val="Hyperlink"/>
                <w:bCs/>
                <w:color w:val="auto"/>
                <w:u w:val="none"/>
              </w:rPr>
            </w:pPr>
            <w:r w:rsidRPr="008023FF">
              <w:rPr>
                <w:rStyle w:val="Hyperlink"/>
                <w:bCs/>
                <w:color w:val="auto"/>
                <w:u w:val="none"/>
              </w:rPr>
              <w:t>New nomenclature for types of claims. “Disability”</w:t>
            </w:r>
            <w:r>
              <w:rPr>
                <w:rStyle w:val="Hyperlink"/>
                <w:bCs/>
                <w:color w:val="auto"/>
                <w:u w:val="none"/>
              </w:rPr>
              <w:t xml:space="preserve"> claim is TU or Temp 100%, then “SC</w:t>
            </w:r>
            <w:r w:rsidR="001946CC">
              <w:rPr>
                <w:rStyle w:val="Hyperlink"/>
                <w:bCs/>
                <w:color w:val="auto"/>
                <w:u w:val="none"/>
              </w:rPr>
              <w:t>,”</w:t>
            </w:r>
            <w:r>
              <w:rPr>
                <w:rStyle w:val="Hyperlink"/>
                <w:bCs/>
                <w:color w:val="auto"/>
                <w:u w:val="none"/>
              </w:rPr>
              <w:t xml:space="preserve"> “Death</w:t>
            </w:r>
            <w:r w:rsidR="001946CC">
              <w:rPr>
                <w:rStyle w:val="Hyperlink"/>
                <w:bCs/>
                <w:color w:val="auto"/>
                <w:u w:val="none"/>
              </w:rPr>
              <w:t>,”</w:t>
            </w:r>
            <w:r>
              <w:rPr>
                <w:rStyle w:val="Hyperlink"/>
                <w:bCs/>
                <w:color w:val="auto"/>
                <w:u w:val="none"/>
              </w:rPr>
              <w:t xml:space="preserve"> “Subsequent” (N&amp;M or CUE) claims. Also have “Other” (1151 [can pay from date of injury if claimed within one year], CFI, 3.114 [can pay one year prior to date of Admin review], additional records received [Fed or Svc Dept], reductions.</w:t>
            </w:r>
          </w:p>
          <w:p w:rsidR="008023FF" w:rsidRDefault="00C36EA5" w:rsidP="000A3C22">
            <w:pPr>
              <w:widowControl w:val="0"/>
              <w:spacing w:after="120"/>
              <w:ind w:left="360"/>
              <w:rPr>
                <w:rStyle w:val="Hyperlink"/>
                <w:bCs/>
                <w:color w:val="auto"/>
                <w:u w:val="none"/>
              </w:rPr>
            </w:pPr>
            <w:r>
              <w:rPr>
                <w:rStyle w:val="Hyperlink"/>
                <w:bCs/>
                <w:color w:val="auto"/>
                <w:u w:val="none"/>
              </w:rPr>
              <w:t xml:space="preserve">3.155, </w:t>
            </w:r>
            <w:r w:rsidR="008023FF">
              <w:rPr>
                <w:rStyle w:val="Hyperlink"/>
                <w:bCs/>
                <w:color w:val="auto"/>
                <w:u w:val="none"/>
              </w:rPr>
              <w:t>Informal claims must “identify benefit sought” – need nature of disability (identify the body system or part or symptoms; or attach records, to include DBQ</w:t>
            </w:r>
            <w:r w:rsidR="001714FE">
              <w:rPr>
                <w:rStyle w:val="Hyperlink"/>
                <w:bCs/>
                <w:color w:val="auto"/>
                <w:u w:val="none"/>
              </w:rPr>
              <w:t>)</w:t>
            </w:r>
            <w:r w:rsidR="008023FF">
              <w:rPr>
                <w:rStyle w:val="Hyperlink"/>
                <w:bCs/>
                <w:color w:val="auto"/>
                <w:u w:val="none"/>
              </w:rPr>
              <w:t>. If benefit not identified, but VSRs accept as informal claim, may be able to use that date…</w:t>
            </w:r>
          </w:p>
          <w:p w:rsidR="008023FF" w:rsidRPr="008023FF" w:rsidRDefault="008023FF" w:rsidP="000A3C22">
            <w:pPr>
              <w:widowControl w:val="0"/>
              <w:spacing w:after="120"/>
              <w:ind w:left="360"/>
              <w:rPr>
                <w:rStyle w:val="Hyperlink"/>
                <w:bCs/>
                <w:color w:val="auto"/>
                <w:u w:val="none"/>
              </w:rPr>
            </w:pPr>
            <w:r>
              <w:rPr>
                <w:rStyle w:val="Hyperlink"/>
                <w:bCs/>
                <w:color w:val="auto"/>
                <w:u w:val="none"/>
              </w:rPr>
              <w:t>N&amp;M cases – Leonard v. Principi (2004), Sears v. Principi (2002), Flash v. Brown (1995)</w:t>
            </w:r>
          </w:p>
          <w:p w:rsidR="008023FF" w:rsidRPr="00E84E4A" w:rsidRDefault="008A6C83" w:rsidP="000A3C22">
            <w:pPr>
              <w:widowControl w:val="0"/>
              <w:spacing w:after="120"/>
              <w:ind w:left="360"/>
              <w:rPr>
                <w:rStyle w:val="Hyperlink"/>
                <w:bCs/>
                <w:i/>
                <w:color w:val="auto"/>
                <w:u w:val="none"/>
              </w:rPr>
            </w:pPr>
            <w:r w:rsidRPr="00C36EA5">
              <w:rPr>
                <w:rStyle w:val="Hyperlink"/>
                <w:b/>
                <w:bCs/>
                <w:color w:val="auto"/>
                <w:u w:val="none"/>
              </w:rPr>
              <w:t>Secondary</w:t>
            </w:r>
            <w:r w:rsidRPr="008023FF">
              <w:rPr>
                <w:rStyle w:val="Hyperlink"/>
                <w:bCs/>
                <w:color w:val="auto"/>
                <w:u w:val="none"/>
              </w:rPr>
              <w:t xml:space="preserve"> issues </w:t>
            </w:r>
            <w:r w:rsidR="00391025" w:rsidRPr="008023FF">
              <w:rPr>
                <w:rStyle w:val="Hyperlink"/>
                <w:bCs/>
                <w:color w:val="auto"/>
                <w:u w:val="none"/>
              </w:rPr>
              <w:t xml:space="preserve">are conditions, not disease process </w:t>
            </w:r>
            <w:r w:rsidRPr="008023FF">
              <w:rPr>
                <w:rStyle w:val="Hyperlink"/>
                <w:bCs/>
                <w:color w:val="auto"/>
                <w:u w:val="none"/>
              </w:rPr>
              <w:t>– have to be claimed, effective date is date of claim or date entitlement arose,</w:t>
            </w:r>
            <w:r w:rsidR="00C36EA5">
              <w:rPr>
                <w:rStyle w:val="Hyperlink"/>
                <w:bCs/>
                <w:color w:val="auto"/>
                <w:u w:val="none"/>
              </w:rPr>
              <w:t xml:space="preserve"> use 3.400(b). C</w:t>
            </w:r>
            <w:r w:rsidRPr="008023FF">
              <w:rPr>
                <w:rStyle w:val="Hyperlink"/>
                <w:bCs/>
                <w:color w:val="auto"/>
                <w:u w:val="none"/>
              </w:rPr>
              <w:t>ann</w:t>
            </w:r>
            <w:r w:rsidR="008023FF">
              <w:rPr>
                <w:rStyle w:val="Hyperlink"/>
                <w:bCs/>
                <w:color w:val="auto"/>
                <w:u w:val="none"/>
              </w:rPr>
              <w:t>o</w:t>
            </w:r>
            <w:r w:rsidRPr="008023FF">
              <w:rPr>
                <w:rStyle w:val="Hyperlink"/>
                <w:bCs/>
                <w:color w:val="auto"/>
                <w:u w:val="none"/>
              </w:rPr>
              <w:t xml:space="preserve">t apply 3.157 (it’s </w:t>
            </w:r>
            <w:r w:rsidR="008023FF" w:rsidRPr="008023FF">
              <w:rPr>
                <w:rStyle w:val="Hyperlink"/>
                <w:bCs/>
                <w:color w:val="auto"/>
              </w:rPr>
              <w:t>not</w:t>
            </w:r>
            <w:r w:rsidR="008023FF">
              <w:rPr>
                <w:rStyle w:val="Hyperlink"/>
                <w:bCs/>
                <w:color w:val="auto"/>
                <w:u w:val="none"/>
              </w:rPr>
              <w:t xml:space="preserve"> </w:t>
            </w:r>
            <w:r w:rsidRPr="008023FF">
              <w:rPr>
                <w:rStyle w:val="Hyperlink"/>
                <w:bCs/>
                <w:color w:val="auto"/>
                <w:u w:val="none"/>
              </w:rPr>
              <w:t>a worsening</w:t>
            </w:r>
            <w:r w:rsidR="00C36EA5">
              <w:rPr>
                <w:rStyle w:val="Hyperlink"/>
                <w:bCs/>
                <w:color w:val="auto"/>
                <w:u w:val="none"/>
              </w:rPr>
              <w:t xml:space="preserve">). </w:t>
            </w:r>
            <w:r w:rsidR="00C36EA5">
              <w:rPr>
                <w:rStyle w:val="Hyperlink"/>
                <w:b/>
                <w:bCs/>
                <w:color w:val="auto"/>
                <w:u w:val="none"/>
              </w:rPr>
              <w:t>W</w:t>
            </w:r>
            <w:r w:rsidR="00391025" w:rsidRPr="00C36EA5">
              <w:rPr>
                <w:rStyle w:val="Hyperlink"/>
                <w:b/>
                <w:bCs/>
                <w:color w:val="auto"/>
                <w:u w:val="none"/>
              </w:rPr>
              <w:t>orsening</w:t>
            </w:r>
            <w:r w:rsidR="00391025" w:rsidRPr="008023FF">
              <w:rPr>
                <w:rStyle w:val="Hyperlink"/>
                <w:bCs/>
                <w:color w:val="auto"/>
                <w:u w:val="none"/>
              </w:rPr>
              <w:t xml:space="preserve"> is part of the disease process like </w:t>
            </w:r>
            <w:r w:rsidR="00B96FA9" w:rsidRPr="00E84E4A">
              <w:rPr>
                <w:rStyle w:val="Hyperlink"/>
                <w:bCs/>
                <w:i/>
                <w:color w:val="auto"/>
                <w:u w:val="none"/>
              </w:rPr>
              <w:t>radiculopathy</w:t>
            </w:r>
            <w:r w:rsidR="00391025" w:rsidRPr="00E84E4A">
              <w:rPr>
                <w:rStyle w:val="Hyperlink"/>
                <w:bCs/>
                <w:i/>
                <w:color w:val="auto"/>
                <w:u w:val="none"/>
              </w:rPr>
              <w:t xml:space="preserve">/neuropathy related to the spine </w:t>
            </w:r>
            <w:r w:rsidR="00391025" w:rsidRPr="00E84E4A">
              <w:rPr>
                <w:rStyle w:val="Hyperlink"/>
                <w:bCs/>
                <w:color w:val="auto"/>
                <w:u w:val="none"/>
              </w:rPr>
              <w:t>or d</w:t>
            </w:r>
            <w:r w:rsidR="00391025" w:rsidRPr="008023FF">
              <w:rPr>
                <w:rStyle w:val="Hyperlink"/>
                <w:bCs/>
                <w:color w:val="auto"/>
                <w:u w:val="none"/>
              </w:rPr>
              <w:t xml:space="preserve">iabetes common complications: </w:t>
            </w:r>
            <w:r w:rsidR="00391025" w:rsidRPr="00E52B68">
              <w:rPr>
                <w:rStyle w:val="Hyperlink"/>
                <w:bCs/>
                <w:color w:val="auto"/>
                <w:highlight w:val="darkGray"/>
                <w:u w:val="none"/>
              </w:rPr>
              <w:t>cataracts</w:t>
            </w:r>
            <w:r w:rsidR="00B20FAC" w:rsidRPr="008023FF">
              <w:rPr>
                <w:rStyle w:val="Hyperlink"/>
                <w:bCs/>
                <w:color w:val="auto"/>
                <w:u w:val="none"/>
              </w:rPr>
              <w:t xml:space="preserve"> (</w:t>
            </w:r>
            <w:r w:rsidR="00D617B1" w:rsidRPr="00D617B1">
              <w:rPr>
                <w:rStyle w:val="Hyperlink"/>
                <w:bCs/>
                <w:i/>
                <w:color w:val="00B050"/>
                <w:u w:val="none"/>
              </w:rPr>
              <w:t>My Notes</w:t>
            </w:r>
            <w:r w:rsidR="00D617B1" w:rsidRPr="00D617B1">
              <w:rPr>
                <w:rStyle w:val="Hyperlink"/>
                <w:bCs/>
                <w:i/>
                <w:color w:val="auto"/>
                <w:u w:val="none"/>
              </w:rPr>
              <w:t xml:space="preserve">:  </w:t>
            </w:r>
            <w:r w:rsidR="00B20FAC" w:rsidRPr="00D36CD9">
              <w:rPr>
                <w:rStyle w:val="Hyperlink"/>
                <w:bCs/>
                <w:i/>
                <w:color w:val="auto"/>
                <w:u w:val="none"/>
              </w:rPr>
              <w:t>I think he means retinopathy, per the DBQ)</w:t>
            </w:r>
            <w:r w:rsidR="00391025" w:rsidRPr="00D36CD9">
              <w:rPr>
                <w:rStyle w:val="Hyperlink"/>
                <w:bCs/>
                <w:i/>
                <w:color w:val="auto"/>
                <w:u w:val="none"/>
              </w:rPr>
              <w:t>, peripheral neuropathy &amp; nephropathy</w:t>
            </w:r>
            <w:r w:rsidRPr="00D36CD9">
              <w:rPr>
                <w:rStyle w:val="Hyperlink"/>
                <w:bCs/>
                <w:i/>
                <w:color w:val="auto"/>
                <w:u w:val="none"/>
              </w:rPr>
              <w:t>)</w:t>
            </w:r>
            <w:r w:rsidR="00C36EA5" w:rsidRPr="00D36CD9">
              <w:rPr>
                <w:rStyle w:val="Hyperlink"/>
                <w:bCs/>
                <w:i/>
                <w:color w:val="auto"/>
                <w:u w:val="none"/>
              </w:rPr>
              <w:t>. Use 3.400(o) &amp; potentially 3.157</w:t>
            </w:r>
            <w:r w:rsidR="00C36EA5">
              <w:rPr>
                <w:rStyle w:val="Hyperlink"/>
                <w:bCs/>
                <w:color w:val="auto"/>
                <w:u w:val="none"/>
              </w:rPr>
              <w:t>.</w:t>
            </w:r>
            <w:r w:rsidR="00B96FA9">
              <w:rPr>
                <w:rStyle w:val="Hyperlink"/>
                <w:bCs/>
                <w:color w:val="auto"/>
                <w:u w:val="none"/>
              </w:rPr>
              <w:t xml:space="preserve"> –</w:t>
            </w:r>
            <w:r w:rsidR="00E84E4A">
              <w:rPr>
                <w:rStyle w:val="Hyperlink"/>
                <w:bCs/>
                <w:color w:val="auto"/>
                <w:u w:val="none"/>
              </w:rPr>
              <w:t xml:space="preserve"> </w:t>
            </w:r>
            <w:r w:rsidR="00E84E4A" w:rsidRPr="00E52B68">
              <w:rPr>
                <w:rStyle w:val="Hyperlink"/>
                <w:bCs/>
                <w:i/>
                <w:color w:val="auto"/>
                <w:highlight w:val="darkGray"/>
                <w:u w:val="none"/>
              </w:rPr>
              <w:t>Carlos Rosario says</w:t>
            </w:r>
            <w:r w:rsidR="00B96FA9" w:rsidRPr="00E52B68">
              <w:rPr>
                <w:rStyle w:val="Hyperlink"/>
                <w:bCs/>
                <w:i/>
                <w:color w:val="auto"/>
                <w:highlight w:val="darkGray"/>
                <w:u w:val="none"/>
              </w:rPr>
              <w:t xml:space="preserve"> radiculopathy related to the spine is not a disease pr</w:t>
            </w:r>
            <w:r w:rsidR="00E84E4A" w:rsidRPr="00E52B68">
              <w:rPr>
                <w:rStyle w:val="Hyperlink"/>
                <w:bCs/>
                <w:i/>
                <w:color w:val="auto"/>
                <w:highlight w:val="darkGray"/>
                <w:u w:val="none"/>
              </w:rPr>
              <w:t>ocess, not worsening,</w:t>
            </w:r>
            <w:r w:rsidR="00F53D48">
              <w:rPr>
                <w:rStyle w:val="Hyperlink"/>
                <w:bCs/>
                <w:i/>
                <w:color w:val="auto"/>
                <w:u w:val="none"/>
              </w:rPr>
              <w:t xml:space="preserve"> but RVSR Assistant says </w:t>
            </w:r>
            <w:r w:rsidR="00E84E4A">
              <w:rPr>
                <w:rStyle w:val="Hyperlink"/>
                <w:bCs/>
                <w:i/>
                <w:color w:val="auto"/>
                <w:u w:val="none"/>
              </w:rPr>
              <w:t>it’s a common complication</w:t>
            </w:r>
            <w:r w:rsidR="00935374">
              <w:rPr>
                <w:rStyle w:val="Hyperlink"/>
                <w:bCs/>
                <w:i/>
                <w:color w:val="auto"/>
                <w:u w:val="none"/>
              </w:rPr>
              <w:t xml:space="preserve"> &amp; the 2/9/17 change to </w:t>
            </w:r>
            <w:r w:rsidR="00E76AD0" w:rsidRPr="00E76AD0">
              <w:rPr>
                <w:rStyle w:val="Strong"/>
                <w:bCs w:val="0"/>
                <w:szCs w:val="21"/>
              </w:rPr>
              <w:t>III.iv.4.A.5</w:t>
            </w:r>
            <w:r w:rsidR="00935374" w:rsidRPr="00E76AD0">
              <w:rPr>
                <w:rStyle w:val="Strong"/>
                <w:bCs w:val="0"/>
                <w:szCs w:val="21"/>
              </w:rPr>
              <w:t>.a</w:t>
            </w:r>
            <w:r w:rsidR="00935374" w:rsidRPr="00935374">
              <w:rPr>
                <w:rStyle w:val="Hyperlink"/>
                <w:bCs/>
                <w:i/>
                <w:color w:val="auto"/>
                <w:sz w:val="18"/>
                <w:u w:val="none"/>
              </w:rPr>
              <w:t xml:space="preserve"> </w:t>
            </w:r>
            <w:r w:rsidR="00935374">
              <w:rPr>
                <w:rStyle w:val="Hyperlink"/>
                <w:bCs/>
                <w:i/>
                <w:color w:val="auto"/>
                <w:u w:val="none"/>
              </w:rPr>
              <w:t>confirms “</w:t>
            </w:r>
            <w:r w:rsidR="00935374" w:rsidRPr="00935374">
              <w:rPr>
                <w:szCs w:val="21"/>
              </w:rPr>
              <w:t xml:space="preserve">spinal disease can cause objective neurological abnormalities, onset of a neurological complication represents medical progression or worsening of the spinal disease.  For that reason and because neurological complications of spinal disease are contemplated in the evaluation criteria for spinal conditions under </w:t>
            </w:r>
            <w:hyperlink r:id="rId331" w:history="1">
              <w:r w:rsidR="00935374" w:rsidRPr="00935374">
                <w:rPr>
                  <w:rStyle w:val="Hyperlink"/>
                  <w:szCs w:val="21"/>
                </w:rPr>
                <w:t>38 CFR 4.71a</w:t>
              </w:r>
            </w:hyperlink>
            <w:r w:rsidR="00935374" w:rsidRPr="00935374">
              <w:rPr>
                <w:szCs w:val="21"/>
              </w:rPr>
              <w:t>, a claim asserting new complications of spinal disease is a claim for increase rather than a claim for secondary SC</w:t>
            </w:r>
            <w:r w:rsidR="00935374">
              <w:rPr>
                <w:rStyle w:val="Hyperlink"/>
                <w:bCs/>
                <w:i/>
                <w:color w:val="auto"/>
                <w:u w:val="none"/>
              </w:rPr>
              <w:t xml:space="preserve">”; </w:t>
            </w:r>
            <w:r w:rsidR="00E84E4A">
              <w:rPr>
                <w:rStyle w:val="Hyperlink"/>
                <w:bCs/>
                <w:i/>
                <w:color w:val="auto"/>
                <w:u w:val="none"/>
              </w:rPr>
              <w:t>we can do the date of factual entitlement (if the claim is received within one year) or with VA</w:t>
            </w:r>
            <w:r w:rsidR="00200FF0">
              <w:rPr>
                <w:rStyle w:val="Hyperlink"/>
                <w:bCs/>
                <w:i/>
                <w:color w:val="auto"/>
                <w:u w:val="none"/>
              </w:rPr>
              <w:t xml:space="preserve"> </w:t>
            </w:r>
            <w:r w:rsidR="00E84E4A">
              <w:rPr>
                <w:rStyle w:val="Hyperlink"/>
                <w:bCs/>
                <w:i/>
                <w:color w:val="auto"/>
                <w:u w:val="none"/>
              </w:rPr>
              <w:t>/</w:t>
            </w:r>
            <w:r w:rsidR="00200FF0">
              <w:rPr>
                <w:rStyle w:val="Hyperlink"/>
                <w:bCs/>
                <w:i/>
                <w:color w:val="auto"/>
                <w:u w:val="none"/>
              </w:rPr>
              <w:t xml:space="preserve"> </w:t>
            </w:r>
            <w:r w:rsidR="00E84E4A">
              <w:rPr>
                <w:rStyle w:val="Hyperlink"/>
                <w:bCs/>
                <w:i/>
                <w:color w:val="auto"/>
                <w:u w:val="none"/>
              </w:rPr>
              <w:t xml:space="preserve">military </w:t>
            </w:r>
            <w:r w:rsidR="00E84E4A" w:rsidRPr="00200FF0">
              <w:rPr>
                <w:rStyle w:val="Hyperlink"/>
                <w:bCs/>
                <w:i/>
                <w:color w:val="auto"/>
                <w:u w:val="none"/>
              </w:rPr>
              <w:t>hospital</w:t>
            </w:r>
            <w:r w:rsidR="00D05871">
              <w:rPr>
                <w:rStyle w:val="Hyperlink"/>
                <w:bCs/>
                <w:i/>
                <w:color w:val="auto"/>
                <w:u w:val="none"/>
              </w:rPr>
              <w:t xml:space="preserve"> /</w:t>
            </w:r>
            <w:r w:rsidR="00E84E4A" w:rsidRPr="00200FF0">
              <w:rPr>
                <w:rStyle w:val="Hyperlink"/>
                <w:bCs/>
                <w:i/>
                <w:color w:val="auto"/>
                <w:u w:val="none"/>
              </w:rPr>
              <w:t xml:space="preserve"> </w:t>
            </w:r>
            <w:r w:rsidR="00200FF0" w:rsidRPr="00200FF0">
              <w:rPr>
                <w:i/>
              </w:rPr>
              <w:t>Military Treatment Facility / MTF</w:t>
            </w:r>
            <w:r w:rsidR="00200FF0">
              <w:t xml:space="preserve"> </w:t>
            </w:r>
            <w:r w:rsidR="00E84E4A">
              <w:rPr>
                <w:rStyle w:val="Hyperlink"/>
                <w:bCs/>
                <w:i/>
                <w:color w:val="auto"/>
                <w:u w:val="none"/>
              </w:rPr>
              <w:t>TRs, we can use the date of admission/exam as the date of claim [examples are stroke as medically-known common complication of hypertension and PVD as medically-known common complication of DM]</w:t>
            </w:r>
            <w:r w:rsidR="008D2182">
              <w:rPr>
                <w:rStyle w:val="Hyperlink"/>
                <w:bCs/>
                <w:i/>
                <w:color w:val="auto"/>
                <w:u w:val="none"/>
              </w:rPr>
              <w:t xml:space="preserve"> </w:t>
            </w:r>
            <w:r w:rsidR="008D2182" w:rsidRPr="00E61CBC">
              <w:rPr>
                <w:rStyle w:val="Hyperlink"/>
                <w:bCs/>
                <w:i/>
                <w:color w:val="auto"/>
                <w:u w:val="none"/>
              </w:rPr>
              <w:t xml:space="preserve">*Note that </w:t>
            </w:r>
            <w:r w:rsidR="008D2182" w:rsidRPr="00000E48">
              <w:rPr>
                <w:b/>
                <w:bCs/>
                <w:i/>
              </w:rPr>
              <w:t xml:space="preserve">November 2013 </w:t>
            </w:r>
            <w:r w:rsidR="00EB6F0B" w:rsidRPr="00000E48">
              <w:rPr>
                <w:b/>
                <w:bCs/>
                <w:i/>
              </w:rPr>
              <w:t>Compensation Service Bulletin (CSB)</w:t>
            </w:r>
            <w:r w:rsidR="008D2182" w:rsidRPr="00E61CBC">
              <w:rPr>
                <w:rStyle w:val="Hyperlink"/>
                <w:bCs/>
                <w:i/>
                <w:color w:val="auto"/>
                <w:u w:val="none"/>
              </w:rPr>
              <w:t xml:space="preserve"> says effective date</w:t>
            </w:r>
            <w:r w:rsidR="00E61CBC" w:rsidRPr="00E61CBC">
              <w:rPr>
                <w:rStyle w:val="Hyperlink"/>
                <w:bCs/>
                <w:i/>
                <w:color w:val="auto"/>
                <w:u w:val="none"/>
              </w:rPr>
              <w:t xml:space="preserve"> for stroke/CVA &amp; nephrosclerosis &amp; myocardial damage/coronary occlusion (conds listed at </w:t>
            </w:r>
            <w:r w:rsidR="009474D3">
              <w:rPr>
                <w:rStyle w:val="Hyperlink"/>
                <w:b/>
                <w:bCs/>
                <w:i/>
                <w:color w:val="auto"/>
                <w:u w:val="none"/>
              </w:rPr>
              <w:t>III.iv.4.G</w:t>
            </w:r>
            <w:r w:rsidR="00E61CBC" w:rsidRPr="00E61CBC">
              <w:rPr>
                <w:rStyle w:val="Hyperlink"/>
                <w:b/>
                <w:bCs/>
                <w:i/>
                <w:color w:val="auto"/>
                <w:u w:val="none"/>
              </w:rPr>
              <w:t>.</w:t>
            </w:r>
            <w:r w:rsidR="009474D3">
              <w:rPr>
                <w:rStyle w:val="Hyperlink"/>
                <w:b/>
                <w:bCs/>
                <w:i/>
                <w:color w:val="auto"/>
                <w:u w:val="none"/>
              </w:rPr>
              <w:t>3</w:t>
            </w:r>
            <w:r w:rsidR="00E61CBC" w:rsidRPr="00E61CBC">
              <w:rPr>
                <w:rStyle w:val="Hyperlink"/>
                <w:b/>
                <w:bCs/>
                <w:i/>
                <w:color w:val="auto"/>
                <w:u w:val="none"/>
              </w:rPr>
              <w:t>.</w:t>
            </w:r>
            <w:r w:rsidR="00E35C8E">
              <w:rPr>
                <w:rStyle w:val="Hyperlink"/>
                <w:b/>
                <w:bCs/>
                <w:i/>
                <w:color w:val="auto"/>
                <w:u w:val="none"/>
              </w:rPr>
              <w:t>g</w:t>
            </w:r>
            <w:r w:rsidR="00E61CBC" w:rsidRPr="00E61CBC">
              <w:rPr>
                <w:rStyle w:val="Hyperlink"/>
                <w:bCs/>
                <w:i/>
                <w:color w:val="auto"/>
                <w:u w:val="none"/>
              </w:rPr>
              <w:t>)</w:t>
            </w:r>
            <w:r w:rsidR="008D2182" w:rsidRPr="00E61CBC">
              <w:rPr>
                <w:rStyle w:val="Hyperlink"/>
                <w:bCs/>
                <w:i/>
                <w:color w:val="auto"/>
                <w:u w:val="none"/>
              </w:rPr>
              <w:t xml:space="preserve"> is date of claim or date entitlement arose, cannot apply 3.157 or 3.400 (it’s not a worsening of hypertension)</w:t>
            </w:r>
          </w:p>
          <w:p w:rsidR="008A6C83" w:rsidRPr="00EB5B15" w:rsidRDefault="008023FF" w:rsidP="000A3C22">
            <w:pPr>
              <w:widowControl w:val="0"/>
              <w:spacing w:after="120"/>
              <w:ind w:left="360"/>
              <w:rPr>
                <w:rStyle w:val="Hyperlink"/>
                <w:bCs/>
                <w:color w:val="auto"/>
                <w:u w:val="none"/>
              </w:rPr>
            </w:pPr>
            <w:r>
              <w:rPr>
                <w:rStyle w:val="Hyperlink"/>
                <w:bCs/>
                <w:color w:val="auto"/>
                <w:u w:val="none"/>
              </w:rPr>
              <w:t>3.400 – can go back 1 year if increase is “factually accertainable</w:t>
            </w:r>
            <w:r w:rsidR="001946CC">
              <w:rPr>
                <w:rStyle w:val="Hyperlink"/>
                <w:bCs/>
                <w:color w:val="auto"/>
                <w:u w:val="none"/>
              </w:rPr>
              <w:t>.”</w:t>
            </w:r>
            <w:r>
              <w:rPr>
                <w:rStyle w:val="Hyperlink"/>
                <w:bCs/>
                <w:color w:val="auto"/>
                <w:u w:val="none"/>
              </w:rPr>
              <w:t xml:space="preserve"> 3.157 – VA or Military Hospital </w:t>
            </w:r>
            <w:r w:rsidR="00200FF0">
              <w:rPr>
                <w:rStyle w:val="Hyperlink"/>
                <w:bCs/>
                <w:color w:val="auto"/>
                <w:u w:val="none"/>
              </w:rPr>
              <w:t xml:space="preserve">/ </w:t>
            </w:r>
            <w:r w:rsidR="00200FF0">
              <w:t xml:space="preserve">Military Treatment Facility / MTF </w:t>
            </w:r>
            <w:r>
              <w:rPr>
                <w:rStyle w:val="Hyperlink"/>
                <w:bCs/>
                <w:color w:val="auto"/>
                <w:u w:val="none"/>
              </w:rPr>
              <w:t xml:space="preserve">records – can go back more than 1 year; Private limited to 1 year by 3.400. 3.157 – can infer CFI or reopen with VA or Military Hospital </w:t>
            </w:r>
            <w:r w:rsidR="00200FF0">
              <w:rPr>
                <w:rStyle w:val="Hyperlink"/>
                <w:bCs/>
                <w:color w:val="auto"/>
                <w:u w:val="none"/>
              </w:rPr>
              <w:t xml:space="preserve">/ </w:t>
            </w:r>
            <w:r w:rsidR="00200FF0">
              <w:t xml:space="preserve">Military Treatment Facility / MTF </w:t>
            </w:r>
            <w:r>
              <w:rPr>
                <w:rStyle w:val="Hyperlink"/>
                <w:bCs/>
                <w:color w:val="auto"/>
                <w:u w:val="none"/>
              </w:rPr>
              <w:t xml:space="preserve">records (if don’t have actual claim from veteran) &amp; date of claim is the date of receipt of the VA or Military Hospital </w:t>
            </w:r>
            <w:r w:rsidR="00200FF0">
              <w:rPr>
                <w:rStyle w:val="Hyperlink"/>
                <w:bCs/>
                <w:color w:val="auto"/>
                <w:u w:val="none"/>
              </w:rPr>
              <w:t xml:space="preserve">/ </w:t>
            </w:r>
            <w:r w:rsidR="00200FF0">
              <w:t xml:space="preserve">Military Treatment Facility / MTF </w:t>
            </w:r>
            <w:r>
              <w:rPr>
                <w:rStyle w:val="Hyperlink"/>
                <w:bCs/>
                <w:color w:val="auto"/>
                <w:u w:val="none"/>
              </w:rPr>
              <w:t>records [i.e. have a claim for something else, but receive records for SC cond or previously denied condition, can use those records to grant increase, or reopen claim if they are N&amp;M]</w:t>
            </w:r>
            <w:r w:rsidR="00C36EA5">
              <w:rPr>
                <w:rStyle w:val="Hyperlink"/>
                <w:bCs/>
                <w:color w:val="auto"/>
                <w:u w:val="none"/>
              </w:rPr>
              <w:t xml:space="preserve">. A claim for diabetes includes a claim for all complications. </w:t>
            </w:r>
            <w:r w:rsidR="00C36EA5" w:rsidRPr="00000E48">
              <w:rPr>
                <w:rFonts w:eastAsiaTheme="minorHAnsi"/>
                <w:b/>
                <w:i/>
              </w:rPr>
              <w:t>Ellington v. Nicholson</w:t>
            </w:r>
            <w:r w:rsidR="00C36EA5">
              <w:rPr>
                <w:rStyle w:val="Hyperlink"/>
                <w:rFonts w:eastAsiaTheme="minorHAnsi"/>
                <w:u w:val="none"/>
              </w:rPr>
              <w:t xml:space="preserve">, </w:t>
            </w:r>
            <w:r w:rsidR="00C36EA5" w:rsidRPr="00000E48">
              <w:rPr>
                <w:b/>
                <w:bCs/>
                <w:i/>
                <w:iCs/>
              </w:rPr>
              <w:t xml:space="preserve">December 2008 </w:t>
            </w:r>
            <w:r w:rsidR="00EB6F0B" w:rsidRPr="00000E48">
              <w:rPr>
                <w:b/>
                <w:bCs/>
                <w:i/>
                <w:iCs/>
              </w:rPr>
              <w:t>Compensation Service Bulletin (CSB)</w:t>
            </w:r>
            <w:r w:rsidR="00C36EA5">
              <w:rPr>
                <w:rStyle w:val="Hyperlink"/>
                <w:rFonts w:eastAsiaTheme="minorHAnsi"/>
                <w:u w:val="none"/>
              </w:rPr>
              <w:t xml:space="preserve">, </w:t>
            </w:r>
            <w:r w:rsidR="00C36EA5" w:rsidRPr="00000E48">
              <w:rPr>
                <w:b/>
                <w:bCs/>
                <w:i/>
                <w:iCs/>
              </w:rPr>
              <w:t xml:space="preserve">March 2009 </w:t>
            </w:r>
            <w:r w:rsidR="00EB6F0B" w:rsidRPr="00000E48">
              <w:rPr>
                <w:b/>
                <w:bCs/>
                <w:i/>
                <w:iCs/>
              </w:rPr>
              <w:t>Compensation Service Bulletin (CSB)</w:t>
            </w:r>
            <w:r w:rsidR="00EB5B15">
              <w:rPr>
                <w:rStyle w:val="Hyperlink"/>
                <w:bCs/>
                <w:iCs/>
                <w:u w:val="none"/>
              </w:rPr>
              <w:t>, January 2011 QA Times</w:t>
            </w:r>
          </w:p>
          <w:p w:rsidR="008023FF" w:rsidRDefault="008023FF" w:rsidP="000A3C22">
            <w:pPr>
              <w:widowControl w:val="0"/>
              <w:spacing w:after="120"/>
              <w:ind w:left="360"/>
              <w:rPr>
                <w:rStyle w:val="Hyperlink"/>
                <w:bCs/>
                <w:color w:val="auto"/>
                <w:u w:val="none"/>
              </w:rPr>
            </w:pPr>
            <w:r>
              <w:rPr>
                <w:rStyle w:val="Hyperlink"/>
                <w:bCs/>
                <w:color w:val="auto"/>
                <w:u w:val="none"/>
              </w:rPr>
              <w:t>FDC claims – for original claims rec’d 8/6/13-8/5/15, can pay up to 1 year prior to receipt of claim</w:t>
            </w:r>
          </w:p>
          <w:p w:rsidR="008023FF" w:rsidRDefault="008023FF" w:rsidP="000A3C22">
            <w:pPr>
              <w:widowControl w:val="0"/>
              <w:spacing w:after="120"/>
              <w:ind w:left="360"/>
              <w:rPr>
                <w:rStyle w:val="Hyperlink"/>
                <w:bCs/>
                <w:color w:val="auto"/>
                <w:u w:val="none"/>
              </w:rPr>
            </w:pPr>
            <w:r>
              <w:rPr>
                <w:rStyle w:val="Hyperlink"/>
                <w:bCs/>
                <w:color w:val="auto"/>
                <w:u w:val="none"/>
              </w:rPr>
              <w:t xml:space="preserve">DIC </w:t>
            </w:r>
            <w:r w:rsidR="004F315B">
              <w:rPr>
                <w:rStyle w:val="Hyperlink"/>
                <w:bCs/>
                <w:color w:val="auto"/>
                <w:u w:val="none"/>
              </w:rPr>
              <w:t>effective date</w:t>
            </w:r>
            <w:r>
              <w:rPr>
                <w:rStyle w:val="Hyperlink"/>
                <w:bCs/>
                <w:color w:val="auto"/>
                <w:u w:val="none"/>
              </w:rPr>
              <w:t xml:space="preserve"> is first day of month of death</w:t>
            </w:r>
          </w:p>
          <w:p w:rsidR="00162E83" w:rsidRDefault="008023FF" w:rsidP="00162E83">
            <w:pPr>
              <w:widowControl w:val="0"/>
              <w:spacing w:after="120"/>
              <w:ind w:left="360"/>
              <w:rPr>
                <w:rStyle w:val="Hyperlink"/>
                <w:bCs/>
                <w:color w:val="auto"/>
                <w:u w:val="none"/>
              </w:rPr>
            </w:pPr>
            <w:r>
              <w:rPr>
                <w:rStyle w:val="Hyperlink"/>
                <w:bCs/>
                <w:color w:val="auto"/>
                <w:u w:val="none"/>
              </w:rPr>
              <w:t xml:space="preserve">Symptoms of a potential secondary condition at VAE (veteran says L hip hurts secondary to SC L knee &amp; examiner gives positive secondary opinion </w:t>
            </w:r>
            <w:r w:rsidR="000A3C22">
              <w:rPr>
                <w:rStyle w:val="Hyperlink"/>
                <w:bCs/>
                <w:color w:val="auto"/>
                <w:u w:val="none"/>
              </w:rPr>
              <w:t>–</w:t>
            </w:r>
            <w:r>
              <w:rPr>
                <w:rStyle w:val="Hyperlink"/>
                <w:bCs/>
                <w:color w:val="auto"/>
                <w:u w:val="none"/>
              </w:rPr>
              <w:t xml:space="preserve"> </w:t>
            </w:r>
            <w:r w:rsidR="000A3C22">
              <w:rPr>
                <w:rStyle w:val="Hyperlink"/>
                <w:bCs/>
                <w:color w:val="auto"/>
                <w:u w:val="none"/>
              </w:rPr>
              <w:t>can be considered informal claim</w:t>
            </w:r>
          </w:p>
          <w:p w:rsidR="00EA64D3" w:rsidRPr="00784B24" w:rsidRDefault="00EA64D3" w:rsidP="00F063AF">
            <w:pPr>
              <w:pStyle w:val="Heading1"/>
              <w:numPr>
                <w:ilvl w:val="0"/>
                <w:numId w:val="214"/>
              </w:numPr>
              <w:tabs>
                <w:tab w:val="left" w:pos="330"/>
              </w:tabs>
              <w:spacing w:after="120"/>
              <w:ind w:left="331"/>
              <w:rPr>
                <w:rStyle w:val="itemtitle"/>
                <w:b/>
                <w:sz w:val="20"/>
                <w:u w:val="single"/>
              </w:rPr>
            </w:pPr>
            <w:r w:rsidRPr="00784B24">
              <w:rPr>
                <w:rStyle w:val="itemtitle"/>
                <w:b/>
                <w:sz w:val="20"/>
                <w:u w:val="single"/>
              </w:rPr>
              <w:t>Fully Developed Claims (FDC) Refresher Training</w:t>
            </w:r>
          </w:p>
          <w:p w:rsidR="00EA64D3" w:rsidRPr="00784B24" w:rsidRDefault="00EA64D3" w:rsidP="00EA64D3">
            <w:pPr>
              <w:pStyle w:val="Heading1"/>
              <w:ind w:left="330"/>
              <w:rPr>
                <w:sz w:val="20"/>
              </w:rPr>
            </w:pPr>
            <w:r w:rsidRPr="00784B24">
              <w:rPr>
                <w:sz w:val="20"/>
              </w:rPr>
              <w:t>38 CFR 3.114 Effective Date Criteria</w:t>
            </w:r>
          </w:p>
          <w:p w:rsidR="00EA64D3" w:rsidRDefault="00EA64D3" w:rsidP="00EA64D3">
            <w:pPr>
              <w:spacing w:after="240" w:line="270" w:lineRule="atLeast"/>
              <w:ind w:left="330"/>
              <w:rPr>
                <w:rFonts w:ascii="Tahoma" w:hAnsi="Tahoma" w:cs="Tahoma"/>
              </w:rPr>
            </w:pPr>
            <w:r w:rsidRPr="00784B24">
              <w:t>If the claim does not meet the FDC program requirements</w:t>
            </w:r>
            <w:r>
              <w:rPr>
                <w:rFonts w:ascii="Tahoma" w:hAnsi="Tahoma" w:cs="Tahoma"/>
              </w:rPr>
              <w:t>, you should assign an effective date under the 38 CFR 3.114 Liberalizing Law guidelines, when applicable. Specifically, if the claimant met all eligibility criteria for the liberalized benefit on the effective date of the liberalizing law or VA issue, then apply 38 CFR 3.114 as follows:</w:t>
            </w:r>
          </w:p>
          <w:tbl>
            <w:tblPr>
              <w:tblW w:w="4637" w:type="pct"/>
              <w:tblCellSpacing w:w="15" w:type="dxa"/>
              <w:tblInd w:w="322" w:type="dxa"/>
              <w:tblBorders>
                <w:top w:val="single" w:sz="12" w:space="0" w:color="000000"/>
                <w:left w:val="single" w:sz="12" w:space="0" w:color="000000"/>
                <w:bottom w:val="single" w:sz="12" w:space="0" w:color="000000"/>
                <w:right w:val="single" w:sz="12" w:space="0" w:color="000000"/>
              </w:tblBorders>
              <w:tblLayout w:type="fixed"/>
              <w:tblCellMar>
                <w:top w:w="15" w:type="dxa"/>
                <w:left w:w="15" w:type="dxa"/>
                <w:bottom w:w="15" w:type="dxa"/>
                <w:right w:w="15" w:type="dxa"/>
              </w:tblCellMar>
              <w:tblLook w:val="04A0" w:firstRow="1" w:lastRow="0" w:firstColumn="1" w:lastColumn="0" w:noHBand="0" w:noVBand="1"/>
              <w:tblDescription w:val=""/>
            </w:tblPr>
            <w:tblGrid>
              <w:gridCol w:w="5889"/>
              <w:gridCol w:w="3472"/>
            </w:tblGrid>
            <w:tr w:rsidR="00EA64D3" w:rsidTr="00EA64D3">
              <w:trPr>
                <w:tblCellSpacing w:w="15" w:type="dxa"/>
              </w:trPr>
              <w:tc>
                <w:tcPr>
                  <w:tcW w:w="3121" w:type="pct"/>
                  <w:tcBorders>
                    <w:top w:val="outset" w:sz="6" w:space="0" w:color="auto"/>
                    <w:left w:val="outset" w:sz="6" w:space="0" w:color="auto"/>
                    <w:bottom w:val="outset" w:sz="6" w:space="0" w:color="auto"/>
                    <w:right w:val="outset" w:sz="6" w:space="0" w:color="auto"/>
                  </w:tcBorders>
                  <w:shd w:val="clear" w:color="auto" w:fill="FFCC33"/>
                  <w:tcMar>
                    <w:top w:w="30" w:type="dxa"/>
                    <w:left w:w="30" w:type="dxa"/>
                    <w:bottom w:w="30" w:type="dxa"/>
                    <w:right w:w="30" w:type="dxa"/>
                  </w:tcMar>
                  <w:vAlign w:val="center"/>
                  <w:hideMark/>
                </w:tcPr>
                <w:p w:rsidR="00EA64D3" w:rsidRDefault="00EA64D3" w:rsidP="00EA64D3">
                  <w:pPr>
                    <w:spacing w:line="270" w:lineRule="atLeast"/>
                    <w:ind w:left="330"/>
                    <w:jc w:val="center"/>
                    <w:rPr>
                      <w:rFonts w:ascii="Tahoma" w:hAnsi="Tahoma" w:cs="Tahoma"/>
                      <w:b/>
                      <w:bCs/>
                      <w:sz w:val="24"/>
                      <w:szCs w:val="24"/>
                    </w:rPr>
                  </w:pPr>
                  <w:r>
                    <w:rPr>
                      <w:rFonts w:ascii="Tahoma" w:hAnsi="Tahoma" w:cs="Tahoma"/>
                      <w:b/>
                      <w:bCs/>
                    </w:rPr>
                    <w:t>If claim is reviewed...</w:t>
                  </w:r>
                </w:p>
              </w:tc>
              <w:tc>
                <w:tcPr>
                  <w:tcW w:w="1830" w:type="pct"/>
                  <w:tcBorders>
                    <w:top w:val="outset" w:sz="6" w:space="0" w:color="auto"/>
                    <w:left w:val="outset" w:sz="6" w:space="0" w:color="auto"/>
                    <w:bottom w:val="outset" w:sz="6" w:space="0" w:color="auto"/>
                    <w:right w:val="outset" w:sz="6" w:space="0" w:color="auto"/>
                  </w:tcBorders>
                  <w:shd w:val="clear" w:color="auto" w:fill="FFCC33"/>
                  <w:tcMar>
                    <w:top w:w="30" w:type="dxa"/>
                    <w:left w:w="30" w:type="dxa"/>
                    <w:bottom w:w="30" w:type="dxa"/>
                    <w:right w:w="30" w:type="dxa"/>
                  </w:tcMar>
                  <w:vAlign w:val="center"/>
                  <w:hideMark/>
                </w:tcPr>
                <w:p w:rsidR="00EA64D3" w:rsidRDefault="00EA64D3" w:rsidP="00EA64D3">
                  <w:pPr>
                    <w:spacing w:line="270" w:lineRule="atLeast"/>
                    <w:ind w:left="330"/>
                    <w:jc w:val="center"/>
                    <w:rPr>
                      <w:rFonts w:ascii="Tahoma" w:hAnsi="Tahoma" w:cs="Tahoma"/>
                      <w:b/>
                      <w:bCs/>
                      <w:sz w:val="24"/>
                      <w:szCs w:val="24"/>
                    </w:rPr>
                  </w:pPr>
                  <w:r>
                    <w:rPr>
                      <w:rFonts w:ascii="Tahoma" w:hAnsi="Tahoma" w:cs="Tahoma"/>
                      <w:b/>
                      <w:bCs/>
                    </w:rPr>
                    <w:t>Effective date</w:t>
                  </w:r>
                </w:p>
              </w:tc>
            </w:tr>
            <w:tr w:rsidR="00EA64D3" w:rsidTr="00EA64D3">
              <w:trPr>
                <w:tblCellSpacing w:w="15" w:type="dxa"/>
              </w:trPr>
              <w:tc>
                <w:tcPr>
                  <w:tcW w:w="3121" w:type="pc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EA64D3" w:rsidRDefault="00EA64D3" w:rsidP="00EA64D3">
                  <w:pPr>
                    <w:spacing w:line="270" w:lineRule="atLeast"/>
                    <w:ind w:left="150"/>
                    <w:rPr>
                      <w:rFonts w:ascii="Tahoma" w:hAnsi="Tahoma" w:cs="Tahoma"/>
                      <w:sz w:val="24"/>
                      <w:szCs w:val="24"/>
                    </w:rPr>
                  </w:pPr>
                  <w:r>
                    <w:rPr>
                      <w:rFonts w:ascii="Tahoma" w:hAnsi="Tahoma" w:cs="Tahoma"/>
                    </w:rPr>
                    <w:t>On the initiative of the VA within one year from the effective date of the law or VA issue</w:t>
                  </w:r>
                </w:p>
              </w:tc>
              <w:tc>
                <w:tcPr>
                  <w:tcW w:w="1830" w:type="pc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EA64D3" w:rsidRDefault="00EA64D3" w:rsidP="00EA64D3">
                  <w:pPr>
                    <w:spacing w:line="270" w:lineRule="atLeast"/>
                    <w:ind w:left="126"/>
                    <w:rPr>
                      <w:rFonts w:ascii="Tahoma" w:hAnsi="Tahoma" w:cs="Tahoma"/>
                      <w:sz w:val="24"/>
                      <w:szCs w:val="24"/>
                    </w:rPr>
                  </w:pPr>
                  <w:r>
                    <w:rPr>
                      <w:rFonts w:ascii="Tahoma" w:hAnsi="Tahoma" w:cs="Tahoma"/>
                    </w:rPr>
                    <w:t>Date that the law or issue was authorized</w:t>
                  </w:r>
                </w:p>
              </w:tc>
            </w:tr>
            <w:tr w:rsidR="00EA64D3" w:rsidTr="00EA64D3">
              <w:trPr>
                <w:tblCellSpacing w:w="15" w:type="dxa"/>
              </w:trPr>
              <w:tc>
                <w:tcPr>
                  <w:tcW w:w="3121" w:type="pc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EA64D3" w:rsidRDefault="00EA64D3" w:rsidP="00A36F33">
                  <w:pPr>
                    <w:spacing w:line="270" w:lineRule="atLeast"/>
                    <w:ind w:left="150"/>
                    <w:rPr>
                      <w:rFonts w:ascii="Tahoma" w:hAnsi="Tahoma" w:cs="Tahoma"/>
                      <w:sz w:val="24"/>
                      <w:szCs w:val="24"/>
                    </w:rPr>
                  </w:pPr>
                  <w:r>
                    <w:rPr>
                      <w:rFonts w:ascii="Tahoma" w:hAnsi="Tahoma" w:cs="Tahoma"/>
                    </w:rPr>
                    <w:t>On the initiative of the VA more than one year after the effective date of the law or VA issue</w:t>
                  </w:r>
                </w:p>
              </w:tc>
              <w:tc>
                <w:tcPr>
                  <w:tcW w:w="1830" w:type="pc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EA64D3" w:rsidRDefault="00EA64D3" w:rsidP="00A36F33">
                  <w:pPr>
                    <w:spacing w:line="270" w:lineRule="atLeast"/>
                    <w:ind w:left="166"/>
                    <w:rPr>
                      <w:rFonts w:ascii="Tahoma" w:hAnsi="Tahoma" w:cs="Tahoma"/>
                      <w:sz w:val="24"/>
                      <w:szCs w:val="24"/>
                    </w:rPr>
                  </w:pPr>
                  <w:r>
                    <w:rPr>
                      <w:rFonts w:ascii="Tahoma" w:hAnsi="Tahoma" w:cs="Tahoma"/>
                    </w:rPr>
                    <w:t>One year prior to the date of administrative determination of entitlement</w:t>
                  </w:r>
                </w:p>
              </w:tc>
            </w:tr>
            <w:tr w:rsidR="00EA64D3" w:rsidTr="00EA64D3">
              <w:trPr>
                <w:tblCellSpacing w:w="15" w:type="dxa"/>
              </w:trPr>
              <w:tc>
                <w:tcPr>
                  <w:tcW w:w="3121" w:type="pc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EA64D3" w:rsidRDefault="00EA64D3" w:rsidP="00A36F33">
                  <w:pPr>
                    <w:spacing w:line="270" w:lineRule="atLeast"/>
                    <w:ind w:left="150"/>
                    <w:rPr>
                      <w:rFonts w:ascii="Tahoma" w:hAnsi="Tahoma" w:cs="Tahoma"/>
                      <w:sz w:val="24"/>
                      <w:szCs w:val="24"/>
                    </w:rPr>
                  </w:pPr>
                  <w:r>
                    <w:rPr>
                      <w:rFonts w:ascii="Tahoma" w:hAnsi="Tahoma" w:cs="Tahoma"/>
                    </w:rPr>
                    <w:t>At the request of the claimant more than 1 year after the effective date of the law or VA issue</w:t>
                  </w:r>
                </w:p>
              </w:tc>
              <w:tc>
                <w:tcPr>
                  <w:tcW w:w="1830" w:type="pc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EA64D3" w:rsidRDefault="00EA64D3" w:rsidP="00A36F33">
                  <w:pPr>
                    <w:spacing w:line="270" w:lineRule="atLeast"/>
                    <w:ind w:left="166"/>
                    <w:rPr>
                      <w:rFonts w:ascii="Tahoma" w:hAnsi="Tahoma" w:cs="Tahoma"/>
                      <w:sz w:val="24"/>
                      <w:szCs w:val="24"/>
                    </w:rPr>
                  </w:pPr>
                  <w:r>
                    <w:rPr>
                      <w:rFonts w:ascii="Tahoma" w:hAnsi="Tahoma" w:cs="Tahoma"/>
                    </w:rPr>
                    <w:t>One year prior to the date of the receipt of the request</w:t>
                  </w:r>
                </w:p>
              </w:tc>
            </w:tr>
          </w:tbl>
          <w:p w:rsidR="00EA64D3" w:rsidRDefault="00EA64D3" w:rsidP="00162E83">
            <w:pPr>
              <w:widowControl w:val="0"/>
              <w:spacing w:after="120"/>
              <w:ind w:left="360"/>
              <w:rPr>
                <w:rStyle w:val="Hyperlink"/>
                <w:bCs/>
                <w:color w:val="auto"/>
                <w:u w:val="none"/>
              </w:rPr>
            </w:pPr>
          </w:p>
          <w:p w:rsidR="00162E83" w:rsidRDefault="00162E83" w:rsidP="00F063AF">
            <w:pPr>
              <w:pStyle w:val="ListParagraph"/>
              <w:widowControl w:val="0"/>
              <w:numPr>
                <w:ilvl w:val="0"/>
                <w:numId w:val="186"/>
              </w:numPr>
              <w:tabs>
                <w:tab w:val="left" w:pos="0"/>
                <w:tab w:val="left" w:pos="330"/>
              </w:tabs>
              <w:spacing w:after="120" w:line="240" w:lineRule="auto"/>
              <w:ind w:left="330"/>
              <w:rPr>
                <w:rFonts w:ascii="Arial" w:hAnsi="Arial"/>
                <w:sz w:val="20"/>
                <w:szCs w:val="20"/>
              </w:rPr>
            </w:pPr>
            <w:r w:rsidRPr="00206978">
              <w:rPr>
                <w:rFonts w:ascii="Arial" w:hAnsi="Arial"/>
                <w:bCs/>
                <w:sz w:val="20"/>
                <w:szCs w:val="20"/>
              </w:rPr>
              <w:t xml:space="preserve">Notes from </w:t>
            </w:r>
            <w:r w:rsidRPr="00C40657">
              <w:rPr>
                <w:rFonts w:ascii="Arial" w:hAnsi="Arial"/>
                <w:b/>
                <w:bCs/>
                <w:i/>
                <w:iCs/>
                <w:sz w:val="20"/>
                <w:szCs w:val="20"/>
                <w:u w:val="single"/>
              </w:rPr>
              <w:t>October/November 2014 Effective Dates &amp; FDC Refresher Training</w:t>
            </w:r>
            <w:r w:rsidRPr="00C40657">
              <w:rPr>
                <w:rFonts w:ascii="Arial" w:hAnsi="Arial"/>
                <w:b/>
                <w:bCs/>
                <w:iCs/>
                <w:sz w:val="20"/>
                <w:szCs w:val="20"/>
              </w:rPr>
              <w:t xml:space="preserve"> </w:t>
            </w:r>
            <w:r>
              <w:rPr>
                <w:rFonts w:ascii="Arial" w:hAnsi="Arial"/>
                <w:bCs/>
                <w:iCs/>
                <w:sz w:val="20"/>
                <w:szCs w:val="20"/>
              </w:rPr>
              <w:t>(Erin Walsh)</w:t>
            </w:r>
            <w:r w:rsidRPr="00206978">
              <w:rPr>
                <w:rFonts w:ascii="Arial" w:hAnsi="Arial"/>
                <w:sz w:val="20"/>
                <w:szCs w:val="20"/>
              </w:rPr>
              <w:t>:</w:t>
            </w:r>
          </w:p>
          <w:p w:rsidR="00162E83" w:rsidRDefault="00162E83" w:rsidP="00162E83">
            <w:pPr>
              <w:widowControl w:val="0"/>
              <w:tabs>
                <w:tab w:val="left" w:pos="330"/>
              </w:tabs>
              <w:spacing w:after="120"/>
              <w:ind w:left="330"/>
            </w:pPr>
            <w:r>
              <w:t xml:space="preserve">If files </w:t>
            </w:r>
            <w:r w:rsidR="00432CA0" w:rsidRPr="00432CA0">
              <w:t xml:space="preserve">informal FDC </w:t>
            </w:r>
            <w:r w:rsidR="00432CA0" w:rsidRPr="00432CA0">
              <w:rPr>
                <w:i/>
              </w:rPr>
              <w:t>(</w:t>
            </w:r>
            <w:r w:rsidR="00432CA0" w:rsidRPr="00432CA0">
              <w:rPr>
                <w:b/>
                <w:i/>
              </w:rPr>
              <w:t>III.i.3.A.2.j</w:t>
            </w:r>
            <w:r w:rsidR="00432CA0" w:rsidRPr="00432CA0">
              <w:rPr>
                <w:i/>
              </w:rPr>
              <w:t xml:space="preserve"> says should be “incomplete FDC” instead</w:t>
            </w:r>
            <w:r w:rsidR="00AD6EA4">
              <w:rPr>
                <w:i/>
              </w:rPr>
              <w:t xml:space="preserve"> of “informal FDC”</w:t>
            </w:r>
            <w:r w:rsidR="00432CA0" w:rsidRPr="00432CA0">
              <w:rPr>
                <w:i/>
              </w:rPr>
              <w:t>)</w:t>
            </w:r>
            <w:r>
              <w:t xml:space="preserve"> prior to 8/6/13, but files formal FDC claim after 8/6/13, ca</w:t>
            </w:r>
            <w:r w:rsidR="00432CA0">
              <w:t xml:space="preserve">n give 1 year prior to receipt </w:t>
            </w:r>
            <w:r>
              <w:t>of the FORMAL claim</w:t>
            </w:r>
          </w:p>
          <w:p w:rsidR="00162E83" w:rsidRDefault="00162E83" w:rsidP="00162E83">
            <w:pPr>
              <w:widowControl w:val="0"/>
              <w:tabs>
                <w:tab w:val="left" w:pos="330"/>
              </w:tabs>
              <w:spacing w:after="120"/>
              <w:ind w:left="330"/>
            </w:pPr>
            <w:r w:rsidRPr="00000E48">
              <w:rPr>
                <w:b/>
                <w:i/>
              </w:rPr>
              <w:t>Brokowski v. Shinseki</w:t>
            </w:r>
            <w:r w:rsidRPr="00460B7E">
              <w:rPr>
                <w:b/>
              </w:rPr>
              <w:t xml:space="preserve"> </w:t>
            </w:r>
            <w:r w:rsidRPr="00801905">
              <w:t xml:space="preserve">(2009) </w:t>
            </w:r>
            <w:r>
              <w:t xml:space="preserve"> - [</w:t>
            </w:r>
            <w:r w:rsidRPr="006E501E">
              <w:rPr>
                <w:b/>
                <w:i/>
              </w:rPr>
              <w:t>March 2014 Compensation Service Bulletin (CSB)</w:t>
            </w:r>
            <w:r>
              <w:t xml:space="preserve"> &amp; </w:t>
            </w:r>
            <w:hyperlink r:id="rId332" w:history="1">
              <w:r w:rsidRPr="003C3463">
                <w:rPr>
                  <w:rStyle w:val="Hyperlink"/>
                  <w:b/>
                  <w:i/>
                </w:rPr>
                <w:t xml:space="preserve">January 2015 Rating </w:t>
              </w:r>
              <w:r>
                <w:rPr>
                  <w:rStyle w:val="Hyperlink"/>
                  <w:b/>
                  <w:i/>
                </w:rPr>
                <w:t>Quality Call Notes</w:t>
              </w:r>
            </w:hyperlink>
            <w:r>
              <w:t xml:space="preserve"> say Brokowski applies to all 020s, including </w:t>
            </w:r>
            <w:r w:rsidR="00432CA0">
              <w:t xml:space="preserve">informal FDCs </w:t>
            </w:r>
            <w:r w:rsidR="00432CA0" w:rsidRPr="00432CA0">
              <w:rPr>
                <w:i/>
              </w:rPr>
              <w:t>(</w:t>
            </w:r>
            <w:r w:rsidR="00432CA0" w:rsidRPr="00432CA0">
              <w:rPr>
                <w:b/>
                <w:i/>
              </w:rPr>
              <w:t>III.i.3.A.2.j</w:t>
            </w:r>
            <w:r w:rsidR="00432CA0" w:rsidRPr="00432CA0">
              <w:rPr>
                <w:i/>
              </w:rPr>
              <w:t xml:space="preserve"> says should be “incomplete FDC” instead</w:t>
            </w:r>
            <w:r w:rsidR="00AD6EA4">
              <w:rPr>
                <w:i/>
              </w:rPr>
              <w:t xml:space="preserve"> of “informal FDC”</w:t>
            </w:r>
            <w:r w:rsidR="00432CA0" w:rsidRPr="00432CA0">
              <w:rPr>
                <w:i/>
              </w:rPr>
              <w:t>)</w:t>
            </w:r>
            <w:r>
              <w:t>]</w:t>
            </w:r>
          </w:p>
          <w:p w:rsidR="00162E83" w:rsidRDefault="00162E83" w:rsidP="00162E83">
            <w:pPr>
              <w:widowControl w:val="0"/>
              <w:tabs>
                <w:tab w:val="left" w:pos="330"/>
              </w:tabs>
              <w:spacing w:after="120"/>
              <w:ind w:left="330"/>
            </w:pPr>
            <w:r w:rsidRPr="00327E05">
              <w:rPr>
                <w:i/>
                <w:iCs/>
                <w:noProof/>
                <w:sz w:val="22"/>
              </w:rPr>
              <w:drawing>
                <wp:inline distT="0" distB="0" distL="0" distR="0" wp14:anchorId="38A73132" wp14:editId="011721DC">
                  <wp:extent cx="5943600" cy="4208780"/>
                  <wp:effectExtent l="0" t="0" r="0" b="1270"/>
                  <wp:docPr id="245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2"/>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5943600" cy="4208780"/>
                          </a:xfrm>
                          <a:prstGeom prst="rect">
                            <a:avLst/>
                          </a:prstGeom>
                          <a:noFill/>
                          <a:ln>
                            <a:noFill/>
                          </a:ln>
                          <a:extLst/>
                        </pic:spPr>
                      </pic:pic>
                    </a:graphicData>
                  </a:graphic>
                </wp:inline>
              </w:drawing>
            </w:r>
          </w:p>
          <w:p w:rsidR="00162E83" w:rsidRDefault="00162E83" w:rsidP="00162E83">
            <w:pPr>
              <w:rPr>
                <w:b/>
                <w:highlight w:val="green"/>
                <w:u w:val="single"/>
              </w:rPr>
            </w:pPr>
          </w:p>
          <w:p w:rsidR="00162E83" w:rsidRDefault="00162E83" w:rsidP="00162E83">
            <w:pPr>
              <w:rPr>
                <w:b/>
                <w:u w:val="single"/>
              </w:rPr>
            </w:pPr>
            <w:r w:rsidRPr="00D2563F">
              <w:rPr>
                <w:b/>
                <w:highlight w:val="cyan"/>
                <w:u w:val="single"/>
              </w:rPr>
              <w:t>FDC Effective Dates ANSWERS</w:t>
            </w:r>
          </w:p>
          <w:p w:rsidR="00162E83" w:rsidRPr="00364DAB" w:rsidRDefault="00162E83" w:rsidP="00162E83">
            <w:r w:rsidRPr="00364DAB">
              <w:rPr>
                <w:bCs/>
                <w:color w:val="000000"/>
              </w:rPr>
              <w:t>1. EOD: 7/13/2003, RAD: 7/17/2012; 110(p), 526 received on 9/1/2013</w:t>
            </w:r>
            <w:r w:rsidRPr="00364DAB">
              <w:rPr>
                <w:bCs/>
                <w:color w:val="000000"/>
              </w:rPr>
              <w:br/>
              <w:t xml:space="preserve">Vet claimed service connection for right shoulder condition. STRs are silent for treatment for right shoulder condition or injury. Vet submitted Kaiser private treatment records containing X-ray report, dated 1/14/2013 showing right shoulder osteoarthritis. Vet’s private physician prepared a statement indicating Vet has weakness and pain with movement. Shoulder DBQ shows full range of motion with pain on movement. </w:t>
            </w:r>
            <w:r w:rsidRPr="00364DAB">
              <w:rPr>
                <w:bCs/>
                <w:color w:val="000000"/>
              </w:rPr>
              <w:br/>
              <w:t>What is the effective date for the right shoulder OA?</w:t>
            </w:r>
          </w:p>
          <w:p w:rsidR="00162E83" w:rsidRPr="00364DAB" w:rsidRDefault="00162E83" w:rsidP="00162E83">
            <w:r w:rsidRPr="00D2563F">
              <w:rPr>
                <w:highlight w:val="cyan"/>
              </w:rPr>
              <w:t>9/1/13 (if claimed 6/1/13, eff 1/14/13)</w:t>
            </w:r>
          </w:p>
          <w:p w:rsidR="00162E83" w:rsidRPr="00364DAB" w:rsidRDefault="00162E83" w:rsidP="00162E83">
            <w:pPr>
              <w:rPr>
                <w:u w:val="single"/>
              </w:rPr>
            </w:pPr>
          </w:p>
          <w:p w:rsidR="00162E83" w:rsidRPr="00364DAB" w:rsidRDefault="00162E83" w:rsidP="00162E83">
            <w:pPr>
              <w:rPr>
                <w:u w:val="single"/>
              </w:rPr>
            </w:pPr>
            <w:r w:rsidRPr="00364DAB">
              <w:rPr>
                <w:bCs/>
                <w:color w:val="000000"/>
              </w:rPr>
              <w:t>2. Air Force Vet, RVN service confirmed by DD Form 214; EOD: 7/13/1962, RAD: 9/17/1967; 020(p), 4138 received on 3/1/2014</w:t>
            </w:r>
            <w:r w:rsidRPr="00364DAB">
              <w:rPr>
                <w:bCs/>
                <w:color w:val="000000"/>
              </w:rPr>
              <w:br/>
              <w:t>Vet submitted a VAF 4138 on which Vet claims diabetes. Vet submitted private treatment records showing diagnosis of DMII, dated 7/13/1990. Veteran was prescribed Metformin on 4/1/1997. Vet failed to report for VAE.</w:t>
            </w:r>
            <w:r w:rsidRPr="00364DAB">
              <w:rPr>
                <w:bCs/>
                <w:color w:val="000000"/>
              </w:rPr>
              <w:br/>
              <w:t>What is the effective date for DMII?</w:t>
            </w:r>
          </w:p>
          <w:p w:rsidR="00162E83" w:rsidRPr="00364DAB" w:rsidRDefault="00162E83" w:rsidP="00162E83">
            <w:r w:rsidRPr="00D2563F">
              <w:rPr>
                <w:highlight w:val="cyan"/>
              </w:rPr>
              <w:t>3/1/13</w:t>
            </w:r>
          </w:p>
          <w:p w:rsidR="00162E83" w:rsidRPr="00364DAB" w:rsidRDefault="00162E83" w:rsidP="00162E83">
            <w:pPr>
              <w:rPr>
                <w:u w:val="single"/>
              </w:rPr>
            </w:pPr>
          </w:p>
          <w:p w:rsidR="00162E83" w:rsidRPr="00364DAB" w:rsidRDefault="00162E83" w:rsidP="00162E83">
            <w:pPr>
              <w:rPr>
                <w:bCs/>
                <w:color w:val="000000"/>
              </w:rPr>
            </w:pPr>
            <w:r w:rsidRPr="00364DAB">
              <w:rPr>
                <w:bCs/>
                <w:color w:val="000000"/>
              </w:rPr>
              <w:t>3. EOD: 7/13/2003, RAD: 7/17/2013; 110(p), 526 received on 1/5/2014</w:t>
            </w:r>
            <w:r w:rsidRPr="00364DAB">
              <w:rPr>
                <w:bCs/>
                <w:color w:val="000000"/>
              </w:rPr>
              <w:br/>
              <w:t xml:space="preserve">Vet claimed service connection for GERD. STRs show treatment for acid reflux and EGD confirmed GERD on 3/15/2007. Vet prescribed Prilosec in service. VA exam, dated 3/1/2014, shows diagnosis of GERD with symptoms of regurgitation and pyrosis. </w:t>
            </w:r>
            <w:r w:rsidRPr="00364DAB">
              <w:rPr>
                <w:bCs/>
                <w:color w:val="000000"/>
              </w:rPr>
              <w:br/>
              <w:t>What is the correct effective date for GERD?</w:t>
            </w:r>
          </w:p>
          <w:p w:rsidR="00162E83" w:rsidRPr="00364DAB" w:rsidRDefault="00162E83" w:rsidP="00162E83">
            <w:r w:rsidRPr="00D2563F">
              <w:rPr>
                <w:highlight w:val="cyan"/>
              </w:rPr>
              <w:t>7/18/13</w:t>
            </w:r>
          </w:p>
          <w:p w:rsidR="00162E83" w:rsidRPr="00364DAB" w:rsidRDefault="00162E83" w:rsidP="00162E83">
            <w:pPr>
              <w:rPr>
                <w:u w:val="single"/>
              </w:rPr>
            </w:pPr>
          </w:p>
          <w:p w:rsidR="00162E83" w:rsidRPr="00364DAB" w:rsidRDefault="00162E83" w:rsidP="00162E83">
            <w:pPr>
              <w:rPr>
                <w:bCs/>
                <w:color w:val="000000"/>
              </w:rPr>
            </w:pPr>
            <w:r w:rsidRPr="00364DAB">
              <w:rPr>
                <w:bCs/>
                <w:color w:val="000000"/>
              </w:rPr>
              <w:t>4. EOD: 7/13/02, RAD: 9/17/07; 110(p); Vet submitted VAF 4138 on 4/13/2013, on which Vet claims service connection for right knee strain. VAF 526EZ was received on 9/1/2013. STRs show repeat treatment for right knee sprain. VA exam, completed on 11/15/2013, shows diagnosis of right knee patellofemoral pain syndrome. VA examiner opined that Vet’s current disability is a progression of the right knee condition treated in service.</w:t>
            </w:r>
            <w:r w:rsidRPr="00364DAB">
              <w:rPr>
                <w:bCs/>
                <w:color w:val="000000"/>
              </w:rPr>
              <w:br/>
              <w:t>What is the effective date?</w:t>
            </w:r>
          </w:p>
          <w:p w:rsidR="00162E83" w:rsidRPr="00364DAB" w:rsidRDefault="00162E83" w:rsidP="00162E83">
            <w:r w:rsidRPr="00D2563F">
              <w:rPr>
                <w:highlight w:val="cyan"/>
              </w:rPr>
              <w:t>9/1/12</w:t>
            </w:r>
          </w:p>
          <w:p w:rsidR="00162E83" w:rsidRPr="00364DAB" w:rsidRDefault="00162E83" w:rsidP="00162E83">
            <w:pPr>
              <w:rPr>
                <w:u w:val="single"/>
              </w:rPr>
            </w:pPr>
          </w:p>
          <w:p w:rsidR="00162E83" w:rsidRPr="00364DAB" w:rsidRDefault="00162E83" w:rsidP="00162E83">
            <w:pPr>
              <w:rPr>
                <w:u w:val="single"/>
              </w:rPr>
            </w:pPr>
            <w:r w:rsidRPr="00364DAB">
              <w:rPr>
                <w:bCs/>
                <w:color w:val="000000"/>
              </w:rPr>
              <w:t>5. RVN service confirmed by DD Form 214; EOD: 7/13/1962, RAD: 9/17/1967; 110(p)</w:t>
            </w:r>
            <w:r w:rsidRPr="00364DAB">
              <w:rPr>
                <w:bCs/>
                <w:color w:val="000000"/>
              </w:rPr>
              <w:br/>
              <w:t xml:space="preserve">VAF 4138, received on 5/1/2012, Vet claimed CLL. VA letter, dated 10/01/2012, informed Vet that submission of a completed 526 was needed to substantiate his claim. VA Form 526, received on 5/26/2013, Vet claimed right shoulder condition, CLL, depression. STRs are unavailable and Vet submitted only one document in support of claim. Document received shows Vet was diagnosed with CLL on 7/1/2010. An interim decision is needed. </w:t>
            </w:r>
            <w:r w:rsidRPr="00364DAB">
              <w:rPr>
                <w:bCs/>
                <w:color w:val="000000"/>
              </w:rPr>
              <w:br/>
              <w:t>What is the effective date for CLL?</w:t>
            </w:r>
          </w:p>
          <w:p w:rsidR="00162E83" w:rsidRPr="00364DAB" w:rsidRDefault="00162E83" w:rsidP="00162E83">
            <w:r w:rsidRPr="00D2563F">
              <w:rPr>
                <w:highlight w:val="cyan"/>
              </w:rPr>
              <w:t>5/1/12</w:t>
            </w:r>
          </w:p>
          <w:p w:rsidR="00162E83" w:rsidRPr="00364DAB" w:rsidRDefault="00162E83" w:rsidP="00162E83"/>
          <w:p w:rsidR="00162E83" w:rsidRPr="00364DAB" w:rsidRDefault="00162E83" w:rsidP="00162E83">
            <w:pPr>
              <w:rPr>
                <w:bCs/>
                <w:color w:val="000000"/>
              </w:rPr>
            </w:pPr>
            <w:r w:rsidRPr="00364DAB">
              <w:rPr>
                <w:bCs/>
                <w:color w:val="000000"/>
              </w:rPr>
              <w:t>6. RVN service confirmed by DD form 214; EOD: 7/13/1962, RAD: 9/17/1967; 110(p)</w:t>
            </w:r>
            <w:r w:rsidRPr="00364DAB">
              <w:rPr>
                <w:bCs/>
                <w:color w:val="000000"/>
              </w:rPr>
              <w:br/>
              <w:t xml:space="preserve">Vet submitted VAF 4138 on 4/13/2013, on which Vet claims service connection for multiple myeloma. VAF 526EZ, received on 9/1/2013, with private treatment records showing an initial diagnosis of multiple myeloma on 1/1/2013. VA exam, completed on 11/15/2013, shows diagnosis of multiple myeloma. </w:t>
            </w:r>
            <w:r w:rsidRPr="00364DAB">
              <w:rPr>
                <w:bCs/>
                <w:color w:val="000000"/>
              </w:rPr>
              <w:br/>
              <w:t>What is the effective date for the multiple myeloma?</w:t>
            </w:r>
          </w:p>
          <w:p w:rsidR="00162E83" w:rsidRPr="00364DAB" w:rsidRDefault="00162E83" w:rsidP="00162E83">
            <w:r w:rsidRPr="00D2563F">
              <w:rPr>
                <w:bCs/>
                <w:color w:val="000000"/>
                <w:highlight w:val="cyan"/>
              </w:rPr>
              <w:t>1/1/13</w:t>
            </w:r>
          </w:p>
          <w:p w:rsidR="00162E83" w:rsidRPr="00364DAB" w:rsidRDefault="00162E83" w:rsidP="00162E83">
            <w:pPr>
              <w:rPr>
                <w:u w:val="single"/>
              </w:rPr>
            </w:pPr>
          </w:p>
          <w:p w:rsidR="00162E83" w:rsidRPr="00364DAB" w:rsidRDefault="00162E83" w:rsidP="00162E83">
            <w:pPr>
              <w:rPr>
                <w:bCs/>
                <w:color w:val="000000"/>
              </w:rPr>
            </w:pPr>
            <w:r w:rsidRPr="00364DAB">
              <w:rPr>
                <w:bCs/>
                <w:color w:val="000000"/>
              </w:rPr>
              <w:t>7. Air Force Vet, RVN service confirmed by DD Form 214; EOD: 7/13/1962; RAD: 9/17/1967; 110(p), 526EZ received on 3/1/2014</w:t>
            </w:r>
            <w:r w:rsidRPr="00364DAB">
              <w:rPr>
                <w:bCs/>
                <w:color w:val="000000"/>
              </w:rPr>
              <w:br/>
              <w:t xml:space="preserve">Vet submitted a VAF 526EZ on which Vet claims diabetes. Vet submitted private treatment records showing diagnosis of DMII, dated 7/13/1990. Veteran was prescribed Metformin on 4/1/1997. </w:t>
            </w:r>
            <w:r w:rsidRPr="00364DAB">
              <w:rPr>
                <w:bCs/>
                <w:color w:val="000000"/>
              </w:rPr>
              <w:br/>
              <w:t>What is the effective date for DMII?</w:t>
            </w:r>
          </w:p>
          <w:p w:rsidR="00162E83" w:rsidRDefault="00162E83" w:rsidP="00162E83">
            <w:r w:rsidRPr="00D2563F">
              <w:rPr>
                <w:highlight w:val="cyan"/>
              </w:rPr>
              <w:t>3/1/12</w:t>
            </w:r>
          </w:p>
          <w:p w:rsidR="00162E83" w:rsidRDefault="00162E83" w:rsidP="00162E83">
            <w:pPr>
              <w:widowControl w:val="0"/>
              <w:tabs>
                <w:tab w:val="left" w:pos="330"/>
              </w:tabs>
              <w:spacing w:after="120"/>
              <w:ind w:left="330"/>
              <w:rPr>
                <w:b/>
              </w:rPr>
            </w:pPr>
          </w:p>
          <w:p w:rsidR="00162E83" w:rsidRPr="00364DAB" w:rsidRDefault="00162E83" w:rsidP="00162E83">
            <w:pPr>
              <w:widowControl w:val="0"/>
              <w:tabs>
                <w:tab w:val="left" w:pos="330"/>
              </w:tabs>
              <w:spacing w:after="120"/>
              <w:rPr>
                <w:b/>
                <w:u w:val="single"/>
              </w:rPr>
            </w:pPr>
            <w:r w:rsidRPr="00D2563F">
              <w:rPr>
                <w:b/>
                <w:highlight w:val="cyan"/>
                <w:u w:val="single"/>
              </w:rPr>
              <w:t>From TMS assessment:</w:t>
            </w:r>
          </w:p>
          <w:p w:rsidR="00162E83" w:rsidRPr="00364DAB" w:rsidRDefault="00162E83" w:rsidP="00162E83">
            <w:pPr>
              <w:widowControl w:val="0"/>
              <w:tabs>
                <w:tab w:val="left" w:pos="330"/>
              </w:tabs>
              <w:spacing w:after="120"/>
            </w:pPr>
            <w:r>
              <w:t xml:space="preserve">The Veteran served 30 years in the Army, retiring on March 30, 2008. On November 29, 2008, he suffered a massive coronary and died. In December 2008, the Veteran’s spouse submitted a claim for Dependency and Indemnity Compensation (DIC) and was denied for failure to prosecute. On September 2, 2009, the spouse again submits a claim for DIC and is granted DIC benefits. What is the effective date of this award? </w:t>
            </w:r>
            <w:r w:rsidRPr="00D2563F">
              <w:rPr>
                <w:highlight w:val="cyan"/>
              </w:rPr>
              <w:t>11/1/08, first day of the month of death</w:t>
            </w:r>
          </w:p>
          <w:p w:rsidR="00162E83" w:rsidRDefault="00162E83" w:rsidP="00162E83">
            <w:pPr>
              <w:widowControl w:val="0"/>
              <w:tabs>
                <w:tab w:val="left" w:pos="330"/>
              </w:tabs>
              <w:spacing w:after="120"/>
            </w:pPr>
            <w:r>
              <w:t xml:space="preserve">The Veteran claimed service connection for amyotrophic lateral sclerosis in June 1986, with private treatment records indicating a diagnosis of amyotrophic lateral sclerosis in May 1986. He was denied service connection. He reopened his claim on November 1, 2008 and service connection was granted. What is the effective date of this award? </w:t>
            </w:r>
            <w:r w:rsidRPr="00D2563F">
              <w:rPr>
                <w:highlight w:val="cyan"/>
              </w:rPr>
              <w:t>9/23/08, the date ALS was added</w:t>
            </w:r>
          </w:p>
          <w:p w:rsidR="00162E83" w:rsidRDefault="00162E83" w:rsidP="00162E83">
            <w:pPr>
              <w:widowControl w:val="0"/>
              <w:tabs>
                <w:tab w:val="left" w:pos="330"/>
              </w:tabs>
              <w:spacing w:after="120"/>
            </w:pPr>
            <w:r w:rsidRPr="00327E05">
              <w:t>Veteran meets the wartime service requirement for disability pension.  On April 6, 2004, she files a claim for disability pension.  The documentation in her private treatment record dated February 2004 demonstrates that she meets the requirements.  What is the effective date of this award?</w:t>
            </w:r>
            <w:r>
              <w:t xml:space="preserve"> </w:t>
            </w:r>
            <w:r w:rsidRPr="00D2563F">
              <w:rPr>
                <w:highlight w:val="cyan"/>
              </w:rPr>
              <w:t>4/6/04, date of receipt of claim</w:t>
            </w:r>
          </w:p>
          <w:p w:rsidR="00162E83" w:rsidRDefault="00162E83" w:rsidP="00162E83">
            <w:pPr>
              <w:widowControl w:val="0"/>
              <w:tabs>
                <w:tab w:val="left" w:pos="330"/>
              </w:tabs>
              <w:spacing w:after="120"/>
            </w:pPr>
            <w:r w:rsidRPr="00327E05">
              <w:t>The Veteran discharged 05/31/2011, she filed her original claim on 07/19/2011. Her gen med exam on 09/16/2011 had shown she had urinary incontinence (which was also found in her STR’s, not on 526). The claim was then brokered and rated on 04/15/2013 with an auth note to invite claim for urinary incontinence and the notification was sent 05/02/2013. The Veteran filed for urinary incontinence 03/05/2014, file was reviewed and annotated for the C&amp;P exam, the doctor came back with a positive opinion.  What is the appropriate effective date?</w:t>
            </w:r>
            <w:r>
              <w:t xml:space="preserve"> </w:t>
            </w:r>
            <w:r w:rsidRPr="00D2563F">
              <w:rPr>
                <w:highlight w:val="cyan"/>
              </w:rPr>
              <w:t>3/5/14, date of receipt of claim [but IU can go prior to DOC if invited/solicited]</w:t>
            </w:r>
          </w:p>
          <w:p w:rsidR="00162E83" w:rsidRDefault="00162E83" w:rsidP="00162E83">
            <w:pPr>
              <w:widowControl w:val="0"/>
              <w:tabs>
                <w:tab w:val="left" w:pos="330"/>
              </w:tabs>
              <w:spacing w:after="120"/>
            </w:pPr>
            <w:r>
              <w:t xml:space="preserve">A Veteran served 20 years in the Army and retired on December 30, 2009. On June 29, 2010, the Veteran suffered a massive coronary and died. The Veteran's spouse submitted a claim. What is the effective date rule that governs this claim?  </w:t>
            </w:r>
            <w:r w:rsidRPr="00D2563F">
              <w:rPr>
                <w:highlight w:val="cyan"/>
              </w:rPr>
              <w:t>First of the month of the month of death</w:t>
            </w:r>
          </w:p>
          <w:p w:rsidR="00162E83" w:rsidRDefault="00162E83" w:rsidP="00162E83">
            <w:pPr>
              <w:widowControl w:val="0"/>
              <w:tabs>
                <w:tab w:val="left" w:pos="330"/>
              </w:tabs>
              <w:spacing w:after="120"/>
            </w:pPr>
            <w:r>
              <w:t>A Veteran’s initial claim for service connection was denied on December 12, 1992, due to lack of records to substantiate the claim. On May 16, 2009, VA received recently declassified records that allow for service connection to be granted. What CFR section provides the rule for the effective date for this claim? 3.156</w:t>
            </w:r>
          </w:p>
          <w:p w:rsidR="00162E83" w:rsidRDefault="00162E83" w:rsidP="00162E83">
            <w:pPr>
              <w:widowControl w:val="0"/>
              <w:tabs>
                <w:tab w:val="left" w:pos="330"/>
              </w:tabs>
              <w:spacing w:after="120"/>
            </w:pPr>
            <w:r>
              <w:t xml:space="preserve">The surviving spouse has been receiving Death Pension benefits since May 1, 1990. The VA receives an Aid and Attendance claim on July 10, 2003. The RVSR determines that private treatment records dated June 26, 2003 prove the need for Aid and Attendance. What is the effective date? </w:t>
            </w:r>
            <w:r w:rsidRPr="00D2563F">
              <w:rPr>
                <w:highlight w:val="cyan"/>
              </w:rPr>
              <w:t>7/10/03</w:t>
            </w:r>
          </w:p>
          <w:p w:rsidR="00B340F7" w:rsidRPr="00162E83" w:rsidRDefault="00162E83" w:rsidP="00162E83">
            <w:pPr>
              <w:widowControl w:val="0"/>
              <w:spacing w:after="120"/>
              <w:ind w:left="-30"/>
              <w:rPr>
                <w:bCs/>
              </w:rPr>
            </w:pPr>
            <w:r>
              <w:t xml:space="preserve">Which of the following rules applies to the effective date for claims based on injury due to hospitalization (38 USC 1151 claims)? Select all that apply. </w:t>
            </w:r>
            <w:r w:rsidRPr="00D2563F">
              <w:rPr>
                <w:highlight w:val="cyan"/>
              </w:rPr>
              <w:t>Date of injury, if received within one year AND Date of receipt of claim</w:t>
            </w:r>
          </w:p>
        </w:tc>
      </w:tr>
    </w:tbl>
    <w:p w:rsidR="00094A25" w:rsidRPr="00162E83" w:rsidRDefault="00D571C5" w:rsidP="00094A25">
      <w:pPr>
        <w:tabs>
          <w:tab w:val="left" w:pos="540"/>
        </w:tabs>
        <w:ind w:left="540"/>
        <w:rPr>
          <w:b/>
          <w:i/>
          <w:szCs w:val="24"/>
        </w:rPr>
      </w:pPr>
      <w:hyperlink r:id="rId334" w:history="1">
        <w:r w:rsidR="00094A25" w:rsidRPr="00162E83">
          <w:rPr>
            <w:rStyle w:val="Hyperlink"/>
            <w:b/>
            <w:i/>
            <w:szCs w:val="24"/>
          </w:rPr>
          <w:t>H:\VSC\Training\NTC Class Material\Effective Dates\Effective Dates 3950443HO (2015).pdf</w:t>
        </w:r>
      </w:hyperlink>
    </w:p>
    <w:p w:rsidR="00094A25" w:rsidRDefault="00094A25">
      <w:pPr>
        <w:pStyle w:val="BodyTextIndent"/>
        <w:widowControl w:val="0"/>
        <w:tabs>
          <w:tab w:val="left" w:pos="360"/>
        </w:tabs>
        <w:ind w:left="0"/>
        <w:rPr>
          <w:sz w:val="20"/>
        </w:rPr>
      </w:pPr>
    </w:p>
    <w:p w:rsidR="00162E83" w:rsidRPr="00CD0826" w:rsidRDefault="00162E83" w:rsidP="00F063AF">
      <w:pPr>
        <w:pStyle w:val="ListParagraph"/>
        <w:widowControl w:val="0"/>
        <w:numPr>
          <w:ilvl w:val="0"/>
          <w:numId w:val="186"/>
        </w:numPr>
        <w:tabs>
          <w:tab w:val="left" w:pos="0"/>
          <w:tab w:val="left" w:pos="720"/>
        </w:tabs>
        <w:spacing w:after="120" w:line="240" w:lineRule="auto"/>
        <w:rPr>
          <w:rFonts w:ascii="Arial" w:hAnsi="Arial"/>
          <w:i/>
          <w:sz w:val="20"/>
          <w:szCs w:val="20"/>
        </w:rPr>
      </w:pPr>
      <w:r w:rsidRPr="00206978">
        <w:rPr>
          <w:rFonts w:ascii="Arial" w:hAnsi="Arial"/>
          <w:bCs/>
          <w:sz w:val="20"/>
          <w:szCs w:val="20"/>
        </w:rPr>
        <w:t xml:space="preserve">Notes from </w:t>
      </w:r>
      <w:r w:rsidRPr="003F0C17">
        <w:rPr>
          <w:rFonts w:ascii="Arial" w:hAnsi="Arial"/>
          <w:b/>
          <w:bCs/>
          <w:i/>
          <w:iCs/>
          <w:sz w:val="20"/>
          <w:szCs w:val="20"/>
          <w:u w:val="single"/>
        </w:rPr>
        <w:t xml:space="preserve">November 2015 Effective Dates </w:t>
      </w:r>
      <w:r w:rsidRPr="00CD0826">
        <w:rPr>
          <w:rFonts w:ascii="Arial" w:hAnsi="Arial"/>
          <w:b/>
          <w:bCs/>
          <w:i/>
          <w:iCs/>
          <w:sz w:val="20"/>
          <w:szCs w:val="20"/>
          <w:u w:val="single"/>
        </w:rPr>
        <w:t>Training</w:t>
      </w:r>
      <w:r w:rsidRPr="00CD0826">
        <w:rPr>
          <w:rFonts w:ascii="Arial" w:hAnsi="Arial"/>
          <w:bCs/>
          <w:i/>
          <w:iCs/>
          <w:sz w:val="20"/>
          <w:szCs w:val="20"/>
        </w:rPr>
        <w:t xml:space="preserve"> (Carlos Rosario)</w:t>
      </w:r>
      <w:r w:rsidRPr="00CD0826">
        <w:rPr>
          <w:rFonts w:ascii="Arial" w:hAnsi="Arial"/>
          <w:sz w:val="20"/>
          <w:szCs w:val="20"/>
        </w:rPr>
        <w:t>:</w:t>
      </w:r>
    </w:p>
    <w:p w:rsidR="00162E83" w:rsidRDefault="00162E83" w:rsidP="00162E83">
      <w:pPr>
        <w:widowControl w:val="0"/>
        <w:tabs>
          <w:tab w:val="left" w:pos="0"/>
          <w:tab w:val="left" w:pos="720"/>
        </w:tabs>
        <w:spacing w:after="120"/>
        <w:ind w:left="720"/>
      </w:pPr>
      <w:r>
        <w:t xml:space="preserve">as of 3/24/15, need to set a diary if hospital report shows no entitlement to 4.29 or 4.30, but does show increase warranted, but have no claim, per </w:t>
      </w:r>
      <w:r w:rsidRPr="004E448C">
        <w:rPr>
          <w:b/>
        </w:rPr>
        <w:t>III.ii.2.C.6.d</w:t>
      </w:r>
      <w:r>
        <w:t xml:space="preserve">; for why, see </w:t>
      </w:r>
      <w:r w:rsidRPr="004E448C">
        <w:rPr>
          <w:i/>
        </w:rPr>
        <w:t>VA Pulse, https://www.vapulse.net/message/27432</w:t>
      </w:r>
    </w:p>
    <w:p w:rsidR="00162E83" w:rsidRPr="004E448C" w:rsidRDefault="00162E83" w:rsidP="00162E83">
      <w:pPr>
        <w:widowControl w:val="0"/>
        <w:tabs>
          <w:tab w:val="left" w:pos="0"/>
          <w:tab w:val="left" w:pos="720"/>
        </w:tabs>
        <w:spacing w:after="120"/>
        <w:ind w:left="720"/>
      </w:pPr>
      <w:r>
        <w:t xml:space="preserve">as of 3/24/15, what we previously called an </w:t>
      </w:r>
      <w:r w:rsidR="00432CA0">
        <w:t xml:space="preserve">informal FDC </w:t>
      </w:r>
      <w:r w:rsidR="00432CA0" w:rsidRPr="00432CA0">
        <w:rPr>
          <w:i/>
        </w:rPr>
        <w:t>(</w:t>
      </w:r>
      <w:r w:rsidR="00432CA0" w:rsidRPr="00432CA0">
        <w:rPr>
          <w:b/>
          <w:i/>
        </w:rPr>
        <w:t>III.i.3.A.2.j</w:t>
      </w:r>
      <w:r w:rsidR="00432CA0" w:rsidRPr="00432CA0">
        <w:rPr>
          <w:i/>
        </w:rPr>
        <w:t xml:space="preserve"> says should be “incomplete FDC” instead</w:t>
      </w:r>
      <w:r w:rsidR="003C038F">
        <w:rPr>
          <w:i/>
        </w:rPr>
        <w:t xml:space="preserve"> of “informal FDC”</w:t>
      </w:r>
      <w:r w:rsidR="00432CA0" w:rsidRPr="00432CA0">
        <w:rPr>
          <w:i/>
        </w:rPr>
        <w:t>)</w:t>
      </w:r>
      <w:r>
        <w:t xml:space="preserve"> is</w:t>
      </w:r>
      <w:r w:rsidR="00604119">
        <w:t xml:space="preserve"> now a Request for Application (</w:t>
      </w:r>
      <w:r>
        <w:t>RFA</w:t>
      </w:r>
      <w:r w:rsidR="00604119">
        <w:t>)</w:t>
      </w:r>
    </w:p>
    <w:p w:rsidR="00162E83" w:rsidRDefault="00162E83" w:rsidP="00162E83">
      <w:pPr>
        <w:widowControl w:val="0"/>
        <w:tabs>
          <w:tab w:val="left" w:pos="0"/>
          <w:tab w:val="left" w:pos="720"/>
        </w:tabs>
        <w:spacing w:after="120"/>
        <w:ind w:left="720"/>
      </w:pPr>
      <w:r>
        <w:t>submission of an ITF under the FDC program is not an exclusion</w:t>
      </w:r>
    </w:p>
    <w:p w:rsidR="00162E83" w:rsidRDefault="00162E83" w:rsidP="00162E83">
      <w:pPr>
        <w:widowControl w:val="0"/>
        <w:tabs>
          <w:tab w:val="left" w:pos="0"/>
          <w:tab w:val="left" w:pos="720"/>
        </w:tabs>
        <w:spacing w:after="120"/>
        <w:ind w:left="720"/>
      </w:pPr>
      <w:r>
        <w:t xml:space="preserve">prior to 3/24/15, if filed informal claim for an </w:t>
      </w:r>
      <w:r w:rsidRPr="00EF62C8">
        <w:rPr>
          <w:b/>
        </w:rPr>
        <w:t xml:space="preserve">original </w:t>
      </w:r>
      <w:r>
        <w:t xml:space="preserve">claim (Brokowski does not apply), then submitted formal application, then added another contention after submitting the formal application, the </w:t>
      </w:r>
      <w:r w:rsidR="004F315B">
        <w:t>effective date</w:t>
      </w:r>
      <w:r>
        <w:t xml:space="preserve"> of the informal claim applies to ALL contentions</w:t>
      </w:r>
    </w:p>
    <w:p w:rsidR="00162E83" w:rsidRPr="00DB30C8" w:rsidRDefault="00162E83" w:rsidP="00162E83">
      <w:pPr>
        <w:widowControl w:val="0"/>
        <w:tabs>
          <w:tab w:val="left" w:pos="0"/>
          <w:tab w:val="left" w:pos="720"/>
        </w:tabs>
        <w:spacing w:after="120"/>
        <w:ind w:left="720"/>
      </w:pPr>
      <w:r>
        <w:t>if find records prior to 3/24/15, can use 3.157 to apply date of increase in records; but if records are 3/24/15 or later, have to have evidence of increase within a year prior to the claim</w:t>
      </w:r>
    </w:p>
    <w:p w:rsidR="00162E83" w:rsidRDefault="00162E83" w:rsidP="00162E83">
      <w:pPr>
        <w:pStyle w:val="ListParagraph"/>
        <w:spacing w:after="120" w:line="240" w:lineRule="auto"/>
        <w:rPr>
          <w:rFonts w:ascii="Arial" w:hAnsi="Arial"/>
          <w:sz w:val="20"/>
          <w:szCs w:val="20"/>
        </w:rPr>
      </w:pPr>
      <w:r>
        <w:rPr>
          <w:rFonts w:ascii="Arial" w:hAnsi="Arial"/>
          <w:sz w:val="20"/>
          <w:szCs w:val="20"/>
        </w:rPr>
        <w:t>a claim for tinnitus is NOT a claim for hearing loss</w:t>
      </w:r>
    </w:p>
    <w:p w:rsidR="00162E83" w:rsidRDefault="00162E83" w:rsidP="00162E83">
      <w:pPr>
        <w:pStyle w:val="ListParagraph"/>
        <w:spacing w:after="120" w:line="240" w:lineRule="auto"/>
        <w:rPr>
          <w:rFonts w:ascii="Arial" w:hAnsi="Arial"/>
          <w:sz w:val="20"/>
          <w:szCs w:val="20"/>
        </w:rPr>
      </w:pPr>
      <w:r>
        <w:rPr>
          <w:rFonts w:ascii="Arial" w:hAnsi="Arial"/>
          <w:sz w:val="20"/>
          <w:szCs w:val="20"/>
        </w:rPr>
        <w:t>can use TRs for increase if receive either (1) claim on prescribed form or (2) ITF followed by complete claim (w/I 1 year of ITF), within 1 year of date of treatment</w:t>
      </w:r>
    </w:p>
    <w:p w:rsidR="00162E83" w:rsidRDefault="00162E83" w:rsidP="002C01F0">
      <w:pPr>
        <w:pStyle w:val="ListParagraph"/>
        <w:spacing w:after="120" w:line="240" w:lineRule="auto"/>
        <w:rPr>
          <w:rFonts w:ascii="Arial" w:hAnsi="Arial"/>
          <w:sz w:val="20"/>
          <w:szCs w:val="20"/>
        </w:rPr>
      </w:pPr>
      <w:r>
        <w:rPr>
          <w:rFonts w:ascii="Arial" w:hAnsi="Arial"/>
          <w:sz w:val="20"/>
          <w:szCs w:val="20"/>
        </w:rPr>
        <w:t>if new ship added to AO ship list &amp; can now grant, use DOC of previously denied claim as effective date (similar to supplemental</w:t>
      </w:r>
      <w:r w:rsidR="00050B42">
        <w:rPr>
          <w:rFonts w:ascii="Arial" w:hAnsi="Arial"/>
          <w:sz w:val="20"/>
          <w:szCs w:val="20"/>
        </w:rPr>
        <w:t xml:space="preserve"> STRs </w:t>
      </w:r>
      <w:r>
        <w:rPr>
          <w:rFonts w:ascii="Arial" w:hAnsi="Arial"/>
          <w:sz w:val="20"/>
          <w:szCs w:val="20"/>
        </w:rPr>
        <w:t>/</w:t>
      </w:r>
      <w:r w:rsidR="00050B42">
        <w:rPr>
          <w:rFonts w:ascii="Arial" w:hAnsi="Arial"/>
          <w:sz w:val="20"/>
          <w:szCs w:val="20"/>
        </w:rPr>
        <w:t xml:space="preserve"> </w:t>
      </w:r>
      <w:r>
        <w:rPr>
          <w:rFonts w:ascii="Arial" w:hAnsi="Arial"/>
          <w:sz w:val="20"/>
          <w:szCs w:val="20"/>
        </w:rPr>
        <w:t>missing ST</w:t>
      </w:r>
      <w:r w:rsidR="002C01F0">
        <w:rPr>
          <w:rFonts w:ascii="Arial" w:hAnsi="Arial"/>
          <w:sz w:val="20"/>
          <w:szCs w:val="20"/>
        </w:rPr>
        <w:t>Rs or SPRs &amp; declassified info)</w:t>
      </w:r>
    </w:p>
    <w:p w:rsidR="008F1ACE" w:rsidRPr="008F1ACE" w:rsidRDefault="008F1ACE" w:rsidP="00F063AF">
      <w:pPr>
        <w:pStyle w:val="ListParagraph"/>
        <w:numPr>
          <w:ilvl w:val="0"/>
          <w:numId w:val="186"/>
        </w:numPr>
        <w:rPr>
          <w:rFonts w:ascii="Arial" w:hAnsi="Arial"/>
          <w:sz w:val="20"/>
          <w:szCs w:val="20"/>
        </w:rPr>
      </w:pPr>
      <w:r w:rsidRPr="008F1ACE">
        <w:rPr>
          <w:rFonts w:ascii="Arial" w:hAnsi="Arial"/>
          <w:b/>
          <w:bCs/>
          <w:sz w:val="20"/>
          <w:szCs w:val="20"/>
        </w:rPr>
        <w:t>From:</w:t>
      </w:r>
      <w:r w:rsidRPr="008F1ACE">
        <w:rPr>
          <w:rFonts w:ascii="Arial" w:hAnsi="Arial"/>
          <w:sz w:val="20"/>
          <w:szCs w:val="20"/>
        </w:rPr>
        <w:t xml:space="preserve"> VAVBASDC/RO/VSC </w:t>
      </w:r>
      <w:r w:rsidRPr="008F1ACE">
        <w:rPr>
          <w:rFonts w:ascii="Arial" w:hAnsi="Arial"/>
          <w:sz w:val="20"/>
          <w:szCs w:val="20"/>
        </w:rPr>
        <w:br/>
      </w:r>
      <w:r w:rsidRPr="008F1ACE">
        <w:rPr>
          <w:rFonts w:ascii="Arial" w:hAnsi="Arial"/>
          <w:b/>
          <w:bCs/>
          <w:sz w:val="20"/>
          <w:szCs w:val="20"/>
        </w:rPr>
        <w:t>Sent:</w:t>
      </w:r>
      <w:r w:rsidRPr="008F1ACE">
        <w:rPr>
          <w:rFonts w:ascii="Arial" w:hAnsi="Arial"/>
          <w:sz w:val="20"/>
          <w:szCs w:val="20"/>
        </w:rPr>
        <w:t xml:space="preserve"> Friday, May 11, 2018 10:17 AM</w:t>
      </w:r>
      <w:r w:rsidRPr="008F1ACE">
        <w:rPr>
          <w:rFonts w:ascii="Arial" w:hAnsi="Arial"/>
          <w:sz w:val="20"/>
          <w:szCs w:val="20"/>
        </w:rPr>
        <w:br/>
      </w:r>
      <w:r w:rsidRPr="008F1ACE">
        <w:rPr>
          <w:rFonts w:ascii="Arial" w:hAnsi="Arial"/>
          <w:b/>
          <w:bCs/>
          <w:sz w:val="20"/>
          <w:szCs w:val="20"/>
        </w:rPr>
        <w:t>Subject:</w:t>
      </w:r>
      <w:r w:rsidRPr="008F1ACE">
        <w:rPr>
          <w:rFonts w:ascii="Arial" w:hAnsi="Arial"/>
          <w:sz w:val="20"/>
          <w:szCs w:val="20"/>
        </w:rPr>
        <w:t xml:space="preserve"> Q-Tip: Considerations when determining effective dates</w:t>
      </w:r>
    </w:p>
    <w:p w:rsidR="008F1ACE" w:rsidRPr="008F1ACE" w:rsidRDefault="008F1ACE" w:rsidP="008F1ACE">
      <w:pPr>
        <w:spacing w:after="120"/>
        <w:ind w:left="720"/>
        <w:rPr>
          <w:b/>
          <w:bCs/>
        </w:rPr>
      </w:pPr>
      <w:r w:rsidRPr="008F1ACE">
        <w:rPr>
          <w:b/>
          <w:bCs/>
        </w:rPr>
        <w:t>Q-Tip:  Considerations when determining effective dates</w:t>
      </w:r>
    </w:p>
    <w:p w:rsidR="008F1ACE" w:rsidRPr="008F1ACE" w:rsidRDefault="008F1ACE" w:rsidP="008F1ACE">
      <w:pPr>
        <w:spacing w:after="120"/>
        <w:ind w:left="720"/>
        <w:rPr>
          <w:b/>
          <w:bCs/>
        </w:rPr>
      </w:pPr>
      <w:r w:rsidRPr="008F1ACE">
        <w:rPr>
          <w:b/>
          <w:bCs/>
        </w:rPr>
        <w:t>Target Audience: RVSRs/DROs:</w:t>
      </w:r>
    </w:p>
    <w:p w:rsidR="008F1ACE" w:rsidRPr="008F1ACE" w:rsidRDefault="008F1ACE" w:rsidP="008F1ACE">
      <w:pPr>
        <w:spacing w:after="120"/>
        <w:ind w:left="720"/>
      </w:pPr>
      <w:r w:rsidRPr="008F1ACE">
        <w:t xml:space="preserve">The Live manual was updated on September 22, 2017 to include a specific area which discusses general principles when determining the correct effective date for rating purposes.  An update to this section was completed on January 2, 2018.  The section of the manual which provides this guidance is </w:t>
      </w:r>
      <w:r w:rsidRPr="008F1ACE">
        <w:rPr>
          <w:b/>
          <w:bCs/>
        </w:rPr>
        <w:t>M21-1 III.iv.5.C.</w:t>
      </w:r>
    </w:p>
    <w:p w:rsidR="008F1ACE" w:rsidRPr="008F1ACE" w:rsidRDefault="008F1ACE" w:rsidP="008F1ACE">
      <w:pPr>
        <w:spacing w:after="120"/>
        <w:ind w:left="720"/>
      </w:pPr>
      <w:r w:rsidRPr="008F1ACE">
        <w:t>This section contains information in line with 38 CFR 3.400, and also includes additional guidance when considering entitlement to benefits under historical 38 CFR 3.157 and 3.155.</w:t>
      </w:r>
    </w:p>
    <w:p w:rsidR="008F1ACE" w:rsidRPr="008F1ACE" w:rsidRDefault="008F1ACE" w:rsidP="008F1ACE">
      <w:pPr>
        <w:spacing w:after="120"/>
        <w:ind w:left="720"/>
      </w:pPr>
      <w:r w:rsidRPr="008F1ACE">
        <w:t>For your convenience, this section of the manual has been attached for your review/reference.</w:t>
      </w:r>
      <w:r w:rsidRPr="008F1ACE">
        <w:rPr>
          <w:color w:val="1F497D"/>
        </w:rPr>
        <w:t xml:space="preserve">  </w:t>
      </w:r>
      <w:r w:rsidRPr="008F1ACE">
        <w:t>Please note the guidance provided in this section will not be all inclusive to address every scenario; however, additional assistance/guidance can be provided by your team SME or QRT liaison as necessary.</w:t>
      </w:r>
    </w:p>
    <w:p w:rsidR="008F1ACE" w:rsidRPr="008F1ACE" w:rsidRDefault="008F1ACE" w:rsidP="008F1ACE">
      <w:pPr>
        <w:spacing w:after="120"/>
        <w:ind w:left="720"/>
      </w:pPr>
      <w:r w:rsidRPr="008F1ACE">
        <w:t>For any questions relating to this topic, please contact your team SME or QRT liaison.</w:t>
      </w:r>
    </w:p>
    <w:p w:rsidR="008F1ACE" w:rsidRPr="002C01F0" w:rsidRDefault="008F1ACE" w:rsidP="002C01F0">
      <w:pPr>
        <w:pStyle w:val="ListParagraph"/>
        <w:spacing w:after="120" w:line="240" w:lineRule="auto"/>
        <w:rPr>
          <w:rFonts w:ascii="Arial" w:hAnsi="Arial"/>
          <w:sz w:val="20"/>
          <w:szCs w:val="20"/>
        </w:rPr>
      </w:pPr>
    </w:p>
    <w:tbl>
      <w:tblPr>
        <w:tblW w:w="10875" w:type="dxa"/>
        <w:tblInd w:w="-45" w:type="dxa"/>
        <w:tblLayout w:type="fixed"/>
        <w:tblCellMar>
          <w:left w:w="30" w:type="dxa"/>
          <w:right w:w="30" w:type="dxa"/>
        </w:tblCellMar>
        <w:tblLook w:val="0000" w:firstRow="0" w:lastRow="0" w:firstColumn="0" w:lastColumn="0" w:noHBand="0" w:noVBand="0"/>
      </w:tblPr>
      <w:tblGrid>
        <w:gridCol w:w="705"/>
        <w:gridCol w:w="10170"/>
      </w:tblGrid>
      <w:tr w:rsidR="00013EB8">
        <w:trPr>
          <w:trHeight w:val="279"/>
        </w:trPr>
        <w:tc>
          <w:tcPr>
            <w:tcW w:w="705" w:type="dxa"/>
            <w:tcBorders>
              <w:top w:val="nil"/>
              <w:left w:val="nil"/>
              <w:bottom w:val="nil"/>
              <w:right w:val="nil"/>
            </w:tcBorders>
          </w:tcPr>
          <w:p w:rsidR="00013EB8" w:rsidRDefault="00013EB8">
            <w:pPr>
              <w:widowControl w:val="0"/>
              <w:numPr>
                <w:ilvl w:val="12"/>
                <w:numId w:val="0"/>
              </w:numPr>
              <w:rPr>
                <w:b/>
              </w:rPr>
            </w:pPr>
            <w:r w:rsidRPr="00F673C9">
              <w:rPr>
                <w:b/>
              </w:rPr>
              <w:t>3.114</w:t>
            </w:r>
          </w:p>
        </w:tc>
        <w:tc>
          <w:tcPr>
            <w:tcW w:w="10170" w:type="dxa"/>
            <w:tcBorders>
              <w:top w:val="nil"/>
              <w:left w:val="nil"/>
              <w:bottom w:val="nil"/>
              <w:right w:val="nil"/>
            </w:tcBorders>
          </w:tcPr>
          <w:p w:rsidR="00013EB8" w:rsidRDefault="00013EB8">
            <w:pPr>
              <w:widowControl w:val="0"/>
              <w:numPr>
                <w:ilvl w:val="12"/>
                <w:numId w:val="0"/>
              </w:numPr>
              <w:spacing w:after="120"/>
              <w:rPr>
                <w:i/>
              </w:rPr>
            </w:pPr>
            <w:r>
              <w:rPr>
                <w:b/>
              </w:rPr>
              <w:t xml:space="preserve">Change of law or Department of Veterans Affairs issue </w:t>
            </w:r>
            <w:r>
              <w:t xml:space="preserve">– can pay benefits from the effective date of the law or VA issue if the claim is reviewed within 1 year of the effective date, can pay benefits from 1 year prior to the date of administrative determination of entitlement if the claim is reviewed more than 1 year after the effective date; </w:t>
            </w:r>
            <w:r>
              <w:rPr>
                <w:i/>
              </w:rPr>
              <w:t>veteran has to have the condition at the date of the change in the law to go back to the law change or give 1 year prior (also applies to secondary conditions- have to have them at the date of the change in the law to go prior to DOC)</w:t>
            </w:r>
          </w:p>
          <w:p w:rsidR="00013EB8" w:rsidRDefault="00013EB8">
            <w:pPr>
              <w:widowControl w:val="0"/>
              <w:tabs>
                <w:tab w:val="left" w:pos="0"/>
                <w:tab w:val="left" w:pos="144"/>
              </w:tabs>
              <w:rPr>
                <w:i/>
                <w:iCs/>
              </w:rPr>
            </w:pPr>
            <w:r>
              <w:rPr>
                <w:i/>
                <w:iCs/>
              </w:rPr>
              <w:t xml:space="preserve">effective dates for increase under new evaluation, per 3.114:  </w:t>
            </w:r>
            <w:r>
              <w:rPr>
                <w:i/>
                <w:iCs/>
              </w:rPr>
              <w:tab/>
            </w:r>
          </w:p>
          <w:p w:rsidR="00013EB8" w:rsidRDefault="00013EB8" w:rsidP="00691877">
            <w:pPr>
              <w:widowControl w:val="0"/>
              <w:numPr>
                <w:ilvl w:val="0"/>
                <w:numId w:val="30"/>
              </w:numPr>
              <w:tabs>
                <w:tab w:val="left" w:pos="0"/>
                <w:tab w:val="left" w:pos="360"/>
              </w:tabs>
              <w:ind w:left="360"/>
              <w:rPr>
                <w:i/>
              </w:rPr>
            </w:pPr>
            <w:r>
              <w:rPr>
                <w:i/>
                <w:iCs/>
              </w:rPr>
              <w:t>date of the change in the law, if filed within one year of change</w:t>
            </w:r>
          </w:p>
          <w:p w:rsidR="00013EB8" w:rsidRDefault="00013EB8" w:rsidP="00691877">
            <w:pPr>
              <w:widowControl w:val="0"/>
              <w:numPr>
                <w:ilvl w:val="0"/>
                <w:numId w:val="30"/>
              </w:numPr>
              <w:tabs>
                <w:tab w:val="left" w:pos="0"/>
                <w:tab w:val="left" w:pos="360"/>
              </w:tabs>
              <w:ind w:left="360"/>
              <w:rPr>
                <w:i/>
              </w:rPr>
            </w:pPr>
            <w:r>
              <w:rPr>
                <w:i/>
                <w:iCs/>
              </w:rPr>
              <w:t>one year prior to DOC, if filed more than one year after change</w:t>
            </w:r>
          </w:p>
          <w:p w:rsidR="00013EB8" w:rsidRDefault="00013EB8">
            <w:pPr>
              <w:widowControl w:val="0"/>
              <w:tabs>
                <w:tab w:val="left" w:pos="0"/>
                <w:tab w:val="left" w:pos="360"/>
              </w:tabs>
              <w:rPr>
                <w:i/>
              </w:rPr>
            </w:pPr>
          </w:p>
          <w:p w:rsidR="00013EB8" w:rsidRDefault="00013EB8" w:rsidP="00691877">
            <w:pPr>
              <w:widowControl w:val="0"/>
              <w:numPr>
                <w:ilvl w:val="0"/>
                <w:numId w:val="50"/>
              </w:numPr>
              <w:spacing w:after="120"/>
              <w:rPr>
                <w:iCs/>
              </w:rPr>
            </w:pPr>
            <w:r>
              <w:rPr>
                <w:b/>
                <w:bCs/>
                <w:iCs/>
              </w:rPr>
              <w:t xml:space="preserve">Part 4 changes – </w:t>
            </w:r>
            <w:hyperlink r:id="rId335" w:anchor="ap38.1.4_1150.a" w:history="1">
              <w:r>
                <w:rPr>
                  <w:rStyle w:val="Hyperlink"/>
                  <w:b/>
                  <w:bCs/>
                  <w:iCs/>
                </w:rPr>
                <w:t>Appendix A</w:t>
              </w:r>
            </w:hyperlink>
            <w:r>
              <w:rPr>
                <w:b/>
                <w:bCs/>
                <w:iCs/>
              </w:rPr>
              <w:t xml:space="preserve">, </w:t>
            </w:r>
            <w:r w:rsidRPr="00457AA1">
              <w:rPr>
                <w:b/>
                <w:bCs/>
                <w:iCs/>
              </w:rPr>
              <w:t xml:space="preserve">III.iv.7.B </w:t>
            </w:r>
            <w:r>
              <w:rPr>
                <w:b/>
                <w:bCs/>
                <w:iCs/>
              </w:rPr>
              <w:t xml:space="preserve">&amp; </w:t>
            </w:r>
            <w:r w:rsidRPr="00F673C9">
              <w:rPr>
                <w:b/>
                <w:bCs/>
                <w:iCs/>
              </w:rPr>
              <w:t>3.951</w:t>
            </w:r>
            <w:r w:rsidR="00866DE7">
              <w:rPr>
                <w:b/>
                <w:bCs/>
                <w:iCs/>
              </w:rPr>
              <w:t xml:space="preserve">, </w:t>
            </w:r>
            <w:hyperlink r:id="rId336" w:tgtFrame="_blank" w:history="1">
              <w:r w:rsidR="00866DE7">
                <w:rPr>
                  <w:rStyle w:val="Hyperlink"/>
                  <w:rFonts w:ascii="Helvetica" w:hAnsi="Helvetica" w:cs="Helvetica"/>
                  <w:sz w:val="18"/>
                  <w:szCs w:val="18"/>
                  <w:lang w:val="en"/>
                </w:rPr>
                <w:t>http://vbaw.vba.va.gov/bl/21/publicat/Regs/Part4/Changes/11-12-08.doc</w:t>
              </w:r>
            </w:hyperlink>
          </w:p>
          <w:p w:rsidR="00C274BF" w:rsidRPr="00B05CDB" w:rsidRDefault="00C274BF" w:rsidP="00691877">
            <w:pPr>
              <w:widowControl w:val="0"/>
              <w:numPr>
                <w:ilvl w:val="0"/>
                <w:numId w:val="50"/>
              </w:numPr>
              <w:spacing w:after="120"/>
              <w:rPr>
                <w:b/>
                <w:sz w:val="18"/>
              </w:rPr>
            </w:pPr>
            <w:r w:rsidRPr="00C274BF">
              <w:rPr>
                <w:b/>
              </w:rPr>
              <w:t>III.iv.5.C.7</w:t>
            </w:r>
            <w:r w:rsidR="00B05CDB">
              <w:rPr>
                <w:b/>
              </w:rPr>
              <w:t xml:space="preserve"> </w:t>
            </w:r>
            <w:r w:rsidR="00B05CDB" w:rsidRPr="00B05CDB">
              <w:rPr>
                <w:b/>
                <w:sz w:val="18"/>
              </w:rPr>
              <w:t xml:space="preserve">- </w:t>
            </w:r>
            <w:r w:rsidR="00B05CDB" w:rsidRPr="00B05CDB">
              <w:rPr>
                <w:rStyle w:val="Strong"/>
                <w:bCs w:val="0"/>
                <w:szCs w:val="21"/>
              </w:rPr>
              <w:t>III.iv.5.C.7.n</w:t>
            </w:r>
            <w:r w:rsidR="00B05CDB" w:rsidRPr="00B05CDB">
              <w:rPr>
                <w:bCs/>
                <w:szCs w:val="21"/>
              </w:rPr>
              <w:t xml:space="preserve"> </w:t>
            </w:r>
            <w:r w:rsidR="00B05CDB" w:rsidRPr="00B05CDB">
              <w:rPr>
                <w:rStyle w:val="Strong"/>
                <w:b w:val="0"/>
                <w:bCs w:val="0"/>
                <w:szCs w:val="21"/>
              </w:rPr>
              <w:t>Effective Dates Based on Judicial Precedents</w:t>
            </w:r>
          </w:p>
          <w:p w:rsidR="00393C23" w:rsidRPr="001070FF" w:rsidRDefault="00393C23" w:rsidP="00691877">
            <w:pPr>
              <w:widowControl w:val="0"/>
              <w:numPr>
                <w:ilvl w:val="0"/>
                <w:numId w:val="50"/>
              </w:numPr>
              <w:spacing w:after="120"/>
              <w:rPr>
                <w:b/>
                <w:i/>
                <w:highlight w:val="lightGray"/>
              </w:rPr>
            </w:pPr>
            <w:r w:rsidRPr="001070FF">
              <w:rPr>
                <w:b/>
                <w:highlight w:val="lightGray"/>
              </w:rPr>
              <w:t>IV.ii.2.K.6</w:t>
            </w:r>
          </w:p>
          <w:p w:rsidR="00013EB8" w:rsidRDefault="00013EB8" w:rsidP="00691877">
            <w:pPr>
              <w:widowControl w:val="0"/>
              <w:numPr>
                <w:ilvl w:val="0"/>
                <w:numId w:val="50"/>
              </w:numPr>
              <w:spacing w:after="120"/>
              <w:rPr>
                <w:i/>
              </w:rPr>
            </w:pPr>
            <w:r>
              <w:rPr>
                <w:b/>
                <w:i/>
              </w:rPr>
              <w:t>GC 88-90</w:t>
            </w:r>
            <w:r w:rsidRPr="007D5CC9">
              <w:rPr>
                <w:i/>
              </w:rPr>
              <w:t>-</w:t>
            </w:r>
            <w:r>
              <w:rPr>
                <w:b/>
                <w:i/>
              </w:rPr>
              <w:t xml:space="preserve"> </w:t>
            </w:r>
            <w:r>
              <w:rPr>
                <w:i/>
              </w:rPr>
              <w:t>3.114 does not apply to GC opinions</w:t>
            </w:r>
          </w:p>
          <w:p w:rsidR="00013EB8" w:rsidRDefault="00013EB8" w:rsidP="00691877">
            <w:pPr>
              <w:widowControl w:val="0"/>
              <w:numPr>
                <w:ilvl w:val="0"/>
                <w:numId w:val="50"/>
              </w:numPr>
              <w:spacing w:after="120"/>
              <w:rPr>
                <w:i/>
              </w:rPr>
            </w:pPr>
            <w:r>
              <w:rPr>
                <w:b/>
                <w:i/>
              </w:rPr>
              <w:t>GCs 10-94 &amp; 9-94</w:t>
            </w:r>
            <w:r>
              <w:rPr>
                <w:i/>
              </w:rPr>
              <w:t>- 3.114 does not apply to Court Cases</w:t>
            </w:r>
          </w:p>
          <w:p w:rsidR="00013EB8" w:rsidRDefault="00013EB8" w:rsidP="00691877">
            <w:pPr>
              <w:widowControl w:val="0"/>
              <w:numPr>
                <w:ilvl w:val="0"/>
                <w:numId w:val="50"/>
              </w:numPr>
              <w:spacing w:after="120"/>
              <w:rPr>
                <w:b/>
                <w:i/>
                <w:vanish/>
              </w:rPr>
            </w:pPr>
            <w:r>
              <w:rPr>
                <w:b/>
                <w:i/>
              </w:rPr>
              <w:t>GC 11-99</w:t>
            </w:r>
            <w:r>
              <w:rPr>
                <w:i/>
              </w:rPr>
              <w:t xml:space="preserve">- </w:t>
            </w:r>
            <w:r>
              <w:rPr>
                <w:b/>
                <w:i/>
                <w:vanish/>
              </w:rPr>
              <w:t>See DADS in Intranet cite and POA indexes.</w:t>
            </w:r>
          </w:p>
          <w:p w:rsidR="00013EB8" w:rsidRDefault="00013EB8">
            <w:pPr>
              <w:widowControl w:val="0"/>
              <w:numPr>
                <w:ilvl w:val="12"/>
                <w:numId w:val="0"/>
              </w:numPr>
              <w:tabs>
                <w:tab w:val="left" w:pos="330"/>
              </w:tabs>
              <w:spacing w:after="120"/>
              <w:ind w:left="330"/>
              <w:rPr>
                <w:b/>
                <w:i/>
                <w:vanish/>
              </w:rPr>
            </w:pPr>
          </w:p>
          <w:p w:rsidR="00013EB8" w:rsidRDefault="00013EB8">
            <w:pPr>
              <w:widowControl w:val="0"/>
              <w:numPr>
                <w:ilvl w:val="12"/>
                <w:numId w:val="0"/>
              </w:numPr>
              <w:tabs>
                <w:tab w:val="left" w:pos="330"/>
              </w:tabs>
              <w:spacing w:after="120"/>
              <w:ind w:left="330"/>
              <w:rPr>
                <w:b/>
                <w:i/>
                <w:vanish/>
              </w:rPr>
            </w:pPr>
          </w:p>
          <w:p w:rsidR="00013EB8" w:rsidRDefault="00013EB8" w:rsidP="00691877">
            <w:pPr>
              <w:pStyle w:val="HTMLPreformatted"/>
              <w:widowControl w:val="0"/>
              <w:numPr>
                <w:ilvl w:val="0"/>
                <w:numId w:val="5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30"/>
              </w:tabs>
              <w:spacing w:after="120"/>
              <w:rPr>
                <w:rFonts w:ascii="Arial" w:hAnsi="Arial"/>
                <w:i/>
              </w:rPr>
            </w:pPr>
            <w:r>
              <w:rPr>
                <w:rFonts w:ascii="Arial" w:hAnsi="Arial"/>
                <w:i/>
              </w:rPr>
              <w:t>limitations on the meaning of what constitutes “liberalizing laws or issues” in 38 CFR 3.114, GC opinion not included</w:t>
            </w:r>
          </w:p>
          <w:p w:rsidR="00013EB8" w:rsidRDefault="00013EB8" w:rsidP="00691877">
            <w:pPr>
              <w:pStyle w:val="HTMLPreformatted"/>
              <w:widowControl w:val="0"/>
              <w:numPr>
                <w:ilvl w:val="0"/>
                <w:numId w:val="5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30"/>
              </w:tabs>
              <w:spacing w:after="120"/>
              <w:rPr>
                <w:rFonts w:ascii="Arial" w:hAnsi="Arial"/>
                <w:b/>
                <w:i/>
              </w:rPr>
            </w:pPr>
            <w:r>
              <w:rPr>
                <w:rFonts w:ascii="Arial" w:hAnsi="Arial"/>
                <w:b/>
                <w:i/>
              </w:rPr>
              <w:t>GC 3-00</w:t>
            </w:r>
          </w:p>
          <w:p w:rsidR="00013EB8" w:rsidRDefault="00013EB8" w:rsidP="00691877">
            <w:pPr>
              <w:pStyle w:val="HTMLPreformatted"/>
              <w:widowControl w:val="0"/>
              <w:numPr>
                <w:ilvl w:val="0"/>
                <w:numId w:val="5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30"/>
              </w:tabs>
              <w:spacing w:after="120"/>
              <w:rPr>
                <w:rFonts w:ascii="Arial" w:hAnsi="Arial"/>
                <w:i/>
              </w:rPr>
            </w:pPr>
            <w:r>
              <w:rPr>
                <w:rFonts w:ascii="Arial" w:hAnsi="Arial"/>
                <w:b/>
                <w:i/>
              </w:rPr>
              <w:t>Nehmer v. US Veterans Administration</w:t>
            </w:r>
            <w:r>
              <w:rPr>
                <w:rFonts w:ascii="Arial" w:hAnsi="Arial"/>
                <w:i/>
              </w:rPr>
              <w:t xml:space="preserve">- early </w:t>
            </w:r>
            <w:r w:rsidR="004F315B">
              <w:rPr>
                <w:rFonts w:ascii="Arial" w:hAnsi="Arial"/>
                <w:i/>
              </w:rPr>
              <w:t>effective date</w:t>
            </w:r>
            <w:r>
              <w:rPr>
                <w:rFonts w:ascii="Arial" w:hAnsi="Arial"/>
                <w:i/>
              </w:rPr>
              <w:t xml:space="preserve"> with herbicide exposure</w:t>
            </w:r>
          </w:p>
          <w:p w:rsidR="00013EB8" w:rsidRDefault="00013EB8" w:rsidP="00F063AF">
            <w:pPr>
              <w:widowControl w:val="0"/>
              <w:numPr>
                <w:ilvl w:val="0"/>
                <w:numId w:val="233"/>
              </w:numPr>
              <w:tabs>
                <w:tab w:val="left" w:pos="330"/>
              </w:tabs>
              <w:spacing w:after="120"/>
              <w:ind w:left="330"/>
              <w:rPr>
                <w:i/>
              </w:rPr>
            </w:pPr>
            <w:r>
              <w:rPr>
                <w:b/>
                <w:i/>
              </w:rPr>
              <w:t>Karnas v. Derwinski</w:t>
            </w:r>
            <w:r>
              <w:rPr>
                <w:b/>
              </w:rPr>
              <w:t xml:space="preserve"> (6/11/91) </w:t>
            </w:r>
            <w:r>
              <w:t xml:space="preserve"> - Where a law or regulation changes after a claim has been filed or reopened but before the administrative or judicial appeal process has been concluded, the version most favorable to an appellant applies unless Congress provided otherwise or permitted the Secretary to do otherwise and the Secretary did so.</w:t>
            </w:r>
          </w:p>
          <w:p w:rsidR="00013EB8" w:rsidRDefault="00013EB8" w:rsidP="00F063AF">
            <w:pPr>
              <w:widowControl w:val="0"/>
              <w:numPr>
                <w:ilvl w:val="0"/>
                <w:numId w:val="233"/>
              </w:numPr>
              <w:tabs>
                <w:tab w:val="left" w:pos="330"/>
              </w:tabs>
              <w:spacing w:after="120"/>
              <w:ind w:left="330"/>
              <w:rPr>
                <w:i/>
              </w:rPr>
            </w:pPr>
            <w:r>
              <w:rPr>
                <w:b/>
                <w:i/>
              </w:rPr>
              <w:t xml:space="preserve">VAOPGCPREC 7-2003 </w:t>
            </w:r>
            <w:r w:rsidRPr="00F863FB">
              <w:t>(11/19/03)</w:t>
            </w:r>
            <w:r w:rsidR="00F863FB" w:rsidRPr="00F863FB">
              <w:t xml:space="preserve"> </w:t>
            </w:r>
            <w:r w:rsidRPr="00F863FB">
              <w:t>-</w:t>
            </w:r>
            <w:r>
              <w:t xml:space="preserve"> Kuzma v. Principi overruled Karnas v. Derwinski so that when a new statute is enacted or a new regulation is issued while a claim is pending before VA, VA must first determine whether the statute or regulation identifies the types of claims to which it applies. If the statute or regulation is silent, VA must determine whether applying the new provision to claims that were pending when it took effect would produce genuinely retroactive effects. If applying the new provision would produce such retroactive effects, VA ordinarily should not apply the new provision to the claim. If applying the new provision would not produce retroactive effects, VA ordinarily must apply the new provision. As a general matter, rules announced in judicial decisions apply retroactively to all cases still open on direct review when the new rule is announced. Statutes and regulations, in contrast, are presumed not to apply in any manner that would produce genuinely retroactive effects, unless the statute or regulation itself provides for such retroactivity. In VAOPGCPREC 11-2000, we concluded that all of the VCAA's provisions apply to claims that were filed before November 9, 2000, but had not been finally decided as of the date. Because VA's August 2001 final-rule notice amending 38 CFR 3.159 expressly and validly provided that VA's regulations implementing the VCAA will apply to all claims that were pending before VA as of November 9, 2000, any further reliance on VAOPGCPREC 11-2000 is unnecessary. We hereby withdraw VAOPGCPREC 11-2000.</w:t>
            </w:r>
          </w:p>
          <w:p w:rsidR="00013EB8" w:rsidRDefault="00013EB8" w:rsidP="00F063AF">
            <w:pPr>
              <w:pStyle w:val="NormalWeb"/>
              <w:widowControl w:val="0"/>
              <w:numPr>
                <w:ilvl w:val="0"/>
                <w:numId w:val="233"/>
              </w:numPr>
              <w:ind w:left="330"/>
              <w:rPr>
                <w:rStyle w:val="Hyperlink"/>
                <w:rFonts w:eastAsia="Arial Unicode MS"/>
                <w:color w:val="auto"/>
                <w:sz w:val="20"/>
                <w:u w:val="none"/>
                <w:lang w:val="en"/>
              </w:rPr>
            </w:pPr>
            <w:r>
              <w:rPr>
                <w:sz w:val="20"/>
                <w:szCs w:val="20"/>
              </w:rPr>
              <w:t>Liesegang, et al, 12/10/02.  Federal Circuit case, 312 F.3d 1368, 1374-75</w:t>
            </w:r>
            <w:r w:rsidR="00A36F33">
              <w:rPr>
                <w:sz w:val="20"/>
              </w:rPr>
              <w:t xml:space="preserve"> </w:t>
            </w:r>
            <w:r>
              <w:rPr>
                <w:rStyle w:val="Hyperlink"/>
                <w:color w:val="auto"/>
                <w:sz w:val="20"/>
                <w:u w:val="none"/>
              </w:rPr>
              <w:t xml:space="preserve">says: </w:t>
            </w:r>
          </w:p>
          <w:p w:rsidR="00013EB8" w:rsidRDefault="00013EB8" w:rsidP="00457AA1">
            <w:pPr>
              <w:pStyle w:val="NormalWeb"/>
              <w:widowControl w:val="0"/>
              <w:ind w:left="330"/>
              <w:rPr>
                <w:sz w:val="20"/>
                <w:lang w:val="en"/>
              </w:rPr>
            </w:pPr>
            <w:r>
              <w:rPr>
                <w:i/>
                <w:iCs/>
                <w:sz w:val="20"/>
                <w:lang w:val="en"/>
              </w:rPr>
              <w:t>Liesegang, et al v. Secretary of Veterans Affairs</w:t>
            </w:r>
            <w:r>
              <w:rPr>
                <w:sz w:val="20"/>
                <w:lang w:val="en"/>
              </w:rPr>
              <w:br/>
              <w:t xml:space="preserve">On December 10, 2002, the US Court of Appeals for the Federal Circuit issued a decision in the case of </w:t>
            </w:r>
            <w:r>
              <w:rPr>
                <w:i/>
                <w:iCs/>
                <w:sz w:val="20"/>
                <w:lang w:val="en"/>
              </w:rPr>
              <w:t>Liesegang, et al v. Secretary of Veteran Affairs</w:t>
            </w:r>
            <w:r>
              <w:rPr>
                <w:sz w:val="20"/>
                <w:lang w:val="en"/>
              </w:rPr>
              <w:t xml:space="preserve">.  The Court held that the correct effective date for our regulation adding Type 2 diabetes to the list of presumptive disabilities related to herbicide exposure is May 08, 2001, instead of July 9, 2001. </w:t>
            </w:r>
          </w:p>
          <w:p w:rsidR="00013EB8" w:rsidRDefault="00013EB8" w:rsidP="00457AA1">
            <w:pPr>
              <w:pStyle w:val="NormalWeb"/>
              <w:widowControl w:val="0"/>
              <w:spacing w:after="0"/>
              <w:ind w:left="330"/>
              <w:rPr>
                <w:i/>
              </w:rPr>
            </w:pPr>
            <w:r>
              <w:rPr>
                <w:sz w:val="20"/>
                <w:lang w:val="en"/>
              </w:rPr>
              <w:t xml:space="preserve">As a result of that decision, VA issued an automatic one-time adjustment to 9,340 Veterans granting an earlier payment date of June 1, 2001. The one time payment was made on August 4, 2003.  In each adjusted case a notice was issued to the Veteran, POA, and RO.   An additional 4,680 cases were manually reviewed.  When reviewing the current </w:t>
            </w:r>
            <w:r>
              <w:rPr>
                <w:i/>
                <w:iCs/>
                <w:sz w:val="20"/>
                <w:lang w:val="en"/>
              </w:rPr>
              <w:t>Nehmer</w:t>
            </w:r>
            <w:r>
              <w:rPr>
                <w:sz w:val="20"/>
                <w:lang w:val="en"/>
              </w:rPr>
              <w:t xml:space="preserve"> cases that may have previously involved Type 2 diabetes you must assure that this adjustment was actually made.  This may require a thorough review of the claims folder.  It is important that the Veteran gets paid correctly when entering the information into the prior payment field in VETSNET for retroactive awards.</w:t>
            </w:r>
          </w:p>
          <w:p w:rsidR="00013EB8" w:rsidRDefault="00013EB8">
            <w:pPr>
              <w:widowControl w:val="0"/>
              <w:tabs>
                <w:tab w:val="left" w:pos="330"/>
              </w:tabs>
              <w:rPr>
                <w:i/>
              </w:rPr>
            </w:pPr>
          </w:p>
          <w:p w:rsidR="00083D88" w:rsidRPr="00083D88" w:rsidRDefault="00D571C5" w:rsidP="00F063AF">
            <w:pPr>
              <w:pStyle w:val="ListParagraph"/>
              <w:widowControl w:val="0"/>
              <w:numPr>
                <w:ilvl w:val="0"/>
                <w:numId w:val="193"/>
              </w:numPr>
              <w:tabs>
                <w:tab w:val="left" w:pos="330"/>
              </w:tabs>
              <w:spacing w:after="120" w:line="240" w:lineRule="auto"/>
              <w:ind w:left="330"/>
              <w:rPr>
                <w:b/>
                <w:bCs/>
                <w:i/>
              </w:rPr>
            </w:pPr>
            <w:hyperlink r:id="rId337" w:history="1">
              <w:r w:rsidR="00083D88" w:rsidRPr="00083D88">
                <w:rPr>
                  <w:rStyle w:val="Hyperlink"/>
                  <w:rFonts w:ascii="Arial" w:hAnsi="Arial"/>
                  <w:b/>
                  <w:i/>
                  <w:sz w:val="20"/>
                  <w:szCs w:val="20"/>
                </w:rPr>
                <w:t xml:space="preserve">October 2014 Rating </w:t>
              </w:r>
              <w:r w:rsidR="00FF4E63">
                <w:rPr>
                  <w:rStyle w:val="Hyperlink"/>
                  <w:rFonts w:ascii="Arial" w:hAnsi="Arial"/>
                  <w:b/>
                  <w:i/>
                  <w:sz w:val="20"/>
                  <w:szCs w:val="20"/>
                </w:rPr>
                <w:t>Quality Call Notes</w:t>
              </w:r>
            </w:hyperlink>
            <w:r w:rsidR="00083D88" w:rsidRPr="00083D88">
              <w:rPr>
                <w:rFonts w:ascii="Arial" w:hAnsi="Arial"/>
                <w:sz w:val="20"/>
                <w:szCs w:val="20"/>
              </w:rPr>
              <w:t xml:space="preserve"> –</w:t>
            </w:r>
          </w:p>
          <w:p w:rsidR="00083D88" w:rsidRPr="00936F16" w:rsidRDefault="00083D88" w:rsidP="00936F16">
            <w:pPr>
              <w:pStyle w:val="NoSpacing"/>
              <w:spacing w:after="120"/>
              <w:ind w:left="330"/>
              <w:rPr>
                <w:rFonts w:ascii="Arial" w:hAnsi="Arial"/>
                <w:sz w:val="20"/>
                <w:szCs w:val="20"/>
              </w:rPr>
            </w:pPr>
            <w:r w:rsidRPr="00936F16">
              <w:rPr>
                <w:rFonts w:ascii="Arial" w:hAnsi="Arial"/>
                <w:sz w:val="20"/>
                <w:szCs w:val="20"/>
              </w:rPr>
              <w:t xml:space="preserve">Scenario:  A Veteran with verified in-country service in Vietnam submits an original claim for service connection for </w:t>
            </w:r>
            <w:r w:rsidRPr="00EC4CEC">
              <w:rPr>
                <w:rFonts w:ascii="Arial" w:hAnsi="Arial"/>
                <w:sz w:val="20"/>
                <w:szCs w:val="20"/>
              </w:rPr>
              <w:t>Type 2 diabetes mellitus (DM)</w:t>
            </w:r>
            <w:r w:rsidRPr="00936F16">
              <w:rPr>
                <w:rFonts w:ascii="Arial" w:hAnsi="Arial"/>
                <w:sz w:val="20"/>
                <w:szCs w:val="20"/>
              </w:rPr>
              <w:t xml:space="preserve"> on January 1, 2014, along with evidence dated January 1, 1999, showing confirmed diagnosis of diet-controlled DM.  A VA examination (VAE) conducted on February 3, 2014, shows the Veteran uses insulin.</w:t>
            </w:r>
          </w:p>
          <w:p w:rsidR="00083D88" w:rsidRPr="00936F16" w:rsidRDefault="00083D88" w:rsidP="00936F16">
            <w:pPr>
              <w:pStyle w:val="NoSpacing"/>
              <w:spacing w:after="120"/>
              <w:ind w:left="330" w:right="-90"/>
              <w:rPr>
                <w:rFonts w:ascii="Arial" w:hAnsi="Arial"/>
                <w:sz w:val="20"/>
                <w:szCs w:val="20"/>
              </w:rPr>
            </w:pPr>
            <w:r w:rsidRPr="00936F16">
              <w:rPr>
                <w:rFonts w:ascii="Arial" w:hAnsi="Arial"/>
                <w:sz w:val="20"/>
                <w:szCs w:val="20"/>
              </w:rPr>
              <w:t>Should you grant 10% from January 1, 2013, then increase to 20% on February 3, 2014?  Or, should you grant 20% from January 1, 2013?  In addition, what date would be used if the claim was submitted with evidence showing insulin was started on January 3, 2005?</w:t>
            </w:r>
          </w:p>
          <w:p w:rsidR="00083D88" w:rsidRPr="00936F16" w:rsidRDefault="00083D88" w:rsidP="00F063AF">
            <w:pPr>
              <w:pStyle w:val="NoSpacing"/>
              <w:numPr>
                <w:ilvl w:val="0"/>
                <w:numId w:val="197"/>
              </w:numPr>
              <w:spacing w:after="120"/>
              <w:ind w:left="690"/>
              <w:rPr>
                <w:rFonts w:ascii="Arial" w:hAnsi="Arial"/>
                <w:sz w:val="20"/>
                <w:szCs w:val="20"/>
              </w:rPr>
            </w:pPr>
            <w:r w:rsidRPr="00936F16">
              <w:rPr>
                <w:rFonts w:ascii="Arial" w:hAnsi="Arial"/>
                <w:sz w:val="20"/>
                <w:szCs w:val="20"/>
              </w:rPr>
              <w:t xml:space="preserve">Per </w:t>
            </w:r>
            <w:r w:rsidRPr="00EC4CEC">
              <w:rPr>
                <w:rFonts w:ascii="Arial" w:hAnsi="Arial"/>
                <w:sz w:val="20"/>
                <w:szCs w:val="20"/>
              </w:rPr>
              <w:t>38 CFR 3.114(a)(3)</w:t>
            </w:r>
            <w:r w:rsidRPr="00936F16">
              <w:rPr>
                <w:rFonts w:ascii="Arial" w:hAnsi="Arial"/>
                <w:sz w:val="20"/>
                <w:szCs w:val="20"/>
              </w:rPr>
              <w:t>, a one year retroactive effective date is warranted, which would be January 1, 2013, in this scenario</w:t>
            </w:r>
          </w:p>
          <w:p w:rsidR="00083D88" w:rsidRPr="00936F16" w:rsidRDefault="00083D88" w:rsidP="00F063AF">
            <w:pPr>
              <w:pStyle w:val="NoSpacing"/>
              <w:numPr>
                <w:ilvl w:val="0"/>
                <w:numId w:val="197"/>
              </w:numPr>
              <w:spacing w:after="120"/>
              <w:ind w:left="690"/>
              <w:rPr>
                <w:rFonts w:ascii="Arial" w:hAnsi="Arial"/>
                <w:sz w:val="20"/>
                <w:szCs w:val="20"/>
              </w:rPr>
            </w:pPr>
            <w:r w:rsidRPr="00936F16">
              <w:rPr>
                <w:rFonts w:ascii="Arial" w:hAnsi="Arial"/>
                <w:sz w:val="20"/>
                <w:szCs w:val="20"/>
              </w:rPr>
              <w:t>10% warranted from January 1, 2013, since the evidence showed only diet-controlled DM, then assign</w:t>
            </w:r>
          </w:p>
          <w:p w:rsidR="00083D88" w:rsidRPr="00936F16" w:rsidRDefault="00083D88" w:rsidP="00F063AF">
            <w:pPr>
              <w:pStyle w:val="NoSpacing"/>
              <w:numPr>
                <w:ilvl w:val="0"/>
                <w:numId w:val="197"/>
              </w:numPr>
              <w:spacing w:after="120"/>
              <w:ind w:left="690"/>
              <w:rPr>
                <w:rFonts w:ascii="Arial" w:hAnsi="Arial"/>
                <w:sz w:val="20"/>
                <w:szCs w:val="20"/>
              </w:rPr>
            </w:pPr>
            <w:r w:rsidRPr="00936F16">
              <w:rPr>
                <w:rFonts w:ascii="Arial" w:hAnsi="Arial"/>
                <w:sz w:val="20"/>
                <w:szCs w:val="20"/>
              </w:rPr>
              <w:t>20% from date of exam, February 3, 2014, the first time the evidence showed a higher level of care was warranted</w:t>
            </w:r>
          </w:p>
          <w:p w:rsidR="00083D88" w:rsidRPr="00936F16" w:rsidRDefault="00083D88" w:rsidP="00F063AF">
            <w:pPr>
              <w:pStyle w:val="NoSpacing"/>
              <w:numPr>
                <w:ilvl w:val="0"/>
                <w:numId w:val="197"/>
              </w:numPr>
              <w:spacing w:after="120"/>
              <w:ind w:left="690"/>
              <w:rPr>
                <w:rFonts w:ascii="Arial" w:hAnsi="Arial"/>
                <w:sz w:val="20"/>
                <w:szCs w:val="20"/>
              </w:rPr>
            </w:pPr>
            <w:r w:rsidRPr="00936F16">
              <w:rPr>
                <w:rFonts w:ascii="Arial" w:hAnsi="Arial"/>
                <w:sz w:val="20"/>
                <w:szCs w:val="20"/>
              </w:rPr>
              <w:t xml:space="preserve">If evidence dated January 3, 2005, shows the Veteran met the 20% criteria, then 20% would be granted from January 1, 2013, with no </w:t>
            </w:r>
            <w:hyperlink r:id="rId338" w:history="1">
              <w:r w:rsidRPr="00936F16">
                <w:rPr>
                  <w:rStyle w:val="Hyperlink"/>
                  <w:rFonts w:ascii="Arial" w:hAnsi="Arial"/>
                  <w:sz w:val="20"/>
                  <w:szCs w:val="20"/>
                </w:rPr>
                <w:t>staging</w:t>
              </w:r>
            </w:hyperlink>
          </w:p>
          <w:p w:rsidR="00F107C0" w:rsidRPr="00F107C0" w:rsidRDefault="00D571C5" w:rsidP="00F063AF">
            <w:pPr>
              <w:pStyle w:val="ListParagraph"/>
              <w:widowControl w:val="0"/>
              <w:numPr>
                <w:ilvl w:val="0"/>
                <w:numId w:val="193"/>
              </w:numPr>
              <w:tabs>
                <w:tab w:val="left" w:pos="330"/>
              </w:tabs>
              <w:spacing w:after="120" w:line="240" w:lineRule="auto"/>
              <w:ind w:left="331"/>
              <w:rPr>
                <w:b/>
                <w:bCs/>
                <w:i/>
              </w:rPr>
            </w:pPr>
            <w:hyperlink r:id="rId339" w:history="1">
              <w:r w:rsidR="00E71248" w:rsidRPr="00E71248">
                <w:rPr>
                  <w:rStyle w:val="Hyperlink"/>
                  <w:rFonts w:ascii="Arial" w:hAnsi="Arial"/>
                  <w:b/>
                  <w:i/>
                  <w:sz w:val="20"/>
                  <w:szCs w:val="20"/>
                </w:rPr>
                <w:t xml:space="preserve">January 2015 Rating </w:t>
              </w:r>
              <w:r w:rsidR="00FF4E63">
                <w:rPr>
                  <w:rStyle w:val="Hyperlink"/>
                  <w:rFonts w:ascii="Arial" w:hAnsi="Arial"/>
                  <w:b/>
                  <w:i/>
                  <w:sz w:val="20"/>
                  <w:szCs w:val="20"/>
                </w:rPr>
                <w:t>Quality Call Notes</w:t>
              </w:r>
            </w:hyperlink>
            <w:r w:rsidR="00E71248" w:rsidRPr="00E71248">
              <w:rPr>
                <w:rStyle w:val="Hyperlink"/>
                <w:rFonts w:ascii="Arial" w:hAnsi="Arial"/>
                <w:sz w:val="20"/>
                <w:szCs w:val="20"/>
                <w:u w:val="none"/>
              </w:rPr>
              <w:t xml:space="preserve"> </w:t>
            </w:r>
            <w:r w:rsidR="00E71248" w:rsidRPr="00C906D7">
              <w:rPr>
                <w:rFonts w:ascii="Arial" w:hAnsi="Arial"/>
                <w:sz w:val="20"/>
                <w:szCs w:val="20"/>
              </w:rPr>
              <w:t>–</w:t>
            </w:r>
            <w:r w:rsidR="00E71248">
              <w:rPr>
                <w:rFonts w:ascii="Arial" w:hAnsi="Arial"/>
                <w:sz w:val="20"/>
                <w:szCs w:val="20"/>
              </w:rPr>
              <w:t xml:space="preserve"> </w:t>
            </w:r>
          </w:p>
          <w:p w:rsidR="00F107C0" w:rsidRDefault="00E71248" w:rsidP="00F107C0">
            <w:pPr>
              <w:widowControl w:val="0"/>
              <w:tabs>
                <w:tab w:val="left" w:pos="330"/>
              </w:tabs>
              <w:spacing w:after="120"/>
              <w:ind w:left="330"/>
              <w:rPr>
                <w:b/>
              </w:rPr>
            </w:pPr>
            <w:r w:rsidRPr="00F107C0">
              <w:rPr>
                <w:b/>
              </w:rPr>
              <w:t xml:space="preserve">Question:  If an informal claim is received and is properly formalized for a condition that qualifies for a retroactive payment under 38 CFR 3.114, should you calculate the effective date by using the informal date of claim (DOC) or the formal DOC?  </w:t>
            </w:r>
          </w:p>
          <w:p w:rsidR="00083D88" w:rsidRPr="00F107C0" w:rsidRDefault="00E71248" w:rsidP="00F107C0">
            <w:pPr>
              <w:widowControl w:val="0"/>
              <w:tabs>
                <w:tab w:val="left" w:pos="330"/>
              </w:tabs>
              <w:spacing w:after="120"/>
              <w:ind w:left="330"/>
              <w:rPr>
                <w:b/>
                <w:bCs/>
                <w:i/>
              </w:rPr>
            </w:pPr>
            <w:r w:rsidRPr="00F107C0">
              <w:t>Answer:  The 3.114 rules should be applied using the informal DOC.</w:t>
            </w:r>
          </w:p>
        </w:tc>
      </w:tr>
    </w:tbl>
    <w:p w:rsidR="00013EB8" w:rsidRDefault="00013EB8">
      <w:pPr>
        <w:widowControl w:val="0"/>
        <w:tabs>
          <w:tab w:val="left" w:pos="0"/>
          <w:tab w:val="left" w:pos="144"/>
        </w:tabs>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trPr>
          <w:trHeight w:val="224"/>
        </w:trPr>
        <w:tc>
          <w:tcPr>
            <w:tcW w:w="705" w:type="dxa"/>
            <w:tcBorders>
              <w:top w:val="nil"/>
              <w:left w:val="nil"/>
              <w:bottom w:val="nil"/>
              <w:right w:val="nil"/>
            </w:tcBorders>
          </w:tcPr>
          <w:p w:rsidR="00013EB8" w:rsidRDefault="00013EB8">
            <w:pPr>
              <w:widowControl w:val="0"/>
              <w:rPr>
                <w:b/>
              </w:rPr>
            </w:pPr>
            <w:r w:rsidRPr="00F673C9">
              <w:rPr>
                <w:b/>
              </w:rPr>
              <w:t>3.1</w:t>
            </w:r>
          </w:p>
        </w:tc>
        <w:tc>
          <w:tcPr>
            <w:tcW w:w="10170" w:type="dxa"/>
            <w:tcBorders>
              <w:top w:val="nil"/>
              <w:left w:val="nil"/>
              <w:bottom w:val="nil"/>
              <w:right w:val="nil"/>
            </w:tcBorders>
          </w:tcPr>
          <w:p w:rsidR="00013EB8" w:rsidRDefault="00013EB8" w:rsidP="00617052">
            <w:pPr>
              <w:widowControl w:val="0"/>
              <w:rPr>
                <w:i/>
              </w:rPr>
            </w:pPr>
            <w:r>
              <w:rPr>
                <w:b/>
              </w:rPr>
              <w:t>Definitions</w:t>
            </w:r>
            <w:r>
              <w:t xml:space="preserve"> – (d) veteran- “discharged or released under conditions other than dishonorable”</w:t>
            </w:r>
            <w:r>
              <w:rPr>
                <w:i/>
              </w:rPr>
              <w:t xml:space="preserve">- </w:t>
            </w:r>
            <w:r>
              <w:rPr>
                <w:b/>
                <w:i/>
              </w:rPr>
              <w:t xml:space="preserve">also see </w:t>
            </w:r>
            <w:r w:rsidRPr="0036376C">
              <w:rPr>
                <w:b/>
                <w:iCs/>
              </w:rPr>
              <w:t>3.12</w:t>
            </w:r>
            <w:r>
              <w:t>; (p) (11/4/96) claim/application- “formal or informal communication in writing requesting a determination of entitlement or evidencing a belief in entitlement, to a benefit</w:t>
            </w:r>
            <w:r w:rsidR="001946CC">
              <w:t>,”</w:t>
            </w:r>
            <w:r>
              <w:t xml:space="preserve"> (y) former prisoner of war- </w:t>
            </w:r>
            <w:r w:rsidR="00000E48">
              <w:rPr>
                <w:i/>
              </w:rPr>
              <w:t>see reg</w:t>
            </w:r>
          </w:p>
        </w:tc>
      </w:tr>
    </w:tbl>
    <w:p w:rsidR="00013EB8" w:rsidRDefault="00013EB8">
      <w:pPr>
        <w:pStyle w:val="Heading6"/>
        <w:keepNext w:val="0"/>
        <w:widowControl w:val="0"/>
        <w:pBdr>
          <w:bottom w:val="single" w:sz="4" w:space="1" w:color="auto"/>
        </w:pBdr>
      </w:pPr>
    </w:p>
    <w:p w:rsidR="00013EB8" w:rsidRDefault="00013EB8"/>
    <w:p w:rsidR="00013EB8" w:rsidRPr="00CD0080" w:rsidRDefault="00013EB8">
      <w:pPr>
        <w:numPr>
          <w:ilvl w:val="12"/>
          <w:numId w:val="0"/>
        </w:numPr>
        <w:jc w:val="both"/>
        <w:rPr>
          <w:b/>
          <w:bCs/>
        </w:rPr>
      </w:pPr>
      <w:r w:rsidRPr="00CD0080">
        <w:rPr>
          <w:b/>
          <w:bCs/>
          <w:u w:val="single"/>
        </w:rPr>
        <w:t>DIRECT SERVICE CONNECTION</w:t>
      </w:r>
    </w:p>
    <w:p w:rsidR="00013EB8" w:rsidRDefault="00013EB8">
      <w:pPr>
        <w:numPr>
          <w:ilvl w:val="12"/>
          <w:numId w:val="0"/>
        </w:numPr>
        <w:jc w:val="both"/>
        <w:rPr>
          <w:sz w:val="18"/>
        </w:rPr>
      </w:pPr>
    </w:p>
    <w:p w:rsidR="00013EB8" w:rsidRDefault="00013EB8">
      <w:pPr>
        <w:numPr>
          <w:ilvl w:val="12"/>
          <w:numId w:val="0"/>
        </w:numPr>
        <w:jc w:val="both"/>
        <w:rPr>
          <w:i/>
          <w:iCs/>
          <w:sz w:val="18"/>
        </w:rPr>
      </w:pPr>
      <w:r>
        <w:rPr>
          <w:i/>
          <w:iCs/>
          <w:sz w:val="18"/>
        </w:rPr>
        <w:t xml:space="preserve">Claim Received </w:t>
      </w:r>
      <w:r>
        <w:rPr>
          <w:i/>
          <w:iCs/>
          <w:sz w:val="18"/>
          <w:u w:val="single"/>
        </w:rPr>
        <w:t>Within 1 Year</w:t>
      </w:r>
      <w:r>
        <w:rPr>
          <w:i/>
          <w:iCs/>
          <w:sz w:val="18"/>
        </w:rPr>
        <w:t xml:space="preserve"> of Release from Active Duty (RAD):</w:t>
      </w:r>
    </w:p>
    <w:p w:rsidR="00013EB8" w:rsidRDefault="00013EB8">
      <w:pPr>
        <w:rPr>
          <w:color w:val="000000"/>
          <w:sz w:val="18"/>
        </w:rPr>
      </w:pPr>
    </w:p>
    <w:p w:rsidR="00013EB8" w:rsidRDefault="00013EB8">
      <w:pPr>
        <w:rPr>
          <w:b/>
          <w:bCs/>
          <w:color w:val="000000"/>
          <w:sz w:val="18"/>
        </w:rPr>
      </w:pPr>
      <w:r>
        <w:rPr>
          <w:color w:val="000000"/>
          <w:sz w:val="18"/>
        </w:rPr>
        <w:t xml:space="preserve">          </w:t>
      </w:r>
      <w:r>
        <w:rPr>
          <w:color w:val="000000"/>
          <w:sz w:val="18"/>
        </w:rPr>
        <w:tab/>
      </w:r>
      <w:r>
        <w:rPr>
          <w:b/>
          <w:bCs/>
          <w:color w:val="000000"/>
          <w:sz w:val="18"/>
        </w:rPr>
        <w:t>Effective Date</w:t>
      </w:r>
    </w:p>
    <w:p w:rsidR="00013EB8" w:rsidRDefault="00013EB8">
      <w:pPr>
        <w:ind w:firstLine="720"/>
        <w:rPr>
          <w:b/>
          <w:bCs/>
          <w:color w:val="000000"/>
          <w:sz w:val="18"/>
        </w:rPr>
      </w:pPr>
      <w:r>
        <w:rPr>
          <w:color w:val="000000"/>
          <w:sz w:val="18"/>
        </w:rPr>
        <w:t>(STRs include evidence of in-service incurrence)</w:t>
      </w:r>
    </w:p>
    <w:p w:rsidR="00013EB8" w:rsidRDefault="00094A25">
      <w:pPr>
        <w:ind w:firstLine="720"/>
        <w:rPr>
          <w:color w:val="000000"/>
          <w:sz w:val="18"/>
        </w:rPr>
      </w:pPr>
      <w:r>
        <w:rPr>
          <w:b/>
          <w:bCs/>
          <w:color w:val="000000"/>
          <w:sz w:val="18"/>
        </w:rPr>
        <w:t>04/09/12</w:t>
      </w:r>
    </w:p>
    <w:p w:rsidR="00013EB8" w:rsidRDefault="00562F54">
      <w:pPr>
        <w:rPr>
          <w:color w:val="000000"/>
          <w:sz w:val="18"/>
        </w:rPr>
      </w:pPr>
      <w:r>
        <w:rPr>
          <w:noProof/>
          <w:sz w:val="18"/>
        </w:rPr>
        <mc:AlternateContent>
          <mc:Choice Requires="wps">
            <w:drawing>
              <wp:anchor distT="0" distB="0" distL="114300" distR="114300" simplePos="0" relativeHeight="251646464" behindDoc="0" locked="0" layoutInCell="1" allowOverlap="1" wp14:anchorId="6F7AAE77" wp14:editId="5083F840">
                <wp:simplePos x="0" y="0"/>
                <wp:positionH relativeFrom="column">
                  <wp:posOffset>622935</wp:posOffset>
                </wp:positionH>
                <wp:positionV relativeFrom="paragraph">
                  <wp:posOffset>3810</wp:posOffset>
                </wp:positionV>
                <wp:extent cx="0" cy="228600"/>
                <wp:effectExtent l="0" t="0" r="0" b="0"/>
                <wp:wrapNone/>
                <wp:docPr id="80" name="Line 3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6FE693" id="Line 317" o:spid="_x0000_s1026" style="position:absolute;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3pt" to="49.05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67dFQIAACoEAAAOAAAAZHJzL2Uyb0RvYy54bWysU02P2jAQvVfqf7B8h3wssBARVlUCvWy7&#10;SLv9AcZ2iFXHtmxDQFX/e8cOILa9VFVzcMb2zJs388bLp1Mn0ZFbJ7QqcTZOMeKKaibUvsTf3jaj&#10;OUbOE8WI1IqX+Mwdflp9/LDsTcFz3WrJuEUAolzRmxK33psiSRxteUfcWBuu4LLRtiMetnafMEt6&#10;QO9kkqfpLOm1ZcZqyp2D03q4xKuI3zSc+pemcdwjWWLg5uNq47oLa7JakmJviWkFvdAg/8CiI0JB&#10;0htUTTxBByv+gOoEtdrpxo+p7hLdNILyWANUk6W/VfPaEsNjLdAcZ25tcv8Pln49bi0SrMRzaI8i&#10;HWj0LBRHD9ljaE5vXAE+ldraUB49qVfzrOl3h5SuWqL2PJJ8OxsIzEJE8i4kbJyBFLv+i2bgQw5e&#10;x06dGtsFSOgBOkVBzjdB+MkjOhxSOM3z+SyNWiWkuMYZ6/xnrjsUjBJLIB1xyfHZ+cCDFFeXkEbp&#10;jZAyyi0V6ku8mObTGOC0FCxcBjdn97tKWnQkYWDiF4uCm3s3qw+KRbCWE7a+2J4IOdiQXKqAB5UA&#10;nYs1TMSPRbpYz9fzyWiSz9ajSVrXo0+bajKabbLHaf1QV1Wd/QzUsknRCsa4Cuyu05lN/k79yzsZ&#10;5uo2n7c2JO/RY7+A7PUfSUcpg3rDHOw0O2/tVWIYyOh8eTxh4u/3YN8/8dUvAAAA//8DAFBLAwQU&#10;AAYACAAAACEA4BxchdkAAAAFAQAADwAAAGRycy9kb3ducmV2LnhtbEyOQU/CQBCF7yb+h82YeCGy&#10;BZIGa6eEoL15ATVeh+7YNnZnS3eB6q939YLHl/fyvS9fjbZTJx586wRhNk1AsVTOtFIjvL6Ud0tQ&#10;PpAY6pwwwhd7WBXXVzllxp1ly6ddqFWEiM8IoQmhz7T2VcOW/NT1LLH7cIOlEONQazPQOcJtp+dJ&#10;kmpLrcSHhnreNFx97o4WwZdvfCi/J9UkeV/UjueHx+cnQry9GdcPoAKP4TKGX/2oDkV02rujGK86&#10;hPvlLC4RUlCx/Ut7hEWagi5y/d+++AEAAP//AwBQSwECLQAUAAYACAAAACEAtoM4kv4AAADhAQAA&#10;EwAAAAAAAAAAAAAAAAAAAAAAW0NvbnRlbnRfVHlwZXNdLnhtbFBLAQItABQABgAIAAAAIQA4/SH/&#10;1gAAAJQBAAALAAAAAAAAAAAAAAAAAC8BAABfcmVscy8ucmVsc1BLAQItABQABgAIAAAAIQCjs67d&#10;FQIAACoEAAAOAAAAAAAAAAAAAAAAAC4CAABkcnMvZTJvRG9jLnhtbFBLAQItABQABgAIAAAAIQDg&#10;HFyF2QAAAAUBAAAPAAAAAAAAAAAAAAAAAG8EAABkcnMvZG93bnJldi54bWxQSwUGAAAAAAQABADz&#10;AAAAdQUAAAAA&#10;"/>
            </w:pict>
          </mc:Fallback>
        </mc:AlternateContent>
      </w:r>
    </w:p>
    <w:p w:rsidR="00013EB8" w:rsidRDefault="00562F54">
      <w:pPr>
        <w:rPr>
          <w:color w:val="000000"/>
          <w:sz w:val="18"/>
        </w:rPr>
      </w:pPr>
      <w:r>
        <w:rPr>
          <w:noProof/>
          <w:sz w:val="18"/>
        </w:rPr>
        <mc:AlternateContent>
          <mc:Choice Requires="wps">
            <w:drawing>
              <wp:anchor distT="0" distB="0" distL="114300" distR="114300" simplePos="0" relativeHeight="251645440" behindDoc="0" locked="0" layoutInCell="1" allowOverlap="1" wp14:anchorId="71D79F91" wp14:editId="7811623A">
                <wp:simplePos x="0" y="0"/>
                <wp:positionH relativeFrom="column">
                  <wp:posOffset>241935</wp:posOffset>
                </wp:positionH>
                <wp:positionV relativeFrom="paragraph">
                  <wp:posOffset>92710</wp:posOffset>
                </wp:positionV>
                <wp:extent cx="0" cy="228600"/>
                <wp:effectExtent l="0" t="0" r="0" b="0"/>
                <wp:wrapNone/>
                <wp:docPr id="79" name="Line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5AF186" id="Line 316" o:spid="_x0000_s1026" style="position:absolute;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7.3pt" to="19.05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tQlFQIAACoEAAAOAAAAZHJzL2Uyb0RvYy54bWysU02P2jAQvVfqf7B8h3wssBARVlUCvWy7&#10;SLv9AcZ2iFXHtmxDQFX/e8cOILa9VFVzcMb2zJs388bLp1Mn0ZFbJ7QqcTZOMeKKaibUvsTf3jaj&#10;OUbOE8WI1IqX+Mwdflp9/LDsTcFz3WrJuEUAolzRmxK33psiSRxteUfcWBuu4LLRtiMetnafMEt6&#10;QO9kkqfpLOm1ZcZqyp2D03q4xKuI3zSc+pemcdwjWWLg5uNq47oLa7JakmJviWkFvdAg/8CiI0JB&#10;0htUTTxBByv+gOoEtdrpxo+p7hLdNILyWANUk6W/VfPaEsNjLdAcZ25tcv8Pln49bi0SrMSPC4wU&#10;6UCjZ6E4eshmoTm9cQX4VGprQ3n0pF7Ns6bfHVK6aona80jy7WwgMAsRybuQsHEGUuz6L5qBDzl4&#10;HTt1amwXIKEH6BQFOd8E4SeP6HBI4TTP57M0apWQ4hpnrPOfue5QMEosgXTEJcdn5wMPUlxdQhql&#10;N0LKKLdUqC/xYppPY4DTUrBwGdyc3e8qadGRhIGJXywKbu7drD4oFsFaTtj6Ynsi5GBDcqkCHlQC&#10;dC7WMBE/FuliPV/PJ6NJPluPJmldjz5tqslotskep/VDXVV19jNQyyZFKxjjKrC7Tmc2+Tv1L+9k&#10;mKvbfN7akLxHj/0Cstd/JB2lDOoNc7DT7Ly1V4lhIKPz5fGEib/fg33/xFe/AAAA//8DAFBLAwQU&#10;AAYACAAAACEA0k+ME9oAAAAHAQAADwAAAGRycy9kb3ducmV2LnhtbEyOT0/CQBDF7yZ+h82YeCGw&#10;BbQhtVti1N68iBquQ3dsG7uzpbtA9dM7ctHj+5P3fvl6dJ060hBazwbmswQUceVty7WBt9dyugIV&#10;IrLFzjMZ+KIA6+LyIsfM+hO/0HETayUjHDI00MTYZ1qHqiGHYeZ7Ysk+/OAwihxqbQc8ybjr9CJJ&#10;Uu2wZXlosKeHhqrPzcEZCOU77cvvSTVJtsva02L/+PyExlxfjfd3oCKN8a8Mv/iCDoUw7fyBbVCd&#10;geVqLk3xb1JQkp/1zsBtkoIucv2fv/gBAAD//wMAUEsBAi0AFAAGAAgAAAAhALaDOJL+AAAA4QEA&#10;ABMAAAAAAAAAAAAAAAAAAAAAAFtDb250ZW50X1R5cGVzXS54bWxQSwECLQAUAAYACAAAACEAOP0h&#10;/9YAAACUAQAACwAAAAAAAAAAAAAAAAAvAQAAX3JlbHMvLnJlbHNQSwECLQAUAAYACAAAACEAs+bU&#10;JRUCAAAqBAAADgAAAAAAAAAAAAAAAAAuAgAAZHJzL2Uyb0RvYy54bWxQSwECLQAUAAYACAAAACEA&#10;0k+ME9oAAAAHAQAADwAAAAAAAAAAAAAAAABvBAAAZHJzL2Rvd25yZXYueG1sUEsFBgAAAAAEAAQA&#10;8wAAAHYFAAAAAA==&#10;"/>
            </w:pict>
          </mc:Fallback>
        </mc:AlternateContent>
      </w:r>
      <w:r>
        <w:rPr>
          <w:noProof/>
          <w:sz w:val="18"/>
        </w:rPr>
        <mc:AlternateContent>
          <mc:Choice Requires="wps">
            <w:drawing>
              <wp:anchor distT="0" distB="0" distL="114300" distR="114300" simplePos="0" relativeHeight="251643392" behindDoc="0" locked="0" layoutInCell="1" allowOverlap="1" wp14:anchorId="4DF24221" wp14:editId="61DFDDF4">
                <wp:simplePos x="0" y="0"/>
                <wp:positionH relativeFrom="column">
                  <wp:posOffset>89535</wp:posOffset>
                </wp:positionH>
                <wp:positionV relativeFrom="paragraph">
                  <wp:posOffset>83185</wp:posOffset>
                </wp:positionV>
                <wp:extent cx="5410200" cy="0"/>
                <wp:effectExtent l="0" t="0" r="0" b="0"/>
                <wp:wrapNone/>
                <wp:docPr id="78" name="Line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3048D4" id="Line 314" o:spid="_x0000_s1026" style="position:absolute;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6.55pt" to="433.0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UbXFA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oJQi&#10;HWj0LBRHD1kemtMbV0BMpbY2lEdP6tU8a/rdIaWrlqg9jyTfzgYSs5CRvEsJG2fgil3/RTOIIQev&#10;Y6dOje0CJPQAnaIg55sg/OQRhcNpnqWgMkZ08CWkGBKNdf4z1x0KRoklsI7A5PjsfCBCiiEk3KP0&#10;RkgZ9ZYK9SVeTCfTmOC0FCw4Q5iz+10lLTqSMDHxi1WB5z7M6oNiEazlhK2vtidCXmy4XKqAB6UA&#10;nat1GYkfi3Sxnq/n+SifzNajPK3r0adNlY9mm+xxWj/UVVVnPwO1LC9awRhXgd0wnln+d/JfH8pl&#10;sG4DemtD8h499gvIDv9IOmoZ5LsMwk6z89YOGsNExuDr6wkjf78H+/6Nr34BAAD//wMAUEsDBBQA&#10;BgAIAAAAIQCAk2Pu2gAAAAgBAAAPAAAAZHJzL2Rvd25yZXYueG1sTE9BTsNADLwj9Q8rI3Gp6KYt&#10;iqqQTVUBuXFpAXF1syaJyHrT7LYNvB6jHuA0Hs9oPM7Xo+vUiYbQejYwnyWgiCtvW64NvL6UtytQ&#10;ISJb7DyTgS8KsC4mVzlm1p95S6ddrJWEcMjQQBNjn2kdqoYchpnviUX78IPDKHSotR3wLOGu04sk&#10;SbXDluVCgz09NFR97o7OQCjf6FB+T6tp8r6sPS0Oj89PaMzN9bi5BxVpjH9m+K0v1aGQTnt/ZBtU&#10;J/xuLk7BpaDoqzSVYX9Z6CLX/x8ofgAAAP//AwBQSwECLQAUAAYACAAAACEAtoM4kv4AAADhAQAA&#10;EwAAAAAAAAAAAAAAAAAAAAAAW0NvbnRlbnRfVHlwZXNdLnhtbFBLAQItABQABgAIAAAAIQA4/SH/&#10;1gAAAJQBAAALAAAAAAAAAAAAAAAAAC8BAABfcmVscy8ucmVsc1BLAQItABQABgAIAAAAIQD6XUbX&#10;FAIAACsEAAAOAAAAAAAAAAAAAAAAAC4CAABkcnMvZTJvRG9jLnhtbFBLAQItABQABgAIAAAAIQCA&#10;k2Pu2gAAAAgBAAAPAAAAAAAAAAAAAAAAAG4EAABkcnMvZG93bnJldi54bWxQSwUGAAAAAAQABADz&#10;AAAAdQUAAAAA&#10;"/>
            </w:pict>
          </mc:Fallback>
        </mc:AlternateContent>
      </w:r>
      <w:r>
        <w:rPr>
          <w:noProof/>
          <w:sz w:val="18"/>
        </w:rPr>
        <mc:AlternateContent>
          <mc:Choice Requires="wps">
            <w:drawing>
              <wp:anchor distT="0" distB="0" distL="114300" distR="114300" simplePos="0" relativeHeight="251644416" behindDoc="0" locked="0" layoutInCell="1" allowOverlap="1" wp14:anchorId="6452BE0B" wp14:editId="5551951F">
                <wp:simplePos x="0" y="0"/>
                <wp:positionH relativeFrom="column">
                  <wp:posOffset>3899535</wp:posOffset>
                </wp:positionH>
                <wp:positionV relativeFrom="paragraph">
                  <wp:posOffset>83185</wp:posOffset>
                </wp:positionV>
                <wp:extent cx="0" cy="228600"/>
                <wp:effectExtent l="0" t="0" r="0" b="0"/>
                <wp:wrapNone/>
                <wp:docPr id="77" name="Line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F1ABD8" id="Line 315" o:spid="_x0000_s1026" style="position:absolute;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05pt,6.55pt" to="307.05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n6tFAIAACoEAAAOAAAAZHJzL2Uyb0RvYy54bWysU9uO2yAQfa/Uf0C8J7azzs2Ks6rspC9p&#10;N9JuP4AAjlExICBxoqr/3oFclG1fqqp+wAPMnDkzZ1g8nzqJjtw6oVWJs2GKEVdUM6H2Jf72th7M&#10;MHKeKEakVrzEZ+7w8/Ljh0VvCj7SrZaMWwQgyhW9KXHrvSmSxNGWd8QNteEKLhttO+Jha/cJs6QH&#10;9E4mozSdJL22zFhNuXNwWl8u8TLiNw2n/qVpHPdIlhi4+bjauO7CmiwXpNhbYlpBrzTIP7DoiFCQ&#10;9A5VE0/QwYo/oDpBrXa68UOqu0Q3jaA81gDVZOlv1by2xPBYCzTHmXub3P+DpV+PW4sEK/F0ipEi&#10;HWi0EYqjp2wcmtMbV4BPpbY2lEdP6tVsNP3ukNJVS9SeR5JvZwOBWYhI3oWEjTOQYtd/0Qx8yMHr&#10;2KlTY7sACT1ApyjI+S4IP3lEL4cUTkej2SSNWiWkuMUZ6/xnrjsUjBJLIB1xyXHjfOBBiptLSKP0&#10;WkgZ5ZYK9SWej0fjGOC0FCxcBjdn97tKWnQkYWDiF4uCm0c3qw+KRbCWE7a62p4IebEhuVQBDyoB&#10;OlfrMhE/5ul8NVvN8kE+mqwGeVrXg0/rKh9M1tl0XD/VVVVnPwO1LC9awRhXgd1tOrP879S/vpPL&#10;XN3n896G5D167BeQvf0j6ShlUO8yBzvNzlt7kxgGMjpfH0+Y+Mc92I9PfPkLAAD//wMAUEsDBBQA&#10;BgAIAAAAIQBuD+zF3QAAAAkBAAAPAAAAZHJzL2Rvd25yZXYueG1sTI9BT8MwDIXvSPyHyEhcpi3t&#10;Nk2jNJ0Q0BsXBoir15i2onG6JtsKvx6jHeBk2e/p+Xv5ZnSdOtIQWs8G0lkCirjytuXawOtLOV2D&#10;ChHZYueZDHxRgE1xeZFjZv2Jn+m4jbWSEA4ZGmhi7DOtQ9WQwzDzPbFoH35wGGUdam0HPEm46/Q8&#10;SVbaYcvyocGe7huqPrcHZyCUb7QvvyfVJHlf1J7m+4enRzTm+mq8uwUVaYx/ZvjFF3QohGnnD2yD&#10;6gys0mUqVhEWMsVwPuwMLG9S0EWu/zcofgAAAP//AwBQSwECLQAUAAYACAAAACEAtoM4kv4AAADh&#10;AQAAEwAAAAAAAAAAAAAAAAAAAAAAW0NvbnRlbnRfVHlwZXNdLnhtbFBLAQItABQABgAIAAAAIQA4&#10;/SH/1gAAAJQBAAALAAAAAAAAAAAAAAAAAC8BAABfcmVscy8ucmVsc1BLAQItABQABgAIAAAAIQCT&#10;hn6tFAIAACoEAAAOAAAAAAAAAAAAAAAAAC4CAABkcnMvZTJvRG9jLnhtbFBLAQItABQABgAIAAAA&#10;IQBuD+zF3QAAAAkBAAAPAAAAAAAAAAAAAAAAAG4EAABkcnMvZG93bnJldi54bWxQSwUGAAAAAAQA&#10;BADzAAAAeAU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094A25">
      <w:pPr>
        <w:rPr>
          <w:color w:val="000000"/>
          <w:sz w:val="18"/>
        </w:rPr>
      </w:pPr>
      <w:r>
        <w:rPr>
          <w:color w:val="000000"/>
          <w:sz w:val="18"/>
        </w:rPr>
        <w:t>RAD</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Date of Claim</w:t>
      </w:r>
      <w:r w:rsidR="00013EB8">
        <w:rPr>
          <w:color w:val="000000"/>
          <w:sz w:val="18"/>
        </w:rPr>
        <w:tab/>
      </w:r>
    </w:p>
    <w:p w:rsidR="00013EB8" w:rsidRDefault="00094A25">
      <w:pPr>
        <w:rPr>
          <w:color w:val="000000"/>
          <w:sz w:val="18"/>
        </w:rPr>
      </w:pPr>
      <w:r>
        <w:rPr>
          <w:color w:val="000000"/>
          <w:sz w:val="18"/>
        </w:rPr>
        <w:t>04/08/12</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08/08/12</w:t>
      </w:r>
    </w:p>
    <w:p w:rsidR="00013EB8" w:rsidRDefault="00013EB8">
      <w:pPr>
        <w:rPr>
          <w:color w:val="000000"/>
          <w:sz w:val="18"/>
        </w:rPr>
      </w:pPr>
    </w:p>
    <w:p w:rsidR="00013EB8" w:rsidRDefault="00013EB8">
      <w:pPr>
        <w:numPr>
          <w:ilvl w:val="12"/>
          <w:numId w:val="0"/>
        </w:numPr>
        <w:jc w:val="both"/>
        <w:rPr>
          <w:sz w:val="18"/>
        </w:rPr>
      </w:pPr>
    </w:p>
    <w:p w:rsidR="00013EB8" w:rsidRDefault="00013EB8">
      <w:pPr>
        <w:numPr>
          <w:ilvl w:val="12"/>
          <w:numId w:val="0"/>
        </w:numPr>
        <w:jc w:val="both"/>
        <w:rPr>
          <w:i/>
          <w:iCs/>
          <w:sz w:val="18"/>
        </w:rPr>
      </w:pPr>
      <w:r>
        <w:rPr>
          <w:i/>
          <w:iCs/>
          <w:sz w:val="18"/>
        </w:rPr>
        <w:t xml:space="preserve">Claim Received </w:t>
      </w:r>
      <w:r>
        <w:rPr>
          <w:i/>
          <w:iCs/>
          <w:sz w:val="18"/>
          <w:u w:val="single"/>
        </w:rPr>
        <w:t>After 1 Year</w:t>
      </w:r>
      <w:r>
        <w:rPr>
          <w:i/>
          <w:iCs/>
          <w:sz w:val="18"/>
        </w:rPr>
        <w:t xml:space="preserve"> of Release from Active Duty (RAD):</w:t>
      </w:r>
    </w:p>
    <w:p w:rsidR="00013EB8" w:rsidRDefault="00013EB8">
      <w:pPr>
        <w:numPr>
          <w:ilvl w:val="12"/>
          <w:numId w:val="0"/>
        </w:numPr>
        <w:jc w:val="both"/>
        <w:rPr>
          <w:sz w:val="18"/>
        </w:rPr>
      </w:pPr>
    </w:p>
    <w:p w:rsidR="00013EB8" w:rsidRDefault="00013EB8">
      <w:pPr>
        <w:numPr>
          <w:ilvl w:val="12"/>
          <w:numId w:val="0"/>
        </w:numPr>
        <w:rPr>
          <w:sz w:val="18"/>
          <w:u w:val="single"/>
        </w:rPr>
      </w:pPr>
      <w:r>
        <w:rPr>
          <w:sz w:val="18"/>
          <w:u w:val="single"/>
        </w:rPr>
        <w:t>Evidence Meets Criteria to Establish Entitlement to Service Connection</w:t>
      </w:r>
    </w:p>
    <w:p w:rsidR="00013EB8" w:rsidRDefault="00013EB8">
      <w:pPr>
        <w:rPr>
          <w:color w:val="000000"/>
          <w:sz w:val="18"/>
        </w:rPr>
      </w:pPr>
    </w:p>
    <w:p w:rsidR="00013EB8" w:rsidRDefault="00013EB8">
      <w:pPr>
        <w:rPr>
          <w:b/>
          <w:bCs/>
          <w:color w:val="000000"/>
          <w:sz w:val="18"/>
        </w:rPr>
      </w:pP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b/>
          <w:bCs/>
          <w:color w:val="000000"/>
          <w:sz w:val="18"/>
        </w:rPr>
        <w:t>Effective Date</w:t>
      </w:r>
    </w:p>
    <w:p w:rsidR="00013EB8" w:rsidRDefault="00013EB8">
      <w:pPr>
        <w:rPr>
          <w:color w:val="000000"/>
          <w:sz w:val="18"/>
        </w:rPr>
      </w:pPr>
      <w:r>
        <w:rPr>
          <w:b/>
          <w:bCs/>
          <w:color w:val="000000"/>
          <w:sz w:val="18"/>
        </w:rPr>
        <w:t xml:space="preserve"> </w:t>
      </w:r>
      <w:r>
        <w:rPr>
          <w:b/>
          <w:bCs/>
          <w:color w:val="000000"/>
          <w:sz w:val="18"/>
        </w:rPr>
        <w:tab/>
      </w:r>
      <w:r>
        <w:rPr>
          <w:b/>
          <w:bCs/>
          <w:color w:val="000000"/>
          <w:sz w:val="18"/>
        </w:rPr>
        <w:tab/>
      </w:r>
      <w:r>
        <w:rPr>
          <w:b/>
          <w:bCs/>
          <w:color w:val="000000"/>
          <w:sz w:val="18"/>
        </w:rPr>
        <w:tab/>
      </w:r>
      <w:r>
        <w:rPr>
          <w:b/>
          <w:bCs/>
          <w:color w:val="000000"/>
          <w:sz w:val="18"/>
        </w:rPr>
        <w:tab/>
      </w:r>
      <w:r>
        <w:rPr>
          <w:b/>
          <w:bCs/>
          <w:color w:val="000000"/>
          <w:sz w:val="18"/>
        </w:rPr>
        <w:tab/>
      </w:r>
      <w:r>
        <w:rPr>
          <w:b/>
          <w:bCs/>
          <w:color w:val="000000"/>
          <w:sz w:val="18"/>
        </w:rPr>
        <w:tab/>
      </w:r>
      <w:r>
        <w:rPr>
          <w:b/>
          <w:bCs/>
          <w:color w:val="000000"/>
          <w:sz w:val="18"/>
        </w:rPr>
        <w:tab/>
        <w:t>06/08/</w:t>
      </w:r>
      <w:r w:rsidR="00094A25">
        <w:rPr>
          <w:b/>
          <w:bCs/>
          <w:color w:val="000000"/>
          <w:sz w:val="18"/>
        </w:rPr>
        <w:t>13</w:t>
      </w:r>
    </w:p>
    <w:p w:rsidR="00013EB8" w:rsidRDefault="00562F54">
      <w:pPr>
        <w:rPr>
          <w:color w:val="000000"/>
          <w:sz w:val="18"/>
        </w:rPr>
      </w:pPr>
      <w:r>
        <w:rPr>
          <w:noProof/>
          <w:sz w:val="18"/>
        </w:rPr>
        <mc:AlternateContent>
          <mc:Choice Requires="wps">
            <w:drawing>
              <wp:anchor distT="0" distB="0" distL="114300" distR="114300" simplePos="0" relativeHeight="251649536" behindDoc="0" locked="0" layoutInCell="1" allowOverlap="1" wp14:anchorId="35D29A08" wp14:editId="6B6C0197">
                <wp:simplePos x="0" y="0"/>
                <wp:positionH relativeFrom="column">
                  <wp:posOffset>3442335</wp:posOffset>
                </wp:positionH>
                <wp:positionV relativeFrom="paragraph">
                  <wp:posOffset>83185</wp:posOffset>
                </wp:positionV>
                <wp:extent cx="0" cy="332105"/>
                <wp:effectExtent l="0" t="0" r="0" b="0"/>
                <wp:wrapNone/>
                <wp:docPr id="76" name="Line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21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D0C2F" id="Line 320"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1.05pt,6.55pt" to="271.05pt,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VNUFAIAACoEAAAOAAAAZHJzL2Uyb0RvYy54bWysU02P2jAQvVfqf7B8hyQQWIgIqyqBXmgX&#10;abc/wNgOserYlm0IqOp/79h8aGkvVdUcnLE9fvPmzczi+dRJdOTWCa1KnA1TjLiimgm1L/G3t/Vg&#10;hpHzRDEiteIlPnOHn5cfPyx6U/CRbrVk3CIAUa7oTYlb702RJI62vCNuqA1XcNlo2xEPW7tPmCU9&#10;oHcyGaXpNOm1ZcZqyp2D0/pyiZcRv2k49S9N47hHssTAzcfVxnUX1mS5IMXeEtMKeqVB/oFFR4SC&#10;oHeomniCDlb8AdUJarXTjR9S3SW6aQTlMQfIJkt/y+a1JYbHXEAcZ+4yuf8HS78etxYJVuKnKUaK&#10;dFCjjVAcjUdRnN64AnwqtbUhPXpSr2aj6XeHlK5aovY8knw7G3iYBTmThydh4wyE2PVfNAMfcvA6&#10;KnVqbBcgQQN0igU53wvCTx7RyyGF0/F4lKWTCE6K2ztjnf/MdYeCUWIJpCMuOW6cDzxIcXMJYZRe&#10;CyljuaVCfYnnk9EkPnBaChYug5uz+10lLTqS0DDxu8Z9cLP6oFgEazlhq6vtiZAXG4JLFfAgE6Bz&#10;tS4d8WOezlez1Swf5KPpapCndT34tK7ywXSdPU3qcV1VdfYzUMvyohWMcRXY3bozy/+u+tc5ufTV&#10;vT/vMiSP6FEvIHv7R9KxlKF6YZxcsdPsvLW3EkNDRufr8ISOf78H+/2IL38BAAD//wMAUEsDBBQA&#10;BgAIAAAAIQD6PWMm3QAAAAkBAAAPAAAAZHJzL2Rvd25yZXYueG1sTI/NTsNADITvSLzDykhcqnbT&#10;9EcoZFMhIDcuFCqubtYkEVlvmt22gafHiAOcLHtG42/yzeg6daIhtJ4NzGcJKOLK25ZrA68v5fQG&#10;VIjIFjvPZOCTAmyKy4scM+vP/EynbayVhHDI0EATY59pHaqGHIaZ74lFe/eDwyjrUGs74FnCXafT&#10;JFlrhy3LhwZ7um+o+tgenYFQ7uhQfk2qSfK2qD2lh4enRzTm+mq8uwUVaYx/ZvjBF3QohGnvj2yD&#10;6gyslulcrCIsZIrh97A3sF4tQRe5/t+g+AYAAP//AwBQSwECLQAUAAYACAAAACEAtoM4kv4AAADh&#10;AQAAEwAAAAAAAAAAAAAAAAAAAAAAW0NvbnRlbnRfVHlwZXNdLnhtbFBLAQItABQABgAIAAAAIQA4&#10;/SH/1gAAAJQBAAALAAAAAAAAAAAAAAAAAC8BAABfcmVscy8ucmVsc1BLAQItABQABgAIAAAAIQBd&#10;jVNUFAIAACoEAAAOAAAAAAAAAAAAAAAAAC4CAABkcnMvZTJvRG9jLnhtbFBLAQItABQABgAIAAAA&#10;IQD6PWMm3QAAAAkBAAAPAAAAAAAAAAAAAAAAAG4EAABkcnMvZG93bnJldi54bWxQSwUGAAAAAAQA&#10;BADzAAAAeAUAAAAA&#10;"/>
            </w:pict>
          </mc:Fallback>
        </mc:AlternateContent>
      </w:r>
    </w:p>
    <w:p w:rsidR="00013EB8" w:rsidRDefault="00562F54">
      <w:pPr>
        <w:rPr>
          <w:color w:val="000000"/>
          <w:sz w:val="18"/>
        </w:rPr>
      </w:pPr>
      <w:r>
        <w:rPr>
          <w:noProof/>
          <w:sz w:val="18"/>
        </w:rPr>
        <mc:AlternateContent>
          <mc:Choice Requires="wps">
            <w:drawing>
              <wp:anchor distT="0" distB="0" distL="114300" distR="114300" simplePos="0" relativeHeight="251648512" behindDoc="0" locked="0" layoutInCell="1" allowOverlap="1" wp14:anchorId="2985F225" wp14:editId="12A74BB0">
                <wp:simplePos x="0" y="0"/>
                <wp:positionH relativeFrom="column">
                  <wp:posOffset>241935</wp:posOffset>
                </wp:positionH>
                <wp:positionV relativeFrom="paragraph">
                  <wp:posOffset>113665</wp:posOffset>
                </wp:positionV>
                <wp:extent cx="0" cy="228600"/>
                <wp:effectExtent l="0" t="0" r="0" b="0"/>
                <wp:wrapNone/>
                <wp:docPr id="75" name="Line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F09A1A" id="Line 319"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8.95pt" to="19.0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GOQFQIAACoEAAAOAAAAZHJzL2Uyb0RvYy54bWysU02P2jAQvVfqf7B8h3wssBARVlUCvWy7&#10;SLv9AcZ2iFXHtmxDQFX/e8cOILa9VFVzcMb2zJs388bLp1Mn0ZFbJ7QqcTZOMeKKaibUvsTf3jaj&#10;OUbOE8WI1IqX+Mwdflp9/LDsTcFz3WrJuEUAolzRmxK33psiSRxteUfcWBuu4LLRtiMetnafMEt6&#10;QO9kkqfpLOm1ZcZqyp2D03q4xKuI3zSc+pemcdwjWWLg5uNq47oLa7JakmJviWkFvdAg/8CiI0JB&#10;0htUTTxBByv+gOoEtdrpxo+p7hLdNILyWANUk6W/VfPaEsNjLdAcZ25tcv8Pln49bi0SrMSPU4wU&#10;6UCjZ6E4esgWoTm9cQX4VGprQ3n0pF7Ns6bfHVK6aona80jy7WwgMAsRybuQsHEGUuz6L5qBDzl4&#10;HTt1amwXIKEH6BQFOd8E4SeP6HBI4TTP57M0apWQ4hpnrPOfue5QMEosgXTEJcdn5wMPUlxdQhql&#10;N0LKKLdUqC/xYppPY4DTUrBwGdyc3e8qadGRhIGJXywKbu7drD4oFsFaTtj6Ynsi5GBDcqkCHlQC&#10;dC7WMBE/FuliPV/PJ6NJPluPJmldjz5tqslotskep/VDXVV19jNQyyZFKxjjKrC7Tmc2+Tv1L+9k&#10;mKvbfN7akLxHj/0Cstd/JB2lDOoNc7DT7Ly1V4lhIKPz5fGEib/fg33/xFe/AAAA//8DAFBLAwQU&#10;AAYACAAAACEAliNWUtoAAAAHAQAADwAAAGRycy9kb3ducmV2LnhtbEyOzU7DMBCE70i8g7VIXCrq&#10;tBHQhjgVAnLjQgFx3cZLEhGv09htA0/fpRc4zo9mvnw1uk7taQitZwOzaQKKuPK25drA22t5tQAV&#10;IrLFzjMZ+KYAq+L8LMfM+gO/0H4dayUjHDI00MTYZ1qHqiGHYep7Ysk+/eAwihxqbQc8yLjr9DxJ&#10;brTDluWhwZ4eGqq+1jtnIJTvtC1/JtUk+UhrT/Pt4/MTGnN5Md7fgYo0xr8y/OILOhTCtPE7tkF1&#10;BtLFTJri3y5BSX7SGwPX6RJ0kev//MURAAD//wMAUEsBAi0AFAAGAAgAAAAhALaDOJL+AAAA4QEA&#10;ABMAAAAAAAAAAAAAAAAAAAAAAFtDb250ZW50X1R5cGVzXS54bWxQSwECLQAUAAYACAAAACEAOP0h&#10;/9YAAACUAQAACwAAAAAAAAAAAAAAAAAvAQAAX3JlbHMvLnJlbHNQSwECLQAUAAYACAAAACEAjhBj&#10;kBUCAAAqBAAADgAAAAAAAAAAAAAAAAAuAgAAZHJzL2Uyb0RvYy54bWxQSwECLQAUAAYACAAAACEA&#10;liNWUtoAAAAHAQAADwAAAAAAAAAAAAAAAABvBAAAZHJzL2Rvd25yZXYueG1sUEsFBgAAAAAEAAQA&#10;8wAAAHYFAAAAAA==&#10;"/>
            </w:pict>
          </mc:Fallback>
        </mc:AlternateContent>
      </w:r>
      <w:r>
        <w:rPr>
          <w:noProof/>
          <w:sz w:val="18"/>
        </w:rPr>
        <mc:AlternateContent>
          <mc:Choice Requires="wps">
            <w:drawing>
              <wp:anchor distT="0" distB="0" distL="114300" distR="114300" simplePos="0" relativeHeight="251647488" behindDoc="0" locked="0" layoutInCell="1" allowOverlap="1" wp14:anchorId="370F5509" wp14:editId="623E19A7">
                <wp:simplePos x="0" y="0"/>
                <wp:positionH relativeFrom="column">
                  <wp:posOffset>-62865</wp:posOffset>
                </wp:positionH>
                <wp:positionV relativeFrom="paragraph">
                  <wp:posOffset>113665</wp:posOffset>
                </wp:positionV>
                <wp:extent cx="5486400" cy="0"/>
                <wp:effectExtent l="0" t="0" r="0" b="0"/>
                <wp:wrapNone/>
                <wp:docPr id="74" name="Line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907C17" id="Line 318" o:spid="_x0000_s1026" style="position:absolute;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5pt,8.95pt" to="427.0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X+gFQ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OUaK&#10;dKDRs1AcPWTz0JzeuAJiKrW1oTx6Uq/mWdPvDildtUTteST5djaQmIWM5F1K2DgDV+z6L5pBDDl4&#10;HTt1amwXIKEH6BQFOd8E4SePKBxO8/ksT0E3OvgSUgyJxjr/mesOBaPEElhHYHJ8dj4QIcUQEu5R&#10;eiOkjHpLhfoSL6aTaUxwWgoWnCHM2f2ukhYdSZiY+MWqwHMfZvVBsQjWcsLWV9sTIS82XC5VwINS&#10;gM7VuozEj0W6WM/X83yUT2brUZ7W9ejTpspHs032OK0f6qqqs5+BWpYXrWCMq8BuGM8s/zv5rw/l&#10;Mli3Ab21IXmPHvsFZId/JB21DPJdBmGn2XlrB41hImPw9fWEkb/fg33/xle/AAAA//8DAFBLAwQU&#10;AAYACAAAACEA8RyQOt0AAAAIAQAADwAAAGRycy9kb3ducmV2LnhtbEyPQU/DMAyF70j8h8hIXKYt&#10;3YCxlaYTAnrbhTHE1WtMW9E4XZNthV+PEQc4WX7v6flzthpcq47Uh8azgekkAUVcettwZWD7UowX&#10;oEJEtth6JgOfFGCVn59lmFp/4mc6bmKlpIRDigbqGLtU61DW5DBMfEcs3rvvHUZZ+0rbHk9S7lo9&#10;S5K5dtiwXKixo4eayo/NwRkIxSvti69ROUreripPs/3j+gmNubwY7u9ARRriXxh+8AUdcmHa+QPb&#10;oFoD4+VSkqLfyhR/cXM9BbX7FXSe6f8P5N8AAAD//wMAUEsBAi0AFAAGAAgAAAAhALaDOJL+AAAA&#10;4QEAABMAAAAAAAAAAAAAAAAAAAAAAFtDb250ZW50X1R5cGVzXS54bWxQSwECLQAUAAYACAAAACEA&#10;OP0h/9YAAACUAQAACwAAAAAAAAAAAAAAAAAvAQAAX3JlbHMvLnJlbHNQSwECLQAUAAYACAAAACEA&#10;cYF/oBUCAAArBAAADgAAAAAAAAAAAAAAAAAuAgAAZHJzL2Uyb0RvYy54bWxQSwECLQAUAAYACAAA&#10;ACEA8RyQOt0AAAAIAQAADwAAAAAAAAAAAAAAAABvBAAAZHJzL2Rvd25yZXYueG1sUEsFBgAAAAAE&#10;AAQA8wAAAHkFA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094A25">
      <w:pPr>
        <w:rPr>
          <w:color w:val="000000"/>
          <w:sz w:val="18"/>
        </w:rPr>
      </w:pPr>
      <w:r>
        <w:rPr>
          <w:color w:val="000000"/>
          <w:sz w:val="18"/>
        </w:rPr>
        <w:t xml:space="preserve">RAD </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Date of Claim</w:t>
      </w:r>
      <w:r w:rsidR="00013EB8">
        <w:rPr>
          <w:color w:val="000000"/>
          <w:sz w:val="18"/>
        </w:rPr>
        <w:tab/>
      </w:r>
      <w:r w:rsidR="00013EB8">
        <w:rPr>
          <w:color w:val="000000"/>
          <w:sz w:val="18"/>
        </w:rPr>
        <w:tab/>
      </w:r>
    </w:p>
    <w:p w:rsidR="00013EB8" w:rsidRDefault="00094A25" w:rsidP="00094A25">
      <w:pPr>
        <w:rPr>
          <w:color w:val="000000"/>
          <w:sz w:val="18"/>
        </w:rPr>
      </w:pPr>
      <w:r>
        <w:rPr>
          <w:color w:val="000000"/>
          <w:sz w:val="18"/>
        </w:rPr>
        <w:t>04/08/07</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06/08/13</w:t>
      </w:r>
    </w:p>
    <w:p w:rsidR="00094A25" w:rsidRDefault="00094A25" w:rsidP="00094A25">
      <w:pPr>
        <w:rPr>
          <w:sz w:val="18"/>
        </w:rPr>
      </w:pPr>
    </w:p>
    <w:p w:rsidR="00013EB8" w:rsidRDefault="00013EB8">
      <w:pPr>
        <w:numPr>
          <w:ilvl w:val="12"/>
          <w:numId w:val="0"/>
        </w:numPr>
        <w:jc w:val="both"/>
        <w:rPr>
          <w:sz w:val="18"/>
        </w:rPr>
      </w:pPr>
    </w:p>
    <w:p w:rsidR="00013EB8" w:rsidRDefault="00013EB8">
      <w:pPr>
        <w:numPr>
          <w:ilvl w:val="12"/>
          <w:numId w:val="0"/>
        </w:numPr>
        <w:jc w:val="center"/>
        <w:rPr>
          <w:sz w:val="18"/>
          <w:u w:val="single"/>
        </w:rPr>
      </w:pPr>
    </w:p>
    <w:p w:rsidR="00013EB8" w:rsidRDefault="00013EB8">
      <w:pPr>
        <w:numPr>
          <w:ilvl w:val="12"/>
          <w:numId w:val="0"/>
        </w:numPr>
        <w:rPr>
          <w:sz w:val="18"/>
          <w:u w:val="single"/>
        </w:rPr>
      </w:pPr>
      <w:r>
        <w:rPr>
          <w:sz w:val="18"/>
          <w:u w:val="single"/>
        </w:rPr>
        <w:t>Evidence Does Not Meet Criteria to Establish Entitlement to Service Connection</w:t>
      </w:r>
    </w:p>
    <w:p w:rsidR="00013EB8" w:rsidRDefault="00013EB8">
      <w:pPr>
        <w:numPr>
          <w:ilvl w:val="12"/>
          <w:numId w:val="0"/>
        </w:numPr>
        <w:rPr>
          <w:sz w:val="18"/>
        </w:rPr>
      </w:pPr>
    </w:p>
    <w:p w:rsidR="00013EB8" w:rsidRDefault="00013EB8">
      <w:pPr>
        <w:ind w:left="6480"/>
        <w:rPr>
          <w:b/>
          <w:bCs/>
          <w:color w:val="000000"/>
          <w:sz w:val="18"/>
        </w:rPr>
      </w:pPr>
      <w:r>
        <w:rPr>
          <w:b/>
          <w:bCs/>
          <w:color w:val="000000"/>
          <w:sz w:val="18"/>
        </w:rPr>
        <w:t>Effective Date</w:t>
      </w:r>
    </w:p>
    <w:p w:rsidR="00013EB8" w:rsidRDefault="00013EB8">
      <w:pPr>
        <w:ind w:left="6480"/>
        <w:rPr>
          <w:color w:val="000000"/>
          <w:sz w:val="18"/>
        </w:rPr>
      </w:pPr>
      <w:r>
        <w:rPr>
          <w:color w:val="000000"/>
          <w:sz w:val="18"/>
        </w:rPr>
        <w:t>(Date Entitlement Arose)</w:t>
      </w:r>
    </w:p>
    <w:p w:rsidR="00013EB8" w:rsidRDefault="00562F54">
      <w:pPr>
        <w:ind w:left="5760" w:firstLine="720"/>
        <w:rPr>
          <w:color w:val="000000"/>
          <w:sz w:val="18"/>
        </w:rPr>
      </w:pPr>
      <w:r>
        <w:rPr>
          <w:b/>
          <w:bCs/>
          <w:noProof/>
          <w:sz w:val="18"/>
        </w:rPr>
        <mc:AlternateContent>
          <mc:Choice Requires="wps">
            <w:drawing>
              <wp:anchor distT="0" distB="0" distL="114300" distR="114300" simplePos="0" relativeHeight="251653632" behindDoc="0" locked="0" layoutInCell="1" allowOverlap="1" wp14:anchorId="036AFE47" wp14:editId="3AA99EC5">
                <wp:simplePos x="0" y="0"/>
                <wp:positionH relativeFrom="column">
                  <wp:posOffset>4813935</wp:posOffset>
                </wp:positionH>
                <wp:positionV relativeFrom="paragraph">
                  <wp:posOffset>144145</wp:posOffset>
                </wp:positionV>
                <wp:extent cx="0" cy="381000"/>
                <wp:effectExtent l="0" t="0" r="0" b="0"/>
                <wp:wrapNone/>
                <wp:docPr id="73" name="Line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98DC98" id="Line 324"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9.05pt,11.35pt" to="379.05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LlFAIAACoEAAAOAAAAZHJzL2Uyb0RvYy54bWysU8GO2jAQvVfqP1i+QxIILESEVUWgF9pF&#10;2u0HGNshVh3bsg0BVf33jh1AbHupqubgjO2ZN2/mjRfP51aiE7dOaFXibJhixBXVTKhDib+9bQYz&#10;jJwnihGpFS/xhTv8vPz4YdGZgo90oyXjFgGIckVnStx4b4okcbThLXFDbbiCy1rblnjY2kPCLOkA&#10;vZXJKE2nSactM1ZT7hycVv0lXkb8uubUv9S14x7JEgM3H1cb131Yk+WCFAdLTCPolQb5BxYtEQqS&#10;3qEq4gk6WvEHVCuo1U7Xfkh1m+i6FpTHGqCaLP2tmteGGB5rgeY4c2+T+3+w9OtpZ5FgJX4aY6RI&#10;CxptheJoPMpDczrjCvBZqZ0N5dGzejVbTb87pPSqIerAI8m3i4HALEQk70LCxhlIse++aAY+5Oh1&#10;7NS5tm2AhB6gcxTkcheEnz2i/SGF0/EsS9OoVUKKW5yxzn/mukXBKLEE0hGXnLbOBx6kuLmENEpv&#10;hJRRbqlQV+L5ZDSJAU5LwcJlcHP2sF9Ji04kDEz8YlFw8+hm9VGxCNZwwtZX2xMhexuSSxXwoBKg&#10;c7X6ifgxT+fr2XqWD/LRdD3I06oafNqs8sF0kz1NqnG1WlXZz0Aty4tGMMZVYHebziz/O/Wv76Sf&#10;q/t83tuQvEeP/QKyt38kHaUM6vVzsNfssrM3iWEgo/P18YSJf9yD/fjEl78AAAD//wMAUEsDBBQA&#10;BgAIAAAAIQA1duSL3AAAAAkBAAAPAAAAZHJzL2Rvd25yZXYueG1sTI/BTsMwDIbvSLxDZCQu05au&#10;CFaVphMCeuPCYOLqNaataJyuybbC02PEAY7+/en352I9uV4daQydZwPLRQKKuPa248bA60s1z0CF&#10;iGyx90wGPinAujw/KzC3/sTPdNzERkkJhxwNtDEOudahbslhWPiBWHbvfnQYZRwbbUc8SbnrdZok&#10;N9phx3KhxYHuW6o/NgdnIFRb2ldfs3qWvF01ntL9w9MjGnN5Md3dgoo0xT8YfvRFHUpx2vkD26B6&#10;A6vrbCmogTRdgRLgN9gZyCTQZaH/f1B+AwAA//8DAFBLAQItABQABgAIAAAAIQC2gziS/gAAAOEB&#10;AAATAAAAAAAAAAAAAAAAAAAAAABbQ29udGVudF9UeXBlc10ueG1sUEsBAi0AFAAGAAgAAAAhADj9&#10;If/WAAAAlAEAAAsAAAAAAAAAAAAAAAAALwEAAF9yZWxzLy5yZWxzUEsBAi0AFAAGAAgAAAAhAH5r&#10;kuUUAgAAKgQAAA4AAAAAAAAAAAAAAAAALgIAAGRycy9lMm9Eb2MueG1sUEsBAi0AFAAGAAgAAAAh&#10;ADV25IvcAAAACQEAAA8AAAAAAAAAAAAAAAAAbgQAAGRycy9kb3ducmV2LnhtbFBLBQYAAAAABAAE&#10;APMAAAB3BQAAAAA=&#10;"/>
            </w:pict>
          </mc:Fallback>
        </mc:AlternateContent>
      </w:r>
      <w:r w:rsidR="00094A25">
        <w:rPr>
          <w:b/>
          <w:bCs/>
          <w:color w:val="000000"/>
          <w:sz w:val="18"/>
        </w:rPr>
        <w:t>07/30/13</w:t>
      </w:r>
    </w:p>
    <w:p w:rsidR="00013EB8" w:rsidRDefault="00562F54">
      <w:pPr>
        <w:rPr>
          <w:color w:val="000000"/>
          <w:sz w:val="18"/>
        </w:rPr>
      </w:pPr>
      <w:r>
        <w:rPr>
          <w:noProof/>
          <w:sz w:val="18"/>
        </w:rPr>
        <mc:AlternateContent>
          <mc:Choice Requires="wps">
            <w:drawing>
              <wp:anchor distT="0" distB="0" distL="114300" distR="114300" simplePos="0" relativeHeight="251652608" behindDoc="0" locked="0" layoutInCell="1" allowOverlap="1" wp14:anchorId="183CAF28" wp14:editId="6B183EDC">
                <wp:simplePos x="0" y="0"/>
                <wp:positionH relativeFrom="column">
                  <wp:posOffset>2299335</wp:posOffset>
                </wp:positionH>
                <wp:positionV relativeFrom="paragraph">
                  <wp:posOffset>140970</wp:posOffset>
                </wp:positionV>
                <wp:extent cx="0" cy="228600"/>
                <wp:effectExtent l="0" t="0" r="0" b="0"/>
                <wp:wrapNone/>
                <wp:docPr id="72" name="Lin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C532A" id="Line 323"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1.05pt,11.1pt" to="181.05pt,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EsvFQIAACoEAAAOAAAAZHJzL2Uyb0RvYy54bWysU9uO2jAQfa/Uf7D8DrlwWYgIq4pAX2gX&#10;abcfYGyHWHVsyzYEVPXfO3YAse1LVTUPztieOXNmznjxfG4lOnHrhFYlzoYpRlxRzYQ6lPjb22Yw&#10;w8h5ohiRWvESX7jDz8uPHxadKXiuGy0ZtwhAlCs6U+LGe1MkiaMNb4kbasMVXNbatsTD1h4SZkkH&#10;6K1M8jSdJp22zFhNuXNwWvWXeBnx65pT/1LXjnskSwzcfFxtXPdhTZYLUhwsMY2gVxrkH1i0RChI&#10;eoeqiCfoaMUfUK2gVjtd+yHVbaLrWlAea4BqsvS3al4bYnisBZrjzL1N7v/B0q+nnUWClfgpx0iR&#10;FjTaCsXRKB+F5nTGFeCzUjsbyqNn9Wq2mn53SOlVQ9SBR5JvFwOBWYhI3oWEjTOQYt990Qx8yNHr&#10;2KlzbdsACT1A5yjI5S4IP3tE+0MKp3k+m6ZRq4QUtzhjnf/MdYuCUWIJpCMuOW2dDzxIcXMJaZTe&#10;CCmj3FKhrsTzST6JAU5LwcJlcHP2sF9Ji04kDEz8YlFw8+hm9VGxCNZwwtZX2xMhexuSSxXwoBKg&#10;c7X6ifgxT+fr2Xo2Hozz6XowTqtq8GmzGg+mm+xpUo2q1arKfgZq2bhoBGNcBXa36czGf6f+9Z30&#10;c3Wfz3sbkvfosV9A9vaPpKOUQb1+DvaaXXb2JjEMZHS+Pp4w8Y97sB+f+PIXAAAA//8DAFBLAwQU&#10;AAYACAAAACEAYCyxw9wAAAAJAQAADwAAAGRycy9kb3ducmV2LnhtbEyPwU7DMAyG70i8Q2QkLhNL&#10;l4lpKnUnBPTGhQHi6jWmrWicrsm2wtMTxAGOtj/9/v5iM7leHXkMnReExTwDxVJ720mD8PJcXa1B&#10;hUhiqffCCJ8cYFOenxWUW3+SJz5uY6NSiIScENoYh1zrULfsKMz9wJJu7350FNM4NtqOdErhrtcm&#10;y1baUSfpQ0sD37Vcf2wPDiFUr7yvvmb1LHtbNp7N/v7xgRAvL6bbG1CRp/gHw49+UocyOe38QWxQ&#10;PcJyZRYJRTDGgErA72KHcL02oMtC/29QfgMAAP//AwBQSwECLQAUAAYACAAAACEAtoM4kv4AAADh&#10;AQAAEwAAAAAAAAAAAAAAAAAAAAAAW0NvbnRlbnRfVHlwZXNdLnhtbFBLAQItABQABgAIAAAAIQA4&#10;/SH/1gAAAJQBAAALAAAAAAAAAAAAAAAAAC8BAABfcmVscy8ucmVsc1BLAQItABQABgAIAAAAIQBG&#10;DEsvFQIAACoEAAAOAAAAAAAAAAAAAAAAAC4CAABkcnMvZTJvRG9jLnhtbFBLAQItABQABgAIAAAA&#10;IQBgLLHD3AAAAAkBAAAPAAAAAAAAAAAAAAAAAG8EAABkcnMvZG93bnJldi54bWxQSwUGAAAAAAQA&#10;BADzAAAAeAUAAAAA&#10;"/>
            </w:pict>
          </mc:Fallback>
        </mc:AlternateContent>
      </w:r>
      <w:r>
        <w:rPr>
          <w:noProof/>
          <w:sz w:val="18"/>
        </w:rPr>
        <mc:AlternateContent>
          <mc:Choice Requires="wps">
            <w:drawing>
              <wp:anchor distT="0" distB="0" distL="114300" distR="114300" simplePos="0" relativeHeight="251650560" behindDoc="0" locked="0" layoutInCell="1" allowOverlap="1" wp14:anchorId="1C307A01" wp14:editId="0AC54A6A">
                <wp:simplePos x="0" y="0"/>
                <wp:positionH relativeFrom="column">
                  <wp:posOffset>-62865</wp:posOffset>
                </wp:positionH>
                <wp:positionV relativeFrom="paragraph">
                  <wp:posOffset>144145</wp:posOffset>
                </wp:positionV>
                <wp:extent cx="5638800" cy="0"/>
                <wp:effectExtent l="0" t="0" r="0" b="0"/>
                <wp:wrapNone/>
                <wp:docPr id="71" name="Line 3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9BD85C" id="Line 321"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5pt,11.35pt" to="439.0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qEOFgIAACsEAAAOAAAAZHJzL2Uyb0RvYy54bWysU8uO2jAU3VfqP1jeQxIIDESEUZVAN7SD&#10;NNMPMLZDrDq2ZRsCqvrvvTaPlnZTVc3C8ePc43PvuV48nzqJjtw6oVWJs2GKEVdUM6H2Jf7yth7M&#10;MHKeKEakVrzEZ+7w8/L9u0VvCj7SrZaMWwQkyhW9KXHrvSmSxNGWd8QNteEKDhttO+JhafcJs6QH&#10;9k4mozSdJr22zFhNuXOwW18O8TLyNw2n/qVpHPdIlhi0+TjaOO7CmCwXpNhbYlpBrzLIP6joiFBw&#10;6Z2qJp6ggxV/UHWCWu1044dUd4luGkF5zAGyydLfsnltieExFyiOM/cyuf9HSz8ftxYJVuKnDCNF&#10;OvBoIxRH41EWitMbVwCmUlsb0qMn9Wo2mn51SOmqJWrPo8i3s4HAGJE8hISFM3DFrv+kGWDIwetY&#10;qVNju0AJNUCnaMj5bgg/eURhczIdz2Yp+EZvZwkpboHGOv+R6w6FSYklqI7E5LhxHqQD9AYJ9yi9&#10;FlJGv6VCfYnnk9EkBjgtBQuHAebsfldJi44kdEz8Qh2A7AFm9UGxSNZywlbXuSdCXuaAlyrwQSog&#10;5zq7tMS3eTpfzVazfJCPpqtBntb14MO6ygfTdfY0qcd1VdXZ9yAty4tWMMZVUHdrzyz/O/uvD+XS&#10;WPcGvZcheWSPKYLY2z+Kjl4G+y6NsNPsvLWhGsFW6MgIvr6e0PK/riPq5xtf/gAAAP//AwBQSwME&#10;FAAGAAgAAAAhAFrxJSndAAAACAEAAA8AAABkcnMvZG93bnJldi54bWxMj8FOwzAQRO9I/IO1SFyq&#10;1mmQaBqyqRCQGxcKiOs2XpKIeJ3Gbhv4eow4wHF2RjNvi81ke3Xk0XdOEJaLBBRL7UwnDcLLczXP&#10;QPlAYqh3wgif7GFTnp8VlBt3kic+bkOjYon4nBDaEIZca1+3bMkv3MASvXc3WgpRjo02I51iue11&#10;miTX2lIncaGlge9arj+2B4vgq1feV1+zepa8XTWO0/394wMhXl5MtzegAk/hLww/+BEdysi0cwcx&#10;XvUI8/U6JhHSdAUq+tkqW4La/R50Wej/D5TfAAAA//8DAFBLAQItABQABgAIAAAAIQC2gziS/gAA&#10;AOEBAAATAAAAAAAAAAAAAAAAAAAAAABbQ29udGVudF9UeXBlc10ueG1sUEsBAi0AFAAGAAgAAAAh&#10;ADj9If/WAAAAlAEAAAsAAAAAAAAAAAAAAAAALwEAAF9yZWxzLy5yZWxzUEsBAi0AFAAGAAgAAAAh&#10;AHbOoQ4WAgAAKwQAAA4AAAAAAAAAAAAAAAAALgIAAGRycy9lMm9Eb2MueG1sUEsBAi0AFAAGAAgA&#10;AAAhAFrxJSndAAAACAEAAA8AAAAAAAAAAAAAAAAAcAQAAGRycy9kb3ducmV2LnhtbFBLBQYAAAAA&#10;BAAEAPMAAAB6BQAAAAA=&#10;"/>
            </w:pict>
          </mc:Fallback>
        </mc:AlternateContent>
      </w:r>
      <w:r>
        <w:rPr>
          <w:noProof/>
          <w:sz w:val="18"/>
        </w:rPr>
        <mc:AlternateContent>
          <mc:Choice Requires="wps">
            <w:drawing>
              <wp:anchor distT="0" distB="0" distL="114300" distR="114300" simplePos="0" relativeHeight="251651584" behindDoc="0" locked="0" layoutInCell="1" allowOverlap="1" wp14:anchorId="4DC47403" wp14:editId="04A37714">
                <wp:simplePos x="0" y="0"/>
                <wp:positionH relativeFrom="column">
                  <wp:posOffset>241935</wp:posOffset>
                </wp:positionH>
                <wp:positionV relativeFrom="paragraph">
                  <wp:posOffset>144145</wp:posOffset>
                </wp:positionV>
                <wp:extent cx="0" cy="228600"/>
                <wp:effectExtent l="0" t="0" r="0" b="0"/>
                <wp:wrapNone/>
                <wp:docPr id="70" name="Line 3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4B6381" id="Line 322"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11.35pt" to="19.05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WcFQIAACoEAAAOAAAAZHJzL2Uyb0RvYy54bWysU02P2jAQvVfqf7B8h3wssBARVlUCvWy7&#10;SLv9AcZ2iFXHtmxDQFX/e8cOILa9VFVzcMb2zJs388bLp1Mn0ZFbJ7QqcTZOMeKKaibUvsTf3jaj&#10;OUbOE8WI1IqX+Mwdflp9/LDsTcFz3WrJuEUAolzRmxK33psiSRxteUfcWBuu4LLRtiMetnafMEt6&#10;QO9kkqfpLOm1ZcZqyp2D03q4xKuI3zSc+pemcdwjWWLg5uNq47oLa7JakmJviWkFvdAg/8CiI0JB&#10;0htUTTxBByv+gOoEtdrpxo+p7hLdNILyWANUk6W/VfPaEsNjLdAcZ25tcv8Pln49bi0SrMSP0B5F&#10;OtDoWSiOHvI8NKc3rgCfSm1tKI+e1Kt51vS7Q0pXLVF7Hkm+nQ0EZiEieRcSNs5Ail3/RTPwIQev&#10;Y6dOje0CJPQAnaIg55sg/OQRHQ4pnOb5fJZGrRJSXOOMdf4z1x0KRoklkI645PjsfOBBiqtLSKP0&#10;RkgZ5ZYK9SVeTPNpDHBaChYug5uz+10lLTqSMDDxi0XBzb2b1QfFIljLCVtfbE+EHGxILlXAg0qA&#10;zsUaJuLHIl2s5+v5ZDTJZ+vRJK3r0adNNRnNNtnjtH6oq6rOfgZq2aRoBWNcBXbX6cwmf6f+5Z0M&#10;c3Wbz1sbkvfosV9A9vqPpKOUQb1hDnaanbf2KjEMZHS+PJ4w8fd7sO+f+OoXAAAA//8DAFBLAwQU&#10;AAYACAAAACEAbMaKBdsAAAAHAQAADwAAAGRycy9kb3ducmV2LnhtbEyOwU7DMBBE70j8g7VIXCrq&#10;NBU0CtlUCMiNCwXEdRsvSUS8TmO3DXw9phc4jmb05hXryfbqwKPvnCAs5gkoltqZThqE15fqKgPl&#10;A4mh3gkjfLGHdXl+VlBu3FGe+bAJjYoQ8TkhtCEMuda+btmSn7uBJXYfbrQUYhwbbUY6RrjtdZok&#10;N9pSJ/GhpYHvW64/N3uL4Ks33lXfs3qWvC8bx+nu4emREC8vprtbUIGn8DeGX/2oDmV02rq9GK96&#10;hGW2iEuENF2Biv0pbxGusxXostD//csfAAAA//8DAFBLAQItABQABgAIAAAAIQC2gziS/gAAAOEB&#10;AAATAAAAAAAAAAAAAAAAAAAAAABbQ29udGVudF9UeXBlc10ueG1sUEsBAi0AFAAGAAgAAAAhADj9&#10;If/WAAAAlAEAAAsAAAAAAAAAAAAAAAAALwEAAF9yZWxzLy5yZWxzUEsBAi0AFAAGAAgAAAAhADIs&#10;NZwVAgAAKgQAAA4AAAAAAAAAAAAAAAAALgIAAGRycy9lMm9Eb2MueG1sUEsBAi0AFAAGAAgAAAAh&#10;AGzGigXbAAAABwEAAA8AAAAAAAAAAAAAAAAAbwQAAGRycy9kb3ducmV2LnhtbFBLBQYAAAAABAAE&#10;APMAAAB3BQ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013EB8">
      <w:pPr>
        <w:rPr>
          <w:color w:val="000000"/>
          <w:sz w:val="18"/>
        </w:rPr>
      </w:pPr>
    </w:p>
    <w:p w:rsidR="00013EB8" w:rsidRDefault="00013EB8">
      <w:pPr>
        <w:rPr>
          <w:color w:val="000000"/>
          <w:sz w:val="18"/>
        </w:rPr>
      </w:pPr>
      <w:r>
        <w:rPr>
          <w:color w:val="000000"/>
          <w:sz w:val="18"/>
        </w:rPr>
        <w:t xml:space="preserve">RAD </w:t>
      </w:r>
      <w:r>
        <w:rPr>
          <w:color w:val="000000"/>
          <w:sz w:val="18"/>
        </w:rPr>
        <w:tab/>
      </w:r>
      <w:r>
        <w:rPr>
          <w:color w:val="000000"/>
          <w:sz w:val="18"/>
        </w:rPr>
        <w:tab/>
      </w:r>
      <w:r>
        <w:rPr>
          <w:color w:val="000000"/>
          <w:sz w:val="18"/>
        </w:rPr>
        <w:tab/>
      </w:r>
      <w:r>
        <w:rPr>
          <w:color w:val="000000"/>
          <w:sz w:val="18"/>
        </w:rPr>
        <w:tab/>
        <w:t>Date of Claim</w:t>
      </w:r>
      <w:r>
        <w:rPr>
          <w:color w:val="000000"/>
          <w:sz w:val="18"/>
        </w:rPr>
        <w:tab/>
      </w:r>
      <w:r>
        <w:rPr>
          <w:color w:val="000000"/>
          <w:sz w:val="18"/>
        </w:rPr>
        <w:tab/>
      </w:r>
      <w:r>
        <w:rPr>
          <w:color w:val="000000"/>
          <w:sz w:val="18"/>
        </w:rPr>
        <w:tab/>
      </w:r>
      <w:r>
        <w:rPr>
          <w:color w:val="000000"/>
          <w:sz w:val="18"/>
        </w:rPr>
        <w:tab/>
      </w:r>
      <w:r w:rsidR="00094A25">
        <w:rPr>
          <w:color w:val="000000"/>
          <w:sz w:val="18"/>
        </w:rPr>
        <w:t xml:space="preserve">Medical evidence showing intial diagnosis of 04/08/07 </w:t>
      </w:r>
      <w:r w:rsidR="00094A25">
        <w:rPr>
          <w:color w:val="000000"/>
          <w:sz w:val="18"/>
        </w:rPr>
        <w:tab/>
      </w:r>
      <w:r w:rsidR="00094A25">
        <w:rPr>
          <w:color w:val="000000"/>
          <w:sz w:val="18"/>
        </w:rPr>
        <w:tab/>
      </w:r>
      <w:r w:rsidR="00094A25">
        <w:rPr>
          <w:color w:val="000000"/>
          <w:sz w:val="18"/>
        </w:rPr>
        <w:tab/>
        <w:t>(No Evidence of Current Disability)</w:t>
      </w:r>
      <w:r w:rsidR="00094A25">
        <w:rPr>
          <w:color w:val="000000"/>
          <w:sz w:val="18"/>
        </w:rPr>
        <w:tab/>
      </w:r>
      <w:r w:rsidR="00094A25">
        <w:rPr>
          <w:color w:val="000000"/>
          <w:sz w:val="18"/>
        </w:rPr>
        <w:tab/>
      </w:r>
      <w:r>
        <w:rPr>
          <w:color w:val="000000"/>
          <w:sz w:val="18"/>
        </w:rPr>
        <w:t>Disability</w:t>
      </w:r>
      <w:r w:rsidR="00094A25">
        <w:rPr>
          <w:color w:val="000000"/>
          <w:sz w:val="18"/>
        </w:rPr>
        <w:t xml:space="preserve"> on 07/30/13</w:t>
      </w:r>
    </w:p>
    <w:p w:rsidR="00013EB8" w:rsidRDefault="00013EB8">
      <w:pPr>
        <w:rPr>
          <w:color w:val="000000"/>
          <w:sz w:val="18"/>
        </w:rPr>
      </w:pPr>
      <w:r>
        <w:rPr>
          <w:color w:val="000000"/>
          <w:sz w:val="18"/>
        </w:rPr>
        <w:tab/>
      </w:r>
      <w:r>
        <w:rPr>
          <w:color w:val="000000"/>
          <w:sz w:val="18"/>
        </w:rPr>
        <w:tab/>
      </w:r>
      <w:r>
        <w:rPr>
          <w:color w:val="000000"/>
          <w:sz w:val="18"/>
        </w:rPr>
        <w:tab/>
      </w:r>
      <w:r w:rsidR="00094A25">
        <w:rPr>
          <w:color w:val="000000"/>
          <w:sz w:val="18"/>
        </w:rPr>
        <w:tab/>
      </w:r>
      <w:r>
        <w:rPr>
          <w:color w:val="000000"/>
          <w:sz w:val="18"/>
        </w:rPr>
        <w:t>06/08/</w:t>
      </w:r>
      <w:r w:rsidR="00094A25">
        <w:rPr>
          <w:color w:val="000000"/>
          <w:sz w:val="18"/>
        </w:rPr>
        <w:t>13</w:t>
      </w:r>
      <w:r>
        <w:rPr>
          <w:color w:val="000000"/>
          <w:sz w:val="18"/>
        </w:rPr>
        <w:tab/>
        <w:t xml:space="preserve">       </w:t>
      </w:r>
      <w:r>
        <w:rPr>
          <w:color w:val="000000"/>
          <w:sz w:val="18"/>
        </w:rPr>
        <w:tab/>
      </w:r>
      <w:r>
        <w:rPr>
          <w:color w:val="000000"/>
          <w:sz w:val="18"/>
        </w:rPr>
        <w:tab/>
      </w:r>
      <w:r>
        <w:rPr>
          <w:color w:val="000000"/>
          <w:sz w:val="18"/>
        </w:rPr>
        <w:tab/>
      </w:r>
      <w:r>
        <w:rPr>
          <w:color w:val="000000"/>
          <w:sz w:val="18"/>
        </w:rPr>
        <w:tab/>
      </w:r>
    </w:p>
    <w:p w:rsidR="00013EB8" w:rsidRDefault="00013EB8">
      <w:pPr>
        <w:rPr>
          <w:color w:val="000000"/>
          <w:sz w:val="18"/>
        </w:rPr>
      </w:pPr>
    </w:p>
    <w:p w:rsidR="00013EB8" w:rsidRDefault="00013EB8">
      <w:pPr>
        <w:rPr>
          <w:color w:val="000000"/>
          <w:sz w:val="18"/>
        </w:rPr>
      </w:pPr>
    </w:p>
    <w:p w:rsidR="00CD0080" w:rsidRDefault="00CD0080">
      <w:pPr>
        <w:numPr>
          <w:ilvl w:val="12"/>
          <w:numId w:val="0"/>
        </w:numPr>
        <w:pBdr>
          <w:top w:val="dotted" w:sz="4" w:space="1" w:color="auto"/>
        </w:pBdr>
        <w:jc w:val="both"/>
        <w:rPr>
          <w:b/>
          <w:bCs/>
          <w:sz w:val="18"/>
          <w:u w:val="single"/>
        </w:rPr>
      </w:pPr>
    </w:p>
    <w:p w:rsidR="00013EB8" w:rsidRPr="00CD0080" w:rsidRDefault="00013EB8">
      <w:pPr>
        <w:numPr>
          <w:ilvl w:val="12"/>
          <w:numId w:val="0"/>
        </w:numPr>
        <w:pBdr>
          <w:top w:val="dotted" w:sz="4" w:space="1" w:color="auto"/>
        </w:pBdr>
        <w:jc w:val="both"/>
        <w:rPr>
          <w:b/>
          <w:bCs/>
          <w:u w:val="single"/>
        </w:rPr>
      </w:pPr>
      <w:r w:rsidRPr="00CD0080">
        <w:rPr>
          <w:b/>
          <w:bCs/>
          <w:u w:val="single"/>
        </w:rPr>
        <w:t>PRESUMPTIVE SERVICE CONNECTION</w:t>
      </w:r>
    </w:p>
    <w:p w:rsidR="00013EB8" w:rsidRDefault="00013EB8">
      <w:pPr>
        <w:numPr>
          <w:ilvl w:val="12"/>
          <w:numId w:val="0"/>
        </w:numPr>
        <w:jc w:val="both"/>
        <w:rPr>
          <w:sz w:val="18"/>
          <w:u w:val="single"/>
        </w:rPr>
      </w:pPr>
    </w:p>
    <w:p w:rsidR="00094A25" w:rsidRDefault="00094A25" w:rsidP="00094A25">
      <w:pPr>
        <w:numPr>
          <w:ilvl w:val="12"/>
          <w:numId w:val="0"/>
        </w:numPr>
        <w:jc w:val="both"/>
        <w:rPr>
          <w:i/>
          <w:iCs/>
          <w:sz w:val="18"/>
        </w:rPr>
      </w:pPr>
      <w:r>
        <w:rPr>
          <w:i/>
          <w:iCs/>
          <w:sz w:val="18"/>
        </w:rPr>
        <w:t xml:space="preserve">Claim Received </w:t>
      </w:r>
      <w:r>
        <w:rPr>
          <w:i/>
          <w:iCs/>
          <w:sz w:val="18"/>
          <w:u w:val="single"/>
        </w:rPr>
        <w:t>Within 1 Year</w:t>
      </w:r>
      <w:r>
        <w:rPr>
          <w:i/>
          <w:iCs/>
          <w:sz w:val="18"/>
        </w:rPr>
        <w:t xml:space="preserve"> of Release from Active Duty (RAD):</w:t>
      </w:r>
    </w:p>
    <w:p w:rsidR="00094A25" w:rsidRDefault="00094A25" w:rsidP="00094A25">
      <w:pPr>
        <w:rPr>
          <w:color w:val="000000"/>
          <w:sz w:val="18"/>
        </w:rPr>
      </w:pPr>
    </w:p>
    <w:p w:rsidR="00094A25" w:rsidRDefault="00094A25" w:rsidP="00094A25">
      <w:pPr>
        <w:rPr>
          <w:b/>
          <w:bCs/>
          <w:color w:val="000000"/>
          <w:sz w:val="18"/>
        </w:rPr>
      </w:pPr>
      <w:r>
        <w:rPr>
          <w:color w:val="000000"/>
          <w:sz w:val="18"/>
        </w:rPr>
        <w:t xml:space="preserve">          </w:t>
      </w:r>
      <w:r>
        <w:rPr>
          <w:color w:val="000000"/>
          <w:sz w:val="18"/>
        </w:rPr>
        <w:tab/>
      </w:r>
      <w:r>
        <w:rPr>
          <w:color w:val="000000"/>
          <w:sz w:val="18"/>
        </w:rPr>
        <w:tab/>
      </w:r>
      <w:r>
        <w:rPr>
          <w:b/>
          <w:bCs/>
          <w:color w:val="000000"/>
          <w:sz w:val="18"/>
        </w:rPr>
        <w:t>Effective Date</w:t>
      </w:r>
    </w:p>
    <w:p w:rsidR="00094A25" w:rsidRDefault="00094A25" w:rsidP="00094A25">
      <w:pPr>
        <w:ind w:left="720" w:firstLine="720"/>
        <w:rPr>
          <w:b/>
          <w:bCs/>
          <w:color w:val="000000"/>
          <w:sz w:val="18"/>
        </w:rPr>
      </w:pPr>
      <w:r>
        <w:rPr>
          <w:color w:val="000000"/>
          <w:sz w:val="18"/>
        </w:rPr>
        <w:t>(Date Entitlement Arose)</w:t>
      </w:r>
    </w:p>
    <w:p w:rsidR="00094A25" w:rsidRDefault="00094A25" w:rsidP="00094A25">
      <w:pPr>
        <w:ind w:left="720" w:firstLine="720"/>
        <w:rPr>
          <w:color w:val="000000"/>
          <w:sz w:val="18"/>
        </w:rPr>
      </w:pPr>
      <w:r>
        <w:rPr>
          <w:noProof/>
          <w:sz w:val="18"/>
        </w:rPr>
        <mc:AlternateContent>
          <mc:Choice Requires="wps">
            <w:drawing>
              <wp:anchor distT="0" distB="0" distL="114300" distR="114300" simplePos="0" relativeHeight="251702784" behindDoc="0" locked="0" layoutInCell="1" allowOverlap="1" wp14:anchorId="0E1BE188" wp14:editId="5EA7D8C6">
                <wp:simplePos x="0" y="0"/>
                <wp:positionH relativeFrom="column">
                  <wp:posOffset>1118235</wp:posOffset>
                </wp:positionH>
                <wp:positionV relativeFrom="paragraph">
                  <wp:posOffset>114935</wp:posOffset>
                </wp:positionV>
                <wp:extent cx="0" cy="457200"/>
                <wp:effectExtent l="0" t="0" r="19050" b="19050"/>
                <wp:wrapNone/>
                <wp:docPr id="13" name="Lin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6DE3BC" id="Line 328" o:spid="_x0000_s1026" style="position:absolute;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05pt,9.05pt" to="88.05pt,4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CPMEgIAACoEAAAOAAAAZHJzL2Uyb0RvYy54bWysU8GO2jAQvVfqP1i5QxIILESEVZVAL7SL&#10;tNsPMLZDrDq2ZRsCqvrvHTsBLe2lqpqDM7Zn3ryZN149X1qBzsxYrmQRpeMkQkwSRbk8FtG3t+1o&#10;ESHrsKRYKMmK6Mps9Lz++GHV6ZxNVKMEZQYBiLR5p4uocU7ncWxJw1psx0ozCZe1Mi12sDXHmBrc&#10;AXor4kmSzONOGaqNIsxaOK36y2gd8OuaEfdS15Y5JIoIuLmwmrAe/BqvVzg/GqwbTgYa+B9YtJhL&#10;SHqHqrDD6GT4H1AtJ0ZZVbsxUW2s6poTFmqAatLkt2peG6xZqAWaY/W9Tfb/wZKv571BnIJ20whJ&#10;3IJGOy4Zmk4Wvjmdtjn4lHJvfHnkIl/1TpHvFklVNlgeWSD5dtUQmPqI+CHEb6yGFIfui6Lgg09O&#10;hU5datN6SOgBugRBrndB2MUh0h8SOM1mT6B1AMf5LU4b6z4z1SJvFJEA0gEXn3fWeR44v7n4NFJt&#10;uRBBbiFRV0TL2WQWAqwSnPpL72bN8VAKg87YD0z4hrwPbkadJA1gDcN0M9gOc9HbkFxIjweVAJ3B&#10;6ifixzJZbhabRTbKJvPNKEuqavRpW2aj+TZ9mlXTqiyr9KenlmZ5wyll0rO7TWea/Z36wzvp5+o+&#10;n/c2xI/ooV9A9vYPpIOUXr1+Dg6KXvfmJjEMZHAeHo+f+Pd7sN8/8fUvAAAA//8DAFBLAwQUAAYA&#10;CAAAACEAxELpttwAAAAJAQAADwAAAGRycy9kb3ducmV2LnhtbEyPQU/DMAyF70j8h8hIXKYt7ZDG&#10;KE0nBPTGhQHa1WtMW9E4XZNthV+Ptwuc7Gc/PX/OV6Pr1IGG0Ho2kM4SUMSVty3XBt7fyukSVIjI&#10;FjvPZOCbAqyKy4scM+uP/EqHdayVhHDI0EATY59pHaqGHIaZ74ll9+kHh1HkUGs74FHCXafnSbLQ&#10;DluWCw329NhQ9bXeOwOh/KBd+TOpJsnmpvY03z29PKMx11fjwz2oSGP8M8MJX9ChEKat37MNqhN9&#10;u0jFKs1S6slwHmwN3CUp6CLX/z8ofgEAAP//AwBQSwECLQAUAAYACAAAACEAtoM4kv4AAADhAQAA&#10;EwAAAAAAAAAAAAAAAAAAAAAAW0NvbnRlbnRfVHlwZXNdLnhtbFBLAQItABQABgAIAAAAIQA4/SH/&#10;1gAAAJQBAAALAAAAAAAAAAAAAAAAAC8BAABfcmVscy8ucmVsc1BLAQItABQABgAIAAAAIQDdYCPM&#10;EgIAACoEAAAOAAAAAAAAAAAAAAAAAC4CAABkcnMvZTJvRG9jLnhtbFBLAQItABQABgAIAAAAIQDE&#10;Qum23AAAAAkBAAAPAAAAAAAAAAAAAAAAAGwEAABkcnMvZG93bnJldi54bWxQSwUGAAAAAAQABADz&#10;AAAAdQUAAAAA&#10;"/>
            </w:pict>
          </mc:Fallback>
        </mc:AlternateContent>
      </w:r>
      <w:r>
        <w:rPr>
          <w:b/>
          <w:bCs/>
          <w:color w:val="000000"/>
          <w:sz w:val="18"/>
        </w:rPr>
        <w:t>07/04/11</w:t>
      </w:r>
    </w:p>
    <w:p w:rsidR="00094A25" w:rsidRDefault="00094A25" w:rsidP="00094A25">
      <w:pPr>
        <w:rPr>
          <w:color w:val="000000"/>
          <w:sz w:val="18"/>
        </w:rPr>
      </w:pPr>
    </w:p>
    <w:p w:rsidR="00094A25" w:rsidRDefault="00094A25" w:rsidP="00094A25">
      <w:pPr>
        <w:rPr>
          <w:color w:val="000000"/>
          <w:sz w:val="18"/>
        </w:rPr>
      </w:pPr>
      <w:r>
        <w:rPr>
          <w:noProof/>
          <w:sz w:val="18"/>
        </w:rPr>
        <mc:AlternateContent>
          <mc:Choice Requires="wps">
            <w:drawing>
              <wp:anchor distT="0" distB="0" distL="114300" distR="114300" simplePos="0" relativeHeight="251697664" behindDoc="0" locked="0" layoutInCell="1" allowOverlap="1" wp14:anchorId="683410E0" wp14:editId="30783F43">
                <wp:simplePos x="0" y="0"/>
                <wp:positionH relativeFrom="column">
                  <wp:posOffset>89535</wp:posOffset>
                </wp:positionH>
                <wp:positionV relativeFrom="paragraph">
                  <wp:posOffset>93345</wp:posOffset>
                </wp:positionV>
                <wp:extent cx="5410200" cy="0"/>
                <wp:effectExtent l="0" t="0" r="19050" b="19050"/>
                <wp:wrapNone/>
                <wp:docPr id="6" name="Line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93921A" id="Line 314" o:spid="_x0000_s1026" style="position:absolute;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7.35pt" to="433.0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T0o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OnLA+96Y0rIKRSOxuqo2f1YraafndI6aol6sAjx9eLgcQsZCRvUsLGGbhh33/WDGLI0evY&#10;qHNjuwAJLUDnqMflrgc/e0ThcJpnKYiMER18CSmGRGOd/8R1h4JRYgmsIzA5bZ0PREgxhIR7lN4I&#10;KaPcUqG+xIvpZBoTnJaCBWcIc/awr6RFJxIGJn6xKvA8hll9VCyCtZyw9c32RMirDZdLFfCgFKBz&#10;s64T8WORLtbz9Twf5ZPZepSndT36uKny0WyTfZjWT3VV1dnPQC3Li1YwxlVgN0xnlv+d+rd3cp2r&#10;+3ze25C8RY/9ArLDP5KOWgb5roOw1+yys4PGMJAx+PZ4wsQ/7sF+fOKrXwAAAP//AwBQSwMEFAAG&#10;AAgAAAAhACOgCW/aAAAACAEAAA8AAABkcnMvZG93bnJldi54bWxMT01PwkAQvZv4HzZj4oXAFjSF&#10;1G6JUXvzImq8Dt2xbezOlu4C1V/vEA56mryPvHkvX4+uUwcaQuvZwHyWgCKuvG25NvD2Wk5XoEJE&#10;tth5JgPfFGBdXF7kmFl/5Bc6bGKtJIRDhgaaGPtM61A15DDMfE8s2qcfHEaBQ63tgEcJd51eJEmq&#10;HbYsHxrs6aGh6muzdwZC+U678mdSTZKPm9rTYvf4/ITGXF+N93egIo3xzwyn+lIdCum09Xu2QXWC&#10;b+fiPN0lKNFXaSrE9kzoItf/BxS/AAAA//8DAFBLAQItABQABgAIAAAAIQC2gziS/gAAAOEBAAAT&#10;AAAAAAAAAAAAAAAAAAAAAABbQ29udGVudF9UeXBlc10ueG1sUEsBAi0AFAAGAAgAAAAhADj9If/W&#10;AAAAlAEAAAsAAAAAAAAAAAAAAAAALwEAAF9yZWxzLy5yZWxzUEsBAi0AFAAGAAgAAAAhAOmxPSgT&#10;AgAAKgQAAA4AAAAAAAAAAAAAAAAALgIAAGRycy9lMm9Eb2MueG1sUEsBAi0AFAAGAAgAAAAhACOg&#10;CW/aAAAACAEAAA8AAAAAAAAAAAAAAAAAbQQAAGRycy9kb3ducmV2LnhtbFBLBQYAAAAABAAEAPMA&#10;AAB0BQAAAAA=&#10;"/>
            </w:pict>
          </mc:Fallback>
        </mc:AlternateContent>
      </w:r>
      <w:r>
        <w:rPr>
          <w:noProof/>
          <w:sz w:val="18"/>
        </w:rPr>
        <mc:AlternateContent>
          <mc:Choice Requires="wps">
            <w:drawing>
              <wp:anchor distT="0" distB="0" distL="114300" distR="114300" simplePos="0" relativeHeight="251699712" behindDoc="0" locked="0" layoutInCell="1" allowOverlap="1" wp14:anchorId="101FB7AC" wp14:editId="2BD5FC28">
                <wp:simplePos x="0" y="0"/>
                <wp:positionH relativeFrom="column">
                  <wp:posOffset>241935</wp:posOffset>
                </wp:positionH>
                <wp:positionV relativeFrom="paragraph">
                  <wp:posOffset>92710</wp:posOffset>
                </wp:positionV>
                <wp:extent cx="0" cy="228600"/>
                <wp:effectExtent l="0" t="0" r="0" b="0"/>
                <wp:wrapNone/>
                <wp:docPr id="5" name="Line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D3C89F" id="Line 316" o:spid="_x0000_s1026" style="position:absolute;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7.3pt" to="19.05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RgGEwIAACk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lXiKkSId&#10;SLQViqOnbBZ60xtXgEuldjZUR8/qxWw1/e6Q0lVL1IFHjq8XA4FZiEjehISNM5Bh33/WDHzI0evY&#10;qHNjuwAJLUDnqMflrgc/e0SHQwqneT6fpVGqhBS3OGOd/8R1h4JRYgmkIy45bZ0PPEhxcwlplN4I&#10;KaPaUqG+xItpPo0BTkvBwmVwc/awr6RFJxLmJX6xKLh5dLP6qFgEazlh66vtiZCDDcmlCnhQCdC5&#10;WsNA/Fiki/V8PZ+MJvlsPZqkdT36uKkmo9km+zCtn+qqqrOfgVo2KVrBGFeB3W04s8nfiX99JsNY&#10;3cfz3obkLXrsF5C9/SPpKGVQb5iDvWaXnb1JDPMYna9vJwz84x7sxxe++gUAAP//AwBQSwMEFAAG&#10;AAgAAAAhANJPjBPaAAAABwEAAA8AAABkcnMvZG93bnJldi54bWxMjk9PwkAQxe8mfofNmHghsAW0&#10;IbVbYtTevIgarkN3bBu7s6W7QPXTO3LR4/uT9375enSdOtIQWs8G5rMEFHHlbcu1gbfXcroCFSKy&#10;xc4zGfiiAOvi8iLHzPoTv9BxE2slIxwyNNDE2Gdah6ohh2Hme2LJPvzgMIocam0HPMm46/QiSVLt&#10;sGV5aLCnh4aqz83BGQjlO+3L70k1SbbL2tNi//j8hMZcX433d6AijfGvDL/4gg6FMO38gW1QnYHl&#10;ai5N8W9SUJKf9c7AbZKCLnL9n7/4AQAA//8DAFBLAQItABQABgAIAAAAIQC2gziS/gAAAOEBAAAT&#10;AAAAAAAAAAAAAAAAAAAAAABbQ29udGVudF9UeXBlc10ueG1sUEsBAi0AFAAGAAgAAAAhADj9If/W&#10;AAAAlAEAAAsAAAAAAAAAAAAAAAAALwEAAF9yZWxzLy5yZWxzUEsBAi0AFAAGAAgAAAAhAEWFGAYT&#10;AgAAKQQAAA4AAAAAAAAAAAAAAAAALgIAAGRycy9lMm9Eb2MueG1sUEsBAi0AFAAGAAgAAAAhANJP&#10;jBPaAAAABwEAAA8AAAAAAAAAAAAAAAAAbQQAAGRycy9kb3ducmV2LnhtbFBLBQYAAAAABAAEAPMA&#10;AAB0BQAAAAA=&#10;"/>
            </w:pict>
          </mc:Fallback>
        </mc:AlternateContent>
      </w:r>
      <w:r>
        <w:rPr>
          <w:noProof/>
          <w:sz w:val="18"/>
        </w:rPr>
        <mc:AlternateContent>
          <mc:Choice Requires="wps">
            <w:drawing>
              <wp:anchor distT="0" distB="0" distL="114300" distR="114300" simplePos="0" relativeHeight="251698688" behindDoc="0" locked="0" layoutInCell="1" allowOverlap="1" wp14:anchorId="4B3746A0" wp14:editId="229D3587">
                <wp:simplePos x="0" y="0"/>
                <wp:positionH relativeFrom="column">
                  <wp:posOffset>3899535</wp:posOffset>
                </wp:positionH>
                <wp:positionV relativeFrom="paragraph">
                  <wp:posOffset>83185</wp:posOffset>
                </wp:positionV>
                <wp:extent cx="0" cy="228600"/>
                <wp:effectExtent l="0" t="0" r="0" b="0"/>
                <wp:wrapNone/>
                <wp:docPr id="12" name="Line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E3AFC2" id="Line 315" o:spid="_x0000_s1026" style="position:absolute;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05pt,6.55pt" to="307.05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gziFAIAACo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gXY5Rop0&#10;oNFWKI6esmloTm9cAT6V2tlQHj2rF7PV9LtDSlctUQceSb5eDARmISJ5ExI2zkCKff9ZM/AhR69j&#10;p86N7QIk9ACdoyCXuyD87BEdDimc5vl8lkatElLc4ox1/hPXHQpGiSWQjrjktHU+8CDFzSWkUXoj&#10;pIxyS4X6Ei+m+TQGOC0FC5fBzdnDvpIWnUgYmPjFouDm0c3qo2IRrOWEra+2J0IONiSXKuBBJUDn&#10;ag0T8WORLtbz9XwymuSz9WiS1vXo46aajGab7MO0fqqrqs5+BmrZpGgFY1wFdrfpzCZ/p/71nQxz&#10;dZ/PexuSt+ixX0D29o+ko5RBvWEO9ppddvYmMQxkdL4+njDxj3uwH5/46hcAAAD//wMAUEsDBBQA&#10;BgAIAAAAIQBuD+zF3QAAAAkBAAAPAAAAZHJzL2Rvd25yZXYueG1sTI9BT8MwDIXvSPyHyEhcpi3t&#10;Nk2jNJ0Q0BsXBoir15i2onG6JtsKvx6jHeBk2e/p+Xv5ZnSdOtIQWs8G0lkCirjytuXawOtLOV2D&#10;ChHZYueZDHxRgE1xeZFjZv2Jn+m4jbWSEA4ZGmhi7DOtQ9WQwzDzPbFoH35wGGUdam0HPEm46/Q8&#10;SVbaYcvyocGe7huqPrcHZyCUb7QvvyfVJHlf1J7m+4enRzTm+mq8uwUVaYx/ZvjFF3QohGnnD2yD&#10;6gys0mUqVhEWMsVwPuwMLG9S0EWu/zcofgAAAP//AwBQSwECLQAUAAYACAAAACEAtoM4kv4AAADh&#10;AQAAEwAAAAAAAAAAAAAAAAAAAAAAW0NvbnRlbnRfVHlwZXNdLnhtbFBLAQItABQABgAIAAAAIQA4&#10;/SH/1gAAAJQBAAALAAAAAAAAAAAAAAAAAC8BAABfcmVscy8ucmVsc1BLAQItABQABgAIAAAAIQBQ&#10;mgziFAIAACoEAAAOAAAAAAAAAAAAAAAAAC4CAABkcnMvZTJvRG9jLnhtbFBLAQItABQABgAIAAAA&#10;IQBuD+zF3QAAAAkBAAAPAAAAAAAAAAAAAAAAAG4EAABkcnMvZG93bnJldi54bWxQSwUGAAAAAAQA&#10;BADzAAAAeAUAAAAA&#10;"/>
            </w:pict>
          </mc:Fallback>
        </mc:AlternateContent>
      </w:r>
    </w:p>
    <w:p w:rsidR="00094A25" w:rsidRDefault="00094A25" w:rsidP="00094A25">
      <w:pPr>
        <w:rPr>
          <w:color w:val="000000"/>
          <w:sz w:val="18"/>
        </w:rPr>
      </w:pPr>
      <w:r>
        <w:rPr>
          <w:color w:val="000000"/>
          <w:sz w:val="18"/>
        </w:rPr>
        <w:t xml:space="preserve">                                 </w:t>
      </w:r>
      <w:r>
        <w:rPr>
          <w:color w:val="000000"/>
          <w:sz w:val="18"/>
        </w:rPr>
        <w:tab/>
      </w:r>
      <w:r>
        <w:rPr>
          <w:color w:val="000000"/>
          <w:sz w:val="18"/>
        </w:rPr>
        <w:tab/>
      </w:r>
    </w:p>
    <w:p w:rsidR="00094A25" w:rsidRDefault="00094A25" w:rsidP="00094A25">
      <w:pPr>
        <w:rPr>
          <w:color w:val="000000"/>
          <w:sz w:val="18"/>
        </w:rPr>
      </w:pPr>
      <w:r>
        <w:rPr>
          <w:color w:val="000000"/>
          <w:sz w:val="18"/>
        </w:rPr>
        <w:t>RAD</w:t>
      </w:r>
      <w:r>
        <w:rPr>
          <w:color w:val="000000"/>
          <w:sz w:val="18"/>
        </w:rPr>
        <w:tab/>
      </w:r>
      <w:r>
        <w:rPr>
          <w:color w:val="000000"/>
          <w:sz w:val="18"/>
        </w:rPr>
        <w:tab/>
        <w:t>Date a 3.309(a) condition</w:t>
      </w:r>
      <w:r>
        <w:rPr>
          <w:color w:val="000000"/>
          <w:sz w:val="18"/>
        </w:rPr>
        <w:tab/>
      </w:r>
      <w:r>
        <w:rPr>
          <w:color w:val="000000"/>
          <w:sz w:val="18"/>
        </w:rPr>
        <w:tab/>
      </w:r>
      <w:r>
        <w:rPr>
          <w:color w:val="000000"/>
          <w:sz w:val="18"/>
        </w:rPr>
        <w:tab/>
      </w:r>
      <w:r>
        <w:rPr>
          <w:color w:val="000000"/>
          <w:sz w:val="18"/>
        </w:rPr>
        <w:tab/>
        <w:t>Date of Claim</w:t>
      </w:r>
      <w:r>
        <w:rPr>
          <w:color w:val="000000"/>
          <w:sz w:val="18"/>
        </w:rPr>
        <w:tab/>
      </w:r>
    </w:p>
    <w:p w:rsidR="00094A25" w:rsidRDefault="00094A25" w:rsidP="00094A25">
      <w:pPr>
        <w:rPr>
          <w:color w:val="000000"/>
          <w:sz w:val="18"/>
        </w:rPr>
      </w:pPr>
      <w:r>
        <w:rPr>
          <w:color w:val="000000"/>
          <w:sz w:val="18"/>
        </w:rPr>
        <w:t>04/08/11</w:t>
      </w:r>
      <w:r>
        <w:rPr>
          <w:color w:val="000000"/>
          <w:sz w:val="18"/>
        </w:rPr>
        <w:tab/>
      </w:r>
      <w:r>
        <w:rPr>
          <w:color w:val="000000"/>
          <w:sz w:val="18"/>
        </w:rPr>
        <w:tab/>
        <w:t>manifested to a compensable degree</w:t>
      </w:r>
      <w:r>
        <w:rPr>
          <w:color w:val="000000"/>
          <w:sz w:val="18"/>
        </w:rPr>
        <w:tab/>
      </w:r>
      <w:r>
        <w:rPr>
          <w:color w:val="000000"/>
          <w:sz w:val="18"/>
        </w:rPr>
        <w:tab/>
        <w:t>01/08/12</w:t>
      </w:r>
    </w:p>
    <w:p w:rsidR="00094A25" w:rsidRDefault="00094A25" w:rsidP="00094A25">
      <w:pPr>
        <w:rPr>
          <w:color w:val="000000"/>
          <w:sz w:val="18"/>
        </w:rPr>
      </w:pPr>
      <w:r>
        <w:rPr>
          <w:color w:val="000000"/>
          <w:sz w:val="18"/>
        </w:rPr>
        <w:tab/>
      </w:r>
      <w:r>
        <w:rPr>
          <w:color w:val="000000"/>
          <w:sz w:val="18"/>
        </w:rPr>
        <w:tab/>
        <w:t>07/04/11</w:t>
      </w:r>
    </w:p>
    <w:p w:rsidR="00094A25" w:rsidRDefault="00094A25">
      <w:pPr>
        <w:numPr>
          <w:ilvl w:val="12"/>
          <w:numId w:val="0"/>
        </w:numPr>
        <w:jc w:val="both"/>
        <w:rPr>
          <w:i/>
          <w:iCs/>
          <w:sz w:val="18"/>
        </w:rPr>
      </w:pPr>
    </w:p>
    <w:p w:rsidR="00CD0080" w:rsidRDefault="00CD0080" w:rsidP="00CD0080">
      <w:pPr>
        <w:numPr>
          <w:ilvl w:val="12"/>
          <w:numId w:val="0"/>
        </w:numPr>
        <w:jc w:val="both"/>
        <w:rPr>
          <w:i/>
          <w:iCs/>
          <w:sz w:val="18"/>
        </w:rPr>
      </w:pPr>
    </w:p>
    <w:p w:rsidR="00CD0080" w:rsidRDefault="00CD0080" w:rsidP="00CD0080">
      <w:pPr>
        <w:numPr>
          <w:ilvl w:val="12"/>
          <w:numId w:val="0"/>
        </w:numPr>
        <w:jc w:val="both"/>
        <w:rPr>
          <w:i/>
          <w:iCs/>
          <w:sz w:val="18"/>
        </w:rPr>
      </w:pPr>
      <w:r>
        <w:rPr>
          <w:i/>
          <w:iCs/>
          <w:sz w:val="18"/>
        </w:rPr>
        <w:t xml:space="preserve">Claim Received </w:t>
      </w:r>
      <w:r>
        <w:rPr>
          <w:i/>
          <w:iCs/>
          <w:sz w:val="18"/>
          <w:u w:val="single"/>
        </w:rPr>
        <w:t>After 1 Year</w:t>
      </w:r>
      <w:r>
        <w:rPr>
          <w:i/>
          <w:iCs/>
          <w:sz w:val="18"/>
        </w:rPr>
        <w:t xml:space="preserve"> of Release from Active Duty (RAD):</w:t>
      </w:r>
    </w:p>
    <w:p w:rsidR="00CD0080" w:rsidRDefault="00CD0080" w:rsidP="00CD0080">
      <w:pPr>
        <w:rPr>
          <w:color w:val="000000"/>
          <w:sz w:val="18"/>
        </w:rPr>
      </w:pPr>
      <w:r>
        <w:rPr>
          <w:color w:val="000000"/>
          <w:sz w:val="18"/>
        </w:rPr>
        <w:t xml:space="preserve">          </w:t>
      </w:r>
      <w:r>
        <w:rPr>
          <w:color w:val="000000"/>
          <w:sz w:val="18"/>
        </w:rPr>
        <w:tab/>
      </w:r>
      <w:r>
        <w:rPr>
          <w:color w:val="000000"/>
          <w:sz w:val="18"/>
        </w:rPr>
        <w:tab/>
      </w:r>
    </w:p>
    <w:p w:rsidR="00CD0080" w:rsidRDefault="00CD0080" w:rsidP="00CD0080">
      <w:pPr>
        <w:rPr>
          <w:b/>
          <w:bCs/>
          <w:color w:val="000000"/>
          <w:sz w:val="18"/>
        </w:rPr>
      </w:pP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b/>
          <w:bCs/>
          <w:color w:val="000000"/>
          <w:sz w:val="18"/>
        </w:rPr>
        <w:t>Effective Date</w:t>
      </w:r>
    </w:p>
    <w:p w:rsidR="00CD0080" w:rsidRDefault="00CD0080" w:rsidP="00CD0080">
      <w:pPr>
        <w:ind w:left="5040" w:firstLine="720"/>
        <w:rPr>
          <w:color w:val="000000"/>
          <w:sz w:val="18"/>
        </w:rPr>
      </w:pPr>
      <w:r>
        <w:rPr>
          <w:noProof/>
          <w:sz w:val="18"/>
        </w:rPr>
        <mc:AlternateContent>
          <mc:Choice Requires="wps">
            <w:drawing>
              <wp:anchor distT="0" distB="0" distL="114300" distR="114300" simplePos="0" relativeHeight="251713024" behindDoc="0" locked="0" layoutInCell="1" allowOverlap="1" wp14:anchorId="041B47E0" wp14:editId="25A108F6">
                <wp:simplePos x="0" y="0"/>
                <wp:positionH relativeFrom="column">
                  <wp:posOffset>3832860</wp:posOffset>
                </wp:positionH>
                <wp:positionV relativeFrom="paragraph">
                  <wp:posOffset>86360</wp:posOffset>
                </wp:positionV>
                <wp:extent cx="0" cy="457200"/>
                <wp:effectExtent l="0" t="0" r="19050" b="19050"/>
                <wp:wrapNone/>
                <wp:docPr id="20" name="Lin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CE8272" id="Line 328" o:spid="_x0000_s1026" style="position:absolute;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1.8pt,6.8pt" to="301.8pt,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IlOEwIAACoEAAAOAAAAZHJzL2Uyb0RvYy54bWysU02P2yAQvVfqf0C+J/5YJ5tYcVaVnfSy&#10;7Uba7Q8ggGNUDAhInKjqf++AnWjTXqqqPuABZt68mTesns6dQCdmLFeyjNJpEiEmiaJcHsro29t2&#10;soiQdVhSLJRkZXRhNnpaf/yw6nXBMtUqQZlBACJt0esyap3TRRxb0rIO26nSTMJlo0yHHWzNIaYG&#10;94DeiThLknncK0O1UYRZC6f1cBmtA37TMOJemsYyh0QZATcXVhPWvV/j9QoXB4N1y8lIA/8Diw5z&#10;CUlvUDV2GB0N/wOq48Qoqxo3JaqLVdNwwkINUE2a/FbNa4s1C7VAc6y+tcn+P1jy9bQziNMyyqA9&#10;Eneg0TOXDD1kC9+cXtsCfCq5M748cpav+lmR7xZJVbVYHlgg+XbREJj6iPguxG+shhT7/oui4IOP&#10;ToVOnRvTeUjoAToHQS43QdjZITIcEjjNZ4+gdQDHxTVOG+s+M9Uhb5SRANIBF5+erfM8cHF18Wmk&#10;2nIhgtxCor6MlrNsFgKsEpz6S+9mzWFfCYNO2A9M+Ma8d25GHSUNYC3DdDPaDnMx2JBcSI8HlQCd&#10;0Rom4scyWW4Wm0U+ybP5ZpIndT35tK3yyXybPs7qh7qq6vSnp5bmRcspZdKzu05nmv+d+uM7Gebq&#10;Np+3NsT36KFfQPb6D6SDlF69YQ72il525ioxDGRwHh+Pn/j3e7DfP/H1LwAAAP//AwBQSwMEFAAG&#10;AAgAAAAhAEAclffcAAAACQEAAA8AAABkcnMvZG93bnJldi54bWxMj0FPwzAMhe9I/IfISFwmlrCJ&#10;aipNJwT0xoUB4uo1pq1onK7JtsKvxxMHOFn2e3r+XrGefK8ONMYusIXruQFFXAfXcWPh9aW6WoGK&#10;CdlhH5gsfFGEdXl+VmDuwpGf6bBJjZIQjjlaaFMacq1j3ZLHOA8DsWgfYfSYZB0b7UY8Srjv9cKY&#10;THvsWD60ONB9S/XnZu8txOqNdtX3rJ6Z92UTaLF7eHpEay8vprtbUImm9GeGE76gQylM27BnF1Vv&#10;ITPLTKwinKYYfg9bC6ubDHRZ6P8Nyh8AAAD//wMAUEsBAi0AFAAGAAgAAAAhALaDOJL+AAAA4QEA&#10;ABMAAAAAAAAAAAAAAAAAAAAAAFtDb250ZW50X1R5cGVzXS54bWxQSwECLQAUAAYACAAAACEAOP0h&#10;/9YAAACUAQAACwAAAAAAAAAAAAAAAAAvAQAAX3JlbHMvLnJlbHNQSwECLQAUAAYACAAAACEAECyJ&#10;ThMCAAAqBAAADgAAAAAAAAAAAAAAAAAuAgAAZHJzL2Uyb0RvYy54bWxQSwECLQAUAAYACAAAACEA&#10;QByV99wAAAAJAQAADwAAAAAAAAAAAAAAAABtBAAAZHJzL2Rvd25yZXYueG1sUEsFBgAAAAAEAAQA&#10;8wAAAHYFAAAAAA==&#10;"/>
            </w:pict>
          </mc:Fallback>
        </mc:AlternateContent>
      </w:r>
      <w:r>
        <w:rPr>
          <w:b/>
          <w:bCs/>
          <w:color w:val="000000"/>
          <w:sz w:val="18"/>
        </w:rPr>
        <w:t>09/08/13</w:t>
      </w:r>
    </w:p>
    <w:p w:rsidR="00CD0080" w:rsidRDefault="00CD0080" w:rsidP="00CD0080">
      <w:pPr>
        <w:rPr>
          <w:color w:val="000000"/>
          <w:sz w:val="18"/>
        </w:rPr>
      </w:pPr>
    </w:p>
    <w:p w:rsidR="00CD0080" w:rsidRDefault="00CD0080" w:rsidP="00CD0080">
      <w:pPr>
        <w:rPr>
          <w:color w:val="000000"/>
          <w:sz w:val="18"/>
        </w:rPr>
      </w:pPr>
      <w:r>
        <w:rPr>
          <w:noProof/>
          <w:sz w:val="18"/>
        </w:rPr>
        <mc:AlternateContent>
          <mc:Choice Requires="wps">
            <w:drawing>
              <wp:anchor distT="0" distB="0" distL="114300" distR="114300" simplePos="0" relativeHeight="251705856" behindDoc="0" locked="0" layoutInCell="1" allowOverlap="1" wp14:anchorId="2DE17BC4" wp14:editId="3E55E319">
                <wp:simplePos x="0" y="0"/>
                <wp:positionH relativeFrom="column">
                  <wp:posOffset>1113790</wp:posOffset>
                </wp:positionH>
                <wp:positionV relativeFrom="paragraph">
                  <wp:posOffset>83185</wp:posOffset>
                </wp:positionV>
                <wp:extent cx="0" cy="228600"/>
                <wp:effectExtent l="0" t="0" r="19050" b="19050"/>
                <wp:wrapNone/>
                <wp:docPr id="17" name="Line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77C804" id="Line 315" o:spid="_x0000_s1026" style="position:absolute;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7pt,6.55pt" to="87.7pt,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YWKFAIAACoEAAAOAAAAZHJzL2Uyb0RvYy54bWysU02P2jAQvVfqf7B8h3wssBARVlUCvWy7&#10;SLv9AcZ2iFXHtmxDQFX/e8cOILa9VFVzcMb2zJs388bLp1Mn0ZFbJ7QqcTZOMeKKaibUvsTf3jaj&#10;OUbOE8WI1IqX+Mwdflp9/LDsTcFz3WrJuEUAolzRmxK33psiSRxteUfcWBuu4LLRtiMetnafMEt6&#10;QO9kkqfpLOm1ZcZqyp2D03q4xKuI3zSc+pemcdwjWWLg5uNq47oLa7JakmJviWkFvdAg/8CiI0JB&#10;0htUTTxBByv+gOoEtdrpxo+p7hLdNILyWANUk6W/VfPaEsNjLdAcZ25tcv8Pln49bi0SDLR7xEiR&#10;DjR6Foqjh2wamtMbV4BPpbY2lEdP6tU8a/rdIaWrlqg9jyTfzgYCsxCRvAsJG2cgxa7/ohn4kIPX&#10;sVOnxnYBEnqATlGQ800QfvKIDocUTvN8PkujVgkprnHGOv+Z6w4Fo8QSSEdccnx2PvAgxdUlpFF6&#10;I6SMckuF+hIvpvk0BjgtBQuXwc3Z/a6SFh1JGJj4xaLg5t7N6oNiEazlhK0vtidCDjYklyrgQSVA&#10;52INE/FjkS7W8/V8Mprks/Voktb16NOmmoxmm+xxWj/UVVVnPwO1bFK0gjGuArvrdGaTv1P/8k6G&#10;ubrN560NyXv02C8ge/1H0lHKoN4wBzvNzlt7lRgGMjpfHk+Y+Ps92PdPfPULAAD//wMAUEsDBBQA&#10;BgAIAAAAIQAhYxPQ3QAAAAkBAAAPAAAAZHJzL2Rvd25yZXYueG1sTI/NTsNADITvSLzDykhcKrpJ&#10;W/5CNhUCcuuFAuLqZk0SkfWm2W0beHpcLnDz2KPxN/lydJ3a0xBazwbSaQKKuPK25drA60t5cQMq&#10;RGSLnWcy8EUBlsXpSY6Z9Qd+pv061kpCOGRooImxz7QOVUMOw9T3xHL78IPDKHKotR3wIOGu07Mk&#10;udIOW5YPDfb00FD1ud45A6F8o235Pakmyfu89jTbPq6e0Jjzs/H+DlSkMf6Z4Ygv6FAI08bv2AbV&#10;ib6+XIhVhnkK6mj4XWwMLG5T0EWu/zcofgAAAP//AwBQSwECLQAUAAYACAAAACEAtoM4kv4AAADh&#10;AQAAEwAAAAAAAAAAAAAAAAAAAAAAW0NvbnRlbnRfVHlwZXNdLnhtbFBLAQItABQABgAIAAAAIQA4&#10;/SH/1gAAAJQBAAALAAAAAAAAAAAAAAAAAC8BAABfcmVscy8ucmVsc1BLAQItABQABgAIAAAAIQA5&#10;GYWKFAIAACoEAAAOAAAAAAAAAAAAAAAAAC4CAABkcnMvZTJvRG9jLnhtbFBLAQItABQABgAIAAAA&#10;IQAhYxPQ3QAAAAkBAAAPAAAAAAAAAAAAAAAAAG4EAABkcnMvZG93bnJldi54bWxQSwUGAAAAAAQA&#10;BADzAAAAeAUAAAAA&#10;"/>
            </w:pict>
          </mc:Fallback>
        </mc:AlternateContent>
      </w:r>
      <w:r>
        <w:rPr>
          <w:noProof/>
          <w:sz w:val="18"/>
        </w:rPr>
        <mc:AlternateContent>
          <mc:Choice Requires="wps">
            <w:drawing>
              <wp:anchor distT="0" distB="0" distL="114300" distR="114300" simplePos="0" relativeHeight="251708928" behindDoc="0" locked="0" layoutInCell="1" allowOverlap="1" wp14:anchorId="7FF60833" wp14:editId="1CA58FBB">
                <wp:simplePos x="0" y="0"/>
                <wp:positionH relativeFrom="column">
                  <wp:posOffset>1111885</wp:posOffset>
                </wp:positionH>
                <wp:positionV relativeFrom="paragraph">
                  <wp:posOffset>99695</wp:posOffset>
                </wp:positionV>
                <wp:extent cx="0" cy="228600"/>
                <wp:effectExtent l="0" t="0" r="19050" b="19050"/>
                <wp:wrapNone/>
                <wp:docPr id="18" name="Line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859FC9" id="Line 329" o:spid="_x0000_s1026" style="position:absolute;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55pt,7.85pt" to="87.5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N+GFAIAACoEAAAOAAAAZHJzL2Uyb0RvYy54bWysU02P2jAQvVfqf7Byh3xsoBARVlUCvdAW&#10;abc/wNgOserYlm0IqOp/79gJiG0vVdUcnLE98+bNvPHq+dIJdGbGciXLKJ0mEWKSKMrlsYy+vW4n&#10;iwhZhyXFQklWRldmo+f1+3erXhcsU60SlBkEINIWvS6j1jldxLElLeuwnSrNJFw2ynTYwdYcY2pw&#10;D+idiLMkmce9MlQbRZi1cFoPl9E64DcNI+5r01jmkCgj4ObCasJ68Gu8XuHiaLBuORlp4H9g0WEu&#10;IekdqsYOo5Phf0B1nBhlVeOmRHWxahpOWKgBqkmT36p5abFmoRZojtX3Ntn/B0u+nPcGcQragVIS&#10;d6DRjkuGnrKlb06vbQE+ldwbXx65yBe9U+S7RVJVLZZHFki+XjUEpj4ifhPiN1ZDikP/WVHwwSen&#10;Qqcujek8JPQAXYIg17sg7OIQGQ4JnGbZYp4ErWJc3OK0se4TUx3yRhkJIB1w8XlnneeBi5uLTyPV&#10;lgsR5BYS9WW0nGWzEGCV4NRfejdrjodKGHTGfmDCF4qCm0c3o06SBrCWYboZbYe5GGxILqTHg0qA&#10;zmgNE/FjmSw3i80in+TZfDPJk7qefNxW+WS+TT/M6qe6qur0p6eW5kXLKWXSs7tNZ5r/nfrjOxnm&#10;6j6f9zbEb9FDv4Ds7R9IBym9esMcHBS97s1NYhjI4Dw+Hj/xj3uwH5/4+hcAAAD//wMAUEsDBBQA&#10;BgAIAAAAIQDMHYm/3AAAAAkBAAAPAAAAZHJzL2Rvd25yZXYueG1sTI9BT4NAEIXvJv6HzZh4adqF&#10;GsQgS2NUbl6sml6nMAKRnaXstkV/vdNe9DZv5uXN9/LVZHt1oNF3jg3EiwgUceXqjhsD72/l/A6U&#10;D8g19o7JwDd5WBWXFzlmtTvyKx3WoVESwj5DA20IQ6a1r1qy6BduIJbbpxstBpFjo+sRjxJue72M&#10;olttsWP50OJAjy1VX+u9NeDLD9qVP7NqFm1uGkfL3dPLMxpzfTU93IMKNIU/M5zwBR0KYdq6Pdde&#10;9aLTJBarDEkK6mQ4L7YGkjgFXeT6f4PiFwAA//8DAFBLAQItABQABgAIAAAAIQC2gziS/gAAAOEB&#10;AAATAAAAAAAAAAAAAAAAAAAAAABbQ29udGVudF9UeXBlc10ueG1sUEsBAi0AFAAGAAgAAAAhADj9&#10;If/WAAAAlAEAAAsAAAAAAAAAAAAAAAAALwEAAF9yZWxzLy5yZWxzUEsBAi0AFAAGAAgAAAAhABXI&#10;34YUAgAAKgQAAA4AAAAAAAAAAAAAAAAALgIAAGRycy9lMm9Eb2MueG1sUEsBAi0AFAAGAAgAAAAh&#10;AMwdib/cAAAACQEAAA8AAAAAAAAAAAAAAAAAbgQAAGRycy9kb3ducmV2LnhtbFBLBQYAAAAABAAE&#10;APMAAAB3BQAAAAA=&#10;"/>
            </w:pict>
          </mc:Fallback>
        </mc:AlternateContent>
      </w:r>
      <w:r>
        <w:rPr>
          <w:noProof/>
          <w:sz w:val="18"/>
        </w:rPr>
        <mc:AlternateContent>
          <mc:Choice Requires="wps">
            <w:drawing>
              <wp:anchor distT="0" distB="0" distL="114300" distR="114300" simplePos="0" relativeHeight="251704832" behindDoc="0" locked="0" layoutInCell="1" allowOverlap="1" wp14:anchorId="1687AE83" wp14:editId="6E3E8631">
                <wp:simplePos x="0" y="0"/>
                <wp:positionH relativeFrom="column">
                  <wp:posOffset>89535</wp:posOffset>
                </wp:positionH>
                <wp:positionV relativeFrom="paragraph">
                  <wp:posOffset>93345</wp:posOffset>
                </wp:positionV>
                <wp:extent cx="5410200" cy="0"/>
                <wp:effectExtent l="0" t="0" r="19050" b="19050"/>
                <wp:wrapNone/>
                <wp:docPr id="15" name="Line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A438AD" id="Line 314" o:spid="_x0000_s1026" style="position:absolute;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7.35pt" to="433.0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4WEwIAACs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TjBTp&#10;QKOtUBw9ZXloTm9cATGV2tlQHj2rF7PV9LtDSlctUQceSb5eDCRmISN5kxI2zsAV+/6zZhBDjl7H&#10;Tp0b2wVI6AE6R0Eud0H42SMKh9M8S0FljOjgS0gxJBrr/CeuOxSMEktgHYHJaet8IEKKISTco/RG&#10;SBn1lgr1JV5MJ9OY4LQULDhDmLOHfSUtOpEwMfGLVYHnMczqo2IRrOWErW+2J0JebbhcqoAHpQCd&#10;m3UdiR+LdLGer+f5KJ/M1qM8revRx02Vj2ab7MO0fqqrqs5+BmpZXrSCMa4Cu2E8s/zv5L89lOtg&#10;3Qf03obkLXrsF5Ad/pF01DLIdx2EvWaXnR00homMwbfXE0b+cQ/24xtf/QIAAP//AwBQSwMEFAAG&#10;AAgAAAAhACOgCW/aAAAACAEAAA8AAABkcnMvZG93bnJldi54bWxMT01PwkAQvZv4HzZj4oXAFjSF&#10;1G6JUXvzImq8Dt2xbezOlu4C1V/vEA56mryPvHkvX4+uUwcaQuvZwHyWgCKuvG25NvD2Wk5XoEJE&#10;tth5JgPfFGBdXF7kmFl/5Bc6bGKtJIRDhgaaGPtM61A15DDMfE8s2qcfHEaBQ63tgEcJd51eJEmq&#10;HbYsHxrs6aGh6muzdwZC+U678mdSTZKPm9rTYvf4/ITGXF+N93egIo3xzwyn+lIdCum09Xu2QXWC&#10;b+fiPN0lKNFXaSrE9kzoItf/BxS/AAAA//8DAFBLAQItABQABgAIAAAAIQC2gziS/gAAAOEBAAAT&#10;AAAAAAAAAAAAAAAAAAAAAABbQ29udGVudF9UeXBlc10ueG1sUEsBAi0AFAAGAAgAAAAhADj9If/W&#10;AAAAlAEAAAsAAAAAAAAAAAAAAAAALwEAAF9yZWxzLy5yZWxzUEsBAi0AFAAGAAgAAAAhAEtr7hYT&#10;AgAAKwQAAA4AAAAAAAAAAAAAAAAALgIAAGRycy9lMm9Eb2MueG1sUEsBAi0AFAAGAAgAAAAhACOg&#10;CW/aAAAACAEAAA8AAAAAAAAAAAAAAAAAbQQAAGRycy9kb3ducmV2LnhtbFBLBQYAAAAABAAEAPMA&#10;AAB0BQAAAAA=&#10;"/>
            </w:pict>
          </mc:Fallback>
        </mc:AlternateContent>
      </w:r>
      <w:r>
        <w:rPr>
          <w:noProof/>
          <w:sz w:val="18"/>
        </w:rPr>
        <mc:AlternateContent>
          <mc:Choice Requires="wps">
            <w:drawing>
              <wp:anchor distT="0" distB="0" distL="114300" distR="114300" simplePos="0" relativeHeight="251706880" behindDoc="0" locked="0" layoutInCell="1" allowOverlap="1" wp14:anchorId="6FAF0540" wp14:editId="28696768">
                <wp:simplePos x="0" y="0"/>
                <wp:positionH relativeFrom="column">
                  <wp:posOffset>241935</wp:posOffset>
                </wp:positionH>
                <wp:positionV relativeFrom="paragraph">
                  <wp:posOffset>92710</wp:posOffset>
                </wp:positionV>
                <wp:extent cx="0" cy="228600"/>
                <wp:effectExtent l="0" t="0" r="0" b="0"/>
                <wp:wrapNone/>
                <wp:docPr id="16" name="Line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9C000" id="Line 316" o:spid="_x0000_s1026" style="position:absolute;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7.3pt" to="19.05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W7EwIAACo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gXYzjBTp&#10;QKOtUBw9wR6a0xtXgE+ldjaUR8/qxWw1/e6Q0lVL1IFHkq8XA4FZiEjehISNM5Bi33/WDHzI0evY&#10;qXNjuwAJPUDnKMjlLgg/e0SHQwqneT6fpVGrhBS3OGOd/8R1h4JRYgmkIy45bZ0PPEhxcwlplN4I&#10;KaPcUqG+xItpPo0BTkvBwmVwc/awr6RFJxIGJn6xKLh5dLP6qFgEazlh66vtiZCDDcmlCnhQCdC5&#10;WsNE/Fiki/V8PZ+MJvlsPZqkdT36uKkmo9km+zCtn+qqqrOfgVo2KVrBGFeB3W06s8nfqX99J8Nc&#10;3efz3obkLXrsF5C9/SPpKGVQb5iDvWaXnb1JDAMZna+PJ0z84x7sxye++gUAAP//AwBQSwMEFAAG&#10;AAgAAAAhANJPjBPaAAAABwEAAA8AAABkcnMvZG93bnJldi54bWxMjk9PwkAQxe8mfofNmHghsAW0&#10;IbVbYtTevIgarkN3bBu7s6W7QPXTO3LR4/uT9375enSdOtIQWs8G5rMEFHHlbcu1gbfXcroCFSKy&#10;xc4zGfiiAOvi8iLHzPoTv9BxE2slIxwyNNDE2Gdah6ohh2Hme2LJPvzgMIocam0HPMm46/QiSVLt&#10;sGV5aLCnh4aqz83BGQjlO+3L70k1SbbL2tNi//j8hMZcX433d6AijfGvDL/4gg6FMO38gW1QnYHl&#10;ai5N8W9SUJKf9c7AbZKCLnL9n7/4AQAA//8DAFBLAQItABQABgAIAAAAIQC2gziS/gAAAOEBAAAT&#10;AAAAAAAAAAAAAAAAAAAAAABbQ29udGVudF9UeXBlc10ueG1sUEsBAi0AFAAGAAgAAAAhADj9If/W&#10;AAAAlAEAAAsAAAAAAAAAAAAAAAAALwEAAF9yZWxzLy5yZWxzUEsBAi0AFAAGAAgAAAAhAKL8tbsT&#10;AgAAKgQAAA4AAAAAAAAAAAAAAAAALgIAAGRycy9lMm9Eb2MueG1sUEsBAi0AFAAGAAgAAAAhANJP&#10;jBPaAAAABwEAAA8AAAAAAAAAAAAAAAAAbQQAAGRycy9kb3ducmV2LnhtbFBLBQYAAAAABAAEAPMA&#10;AAB0BQAAAAA=&#10;"/>
            </w:pict>
          </mc:Fallback>
        </mc:AlternateContent>
      </w:r>
    </w:p>
    <w:p w:rsidR="00CD0080" w:rsidRDefault="00CD0080" w:rsidP="00CD0080">
      <w:pPr>
        <w:rPr>
          <w:color w:val="000000"/>
          <w:sz w:val="18"/>
        </w:rPr>
      </w:pPr>
      <w:r>
        <w:rPr>
          <w:color w:val="000000"/>
          <w:sz w:val="18"/>
        </w:rPr>
        <w:t xml:space="preserve">                                 </w:t>
      </w:r>
      <w:r>
        <w:rPr>
          <w:color w:val="000000"/>
          <w:sz w:val="18"/>
        </w:rPr>
        <w:tab/>
      </w:r>
      <w:r>
        <w:rPr>
          <w:color w:val="000000"/>
          <w:sz w:val="18"/>
        </w:rPr>
        <w:tab/>
      </w:r>
    </w:p>
    <w:p w:rsidR="00CD0080" w:rsidRDefault="00CD0080" w:rsidP="00CD0080">
      <w:pPr>
        <w:rPr>
          <w:color w:val="000000"/>
          <w:sz w:val="18"/>
        </w:rPr>
      </w:pPr>
      <w:r>
        <w:rPr>
          <w:color w:val="000000"/>
          <w:sz w:val="18"/>
        </w:rPr>
        <w:t>RAD</w:t>
      </w:r>
      <w:r>
        <w:rPr>
          <w:color w:val="000000"/>
          <w:sz w:val="18"/>
        </w:rPr>
        <w:tab/>
      </w:r>
      <w:r>
        <w:rPr>
          <w:color w:val="000000"/>
          <w:sz w:val="18"/>
        </w:rPr>
        <w:tab/>
        <w:t>Date a 3.309(a) condition</w:t>
      </w:r>
      <w:r>
        <w:rPr>
          <w:color w:val="000000"/>
          <w:sz w:val="18"/>
        </w:rPr>
        <w:tab/>
      </w:r>
      <w:r>
        <w:rPr>
          <w:color w:val="000000"/>
          <w:sz w:val="18"/>
        </w:rPr>
        <w:tab/>
      </w:r>
      <w:r>
        <w:rPr>
          <w:color w:val="000000"/>
          <w:sz w:val="18"/>
        </w:rPr>
        <w:tab/>
      </w:r>
      <w:r>
        <w:rPr>
          <w:color w:val="000000"/>
          <w:sz w:val="18"/>
        </w:rPr>
        <w:tab/>
        <w:t>Date of Claim</w:t>
      </w:r>
      <w:r>
        <w:rPr>
          <w:color w:val="000000"/>
          <w:sz w:val="18"/>
        </w:rPr>
        <w:tab/>
      </w:r>
    </w:p>
    <w:p w:rsidR="00CD0080" w:rsidRDefault="00CD0080" w:rsidP="00CD0080">
      <w:pPr>
        <w:rPr>
          <w:color w:val="000000"/>
          <w:sz w:val="18"/>
        </w:rPr>
      </w:pPr>
      <w:r>
        <w:rPr>
          <w:color w:val="000000"/>
          <w:sz w:val="18"/>
        </w:rPr>
        <w:t>04/08/11</w:t>
      </w:r>
      <w:r>
        <w:rPr>
          <w:color w:val="000000"/>
          <w:sz w:val="18"/>
        </w:rPr>
        <w:tab/>
      </w:r>
      <w:r>
        <w:rPr>
          <w:color w:val="000000"/>
          <w:sz w:val="18"/>
        </w:rPr>
        <w:tab/>
        <w:t>manifested to a compensable degree</w:t>
      </w:r>
      <w:r>
        <w:rPr>
          <w:color w:val="000000"/>
          <w:sz w:val="18"/>
        </w:rPr>
        <w:tab/>
      </w:r>
      <w:r>
        <w:rPr>
          <w:color w:val="000000"/>
          <w:sz w:val="18"/>
        </w:rPr>
        <w:tab/>
        <w:t>09/08/13</w:t>
      </w:r>
    </w:p>
    <w:p w:rsidR="00CD0080" w:rsidRDefault="00CD0080" w:rsidP="00CD0080">
      <w:pPr>
        <w:rPr>
          <w:color w:val="000000"/>
          <w:sz w:val="18"/>
        </w:rPr>
      </w:pPr>
      <w:r>
        <w:rPr>
          <w:color w:val="000000"/>
          <w:sz w:val="18"/>
        </w:rPr>
        <w:tab/>
      </w:r>
      <w:r>
        <w:rPr>
          <w:color w:val="000000"/>
          <w:sz w:val="18"/>
        </w:rPr>
        <w:tab/>
        <w:t>07/04/11</w:t>
      </w:r>
    </w:p>
    <w:p w:rsidR="00CD0080" w:rsidRDefault="00CD0080">
      <w:pPr>
        <w:numPr>
          <w:ilvl w:val="12"/>
          <w:numId w:val="0"/>
        </w:numPr>
        <w:jc w:val="both"/>
        <w:rPr>
          <w:i/>
          <w:iCs/>
          <w:sz w:val="18"/>
        </w:rPr>
      </w:pPr>
    </w:p>
    <w:p w:rsidR="00CD0080" w:rsidRDefault="00CD0080">
      <w:pPr>
        <w:numPr>
          <w:ilvl w:val="12"/>
          <w:numId w:val="0"/>
        </w:numPr>
        <w:jc w:val="both"/>
        <w:rPr>
          <w:i/>
          <w:iCs/>
          <w:sz w:val="18"/>
        </w:rPr>
      </w:pPr>
    </w:p>
    <w:p w:rsidR="00CD0080" w:rsidRDefault="00CD0080" w:rsidP="00CD0080">
      <w:pPr>
        <w:numPr>
          <w:ilvl w:val="12"/>
          <w:numId w:val="0"/>
        </w:numPr>
        <w:jc w:val="both"/>
        <w:rPr>
          <w:i/>
          <w:iCs/>
          <w:sz w:val="18"/>
        </w:rPr>
      </w:pPr>
    </w:p>
    <w:p w:rsidR="00CD0080" w:rsidRDefault="00CD0080" w:rsidP="00CD0080">
      <w:pPr>
        <w:numPr>
          <w:ilvl w:val="12"/>
          <w:numId w:val="0"/>
        </w:numPr>
        <w:jc w:val="both"/>
        <w:rPr>
          <w:i/>
          <w:iCs/>
          <w:sz w:val="18"/>
        </w:rPr>
      </w:pPr>
      <w:r>
        <w:rPr>
          <w:i/>
          <w:iCs/>
          <w:sz w:val="18"/>
        </w:rPr>
        <w:t xml:space="preserve">3.114 Claim Received </w:t>
      </w:r>
      <w:r>
        <w:rPr>
          <w:i/>
          <w:iCs/>
          <w:sz w:val="18"/>
          <w:u w:val="single"/>
        </w:rPr>
        <w:t>Within 1 Year</w:t>
      </w:r>
      <w:r>
        <w:rPr>
          <w:i/>
          <w:iCs/>
          <w:sz w:val="18"/>
        </w:rPr>
        <w:t xml:space="preserve"> of change in law:</w:t>
      </w:r>
    </w:p>
    <w:p w:rsidR="00CD0080" w:rsidRDefault="00CD0080" w:rsidP="00CD0080">
      <w:pPr>
        <w:rPr>
          <w:color w:val="000000"/>
          <w:sz w:val="18"/>
        </w:rPr>
      </w:pPr>
      <w:r>
        <w:rPr>
          <w:color w:val="000000"/>
          <w:sz w:val="18"/>
        </w:rPr>
        <w:t xml:space="preserve">          </w:t>
      </w:r>
      <w:r>
        <w:rPr>
          <w:color w:val="000000"/>
          <w:sz w:val="18"/>
        </w:rPr>
        <w:tab/>
      </w:r>
      <w:r>
        <w:rPr>
          <w:color w:val="000000"/>
          <w:sz w:val="18"/>
        </w:rPr>
        <w:tab/>
      </w:r>
    </w:p>
    <w:p w:rsidR="00CD0080" w:rsidRDefault="00CD0080" w:rsidP="00CD0080">
      <w:pPr>
        <w:rPr>
          <w:b/>
          <w:bCs/>
          <w:color w:val="000000"/>
          <w:sz w:val="18"/>
        </w:rPr>
      </w:pPr>
      <w:r>
        <w:rPr>
          <w:color w:val="000000"/>
          <w:sz w:val="18"/>
        </w:rPr>
        <w:tab/>
      </w:r>
      <w:r>
        <w:rPr>
          <w:color w:val="000000"/>
          <w:sz w:val="18"/>
        </w:rPr>
        <w:tab/>
      </w:r>
      <w:r>
        <w:rPr>
          <w:b/>
          <w:bCs/>
          <w:color w:val="000000"/>
          <w:sz w:val="18"/>
        </w:rPr>
        <w:t>Effective Date</w:t>
      </w:r>
    </w:p>
    <w:p w:rsidR="00CD0080" w:rsidRPr="00CD0080" w:rsidRDefault="00CD0080" w:rsidP="00CD0080">
      <w:pPr>
        <w:ind w:left="720" w:firstLine="720"/>
        <w:rPr>
          <w:bCs/>
          <w:color w:val="000000"/>
          <w:sz w:val="18"/>
        </w:rPr>
      </w:pPr>
      <w:r>
        <w:rPr>
          <w:bCs/>
          <w:color w:val="000000"/>
          <w:sz w:val="18"/>
        </w:rPr>
        <w:t>(Date of Change in Law)</w:t>
      </w:r>
    </w:p>
    <w:p w:rsidR="00CD0080" w:rsidRPr="00CD0080" w:rsidRDefault="00CD0080" w:rsidP="00CD0080">
      <w:pPr>
        <w:ind w:left="720" w:firstLine="720"/>
        <w:rPr>
          <w:b/>
          <w:bCs/>
          <w:color w:val="000000"/>
          <w:sz w:val="18"/>
        </w:rPr>
      </w:pPr>
      <w:r>
        <w:rPr>
          <w:noProof/>
          <w:sz w:val="18"/>
        </w:rPr>
        <mc:AlternateContent>
          <mc:Choice Requires="wps">
            <w:drawing>
              <wp:anchor distT="0" distB="0" distL="114300" distR="114300" simplePos="0" relativeHeight="251719168" behindDoc="0" locked="0" layoutInCell="1" allowOverlap="1" wp14:anchorId="6EB0BDB2" wp14:editId="0D6A495B">
                <wp:simplePos x="0" y="0"/>
                <wp:positionH relativeFrom="column">
                  <wp:posOffset>1227883</wp:posOffset>
                </wp:positionH>
                <wp:positionV relativeFrom="paragraph">
                  <wp:posOffset>86360</wp:posOffset>
                </wp:positionV>
                <wp:extent cx="0" cy="457200"/>
                <wp:effectExtent l="0" t="0" r="19050" b="19050"/>
                <wp:wrapNone/>
                <wp:docPr id="21" name="Lin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C57BAB" id="Line 328" o:spid="_x0000_s1026" style="position:absolute;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7pt,6.8pt" to="96.7pt,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5SIEwIAACoEAAAOAAAAZHJzL2Uyb0RvYy54bWysU9uO2yAQfa/Uf0C8J76sk02sOKvKTvqy&#10;7Uba7QcQwDEqBgQkTlT13zuQizbtS1XVD3iAmTNn5gyLp2Mv0YFbJ7SqcDZOMeKKaibUrsLf3taj&#10;GUbOE8WI1IpX+MQdflp+/LAYTMlz3WnJuEUAolw5mAp33psySRzteE/cWBuu4LLVticetnaXMEsG&#10;QO9lkqfpNBm0ZcZqyp2D0+Z8iZcRv2059S9t67hHssLAzcfVxnUb1mS5IOXOEtMJeqFB/oFFT4SC&#10;pDeohniC9lb8AdULarXTrR9T3Se6bQXlsQaoJkt/q+a1I4bHWqA5ztza5P4fLP162FgkWIXzDCNF&#10;etDoWSiOHvJZaM5gXAk+tdrYUB49qlfzrOl3h5SuO6J2PJJ8OxkIzEJEchcSNs5Aiu3wRTPwIXuv&#10;Y6eOre0DJPQAHaMgp5sg/OgRPR9SOC0mj6B1BCflNc5Y5z9z3aNgVFgC6YhLDs/OBx6kvLqENEqv&#10;hZRRbqnQUOH5JJ/EAKelYOEyuDm729bSogMJAxO/S947N6v3ikWwjhO2utieCHm2IblUAQ8qAToX&#10;6zwRP+bpfDVbzYpRkU9XoyJtmtGndV2MpuvscdI8NHXdZD8DtawoO8EYV4HddTqz4u/Uv7yT81zd&#10;5vPWhuQePfYLyF7/kXSUMqh3noOtZqeNvUoMAxmdL48nTPz7Pdjvn/jyFwAAAP//AwBQSwMEFAAG&#10;AAgAAAAhAEuSXfTcAAAACQEAAA8AAABkcnMvZG93bnJldi54bWxMj0FPwzAMhe9I/IfISFwmlrJC&#10;NUrTCQG9cWGAuHqNaSsap2uyrfDr8bjAzc9+ev5esZpcr/Y0hs6zgct5Aoq49rbjxsDrS3WxBBUi&#10;ssXeMxn4ogCr8vSkwNz6Az/Tfh0bJSEccjTQxjjkWoe6JYdh7gdiuX340WEUOTbajniQcNfrRZJk&#10;2mHH8qHFge5bqj/XO2cgVG+0rb5n9Sx5TxtPi+3D0yMac3423d2CijTFPzMc8QUdSmHa+B3boHrR&#10;N+mVWGVIM1BHw+9iY2B5nYEuC/2/QfkDAAD//wMAUEsBAi0AFAAGAAgAAAAhALaDOJL+AAAA4QEA&#10;ABMAAAAAAAAAAAAAAAAAAAAAAFtDb250ZW50X1R5cGVzXS54bWxQSwECLQAUAAYACAAAACEAOP0h&#10;/9YAAACUAQAACwAAAAAAAAAAAAAAAAAvAQAAX3JlbHMvLnJlbHNQSwECLQAUAAYACAAAACEAJ6+U&#10;iBMCAAAqBAAADgAAAAAAAAAAAAAAAAAuAgAAZHJzL2Uyb0RvYy54bWxQSwECLQAUAAYACAAAACEA&#10;S5Jd9NwAAAAJAQAADwAAAAAAAAAAAAAAAABtBAAAZHJzL2Rvd25yZXYueG1sUEsFBgAAAAAEAAQA&#10;8wAAAHYFAAAAAA==&#10;"/>
            </w:pict>
          </mc:Fallback>
        </mc:AlternateContent>
      </w:r>
      <w:r>
        <w:rPr>
          <w:b/>
          <w:bCs/>
          <w:color w:val="000000"/>
          <w:sz w:val="18"/>
        </w:rPr>
        <w:t>08/31/10</w:t>
      </w:r>
    </w:p>
    <w:p w:rsidR="00CD0080" w:rsidRDefault="00CD0080" w:rsidP="00CD0080">
      <w:pPr>
        <w:rPr>
          <w:color w:val="000000"/>
          <w:sz w:val="18"/>
        </w:rPr>
      </w:pPr>
    </w:p>
    <w:p w:rsidR="00CD0080" w:rsidRDefault="00CD0080" w:rsidP="00CD0080">
      <w:pPr>
        <w:rPr>
          <w:color w:val="000000"/>
          <w:sz w:val="18"/>
        </w:rPr>
      </w:pPr>
      <w:r>
        <w:rPr>
          <w:noProof/>
          <w:sz w:val="18"/>
        </w:rPr>
        <mc:AlternateContent>
          <mc:Choice Requires="wps">
            <w:drawing>
              <wp:anchor distT="0" distB="0" distL="114300" distR="114300" simplePos="0" relativeHeight="251718144" behindDoc="0" locked="0" layoutInCell="1" allowOverlap="1" wp14:anchorId="418CECEB" wp14:editId="5669CA70">
                <wp:simplePos x="0" y="0"/>
                <wp:positionH relativeFrom="column">
                  <wp:posOffset>3897527</wp:posOffset>
                </wp:positionH>
                <wp:positionV relativeFrom="paragraph">
                  <wp:posOffset>51214</wp:posOffset>
                </wp:positionV>
                <wp:extent cx="0" cy="228600"/>
                <wp:effectExtent l="0" t="0" r="19050" b="19050"/>
                <wp:wrapNone/>
                <wp:docPr id="82" name="Line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AE4890" id="Line 329" o:spid="_x0000_s1026" style="position:absolute;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9pt,4.05pt" to="306.9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T0sFAIAACo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lXieY6RI&#10;BxptheLoKV+E5vTGFeBTqZ0N5dGzejFbTb87pHTVEnXgkeTrxUBgFiKSNyFh4wyk2PefNQMfcvQ6&#10;durc2C5AQg/QOQpyuQvCzx7R4ZDCaZ7PZ2nUKiHFLc5Y5z9x3aFglFgC6YhLTlvnAw9S3FxCGqU3&#10;Qsoot1SoL/Fimk9jgNNSsHAZ3Jw97Ctp0YmEgYlfLApuHt2sPioWwVpO2PpqeyLkYENyqQIeVAJ0&#10;rtYwET8W6WI9X88no0k+W48maV2PPm6qyWi2yT5M66e6qursZ6CWTYpWMMZVYHebzmzyd+pf38kw&#10;V/f5vLcheYse+wVkb/9IOkoZ1BvmYK/ZZWdvEsNARufr4wkT/7gH+/GJr34BAAD//wMAUEsDBBQA&#10;BgAIAAAAIQD3FIUY3AAAAAgBAAAPAAAAZHJzL2Rvd25yZXYueG1sTI9BT8JAFITvJv6HzTPxQmBb&#10;IISUvhKj9uZF0Hh9dJ9tY/dt6S5Q/fWu8aDHyUxmvsm3o+3UmQffOkFIZwkolsqZVmqEl305XYPy&#10;gcRQ54QRPtnDtri+yikz7iLPfN6FWsUS8RkhNCH0mda+atiSn7meJXrvbrAUohxqbQa6xHLb6XmS&#10;rLSlVuJCQz3fN1x97E4WwZevfCy/JtUkeVvUjufHh6dHQry9Ge82oAKP4S8MP/gRHYrIdHAnMV51&#10;CKt0EdEDwjoFFf1ffUBYLlPQRa7/Hyi+AQAA//8DAFBLAQItABQABgAIAAAAIQC2gziS/gAAAOEB&#10;AAATAAAAAAAAAAAAAAAAAAAAAABbQ29udGVudF9UeXBlc10ueG1sUEsBAi0AFAAGAAgAAAAhADj9&#10;If/WAAAAlAEAAAsAAAAAAAAAAAAAAAAALwEAAF9yZWxzLy5yZWxzUEsBAi0AFAAGAAgAAAAhAOyh&#10;PSwUAgAAKgQAAA4AAAAAAAAAAAAAAAAALgIAAGRycy9lMm9Eb2MueG1sUEsBAi0AFAAGAAgAAAAh&#10;APcUhRjcAAAACAEAAA8AAAAAAAAAAAAAAAAAbgQAAGRycy9kb3ducmV2LnhtbFBLBQYAAAAABAAE&#10;APMAAAB3BQAAAAA=&#10;"/>
            </w:pict>
          </mc:Fallback>
        </mc:AlternateContent>
      </w:r>
      <w:r>
        <w:rPr>
          <w:noProof/>
          <w:sz w:val="18"/>
        </w:rPr>
        <mc:AlternateContent>
          <mc:Choice Requires="wps">
            <w:drawing>
              <wp:anchor distT="0" distB="0" distL="114300" distR="114300" simplePos="0" relativeHeight="251715072" behindDoc="0" locked="0" layoutInCell="1" allowOverlap="1" wp14:anchorId="33880713" wp14:editId="04843C52">
                <wp:simplePos x="0" y="0"/>
                <wp:positionH relativeFrom="column">
                  <wp:posOffset>89535</wp:posOffset>
                </wp:positionH>
                <wp:positionV relativeFrom="paragraph">
                  <wp:posOffset>93345</wp:posOffset>
                </wp:positionV>
                <wp:extent cx="5410200" cy="0"/>
                <wp:effectExtent l="0" t="0" r="19050" b="19050"/>
                <wp:wrapNone/>
                <wp:docPr id="83" name="Line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97243C" id="Line 314" o:spid="_x0000_s1026" style="position:absolute;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7.35pt" to="433.0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KdFA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xxUiR&#10;DjR6FoqjaZaH5vTGFRBTqZ0N5dGzejHPmn53SOmqJerAI8nXi4HELGQkb1LCxhm4Yt9/1gxiyNHr&#10;2KlzY7sACT1A5yjI5S4IP3tE4XCWZymojBEdfAkphkRjnf/EdYeCUWIJrCMwOT07H4iQYggJ9yi9&#10;FVJGvaVCfYmXs8ksJjgtBQvOEObsYV9Ji04kTEz8YlXgeQyz+qhYBGs5YZub7YmQVxsulyrgQSlA&#10;52ZdR+LHMl1uFptFPson880oT+t69HFb5aP5Nvswq6d1VdXZz0Aty4tWMMZVYDeMZ5b/nfy3h3Id&#10;rPuA3tuQvEWP/QKywz+SjloG+a6DsNfssrODxjCRMfj2esLIP+7Bfnzj618AAAD//wMAUEsDBBQA&#10;BgAIAAAAIQAjoAlv2gAAAAgBAAAPAAAAZHJzL2Rvd25yZXYueG1sTE9NT8JAEL2b+B82Y+KFwBY0&#10;hdRuiVF78yJqvA7dsW3szpbuAtVf7xAOepq8j7x5L1+PrlMHGkLr2cB8loAirrxtuTbw9lpOV6BC&#10;RLbYeSYD3xRgXVxe5JhZf+QXOmxirSSEQ4YGmhj7TOtQNeQwzHxPLNqnHxxGgUOt7YBHCXedXiRJ&#10;qh22LB8a7Omhoeprs3cGQvlOu/JnUk2Sj5va02L3+PyExlxfjfd3oCKN8c8Mp/pSHQrptPV7tkF1&#10;gm/n4jzdJSjRV2kqxPZM6CLX/wcUvwAAAP//AwBQSwECLQAUAAYACAAAACEAtoM4kv4AAADhAQAA&#10;EwAAAAAAAAAAAAAAAAAAAAAAW0NvbnRlbnRfVHlwZXNdLnhtbFBLAQItABQABgAIAAAAIQA4/SH/&#10;1gAAAJQBAAALAAAAAAAAAAAAAAAAAC8BAABfcmVscy8ucmVsc1BLAQItABQABgAIAAAAIQDO/NKd&#10;FAIAACsEAAAOAAAAAAAAAAAAAAAAAC4CAABkcnMvZTJvRG9jLnhtbFBLAQItABQABgAIAAAAIQAj&#10;oAlv2gAAAAgBAAAPAAAAAAAAAAAAAAAAAG4EAABkcnMvZG93bnJldi54bWxQSwUGAAAAAAQABADz&#10;AAAAdQUAAAAA&#10;"/>
            </w:pict>
          </mc:Fallback>
        </mc:AlternateContent>
      </w:r>
      <w:r>
        <w:rPr>
          <w:noProof/>
          <w:sz w:val="18"/>
        </w:rPr>
        <mc:AlternateContent>
          <mc:Choice Requires="wps">
            <w:drawing>
              <wp:anchor distT="0" distB="0" distL="114300" distR="114300" simplePos="0" relativeHeight="251717120" behindDoc="0" locked="0" layoutInCell="1" allowOverlap="1" wp14:anchorId="600AD627" wp14:editId="1AC67122">
                <wp:simplePos x="0" y="0"/>
                <wp:positionH relativeFrom="column">
                  <wp:posOffset>241935</wp:posOffset>
                </wp:positionH>
                <wp:positionV relativeFrom="paragraph">
                  <wp:posOffset>92710</wp:posOffset>
                </wp:positionV>
                <wp:extent cx="0" cy="228600"/>
                <wp:effectExtent l="0" t="0" r="0" b="0"/>
                <wp:wrapNone/>
                <wp:docPr id="84" name="Line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B28F55" id="Line 316" o:spid="_x0000_s1026" style="position:absolute;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7.3pt" to="19.05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w6XFAIAACoEAAAOAAAAZHJzL2Uyb0RvYy54bWysU02P2jAQvVfqf7B8h3xsoBARVhWBXmiL&#10;tNsfYGyHWHVsyzYEVPW/d+wAYttLVTUHZ2zPvHkzb7x4PncSnbh1QqsKZ+MUI66oZkIdKvztdTOa&#10;YeQ8UYxIrXiFL9zh5+X7d4velDzXrZaMWwQgypW9qXDrvSmTxNGWd8SNteEKLhttO+Jhaw8Js6QH&#10;9E4meZpOk15bZqym3Dk4rYdLvIz4TcOp/9o0jnskKwzcfFxtXPdhTZYLUh4sMa2gVxrkH1h0RChI&#10;eoeqiSfoaMUfUJ2gVjvd+DHVXaKbRlAea4BqsvS3al5aYnisBZrjzL1N7v/B0i+nnUWCVXhWYKRI&#10;BxptheLoKZuG5vTGleCzUjsbyqNn9WK2mn53SOlVS9SBR5KvFwOBWYhI3oSEjTOQYt9/1gx8yNHr&#10;2KlzY7sACT1A5yjI5S4IP3tEh0MKp3k+m6ZRq4SUtzhjnf/EdYeCUWEJpCMuOW2dDzxIeXMJaZTe&#10;CCmj3FKhvsLzST6JAU5LwcJlcHP2sF9Ji04kDEz8YlFw8+hm9VGxCNZywtZX2xMhBxuSSxXwoBKg&#10;c7WGifgxT+fr2XpWjIp8uh4VaV2PPm5WxWi6yT5M6qd6taqzn4FaVpStYIyrwO42nVnxd+pf38kw&#10;V/f5vLcheYse+wVkb/9IOkoZ1BvmYK/ZZWdvEsNARufr4wkT/7gH+/GJL38BAAD//wMAUEsDBBQA&#10;BgAIAAAAIQDST4wT2gAAAAcBAAAPAAAAZHJzL2Rvd25yZXYueG1sTI5PT8JAEMXvJn6HzZh4IbAF&#10;tCG1W2LU3ryIGq5Dd2wbu7Olu0D10zty0eP7k/d++Xp0nTrSEFrPBuazBBRx5W3LtYG313K6AhUi&#10;ssXOMxn4ogDr4vIix8z6E7/QcRNrJSMcMjTQxNhnWoeqIYdh5ntiyT784DCKHGptBzzJuOv0IklS&#10;7bBleWiwp4eGqs/NwRkI5Tvty+9JNUm2y9rTYv/4/ITGXF+N93egIo3xrwy/+IIOhTDt/IFtUJ2B&#10;5WouTfFvUlCSn/XOwG2Sgi5y/Z+/+AEAAP//AwBQSwECLQAUAAYACAAAACEAtoM4kv4AAADhAQAA&#10;EwAAAAAAAAAAAAAAAAAAAAAAW0NvbnRlbnRfVHlwZXNdLnhtbFBLAQItABQABgAIAAAAIQA4/SH/&#10;1gAAAJQBAAALAAAAAAAAAAAAAAAAAC8BAABfcmVscy8ucmVsc1BLAQItABQABgAIAAAAIQCmkw6X&#10;FAIAACoEAAAOAAAAAAAAAAAAAAAAAC4CAABkcnMvZTJvRG9jLnhtbFBLAQItABQABgAIAAAAIQDS&#10;T4wT2gAAAAcBAAAPAAAAAAAAAAAAAAAAAG4EAABkcnMvZG93bnJldi54bWxQSwUGAAAAAAQABADz&#10;AAAAdQUAAAAA&#10;"/>
            </w:pict>
          </mc:Fallback>
        </mc:AlternateContent>
      </w:r>
    </w:p>
    <w:p w:rsidR="00CD0080" w:rsidRDefault="00CD0080" w:rsidP="00CD0080">
      <w:pPr>
        <w:rPr>
          <w:color w:val="000000"/>
          <w:sz w:val="18"/>
        </w:rPr>
      </w:pPr>
      <w:r>
        <w:rPr>
          <w:color w:val="000000"/>
          <w:sz w:val="18"/>
        </w:rPr>
        <w:t xml:space="preserve">                                 </w:t>
      </w:r>
      <w:r>
        <w:rPr>
          <w:color w:val="000000"/>
          <w:sz w:val="18"/>
        </w:rPr>
        <w:tab/>
      </w:r>
      <w:r>
        <w:rPr>
          <w:color w:val="000000"/>
          <w:sz w:val="18"/>
        </w:rPr>
        <w:tab/>
      </w:r>
    </w:p>
    <w:p w:rsidR="00CD0080" w:rsidRDefault="00CD0080" w:rsidP="00CD0080">
      <w:pPr>
        <w:rPr>
          <w:color w:val="000000"/>
          <w:sz w:val="18"/>
        </w:rPr>
      </w:pPr>
      <w:r>
        <w:rPr>
          <w:color w:val="000000"/>
          <w:sz w:val="18"/>
        </w:rPr>
        <w:t>Diagnosis of</w:t>
      </w:r>
      <w:r>
        <w:rPr>
          <w:color w:val="000000"/>
          <w:sz w:val="18"/>
        </w:rPr>
        <w:tab/>
        <w:t>Date of Law Change</w:t>
      </w:r>
      <w:r>
        <w:rPr>
          <w:color w:val="000000"/>
          <w:sz w:val="18"/>
        </w:rPr>
        <w:tab/>
      </w:r>
      <w:r>
        <w:rPr>
          <w:color w:val="000000"/>
          <w:sz w:val="18"/>
        </w:rPr>
        <w:tab/>
      </w:r>
      <w:r>
        <w:rPr>
          <w:color w:val="000000"/>
          <w:sz w:val="18"/>
        </w:rPr>
        <w:tab/>
      </w:r>
      <w:r>
        <w:rPr>
          <w:color w:val="000000"/>
          <w:sz w:val="18"/>
        </w:rPr>
        <w:tab/>
        <w:t>Date of Claim</w:t>
      </w:r>
      <w:r>
        <w:rPr>
          <w:color w:val="000000"/>
          <w:sz w:val="18"/>
        </w:rPr>
        <w:tab/>
      </w:r>
    </w:p>
    <w:p w:rsidR="00CD0080" w:rsidRDefault="00CD0080" w:rsidP="00CD0080">
      <w:pPr>
        <w:rPr>
          <w:color w:val="000000"/>
          <w:sz w:val="18"/>
        </w:rPr>
      </w:pPr>
      <w:r>
        <w:rPr>
          <w:color w:val="000000"/>
          <w:sz w:val="18"/>
        </w:rPr>
        <w:t>Disability</w:t>
      </w:r>
      <w:r>
        <w:rPr>
          <w:color w:val="000000"/>
          <w:sz w:val="18"/>
        </w:rPr>
        <w:tab/>
        <w:t>08/31/10</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09/30/10</w:t>
      </w:r>
    </w:p>
    <w:p w:rsidR="00CD0080" w:rsidRDefault="00CD0080" w:rsidP="00CD0080">
      <w:pPr>
        <w:rPr>
          <w:color w:val="000000"/>
          <w:sz w:val="18"/>
        </w:rPr>
      </w:pPr>
      <w:r>
        <w:rPr>
          <w:color w:val="000000"/>
          <w:sz w:val="18"/>
        </w:rPr>
        <w:t>08/09/09</w:t>
      </w:r>
      <w:r>
        <w:rPr>
          <w:color w:val="000000"/>
          <w:sz w:val="18"/>
        </w:rPr>
        <w:tab/>
      </w:r>
      <w:r>
        <w:rPr>
          <w:color w:val="000000"/>
          <w:sz w:val="18"/>
        </w:rPr>
        <w:tab/>
      </w:r>
      <w:r>
        <w:rPr>
          <w:color w:val="000000"/>
          <w:sz w:val="18"/>
        </w:rPr>
        <w:tab/>
      </w:r>
      <w:r>
        <w:rPr>
          <w:color w:val="000000"/>
          <w:sz w:val="18"/>
        </w:rPr>
        <w:tab/>
      </w:r>
    </w:p>
    <w:p w:rsidR="00CD0080" w:rsidRDefault="00CD0080" w:rsidP="00CD0080">
      <w:pPr>
        <w:rPr>
          <w:color w:val="000000"/>
          <w:sz w:val="18"/>
        </w:rPr>
      </w:pPr>
      <w:r>
        <w:rPr>
          <w:color w:val="000000"/>
          <w:sz w:val="18"/>
        </w:rPr>
        <w:tab/>
      </w:r>
      <w:r>
        <w:rPr>
          <w:color w:val="000000"/>
          <w:sz w:val="18"/>
        </w:rPr>
        <w:tab/>
      </w:r>
    </w:p>
    <w:p w:rsidR="00CD0080" w:rsidRDefault="00CD0080">
      <w:pPr>
        <w:numPr>
          <w:ilvl w:val="12"/>
          <w:numId w:val="0"/>
        </w:numPr>
        <w:jc w:val="both"/>
        <w:rPr>
          <w:i/>
          <w:iCs/>
          <w:sz w:val="18"/>
        </w:rPr>
      </w:pPr>
    </w:p>
    <w:p w:rsidR="00CD0080" w:rsidRDefault="00CD0080" w:rsidP="00CD0080">
      <w:pPr>
        <w:numPr>
          <w:ilvl w:val="12"/>
          <w:numId w:val="0"/>
        </w:numPr>
        <w:jc w:val="both"/>
        <w:rPr>
          <w:i/>
          <w:iCs/>
          <w:sz w:val="18"/>
        </w:rPr>
      </w:pPr>
      <w:r>
        <w:rPr>
          <w:i/>
          <w:iCs/>
          <w:sz w:val="18"/>
        </w:rPr>
        <w:t xml:space="preserve">3.114 Claim Received </w:t>
      </w:r>
      <w:r>
        <w:rPr>
          <w:i/>
          <w:iCs/>
          <w:sz w:val="18"/>
          <w:u w:val="single"/>
        </w:rPr>
        <w:t>After 1 Year</w:t>
      </w:r>
      <w:r>
        <w:rPr>
          <w:i/>
          <w:iCs/>
          <w:sz w:val="18"/>
        </w:rPr>
        <w:t xml:space="preserve"> following change in law:</w:t>
      </w:r>
    </w:p>
    <w:p w:rsidR="00CD0080" w:rsidRDefault="00CD0080" w:rsidP="00CD0080">
      <w:pPr>
        <w:rPr>
          <w:color w:val="000000"/>
          <w:sz w:val="18"/>
        </w:rPr>
      </w:pPr>
      <w:r>
        <w:rPr>
          <w:color w:val="000000"/>
          <w:sz w:val="18"/>
        </w:rPr>
        <w:t xml:space="preserve">          </w:t>
      </w:r>
      <w:r>
        <w:rPr>
          <w:color w:val="000000"/>
          <w:sz w:val="18"/>
        </w:rPr>
        <w:tab/>
      </w:r>
      <w:r>
        <w:rPr>
          <w:color w:val="000000"/>
          <w:sz w:val="18"/>
        </w:rPr>
        <w:tab/>
      </w:r>
    </w:p>
    <w:p w:rsidR="00CD0080" w:rsidRDefault="00CD0080" w:rsidP="00CD0080">
      <w:pPr>
        <w:rPr>
          <w:b/>
          <w:bCs/>
          <w:color w:val="000000"/>
          <w:sz w:val="18"/>
        </w:rPr>
      </w:pPr>
      <w:r>
        <w:rPr>
          <w:color w:val="000000"/>
          <w:sz w:val="18"/>
        </w:rPr>
        <w:tab/>
      </w:r>
      <w:r>
        <w:rPr>
          <w:color w:val="000000"/>
          <w:sz w:val="18"/>
        </w:rPr>
        <w:tab/>
      </w:r>
      <w:r>
        <w:rPr>
          <w:color w:val="000000"/>
          <w:sz w:val="18"/>
        </w:rPr>
        <w:tab/>
      </w:r>
      <w:r>
        <w:rPr>
          <w:color w:val="000000"/>
          <w:sz w:val="18"/>
        </w:rPr>
        <w:tab/>
      </w:r>
      <w:r>
        <w:rPr>
          <w:color w:val="000000"/>
          <w:sz w:val="18"/>
        </w:rPr>
        <w:tab/>
      </w:r>
      <w:r>
        <w:rPr>
          <w:b/>
          <w:bCs/>
          <w:color w:val="000000"/>
          <w:sz w:val="18"/>
        </w:rPr>
        <w:t>Effective Date</w:t>
      </w:r>
    </w:p>
    <w:p w:rsidR="00CD0080" w:rsidRPr="00CD0080" w:rsidRDefault="00CD0080" w:rsidP="00CD0080">
      <w:pPr>
        <w:ind w:left="2880" w:firstLine="720"/>
        <w:rPr>
          <w:bCs/>
          <w:color w:val="000000"/>
          <w:sz w:val="18"/>
        </w:rPr>
      </w:pPr>
      <w:r>
        <w:rPr>
          <w:bCs/>
          <w:color w:val="000000"/>
          <w:sz w:val="18"/>
        </w:rPr>
        <w:t>(One year prior to date of claim)</w:t>
      </w:r>
    </w:p>
    <w:p w:rsidR="00CD0080" w:rsidRPr="00CD0080" w:rsidRDefault="00CD0080" w:rsidP="00CD0080">
      <w:pPr>
        <w:ind w:left="2880" w:firstLine="720"/>
        <w:rPr>
          <w:b/>
          <w:bCs/>
          <w:color w:val="000000"/>
          <w:sz w:val="18"/>
        </w:rPr>
      </w:pPr>
      <w:r>
        <w:rPr>
          <w:b/>
          <w:bCs/>
          <w:color w:val="000000"/>
          <w:sz w:val="18"/>
        </w:rPr>
        <w:t>09/30/11</w:t>
      </w:r>
    </w:p>
    <w:p w:rsidR="00CD0080" w:rsidRDefault="00CD0080" w:rsidP="00CD0080">
      <w:pPr>
        <w:rPr>
          <w:color w:val="000000"/>
          <w:sz w:val="18"/>
        </w:rPr>
      </w:pPr>
      <w:r>
        <w:rPr>
          <w:noProof/>
          <w:sz w:val="18"/>
        </w:rPr>
        <mc:AlternateContent>
          <mc:Choice Requires="wps">
            <w:drawing>
              <wp:anchor distT="0" distB="0" distL="114300" distR="114300" simplePos="0" relativeHeight="251726336" behindDoc="0" locked="0" layoutInCell="1" allowOverlap="1" wp14:anchorId="49EEEC75" wp14:editId="6DF22CCD">
                <wp:simplePos x="0" y="0"/>
                <wp:positionH relativeFrom="column">
                  <wp:posOffset>2401910</wp:posOffset>
                </wp:positionH>
                <wp:positionV relativeFrom="paragraph">
                  <wp:posOffset>-4578</wp:posOffset>
                </wp:positionV>
                <wp:extent cx="0" cy="228600"/>
                <wp:effectExtent l="0" t="0" r="19050" b="19050"/>
                <wp:wrapNone/>
                <wp:docPr id="89" name="Line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B94C2A" id="Line 329" o:spid="_x0000_s1026" style="position:absolute;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15pt,-.35pt" to="189.15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DM7FAIAACo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lXi+wEiR&#10;DjTaCsXRU74IzemNK8CnUjsbyqNn9WK2mn53SOmqJerAI8nXi4HALEQkb0LCxhlIse8/awY+5Oh1&#10;7NS5sV2AhB6gcxTkcheEnz2iwyGF0zyfz9KoVUKKW5yxzn/iukPBKLEE0hGXnLbOBx6kuLmENEpv&#10;hJRRbqlQX+LFNJ/GAKelYOEyuDl72FfSohMJAxO/WBTcPLpZfVQsgrWcsPXV9kTIwYbkUgU8qATo&#10;XK1hIn4s0sV6vp5PRpN8th5N0roefdxUk9Fsk32Y1k91VdXZz0AtmxStYIyrwO42ndnk79S/vpNh&#10;ru7zeW9D8hY99gvI3v6RdJQyqDfMwV6zy87eJIaBjM7XxxMm/nEP9uMTX/0CAAD//wMAUEsDBBQA&#10;BgAIAAAAIQCby3NL3AAAAAgBAAAPAAAAZHJzL2Rvd25yZXYueG1sTI/BTsMwEETvSPyDtUhcqtah&#10;EbRK41QIyI0LBdTrNl6SiHidxm4b+HoW9QC3Hc1o9k2+Hl2njjSE1rOBm1kCirjytuXawNtrOV2C&#10;ChHZYueZDHxRgHVxeZFjZv2JX+i4ibWSEg4ZGmhi7DOtQ9WQwzDzPbF4H35wGEUOtbYDnqTcdXqe&#10;JHfaYcvyocGeHhqqPjcHZyCU77QvvyfVJNmmtaf5/vH5CY25vhrvV6AijfEvDL/4gg6FMO38gW1Q&#10;nYF0sUwlamC6ACX+We/kuE1BF7n+P6D4AQAA//8DAFBLAQItABQABgAIAAAAIQC2gziS/gAAAOEB&#10;AAATAAAAAAAAAAAAAAAAAAAAAABbQ29udGVudF9UeXBlc10ueG1sUEsBAi0AFAAGAAgAAAAhADj9&#10;If/WAAAAlAEAAAsAAAAAAAAAAAAAAAAALwEAAF9yZWxzLy5yZWxzUEsBAi0AFAAGAAgAAAAhAAkk&#10;MzsUAgAAKgQAAA4AAAAAAAAAAAAAAAAALgIAAGRycy9lMm9Eb2MueG1sUEsBAi0AFAAGAAgAAAAh&#10;AJvLc0vcAAAACAEAAA8AAAAAAAAAAAAAAAAAbgQAAGRycy9kb3ducmV2LnhtbFBLBQYAAAAABAAE&#10;APMAAAB3BQAAAAA=&#10;"/>
            </w:pict>
          </mc:Fallback>
        </mc:AlternateContent>
      </w:r>
    </w:p>
    <w:p w:rsidR="00CD0080" w:rsidRDefault="00CD0080" w:rsidP="00CD0080">
      <w:pPr>
        <w:rPr>
          <w:color w:val="000000"/>
          <w:sz w:val="18"/>
        </w:rPr>
      </w:pPr>
      <w:r>
        <w:rPr>
          <w:noProof/>
          <w:sz w:val="18"/>
        </w:rPr>
        <mc:AlternateContent>
          <mc:Choice Requires="wps">
            <w:drawing>
              <wp:anchor distT="0" distB="0" distL="114300" distR="114300" simplePos="0" relativeHeight="251723264" behindDoc="0" locked="0" layoutInCell="1" allowOverlap="1" wp14:anchorId="7EADAEAD" wp14:editId="68132CF0">
                <wp:simplePos x="0" y="0"/>
                <wp:positionH relativeFrom="column">
                  <wp:posOffset>3896995</wp:posOffset>
                </wp:positionH>
                <wp:positionV relativeFrom="paragraph">
                  <wp:posOffset>125730</wp:posOffset>
                </wp:positionV>
                <wp:extent cx="0" cy="228600"/>
                <wp:effectExtent l="0" t="0" r="19050" b="19050"/>
                <wp:wrapNone/>
                <wp:docPr id="86" name="Line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924077" id="Line 329" o:spid="_x0000_s1026" style="position:absolute;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85pt,9.9pt" to="306.85pt,2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amCFAIAACo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lXg+w0iR&#10;DjTaCsXRU74IzemNK8CnUjsbyqNn9WK2mn53SOmqJerAI8nXi4HALEQkb0LCxhlIse8/awY+5Oh1&#10;7NS5sV2AhB6gcxTkcheEnz2iwyGF0zyfz9KoVUKKW5yxzn/iukPBKLEE0hGXnLbOBx6kuLmENEpv&#10;hJRRbqlQX+LFNJ/GAKelYOEyuDl72FfSohMJAxO/WBTcPLpZfVQsgrWcsPXV9kTIwYbkUgU8qATo&#10;XK1hIn4s0sV6vp5PRpN8th5N0roefdxUk9Fsk32Y1k91VdXZz0AtmxStYIyrwO42ndnk79S/vpNh&#10;ru7zeW9D8hY99gvI3v6RdJQyqDfMwV6zy87eJIaBjM7XxxMm/nEP9uMTX/0CAAD//wMAUEsDBBQA&#10;BgAIAAAAIQDCJgQs3QAAAAkBAAAPAAAAZHJzL2Rvd25yZXYueG1sTI/NTsMwEITvSLyDtUhcqtZp&#10;q/4Q4lQIyI1LC4jrNl6SiHidxm4beHoWcYDjznyanck2g2vVifrQeDYwnSSgiEtvG64MvDwX4zWo&#10;EJEttp7JwCcF2OSXFxmm1p95S6ddrJSEcEjRQB1jl2odypochonviMV7973DKGdfadvjWcJdq2dJ&#10;stQOG5YPNXZ0X1P5sTs6A6F4pUPxNSpHydu88jQ7PDw9ojHXV8PdLahIQ/yD4ae+VIdcOu39kW1Q&#10;rYHldL4SVIwbmSDAr7A3sFisQeeZ/r8g/wYAAP//AwBQSwECLQAUAAYACAAAACEAtoM4kv4AAADh&#10;AQAAEwAAAAAAAAAAAAAAAAAAAAAAW0NvbnRlbnRfVHlwZXNdLnhtbFBLAQItABQABgAIAAAAIQA4&#10;/SH/1gAAAJQBAAALAAAAAAAAAAAAAAAAAC8BAABfcmVscy8ucmVsc1BLAQItABQABgAIAAAAIQCy&#10;oamCFAIAACoEAAAOAAAAAAAAAAAAAAAAAC4CAABkcnMvZTJvRG9jLnhtbFBLAQItABQABgAIAAAA&#10;IQDCJgQs3QAAAAkBAAAPAAAAAAAAAAAAAAAAAG4EAABkcnMvZG93bnJldi54bWxQSwUGAAAAAAQA&#10;BADzAAAAeAUAAAAA&#10;"/>
            </w:pict>
          </mc:Fallback>
        </mc:AlternateContent>
      </w:r>
      <w:r>
        <w:rPr>
          <w:noProof/>
          <w:sz w:val="18"/>
        </w:rPr>
        <mc:AlternateContent>
          <mc:Choice Requires="wps">
            <w:drawing>
              <wp:anchor distT="0" distB="0" distL="114300" distR="114300" simplePos="0" relativeHeight="251724288" behindDoc="0" locked="0" layoutInCell="1" allowOverlap="1" wp14:anchorId="42AFEA66" wp14:editId="71C02484">
                <wp:simplePos x="0" y="0"/>
                <wp:positionH relativeFrom="column">
                  <wp:posOffset>1222375</wp:posOffset>
                </wp:positionH>
                <wp:positionV relativeFrom="paragraph">
                  <wp:posOffset>89668</wp:posOffset>
                </wp:positionV>
                <wp:extent cx="0" cy="265430"/>
                <wp:effectExtent l="0" t="0" r="19050" b="20320"/>
                <wp:wrapNone/>
                <wp:docPr id="85" name="Lin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54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14C167" id="Line 328" o:spid="_x0000_s1026" style="position:absolute;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25pt,7.05pt" to="96.25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syFAIAACoEAAAOAAAAZHJzL2Uyb0RvYy54bWysU02P2jAQvVfqf7B8h3wQKESEVUWgl22L&#10;tNsfYGyHWHVsyzYEVPW/d+wAYttLVTUHZ2zPvHkzb7x8OncSnbh1QqsKZ+MUI66oZkIdKvztdTua&#10;Y+Q8UYxIrXiFL9zhp9X7d8velDzXrZaMWwQgypW9qXDrvSmTxNGWd8SNteEKLhttO+Jhaw8Js6QH&#10;9E4meZrOkl5bZqym3Dk4rYdLvIr4TcOp/9o0jnskKwzcfFxtXPdhTVZLUh4sMa2gVxrkH1h0RChI&#10;eoeqiSfoaMUfUJ2gVjvd+DHVXaKbRlAea4BqsvS3al5aYnisBZrjzL1N7v/B0i+nnUWCVXg+xUiR&#10;DjR6FoqjST4PzemNK8FnrXY2lEfP6sU8a/rdIaXXLVEHHkm+XgwEZiEieRMSNs5Ain3/WTPwIUev&#10;Y6fOje0CJPQAnaMgl7sg/OwRHQ4pnOazaTGJWiWkvMUZ6/wnrjsUjApLIB1xyenZ+cCDlDeXkEbp&#10;rZAyyi0V6iu8mObTGOC0FCxcBjdnD/u1tOhEwsDELxYFN49uVh8Vi2AtJ2xztT0RcrAhuVQBDyoB&#10;OldrmIgfi3SxmW/mxajIZ5tRkdb16ON2XYxm2+zDtJ7U63Wd/QzUsqJsBWNcBXa36cyKv1P/+k6G&#10;ubrP570NyVv02C8ge/tH0lHKoN4wB3vNLjt7kxgGMjpfH0+Y+Mc92I9PfPULAAD//wMAUEsDBBQA&#10;BgAIAAAAIQASNhaR3AAAAAkBAAAPAAAAZHJzL2Rvd25yZXYueG1sTI9BT8MwDIXvSPyHyEhcJpau&#10;UMRK0wkBvXFhgLh6jWkrGqdrsq3w6/G4wM3Pfnr+XrGaXK/2NIbOs4HFPAFFXHvbcWPg9aW6uAEV&#10;IrLF3jMZ+KIAq/L0pMDc+gM/034dGyUhHHI00MY45FqHuiWHYe4HYrl9+NFhFDk22o54kHDX6zRJ&#10;rrXDjuVDiwPdt1R/rnfOQKjeaFt9z+pZ8n7ZeEq3D0+PaMz52XR3CyrSFP/McMQXdCiFaeN3bIPq&#10;RS/TTKwyXC1AHQ2/i42BLFuCLgv9v0H5AwAA//8DAFBLAQItABQABgAIAAAAIQC2gziS/gAAAOEB&#10;AAATAAAAAAAAAAAAAAAAAAAAAABbQ29udGVudF9UeXBlc10ueG1sUEsBAi0AFAAGAAgAAAAhADj9&#10;If/WAAAAlAEAAAsAAAAAAAAAAAAAAAAALwEAAF9yZWxzLy5yZWxzUEsBAi0AFAAGAAgAAAAhAD5X&#10;OzIUAgAAKgQAAA4AAAAAAAAAAAAAAAAALgIAAGRycy9lMm9Eb2MueG1sUEsBAi0AFAAGAAgAAAAh&#10;ABI2FpHcAAAACQEAAA8AAAAAAAAAAAAAAAAAbgQAAGRycy9kb3ducmV2LnhtbFBLBQYAAAAABAAE&#10;APMAAAB3BQAAAAA=&#10;"/>
            </w:pict>
          </mc:Fallback>
        </mc:AlternateContent>
      </w:r>
      <w:r>
        <w:rPr>
          <w:noProof/>
          <w:sz w:val="18"/>
        </w:rPr>
        <mc:AlternateContent>
          <mc:Choice Requires="wps">
            <w:drawing>
              <wp:anchor distT="0" distB="0" distL="114300" distR="114300" simplePos="0" relativeHeight="251721216" behindDoc="0" locked="0" layoutInCell="1" allowOverlap="1" wp14:anchorId="7345D782" wp14:editId="5969844C">
                <wp:simplePos x="0" y="0"/>
                <wp:positionH relativeFrom="column">
                  <wp:posOffset>89535</wp:posOffset>
                </wp:positionH>
                <wp:positionV relativeFrom="paragraph">
                  <wp:posOffset>93345</wp:posOffset>
                </wp:positionV>
                <wp:extent cx="5410200" cy="0"/>
                <wp:effectExtent l="0" t="0" r="19050" b="19050"/>
                <wp:wrapNone/>
                <wp:docPr id="87" name="Line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6EA6AC" id="Line 314" o:spid="_x0000_s1026" style="position:absolute;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7.35pt" to="433.0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K8RFA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TzR4wU&#10;6UCjZ6E4esjy0JzeuAJiKrW1oTx6Uq/mWdPvDildtUTteST5djaQmIWM5F1K2DgDV+z6L5pBDDl4&#10;HTt1amwXIKEH6BQFOd8E4SePKBxO8ywFlTGigy8hxZBorPOfue5QMEosgXUEJsdn5wMRUgwh4R6l&#10;N0LKqLdUqC/xYjqZxgSnpWDBGcKc3e8qadGRhImJX6wKPPdhVh8Ui2AtJ2x9tT0R8mLD5VIFPCgF&#10;6Fyty0j8WKSL9Xw9z0f5ZLYe5Wldjz5tqnw022SP0/qhrqo6+xmoZXnRCsa4CuyG8czyv5P/+lAu&#10;g3Ub0FsbkvfosV9AdvhH0lHLIN9lEHaanbd20BgmMgZfX08Y+fs92PdvfPULAAD//wMAUEsDBBQA&#10;BgAIAAAAIQAjoAlv2gAAAAgBAAAPAAAAZHJzL2Rvd25yZXYueG1sTE9NT8JAEL2b+B82Y+KFwBY0&#10;hdRuiVF78yJqvA7dsW3szpbuAtVf7xAOepq8j7x5L1+PrlMHGkLr2cB8loAirrxtuTbw9lpOV6BC&#10;RLbYeSYD3xRgXVxe5JhZf+QXOmxirSSEQ4YGmhj7TOtQNeQwzHxPLNqnHxxGgUOt7YBHCXedXiRJ&#10;qh22LB8a7Omhoeprs3cGQvlOu/JnUk2Sj5va02L3+PyExlxfjfd3oCKN8c8Mp/pSHQrptPV7tkF1&#10;gm/n4jzdJSjRV2kqxPZM6CLX/wcUvwAAAP//AwBQSwECLQAUAAYACAAAACEAtoM4kv4AAADhAQAA&#10;EwAAAAAAAAAAAAAAAAAAAAAAW0NvbnRlbnRfVHlwZXNdLnhtbFBLAQItABQABgAIAAAAIQA4/SH/&#10;1gAAAJQBAAALAAAAAAAAAAAAAAAAAC8BAABfcmVscy8ucmVsc1BLAQItABQABgAIAAAAIQA9FK8R&#10;FAIAACsEAAAOAAAAAAAAAAAAAAAAAC4CAABkcnMvZTJvRG9jLnhtbFBLAQItABQABgAIAAAAIQAj&#10;oAlv2gAAAAgBAAAPAAAAAAAAAAAAAAAAAG4EAABkcnMvZG93bnJldi54bWxQSwUGAAAAAAQABADz&#10;AAAAdQUAAAAA&#10;"/>
            </w:pict>
          </mc:Fallback>
        </mc:AlternateContent>
      </w:r>
      <w:r>
        <w:rPr>
          <w:noProof/>
          <w:sz w:val="18"/>
        </w:rPr>
        <mc:AlternateContent>
          <mc:Choice Requires="wps">
            <w:drawing>
              <wp:anchor distT="0" distB="0" distL="114300" distR="114300" simplePos="0" relativeHeight="251722240" behindDoc="0" locked="0" layoutInCell="1" allowOverlap="1" wp14:anchorId="40052B01" wp14:editId="214FA593">
                <wp:simplePos x="0" y="0"/>
                <wp:positionH relativeFrom="column">
                  <wp:posOffset>241935</wp:posOffset>
                </wp:positionH>
                <wp:positionV relativeFrom="paragraph">
                  <wp:posOffset>92710</wp:posOffset>
                </wp:positionV>
                <wp:extent cx="0" cy="228600"/>
                <wp:effectExtent l="0" t="0" r="0" b="0"/>
                <wp:wrapNone/>
                <wp:docPr id="88" name="Line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4C8890" id="Line 316" o:spid="_x0000_s1026" style="position:absolute;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5pt,7.3pt" to="19.05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cO/FAIAACo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lXgOSinS&#10;gUZboTh6ymahOb1xBfhUamdDefSsXsxW0+8OKV21RB14JPl6MRCYhYjkTUjYOAMp9v1nzcCHHL2O&#10;nTo3tguQ0AN0joJc7oLws0d0OKRwmufzWRq1SkhxizPW+U9cdygYJZZAOuKS09b5wIMUN5eQRumN&#10;kDLKLRXqS7yY5tMY4LQULFwGN2cP+0padCJhYOIXi4KbRzerj4pFsJYTtr7angg52JBcqoAHlQCd&#10;qzVMxI9FuljP1/PJaJLP1qNJWtejj5tqMpptsg/T+qmuqjr7Gahlk6IVjHEV2N2mM5v8nfrXdzLM&#10;1X0+721I3qLHfgHZ2z+SjlIG9YY52Gt22dmbxDCQ0fn6eMLEP+7Bfnziq18AAAD//wMAUEsDBBQA&#10;BgAIAAAAIQDST4wT2gAAAAcBAAAPAAAAZHJzL2Rvd25yZXYueG1sTI5PT8JAEMXvJn6HzZh4IbAF&#10;tCG1W2LU3ryIGq5Dd2wbu7Olu0D10zty0eP7k/d++Xp0nTrSEFrPBuazBBRx5W3LtYG313K6AhUi&#10;ssXOMxn4ogDr4vIix8z6E7/QcRNrJSMcMjTQxNhnWoeqIYdh5ntiyT784DCKHGptBzzJuOv0IklS&#10;7bBleWiwp4eGqs/NwRkI5Tvty+9JNUm2y9rTYv/4/ITGXF+N93egIo3xrwy/+IIOhTDt/IFtUJ2B&#10;5WouTfFvUlCSn/XOwG2Sgi5y/Z+/+AEAAP//AwBQSwECLQAUAAYACAAAACEAtoM4kv4AAADhAQAA&#10;EwAAAAAAAAAAAAAAAAAAAAAAW0NvbnRlbnRfVHlwZXNdLnhtbFBLAQItABQABgAIAAAAIQA4/SH/&#10;1gAAAJQBAAALAAAAAAAAAAAAAAAAAC8BAABfcmVscy8ucmVsc1BLAQItABQABgAIAAAAIQAFlcO/&#10;FAIAACoEAAAOAAAAAAAAAAAAAAAAAC4CAABkcnMvZTJvRG9jLnhtbFBLAQItABQABgAIAAAAIQDS&#10;T4wT2gAAAAcBAAAPAAAAAAAAAAAAAAAAAG4EAABkcnMvZG93bnJldi54bWxQSwUGAAAAAAQABADz&#10;AAAAdQUAAAAA&#10;"/>
            </w:pict>
          </mc:Fallback>
        </mc:AlternateContent>
      </w:r>
    </w:p>
    <w:p w:rsidR="00CD0080" w:rsidRDefault="00CD0080" w:rsidP="00CD0080">
      <w:pPr>
        <w:rPr>
          <w:color w:val="000000"/>
          <w:sz w:val="18"/>
        </w:rPr>
      </w:pPr>
      <w:r>
        <w:rPr>
          <w:color w:val="000000"/>
          <w:sz w:val="18"/>
        </w:rPr>
        <w:t xml:space="preserve">                                 </w:t>
      </w:r>
      <w:r>
        <w:rPr>
          <w:color w:val="000000"/>
          <w:sz w:val="18"/>
        </w:rPr>
        <w:tab/>
      </w:r>
      <w:r>
        <w:rPr>
          <w:color w:val="000000"/>
          <w:sz w:val="18"/>
        </w:rPr>
        <w:tab/>
      </w:r>
    </w:p>
    <w:p w:rsidR="00CD0080" w:rsidRDefault="00CD0080" w:rsidP="00CD0080">
      <w:pPr>
        <w:rPr>
          <w:color w:val="000000"/>
          <w:sz w:val="18"/>
        </w:rPr>
      </w:pPr>
      <w:r>
        <w:rPr>
          <w:color w:val="000000"/>
          <w:sz w:val="18"/>
        </w:rPr>
        <w:t>Diagnosis of</w:t>
      </w:r>
      <w:r>
        <w:rPr>
          <w:color w:val="000000"/>
          <w:sz w:val="18"/>
        </w:rPr>
        <w:tab/>
        <w:t>Date of Law Change</w:t>
      </w:r>
      <w:r>
        <w:rPr>
          <w:color w:val="000000"/>
          <w:sz w:val="18"/>
        </w:rPr>
        <w:tab/>
      </w:r>
      <w:r>
        <w:rPr>
          <w:color w:val="000000"/>
          <w:sz w:val="18"/>
        </w:rPr>
        <w:tab/>
      </w:r>
      <w:r>
        <w:rPr>
          <w:color w:val="000000"/>
          <w:sz w:val="18"/>
        </w:rPr>
        <w:tab/>
      </w:r>
      <w:r>
        <w:rPr>
          <w:color w:val="000000"/>
          <w:sz w:val="18"/>
        </w:rPr>
        <w:tab/>
        <w:t>Date of Claim</w:t>
      </w:r>
      <w:r>
        <w:rPr>
          <w:color w:val="000000"/>
          <w:sz w:val="18"/>
        </w:rPr>
        <w:tab/>
      </w:r>
    </w:p>
    <w:p w:rsidR="00CD0080" w:rsidRDefault="00CD0080" w:rsidP="00CD0080">
      <w:pPr>
        <w:rPr>
          <w:color w:val="000000"/>
          <w:sz w:val="18"/>
        </w:rPr>
      </w:pPr>
      <w:r>
        <w:rPr>
          <w:color w:val="000000"/>
          <w:sz w:val="18"/>
        </w:rPr>
        <w:t>Disability</w:t>
      </w:r>
      <w:r>
        <w:rPr>
          <w:color w:val="000000"/>
          <w:sz w:val="18"/>
        </w:rPr>
        <w:tab/>
        <w:t>08/31/10</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09/30/12</w:t>
      </w:r>
    </w:p>
    <w:p w:rsidR="00CD0080" w:rsidRDefault="00CD0080" w:rsidP="00CD0080">
      <w:pPr>
        <w:rPr>
          <w:color w:val="000000"/>
          <w:sz w:val="18"/>
        </w:rPr>
      </w:pPr>
      <w:r>
        <w:rPr>
          <w:color w:val="000000"/>
          <w:sz w:val="18"/>
        </w:rPr>
        <w:t>08/09/09</w:t>
      </w:r>
      <w:r>
        <w:rPr>
          <w:color w:val="000000"/>
          <w:sz w:val="18"/>
        </w:rPr>
        <w:tab/>
      </w:r>
      <w:r>
        <w:rPr>
          <w:color w:val="000000"/>
          <w:sz w:val="18"/>
        </w:rPr>
        <w:tab/>
      </w:r>
      <w:r>
        <w:rPr>
          <w:color w:val="000000"/>
          <w:sz w:val="18"/>
        </w:rPr>
        <w:tab/>
      </w:r>
      <w:r>
        <w:rPr>
          <w:color w:val="000000"/>
          <w:sz w:val="18"/>
        </w:rPr>
        <w:tab/>
      </w:r>
    </w:p>
    <w:p w:rsidR="00CD0080" w:rsidRDefault="00CD0080">
      <w:pPr>
        <w:numPr>
          <w:ilvl w:val="12"/>
          <w:numId w:val="0"/>
        </w:numPr>
        <w:jc w:val="both"/>
        <w:rPr>
          <w:i/>
          <w:iCs/>
          <w:sz w:val="18"/>
        </w:rPr>
      </w:pPr>
    </w:p>
    <w:p w:rsidR="00CD0080" w:rsidRDefault="00CD0080">
      <w:pPr>
        <w:numPr>
          <w:ilvl w:val="12"/>
          <w:numId w:val="0"/>
        </w:numPr>
        <w:jc w:val="both"/>
        <w:rPr>
          <w:i/>
          <w:iCs/>
          <w:sz w:val="18"/>
        </w:rPr>
      </w:pPr>
    </w:p>
    <w:p w:rsidR="00094A25" w:rsidRDefault="00094A25">
      <w:pPr>
        <w:numPr>
          <w:ilvl w:val="12"/>
          <w:numId w:val="0"/>
        </w:numPr>
        <w:jc w:val="both"/>
        <w:rPr>
          <w:i/>
          <w:iCs/>
          <w:sz w:val="18"/>
        </w:rPr>
      </w:pPr>
    </w:p>
    <w:p w:rsidR="00013EB8" w:rsidRDefault="00013EB8">
      <w:pPr>
        <w:numPr>
          <w:ilvl w:val="12"/>
          <w:numId w:val="0"/>
        </w:numPr>
        <w:jc w:val="both"/>
        <w:rPr>
          <w:i/>
          <w:iCs/>
          <w:sz w:val="18"/>
        </w:rPr>
      </w:pPr>
      <w:r>
        <w:rPr>
          <w:i/>
          <w:iCs/>
          <w:sz w:val="18"/>
        </w:rPr>
        <w:t>Nehmer Claim Based on Herbicide Disability Added to 38 CFR 3.309(e):</w:t>
      </w:r>
    </w:p>
    <w:p w:rsidR="00013EB8" w:rsidRDefault="00013EB8">
      <w:pPr>
        <w:rPr>
          <w:color w:val="000000"/>
          <w:sz w:val="18"/>
          <w:u w:val="single"/>
        </w:rPr>
      </w:pPr>
    </w:p>
    <w:p w:rsidR="00013EB8" w:rsidRDefault="00013EB8">
      <w:pPr>
        <w:rPr>
          <w:b/>
          <w:bCs/>
          <w:color w:val="000000"/>
          <w:sz w:val="18"/>
        </w:rPr>
      </w:pPr>
      <w:r>
        <w:rPr>
          <w:color w:val="000000"/>
          <w:sz w:val="18"/>
        </w:rPr>
        <w:t xml:space="preserve">                           </w:t>
      </w:r>
      <w:r>
        <w:rPr>
          <w:color w:val="000000"/>
          <w:sz w:val="18"/>
        </w:rPr>
        <w:tab/>
      </w:r>
      <w:r>
        <w:rPr>
          <w:color w:val="000000"/>
          <w:sz w:val="18"/>
        </w:rPr>
        <w:tab/>
      </w:r>
      <w:r>
        <w:rPr>
          <w:b/>
          <w:bCs/>
          <w:color w:val="000000"/>
          <w:sz w:val="18"/>
        </w:rPr>
        <w:t>Effective Date</w:t>
      </w:r>
    </w:p>
    <w:p w:rsidR="00013EB8" w:rsidRDefault="00013EB8">
      <w:pPr>
        <w:ind w:left="2160"/>
        <w:rPr>
          <w:color w:val="000000"/>
          <w:sz w:val="18"/>
        </w:rPr>
      </w:pPr>
      <w:r>
        <w:rPr>
          <w:b/>
          <w:bCs/>
          <w:color w:val="000000"/>
          <w:sz w:val="18"/>
        </w:rPr>
        <w:t>08/08/86</w:t>
      </w:r>
      <w:r>
        <w:rPr>
          <w:color w:val="000000"/>
          <w:sz w:val="18"/>
        </w:rPr>
        <w:t xml:space="preserve">  </w:t>
      </w:r>
    </w:p>
    <w:p w:rsidR="00013EB8" w:rsidRDefault="00562F54">
      <w:pPr>
        <w:rPr>
          <w:color w:val="000000"/>
          <w:sz w:val="18"/>
        </w:rPr>
      </w:pPr>
      <w:r>
        <w:rPr>
          <w:noProof/>
          <w:sz w:val="18"/>
        </w:rPr>
        <mc:AlternateContent>
          <mc:Choice Requires="wps">
            <w:drawing>
              <wp:anchor distT="0" distB="0" distL="114300" distR="114300" simplePos="0" relativeHeight="251657728" behindDoc="0" locked="0" layoutInCell="1" allowOverlap="1" wp14:anchorId="078FB493" wp14:editId="2F0F1969">
                <wp:simplePos x="0" y="0"/>
                <wp:positionH relativeFrom="column">
                  <wp:posOffset>1689735</wp:posOffset>
                </wp:positionH>
                <wp:positionV relativeFrom="paragraph">
                  <wp:posOffset>28575</wp:posOffset>
                </wp:positionV>
                <wp:extent cx="0" cy="457200"/>
                <wp:effectExtent l="0" t="0" r="0" b="0"/>
                <wp:wrapNone/>
                <wp:docPr id="69" name="Line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DAA24D" id="Line 328"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05pt,2.25pt" to="133.05pt,3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bCCEgIAACoEAAAOAAAAZHJzL2Uyb0RvYy54bWysU8GO2jAQvVfqP1i+QxI2sBARVhWBXrZd&#10;pN1+gLEdYtWxLdsQUNV/79gJaGkvVdUcnLE98+bNvPHy6dxKdOLWCa1KnI1TjLiimgl1KPG3t+1o&#10;jpHzRDEiteIlvnCHn1YfPyw7U/CJbrRk3CIAUa7oTIkb702RJI42vCVurA1XcFlr2xIPW3tImCUd&#10;oLcymaTpLOm0ZcZqyp2D06q/xKuIX9ec+pe6dtwjWWLg5uNq47oPa7JakuJgiWkEHWiQf2DREqEg&#10;6Q2qIp6goxV/QLWCWu107cdUt4mua0F5rAGqydLfqnltiOGxFmiOM7c2uf8HS7+edhYJVuLZAiNF&#10;WtDoWSiOHibz0JzOuAJ81mpnQ3n0rF7Ns6bfHVJ63RB14JHk28VAYBYikruQsHEGUuy7L5qBDzl6&#10;HTt1rm0bIKEH6BwFudwE4WePaH9I4TSfPoLWEZwU1zhjnf/MdYuCUWIJpCMuOT07H3iQ4uoS0ii9&#10;FVJGuaVCXYkX08k0BjgtBQuXwc3Zw34tLTqRMDDxG/LeuVl9VCyCNZywzWB7ImRvQ3KpAh5UAnQG&#10;q5+IH4t0sZlv5vkon8w2ozytqtGn7TofzbbZ47R6qNbrKvsZqGV50QjGuArsrtOZ5X+n/vBO+rm6&#10;zeetDck9euwXkL3+I+koZVCvn4O9ZpedvUoMAxmdh8cTJv79Huz3T3z1CwAA//8DAFBLAwQUAAYA&#10;CAAAACEAciDRCtwAAAAIAQAADwAAAGRycy9kb3ducmV2LnhtbEyPwU7DMBBE70j8g7VIXCrqNNCA&#10;QjYVAnLj0gLiuo2XJCJep7HbBr4eIw5wHM1o5k2xmmyvDjz6zgnCYp6AYqmd6aRBeHmuLm5A+UBi&#10;qHfCCJ/sYVWenhSUG3eUNR82oVGxRHxOCG0IQ661r1u25OduYIneuxsthSjHRpuRjrHc9jpNkkxb&#10;6iQutDTwfcv1x2ZvEXz1yrvqa1bPkrfLxnG6e3h6JMTzs+nuFlTgKfyF4Qc/okMZmbZuL8arHiHN&#10;skWMIlwtQUX/V28RrrMl6LLQ/w+U3wAAAP//AwBQSwECLQAUAAYACAAAACEAtoM4kv4AAADhAQAA&#10;EwAAAAAAAAAAAAAAAAAAAAAAW0NvbnRlbnRfVHlwZXNdLnhtbFBLAQItABQABgAIAAAAIQA4/SH/&#10;1gAAAJQBAAALAAAAAAAAAAAAAAAAAC8BAABfcmVscy8ucmVsc1BLAQItABQABgAIAAAAIQApQbCC&#10;EgIAACoEAAAOAAAAAAAAAAAAAAAAAC4CAABkcnMvZTJvRG9jLnhtbFBLAQItABQABgAIAAAAIQBy&#10;INEK3AAAAAgBAAAPAAAAAAAAAAAAAAAAAGwEAABkcnMvZG93bnJldi54bWxQSwUGAAAAAAQABADz&#10;AAAAdQUAAAAA&#10;"/>
            </w:pict>
          </mc:Fallback>
        </mc:AlternateContent>
      </w:r>
    </w:p>
    <w:p w:rsidR="00013EB8" w:rsidRDefault="00562F54">
      <w:pPr>
        <w:rPr>
          <w:color w:val="000000"/>
          <w:sz w:val="18"/>
        </w:rPr>
      </w:pPr>
      <w:r>
        <w:rPr>
          <w:noProof/>
          <w:sz w:val="18"/>
        </w:rPr>
        <mc:AlternateContent>
          <mc:Choice Requires="wps">
            <w:drawing>
              <wp:anchor distT="0" distB="0" distL="114300" distR="114300" simplePos="0" relativeHeight="251655680" behindDoc="0" locked="0" layoutInCell="1" allowOverlap="1" wp14:anchorId="714E98D9" wp14:editId="6F4AB683">
                <wp:simplePos x="0" y="0"/>
                <wp:positionH relativeFrom="column">
                  <wp:posOffset>-139065</wp:posOffset>
                </wp:positionH>
                <wp:positionV relativeFrom="paragraph">
                  <wp:posOffset>31750</wp:posOffset>
                </wp:positionV>
                <wp:extent cx="5715000" cy="0"/>
                <wp:effectExtent l="0" t="0" r="0" b="0"/>
                <wp:wrapNone/>
                <wp:docPr id="68" name="Line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928749" id="Line 326"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5pt,2.5pt" to="439.0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4vhFQ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zUEqR&#10;DjR6Foqjh8ksNKc3roCYSm1tKI+e1Kt51vS7Q0pXLVF7Hkm+nQ0kZiEjeZcSNs7AFbv+i2YQQw5e&#10;x06dGtsFSOgBOkVBzjdB+MkjCofTx2yapqAbHXwJKYZEY53/zHWHglFiCawjMDk+Ox+IkGIICfco&#10;vRFSRr2lQn2JF9PJNCY4LQULzhDm7H5XSYuOJExM/GJV4LkPs/qgWARrOWHrq+2JkBcbLpcq4EEp&#10;QOdqXUbixyJdrOfreT7KJ7P1KE/revRpU+Wj2SZ7nNYPdVXV2c9ALcuLVjDGVWA3jGeW/53814dy&#10;GazbgN7akLxHj/0CssM/ko5aBvkug7DT7Ly1g8YwkTH4+nrCyN/vwb5/46tfAAAA//8DAFBLAwQU&#10;AAYACAAAACEAdBkBGdwAAAAHAQAADwAAAGRycy9kb3ducmV2LnhtbEyPQU+DQBSE7yb+h80z8dK0&#10;CxgtIktjVG5eWm28vsITiOxbym5b9Nf79KLHyUxmvslXk+3VkUbfOTYQLyJQxJWrO24MvL6U8xSU&#10;D8g19o7JwCd5WBXnZzlmtTvxmo6b0CgpYZ+hgTaEIdPaVy1Z9As3EIv37kaLQeTY6HrEk5TbXidR&#10;dKMtdiwLLQ700FL1sTlYA77c0r78mlWz6O2qcZTsH5+f0JjLi+n+DlSgKfyF4Qdf0KEQpp07cO1V&#10;b2CexLcSNXAtl8RPl2kMaverdZHr//zFNwAAAP//AwBQSwECLQAUAAYACAAAACEAtoM4kv4AAADh&#10;AQAAEwAAAAAAAAAAAAAAAAAAAAAAW0NvbnRlbnRfVHlwZXNdLnhtbFBLAQItABQABgAIAAAAIQA4&#10;/SH/1gAAAJQBAAALAAAAAAAAAAAAAAAAAC8BAABfcmVscy8ucmVsc1BLAQItABQABgAIAAAAIQBp&#10;44vhFQIAACsEAAAOAAAAAAAAAAAAAAAAAC4CAABkcnMvZTJvRG9jLnhtbFBLAQItABQABgAIAAAA&#10;IQB0GQEZ3AAAAAcBAAAPAAAAAAAAAAAAAAAAAG8EAABkcnMvZG93bnJldi54bWxQSwUGAAAAAAQA&#10;BADzAAAAeAUAAAAA&#10;"/>
            </w:pict>
          </mc:Fallback>
        </mc:AlternateContent>
      </w:r>
      <w:r>
        <w:rPr>
          <w:noProof/>
          <w:sz w:val="18"/>
        </w:rPr>
        <mc:AlternateContent>
          <mc:Choice Requires="wps">
            <w:drawing>
              <wp:anchor distT="0" distB="0" distL="114300" distR="114300" simplePos="0" relativeHeight="251654656" behindDoc="0" locked="0" layoutInCell="1" allowOverlap="1" wp14:anchorId="2048BF32" wp14:editId="21DBA188">
                <wp:simplePos x="0" y="0"/>
                <wp:positionH relativeFrom="column">
                  <wp:posOffset>13335</wp:posOffset>
                </wp:positionH>
                <wp:positionV relativeFrom="paragraph">
                  <wp:posOffset>31750</wp:posOffset>
                </wp:positionV>
                <wp:extent cx="0" cy="228600"/>
                <wp:effectExtent l="0" t="0" r="0" b="0"/>
                <wp:wrapNone/>
                <wp:docPr id="67" name="Line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66249C" id="Line 325"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pt,2.5pt" to="1.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LKEwIAACoEAAAOAAAAZHJzL2Uyb0RvYy54bWysU02P2jAQvVfqf7B8h3wssBARVlUCvdAW&#10;abc/wNgOserYlm0IqOp/79gBtLu9VFVzcGY84+c388bLp3Mn0YlbJ7QqcTZOMeKKaibUocTfXzaj&#10;OUbOE8WI1IqX+MIdflp9/LDsTcFz3WrJuEUAolzRmxK33psiSRxteUfcWBuuINho2xEPrj0kzJIe&#10;0DuZ5Gk6S3ptmbGacudgtx6CeBXxm4ZT/61pHPdIlhi4+bjauO7DmqyWpDhYYlpBrzTIP7DoiFBw&#10;6R2qJp6goxV/QHWCWu1048dUd4luGkF5rAGqydJ31Ty3xPBYCzTHmXub3P+DpV9PO4sEK/HsESNF&#10;OtBoKxRHD/k0NKc3roCcSu1sKI+e1bPZavrDIaWrlqgDjyRfLgYOZuFE8uZIcJyBK/b9F80ghxy9&#10;jp06N7YLkNADdI6CXO6C8LNHdNiksJvn81katUpIcTtnrPOfue5QMEosgXTEJaet84EHKW4p4Rql&#10;N0LKKLdUqC/xYgoVhojTUrAQjI497Ctp0YmEgYlfLOpdmtVHxSJYywlbX21PhBxsuFyqgAeVAJ2r&#10;NUzEz0W6WM/X88loks/Wo0la16NPm2oymm2yx2n9UFdVnf0K1LJJ0QrGuArsbtOZTf5O/es7Gebq&#10;Pp/3NiRv0WO/gOztH0lHKYN6wxzsNbvs7E1iGMiYfH08YeJf+2C/fuKr3wAAAP//AwBQSwMEFAAG&#10;AAgAAAAhALSm5RHZAAAABAEAAA8AAABkcnMvZG93bnJldi54bWxMj81OwzAQhO9IvIO1SFwqaif8&#10;CIVsKgTkxoUC4rqNlyQiXqex2waeHvcEx9GMZr4pV7Mb1J6n0HtByJYGFEvjbS8twttrfXELKkQS&#10;S4MXRvjmAKvq9KSkwvqDvPB+HVuVSiQUhNDFOBZah6ZjR2HpR5bkffrJUUxyarWd6JDK3aBzY260&#10;o17SQkcjP3TcfK13DiHU77ytfxbNwnxctp7z7ePzEyGen833d6Aiz/EvDEf8hA5VYtr4ndigBoQ8&#10;S0GE63QouUe1QbjKDOiq1P/hq18AAAD//wMAUEsBAi0AFAAGAAgAAAAhALaDOJL+AAAA4QEAABMA&#10;AAAAAAAAAAAAAAAAAAAAAFtDb250ZW50X1R5cGVzXS54bWxQSwECLQAUAAYACAAAACEAOP0h/9YA&#10;AACUAQAACwAAAAAAAAAAAAAAAAAvAQAAX3JlbHMvLnJlbHNQSwECLQAUAAYACAAAACEAuvySyhMC&#10;AAAqBAAADgAAAAAAAAAAAAAAAAAuAgAAZHJzL2Uyb0RvYy54bWxQSwECLQAUAAYACAAAACEAtKbl&#10;EdkAAAAEAQAADwAAAAAAAAAAAAAAAABtBAAAZHJzL2Rvd25yZXYueG1sUEsFBgAAAAAEAAQA8wAA&#10;AHMFAAAAAA==&#10;"/>
            </w:pict>
          </mc:Fallback>
        </mc:AlternateContent>
      </w:r>
      <w:r>
        <w:rPr>
          <w:noProof/>
          <w:sz w:val="18"/>
        </w:rPr>
        <mc:AlternateContent>
          <mc:Choice Requires="wps">
            <w:drawing>
              <wp:anchor distT="0" distB="0" distL="114300" distR="114300" simplePos="0" relativeHeight="251656704" behindDoc="0" locked="0" layoutInCell="1" allowOverlap="1" wp14:anchorId="01D09303" wp14:editId="39A47AD6">
                <wp:simplePos x="0" y="0"/>
                <wp:positionH relativeFrom="column">
                  <wp:posOffset>5347335</wp:posOffset>
                </wp:positionH>
                <wp:positionV relativeFrom="paragraph">
                  <wp:posOffset>31750</wp:posOffset>
                </wp:positionV>
                <wp:extent cx="0" cy="228600"/>
                <wp:effectExtent l="0" t="0" r="0" b="0"/>
                <wp:wrapNone/>
                <wp:docPr id="66" name="Line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38F639" id="Line 32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1.05pt,2.5pt" to="421.0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ZYfFQIAACoEAAAOAAAAZHJzL2Uyb0RvYy54bWysU02P2jAQvVfqf7B8h3wssBARVlUCvWy7&#10;SLv9AcZ2iFXHtmxDQFX/e8cOILa9VFVzcMb2zJs388bLp1Mn0ZFbJ7QqcTZOMeKKaibUvsTf3jaj&#10;OUbOE8WI1IqX+Mwdflp9/LDsTcFz3WrJuEUAolzRmxK33psiSRxteUfcWBuu4LLRtiMetnafMEt6&#10;QO9kkqfpLOm1ZcZqyp2D03q4xKuI3zSc+pemcdwjWWLg5uNq47oLa7JakmJviWkFvdAg/8CiI0JB&#10;0htUTTxBByv+gOoEtdrpxo+p7hLdNILyWANUk6W/VfPaEsNjLdAcZ25tcv8Pln49bi0SrMSzGUaK&#10;dKDRs1AcPeSPoTm9cQX4VGprQ3n0pF7Ns6bfHVK6aona80jy7WwgMAsRybuQsHEGUuz6L5qBDzl4&#10;HTt1amwXIKEH6BQFOd8E4SeP6HBI4TTP57M0apWQ4hpnrPOfue5QMEosgXTEJcdn5wMPUlxdQhql&#10;N0LKKLdUqC/xYppPY4DTUrBwGdyc3e8qadGRhIGJXywKbu7drD4oFsFaTtj6Ynsi5GBDcqkCHlQC&#10;dC7WMBE/FuliPV/PJ6NJPluPJmldjz5tqslotskep/VDXVV19jNQyyZFKxjjKrC7Tmc2+Tv1L+9k&#10;mKvbfN7akLxHj/0Cstd/JB2lDOoNc7DT7Ly1V4lhIKPz5fGEib/fg33/xFe/AAAA//8DAFBLAwQU&#10;AAYACAAAACEA5dx+gNwAAAAIAQAADwAAAGRycy9kb3ducmV2LnhtbEyPwU7DMBBE70j8g7VIXCrq&#10;JJSqCtlUCMiNC4WK6zZekoh4ncZuG/h6jDjAcTSjmTfFerK9OvLoOycI6TwBxVI700mD8PpSXa1A&#10;+UBiqHfCCJ/sYV2enxWUG3eSZz5uQqNiificENoQhlxrX7dsyc/dwBK9dzdaClGOjTYjnWK57XWW&#10;JEttqZO40NLA9y3XH5uDRfDVlvfV16yeJW/XjeNs//D0SIiXF9PdLajAU/gLww9+RIcyMu3cQYxX&#10;PcJqkaUxinATL0X/V+8QFmkCuiz0/wPlNwAAAP//AwBQSwECLQAUAAYACAAAACEAtoM4kv4AAADh&#10;AQAAEwAAAAAAAAAAAAAAAAAAAAAAW0NvbnRlbnRfVHlwZXNdLnhtbFBLAQItABQABgAIAAAAIQA4&#10;/SH/1gAAAJQBAAALAAAAAAAAAAAAAAAAAC8BAABfcmVscy8ucmVsc1BLAQItABQABgAIAAAAIQB6&#10;OZYfFQIAACoEAAAOAAAAAAAAAAAAAAAAAC4CAABkcnMvZTJvRG9jLnhtbFBLAQItABQABgAIAAAA&#10;IQDl3H6A3AAAAAgBAAAPAAAAAAAAAAAAAAAAAG8EAABkcnMvZG93bnJldi54bWxQSwUGAAAAAAQA&#10;BADzAAAAeAUAAAAA&#10;"/>
            </w:pict>
          </mc:Fallback>
        </mc:AlternateContent>
      </w:r>
      <w:r>
        <w:rPr>
          <w:noProof/>
          <w:sz w:val="18"/>
        </w:rPr>
        <mc:AlternateContent>
          <mc:Choice Requires="wps">
            <w:drawing>
              <wp:anchor distT="0" distB="0" distL="114300" distR="114300" simplePos="0" relativeHeight="251658752" behindDoc="0" locked="0" layoutInCell="1" allowOverlap="1" wp14:anchorId="760925AE" wp14:editId="57F76F0F">
                <wp:simplePos x="0" y="0"/>
                <wp:positionH relativeFrom="column">
                  <wp:posOffset>3670935</wp:posOffset>
                </wp:positionH>
                <wp:positionV relativeFrom="paragraph">
                  <wp:posOffset>25400</wp:posOffset>
                </wp:positionV>
                <wp:extent cx="0" cy="228600"/>
                <wp:effectExtent l="0" t="0" r="0" b="0"/>
                <wp:wrapNone/>
                <wp:docPr id="65" name="Line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BE8E9" id="Line 329"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05pt,2pt" to="289.0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o/3FAIAACo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lXg2xUiR&#10;DjTaCsXRU74IzemNK8CnUjsbyqNn9WK2mn53SOmqJerAI8nXi4HALEQkb0LCxhlIse8/awY+5Oh1&#10;7NS5sV2AhB6gcxTkcheEnz2iwyGF0zyfz9KoVUKKW5yxzn/iukPBKLEE0hGXnLbOBx6kuLmENEpv&#10;hJRRbqlQX+LFNJ/GAKelYOEyuDl72FfSohMJAxO/WBTcPLpZfVQsgrWcsPXV9kTIwYbkUgU8qATo&#10;XK1hIn4s0sV6vp5PRpN8th5N0roefdxUk9Fsk32Y1k91VdXZz0AtmxStYIyrwO42ndnk79S/vpNh&#10;ru7zeW9D8hY99gvI3v6RdJQyqDfMwV6zy87eJIaBjM7XxxMm/nEP9uMTX/0CAAD//wMAUEsDBBQA&#10;BgAIAAAAIQCvECvJ2gAAAAgBAAAPAAAAZHJzL2Rvd25yZXYueG1sTI/LTsMwEEX3SPyDNUhsKmq3&#10;vKoQp0JAdmxaQGyn8ZBExOM0dtvA1zMVC1ge3av7yJej79SehtgGtjCbGlDEVXAt1xZeX8qLBaiY&#10;kB12gcnCF0VYFqcnOWYuHHhF+3WqlYRwzNBCk1KfaR2rhjzGaeiJRfsIg8ckONTaDXiQcN/puTE3&#10;2mPL0tBgTw8NVZ/rnbcQyzfalt+TamLeL+tA8+3j8xNae3423t+BSjSmPzMc58t0KGTTJuzYRdVZ&#10;uL5dzMRq4Uouif7LmyMb0EWu/x8ofgAAAP//AwBQSwECLQAUAAYACAAAACEAtoM4kv4AAADhAQAA&#10;EwAAAAAAAAAAAAAAAAAAAAAAW0NvbnRlbnRfVHlwZXNdLnhtbFBLAQItABQABgAIAAAAIQA4/SH/&#10;1gAAAJQBAAALAAAAAAAAAAAAAAAAAC8BAABfcmVscy8ucmVsc1BLAQItABQABgAIAAAAIQCnao/3&#10;FAIAACoEAAAOAAAAAAAAAAAAAAAAAC4CAABkcnMvZTJvRG9jLnhtbFBLAQItABQABgAIAAAAIQCv&#10;ECvJ2gAAAAgBAAAPAAAAAAAAAAAAAAAAAG4EAABkcnMvZG93bnJldi54bWxQSwUGAAAAAAQABADz&#10;AAAAdQU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013EB8">
      <w:pPr>
        <w:ind w:right="-180"/>
        <w:rPr>
          <w:color w:val="000000"/>
          <w:sz w:val="18"/>
        </w:rPr>
      </w:pPr>
      <w:r>
        <w:rPr>
          <w:color w:val="000000"/>
          <w:sz w:val="18"/>
        </w:rPr>
        <w:t>Diagnosis of</w:t>
      </w:r>
      <w:r>
        <w:rPr>
          <w:color w:val="000000"/>
          <w:sz w:val="18"/>
        </w:rPr>
        <w:tab/>
      </w:r>
      <w:r>
        <w:rPr>
          <w:color w:val="000000"/>
          <w:sz w:val="18"/>
        </w:rPr>
        <w:tab/>
        <w:t>Date of Claim</w:t>
      </w:r>
      <w:r>
        <w:rPr>
          <w:color w:val="000000"/>
          <w:sz w:val="18"/>
        </w:rPr>
        <w:tab/>
      </w:r>
      <w:r>
        <w:rPr>
          <w:color w:val="000000"/>
          <w:sz w:val="18"/>
        </w:rPr>
        <w:tab/>
      </w:r>
      <w:r>
        <w:rPr>
          <w:color w:val="000000"/>
          <w:sz w:val="18"/>
        </w:rPr>
        <w:tab/>
        <w:t>Date of Denial</w:t>
      </w:r>
      <w:r>
        <w:rPr>
          <w:color w:val="000000"/>
          <w:sz w:val="18"/>
        </w:rPr>
        <w:tab/>
      </w:r>
      <w:r>
        <w:rPr>
          <w:color w:val="000000"/>
          <w:sz w:val="18"/>
        </w:rPr>
        <w:tab/>
        <w:t>Date of Reopened Claim</w:t>
      </w:r>
    </w:p>
    <w:p w:rsidR="00013EB8" w:rsidRDefault="00013EB8">
      <w:pPr>
        <w:rPr>
          <w:color w:val="000000"/>
          <w:sz w:val="18"/>
        </w:rPr>
      </w:pPr>
      <w:r>
        <w:rPr>
          <w:color w:val="000000"/>
          <w:sz w:val="18"/>
        </w:rPr>
        <w:t>Herbicide Disability</w:t>
      </w:r>
      <w:r>
        <w:rPr>
          <w:color w:val="000000"/>
          <w:sz w:val="18"/>
        </w:rPr>
        <w:tab/>
        <w:t>08/08/86</w:t>
      </w:r>
      <w:r>
        <w:rPr>
          <w:color w:val="000000"/>
          <w:sz w:val="18"/>
        </w:rPr>
        <w:tab/>
      </w:r>
      <w:r>
        <w:rPr>
          <w:color w:val="000000"/>
          <w:sz w:val="18"/>
        </w:rPr>
        <w:tab/>
      </w:r>
      <w:r>
        <w:rPr>
          <w:color w:val="000000"/>
          <w:sz w:val="18"/>
        </w:rPr>
        <w:tab/>
      </w:r>
      <w:r>
        <w:rPr>
          <w:color w:val="000000"/>
          <w:sz w:val="18"/>
        </w:rPr>
        <w:tab/>
        <w:t>09/30/87</w:t>
      </w:r>
      <w:r>
        <w:rPr>
          <w:color w:val="000000"/>
          <w:sz w:val="18"/>
        </w:rPr>
        <w:tab/>
      </w:r>
      <w:r>
        <w:rPr>
          <w:color w:val="000000"/>
          <w:sz w:val="18"/>
        </w:rPr>
        <w:tab/>
      </w:r>
      <w:r>
        <w:rPr>
          <w:color w:val="000000"/>
          <w:sz w:val="18"/>
        </w:rPr>
        <w:tab/>
        <w:t>05/30/08</w:t>
      </w:r>
    </w:p>
    <w:p w:rsidR="00013EB8" w:rsidRDefault="00013EB8">
      <w:pPr>
        <w:rPr>
          <w:color w:val="000000"/>
          <w:sz w:val="18"/>
        </w:rPr>
      </w:pPr>
      <w:r>
        <w:rPr>
          <w:color w:val="000000"/>
          <w:sz w:val="18"/>
        </w:rPr>
        <w:t>08/09/82</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p>
    <w:p w:rsidR="00013EB8" w:rsidRDefault="00013EB8">
      <w:pPr>
        <w:rPr>
          <w:color w:val="000000"/>
          <w:sz w:val="18"/>
          <w:u w:val="single"/>
        </w:rPr>
      </w:pPr>
    </w:p>
    <w:p w:rsidR="00013EB8" w:rsidRDefault="00013EB8">
      <w:pPr>
        <w:rPr>
          <w:color w:val="000000"/>
          <w:sz w:val="18"/>
          <w:u w:val="single"/>
        </w:rPr>
      </w:pPr>
    </w:p>
    <w:p w:rsidR="00CD0080" w:rsidRDefault="00CD0080">
      <w:pPr>
        <w:numPr>
          <w:ilvl w:val="12"/>
          <w:numId w:val="0"/>
        </w:numPr>
        <w:pBdr>
          <w:top w:val="dotted" w:sz="4" w:space="1" w:color="auto"/>
        </w:pBdr>
        <w:jc w:val="both"/>
        <w:rPr>
          <w:b/>
          <w:bCs/>
          <w:sz w:val="18"/>
          <w:u w:val="single"/>
        </w:rPr>
      </w:pPr>
    </w:p>
    <w:p w:rsidR="00013EB8" w:rsidRPr="00CD0080" w:rsidRDefault="00CD0080">
      <w:pPr>
        <w:numPr>
          <w:ilvl w:val="12"/>
          <w:numId w:val="0"/>
        </w:numPr>
        <w:pBdr>
          <w:top w:val="dotted" w:sz="4" w:space="1" w:color="auto"/>
        </w:pBdr>
        <w:jc w:val="both"/>
        <w:rPr>
          <w:b/>
          <w:bCs/>
          <w:u w:val="single"/>
        </w:rPr>
      </w:pPr>
      <w:r w:rsidRPr="00CD0080">
        <w:rPr>
          <w:b/>
          <w:bCs/>
          <w:u w:val="single"/>
        </w:rPr>
        <w:t>S</w:t>
      </w:r>
      <w:r w:rsidR="00013EB8" w:rsidRPr="00CD0080">
        <w:rPr>
          <w:b/>
          <w:bCs/>
          <w:u w:val="single"/>
        </w:rPr>
        <w:t>ECONDARY SERVICE CONNECTION</w:t>
      </w:r>
    </w:p>
    <w:p w:rsidR="00013EB8" w:rsidRDefault="00013EB8">
      <w:pPr>
        <w:numPr>
          <w:ilvl w:val="12"/>
          <w:numId w:val="0"/>
        </w:numPr>
        <w:jc w:val="both"/>
        <w:rPr>
          <w:sz w:val="18"/>
          <w:u w:val="single"/>
        </w:rPr>
      </w:pPr>
    </w:p>
    <w:p w:rsidR="00013EB8" w:rsidRDefault="00013EB8">
      <w:pPr>
        <w:ind w:left="4320" w:firstLine="720"/>
        <w:rPr>
          <w:b/>
          <w:bCs/>
          <w:color w:val="000000"/>
          <w:sz w:val="18"/>
        </w:rPr>
      </w:pPr>
      <w:r>
        <w:rPr>
          <w:b/>
          <w:bCs/>
          <w:color w:val="000000"/>
          <w:sz w:val="18"/>
        </w:rPr>
        <w:t>Effective Date</w:t>
      </w:r>
    </w:p>
    <w:p w:rsidR="00013EB8" w:rsidRDefault="00013EB8">
      <w:pPr>
        <w:ind w:left="4320" w:firstLine="720"/>
        <w:rPr>
          <w:color w:val="000000"/>
          <w:sz w:val="18"/>
        </w:rPr>
      </w:pPr>
      <w:r>
        <w:rPr>
          <w:color w:val="000000"/>
          <w:sz w:val="18"/>
        </w:rPr>
        <w:t>(General Rule Applies)</w:t>
      </w:r>
    </w:p>
    <w:p w:rsidR="00013EB8" w:rsidRDefault="00562F54">
      <w:pPr>
        <w:ind w:left="4320" w:firstLine="720"/>
        <w:rPr>
          <w:color w:val="000000"/>
          <w:sz w:val="18"/>
        </w:rPr>
      </w:pPr>
      <w:r>
        <w:rPr>
          <w:b/>
          <w:bCs/>
          <w:noProof/>
          <w:sz w:val="18"/>
        </w:rPr>
        <mc:AlternateContent>
          <mc:Choice Requires="wps">
            <w:drawing>
              <wp:anchor distT="0" distB="0" distL="114300" distR="114300" simplePos="0" relativeHeight="251684352" behindDoc="0" locked="0" layoutInCell="1" allowOverlap="1" wp14:anchorId="4A6C6D0A" wp14:editId="3C9FE343">
                <wp:simplePos x="0" y="0"/>
                <wp:positionH relativeFrom="column">
                  <wp:posOffset>3747135</wp:posOffset>
                </wp:positionH>
                <wp:positionV relativeFrom="paragraph">
                  <wp:posOffset>140970</wp:posOffset>
                </wp:positionV>
                <wp:extent cx="0" cy="457200"/>
                <wp:effectExtent l="0" t="0" r="0" b="0"/>
                <wp:wrapNone/>
                <wp:docPr id="64" name="Line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D4232C" id="Line 354" o:spid="_x0000_s1026" style="position:absolute;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05pt,11.1pt" to="295.05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TSeEgIAACoEAAAOAAAAZHJzL2Uyb0RvYy54bWysU8GO2jAQvVfqP1i+QxI2sBARVhWBXrZd&#10;pN1+gLEdYtWxLdsQUNV/79gJaGkvVdUcnLE98+bNvPHy6dxKdOLWCa1KnI1TjLiimgl1KPG3t+1o&#10;jpHzRDEiteIlvnCHn1YfPyw7U/CJbrRk3CIAUa7oTIkb702RJI42vCVurA1XcFlr2xIPW3tImCUd&#10;oLcymaTpLOm0ZcZqyp2D06q/xKuIX9ec+pe6dtwjWWLg5uNq47oPa7JakuJgiWkEHWiQf2DREqEg&#10;6Q2qIp6goxV/QLWCWu107cdUt4mua0F5rAGqydLfqnltiOGxFmiOM7c2uf8HS7+edhYJVuJZjpEi&#10;LWj0LBRHD9M8NKczrgCftdrZUB49q1fzrOl3h5ReN0QdeCT5djEQmIWI5C4kbJyBFPvui2bgQ45e&#10;x06da9sGSOgBOkdBLjdB+Nkj2h9SOM2nj6B1BCfFNc5Y5z9z3aJglFgC6YhLTs/OBx6kuLqENEpv&#10;hZRRbqlQV+LFdDKNAU5LwcJlcHP2sF9Li04kDEz8hrx3blYfFYtgDSdsM9ieCNnbkFyqgAeVAJ3B&#10;6ifixyJdbOabeT7KJ7PNKE+ravRpu85Hs232OK0eqvW6yn4GalleNIIxrgK763Rm+d+pP7yTfq5u&#10;83lrQ3KPHvsFZK//SDpKGdTr52Cv2WVnrxLDQEbn4fGEiX+/B/v9E1/9AgAA//8DAFBLAwQUAAYA&#10;CAAAACEANx+GLd0AAAAJAQAADwAAAGRycy9kb3ducmV2LnhtbEyPTU/DMAyG70j8h8hIXCaWLnyI&#10;lboTAnrjwgBx9RrTVjRO12Rb4dcTxAGOth+9ft5iNble7XkMnReExTwDxVJ720mD8PJcnV2DCpHE&#10;Uu+FET45wKo8Pioot/4gT7xfx0alEAk5IbQxDrnWoW7ZUZj7gSXd3v3oKKZxbLQd6ZDCXa9Nll1p&#10;R52kDy0NfNdy/bHeOYRQvfK2+prVs+ztvPFstvePD4R4ejLd3oCKPMU/GH70kzqUyWnjd2KD6hEu&#10;l9kioQjGGFAJ+F1sEJYXBnRZ6P8Nym8AAAD//wMAUEsBAi0AFAAGAAgAAAAhALaDOJL+AAAA4QEA&#10;ABMAAAAAAAAAAAAAAAAAAAAAAFtDb250ZW50X1R5cGVzXS54bWxQSwECLQAUAAYACAAAACEAOP0h&#10;/9YAAACUAQAACwAAAAAAAAAAAAAAAAAvAQAAX3JlbHMvLnJlbHNQSwECLQAUAAYACAAAACEA2G00&#10;nhICAAAqBAAADgAAAAAAAAAAAAAAAAAuAgAAZHJzL2Uyb0RvYy54bWxQSwECLQAUAAYACAAAACEA&#10;Nx+GLd0AAAAJAQAADwAAAAAAAAAAAAAAAABsBAAAZHJzL2Rvd25yZXYueG1sUEsFBgAAAAAEAAQA&#10;8wAAAHYFAAAAAA==&#10;"/>
            </w:pict>
          </mc:Fallback>
        </mc:AlternateContent>
      </w:r>
      <w:r w:rsidR="00CD0080">
        <w:rPr>
          <w:b/>
          <w:bCs/>
          <w:color w:val="000000"/>
          <w:sz w:val="18"/>
        </w:rPr>
        <w:t>03/27/13</w:t>
      </w:r>
    </w:p>
    <w:p w:rsidR="00013EB8" w:rsidRDefault="00013EB8">
      <w:pPr>
        <w:rPr>
          <w:color w:val="000000"/>
          <w:sz w:val="18"/>
        </w:rPr>
      </w:pPr>
    </w:p>
    <w:p w:rsidR="00013EB8" w:rsidRDefault="00562F54">
      <w:pPr>
        <w:rPr>
          <w:color w:val="000000"/>
          <w:sz w:val="18"/>
        </w:rPr>
      </w:pPr>
      <w:r>
        <w:rPr>
          <w:noProof/>
          <w:sz w:val="18"/>
        </w:rPr>
        <mc:AlternateContent>
          <mc:Choice Requires="wps">
            <w:drawing>
              <wp:anchor distT="0" distB="0" distL="114300" distR="114300" simplePos="0" relativeHeight="251683328" behindDoc="0" locked="0" layoutInCell="1" allowOverlap="1" wp14:anchorId="5CDE57E1" wp14:editId="58DE4B12">
                <wp:simplePos x="0" y="0"/>
                <wp:positionH relativeFrom="column">
                  <wp:posOffset>5423535</wp:posOffset>
                </wp:positionH>
                <wp:positionV relativeFrom="paragraph">
                  <wp:posOffset>71120</wp:posOffset>
                </wp:positionV>
                <wp:extent cx="0" cy="228600"/>
                <wp:effectExtent l="0" t="0" r="0" b="0"/>
                <wp:wrapNone/>
                <wp:docPr id="63" name="Line 3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771836" id="Line 353" o:spid="_x0000_s1026" style="position:absolute;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7.05pt,5.6pt" to="427.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C7JFQIAACoEAAAOAAAAZHJzL2Uyb0RvYy54bWysU8uu2yAQ3VfqPyD2iR95NLHiXFV20s1t&#10;G+nefgABHKNiQEDiRFX/vQNOotx2U1X1Ag8wc+bMnGH1dO4kOnHrhFYlzsYpRlxRzYQ6lPjb63a0&#10;wMh5ohiRWvESX7jDT+v371a9KXiuWy0ZtwhAlCt6U+LWe1MkiaMt74gba8MVXDbadsTD1h4SZkkP&#10;6J1M8jSdJ722zFhNuXNwWg+XeB3xm4ZT/7VpHPdIlhi4+bjauO7DmqxXpDhYYlpBrzTIP7DoiFCQ&#10;9A5VE0/Q0Yo/oDpBrXa68WOqu0Q3jaA81gDVZOlv1by0xPBYCzTHmXub3P+DpV9OO4sEK/F8gpEi&#10;HWj0LBRHk9kkNKc3rgCfSu1sKI+e1Yt51vS7Q0pXLVEHHkm+XgwEZiEieRMSNs5Ain3/WTPwIUev&#10;Y6fOje0CJPQAnaMgl7sg/OwRHQ4pnOb5Yp5GrRJS3OKMdf4T1x0KRoklkI645PTsfOBBiptLSKP0&#10;VkgZ5ZYK9SVezvJZDHBaChYug5uzh30lLTqRMDDxi0XBzaOb1UfFIljLCdtcbU+EHGxILlXAg0qA&#10;ztUaJuLHMl1uFpvFdDTN55vRNK3r0cdtNR3Nt9mHWT2pq6rOfgZq2bRoBWNcBXa36cymf6f+9Z0M&#10;c3Wfz3sbkrfosV9A9vaPpKOUQb1hDvaaXXb2JjEMZHS+Pp4w8Y97sB+f+PoXAAAA//8DAFBLAwQU&#10;AAYACAAAACEAeaVzUtwAAAAJAQAADwAAAGRycy9kb3ducmV2LnhtbEyPwU7DMAyG70i8Q2QkLhNL&#10;WwZMpemEgN64bIC4eo1pKxqna7Kt8PQYcYCj/X/6/blYTa5XBxpD59lAOk9AEdfedtwYeHmuLpag&#10;QkS22HsmA58UYFWenhSYW3/kNR02sVFSwiFHA22MQ651qFtyGOZ+IJbs3Y8Oo4xjo+2IRyl3vc6S&#10;5Fo77FgutDjQfUv1x2bvDITqlXbV16yeJW+Xjads9/D0iMacn013t6AiTfEPhh99UYdSnLZ+zzao&#10;3sDyapEKKkGagRLgd7E1sLjJQJeF/v9B+Q0AAP//AwBQSwECLQAUAAYACAAAACEAtoM4kv4AAADh&#10;AQAAEwAAAAAAAAAAAAAAAAAAAAAAW0NvbnRlbnRfVHlwZXNdLnhtbFBLAQItABQABgAIAAAAIQA4&#10;/SH/1gAAAJQBAAALAAAAAAAAAAAAAAAAAC8BAABfcmVscy8ucmVsc1BLAQItABQABgAIAAAAIQCq&#10;CC7JFQIAACoEAAAOAAAAAAAAAAAAAAAAAC4CAABkcnMvZTJvRG9jLnhtbFBLAQItABQABgAIAAAA&#10;IQB5pXNS3AAAAAkBAAAPAAAAAAAAAAAAAAAAAG8EAABkcnMvZG93bnJldi54bWxQSwUGAAAAAAQA&#10;BADzAAAAeAUAAAAA&#10;"/>
            </w:pict>
          </mc:Fallback>
        </mc:AlternateContent>
      </w:r>
      <w:r>
        <w:rPr>
          <w:noProof/>
          <w:sz w:val="18"/>
        </w:rPr>
        <mc:AlternateContent>
          <mc:Choice Requires="wps">
            <w:drawing>
              <wp:anchor distT="0" distB="0" distL="114300" distR="114300" simplePos="0" relativeHeight="251685376" behindDoc="0" locked="0" layoutInCell="1" allowOverlap="1" wp14:anchorId="62F2E6CD" wp14:editId="1B8D2A94">
                <wp:simplePos x="0" y="0"/>
                <wp:positionH relativeFrom="column">
                  <wp:posOffset>1994535</wp:posOffset>
                </wp:positionH>
                <wp:positionV relativeFrom="paragraph">
                  <wp:posOffset>71120</wp:posOffset>
                </wp:positionV>
                <wp:extent cx="0" cy="228600"/>
                <wp:effectExtent l="0" t="0" r="0" b="0"/>
                <wp:wrapNone/>
                <wp:docPr id="62" name="Line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7EF72B" id="Line 355" o:spid="_x0000_s1026" style="position:absolute;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05pt,5.6pt" to="157.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Bg6FAIAACoEAAAOAAAAZHJzL2Uyb0RvYy54bWysU02P2jAQvVfqf7B8h3wsUIgIqyqBXmiL&#10;tNsfYGyHWHVsyzYEVPW/d+wAYttLVTUHZ2zPvHkzb7x8PncSnbh1QqsSZ+MUI66oZkIdSvztdTOa&#10;Y+Q8UYxIrXiJL9zh59X7d8veFDzXrZaMWwQgyhW9KXHrvSmSxNGWd8SNteEKLhttO+Jhaw8Js6QH&#10;9E4meZrOkl5bZqym3Dk4rYdLvIr4TcOp/9o0jnskSwzcfFxtXPdhTVZLUhwsMa2gVxrkH1h0RChI&#10;eoeqiSfoaMUfUJ2gVjvd+DHVXaKbRlAea4BqsvS3al5aYnisBZrjzL1N7v/B0i+nnUWClXiWY6RI&#10;BxptheLoaToNzemNK8CnUjsbyqNn9WK2mn53SOmqJerAI8nXi4HALEQkb0LCxhlIse8/awY+5Oh1&#10;7NS5sV2AhB6gcxTkcheEnz2iwyGF0zyfz9KoVUKKW5yxzn/iukPBKLEE0hGXnLbOBx6kuLmENEpv&#10;hJRRbqlQX+LFNJ/GAKelYOEyuDl72FfSohMJAxO/WBTcPLpZfVQsgrWcsPXV9kTIwYbkUgU8qATo&#10;XK1hIn4s0sV6vp5PRpN8th5N0roefdxUk9Fsk32Y1k91VdXZz0AtmxStYIyrwO42ndnk79S/vpNh&#10;ru7zeW9D8hY99gvI3v6RdJQyqDfMwV6zy87eJIaBjM7XxxMm/nEP9uMTX/0CAAD//wMAUEsDBBQA&#10;BgAIAAAAIQC53jwb3AAAAAkBAAAPAAAAZHJzL2Rvd25yZXYueG1sTI/BTsMwDIbvSLxDZCQuE0vb&#10;TQyVphMCeuPCYOLqNaataJyuybbC02PEAY72/+n352I9uV4daQydZwPpPAFFXHvbcWPg9aW6ugEV&#10;IrLF3jMZ+KQA6/L8rMDc+hM/03ETGyUlHHI00MY45FqHuiWHYe4HYsne/egwyjg22o54knLX6yxJ&#10;rrXDjuVCiwPdt1R/bA7OQKi2tK++ZvUseVs0nrL9w9MjGnN5Md3dgoo0xT8YfvRFHUpx2vkD26B6&#10;A4t0mQoqQZqBEuB3sTOwXGWgy0L//6D8BgAA//8DAFBLAQItABQABgAIAAAAIQC2gziS/gAAAOEB&#10;AAATAAAAAAAAAAAAAAAAAAAAAABbQ29udGVudF9UeXBlc10ueG1sUEsBAi0AFAAGAAgAAAAhADj9&#10;If/WAAAAlAEAAAsAAAAAAAAAAAAAAAAALwEAAF9yZWxzLy5yZWxzUEsBAi0AFAAGAAgAAAAhAIRA&#10;GDoUAgAAKgQAAA4AAAAAAAAAAAAAAAAALgIAAGRycy9lMm9Eb2MueG1sUEsBAi0AFAAGAAgAAAAh&#10;ALnePBvcAAAACQEAAA8AAAAAAAAAAAAAAAAAbgQAAGRycy9kb3ducmV2LnhtbFBLBQYAAAAABAAE&#10;APMAAAB3BQAAAAA=&#10;"/>
            </w:pict>
          </mc:Fallback>
        </mc:AlternateContent>
      </w:r>
      <w:r>
        <w:rPr>
          <w:noProof/>
          <w:sz w:val="18"/>
        </w:rPr>
        <mc:AlternateContent>
          <mc:Choice Requires="wps">
            <w:drawing>
              <wp:anchor distT="0" distB="0" distL="114300" distR="114300" simplePos="0" relativeHeight="251681280" behindDoc="0" locked="0" layoutInCell="1" allowOverlap="1" wp14:anchorId="11A73D05" wp14:editId="57DCA6B5">
                <wp:simplePos x="0" y="0"/>
                <wp:positionH relativeFrom="column">
                  <wp:posOffset>89535</wp:posOffset>
                </wp:positionH>
                <wp:positionV relativeFrom="paragraph">
                  <wp:posOffset>74295</wp:posOffset>
                </wp:positionV>
                <wp:extent cx="0" cy="228600"/>
                <wp:effectExtent l="0" t="0" r="0" b="0"/>
                <wp:wrapNone/>
                <wp:docPr id="61" name="Line 3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8BB5DD" id="Line 351" o:spid="_x0000_s1026" style="position:absolute;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5.85pt" to="7.05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n2NFQIAACoEAAAOAAAAZHJzL2Uyb0RvYy54bWysU8uu2jAQ3VfqP1jeQx4XKESEqyqBbmiL&#10;dG8/wNgOserYlm0IqOq/d+wALe2mqpqF48eZ4zNzxsvncyfRiVsntCpxNk4x4opqJtShxF9eN6M5&#10;Rs4TxYjUipf4wh1+Xr19s+xNwXPdasm4RUCiXNGbErfemyJJHG15R9xYG67gsNG2Ix6W9pAwS3pg&#10;72SSp+ks6bVlxmrKnYPdejjEq8jfNJz6z03juEeyxKDNx9HGcR/GZLUkxcES0wp6lUH+QUVHhIJL&#10;71Q18QQdrfiDqhPUaqcbP6a6S3TTCMpjDpBNlv6WzUtLDI+5QHGcuZfJ/T9a+um0s0iwEs8yjBTp&#10;wKOtUBw9TbNQnN64AjCV2tmQHj2rF7PV9KtDSlctUQceRb5eDATGiOQhJCycgSv2/UfNAEOOXsdK&#10;nRvbBUqoATpHQy53Q/jZIzpsUtjN8/ksjV4lpLjFGev8B647FCYlliA68pLT1nlQDtAbJFyj9EZI&#10;Ge2WCvUlXkzzaQxwWgoWDgPM2cO+khadSGiY+IUyANkDzOqjYpGs5YStr3NPhBzmgJcq8EEmIOc6&#10;Gzri2yJdrOfr+WQ0yWfr0SSt69H7TTUZzTbZu2n9VFdVnX0P0rJJ0QrGuArqbt2ZTf7O/es7Gfrq&#10;3p/3MiSP7DFFEHv7R9HRyuDe0Ad7zS47G6oRXIWGjODr4wkd/+s6on4+8dUPAAAA//8DAFBLAwQU&#10;AAYACAAAACEAma30q9oAAAAHAQAADwAAAGRycy9kb3ducmV2LnhtbEyOQU+DQBCF7yb+h82YeGns&#10;Qm3EIEtjVG5erBqvU3YEIjtL2W2L/nqHk54mX97Lm6/YTK5XRxpD59lAukxAEdfedtwYeHutrm5B&#10;hYhssfdMBr4pwKY8Pyswt/7EL3TcxkbJCIccDbQxDrnWoW7JYVj6gViyTz86jIJjo+2IJxl3vV4l&#10;yY122LF8aHGgh5bqr+3BGQjVO+2rn0W9SD6uG0+r/ePzExpzeTHd34GKNMW/Msz6og6lOO38gW1Q&#10;vfA6labcNAM15zPvDKyzDHRZ6P/+5S8AAAD//wMAUEsBAi0AFAAGAAgAAAAhALaDOJL+AAAA4QEA&#10;ABMAAAAAAAAAAAAAAAAAAAAAAFtDb250ZW50X1R5cGVzXS54bWxQSwECLQAUAAYACAAAACEAOP0h&#10;/9YAAACUAQAACwAAAAAAAAAAAAAAAAAvAQAAX3JlbHMvLnJlbHNQSwECLQAUAAYACAAAACEAck59&#10;jRUCAAAqBAAADgAAAAAAAAAAAAAAAAAuAgAAZHJzL2Uyb0RvYy54bWxQSwECLQAUAAYACAAAACEA&#10;ma30q9oAAAAHAQAADwAAAAAAAAAAAAAAAABvBAAAZHJzL2Rvd25yZXYueG1sUEsFBgAAAAAEAAQA&#10;8wAAAHYFAAAAAA==&#10;"/>
            </w:pict>
          </mc:Fallback>
        </mc:AlternateContent>
      </w:r>
      <w:r>
        <w:rPr>
          <w:noProof/>
          <w:sz w:val="18"/>
        </w:rPr>
        <mc:AlternateContent>
          <mc:Choice Requires="wps">
            <w:drawing>
              <wp:anchor distT="0" distB="0" distL="114300" distR="114300" simplePos="0" relativeHeight="251682304" behindDoc="0" locked="0" layoutInCell="1" allowOverlap="1" wp14:anchorId="46F448F1" wp14:editId="249F2191">
                <wp:simplePos x="0" y="0"/>
                <wp:positionH relativeFrom="column">
                  <wp:posOffset>-139065</wp:posOffset>
                </wp:positionH>
                <wp:positionV relativeFrom="paragraph">
                  <wp:posOffset>74295</wp:posOffset>
                </wp:positionV>
                <wp:extent cx="5791200" cy="0"/>
                <wp:effectExtent l="0" t="0" r="0" b="0"/>
                <wp:wrapNone/>
                <wp:docPr id="60" name="Line 3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F80DF2" id="Line 352" o:spid="_x0000_s1026" style="position:absolute;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5pt,5.85pt" to="445.0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2o0FQ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zaI8i&#10;HWj0LBRHD9NJaE5vXAExldraUB49qVfzrOl3h5SuWqL2PJJ8OxtIzEJG8i4lbJyBK3b9F80ghhy8&#10;jp06NbYLkNADdIqCnG+C8JNHFA6nj4sMVMaIDr6EFEOisc5/5rpDwSixBNYRmByfnQ9ESDGEhHuU&#10;3ggpo95Sob7Ei+lkGhOcloIFZwhzdr+rpEVHEiYmfrEq8NyHWX1QLIK1nLD11fZEyIsNl0sV8KAU&#10;oHO1LiPxY5Eu1vP1PB/lk9l6lKd1Pfq0qfLRbJM9TuuHuqrq7GegluVFKxjjKrAbxjPL/07+60O5&#10;DNZtQG9tSN6jx34B2eEfSUctg3yXQdhpdt7aQWOYyBh8fT1h5O/3YN+/8dUvAAAA//8DAFBLAwQU&#10;AAYACAAAACEAxeYVb90AAAAJAQAADwAAAGRycy9kb3ducmV2LnhtbEyPwU7DMAyG70i8Q2QkLtOW&#10;tkiwlaYTAnrjwgBx9RrTVjRO12Rb4ekx2gGO9v/p9+diPbleHWgMnWcD6SIBRVx723Fj4PWlmi9B&#10;hYhssfdMBr4owLo8Pyswt/7Iz3TYxEZJCYccDbQxDrnWoW7JYVj4gViyDz86jDKOjbYjHqXc9TpL&#10;kmvtsGO50OJA9y3Vn5u9MxCqN9pV37N6lrxfNZ6y3cPTIxpzeTHd3YKKNMU/GH71RR1Kcdr6Pdug&#10;egPzLF0JKkF6A0qA5SpJQW1PC10W+v8H5Q8AAAD//wMAUEsBAi0AFAAGAAgAAAAhALaDOJL+AAAA&#10;4QEAABMAAAAAAAAAAAAAAAAAAAAAAFtDb250ZW50X1R5cGVzXS54bWxQSwECLQAUAAYACAAAACEA&#10;OP0h/9YAAACUAQAACwAAAAAAAAAAAAAAAAAvAQAAX3JlbHMvLnJlbHNQSwECLQAUAAYACAAAACEA&#10;GzdqNBUCAAArBAAADgAAAAAAAAAAAAAAAAAuAgAAZHJzL2Uyb0RvYy54bWxQSwECLQAUAAYACAAA&#10;ACEAxeYVb90AAAAJAQAADwAAAAAAAAAAAAAAAABvBAAAZHJzL2Rvd25yZXYueG1sUEsFBgAAAAAE&#10;AAQA8wAAAHkFA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013EB8">
      <w:pPr>
        <w:ind w:right="-270"/>
        <w:rPr>
          <w:color w:val="000000"/>
          <w:sz w:val="18"/>
        </w:rPr>
      </w:pPr>
      <w:r>
        <w:rPr>
          <w:color w:val="000000"/>
          <w:sz w:val="18"/>
        </w:rPr>
        <w:t>SC Established</w:t>
      </w:r>
      <w:r>
        <w:rPr>
          <w:color w:val="000000"/>
          <w:sz w:val="18"/>
        </w:rPr>
        <w:tab/>
      </w:r>
      <w:r>
        <w:rPr>
          <w:color w:val="000000"/>
          <w:sz w:val="18"/>
        </w:rPr>
        <w:tab/>
      </w:r>
      <w:r>
        <w:rPr>
          <w:color w:val="000000"/>
          <w:sz w:val="18"/>
        </w:rPr>
        <w:tab/>
        <w:t>Additional</w:t>
      </w:r>
      <w:r>
        <w:rPr>
          <w:color w:val="000000"/>
          <w:sz w:val="18"/>
        </w:rPr>
        <w:tab/>
      </w:r>
      <w:r>
        <w:rPr>
          <w:color w:val="000000"/>
          <w:sz w:val="18"/>
        </w:rPr>
        <w:tab/>
        <w:t>Date of Claim for</w:t>
      </w:r>
      <w:r>
        <w:rPr>
          <w:color w:val="000000"/>
          <w:sz w:val="18"/>
        </w:rPr>
        <w:tab/>
      </w:r>
      <w:r>
        <w:rPr>
          <w:color w:val="000000"/>
          <w:sz w:val="18"/>
        </w:rPr>
        <w:tab/>
        <w:t>VA Medical Opinion of Causal</w:t>
      </w:r>
    </w:p>
    <w:p w:rsidR="00013EB8" w:rsidRDefault="00013EB8">
      <w:pPr>
        <w:ind w:right="-270"/>
        <w:rPr>
          <w:color w:val="000000"/>
          <w:sz w:val="18"/>
        </w:rPr>
      </w:pPr>
      <w:r>
        <w:rPr>
          <w:color w:val="000000"/>
          <w:sz w:val="18"/>
        </w:rPr>
        <w:t>For Primary Disability</w:t>
      </w:r>
      <w:r>
        <w:rPr>
          <w:color w:val="000000"/>
          <w:sz w:val="18"/>
        </w:rPr>
        <w:tab/>
      </w:r>
      <w:r>
        <w:rPr>
          <w:color w:val="000000"/>
          <w:sz w:val="18"/>
        </w:rPr>
        <w:tab/>
        <w:t>Disability</w:t>
      </w:r>
      <w:r>
        <w:rPr>
          <w:color w:val="000000"/>
          <w:sz w:val="18"/>
        </w:rPr>
        <w:tab/>
      </w:r>
      <w:r>
        <w:rPr>
          <w:color w:val="000000"/>
          <w:sz w:val="18"/>
        </w:rPr>
        <w:tab/>
        <w:t>Secondary SC</w:t>
      </w:r>
      <w:r>
        <w:rPr>
          <w:color w:val="000000"/>
          <w:sz w:val="18"/>
        </w:rPr>
        <w:tab/>
      </w:r>
      <w:r>
        <w:rPr>
          <w:color w:val="000000"/>
          <w:sz w:val="18"/>
        </w:rPr>
        <w:tab/>
        <w:t>Relationship Between Disabilities</w:t>
      </w:r>
    </w:p>
    <w:p w:rsidR="00013EB8" w:rsidRDefault="00CD0080">
      <w:pPr>
        <w:ind w:right="-270"/>
        <w:rPr>
          <w:color w:val="000000"/>
          <w:sz w:val="18"/>
        </w:rPr>
      </w:pPr>
      <w:r>
        <w:rPr>
          <w:color w:val="000000"/>
          <w:sz w:val="18"/>
        </w:rPr>
        <w:t>11/22/99</w:t>
      </w:r>
      <w:r>
        <w:rPr>
          <w:color w:val="000000"/>
          <w:sz w:val="18"/>
        </w:rPr>
        <w:tab/>
      </w:r>
      <w:r>
        <w:rPr>
          <w:color w:val="000000"/>
          <w:sz w:val="18"/>
        </w:rPr>
        <w:tab/>
      </w:r>
      <w:r>
        <w:rPr>
          <w:color w:val="000000"/>
          <w:sz w:val="18"/>
        </w:rPr>
        <w:tab/>
      </w:r>
      <w:r>
        <w:rPr>
          <w:color w:val="000000"/>
          <w:sz w:val="18"/>
        </w:rPr>
        <w:tab/>
        <w:t>Diagnosed</w:t>
      </w:r>
      <w:r>
        <w:rPr>
          <w:color w:val="000000"/>
          <w:sz w:val="18"/>
        </w:rPr>
        <w:tab/>
      </w:r>
      <w:r>
        <w:rPr>
          <w:color w:val="000000"/>
          <w:sz w:val="18"/>
        </w:rPr>
        <w:tab/>
        <w:t>03/27/13</w:t>
      </w:r>
      <w:r>
        <w:rPr>
          <w:color w:val="000000"/>
          <w:sz w:val="18"/>
        </w:rPr>
        <w:tab/>
      </w:r>
      <w:r>
        <w:rPr>
          <w:color w:val="000000"/>
          <w:sz w:val="18"/>
        </w:rPr>
        <w:tab/>
      </w:r>
      <w:r>
        <w:rPr>
          <w:color w:val="000000"/>
          <w:sz w:val="18"/>
        </w:rPr>
        <w:tab/>
        <w:t>09/22/13</w:t>
      </w:r>
    </w:p>
    <w:p w:rsidR="00013EB8" w:rsidRDefault="00013EB8">
      <w:pPr>
        <w:rPr>
          <w:color w:val="000000"/>
          <w:sz w:val="18"/>
          <w:u w:val="single"/>
        </w:rPr>
      </w:pPr>
      <w:r>
        <w:rPr>
          <w:color w:val="000000"/>
          <w:sz w:val="18"/>
        </w:rPr>
        <w:tab/>
      </w:r>
      <w:r>
        <w:rPr>
          <w:color w:val="000000"/>
          <w:sz w:val="18"/>
        </w:rPr>
        <w:tab/>
      </w:r>
      <w:r>
        <w:rPr>
          <w:color w:val="000000"/>
          <w:sz w:val="18"/>
        </w:rPr>
        <w:tab/>
      </w:r>
      <w:r>
        <w:rPr>
          <w:color w:val="000000"/>
          <w:sz w:val="18"/>
        </w:rPr>
        <w:tab/>
        <w:t>08/20/03</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p>
    <w:p w:rsidR="00013EB8" w:rsidRDefault="00013EB8">
      <w:pPr>
        <w:numPr>
          <w:ilvl w:val="12"/>
          <w:numId w:val="0"/>
        </w:numPr>
        <w:jc w:val="both"/>
        <w:rPr>
          <w:sz w:val="18"/>
          <w:u w:val="single"/>
        </w:rPr>
      </w:pPr>
    </w:p>
    <w:p w:rsidR="00013EB8" w:rsidRDefault="00013EB8">
      <w:pPr>
        <w:numPr>
          <w:ilvl w:val="12"/>
          <w:numId w:val="0"/>
        </w:numPr>
        <w:jc w:val="both"/>
        <w:rPr>
          <w:sz w:val="18"/>
          <w:u w:val="single"/>
        </w:rPr>
      </w:pPr>
    </w:p>
    <w:p w:rsidR="00CD0080" w:rsidRDefault="00CD0080">
      <w:pPr>
        <w:numPr>
          <w:ilvl w:val="12"/>
          <w:numId w:val="0"/>
        </w:numPr>
        <w:pBdr>
          <w:top w:val="dotted" w:sz="4" w:space="1" w:color="auto"/>
        </w:pBdr>
        <w:jc w:val="both"/>
        <w:rPr>
          <w:b/>
          <w:bCs/>
          <w:sz w:val="18"/>
          <w:u w:val="single"/>
        </w:rPr>
      </w:pPr>
    </w:p>
    <w:p w:rsidR="00013EB8" w:rsidRPr="00CD0080" w:rsidRDefault="00013EB8">
      <w:pPr>
        <w:numPr>
          <w:ilvl w:val="12"/>
          <w:numId w:val="0"/>
        </w:numPr>
        <w:pBdr>
          <w:top w:val="dotted" w:sz="4" w:space="1" w:color="auto"/>
        </w:pBdr>
        <w:jc w:val="both"/>
        <w:rPr>
          <w:b/>
          <w:bCs/>
          <w:u w:val="single"/>
        </w:rPr>
      </w:pPr>
      <w:r w:rsidRPr="00CD0080">
        <w:rPr>
          <w:b/>
          <w:bCs/>
          <w:u w:val="single"/>
        </w:rPr>
        <w:t>REOPENED CLAIMS BASED ON NEW AND MATERIAL EVIDENCE</w:t>
      </w:r>
    </w:p>
    <w:p w:rsidR="00013EB8" w:rsidRDefault="00013EB8">
      <w:pPr>
        <w:numPr>
          <w:ilvl w:val="12"/>
          <w:numId w:val="0"/>
        </w:numPr>
        <w:jc w:val="both"/>
        <w:rPr>
          <w:sz w:val="18"/>
          <w:u w:val="single"/>
        </w:rPr>
      </w:pPr>
    </w:p>
    <w:p w:rsidR="00013EB8" w:rsidRDefault="00013EB8">
      <w:pPr>
        <w:numPr>
          <w:ilvl w:val="12"/>
          <w:numId w:val="0"/>
        </w:numPr>
        <w:jc w:val="both"/>
        <w:rPr>
          <w:i/>
          <w:iCs/>
          <w:sz w:val="18"/>
        </w:rPr>
      </w:pPr>
      <w:r>
        <w:rPr>
          <w:i/>
          <w:iCs/>
          <w:sz w:val="18"/>
        </w:rPr>
        <w:t>Claim Received With N&amp;M Evidence Other Than Service Department Records:</w:t>
      </w:r>
    </w:p>
    <w:p w:rsidR="00013EB8" w:rsidRDefault="00013EB8">
      <w:pPr>
        <w:numPr>
          <w:ilvl w:val="12"/>
          <w:numId w:val="0"/>
        </w:numPr>
        <w:jc w:val="both"/>
        <w:rPr>
          <w:sz w:val="18"/>
          <w:u w:val="single"/>
        </w:rPr>
      </w:pPr>
    </w:p>
    <w:p w:rsidR="00013EB8" w:rsidRDefault="00013EB8">
      <w:pPr>
        <w:ind w:left="4320" w:firstLine="720"/>
        <w:rPr>
          <w:b/>
          <w:bCs/>
          <w:color w:val="000000"/>
          <w:sz w:val="18"/>
        </w:rPr>
      </w:pPr>
      <w:r>
        <w:rPr>
          <w:b/>
          <w:bCs/>
          <w:color w:val="000000"/>
          <w:sz w:val="18"/>
        </w:rPr>
        <w:t>Effective Date</w:t>
      </w:r>
    </w:p>
    <w:p w:rsidR="00013EB8" w:rsidRDefault="00013EB8">
      <w:pPr>
        <w:ind w:left="4320" w:firstLine="720"/>
        <w:rPr>
          <w:color w:val="000000"/>
          <w:sz w:val="18"/>
        </w:rPr>
      </w:pPr>
      <w:r>
        <w:rPr>
          <w:color w:val="000000"/>
          <w:sz w:val="18"/>
        </w:rPr>
        <w:t>(receipt of new claim or date entitlement arose, whichever is later)</w:t>
      </w:r>
    </w:p>
    <w:p w:rsidR="00013EB8" w:rsidRDefault="00CD0080">
      <w:pPr>
        <w:ind w:left="4320" w:firstLine="720"/>
        <w:rPr>
          <w:b/>
          <w:bCs/>
          <w:color w:val="000000"/>
          <w:sz w:val="18"/>
        </w:rPr>
      </w:pPr>
      <w:r>
        <w:rPr>
          <w:b/>
          <w:bCs/>
          <w:color w:val="000000"/>
          <w:sz w:val="18"/>
        </w:rPr>
        <w:t>05/06/13</w:t>
      </w:r>
    </w:p>
    <w:p w:rsidR="00013EB8" w:rsidRDefault="00562F54">
      <w:pPr>
        <w:rPr>
          <w:color w:val="000000"/>
          <w:sz w:val="18"/>
        </w:rPr>
      </w:pPr>
      <w:r>
        <w:rPr>
          <w:noProof/>
          <w:sz w:val="18"/>
        </w:rPr>
        <mc:AlternateContent>
          <mc:Choice Requires="wps">
            <w:drawing>
              <wp:anchor distT="0" distB="0" distL="114300" distR="114300" simplePos="0" relativeHeight="251662848" behindDoc="0" locked="0" layoutInCell="1" allowOverlap="1" wp14:anchorId="07D76D41" wp14:editId="6E870537">
                <wp:simplePos x="0" y="0"/>
                <wp:positionH relativeFrom="column">
                  <wp:posOffset>3518535</wp:posOffset>
                </wp:positionH>
                <wp:positionV relativeFrom="paragraph">
                  <wp:posOffset>1270</wp:posOffset>
                </wp:positionV>
                <wp:extent cx="0" cy="457200"/>
                <wp:effectExtent l="0" t="0" r="0" b="0"/>
                <wp:wrapNone/>
                <wp:docPr id="59" name="Line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E57284" id="Line 333"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05pt,.1pt" to="277.05pt,3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1jWEgIAACoEAAAOAAAAZHJzL2Uyb0RvYy54bWysU8GO2jAQvVfqP1i+QwgEFiLCqkqgF9pF&#10;2u0HGNshVh3bsg0BVf33jh1AS3upqubgjO2ZN2/mjZfP51aiE7dOaFXgdDjCiCuqmVCHAn972wzm&#10;GDlPFCNSK17gC3f4efXxw7IzOR/rRkvGLQIQ5fLOFLjx3uRJ4mjDW+KG2nAFl7W2LfGwtYeEWdIB&#10;eiuT8Wg0SzptmbGacufgtOov8Sri1zWn/qWuHfdIFhi4+bjauO7DmqyWJD9YYhpBrzTIP7BoiVCQ&#10;9A5VEU/Q0Yo/oFpBrXa69kOq20TXtaA81gDVpKPfqnltiOGxFmiOM/c2uf8HS7+edhYJVuDpAiNF&#10;WtBoKxRHk8kkNKczLgefUu1sKI+e1avZavrdIaXLhqgDjyTfLgYC0xCRPISEjTOQYt990Qx8yNHr&#10;2KlzbdsACT1A5yjI5S4IP3tE+0MKp9n0CbSO4CS/xRnr/GeuWxSMAksgHXHJaet84EHym0tIo/RG&#10;SBnllgp1BV5Mx9MY4LQULFwGN2cP+1JadCJhYOJ3zfvgZvVRsQjWcMLWV9sTIXsbkksV8KASoHO1&#10;+on4sRgt1vP1PBtk49l6kI2qavBpU2aD2SZ9mlaTqiyr9GeglmZ5IxjjKrC7TWea/Z3613fSz9V9&#10;Pu9tSB7RY7+A7O0fSUcpg3r9HOw1u+zsTWIYyOh8fTxh4t/vwX7/xFe/AAAA//8DAFBLAwQUAAYA&#10;CAAAACEAofl5FdoAAAAHAQAADwAAAGRycy9kb3ducmV2LnhtbEyOwU7DMBBE70j8g7VIXCrq1FBA&#10;IZsKAblxoYC4buMliYjXaey2ga/HiAMcRzN684rV5Hq15zF0XhAW8wwUS+1tJw3Cy3N1dg0qRBJL&#10;vRdG+OQAq/L4qKDc+oM88X4dG5UgEnJCaGMccq1D3bKjMPcDS+re/egopjg22o50SHDXa5Nll9pR&#10;J+mhpYHvWq4/1juHEKpX3lZfs3qWvZ03ns32/vGBEE9PptsbUJGn+DeGH/2kDmVy2vid2KB6hOXy&#10;YpGmCAZUqn/jBuHKGNBlof/7l98AAAD//wMAUEsBAi0AFAAGAAgAAAAhALaDOJL+AAAA4QEAABMA&#10;AAAAAAAAAAAAAAAAAAAAAFtDb250ZW50X1R5cGVzXS54bWxQSwECLQAUAAYACAAAACEAOP0h/9YA&#10;AACUAQAACwAAAAAAAAAAAAAAAAAvAQAAX3JlbHMvLnJlbHNQSwECLQAUAAYACAAAACEA0E9Y1hIC&#10;AAAqBAAADgAAAAAAAAAAAAAAAAAuAgAAZHJzL2Uyb0RvYy54bWxQSwECLQAUAAYACAAAACEAofl5&#10;FdoAAAAHAQAADwAAAAAAAAAAAAAAAABsBAAAZHJzL2Rvd25yZXYueG1sUEsFBgAAAAAEAAQA8wAA&#10;AHMFAAAAAA==&#10;"/>
            </w:pict>
          </mc:Fallback>
        </mc:AlternateContent>
      </w:r>
    </w:p>
    <w:p w:rsidR="00013EB8" w:rsidRDefault="00562F54">
      <w:pPr>
        <w:rPr>
          <w:color w:val="000000"/>
          <w:sz w:val="18"/>
        </w:rPr>
      </w:pPr>
      <w:r>
        <w:rPr>
          <w:noProof/>
          <w:sz w:val="18"/>
        </w:rPr>
        <mc:AlternateContent>
          <mc:Choice Requires="wps">
            <w:drawing>
              <wp:anchor distT="0" distB="0" distL="114300" distR="114300" simplePos="0" relativeHeight="251660800" behindDoc="0" locked="0" layoutInCell="1" allowOverlap="1" wp14:anchorId="4CE00E6F" wp14:editId="4A96911D">
                <wp:simplePos x="0" y="0"/>
                <wp:positionH relativeFrom="column">
                  <wp:posOffset>-190500</wp:posOffset>
                </wp:positionH>
                <wp:positionV relativeFrom="paragraph">
                  <wp:posOffset>57150</wp:posOffset>
                </wp:positionV>
                <wp:extent cx="5791200" cy="0"/>
                <wp:effectExtent l="0" t="0" r="0" b="0"/>
                <wp:wrapNone/>
                <wp:docPr id="58" name="Line 3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01BFDE" id="Line 331"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4.5pt" to="441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mtJFQIAACsEAAAOAAAAZHJzL2Uyb0RvYy54bWysU8uO2jAU3VfqP1jeQxIIDESEUZVAN7SD&#10;NNMPMLZDrDq2ZRsCqvrvvTaPlnZTVc3C8ePc43PvuV48nzqJjtw6oVWJs2GKEVdUM6H2Jf7yth7M&#10;MHKeKEakVrzEZ+7w8/L9u0VvCj7SrZaMWwQkyhW9KXHrvSmSxNGWd8QNteEKDhttO+JhafcJs6QH&#10;9k4mozSdJr22zFhNuXOwW18O8TLyNw2n/qVpHPdIlhi0+TjaOO7CmCwXpNhbYlpBrzLIP6joiFBw&#10;6Z2qJp6ggxV/UHWCWu1044dUd4luGkF5zAGyydLfsnltieExFyiOM/cyuf9HSz8ftxYJVuIJOKVI&#10;Bx5thOJoPM5CcXrjCsBUamtDevSkXs1G068OKV21RO15FPl2NhAYI5KHkLBwBq7Y9Z80Aww5eB0r&#10;dWpsFyihBugUDTnfDeEnjyhsTp7mGbiMEb2dJaS4BRrr/EeuOxQmJZagOhKT48Z5kA7QGyTco/Ra&#10;SBn9lgr1JZ5PRpMY4LQULBwGmLP7XSUtOpLQMfELdQCyB5jVB8UiWcsJW13nngh5mQNeqsAHqYCc&#10;6+zSEt/m6Xw1W83yQT6argZ5WteDD+sqH0zX2dOkHtdVVWffg7QsL1rBGFdB3a09s/zv7L8+lEtj&#10;3Rv0XobkkT2mCGJv/yg6ehnsuzTCTrPz1oZqBFuhIyP4+npCy/+6jqifb3z5AwAA//8DAFBLAwQU&#10;AAYACAAAACEAwu5/ttsAAAAHAQAADwAAAGRycy9kb3ducmV2LnhtbEyPQU/DMAyF70j8h8hIXKYt&#10;pZNQ1zWdENAbFzYQV68xbUXjdE22FX49hguc7KdnPX+v2EyuVycaQ+fZwM0iAUVce9txY+BlV80z&#10;UCEiW+w9k4FPCrApLy8KzK0/8zOdtrFREsIhRwNtjEOudahbchgWfiAW792PDqPIsdF2xLOEu16n&#10;SXKrHXYsH1oc6L6l+mN7dAZC9UqH6mtWz5K3ZeMpPTw8PaIx11fT3RpUpCn+HcMPvqBDKUx7f2Qb&#10;VG9gvkykSzSwkiF+lqWy7H+1Lgv9n7/8BgAA//8DAFBLAQItABQABgAIAAAAIQC2gziS/gAAAOEB&#10;AAATAAAAAAAAAAAAAAAAAAAAAABbQ29udGVudF9UeXBlc10ueG1sUEsBAi0AFAAGAAgAAAAhADj9&#10;If/WAAAAlAEAAAsAAAAAAAAAAAAAAAAALwEAAF9yZWxzLy5yZWxzUEsBAi0AFAAGAAgAAAAhAIZ+&#10;a0kVAgAAKwQAAA4AAAAAAAAAAAAAAAAALgIAAGRycy9lMm9Eb2MueG1sUEsBAi0AFAAGAAgAAAAh&#10;AMLuf7bbAAAABwEAAA8AAAAAAAAAAAAAAAAAbwQAAGRycy9kb3ducmV2LnhtbFBLBQYAAAAABAAE&#10;APMAAAB3BQAAAAA=&#10;"/>
            </w:pict>
          </mc:Fallback>
        </mc:AlternateContent>
      </w:r>
      <w:r>
        <w:rPr>
          <w:noProof/>
          <w:sz w:val="18"/>
        </w:rPr>
        <mc:AlternateContent>
          <mc:Choice Requires="wps">
            <w:drawing>
              <wp:anchor distT="0" distB="0" distL="114300" distR="114300" simplePos="0" relativeHeight="251667968" behindDoc="0" locked="0" layoutInCell="1" allowOverlap="1" wp14:anchorId="0D49E8BE" wp14:editId="67728761">
                <wp:simplePos x="0" y="0"/>
                <wp:positionH relativeFrom="column">
                  <wp:posOffset>1537335</wp:posOffset>
                </wp:positionH>
                <wp:positionV relativeFrom="paragraph">
                  <wp:posOffset>62230</wp:posOffset>
                </wp:positionV>
                <wp:extent cx="0" cy="228600"/>
                <wp:effectExtent l="0" t="0" r="0" b="0"/>
                <wp:wrapNone/>
                <wp:docPr id="57" name="Line 3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99CC17" id="Line 338"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1.05pt,4.9pt" to="121.0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VGrFQIAACoEAAAOAAAAZHJzL2Uyb0RvYy54bWysU02P2jAQvVfqf7B8hyQQWIgIqyqBXmgX&#10;abc/wNgOserYlm0IqOp/79h8iG0vVdUcnLE98+bNvPHi+dRJdOTWCa1KnA1TjLiimgm1L/G3t/Vg&#10;hpHzRDEiteIlPnOHn5cfPyx6U/CRbrVk3CIAUa7oTYlb702RJI62vCNuqA1XcNlo2xEPW7tPmCU9&#10;oHcyGaXpNOm1ZcZqyp2D0/pyiZcRv2k49S9N47hHssTAzcfVxnUX1mS5IMXeEtMKeqVB/oFFR4SC&#10;pHeomniCDlb8AdUJarXTjR9S3SW6aQTlsQaoJkt/q+a1JYbHWqA5ztzb5P4fLP163FokWIknTxgp&#10;0oFGG6E4Go9noTm9cQX4VGprQ3n0pF7NRtPvDildtUTteST5djYQmIWI5F1I2DgDKXb9F83Ahxy8&#10;jp06NbYLkNADdIqCnO+C8JNH9HJI4XQ0mk3TqFVCilucsc5/5rpDwSixBNIRlxw3zgcepLi5hDRK&#10;r4WUUW6pUF/i+WQ0iQFOS8HCZXBzdr+rpEVHEgYmfrEouHl0s/qgWARrOWGrq+2JkBcbkksV8KAS&#10;oHO1LhPxY57OV7PVLB/ko+lqkKd1Pfi0rvLBdJ09TepxXVV19jNQy/KiFYxxFdjdpjPL/0796zu5&#10;zNV9Pu9tSN6jx34B2ds/ko5SBvUuc7DT7Ly1N4lhIKPz9fGEiX/cg/34xJe/AAAA//8DAFBLAwQU&#10;AAYACAAAACEA+1/t8twAAAAIAQAADwAAAGRycy9kb3ducmV2LnhtbEyPwU7DMBBE70j8g7VIXKrW&#10;aShVCdlUCMiNSwuI6zZekoh4ncZuG/h6jDjAcTSjmTf5erSdOvLgWycI81kCiqVyppUa4eW5nK5A&#10;+UBiqHPCCJ/sYV2cn+WUGXeSDR+3oVaxRHxGCE0Ifaa1rxq25GeuZ4neuxsshSiHWpuBTrHcdjpN&#10;kqW21EpcaKjn+4arj+3BIvjylffl16SaJG9XteN0//D0SIiXF+PdLajAY/gLww9+RIciMu3cQYxX&#10;HUK6SOcxinATH0T/V+8QFtcr0EWu/x8ovgEAAP//AwBQSwECLQAUAAYACAAAACEAtoM4kv4AAADh&#10;AQAAEwAAAAAAAAAAAAAAAAAAAAAAW0NvbnRlbnRfVHlwZXNdLnhtbFBLAQItABQABgAIAAAAIQA4&#10;/SH/1gAAAJQBAAALAAAAAAAAAAAAAAAAAC8BAABfcmVscy8ucmVsc1BLAQItABQABgAIAAAAIQBa&#10;OVGrFQIAACoEAAAOAAAAAAAAAAAAAAAAAC4CAABkcnMvZTJvRG9jLnhtbFBLAQItABQABgAIAAAA&#10;IQD7X+3y3AAAAAgBAAAPAAAAAAAAAAAAAAAAAG8EAABkcnMvZG93bnJldi54bWxQSwUGAAAAAAQA&#10;BADzAAAAeAUAAAAA&#10;"/>
            </w:pict>
          </mc:Fallback>
        </mc:AlternateContent>
      </w:r>
      <w:r>
        <w:rPr>
          <w:noProof/>
          <w:sz w:val="18"/>
        </w:rPr>
        <mc:AlternateContent>
          <mc:Choice Requires="wps">
            <w:drawing>
              <wp:anchor distT="0" distB="0" distL="114300" distR="114300" simplePos="0" relativeHeight="251661824" behindDoc="0" locked="0" layoutInCell="1" allowOverlap="1" wp14:anchorId="2FC08395" wp14:editId="0784C1D3">
                <wp:simplePos x="0" y="0"/>
                <wp:positionH relativeFrom="column">
                  <wp:posOffset>4966335</wp:posOffset>
                </wp:positionH>
                <wp:positionV relativeFrom="paragraph">
                  <wp:posOffset>74295</wp:posOffset>
                </wp:positionV>
                <wp:extent cx="0" cy="228600"/>
                <wp:effectExtent l="0" t="0" r="0" b="0"/>
                <wp:wrapNone/>
                <wp:docPr id="56" name="Line 3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68E5C4" id="Line 332"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1.05pt,5.85pt" to="391.05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zAyFAIAACoEAAAOAAAAZHJzL2Uyb0RvYy54bWysU8uu2yAQ3VfqPyD2iR95NLHiXFV20s1t&#10;G+nefgABHKNiQEDiRFX/vQNOotx2U1X1Ag8wc+bMnGH1dO4kOnHrhFYlzsYpRlxRzYQ6lPjb63a0&#10;wMh5ohiRWvESX7jDT+v371a9KXiuWy0ZtwhAlCt6U+LWe1MkiaMt74gba8MVXDbadsTD1h4SZkkP&#10;6J1M8jSdJ722zFhNuXNwWg+XeB3xm4ZT/7VpHPdIlhi4+bjauO7DmqxXpDhYYlpBrzTIP7DoiFCQ&#10;9A5VE0/Q0Yo/oDpBrXa68WOqu0Q3jaA81gDVZOlv1by0xPBYCzTHmXub3P+DpV9OO4sEK/FsjpEi&#10;HWj0LBRHk0kemtMbV4BPpXY2lEfP6sU8a/rdIaWrlqgDjyRfLwYCsxCRvAkJG2cgxb7/rBn4kKPX&#10;sVPnxnYBEnqAzlGQy10QfvaIDocUTvN8MU+jVgkpbnHGOv+J6w4Fo8QSSEdccnp2PvAgxc0lpFF6&#10;K6SMckuF+hIvZ/ksBjgtBQuXwc3Zw76SFp1IGJj4xaLg5tHN6qNiEazlhG2utidCDjYklyrgQSVA&#10;52oNE/FjmS43i81iOprm881omtb16OO2mo7m2+zDrJ7UVVVnPwO1bFq0gjGuArvbdGbTv1P/+k6G&#10;ubrP570NyVv02C8ge/tH0lHKoN4wB3vNLjt7kxgGMjpfH0+Y+Mc92I9PfP0LAAD//wMAUEsDBBQA&#10;BgAIAAAAIQCf3BaH3AAAAAkBAAAPAAAAZHJzL2Rvd25yZXYueG1sTI/BTsMwDIbvSLxDZCQuE0tb&#10;EJ1K0wkBvXFhgLh6jWkrGqdrsq3w9BhxgKP9f/r9uVzPblAHmkLv2UC6TEARN9723Bp4ea4vVqBC&#10;RLY4eCYDnxRgXZ2elFhYf+QnOmxiq6SEQ4EGuhjHQuvQdOQwLP1ILNm7nxxGGadW2wmPUu4GnSXJ&#10;tXbYs1zocKS7jpqPzd4ZCPUr7eqvRbNI3i5bT9nu/vEBjTk/m29vQEWa4x8MP/qiDpU4bf2ebVCD&#10;gXyVpYJKkOagBPhdbA1c5TnoqtT/P6i+AQAA//8DAFBLAQItABQABgAIAAAAIQC2gziS/gAAAOEB&#10;AAATAAAAAAAAAAAAAAAAAAAAAABbQ29udGVudF9UeXBlc10ueG1sUEsBAi0AFAAGAAgAAAAhADj9&#10;If/WAAAAlAEAAAsAAAAAAAAAAAAAAAAALwEAAF9yZWxzLy5yZWxzUEsBAi0AFAAGAAgAAAAhAEbn&#10;MDIUAgAAKgQAAA4AAAAAAAAAAAAAAAAALgIAAGRycy9lMm9Eb2MueG1sUEsBAi0AFAAGAAgAAAAh&#10;AJ/cFofcAAAACQEAAA8AAAAAAAAAAAAAAAAAbgQAAGRycy9kb3ducmV2LnhtbFBLBQYAAAAABAAE&#10;APMAAAB3BQAAAAA=&#10;"/>
            </w:pict>
          </mc:Fallback>
        </mc:AlternateContent>
      </w:r>
      <w:r>
        <w:rPr>
          <w:noProof/>
          <w:sz w:val="18"/>
        </w:rPr>
        <mc:AlternateContent>
          <mc:Choice Requires="wps">
            <w:drawing>
              <wp:anchor distT="0" distB="0" distL="114300" distR="114300" simplePos="0" relativeHeight="251659776" behindDoc="0" locked="0" layoutInCell="1" allowOverlap="1" wp14:anchorId="0B0C7533" wp14:editId="77F8EC2E">
                <wp:simplePos x="0" y="0"/>
                <wp:positionH relativeFrom="column">
                  <wp:posOffset>89535</wp:posOffset>
                </wp:positionH>
                <wp:positionV relativeFrom="paragraph">
                  <wp:posOffset>74295</wp:posOffset>
                </wp:positionV>
                <wp:extent cx="0" cy="228600"/>
                <wp:effectExtent l="0" t="0" r="0" b="0"/>
                <wp:wrapNone/>
                <wp:docPr id="55" name="Line 3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ADC61D" id="Line 330"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5pt,5.85pt" to="7.05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n6wFAIAACoEAAAOAAAAZHJzL2Uyb0RvYy54bWysU8uu2jAQ3VfqP1jeQx4EChHhqkqgm9sW&#10;6d5+gLEdYtWxLdsQUNV/79g8xG03VdUsnLFn5syZ1/Lp1Et05NYJrSqcjVOMuKKaCbWv8LfXzWiO&#10;kfNEMSK14hU+c4efVu/fLQdT8lx3WjJuEYAoVw6mwp33pkwSRzveEzfWhitQttr2xMPV7hNmyQDo&#10;vUzyNJ0lg7bMWE25c/DaXJR4FfHbllP/tW0d90hWGLj5eNp47sKZrJak3FtiOkGvNMg/sOiJUBD0&#10;DtUQT9DBij+gekGtdrr1Y6r7RLetoDzmANlk6W/ZvHTE8JgLFMeZe5nc/4OlX45biwSr8HSKkSI9&#10;9OhZKI4mk1icwbgSbGq1tSE9elIv5lnT7w4pXXdE7Xkk+Xo24JiFciZvXMLFGQixGz5rBjbk4HWs&#10;1Km1fYCEGqBTbMj53hB+8oheHim85vl8lkY6CSlvfsY6/4nrHgWhwhJIR1xyfHY+8CDlzSSEUXoj&#10;pIztlgoNFV5M82l0cFoKFpTBzNn9rpYWHUkYmPjFpEDzaGb1QbEI1nHC1lfZEyEvMgSXKuBBJkDn&#10;Kl0m4sciXazn63kxKvLZelSkTTP6uKmL0WyTfZg2k6aum+xnoJYVZScY4yqwu01nVvxd9697cpmr&#10;+3zey5C8RY/1ArK3fyQdWxm6F9bJlTvNzlt7azEMZDS+Lk+Y+Mc7yI8rvvoFAAD//wMAUEsDBBQA&#10;BgAIAAAAIQCZrfSr2gAAAAcBAAAPAAAAZHJzL2Rvd25yZXYueG1sTI5BT4NAEIXvJv6HzZh4aexC&#10;bcQgS2NUbl6sGq9TdgQiO0vZbYv+eoeTniZf3subr9hMrldHGkPn2UC6TEAR19523Bh4e62ubkGF&#10;iGyx90wGvinApjw/KzC3/sQvdNzGRskIhxwNtDEOudahbslhWPqBWLJPPzqMgmOj7YgnGXe9XiXJ&#10;jXbYsXxocaCHluqv7cEZCNU77aufRb1IPq4bT6v94/MTGnN5Md3fgYo0xb8yzPqiDqU47fyBbVC9&#10;8DqVptw0AzXnM+8MrLMMdFno//7lLwAAAP//AwBQSwECLQAUAAYACAAAACEAtoM4kv4AAADhAQAA&#10;EwAAAAAAAAAAAAAAAAAAAAAAW0NvbnRlbnRfVHlwZXNdLnhtbFBLAQItABQABgAIAAAAIQA4/SH/&#10;1gAAAJQBAAALAAAAAAAAAAAAAAAAAC8BAABfcmVscy8ucmVsc1BLAQItABQABgAIAAAAIQCpIn6w&#10;FAIAACoEAAAOAAAAAAAAAAAAAAAAAC4CAABkcnMvZTJvRG9jLnhtbFBLAQItABQABgAIAAAAIQCZ&#10;rfSr2gAAAAcBAAAPAAAAAAAAAAAAAAAAAG4EAABkcnMvZG93bnJldi54bWxQSwUGAAAAAAQABADz&#10;AAAAdQU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013EB8">
      <w:pPr>
        <w:rPr>
          <w:color w:val="000000"/>
          <w:sz w:val="18"/>
        </w:rPr>
      </w:pPr>
      <w:r>
        <w:rPr>
          <w:color w:val="000000"/>
          <w:sz w:val="18"/>
        </w:rPr>
        <w:t>Date of Previous</w:t>
      </w:r>
      <w:r>
        <w:rPr>
          <w:color w:val="000000"/>
          <w:sz w:val="18"/>
        </w:rPr>
        <w:tab/>
      </w:r>
      <w:r>
        <w:rPr>
          <w:color w:val="000000"/>
          <w:sz w:val="18"/>
        </w:rPr>
        <w:tab/>
        <w:t>Decision Final</w:t>
      </w:r>
      <w:r>
        <w:rPr>
          <w:color w:val="000000"/>
          <w:sz w:val="18"/>
        </w:rPr>
        <w:tab/>
      </w:r>
      <w:r>
        <w:rPr>
          <w:color w:val="000000"/>
          <w:sz w:val="18"/>
        </w:rPr>
        <w:tab/>
        <w:t>Date of Reopened</w:t>
      </w:r>
      <w:r>
        <w:rPr>
          <w:color w:val="000000"/>
          <w:sz w:val="18"/>
        </w:rPr>
        <w:tab/>
      </w:r>
      <w:r>
        <w:rPr>
          <w:color w:val="000000"/>
          <w:sz w:val="18"/>
        </w:rPr>
        <w:tab/>
        <w:t xml:space="preserve">VA Exam with </w:t>
      </w:r>
    </w:p>
    <w:p w:rsidR="00013EB8" w:rsidRDefault="00013EB8">
      <w:pPr>
        <w:rPr>
          <w:color w:val="000000"/>
          <w:sz w:val="18"/>
        </w:rPr>
      </w:pPr>
      <w:r>
        <w:rPr>
          <w:color w:val="000000"/>
          <w:sz w:val="18"/>
        </w:rPr>
        <w:t>Denial</w:t>
      </w:r>
      <w:r>
        <w:rPr>
          <w:color w:val="000000"/>
          <w:sz w:val="18"/>
        </w:rPr>
        <w:tab/>
      </w:r>
      <w:r>
        <w:rPr>
          <w:color w:val="000000"/>
          <w:sz w:val="18"/>
        </w:rPr>
        <w:tab/>
      </w:r>
      <w:r>
        <w:rPr>
          <w:color w:val="000000"/>
          <w:sz w:val="18"/>
        </w:rPr>
        <w:tab/>
        <w:t>05/03/05</w:t>
      </w:r>
      <w:r>
        <w:rPr>
          <w:color w:val="000000"/>
          <w:sz w:val="18"/>
        </w:rPr>
        <w:tab/>
      </w:r>
      <w:r>
        <w:rPr>
          <w:color w:val="000000"/>
          <w:sz w:val="18"/>
        </w:rPr>
        <w:tab/>
      </w:r>
      <w:r>
        <w:rPr>
          <w:color w:val="000000"/>
          <w:sz w:val="18"/>
        </w:rPr>
        <w:tab/>
        <w:t>Claim with N&amp;M Evidence</w:t>
      </w:r>
      <w:r>
        <w:rPr>
          <w:color w:val="000000"/>
          <w:sz w:val="18"/>
        </w:rPr>
        <w:tab/>
      </w:r>
      <w:r>
        <w:rPr>
          <w:color w:val="000000"/>
          <w:sz w:val="18"/>
        </w:rPr>
        <w:tab/>
        <w:t>Positive Opinion</w:t>
      </w:r>
      <w:r>
        <w:rPr>
          <w:color w:val="000000"/>
          <w:sz w:val="18"/>
        </w:rPr>
        <w:tab/>
      </w:r>
    </w:p>
    <w:p w:rsidR="00013EB8" w:rsidRDefault="00CD0080">
      <w:pPr>
        <w:rPr>
          <w:color w:val="000000"/>
          <w:sz w:val="18"/>
          <w:u w:val="single"/>
        </w:rPr>
      </w:pPr>
      <w:r>
        <w:rPr>
          <w:color w:val="000000"/>
          <w:sz w:val="18"/>
        </w:rPr>
        <w:t>05/03/04</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05/06/13</w:t>
      </w:r>
      <w:r>
        <w:rPr>
          <w:color w:val="000000"/>
          <w:sz w:val="18"/>
        </w:rPr>
        <w:tab/>
      </w:r>
      <w:r>
        <w:rPr>
          <w:color w:val="000000"/>
          <w:sz w:val="18"/>
        </w:rPr>
        <w:tab/>
      </w:r>
      <w:r>
        <w:rPr>
          <w:color w:val="000000"/>
          <w:sz w:val="18"/>
        </w:rPr>
        <w:tab/>
      </w:r>
      <w:r>
        <w:rPr>
          <w:color w:val="000000"/>
          <w:sz w:val="18"/>
        </w:rPr>
        <w:tab/>
        <w:t>08/02/13</w:t>
      </w:r>
    </w:p>
    <w:p w:rsidR="00013EB8" w:rsidRDefault="00013EB8">
      <w:pPr>
        <w:rPr>
          <w:color w:val="000000"/>
          <w:sz w:val="18"/>
          <w:u w:val="single"/>
        </w:rPr>
      </w:pPr>
    </w:p>
    <w:p w:rsidR="00013EB8" w:rsidRDefault="00013EB8">
      <w:pPr>
        <w:numPr>
          <w:ilvl w:val="12"/>
          <w:numId w:val="0"/>
        </w:numPr>
        <w:jc w:val="both"/>
        <w:rPr>
          <w:sz w:val="18"/>
        </w:rPr>
      </w:pPr>
      <w:r>
        <w:rPr>
          <w:i/>
          <w:iCs/>
          <w:sz w:val="18"/>
        </w:rPr>
        <w:t>Claim Reopened Based on Additional Service Treatment Records</w:t>
      </w:r>
      <w:r>
        <w:rPr>
          <w:sz w:val="18"/>
        </w:rPr>
        <w:t>:</w:t>
      </w:r>
    </w:p>
    <w:p w:rsidR="00013EB8" w:rsidRDefault="00013EB8">
      <w:pPr>
        <w:numPr>
          <w:ilvl w:val="12"/>
          <w:numId w:val="0"/>
        </w:numPr>
        <w:rPr>
          <w:sz w:val="18"/>
          <w:u w:val="single"/>
        </w:rPr>
      </w:pPr>
    </w:p>
    <w:p w:rsidR="00013EB8" w:rsidRDefault="00013EB8">
      <w:pPr>
        <w:rPr>
          <w:b/>
          <w:bCs/>
          <w:color w:val="000000"/>
          <w:sz w:val="18"/>
        </w:rPr>
      </w:pPr>
      <w:r>
        <w:rPr>
          <w:b/>
          <w:bCs/>
          <w:color w:val="000000"/>
          <w:sz w:val="18"/>
        </w:rPr>
        <w:t>Effective Date</w:t>
      </w:r>
    </w:p>
    <w:p w:rsidR="00013EB8" w:rsidRDefault="00013EB8">
      <w:pPr>
        <w:rPr>
          <w:color w:val="000000"/>
          <w:sz w:val="18"/>
        </w:rPr>
      </w:pPr>
      <w:r>
        <w:rPr>
          <w:color w:val="000000"/>
          <w:sz w:val="18"/>
        </w:rPr>
        <w:t>(based on original claim)</w:t>
      </w:r>
    </w:p>
    <w:p w:rsidR="00013EB8" w:rsidRDefault="00562F54">
      <w:pPr>
        <w:rPr>
          <w:b/>
          <w:bCs/>
          <w:color w:val="000000"/>
          <w:sz w:val="18"/>
        </w:rPr>
      </w:pPr>
      <w:r>
        <w:rPr>
          <w:noProof/>
          <w:sz w:val="18"/>
        </w:rPr>
        <mc:AlternateContent>
          <mc:Choice Requires="wps">
            <w:drawing>
              <wp:anchor distT="0" distB="0" distL="114300" distR="114300" simplePos="0" relativeHeight="251666944" behindDoc="0" locked="0" layoutInCell="1" allowOverlap="1" wp14:anchorId="2389ABEE" wp14:editId="73958FAA">
                <wp:simplePos x="0" y="0"/>
                <wp:positionH relativeFrom="column">
                  <wp:posOffset>254000</wp:posOffset>
                </wp:positionH>
                <wp:positionV relativeFrom="paragraph">
                  <wp:posOffset>120650</wp:posOffset>
                </wp:positionV>
                <wp:extent cx="0" cy="381000"/>
                <wp:effectExtent l="0" t="0" r="0" b="0"/>
                <wp:wrapNone/>
                <wp:docPr id="54" name="Line 3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7CFB8" id="Line 337"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pt,9.5pt" to="20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ad6FAIAACoEAAAOAAAAZHJzL2Uyb0RvYy54bWysU8GO2jAQvVfqP1i+QxIILESEVUWgF9pF&#10;2u0HGNshVh3bsg0BVf33jh1AbHupqubgjO2ZN2/mjRfP51aiE7dOaFXibJhixBXVTKhDib+9bQYz&#10;jJwnihGpFS/xhTv8vPz4YdGZgo90oyXjFgGIckVnStx4b4okcbThLXFDbbiCy1rblnjY2kPCLOkA&#10;vZXJKE2nSactM1ZT7hycVv0lXkb8uubUv9S14x7JEgM3H1cb131Yk+WCFAdLTCPolQb5BxYtEQqS&#10;3qEq4gk6WvEHVCuo1U7Xfkh1m+i6FpTHGqCaLP2tmteGGB5rgeY4c2+T+3+w9OtpZ5FgJZ7kGCnS&#10;gkZboTgaj59CczrjCvBZqZ0N5dGzejVbTb87pPSqIerAI8m3i4HALEQk70LCxhlIse++aAY+5Oh1&#10;7NS5tm2AhB6gcxTkcheEnz2i/SGF0/EsS9OoVUKKW5yxzn/mukXBKLEE0hGXnLbOBx6kuLmENEpv&#10;hJRRbqlQV+L5ZDSJAU5LwcJlcHP2sF9Ji04kDEz8YlFw8+hm9VGxCNZwwtZX2xMhexuSSxXwoBKg&#10;c7X6ifgxT+fr2XqWD/LRdD3I06oafNqs8sF0kz1NqnG1WlXZz0Aty4tGMMZVYHebziz/O/Wv76Sf&#10;q/t83tuQvEeP/QKyt38kHaUM6vVzsNfssrM3iWEgo/P18YSJf9yD/fjEl78AAAD//wMAUEsDBBQA&#10;BgAIAAAAIQDP8xkD2gAAAAcBAAAPAAAAZHJzL2Rvd25yZXYueG1sTI9BT8MwDIXvSPyHyEhcJpYw&#10;ELCu6YSA3rgwQFy9xmurNU7XZFvh12O4wMl6ftbz9/Ll6Dt1oCG2gS1cTg0o4iq4lmsLb6/lxR2o&#10;mJAddoHJwidFWBanJzlmLhz5hQ6rVCsJ4ZihhSalPtM6Vg15jNPQE4u3CYPHJHKotRvwKOG+0zNj&#10;brTHluVDgz09NFRtV3tvIZbvtCu/JtXEfFzVgWa7x+cntPb8bLxfgEo0pr9j+MEXdCiEaR327KLq&#10;LFwbqZJkP5cp/q9eW7gVrYtc/+cvvgEAAP//AwBQSwECLQAUAAYACAAAACEAtoM4kv4AAADhAQAA&#10;EwAAAAAAAAAAAAAAAAAAAAAAW0NvbnRlbnRfVHlwZXNdLnhtbFBLAQItABQABgAIAAAAIQA4/SH/&#10;1gAAAJQBAAALAAAAAAAAAAAAAAAAAC8BAABfcmVscy8ucmVsc1BLAQItABQABgAIAAAAIQCRRad6&#10;FAIAACoEAAAOAAAAAAAAAAAAAAAAAC4CAABkcnMvZTJvRG9jLnhtbFBLAQItABQABgAIAAAAIQDP&#10;8xkD2gAAAAcBAAAPAAAAAAAAAAAAAAAAAG4EAABkcnMvZG93bnJldi54bWxQSwUGAAAAAAQABADz&#10;AAAAdQUAAAAA&#10;"/>
            </w:pict>
          </mc:Fallback>
        </mc:AlternateContent>
      </w:r>
      <w:r w:rsidR="00013EB8">
        <w:rPr>
          <w:b/>
          <w:bCs/>
          <w:color w:val="000000"/>
          <w:sz w:val="18"/>
        </w:rPr>
        <w:t xml:space="preserve">05/03/56  </w:t>
      </w:r>
    </w:p>
    <w:p w:rsidR="00013EB8" w:rsidRDefault="00013EB8">
      <w:pPr>
        <w:rPr>
          <w:color w:val="000000"/>
          <w:sz w:val="18"/>
        </w:rPr>
      </w:pPr>
    </w:p>
    <w:p w:rsidR="00013EB8" w:rsidRDefault="00562F54">
      <w:pPr>
        <w:rPr>
          <w:color w:val="000000"/>
          <w:sz w:val="18"/>
        </w:rPr>
      </w:pPr>
      <w:r>
        <w:rPr>
          <w:noProof/>
          <w:sz w:val="18"/>
        </w:rPr>
        <mc:AlternateContent>
          <mc:Choice Requires="wps">
            <w:drawing>
              <wp:anchor distT="0" distB="0" distL="114300" distR="114300" simplePos="0" relativeHeight="251665920" behindDoc="0" locked="0" layoutInCell="1" allowOverlap="1" wp14:anchorId="4BB57487" wp14:editId="0B443DFB">
                <wp:simplePos x="0" y="0"/>
                <wp:positionH relativeFrom="column">
                  <wp:posOffset>5207000</wp:posOffset>
                </wp:positionH>
                <wp:positionV relativeFrom="paragraph">
                  <wp:posOffset>26670</wp:posOffset>
                </wp:positionV>
                <wp:extent cx="0" cy="228600"/>
                <wp:effectExtent l="0" t="0" r="0" b="0"/>
                <wp:wrapNone/>
                <wp:docPr id="53" name="Line 3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A69EFA" id="Line 336"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0pt,2.1pt" to="410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Yt8FQIAACoEAAAOAAAAZHJzL2Uyb0RvYy54bWysU8uu2yAQ3VfqPyD2iR95NLHiXFV20s1t&#10;G+nefgABHKNiQEDiRFX/vQNOotx2U1X1Ag8wc+bMnGH1dO4kOnHrhFYlzsYpRlxRzYQ6lPjb63a0&#10;wMh5ohiRWvESX7jDT+v371a9KXiuWy0ZtwhAlCt6U+LWe1MkiaMt74gba8MVXDbadsTD1h4SZkkP&#10;6J1M8jSdJ722zFhNuXNwWg+XeB3xm4ZT/7VpHPdIlhi4+bjauO7DmqxXpDhYYlpBrzTIP7DoiFCQ&#10;9A5VE0/Q0Yo/oDpBrXa68WOqu0Q3jaA81gDVZOlv1by0xPBYCzTHmXub3P+DpV9OO4sEK/FsgpEi&#10;HWj0LBRHk8k8NKc3rgCfSu1sKI+e1Yt51vS7Q0pXLVEHHkm+XgwEZiEieRMSNs5Ain3/WTPwIUev&#10;Y6fOje0CJPQAnaMgl7sg/OwRHQ4pnOb5Yp5GrRJS3OKMdf4T1x0KRoklkI645PTsfOBBiptLSKP0&#10;VkgZ5ZYK9SVezvJZDHBaChYug5uzh30lLTqRMDDxi0XBzaOb1UfFIljLCdtcbU+EHGxILlXAg0qA&#10;ztUaJuLHMl1uFpvFdDTN55vRNK3r0cdtNR3Nt9mHWT2pq6rOfgZq2bRoBWNcBXa36cymf6f+9Z0M&#10;c3Wfz3sbkrfosV9A9vaPpKOUQb1hDvaaXXb2JjEMZHS+Pp4w8Y97sB+f+PoXAAAA//8DAFBLAwQU&#10;AAYACAAAACEA0ROecNoAAAAIAQAADwAAAGRycy9kb3ducmV2LnhtbEyPwU7DMBBE70j8g7VIXKrW&#10;JiBUpXEqBOTGhRbEdRsvSUS8TmO3DXw9izjAcTSjt2+L9eR7daQxdoEtXC0MKOI6uI4bCy/bar4E&#10;FROywz4wWfikCOvy/KzA3IUTP9NxkxolEI45WmhTGnKtY92Sx7gIA7F072H0mCSOjXYjngTue50Z&#10;c6s9diwXWhzovqX6Y3PwFmL1Svvqa1bPzNt1EyjbPzw9orWXF9PdClSiKf2N4Udf1KEUp104sIuq&#10;t7AUvEwt3GSgpP/NO8kmA10W+v8D5TcAAAD//wMAUEsBAi0AFAAGAAgAAAAhALaDOJL+AAAA4QEA&#10;ABMAAAAAAAAAAAAAAAAAAAAAAFtDb250ZW50X1R5cGVzXS54bWxQSwECLQAUAAYACAAAACEAOP0h&#10;/9YAAACUAQAACwAAAAAAAAAAAAAAAAAvAQAAX3JlbHMvLnJlbHNQSwECLQAUAAYACAAAACEAwemL&#10;fBUCAAAqBAAADgAAAAAAAAAAAAAAAAAuAgAAZHJzL2Uyb0RvYy54bWxQSwECLQAUAAYACAAAACEA&#10;0ROecNoAAAAIAQAADwAAAAAAAAAAAAAAAABvBAAAZHJzL2Rvd25yZXYueG1sUEsFBgAAAAAEAAQA&#10;8wAAAHYFAAAAAA==&#10;"/>
            </w:pict>
          </mc:Fallback>
        </mc:AlternateContent>
      </w:r>
      <w:r>
        <w:rPr>
          <w:noProof/>
          <w:sz w:val="18"/>
        </w:rPr>
        <mc:AlternateContent>
          <mc:Choice Requires="wps">
            <w:drawing>
              <wp:anchor distT="0" distB="0" distL="114300" distR="114300" simplePos="0" relativeHeight="251663872" behindDoc="0" locked="0" layoutInCell="1" allowOverlap="1" wp14:anchorId="540A7EFA" wp14:editId="31B630E3">
                <wp:simplePos x="0" y="0"/>
                <wp:positionH relativeFrom="column">
                  <wp:posOffset>2286000</wp:posOffset>
                </wp:positionH>
                <wp:positionV relativeFrom="paragraph">
                  <wp:posOffset>26670</wp:posOffset>
                </wp:positionV>
                <wp:extent cx="0" cy="228600"/>
                <wp:effectExtent l="0" t="0" r="0" b="0"/>
                <wp:wrapNone/>
                <wp:docPr id="52" name="Line 3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A3A11" id="Line 334"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2.1pt" to="180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I+pFAIAACoEAAAOAAAAZHJzL2Uyb0RvYy54bWysU02P2jAQvVfqf7B8h3wQKESEVUWgl22L&#10;tNsfYGyHWHVsyzYEVPW/d+wAYttLVTUHZ2zPvHkzb7x8OncSnbh1QqsKZ+MUI66oZkIdKvztdTua&#10;Y+Q8UYxIrXiFL9zhp9X7d8velDzXrZaMWwQgypW9qXDrvSmTxNGWd8SNteEKLhttO+Jhaw8Js6QH&#10;9E4meZrOkl5bZqym3Dk4rYdLvIr4TcOp/9o0jnskKwzcfFxtXPdhTVZLUh4sMa2gVxrkH1h0RChI&#10;eoeqiSfoaMUfUJ2gVjvd+DHVXaKbRlAea4BqsvS3al5aYnisBZrjzL1N7v/B0i+nnUWCVXiaY6RI&#10;Bxo9C8XRZFKE5vTGleCzVjsbyqNn9WKeNf3ukNLrlqgDjyRfLwYCsxCRvAkJG2cgxb7/rBn4kKPX&#10;sVPnxnYBEnqAzlGQy10QfvaIDocUTvN8PkujVgkpb3HGOv+J6w4Fo8ISSEdccnp2PvAg5c0lpFF6&#10;K6SMckuF+govpvk0BjgtBQuXwc3Zw34tLTqRMDDxi0XBzaOb1UfFIljLCdtcbU+EHGxILlXAg0qA&#10;ztUaJuLHIl1s5pt5MSry2WZUpHU9+rhdF6PZNvswrSf1el1nPwO1rChbwRhXgd1tOrPi79S/vpNh&#10;ru7zeW9D8hY99gvI3v6RdJQyqDfMwV6zy87eJIaBjM7XxxMm/nEP9uMTX/0CAAD//wMAUEsDBBQA&#10;BgAIAAAAIQBFnRhw2gAAAAgBAAAPAAAAZHJzL2Rvd25yZXYueG1sTI/BTsMwEETvSPyDtUhcqtYm&#10;RRVK41QIyI0LBcR1Gy9JRLxOY7cNfD2LOMDxaVazb4rN5Ht1pDF2gS1cLQwo4jq4jhsLL8/V/AZU&#10;TMgO+8Bk4ZMibMrzswJzF078RMdtapSUcMzRQpvSkGsd65Y8xkUYiCV7D6PHJDg22o14knLf68yY&#10;lfbYsXxocaC7luqP7cFbiNUr7auvWT0zb8smULa/f3xAay8vpts1qERT+juGH31Rh1KcduHALqre&#10;wnJlZEuycJ2BkvyXd8ImA10W+v+A8hsAAP//AwBQSwECLQAUAAYACAAAACEAtoM4kv4AAADhAQAA&#10;EwAAAAAAAAAAAAAAAAAAAAAAW0NvbnRlbnRfVHlwZXNdLnhtbFBLAQItABQABgAIAAAAIQA4/SH/&#10;1gAAAJQBAAALAAAAAAAAAAAAAAAAAC8BAABfcmVscy8ucmVsc1BLAQItABQABgAIAAAAIQABLI+p&#10;FAIAACoEAAAOAAAAAAAAAAAAAAAAAC4CAABkcnMvZTJvRG9jLnhtbFBLAQItABQABgAIAAAAIQBF&#10;nRhw2gAAAAgBAAAPAAAAAAAAAAAAAAAAAG4EAABkcnMvZG93bnJldi54bWxQSwUGAAAAAAQABADz&#10;AAAAdQUAAAAA&#10;"/>
            </w:pict>
          </mc:Fallback>
        </mc:AlternateContent>
      </w:r>
      <w:r>
        <w:rPr>
          <w:noProof/>
          <w:sz w:val="18"/>
        </w:rPr>
        <mc:AlternateContent>
          <mc:Choice Requires="wps">
            <w:drawing>
              <wp:anchor distT="0" distB="0" distL="114300" distR="114300" simplePos="0" relativeHeight="251664896" behindDoc="0" locked="0" layoutInCell="1" allowOverlap="1" wp14:anchorId="357E35CE" wp14:editId="45E2E24C">
                <wp:simplePos x="0" y="0"/>
                <wp:positionH relativeFrom="column">
                  <wp:posOffset>-63500</wp:posOffset>
                </wp:positionH>
                <wp:positionV relativeFrom="paragraph">
                  <wp:posOffset>26670</wp:posOffset>
                </wp:positionV>
                <wp:extent cx="5905500" cy="0"/>
                <wp:effectExtent l="0" t="0" r="0" b="0"/>
                <wp:wrapNone/>
                <wp:docPr id="51" name="Line 3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A1FE62" id="Line 335"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2.1pt" to="460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j4rFAIAACsEAAAOAAAAZHJzL2Uyb0RvYy54bWysU8GO2jAQvVfqP1i+QxIg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PMFKk&#10;A42eheJoOs1Dc3rjCoip1M6G8uhZvZhnTb87pHTVEnXgkeTrxUBiFjKSNylh4wxcse8/awYx5Oh1&#10;7NS5sV2AhB6gcxTkcheEnz2icJgv0zxPQTc6+BJSDInGOv+J6w4Fo8QSWEdgcnp2PhAhxRAS7lF6&#10;K6SMekuF+hIv80keE5yWggVnCHP2sK+kRScSJiZ+sSrwPIZZfVQsgrWcsM3N9kTIqw2XSxXwoBSg&#10;c7OuI/FjmS43i81iNppN5pvRLK3r0cdtNRvNt9mHvJ7WVVVnPwO1bFa0gjGuArthPLPZ38l/eyjX&#10;wboP6L0NyVv02C8gO/wj6ahlkO86CHvNLjs7aAwTGYNvryeM/OMe7Mc3vv4FAAD//wMAUEsDBBQA&#10;BgAIAAAAIQDTd9wJ2gAAAAcBAAAPAAAAZHJzL2Rvd25yZXYueG1sTI/BTsMwEETvSPyDtUhcqtZu&#10;QAhCnAoBuXGhgLhu4yWJiNdp7LaBr2fpBY6jGc28KVaT79WextgFtrBcGFDEdXAdNxZeX6r5NaiY&#10;kB32gcnCF0VYlacnBeYuHPiZ9uvUKCnhmKOFNqUh1zrWLXmMizAQi/cRRo9J5NhoN+JByn2vM2Ou&#10;tMeOZaHFge5bqj/XO28hVm+0rb5n9cy8XzSBsu3D0yNae3423d2CSjSlvzD84gs6lMK0CTt2UfUW&#10;5ksjX5KFywyU+DcyB2pz1Los9H/+8gcAAP//AwBQSwECLQAUAAYACAAAACEAtoM4kv4AAADhAQAA&#10;EwAAAAAAAAAAAAAAAAAAAAAAW0NvbnRlbnRfVHlwZXNdLnhtbFBLAQItABQABgAIAAAAIQA4/SH/&#10;1gAAAJQBAAALAAAAAAAAAAAAAAAAAC8BAABfcmVscy8ucmVsc1BLAQItABQABgAIAAAAIQDcsj4r&#10;FAIAACsEAAAOAAAAAAAAAAAAAAAAAC4CAABkcnMvZTJvRG9jLnhtbFBLAQItABQABgAIAAAAIQDT&#10;d9wJ2gAAAAcBAAAPAAAAAAAAAAAAAAAAAG4EAABkcnMvZG93bnJldi54bWxQSwUGAAAAAAQABADz&#10;AAAAdQU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013EB8" w:rsidP="00B32004">
      <w:pPr>
        <w:rPr>
          <w:color w:val="000000"/>
          <w:sz w:val="18"/>
        </w:rPr>
      </w:pPr>
      <w:r>
        <w:rPr>
          <w:color w:val="000000"/>
          <w:sz w:val="18"/>
        </w:rPr>
        <w:t>Date of Claim</w:t>
      </w:r>
      <w:r>
        <w:rPr>
          <w:color w:val="000000"/>
          <w:sz w:val="18"/>
        </w:rPr>
        <w:tab/>
      </w:r>
      <w:r>
        <w:rPr>
          <w:color w:val="000000"/>
          <w:sz w:val="18"/>
        </w:rPr>
        <w:tab/>
      </w:r>
      <w:r>
        <w:rPr>
          <w:color w:val="000000"/>
          <w:sz w:val="18"/>
        </w:rPr>
        <w:tab/>
        <w:t>Date of Denial</w:t>
      </w:r>
      <w:r>
        <w:rPr>
          <w:color w:val="000000"/>
          <w:sz w:val="18"/>
        </w:rPr>
        <w:tab/>
      </w:r>
      <w:r>
        <w:rPr>
          <w:color w:val="000000"/>
          <w:sz w:val="18"/>
        </w:rPr>
        <w:tab/>
      </w:r>
      <w:r>
        <w:rPr>
          <w:color w:val="000000"/>
          <w:sz w:val="18"/>
        </w:rPr>
        <w:tab/>
      </w:r>
      <w:r>
        <w:rPr>
          <w:color w:val="000000"/>
          <w:sz w:val="18"/>
        </w:rPr>
        <w:tab/>
      </w:r>
      <w:r>
        <w:rPr>
          <w:color w:val="000000"/>
          <w:sz w:val="18"/>
        </w:rPr>
        <w:tab/>
        <w:t>Additional STRs Received from Service Dept</w:t>
      </w:r>
    </w:p>
    <w:p w:rsidR="00013EB8" w:rsidRDefault="00B32004">
      <w:pPr>
        <w:ind w:right="-180"/>
        <w:rPr>
          <w:color w:val="000000"/>
          <w:sz w:val="18"/>
          <w:u w:val="single"/>
        </w:rPr>
      </w:pPr>
      <w:r>
        <w:rPr>
          <w:color w:val="000000"/>
          <w:sz w:val="18"/>
        </w:rPr>
        <w:t>05/03/56</w:t>
      </w:r>
      <w:r w:rsidR="00013EB8">
        <w:rPr>
          <w:color w:val="000000"/>
          <w:sz w:val="18"/>
        </w:rPr>
        <w:tab/>
      </w:r>
      <w:r w:rsidR="00013EB8">
        <w:rPr>
          <w:color w:val="000000"/>
          <w:sz w:val="18"/>
        </w:rPr>
        <w:tab/>
      </w:r>
      <w:r w:rsidR="00013EB8">
        <w:rPr>
          <w:color w:val="000000"/>
          <w:sz w:val="18"/>
        </w:rPr>
        <w:tab/>
      </w:r>
      <w:r w:rsidR="00013EB8">
        <w:rPr>
          <w:color w:val="000000"/>
          <w:sz w:val="18"/>
        </w:rPr>
        <w:tab/>
        <w:t>06/30/57</w:t>
      </w:r>
      <w:r w:rsidR="00013EB8">
        <w:rPr>
          <w:color w:val="000000"/>
          <w:sz w:val="18"/>
        </w:rPr>
        <w:tab/>
      </w:r>
      <w:r w:rsidR="00013EB8">
        <w:rPr>
          <w:color w:val="000000"/>
          <w:sz w:val="18"/>
        </w:rPr>
        <w:tab/>
      </w:r>
      <w:r w:rsidR="00013EB8">
        <w:rPr>
          <w:color w:val="000000"/>
          <w:sz w:val="18"/>
        </w:rPr>
        <w:tab/>
      </w:r>
      <w:r w:rsidR="00013EB8">
        <w:rPr>
          <w:color w:val="000000"/>
          <w:sz w:val="18"/>
        </w:rPr>
        <w:tab/>
      </w:r>
      <w:r w:rsidR="00013EB8">
        <w:rPr>
          <w:color w:val="000000"/>
          <w:sz w:val="18"/>
        </w:rPr>
        <w:tab/>
      </w:r>
      <w:r w:rsidR="00013EB8">
        <w:rPr>
          <w:color w:val="000000"/>
          <w:sz w:val="18"/>
        </w:rPr>
        <w:tab/>
        <w:t>05/30</w:t>
      </w:r>
      <w:r w:rsidR="00CD0080">
        <w:rPr>
          <w:color w:val="000000"/>
          <w:sz w:val="18"/>
        </w:rPr>
        <w:t>/13</w:t>
      </w:r>
    </w:p>
    <w:p w:rsidR="00013EB8" w:rsidRDefault="00013EB8">
      <w:pPr>
        <w:rPr>
          <w:color w:val="000000"/>
          <w:sz w:val="18"/>
          <w:u w:val="single"/>
        </w:rPr>
      </w:pPr>
    </w:p>
    <w:p w:rsidR="00013EB8" w:rsidRDefault="00013EB8">
      <w:pPr>
        <w:numPr>
          <w:ilvl w:val="12"/>
          <w:numId w:val="0"/>
        </w:numPr>
        <w:jc w:val="both"/>
        <w:rPr>
          <w:sz w:val="18"/>
        </w:rPr>
      </w:pPr>
    </w:p>
    <w:p w:rsidR="00CD0080" w:rsidRDefault="00CD0080">
      <w:pPr>
        <w:numPr>
          <w:ilvl w:val="12"/>
          <w:numId w:val="0"/>
        </w:numPr>
        <w:pBdr>
          <w:top w:val="dotted" w:sz="4" w:space="1" w:color="auto"/>
        </w:pBdr>
        <w:jc w:val="both"/>
        <w:rPr>
          <w:b/>
          <w:bCs/>
          <w:sz w:val="18"/>
          <w:u w:val="single"/>
        </w:rPr>
      </w:pPr>
    </w:p>
    <w:p w:rsidR="00013EB8" w:rsidRPr="00CD0080" w:rsidRDefault="00013EB8">
      <w:pPr>
        <w:numPr>
          <w:ilvl w:val="12"/>
          <w:numId w:val="0"/>
        </w:numPr>
        <w:pBdr>
          <w:top w:val="dotted" w:sz="4" w:space="1" w:color="auto"/>
        </w:pBdr>
        <w:jc w:val="both"/>
        <w:rPr>
          <w:b/>
          <w:bCs/>
          <w:u w:val="single"/>
        </w:rPr>
      </w:pPr>
      <w:r w:rsidRPr="00CD0080">
        <w:rPr>
          <w:b/>
          <w:bCs/>
          <w:u w:val="single"/>
        </w:rPr>
        <w:t>INCREASED COMPENSATION BENEFITS</w:t>
      </w:r>
    </w:p>
    <w:p w:rsidR="00013EB8" w:rsidRDefault="00013EB8">
      <w:pPr>
        <w:numPr>
          <w:ilvl w:val="12"/>
          <w:numId w:val="0"/>
        </w:numPr>
        <w:jc w:val="both"/>
        <w:rPr>
          <w:sz w:val="18"/>
          <w:u w:val="single"/>
        </w:rPr>
      </w:pPr>
    </w:p>
    <w:p w:rsidR="00013EB8" w:rsidRDefault="00013EB8">
      <w:pPr>
        <w:numPr>
          <w:ilvl w:val="12"/>
          <w:numId w:val="0"/>
        </w:numPr>
        <w:jc w:val="both"/>
        <w:rPr>
          <w:i/>
          <w:iCs/>
          <w:sz w:val="18"/>
        </w:rPr>
      </w:pPr>
      <w:r>
        <w:rPr>
          <w:i/>
          <w:iCs/>
          <w:sz w:val="18"/>
        </w:rPr>
        <w:t xml:space="preserve">Claim For Increased Evaluation Received Within 1 Year of Increased Disability (Based on Private </w:t>
      </w:r>
      <w:r>
        <w:rPr>
          <w:i/>
          <w:iCs/>
          <w:sz w:val="18"/>
          <w:u w:val="single"/>
        </w:rPr>
        <w:t>or</w:t>
      </w:r>
      <w:r>
        <w:rPr>
          <w:i/>
          <w:iCs/>
          <w:sz w:val="18"/>
        </w:rPr>
        <w:t xml:space="preserve"> VA Treatment Records):</w:t>
      </w:r>
    </w:p>
    <w:p w:rsidR="00013EB8" w:rsidRDefault="00013EB8">
      <w:pPr>
        <w:numPr>
          <w:ilvl w:val="12"/>
          <w:numId w:val="0"/>
        </w:numPr>
        <w:jc w:val="both"/>
        <w:rPr>
          <w:sz w:val="18"/>
        </w:rPr>
      </w:pPr>
    </w:p>
    <w:p w:rsidR="00013EB8" w:rsidRDefault="00013EB8">
      <w:pPr>
        <w:ind w:left="2880" w:firstLine="720"/>
        <w:rPr>
          <w:b/>
          <w:bCs/>
          <w:color w:val="000000"/>
          <w:sz w:val="18"/>
        </w:rPr>
      </w:pPr>
      <w:r>
        <w:rPr>
          <w:b/>
          <w:bCs/>
          <w:color w:val="000000"/>
          <w:sz w:val="18"/>
        </w:rPr>
        <w:t>Effective Date</w:t>
      </w:r>
    </w:p>
    <w:p w:rsidR="00013EB8" w:rsidRDefault="00013EB8">
      <w:pPr>
        <w:ind w:left="2880" w:firstLine="720"/>
        <w:rPr>
          <w:color w:val="000000"/>
          <w:sz w:val="18"/>
        </w:rPr>
      </w:pPr>
      <w:r>
        <w:rPr>
          <w:color w:val="000000"/>
          <w:sz w:val="18"/>
        </w:rPr>
        <w:t>(date it’s factually</w:t>
      </w:r>
    </w:p>
    <w:p w:rsidR="00013EB8" w:rsidRDefault="00013EB8">
      <w:pPr>
        <w:ind w:left="2880" w:firstLine="720"/>
        <w:rPr>
          <w:color w:val="000000"/>
          <w:sz w:val="18"/>
        </w:rPr>
      </w:pPr>
      <w:r>
        <w:rPr>
          <w:color w:val="000000"/>
          <w:sz w:val="18"/>
        </w:rPr>
        <w:t xml:space="preserve">ascertainable that </w:t>
      </w:r>
    </w:p>
    <w:p w:rsidR="00013EB8" w:rsidRDefault="00013EB8">
      <w:pPr>
        <w:ind w:left="2880" w:firstLine="720"/>
        <w:rPr>
          <w:color w:val="000000"/>
          <w:sz w:val="18"/>
        </w:rPr>
      </w:pPr>
      <w:r>
        <w:rPr>
          <w:color w:val="000000"/>
          <w:sz w:val="18"/>
        </w:rPr>
        <w:t>disability increased)</w:t>
      </w:r>
    </w:p>
    <w:p w:rsidR="00013EB8" w:rsidRDefault="001212ED">
      <w:pPr>
        <w:ind w:left="3600"/>
        <w:rPr>
          <w:b/>
          <w:bCs/>
          <w:color w:val="000000"/>
          <w:sz w:val="18"/>
        </w:rPr>
      </w:pPr>
      <w:r>
        <w:rPr>
          <w:b/>
          <w:bCs/>
          <w:color w:val="000000"/>
          <w:sz w:val="18"/>
        </w:rPr>
        <w:t>09/08/12</w:t>
      </w:r>
    </w:p>
    <w:p w:rsidR="00013EB8" w:rsidRDefault="00562F54">
      <w:pPr>
        <w:rPr>
          <w:color w:val="000000"/>
          <w:sz w:val="18"/>
        </w:rPr>
      </w:pPr>
      <w:r>
        <w:rPr>
          <w:noProof/>
          <w:sz w:val="18"/>
        </w:rPr>
        <mc:AlternateContent>
          <mc:Choice Requires="wps">
            <w:drawing>
              <wp:anchor distT="0" distB="0" distL="114300" distR="114300" simplePos="0" relativeHeight="251671040" behindDoc="0" locked="0" layoutInCell="1" allowOverlap="1" wp14:anchorId="2C105BDF" wp14:editId="0AA140D3">
                <wp:simplePos x="0" y="0"/>
                <wp:positionH relativeFrom="column">
                  <wp:posOffset>2756535</wp:posOffset>
                </wp:positionH>
                <wp:positionV relativeFrom="paragraph">
                  <wp:posOffset>43815</wp:posOffset>
                </wp:positionV>
                <wp:extent cx="0" cy="381000"/>
                <wp:effectExtent l="0" t="0" r="0" b="0"/>
                <wp:wrapNone/>
                <wp:docPr id="50" name="Line 3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540F2C" id="Line 341"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05pt,3.45pt" to="217.05pt,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Rt5FQIAACoEAAAOAAAAZHJzL2Uyb0RvYy54bWysU8uu2jAQ3VfqP1jeQxIIFCLCVZVAN7ct&#10;0r39AGM7xKpjW7YhoKr/3rEDtLSbqmoWjh8zx2fOGa+ezp1EJ26d0KrE2TjFiCuqmVCHEn953Y4W&#10;GDlPFCNSK17iC3f4af32zao3BZ/oVkvGLQIQ5YrelLj13hRJ4mjLO+LG2nAFh422HfGwtIeEWdID&#10;eieTSZrOk15bZqym3DnYrYdDvI74TcOp/9w0jnskSwzcfBxtHPdhTNYrUhwsMa2gVxrkH1h0RCi4&#10;9A5VE0/Q0Yo/oDpBrXa68WOqu0Q3jaA81gDVZOlv1by0xPBYC4jjzF0m9/9g6afTziLBSjwDeRTp&#10;wKNnoTia5lkQpzeugJhK7Wwoj57Vi3nW9KtDSlctUQceSb5eDCTGjOQhJSycgSv2/UfNIIYcvY5K&#10;nRvbBUjQAJ2jIZe7IfzsER02KexOF1maRq8SUtzyjHX+A9cdCpMSSyAdccnp2XlgDqG3kHCN0lsh&#10;ZbRbKtSXeDmbzGKC01KwcBjCnD3sK2nRiYSGiV+QAcAewqw+KhbBWk7Y5jr3RMhhDvFSBTyoBOhc&#10;Z0NHfFumy81is8hH+WS+GeVpXY/eb6t8NN9m72b1tK6qOvseqGV50QrGuArsbt2Z5X/n/vWdDH11&#10;78+7DMkjeiwRyN7+kXS0Mrg39MFes8vOBjWCq9CQMfj6eELH/7qOUT+f+PoHAAAA//8DAFBLAwQU&#10;AAYACAAAACEA4tUqltsAAAAIAQAADwAAAGRycy9kb3ducmV2LnhtbEyPzU7DMBCE70h9B2uRuFTU&#10;6Y8qCHGqCsiNCy2I6zZekoh4ncZuG3h6FvVAj9/OaHYmWw2uVUfqQ+PZwHSSgCIuvW24MvC2LW7v&#10;QIWIbLH1TAa+KcAqH11lmFp/4lc6bmKlJIRDigbqGLtU61DW5DBMfEcs2qfvHUbBvtK2x5OEu1bP&#10;kmSpHTYsH2rs6LGm8mtzcAZC8U774mdcjpOPeeVptn96eUZjbq6H9QOoSEP8N8NffakOuXTa+QPb&#10;oFoDi/liKlYDy3tQop95JywHnWf6ckD+CwAA//8DAFBLAQItABQABgAIAAAAIQC2gziS/gAAAOEB&#10;AAATAAAAAAAAAAAAAAAAAAAAAABbQ29udGVudF9UeXBlc10ueG1sUEsBAi0AFAAGAAgAAAAhADj9&#10;If/WAAAAlAEAAAsAAAAAAAAAAAAAAAAALwEAAF9yZWxzLy5yZWxzUEsBAi0AFAAGAAgAAAAhAIGx&#10;G3kVAgAAKgQAAA4AAAAAAAAAAAAAAAAALgIAAGRycy9lMm9Eb2MueG1sUEsBAi0AFAAGAAgAAAAh&#10;AOLVKpbbAAAACAEAAA8AAAAAAAAAAAAAAAAAbwQAAGRycy9kb3ducmV2LnhtbFBLBQYAAAAABAAE&#10;APMAAAB3BQAAAAA=&#10;"/>
            </w:pict>
          </mc:Fallback>
        </mc:AlternateContent>
      </w:r>
    </w:p>
    <w:p w:rsidR="00013EB8" w:rsidRDefault="00562F54">
      <w:pPr>
        <w:rPr>
          <w:color w:val="000000"/>
          <w:sz w:val="18"/>
        </w:rPr>
      </w:pPr>
      <w:r>
        <w:rPr>
          <w:noProof/>
          <w:sz w:val="18"/>
        </w:rPr>
        <mc:AlternateContent>
          <mc:Choice Requires="wps">
            <w:drawing>
              <wp:anchor distT="0" distB="0" distL="114300" distR="114300" simplePos="0" relativeHeight="251672064" behindDoc="0" locked="0" layoutInCell="1" allowOverlap="1" wp14:anchorId="674084B7" wp14:editId="313044D0">
                <wp:simplePos x="0" y="0"/>
                <wp:positionH relativeFrom="column">
                  <wp:posOffset>318135</wp:posOffset>
                </wp:positionH>
                <wp:positionV relativeFrom="paragraph">
                  <wp:posOffset>46990</wp:posOffset>
                </wp:positionV>
                <wp:extent cx="0" cy="228600"/>
                <wp:effectExtent l="0" t="0" r="0" b="0"/>
                <wp:wrapNone/>
                <wp:docPr id="49" name="Line 3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4A7603" id="Line 342"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5pt,3.7pt" to="25.05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dKrFAIAACoEAAAOAAAAZHJzL2Uyb0RvYy54bWysU02P2jAQvVfqf7B8h3xsoBARVhWBXmiL&#10;tNsfYGyHWHVsyzYEVPW/d+wAYttLVTUHZ2zPvHkzb7x4PncSnbh1QqsKZ+MUI66oZkIdKvztdTOa&#10;YeQ8UYxIrXiFL9zh5+X7d4velDzXrZaMWwQgypW9qXDrvSmTxNGWd8SNteEKLhttO+Jhaw8Js6QH&#10;9E4meZpOk15bZqym3Dk4rYdLvIz4TcOp/9o0jnskKwzcfFxtXPdhTZYLUh4sMa2gVxrkH1h0RChI&#10;eoeqiSfoaMUfUJ2gVjvd+DHVXaKbRlAea4BqsvS3al5aYnisBZrjzL1N7v/B0i+nnUWCVbiYY6RI&#10;BxptheLoqchDc3rjSvBZqZ0N5dGzejFbTb87pPSqJerAI8nXi4HALEQkb0LCxhlIse8/awY+5Oh1&#10;7NS5sV2AhB6gcxTkcheEnz2iwyGF0zyfTdOoVULKW5yxzn/iukPBqLAE0hGXnLbOBx6kvLmENEpv&#10;hJRRbqlQX+H5JJ/EAKelYOEyuDl72K+kRScSBiZ+sSi4eXSz+qhYBGs5Yeur7YmQgw3JpQp4UAnQ&#10;uVrDRPyYp/P1bD0rRkU+XY+KtK5HHzerYjTdZB8m9VO9WtXZz0AtK8pWMMZVYHebzqz4O/Wv72SY&#10;q/t83tuQvEWP/QKyt38kHaUM6g1zsNfssrM3iWEgo/P18YSJf9yD/fjEl78AAAD//wMAUEsDBBQA&#10;BgAIAAAAIQC5pBR72gAAAAYBAAAPAAAAZHJzL2Rvd25yZXYueG1sTI7BTsMwEETvSPyDtUhcqtZu&#10;GwoK2VQIyI1LC4jrNlmSiHidxm4b+HoMFziOZvTmZevRdurIg2+dIMxnBhRL6apWaoSX52J6A8oH&#10;koo6J4zwyR7W+flZRmnlTrLh4zbUKkLEp4TQhNCnWvuyYUt+5nqW2L27wVKIcah1NdApwm2nF8as&#10;tKVW4kNDPd83XH5sDxbBF6+8L74m5cS8LWvHi/3D0yMhXl6Md7egAo/hbww/+lEd8ui0cwepvOoQ&#10;rsw8LhGuE1Cx/o07hGSZgM4z/V8//wYAAP//AwBQSwECLQAUAAYACAAAACEAtoM4kv4AAADhAQAA&#10;EwAAAAAAAAAAAAAAAAAAAAAAW0NvbnRlbnRfVHlwZXNdLnhtbFBLAQItABQABgAIAAAAIQA4/SH/&#10;1gAAAJQBAAALAAAAAAAAAAAAAAAAAC8BAABfcmVscy8ucmVsc1BLAQItABQABgAIAAAAIQAm5dKr&#10;FAIAACoEAAAOAAAAAAAAAAAAAAAAAC4CAABkcnMvZTJvRG9jLnhtbFBLAQItABQABgAIAAAAIQC5&#10;pBR72gAAAAYBAAAPAAAAAAAAAAAAAAAAAG4EAABkcnMvZG93bnJldi54bWxQSwUGAAAAAAQABADz&#10;AAAAdQUAAAAA&#10;"/>
            </w:pict>
          </mc:Fallback>
        </mc:AlternateContent>
      </w:r>
      <w:r>
        <w:rPr>
          <w:noProof/>
          <w:sz w:val="18"/>
        </w:rPr>
        <mc:AlternateContent>
          <mc:Choice Requires="wps">
            <w:drawing>
              <wp:anchor distT="0" distB="0" distL="114300" distR="114300" simplePos="0" relativeHeight="251670016" behindDoc="0" locked="0" layoutInCell="1" allowOverlap="1" wp14:anchorId="23CC9B5B" wp14:editId="7B70C9F2">
                <wp:simplePos x="0" y="0"/>
                <wp:positionH relativeFrom="column">
                  <wp:posOffset>5194935</wp:posOffset>
                </wp:positionH>
                <wp:positionV relativeFrom="paragraph">
                  <wp:posOffset>62230</wp:posOffset>
                </wp:positionV>
                <wp:extent cx="0" cy="228600"/>
                <wp:effectExtent l="0" t="0" r="0" b="0"/>
                <wp:wrapNone/>
                <wp:docPr id="48" name="Line 3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0F1A9" id="Line 340"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9.05pt,4.9pt" to="409.0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NZ+FAIAACoEAAAOAAAAZHJzL2Uyb0RvYy54bWysU8uu2yAQ3VfqPyD2iR/XSRMrzlVlJ92k&#10;baR7+wEEcIyKAQGJE1X99w7kodx2U1X1Ag/McObMnGHxfOolOnLrhFYVzsYpRlxRzYTaV/jb63o0&#10;w8h5ohiRWvEKn7nDz8v37xaDKXmuOy0ZtwhAlCsHU+HOe1MmiaMd74kba8MVOFtte+Jha/cJs2QA&#10;9F4meZpOk0FbZqym3Dk4bS5OvIz4bcup/9q2jnskKwzcfFxtXHdhTZYLUu4tMZ2gVxrkH1j0RChI&#10;eodqiCfoYMUfUL2gVjvd+jHVfaLbVlAea4BqsvS3al46YnisBZrjzL1N7v/B0i/HrUWCVbgApRTp&#10;QaONUBw9FbE5g3ElxNRqa0N59KRezEbT7w4pXXdE7Xkk+Xo2cDEL7UzeXAkbZyDFbvisGcSQg9ex&#10;U6fW9gESeoBOUZDzXRB+8oheDimc5vlsmkY6CSlv94x1/hPXPQpGhSWQjrjkuHE+8CDlLSSkUXot&#10;pIxyS4WGCs8n+SRecFoKFpwhzNn9rpYWHUkYmPjFosDzGGb1QbEI1nHCVlfbEyEvNiSXKuBBJUDn&#10;al0m4sc8na9mq1kxKvLpalSkTTP6uK6L0XSdfZg0T01dN9nPQC0ryk4wxlVgd5vOrPg79a/v5DJX&#10;9/m8tyF5ix77BWRv/0g6ShnUC8/JlTvNzlt7kxgGMgZfH0+Y+Mc92I9PfPkLAAD//wMAUEsDBBQA&#10;BgAIAAAAIQDb//eh3AAAAAgBAAAPAAAAZHJzL2Rvd25yZXYueG1sTI/NTsMwEITvSLyDtUhcqtZJ&#10;+VEIcSoE5MaFQsV1Gy9JRLxOY7cNPD2LOMBxNKOZb4rV5Hp1oDF0ng2kiwQUce1tx42B15dqnoEK&#10;Edli75kMfFKAVXl6UmBu/ZGf6bCOjZISDjkaaGMccq1D3ZLDsPADsXjvfnQYRY6NtiMepdz1epkk&#10;19phx7LQ4kD3LdUf670zEKoN7aqvWT1L3i4aT8vdw9MjGnN+Nt3dgoo0xb8w/OALOpTCtPV7tkH1&#10;BrI0SyVq4EYeiP+rtwYurzLQZaH/Hyi/AQAA//8DAFBLAQItABQABgAIAAAAIQC2gziS/gAAAOEB&#10;AAATAAAAAAAAAAAAAAAAAAAAAABbQ29udGVudF9UeXBlc10ueG1sUEsBAi0AFAAGAAgAAAAhADj9&#10;If/WAAAAlAEAAAsAAAAAAAAAAAAAAAAALwEAAF9yZWxzLy5yZWxzUEsBAi0AFAAGAAgAAAAhAOYg&#10;1n4UAgAAKgQAAA4AAAAAAAAAAAAAAAAALgIAAGRycy9lMm9Eb2MueG1sUEsBAi0AFAAGAAgAAAAh&#10;ANv/96HcAAAACAEAAA8AAAAAAAAAAAAAAAAAbgQAAGRycy9kb3ducmV2LnhtbFBLBQYAAAAABAAE&#10;APMAAAB3BQAAAAA=&#10;"/>
            </w:pict>
          </mc:Fallback>
        </mc:AlternateContent>
      </w:r>
      <w:r>
        <w:rPr>
          <w:noProof/>
          <w:sz w:val="18"/>
        </w:rPr>
        <mc:AlternateContent>
          <mc:Choice Requires="wps">
            <w:drawing>
              <wp:anchor distT="0" distB="0" distL="114300" distR="114300" simplePos="0" relativeHeight="251668992" behindDoc="0" locked="0" layoutInCell="1" allowOverlap="1" wp14:anchorId="31004B97" wp14:editId="7360B14D">
                <wp:simplePos x="0" y="0"/>
                <wp:positionH relativeFrom="column">
                  <wp:posOffset>-139065</wp:posOffset>
                </wp:positionH>
                <wp:positionV relativeFrom="paragraph">
                  <wp:posOffset>77470</wp:posOffset>
                </wp:positionV>
                <wp:extent cx="5905500" cy="0"/>
                <wp:effectExtent l="0" t="0" r="0" b="0"/>
                <wp:wrapNone/>
                <wp:docPr id="47" name="Line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A31D2A" id="Line 339"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5pt,6.1pt" to="454.0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84g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T5E0aK&#10;dKDRRiiOxuN5aE5vXAExldraUB49qVez0fS7Q0pXLVF7Hkm+nQ0kZiEjeZcSNs7AFbv+i2YQQw5e&#10;x06dGtsFSOgBOkVBzndB+MkjCoeTeTqZpKAbvfkSUtwSjXX+M9cdCkaJJbCOwOS4cT4QIcUtJNyj&#10;9FpIGfWWCvUlnk9Gk5jgtBQsOEOYs/tdJS06kjAx8YtVgecxzOqDYhGs5YStrrYnQl5suFyqgAel&#10;AJ2rdRmJH/N0vpqtZvkgH01Xgzyt68GndZUPpuvsaVKP66qqs5+BWpYXrWCMq8DuNp5Z/nfyXx/K&#10;ZbDuA3pvQ/IePfYLyN7+kXTUMsh3GYSdZuetvWkMExmDr68njPzjHuzHN778BQAA//8DAFBLAwQU&#10;AAYACAAAACEAsYJj9dwAAAAJAQAADwAAAGRycy9kb3ducmV2LnhtbEyPwU7DMAyG70i8Q2QkLtOW&#10;NEhoK00nBPTGhQHi6jWmrWicrsm2sqdfEAc42v+n35+L9eR6caAxdJ4NZAsFgrj2tuPGwNtrNV+C&#10;CBHZYu+ZDHxTgHV5eVFgbv2RX+iwiY1IJRxyNNDGOORShrolh2HhB+KUffrRYUzj2Eg74jGVu15q&#10;pW6lw47ThRYHemip/trsnYFQvdOuOs3qmfq4aTzp3ePzExpzfTXd34GINMU/GH70kzqUyWnr92yD&#10;6A3MdbZKaAq0BpGAlVpmILa/C1kW8v8H5RkAAP//AwBQSwECLQAUAAYACAAAACEAtoM4kv4AAADh&#10;AQAAEwAAAAAAAAAAAAAAAAAAAAAAW0NvbnRlbnRfVHlwZXNdLnhtbFBLAQItABQABgAIAAAAIQA4&#10;/SH/1gAAAJQBAAALAAAAAAAAAAAAAAAAAC8BAABfcmVscy8ucmVsc1BLAQItABQABgAIAAAAIQDT&#10;n84gFQIAACsEAAAOAAAAAAAAAAAAAAAAAC4CAABkcnMvZTJvRG9jLnhtbFBLAQItABQABgAIAAAA&#10;IQCxgmP13AAAAAkBAAAPAAAAAAAAAAAAAAAAAG8EAABkcnMvZG93bnJldi54bWxQSwUGAAAAAAQA&#10;BADzAAAAeAU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791153">
      <w:pPr>
        <w:ind w:left="2160" w:hanging="2160"/>
        <w:rPr>
          <w:color w:val="000000"/>
          <w:sz w:val="18"/>
        </w:rPr>
      </w:pPr>
      <w:r>
        <w:rPr>
          <w:color w:val="000000"/>
          <w:sz w:val="18"/>
        </w:rPr>
        <w:t>Date of Grant of</w:t>
      </w:r>
      <w:r>
        <w:rPr>
          <w:color w:val="000000"/>
          <w:sz w:val="18"/>
        </w:rPr>
        <w:tab/>
      </w:r>
      <w:r>
        <w:rPr>
          <w:color w:val="000000"/>
          <w:sz w:val="18"/>
        </w:rPr>
        <w:tab/>
      </w:r>
      <w:r>
        <w:rPr>
          <w:color w:val="000000"/>
          <w:sz w:val="18"/>
        </w:rPr>
        <w:tab/>
      </w:r>
      <w:r w:rsidR="00013EB8">
        <w:rPr>
          <w:color w:val="000000"/>
          <w:sz w:val="18"/>
        </w:rPr>
        <w:t>Medical Record of</w:t>
      </w:r>
      <w:r w:rsidR="00013EB8">
        <w:rPr>
          <w:color w:val="000000"/>
          <w:sz w:val="18"/>
        </w:rPr>
        <w:tab/>
      </w:r>
      <w:r w:rsidR="00013EB8">
        <w:rPr>
          <w:color w:val="000000"/>
          <w:sz w:val="18"/>
        </w:rPr>
        <w:tab/>
      </w:r>
      <w:r w:rsidR="00013EB8">
        <w:rPr>
          <w:color w:val="000000"/>
          <w:sz w:val="18"/>
        </w:rPr>
        <w:tab/>
        <w:t>Date of Claim for Increase</w:t>
      </w:r>
    </w:p>
    <w:p w:rsidR="00013EB8" w:rsidRDefault="00013EB8">
      <w:pPr>
        <w:ind w:left="2160" w:hanging="2160"/>
        <w:rPr>
          <w:color w:val="000000"/>
          <w:sz w:val="18"/>
        </w:rPr>
      </w:pPr>
      <w:r>
        <w:rPr>
          <w:color w:val="000000"/>
          <w:sz w:val="18"/>
        </w:rPr>
        <w:t>SC for Knee Disability</w:t>
      </w:r>
      <w:r>
        <w:rPr>
          <w:color w:val="000000"/>
          <w:sz w:val="18"/>
        </w:rPr>
        <w:tab/>
      </w:r>
      <w:r>
        <w:rPr>
          <w:color w:val="000000"/>
          <w:sz w:val="18"/>
        </w:rPr>
        <w:tab/>
      </w:r>
      <w:r>
        <w:rPr>
          <w:color w:val="000000"/>
          <w:sz w:val="18"/>
        </w:rPr>
        <w:tab/>
        <w:t>Total Knee Replacement</w:t>
      </w:r>
      <w:r>
        <w:rPr>
          <w:color w:val="000000"/>
          <w:sz w:val="18"/>
        </w:rPr>
        <w:tab/>
      </w:r>
      <w:r>
        <w:rPr>
          <w:color w:val="000000"/>
          <w:sz w:val="18"/>
        </w:rPr>
        <w:tab/>
      </w:r>
      <w:r>
        <w:rPr>
          <w:color w:val="000000"/>
          <w:sz w:val="18"/>
        </w:rPr>
        <w:tab/>
        <w:t>(within one year of TKR)</w:t>
      </w:r>
    </w:p>
    <w:p w:rsidR="00013EB8" w:rsidRDefault="001212ED">
      <w:pPr>
        <w:ind w:right="-180"/>
        <w:rPr>
          <w:sz w:val="18"/>
        </w:rPr>
      </w:pPr>
      <w:r>
        <w:rPr>
          <w:color w:val="000000"/>
          <w:sz w:val="18"/>
        </w:rPr>
        <w:t>08/20/02</w:t>
      </w:r>
      <w:r>
        <w:rPr>
          <w:color w:val="000000"/>
          <w:sz w:val="18"/>
        </w:rPr>
        <w:tab/>
      </w:r>
      <w:r>
        <w:rPr>
          <w:color w:val="000000"/>
          <w:sz w:val="18"/>
        </w:rPr>
        <w:tab/>
      </w:r>
      <w:r>
        <w:rPr>
          <w:color w:val="000000"/>
          <w:sz w:val="18"/>
        </w:rPr>
        <w:tab/>
      </w:r>
      <w:r>
        <w:rPr>
          <w:color w:val="000000"/>
          <w:sz w:val="18"/>
        </w:rPr>
        <w:tab/>
      </w:r>
      <w:r>
        <w:rPr>
          <w:color w:val="000000"/>
          <w:sz w:val="18"/>
        </w:rPr>
        <w:tab/>
        <w:t>09/08/12</w:t>
      </w:r>
      <w:r>
        <w:rPr>
          <w:color w:val="000000"/>
          <w:sz w:val="18"/>
        </w:rPr>
        <w:tab/>
      </w:r>
      <w:r>
        <w:rPr>
          <w:color w:val="000000"/>
          <w:sz w:val="18"/>
        </w:rPr>
        <w:tab/>
      </w:r>
      <w:r>
        <w:rPr>
          <w:color w:val="000000"/>
          <w:sz w:val="18"/>
        </w:rPr>
        <w:tab/>
      </w:r>
      <w:r>
        <w:rPr>
          <w:color w:val="000000"/>
          <w:sz w:val="18"/>
        </w:rPr>
        <w:tab/>
      </w:r>
      <w:r>
        <w:rPr>
          <w:color w:val="000000"/>
          <w:sz w:val="18"/>
        </w:rPr>
        <w:tab/>
        <w:t>05/06/13</w:t>
      </w:r>
    </w:p>
    <w:p w:rsidR="00013EB8" w:rsidRDefault="00013EB8">
      <w:pPr>
        <w:numPr>
          <w:ilvl w:val="12"/>
          <w:numId w:val="0"/>
        </w:numPr>
        <w:jc w:val="both"/>
        <w:rPr>
          <w:sz w:val="18"/>
        </w:rPr>
      </w:pPr>
    </w:p>
    <w:p w:rsidR="00013EB8" w:rsidRDefault="00013EB8">
      <w:pPr>
        <w:numPr>
          <w:ilvl w:val="12"/>
          <w:numId w:val="0"/>
        </w:numPr>
        <w:jc w:val="both"/>
        <w:rPr>
          <w:sz w:val="18"/>
        </w:rPr>
      </w:pPr>
    </w:p>
    <w:p w:rsidR="00013EB8" w:rsidRDefault="00013EB8">
      <w:pPr>
        <w:numPr>
          <w:ilvl w:val="12"/>
          <w:numId w:val="0"/>
        </w:numPr>
        <w:jc w:val="both"/>
        <w:rPr>
          <w:i/>
          <w:iCs/>
          <w:sz w:val="18"/>
        </w:rPr>
      </w:pPr>
      <w:r>
        <w:rPr>
          <w:i/>
          <w:iCs/>
          <w:sz w:val="18"/>
        </w:rPr>
        <w:t>Claim For Increased Evaluation Received More Than 1 Year After Increased Disability, Based on Private Treatment Records:</w:t>
      </w:r>
    </w:p>
    <w:p w:rsidR="00013EB8" w:rsidRDefault="00013EB8">
      <w:pPr>
        <w:numPr>
          <w:ilvl w:val="12"/>
          <w:numId w:val="0"/>
        </w:numPr>
        <w:jc w:val="both"/>
        <w:rPr>
          <w:sz w:val="18"/>
        </w:rPr>
      </w:pPr>
    </w:p>
    <w:p w:rsidR="00013EB8" w:rsidRDefault="00013EB8">
      <w:pPr>
        <w:ind w:left="6480" w:firstLine="720"/>
        <w:rPr>
          <w:b/>
          <w:bCs/>
          <w:color w:val="000000"/>
          <w:sz w:val="18"/>
        </w:rPr>
      </w:pPr>
      <w:r>
        <w:rPr>
          <w:b/>
          <w:bCs/>
          <w:color w:val="000000"/>
          <w:sz w:val="18"/>
        </w:rPr>
        <w:t>Effective Date</w:t>
      </w:r>
    </w:p>
    <w:p w:rsidR="00013EB8" w:rsidRDefault="00013EB8">
      <w:pPr>
        <w:ind w:left="6480" w:firstLine="720"/>
        <w:rPr>
          <w:color w:val="000000"/>
          <w:sz w:val="18"/>
        </w:rPr>
      </w:pPr>
      <w:r>
        <w:rPr>
          <w:color w:val="000000"/>
          <w:sz w:val="18"/>
        </w:rPr>
        <w:t>(date of claim &gt; 1 year)</w:t>
      </w:r>
    </w:p>
    <w:p w:rsidR="00013EB8" w:rsidRDefault="001212ED">
      <w:pPr>
        <w:ind w:left="6480" w:firstLine="720"/>
        <w:rPr>
          <w:b/>
          <w:bCs/>
          <w:color w:val="000000"/>
          <w:sz w:val="18"/>
        </w:rPr>
      </w:pPr>
      <w:r>
        <w:rPr>
          <w:b/>
          <w:bCs/>
          <w:color w:val="000000"/>
          <w:sz w:val="18"/>
        </w:rPr>
        <w:t>12/15/12</w:t>
      </w:r>
      <w:r w:rsidR="00013EB8">
        <w:rPr>
          <w:b/>
          <w:bCs/>
          <w:color w:val="000000"/>
          <w:sz w:val="18"/>
        </w:rPr>
        <w:t xml:space="preserve">  </w:t>
      </w:r>
    </w:p>
    <w:p w:rsidR="00013EB8" w:rsidRDefault="00562F54">
      <w:pPr>
        <w:rPr>
          <w:color w:val="000000"/>
          <w:sz w:val="18"/>
        </w:rPr>
      </w:pPr>
      <w:r>
        <w:rPr>
          <w:noProof/>
          <w:sz w:val="18"/>
        </w:rPr>
        <mc:AlternateContent>
          <mc:Choice Requires="wps">
            <w:drawing>
              <wp:anchor distT="0" distB="0" distL="114300" distR="114300" simplePos="0" relativeHeight="251676160" behindDoc="0" locked="0" layoutInCell="1" allowOverlap="1" wp14:anchorId="5F7EC1D2" wp14:editId="1CDE6FE1">
                <wp:simplePos x="0" y="0"/>
                <wp:positionH relativeFrom="column">
                  <wp:posOffset>4890135</wp:posOffset>
                </wp:positionH>
                <wp:positionV relativeFrom="paragraph">
                  <wp:posOffset>22225</wp:posOffset>
                </wp:positionV>
                <wp:extent cx="0" cy="381000"/>
                <wp:effectExtent l="0" t="0" r="0" b="0"/>
                <wp:wrapNone/>
                <wp:docPr id="46" name="Line 3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66E22" id="Line 346" o:spid="_x0000_s1026" style="position:absolute;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05pt,1.75pt" to="385.05pt,3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HpEwIAACoEAAAOAAAAZHJzL2Uyb0RvYy54bWysU8GO2jAQvVfqP1i+QxIIFCLCqkqgl22L&#10;tNsPMLZDrDq2ZRsCqvrvHTuA2PZSVc3BGdszb97MG6+ezp1EJ26d0KrE2TjFiCuqmVCHEn973Y4W&#10;GDlPFCNSK17iC3f4af3+3ao3BZ/oVkvGLQIQ5YrelLj13hRJ4mjLO+LG2nAFl422HfGwtYeEWdID&#10;eieTSZrOk15bZqym3Dk4rYdLvI74TcOp/9o0jnskSwzcfFxtXPdhTdYrUhwsMa2gVxrkH1h0RChI&#10;eoeqiSfoaMUfUJ2gVjvd+DHVXaKbRlAea4BqsvS3al5aYnisBZrjzL1N7v/B0i+nnUWClTifY6RI&#10;Bxo9C8XRFPbQnN64AnwqtbOhPHpWL+ZZ0+8OKV21RB14JPl6MRCYhYjkTUjYOAMp9v1nzcCHHL2O&#10;nTo3tguQ0AN0joJc7oLws0d0OKRwOl1kaRq1SkhxizPW+U9cdygYJZZAOuKS07PzgQcpbi4hjdJb&#10;IWWUWyrUl3g5m8xigNNSsHAZ3Jw97Ctp0YmEgYlfLApuHt2sPioWwVpO2OZqeyLkYENyqQIeVAJ0&#10;rtYwET+W6XKz2CzyUT6Zb0Z5Wtejj9sqH8232YdZPa2rqs5+BmpZXrSCMa4Cu9t0ZvnfqX99J8Nc&#10;3efz3obkLXrsF5C9/SPpKGVQb5iDvWaXnb1JDAMZna+PJ0z84x7sxye+/gUAAP//AwBQSwMEFAAG&#10;AAgAAAAhAPDoEyXbAAAACAEAAA8AAABkcnMvZG93bnJldi54bWxMj8FOwzAQRO9I/IO1SFwqarcV&#10;LQpxKgTkxoUC4rqNlyQiXqex2wa+nkU9wHF2RrNv8vXoO3WgIbaBLcymBhRxFVzLtYXXl/LqBlRM&#10;yA67wGThiyKsi/OzHDMXjvxMh02qlZRwzNBCk1KfaR2rhjzGaeiJxfsIg8ckcqi1G/Ao5b7Tc2OW&#10;2mPL8qHBnu4bqj43e28hlm+0K78n1cS8L+pA893D0yNae3kx3t2CSjSmvzD84gs6FMK0DXt2UXUW&#10;Viszk6iFxTUo8U96a2EpB13k+v+A4gcAAP//AwBQSwECLQAUAAYACAAAACEAtoM4kv4AAADhAQAA&#10;EwAAAAAAAAAAAAAAAAAAAAAAW0NvbnRlbnRfVHlwZXNdLnhtbFBLAQItABQABgAIAAAAIQA4/SH/&#10;1gAAAJQBAAALAAAAAAAAAAAAAAAAAC8BAABfcmVscy8ucmVsc1BLAQItABQABgAIAAAAIQA+4qHp&#10;EwIAACoEAAAOAAAAAAAAAAAAAAAAAC4CAABkcnMvZTJvRG9jLnhtbFBLAQItABQABgAIAAAAIQDw&#10;6BMl2wAAAAgBAAAPAAAAAAAAAAAAAAAAAG0EAABkcnMvZG93bnJldi54bWxQSwUGAAAAAAQABADz&#10;AAAAdQUAAAAA&#10;"/>
            </w:pict>
          </mc:Fallback>
        </mc:AlternateContent>
      </w:r>
    </w:p>
    <w:p w:rsidR="00013EB8" w:rsidRDefault="00562F54">
      <w:pPr>
        <w:rPr>
          <w:color w:val="000000"/>
          <w:sz w:val="18"/>
        </w:rPr>
      </w:pPr>
      <w:r>
        <w:rPr>
          <w:noProof/>
          <w:sz w:val="18"/>
        </w:rPr>
        <mc:AlternateContent>
          <mc:Choice Requires="wps">
            <w:drawing>
              <wp:anchor distT="0" distB="0" distL="114300" distR="114300" simplePos="0" relativeHeight="251674112" behindDoc="0" locked="0" layoutInCell="1" allowOverlap="1" wp14:anchorId="1C76D55F" wp14:editId="15E44DB2">
                <wp:simplePos x="0" y="0"/>
                <wp:positionH relativeFrom="column">
                  <wp:posOffset>2680335</wp:posOffset>
                </wp:positionH>
                <wp:positionV relativeFrom="paragraph">
                  <wp:posOffset>101600</wp:posOffset>
                </wp:positionV>
                <wp:extent cx="0" cy="228600"/>
                <wp:effectExtent l="0" t="0" r="0" b="0"/>
                <wp:wrapNone/>
                <wp:docPr id="45" name="Line 3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615C3C" id="Line 344"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05pt,8pt" to="211.0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DS2FAIAACoEAAAOAAAAZHJzL2Uyb0RvYy54bWysU02P2jAQvVfqf7B8h3xsoBARVhWBXmiL&#10;tNsfYGyHWHVsyzYEVPW/d+wAYttLVTUHZ2zPvHkzb7x4PncSnbh1QqsKZ+MUI66oZkIdKvztdTOa&#10;YeQ8UYxIrXiFL9zh5+X7d4velDzXrZaMWwQgypW9qXDrvSmTxNGWd8SNteEKLhttO+Jhaw8Js6QH&#10;9E4meZpOk15bZqym3Dk4rYdLvIz4TcOp/9o0jnskKwzcfFxtXPdhTZYLUh4sMa2gVxrkH1h0RChI&#10;eoeqiSfoaMUfUJ2gVjvd+DHVXaKbRlAea4BqsvS3al5aYnisBZrjzL1N7v/B0i+nnUWCVbiYYKRI&#10;BxptheLoqShCc3rjSvBZqZ0N5dGzejFbTb87pPSqJerAI8nXi4HALEQkb0LCxhlIse8/awY+5Oh1&#10;7NS5sV2AhB6gcxTkcheEnz2iwyGF0zyfTdOoVULKW5yxzn/iukPBqLAE0hGXnLbOBx6kvLmENEpv&#10;hJRRbqlQX+H5JJ/EAKelYOEyuDl72K+kRScSBiZ+sSi4eXSz+qhYBGs5Yeur7YmQgw3JpQp4UAnQ&#10;uVrDRPyYp/P1bD0rRkU+XY+KtK5HHzerYjTdZB8m9VO9WtXZz0AtK8pWMMZVYHebzqz4O/Wv72SY&#10;q/t83tuQvEWP/QKyt38kHaUM6g1zsNfssrM3iWEgo/P18YSJf9yD/fjEl78AAAD//wMAUEsDBBQA&#10;BgAIAAAAIQCC5j4x3AAAAAkBAAAPAAAAZHJzL2Rvd25yZXYueG1sTI/BTsMwEETvSPyDtUhcKurU&#10;QIVCnAoBuXGhgLhu4yWJiNdp7LaBr2dRD3DcmafZmWI1+V7taYxdYAuLeQaKuA6u48bC60t1cQMq&#10;JmSHfWCy8EURVuXpSYG5Cwd+pv06NUpCOOZooU1pyLWOdUse4zwMxOJ9hNFjknNstBvxIOG+1ybL&#10;ltpjx/KhxYHuW6o/1ztvIVZvtK2+Z/Use79sApntw9MjWnt+Nt3dgko0pT8YfutLdSil0ybs2EXV&#10;W7gyZiGoGEvZJMBR2Fi4NhnostD/F5Q/AAAA//8DAFBLAQItABQABgAIAAAAIQC2gziS/gAAAOEB&#10;AAATAAAAAAAAAAAAAAAAAAAAAABbQ29udGVudF9UeXBlc10ueG1sUEsBAi0AFAAGAAgAAAAhADj9&#10;If/WAAAAlAEAAAsAAAAAAAAAAAAAAAAALwEAAF9yZWxzLy5yZWxzUEsBAi0AFAAGAAgAAAAhAJwo&#10;NLYUAgAAKgQAAA4AAAAAAAAAAAAAAAAALgIAAGRycy9lMm9Eb2MueG1sUEsBAi0AFAAGAAgAAAAh&#10;AILmPjHcAAAACQEAAA8AAAAAAAAAAAAAAAAAbgQAAGRycy9kb3ducmV2LnhtbFBLBQYAAAAABAAE&#10;APMAAAB3BQAAAAA=&#10;"/>
            </w:pict>
          </mc:Fallback>
        </mc:AlternateContent>
      </w:r>
      <w:r>
        <w:rPr>
          <w:noProof/>
          <w:sz w:val="18"/>
        </w:rPr>
        <mc:AlternateContent>
          <mc:Choice Requires="wps">
            <w:drawing>
              <wp:anchor distT="0" distB="0" distL="114300" distR="114300" simplePos="0" relativeHeight="251675136" behindDoc="0" locked="0" layoutInCell="1" allowOverlap="1" wp14:anchorId="72855145" wp14:editId="7F8BB953">
                <wp:simplePos x="0" y="0"/>
                <wp:positionH relativeFrom="column">
                  <wp:posOffset>318135</wp:posOffset>
                </wp:positionH>
                <wp:positionV relativeFrom="paragraph">
                  <wp:posOffset>46990</wp:posOffset>
                </wp:positionV>
                <wp:extent cx="0" cy="228600"/>
                <wp:effectExtent l="0" t="0" r="0" b="0"/>
                <wp:wrapNone/>
                <wp:docPr id="44" name="Line 3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806B2A" id="Line 345"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5pt,3.7pt" to="25.05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x2UFAIAACoEAAAOAAAAZHJzL2Uyb0RvYy54bWysU02P2jAQvVfqf7B8h3xsoBARVhWBXmiL&#10;tNsfYGyHWHVsyzYEVPW/d+wAYttLVTUHZ2zPvHkzb7x4PncSnbh1QqsKZ+MUI66oZkIdKvztdTOa&#10;YeQ8UYxIrXiFL9zh5+X7d4velDzXrZaMWwQgypW9qXDrvSmTxNGWd8SNteEKLhttO+Jhaw8Js6QH&#10;9E4meZpOk15bZqym3Dk4rYdLvIz4TcOp/9o0jnskKwzcfFxtXPdhTZYLUh4sMa2gVxrkH1h0RChI&#10;eoeqiSfoaMUfUJ2gVjvd+DHVXaKbRlAea4BqsvS3al5aYnisBZrjzL1N7v/B0i+nnUWCVbgoMFKk&#10;A422QnH0VExCc3rjSvBZqZ0N5dGzejFbTb87pPSqJerAI8nXi4HALEQkb0LCxhlIse8/awY+5Oh1&#10;7NS5sV2AhB6gcxTkcheEnz2iwyGF0zyfTdOoVULKW5yxzn/iukPBqLAE0hGXnLbOBx6kvLmENEpv&#10;hJRRbqlQX+H5JJ/EAKelYOEyuDl72K+kRScSBiZ+sSi4eXSz+qhYBGs5Yeur7YmQgw3JpQp4UAnQ&#10;uVrDRPyYp/P1bD0rRkU+XY+KtK5HHzerYjTdZB8m9VO9WtXZz0AtK8pWMMZVYHebzqz4O/Wv72SY&#10;q/t83tuQvEWP/QKyt38kHaUM6g1zsNfssrM3iWEgo/P18YSJf9yD/fjEl78AAAD//wMAUEsDBBQA&#10;BgAIAAAAIQC5pBR72gAAAAYBAAAPAAAAZHJzL2Rvd25yZXYueG1sTI7BTsMwEETvSPyDtUhcqtZu&#10;GwoK2VQIyI1LC4jrNlmSiHidxm4b+HoMFziOZvTmZevRdurIg2+dIMxnBhRL6apWaoSX52J6A8oH&#10;koo6J4zwyR7W+flZRmnlTrLh4zbUKkLEp4TQhNCnWvuyYUt+5nqW2L27wVKIcah1NdApwm2nF8as&#10;tKVW4kNDPd83XH5sDxbBF6+8L74m5cS8LWvHi/3D0yMhXl6Md7egAo/hbww/+lEd8ui0cwepvOoQ&#10;rsw8LhGuE1Cx/o07hGSZgM4z/V8//wYAAP//AwBQSwECLQAUAAYACAAAACEAtoM4kv4AAADhAQAA&#10;EwAAAAAAAAAAAAAAAAAAAAAAW0NvbnRlbnRfVHlwZXNdLnhtbFBLAQItABQABgAIAAAAIQA4/SH/&#10;1gAAAJQBAAALAAAAAAAAAAAAAAAAAC8BAABfcmVscy8ucmVsc1BLAQItABQABgAIAAAAIQDwix2U&#10;FAIAACoEAAAOAAAAAAAAAAAAAAAAAC4CAABkcnMvZTJvRG9jLnhtbFBLAQItABQABgAIAAAAIQC5&#10;pBR72gAAAAYBAAAPAAAAAAAAAAAAAAAAAG4EAABkcnMvZG93bnJldi54bWxQSwUGAAAAAAQABADz&#10;AAAAdQUAAAAA&#10;"/>
            </w:pict>
          </mc:Fallback>
        </mc:AlternateContent>
      </w:r>
      <w:r>
        <w:rPr>
          <w:noProof/>
          <w:sz w:val="18"/>
        </w:rPr>
        <mc:AlternateContent>
          <mc:Choice Requires="wps">
            <w:drawing>
              <wp:anchor distT="0" distB="0" distL="114300" distR="114300" simplePos="0" relativeHeight="251673088" behindDoc="0" locked="0" layoutInCell="1" allowOverlap="1" wp14:anchorId="2E51AFB2" wp14:editId="0ECE13F6">
                <wp:simplePos x="0" y="0"/>
                <wp:positionH relativeFrom="column">
                  <wp:posOffset>-139065</wp:posOffset>
                </wp:positionH>
                <wp:positionV relativeFrom="paragraph">
                  <wp:posOffset>77470</wp:posOffset>
                </wp:positionV>
                <wp:extent cx="5905500" cy="0"/>
                <wp:effectExtent l="0" t="0" r="0" b="0"/>
                <wp:wrapNone/>
                <wp:docPr id="43" name="Line 3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82F93E" id="Line 343"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5pt,6.1pt" to="454.0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cf1FA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ifYqRI&#10;Bxo9C8XRFPbQnN64AmIqtbOhPHpWL+ZZ0+8OKV21RB14JPl6MZCYhYzkTUrYOANX7PvPmkEMOXod&#10;O3VubBcgoQfoHAW53AXhZ48oHM6W6WyWgm508CWkGBKNdf4T1x0KRoklsI7A5PTsfCBCiiEk3KP0&#10;VkgZ9ZYK9SVeziazmOC0FCw4Q5izh30lLTqRMDHxi1WB5zHM6qNiEazlhG1utidCXm24XKqAB6UA&#10;nZt1HYkfy3S5WWwW+SifzDejPK3r0cdtlY/m2+zDrJ7WVVVnPwO1LC9awRhXgd0wnln+d/LfHsp1&#10;sO4Dem9D8hY99gvIDv9IOmoZ5LsOwl6zy84OGsNExuDb6wkj/7gH+/GNr38BAAD//wMAUEsDBBQA&#10;BgAIAAAAIQCxgmP13AAAAAkBAAAPAAAAZHJzL2Rvd25yZXYueG1sTI/BTsMwDIbvSLxDZCQu05Y0&#10;SGgrTScE9MaFAeLqNaataJyuybayp18QBzja/6ffn4v15HpxoDF0ng1kCwWCuPa248bA22s1X4II&#10;Edli75kMfFOAdXl5UWBu/ZFf6LCJjUglHHI00MY45FKGuiWHYeEH4pR9+tFhTOPYSDviMZW7Xmql&#10;bqXDjtOFFgd6aKn+2uydgVC90646zeqZ+rhpPOnd4/MTGnN9Nd3fgYg0xT8YfvSTOpTJaev3bIPo&#10;Dcx1tkpoCrQGkYCVWmYgtr8LWRby/wflGQAA//8DAFBLAQItABQABgAIAAAAIQC2gziS/gAAAOEB&#10;AAATAAAAAAAAAAAAAAAAAAAAAABbQ29udGVudF9UeXBlc10ueG1sUEsBAi0AFAAGAAgAAAAhADj9&#10;If/WAAAAlAEAAAsAAAAAAAAAAAAAAAAALwEAAF9yZWxzLy5yZWxzUEsBAi0AFAAGAAgAAAAhAFU1&#10;x/UUAgAAKwQAAA4AAAAAAAAAAAAAAAAALgIAAGRycy9lMm9Eb2MueG1sUEsBAi0AFAAGAAgAAAAh&#10;ALGCY/XcAAAACQEAAA8AAAAAAAAAAAAAAAAAbgQAAGRycy9kb3ducmV2LnhtbFBLBQYAAAAABAAE&#10;APMAAAB3BQ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791153">
      <w:pPr>
        <w:ind w:left="2160" w:hanging="2160"/>
        <w:rPr>
          <w:color w:val="000000"/>
          <w:sz w:val="18"/>
        </w:rPr>
      </w:pPr>
      <w:r>
        <w:rPr>
          <w:color w:val="000000"/>
          <w:sz w:val="18"/>
        </w:rPr>
        <w:t>Date of Grant of</w:t>
      </w:r>
      <w:r>
        <w:rPr>
          <w:color w:val="000000"/>
          <w:sz w:val="18"/>
        </w:rPr>
        <w:tab/>
      </w:r>
      <w:r>
        <w:rPr>
          <w:color w:val="000000"/>
          <w:sz w:val="18"/>
        </w:rPr>
        <w:tab/>
      </w:r>
      <w:r>
        <w:rPr>
          <w:color w:val="000000"/>
          <w:sz w:val="18"/>
        </w:rPr>
        <w:tab/>
      </w:r>
      <w:r w:rsidR="00013EB8">
        <w:rPr>
          <w:color w:val="000000"/>
          <w:sz w:val="18"/>
        </w:rPr>
        <w:t>Private Medical Record of</w:t>
      </w:r>
      <w:r w:rsidR="00013EB8">
        <w:rPr>
          <w:color w:val="000000"/>
          <w:sz w:val="18"/>
        </w:rPr>
        <w:tab/>
      </w:r>
      <w:r w:rsidR="00013EB8">
        <w:rPr>
          <w:color w:val="000000"/>
          <w:sz w:val="18"/>
        </w:rPr>
        <w:tab/>
      </w:r>
      <w:r w:rsidR="00013EB8">
        <w:rPr>
          <w:color w:val="000000"/>
          <w:sz w:val="18"/>
        </w:rPr>
        <w:tab/>
        <w:t>Date of Claim for Increase</w:t>
      </w:r>
    </w:p>
    <w:p w:rsidR="00013EB8" w:rsidRDefault="00013EB8">
      <w:pPr>
        <w:ind w:left="2160" w:hanging="2160"/>
        <w:rPr>
          <w:color w:val="000000"/>
          <w:sz w:val="18"/>
        </w:rPr>
      </w:pPr>
      <w:r>
        <w:rPr>
          <w:color w:val="000000"/>
          <w:sz w:val="18"/>
        </w:rPr>
        <w:t>SC for Knee Disability</w:t>
      </w:r>
      <w:r>
        <w:rPr>
          <w:color w:val="000000"/>
          <w:sz w:val="18"/>
        </w:rPr>
        <w:tab/>
      </w:r>
      <w:r>
        <w:rPr>
          <w:color w:val="000000"/>
          <w:sz w:val="18"/>
        </w:rPr>
        <w:tab/>
      </w:r>
      <w:r>
        <w:rPr>
          <w:color w:val="000000"/>
          <w:sz w:val="18"/>
        </w:rPr>
        <w:tab/>
        <w:t>T</w:t>
      </w:r>
      <w:r w:rsidR="001212ED">
        <w:rPr>
          <w:color w:val="000000"/>
          <w:sz w:val="18"/>
        </w:rPr>
        <w:t>otal Knee Replacement</w:t>
      </w:r>
      <w:r w:rsidR="001212ED">
        <w:rPr>
          <w:color w:val="000000"/>
          <w:sz w:val="18"/>
        </w:rPr>
        <w:tab/>
      </w:r>
      <w:r w:rsidR="001212ED">
        <w:rPr>
          <w:color w:val="000000"/>
          <w:sz w:val="18"/>
        </w:rPr>
        <w:tab/>
      </w:r>
      <w:r w:rsidR="001212ED">
        <w:rPr>
          <w:color w:val="000000"/>
          <w:sz w:val="18"/>
        </w:rPr>
        <w:tab/>
        <w:t>12/15/12</w:t>
      </w:r>
    </w:p>
    <w:p w:rsidR="00013EB8" w:rsidRDefault="00013EB8">
      <w:pPr>
        <w:ind w:left="2160" w:hanging="2160"/>
        <w:rPr>
          <w:sz w:val="18"/>
        </w:rPr>
      </w:pPr>
      <w:r>
        <w:rPr>
          <w:color w:val="000000"/>
          <w:sz w:val="18"/>
        </w:rPr>
        <w:t>08/20/02</w:t>
      </w:r>
      <w:r>
        <w:rPr>
          <w:color w:val="000000"/>
          <w:sz w:val="18"/>
        </w:rPr>
        <w:tab/>
      </w:r>
      <w:r>
        <w:rPr>
          <w:color w:val="000000"/>
          <w:sz w:val="18"/>
        </w:rPr>
        <w:tab/>
      </w:r>
      <w:r>
        <w:rPr>
          <w:color w:val="000000"/>
          <w:sz w:val="18"/>
        </w:rPr>
        <w:tab/>
        <w:t>09/08/07</w:t>
      </w:r>
      <w:r>
        <w:rPr>
          <w:color w:val="000000"/>
          <w:sz w:val="18"/>
        </w:rPr>
        <w:tab/>
      </w:r>
      <w:r>
        <w:rPr>
          <w:color w:val="000000"/>
          <w:sz w:val="18"/>
        </w:rPr>
        <w:tab/>
      </w:r>
      <w:r>
        <w:rPr>
          <w:color w:val="000000"/>
          <w:sz w:val="18"/>
        </w:rPr>
        <w:tab/>
      </w:r>
      <w:r>
        <w:rPr>
          <w:color w:val="000000"/>
          <w:sz w:val="18"/>
        </w:rPr>
        <w:tab/>
      </w:r>
      <w:r>
        <w:rPr>
          <w:color w:val="000000"/>
          <w:sz w:val="18"/>
        </w:rPr>
        <w:tab/>
      </w:r>
    </w:p>
    <w:p w:rsidR="00013EB8" w:rsidRDefault="00013EB8">
      <w:pPr>
        <w:numPr>
          <w:ilvl w:val="12"/>
          <w:numId w:val="0"/>
        </w:numPr>
        <w:jc w:val="both"/>
        <w:rPr>
          <w:sz w:val="18"/>
        </w:rPr>
      </w:pPr>
    </w:p>
    <w:p w:rsidR="00013EB8" w:rsidRDefault="00013EB8">
      <w:pPr>
        <w:numPr>
          <w:ilvl w:val="12"/>
          <w:numId w:val="0"/>
        </w:numPr>
        <w:jc w:val="both"/>
        <w:rPr>
          <w:sz w:val="18"/>
        </w:rPr>
      </w:pPr>
    </w:p>
    <w:p w:rsidR="00013EB8" w:rsidRDefault="001212ED">
      <w:pPr>
        <w:numPr>
          <w:ilvl w:val="12"/>
          <w:numId w:val="0"/>
        </w:numPr>
        <w:jc w:val="both"/>
        <w:rPr>
          <w:i/>
          <w:iCs/>
          <w:sz w:val="18"/>
        </w:rPr>
      </w:pPr>
      <w:r>
        <w:rPr>
          <w:i/>
          <w:iCs/>
          <w:sz w:val="18"/>
        </w:rPr>
        <w:t xml:space="preserve">Under historic 3.157 rules:  </w:t>
      </w:r>
      <w:r w:rsidR="00013EB8">
        <w:rPr>
          <w:i/>
          <w:iCs/>
          <w:sz w:val="18"/>
        </w:rPr>
        <w:t>Claim For Increased Evaluation Received More Than 1 Year After Increased Disability, Based on VA Treatment Records:</w:t>
      </w:r>
    </w:p>
    <w:p w:rsidR="00013EB8" w:rsidRDefault="00013EB8">
      <w:pPr>
        <w:numPr>
          <w:ilvl w:val="12"/>
          <w:numId w:val="0"/>
        </w:numPr>
        <w:jc w:val="both"/>
        <w:rPr>
          <w:sz w:val="18"/>
        </w:rPr>
      </w:pPr>
    </w:p>
    <w:p w:rsidR="00013EB8" w:rsidRDefault="00013EB8">
      <w:pPr>
        <w:ind w:left="2880" w:firstLine="720"/>
        <w:rPr>
          <w:b/>
          <w:bCs/>
          <w:color w:val="000000"/>
          <w:sz w:val="18"/>
        </w:rPr>
      </w:pPr>
      <w:r>
        <w:rPr>
          <w:b/>
          <w:bCs/>
          <w:color w:val="000000"/>
          <w:sz w:val="18"/>
        </w:rPr>
        <w:t>Effective Date</w:t>
      </w:r>
    </w:p>
    <w:p w:rsidR="00013EB8" w:rsidRDefault="00013EB8">
      <w:pPr>
        <w:ind w:left="2880" w:firstLine="720"/>
        <w:rPr>
          <w:color w:val="000000"/>
          <w:sz w:val="18"/>
        </w:rPr>
      </w:pPr>
      <w:r>
        <w:rPr>
          <w:color w:val="000000"/>
          <w:sz w:val="18"/>
        </w:rPr>
        <w:t>(date it’s factually ascertainable that disability increased)</w:t>
      </w:r>
    </w:p>
    <w:p w:rsidR="00013EB8" w:rsidRDefault="00562F54">
      <w:pPr>
        <w:ind w:left="3600"/>
        <w:rPr>
          <w:b/>
          <w:bCs/>
          <w:color w:val="000000"/>
          <w:sz w:val="18"/>
        </w:rPr>
      </w:pPr>
      <w:r>
        <w:rPr>
          <w:noProof/>
          <w:sz w:val="18"/>
        </w:rPr>
        <mc:AlternateContent>
          <mc:Choice Requires="wps">
            <w:drawing>
              <wp:anchor distT="0" distB="0" distL="114300" distR="114300" simplePos="0" relativeHeight="251679232" behindDoc="0" locked="0" layoutInCell="1" allowOverlap="1" wp14:anchorId="12E0851C" wp14:editId="4A5F3440">
                <wp:simplePos x="0" y="0"/>
                <wp:positionH relativeFrom="column">
                  <wp:posOffset>2794000</wp:posOffset>
                </wp:positionH>
                <wp:positionV relativeFrom="paragraph">
                  <wp:posOffset>130810</wp:posOffset>
                </wp:positionV>
                <wp:extent cx="0" cy="381000"/>
                <wp:effectExtent l="0" t="0" r="0" b="0"/>
                <wp:wrapNone/>
                <wp:docPr id="42" name="Line 3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320F91" id="Line 349" o:spid="_x0000_s1026" style="position:absolute;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pt,10.3pt" to="220pt,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aFAIAACoEAAAOAAAAZHJzL2Uyb0RvYy54bWysU8GO2jAQvVfqP1i+QxIIFCLCqkqgl22L&#10;tNsPMLZDrDq2ZRsCqvrvHTuA2PZSVc3BGdszb97MG6+ezp1EJ26d0KrE2TjFiCuqmVCHEn973Y4W&#10;GDlPFCNSK17iC3f4af3+3ao3BZ/oVkvGLQIQ5YrelLj13hRJ4mjLO+LG2nAFl422HfGwtYeEWdID&#10;eieTSZrOk15bZqym3Dk4rYdLvI74TcOp/9o0jnskSwzcfFxtXPdhTdYrUhwsMa2gVxrkH1h0RChI&#10;eoeqiSfoaMUfUJ2gVjvd+DHVXaKbRlAea4BqsvS3al5aYnisBZrjzL1N7v/B0i+nnUWClTifYKRI&#10;Bxo9C8XRNF+G5vTGFeBTqZ0N5dGzejHPmn53SOmqJerAI8nXi4HALEQkb0LCxhlIse8/awY+5Oh1&#10;7NS5sV2AhB6gcxTkcheEnz2iwyGF0+kiS9OoVUKKW5yxzn/iukPBKLEE0hGXnJ6dDzxIcXMJaZTe&#10;Cimj3FKhvsTL2WQWA5yWgoXL4ObsYV9Ji04kDEz8YlFw8+hm9VGxCNZywjZX2xMhBxuSSxXwoBKg&#10;c7WGifixTJebxWaRj/LJfDPK07oefdxW+Wi+zT7M6mldVXX2M1DL8qIVjHEV2N2mM8v/Tv3rOxnm&#10;6j6f9zYkb9Fjv4Ds7R9JRymDesMc7DW77OxNYhjI6Hx9PGHiH/dgPz7x9S8AAAD//wMAUEsDBBQA&#10;BgAIAAAAIQBnnCBv3AAAAAkBAAAPAAAAZHJzL2Rvd25yZXYueG1sTI/BTsMwEETvSPyDtUhcKmoT&#10;qqoK2VQIyI0LLYirGy9JRLxOY7cNfD2LOMBxZ0czb4r15Ht1pDF2gRGu5wYUcR1cxw3Cy7a6WoGK&#10;ybKzfWBC+KQI6/L8rLC5Cyd+puMmNUpCOOYWoU1pyLWOdUvexnkYiOX3HkZvk5xjo91oTxLue50Z&#10;s9TediwNrR3ovqX6Y3PwCLF6pX31Natn5u2mCZTtH54eLeLlxXR3CyrRlP7M8IMv6FAK0y4c2EXV&#10;IywWRrYkhMwsQYnhV9ghrETQZaH/Lyi/AQAA//8DAFBLAQItABQABgAIAAAAIQC2gziS/gAAAOEB&#10;AAATAAAAAAAAAAAAAAAAAAAAAABbQ29udGVudF9UeXBlc10ueG1sUEsBAi0AFAAGAAgAAAAhADj9&#10;If/WAAAAlAEAAAsAAAAAAAAAAAAAAAAALwEAAF9yZWxzLy5yZWxzUEsBAi0AFAAGAAgAAAAhAP4S&#10;T9oUAgAAKgQAAA4AAAAAAAAAAAAAAAAALgIAAGRycy9lMm9Eb2MueG1sUEsBAi0AFAAGAAgAAAAh&#10;AGecIG/cAAAACQEAAA8AAAAAAAAAAAAAAAAAbgQAAGRycy9kb3ducmV2LnhtbFBLBQYAAAAABAAE&#10;APMAAAB3BQAAAAA=&#10;"/>
            </w:pict>
          </mc:Fallback>
        </mc:AlternateContent>
      </w:r>
      <w:r w:rsidR="00013EB8">
        <w:rPr>
          <w:b/>
          <w:bCs/>
          <w:color w:val="000000"/>
          <w:sz w:val="18"/>
        </w:rPr>
        <w:t xml:space="preserve">09/08/07  </w:t>
      </w:r>
    </w:p>
    <w:p w:rsidR="00013EB8" w:rsidRDefault="00013EB8">
      <w:pPr>
        <w:rPr>
          <w:color w:val="000000"/>
          <w:sz w:val="18"/>
        </w:rPr>
      </w:pPr>
    </w:p>
    <w:p w:rsidR="00013EB8" w:rsidRDefault="00562F54">
      <w:pPr>
        <w:rPr>
          <w:color w:val="000000"/>
          <w:sz w:val="18"/>
        </w:rPr>
      </w:pPr>
      <w:r>
        <w:rPr>
          <w:noProof/>
          <w:sz w:val="18"/>
        </w:rPr>
        <mc:AlternateContent>
          <mc:Choice Requires="wps">
            <w:drawing>
              <wp:anchor distT="0" distB="0" distL="114300" distR="114300" simplePos="0" relativeHeight="251677184" behindDoc="0" locked="0" layoutInCell="1" allowOverlap="1" wp14:anchorId="4164541D" wp14:editId="40FBC6B5">
                <wp:simplePos x="0" y="0"/>
                <wp:positionH relativeFrom="column">
                  <wp:posOffset>-127000</wp:posOffset>
                </wp:positionH>
                <wp:positionV relativeFrom="paragraph">
                  <wp:posOffset>36830</wp:posOffset>
                </wp:positionV>
                <wp:extent cx="5905500" cy="0"/>
                <wp:effectExtent l="0" t="0" r="0" b="0"/>
                <wp:wrapNone/>
                <wp:docPr id="41" name="Lin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2DCD60" id="Line 347"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pt,2.9pt" to="45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UZFQIAACs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BXOM4wU&#10;6UGjZ6E4esgfQ3MG40qIqdXGhvLoUb2aZ02/O6R03RG145Hk28lAYhYykncpYeMMXLEdvmgGMWTv&#10;dezUsbV9gIQeoGMU5HQThB89onBYzNOiSEE3evUlpLwmGuv8Z657FIwKS2Adgcnh2flAhJTXkHCP&#10;0mshZdRbKjRUeF5MipjgtBQsOEOYs7ttLS06kDAx8YtVgec+zOq9YhGs44StLrYnQp5tuFyqgAel&#10;AJ2LdR6JH/N0vpqtZvkon0xXozxtmtGndZ2PpuvssWgemrpusp+BWpaXnWCMq8DuOp5Z/nfyXx7K&#10;ebBuA3prQ/IePfYLyF7/kXTUMsh3HoStZqeNvWoMExmDL68njPz9Huz7N778BQAA//8DAFBLAwQU&#10;AAYACAAAACEAIURwdtkAAAAHAQAADwAAAGRycy9kb3ducmV2LnhtbEyPQU/CQBCF7yb+h82QeCGw&#10;BYPB2i0xam9eRInXoTu2Dd3Z0l2g+usdvODx5b188022GlyrjtSHxrOB2TQBRVx623Bl4OO9mCxB&#10;hYhssfVMBr4pwCq/vsowtf7Eb3Rcx0oJhEOKBuoYu1TrUNbkMEx9Ryzdl+8dRol9pW2PJ4G7Vs+T&#10;5E47bFgu1NjRU03lbn1wBkKxoX3xMy7Hyedt5Wm+f359QWNuRsPjA6hIQ7yM4awv6pCL09Yf2AbV&#10;GpgIXqYGFvKB9Pezc97+ZZ1n+r9//gsAAP//AwBQSwECLQAUAAYACAAAACEAtoM4kv4AAADhAQAA&#10;EwAAAAAAAAAAAAAAAAAAAAAAW0NvbnRlbnRfVHlwZXNdLnhtbFBLAQItABQABgAIAAAAIQA4/SH/&#10;1gAAAJQBAAALAAAAAAAAAAAAAAAAAC8BAABfcmVscy8ucmVsc1BLAQItABQABgAIAAAAIQD+v9UZ&#10;FQIAACsEAAAOAAAAAAAAAAAAAAAAAC4CAABkcnMvZTJvRG9jLnhtbFBLAQItABQABgAIAAAAIQAh&#10;RHB22QAAAAcBAAAPAAAAAAAAAAAAAAAAAG8EAABkcnMvZG93bnJldi54bWxQSwUGAAAAAAQABADz&#10;AAAAdQUAAAAA&#10;"/>
            </w:pict>
          </mc:Fallback>
        </mc:AlternateContent>
      </w:r>
      <w:r>
        <w:rPr>
          <w:noProof/>
          <w:sz w:val="18"/>
        </w:rPr>
        <mc:AlternateContent>
          <mc:Choice Requires="wps">
            <w:drawing>
              <wp:anchor distT="0" distB="0" distL="114300" distR="114300" simplePos="0" relativeHeight="251680256" behindDoc="0" locked="0" layoutInCell="1" allowOverlap="1" wp14:anchorId="1602F65B" wp14:editId="0AB1CA6B">
                <wp:simplePos x="0" y="0"/>
                <wp:positionH relativeFrom="column">
                  <wp:posOffset>318135</wp:posOffset>
                </wp:positionH>
                <wp:positionV relativeFrom="paragraph">
                  <wp:posOffset>46990</wp:posOffset>
                </wp:positionV>
                <wp:extent cx="0" cy="228600"/>
                <wp:effectExtent l="0" t="0" r="0" b="0"/>
                <wp:wrapNone/>
                <wp:docPr id="40" name="Lin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5B9900" id="Line 350" o:spid="_x0000_s1026" style="position:absolute;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5pt,3.7pt" to="25.05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tIEFQIAACoEAAAOAAAAZHJzL2Uyb0RvYy54bWysU8uu2yAQ3VfqPyD2iR/XSRMrzlVlJ92k&#10;baR7+wEEcIyKAQGJE1X99w7kodx2U1X1Ag/McObMmWHxfOolOnLrhFYVzsYpRlxRzYTaV/jb63o0&#10;w8h5ohiRWvEKn7nDz8v37xaDKXmuOy0ZtwhAlCsHU+HOe1MmiaMd74kba8MVOFtte+Jha/cJs2QA&#10;9F4meZpOk0FbZqym3Dk4bS5OvIz4bcup/9q2jnskKwzcfFxtXHdhTZYLUu4tMZ2gVxrkH1j0RChI&#10;eodqiCfoYMUfUL2gVjvd+jHVfaLbVlAea4BqsvS3al46YnisBcRx5i6T+3+w9Mtxa5FgFS5AHkV6&#10;6NFGKI6eJlGcwbgSYmq1taE8elIvZqPpd4eUrjui9jySfD0buJgFOZM3V8LGGUixGz5rBjHk4HVU&#10;6tTaPkCCBugUG3K+N4SfPKKXQwqneT6bppFOQsrbPWOd/8R1j4JRYQmkIy45bpwPPEh5CwlplF4L&#10;KWO7pUJDheeTfBIvOC0FC84Q5ux+V0uLjiQMTPxiUeB5DLP6oFgE6zhhq6vtiZAXG5JLFfCgEqBz&#10;tS4T8WOezlez1awYFfl0NSrSphl9XNfFaLrOPkyap6aum+xnoJYVZScY4yqwu01nVvxd96/v5DJX&#10;9/m8y5C8RY96AdnbP5KOrQzdC8/JlTvNzlt7azEMZAy+Pp4w8Y97sB+f+PIXAAAA//8DAFBLAwQU&#10;AAYACAAAACEAuaQUe9oAAAAGAQAADwAAAGRycy9kb3ducmV2LnhtbEyOwU7DMBBE70j8g7VIXKrW&#10;bhsKCtlUCMiNSwuI6zZZkoh4ncZuG/h6DBc4jmb05mXr0XbqyINvnSDMZwYUS+mqVmqEl+diegPK&#10;B5KKOieM8Mke1vn5WUZp5U6y4eM21CpCxKeE0ITQp1r7smFLfuZ6lti9u8FSiHGodTXQKcJtpxfG&#10;rLSlVuJDQz3fN1x+bA8WwRevvC++JuXEvC1rx4v9w9MjIV5ejHe3oAKP4W8MP/pRHfLotHMHqbzq&#10;EK7MPC4RrhNQsf6NO4RkmYDOM/1fP/8GAAD//wMAUEsBAi0AFAAGAAgAAAAhALaDOJL+AAAA4QEA&#10;ABMAAAAAAAAAAAAAAAAAAAAAAFtDb250ZW50X1R5cGVzXS54bWxQSwECLQAUAAYACAAAACEAOP0h&#10;/9YAAACUAQAACwAAAAAAAAAAAAAAAAAvAQAAX3JlbHMvLnJlbHNQSwECLQAUAAYACAAAACEAR5rS&#10;BBUCAAAqBAAADgAAAAAAAAAAAAAAAAAuAgAAZHJzL2Uyb0RvYy54bWxQSwECLQAUAAYACAAAACEA&#10;uaQUe9oAAAAGAQAADwAAAAAAAAAAAAAAAABvBAAAZHJzL2Rvd25yZXYueG1sUEsFBgAAAAAEAAQA&#10;8wAAAHYFAAAAAA==&#10;"/>
            </w:pict>
          </mc:Fallback>
        </mc:AlternateContent>
      </w:r>
      <w:r>
        <w:rPr>
          <w:noProof/>
          <w:sz w:val="18"/>
        </w:rPr>
        <mc:AlternateContent>
          <mc:Choice Requires="wps">
            <w:drawing>
              <wp:anchor distT="0" distB="0" distL="114300" distR="114300" simplePos="0" relativeHeight="251678208" behindDoc="0" locked="0" layoutInCell="1" allowOverlap="1" wp14:anchorId="61AF17AD" wp14:editId="152C3984">
                <wp:simplePos x="0" y="0"/>
                <wp:positionH relativeFrom="column">
                  <wp:posOffset>5194935</wp:posOffset>
                </wp:positionH>
                <wp:positionV relativeFrom="paragraph">
                  <wp:posOffset>62230</wp:posOffset>
                </wp:positionV>
                <wp:extent cx="0" cy="228600"/>
                <wp:effectExtent l="0" t="0" r="0" b="0"/>
                <wp:wrapNone/>
                <wp:docPr id="38" name="Line 3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2F590" id="Line 348" o:spid="_x0000_s1026" style="position:absolute;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9.05pt,4.9pt" to="409.0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DOtFAIAACoEAAAOAAAAZHJzL2Uyb0RvYy54bWysU02P2jAQvVfqf7B8h3wQKESEVUWgl22L&#10;tNsfYGyHWHVsyzYEVPW/d+wAYttLVTUHZ2zPvHkzb7x8OncSnbh1QqsKZ+MUI66oZkIdKvztdTua&#10;Y+Q8UYxIrXiFL9zhp9X7d8velDzXrZaMWwQgypW9qXDrvSmTxNGWd8SNteEKLhttO+Jhaw8Js6QH&#10;9E4meZrOkl5bZqym3Dk4rYdLvIr4TcOp/9o0jnskKwzcfFxtXPdhTVZLUh4sMa2gVxrkH1h0RChI&#10;eoeqiSfoaMUfUJ2gVjvd+DHVXaKbRlAea4BqsvS3al5aYnisBZrjzL1N7v/B0i+nnUWCVXgCSinS&#10;gUbPQnE0KeahOb1xJfis1c6G8uhZvZhnTb87pPS6JerAI8nXi4HALEQkb0LCxhlIse8/awY+5Oh1&#10;7NS5sV2AhB6gcxTkcheEnz2iwyGF0zyfz9KoVULKW5yxzn/iukPBqLAE0hGXnJ6dDzxIeXMJaZTe&#10;Cimj3FKhvsKLaT6NAU5LwcJlcHP2sF9Li04kDEz8YlFw8+hm9VGxCNZywjZX2xMhBxuSSxXwoBKg&#10;c7WGifixSBeb+WZejIp8thkVaV2PPm7XxWi2zT5M60m9XtfZz0AtK8pWMMZVYHebzqz4O/Wv72SY&#10;q/t83tuQvEWP/QKyt38kHaUM6g1zsNfssrM3iWEgo/P18YSJf9yD/fjEV78AAAD//wMAUEsDBBQA&#10;BgAIAAAAIQDb//eh3AAAAAgBAAAPAAAAZHJzL2Rvd25yZXYueG1sTI/NTsMwEITvSLyDtUhcqtZJ&#10;+VEIcSoE5MaFQsV1Gy9JRLxOY7cNPD2LOMBxNKOZb4rV5Hp1oDF0ng2kiwQUce1tx42B15dqnoEK&#10;Edli75kMfFKAVXl6UmBu/ZGf6bCOjZISDjkaaGMccq1D3ZLDsPADsXjvfnQYRY6NtiMepdz1epkk&#10;19phx7LQ4kD3LdUf670zEKoN7aqvWT1L3i4aT8vdw9MjGnN+Nt3dgoo0xb8w/OALOpTCtPV7tkH1&#10;BrI0SyVq4EYeiP+rtwYurzLQZaH/Hyi/AQAA//8DAFBLAQItABQABgAIAAAAIQC2gziS/gAAAOEB&#10;AAATAAAAAAAAAAAAAAAAAAAAAABbQ29udGVudF9UeXBlc10ueG1sUEsBAi0AFAAGAAgAAAAhADj9&#10;If/WAAAAlAEAAAsAAAAAAAAAAAAAAAAALwEAAF9yZWxzLy5yZWxzUEsBAi0AFAAGAAgAAAAhABwc&#10;M60UAgAAKgQAAA4AAAAAAAAAAAAAAAAALgIAAGRycy9lMm9Eb2MueG1sUEsBAi0AFAAGAAgAAAAh&#10;ANv/96HcAAAACAEAAA8AAAAAAAAAAAAAAAAAbgQAAGRycy9kb3ducmV2LnhtbFBLBQYAAAAABAAE&#10;APMAAAB3BQAAAAA=&#10;"/>
            </w:pict>
          </mc:Fallback>
        </mc:AlternateContent>
      </w:r>
    </w:p>
    <w:p w:rsidR="00013EB8" w:rsidRDefault="00013EB8">
      <w:pPr>
        <w:rPr>
          <w:color w:val="000000"/>
          <w:sz w:val="18"/>
        </w:rPr>
      </w:pPr>
      <w:r>
        <w:rPr>
          <w:color w:val="000000"/>
          <w:sz w:val="18"/>
        </w:rPr>
        <w:t xml:space="preserve">                                 </w:t>
      </w:r>
      <w:r>
        <w:rPr>
          <w:color w:val="000000"/>
          <w:sz w:val="18"/>
        </w:rPr>
        <w:tab/>
      </w:r>
      <w:r>
        <w:rPr>
          <w:color w:val="000000"/>
          <w:sz w:val="18"/>
        </w:rPr>
        <w:tab/>
      </w:r>
    </w:p>
    <w:p w:rsidR="00013EB8" w:rsidRDefault="00791153">
      <w:pPr>
        <w:ind w:left="2160" w:hanging="2160"/>
        <w:rPr>
          <w:color w:val="000000"/>
          <w:sz w:val="18"/>
        </w:rPr>
      </w:pPr>
      <w:r>
        <w:rPr>
          <w:color w:val="000000"/>
          <w:sz w:val="18"/>
        </w:rPr>
        <w:t>Date of Grant of</w:t>
      </w:r>
      <w:r>
        <w:rPr>
          <w:color w:val="000000"/>
          <w:sz w:val="18"/>
        </w:rPr>
        <w:tab/>
      </w:r>
      <w:r>
        <w:rPr>
          <w:color w:val="000000"/>
          <w:sz w:val="18"/>
        </w:rPr>
        <w:tab/>
      </w:r>
      <w:r>
        <w:rPr>
          <w:color w:val="000000"/>
          <w:sz w:val="18"/>
        </w:rPr>
        <w:tab/>
      </w:r>
      <w:r w:rsidR="00013EB8">
        <w:rPr>
          <w:color w:val="000000"/>
          <w:sz w:val="18"/>
        </w:rPr>
        <w:t>VA Medical Record of</w:t>
      </w:r>
      <w:r w:rsidR="00013EB8">
        <w:rPr>
          <w:color w:val="000000"/>
          <w:sz w:val="18"/>
        </w:rPr>
        <w:tab/>
      </w:r>
      <w:r w:rsidR="00013EB8">
        <w:rPr>
          <w:color w:val="000000"/>
          <w:sz w:val="18"/>
        </w:rPr>
        <w:tab/>
      </w:r>
      <w:r w:rsidR="00013EB8">
        <w:rPr>
          <w:color w:val="000000"/>
          <w:sz w:val="18"/>
        </w:rPr>
        <w:tab/>
        <w:t>Date of Claim for Increase</w:t>
      </w:r>
    </w:p>
    <w:p w:rsidR="00013EB8" w:rsidRDefault="00013EB8">
      <w:pPr>
        <w:ind w:left="2160" w:hanging="2160"/>
        <w:rPr>
          <w:color w:val="000000"/>
          <w:sz w:val="18"/>
        </w:rPr>
      </w:pPr>
      <w:r>
        <w:rPr>
          <w:color w:val="000000"/>
          <w:sz w:val="18"/>
        </w:rPr>
        <w:t>SC for Knee Disability</w:t>
      </w:r>
      <w:r>
        <w:rPr>
          <w:color w:val="000000"/>
          <w:sz w:val="18"/>
        </w:rPr>
        <w:tab/>
      </w:r>
      <w:r>
        <w:rPr>
          <w:color w:val="000000"/>
          <w:sz w:val="18"/>
        </w:rPr>
        <w:tab/>
      </w:r>
      <w:r>
        <w:rPr>
          <w:color w:val="000000"/>
          <w:sz w:val="18"/>
        </w:rPr>
        <w:tab/>
        <w:t>T</w:t>
      </w:r>
      <w:r w:rsidR="001212ED">
        <w:rPr>
          <w:color w:val="000000"/>
          <w:sz w:val="18"/>
        </w:rPr>
        <w:t>otal Knee Replacement</w:t>
      </w:r>
      <w:r w:rsidR="001212ED">
        <w:rPr>
          <w:color w:val="000000"/>
          <w:sz w:val="18"/>
        </w:rPr>
        <w:tab/>
      </w:r>
      <w:r w:rsidR="001212ED">
        <w:rPr>
          <w:color w:val="000000"/>
          <w:sz w:val="18"/>
        </w:rPr>
        <w:tab/>
      </w:r>
      <w:r w:rsidR="001212ED">
        <w:rPr>
          <w:color w:val="000000"/>
          <w:sz w:val="18"/>
        </w:rPr>
        <w:tab/>
        <w:t>12/15/12</w:t>
      </w:r>
    </w:p>
    <w:p w:rsidR="00013EB8" w:rsidRDefault="00013EB8">
      <w:pPr>
        <w:ind w:left="2160" w:hanging="2160"/>
        <w:rPr>
          <w:sz w:val="18"/>
        </w:rPr>
      </w:pPr>
      <w:r>
        <w:rPr>
          <w:color w:val="000000"/>
          <w:sz w:val="18"/>
        </w:rPr>
        <w:t>08/20/02</w:t>
      </w:r>
      <w:r>
        <w:rPr>
          <w:color w:val="000000"/>
          <w:sz w:val="18"/>
        </w:rPr>
        <w:tab/>
      </w:r>
      <w:r>
        <w:rPr>
          <w:color w:val="000000"/>
          <w:sz w:val="18"/>
        </w:rPr>
        <w:tab/>
      </w:r>
      <w:r>
        <w:rPr>
          <w:color w:val="000000"/>
          <w:sz w:val="18"/>
        </w:rPr>
        <w:tab/>
        <w:t>09/08/07</w:t>
      </w:r>
      <w:r>
        <w:rPr>
          <w:color w:val="000000"/>
          <w:sz w:val="18"/>
        </w:rPr>
        <w:tab/>
      </w:r>
      <w:r>
        <w:rPr>
          <w:color w:val="000000"/>
          <w:sz w:val="18"/>
        </w:rPr>
        <w:tab/>
      </w:r>
      <w:r>
        <w:rPr>
          <w:color w:val="000000"/>
          <w:sz w:val="18"/>
        </w:rPr>
        <w:tab/>
      </w:r>
      <w:r>
        <w:rPr>
          <w:color w:val="000000"/>
          <w:sz w:val="18"/>
        </w:rPr>
        <w:tab/>
      </w:r>
      <w:r>
        <w:rPr>
          <w:color w:val="000000"/>
          <w:sz w:val="18"/>
        </w:rPr>
        <w:tab/>
      </w:r>
    </w:p>
    <w:p w:rsidR="00013EB8" w:rsidRDefault="00013EB8">
      <w:pPr>
        <w:rPr>
          <w:sz w:val="18"/>
        </w:rPr>
      </w:pPr>
    </w:p>
    <w:p w:rsidR="00013EB8" w:rsidRDefault="00013EB8">
      <w:pPr>
        <w:rPr>
          <w:sz w:val="18"/>
        </w:rPr>
      </w:pPr>
    </w:p>
    <w:p w:rsidR="001212ED" w:rsidRDefault="001212ED" w:rsidP="001212ED">
      <w:pPr>
        <w:numPr>
          <w:ilvl w:val="12"/>
          <w:numId w:val="0"/>
        </w:numPr>
        <w:jc w:val="both"/>
        <w:rPr>
          <w:i/>
          <w:iCs/>
          <w:sz w:val="18"/>
        </w:rPr>
      </w:pPr>
      <w:r>
        <w:rPr>
          <w:i/>
          <w:iCs/>
          <w:sz w:val="18"/>
        </w:rPr>
        <w:t>FDC Claim and Proper Application of the Provisions of Section 506 of PL 112-154:</w:t>
      </w:r>
    </w:p>
    <w:p w:rsidR="001212ED" w:rsidRDefault="001212ED" w:rsidP="001212ED">
      <w:pPr>
        <w:rPr>
          <w:sz w:val="18"/>
        </w:rPr>
      </w:pPr>
    </w:p>
    <w:p w:rsidR="001212ED" w:rsidRDefault="001212ED" w:rsidP="001212ED">
      <w:pPr>
        <w:rPr>
          <w:b/>
          <w:bCs/>
          <w:color w:val="000000"/>
          <w:sz w:val="18"/>
        </w:rPr>
      </w:pPr>
      <w:r>
        <w:rPr>
          <w:b/>
          <w:bCs/>
          <w:color w:val="000000"/>
          <w:sz w:val="18"/>
        </w:rPr>
        <w:t>Effective Date</w:t>
      </w:r>
    </w:p>
    <w:p w:rsidR="001212ED" w:rsidRDefault="001212ED" w:rsidP="001212ED">
      <w:pPr>
        <w:rPr>
          <w:color w:val="000000"/>
          <w:sz w:val="18"/>
        </w:rPr>
      </w:pPr>
      <w:r>
        <w:rPr>
          <w:color w:val="000000"/>
          <w:sz w:val="18"/>
        </w:rPr>
        <w:t>(evidence of record confirms severity justifies eval and date per PL)</w:t>
      </w:r>
    </w:p>
    <w:p w:rsidR="001212ED" w:rsidRDefault="001212ED" w:rsidP="001212ED">
      <w:pPr>
        <w:rPr>
          <w:b/>
          <w:bCs/>
          <w:color w:val="000000"/>
          <w:sz w:val="18"/>
        </w:rPr>
      </w:pPr>
      <w:r>
        <w:rPr>
          <w:noProof/>
          <w:sz w:val="18"/>
        </w:rPr>
        <mc:AlternateContent>
          <mc:Choice Requires="wps">
            <w:drawing>
              <wp:anchor distT="0" distB="0" distL="114300" distR="114300" simplePos="0" relativeHeight="251733504" behindDoc="0" locked="0" layoutInCell="1" allowOverlap="1" wp14:anchorId="5CA7457B" wp14:editId="1821794C">
                <wp:simplePos x="0" y="0"/>
                <wp:positionH relativeFrom="column">
                  <wp:posOffset>-8255</wp:posOffset>
                </wp:positionH>
                <wp:positionV relativeFrom="paragraph">
                  <wp:posOffset>50165</wp:posOffset>
                </wp:positionV>
                <wp:extent cx="0" cy="228600"/>
                <wp:effectExtent l="0" t="0" r="19050" b="19050"/>
                <wp:wrapNone/>
                <wp:docPr id="94" name="Lin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A64438" id="Line 350" o:spid="_x0000_s1026" style="position:absolute;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3.95pt" to="-.65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cpdFAIAACoEAAAOAAAAZHJzL2Uyb0RvYy54bWysU8uu2jAQ3VfqP1jeQx43UIgIV1UC3dAW&#10;6d5+gLEdYtWxLdsQUNV/79g8xG03VdUsnLFn5syZ1+L51Et05NYJrSqcjVOMuKKaCbWv8LfX9WiG&#10;kfNEMSK14hU+c4efl+/fLQZT8lx3WjJuEYAoVw6mwp33pkwSRzveEzfWhitQttr2xMPV7hNmyQDo&#10;vUzyNJ0mg7bMWE25c/DaXJR4GfHbllP/tW0d90hWGLj5eNp47sKZLBek3FtiOkGvNMg/sOiJUBD0&#10;DtUQT9DBij+gekGtdrr1Y6r7RLetoDzmANlk6W/ZvHTE8JgLFMeZe5nc/4OlX45biwSr8LzASJEe&#10;erQRiqOnSSzOYFwJNrXa2pAePakXs9H0u0NK1x1Rex5Jvp4NOGahnMkbl3BxBkLshs+agQ05eB0r&#10;dWptHyChBugUG3K+N4SfPKKXRwqveT6bppFOQsqbn7HOf+K6R0GosATSEZccN84HHqS8mYQwSq+F&#10;lLHdUqEB8p3kk+jgtBQsKIOZs/tdLS06kjAw8YtJgebRzOqDYhGs44StrrInQl5kCC5VwINMgM5V&#10;ukzEj3k6X81Ws2JU5NPVqEibZvRxXRej6Tr7MGmemrpusp+BWlaUnWCMq8DuNp1Z8Xfdv+7JZa7u&#10;83kvQ/IWPdYLyN7+kXRsZeheWCdX7jQ7b+2txTCQ0fi6PGHiH+8gP6748hcAAAD//wMAUEsDBBQA&#10;BgAIAAAAIQAF4vau2gAAAAYBAAAPAAAAZHJzL2Rvd25yZXYueG1sTI7BTsMwEETvSPyDtUhcqtZp&#10;g4CGbCoE5MaFAuK6jZckIl6nsdsGvr6mFziOZvTm5avRdmrPg2+dIMxnCSiWyplWaoS313J6C8oH&#10;EkOdE0b4Zg+r4vwsp8y4g7zwfh1qFSHiM0JoQugzrX3VsCU/cz1L7D7dYCnEONTaDHSIcNvpRZJc&#10;a0utxIeGen5ouPpa7yyCL995W/5MqknykdaOF9vH5ydCvLwY7+9ABR7D3xh+9aM6FNFp43ZivOoQ&#10;pvM0LhFulqBifYobhKt0CbrI9X/94ggAAP//AwBQSwECLQAUAAYACAAAACEAtoM4kv4AAADhAQAA&#10;EwAAAAAAAAAAAAAAAAAAAAAAW0NvbnRlbnRfVHlwZXNdLnhtbFBLAQItABQABgAIAAAAIQA4/SH/&#10;1gAAAJQBAAALAAAAAAAAAAAAAAAAAC8BAABfcmVscy8ucmVsc1BLAQItABQABgAIAAAAIQDBHcpd&#10;FAIAACoEAAAOAAAAAAAAAAAAAAAAAC4CAABkcnMvZTJvRG9jLnhtbFBLAQItABQABgAIAAAAIQAF&#10;4vau2gAAAAYBAAAPAAAAAAAAAAAAAAAAAG4EAABkcnMvZG93bnJldi54bWxQSwUGAAAAAAQABADz&#10;AAAAdQUAAAAA&#10;"/>
            </w:pict>
          </mc:Fallback>
        </mc:AlternateContent>
      </w:r>
      <w:r>
        <w:rPr>
          <w:noProof/>
          <w:sz w:val="18"/>
        </w:rPr>
        <mc:AlternateContent>
          <mc:Choice Requires="wps">
            <w:drawing>
              <wp:anchor distT="0" distB="0" distL="114300" distR="114300" simplePos="0" relativeHeight="251730432" behindDoc="0" locked="0" layoutInCell="1" allowOverlap="1" wp14:anchorId="57370484" wp14:editId="74B526B9">
                <wp:simplePos x="0" y="0"/>
                <wp:positionH relativeFrom="column">
                  <wp:posOffset>2794000</wp:posOffset>
                </wp:positionH>
                <wp:positionV relativeFrom="paragraph">
                  <wp:posOffset>130810</wp:posOffset>
                </wp:positionV>
                <wp:extent cx="0" cy="381000"/>
                <wp:effectExtent l="0" t="0" r="0" b="0"/>
                <wp:wrapNone/>
                <wp:docPr id="90" name="Line 3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A6B8EF" id="Line 349" o:spid="_x0000_s1026" style="position:absolute;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pt,10.3pt" to="220pt,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Yl6EwIAACoEAAAOAAAAZHJzL2Uyb0RvYy54bWysU8GO2jAQvVfqP1i+QxIIFCLCqkqgl22L&#10;tNsPMLZDrDq2ZRsCqvrvHTuA2PZSVc3BGdszb97MG6+ezp1EJ26d0KrE2TjFiCuqmVCHEn973Y4W&#10;GDlPFCNSK17iC3f4af3+3ao3BZ/oVkvGLQIQ5YrelLj13hRJ4mjLO+LG2nAFl422HfGwtYeEWdID&#10;eieTSZrOk15bZqym3Dk4rYdLvI74TcOp/9o0jnskSwzcfFxtXPdhTdYrUhwsMa2gVxrkH1h0RChI&#10;eoeqiSfoaMUfUJ2gVjvd+DHVXaKbRlAea4BqsvS3al5aYnisBZrjzL1N7v/B0i+nnUWClXgJ7VGk&#10;A42eheJomi9Dc3rjCvCp1M6G8uhZvZhnTb87pHTVEnXgkeTrxUBgFiKSNyFh4wyk2PefNQMfcvQ6&#10;durc2C5AQg/QOQpyuQvCzx7R4ZDC6XSRpWnUKiHFLc5Y5z9x3aFglFgC6YhLTs/OBx6kuLmENEpv&#10;hZRRbqlQD/XOJrMY4LQULFwGN2cP+0padCJhYOIXi4KbRzerj4pFsJYTtrnangg52JBcqoAHlQCd&#10;qzVMxI9lutwsNot8lE/mm1Ge1vXo47bKR/Nt9mFWT+uqqrOfgVqWF61gjKvA7jadWf536l/fyTBX&#10;9/m8tyF5ix77BWRv/0g6ShnUG+Zgr9llZ28Sw0BG5+vjCRP/uAf78YmvfwEAAP//AwBQSwMEFAAG&#10;AAgAAAAhAGecIG/cAAAACQEAAA8AAABkcnMvZG93bnJldi54bWxMj8FOwzAQRO9I/IO1SFwqahOq&#10;qgrZVAjIjQstiKsbL0lEvE5jtw18PYs4wHFnRzNvivXke3WkMXaBEa7nBhRxHVzHDcLLtrpagYrJ&#10;srN9YEL4pAjr8vyssLkLJ36m4yY1SkI45hahTWnItY51S97GeRiI5fceRm+TnGOj3WhPEu57nRmz&#10;1N52LA2tHei+pfpjc/AIsXqlffU1q2fm7aYJlO0fnh4t4uXFdHcLKtGU/szwgy/oUArTLhzYRdUj&#10;LBZGtiSEzCxBieFX2CGsRNBlof8vKL8BAAD//wMAUEsBAi0AFAAGAAgAAAAhALaDOJL+AAAA4QEA&#10;ABMAAAAAAAAAAAAAAAAAAAAAAFtDb250ZW50X1R5cGVzXS54bWxQSwECLQAUAAYACAAAACEAOP0h&#10;/9YAAACUAQAACwAAAAAAAAAAAAAAAAAvAQAAX3JlbHMvLnJlbHNQSwECLQAUAAYACAAAACEACZWJ&#10;ehMCAAAqBAAADgAAAAAAAAAAAAAAAAAuAgAAZHJzL2Uyb0RvYy54bWxQSwECLQAUAAYACAAAACEA&#10;Z5wgb9wAAAAJAQAADwAAAAAAAAAAAAAAAABtBAAAZHJzL2Rvd25yZXYueG1sUEsFBgAAAAAEAAQA&#10;8wAAAHYFAAAAAA==&#10;"/>
            </w:pict>
          </mc:Fallback>
        </mc:AlternateContent>
      </w:r>
      <w:r>
        <w:rPr>
          <w:b/>
          <w:bCs/>
          <w:color w:val="000000"/>
          <w:sz w:val="18"/>
        </w:rPr>
        <w:t xml:space="preserve">09/01/12  </w:t>
      </w:r>
    </w:p>
    <w:p w:rsidR="001212ED" w:rsidRDefault="001212ED" w:rsidP="001212ED">
      <w:pPr>
        <w:rPr>
          <w:color w:val="000000"/>
          <w:sz w:val="18"/>
        </w:rPr>
      </w:pPr>
    </w:p>
    <w:p w:rsidR="001212ED" w:rsidRDefault="001212ED" w:rsidP="001212ED">
      <w:pPr>
        <w:rPr>
          <w:color w:val="000000"/>
          <w:sz w:val="18"/>
        </w:rPr>
      </w:pPr>
      <w:r>
        <w:rPr>
          <w:noProof/>
          <w:sz w:val="18"/>
        </w:rPr>
        <mc:AlternateContent>
          <mc:Choice Requires="wps">
            <w:drawing>
              <wp:anchor distT="0" distB="0" distL="114300" distR="114300" simplePos="0" relativeHeight="251728384" behindDoc="0" locked="0" layoutInCell="1" allowOverlap="1" wp14:anchorId="649B8130" wp14:editId="3CB8038D">
                <wp:simplePos x="0" y="0"/>
                <wp:positionH relativeFrom="column">
                  <wp:posOffset>-127000</wp:posOffset>
                </wp:positionH>
                <wp:positionV relativeFrom="paragraph">
                  <wp:posOffset>36830</wp:posOffset>
                </wp:positionV>
                <wp:extent cx="5905500" cy="0"/>
                <wp:effectExtent l="0" t="0" r="0" b="0"/>
                <wp:wrapNone/>
                <wp:docPr id="91" name="Lin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DD54B9" id="Line 347" o:spid="_x0000_s1026" style="position:absolute;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pt,2.9pt" to="45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SqRFQIAACs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BWeZxgp&#10;0oNGz0Jx9JA/huYMxpUQU6uNDeXRo3o1z5p+d0jpuiNqxyPJt5OBxCxkJO9SwsYZuGI7fNEMYsje&#10;69ipY2v7AAk9QMcoyOkmCD96ROGwmKdFkYJu9OpLSHlNNNb5z1z3KBgVlsA6ApPDs/OBCCmvIeEe&#10;pddCyqi3VGiAgotJEROcloIFZwhzdretpUUHEiYmfrEq8NyHWb1XLIJ1nLDVxfZEyLMNl0sV8KAU&#10;oHOxziPxY57OV7PVLB/lk+lqlKdNM/q0rvPRdJ09Fs1DU9dN9jNQy/KyE4xxFdhdxzPL/07+y0M5&#10;D9ZtQG9tSN6jx34B2es/ko5aBvnOg7DV7LSxV41hImPw5fWEkb/fg33/xpe/AAAA//8DAFBLAwQU&#10;AAYACAAAACEAIURwdtkAAAAHAQAADwAAAGRycy9kb3ducmV2LnhtbEyPQU/CQBCF7yb+h82QeCGw&#10;BYPB2i0xam9eRInXoTu2Dd3Z0l2g+usdvODx5b188022GlyrjtSHxrOB2TQBRVx623Bl4OO9mCxB&#10;hYhssfVMBr4pwCq/vsowtf7Eb3Rcx0oJhEOKBuoYu1TrUNbkMEx9Ryzdl+8dRol9pW2PJ4G7Vs+T&#10;5E47bFgu1NjRU03lbn1wBkKxoX3xMy7Hyedt5Wm+f359QWNuRsPjA6hIQ7yM4awv6pCL09Yf2AbV&#10;GpgIXqYGFvKB9Pezc97+ZZ1n+r9//gsAAP//AwBQSwECLQAUAAYACAAAACEAtoM4kv4AAADhAQAA&#10;EwAAAAAAAAAAAAAAAAAAAAAAW0NvbnRlbnRfVHlwZXNdLnhtbFBLAQItABQABgAIAAAAIQA4/SH/&#10;1gAAAJQBAAALAAAAAAAAAAAAAAAAAC8BAABfcmVscy8ucmVsc1BLAQItABQABgAIAAAAIQCfaSqR&#10;FQIAACsEAAAOAAAAAAAAAAAAAAAAAC4CAABkcnMvZTJvRG9jLnhtbFBLAQItABQABgAIAAAAIQAh&#10;RHB22QAAAAcBAAAPAAAAAAAAAAAAAAAAAG8EAABkcnMvZG93bnJldi54bWxQSwUGAAAAAAQABADz&#10;AAAAdQUAAAAA&#10;"/>
            </w:pict>
          </mc:Fallback>
        </mc:AlternateContent>
      </w:r>
      <w:r>
        <w:rPr>
          <w:noProof/>
          <w:sz w:val="18"/>
        </w:rPr>
        <mc:AlternateContent>
          <mc:Choice Requires="wps">
            <w:drawing>
              <wp:anchor distT="0" distB="0" distL="114300" distR="114300" simplePos="0" relativeHeight="251731456" behindDoc="0" locked="0" layoutInCell="1" allowOverlap="1" wp14:anchorId="7A6D0E63" wp14:editId="44CDE7D2">
                <wp:simplePos x="0" y="0"/>
                <wp:positionH relativeFrom="column">
                  <wp:posOffset>318135</wp:posOffset>
                </wp:positionH>
                <wp:positionV relativeFrom="paragraph">
                  <wp:posOffset>46990</wp:posOffset>
                </wp:positionV>
                <wp:extent cx="0" cy="228600"/>
                <wp:effectExtent l="0" t="0" r="0" b="0"/>
                <wp:wrapNone/>
                <wp:docPr id="92" name="Lin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D0B5A6" id="Line 350" o:spid="_x0000_s1026" style="position:absolute;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5pt,3.7pt" to="25.05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RSkFAIAACoEAAAOAAAAZHJzL2Uyb0RvYy54bWysU8uu2jAQ3VfqP1jeQx43UIgIV1UC3dAW&#10;6d5+gLEdYtWxLdsQUNV/79g8xG03VdUsnLFn5syZ1+L51Et05NYJrSqcjVOMuKKaCbWv8LfX9WiG&#10;kfNEMSK14hU+c4efl+/fLQZT8lx3WjJuEYAoVw6mwp33pkwSRzveEzfWhitQttr2xMPV7hNmyQDo&#10;vUzyNJ0mg7bMWE25c/DaXJR4GfHbllP/tW0d90hWGLj5eNp47sKZLBek3FtiOkGvNMg/sOiJUBD0&#10;DtUQT9DBij+gekGtdrr1Y6r7RLetoDzmANlk6W/ZvHTE8JgLFMeZe5nc/4OlX45biwSr8DzHSJEe&#10;erQRiqOnSSzOYFwJNrXa2pAePakXs9H0u0NK1x1Rex5Jvp4NOGahnMkbl3BxBkLshs+agQ05eB0r&#10;dWptHyChBugUG3K+N4SfPKKXRwqveT6bppFOQsqbn7HOf+K6R0GosATSEZccN84HHqS8mYQwSq+F&#10;lLHdUqEB8p3kk+jgtBQsKIOZs/tdLS06kjAw8YtJgebRzOqDYhGs44StrrInQl5kCC5VwINMgM5V&#10;ukzEj3k6X81Ws2JU5NPVqEibZvRxXRej6Tr7MGmemrpusp+BWlaUnWCMq8DuNp1Z8Xfdv+7JZa7u&#10;83kvQ/IWPdYLyN7+kXRsZeheWCdX7jQ7b+2txTCQ0fi6PGHiH+8gP6748hcAAAD//wMAUEsDBBQA&#10;BgAIAAAAIQC5pBR72gAAAAYBAAAPAAAAZHJzL2Rvd25yZXYueG1sTI7BTsMwEETvSPyDtUhcqtZu&#10;GwoK2VQIyI1LC4jrNlmSiHidxm4b+HoMFziOZvTmZevRdurIg2+dIMxnBhRL6apWaoSX52J6A8oH&#10;koo6J4zwyR7W+flZRmnlTrLh4zbUKkLEp4TQhNCnWvuyYUt+5nqW2L27wVKIcah1NdApwm2nF8as&#10;tKVW4kNDPd83XH5sDxbBF6+8L74m5cS8LWvHi/3D0yMhXl6Md7egAo/hbww/+lEd8ui0cwepvOoQ&#10;rsw8LhGuE1Cx/o07hGSZgM4z/V8//wYAAP//AwBQSwECLQAUAAYACAAAACEAtoM4kv4AAADhAQAA&#10;EwAAAAAAAAAAAAAAAAAAAAAAW0NvbnRlbnRfVHlwZXNdLnhtbFBLAQItABQABgAIAAAAIQA4/SH/&#10;1gAAAJQBAAALAAAAAAAAAAAAAAAAAC8BAABfcmVscy8ucmVsc1BLAQItABQABgAIAAAAIQCwHRSk&#10;FAIAACoEAAAOAAAAAAAAAAAAAAAAAC4CAABkcnMvZTJvRG9jLnhtbFBLAQItABQABgAIAAAAIQC5&#10;pBR72gAAAAYBAAAPAAAAAAAAAAAAAAAAAG4EAABkcnMvZG93bnJldi54bWxQSwUGAAAAAAQABADz&#10;AAAAdQUAAAAA&#10;"/>
            </w:pict>
          </mc:Fallback>
        </mc:AlternateContent>
      </w:r>
      <w:r>
        <w:rPr>
          <w:noProof/>
          <w:sz w:val="18"/>
        </w:rPr>
        <mc:AlternateContent>
          <mc:Choice Requires="wps">
            <w:drawing>
              <wp:anchor distT="0" distB="0" distL="114300" distR="114300" simplePos="0" relativeHeight="251729408" behindDoc="0" locked="0" layoutInCell="1" allowOverlap="1" wp14:anchorId="2A4346DF" wp14:editId="72029BD8">
                <wp:simplePos x="0" y="0"/>
                <wp:positionH relativeFrom="column">
                  <wp:posOffset>5194935</wp:posOffset>
                </wp:positionH>
                <wp:positionV relativeFrom="paragraph">
                  <wp:posOffset>62230</wp:posOffset>
                </wp:positionV>
                <wp:extent cx="0" cy="228600"/>
                <wp:effectExtent l="0" t="0" r="0" b="0"/>
                <wp:wrapNone/>
                <wp:docPr id="93" name="Line 3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92C877" id="Line 348" o:spid="_x0000_s1026" style="position:absolute;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9.05pt,4.9pt" to="409.0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THSFAIAACoEAAAOAAAAZHJzL2Uyb0RvYy54bWysU02P2jAQvVfqf7B8h3wQKESEVUWgl22L&#10;tNsfYGyHWHVsyzYEVPW/d+wAYttLVTUHZ2zPvHkzb7x8OncSnbh1QqsKZ+MUI66oZkIdKvztdTua&#10;Y+Q8UYxIrXiFL9zhp9X7d8velDzXrZaMWwQgypW9qXDrvSmTxNGWd8SNteEKLhttO+Jhaw8Js6QH&#10;9E4meZrOkl5bZqym3Dk4rYdLvIr4TcOp/9o0jnskKwzcfFxtXPdhTVZLUh4sMa2gVxrkH1h0RChI&#10;eoeqiSfoaMUfUJ2gVjvd+DHVXaKbRlAea4BqsvS3al5aYnisBZrjzL1N7v/B0i+nnUWCVXgxwUiR&#10;DjR6FoqjSTEPzemNK8FnrXY2lEfP6sU8a/rdIaXXLVEHHkm+XgwEZiEieRMSNs5Ain3/WTPwIUev&#10;Y6fOje0CJPQAnaMgl7sg/OwRHQ4pnOb5fJZGrRJS3uKMdf4T1x0KRoUlkI645PTsfOBByptLSKP0&#10;VkgZ5ZYK9VDvNJ/GAKelYOEyuDl72K+lRScSBiZ+sSi4eXSz+qhYBGs5YZur7YmQgw3JpQp4UAnQ&#10;uVrDRPxYpIvNfDMvRkU+24yKtK5HH7frYjTbZh+m9aRer+vsZ6CWFWUrGOMqsLtNZ1b8nfrXdzLM&#10;1X0+721I3qLHfgHZ2z+SjlIG9YY52Gt22dmbxDCQ0fn6eMLEP+7Bfnziq18AAAD//wMAUEsDBBQA&#10;BgAIAAAAIQDb//eh3AAAAAgBAAAPAAAAZHJzL2Rvd25yZXYueG1sTI/NTsMwEITvSLyDtUhcqtZJ&#10;+VEIcSoE5MaFQsV1Gy9JRLxOY7cNPD2LOMBxNKOZb4rV5Hp1oDF0ng2kiwQUce1tx42B15dqnoEK&#10;Edli75kMfFKAVXl6UmBu/ZGf6bCOjZISDjkaaGMccq1D3ZLDsPADsXjvfnQYRY6NtiMepdz1epkk&#10;19phx7LQ4kD3LdUf670zEKoN7aqvWT1L3i4aT8vdw9MjGnN+Nt3dgoo0xb8w/OALOpTCtPV7tkH1&#10;BrI0SyVq4EYeiP+rtwYurzLQZaH/Hyi/AQAA//8DAFBLAQItABQABgAIAAAAIQC2gziS/gAAAOEB&#10;AAATAAAAAAAAAAAAAAAAAAAAAABbQ29udGVudF9UeXBlc10ueG1sUEsBAi0AFAAGAAgAAAAhADj9&#10;If/WAAAAlAEAAAsAAAAAAAAAAAAAAAAALwEAAF9yZWxzLy5yZWxzUEsBAi0AFAAGAAgAAAAhAAc5&#10;MdIUAgAAKgQAAA4AAAAAAAAAAAAAAAAALgIAAGRycy9lMm9Eb2MueG1sUEsBAi0AFAAGAAgAAAAh&#10;ANv/96HcAAAACAEAAA8AAAAAAAAAAAAAAAAAbgQAAGRycy9kb3ducmV2LnhtbFBLBQYAAAAABAAE&#10;APMAAAB3BQAAAAA=&#10;"/>
            </w:pict>
          </mc:Fallback>
        </mc:AlternateContent>
      </w:r>
    </w:p>
    <w:p w:rsidR="001212ED" w:rsidRDefault="001212ED" w:rsidP="001212ED">
      <w:pPr>
        <w:rPr>
          <w:color w:val="000000"/>
          <w:sz w:val="18"/>
        </w:rPr>
      </w:pPr>
      <w:r>
        <w:rPr>
          <w:color w:val="000000"/>
          <w:sz w:val="18"/>
        </w:rPr>
        <w:t xml:space="preserve">                                 </w:t>
      </w:r>
      <w:r>
        <w:rPr>
          <w:color w:val="000000"/>
          <w:sz w:val="18"/>
        </w:rPr>
        <w:tab/>
      </w:r>
      <w:r>
        <w:rPr>
          <w:color w:val="000000"/>
          <w:sz w:val="18"/>
        </w:rPr>
        <w:tab/>
      </w:r>
    </w:p>
    <w:p w:rsidR="001212ED" w:rsidRDefault="00CA4EC6" w:rsidP="001212ED">
      <w:pPr>
        <w:ind w:left="2160" w:hanging="2160"/>
        <w:rPr>
          <w:color w:val="000000"/>
          <w:sz w:val="18"/>
        </w:rPr>
      </w:pPr>
      <w:r>
        <w:rPr>
          <w:color w:val="000000"/>
          <w:sz w:val="18"/>
        </w:rPr>
        <w:t>Veteran begins process of</w:t>
      </w:r>
      <w:r w:rsidR="001212ED">
        <w:rPr>
          <w:color w:val="000000"/>
          <w:sz w:val="18"/>
        </w:rPr>
        <w:tab/>
      </w:r>
      <w:r w:rsidR="001212ED">
        <w:rPr>
          <w:color w:val="000000"/>
          <w:sz w:val="18"/>
        </w:rPr>
        <w:tab/>
      </w:r>
      <w:r w:rsidR="001212ED">
        <w:rPr>
          <w:color w:val="000000"/>
          <w:sz w:val="18"/>
        </w:rPr>
        <w:tab/>
      </w:r>
      <w:r>
        <w:rPr>
          <w:color w:val="000000"/>
          <w:sz w:val="18"/>
        </w:rPr>
        <w:t>Online application submitted</w:t>
      </w:r>
      <w:r w:rsidR="001212ED">
        <w:rPr>
          <w:color w:val="000000"/>
          <w:sz w:val="18"/>
        </w:rPr>
        <w:tab/>
      </w:r>
      <w:r w:rsidR="001212ED">
        <w:rPr>
          <w:color w:val="000000"/>
          <w:sz w:val="18"/>
        </w:rPr>
        <w:tab/>
      </w:r>
      <w:r w:rsidR="001212ED">
        <w:rPr>
          <w:color w:val="000000"/>
          <w:sz w:val="18"/>
        </w:rPr>
        <w:tab/>
      </w:r>
      <w:r>
        <w:rPr>
          <w:color w:val="000000"/>
          <w:sz w:val="18"/>
        </w:rPr>
        <w:t>Rating decision granting SC</w:t>
      </w:r>
    </w:p>
    <w:p w:rsidR="001212ED" w:rsidRDefault="00CA4EC6" w:rsidP="00CA4EC6">
      <w:pPr>
        <w:ind w:left="2160" w:hanging="2160"/>
        <w:rPr>
          <w:color w:val="000000"/>
          <w:sz w:val="18"/>
        </w:rPr>
      </w:pPr>
      <w:r>
        <w:rPr>
          <w:color w:val="000000"/>
          <w:sz w:val="18"/>
        </w:rPr>
        <w:t>filing original, fully developed</w:t>
      </w:r>
      <w:r>
        <w:rPr>
          <w:color w:val="000000"/>
          <w:sz w:val="18"/>
        </w:rPr>
        <w:tab/>
      </w:r>
      <w:r>
        <w:rPr>
          <w:color w:val="000000"/>
          <w:sz w:val="18"/>
        </w:rPr>
        <w:tab/>
        <w:t>to VA – accepted as complete,</w:t>
      </w:r>
      <w:r>
        <w:rPr>
          <w:color w:val="000000"/>
          <w:sz w:val="18"/>
        </w:rPr>
        <w:tab/>
      </w:r>
      <w:r>
        <w:rPr>
          <w:color w:val="000000"/>
          <w:sz w:val="18"/>
        </w:rPr>
        <w:tab/>
      </w:r>
      <w:r>
        <w:rPr>
          <w:color w:val="000000"/>
          <w:sz w:val="18"/>
        </w:rPr>
        <w:tab/>
        <w:t>and notes 30% level justified for</w:t>
      </w:r>
    </w:p>
    <w:p w:rsidR="00CA4EC6" w:rsidRDefault="00CA4EC6" w:rsidP="00CA4EC6">
      <w:pPr>
        <w:ind w:left="2160" w:hanging="2160"/>
        <w:rPr>
          <w:color w:val="000000"/>
          <w:sz w:val="18"/>
        </w:rPr>
      </w:pPr>
      <w:r>
        <w:rPr>
          <w:color w:val="000000"/>
          <w:sz w:val="18"/>
        </w:rPr>
        <w:t>claim for service conection</w:t>
      </w:r>
      <w:r>
        <w:rPr>
          <w:color w:val="000000"/>
          <w:sz w:val="18"/>
        </w:rPr>
        <w:tab/>
      </w:r>
      <w:r>
        <w:rPr>
          <w:color w:val="000000"/>
          <w:sz w:val="18"/>
        </w:rPr>
        <w:tab/>
      </w:r>
      <w:r>
        <w:rPr>
          <w:color w:val="000000"/>
          <w:sz w:val="18"/>
        </w:rPr>
        <w:tab/>
        <w:t>formal FDC</w:t>
      </w:r>
      <w:r w:rsidR="0087430E">
        <w:rPr>
          <w:color w:val="000000"/>
          <w:sz w:val="18"/>
        </w:rPr>
        <w:tab/>
      </w:r>
      <w:r w:rsidR="0087430E">
        <w:rPr>
          <w:color w:val="000000"/>
          <w:sz w:val="18"/>
        </w:rPr>
        <w:tab/>
      </w:r>
      <w:r w:rsidR="0087430E">
        <w:rPr>
          <w:color w:val="000000"/>
          <w:sz w:val="18"/>
        </w:rPr>
        <w:tab/>
      </w:r>
      <w:r w:rsidR="0087430E">
        <w:rPr>
          <w:color w:val="000000"/>
          <w:sz w:val="18"/>
        </w:rPr>
        <w:tab/>
      </w:r>
      <w:r w:rsidR="0087430E">
        <w:rPr>
          <w:color w:val="000000"/>
          <w:sz w:val="18"/>
        </w:rPr>
        <w:tab/>
        <w:t>for several years</w:t>
      </w:r>
    </w:p>
    <w:p w:rsidR="0087430E" w:rsidRDefault="0087430E" w:rsidP="00CA4EC6">
      <w:pPr>
        <w:ind w:left="2160" w:hanging="2160"/>
        <w:rPr>
          <w:color w:val="000000"/>
          <w:sz w:val="18"/>
        </w:rPr>
      </w:pPr>
      <w:r>
        <w:rPr>
          <w:color w:val="000000"/>
          <w:sz w:val="18"/>
        </w:rPr>
        <w:t>through VONAPP</w:t>
      </w:r>
      <w:r>
        <w:rPr>
          <w:color w:val="000000"/>
          <w:sz w:val="18"/>
        </w:rPr>
        <w:tab/>
      </w:r>
      <w:r>
        <w:rPr>
          <w:color w:val="000000"/>
          <w:sz w:val="18"/>
        </w:rPr>
        <w:tab/>
      </w:r>
      <w:r>
        <w:rPr>
          <w:color w:val="000000"/>
          <w:sz w:val="18"/>
        </w:rPr>
        <w:tab/>
        <w:t>09/01/13</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12/12/13</w:t>
      </w:r>
    </w:p>
    <w:p w:rsidR="0087430E" w:rsidRDefault="0087430E" w:rsidP="00CA4EC6">
      <w:pPr>
        <w:ind w:left="2160" w:hanging="2160"/>
        <w:rPr>
          <w:color w:val="000000"/>
          <w:sz w:val="18"/>
        </w:rPr>
      </w:pPr>
      <w:r>
        <w:rPr>
          <w:color w:val="000000"/>
          <w:sz w:val="18"/>
        </w:rPr>
        <w:t>01/03/13</w:t>
      </w:r>
    </w:p>
    <w:p w:rsidR="0087430E" w:rsidRDefault="0087430E" w:rsidP="00CA4EC6">
      <w:pPr>
        <w:ind w:left="2160" w:hanging="2160"/>
        <w:rPr>
          <w:color w:val="000000"/>
          <w:sz w:val="18"/>
        </w:rPr>
      </w:pPr>
    </w:p>
    <w:p w:rsidR="0087430E" w:rsidRDefault="0087430E" w:rsidP="00CA4EC6">
      <w:pPr>
        <w:ind w:left="2160" w:hanging="2160"/>
        <w:rPr>
          <w:color w:val="000000"/>
          <w:sz w:val="18"/>
        </w:rPr>
      </w:pPr>
    </w:p>
    <w:p w:rsidR="0087430E" w:rsidRDefault="0087430E" w:rsidP="0087430E">
      <w:pPr>
        <w:ind w:left="2880" w:firstLine="720"/>
        <w:rPr>
          <w:b/>
          <w:bCs/>
          <w:color w:val="000000"/>
          <w:sz w:val="18"/>
        </w:rPr>
      </w:pPr>
      <w:r>
        <w:rPr>
          <w:b/>
          <w:bCs/>
          <w:color w:val="000000"/>
          <w:sz w:val="18"/>
        </w:rPr>
        <w:t>Effective Date</w:t>
      </w:r>
    </w:p>
    <w:p w:rsidR="0087430E" w:rsidRDefault="005D345D" w:rsidP="0087430E">
      <w:pPr>
        <w:ind w:left="2880" w:firstLine="720"/>
        <w:rPr>
          <w:color w:val="000000"/>
          <w:sz w:val="18"/>
        </w:rPr>
      </w:pPr>
      <w:r>
        <w:rPr>
          <w:color w:val="000000"/>
          <w:sz w:val="18"/>
        </w:rPr>
        <w:t xml:space="preserve">(Veteran filed </w:t>
      </w:r>
      <w:r w:rsidR="0087430E">
        <w:rPr>
          <w:color w:val="000000"/>
          <w:sz w:val="18"/>
        </w:rPr>
        <w:t>a</w:t>
      </w:r>
      <w:r>
        <w:rPr>
          <w:color w:val="000000"/>
          <w:sz w:val="18"/>
        </w:rPr>
        <w:t xml:space="preserve"> </w:t>
      </w:r>
      <w:r w:rsidR="0087430E">
        <w:rPr>
          <w:color w:val="000000"/>
          <w:sz w:val="18"/>
        </w:rPr>
        <w:t>formal claim within one year of informal claim and</w:t>
      </w:r>
    </w:p>
    <w:p w:rsidR="0087430E" w:rsidRDefault="0087430E" w:rsidP="0087430E">
      <w:pPr>
        <w:ind w:left="3600"/>
        <w:rPr>
          <w:color w:val="000000"/>
          <w:sz w:val="18"/>
        </w:rPr>
      </w:pPr>
      <w:r>
        <w:rPr>
          <w:color w:val="000000"/>
          <w:sz w:val="18"/>
        </w:rPr>
        <w:t>there is no diagnosis of dsability until 09/13/13)</w:t>
      </w:r>
    </w:p>
    <w:p w:rsidR="0087430E" w:rsidRDefault="0087430E" w:rsidP="0087430E">
      <w:pPr>
        <w:ind w:left="2880" w:firstLine="720"/>
        <w:rPr>
          <w:b/>
          <w:bCs/>
          <w:color w:val="000000"/>
          <w:sz w:val="18"/>
        </w:rPr>
      </w:pPr>
      <w:r>
        <w:rPr>
          <w:noProof/>
          <w:sz w:val="18"/>
        </w:rPr>
        <mc:AlternateContent>
          <mc:Choice Requires="wps">
            <w:drawing>
              <wp:anchor distT="0" distB="0" distL="114300" distR="114300" simplePos="0" relativeHeight="251737600" behindDoc="0" locked="0" layoutInCell="1" allowOverlap="1" wp14:anchorId="6921AE91" wp14:editId="4C32EFAE">
                <wp:simplePos x="0" y="0"/>
                <wp:positionH relativeFrom="column">
                  <wp:posOffset>2794000</wp:posOffset>
                </wp:positionH>
                <wp:positionV relativeFrom="paragraph">
                  <wp:posOffset>130810</wp:posOffset>
                </wp:positionV>
                <wp:extent cx="0" cy="381000"/>
                <wp:effectExtent l="0" t="0" r="0" b="0"/>
                <wp:wrapNone/>
                <wp:docPr id="24576" name="Line 3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CDB19F" id="Line 349" o:spid="_x0000_s1026" style="position:absolute;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pt,10.3pt" to="220pt,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D9qFwIAAC0EAAAOAAAAZHJzL2Uyb0RvYy54bWysU8GO2jAQvVfqP1i+QxIILESEVUWgF9pF&#10;2u0HGNshVh3bsg0BVf33jh1AbHupqubgjO2ZN29mnhfP51aiE7dOaFXibJhixBXVTKhDib+9bQYz&#10;jJwnihGpFS/xhTv8vPz4YdGZgo90oyXjFgGIckVnStx4b4okcbThLXFDbbiCy1rblnjY2kPCLOkA&#10;vZXJKE2nSactM1ZT7hycVv0lXkb8uubUv9S14x7JEgM3H1cb131Yk+WCFAdLTCPolQb5BxYtEQqS&#10;3qEq4gk6WvEHVCuo1U7Xfkh1m+i6FpTHGqCaLP2tmteGGB5rgeY4c2+T+3+w9OtpZ5FgJR7lk6cp&#10;Roq0MKatUByN83noT2dcAW4rtbOhQnpWr2ar6XeHlF41RB145Pl2MRCYhYjkXUjYOANZ9t0XzcCH&#10;HL2OzTrXtg2Q0AZ0jjO53GfCzx7R/pDC6XiWpWkcV0KKW5yxzn/mukXBKLEE0hGXnLbOBx6kuLmE&#10;NEpvhJRx4lKhrsTzyWgSA5yWgoXL4ObsYb+SFp1I0Ez8YlFw8+hm9VGxCNZwwtZX2xMhexuSSxXw&#10;oBKgc7V6UfyYp/P1bD3LB/louh7kaVUNPm1W+WC6yZ4m1bhararsZ6CW5UUjGOMqsLsJNMv/TgDX&#10;p9JL6y7RexuS9+ixX0D29o+k4yjD9Hod7DW77OxtxKDJ6Hx9P0H0j3uwH1/58hcAAAD//wMAUEsD&#10;BBQABgAIAAAAIQBnnCBv3AAAAAkBAAAPAAAAZHJzL2Rvd25yZXYueG1sTI/BTsMwEETvSPyDtUhc&#10;KmoTqqoK2VQIyI0LLYirGy9JRLxOY7cNfD2LOMBxZ0czb4r15Ht1pDF2gRGu5wYUcR1cxw3Cy7a6&#10;WoGKybKzfWBC+KQI6/L8rLC5Cyd+puMmNUpCOOYWoU1pyLWOdUvexnkYiOX3HkZvk5xjo91oTxLu&#10;e50Zs9TediwNrR3ovqX6Y3PwCLF6pX31Natn5u2mCZTtH54eLeLlxXR3CyrRlP7M8IMv6FAK0y4c&#10;2EXVIywWRrYkhMwsQYnhV9ghrETQZaH/Lyi/AQAA//8DAFBLAQItABQABgAIAAAAIQC2gziS/gAA&#10;AOEBAAATAAAAAAAAAAAAAAAAAAAAAABbQ29udGVudF9UeXBlc10ueG1sUEsBAi0AFAAGAAgAAAAh&#10;ADj9If/WAAAAlAEAAAsAAAAAAAAAAAAAAAAALwEAAF9yZWxzLy5yZWxzUEsBAi0AFAAGAAgAAAAh&#10;ABFIP2oXAgAALQQAAA4AAAAAAAAAAAAAAAAALgIAAGRycy9lMm9Eb2MueG1sUEsBAi0AFAAGAAgA&#10;AAAhAGecIG/cAAAACQEAAA8AAAAAAAAAAAAAAAAAcQQAAGRycy9kb3ducmV2LnhtbFBLBQYAAAAA&#10;BAAEAPMAAAB6BQAAAAA=&#10;"/>
            </w:pict>
          </mc:Fallback>
        </mc:AlternateContent>
      </w:r>
      <w:r>
        <w:rPr>
          <w:b/>
          <w:bCs/>
          <w:color w:val="000000"/>
          <w:sz w:val="18"/>
        </w:rPr>
        <w:t>09/15/13</w:t>
      </w:r>
    </w:p>
    <w:p w:rsidR="0087430E" w:rsidRDefault="0087430E" w:rsidP="0087430E">
      <w:pPr>
        <w:rPr>
          <w:color w:val="000000"/>
          <w:sz w:val="18"/>
        </w:rPr>
      </w:pPr>
    </w:p>
    <w:p w:rsidR="0087430E" w:rsidRDefault="0087430E" w:rsidP="0087430E">
      <w:pPr>
        <w:rPr>
          <w:color w:val="000000"/>
          <w:sz w:val="18"/>
        </w:rPr>
      </w:pPr>
      <w:r>
        <w:rPr>
          <w:noProof/>
          <w:sz w:val="18"/>
        </w:rPr>
        <mc:AlternateContent>
          <mc:Choice Requires="wps">
            <w:drawing>
              <wp:anchor distT="0" distB="0" distL="114300" distR="114300" simplePos="0" relativeHeight="251735552" behindDoc="0" locked="0" layoutInCell="1" allowOverlap="1" wp14:anchorId="5921BB7A" wp14:editId="7E222C48">
                <wp:simplePos x="0" y="0"/>
                <wp:positionH relativeFrom="column">
                  <wp:posOffset>-127000</wp:posOffset>
                </wp:positionH>
                <wp:positionV relativeFrom="paragraph">
                  <wp:posOffset>36830</wp:posOffset>
                </wp:positionV>
                <wp:extent cx="5905500" cy="0"/>
                <wp:effectExtent l="0" t="0" r="0" b="0"/>
                <wp:wrapNone/>
                <wp:docPr id="24577" name="Lin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6DCF5A" id="Line 347" o:spid="_x0000_s1026" style="position:absolute;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pt,2.9pt" to="45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1aCGAIAAC4EAAAOAAAAZHJzL2Uyb0RvYy54bWysU9uO2yAQfa/Uf0C8J7azdi5WnFUVJ31J&#10;u5F2+wEEcIyKAQGJE1X99w7komz7UlX1Ax6YmcOZmcP8+dRJdOTWCa0qnA1TjLiimgm1r/C3t/Vg&#10;ipHzRDEiteIVPnOHnxcfP8x7U/KRbrVk3CIAUa7sTYVb702ZJI62vCNuqA1X4Gy07YiHrd0nzJIe&#10;0DuZjNJ0nPTaMmM15c7BaX1x4kXEbxpO/UvTOO6RrDBw83G1cd2FNVnMSbm3xLSCXmmQf2DREaHg&#10;0jtUTTxBByv+gOoEtdrpxg+p7hLdNILyWANUk6W/VfPaEsNjLdAcZ+5tcv8Pln49bi0SrMKjvJhM&#10;MFKkgzFthOLoKZ+E/vTGlRC2VFsbKqQn9Wo2mn53SOllS9SeR55vZwOJWchI3qWEjTNwy67/ohnE&#10;kIPXsVmnxnYBEtqATnEm5/tM+MkjCofFLC2KFEZHb76ElLdEY53/zHWHglFhCawjMDlunA9ESHkL&#10;CfcovRZSxpFLhfoKz4pREROcloIFZwhzdr9bSouOJIgmfrEq8DyGWX1QLIK1nLDV1fZEyIsNl0sV&#10;8KAUoHO1Lqr4MUtnq+lqmg/y0Xg1yNO6HnxaL/PBeJ1NivqpXi7r7GegluVlKxjjKrC7KTTL/04B&#10;17dy0dZdo/c2JO/RY7+A7O0fScdZhvFdhLDT7Ly1txmDKGPw9QEF1T/uwX585otfAAAA//8DAFBL&#10;AwQUAAYACAAAACEAIURwdtkAAAAHAQAADwAAAGRycy9kb3ducmV2LnhtbEyPQU/CQBCF7yb+h82Q&#10;eCGwBYPB2i0xam9eRInXoTu2Dd3Z0l2g+usdvODx5b188022GlyrjtSHxrOB2TQBRVx623Bl4OO9&#10;mCxBhYhssfVMBr4pwCq/vsowtf7Eb3Rcx0oJhEOKBuoYu1TrUNbkMEx9Ryzdl+8dRol9pW2PJ4G7&#10;Vs+T5E47bFgu1NjRU03lbn1wBkKxoX3xMy7Hyedt5Wm+f359QWNuRsPjA6hIQ7yM4awv6pCL09Yf&#10;2AbVGpgIXqYGFvKB9Pezc97+ZZ1n+r9//gsAAP//AwBQSwECLQAUAAYACAAAACEAtoM4kv4AAADh&#10;AQAAEwAAAAAAAAAAAAAAAAAAAAAAW0NvbnRlbnRfVHlwZXNdLnhtbFBLAQItABQABgAIAAAAIQA4&#10;/SH/1gAAAJQBAAALAAAAAAAAAAAAAAAAAC8BAABfcmVscy8ucmVsc1BLAQItABQABgAIAAAAIQAU&#10;R1aCGAIAAC4EAAAOAAAAAAAAAAAAAAAAAC4CAABkcnMvZTJvRG9jLnhtbFBLAQItABQABgAIAAAA&#10;IQAhRHB22QAAAAcBAAAPAAAAAAAAAAAAAAAAAHIEAABkcnMvZG93bnJldi54bWxQSwUGAAAAAAQA&#10;BADzAAAAeAUAAAAA&#10;"/>
            </w:pict>
          </mc:Fallback>
        </mc:AlternateContent>
      </w:r>
      <w:r>
        <w:rPr>
          <w:noProof/>
          <w:sz w:val="18"/>
        </w:rPr>
        <mc:AlternateContent>
          <mc:Choice Requires="wps">
            <w:drawing>
              <wp:anchor distT="0" distB="0" distL="114300" distR="114300" simplePos="0" relativeHeight="251738624" behindDoc="0" locked="0" layoutInCell="1" allowOverlap="1" wp14:anchorId="0009B4C1" wp14:editId="0F68077D">
                <wp:simplePos x="0" y="0"/>
                <wp:positionH relativeFrom="column">
                  <wp:posOffset>318135</wp:posOffset>
                </wp:positionH>
                <wp:positionV relativeFrom="paragraph">
                  <wp:posOffset>46990</wp:posOffset>
                </wp:positionV>
                <wp:extent cx="0" cy="228600"/>
                <wp:effectExtent l="0" t="0" r="0" b="0"/>
                <wp:wrapNone/>
                <wp:docPr id="24578" name="Line 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1D6C6E" id="Line 350" o:spid="_x0000_s1026" style="position:absolute;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05pt,3.7pt" to="25.05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m+cFwIAAC0EAAAOAAAAZHJzL2Uyb0RvYy54bWysU9uO2jAQfa/Uf7D8DrlsYCEirKoE+rLt&#10;Iu32A4ztEKuObdmGgKr+e8fmIrZ9qarmwRl7Zs6cuS2ejr1EB26d0KrC2TjFiCuqmVC7Cn97W49m&#10;GDlPFCNSK17hE3f4afnxw2IwJc91pyXjFgGIcuVgKtx5b8okcbTjPXFjbbgCZattTzxc7S5hlgyA&#10;3sskT9NpMmjLjNWUOwevzVmJlxG/bTn1L23ruEeywsDNx9PGcxvOZLkg5c4S0wl6oUH+gUVPhIKg&#10;N6iGeIL2VvwB1QtqtdOtH1PdJ7ptBeUxB8gmS3/L5rUjhsdcoDjO3Mrk/h8s/XrYWCRYhfNi8gjN&#10;UqSHNj0LxdHDJNZnMK4Es1ptbMiQHtWredb0u0NK1x1ROx55vp0MOGahosk7l3BxBqJshy+agQ3Z&#10;ex2LdWxtHyChDOgYe3K69YQfPaLnRwqveT6bppFOQsqrn7HOf+a6R0GosATSEZccnp0PPEh5NQlh&#10;lF4LKWPHpUJDheeTfBIdnJaCBWUwc3a3raVFBxJmJn4xKdDcm1m9VyyCdZyw1UX2RMizDMGlCniQ&#10;CdC5SOeh+DFP56vZalaMiny6GhVp04w+retiNF1nj5PmoanrJvsZqGVF2QnGuArsrgOaFX83AJdV&#10;OY/WbURvZUjeo8d6AdnrP5KOrQzdCxvlyq1mp429thhmMhpf9icM/f0d5PstX/4CAAD//wMAUEsD&#10;BBQABgAIAAAAIQC5pBR72gAAAAYBAAAPAAAAZHJzL2Rvd25yZXYueG1sTI7BTsMwEETvSPyDtUhc&#10;qtZuGwoK2VQIyI1LC4jrNlmSiHidxm4b+HoMFziOZvTmZevRdurIg2+dIMxnBhRL6apWaoSX52J6&#10;A8oHkoo6J4zwyR7W+flZRmnlTrLh4zbUKkLEp4TQhNCnWvuyYUt+5nqW2L27wVKIcah1NdApwm2n&#10;F8astKVW4kNDPd83XH5sDxbBF6+8L74m5cS8LWvHi/3D0yMhXl6Md7egAo/hbww/+lEd8ui0cwep&#10;vOoQrsw8LhGuE1Cx/o07hGSZgM4z/V8//wYAAP//AwBQSwECLQAUAAYACAAAACEAtoM4kv4AAADh&#10;AQAAEwAAAAAAAAAAAAAAAAAAAAAAW0NvbnRlbnRfVHlwZXNdLnhtbFBLAQItABQABgAIAAAAIQA4&#10;/SH/1gAAAJQBAAALAAAAAAAAAAAAAAAAAC8BAABfcmVscy8ucmVsc1BLAQItABQABgAIAAAAIQAL&#10;xm+cFwIAAC0EAAAOAAAAAAAAAAAAAAAAAC4CAABkcnMvZTJvRG9jLnhtbFBLAQItABQABgAIAAAA&#10;IQC5pBR72gAAAAYBAAAPAAAAAAAAAAAAAAAAAHEEAABkcnMvZG93bnJldi54bWxQSwUGAAAAAAQA&#10;BADzAAAAeAUAAAAA&#10;"/>
            </w:pict>
          </mc:Fallback>
        </mc:AlternateContent>
      </w:r>
      <w:r>
        <w:rPr>
          <w:noProof/>
          <w:sz w:val="18"/>
        </w:rPr>
        <mc:AlternateContent>
          <mc:Choice Requires="wps">
            <w:drawing>
              <wp:anchor distT="0" distB="0" distL="114300" distR="114300" simplePos="0" relativeHeight="251736576" behindDoc="0" locked="0" layoutInCell="1" allowOverlap="1" wp14:anchorId="24F402CE" wp14:editId="401C6967">
                <wp:simplePos x="0" y="0"/>
                <wp:positionH relativeFrom="column">
                  <wp:posOffset>5194935</wp:posOffset>
                </wp:positionH>
                <wp:positionV relativeFrom="paragraph">
                  <wp:posOffset>62230</wp:posOffset>
                </wp:positionV>
                <wp:extent cx="0" cy="228600"/>
                <wp:effectExtent l="0" t="0" r="0" b="0"/>
                <wp:wrapNone/>
                <wp:docPr id="24579" name="Line 3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34B65A" id="Line 348" o:spid="_x0000_s1026" style="position:absolute;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9.05pt,4.9pt" to="409.0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krqFwIAAC0EAAAOAAAAZHJzL2Uyb0RvYy54bWysU02P2jAQvVfqf7B8h3xsYCEirCoCvWy7&#10;SLv9AcZ2iFXHtmxDQFX/e8cOILa9VFVzcMb2zJs3M8+Lp1Mn0ZFbJ7SqcDZOMeKKaibUvsLf3jaj&#10;GUbOE8WI1IpX+Mwdflp+/LDoTclz3WrJuEUAolzZmwq33psySRxteUfcWBuu4LLRtiMetnafMEt6&#10;QO9kkqfpNOm1ZcZqyp2D03q4xMuI3zSc+pemcdwjWWHg5uNq47oLa7JckHJviWkFvdAg/8CiI0JB&#10;0htUTTxBByv+gOoEtdrpxo+p7hLdNILyWANUk6W/VfPaEsNjLdAcZ25tcv8Pln49bi0SrMJ5MXmc&#10;Y6RIB2N6Foqjh2IW+tMbV4LbSm1tqJCe1Kt51vS7Q0qvWqL2PPJ8OxsIzEJE8i4kbJyBLLv+i2bg&#10;Qw5ex2adGtsFSGgDOsWZnG8z4SeP6HBI4TTPZ9M0jish5TXOWOc/c92hYFRYAumIS47PzgcepLy6&#10;hDRKb4SUceJSob7C80k+iQFOS8HCZXBzdr9bSYuOJGgmfrEouLl3s/qgWARrOWHri+2JkIMNyaUK&#10;eFAJ0LlYgyh+zNP5eraeFaMin65HRVrXo0+bVTGabrLHSf1Qr1Z19jNQy4qyFYxxFdhdBZoVfyeA&#10;y1MZpHWT6K0NyXv02C8ge/1H0nGUYXqDDnaanbf2OmLQZHS+vJ8g+vs92PevfPkLAAD//wMAUEsD&#10;BBQABgAIAAAAIQDb//eh3AAAAAgBAAAPAAAAZHJzL2Rvd25yZXYueG1sTI/NTsMwEITvSLyDtUhc&#10;qtZJ+VEIcSoE5MaFQsV1Gy9JRLxOY7cNPD2LOMBxNKOZb4rV5Hp1oDF0ng2kiwQUce1tx42B15dq&#10;noEKEdli75kMfFKAVXl6UmBu/ZGf6bCOjZISDjkaaGMccq1D3ZLDsPADsXjvfnQYRY6NtiMepdz1&#10;epkk19phx7LQ4kD3LdUf670zEKoN7aqvWT1L3i4aT8vdw9MjGnN+Nt3dgoo0xb8w/OALOpTCtPV7&#10;tkH1BrI0SyVq4EYeiP+rtwYurzLQZaH/Hyi/AQAA//8DAFBLAQItABQABgAIAAAAIQC2gziS/gAA&#10;AOEBAAATAAAAAAAAAAAAAAAAAAAAAABbQ29udGVudF9UeXBlc10ueG1sUEsBAi0AFAAGAAgAAAAh&#10;ADj9If/WAAAAlAEAAAsAAAAAAAAAAAAAAAAALwEAAF9yZWxzLy5yZWxzUEsBAi0AFAAGAAgAAAAh&#10;ALziSuoXAgAALQQAAA4AAAAAAAAAAAAAAAAALgIAAGRycy9lMm9Eb2MueG1sUEsBAi0AFAAGAAgA&#10;AAAhANv/96HcAAAACAEAAA8AAAAAAAAAAAAAAAAAcQQAAGRycy9kb3ducmV2LnhtbFBLBQYAAAAA&#10;BAAEAPMAAAB6BQAAAAA=&#10;"/>
            </w:pict>
          </mc:Fallback>
        </mc:AlternateContent>
      </w:r>
    </w:p>
    <w:p w:rsidR="0087430E" w:rsidRDefault="0087430E" w:rsidP="0087430E">
      <w:pPr>
        <w:rPr>
          <w:color w:val="000000"/>
          <w:sz w:val="18"/>
        </w:rPr>
      </w:pPr>
      <w:r>
        <w:rPr>
          <w:color w:val="000000"/>
          <w:sz w:val="18"/>
        </w:rPr>
        <w:t xml:space="preserve">                                 </w:t>
      </w:r>
      <w:r>
        <w:rPr>
          <w:color w:val="000000"/>
          <w:sz w:val="18"/>
        </w:rPr>
        <w:tab/>
      </w:r>
      <w:r>
        <w:rPr>
          <w:color w:val="000000"/>
          <w:sz w:val="18"/>
        </w:rPr>
        <w:tab/>
      </w:r>
    </w:p>
    <w:p w:rsidR="0087430E" w:rsidRDefault="0087430E" w:rsidP="0087430E">
      <w:pPr>
        <w:ind w:left="2160" w:hanging="2160"/>
        <w:rPr>
          <w:color w:val="000000"/>
          <w:sz w:val="18"/>
        </w:rPr>
      </w:pPr>
      <w:r>
        <w:rPr>
          <w:color w:val="000000"/>
          <w:sz w:val="18"/>
        </w:rPr>
        <w:t>Letter from VSO declaring</w:t>
      </w:r>
      <w:r>
        <w:rPr>
          <w:color w:val="000000"/>
          <w:sz w:val="18"/>
        </w:rPr>
        <w:tab/>
      </w:r>
      <w:r>
        <w:rPr>
          <w:color w:val="000000"/>
          <w:sz w:val="18"/>
        </w:rPr>
        <w:tab/>
      </w:r>
      <w:r>
        <w:rPr>
          <w:color w:val="000000"/>
          <w:sz w:val="18"/>
        </w:rPr>
        <w:tab/>
        <w:t>Private medical evidence with</w:t>
      </w:r>
      <w:r>
        <w:rPr>
          <w:color w:val="000000"/>
          <w:sz w:val="18"/>
        </w:rPr>
        <w:tab/>
      </w:r>
      <w:r>
        <w:rPr>
          <w:color w:val="000000"/>
          <w:sz w:val="18"/>
        </w:rPr>
        <w:tab/>
      </w:r>
      <w:r>
        <w:rPr>
          <w:color w:val="000000"/>
          <w:sz w:val="18"/>
        </w:rPr>
        <w:tab/>
        <w:t>Completed 21-526EZ submitted</w:t>
      </w:r>
    </w:p>
    <w:p w:rsidR="0087430E" w:rsidRDefault="0087430E" w:rsidP="0087430E">
      <w:pPr>
        <w:ind w:left="2160" w:hanging="2160"/>
        <w:rPr>
          <w:color w:val="000000"/>
          <w:sz w:val="18"/>
        </w:rPr>
      </w:pPr>
      <w:r>
        <w:rPr>
          <w:color w:val="000000"/>
          <w:sz w:val="18"/>
        </w:rPr>
        <w:t>Veteran’s (with service in RVN</w:t>
      </w:r>
      <w:r>
        <w:rPr>
          <w:color w:val="000000"/>
          <w:sz w:val="18"/>
        </w:rPr>
        <w:tab/>
      </w:r>
      <w:r>
        <w:rPr>
          <w:color w:val="000000"/>
          <w:sz w:val="18"/>
        </w:rPr>
        <w:tab/>
        <w:t>FDC claim shows an initial</w:t>
      </w:r>
      <w:r>
        <w:rPr>
          <w:color w:val="000000"/>
          <w:sz w:val="18"/>
        </w:rPr>
        <w:tab/>
      </w:r>
      <w:r>
        <w:rPr>
          <w:color w:val="000000"/>
          <w:sz w:val="18"/>
        </w:rPr>
        <w:tab/>
      </w:r>
      <w:r>
        <w:rPr>
          <w:color w:val="000000"/>
          <w:sz w:val="18"/>
        </w:rPr>
        <w:tab/>
      </w:r>
      <w:r>
        <w:rPr>
          <w:color w:val="000000"/>
          <w:sz w:val="18"/>
        </w:rPr>
        <w:tab/>
        <w:t>to VA-claim for DMII and</w:t>
      </w:r>
    </w:p>
    <w:p w:rsidR="0087430E" w:rsidRDefault="0087430E" w:rsidP="0087430E">
      <w:pPr>
        <w:ind w:left="2160" w:hanging="2160"/>
        <w:rPr>
          <w:color w:val="000000"/>
          <w:sz w:val="18"/>
        </w:rPr>
      </w:pPr>
      <w:r>
        <w:rPr>
          <w:color w:val="000000"/>
          <w:sz w:val="18"/>
        </w:rPr>
        <w:t>verified) intent ti file an original</w:t>
      </w:r>
      <w:r>
        <w:rPr>
          <w:color w:val="000000"/>
          <w:sz w:val="18"/>
        </w:rPr>
        <w:tab/>
      </w:r>
      <w:r>
        <w:rPr>
          <w:color w:val="000000"/>
          <w:sz w:val="18"/>
        </w:rPr>
        <w:tab/>
        <w:t>diagnosis of DMII on</w:t>
      </w:r>
      <w:r>
        <w:rPr>
          <w:color w:val="000000"/>
          <w:sz w:val="18"/>
        </w:rPr>
        <w:tab/>
      </w:r>
      <w:r>
        <w:rPr>
          <w:color w:val="000000"/>
          <w:sz w:val="18"/>
        </w:rPr>
        <w:tab/>
      </w:r>
      <w:r>
        <w:rPr>
          <w:color w:val="000000"/>
          <w:sz w:val="18"/>
        </w:rPr>
        <w:tab/>
      </w:r>
      <w:r>
        <w:rPr>
          <w:color w:val="000000"/>
          <w:sz w:val="18"/>
        </w:rPr>
        <w:tab/>
        <w:t>accepted as complete, formal</w:t>
      </w:r>
    </w:p>
    <w:p w:rsidR="0087430E" w:rsidRDefault="0087430E" w:rsidP="0087430E">
      <w:pPr>
        <w:ind w:left="2160" w:hanging="2160"/>
        <w:rPr>
          <w:color w:val="000000"/>
          <w:sz w:val="18"/>
        </w:rPr>
      </w:pPr>
      <w:r>
        <w:rPr>
          <w:color w:val="000000"/>
          <w:sz w:val="18"/>
        </w:rPr>
        <w:t>Claim for benefits</w:t>
      </w:r>
      <w:r>
        <w:rPr>
          <w:color w:val="000000"/>
          <w:sz w:val="18"/>
        </w:rPr>
        <w:tab/>
      </w:r>
      <w:r>
        <w:rPr>
          <w:color w:val="000000"/>
          <w:sz w:val="18"/>
        </w:rPr>
        <w:tab/>
      </w:r>
      <w:r>
        <w:rPr>
          <w:color w:val="000000"/>
          <w:sz w:val="18"/>
        </w:rPr>
        <w:tab/>
        <w:t>09/15/13</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 xml:space="preserve">FDC </w:t>
      </w:r>
    </w:p>
    <w:p w:rsidR="0087430E" w:rsidRDefault="0087430E" w:rsidP="00CA4EC6">
      <w:pPr>
        <w:ind w:left="2160" w:hanging="2160"/>
        <w:rPr>
          <w:sz w:val="18"/>
        </w:rPr>
      </w:pPr>
      <w:r>
        <w:rPr>
          <w:color w:val="000000"/>
          <w:sz w:val="18"/>
        </w:rPr>
        <w:t>02/15/13</w:t>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r>
      <w:r>
        <w:rPr>
          <w:color w:val="000000"/>
          <w:sz w:val="18"/>
        </w:rPr>
        <w:tab/>
        <w:t>03/30/14</w:t>
      </w:r>
    </w:p>
    <w:p w:rsidR="001212ED" w:rsidRDefault="001212ED">
      <w:pPr>
        <w:rPr>
          <w:sz w:val="18"/>
        </w:rPr>
      </w:pPr>
    </w:p>
    <w:p w:rsidR="00013EB8" w:rsidRDefault="00013EB8">
      <w:pPr>
        <w:rPr>
          <w:sz w:val="18"/>
        </w:rPr>
      </w:pPr>
    </w:p>
    <w:p w:rsidR="00013EB8" w:rsidRPr="00B32004" w:rsidRDefault="00013EB8">
      <w:pPr>
        <w:pStyle w:val="Heading4"/>
        <w:pBdr>
          <w:left w:val="none" w:sz="0" w:space="0" w:color="auto"/>
          <w:bottom w:val="none" w:sz="0" w:space="0" w:color="auto"/>
          <w:right w:val="none" w:sz="0" w:space="0" w:color="auto"/>
        </w:pBdr>
        <w:tabs>
          <w:tab w:val="clear" w:pos="0"/>
          <w:tab w:val="clear" w:pos="144"/>
        </w:tabs>
        <w:rPr>
          <w:sz w:val="20"/>
        </w:rPr>
      </w:pPr>
      <w:r w:rsidRPr="00B32004">
        <w:rPr>
          <w:sz w:val="20"/>
        </w:rPr>
        <w:t xml:space="preserve">From JRVSR Certification Boot Camp Notes (December 2012) – </w:t>
      </w:r>
    </w:p>
    <w:p w:rsidR="00013EB8" w:rsidRDefault="00013EB8">
      <w:pPr>
        <w:rPr>
          <w:sz w:val="18"/>
        </w:rPr>
      </w:pPr>
    </w:p>
    <w:p w:rsidR="00013EB8" w:rsidRDefault="00013EB8">
      <w:pPr>
        <w:rPr>
          <w:rFonts w:ascii="Calibri" w:hAnsi="Calibri"/>
          <w:b/>
          <w:sz w:val="22"/>
          <w:szCs w:val="28"/>
          <w:u w:val="single"/>
        </w:rPr>
      </w:pPr>
      <w:r>
        <w:rPr>
          <w:rFonts w:ascii="Calibri" w:hAnsi="Calibri"/>
          <w:b/>
          <w:sz w:val="22"/>
          <w:szCs w:val="28"/>
          <w:u w:val="single"/>
        </w:rPr>
        <w:t>Practice Questions</w:t>
      </w:r>
    </w:p>
    <w:p w:rsidR="00013EB8" w:rsidRDefault="00013EB8">
      <w:pPr>
        <w:rPr>
          <w:rFonts w:ascii="Calibri" w:hAnsi="Calibri"/>
          <w:sz w:val="22"/>
        </w:rPr>
      </w:pPr>
    </w:p>
    <w:p w:rsidR="00013EB8" w:rsidRDefault="00013EB8" w:rsidP="00F063AF">
      <w:pPr>
        <w:pStyle w:val="ListParagraph"/>
        <w:numPr>
          <w:ilvl w:val="0"/>
          <w:numId w:val="126"/>
        </w:numPr>
        <w:spacing w:after="0"/>
        <w:ind w:left="400"/>
      </w:pPr>
      <w:r>
        <w:t xml:space="preserve">Navy Veteran served from 4/1/1996-10/8/2012.  VA form 21-526 was received on 8/4/2012 on which Veteran claimed service connection for tinnitus and hearing loss.  Veteran showed no hearing loss in service but complained of tinnitus on several occasions.  Veteran failed to report for audio VA exam.  Veteran submitted private audiogram, dated 12/1/2012, on which Veteran is diagnosed with sensorineural hearing loss which would equate to 30 percent for VA purposes and tinnitus.  </w:t>
      </w:r>
    </w:p>
    <w:p w:rsidR="00013EB8" w:rsidRDefault="00013EB8">
      <w:pPr>
        <w:ind w:left="400"/>
        <w:rPr>
          <w:rFonts w:ascii="Calibri" w:hAnsi="Calibri"/>
          <w:sz w:val="22"/>
        </w:rPr>
      </w:pPr>
    </w:p>
    <w:p w:rsidR="00013EB8" w:rsidRDefault="00013EB8">
      <w:pPr>
        <w:ind w:left="400"/>
        <w:rPr>
          <w:rFonts w:ascii="Calibri" w:hAnsi="Calibri"/>
          <w:sz w:val="22"/>
        </w:rPr>
      </w:pPr>
      <w:r>
        <w:rPr>
          <w:rFonts w:ascii="Calibri" w:hAnsi="Calibri"/>
          <w:sz w:val="22"/>
        </w:rPr>
        <w:t>Please rate the case above:</w:t>
      </w:r>
    </w:p>
    <w:p w:rsidR="00013EB8" w:rsidRDefault="00562F54">
      <w:pPr>
        <w:ind w:left="400"/>
        <w:rPr>
          <w:rFonts w:ascii="Calibri" w:hAnsi="Calibri"/>
          <w:sz w:val="22"/>
        </w:rPr>
      </w:pPr>
      <w:r>
        <w:rPr>
          <w:rFonts w:ascii="Calibri" w:hAnsi="Calibri"/>
          <w:noProof/>
          <w:sz w:val="22"/>
        </w:rPr>
        <mc:AlternateContent>
          <mc:Choice Requires="wps">
            <w:drawing>
              <wp:anchor distT="0" distB="0" distL="114300" distR="114300" simplePos="0" relativeHeight="251686400" behindDoc="0" locked="0" layoutInCell="1" allowOverlap="1" wp14:anchorId="1D04708B" wp14:editId="4E5E57BE">
                <wp:simplePos x="0" y="0"/>
                <wp:positionH relativeFrom="column">
                  <wp:posOffset>762000</wp:posOffset>
                </wp:positionH>
                <wp:positionV relativeFrom="paragraph">
                  <wp:posOffset>123190</wp:posOffset>
                </wp:positionV>
                <wp:extent cx="390525" cy="219075"/>
                <wp:effectExtent l="0" t="0" r="0" b="0"/>
                <wp:wrapNone/>
                <wp:docPr id="37"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 cy="219075"/>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868A187" id="Oval 1" o:spid="_x0000_s1026" style="position:absolute;margin-left:60pt;margin-top:9.7pt;width:30.75pt;height:17.2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puudAIAAO8EAAAOAAAAZHJzL2Uyb0RvYy54bWysVF1v2jAUfZ+0/2D5nSahAUrUUFUEpknb&#10;WqnbDzCOQ6w5tndtCN20/75rB1hZX6ZpPBjf3Ovjc+6Hb+8OnSJ7AU4aXdLsKqVEaG5qqbcl/fJ5&#10;PbqhxHmma6aMFiV9Fo7eLd6+ue1tIcamNaoWQBBEu6K3JW29t0WSON6KjrkrY4VGZ2OgYx5N2CY1&#10;sB7RO5WM03Sa9AZqC4YL5/BrNTjpIuI3jeD+oWmc8ESVFLn5uEJcN2FNFres2AKzreRHGuwfWHRM&#10;arz0DFUxz8gO5CuoTnIwzjT+ipsuMU0juYgaUE2W/qHmqWVWRC2YHGfPaXL/D5Z/2j8CkXVJr2eU&#10;aNZhjR72TJEspKa3rsCIJ/sIQZyzHwz/6og2y5bprbgHMH0rWI2EYnxycSAYDo+STf/R1AjMdt7E&#10;LB0a6AIg6ieHWIznczHEwROOH6/n6WQ8oYSja5zN09kkMEpYcTpswfl3wnQkbEoqlJLWhXSxgu0/&#10;OD9En6LCZ23WUqlYcqVJj7iTPE3jCWeUrIM36oTtZqmAYB5Kup7Np/n0ePdFGJidriNayMHquPdM&#10;qmGPXJUOeCgJ+Rx3Q1v8mKfz1c3qJh/l4+lqlKdVNbpfL/PRdJ3NJtV1tVxW2c9ALcuLVta10IHd&#10;qUWz/O9a4DgsQ3Odm/RChbsQuw6/12KTSxqxDqjq9B/VxeKHeg99szH1M9YezDBz+EbgpjXwnZIe&#10;562k7tuOgaBEvdfYP/Msz8OARiOfzMZowEvP5qWHaY5QJeUeKBmMpR/GemdBblu8K4uF1eYeu66R&#10;sR1CRw68kHkwcKqihuMLEMb2pR2jfr9Ti18AAAD//wMAUEsDBBQABgAIAAAAIQAqxHTH3AAAAAkB&#10;AAAPAAAAZHJzL2Rvd25yZXYueG1sTI/BTsMwDIbvSLxDZCRuLC2sU9s1ndAkTpzYEFyzxmsKjVOa&#10;bGvfHu8EN//yr8+fq83kenHGMXSeFKSLBARS401HrYL3/ctDDiJETUb3nlDBjAE29e1NpUvjL/SG&#10;511sBUMolFqBjXEopQyNRafDwg9IvDv60enIcWylGfWF4a6Xj0mykk53xBesHnBrsfnenZwCXLm5&#10;mL+sXX6m+Xb0P9nH/nVQ6v5uel6DiDjFvzJc9VkdanY6+BOZIHrOjOcqD8USxLWQpxmIg4LsqQBZ&#10;V/L/B/UvAAAA//8DAFBLAQItABQABgAIAAAAIQC2gziS/gAAAOEBAAATAAAAAAAAAAAAAAAAAAAA&#10;AABbQ29udGVudF9UeXBlc10ueG1sUEsBAi0AFAAGAAgAAAAhADj9If/WAAAAlAEAAAsAAAAAAAAA&#10;AAAAAAAALwEAAF9yZWxzLy5yZWxzUEsBAi0AFAAGAAgAAAAhADsam650AgAA7wQAAA4AAAAAAAAA&#10;AAAAAAAALgIAAGRycy9lMm9Eb2MueG1sUEsBAi0AFAAGAAgAAAAhACrEdMfcAAAACQEAAA8AAAAA&#10;AAAAAAAAAAAAzgQAAGRycy9kb3ducmV2LnhtbFBLBQYAAAAABAAEAPMAAADXBQAAAAA=&#10;" filled="f" strokecolor="#f79646" strokeweight="2pt"/>
            </w:pict>
          </mc:Fallback>
        </mc:AlternateContent>
      </w:r>
    </w:p>
    <w:p w:rsidR="00013EB8" w:rsidRDefault="00562F54">
      <w:pPr>
        <w:ind w:left="400"/>
        <w:rPr>
          <w:rFonts w:ascii="Calibri" w:hAnsi="Calibri"/>
          <w:sz w:val="22"/>
        </w:rPr>
      </w:pPr>
      <w:r>
        <w:rPr>
          <w:rFonts w:ascii="Calibri" w:hAnsi="Calibri"/>
          <w:noProof/>
          <w:sz w:val="22"/>
        </w:rPr>
        <mc:AlternateContent>
          <mc:Choice Requires="wps">
            <w:drawing>
              <wp:anchor distT="0" distB="0" distL="114300" distR="114300" simplePos="0" relativeHeight="251687424" behindDoc="0" locked="0" layoutInCell="1" allowOverlap="1" wp14:anchorId="1458E64C" wp14:editId="3187B605">
                <wp:simplePos x="0" y="0"/>
                <wp:positionH relativeFrom="column">
                  <wp:posOffset>2095500</wp:posOffset>
                </wp:positionH>
                <wp:positionV relativeFrom="paragraph">
                  <wp:posOffset>123190</wp:posOffset>
                </wp:positionV>
                <wp:extent cx="447675" cy="238125"/>
                <wp:effectExtent l="0" t="0" r="0" b="0"/>
                <wp:wrapNone/>
                <wp:docPr id="36"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238125"/>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DD3387E" id="Oval 3" o:spid="_x0000_s1026" style="position:absolute;margin-left:165pt;margin-top:9.7pt;width:35.25pt;height:18.7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it0dQIAAO8EAAAOAAAAZHJzL2Uyb0RvYy54bWysVFFv2yAQfp+0/4B4T20njpNYdaoqTqZJ&#10;3Vqp2w8gGMdoGBiQON3U/74DO1myvkzT/IA5Dj7uu/uO27tjK9CBGcuVLHByE2PEJFUVl7sCf/2y&#10;Gc0xso7IigglWYFfmMV3y/fvbjuds7FqlKiYQQAibd7pAjfO6TyKLG1YS+yN0kyCs1amJQ5Ms4sq&#10;QzpAb0U0juMs6pSptFGUWQurZe/Ey4Bf14y6x7q2zCFRYIjNhdGEcevHaHlL8p0huuF0CIP8QxQt&#10;4RIuPUOVxBG0N/wNVMupUVbV7oaqNlJ1zSkLHIBNEv/B5rkhmgUukByrz2my/w+Wfj48GcSrAk8y&#10;jCRpoUaPByLQxKem0zaHHc/6yXhyVj8o+s0iqVYNkTt2b4zqGkYqCCjx+6OrA96wcBRtu0+qAmCy&#10;dypk6Vib1gMCf3QMxXg5F4MdHaKwmKazbDbFiIJrPJkn42m4geSnw9pY94GpFvlJgZkQXFufLpKT&#10;w4N1Ph6Sn3b5Zak2XIhQciFRB7jTNI7DCasEr7w38DS77UoYBHko8Ga2yNJsuPtqm1F7WQU0n4P1&#10;MHeEi34Otwvp8YASxDPMeln8XMSL9Xw9T0fpOFuP0rgsR/ebVTrKNslsWk7K1apMXn1oSZo3vKqY&#10;9NGdJJqkfyeBoVl6cZ1FesXCXpHd+O8t2eg6jJBZYHX6B3ah+L7evW62qnqB2hvV9xy8ETBplPmB&#10;UQf9VmD7fU8Mw0h8lKCfRZKmvkGDkU5nYzDMpWd76SGSAlSBqTMY9cbK9W2914bvGrgrCYWV6h5U&#10;V/MgB6/IPq5Bq9BVgcPwAvi2vbTDrt/v1PIXAAAA//8DAFBLAwQUAAYACAAAACEA+85PI90AAAAJ&#10;AQAADwAAAGRycy9kb3ducmV2LnhtbEyPMU/DMBSEdyT+g/WQ2KhdmkRNiFOhSkxMtAhWN37Egfg5&#10;2G6b/HvcqYynO919V28mO7AT+tA7krBcCGBIrdM9dRLe9y8Pa2AhKtJqcIQSZgywaW5valVpd6Y3&#10;PO1ix1IJhUpJMDGOFeehNWhVWLgRKXlfzlsVk/Qd116dU7kd+KMQBbeqp7Rg1Ihbg+3P7mglYGHn&#10;cv42Jvtcrrfe/eYf+9dRyvu76fkJWMQpXsNwwU/o0CSmgzuSDmyQsFqJ9CUmo8yApUAmRA7sICEv&#10;SuBNzf8/aP4AAAD//wMAUEsBAi0AFAAGAAgAAAAhALaDOJL+AAAA4QEAABMAAAAAAAAAAAAAAAAA&#10;AAAAAFtDb250ZW50X1R5cGVzXS54bWxQSwECLQAUAAYACAAAACEAOP0h/9YAAACUAQAACwAAAAAA&#10;AAAAAAAAAAAvAQAAX3JlbHMvLnJlbHNQSwECLQAUAAYACAAAACEAXdYrdHUCAADvBAAADgAAAAAA&#10;AAAAAAAAAAAuAgAAZHJzL2Uyb0RvYy54bWxQSwECLQAUAAYACAAAACEA+85PI90AAAAJAQAADwAA&#10;AAAAAAAAAAAAAADPBAAAZHJzL2Rvd25yZXYueG1sUEsFBgAAAAAEAAQA8wAAANkFAAAAAA==&#10;" filled="f" strokecolor="#f79646" strokeweight="2pt"/>
            </w:pict>
          </mc:Fallback>
        </mc:AlternateContent>
      </w:r>
      <w:r w:rsidR="00013EB8">
        <w:rPr>
          <w:rFonts w:ascii="Calibri" w:hAnsi="Calibri"/>
          <w:sz w:val="22"/>
        </w:rPr>
        <w:t xml:space="preserve">Tinnitus:  </w:t>
      </w:r>
      <w:r w:rsidR="00013EB8">
        <w:rPr>
          <w:rFonts w:ascii="Calibri" w:hAnsi="Calibri"/>
          <w:b/>
          <w:bCs/>
          <w:sz w:val="22"/>
        </w:rPr>
        <w:t>grant</w:t>
      </w:r>
      <w:r w:rsidR="00013EB8">
        <w:rPr>
          <w:rFonts w:ascii="Calibri" w:hAnsi="Calibri"/>
          <w:sz w:val="22"/>
        </w:rPr>
        <w:t>/deny/infer/defer</w:t>
      </w:r>
    </w:p>
    <w:p w:rsidR="00013EB8" w:rsidRDefault="00013EB8">
      <w:pPr>
        <w:ind w:left="400"/>
        <w:rPr>
          <w:rFonts w:ascii="Calibri" w:hAnsi="Calibri"/>
          <w:sz w:val="22"/>
        </w:rPr>
      </w:pPr>
      <w:r>
        <w:rPr>
          <w:rFonts w:ascii="Calibri" w:hAnsi="Calibri"/>
          <w:sz w:val="22"/>
        </w:rPr>
        <w:t xml:space="preserve">If grant, how service connected? </w:t>
      </w:r>
      <w:r>
        <w:rPr>
          <w:rFonts w:ascii="Calibri" w:hAnsi="Calibri"/>
          <w:b/>
          <w:bCs/>
          <w:sz w:val="22"/>
        </w:rPr>
        <w:t>Direct</w:t>
      </w:r>
      <w:r>
        <w:rPr>
          <w:rFonts w:ascii="Calibri" w:hAnsi="Calibri"/>
          <w:sz w:val="22"/>
        </w:rPr>
        <w:t>/presumptive/secondary/aggravated</w:t>
      </w:r>
    </w:p>
    <w:p w:rsidR="00013EB8" w:rsidRDefault="00013EB8">
      <w:pPr>
        <w:ind w:left="400"/>
        <w:rPr>
          <w:rFonts w:ascii="Calibri" w:hAnsi="Calibri"/>
          <w:sz w:val="22"/>
        </w:rPr>
      </w:pPr>
      <w:r>
        <w:rPr>
          <w:rFonts w:ascii="Calibri" w:hAnsi="Calibri"/>
          <w:sz w:val="22"/>
        </w:rPr>
        <w:t xml:space="preserve">If grant, what is the effective date?  </w:t>
      </w:r>
      <w:r>
        <w:rPr>
          <w:rFonts w:ascii="Calibri" w:hAnsi="Calibri"/>
          <w:b/>
          <w:bCs/>
          <w:sz w:val="22"/>
          <w:u w:val="single"/>
        </w:rPr>
        <w:t>10/9/2012</w:t>
      </w:r>
    </w:p>
    <w:p w:rsidR="00013EB8" w:rsidRDefault="00562F54">
      <w:pPr>
        <w:ind w:left="400"/>
        <w:rPr>
          <w:rFonts w:ascii="Calibri" w:hAnsi="Calibri"/>
          <w:sz w:val="22"/>
        </w:rPr>
      </w:pPr>
      <w:r>
        <w:rPr>
          <w:rFonts w:ascii="Calibri" w:hAnsi="Calibri"/>
          <w:noProof/>
          <w:sz w:val="22"/>
        </w:rPr>
        <mc:AlternateContent>
          <mc:Choice Requires="wps">
            <w:drawing>
              <wp:anchor distT="0" distB="0" distL="114300" distR="114300" simplePos="0" relativeHeight="251688448" behindDoc="0" locked="0" layoutInCell="1" allowOverlap="1" wp14:anchorId="3E5EB170" wp14:editId="51C9E470">
                <wp:simplePos x="0" y="0"/>
                <wp:positionH relativeFrom="column">
                  <wp:posOffset>952500</wp:posOffset>
                </wp:positionH>
                <wp:positionV relativeFrom="paragraph">
                  <wp:posOffset>125095</wp:posOffset>
                </wp:positionV>
                <wp:extent cx="419100" cy="285750"/>
                <wp:effectExtent l="0" t="0" r="0" b="0"/>
                <wp:wrapNone/>
                <wp:docPr id="35"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285750"/>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4812668" id="Oval 4" o:spid="_x0000_s1026" style="position:absolute;margin-left:75pt;margin-top:9.85pt;width:33pt;height:22.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SWqdQIAAO8EAAAOAAAAZHJzL2Uyb0RvYy54bWysVNuO2yAQfa/Uf0C8Z21nnZsVZ7WKk6rS&#10;trvSth9AAMeoGCiQONtq/70DTtKk+1JV9QNmGDjMmTnD/O7QSrTn1gmtSpzdpBhxRTUTalvir1/W&#10;gylGzhPFiNSKl/iFO3y3eP9u3pmCD3WjJeMWAYhyRWdK3HhviiRxtOEtcTfacAXOWtuWeDDtNmGW&#10;dIDeymSYpuOk05YZqyl3Dlar3okXEb+uOfWPde24R7LEEJuPo43jJozJYk6KrSWmEfQYBvmHKFoi&#10;FFx6hqqIJ2hnxRuoVlCrna79DdVtoutaUB45AJss/YPNc0MMj1wgOc6c0+T+Hyz9vH+ySLAS344w&#10;UqSFGj3uiUR5SE1nXAE7ns2TDeScedD0m0NKLxuitvzeWt01nDAIKAv7k6sDwXBwFG26T5oBMNl5&#10;HbN0qG0bAIE/OsRivJyLwQ8eUVjMs1mWQskouIbT0WQUi5WQ4nTYWOc/cN2iMCkxl1IYF9JFCrJ/&#10;cD7EQ4rTrrCs9FpIGUsuFeoAd5TDFZGaloIFbzTsdrOUFkEeSryezMb5OLKDDFxus3qnWEQLOVgd&#10;554I2c/hdqkCHlCCeI6zXhY/Z+lsNV1N80E+HK8GeVpVg/v1Mh+M19lkVN1Wy2WVvYbQsrxoBGNc&#10;hehOEs3yv5PAsVl6cZ1FesXCXZFdh+8t2eQ6jJhZYHX6R3ax+KHevW42mr1A7a3uew7eCJg02v7A&#10;qIN+K7H7viOWYyQ/KtDPLMvz0KDRyEeTIRj20rO59BBFAarE1FuMemPp+7beGSu2DdyVxcIqfQ+q&#10;q0WUQ1BkH9dRq9BVkcPxBQhte2nHXb/fqcUvAAAA//8DAFBLAwQUAAYACAAAACEAQ/MAi90AAAAJ&#10;AQAADwAAAGRycy9kb3ducmV2LnhtbEyPQU/DMAyF70j8h8hI3Fjaaeu20nRCkzhxYkNwzRrTFBqn&#10;JNnW/nvMid387Kfn71Xb0fXijCF2nhTkswwEUuNNR62Ct8PzwxpETJqM7j2hggkjbOvbm0qXxl/o&#10;Fc/71AoOoVhqBTaloZQyNhadjjM/IPHt0wenE8vQShP0hcNdL+dZVkinO+IPVg+4s9h8709OARZu&#10;2kxf1i4+8vUu+J/l++FlUOr+bnx6BJFwTP9m+MNndKiZ6ehPZKLoWS8z7pJ42KxAsGGeF7w4KigW&#10;K5B1Ja8b1L8AAAD//wMAUEsBAi0AFAAGAAgAAAAhALaDOJL+AAAA4QEAABMAAAAAAAAAAAAAAAAA&#10;AAAAAFtDb250ZW50X1R5cGVzXS54bWxQSwECLQAUAAYACAAAACEAOP0h/9YAAACUAQAACwAAAAAA&#10;AAAAAAAAAAAvAQAAX3JlbHMvLnJlbHNQSwECLQAUAAYACAAAACEAiu0lqnUCAADvBAAADgAAAAAA&#10;AAAAAAAAAAAuAgAAZHJzL2Uyb0RvYy54bWxQSwECLQAUAAYACAAAACEAQ/MAi90AAAAJAQAADwAA&#10;AAAAAAAAAAAAAADPBAAAZHJzL2Rvd25yZXYueG1sUEsFBgAAAAAEAAQA8wAAANkFAAAAAA==&#10;" filled="f" strokecolor="#f79646" strokeweight="2pt"/>
            </w:pict>
          </mc:Fallback>
        </mc:AlternateContent>
      </w:r>
    </w:p>
    <w:p w:rsidR="00013EB8" w:rsidRDefault="00562F54">
      <w:pPr>
        <w:ind w:left="400"/>
        <w:rPr>
          <w:rFonts w:ascii="Calibri" w:hAnsi="Calibri"/>
          <w:sz w:val="22"/>
        </w:rPr>
      </w:pPr>
      <w:r>
        <w:rPr>
          <w:rFonts w:ascii="Calibri" w:hAnsi="Calibri"/>
          <w:noProof/>
          <w:sz w:val="22"/>
        </w:rPr>
        <mc:AlternateContent>
          <mc:Choice Requires="wps">
            <w:drawing>
              <wp:anchor distT="0" distB="0" distL="114300" distR="114300" simplePos="0" relativeHeight="251689472" behindDoc="0" locked="0" layoutInCell="1" allowOverlap="1" wp14:anchorId="494D72DB" wp14:editId="3B3C110D">
                <wp:simplePos x="0" y="0"/>
                <wp:positionH relativeFrom="column">
                  <wp:posOffset>2476500</wp:posOffset>
                </wp:positionH>
                <wp:positionV relativeFrom="paragraph">
                  <wp:posOffset>125730</wp:posOffset>
                </wp:positionV>
                <wp:extent cx="809625" cy="228600"/>
                <wp:effectExtent l="0" t="0" r="0" b="0"/>
                <wp:wrapNone/>
                <wp:docPr id="34"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9625" cy="228600"/>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B585D99" id="Oval 5" o:spid="_x0000_s1026" style="position:absolute;margin-left:195pt;margin-top:9.9pt;width:63.75pt;height:18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BCCdQIAAO8EAAAOAAAAZHJzL2Uyb0RvYy54bWysVNuO2yAQfa/Uf0C8J76s402sdVarOKkq&#10;bbsrbfsBBOMYFQMFEiet9t874CRNui9VVT9ghoHDnJkz3N3vO4F2zFiuZImTcYwRk1TVXG5K/PXL&#10;ajTFyDoiayKUZCU+MIvv5+/f3fW6YKlqlaiZQQAibdHrErfO6SKKLG1ZR+xYaSbB2SjTEQem2US1&#10;IT2gdyJK4ziPemVqbRRl1sJqNTjxPOA3DaPuqWksc0iUGGJzYTRhXPsxmt+RYmOIbjk9hkH+IYqO&#10;cAmXnqEq4gjaGv4GquPUKKsaN6aqi1TTcMoCB2CTxH+weWmJZoELJMfqc5rs/4Oln3fPBvG6xDcZ&#10;RpJ0UKOnHRFo4lPTa1vAjhf9bDw5qx8V/WaRVIuWyA17MEb1LSM1BJT4/dHVAW9YOIrW/SdVAzDZ&#10;OhWytG9M5wGBP9qHYhzOxWB7hygsTuNZnk4wouBK02keh2JFpDgd1sa6D0x1yE9KzITg2vp0kYLs&#10;Hq3z8ZDitMsvS7XiQoSSC4l6wJ1kABuoKcFr7w2G2awXwiDIQ4lXt7M8ywM7yMDlNqO2sg5oPgfL&#10;49wRLoY53C6kxwNKEM9xNsji5yyeLafLaTbK0nw5yuKqGj2sFtkoXyW3k+qmWiyq5NWHlmRFy+ua&#10;SR/dSaJJ9ncSODbLIK6zSK9Y2CuyK/+9JRtdhxEyC6xO/8AuFN/Xe9DNWtUHqL1RQ8/BGwGTVpkf&#10;GPXQbyW237fEMIzERwn6mSVZ5hs0GNnkNgXDXHrWlx4iKUCVmDqD0WAs3NDWW234poW7klBYqR5A&#10;dQ0PcvCKHOI6ahW6KnA4vgC+bS/tsOv3OzX/BQAA//8DAFBLAwQUAAYACAAAACEAk8Sn/90AAAAJ&#10;AQAADwAAAGRycy9kb3ducmV2LnhtbEyPwU7DMBBE70j8g7VI3KgTICVJ41SoEidOtAiubryNA/E6&#10;xG6b/D3Lid52NKPZedV6cr044Rg6TwrSRQICqfGmo1bB++7lLgcRoiaje0+oYMYA6/r6qtKl8Wd6&#10;w9M2toJLKJRagY1xKKUMjUWnw8IPSOwd/Oh0ZDm20oz6zOWul/dJspROd8QfrB5wY7H53h6dAly6&#10;uZi/rH38TPPN6H+yj93roNTtzfS8AhFxiv9h+JvP06HmTXt/JBNEr+ChSJglslEwAgey9CkDsecj&#10;y0HWlbwkqH8BAAD//wMAUEsBAi0AFAAGAAgAAAAhALaDOJL+AAAA4QEAABMAAAAAAAAAAAAAAAAA&#10;AAAAAFtDb250ZW50X1R5cGVzXS54bWxQSwECLQAUAAYACAAAACEAOP0h/9YAAACUAQAACwAAAAAA&#10;AAAAAAAAAAAvAQAAX3JlbHMvLnJlbHNQSwECLQAUAAYACAAAACEANFgQgnUCAADvBAAADgAAAAAA&#10;AAAAAAAAAAAuAgAAZHJzL2Uyb0RvYy54bWxQSwECLQAUAAYACAAAACEAk8Sn/90AAAAJAQAADwAA&#10;AAAAAAAAAAAAAADPBAAAZHJzL2Rvd25yZXYueG1sUEsFBgAAAAAEAAQA8wAAANkFAAAAAA==&#10;" filled="f" strokecolor="#f79646" strokeweight="2pt"/>
            </w:pict>
          </mc:Fallback>
        </mc:AlternateContent>
      </w:r>
      <w:r w:rsidR="00013EB8">
        <w:rPr>
          <w:rFonts w:ascii="Calibri" w:hAnsi="Calibri"/>
          <w:sz w:val="22"/>
        </w:rPr>
        <w:t xml:space="preserve">Hearing loss: </w:t>
      </w:r>
      <w:r w:rsidR="00013EB8">
        <w:rPr>
          <w:rFonts w:ascii="Calibri" w:hAnsi="Calibri"/>
          <w:b/>
          <w:bCs/>
          <w:sz w:val="22"/>
        </w:rPr>
        <w:t>grant</w:t>
      </w:r>
      <w:r w:rsidR="00013EB8">
        <w:rPr>
          <w:rFonts w:ascii="Calibri" w:hAnsi="Calibri"/>
          <w:sz w:val="22"/>
        </w:rPr>
        <w:t>/deny/infer/defer</w:t>
      </w:r>
    </w:p>
    <w:p w:rsidR="00013EB8" w:rsidRDefault="00013EB8">
      <w:pPr>
        <w:ind w:left="400"/>
        <w:rPr>
          <w:rFonts w:ascii="Calibri" w:hAnsi="Calibri"/>
          <w:sz w:val="22"/>
        </w:rPr>
      </w:pPr>
      <w:r>
        <w:rPr>
          <w:rFonts w:ascii="Calibri" w:hAnsi="Calibri"/>
          <w:sz w:val="22"/>
        </w:rPr>
        <w:t>If grant, how service connected? Direct/</w:t>
      </w:r>
      <w:r>
        <w:rPr>
          <w:rFonts w:ascii="Calibri" w:hAnsi="Calibri"/>
          <w:b/>
          <w:bCs/>
          <w:sz w:val="22"/>
        </w:rPr>
        <w:t>presumptive</w:t>
      </w:r>
      <w:r>
        <w:rPr>
          <w:rFonts w:ascii="Calibri" w:hAnsi="Calibri"/>
          <w:sz w:val="22"/>
        </w:rPr>
        <w:t>/secondary/aggravated</w:t>
      </w:r>
    </w:p>
    <w:p w:rsidR="00013EB8" w:rsidRDefault="00013EB8">
      <w:pPr>
        <w:ind w:left="400"/>
        <w:rPr>
          <w:rFonts w:ascii="Calibri" w:hAnsi="Calibri"/>
          <w:sz w:val="22"/>
        </w:rPr>
      </w:pPr>
      <w:r>
        <w:rPr>
          <w:rFonts w:ascii="Calibri" w:hAnsi="Calibri"/>
          <w:sz w:val="22"/>
        </w:rPr>
        <w:t xml:space="preserve">If grant, what is the effective date? </w:t>
      </w:r>
      <w:r>
        <w:rPr>
          <w:rFonts w:ascii="Calibri" w:hAnsi="Calibri"/>
          <w:sz w:val="22"/>
          <w:u w:val="single"/>
        </w:rPr>
        <w:t xml:space="preserve"> </w:t>
      </w:r>
      <w:r>
        <w:rPr>
          <w:rFonts w:ascii="Calibri" w:hAnsi="Calibri"/>
          <w:b/>
          <w:bCs/>
          <w:sz w:val="22"/>
          <w:u w:val="single"/>
        </w:rPr>
        <w:t>12/1/2012</w:t>
      </w:r>
    </w:p>
    <w:p w:rsidR="00013EB8" w:rsidRDefault="00013EB8">
      <w:pPr>
        <w:rPr>
          <w:rFonts w:ascii="Calibri" w:hAnsi="Calibri"/>
          <w:sz w:val="22"/>
        </w:rPr>
      </w:pPr>
    </w:p>
    <w:p w:rsidR="00013EB8" w:rsidRDefault="00013EB8" w:rsidP="00F063AF">
      <w:pPr>
        <w:pStyle w:val="ListParagraph"/>
        <w:numPr>
          <w:ilvl w:val="0"/>
          <w:numId w:val="126"/>
        </w:numPr>
        <w:spacing w:after="0"/>
        <w:ind w:left="400"/>
      </w:pPr>
      <w:r>
        <w:t xml:space="preserve">Army Veteran served from 7/4/1965 – 7/5/1969 and had service in RVN.  Veteran faxed his original 526 to the Reno VAMC on 5/1/2009.  The 526 was received at RMC on 6/7/2009.  The 526 was received at VFW in Los Angeles on 10/7/2010. </w:t>
      </w:r>
      <w:r w:rsidR="00145217">
        <w:t xml:space="preserve"> The 526 was received and date-s</w:t>
      </w:r>
      <w:r>
        <w:t xml:space="preserve">tamped in the San Diego VARO file room on 11/4/2010.  </w:t>
      </w:r>
    </w:p>
    <w:p w:rsidR="00013EB8" w:rsidRDefault="00013EB8">
      <w:pPr>
        <w:ind w:left="400"/>
        <w:rPr>
          <w:rFonts w:ascii="Calibri" w:hAnsi="Calibri"/>
          <w:sz w:val="22"/>
          <w:szCs w:val="12"/>
        </w:rPr>
      </w:pPr>
    </w:p>
    <w:p w:rsidR="00013EB8" w:rsidRDefault="00562F54">
      <w:pPr>
        <w:ind w:left="400"/>
        <w:rPr>
          <w:rFonts w:ascii="Calibri" w:hAnsi="Calibri"/>
          <w:sz w:val="22"/>
        </w:rPr>
      </w:pPr>
      <w:r>
        <w:rPr>
          <w:rFonts w:ascii="Calibri" w:hAnsi="Calibri"/>
          <w:noProof/>
          <w:sz w:val="22"/>
        </w:rPr>
        <mc:AlternateContent>
          <mc:Choice Requires="wps">
            <w:drawing>
              <wp:anchor distT="0" distB="0" distL="114300" distR="114300" simplePos="0" relativeHeight="251690496" behindDoc="0" locked="0" layoutInCell="1" allowOverlap="1" wp14:anchorId="0A67033B" wp14:editId="2CF3AA4E">
                <wp:simplePos x="0" y="0"/>
                <wp:positionH relativeFrom="column">
                  <wp:posOffset>361950</wp:posOffset>
                </wp:positionH>
                <wp:positionV relativeFrom="paragraph">
                  <wp:posOffset>365125</wp:posOffset>
                </wp:positionV>
                <wp:extent cx="933450" cy="219075"/>
                <wp:effectExtent l="0" t="0" r="0" b="0"/>
                <wp:wrapNone/>
                <wp:docPr id="33"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219075"/>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4752DBF" id="Oval 6" o:spid="_x0000_s1026" style="position:absolute;margin-left:28.5pt;margin-top:28.75pt;width:73.5pt;height:17.2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ZP/dwIAAO8EAAAOAAAAZHJzL2Uyb0RvYy54bWysVMGO2jAQvVfqP1i+s0kgwBJtWK0IVJW2&#10;3ZW2/QBjO8SqY7u2IWyr/nvHTqDQXqqqHIwnM36eN/PGd/fHVqIDt05oVeLsJsWIK6qZULsSf/60&#10;Gd1i5DxRjEiteIlfucP3y7dv7jpT8LFutGTcIgBRruhMiRvvTZEkjja8Je5GG67AWWvbEg+m3SXM&#10;kg7QW5mM03SWdNoyYzXlzsHXqnfiZcSva079U1077pEsMeTm42rjug1rsrwjxc4S0wg6pEH+IYuW&#10;CAWXnqEq4gnaW/EHVCuo1U7X/obqNtF1LSiPHIBNlv7G5qUhhkcuUBxnzmVy/w+Wfjw8WyRYiScT&#10;jBRpoUdPByLRLJSmM66AiBfzbAM5Zx41/eKQ0quGqB1/sFZ3DScMEspCfHJ1IBgOjqJt90EzACZ7&#10;r2OVjrVtAyDwR8fYjNdzM/jRIwofF5NJPoWWUXCNs0U6n8YbSHE6bKzz77huUdiUmEspjAvlIgU5&#10;PDof8iHFKSp8VnojpIwtlwp1gDvN0zSecFoKFryRp91tV9IiqEOJN/PFLI/VALSrMKv3ikW0UIP1&#10;sPdEyH4P8VIFPKAE+Qy7XhbfF+lifbu+zUf5eLYe5WlVjR42q3w022TzaTWpVqsq+xFSy/KiEYxx&#10;FbI7STTL/04Cw7D04jqL9IqFuyK7Cb+h0BdhyXUasbLA6vQf2cXmh373utlq9gq9t7qfOXgjYNNo&#10;+w2jDuatxO7rnliOkXyvQD+LLM/DgEYjn87HYNhLz/bSQxQFqBJTbzHqjZXvx3pvrNg1cFcWG6v0&#10;A6iuFlEOQZF9XoNWYaoih+EFCGN7aceoX+/U8icAAAD//wMAUEsDBBQABgAIAAAAIQCc2D1q3AAA&#10;AAgBAAAPAAAAZHJzL2Rvd25yZXYueG1sTI9BT8MwDIXvSPyHyEjcWLJqHVtpOqFJnDixTXDNGtMU&#10;Gqc02db+e7wTnCz7PT1/r9yMvhNnHGIbSMN8pkAg1cG21Gg47F8eViBiMmRNFwg1TBhhU93elKaw&#10;4UJveN6lRnAIxcJocCn1hZSxduhNnIUeibXPMHiTeB0aaQdz4XDfyUyppfSmJf7gTI9bh/X37uQ1&#10;4NJP6+nLucXHfLUdwk/+vn/ttb6/G5+fQCQc058ZrviMDhUzHcOJbBSdhvyRq6TrzEGwnqkFH44a&#10;1pkCWZXyf4HqFwAA//8DAFBLAQItABQABgAIAAAAIQC2gziS/gAAAOEBAAATAAAAAAAAAAAAAAAA&#10;AAAAAABbQ29udGVudF9UeXBlc10ueG1sUEsBAi0AFAAGAAgAAAAhADj9If/WAAAAlAEAAAsAAAAA&#10;AAAAAAAAAAAALwEAAF9yZWxzLy5yZWxzUEsBAi0AFAAGAAgAAAAhABJhk/93AgAA7wQAAA4AAAAA&#10;AAAAAAAAAAAALgIAAGRycy9lMm9Eb2MueG1sUEsBAi0AFAAGAAgAAAAhAJzYPWrcAAAACAEAAA8A&#10;AAAAAAAAAAAAAAAA0QQAAGRycy9kb3ducmV2LnhtbFBLBQYAAAAABAAEAPMAAADaBQAAAAA=&#10;" filled="f" strokecolor="#f79646" strokeweight="2pt"/>
            </w:pict>
          </mc:Fallback>
        </mc:AlternateContent>
      </w:r>
      <w:r w:rsidR="00013EB8">
        <w:rPr>
          <w:rFonts w:ascii="Calibri" w:hAnsi="Calibri"/>
          <w:sz w:val="22"/>
        </w:rPr>
        <w:t>What is the correct CEST date?</w:t>
      </w:r>
      <w:r w:rsidR="00013EB8">
        <w:rPr>
          <w:rFonts w:ascii="Calibri" w:hAnsi="Calibri"/>
          <w:sz w:val="22"/>
        </w:rPr>
        <w:br/>
      </w:r>
    </w:p>
    <w:p w:rsidR="00013EB8" w:rsidRDefault="00013EB8" w:rsidP="00F063AF">
      <w:pPr>
        <w:pStyle w:val="ListParagraph"/>
        <w:numPr>
          <w:ilvl w:val="0"/>
          <w:numId w:val="127"/>
        </w:numPr>
        <w:spacing w:after="0"/>
        <w:ind w:left="700"/>
      </w:pPr>
      <w:r>
        <w:rPr>
          <w:b/>
          <w:bCs/>
        </w:rPr>
        <w:t>5/1/2009</w:t>
      </w:r>
    </w:p>
    <w:p w:rsidR="00013EB8" w:rsidRDefault="00013EB8" w:rsidP="00F063AF">
      <w:pPr>
        <w:pStyle w:val="ListParagraph"/>
        <w:numPr>
          <w:ilvl w:val="0"/>
          <w:numId w:val="127"/>
        </w:numPr>
        <w:spacing w:after="0"/>
        <w:ind w:left="700"/>
      </w:pPr>
      <w:r>
        <w:t>6/7/2009</w:t>
      </w:r>
    </w:p>
    <w:p w:rsidR="00013EB8" w:rsidRDefault="00013EB8" w:rsidP="00F063AF">
      <w:pPr>
        <w:pStyle w:val="ListParagraph"/>
        <w:numPr>
          <w:ilvl w:val="0"/>
          <w:numId w:val="127"/>
        </w:numPr>
        <w:spacing w:after="0"/>
        <w:ind w:left="700"/>
      </w:pPr>
      <w:r>
        <w:t>10/7/2010</w:t>
      </w:r>
    </w:p>
    <w:p w:rsidR="00013EB8" w:rsidRDefault="00013EB8" w:rsidP="00F063AF">
      <w:pPr>
        <w:pStyle w:val="ListParagraph"/>
        <w:numPr>
          <w:ilvl w:val="0"/>
          <w:numId w:val="127"/>
        </w:numPr>
        <w:spacing w:after="0"/>
        <w:ind w:left="700"/>
      </w:pPr>
      <w:r>
        <w:t>11/4/2010</w:t>
      </w:r>
    </w:p>
    <w:p w:rsidR="00013EB8" w:rsidRDefault="00013EB8">
      <w:pPr>
        <w:rPr>
          <w:rFonts w:ascii="Calibri" w:hAnsi="Calibri"/>
          <w:sz w:val="22"/>
        </w:rPr>
      </w:pPr>
    </w:p>
    <w:p w:rsidR="00013EB8" w:rsidRDefault="00013EB8">
      <w:pPr>
        <w:pStyle w:val="msonospacing0"/>
        <w:overflowPunct w:val="0"/>
        <w:autoSpaceDE w:val="0"/>
        <w:autoSpaceDN w:val="0"/>
        <w:adjustRightInd w:val="0"/>
        <w:textAlignment w:val="baseline"/>
        <w:rPr>
          <w:rFonts w:eastAsia="Times New Roman" w:cs="Times New Roman"/>
          <w:szCs w:val="12"/>
        </w:rPr>
      </w:pPr>
    </w:p>
    <w:p w:rsidR="00013EB8" w:rsidRDefault="00013EB8" w:rsidP="00F063AF">
      <w:pPr>
        <w:pStyle w:val="ListParagraph"/>
        <w:numPr>
          <w:ilvl w:val="0"/>
          <w:numId w:val="126"/>
        </w:numPr>
        <w:spacing w:after="0"/>
        <w:ind w:left="400"/>
      </w:pPr>
      <w:r>
        <w:t>Veteran submitted an informal claim that was received on 4/1/2008.  Veteran reported on informal claim that he would submit a claim in the future after he gathered private treatment records.  VA letter, dated 4/6/2008, sent Veteran a VA Form 21-526.  Original VA Form 21-526, received on 3/17/2009, claims tinnitus and sinusitis for service connection.</w:t>
      </w:r>
    </w:p>
    <w:p w:rsidR="00013EB8" w:rsidRDefault="00013EB8">
      <w:pPr>
        <w:ind w:left="400"/>
        <w:rPr>
          <w:rFonts w:ascii="Calibri" w:hAnsi="Calibri"/>
          <w:sz w:val="22"/>
        </w:rPr>
      </w:pPr>
    </w:p>
    <w:p w:rsidR="00013EB8" w:rsidRDefault="00013EB8">
      <w:pPr>
        <w:ind w:left="400"/>
        <w:rPr>
          <w:rFonts w:ascii="Calibri" w:hAnsi="Calibri"/>
          <w:sz w:val="22"/>
        </w:rPr>
      </w:pPr>
      <w:r>
        <w:rPr>
          <w:rFonts w:ascii="Calibri" w:hAnsi="Calibri"/>
          <w:sz w:val="22"/>
        </w:rPr>
        <w:t xml:space="preserve">What is the CEST date?   </w:t>
      </w:r>
      <w:r>
        <w:rPr>
          <w:rFonts w:ascii="Calibri" w:hAnsi="Calibri"/>
          <w:b/>
          <w:bCs/>
          <w:sz w:val="22"/>
          <w:u w:val="single"/>
        </w:rPr>
        <w:t>3/17/2012, date of receipt of formal claim</w:t>
      </w:r>
    </w:p>
    <w:p w:rsidR="00013EB8" w:rsidRDefault="00013EB8">
      <w:pPr>
        <w:ind w:left="400"/>
        <w:rPr>
          <w:rFonts w:ascii="Calibri" w:hAnsi="Calibri"/>
          <w:sz w:val="22"/>
          <w:u w:val="single"/>
        </w:rPr>
      </w:pPr>
      <w:r>
        <w:rPr>
          <w:rFonts w:ascii="Calibri" w:hAnsi="Calibri"/>
          <w:sz w:val="22"/>
        </w:rPr>
        <w:t xml:space="preserve">What is effective date for grants?  </w:t>
      </w:r>
      <w:r>
        <w:rPr>
          <w:rFonts w:ascii="Calibri" w:hAnsi="Calibri"/>
          <w:b/>
          <w:bCs/>
          <w:sz w:val="22"/>
          <w:u w:val="single"/>
        </w:rPr>
        <w:t>4/1/2008</w:t>
      </w:r>
    </w:p>
    <w:p w:rsidR="00013EB8" w:rsidRDefault="00013EB8">
      <w:pPr>
        <w:pStyle w:val="msonospacing0"/>
        <w:overflowPunct w:val="0"/>
        <w:autoSpaceDE w:val="0"/>
        <w:autoSpaceDN w:val="0"/>
        <w:adjustRightInd w:val="0"/>
        <w:textAlignment w:val="baseline"/>
        <w:rPr>
          <w:rFonts w:eastAsia="Times New Roman" w:cs="Times New Roman"/>
          <w:szCs w:val="20"/>
        </w:rPr>
      </w:pPr>
    </w:p>
    <w:p w:rsidR="00013EB8" w:rsidRDefault="00013EB8" w:rsidP="00F063AF">
      <w:pPr>
        <w:pStyle w:val="ListParagraph"/>
        <w:numPr>
          <w:ilvl w:val="0"/>
          <w:numId w:val="126"/>
        </w:numPr>
        <w:spacing w:after="0"/>
        <w:ind w:left="400"/>
      </w:pPr>
      <w:r>
        <w:t>Veteran submits a claim to reopen his previous claim for hearing loss and a new claim for DMII, received on 7/4/2012.  DD Form 214 shows Veteran served in Vietnam.  Kaiser Permanente records show Veteran was diagnosed with DMII on 4/17/1999 and coronary artery disease on 7/12/1999.  VA exam, completed on 9/28/2012, shows diagnosis of DMII and diagnosed peripheral neuropathy of the lower extremities at a mild level as secondary to DMII.  VA examiner stated CAD is not related to DMII.</w:t>
      </w:r>
    </w:p>
    <w:p w:rsidR="00013EB8" w:rsidRDefault="00013EB8">
      <w:pPr>
        <w:pStyle w:val="msonospacing0"/>
        <w:overflowPunct w:val="0"/>
        <w:autoSpaceDE w:val="0"/>
        <w:autoSpaceDN w:val="0"/>
        <w:adjustRightInd w:val="0"/>
        <w:textAlignment w:val="baseline"/>
        <w:rPr>
          <w:rFonts w:eastAsia="Times New Roman" w:cs="Times New Roman"/>
          <w:szCs w:val="20"/>
        </w:rPr>
      </w:pPr>
    </w:p>
    <w:p w:rsidR="00013EB8" w:rsidRDefault="00013EB8">
      <w:pPr>
        <w:ind w:left="400"/>
        <w:rPr>
          <w:rFonts w:ascii="Calibri" w:hAnsi="Calibri"/>
          <w:sz w:val="22"/>
        </w:rPr>
      </w:pPr>
      <w:r>
        <w:rPr>
          <w:rFonts w:ascii="Calibri" w:hAnsi="Calibri"/>
          <w:sz w:val="22"/>
        </w:rPr>
        <w:t>Rate the claim.</w:t>
      </w:r>
    </w:p>
    <w:p w:rsidR="00013EB8" w:rsidRDefault="00013EB8">
      <w:pPr>
        <w:ind w:left="720"/>
        <w:rPr>
          <w:rFonts w:ascii="Calibri" w:hAnsi="Calibri"/>
          <w:sz w:val="22"/>
        </w:rPr>
      </w:pPr>
    </w:p>
    <w:p w:rsidR="00013EB8" w:rsidRDefault="007D5CC9">
      <w:pPr>
        <w:ind w:left="400"/>
        <w:rPr>
          <w:rFonts w:ascii="Calibri" w:hAnsi="Calibri"/>
          <w:sz w:val="22"/>
        </w:rPr>
      </w:pPr>
      <w:r>
        <w:rPr>
          <w:rFonts w:ascii="Calibri" w:hAnsi="Calibri"/>
          <w:noProof/>
          <w:sz w:val="22"/>
        </w:rPr>
        <mc:AlternateContent>
          <mc:Choice Requires="wps">
            <w:drawing>
              <wp:anchor distT="0" distB="0" distL="114300" distR="114300" simplePos="0" relativeHeight="251691520" behindDoc="0" locked="0" layoutInCell="1" allowOverlap="1" wp14:anchorId="1AD92AD6" wp14:editId="184D0592">
                <wp:simplePos x="0" y="0"/>
                <wp:positionH relativeFrom="column">
                  <wp:posOffset>762000</wp:posOffset>
                </wp:positionH>
                <wp:positionV relativeFrom="paragraph">
                  <wp:posOffset>-54610</wp:posOffset>
                </wp:positionV>
                <wp:extent cx="428625" cy="285750"/>
                <wp:effectExtent l="0" t="0" r="28575" b="19050"/>
                <wp:wrapNone/>
                <wp:docPr id="32"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285750"/>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7EC05324" id="Oval 7" o:spid="_x0000_s1026" style="position:absolute;margin-left:60pt;margin-top:-4.3pt;width:33.75pt;height:22.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XOkdgIAAO8EAAAOAAAAZHJzL2Uyb0RvYy54bWysVNuO2yAQfa/Uf0C8Z31Z52ats1rFSVWp&#10;7a607QcQwDEqBgokzrbqv3fASZp0X6qqfsAMA4c5M2e4uz90Eu25dUKrCmc3KUZcUc2E2lb4y+f1&#10;aIaR80QxIrXiFX7hDt8v3r65603Jc91qybhFAKJc2ZsKt96bMkkcbXlH3I02XIGz0bYjHky7TZgl&#10;PaB3MsnTdJL02jJjNeXOwWo9OPEi4jcNp/6xaRz3SFYYYvNxtHHchDFZ3JFya4lpBT2GQf4hio4I&#10;BZeeoWriCdpZ8QqqE9Rqpxt/Q3WX6KYRlEcOwCZL/2Dz3BLDIxdIjjPnNLn/B0s/7Z8sEqzCtzlG&#10;inRQo8c9kWgaUtMbV8KOZ/NkAzlnPmj61SGlly1RW/5gre5bThgElIX9ydWBYDg4ijb9R80AmOy8&#10;jlk6NLYLgMAfHWIxXs7F4AePKCwW+WySjzGi4Mpn4+k4Fish5emwsc6/47pDYVJhLqUwLqSLlGT/&#10;wfkQDylPu8Ky0mshZSy5VKgH3HGRpvGE01Kw4I087XazlBZBHiq8ns4nxSSygwxcbrN6p1hECzlY&#10;HeeeCDnM4XapAh5QgniOs0EWP+bpfDVbzYpRkU9WoyKt69HDelmMJutsOq5v6+Wyzn6G0LKibAVj&#10;XIXoThLNir+TwLFZBnGdRXrFwl2RXYfvNdnkOoyYWWB1+kd2sfih3oNuNpq9QO2tHnoO3giYtNp+&#10;x6iHfquw+7YjlmMk3yvQzzwritCg0SjG0xwMe+nZXHqIogBVYeotRoOx9ENb74wV2xbuymJhlX4A&#10;1TUiyiEocojrqFXoqsjh+AKEtr20467f79TiFwAAAP//AwBQSwMEFAAGAAgAAAAhAEbDVwDcAAAA&#10;CQEAAA8AAABkcnMvZG93bnJldi54bWxMj8FOwzAQRO9I/IO1SNxap9CGEOJUqBInTrQIrm68xIF4&#10;HWy3Tf6e7YkeR/v0ZrZaj64XRwyx86RgMc9AIDXedNQqeN+9zAoQMWkyuveECiaMsK6vrypdGn+i&#10;NzxuUytYQrHUCmxKQyllbCw6Hed+QOLblw9OJ46hlSboE8tdL++yLJdOd8QNVg+4sdj8bA9OAeZu&#10;epy+rV1+LopN8L+rj93roNTtzfj8BCLhmP5hOM/n6VDzpr0/kImi58x6RhXMihzEGSgeViD2Cu7z&#10;Jci6kpcf1H8AAAD//wMAUEsBAi0AFAAGAAgAAAAhALaDOJL+AAAA4QEAABMAAAAAAAAAAAAAAAAA&#10;AAAAAFtDb250ZW50X1R5cGVzXS54bWxQSwECLQAUAAYACAAAACEAOP0h/9YAAACUAQAACwAAAAAA&#10;AAAAAAAAAAAvAQAAX3JlbHMvLnJlbHNQSwECLQAUAAYACAAAACEAMqVzpHYCAADvBAAADgAAAAAA&#10;AAAAAAAAAAAuAgAAZHJzL2Uyb0RvYy54bWxQSwECLQAUAAYACAAAACEARsNXANwAAAAJAQAADwAA&#10;AAAAAAAAAAAAAADQBAAAZHJzL2Rvd25yZXYueG1sUEsFBgAAAAAEAAQA8wAAANkFAAAAAA==&#10;" filled="f" strokecolor="#f79646" strokeweight="2pt"/>
            </w:pict>
          </mc:Fallback>
        </mc:AlternateContent>
      </w:r>
      <w:r w:rsidR="00013EB8">
        <w:rPr>
          <w:rFonts w:ascii="Calibri" w:hAnsi="Calibri"/>
          <w:sz w:val="22"/>
        </w:rPr>
        <w:t xml:space="preserve">Diabetes:  </w:t>
      </w:r>
      <w:r w:rsidR="00013EB8">
        <w:rPr>
          <w:rFonts w:ascii="Calibri" w:hAnsi="Calibri"/>
          <w:b/>
          <w:bCs/>
          <w:sz w:val="22"/>
        </w:rPr>
        <w:t>grant</w:t>
      </w:r>
      <w:r w:rsidR="00013EB8">
        <w:rPr>
          <w:rFonts w:ascii="Calibri" w:hAnsi="Calibri"/>
          <w:sz w:val="22"/>
        </w:rPr>
        <w:t>/deny/infer/defer</w:t>
      </w:r>
    </w:p>
    <w:p w:rsidR="00013EB8" w:rsidRDefault="00562F54">
      <w:pPr>
        <w:ind w:left="400"/>
        <w:rPr>
          <w:rFonts w:ascii="Calibri" w:hAnsi="Calibri"/>
          <w:sz w:val="22"/>
        </w:rPr>
      </w:pPr>
      <w:r>
        <w:rPr>
          <w:rFonts w:ascii="Calibri" w:hAnsi="Calibri"/>
          <w:noProof/>
          <w:sz w:val="22"/>
        </w:rPr>
        <mc:AlternateContent>
          <mc:Choice Requires="wps">
            <w:drawing>
              <wp:anchor distT="0" distB="0" distL="114300" distR="114300" simplePos="0" relativeHeight="251692544" behindDoc="0" locked="0" layoutInCell="1" allowOverlap="1" wp14:anchorId="5DDB83DC" wp14:editId="495E763F">
                <wp:simplePos x="0" y="0"/>
                <wp:positionH relativeFrom="column">
                  <wp:posOffset>2540000</wp:posOffset>
                </wp:positionH>
                <wp:positionV relativeFrom="paragraph">
                  <wp:posOffset>0</wp:posOffset>
                </wp:positionV>
                <wp:extent cx="771525" cy="209550"/>
                <wp:effectExtent l="0" t="0" r="0" b="0"/>
                <wp:wrapNone/>
                <wp:docPr id="31"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525" cy="209550"/>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8FD114B" id="Oval 8" o:spid="_x0000_s1026" style="position:absolute;margin-left:200pt;margin-top:0;width:60.75pt;height:16.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S8hdgIAAO8EAAAOAAAAZHJzL2Uyb0RvYy54bWysVNuO2yAQfa/Uf0C8Z21n7VysdVarOKkq&#10;td2Vtv0AAjhGxUCBxNlW/fcOOEmT7ktV1Q+YYeAwZ+YMd/eHTqI9t05oVeHsJsWIK6qZUNsKf/m8&#10;Hs0wcp4oRqRWvMIv3OH7xds3d70p+Vi3WjJuEYAoV/amwq33pkwSR1veEXejDVfgbLTtiAfTbhNm&#10;SQ/onUzGaTpJem2ZsZpy52C1Hpx4EfGbhlP/2DSOeyQrDLH5ONo4bsKYLO5IubXEtIIewyD/EEVH&#10;hIJLz1A18QTtrHgF1QlqtdONv6G6S3TTCMojB2CTpX+weW6J4ZELJMeZc5rc/4Oln/ZPFglW4dsM&#10;I0U6qNHjnkg0C6npjSthx7N5soGcMx80/eqQ0suWqC1/sFb3LScMAsrC/uTqQDAcHEWb/qNmAEx2&#10;XscsHRrbBUDgjw6xGC/nYvCDRxQWp9OsGBcYUXCN03lRxGIlpDwdNtb5d1x3KEwqzKUUxoV0kZLs&#10;Pzgf4iHlaVdYVnotpIwllwr1gFvkaRpPOC0FC97I0243S2kR5KHC6+l8kk8iO8jA5Tard4pFtJCD&#10;1XHuiZDDHG6XKuABJYjnOBtk8WOezlez1Swf5ePJapSndT16WC/z0WSdTYv6tl4u6+xnCC3Ly1Yw&#10;xlWI7iTRLP87CRybZRDXWaRXLNwV2XX4XpNNrsOImQVWp39kF4sf6j3oZqPZC9Te6qHn4I2ASavt&#10;d4x66LcKu287YjlG8r0C/cyzPA8NGo28mI7BsJeezaWHKApQFabeYjQYSz+09c5YsW3hriwWVukH&#10;UF0johyCIoe4jlqFroocji9AaNtLO+76/U4tfgEAAP//AwBQSwMEFAAGAAgAAAAhAD8vrSLdAAAA&#10;BwEAAA8AAABkcnMvZG93bnJldi54bWxMj8FOwzAQRO9I/IO1SNyonbapShqnQpU4caJFcHXjbRyI&#10;1yF22+TvWU5wWWk0o5m35Xb0nbjgENtAGrKZAoFUB9tSo+Ht8PywBhGTIWu6QKhhwgjb6vamNIUN&#10;V3rFyz41gksoFkaDS6kvpIy1Q2/iLPRI7J3C4E1iOTTSDubK5b6Tc6VW0puWeMGZHncO66/92WvA&#10;lZ8ep0/nlh/ZejeE7/z98NJrfX83Pm1AJBzTXxh+8RkdKmY6hjPZKDoNS6X4l6SBL9v5PMtBHDUs&#10;FgpkVcr//NUPAAAA//8DAFBLAQItABQABgAIAAAAIQC2gziS/gAAAOEBAAATAAAAAAAAAAAAAAAA&#10;AAAAAABbQ29udGVudF9UeXBlc10ueG1sUEsBAi0AFAAGAAgAAAAhADj9If/WAAAAlAEAAAsAAAAA&#10;AAAAAAAAAAAALwEAAF9yZWxzLy5yZWxzUEsBAi0AFAAGAAgAAAAhAOFtLyF2AgAA7wQAAA4AAAAA&#10;AAAAAAAAAAAALgIAAGRycy9lMm9Eb2MueG1sUEsBAi0AFAAGAAgAAAAhAD8vrSLdAAAABwEAAA8A&#10;AAAAAAAAAAAAAAAA0AQAAGRycy9kb3ducmV2LnhtbFBLBQYAAAAABAAEAPMAAADaBQAAAAA=&#10;" filled="f" strokecolor="#f79646" strokeweight="2pt"/>
            </w:pict>
          </mc:Fallback>
        </mc:AlternateContent>
      </w:r>
      <w:r w:rsidR="00013EB8">
        <w:rPr>
          <w:rFonts w:ascii="Calibri" w:hAnsi="Calibri"/>
          <w:sz w:val="22"/>
        </w:rPr>
        <w:t>If grant, how service connected? Direct/</w:t>
      </w:r>
      <w:r w:rsidR="00013EB8">
        <w:rPr>
          <w:rFonts w:ascii="Calibri" w:hAnsi="Calibri"/>
          <w:b/>
          <w:bCs/>
          <w:sz w:val="22"/>
        </w:rPr>
        <w:t>presumptive</w:t>
      </w:r>
      <w:r w:rsidR="00013EB8">
        <w:rPr>
          <w:rFonts w:ascii="Calibri" w:hAnsi="Calibri"/>
          <w:sz w:val="22"/>
        </w:rPr>
        <w:t>/secondary/aggravated</w:t>
      </w:r>
    </w:p>
    <w:p w:rsidR="00013EB8" w:rsidRDefault="00013EB8">
      <w:pPr>
        <w:ind w:left="400"/>
        <w:rPr>
          <w:rFonts w:ascii="Calibri" w:hAnsi="Calibri"/>
          <w:sz w:val="22"/>
        </w:rPr>
      </w:pPr>
      <w:r>
        <w:rPr>
          <w:rFonts w:ascii="Calibri" w:hAnsi="Calibri"/>
          <w:sz w:val="22"/>
        </w:rPr>
        <w:t xml:space="preserve">If grant, what is the effective date?  </w:t>
      </w:r>
      <w:r>
        <w:rPr>
          <w:rFonts w:ascii="Calibri" w:hAnsi="Calibri"/>
          <w:b/>
          <w:bCs/>
          <w:sz w:val="22"/>
          <w:u w:val="single"/>
        </w:rPr>
        <w:t>7/4/2011</w:t>
      </w:r>
    </w:p>
    <w:p w:rsidR="00013EB8" w:rsidRDefault="00013EB8">
      <w:pPr>
        <w:ind w:left="400"/>
        <w:rPr>
          <w:rFonts w:ascii="Calibri" w:hAnsi="Calibri"/>
          <w:sz w:val="22"/>
        </w:rPr>
      </w:pPr>
    </w:p>
    <w:p w:rsidR="00013EB8" w:rsidRDefault="00562F54">
      <w:pPr>
        <w:ind w:left="400"/>
        <w:rPr>
          <w:rFonts w:ascii="Calibri" w:hAnsi="Calibri"/>
          <w:sz w:val="22"/>
        </w:rPr>
      </w:pPr>
      <w:r>
        <w:rPr>
          <w:rFonts w:ascii="Calibri" w:hAnsi="Calibri"/>
          <w:noProof/>
          <w:sz w:val="22"/>
        </w:rPr>
        <mc:AlternateContent>
          <mc:Choice Requires="wps">
            <w:drawing>
              <wp:anchor distT="0" distB="0" distL="114300" distR="114300" simplePos="0" relativeHeight="251693568" behindDoc="0" locked="0" layoutInCell="1" allowOverlap="1" wp14:anchorId="47EB3B3C" wp14:editId="264C394D">
                <wp:simplePos x="0" y="0"/>
                <wp:positionH relativeFrom="column">
                  <wp:posOffset>2352675</wp:posOffset>
                </wp:positionH>
                <wp:positionV relativeFrom="paragraph">
                  <wp:posOffset>5715</wp:posOffset>
                </wp:positionV>
                <wp:extent cx="314325" cy="194310"/>
                <wp:effectExtent l="0" t="0" r="28575" b="15240"/>
                <wp:wrapNone/>
                <wp:docPr id="3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94310"/>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7330572" id="Oval 9" o:spid="_x0000_s1026" style="position:absolute;margin-left:185.25pt;margin-top:.45pt;width:24.75pt;height:15.3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rHzdgIAAO8EAAAOAAAAZHJzL2Uyb0RvYy54bWysVFFv2yAQfp+0/4B4T2wnTtpYdaooTqZJ&#10;3Vqp2w8ggGM0DAxInG7qf9+BkyxZX6ZpfsAcBx/33X3H3f2hlWjPrRNalTgbphhxRTUTalvir1/W&#10;g1uMnCeKEakVL/ELd/h+/v7dXWcKPtKNloxbBCDKFZ0pceO9KZLE0Ya3xA214QqctbYt8WDabcIs&#10;6QC9lckoTadJpy0zVlPuHKxWvRPPI35dc+of69pxj2SJITYfRxvHTRiT+R0ptpaYRtBjGOQfomiJ&#10;UHDpGaoinqCdFW+gWkGtdrr2Q6rbRNe1oDxyADZZ+geb54YYHrlAcpw5p8n9P1j6ef9kkWAlHkN6&#10;FGmhRo97ItEspKYzroAdz+bJBnLOPGj6zSGllw1RW76wVncNJwwCysL+5OpAMBwcRZvuk2YATHZe&#10;xywdatsGQOCPDrEYL+di8INHFBbHWT4eTTCi4Mpm+TiLxUpIcTpsrPMfuG5RmJSYSymMC+kiBdk/&#10;OB/iIcVpV1hWei2kjCWXCnUlHk3yNI0nnJaCBW/kabebpbQI8lDi9c1smk8jO8jA5Tard4pFtJCD&#10;1XHuiZD9HG6XKuABJYjnOOtl8XOWzla3q9t8kI+mq0GeVtVgsV7mg+k6u5lU42q5rLLXEFqWF41g&#10;jKsQ3UmiWf53Ejg2Sy+us0ivWLgrsuvwvSWbXIcRMwusTv/ILhY/1LvXzUazF6i91X3PwRsBk0bb&#10;Hxh10G8ldt93xHKM5EcF+plleR4aNBr55GYEhr30bC49RFGAKjH1FqPeWPq+rXfGim0Dd2WxsEov&#10;QHW1iHIIiuzjOmoVuipyOL4AoW0v7bjr9zs1/wUAAP//AwBQSwMEFAAGAAgAAAAhAH4+tUPaAAAA&#10;BwEAAA8AAABkcnMvZG93bnJldi54bWxMjstOwzAQRfdI/IM1SOyoE2j6CHEqVIkVK1oEWzeexoF4&#10;HGy3Tf6eYQXL+9C9p9qMrhdnDLHzpCCfZSCQGm86ahW87Z/vViBi0mR07wkVTBhhU19fVbo0/kKv&#10;eN6lVvAIxVIrsCkNpZSxseh0nPkBibOjD04nlqGVJugLj7te3mfZQjrdET9YPeDWYvO1OzkFuHDT&#10;evq0dv6Rr7bBfxfv+5dBqdub8ekRRMIx/ZXhF5/RoWamgz+RiaJX8LDMCq4qWIPgeM5vIA7s5wXI&#10;upL/+esfAAAA//8DAFBLAQItABQABgAIAAAAIQC2gziS/gAAAOEBAAATAAAAAAAAAAAAAAAAAAAA&#10;AABbQ29udGVudF9UeXBlc10ueG1sUEsBAi0AFAAGAAgAAAAhADj9If/WAAAAlAEAAAsAAAAAAAAA&#10;AAAAAAAALwEAAF9yZWxzLy5yZWxzUEsBAi0AFAAGAAgAAAAhAO8SsfN2AgAA7wQAAA4AAAAAAAAA&#10;AAAAAAAALgIAAGRycy9lMm9Eb2MueG1sUEsBAi0AFAAGAAgAAAAhAH4+tUPaAAAABwEAAA8AAAAA&#10;AAAAAAAAAAAA0AQAAGRycy9kb3ducmV2LnhtbFBLBQYAAAAABAAEAPMAAADXBQAAAAA=&#10;" filled="f" strokecolor="#f79646" strokeweight="2pt"/>
            </w:pict>
          </mc:Fallback>
        </mc:AlternateContent>
      </w:r>
      <w:r w:rsidR="00013EB8">
        <w:rPr>
          <w:rFonts w:ascii="Calibri" w:hAnsi="Calibri"/>
          <w:sz w:val="22"/>
        </w:rPr>
        <w:t>Coronary artery disease: grant/deny/</w:t>
      </w:r>
      <w:r w:rsidR="00013EB8">
        <w:rPr>
          <w:rFonts w:ascii="Calibri" w:hAnsi="Calibri"/>
          <w:b/>
          <w:bCs/>
          <w:sz w:val="22"/>
        </w:rPr>
        <w:t>infer</w:t>
      </w:r>
      <w:r w:rsidR="00013EB8">
        <w:rPr>
          <w:rFonts w:ascii="Calibri" w:hAnsi="Calibri"/>
          <w:sz w:val="22"/>
        </w:rPr>
        <w:t>/defer</w:t>
      </w:r>
    </w:p>
    <w:p w:rsidR="00013EB8" w:rsidRDefault="00013EB8">
      <w:pPr>
        <w:ind w:left="400"/>
        <w:rPr>
          <w:rFonts w:ascii="Calibri" w:hAnsi="Calibri"/>
          <w:sz w:val="22"/>
        </w:rPr>
      </w:pPr>
      <w:r>
        <w:rPr>
          <w:rFonts w:ascii="Calibri" w:hAnsi="Calibri"/>
          <w:sz w:val="22"/>
        </w:rPr>
        <w:t>If grant, how service connected? Direct/presumptive/secondary/aggravated</w:t>
      </w:r>
    </w:p>
    <w:p w:rsidR="00013EB8" w:rsidRDefault="00013EB8">
      <w:pPr>
        <w:ind w:left="400"/>
        <w:rPr>
          <w:rFonts w:ascii="Calibri" w:hAnsi="Calibri"/>
          <w:sz w:val="22"/>
          <w:u w:val="single"/>
        </w:rPr>
      </w:pPr>
      <w:r>
        <w:rPr>
          <w:rFonts w:ascii="Calibri" w:hAnsi="Calibri"/>
          <w:sz w:val="22"/>
        </w:rPr>
        <w:t xml:space="preserve">If grant, what is the effective date?  </w:t>
      </w:r>
      <w:r>
        <w:rPr>
          <w:rFonts w:ascii="Calibri" w:hAnsi="Calibri"/>
          <w:b/>
          <w:bCs/>
          <w:sz w:val="22"/>
          <w:u w:val="single"/>
        </w:rPr>
        <w:t>issue not claimed, so we will solicit as evidence supports a grant</w:t>
      </w:r>
    </w:p>
    <w:p w:rsidR="00013EB8" w:rsidRDefault="002D15AC">
      <w:pPr>
        <w:ind w:left="400"/>
        <w:rPr>
          <w:rFonts w:ascii="Calibri" w:hAnsi="Calibri"/>
          <w:sz w:val="22"/>
        </w:rPr>
      </w:pPr>
      <w:r>
        <w:rPr>
          <w:rFonts w:ascii="Calibri" w:hAnsi="Calibri"/>
          <w:noProof/>
          <w:sz w:val="22"/>
        </w:rPr>
        <mc:AlternateContent>
          <mc:Choice Requires="wps">
            <w:drawing>
              <wp:anchor distT="0" distB="0" distL="114300" distR="114300" simplePos="0" relativeHeight="251694592" behindDoc="0" locked="0" layoutInCell="1" allowOverlap="1" wp14:anchorId="553F03E8" wp14:editId="6D85B950">
                <wp:simplePos x="0" y="0"/>
                <wp:positionH relativeFrom="column">
                  <wp:posOffset>1548765</wp:posOffset>
                </wp:positionH>
                <wp:positionV relativeFrom="paragraph">
                  <wp:posOffset>144780</wp:posOffset>
                </wp:positionV>
                <wp:extent cx="409575" cy="257175"/>
                <wp:effectExtent l="0" t="0" r="0" b="0"/>
                <wp:wrapNone/>
                <wp:docPr id="28"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575" cy="257175"/>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E02153D" id="Oval 10" o:spid="_x0000_s1026" style="position:absolute;margin-left:121.95pt;margin-top:11.4pt;width:32.25pt;height:20.2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9ZWcAIAAPAEAAAOAAAAZHJzL2Uyb0RvYy54bWysVN1u2yAUvp+0d0Dcp7Yz58+qU1VxMk3q&#10;1krdHoAAjtEwMCBxuqnvvgN20ma9mab5Ap/DOXyc7/xwfXNsJTpw64RWJc6uUoy4opoJtSvxt6+b&#10;0Rwj54liRGrFS/zEHb5Zvn933ZmCj3WjJeMWAYhyRWdK3HhviiRxtOEtcVfacAXGWtuWeFDtLmGW&#10;dIDeymScptOk05YZqyl3Dnar3oiXEb+uOfX3de24R7LEEJuPq43rNqzJ8poUO0tMI+gQBvmHKFoi&#10;FFx6hqqIJ2hvxRuoVlCrna79FdVtoutaUB45AJss/YPNY0MMj1wgOc6c0+T+Hyz9cniwSLASj6FS&#10;irRQo/sDkSiLuemMK8Dl0TzYwM6ZO02/O6T0qiFqx2+t1V3DCYOIspDL5OJAUBwcRdvus2aATPZe&#10;xzQda9sGQEgAOsZqPJ2rwY8eUdjM08VkNsGIgmk8mWUghxtIcTpsrPMfuW5REErMpRTGhXyRghzu&#10;nO+9T15hW+mNkDLWXCrUBdw8TeMJp6VgwRp52t12JS2CRJR4M1tM8+lw94Wb1XvFIlrIwXqQPRGy&#10;lyFWqQIeUIJ4Bqnvi1+LdLGer+f5KB9P16M8rarR7WaVj6YbYFp9qFarKnsOoWV50QjGuArRnXo0&#10;y/+uB4Zp6bvr3KUXLNwF2U343pJNLsOIdQBWp39kF4sf6h2mzxVbzZ6g9lb3QwePBAiNtj8x6mDg&#10;Sux+7InlGMlPCvpnkeV5mNCo5JPZGBT72rJ9bSGKAlSJqbcY9crK93O9N1bsGrgri4VV+ha6rhax&#10;HV7iGnoVxipyGJ6AMLev9ej18lAtfwMAAP//AwBQSwMEFAAGAAgAAAAhAFnqtwndAAAACQEAAA8A&#10;AABkcnMvZG93bnJldi54bWxMj8FOwzAMhu9IvENkJG4sXVuqrjSd0CROnNgQXLPGNIXGKU22tW+P&#10;OcHNlj/9/v56O7tBnHEKvScF61UCAqn1pqdOwevh6a4EEaImowdPqGDBANvm+qrWlfEXesHzPnaC&#10;QyhUWoGNcaykDK1Fp8PKj0h8+/CT05HXqZNm0hcOd4NMk6SQTvfEH6wecWex/dqfnAIs3LJZPq3N&#10;39flbvLf92+H51Gp25v58QFExDn+wfCrz+rQsNPRn8gEMShI82zDKA8pV2AgS8ocxFFBkWUgm1r+&#10;b9D8AAAA//8DAFBLAQItABQABgAIAAAAIQC2gziS/gAAAOEBAAATAAAAAAAAAAAAAAAAAAAAAABb&#10;Q29udGVudF9UeXBlc10ueG1sUEsBAi0AFAAGAAgAAAAhADj9If/WAAAAlAEAAAsAAAAAAAAAAAAA&#10;AAAALwEAAF9yZWxzLy5yZWxzUEsBAi0AFAAGAAgAAAAhAK/31lZwAgAA8AQAAA4AAAAAAAAAAAAA&#10;AAAALgIAAGRycy9lMm9Eb2MueG1sUEsBAi0AFAAGAAgAAAAhAFnqtwndAAAACQEAAA8AAAAAAAAA&#10;AAAAAAAAygQAAGRycy9kb3ducmV2LnhtbFBLBQYAAAAABAAEAPMAAADUBQAAAAA=&#10;" filled="f" strokecolor="#f79646" strokeweight="2pt"/>
            </w:pict>
          </mc:Fallback>
        </mc:AlternateContent>
      </w:r>
    </w:p>
    <w:p w:rsidR="00013EB8" w:rsidRDefault="00013EB8">
      <w:pPr>
        <w:ind w:left="400"/>
        <w:rPr>
          <w:rFonts w:ascii="Calibri" w:hAnsi="Calibri"/>
          <w:sz w:val="22"/>
        </w:rPr>
      </w:pPr>
      <w:r>
        <w:rPr>
          <w:rFonts w:ascii="Calibri" w:hAnsi="Calibri"/>
          <w:sz w:val="22"/>
        </w:rPr>
        <w:t xml:space="preserve">Peripheral neuropathy:  </w:t>
      </w:r>
      <w:r>
        <w:rPr>
          <w:rFonts w:ascii="Calibri" w:hAnsi="Calibri"/>
          <w:b/>
          <w:bCs/>
          <w:sz w:val="22"/>
        </w:rPr>
        <w:t>grant</w:t>
      </w:r>
      <w:r>
        <w:rPr>
          <w:rFonts w:ascii="Calibri" w:hAnsi="Calibri"/>
          <w:sz w:val="22"/>
        </w:rPr>
        <w:t>/deny/infer/defer</w:t>
      </w:r>
    </w:p>
    <w:p w:rsidR="00013EB8" w:rsidRDefault="00364DAB">
      <w:pPr>
        <w:ind w:left="400"/>
        <w:rPr>
          <w:rFonts w:ascii="Calibri" w:hAnsi="Calibri"/>
          <w:sz w:val="22"/>
        </w:rPr>
      </w:pPr>
      <w:r>
        <w:rPr>
          <w:rFonts w:ascii="Calibri" w:hAnsi="Calibri"/>
          <w:noProof/>
          <w:sz w:val="22"/>
        </w:rPr>
        <mc:AlternateContent>
          <mc:Choice Requires="wps">
            <w:drawing>
              <wp:anchor distT="0" distB="0" distL="114300" distR="114300" simplePos="0" relativeHeight="251695616" behindDoc="0" locked="0" layoutInCell="1" allowOverlap="1" wp14:anchorId="3E2330B1" wp14:editId="670FCF17">
                <wp:simplePos x="0" y="0"/>
                <wp:positionH relativeFrom="column">
                  <wp:posOffset>3307715</wp:posOffset>
                </wp:positionH>
                <wp:positionV relativeFrom="paragraph">
                  <wp:posOffset>-10795</wp:posOffset>
                </wp:positionV>
                <wp:extent cx="619125" cy="266700"/>
                <wp:effectExtent l="0" t="0" r="28575" b="19050"/>
                <wp:wrapNone/>
                <wp:docPr id="29"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 cy="266700"/>
                        </a:xfrm>
                        <a:prstGeom prst="ellipse">
                          <a:avLst/>
                        </a:prstGeom>
                        <a:noFill/>
                        <a:ln w="254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862EE86" id="Oval 11" o:spid="_x0000_s1026" style="position:absolute;margin-left:260.45pt;margin-top:-.85pt;width:48.75pt;height:21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V/idQIAAPAEAAAOAAAAZHJzL2Uyb0RvYy54bWysVNuO2jAQfa/Uf7D8Drk0BIg2rFYEqkrb&#10;7krbfoBxHGLVsV3bEGjVf+/YAQrdl6oqD8bjGZ+cMxff3R86gfbMWK5kiZNxjBGTVNVcbkv85fN6&#10;NMPIOiJrIpRkJT4yi+8Xb9/c9bpgqWqVqJlBACJt0esSt87pIoosbVlH7FhpJsHZKNMRB6bZRrUh&#10;PaB3IkrjOI96ZWptFGXWwmk1OPEi4DcNo+6paSxzSJQYuLmwmrBu/Bot7kixNUS3nJ5okH9g0REu&#10;4aMXqIo4gnaGv4LqODXKqsaNqeoi1TScsqAB1CTxH2peWqJZ0ALJsfqSJvv/YOmn/bNBvC5xOsdI&#10;kg5q9LQnAiWJz02vbQEhL/rZeHVWPyr61SKpli2RW/ZgjOpbRmpgFOKjmwvesHAVbfqPqgZksnMq&#10;pOnQmM4DQgLQIVTjeKkGOzhE4TBP5kk6wYiCK83zaRyqFZHifFkb694z1SG/KTETgmvr80UKsn+0&#10;DvhD9DnKH0u15kKEmguJesCdZAAbpCnBa+8NhtlulsIgSESJ19N5nuU+G4Bmr8OM2sk6oPkcrE57&#10;R7gY9hAvpMcDScDntBv64sc8nq9mq1k2ytJ8Ncriqho9rJfZKF8n00n1rlouq+Snp5ZkRcvrmknP&#10;7tyjSfZ3PXCalqG7Ll16o8LeiF3732ux0S2NkAtQdf4P6kLxfb2Hvtmo+gi1N2oYOngkYNMq8x2j&#10;HgauxPbbjhiGkfggoX/mSZb5CQ1GNpmmYJhrz+baQyQFqBJTZzAajKUb5nqnDd+28K0kFFaqB+i6&#10;hod28B058ALm3oCxChpOT4Cf22s7RP1+qBa/AAAA//8DAFBLAwQUAAYACAAAACEA1l7Vr94AAAAJ&#10;AQAADwAAAGRycy9kb3ducmV2LnhtbEyPwU7DMBBE70j8g7VI3Fo7JQ1piFOhSpw40SK4uvESB+J1&#10;sN02+XvMCY6reZp5W28nO7Az+tA7kpAtBTCk1umeOgmvh6dFCSxERVoNjlDCjAG2zfVVrSrtLvSC&#10;533sWCqhUCkJJsax4jy0Bq0KSzcipezDeatiOn3HtVeXVG4HvhKi4Fb1lBaMGnFnsP3an6wELOy8&#10;mT+Nyd+zcufd9/rt8DxKeXszPT4AizjFPxh+9ZM6NMnp6E6kAxskrFdik1AJi+weWAKKrMyBHSXk&#10;4g54U/P/HzQ/AAAA//8DAFBLAQItABQABgAIAAAAIQC2gziS/gAAAOEBAAATAAAAAAAAAAAAAAAA&#10;AAAAAABbQ29udGVudF9UeXBlc10ueG1sUEsBAi0AFAAGAAgAAAAhADj9If/WAAAAlAEAAAsAAAAA&#10;AAAAAAAAAAAALwEAAF9yZWxzLy5yZWxzUEsBAi0AFAAGAAgAAAAhANEhX+J1AgAA8AQAAA4AAAAA&#10;AAAAAAAAAAAALgIAAGRycy9lMm9Eb2MueG1sUEsBAi0AFAAGAAgAAAAhANZe1a/eAAAACQEAAA8A&#10;AAAAAAAAAAAAAAAAzwQAAGRycy9kb3ducmV2LnhtbFBLBQYAAAAABAAEAPMAAADaBQAAAAA=&#10;" filled="f" strokecolor="#f79646" strokeweight="2pt"/>
            </w:pict>
          </mc:Fallback>
        </mc:AlternateContent>
      </w:r>
      <w:r w:rsidR="00013EB8">
        <w:rPr>
          <w:rFonts w:ascii="Calibri" w:hAnsi="Calibri"/>
          <w:sz w:val="22"/>
        </w:rPr>
        <w:t>If grant, how service connected? Direct/presumptive/</w:t>
      </w:r>
      <w:r w:rsidR="00013EB8">
        <w:rPr>
          <w:rFonts w:ascii="Calibri" w:hAnsi="Calibri"/>
          <w:b/>
          <w:bCs/>
          <w:sz w:val="22"/>
        </w:rPr>
        <w:t>secondary</w:t>
      </w:r>
      <w:r w:rsidR="00013EB8">
        <w:rPr>
          <w:rFonts w:ascii="Calibri" w:hAnsi="Calibri"/>
          <w:sz w:val="22"/>
        </w:rPr>
        <w:t>/aggravated</w:t>
      </w:r>
    </w:p>
    <w:p w:rsidR="00013EB8" w:rsidRDefault="00013EB8">
      <w:pPr>
        <w:ind w:left="400"/>
        <w:rPr>
          <w:rFonts w:ascii="Calibri" w:hAnsi="Calibri"/>
          <w:sz w:val="22"/>
        </w:rPr>
      </w:pPr>
      <w:r>
        <w:rPr>
          <w:rFonts w:ascii="Calibri" w:hAnsi="Calibri"/>
          <w:sz w:val="22"/>
        </w:rPr>
        <w:t xml:space="preserve">If grant, what is the effective date?  </w:t>
      </w:r>
      <w:r>
        <w:rPr>
          <w:rFonts w:ascii="Calibri" w:hAnsi="Calibri"/>
          <w:b/>
          <w:bCs/>
          <w:sz w:val="22"/>
          <w:u w:val="single"/>
        </w:rPr>
        <w:t>7/4/2012</w:t>
      </w:r>
    </w:p>
    <w:p w:rsidR="00013EB8" w:rsidRDefault="00013EB8">
      <w:pPr>
        <w:rPr>
          <w:rFonts w:ascii="Calibri" w:hAnsi="Calibri"/>
          <w:sz w:val="22"/>
        </w:rPr>
      </w:pPr>
    </w:p>
    <w:p w:rsidR="00013EB8" w:rsidRDefault="00013EB8">
      <w:pPr>
        <w:ind w:left="400"/>
        <w:rPr>
          <w:rFonts w:ascii="Calibri" w:hAnsi="Calibri"/>
          <w:b/>
          <w:sz w:val="22"/>
          <w:u w:val="single"/>
        </w:rPr>
      </w:pPr>
      <w:r>
        <w:rPr>
          <w:rFonts w:ascii="Calibri" w:hAnsi="Calibri"/>
          <w:b/>
          <w:sz w:val="22"/>
          <w:u w:val="single"/>
        </w:rPr>
        <w:t>DISCUSSION WITH THIS QUESTION:</w:t>
      </w:r>
    </w:p>
    <w:p w:rsidR="00013EB8" w:rsidRDefault="00013EB8">
      <w:pPr>
        <w:ind w:left="400"/>
        <w:rPr>
          <w:rFonts w:ascii="Calibri" w:hAnsi="Calibri"/>
          <w:b/>
          <w:sz w:val="22"/>
          <w:u w:val="single"/>
        </w:rPr>
      </w:pPr>
    </w:p>
    <w:p w:rsidR="00013EB8" w:rsidRDefault="00013EB8">
      <w:pPr>
        <w:ind w:left="400"/>
        <w:rPr>
          <w:rFonts w:ascii="Calibri" w:hAnsi="Calibri"/>
          <w:color w:val="3366FF"/>
          <w:sz w:val="22"/>
        </w:rPr>
      </w:pPr>
      <w:r>
        <w:rPr>
          <w:rFonts w:ascii="Calibri" w:hAnsi="Calibri"/>
          <w:b/>
          <w:sz w:val="22"/>
          <w:u w:val="single"/>
        </w:rPr>
        <w:t>QUESTION:</w:t>
      </w:r>
      <w:r w:rsidR="00F107C0">
        <w:rPr>
          <w:rFonts w:ascii="Calibri" w:hAnsi="Calibri"/>
          <w:sz w:val="22"/>
        </w:rPr>
        <w:t xml:space="preserve">  </w:t>
      </w:r>
      <w:r>
        <w:rPr>
          <w:rFonts w:ascii="Calibri" w:hAnsi="Calibri"/>
          <w:color w:val="3366FF"/>
          <w:sz w:val="22"/>
        </w:rPr>
        <w:t>Please read the rest below.  I don’t understand why a separately compensable disability covered by 7913 would not have an earlier effective date when it’s consider a part of the original service connected condition.</w:t>
      </w:r>
    </w:p>
    <w:p w:rsidR="00013EB8" w:rsidRDefault="00013EB8">
      <w:pPr>
        <w:ind w:left="400"/>
        <w:rPr>
          <w:rFonts w:ascii="Calibri" w:hAnsi="Calibri"/>
          <w:color w:val="1F497D"/>
          <w:sz w:val="22"/>
        </w:rPr>
      </w:pPr>
    </w:p>
    <w:p w:rsidR="00013EB8" w:rsidRDefault="00013EB8">
      <w:pPr>
        <w:pStyle w:val="NormalWeb"/>
        <w:spacing w:after="0"/>
        <w:ind w:left="403"/>
        <w:rPr>
          <w:rFonts w:ascii="Calibri" w:hAnsi="Calibri"/>
          <w:color w:val="3366FF"/>
          <w:sz w:val="22"/>
        </w:rPr>
      </w:pPr>
      <w:r>
        <w:rPr>
          <w:rFonts w:ascii="Calibri" w:hAnsi="Calibri"/>
          <w:sz w:val="22"/>
        </w:rPr>
        <w:t>Reference:  We no longer generally treat a claim for secondary service connection like a claim for increase.  We cannot go earlier than the date of claim except for issues such as complications of diabetes where the evaluation criteria of DC 7913 includes the presence of complications as a determinant of the proper evaluation.  </w:t>
      </w:r>
      <w:r>
        <w:rPr>
          <w:rFonts w:ascii="Calibri" w:hAnsi="Calibri"/>
          <w:sz w:val="22"/>
        </w:rPr>
        <w:br/>
      </w:r>
      <w:r>
        <w:rPr>
          <w:rFonts w:ascii="Calibri" w:hAnsi="Calibri"/>
          <w:sz w:val="22"/>
        </w:rPr>
        <w:br/>
      </w:r>
      <w:r>
        <w:rPr>
          <w:rFonts w:ascii="Calibri" w:hAnsi="Calibri"/>
          <w:b/>
          <w:bCs/>
          <w:sz w:val="22"/>
          <w:u w:val="single"/>
        </w:rPr>
        <w:t>ANSWER:</w:t>
      </w:r>
      <w:r>
        <w:rPr>
          <w:rFonts w:ascii="Calibri" w:hAnsi="Calibri"/>
          <w:sz w:val="22"/>
        </w:rPr>
        <w:t xml:space="preserve"> </w:t>
      </w:r>
      <w:r w:rsidR="00F107C0">
        <w:rPr>
          <w:rFonts w:ascii="Calibri" w:hAnsi="Calibri"/>
          <w:sz w:val="22"/>
        </w:rPr>
        <w:t xml:space="preserve"> </w:t>
      </w:r>
      <w:r>
        <w:rPr>
          <w:rFonts w:ascii="Calibri" w:hAnsi="Calibri"/>
          <w:color w:val="3366FF"/>
          <w:sz w:val="22"/>
        </w:rPr>
        <w:t>The issue is that the diabetes effective date is dictated by 3.114 in this instance.  Since this is the original grant of service connection for diabetes, the grant for complications can’t go back further than the date of claim.  It’s the same concept as receiving an original claim, with which the Veteran included PMEDs showing treatment for the claimed sinusitis since 1989.  You wouldn’t grant service connection back to 1989, these treatment records only serve to show continuity, they do not establish entitlement to an earlier effective date.</w:t>
      </w:r>
    </w:p>
    <w:p w:rsidR="00013EB8" w:rsidRDefault="00013EB8" w:rsidP="00EF7F22">
      <w:pPr>
        <w:spacing w:after="120"/>
        <w:ind w:left="403"/>
        <w:rPr>
          <w:rFonts w:ascii="Calibri" w:hAnsi="Calibri"/>
          <w:color w:val="1F497D"/>
          <w:sz w:val="22"/>
        </w:rPr>
      </w:pPr>
      <w:r>
        <w:rPr>
          <w:rFonts w:ascii="Calibri" w:hAnsi="Calibri"/>
          <w:color w:val="3366FF"/>
          <w:sz w:val="22"/>
        </w:rPr>
        <w:t>If the diabetes were previously service-connected, and PMEDs dated within one year showed a diagnosis of peripheral neuropathy, then en earlier effective date would be warranted.</w:t>
      </w:r>
    </w:p>
    <w:p w:rsidR="008A5977" w:rsidRDefault="007E43B2" w:rsidP="00B54A36">
      <w:pPr>
        <w:rPr>
          <w:i/>
        </w:rPr>
      </w:pPr>
      <w:r w:rsidRPr="00D2563F">
        <w:rPr>
          <w:b/>
          <w:i/>
          <w:highlight w:val="cyan"/>
        </w:rPr>
        <w:t>HOWEVER,</w:t>
      </w:r>
      <w:r w:rsidRPr="00D2563F">
        <w:rPr>
          <w:b/>
          <w:i/>
          <w:highlight w:val="cyan"/>
          <w:u w:val="single"/>
        </w:rPr>
        <w:t xml:space="preserve"> </w:t>
      </w:r>
      <w:r w:rsidR="007C509A" w:rsidRPr="00D2563F">
        <w:rPr>
          <w:b/>
          <w:i/>
          <w:highlight w:val="cyan"/>
          <w:u w:val="single"/>
        </w:rPr>
        <w:t>August 2013 Training Provided by Central Office by RQRS Challenge Instructors on Effective Dates</w:t>
      </w:r>
      <w:r w:rsidR="007C509A" w:rsidRPr="00D2563F">
        <w:rPr>
          <w:i/>
          <w:highlight w:val="cyan"/>
        </w:rPr>
        <w:t xml:space="preserve">  - instructor said we can grant prior to date of claim for secondary conds based on 3.114.</w:t>
      </w:r>
      <w:r w:rsidR="0017132F">
        <w:rPr>
          <w:i/>
        </w:rPr>
        <w:t xml:space="preserve"> </w:t>
      </w:r>
    </w:p>
    <w:p w:rsidR="008A5977" w:rsidRDefault="008A5977" w:rsidP="00B54A36">
      <w:pPr>
        <w:rPr>
          <w:i/>
        </w:rPr>
      </w:pPr>
    </w:p>
    <w:p w:rsidR="007C509A" w:rsidRPr="008A5977" w:rsidRDefault="00B54A36" w:rsidP="008A5977">
      <w:pPr>
        <w:rPr>
          <w:color w:val="1F497D"/>
          <w:sz w:val="24"/>
          <w:szCs w:val="24"/>
        </w:rPr>
      </w:pPr>
      <w:r>
        <w:t>in March 2016, Carlos</w:t>
      </w:r>
      <w:r w:rsidR="00CD0826">
        <w:t xml:space="preserve"> Rosario</w:t>
      </w:r>
      <w:r>
        <w:t xml:space="preserve"> said “</w:t>
      </w:r>
      <w:r>
        <w:rPr>
          <w:color w:val="1F497D"/>
          <w:sz w:val="24"/>
          <w:szCs w:val="24"/>
        </w:rPr>
        <w:t>when we had training from Quality Assurance, at the time, they were not in agreement how to apply 3.114 to the secondary conditions</w:t>
      </w:r>
      <w:r>
        <w:t>” &amp; “</w:t>
      </w:r>
      <w:r w:rsidRPr="00B54A36">
        <w:rPr>
          <w:color w:val="1F497D"/>
          <w:sz w:val="24"/>
          <w:szCs w:val="24"/>
        </w:rPr>
        <w:t>In the field, we have generally staged the rating after the service connection date, as long as we  have evidence that it pre-existed the date of claim</w:t>
      </w:r>
      <w:r>
        <w:rPr>
          <w:color w:val="1F497D"/>
          <w:sz w:val="24"/>
          <w:szCs w:val="24"/>
        </w:rPr>
        <w:t>.</w:t>
      </w:r>
      <w:r>
        <w:t>” He also stated that in the JRVSR Cert example “</w:t>
      </w:r>
      <w:r w:rsidRPr="00B54A36">
        <w:rPr>
          <w:color w:val="1F497D"/>
          <w:sz w:val="24"/>
          <w:szCs w:val="24"/>
        </w:rPr>
        <w:t xml:space="preserve">The diagnosis of diabetes was 4/17/99. Kaiser Permanente records did not show any complications. The scenario is saying peripheral neuropathy was diagnosed at the VA exam dated 9/28/12. So the effective date for the secondary condition </w:t>
      </w:r>
      <w:r>
        <w:rPr>
          <w:color w:val="1F497D"/>
          <w:sz w:val="24"/>
          <w:szCs w:val="24"/>
        </w:rPr>
        <w:t>is the date of claim, 7/4/12.</w:t>
      </w:r>
      <w:r>
        <w:t>”</w:t>
      </w:r>
    </w:p>
    <w:p w:rsidR="00013EB8" w:rsidRDefault="00013EB8">
      <w:pPr>
        <w:rPr>
          <w:rFonts w:ascii="Calibri" w:hAnsi="Calibri"/>
          <w:sz w:val="22"/>
        </w:rPr>
      </w:pPr>
    </w:p>
    <w:p w:rsidR="00013EB8" w:rsidRDefault="00013EB8" w:rsidP="00F063AF">
      <w:pPr>
        <w:pStyle w:val="ListParagraph"/>
        <w:numPr>
          <w:ilvl w:val="0"/>
          <w:numId w:val="126"/>
        </w:numPr>
        <w:spacing w:after="0"/>
        <w:ind w:left="400"/>
      </w:pPr>
      <w:r>
        <w:t>Master record shows Veteran with the following:</w:t>
      </w:r>
    </w:p>
    <w:p w:rsidR="00013EB8" w:rsidRDefault="00013EB8">
      <w:pPr>
        <w:ind w:left="800"/>
        <w:rPr>
          <w:rFonts w:ascii="Calibri" w:hAnsi="Calibri"/>
          <w:b/>
          <w:sz w:val="22"/>
        </w:rPr>
      </w:pPr>
      <w:r>
        <w:rPr>
          <w:rFonts w:ascii="Calibri" w:hAnsi="Calibri"/>
          <w:b/>
          <w:sz w:val="22"/>
        </w:rPr>
        <w:t>Bilateral hearing loss</w:t>
      </w:r>
    </w:p>
    <w:p w:rsidR="00013EB8" w:rsidRDefault="00013EB8">
      <w:pPr>
        <w:ind w:left="800"/>
        <w:rPr>
          <w:rFonts w:ascii="Calibri" w:hAnsi="Calibri"/>
          <w:sz w:val="22"/>
        </w:rPr>
      </w:pPr>
      <w:r>
        <w:rPr>
          <w:rFonts w:ascii="Calibri" w:hAnsi="Calibri"/>
          <w:sz w:val="22"/>
        </w:rPr>
        <w:t>0% from 1/13/1968</w:t>
      </w:r>
    </w:p>
    <w:p w:rsidR="00013EB8" w:rsidRDefault="00013EB8">
      <w:pPr>
        <w:ind w:left="800"/>
        <w:rPr>
          <w:rFonts w:ascii="Calibri" w:hAnsi="Calibri"/>
          <w:sz w:val="22"/>
          <w:szCs w:val="6"/>
        </w:rPr>
      </w:pPr>
    </w:p>
    <w:p w:rsidR="00013EB8" w:rsidRDefault="00013EB8">
      <w:pPr>
        <w:ind w:left="800"/>
        <w:rPr>
          <w:rFonts w:ascii="Calibri" w:hAnsi="Calibri"/>
          <w:b/>
          <w:sz w:val="22"/>
        </w:rPr>
      </w:pPr>
      <w:r>
        <w:rPr>
          <w:rFonts w:ascii="Calibri" w:hAnsi="Calibri"/>
          <w:b/>
          <w:sz w:val="22"/>
        </w:rPr>
        <w:t>Tinnitus</w:t>
      </w:r>
    </w:p>
    <w:p w:rsidR="00013EB8" w:rsidRDefault="00013EB8">
      <w:pPr>
        <w:ind w:left="800"/>
        <w:rPr>
          <w:rFonts w:ascii="Calibri" w:hAnsi="Calibri"/>
          <w:sz w:val="22"/>
        </w:rPr>
      </w:pPr>
      <w:r>
        <w:rPr>
          <w:rFonts w:ascii="Calibri" w:hAnsi="Calibri"/>
          <w:sz w:val="22"/>
        </w:rPr>
        <w:t>0% from 1/13/1968</w:t>
      </w:r>
    </w:p>
    <w:p w:rsidR="00013EB8" w:rsidRDefault="00013EB8">
      <w:pPr>
        <w:ind w:left="800"/>
        <w:rPr>
          <w:rFonts w:ascii="Calibri" w:hAnsi="Calibri"/>
          <w:sz w:val="22"/>
          <w:szCs w:val="6"/>
        </w:rPr>
      </w:pPr>
    </w:p>
    <w:p w:rsidR="00013EB8" w:rsidRDefault="00013EB8">
      <w:pPr>
        <w:ind w:left="800"/>
        <w:rPr>
          <w:rFonts w:ascii="Calibri" w:hAnsi="Calibri"/>
          <w:b/>
          <w:sz w:val="22"/>
        </w:rPr>
      </w:pPr>
      <w:r>
        <w:rPr>
          <w:rFonts w:ascii="Calibri" w:hAnsi="Calibri"/>
          <w:b/>
          <w:sz w:val="22"/>
        </w:rPr>
        <w:t xml:space="preserve">Head injury </w:t>
      </w:r>
    </w:p>
    <w:p w:rsidR="00013EB8" w:rsidRDefault="00013EB8">
      <w:pPr>
        <w:ind w:left="800"/>
        <w:rPr>
          <w:rFonts w:ascii="Calibri" w:hAnsi="Calibri"/>
          <w:sz w:val="22"/>
        </w:rPr>
      </w:pPr>
      <w:r>
        <w:rPr>
          <w:rFonts w:ascii="Calibri" w:hAnsi="Calibri"/>
          <w:sz w:val="22"/>
        </w:rPr>
        <w:t>10% from 1/13/68  [COMBAT]</w:t>
      </w:r>
    </w:p>
    <w:p w:rsidR="00013EB8" w:rsidRDefault="00013EB8">
      <w:pPr>
        <w:ind w:left="800"/>
        <w:rPr>
          <w:rFonts w:ascii="Calibri" w:hAnsi="Calibri"/>
          <w:sz w:val="22"/>
          <w:szCs w:val="12"/>
        </w:rPr>
      </w:pPr>
    </w:p>
    <w:p w:rsidR="00013EB8" w:rsidRDefault="00013EB8">
      <w:pPr>
        <w:ind w:left="800"/>
        <w:rPr>
          <w:rFonts w:ascii="Calibri" w:hAnsi="Calibri"/>
          <w:sz w:val="22"/>
        </w:rPr>
      </w:pPr>
      <w:r>
        <w:rPr>
          <w:rFonts w:ascii="Calibri" w:hAnsi="Calibri"/>
          <w:sz w:val="22"/>
        </w:rPr>
        <w:t>Combined 10% from 1/13/1968</w:t>
      </w:r>
      <w:r>
        <w:rPr>
          <w:rFonts w:ascii="Calibri" w:hAnsi="Calibri"/>
          <w:sz w:val="22"/>
        </w:rPr>
        <w:tab/>
      </w:r>
    </w:p>
    <w:p w:rsidR="00013EB8" w:rsidRDefault="00013EB8">
      <w:pPr>
        <w:rPr>
          <w:rFonts w:ascii="Calibri" w:hAnsi="Calibri"/>
          <w:sz w:val="22"/>
          <w:szCs w:val="12"/>
        </w:rPr>
      </w:pPr>
    </w:p>
    <w:p w:rsidR="00013EB8" w:rsidRDefault="00013EB8">
      <w:pPr>
        <w:ind w:left="400"/>
        <w:rPr>
          <w:rFonts w:ascii="Calibri" w:hAnsi="Calibri"/>
          <w:sz w:val="22"/>
        </w:rPr>
      </w:pPr>
      <w:r>
        <w:rPr>
          <w:rFonts w:ascii="Calibri" w:hAnsi="Calibri"/>
          <w:sz w:val="22"/>
        </w:rPr>
        <w:t>Veteran submitted a claim for PTSD and TBI on 8/3/2012.  Upon review of the Loma Linda VAMC treatment records, Veteran reported numerous complaints of ringing in the ears from 4/1998 to 8/2000 and continued complaints to the present.  Veteran had a TBI exam, dated 7/1/2008, on which his VA physician noted the following symptoms: mild memory loss, moderate headaches,  and poor attention and concentration.</w:t>
      </w:r>
    </w:p>
    <w:p w:rsidR="00013EB8" w:rsidRDefault="00013EB8">
      <w:pPr>
        <w:ind w:left="400"/>
        <w:rPr>
          <w:rFonts w:ascii="Calibri" w:hAnsi="Calibri"/>
          <w:sz w:val="22"/>
        </w:rPr>
      </w:pPr>
    </w:p>
    <w:p w:rsidR="00013EB8" w:rsidRDefault="00013EB8">
      <w:pPr>
        <w:ind w:left="400"/>
        <w:rPr>
          <w:rFonts w:ascii="Calibri" w:hAnsi="Calibri"/>
          <w:sz w:val="22"/>
        </w:rPr>
      </w:pPr>
      <w:r>
        <w:rPr>
          <w:rFonts w:ascii="Calibri" w:hAnsi="Calibri"/>
          <w:sz w:val="22"/>
        </w:rPr>
        <w:t>When rating, what issues will need to be addressed?</w:t>
      </w:r>
    </w:p>
    <w:p w:rsidR="00013EB8" w:rsidRDefault="00013EB8">
      <w:pPr>
        <w:ind w:left="400"/>
        <w:rPr>
          <w:rFonts w:ascii="Calibri" w:hAnsi="Calibri"/>
          <w:b/>
          <w:bCs/>
          <w:sz w:val="22"/>
          <w:u w:val="single"/>
        </w:rPr>
      </w:pPr>
      <w:r>
        <w:rPr>
          <w:rFonts w:ascii="Calibri" w:hAnsi="Calibri"/>
          <w:b/>
          <w:bCs/>
          <w:sz w:val="22"/>
          <w:u w:val="single"/>
        </w:rPr>
        <w:t>Rate PTSD as it was an expressed claim, grant earlier effective date for TBI to 10/23/2008, date of law change,  as VA evidence shows increased severity &amp; increase tinnitus to 10% as of 6/10/1999, date of law change as VA evidence shows an increase in severity at the  time of the law change.</w:t>
      </w:r>
    </w:p>
    <w:p w:rsidR="00013EB8" w:rsidRDefault="00013EB8">
      <w:pPr>
        <w:rPr>
          <w:rFonts w:ascii="Calibri" w:hAnsi="Calibri"/>
          <w:sz w:val="22"/>
          <w:u w:val="single"/>
        </w:rPr>
      </w:pPr>
    </w:p>
    <w:p w:rsidR="00013EB8" w:rsidRDefault="00013EB8" w:rsidP="00F063AF">
      <w:pPr>
        <w:pStyle w:val="ListParagraph"/>
        <w:numPr>
          <w:ilvl w:val="0"/>
          <w:numId w:val="126"/>
        </w:numPr>
        <w:ind w:left="400"/>
      </w:pPr>
      <w:r>
        <w:t xml:space="preserve">Veteran was Med-Boarded out due to PTSD and Right knee arthritis.  </w:t>
      </w:r>
    </w:p>
    <w:p w:rsidR="00013EB8" w:rsidRDefault="00013EB8">
      <w:pPr>
        <w:ind w:left="400"/>
        <w:rPr>
          <w:rFonts w:ascii="Calibri" w:hAnsi="Calibri"/>
          <w:sz w:val="22"/>
        </w:rPr>
      </w:pPr>
      <w:r>
        <w:rPr>
          <w:rFonts w:ascii="Calibri" w:hAnsi="Calibri"/>
          <w:sz w:val="22"/>
        </w:rPr>
        <w:t xml:space="preserve">Will you grant Voc Rehab benefits?  Why?  </w:t>
      </w:r>
      <w:r>
        <w:rPr>
          <w:rFonts w:ascii="Calibri" w:hAnsi="Calibri"/>
          <w:sz w:val="22"/>
          <w:u w:val="single"/>
        </w:rPr>
        <w:t>YES, 4.129, minimum eval for separation due to stress is 50%</w:t>
      </w:r>
    </w:p>
    <w:p w:rsidR="00013EB8" w:rsidRDefault="00013EB8">
      <w:pPr>
        <w:ind w:left="400"/>
        <w:rPr>
          <w:rFonts w:ascii="Calibri" w:hAnsi="Calibri"/>
          <w:sz w:val="22"/>
          <w:u w:val="single"/>
        </w:rPr>
      </w:pPr>
      <w:r>
        <w:rPr>
          <w:rFonts w:ascii="Calibri" w:hAnsi="Calibri"/>
          <w:sz w:val="22"/>
        </w:rPr>
        <w:t xml:space="preserve">What is the minimum combined evaluation for service connection?   </w:t>
      </w:r>
      <w:r>
        <w:rPr>
          <w:rFonts w:ascii="Calibri" w:hAnsi="Calibri"/>
          <w:sz w:val="22"/>
          <w:u w:val="single"/>
        </w:rPr>
        <w:t>50%</w:t>
      </w:r>
    </w:p>
    <w:p w:rsidR="00013EB8" w:rsidRDefault="00013EB8">
      <w:pPr>
        <w:ind w:left="720"/>
        <w:rPr>
          <w:rFonts w:ascii="Calibri" w:hAnsi="Calibri"/>
          <w:sz w:val="22"/>
          <w:u w:val="single"/>
        </w:rPr>
      </w:pPr>
    </w:p>
    <w:p w:rsidR="00013EB8" w:rsidRDefault="00013EB8" w:rsidP="00F063AF">
      <w:pPr>
        <w:pStyle w:val="ListParagraph"/>
        <w:numPr>
          <w:ilvl w:val="0"/>
          <w:numId w:val="126"/>
        </w:numPr>
        <w:ind w:left="400"/>
      </w:pPr>
      <w:r>
        <w:t xml:space="preserve">Rating Decision, dated 10/1/2011, granted service connection for prostate cancer at 100 percent.  Veteran has claimed an increase, received on 11/7/2012, for prostate cancer to include voiding dysfunction that requires changing of absorbent material 4 times per day.  VA exam, completed on 11/18/2012, shows Veteran underwent a total retropubic prostatectomy at the Long Beach VAMC on 9/17/2012.  VA exam findings show that Veteran requires changing of absorbent materials 4 times daily and nighttime voiding more than 5 times.  </w:t>
      </w:r>
    </w:p>
    <w:p w:rsidR="00013EB8" w:rsidRDefault="00013EB8">
      <w:pPr>
        <w:ind w:left="400"/>
        <w:rPr>
          <w:rFonts w:ascii="Calibri" w:hAnsi="Calibri"/>
          <w:sz w:val="22"/>
        </w:rPr>
      </w:pPr>
      <w:r>
        <w:rPr>
          <w:rFonts w:ascii="Calibri" w:hAnsi="Calibri"/>
          <w:sz w:val="22"/>
        </w:rPr>
        <w:t>Rate the claim.</w:t>
      </w:r>
    </w:p>
    <w:p w:rsidR="00013EB8" w:rsidRDefault="00013EB8">
      <w:pPr>
        <w:ind w:left="400"/>
        <w:rPr>
          <w:rFonts w:ascii="Calibri" w:hAnsi="Calibri"/>
          <w:sz w:val="22"/>
          <w:u w:val="single"/>
        </w:rPr>
      </w:pPr>
      <w:r>
        <w:rPr>
          <w:rFonts w:ascii="Calibri" w:hAnsi="Calibri"/>
          <w:sz w:val="22"/>
          <w:u w:val="single"/>
        </w:rPr>
        <w:t xml:space="preserve">You will continue Veteran’s 100 percent evaluation for prostate cancer as Veteran underwent a prostatectomy.  This will continue 6 months after date of procedure; therefore, til 3/17/2013.  Prior to that date, we should obtain a new examination to obtain current residuals, but in your Rating Decision you will continue the 100 percent and propose to reduce to 60 percent.  The 60 percent is warranted based on the 11/2012 examination findings. </w:t>
      </w:r>
    </w:p>
    <w:p w:rsidR="00013EB8" w:rsidRDefault="00013EB8">
      <w:pPr>
        <w:rPr>
          <w:rFonts w:ascii="Calibri" w:hAnsi="Calibri"/>
          <w:sz w:val="22"/>
        </w:rPr>
      </w:pPr>
    </w:p>
    <w:p w:rsidR="00013EB8" w:rsidRDefault="00013EB8" w:rsidP="00F063AF">
      <w:pPr>
        <w:pStyle w:val="ListParagraph"/>
        <w:numPr>
          <w:ilvl w:val="0"/>
          <w:numId w:val="126"/>
        </w:numPr>
        <w:ind w:left="400"/>
      </w:pPr>
      <w:r>
        <w:t>You are the Comprehensive Screener and review of the file to determine if it is ready to rate.  Upon review, you see that the Veteran is service-connected for CLL presumptive for AO exposure with a routine future examination that is now 2 months overdue.  What action should you take?</w:t>
      </w:r>
    </w:p>
    <w:p w:rsidR="00013EB8" w:rsidRDefault="00013EB8">
      <w:pPr>
        <w:ind w:left="400"/>
        <w:rPr>
          <w:rFonts w:ascii="Calibri" w:hAnsi="Calibri"/>
          <w:sz w:val="22"/>
          <w:u w:val="single"/>
        </w:rPr>
      </w:pPr>
      <w:r>
        <w:rPr>
          <w:rFonts w:ascii="Calibri" w:hAnsi="Calibri"/>
          <w:sz w:val="22"/>
          <w:u w:val="single"/>
        </w:rPr>
        <w:t>Per TL 06-05 (see excerpt below*), no routine future examination (RFE) should have ever been scheduled.  As a result, the appropriate action to take would be to cancel the diary for the RFE, and call a CUE to grant entitlement to Chapter 35 back to the effective date of the grant of service connection for CLL.</w:t>
      </w:r>
    </w:p>
    <w:p w:rsidR="00013EB8" w:rsidRDefault="00013EB8">
      <w:pPr>
        <w:ind w:left="400"/>
        <w:rPr>
          <w:rFonts w:ascii="Calibri" w:hAnsi="Calibri"/>
          <w:sz w:val="22"/>
        </w:rPr>
      </w:pPr>
    </w:p>
    <w:p w:rsidR="00013EB8" w:rsidRDefault="00013EB8">
      <w:pPr>
        <w:ind w:left="700"/>
        <w:rPr>
          <w:i/>
        </w:rPr>
      </w:pPr>
      <w:r>
        <w:rPr>
          <w:rFonts w:ascii="Calibri" w:hAnsi="Calibri"/>
          <w:i/>
          <w:sz w:val="22"/>
        </w:rPr>
        <w:t>*CLL is evaluated under diagnostic code 7703, leukemia.  CLL is different from the majority of leukemias because although it may have treatment phases throughout the course of the disease it does not have an inactive phase.</w:t>
      </w:r>
    </w:p>
    <w:p w:rsidR="00013EB8" w:rsidRDefault="00013EB8">
      <w:pPr>
        <w:rPr>
          <w:sz w:val="18"/>
        </w:rPr>
      </w:pPr>
    </w:p>
    <w:p w:rsidR="00013EB8" w:rsidRDefault="00013EB8"/>
    <w:p w:rsidR="00013EB8" w:rsidRDefault="00013EB8">
      <w:pPr>
        <w:pStyle w:val="Heading6"/>
        <w:keepNext w:val="0"/>
        <w:widowControl w:val="0"/>
        <w:pBdr>
          <w:top w:val="double" w:sz="4" w:space="1" w:color="auto"/>
        </w:pBdr>
      </w:pPr>
    </w:p>
    <w:p w:rsidR="00013EB8" w:rsidRDefault="00013EB8">
      <w:pPr>
        <w:pStyle w:val="Heading6"/>
        <w:keepNext w:val="0"/>
        <w:widowControl w:val="0"/>
        <w:pBdr>
          <w:top w:val="double" w:sz="4" w:space="1" w:color="auto"/>
        </w:pBdr>
      </w:pPr>
      <w:r>
        <w:br w:type="page"/>
      </w:r>
    </w:p>
    <w:p w:rsidR="004D429B" w:rsidRDefault="004D429B" w:rsidP="004D429B">
      <w:pPr>
        <w:pStyle w:val="Heading6"/>
        <w:keepNext w:val="0"/>
        <w:widowControl w:val="0"/>
        <w:pBdr>
          <w:top w:val="double" w:sz="4" w:space="1" w:color="auto"/>
        </w:pBdr>
        <w:rPr>
          <w:i/>
          <w:iCs/>
        </w:rPr>
      </w:pPr>
      <w:bookmarkStart w:id="64" w:name="MiscNotes"/>
    </w:p>
    <w:p w:rsidR="00013EB8" w:rsidRDefault="00013EB8">
      <w:pPr>
        <w:pStyle w:val="Heading6"/>
        <w:keepNext w:val="0"/>
        <w:widowControl w:val="0"/>
        <w:rPr>
          <w:i/>
          <w:iCs/>
        </w:rPr>
      </w:pPr>
      <w:r>
        <w:rPr>
          <w:i/>
          <w:iCs/>
        </w:rPr>
        <w:t xml:space="preserve">MISC </w:t>
      </w:r>
      <w:r w:rsidR="004D429B">
        <w:rPr>
          <w:i/>
          <w:iCs/>
        </w:rPr>
        <w:t xml:space="preserve">RATING </w:t>
      </w:r>
      <w:r>
        <w:rPr>
          <w:i/>
          <w:iCs/>
        </w:rPr>
        <w:t>NOTES -</w:t>
      </w:r>
    </w:p>
    <w:bookmarkEnd w:id="64"/>
    <w:p w:rsidR="00013EB8" w:rsidRDefault="00013EB8">
      <w:pPr>
        <w:widowControl w:val="0"/>
        <w:tabs>
          <w:tab w:val="left" w:pos="0"/>
          <w:tab w:val="left" w:pos="144"/>
        </w:tabs>
      </w:pPr>
    </w:p>
    <w:p w:rsidR="00013EB8" w:rsidRDefault="00013EB8">
      <w:pPr>
        <w:widowControl w:val="0"/>
        <w:pBdr>
          <w:top w:val="single" w:sz="4" w:space="1" w:color="auto"/>
        </w:pBdr>
      </w:pPr>
    </w:p>
    <w:p w:rsidR="00013EB8" w:rsidRDefault="00013EB8">
      <w:pPr>
        <w:widowControl w:val="0"/>
        <w:rPr>
          <w:color w:val="FF0000"/>
        </w:rPr>
      </w:pPr>
      <w:r>
        <w:rPr>
          <w:color w:val="FF0000"/>
        </w:rPr>
        <w:t>RED = presumptive under 3.309(a)</w:t>
      </w:r>
    </w:p>
    <w:p w:rsidR="00013EB8" w:rsidRDefault="00013EB8">
      <w:pPr>
        <w:widowControl w:val="0"/>
        <w:rPr>
          <w:i/>
          <w:color w:val="00CCFF"/>
        </w:rPr>
      </w:pPr>
      <w:r>
        <w:rPr>
          <w:i/>
          <w:color w:val="00CCFF"/>
        </w:rPr>
        <w:t>BLUE = POW presumptive under 3.309(c)</w:t>
      </w:r>
    </w:p>
    <w:p w:rsidR="00013EB8" w:rsidRDefault="00013EB8">
      <w:pPr>
        <w:widowControl w:val="0"/>
        <w:rPr>
          <w:i/>
          <w:color w:val="FF9900"/>
        </w:rPr>
      </w:pPr>
      <w:r>
        <w:rPr>
          <w:i/>
          <w:color w:val="FF9900"/>
        </w:rPr>
        <w:t>ORANGE = Agent Orange presumptive under 3.309(e)</w:t>
      </w:r>
    </w:p>
    <w:p w:rsidR="00013EB8" w:rsidRDefault="00013EB8">
      <w:pPr>
        <w:widowControl w:val="0"/>
        <w:rPr>
          <w:i/>
          <w:color w:val="008080"/>
        </w:rPr>
      </w:pPr>
      <w:r>
        <w:rPr>
          <w:i/>
          <w:color w:val="008080"/>
        </w:rPr>
        <w:t>AQUA = Mustard Gas presumptive under 3.316</w:t>
      </w:r>
    </w:p>
    <w:p w:rsidR="004E6359" w:rsidRDefault="00013EB8">
      <w:pPr>
        <w:widowControl w:val="0"/>
        <w:rPr>
          <w:i/>
          <w:color w:val="808080"/>
        </w:rPr>
      </w:pPr>
      <w:r>
        <w:rPr>
          <w:i/>
          <w:color w:val="808080"/>
        </w:rPr>
        <w:t>GREY = associated with Asbestos</w:t>
      </w:r>
    </w:p>
    <w:p w:rsidR="00013EB8" w:rsidRDefault="00013EB8">
      <w:pPr>
        <w:widowControl w:val="0"/>
        <w:rPr>
          <w:i/>
          <w:color w:val="808080"/>
        </w:rPr>
      </w:pPr>
    </w:p>
    <w:p w:rsidR="00C84417" w:rsidRDefault="00C84417" w:rsidP="00C84417">
      <w:pPr>
        <w:widowControl w:val="0"/>
        <w:pBdr>
          <w:top w:val="single" w:sz="4" w:space="1" w:color="auto"/>
        </w:pBdr>
      </w:pPr>
    </w:p>
    <w:p w:rsidR="004149CA" w:rsidRPr="004149CA" w:rsidRDefault="004149CA">
      <w:pPr>
        <w:widowControl w:val="0"/>
        <w:pBdr>
          <w:top w:val="single" w:sz="4" w:space="1" w:color="auto"/>
        </w:pBdr>
        <w:tabs>
          <w:tab w:val="left" w:pos="0"/>
          <w:tab w:val="left" w:pos="144"/>
        </w:tabs>
        <w:outlineLvl w:val="0"/>
        <w:rPr>
          <w:b/>
          <w:i/>
        </w:rPr>
      </w:pPr>
      <w:r w:rsidRPr="004149CA">
        <w:rPr>
          <w:b/>
          <w:i/>
        </w:rPr>
        <w:t>SPECIAL OPERATION</w:t>
      </w:r>
      <w:r>
        <w:rPr>
          <w:b/>
          <w:i/>
        </w:rPr>
        <w:t>S</w:t>
      </w:r>
      <w:r w:rsidRPr="004149CA">
        <w:rPr>
          <w:b/>
          <w:i/>
        </w:rPr>
        <w:t xml:space="preserve"> / SPECIAL OPS / SPEC OPS / SPECOPS</w:t>
      </w:r>
    </w:p>
    <w:p w:rsidR="004149CA" w:rsidRDefault="004149CA">
      <w:pPr>
        <w:widowControl w:val="0"/>
        <w:pBdr>
          <w:top w:val="single" w:sz="4" w:space="1" w:color="auto"/>
        </w:pBdr>
        <w:tabs>
          <w:tab w:val="left" w:pos="0"/>
          <w:tab w:val="left" w:pos="144"/>
        </w:tabs>
        <w:outlineLvl w:val="0"/>
        <w:rPr>
          <w:b/>
          <w:i/>
          <w:sz w:val="22"/>
        </w:rPr>
      </w:pPr>
    </w:p>
    <w:p w:rsidR="00B97CA7" w:rsidRPr="00E52B68" w:rsidRDefault="00B97CA7" w:rsidP="00B97CA7">
      <w:pPr>
        <w:widowControl w:val="0"/>
        <w:spacing w:after="120"/>
        <w:outlineLvl w:val="0"/>
        <w:rPr>
          <w:b/>
          <w:i/>
          <w:sz w:val="22"/>
          <w:highlight w:val="darkGray"/>
        </w:rPr>
      </w:pPr>
      <w:r w:rsidRPr="00E52B68">
        <w:rPr>
          <w:rStyle w:val="Strong"/>
          <w:highlight w:val="darkGray"/>
        </w:rPr>
        <w:t xml:space="preserve">III.ii.3.D.7.a </w:t>
      </w:r>
      <w:r w:rsidRPr="00E52B68">
        <w:rPr>
          <w:rStyle w:val="Strong"/>
          <w:b w:val="0"/>
          <w:highlight w:val="darkGray"/>
        </w:rPr>
        <w:t>has segmented lane assignment criteria from 6/30/15</w:t>
      </w:r>
      <w:r w:rsidR="004C54CC" w:rsidRPr="00E52B68">
        <w:rPr>
          <w:rStyle w:val="Strong"/>
          <w:b w:val="0"/>
          <w:highlight w:val="darkGray"/>
        </w:rPr>
        <w:t>, deleted on 3/18/17 update</w:t>
      </w:r>
    </w:p>
    <w:p w:rsidR="004149CA" w:rsidRPr="00E52B68" w:rsidRDefault="004149CA" w:rsidP="004149CA">
      <w:pPr>
        <w:widowControl w:val="0"/>
        <w:spacing w:after="120"/>
        <w:outlineLvl w:val="0"/>
        <w:rPr>
          <w:highlight w:val="darkGray"/>
          <w:shd w:val="clear" w:color="auto" w:fill="808080" w:themeFill="background1" w:themeFillShade="80"/>
        </w:rPr>
      </w:pPr>
      <w:r w:rsidRPr="00E52B68">
        <w:rPr>
          <w:highlight w:val="darkGray"/>
          <w:shd w:val="clear" w:color="auto" w:fill="808080" w:themeFill="background1" w:themeFillShade="80"/>
        </w:rPr>
        <w:t>Eff Feb</w:t>
      </w:r>
      <w:r w:rsidR="00B97CA7" w:rsidRPr="00E52B68">
        <w:rPr>
          <w:highlight w:val="darkGray"/>
          <w:shd w:val="clear" w:color="auto" w:fill="808080" w:themeFill="background1" w:themeFillShade="80"/>
        </w:rPr>
        <w:t>ruary</w:t>
      </w:r>
      <w:r w:rsidRPr="00E52B68">
        <w:rPr>
          <w:highlight w:val="darkGray"/>
          <w:shd w:val="clear" w:color="auto" w:fill="808080" w:themeFill="background1" w:themeFillShade="80"/>
        </w:rPr>
        <w:t xml:space="preserve"> 2016 (in anticipation of the NWQ), </w:t>
      </w:r>
      <w:r w:rsidRPr="00E52B68">
        <w:rPr>
          <w:b/>
          <w:highlight w:val="darkGray"/>
          <w:u w:val="single"/>
          <w:shd w:val="clear" w:color="auto" w:fill="808080" w:themeFill="background1" w:themeFillShade="80"/>
        </w:rPr>
        <w:t>ONLY</w:t>
      </w:r>
      <w:r w:rsidRPr="00E52B68">
        <w:rPr>
          <w:highlight w:val="darkGray"/>
          <w:shd w:val="clear" w:color="auto" w:fill="808080" w:themeFill="background1" w:themeFillShade="80"/>
        </w:rPr>
        <w:t xml:space="preserve"> MST, POW &amp; NEHMER are SpecOps to be worked by the SpecOps team</w:t>
      </w:r>
    </w:p>
    <w:p w:rsidR="004149CA" w:rsidRPr="00B97CA7" w:rsidRDefault="00B97CA7" w:rsidP="004149CA">
      <w:pPr>
        <w:widowControl w:val="0"/>
        <w:spacing w:after="120"/>
        <w:outlineLvl w:val="0"/>
        <w:rPr>
          <w:sz w:val="18"/>
          <w:shd w:val="clear" w:color="auto" w:fill="808080" w:themeFill="background1" w:themeFillShade="80"/>
        </w:rPr>
      </w:pPr>
      <w:r w:rsidRPr="00E52B68">
        <w:rPr>
          <w:highlight w:val="darkGray"/>
          <w:shd w:val="clear" w:color="auto" w:fill="808080" w:themeFill="background1" w:themeFillShade="80"/>
        </w:rPr>
        <w:t>Eff</w:t>
      </w:r>
      <w:r w:rsidR="004149CA" w:rsidRPr="00E52B68">
        <w:rPr>
          <w:highlight w:val="darkGray"/>
          <w:shd w:val="clear" w:color="auto" w:fill="808080" w:themeFill="background1" w:themeFillShade="80"/>
        </w:rPr>
        <w:t xml:space="preserve"> A</w:t>
      </w:r>
      <w:r w:rsidRPr="00E52B68">
        <w:rPr>
          <w:highlight w:val="darkGray"/>
          <w:shd w:val="clear" w:color="auto" w:fill="808080" w:themeFill="background1" w:themeFillShade="80"/>
        </w:rPr>
        <w:t>pril</w:t>
      </w:r>
      <w:r w:rsidR="004149CA" w:rsidRPr="00E52B68">
        <w:rPr>
          <w:highlight w:val="darkGray"/>
          <w:shd w:val="clear" w:color="auto" w:fill="808080" w:themeFill="background1" w:themeFillShade="80"/>
        </w:rPr>
        <w:t xml:space="preserve"> 2016, </w:t>
      </w:r>
      <w:r w:rsidR="004149CA" w:rsidRPr="00E52B68">
        <w:rPr>
          <w:b/>
          <w:highlight w:val="darkGray"/>
          <w:u w:val="single"/>
          <w:shd w:val="clear" w:color="auto" w:fill="808080" w:themeFill="background1" w:themeFillShade="80"/>
        </w:rPr>
        <w:t>ONLY</w:t>
      </w:r>
      <w:r w:rsidR="004149CA" w:rsidRPr="00E52B68">
        <w:rPr>
          <w:highlight w:val="darkGray"/>
          <w:shd w:val="clear" w:color="auto" w:fill="808080" w:themeFill="background1" w:themeFillShade="80"/>
        </w:rPr>
        <w:t xml:space="preserve"> MST &amp; Homeless</w:t>
      </w:r>
    </w:p>
    <w:p w:rsidR="00B97CA7" w:rsidRPr="000961BA" w:rsidRDefault="004149CA" w:rsidP="004149CA">
      <w:pPr>
        <w:widowControl w:val="0"/>
        <w:spacing w:after="120"/>
        <w:outlineLvl w:val="0"/>
        <w:rPr>
          <w:highlight w:val="darkGray"/>
        </w:rPr>
      </w:pPr>
      <w:r w:rsidRPr="000961BA">
        <w:rPr>
          <w:highlight w:val="darkGray"/>
        </w:rPr>
        <w:t>per email from VSCM 3/11/16, still get additional .25 weighted actions for</w:t>
      </w:r>
      <w:r w:rsidR="00B97CA7" w:rsidRPr="000961BA">
        <w:rPr>
          <w:highlight w:val="darkGray"/>
        </w:rPr>
        <w:t>:</w:t>
      </w:r>
    </w:p>
    <w:p w:rsidR="00B97CA7" w:rsidRPr="000961BA" w:rsidRDefault="00B97CA7"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Military Sexual Trauma (MST)</w:t>
      </w:r>
    </w:p>
    <w:p w:rsidR="00B97CA7" w:rsidRPr="000961BA" w:rsidRDefault="004149CA"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Prisoner of War/Form</w:t>
      </w:r>
      <w:r w:rsidR="00B97CA7" w:rsidRPr="000961BA">
        <w:rPr>
          <w:rFonts w:ascii="Arial" w:hAnsi="Arial"/>
          <w:sz w:val="20"/>
          <w:szCs w:val="20"/>
          <w:highlight w:val="darkGray"/>
        </w:rPr>
        <w:t>er Prisoner of War (POW/FPOW)</w:t>
      </w:r>
    </w:p>
    <w:p w:rsidR="00B97CA7" w:rsidRPr="000961BA" w:rsidRDefault="004149CA"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H</w:t>
      </w:r>
      <w:r w:rsidR="00B97CA7" w:rsidRPr="000961BA">
        <w:rPr>
          <w:rFonts w:ascii="Arial" w:hAnsi="Arial"/>
          <w:sz w:val="20"/>
          <w:szCs w:val="20"/>
          <w:highlight w:val="darkGray"/>
        </w:rPr>
        <w:t>omeless</w:t>
      </w:r>
    </w:p>
    <w:p w:rsidR="00B97CA7" w:rsidRPr="000961BA" w:rsidRDefault="004149CA"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Very Seriously Injure</w:t>
      </w:r>
      <w:r w:rsidR="00B97CA7" w:rsidRPr="000961BA">
        <w:rPr>
          <w:rFonts w:ascii="Arial" w:hAnsi="Arial"/>
          <w:sz w:val="20"/>
          <w:szCs w:val="20"/>
          <w:highlight w:val="darkGray"/>
        </w:rPr>
        <w:t>d / Seriously Injured (VSI/SI)</w:t>
      </w:r>
    </w:p>
    <w:p w:rsidR="00B97CA7" w:rsidRPr="000961BA" w:rsidRDefault="00B97CA7"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Nehmer (EP 405)</w:t>
      </w:r>
    </w:p>
    <w:p w:rsidR="00B97CA7" w:rsidRPr="000961BA" w:rsidRDefault="004149CA"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ALS</w:t>
      </w:r>
      <w:r w:rsidR="00B97CA7" w:rsidRPr="000961BA">
        <w:rPr>
          <w:rFonts w:ascii="Arial" w:hAnsi="Arial"/>
          <w:sz w:val="20"/>
          <w:szCs w:val="20"/>
          <w:highlight w:val="darkGray"/>
        </w:rPr>
        <w:t xml:space="preserve"> –</w:t>
      </w:r>
      <w:r w:rsidR="00B97CA7" w:rsidRPr="000961BA">
        <w:rPr>
          <w:rFonts w:ascii="Arial" w:hAnsi="Arial"/>
          <w:i/>
          <w:sz w:val="20"/>
          <w:szCs w:val="20"/>
          <w:highlight w:val="darkGray"/>
        </w:rPr>
        <w:t>per Beth Perkins,</w:t>
      </w:r>
      <w:r w:rsidR="00B97CA7" w:rsidRPr="000961BA">
        <w:rPr>
          <w:rFonts w:ascii="Arial" w:hAnsi="Arial"/>
          <w:sz w:val="20"/>
          <w:szCs w:val="20"/>
          <w:highlight w:val="darkGray"/>
        </w:rPr>
        <w:t xml:space="preserve"> </w:t>
      </w:r>
      <w:r w:rsidR="00B97CA7" w:rsidRPr="000961BA">
        <w:rPr>
          <w:rFonts w:ascii="Arial" w:hAnsi="Arial"/>
          <w:i/>
          <w:sz w:val="20"/>
          <w:szCs w:val="20"/>
          <w:highlight w:val="darkGray"/>
        </w:rPr>
        <w:t>should only be rated by Audrey Reid</w:t>
      </w:r>
      <w:r w:rsidR="00670484" w:rsidRPr="000961BA">
        <w:rPr>
          <w:rFonts w:ascii="Arial" w:hAnsi="Arial"/>
          <w:i/>
          <w:sz w:val="20"/>
          <w:szCs w:val="20"/>
          <w:highlight w:val="darkGray"/>
        </w:rPr>
        <w:t xml:space="preserve"> &amp; Geoff Sauer</w:t>
      </w:r>
    </w:p>
    <w:p w:rsidR="00B97CA7" w:rsidRPr="000961BA" w:rsidRDefault="00B97CA7"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Parkinson’s Disease</w:t>
      </w:r>
    </w:p>
    <w:p w:rsidR="00B97CA7" w:rsidRPr="000961BA" w:rsidRDefault="00B97CA7"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Multiple Sclerosis (MS)</w:t>
      </w:r>
    </w:p>
    <w:p w:rsidR="00B97CA7" w:rsidRPr="000961BA" w:rsidRDefault="004149CA"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Clea</w:t>
      </w:r>
      <w:r w:rsidR="00B97CA7" w:rsidRPr="000961BA">
        <w:rPr>
          <w:rFonts w:ascii="Arial" w:hAnsi="Arial"/>
          <w:sz w:val="20"/>
          <w:szCs w:val="20"/>
          <w:highlight w:val="darkGray"/>
        </w:rPr>
        <w:t>r and Unmistakable Error (CUE)</w:t>
      </w:r>
    </w:p>
    <w:p w:rsidR="00B97CA7" w:rsidRPr="000961BA" w:rsidRDefault="004149CA"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Traumatic Brain Injury (TBI)</w:t>
      </w:r>
      <w:r w:rsidR="00B97CA7" w:rsidRPr="000961BA">
        <w:rPr>
          <w:rFonts w:ascii="Arial" w:hAnsi="Arial"/>
          <w:sz w:val="20"/>
          <w:szCs w:val="20"/>
          <w:highlight w:val="darkGray"/>
        </w:rPr>
        <w:t xml:space="preserve"> – SME is Geoff Sauer, </w:t>
      </w:r>
      <w:r w:rsidR="00B97CA7" w:rsidRPr="000961BA">
        <w:rPr>
          <w:rFonts w:ascii="Arial" w:hAnsi="Arial"/>
          <w:i/>
          <w:sz w:val="20"/>
          <w:szCs w:val="20"/>
          <w:highlight w:val="darkGray"/>
        </w:rPr>
        <w:t>per Beth Perkins, TBI Equitable Relief Review claims shou</w:t>
      </w:r>
      <w:r w:rsidR="0086192A" w:rsidRPr="000961BA">
        <w:rPr>
          <w:rFonts w:ascii="Arial" w:hAnsi="Arial"/>
          <w:i/>
          <w:sz w:val="20"/>
          <w:szCs w:val="20"/>
          <w:highlight w:val="darkGray"/>
        </w:rPr>
        <w:t xml:space="preserve">ld only be rated by Audrey Reid &amp; Geoff Sauer - </w:t>
      </w:r>
      <w:r w:rsidR="0086192A" w:rsidRPr="000961BA">
        <w:rPr>
          <w:rFonts w:ascii="Arial" w:hAnsi="Arial"/>
          <w:bCs/>
          <w:sz w:val="20"/>
          <w:szCs w:val="20"/>
          <w:highlight w:val="darkGray"/>
          <w:shd w:val="clear" w:color="auto" w:fill="D9D9D9" w:themeFill="background1" w:themeFillShade="D9"/>
        </w:rPr>
        <w:t xml:space="preserve">TBI Equitable Relief Review </w:t>
      </w:r>
      <w:r w:rsidR="0086192A" w:rsidRPr="000961BA">
        <w:rPr>
          <w:rFonts w:ascii="Arial" w:hAnsi="Arial"/>
          <w:bCs/>
          <w:i/>
          <w:sz w:val="20"/>
          <w:szCs w:val="20"/>
          <w:highlight w:val="darkGray"/>
          <w:shd w:val="clear" w:color="auto" w:fill="D9D9D9" w:themeFill="background1" w:themeFillShade="D9"/>
        </w:rPr>
        <w:t>(veteran flash)</w:t>
      </w:r>
      <w:r w:rsidR="0086192A" w:rsidRPr="000961BA">
        <w:rPr>
          <w:rFonts w:ascii="Arial" w:hAnsi="Arial"/>
          <w:bCs/>
          <w:sz w:val="20"/>
          <w:szCs w:val="20"/>
          <w:highlight w:val="darkGray"/>
          <w:shd w:val="clear" w:color="auto" w:fill="D9D9D9" w:themeFill="background1" w:themeFillShade="D9"/>
        </w:rPr>
        <w:t xml:space="preserve"> / TBI Exam Review </w:t>
      </w:r>
      <w:r w:rsidR="0086192A" w:rsidRPr="000961BA">
        <w:rPr>
          <w:rFonts w:ascii="Arial" w:hAnsi="Arial"/>
          <w:bCs/>
          <w:i/>
          <w:sz w:val="20"/>
          <w:szCs w:val="20"/>
          <w:highlight w:val="darkGray"/>
          <w:shd w:val="clear" w:color="auto" w:fill="D9D9D9" w:themeFill="background1" w:themeFillShade="D9"/>
        </w:rPr>
        <w:t>(claim-specific special issue indicator on TBI issue/contention</w:t>
      </w:r>
    </w:p>
    <w:p w:rsidR="00B97CA7" w:rsidRPr="000961BA" w:rsidRDefault="004149CA"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1151</w:t>
      </w:r>
    </w:p>
    <w:p w:rsidR="004149CA" w:rsidRPr="000961BA" w:rsidRDefault="004149CA" w:rsidP="00F063AF">
      <w:pPr>
        <w:pStyle w:val="ListParagraph"/>
        <w:widowControl w:val="0"/>
        <w:numPr>
          <w:ilvl w:val="0"/>
          <w:numId w:val="347"/>
        </w:numPr>
        <w:spacing w:after="120"/>
        <w:outlineLvl w:val="0"/>
        <w:rPr>
          <w:rFonts w:ascii="Arial" w:hAnsi="Arial"/>
          <w:sz w:val="20"/>
          <w:szCs w:val="20"/>
          <w:highlight w:val="darkGray"/>
        </w:rPr>
      </w:pPr>
      <w:r w:rsidRPr="000961BA">
        <w:rPr>
          <w:rFonts w:ascii="Arial" w:hAnsi="Arial"/>
          <w:sz w:val="20"/>
          <w:szCs w:val="20"/>
          <w:highlight w:val="darkGray"/>
        </w:rPr>
        <w:t>Special Monthly Compensation (SMC)</w:t>
      </w:r>
    </w:p>
    <w:p w:rsidR="004149CA" w:rsidRPr="00B97CA7" w:rsidRDefault="004149CA" w:rsidP="00B97CA7">
      <w:pPr>
        <w:widowControl w:val="0"/>
        <w:spacing w:after="120"/>
        <w:ind w:left="360"/>
        <w:outlineLvl w:val="0"/>
        <w:rPr>
          <w:i/>
        </w:rPr>
      </w:pPr>
      <w:r w:rsidRPr="000961BA">
        <w:rPr>
          <w:i/>
          <w:highlight w:val="darkGray"/>
        </w:rPr>
        <w:t>extra .25 actions (under “100 – Formal Ratings Other Eps regardless of no of issues</w:t>
      </w:r>
      <w:r w:rsidR="001946CC" w:rsidRPr="000961BA">
        <w:rPr>
          <w:i/>
          <w:highlight w:val="darkGray"/>
        </w:rPr>
        <w:t>,”</w:t>
      </w:r>
      <w:r w:rsidRPr="000961BA">
        <w:rPr>
          <w:i/>
          <w:highlight w:val="darkGray"/>
        </w:rPr>
        <w:t xml:space="preserve"> then “112 – Special Operation Case – an additional .25 credit for special operations case”)</w:t>
      </w:r>
    </w:p>
    <w:p w:rsidR="00720435" w:rsidRPr="00E76E44" w:rsidRDefault="00B97CA7" w:rsidP="00720435">
      <w:pPr>
        <w:rPr>
          <w:color w:val="000000"/>
          <w:szCs w:val="24"/>
        </w:rPr>
      </w:pPr>
      <w:r w:rsidRPr="00E52B68">
        <w:rPr>
          <w:highlight w:val="darkGray"/>
        </w:rPr>
        <w:t xml:space="preserve">Per </w:t>
      </w:r>
      <w:r w:rsidR="004149CA" w:rsidRPr="00E52B68">
        <w:rPr>
          <w:highlight w:val="darkGray"/>
        </w:rPr>
        <w:t>4/29/16 email from Director says BDD claims should only be worked by Quick</w:t>
      </w:r>
      <w:r w:rsidR="008A3B47" w:rsidRPr="00E52B68">
        <w:rPr>
          <w:highlight w:val="darkGray"/>
        </w:rPr>
        <w:t xml:space="preserve"> </w:t>
      </w:r>
      <w:r w:rsidR="004149CA" w:rsidRPr="00E52B68">
        <w:rPr>
          <w:highlight w:val="darkGray"/>
        </w:rPr>
        <w:t>Start</w:t>
      </w:r>
      <w:r w:rsidR="007456B0" w:rsidRPr="00E52B68">
        <w:rPr>
          <w:rStyle w:val="Strong"/>
          <w:b w:val="0"/>
          <w:highlight w:val="darkGray"/>
        </w:rPr>
        <w:t>,</w:t>
      </w:r>
      <w:r w:rsidR="007456B0" w:rsidRPr="00B97CA7">
        <w:rPr>
          <w:rStyle w:val="Strong"/>
          <w:b w:val="0"/>
        </w:rPr>
        <w:t xml:space="preserve"> </w:t>
      </w:r>
      <w:r w:rsidR="007456B0">
        <w:rPr>
          <w:bCs/>
        </w:rPr>
        <w:t>everyone getting BDD &amp; Quick</w:t>
      </w:r>
      <w:r w:rsidR="008A3B47">
        <w:rPr>
          <w:bCs/>
        </w:rPr>
        <w:t xml:space="preserve"> </w:t>
      </w:r>
      <w:r w:rsidR="007456B0">
        <w:rPr>
          <w:bCs/>
        </w:rPr>
        <w:t xml:space="preserve">Start effective May 10, 2016; </w:t>
      </w:r>
      <w:r w:rsidR="007456B0" w:rsidRPr="0030434B">
        <w:rPr>
          <w:b/>
          <w:bCs/>
        </w:rPr>
        <w:t>III.i.2</w:t>
      </w:r>
      <w:r w:rsidR="008A3B47">
        <w:rPr>
          <w:bCs/>
        </w:rPr>
        <w:t xml:space="preserve">; </w:t>
      </w:r>
      <w:r w:rsidR="00720435" w:rsidRPr="008A3B47">
        <w:rPr>
          <w:i/>
          <w:color w:val="00B050"/>
          <w:szCs w:val="24"/>
        </w:rPr>
        <w:t>My Notes:</w:t>
      </w:r>
      <w:r w:rsidR="00720435" w:rsidRPr="008A3B47">
        <w:rPr>
          <w:color w:val="00B050"/>
          <w:szCs w:val="24"/>
        </w:rPr>
        <w:t xml:space="preserve">  </w:t>
      </w:r>
      <w:r w:rsidR="00720435" w:rsidRPr="009E39F2">
        <w:rPr>
          <w:color w:val="000000"/>
          <w:szCs w:val="24"/>
        </w:rPr>
        <w:t>Quick Start discontinued 10/1/17</w:t>
      </w:r>
    </w:p>
    <w:p w:rsidR="004149CA" w:rsidRDefault="004149CA" w:rsidP="004149CA">
      <w:pPr>
        <w:widowControl w:val="0"/>
        <w:spacing w:after="120"/>
        <w:outlineLvl w:val="0"/>
      </w:pPr>
    </w:p>
    <w:p w:rsidR="004149CA" w:rsidRPr="00B97CA7" w:rsidRDefault="00B97CA7" w:rsidP="004149CA">
      <w:pPr>
        <w:widowControl w:val="0"/>
        <w:tabs>
          <w:tab w:val="left" w:pos="0"/>
          <w:tab w:val="left" w:pos="330"/>
        </w:tabs>
        <w:spacing w:after="120"/>
      </w:pPr>
      <w:r>
        <w:rPr>
          <w:rStyle w:val="Strong"/>
          <w:b w:val="0"/>
          <w:highlight w:val="cyan"/>
        </w:rPr>
        <w:t xml:space="preserve">Eff </w:t>
      </w:r>
      <w:r w:rsidR="004149CA" w:rsidRPr="00B97CA7">
        <w:rPr>
          <w:rStyle w:val="Strong"/>
          <w:b w:val="0"/>
          <w:highlight w:val="cyan"/>
        </w:rPr>
        <w:t>August 2016, no more SpecOps team</w:t>
      </w:r>
      <w:r w:rsidR="004149CA" w:rsidRPr="00B97CA7">
        <w:rPr>
          <w:rStyle w:val="Strong"/>
          <w:b w:val="0"/>
        </w:rPr>
        <w:t xml:space="preserve">, </w:t>
      </w:r>
      <w:r w:rsidR="004149CA" w:rsidRPr="00B97CA7">
        <w:rPr>
          <w:rStyle w:val="Strong"/>
          <w:b w:val="0"/>
          <w:i/>
        </w:rPr>
        <w:t xml:space="preserve">but </w:t>
      </w:r>
      <w:r w:rsidRPr="00B97CA7">
        <w:rPr>
          <w:i/>
        </w:rPr>
        <w:t>see above about ALS &amp; TBI Equitable Relief Review claims</w:t>
      </w:r>
    </w:p>
    <w:p w:rsidR="004149CA" w:rsidRPr="004149CA" w:rsidRDefault="004149CA" w:rsidP="004149CA">
      <w:pPr>
        <w:widowControl w:val="0"/>
        <w:spacing w:after="120"/>
        <w:outlineLvl w:val="0"/>
        <w:rPr>
          <w:sz w:val="18"/>
          <w:highlight w:val="magenta"/>
        </w:rPr>
      </w:pPr>
    </w:p>
    <w:p w:rsidR="004149CA" w:rsidRDefault="004149CA">
      <w:pPr>
        <w:widowControl w:val="0"/>
        <w:pBdr>
          <w:top w:val="single" w:sz="4" w:space="1" w:color="auto"/>
        </w:pBdr>
        <w:tabs>
          <w:tab w:val="left" w:pos="0"/>
          <w:tab w:val="left" w:pos="144"/>
        </w:tabs>
        <w:outlineLvl w:val="0"/>
        <w:rPr>
          <w:b/>
          <w:i/>
          <w:sz w:val="22"/>
        </w:rPr>
      </w:pPr>
    </w:p>
    <w:p w:rsidR="00BD2AE4" w:rsidRPr="00C73A3C" w:rsidRDefault="00BD2AE4" w:rsidP="00BD2AE4">
      <w:pPr>
        <w:jc w:val="center"/>
        <w:rPr>
          <w:b/>
          <w:sz w:val="22"/>
          <w:szCs w:val="22"/>
          <w:u w:val="single"/>
        </w:rPr>
      </w:pPr>
      <w:r w:rsidRPr="00C73A3C">
        <w:rPr>
          <w:b/>
          <w:sz w:val="22"/>
          <w:szCs w:val="22"/>
          <w:u w:val="single"/>
        </w:rPr>
        <w:t>2</w:t>
      </w:r>
      <w:r w:rsidRPr="00C73A3C">
        <w:rPr>
          <w:b/>
          <w:sz w:val="22"/>
          <w:szCs w:val="22"/>
          <w:u w:val="single"/>
          <w:vertAlign w:val="superscript"/>
        </w:rPr>
        <w:t>nd</w:t>
      </w:r>
      <w:r w:rsidRPr="00C73A3C">
        <w:rPr>
          <w:b/>
          <w:sz w:val="22"/>
          <w:szCs w:val="22"/>
          <w:u w:val="single"/>
        </w:rPr>
        <w:t xml:space="preserve"> signing Standard Operating Procedures</w:t>
      </w:r>
    </w:p>
    <w:p w:rsidR="00BD2AE4" w:rsidRPr="00CA15B2" w:rsidRDefault="00CA15B2" w:rsidP="00BD2AE4">
      <w:pPr>
        <w:jc w:val="center"/>
        <w:rPr>
          <w:b/>
          <w:szCs w:val="22"/>
        </w:rPr>
      </w:pPr>
      <w:r w:rsidRPr="00CA15B2">
        <w:rPr>
          <w:b/>
          <w:szCs w:val="22"/>
        </w:rPr>
        <w:t>III.iv.6.D.7.e</w:t>
      </w:r>
    </w:p>
    <w:p w:rsidR="00CA15B2" w:rsidRPr="00D17C7E" w:rsidRDefault="00CA15B2" w:rsidP="00BD2AE4">
      <w:pPr>
        <w:jc w:val="center"/>
        <w:rPr>
          <w:sz w:val="22"/>
          <w:szCs w:val="22"/>
        </w:rPr>
      </w:pPr>
    </w:p>
    <w:p w:rsidR="00BE0D6D" w:rsidRPr="00BC11E6" w:rsidRDefault="00BE0D6D" w:rsidP="00BE0D6D">
      <w:pPr>
        <w:spacing w:after="120"/>
        <w:rPr>
          <w:sz w:val="22"/>
          <w:szCs w:val="22"/>
        </w:rPr>
      </w:pPr>
      <w:r w:rsidRPr="00BC11E6">
        <w:rPr>
          <w:sz w:val="22"/>
          <w:szCs w:val="22"/>
        </w:rPr>
        <w:t>1 – RVSR creates draft Narrative &amp; Codesheet (&amp; SMC calculator, if applicable).</w:t>
      </w:r>
    </w:p>
    <w:p w:rsidR="00BE0D6D" w:rsidRPr="00BC11E6" w:rsidRDefault="00BE0D6D" w:rsidP="00BE0D6D">
      <w:pPr>
        <w:spacing w:after="120"/>
        <w:rPr>
          <w:sz w:val="22"/>
          <w:szCs w:val="22"/>
        </w:rPr>
      </w:pPr>
      <w:r w:rsidRPr="00BC11E6">
        <w:rPr>
          <w:sz w:val="22"/>
          <w:szCs w:val="22"/>
        </w:rPr>
        <w:t xml:space="preserve">2 – RVSR converts all drafts above into one Word document as follows </w:t>
      </w:r>
      <w:r w:rsidRPr="00BC11E6">
        <w:rPr>
          <w:i/>
          <w:sz w:val="22"/>
          <w:szCs w:val="22"/>
        </w:rPr>
        <w:t>(or save PDFs as Word documents, if you have that option in Adobe)</w:t>
      </w:r>
      <w:r w:rsidRPr="00BC11E6">
        <w:rPr>
          <w:sz w:val="22"/>
          <w:szCs w:val="22"/>
        </w:rPr>
        <w:t xml:space="preserve">: </w:t>
      </w:r>
    </w:p>
    <w:p w:rsidR="00BE0D6D" w:rsidRPr="00BC11E6" w:rsidRDefault="00BE0D6D" w:rsidP="00F063AF">
      <w:pPr>
        <w:pStyle w:val="ListParagraph"/>
        <w:numPr>
          <w:ilvl w:val="0"/>
          <w:numId w:val="405"/>
        </w:numPr>
        <w:spacing w:after="0" w:line="240" w:lineRule="auto"/>
        <w:rPr>
          <w:rFonts w:ascii="Arial" w:hAnsi="Arial"/>
          <w:color w:val="000000"/>
        </w:rPr>
      </w:pPr>
      <w:r w:rsidRPr="00BC11E6">
        <w:rPr>
          <w:rFonts w:ascii="Arial" w:hAnsi="Arial"/>
          <w:color w:val="000000"/>
        </w:rPr>
        <w:t>Print codesheet, narrative (</w:t>
      </w:r>
      <w:r w:rsidRPr="00BC11E6">
        <w:rPr>
          <w:rFonts w:ascii="Arial" w:hAnsi="Arial"/>
        </w:rPr>
        <w:t>deferred &amp; SMC calculator</w:t>
      </w:r>
      <w:r w:rsidR="007F1002">
        <w:rPr>
          <w:rFonts w:ascii="Arial" w:hAnsi="Arial"/>
          <w:color w:val="000000"/>
        </w:rPr>
        <w:t>) to One</w:t>
      </w:r>
      <w:r w:rsidRPr="00BC11E6">
        <w:rPr>
          <w:rFonts w:ascii="Arial" w:hAnsi="Arial"/>
          <w:color w:val="000000"/>
        </w:rPr>
        <w:t>Note (do each PDF, one-at-a-time)</w:t>
      </w:r>
    </w:p>
    <w:p w:rsidR="00BE0D6D" w:rsidRPr="00BC11E6" w:rsidRDefault="00BE0D6D" w:rsidP="00F063AF">
      <w:pPr>
        <w:pStyle w:val="ListParagraph"/>
        <w:numPr>
          <w:ilvl w:val="0"/>
          <w:numId w:val="405"/>
        </w:numPr>
        <w:spacing w:after="0" w:line="240" w:lineRule="auto"/>
        <w:rPr>
          <w:rFonts w:ascii="Arial" w:hAnsi="Arial"/>
          <w:color w:val="000000"/>
        </w:rPr>
      </w:pPr>
      <w:r w:rsidRPr="00BC11E6">
        <w:rPr>
          <w:rFonts w:ascii="Arial" w:hAnsi="Arial"/>
          <w:color w:val="000000"/>
        </w:rPr>
        <w:t>On the right side of OneNote, select all the “Untitled pages” pertinent for review (hold CTRL, then click on each page)</w:t>
      </w:r>
    </w:p>
    <w:p w:rsidR="00BE0D6D" w:rsidRPr="00BC11E6" w:rsidRDefault="00BE0D6D" w:rsidP="00F063AF">
      <w:pPr>
        <w:pStyle w:val="ListParagraph"/>
        <w:numPr>
          <w:ilvl w:val="0"/>
          <w:numId w:val="405"/>
        </w:numPr>
        <w:spacing w:after="120" w:line="240" w:lineRule="auto"/>
        <w:rPr>
          <w:rFonts w:ascii="Arial" w:hAnsi="Arial"/>
          <w:color w:val="000000"/>
        </w:rPr>
      </w:pPr>
      <w:r w:rsidRPr="00BC11E6">
        <w:rPr>
          <w:rFonts w:ascii="Arial" w:hAnsi="Arial"/>
          <w:color w:val="000000"/>
        </w:rPr>
        <w:t xml:space="preserve">With selection made, click File, </w:t>
      </w:r>
      <w:r w:rsidR="007F1002">
        <w:rPr>
          <w:rFonts w:ascii="Arial" w:hAnsi="Arial"/>
          <w:color w:val="000000"/>
        </w:rPr>
        <w:t>Send, Send to Word</w:t>
      </w:r>
      <w:r w:rsidRPr="00BC11E6">
        <w:rPr>
          <w:rFonts w:ascii="Arial" w:hAnsi="Arial"/>
          <w:color w:val="000000"/>
        </w:rPr>
        <w:t xml:space="preserve">, </w:t>
      </w:r>
      <w:r w:rsidR="007F1002">
        <w:rPr>
          <w:rFonts w:ascii="Arial" w:hAnsi="Arial"/>
          <w:color w:val="000000"/>
        </w:rPr>
        <w:t>then Save from Word</w:t>
      </w:r>
    </w:p>
    <w:p w:rsidR="00BE0D6D" w:rsidRPr="00BC11E6" w:rsidRDefault="00BE0D6D" w:rsidP="00BE0D6D">
      <w:pPr>
        <w:spacing w:after="120"/>
        <w:rPr>
          <w:sz w:val="22"/>
          <w:szCs w:val="22"/>
        </w:rPr>
      </w:pPr>
      <w:r w:rsidRPr="00BC11E6">
        <w:rPr>
          <w:sz w:val="22"/>
          <w:szCs w:val="22"/>
        </w:rPr>
        <w:t xml:space="preserve">3 – RVSR saves Word document with all drafts merged in their folder on the H drive. RVSR also creates a 21-0961 (see </w:t>
      </w:r>
      <w:hyperlink r:id="rId340" w:history="1">
        <w:r w:rsidRPr="00BC11E6">
          <w:rPr>
            <w:rStyle w:val="Hyperlink"/>
            <w:i/>
            <w:sz w:val="22"/>
            <w:szCs w:val="22"/>
          </w:rPr>
          <w:t>http://vbacodmoint1.vba.va.gov/bl/21/Transformation/docs/VBMS.doc</w:t>
        </w:r>
      </w:hyperlink>
      <w:r w:rsidRPr="00BC11E6">
        <w:rPr>
          <w:sz w:val="22"/>
          <w:szCs w:val="22"/>
        </w:rPr>
        <w:t>) &amp; saves it with Word document.</w:t>
      </w:r>
    </w:p>
    <w:p w:rsidR="00BE0D6D" w:rsidRPr="00BC11E6" w:rsidRDefault="00BE0D6D" w:rsidP="00BE0D6D">
      <w:pPr>
        <w:spacing w:after="120"/>
        <w:rPr>
          <w:sz w:val="22"/>
          <w:szCs w:val="22"/>
        </w:rPr>
      </w:pPr>
      <w:r w:rsidRPr="00BC11E6">
        <w:rPr>
          <w:sz w:val="22"/>
          <w:szCs w:val="22"/>
        </w:rPr>
        <w:t>4 – RVSR creates draft deferral in VBMS, if applicable.</w:t>
      </w:r>
    </w:p>
    <w:p w:rsidR="00BE0D6D" w:rsidRPr="00BC11E6" w:rsidRDefault="00BE0D6D" w:rsidP="00BE0D6D">
      <w:pPr>
        <w:spacing w:after="120"/>
        <w:rPr>
          <w:rStyle w:val="Hyperlink"/>
          <w:i/>
          <w:sz w:val="22"/>
          <w:szCs w:val="22"/>
        </w:rPr>
      </w:pPr>
      <w:r w:rsidRPr="00BC11E6">
        <w:rPr>
          <w:sz w:val="22"/>
          <w:szCs w:val="22"/>
        </w:rPr>
        <w:t xml:space="preserve">5 – RVSR adds “Local Mentor Review” special issue to first contention listed in VBMS. As of 3/31/17, also add “Second Signature” tracked item per </w:t>
      </w:r>
      <w:hyperlink r:id="rId341" w:history="1">
        <w:r w:rsidRPr="00BC11E6">
          <w:rPr>
            <w:rStyle w:val="Hyperlink"/>
            <w:i/>
            <w:sz w:val="22"/>
            <w:szCs w:val="22"/>
          </w:rPr>
          <w:t>National Work Queue – Phase 1 &amp; 2 Playbook</w:t>
        </w:r>
      </w:hyperlink>
      <w:r w:rsidRPr="00BC11E6">
        <w:rPr>
          <w:rStyle w:val="Hyperlink"/>
          <w:i/>
          <w:sz w:val="22"/>
          <w:szCs w:val="22"/>
        </w:rPr>
        <w:t>.</w:t>
      </w:r>
    </w:p>
    <w:p w:rsidR="00BE0D6D" w:rsidRPr="00BC11E6" w:rsidRDefault="00BE0D6D" w:rsidP="00BE0D6D">
      <w:pPr>
        <w:spacing w:after="120"/>
        <w:rPr>
          <w:sz w:val="22"/>
          <w:szCs w:val="22"/>
        </w:rPr>
      </w:pPr>
      <w:r w:rsidRPr="00BC11E6">
        <w:rPr>
          <w:sz w:val="22"/>
          <w:szCs w:val="22"/>
        </w:rPr>
        <w:t>6 – RVSR emails 2</w:t>
      </w:r>
      <w:r w:rsidRPr="00BC11E6">
        <w:rPr>
          <w:sz w:val="22"/>
          <w:szCs w:val="22"/>
          <w:vertAlign w:val="superscript"/>
        </w:rPr>
        <w:t>nd</w:t>
      </w:r>
      <w:r w:rsidRPr="00BC11E6">
        <w:rPr>
          <w:sz w:val="22"/>
          <w:szCs w:val="22"/>
        </w:rPr>
        <w:t xml:space="preserve"> signer that draft rating is ready for review (provide name &amp; claim number).</w:t>
      </w:r>
    </w:p>
    <w:p w:rsidR="00BE0D6D" w:rsidRPr="00BC11E6" w:rsidRDefault="00BE0D6D" w:rsidP="00BE0D6D">
      <w:pPr>
        <w:spacing w:after="120"/>
        <w:rPr>
          <w:sz w:val="22"/>
          <w:szCs w:val="22"/>
        </w:rPr>
      </w:pPr>
      <w:r w:rsidRPr="00BC11E6">
        <w:rPr>
          <w:sz w:val="22"/>
          <w:szCs w:val="22"/>
        </w:rPr>
        <w:t>7 – 2</w:t>
      </w:r>
      <w:r w:rsidRPr="00BC11E6">
        <w:rPr>
          <w:sz w:val="22"/>
          <w:szCs w:val="22"/>
          <w:vertAlign w:val="superscript"/>
        </w:rPr>
        <w:t>nd</w:t>
      </w:r>
      <w:r w:rsidRPr="00BC11E6">
        <w:rPr>
          <w:sz w:val="22"/>
          <w:szCs w:val="22"/>
        </w:rPr>
        <w:t xml:space="preserve"> signer reviews Word document and makes notes of changes/additions needed with “Review</w:t>
      </w:r>
      <w:r w:rsidR="001946CC">
        <w:rPr>
          <w:sz w:val="22"/>
          <w:szCs w:val="22"/>
        </w:rPr>
        <w:t>,”</w:t>
      </w:r>
      <w:r w:rsidRPr="00BC11E6">
        <w:rPr>
          <w:sz w:val="22"/>
          <w:szCs w:val="22"/>
        </w:rPr>
        <w:t xml:space="preserve"> then “New Comment</w:t>
      </w:r>
      <w:r w:rsidR="001946CC">
        <w:rPr>
          <w:sz w:val="22"/>
          <w:szCs w:val="22"/>
        </w:rPr>
        <w:t>.”</w:t>
      </w:r>
    </w:p>
    <w:p w:rsidR="00BE0D6D" w:rsidRPr="00BC11E6" w:rsidRDefault="00BE0D6D" w:rsidP="00BE0D6D">
      <w:pPr>
        <w:spacing w:after="120"/>
        <w:rPr>
          <w:i/>
          <w:sz w:val="22"/>
          <w:szCs w:val="22"/>
        </w:rPr>
      </w:pPr>
      <w:r w:rsidRPr="00BC11E6">
        <w:rPr>
          <w:sz w:val="22"/>
          <w:szCs w:val="22"/>
        </w:rPr>
        <w:t>8 – 2</w:t>
      </w:r>
      <w:r w:rsidRPr="00BC11E6">
        <w:rPr>
          <w:sz w:val="22"/>
          <w:szCs w:val="22"/>
          <w:vertAlign w:val="superscript"/>
        </w:rPr>
        <w:t>nd</w:t>
      </w:r>
      <w:r w:rsidRPr="00BC11E6">
        <w:rPr>
          <w:sz w:val="22"/>
          <w:szCs w:val="22"/>
        </w:rPr>
        <w:t xml:space="preserve"> signer reviews draft deferral in VBMS, if applicable. </w:t>
      </w:r>
      <w:r w:rsidRPr="00BC11E6">
        <w:rPr>
          <w:i/>
          <w:sz w:val="22"/>
          <w:szCs w:val="22"/>
        </w:rPr>
        <w:t>[If it’s a full deferral &amp; ready to be finalized, 2</w:t>
      </w:r>
      <w:r w:rsidRPr="00BC11E6">
        <w:rPr>
          <w:i/>
          <w:sz w:val="22"/>
          <w:szCs w:val="22"/>
          <w:vertAlign w:val="superscript"/>
        </w:rPr>
        <w:t>nd</w:t>
      </w:r>
      <w:r w:rsidRPr="00BC11E6">
        <w:rPr>
          <w:i/>
          <w:sz w:val="22"/>
          <w:szCs w:val="22"/>
        </w:rPr>
        <w:t xml:space="preserve"> signer will make a Claim Note &amp; email RVSR, who will Finalize</w:t>
      </w:r>
      <w:r w:rsidR="00BC11E6">
        <w:rPr>
          <w:i/>
          <w:sz w:val="22"/>
          <w:szCs w:val="22"/>
        </w:rPr>
        <w:t xml:space="preserve"> deferral</w:t>
      </w:r>
      <w:r w:rsidRPr="00BC11E6">
        <w:rPr>
          <w:i/>
          <w:sz w:val="22"/>
          <w:szCs w:val="22"/>
        </w:rPr>
        <w:t xml:space="preserve"> &amp; remove “Local Mentor Review” special issue.]</w:t>
      </w:r>
    </w:p>
    <w:p w:rsidR="00BE0D6D" w:rsidRPr="00BC11E6" w:rsidRDefault="00BE0D6D" w:rsidP="00BE0D6D">
      <w:pPr>
        <w:spacing w:after="120"/>
        <w:rPr>
          <w:sz w:val="22"/>
          <w:szCs w:val="22"/>
        </w:rPr>
      </w:pPr>
      <w:r w:rsidRPr="00BC11E6">
        <w:rPr>
          <w:sz w:val="22"/>
          <w:szCs w:val="22"/>
        </w:rPr>
        <w:t>9 – 2</w:t>
      </w:r>
      <w:r w:rsidRPr="00BC11E6">
        <w:rPr>
          <w:sz w:val="22"/>
          <w:szCs w:val="22"/>
          <w:vertAlign w:val="superscript"/>
        </w:rPr>
        <w:t>nd</w:t>
      </w:r>
      <w:r w:rsidRPr="00BC11E6">
        <w:rPr>
          <w:sz w:val="22"/>
          <w:szCs w:val="22"/>
        </w:rPr>
        <w:t xml:space="preserve"> signer saves Word document with comments &amp; emails RVSR that rating has been reviewed &amp; either 2</w:t>
      </w:r>
      <w:r w:rsidRPr="00BC11E6">
        <w:rPr>
          <w:sz w:val="22"/>
          <w:szCs w:val="22"/>
          <w:vertAlign w:val="superscript"/>
        </w:rPr>
        <w:t>nd</w:t>
      </w:r>
      <w:r w:rsidRPr="00BC11E6">
        <w:rPr>
          <w:sz w:val="22"/>
          <w:szCs w:val="22"/>
        </w:rPr>
        <w:t xml:space="preserve"> draft is needed or RVSR can finalize rating. In some cases, additional drafts may be necessary.</w:t>
      </w:r>
    </w:p>
    <w:p w:rsidR="00BE0D6D" w:rsidRPr="00BC11E6" w:rsidRDefault="00BE0D6D" w:rsidP="00BE0D6D">
      <w:pPr>
        <w:spacing w:after="120"/>
        <w:rPr>
          <w:sz w:val="22"/>
          <w:szCs w:val="22"/>
        </w:rPr>
      </w:pPr>
      <w:r w:rsidRPr="00BC11E6">
        <w:rPr>
          <w:sz w:val="22"/>
          <w:szCs w:val="22"/>
        </w:rPr>
        <w:t>10 – RVSR makes changes, re-creates new Word Document with “(2)</w:t>
      </w:r>
      <w:r w:rsidR="001946CC">
        <w:rPr>
          <w:sz w:val="22"/>
          <w:szCs w:val="22"/>
        </w:rPr>
        <w:t>,”</w:t>
      </w:r>
      <w:r w:rsidRPr="00BC11E6">
        <w:rPr>
          <w:sz w:val="22"/>
          <w:szCs w:val="22"/>
        </w:rPr>
        <w:t xml:space="preserve"> “(3)” added to name (do not save over the prior version) &amp; emails 2</w:t>
      </w:r>
      <w:r w:rsidRPr="00BC11E6">
        <w:rPr>
          <w:sz w:val="22"/>
          <w:szCs w:val="22"/>
          <w:vertAlign w:val="superscript"/>
        </w:rPr>
        <w:t>nd</w:t>
      </w:r>
      <w:r w:rsidRPr="00BC11E6">
        <w:rPr>
          <w:sz w:val="22"/>
          <w:szCs w:val="22"/>
        </w:rPr>
        <w:t xml:space="preserve"> signer that additional draft is ready for review.</w:t>
      </w:r>
    </w:p>
    <w:p w:rsidR="00BE0D6D" w:rsidRPr="00BC11E6" w:rsidRDefault="00BE0D6D" w:rsidP="00BE0D6D">
      <w:pPr>
        <w:spacing w:after="120"/>
        <w:rPr>
          <w:sz w:val="22"/>
          <w:szCs w:val="22"/>
        </w:rPr>
      </w:pPr>
      <w:r w:rsidRPr="00BC11E6">
        <w:rPr>
          <w:sz w:val="22"/>
          <w:szCs w:val="22"/>
        </w:rPr>
        <w:t>11 – Once rating is ready to be finalized, 2</w:t>
      </w:r>
      <w:r w:rsidRPr="00BC11E6">
        <w:rPr>
          <w:sz w:val="22"/>
          <w:szCs w:val="22"/>
          <w:vertAlign w:val="superscript"/>
        </w:rPr>
        <w:t>nd</w:t>
      </w:r>
      <w:r w:rsidRPr="00BC11E6">
        <w:rPr>
          <w:sz w:val="22"/>
          <w:szCs w:val="22"/>
        </w:rPr>
        <w:t xml:space="preserve"> signer signs 0961 &amp; emails RVSR. RVSR removes “Local Mentor Review” special issue, marks the “Second Signature” tracked item as closed, finalizes rating &amp; uploads 0961 to VBMS.</w:t>
      </w:r>
    </w:p>
    <w:p w:rsidR="00BD2AE4" w:rsidRDefault="00BD2AE4" w:rsidP="00BD2AE4">
      <w:pPr>
        <w:spacing w:after="120"/>
        <w:rPr>
          <w:sz w:val="22"/>
          <w:szCs w:val="22"/>
        </w:rPr>
      </w:pPr>
    </w:p>
    <w:p w:rsidR="008822A0" w:rsidRPr="008822A0" w:rsidRDefault="008822A0" w:rsidP="008822A0">
      <w:pPr>
        <w:spacing w:after="120" w:line="360" w:lineRule="auto"/>
        <w:rPr>
          <w:b/>
          <w:szCs w:val="22"/>
          <w:u w:val="single"/>
        </w:rPr>
      </w:pPr>
      <w:r w:rsidRPr="008822A0">
        <w:rPr>
          <w:b/>
          <w:szCs w:val="22"/>
          <w:u w:val="single"/>
        </w:rPr>
        <w:t>Before sending a draft to your second-signer, RVSRs should double-check that:</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b/>
          <w:sz w:val="20"/>
          <w:szCs w:val="20"/>
        </w:rPr>
        <w:t>service</w:t>
      </w:r>
      <w:r w:rsidRPr="000B0DDA">
        <w:rPr>
          <w:rFonts w:ascii="Arial" w:hAnsi="Arial"/>
          <w:sz w:val="20"/>
          <w:szCs w:val="20"/>
        </w:rPr>
        <w:t xml:space="preserve"> is verified</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sz w:val="20"/>
          <w:szCs w:val="20"/>
        </w:rPr>
        <w:t xml:space="preserve">complete </w:t>
      </w:r>
      <w:r w:rsidRPr="000B0DDA">
        <w:rPr>
          <w:rFonts w:ascii="Arial" w:hAnsi="Arial"/>
          <w:b/>
          <w:sz w:val="20"/>
          <w:szCs w:val="20"/>
        </w:rPr>
        <w:t>STRs</w:t>
      </w:r>
      <w:r w:rsidRPr="000B0DDA">
        <w:rPr>
          <w:rFonts w:ascii="Arial" w:hAnsi="Arial"/>
          <w:sz w:val="20"/>
          <w:szCs w:val="20"/>
        </w:rPr>
        <w:t xml:space="preserve"> are of record </w:t>
      </w:r>
      <w:r w:rsidRPr="000B0DDA">
        <w:rPr>
          <w:rFonts w:ascii="Arial" w:hAnsi="Arial"/>
          <w:i/>
          <w:sz w:val="20"/>
          <w:szCs w:val="20"/>
        </w:rPr>
        <w:t>(with EOD &amp; RAD marked)</w:t>
      </w:r>
      <w:r w:rsidRPr="000B0DDA">
        <w:rPr>
          <w:rFonts w:ascii="Arial" w:hAnsi="Arial"/>
          <w:sz w:val="20"/>
          <w:szCs w:val="20"/>
        </w:rPr>
        <w:t xml:space="preserve"> </w:t>
      </w:r>
      <w:r w:rsidRPr="000B0DDA">
        <w:rPr>
          <w:rFonts w:ascii="Arial" w:hAnsi="Arial"/>
          <w:sz w:val="20"/>
          <w:szCs w:val="20"/>
          <w:u w:val="single"/>
        </w:rPr>
        <w:t>OR</w:t>
      </w:r>
      <w:r w:rsidR="00376592">
        <w:rPr>
          <w:rFonts w:ascii="Arial" w:hAnsi="Arial"/>
          <w:sz w:val="20"/>
          <w:szCs w:val="20"/>
        </w:rPr>
        <w:t xml:space="preserve"> a</w:t>
      </w:r>
      <w:r w:rsidRPr="000B0DDA">
        <w:rPr>
          <w:rFonts w:ascii="Arial" w:hAnsi="Arial"/>
          <w:sz w:val="20"/>
          <w:szCs w:val="20"/>
        </w:rPr>
        <w:t xml:space="preserve"> </w:t>
      </w:r>
      <w:r w:rsidR="00376592">
        <w:rPr>
          <w:rFonts w:ascii="Arial" w:hAnsi="Arial"/>
          <w:sz w:val="20"/>
          <w:szCs w:val="20"/>
        </w:rPr>
        <w:t xml:space="preserve">final notification </w:t>
      </w:r>
      <w:r w:rsidRPr="000B0DDA">
        <w:rPr>
          <w:rFonts w:ascii="Arial" w:hAnsi="Arial"/>
          <w:sz w:val="20"/>
          <w:szCs w:val="20"/>
        </w:rPr>
        <w:t>letter has been sent</w:t>
      </w:r>
      <w:r w:rsidR="000B0DDA">
        <w:rPr>
          <w:rFonts w:ascii="Arial" w:hAnsi="Arial"/>
          <w:sz w:val="20"/>
          <w:szCs w:val="20"/>
        </w:rPr>
        <w:t xml:space="preserve"> </w:t>
      </w:r>
      <w:r w:rsidR="000B0DDA">
        <w:rPr>
          <w:rFonts w:ascii="Arial" w:hAnsi="Arial"/>
          <w:i/>
          <w:sz w:val="20"/>
          <w:szCs w:val="20"/>
        </w:rPr>
        <w:t>(p</w:t>
      </w:r>
      <w:r w:rsidR="00AA7106" w:rsidRPr="000B0DDA">
        <w:rPr>
          <w:rFonts w:ascii="Arial" w:hAnsi="Arial"/>
          <w:i/>
          <w:sz w:val="20"/>
          <w:szCs w:val="20"/>
        </w:rPr>
        <w:t xml:space="preserve">lus </w:t>
      </w:r>
      <w:r w:rsidRPr="000B0DDA">
        <w:rPr>
          <w:rFonts w:ascii="Arial" w:hAnsi="Arial"/>
          <w:i/>
          <w:sz w:val="20"/>
          <w:szCs w:val="20"/>
        </w:rPr>
        <w:t xml:space="preserve">JLV </w:t>
      </w:r>
      <w:r w:rsidR="000B0DDA">
        <w:rPr>
          <w:rFonts w:ascii="Arial" w:hAnsi="Arial"/>
          <w:i/>
          <w:sz w:val="20"/>
          <w:szCs w:val="20"/>
        </w:rPr>
        <w:t>wa</w:t>
      </w:r>
      <w:r w:rsidRPr="000B0DDA">
        <w:rPr>
          <w:rFonts w:ascii="Arial" w:hAnsi="Arial"/>
          <w:i/>
          <w:sz w:val="20"/>
          <w:szCs w:val="20"/>
        </w:rPr>
        <w:t>s reviewed, uploaded &amp; listed in Evidence if we have few or missing STRs</w:t>
      </w:r>
      <w:r w:rsidR="000B0DDA">
        <w:rPr>
          <w:rFonts w:ascii="Arial" w:hAnsi="Arial"/>
          <w:i/>
          <w:sz w:val="20"/>
          <w:szCs w:val="20"/>
        </w:rPr>
        <w:t>)</w:t>
      </w:r>
      <w:r w:rsidR="00811CE7">
        <w:rPr>
          <w:rFonts w:ascii="Arial" w:hAnsi="Arial"/>
          <w:i/>
          <w:sz w:val="20"/>
          <w:szCs w:val="20"/>
        </w:rPr>
        <w:t xml:space="preserve"> </w:t>
      </w:r>
      <w:r w:rsidR="00811CE7" w:rsidRPr="000B0DDA">
        <w:rPr>
          <w:rFonts w:ascii="Arial" w:hAnsi="Arial"/>
          <w:sz w:val="20"/>
          <w:szCs w:val="20"/>
          <w:u w:val="single"/>
        </w:rPr>
        <w:t>OR</w:t>
      </w:r>
      <w:r w:rsidR="00811CE7">
        <w:rPr>
          <w:rFonts w:ascii="Arial" w:hAnsi="Arial"/>
          <w:sz w:val="20"/>
          <w:szCs w:val="20"/>
        </w:rPr>
        <w:t xml:space="preserve"> you notify veteran of missing STRs in RD (use </w:t>
      </w:r>
      <w:r w:rsidR="00811CE7" w:rsidRPr="00811CE7">
        <w:rPr>
          <w:rFonts w:ascii="Verdana" w:hAnsi="Verdana"/>
          <w:b/>
          <w:bCs/>
          <w:sz w:val="20"/>
          <w:highlight w:val="green"/>
        </w:rPr>
        <w:t>NO-STR</w:t>
      </w:r>
      <w:r w:rsidR="00811CE7">
        <w:rPr>
          <w:rFonts w:ascii="Arial" w:hAnsi="Arial"/>
          <w:sz w:val="20"/>
          <w:szCs w:val="20"/>
        </w:rPr>
        <w:t>)</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sz w:val="20"/>
          <w:szCs w:val="20"/>
        </w:rPr>
        <w:t xml:space="preserve">a DBQ was requested if there is </w:t>
      </w:r>
      <w:r w:rsidRPr="000B0DDA">
        <w:rPr>
          <w:rFonts w:ascii="Arial" w:hAnsi="Arial"/>
          <w:b/>
          <w:sz w:val="20"/>
          <w:szCs w:val="20"/>
        </w:rPr>
        <w:t>GW/SWA service</w:t>
      </w:r>
      <w:r w:rsidRPr="000B0DDA">
        <w:rPr>
          <w:rFonts w:ascii="Arial" w:hAnsi="Arial"/>
          <w:sz w:val="20"/>
          <w:szCs w:val="20"/>
        </w:rPr>
        <w:t xml:space="preserve"> &amp; we have a disability/symptoms under 3.317 </w:t>
      </w:r>
      <w:r w:rsidRPr="000B0DDA">
        <w:rPr>
          <w:rFonts w:ascii="Arial" w:hAnsi="Arial"/>
          <w:i/>
          <w:sz w:val="20"/>
          <w:szCs w:val="20"/>
        </w:rPr>
        <w:t>(see exceptions under IV.ii.1.E.2)</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b/>
          <w:sz w:val="20"/>
          <w:szCs w:val="20"/>
        </w:rPr>
        <w:t>POA</w:t>
      </w:r>
      <w:r w:rsidRPr="000B0DDA">
        <w:rPr>
          <w:rFonts w:ascii="Arial" w:hAnsi="Arial"/>
          <w:sz w:val="20"/>
          <w:szCs w:val="20"/>
        </w:rPr>
        <w:t xml:space="preserve"> is correct in VBMS </w:t>
      </w:r>
      <w:r w:rsidRPr="000B0DDA">
        <w:rPr>
          <w:rFonts w:ascii="Arial" w:hAnsi="Arial"/>
          <w:i/>
          <w:sz w:val="20"/>
          <w:szCs w:val="20"/>
        </w:rPr>
        <w:t>(box is checked)</w:t>
      </w:r>
      <w:r w:rsidRPr="000B0DDA">
        <w:rPr>
          <w:rFonts w:ascii="Arial" w:hAnsi="Arial"/>
          <w:sz w:val="20"/>
          <w:szCs w:val="20"/>
        </w:rPr>
        <w:t xml:space="preserve"> &amp; in VBMS-R</w:t>
      </w:r>
    </w:p>
    <w:p w:rsidR="000B0DDA" w:rsidRPr="000B0DDA" w:rsidRDefault="000B0DDA"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sz w:val="20"/>
          <w:szCs w:val="20"/>
        </w:rPr>
        <w:t xml:space="preserve">all identified </w:t>
      </w:r>
      <w:r w:rsidRPr="000B0DDA">
        <w:rPr>
          <w:rFonts w:ascii="Arial" w:hAnsi="Arial"/>
          <w:b/>
          <w:sz w:val="20"/>
          <w:szCs w:val="20"/>
        </w:rPr>
        <w:t xml:space="preserve">TRs </w:t>
      </w:r>
      <w:r w:rsidRPr="000B0DDA">
        <w:rPr>
          <w:rFonts w:ascii="Arial" w:hAnsi="Arial"/>
          <w:sz w:val="20"/>
          <w:szCs w:val="20"/>
        </w:rPr>
        <w:t>have been requested</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b/>
          <w:sz w:val="20"/>
          <w:szCs w:val="20"/>
        </w:rPr>
        <w:t>VATRs</w:t>
      </w:r>
      <w:r w:rsidRPr="000B0DDA">
        <w:rPr>
          <w:rFonts w:ascii="Arial" w:hAnsi="Arial"/>
          <w:sz w:val="20"/>
          <w:szCs w:val="20"/>
        </w:rPr>
        <w:t xml:space="preserve"> were reviewed, uploaded &amp; listed in Evidence</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sz w:val="20"/>
          <w:szCs w:val="20"/>
        </w:rPr>
        <w:t xml:space="preserve">if treated at </w:t>
      </w:r>
      <w:r w:rsidR="00AA7106" w:rsidRPr="000B0DDA">
        <w:rPr>
          <w:rFonts w:ascii="Arial" w:hAnsi="Arial"/>
          <w:sz w:val="20"/>
          <w:szCs w:val="20"/>
        </w:rPr>
        <w:t xml:space="preserve">a </w:t>
      </w:r>
      <w:r w:rsidRPr="000B0DDA">
        <w:rPr>
          <w:rFonts w:ascii="Arial" w:hAnsi="Arial"/>
          <w:b/>
          <w:sz w:val="20"/>
          <w:szCs w:val="20"/>
        </w:rPr>
        <w:t>MTF</w:t>
      </w:r>
      <w:r w:rsidRPr="000B0DDA">
        <w:rPr>
          <w:rFonts w:ascii="Arial" w:hAnsi="Arial"/>
          <w:sz w:val="20"/>
          <w:szCs w:val="20"/>
        </w:rPr>
        <w:t>, JLV was reviewed, uploaded &amp; listed in Evidence</w:t>
      </w:r>
    </w:p>
    <w:p w:rsidR="000B0DDA" w:rsidRPr="000B0DDA" w:rsidRDefault="000B0DDA"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b/>
          <w:sz w:val="20"/>
          <w:szCs w:val="20"/>
        </w:rPr>
        <w:t>Virtual VA Documents</w:t>
      </w:r>
      <w:r w:rsidRPr="000B0DDA">
        <w:rPr>
          <w:rFonts w:ascii="Arial" w:hAnsi="Arial"/>
          <w:sz w:val="20"/>
          <w:szCs w:val="20"/>
        </w:rPr>
        <w:t xml:space="preserve"> were reviewed</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i/>
          <w:sz w:val="20"/>
          <w:szCs w:val="20"/>
        </w:rPr>
      </w:pPr>
      <w:r w:rsidRPr="000B0DDA">
        <w:rPr>
          <w:rFonts w:ascii="Arial" w:hAnsi="Arial"/>
          <w:sz w:val="20"/>
          <w:szCs w:val="20"/>
        </w:rPr>
        <w:t xml:space="preserve">an earlier effective date is not warranted if it is an </w:t>
      </w:r>
      <w:r w:rsidR="000B0DDA" w:rsidRPr="000B0DDA">
        <w:rPr>
          <w:rFonts w:ascii="Arial" w:hAnsi="Arial"/>
          <w:b/>
          <w:sz w:val="20"/>
          <w:szCs w:val="20"/>
        </w:rPr>
        <w:t xml:space="preserve">original </w:t>
      </w:r>
      <w:r w:rsidRPr="000B0DDA">
        <w:rPr>
          <w:rFonts w:ascii="Arial" w:hAnsi="Arial"/>
          <w:b/>
          <w:sz w:val="20"/>
          <w:szCs w:val="20"/>
        </w:rPr>
        <w:t>FDC claim</w:t>
      </w:r>
      <w:r w:rsidR="000B0DDA" w:rsidRPr="000B0DDA">
        <w:rPr>
          <w:rFonts w:ascii="Arial" w:hAnsi="Arial"/>
          <w:b/>
          <w:sz w:val="20"/>
          <w:szCs w:val="20"/>
        </w:rPr>
        <w:t xml:space="preserve"> received 8/6/13-8/5/15</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i/>
          <w:sz w:val="20"/>
          <w:szCs w:val="20"/>
        </w:rPr>
      </w:pPr>
      <w:r w:rsidRPr="000B0DDA">
        <w:rPr>
          <w:rFonts w:ascii="Arial" w:hAnsi="Arial"/>
          <w:sz w:val="20"/>
          <w:szCs w:val="20"/>
        </w:rPr>
        <w:t xml:space="preserve">claim is on a </w:t>
      </w:r>
      <w:r w:rsidRPr="000B0DDA">
        <w:rPr>
          <w:rFonts w:ascii="Arial" w:hAnsi="Arial"/>
          <w:b/>
          <w:sz w:val="20"/>
          <w:szCs w:val="20"/>
        </w:rPr>
        <w:t xml:space="preserve">Standard </w:t>
      </w:r>
      <w:r w:rsidR="000B0DDA" w:rsidRPr="000B0DDA">
        <w:rPr>
          <w:rFonts w:ascii="Arial" w:hAnsi="Arial"/>
          <w:b/>
          <w:sz w:val="20"/>
          <w:szCs w:val="20"/>
        </w:rPr>
        <w:t>F</w:t>
      </w:r>
      <w:r w:rsidRPr="000B0DDA">
        <w:rPr>
          <w:rFonts w:ascii="Arial" w:hAnsi="Arial"/>
          <w:b/>
          <w:sz w:val="20"/>
          <w:szCs w:val="20"/>
        </w:rPr>
        <w:t>orm</w:t>
      </w:r>
      <w:r w:rsidRPr="000B0DDA">
        <w:rPr>
          <w:rFonts w:ascii="Arial" w:hAnsi="Arial"/>
          <w:sz w:val="20"/>
          <w:szCs w:val="20"/>
        </w:rPr>
        <w:t xml:space="preserve"> </w:t>
      </w:r>
      <w:r w:rsidRPr="000B0DDA">
        <w:rPr>
          <w:rFonts w:ascii="Arial" w:hAnsi="Arial"/>
          <w:i/>
          <w:sz w:val="20"/>
          <w:szCs w:val="20"/>
        </w:rPr>
        <w:t>(as of 3/24/15</w:t>
      </w:r>
      <w:r w:rsidR="000B0DDA" w:rsidRPr="000B0DDA">
        <w:rPr>
          <w:rFonts w:ascii="Arial" w:hAnsi="Arial"/>
          <w:i/>
          <w:sz w:val="20"/>
          <w:szCs w:val="20"/>
        </w:rPr>
        <w:t>, https://www.vapulse.net/thread/3622</w:t>
      </w:r>
      <w:r w:rsidRPr="000B0DDA">
        <w:rPr>
          <w:rFonts w:ascii="Arial" w:hAnsi="Arial"/>
          <w:i/>
          <w:sz w:val="20"/>
          <w:szCs w:val="20"/>
        </w:rPr>
        <w:t>)</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sz w:val="20"/>
          <w:szCs w:val="20"/>
        </w:rPr>
        <w:t xml:space="preserve">a </w:t>
      </w:r>
      <w:r w:rsidRPr="000B0DDA">
        <w:rPr>
          <w:rFonts w:ascii="Arial" w:hAnsi="Arial"/>
          <w:b/>
          <w:sz w:val="20"/>
          <w:szCs w:val="20"/>
        </w:rPr>
        <w:t xml:space="preserve">5103 </w:t>
      </w:r>
      <w:r w:rsidR="000B0DDA" w:rsidRPr="000B0DDA">
        <w:rPr>
          <w:rFonts w:ascii="Arial" w:hAnsi="Arial"/>
          <w:b/>
          <w:sz w:val="20"/>
          <w:szCs w:val="20"/>
        </w:rPr>
        <w:t>notice</w:t>
      </w:r>
      <w:r w:rsidRPr="000B0DDA">
        <w:rPr>
          <w:rFonts w:ascii="Arial" w:hAnsi="Arial"/>
          <w:sz w:val="20"/>
          <w:szCs w:val="20"/>
        </w:rPr>
        <w:t xml:space="preserve"> was sent if the claim was on a non-EZ form</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i/>
          <w:sz w:val="20"/>
          <w:szCs w:val="20"/>
        </w:rPr>
      </w:pPr>
      <w:r w:rsidRPr="000B0DDA">
        <w:rPr>
          <w:rFonts w:ascii="Arial" w:hAnsi="Arial"/>
          <w:sz w:val="20"/>
          <w:szCs w:val="20"/>
        </w:rPr>
        <w:t xml:space="preserve">the </w:t>
      </w:r>
      <w:r w:rsidRPr="000B0DDA">
        <w:rPr>
          <w:rFonts w:ascii="Arial" w:hAnsi="Arial"/>
          <w:b/>
          <w:sz w:val="20"/>
          <w:szCs w:val="20"/>
        </w:rPr>
        <w:t>initiated date</w:t>
      </w:r>
      <w:r w:rsidRPr="000B0DDA">
        <w:rPr>
          <w:rFonts w:ascii="Arial" w:hAnsi="Arial"/>
          <w:sz w:val="20"/>
          <w:szCs w:val="20"/>
        </w:rPr>
        <w:t xml:space="preserve"> on an electronic claim is not different than the date submitted </w:t>
      </w:r>
      <w:r w:rsidRPr="000B0DDA">
        <w:rPr>
          <w:rFonts w:ascii="Arial" w:hAnsi="Arial"/>
          <w:i/>
          <w:sz w:val="20"/>
          <w:szCs w:val="20"/>
        </w:rPr>
        <w:t>(these changed to EBN ITFs on 3/24/15)</w:t>
      </w:r>
    </w:p>
    <w:p w:rsidR="008822A0"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sz w:val="20"/>
          <w:szCs w:val="20"/>
        </w:rPr>
        <w:t xml:space="preserve">there is not an </w:t>
      </w:r>
      <w:r w:rsidRPr="000B0DDA">
        <w:rPr>
          <w:rFonts w:ascii="Arial" w:hAnsi="Arial"/>
          <w:b/>
          <w:sz w:val="20"/>
          <w:szCs w:val="20"/>
        </w:rPr>
        <w:t>associated ITF</w:t>
      </w:r>
      <w:r w:rsidRPr="000B0DDA">
        <w:rPr>
          <w:rFonts w:ascii="Arial" w:hAnsi="Arial"/>
          <w:sz w:val="20"/>
          <w:szCs w:val="20"/>
        </w:rPr>
        <w:t xml:space="preserve"> with a different date than the complete claim</w:t>
      </w:r>
    </w:p>
    <w:p w:rsidR="000B0DDA" w:rsidRPr="000B0DDA"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sz w:val="20"/>
          <w:szCs w:val="20"/>
        </w:rPr>
        <w:t xml:space="preserve">the appropriate </w:t>
      </w:r>
      <w:r w:rsidRPr="000B0DDA">
        <w:rPr>
          <w:rFonts w:ascii="Arial" w:hAnsi="Arial"/>
          <w:b/>
          <w:sz w:val="20"/>
          <w:szCs w:val="20"/>
        </w:rPr>
        <w:t>SNL/VBMS-R denial reasons &amp; rationales</w:t>
      </w:r>
      <w:r w:rsidRPr="000B0DDA">
        <w:rPr>
          <w:rFonts w:ascii="Arial" w:hAnsi="Arial"/>
          <w:sz w:val="20"/>
          <w:szCs w:val="20"/>
        </w:rPr>
        <w:t xml:space="preserve">, plus required </w:t>
      </w:r>
      <w:r w:rsidRPr="000B0DDA">
        <w:rPr>
          <w:rFonts w:ascii="Arial" w:hAnsi="Arial"/>
          <w:b/>
          <w:sz w:val="20"/>
          <w:szCs w:val="20"/>
        </w:rPr>
        <w:t>Free Text</w:t>
      </w:r>
      <w:r w:rsidRPr="000B0DDA">
        <w:rPr>
          <w:rFonts w:ascii="Arial" w:hAnsi="Arial"/>
          <w:sz w:val="20"/>
          <w:szCs w:val="20"/>
        </w:rPr>
        <w:t>,</w:t>
      </w:r>
      <w:r w:rsidR="000B0DDA" w:rsidRPr="000B0DDA">
        <w:rPr>
          <w:rFonts w:ascii="Arial" w:hAnsi="Arial"/>
          <w:sz w:val="20"/>
          <w:szCs w:val="20"/>
        </w:rPr>
        <w:t xml:space="preserve"> were used</w:t>
      </w:r>
    </w:p>
    <w:p w:rsidR="000B0DDA" w:rsidRPr="000B0DDA" w:rsidRDefault="000B0DDA"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szCs w:val="20"/>
        </w:rPr>
      </w:pPr>
      <w:r w:rsidRPr="000B0DDA">
        <w:rPr>
          <w:rFonts w:ascii="Arial" w:hAnsi="Arial"/>
          <w:b/>
          <w:sz w:val="20"/>
          <w:szCs w:val="20"/>
        </w:rPr>
        <w:t>Document Types</w:t>
      </w:r>
      <w:r w:rsidRPr="000B0DDA">
        <w:rPr>
          <w:rFonts w:ascii="Arial" w:hAnsi="Arial"/>
          <w:sz w:val="20"/>
          <w:szCs w:val="20"/>
        </w:rPr>
        <w:t xml:space="preserve"> are correct in VBMS (</w:t>
      </w:r>
      <w:r w:rsidRPr="000B0DDA">
        <w:rPr>
          <w:rFonts w:ascii="Arial" w:hAnsi="Arial"/>
          <w:i/>
          <w:sz w:val="20"/>
          <w:szCs w:val="20"/>
        </w:rPr>
        <w:t xml:space="preserve">see </w:t>
      </w:r>
      <w:hyperlink r:id="rId342" w:history="1">
        <w:r w:rsidRPr="000B0DDA">
          <w:rPr>
            <w:rStyle w:val="Hyperlink"/>
            <w:rFonts w:ascii="Arial" w:hAnsi="Arial"/>
            <w:b/>
            <w:bCs/>
            <w:i/>
            <w:sz w:val="20"/>
            <w:szCs w:val="20"/>
          </w:rPr>
          <w:t>Searchable Doc ID Guide</w:t>
        </w:r>
      </w:hyperlink>
      <w:r w:rsidRPr="000B0DDA">
        <w:rPr>
          <w:rFonts w:ascii="Arial" w:hAnsi="Arial"/>
          <w:i/>
          <w:sz w:val="20"/>
          <w:szCs w:val="20"/>
        </w:rPr>
        <w:t xml:space="preserve"> (as well as “eFolder Maintenance Plan</w:t>
      </w:r>
      <w:r w:rsidR="001946CC">
        <w:rPr>
          <w:rFonts w:ascii="Arial" w:hAnsi="Arial"/>
          <w:i/>
          <w:sz w:val="20"/>
          <w:szCs w:val="20"/>
        </w:rPr>
        <w:t>,”</w:t>
      </w:r>
      <w:r w:rsidRPr="000B0DDA">
        <w:rPr>
          <w:rFonts w:ascii="Arial" w:hAnsi="Arial"/>
          <w:i/>
          <w:sz w:val="20"/>
          <w:szCs w:val="20"/>
        </w:rPr>
        <w:t xml:space="preserve"> which can be found under the “eRO” button at </w:t>
      </w:r>
      <w:hyperlink r:id="rId343" w:history="1">
        <w:r w:rsidRPr="000B0DDA">
          <w:rPr>
            <w:rStyle w:val="Hyperlink"/>
            <w:rFonts w:ascii="Arial" w:hAnsi="Arial"/>
            <w:i/>
            <w:sz w:val="20"/>
            <w:szCs w:val="20"/>
          </w:rPr>
          <w:t>Compensation Service Transformation Initiative &amp; Pilot (TIP) Sheets</w:t>
        </w:r>
      </w:hyperlink>
      <w:r w:rsidRPr="000B0DDA">
        <w:rPr>
          <w:rStyle w:val="Hyperlink"/>
          <w:rFonts w:ascii="Arial" w:hAnsi="Arial"/>
          <w:i/>
          <w:color w:val="auto"/>
          <w:sz w:val="20"/>
          <w:szCs w:val="20"/>
          <w:u w:val="none"/>
        </w:rPr>
        <w:t>))</w:t>
      </w:r>
    </w:p>
    <w:p w:rsidR="000B0DDA" w:rsidRPr="000B0DDA" w:rsidRDefault="000B0DDA" w:rsidP="000B0DDA">
      <w:pPr>
        <w:spacing w:after="120" w:line="360" w:lineRule="auto"/>
        <w:contextualSpacing/>
      </w:pPr>
    </w:p>
    <w:p w:rsidR="008822A0" w:rsidRPr="008822A0" w:rsidRDefault="008822A0" w:rsidP="008822A0">
      <w:pPr>
        <w:spacing w:after="120" w:line="360" w:lineRule="auto"/>
        <w:rPr>
          <w:b/>
          <w:szCs w:val="22"/>
          <w:u w:val="single"/>
        </w:rPr>
      </w:pPr>
      <w:r w:rsidRPr="008822A0">
        <w:rPr>
          <w:b/>
          <w:szCs w:val="22"/>
          <w:u w:val="single"/>
        </w:rPr>
        <w:t>After given the go-ahead to finalize your rating, ensure that:</w:t>
      </w:r>
    </w:p>
    <w:p w:rsidR="008822A0" w:rsidRPr="008822A0" w:rsidRDefault="008822A0" w:rsidP="00F063AF">
      <w:pPr>
        <w:pStyle w:val="ListParagraph"/>
        <w:numPr>
          <w:ilvl w:val="0"/>
          <w:numId w:val="335"/>
        </w:numPr>
        <w:overflowPunct w:val="0"/>
        <w:autoSpaceDE w:val="0"/>
        <w:autoSpaceDN w:val="0"/>
        <w:adjustRightInd w:val="0"/>
        <w:spacing w:after="120" w:line="360" w:lineRule="auto"/>
        <w:ind w:left="360"/>
        <w:contextualSpacing/>
        <w:textAlignment w:val="baseline"/>
        <w:rPr>
          <w:rFonts w:ascii="Arial" w:hAnsi="Arial"/>
          <w:sz w:val="20"/>
        </w:rPr>
      </w:pPr>
      <w:r w:rsidRPr="008822A0">
        <w:rPr>
          <w:rFonts w:ascii="Arial" w:hAnsi="Arial"/>
          <w:sz w:val="20"/>
        </w:rPr>
        <w:t>the “Local Mentor Review” special issue is removed</w:t>
      </w:r>
    </w:p>
    <w:p w:rsidR="00BD2AE4" w:rsidRDefault="00BD2AE4">
      <w:pPr>
        <w:widowControl w:val="0"/>
        <w:pBdr>
          <w:top w:val="single" w:sz="4" w:space="1" w:color="auto"/>
        </w:pBdr>
        <w:tabs>
          <w:tab w:val="left" w:pos="0"/>
          <w:tab w:val="left" w:pos="144"/>
        </w:tabs>
        <w:outlineLvl w:val="0"/>
        <w:rPr>
          <w:b/>
          <w:i/>
          <w:sz w:val="22"/>
        </w:rPr>
      </w:pPr>
    </w:p>
    <w:p w:rsidR="00013EB8" w:rsidRDefault="00013EB8">
      <w:pPr>
        <w:widowControl w:val="0"/>
        <w:tabs>
          <w:tab w:val="left" w:pos="0"/>
          <w:tab w:val="left" w:pos="144"/>
        </w:tabs>
        <w:outlineLvl w:val="0"/>
        <w:rPr>
          <w:b/>
          <w:i/>
        </w:rPr>
      </w:pPr>
      <w:r>
        <w:rPr>
          <w:b/>
          <w:i/>
        </w:rPr>
        <w:t>MISC REFERENCES:</w:t>
      </w:r>
    </w:p>
    <w:p w:rsidR="00013EB8" w:rsidRDefault="00013EB8">
      <w:pPr>
        <w:widowControl w:val="0"/>
        <w:tabs>
          <w:tab w:val="left" w:pos="0"/>
          <w:tab w:val="left" w:pos="144"/>
        </w:tabs>
        <w:outlineLvl w:val="0"/>
        <w:rPr>
          <w:b/>
          <w:bCs/>
          <w:i/>
          <w:iCs/>
          <w:szCs w:val="24"/>
        </w:rPr>
      </w:pPr>
    </w:p>
    <w:p w:rsidR="00EB68B6" w:rsidRPr="003A602C" w:rsidRDefault="00A37104" w:rsidP="00E668C6">
      <w:pPr>
        <w:widowControl w:val="0"/>
        <w:tabs>
          <w:tab w:val="left" w:pos="0"/>
          <w:tab w:val="left" w:pos="144"/>
        </w:tabs>
        <w:outlineLvl w:val="0"/>
      </w:pPr>
      <w:r>
        <w:rPr>
          <w:b/>
          <w:i/>
        </w:rPr>
        <w:t xml:space="preserve">Hayes v. Brown </w:t>
      </w:r>
      <w:r w:rsidRPr="00484DB7">
        <w:t>(1993)</w:t>
      </w:r>
      <w:r>
        <w:t xml:space="preserve"> – M21 provisions can be the equivalent of regulations</w:t>
      </w:r>
    </w:p>
    <w:p w:rsidR="00E668C6" w:rsidRDefault="00E668C6">
      <w:pPr>
        <w:widowControl w:val="0"/>
        <w:tabs>
          <w:tab w:val="left" w:pos="0"/>
          <w:tab w:val="left" w:pos="144"/>
        </w:tabs>
        <w:outlineLvl w:val="0"/>
        <w:rPr>
          <w:b/>
          <w:i/>
          <w:sz w:val="22"/>
        </w:rPr>
      </w:pPr>
    </w:p>
    <w:p w:rsidR="00013EB8" w:rsidRDefault="00013EB8">
      <w:pPr>
        <w:widowControl w:val="0"/>
        <w:pBdr>
          <w:top w:val="single" w:sz="4" w:space="1" w:color="auto"/>
        </w:pBdr>
        <w:tabs>
          <w:tab w:val="left" w:pos="0"/>
          <w:tab w:val="left" w:pos="144"/>
        </w:tabs>
        <w:outlineLvl w:val="0"/>
        <w:rPr>
          <w:b/>
          <w:i/>
          <w:sz w:val="22"/>
        </w:rPr>
      </w:pPr>
    </w:p>
    <w:p w:rsidR="00013EB8" w:rsidRDefault="00013EB8">
      <w:pPr>
        <w:widowControl w:val="0"/>
        <w:pBdr>
          <w:top w:val="single" w:sz="4" w:space="1" w:color="auto"/>
        </w:pBdr>
        <w:rPr>
          <w:b/>
          <w:u w:val="single"/>
        </w:rPr>
      </w:pPr>
      <w:r>
        <w:rPr>
          <w:b/>
          <w:u w:val="single"/>
        </w:rPr>
        <w:t>Rating Manual References</w:t>
      </w:r>
    </w:p>
    <w:p w:rsidR="00013EB8" w:rsidRDefault="00013EB8">
      <w:pPr>
        <w:widowControl w:val="0"/>
        <w:rPr>
          <w:b/>
          <w:bCs/>
        </w:rPr>
      </w:pPr>
    </w:p>
    <w:p w:rsidR="00013EB8" w:rsidRDefault="007C3EA9">
      <w:pPr>
        <w:widowControl w:val="0"/>
      </w:pPr>
      <w:r w:rsidRPr="00BA78B4">
        <w:rPr>
          <w:b/>
          <w:bCs/>
        </w:rPr>
        <w:t>III.iv.6.B</w:t>
      </w:r>
      <w:r w:rsidR="00013EB8" w:rsidRPr="002911EB">
        <w:rPr>
          <w:b/>
          <w:bCs/>
        </w:rPr>
        <w:t>,</w:t>
      </w:r>
      <w:r w:rsidR="002911EB" w:rsidRPr="002911EB">
        <w:rPr>
          <w:rStyle w:val="id-mask"/>
          <w:b/>
        </w:rPr>
        <w:t xml:space="preserve"> </w:t>
      </w:r>
      <w:r w:rsidR="002911EB" w:rsidRPr="00BA78B4">
        <w:rPr>
          <w:b/>
        </w:rPr>
        <w:t>IV.ii.2.A</w:t>
      </w:r>
      <w:r w:rsidR="00013EB8">
        <w:t xml:space="preserve"> - decide all claims, </w:t>
      </w:r>
      <w:hyperlink w:anchor="SolicitClarify" w:history="1">
        <w:r w:rsidR="00FC782A" w:rsidRPr="00FC782A">
          <w:t xml:space="preserve"> </w:t>
        </w:r>
        <w:r w:rsidR="00FC782A" w:rsidRPr="00FC782A">
          <w:rPr>
            <w:rStyle w:val="Hyperlink"/>
            <w:i/>
            <w:iCs/>
          </w:rPr>
          <w:t>clarify</w:t>
        </w:r>
      </w:hyperlink>
      <w:r w:rsidR="00013EB8">
        <w:rPr>
          <w:i/>
          <w:iCs/>
        </w:rPr>
        <w:t xml:space="preserve"> </w:t>
      </w:r>
      <w:r w:rsidR="00013EB8">
        <w:t>claims</w:t>
      </w:r>
    </w:p>
    <w:p w:rsidR="00013EB8" w:rsidRDefault="00013EB8">
      <w:pPr>
        <w:widowControl w:val="0"/>
      </w:pPr>
    </w:p>
    <w:p w:rsidR="00013EB8" w:rsidRDefault="00B3116D">
      <w:pPr>
        <w:widowControl w:val="0"/>
      </w:pPr>
      <w:r w:rsidRPr="00BA78B4">
        <w:rPr>
          <w:b/>
          <w:bCs/>
        </w:rPr>
        <w:t>III.iv.6.C</w:t>
      </w:r>
      <w:r w:rsidR="00013EB8">
        <w:t xml:space="preserve"> - explain eval criteria &amp; next higher, explain how military noise exposure is conceded (i.e. job duties related to MOS) as in-service event that supports the grant of service connection needs to be discussed</w:t>
      </w:r>
    </w:p>
    <w:p w:rsidR="00393C23" w:rsidRDefault="00393C23">
      <w:pPr>
        <w:widowControl w:val="0"/>
      </w:pPr>
    </w:p>
    <w:p w:rsidR="00393C23" w:rsidRDefault="00313BDA">
      <w:pPr>
        <w:widowControl w:val="0"/>
      </w:pPr>
      <w:r>
        <w:rPr>
          <w:b/>
        </w:rPr>
        <w:t>III.vi.1.A.1.g</w:t>
      </w:r>
      <w:r w:rsidR="00393C23">
        <w:t xml:space="preserve"> – advisory opinions, VACO, Policy Staff</w:t>
      </w:r>
    </w:p>
    <w:p w:rsidR="00013EB8" w:rsidRDefault="00013EB8">
      <w:pPr>
        <w:pStyle w:val="Footer"/>
        <w:widowControl w:val="0"/>
        <w:tabs>
          <w:tab w:val="clear" w:pos="4320"/>
          <w:tab w:val="clear" w:pos="8640"/>
        </w:tabs>
        <w:rPr>
          <w:b/>
          <w:i/>
        </w:rPr>
      </w:pPr>
    </w:p>
    <w:p w:rsidR="00013EB8" w:rsidRDefault="00013EB8">
      <w:pPr>
        <w:pStyle w:val="Footer"/>
        <w:widowControl w:val="0"/>
        <w:pBdr>
          <w:top w:val="single" w:sz="4" w:space="1" w:color="auto"/>
        </w:pBdr>
        <w:tabs>
          <w:tab w:val="clear" w:pos="4320"/>
          <w:tab w:val="clear" w:pos="8640"/>
        </w:tabs>
        <w:rPr>
          <w:b/>
          <w:i/>
        </w:rPr>
      </w:pPr>
    </w:p>
    <w:tbl>
      <w:tblPr>
        <w:tblW w:w="10875" w:type="dxa"/>
        <w:tblInd w:w="-45" w:type="dxa"/>
        <w:tblLayout w:type="fixed"/>
        <w:tblCellMar>
          <w:left w:w="30" w:type="dxa"/>
          <w:right w:w="30" w:type="dxa"/>
        </w:tblCellMar>
        <w:tblLook w:val="0000" w:firstRow="0" w:lastRow="0" w:firstColumn="0" w:lastColumn="0" w:noHBand="0" w:noVBand="0"/>
      </w:tblPr>
      <w:tblGrid>
        <w:gridCol w:w="705"/>
        <w:gridCol w:w="10170"/>
      </w:tblGrid>
      <w:tr w:rsidR="00013EB8" w:rsidTr="00ED7CB0">
        <w:tc>
          <w:tcPr>
            <w:tcW w:w="705" w:type="dxa"/>
            <w:tcBorders>
              <w:top w:val="nil"/>
              <w:left w:val="nil"/>
              <w:bottom w:val="nil"/>
              <w:right w:val="nil"/>
            </w:tcBorders>
          </w:tcPr>
          <w:p w:rsidR="00013EB8" w:rsidRDefault="00013EB8">
            <w:pPr>
              <w:widowControl w:val="0"/>
              <w:numPr>
                <w:ilvl w:val="12"/>
                <w:numId w:val="0"/>
              </w:numPr>
              <w:rPr>
                <w:b/>
              </w:rPr>
            </w:pPr>
            <w:r w:rsidRPr="00F673C9">
              <w:rPr>
                <w:b/>
              </w:rPr>
              <w:t>3.383</w:t>
            </w:r>
          </w:p>
        </w:tc>
        <w:tc>
          <w:tcPr>
            <w:tcW w:w="10170" w:type="dxa"/>
            <w:tcBorders>
              <w:top w:val="nil"/>
              <w:left w:val="nil"/>
              <w:bottom w:val="nil"/>
              <w:right w:val="nil"/>
            </w:tcBorders>
          </w:tcPr>
          <w:p w:rsidR="00013EB8" w:rsidRDefault="00013EB8" w:rsidP="00853C4D">
            <w:pPr>
              <w:widowControl w:val="0"/>
              <w:numPr>
                <w:ilvl w:val="12"/>
                <w:numId w:val="0"/>
              </w:numPr>
            </w:pPr>
            <w:r>
              <w:rPr>
                <w:b/>
              </w:rPr>
              <w:t xml:space="preserve">Special consideration for paired organs and extremities </w:t>
            </w:r>
            <w:r>
              <w:t>–</w:t>
            </w:r>
            <w:r w:rsidR="00896C74">
              <w:t xml:space="preserve"> </w:t>
            </w:r>
            <w:r w:rsidR="00896C74" w:rsidRPr="00896C74">
              <w:rPr>
                <w:b/>
              </w:rPr>
              <w:t>IV.ii.</w:t>
            </w:r>
            <w:r w:rsidR="00B41932">
              <w:rPr>
                <w:b/>
              </w:rPr>
              <w:t>2.K.1, IV.ii.</w:t>
            </w:r>
            <w:r w:rsidR="00896C74" w:rsidRPr="00896C74">
              <w:rPr>
                <w:b/>
              </w:rPr>
              <w:t>3.C</w:t>
            </w:r>
            <w:r w:rsidR="00896C74">
              <w:t>;</w:t>
            </w:r>
            <w:r>
              <w:t xml:space="preserve"> </w:t>
            </w:r>
            <w:r>
              <w:rPr>
                <w:i/>
              </w:rPr>
              <w:t>if SC blind in 1 eye, pay the other NSC eye as SC (eff 8/28/62) OR 20/200 or less bilaterally OR constricted to 20 degrees bilaterally (both eff 12/26/07); if SC 10% for HL in 1 ear, pay the other NSC ear (at least 0%) as SC (total deafness eff 12/1/65 &amp; 10%-0% eff 12/6/02); loss/LOU one kidney, pay the other NSC kidney “involvement” as SC (eff 8/28/62 for “severe involvement” &amp; 10/28/86 for “any involvement”); loss/LOU one hand/foot, pay the other loss/LOU hand/foot as SC (eff 12/28/86, SMC entitlement 10/1/78 to 10/27/86); permanent 50% for one lung, pay other lung disability as SC (eff 10/28/86)</w:t>
            </w:r>
          </w:p>
        </w:tc>
      </w:tr>
    </w:tbl>
    <w:p w:rsidR="00013EB8" w:rsidRDefault="00013EB8">
      <w:pPr>
        <w:widowControl w:val="0"/>
        <w:tabs>
          <w:tab w:val="left" w:pos="0"/>
          <w:tab w:val="left" w:pos="144"/>
        </w:tabs>
        <w:outlineLvl w:val="0"/>
        <w:rPr>
          <w:b/>
          <w:i/>
          <w:sz w:val="22"/>
        </w:rPr>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F673C9">
              <w:rPr>
                <w:b/>
              </w:rPr>
              <w:t>3.700</w:t>
            </w:r>
          </w:p>
        </w:tc>
        <w:tc>
          <w:tcPr>
            <w:tcW w:w="10170" w:type="dxa"/>
            <w:tcBorders>
              <w:top w:val="nil"/>
              <w:left w:val="nil"/>
              <w:bottom w:val="nil"/>
              <w:right w:val="nil"/>
            </w:tcBorders>
          </w:tcPr>
          <w:p w:rsidR="00013EB8" w:rsidRDefault="00EA64D3">
            <w:pPr>
              <w:widowControl w:val="0"/>
              <w:rPr>
                <w:b/>
              </w:rPr>
            </w:pPr>
            <w:r>
              <w:rPr>
                <w:b/>
              </w:rPr>
              <w:t>General</w:t>
            </w:r>
          </w:p>
        </w:tc>
      </w:tr>
    </w:tbl>
    <w:p w:rsidR="00013EB8" w:rsidRDefault="00013EB8">
      <w:pPr>
        <w:widowControl w:val="0"/>
        <w:tabs>
          <w:tab w:val="left" w:pos="0"/>
          <w:tab w:val="left" w:pos="144"/>
        </w:tabs>
        <w:outlineLvl w:val="0"/>
        <w:rPr>
          <w:b/>
          <w:i/>
          <w:sz w:val="22"/>
        </w:rPr>
      </w:pPr>
    </w:p>
    <w:tbl>
      <w:tblPr>
        <w:tblW w:w="0" w:type="auto"/>
        <w:tblInd w:w="-45" w:type="dxa"/>
        <w:tblLayout w:type="fixed"/>
        <w:tblCellMar>
          <w:left w:w="30" w:type="dxa"/>
          <w:right w:w="30" w:type="dxa"/>
        </w:tblCellMar>
        <w:tblLook w:val="0000" w:firstRow="0" w:lastRow="0" w:firstColumn="0" w:lastColumn="0" w:noHBand="0" w:noVBand="0"/>
      </w:tblPr>
      <w:tblGrid>
        <w:gridCol w:w="684"/>
        <w:gridCol w:w="10191"/>
      </w:tblGrid>
      <w:tr w:rsidR="00013EB8">
        <w:trPr>
          <w:trHeight w:val="225"/>
        </w:trPr>
        <w:tc>
          <w:tcPr>
            <w:tcW w:w="684" w:type="dxa"/>
            <w:tcBorders>
              <w:top w:val="nil"/>
              <w:left w:val="nil"/>
              <w:bottom w:val="nil"/>
              <w:right w:val="nil"/>
            </w:tcBorders>
          </w:tcPr>
          <w:p w:rsidR="00013EB8" w:rsidRDefault="00013EB8">
            <w:pPr>
              <w:widowControl w:val="0"/>
              <w:numPr>
                <w:ilvl w:val="12"/>
                <w:numId w:val="0"/>
              </w:numPr>
              <w:rPr>
                <w:b/>
              </w:rPr>
            </w:pPr>
            <w:r w:rsidRPr="00F673C9">
              <w:rPr>
                <w:b/>
              </w:rPr>
              <w:t>4.23</w:t>
            </w:r>
          </w:p>
        </w:tc>
        <w:tc>
          <w:tcPr>
            <w:tcW w:w="10191" w:type="dxa"/>
            <w:tcBorders>
              <w:top w:val="nil"/>
              <w:left w:val="nil"/>
              <w:bottom w:val="nil"/>
              <w:right w:val="nil"/>
            </w:tcBorders>
          </w:tcPr>
          <w:p w:rsidR="00013EB8" w:rsidRDefault="00013EB8">
            <w:pPr>
              <w:widowControl w:val="0"/>
              <w:numPr>
                <w:ilvl w:val="12"/>
                <w:numId w:val="0"/>
              </w:numPr>
            </w:pPr>
            <w:r>
              <w:rPr>
                <w:b/>
              </w:rPr>
              <w:t xml:space="preserve">Attitude of rating officers </w:t>
            </w:r>
            <w:r>
              <w:t>– no personal feelings, even if claimant is antagonistic, critical, or abusive; be fair and courteous</w:t>
            </w:r>
          </w:p>
          <w:p w:rsidR="00013EB8" w:rsidRDefault="00013EB8" w:rsidP="00691877">
            <w:pPr>
              <w:widowControl w:val="0"/>
              <w:numPr>
                <w:ilvl w:val="0"/>
                <w:numId w:val="1"/>
              </w:numPr>
              <w:rPr>
                <w:b/>
              </w:rPr>
            </w:pPr>
            <w:r>
              <w:rPr>
                <w:b/>
                <w:i/>
              </w:rPr>
              <w:t xml:space="preserve">Bielby v. Brown </w:t>
            </w:r>
            <w:r>
              <w:rPr>
                <w:b/>
              </w:rPr>
              <w:t>(</w:t>
            </w:r>
            <w:r w:rsidR="00032E30">
              <w:rPr>
                <w:b/>
              </w:rPr>
              <w:t>19</w:t>
            </w:r>
            <w:r>
              <w:rPr>
                <w:b/>
              </w:rPr>
              <w:t>94)</w:t>
            </w:r>
            <w:r>
              <w:t xml:space="preserve"> – be impartial, unbiased and neutral when asking questions</w:t>
            </w:r>
          </w:p>
        </w:tc>
      </w:tr>
    </w:tbl>
    <w:p w:rsidR="00013EB8" w:rsidRDefault="00013EB8">
      <w:pPr>
        <w:widowControl w:val="0"/>
        <w:numPr>
          <w:ilvl w:val="12"/>
          <w:numId w:val="0"/>
        </w:numPr>
        <w:rPr>
          <w:b/>
        </w:rPr>
      </w:pPr>
    </w:p>
    <w:p w:rsidR="00013EB8" w:rsidRDefault="00013EB8">
      <w:pPr>
        <w:widowControl w:val="0"/>
        <w:numPr>
          <w:ilvl w:val="12"/>
          <w:numId w:val="0"/>
        </w:numPr>
        <w:pBdr>
          <w:top w:val="single" w:sz="4" w:space="1" w:color="auto"/>
        </w:pBdr>
        <w:rPr>
          <w:b/>
        </w:rPr>
      </w:pPr>
    </w:p>
    <w:p w:rsidR="00013EB8" w:rsidRDefault="00013EB8">
      <w:pPr>
        <w:widowControl w:val="0"/>
        <w:rPr>
          <w:i/>
          <w:iCs/>
          <w:sz w:val="18"/>
        </w:rPr>
      </w:pPr>
      <w:r>
        <w:rPr>
          <w:b/>
          <w:u w:val="single"/>
        </w:rPr>
        <w:t>Historic Rating Codes</w:t>
      </w:r>
    </w:p>
    <w:p w:rsidR="00013EB8" w:rsidRDefault="00013EB8">
      <w:pPr>
        <w:widowControl w:val="0"/>
        <w:numPr>
          <w:ilvl w:val="12"/>
          <w:numId w:val="0"/>
        </w:numPr>
      </w:pPr>
      <w:r>
        <w:t>1. SC Grant</w:t>
      </w:r>
    </w:p>
    <w:p w:rsidR="00013EB8" w:rsidRDefault="00013EB8">
      <w:pPr>
        <w:pStyle w:val="Header"/>
        <w:widowControl w:val="0"/>
        <w:numPr>
          <w:ilvl w:val="12"/>
          <w:numId w:val="0"/>
        </w:numPr>
        <w:tabs>
          <w:tab w:val="clear" w:pos="4320"/>
          <w:tab w:val="clear" w:pos="8640"/>
        </w:tabs>
      </w:pPr>
      <w:r>
        <w:t>2. P&amp;T Grant</w:t>
      </w:r>
    </w:p>
    <w:p w:rsidR="00013EB8" w:rsidRDefault="00013EB8">
      <w:pPr>
        <w:widowControl w:val="0"/>
        <w:numPr>
          <w:ilvl w:val="12"/>
          <w:numId w:val="0"/>
        </w:numPr>
      </w:pPr>
      <w:r>
        <w:t>8. NSC/Denial</w:t>
      </w:r>
    </w:p>
    <w:p w:rsidR="00013EB8" w:rsidRDefault="00013EB8">
      <w:pPr>
        <w:pStyle w:val="Header"/>
        <w:widowControl w:val="0"/>
        <w:numPr>
          <w:ilvl w:val="12"/>
          <w:numId w:val="0"/>
        </w:numPr>
        <w:tabs>
          <w:tab w:val="clear" w:pos="4320"/>
          <w:tab w:val="clear" w:pos="8640"/>
        </w:tabs>
      </w:pPr>
      <w:r>
        <w:t>9. P&amp;T Denial</w:t>
      </w:r>
    </w:p>
    <w:p w:rsidR="00013EB8" w:rsidRPr="00573C26" w:rsidRDefault="00013EB8">
      <w:pPr>
        <w:widowControl w:val="0"/>
        <w:numPr>
          <w:ilvl w:val="12"/>
          <w:numId w:val="0"/>
        </w:numPr>
        <w:rPr>
          <w:b/>
          <w:i/>
          <w:iCs/>
        </w:rPr>
      </w:pPr>
      <w:r>
        <w:rPr>
          <w:i/>
          <w:iCs/>
        </w:rPr>
        <w:t>*details and more codes can be found at</w:t>
      </w:r>
      <w:r w:rsidR="00573C26">
        <w:rPr>
          <w:i/>
          <w:iCs/>
        </w:rPr>
        <w:t xml:space="preserve"> </w:t>
      </w:r>
      <w:hyperlink r:id="rId344" w:history="1">
        <w:r w:rsidR="00573C26" w:rsidRPr="00573C26">
          <w:rPr>
            <w:rStyle w:val="Hyperlink"/>
            <w:b/>
            <w:i/>
            <w:iCs/>
          </w:rPr>
          <w:t>M21-1,</w:t>
        </w:r>
        <w:r w:rsidRPr="00573C26">
          <w:rPr>
            <w:rStyle w:val="Hyperlink"/>
            <w:b/>
            <w:i/>
            <w:iCs/>
          </w:rPr>
          <w:t xml:space="preserve"> </w:t>
        </w:r>
        <w:r w:rsidR="00895E95" w:rsidRPr="00573C26">
          <w:rPr>
            <w:rStyle w:val="Hyperlink"/>
            <w:b/>
            <w:bCs/>
            <w:i/>
            <w:iCs/>
          </w:rPr>
          <w:t>Appendix A</w:t>
        </w:r>
      </w:hyperlink>
    </w:p>
    <w:p w:rsidR="00013EB8" w:rsidRDefault="00013EB8">
      <w:pPr>
        <w:widowControl w:val="0"/>
        <w:numPr>
          <w:ilvl w:val="12"/>
          <w:numId w:val="0"/>
        </w:numPr>
      </w:pPr>
    </w:p>
    <w:p w:rsidR="00013EB8" w:rsidRDefault="00013EB8">
      <w:pPr>
        <w:widowControl w:val="0"/>
        <w:numPr>
          <w:ilvl w:val="12"/>
          <w:numId w:val="0"/>
        </w:numPr>
      </w:pPr>
      <w:r>
        <w:t>Extension 2-A is about prolonged exacerbations of service-connected disabilities requiring hospital treatment.</w:t>
      </w:r>
    </w:p>
    <w:p w:rsidR="00013EB8" w:rsidRDefault="00013EB8">
      <w:pPr>
        <w:widowControl w:val="0"/>
        <w:numPr>
          <w:ilvl w:val="12"/>
          <w:numId w:val="0"/>
        </w:numPr>
      </w:pPr>
      <w:r>
        <w:t>Extension 7 is a change to multiple diagnostic codes including osteomyelitis.</w:t>
      </w:r>
    </w:p>
    <w:p w:rsidR="005A6FFB" w:rsidRDefault="005A6FFB" w:rsidP="005A6FFB">
      <w:pPr>
        <w:rPr>
          <w:rFonts w:ascii="Tahoma" w:hAnsi="Tahoma" w:cs="Tahoma"/>
          <w:b/>
          <w:bCs/>
        </w:rPr>
      </w:pPr>
    </w:p>
    <w:p w:rsidR="00E54279" w:rsidRPr="00E54279" w:rsidRDefault="00E54279" w:rsidP="005A6FFB">
      <w:pPr>
        <w:rPr>
          <w:bCs/>
          <w:i/>
          <w:color w:val="00B050"/>
        </w:rPr>
      </w:pPr>
      <w:r w:rsidRPr="00E54279">
        <w:rPr>
          <w:bCs/>
          <w:i/>
          <w:color w:val="00B050"/>
        </w:rPr>
        <w:t xml:space="preserve">My Notes:  </w:t>
      </w:r>
      <w:r w:rsidRPr="00E54279">
        <w:rPr>
          <w:bCs/>
          <w:i/>
        </w:rPr>
        <w:t>Ensure the Master Record (backfill) is correct &amp; double-check that older ratings were completely backfilled.</w:t>
      </w:r>
    </w:p>
    <w:p w:rsidR="00E54279" w:rsidRDefault="00E54279" w:rsidP="005A6FFB">
      <w:pPr>
        <w:rPr>
          <w:rFonts w:ascii="Tahoma" w:hAnsi="Tahoma" w:cs="Tahoma"/>
          <w:b/>
          <w:bCs/>
        </w:rPr>
      </w:pPr>
    </w:p>
    <w:p w:rsidR="005A6FFB" w:rsidRDefault="005A6FFB" w:rsidP="005A6FFB">
      <w:pPr>
        <w:pBdr>
          <w:top w:val="single" w:sz="4" w:space="1" w:color="auto"/>
        </w:pBdr>
        <w:rPr>
          <w:rFonts w:ascii="Tahoma" w:hAnsi="Tahoma" w:cs="Tahoma"/>
          <w:b/>
          <w:bCs/>
        </w:rPr>
      </w:pPr>
    </w:p>
    <w:p w:rsidR="005A6FFB" w:rsidRPr="00F929A7" w:rsidRDefault="005A6FFB" w:rsidP="005A6FFB">
      <w:pPr>
        <w:pBdr>
          <w:top w:val="single" w:sz="4" w:space="1" w:color="auto"/>
        </w:pBdr>
      </w:pPr>
      <w:r w:rsidRPr="00F929A7">
        <w:rPr>
          <w:b/>
          <w:bCs/>
        </w:rPr>
        <w:t>From:</w:t>
      </w:r>
      <w:r w:rsidRPr="00F929A7">
        <w:t xml:space="preserve"> VAVBASDC/RO/VSC </w:t>
      </w:r>
      <w:r w:rsidRPr="00F929A7">
        <w:br/>
      </w:r>
      <w:r w:rsidRPr="00F929A7">
        <w:rPr>
          <w:b/>
          <w:bCs/>
        </w:rPr>
        <w:t>Sent:</w:t>
      </w:r>
      <w:r w:rsidRPr="00F929A7">
        <w:t xml:space="preserve"> Thursday, March 22, 2018 3:56 PM</w:t>
      </w:r>
      <w:r w:rsidRPr="00F929A7">
        <w:br/>
      </w:r>
      <w:r w:rsidRPr="00F929A7">
        <w:rPr>
          <w:b/>
          <w:bCs/>
        </w:rPr>
        <w:t>Subject:</w:t>
      </w:r>
      <w:r w:rsidRPr="00F929A7">
        <w:t xml:space="preserve"> Backfill Ratings</w:t>
      </w:r>
    </w:p>
    <w:p w:rsidR="005A6FFB" w:rsidRPr="00F929A7" w:rsidRDefault="005A6FFB" w:rsidP="005A6FFB">
      <w:pPr>
        <w:rPr>
          <w:rFonts w:eastAsiaTheme="minorHAnsi"/>
        </w:rPr>
      </w:pPr>
    </w:p>
    <w:p w:rsidR="005A6FFB" w:rsidRPr="00F929A7" w:rsidRDefault="005A6FFB" w:rsidP="005A6FFB">
      <w:pPr>
        <w:rPr>
          <w:color w:val="1F497D"/>
        </w:rPr>
      </w:pPr>
      <w:r w:rsidRPr="00F929A7">
        <w:rPr>
          <w:color w:val="1F497D"/>
        </w:rPr>
        <w:t>Good afternoon,</w:t>
      </w:r>
    </w:p>
    <w:p w:rsidR="005A6FFB" w:rsidRPr="00F929A7" w:rsidRDefault="005A6FFB" w:rsidP="005A6FFB">
      <w:pPr>
        <w:rPr>
          <w:color w:val="1F497D"/>
        </w:rPr>
      </w:pPr>
      <w:r w:rsidRPr="00F929A7">
        <w:rPr>
          <w:color w:val="1F497D"/>
        </w:rPr>
        <w:t>Please see the below guidance regarding when the rating activity must complete a record-purpose (or “backfill”) rating decision.</w:t>
      </w:r>
    </w:p>
    <w:p w:rsidR="005A6FFB" w:rsidRPr="00F929A7" w:rsidRDefault="005A6FFB" w:rsidP="005A6FFB">
      <w:pPr>
        <w:rPr>
          <w:color w:val="1F497D"/>
        </w:rPr>
      </w:pPr>
      <w:r w:rsidRPr="00F929A7">
        <w:rPr>
          <w:color w:val="1F497D"/>
        </w:rPr>
        <w:t>Please contact your superv</w:t>
      </w:r>
      <w:r w:rsidR="008F1ACE">
        <w:rPr>
          <w:color w:val="1F497D"/>
        </w:rPr>
        <w:t>isor if you have any questions.</w:t>
      </w:r>
    </w:p>
    <w:p w:rsidR="005A6FFB" w:rsidRPr="00F929A7" w:rsidRDefault="005A6FFB" w:rsidP="005A6FFB">
      <w:pPr>
        <w:rPr>
          <w:color w:val="1F497D"/>
        </w:rPr>
      </w:pPr>
    </w:p>
    <w:p w:rsidR="005A6FFB" w:rsidRPr="00F929A7" w:rsidRDefault="005A6FFB" w:rsidP="005A6FFB">
      <w:r w:rsidRPr="00F929A7">
        <w:rPr>
          <w:b/>
          <w:bCs/>
        </w:rPr>
        <w:t>Subject:</w:t>
      </w:r>
      <w:r w:rsidRPr="00F929A7">
        <w:t xml:space="preserve"> FW: Guidance to the Field - Backfill Ratings</w:t>
      </w:r>
    </w:p>
    <w:p w:rsidR="005A6FFB" w:rsidRPr="00F929A7" w:rsidRDefault="005A6FFB" w:rsidP="005A6FFB"/>
    <w:p w:rsidR="005A6FFB" w:rsidRPr="00F929A7" w:rsidRDefault="005A6FFB" w:rsidP="005A6FFB">
      <w:r w:rsidRPr="00F929A7">
        <w:t>March 21, 2018</w:t>
      </w:r>
    </w:p>
    <w:p w:rsidR="005A6FFB" w:rsidRPr="00F929A7" w:rsidRDefault="005A6FFB" w:rsidP="005A6FFB"/>
    <w:p w:rsidR="005A6FFB" w:rsidRPr="00F929A7" w:rsidRDefault="005A6FFB" w:rsidP="005A6FFB">
      <w:r w:rsidRPr="00F929A7">
        <w:t>Directors (00)</w:t>
      </w:r>
    </w:p>
    <w:p w:rsidR="005A6FFB" w:rsidRPr="00F929A7" w:rsidRDefault="005A6FFB" w:rsidP="005A6FFB">
      <w:r w:rsidRPr="00F929A7">
        <w:t>Pacific District Regional Offices</w:t>
      </w:r>
      <w:r w:rsidRPr="00F929A7">
        <w:br/>
      </w:r>
      <w:r w:rsidRPr="00F929A7">
        <w:br/>
        <w:t>Good morning,</w:t>
      </w:r>
    </w:p>
    <w:p w:rsidR="005A6FFB" w:rsidRPr="00F929A7" w:rsidRDefault="005A6FFB" w:rsidP="005A6FFB"/>
    <w:p w:rsidR="005A6FFB" w:rsidRPr="00F929A7" w:rsidRDefault="005A6FFB" w:rsidP="005A6FFB">
      <w:pPr>
        <w:rPr>
          <w:color w:val="000000"/>
        </w:rPr>
      </w:pPr>
      <w:r w:rsidRPr="00F929A7">
        <w:t xml:space="preserve">At a recent off-cycle Exam Liaison call, matters pertaining to the challenges being faced in utilizing the new Exam Management System (EMS) for ordering of Compensation and Pension (C&amp;P) exams were discussed. One of the most talked about issues was the question of utilizing “backfill ratings”. This is a situation wherein rating decisions which may be housed in a legacy system such as BDN are unable to be utilized by EMS for ordering purposes, and therefore a decision must be created in VBMS that is useable. The following guidance is given on this topic, please ensure this information is distributed promptly: </w:t>
      </w:r>
      <w:r w:rsidRPr="00F929A7">
        <w:br/>
      </w:r>
      <w:r w:rsidRPr="00F929A7">
        <w:br/>
      </w:r>
      <w:r w:rsidRPr="00F929A7">
        <w:rPr>
          <w:color w:val="000000"/>
        </w:rPr>
        <w:t xml:space="preserve">The rating activity must complete a record-purpose (or “backfill”) rating decision when deemed necessary by the development or authorization activity in order to update corporate record data. The outcome of such decision should not be communicated to the beneficiary, as is discussed in M21-1, Part III, Subpart v, 2.B.1.p.  </w:t>
      </w:r>
    </w:p>
    <w:p w:rsidR="005A6FFB" w:rsidRPr="00F929A7" w:rsidRDefault="005A6FFB" w:rsidP="005A6FFB">
      <w:pPr>
        <w:rPr>
          <w:color w:val="000000"/>
        </w:rPr>
      </w:pPr>
    </w:p>
    <w:p w:rsidR="005A6FFB" w:rsidRPr="00F929A7" w:rsidRDefault="005A6FFB" w:rsidP="005A6FFB">
      <w:pPr>
        <w:rPr>
          <w:color w:val="000000"/>
        </w:rPr>
      </w:pPr>
      <w:r w:rsidRPr="00F929A7">
        <w:rPr>
          <w:color w:val="000000"/>
        </w:rPr>
        <w:t xml:space="preserve">One example of a situation where this would be needed is as follows:  </w:t>
      </w:r>
    </w:p>
    <w:p w:rsidR="005A6FFB" w:rsidRPr="00F929A7" w:rsidRDefault="005A6FFB" w:rsidP="005A6FFB">
      <w:pPr>
        <w:rPr>
          <w:color w:val="000000"/>
        </w:rPr>
      </w:pPr>
    </w:p>
    <w:p w:rsidR="005A6FFB" w:rsidRPr="00F929A7" w:rsidRDefault="005A6FFB" w:rsidP="005A6FFB">
      <w:pPr>
        <w:rPr>
          <w:color w:val="000000"/>
        </w:rPr>
      </w:pPr>
      <w:r w:rsidRPr="00F929A7">
        <w:rPr>
          <w:color w:val="000000"/>
        </w:rPr>
        <w:t xml:space="preserve">In instances when a claim for increase is received and the contentions being claimed for increase were granted in BDN with no subsequent actions, the necessary examination request cannot be entered into EMS because the contentions are not shown in Corporate or VBMS as granted contentions. In those cases, the rating activity must complete a record-purpose rating decision that should not be communicated to the beneficiary.  </w:t>
      </w:r>
    </w:p>
    <w:p w:rsidR="005A6FFB" w:rsidRPr="00F929A7" w:rsidRDefault="005A6FFB" w:rsidP="005A6FFB">
      <w:pPr>
        <w:rPr>
          <w:color w:val="000000"/>
        </w:rPr>
      </w:pPr>
    </w:p>
    <w:p w:rsidR="005A6FFB" w:rsidRPr="00F929A7" w:rsidRDefault="005A6FFB" w:rsidP="005A6FFB">
      <w:r w:rsidRPr="00F929A7">
        <w:rPr>
          <w:color w:val="000000"/>
        </w:rPr>
        <w:t>Compensation Service is in the process of updating the manual to clarify this situation. The field will be notified when the change is final. </w:t>
      </w:r>
    </w:p>
    <w:p w:rsidR="005A6FFB" w:rsidRPr="00F929A7" w:rsidRDefault="005A6FFB" w:rsidP="005A6FFB"/>
    <w:p w:rsidR="00F929A7" w:rsidRPr="00F929A7" w:rsidRDefault="00F929A7" w:rsidP="005A6FFB"/>
    <w:p w:rsidR="00F929A7" w:rsidRPr="00F929A7" w:rsidRDefault="00F929A7" w:rsidP="00F929A7">
      <w:r w:rsidRPr="00F929A7">
        <w:rPr>
          <w:b/>
          <w:bCs/>
        </w:rPr>
        <w:t>From:</w:t>
      </w:r>
      <w:r w:rsidRPr="00F929A7">
        <w:t xml:space="preserve"> VAVBASDC/RO/VSC </w:t>
      </w:r>
      <w:r w:rsidRPr="00F929A7">
        <w:br/>
      </w:r>
      <w:r w:rsidRPr="00F929A7">
        <w:rPr>
          <w:b/>
          <w:bCs/>
        </w:rPr>
        <w:t>Sent:</w:t>
      </w:r>
      <w:r w:rsidRPr="00F929A7">
        <w:t xml:space="preserve"> Tuesday, April 10, 2018 2:43 PM</w:t>
      </w:r>
      <w:r w:rsidRPr="00F929A7">
        <w:br/>
      </w:r>
      <w:r w:rsidRPr="00F929A7">
        <w:rPr>
          <w:b/>
          <w:bCs/>
        </w:rPr>
        <w:t>Subject:</w:t>
      </w:r>
      <w:r w:rsidRPr="00F929A7">
        <w:t xml:space="preserve"> SOP For Legacy Backfill Ratings</w:t>
      </w:r>
    </w:p>
    <w:p w:rsidR="00F929A7" w:rsidRPr="00F929A7" w:rsidRDefault="00F929A7" w:rsidP="00F929A7">
      <w:pPr>
        <w:rPr>
          <w:rFonts w:eastAsiaTheme="minorHAnsi"/>
        </w:rPr>
      </w:pPr>
    </w:p>
    <w:p w:rsidR="00F929A7" w:rsidRPr="00F929A7" w:rsidRDefault="00F929A7" w:rsidP="00F929A7">
      <w:r w:rsidRPr="00F929A7">
        <w:t>Good afternoon,</w:t>
      </w:r>
    </w:p>
    <w:p w:rsidR="00F929A7" w:rsidRPr="00F929A7" w:rsidRDefault="00F929A7" w:rsidP="008F1ACE">
      <w:r w:rsidRPr="00F929A7">
        <w:t xml:space="preserve">Attached is the new SOP on backfill ratings provided by VSC leadership. </w:t>
      </w:r>
      <w:r w:rsidR="008F1ACE">
        <w:t>Please keep it as a reference.</w:t>
      </w:r>
    </w:p>
    <w:p w:rsidR="00F929A7" w:rsidRPr="00D10240" w:rsidRDefault="00F929A7" w:rsidP="00F929A7">
      <w:pPr>
        <w:pBdr>
          <w:top w:val="double" w:sz="4" w:space="1" w:color="auto"/>
          <w:left w:val="double" w:sz="4" w:space="4" w:color="auto"/>
          <w:bottom w:val="double" w:sz="4" w:space="0" w:color="auto"/>
          <w:right w:val="double" w:sz="4" w:space="4" w:color="auto"/>
        </w:pBdr>
        <w:shd w:val="clear" w:color="auto" w:fill="FFC000"/>
        <w:spacing w:before="240" w:after="120"/>
        <w:jc w:val="center"/>
        <w:rPr>
          <w:rFonts w:eastAsiaTheme="minorHAnsi"/>
        </w:rPr>
      </w:pPr>
      <w:r>
        <w:rPr>
          <w:rFonts w:eastAsiaTheme="minorHAnsi"/>
          <w:b/>
        </w:rPr>
        <w:t>SOP for Legacy Back fill.dox</w:t>
      </w:r>
      <w:r>
        <w:rPr>
          <w:rFonts w:eastAsiaTheme="minorHAnsi"/>
        </w:rPr>
        <w:t xml:space="preserve"> is</w:t>
      </w:r>
      <w:r w:rsidRPr="0036376C">
        <w:t xml:space="preserve"> saved at </w:t>
      </w:r>
      <w:r w:rsidRPr="001453C4">
        <w:rPr>
          <w:b/>
          <w:bCs/>
          <w:i/>
          <w:iCs/>
        </w:rPr>
        <w:t>H:\VSC\Rating Reference</w:t>
      </w:r>
    </w:p>
    <w:p w:rsidR="005A6FFB" w:rsidRDefault="005A6FFB" w:rsidP="005A6FFB">
      <w:pPr>
        <w:widowControl w:val="0"/>
        <w:numPr>
          <w:ilvl w:val="12"/>
          <w:numId w:val="0"/>
        </w:numPr>
        <w:pBdr>
          <w:bottom w:val="single" w:sz="4" w:space="1" w:color="auto"/>
        </w:pBdr>
        <w:rPr>
          <w:bCs/>
        </w:rPr>
      </w:pPr>
    </w:p>
    <w:p w:rsidR="00013EB8" w:rsidRDefault="00013EB8">
      <w:pPr>
        <w:widowControl w:val="0"/>
        <w:numPr>
          <w:ilvl w:val="12"/>
          <w:numId w:val="0"/>
        </w:numPr>
        <w:rPr>
          <w:bCs/>
          <w:i/>
          <w:iCs/>
        </w:rPr>
      </w:pPr>
    </w:p>
    <w:p w:rsidR="00013EB8" w:rsidRDefault="00013EB8">
      <w:pPr>
        <w:widowControl w:val="0"/>
        <w:numPr>
          <w:ilvl w:val="12"/>
          <w:numId w:val="0"/>
        </w:numPr>
        <w:rPr>
          <w:bCs/>
          <w:i/>
          <w:iCs/>
        </w:rPr>
      </w:pPr>
      <w:r>
        <w:rPr>
          <w:bCs/>
          <w:i/>
          <w:iCs/>
        </w:rPr>
        <w:t>Backfill medical treatment ratings under Chapter 17 in the Master Record. It will say “Treatment Purposes Only.” If SC for treatment purposes has previously been established, we cannot deny SC.</w:t>
      </w:r>
    </w:p>
    <w:p w:rsidR="00A61FA6" w:rsidRDefault="00A61FA6">
      <w:pPr>
        <w:widowControl w:val="0"/>
        <w:numPr>
          <w:ilvl w:val="12"/>
          <w:numId w:val="0"/>
        </w:numPr>
        <w:rPr>
          <w:bCs/>
          <w:i/>
          <w:iCs/>
        </w:rPr>
      </w:pPr>
    </w:p>
    <w:p w:rsidR="00FF4E63" w:rsidRDefault="00D571C5" w:rsidP="00F063AF">
      <w:pPr>
        <w:pStyle w:val="NormalWeb"/>
        <w:numPr>
          <w:ilvl w:val="0"/>
          <w:numId w:val="146"/>
        </w:numPr>
        <w:ind w:left="360"/>
        <w:rPr>
          <w:rStyle w:val="Hyperlink"/>
          <w:color w:val="auto"/>
          <w:sz w:val="20"/>
          <w:szCs w:val="20"/>
          <w:u w:val="none"/>
        </w:rPr>
      </w:pPr>
      <w:hyperlink r:id="rId345" w:history="1">
        <w:r w:rsidR="00FF4E63" w:rsidRPr="00FF4E63">
          <w:rPr>
            <w:rStyle w:val="Hyperlink"/>
            <w:b/>
            <w:i/>
            <w:sz w:val="20"/>
            <w:szCs w:val="20"/>
          </w:rPr>
          <w:t xml:space="preserve">June 2015 </w:t>
        </w:r>
        <w:r w:rsidR="00FF4E63">
          <w:rPr>
            <w:rStyle w:val="Hyperlink"/>
            <w:b/>
            <w:i/>
            <w:sz w:val="20"/>
            <w:szCs w:val="20"/>
          </w:rPr>
          <w:t>Quality Call Notes</w:t>
        </w:r>
      </w:hyperlink>
      <w:r w:rsidR="00FF4E63" w:rsidRPr="00FF4E63">
        <w:rPr>
          <w:rStyle w:val="Hyperlink"/>
          <w:sz w:val="20"/>
          <w:szCs w:val="20"/>
          <w:u w:val="none"/>
        </w:rPr>
        <w:t xml:space="preserve"> </w:t>
      </w:r>
      <w:r w:rsidR="00FF4E63" w:rsidRPr="00FF4E63">
        <w:rPr>
          <w:rStyle w:val="Hyperlink"/>
          <w:color w:val="auto"/>
          <w:sz w:val="20"/>
          <w:szCs w:val="20"/>
          <w:u w:val="none"/>
        </w:rPr>
        <w:t>–</w:t>
      </w:r>
      <w:r w:rsidR="00FF4E63">
        <w:rPr>
          <w:rStyle w:val="Hyperlink"/>
          <w:color w:val="auto"/>
          <w:sz w:val="20"/>
          <w:szCs w:val="20"/>
          <w:u w:val="none"/>
        </w:rPr>
        <w:t xml:space="preserve"> Character of Discharge (COD) determinations, conditional discharge &amp; statutory bar to benefits</w:t>
      </w:r>
    </w:p>
    <w:p w:rsidR="00C53346" w:rsidRDefault="00C53346" w:rsidP="00F063AF">
      <w:pPr>
        <w:pStyle w:val="NormalWeb"/>
        <w:numPr>
          <w:ilvl w:val="0"/>
          <w:numId w:val="146"/>
        </w:numPr>
        <w:ind w:left="360"/>
        <w:rPr>
          <w:rStyle w:val="Hyperlink"/>
          <w:color w:val="auto"/>
          <w:sz w:val="20"/>
          <w:szCs w:val="20"/>
          <w:highlight w:val="yellow"/>
          <w:u w:val="none"/>
        </w:rPr>
      </w:pPr>
      <w:r w:rsidRPr="00CD0826">
        <w:rPr>
          <w:rStyle w:val="Hyperlink"/>
          <w:i/>
          <w:color w:val="auto"/>
          <w:sz w:val="20"/>
          <w:szCs w:val="20"/>
          <w:highlight w:val="yellow"/>
          <w:u w:val="none"/>
        </w:rPr>
        <w:t>Carlos</w:t>
      </w:r>
      <w:r w:rsidR="00CD0826" w:rsidRPr="00CD0826">
        <w:rPr>
          <w:rStyle w:val="Hyperlink"/>
          <w:i/>
          <w:color w:val="auto"/>
          <w:sz w:val="20"/>
          <w:szCs w:val="20"/>
          <w:highlight w:val="yellow"/>
          <w:u w:val="none"/>
        </w:rPr>
        <w:t xml:space="preserve"> Rosario</w:t>
      </w:r>
      <w:r w:rsidRPr="00F3683B">
        <w:rPr>
          <w:rStyle w:val="Hyperlink"/>
          <w:color w:val="auto"/>
          <w:sz w:val="20"/>
          <w:szCs w:val="20"/>
          <w:highlight w:val="yellow"/>
          <w:u w:val="none"/>
        </w:rPr>
        <w:t xml:space="preserve"> said </w:t>
      </w:r>
      <w:r w:rsidR="00F3683B" w:rsidRPr="00F3683B">
        <w:rPr>
          <w:rStyle w:val="Hyperlink"/>
          <w:color w:val="auto"/>
          <w:sz w:val="20"/>
          <w:szCs w:val="20"/>
          <w:highlight w:val="yellow"/>
          <w:u w:val="none"/>
        </w:rPr>
        <w:t xml:space="preserve">manual changed. </w:t>
      </w:r>
      <w:r w:rsidRPr="00F3683B">
        <w:rPr>
          <w:rStyle w:val="Hyperlink"/>
          <w:color w:val="auto"/>
          <w:sz w:val="20"/>
          <w:szCs w:val="20"/>
          <w:highlight w:val="yellow"/>
          <w:u w:val="none"/>
        </w:rPr>
        <w:t>VSRs will make a Chapter 17 de</w:t>
      </w:r>
      <w:r w:rsidR="00F3683B" w:rsidRPr="00F3683B">
        <w:rPr>
          <w:rStyle w:val="Hyperlink"/>
          <w:color w:val="auto"/>
          <w:sz w:val="20"/>
          <w:szCs w:val="20"/>
          <w:highlight w:val="yellow"/>
          <w:u w:val="none"/>
        </w:rPr>
        <w:t xml:space="preserve">cision &amp; send a letter, but we </w:t>
      </w:r>
      <w:r w:rsidRPr="00F3683B">
        <w:rPr>
          <w:rStyle w:val="Hyperlink"/>
          <w:color w:val="auto"/>
          <w:sz w:val="20"/>
          <w:szCs w:val="20"/>
          <w:highlight w:val="yellow"/>
          <w:u w:val="none"/>
        </w:rPr>
        <w:t xml:space="preserve">still need to </w:t>
      </w:r>
      <w:r w:rsidR="00F3683B" w:rsidRPr="00F3683B">
        <w:rPr>
          <w:rStyle w:val="Hyperlink"/>
          <w:color w:val="auto"/>
          <w:sz w:val="20"/>
          <w:szCs w:val="20"/>
          <w:highlight w:val="yellow"/>
          <w:u w:val="none"/>
        </w:rPr>
        <w:t>decide “Entitled to Chapter 17” or “Not Entitled to Chapter 17</w:t>
      </w:r>
      <w:r w:rsidR="001946CC">
        <w:rPr>
          <w:rStyle w:val="Hyperlink"/>
          <w:color w:val="auto"/>
          <w:sz w:val="20"/>
          <w:szCs w:val="20"/>
          <w:highlight w:val="yellow"/>
          <w:u w:val="none"/>
        </w:rPr>
        <w:t>.”</w:t>
      </w:r>
      <w:r w:rsidRPr="00F3683B">
        <w:rPr>
          <w:rStyle w:val="Hyperlink"/>
          <w:color w:val="auto"/>
          <w:sz w:val="20"/>
          <w:szCs w:val="20"/>
          <w:highlight w:val="yellow"/>
          <w:u w:val="none"/>
        </w:rPr>
        <w:t xml:space="preserve"> We are not doing a decision on SC, just medical treatment. However, we treat it the same as SC, if treated in service, have continuity &amp; treated now, we grant Chapter 17. We will deny if no continuity. </w:t>
      </w:r>
      <w:r w:rsidRPr="00A91DDD">
        <w:rPr>
          <w:rStyle w:val="Hyperlink"/>
          <w:color w:val="auto"/>
          <w:sz w:val="20"/>
          <w:szCs w:val="20"/>
          <w:highlight w:val="lightGray"/>
          <w:u w:val="none"/>
        </w:rPr>
        <w:t>We do not get medical opinions.</w:t>
      </w:r>
      <w:r w:rsidR="008C2884" w:rsidRPr="008C2884">
        <w:rPr>
          <w:rStyle w:val="Hyperlink"/>
          <w:color w:val="auto"/>
          <w:sz w:val="20"/>
          <w:szCs w:val="20"/>
          <w:u w:val="none"/>
        </w:rPr>
        <w:t xml:space="preserve"> – chart at </w:t>
      </w:r>
      <w:r w:rsidR="008C2884" w:rsidRPr="008C2884">
        <w:rPr>
          <w:rStyle w:val="Hyperlink"/>
          <w:b/>
          <w:color w:val="auto"/>
          <w:sz w:val="20"/>
          <w:szCs w:val="20"/>
          <w:u w:val="none"/>
        </w:rPr>
        <w:t>III.v.1.B.1.e</w:t>
      </w:r>
      <w:r w:rsidR="008C2884" w:rsidRPr="008C2884">
        <w:rPr>
          <w:rStyle w:val="Hyperlink"/>
          <w:color w:val="auto"/>
          <w:sz w:val="20"/>
          <w:szCs w:val="20"/>
          <w:u w:val="none"/>
        </w:rPr>
        <w:t xml:space="preserve"> says we will request “</w:t>
      </w:r>
      <w:r w:rsidR="008C2884">
        <w:rPr>
          <w:rStyle w:val="Hyperlink"/>
          <w:color w:val="auto"/>
          <w:sz w:val="20"/>
          <w:szCs w:val="20"/>
          <w:u w:val="none"/>
        </w:rPr>
        <w:t>any medical op</w:t>
      </w:r>
      <w:r w:rsidR="008C2884" w:rsidRPr="008C2884">
        <w:rPr>
          <w:rStyle w:val="Hyperlink"/>
          <w:color w:val="auto"/>
          <w:sz w:val="20"/>
          <w:szCs w:val="20"/>
          <w:u w:val="none"/>
        </w:rPr>
        <w:t>inions warranted”</w:t>
      </w:r>
    </w:p>
    <w:p w:rsidR="00E43663" w:rsidRPr="00E43663" w:rsidRDefault="00E43663" w:rsidP="00F063AF">
      <w:pPr>
        <w:pStyle w:val="NormalWeb"/>
        <w:numPr>
          <w:ilvl w:val="0"/>
          <w:numId w:val="146"/>
        </w:numPr>
        <w:ind w:left="360"/>
        <w:rPr>
          <w:b/>
          <w:sz w:val="18"/>
          <w:szCs w:val="20"/>
        </w:rPr>
      </w:pPr>
      <w:r w:rsidRPr="00E43663">
        <w:rPr>
          <w:b/>
          <w:sz w:val="20"/>
          <w:szCs w:val="21"/>
        </w:rPr>
        <w:t>III.v.1.B.1.f</w:t>
      </w:r>
      <w:r w:rsidRPr="00E43663">
        <w:rPr>
          <w:sz w:val="20"/>
          <w:szCs w:val="21"/>
        </w:rPr>
        <w:t xml:space="preserve">, </w:t>
      </w:r>
      <w:r w:rsidR="00541CF1" w:rsidRPr="00E43663">
        <w:rPr>
          <w:b/>
          <w:sz w:val="20"/>
          <w:szCs w:val="21"/>
        </w:rPr>
        <w:t>III.v.1.B.4.b</w:t>
      </w:r>
      <w:r w:rsidR="003B25DE" w:rsidRPr="00E43663">
        <w:rPr>
          <w:b/>
          <w:sz w:val="20"/>
          <w:szCs w:val="21"/>
        </w:rPr>
        <w:t xml:space="preserve"> </w:t>
      </w:r>
      <w:r w:rsidR="008C2884">
        <w:rPr>
          <w:sz w:val="20"/>
          <w:szCs w:val="21"/>
        </w:rPr>
        <w:t>– e</w:t>
      </w:r>
      <w:r w:rsidRPr="00E43663">
        <w:rPr>
          <w:sz w:val="20"/>
          <w:szCs w:val="21"/>
        </w:rPr>
        <w:t>ven if Admin decision says entitled, we may still deny if no nexus</w:t>
      </w:r>
    </w:p>
    <w:p w:rsidR="00E43663" w:rsidRPr="00E43663" w:rsidRDefault="00E43663" w:rsidP="00F063AF">
      <w:pPr>
        <w:pStyle w:val="NormalWeb"/>
        <w:numPr>
          <w:ilvl w:val="0"/>
          <w:numId w:val="146"/>
        </w:numPr>
        <w:ind w:left="360"/>
        <w:rPr>
          <w:b/>
          <w:sz w:val="16"/>
          <w:szCs w:val="20"/>
        </w:rPr>
      </w:pPr>
      <w:r w:rsidRPr="00E43663">
        <w:rPr>
          <w:b/>
          <w:sz w:val="20"/>
          <w:szCs w:val="21"/>
        </w:rPr>
        <w:t>III.v.1.B.2.d</w:t>
      </w:r>
      <w:r w:rsidRPr="00E43663">
        <w:rPr>
          <w:sz w:val="20"/>
          <w:szCs w:val="21"/>
        </w:rPr>
        <w:t xml:space="preserve"> - If the claimant is statutorily barred from receiving VA benefits under any of the offenses listed in </w:t>
      </w:r>
      <w:hyperlink r:id="rId346" w:tgtFrame="_blank" w:history="1">
        <w:r w:rsidRPr="00E43663">
          <w:rPr>
            <w:rStyle w:val="Hyperlink"/>
            <w:sz w:val="20"/>
            <w:szCs w:val="21"/>
          </w:rPr>
          <w:t>38 CFR 3.12(c)</w:t>
        </w:r>
      </w:hyperlink>
      <w:r w:rsidRPr="00E43663">
        <w:rPr>
          <w:sz w:val="20"/>
          <w:szCs w:val="21"/>
        </w:rPr>
        <w:t xml:space="preserve">, a rating decision addressing </w:t>
      </w:r>
      <w:hyperlink r:id="rId347" w:tgtFrame="_blank" w:history="1">
        <w:r w:rsidRPr="00E43663">
          <w:rPr>
            <w:rStyle w:val="Hyperlink"/>
            <w:sz w:val="20"/>
            <w:szCs w:val="21"/>
          </w:rPr>
          <w:t xml:space="preserve">38 U.S.C. </w:t>
        </w:r>
        <w:r w:rsidRPr="00E43663">
          <w:rPr>
            <w:rStyle w:val="Hyperlink"/>
            <w:sz w:val="20"/>
            <w:szCs w:val="21"/>
            <w:shd w:val="clear" w:color="auto" w:fill="FFFF00"/>
          </w:rPr>
          <w:t>Chapter</w:t>
        </w:r>
        <w:r w:rsidRPr="00E43663">
          <w:rPr>
            <w:rStyle w:val="Hyperlink"/>
            <w:sz w:val="20"/>
            <w:szCs w:val="21"/>
          </w:rPr>
          <w:t xml:space="preserve"> </w:t>
        </w:r>
        <w:r w:rsidRPr="00E43663">
          <w:rPr>
            <w:rStyle w:val="Hyperlink"/>
            <w:sz w:val="20"/>
            <w:szCs w:val="21"/>
            <w:shd w:val="clear" w:color="auto" w:fill="FFFF00"/>
          </w:rPr>
          <w:t>17</w:t>
        </w:r>
      </w:hyperlink>
      <w:r w:rsidRPr="00E43663">
        <w:rPr>
          <w:sz w:val="20"/>
          <w:szCs w:val="21"/>
        </w:rPr>
        <w:t xml:space="preserve"> eligibility is not necessary.</w:t>
      </w:r>
    </w:p>
    <w:p w:rsidR="00E43663" w:rsidRDefault="003B25DE" w:rsidP="00F063AF">
      <w:pPr>
        <w:pStyle w:val="NormalWeb"/>
        <w:numPr>
          <w:ilvl w:val="0"/>
          <w:numId w:val="146"/>
        </w:numPr>
        <w:ind w:left="360"/>
        <w:rPr>
          <w:b/>
          <w:sz w:val="18"/>
          <w:szCs w:val="20"/>
        </w:rPr>
      </w:pPr>
      <w:r w:rsidRPr="003B25DE">
        <w:rPr>
          <w:b/>
          <w:sz w:val="20"/>
          <w:szCs w:val="21"/>
        </w:rPr>
        <w:t>III.v.7.A.4, IX.ii.2.4</w:t>
      </w:r>
      <w:r w:rsidR="00541CF1" w:rsidRPr="003B25DE">
        <w:rPr>
          <w:sz w:val="20"/>
          <w:szCs w:val="21"/>
        </w:rPr>
        <w:t> </w:t>
      </w:r>
      <w:r w:rsidRPr="003B25DE">
        <w:rPr>
          <w:sz w:val="20"/>
          <w:szCs w:val="21"/>
        </w:rPr>
        <w:t xml:space="preserve">– </w:t>
      </w:r>
      <w:r w:rsidR="00E43663">
        <w:rPr>
          <w:sz w:val="20"/>
          <w:szCs w:val="21"/>
        </w:rPr>
        <w:t>Ratings if requested by VAMC</w:t>
      </w:r>
    </w:p>
    <w:p w:rsidR="00013EB8" w:rsidRDefault="00013EB8">
      <w:pPr>
        <w:widowControl w:val="0"/>
        <w:numPr>
          <w:ilvl w:val="12"/>
          <w:numId w:val="0"/>
        </w:numPr>
        <w:tabs>
          <w:tab w:val="left" w:pos="360"/>
        </w:tabs>
      </w:pPr>
    </w:p>
    <w:p w:rsidR="00013EB8" w:rsidRDefault="00013EB8">
      <w:pPr>
        <w:pStyle w:val="Heading2"/>
        <w:keepNext w:val="0"/>
        <w:widowControl w:val="0"/>
        <w:numPr>
          <w:ilvl w:val="12"/>
          <w:numId w:val="0"/>
        </w:numPr>
        <w:pBdr>
          <w:top w:val="single" w:sz="4" w:space="1" w:color="auto"/>
        </w:pBdr>
        <w:rPr>
          <w:bCs w:val="0"/>
          <w:iCs/>
          <w:sz w:val="20"/>
          <w:u w:val="single"/>
        </w:rPr>
      </w:pPr>
    </w:p>
    <w:p w:rsidR="0081294E" w:rsidRDefault="00AA58A1" w:rsidP="0081294E">
      <w:pPr>
        <w:rPr>
          <w:b/>
          <w:u w:val="single"/>
        </w:rPr>
      </w:pPr>
      <w:r>
        <w:rPr>
          <w:b/>
          <w:u w:val="single"/>
        </w:rPr>
        <w:t>Centralized P</w:t>
      </w:r>
      <w:r w:rsidR="0081294E">
        <w:rPr>
          <w:b/>
          <w:u w:val="single"/>
        </w:rPr>
        <w:t>rinting</w:t>
      </w:r>
      <w:r>
        <w:rPr>
          <w:b/>
          <w:u w:val="single"/>
        </w:rPr>
        <w:t xml:space="preserve"> in VBMS</w:t>
      </w:r>
    </w:p>
    <w:p w:rsidR="0081294E" w:rsidRPr="0081294E" w:rsidRDefault="0081294E" w:rsidP="0081294E">
      <w:pPr>
        <w:rPr>
          <w:b/>
          <w:u w:val="single"/>
        </w:rPr>
      </w:pPr>
    </w:p>
    <w:p w:rsidR="0081294E" w:rsidRPr="0081294E" w:rsidRDefault="00AA58A1" w:rsidP="00F063AF">
      <w:pPr>
        <w:pStyle w:val="ListParagraph"/>
        <w:numPr>
          <w:ilvl w:val="0"/>
          <w:numId w:val="416"/>
        </w:numPr>
        <w:spacing w:after="0" w:line="240" w:lineRule="auto"/>
        <w:rPr>
          <w:rFonts w:ascii="Arial" w:hAnsi="Arial"/>
          <w:sz w:val="20"/>
          <w:szCs w:val="20"/>
        </w:rPr>
      </w:pPr>
      <w:r>
        <w:rPr>
          <w:rFonts w:ascii="Arial" w:hAnsi="Arial"/>
          <w:sz w:val="20"/>
          <w:szCs w:val="20"/>
        </w:rPr>
        <w:t xml:space="preserve">to create package, </w:t>
      </w:r>
      <w:r w:rsidR="0081294E" w:rsidRPr="0081294E">
        <w:rPr>
          <w:rFonts w:ascii="Arial" w:hAnsi="Arial"/>
          <w:sz w:val="20"/>
          <w:szCs w:val="20"/>
        </w:rPr>
        <w:t>check boxes next to documents you want sent to the veteran</w:t>
      </w:r>
    </w:p>
    <w:p w:rsidR="0081294E" w:rsidRPr="0081294E" w:rsidRDefault="0081294E" w:rsidP="00F063AF">
      <w:pPr>
        <w:pStyle w:val="ListParagraph"/>
        <w:numPr>
          <w:ilvl w:val="0"/>
          <w:numId w:val="416"/>
        </w:numPr>
        <w:spacing w:after="0" w:line="240" w:lineRule="auto"/>
        <w:rPr>
          <w:rFonts w:ascii="Arial" w:hAnsi="Arial"/>
          <w:sz w:val="20"/>
          <w:szCs w:val="20"/>
        </w:rPr>
      </w:pPr>
      <w:r>
        <w:rPr>
          <w:rFonts w:ascii="Arial" w:hAnsi="Arial"/>
          <w:sz w:val="20"/>
          <w:szCs w:val="20"/>
        </w:rPr>
        <w:t>go to Actions</w:t>
      </w:r>
      <w:r w:rsidRPr="0081294E">
        <w:rPr>
          <w:rFonts w:ascii="Arial" w:hAnsi="Arial"/>
          <w:sz w:val="20"/>
          <w:szCs w:val="20"/>
        </w:rPr>
        <w:t xml:space="preserve"> drop-down &amp; select “</w:t>
      </w:r>
      <w:r>
        <w:rPr>
          <w:rFonts w:ascii="Arial" w:hAnsi="Arial"/>
          <w:sz w:val="20"/>
          <w:szCs w:val="20"/>
        </w:rPr>
        <w:t>Add to Package</w:t>
      </w:r>
      <w:r w:rsidRPr="0081294E">
        <w:rPr>
          <w:rFonts w:ascii="Arial" w:hAnsi="Arial"/>
          <w:sz w:val="20"/>
          <w:szCs w:val="20"/>
        </w:rPr>
        <w:t>”</w:t>
      </w:r>
    </w:p>
    <w:p w:rsidR="0081294E" w:rsidRDefault="0081294E" w:rsidP="00F063AF">
      <w:pPr>
        <w:pStyle w:val="ListParagraph"/>
        <w:numPr>
          <w:ilvl w:val="0"/>
          <w:numId w:val="416"/>
        </w:numPr>
        <w:spacing w:after="0" w:line="240" w:lineRule="auto"/>
        <w:rPr>
          <w:rFonts w:ascii="Arial" w:hAnsi="Arial"/>
          <w:sz w:val="20"/>
          <w:szCs w:val="20"/>
        </w:rPr>
      </w:pPr>
      <w:r w:rsidRPr="0081294E">
        <w:rPr>
          <w:rFonts w:ascii="Arial" w:hAnsi="Arial"/>
          <w:sz w:val="20"/>
          <w:szCs w:val="20"/>
        </w:rPr>
        <w:t>name package appropriately</w:t>
      </w:r>
      <w:r>
        <w:rPr>
          <w:rFonts w:ascii="Arial" w:hAnsi="Arial"/>
          <w:sz w:val="20"/>
          <w:szCs w:val="20"/>
        </w:rPr>
        <w:t>, then click “Add &amp; Go to Package Manager” (if have all documents ready to go</w:t>
      </w:r>
      <w:r w:rsidR="00AA58A1">
        <w:rPr>
          <w:rFonts w:ascii="Arial" w:hAnsi="Arial"/>
          <w:sz w:val="20"/>
          <w:szCs w:val="20"/>
        </w:rPr>
        <w:t>, if need to return to add something, do so</w:t>
      </w:r>
      <w:r>
        <w:rPr>
          <w:rFonts w:ascii="Arial" w:hAnsi="Arial"/>
          <w:sz w:val="20"/>
          <w:szCs w:val="20"/>
        </w:rPr>
        <w:t>)</w:t>
      </w:r>
    </w:p>
    <w:p w:rsidR="0081294E" w:rsidRDefault="0081294E" w:rsidP="00F063AF">
      <w:pPr>
        <w:pStyle w:val="ListParagraph"/>
        <w:numPr>
          <w:ilvl w:val="0"/>
          <w:numId w:val="416"/>
        </w:numPr>
        <w:spacing w:after="0" w:line="240" w:lineRule="auto"/>
        <w:rPr>
          <w:rFonts w:ascii="Arial" w:hAnsi="Arial"/>
          <w:sz w:val="20"/>
          <w:szCs w:val="20"/>
        </w:rPr>
      </w:pPr>
      <w:r>
        <w:rPr>
          <w:rFonts w:ascii="Arial" w:hAnsi="Arial"/>
          <w:sz w:val="20"/>
          <w:szCs w:val="20"/>
        </w:rPr>
        <w:t>fix order</w:t>
      </w:r>
      <w:r w:rsidR="00AA58A1">
        <w:rPr>
          <w:rFonts w:ascii="Arial" w:hAnsi="Arial"/>
          <w:sz w:val="20"/>
          <w:szCs w:val="20"/>
        </w:rPr>
        <w:t xml:space="preserve"> of documents</w:t>
      </w:r>
      <w:r>
        <w:rPr>
          <w:rFonts w:ascii="Arial" w:hAnsi="Arial"/>
          <w:sz w:val="20"/>
          <w:szCs w:val="20"/>
        </w:rPr>
        <w:t xml:space="preserve"> (letter should </w:t>
      </w:r>
      <w:r w:rsidR="00AA58A1">
        <w:rPr>
          <w:rFonts w:ascii="Arial" w:hAnsi="Arial"/>
          <w:sz w:val="20"/>
          <w:szCs w:val="20"/>
        </w:rPr>
        <w:t>generally be first, forms subsequently</w:t>
      </w:r>
      <w:r>
        <w:rPr>
          <w:rFonts w:ascii="Arial" w:hAnsi="Arial"/>
          <w:sz w:val="20"/>
          <w:szCs w:val="20"/>
        </w:rPr>
        <w:t>)</w:t>
      </w:r>
    </w:p>
    <w:p w:rsidR="0081294E" w:rsidRDefault="0081294E" w:rsidP="00F063AF">
      <w:pPr>
        <w:pStyle w:val="ListParagraph"/>
        <w:numPr>
          <w:ilvl w:val="0"/>
          <w:numId w:val="416"/>
        </w:numPr>
        <w:spacing w:after="0" w:line="240" w:lineRule="auto"/>
        <w:rPr>
          <w:rFonts w:ascii="Arial" w:hAnsi="Arial"/>
          <w:sz w:val="20"/>
          <w:szCs w:val="20"/>
        </w:rPr>
      </w:pPr>
      <w:r>
        <w:rPr>
          <w:rFonts w:ascii="Arial" w:hAnsi="Arial"/>
          <w:sz w:val="20"/>
          <w:szCs w:val="20"/>
        </w:rPr>
        <w:t>Save</w:t>
      </w:r>
    </w:p>
    <w:p w:rsidR="0081294E" w:rsidRDefault="0081294E" w:rsidP="00F063AF">
      <w:pPr>
        <w:pStyle w:val="ListParagraph"/>
        <w:numPr>
          <w:ilvl w:val="0"/>
          <w:numId w:val="416"/>
        </w:numPr>
        <w:spacing w:after="0" w:line="240" w:lineRule="auto"/>
        <w:rPr>
          <w:rFonts w:ascii="Arial" w:hAnsi="Arial"/>
          <w:sz w:val="20"/>
          <w:szCs w:val="20"/>
        </w:rPr>
      </w:pPr>
      <w:r>
        <w:rPr>
          <w:rFonts w:ascii="Arial" w:hAnsi="Arial"/>
          <w:sz w:val="20"/>
          <w:szCs w:val="20"/>
        </w:rPr>
        <w:t>go to Recipients tab &amp; enter name &amp; address (will only auto-populate if just a letter</w:t>
      </w:r>
      <w:r w:rsidR="00AA58A1">
        <w:rPr>
          <w:rFonts w:ascii="Arial" w:hAnsi="Arial"/>
          <w:sz w:val="20"/>
          <w:szCs w:val="20"/>
        </w:rPr>
        <w:t xml:space="preserve"> finalized in VBMS</w:t>
      </w:r>
      <w:r>
        <w:rPr>
          <w:rFonts w:ascii="Arial" w:hAnsi="Arial"/>
          <w:sz w:val="20"/>
          <w:szCs w:val="20"/>
        </w:rPr>
        <w:t>, not a package</w:t>
      </w:r>
      <w:r w:rsidR="00AA58A1">
        <w:rPr>
          <w:rFonts w:ascii="Arial" w:hAnsi="Arial"/>
          <w:sz w:val="20"/>
          <w:szCs w:val="20"/>
        </w:rPr>
        <w:t xml:space="preserve"> you created</w:t>
      </w:r>
      <w:r>
        <w:rPr>
          <w:rFonts w:ascii="Arial" w:hAnsi="Arial"/>
          <w:sz w:val="20"/>
          <w:szCs w:val="20"/>
        </w:rPr>
        <w:t>)</w:t>
      </w:r>
    </w:p>
    <w:p w:rsidR="0081294E" w:rsidRPr="00AF4158" w:rsidRDefault="0081294E" w:rsidP="00F063AF">
      <w:pPr>
        <w:pStyle w:val="ListParagraph"/>
        <w:numPr>
          <w:ilvl w:val="0"/>
          <w:numId w:val="416"/>
        </w:numPr>
        <w:spacing w:after="0" w:line="240" w:lineRule="auto"/>
        <w:rPr>
          <w:rFonts w:ascii="Arial" w:hAnsi="Arial"/>
          <w:i/>
          <w:sz w:val="20"/>
          <w:szCs w:val="20"/>
        </w:rPr>
      </w:pPr>
      <w:r>
        <w:rPr>
          <w:rFonts w:ascii="Arial" w:hAnsi="Arial"/>
          <w:sz w:val="20"/>
          <w:szCs w:val="20"/>
        </w:rPr>
        <w:t xml:space="preserve">add Recipient if has POA &amp; </w:t>
      </w:r>
      <w:r w:rsidR="00AF4158">
        <w:rPr>
          <w:rFonts w:ascii="Arial" w:hAnsi="Arial"/>
          <w:sz w:val="20"/>
          <w:szCs w:val="20"/>
        </w:rPr>
        <w:t xml:space="preserve">use address of </w:t>
      </w:r>
      <w:r>
        <w:rPr>
          <w:rFonts w:ascii="Arial" w:hAnsi="Arial"/>
          <w:sz w:val="20"/>
          <w:szCs w:val="20"/>
        </w:rPr>
        <w:t>claimant’s SOJ (</w:t>
      </w:r>
      <w:r w:rsidR="00AF4158">
        <w:rPr>
          <w:rFonts w:ascii="Arial" w:hAnsi="Arial"/>
          <w:sz w:val="20"/>
          <w:szCs w:val="20"/>
        </w:rPr>
        <w:t xml:space="preserve">can </w:t>
      </w:r>
      <w:r>
        <w:rPr>
          <w:rFonts w:ascii="Arial" w:hAnsi="Arial"/>
          <w:sz w:val="20"/>
          <w:szCs w:val="20"/>
        </w:rPr>
        <w:t xml:space="preserve">find </w:t>
      </w:r>
      <w:r w:rsidR="00AF4158">
        <w:rPr>
          <w:rFonts w:ascii="Arial" w:hAnsi="Arial"/>
          <w:sz w:val="20"/>
          <w:szCs w:val="20"/>
        </w:rPr>
        <w:t>SOJ</w:t>
      </w:r>
      <w:r>
        <w:rPr>
          <w:rFonts w:ascii="Arial" w:hAnsi="Arial"/>
          <w:sz w:val="20"/>
          <w:szCs w:val="20"/>
        </w:rPr>
        <w:t xml:space="preserve"> in Profile</w:t>
      </w:r>
      <w:r w:rsidR="00AF4158">
        <w:rPr>
          <w:rFonts w:ascii="Arial" w:hAnsi="Arial"/>
          <w:sz w:val="20"/>
          <w:szCs w:val="20"/>
        </w:rPr>
        <w:t xml:space="preserve">, IPC </w:t>
      </w:r>
      <w:r w:rsidR="00AA58A1">
        <w:rPr>
          <w:rFonts w:ascii="Arial" w:hAnsi="Arial"/>
          <w:sz w:val="20"/>
          <w:szCs w:val="20"/>
        </w:rPr>
        <w:t xml:space="preserve">&amp; VSRs </w:t>
      </w:r>
      <w:r w:rsidR="00AF4158">
        <w:rPr>
          <w:rFonts w:ascii="Arial" w:hAnsi="Arial"/>
          <w:sz w:val="20"/>
          <w:szCs w:val="20"/>
        </w:rPr>
        <w:t>ha</w:t>
      </w:r>
      <w:r w:rsidR="00AA58A1">
        <w:rPr>
          <w:rFonts w:ascii="Arial" w:hAnsi="Arial"/>
          <w:sz w:val="20"/>
          <w:szCs w:val="20"/>
        </w:rPr>
        <w:t>ve</w:t>
      </w:r>
      <w:r w:rsidR="00AF4158">
        <w:rPr>
          <w:rFonts w:ascii="Arial" w:hAnsi="Arial"/>
          <w:sz w:val="20"/>
          <w:szCs w:val="20"/>
        </w:rPr>
        <w:t xml:space="preserve"> spreadsheet with all addresses</w:t>
      </w:r>
      <w:r>
        <w:rPr>
          <w:rFonts w:ascii="Arial" w:hAnsi="Arial"/>
          <w:sz w:val="20"/>
          <w:szCs w:val="20"/>
        </w:rPr>
        <w:t>)</w:t>
      </w:r>
      <w:r w:rsidR="00AF4158">
        <w:rPr>
          <w:rFonts w:ascii="Arial" w:hAnsi="Arial"/>
          <w:sz w:val="20"/>
          <w:szCs w:val="20"/>
        </w:rPr>
        <w:t xml:space="preserve"> </w:t>
      </w:r>
      <w:r w:rsidR="00AF4158" w:rsidRPr="00AF4158">
        <w:rPr>
          <w:rFonts w:ascii="Arial" w:hAnsi="Arial"/>
          <w:i/>
          <w:sz w:val="20"/>
          <w:szCs w:val="20"/>
        </w:rPr>
        <w:t>[would be great if we could just email the POA…]</w:t>
      </w:r>
    </w:p>
    <w:p w:rsidR="0081294E" w:rsidRDefault="00AF4158" w:rsidP="00F063AF">
      <w:pPr>
        <w:pStyle w:val="ListParagraph"/>
        <w:numPr>
          <w:ilvl w:val="0"/>
          <w:numId w:val="416"/>
        </w:numPr>
        <w:spacing w:after="0" w:line="240" w:lineRule="auto"/>
        <w:rPr>
          <w:rFonts w:ascii="Arial" w:hAnsi="Arial"/>
          <w:sz w:val="20"/>
          <w:szCs w:val="20"/>
        </w:rPr>
      </w:pPr>
      <w:r>
        <w:rPr>
          <w:rFonts w:ascii="Arial" w:hAnsi="Arial"/>
          <w:sz w:val="20"/>
          <w:szCs w:val="20"/>
        </w:rPr>
        <w:t>add forms, if needed</w:t>
      </w:r>
    </w:p>
    <w:p w:rsidR="00AF4158" w:rsidRDefault="00AF4158" w:rsidP="00F063AF">
      <w:pPr>
        <w:pStyle w:val="ListParagraph"/>
        <w:numPr>
          <w:ilvl w:val="0"/>
          <w:numId w:val="416"/>
        </w:numPr>
        <w:spacing w:after="0" w:line="240" w:lineRule="auto"/>
        <w:rPr>
          <w:rFonts w:ascii="Arial" w:hAnsi="Arial"/>
          <w:sz w:val="20"/>
          <w:szCs w:val="20"/>
        </w:rPr>
      </w:pPr>
      <w:r>
        <w:rPr>
          <w:rFonts w:ascii="Arial" w:hAnsi="Arial"/>
          <w:sz w:val="20"/>
          <w:szCs w:val="20"/>
        </w:rPr>
        <w:t>Send Package (</w:t>
      </w:r>
      <w:r w:rsidR="00AA58A1">
        <w:rPr>
          <w:rFonts w:ascii="Arial" w:hAnsi="Arial"/>
          <w:sz w:val="20"/>
          <w:szCs w:val="20"/>
        </w:rPr>
        <w:t>?</w:t>
      </w:r>
      <w:r>
        <w:rPr>
          <w:rFonts w:ascii="Arial" w:hAnsi="Arial"/>
          <w:sz w:val="20"/>
          <w:szCs w:val="20"/>
        </w:rPr>
        <w:t>for each recipient)</w:t>
      </w:r>
    </w:p>
    <w:p w:rsidR="00AF4158" w:rsidRDefault="00AF4158" w:rsidP="00F063AF">
      <w:pPr>
        <w:pStyle w:val="ListParagraph"/>
        <w:numPr>
          <w:ilvl w:val="0"/>
          <w:numId w:val="416"/>
        </w:numPr>
        <w:spacing w:after="0" w:line="240" w:lineRule="auto"/>
        <w:rPr>
          <w:rFonts w:ascii="Arial" w:hAnsi="Arial"/>
          <w:sz w:val="20"/>
          <w:szCs w:val="20"/>
        </w:rPr>
      </w:pPr>
      <w:r>
        <w:rPr>
          <w:rFonts w:ascii="Arial" w:hAnsi="Arial"/>
          <w:sz w:val="20"/>
          <w:szCs w:val="20"/>
        </w:rPr>
        <w:t>Check for SUCCESS if veteran didn’t receive letter (if shows FAILED, generate again &amp; send)</w:t>
      </w:r>
    </w:p>
    <w:p w:rsidR="00AF4158" w:rsidRDefault="00AF4158" w:rsidP="00F063AF">
      <w:pPr>
        <w:pStyle w:val="ListParagraph"/>
        <w:numPr>
          <w:ilvl w:val="0"/>
          <w:numId w:val="416"/>
        </w:numPr>
        <w:spacing w:after="0" w:line="240" w:lineRule="auto"/>
        <w:rPr>
          <w:rFonts w:ascii="Arial" w:hAnsi="Arial"/>
          <w:sz w:val="20"/>
          <w:szCs w:val="20"/>
        </w:rPr>
      </w:pPr>
      <w:r>
        <w:rPr>
          <w:rFonts w:ascii="Arial" w:hAnsi="Arial"/>
          <w:sz w:val="20"/>
          <w:szCs w:val="20"/>
        </w:rPr>
        <w:t>When finalize a letter in VBMS, it will automatically create pack</w:t>
      </w:r>
      <w:r w:rsidR="00AA58A1">
        <w:rPr>
          <w:rFonts w:ascii="Arial" w:hAnsi="Arial"/>
          <w:sz w:val="20"/>
          <w:szCs w:val="20"/>
        </w:rPr>
        <w:t>a</w:t>
      </w:r>
      <w:r>
        <w:rPr>
          <w:rFonts w:ascii="Arial" w:hAnsi="Arial"/>
          <w:sz w:val="20"/>
          <w:szCs w:val="20"/>
        </w:rPr>
        <w:t>ge, check addresses on both Recipients</w:t>
      </w:r>
      <w:r w:rsidR="00AA58A1">
        <w:rPr>
          <w:rFonts w:ascii="Arial" w:hAnsi="Arial"/>
          <w:sz w:val="20"/>
          <w:szCs w:val="20"/>
        </w:rPr>
        <w:t xml:space="preserve"> (may have to add POA address); can also add more to that package on the Main Screen, if needed</w:t>
      </w:r>
    </w:p>
    <w:p w:rsidR="00AA58A1" w:rsidRDefault="00AA58A1" w:rsidP="00F063AF">
      <w:pPr>
        <w:pStyle w:val="ListParagraph"/>
        <w:numPr>
          <w:ilvl w:val="0"/>
          <w:numId w:val="416"/>
        </w:numPr>
        <w:spacing w:after="0" w:line="240" w:lineRule="auto"/>
        <w:rPr>
          <w:rFonts w:ascii="Arial" w:hAnsi="Arial"/>
          <w:sz w:val="20"/>
          <w:szCs w:val="20"/>
        </w:rPr>
      </w:pPr>
      <w:r>
        <w:rPr>
          <w:rFonts w:ascii="Arial" w:hAnsi="Arial"/>
          <w:sz w:val="20"/>
          <w:szCs w:val="20"/>
        </w:rPr>
        <w:t>Send Package (?for each recipient)</w:t>
      </w:r>
    </w:p>
    <w:p w:rsidR="00AA58A1" w:rsidRPr="00AF4158" w:rsidRDefault="00AA58A1" w:rsidP="00F063AF">
      <w:pPr>
        <w:pStyle w:val="ListParagraph"/>
        <w:numPr>
          <w:ilvl w:val="0"/>
          <w:numId w:val="416"/>
        </w:numPr>
        <w:spacing w:after="0" w:line="240" w:lineRule="auto"/>
        <w:rPr>
          <w:rFonts w:ascii="Arial" w:hAnsi="Arial"/>
          <w:sz w:val="20"/>
          <w:szCs w:val="20"/>
        </w:rPr>
      </w:pPr>
      <w:r>
        <w:rPr>
          <w:rFonts w:ascii="Arial" w:hAnsi="Arial"/>
          <w:sz w:val="20"/>
          <w:szCs w:val="20"/>
        </w:rPr>
        <w:t>might have to enter Tracked Item</w:t>
      </w:r>
    </w:p>
    <w:p w:rsidR="0081294E" w:rsidRPr="0081294E" w:rsidRDefault="0081294E" w:rsidP="0081294E"/>
    <w:p w:rsidR="0081294E" w:rsidRPr="0081294E" w:rsidRDefault="0081294E" w:rsidP="0081294E"/>
    <w:p w:rsidR="0081294E" w:rsidRDefault="0081294E">
      <w:pPr>
        <w:pStyle w:val="Heading2"/>
        <w:keepNext w:val="0"/>
        <w:widowControl w:val="0"/>
        <w:numPr>
          <w:ilvl w:val="12"/>
          <w:numId w:val="0"/>
        </w:numPr>
        <w:pBdr>
          <w:top w:val="single" w:sz="4" w:space="1" w:color="auto"/>
        </w:pBdr>
        <w:rPr>
          <w:bCs w:val="0"/>
          <w:iCs/>
          <w:sz w:val="20"/>
          <w:u w:val="single"/>
        </w:rPr>
      </w:pPr>
      <w:bookmarkStart w:id="65" w:name="AppealsRefs"/>
    </w:p>
    <w:p w:rsidR="00013EB8" w:rsidRDefault="00013EB8">
      <w:pPr>
        <w:pStyle w:val="Heading2"/>
        <w:keepNext w:val="0"/>
        <w:widowControl w:val="0"/>
        <w:numPr>
          <w:ilvl w:val="12"/>
          <w:numId w:val="0"/>
        </w:numPr>
        <w:pBdr>
          <w:top w:val="single" w:sz="4" w:space="1" w:color="auto"/>
        </w:pBdr>
        <w:rPr>
          <w:bCs w:val="0"/>
          <w:iCs/>
          <w:sz w:val="20"/>
          <w:u w:val="single"/>
        </w:rPr>
      </w:pPr>
      <w:r>
        <w:rPr>
          <w:bCs w:val="0"/>
          <w:iCs/>
          <w:sz w:val="20"/>
          <w:u w:val="single"/>
        </w:rPr>
        <w:t>Appeals References</w:t>
      </w:r>
    </w:p>
    <w:p w:rsidR="00104902" w:rsidRDefault="00104902" w:rsidP="00104902"/>
    <w:p w:rsidR="00FD3556" w:rsidRPr="00F47D8B" w:rsidRDefault="00FD3556" w:rsidP="00104902">
      <w:pPr>
        <w:rPr>
          <w:b/>
        </w:rPr>
      </w:pPr>
      <w:r>
        <w:t xml:space="preserve">VACOLS – </w:t>
      </w:r>
      <w:r w:rsidRPr="00F47D8B">
        <w:rPr>
          <w:b/>
        </w:rPr>
        <w:t>I.5.K</w:t>
      </w:r>
    </w:p>
    <w:p w:rsidR="00104902" w:rsidRDefault="00104902" w:rsidP="00104902">
      <w:r>
        <w:t>RO77</w:t>
      </w:r>
    </w:p>
    <w:p w:rsidR="00104902" w:rsidRDefault="002571DA" w:rsidP="00104902">
      <w:r>
        <w:t>p</w:t>
      </w:r>
      <w:r w:rsidR="00104902">
        <w:t>obder</w:t>
      </w:r>
    </w:p>
    <w:p w:rsidR="00F47D8B" w:rsidRDefault="00F47D8B" w:rsidP="00104902"/>
    <w:p w:rsidR="00F47D8B" w:rsidRPr="004178F7" w:rsidRDefault="00F47D8B" w:rsidP="00F063AF">
      <w:pPr>
        <w:pStyle w:val="ListParagraph"/>
        <w:numPr>
          <w:ilvl w:val="0"/>
          <w:numId w:val="162"/>
        </w:numPr>
        <w:spacing w:after="120" w:line="240" w:lineRule="auto"/>
        <w:ind w:left="360"/>
        <w:rPr>
          <w:rStyle w:val="Hyperlink"/>
          <w:rFonts w:ascii="Arial" w:hAnsi="Arial"/>
          <w:b/>
          <w:color w:val="auto"/>
          <w:sz w:val="20"/>
          <w:szCs w:val="20"/>
          <w:u w:val="none"/>
        </w:rPr>
      </w:pPr>
      <w:r w:rsidRPr="004178F7">
        <w:rPr>
          <w:rFonts w:ascii="Arial" w:hAnsi="Arial"/>
          <w:b/>
          <w:sz w:val="20"/>
          <w:szCs w:val="20"/>
        </w:rPr>
        <w:t>I.4</w:t>
      </w:r>
    </w:p>
    <w:p w:rsidR="00430EBF" w:rsidRPr="00430EBF" w:rsidRDefault="00F47D8B" w:rsidP="00F063AF">
      <w:pPr>
        <w:pStyle w:val="ListParagraph"/>
        <w:widowControl w:val="0"/>
        <w:numPr>
          <w:ilvl w:val="0"/>
          <w:numId w:val="162"/>
        </w:numPr>
        <w:tabs>
          <w:tab w:val="left" w:pos="360"/>
        </w:tabs>
        <w:spacing w:after="120" w:line="240" w:lineRule="auto"/>
        <w:ind w:left="330" w:right="331"/>
        <w:rPr>
          <w:rStyle w:val="Hyperlink"/>
          <w:color w:val="auto"/>
          <w:u w:val="none"/>
        </w:rPr>
      </w:pPr>
      <w:r w:rsidRPr="00430EBF">
        <w:rPr>
          <w:rStyle w:val="Hyperlink"/>
          <w:rFonts w:ascii="Arial" w:hAnsi="Arial"/>
          <w:b/>
          <w:color w:val="auto"/>
          <w:sz w:val="20"/>
          <w:szCs w:val="20"/>
          <w:u w:val="none"/>
        </w:rPr>
        <w:t>I.5</w:t>
      </w:r>
      <w:r w:rsidR="00A835FA">
        <w:rPr>
          <w:rStyle w:val="Hyperlink"/>
          <w:rFonts w:ascii="Arial" w:hAnsi="Arial"/>
          <w:color w:val="auto"/>
          <w:sz w:val="20"/>
          <w:szCs w:val="20"/>
          <w:u w:val="none"/>
        </w:rPr>
        <w:t xml:space="preserve"> – see </w:t>
      </w:r>
      <w:r w:rsidR="00A835FA" w:rsidRPr="00A835FA">
        <w:rPr>
          <w:rStyle w:val="Hyperlink"/>
          <w:rFonts w:ascii="Arial" w:hAnsi="Arial"/>
          <w:b/>
          <w:color w:val="auto"/>
          <w:sz w:val="20"/>
          <w:szCs w:val="20"/>
          <w:u w:val="none"/>
        </w:rPr>
        <w:t>I.5.B.1.d</w:t>
      </w:r>
      <w:r w:rsidR="00A835FA">
        <w:rPr>
          <w:rStyle w:val="Hyperlink"/>
          <w:rFonts w:ascii="Arial" w:hAnsi="Arial"/>
          <w:color w:val="auto"/>
          <w:sz w:val="20"/>
          <w:szCs w:val="20"/>
          <w:u w:val="none"/>
        </w:rPr>
        <w:t xml:space="preserve"> for handling a time limit extension request</w:t>
      </w:r>
      <w:r w:rsidR="006803FC">
        <w:rPr>
          <w:rStyle w:val="Hyperlink"/>
          <w:rFonts w:ascii="Arial" w:hAnsi="Arial"/>
          <w:color w:val="auto"/>
          <w:sz w:val="20"/>
          <w:szCs w:val="20"/>
          <w:u w:val="none"/>
        </w:rPr>
        <w:t xml:space="preserve">; </w:t>
      </w:r>
      <w:r w:rsidR="006803FC" w:rsidRPr="006803FC">
        <w:rPr>
          <w:rStyle w:val="Hyperlink"/>
          <w:rFonts w:ascii="Arial" w:hAnsi="Arial"/>
          <w:b/>
          <w:color w:val="auto"/>
          <w:sz w:val="20"/>
          <w:szCs w:val="20"/>
          <w:u w:val="none"/>
        </w:rPr>
        <w:t>I.5.B.2.g-i</w:t>
      </w:r>
      <w:r w:rsidR="006803FC">
        <w:rPr>
          <w:rStyle w:val="Hyperlink"/>
          <w:rFonts w:ascii="Arial" w:hAnsi="Arial"/>
          <w:color w:val="auto"/>
          <w:sz w:val="20"/>
          <w:szCs w:val="20"/>
          <w:u w:val="none"/>
        </w:rPr>
        <w:t xml:space="preserve"> - non-appeal issues on NOD are RFAs on/after 3/24/15</w:t>
      </w:r>
    </w:p>
    <w:p w:rsidR="00F47D8B" w:rsidRPr="00430EBF" w:rsidRDefault="00430EBF" w:rsidP="00F063AF">
      <w:pPr>
        <w:pStyle w:val="ListParagraph"/>
        <w:widowControl w:val="0"/>
        <w:numPr>
          <w:ilvl w:val="0"/>
          <w:numId w:val="162"/>
        </w:numPr>
        <w:tabs>
          <w:tab w:val="left" w:pos="360"/>
        </w:tabs>
        <w:spacing w:after="120" w:line="240" w:lineRule="auto"/>
        <w:ind w:left="330" w:right="331"/>
        <w:rPr>
          <w:rStyle w:val="Hyperlink"/>
          <w:rFonts w:ascii="Arial" w:hAnsi="Arial"/>
          <w:color w:val="auto"/>
          <w:sz w:val="20"/>
          <w:u w:val="none"/>
        </w:rPr>
      </w:pPr>
      <w:r>
        <w:rPr>
          <w:rStyle w:val="Hyperlink"/>
          <w:rFonts w:ascii="Arial" w:hAnsi="Arial"/>
          <w:b/>
          <w:color w:val="auto"/>
          <w:sz w:val="20"/>
          <w:u w:val="none"/>
        </w:rPr>
        <w:t xml:space="preserve">III.ii.1.A.3 - </w:t>
      </w:r>
      <w:r w:rsidR="0015741D" w:rsidRPr="00430EBF">
        <w:rPr>
          <w:rStyle w:val="Hyperlink"/>
          <w:rFonts w:ascii="Arial" w:hAnsi="Arial"/>
          <w:b/>
          <w:color w:val="auto"/>
          <w:sz w:val="20"/>
          <w:u w:val="none"/>
        </w:rPr>
        <w:t xml:space="preserve">III.ii.1.A.3.b </w:t>
      </w:r>
      <w:r w:rsidR="0015741D" w:rsidRPr="00430EBF">
        <w:rPr>
          <w:rStyle w:val="Hyperlink"/>
          <w:rFonts w:ascii="Arial" w:hAnsi="Arial"/>
          <w:color w:val="auto"/>
          <w:sz w:val="20"/>
          <w:u w:val="none"/>
        </w:rPr>
        <w:t>table for</w:t>
      </w:r>
      <w:r w:rsidR="00F47D8B" w:rsidRPr="00430EBF">
        <w:rPr>
          <w:rStyle w:val="Hyperlink"/>
          <w:rFonts w:ascii="Arial" w:hAnsi="Arial"/>
          <w:b/>
          <w:color w:val="auto"/>
          <w:sz w:val="20"/>
          <w:u w:val="none"/>
        </w:rPr>
        <w:t xml:space="preserve"> </w:t>
      </w:r>
      <w:r w:rsidR="0015741D" w:rsidRPr="00430EBF">
        <w:rPr>
          <w:rStyle w:val="Hyperlink"/>
          <w:rFonts w:ascii="Arial" w:hAnsi="Arial"/>
          <w:color w:val="auto"/>
          <w:sz w:val="20"/>
          <w:u w:val="none"/>
        </w:rPr>
        <w:t>claims</w:t>
      </w:r>
      <w:r w:rsidR="0015741D" w:rsidRPr="00430EBF">
        <w:rPr>
          <w:rStyle w:val="Hyperlink"/>
          <w:rFonts w:ascii="Arial" w:hAnsi="Arial"/>
          <w:b/>
          <w:color w:val="auto"/>
          <w:sz w:val="20"/>
          <w:u w:val="none"/>
        </w:rPr>
        <w:t xml:space="preserve"> </w:t>
      </w:r>
      <w:r w:rsidR="00F47D8B" w:rsidRPr="00430EBF">
        <w:rPr>
          <w:rStyle w:val="Hyperlink"/>
          <w:rFonts w:ascii="Arial" w:hAnsi="Arial"/>
          <w:color w:val="auto"/>
          <w:sz w:val="20"/>
          <w:u w:val="none"/>
        </w:rPr>
        <w:t xml:space="preserve">inextricably intertwined </w:t>
      </w:r>
      <w:r w:rsidR="0015741D" w:rsidRPr="00430EBF">
        <w:rPr>
          <w:rStyle w:val="Hyperlink"/>
          <w:rFonts w:ascii="Arial" w:hAnsi="Arial"/>
          <w:color w:val="auto"/>
          <w:sz w:val="20"/>
          <w:u w:val="none"/>
        </w:rPr>
        <w:t xml:space="preserve">with Appeals issues &amp; </w:t>
      </w:r>
      <w:r w:rsidR="00F47D8B" w:rsidRPr="00430EBF">
        <w:rPr>
          <w:rStyle w:val="Hyperlink"/>
          <w:rFonts w:ascii="Arial" w:hAnsi="Arial"/>
          <w:bCs/>
          <w:color w:val="auto"/>
          <w:sz w:val="20"/>
          <w:u w:val="none"/>
        </w:rPr>
        <w:t>notify</w:t>
      </w:r>
      <w:r w:rsidR="0015741D" w:rsidRPr="00430EBF">
        <w:rPr>
          <w:rStyle w:val="Hyperlink"/>
          <w:rFonts w:ascii="Arial" w:hAnsi="Arial"/>
          <w:bCs/>
          <w:color w:val="auto"/>
          <w:sz w:val="20"/>
          <w:u w:val="none"/>
        </w:rPr>
        <w:t>ing the</w:t>
      </w:r>
      <w:r w:rsidR="00F47D8B" w:rsidRPr="00430EBF">
        <w:rPr>
          <w:rStyle w:val="Hyperlink"/>
          <w:rFonts w:ascii="Arial" w:hAnsi="Arial"/>
          <w:bCs/>
          <w:color w:val="auto"/>
          <w:sz w:val="20"/>
          <w:u w:val="none"/>
        </w:rPr>
        <w:t xml:space="preserve"> veteran if contention is already on Appeal</w:t>
      </w:r>
      <w:r w:rsidR="00795566" w:rsidRPr="00430EBF">
        <w:rPr>
          <w:rStyle w:val="Hyperlink"/>
          <w:rFonts w:ascii="Arial" w:hAnsi="Arial"/>
          <w:bCs/>
          <w:color w:val="auto"/>
          <w:sz w:val="20"/>
          <w:u w:val="none"/>
        </w:rPr>
        <w:t xml:space="preserve">; </w:t>
      </w:r>
      <w:hyperlink r:id="rId348" w:history="1">
        <w:r w:rsidR="00795566" w:rsidRPr="00430EBF">
          <w:rPr>
            <w:rStyle w:val="Hyperlink"/>
            <w:rFonts w:ascii="Arial" w:hAnsi="Arial"/>
            <w:b/>
            <w:bCs/>
            <w:i/>
            <w:sz w:val="20"/>
          </w:rPr>
          <w:t>December 2017 Quality Call Notes</w:t>
        </w:r>
      </w:hyperlink>
      <w:r w:rsidR="00795566" w:rsidRPr="00430EBF">
        <w:rPr>
          <w:rStyle w:val="Hyperlink"/>
          <w:rFonts w:ascii="Arial" w:hAnsi="Arial"/>
          <w:b/>
          <w:color w:val="auto"/>
          <w:sz w:val="20"/>
          <w:u w:val="none"/>
        </w:rPr>
        <w:t xml:space="preserve"> </w:t>
      </w:r>
      <w:r w:rsidR="00795566" w:rsidRPr="00430EBF">
        <w:rPr>
          <w:rStyle w:val="Hyperlink"/>
          <w:rFonts w:ascii="Arial" w:hAnsi="Arial"/>
          <w:color w:val="auto"/>
          <w:sz w:val="20"/>
          <w:u w:val="none"/>
        </w:rPr>
        <w:t xml:space="preserve">– </w:t>
      </w:r>
      <w:r w:rsidR="00795566" w:rsidRPr="00430EBF">
        <w:rPr>
          <w:rStyle w:val="Hyperlink"/>
          <w:rFonts w:ascii="Arial" w:hAnsi="Arial"/>
          <w:b/>
          <w:color w:val="auto"/>
          <w:sz w:val="20"/>
          <w:u w:val="none"/>
        </w:rPr>
        <w:t xml:space="preserve">IV.ii.2.F </w:t>
      </w:r>
      <w:r w:rsidR="00795566" w:rsidRPr="00430EBF">
        <w:rPr>
          <w:rStyle w:val="Hyperlink"/>
          <w:rFonts w:ascii="Arial" w:hAnsi="Arial"/>
          <w:color w:val="auto"/>
          <w:sz w:val="20"/>
          <w:u w:val="none"/>
        </w:rPr>
        <w:t>–</w:t>
      </w:r>
      <w:r w:rsidR="007F2B02">
        <w:rPr>
          <w:rStyle w:val="Hyperlink"/>
          <w:rFonts w:ascii="Arial" w:hAnsi="Arial"/>
          <w:color w:val="auto"/>
          <w:sz w:val="20"/>
          <w:u w:val="none"/>
        </w:rPr>
        <w:t xml:space="preserve"> RVSRs can</w:t>
      </w:r>
      <w:r w:rsidR="00795566" w:rsidRPr="00430EBF">
        <w:rPr>
          <w:rStyle w:val="Hyperlink"/>
          <w:rFonts w:ascii="Arial" w:hAnsi="Arial"/>
          <w:color w:val="auto"/>
          <w:sz w:val="20"/>
          <w:u w:val="none"/>
        </w:rPr>
        <w:t xml:space="preserve"> rate IU with a rating EP, but if </w:t>
      </w:r>
      <w:r w:rsidR="007F2B02">
        <w:rPr>
          <w:rStyle w:val="Hyperlink"/>
          <w:rFonts w:ascii="Arial" w:hAnsi="Arial"/>
          <w:color w:val="auto"/>
          <w:sz w:val="20"/>
          <w:u w:val="none"/>
        </w:rPr>
        <w:t xml:space="preserve">IU is </w:t>
      </w:r>
      <w:r w:rsidR="00795566" w:rsidRPr="00430EBF">
        <w:rPr>
          <w:rStyle w:val="Hyperlink"/>
          <w:rFonts w:ascii="Arial" w:hAnsi="Arial"/>
          <w:color w:val="auto"/>
          <w:sz w:val="20"/>
          <w:u w:val="none"/>
        </w:rPr>
        <w:t>denied, it will be incorporated into Appeal (if at RO &amp; for CFI for disability claimed to cause IU); BUT, if have Appeal for IU &amp; rating denies CFI for disability claimed to cause IU, that disability will NOT be incorporated into Appeal (unless specifically appealed by veteran)</w:t>
      </w:r>
    </w:p>
    <w:p w:rsidR="00380054" w:rsidRPr="007F2B02" w:rsidRDefault="00F47D8B" w:rsidP="00F063AF">
      <w:pPr>
        <w:pStyle w:val="ListParagraph"/>
        <w:widowControl w:val="0"/>
        <w:numPr>
          <w:ilvl w:val="0"/>
          <w:numId w:val="162"/>
        </w:numPr>
        <w:tabs>
          <w:tab w:val="left" w:pos="360"/>
        </w:tabs>
        <w:spacing w:after="120" w:line="240" w:lineRule="auto"/>
        <w:ind w:left="360"/>
        <w:rPr>
          <w:b/>
          <w:bCs/>
          <w:szCs w:val="24"/>
        </w:rPr>
      </w:pPr>
      <w:r>
        <w:rPr>
          <w:rStyle w:val="Hyperlink"/>
          <w:rFonts w:ascii="Arial" w:hAnsi="Arial"/>
          <w:b/>
          <w:color w:val="auto"/>
          <w:sz w:val="20"/>
          <w:szCs w:val="20"/>
          <w:u w:val="none"/>
        </w:rPr>
        <w:t>III.ii.3</w:t>
      </w:r>
      <w:r w:rsidR="00A66FB8">
        <w:rPr>
          <w:rStyle w:val="Hyperlink"/>
          <w:rFonts w:ascii="Arial" w:hAnsi="Arial"/>
          <w:color w:val="auto"/>
          <w:sz w:val="20"/>
          <w:szCs w:val="20"/>
          <w:u w:val="none"/>
        </w:rPr>
        <w:t xml:space="preserve"> –</w:t>
      </w:r>
      <w:r w:rsidR="00430EBF">
        <w:rPr>
          <w:rStyle w:val="Hyperlink"/>
          <w:rFonts w:ascii="Arial" w:hAnsi="Arial"/>
          <w:color w:val="auto"/>
          <w:sz w:val="20"/>
          <w:szCs w:val="20"/>
          <w:u w:val="none"/>
        </w:rPr>
        <w:t xml:space="preserve"> </w:t>
      </w:r>
      <w:r w:rsidR="00430EBF" w:rsidRPr="00430EBF">
        <w:rPr>
          <w:rStyle w:val="Hyperlink"/>
          <w:rFonts w:ascii="Arial" w:hAnsi="Arial"/>
          <w:b/>
          <w:color w:val="auto"/>
          <w:sz w:val="20"/>
          <w:szCs w:val="20"/>
          <w:u w:val="none"/>
        </w:rPr>
        <w:t>III.ii.3.E.1.d</w:t>
      </w:r>
      <w:r w:rsidR="00430EBF">
        <w:rPr>
          <w:rStyle w:val="Hyperlink"/>
          <w:rFonts w:ascii="Arial" w:hAnsi="Arial"/>
          <w:color w:val="auto"/>
          <w:sz w:val="20"/>
          <w:szCs w:val="20"/>
          <w:u w:val="none"/>
        </w:rPr>
        <w:t xml:space="preserve"> –</w:t>
      </w:r>
      <w:r w:rsidR="006803FC">
        <w:rPr>
          <w:rStyle w:val="Hyperlink"/>
          <w:rFonts w:ascii="Arial" w:hAnsi="Arial"/>
          <w:color w:val="auto"/>
          <w:sz w:val="20"/>
          <w:szCs w:val="20"/>
          <w:u w:val="none"/>
        </w:rPr>
        <w:t xml:space="preserve"> if not on 0958, it’s an </w:t>
      </w:r>
      <w:r w:rsidR="00430EBF">
        <w:rPr>
          <w:rStyle w:val="Hyperlink"/>
          <w:rFonts w:ascii="Arial" w:hAnsi="Arial"/>
          <w:color w:val="auto"/>
          <w:sz w:val="20"/>
          <w:szCs w:val="20"/>
          <w:u w:val="none"/>
        </w:rPr>
        <w:t>RFA</w:t>
      </w:r>
      <w:r w:rsidR="006803FC">
        <w:rPr>
          <w:rStyle w:val="Hyperlink"/>
          <w:rFonts w:ascii="Arial" w:hAnsi="Arial"/>
          <w:color w:val="auto"/>
          <w:sz w:val="20"/>
          <w:szCs w:val="20"/>
          <w:u w:val="none"/>
        </w:rPr>
        <w:t>/request</w:t>
      </w:r>
      <w:r w:rsidR="00430EBF">
        <w:rPr>
          <w:rStyle w:val="Hyperlink"/>
          <w:rFonts w:ascii="Arial" w:hAnsi="Arial"/>
          <w:color w:val="auto"/>
          <w:sz w:val="20"/>
          <w:szCs w:val="20"/>
          <w:u w:val="none"/>
        </w:rPr>
        <w:t xml:space="preserve"> for NOD</w:t>
      </w:r>
      <w:r w:rsidR="003B02C0">
        <w:rPr>
          <w:rStyle w:val="Hyperlink"/>
          <w:rFonts w:ascii="Arial" w:hAnsi="Arial"/>
          <w:color w:val="auto"/>
          <w:sz w:val="20"/>
          <w:szCs w:val="20"/>
          <w:u w:val="none"/>
        </w:rPr>
        <w:t xml:space="preserve"> (but </w:t>
      </w:r>
      <w:r w:rsidR="006803FC">
        <w:rPr>
          <w:rStyle w:val="Hyperlink"/>
          <w:rFonts w:ascii="Arial" w:hAnsi="Arial"/>
          <w:color w:val="auto"/>
          <w:sz w:val="20"/>
          <w:szCs w:val="20"/>
          <w:u w:val="none"/>
        </w:rPr>
        <w:t xml:space="preserve">0958 </w:t>
      </w:r>
      <w:r w:rsidR="003B02C0">
        <w:rPr>
          <w:rStyle w:val="Hyperlink"/>
          <w:rFonts w:ascii="Arial" w:hAnsi="Arial"/>
          <w:color w:val="auto"/>
          <w:sz w:val="20"/>
          <w:szCs w:val="20"/>
          <w:u w:val="none"/>
        </w:rPr>
        <w:t xml:space="preserve">still must be timely, RFA for NOD does </w:t>
      </w:r>
      <w:r w:rsidR="003B02C0" w:rsidRPr="006803FC">
        <w:rPr>
          <w:rStyle w:val="Hyperlink"/>
          <w:rFonts w:ascii="Arial" w:hAnsi="Arial"/>
          <w:color w:val="auto"/>
          <w:sz w:val="20"/>
          <w:szCs w:val="20"/>
        </w:rPr>
        <w:t>not</w:t>
      </w:r>
      <w:r w:rsidR="003B02C0">
        <w:rPr>
          <w:rStyle w:val="Hyperlink"/>
          <w:rFonts w:ascii="Arial" w:hAnsi="Arial"/>
          <w:color w:val="auto"/>
          <w:sz w:val="20"/>
          <w:szCs w:val="20"/>
          <w:u w:val="none"/>
        </w:rPr>
        <w:t xml:space="preserve"> extend 1 year timeframe</w:t>
      </w:r>
      <w:r w:rsidR="00AE2AF4">
        <w:rPr>
          <w:rStyle w:val="Hyperlink"/>
          <w:rFonts w:ascii="Arial" w:hAnsi="Arial"/>
          <w:color w:val="auto"/>
          <w:sz w:val="20"/>
          <w:szCs w:val="20"/>
          <w:u w:val="none"/>
        </w:rPr>
        <w:t xml:space="preserve">); </w:t>
      </w:r>
      <w:r w:rsidR="00AE2AF4" w:rsidRPr="003B02C0">
        <w:rPr>
          <w:rStyle w:val="Hyperlink"/>
          <w:rFonts w:ascii="Arial" w:hAnsi="Arial"/>
          <w:b/>
          <w:color w:val="auto"/>
          <w:sz w:val="20"/>
          <w:szCs w:val="20"/>
          <w:u w:val="none"/>
        </w:rPr>
        <w:t>III.ii.3.E.1.j</w:t>
      </w:r>
      <w:r w:rsidR="00AE2AF4">
        <w:rPr>
          <w:rStyle w:val="Hyperlink"/>
          <w:rFonts w:ascii="Arial" w:hAnsi="Arial"/>
          <w:color w:val="auto"/>
          <w:sz w:val="20"/>
          <w:szCs w:val="20"/>
          <w:u w:val="none"/>
        </w:rPr>
        <w:t xml:space="preserve"> - i</w:t>
      </w:r>
      <w:r w:rsidR="003B02C0">
        <w:rPr>
          <w:rStyle w:val="Hyperlink"/>
          <w:rFonts w:ascii="Arial" w:hAnsi="Arial"/>
          <w:color w:val="auto"/>
          <w:sz w:val="20"/>
          <w:szCs w:val="20"/>
          <w:u w:val="none"/>
        </w:rPr>
        <w:t>f NOD not on 0958 &amp; outside year, it’s an untimely NOD; must be on Sept 2015 version of 0958; incomplete NODs on valid form can get 60 days extension on the 1 year</w:t>
      </w:r>
      <w:r w:rsidR="00430EBF">
        <w:rPr>
          <w:rStyle w:val="Hyperlink"/>
          <w:rFonts w:ascii="Arial" w:hAnsi="Arial"/>
          <w:color w:val="auto"/>
          <w:sz w:val="20"/>
          <w:szCs w:val="20"/>
          <w:u w:val="none"/>
        </w:rPr>
        <w:t>;</w:t>
      </w:r>
      <w:r w:rsidR="00A66FB8">
        <w:rPr>
          <w:rStyle w:val="Hyperlink"/>
          <w:rFonts w:ascii="Arial" w:hAnsi="Arial"/>
          <w:color w:val="auto"/>
          <w:sz w:val="20"/>
          <w:szCs w:val="20"/>
          <w:u w:val="none"/>
        </w:rPr>
        <w:t xml:space="preserve"> </w:t>
      </w:r>
      <w:r w:rsidR="006803FC" w:rsidRPr="006803FC">
        <w:rPr>
          <w:rStyle w:val="Hyperlink"/>
          <w:rFonts w:ascii="Arial" w:hAnsi="Arial"/>
          <w:b/>
          <w:color w:val="auto"/>
          <w:sz w:val="20"/>
          <w:szCs w:val="20"/>
          <w:u w:val="none"/>
        </w:rPr>
        <w:t>III.ii.3.E.1.e</w:t>
      </w:r>
      <w:r w:rsidR="006803FC">
        <w:rPr>
          <w:rStyle w:val="Hyperlink"/>
          <w:rFonts w:ascii="Arial" w:hAnsi="Arial"/>
          <w:color w:val="auto"/>
          <w:sz w:val="20"/>
          <w:szCs w:val="20"/>
          <w:u w:val="none"/>
        </w:rPr>
        <w:t xml:space="preserve"> – invalid premature NODs; </w:t>
      </w:r>
      <w:r w:rsidR="007D1402">
        <w:rPr>
          <w:rStyle w:val="Hyperlink"/>
          <w:rFonts w:ascii="Arial" w:hAnsi="Arial"/>
          <w:b/>
          <w:color w:val="auto"/>
          <w:sz w:val="20"/>
          <w:szCs w:val="20"/>
          <w:u w:val="none"/>
        </w:rPr>
        <w:t>III.ii.3.E.1.k</w:t>
      </w:r>
      <w:r w:rsidR="00A66FB8">
        <w:rPr>
          <w:rStyle w:val="Hyperlink"/>
          <w:rFonts w:ascii="Arial" w:hAnsi="Arial"/>
          <w:color w:val="auto"/>
          <w:sz w:val="20"/>
          <w:szCs w:val="20"/>
          <w:u w:val="none"/>
        </w:rPr>
        <w:t xml:space="preserve"> table for how to handle NODs on pending claim issues</w:t>
      </w:r>
      <w:r w:rsidR="00647939">
        <w:rPr>
          <w:rStyle w:val="Hyperlink"/>
          <w:rFonts w:ascii="Arial" w:hAnsi="Arial"/>
          <w:color w:val="auto"/>
          <w:sz w:val="20"/>
          <w:szCs w:val="20"/>
          <w:u w:val="none"/>
        </w:rPr>
        <w:t>; clarifications have to come in on 0958 too (have 60 days), unless on 0820</w:t>
      </w:r>
    </w:p>
    <w:p w:rsidR="00553C73" w:rsidRDefault="00553C73" w:rsidP="00104902"/>
    <w:p w:rsidR="00553C73" w:rsidRPr="00104902" w:rsidRDefault="00553C73" w:rsidP="00104902">
      <w:r w:rsidRPr="00553C73">
        <w:rPr>
          <w:b/>
          <w:u w:val="single"/>
        </w:rPr>
        <w:t>July 2014 VACOLS training</w:t>
      </w:r>
      <w:r>
        <w:t xml:space="preserve"> (Destiny) – even if claiming IU d/t SC conds &amp; SC conds are on Appeal, can still rate IU &amp; can grant increases from current claim, but make a note that they are on Appeal</w:t>
      </w:r>
    </w:p>
    <w:bookmarkEnd w:id="65"/>
    <w:p w:rsidR="00013EB8" w:rsidRDefault="00013EB8">
      <w:pPr>
        <w:widowControl w:val="0"/>
      </w:pPr>
    </w:p>
    <w:p w:rsidR="00013EB8" w:rsidRDefault="00013EB8">
      <w:pPr>
        <w:widowControl w:val="0"/>
        <w:numPr>
          <w:ilvl w:val="12"/>
          <w:numId w:val="0"/>
        </w:numPr>
        <w:spacing w:after="120"/>
      </w:pPr>
      <w:r>
        <w:t>***BVA decisions are final as of the date of the decision for VBA purposes (per Bob Bogue on 11/16/06), if veteran wants to appeal BVA decision, they have to contact the court in 120 days</w:t>
      </w:r>
    </w:p>
    <w:p w:rsidR="00013EB8" w:rsidRDefault="00013EB8" w:rsidP="00F063AF">
      <w:pPr>
        <w:widowControl w:val="0"/>
        <w:numPr>
          <w:ilvl w:val="0"/>
          <w:numId w:val="233"/>
        </w:numPr>
        <w:tabs>
          <w:tab w:val="left" w:pos="360"/>
        </w:tabs>
        <w:spacing w:after="120"/>
        <w:ind w:left="360"/>
      </w:pPr>
      <w:r>
        <w:rPr>
          <w:b/>
          <w:i/>
        </w:rPr>
        <w:t xml:space="preserve">Smith v. Derwinski </w:t>
      </w:r>
      <w:r w:rsidRPr="00F863FB">
        <w:t>(5/8/91)</w:t>
      </w:r>
      <w:r>
        <w:t xml:space="preserve"> - “Courts may take judicial notice of facts not subject to reasonable dispute.”</w:t>
      </w:r>
    </w:p>
    <w:p w:rsidR="00013EB8" w:rsidRDefault="00013EB8" w:rsidP="00F063AF">
      <w:pPr>
        <w:widowControl w:val="0"/>
        <w:numPr>
          <w:ilvl w:val="0"/>
          <w:numId w:val="233"/>
        </w:numPr>
        <w:tabs>
          <w:tab w:val="left" w:pos="360"/>
        </w:tabs>
        <w:spacing w:after="120"/>
        <w:ind w:left="360"/>
      </w:pPr>
      <w:r>
        <w:rPr>
          <w:b/>
          <w:i/>
        </w:rPr>
        <w:t>Brannon v. Derwinski</w:t>
      </w:r>
      <w:r>
        <w:rPr>
          <w:b/>
        </w:rPr>
        <w:t xml:space="preserve"> </w:t>
      </w:r>
      <w:r w:rsidRPr="00F863FB">
        <w:t>(6/11/91)</w:t>
      </w:r>
      <w:r>
        <w:rPr>
          <w:b/>
        </w:rPr>
        <w:t xml:space="preserve">  </w:t>
      </w:r>
      <w:r>
        <w:t>- NOD starts the ball rolling; what is “reasonably raised”</w:t>
      </w:r>
    </w:p>
    <w:p w:rsidR="00013EB8" w:rsidRDefault="00013EB8" w:rsidP="00F063AF">
      <w:pPr>
        <w:widowControl w:val="0"/>
        <w:numPr>
          <w:ilvl w:val="0"/>
          <w:numId w:val="233"/>
        </w:numPr>
        <w:tabs>
          <w:tab w:val="left" w:pos="360"/>
        </w:tabs>
        <w:spacing w:after="120"/>
        <w:ind w:left="360"/>
      </w:pPr>
      <w:r>
        <w:rPr>
          <w:b/>
          <w:i/>
        </w:rPr>
        <w:t>Proscelle v. Derwinski</w:t>
      </w:r>
      <w:r>
        <w:rPr>
          <w:b/>
        </w:rPr>
        <w:t xml:space="preserve"> </w:t>
      </w:r>
      <w:r w:rsidRPr="00F863FB">
        <w:t>(7/24/92)</w:t>
      </w:r>
      <w:r>
        <w:rPr>
          <w:b/>
        </w:rPr>
        <w:t xml:space="preserve"> </w:t>
      </w:r>
      <w:r>
        <w:t>- need valid NOD</w:t>
      </w:r>
    </w:p>
    <w:p w:rsidR="00013EB8" w:rsidRDefault="00013EB8" w:rsidP="00F063AF">
      <w:pPr>
        <w:widowControl w:val="0"/>
        <w:numPr>
          <w:ilvl w:val="0"/>
          <w:numId w:val="233"/>
        </w:numPr>
        <w:tabs>
          <w:tab w:val="left" w:pos="360"/>
        </w:tabs>
        <w:spacing w:after="120"/>
        <w:ind w:left="360"/>
      </w:pPr>
      <w:r>
        <w:rPr>
          <w:b/>
          <w:i/>
        </w:rPr>
        <w:t xml:space="preserve">Bernard v. Brown </w:t>
      </w:r>
      <w:r w:rsidRPr="00F863FB">
        <w:t>(3/22/93)</w:t>
      </w:r>
      <w:r>
        <w:t xml:space="preserve"> - sets forth the requirement that a specific sequence of events must take place before claimant may secure appellate review by BVA</w:t>
      </w:r>
    </w:p>
    <w:p w:rsidR="00013EB8" w:rsidRDefault="00013EB8" w:rsidP="00F063AF">
      <w:pPr>
        <w:widowControl w:val="0"/>
        <w:numPr>
          <w:ilvl w:val="0"/>
          <w:numId w:val="233"/>
        </w:numPr>
        <w:tabs>
          <w:tab w:val="left" w:pos="360"/>
        </w:tabs>
        <w:spacing w:after="120"/>
        <w:ind w:left="360"/>
      </w:pPr>
      <w:r>
        <w:rPr>
          <w:b/>
        </w:rPr>
        <w:t xml:space="preserve">Grantham 114 F.3d. 1156 (Fed. Cir. 1997). (Vol. #5)  </w:t>
      </w:r>
      <w:r>
        <w:t xml:space="preserve">- downstream analysis [follows Holland, states can only appeal % &amp; </w:t>
      </w:r>
      <w:r w:rsidR="004F315B">
        <w:t>effective date</w:t>
      </w:r>
      <w:r>
        <w:t xml:space="preserve"> AFTER SC is granted]</w:t>
      </w:r>
    </w:p>
    <w:p w:rsidR="00013EB8" w:rsidRDefault="00013EB8" w:rsidP="00F063AF">
      <w:pPr>
        <w:widowControl w:val="0"/>
        <w:numPr>
          <w:ilvl w:val="0"/>
          <w:numId w:val="233"/>
        </w:numPr>
        <w:tabs>
          <w:tab w:val="left" w:pos="360"/>
        </w:tabs>
        <w:spacing w:after="120"/>
        <w:ind w:left="360"/>
      </w:pPr>
      <w:r>
        <w:rPr>
          <w:b/>
          <w:i/>
        </w:rPr>
        <w:t>Stegall v. West</w:t>
      </w:r>
      <w:r>
        <w:rPr>
          <w:b/>
        </w:rPr>
        <w:t xml:space="preserve"> </w:t>
      </w:r>
      <w:r w:rsidRPr="00F863FB">
        <w:t xml:space="preserve">(6/26/98) </w:t>
      </w:r>
      <w:r>
        <w:t>- compliance with BVA Remand instructions</w:t>
      </w:r>
    </w:p>
    <w:p w:rsidR="00013EB8" w:rsidRDefault="00013EB8" w:rsidP="00F063AF">
      <w:pPr>
        <w:widowControl w:val="0"/>
        <w:numPr>
          <w:ilvl w:val="0"/>
          <w:numId w:val="233"/>
        </w:numPr>
        <w:tabs>
          <w:tab w:val="left" w:pos="360"/>
        </w:tabs>
        <w:spacing w:after="120"/>
        <w:ind w:left="360"/>
      </w:pPr>
      <w:r>
        <w:rPr>
          <w:b/>
          <w:i/>
        </w:rPr>
        <w:t>Bailey v. West</w:t>
      </w:r>
      <w:r>
        <w:rPr>
          <w:b/>
        </w:rPr>
        <w:t xml:space="preserve"> </w:t>
      </w:r>
      <w:r w:rsidRPr="00F863FB">
        <w:t>(11/9/98)</w:t>
      </w:r>
      <w:r>
        <w:t xml:space="preserve"> -misinformation binds the VA</w:t>
      </w:r>
    </w:p>
    <w:p w:rsidR="00013EB8" w:rsidRDefault="00013EB8" w:rsidP="00F063AF">
      <w:pPr>
        <w:widowControl w:val="0"/>
        <w:numPr>
          <w:ilvl w:val="0"/>
          <w:numId w:val="233"/>
        </w:numPr>
        <w:tabs>
          <w:tab w:val="left" w:pos="360"/>
        </w:tabs>
        <w:spacing w:after="120"/>
        <w:ind w:left="360"/>
      </w:pPr>
      <w:r>
        <w:rPr>
          <w:b/>
          <w:i/>
        </w:rPr>
        <w:t>Breeden v. West</w:t>
      </w:r>
      <w:r>
        <w:rPr>
          <w:b/>
        </w:rPr>
        <w:t xml:space="preserve"> </w:t>
      </w:r>
      <w:r w:rsidRPr="00F863FB">
        <w:t>(3/17/00)</w:t>
      </w:r>
      <w:r>
        <w:t xml:space="preserve"> - sets forth the process of “plain meaning”</w:t>
      </w:r>
    </w:p>
    <w:p w:rsidR="00013EB8" w:rsidRDefault="00013EB8" w:rsidP="00F063AF">
      <w:pPr>
        <w:widowControl w:val="0"/>
        <w:numPr>
          <w:ilvl w:val="0"/>
          <w:numId w:val="233"/>
        </w:numPr>
        <w:tabs>
          <w:tab w:val="left" w:pos="360"/>
        </w:tabs>
        <w:spacing w:after="120"/>
        <w:ind w:left="360"/>
      </w:pPr>
      <w:r>
        <w:rPr>
          <w:b/>
          <w:i/>
        </w:rPr>
        <w:t>Redding v. West</w:t>
      </w:r>
      <w:r>
        <w:rPr>
          <w:b/>
        </w:rPr>
        <w:t xml:space="preserve"> </w:t>
      </w:r>
      <w:r w:rsidRPr="00F863FB">
        <w:t xml:space="preserve">(5/22/00) </w:t>
      </w:r>
      <w:r>
        <w:t>- in order to obtain review by the court a person must be ‘adversely affected’ by that decision in to file a Notice of Appeal, also establishes who can file NOD</w:t>
      </w:r>
    </w:p>
    <w:p w:rsidR="00013EB8" w:rsidRDefault="00013EB8" w:rsidP="00F063AF">
      <w:pPr>
        <w:widowControl w:val="0"/>
        <w:numPr>
          <w:ilvl w:val="0"/>
          <w:numId w:val="233"/>
        </w:numPr>
        <w:tabs>
          <w:tab w:val="left" w:pos="360"/>
        </w:tabs>
        <w:spacing w:after="120"/>
        <w:ind w:left="360"/>
      </w:pPr>
      <w:r>
        <w:rPr>
          <w:b/>
        </w:rPr>
        <w:t xml:space="preserve">Watershow 3/474 - </w:t>
      </w:r>
      <w:r>
        <w:t>standing to appeal- need to be adversely affected</w:t>
      </w:r>
    </w:p>
    <w:p w:rsidR="00013EB8" w:rsidRDefault="00013EB8" w:rsidP="00F063AF">
      <w:pPr>
        <w:widowControl w:val="0"/>
        <w:numPr>
          <w:ilvl w:val="0"/>
          <w:numId w:val="233"/>
        </w:numPr>
        <w:tabs>
          <w:tab w:val="left" w:pos="360"/>
        </w:tabs>
        <w:spacing w:after="120"/>
        <w:ind w:left="360"/>
      </w:pPr>
      <w:r>
        <w:rPr>
          <w:b/>
          <w:i/>
        </w:rPr>
        <w:t xml:space="preserve">Myers v. Principi </w:t>
      </w:r>
      <w:r w:rsidRPr="00F863FB">
        <w:t>(8/13/02)</w:t>
      </w:r>
      <w:r>
        <w:rPr>
          <w:b/>
        </w:rPr>
        <w:t xml:space="preserve"> </w:t>
      </w:r>
      <w:r>
        <w:t xml:space="preserve">- NOD, expression of dissatisfaction [liberally construe correspondence, </w:t>
      </w:r>
      <w:r w:rsidRPr="00040A3C">
        <w:rPr>
          <w:highlight w:val="darkGray"/>
        </w:rPr>
        <w:t>“reconsideration” is an NOD</w:t>
      </w:r>
      <w:r>
        <w:t>]</w:t>
      </w:r>
    </w:p>
    <w:p w:rsidR="00013EB8" w:rsidRDefault="00013EB8" w:rsidP="00F063AF">
      <w:pPr>
        <w:widowControl w:val="0"/>
        <w:numPr>
          <w:ilvl w:val="0"/>
          <w:numId w:val="233"/>
        </w:numPr>
        <w:tabs>
          <w:tab w:val="left" w:pos="360"/>
        </w:tabs>
        <w:spacing w:after="120"/>
        <w:ind w:left="360"/>
        <w:rPr>
          <w:b/>
        </w:rPr>
      </w:pPr>
      <w:r>
        <w:rPr>
          <w:b/>
          <w:i/>
        </w:rPr>
        <w:t>Davis v. Principi</w:t>
      </w:r>
      <w:r>
        <w:rPr>
          <w:b/>
        </w:rPr>
        <w:t xml:space="preserve"> </w:t>
      </w:r>
      <w:r w:rsidRPr="00F863FB">
        <w:t>(3/18/03)</w:t>
      </w:r>
      <w:r>
        <w:rPr>
          <w:b/>
        </w:rPr>
        <w:t xml:space="preserve"> </w:t>
      </w:r>
      <w:r>
        <w:t>- presumption of regularity is discussed</w:t>
      </w:r>
    </w:p>
    <w:p w:rsidR="00013EB8" w:rsidRDefault="00013EB8" w:rsidP="00F063AF">
      <w:pPr>
        <w:widowControl w:val="0"/>
        <w:numPr>
          <w:ilvl w:val="0"/>
          <w:numId w:val="233"/>
        </w:numPr>
        <w:tabs>
          <w:tab w:val="left" w:pos="360"/>
        </w:tabs>
        <w:spacing w:after="120"/>
        <w:ind w:left="360"/>
      </w:pPr>
      <w:r>
        <w:rPr>
          <w:b/>
        </w:rPr>
        <w:t xml:space="preserve">McCullough 15/272 at 275 </w:t>
      </w:r>
      <w:r>
        <w:t>- presumption of regularity [if it’s put in the mail, we presume that it’s mailed, for final decisions]</w:t>
      </w:r>
    </w:p>
    <w:p w:rsidR="00013EB8" w:rsidRDefault="00013EB8" w:rsidP="00F063AF">
      <w:pPr>
        <w:widowControl w:val="0"/>
        <w:numPr>
          <w:ilvl w:val="0"/>
          <w:numId w:val="233"/>
        </w:numPr>
        <w:tabs>
          <w:tab w:val="left" w:pos="360"/>
        </w:tabs>
        <w:spacing w:after="120"/>
        <w:ind w:left="360"/>
      </w:pPr>
      <w:r>
        <w:rPr>
          <w:b/>
        </w:rPr>
        <w:t>Jaquay, 16/ 304 Fed. Rep. 3d, 1276</w:t>
      </w:r>
      <w:r>
        <w:t xml:space="preserve"> - tolling of period to file an NOA of a BVA decision with the Court when the notice is erroneously sent to RO which had been assisting with development of the claim</w:t>
      </w:r>
    </w:p>
    <w:p w:rsidR="00013EB8" w:rsidRDefault="00013EB8" w:rsidP="00F063AF">
      <w:pPr>
        <w:pStyle w:val="HTMLPreformatted"/>
        <w:widowControl w:val="0"/>
        <w:numPr>
          <w:ilvl w:val="0"/>
          <w:numId w:val="233"/>
        </w:numPr>
        <w:spacing w:after="120"/>
        <w:ind w:left="360"/>
        <w:rPr>
          <w:rFonts w:ascii="Arial" w:hAnsi="Arial"/>
        </w:rPr>
      </w:pPr>
      <w:r>
        <w:rPr>
          <w:rFonts w:ascii="Arial" w:hAnsi="Arial"/>
          <w:b/>
          <w:i/>
        </w:rPr>
        <w:t xml:space="preserve">VAOPGCPREC 14-2001 </w:t>
      </w:r>
      <w:r w:rsidRPr="00F863FB">
        <w:rPr>
          <w:rFonts w:ascii="Arial" w:hAnsi="Arial"/>
        </w:rPr>
        <w:t>(12/14/01)</w:t>
      </w:r>
      <w:r w:rsidR="00F863FB">
        <w:rPr>
          <w:rFonts w:ascii="Arial" w:hAnsi="Arial"/>
        </w:rPr>
        <w:t xml:space="preserve"> </w:t>
      </w:r>
      <w:r w:rsidRPr="00F863FB">
        <w:rPr>
          <w:rFonts w:ascii="Arial" w:hAnsi="Arial"/>
        </w:rPr>
        <w:t>-</w:t>
      </w:r>
      <w:r>
        <w:rPr>
          <w:rFonts w:ascii="Arial" w:hAnsi="Arial"/>
        </w:rPr>
        <w:t xml:space="preserve"> BVA may either remand a case to the agency of original jurisdiction (AOJ) or direct its own personnel to undertake the action necessary</w:t>
      </w:r>
    </w:p>
    <w:p w:rsidR="00013EB8" w:rsidRDefault="00013EB8" w:rsidP="00F063AF">
      <w:pPr>
        <w:pStyle w:val="HTMLPreformatted"/>
        <w:widowControl w:val="0"/>
        <w:numPr>
          <w:ilvl w:val="0"/>
          <w:numId w:val="233"/>
        </w:numPr>
        <w:spacing w:after="120"/>
        <w:ind w:left="360"/>
        <w:rPr>
          <w:rFonts w:ascii="Arial" w:hAnsi="Arial"/>
        </w:rPr>
      </w:pPr>
      <w:r>
        <w:rPr>
          <w:rFonts w:ascii="Arial" w:hAnsi="Arial"/>
          <w:b/>
          <w:i/>
        </w:rPr>
        <w:t xml:space="preserve">VAOPGCPREC 1-2003 </w:t>
      </w:r>
      <w:r w:rsidRPr="00F863FB">
        <w:rPr>
          <w:rFonts w:ascii="Arial" w:hAnsi="Arial"/>
        </w:rPr>
        <w:t>(5/21/03)</w:t>
      </w:r>
      <w:r w:rsidR="00F863FB">
        <w:rPr>
          <w:rFonts w:ascii="Arial" w:hAnsi="Arial"/>
          <w:b/>
          <w:i/>
        </w:rPr>
        <w:t xml:space="preserve"> </w:t>
      </w:r>
      <w:r>
        <w:rPr>
          <w:rFonts w:ascii="Arial" w:hAnsi="Arial"/>
        </w:rPr>
        <w:t>- The DAV decision does not prohibit BVA from developing evidence in a case, provided that the BVA does not adjudicate the claim based on any new evidence it obtains unless the claimant waives initial consideration of such evidence by first-tier adjudicators in the VBA.  BVA may adjudicate claims where new evidence has been obtained if the appellant waives initial consideration of the new evidence by VBA.</w:t>
      </w:r>
    </w:p>
    <w:p w:rsidR="00013EB8" w:rsidRDefault="00013EB8" w:rsidP="00F063AF">
      <w:pPr>
        <w:pStyle w:val="HTMLPreformatted"/>
        <w:widowControl w:val="0"/>
        <w:numPr>
          <w:ilvl w:val="0"/>
          <w:numId w:val="233"/>
        </w:numPr>
        <w:spacing w:after="120"/>
        <w:ind w:left="360"/>
        <w:rPr>
          <w:rFonts w:ascii="Arial" w:hAnsi="Arial"/>
        </w:rPr>
      </w:pPr>
      <w:r>
        <w:rPr>
          <w:rFonts w:ascii="Arial" w:hAnsi="Arial"/>
          <w:b/>
          <w:i/>
        </w:rPr>
        <w:t xml:space="preserve">VAOPGCPREC 8-2003 </w:t>
      </w:r>
      <w:r w:rsidRPr="00F863FB">
        <w:rPr>
          <w:rFonts w:ascii="Arial" w:hAnsi="Arial"/>
        </w:rPr>
        <w:t>(11/22/03)</w:t>
      </w:r>
      <w:r w:rsidR="00F863FB">
        <w:rPr>
          <w:rFonts w:ascii="Arial" w:hAnsi="Arial"/>
          <w:b/>
          <w:i/>
        </w:rPr>
        <w:t xml:space="preserve"> </w:t>
      </w:r>
      <w:r>
        <w:rPr>
          <w:rFonts w:ascii="Arial" w:hAnsi="Arial"/>
        </w:rPr>
        <w:t>- VA, upon receipt of a complete or substantially complete application, must notify the claimant of the information and evidence necessary to substantiate the claim for benefits. Upon receipt of a notice of disagreement in response to a decision on a claim, the “agency of original jurisdiction” must take development or review action it deems proper under applicable regulations and issue a statement of the case if the action does not resolve the disagreement either by grant of the benefits sought or withdrawal of the notice of disagreement. If, in response to notice of its decision on a claim for which VA has already given the section 5103(a) notice, VA receives a notice of disagreement that raises a new issue, section 7105(d) requires VA to take proper action and issue a statement of the case if the disagreement is not resolved, but section 5103(a) does not require VA to provide notice of the information and evidence necessary to substantiate the newly raised issue.</w:t>
      </w:r>
    </w:p>
    <w:p w:rsidR="0065132D" w:rsidRPr="00310440" w:rsidRDefault="00430EBF" w:rsidP="00F063AF">
      <w:pPr>
        <w:numPr>
          <w:ilvl w:val="0"/>
          <w:numId w:val="130"/>
        </w:numPr>
        <w:tabs>
          <w:tab w:val="left" w:pos="360"/>
        </w:tabs>
        <w:spacing w:after="120"/>
        <w:rPr>
          <w:color w:val="000000"/>
          <w:sz w:val="24"/>
          <w:szCs w:val="24"/>
        </w:rPr>
      </w:pPr>
      <w:r>
        <w:t>e</w:t>
      </w:r>
      <w:r w:rsidR="000738A5" w:rsidRPr="0065132D">
        <w:t xml:space="preserve">ffective 4/26/13, </w:t>
      </w:r>
      <w:r w:rsidR="000738A5" w:rsidRPr="0065132D">
        <w:rPr>
          <w:color w:val="000000"/>
        </w:rPr>
        <w:t xml:space="preserve">any letter issued with </w:t>
      </w:r>
      <w:r w:rsidR="000738A5" w:rsidRPr="0065132D">
        <w:t xml:space="preserve">Appeal Rights </w:t>
      </w:r>
      <w:r w:rsidR="000738A5" w:rsidRPr="0065132D">
        <w:rPr>
          <w:color w:val="000000"/>
        </w:rPr>
        <w:t xml:space="preserve">must include as an attachment </w:t>
      </w:r>
      <w:r w:rsidR="000738A5" w:rsidRPr="0065132D">
        <w:t>the new VA Form 21-0958 Notice of</w:t>
      </w:r>
      <w:r w:rsidR="000738A5">
        <w:t xml:space="preserve"> </w:t>
      </w:r>
      <w:r w:rsidR="000738A5" w:rsidRPr="0065132D">
        <w:t>Disagreement.</w:t>
      </w:r>
      <w:r w:rsidR="00A668BA" w:rsidRPr="0065132D">
        <w:t xml:space="preserve"> </w:t>
      </w:r>
      <w:r w:rsidR="00A668BA" w:rsidRPr="0065132D">
        <w:rPr>
          <w:i/>
        </w:rPr>
        <w:t>Provisional Ratings should not include Appeal Rights.</w:t>
      </w:r>
      <w:r w:rsidR="00B31796">
        <w:t xml:space="preserve"> Provisional guidance is in VBA Letter </w:t>
      </w:r>
      <w:hyperlink r:id="rId349" w:history="1">
        <w:r w:rsidR="00B31796" w:rsidRPr="00B31796">
          <w:rPr>
            <w:rStyle w:val="Hyperlink"/>
          </w:rPr>
          <w:t>20-13-05</w:t>
        </w:r>
      </w:hyperlink>
      <w:r w:rsidR="00B31796">
        <w:t xml:space="preserve"> (April 19, 2013) and VBA Letter </w:t>
      </w:r>
      <w:hyperlink r:id="rId350" w:history="1">
        <w:r w:rsidR="00B31796" w:rsidRPr="00B31796">
          <w:rPr>
            <w:rStyle w:val="Hyperlink"/>
          </w:rPr>
          <w:t>20-13-07</w:t>
        </w:r>
      </w:hyperlink>
      <w:r w:rsidR="00B31796">
        <w:t xml:space="preserve"> (June 21, </w:t>
      </w:r>
      <w:r w:rsidR="00B31796" w:rsidRPr="0030434B">
        <w:t>2013)</w:t>
      </w:r>
      <w:r w:rsidR="00813072" w:rsidRPr="0030434B">
        <w:t xml:space="preserve"> </w:t>
      </w:r>
      <w:r w:rsidR="00813072" w:rsidRPr="0030434B">
        <w:rPr>
          <w:b/>
        </w:rPr>
        <w:t>I.5.B</w:t>
      </w:r>
    </w:p>
    <w:p w:rsidR="00430EBF" w:rsidRPr="00430EBF" w:rsidRDefault="00430EBF" w:rsidP="00F063AF">
      <w:pPr>
        <w:numPr>
          <w:ilvl w:val="0"/>
          <w:numId w:val="130"/>
        </w:numPr>
        <w:tabs>
          <w:tab w:val="left" w:pos="360"/>
        </w:tabs>
        <w:spacing w:after="120"/>
        <w:rPr>
          <w:color w:val="000000"/>
          <w:sz w:val="24"/>
          <w:szCs w:val="24"/>
        </w:rPr>
      </w:pPr>
      <w:r>
        <w:rPr>
          <w:rStyle w:val="id-mask"/>
        </w:rPr>
        <w:t xml:space="preserve">effective </w:t>
      </w:r>
      <w:r w:rsidRPr="003C3882">
        <w:rPr>
          <w:rStyle w:val="id-mask"/>
          <w:highlight w:val="cyan"/>
        </w:rPr>
        <w:t>3/24/15</w:t>
      </w:r>
      <w:r>
        <w:rPr>
          <w:rStyle w:val="id-mask"/>
        </w:rPr>
        <w:t>, a NOD for compensation must be on a VA Form 21-0958 (ensure one was sent with notification letter, as there was a period where they were not sent)</w:t>
      </w:r>
    </w:p>
    <w:p w:rsidR="00310440" w:rsidRPr="00310440" w:rsidRDefault="00310440" w:rsidP="00F063AF">
      <w:pPr>
        <w:numPr>
          <w:ilvl w:val="0"/>
          <w:numId w:val="130"/>
        </w:numPr>
        <w:tabs>
          <w:tab w:val="left" w:pos="360"/>
        </w:tabs>
        <w:spacing w:after="120"/>
        <w:rPr>
          <w:color w:val="000000"/>
          <w:sz w:val="24"/>
          <w:szCs w:val="24"/>
        </w:rPr>
      </w:pPr>
      <w:r w:rsidRPr="00310440">
        <w:rPr>
          <w:b/>
        </w:rPr>
        <w:t>Rapid Appeals Modernization Program (RAMP)</w:t>
      </w:r>
      <w:r>
        <w:t xml:space="preserve"> – law effective February 2019, three lanes (</w:t>
      </w:r>
      <w:r w:rsidR="00EF2D20">
        <w:t>1-</w:t>
      </w:r>
      <w:r>
        <w:t xml:space="preserve">a Supplemental Claim lane, which provides an opportunity to submit additional evidence, </w:t>
      </w:r>
      <w:r w:rsidR="00EF2D20">
        <w:t>2-</w:t>
      </w:r>
      <w:r>
        <w:t xml:space="preserve">a Higher-Level Review lane, which consists of an entirely new review of the claim by a claims adjudicator with difference of opinion authority, and </w:t>
      </w:r>
      <w:r w:rsidR="00453135">
        <w:t>3-</w:t>
      </w:r>
      <w:r>
        <w:t>an Appeal lane that provides an opportunity to appeal directly to the Board of Veterans’ Appeals (Board)), RAMP initiative starts 11/1/</w:t>
      </w:r>
      <w:r w:rsidRPr="00310440">
        <w:t xml:space="preserve">17 </w:t>
      </w:r>
      <w:r w:rsidRPr="00310440">
        <w:rPr>
          <w:i/>
        </w:rPr>
        <w:t>[as of 4/4/18, email Beth Perkins or Damon Jenkins if discover a RAMP election with the eFolder of an appellant</w:t>
      </w:r>
      <w:r w:rsidR="00A66EEF">
        <w:rPr>
          <w:i/>
        </w:rPr>
        <w:t>]</w:t>
      </w:r>
      <w:r w:rsidR="00ED0144">
        <w:rPr>
          <w:i/>
        </w:rPr>
        <w:t xml:space="preserve"> [as of 4/4/18, letter tells them can see if can opt-in to RAMP on vets.gov]</w:t>
      </w:r>
      <w:r w:rsidR="00380F1C">
        <w:t>; will have 682</w:t>
      </w:r>
      <w:r w:rsidR="009C6FE2">
        <w:t xml:space="preserve"> (for Higher Level Review)</w:t>
      </w:r>
      <w:r w:rsidR="00380F1C">
        <w:t xml:space="preserve"> or 683</w:t>
      </w:r>
      <w:r w:rsidR="009C6FE2">
        <w:t xml:space="preserve"> (for Supplemental Claims)</w:t>
      </w:r>
      <w:r w:rsidR="00380F1C">
        <w:t>, 5 pilot stations only</w:t>
      </w:r>
      <w:r w:rsidR="009C6FE2">
        <w:t>; VACOLS status will say “HIS”</w:t>
      </w:r>
    </w:p>
    <w:p w:rsidR="00310440" w:rsidRPr="00310440" w:rsidRDefault="00310440" w:rsidP="00310440">
      <w:pPr>
        <w:pStyle w:val="ListParagraph"/>
        <w:pBdr>
          <w:top w:val="double" w:sz="4" w:space="1" w:color="auto"/>
          <w:left w:val="double" w:sz="4" w:space="4" w:color="auto"/>
          <w:bottom w:val="double" w:sz="4" w:space="1" w:color="auto"/>
          <w:right w:val="double" w:sz="4" w:space="4" w:color="auto"/>
        </w:pBdr>
        <w:shd w:val="clear" w:color="auto" w:fill="FFC000"/>
        <w:spacing w:before="120" w:after="240"/>
        <w:ind w:left="360"/>
        <w:jc w:val="center"/>
        <w:rPr>
          <w:rFonts w:ascii="Arial" w:eastAsiaTheme="minorHAnsi" w:hAnsi="Arial"/>
          <w:sz w:val="20"/>
        </w:rPr>
      </w:pPr>
      <w:r>
        <w:rPr>
          <w:rFonts w:ascii="Arial" w:eastAsiaTheme="minorHAnsi" w:hAnsi="Arial"/>
          <w:b/>
          <w:sz w:val="20"/>
        </w:rPr>
        <w:t>RAMP_03212018.dox</w:t>
      </w:r>
      <w:r w:rsidRPr="00310440">
        <w:rPr>
          <w:rFonts w:ascii="Arial" w:eastAsiaTheme="minorHAnsi" w:hAnsi="Arial"/>
          <w:sz w:val="20"/>
        </w:rPr>
        <w:t xml:space="preserve"> is</w:t>
      </w:r>
      <w:r w:rsidRPr="00310440">
        <w:rPr>
          <w:rFonts w:ascii="Arial" w:hAnsi="Arial"/>
          <w:sz w:val="20"/>
        </w:rPr>
        <w:t xml:space="preserve"> saved at </w:t>
      </w:r>
      <w:r w:rsidRPr="00310440">
        <w:rPr>
          <w:rFonts w:ascii="Arial" w:hAnsi="Arial"/>
          <w:b/>
          <w:bCs/>
          <w:i/>
          <w:iCs/>
          <w:sz w:val="20"/>
        </w:rPr>
        <w:t>H:\VSC\Rating Reference</w:t>
      </w:r>
    </w:p>
    <w:p w:rsidR="00013EB8" w:rsidRDefault="00013EB8"/>
    <w:p w:rsidR="00013EB8" w:rsidRDefault="00013EB8" w:rsidP="00250D60">
      <w:pPr>
        <w:widowControl w:val="0"/>
        <w:pBdr>
          <w:top w:val="single" w:sz="4" w:space="1" w:color="auto"/>
        </w:pBdr>
      </w:pPr>
    </w:p>
    <w:p w:rsidR="00013EB8" w:rsidRDefault="00013EB8" w:rsidP="00250D60">
      <w:pPr>
        <w:widowControl w:val="0"/>
        <w:tabs>
          <w:tab w:val="left" w:pos="360"/>
        </w:tabs>
        <w:rPr>
          <w:b/>
        </w:rPr>
      </w:pPr>
      <w:r>
        <w:rPr>
          <w:b/>
        </w:rPr>
        <w:t xml:space="preserve">Insurance ratings – </w:t>
      </w:r>
    </w:p>
    <w:p w:rsidR="00013EB8" w:rsidRDefault="00013EB8" w:rsidP="00250D60">
      <w:pPr>
        <w:widowControl w:val="0"/>
        <w:tabs>
          <w:tab w:val="left" w:pos="360"/>
        </w:tabs>
        <w:rPr>
          <w:i/>
        </w:rPr>
      </w:pPr>
      <w:r w:rsidRPr="0030434B">
        <w:rPr>
          <w:b/>
          <w:bCs/>
        </w:rPr>
        <w:t>IX.ii.2.9</w:t>
      </w:r>
      <w:r>
        <w:rPr>
          <w:i/>
        </w:rPr>
        <w:t>; an insurance rating does not allow for $, but if a veteran files a 21-526 later, we can’t deny, but we won’t pay back to the insurance rating date (per Sue</w:t>
      </w:r>
      <w:r w:rsidR="0073484D">
        <w:rPr>
          <w:i/>
        </w:rPr>
        <w:t xml:space="preserve"> Haak</w:t>
      </w:r>
      <w:r>
        <w:rPr>
          <w:i/>
        </w:rPr>
        <w:t>), same w/dental (</w:t>
      </w:r>
      <w:r w:rsidRPr="00AC753C">
        <w:rPr>
          <w:b/>
        </w:rPr>
        <w:t>3.381</w:t>
      </w:r>
      <w:r w:rsidR="00A36F33">
        <w:rPr>
          <w:i/>
        </w:rPr>
        <w:t>) &amp; VocRehab ratings</w:t>
      </w:r>
    </w:p>
    <w:p w:rsidR="00013EB8" w:rsidRDefault="00013EB8" w:rsidP="00250D60">
      <w:pPr>
        <w:widowControl w:val="0"/>
        <w:tabs>
          <w:tab w:val="left" w:pos="360"/>
        </w:tabs>
        <w:rPr>
          <w:i/>
        </w:rPr>
      </w:pPr>
    </w:p>
    <w:p w:rsidR="00250D60" w:rsidRDefault="00250D60" w:rsidP="00250D60">
      <w:pPr>
        <w:widowControl w:val="0"/>
        <w:pBdr>
          <w:top w:val="single" w:sz="4" w:space="1" w:color="auto"/>
        </w:pBdr>
        <w:tabs>
          <w:tab w:val="left" w:pos="360"/>
        </w:tabs>
        <w:rPr>
          <w:i/>
        </w:rPr>
      </w:pPr>
    </w:p>
    <w:p w:rsidR="00BD4332" w:rsidRDefault="0002246D" w:rsidP="00250D60">
      <w:pPr>
        <w:widowControl w:val="0"/>
        <w:tabs>
          <w:tab w:val="left" w:pos="360"/>
        </w:tabs>
        <w:rPr>
          <w:rFonts w:eastAsia="MS PGothic"/>
          <w:iCs/>
          <w:kern w:val="24"/>
        </w:rPr>
      </w:pPr>
      <w:r w:rsidRPr="0002246D">
        <w:rPr>
          <w:rStyle w:val="Strong"/>
          <w:bCs w:val="0"/>
          <w:szCs w:val="21"/>
        </w:rPr>
        <w:t>III.iii.4.10</w:t>
      </w:r>
      <w:r w:rsidRPr="0002246D">
        <w:rPr>
          <w:rFonts w:eastAsia="MS PGothic"/>
          <w:b/>
          <w:iCs/>
          <w:kern w:val="24"/>
          <w:sz w:val="18"/>
        </w:rPr>
        <w:t xml:space="preserve"> </w:t>
      </w:r>
      <w:r w:rsidRPr="0002246D">
        <w:rPr>
          <w:rFonts w:eastAsia="MS PGothic"/>
          <w:iCs/>
          <w:kern w:val="24"/>
        </w:rPr>
        <w:t>&amp;</w:t>
      </w:r>
      <w:r>
        <w:rPr>
          <w:rFonts w:eastAsia="MS PGothic"/>
          <w:b/>
          <w:iCs/>
          <w:kern w:val="24"/>
        </w:rPr>
        <w:t xml:space="preserve"> </w:t>
      </w:r>
      <w:r w:rsidR="00250D60" w:rsidRPr="00984F81">
        <w:rPr>
          <w:rFonts w:eastAsia="MS PGothic"/>
          <w:b/>
          <w:iCs/>
          <w:kern w:val="24"/>
        </w:rPr>
        <w:t>III.v.4.D</w:t>
      </w:r>
      <w:r w:rsidR="00250D60">
        <w:rPr>
          <w:rFonts w:eastAsia="MS PGothic"/>
          <w:iCs/>
          <w:kern w:val="24"/>
        </w:rPr>
        <w:t xml:space="preserve"> – Federal Employee’s Compensation (FEC) Benefits, paid by the Office of Workers’ Compensation Programs (OWCP)</w:t>
      </w:r>
      <w:r w:rsidR="00BD4332">
        <w:rPr>
          <w:rFonts w:eastAsia="MS PGothic"/>
          <w:iCs/>
          <w:kern w:val="24"/>
        </w:rPr>
        <w:t xml:space="preserve"> </w:t>
      </w:r>
    </w:p>
    <w:p w:rsidR="00250D60" w:rsidRPr="00250D60" w:rsidRDefault="00BD4332" w:rsidP="00250D60">
      <w:pPr>
        <w:widowControl w:val="0"/>
        <w:tabs>
          <w:tab w:val="left" w:pos="360"/>
        </w:tabs>
        <w:rPr>
          <w:i/>
        </w:rPr>
      </w:pPr>
      <w:r>
        <w:rPr>
          <w:rFonts w:eastAsia="MS PGothic"/>
          <w:iCs/>
          <w:kern w:val="24"/>
        </w:rPr>
        <w:t>Workers’ comp / workmans’ comp / worker’s comp / workman’s comp</w:t>
      </w:r>
    </w:p>
    <w:p w:rsidR="00250D60" w:rsidRDefault="00250D60" w:rsidP="00250D60">
      <w:pPr>
        <w:widowControl w:val="0"/>
        <w:tabs>
          <w:tab w:val="left" w:pos="360"/>
        </w:tabs>
        <w:rPr>
          <w:i/>
        </w:rPr>
      </w:pPr>
    </w:p>
    <w:p w:rsidR="00013EB8" w:rsidRDefault="00013EB8" w:rsidP="00250D60">
      <w:pPr>
        <w:widowControl w:val="0"/>
        <w:pBdr>
          <w:top w:val="single" w:sz="4" w:space="1" w:color="auto"/>
        </w:pBdr>
        <w:rPr>
          <w:b/>
          <w:i/>
          <w:color w:val="0000FF"/>
          <w:sz w:val="24"/>
        </w:rPr>
      </w:pPr>
    </w:p>
    <w:p w:rsidR="00013EB8" w:rsidRDefault="00013EB8">
      <w:pPr>
        <w:widowControl w:val="0"/>
        <w:tabs>
          <w:tab w:val="left" w:pos="360"/>
        </w:tabs>
        <w:rPr>
          <w:b/>
        </w:rPr>
      </w:pPr>
      <w:r>
        <w:rPr>
          <w:b/>
        </w:rPr>
        <w:t>Centralized Claims –</w:t>
      </w:r>
      <w:r w:rsidR="00F67D18" w:rsidRPr="00F67D18">
        <w:rPr>
          <w:b/>
          <w:bCs/>
        </w:rPr>
        <w:t xml:space="preserve"> III.ii.5.A</w:t>
      </w:r>
    </w:p>
    <w:p w:rsidR="004D7A3A" w:rsidRDefault="004D7A3A">
      <w:pPr>
        <w:widowControl w:val="0"/>
        <w:tabs>
          <w:tab w:val="left" w:pos="360"/>
        </w:tabs>
        <w:rPr>
          <w:bCs/>
        </w:rPr>
      </w:pPr>
    </w:p>
    <w:p w:rsidR="00E16D24" w:rsidRDefault="00E16D24" w:rsidP="004D7A3A">
      <w:pPr>
        <w:widowControl w:val="0"/>
        <w:rPr>
          <w:bCs/>
        </w:rPr>
      </w:pPr>
      <w:r>
        <w:rPr>
          <w:b/>
          <w:bCs/>
        </w:rPr>
        <w:t xml:space="preserve">Foreign claims </w:t>
      </w:r>
      <w:r>
        <w:rPr>
          <w:bCs/>
        </w:rPr>
        <w:t>– Pittsburgh RO</w:t>
      </w:r>
      <w:r w:rsidR="00DC47B2">
        <w:rPr>
          <w:bCs/>
        </w:rPr>
        <w:t xml:space="preserve"> (311)</w:t>
      </w:r>
      <w:r>
        <w:rPr>
          <w:bCs/>
        </w:rPr>
        <w:t xml:space="preserve"> as of 10/20/</w:t>
      </w:r>
      <w:r w:rsidRPr="00E54071">
        <w:rPr>
          <w:bCs/>
        </w:rPr>
        <w:t>14</w:t>
      </w:r>
    </w:p>
    <w:p w:rsidR="003B354A" w:rsidRDefault="003B354A" w:rsidP="004D7A3A">
      <w:pPr>
        <w:widowControl w:val="0"/>
        <w:rPr>
          <w:bCs/>
        </w:rPr>
      </w:pPr>
    </w:p>
    <w:p w:rsidR="003B354A" w:rsidRPr="00021618" w:rsidRDefault="003B354A" w:rsidP="004D7A3A">
      <w:pPr>
        <w:widowControl w:val="0"/>
        <w:rPr>
          <w:bCs/>
        </w:rPr>
      </w:pPr>
      <w:r>
        <w:rPr>
          <w:bCs/>
        </w:rPr>
        <w:t>VA-employee veteran working in office in foreign country/region – San Diego RO (377) as of 11/3/16</w:t>
      </w:r>
    </w:p>
    <w:p w:rsidR="00E16D24" w:rsidRDefault="00E16D24" w:rsidP="004D7A3A">
      <w:pPr>
        <w:widowControl w:val="0"/>
        <w:rPr>
          <w:b/>
          <w:bCs/>
        </w:rPr>
      </w:pPr>
    </w:p>
    <w:p w:rsidR="004D7A3A" w:rsidRDefault="004D7A3A" w:rsidP="004D7A3A">
      <w:pPr>
        <w:widowControl w:val="0"/>
        <w:rPr>
          <w:b/>
          <w:u w:val="single"/>
        </w:rPr>
      </w:pPr>
      <w:r w:rsidRPr="004D7A3A">
        <w:rPr>
          <w:b/>
          <w:bCs/>
        </w:rPr>
        <w:t>Ch. 18</w:t>
      </w:r>
      <w:r w:rsidR="00F67D18">
        <w:rPr>
          <w:bCs/>
        </w:rPr>
        <w:t xml:space="preserve"> – Denver RO</w:t>
      </w:r>
      <w:r w:rsidR="00DC47B2">
        <w:rPr>
          <w:bCs/>
        </w:rPr>
        <w:t xml:space="preserve"> (339)</w:t>
      </w:r>
      <w:r w:rsidR="00F67D18">
        <w:rPr>
          <w:bCs/>
        </w:rPr>
        <w:t xml:space="preserve">, </w:t>
      </w:r>
      <w:r w:rsidRPr="00037A17">
        <w:rPr>
          <w:b/>
        </w:rPr>
        <w:t>VI.1.1</w:t>
      </w:r>
    </w:p>
    <w:p w:rsidR="004D7A3A" w:rsidRDefault="004D7A3A">
      <w:pPr>
        <w:widowControl w:val="0"/>
        <w:tabs>
          <w:tab w:val="left" w:pos="360"/>
        </w:tabs>
        <w:rPr>
          <w:bCs/>
        </w:rPr>
      </w:pPr>
    </w:p>
    <w:p w:rsidR="00013EB8" w:rsidRPr="004D7A3A" w:rsidRDefault="00013EB8">
      <w:pPr>
        <w:widowControl w:val="0"/>
        <w:tabs>
          <w:tab w:val="left" w:pos="360"/>
        </w:tabs>
        <w:rPr>
          <w:bCs/>
          <w:i/>
        </w:rPr>
      </w:pPr>
      <w:r w:rsidRPr="004D7A3A">
        <w:rPr>
          <w:b/>
          <w:bCs/>
        </w:rPr>
        <w:t>Radiation claims</w:t>
      </w:r>
      <w:r>
        <w:rPr>
          <w:bCs/>
        </w:rPr>
        <w:t xml:space="preserve"> – </w:t>
      </w:r>
      <w:r w:rsidR="00796422">
        <w:rPr>
          <w:b/>
        </w:rPr>
        <w:t>IV.ii.1.B,</w:t>
      </w:r>
      <w:r w:rsidR="004178F7">
        <w:rPr>
          <w:b/>
        </w:rPr>
        <w:t xml:space="preserve"> IV.ii.1.C</w:t>
      </w:r>
      <w:r w:rsidR="00F67D18">
        <w:rPr>
          <w:bCs/>
        </w:rPr>
        <w:t xml:space="preserve"> -</w:t>
      </w:r>
      <w:r w:rsidR="004178F7">
        <w:rPr>
          <w:bCs/>
        </w:rPr>
        <w:t xml:space="preserve"> </w:t>
      </w:r>
      <w:r>
        <w:rPr>
          <w:bCs/>
        </w:rPr>
        <w:t>Ja</w:t>
      </w:r>
      <w:r w:rsidR="004178F7">
        <w:rPr>
          <w:bCs/>
        </w:rPr>
        <w:t>ckson RO</w:t>
      </w:r>
      <w:r w:rsidR="00DC47B2">
        <w:rPr>
          <w:bCs/>
        </w:rPr>
        <w:t xml:space="preserve"> (323)</w:t>
      </w:r>
      <w:r w:rsidR="004178F7">
        <w:rPr>
          <w:bCs/>
        </w:rPr>
        <w:t xml:space="preserve"> as of </w:t>
      </w:r>
      <w:r w:rsidR="003C038F">
        <w:rPr>
          <w:bCs/>
        </w:rPr>
        <w:t>10/</w:t>
      </w:r>
      <w:r w:rsidR="004178F7">
        <w:rPr>
          <w:bCs/>
        </w:rPr>
        <w:t>06</w:t>
      </w:r>
      <w:r w:rsidR="004D7A3A">
        <w:rPr>
          <w:bCs/>
        </w:rPr>
        <w:t xml:space="preserve">, </w:t>
      </w:r>
      <w:r w:rsidR="004D7A3A" w:rsidRPr="004D7A3A">
        <w:rPr>
          <w:bCs/>
          <w:i/>
        </w:rPr>
        <w:t xml:space="preserve">must have </w:t>
      </w:r>
      <w:r w:rsidR="00822A7A">
        <w:rPr>
          <w:bCs/>
          <w:i/>
        </w:rPr>
        <w:t xml:space="preserve">medical </w:t>
      </w:r>
      <w:r w:rsidR="004D7A3A" w:rsidRPr="004D7A3A">
        <w:rPr>
          <w:bCs/>
          <w:i/>
        </w:rPr>
        <w:t>evidence of one of the below disabilities prior to routing to Jackson</w:t>
      </w:r>
      <w:r w:rsidR="00D66F32">
        <w:rPr>
          <w:bCs/>
          <w:i/>
        </w:rPr>
        <w:t xml:space="preserve">, </w:t>
      </w:r>
      <w:r w:rsidR="00D66F32" w:rsidRPr="00D66F32">
        <w:t xml:space="preserve">add the </w:t>
      </w:r>
      <w:r w:rsidR="00D66F32" w:rsidRPr="00D66F32">
        <w:rPr>
          <w:i/>
        </w:rPr>
        <w:t>Radiation Radiogenic Disability Confirmed</w:t>
      </w:r>
      <w:r w:rsidR="00D66F32" w:rsidRPr="00D66F32">
        <w:t xml:space="preserve"> special issue indicator to the contention(s) before the claim can transferred to the Jackson RO for processing</w:t>
      </w:r>
    </w:p>
    <w:p w:rsidR="004D7A3A" w:rsidRDefault="004D7A3A">
      <w:pPr>
        <w:widowControl w:val="0"/>
        <w:tabs>
          <w:tab w:val="left" w:pos="360"/>
        </w:tabs>
        <w:rPr>
          <w:bCs/>
        </w:rPr>
      </w:pPr>
    </w:p>
    <w:p w:rsidR="004D7A3A" w:rsidRDefault="004D7A3A" w:rsidP="004D7A3A">
      <w:pPr>
        <w:numPr>
          <w:ilvl w:val="12"/>
          <w:numId w:val="0"/>
        </w:numPr>
        <w:rPr>
          <w:b/>
          <w:i/>
        </w:rPr>
      </w:pPr>
      <w:r>
        <w:t xml:space="preserve">Diseases specific to </w:t>
      </w:r>
      <w:r w:rsidRPr="00453DE5">
        <w:rPr>
          <w:b/>
          <w:bCs/>
        </w:rPr>
        <w:t>3.309</w:t>
      </w:r>
      <w:r>
        <w:rPr>
          <w:b/>
          <w:u w:val="single"/>
        </w:rPr>
        <w:t xml:space="preserve">(d) </w:t>
      </w:r>
      <w:r>
        <w:rPr>
          <w:b/>
          <w:highlight w:val="cyan"/>
          <w:u w:val="single"/>
        </w:rPr>
        <w:t>radiation-exposed veterans</w:t>
      </w:r>
      <w:r>
        <w:t xml:space="preserve"> – </w:t>
      </w:r>
    </w:p>
    <w:p w:rsidR="004D7A3A" w:rsidRDefault="004D7A3A" w:rsidP="004D7A3A">
      <w:pPr>
        <w:numPr>
          <w:ilvl w:val="12"/>
          <w:numId w:val="0"/>
        </w:numPr>
        <w:rPr>
          <w:i/>
        </w:rPr>
      </w:pPr>
    </w:p>
    <w:p w:rsidR="004D7A3A" w:rsidRDefault="004D7A3A" w:rsidP="004D7A3A">
      <w:pPr>
        <w:numPr>
          <w:ilvl w:val="12"/>
          <w:numId w:val="0"/>
        </w:numPr>
      </w:pPr>
      <w:r>
        <w:t xml:space="preserve">The diseases listed below shall be service-connected if they become manifest in a radiation-exposed veteran </w:t>
      </w:r>
      <w:r>
        <w:rPr>
          <w:b/>
          <w:i/>
        </w:rPr>
        <w:t>anytime after service</w:t>
      </w:r>
      <w:r>
        <w:t xml:space="preserve"> as defined in paragraph (d)(3) of this section. </w:t>
      </w:r>
    </w:p>
    <w:p w:rsidR="004D7A3A" w:rsidRDefault="004D7A3A" w:rsidP="004D7A3A">
      <w:pPr>
        <w:numPr>
          <w:ilvl w:val="12"/>
          <w:numId w:val="0"/>
        </w:numPr>
        <w:rPr>
          <w:sz w:val="18"/>
        </w:rPr>
      </w:pPr>
    </w:p>
    <w:p w:rsidR="004D7A3A" w:rsidRDefault="004D7A3A" w:rsidP="004D7A3A">
      <w:pPr>
        <w:numPr>
          <w:ilvl w:val="12"/>
          <w:numId w:val="0"/>
        </w:numPr>
        <w:rPr>
          <w:sz w:val="18"/>
        </w:rPr>
      </w:pPr>
      <w:r>
        <w:rPr>
          <w:sz w:val="18"/>
        </w:rPr>
        <w:t xml:space="preserve">Leukemia (other than chronic lymphocytic leukemia) </w:t>
      </w:r>
      <w:r>
        <w:rPr>
          <w:b/>
          <w:sz w:val="16"/>
        </w:rPr>
        <w:t>5/1/88</w:t>
      </w:r>
    </w:p>
    <w:p w:rsidR="004D7A3A" w:rsidRDefault="004D7A3A" w:rsidP="004D7A3A">
      <w:pPr>
        <w:numPr>
          <w:ilvl w:val="12"/>
          <w:numId w:val="0"/>
        </w:numPr>
        <w:rPr>
          <w:sz w:val="18"/>
        </w:rPr>
      </w:pPr>
      <w:r>
        <w:rPr>
          <w:sz w:val="18"/>
        </w:rPr>
        <w:t xml:space="preserve">Lymphomas (except Hodgkin’s disease) </w:t>
      </w:r>
      <w:r>
        <w:rPr>
          <w:b/>
          <w:sz w:val="16"/>
        </w:rPr>
        <w:t>5/1/88</w:t>
      </w:r>
    </w:p>
    <w:p w:rsidR="004D7A3A" w:rsidRDefault="004D7A3A" w:rsidP="004D7A3A">
      <w:pPr>
        <w:numPr>
          <w:ilvl w:val="12"/>
          <w:numId w:val="0"/>
        </w:numPr>
        <w:rPr>
          <w:sz w:val="18"/>
        </w:rPr>
      </w:pPr>
      <w:r>
        <w:rPr>
          <w:sz w:val="18"/>
        </w:rPr>
        <w:t xml:space="preserve">Multiple myeloma </w:t>
      </w:r>
      <w:r>
        <w:rPr>
          <w:sz w:val="16"/>
        </w:rPr>
        <w:t>[7799-770</w:t>
      </w:r>
      <w:r w:rsidR="005047F4">
        <w:rPr>
          <w:sz w:val="16"/>
        </w:rPr>
        <w:t>9</w:t>
      </w:r>
      <w:r>
        <w:rPr>
          <w:sz w:val="16"/>
        </w:rPr>
        <w:t>]</w:t>
      </w:r>
      <w:r>
        <w:rPr>
          <w:sz w:val="18"/>
        </w:rPr>
        <w:t xml:space="preserve"> </w:t>
      </w:r>
      <w:r>
        <w:rPr>
          <w:b/>
          <w:sz w:val="16"/>
        </w:rPr>
        <w:t>5/1/88</w:t>
      </w:r>
    </w:p>
    <w:p w:rsidR="004D7A3A" w:rsidRDefault="004D7A3A" w:rsidP="004D7A3A">
      <w:pPr>
        <w:numPr>
          <w:ilvl w:val="12"/>
          <w:numId w:val="0"/>
        </w:numPr>
        <w:rPr>
          <w:sz w:val="18"/>
        </w:rPr>
      </w:pPr>
      <w:r>
        <w:rPr>
          <w:sz w:val="18"/>
        </w:rPr>
        <w:t xml:space="preserve">Primary liver cancer (except if cirrhosis or hepatitis B is indicated) </w:t>
      </w:r>
      <w:r>
        <w:rPr>
          <w:b/>
          <w:sz w:val="16"/>
        </w:rPr>
        <w:t>5/1/88</w:t>
      </w:r>
    </w:p>
    <w:p w:rsidR="004D7A3A" w:rsidRDefault="004D7A3A" w:rsidP="004D7A3A">
      <w:pPr>
        <w:numPr>
          <w:ilvl w:val="12"/>
          <w:numId w:val="0"/>
        </w:numPr>
        <w:rPr>
          <w:sz w:val="18"/>
        </w:rPr>
      </w:pPr>
      <w:r>
        <w:rPr>
          <w:sz w:val="18"/>
        </w:rPr>
        <w:t>Cancers of the:</w:t>
      </w:r>
      <w:r>
        <w:rPr>
          <w:sz w:val="18"/>
        </w:rPr>
        <w:tab/>
      </w:r>
    </w:p>
    <w:p w:rsidR="004D7A3A" w:rsidRDefault="004D7A3A" w:rsidP="004D7A3A">
      <w:pPr>
        <w:numPr>
          <w:ilvl w:val="12"/>
          <w:numId w:val="0"/>
        </w:numPr>
        <w:ind w:firstLine="720"/>
        <w:rPr>
          <w:sz w:val="18"/>
        </w:rPr>
      </w:pPr>
      <w:r>
        <w:rPr>
          <w:sz w:val="18"/>
        </w:rPr>
        <w:t xml:space="preserve">bile ducts </w:t>
      </w:r>
      <w:r>
        <w:rPr>
          <w:b/>
          <w:sz w:val="16"/>
        </w:rPr>
        <w:t>5/1/88</w:t>
      </w:r>
    </w:p>
    <w:p w:rsidR="004D7A3A" w:rsidRDefault="004D7A3A" w:rsidP="004D7A3A">
      <w:pPr>
        <w:numPr>
          <w:ilvl w:val="12"/>
          <w:numId w:val="0"/>
        </w:numPr>
        <w:ind w:firstLine="720"/>
        <w:rPr>
          <w:sz w:val="18"/>
        </w:rPr>
      </w:pPr>
      <w:r>
        <w:rPr>
          <w:sz w:val="18"/>
        </w:rPr>
        <w:t xml:space="preserve">breast </w:t>
      </w:r>
      <w:r>
        <w:rPr>
          <w:b/>
          <w:sz w:val="16"/>
        </w:rPr>
        <w:t>5/1/88</w:t>
      </w:r>
    </w:p>
    <w:p w:rsidR="004D7A3A" w:rsidRDefault="004D7A3A" w:rsidP="004D7A3A">
      <w:pPr>
        <w:numPr>
          <w:ilvl w:val="12"/>
          <w:numId w:val="0"/>
        </w:numPr>
        <w:ind w:firstLine="720"/>
        <w:rPr>
          <w:sz w:val="18"/>
        </w:rPr>
      </w:pPr>
      <w:r>
        <w:rPr>
          <w:sz w:val="18"/>
        </w:rPr>
        <w:t xml:space="preserve">esophagus </w:t>
      </w:r>
      <w:r>
        <w:rPr>
          <w:b/>
          <w:sz w:val="16"/>
        </w:rPr>
        <w:t>5/1/88</w:t>
      </w:r>
    </w:p>
    <w:p w:rsidR="004D7A3A" w:rsidRDefault="004D7A3A" w:rsidP="004D7A3A">
      <w:pPr>
        <w:numPr>
          <w:ilvl w:val="12"/>
          <w:numId w:val="0"/>
        </w:numPr>
        <w:ind w:firstLine="720"/>
        <w:rPr>
          <w:sz w:val="18"/>
        </w:rPr>
      </w:pPr>
      <w:r>
        <w:rPr>
          <w:sz w:val="18"/>
        </w:rPr>
        <w:t xml:space="preserve">gall bladder </w:t>
      </w:r>
      <w:r>
        <w:rPr>
          <w:b/>
          <w:sz w:val="16"/>
        </w:rPr>
        <w:t>5/1/88</w:t>
      </w:r>
    </w:p>
    <w:p w:rsidR="004D7A3A" w:rsidRDefault="004D7A3A" w:rsidP="004D7A3A">
      <w:pPr>
        <w:numPr>
          <w:ilvl w:val="12"/>
          <w:numId w:val="0"/>
        </w:numPr>
        <w:ind w:firstLine="720"/>
        <w:rPr>
          <w:sz w:val="18"/>
        </w:rPr>
      </w:pPr>
      <w:r>
        <w:rPr>
          <w:sz w:val="18"/>
        </w:rPr>
        <w:t xml:space="preserve">pancreas </w:t>
      </w:r>
      <w:r>
        <w:rPr>
          <w:b/>
          <w:sz w:val="16"/>
        </w:rPr>
        <w:t>5/1/88</w:t>
      </w:r>
    </w:p>
    <w:p w:rsidR="004D7A3A" w:rsidRDefault="004D7A3A" w:rsidP="004D7A3A">
      <w:pPr>
        <w:numPr>
          <w:ilvl w:val="12"/>
          <w:numId w:val="0"/>
        </w:numPr>
        <w:ind w:firstLine="720"/>
        <w:rPr>
          <w:sz w:val="18"/>
        </w:rPr>
      </w:pPr>
      <w:r>
        <w:rPr>
          <w:sz w:val="18"/>
        </w:rPr>
        <w:t xml:space="preserve">pharynx </w:t>
      </w:r>
      <w:r>
        <w:rPr>
          <w:b/>
          <w:sz w:val="16"/>
        </w:rPr>
        <w:t>5/1/88</w:t>
      </w:r>
      <w:r>
        <w:rPr>
          <w:sz w:val="18"/>
        </w:rPr>
        <w:tab/>
      </w:r>
    </w:p>
    <w:p w:rsidR="004D7A3A" w:rsidRDefault="004D7A3A" w:rsidP="004D7A3A">
      <w:pPr>
        <w:numPr>
          <w:ilvl w:val="12"/>
          <w:numId w:val="0"/>
        </w:numPr>
        <w:ind w:firstLine="720"/>
        <w:rPr>
          <w:sz w:val="18"/>
        </w:rPr>
      </w:pPr>
      <w:r>
        <w:rPr>
          <w:sz w:val="18"/>
        </w:rPr>
        <w:t xml:space="preserve">small intestine </w:t>
      </w:r>
      <w:r>
        <w:rPr>
          <w:b/>
          <w:sz w:val="16"/>
        </w:rPr>
        <w:t>5/1/88</w:t>
      </w:r>
    </w:p>
    <w:p w:rsidR="004D7A3A" w:rsidRDefault="004D7A3A" w:rsidP="004D7A3A">
      <w:pPr>
        <w:numPr>
          <w:ilvl w:val="12"/>
          <w:numId w:val="0"/>
        </w:numPr>
        <w:ind w:firstLine="720"/>
        <w:rPr>
          <w:sz w:val="18"/>
        </w:rPr>
      </w:pPr>
      <w:r>
        <w:rPr>
          <w:sz w:val="18"/>
        </w:rPr>
        <w:t xml:space="preserve">stomach </w:t>
      </w:r>
      <w:r>
        <w:rPr>
          <w:b/>
          <w:sz w:val="16"/>
        </w:rPr>
        <w:t>5/1/88</w:t>
      </w:r>
    </w:p>
    <w:p w:rsidR="004D7A3A" w:rsidRDefault="004D7A3A" w:rsidP="004D7A3A">
      <w:pPr>
        <w:numPr>
          <w:ilvl w:val="12"/>
          <w:numId w:val="0"/>
        </w:numPr>
        <w:ind w:firstLine="720"/>
        <w:rPr>
          <w:b/>
          <w:sz w:val="16"/>
        </w:rPr>
      </w:pPr>
      <w:r>
        <w:rPr>
          <w:sz w:val="18"/>
        </w:rPr>
        <w:t xml:space="preserve">thyroid </w:t>
      </w:r>
      <w:r>
        <w:rPr>
          <w:b/>
          <w:sz w:val="16"/>
        </w:rPr>
        <w:t>5/1/88</w:t>
      </w:r>
    </w:p>
    <w:p w:rsidR="004D7A3A" w:rsidRDefault="004D7A3A" w:rsidP="004D7A3A">
      <w:pPr>
        <w:numPr>
          <w:ilvl w:val="12"/>
          <w:numId w:val="0"/>
        </w:numPr>
        <w:ind w:firstLine="720"/>
        <w:rPr>
          <w:sz w:val="18"/>
        </w:rPr>
      </w:pPr>
      <w:r>
        <w:rPr>
          <w:sz w:val="18"/>
        </w:rPr>
        <w:t xml:space="preserve">salivary gland </w:t>
      </w:r>
      <w:r>
        <w:rPr>
          <w:b/>
          <w:sz w:val="16"/>
        </w:rPr>
        <w:t>10/1/92</w:t>
      </w:r>
    </w:p>
    <w:p w:rsidR="004D7A3A" w:rsidRDefault="004D7A3A" w:rsidP="004D7A3A">
      <w:pPr>
        <w:numPr>
          <w:ilvl w:val="12"/>
          <w:numId w:val="0"/>
        </w:numPr>
        <w:ind w:firstLine="720"/>
        <w:rPr>
          <w:sz w:val="18"/>
        </w:rPr>
      </w:pPr>
      <w:r>
        <w:rPr>
          <w:sz w:val="18"/>
        </w:rPr>
        <w:t xml:space="preserve">urinary tract (including kidneys, renal pelves, ureters, urinary bladder, and urethra) </w:t>
      </w:r>
      <w:r>
        <w:rPr>
          <w:b/>
          <w:sz w:val="16"/>
        </w:rPr>
        <w:t>10/1/92</w:t>
      </w:r>
    </w:p>
    <w:p w:rsidR="004D7A3A" w:rsidRDefault="004D7A3A" w:rsidP="004D7A3A">
      <w:pPr>
        <w:numPr>
          <w:ilvl w:val="12"/>
          <w:numId w:val="0"/>
        </w:numPr>
        <w:ind w:firstLine="720"/>
        <w:rPr>
          <w:b/>
          <w:sz w:val="16"/>
        </w:rPr>
      </w:pPr>
      <w:r>
        <w:rPr>
          <w:sz w:val="18"/>
        </w:rPr>
        <w:t xml:space="preserve">bone </w:t>
      </w:r>
      <w:r>
        <w:rPr>
          <w:b/>
          <w:sz w:val="16"/>
        </w:rPr>
        <w:t>3/26/02</w:t>
      </w:r>
    </w:p>
    <w:p w:rsidR="004D7A3A" w:rsidRDefault="004D7A3A" w:rsidP="004D7A3A">
      <w:pPr>
        <w:numPr>
          <w:ilvl w:val="12"/>
          <w:numId w:val="0"/>
        </w:numPr>
        <w:ind w:firstLine="720"/>
        <w:rPr>
          <w:sz w:val="18"/>
        </w:rPr>
      </w:pPr>
      <w:r>
        <w:rPr>
          <w:sz w:val="18"/>
        </w:rPr>
        <w:t xml:space="preserve">brain </w:t>
      </w:r>
      <w:r>
        <w:rPr>
          <w:b/>
          <w:sz w:val="16"/>
        </w:rPr>
        <w:t>3/26/02</w:t>
      </w:r>
    </w:p>
    <w:p w:rsidR="004D7A3A" w:rsidRDefault="004D7A3A" w:rsidP="004D7A3A">
      <w:pPr>
        <w:numPr>
          <w:ilvl w:val="12"/>
          <w:numId w:val="0"/>
        </w:numPr>
        <w:ind w:firstLine="720"/>
        <w:rPr>
          <w:sz w:val="18"/>
        </w:rPr>
      </w:pPr>
      <w:r>
        <w:rPr>
          <w:sz w:val="18"/>
        </w:rPr>
        <w:t xml:space="preserve">colon </w:t>
      </w:r>
      <w:r>
        <w:rPr>
          <w:b/>
          <w:sz w:val="16"/>
        </w:rPr>
        <w:t>3/26/02</w:t>
      </w:r>
    </w:p>
    <w:p w:rsidR="004D7A3A" w:rsidRDefault="004D7A3A" w:rsidP="004D7A3A">
      <w:pPr>
        <w:numPr>
          <w:ilvl w:val="12"/>
          <w:numId w:val="0"/>
        </w:numPr>
        <w:ind w:firstLine="720"/>
        <w:rPr>
          <w:sz w:val="18"/>
        </w:rPr>
      </w:pPr>
      <w:r>
        <w:rPr>
          <w:sz w:val="18"/>
        </w:rPr>
        <w:t xml:space="preserve">ovary </w:t>
      </w:r>
      <w:r>
        <w:rPr>
          <w:b/>
          <w:sz w:val="16"/>
        </w:rPr>
        <w:t>3/26/02</w:t>
      </w:r>
    </w:p>
    <w:p w:rsidR="004D7A3A" w:rsidRDefault="004D7A3A" w:rsidP="004D7A3A">
      <w:pPr>
        <w:numPr>
          <w:ilvl w:val="12"/>
          <w:numId w:val="0"/>
        </w:numPr>
        <w:ind w:firstLine="720"/>
        <w:rPr>
          <w:sz w:val="18"/>
        </w:rPr>
      </w:pPr>
      <w:r>
        <w:rPr>
          <w:sz w:val="18"/>
        </w:rPr>
        <w:t xml:space="preserve">lung </w:t>
      </w:r>
      <w:r>
        <w:rPr>
          <w:b/>
          <w:sz w:val="16"/>
        </w:rPr>
        <w:t>3/26/02</w:t>
      </w:r>
    </w:p>
    <w:p w:rsidR="004D7A3A" w:rsidRDefault="004D7A3A" w:rsidP="004D7A3A">
      <w:pPr>
        <w:numPr>
          <w:ilvl w:val="12"/>
          <w:numId w:val="0"/>
        </w:numPr>
        <w:rPr>
          <w:sz w:val="18"/>
        </w:rPr>
      </w:pPr>
    </w:p>
    <w:p w:rsidR="004D7A3A" w:rsidRDefault="004D7A3A" w:rsidP="004D7A3A">
      <w:pPr>
        <w:numPr>
          <w:ilvl w:val="12"/>
          <w:numId w:val="0"/>
        </w:numPr>
        <w:tabs>
          <w:tab w:val="left" w:pos="660"/>
          <w:tab w:val="left" w:pos="9390"/>
        </w:tabs>
        <w:ind w:left="-45"/>
        <w:rPr>
          <w:b/>
        </w:rPr>
      </w:pPr>
      <w:r>
        <w:rPr>
          <w:sz w:val="18"/>
        </w:rPr>
        <w:t>Note:  Originally 30 year period for leukemia &amp; 40 years for all others; 8/14/91 leukemia is extended to 40 years; 10/1/92 limits removed.</w:t>
      </w:r>
    </w:p>
    <w:p w:rsidR="004D7A3A" w:rsidRDefault="004D7A3A" w:rsidP="004D7A3A">
      <w:pPr>
        <w:numPr>
          <w:ilvl w:val="12"/>
          <w:numId w:val="0"/>
        </w:numPr>
        <w:tabs>
          <w:tab w:val="left" w:pos="660"/>
          <w:tab w:val="left" w:pos="9390"/>
        </w:tabs>
        <w:ind w:left="-45"/>
        <w:rPr>
          <w:b/>
        </w:rPr>
      </w:pPr>
    </w:p>
    <w:p w:rsidR="004D7A3A" w:rsidRDefault="004D7A3A" w:rsidP="00F67D18">
      <w:pPr>
        <w:tabs>
          <w:tab w:val="left" w:pos="0"/>
          <w:tab w:val="left" w:pos="144"/>
        </w:tabs>
        <w:outlineLvl w:val="0"/>
      </w:pPr>
    </w:p>
    <w:p w:rsidR="004D7A3A" w:rsidRDefault="004D7A3A" w:rsidP="004D7A3A">
      <w:pPr>
        <w:numPr>
          <w:ilvl w:val="12"/>
          <w:numId w:val="0"/>
        </w:numPr>
        <w:tabs>
          <w:tab w:val="left" w:pos="660"/>
          <w:tab w:val="left" w:pos="9390"/>
        </w:tabs>
        <w:rPr>
          <w:i/>
        </w:rPr>
      </w:pPr>
      <w:r w:rsidRPr="00F673C9">
        <w:rPr>
          <w:b/>
        </w:rPr>
        <w:t>3.311</w:t>
      </w:r>
      <w:r>
        <w:rPr>
          <w:b/>
        </w:rPr>
        <w:tab/>
        <w:t xml:space="preserve">Claims based on exposure to </w:t>
      </w:r>
      <w:r>
        <w:rPr>
          <w:b/>
          <w:highlight w:val="cyan"/>
        </w:rPr>
        <w:t>ionizing radiation</w:t>
      </w:r>
      <w:r>
        <w:t xml:space="preserve"> </w:t>
      </w:r>
      <w:r>
        <w:rPr>
          <w:i/>
        </w:rPr>
        <w:t xml:space="preserve">– </w:t>
      </w:r>
    </w:p>
    <w:p w:rsidR="004D7A3A" w:rsidRDefault="004D7A3A" w:rsidP="004D7A3A">
      <w:pPr>
        <w:numPr>
          <w:ilvl w:val="12"/>
          <w:numId w:val="0"/>
        </w:numPr>
        <w:tabs>
          <w:tab w:val="left" w:pos="660"/>
          <w:tab w:val="left" w:pos="9390"/>
        </w:tabs>
        <w:rPr>
          <w:i/>
        </w:rPr>
      </w:pPr>
    </w:p>
    <w:p w:rsidR="004D7A3A" w:rsidRDefault="004D7A3A" w:rsidP="004D7A3A">
      <w:pPr>
        <w:numPr>
          <w:ilvl w:val="12"/>
          <w:numId w:val="0"/>
        </w:numPr>
      </w:pPr>
      <w:r>
        <w:t xml:space="preserve">For purposes of this section the term “radiogenic disease” means a disease that may be induced by ionizing radiation and shall include the following (diseases must become </w:t>
      </w:r>
      <w:r>
        <w:rPr>
          <w:b/>
          <w:i/>
          <w:u w:val="single"/>
        </w:rPr>
        <w:t>manifest 5 years or more after exposure</w:t>
      </w:r>
      <w:r>
        <w:t xml:space="preserve">, unless otherwise noted): </w:t>
      </w:r>
    </w:p>
    <w:p w:rsidR="004D7A3A" w:rsidRDefault="004D7A3A" w:rsidP="004D7A3A">
      <w:pPr>
        <w:numPr>
          <w:ilvl w:val="12"/>
          <w:numId w:val="0"/>
        </w:numPr>
        <w:rPr>
          <w:sz w:val="18"/>
        </w:rPr>
      </w:pPr>
    </w:p>
    <w:p w:rsidR="004D7A3A" w:rsidRDefault="004D7A3A" w:rsidP="004D7A3A">
      <w:pPr>
        <w:numPr>
          <w:ilvl w:val="12"/>
          <w:numId w:val="0"/>
        </w:numPr>
        <w:rPr>
          <w:i/>
          <w:sz w:val="18"/>
        </w:rPr>
      </w:pPr>
      <w:r>
        <w:rPr>
          <w:sz w:val="18"/>
        </w:rPr>
        <w:t>All forms of leukemia except chronic lymphatic (lymphocytic) leukemia</w:t>
      </w:r>
      <w:r>
        <w:rPr>
          <w:sz w:val="16"/>
        </w:rPr>
        <w:t xml:space="preserve"> </w:t>
      </w:r>
      <w:r>
        <w:rPr>
          <w:i/>
          <w:sz w:val="16"/>
        </w:rPr>
        <w:t>(can manifest anytime)</w:t>
      </w:r>
    </w:p>
    <w:p w:rsidR="004D7A3A" w:rsidRDefault="004D7A3A" w:rsidP="004D7A3A">
      <w:pPr>
        <w:numPr>
          <w:ilvl w:val="12"/>
          <w:numId w:val="0"/>
        </w:numPr>
        <w:rPr>
          <w:i/>
          <w:sz w:val="18"/>
        </w:rPr>
      </w:pPr>
      <w:r>
        <w:rPr>
          <w:sz w:val="18"/>
        </w:rPr>
        <w:t xml:space="preserve">Bone cancer </w:t>
      </w:r>
      <w:r>
        <w:rPr>
          <w:i/>
          <w:sz w:val="16"/>
        </w:rPr>
        <w:t>(30 year presumptive period)</w:t>
      </w:r>
    </w:p>
    <w:p w:rsidR="004D7A3A" w:rsidRDefault="004D7A3A" w:rsidP="004D7A3A">
      <w:pPr>
        <w:numPr>
          <w:ilvl w:val="12"/>
          <w:numId w:val="0"/>
        </w:numPr>
        <w:rPr>
          <w:sz w:val="18"/>
        </w:rPr>
      </w:pPr>
      <w:r>
        <w:rPr>
          <w:sz w:val="18"/>
        </w:rPr>
        <w:t>Breast cancer</w:t>
      </w:r>
    </w:p>
    <w:p w:rsidR="004D7A3A" w:rsidRDefault="004D7A3A" w:rsidP="004D7A3A">
      <w:pPr>
        <w:numPr>
          <w:ilvl w:val="12"/>
          <w:numId w:val="0"/>
        </w:numPr>
        <w:rPr>
          <w:sz w:val="18"/>
        </w:rPr>
      </w:pPr>
      <w:r>
        <w:rPr>
          <w:sz w:val="18"/>
        </w:rPr>
        <w:t>Cancer of the rectum</w:t>
      </w:r>
    </w:p>
    <w:p w:rsidR="004D7A3A" w:rsidRDefault="004D7A3A" w:rsidP="004D7A3A">
      <w:pPr>
        <w:numPr>
          <w:ilvl w:val="12"/>
          <w:numId w:val="0"/>
        </w:numPr>
        <w:rPr>
          <w:sz w:val="18"/>
        </w:rPr>
      </w:pPr>
      <w:r>
        <w:rPr>
          <w:sz w:val="18"/>
        </w:rPr>
        <w:t>Colon cancer</w:t>
      </w:r>
    </w:p>
    <w:p w:rsidR="004D7A3A" w:rsidRDefault="004D7A3A" w:rsidP="004D7A3A">
      <w:pPr>
        <w:numPr>
          <w:ilvl w:val="12"/>
          <w:numId w:val="0"/>
        </w:numPr>
        <w:rPr>
          <w:sz w:val="18"/>
        </w:rPr>
      </w:pPr>
      <w:r>
        <w:rPr>
          <w:sz w:val="18"/>
        </w:rPr>
        <w:t>Esophageal cancer</w:t>
      </w:r>
    </w:p>
    <w:p w:rsidR="004D7A3A" w:rsidRDefault="004D7A3A" w:rsidP="004D7A3A">
      <w:pPr>
        <w:numPr>
          <w:ilvl w:val="12"/>
          <w:numId w:val="0"/>
        </w:numPr>
        <w:rPr>
          <w:sz w:val="18"/>
        </w:rPr>
      </w:pPr>
      <w:r>
        <w:rPr>
          <w:sz w:val="18"/>
        </w:rPr>
        <w:t>Kidney cancer</w:t>
      </w:r>
    </w:p>
    <w:p w:rsidR="004D7A3A" w:rsidRDefault="004D7A3A" w:rsidP="004D7A3A">
      <w:pPr>
        <w:numPr>
          <w:ilvl w:val="12"/>
          <w:numId w:val="0"/>
        </w:numPr>
        <w:rPr>
          <w:sz w:val="18"/>
        </w:rPr>
      </w:pPr>
      <w:r>
        <w:rPr>
          <w:sz w:val="18"/>
        </w:rPr>
        <w:t>Liver cancer</w:t>
      </w:r>
    </w:p>
    <w:p w:rsidR="004D7A3A" w:rsidRDefault="004D7A3A" w:rsidP="004D7A3A">
      <w:pPr>
        <w:numPr>
          <w:ilvl w:val="12"/>
          <w:numId w:val="0"/>
        </w:numPr>
        <w:rPr>
          <w:sz w:val="18"/>
        </w:rPr>
      </w:pPr>
      <w:r>
        <w:rPr>
          <w:sz w:val="18"/>
        </w:rPr>
        <w:t>Lung cancer</w:t>
      </w:r>
    </w:p>
    <w:p w:rsidR="004D7A3A" w:rsidRDefault="004D7A3A" w:rsidP="004D7A3A">
      <w:pPr>
        <w:numPr>
          <w:ilvl w:val="12"/>
          <w:numId w:val="0"/>
        </w:numPr>
        <w:rPr>
          <w:sz w:val="18"/>
        </w:rPr>
      </w:pPr>
      <w:r>
        <w:rPr>
          <w:sz w:val="18"/>
        </w:rPr>
        <w:t>Lymphomas other than Hodgkin’s disease</w:t>
      </w:r>
    </w:p>
    <w:p w:rsidR="004D7A3A" w:rsidRDefault="004D7A3A" w:rsidP="004D7A3A">
      <w:pPr>
        <w:numPr>
          <w:ilvl w:val="12"/>
          <w:numId w:val="0"/>
        </w:numPr>
        <w:rPr>
          <w:sz w:val="18"/>
        </w:rPr>
      </w:pPr>
      <w:r>
        <w:rPr>
          <w:sz w:val="18"/>
        </w:rPr>
        <w:t xml:space="preserve">Multiple myeloma </w:t>
      </w:r>
      <w:r>
        <w:rPr>
          <w:sz w:val="16"/>
        </w:rPr>
        <w:t>(7799-770</w:t>
      </w:r>
      <w:r w:rsidR="005047F4">
        <w:rPr>
          <w:sz w:val="16"/>
        </w:rPr>
        <w:t>9</w:t>
      </w:r>
      <w:r>
        <w:rPr>
          <w:sz w:val="16"/>
        </w:rPr>
        <w:t>)</w:t>
      </w:r>
    </w:p>
    <w:p w:rsidR="004D7A3A" w:rsidRDefault="004D7A3A" w:rsidP="004D7A3A">
      <w:pPr>
        <w:numPr>
          <w:ilvl w:val="12"/>
          <w:numId w:val="0"/>
        </w:numPr>
        <w:rPr>
          <w:sz w:val="18"/>
        </w:rPr>
      </w:pPr>
      <w:r>
        <w:rPr>
          <w:sz w:val="18"/>
        </w:rPr>
        <w:t>Non-malignant thyroid nodular disease</w:t>
      </w:r>
    </w:p>
    <w:p w:rsidR="004D7A3A" w:rsidRDefault="004D7A3A" w:rsidP="004D7A3A">
      <w:pPr>
        <w:numPr>
          <w:ilvl w:val="12"/>
          <w:numId w:val="0"/>
        </w:numPr>
        <w:rPr>
          <w:sz w:val="18"/>
        </w:rPr>
      </w:pPr>
      <w:r>
        <w:rPr>
          <w:sz w:val="18"/>
        </w:rPr>
        <w:t>Ovarian cancer</w:t>
      </w:r>
    </w:p>
    <w:p w:rsidR="004D7A3A" w:rsidRDefault="004D7A3A" w:rsidP="004D7A3A">
      <w:pPr>
        <w:numPr>
          <w:ilvl w:val="12"/>
          <w:numId w:val="0"/>
        </w:numPr>
        <w:rPr>
          <w:sz w:val="18"/>
        </w:rPr>
      </w:pPr>
      <w:r>
        <w:rPr>
          <w:sz w:val="18"/>
        </w:rPr>
        <w:t>Pancreatic cancer</w:t>
      </w:r>
      <w:r w:rsidR="00AE1372">
        <w:rPr>
          <w:sz w:val="18"/>
        </w:rPr>
        <w:t xml:space="preserve"> </w:t>
      </w:r>
      <w:r w:rsidR="00AE1372" w:rsidRPr="00AE1372">
        <w:rPr>
          <w:sz w:val="16"/>
          <w:szCs w:val="16"/>
        </w:rPr>
        <w:t>(7343)</w:t>
      </w:r>
    </w:p>
    <w:p w:rsidR="004D7A3A" w:rsidRDefault="004D7A3A" w:rsidP="004D7A3A">
      <w:pPr>
        <w:numPr>
          <w:ilvl w:val="12"/>
          <w:numId w:val="0"/>
        </w:numPr>
        <w:rPr>
          <w:sz w:val="18"/>
        </w:rPr>
      </w:pPr>
      <w:r>
        <w:rPr>
          <w:sz w:val="18"/>
        </w:rPr>
        <w:t>Parathyroid adenoma</w:t>
      </w:r>
    </w:p>
    <w:p w:rsidR="004D7A3A" w:rsidRDefault="004D7A3A" w:rsidP="004D7A3A">
      <w:pPr>
        <w:numPr>
          <w:ilvl w:val="12"/>
          <w:numId w:val="0"/>
        </w:numPr>
        <w:rPr>
          <w:i/>
          <w:sz w:val="16"/>
        </w:rPr>
      </w:pPr>
      <w:r>
        <w:rPr>
          <w:sz w:val="18"/>
        </w:rPr>
        <w:t xml:space="preserve">Posterior subcapsular cataracts </w:t>
      </w:r>
      <w:r>
        <w:rPr>
          <w:i/>
          <w:sz w:val="16"/>
        </w:rPr>
        <w:t>(must become manifest 6 months or more after exposure)</w:t>
      </w:r>
    </w:p>
    <w:p w:rsidR="004D7A3A" w:rsidRDefault="004D7A3A" w:rsidP="004D7A3A">
      <w:pPr>
        <w:numPr>
          <w:ilvl w:val="12"/>
          <w:numId w:val="0"/>
        </w:numPr>
        <w:rPr>
          <w:sz w:val="18"/>
        </w:rPr>
      </w:pPr>
      <w:r>
        <w:rPr>
          <w:sz w:val="18"/>
        </w:rPr>
        <w:t>Prostate cancer</w:t>
      </w:r>
    </w:p>
    <w:p w:rsidR="004D7A3A" w:rsidRDefault="004D7A3A" w:rsidP="004D7A3A">
      <w:pPr>
        <w:numPr>
          <w:ilvl w:val="12"/>
          <w:numId w:val="0"/>
        </w:numPr>
        <w:rPr>
          <w:sz w:val="18"/>
        </w:rPr>
      </w:pPr>
      <w:r>
        <w:rPr>
          <w:sz w:val="18"/>
        </w:rPr>
        <w:t>Salivary gland cancer</w:t>
      </w:r>
    </w:p>
    <w:p w:rsidR="004D7A3A" w:rsidRDefault="004D7A3A" w:rsidP="004D7A3A">
      <w:pPr>
        <w:numPr>
          <w:ilvl w:val="12"/>
          <w:numId w:val="0"/>
        </w:numPr>
        <w:rPr>
          <w:sz w:val="18"/>
        </w:rPr>
      </w:pPr>
      <w:r>
        <w:rPr>
          <w:sz w:val="18"/>
        </w:rPr>
        <w:t>Skin cancer</w:t>
      </w:r>
    </w:p>
    <w:p w:rsidR="004D7A3A" w:rsidRDefault="004D7A3A" w:rsidP="004D7A3A">
      <w:pPr>
        <w:numPr>
          <w:ilvl w:val="12"/>
          <w:numId w:val="0"/>
        </w:numPr>
        <w:rPr>
          <w:sz w:val="18"/>
        </w:rPr>
      </w:pPr>
      <w:r>
        <w:rPr>
          <w:sz w:val="18"/>
        </w:rPr>
        <w:t>Stomach cancer</w:t>
      </w:r>
    </w:p>
    <w:p w:rsidR="004D7A3A" w:rsidRDefault="004D7A3A" w:rsidP="004D7A3A">
      <w:pPr>
        <w:numPr>
          <w:ilvl w:val="12"/>
          <w:numId w:val="0"/>
        </w:numPr>
        <w:rPr>
          <w:sz w:val="18"/>
        </w:rPr>
      </w:pPr>
      <w:r>
        <w:rPr>
          <w:sz w:val="18"/>
        </w:rPr>
        <w:t>Urinary bladder cancer</w:t>
      </w:r>
    </w:p>
    <w:p w:rsidR="004D7A3A" w:rsidRDefault="004D7A3A" w:rsidP="004D7A3A">
      <w:pPr>
        <w:numPr>
          <w:ilvl w:val="12"/>
          <w:numId w:val="0"/>
        </w:numPr>
        <w:rPr>
          <w:sz w:val="18"/>
        </w:rPr>
      </w:pPr>
      <w:r>
        <w:rPr>
          <w:sz w:val="18"/>
        </w:rPr>
        <w:t>Thyroid cancer</w:t>
      </w:r>
    </w:p>
    <w:p w:rsidR="004D7A3A" w:rsidRDefault="004D7A3A" w:rsidP="004D7A3A">
      <w:pPr>
        <w:numPr>
          <w:ilvl w:val="12"/>
          <w:numId w:val="0"/>
        </w:numPr>
        <w:rPr>
          <w:sz w:val="18"/>
        </w:rPr>
      </w:pPr>
      <w:r>
        <w:rPr>
          <w:sz w:val="18"/>
        </w:rPr>
        <w:t>Tumors of the brain and central nervous system</w:t>
      </w:r>
    </w:p>
    <w:p w:rsidR="004D7A3A" w:rsidRDefault="004D7A3A" w:rsidP="004D7A3A">
      <w:pPr>
        <w:numPr>
          <w:ilvl w:val="12"/>
          <w:numId w:val="0"/>
        </w:numPr>
        <w:tabs>
          <w:tab w:val="left" w:pos="0"/>
          <w:tab w:val="left" w:pos="660"/>
          <w:tab w:val="left" w:pos="9390"/>
        </w:tabs>
        <w:rPr>
          <w:sz w:val="18"/>
        </w:rPr>
      </w:pPr>
      <w:r>
        <w:rPr>
          <w:sz w:val="18"/>
        </w:rPr>
        <w:t>Any other cancer</w:t>
      </w:r>
    </w:p>
    <w:p w:rsidR="004D7A3A" w:rsidRDefault="004D7A3A" w:rsidP="004D7A3A">
      <w:pPr>
        <w:numPr>
          <w:ilvl w:val="12"/>
          <w:numId w:val="0"/>
        </w:numPr>
        <w:tabs>
          <w:tab w:val="left" w:pos="0"/>
          <w:tab w:val="left" w:pos="660"/>
          <w:tab w:val="left" w:pos="9390"/>
        </w:tabs>
        <w:rPr>
          <w:sz w:val="18"/>
        </w:rPr>
      </w:pPr>
    </w:p>
    <w:p w:rsidR="00F67D18" w:rsidRDefault="00F67D18" w:rsidP="004D7A3A">
      <w:pPr>
        <w:numPr>
          <w:ilvl w:val="12"/>
          <w:numId w:val="0"/>
        </w:numPr>
        <w:tabs>
          <w:tab w:val="left" w:pos="0"/>
          <w:tab w:val="left" w:pos="660"/>
          <w:tab w:val="left" w:pos="9390"/>
        </w:tabs>
        <w:rPr>
          <w:sz w:val="18"/>
        </w:rPr>
      </w:pPr>
    </w:p>
    <w:p w:rsidR="00F67D18" w:rsidRPr="00F67D18" w:rsidRDefault="00F67D18" w:rsidP="00F67D18">
      <w:pPr>
        <w:pStyle w:val="BodyText3"/>
        <w:widowControl w:val="0"/>
        <w:tabs>
          <w:tab w:val="left" w:pos="0"/>
          <w:tab w:val="left" w:pos="144"/>
        </w:tabs>
        <w:overflowPunct w:val="0"/>
        <w:autoSpaceDE w:val="0"/>
        <w:autoSpaceDN w:val="0"/>
        <w:adjustRightInd w:val="0"/>
        <w:spacing w:before="0" w:after="120"/>
        <w:textAlignment w:val="baseline"/>
        <w:rPr>
          <w:rFonts w:ascii="Arial" w:hAnsi="Arial"/>
          <w:b/>
          <w:bCs/>
          <w:iCs/>
          <w:sz w:val="20"/>
        </w:rPr>
      </w:pPr>
      <w:bookmarkStart w:id="66" w:name="MustardGas"/>
      <w:r w:rsidRPr="00F67D18">
        <w:rPr>
          <w:rFonts w:ascii="Arial" w:hAnsi="Arial"/>
          <w:b/>
          <w:bCs/>
          <w:iCs/>
          <w:sz w:val="20"/>
        </w:rPr>
        <w:t>Mustard Gas –</w:t>
      </w:r>
      <w:bookmarkEnd w:id="66"/>
      <w:r w:rsidRPr="00F67D18">
        <w:rPr>
          <w:rFonts w:ascii="Arial" w:hAnsi="Arial"/>
          <w:b/>
          <w:sz w:val="20"/>
        </w:rPr>
        <w:t xml:space="preserve"> </w:t>
      </w:r>
      <w:r>
        <w:rPr>
          <w:rFonts w:ascii="Arial" w:hAnsi="Arial"/>
          <w:b/>
          <w:sz w:val="20"/>
        </w:rPr>
        <w:t>IV.ii.1.F</w:t>
      </w:r>
      <w:r w:rsidRPr="00F67D18">
        <w:rPr>
          <w:rFonts w:ascii="Arial" w:hAnsi="Arial"/>
          <w:sz w:val="20"/>
        </w:rPr>
        <w:t xml:space="preserve">, </w:t>
      </w:r>
      <w:r>
        <w:rPr>
          <w:rFonts w:ascii="Arial" w:hAnsi="Arial"/>
          <w:bCs/>
          <w:sz w:val="20"/>
        </w:rPr>
        <w:t>Muskogee RO</w:t>
      </w:r>
      <w:r w:rsidR="00DC47B2">
        <w:rPr>
          <w:rFonts w:ascii="Arial" w:hAnsi="Arial"/>
          <w:bCs/>
          <w:sz w:val="20"/>
        </w:rPr>
        <w:t xml:space="preserve"> (351) </w:t>
      </w:r>
      <w:r>
        <w:rPr>
          <w:rFonts w:ascii="Arial" w:hAnsi="Arial"/>
          <w:bCs/>
          <w:sz w:val="20"/>
        </w:rPr>
        <w:t>as of 1/19/05</w:t>
      </w:r>
    </w:p>
    <w:p w:rsidR="00F67D18" w:rsidRDefault="00F67D18" w:rsidP="00333C92">
      <w:pPr>
        <w:widowControl w:val="0"/>
        <w:numPr>
          <w:ilvl w:val="0"/>
          <w:numId w:val="70"/>
        </w:numPr>
        <w:tabs>
          <w:tab w:val="clear" w:pos="720"/>
          <w:tab w:val="num" w:pos="360"/>
        </w:tabs>
        <w:spacing w:after="120"/>
        <w:ind w:left="360"/>
        <w:rPr>
          <w:b/>
          <w:i/>
        </w:rPr>
      </w:pPr>
      <w:r w:rsidRPr="008477B3">
        <w:rPr>
          <w:b/>
          <w:iCs/>
        </w:rPr>
        <w:t>3.316</w:t>
      </w:r>
      <w:r>
        <w:rPr>
          <w:b/>
          <w:iCs/>
        </w:rPr>
        <w:t xml:space="preserve"> </w:t>
      </w:r>
      <w:r>
        <w:t xml:space="preserve">- Claims based on chronic effects of exposure to </w:t>
      </w:r>
      <w:r>
        <w:rPr>
          <w:b/>
          <w:highlight w:val="cyan"/>
          <w:u w:val="single"/>
        </w:rPr>
        <w:t>mustard gas</w:t>
      </w:r>
      <w:r>
        <w:t xml:space="preserve"> </w:t>
      </w:r>
      <w:r>
        <w:rPr>
          <w:i/>
        </w:rPr>
        <w:t>–</w:t>
      </w:r>
      <w:r>
        <w:rPr>
          <w:b/>
          <w:i/>
        </w:rPr>
        <w:t xml:space="preserve"> </w:t>
      </w:r>
    </w:p>
    <w:p w:rsidR="004A20C3" w:rsidRPr="00116FEA" w:rsidRDefault="004A20C3" w:rsidP="00333C92">
      <w:pPr>
        <w:pStyle w:val="ListParagraph"/>
        <w:widowControl w:val="0"/>
        <w:numPr>
          <w:ilvl w:val="0"/>
          <w:numId w:val="70"/>
        </w:numPr>
        <w:tabs>
          <w:tab w:val="clear" w:pos="720"/>
          <w:tab w:val="num" w:pos="360"/>
          <w:tab w:val="left" w:pos="400"/>
        </w:tabs>
        <w:spacing w:after="120" w:line="240" w:lineRule="auto"/>
        <w:ind w:left="360"/>
        <w:rPr>
          <w:rFonts w:ascii="Arial" w:hAnsi="Arial"/>
          <w:b/>
          <w:bCs/>
          <w:sz w:val="20"/>
          <w:szCs w:val="20"/>
        </w:rPr>
      </w:pPr>
      <w:r w:rsidRPr="00ED5C7F">
        <w:rPr>
          <w:rFonts w:ascii="Arial" w:hAnsi="Arial"/>
          <w:b/>
          <w:sz w:val="20"/>
          <w:szCs w:val="20"/>
        </w:rPr>
        <w:t>I.1.B.1.f</w:t>
      </w:r>
      <w:r>
        <w:rPr>
          <w:rFonts w:ascii="Arial" w:hAnsi="Arial"/>
          <w:b/>
          <w:sz w:val="20"/>
          <w:szCs w:val="20"/>
        </w:rPr>
        <w:t xml:space="preserve"> – </w:t>
      </w:r>
      <w:r>
        <w:rPr>
          <w:rFonts w:ascii="Arial" w:hAnsi="Arial"/>
          <w:sz w:val="20"/>
          <w:szCs w:val="20"/>
        </w:rPr>
        <w:t xml:space="preserve">need to send additional notice, per </w:t>
      </w:r>
      <w:r w:rsidRPr="00ED5C7F">
        <w:rPr>
          <w:rFonts w:ascii="Arial" w:hAnsi="Arial"/>
          <w:b/>
          <w:sz w:val="20"/>
          <w:szCs w:val="20"/>
        </w:rPr>
        <w:t>IV.ii.1.</w:t>
      </w:r>
      <w:r>
        <w:rPr>
          <w:rFonts w:ascii="Arial" w:hAnsi="Arial"/>
          <w:b/>
          <w:sz w:val="20"/>
          <w:szCs w:val="20"/>
        </w:rPr>
        <w:t>F.3.b</w:t>
      </w:r>
    </w:p>
    <w:p w:rsidR="00116FEA" w:rsidRPr="00ED5C7F" w:rsidRDefault="00116FEA" w:rsidP="00333C92">
      <w:pPr>
        <w:pStyle w:val="ListParagraph"/>
        <w:widowControl w:val="0"/>
        <w:numPr>
          <w:ilvl w:val="0"/>
          <w:numId w:val="70"/>
        </w:numPr>
        <w:tabs>
          <w:tab w:val="clear" w:pos="720"/>
          <w:tab w:val="left" w:pos="360"/>
          <w:tab w:val="left" w:pos="400"/>
        </w:tabs>
        <w:spacing w:after="120" w:line="240" w:lineRule="auto"/>
        <w:ind w:left="360"/>
        <w:rPr>
          <w:rFonts w:ascii="Arial" w:hAnsi="Arial"/>
          <w:b/>
          <w:bCs/>
          <w:sz w:val="20"/>
          <w:szCs w:val="20"/>
        </w:rPr>
      </w:pPr>
      <w:r w:rsidRPr="00116FEA">
        <w:rPr>
          <w:rFonts w:ascii="Arial" w:hAnsi="Arial"/>
          <w:b/>
          <w:bCs/>
          <w:sz w:val="20"/>
          <w:szCs w:val="20"/>
        </w:rPr>
        <w:t>IV.ii.2.C.9</w:t>
      </w:r>
      <w:r>
        <w:rPr>
          <w:rFonts w:ascii="Arial" w:hAnsi="Arial"/>
          <w:bCs/>
          <w:sz w:val="20"/>
          <w:szCs w:val="20"/>
        </w:rPr>
        <w:t xml:space="preserve"> – claims based on mustard gas or lewisite</w:t>
      </w:r>
    </w:p>
    <w:p w:rsidR="00F67D18" w:rsidRPr="00B459F6" w:rsidRDefault="00F67D18" w:rsidP="00333C92">
      <w:pPr>
        <w:widowControl w:val="0"/>
        <w:numPr>
          <w:ilvl w:val="0"/>
          <w:numId w:val="70"/>
        </w:numPr>
        <w:tabs>
          <w:tab w:val="clear" w:pos="720"/>
          <w:tab w:val="num" w:pos="360"/>
        </w:tabs>
        <w:spacing w:after="120"/>
        <w:ind w:left="360"/>
        <w:rPr>
          <w:b/>
          <w:bCs/>
        </w:rPr>
      </w:pPr>
      <w:r w:rsidRPr="00B459F6">
        <w:rPr>
          <w:b/>
          <w:bCs/>
        </w:rPr>
        <w:t>IV.ii.1.F</w:t>
      </w:r>
      <w:r w:rsidRPr="00B459F6">
        <w:rPr>
          <w:bCs/>
        </w:rPr>
        <w:t xml:space="preserve"> - </w:t>
      </w:r>
      <w:r w:rsidRPr="00C2562B">
        <w:t>full-body exposure to mustard gas or</w:t>
      </w:r>
      <w:r w:rsidR="00116FEA">
        <w:t xml:space="preserve"> l</w:t>
      </w:r>
      <w:r w:rsidRPr="00C2562B">
        <w:t>ewisite</w:t>
      </w:r>
      <w:r w:rsidR="00D20B0A">
        <w:t xml:space="preserve"> (</w:t>
      </w:r>
      <w:r w:rsidR="00D20B0A" w:rsidRPr="00D20B0A">
        <w:rPr>
          <w:b/>
        </w:rPr>
        <w:t>IV.ii.1.F.2.b</w:t>
      </w:r>
      <w:r w:rsidR="00D20B0A">
        <w:t xml:space="preserve"> confirms Muskogee, need </w:t>
      </w:r>
      <w:r w:rsidR="00D20B0A" w:rsidRPr="00D20B0A">
        <w:rPr>
          <w:i/>
        </w:rPr>
        <w:t>Mustard Gas</w:t>
      </w:r>
      <w:r w:rsidR="00D20B0A">
        <w:t xml:space="preserve"> special issue indicator on relevant contention)</w:t>
      </w:r>
    </w:p>
    <w:p w:rsidR="00F67D18" w:rsidRDefault="00F67D18" w:rsidP="00F67D18">
      <w:pPr>
        <w:widowControl w:val="0"/>
        <w:numPr>
          <w:ilvl w:val="12"/>
          <w:numId w:val="0"/>
        </w:numPr>
        <w:rPr>
          <w:sz w:val="18"/>
        </w:rPr>
      </w:pPr>
      <w:r>
        <w:rPr>
          <w:sz w:val="18"/>
        </w:rPr>
        <w:t xml:space="preserve">Except as provided in (b) of this section, exposure to the specified vesicant agents during service under the circumstances described below together with the subsequent development of any of the indicated conds is sufficient to estab S/C for that cond: </w:t>
      </w:r>
    </w:p>
    <w:p w:rsidR="00F67D18" w:rsidRDefault="00F67D18" w:rsidP="00F67D18">
      <w:pPr>
        <w:widowControl w:val="0"/>
        <w:numPr>
          <w:ilvl w:val="12"/>
          <w:numId w:val="0"/>
        </w:numPr>
        <w:rPr>
          <w:sz w:val="18"/>
        </w:rPr>
      </w:pPr>
    </w:p>
    <w:p w:rsidR="00F67D18" w:rsidRPr="002E711C" w:rsidRDefault="00F67D18" w:rsidP="00F67D18">
      <w:pPr>
        <w:widowControl w:val="0"/>
        <w:numPr>
          <w:ilvl w:val="12"/>
          <w:numId w:val="0"/>
        </w:numPr>
        <w:rPr>
          <w:sz w:val="18"/>
          <w:szCs w:val="18"/>
        </w:rPr>
      </w:pPr>
      <w:r w:rsidRPr="002E711C">
        <w:rPr>
          <w:sz w:val="18"/>
          <w:szCs w:val="18"/>
        </w:rPr>
        <w:t>(1) Full-body exposure to nitrogen or sulfur mustard during active military service together with the subsequent development of:</w:t>
      </w:r>
    </w:p>
    <w:p w:rsidR="00F67D18" w:rsidRPr="002E711C" w:rsidRDefault="00F67D18" w:rsidP="00F67D18">
      <w:pPr>
        <w:widowControl w:val="0"/>
        <w:numPr>
          <w:ilvl w:val="12"/>
          <w:numId w:val="0"/>
        </w:numPr>
        <w:ind w:left="720" w:firstLine="720"/>
        <w:rPr>
          <w:sz w:val="18"/>
          <w:szCs w:val="18"/>
        </w:rPr>
      </w:pPr>
      <w:r w:rsidRPr="002E711C">
        <w:rPr>
          <w:sz w:val="18"/>
          <w:szCs w:val="18"/>
        </w:rPr>
        <w:t>conjunctivitis (chronic)</w:t>
      </w:r>
      <w:r w:rsidRPr="002E711C">
        <w:rPr>
          <w:sz w:val="18"/>
          <w:szCs w:val="18"/>
        </w:rPr>
        <w:tab/>
      </w:r>
      <w:r w:rsidRPr="002E711C">
        <w:rPr>
          <w:sz w:val="18"/>
          <w:szCs w:val="18"/>
        </w:rPr>
        <w:tab/>
      </w:r>
      <w:r w:rsidRPr="002E711C">
        <w:rPr>
          <w:sz w:val="18"/>
          <w:szCs w:val="18"/>
        </w:rPr>
        <w:tab/>
        <w:t>lung cancer (except mesothelioma)</w:t>
      </w:r>
    </w:p>
    <w:p w:rsidR="00F67D18" w:rsidRPr="002E711C" w:rsidRDefault="00F67D18" w:rsidP="00F67D18">
      <w:pPr>
        <w:widowControl w:val="0"/>
        <w:numPr>
          <w:ilvl w:val="12"/>
          <w:numId w:val="0"/>
        </w:numPr>
        <w:ind w:left="720" w:firstLine="720"/>
        <w:rPr>
          <w:sz w:val="18"/>
          <w:szCs w:val="18"/>
        </w:rPr>
      </w:pPr>
      <w:r w:rsidRPr="002E711C">
        <w:rPr>
          <w:sz w:val="18"/>
          <w:szCs w:val="18"/>
        </w:rPr>
        <w:t xml:space="preserve">corneal opacities </w:t>
      </w:r>
      <w:r w:rsidRPr="002E711C">
        <w:rPr>
          <w:sz w:val="18"/>
          <w:szCs w:val="18"/>
        </w:rPr>
        <w:tab/>
      </w:r>
      <w:r w:rsidRPr="002E711C">
        <w:rPr>
          <w:sz w:val="18"/>
          <w:szCs w:val="18"/>
        </w:rPr>
        <w:tab/>
      </w:r>
      <w:r w:rsidRPr="002E711C">
        <w:rPr>
          <w:sz w:val="18"/>
          <w:szCs w:val="18"/>
        </w:rPr>
        <w:tab/>
      </w:r>
      <w:r w:rsidRPr="002E711C">
        <w:rPr>
          <w:sz w:val="18"/>
          <w:szCs w:val="18"/>
        </w:rPr>
        <w:tab/>
        <w:t>nasopharyngeal cancer</w:t>
      </w:r>
    </w:p>
    <w:p w:rsidR="00F67D18" w:rsidRPr="002E711C" w:rsidRDefault="00F67D18" w:rsidP="00F67D18">
      <w:pPr>
        <w:widowControl w:val="0"/>
        <w:numPr>
          <w:ilvl w:val="12"/>
          <w:numId w:val="0"/>
        </w:numPr>
        <w:ind w:left="720" w:firstLine="720"/>
        <w:rPr>
          <w:sz w:val="18"/>
          <w:szCs w:val="18"/>
        </w:rPr>
      </w:pPr>
      <w:r w:rsidRPr="002E711C">
        <w:rPr>
          <w:sz w:val="18"/>
          <w:szCs w:val="18"/>
        </w:rPr>
        <w:t>keratitis</w:t>
      </w:r>
      <w:r w:rsidRPr="002E711C">
        <w:rPr>
          <w:sz w:val="18"/>
          <w:szCs w:val="18"/>
        </w:rPr>
        <w:tab/>
      </w:r>
      <w:r w:rsidRPr="002E711C">
        <w:rPr>
          <w:sz w:val="18"/>
          <w:szCs w:val="18"/>
        </w:rPr>
        <w:tab/>
      </w:r>
      <w:r w:rsidRPr="002E711C">
        <w:rPr>
          <w:sz w:val="18"/>
          <w:szCs w:val="18"/>
        </w:rPr>
        <w:tab/>
      </w:r>
      <w:r w:rsidRPr="002E711C">
        <w:rPr>
          <w:sz w:val="18"/>
          <w:szCs w:val="18"/>
        </w:rPr>
        <w:tab/>
      </w:r>
      <w:r w:rsidRPr="002E711C">
        <w:rPr>
          <w:sz w:val="18"/>
          <w:szCs w:val="18"/>
        </w:rPr>
        <w:tab/>
        <w:t>scar formation</w:t>
      </w:r>
    </w:p>
    <w:p w:rsidR="00F67D18" w:rsidRPr="002E711C" w:rsidRDefault="00F67D18" w:rsidP="00F67D18">
      <w:pPr>
        <w:widowControl w:val="0"/>
        <w:numPr>
          <w:ilvl w:val="12"/>
          <w:numId w:val="0"/>
        </w:numPr>
        <w:ind w:left="720" w:firstLine="720"/>
        <w:rPr>
          <w:sz w:val="18"/>
          <w:szCs w:val="18"/>
        </w:rPr>
      </w:pPr>
      <w:r w:rsidRPr="002E711C">
        <w:rPr>
          <w:sz w:val="18"/>
          <w:szCs w:val="18"/>
        </w:rPr>
        <w:t xml:space="preserve">laryngeal cancer </w:t>
      </w:r>
      <w:r w:rsidRPr="002E711C">
        <w:rPr>
          <w:sz w:val="18"/>
          <w:szCs w:val="18"/>
        </w:rPr>
        <w:tab/>
      </w:r>
      <w:r w:rsidRPr="002E711C">
        <w:rPr>
          <w:sz w:val="18"/>
          <w:szCs w:val="18"/>
        </w:rPr>
        <w:tab/>
      </w:r>
      <w:r w:rsidRPr="002E711C">
        <w:rPr>
          <w:sz w:val="18"/>
          <w:szCs w:val="18"/>
        </w:rPr>
        <w:tab/>
      </w:r>
      <w:r w:rsidRPr="002E711C">
        <w:rPr>
          <w:sz w:val="18"/>
          <w:szCs w:val="18"/>
        </w:rPr>
        <w:tab/>
        <w:t>squamous cell carcinoma of the skin</w:t>
      </w:r>
    </w:p>
    <w:p w:rsidR="00F67D18" w:rsidRPr="002E711C" w:rsidRDefault="00F67D18" w:rsidP="00F67D18">
      <w:pPr>
        <w:pStyle w:val="BodyText"/>
        <w:widowControl w:val="0"/>
        <w:numPr>
          <w:ilvl w:val="12"/>
          <w:numId w:val="0"/>
        </w:numPr>
        <w:rPr>
          <w:sz w:val="18"/>
          <w:szCs w:val="18"/>
        </w:rPr>
      </w:pPr>
      <w:r w:rsidRPr="002E711C">
        <w:rPr>
          <w:sz w:val="18"/>
          <w:szCs w:val="18"/>
        </w:rPr>
        <w:t>(2) Full-body exposure to nitrogen or sulfur mustard or Lewisite during active military service together with the subsequent development of:</w:t>
      </w:r>
      <w:r w:rsidRPr="002E711C">
        <w:rPr>
          <w:sz w:val="18"/>
          <w:szCs w:val="18"/>
        </w:rPr>
        <w:tab/>
      </w:r>
    </w:p>
    <w:p w:rsidR="00F67D18" w:rsidRPr="002E711C" w:rsidRDefault="00F67D18" w:rsidP="00F67D18">
      <w:pPr>
        <w:pStyle w:val="BodyText"/>
        <w:widowControl w:val="0"/>
        <w:numPr>
          <w:ilvl w:val="12"/>
          <w:numId w:val="0"/>
        </w:numPr>
        <w:ind w:left="720" w:firstLine="720"/>
        <w:rPr>
          <w:sz w:val="18"/>
          <w:szCs w:val="18"/>
        </w:rPr>
      </w:pPr>
      <w:r w:rsidRPr="002E711C">
        <w:rPr>
          <w:sz w:val="18"/>
          <w:szCs w:val="18"/>
        </w:rPr>
        <w:t xml:space="preserve">asthma </w:t>
      </w:r>
      <w:r w:rsidRPr="002E711C">
        <w:rPr>
          <w:sz w:val="18"/>
          <w:szCs w:val="18"/>
        </w:rPr>
        <w:tab/>
      </w:r>
      <w:r w:rsidRPr="002E711C">
        <w:rPr>
          <w:sz w:val="18"/>
          <w:szCs w:val="18"/>
        </w:rPr>
        <w:tab/>
      </w:r>
      <w:r w:rsidRPr="002E711C">
        <w:rPr>
          <w:sz w:val="18"/>
          <w:szCs w:val="18"/>
        </w:rPr>
        <w:tab/>
      </w:r>
      <w:r w:rsidRPr="002E711C">
        <w:rPr>
          <w:sz w:val="18"/>
          <w:szCs w:val="18"/>
        </w:rPr>
        <w:tab/>
      </w:r>
      <w:r w:rsidRPr="002E711C">
        <w:rPr>
          <w:sz w:val="18"/>
          <w:szCs w:val="18"/>
        </w:rPr>
        <w:tab/>
        <w:t>laryngitis (chronic)</w:t>
      </w:r>
    </w:p>
    <w:p w:rsidR="00F67D18" w:rsidRPr="002E711C" w:rsidRDefault="00F67D18" w:rsidP="00F67D18">
      <w:pPr>
        <w:widowControl w:val="0"/>
        <w:numPr>
          <w:ilvl w:val="12"/>
          <w:numId w:val="0"/>
        </w:numPr>
        <w:ind w:left="720" w:firstLine="720"/>
        <w:rPr>
          <w:sz w:val="18"/>
          <w:szCs w:val="18"/>
        </w:rPr>
      </w:pPr>
      <w:r w:rsidRPr="002E711C">
        <w:rPr>
          <w:sz w:val="18"/>
          <w:szCs w:val="18"/>
        </w:rPr>
        <w:t>bronchitis</w:t>
      </w:r>
      <w:r w:rsidRPr="002E711C">
        <w:rPr>
          <w:sz w:val="18"/>
          <w:szCs w:val="18"/>
        </w:rPr>
        <w:tab/>
      </w:r>
      <w:r w:rsidRPr="002E711C">
        <w:rPr>
          <w:sz w:val="18"/>
          <w:szCs w:val="18"/>
        </w:rPr>
        <w:tab/>
      </w:r>
      <w:r w:rsidRPr="002E711C">
        <w:rPr>
          <w:sz w:val="18"/>
          <w:szCs w:val="18"/>
        </w:rPr>
        <w:tab/>
      </w:r>
      <w:r w:rsidRPr="002E711C">
        <w:rPr>
          <w:sz w:val="18"/>
          <w:szCs w:val="18"/>
        </w:rPr>
        <w:tab/>
        <w:t>obstructive pulmonary disease emphysema (chronic)</w:t>
      </w:r>
    </w:p>
    <w:p w:rsidR="00F67D18" w:rsidRPr="002E711C" w:rsidRDefault="00F67D18" w:rsidP="00F67D18">
      <w:pPr>
        <w:widowControl w:val="0"/>
        <w:numPr>
          <w:ilvl w:val="12"/>
          <w:numId w:val="0"/>
        </w:numPr>
        <w:rPr>
          <w:sz w:val="18"/>
          <w:szCs w:val="18"/>
        </w:rPr>
      </w:pPr>
      <w:r w:rsidRPr="002E711C">
        <w:rPr>
          <w:sz w:val="18"/>
          <w:szCs w:val="18"/>
        </w:rPr>
        <w:t xml:space="preserve">(3) Full-body exposure to nitrogen mustard during service w/ subsequent development of:  acute nonlymphocytic leukemia. </w:t>
      </w:r>
    </w:p>
    <w:p w:rsidR="00F67D18" w:rsidRDefault="00F67D18" w:rsidP="004D7A3A">
      <w:pPr>
        <w:numPr>
          <w:ilvl w:val="12"/>
          <w:numId w:val="0"/>
        </w:numPr>
        <w:tabs>
          <w:tab w:val="left" w:pos="0"/>
          <w:tab w:val="left" w:pos="660"/>
          <w:tab w:val="left" w:pos="9390"/>
        </w:tabs>
        <w:rPr>
          <w:sz w:val="18"/>
        </w:rPr>
      </w:pPr>
    </w:p>
    <w:p w:rsidR="00F67D18" w:rsidRDefault="00F67D18" w:rsidP="004D7A3A">
      <w:pPr>
        <w:numPr>
          <w:ilvl w:val="12"/>
          <w:numId w:val="0"/>
        </w:numPr>
        <w:tabs>
          <w:tab w:val="left" w:pos="0"/>
          <w:tab w:val="left" w:pos="660"/>
          <w:tab w:val="left" w:pos="9390"/>
        </w:tabs>
        <w:rPr>
          <w:sz w:val="18"/>
        </w:rPr>
      </w:pPr>
    </w:p>
    <w:p w:rsidR="00E95FCE" w:rsidRPr="00E95FCE" w:rsidRDefault="00E95FCE" w:rsidP="004D7A3A">
      <w:pPr>
        <w:numPr>
          <w:ilvl w:val="12"/>
          <w:numId w:val="0"/>
        </w:numPr>
        <w:tabs>
          <w:tab w:val="left" w:pos="0"/>
          <w:tab w:val="left" w:pos="660"/>
          <w:tab w:val="left" w:pos="9390"/>
        </w:tabs>
      </w:pPr>
      <w:r w:rsidRPr="00E95FCE">
        <w:rPr>
          <w:b/>
        </w:rPr>
        <w:t>Operation Ranch Hand (OR</w:t>
      </w:r>
      <w:r w:rsidR="00AF0BB1">
        <w:rPr>
          <w:b/>
        </w:rPr>
        <w:t>H</w:t>
      </w:r>
      <w:r w:rsidRPr="00E95FCE">
        <w:rPr>
          <w:b/>
        </w:rPr>
        <w:t>) C-123</w:t>
      </w:r>
      <w:r w:rsidRPr="00E95FCE">
        <w:t xml:space="preserve"> </w:t>
      </w:r>
      <w:r>
        <w:t xml:space="preserve">– </w:t>
      </w:r>
      <w:r w:rsidRPr="00E95FCE">
        <w:rPr>
          <w:b/>
        </w:rPr>
        <w:t>IV.ii.1.H.3.a</w:t>
      </w:r>
      <w:r>
        <w:t>,</w:t>
      </w:r>
      <w:r w:rsidRPr="00E95FCE">
        <w:t xml:space="preserve"> St. Paul RO</w:t>
      </w:r>
      <w:r w:rsidR="00DC47B2">
        <w:t xml:space="preserve"> (335)</w:t>
      </w:r>
      <w:r w:rsidRPr="00E95FCE">
        <w:rPr>
          <w:bCs/>
        </w:rPr>
        <w:t xml:space="preserve"> </w:t>
      </w:r>
      <w:r>
        <w:rPr>
          <w:bCs/>
        </w:rPr>
        <w:t>as of 4/15</w:t>
      </w:r>
    </w:p>
    <w:p w:rsidR="00E95FCE" w:rsidRDefault="00E95FCE" w:rsidP="004D7A3A">
      <w:pPr>
        <w:numPr>
          <w:ilvl w:val="12"/>
          <w:numId w:val="0"/>
        </w:numPr>
        <w:tabs>
          <w:tab w:val="left" w:pos="0"/>
          <w:tab w:val="left" w:pos="660"/>
          <w:tab w:val="left" w:pos="9390"/>
        </w:tabs>
        <w:rPr>
          <w:sz w:val="18"/>
        </w:rPr>
      </w:pPr>
    </w:p>
    <w:p w:rsidR="002A1674" w:rsidRPr="002A1674" w:rsidRDefault="002A1674" w:rsidP="004D7A3A">
      <w:pPr>
        <w:numPr>
          <w:ilvl w:val="12"/>
          <w:numId w:val="0"/>
        </w:numPr>
        <w:tabs>
          <w:tab w:val="left" w:pos="0"/>
          <w:tab w:val="left" w:pos="660"/>
          <w:tab w:val="left" w:pos="9390"/>
        </w:tabs>
      </w:pPr>
      <w:r w:rsidRPr="002A1674">
        <w:rPr>
          <w:b/>
        </w:rPr>
        <w:t>Mustard Gas/Lewisite Readjudication</w:t>
      </w:r>
      <w:r w:rsidRPr="002A1674">
        <w:t xml:space="preserve"> (issued 6/7/18, based on Section 502 of PL 115-48, signed on 8/16/17)</w:t>
      </w:r>
    </w:p>
    <w:p w:rsidR="002A1674" w:rsidRPr="00310440" w:rsidRDefault="002A1674" w:rsidP="002A1674">
      <w:pPr>
        <w:pStyle w:val="ListParagraph"/>
        <w:pBdr>
          <w:top w:val="double" w:sz="4" w:space="1" w:color="auto"/>
          <w:left w:val="double" w:sz="4" w:space="4" w:color="auto"/>
          <w:bottom w:val="double" w:sz="4" w:space="1" w:color="auto"/>
          <w:right w:val="double" w:sz="4" w:space="4" w:color="auto"/>
        </w:pBdr>
        <w:shd w:val="clear" w:color="auto" w:fill="FFC000"/>
        <w:spacing w:before="120" w:after="240"/>
        <w:ind w:left="360"/>
        <w:jc w:val="center"/>
        <w:rPr>
          <w:rFonts w:ascii="Arial" w:eastAsiaTheme="minorHAnsi" w:hAnsi="Arial"/>
          <w:sz w:val="20"/>
        </w:rPr>
      </w:pPr>
      <w:r>
        <w:rPr>
          <w:rFonts w:ascii="Arial" w:eastAsiaTheme="minorHAnsi" w:hAnsi="Arial"/>
          <w:b/>
          <w:sz w:val="20"/>
        </w:rPr>
        <w:t>MustardGas_06072018.dox</w:t>
      </w:r>
      <w:r w:rsidRPr="00310440">
        <w:rPr>
          <w:rFonts w:ascii="Arial" w:eastAsiaTheme="minorHAnsi" w:hAnsi="Arial"/>
          <w:sz w:val="20"/>
        </w:rPr>
        <w:t xml:space="preserve"> is</w:t>
      </w:r>
      <w:r w:rsidRPr="00310440">
        <w:rPr>
          <w:rFonts w:ascii="Arial" w:hAnsi="Arial"/>
          <w:sz w:val="20"/>
        </w:rPr>
        <w:t xml:space="preserve"> saved at </w:t>
      </w:r>
      <w:r w:rsidRPr="00310440">
        <w:rPr>
          <w:rFonts w:ascii="Arial" w:hAnsi="Arial"/>
          <w:b/>
          <w:bCs/>
          <w:i/>
          <w:iCs/>
          <w:sz w:val="20"/>
        </w:rPr>
        <w:t>H:\VSC\Rating Reference</w:t>
      </w:r>
    </w:p>
    <w:p w:rsidR="00B730A6" w:rsidRPr="00B730A6" w:rsidRDefault="00B730A6" w:rsidP="00B730A6">
      <w:pPr>
        <w:rPr>
          <w:rFonts w:eastAsiaTheme="minorHAnsi"/>
        </w:rPr>
      </w:pPr>
      <w:r w:rsidRPr="00B730A6">
        <w:rPr>
          <w:b/>
          <w:bCs/>
        </w:rPr>
        <w:t>From:</w:t>
      </w:r>
      <w:r w:rsidRPr="00B730A6">
        <w:t xml:space="preserve"> VAVBASDC/RO/VSC </w:t>
      </w:r>
      <w:r w:rsidRPr="00B730A6">
        <w:br/>
      </w:r>
      <w:r w:rsidRPr="00B730A6">
        <w:rPr>
          <w:b/>
          <w:bCs/>
        </w:rPr>
        <w:t>Sent:</w:t>
      </w:r>
      <w:r w:rsidRPr="00B730A6">
        <w:t xml:space="preserve"> Thursday, June 14, 2018 2:01 PM</w:t>
      </w:r>
      <w:r w:rsidRPr="00B730A6">
        <w:br/>
      </w:r>
      <w:r w:rsidRPr="00B730A6">
        <w:rPr>
          <w:b/>
          <w:bCs/>
        </w:rPr>
        <w:t>Subject:</w:t>
      </w:r>
      <w:r w:rsidRPr="00B730A6">
        <w:t xml:space="preserve"> FW: Mustard Gas - Public Law 115-48</w:t>
      </w:r>
      <w:r w:rsidRPr="00B730A6">
        <w:br/>
      </w:r>
    </w:p>
    <w:p w:rsidR="00B730A6" w:rsidRPr="00B730A6" w:rsidRDefault="00B730A6" w:rsidP="00B730A6">
      <w:r w:rsidRPr="00B730A6">
        <w:rPr>
          <w:i/>
          <w:iCs/>
        </w:rPr>
        <w:t>For information purposes:</w:t>
      </w:r>
    </w:p>
    <w:p w:rsidR="00B730A6" w:rsidRPr="00B730A6" w:rsidRDefault="00B730A6" w:rsidP="00B730A6">
      <w:r w:rsidRPr="00B730A6">
        <w:t xml:space="preserve">As discussed on today’s call, Section 502 of Public Law 115-48, which was signed on August 16, 2017, requires VA to readjudicate all previously denied disability compensation claims for Veterans who alleged full-body exposure to mustard gas or Lewisite during WWII at one of the sites specified in the bill or any other site VA determines is appropriate.  Please note that this public law is also known as the Harry W. Colmery Veterans Educational Assistance Act of 2017.  Claims involving mustard gas or Lewisite are processed at the Muskogee Regional Office and claims processors should ensure the special issue of “Mustard Gas” is added as soon as a contention of mustard gas is identified. VA will continue efforts to locate Veterans by various means to ensure they are afforded the opportunity to file under the guidelines of the new legislation. </w:t>
      </w:r>
    </w:p>
    <w:p w:rsidR="00B730A6" w:rsidRPr="00B730A6" w:rsidRDefault="00B730A6" w:rsidP="00B730A6"/>
    <w:p w:rsidR="002A1674" w:rsidRPr="00B730A6" w:rsidRDefault="00B730A6" w:rsidP="00B730A6">
      <w:r w:rsidRPr="00B730A6">
        <w:t>If you have any questions, please do not hesitate to ask your Coach and or Assistant Coach.</w:t>
      </w:r>
    </w:p>
    <w:p w:rsidR="00E95FCE" w:rsidRDefault="00E95FCE" w:rsidP="004D7A3A">
      <w:pPr>
        <w:numPr>
          <w:ilvl w:val="12"/>
          <w:numId w:val="0"/>
        </w:numPr>
        <w:tabs>
          <w:tab w:val="left" w:pos="0"/>
          <w:tab w:val="left" w:pos="660"/>
          <w:tab w:val="left" w:pos="9390"/>
        </w:tabs>
        <w:rPr>
          <w:sz w:val="18"/>
        </w:rPr>
      </w:pPr>
    </w:p>
    <w:p w:rsidR="006359B1" w:rsidRDefault="006359B1" w:rsidP="006359B1">
      <w:pPr>
        <w:widowControl w:val="0"/>
        <w:pBdr>
          <w:top w:val="single" w:sz="4" w:space="1" w:color="auto"/>
        </w:pBdr>
        <w:rPr>
          <w:b/>
          <w:bCs/>
        </w:rPr>
      </w:pPr>
    </w:p>
    <w:p w:rsidR="006359B1" w:rsidRDefault="006359B1" w:rsidP="006359B1">
      <w:pPr>
        <w:widowControl w:val="0"/>
        <w:pBdr>
          <w:top w:val="single" w:sz="4" w:space="1" w:color="auto"/>
        </w:pBdr>
        <w:rPr>
          <w:b/>
          <w:bCs/>
        </w:rPr>
      </w:pPr>
      <w:r w:rsidRPr="00094D68">
        <w:rPr>
          <w:b/>
          <w:bCs/>
          <w:highlight w:val="darkGray"/>
        </w:rPr>
        <w:t>Quick Pay Disabiltiy (QPD) program - III.i.5</w:t>
      </w:r>
      <w:r w:rsidR="00094D68">
        <w:rPr>
          <w:b/>
          <w:bCs/>
        </w:rPr>
        <w:t xml:space="preserve"> </w:t>
      </w:r>
      <w:r w:rsidR="00094D68" w:rsidRPr="00094D68">
        <w:rPr>
          <w:bCs/>
        </w:rPr>
        <w:t>– rescinded 1/2/18</w:t>
      </w:r>
    </w:p>
    <w:p w:rsidR="0028206C" w:rsidRDefault="0028206C" w:rsidP="0028206C">
      <w:pPr>
        <w:widowControl w:val="0"/>
        <w:tabs>
          <w:tab w:val="left" w:pos="0"/>
          <w:tab w:val="left" w:pos="360"/>
        </w:tabs>
        <w:spacing w:after="120"/>
        <w:outlineLvl w:val="0"/>
        <w:rPr>
          <w:b/>
          <w:u w:val="single"/>
        </w:rPr>
      </w:pPr>
    </w:p>
    <w:p w:rsidR="006359B1" w:rsidRPr="006359B1" w:rsidRDefault="0028206C" w:rsidP="0028206C">
      <w:pPr>
        <w:widowControl w:val="0"/>
        <w:tabs>
          <w:tab w:val="left" w:pos="0"/>
          <w:tab w:val="left" w:pos="360"/>
        </w:tabs>
        <w:spacing w:after="120"/>
        <w:outlineLvl w:val="0"/>
        <w:rPr>
          <w:b/>
          <w:color w:val="000000"/>
        </w:rPr>
      </w:pPr>
      <w:r w:rsidRPr="0028206C">
        <w:rPr>
          <w:b/>
        </w:rPr>
        <w:t>Pre-Discharge</w:t>
      </w:r>
      <w:r w:rsidR="0050668F">
        <w:rPr>
          <w:b/>
        </w:rPr>
        <w:t xml:space="preserve"> / BDD / </w:t>
      </w:r>
      <w:r w:rsidR="0050668F" w:rsidRPr="008A3B47">
        <w:rPr>
          <w:b/>
          <w:highlight w:val="lightGray"/>
        </w:rPr>
        <w:t>Quick Start</w:t>
      </w:r>
      <w:r w:rsidR="008A3B47">
        <w:rPr>
          <w:b/>
        </w:rPr>
        <w:t xml:space="preserve"> </w:t>
      </w:r>
      <w:r w:rsidR="008A3B47" w:rsidRPr="00720435">
        <w:t>(</w:t>
      </w:r>
      <w:r w:rsidR="00720435" w:rsidRPr="00720435">
        <w:rPr>
          <w:i/>
          <w:color w:val="00B050"/>
        </w:rPr>
        <w:t>My Notes:</w:t>
      </w:r>
      <w:r w:rsidR="00720435" w:rsidRPr="00720435">
        <w:rPr>
          <w:color w:val="00B050"/>
        </w:rPr>
        <w:t xml:space="preserve">  </w:t>
      </w:r>
      <w:r w:rsidR="00720435">
        <w:t>Quick Start d</w:t>
      </w:r>
      <w:r w:rsidR="008A3B47" w:rsidRPr="00720435">
        <w:t>iscontinued 10/1/17)</w:t>
      </w:r>
      <w:r w:rsidRPr="0028206C">
        <w:rPr>
          <w:b/>
        </w:rPr>
        <w:t xml:space="preserve"> -</w:t>
      </w:r>
      <w:r>
        <w:rPr>
          <w:b/>
        </w:rPr>
        <w:t xml:space="preserve"> </w:t>
      </w:r>
    </w:p>
    <w:p w:rsidR="005F2ACC" w:rsidRPr="005F2ACC" w:rsidRDefault="0028206C" w:rsidP="00F063AF">
      <w:pPr>
        <w:widowControl w:val="0"/>
        <w:numPr>
          <w:ilvl w:val="0"/>
          <w:numId w:val="140"/>
        </w:numPr>
        <w:tabs>
          <w:tab w:val="left" w:pos="0"/>
          <w:tab w:val="left" w:pos="360"/>
        </w:tabs>
        <w:spacing w:after="120"/>
        <w:ind w:left="360"/>
        <w:outlineLvl w:val="0"/>
        <w:rPr>
          <w:color w:val="000000"/>
        </w:rPr>
      </w:pPr>
      <w:r w:rsidRPr="006359B1">
        <w:rPr>
          <w:b/>
          <w:color w:val="000000"/>
        </w:rPr>
        <w:t>III.i.2</w:t>
      </w:r>
      <w:r w:rsidR="009A3D37">
        <w:rPr>
          <w:b/>
          <w:color w:val="000000"/>
        </w:rPr>
        <w:t xml:space="preserve"> </w:t>
      </w:r>
      <w:r w:rsidR="00A125C2">
        <w:rPr>
          <w:color w:val="000000"/>
        </w:rPr>
        <w:t xml:space="preserve">(updated 10/1/17) </w:t>
      </w:r>
      <w:r w:rsidR="009A3D37">
        <w:rPr>
          <w:b/>
          <w:color w:val="000000"/>
        </w:rPr>
        <w:t xml:space="preserve">– </w:t>
      </w:r>
    </w:p>
    <w:p w:rsidR="0028206C" w:rsidRDefault="009A3D37" w:rsidP="00F063AF">
      <w:pPr>
        <w:widowControl w:val="0"/>
        <w:numPr>
          <w:ilvl w:val="1"/>
          <w:numId w:val="140"/>
        </w:numPr>
        <w:tabs>
          <w:tab w:val="left" w:pos="0"/>
          <w:tab w:val="left" w:pos="360"/>
        </w:tabs>
        <w:spacing w:after="120"/>
        <w:ind w:left="720"/>
        <w:outlineLvl w:val="0"/>
        <w:rPr>
          <w:color w:val="000000"/>
        </w:rPr>
      </w:pPr>
      <w:r w:rsidRPr="009A3D37">
        <w:rPr>
          <w:color w:val="000000"/>
        </w:rPr>
        <w:t xml:space="preserve">within </w:t>
      </w:r>
      <w:r>
        <w:rPr>
          <w:color w:val="000000"/>
        </w:rPr>
        <w:t>180 to 90 days before</w:t>
      </w:r>
      <w:r w:rsidRPr="009A3D37">
        <w:rPr>
          <w:color w:val="000000"/>
        </w:rPr>
        <w:t xml:space="preserve"> discharge, be available for exam between 10 &amp; 4</w:t>
      </w:r>
      <w:r w:rsidRPr="009A3D37">
        <w:rPr>
          <w:color w:val="000000"/>
          <w:vertAlign w:val="superscript"/>
        </w:rPr>
        <w:t>th</w:t>
      </w:r>
      <w:r w:rsidRPr="009A3D37">
        <w:rPr>
          <w:color w:val="000000"/>
        </w:rPr>
        <w:t xml:space="preserve"> day after claim submitted (</w:t>
      </w:r>
      <w:r w:rsidRPr="009A3D37">
        <w:rPr>
          <w:b/>
          <w:color w:val="000000"/>
        </w:rPr>
        <w:t>III.i.1.A.1.d</w:t>
      </w:r>
      <w:r w:rsidRPr="009A3D37">
        <w:rPr>
          <w:color w:val="000000"/>
        </w:rPr>
        <w:t>), provide copy of STRs from current period of service, prescribed form</w:t>
      </w:r>
      <w:r>
        <w:rPr>
          <w:color w:val="000000"/>
        </w:rPr>
        <w:t>; also cannot need COD or be pregnant/hospitalized/terminally ill/VSI/SI/SPC/foreign (except Landstuhl, Germany or Yongsan, Korea); BDD-excluded for additional contentions submitted with fewer than 90 days before discharge (will have concurrent EP 020 [if 110 or 010 pending] or 021 [if 020 pending])</w:t>
      </w:r>
    </w:p>
    <w:p w:rsidR="005F2ACC" w:rsidRDefault="005F2ACC" w:rsidP="00F063AF">
      <w:pPr>
        <w:widowControl w:val="0"/>
        <w:numPr>
          <w:ilvl w:val="1"/>
          <w:numId w:val="140"/>
        </w:numPr>
        <w:tabs>
          <w:tab w:val="left" w:pos="0"/>
          <w:tab w:val="left" w:pos="360"/>
        </w:tabs>
        <w:spacing w:after="120"/>
        <w:ind w:left="720"/>
        <w:outlineLvl w:val="0"/>
        <w:rPr>
          <w:color w:val="000000"/>
        </w:rPr>
      </w:pPr>
      <w:r>
        <w:rPr>
          <w:color w:val="000000"/>
        </w:rPr>
        <w:t>ratings will be done while servicemember is still on active duty (</w:t>
      </w:r>
      <w:r w:rsidRPr="00C0638A">
        <w:rPr>
          <w:b/>
          <w:color w:val="FF0000"/>
        </w:rPr>
        <w:t>CANNOT do partial ratings</w:t>
      </w:r>
      <w:r w:rsidR="004E58DD">
        <w:rPr>
          <w:color w:val="000000"/>
        </w:rPr>
        <w:t xml:space="preserve">, per </w:t>
      </w:r>
      <w:r w:rsidR="004E58DD" w:rsidRPr="004E58DD">
        <w:rPr>
          <w:rStyle w:val="Strong"/>
          <w:bCs w:val="0"/>
          <w:szCs w:val="21"/>
        </w:rPr>
        <w:t>III.i.2.B.4.e</w:t>
      </w:r>
      <w:r w:rsidR="004E58DD">
        <w:rPr>
          <w:rStyle w:val="Strong"/>
          <w:b w:val="0"/>
          <w:bCs w:val="0"/>
          <w:sz w:val="21"/>
          <w:szCs w:val="21"/>
        </w:rPr>
        <w:t>)</w:t>
      </w:r>
    </w:p>
    <w:p w:rsidR="00D561C9" w:rsidRPr="00D561C9" w:rsidRDefault="00D561C9" w:rsidP="00F063AF">
      <w:pPr>
        <w:pStyle w:val="ListParagraph"/>
        <w:widowControl w:val="0"/>
        <w:numPr>
          <w:ilvl w:val="1"/>
          <w:numId w:val="335"/>
        </w:numPr>
        <w:tabs>
          <w:tab w:val="left" w:pos="0"/>
          <w:tab w:val="left" w:pos="720"/>
        </w:tabs>
        <w:spacing w:after="120"/>
        <w:ind w:left="1080"/>
        <w:outlineLvl w:val="0"/>
        <w:rPr>
          <w:rFonts w:ascii="Arial" w:hAnsi="Arial"/>
          <w:color w:val="000000"/>
          <w:sz w:val="20"/>
        </w:rPr>
      </w:pPr>
      <w:r w:rsidRPr="00D561C9">
        <w:rPr>
          <w:rFonts w:ascii="Arial" w:hAnsi="Arial"/>
          <w:color w:val="000000"/>
          <w:sz w:val="20"/>
        </w:rPr>
        <w:t>Replace the language in the introduction paragraph with the below text:</w:t>
      </w:r>
    </w:p>
    <w:p w:rsidR="00D561C9" w:rsidRPr="00D561C9" w:rsidRDefault="00D561C9" w:rsidP="00D561C9">
      <w:pPr>
        <w:widowControl w:val="0"/>
        <w:tabs>
          <w:tab w:val="left" w:pos="0"/>
          <w:tab w:val="left" w:pos="360"/>
          <w:tab w:val="left" w:pos="1080"/>
        </w:tabs>
        <w:spacing w:after="120"/>
        <w:ind w:left="1080"/>
        <w:outlineLvl w:val="0"/>
        <w:rPr>
          <w:color w:val="000000"/>
        </w:rPr>
      </w:pPr>
      <w:r w:rsidRPr="00D561C9">
        <w:rPr>
          <w:i/>
          <w:iCs/>
          <w:color w:val="000000"/>
        </w:rPr>
        <w:t>The records reflect that you are a veteran of the [service era] Era. You served in the [branch of service] from [MM/DD/YYYY] to [MM/DD/YYYY] and for the current period of service beginning on [MM/DD/YYYY]. You filed an original disability claim that was received on [MM/DD/YYYY]. Based on a review of the evidence listed below, we have made the following decision(s) on your claim.</w:t>
      </w:r>
    </w:p>
    <w:p w:rsidR="00D561C9" w:rsidRDefault="00D561C9" w:rsidP="00D561C9">
      <w:pPr>
        <w:widowControl w:val="0"/>
        <w:tabs>
          <w:tab w:val="left" w:pos="0"/>
          <w:tab w:val="left" w:pos="360"/>
          <w:tab w:val="left" w:pos="1080"/>
        </w:tabs>
        <w:spacing w:after="120"/>
        <w:ind w:left="1080"/>
        <w:outlineLvl w:val="0"/>
        <w:rPr>
          <w:i/>
          <w:iCs/>
          <w:color w:val="000000"/>
        </w:rPr>
      </w:pPr>
      <w:r w:rsidRPr="00D561C9">
        <w:rPr>
          <w:i/>
          <w:iCs/>
          <w:color w:val="000000"/>
        </w:rPr>
        <w:t>Please Note:  The determination of entitlement to VA benefits is contingent upon your discharge from service and upon having the requisite character of service. We will review all evidence of record upon discharge to ensure the information provided in this decision is accurate. This rating decision will only be corrected, if necessary, based on the final review after your discharge.</w:t>
      </w:r>
    </w:p>
    <w:p w:rsidR="00757B68" w:rsidRPr="00D561C9" w:rsidRDefault="00550570" w:rsidP="00F063AF">
      <w:pPr>
        <w:widowControl w:val="0"/>
        <w:numPr>
          <w:ilvl w:val="0"/>
          <w:numId w:val="385"/>
        </w:numPr>
        <w:tabs>
          <w:tab w:val="clear" w:pos="720"/>
          <w:tab w:val="left" w:pos="0"/>
          <w:tab w:val="left" w:pos="360"/>
          <w:tab w:val="left" w:pos="1080"/>
        </w:tabs>
        <w:spacing w:after="120"/>
        <w:ind w:left="1080"/>
        <w:outlineLvl w:val="0"/>
        <w:rPr>
          <w:color w:val="000000"/>
        </w:rPr>
      </w:pPr>
      <w:r w:rsidRPr="00D561C9">
        <w:rPr>
          <w:color w:val="000000"/>
        </w:rPr>
        <w:t xml:space="preserve">Rate the claim as normal with consideration given to the fact that the rating decision is being conducted while the SM is still on active duty so a future effective date would be assigned. </w:t>
      </w:r>
    </w:p>
    <w:p w:rsidR="00757B68" w:rsidRPr="00D561C9" w:rsidRDefault="00550570" w:rsidP="00F063AF">
      <w:pPr>
        <w:widowControl w:val="0"/>
        <w:numPr>
          <w:ilvl w:val="0"/>
          <w:numId w:val="385"/>
        </w:numPr>
        <w:tabs>
          <w:tab w:val="clear" w:pos="720"/>
          <w:tab w:val="left" w:pos="0"/>
          <w:tab w:val="left" w:pos="360"/>
          <w:tab w:val="left" w:pos="1080"/>
        </w:tabs>
        <w:spacing w:after="120"/>
        <w:ind w:left="1080"/>
        <w:outlineLvl w:val="0"/>
        <w:rPr>
          <w:color w:val="000000"/>
        </w:rPr>
      </w:pPr>
      <w:r w:rsidRPr="00D561C9">
        <w:rPr>
          <w:color w:val="000000"/>
        </w:rPr>
        <w:t>Finalize the rating decision.</w:t>
      </w:r>
    </w:p>
    <w:p w:rsidR="00757B68" w:rsidRDefault="00550570" w:rsidP="00F063AF">
      <w:pPr>
        <w:widowControl w:val="0"/>
        <w:numPr>
          <w:ilvl w:val="0"/>
          <w:numId w:val="385"/>
        </w:numPr>
        <w:tabs>
          <w:tab w:val="clear" w:pos="720"/>
          <w:tab w:val="left" w:pos="0"/>
          <w:tab w:val="left" w:pos="360"/>
          <w:tab w:val="left" w:pos="1080"/>
        </w:tabs>
        <w:spacing w:after="120"/>
        <w:ind w:left="1080"/>
        <w:outlineLvl w:val="0"/>
        <w:rPr>
          <w:color w:val="000000"/>
        </w:rPr>
      </w:pPr>
      <w:r w:rsidRPr="00D561C9">
        <w:rPr>
          <w:color w:val="000000"/>
        </w:rPr>
        <w:t>Add a bookmark stating, “DRAFT: Rating document should not be released until after the award is authorized.”</w:t>
      </w:r>
    </w:p>
    <w:p w:rsidR="00D561C9" w:rsidRPr="00A125C2" w:rsidRDefault="00D561C9" w:rsidP="00F063AF">
      <w:pPr>
        <w:widowControl w:val="0"/>
        <w:numPr>
          <w:ilvl w:val="0"/>
          <w:numId w:val="385"/>
        </w:numPr>
        <w:tabs>
          <w:tab w:val="clear" w:pos="720"/>
          <w:tab w:val="left" w:pos="0"/>
          <w:tab w:val="left" w:pos="360"/>
          <w:tab w:val="left" w:pos="1080"/>
        </w:tabs>
        <w:spacing w:after="120"/>
        <w:ind w:left="1080"/>
        <w:outlineLvl w:val="0"/>
        <w:rPr>
          <w:color w:val="000000"/>
        </w:rPr>
      </w:pPr>
      <w:r w:rsidRPr="00D561C9">
        <w:rPr>
          <w:color w:val="000000"/>
        </w:rPr>
        <w:t>Following finalization of the rating decision, update the claim level suspense date in VBMS to the day following the SM’s anticipated discharge date. This is key to the success of the Pre-Discharge redesign.</w:t>
      </w:r>
    </w:p>
    <w:p w:rsidR="00A438FF" w:rsidRPr="00A438FF" w:rsidRDefault="00A438FF" w:rsidP="00F063AF">
      <w:pPr>
        <w:widowControl w:val="0"/>
        <w:numPr>
          <w:ilvl w:val="0"/>
          <w:numId w:val="140"/>
        </w:numPr>
        <w:tabs>
          <w:tab w:val="left" w:pos="0"/>
          <w:tab w:val="left" w:pos="360"/>
        </w:tabs>
        <w:spacing w:after="120"/>
        <w:ind w:left="360"/>
        <w:outlineLvl w:val="0"/>
        <w:rPr>
          <w:color w:val="000000"/>
        </w:rPr>
      </w:pPr>
      <w:r w:rsidRPr="00A438FF">
        <w:rPr>
          <w:b/>
        </w:rPr>
        <w:t>7/25/13 QRT email on “PRE-DISCHARGE CLAIMS ADJUDICATIVE REMINDERS”</w:t>
      </w:r>
      <w:r w:rsidRPr="00A438FF">
        <w:t xml:space="preserve"> – </w:t>
      </w:r>
      <w:r w:rsidRPr="00A438FF">
        <w:rPr>
          <w:color w:val="000000"/>
        </w:rPr>
        <w:t>Compensation Services Policy Staff has provided adjudicative clarification on the following situations for Pre-Discharge claims</w:t>
      </w:r>
      <w:r w:rsidRPr="00A438FF">
        <w:t>, which is good reminder for VSRs and RVSRs</w:t>
      </w:r>
      <w:r w:rsidRPr="00A438FF">
        <w:rPr>
          <w:color w:val="000000"/>
        </w:rPr>
        <w:t xml:space="preserve">. </w:t>
      </w:r>
    </w:p>
    <w:p w:rsidR="00A438FF" w:rsidRPr="00A438FF" w:rsidRDefault="00A438FF" w:rsidP="009F0732">
      <w:pPr>
        <w:tabs>
          <w:tab w:val="left" w:pos="360"/>
        </w:tabs>
        <w:spacing w:after="120"/>
        <w:ind w:left="360"/>
        <w:rPr>
          <w:color w:val="000000"/>
        </w:rPr>
      </w:pPr>
      <w:r w:rsidRPr="00A438FF">
        <w:rPr>
          <w:color w:val="000000"/>
        </w:rPr>
        <w:t>1)  If a Veteran undergoes a pre-discharge examination, and the VAE report date is prior to discharge, the VAE report carries the same evidentiary weight as a STR.  If it (the VAE report) contains a diagnosis of a disability, it matters not whether the disability is noted elsewhere in the claimant’s STRs.  The diagnosis was made during service, and barring any other factor that would preclude the establishment of S/C, the disability should be granted.</w:t>
      </w:r>
    </w:p>
    <w:p w:rsidR="00A438FF" w:rsidRPr="00A438FF" w:rsidRDefault="00A438FF" w:rsidP="009F0732">
      <w:pPr>
        <w:tabs>
          <w:tab w:val="left" w:pos="360"/>
        </w:tabs>
        <w:spacing w:after="120"/>
        <w:ind w:left="360"/>
        <w:rPr>
          <w:color w:val="000000"/>
        </w:rPr>
      </w:pPr>
      <w:r w:rsidRPr="00A438FF">
        <w:rPr>
          <w:color w:val="000000"/>
        </w:rPr>
        <w:t>2) A condition for which S/C is formally claimed while still in service would be considered as showing evidence of a complaint in service (considered an “event” as indicated under 38 CFR 3.159(c)(4)(i)(B)), even if there were no record of treatment for the claimed condition in the STRs.</w:t>
      </w:r>
    </w:p>
    <w:p w:rsidR="00A438FF" w:rsidRPr="00A438FF" w:rsidRDefault="00A438FF" w:rsidP="00DB1865">
      <w:pPr>
        <w:tabs>
          <w:tab w:val="left" w:pos="360"/>
        </w:tabs>
        <w:spacing w:after="120"/>
        <w:ind w:left="360"/>
        <w:rPr>
          <w:color w:val="000000"/>
        </w:rPr>
      </w:pPr>
      <w:r w:rsidRPr="00A438FF">
        <w:rPr>
          <w:color w:val="000000"/>
        </w:rPr>
        <w:t>3) In the case of a claim filed during active duty (considered an “event” for purposes of S/C), where VAEs are delayed until after separation from active duty, but the VAEs provide diagnoses for the claimed conditions, no nexus opinion would be required, in most cases, to establish S/C because there is no significant chronological gap that would cast doubt on continuity of symptomatology.</w:t>
      </w:r>
    </w:p>
    <w:p w:rsidR="00FF6C4F" w:rsidRPr="00FF6C4F" w:rsidRDefault="00C40657" w:rsidP="00F063AF">
      <w:pPr>
        <w:pStyle w:val="ListParagraph"/>
        <w:widowControl w:val="0"/>
        <w:numPr>
          <w:ilvl w:val="0"/>
          <w:numId w:val="195"/>
        </w:numPr>
        <w:tabs>
          <w:tab w:val="left" w:pos="360"/>
        </w:tabs>
        <w:spacing w:after="120" w:line="240" w:lineRule="auto"/>
        <w:ind w:left="360"/>
        <w:outlineLvl w:val="0"/>
        <w:rPr>
          <w:rStyle w:val="Hyperlink"/>
          <w:rFonts w:ascii="Arial" w:hAnsi="Arial"/>
          <w:bCs/>
          <w:color w:val="auto"/>
          <w:sz w:val="20"/>
          <w:szCs w:val="20"/>
          <w:u w:val="none"/>
        </w:rPr>
      </w:pPr>
      <w:r w:rsidRPr="00C40657">
        <w:rPr>
          <w:rFonts w:ascii="Arial" w:hAnsi="Arial"/>
          <w:bCs/>
          <w:sz w:val="20"/>
          <w:szCs w:val="20"/>
        </w:rPr>
        <w:t>Notes from</w:t>
      </w:r>
      <w:r>
        <w:rPr>
          <w:rFonts w:ascii="Arial" w:hAnsi="Arial"/>
          <w:bCs/>
          <w:sz w:val="20"/>
          <w:szCs w:val="20"/>
        </w:rPr>
        <w:t xml:space="preserve"> TMS</w:t>
      </w:r>
      <w:r w:rsidRPr="00BC03F7">
        <w:rPr>
          <w:bCs/>
        </w:rPr>
        <w:t xml:space="preserve"> </w:t>
      </w:r>
      <w:r w:rsidR="00FF6C4F" w:rsidRPr="00C40657">
        <w:rPr>
          <w:rStyle w:val="Hyperlink"/>
          <w:rFonts w:ascii="Arial" w:hAnsi="Arial"/>
          <w:b/>
          <w:i/>
          <w:color w:val="auto"/>
          <w:sz w:val="20"/>
          <w:szCs w:val="20"/>
        </w:rPr>
        <w:t>Introduc</w:t>
      </w:r>
      <w:r w:rsidRPr="00C40657">
        <w:rPr>
          <w:rStyle w:val="Hyperlink"/>
          <w:rFonts w:ascii="Arial" w:hAnsi="Arial"/>
          <w:b/>
          <w:i/>
          <w:color w:val="auto"/>
          <w:sz w:val="20"/>
          <w:szCs w:val="20"/>
        </w:rPr>
        <w:t>tion to Pre-Discharge Programs T</w:t>
      </w:r>
      <w:r w:rsidR="00FF6C4F" w:rsidRPr="00C40657">
        <w:rPr>
          <w:rStyle w:val="Hyperlink"/>
          <w:rFonts w:ascii="Arial" w:hAnsi="Arial"/>
          <w:b/>
          <w:i/>
          <w:color w:val="auto"/>
          <w:sz w:val="20"/>
          <w:szCs w:val="20"/>
        </w:rPr>
        <w:t>raining</w:t>
      </w:r>
      <w:r w:rsidR="00FF6C4F" w:rsidRPr="00FF6C4F">
        <w:rPr>
          <w:rStyle w:val="Hyperlink"/>
          <w:rFonts w:ascii="Arial" w:hAnsi="Arial"/>
          <w:color w:val="auto"/>
          <w:sz w:val="20"/>
          <w:szCs w:val="20"/>
          <w:u w:val="none"/>
        </w:rPr>
        <w:t xml:space="preserve"> – </w:t>
      </w:r>
    </w:p>
    <w:p w:rsidR="00FF6C4F" w:rsidRPr="00FF6C4F" w:rsidRDefault="00FF6C4F" w:rsidP="00F063AF">
      <w:pPr>
        <w:pStyle w:val="ListParagraph"/>
        <w:widowControl w:val="0"/>
        <w:numPr>
          <w:ilvl w:val="0"/>
          <w:numId w:val="219"/>
        </w:numPr>
        <w:tabs>
          <w:tab w:val="left" w:pos="360"/>
        </w:tabs>
        <w:spacing w:after="120" w:line="240" w:lineRule="auto"/>
        <w:outlineLvl w:val="0"/>
        <w:rPr>
          <w:rFonts w:ascii="Arial" w:hAnsi="Arial"/>
          <w:bCs/>
          <w:sz w:val="20"/>
          <w:szCs w:val="20"/>
        </w:rPr>
      </w:pPr>
      <w:r w:rsidRPr="008A3B47">
        <w:rPr>
          <w:rFonts w:ascii="Arial" w:hAnsi="Arial"/>
          <w:bCs/>
          <w:sz w:val="20"/>
          <w:szCs w:val="20"/>
          <w:highlight w:val="lightGray"/>
        </w:rPr>
        <w:t>Quick</w:t>
      </w:r>
      <w:r w:rsidR="008A3B47" w:rsidRPr="008A3B47">
        <w:rPr>
          <w:rFonts w:ascii="Arial" w:hAnsi="Arial"/>
          <w:bCs/>
          <w:sz w:val="20"/>
          <w:szCs w:val="20"/>
          <w:highlight w:val="lightGray"/>
        </w:rPr>
        <w:t xml:space="preserve"> </w:t>
      </w:r>
      <w:r w:rsidRPr="008A3B47">
        <w:rPr>
          <w:rFonts w:ascii="Arial" w:hAnsi="Arial"/>
          <w:bCs/>
          <w:sz w:val="20"/>
          <w:szCs w:val="20"/>
          <w:highlight w:val="lightGray"/>
        </w:rPr>
        <w:t>Start</w:t>
      </w:r>
      <w:r w:rsidRPr="00FF6C4F">
        <w:rPr>
          <w:rFonts w:ascii="Arial" w:hAnsi="Arial"/>
          <w:bCs/>
          <w:sz w:val="20"/>
          <w:szCs w:val="20"/>
        </w:rPr>
        <w:t xml:space="preserve"> </w:t>
      </w:r>
      <w:r w:rsidR="008A3B47" w:rsidRPr="00720435">
        <w:rPr>
          <w:rFonts w:ascii="Arial" w:hAnsi="Arial"/>
          <w:sz w:val="20"/>
        </w:rPr>
        <w:t>(</w:t>
      </w:r>
      <w:r w:rsidR="00720435" w:rsidRPr="00720435">
        <w:rPr>
          <w:rFonts w:ascii="Arial" w:hAnsi="Arial"/>
          <w:i/>
          <w:color w:val="00B050"/>
          <w:sz w:val="20"/>
        </w:rPr>
        <w:t>My Notes:</w:t>
      </w:r>
      <w:r w:rsidR="00720435" w:rsidRPr="00720435">
        <w:rPr>
          <w:rFonts w:ascii="Arial" w:hAnsi="Arial"/>
          <w:color w:val="00B050"/>
          <w:sz w:val="20"/>
        </w:rPr>
        <w:t xml:space="preserve">  </w:t>
      </w:r>
      <w:r w:rsidR="00720435" w:rsidRPr="00720435">
        <w:rPr>
          <w:rFonts w:ascii="Arial" w:hAnsi="Arial"/>
          <w:sz w:val="20"/>
        </w:rPr>
        <w:t xml:space="preserve">Quick Start </w:t>
      </w:r>
      <w:r w:rsidR="008A3B47" w:rsidRPr="00720435">
        <w:rPr>
          <w:rFonts w:ascii="Arial" w:hAnsi="Arial"/>
          <w:sz w:val="20"/>
        </w:rPr>
        <w:t>discontinued 10/1/17)</w:t>
      </w:r>
      <w:r w:rsidR="008A3B47" w:rsidRPr="00720435">
        <w:rPr>
          <w:sz w:val="20"/>
        </w:rPr>
        <w:t xml:space="preserve"> </w:t>
      </w:r>
      <w:r w:rsidRPr="00FF6C4F">
        <w:rPr>
          <w:rFonts w:ascii="Arial" w:hAnsi="Arial"/>
          <w:bCs/>
          <w:sz w:val="20"/>
          <w:szCs w:val="20"/>
        </w:rPr>
        <w:t>- fewer than 60 days prior to discharge date (need copy of STRs, does not qualify for BDD because not able to attend local exams)</w:t>
      </w:r>
      <w:r>
        <w:rPr>
          <w:rFonts w:ascii="Arial" w:hAnsi="Arial"/>
          <w:bCs/>
          <w:sz w:val="20"/>
          <w:szCs w:val="20"/>
        </w:rPr>
        <w:t>; Consolidated Processing Site (CPS) does decision</w:t>
      </w:r>
    </w:p>
    <w:p w:rsidR="00FF6C4F" w:rsidRPr="00FF6C4F" w:rsidRDefault="00FF6C4F" w:rsidP="00F063AF">
      <w:pPr>
        <w:pStyle w:val="ListParagraph"/>
        <w:widowControl w:val="0"/>
        <w:numPr>
          <w:ilvl w:val="0"/>
          <w:numId w:val="219"/>
        </w:numPr>
        <w:tabs>
          <w:tab w:val="left" w:pos="360"/>
        </w:tabs>
        <w:spacing w:after="120" w:line="240" w:lineRule="auto"/>
        <w:outlineLvl w:val="0"/>
        <w:rPr>
          <w:rFonts w:ascii="Arial" w:hAnsi="Arial"/>
          <w:bCs/>
          <w:sz w:val="20"/>
          <w:szCs w:val="20"/>
        </w:rPr>
      </w:pPr>
      <w:r w:rsidRPr="00FF6C4F">
        <w:rPr>
          <w:rFonts w:ascii="Arial" w:hAnsi="Arial"/>
          <w:bCs/>
          <w:sz w:val="20"/>
          <w:szCs w:val="20"/>
        </w:rPr>
        <w:t>BDD - 60-180 days prior to discharge date (need copy of STRs &amp; must remain in intake site area for exams)</w:t>
      </w:r>
      <w:r>
        <w:rPr>
          <w:rFonts w:ascii="Arial" w:hAnsi="Arial"/>
          <w:bCs/>
          <w:sz w:val="20"/>
          <w:szCs w:val="20"/>
        </w:rPr>
        <w:t>; Rating Activity Site (RAS) does decision</w:t>
      </w:r>
    </w:p>
    <w:p w:rsidR="00FF6C4F" w:rsidRPr="00FF6C4F" w:rsidRDefault="00FF6C4F" w:rsidP="00F063AF">
      <w:pPr>
        <w:pStyle w:val="ListParagraph"/>
        <w:widowControl w:val="0"/>
        <w:numPr>
          <w:ilvl w:val="0"/>
          <w:numId w:val="219"/>
        </w:numPr>
        <w:tabs>
          <w:tab w:val="left" w:pos="360"/>
        </w:tabs>
        <w:spacing w:after="120" w:line="240" w:lineRule="auto"/>
        <w:outlineLvl w:val="0"/>
        <w:rPr>
          <w:rFonts w:ascii="Arial" w:hAnsi="Arial"/>
          <w:bCs/>
          <w:sz w:val="20"/>
          <w:szCs w:val="20"/>
        </w:rPr>
      </w:pPr>
      <w:r w:rsidRPr="00FF6C4F">
        <w:rPr>
          <w:rFonts w:ascii="Arial" w:hAnsi="Arial"/>
          <w:bCs/>
          <w:sz w:val="20"/>
          <w:szCs w:val="20"/>
        </w:rPr>
        <w:t>cannot do Quick</w:t>
      </w:r>
      <w:r w:rsidR="008A3B47">
        <w:rPr>
          <w:rFonts w:ascii="Arial" w:hAnsi="Arial"/>
          <w:bCs/>
          <w:sz w:val="20"/>
          <w:szCs w:val="20"/>
        </w:rPr>
        <w:t xml:space="preserve"> </w:t>
      </w:r>
      <w:r w:rsidRPr="00FF6C4F">
        <w:rPr>
          <w:rFonts w:ascii="Arial" w:hAnsi="Arial"/>
          <w:bCs/>
          <w:sz w:val="20"/>
          <w:szCs w:val="20"/>
        </w:rPr>
        <w:t>Start or DD if missing STRs, claiming radiation exposure or GW undiagnosed illness, need stressor verification or service member is pregnant</w:t>
      </w:r>
    </w:p>
    <w:p w:rsidR="00FF6C4F" w:rsidRPr="00B237E1" w:rsidRDefault="00FF6C4F" w:rsidP="00F063AF">
      <w:pPr>
        <w:pStyle w:val="ListParagraph"/>
        <w:widowControl w:val="0"/>
        <w:numPr>
          <w:ilvl w:val="0"/>
          <w:numId w:val="219"/>
        </w:numPr>
        <w:tabs>
          <w:tab w:val="left" w:pos="360"/>
        </w:tabs>
        <w:spacing w:after="120" w:line="240" w:lineRule="auto"/>
        <w:outlineLvl w:val="0"/>
        <w:rPr>
          <w:rFonts w:ascii="Arial" w:hAnsi="Arial"/>
          <w:bCs/>
          <w:sz w:val="20"/>
          <w:szCs w:val="20"/>
        </w:rPr>
      </w:pPr>
      <w:r w:rsidRPr="00FF6C4F">
        <w:rPr>
          <w:rFonts w:ascii="Arial" w:hAnsi="Arial"/>
          <w:bCs/>
          <w:sz w:val="20"/>
          <w:szCs w:val="20"/>
        </w:rPr>
        <w:t>IDES - enrolled in IDES by Military, then if Military finds them unfit for duty, VA provides decision</w:t>
      </w:r>
      <w:r>
        <w:rPr>
          <w:rFonts w:ascii="Arial" w:hAnsi="Arial"/>
          <w:bCs/>
          <w:sz w:val="20"/>
          <w:szCs w:val="20"/>
        </w:rPr>
        <w:t>; Disability Rating Activity Site (DRAS) does decision</w:t>
      </w:r>
      <w:r w:rsidR="006359B1">
        <w:rPr>
          <w:rFonts w:ascii="Arial" w:hAnsi="Arial"/>
          <w:bCs/>
          <w:sz w:val="20"/>
          <w:szCs w:val="20"/>
        </w:rPr>
        <w:t xml:space="preserve">, </w:t>
      </w:r>
      <w:r w:rsidR="006359B1" w:rsidRPr="006359B1">
        <w:rPr>
          <w:rFonts w:ascii="Arial" w:hAnsi="Arial"/>
          <w:b/>
          <w:bCs/>
          <w:sz w:val="20"/>
          <w:szCs w:val="20"/>
        </w:rPr>
        <w:t>III.i.2.D</w:t>
      </w:r>
    </w:p>
    <w:p w:rsidR="00B237E1" w:rsidRPr="0073074E" w:rsidRDefault="00B237E1" w:rsidP="00F063AF">
      <w:pPr>
        <w:pStyle w:val="ListParagraph"/>
        <w:numPr>
          <w:ilvl w:val="0"/>
          <w:numId w:val="195"/>
        </w:numPr>
        <w:spacing w:after="120" w:line="240" w:lineRule="auto"/>
        <w:ind w:left="360"/>
        <w:rPr>
          <w:rFonts w:ascii="Arial" w:hAnsi="Arial"/>
          <w:color w:val="000000"/>
          <w:sz w:val="20"/>
        </w:rPr>
      </w:pPr>
      <w:r w:rsidRPr="0073074E">
        <w:rPr>
          <w:rFonts w:ascii="Arial" w:hAnsi="Arial"/>
          <w:b/>
          <w:bCs/>
          <w:sz w:val="20"/>
        </w:rPr>
        <w:t>From:</w:t>
      </w:r>
      <w:r w:rsidRPr="0073074E">
        <w:rPr>
          <w:rFonts w:ascii="Arial" w:hAnsi="Arial"/>
          <w:sz w:val="20"/>
        </w:rPr>
        <w:t xml:space="preserve"> VAVBASDC/RO/VSC </w:t>
      </w:r>
      <w:r w:rsidRPr="0073074E">
        <w:rPr>
          <w:rFonts w:ascii="Arial" w:hAnsi="Arial"/>
          <w:sz w:val="20"/>
        </w:rPr>
        <w:br/>
      </w:r>
      <w:r w:rsidRPr="0073074E">
        <w:rPr>
          <w:rFonts w:ascii="Arial" w:hAnsi="Arial"/>
          <w:b/>
          <w:bCs/>
          <w:sz w:val="20"/>
        </w:rPr>
        <w:t>Sent:</w:t>
      </w:r>
      <w:r w:rsidRPr="0073074E">
        <w:rPr>
          <w:rFonts w:ascii="Arial" w:hAnsi="Arial"/>
          <w:sz w:val="20"/>
        </w:rPr>
        <w:t xml:space="preserve"> Monday, February 08, 2016 2:28 PM</w:t>
      </w:r>
      <w:r w:rsidRPr="0073074E">
        <w:rPr>
          <w:rFonts w:ascii="Arial" w:hAnsi="Arial"/>
          <w:sz w:val="20"/>
        </w:rPr>
        <w:br/>
      </w:r>
      <w:r w:rsidRPr="0073074E">
        <w:rPr>
          <w:rFonts w:ascii="Arial" w:hAnsi="Arial"/>
          <w:b/>
          <w:bCs/>
          <w:sz w:val="20"/>
        </w:rPr>
        <w:t>Subject:</w:t>
      </w:r>
      <w:r w:rsidR="00842226" w:rsidRPr="0073074E">
        <w:rPr>
          <w:rFonts w:ascii="Arial" w:hAnsi="Arial"/>
          <w:sz w:val="20"/>
        </w:rPr>
        <w:t xml:space="preserve"> Quick</w:t>
      </w:r>
      <w:r w:rsidR="008A3B47" w:rsidRPr="0073074E">
        <w:rPr>
          <w:rFonts w:ascii="Arial" w:hAnsi="Arial"/>
          <w:sz w:val="20"/>
        </w:rPr>
        <w:t xml:space="preserve"> </w:t>
      </w:r>
      <w:r w:rsidRPr="0073074E">
        <w:rPr>
          <w:rFonts w:ascii="Arial" w:hAnsi="Arial"/>
          <w:sz w:val="20"/>
        </w:rPr>
        <w:t>Start Ready for Decisions (Audience - RVSRs)</w:t>
      </w:r>
      <w:r w:rsidRPr="0073074E">
        <w:rPr>
          <w:rFonts w:ascii="Arial" w:hAnsi="Arial"/>
          <w:sz w:val="20"/>
        </w:rPr>
        <w:br/>
      </w:r>
      <w:r w:rsidRPr="0073074E">
        <w:rPr>
          <w:rFonts w:ascii="Arial" w:hAnsi="Arial"/>
          <w:color w:val="000000"/>
          <w:sz w:val="20"/>
        </w:rPr>
        <w:t>Good afternoon</w:t>
      </w:r>
      <w:r w:rsidRPr="0073074E">
        <w:rPr>
          <w:rFonts w:ascii="Arial" w:hAnsi="Arial"/>
          <w:sz w:val="20"/>
        </w:rPr>
        <w:t xml:space="preserve"> </w:t>
      </w:r>
      <w:r w:rsidRPr="0073074E">
        <w:rPr>
          <w:rFonts w:ascii="Arial" w:hAnsi="Arial"/>
          <w:color w:val="000000"/>
          <w:sz w:val="20"/>
        </w:rPr>
        <w:t>Rating VSR’s:</w:t>
      </w:r>
    </w:p>
    <w:p w:rsidR="00B237E1" w:rsidRDefault="00B237E1" w:rsidP="0073074E">
      <w:pPr>
        <w:spacing w:after="120"/>
        <w:ind w:left="360"/>
        <w:rPr>
          <w:color w:val="000000"/>
        </w:rPr>
      </w:pPr>
      <w:r>
        <w:rPr>
          <w:color w:val="000000"/>
        </w:rPr>
        <w:t xml:space="preserve">Please be advised that </w:t>
      </w:r>
      <w:r w:rsidR="00842226">
        <w:t>due to an increase in Quick</w:t>
      </w:r>
      <w:r w:rsidR="008A3B47">
        <w:t xml:space="preserve"> </w:t>
      </w:r>
      <w:r>
        <w:t>Start claims,</w:t>
      </w:r>
      <w:r>
        <w:rPr>
          <w:color w:val="000000"/>
        </w:rPr>
        <w:t xml:space="preserve"> some of the cases in the Ready for Decision cycle will be incorporated into the daily workload assignments for RVSR’s currently working predominately VSC cases.    Below and attached are some reminders to keep </w:t>
      </w:r>
      <w:r w:rsidR="00842226">
        <w:rPr>
          <w:color w:val="000000"/>
        </w:rPr>
        <w:t>in mind when rating a Quick</w:t>
      </w:r>
      <w:r w:rsidR="00720435">
        <w:rPr>
          <w:color w:val="000000"/>
        </w:rPr>
        <w:t xml:space="preserve"> </w:t>
      </w:r>
      <w:r>
        <w:rPr>
          <w:color w:val="000000"/>
        </w:rPr>
        <w:t xml:space="preserve">Start claim.    </w:t>
      </w:r>
    </w:p>
    <w:p w:rsidR="00B237E1" w:rsidRDefault="00B237E1" w:rsidP="0073074E">
      <w:pPr>
        <w:spacing w:after="120"/>
        <w:ind w:left="360"/>
        <w:rPr>
          <w:color w:val="000000"/>
        </w:rPr>
      </w:pPr>
      <w:r>
        <w:rPr>
          <w:color w:val="000000"/>
        </w:rPr>
        <w:t>1)  If a Veteran undergoes a pre-discharge examination, and the VAE report date is prior to discharge, the VAE report carries the same evidentiary weight as a STR.  If it (the VAE report) contains a diagnosis of a disability, it matters not whether the disability is noted elsewhere in the claimant’s STRs.  The diagnosis was made during service, and barring any other factor that would preclude the establishment of S/C, the disability should be granted.</w:t>
      </w:r>
    </w:p>
    <w:p w:rsidR="00B237E1" w:rsidRDefault="00B237E1" w:rsidP="0073074E">
      <w:pPr>
        <w:spacing w:after="120"/>
        <w:ind w:left="360"/>
        <w:rPr>
          <w:color w:val="000000"/>
        </w:rPr>
      </w:pPr>
      <w:r>
        <w:rPr>
          <w:color w:val="000000"/>
        </w:rPr>
        <w:t>2)  A condition for which S/C is formally claimed while still in service would be considered as showing evidence of a complaint in service (considered an “event” as indicated under 38 CFR 3.159(c)(4)(i)(B)), even if there were no record(s) of treatment for the claimed condition in the STRs.</w:t>
      </w:r>
    </w:p>
    <w:p w:rsidR="00B237E1" w:rsidRDefault="00B237E1" w:rsidP="0073074E">
      <w:pPr>
        <w:spacing w:after="120"/>
        <w:ind w:left="360"/>
        <w:rPr>
          <w:color w:val="000000"/>
        </w:rPr>
      </w:pPr>
      <w:r>
        <w:rPr>
          <w:color w:val="000000"/>
        </w:rPr>
        <w:t xml:space="preserve">3)  In the case of a claim filed during active duty (consider this an “event” for purposes of S/C), where VAEs are delayed until after separation from active duty, and the VAEs provide diagnoses for the claimed conditions, no nexus opinion would be required, in most cases, to establish S/C because there is no significant chronological gap that would cast doubt on continuity of symptomatology. </w:t>
      </w:r>
      <w:r>
        <w:t> </w:t>
      </w:r>
      <w:r>
        <w:rPr>
          <w:color w:val="000000"/>
        </w:rPr>
        <w:t xml:space="preserve">If the VA examinations are conducted more than a year following service, a nexus medical opinion is required. </w:t>
      </w:r>
    </w:p>
    <w:p w:rsidR="00B237E1" w:rsidRDefault="00B237E1" w:rsidP="0073074E">
      <w:pPr>
        <w:spacing w:after="120"/>
        <w:ind w:left="360"/>
        <w:rPr>
          <w:color w:val="000000"/>
        </w:rPr>
      </w:pPr>
      <w:r>
        <w:rPr>
          <w:color w:val="000000"/>
        </w:rPr>
        <w:t>4)  If QS claims do not show any treatment for complaints in service, the 21-526 filed on Active Duty is a complaint for that condition.  The complaint in service is evidence of the onset of disability (i.</w:t>
      </w:r>
      <w:r>
        <w:t>e.</w:t>
      </w:r>
      <w:r>
        <w:rPr>
          <w:color w:val="000000"/>
        </w:rPr>
        <w:t xml:space="preserve"> incurred in).  Consider this the same as “noted in the STRs</w:t>
      </w:r>
      <w:r w:rsidR="001946CC">
        <w:rPr>
          <w:color w:val="000000"/>
        </w:rPr>
        <w:t>.”</w:t>
      </w:r>
    </w:p>
    <w:p w:rsidR="008A3B47" w:rsidRPr="0073074E" w:rsidRDefault="00B237E1" w:rsidP="0073074E">
      <w:pPr>
        <w:spacing w:after="120"/>
        <w:ind w:left="360"/>
        <w:rPr>
          <w:rFonts w:ascii="Calibri" w:hAnsi="Calibri" w:cs="Times New Roman"/>
          <w:sz w:val="22"/>
          <w:szCs w:val="22"/>
        </w:rPr>
      </w:pPr>
      <w:r>
        <w:rPr>
          <w:b/>
          <w:bCs/>
          <w:color w:val="000000"/>
        </w:rPr>
        <w:t>Please refer to the M21-1, Part III, Subpart I, Chapter 2, Section B – Division of Responsibilities for Processing Benefits Delivery at Discharge (BDD) and Quick</w:t>
      </w:r>
      <w:r w:rsidR="00720435">
        <w:rPr>
          <w:b/>
          <w:bCs/>
          <w:color w:val="000000"/>
        </w:rPr>
        <w:t xml:space="preserve"> </w:t>
      </w:r>
      <w:r>
        <w:rPr>
          <w:b/>
          <w:bCs/>
          <w:color w:val="000000"/>
        </w:rPr>
        <w:t>Start Claims additional information.  </w:t>
      </w:r>
      <w:r>
        <w:rPr>
          <w:b/>
          <w:bCs/>
        </w:rPr>
        <w:t xml:space="preserve"> </w:t>
      </w:r>
    </w:p>
    <w:p w:rsidR="008A3B47" w:rsidRPr="009E39F2" w:rsidRDefault="008A3B47" w:rsidP="008A3B47">
      <w:pPr>
        <w:rPr>
          <w:color w:val="000000"/>
          <w:szCs w:val="24"/>
        </w:rPr>
      </w:pPr>
      <w:r w:rsidRPr="00E54279">
        <w:rPr>
          <w:i/>
          <w:color w:val="00B050"/>
          <w:szCs w:val="24"/>
        </w:rPr>
        <w:t xml:space="preserve">My Notes:  </w:t>
      </w:r>
      <w:r w:rsidRPr="009E39F2">
        <w:rPr>
          <w:color w:val="000000"/>
          <w:szCs w:val="24"/>
        </w:rPr>
        <w:t>Quick Start discontinued 10/1/17</w:t>
      </w:r>
    </w:p>
    <w:p w:rsidR="008A3B47" w:rsidRDefault="008A3B47" w:rsidP="00B237E1">
      <w:pPr>
        <w:pStyle w:val="NormalWeb"/>
        <w:spacing w:after="0"/>
      </w:pPr>
    </w:p>
    <w:p w:rsidR="00B237E1" w:rsidRPr="00B237E1" w:rsidRDefault="00B237E1" w:rsidP="00B237E1">
      <w:pPr>
        <w:widowControl w:val="0"/>
        <w:tabs>
          <w:tab w:val="left" w:pos="360"/>
        </w:tabs>
        <w:jc w:val="center"/>
        <w:outlineLvl w:val="0"/>
        <w:rPr>
          <w:b/>
          <w:bCs/>
          <w:color w:val="0000FF"/>
          <w:u w:val="single"/>
        </w:rPr>
      </w:pPr>
      <w:r w:rsidRPr="00B237E1">
        <w:rPr>
          <w:b/>
          <w:bCs/>
          <w:color w:val="0000FF"/>
          <w:u w:val="single"/>
        </w:rPr>
        <w:t>Pre-Discharge Claims Exams QA with changes</w:t>
      </w:r>
    </w:p>
    <w:p w:rsidR="00B237E1" w:rsidRDefault="00B237E1" w:rsidP="00B237E1">
      <w:pPr>
        <w:widowControl w:val="0"/>
        <w:tabs>
          <w:tab w:val="left" w:pos="360"/>
        </w:tabs>
        <w:jc w:val="center"/>
        <w:outlineLvl w:val="0"/>
        <w:rPr>
          <w:bCs/>
          <w:i/>
        </w:rPr>
      </w:pPr>
      <w:r w:rsidRPr="00B237E1">
        <w:rPr>
          <w:bCs/>
          <w:i/>
        </w:rPr>
        <w:t>(rec’d with the above email</w:t>
      </w:r>
      <w:r w:rsidR="00E35AE7">
        <w:rPr>
          <w:bCs/>
          <w:i/>
        </w:rPr>
        <w:t xml:space="preserve"> on 2/8/16</w:t>
      </w:r>
      <w:r w:rsidRPr="00B237E1">
        <w:rPr>
          <w:bCs/>
          <w:i/>
        </w:rPr>
        <w:t>)</w:t>
      </w:r>
    </w:p>
    <w:p w:rsidR="00B237E1" w:rsidRPr="00B237E1" w:rsidRDefault="00B237E1" w:rsidP="00B237E1">
      <w:pPr>
        <w:widowControl w:val="0"/>
        <w:tabs>
          <w:tab w:val="left" w:pos="360"/>
        </w:tabs>
        <w:jc w:val="center"/>
        <w:outlineLvl w:val="0"/>
        <w:rPr>
          <w:bCs/>
          <w:i/>
        </w:rPr>
      </w:pPr>
    </w:p>
    <w:p w:rsidR="00B237E1" w:rsidRPr="00B237E1" w:rsidRDefault="00B237E1" w:rsidP="00B237E1">
      <w:pPr>
        <w:pStyle w:val="Heading2"/>
        <w:rPr>
          <w:color w:val="0000FF"/>
          <w:sz w:val="20"/>
          <w:u w:val="single"/>
        </w:rPr>
      </w:pPr>
      <w:r w:rsidRPr="00B237E1">
        <w:rPr>
          <w:color w:val="0000FF"/>
          <w:sz w:val="20"/>
          <w:u w:val="single"/>
        </w:rPr>
        <w:t>VA EXAM CONDUCTED DURING SERVICE</w:t>
      </w:r>
    </w:p>
    <w:p w:rsidR="00B237E1" w:rsidRPr="00B237E1" w:rsidRDefault="00B237E1" w:rsidP="00B237E1">
      <w:pPr>
        <w:rPr>
          <w:color w:val="0000FF"/>
        </w:rPr>
      </w:pPr>
    </w:p>
    <w:p w:rsidR="00B237E1" w:rsidRPr="00B237E1" w:rsidRDefault="00B237E1" w:rsidP="00B237E1">
      <w:pPr>
        <w:pStyle w:val="BodyText3"/>
        <w:spacing w:before="0"/>
        <w:rPr>
          <w:rFonts w:ascii="Arial" w:hAnsi="Arial"/>
          <w:color w:val="0000FF"/>
          <w:sz w:val="20"/>
        </w:rPr>
      </w:pPr>
      <w:r w:rsidRPr="00B237E1">
        <w:rPr>
          <w:rFonts w:ascii="Arial" w:hAnsi="Arial"/>
          <w:color w:val="0000FF"/>
          <w:sz w:val="20"/>
        </w:rPr>
        <w:t>Question:  When processing pre-discharge program cases (BDD, QS, etc.), is it proper to grant service-connection for claimed disabilities shown on VA examinations that are conducted during active military service, but not shown in Service Treatment Records (STRs)?</w:t>
      </w:r>
    </w:p>
    <w:p w:rsidR="00B237E1" w:rsidRPr="00B237E1" w:rsidRDefault="00B237E1" w:rsidP="00B237E1">
      <w:pPr>
        <w:rPr>
          <w:color w:val="0000FF"/>
        </w:rPr>
      </w:pPr>
    </w:p>
    <w:p w:rsidR="00B237E1" w:rsidRPr="00B237E1" w:rsidRDefault="00B237E1" w:rsidP="00B237E1">
      <w:pPr>
        <w:pStyle w:val="BodyText2"/>
        <w:rPr>
          <w:b w:val="0"/>
          <w:sz w:val="20"/>
        </w:rPr>
      </w:pPr>
      <w:r w:rsidRPr="00B237E1">
        <w:rPr>
          <w:b w:val="0"/>
          <w:sz w:val="20"/>
        </w:rPr>
        <w:t xml:space="preserve">Answer:  Yes, we must grant service-connection because the disabilities were diagnosed </w:t>
      </w:r>
      <w:r w:rsidRPr="00B237E1">
        <w:rPr>
          <w:b w:val="0"/>
          <w:i/>
          <w:iCs/>
          <w:sz w:val="20"/>
        </w:rPr>
        <w:t>during active military service</w:t>
      </w:r>
      <w:r w:rsidRPr="00B237E1">
        <w:rPr>
          <w:b w:val="0"/>
          <w:sz w:val="20"/>
        </w:rPr>
        <w:t xml:space="preserve"> [38 CFR 3.303(a)].  For example, the Veteran submits a pre-discharge claim for right knee pain while he/she is still on active duty.  The STRs are negative for any right knee event, injury, or disease.  The VA examination conducted during active duty shows a diagnosis of right knee patellofemoral syndrome. Service connection for right knee patellofemoral syndrome is warranted.</w:t>
      </w:r>
    </w:p>
    <w:p w:rsidR="00B237E1" w:rsidRPr="00B237E1" w:rsidRDefault="00B237E1" w:rsidP="00B237E1">
      <w:pPr>
        <w:rPr>
          <w:color w:val="0000FF"/>
        </w:rPr>
      </w:pPr>
    </w:p>
    <w:p w:rsidR="00B237E1" w:rsidRDefault="00B237E1" w:rsidP="00B237E1">
      <w:pPr>
        <w:pStyle w:val="Heading2"/>
        <w:rPr>
          <w:color w:val="0070C0"/>
          <w:sz w:val="20"/>
          <w:u w:val="single"/>
        </w:rPr>
      </w:pPr>
    </w:p>
    <w:p w:rsidR="00B237E1" w:rsidRPr="00B237E1" w:rsidRDefault="00B237E1" w:rsidP="00B237E1">
      <w:pPr>
        <w:pStyle w:val="Heading2"/>
        <w:rPr>
          <w:color w:val="0000FF"/>
          <w:sz w:val="20"/>
          <w:u w:val="single"/>
        </w:rPr>
      </w:pPr>
      <w:r w:rsidRPr="00B237E1">
        <w:rPr>
          <w:color w:val="0000FF"/>
          <w:sz w:val="20"/>
          <w:u w:val="single"/>
        </w:rPr>
        <w:t>VA EXAM CONDUCTED AFTER SERVICE</w:t>
      </w:r>
    </w:p>
    <w:p w:rsidR="00B237E1" w:rsidRPr="00B237E1" w:rsidRDefault="00B237E1" w:rsidP="00B237E1">
      <w:pPr>
        <w:rPr>
          <w:color w:val="0000FF"/>
        </w:rPr>
      </w:pPr>
    </w:p>
    <w:p w:rsidR="00B237E1" w:rsidRPr="00B237E1" w:rsidRDefault="00B237E1" w:rsidP="00B237E1">
      <w:pPr>
        <w:pStyle w:val="BodyText"/>
        <w:rPr>
          <w:color w:val="0000FF"/>
          <w:sz w:val="20"/>
        </w:rPr>
      </w:pPr>
      <w:r w:rsidRPr="00B237E1">
        <w:rPr>
          <w:color w:val="0000FF"/>
          <w:sz w:val="20"/>
        </w:rPr>
        <w:t xml:space="preserve">Question:  What is the proper procedure to follow when Veterans in the pre-discharge program claim disabilities during active service, STRs are negative, VA examinations, conducted </w:t>
      </w:r>
      <w:r w:rsidRPr="00B237E1">
        <w:rPr>
          <w:color w:val="0000FF"/>
          <w:sz w:val="20"/>
          <w:u w:val="single"/>
        </w:rPr>
        <w:t>within a year following service</w:t>
      </w:r>
      <w:r w:rsidRPr="00B237E1">
        <w:rPr>
          <w:color w:val="0000FF"/>
          <w:sz w:val="20"/>
        </w:rPr>
        <w:t xml:space="preserve">, show diagnoses? </w:t>
      </w:r>
    </w:p>
    <w:p w:rsidR="00B237E1" w:rsidRPr="00B237E1" w:rsidRDefault="00B237E1" w:rsidP="00B237E1">
      <w:pPr>
        <w:pStyle w:val="BodyText"/>
        <w:rPr>
          <w:sz w:val="20"/>
        </w:rPr>
      </w:pPr>
    </w:p>
    <w:p w:rsidR="00B237E1" w:rsidRPr="00B237E1" w:rsidRDefault="00B237E1" w:rsidP="00B237E1">
      <w:pPr>
        <w:pStyle w:val="BodyText"/>
        <w:rPr>
          <w:b/>
          <w:sz w:val="20"/>
        </w:rPr>
      </w:pPr>
      <w:r w:rsidRPr="00B237E1">
        <w:rPr>
          <w:sz w:val="20"/>
        </w:rPr>
        <w:t>Answer: Grant SC. A medical opinion is not needed. Consider the 12 months following service the same as medical evidence of continuity [38 CFR 3.303].</w:t>
      </w:r>
      <w:r>
        <w:rPr>
          <w:sz w:val="20"/>
        </w:rPr>
        <w:t xml:space="preserve"> </w:t>
      </w:r>
      <w:r w:rsidRPr="00B237E1">
        <w:rPr>
          <w:sz w:val="20"/>
        </w:rPr>
        <w:t>For example, the Veteran submits a pre-discharge claim for right knee pain while he/she is still on active duty.  The STRs are negative for any right knee event, injury, or disease.  The VA examination conducted 6 months following service shows a diagnosis of right knee patellofemoral syndrome. Service connection for right knee patellofemoral syndrome is warranted.</w:t>
      </w:r>
    </w:p>
    <w:p w:rsidR="00B237E1" w:rsidRPr="00B237E1" w:rsidRDefault="00B237E1" w:rsidP="00B237E1">
      <w:pPr>
        <w:rPr>
          <w:color w:val="0000FF"/>
        </w:rPr>
      </w:pPr>
    </w:p>
    <w:p w:rsidR="00B237E1" w:rsidRPr="00B237E1" w:rsidRDefault="00B237E1" w:rsidP="00B237E1">
      <w:pPr>
        <w:pStyle w:val="BodyText"/>
        <w:rPr>
          <w:color w:val="0000FF"/>
          <w:sz w:val="20"/>
        </w:rPr>
      </w:pPr>
      <w:r w:rsidRPr="00B237E1">
        <w:rPr>
          <w:color w:val="0000FF"/>
          <w:sz w:val="20"/>
        </w:rPr>
        <w:t xml:space="preserve">Question:  What is the proper procedure to follow when Veterans in the pre-discharge program claim disabilities during active service, STRs are negative, VA examinations, conducted </w:t>
      </w:r>
      <w:r w:rsidRPr="00B237E1">
        <w:rPr>
          <w:color w:val="0000FF"/>
          <w:sz w:val="20"/>
          <w:u w:val="single"/>
        </w:rPr>
        <w:t>more than a year following service</w:t>
      </w:r>
      <w:r w:rsidRPr="00B237E1">
        <w:rPr>
          <w:color w:val="0000FF"/>
          <w:sz w:val="20"/>
        </w:rPr>
        <w:t xml:space="preserve">, show diagnoses? </w:t>
      </w:r>
    </w:p>
    <w:p w:rsidR="00B237E1" w:rsidRPr="00B237E1" w:rsidRDefault="00B237E1" w:rsidP="00B237E1">
      <w:pPr>
        <w:rPr>
          <w:color w:val="0000FF"/>
        </w:rPr>
      </w:pPr>
    </w:p>
    <w:p w:rsidR="00B237E1" w:rsidRPr="00B237E1" w:rsidRDefault="00B237E1" w:rsidP="00B237E1">
      <w:pPr>
        <w:pStyle w:val="BodyText2"/>
        <w:rPr>
          <w:b w:val="0"/>
          <w:sz w:val="20"/>
        </w:rPr>
      </w:pPr>
      <w:r w:rsidRPr="00B237E1">
        <w:rPr>
          <w:b w:val="0"/>
          <w:sz w:val="20"/>
        </w:rPr>
        <w:t xml:space="preserve">Answer:  A medical opinion is required to link the current diagnoses to the disabilities claimed during active military service [38 CFR 3.159(c)(4)] [M21-1MR Part I.1.C.7.b] For example, an active duty serviceperson in the pre-discharge program submits a VA Form 21-526 showing a claim for right knee pain.  The STRs are negative for any right knee event, injury, or disease.  The VA examination conducted 13 months </w:t>
      </w:r>
      <w:r w:rsidRPr="00B237E1">
        <w:rPr>
          <w:b w:val="0"/>
          <w:bCs w:val="0"/>
          <w:sz w:val="20"/>
          <w:u w:val="single"/>
        </w:rPr>
        <w:t>after</w:t>
      </w:r>
      <w:r w:rsidRPr="00B237E1">
        <w:rPr>
          <w:b w:val="0"/>
          <w:sz w:val="20"/>
        </w:rPr>
        <w:t xml:space="preserve"> discharge from active duty shows a diagnosis of right knee patellofemoral syndrome.   An opinion is necessary to link the current diagnosed disability to the complaint of knee pain shown on the VA Form 21-526 during active military service.</w:t>
      </w:r>
    </w:p>
    <w:p w:rsidR="00B237E1" w:rsidRPr="00B237E1" w:rsidRDefault="00B237E1" w:rsidP="00B237E1">
      <w:pPr>
        <w:rPr>
          <w:color w:val="0000FF"/>
        </w:rPr>
      </w:pPr>
    </w:p>
    <w:p w:rsidR="00B237E1" w:rsidRPr="00B237E1" w:rsidRDefault="00B237E1" w:rsidP="00B237E1">
      <w:pPr>
        <w:pStyle w:val="Heading2"/>
        <w:rPr>
          <w:color w:val="0000FF"/>
          <w:sz w:val="20"/>
        </w:rPr>
      </w:pPr>
      <w:r w:rsidRPr="00B237E1">
        <w:rPr>
          <w:color w:val="0000FF"/>
          <w:sz w:val="20"/>
        </w:rPr>
        <w:t>DEGENERATIVE CHANGES VERSUS ARTHRITIS</w:t>
      </w:r>
    </w:p>
    <w:p w:rsidR="00B237E1" w:rsidRPr="00B237E1" w:rsidRDefault="00B237E1" w:rsidP="00B237E1">
      <w:pPr>
        <w:rPr>
          <w:color w:val="0000FF"/>
        </w:rPr>
      </w:pPr>
    </w:p>
    <w:p w:rsidR="00B237E1" w:rsidRPr="00B237E1" w:rsidRDefault="00B237E1" w:rsidP="00B237E1">
      <w:pPr>
        <w:rPr>
          <w:color w:val="0000FF"/>
        </w:rPr>
      </w:pPr>
      <w:r w:rsidRPr="00B237E1">
        <w:rPr>
          <w:color w:val="0000FF"/>
        </w:rPr>
        <w:t>Question:  Is an opinion necessary when STRs show arthritis and VA examinations show degenerative changes (or vice versa)?</w:t>
      </w:r>
    </w:p>
    <w:p w:rsidR="00B237E1" w:rsidRPr="00B237E1" w:rsidRDefault="00B237E1" w:rsidP="00B237E1">
      <w:pPr>
        <w:rPr>
          <w:color w:val="0000FF"/>
        </w:rPr>
      </w:pPr>
    </w:p>
    <w:p w:rsidR="00B237E1" w:rsidRPr="00B237E1" w:rsidRDefault="00B237E1" w:rsidP="00B237E1">
      <w:r w:rsidRPr="00B237E1">
        <w:t>Answer:  An opinion is not necessary.  The phrase “degenerative changes” refers to osteoarthritis.  Osteoarthritis is the most common form of arthritis.  Doctors may also refer to it as degenerative arthritis or degenerative joint disease [38 CFR 3.303(b)] [Merck Manual] [Mayo Clinic].</w:t>
      </w:r>
    </w:p>
    <w:p w:rsidR="00B237E1" w:rsidRDefault="00B237E1" w:rsidP="00B237E1">
      <w:pPr>
        <w:widowControl w:val="0"/>
        <w:tabs>
          <w:tab w:val="left" w:pos="360"/>
        </w:tabs>
        <w:outlineLvl w:val="0"/>
        <w:rPr>
          <w:bCs/>
        </w:rPr>
      </w:pPr>
    </w:p>
    <w:p w:rsidR="00B237E1" w:rsidRPr="00B237E1" w:rsidRDefault="00B237E1" w:rsidP="00B237E1">
      <w:pPr>
        <w:widowControl w:val="0"/>
        <w:tabs>
          <w:tab w:val="left" w:pos="360"/>
        </w:tabs>
        <w:jc w:val="center"/>
        <w:outlineLvl w:val="0"/>
        <w:rPr>
          <w:b/>
          <w:bCs/>
          <w:u w:val="single"/>
        </w:rPr>
      </w:pPr>
      <w:r w:rsidRPr="00B237E1">
        <w:rPr>
          <w:b/>
          <w:bCs/>
          <w:u w:val="single"/>
        </w:rPr>
        <w:t>Deferrals / Claim Clarifications Dos &amp; Don’ts with changes</w:t>
      </w:r>
    </w:p>
    <w:p w:rsidR="00B237E1" w:rsidRDefault="00B237E1" w:rsidP="00B237E1">
      <w:pPr>
        <w:widowControl w:val="0"/>
        <w:tabs>
          <w:tab w:val="left" w:pos="360"/>
        </w:tabs>
        <w:jc w:val="center"/>
        <w:outlineLvl w:val="0"/>
        <w:rPr>
          <w:bCs/>
          <w:i/>
        </w:rPr>
      </w:pPr>
      <w:r w:rsidRPr="00B237E1">
        <w:rPr>
          <w:bCs/>
          <w:i/>
        </w:rPr>
        <w:t>(rec’d with the above email</w:t>
      </w:r>
      <w:r w:rsidR="00E35AE7">
        <w:rPr>
          <w:bCs/>
          <w:i/>
        </w:rPr>
        <w:t xml:space="preserve"> on 2/8/16</w:t>
      </w:r>
      <w:r w:rsidRPr="00B237E1">
        <w:rPr>
          <w:bCs/>
          <w:i/>
        </w:rPr>
        <w:t>)</w:t>
      </w:r>
    </w:p>
    <w:p w:rsidR="00E35AE7" w:rsidRDefault="00E35AE7" w:rsidP="00B237E1">
      <w:pPr>
        <w:widowControl w:val="0"/>
        <w:tabs>
          <w:tab w:val="left" w:pos="360"/>
        </w:tabs>
        <w:jc w:val="center"/>
        <w:outlineLvl w:val="0"/>
        <w:rPr>
          <w:bCs/>
          <w:i/>
        </w:rPr>
      </w:pPr>
    </w:p>
    <w:p w:rsidR="00E35AE7" w:rsidRPr="00E35AE7" w:rsidRDefault="00E35AE7" w:rsidP="00E35AE7">
      <w:pPr>
        <w:ind w:left="360" w:hanging="360"/>
      </w:pPr>
      <w:r>
        <w:rPr>
          <w:sz w:val="22"/>
        </w:rPr>
        <w:t>1.</w:t>
      </w:r>
      <w:r>
        <w:rPr>
          <w:sz w:val="22"/>
        </w:rPr>
        <w:tab/>
      </w:r>
      <w:r w:rsidRPr="00E35AE7">
        <w:t>Do defer if the claim is not fully developed, e.g., VCAA, STRs, 4142s, etc. (Grant any issues that you can.  It the claim in its entirety is not ready to rate, return file directly to VSR.)</w:t>
      </w:r>
    </w:p>
    <w:p w:rsidR="00E35AE7" w:rsidRPr="00E35AE7" w:rsidRDefault="00E35AE7" w:rsidP="00E35AE7">
      <w:pPr>
        <w:ind w:left="360" w:hanging="360"/>
      </w:pPr>
      <w:r w:rsidRPr="00E35AE7">
        <w:t xml:space="preserve">2. </w:t>
      </w:r>
      <w:r w:rsidRPr="00E35AE7">
        <w:tab/>
        <w:t xml:space="preserve">Do defer an issue if the examination is insufficient for rating purposes. </w:t>
      </w:r>
    </w:p>
    <w:p w:rsidR="00E35AE7" w:rsidRPr="00E35AE7" w:rsidRDefault="00E35AE7" w:rsidP="00E35AE7">
      <w:pPr>
        <w:ind w:left="360" w:hanging="360"/>
      </w:pPr>
      <w:r w:rsidRPr="00E35AE7">
        <w:t>3.</w:t>
      </w:r>
      <w:r w:rsidRPr="00E35AE7">
        <w:tab/>
        <w:t>Do defer an issue if the exam contains contradictory statements or unsupported conclusions.</w:t>
      </w:r>
    </w:p>
    <w:p w:rsidR="00E35AE7" w:rsidRPr="00E35AE7" w:rsidRDefault="00E35AE7" w:rsidP="00E35AE7">
      <w:pPr>
        <w:ind w:left="360" w:hanging="360"/>
      </w:pPr>
      <w:r w:rsidRPr="00E35AE7">
        <w:t>4.</w:t>
      </w:r>
      <w:r w:rsidRPr="00E35AE7">
        <w:tab/>
        <w:t>Do defer an issue if the examiner fails to provide OR RULE OUT a diagnosis. (Answer “no” to Section I- Diagnosis on DBQ is sufficient for a “ruled out” diagnosis if everything else is normal.)</w:t>
      </w:r>
    </w:p>
    <w:p w:rsidR="00E35AE7" w:rsidRPr="00E35AE7" w:rsidRDefault="00E35AE7" w:rsidP="00E35AE7">
      <w:pPr>
        <w:ind w:left="360" w:hanging="360"/>
      </w:pPr>
      <w:r w:rsidRPr="00E35AE7">
        <w:t>5.</w:t>
      </w:r>
      <w:r w:rsidRPr="00E35AE7">
        <w:tab/>
        <w:t xml:space="preserve">Do defer IU when inferred appropriately. (See 4.16) </w:t>
      </w:r>
    </w:p>
    <w:p w:rsidR="00E35AE7" w:rsidRPr="00E35AE7" w:rsidRDefault="00E35AE7" w:rsidP="00E35AE7">
      <w:pPr>
        <w:ind w:left="360" w:hanging="360"/>
        <w:rPr>
          <w:color w:val="000000"/>
        </w:rPr>
      </w:pPr>
      <w:r w:rsidRPr="00E35AE7">
        <w:rPr>
          <w:color w:val="000000"/>
        </w:rPr>
        <w:t xml:space="preserve">6. </w:t>
      </w:r>
      <w:r w:rsidRPr="00E35AE7">
        <w:rPr>
          <w:color w:val="000000"/>
        </w:rPr>
        <w:tab/>
        <w:t>Do defer a medical opinion if it lacks rationale.</w:t>
      </w:r>
    </w:p>
    <w:p w:rsidR="00E35AE7" w:rsidRPr="00E35AE7" w:rsidRDefault="00E35AE7" w:rsidP="00E35AE7">
      <w:pPr>
        <w:ind w:left="360" w:hanging="360"/>
      </w:pPr>
      <w:r w:rsidRPr="00E35AE7">
        <w:t xml:space="preserve">7.  </w:t>
      </w:r>
      <w:r w:rsidRPr="00E35AE7">
        <w:tab/>
        <w:t xml:space="preserve">Do grant SC and deferred the evaluation for clarification when the current level of disability cannot be determined. This includes SC at a non-compensable level.  </w:t>
      </w:r>
    </w:p>
    <w:p w:rsidR="00E35AE7" w:rsidRPr="00E35AE7" w:rsidRDefault="00E35AE7" w:rsidP="00E35AE7">
      <w:pPr>
        <w:ind w:left="360" w:hanging="360"/>
      </w:pPr>
    </w:p>
    <w:p w:rsidR="00E35AE7" w:rsidRPr="00E35AE7" w:rsidRDefault="00E35AE7" w:rsidP="00F063AF">
      <w:pPr>
        <w:numPr>
          <w:ilvl w:val="0"/>
          <w:numId w:val="275"/>
        </w:numPr>
        <w:overflowPunct/>
        <w:autoSpaceDE/>
        <w:autoSpaceDN/>
        <w:adjustRightInd/>
        <w:textAlignment w:val="auto"/>
      </w:pPr>
      <w:r w:rsidRPr="00E35AE7">
        <w:t xml:space="preserve">Do NOT render a decision and defer when SC is at issue and the VA examination is insufficient. </w:t>
      </w:r>
    </w:p>
    <w:p w:rsidR="00E35AE7" w:rsidRPr="00E35AE7" w:rsidRDefault="00E35AE7" w:rsidP="00F063AF">
      <w:pPr>
        <w:numPr>
          <w:ilvl w:val="0"/>
          <w:numId w:val="275"/>
        </w:numPr>
        <w:overflowPunct/>
        <w:autoSpaceDE/>
        <w:autoSpaceDN/>
        <w:adjustRightInd/>
        <w:textAlignment w:val="auto"/>
      </w:pPr>
      <w:r w:rsidRPr="00E35AE7">
        <w:t>Do NOT defer an issue if you can rate the issue without violating any law or regulation.</w:t>
      </w:r>
    </w:p>
    <w:p w:rsidR="00E35AE7" w:rsidRPr="00E35AE7" w:rsidRDefault="00E35AE7" w:rsidP="00F063AF">
      <w:pPr>
        <w:pStyle w:val="BodyTextIndent"/>
        <w:numPr>
          <w:ilvl w:val="0"/>
          <w:numId w:val="275"/>
        </w:numPr>
        <w:tabs>
          <w:tab w:val="clear" w:pos="-630"/>
          <w:tab w:val="clear" w:pos="-540"/>
          <w:tab w:val="clear" w:pos="-450"/>
        </w:tabs>
        <w:overflowPunct/>
        <w:autoSpaceDE/>
        <w:autoSpaceDN/>
        <w:adjustRightInd/>
        <w:textAlignment w:val="auto"/>
        <w:rPr>
          <w:sz w:val="20"/>
        </w:rPr>
      </w:pPr>
      <w:r w:rsidRPr="00E35AE7">
        <w:rPr>
          <w:sz w:val="20"/>
        </w:rPr>
        <w:t xml:space="preserve">Do NOT defer an issue because you disagree with the examiner’s diagnosis, conclusion, or opinion. The examination must be inadequate or incorrect to send it back. </w:t>
      </w:r>
    </w:p>
    <w:p w:rsidR="00E35AE7" w:rsidRPr="00E35AE7" w:rsidRDefault="00E35AE7" w:rsidP="00F063AF">
      <w:pPr>
        <w:pStyle w:val="BodyTextIndent"/>
        <w:numPr>
          <w:ilvl w:val="0"/>
          <w:numId w:val="275"/>
        </w:numPr>
        <w:tabs>
          <w:tab w:val="clear" w:pos="-630"/>
          <w:tab w:val="clear" w:pos="-540"/>
          <w:tab w:val="clear" w:pos="-450"/>
        </w:tabs>
        <w:overflowPunct/>
        <w:autoSpaceDE/>
        <w:autoSpaceDN/>
        <w:adjustRightInd/>
        <w:textAlignment w:val="auto"/>
        <w:rPr>
          <w:sz w:val="20"/>
        </w:rPr>
      </w:pPr>
      <w:r w:rsidRPr="00E35AE7">
        <w:rPr>
          <w:sz w:val="20"/>
        </w:rPr>
        <w:t>Do NOT defer an issue to ask for specialty exams, additional testing, or different DBQ completion because you disagree with the examiner’s assessment. (Exception: When the VA examiner recommends a specialty test or examination, please defer for it and state that it is at the examiner’s request).</w:t>
      </w:r>
    </w:p>
    <w:p w:rsidR="00E35AE7" w:rsidRPr="00E35AE7" w:rsidRDefault="00E35AE7" w:rsidP="00F063AF">
      <w:pPr>
        <w:numPr>
          <w:ilvl w:val="0"/>
          <w:numId w:val="275"/>
        </w:numPr>
        <w:overflowPunct/>
        <w:autoSpaceDE/>
        <w:autoSpaceDN/>
        <w:adjustRightInd/>
        <w:textAlignment w:val="auto"/>
      </w:pPr>
      <w:r w:rsidRPr="00E35AE7">
        <w:t xml:space="preserve">Do NOT defer an issue if the veteran fails to report to an examination </w:t>
      </w:r>
      <w:r w:rsidRPr="00E35AE7">
        <w:rPr>
          <w:u w:val="single"/>
        </w:rPr>
        <w:t>without cause</w:t>
      </w:r>
      <w:r w:rsidRPr="00E35AE7">
        <w:t>. Rate on the evidence of record.</w:t>
      </w:r>
    </w:p>
    <w:p w:rsidR="00E35AE7" w:rsidRPr="00E35AE7" w:rsidRDefault="00E35AE7" w:rsidP="00F063AF">
      <w:pPr>
        <w:pStyle w:val="BodyTextIndent"/>
        <w:numPr>
          <w:ilvl w:val="0"/>
          <w:numId w:val="275"/>
        </w:numPr>
        <w:tabs>
          <w:tab w:val="clear" w:pos="-630"/>
          <w:tab w:val="clear" w:pos="-540"/>
          <w:tab w:val="clear" w:pos="-450"/>
        </w:tabs>
        <w:overflowPunct/>
        <w:autoSpaceDE/>
        <w:autoSpaceDN/>
        <w:adjustRightInd/>
        <w:textAlignment w:val="auto"/>
        <w:rPr>
          <w:sz w:val="20"/>
        </w:rPr>
      </w:pPr>
      <w:r w:rsidRPr="00E35AE7">
        <w:rPr>
          <w:sz w:val="20"/>
        </w:rPr>
        <w:t>Do NOT infer and defer IU unless there is supporting evidence that the veteran is unable to work (even if schedular requirements are met – you may note the reason that IU was not considered in the notation box).</w:t>
      </w:r>
    </w:p>
    <w:p w:rsidR="00E35AE7" w:rsidRPr="00E35AE7" w:rsidRDefault="00E35AE7" w:rsidP="00F063AF">
      <w:pPr>
        <w:pStyle w:val="BodyTextIndent"/>
        <w:numPr>
          <w:ilvl w:val="0"/>
          <w:numId w:val="275"/>
        </w:numPr>
        <w:tabs>
          <w:tab w:val="clear" w:pos="-630"/>
          <w:tab w:val="clear" w:pos="-540"/>
          <w:tab w:val="clear" w:pos="-450"/>
        </w:tabs>
        <w:overflowPunct/>
        <w:autoSpaceDE/>
        <w:autoSpaceDN/>
        <w:adjustRightInd/>
        <w:textAlignment w:val="auto"/>
        <w:rPr>
          <w:sz w:val="20"/>
        </w:rPr>
      </w:pPr>
      <w:r w:rsidRPr="00E35AE7">
        <w:rPr>
          <w:sz w:val="20"/>
        </w:rPr>
        <w:t xml:space="preserve">Do NOT defer an issue that has not been specifically claimed and do not blue plate an issue for a diagnosis or to clarify objective findings of a condition if it has not been claimed. </w:t>
      </w:r>
    </w:p>
    <w:p w:rsidR="00E35AE7" w:rsidRPr="00E35AE7" w:rsidRDefault="00E35AE7" w:rsidP="00E35AE7">
      <w:pPr>
        <w:pStyle w:val="BodyTextIndent"/>
        <w:rPr>
          <w:sz w:val="20"/>
        </w:rPr>
      </w:pPr>
    </w:p>
    <w:p w:rsidR="00E35AE7" w:rsidRPr="00E35AE7" w:rsidRDefault="00E35AE7" w:rsidP="00E35AE7">
      <w:pPr>
        <w:pStyle w:val="BodyTextIndent"/>
        <w:jc w:val="center"/>
        <w:rPr>
          <w:b/>
          <w:bCs/>
          <w:sz w:val="20"/>
        </w:rPr>
      </w:pPr>
      <w:r w:rsidRPr="00E35AE7">
        <w:rPr>
          <w:b/>
          <w:bCs/>
          <w:sz w:val="20"/>
        </w:rPr>
        <w:t xml:space="preserve">Tips for Deferrals/Clarifications: </w:t>
      </w:r>
    </w:p>
    <w:p w:rsidR="00E35AE7" w:rsidRPr="00E35AE7" w:rsidRDefault="00E35AE7" w:rsidP="00E35AE7">
      <w:pPr>
        <w:pStyle w:val="BodyTextIndent"/>
        <w:rPr>
          <w:b/>
          <w:bCs/>
          <w:sz w:val="20"/>
        </w:rPr>
      </w:pPr>
    </w:p>
    <w:p w:rsidR="00E35AE7" w:rsidRPr="00E35AE7" w:rsidRDefault="00E35AE7" w:rsidP="00E35AE7">
      <w:pPr>
        <w:pStyle w:val="BodyTextIndent"/>
        <w:ind w:left="360" w:hanging="360"/>
        <w:rPr>
          <w:sz w:val="20"/>
        </w:rPr>
      </w:pPr>
      <w:r w:rsidRPr="00E35AE7">
        <w:rPr>
          <w:sz w:val="20"/>
        </w:rPr>
        <w:t>1.</w:t>
      </w:r>
      <w:r w:rsidRPr="00E35AE7">
        <w:rPr>
          <w:sz w:val="20"/>
        </w:rPr>
        <w:tab/>
        <w:t>Be concise and specific when formulating your questions. You do not need to list everything in the STRs, or reiterate all of the examination findings. Just ask the question in the simplest, clearest way possible to get what you need to rate the issue. The VSR cannot read your mind.</w:t>
      </w:r>
    </w:p>
    <w:p w:rsidR="00E35AE7" w:rsidRPr="00E35AE7" w:rsidRDefault="00E35AE7" w:rsidP="00E35AE7">
      <w:pPr>
        <w:pStyle w:val="BodyTextIndent"/>
        <w:ind w:left="360" w:hanging="360"/>
        <w:rPr>
          <w:sz w:val="20"/>
        </w:rPr>
      </w:pPr>
      <w:r w:rsidRPr="00E35AE7">
        <w:rPr>
          <w:sz w:val="20"/>
        </w:rPr>
        <w:t>2.</w:t>
      </w:r>
      <w:r w:rsidRPr="00E35AE7">
        <w:rPr>
          <w:sz w:val="20"/>
        </w:rPr>
        <w:tab/>
        <w:t xml:space="preserve">Please indicate clearly on the blue plate if you are deferring for development (VCAA, STRs, 4142s). </w:t>
      </w:r>
    </w:p>
    <w:p w:rsidR="00E35AE7" w:rsidRPr="00E35AE7" w:rsidRDefault="00E35AE7" w:rsidP="00E35AE7">
      <w:pPr>
        <w:pStyle w:val="BodyTextIndent"/>
        <w:ind w:left="360" w:hanging="360"/>
        <w:rPr>
          <w:sz w:val="20"/>
        </w:rPr>
      </w:pPr>
      <w:r w:rsidRPr="00E35AE7">
        <w:rPr>
          <w:sz w:val="20"/>
        </w:rPr>
        <w:t>3.</w:t>
      </w:r>
      <w:r w:rsidRPr="00E35AE7">
        <w:rPr>
          <w:sz w:val="20"/>
        </w:rPr>
        <w:tab/>
        <w:t>Always reference the appropriate DBQ and particular question on the DBQ you need answered. Do not ask for just “completion of DBQ</w:t>
      </w:r>
      <w:r w:rsidR="001946CC">
        <w:rPr>
          <w:sz w:val="20"/>
        </w:rPr>
        <w:t>.”</w:t>
      </w:r>
    </w:p>
    <w:p w:rsidR="00E35AE7" w:rsidRPr="00E35AE7" w:rsidRDefault="00E35AE7" w:rsidP="00E35AE7">
      <w:pPr>
        <w:pStyle w:val="BodyTextIndent"/>
        <w:rPr>
          <w:sz w:val="20"/>
        </w:rPr>
      </w:pPr>
    </w:p>
    <w:p w:rsidR="00E35AE7" w:rsidRPr="00E35AE7" w:rsidRDefault="00E35AE7" w:rsidP="00E35AE7">
      <w:pPr>
        <w:pStyle w:val="BodyTextIndent"/>
        <w:ind w:left="360"/>
        <w:rPr>
          <w:i/>
          <w:iCs/>
          <w:sz w:val="20"/>
          <w:u w:val="single"/>
        </w:rPr>
      </w:pPr>
      <w:r w:rsidRPr="00E35AE7">
        <w:rPr>
          <w:i/>
          <w:iCs/>
          <w:sz w:val="20"/>
          <w:u w:val="single"/>
        </w:rPr>
        <w:t>Example #1:</w:t>
      </w:r>
    </w:p>
    <w:p w:rsidR="00E35AE7" w:rsidRPr="00E35AE7" w:rsidRDefault="00E35AE7" w:rsidP="00F063AF">
      <w:pPr>
        <w:numPr>
          <w:ilvl w:val="0"/>
          <w:numId w:val="274"/>
        </w:numPr>
        <w:overflowPunct/>
        <w:autoSpaceDE/>
        <w:autoSpaceDN/>
        <w:adjustRightInd/>
        <w:textAlignment w:val="auto"/>
      </w:pPr>
      <w:r w:rsidRPr="00E35AE7">
        <w:t xml:space="preserve">VA examiner diagnosed exercise induced asthma.  </w:t>
      </w:r>
    </w:p>
    <w:p w:rsidR="00E35AE7" w:rsidRPr="00E35AE7" w:rsidRDefault="00E35AE7" w:rsidP="00F063AF">
      <w:pPr>
        <w:numPr>
          <w:ilvl w:val="0"/>
          <w:numId w:val="274"/>
        </w:numPr>
        <w:overflowPunct/>
        <w:autoSpaceDE/>
        <w:autoSpaceDN/>
        <w:adjustRightInd/>
        <w:textAlignment w:val="auto"/>
      </w:pPr>
      <w:r w:rsidRPr="00E35AE7">
        <w:rPr>
          <w:color w:val="000000"/>
        </w:rPr>
        <w:t>PFTs results were not provided</w:t>
      </w:r>
      <w:r w:rsidRPr="00E35AE7">
        <w:t xml:space="preserve">, per DBQ for Respiratory Conditions. </w:t>
      </w:r>
    </w:p>
    <w:p w:rsidR="00E35AE7" w:rsidRPr="00E35AE7" w:rsidRDefault="00E35AE7" w:rsidP="00E35AE7">
      <w:pPr>
        <w:ind w:left="360"/>
        <w:rPr>
          <w:color w:val="000000"/>
        </w:rPr>
      </w:pPr>
    </w:p>
    <w:p w:rsidR="00E35AE7" w:rsidRPr="00E35AE7" w:rsidRDefault="00E35AE7" w:rsidP="00E35AE7">
      <w:pPr>
        <w:ind w:left="360"/>
        <w:rPr>
          <w:strike/>
          <w:color w:val="000000"/>
        </w:rPr>
      </w:pPr>
      <w:r w:rsidRPr="00E35AE7">
        <w:rPr>
          <w:color w:val="000000"/>
        </w:rPr>
        <w:t>ACTION:  Please ask the examiner for PFTs results or to explain why the test would not be useful or valid per DBQ for Respiratory Conditions.</w:t>
      </w:r>
    </w:p>
    <w:p w:rsidR="00E35AE7" w:rsidRPr="00E35AE7" w:rsidRDefault="00E35AE7" w:rsidP="00E35AE7">
      <w:pPr>
        <w:pStyle w:val="Default"/>
        <w:ind w:left="360"/>
        <w:rPr>
          <w:i/>
          <w:iCs/>
          <w:sz w:val="20"/>
          <w:szCs w:val="20"/>
        </w:rPr>
      </w:pPr>
    </w:p>
    <w:p w:rsidR="00E35AE7" w:rsidRPr="00E35AE7" w:rsidRDefault="00E35AE7" w:rsidP="00E35AE7">
      <w:pPr>
        <w:pStyle w:val="Default"/>
        <w:ind w:left="360"/>
        <w:rPr>
          <w:i/>
          <w:iCs/>
          <w:sz w:val="20"/>
          <w:szCs w:val="20"/>
          <w:u w:val="single"/>
        </w:rPr>
      </w:pPr>
      <w:r w:rsidRPr="00E35AE7">
        <w:rPr>
          <w:i/>
          <w:iCs/>
          <w:sz w:val="20"/>
          <w:szCs w:val="20"/>
          <w:u w:val="single"/>
        </w:rPr>
        <w:t>Example #2:</w:t>
      </w:r>
    </w:p>
    <w:p w:rsidR="00E35AE7" w:rsidRPr="00E35AE7" w:rsidRDefault="00E35AE7" w:rsidP="00E35AE7">
      <w:pPr>
        <w:pStyle w:val="Default"/>
        <w:ind w:left="360"/>
        <w:rPr>
          <w:color w:val="auto"/>
          <w:sz w:val="20"/>
          <w:szCs w:val="20"/>
        </w:rPr>
      </w:pPr>
      <w:r w:rsidRPr="00E35AE7">
        <w:rPr>
          <w:sz w:val="20"/>
          <w:szCs w:val="20"/>
        </w:rPr>
        <w:t>1.</w:t>
      </w:r>
      <w:r w:rsidRPr="00E35AE7">
        <w:rPr>
          <w:sz w:val="20"/>
          <w:szCs w:val="20"/>
        </w:rPr>
        <w:tab/>
      </w:r>
      <w:r w:rsidRPr="00E35AE7">
        <w:rPr>
          <w:color w:val="auto"/>
          <w:sz w:val="20"/>
          <w:szCs w:val="20"/>
        </w:rPr>
        <w:t>VA examiners diagnosed PTSD and TBI. Examination reports did not sufficiently delineate which symptoms are due to each condition.</w:t>
      </w:r>
    </w:p>
    <w:p w:rsidR="00E35AE7" w:rsidRPr="00E35AE7" w:rsidRDefault="00E35AE7" w:rsidP="00E35AE7">
      <w:pPr>
        <w:pStyle w:val="Default"/>
        <w:ind w:left="360"/>
        <w:rPr>
          <w:color w:val="auto"/>
          <w:sz w:val="20"/>
          <w:szCs w:val="20"/>
        </w:rPr>
      </w:pPr>
    </w:p>
    <w:p w:rsidR="00E35AE7" w:rsidRPr="00E35AE7" w:rsidRDefault="00E35AE7" w:rsidP="00E35AE7">
      <w:pPr>
        <w:pStyle w:val="Default"/>
        <w:ind w:left="360"/>
        <w:rPr>
          <w:sz w:val="20"/>
          <w:szCs w:val="20"/>
        </w:rPr>
      </w:pPr>
      <w:r w:rsidRPr="00E35AE7">
        <w:rPr>
          <w:sz w:val="20"/>
          <w:szCs w:val="20"/>
        </w:rPr>
        <w:t xml:space="preserve">ACTION: Please ask the VA examiner(s) to review findings and state which symptoms are due to PTSD and which symptoms are due to TBI. If this is not possible without speculation, please ask the examiner(s) to state so. </w:t>
      </w:r>
    </w:p>
    <w:p w:rsidR="00E35AE7" w:rsidRDefault="00E35AE7" w:rsidP="008A3B47">
      <w:pPr>
        <w:widowControl w:val="0"/>
        <w:tabs>
          <w:tab w:val="left" w:pos="360"/>
        </w:tabs>
        <w:spacing w:after="120"/>
        <w:outlineLvl w:val="0"/>
        <w:rPr>
          <w:bCs/>
          <w:i/>
        </w:rPr>
      </w:pPr>
    </w:p>
    <w:p w:rsidR="008A3B47" w:rsidRPr="008A3B47" w:rsidRDefault="008A3B47" w:rsidP="008A3B47">
      <w:pPr>
        <w:widowControl w:val="0"/>
        <w:tabs>
          <w:tab w:val="left" w:pos="360"/>
        </w:tabs>
        <w:spacing w:after="120"/>
        <w:outlineLvl w:val="0"/>
        <w:rPr>
          <w:bCs/>
          <w:i/>
        </w:rPr>
      </w:pPr>
      <w:r w:rsidRPr="008A3B47">
        <w:rPr>
          <w:b/>
        </w:rPr>
        <w:t>III.i.2.B.4.e</w:t>
      </w:r>
      <w:r>
        <w:t xml:space="preserve"> says replace Intro with this if rating case while veteran is still on AD:</w:t>
      </w:r>
    </w:p>
    <w:p w:rsidR="008A3B47" w:rsidRPr="008A3B47" w:rsidRDefault="008A3B47" w:rsidP="008A3B47">
      <w:pPr>
        <w:spacing w:after="120"/>
        <w:ind w:left="360"/>
        <w:rPr>
          <w:i/>
        </w:rPr>
      </w:pPr>
      <w:r w:rsidRPr="008A3B47">
        <w:rPr>
          <w:i/>
        </w:rPr>
        <w:t>The records reflect that you are a Veteran of the [service era] Era. You served in the [branch of service] from [MM/DD/YYYY] to [MM/DD/YYYY] and for the current period of service beginning on [MM/DD/YYYY].  You filed an original disability claim that was received on [MM/DD/YYYY].  Based on a review of the evidence listed below, we have made the following decision(s) on your claim.</w:t>
      </w:r>
    </w:p>
    <w:p w:rsidR="008A3B47" w:rsidRDefault="008A3B47" w:rsidP="008A3B47">
      <w:pPr>
        <w:widowControl w:val="0"/>
        <w:tabs>
          <w:tab w:val="left" w:pos="360"/>
        </w:tabs>
        <w:spacing w:after="120"/>
        <w:ind w:left="360"/>
        <w:outlineLvl w:val="0"/>
        <w:rPr>
          <w:i/>
          <w:iCs/>
        </w:rPr>
      </w:pPr>
      <w:r w:rsidRPr="008A3B47">
        <w:rPr>
          <w:b/>
          <w:i/>
        </w:rPr>
        <w:t>Please Note</w:t>
      </w:r>
      <w:r w:rsidRPr="008A3B47">
        <w:t xml:space="preserve">: </w:t>
      </w:r>
      <w:r w:rsidRPr="008A3B47">
        <w:rPr>
          <w:i/>
        </w:rPr>
        <w:t xml:space="preserve"> </w:t>
      </w:r>
      <w:r w:rsidRPr="008A3B47">
        <w:rPr>
          <w:i/>
          <w:iCs/>
        </w:rPr>
        <w:t>The determination of entitlement to VA benefits is contingent upon your discharge from service and upon having the requisite character of service.  We will review all evidence of record upon discharge to ensure the information provided in this decision is accurate.  This rating decision will only be corrected, if necessary, based on the final review after your discharge.</w:t>
      </w:r>
    </w:p>
    <w:p w:rsidR="008A3B47" w:rsidRPr="008A3B47" w:rsidRDefault="008A3B47" w:rsidP="008A3B47">
      <w:pPr>
        <w:widowControl w:val="0"/>
        <w:tabs>
          <w:tab w:val="left" w:pos="360"/>
        </w:tabs>
        <w:spacing w:after="120"/>
        <w:outlineLvl w:val="0"/>
      </w:pPr>
      <w:r w:rsidRPr="008A3B47">
        <w:t>Add a bookmark stating, “DRAFT:  Rating document should not be released until after the award is authorized.”</w:t>
      </w:r>
    </w:p>
    <w:p w:rsidR="008A3B47" w:rsidRPr="008A3B47" w:rsidRDefault="008A3B47" w:rsidP="008A3B47">
      <w:pPr>
        <w:spacing w:after="120"/>
      </w:pPr>
      <w:r w:rsidRPr="008A3B47">
        <w:t>Following finalization of the rating decision, update the claim level suspense date in VBMS to the day following the service member’s anticipated discharge date.</w:t>
      </w:r>
    </w:p>
    <w:p w:rsidR="008A3B47" w:rsidRDefault="008A3B47" w:rsidP="00225972">
      <w:pPr>
        <w:widowControl w:val="0"/>
        <w:pBdr>
          <w:top w:val="single" w:sz="4" w:space="1" w:color="auto"/>
        </w:pBdr>
        <w:tabs>
          <w:tab w:val="left" w:pos="360"/>
        </w:tabs>
        <w:outlineLvl w:val="0"/>
        <w:rPr>
          <w:bCs/>
          <w:i/>
        </w:rPr>
      </w:pPr>
    </w:p>
    <w:p w:rsidR="00225972" w:rsidRPr="00225972" w:rsidRDefault="00225972" w:rsidP="00225972">
      <w:pPr>
        <w:widowControl w:val="0"/>
        <w:pBdr>
          <w:top w:val="single" w:sz="4" w:space="1" w:color="auto"/>
        </w:pBdr>
        <w:tabs>
          <w:tab w:val="left" w:pos="360"/>
        </w:tabs>
        <w:spacing w:after="120"/>
        <w:outlineLvl w:val="0"/>
        <w:rPr>
          <w:rFonts w:asciiTheme="minorHAnsi" w:hAnsiTheme="minorHAnsi"/>
          <w:b/>
          <w:bCs/>
          <w:sz w:val="22"/>
          <w:szCs w:val="22"/>
        </w:rPr>
      </w:pPr>
      <w:r w:rsidRPr="00225972">
        <w:rPr>
          <w:rFonts w:asciiTheme="minorHAnsi" w:hAnsiTheme="minorHAnsi"/>
          <w:i/>
          <w:sz w:val="22"/>
          <w:szCs w:val="22"/>
        </w:rPr>
        <w:t>Per QRT/GiaBao Nguyen, 12/1/17 -</w:t>
      </w:r>
      <w:r w:rsidRPr="00225972">
        <w:rPr>
          <w:rFonts w:asciiTheme="minorHAnsi" w:hAnsiTheme="minorHAnsi"/>
          <w:b/>
          <w:bCs/>
          <w:sz w:val="22"/>
          <w:szCs w:val="22"/>
        </w:rPr>
        <w:t xml:space="preserve"> Policy Letter 21-17-01: Hurricane Harvey’s and Maria’s Impact on Date of Receipt for Impacted Correspondence</w:t>
      </w:r>
    </w:p>
    <w:p w:rsidR="00225972" w:rsidRPr="00225972" w:rsidRDefault="00225972" w:rsidP="00225972">
      <w:pPr>
        <w:overflowPunct/>
        <w:spacing w:after="120"/>
        <w:textAlignment w:val="auto"/>
        <w:rPr>
          <w:rFonts w:asciiTheme="minorHAnsi" w:hAnsiTheme="minorHAnsi" w:cs="Calibri"/>
          <w:color w:val="000000"/>
          <w:sz w:val="22"/>
          <w:szCs w:val="22"/>
        </w:rPr>
      </w:pPr>
      <w:r w:rsidRPr="00225972">
        <w:rPr>
          <w:rFonts w:asciiTheme="minorHAnsi" w:hAnsiTheme="minorHAnsi" w:cs="Calibri"/>
          <w:color w:val="000000"/>
          <w:sz w:val="22"/>
          <w:szCs w:val="22"/>
        </w:rPr>
        <w:t xml:space="preserve">For claims and intent to file a claim received September 1-7, 2017, that were impacted by Hurricane Harvey, i.e., Houston RO jurisdiction, field personnel should consider these as received prior to the end of month of August, or August 31, 2017 (use postmark date if earlier than received date). </w:t>
      </w:r>
    </w:p>
    <w:p w:rsidR="00225972" w:rsidRDefault="00225972" w:rsidP="00225972">
      <w:pPr>
        <w:overflowPunct/>
        <w:textAlignment w:val="auto"/>
        <w:rPr>
          <w:color w:val="000000"/>
          <w:szCs w:val="22"/>
        </w:rPr>
      </w:pPr>
      <w:r w:rsidRPr="00225972">
        <w:rPr>
          <w:rFonts w:asciiTheme="minorHAnsi" w:hAnsiTheme="minorHAnsi" w:cs="Calibri"/>
          <w:color w:val="000000"/>
          <w:sz w:val="22"/>
          <w:szCs w:val="22"/>
        </w:rPr>
        <w:t xml:space="preserve">For claims and intent to file a claim received </w:t>
      </w:r>
      <w:r w:rsidRPr="00931BD9">
        <w:rPr>
          <w:rFonts w:asciiTheme="minorHAnsi" w:hAnsiTheme="minorHAnsi" w:cs="Calibri"/>
          <w:color w:val="000000"/>
          <w:sz w:val="22"/>
          <w:szCs w:val="22"/>
          <w:highlight w:val="darkGray"/>
        </w:rPr>
        <w:t>October 1-6, 2017</w:t>
      </w:r>
      <w:r w:rsidRPr="00225972">
        <w:rPr>
          <w:rFonts w:asciiTheme="minorHAnsi" w:hAnsiTheme="minorHAnsi" w:cs="Calibri"/>
          <w:color w:val="000000"/>
          <w:sz w:val="22"/>
          <w:szCs w:val="22"/>
        </w:rPr>
        <w:t xml:space="preserve">, from residents of Puerto Rico and US Virgin Islands, field personnel should consider these as received prior to the end of month of September, or September 29, 2017 (use postmark date if earlier than received date). </w:t>
      </w:r>
      <w:r w:rsidR="00931BD9">
        <w:rPr>
          <w:rFonts w:asciiTheme="minorHAnsi" w:hAnsiTheme="minorHAnsi" w:cs="Calibri"/>
          <w:color w:val="000000"/>
          <w:sz w:val="22"/>
          <w:szCs w:val="22"/>
        </w:rPr>
        <w:t xml:space="preserve"> – </w:t>
      </w:r>
      <w:r w:rsidR="00931BD9" w:rsidRPr="00931BD9">
        <w:rPr>
          <w:color w:val="000000"/>
          <w:szCs w:val="22"/>
        </w:rPr>
        <w:t>Federal Register actually says October 1-31, 2017</w:t>
      </w:r>
      <w:r w:rsidR="00931BD9">
        <w:rPr>
          <w:color w:val="000000"/>
          <w:szCs w:val="22"/>
        </w:rPr>
        <w:t>, and no later than September 30, 2017</w:t>
      </w:r>
    </w:p>
    <w:p w:rsidR="00931BD9" w:rsidRDefault="00931BD9" w:rsidP="00225972">
      <w:pPr>
        <w:overflowPunct/>
        <w:textAlignment w:val="auto"/>
        <w:rPr>
          <w:color w:val="000000"/>
          <w:szCs w:val="22"/>
        </w:rPr>
      </w:pPr>
    </w:p>
    <w:p w:rsidR="00931BD9" w:rsidRPr="005F5D1E" w:rsidRDefault="00931BD9" w:rsidP="00931BD9">
      <w:pPr>
        <w:pBdr>
          <w:top w:val="double" w:sz="4" w:space="1" w:color="auto"/>
          <w:left w:val="double" w:sz="4" w:space="4" w:color="auto"/>
          <w:bottom w:val="double" w:sz="4" w:space="1" w:color="auto"/>
          <w:right w:val="double" w:sz="4" w:space="4" w:color="auto"/>
        </w:pBdr>
        <w:shd w:val="clear" w:color="auto" w:fill="FFC000"/>
        <w:spacing w:after="120"/>
        <w:ind w:left="360"/>
        <w:rPr>
          <w:rFonts w:eastAsiaTheme="minorHAnsi"/>
        </w:rPr>
      </w:pPr>
      <w:r>
        <w:rPr>
          <w:rFonts w:eastAsiaTheme="minorHAnsi"/>
          <w:b/>
        </w:rPr>
        <w:t>Disruption of Mail Service guidance due to Hurricanes 2018-06766 (including zip codes)</w:t>
      </w:r>
      <w:r>
        <w:rPr>
          <w:rFonts w:eastAsiaTheme="minorHAnsi"/>
        </w:rPr>
        <w:t xml:space="preserve"> </w:t>
      </w:r>
      <w:r w:rsidRPr="005F5D1E">
        <w:rPr>
          <w:rFonts w:eastAsiaTheme="minorHAnsi"/>
        </w:rPr>
        <w:t>is</w:t>
      </w:r>
      <w:r w:rsidRPr="0036376C">
        <w:t xml:space="preserve"> saved at </w:t>
      </w:r>
      <w:r w:rsidRPr="005F5D1E">
        <w:rPr>
          <w:b/>
          <w:bCs/>
          <w:i/>
          <w:iCs/>
        </w:rPr>
        <w:t>H:\VSC\Rating Reference</w:t>
      </w:r>
    </w:p>
    <w:p w:rsidR="00931BD9" w:rsidRPr="00931BD9" w:rsidRDefault="00931BD9" w:rsidP="00225972">
      <w:pPr>
        <w:overflowPunct/>
        <w:textAlignment w:val="auto"/>
        <w:rPr>
          <w:color w:val="000000"/>
          <w:szCs w:val="22"/>
        </w:rPr>
      </w:pPr>
    </w:p>
    <w:p w:rsidR="00225972" w:rsidRPr="00225972" w:rsidRDefault="00225972" w:rsidP="00225972">
      <w:pPr>
        <w:overflowPunct/>
        <w:textAlignment w:val="auto"/>
        <w:rPr>
          <w:rFonts w:ascii="Calibri" w:hAnsi="Calibri" w:cs="Calibri"/>
          <w:color w:val="000000"/>
          <w:sz w:val="23"/>
          <w:szCs w:val="23"/>
        </w:rPr>
      </w:pPr>
    </w:p>
    <w:p w:rsidR="00225972" w:rsidRPr="00E35AE7" w:rsidRDefault="00225972" w:rsidP="00225972">
      <w:pPr>
        <w:widowControl w:val="0"/>
        <w:pBdr>
          <w:top w:val="single" w:sz="4" w:space="1" w:color="auto"/>
        </w:pBdr>
        <w:tabs>
          <w:tab w:val="left" w:pos="360"/>
        </w:tabs>
        <w:outlineLvl w:val="0"/>
        <w:rPr>
          <w:bCs/>
          <w:i/>
        </w:rPr>
      </w:pPr>
    </w:p>
    <w:p w:rsidR="00013EB8" w:rsidRDefault="00013EB8" w:rsidP="00A438FF">
      <w:pPr>
        <w:pageBreakBefore/>
        <w:widowControl w:val="0"/>
        <w:pBdr>
          <w:top w:val="single" w:sz="4" w:space="1" w:color="auto"/>
        </w:pBdr>
        <w:tabs>
          <w:tab w:val="left" w:pos="0"/>
          <w:tab w:val="left" w:pos="144"/>
        </w:tabs>
        <w:rPr>
          <w:b/>
          <w:bCs/>
          <w:i/>
          <w:iCs/>
          <w:sz w:val="22"/>
        </w:rPr>
      </w:pPr>
      <w:bookmarkStart w:id="67" w:name="Analogous"/>
      <w:r>
        <w:rPr>
          <w:b/>
          <w:bCs/>
          <w:i/>
          <w:iCs/>
          <w:sz w:val="22"/>
        </w:rPr>
        <w:t>Diagnostic and Analogous Codes:</w:t>
      </w:r>
    </w:p>
    <w:bookmarkEnd w:id="67"/>
    <w:p w:rsidR="00013EB8" w:rsidRDefault="00013EB8">
      <w:pPr>
        <w:widowControl w:val="0"/>
        <w:tabs>
          <w:tab w:val="left" w:pos="0"/>
          <w:tab w:val="left" w:pos="144"/>
        </w:tabs>
        <w:rPr>
          <w:sz w:val="22"/>
        </w:rPr>
      </w:pPr>
    </w:p>
    <w:tbl>
      <w:tblPr>
        <w:tblW w:w="10875" w:type="dxa"/>
        <w:tblInd w:w="-45" w:type="dxa"/>
        <w:tblLayout w:type="fixed"/>
        <w:tblCellMar>
          <w:left w:w="30" w:type="dxa"/>
          <w:right w:w="30" w:type="dxa"/>
        </w:tblCellMar>
        <w:tblLook w:val="0000" w:firstRow="0" w:lastRow="0" w:firstColumn="0" w:lastColumn="0" w:noHBand="0" w:noVBand="0"/>
      </w:tblPr>
      <w:tblGrid>
        <w:gridCol w:w="684"/>
        <w:gridCol w:w="10191"/>
      </w:tblGrid>
      <w:tr w:rsidR="00013EB8">
        <w:trPr>
          <w:trHeight w:val="240"/>
        </w:trPr>
        <w:tc>
          <w:tcPr>
            <w:tcW w:w="684" w:type="dxa"/>
            <w:tcBorders>
              <w:top w:val="nil"/>
              <w:left w:val="nil"/>
              <w:bottom w:val="nil"/>
              <w:right w:val="nil"/>
            </w:tcBorders>
          </w:tcPr>
          <w:p w:rsidR="00013EB8" w:rsidRDefault="00013EB8">
            <w:pPr>
              <w:widowControl w:val="0"/>
              <w:numPr>
                <w:ilvl w:val="12"/>
                <w:numId w:val="0"/>
              </w:numPr>
              <w:rPr>
                <w:b/>
              </w:rPr>
            </w:pPr>
            <w:r w:rsidRPr="00F673C9">
              <w:rPr>
                <w:b/>
              </w:rPr>
              <w:t>4.20</w:t>
            </w:r>
          </w:p>
        </w:tc>
        <w:tc>
          <w:tcPr>
            <w:tcW w:w="10191" w:type="dxa"/>
            <w:tcBorders>
              <w:top w:val="nil"/>
              <w:left w:val="nil"/>
              <w:bottom w:val="nil"/>
              <w:right w:val="nil"/>
            </w:tcBorders>
          </w:tcPr>
          <w:p w:rsidR="00013EB8" w:rsidRDefault="00013EB8" w:rsidP="00472785">
            <w:pPr>
              <w:widowControl w:val="0"/>
              <w:numPr>
                <w:ilvl w:val="12"/>
                <w:numId w:val="0"/>
              </w:numPr>
              <w:rPr>
                <w:b/>
              </w:rPr>
            </w:pPr>
            <w:r>
              <w:rPr>
                <w:b/>
              </w:rPr>
              <w:t xml:space="preserve">Analogous ratings </w:t>
            </w:r>
            <w:r>
              <w:t>–</w:t>
            </w:r>
            <w:r w:rsidR="00500090">
              <w:t xml:space="preserve"> </w:t>
            </w:r>
            <w:r>
              <w:t xml:space="preserve">rate unlisted conditions under a closely related disease or injury, including function, location and symptomatology, </w:t>
            </w:r>
            <w:r w:rsidR="00472785">
              <w:rPr>
                <w:rFonts w:ascii="Verdana" w:hAnsi="Verdana"/>
                <w:b/>
                <w:bCs/>
                <w:highlight w:val="green"/>
              </w:rPr>
              <w:t>ANALOGOUS</w:t>
            </w:r>
          </w:p>
        </w:tc>
      </w:tr>
    </w:tbl>
    <w:p w:rsidR="00013EB8" w:rsidRDefault="00013EB8">
      <w:pPr>
        <w:widowControl w:val="0"/>
        <w:tabs>
          <w:tab w:val="left" w:pos="0"/>
          <w:tab w:val="left" w:pos="144"/>
        </w:tabs>
        <w:rPr>
          <w:sz w:val="22"/>
        </w:rPr>
      </w:pPr>
    </w:p>
    <w:tbl>
      <w:tblPr>
        <w:tblW w:w="0" w:type="auto"/>
        <w:tblInd w:w="-45" w:type="dxa"/>
        <w:tblLayout w:type="fixed"/>
        <w:tblCellMar>
          <w:left w:w="30" w:type="dxa"/>
          <w:right w:w="30" w:type="dxa"/>
        </w:tblCellMar>
        <w:tblLook w:val="0000" w:firstRow="0" w:lastRow="0" w:firstColumn="0" w:lastColumn="0" w:noHBand="0" w:noVBand="0"/>
      </w:tblPr>
      <w:tblGrid>
        <w:gridCol w:w="684"/>
        <w:gridCol w:w="10191"/>
      </w:tblGrid>
      <w:tr w:rsidR="00013EB8">
        <w:trPr>
          <w:trHeight w:val="225"/>
        </w:trPr>
        <w:tc>
          <w:tcPr>
            <w:tcW w:w="684" w:type="dxa"/>
            <w:tcBorders>
              <w:top w:val="nil"/>
              <w:left w:val="nil"/>
              <w:bottom w:val="nil"/>
              <w:right w:val="nil"/>
            </w:tcBorders>
          </w:tcPr>
          <w:p w:rsidR="00013EB8" w:rsidRDefault="00013EB8">
            <w:pPr>
              <w:widowControl w:val="0"/>
              <w:numPr>
                <w:ilvl w:val="12"/>
                <w:numId w:val="0"/>
              </w:numPr>
              <w:rPr>
                <w:b/>
              </w:rPr>
            </w:pPr>
            <w:r w:rsidRPr="00F673C9">
              <w:rPr>
                <w:b/>
              </w:rPr>
              <w:t>4.27</w:t>
            </w:r>
          </w:p>
        </w:tc>
        <w:tc>
          <w:tcPr>
            <w:tcW w:w="10191" w:type="dxa"/>
            <w:tcBorders>
              <w:top w:val="nil"/>
              <w:left w:val="nil"/>
              <w:bottom w:val="nil"/>
              <w:right w:val="nil"/>
            </w:tcBorders>
          </w:tcPr>
          <w:p w:rsidR="00013EB8" w:rsidRDefault="00013EB8">
            <w:pPr>
              <w:widowControl w:val="0"/>
              <w:numPr>
                <w:ilvl w:val="12"/>
                <w:numId w:val="0"/>
              </w:numPr>
              <w:rPr>
                <w:b/>
                <w:bCs/>
                <w:i/>
                <w:iCs/>
              </w:rPr>
            </w:pPr>
            <w:r>
              <w:rPr>
                <w:b/>
              </w:rPr>
              <w:t xml:space="preserve">Use of diagnostic code numbers </w:t>
            </w:r>
            <w:r>
              <w:t xml:space="preserve">– </w:t>
            </w:r>
            <w:r w:rsidRPr="00AC753C">
              <w:rPr>
                <w:b/>
                <w:iCs/>
              </w:rPr>
              <w:t>4.20</w:t>
            </w:r>
            <w:r w:rsidR="0059482E">
              <w:rPr>
                <w:b/>
                <w:iCs/>
              </w:rPr>
              <w:t>, III.iv.5.B.1</w:t>
            </w:r>
            <w:r>
              <w:rPr>
                <w:iCs/>
              </w:rPr>
              <w:t>;</w:t>
            </w:r>
            <w:r>
              <w:rPr>
                <w:i/>
              </w:rPr>
              <w:t xml:space="preserve"> </w:t>
            </w:r>
            <w:r>
              <w:t xml:space="preserve">numbers are arbitrary, use them or use analogy, “In the citation of disabilities on rating sheets, the diagnostic terminology will be that of the medical examiner, with no attempt to translate the terms into schedule nomenclature.”  “Residuals of diseases or therapeutic procedures will not be cited without reference to the basic disease.” </w:t>
            </w:r>
          </w:p>
        </w:tc>
      </w:tr>
    </w:tbl>
    <w:p w:rsidR="00013EB8" w:rsidRDefault="00013EB8">
      <w:pPr>
        <w:widowControl w:val="0"/>
        <w:tabs>
          <w:tab w:val="left" w:pos="0"/>
          <w:tab w:val="left" w:pos="144"/>
        </w:tabs>
        <w:rPr>
          <w:sz w:val="22"/>
        </w:rPr>
      </w:pPr>
    </w:p>
    <w:p w:rsidR="00F91B8B" w:rsidRDefault="00F91B8B" w:rsidP="00691877">
      <w:pPr>
        <w:widowControl w:val="0"/>
        <w:numPr>
          <w:ilvl w:val="0"/>
          <w:numId w:val="47"/>
        </w:numPr>
        <w:tabs>
          <w:tab w:val="clear" w:pos="720"/>
          <w:tab w:val="num" w:pos="360"/>
        </w:tabs>
        <w:spacing w:after="120"/>
        <w:ind w:left="403"/>
      </w:pPr>
      <w:r w:rsidRPr="00F91B8B">
        <w:rPr>
          <w:b/>
        </w:rPr>
        <w:t>III.iv.6.E.2</w:t>
      </w:r>
      <w:r w:rsidR="000C4918">
        <w:t xml:space="preserve"> – can use 99 modifier codes for denials of SC nonspecific conditions</w:t>
      </w:r>
    </w:p>
    <w:p w:rsidR="00013EB8" w:rsidRDefault="00D571C5" w:rsidP="00691877">
      <w:pPr>
        <w:widowControl w:val="0"/>
        <w:numPr>
          <w:ilvl w:val="0"/>
          <w:numId w:val="47"/>
        </w:numPr>
        <w:tabs>
          <w:tab w:val="clear" w:pos="720"/>
          <w:tab w:val="num" w:pos="360"/>
        </w:tabs>
        <w:spacing w:after="120"/>
        <w:ind w:left="403"/>
      </w:pPr>
      <w:hyperlink r:id="rId351" w:history="1">
        <w:r w:rsidR="00013EB8">
          <w:rPr>
            <w:rStyle w:val="Hyperlink"/>
            <w:b/>
            <w:bCs/>
            <w:i/>
            <w:iCs/>
          </w:rPr>
          <w:t>http://epss.vba.va.gov/mepss/</w:t>
        </w:r>
      </w:hyperlink>
      <w:r w:rsidR="00013EB8">
        <w:t xml:space="preserve"> - MEPSS also has analogous codes </w:t>
      </w:r>
      <w:r w:rsidR="00B80CFB">
        <w:t>under the medical symbol button</w:t>
      </w:r>
    </w:p>
    <w:p w:rsidR="00013EB8" w:rsidRDefault="00013EB8" w:rsidP="00691877">
      <w:pPr>
        <w:widowControl w:val="0"/>
        <w:numPr>
          <w:ilvl w:val="0"/>
          <w:numId w:val="47"/>
        </w:numPr>
        <w:tabs>
          <w:tab w:val="clear" w:pos="720"/>
          <w:tab w:val="num" w:pos="360"/>
        </w:tabs>
        <w:spacing w:after="120"/>
        <w:ind w:left="403"/>
      </w:pPr>
      <w:r>
        <w:t xml:space="preserve">The </w:t>
      </w:r>
      <w:hyperlink r:id="rId352" w:history="1">
        <w:r>
          <w:rPr>
            <w:rStyle w:val="Hyperlink"/>
            <w:b/>
            <w:bCs/>
            <w:i/>
            <w:iCs/>
          </w:rPr>
          <w:t>Index of DBQ/Exams by Disability</w:t>
        </w:r>
      </w:hyperlink>
      <w:r>
        <w:t xml:space="preserve"> also has diagnostic codes.</w:t>
      </w:r>
    </w:p>
    <w:p w:rsidR="003F22FD" w:rsidRPr="00102F5B" w:rsidRDefault="003F22FD" w:rsidP="00F063AF">
      <w:pPr>
        <w:widowControl w:val="0"/>
        <w:numPr>
          <w:ilvl w:val="0"/>
          <w:numId w:val="134"/>
        </w:numPr>
        <w:spacing w:after="120"/>
        <w:ind w:left="360" w:hanging="270"/>
        <w:rPr>
          <w:b/>
        </w:rPr>
      </w:pPr>
      <w:r>
        <w:rPr>
          <w:b/>
        </w:rPr>
        <w:t>…</w:t>
      </w:r>
    </w:p>
    <w:p w:rsidR="00C123CD" w:rsidRDefault="00C123CD">
      <w:pPr>
        <w:widowControl w:val="0"/>
        <w:tabs>
          <w:tab w:val="left" w:pos="0"/>
          <w:tab w:val="left" w:pos="144"/>
        </w:tabs>
        <w:rPr>
          <w:sz w:val="22"/>
        </w:rPr>
      </w:pPr>
    </w:p>
    <w:tbl>
      <w:tblPr>
        <w:tblW w:w="106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925"/>
        <w:gridCol w:w="1721"/>
      </w:tblGrid>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actinic keratosis</w:t>
            </w:r>
            <w:r w:rsidR="00A15C64">
              <w:t xml:space="preserve"> </w:t>
            </w:r>
            <w:r>
              <w:t>/</w:t>
            </w:r>
            <w:r w:rsidR="00A15C64">
              <w:t xml:space="preserve"> keratosis / seborrheic keratosis</w:t>
            </w:r>
          </w:p>
          <w:p w:rsidR="002504C1" w:rsidRPr="00BA47AF" w:rsidRDefault="002504C1" w:rsidP="00BA47AF">
            <w:pPr>
              <w:widowControl w:val="0"/>
              <w:rPr>
                <w:rFonts w:eastAsia="Arial Unicode MS"/>
                <w:i/>
              </w:rPr>
            </w:pPr>
            <w:r w:rsidRPr="00BA47AF">
              <w:rPr>
                <w:i/>
              </w:rPr>
              <w:t>VA examiner</w:t>
            </w:r>
            <w:r w:rsidR="00BA47AF" w:rsidRPr="00BA47AF">
              <w:rPr>
                <w:i/>
              </w:rPr>
              <w:t>s</w:t>
            </w:r>
            <w:r w:rsidRPr="00BA47AF">
              <w:rPr>
                <w:i/>
              </w:rPr>
              <w:t xml:space="preserve"> idenitif</w:t>
            </w:r>
            <w:r w:rsidR="00BA47AF" w:rsidRPr="00BA47AF">
              <w:rPr>
                <w:i/>
              </w:rPr>
              <w:t>y</w:t>
            </w:r>
            <w:r w:rsidRPr="00BA47AF">
              <w:rPr>
                <w:i/>
              </w:rPr>
              <w:t xml:space="preserve"> seborrheic keratosis as</w:t>
            </w:r>
            <w:r w:rsidR="00CB15EA">
              <w:rPr>
                <w:i/>
              </w:rPr>
              <w:t xml:space="preserve"> </w:t>
            </w:r>
            <w:r w:rsidRPr="00BA47AF">
              <w:rPr>
                <w:i/>
              </w:rPr>
              <w:t>a “kera</w:t>
            </w:r>
            <w:r w:rsidR="00BA47AF" w:rsidRPr="00BA47AF">
              <w:rPr>
                <w:i/>
              </w:rPr>
              <w:t>tinization skin disorder”</w:t>
            </w:r>
          </w:p>
        </w:tc>
        <w:tc>
          <w:tcPr>
            <w:tcW w:w="1721" w:type="dxa"/>
            <w:noWrap/>
            <w:tcMar>
              <w:top w:w="15" w:type="dxa"/>
              <w:left w:w="15" w:type="dxa"/>
              <w:bottom w:w="0" w:type="dxa"/>
              <w:right w:w="15" w:type="dxa"/>
            </w:tcMar>
            <w:vAlign w:val="bottom"/>
          </w:tcPr>
          <w:p w:rsidR="00013EB8" w:rsidRDefault="00BA47AF">
            <w:pPr>
              <w:widowControl w:val="0"/>
              <w:rPr>
                <w:rFonts w:eastAsia="Arial Unicode MS"/>
              </w:rPr>
            </w:pPr>
            <w:r>
              <w:t>7824</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rsidP="00B41932">
            <w:pPr>
              <w:widowControl w:val="0"/>
              <w:rPr>
                <w:rFonts w:eastAsia="Arial Unicode MS"/>
              </w:rPr>
            </w:pPr>
            <w:r>
              <w:t xml:space="preserve">alcoholism/alcohol abuse (can be considered as a symptom of a SC disability, per </w:t>
            </w:r>
            <w:r w:rsidR="00853C4D">
              <w:rPr>
                <w:b/>
                <w:bCs/>
              </w:rPr>
              <w:t>IV.ii.2.K</w:t>
            </w:r>
            <w:r>
              <w:t>; alcohol and substance abuse can be considered secondary to, and evaluated with, a mental condition (even if in remission), per</w:t>
            </w:r>
            <w:r>
              <w:rPr>
                <w:b/>
                <w:bCs/>
              </w:rPr>
              <w:t xml:space="preserve"> </w:t>
            </w:r>
            <w:hyperlink r:id="rId353" w:history="1">
              <w:r>
                <w:rPr>
                  <w:rStyle w:val="Hyperlink"/>
                  <w:b/>
                  <w:bCs/>
                  <w:i/>
                  <w:iCs/>
                </w:rPr>
                <w:t>QRT Bulletin September/October 2012</w:t>
              </w:r>
            </w:hyperlink>
            <w:r w:rsidR="008B4791">
              <w:t xml:space="preserve"> [include “in remission” in name of disability]</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9399-9326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angina pectoris</w:t>
            </w:r>
            <w:r w:rsidR="008C05B4">
              <w:t xml:space="preserve"> </w:t>
            </w:r>
            <w:r>
              <w:t>/</w:t>
            </w:r>
            <w:r w:rsidR="008C05B4">
              <w:t xml:space="preserve"> </w:t>
            </w:r>
            <w:r>
              <w:t>anginal syndrome</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7099-7005</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rsidP="00172D6B">
            <w:pPr>
              <w:widowControl w:val="0"/>
              <w:rPr>
                <w:rFonts w:eastAsia="Arial Unicode MS"/>
              </w:rPr>
            </w:pPr>
            <w:r>
              <w:t>aortic valve insufficiency</w:t>
            </w:r>
            <w:r w:rsidR="00172D6B">
              <w:t>;</w:t>
            </w:r>
            <w:r w:rsidR="00C741C6">
              <w:t xml:space="preserve"> </w:t>
            </w:r>
            <w:r w:rsidR="00C741C6">
              <w:rPr>
                <w:iCs/>
              </w:rPr>
              <w:t>per</w:t>
            </w:r>
            <w:r w:rsidR="00C741C6">
              <w:rPr>
                <w:b/>
                <w:iCs/>
              </w:rPr>
              <w:t xml:space="preserve"> </w:t>
            </w:r>
            <w:r w:rsidR="009474D3">
              <w:rPr>
                <w:b/>
              </w:rPr>
              <w:t>III.iv.4.G</w:t>
            </w:r>
            <w:r w:rsidR="00C741C6" w:rsidRPr="0084281A">
              <w:rPr>
                <w:b/>
              </w:rPr>
              <w:t>.</w:t>
            </w:r>
            <w:r w:rsidR="009474D3">
              <w:rPr>
                <w:b/>
              </w:rPr>
              <w:t>3</w:t>
            </w:r>
            <w:r w:rsidR="00E35C8E">
              <w:rPr>
                <w:b/>
              </w:rPr>
              <w:t>.</w:t>
            </w:r>
            <w:r w:rsidR="009474D3">
              <w:rPr>
                <w:b/>
              </w:rPr>
              <w:t>i</w:t>
            </w:r>
            <w:r w:rsidR="00C741C6">
              <w:t xml:space="preserve">, evaluate hypertension as part of </w:t>
            </w:r>
            <w:r w:rsidR="00172D6B">
              <w:t xml:space="preserve">aortic valve insufficiency </w:t>
            </w:r>
            <w:r w:rsidR="00C741C6">
              <w:t>if it is the cause, no separate evaluation for hypertension is allowed</w:t>
            </w:r>
            <w:r w:rsidR="009A25F8">
              <w:t xml:space="preserve"> (also aortic regurgitation)</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7000</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rsidP="00B53305">
            <w:pPr>
              <w:widowControl w:val="0"/>
            </w:pPr>
            <w:r>
              <w:t>aphonia (complete)</w:t>
            </w:r>
            <w:r w:rsidR="00B53305">
              <w:t xml:space="preserve"> </w:t>
            </w:r>
            <w:r w:rsidR="00B53305" w:rsidRPr="00B53305">
              <w:rPr>
                <w:i/>
              </w:rPr>
              <w:t>– not aphasia</w:t>
            </w:r>
          </w:p>
        </w:tc>
        <w:tc>
          <w:tcPr>
            <w:tcW w:w="1721" w:type="dxa"/>
            <w:noWrap/>
            <w:tcMar>
              <w:top w:w="15" w:type="dxa"/>
              <w:left w:w="15" w:type="dxa"/>
              <w:bottom w:w="0" w:type="dxa"/>
              <w:right w:w="15" w:type="dxa"/>
            </w:tcMar>
            <w:vAlign w:val="bottom"/>
          </w:tcPr>
          <w:p w:rsidR="00013EB8" w:rsidRDefault="00013EB8">
            <w:pPr>
              <w:widowControl w:val="0"/>
            </w:pPr>
            <w:r>
              <w:t>6519</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rsidP="00B53305">
            <w:pPr>
              <w:widowControl w:val="0"/>
            </w:pPr>
            <w:r>
              <w:t>aphonia (incomplete)</w:t>
            </w:r>
            <w:r w:rsidR="00B53305">
              <w:t xml:space="preserve"> </w:t>
            </w:r>
            <w:r w:rsidR="00B53305" w:rsidRPr="00B53305">
              <w:rPr>
                <w:i/>
              </w:rPr>
              <w:t>– not aphasia</w:t>
            </w:r>
          </w:p>
        </w:tc>
        <w:tc>
          <w:tcPr>
            <w:tcW w:w="1721" w:type="dxa"/>
            <w:noWrap/>
            <w:tcMar>
              <w:top w:w="15" w:type="dxa"/>
              <w:left w:w="15" w:type="dxa"/>
              <w:bottom w:w="0" w:type="dxa"/>
              <w:right w:w="15" w:type="dxa"/>
            </w:tcMar>
            <w:vAlign w:val="bottom"/>
          </w:tcPr>
          <w:p w:rsidR="00013EB8" w:rsidRDefault="00013EB8">
            <w:pPr>
              <w:widowControl w:val="0"/>
            </w:pPr>
            <w:r>
              <w:t>6519-6516</w:t>
            </w:r>
          </w:p>
        </w:tc>
      </w:tr>
      <w:tr w:rsidR="00013EB8" w:rsidTr="0032140A">
        <w:trPr>
          <w:trHeight w:val="255"/>
        </w:trPr>
        <w:tc>
          <w:tcPr>
            <w:tcW w:w="8925" w:type="dxa"/>
            <w:noWrap/>
            <w:tcMar>
              <w:top w:w="15" w:type="dxa"/>
              <w:left w:w="15" w:type="dxa"/>
              <w:bottom w:w="0" w:type="dxa"/>
              <w:right w:w="15" w:type="dxa"/>
            </w:tcMar>
            <w:vAlign w:val="bottom"/>
          </w:tcPr>
          <w:p w:rsidR="00601709" w:rsidRDefault="00013EB8" w:rsidP="00C40489">
            <w:pPr>
              <w:widowControl w:val="0"/>
              <w:ind w:right="85"/>
            </w:pPr>
            <w:r>
              <w:t xml:space="preserve">arrhythmias </w:t>
            </w:r>
          </w:p>
          <w:p w:rsidR="00601709" w:rsidRDefault="00013EB8" w:rsidP="00C40489">
            <w:pPr>
              <w:widowControl w:val="0"/>
              <w:ind w:right="85"/>
            </w:pPr>
            <w:r>
              <w:t>[abnormal heart rhythm</w:t>
            </w:r>
            <w:r w:rsidR="00C40489">
              <w:t>;</w:t>
            </w:r>
            <w:r>
              <w:t xml:space="preserve"> also called tachycardia</w:t>
            </w:r>
            <w:r w:rsidR="00C40489">
              <w:t xml:space="preserve"> [heart rate that exceeds normal resting rate]</w:t>
            </w:r>
            <w:r>
              <w:t xml:space="preserve"> or bradycardia</w:t>
            </w:r>
            <w:r w:rsidR="00C40489">
              <w:t xml:space="preserve"> [decreased/slow heart rate]</w:t>
            </w:r>
            <w:r>
              <w:t xml:space="preserve"> (both general terms)] </w:t>
            </w:r>
          </w:p>
          <w:p w:rsidR="00601709" w:rsidRDefault="00013EB8" w:rsidP="00601709">
            <w:pPr>
              <w:widowControl w:val="0"/>
              <w:ind w:right="85"/>
            </w:pPr>
            <w:r>
              <w:rPr>
                <w:i/>
                <w:iCs/>
              </w:rPr>
              <w:t>rate under</w:t>
            </w:r>
            <w:r w:rsidR="00601709">
              <w:rPr>
                <w:i/>
                <w:iCs/>
              </w:rPr>
              <w:t xml:space="preserve"> ventricular arrhythmias </w:t>
            </w:r>
            <w:r w:rsidR="00327AA5">
              <w:rPr>
                <w:i/>
                <w:iCs/>
              </w:rPr>
              <w:t xml:space="preserve">(sustained) </w:t>
            </w:r>
            <w:r w:rsidR="00601709">
              <w:rPr>
                <w:i/>
                <w:iCs/>
              </w:rPr>
              <w:t>(7011)</w:t>
            </w:r>
            <w:r w:rsidR="00601709">
              <w:t xml:space="preserve"> **only SC if sustained &amp; on meds**</w:t>
            </w:r>
          </w:p>
          <w:p w:rsidR="00601709" w:rsidRDefault="00013EB8" w:rsidP="00601709">
            <w:pPr>
              <w:widowControl w:val="0"/>
              <w:ind w:right="85"/>
              <w:rPr>
                <w:i/>
                <w:iCs/>
              </w:rPr>
            </w:pPr>
            <w:r>
              <w:rPr>
                <w:i/>
                <w:iCs/>
              </w:rPr>
              <w:t xml:space="preserve">or </w:t>
            </w:r>
          </w:p>
          <w:p w:rsidR="00013EB8" w:rsidRDefault="00601709" w:rsidP="00601709">
            <w:pPr>
              <w:widowControl w:val="0"/>
              <w:ind w:right="85"/>
              <w:rPr>
                <w:rFonts w:eastAsia="Arial Unicode MS"/>
              </w:rPr>
            </w:pPr>
            <w:r>
              <w:rPr>
                <w:i/>
                <w:iCs/>
              </w:rPr>
              <w:t xml:space="preserve">rate under supraventricular arrhythmias (7010) </w:t>
            </w:r>
            <w:r w:rsidR="008A18A5">
              <w:rPr>
                <w:i/>
                <w:iCs/>
              </w:rPr>
              <w:t xml:space="preserve">if </w:t>
            </w:r>
            <w:r w:rsidR="00327AA5">
              <w:rPr>
                <w:i/>
                <w:iCs/>
              </w:rPr>
              <w:t xml:space="preserve">given that dx or </w:t>
            </w:r>
            <w:r w:rsidR="008A18A5">
              <w:rPr>
                <w:i/>
                <w:iCs/>
              </w:rPr>
              <w:t xml:space="preserve">called “paroxysmal atrial fibrillation,” “supraventricular tachycardia (SVT)” or “permanent atrial fibrillation </w:t>
            </w:r>
            <w:r>
              <w:rPr>
                <w:i/>
                <w:iCs/>
              </w:rPr>
              <w:t>(lone atrial fibrillation)</w:t>
            </w:r>
            <w:r w:rsidR="00327AA5">
              <w:rPr>
                <w:i/>
                <w:iCs/>
              </w:rPr>
              <w:t>”</w:t>
            </w:r>
          </w:p>
        </w:tc>
        <w:tc>
          <w:tcPr>
            <w:tcW w:w="1721" w:type="dxa"/>
            <w:noWrap/>
            <w:tcMar>
              <w:top w:w="15" w:type="dxa"/>
              <w:left w:w="15" w:type="dxa"/>
              <w:bottom w:w="0" w:type="dxa"/>
              <w:right w:w="15" w:type="dxa"/>
            </w:tcMar>
            <w:vAlign w:val="bottom"/>
          </w:tcPr>
          <w:p w:rsidR="00013EB8" w:rsidRDefault="00601709" w:rsidP="00601709">
            <w:pPr>
              <w:widowControl w:val="0"/>
              <w:rPr>
                <w:rFonts w:eastAsia="Arial Unicode MS"/>
              </w:rPr>
            </w:pPr>
            <w:r>
              <w:t>7011</w:t>
            </w:r>
            <w:r w:rsidR="00013EB8">
              <w:t xml:space="preserve"> or 701</w:t>
            </w:r>
            <w:r>
              <w:t>0</w:t>
            </w:r>
          </w:p>
        </w:tc>
      </w:tr>
      <w:tr w:rsidR="00013EB8" w:rsidTr="00601709">
        <w:trPr>
          <w:trHeight w:val="470"/>
        </w:trPr>
        <w:tc>
          <w:tcPr>
            <w:tcW w:w="8925" w:type="dxa"/>
            <w:noWrap/>
            <w:tcMar>
              <w:top w:w="15" w:type="dxa"/>
              <w:left w:w="15" w:type="dxa"/>
              <w:bottom w:w="0" w:type="dxa"/>
              <w:right w:w="15" w:type="dxa"/>
            </w:tcMar>
            <w:vAlign w:val="bottom"/>
          </w:tcPr>
          <w:p w:rsidR="00601709" w:rsidRDefault="00013EB8" w:rsidP="00C40489">
            <w:pPr>
              <w:widowControl w:val="0"/>
              <w:ind w:right="85"/>
            </w:pPr>
            <w:r>
              <w:t xml:space="preserve">atrial fibrillation (see arrhythmias) </w:t>
            </w:r>
          </w:p>
          <w:p w:rsidR="00601709" w:rsidRDefault="00013EB8" w:rsidP="00C40489">
            <w:pPr>
              <w:widowControl w:val="0"/>
              <w:ind w:right="85"/>
            </w:pPr>
            <w:r>
              <w:t>[a type of arrhythmia/tachycardia,</w:t>
            </w:r>
            <w:r w:rsidR="00C40489">
              <w:t xml:space="preserve"> rapid &amp; irregular rhythm,</w:t>
            </w:r>
            <w:r>
              <w:t xml:space="preserve"> the most </w:t>
            </w:r>
            <w:r w:rsidR="00601709">
              <w:t xml:space="preserve">common abnormal heart rhythm] </w:t>
            </w:r>
          </w:p>
          <w:p w:rsidR="00013EB8" w:rsidRDefault="00013EB8" w:rsidP="00C40489">
            <w:pPr>
              <w:widowControl w:val="0"/>
              <w:ind w:right="85"/>
              <w:rPr>
                <w:rFonts w:eastAsia="Arial Unicode MS"/>
              </w:rPr>
            </w:pPr>
            <w:r>
              <w:rPr>
                <w:i/>
                <w:iCs/>
              </w:rPr>
              <w:t>rated under supraventricular arrhythmias (7010)</w:t>
            </w:r>
          </w:p>
        </w:tc>
        <w:tc>
          <w:tcPr>
            <w:tcW w:w="1721" w:type="dxa"/>
            <w:noWrap/>
            <w:tcMar>
              <w:top w:w="15" w:type="dxa"/>
              <w:left w:w="15" w:type="dxa"/>
              <w:bottom w:w="0" w:type="dxa"/>
              <w:right w:w="15" w:type="dxa"/>
            </w:tcMar>
            <w:vAlign w:val="bottom"/>
          </w:tcPr>
          <w:p w:rsidR="00013EB8" w:rsidRDefault="000D2EB8" w:rsidP="000D2EB8">
            <w:pPr>
              <w:widowControl w:val="0"/>
              <w:rPr>
                <w:rFonts w:eastAsia="Arial Unicode MS"/>
              </w:rPr>
            </w:pPr>
            <w:r>
              <w:t>7010</w:t>
            </w:r>
          </w:p>
        </w:tc>
      </w:tr>
      <w:tr w:rsidR="00013EB8" w:rsidTr="0032140A">
        <w:trPr>
          <w:trHeight w:val="255"/>
        </w:trPr>
        <w:tc>
          <w:tcPr>
            <w:tcW w:w="8925" w:type="dxa"/>
            <w:noWrap/>
            <w:tcMar>
              <w:top w:w="15" w:type="dxa"/>
              <w:left w:w="15" w:type="dxa"/>
              <w:bottom w:w="0" w:type="dxa"/>
              <w:right w:w="15" w:type="dxa"/>
            </w:tcMar>
            <w:vAlign w:val="bottom"/>
          </w:tcPr>
          <w:p w:rsidR="00601709" w:rsidRDefault="00013EB8">
            <w:pPr>
              <w:widowControl w:val="0"/>
            </w:pPr>
            <w:r>
              <w:t>AV heart block</w:t>
            </w:r>
            <w:r w:rsidR="007627C4">
              <w:t xml:space="preserve"> / AV block / atrioventricular block</w:t>
            </w:r>
            <w:r w:rsidR="00601709">
              <w:t xml:space="preserve">  (see arrhythmias)</w:t>
            </w:r>
          </w:p>
          <w:p w:rsidR="00013EB8" w:rsidRDefault="00601709">
            <w:pPr>
              <w:widowControl w:val="0"/>
            </w:pPr>
            <w:r>
              <w:t>[a type of arrhythmia]</w:t>
            </w:r>
          </w:p>
        </w:tc>
        <w:tc>
          <w:tcPr>
            <w:tcW w:w="1721" w:type="dxa"/>
            <w:noWrap/>
            <w:tcMar>
              <w:top w:w="15" w:type="dxa"/>
              <w:left w:w="15" w:type="dxa"/>
              <w:bottom w:w="0" w:type="dxa"/>
              <w:right w:w="15" w:type="dxa"/>
            </w:tcMar>
            <w:vAlign w:val="bottom"/>
          </w:tcPr>
          <w:p w:rsidR="00013EB8" w:rsidRDefault="00DF3F49">
            <w:pPr>
              <w:widowControl w:val="0"/>
            </w:pPr>
            <w:r>
              <w:t>7015</w:t>
            </w:r>
          </w:p>
        </w:tc>
      </w:tr>
      <w:tr w:rsidR="00013EB8" w:rsidTr="0032140A">
        <w:trPr>
          <w:trHeight w:val="255"/>
        </w:trPr>
        <w:tc>
          <w:tcPr>
            <w:tcW w:w="8925" w:type="dxa"/>
            <w:noWrap/>
            <w:tcMar>
              <w:top w:w="15" w:type="dxa"/>
              <w:left w:w="15" w:type="dxa"/>
              <w:bottom w:w="0" w:type="dxa"/>
              <w:right w:w="15" w:type="dxa"/>
            </w:tcMar>
            <w:vAlign w:val="bottom"/>
          </w:tcPr>
          <w:p w:rsidR="00013EB8" w:rsidRDefault="00B37238">
            <w:pPr>
              <w:widowControl w:val="0"/>
            </w:pPr>
            <w:r>
              <w:t>b</w:t>
            </w:r>
            <w:r w:rsidR="00013EB8">
              <w:t>union</w:t>
            </w:r>
            <w:r>
              <w:t xml:space="preserve"> </w:t>
            </w:r>
            <w:r w:rsidR="00013EB8">
              <w:t>/</w:t>
            </w:r>
            <w:r>
              <w:t xml:space="preserve"> </w:t>
            </w:r>
            <w:r w:rsidR="00013EB8">
              <w:t>hallux valgus</w:t>
            </w:r>
            <w:r w:rsidR="001B3FB8" w:rsidRPr="00C72D15">
              <w:rPr>
                <w:i/>
              </w:rPr>
              <w:t xml:space="preserve"> (can assign separate evals from other feet conds since criteria are distinct)</w:t>
            </w:r>
            <w:r w:rsidR="00E94F62" w:rsidRPr="00C72D15">
              <w:rPr>
                <w:i/>
              </w:rPr>
              <w:t xml:space="preserve"> (do each foot separately)</w:t>
            </w:r>
          </w:p>
          <w:p w:rsidR="00B56E92" w:rsidRDefault="00B56E92" w:rsidP="00C67BA0">
            <w:pPr>
              <w:widowControl w:val="0"/>
            </w:pPr>
            <w:r>
              <w:t xml:space="preserve">Rating Note:  </w:t>
            </w:r>
            <w:r w:rsidR="00C67BA0">
              <w:t>Policy was</w:t>
            </w:r>
            <w:r w:rsidRPr="00B56E92">
              <w:t xml:space="preserve"> </w:t>
            </w:r>
            <w:r w:rsidR="00C67BA0">
              <w:t>clarified, around 2015,</w:t>
            </w:r>
            <w:r w:rsidRPr="00B56E92">
              <w:t xml:space="preserve"> that we should assign sep</w:t>
            </w:r>
            <w:r>
              <w:t>arate evaluations (from other foo</w:t>
            </w:r>
            <w:r w:rsidRPr="00B56E92">
              <w:t>t conditions) for hallux valgus since the criteria are d</w:t>
            </w:r>
            <w:r w:rsidR="00C72D15">
              <w:t>istinct, and we should evaluate</w:t>
            </w:r>
            <w:r w:rsidRPr="00B56E92">
              <w:t xml:space="preserve"> each foot separately.</w:t>
            </w:r>
          </w:p>
        </w:tc>
        <w:tc>
          <w:tcPr>
            <w:tcW w:w="1721" w:type="dxa"/>
            <w:noWrap/>
            <w:tcMar>
              <w:top w:w="15" w:type="dxa"/>
              <w:left w:w="15" w:type="dxa"/>
              <w:bottom w:w="0" w:type="dxa"/>
              <w:right w:w="15" w:type="dxa"/>
            </w:tcMar>
            <w:vAlign w:val="bottom"/>
          </w:tcPr>
          <w:p w:rsidR="00013EB8" w:rsidRDefault="00013EB8">
            <w:pPr>
              <w:widowControl w:val="0"/>
            </w:pPr>
            <w:r>
              <w:t>5280</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calcaneal spur</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5284</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carpal tunnel syndrome</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8515/8615/8715</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pStyle w:val="Header"/>
              <w:widowControl w:val="0"/>
              <w:tabs>
                <w:tab w:val="clear" w:pos="4320"/>
                <w:tab w:val="clear" w:pos="8640"/>
              </w:tabs>
              <w:rPr>
                <w:rFonts w:eastAsia="Arial Unicode MS"/>
              </w:rPr>
            </w:pPr>
            <w:r>
              <w:t>chlamydia</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7599-7504</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pStyle w:val="Header"/>
              <w:widowControl w:val="0"/>
              <w:tabs>
                <w:tab w:val="clear" w:pos="4320"/>
                <w:tab w:val="clear" w:pos="8640"/>
              </w:tabs>
            </w:pPr>
            <w:r>
              <w:t>chondromalacia patella (CMP)</w:t>
            </w:r>
          </w:p>
          <w:p w:rsidR="004F6AEA" w:rsidRPr="004F6AEA" w:rsidRDefault="00D571C5" w:rsidP="00F063AF">
            <w:pPr>
              <w:pStyle w:val="ListParagraph"/>
              <w:numPr>
                <w:ilvl w:val="0"/>
                <w:numId w:val="201"/>
              </w:numPr>
              <w:spacing w:after="0" w:line="240" w:lineRule="auto"/>
              <w:ind w:left="360"/>
              <w:rPr>
                <w:rFonts w:eastAsia="Arial Unicode MS"/>
              </w:rPr>
            </w:pPr>
            <w:hyperlink r:id="rId354" w:history="1">
              <w:r w:rsidR="004F6AEA" w:rsidRPr="004F6AEA">
                <w:rPr>
                  <w:rStyle w:val="Hyperlink"/>
                  <w:rFonts w:ascii="Arial" w:hAnsi="Arial"/>
                  <w:b/>
                  <w:i/>
                  <w:sz w:val="20"/>
                  <w:szCs w:val="20"/>
                </w:rPr>
                <w:t xml:space="preserve">November 2014 Rating </w:t>
              </w:r>
              <w:r w:rsidR="00FF4E63">
                <w:rPr>
                  <w:rStyle w:val="Hyperlink"/>
                  <w:rFonts w:ascii="Arial" w:hAnsi="Arial"/>
                  <w:b/>
                  <w:i/>
                  <w:sz w:val="20"/>
                  <w:szCs w:val="20"/>
                </w:rPr>
                <w:t>Quality Call Notes</w:t>
              </w:r>
            </w:hyperlink>
            <w:r w:rsidR="004F6AEA" w:rsidRPr="004F6AEA">
              <w:rPr>
                <w:rFonts w:ascii="Arial" w:hAnsi="Arial"/>
                <w:sz w:val="20"/>
                <w:szCs w:val="20"/>
              </w:rPr>
              <w:t xml:space="preserve"> – Chondromalacia patella should not be rated analogous to osteomalacia, nor recognized as a chronic disease subject to presumptive service connection under 38 CFR 3.309(a).  Chondromalacia patella should be rated under the appropriate diagnostic code for a knee disability, which, in most cases, would be diagnostic codes 5257, 5260, or 5261, per </w:t>
            </w:r>
            <w:hyperlink r:id="rId355" w:history="1">
              <w:r w:rsidR="004F6AEA" w:rsidRPr="004F6AEA">
                <w:rPr>
                  <w:rStyle w:val="Hyperlink"/>
                  <w:rFonts w:ascii="Arial" w:hAnsi="Arial"/>
                  <w:sz w:val="20"/>
                  <w:szCs w:val="20"/>
                </w:rPr>
                <w:t>April 2011 CS Bulletin</w:t>
              </w:r>
            </w:hyperlink>
            <w:r w:rsidR="004F6AEA" w:rsidRPr="004F6AEA">
              <w:rPr>
                <w:rFonts w:ascii="Arial" w:hAnsi="Arial"/>
                <w:sz w:val="20"/>
                <w:szCs w:val="20"/>
              </w:rPr>
              <w:t>.</w:t>
            </w:r>
          </w:p>
        </w:tc>
        <w:tc>
          <w:tcPr>
            <w:tcW w:w="1721" w:type="dxa"/>
            <w:noWrap/>
            <w:tcMar>
              <w:top w:w="15" w:type="dxa"/>
              <w:left w:w="15" w:type="dxa"/>
              <w:bottom w:w="0" w:type="dxa"/>
              <w:right w:w="15" w:type="dxa"/>
            </w:tcMar>
            <w:vAlign w:val="bottom"/>
          </w:tcPr>
          <w:p w:rsidR="00013EB8" w:rsidRDefault="002F66E2">
            <w:pPr>
              <w:widowControl w:val="0"/>
              <w:rPr>
                <w:rFonts w:eastAsia="Arial Unicode MS"/>
              </w:rPr>
            </w:pPr>
            <w:r w:rsidRPr="004F6AEA">
              <w:t>5257, 5260, or 5261</w:t>
            </w:r>
          </w:p>
        </w:tc>
      </w:tr>
      <w:tr w:rsidR="0079086A" w:rsidTr="0032140A">
        <w:trPr>
          <w:trHeight w:val="255"/>
        </w:trPr>
        <w:tc>
          <w:tcPr>
            <w:tcW w:w="8925" w:type="dxa"/>
            <w:noWrap/>
            <w:tcMar>
              <w:top w:w="15" w:type="dxa"/>
              <w:left w:w="15" w:type="dxa"/>
              <w:bottom w:w="0" w:type="dxa"/>
              <w:right w:w="15" w:type="dxa"/>
            </w:tcMar>
            <w:vAlign w:val="bottom"/>
          </w:tcPr>
          <w:p w:rsidR="0079086A" w:rsidRDefault="0079086A">
            <w:pPr>
              <w:widowControl w:val="0"/>
            </w:pPr>
            <w:r>
              <w:t xml:space="preserve">chronic diarrhea </w:t>
            </w:r>
          </w:p>
          <w:p w:rsidR="00965E59" w:rsidRPr="00965E59" w:rsidRDefault="00D571C5" w:rsidP="00965E59">
            <w:pPr>
              <w:widowControl w:val="0"/>
              <w:tabs>
                <w:tab w:val="left" w:pos="475"/>
              </w:tabs>
              <w:spacing w:after="120"/>
              <w:rPr>
                <w:rFonts w:ascii="Calibri" w:hAnsi="Calibri"/>
                <w:color w:val="000000"/>
                <w:sz w:val="22"/>
                <w:szCs w:val="22"/>
              </w:rPr>
            </w:pPr>
            <w:hyperlink r:id="rId356" w:history="1">
              <w:r w:rsidR="00965E59" w:rsidRPr="00965E59">
                <w:rPr>
                  <w:rStyle w:val="Hyperlink"/>
                  <w:rFonts w:asciiTheme="minorHAnsi" w:hAnsiTheme="minorHAnsi"/>
                  <w:b/>
                  <w:i/>
                  <w:sz w:val="24"/>
                  <w:szCs w:val="24"/>
                </w:rPr>
                <w:t>7/11/14 DBQ Call</w:t>
              </w:r>
            </w:hyperlink>
            <w:r w:rsidR="00965E59" w:rsidRPr="00965E59">
              <w:rPr>
                <w:rFonts w:asciiTheme="minorHAnsi" w:hAnsiTheme="minorHAnsi"/>
                <w:b/>
                <w:sz w:val="24"/>
                <w:szCs w:val="24"/>
              </w:rPr>
              <w:t xml:space="preserve"> – </w:t>
            </w:r>
            <w:r w:rsidR="00965E59">
              <w:rPr>
                <w:rFonts w:asciiTheme="minorHAnsi" w:hAnsiTheme="minorHAnsi"/>
                <w:sz w:val="24"/>
                <w:szCs w:val="24"/>
              </w:rPr>
              <w:t>c</w:t>
            </w:r>
            <w:r w:rsidR="00965E59" w:rsidRPr="00965E59">
              <w:rPr>
                <w:rFonts w:asciiTheme="minorHAnsi" w:hAnsiTheme="minorHAnsi"/>
                <w:sz w:val="24"/>
                <w:szCs w:val="24"/>
              </w:rPr>
              <w:t>hronic diarrhea and chronic constipation are only listed as diagnoses so that the examiner can enter a diagnosis and complete the DBQ, otherwise if there is no diagnosis most of the DBQ is disabled and can’t be answered.</w:t>
            </w:r>
          </w:p>
        </w:tc>
        <w:tc>
          <w:tcPr>
            <w:tcW w:w="1721" w:type="dxa"/>
            <w:noWrap/>
            <w:tcMar>
              <w:top w:w="15" w:type="dxa"/>
              <w:left w:w="15" w:type="dxa"/>
              <w:bottom w:w="0" w:type="dxa"/>
              <w:right w:w="15" w:type="dxa"/>
            </w:tcMar>
            <w:vAlign w:val="bottom"/>
          </w:tcPr>
          <w:p w:rsidR="0079086A" w:rsidRDefault="0079086A">
            <w:pPr>
              <w:widowControl w:val="0"/>
            </w:pPr>
            <w:r>
              <w:t>7399-7319</w:t>
            </w:r>
          </w:p>
        </w:tc>
      </w:tr>
      <w:tr w:rsidR="00013EB8" w:rsidTr="0032140A">
        <w:trPr>
          <w:trHeight w:val="255"/>
        </w:trPr>
        <w:tc>
          <w:tcPr>
            <w:tcW w:w="8925" w:type="dxa"/>
            <w:noWrap/>
            <w:tcMar>
              <w:top w:w="15" w:type="dxa"/>
              <w:left w:w="15" w:type="dxa"/>
              <w:bottom w:w="0" w:type="dxa"/>
              <w:right w:w="15" w:type="dxa"/>
            </w:tcMar>
            <w:vAlign w:val="bottom"/>
          </w:tcPr>
          <w:p w:rsidR="008452D4" w:rsidRDefault="008452D4">
            <w:pPr>
              <w:widowControl w:val="0"/>
            </w:pPr>
            <w:r>
              <w:t xml:space="preserve">costochondritis </w:t>
            </w:r>
          </w:p>
          <w:p w:rsidR="00013EB8" w:rsidRDefault="00013EB8">
            <w:pPr>
              <w:widowControl w:val="0"/>
              <w:rPr>
                <w:bCs/>
                <w:iCs/>
              </w:rPr>
            </w:pPr>
            <w:r>
              <w:rPr>
                <w:b/>
                <w:bCs/>
                <w:i/>
                <w:iCs/>
              </w:rPr>
              <w:t>May</w:t>
            </w:r>
            <w:r>
              <w:rPr>
                <w:b/>
                <w:i/>
              </w:rPr>
              <w:t xml:space="preserve"> 2012 QRT Q&amp;A Session</w:t>
            </w:r>
            <w:r w:rsidR="008452D4">
              <w:t xml:space="preserve"> said 5297-5021</w:t>
            </w:r>
            <w:r>
              <w:rPr>
                <w:bCs/>
                <w:iCs/>
              </w:rPr>
              <w:t xml:space="preserve"> </w:t>
            </w:r>
          </w:p>
          <w:p w:rsidR="00013EB8" w:rsidRDefault="00013EB8">
            <w:pPr>
              <w:widowControl w:val="0"/>
            </w:pPr>
          </w:p>
          <w:p w:rsidR="003A02AF" w:rsidRDefault="008452D4" w:rsidP="00B264A2">
            <w:pPr>
              <w:widowControl w:val="0"/>
              <w:rPr>
                <w:i/>
              </w:rPr>
            </w:pPr>
            <w:r>
              <w:t xml:space="preserve">in September 2013, </w:t>
            </w:r>
            <w:r w:rsidR="003A02AF" w:rsidRPr="008452D4">
              <w:rPr>
                <w:b/>
                <w:i/>
              </w:rPr>
              <w:t>Larry Townsend</w:t>
            </w:r>
            <w:r w:rsidR="003A02AF">
              <w:t xml:space="preserve"> said 5299-5321</w:t>
            </w:r>
            <w:r w:rsidR="00A86032">
              <w:t xml:space="preserve"> &amp;</w:t>
            </w:r>
            <w:r>
              <w:t xml:space="preserve"> muscle DBQ</w:t>
            </w:r>
            <w:r w:rsidR="00EB6604">
              <w:t xml:space="preserve"> </w:t>
            </w:r>
            <w:r w:rsidR="00EB6604" w:rsidRPr="00EB6604">
              <w:rPr>
                <w:i/>
              </w:rPr>
              <w:t>[*in EB</w:t>
            </w:r>
            <w:r w:rsidR="00B264A2">
              <w:rPr>
                <w:i/>
              </w:rPr>
              <w:t xml:space="preserve"> (use </w:t>
            </w:r>
            <w:r w:rsidR="00B264A2" w:rsidRPr="008A3CC4">
              <w:rPr>
                <w:b/>
                <w:i/>
                <w:u w:val="single"/>
              </w:rPr>
              <w:t>VEB</w:t>
            </w:r>
            <w:r w:rsidR="00B264A2">
              <w:rPr>
                <w:i/>
              </w:rPr>
              <w:t>, not LEB)</w:t>
            </w:r>
            <w:r w:rsidR="00EB6604" w:rsidRPr="00EB6604">
              <w:rPr>
                <w:i/>
              </w:rPr>
              <w:t>, choose</w:t>
            </w:r>
            <w:r w:rsidR="000415F0">
              <w:rPr>
                <w:i/>
              </w:rPr>
              <w:t xml:space="preserve"> Musculoskeletal System and </w:t>
            </w:r>
            <w:r w:rsidR="00B264A2">
              <w:rPr>
                <w:i/>
              </w:rPr>
              <w:t>Muscle</w:t>
            </w:r>
            <w:r w:rsidR="000415F0">
              <w:rPr>
                <w:i/>
              </w:rPr>
              <w:t xml:space="preserve"> Injuries</w:t>
            </w:r>
            <w:r w:rsidR="00B264A2">
              <w:rPr>
                <w:i/>
              </w:rPr>
              <w:t>, then Anatomical Region, then</w:t>
            </w:r>
            <w:r w:rsidR="00EB6604" w:rsidRPr="00EB6604">
              <w:rPr>
                <w:i/>
              </w:rPr>
              <w:t xml:space="preserve"> Torso &amp; Neck, usually select no symptoms</w:t>
            </w:r>
            <w:r w:rsidR="00B264A2">
              <w:rPr>
                <w:i/>
              </w:rPr>
              <w:t>, then</w:t>
            </w:r>
            <w:r w:rsidR="00485466">
              <w:rPr>
                <w:i/>
              </w:rPr>
              <w:t xml:space="preserve"> (on diff page than no sx)</w:t>
            </w:r>
            <w:r w:rsidR="00B264A2">
              <w:rPr>
                <w:i/>
              </w:rPr>
              <w:t xml:space="preserve"> select XXI</w:t>
            </w:r>
            <w:r w:rsidR="00EB6604" w:rsidRPr="00EB6604">
              <w:rPr>
                <w:i/>
              </w:rPr>
              <w:t>]</w:t>
            </w:r>
          </w:p>
          <w:p w:rsidR="001A77CB" w:rsidRDefault="001A77CB" w:rsidP="00B264A2">
            <w:pPr>
              <w:widowControl w:val="0"/>
              <w:rPr>
                <w:i/>
              </w:rPr>
            </w:pPr>
          </w:p>
          <w:p w:rsidR="001A77CB" w:rsidRDefault="00D571C5" w:rsidP="00B264A2">
            <w:pPr>
              <w:widowControl w:val="0"/>
              <w:rPr>
                <w:rFonts w:eastAsia="Arial Unicode MS"/>
                <w:bCs/>
                <w:iCs/>
              </w:rPr>
            </w:pPr>
            <w:hyperlink r:id="rId357" w:history="1">
              <w:r w:rsidR="001A77CB">
                <w:rPr>
                  <w:rStyle w:val="Hyperlink"/>
                  <w:b/>
                  <w:bCs/>
                  <w:i/>
                  <w:iCs/>
                </w:rPr>
                <w:t>Index of DBQ/Exams by Disability</w:t>
              </w:r>
            </w:hyperlink>
            <w:r w:rsidR="001A77CB">
              <w:rPr>
                <w:b/>
                <w:bCs/>
                <w:i/>
                <w:iCs/>
              </w:rPr>
              <w:t xml:space="preserve"> </w:t>
            </w:r>
            <w:r w:rsidR="001A77CB">
              <w:t>shows 5399-5297</w:t>
            </w:r>
          </w:p>
        </w:tc>
        <w:tc>
          <w:tcPr>
            <w:tcW w:w="1721" w:type="dxa"/>
            <w:noWrap/>
            <w:tcMar>
              <w:top w:w="15" w:type="dxa"/>
              <w:left w:w="15" w:type="dxa"/>
              <w:bottom w:w="0" w:type="dxa"/>
              <w:right w:w="15" w:type="dxa"/>
            </w:tcMar>
            <w:vAlign w:val="bottom"/>
          </w:tcPr>
          <w:p w:rsidR="00013EB8" w:rsidRDefault="008452D4">
            <w:pPr>
              <w:widowControl w:val="0"/>
              <w:rPr>
                <w:rFonts w:eastAsia="Arial Unicode MS"/>
              </w:rPr>
            </w:pPr>
            <w:r>
              <w:t>5299-5321</w:t>
            </w:r>
            <w:r w:rsidR="001A77CB">
              <w:t xml:space="preserve"> or 5399-5297</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Crohn's disease</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7399-7323</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diabetic neuropathy (lower extremities)</w:t>
            </w:r>
            <w:r w:rsidR="000A7ACD">
              <w:t>, per DBQ</w:t>
            </w:r>
          </w:p>
          <w:p w:rsidR="00E424B4" w:rsidRDefault="00E424B4">
            <w:pPr>
              <w:widowControl w:val="0"/>
            </w:pPr>
          </w:p>
          <w:p w:rsidR="00E424B4" w:rsidRPr="00E424B4" w:rsidRDefault="00E424B4" w:rsidP="00770997">
            <w:pPr>
              <w:widowControl w:val="0"/>
              <w:ind w:right="540"/>
            </w:pPr>
            <w:r>
              <w:t>*</w:t>
            </w:r>
            <w:r w:rsidR="00526485">
              <w:rPr>
                <w:b/>
              </w:rPr>
              <w:t>III.iv.4.N</w:t>
            </w:r>
            <w:r w:rsidRPr="00E424B4">
              <w:rPr>
                <w:b/>
              </w:rPr>
              <w:t>.4.e</w:t>
            </w:r>
            <w:r>
              <w:t xml:space="preserve"> says use </w:t>
            </w:r>
            <w:r w:rsidRPr="00E424B4">
              <w:rPr>
                <w:b/>
                <w:highlight w:val="green"/>
              </w:rPr>
              <w:t>8521</w:t>
            </w:r>
            <w:r>
              <w:t xml:space="preserve"> if examiner is unable to specify the affected nerve(s) &amp; there is no other evidence adequately documenting the affected nerve</w:t>
            </w:r>
          </w:p>
        </w:tc>
        <w:tc>
          <w:tcPr>
            <w:tcW w:w="1721" w:type="dxa"/>
            <w:noWrap/>
            <w:tcMar>
              <w:top w:w="15" w:type="dxa"/>
              <w:left w:w="15" w:type="dxa"/>
              <w:bottom w:w="0" w:type="dxa"/>
              <w:right w:w="15" w:type="dxa"/>
            </w:tcMar>
            <w:vAlign w:val="bottom"/>
          </w:tcPr>
          <w:p w:rsidR="00013EB8" w:rsidRDefault="000A7ACD">
            <w:pPr>
              <w:widowControl w:val="0"/>
              <w:rPr>
                <w:rFonts w:eastAsia="Arial Unicode MS"/>
              </w:rPr>
            </w:pPr>
            <w:r>
              <w:t>sciatic (8520/8620/8720), anterior crural/femoral (8526/8626/8726)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diabetic neuropathy (upper extremities)</w:t>
            </w:r>
            <w:r w:rsidR="000A7ACD">
              <w:t>, per DBQ</w:t>
            </w:r>
          </w:p>
          <w:p w:rsidR="00E424B4" w:rsidRDefault="00E424B4">
            <w:pPr>
              <w:widowControl w:val="0"/>
            </w:pPr>
          </w:p>
          <w:p w:rsidR="00E424B4" w:rsidRDefault="00E424B4" w:rsidP="00770997">
            <w:pPr>
              <w:widowControl w:val="0"/>
              <w:ind w:right="540"/>
            </w:pPr>
            <w:r>
              <w:t>*</w:t>
            </w:r>
            <w:r w:rsidR="00526485">
              <w:rPr>
                <w:b/>
              </w:rPr>
              <w:t>III.iv.4.N</w:t>
            </w:r>
            <w:r w:rsidRPr="00E424B4">
              <w:rPr>
                <w:b/>
              </w:rPr>
              <w:t>.4.e</w:t>
            </w:r>
            <w:r>
              <w:t xml:space="preserve"> says use </w:t>
            </w:r>
            <w:r w:rsidRPr="00E424B4">
              <w:rPr>
                <w:b/>
                <w:highlight w:val="green"/>
              </w:rPr>
              <w:t>8514</w:t>
            </w:r>
            <w:r>
              <w:t xml:space="preserve"> if examiner is unable to specify the affected nerve(s) &amp; there is no other evidence adequately documenting the affected nerve</w:t>
            </w:r>
          </w:p>
        </w:tc>
        <w:tc>
          <w:tcPr>
            <w:tcW w:w="1721" w:type="dxa"/>
            <w:noWrap/>
            <w:tcMar>
              <w:top w:w="15" w:type="dxa"/>
              <w:left w:w="15" w:type="dxa"/>
              <w:bottom w:w="0" w:type="dxa"/>
              <w:right w:w="15" w:type="dxa"/>
            </w:tcMar>
            <w:vAlign w:val="bottom"/>
          </w:tcPr>
          <w:p w:rsidR="00013EB8" w:rsidRDefault="000A7ACD">
            <w:pPr>
              <w:widowControl w:val="0"/>
            </w:pPr>
            <w:r>
              <w:t>musculospiral (radial) (</w:t>
            </w:r>
            <w:r w:rsidRPr="00E424B4">
              <w:rPr>
                <w:b/>
                <w:highlight w:val="green"/>
              </w:rPr>
              <w:t>8514</w:t>
            </w:r>
            <w:r>
              <w:t>/8614/8714), median (8515/8615/8715), ulnar (8516/8616/8716)</w:t>
            </w:r>
          </w:p>
        </w:tc>
      </w:tr>
      <w:tr w:rsidR="00013EB8" w:rsidTr="0032140A">
        <w:trPr>
          <w:trHeight w:val="255"/>
        </w:trPr>
        <w:tc>
          <w:tcPr>
            <w:tcW w:w="8925" w:type="dxa"/>
            <w:noWrap/>
            <w:tcMar>
              <w:top w:w="15" w:type="dxa"/>
              <w:left w:w="15" w:type="dxa"/>
              <w:bottom w:w="0" w:type="dxa"/>
              <w:right w:w="15" w:type="dxa"/>
            </w:tcMar>
            <w:vAlign w:val="bottom"/>
          </w:tcPr>
          <w:p w:rsidR="00F3787F" w:rsidRDefault="00F3787F" w:rsidP="00B061E6">
            <w:pPr>
              <w:tabs>
                <w:tab w:val="left" w:pos="330"/>
              </w:tabs>
              <w:spacing w:after="120"/>
            </w:pPr>
            <w:r>
              <w:t xml:space="preserve">dry eye syndrome </w:t>
            </w:r>
          </w:p>
          <w:p w:rsidR="00F3787F" w:rsidRPr="00F3787F" w:rsidRDefault="00013EB8" w:rsidP="00F063AF">
            <w:pPr>
              <w:pStyle w:val="ListParagraph"/>
              <w:numPr>
                <w:ilvl w:val="0"/>
                <w:numId w:val="256"/>
              </w:numPr>
              <w:tabs>
                <w:tab w:val="left" w:pos="330"/>
              </w:tabs>
              <w:spacing w:after="120"/>
              <w:ind w:left="360"/>
              <w:rPr>
                <w:rFonts w:ascii="Arial" w:hAnsi="Arial"/>
                <w:bCs/>
                <w:iCs/>
                <w:sz w:val="20"/>
                <w:szCs w:val="20"/>
              </w:rPr>
            </w:pPr>
            <w:r w:rsidRPr="00F3787F">
              <w:rPr>
                <w:rFonts w:ascii="Arial" w:hAnsi="Arial"/>
                <w:b/>
                <w:i/>
                <w:sz w:val="20"/>
                <w:szCs w:val="20"/>
                <w:u w:val="single"/>
              </w:rPr>
              <w:t>July 2012 QRT Q&amp;A Session</w:t>
            </w:r>
            <w:r w:rsidR="00F3787F" w:rsidRPr="00F3787F">
              <w:rPr>
                <w:rFonts w:ascii="Arial" w:hAnsi="Arial"/>
                <w:bCs/>
                <w:iCs/>
                <w:sz w:val="20"/>
                <w:szCs w:val="20"/>
              </w:rPr>
              <w:t xml:space="preserve">  - this is a disability</w:t>
            </w:r>
          </w:p>
          <w:p w:rsidR="00F3787F" w:rsidRPr="00F3787F" w:rsidRDefault="00D571C5" w:rsidP="00F063AF">
            <w:pPr>
              <w:pStyle w:val="ListParagraph"/>
              <w:numPr>
                <w:ilvl w:val="0"/>
                <w:numId w:val="256"/>
              </w:numPr>
              <w:tabs>
                <w:tab w:val="left" w:pos="330"/>
              </w:tabs>
              <w:spacing w:after="120"/>
              <w:ind w:left="360"/>
              <w:rPr>
                <w:rStyle w:val="Hyperlink"/>
                <w:rFonts w:ascii="Arial" w:hAnsi="Arial"/>
                <w:b/>
                <w:i/>
                <w:sz w:val="20"/>
                <w:szCs w:val="20"/>
              </w:rPr>
            </w:pPr>
            <w:hyperlink r:id="rId358" w:history="1">
              <w:r w:rsidR="00013EB8" w:rsidRPr="00F3787F">
                <w:rPr>
                  <w:rStyle w:val="Hyperlink"/>
                  <w:rFonts w:ascii="Arial" w:hAnsi="Arial"/>
                  <w:b/>
                  <w:bCs/>
                  <w:i/>
                  <w:iCs/>
                  <w:sz w:val="20"/>
                  <w:szCs w:val="20"/>
                </w:rPr>
                <w:t>QRT Bulletin September/October 2012</w:t>
              </w:r>
            </w:hyperlink>
            <w:r w:rsidR="00013EB8" w:rsidRPr="00F3787F">
              <w:rPr>
                <w:rFonts w:ascii="Arial" w:hAnsi="Arial"/>
                <w:sz w:val="20"/>
                <w:szCs w:val="20"/>
              </w:rPr>
              <w:t xml:space="preserve"> </w:t>
            </w:r>
            <w:r w:rsidR="00013EB8" w:rsidRPr="00F3787F">
              <w:rPr>
                <w:rFonts w:ascii="Arial" w:hAnsi="Arial"/>
                <w:bCs/>
                <w:iCs/>
                <w:sz w:val="20"/>
                <w:szCs w:val="20"/>
              </w:rPr>
              <w:t>- this is a disability unless it’s a residual of LASIK or other refractive surgery where is it an “expecte</w:t>
            </w:r>
            <w:r w:rsidR="00453F5B" w:rsidRPr="00F3787F">
              <w:rPr>
                <w:rFonts w:ascii="Arial" w:hAnsi="Arial"/>
                <w:bCs/>
                <w:iCs/>
                <w:sz w:val="20"/>
                <w:szCs w:val="20"/>
              </w:rPr>
              <w:t>d outcome” and should be denied)</w:t>
            </w:r>
            <w:r w:rsidR="00F049B4" w:rsidRPr="00F3787F">
              <w:rPr>
                <w:rFonts w:ascii="Arial" w:hAnsi="Arial"/>
                <w:bCs/>
                <w:iCs/>
                <w:sz w:val="20"/>
                <w:szCs w:val="20"/>
              </w:rPr>
              <w:t xml:space="preserve">, confirmed by </w:t>
            </w:r>
            <w:hyperlink r:id="rId359" w:history="1">
              <w:r w:rsidR="00F049B4" w:rsidRPr="00F3787F">
                <w:rPr>
                  <w:rStyle w:val="Hyperlink"/>
                  <w:rFonts w:ascii="Arial" w:hAnsi="Arial"/>
                  <w:b/>
                  <w:i/>
                  <w:sz w:val="20"/>
                  <w:szCs w:val="20"/>
                </w:rPr>
                <w:t xml:space="preserve">October 2014 Rating </w:t>
              </w:r>
              <w:r w:rsidR="00FF4E63" w:rsidRPr="00F3787F">
                <w:rPr>
                  <w:rStyle w:val="Hyperlink"/>
                  <w:rFonts w:ascii="Arial" w:hAnsi="Arial"/>
                  <w:b/>
                  <w:i/>
                  <w:sz w:val="20"/>
                  <w:szCs w:val="20"/>
                </w:rPr>
                <w:t>Quality Call Notes</w:t>
              </w:r>
            </w:hyperlink>
            <w:r w:rsidR="00B640BF">
              <w:rPr>
                <w:rStyle w:val="Hyperlink"/>
                <w:rFonts w:ascii="Arial" w:hAnsi="Arial"/>
                <w:sz w:val="20"/>
                <w:szCs w:val="20"/>
                <w:u w:val="none"/>
              </w:rPr>
              <w:t xml:space="preserve"> </w:t>
            </w:r>
            <w:r w:rsidR="00B640BF" w:rsidRPr="000E2E8C">
              <w:rPr>
                <w:rStyle w:val="Hyperlink"/>
                <w:rFonts w:ascii="Arial" w:hAnsi="Arial"/>
                <w:color w:val="auto"/>
                <w:sz w:val="20"/>
                <w:szCs w:val="20"/>
                <w:u w:val="none"/>
              </w:rPr>
              <w:t xml:space="preserve">&amp; </w:t>
            </w:r>
            <w:r w:rsidR="00B640BF" w:rsidRPr="000E2E8C">
              <w:rPr>
                <w:rStyle w:val="Hyperlink"/>
                <w:rFonts w:ascii="Arial" w:hAnsi="Arial"/>
                <w:b/>
                <w:color w:val="auto"/>
                <w:sz w:val="20"/>
                <w:szCs w:val="20"/>
                <w:u w:val="none"/>
              </w:rPr>
              <w:t>III.iv.4.</w:t>
            </w:r>
            <w:r w:rsidR="000E2E8C" w:rsidRPr="000E2E8C">
              <w:rPr>
                <w:rStyle w:val="Hyperlink"/>
                <w:rFonts w:ascii="Arial" w:hAnsi="Arial"/>
                <w:b/>
                <w:color w:val="auto"/>
                <w:sz w:val="20"/>
                <w:szCs w:val="20"/>
                <w:u w:val="none"/>
              </w:rPr>
              <w:t>C.3.d</w:t>
            </w:r>
          </w:p>
          <w:p w:rsidR="00F3787F" w:rsidRPr="00F3787F" w:rsidRDefault="00F3787F" w:rsidP="00F063AF">
            <w:pPr>
              <w:pStyle w:val="ListParagraph"/>
              <w:widowControl w:val="0"/>
              <w:numPr>
                <w:ilvl w:val="0"/>
                <w:numId w:val="256"/>
              </w:numPr>
              <w:spacing w:after="120"/>
              <w:ind w:left="360"/>
              <w:rPr>
                <w:rFonts w:ascii="Arial" w:hAnsi="Arial"/>
                <w:sz w:val="20"/>
                <w:szCs w:val="20"/>
              </w:rPr>
            </w:pPr>
            <w:r w:rsidRPr="00000E48">
              <w:rPr>
                <w:rFonts w:ascii="Arial" w:hAnsi="Arial"/>
                <w:b/>
                <w:bCs/>
                <w:i/>
                <w:iCs/>
                <w:sz w:val="20"/>
                <w:szCs w:val="20"/>
              </w:rPr>
              <w:t>June 2013 Compensation Service Bulletin (CSB)</w:t>
            </w:r>
            <w:r w:rsidRPr="00F3787F">
              <w:rPr>
                <w:rFonts w:ascii="Arial" w:hAnsi="Arial"/>
                <w:sz w:val="20"/>
                <w:szCs w:val="20"/>
              </w:rPr>
              <w:t xml:space="preserve"> - 6099-6018 (chronic conjunctivitis, nontrachomatous, inactive 0%, active 10%)</w:t>
            </w:r>
          </w:p>
          <w:p w:rsidR="00F3787F" w:rsidRPr="00F3787F" w:rsidRDefault="00F3787F" w:rsidP="00F063AF">
            <w:pPr>
              <w:pStyle w:val="ListParagraph"/>
              <w:numPr>
                <w:ilvl w:val="0"/>
                <w:numId w:val="256"/>
              </w:numPr>
              <w:tabs>
                <w:tab w:val="left" w:pos="330"/>
              </w:tabs>
              <w:spacing w:after="120"/>
              <w:ind w:left="360"/>
              <w:rPr>
                <w:rFonts w:ascii="Arial" w:hAnsi="Arial"/>
                <w:bCs/>
                <w:iCs/>
                <w:sz w:val="20"/>
                <w:szCs w:val="20"/>
              </w:rPr>
            </w:pPr>
            <w:r w:rsidRPr="00F3787F">
              <w:rPr>
                <w:rFonts w:ascii="Arial" w:hAnsi="Arial"/>
                <w:sz w:val="20"/>
                <w:szCs w:val="20"/>
              </w:rPr>
              <w:t>or 6099-6025 (disorders of the lacrimal apparatus, unilateral 10%, bilateral 20%</w:t>
            </w:r>
          </w:p>
          <w:p w:rsidR="00D9035C" w:rsidRPr="00F3787F" w:rsidRDefault="000F77FD" w:rsidP="00F063AF">
            <w:pPr>
              <w:pStyle w:val="ListParagraph"/>
              <w:numPr>
                <w:ilvl w:val="0"/>
                <w:numId w:val="256"/>
              </w:numPr>
              <w:tabs>
                <w:tab w:val="left" w:pos="330"/>
              </w:tabs>
              <w:spacing w:after="120"/>
              <w:ind w:left="360"/>
              <w:rPr>
                <w:rFonts w:ascii="Arial" w:hAnsi="Arial"/>
                <w:bCs/>
                <w:iCs/>
                <w:sz w:val="20"/>
                <w:szCs w:val="20"/>
              </w:rPr>
            </w:pPr>
            <w:r w:rsidRPr="00F3787F">
              <w:rPr>
                <w:rFonts w:ascii="Arial" w:hAnsi="Arial"/>
                <w:b/>
                <w:i/>
                <w:color w:val="002060"/>
                <w:sz w:val="20"/>
                <w:szCs w:val="20"/>
              </w:rPr>
              <w:t>Rating Vision &amp; Eye Conditions training</w:t>
            </w:r>
            <w:r w:rsidRPr="00F3787F">
              <w:rPr>
                <w:rFonts w:ascii="Arial" w:hAnsi="Arial"/>
                <w:color w:val="002060"/>
                <w:sz w:val="20"/>
                <w:szCs w:val="20"/>
              </w:rPr>
              <w:t xml:space="preserve"> </w:t>
            </w:r>
            <w:r w:rsidRPr="00F3787F">
              <w:rPr>
                <w:rFonts w:ascii="Arial" w:hAnsi="Arial"/>
                <w:i/>
                <w:sz w:val="20"/>
                <w:szCs w:val="20"/>
              </w:rPr>
              <w:t>(video) says disorders of the lacrimal apparatus is commonly referred to as dry eye - 10% or 20% under 6025</w:t>
            </w:r>
          </w:p>
          <w:p w:rsidR="002D709F" w:rsidRPr="00F3787F" w:rsidRDefault="00462D66" w:rsidP="00F063AF">
            <w:pPr>
              <w:pStyle w:val="ListParagraph"/>
              <w:widowControl w:val="0"/>
              <w:numPr>
                <w:ilvl w:val="0"/>
                <w:numId w:val="256"/>
              </w:numPr>
              <w:spacing w:after="120"/>
              <w:ind w:left="360"/>
              <w:rPr>
                <w:rFonts w:ascii="Arial" w:eastAsia="Arial Unicode MS" w:hAnsi="Arial"/>
                <w:bCs/>
                <w:iCs/>
                <w:sz w:val="20"/>
                <w:szCs w:val="20"/>
              </w:rPr>
            </w:pPr>
            <w:r w:rsidRPr="00F3787F">
              <w:rPr>
                <w:rFonts w:ascii="Arial" w:eastAsia="Arial Unicode MS" w:hAnsi="Arial"/>
                <w:bCs/>
                <w:iCs/>
                <w:sz w:val="20"/>
                <w:szCs w:val="20"/>
              </w:rPr>
              <w:t>LEB - choose "dry eye syndrome" (gives 6018</w:t>
            </w:r>
            <w:r w:rsidR="0049566F" w:rsidRPr="00F3787F">
              <w:rPr>
                <w:rFonts w:ascii="Arial" w:eastAsia="Arial Unicode MS" w:hAnsi="Arial"/>
                <w:bCs/>
                <w:iCs/>
                <w:sz w:val="20"/>
                <w:szCs w:val="20"/>
              </w:rPr>
              <w:t xml:space="preserve"> or 6025</w:t>
            </w:r>
            <w:r w:rsidRPr="00F3787F">
              <w:rPr>
                <w:rFonts w:ascii="Arial" w:eastAsia="Arial Unicode MS" w:hAnsi="Arial"/>
                <w:bCs/>
                <w:iCs/>
                <w:sz w:val="20"/>
                <w:szCs w:val="20"/>
              </w:rPr>
              <w:t>)</w:t>
            </w:r>
          </w:p>
          <w:p w:rsidR="002D709F" w:rsidRPr="00F3787F" w:rsidRDefault="002D709F" w:rsidP="00F063AF">
            <w:pPr>
              <w:pStyle w:val="ListParagraph"/>
              <w:widowControl w:val="0"/>
              <w:numPr>
                <w:ilvl w:val="0"/>
                <w:numId w:val="256"/>
              </w:numPr>
              <w:spacing w:after="0" w:line="240" w:lineRule="auto"/>
              <w:ind w:left="360"/>
              <w:rPr>
                <w:rFonts w:eastAsia="Arial Unicode MS"/>
                <w:bCs/>
                <w:iCs/>
              </w:rPr>
            </w:pPr>
            <w:r w:rsidRPr="000E2E8C">
              <w:rPr>
                <w:rFonts w:ascii="Arial" w:eastAsia="Arial Unicode MS" w:hAnsi="Arial"/>
                <w:b/>
                <w:bCs/>
                <w:iCs/>
                <w:sz w:val="20"/>
                <w:szCs w:val="20"/>
              </w:rPr>
              <w:t>III.iv.4.</w:t>
            </w:r>
            <w:r w:rsidR="000E2E8C" w:rsidRPr="000E2E8C">
              <w:rPr>
                <w:rFonts w:ascii="Arial" w:eastAsia="Arial Unicode MS" w:hAnsi="Arial"/>
                <w:b/>
                <w:bCs/>
                <w:iCs/>
                <w:sz w:val="20"/>
                <w:szCs w:val="20"/>
              </w:rPr>
              <w:t>C.3.c</w:t>
            </w:r>
            <w:r w:rsidRPr="00F3787F">
              <w:rPr>
                <w:rFonts w:ascii="Arial" w:eastAsia="Arial Unicode MS" w:hAnsi="Arial"/>
                <w:bCs/>
                <w:iCs/>
                <w:sz w:val="20"/>
                <w:szCs w:val="20"/>
              </w:rPr>
              <w:t xml:space="preserve"> - also called keratoconjunctivitis sicca, confirms DCs 6013, 6018 or 6025 depending upon the nature &amp; symptomatology; also says minimal symptomatology only requiring treatment by non-prescription eye drops would typically warrant a 0% evaluation</w:t>
            </w:r>
            <w:r w:rsidR="001D09B0">
              <w:rPr>
                <w:rFonts w:ascii="Arial" w:eastAsia="Arial Unicode MS" w:hAnsi="Arial"/>
                <w:bCs/>
                <w:iCs/>
                <w:sz w:val="20"/>
                <w:szCs w:val="20"/>
              </w:rPr>
              <w:t xml:space="preserve"> </w:t>
            </w:r>
          </w:p>
        </w:tc>
        <w:tc>
          <w:tcPr>
            <w:tcW w:w="1721" w:type="dxa"/>
            <w:noWrap/>
            <w:tcMar>
              <w:top w:w="15" w:type="dxa"/>
              <w:left w:w="15" w:type="dxa"/>
              <w:bottom w:w="0" w:type="dxa"/>
              <w:right w:w="15" w:type="dxa"/>
            </w:tcMar>
            <w:vAlign w:val="bottom"/>
          </w:tcPr>
          <w:p w:rsidR="00232751" w:rsidRDefault="00013EB8" w:rsidP="00E07DBB">
            <w:pPr>
              <w:widowControl w:val="0"/>
            </w:pPr>
            <w:r>
              <w:t>6099-6018</w:t>
            </w:r>
            <w:r w:rsidR="00F3787F">
              <w:t xml:space="preserve"> (usually most appropriate)</w:t>
            </w:r>
          </w:p>
          <w:p w:rsidR="00232751" w:rsidRDefault="00232751" w:rsidP="00E07DBB">
            <w:pPr>
              <w:widowControl w:val="0"/>
            </w:pPr>
          </w:p>
          <w:p w:rsidR="00232751" w:rsidRPr="00D9035C" w:rsidRDefault="00232751" w:rsidP="00E07DBB">
            <w:pPr>
              <w:widowControl w:val="0"/>
            </w:pPr>
            <w:r>
              <w:t>or 6025-6066 – 0%</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Dupuytren's contracture (if surgically repaired, rate on LOM, 5228/5229/5230)</w:t>
            </w:r>
          </w:p>
          <w:p w:rsidR="00013EB8" w:rsidRDefault="00D571C5">
            <w:pPr>
              <w:widowControl w:val="0"/>
              <w:rPr>
                <w:rFonts w:eastAsia="Arial Unicode MS"/>
              </w:rPr>
            </w:pPr>
            <w:hyperlink r:id="rId360" w:history="1">
              <w:r w:rsidR="00013EB8">
                <w:rPr>
                  <w:rStyle w:val="Hyperlink"/>
                  <w:b/>
                  <w:bCs/>
                  <w:i/>
                  <w:iCs/>
                </w:rPr>
                <w:t>Index of DBQ/Exams by Disability</w:t>
              </w:r>
            </w:hyperlink>
            <w:r w:rsidR="00013EB8">
              <w:rPr>
                <w:b/>
                <w:bCs/>
                <w:i/>
                <w:iCs/>
              </w:rPr>
              <w:t xml:space="preserve"> </w:t>
            </w:r>
            <w:r w:rsidR="00013EB8">
              <w:t>shows 5216 to 5230</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5299-5224/5/6/7</w:t>
            </w:r>
          </w:p>
        </w:tc>
      </w:tr>
      <w:tr w:rsidR="00217F4F" w:rsidTr="0032140A">
        <w:trPr>
          <w:trHeight w:val="255"/>
        </w:trPr>
        <w:tc>
          <w:tcPr>
            <w:tcW w:w="8925" w:type="dxa"/>
            <w:noWrap/>
            <w:tcMar>
              <w:top w:w="15" w:type="dxa"/>
              <w:left w:w="15" w:type="dxa"/>
              <w:bottom w:w="0" w:type="dxa"/>
              <w:right w:w="15" w:type="dxa"/>
            </w:tcMar>
            <w:vAlign w:val="bottom"/>
          </w:tcPr>
          <w:p w:rsidR="00217F4F" w:rsidRDefault="00217F4F">
            <w:pPr>
              <w:widowControl w:val="0"/>
            </w:pPr>
            <w:r>
              <w:t>Dysphagia</w:t>
            </w:r>
          </w:p>
        </w:tc>
        <w:tc>
          <w:tcPr>
            <w:tcW w:w="1721" w:type="dxa"/>
            <w:noWrap/>
            <w:tcMar>
              <w:top w:w="15" w:type="dxa"/>
              <w:left w:w="15" w:type="dxa"/>
              <w:bottom w:w="0" w:type="dxa"/>
              <w:right w:w="15" w:type="dxa"/>
            </w:tcMar>
            <w:vAlign w:val="bottom"/>
          </w:tcPr>
          <w:p w:rsidR="00217F4F" w:rsidRDefault="00217F4F">
            <w:pPr>
              <w:widowControl w:val="0"/>
            </w:pPr>
            <w:r>
              <w:t>7203</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essential tremor</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8199-8103</w:t>
            </w:r>
            <w:r w:rsidR="00855DA4">
              <w:t xml:space="preserve"> or 8099-8004</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eustachian tube dysfunction (usually 0%)</w:t>
            </w:r>
          </w:p>
          <w:p w:rsidR="002310CB" w:rsidRDefault="002310CB" w:rsidP="00AE3397">
            <w:pPr>
              <w:widowControl w:val="0"/>
              <w:rPr>
                <w:rFonts w:eastAsia="Arial Unicode MS"/>
              </w:rPr>
            </w:pPr>
            <w:r>
              <w:rPr>
                <w:rFonts w:eastAsia="Arial Unicode MS"/>
              </w:rPr>
              <w:t>Rating Note:  A</w:t>
            </w:r>
            <w:r w:rsidRPr="002310CB">
              <w:rPr>
                <w:rFonts w:eastAsia="Arial Unicode MS"/>
              </w:rPr>
              <w:t xml:space="preserve"> 10% evaluation under 6299-6204 for bilateral eustachian tube</w:t>
            </w:r>
            <w:r>
              <w:rPr>
                <w:rFonts w:eastAsia="Arial Unicode MS"/>
              </w:rPr>
              <w:t xml:space="preserve"> dysfunction is not warranted</w:t>
            </w:r>
            <w:r w:rsidRPr="002310CB">
              <w:rPr>
                <w:rFonts w:eastAsia="Arial Unicode MS"/>
              </w:rPr>
              <w:t xml:space="preserve"> because there are no objective findings supporting a diagnosis of vestibular disequilibrium, which are required for a compensable evaluation.</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6299-6204</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eye injury</w:t>
            </w:r>
          </w:p>
        </w:tc>
        <w:tc>
          <w:tcPr>
            <w:tcW w:w="1721" w:type="dxa"/>
            <w:noWrap/>
            <w:tcMar>
              <w:top w:w="15" w:type="dxa"/>
              <w:left w:w="15" w:type="dxa"/>
              <w:bottom w:w="0" w:type="dxa"/>
              <w:right w:w="15" w:type="dxa"/>
            </w:tcMar>
            <w:vAlign w:val="bottom"/>
          </w:tcPr>
          <w:p w:rsidR="00013EB8" w:rsidRDefault="00013EB8">
            <w:pPr>
              <w:widowControl w:val="0"/>
            </w:pPr>
            <w:r>
              <w:t>6099-6066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ganglion cyst, wrist</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5020-5215</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rsidP="00AC753C">
            <w:pPr>
              <w:widowControl w:val="0"/>
              <w:spacing w:after="120"/>
              <w:rPr>
                <w:i/>
                <w:iCs/>
              </w:rPr>
            </w:pPr>
            <w:r>
              <w:t xml:space="preserve">gastroesophageal reflux disease </w:t>
            </w:r>
            <w:r>
              <w:rPr>
                <w:i/>
                <w:iCs/>
              </w:rPr>
              <w:t>(pyrosis=heartburn)</w:t>
            </w:r>
          </w:p>
          <w:p w:rsidR="00220057" w:rsidRDefault="00D571C5" w:rsidP="00F063AF">
            <w:pPr>
              <w:pStyle w:val="ListParagraph"/>
              <w:widowControl w:val="0"/>
              <w:numPr>
                <w:ilvl w:val="0"/>
                <w:numId w:val="145"/>
              </w:numPr>
              <w:spacing w:after="120"/>
              <w:rPr>
                <w:rFonts w:ascii="Arial" w:hAnsi="Arial"/>
                <w:iCs/>
                <w:sz w:val="20"/>
                <w:szCs w:val="20"/>
              </w:rPr>
            </w:pPr>
            <w:hyperlink r:id="rId361" w:history="1">
              <w:r w:rsidR="00013EB8" w:rsidRPr="00220057">
                <w:rPr>
                  <w:rStyle w:val="Hyperlink"/>
                  <w:rFonts w:ascii="Arial" w:hAnsi="Arial"/>
                  <w:b/>
                  <w:bCs/>
                  <w:i/>
                  <w:iCs/>
                  <w:sz w:val="20"/>
                  <w:szCs w:val="20"/>
                </w:rPr>
                <w:t>Local Narrative Oct 2012</w:t>
              </w:r>
            </w:hyperlink>
            <w:r w:rsidR="00013EB8" w:rsidRPr="00220057">
              <w:rPr>
                <w:rFonts w:ascii="Arial" w:hAnsi="Arial"/>
                <w:b/>
                <w:bCs/>
                <w:i/>
                <w:iCs/>
                <w:sz w:val="20"/>
                <w:szCs w:val="20"/>
              </w:rPr>
              <w:t xml:space="preserve"> </w:t>
            </w:r>
            <w:r w:rsidR="00013EB8" w:rsidRPr="00220057">
              <w:rPr>
                <w:rFonts w:ascii="Arial" w:hAnsi="Arial"/>
                <w:i/>
                <w:iCs/>
                <w:sz w:val="20"/>
                <w:szCs w:val="20"/>
              </w:rPr>
              <w:t xml:space="preserve">says reflux </w:t>
            </w:r>
            <w:r w:rsidR="00BD4DC3" w:rsidRPr="00220057">
              <w:rPr>
                <w:rFonts w:ascii="Arial" w:hAnsi="Arial"/>
                <w:i/>
                <w:iCs/>
                <w:sz w:val="20"/>
                <w:szCs w:val="20"/>
              </w:rPr>
              <w:t>is a term for regurgitation</w:t>
            </w:r>
            <w:r w:rsidR="00220057" w:rsidRPr="00220057">
              <w:rPr>
                <w:rFonts w:ascii="Arial" w:hAnsi="Arial"/>
                <w:i/>
                <w:iCs/>
                <w:sz w:val="20"/>
                <w:szCs w:val="20"/>
              </w:rPr>
              <w:t xml:space="preserve"> </w:t>
            </w:r>
            <w:r w:rsidR="00220057" w:rsidRPr="00220057">
              <w:rPr>
                <w:rFonts w:ascii="Arial" w:hAnsi="Arial"/>
                <w:iCs/>
                <w:sz w:val="20"/>
                <w:szCs w:val="20"/>
              </w:rPr>
              <w:t>[</w:t>
            </w:r>
            <w:r w:rsidR="002C21F3" w:rsidRPr="00220057">
              <w:rPr>
                <w:rFonts w:ascii="Arial" w:hAnsi="Arial"/>
                <w:iCs/>
                <w:sz w:val="20"/>
                <w:szCs w:val="20"/>
              </w:rPr>
              <w:t>aligned with 7346 criteria</w:t>
            </w:r>
            <w:r w:rsidR="002C21F3">
              <w:rPr>
                <w:rFonts w:ascii="Arial" w:hAnsi="Arial"/>
                <w:iCs/>
                <w:sz w:val="20"/>
                <w:szCs w:val="20"/>
              </w:rPr>
              <w:t xml:space="preserve">; </w:t>
            </w:r>
            <w:r w:rsidR="00220057" w:rsidRPr="00220057">
              <w:rPr>
                <w:rFonts w:ascii="Arial" w:hAnsi="Arial"/>
                <w:iCs/>
                <w:sz w:val="20"/>
                <w:szCs w:val="20"/>
              </w:rPr>
              <w:t>contradicts Local Narrative Nov 2012</w:t>
            </w:r>
            <w:r w:rsidR="00220057">
              <w:rPr>
                <w:rFonts w:ascii="Arial" w:hAnsi="Arial"/>
                <w:iCs/>
                <w:sz w:val="20"/>
                <w:szCs w:val="20"/>
              </w:rPr>
              <w:t xml:space="preserve"> and DBQ</w:t>
            </w:r>
            <w:r w:rsidR="00220057" w:rsidRPr="00220057">
              <w:rPr>
                <w:rFonts w:ascii="Arial" w:hAnsi="Arial"/>
                <w:iCs/>
                <w:sz w:val="20"/>
                <w:szCs w:val="20"/>
              </w:rPr>
              <w:t>]</w:t>
            </w:r>
          </w:p>
          <w:p w:rsidR="002C21F3" w:rsidRPr="00220057" w:rsidRDefault="002C21F3" w:rsidP="00F063AF">
            <w:pPr>
              <w:pStyle w:val="ListParagraph"/>
              <w:widowControl w:val="0"/>
              <w:numPr>
                <w:ilvl w:val="0"/>
                <w:numId w:val="145"/>
              </w:numPr>
              <w:spacing w:after="120"/>
              <w:rPr>
                <w:rFonts w:ascii="Arial" w:hAnsi="Arial"/>
                <w:iCs/>
                <w:sz w:val="20"/>
                <w:szCs w:val="20"/>
              </w:rPr>
            </w:pPr>
            <w:r w:rsidRPr="003B7100">
              <w:rPr>
                <w:rFonts w:ascii="Arial" w:hAnsi="Arial"/>
                <w:b/>
                <w:i/>
                <w:iCs/>
                <w:sz w:val="20"/>
                <w:szCs w:val="20"/>
              </w:rPr>
              <w:t xml:space="preserve">7346 </w:t>
            </w:r>
            <w:r w:rsidRPr="003B7100">
              <w:rPr>
                <w:rFonts w:ascii="Arial" w:hAnsi="Arial"/>
                <w:i/>
                <w:iCs/>
                <w:sz w:val="20"/>
                <w:szCs w:val="20"/>
              </w:rPr>
              <w:t>criteria</w:t>
            </w:r>
            <w:r w:rsidRPr="00220057">
              <w:rPr>
                <w:rFonts w:ascii="Arial" w:hAnsi="Arial"/>
                <w:i/>
                <w:iCs/>
                <w:sz w:val="20"/>
                <w:szCs w:val="20"/>
              </w:rPr>
              <w:t xml:space="preserve"> lists dysphagia, pyrosis and regurgitation [not reflux] </w:t>
            </w:r>
            <w:r w:rsidRPr="00220057">
              <w:rPr>
                <w:rFonts w:ascii="Arial" w:hAnsi="Arial"/>
                <w:iCs/>
                <w:sz w:val="20"/>
                <w:szCs w:val="20"/>
              </w:rPr>
              <w:t>[aligned with Local Narrative Oct 2012</w:t>
            </w:r>
            <w:r>
              <w:rPr>
                <w:rFonts w:ascii="Arial" w:hAnsi="Arial"/>
                <w:iCs/>
                <w:sz w:val="20"/>
                <w:szCs w:val="20"/>
              </w:rPr>
              <w:t xml:space="preserve">; </w:t>
            </w:r>
            <w:r w:rsidRPr="00220057">
              <w:rPr>
                <w:rFonts w:ascii="Arial" w:hAnsi="Arial"/>
                <w:iCs/>
                <w:sz w:val="20"/>
                <w:szCs w:val="20"/>
              </w:rPr>
              <w:t>contradicts Local Narrative Nov 2</w:t>
            </w:r>
            <w:r>
              <w:rPr>
                <w:rFonts w:ascii="Arial" w:hAnsi="Arial"/>
                <w:iCs/>
                <w:sz w:val="20"/>
                <w:szCs w:val="20"/>
              </w:rPr>
              <w:t>012</w:t>
            </w:r>
            <w:r w:rsidRPr="00220057">
              <w:rPr>
                <w:rFonts w:ascii="Arial" w:hAnsi="Arial"/>
                <w:iCs/>
                <w:sz w:val="20"/>
                <w:szCs w:val="20"/>
              </w:rPr>
              <w:t>]</w:t>
            </w:r>
          </w:p>
          <w:p w:rsidR="00BD4DC3" w:rsidRPr="00080094" w:rsidRDefault="00D571C5" w:rsidP="00F063AF">
            <w:pPr>
              <w:pStyle w:val="ListParagraph"/>
              <w:widowControl w:val="0"/>
              <w:numPr>
                <w:ilvl w:val="0"/>
                <w:numId w:val="145"/>
              </w:numPr>
              <w:spacing w:after="120"/>
              <w:rPr>
                <w:rFonts w:ascii="Arial" w:hAnsi="Arial"/>
                <w:iCs/>
                <w:sz w:val="20"/>
                <w:szCs w:val="20"/>
              </w:rPr>
            </w:pPr>
            <w:hyperlink r:id="rId362" w:history="1">
              <w:r w:rsidR="00BD4DC3" w:rsidRPr="00220057">
                <w:rPr>
                  <w:rStyle w:val="Hyperlink"/>
                  <w:rFonts w:ascii="Arial" w:hAnsi="Arial"/>
                  <w:b/>
                  <w:bCs/>
                  <w:i/>
                  <w:iCs/>
                  <w:sz w:val="20"/>
                  <w:szCs w:val="20"/>
                </w:rPr>
                <w:t>Local Narrative Nov 2012</w:t>
              </w:r>
            </w:hyperlink>
            <w:r w:rsidR="00BD4DC3" w:rsidRPr="00220057">
              <w:rPr>
                <w:rFonts w:ascii="Arial" w:hAnsi="Arial"/>
                <w:b/>
                <w:bCs/>
                <w:i/>
                <w:iCs/>
                <w:sz w:val="20"/>
                <w:szCs w:val="20"/>
              </w:rPr>
              <w:t xml:space="preserve"> </w:t>
            </w:r>
            <w:r w:rsidR="00BD4DC3" w:rsidRPr="00220057">
              <w:rPr>
                <w:rFonts w:ascii="Arial" w:hAnsi="Arial"/>
                <w:i/>
                <w:iCs/>
                <w:sz w:val="20"/>
                <w:szCs w:val="20"/>
              </w:rPr>
              <w:t>says can choose both reflux and regurgitation to get a 10%</w:t>
            </w:r>
            <w:r w:rsidR="00220057" w:rsidRPr="00220057">
              <w:rPr>
                <w:rFonts w:ascii="Arial" w:hAnsi="Arial"/>
                <w:i/>
                <w:iCs/>
                <w:sz w:val="20"/>
                <w:szCs w:val="20"/>
              </w:rPr>
              <w:t xml:space="preserve"> </w:t>
            </w:r>
            <w:r w:rsidR="00220057" w:rsidRPr="00220057">
              <w:rPr>
                <w:rFonts w:ascii="Arial" w:hAnsi="Arial"/>
                <w:iCs/>
                <w:sz w:val="20"/>
                <w:szCs w:val="20"/>
              </w:rPr>
              <w:t>[</w:t>
            </w:r>
            <w:r w:rsidR="002C21F3" w:rsidRPr="00080094">
              <w:rPr>
                <w:rFonts w:ascii="Arial" w:hAnsi="Arial"/>
                <w:iCs/>
                <w:sz w:val="20"/>
                <w:szCs w:val="20"/>
              </w:rPr>
              <w:t>aligned wi</w:t>
            </w:r>
            <w:r w:rsidR="00DC4619">
              <w:rPr>
                <w:rFonts w:ascii="Arial" w:hAnsi="Arial"/>
                <w:iCs/>
                <w:sz w:val="20"/>
                <w:szCs w:val="20"/>
              </w:rPr>
              <w:t>th the DBQ</w:t>
            </w:r>
            <w:r w:rsidR="002C21F3" w:rsidRPr="00080094">
              <w:rPr>
                <w:rFonts w:ascii="Arial" w:hAnsi="Arial"/>
                <w:iCs/>
                <w:sz w:val="20"/>
                <w:szCs w:val="20"/>
              </w:rPr>
              <w:t xml:space="preserve">; </w:t>
            </w:r>
            <w:r w:rsidR="00220057" w:rsidRPr="00080094">
              <w:rPr>
                <w:rFonts w:ascii="Arial" w:hAnsi="Arial"/>
                <w:iCs/>
                <w:sz w:val="20"/>
                <w:szCs w:val="20"/>
              </w:rPr>
              <w:t>contradicts Local Narrative Oct 2012 and 7346 criteria]</w:t>
            </w:r>
          </w:p>
          <w:p w:rsidR="00BD4DC3" w:rsidRPr="00220057" w:rsidRDefault="00D571C5" w:rsidP="00F063AF">
            <w:pPr>
              <w:pStyle w:val="ListParagraph"/>
              <w:widowControl w:val="0"/>
              <w:numPr>
                <w:ilvl w:val="0"/>
                <w:numId w:val="145"/>
              </w:numPr>
              <w:spacing w:after="120"/>
              <w:rPr>
                <w:rFonts w:ascii="Arial" w:hAnsi="Arial"/>
                <w:iCs/>
                <w:sz w:val="20"/>
                <w:szCs w:val="20"/>
              </w:rPr>
            </w:pPr>
            <w:hyperlink r:id="rId363" w:history="1">
              <w:r w:rsidR="00080094" w:rsidRPr="00080094">
                <w:rPr>
                  <w:rStyle w:val="Hyperlink"/>
                  <w:rFonts w:ascii="Arial" w:hAnsi="Arial"/>
                  <w:b/>
                  <w:i/>
                  <w:iCs/>
                  <w:sz w:val="20"/>
                  <w:szCs w:val="20"/>
                </w:rPr>
                <w:t>Esophageal Conditions DBQ</w:t>
              </w:r>
            </w:hyperlink>
            <w:r w:rsidR="00080094">
              <w:rPr>
                <w:rFonts w:ascii="Arial" w:hAnsi="Arial"/>
                <w:i/>
                <w:iCs/>
                <w:sz w:val="20"/>
                <w:szCs w:val="20"/>
              </w:rPr>
              <w:t xml:space="preserve"> </w:t>
            </w:r>
            <w:r w:rsidR="00BD4DC3" w:rsidRPr="00220057">
              <w:rPr>
                <w:rFonts w:ascii="Arial" w:hAnsi="Arial"/>
                <w:i/>
                <w:iCs/>
                <w:sz w:val="20"/>
                <w:szCs w:val="20"/>
              </w:rPr>
              <w:t>lists “pyrosis (heartburn)</w:t>
            </w:r>
            <w:r w:rsidR="001946CC">
              <w:rPr>
                <w:rFonts w:ascii="Arial" w:hAnsi="Arial"/>
                <w:i/>
                <w:iCs/>
                <w:sz w:val="20"/>
                <w:szCs w:val="20"/>
              </w:rPr>
              <w:t>,”</w:t>
            </w:r>
            <w:r w:rsidR="00BD4DC3" w:rsidRPr="00220057">
              <w:rPr>
                <w:rFonts w:ascii="Arial" w:hAnsi="Arial"/>
                <w:i/>
                <w:iCs/>
                <w:sz w:val="20"/>
                <w:szCs w:val="20"/>
              </w:rPr>
              <w:t xml:space="preserve"> reflux and regurgitation (all separately)</w:t>
            </w:r>
            <w:r w:rsidR="00220057" w:rsidRPr="00220057">
              <w:rPr>
                <w:rFonts w:ascii="Arial" w:hAnsi="Arial"/>
                <w:iCs/>
                <w:sz w:val="20"/>
                <w:szCs w:val="20"/>
              </w:rPr>
              <w:t xml:space="preserve"> [</w:t>
            </w:r>
            <w:r w:rsidR="002C21F3" w:rsidRPr="00220057">
              <w:rPr>
                <w:rFonts w:ascii="Arial" w:hAnsi="Arial"/>
                <w:iCs/>
                <w:sz w:val="20"/>
                <w:szCs w:val="20"/>
              </w:rPr>
              <w:t>aligned with Local Narrative Nov 2012</w:t>
            </w:r>
            <w:r w:rsidR="002C21F3">
              <w:rPr>
                <w:rFonts w:ascii="Arial" w:hAnsi="Arial"/>
                <w:iCs/>
                <w:sz w:val="20"/>
                <w:szCs w:val="20"/>
              </w:rPr>
              <w:t xml:space="preserve">; </w:t>
            </w:r>
            <w:r w:rsidR="00220057" w:rsidRPr="00220057">
              <w:rPr>
                <w:rFonts w:ascii="Arial" w:hAnsi="Arial"/>
                <w:iCs/>
                <w:sz w:val="20"/>
                <w:szCs w:val="20"/>
              </w:rPr>
              <w:t>contradicts Local Narrative Oct 2</w:t>
            </w:r>
            <w:r w:rsidR="002C21F3">
              <w:rPr>
                <w:rFonts w:ascii="Arial" w:hAnsi="Arial"/>
                <w:iCs/>
                <w:sz w:val="20"/>
                <w:szCs w:val="20"/>
              </w:rPr>
              <w:t>012</w:t>
            </w:r>
            <w:r w:rsidR="00220057" w:rsidRPr="00220057">
              <w:rPr>
                <w:rFonts w:ascii="Arial" w:hAnsi="Arial"/>
                <w:iCs/>
                <w:sz w:val="20"/>
                <w:szCs w:val="20"/>
              </w:rPr>
              <w:t>]</w:t>
            </w:r>
          </w:p>
          <w:p w:rsidR="00BD4DC3" w:rsidRPr="00220057" w:rsidRDefault="007E6E13" w:rsidP="00F063AF">
            <w:pPr>
              <w:pStyle w:val="ListParagraph"/>
              <w:widowControl w:val="0"/>
              <w:numPr>
                <w:ilvl w:val="0"/>
                <w:numId w:val="145"/>
              </w:numPr>
              <w:spacing w:after="120"/>
              <w:ind w:right="165"/>
              <w:rPr>
                <w:rFonts w:ascii="Arial" w:hAnsi="Arial"/>
                <w:i/>
                <w:iCs/>
                <w:sz w:val="20"/>
                <w:szCs w:val="20"/>
              </w:rPr>
            </w:pPr>
            <w:r w:rsidRPr="00220057">
              <w:rPr>
                <w:rFonts w:ascii="Arial" w:hAnsi="Arial"/>
                <w:i/>
                <w:iCs/>
                <w:sz w:val="20"/>
                <w:szCs w:val="20"/>
              </w:rPr>
              <w:t>V</w:t>
            </w:r>
            <w:r w:rsidR="00D94044">
              <w:rPr>
                <w:rFonts w:ascii="Arial" w:hAnsi="Arial"/>
                <w:i/>
                <w:iCs/>
                <w:sz w:val="20"/>
                <w:szCs w:val="20"/>
              </w:rPr>
              <w:t xml:space="preserve">EB &amp; LEB both </w:t>
            </w:r>
            <w:r w:rsidR="00BD4DC3" w:rsidRPr="00220057">
              <w:rPr>
                <w:rFonts w:ascii="Arial" w:hAnsi="Arial"/>
                <w:i/>
                <w:iCs/>
                <w:sz w:val="20"/>
                <w:szCs w:val="20"/>
              </w:rPr>
              <w:t>list “pyrosis (</w:t>
            </w:r>
            <w:r w:rsidR="00013EB8" w:rsidRPr="00220057">
              <w:rPr>
                <w:rFonts w:ascii="Arial" w:hAnsi="Arial"/>
                <w:i/>
                <w:iCs/>
                <w:sz w:val="20"/>
                <w:szCs w:val="20"/>
              </w:rPr>
              <w:t>reflux</w:t>
            </w:r>
            <w:r w:rsidR="00BD4DC3" w:rsidRPr="00220057">
              <w:rPr>
                <w:rFonts w:ascii="Arial" w:hAnsi="Arial"/>
                <w:i/>
                <w:iCs/>
                <w:sz w:val="20"/>
                <w:szCs w:val="20"/>
              </w:rPr>
              <w:t>)”</w:t>
            </w:r>
            <w:r w:rsidR="00013EB8" w:rsidRPr="00220057">
              <w:rPr>
                <w:rFonts w:ascii="Arial" w:hAnsi="Arial"/>
                <w:i/>
                <w:iCs/>
                <w:sz w:val="20"/>
                <w:szCs w:val="20"/>
              </w:rPr>
              <w:t xml:space="preserve"> and regurgitation</w:t>
            </w:r>
            <w:r w:rsidR="002C21F3">
              <w:rPr>
                <w:rFonts w:ascii="Arial" w:hAnsi="Arial"/>
                <w:iCs/>
                <w:sz w:val="20"/>
                <w:szCs w:val="20"/>
              </w:rPr>
              <w:t xml:space="preserve"> [reflux and regurgitation separately aligns with Local Narrative Nov 2012 and DBQ while contradicting Local Narrati</w:t>
            </w:r>
            <w:r w:rsidR="008A5646">
              <w:rPr>
                <w:rFonts w:ascii="Arial" w:hAnsi="Arial"/>
                <w:iCs/>
                <w:sz w:val="20"/>
                <w:szCs w:val="20"/>
              </w:rPr>
              <w:t>v</w:t>
            </w:r>
            <w:r w:rsidR="002C21F3">
              <w:rPr>
                <w:rFonts w:ascii="Arial" w:hAnsi="Arial"/>
                <w:iCs/>
                <w:sz w:val="20"/>
                <w:szCs w:val="20"/>
              </w:rPr>
              <w:t>e Oct 2012; BUT pyrosis as reflux contradicts DBQ which says pyrosis is heartburn]</w:t>
            </w:r>
            <w:r w:rsidR="003C038F">
              <w:rPr>
                <w:rFonts w:ascii="Arial" w:hAnsi="Arial"/>
                <w:iCs/>
                <w:sz w:val="20"/>
                <w:szCs w:val="20"/>
              </w:rPr>
              <w:t>; as of 1/</w:t>
            </w:r>
            <w:r w:rsidR="003A29D8">
              <w:rPr>
                <w:rFonts w:ascii="Arial" w:hAnsi="Arial"/>
                <w:iCs/>
                <w:sz w:val="20"/>
                <w:szCs w:val="20"/>
              </w:rPr>
              <w:t>1</w:t>
            </w:r>
            <w:r w:rsidR="001450A4">
              <w:rPr>
                <w:rFonts w:ascii="Arial" w:hAnsi="Arial"/>
                <w:iCs/>
                <w:sz w:val="20"/>
                <w:szCs w:val="20"/>
              </w:rPr>
              <w:t>4, both EBs say “pyrosis (heartburn and/or reflux)”</w:t>
            </w:r>
          </w:p>
          <w:p w:rsidR="00220057" w:rsidRDefault="00220057" w:rsidP="00AC753C">
            <w:pPr>
              <w:widowControl w:val="0"/>
              <w:spacing w:after="120"/>
              <w:ind w:right="165"/>
              <w:rPr>
                <w:rFonts w:eastAsia="Arial Unicode MS"/>
              </w:rPr>
            </w:pPr>
            <w:r>
              <w:rPr>
                <w:rFonts w:eastAsia="Arial Unicode MS"/>
              </w:rPr>
              <w:t xml:space="preserve">Rating Note:  </w:t>
            </w:r>
            <w:r w:rsidRPr="00220057">
              <w:rPr>
                <w:rFonts w:eastAsia="Arial Unicode MS"/>
              </w:rPr>
              <w:t>Although the EB shows "pyrosis (reflux)</w:t>
            </w:r>
            <w:r w:rsidR="001946CC">
              <w:rPr>
                <w:rFonts w:eastAsia="Arial Unicode MS"/>
              </w:rPr>
              <w:t>,”</w:t>
            </w:r>
            <w:r w:rsidRPr="00220057">
              <w:rPr>
                <w:rFonts w:eastAsia="Arial Unicode MS"/>
              </w:rPr>
              <w:t xml:space="preserve"> </w:t>
            </w:r>
            <w:r>
              <w:rPr>
                <w:rFonts w:eastAsia="Arial Unicode MS"/>
              </w:rPr>
              <w:t xml:space="preserve">the DBQ lists “pyrosis (heartburn)” and </w:t>
            </w:r>
            <w:r w:rsidRPr="00220057">
              <w:rPr>
                <w:rFonts w:eastAsia="Arial Unicode MS"/>
              </w:rPr>
              <w:t>Local Narrative Oct 2012 says reflux is a term for regurgitation.</w:t>
            </w:r>
          </w:p>
          <w:p w:rsidR="00086319" w:rsidRPr="00086319" w:rsidRDefault="008D1357" w:rsidP="00AC753C">
            <w:pPr>
              <w:widowControl w:val="0"/>
              <w:spacing w:after="120"/>
              <w:ind w:right="75"/>
              <w:rPr>
                <w:rFonts w:eastAsia="Arial Unicode MS"/>
                <w:i/>
              </w:rPr>
            </w:pPr>
            <w:r>
              <w:rPr>
                <w:rFonts w:eastAsia="Arial Unicode MS"/>
                <w:i/>
              </w:rPr>
              <w:t>*</w:t>
            </w:r>
            <w:r w:rsidR="00086319" w:rsidRPr="00086319">
              <w:rPr>
                <w:rFonts w:eastAsia="Arial Unicode MS"/>
                <w:i/>
              </w:rPr>
              <w:t>The problem lies when the DBQ shows reflux and regurgitation, as then you’re assigning a 10% for the same symptom!</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7399-7346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genital warts</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7819</w:t>
            </w:r>
          </w:p>
        </w:tc>
      </w:tr>
      <w:tr w:rsidR="00013EB8" w:rsidTr="0032140A">
        <w:trPr>
          <w:trHeight w:val="255"/>
        </w:trPr>
        <w:tc>
          <w:tcPr>
            <w:tcW w:w="8925" w:type="dxa"/>
            <w:noWrap/>
            <w:tcMar>
              <w:top w:w="15" w:type="dxa"/>
              <w:left w:w="15" w:type="dxa"/>
              <w:bottom w:w="0" w:type="dxa"/>
              <w:right w:w="15" w:type="dxa"/>
            </w:tcMar>
            <w:vAlign w:val="bottom"/>
          </w:tcPr>
          <w:p w:rsidR="00013EB8" w:rsidRDefault="00A40BF5">
            <w:pPr>
              <w:widowControl w:val="0"/>
              <w:rPr>
                <w:rFonts w:eastAsia="Arial Unicode MS"/>
              </w:rPr>
            </w:pPr>
            <w:r>
              <w:t>g</w:t>
            </w:r>
            <w:r w:rsidR="00013EB8">
              <w:t>ingivitis</w:t>
            </w:r>
            <w:r w:rsidR="0072653D">
              <w:t xml:space="preserve"> (also see periodontal disease; cannot SC)</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9999-9900</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rsidP="008C05B4">
            <w:pPr>
              <w:widowControl w:val="0"/>
              <w:rPr>
                <w:rFonts w:eastAsia="Arial Unicode MS"/>
              </w:rPr>
            </w:pPr>
            <w:r>
              <w:t>Helicobactor Pylori</w:t>
            </w:r>
            <w:r w:rsidR="008C05B4">
              <w:t xml:space="preserve"> / H. pylori (lab finding)</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7399-7307</w:t>
            </w:r>
          </w:p>
        </w:tc>
      </w:tr>
      <w:tr w:rsidR="00013EB8" w:rsidTr="0032140A">
        <w:trPr>
          <w:trHeight w:val="255"/>
        </w:trPr>
        <w:tc>
          <w:tcPr>
            <w:tcW w:w="8925" w:type="dxa"/>
            <w:noWrap/>
            <w:tcMar>
              <w:top w:w="15" w:type="dxa"/>
              <w:left w:w="15" w:type="dxa"/>
              <w:bottom w:w="0" w:type="dxa"/>
              <w:right w:w="15" w:type="dxa"/>
            </w:tcMar>
            <w:vAlign w:val="bottom"/>
          </w:tcPr>
          <w:p w:rsidR="00013EB8" w:rsidRDefault="00D228E2">
            <w:pPr>
              <w:widowControl w:val="0"/>
              <w:rPr>
                <w:rFonts w:eastAsia="Arial Unicode MS"/>
              </w:rPr>
            </w:pPr>
            <w:r>
              <w:t>h</w:t>
            </w:r>
            <w:r w:rsidR="00013EB8">
              <w:t>elminthiasis (POW presumptive disability)</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7399-7324</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herpes simplex virus I &amp; II</w:t>
            </w:r>
            <w:r w:rsidR="00C7737E">
              <w:t xml:space="preserve"> (HSV)</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7820</w:t>
            </w:r>
            <w:r w:rsidR="008E2616">
              <w:t>-7806</w:t>
            </w:r>
          </w:p>
        </w:tc>
      </w:tr>
      <w:tr w:rsidR="001B61AD" w:rsidTr="0032140A">
        <w:trPr>
          <w:trHeight w:val="255"/>
        </w:trPr>
        <w:tc>
          <w:tcPr>
            <w:tcW w:w="8925" w:type="dxa"/>
            <w:noWrap/>
            <w:tcMar>
              <w:top w:w="15" w:type="dxa"/>
              <w:left w:w="15" w:type="dxa"/>
              <w:bottom w:w="0" w:type="dxa"/>
              <w:right w:w="15" w:type="dxa"/>
            </w:tcMar>
            <w:vAlign w:val="bottom"/>
          </w:tcPr>
          <w:p w:rsidR="00801AE1" w:rsidRDefault="00801AE1">
            <w:pPr>
              <w:widowControl w:val="0"/>
            </w:pPr>
            <w:r>
              <w:t>Herpes zoster / shingles</w:t>
            </w:r>
          </w:p>
          <w:p w:rsidR="001B61AD" w:rsidRPr="00801AE1" w:rsidRDefault="001B61AD">
            <w:pPr>
              <w:widowControl w:val="0"/>
              <w:rPr>
                <w:i/>
              </w:rPr>
            </w:pPr>
            <w:r w:rsidRPr="00801AE1">
              <w:rPr>
                <w:i/>
              </w:rPr>
              <w:t>DBQ 9/17 showed “infections of the skin”</w:t>
            </w:r>
          </w:p>
          <w:p w:rsidR="00801AE1" w:rsidRDefault="00801AE1">
            <w:pPr>
              <w:widowControl w:val="0"/>
            </w:pPr>
            <w:r w:rsidRPr="00801AE1">
              <w:rPr>
                <w:i/>
              </w:rPr>
              <w:t>MEPSS shows 7899-7806</w:t>
            </w:r>
          </w:p>
        </w:tc>
        <w:tc>
          <w:tcPr>
            <w:tcW w:w="1721" w:type="dxa"/>
            <w:noWrap/>
            <w:tcMar>
              <w:top w:w="15" w:type="dxa"/>
              <w:left w:w="15" w:type="dxa"/>
              <w:bottom w:w="0" w:type="dxa"/>
              <w:right w:w="15" w:type="dxa"/>
            </w:tcMar>
            <w:vAlign w:val="bottom"/>
          </w:tcPr>
          <w:p w:rsidR="001B61AD" w:rsidRDefault="001B61AD">
            <w:pPr>
              <w:widowControl w:val="0"/>
            </w:pPr>
            <w:r>
              <w:t>7820</w:t>
            </w:r>
            <w:r w:rsidR="00801AE1">
              <w:t xml:space="preserve"> or 7806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impetigo</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7899-7823</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ingrown toenails</w:t>
            </w:r>
          </w:p>
          <w:p w:rsidR="001F7CFA" w:rsidRDefault="001F7CFA">
            <w:pPr>
              <w:widowControl w:val="0"/>
              <w:rPr>
                <w:rFonts w:eastAsia="Arial Unicode MS"/>
              </w:rPr>
            </w:pPr>
            <w:r>
              <w:t>if painful, maybe 7806-7804</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7813</w:t>
            </w:r>
            <w:r w:rsidR="00E83696">
              <w:t>-7806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rsidP="000C170B">
            <w:pPr>
              <w:widowControl w:val="0"/>
              <w:rPr>
                <w:rFonts w:eastAsia="Arial Unicode MS"/>
              </w:rPr>
            </w:pPr>
            <w:r>
              <w:t xml:space="preserve">insomnia (can </w:t>
            </w:r>
            <w:r w:rsidR="0072653D">
              <w:t>only SC</w:t>
            </w:r>
            <w:r>
              <w:t xml:space="preserve"> if given as Axis I diagnosis of primary insomnia, per STA</w:t>
            </w:r>
            <w:r w:rsidR="000C170B">
              <w:t xml:space="preserve">R quality call - FEB 2010 Q&amp;As) </w:t>
            </w:r>
            <w:r w:rsidR="000C170B" w:rsidRPr="00604172">
              <w:rPr>
                <w:i/>
                <w:color w:val="00B050"/>
              </w:rPr>
              <w:t xml:space="preserve">My Notes:  </w:t>
            </w:r>
            <w:r w:rsidR="000C170B" w:rsidRPr="00604172">
              <w:rPr>
                <w:i/>
              </w:rPr>
              <w:t xml:space="preserve">It is unclear, but it seems it </w:t>
            </w:r>
            <w:r w:rsidR="000C170B">
              <w:rPr>
                <w:i/>
              </w:rPr>
              <w:t xml:space="preserve">can be “insomnia” or </w:t>
            </w:r>
            <w:r w:rsidR="000C170B" w:rsidRPr="00604172">
              <w:rPr>
                <w:i/>
              </w:rPr>
              <w:t>“insomnia disorder” or “primary insomnia” or “sleep disorder</w:t>
            </w:r>
            <w:r w:rsidR="000C170B">
              <w:rPr>
                <w:i/>
              </w:rPr>
              <w:t>,” per</w:t>
            </w:r>
            <w:r w:rsidR="000C170B" w:rsidRPr="00604172">
              <w:rPr>
                <w:i/>
              </w:rPr>
              <w:t xml:space="preserve"> https://mhreference.org/dsm-codes/dsm-category/</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9499-9440</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labyrinthitis</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6204</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lateral femoral cutaneous nerve</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8599-8529</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lobectomy</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6844</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macular degeneration</w:t>
            </w:r>
          </w:p>
        </w:tc>
        <w:tc>
          <w:tcPr>
            <w:tcW w:w="1721" w:type="dxa"/>
            <w:noWrap/>
            <w:tcMar>
              <w:top w:w="15" w:type="dxa"/>
              <w:left w:w="15" w:type="dxa"/>
              <w:bottom w:w="0" w:type="dxa"/>
              <w:right w:w="15" w:type="dxa"/>
            </w:tcMar>
            <w:vAlign w:val="bottom"/>
          </w:tcPr>
          <w:p w:rsidR="00013EB8" w:rsidRDefault="009E5469">
            <w:pPr>
              <w:widowControl w:val="0"/>
              <w:rPr>
                <w:rFonts w:eastAsia="Arial Unicode MS"/>
              </w:rPr>
            </w:pPr>
            <w:r>
              <w:t>6006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meniscectomy</w:t>
            </w:r>
          </w:p>
        </w:tc>
        <w:tc>
          <w:tcPr>
            <w:tcW w:w="1721" w:type="dxa"/>
            <w:noWrap/>
            <w:tcMar>
              <w:top w:w="15" w:type="dxa"/>
              <w:left w:w="15" w:type="dxa"/>
              <w:bottom w:w="0" w:type="dxa"/>
              <w:right w:w="15" w:type="dxa"/>
            </w:tcMar>
            <w:vAlign w:val="bottom"/>
          </w:tcPr>
          <w:p w:rsidR="00013EB8" w:rsidRDefault="00013EB8">
            <w:pPr>
              <w:widowControl w:val="0"/>
            </w:pPr>
            <w:r>
              <w:t>5259</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neurogenic bladder, loss of bladder control</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7542</w:t>
            </w:r>
          </w:p>
        </w:tc>
      </w:tr>
      <w:tr w:rsidR="00013EB8" w:rsidTr="0032140A">
        <w:trPr>
          <w:trHeight w:val="255"/>
        </w:trPr>
        <w:tc>
          <w:tcPr>
            <w:tcW w:w="8925" w:type="dxa"/>
            <w:noWrap/>
            <w:tcMar>
              <w:top w:w="15" w:type="dxa"/>
              <w:left w:w="15" w:type="dxa"/>
              <w:bottom w:w="0" w:type="dxa"/>
              <w:right w:w="15" w:type="dxa"/>
            </w:tcMar>
            <w:vAlign w:val="bottom"/>
          </w:tcPr>
          <w:p w:rsidR="00013EB8" w:rsidRDefault="002F32F9" w:rsidP="008C05B4">
            <w:pPr>
              <w:pStyle w:val="Header"/>
              <w:widowControl w:val="0"/>
              <w:tabs>
                <w:tab w:val="clear" w:pos="4320"/>
                <w:tab w:val="clear" w:pos="8640"/>
              </w:tabs>
              <w:rPr>
                <w:rFonts w:eastAsia="Arial Unicode MS"/>
              </w:rPr>
            </w:pPr>
            <w:r>
              <w:t>o</w:t>
            </w:r>
            <w:r w:rsidR="00013EB8">
              <w:t>nychomycosis</w:t>
            </w:r>
            <w:r>
              <w:t xml:space="preserve"> (choose</w:t>
            </w:r>
            <w:r w:rsidR="008C05B4">
              <w:t xml:space="preserve"> </w:t>
            </w:r>
            <w:r>
              <w:t>tinea unguium of nails)</w:t>
            </w:r>
          </w:p>
        </w:tc>
        <w:tc>
          <w:tcPr>
            <w:tcW w:w="1721" w:type="dxa"/>
            <w:noWrap/>
            <w:tcMar>
              <w:top w:w="15" w:type="dxa"/>
              <w:left w:w="15" w:type="dxa"/>
              <w:bottom w:w="0" w:type="dxa"/>
              <w:right w:w="15" w:type="dxa"/>
            </w:tcMar>
            <w:vAlign w:val="bottom"/>
          </w:tcPr>
          <w:p w:rsidR="00013EB8" w:rsidRDefault="00E83696">
            <w:pPr>
              <w:widowControl w:val="0"/>
              <w:rPr>
                <w:rFonts w:eastAsia="Arial Unicode MS"/>
              </w:rPr>
            </w:pPr>
            <w:r>
              <w:t>7813-7806</w:t>
            </w:r>
          </w:p>
        </w:tc>
      </w:tr>
      <w:tr w:rsidR="00013EB8" w:rsidTr="0032140A">
        <w:trPr>
          <w:trHeight w:val="255"/>
        </w:trPr>
        <w:tc>
          <w:tcPr>
            <w:tcW w:w="8925" w:type="dxa"/>
            <w:noWrap/>
            <w:tcMar>
              <w:top w:w="15" w:type="dxa"/>
              <w:left w:w="15" w:type="dxa"/>
              <w:bottom w:w="0" w:type="dxa"/>
              <w:right w:w="15" w:type="dxa"/>
            </w:tcMar>
            <w:vAlign w:val="bottom"/>
          </w:tcPr>
          <w:p w:rsidR="002F66E2" w:rsidRPr="00627B2E" w:rsidRDefault="00013EB8" w:rsidP="00F025EB">
            <w:pPr>
              <w:widowControl w:val="0"/>
            </w:pPr>
            <w:r>
              <w:t>patel</w:t>
            </w:r>
            <w:r w:rsidR="00627B2E">
              <w:t xml:space="preserve">lofemoral pain syndrome (PFPS) </w:t>
            </w:r>
          </w:p>
        </w:tc>
        <w:tc>
          <w:tcPr>
            <w:tcW w:w="1721" w:type="dxa"/>
            <w:noWrap/>
            <w:tcMar>
              <w:top w:w="15" w:type="dxa"/>
              <w:left w:w="15" w:type="dxa"/>
              <w:bottom w:w="0" w:type="dxa"/>
              <w:right w:w="15" w:type="dxa"/>
            </w:tcMar>
            <w:vAlign w:val="bottom"/>
          </w:tcPr>
          <w:p w:rsidR="00013EB8" w:rsidRDefault="002F66E2">
            <w:pPr>
              <w:pStyle w:val="Header"/>
              <w:widowControl w:val="0"/>
              <w:tabs>
                <w:tab w:val="clear" w:pos="4320"/>
                <w:tab w:val="clear" w:pos="8640"/>
              </w:tabs>
            </w:pPr>
            <w:r w:rsidRPr="004F6AEA">
              <w:t>5257, 5260, or 5261</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pStyle w:val="Header"/>
              <w:widowControl w:val="0"/>
              <w:tabs>
                <w:tab w:val="clear" w:pos="4320"/>
                <w:tab w:val="clear" w:pos="8640"/>
              </w:tabs>
              <w:rPr>
                <w:rFonts w:eastAsia="Arial Unicode MS"/>
              </w:rPr>
            </w:pPr>
            <w:r>
              <w:t>peripheral vascular disease</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7199-7114</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pinguecula</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6037</w:t>
            </w:r>
          </w:p>
        </w:tc>
      </w:tr>
      <w:tr w:rsidR="00013EB8" w:rsidTr="0032140A">
        <w:trPr>
          <w:trHeight w:val="255"/>
        </w:trPr>
        <w:tc>
          <w:tcPr>
            <w:tcW w:w="8925" w:type="dxa"/>
            <w:noWrap/>
            <w:tcMar>
              <w:top w:w="15" w:type="dxa"/>
              <w:left w:w="15" w:type="dxa"/>
              <w:bottom w:w="0" w:type="dxa"/>
              <w:right w:w="15" w:type="dxa"/>
            </w:tcMar>
            <w:vAlign w:val="bottom"/>
          </w:tcPr>
          <w:p w:rsidR="0028206C" w:rsidRDefault="00013EB8" w:rsidP="00250946">
            <w:pPr>
              <w:widowControl w:val="0"/>
            </w:pPr>
            <w:r>
              <w:t>plantar fasc</w:t>
            </w:r>
            <w:r w:rsidR="002272BB">
              <w:t>iitis</w:t>
            </w:r>
          </w:p>
          <w:p w:rsidR="00013EB8" w:rsidRPr="0028206C" w:rsidRDefault="00FF0E20" w:rsidP="00F063AF">
            <w:pPr>
              <w:pStyle w:val="ListParagraph"/>
              <w:widowControl w:val="0"/>
              <w:numPr>
                <w:ilvl w:val="0"/>
                <w:numId w:val="308"/>
              </w:numPr>
              <w:spacing w:after="0" w:line="240" w:lineRule="auto"/>
              <w:ind w:left="360"/>
              <w:rPr>
                <w:rStyle w:val="Hyperlink"/>
                <w:rFonts w:ascii="Arial" w:hAnsi="Arial"/>
                <w:bCs/>
                <w:iCs/>
                <w:color w:val="auto"/>
                <w:sz w:val="20"/>
                <w:szCs w:val="20"/>
                <w:u w:val="none"/>
              </w:rPr>
            </w:pPr>
            <w:r w:rsidRPr="0028206C">
              <w:rPr>
                <w:rFonts w:ascii="Arial" w:hAnsi="Arial"/>
                <w:b/>
                <w:bCs/>
                <w:i/>
                <w:iCs/>
                <w:sz w:val="20"/>
                <w:szCs w:val="20"/>
              </w:rPr>
              <w:t xml:space="preserve">July 2013 </w:t>
            </w:r>
            <w:r w:rsidR="00EB6F0B" w:rsidRPr="0028206C">
              <w:rPr>
                <w:rFonts w:ascii="Arial" w:hAnsi="Arial"/>
                <w:b/>
                <w:bCs/>
                <w:i/>
                <w:iCs/>
                <w:sz w:val="20"/>
                <w:szCs w:val="20"/>
              </w:rPr>
              <w:t>Compensation Service Bulletin (CSB)</w:t>
            </w:r>
            <w:r w:rsidRPr="0028206C">
              <w:rPr>
                <w:rStyle w:val="Hyperlink"/>
                <w:rFonts w:ascii="Arial" w:hAnsi="Arial"/>
                <w:bCs/>
                <w:iCs/>
                <w:sz w:val="20"/>
                <w:szCs w:val="20"/>
                <w:u w:val="none"/>
              </w:rPr>
              <w:t xml:space="preserve"> </w:t>
            </w:r>
            <w:r w:rsidRPr="0028206C">
              <w:rPr>
                <w:rStyle w:val="Hyperlink"/>
                <w:rFonts w:ascii="Arial" w:hAnsi="Arial"/>
                <w:bCs/>
                <w:iCs/>
                <w:color w:val="auto"/>
                <w:sz w:val="20"/>
                <w:szCs w:val="20"/>
                <w:u w:val="none"/>
              </w:rPr>
              <w:t xml:space="preserve">says </w:t>
            </w:r>
            <w:r w:rsidR="0026662F" w:rsidRPr="0028206C">
              <w:rPr>
                <w:rStyle w:val="Hyperlink"/>
                <w:rFonts w:ascii="Arial" w:hAnsi="Arial"/>
                <w:bCs/>
                <w:iCs/>
                <w:color w:val="auto"/>
                <w:sz w:val="20"/>
                <w:szCs w:val="20"/>
                <w:u w:val="none"/>
              </w:rPr>
              <w:t xml:space="preserve">analogous to </w:t>
            </w:r>
            <w:r w:rsidRPr="0028206C">
              <w:rPr>
                <w:rStyle w:val="Hyperlink"/>
                <w:rFonts w:ascii="Arial" w:hAnsi="Arial"/>
                <w:bCs/>
                <w:iCs/>
                <w:color w:val="auto"/>
                <w:sz w:val="20"/>
                <w:szCs w:val="20"/>
                <w:u w:val="none"/>
              </w:rPr>
              <w:t>5276</w:t>
            </w:r>
            <w:r w:rsidR="00550E9D" w:rsidRPr="0028206C">
              <w:rPr>
                <w:rStyle w:val="Hyperlink"/>
                <w:rFonts w:ascii="Arial" w:hAnsi="Arial"/>
                <w:bCs/>
                <w:iCs/>
                <w:color w:val="auto"/>
                <w:sz w:val="20"/>
                <w:szCs w:val="20"/>
                <w:u w:val="none"/>
              </w:rPr>
              <w:t xml:space="preserve"> and evaluate feet together</w:t>
            </w:r>
          </w:p>
          <w:p w:rsidR="00196342" w:rsidRPr="0028206C" w:rsidRDefault="00196342" w:rsidP="00F063AF">
            <w:pPr>
              <w:widowControl w:val="0"/>
              <w:numPr>
                <w:ilvl w:val="0"/>
                <w:numId w:val="100"/>
              </w:numPr>
              <w:tabs>
                <w:tab w:val="clear" w:pos="720"/>
                <w:tab w:val="left" w:pos="360"/>
                <w:tab w:val="left" w:pos="9413"/>
              </w:tabs>
              <w:overflowPunct/>
              <w:ind w:left="360"/>
              <w:textAlignment w:val="auto"/>
            </w:pPr>
            <w:r w:rsidRPr="0028206C">
              <w:rPr>
                <w:i/>
              </w:rPr>
              <w:t>August 2014 EB Override Training with Christopher Whynock said 5276 is correct for plantar fasciitis (so I guess 5299 isn’t needed even though says analogous…)</w:t>
            </w:r>
          </w:p>
          <w:p w:rsidR="00A53F9A" w:rsidRPr="00196342" w:rsidRDefault="00F24959" w:rsidP="00F063AF">
            <w:pPr>
              <w:widowControl w:val="0"/>
              <w:numPr>
                <w:ilvl w:val="0"/>
                <w:numId w:val="100"/>
              </w:numPr>
              <w:tabs>
                <w:tab w:val="clear" w:pos="720"/>
                <w:tab w:val="left" w:pos="360"/>
                <w:tab w:val="left" w:pos="9413"/>
              </w:tabs>
              <w:overflowPunct/>
              <w:ind w:left="360"/>
              <w:textAlignment w:val="auto"/>
            </w:pPr>
            <w:r>
              <w:rPr>
                <w:b/>
              </w:rPr>
              <w:t>III.iv.4.A.7</w:t>
            </w:r>
            <w:r w:rsidR="00A53F9A" w:rsidRPr="0028206C">
              <w:rPr>
                <w:b/>
              </w:rPr>
              <w:t>.</w:t>
            </w:r>
            <w:r>
              <w:rPr>
                <w:b/>
              </w:rPr>
              <w:t>e</w:t>
            </w:r>
            <w:r w:rsidR="00A53F9A" w:rsidRPr="0028206C">
              <w:t xml:space="preserve"> says analogous to 5276</w:t>
            </w:r>
          </w:p>
        </w:tc>
        <w:tc>
          <w:tcPr>
            <w:tcW w:w="1721" w:type="dxa"/>
            <w:noWrap/>
            <w:tcMar>
              <w:top w:w="15" w:type="dxa"/>
              <w:left w:w="15" w:type="dxa"/>
              <w:bottom w:w="0" w:type="dxa"/>
              <w:right w:w="15" w:type="dxa"/>
            </w:tcMar>
            <w:vAlign w:val="bottom"/>
          </w:tcPr>
          <w:p w:rsidR="00013EB8" w:rsidRDefault="0026662F" w:rsidP="00FF0E20">
            <w:pPr>
              <w:widowControl w:val="0"/>
            </w:pPr>
            <w:r>
              <w:t>5299-</w:t>
            </w:r>
            <w:r w:rsidR="00013EB8">
              <w:t>52</w:t>
            </w:r>
            <w:r w:rsidR="00FF0E20">
              <w:t>76</w:t>
            </w:r>
          </w:p>
          <w:p w:rsidR="00060507" w:rsidRDefault="00060507" w:rsidP="00FF0E20">
            <w:pPr>
              <w:widowControl w:val="0"/>
              <w:rPr>
                <w:rFonts w:eastAsia="Arial Unicode MS"/>
              </w:rPr>
            </w:pPr>
            <w:r>
              <w:t>EB gives just 5276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plantar warts</w:t>
            </w:r>
          </w:p>
          <w:p w:rsidR="00801AE1" w:rsidRPr="00801AE1" w:rsidRDefault="00801AE1">
            <w:pPr>
              <w:widowControl w:val="0"/>
              <w:rPr>
                <w:rFonts w:eastAsia="Arial Unicode MS"/>
                <w:i/>
              </w:rPr>
            </w:pPr>
            <w:r w:rsidRPr="00801AE1">
              <w:rPr>
                <w:i/>
              </w:rPr>
              <w:t>MEPSS shows 7899-7820</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7819</w:t>
            </w:r>
            <w:r w:rsidR="00801AE1">
              <w:t xml:space="preserve"> or 7820</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pStyle w:val="Header"/>
              <w:widowControl w:val="0"/>
              <w:tabs>
                <w:tab w:val="clear" w:pos="4320"/>
                <w:tab w:val="clear" w:pos="8640"/>
              </w:tabs>
            </w:pPr>
            <w:r>
              <w:t>premature ventricular contraction (PVC/PVCs) [a type of arrhythmia, felt as skipped beat or palpitations] (only SC if sustained &amp; on meds)</w:t>
            </w:r>
          </w:p>
        </w:tc>
        <w:tc>
          <w:tcPr>
            <w:tcW w:w="1721" w:type="dxa"/>
            <w:noWrap/>
            <w:tcMar>
              <w:top w:w="15" w:type="dxa"/>
              <w:left w:w="15" w:type="dxa"/>
              <w:bottom w:w="0" w:type="dxa"/>
              <w:right w:w="15" w:type="dxa"/>
            </w:tcMar>
            <w:vAlign w:val="bottom"/>
          </w:tcPr>
          <w:p w:rsidR="00013EB8" w:rsidRDefault="00013EB8">
            <w:pPr>
              <w:widowControl w:val="0"/>
            </w:pPr>
            <w:r>
              <w:t>7099-7011</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prostatitis/prostatism</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7599-7527</w:t>
            </w:r>
          </w:p>
        </w:tc>
      </w:tr>
      <w:tr w:rsidR="00013EB8" w:rsidTr="0032140A">
        <w:trPr>
          <w:trHeight w:val="255"/>
        </w:trPr>
        <w:tc>
          <w:tcPr>
            <w:tcW w:w="8925" w:type="dxa"/>
            <w:noWrap/>
            <w:tcMar>
              <w:top w:w="15" w:type="dxa"/>
              <w:left w:w="15" w:type="dxa"/>
              <w:bottom w:w="0" w:type="dxa"/>
              <w:right w:w="15" w:type="dxa"/>
            </w:tcMar>
            <w:vAlign w:val="bottom"/>
          </w:tcPr>
          <w:p w:rsidR="004F0A1D" w:rsidRDefault="00620850" w:rsidP="00620850">
            <w:pPr>
              <w:widowControl w:val="0"/>
            </w:pPr>
            <w:r>
              <w:t>pseudofolliculitis barbae (PFB)</w:t>
            </w:r>
            <w:r w:rsidR="002E73E5">
              <w:t xml:space="preserve"> – choose dermatophytosis in VEB</w:t>
            </w:r>
            <w:r w:rsidR="00AB4EF9">
              <w:t xml:space="preserve"> (</w:t>
            </w:r>
            <w:r w:rsidR="00A43512" w:rsidRPr="00A43512">
              <w:rPr>
                <w:i/>
                <w:color w:val="00B050"/>
              </w:rPr>
              <w:t xml:space="preserve">My Notes:  </w:t>
            </w:r>
            <w:r w:rsidR="00A43512" w:rsidRPr="00A43512">
              <w:rPr>
                <w:i/>
              </w:rPr>
              <w:t xml:space="preserve">Evaluate under </w:t>
            </w:r>
            <w:r w:rsidR="00AB4EF9" w:rsidRPr="00A43512">
              <w:rPr>
                <w:i/>
              </w:rPr>
              <w:t>scars</w:t>
            </w:r>
            <w:r w:rsidR="003C310B">
              <w:rPr>
                <w:i/>
              </w:rPr>
              <w:t>, 7820-7800</w:t>
            </w:r>
            <w:r w:rsidR="00AB4EF9" w:rsidRPr="00A43512">
              <w:rPr>
                <w:i/>
              </w:rPr>
              <w:t>, if that allows for a higher evaluation</w:t>
            </w:r>
            <w:r w:rsidR="00A43512" w:rsidRPr="00A43512">
              <w:rPr>
                <w:i/>
              </w:rPr>
              <w:t>.</w:t>
            </w:r>
            <w:r w:rsidR="00AB4EF9">
              <w:t>)</w:t>
            </w:r>
          </w:p>
          <w:p w:rsidR="008F5781" w:rsidRDefault="008F5781" w:rsidP="00620850">
            <w:pPr>
              <w:widowControl w:val="0"/>
              <w:rPr>
                <w:i/>
              </w:rPr>
            </w:pPr>
            <w:r w:rsidRPr="008F5781">
              <w:rPr>
                <w:i/>
              </w:rPr>
              <w:t>*Salt Lake City does PFB analogous to acne</w:t>
            </w:r>
            <w:r w:rsidR="002909C9">
              <w:rPr>
                <w:i/>
              </w:rPr>
              <w:t>, 7899-7828,</w:t>
            </w:r>
            <w:r w:rsidRPr="008F5781">
              <w:rPr>
                <w:i/>
              </w:rPr>
              <w:t xml:space="preserve"> as of 10/14</w:t>
            </w:r>
          </w:p>
          <w:p w:rsidR="002909C9" w:rsidRDefault="002909C9" w:rsidP="00620850">
            <w:pPr>
              <w:widowControl w:val="0"/>
              <w:rPr>
                <w:i/>
              </w:rPr>
            </w:pPr>
            <w:r>
              <w:rPr>
                <w:i/>
              </w:rPr>
              <w:t>*Togus does 7820-7806 as of 8/13</w:t>
            </w:r>
          </w:p>
          <w:p w:rsidR="00801AE1" w:rsidRPr="008F5781" w:rsidRDefault="00801AE1" w:rsidP="00620850">
            <w:pPr>
              <w:widowControl w:val="0"/>
              <w:rPr>
                <w:i/>
              </w:rPr>
            </w:pPr>
            <w:r>
              <w:rPr>
                <w:i/>
              </w:rPr>
              <w:t>MEPSS says folliculitis is 7828 or 7829</w:t>
            </w:r>
          </w:p>
        </w:tc>
        <w:tc>
          <w:tcPr>
            <w:tcW w:w="1721" w:type="dxa"/>
            <w:noWrap/>
            <w:tcMar>
              <w:top w:w="15" w:type="dxa"/>
              <w:left w:w="15" w:type="dxa"/>
              <w:bottom w:w="0" w:type="dxa"/>
              <w:right w:w="15" w:type="dxa"/>
            </w:tcMar>
            <w:vAlign w:val="bottom"/>
          </w:tcPr>
          <w:p w:rsidR="00013EB8" w:rsidRDefault="0065212C" w:rsidP="004F0A1D">
            <w:pPr>
              <w:widowControl w:val="0"/>
              <w:rPr>
                <w:rFonts w:eastAsia="Arial Unicode MS"/>
              </w:rPr>
            </w:pPr>
            <w:r>
              <w:t>78</w:t>
            </w:r>
            <w:r w:rsidR="004F0A1D">
              <w:t>13</w:t>
            </w:r>
            <w:r>
              <w:t>-7806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reactive airway disease</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6699-6602</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pPr>
            <w:r>
              <w:t>restless leg syndrome</w:t>
            </w:r>
          </w:p>
          <w:p w:rsidR="004663AE" w:rsidRPr="004663AE" w:rsidRDefault="004663AE">
            <w:pPr>
              <w:widowControl w:val="0"/>
              <w:rPr>
                <w:rFonts w:eastAsia="Arial Unicode MS"/>
                <w:i/>
              </w:rPr>
            </w:pPr>
            <w:r w:rsidRPr="004663AE">
              <w:rPr>
                <w:i/>
                <w:color w:val="00B050"/>
              </w:rPr>
              <w:t xml:space="preserve">My Notes:  </w:t>
            </w:r>
            <w:r>
              <w:rPr>
                <w:i/>
              </w:rPr>
              <w:t>T</w:t>
            </w:r>
            <w:r w:rsidR="00CE2149">
              <w:rPr>
                <w:i/>
              </w:rPr>
              <w:t>here has been discussion that RLS i</w:t>
            </w:r>
            <w:r w:rsidRPr="004663AE">
              <w:rPr>
                <w:i/>
              </w:rPr>
              <w:t xml:space="preserve">s also a DSM-V diagnosis, so </w:t>
            </w:r>
            <w:r w:rsidR="00CE2149">
              <w:rPr>
                <w:i/>
              </w:rPr>
              <w:t>mental DBQs can be</w:t>
            </w:r>
            <w:r w:rsidRPr="004663AE">
              <w:rPr>
                <w:i/>
              </w:rPr>
              <w:t xml:space="preserve"> requested &amp; it</w:t>
            </w:r>
            <w:r w:rsidR="00CE2149">
              <w:rPr>
                <w:i/>
              </w:rPr>
              <w:t xml:space="preserve"> can be evaluated</w:t>
            </w:r>
            <w:r w:rsidRPr="004663AE">
              <w:rPr>
                <w:i/>
              </w:rPr>
              <w:t xml:space="preserve"> under a mental DC</w:t>
            </w:r>
            <w:r w:rsidR="00CE2149">
              <w:rPr>
                <w:i/>
              </w:rPr>
              <w:t>, but we have been advised to evaluate it as a neurological disorder.</w:t>
            </w:r>
          </w:p>
        </w:tc>
        <w:tc>
          <w:tcPr>
            <w:tcW w:w="1721" w:type="dxa"/>
            <w:noWrap/>
            <w:tcMar>
              <w:top w:w="15" w:type="dxa"/>
              <w:left w:w="15" w:type="dxa"/>
              <w:bottom w:w="0" w:type="dxa"/>
              <w:right w:w="15" w:type="dxa"/>
            </w:tcMar>
            <w:vAlign w:val="bottom"/>
          </w:tcPr>
          <w:p w:rsidR="004663AE" w:rsidRDefault="00013EB8">
            <w:pPr>
              <w:widowControl w:val="0"/>
            </w:pPr>
            <w:r>
              <w:t>8199-8103</w:t>
            </w:r>
          </w:p>
          <w:p w:rsidR="004663AE" w:rsidRPr="00CE2149" w:rsidRDefault="004663AE">
            <w:pPr>
              <w:widowControl w:val="0"/>
              <w:rPr>
                <w:i/>
              </w:rPr>
            </w:pPr>
            <w:r w:rsidRPr="004663AE">
              <w:rPr>
                <w:i/>
              </w:rPr>
              <w:t>OR</w:t>
            </w:r>
            <w:r w:rsidR="00793BAC" w:rsidRPr="004663AE">
              <w:rPr>
                <w:i/>
              </w:rPr>
              <w:t xml:space="preserve"> maybe best under an actual peripheral nerve…</w:t>
            </w:r>
          </w:p>
        </w:tc>
      </w:tr>
      <w:tr w:rsidR="00013EB8" w:rsidTr="0032140A">
        <w:trPr>
          <w:trHeight w:val="255"/>
        </w:trPr>
        <w:tc>
          <w:tcPr>
            <w:tcW w:w="8925" w:type="dxa"/>
            <w:noWrap/>
            <w:tcMar>
              <w:top w:w="15" w:type="dxa"/>
              <w:left w:w="15" w:type="dxa"/>
              <w:bottom w:w="0" w:type="dxa"/>
              <w:right w:w="15" w:type="dxa"/>
            </w:tcMar>
            <w:vAlign w:val="bottom"/>
          </w:tcPr>
          <w:p w:rsidR="00F95CC5" w:rsidRDefault="00013EB8" w:rsidP="003E04B7">
            <w:pPr>
              <w:widowControl w:val="0"/>
              <w:rPr>
                <w:i/>
              </w:rPr>
            </w:pPr>
            <w:r w:rsidRPr="00C5303F">
              <w:t>shin splints</w:t>
            </w:r>
            <w:r w:rsidR="000F009F">
              <w:t xml:space="preserve"> </w:t>
            </w:r>
            <w:r w:rsidRPr="00C5303F">
              <w:t>/</w:t>
            </w:r>
            <w:r w:rsidR="000F009F">
              <w:t xml:space="preserve"> </w:t>
            </w:r>
            <w:r w:rsidRPr="00C5303F">
              <w:t>tibial stress fracture</w:t>
            </w:r>
            <w:r w:rsidR="000F009F">
              <w:t xml:space="preserve">s / medial tibial stress syndrome / </w:t>
            </w:r>
            <w:r w:rsidR="00333AB0">
              <w:t xml:space="preserve">anterior </w:t>
            </w:r>
            <w:r w:rsidR="000F009F">
              <w:t>compartment syndrome</w:t>
            </w:r>
            <w:r w:rsidR="00333AB0">
              <w:t xml:space="preserve"> (different from compartment syndrome requiring a fasciotomy)</w:t>
            </w:r>
            <w:r w:rsidR="000F009F">
              <w:t xml:space="preserve"> / stress fractures</w:t>
            </w:r>
            <w:r w:rsidR="00EF6908" w:rsidRPr="00C5303F">
              <w:t xml:space="preserve"> </w:t>
            </w:r>
            <w:r w:rsidR="008F096A" w:rsidRPr="00C5303F">
              <w:rPr>
                <w:i/>
              </w:rPr>
              <w:t>(</w:t>
            </w:r>
            <w:r w:rsidR="0028206C">
              <w:rPr>
                <w:i/>
              </w:rPr>
              <w:t xml:space="preserve">as of 12/15, </w:t>
            </w:r>
            <w:r w:rsidR="0026495B" w:rsidRPr="00C5303F">
              <w:rPr>
                <w:i/>
              </w:rPr>
              <w:t>use VEB</w:t>
            </w:r>
            <w:r w:rsidR="00C5303F">
              <w:rPr>
                <w:i/>
              </w:rPr>
              <w:t xml:space="preserve">, may have to “Unfilter” to get Musculoskeletal </w:t>
            </w:r>
            <w:r w:rsidR="00F95CC5">
              <w:rPr>
                <w:i/>
              </w:rPr>
              <w:t>–</w:t>
            </w:r>
            <w:r w:rsidR="00C5303F">
              <w:rPr>
                <w:i/>
              </w:rPr>
              <w:t xml:space="preserve"> Other</w:t>
            </w:r>
            <w:r w:rsidR="00F95CC5">
              <w:rPr>
                <w:i/>
              </w:rPr>
              <w:t>)</w:t>
            </w:r>
          </w:p>
          <w:p w:rsidR="00F95CC5" w:rsidRDefault="003E04B7" w:rsidP="003E04B7">
            <w:pPr>
              <w:widowControl w:val="0"/>
              <w:rPr>
                <w:b/>
              </w:rPr>
            </w:pPr>
            <w:r>
              <w:rPr>
                <w:b/>
              </w:rPr>
              <w:t>III.iv.4.A.</w:t>
            </w:r>
            <w:r w:rsidR="00F24959">
              <w:rPr>
                <w:b/>
              </w:rPr>
              <w:t>6.j</w:t>
            </w:r>
            <w:r w:rsidR="00C11614">
              <w:rPr>
                <w:b/>
              </w:rPr>
              <w:t xml:space="preserve"> – good info on i</w:t>
            </w:r>
            <w:r w:rsidR="00C5303F" w:rsidRPr="00C5303F">
              <w:rPr>
                <w:b/>
              </w:rPr>
              <w:t xml:space="preserve">f rate with knee/ankle, or separate &amp; how to name it, </w:t>
            </w:r>
            <w:r w:rsidR="00C5303F">
              <w:rPr>
                <w:b/>
              </w:rPr>
              <w:t>confirms that</w:t>
            </w:r>
            <w:r w:rsidR="00C5303F" w:rsidRPr="00C5303F">
              <w:rPr>
                <w:b/>
              </w:rPr>
              <w:t xml:space="preserve"> use Musculoskeletal - Other calculator within </w:t>
            </w:r>
            <w:r w:rsidR="00D94044" w:rsidRPr="004E16AB">
              <w:rPr>
                <w:rFonts w:ascii="Verdana" w:hAnsi="Verdana"/>
                <w:b/>
                <w:highlight w:val="green"/>
              </w:rPr>
              <w:t>VBMS-R</w:t>
            </w:r>
          </w:p>
          <w:p w:rsidR="00013EB8" w:rsidRDefault="000F009F" w:rsidP="003E04B7">
            <w:pPr>
              <w:widowControl w:val="0"/>
            </w:pPr>
            <w:r>
              <w:rPr>
                <w:b/>
              </w:rPr>
              <w:t>III.iv.4.A.</w:t>
            </w:r>
            <w:r w:rsidR="00F95CC5">
              <w:rPr>
                <w:b/>
              </w:rPr>
              <w:t>6</w:t>
            </w:r>
            <w:r>
              <w:rPr>
                <w:b/>
              </w:rPr>
              <w:t>.</w:t>
            </w:r>
            <w:r w:rsidR="00F95CC5">
              <w:rPr>
                <w:b/>
              </w:rPr>
              <w:t>k</w:t>
            </w:r>
            <w:r>
              <w:rPr>
                <w:b/>
              </w:rPr>
              <w:t xml:space="preserve"> </w:t>
            </w:r>
            <w:r w:rsidRPr="000F009F">
              <w:t>– examples</w:t>
            </w:r>
          </w:p>
          <w:p w:rsidR="00424207" w:rsidRPr="00424207" w:rsidRDefault="00424207" w:rsidP="008A2FE5">
            <w:pPr>
              <w:widowControl w:val="0"/>
              <w:rPr>
                <w:rFonts w:eastAsia="Arial Unicode MS"/>
                <w:b/>
                <w:i/>
              </w:rPr>
            </w:pPr>
            <w:r w:rsidRPr="00424207">
              <w:rPr>
                <w:i/>
              </w:rPr>
              <w:t xml:space="preserve">*manual does not distinguish stress fracture from other fractures, so can SC like a fracture if have x-ray </w:t>
            </w:r>
            <w:r>
              <w:rPr>
                <w:i/>
              </w:rPr>
              <w:t xml:space="preserve">(or other) </w:t>
            </w:r>
            <w:r w:rsidRPr="00424207">
              <w:rPr>
                <w:i/>
              </w:rPr>
              <w:t>evidence in service</w:t>
            </w:r>
            <w:r>
              <w:rPr>
                <w:i/>
              </w:rPr>
              <w:t xml:space="preserve">, per </w:t>
            </w:r>
            <w:r w:rsidR="008A2FE5" w:rsidRPr="008A2FE5">
              <w:rPr>
                <w:b/>
                <w:bCs/>
              </w:rPr>
              <w:t>III.iv.4.A.8</w:t>
            </w:r>
            <w:r w:rsidRPr="008A2FE5">
              <w:rPr>
                <w:b/>
                <w:bCs/>
              </w:rPr>
              <w:t>.a</w:t>
            </w:r>
          </w:p>
        </w:tc>
        <w:tc>
          <w:tcPr>
            <w:tcW w:w="1721" w:type="dxa"/>
            <w:noWrap/>
            <w:tcMar>
              <w:top w:w="15" w:type="dxa"/>
              <w:left w:w="15" w:type="dxa"/>
              <w:bottom w:w="0" w:type="dxa"/>
              <w:right w:w="15" w:type="dxa"/>
            </w:tcMar>
            <w:vAlign w:val="bottom"/>
          </w:tcPr>
          <w:p w:rsidR="00013EB8" w:rsidRDefault="00B74EC4">
            <w:pPr>
              <w:widowControl w:val="0"/>
              <w:rPr>
                <w:rFonts w:eastAsia="Arial Unicode MS"/>
              </w:rPr>
            </w:pPr>
            <w:r>
              <w:t>5299-</w:t>
            </w:r>
            <w:r w:rsidR="00013EB8">
              <w:t>5262</w:t>
            </w:r>
          </w:p>
        </w:tc>
      </w:tr>
      <w:tr w:rsidR="00013EB8" w:rsidTr="0032140A">
        <w:trPr>
          <w:trHeight w:val="255"/>
        </w:trPr>
        <w:tc>
          <w:tcPr>
            <w:tcW w:w="8925" w:type="dxa"/>
            <w:noWrap/>
            <w:tcMar>
              <w:top w:w="15" w:type="dxa"/>
              <w:left w:w="15" w:type="dxa"/>
              <w:bottom w:w="0" w:type="dxa"/>
              <w:right w:w="15" w:type="dxa"/>
            </w:tcMar>
            <w:vAlign w:val="bottom"/>
          </w:tcPr>
          <w:p w:rsidR="00013EB8" w:rsidRDefault="00207CBB" w:rsidP="00D96801">
            <w:pPr>
              <w:widowControl w:val="0"/>
              <w:spacing w:after="120"/>
            </w:pPr>
            <w:r w:rsidRPr="00C5303F">
              <w:t xml:space="preserve">shoulder </w:t>
            </w:r>
            <w:r w:rsidR="00013EB8" w:rsidRPr="00C5303F">
              <w:t>impingement or tendonitis</w:t>
            </w:r>
          </w:p>
          <w:p w:rsidR="002735B9" w:rsidRDefault="00F65D63" w:rsidP="00D96801">
            <w:pPr>
              <w:widowControl w:val="0"/>
              <w:spacing w:after="120"/>
            </w:pPr>
            <w:r w:rsidRPr="002735B9">
              <w:rPr>
                <w:b/>
              </w:rPr>
              <w:t>III.iv.4.A.1.</w:t>
            </w:r>
            <w:r>
              <w:rPr>
                <w:b/>
              </w:rPr>
              <w:t>m</w:t>
            </w:r>
            <w:r w:rsidR="009903A4">
              <w:rPr>
                <w:b/>
              </w:rPr>
              <w:t xml:space="preserve"> -</w:t>
            </w:r>
            <w:r w:rsidR="008119CD">
              <w:t xml:space="preserve"> </w:t>
            </w:r>
            <w:r w:rsidR="002735B9" w:rsidRPr="00B70128">
              <w:t>“For a claimant with a shoulder disability resulting in painful motion of the shoulder joint, the</w:t>
            </w:r>
            <w:r w:rsidR="002735B9" w:rsidRPr="002735B9">
              <w:t xml:space="preserve"> appropriate DC for the joint involved would be </w:t>
            </w:r>
            <w:hyperlink r:id="rId364" w:history="1">
              <w:r w:rsidR="002735B9" w:rsidRPr="002735B9">
                <w:rPr>
                  <w:rStyle w:val="Hyperlink"/>
                </w:rPr>
                <w:t>38 CFR 4.71a, DC 5201</w:t>
              </w:r>
            </w:hyperlink>
            <w:r w:rsidR="002735B9" w:rsidRPr="002735B9">
              <w:t>, and 20 percent would be the minimum compensable rating.”</w:t>
            </w:r>
          </w:p>
          <w:p w:rsidR="000933DB" w:rsidRDefault="000933DB" w:rsidP="000933DB">
            <w:pPr>
              <w:widowControl w:val="0"/>
              <w:rPr>
                <w:lang w:val="en"/>
              </w:rPr>
            </w:pPr>
            <w:r w:rsidRPr="000933DB">
              <w:rPr>
                <w:b/>
                <w:bCs/>
                <w:i/>
              </w:rPr>
              <w:t xml:space="preserve">May 2016 </w:t>
            </w:r>
            <w:r w:rsidRPr="000933DB">
              <w:rPr>
                <w:b/>
                <w:i/>
              </w:rPr>
              <w:t xml:space="preserve">Compensation Service Bulletin (CSB) </w:t>
            </w:r>
            <w:r w:rsidRPr="000933DB">
              <w:t>says change is result of</w:t>
            </w:r>
            <w:r w:rsidRPr="000933DB">
              <w:rPr>
                <w:b/>
                <w:i/>
              </w:rPr>
              <w:t xml:space="preserve"> </w:t>
            </w:r>
            <w:r w:rsidRPr="000933DB">
              <w:rPr>
                <w:lang w:val="en"/>
              </w:rPr>
              <w:t xml:space="preserve">Court of Appeals for Veterans Claims recent decision in </w:t>
            </w:r>
            <w:r w:rsidRPr="000933DB">
              <w:rPr>
                <w:rStyle w:val="Emphasis"/>
                <w:lang w:val="en"/>
              </w:rPr>
              <w:t>Sowers v. McDonald</w:t>
            </w:r>
            <w:r w:rsidRPr="000933DB">
              <w:rPr>
                <w:lang w:val="en"/>
              </w:rPr>
              <w:t>, 27 Vet.App. 472 (2006)</w:t>
            </w:r>
          </w:p>
          <w:p w:rsidR="00CA5E50" w:rsidRDefault="00CA5E50" w:rsidP="000933DB">
            <w:pPr>
              <w:widowControl w:val="0"/>
              <w:rPr>
                <w:lang w:val="en"/>
              </w:rPr>
            </w:pPr>
          </w:p>
          <w:p w:rsidR="00CA5E50" w:rsidRPr="000933DB" w:rsidRDefault="00CA5E50" w:rsidP="000933DB">
            <w:pPr>
              <w:widowControl w:val="0"/>
              <w:rPr>
                <w:rFonts w:eastAsia="Arial Unicode MS"/>
              </w:rPr>
            </w:pPr>
            <w:r>
              <w:t>*MEPSS says tenosynovitis is also known as tendonitis (tendinosis is the same as tendonitis)</w:t>
            </w:r>
          </w:p>
        </w:tc>
        <w:tc>
          <w:tcPr>
            <w:tcW w:w="1721" w:type="dxa"/>
            <w:noWrap/>
            <w:tcMar>
              <w:top w:w="15" w:type="dxa"/>
              <w:left w:w="15" w:type="dxa"/>
              <w:bottom w:w="0" w:type="dxa"/>
              <w:right w:w="15" w:type="dxa"/>
            </w:tcMar>
            <w:vAlign w:val="bottom"/>
          </w:tcPr>
          <w:p w:rsidR="00013EB8" w:rsidRDefault="00BE0377">
            <w:pPr>
              <w:widowControl w:val="0"/>
            </w:pPr>
            <w:r>
              <w:t>5201</w:t>
            </w:r>
          </w:p>
          <w:p w:rsidR="00CA5E50" w:rsidRDefault="00CA5E50">
            <w:pPr>
              <w:widowControl w:val="0"/>
              <w:rPr>
                <w:rFonts w:eastAsia="Arial Unicode MS"/>
              </w:rPr>
            </w:pPr>
            <w:r>
              <w:t>(add 5024 if tendonitis)</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impairment of sphincter control</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7332</w:t>
            </w:r>
          </w:p>
        </w:tc>
      </w:tr>
      <w:tr w:rsidR="008B0F01" w:rsidTr="005F6BAF">
        <w:trPr>
          <w:trHeight w:val="255"/>
        </w:trPr>
        <w:tc>
          <w:tcPr>
            <w:tcW w:w="8925" w:type="dxa"/>
            <w:noWrap/>
            <w:tcMar>
              <w:top w:w="15" w:type="dxa"/>
              <w:left w:w="15" w:type="dxa"/>
              <w:bottom w:w="0" w:type="dxa"/>
              <w:right w:w="15" w:type="dxa"/>
            </w:tcMar>
            <w:vAlign w:val="bottom"/>
          </w:tcPr>
          <w:p w:rsidR="008B0F01" w:rsidRDefault="008B0F01" w:rsidP="005F6BAF">
            <w:pPr>
              <w:widowControl w:val="0"/>
              <w:rPr>
                <w:rFonts w:eastAsia="Arial Unicode MS"/>
              </w:rPr>
            </w:pPr>
            <w:r>
              <w:t>spermatocele</w:t>
            </w:r>
          </w:p>
        </w:tc>
        <w:tc>
          <w:tcPr>
            <w:tcW w:w="1721" w:type="dxa"/>
            <w:noWrap/>
            <w:tcMar>
              <w:top w:w="15" w:type="dxa"/>
              <w:left w:w="15" w:type="dxa"/>
              <w:bottom w:w="0" w:type="dxa"/>
              <w:right w:w="15" w:type="dxa"/>
            </w:tcMar>
            <w:vAlign w:val="bottom"/>
          </w:tcPr>
          <w:p w:rsidR="008B0F01" w:rsidRDefault="008B0F01" w:rsidP="005F6BAF">
            <w:pPr>
              <w:widowControl w:val="0"/>
              <w:rPr>
                <w:rFonts w:eastAsia="Arial Unicode MS"/>
              </w:rPr>
            </w:pPr>
            <w:r>
              <w:t>7599-7529</w:t>
            </w:r>
          </w:p>
        </w:tc>
      </w:tr>
      <w:tr w:rsidR="00013EB8" w:rsidTr="0032140A">
        <w:trPr>
          <w:trHeight w:val="255"/>
        </w:trPr>
        <w:tc>
          <w:tcPr>
            <w:tcW w:w="8925" w:type="dxa"/>
            <w:noWrap/>
            <w:tcMar>
              <w:top w:w="15" w:type="dxa"/>
              <w:left w:w="15" w:type="dxa"/>
              <w:bottom w:w="0" w:type="dxa"/>
              <w:right w:w="15" w:type="dxa"/>
            </w:tcMar>
            <w:vAlign w:val="bottom"/>
          </w:tcPr>
          <w:p w:rsidR="007E5875" w:rsidRDefault="00013EB8" w:rsidP="00196342">
            <w:pPr>
              <w:widowControl w:val="0"/>
            </w:pPr>
            <w:r>
              <w:t xml:space="preserve">sprain or strain of any joint </w:t>
            </w:r>
          </w:p>
          <w:p w:rsidR="00117BFA" w:rsidRPr="00B91D9E" w:rsidRDefault="00013EB8" w:rsidP="00CA5E50">
            <w:pPr>
              <w:widowControl w:val="0"/>
            </w:pPr>
            <w:r w:rsidRPr="003E3140">
              <w:rPr>
                <w:i/>
              </w:rPr>
              <w:t>[</w:t>
            </w:r>
            <w:r w:rsidR="007E5875" w:rsidRPr="003E3140">
              <w:rPr>
                <w:i/>
              </w:rPr>
              <w:t xml:space="preserve">per QRT, Feb/Mar 2013 Bulletin, </w:t>
            </w:r>
            <w:r w:rsidRPr="003E3140">
              <w:rPr>
                <w:i/>
              </w:rPr>
              <w:t>10% not warranted with non-compensable loss of motion with no objective evidence of a limiting factor (pain, etc.) with no diagnosis of arthritis, tendonitis, tenosynovitis, or a</w:t>
            </w:r>
            <w:r w:rsidR="00B91D9E" w:rsidRPr="003E3140">
              <w:rPr>
                <w:i/>
              </w:rPr>
              <w:t>ny other compensable diagnosis]</w:t>
            </w:r>
            <w:r w:rsidR="00CA5E50">
              <w:rPr>
                <w:i/>
              </w:rPr>
              <w:t xml:space="preserve"> </w:t>
            </w:r>
            <w:r w:rsidR="00117BFA">
              <w:t>*MEPSS says tenosynovitis is also known as tendonitis</w:t>
            </w:r>
            <w:r w:rsidR="00CA5E50">
              <w:t xml:space="preserve"> (tendinosis is the same as tendonitis)</w:t>
            </w:r>
          </w:p>
        </w:tc>
        <w:tc>
          <w:tcPr>
            <w:tcW w:w="1721" w:type="dxa"/>
            <w:noWrap/>
            <w:tcMar>
              <w:top w:w="15" w:type="dxa"/>
              <w:left w:w="15" w:type="dxa"/>
              <w:bottom w:w="0" w:type="dxa"/>
              <w:right w:w="15" w:type="dxa"/>
            </w:tcMar>
            <w:vAlign w:val="bottom"/>
          </w:tcPr>
          <w:p w:rsidR="00013EB8" w:rsidRDefault="00013EB8" w:rsidP="00CA5E50">
            <w:pPr>
              <w:widowControl w:val="0"/>
              <w:rPr>
                <w:rFonts w:eastAsia="Arial Unicode MS"/>
              </w:rPr>
            </w:pPr>
            <w:r>
              <w:t>5201, 5206, 5215</w:t>
            </w:r>
            <w:r w:rsidR="00E37F67">
              <w:t>,</w:t>
            </w:r>
            <w:r>
              <w:t xml:space="preserve"> 5252, 52</w:t>
            </w:r>
            <w:r w:rsidR="0020584B">
              <w:t>60</w:t>
            </w:r>
            <w:r>
              <w:t>, 5271, etc.</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substance/drug abuse (see alcoholism/alcohol abuse above)</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9399-9326</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substance abuse mood disorder (for pension)</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9326</w:t>
            </w:r>
          </w:p>
        </w:tc>
      </w:tr>
      <w:tr w:rsidR="00013EB8" w:rsidTr="0032140A">
        <w:trPr>
          <w:trHeight w:val="255"/>
        </w:trPr>
        <w:tc>
          <w:tcPr>
            <w:tcW w:w="8925" w:type="dxa"/>
            <w:noWrap/>
            <w:tcMar>
              <w:top w:w="15" w:type="dxa"/>
              <w:left w:w="15" w:type="dxa"/>
              <w:bottom w:w="0" w:type="dxa"/>
              <w:right w:w="15" w:type="dxa"/>
            </w:tcMar>
            <w:vAlign w:val="bottom"/>
          </w:tcPr>
          <w:p w:rsidR="00013EB8" w:rsidRPr="00E37F67" w:rsidRDefault="00013EB8">
            <w:pPr>
              <w:widowControl w:val="0"/>
            </w:pPr>
            <w:r w:rsidRPr="00E37F67">
              <w:t>supraventricular arrhythmias [or supraventricular tachycardia (SVT)] (see arrhythmias)</w:t>
            </w:r>
          </w:p>
        </w:tc>
        <w:tc>
          <w:tcPr>
            <w:tcW w:w="1721" w:type="dxa"/>
            <w:noWrap/>
            <w:tcMar>
              <w:top w:w="15" w:type="dxa"/>
              <w:left w:w="15" w:type="dxa"/>
              <w:bottom w:w="0" w:type="dxa"/>
              <w:right w:w="15" w:type="dxa"/>
            </w:tcMar>
            <w:vAlign w:val="bottom"/>
          </w:tcPr>
          <w:p w:rsidR="00013EB8" w:rsidRDefault="00013EB8">
            <w:pPr>
              <w:widowControl w:val="0"/>
            </w:pPr>
            <w:r>
              <w:t>7010</w:t>
            </w:r>
          </w:p>
        </w:tc>
      </w:tr>
      <w:tr w:rsidR="00013EB8" w:rsidTr="0032140A">
        <w:trPr>
          <w:trHeight w:val="255"/>
        </w:trPr>
        <w:tc>
          <w:tcPr>
            <w:tcW w:w="8925" w:type="dxa"/>
            <w:noWrap/>
            <w:tcMar>
              <w:top w:w="15" w:type="dxa"/>
              <w:left w:w="15" w:type="dxa"/>
              <w:bottom w:w="0" w:type="dxa"/>
              <w:right w:w="15" w:type="dxa"/>
            </w:tcMar>
            <w:vAlign w:val="bottom"/>
          </w:tcPr>
          <w:p w:rsidR="00601709" w:rsidRDefault="00013EB8" w:rsidP="00601709">
            <w:pPr>
              <w:widowControl w:val="0"/>
            </w:pPr>
            <w:r w:rsidRPr="00E37F67">
              <w:t xml:space="preserve">tachycardias [general term for rapid heart rate] (specific diagnoses are atrial fibrillation (see above), atrial flutter, supraventricular tachycardia (SVT) (see above), ventricular tachycardia and ventricular fibrillation) </w:t>
            </w:r>
          </w:p>
          <w:p w:rsidR="00013EB8" w:rsidRPr="00E37F67" w:rsidRDefault="00601709" w:rsidP="00601709">
            <w:pPr>
              <w:widowControl w:val="0"/>
            </w:pPr>
            <w:r>
              <w:t>**</w:t>
            </w:r>
            <w:r w:rsidR="00013EB8" w:rsidRPr="00E37F67">
              <w:t>need a specific diagnosis for a grant, not just unspecified tachycardia</w:t>
            </w:r>
          </w:p>
        </w:tc>
        <w:tc>
          <w:tcPr>
            <w:tcW w:w="1721" w:type="dxa"/>
            <w:noWrap/>
            <w:tcMar>
              <w:top w:w="15" w:type="dxa"/>
              <w:left w:w="15" w:type="dxa"/>
              <w:bottom w:w="0" w:type="dxa"/>
              <w:right w:w="15" w:type="dxa"/>
            </w:tcMar>
            <w:vAlign w:val="bottom"/>
          </w:tcPr>
          <w:p w:rsidR="00013EB8" w:rsidRDefault="00013EB8">
            <w:pPr>
              <w:widowControl w:val="0"/>
            </w:pPr>
            <w:r>
              <w:t>7099-7010</w:t>
            </w:r>
          </w:p>
        </w:tc>
      </w:tr>
      <w:tr w:rsidR="00CC6698" w:rsidTr="0094205E">
        <w:trPr>
          <w:trHeight w:val="255"/>
        </w:trPr>
        <w:tc>
          <w:tcPr>
            <w:tcW w:w="8925" w:type="dxa"/>
            <w:noWrap/>
            <w:tcMar>
              <w:top w:w="15" w:type="dxa"/>
              <w:left w:w="15" w:type="dxa"/>
              <w:bottom w:w="0" w:type="dxa"/>
              <w:right w:w="15" w:type="dxa"/>
            </w:tcMar>
            <w:vAlign w:val="bottom"/>
          </w:tcPr>
          <w:p w:rsidR="00CC6698" w:rsidRDefault="00CC6698" w:rsidP="0094205E">
            <w:pPr>
              <w:widowControl w:val="0"/>
              <w:rPr>
                <w:rFonts w:eastAsia="Arial Unicode MS"/>
              </w:rPr>
            </w:pPr>
            <w:r>
              <w:t>tardive dyskinesia</w:t>
            </w:r>
          </w:p>
        </w:tc>
        <w:tc>
          <w:tcPr>
            <w:tcW w:w="1721" w:type="dxa"/>
            <w:noWrap/>
            <w:tcMar>
              <w:top w:w="15" w:type="dxa"/>
              <w:left w:w="15" w:type="dxa"/>
              <w:bottom w:w="0" w:type="dxa"/>
              <w:right w:w="15" w:type="dxa"/>
            </w:tcMar>
            <w:vAlign w:val="bottom"/>
          </w:tcPr>
          <w:p w:rsidR="004663AE" w:rsidRDefault="00CC6698" w:rsidP="0094205E">
            <w:pPr>
              <w:widowControl w:val="0"/>
            </w:pPr>
            <w:r>
              <w:t>8199-8103</w:t>
            </w:r>
          </w:p>
          <w:p w:rsidR="00CC6698" w:rsidRPr="004663AE" w:rsidRDefault="004663AE" w:rsidP="0094205E">
            <w:pPr>
              <w:widowControl w:val="0"/>
              <w:rPr>
                <w:rFonts w:eastAsia="Arial Unicode MS"/>
                <w:i/>
              </w:rPr>
            </w:pPr>
            <w:r w:rsidRPr="004663AE">
              <w:rPr>
                <w:i/>
              </w:rPr>
              <w:t>OR</w:t>
            </w:r>
            <w:r w:rsidR="00793BAC" w:rsidRPr="004663AE">
              <w:rPr>
                <w:i/>
              </w:rPr>
              <w:t xml:space="preserve"> maybe best under an actual peripheral nerve…</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pPr>
              <w:widowControl w:val="0"/>
              <w:rPr>
                <w:rFonts w:eastAsia="Arial Unicode MS"/>
              </w:rPr>
            </w:pPr>
            <w:r>
              <w:t>tarsal tunnel syndrome (posterior tibial nerve)</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8525/8625/8725</w:t>
            </w:r>
          </w:p>
        </w:tc>
      </w:tr>
      <w:tr w:rsidR="00013EB8" w:rsidTr="0032140A">
        <w:trPr>
          <w:trHeight w:val="255"/>
        </w:trPr>
        <w:tc>
          <w:tcPr>
            <w:tcW w:w="8925" w:type="dxa"/>
            <w:noWrap/>
            <w:tcMar>
              <w:top w:w="15" w:type="dxa"/>
              <w:left w:w="15" w:type="dxa"/>
              <w:bottom w:w="0" w:type="dxa"/>
              <w:right w:w="15" w:type="dxa"/>
            </w:tcMar>
            <w:vAlign w:val="bottom"/>
          </w:tcPr>
          <w:p w:rsidR="00013EB8" w:rsidRDefault="008B0F01">
            <w:pPr>
              <w:widowControl w:val="0"/>
              <w:rPr>
                <w:rFonts w:eastAsia="Arial Unicode MS"/>
              </w:rPr>
            </w:pPr>
            <w:r>
              <w:t>v</w:t>
            </w:r>
            <w:r w:rsidR="00013EB8">
              <w:t>aricocele</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7599-7529</w:t>
            </w:r>
          </w:p>
        </w:tc>
      </w:tr>
      <w:tr w:rsidR="00013EB8" w:rsidTr="0032140A">
        <w:trPr>
          <w:trHeight w:val="255"/>
        </w:trPr>
        <w:tc>
          <w:tcPr>
            <w:tcW w:w="8925" w:type="dxa"/>
            <w:noWrap/>
            <w:tcMar>
              <w:top w:w="15" w:type="dxa"/>
              <w:left w:w="15" w:type="dxa"/>
              <w:bottom w:w="0" w:type="dxa"/>
              <w:right w:w="15" w:type="dxa"/>
            </w:tcMar>
            <w:vAlign w:val="bottom"/>
          </w:tcPr>
          <w:p w:rsidR="00013EB8" w:rsidRPr="008C2DB9" w:rsidRDefault="002E75AA">
            <w:pPr>
              <w:widowControl w:val="0"/>
              <w:rPr>
                <w:rFonts w:eastAsia="Arial Unicode MS"/>
              </w:rPr>
            </w:pPr>
            <w:r>
              <w:t>v</w:t>
            </w:r>
            <w:r w:rsidR="00013EB8">
              <w:t>ertigo</w:t>
            </w:r>
            <w:r w:rsidR="008C2DB9">
              <w:t xml:space="preserve">  - </w:t>
            </w:r>
            <w:r w:rsidR="00526485">
              <w:rPr>
                <w:b/>
                <w:szCs w:val="24"/>
              </w:rPr>
              <w:t>III.iv.4.N</w:t>
            </w:r>
            <w:r w:rsidR="008C2DB9" w:rsidRPr="0099637C">
              <w:rPr>
                <w:b/>
                <w:szCs w:val="24"/>
              </w:rPr>
              <w:t>.1.e</w:t>
            </w:r>
            <w:r w:rsidR="008C2DB9">
              <w:rPr>
                <w:szCs w:val="24"/>
              </w:rPr>
              <w:t xml:space="preserve"> says grant for disability that accounts for symptom of vertigo, if have such a diagnosis, only grant for vertigo if have no other diagnosis/etiology</w:t>
            </w:r>
          </w:p>
        </w:tc>
        <w:tc>
          <w:tcPr>
            <w:tcW w:w="1721" w:type="dxa"/>
            <w:noWrap/>
            <w:tcMar>
              <w:top w:w="15" w:type="dxa"/>
              <w:left w:w="15" w:type="dxa"/>
              <w:bottom w:w="0" w:type="dxa"/>
              <w:right w:w="15" w:type="dxa"/>
            </w:tcMar>
            <w:vAlign w:val="bottom"/>
          </w:tcPr>
          <w:p w:rsidR="00013EB8" w:rsidRDefault="00013EB8">
            <w:pPr>
              <w:widowControl w:val="0"/>
              <w:rPr>
                <w:rFonts w:eastAsia="Arial Unicode MS"/>
              </w:rPr>
            </w:pPr>
            <w:r>
              <w:t>6204</w:t>
            </w:r>
          </w:p>
        </w:tc>
      </w:tr>
      <w:tr w:rsidR="00653377" w:rsidTr="0032140A">
        <w:trPr>
          <w:trHeight w:val="255"/>
        </w:trPr>
        <w:tc>
          <w:tcPr>
            <w:tcW w:w="8925" w:type="dxa"/>
            <w:noWrap/>
            <w:tcMar>
              <w:top w:w="15" w:type="dxa"/>
              <w:left w:w="15" w:type="dxa"/>
              <w:bottom w:w="0" w:type="dxa"/>
              <w:right w:w="15" w:type="dxa"/>
            </w:tcMar>
            <w:vAlign w:val="bottom"/>
          </w:tcPr>
          <w:p w:rsidR="00653377" w:rsidRDefault="00653377" w:rsidP="006A2C51">
            <w:pPr>
              <w:widowControl w:val="0"/>
            </w:pPr>
            <w:r>
              <w:t xml:space="preserve">verruca vulgaris / wart (I guess we grant this </w:t>
            </w:r>
            <w:r w:rsidR="006A2C51">
              <w:t>as of 2017</w:t>
            </w:r>
            <w:r>
              <w:t>…)</w:t>
            </w:r>
          </w:p>
        </w:tc>
        <w:tc>
          <w:tcPr>
            <w:tcW w:w="1721" w:type="dxa"/>
            <w:noWrap/>
            <w:tcMar>
              <w:top w:w="15" w:type="dxa"/>
              <w:left w:w="15" w:type="dxa"/>
              <w:bottom w:w="0" w:type="dxa"/>
              <w:right w:w="15" w:type="dxa"/>
            </w:tcMar>
            <w:vAlign w:val="bottom"/>
          </w:tcPr>
          <w:p w:rsidR="00653377" w:rsidRDefault="00653377">
            <w:pPr>
              <w:widowControl w:val="0"/>
            </w:pPr>
            <w:r>
              <w:t>7819</w:t>
            </w:r>
          </w:p>
        </w:tc>
      </w:tr>
      <w:tr w:rsidR="00013EB8" w:rsidTr="0032140A">
        <w:trPr>
          <w:trHeight w:val="255"/>
        </w:trPr>
        <w:tc>
          <w:tcPr>
            <w:tcW w:w="8925" w:type="dxa"/>
            <w:noWrap/>
            <w:tcMar>
              <w:top w:w="15" w:type="dxa"/>
              <w:left w:w="15" w:type="dxa"/>
              <w:bottom w:w="0" w:type="dxa"/>
              <w:right w:w="15" w:type="dxa"/>
            </w:tcMar>
            <w:vAlign w:val="bottom"/>
          </w:tcPr>
          <w:p w:rsidR="00013EB8" w:rsidRDefault="00013EB8" w:rsidP="00601709">
            <w:pPr>
              <w:widowControl w:val="0"/>
            </w:pPr>
            <w:r>
              <w:t>ventricular arrhythmias</w:t>
            </w:r>
            <w:r w:rsidR="00601709">
              <w:t xml:space="preserve"> / ventricular tachycardia / ventricular fibrillation  (see arrhythmias) </w:t>
            </w:r>
          </w:p>
        </w:tc>
        <w:tc>
          <w:tcPr>
            <w:tcW w:w="1721" w:type="dxa"/>
            <w:noWrap/>
            <w:tcMar>
              <w:top w:w="15" w:type="dxa"/>
              <w:left w:w="15" w:type="dxa"/>
              <w:bottom w:w="0" w:type="dxa"/>
              <w:right w:w="15" w:type="dxa"/>
            </w:tcMar>
            <w:vAlign w:val="bottom"/>
          </w:tcPr>
          <w:p w:rsidR="00013EB8" w:rsidRDefault="00013EB8">
            <w:pPr>
              <w:widowControl w:val="0"/>
            </w:pPr>
            <w:r>
              <w:t>7011</w:t>
            </w:r>
          </w:p>
        </w:tc>
      </w:tr>
    </w:tbl>
    <w:p w:rsidR="00013EB8" w:rsidRDefault="00013EB8">
      <w:pPr>
        <w:widowControl w:val="0"/>
        <w:pBdr>
          <w:top w:val="single" w:sz="6" w:space="1" w:color="auto"/>
          <w:bottom w:val="single" w:sz="4" w:space="1" w:color="auto"/>
        </w:pBdr>
        <w:tabs>
          <w:tab w:val="left" w:pos="360"/>
        </w:tabs>
        <w:rPr>
          <w:b/>
          <w:i/>
          <w:sz w:val="22"/>
        </w:rPr>
      </w:pPr>
    </w:p>
    <w:p w:rsidR="00595551" w:rsidRDefault="00595551">
      <w:pPr>
        <w:widowControl w:val="0"/>
        <w:tabs>
          <w:tab w:val="left" w:pos="360"/>
        </w:tabs>
        <w:jc w:val="center"/>
        <w:rPr>
          <w:b/>
          <w:i/>
          <w:sz w:val="22"/>
        </w:rPr>
      </w:pPr>
      <w:bookmarkStart w:id="68" w:name="CommonMeds"/>
    </w:p>
    <w:p w:rsidR="00013EB8" w:rsidRDefault="00013EB8">
      <w:pPr>
        <w:widowControl w:val="0"/>
        <w:tabs>
          <w:tab w:val="left" w:pos="360"/>
        </w:tabs>
        <w:jc w:val="center"/>
        <w:rPr>
          <w:b/>
          <w:i/>
          <w:sz w:val="22"/>
        </w:rPr>
      </w:pPr>
      <w:r>
        <w:rPr>
          <w:b/>
          <w:i/>
          <w:sz w:val="22"/>
        </w:rPr>
        <w:t>COMMON MEDICATIONS</w:t>
      </w:r>
    </w:p>
    <w:bookmarkEnd w:id="68"/>
    <w:p w:rsidR="00013EB8" w:rsidRDefault="00013EB8">
      <w:pPr>
        <w:widowControl w:val="0"/>
        <w:rPr>
          <w:b/>
          <w:u w:val="single"/>
        </w:rPr>
      </w:pPr>
    </w:p>
    <w:p w:rsidR="00013EB8" w:rsidRDefault="00013EB8">
      <w:pPr>
        <w:widowControl w:val="0"/>
        <w:rPr>
          <w:b/>
          <w:u w:val="single"/>
        </w:rPr>
        <w:sectPr w:rsidR="00013EB8" w:rsidSect="0078449D">
          <w:footnotePr>
            <w:numRestart w:val="eachSect"/>
          </w:footnotePr>
          <w:type w:val="continuous"/>
          <w:pgSz w:w="12240" w:h="15840" w:code="1"/>
          <w:pgMar w:top="720" w:right="990" w:bottom="720" w:left="720" w:header="720" w:footer="720" w:gutter="0"/>
          <w:cols w:space="720"/>
        </w:sectPr>
      </w:pPr>
    </w:p>
    <w:p w:rsidR="00013EB8" w:rsidRDefault="00013EB8">
      <w:pPr>
        <w:widowControl w:val="0"/>
      </w:pPr>
      <w:r>
        <w:rPr>
          <w:b/>
          <w:u w:val="single"/>
        </w:rPr>
        <w:t>ACNE (&amp; INFECTIONS)</w:t>
      </w:r>
    </w:p>
    <w:p w:rsidR="00013EB8" w:rsidRDefault="00013EB8">
      <w:pPr>
        <w:widowControl w:val="0"/>
      </w:pPr>
      <w:r>
        <w:t>Tetracycline</w:t>
      </w:r>
    </w:p>
    <w:p w:rsidR="00013EB8" w:rsidRDefault="00013EB8">
      <w:pPr>
        <w:widowControl w:val="0"/>
        <w:rPr>
          <w:b/>
          <w:u w:val="single"/>
        </w:rPr>
      </w:pPr>
      <w:r>
        <w:t>Valtrex (</w:t>
      </w:r>
      <w:r w:rsidR="005729D1">
        <w:t xml:space="preserve">herpes, </w:t>
      </w:r>
      <w:r w:rsidR="00B91D9E">
        <w:t>HSV)</w:t>
      </w:r>
    </w:p>
    <w:p w:rsidR="00013EB8" w:rsidRDefault="00013EB8">
      <w:pPr>
        <w:widowControl w:val="0"/>
        <w:rPr>
          <w:b/>
          <w:u w:val="single"/>
        </w:rPr>
      </w:pPr>
    </w:p>
    <w:p w:rsidR="00013EB8" w:rsidRDefault="00013EB8">
      <w:pPr>
        <w:widowControl w:val="0"/>
        <w:rPr>
          <w:b/>
          <w:u w:val="single"/>
        </w:rPr>
      </w:pPr>
      <w:r>
        <w:rPr>
          <w:b/>
          <w:u w:val="single"/>
        </w:rPr>
        <w:t>ANGINA</w:t>
      </w:r>
    </w:p>
    <w:p w:rsidR="00013EB8" w:rsidRDefault="00013EB8">
      <w:pPr>
        <w:widowControl w:val="0"/>
      </w:pPr>
      <w:r>
        <w:t>Cardizem</w:t>
      </w:r>
    </w:p>
    <w:p w:rsidR="00013EB8" w:rsidRDefault="00013EB8">
      <w:pPr>
        <w:widowControl w:val="0"/>
      </w:pPr>
      <w:r>
        <w:t>Dilacor</w:t>
      </w:r>
    </w:p>
    <w:p w:rsidR="00013EB8" w:rsidRDefault="00013EB8">
      <w:pPr>
        <w:widowControl w:val="0"/>
      </w:pPr>
      <w:r>
        <w:t>Imdur</w:t>
      </w:r>
    </w:p>
    <w:p w:rsidR="00013EB8" w:rsidRDefault="00013EB8">
      <w:pPr>
        <w:widowControl w:val="0"/>
      </w:pPr>
      <w:r>
        <w:t>(any type of Nitrate)</w:t>
      </w:r>
    </w:p>
    <w:p w:rsidR="00013EB8" w:rsidRDefault="00013EB8">
      <w:pPr>
        <w:widowControl w:val="0"/>
      </w:pPr>
      <w:r>
        <w:t xml:space="preserve">Nitrostat </w:t>
      </w:r>
    </w:p>
    <w:p w:rsidR="00013EB8" w:rsidRDefault="00013EB8">
      <w:pPr>
        <w:widowControl w:val="0"/>
      </w:pPr>
    </w:p>
    <w:p w:rsidR="00013EB8" w:rsidRDefault="00013EB8">
      <w:pPr>
        <w:widowControl w:val="0"/>
        <w:rPr>
          <w:b/>
          <w:u w:val="single"/>
        </w:rPr>
      </w:pPr>
      <w:r>
        <w:rPr>
          <w:b/>
          <w:u w:val="single"/>
        </w:rPr>
        <w:t>ANXIETY/INSOMNIA</w:t>
      </w:r>
    </w:p>
    <w:p w:rsidR="00013EB8" w:rsidRDefault="00013EB8">
      <w:pPr>
        <w:widowControl w:val="0"/>
        <w:rPr>
          <w:b/>
          <w:u w:val="single"/>
        </w:rPr>
      </w:pPr>
      <w:r>
        <w:t>Klonopin (Benzodiazapines- CNS depressant)</w:t>
      </w:r>
    </w:p>
    <w:p w:rsidR="00013EB8" w:rsidRDefault="00013EB8">
      <w:pPr>
        <w:widowControl w:val="0"/>
        <w:rPr>
          <w:b/>
          <w:u w:val="single"/>
        </w:rPr>
      </w:pPr>
    </w:p>
    <w:p w:rsidR="00013EB8" w:rsidRDefault="00013EB8">
      <w:pPr>
        <w:widowControl w:val="0"/>
        <w:rPr>
          <w:b/>
          <w:u w:val="single"/>
        </w:rPr>
      </w:pPr>
      <w:r>
        <w:rPr>
          <w:b/>
          <w:u w:val="single"/>
        </w:rPr>
        <w:t>DEPRESSION</w:t>
      </w:r>
    </w:p>
    <w:p w:rsidR="00013EB8" w:rsidRDefault="00013EB8">
      <w:pPr>
        <w:widowControl w:val="0"/>
      </w:pPr>
      <w:r>
        <w:t>Elavil</w:t>
      </w:r>
    </w:p>
    <w:p w:rsidR="00013EB8" w:rsidRDefault="00013EB8">
      <w:pPr>
        <w:widowControl w:val="0"/>
      </w:pPr>
      <w:r>
        <w:t>Wellbutrin</w:t>
      </w:r>
    </w:p>
    <w:p w:rsidR="00013EB8" w:rsidRDefault="00013EB8">
      <w:pPr>
        <w:widowControl w:val="0"/>
      </w:pPr>
      <w:r>
        <w:t>Zoloft</w:t>
      </w:r>
    </w:p>
    <w:p w:rsidR="00013EB8" w:rsidRDefault="00013EB8">
      <w:pPr>
        <w:widowControl w:val="0"/>
        <w:rPr>
          <w:b/>
          <w:u w:val="single"/>
        </w:rPr>
      </w:pPr>
    </w:p>
    <w:p w:rsidR="00013EB8" w:rsidRDefault="00013EB8">
      <w:pPr>
        <w:widowControl w:val="0"/>
      </w:pPr>
      <w:r>
        <w:rPr>
          <w:b/>
          <w:u w:val="single"/>
        </w:rPr>
        <w:t>DIABETES</w:t>
      </w:r>
    </w:p>
    <w:p w:rsidR="00013EB8" w:rsidRDefault="00013EB8">
      <w:pPr>
        <w:widowControl w:val="0"/>
      </w:pPr>
      <w:r>
        <w:t>Actos -antidiabetic agent</w:t>
      </w:r>
    </w:p>
    <w:p w:rsidR="00013EB8" w:rsidRDefault="00013EB8">
      <w:pPr>
        <w:widowControl w:val="0"/>
      </w:pPr>
      <w:r>
        <w:t>Avandia</w:t>
      </w:r>
    </w:p>
    <w:p w:rsidR="00013EB8" w:rsidRDefault="00013EB8">
      <w:pPr>
        <w:widowControl w:val="0"/>
      </w:pPr>
      <w:r>
        <w:t>Glipizide -hypoglycemic agent</w:t>
      </w:r>
    </w:p>
    <w:p w:rsidR="00013EB8" w:rsidRDefault="00013EB8">
      <w:pPr>
        <w:widowControl w:val="0"/>
      </w:pPr>
      <w:r>
        <w:t>Metformin (Glucophage) -hypoglycemic agent</w:t>
      </w:r>
    </w:p>
    <w:p w:rsidR="00013EB8" w:rsidRDefault="00013EB8">
      <w:pPr>
        <w:widowControl w:val="0"/>
      </w:pPr>
      <w:r>
        <w:t>Glucotrol/Glyburide</w:t>
      </w:r>
    </w:p>
    <w:p w:rsidR="00013EB8" w:rsidRDefault="00013EB8">
      <w:pPr>
        <w:widowControl w:val="0"/>
      </w:pPr>
      <w:r>
        <w:t>Glyburide &amp; Metformin = Glucovance</w:t>
      </w:r>
    </w:p>
    <w:p w:rsidR="00013EB8" w:rsidRDefault="00013EB8">
      <w:pPr>
        <w:widowControl w:val="0"/>
      </w:pPr>
      <w:r>
        <w:t>Levemir - insulin</w:t>
      </w:r>
    </w:p>
    <w:p w:rsidR="00013EB8" w:rsidRDefault="00013EB8">
      <w:pPr>
        <w:widowControl w:val="0"/>
      </w:pPr>
      <w:r>
        <w:t>Micronase</w:t>
      </w:r>
    </w:p>
    <w:p w:rsidR="00013EB8" w:rsidRDefault="00013EB8">
      <w:pPr>
        <w:widowControl w:val="0"/>
      </w:pPr>
      <w:r>
        <w:t>Tolinase</w:t>
      </w:r>
    </w:p>
    <w:p w:rsidR="00013EB8" w:rsidRDefault="00013EB8">
      <w:pPr>
        <w:widowControl w:val="0"/>
      </w:pPr>
      <w:r>
        <w:rPr>
          <w:color w:val="222222"/>
          <w:lang w:val="en"/>
        </w:rPr>
        <w:t>Pioglitazone</w:t>
      </w:r>
    </w:p>
    <w:p w:rsidR="00013EB8" w:rsidRDefault="00013EB8">
      <w:pPr>
        <w:widowControl w:val="0"/>
        <w:rPr>
          <w:b/>
          <w:u w:val="single"/>
        </w:rPr>
      </w:pPr>
    </w:p>
    <w:p w:rsidR="00013EB8" w:rsidRDefault="00013EB8">
      <w:pPr>
        <w:widowControl w:val="0"/>
        <w:rPr>
          <w:b/>
          <w:u w:val="single"/>
        </w:rPr>
      </w:pPr>
      <w:r>
        <w:rPr>
          <w:b/>
          <w:u w:val="single"/>
        </w:rPr>
        <w:t>EPILEPSY/SEIZURES</w:t>
      </w:r>
    </w:p>
    <w:p w:rsidR="00013EB8" w:rsidRDefault="00013EB8">
      <w:pPr>
        <w:widowControl w:val="0"/>
      </w:pPr>
      <w:r>
        <w:t>Topamax</w:t>
      </w:r>
    </w:p>
    <w:p w:rsidR="00013EB8" w:rsidRDefault="00013EB8">
      <w:pPr>
        <w:widowControl w:val="0"/>
        <w:rPr>
          <w:b/>
          <w:u w:val="single"/>
        </w:rPr>
      </w:pPr>
    </w:p>
    <w:p w:rsidR="00013EB8" w:rsidRDefault="00013EB8">
      <w:pPr>
        <w:widowControl w:val="0"/>
        <w:rPr>
          <w:b/>
          <w:u w:val="single"/>
        </w:rPr>
      </w:pPr>
      <w:r>
        <w:rPr>
          <w:b/>
          <w:u w:val="single"/>
        </w:rPr>
        <w:t>GERD &amp; ULCERS</w:t>
      </w:r>
    </w:p>
    <w:p w:rsidR="00013EB8" w:rsidRDefault="00013EB8">
      <w:pPr>
        <w:widowControl w:val="0"/>
      </w:pPr>
      <w:r>
        <w:t>Prilosec</w:t>
      </w:r>
    </w:p>
    <w:p w:rsidR="00013EB8" w:rsidRDefault="00013EB8">
      <w:pPr>
        <w:widowControl w:val="0"/>
        <w:rPr>
          <w:b/>
          <w:u w:val="single"/>
        </w:rPr>
      </w:pPr>
      <w:r>
        <w:t>Zantac</w:t>
      </w:r>
    </w:p>
    <w:p w:rsidR="00013EB8" w:rsidRDefault="00013EB8">
      <w:pPr>
        <w:widowControl w:val="0"/>
        <w:rPr>
          <w:b/>
          <w:u w:val="single"/>
        </w:rPr>
      </w:pPr>
    </w:p>
    <w:p w:rsidR="00013EB8" w:rsidRDefault="00013EB8">
      <w:pPr>
        <w:widowControl w:val="0"/>
        <w:rPr>
          <w:b/>
          <w:u w:val="single"/>
        </w:rPr>
      </w:pPr>
      <w:r>
        <w:rPr>
          <w:b/>
          <w:u w:val="single"/>
        </w:rPr>
        <w:t>GLAUCOMA</w:t>
      </w:r>
    </w:p>
    <w:p w:rsidR="00013EB8" w:rsidRDefault="00013EB8">
      <w:pPr>
        <w:widowControl w:val="0"/>
      </w:pPr>
      <w:r>
        <w:t>Timolol</w:t>
      </w:r>
    </w:p>
    <w:p w:rsidR="00013EB8" w:rsidRDefault="00013EB8">
      <w:pPr>
        <w:widowControl w:val="0"/>
        <w:rPr>
          <w:b/>
          <w:u w:val="single"/>
        </w:rPr>
      </w:pPr>
    </w:p>
    <w:p w:rsidR="00013EB8" w:rsidRDefault="00013EB8">
      <w:pPr>
        <w:widowControl w:val="0"/>
        <w:rPr>
          <w:b/>
          <w:u w:val="single"/>
        </w:rPr>
      </w:pPr>
      <w:r>
        <w:rPr>
          <w:b/>
          <w:u w:val="single"/>
        </w:rPr>
        <w:t>HEART ATTACK/STROKE/BLOOD CLOT (prevention)</w:t>
      </w:r>
    </w:p>
    <w:p w:rsidR="00013EB8" w:rsidRDefault="00013EB8">
      <w:pPr>
        <w:widowControl w:val="0"/>
      </w:pPr>
      <w:r>
        <w:t xml:space="preserve">Aspirin, sodium bicarbonate, and citric acid combination </w:t>
      </w:r>
    </w:p>
    <w:p w:rsidR="00013EB8" w:rsidRDefault="00013EB8">
      <w:pPr>
        <w:widowControl w:val="0"/>
      </w:pPr>
      <w:r>
        <w:t>[ASA is acetylsalicylic acid or aspirin (group called salicylates)]</w:t>
      </w:r>
    </w:p>
    <w:p w:rsidR="00013EB8" w:rsidRDefault="00013EB8">
      <w:pPr>
        <w:widowControl w:val="0"/>
      </w:pPr>
      <w:r>
        <w:t>Clopidogrel</w:t>
      </w:r>
    </w:p>
    <w:p w:rsidR="00013EB8" w:rsidRDefault="00013EB8">
      <w:pPr>
        <w:widowControl w:val="0"/>
      </w:pPr>
      <w:r>
        <w:t>Ecotrin</w:t>
      </w:r>
    </w:p>
    <w:p w:rsidR="00013EB8" w:rsidRDefault="00013EB8">
      <w:pPr>
        <w:widowControl w:val="0"/>
      </w:pPr>
      <w:r>
        <w:t>Plavix</w:t>
      </w:r>
    </w:p>
    <w:p w:rsidR="00013EB8" w:rsidRDefault="00013EB8">
      <w:pPr>
        <w:widowControl w:val="0"/>
        <w:rPr>
          <w:b/>
          <w:u w:val="single"/>
        </w:rPr>
      </w:pPr>
    </w:p>
    <w:p w:rsidR="00013EB8" w:rsidRDefault="00013EB8">
      <w:pPr>
        <w:widowControl w:val="0"/>
        <w:rPr>
          <w:b/>
          <w:u w:val="single"/>
        </w:rPr>
      </w:pPr>
      <w:r>
        <w:rPr>
          <w:b/>
          <w:u w:val="single"/>
        </w:rPr>
        <w:t>HIGH CHOLESTEROL/TRIGLYCERIDES</w:t>
      </w:r>
    </w:p>
    <w:p w:rsidR="00013EB8" w:rsidRDefault="00013EB8">
      <w:pPr>
        <w:widowControl w:val="0"/>
      </w:pPr>
      <w:r>
        <w:t>Atorvastatin</w:t>
      </w:r>
    </w:p>
    <w:p w:rsidR="00013EB8" w:rsidRDefault="00013EB8">
      <w:pPr>
        <w:widowControl w:val="0"/>
      </w:pPr>
      <w:r>
        <w:t>Gemfibrozil (Lopid)</w:t>
      </w:r>
    </w:p>
    <w:p w:rsidR="00013EB8" w:rsidRDefault="00013EB8">
      <w:pPr>
        <w:widowControl w:val="0"/>
      </w:pPr>
      <w:r>
        <w:t>Lipitor</w:t>
      </w:r>
    </w:p>
    <w:p w:rsidR="00013EB8" w:rsidRDefault="00013EB8">
      <w:pPr>
        <w:widowControl w:val="0"/>
      </w:pPr>
      <w:r>
        <w:t>Zocor</w:t>
      </w:r>
    </w:p>
    <w:p w:rsidR="00013EB8" w:rsidRDefault="00013EB8">
      <w:pPr>
        <w:widowControl w:val="0"/>
        <w:rPr>
          <w:b/>
          <w:u w:val="single"/>
        </w:rPr>
      </w:pPr>
    </w:p>
    <w:p w:rsidR="00013EB8" w:rsidRDefault="00013EB8">
      <w:pPr>
        <w:widowControl w:val="0"/>
        <w:rPr>
          <w:b/>
          <w:u w:val="single"/>
        </w:rPr>
      </w:pPr>
      <w:r>
        <w:rPr>
          <w:b/>
          <w:u w:val="single"/>
        </w:rPr>
        <w:t>HYPERTENSION</w:t>
      </w:r>
    </w:p>
    <w:p w:rsidR="00013EB8" w:rsidRDefault="00013EB8">
      <w:pPr>
        <w:widowControl w:val="0"/>
      </w:pPr>
      <w:r>
        <w:t>Amlodipine (&amp; chest pain)</w:t>
      </w:r>
    </w:p>
    <w:p w:rsidR="00013EB8" w:rsidRDefault="00013EB8">
      <w:pPr>
        <w:widowControl w:val="0"/>
      </w:pPr>
      <w:r>
        <w:t xml:space="preserve">Atenolol </w:t>
      </w:r>
    </w:p>
    <w:p w:rsidR="00013EB8" w:rsidRDefault="00013EB8">
      <w:pPr>
        <w:widowControl w:val="0"/>
      </w:pPr>
      <w:r>
        <w:t>Cardizem</w:t>
      </w:r>
    </w:p>
    <w:p w:rsidR="00013EB8" w:rsidRDefault="00013EB8">
      <w:pPr>
        <w:widowControl w:val="0"/>
      </w:pPr>
      <w:r>
        <w:t>Clonidine</w:t>
      </w:r>
    </w:p>
    <w:p w:rsidR="00013EB8" w:rsidRDefault="00013EB8">
      <w:pPr>
        <w:widowControl w:val="0"/>
      </w:pPr>
      <w:r>
        <w:t>Cozaar</w:t>
      </w:r>
    </w:p>
    <w:p w:rsidR="00013EB8" w:rsidRDefault="00013EB8">
      <w:pPr>
        <w:widowControl w:val="0"/>
      </w:pPr>
      <w:r>
        <w:t>Dilacor</w:t>
      </w:r>
    </w:p>
    <w:p w:rsidR="00013EB8" w:rsidRDefault="00013EB8">
      <w:pPr>
        <w:widowControl w:val="0"/>
      </w:pPr>
      <w:r>
        <w:t>Diltiazem</w:t>
      </w:r>
    </w:p>
    <w:p w:rsidR="00013EB8" w:rsidRDefault="00013EB8">
      <w:pPr>
        <w:widowControl w:val="0"/>
      </w:pPr>
      <w:r>
        <w:t>Enalapril</w:t>
      </w:r>
    </w:p>
    <w:p w:rsidR="00013EB8" w:rsidRDefault="00013EB8">
      <w:pPr>
        <w:widowControl w:val="0"/>
      </w:pPr>
      <w:r>
        <w:t>Felodipine</w:t>
      </w:r>
    </w:p>
    <w:p w:rsidR="00013EB8" w:rsidRDefault="00013EB8">
      <w:pPr>
        <w:widowControl w:val="0"/>
      </w:pPr>
      <w:r>
        <w:t>Fosinopril</w:t>
      </w:r>
    </w:p>
    <w:p w:rsidR="00013EB8" w:rsidRDefault="00013EB8">
      <w:pPr>
        <w:widowControl w:val="0"/>
      </w:pPr>
      <w:r>
        <w:t>Hydrochlorothiazide (HCTZ) [w/something else]</w:t>
      </w:r>
    </w:p>
    <w:p w:rsidR="00013EB8" w:rsidRDefault="00013EB8">
      <w:pPr>
        <w:widowControl w:val="0"/>
      </w:pPr>
      <w:r>
        <w:t>Inderal</w:t>
      </w:r>
    </w:p>
    <w:p w:rsidR="00013EB8" w:rsidRDefault="00013EB8">
      <w:pPr>
        <w:widowControl w:val="0"/>
      </w:pPr>
      <w:r>
        <w:t>Lisinopril</w:t>
      </w:r>
    </w:p>
    <w:p w:rsidR="00013EB8" w:rsidRDefault="00013EB8">
      <w:pPr>
        <w:widowControl w:val="0"/>
      </w:pPr>
      <w:r>
        <w:t>Lopressor</w:t>
      </w:r>
    </w:p>
    <w:p w:rsidR="00013EB8" w:rsidRDefault="00013EB8">
      <w:pPr>
        <w:widowControl w:val="0"/>
      </w:pPr>
      <w:r>
        <w:t>Losartan</w:t>
      </w:r>
    </w:p>
    <w:p w:rsidR="00013EB8" w:rsidRDefault="00013EB8">
      <w:pPr>
        <w:widowControl w:val="0"/>
        <w:rPr>
          <w:b/>
          <w:u w:val="single"/>
        </w:rPr>
      </w:pPr>
      <w:r>
        <w:t>Metoprolol</w:t>
      </w:r>
    </w:p>
    <w:p w:rsidR="00013EB8" w:rsidRDefault="00013EB8">
      <w:pPr>
        <w:widowControl w:val="0"/>
      </w:pPr>
      <w:r>
        <w:t>Monopril</w:t>
      </w:r>
    </w:p>
    <w:p w:rsidR="00013EB8" w:rsidRDefault="00013EB8">
      <w:pPr>
        <w:widowControl w:val="0"/>
      </w:pPr>
      <w:r>
        <w:t>Prazosin</w:t>
      </w:r>
    </w:p>
    <w:p w:rsidR="00013EB8" w:rsidRDefault="00013EB8">
      <w:pPr>
        <w:widowControl w:val="0"/>
      </w:pPr>
      <w:r>
        <w:t>Propranolol</w:t>
      </w:r>
    </w:p>
    <w:p w:rsidR="00013EB8" w:rsidRDefault="00013EB8">
      <w:pPr>
        <w:widowControl w:val="0"/>
      </w:pPr>
      <w:r>
        <w:t>Tenormin</w:t>
      </w:r>
    </w:p>
    <w:p w:rsidR="00013EB8" w:rsidRDefault="00013EB8">
      <w:pPr>
        <w:widowControl w:val="0"/>
      </w:pPr>
      <w:r>
        <w:t>Verapamil</w:t>
      </w:r>
    </w:p>
    <w:p w:rsidR="00013EB8" w:rsidRDefault="00013EB8">
      <w:pPr>
        <w:widowControl w:val="0"/>
      </w:pPr>
      <w:r>
        <w:t>Zestril</w:t>
      </w:r>
    </w:p>
    <w:p w:rsidR="00013EB8" w:rsidRDefault="00013EB8">
      <w:pPr>
        <w:widowControl w:val="0"/>
        <w:rPr>
          <w:b/>
          <w:u w:val="single"/>
        </w:rPr>
      </w:pPr>
    </w:p>
    <w:p w:rsidR="00013EB8" w:rsidRDefault="00013EB8">
      <w:pPr>
        <w:widowControl w:val="0"/>
      </w:pPr>
      <w:r>
        <w:rPr>
          <w:b/>
          <w:u w:val="single"/>
        </w:rPr>
        <w:t>MIGRAINES</w:t>
      </w:r>
    </w:p>
    <w:p w:rsidR="00013EB8" w:rsidRDefault="00013EB8">
      <w:pPr>
        <w:widowControl w:val="0"/>
      </w:pPr>
      <w:r>
        <w:t>Imitrex</w:t>
      </w:r>
    </w:p>
    <w:p w:rsidR="00013EB8" w:rsidRDefault="00013EB8">
      <w:pPr>
        <w:widowControl w:val="0"/>
      </w:pPr>
      <w:r>
        <w:t xml:space="preserve">Midrin </w:t>
      </w:r>
    </w:p>
    <w:p w:rsidR="00013EB8" w:rsidRDefault="00013EB8">
      <w:pPr>
        <w:widowControl w:val="0"/>
      </w:pPr>
    </w:p>
    <w:p w:rsidR="00013EB8" w:rsidRDefault="00013EB8">
      <w:pPr>
        <w:widowControl w:val="0"/>
        <w:rPr>
          <w:b/>
          <w:u w:val="single"/>
        </w:rPr>
      </w:pPr>
      <w:r>
        <w:rPr>
          <w:b/>
          <w:u w:val="single"/>
        </w:rPr>
        <w:t>PSYCHOTIC DISORDERS</w:t>
      </w:r>
    </w:p>
    <w:p w:rsidR="00013EB8" w:rsidRDefault="00013EB8">
      <w:pPr>
        <w:widowControl w:val="0"/>
      </w:pPr>
      <w:r>
        <w:t>Zyprexa</w:t>
      </w:r>
    </w:p>
    <w:p w:rsidR="00013EB8" w:rsidRDefault="00013EB8">
      <w:pPr>
        <w:widowControl w:val="0"/>
      </w:pPr>
    </w:p>
    <w:p w:rsidR="00013EB8" w:rsidRDefault="00013EB8">
      <w:pPr>
        <w:widowControl w:val="0"/>
      </w:pPr>
    </w:p>
    <w:p w:rsidR="00013EB8" w:rsidRDefault="00013EB8">
      <w:pPr>
        <w:widowControl w:val="0"/>
        <w:rPr>
          <w:b/>
          <w:bCs/>
          <w:u w:val="single"/>
        </w:rPr>
      </w:pPr>
      <w:r>
        <w:rPr>
          <w:b/>
          <w:bCs/>
          <w:u w:val="single"/>
        </w:rPr>
        <w:t>MISC MEDS</w:t>
      </w:r>
    </w:p>
    <w:p w:rsidR="00013EB8" w:rsidRDefault="00013EB8">
      <w:pPr>
        <w:widowControl w:val="0"/>
      </w:pPr>
      <w:r>
        <w:t>Augmentin – antibiotic</w:t>
      </w:r>
    </w:p>
    <w:p w:rsidR="00013EB8" w:rsidRDefault="00B91D9E">
      <w:pPr>
        <w:widowControl w:val="0"/>
        <w:sectPr w:rsidR="00013EB8" w:rsidSect="00D96801">
          <w:footerReference w:type="default" r:id="rId365"/>
          <w:footnotePr>
            <w:numRestart w:val="eachSect"/>
          </w:footnotePr>
          <w:type w:val="continuous"/>
          <w:pgSz w:w="12240" w:h="15840" w:code="1"/>
          <w:pgMar w:top="720" w:right="720" w:bottom="720" w:left="720" w:header="720" w:footer="720" w:gutter="0"/>
          <w:cols w:num="3" w:space="720"/>
        </w:sectPr>
      </w:pPr>
      <w:r>
        <w:t>Prednisone – steroid</w:t>
      </w:r>
    </w:p>
    <w:p w:rsidR="00D96801" w:rsidRDefault="00D96801">
      <w:pPr>
        <w:widowControl w:val="0"/>
        <w:pBdr>
          <w:top w:val="double" w:sz="4" w:space="1" w:color="auto"/>
        </w:pBdr>
        <w:tabs>
          <w:tab w:val="left" w:pos="0"/>
          <w:tab w:val="left" w:pos="144"/>
        </w:tabs>
        <w:outlineLvl w:val="0"/>
        <w:rPr>
          <w:b/>
          <w:i/>
          <w:sz w:val="22"/>
        </w:rPr>
        <w:sectPr w:rsidR="00D96801" w:rsidSect="004F5228">
          <w:footerReference w:type="default" r:id="rId366"/>
          <w:footnotePr>
            <w:numRestart w:val="eachSect"/>
          </w:footnotePr>
          <w:type w:val="continuous"/>
          <w:pgSz w:w="12240" w:h="15840" w:code="1"/>
          <w:pgMar w:top="720" w:right="1260" w:bottom="720" w:left="720" w:header="720" w:footer="720" w:gutter="0"/>
          <w:cols w:space="720"/>
          <w:docGrid w:linePitch="360"/>
        </w:sectPr>
      </w:pPr>
    </w:p>
    <w:p w:rsidR="00013EB8" w:rsidRDefault="00013EB8" w:rsidP="00D96801">
      <w:pPr>
        <w:widowControl w:val="0"/>
        <w:pBdr>
          <w:top w:val="double" w:sz="4" w:space="1" w:color="auto"/>
        </w:pBdr>
        <w:tabs>
          <w:tab w:val="left" w:pos="0"/>
          <w:tab w:val="left" w:pos="144"/>
        </w:tabs>
        <w:outlineLvl w:val="0"/>
        <w:rPr>
          <w:b/>
          <w:i/>
          <w:sz w:val="22"/>
        </w:rPr>
      </w:pPr>
      <w:r>
        <w:rPr>
          <w:b/>
          <w:i/>
          <w:sz w:val="22"/>
        </w:rPr>
        <w:br w:type="page"/>
      </w:r>
      <w:bookmarkStart w:id="69" w:name="DirectSC"/>
      <w:r>
        <w:rPr>
          <w:b/>
          <w:i/>
          <w:sz w:val="22"/>
        </w:rPr>
        <w:t xml:space="preserve">DIRECT SERVICE CONNECTION – </w:t>
      </w:r>
    </w:p>
    <w:p w:rsidR="00013EB8" w:rsidRDefault="00013EB8">
      <w:pPr>
        <w:widowControl w:val="0"/>
        <w:tabs>
          <w:tab w:val="left" w:pos="0"/>
          <w:tab w:val="left" w:pos="144"/>
        </w:tabs>
        <w:outlineLvl w:val="0"/>
        <w:rPr>
          <w:b/>
          <w:i/>
          <w:sz w:val="22"/>
        </w:rPr>
      </w:pPr>
    </w:p>
    <w:p w:rsidR="009336CB" w:rsidRDefault="009336CB" w:rsidP="00222094">
      <w:pPr>
        <w:pBdr>
          <w:top w:val="single" w:sz="4" w:space="0" w:color="auto"/>
          <w:left w:val="single" w:sz="4" w:space="4" w:color="auto"/>
          <w:bottom w:val="single" w:sz="4" w:space="1" w:color="auto"/>
          <w:right w:val="single" w:sz="4" w:space="4" w:color="auto"/>
        </w:pBdr>
        <w:rPr>
          <w:szCs w:val="22"/>
        </w:rPr>
      </w:pPr>
      <w:r w:rsidRPr="009336CB">
        <w:rPr>
          <w:szCs w:val="22"/>
        </w:rPr>
        <w:t>Issue:  Service connection for {}.</w:t>
      </w:r>
    </w:p>
    <w:p w:rsidR="009336CB" w:rsidRPr="009336CB" w:rsidRDefault="009336CB" w:rsidP="00222094">
      <w:pPr>
        <w:pBdr>
          <w:top w:val="single" w:sz="4" w:space="0" w:color="auto"/>
          <w:left w:val="single" w:sz="4" w:space="4" w:color="auto"/>
          <w:bottom w:val="single" w:sz="4" w:space="1" w:color="auto"/>
          <w:right w:val="single" w:sz="4" w:space="4" w:color="auto"/>
        </w:pBdr>
        <w:rPr>
          <w:szCs w:val="22"/>
        </w:rPr>
      </w:pPr>
    </w:p>
    <w:p w:rsidR="009336CB" w:rsidRPr="009336CB" w:rsidRDefault="009336CB" w:rsidP="00222094">
      <w:pPr>
        <w:pBdr>
          <w:top w:val="single" w:sz="4" w:space="0" w:color="auto"/>
          <w:left w:val="single" w:sz="4" w:space="4" w:color="auto"/>
          <w:bottom w:val="single" w:sz="4" w:space="1" w:color="auto"/>
          <w:right w:val="single" w:sz="4" w:space="4" w:color="auto"/>
        </w:pBdr>
        <w:rPr>
          <w:szCs w:val="22"/>
        </w:rPr>
      </w:pPr>
      <w:r w:rsidRPr="009336CB">
        <w:rPr>
          <w:szCs w:val="22"/>
        </w:rPr>
        <w:t xml:space="preserve">Decision:  </w:t>
      </w:r>
      <w:r>
        <w:rPr>
          <w:szCs w:val="22"/>
        </w:rPr>
        <w:t>S</w:t>
      </w:r>
      <w:r w:rsidRPr="009336CB">
        <w:rPr>
          <w:szCs w:val="22"/>
        </w:rPr>
        <w:t xml:space="preserve">ervice connection for {} </w:t>
      </w:r>
      <w:r>
        <w:rPr>
          <w:szCs w:val="22"/>
        </w:rPr>
        <w:t>is denied</w:t>
      </w:r>
      <w:r w:rsidRPr="009336CB">
        <w:rPr>
          <w:szCs w:val="22"/>
        </w:rPr>
        <w:t>.</w:t>
      </w:r>
    </w:p>
    <w:p w:rsidR="009336CB" w:rsidRDefault="009336CB">
      <w:pPr>
        <w:widowControl w:val="0"/>
        <w:tabs>
          <w:tab w:val="left" w:pos="0"/>
          <w:tab w:val="left" w:pos="144"/>
        </w:tabs>
        <w:outlineLvl w:val="0"/>
        <w:rPr>
          <w:b/>
          <w:i/>
          <w:sz w:val="22"/>
        </w:rPr>
      </w:pPr>
    </w:p>
    <w:p w:rsidR="009336CB" w:rsidRDefault="009336CB">
      <w:pPr>
        <w:widowControl w:val="0"/>
        <w:tabs>
          <w:tab w:val="left" w:pos="0"/>
          <w:tab w:val="left" w:pos="144"/>
        </w:tabs>
        <w:outlineLvl w:val="0"/>
        <w:rPr>
          <w:b/>
          <w:i/>
          <w:sz w:val="22"/>
        </w:rPr>
      </w:pPr>
    </w:p>
    <w:bookmarkEnd w:id="69"/>
    <w:p w:rsidR="002C1FE6" w:rsidRDefault="002C1FE6" w:rsidP="00922DEB">
      <w:pPr>
        <w:widowControl w:val="0"/>
        <w:numPr>
          <w:ilvl w:val="0"/>
          <w:numId w:val="4"/>
        </w:numPr>
        <w:tabs>
          <w:tab w:val="clear" w:pos="720"/>
          <w:tab w:val="num" w:pos="300"/>
        </w:tabs>
        <w:spacing w:after="120"/>
        <w:ind w:left="302" w:hanging="302"/>
        <w:rPr>
          <w:b/>
          <w:iCs/>
        </w:rPr>
      </w:pPr>
      <w:r>
        <w:rPr>
          <w:b/>
          <w:iCs/>
        </w:rPr>
        <w:t>III.iv.5.C.3</w:t>
      </w:r>
      <w:r w:rsidRPr="002C1FE6">
        <w:rPr>
          <w:iCs/>
        </w:rPr>
        <w:t xml:space="preserve"> – </w:t>
      </w:r>
      <w:r w:rsidR="004F315B">
        <w:rPr>
          <w:iCs/>
        </w:rPr>
        <w:t>effective date</w:t>
      </w:r>
      <w:r w:rsidRPr="002C1FE6">
        <w:rPr>
          <w:iCs/>
        </w:rPr>
        <w:t>s</w:t>
      </w:r>
    </w:p>
    <w:p w:rsidR="00922DEB" w:rsidRDefault="00D46200" w:rsidP="00922DEB">
      <w:pPr>
        <w:widowControl w:val="0"/>
        <w:numPr>
          <w:ilvl w:val="0"/>
          <w:numId w:val="4"/>
        </w:numPr>
        <w:tabs>
          <w:tab w:val="clear" w:pos="720"/>
          <w:tab w:val="num" w:pos="300"/>
        </w:tabs>
        <w:spacing w:after="120"/>
        <w:ind w:left="302" w:hanging="302"/>
        <w:rPr>
          <w:b/>
          <w:iCs/>
        </w:rPr>
      </w:pPr>
      <w:r w:rsidRPr="00D46200">
        <w:rPr>
          <w:b/>
          <w:iCs/>
        </w:rPr>
        <w:t>IV.ii.2.B.1</w:t>
      </w:r>
    </w:p>
    <w:p w:rsidR="00922DEB" w:rsidRDefault="00922DEB" w:rsidP="00E17015">
      <w:pPr>
        <w:widowControl w:val="0"/>
        <w:numPr>
          <w:ilvl w:val="1"/>
          <w:numId w:val="4"/>
        </w:numPr>
        <w:tabs>
          <w:tab w:val="clear" w:pos="1440"/>
          <w:tab w:val="num" w:pos="720"/>
        </w:tabs>
        <w:spacing w:after="120"/>
        <w:ind w:left="720"/>
        <w:rPr>
          <w:iCs/>
        </w:rPr>
      </w:pPr>
      <w:r>
        <w:rPr>
          <w:b/>
          <w:iCs/>
        </w:rPr>
        <w:t xml:space="preserve">IV.ii.2.B.1.b </w:t>
      </w:r>
      <w:r w:rsidRPr="00922DEB">
        <w:rPr>
          <w:iCs/>
        </w:rPr>
        <w:t xml:space="preserve">– grant if shown in STRs &amp; there is a claim </w:t>
      </w:r>
      <w:r w:rsidR="00042E02">
        <w:rPr>
          <w:iCs/>
        </w:rPr>
        <w:t>within one year of</w:t>
      </w:r>
      <w:r w:rsidR="00E67515">
        <w:rPr>
          <w:iCs/>
        </w:rPr>
        <w:t xml:space="preserve"> diagnosis (“near-contemporaneous” “dated approximately within one year prior to the date of the claim being submitted”</w:t>
      </w:r>
      <w:r w:rsidR="00042E02">
        <w:rPr>
          <w:iCs/>
        </w:rPr>
        <w:t>)</w:t>
      </w:r>
      <w:r w:rsidR="00E67515">
        <w:rPr>
          <w:iCs/>
        </w:rPr>
        <w:t xml:space="preserve">, even if not shown </w:t>
      </w:r>
      <w:r w:rsidR="00042E02">
        <w:rPr>
          <w:iCs/>
        </w:rPr>
        <w:t xml:space="preserve">/ </w:t>
      </w:r>
      <w:r w:rsidR="00E67515">
        <w:rPr>
          <w:iCs/>
        </w:rPr>
        <w:t xml:space="preserve">resolved </w:t>
      </w:r>
      <w:r w:rsidRPr="00922DEB">
        <w:rPr>
          <w:iCs/>
        </w:rPr>
        <w:t>on DBQ</w:t>
      </w:r>
      <w:r w:rsidR="00A85818">
        <w:rPr>
          <w:iCs/>
        </w:rPr>
        <w:t xml:space="preserve"> a few months later</w:t>
      </w:r>
    </w:p>
    <w:p w:rsidR="00F762AF" w:rsidRDefault="00F762AF" w:rsidP="00F4175D">
      <w:pPr>
        <w:pStyle w:val="Default"/>
        <w:pBdr>
          <w:top w:val="single" w:sz="4" w:space="1" w:color="auto"/>
          <w:left w:val="single" w:sz="4" w:space="4" w:color="auto"/>
          <w:bottom w:val="single" w:sz="4" w:space="0" w:color="auto"/>
          <w:right w:val="single" w:sz="4" w:space="4" w:color="auto"/>
        </w:pBdr>
        <w:ind w:left="270"/>
        <w:rPr>
          <w:sz w:val="20"/>
          <w:szCs w:val="20"/>
        </w:rPr>
      </w:pPr>
      <w:r w:rsidRPr="007620CC">
        <w:rPr>
          <w:iCs/>
          <w:sz w:val="20"/>
          <w:szCs w:val="20"/>
        </w:rPr>
        <w:t xml:space="preserve">Rating Note:  </w:t>
      </w:r>
      <w:r w:rsidRPr="007620CC">
        <w:rPr>
          <w:sz w:val="20"/>
          <w:szCs w:val="20"/>
        </w:rPr>
        <w:t xml:space="preserve">Although the {} DBQ shows "{} resolved" / </w:t>
      </w:r>
      <w:r w:rsidR="007620CC">
        <w:rPr>
          <w:sz w:val="20"/>
          <w:szCs w:val="20"/>
        </w:rPr>
        <w:t xml:space="preserve">there is </w:t>
      </w:r>
      <w:r w:rsidR="007620CC" w:rsidRPr="007620CC">
        <w:rPr>
          <w:iCs/>
          <w:sz w:val="20"/>
          <w:szCs w:val="20"/>
        </w:rPr>
        <w:t>no current diagnosis because there is no pathology to render a diagnosis</w:t>
      </w:r>
      <w:r w:rsidRPr="007620CC">
        <w:rPr>
          <w:sz w:val="20"/>
          <w:szCs w:val="20"/>
        </w:rPr>
        <w:t xml:space="preserve">, the </w:t>
      </w:r>
      <w:r w:rsidR="007620CC" w:rsidRPr="007620CC">
        <w:rPr>
          <w:sz w:val="20"/>
          <w:szCs w:val="20"/>
        </w:rPr>
        <w:t>STRs show a diagnosis of {}</w:t>
      </w:r>
      <w:r w:rsidRPr="007620CC">
        <w:rPr>
          <w:sz w:val="20"/>
          <w:szCs w:val="20"/>
        </w:rPr>
        <w:t xml:space="preserve"> on </w:t>
      </w:r>
      <w:r w:rsidR="007620CC" w:rsidRPr="007620CC">
        <w:rPr>
          <w:sz w:val="20"/>
          <w:szCs w:val="20"/>
        </w:rPr>
        <w:t>the {date} separation</w:t>
      </w:r>
      <w:r w:rsidRPr="007620CC">
        <w:rPr>
          <w:sz w:val="20"/>
          <w:szCs w:val="20"/>
        </w:rPr>
        <w:t xml:space="preserve"> exam, which is a near-contemporaneous diagnosis</w:t>
      </w:r>
      <w:r w:rsidR="007620CC" w:rsidRPr="007620CC">
        <w:rPr>
          <w:sz w:val="20"/>
          <w:szCs w:val="20"/>
        </w:rPr>
        <w:t>,</w:t>
      </w:r>
      <w:r w:rsidRPr="007620CC">
        <w:rPr>
          <w:sz w:val="20"/>
          <w:szCs w:val="20"/>
        </w:rPr>
        <w:t xml:space="preserve"> per IV.ii.2.B.1.b. </w:t>
      </w:r>
    </w:p>
    <w:p w:rsidR="00914859" w:rsidRDefault="00914859" w:rsidP="00F4175D">
      <w:pPr>
        <w:pStyle w:val="Default"/>
        <w:pBdr>
          <w:top w:val="single" w:sz="4" w:space="1" w:color="auto"/>
          <w:left w:val="single" w:sz="4" w:space="4" w:color="auto"/>
          <w:bottom w:val="single" w:sz="4" w:space="0" w:color="auto"/>
          <w:right w:val="single" w:sz="4" w:space="4" w:color="auto"/>
        </w:pBdr>
        <w:ind w:left="270"/>
        <w:rPr>
          <w:sz w:val="20"/>
          <w:szCs w:val="20"/>
        </w:rPr>
      </w:pPr>
    </w:p>
    <w:p w:rsidR="00914859" w:rsidRPr="007620CC" w:rsidRDefault="00914859" w:rsidP="00F4175D">
      <w:pPr>
        <w:pStyle w:val="Default"/>
        <w:pBdr>
          <w:top w:val="single" w:sz="4" w:space="1" w:color="auto"/>
          <w:left w:val="single" w:sz="4" w:space="4" w:color="auto"/>
          <w:bottom w:val="single" w:sz="4" w:space="0" w:color="auto"/>
          <w:right w:val="single" w:sz="4" w:space="4" w:color="auto"/>
        </w:pBdr>
        <w:ind w:left="270"/>
        <w:rPr>
          <w:sz w:val="20"/>
          <w:szCs w:val="20"/>
        </w:rPr>
      </w:pPr>
      <w:r w:rsidRPr="007620CC">
        <w:rPr>
          <w:iCs/>
          <w:sz w:val="20"/>
          <w:szCs w:val="20"/>
        </w:rPr>
        <w:t xml:space="preserve">Rating Note:  </w:t>
      </w:r>
      <w:r>
        <w:rPr>
          <w:iCs/>
          <w:sz w:val="20"/>
          <w:szCs w:val="20"/>
        </w:rPr>
        <w:t xml:space="preserve">The STRs show complaints of {} on the {date} separation exam, but no diagnosis, so it does not qualify as </w:t>
      </w:r>
      <w:r w:rsidRPr="007620CC">
        <w:rPr>
          <w:sz w:val="20"/>
          <w:szCs w:val="20"/>
        </w:rPr>
        <w:t xml:space="preserve">a near-contemporaneous diagnosis, per IV.ii.2.B.1.b. </w:t>
      </w:r>
    </w:p>
    <w:p w:rsidR="00F93A80" w:rsidRPr="007456B0" w:rsidRDefault="008F4022" w:rsidP="00E17015">
      <w:pPr>
        <w:widowControl w:val="0"/>
        <w:numPr>
          <w:ilvl w:val="1"/>
          <w:numId w:val="4"/>
        </w:numPr>
        <w:tabs>
          <w:tab w:val="clear" w:pos="1440"/>
          <w:tab w:val="num" w:pos="720"/>
        </w:tabs>
        <w:spacing w:before="120" w:after="120"/>
        <w:ind w:left="720"/>
        <w:rPr>
          <w:rStyle w:val="Strong"/>
          <w:b w:val="0"/>
          <w:bCs w:val="0"/>
          <w:sz w:val="18"/>
        </w:rPr>
      </w:pPr>
      <w:r w:rsidRPr="00F93A80">
        <w:rPr>
          <w:b/>
          <w:iCs/>
        </w:rPr>
        <w:t xml:space="preserve">IV.ii.2.B.1.e </w:t>
      </w:r>
      <w:r w:rsidRPr="00F93A80">
        <w:rPr>
          <w:iCs/>
        </w:rPr>
        <w:t>–</w:t>
      </w:r>
      <w:r w:rsidRPr="00F93A80">
        <w:rPr>
          <w:sz w:val="21"/>
          <w:szCs w:val="21"/>
        </w:rPr>
        <w:t xml:space="preserve"> </w:t>
      </w:r>
      <w:r w:rsidRPr="007456B0">
        <w:rPr>
          <w:rStyle w:val="Strong"/>
          <w:szCs w:val="21"/>
        </w:rPr>
        <w:t>Establishing Direct SC Under 38 CFR 3.303(a)</w:t>
      </w:r>
    </w:p>
    <w:p w:rsidR="00F93A80" w:rsidRPr="00F93A80" w:rsidRDefault="00D571C5" w:rsidP="00F93A80">
      <w:pPr>
        <w:widowControl w:val="0"/>
        <w:numPr>
          <w:ilvl w:val="0"/>
          <w:numId w:val="4"/>
        </w:numPr>
        <w:tabs>
          <w:tab w:val="clear" w:pos="720"/>
          <w:tab w:val="num" w:pos="300"/>
        </w:tabs>
        <w:spacing w:after="120"/>
        <w:ind w:left="274"/>
        <w:rPr>
          <w:rStyle w:val="Strong"/>
          <w:b w:val="0"/>
          <w:bCs w:val="0"/>
        </w:rPr>
      </w:pPr>
      <w:hyperlink r:id="rId367" w:history="1">
        <w:r w:rsidR="00F93A80" w:rsidRPr="00F93A80">
          <w:rPr>
            <w:rStyle w:val="Hyperlink"/>
            <w:b/>
            <w:bCs/>
            <w:i/>
          </w:rPr>
          <w:t>April 2017 Quality Call Notes</w:t>
        </w:r>
      </w:hyperlink>
      <w:r w:rsidR="00F93A80" w:rsidRPr="00F93A80">
        <w:rPr>
          <w:rStyle w:val="Hyperlink"/>
          <w:bCs/>
          <w:color w:val="auto"/>
          <w:u w:val="none"/>
        </w:rPr>
        <w:t xml:space="preserve"> – </w:t>
      </w:r>
    </w:p>
    <w:p w:rsidR="008F4022" w:rsidRPr="00F93A80" w:rsidRDefault="008F4022" w:rsidP="00F93A80">
      <w:pPr>
        <w:pStyle w:val="NoSpacing"/>
        <w:spacing w:after="120"/>
        <w:ind w:left="274" w:right="-90"/>
        <w:rPr>
          <w:rFonts w:ascii="Arial" w:hAnsi="Arial"/>
          <w:b/>
          <w:color w:val="FFFFFF"/>
          <w:sz w:val="20"/>
          <w:szCs w:val="22"/>
        </w:rPr>
      </w:pPr>
      <w:r w:rsidRPr="00F93A80">
        <w:rPr>
          <w:rFonts w:ascii="Arial" w:hAnsi="Arial"/>
          <w:b/>
          <w:color w:val="000000"/>
          <w:sz w:val="20"/>
          <w:szCs w:val="22"/>
        </w:rPr>
        <w:t>Question:  Typically, a medical opinion is not requested when the Veteran submits a claim within a year of discharge.  The General Medical examination is conducted and any specialty examinations, but typically no medical opinion is requested/provided.  According to M21-1 IV.ii.2.B.1.e (and, previous guidance provided during Changing the Game), establish service connection under 38 CFR 3.303(a) if the Veteran had an in-service diagnosis of a specific disability and the examiner provided the exact same diagnosis.  So, service connection could be granted without the need for a medical opinion.  Is my understanding of this correct, or are we required to return the examination for a medical opinion, simply because it was not a condition listed under 3.309a?</w:t>
      </w:r>
    </w:p>
    <w:p w:rsidR="008F4022" w:rsidRPr="00F93A80" w:rsidRDefault="008F4022" w:rsidP="00F93A80">
      <w:pPr>
        <w:pStyle w:val="NoSpacing"/>
        <w:spacing w:after="120"/>
        <w:ind w:left="274"/>
        <w:rPr>
          <w:rFonts w:ascii="Arial" w:hAnsi="Arial"/>
          <w:color w:val="FFFFFF"/>
          <w:sz w:val="20"/>
          <w:szCs w:val="22"/>
        </w:rPr>
      </w:pPr>
      <w:r w:rsidRPr="00F93A80">
        <w:rPr>
          <w:rFonts w:ascii="Arial" w:hAnsi="Arial"/>
          <w:color w:val="000000"/>
          <w:sz w:val="20"/>
          <w:szCs w:val="22"/>
        </w:rPr>
        <w:t xml:space="preserve">Answer:  Your understanding is entirely correct.  </w:t>
      </w:r>
      <w:hyperlink r:id="rId368" w:history="1">
        <w:r w:rsidRPr="00F93A80">
          <w:rPr>
            <w:rStyle w:val="Hyperlink"/>
            <w:rFonts w:ascii="Arial" w:hAnsi="Arial"/>
            <w:sz w:val="20"/>
            <w:szCs w:val="22"/>
          </w:rPr>
          <w:t>38 CFR 3.303</w:t>
        </w:r>
      </w:hyperlink>
      <w:r w:rsidRPr="00F93A80">
        <w:rPr>
          <w:rFonts w:ascii="Arial" w:hAnsi="Arial"/>
          <w:color w:val="000000"/>
          <w:sz w:val="20"/>
          <w:szCs w:val="22"/>
        </w:rPr>
        <w:t xml:space="preserve"> does require that a medical nexus shown after discharge is required to support claims not based on chronic disabilities under </w:t>
      </w:r>
      <w:hyperlink r:id="rId369" w:history="1">
        <w:r w:rsidRPr="00F93A80">
          <w:rPr>
            <w:rStyle w:val="Hyperlink"/>
            <w:rFonts w:ascii="Arial" w:hAnsi="Arial"/>
            <w:sz w:val="20"/>
            <w:szCs w:val="22"/>
          </w:rPr>
          <w:t>38 CFR 3.309(a)</w:t>
        </w:r>
      </w:hyperlink>
      <w:r w:rsidRPr="00F93A80">
        <w:rPr>
          <w:rFonts w:ascii="Arial" w:hAnsi="Arial"/>
          <w:color w:val="000000"/>
          <w:sz w:val="20"/>
          <w:szCs w:val="22"/>
        </w:rPr>
        <w:t>; however, in claims received less than one year from RAD, this nexus is shown by the diagnosis on examination matching the diagnosis in service – i.e., continuous symptoms with minimal interruption from service as noted in your manual reference.  If the disability diagnosed on examination is different than the diagnosed disability in service, a medical nexus must be shown by medical opinion linking the current diagnosed disability to the in-service complaint(s).</w:t>
      </w:r>
    </w:p>
    <w:p w:rsidR="008F4022" w:rsidRPr="00922DEB" w:rsidRDefault="008F4022" w:rsidP="00922DEB">
      <w:pPr>
        <w:widowControl w:val="0"/>
        <w:numPr>
          <w:ilvl w:val="0"/>
          <w:numId w:val="4"/>
        </w:numPr>
        <w:tabs>
          <w:tab w:val="clear" w:pos="720"/>
          <w:tab w:val="num" w:pos="300"/>
        </w:tabs>
        <w:spacing w:after="120"/>
        <w:ind w:left="302" w:hanging="302"/>
        <w:rPr>
          <w:iCs/>
        </w:rPr>
      </w:pPr>
      <w:r>
        <w:rPr>
          <w:iCs/>
        </w:rPr>
        <w:t>…</w:t>
      </w:r>
    </w:p>
    <w:p w:rsidR="00013EB8" w:rsidRDefault="00013EB8">
      <w:pPr>
        <w:widowControl w:val="0"/>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684"/>
        <w:gridCol w:w="21"/>
        <w:gridCol w:w="10270"/>
      </w:tblGrid>
      <w:tr w:rsidR="00013EB8" w:rsidRPr="00EF7F22">
        <w:trPr>
          <w:trHeight w:val="270"/>
        </w:trPr>
        <w:tc>
          <w:tcPr>
            <w:tcW w:w="705" w:type="dxa"/>
            <w:gridSpan w:val="2"/>
            <w:tcBorders>
              <w:top w:val="nil"/>
              <w:left w:val="nil"/>
              <w:bottom w:val="nil"/>
              <w:right w:val="nil"/>
            </w:tcBorders>
          </w:tcPr>
          <w:p w:rsidR="00013EB8" w:rsidRPr="00EF7F22" w:rsidRDefault="00013EB8">
            <w:pPr>
              <w:widowControl w:val="0"/>
              <w:numPr>
                <w:ilvl w:val="12"/>
                <w:numId w:val="0"/>
              </w:numPr>
              <w:rPr>
                <w:b/>
              </w:rPr>
            </w:pPr>
            <w:r w:rsidRPr="00F673C9">
              <w:rPr>
                <w:b/>
              </w:rPr>
              <w:t>3.303</w:t>
            </w:r>
          </w:p>
        </w:tc>
        <w:tc>
          <w:tcPr>
            <w:tcW w:w="10270" w:type="dxa"/>
            <w:tcBorders>
              <w:top w:val="nil"/>
              <w:left w:val="nil"/>
              <w:bottom w:val="nil"/>
              <w:right w:val="nil"/>
            </w:tcBorders>
          </w:tcPr>
          <w:p w:rsidR="00EF7F22" w:rsidRPr="00EF7F22" w:rsidRDefault="00013EB8" w:rsidP="00EF7F22">
            <w:pPr>
              <w:widowControl w:val="0"/>
              <w:numPr>
                <w:ilvl w:val="12"/>
                <w:numId w:val="0"/>
              </w:numPr>
              <w:spacing w:after="120"/>
              <w:rPr>
                <w:bCs/>
              </w:rPr>
            </w:pPr>
            <w:r w:rsidRPr="00EF7F22">
              <w:rPr>
                <w:b/>
              </w:rPr>
              <w:t>Principles relating to service connection</w:t>
            </w:r>
            <w:r w:rsidRPr="00EF7F22">
              <w:rPr>
                <w:bCs/>
              </w:rPr>
              <w:t xml:space="preserve"> </w:t>
            </w:r>
          </w:p>
          <w:p w:rsidR="00EF7F22" w:rsidRPr="00EF7F22" w:rsidRDefault="00EF7F22" w:rsidP="00EF7F22">
            <w:pPr>
              <w:widowControl w:val="0"/>
              <w:numPr>
                <w:ilvl w:val="12"/>
                <w:numId w:val="0"/>
              </w:numPr>
              <w:spacing w:after="120"/>
              <w:rPr>
                <w:bCs/>
              </w:rPr>
            </w:pPr>
            <w:r w:rsidRPr="00EF7F22">
              <w:rPr>
                <w:bCs/>
              </w:rPr>
              <w:t>3.303(a) - General</w:t>
            </w:r>
          </w:p>
          <w:p w:rsidR="00BD30DF" w:rsidRPr="00EF7F22" w:rsidRDefault="00EF7F22" w:rsidP="00380255">
            <w:pPr>
              <w:pStyle w:val="BodyText2"/>
              <w:widowControl w:val="0"/>
              <w:numPr>
                <w:ilvl w:val="12"/>
                <w:numId w:val="0"/>
              </w:numPr>
              <w:spacing w:after="120"/>
              <w:rPr>
                <w:b w:val="0"/>
                <w:bCs w:val="0"/>
                <w:iCs/>
                <w:sz w:val="20"/>
              </w:rPr>
            </w:pPr>
            <w:r w:rsidRPr="00EF7F22">
              <w:rPr>
                <w:b w:val="0"/>
                <w:bCs w:val="0"/>
                <w:sz w:val="20"/>
              </w:rPr>
              <w:t>3.303(b) - Chronicity and Continuity</w:t>
            </w:r>
            <w:r w:rsidR="00327FF6">
              <w:rPr>
                <w:bCs w:val="0"/>
                <w:sz w:val="20"/>
              </w:rPr>
              <w:t xml:space="preserve"> </w:t>
            </w:r>
            <w:r w:rsidR="00380255">
              <w:rPr>
                <w:bCs w:val="0"/>
                <w:sz w:val="20"/>
              </w:rPr>
              <w:t xml:space="preserve">- </w:t>
            </w:r>
            <w:r w:rsidR="00380255" w:rsidRPr="00380255">
              <w:rPr>
                <w:b w:val="0"/>
                <w:bCs w:val="0"/>
                <w:sz w:val="20"/>
              </w:rPr>
              <w:t>discusses 3.309(a), chronic disease</w:t>
            </w:r>
          </w:p>
          <w:p w:rsidR="00EF7F22" w:rsidRDefault="00EF7F22" w:rsidP="00EF7F22">
            <w:pPr>
              <w:widowControl w:val="0"/>
              <w:numPr>
                <w:ilvl w:val="12"/>
                <w:numId w:val="0"/>
              </w:numPr>
              <w:spacing w:after="120"/>
              <w:rPr>
                <w:bCs/>
              </w:rPr>
            </w:pPr>
            <w:r>
              <w:rPr>
                <w:bCs/>
              </w:rPr>
              <w:t xml:space="preserve">3.303(c) - </w:t>
            </w:r>
            <w:r w:rsidR="00013EB8" w:rsidRPr="00EF7F22">
              <w:rPr>
                <w:bCs/>
              </w:rPr>
              <w:t>Preservice disabilities note</w:t>
            </w:r>
            <w:r w:rsidR="003E6B7B" w:rsidRPr="00EF7F22">
              <w:rPr>
                <w:bCs/>
              </w:rPr>
              <w:t>d</w:t>
            </w:r>
            <w:r w:rsidR="00013EB8" w:rsidRPr="00EF7F22">
              <w:rPr>
                <w:bCs/>
              </w:rPr>
              <w:t xml:space="preserve"> in service</w:t>
            </w:r>
          </w:p>
          <w:p w:rsidR="00BB1526" w:rsidRPr="00380255" w:rsidRDefault="00EF7F22" w:rsidP="00380255">
            <w:pPr>
              <w:widowControl w:val="0"/>
              <w:numPr>
                <w:ilvl w:val="12"/>
                <w:numId w:val="0"/>
              </w:numPr>
              <w:spacing w:after="120"/>
              <w:rPr>
                <w:bCs/>
              </w:rPr>
            </w:pPr>
            <w:r>
              <w:rPr>
                <w:bCs/>
              </w:rPr>
              <w:t xml:space="preserve">3.303(d) - </w:t>
            </w:r>
            <w:r w:rsidR="00013EB8" w:rsidRPr="00EF7F22">
              <w:rPr>
                <w:bCs/>
              </w:rPr>
              <w:t>Postservice initial diagnosis of d</w:t>
            </w:r>
            <w:r>
              <w:rPr>
                <w:bCs/>
              </w:rPr>
              <w:t>isease</w:t>
            </w:r>
          </w:p>
        </w:tc>
      </w:tr>
      <w:tr w:rsidR="00013EB8">
        <w:tc>
          <w:tcPr>
            <w:tcW w:w="705" w:type="dxa"/>
            <w:gridSpan w:val="2"/>
            <w:tcBorders>
              <w:top w:val="nil"/>
              <w:left w:val="nil"/>
              <w:bottom w:val="nil"/>
              <w:right w:val="nil"/>
            </w:tcBorders>
          </w:tcPr>
          <w:p w:rsidR="00013EB8" w:rsidRDefault="00013EB8">
            <w:pPr>
              <w:widowControl w:val="0"/>
              <w:numPr>
                <w:ilvl w:val="12"/>
                <w:numId w:val="0"/>
              </w:numPr>
              <w:rPr>
                <w:b/>
              </w:rPr>
            </w:pPr>
            <w:r w:rsidRPr="00F673C9">
              <w:rPr>
                <w:b/>
              </w:rPr>
              <w:t>3.304</w:t>
            </w:r>
          </w:p>
        </w:tc>
        <w:tc>
          <w:tcPr>
            <w:tcW w:w="10270" w:type="dxa"/>
            <w:tcBorders>
              <w:top w:val="nil"/>
              <w:left w:val="nil"/>
              <w:bottom w:val="nil"/>
              <w:right w:val="nil"/>
            </w:tcBorders>
          </w:tcPr>
          <w:p w:rsidR="00013EB8" w:rsidRDefault="00013EB8">
            <w:pPr>
              <w:widowControl w:val="0"/>
              <w:numPr>
                <w:ilvl w:val="12"/>
                <w:numId w:val="0"/>
              </w:numPr>
              <w:spacing w:after="120"/>
            </w:pPr>
            <w:r>
              <w:rPr>
                <w:b/>
              </w:rPr>
              <w:t>Direct service connection; wartime and peacetime</w:t>
            </w:r>
            <w:r>
              <w:t xml:space="preserve"> – </w:t>
            </w:r>
          </w:p>
          <w:p w:rsidR="00480496" w:rsidRPr="00F555A4" w:rsidRDefault="00480496" w:rsidP="00F063AF">
            <w:pPr>
              <w:widowControl w:val="0"/>
              <w:numPr>
                <w:ilvl w:val="0"/>
                <w:numId w:val="233"/>
              </w:numPr>
              <w:spacing w:after="120"/>
              <w:ind w:left="330"/>
              <w:rPr>
                <w:b/>
                <w:bCs/>
                <w:color w:val="0000FF"/>
              </w:rPr>
            </w:pPr>
            <w:r w:rsidRPr="00000E48">
              <w:rPr>
                <w:b/>
                <w:bCs/>
                <w:i/>
              </w:rPr>
              <w:t>Collette v. Brown</w:t>
            </w:r>
            <w:r>
              <w:rPr>
                <w:rStyle w:val="Hyperlink"/>
                <w:bCs/>
                <w:u w:val="none"/>
              </w:rPr>
              <w:t xml:space="preserve"> </w:t>
            </w:r>
            <w:r w:rsidRPr="00480496">
              <w:rPr>
                <w:rStyle w:val="Hyperlink"/>
                <w:bCs/>
                <w:color w:val="auto"/>
                <w:u w:val="none"/>
              </w:rPr>
              <w:t>(4/23/96)</w:t>
            </w:r>
          </w:p>
          <w:p w:rsidR="00013EB8" w:rsidRDefault="00013EB8" w:rsidP="00F063AF">
            <w:pPr>
              <w:widowControl w:val="0"/>
              <w:numPr>
                <w:ilvl w:val="0"/>
                <w:numId w:val="233"/>
              </w:numPr>
              <w:tabs>
                <w:tab w:val="left" w:pos="330"/>
              </w:tabs>
              <w:spacing w:after="120"/>
              <w:ind w:left="330"/>
            </w:pPr>
            <w:r>
              <w:rPr>
                <w:b/>
              </w:rPr>
              <w:t>Belcher, 214 F.3d at 1336. 38 C.F.R. § 3.304(b)(3)</w:t>
            </w:r>
            <w:r>
              <w:t xml:space="preserve"> - signed statements against interest made by veterans in service related to the origin of disease or injury cannot be held against the veteran unless the statement is independently corroborated. Belcher argued that section 3.304(b)(3) should be interpreted to include oral statements, and that under such an interpretation the Secretary could not use Belcher’s statements to overcome the presumption of regularity.</w:t>
            </w:r>
          </w:p>
          <w:p w:rsidR="00013EB8" w:rsidRDefault="00013EB8" w:rsidP="00F063AF">
            <w:pPr>
              <w:widowControl w:val="0"/>
              <w:numPr>
                <w:ilvl w:val="0"/>
                <w:numId w:val="233"/>
              </w:numPr>
              <w:tabs>
                <w:tab w:val="left" w:pos="330"/>
              </w:tabs>
              <w:spacing w:after="120"/>
              <w:ind w:left="330"/>
            </w:pPr>
            <w:r>
              <w:rPr>
                <w:b/>
                <w:i/>
              </w:rPr>
              <w:t xml:space="preserve">VAOPGCPREC 3-2003 </w:t>
            </w:r>
            <w:r w:rsidRPr="00F863FB">
              <w:t>(7/16/03)</w:t>
            </w:r>
            <w:r w:rsidR="00E93EB2">
              <w:rPr>
                <w:b/>
                <w:i/>
              </w:rPr>
              <w:t xml:space="preserve"> </w:t>
            </w:r>
            <w:r w:rsidR="00002033">
              <w:rPr>
                <w:b/>
                <w:i/>
              </w:rPr>
              <w:t xml:space="preserve"> </w:t>
            </w:r>
            <w:r>
              <w:t>- To rebut the presumption of sound condition VA must show by clear and unmistakable evidence both that the disease or injury existed prior to service and that the disease or injury was not aggravated by service.  The provisions of 38 CFR 3.304(b)are inconsistent with 38 U.S.C. 1111 insofar as Sec.  3.304(b) states that the presumption of sound condition may be rebutted solely by clear and unmistakable evidence that a disease or injury existed prior to service. Section 3.304(b) is therefore invalid and should not be followed.  3.306(b), which provides that aggravation may not be conceded unless the preexisting condition increased in severity during service, is not inconsistent with 38 U.S.C. 1111 and properly provides that a preexisting injury or disease will be presumed to have been aggravated in service in cases where there was an increase in disability during service. The requirement of an increase in disability in 38 CFR 3.306(b) applies only to determinations concerning the presumption of aggravation and does not apply to determinations concerning the presumption of sound condition.</w:t>
            </w:r>
          </w:p>
          <w:p w:rsidR="00002033" w:rsidRDefault="00013EB8" w:rsidP="00AF7F53">
            <w:pPr>
              <w:widowControl w:val="0"/>
              <w:pBdr>
                <w:top w:val="single" w:sz="8" w:space="1" w:color="auto"/>
                <w:left w:val="single" w:sz="8" w:space="4" w:color="auto"/>
                <w:bottom w:val="single" w:sz="8" w:space="1" w:color="auto"/>
                <w:right w:val="single" w:sz="8" w:space="4" w:color="auto"/>
              </w:pBdr>
              <w:spacing w:after="120"/>
              <w:ind w:left="150" w:right="160"/>
            </w:pPr>
            <w:r w:rsidRPr="00002033">
              <w:rPr>
                <w:i/>
                <w:iCs/>
              </w:rPr>
              <w:t>If veteran claims combat injury, but has no combat medal or confirmed combat</w:t>
            </w:r>
            <w:r>
              <w:t>:  We do not have any confirmatory evidence that you are a combat veteran, which would allow us to use your report as satisfactory lay evidence that an injury was incurred in combat even though there is no offi</w:t>
            </w:r>
            <w:r w:rsidR="00AF7F53">
              <w:t>cial record of such incurrence.</w:t>
            </w:r>
          </w:p>
          <w:p w:rsidR="00E94B83" w:rsidRPr="006707AD" w:rsidRDefault="008A2FE5" w:rsidP="00F063AF">
            <w:pPr>
              <w:widowControl w:val="0"/>
              <w:numPr>
                <w:ilvl w:val="0"/>
                <w:numId w:val="233"/>
              </w:numPr>
              <w:tabs>
                <w:tab w:val="left" w:pos="330"/>
              </w:tabs>
              <w:spacing w:after="120"/>
              <w:ind w:left="330"/>
            </w:pPr>
            <w:bookmarkStart w:id="70" w:name="_Hlk518918957"/>
            <w:r w:rsidRPr="008A2FE5">
              <w:rPr>
                <w:b/>
                <w:bCs/>
              </w:rPr>
              <w:t>III.iv.4.A.8</w:t>
            </w:r>
            <w:r w:rsidR="0069408A" w:rsidRPr="008A2FE5">
              <w:rPr>
                <w:b/>
                <w:bCs/>
              </w:rPr>
              <w:t>.a</w:t>
            </w:r>
            <w:r w:rsidR="00037A17">
              <w:rPr>
                <w:b/>
                <w:bCs/>
              </w:rPr>
              <w:t xml:space="preserve"> </w:t>
            </w:r>
            <w:bookmarkEnd w:id="70"/>
            <w:r w:rsidR="00E94B83">
              <w:rPr>
                <w:bCs/>
              </w:rPr>
              <w:t>– STRs need to document the fracture</w:t>
            </w:r>
            <w:r w:rsidR="00271B60">
              <w:rPr>
                <w:bCs/>
              </w:rPr>
              <w:t xml:space="preserve"> </w:t>
            </w:r>
            <w:r w:rsidR="00F66C88">
              <w:rPr>
                <w:bCs/>
              </w:rPr>
              <w:t xml:space="preserve">(x-ray, surgical report, casting, PEB) </w:t>
            </w:r>
            <w:r w:rsidR="00271B60">
              <w:rPr>
                <w:bCs/>
              </w:rPr>
              <w:t>and</w:t>
            </w:r>
            <w:r w:rsidR="00E94B83">
              <w:rPr>
                <w:bCs/>
              </w:rPr>
              <w:t xml:space="preserve"> veteran needs to claim t</w:t>
            </w:r>
            <w:r w:rsidR="00271B60">
              <w:rPr>
                <w:bCs/>
              </w:rPr>
              <w:t>he fracture/fracture residuals. C</w:t>
            </w:r>
            <w:r w:rsidR="00E94B83">
              <w:rPr>
                <w:bCs/>
              </w:rPr>
              <w:t xml:space="preserve">an grant </w:t>
            </w:r>
            <w:r w:rsidR="00271B60">
              <w:rPr>
                <w:bCs/>
              </w:rPr>
              <w:t>healed fracture even without residual LOM or functional impairment.</w:t>
            </w:r>
            <w:r w:rsidR="009A2237">
              <w:rPr>
                <w:bCs/>
              </w:rPr>
              <w:t xml:space="preserve"> (</w:t>
            </w:r>
            <w:r w:rsidR="009A2237" w:rsidRPr="009A2237">
              <w:rPr>
                <w:bCs/>
                <w:i/>
                <w:color w:val="00B050"/>
              </w:rPr>
              <w:t xml:space="preserve">My Notes: </w:t>
            </w:r>
            <w:r w:rsidR="009A2237" w:rsidRPr="009A2237">
              <w:rPr>
                <w:bCs/>
                <w:i/>
              </w:rPr>
              <w:t>Can probably grant stress fractures too.)</w:t>
            </w:r>
          </w:p>
          <w:p w:rsidR="006707AD" w:rsidRDefault="006707AD" w:rsidP="006707AD">
            <w:pPr>
              <w:widowControl w:val="0"/>
              <w:pBdr>
                <w:top w:val="single" w:sz="4" w:space="1" w:color="auto"/>
                <w:left w:val="single" w:sz="4" w:space="4" w:color="auto"/>
                <w:bottom w:val="single" w:sz="4" w:space="1" w:color="auto"/>
                <w:right w:val="single" w:sz="4" w:space="4" w:color="auto"/>
              </w:pBdr>
              <w:tabs>
                <w:tab w:val="left" w:pos="330"/>
              </w:tabs>
              <w:spacing w:after="120"/>
              <w:ind w:left="150" w:right="250"/>
            </w:pPr>
            <w:r w:rsidRPr="006707AD">
              <w:rPr>
                <w:bCs/>
              </w:rPr>
              <w:t xml:space="preserve">Rating </w:t>
            </w:r>
            <w:r w:rsidRPr="00C5303F">
              <w:rPr>
                <w:bCs/>
              </w:rPr>
              <w:t>Note:</w:t>
            </w:r>
            <w:r w:rsidRPr="00C5303F">
              <w:rPr>
                <w:b/>
                <w:bCs/>
              </w:rPr>
              <w:t xml:space="preserve">  </w:t>
            </w:r>
            <w:r w:rsidRPr="00C5303F">
              <w:t xml:space="preserve">Although the VA examiner indicates that the </w:t>
            </w:r>
            <w:r w:rsidR="00A46221" w:rsidRPr="00C5303F">
              <w:t>{}</w:t>
            </w:r>
            <w:r w:rsidRPr="00C5303F">
              <w:t xml:space="preserve"> fracture is resolved and that </w:t>
            </w:r>
            <w:r w:rsidRPr="008A2FE5">
              <w:t xml:space="preserve">there is no </w:t>
            </w:r>
            <w:r w:rsidR="00A46221" w:rsidRPr="008A2FE5">
              <w:t>{}</w:t>
            </w:r>
            <w:r w:rsidRPr="008A2FE5">
              <w:t xml:space="preserve"> condition that can be associated with military service, the STRs show x-ray evidence of </w:t>
            </w:r>
            <w:r w:rsidR="00A46221" w:rsidRPr="008A2FE5">
              <w:t>{}</w:t>
            </w:r>
            <w:r w:rsidR="0069408A" w:rsidRPr="008A2FE5">
              <w:t xml:space="preserve">, and </w:t>
            </w:r>
            <w:r w:rsidR="008A2FE5" w:rsidRPr="008A2FE5">
              <w:t>III.iv.4.A.8</w:t>
            </w:r>
            <w:r w:rsidR="0069408A" w:rsidRPr="008A2FE5">
              <w:t>.a</w:t>
            </w:r>
            <w:r w:rsidR="00C5303F" w:rsidRPr="00C5303F">
              <w:t xml:space="preserve"> says “SC will be established for a healed fracture even without current residual limited motion or functional impairment of a joint</w:t>
            </w:r>
            <w:r w:rsidR="001946CC">
              <w:t>.”</w:t>
            </w:r>
          </w:p>
          <w:p w:rsidR="004F5F6E" w:rsidRPr="00C84C6D" w:rsidRDefault="00D76247" w:rsidP="00F063AF">
            <w:pPr>
              <w:pStyle w:val="ListParagraph"/>
              <w:widowControl w:val="0"/>
              <w:numPr>
                <w:ilvl w:val="0"/>
                <w:numId w:val="165"/>
              </w:numPr>
              <w:tabs>
                <w:tab w:val="left" w:pos="870"/>
              </w:tabs>
              <w:spacing w:after="120" w:line="240" w:lineRule="auto"/>
              <w:ind w:left="330"/>
              <w:rPr>
                <w:rFonts w:ascii="Arial" w:hAnsi="Arial"/>
                <w:b/>
                <w:sz w:val="20"/>
                <w:szCs w:val="20"/>
              </w:rPr>
            </w:pPr>
            <w:r>
              <w:rPr>
                <w:rFonts w:ascii="Arial" w:hAnsi="Arial"/>
                <w:b/>
                <w:sz w:val="20"/>
                <w:szCs w:val="20"/>
              </w:rPr>
              <w:t xml:space="preserve">IV.ii.2.A.1.d – </w:t>
            </w:r>
            <w:r w:rsidRPr="00D76247">
              <w:rPr>
                <w:rFonts w:ascii="Arial" w:hAnsi="Arial"/>
                <w:sz w:val="20"/>
                <w:szCs w:val="20"/>
              </w:rPr>
              <w:t>invite fractures shown on x-ray (or other objective evidence) in STRs</w:t>
            </w:r>
          </w:p>
        </w:tc>
      </w:tr>
      <w:tr w:rsidR="00013EB8">
        <w:trPr>
          <w:trHeight w:val="963"/>
        </w:trPr>
        <w:tc>
          <w:tcPr>
            <w:tcW w:w="684" w:type="dxa"/>
            <w:tcBorders>
              <w:top w:val="nil"/>
              <w:left w:val="nil"/>
              <w:bottom w:val="nil"/>
              <w:right w:val="nil"/>
            </w:tcBorders>
          </w:tcPr>
          <w:p w:rsidR="00013EB8" w:rsidRDefault="00013EB8">
            <w:pPr>
              <w:widowControl w:val="0"/>
              <w:numPr>
                <w:ilvl w:val="12"/>
                <w:numId w:val="0"/>
              </w:numPr>
              <w:rPr>
                <w:b/>
              </w:rPr>
            </w:pPr>
            <w:r w:rsidRPr="00F673C9">
              <w:rPr>
                <w:b/>
              </w:rPr>
              <w:t>4.9</w:t>
            </w:r>
          </w:p>
        </w:tc>
        <w:tc>
          <w:tcPr>
            <w:tcW w:w="10291" w:type="dxa"/>
            <w:gridSpan w:val="2"/>
            <w:tcBorders>
              <w:top w:val="nil"/>
              <w:left w:val="nil"/>
              <w:bottom w:val="nil"/>
              <w:right w:val="nil"/>
            </w:tcBorders>
          </w:tcPr>
          <w:p w:rsidR="0081002C" w:rsidRDefault="00013EB8">
            <w:pPr>
              <w:widowControl w:val="0"/>
              <w:numPr>
                <w:ilvl w:val="12"/>
                <w:numId w:val="0"/>
              </w:numPr>
              <w:tabs>
                <w:tab w:val="left" w:pos="0"/>
              </w:tabs>
              <w:spacing w:after="120"/>
            </w:pPr>
            <w:r>
              <w:rPr>
                <w:b/>
              </w:rPr>
              <w:t xml:space="preserve">Congenital or </w:t>
            </w:r>
            <w:r w:rsidRPr="0001466A">
              <w:rPr>
                <w:b/>
              </w:rPr>
              <w:t xml:space="preserve">developmental defects </w:t>
            </w:r>
            <w:r w:rsidR="00522D2F" w:rsidRPr="0001466A">
              <w:t>–</w:t>
            </w:r>
            <w:r w:rsidRPr="0001466A">
              <w:t xml:space="preserve"> “congenital or developmental defects</w:t>
            </w:r>
            <w:r w:rsidR="001946CC">
              <w:t>,”</w:t>
            </w:r>
            <w:r w:rsidRPr="0001466A">
              <w:t xml:space="preserve"> “absent, displaced or supernumerary parts”</w:t>
            </w:r>
            <w:r w:rsidR="0001466A" w:rsidRPr="0001466A">
              <w:t xml:space="preserve"> (listed under </w:t>
            </w:r>
            <w:r w:rsidR="00F95CC5">
              <w:rPr>
                <w:b/>
              </w:rPr>
              <w:t>III.iv.4.A.8</w:t>
            </w:r>
            <w:r w:rsidR="0001466A" w:rsidRPr="0001466A">
              <w:rPr>
                <w:b/>
              </w:rPr>
              <w:t>.</w:t>
            </w:r>
            <w:r w:rsidR="00F95CC5">
              <w:rPr>
                <w:b/>
              </w:rPr>
              <w:t>h</w:t>
            </w:r>
            <w:r w:rsidR="0001466A">
              <w:t>, along with subluxation (partial dislocation of a joint), deformity or exostosis (bony overgrowth) of parts, and/or accessory parts</w:t>
            </w:r>
            <w:r w:rsidR="0001466A" w:rsidRPr="0001466A">
              <w:t>)</w:t>
            </w:r>
            <w:r w:rsidRPr="0001466A">
              <w:t>, “refractive error of the eye</w:t>
            </w:r>
            <w:r w:rsidR="001946CC">
              <w:t>,”</w:t>
            </w:r>
            <w:r w:rsidRPr="0001466A">
              <w:t xml:space="preserve"> “personality disorder</w:t>
            </w:r>
            <w:r w:rsidR="001946CC">
              <w:t>,”</w:t>
            </w:r>
            <w:r w:rsidRPr="0001466A">
              <w:t xml:space="preserve"> “mental deficiency” are not diseases</w:t>
            </w:r>
            <w:r>
              <w:t xml:space="preserve"> or injuries in the meaning of applicable legislation for d</w:t>
            </w:r>
            <w:r w:rsidR="0081002C">
              <w:t>isability compensation purposes</w:t>
            </w:r>
          </w:p>
          <w:p w:rsidR="00C1351E" w:rsidRPr="00C1351E" w:rsidRDefault="00C1351E" w:rsidP="00F063AF">
            <w:pPr>
              <w:widowControl w:val="0"/>
              <w:numPr>
                <w:ilvl w:val="0"/>
                <w:numId w:val="165"/>
              </w:numPr>
              <w:tabs>
                <w:tab w:val="left" w:pos="0"/>
              </w:tabs>
              <w:spacing w:after="120"/>
              <w:ind w:left="351"/>
              <w:rPr>
                <w:b/>
                <w:bCs/>
              </w:rPr>
            </w:pPr>
            <w:r w:rsidRPr="00522D2F">
              <w:rPr>
                <w:b/>
                <w:bCs/>
              </w:rPr>
              <w:t>III.iv.4.A</w:t>
            </w:r>
            <w:r w:rsidR="00F95CC5">
              <w:rPr>
                <w:b/>
                <w:bCs/>
              </w:rPr>
              <w:t>.8.h</w:t>
            </w:r>
            <w:r w:rsidRPr="00522D2F">
              <w:rPr>
                <w:b/>
                <w:bCs/>
              </w:rPr>
              <w:t xml:space="preserve"> </w:t>
            </w:r>
            <w:r w:rsidRPr="00522D2F">
              <w:rPr>
                <w:bCs/>
              </w:rPr>
              <w:t xml:space="preserve">– congenital musculoskeletal </w:t>
            </w:r>
            <w:r w:rsidRPr="0001466A">
              <w:rPr>
                <w:b/>
                <w:bCs/>
                <w:sz w:val="24"/>
              </w:rPr>
              <w:t xml:space="preserve">defects </w:t>
            </w:r>
            <w:r w:rsidRPr="00522D2F">
              <w:rPr>
                <w:bCs/>
              </w:rPr>
              <w:t xml:space="preserve">are </w:t>
            </w:r>
            <w:r>
              <w:rPr>
                <w:bCs/>
              </w:rPr>
              <w:t>absence of parts, subluxation (partial dislocation of a joint), deformity or exostosis (bony overgrowth) of parts, accessory or supernumerary (in excess of the normal number) parts, spondylolysis, spina bifida, unstable or exaggerated lumbosacral joints or ankle, incomplete sacralization</w:t>
            </w:r>
          </w:p>
          <w:p w:rsidR="00C1351E" w:rsidRDefault="00C1351E" w:rsidP="00F063AF">
            <w:pPr>
              <w:widowControl w:val="0"/>
              <w:numPr>
                <w:ilvl w:val="0"/>
                <w:numId w:val="165"/>
              </w:numPr>
              <w:tabs>
                <w:tab w:val="left" w:pos="0"/>
              </w:tabs>
              <w:spacing w:after="120"/>
              <w:ind w:left="351"/>
              <w:rPr>
                <w:b/>
                <w:bCs/>
              </w:rPr>
            </w:pPr>
            <w:r w:rsidRPr="007259D5">
              <w:rPr>
                <w:b/>
                <w:bCs/>
              </w:rPr>
              <w:t>IV.ii.2.B</w:t>
            </w:r>
            <w:r>
              <w:rPr>
                <w:b/>
                <w:bCs/>
              </w:rPr>
              <w:t xml:space="preserve">.6.a – </w:t>
            </w:r>
            <w:r w:rsidRPr="00522D2F">
              <w:rPr>
                <w:bCs/>
              </w:rPr>
              <w:t xml:space="preserve">examples of </w:t>
            </w:r>
            <w:r>
              <w:rPr>
                <w:bCs/>
              </w:rPr>
              <w:t xml:space="preserve">congenital or developmental </w:t>
            </w:r>
            <w:r w:rsidRPr="0001466A">
              <w:rPr>
                <w:b/>
                <w:bCs/>
                <w:sz w:val="24"/>
              </w:rPr>
              <w:t xml:space="preserve">defects </w:t>
            </w:r>
            <w:r w:rsidRPr="00522D2F">
              <w:rPr>
                <w:bCs/>
              </w:rPr>
              <w:t xml:space="preserve">are </w:t>
            </w:r>
            <w:r w:rsidRPr="00522D2F">
              <w:t xml:space="preserve">vertebral anomalies such as block (fused) vertebrae, atrial </w:t>
            </w:r>
            <w:r>
              <w:t>septal defect, pectus excavatum, mental deficiency, absent / displaced / supernumerary parts, personality disorder and undescended testicles (these are not diseases or injuries, presumption of sound</w:t>
            </w:r>
            <w:r w:rsidR="00EE3674">
              <w:t>ness does</w:t>
            </w:r>
            <w:r>
              <w:t xml:space="preserve"> not apply)</w:t>
            </w:r>
          </w:p>
          <w:p w:rsidR="00F41001" w:rsidRPr="00FF0858" w:rsidRDefault="00F82612" w:rsidP="00F063AF">
            <w:pPr>
              <w:pStyle w:val="ListParagraph"/>
              <w:widowControl w:val="0"/>
              <w:numPr>
                <w:ilvl w:val="0"/>
                <w:numId w:val="165"/>
              </w:numPr>
              <w:tabs>
                <w:tab w:val="left" w:pos="0"/>
              </w:tabs>
              <w:spacing w:after="120"/>
              <w:ind w:left="351"/>
              <w:rPr>
                <w:rFonts w:ascii="Arial" w:hAnsi="Arial"/>
                <w:sz w:val="20"/>
                <w:szCs w:val="20"/>
              </w:rPr>
            </w:pPr>
            <w:r w:rsidRPr="00C1351E">
              <w:rPr>
                <w:rFonts w:ascii="Arial" w:hAnsi="Arial"/>
                <w:b/>
                <w:sz w:val="20"/>
                <w:szCs w:val="20"/>
              </w:rPr>
              <w:t>IV.ii.2.B.6.</w:t>
            </w:r>
            <w:r w:rsidR="0001466A" w:rsidRPr="00C1351E">
              <w:rPr>
                <w:rFonts w:ascii="Arial" w:hAnsi="Arial"/>
                <w:b/>
                <w:sz w:val="20"/>
                <w:szCs w:val="20"/>
              </w:rPr>
              <w:t>b</w:t>
            </w:r>
            <w:r w:rsidRPr="00C1351E">
              <w:rPr>
                <w:rFonts w:ascii="Arial" w:hAnsi="Arial"/>
                <w:b/>
                <w:sz w:val="20"/>
                <w:szCs w:val="20"/>
              </w:rPr>
              <w:t>, IV.ii.2.B.6.c</w:t>
            </w:r>
            <w:r w:rsidR="0001466A" w:rsidRPr="00C1351E">
              <w:rPr>
                <w:rFonts w:ascii="Arial" w:hAnsi="Arial"/>
                <w:sz w:val="20"/>
                <w:szCs w:val="20"/>
              </w:rPr>
              <w:t xml:space="preserve"> </w:t>
            </w:r>
            <w:r w:rsidRPr="00C1351E">
              <w:rPr>
                <w:rFonts w:ascii="Arial" w:hAnsi="Arial"/>
                <w:sz w:val="20"/>
                <w:szCs w:val="20"/>
              </w:rPr>
              <w:t xml:space="preserve">- </w:t>
            </w:r>
            <w:r w:rsidR="0001466A" w:rsidRPr="00C1351E">
              <w:rPr>
                <w:rFonts w:ascii="Arial" w:hAnsi="Arial"/>
                <w:sz w:val="20"/>
                <w:szCs w:val="20"/>
              </w:rPr>
              <w:t xml:space="preserve">distinguish developmental or hereditary </w:t>
            </w:r>
            <w:r w:rsidR="00013EB8" w:rsidRPr="00C1351E">
              <w:rPr>
                <w:rFonts w:ascii="Arial" w:hAnsi="Arial"/>
                <w:b/>
                <w:sz w:val="24"/>
                <w:szCs w:val="20"/>
              </w:rPr>
              <w:t>diseases</w:t>
            </w:r>
            <w:r w:rsidR="00013EB8" w:rsidRPr="00C1351E">
              <w:rPr>
                <w:rFonts w:ascii="Arial" w:hAnsi="Arial"/>
                <w:sz w:val="20"/>
                <w:szCs w:val="20"/>
              </w:rPr>
              <w:t xml:space="preserve"> (</w:t>
            </w:r>
            <w:r w:rsidR="00C1351E" w:rsidRPr="00C1351E">
              <w:rPr>
                <w:rFonts w:ascii="Arial" w:hAnsi="Arial"/>
                <w:sz w:val="20"/>
                <w:szCs w:val="20"/>
              </w:rPr>
              <w:t>1</w:t>
            </w:r>
            <w:r w:rsidR="0081002C" w:rsidRPr="00C1351E">
              <w:rPr>
                <w:rFonts w:ascii="Arial" w:hAnsi="Arial"/>
                <w:sz w:val="20"/>
                <w:szCs w:val="20"/>
              </w:rPr>
              <w:t>-</w:t>
            </w:r>
            <w:r w:rsidR="00013EB8" w:rsidRPr="00C1351E">
              <w:rPr>
                <w:rFonts w:ascii="Arial" w:hAnsi="Arial"/>
                <w:sz w:val="20"/>
                <w:szCs w:val="20"/>
              </w:rPr>
              <w:t xml:space="preserve">polycystic kidney disease, </w:t>
            </w:r>
            <w:r w:rsidR="00C1351E" w:rsidRPr="00C1351E">
              <w:rPr>
                <w:rFonts w:ascii="Arial" w:hAnsi="Arial"/>
                <w:sz w:val="20"/>
                <w:szCs w:val="20"/>
              </w:rPr>
              <w:t>2</w:t>
            </w:r>
            <w:r w:rsidR="0081002C" w:rsidRPr="00C1351E">
              <w:rPr>
                <w:rFonts w:ascii="Arial" w:hAnsi="Arial"/>
                <w:sz w:val="20"/>
                <w:szCs w:val="20"/>
              </w:rPr>
              <w:t>-</w:t>
            </w:r>
            <w:r w:rsidR="00013EB8" w:rsidRPr="00C1351E">
              <w:rPr>
                <w:rFonts w:ascii="Arial" w:hAnsi="Arial"/>
                <w:sz w:val="20"/>
                <w:szCs w:val="20"/>
              </w:rPr>
              <w:t xml:space="preserve">sickle cell disease, </w:t>
            </w:r>
            <w:r w:rsidR="00C1351E" w:rsidRPr="00C1351E">
              <w:rPr>
                <w:rFonts w:ascii="Arial" w:hAnsi="Arial"/>
                <w:sz w:val="20"/>
                <w:szCs w:val="20"/>
              </w:rPr>
              <w:t>3</w:t>
            </w:r>
            <w:r w:rsidR="00FF0858">
              <w:rPr>
                <w:rFonts w:ascii="Arial" w:hAnsi="Arial"/>
                <w:sz w:val="20"/>
                <w:szCs w:val="20"/>
              </w:rPr>
              <w:t>-retinitis pigmentosa</w:t>
            </w:r>
            <w:r w:rsidR="00FF0858" w:rsidRPr="00FF0858">
              <w:rPr>
                <w:rFonts w:ascii="Arial" w:hAnsi="Arial"/>
                <w:i/>
                <w:sz w:val="18"/>
                <w:szCs w:val="18"/>
              </w:rPr>
              <w:t>,</w:t>
            </w:r>
            <w:r w:rsidR="00FF0858">
              <w:rPr>
                <w:rFonts w:ascii="Arial" w:hAnsi="Arial"/>
                <w:sz w:val="20"/>
                <w:szCs w:val="20"/>
              </w:rPr>
              <w:t xml:space="preserve"> 4</w:t>
            </w:r>
            <w:r w:rsidR="0081002C" w:rsidRPr="00C1351E">
              <w:rPr>
                <w:rFonts w:ascii="Arial" w:hAnsi="Arial"/>
                <w:sz w:val="20"/>
                <w:szCs w:val="20"/>
              </w:rPr>
              <w:t>-</w:t>
            </w:r>
            <w:r w:rsidR="00013EB8" w:rsidRPr="00C1351E">
              <w:rPr>
                <w:rFonts w:ascii="Arial" w:hAnsi="Arial"/>
                <w:sz w:val="20"/>
                <w:szCs w:val="20"/>
              </w:rPr>
              <w:t>Huntington’s chorea)</w:t>
            </w:r>
            <w:r w:rsidR="0001466A" w:rsidRPr="00C1351E">
              <w:rPr>
                <w:rFonts w:ascii="Arial" w:hAnsi="Arial"/>
                <w:sz w:val="20"/>
                <w:szCs w:val="20"/>
              </w:rPr>
              <w:t xml:space="preserve"> &amp; can grant </w:t>
            </w:r>
            <w:r w:rsidR="00013EB8" w:rsidRPr="00C1351E">
              <w:rPr>
                <w:rFonts w:ascii="Arial" w:hAnsi="Arial"/>
                <w:sz w:val="20"/>
                <w:szCs w:val="20"/>
              </w:rPr>
              <w:t>if first manifested in service (or worsened by service)</w:t>
            </w:r>
          </w:p>
          <w:p w:rsidR="00013EB8" w:rsidRDefault="00013EB8" w:rsidP="00F063AF">
            <w:pPr>
              <w:pStyle w:val="Header"/>
              <w:widowControl w:val="0"/>
              <w:numPr>
                <w:ilvl w:val="0"/>
                <w:numId w:val="165"/>
              </w:numPr>
              <w:tabs>
                <w:tab w:val="clear" w:pos="4320"/>
                <w:tab w:val="clear" w:pos="8640"/>
                <w:tab w:val="left" w:pos="0"/>
              </w:tabs>
              <w:spacing w:after="120"/>
              <w:ind w:left="351"/>
            </w:pPr>
            <w:r>
              <w:rPr>
                <w:b/>
                <w:bCs/>
                <w:i/>
                <w:iCs/>
              </w:rPr>
              <w:t>VAOPGCPREC 1-85</w:t>
            </w:r>
            <w:r>
              <w:t xml:space="preserve"> (3/5/85) – distinguished between congenital </w:t>
            </w:r>
            <w:r>
              <w:rPr>
                <w:i/>
                <w:iCs/>
                <w:u w:val="single"/>
              </w:rPr>
              <w:t>defects</w:t>
            </w:r>
            <w:r>
              <w:t xml:space="preserve"> (a structural or inherent abnormality, generally incapable of improvement or deterioration) and congenital </w:t>
            </w:r>
            <w:r>
              <w:rPr>
                <w:i/>
                <w:iCs/>
                <w:u w:val="single"/>
              </w:rPr>
              <w:t>disease</w:t>
            </w:r>
            <w:r>
              <w:t xml:space="preserve"> (capable of improvement or deterioration)</w:t>
            </w:r>
          </w:p>
          <w:p w:rsidR="00013EB8" w:rsidRDefault="00013EB8" w:rsidP="00F063AF">
            <w:pPr>
              <w:pStyle w:val="Header"/>
              <w:widowControl w:val="0"/>
              <w:numPr>
                <w:ilvl w:val="0"/>
                <w:numId w:val="165"/>
              </w:numPr>
              <w:tabs>
                <w:tab w:val="clear" w:pos="4320"/>
                <w:tab w:val="clear" w:pos="8640"/>
                <w:tab w:val="left" w:pos="0"/>
              </w:tabs>
              <w:spacing w:after="120"/>
              <w:ind w:left="351"/>
            </w:pPr>
            <w:r>
              <w:rPr>
                <w:b/>
                <w:bCs/>
                <w:i/>
                <w:iCs/>
              </w:rPr>
              <w:t>VAOPGCPREC 8-88</w:t>
            </w:r>
            <w:r>
              <w:t xml:space="preserve"> (11/7/88) – SC may be granted for hereditary disease which either first manifest themselves during service or which preexist service and progress at an abnormally high rate during service, and the presumption of soundness is not rebutted merely by the fact a disease is hereditary, as a genetic or other familial disposition to develop a disease does not constitute having the disease</w:t>
            </w:r>
          </w:p>
          <w:p w:rsidR="00013EB8" w:rsidRDefault="00D571C5" w:rsidP="00F063AF">
            <w:pPr>
              <w:widowControl w:val="0"/>
              <w:numPr>
                <w:ilvl w:val="0"/>
                <w:numId w:val="165"/>
              </w:numPr>
              <w:tabs>
                <w:tab w:val="left" w:pos="0"/>
              </w:tabs>
              <w:spacing w:after="120"/>
              <w:ind w:left="351"/>
            </w:pPr>
            <w:hyperlink r:id="rId370" w:history="1">
              <w:r w:rsidR="00013EB8">
                <w:rPr>
                  <w:rStyle w:val="Hyperlink"/>
                  <w:b/>
                  <w:bCs/>
                  <w:i/>
                  <w:iCs/>
                </w:rPr>
                <w:t>VAOPGCPREC 1-90</w:t>
              </w:r>
            </w:hyperlink>
            <w:r w:rsidR="00013EB8">
              <w:t xml:space="preserve"> (3/16/90) – presumptive service connection may be granted for disease of hereditary origin since SC may be granted for disease of congenital, developmental or familial (hereditary) origin where such disease was first manifest themselves during service or progressed at an abnormally high rate during service (specifically organic disease of the nervous system); only rebutted by intercurrent causes or willful misconduct</w:t>
            </w:r>
          </w:p>
          <w:p w:rsidR="00750BF0" w:rsidRPr="00522D2F" w:rsidRDefault="00750BF0" w:rsidP="00F063AF">
            <w:pPr>
              <w:widowControl w:val="0"/>
              <w:numPr>
                <w:ilvl w:val="0"/>
                <w:numId w:val="165"/>
              </w:numPr>
              <w:tabs>
                <w:tab w:val="left" w:pos="0"/>
              </w:tabs>
              <w:spacing w:after="120"/>
              <w:ind w:left="351"/>
            </w:pPr>
            <w:r w:rsidRPr="00522D2F">
              <w:t>OGC Precedent Opinions 67-90 and 82-90</w:t>
            </w:r>
          </w:p>
          <w:p w:rsidR="00013EB8" w:rsidRPr="00750BF0" w:rsidRDefault="00013EB8" w:rsidP="00F063AF">
            <w:pPr>
              <w:widowControl w:val="0"/>
              <w:numPr>
                <w:ilvl w:val="0"/>
                <w:numId w:val="165"/>
              </w:numPr>
              <w:tabs>
                <w:tab w:val="left" w:pos="0"/>
              </w:tabs>
              <w:spacing w:after="120"/>
              <w:ind w:left="351"/>
              <w:rPr>
                <w:b/>
                <w:iCs/>
              </w:rPr>
            </w:pPr>
            <w:r>
              <w:rPr>
                <w:iCs/>
              </w:rPr>
              <w:t xml:space="preserve">Per </w:t>
            </w:r>
            <w:hyperlink r:id="rId371" w:history="1">
              <w:r>
                <w:rPr>
                  <w:rStyle w:val="Hyperlink"/>
                  <w:b/>
                  <w:bCs/>
                  <w:i/>
                </w:rPr>
                <w:t>QRT Bulletin June 2012 Addendum</w:t>
              </w:r>
            </w:hyperlink>
            <w:r>
              <w:rPr>
                <w:iCs/>
              </w:rPr>
              <w:t xml:space="preserve"> – can grant SC for ADHD</w:t>
            </w:r>
            <w:r w:rsidR="00B0270A">
              <w:rPr>
                <w:iCs/>
              </w:rPr>
              <w:t xml:space="preserve"> </w:t>
            </w:r>
            <w:r w:rsidR="00B0270A" w:rsidRPr="002843B5">
              <w:rPr>
                <w:iCs/>
              </w:rPr>
              <w:t>(</w:t>
            </w:r>
            <w:r w:rsidR="00B0270A" w:rsidRPr="00C820D0">
              <w:rPr>
                <w:i/>
                <w:iCs/>
                <w:color w:val="00B050"/>
              </w:rPr>
              <w:t>My Notes</w:t>
            </w:r>
            <w:r w:rsidR="002843B5" w:rsidRPr="00C820D0">
              <w:rPr>
                <w:i/>
                <w:iCs/>
                <w:color w:val="00B050"/>
              </w:rPr>
              <w:t xml:space="preserve">: </w:t>
            </w:r>
            <w:r w:rsidR="00E722E2" w:rsidRPr="00C820D0">
              <w:rPr>
                <w:iCs/>
                <w:color w:val="00B050"/>
              </w:rPr>
              <w:t xml:space="preserve"> </w:t>
            </w:r>
            <w:r w:rsidR="00B0270A" w:rsidRPr="00D36CD9">
              <w:rPr>
                <w:i/>
                <w:iCs/>
              </w:rPr>
              <w:t>Use 9499-9440</w:t>
            </w:r>
            <w:r w:rsidR="00B0270A" w:rsidRPr="002843B5">
              <w:rPr>
                <w:iCs/>
              </w:rPr>
              <w:t>)</w:t>
            </w:r>
          </w:p>
          <w:p w:rsidR="00750BF0" w:rsidRDefault="00750BF0" w:rsidP="00F063AF">
            <w:pPr>
              <w:widowControl w:val="0"/>
              <w:numPr>
                <w:ilvl w:val="0"/>
                <w:numId w:val="165"/>
              </w:numPr>
              <w:tabs>
                <w:tab w:val="left" w:pos="0"/>
              </w:tabs>
              <w:spacing w:after="120"/>
              <w:ind w:left="351"/>
              <w:rPr>
                <w:b/>
                <w:iCs/>
              </w:rPr>
            </w:pPr>
            <w:r w:rsidRPr="00EC2F1C">
              <w:rPr>
                <w:b/>
                <w:i/>
                <w:iCs/>
              </w:rPr>
              <w:t>O’Bryan v. McDonald</w:t>
            </w:r>
            <w:r>
              <w:rPr>
                <w:iCs/>
              </w:rPr>
              <w:t xml:space="preserve"> (11/20/14) – </w:t>
            </w:r>
            <w:r w:rsidRPr="00D2728D">
              <w:rPr>
                <w:b/>
                <w:iCs/>
              </w:rPr>
              <w:t>3.303(c)</w:t>
            </w:r>
            <w:r>
              <w:rPr>
                <w:iCs/>
              </w:rPr>
              <w:t xml:space="preserve"> holds that congenital defects are static conditions that are incapable of improvement or deterioration, whereas diseases are capable of such progression</w:t>
            </w:r>
          </w:p>
        </w:tc>
      </w:tr>
    </w:tbl>
    <w:p w:rsidR="00013EB8" w:rsidRDefault="00013EB8">
      <w:pPr>
        <w:widowControl w:val="0"/>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684"/>
        <w:gridCol w:w="10291"/>
      </w:tblGrid>
      <w:tr w:rsidR="00013EB8">
        <w:trPr>
          <w:trHeight w:val="225"/>
        </w:trPr>
        <w:tc>
          <w:tcPr>
            <w:tcW w:w="684" w:type="dxa"/>
            <w:tcBorders>
              <w:top w:val="nil"/>
              <w:left w:val="nil"/>
              <w:bottom w:val="nil"/>
              <w:right w:val="nil"/>
            </w:tcBorders>
          </w:tcPr>
          <w:p w:rsidR="00013EB8" w:rsidRDefault="00013EB8">
            <w:pPr>
              <w:widowControl w:val="0"/>
              <w:numPr>
                <w:ilvl w:val="12"/>
                <w:numId w:val="0"/>
              </w:numPr>
              <w:rPr>
                <w:b/>
              </w:rPr>
            </w:pPr>
            <w:r w:rsidRPr="00F673C9">
              <w:rPr>
                <w:b/>
              </w:rPr>
              <w:t>4.17a</w:t>
            </w:r>
          </w:p>
        </w:tc>
        <w:tc>
          <w:tcPr>
            <w:tcW w:w="10291" w:type="dxa"/>
            <w:tcBorders>
              <w:top w:val="nil"/>
              <w:left w:val="nil"/>
              <w:bottom w:val="nil"/>
              <w:right w:val="nil"/>
            </w:tcBorders>
          </w:tcPr>
          <w:p w:rsidR="00013EB8" w:rsidRDefault="00013EB8">
            <w:pPr>
              <w:widowControl w:val="0"/>
              <w:numPr>
                <w:ilvl w:val="12"/>
                <w:numId w:val="0"/>
              </w:numPr>
              <w:rPr>
                <w:b/>
              </w:rPr>
            </w:pPr>
            <w:r>
              <w:rPr>
                <w:b/>
              </w:rPr>
              <w:t xml:space="preserve">Misconduct etiology </w:t>
            </w:r>
            <w:r>
              <w:t>– ignore misconduct disability if 100% or unemployable from innocently acquired disabilities</w:t>
            </w:r>
          </w:p>
        </w:tc>
      </w:tr>
    </w:tbl>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F673C9">
              <w:rPr>
                <w:b/>
              </w:rPr>
              <w:t>3.300</w:t>
            </w:r>
          </w:p>
        </w:tc>
        <w:tc>
          <w:tcPr>
            <w:tcW w:w="10270" w:type="dxa"/>
            <w:tcBorders>
              <w:top w:val="nil"/>
              <w:left w:val="nil"/>
              <w:bottom w:val="nil"/>
              <w:right w:val="nil"/>
            </w:tcBorders>
          </w:tcPr>
          <w:p w:rsidR="00013EB8" w:rsidRDefault="00013EB8">
            <w:pPr>
              <w:widowControl w:val="0"/>
              <w:numPr>
                <w:ilvl w:val="12"/>
                <w:numId w:val="0"/>
              </w:numPr>
              <w:spacing w:after="120"/>
            </w:pPr>
            <w:r>
              <w:rPr>
                <w:b/>
              </w:rPr>
              <w:t>Claims based on the effects of tobacco products</w:t>
            </w:r>
            <w:r>
              <w:t xml:space="preserve"> – </w:t>
            </w:r>
          </w:p>
          <w:p w:rsidR="00013EB8" w:rsidRDefault="00013EB8" w:rsidP="00333C92">
            <w:pPr>
              <w:widowControl w:val="0"/>
              <w:numPr>
                <w:ilvl w:val="0"/>
                <w:numId w:val="59"/>
              </w:numPr>
              <w:spacing w:after="120"/>
              <w:rPr>
                <w:i/>
              </w:rPr>
            </w:pPr>
            <w:r>
              <w:rPr>
                <w:b/>
                <w:i/>
              </w:rPr>
              <w:t>Judicial Conf Call 1/8/04</w:t>
            </w:r>
            <w:r>
              <w:t xml:space="preserve"> </w:t>
            </w:r>
            <w:r>
              <w:rPr>
                <w:i/>
              </w:rPr>
              <w:t>- tobacco-related conds as secondary to SC conds</w:t>
            </w:r>
          </w:p>
          <w:p w:rsidR="00013EB8" w:rsidRDefault="00013EB8" w:rsidP="00F063AF">
            <w:pPr>
              <w:widowControl w:val="0"/>
              <w:numPr>
                <w:ilvl w:val="0"/>
                <w:numId w:val="233"/>
              </w:numPr>
              <w:tabs>
                <w:tab w:val="left" w:pos="360"/>
              </w:tabs>
              <w:spacing w:after="120"/>
            </w:pPr>
            <w:r>
              <w:rPr>
                <w:b/>
              </w:rPr>
              <w:t>Kane, 17/not published</w:t>
            </w:r>
            <w:r>
              <w:t xml:space="preserve"> - denial of DIC when SC had previously been granted for tobacco use [new claim, nothing granted after end date]</w:t>
            </w:r>
          </w:p>
          <w:p w:rsidR="00013EB8" w:rsidRDefault="00013EB8" w:rsidP="00F063AF">
            <w:pPr>
              <w:widowControl w:val="0"/>
              <w:numPr>
                <w:ilvl w:val="0"/>
                <w:numId w:val="233"/>
              </w:numPr>
              <w:tabs>
                <w:tab w:val="left" w:pos="360"/>
              </w:tabs>
              <w:spacing w:after="120"/>
              <w:rPr>
                <w:b/>
              </w:rPr>
            </w:pPr>
            <w:r>
              <w:rPr>
                <w:b/>
                <w:i/>
              </w:rPr>
              <w:t>Kane v. Principi</w:t>
            </w:r>
            <w:r>
              <w:rPr>
                <w:b/>
              </w:rPr>
              <w:t xml:space="preserve"> (5/8/03)</w:t>
            </w:r>
            <w:r>
              <w:rPr>
                <w:b/>
                <w:i/>
                <w:color w:val="000000"/>
              </w:rPr>
              <w:t xml:space="preserve"> </w:t>
            </w:r>
            <w:r>
              <w:rPr>
                <w:color w:val="000000"/>
              </w:rPr>
              <w:t xml:space="preserve">- </w:t>
            </w:r>
            <w:r>
              <w:t>retroactive effective date of June 9, 1998, as specified by the statute; the court stated that Congress clearly intended that the statute have an effective date of June 9, 1998</w:t>
            </w:r>
          </w:p>
          <w:p w:rsidR="00013EB8" w:rsidRDefault="00013EB8" w:rsidP="00F063AF">
            <w:pPr>
              <w:widowControl w:val="0"/>
              <w:numPr>
                <w:ilvl w:val="0"/>
                <w:numId w:val="233"/>
              </w:numPr>
              <w:tabs>
                <w:tab w:val="left" w:pos="360"/>
              </w:tabs>
              <w:spacing w:after="120"/>
              <w:rPr>
                <w:b/>
              </w:rPr>
            </w:pPr>
            <w:r>
              <w:rPr>
                <w:b/>
                <w:i/>
              </w:rPr>
              <w:t xml:space="preserve">VAOPGCPREC 6-2003 </w:t>
            </w:r>
            <w:r w:rsidRPr="00F863FB">
              <w:t>(10/28/03)</w:t>
            </w:r>
            <w:r>
              <w:t xml:space="preserve"> - A finding of secondary service connection for a disability related to the veteran's use of tobacco products after the veteran's service, where that disability is proximately due to a service-connected disability that is not service connected on the basis of being attributable to the veteran's use of tobacco products during service, is not prohibited. The questions that adjudicators must resolve with regard to a claim for service connection for a tobacco-related disability alleged to be secondary to a disability not service connected on the basis of being attributable to the veteran's use of tobacco products during service are: (1) Whether the service-connected disability caused the veteran to use tobacco products after service; (2) if so, whether the use of tobacco products as a result of the service-connected disability was a substantial factor in causing a secondary disability; and (3) whether the secondary disability would not have occurred but for the use of tobacco products caused by the service-connected disability. If these questions are answered in the affirmative, the secondary disability may be service connected. Further, the secondary disability may be considered as a possible basis for service connection of the veteran's death, applying the rules generally applicable in determining eligibility for dependency and indemnity compensation.</w:t>
            </w:r>
          </w:p>
        </w:tc>
      </w:tr>
    </w:tbl>
    <w:p w:rsidR="00013EB8" w:rsidRDefault="00013EB8">
      <w:pPr>
        <w:widowControl w:val="0"/>
        <w:rPr>
          <w:sz w:val="22"/>
        </w:rPr>
      </w:pPr>
    </w:p>
    <w:p w:rsidR="00013EB8" w:rsidRDefault="00013EB8" w:rsidP="00691877">
      <w:pPr>
        <w:widowControl w:val="0"/>
        <w:numPr>
          <w:ilvl w:val="0"/>
          <w:numId w:val="4"/>
        </w:numPr>
        <w:tabs>
          <w:tab w:val="clear" w:pos="720"/>
          <w:tab w:val="num" w:pos="360"/>
        </w:tabs>
        <w:spacing w:after="120"/>
        <w:ind w:left="360"/>
        <w:rPr>
          <w:i/>
          <w:iCs/>
        </w:rPr>
      </w:pPr>
      <w:r w:rsidRPr="00F673C9">
        <w:rPr>
          <w:b/>
          <w:bCs/>
        </w:rPr>
        <w:t>3.306(b)(1)</w:t>
      </w:r>
      <w:r>
        <w:t xml:space="preserve"> says:  The usual effects of medical and surgical treatment in service, having the effect of ameliorating disease or other conditions incurred before enlistment, including postoperative scars, absent or poorly functioning parts or organs, will not be considered service connected unless the disease or injury is otherwise aggravated by service.</w:t>
      </w:r>
    </w:p>
    <w:p w:rsidR="00013EB8" w:rsidRDefault="00013EB8" w:rsidP="00D2563F">
      <w:pPr>
        <w:widowControl w:val="0"/>
        <w:numPr>
          <w:ilvl w:val="12"/>
          <w:numId w:val="0"/>
        </w:numPr>
        <w:pBdr>
          <w:top w:val="single" w:sz="4" w:space="1" w:color="auto"/>
          <w:left w:val="single" w:sz="4" w:space="4" w:color="auto"/>
          <w:bottom w:val="single" w:sz="4" w:space="1" w:color="auto"/>
          <w:right w:val="single" w:sz="4" w:space="4" w:color="auto"/>
        </w:pBdr>
      </w:pPr>
      <w:r>
        <w:rPr>
          <w:highlight w:val="magenta"/>
        </w:rPr>
        <w:t xml:space="preserve">Per May and August 2009 </w:t>
      </w:r>
      <w:r>
        <w:rPr>
          <w:b/>
          <w:bCs/>
          <w:highlight w:val="magenta"/>
        </w:rPr>
        <w:t>STAR errors</w:t>
      </w:r>
      <w:r>
        <w:t xml:space="preserve"> – cesarean section scars should be granted if the surgery was performed while on active duty.</w:t>
      </w:r>
    </w:p>
    <w:p w:rsidR="00013EB8" w:rsidRDefault="00013EB8">
      <w:pPr>
        <w:widowControl w:val="0"/>
        <w:rPr>
          <w:sz w:val="22"/>
        </w:rPr>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alcoholism/substance abuse, 9399-9326:</w:t>
      </w:r>
    </w:p>
    <w:p w:rsidR="00013EB8" w:rsidRDefault="00013EB8">
      <w:pPr>
        <w:widowControl w:val="0"/>
        <w:pBdr>
          <w:top w:val="single" w:sz="4" w:space="1" w:color="auto"/>
          <w:left w:val="single" w:sz="4" w:space="4" w:color="auto"/>
          <w:bottom w:val="single" w:sz="4" w:space="1" w:color="auto"/>
          <w:right w:val="single" w:sz="4" w:space="4" w:color="auto"/>
        </w:pBdr>
        <w:rPr>
          <w:i/>
        </w:rPr>
      </w:pPr>
      <w:r>
        <w:rPr>
          <w:i/>
        </w:rPr>
        <w:t>New since alcoholism/substance abuse is okay under mental conditions:</w:t>
      </w:r>
    </w:p>
    <w:p w:rsidR="00013EB8" w:rsidRDefault="00013EB8" w:rsidP="00691877">
      <w:pPr>
        <w:widowControl w:val="0"/>
        <w:numPr>
          <w:ilvl w:val="0"/>
          <w:numId w:val="29"/>
        </w:numPr>
        <w:pBdr>
          <w:top w:val="single" w:sz="4" w:space="1" w:color="auto"/>
          <w:left w:val="single" w:sz="4" w:space="4" w:color="auto"/>
          <w:bottom w:val="single" w:sz="4" w:space="1" w:color="auto"/>
          <w:right w:val="single" w:sz="4" w:space="4" w:color="auto"/>
        </w:pBdr>
        <w:tabs>
          <w:tab w:val="clear" w:pos="720"/>
          <w:tab w:val="num" w:pos="360"/>
        </w:tabs>
        <w:ind w:left="360"/>
        <w:outlineLvl w:val="0"/>
      </w:pPr>
      <w:r>
        <w:rPr>
          <w:u w:val="single"/>
        </w:rPr>
        <w:t>If granting all:</w:t>
      </w:r>
      <w:r>
        <w:t xml:space="preserve">  grant mental condition, discuss alcoholism/substance abuse in the “Reasons for Decision” &amp; put “also claimed as alcoholism/substance abuse” in the issue</w:t>
      </w:r>
    </w:p>
    <w:p w:rsidR="00013EB8" w:rsidRPr="001E0E8E" w:rsidRDefault="00013EB8" w:rsidP="00691877">
      <w:pPr>
        <w:widowControl w:val="0"/>
        <w:numPr>
          <w:ilvl w:val="0"/>
          <w:numId w:val="29"/>
        </w:numPr>
        <w:pBdr>
          <w:top w:val="single" w:sz="4" w:space="1" w:color="auto"/>
          <w:left w:val="single" w:sz="4" w:space="4" w:color="auto"/>
          <w:bottom w:val="single" w:sz="4" w:space="1" w:color="auto"/>
          <w:right w:val="single" w:sz="4" w:space="4" w:color="auto"/>
        </w:pBdr>
        <w:tabs>
          <w:tab w:val="clear" w:pos="720"/>
          <w:tab w:val="num" w:pos="360"/>
        </w:tabs>
        <w:ind w:left="360"/>
      </w:pPr>
      <w:r w:rsidRPr="001E0E8E">
        <w:t xml:space="preserve">If claimed alcoholism/substance abuse &amp; </w:t>
      </w:r>
      <w:r w:rsidRPr="001E0E8E">
        <w:rPr>
          <w:u w:val="single"/>
        </w:rPr>
        <w:t>denying it, but granting mental</w:t>
      </w:r>
      <w:r w:rsidRPr="001E0E8E">
        <w:t>:  discuss under mental condition, but code separately as Willful Misconduct</w:t>
      </w:r>
    </w:p>
    <w:p w:rsidR="00013EB8" w:rsidRDefault="00013EB8" w:rsidP="00691877">
      <w:pPr>
        <w:widowControl w:val="0"/>
        <w:numPr>
          <w:ilvl w:val="0"/>
          <w:numId w:val="29"/>
        </w:numPr>
        <w:pBdr>
          <w:top w:val="single" w:sz="4" w:space="1" w:color="auto"/>
          <w:left w:val="single" w:sz="4" w:space="4" w:color="auto"/>
          <w:bottom w:val="single" w:sz="4" w:space="1" w:color="auto"/>
          <w:right w:val="single" w:sz="4" w:space="4" w:color="auto"/>
        </w:pBdr>
        <w:tabs>
          <w:tab w:val="clear" w:pos="720"/>
          <w:tab w:val="num" w:pos="360"/>
        </w:tabs>
        <w:ind w:left="360"/>
      </w:pPr>
      <w:r>
        <w:t xml:space="preserve">If claimed alcoholism/substance abuse &amp; </w:t>
      </w:r>
      <w:r>
        <w:rPr>
          <w:u w:val="single"/>
        </w:rPr>
        <w:t>denying all</w:t>
      </w:r>
      <w:r>
        <w:t>:  deny each separately</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8D5370">
      <w:pPr>
        <w:widowControl w:val="0"/>
        <w:pBdr>
          <w:top w:val="single" w:sz="4" w:space="1" w:color="auto"/>
          <w:left w:val="single" w:sz="4" w:space="4" w:color="auto"/>
          <w:bottom w:val="single" w:sz="4" w:space="1" w:color="auto"/>
          <w:right w:val="single" w:sz="4" w:space="4" w:color="auto"/>
        </w:pBdr>
        <w:tabs>
          <w:tab w:val="left" w:pos="1400"/>
        </w:tabs>
      </w:pPr>
      <w:r w:rsidRPr="00B41932">
        <w:rPr>
          <w:b/>
          <w:bCs/>
        </w:rPr>
        <w:t xml:space="preserve">IV.ii.2.K </w:t>
      </w:r>
      <w:r w:rsidR="00013EB8">
        <w:t xml:space="preserve">- Establish service connection under </w:t>
      </w:r>
      <w:r w:rsidR="00013EB8" w:rsidRPr="00F673C9">
        <w:rPr>
          <w:b/>
          <w:bCs/>
        </w:rPr>
        <w:t>3.310(a)</w:t>
      </w:r>
      <w:r w:rsidR="00013EB8">
        <w:t xml:space="preserve"> for any diseases or disabilities resulting from alcohol abuse, if alcoholism is determined to be secondary to an SC disability. </w:t>
      </w:r>
      <w:r w:rsidR="00013EB8">
        <w:rPr>
          <w:b/>
          <w:bCs/>
          <w:i/>
          <w:iCs/>
        </w:rPr>
        <w:t>Note:</w:t>
      </w:r>
      <w:r w:rsidR="00013EB8">
        <w:t xml:space="preserve"> Alcohol abuse may also be considered a symptom of an SC disability.</w:t>
      </w:r>
    </w:p>
    <w:p w:rsidR="00013EB8" w:rsidRDefault="00013EB8">
      <w:pPr>
        <w:widowControl w:val="0"/>
        <w:pBdr>
          <w:top w:val="single" w:sz="4" w:space="1" w:color="auto"/>
          <w:left w:val="single" w:sz="4" w:space="4" w:color="auto"/>
          <w:bottom w:val="single" w:sz="4" w:space="1" w:color="auto"/>
          <w:right w:val="single" w:sz="4" w:space="4" w:color="auto"/>
        </w:pBdr>
        <w:tabs>
          <w:tab w:val="left" w:pos="1400"/>
        </w:tabs>
      </w:pPr>
    </w:p>
    <w:p w:rsidR="00130276" w:rsidRPr="00130276" w:rsidRDefault="00D571C5">
      <w:pPr>
        <w:pBdr>
          <w:top w:val="single" w:sz="4" w:space="1" w:color="auto"/>
          <w:left w:val="single" w:sz="4" w:space="4" w:color="auto"/>
          <w:bottom w:val="single" w:sz="4" w:space="1" w:color="auto"/>
          <w:right w:val="single" w:sz="4" w:space="4" w:color="auto"/>
        </w:pBdr>
        <w:rPr>
          <w:sz w:val="28"/>
          <w:szCs w:val="28"/>
        </w:rPr>
      </w:pPr>
      <w:hyperlink r:id="rId372" w:history="1">
        <w:r w:rsidR="00D37D00">
          <w:rPr>
            <w:rStyle w:val="Hyperlink"/>
            <w:b/>
            <w:i/>
          </w:rPr>
          <w:t xml:space="preserve">May 2015 </w:t>
        </w:r>
        <w:r w:rsidR="00FF4E63">
          <w:rPr>
            <w:rStyle w:val="Hyperlink"/>
            <w:b/>
            <w:i/>
          </w:rPr>
          <w:t>Quality Call Notes</w:t>
        </w:r>
      </w:hyperlink>
      <w:r w:rsidR="00D37D00">
        <w:rPr>
          <w:rStyle w:val="Hyperlink"/>
          <w:u w:val="none"/>
        </w:rPr>
        <w:t xml:space="preserve"> </w:t>
      </w:r>
      <w:r w:rsidR="00D37D00">
        <w:rPr>
          <w:rStyle w:val="Hyperlink"/>
          <w:color w:val="auto"/>
          <w:u w:val="none"/>
        </w:rPr>
        <w:t>-</w:t>
      </w:r>
      <w:r w:rsidR="00D37D00" w:rsidRPr="00BE4AFD">
        <w:rPr>
          <w:rStyle w:val="Hyperlink"/>
          <w:color w:val="auto"/>
          <w:u w:val="none"/>
        </w:rPr>
        <w:t xml:space="preserve"> </w:t>
      </w:r>
      <w:r w:rsidR="00130276">
        <w:rPr>
          <w:rStyle w:val="Hyperlink"/>
          <w:color w:val="auto"/>
          <w:u w:val="none"/>
        </w:rPr>
        <w:t xml:space="preserve">Per </w:t>
      </w:r>
      <w:r w:rsidR="00130276">
        <w:t>VAOPGCPREC 2-98, cannot grant increased eval for disability resulting from alcohol or drug abuse granted prior to 10/31/90</w:t>
      </w:r>
    </w:p>
    <w:p w:rsidR="00013EB8" w:rsidRDefault="00013EB8">
      <w:pPr>
        <w:widowControl w:val="0"/>
        <w:tabs>
          <w:tab w:val="left" w:pos="0"/>
          <w:tab w:val="left" w:pos="144"/>
        </w:tabs>
        <w:rPr>
          <w:sz w:val="22"/>
        </w:rPr>
      </w:pPr>
    </w:p>
    <w:p w:rsidR="00013EB8" w:rsidRDefault="00013EB8">
      <w:pPr>
        <w:widowControl w:val="0"/>
        <w:pBdr>
          <w:top w:val="single" w:sz="4" w:space="1" w:color="auto"/>
        </w:pBdr>
        <w:rPr>
          <w:b/>
          <w:bCs/>
          <w:i/>
          <w:sz w:val="22"/>
        </w:rPr>
      </w:pPr>
    </w:p>
    <w:p w:rsidR="00013EB8" w:rsidRDefault="00A06121">
      <w:pPr>
        <w:widowControl w:val="0"/>
        <w:rPr>
          <w:b/>
          <w:bCs/>
          <w:i/>
          <w:sz w:val="22"/>
        </w:rPr>
      </w:pPr>
      <w:bookmarkStart w:id="71" w:name="Dishonorable"/>
      <w:r>
        <w:rPr>
          <w:b/>
          <w:bCs/>
          <w:i/>
          <w:sz w:val="22"/>
        </w:rPr>
        <w:t>S</w:t>
      </w:r>
      <w:r w:rsidR="00517098">
        <w:rPr>
          <w:b/>
          <w:bCs/>
          <w:i/>
          <w:sz w:val="22"/>
        </w:rPr>
        <w:t>ervice –</w:t>
      </w:r>
    </w:p>
    <w:bookmarkEnd w:id="71"/>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rPr>
          <w:trHeight w:val="239"/>
        </w:trPr>
        <w:tc>
          <w:tcPr>
            <w:tcW w:w="705" w:type="dxa"/>
            <w:tcBorders>
              <w:top w:val="nil"/>
              <w:left w:val="nil"/>
              <w:bottom w:val="nil"/>
              <w:right w:val="nil"/>
            </w:tcBorders>
          </w:tcPr>
          <w:p w:rsidR="00013EB8" w:rsidRDefault="00013EB8">
            <w:pPr>
              <w:widowControl w:val="0"/>
              <w:rPr>
                <w:b/>
              </w:rPr>
            </w:pPr>
            <w:r w:rsidRPr="00F673C9">
              <w:rPr>
                <w:b/>
              </w:rPr>
              <w:t>3.12</w:t>
            </w:r>
          </w:p>
        </w:tc>
        <w:tc>
          <w:tcPr>
            <w:tcW w:w="10270" w:type="dxa"/>
            <w:tcBorders>
              <w:top w:val="nil"/>
              <w:left w:val="nil"/>
              <w:bottom w:val="nil"/>
              <w:right w:val="nil"/>
            </w:tcBorders>
          </w:tcPr>
          <w:p w:rsidR="00013EB8" w:rsidRDefault="00013EB8">
            <w:pPr>
              <w:widowControl w:val="0"/>
              <w:spacing w:after="120"/>
            </w:pPr>
            <w:r>
              <w:rPr>
                <w:b/>
              </w:rPr>
              <w:t>Character of discharge</w:t>
            </w:r>
            <w:r>
              <w:t xml:space="preserve"> – </w:t>
            </w:r>
            <w:r>
              <w:rPr>
                <w:i/>
              </w:rPr>
              <w:t>OTH or DIS require an Administrative Decision as to “Dishonorable for VA purposes (DVA)” or “Honorable for VA purposes (HVA)”</w:t>
            </w:r>
          </w:p>
          <w:p w:rsidR="00754B99" w:rsidRDefault="00FD3556" w:rsidP="0081294E">
            <w:pPr>
              <w:widowControl w:val="0"/>
              <w:numPr>
                <w:ilvl w:val="0"/>
                <w:numId w:val="60"/>
              </w:numPr>
              <w:spacing w:after="120"/>
            </w:pPr>
            <w:r w:rsidRPr="00DF595D">
              <w:rPr>
                <w:b/>
                <w:bCs/>
              </w:rPr>
              <w:t>III.ii.6</w:t>
            </w:r>
            <w:r w:rsidR="006C55F5">
              <w:rPr>
                <w:b/>
                <w:bCs/>
              </w:rPr>
              <w:t>.B.3.b</w:t>
            </w:r>
            <w:r w:rsidR="00530F06" w:rsidRPr="00DF595D">
              <w:t xml:space="preserve"> </w:t>
            </w:r>
            <w:r w:rsidR="006C55F5">
              <w:t xml:space="preserve">&amp; </w:t>
            </w:r>
            <w:r w:rsidR="006C55F5" w:rsidRPr="006C55F5">
              <w:rPr>
                <w:b/>
              </w:rPr>
              <w:t>III.ii.3.C.7.a</w:t>
            </w:r>
            <w:r w:rsidR="006C55F5">
              <w:t xml:space="preserve"> </w:t>
            </w:r>
            <w:r w:rsidR="00530F06" w:rsidRPr="00DF595D">
              <w:t>-</w:t>
            </w:r>
            <w:r w:rsidR="00530F06">
              <w:t xml:space="preserve"> </w:t>
            </w:r>
            <w:r w:rsidR="00013EB8">
              <w:t>"Y" or "D" in the VADS field, The entry "</w:t>
            </w:r>
            <w:r w:rsidR="00013EB8">
              <w:rPr>
                <w:i/>
                <w:iCs/>
              </w:rPr>
              <w:t>D"</w:t>
            </w:r>
            <w:r w:rsidR="00013EB8">
              <w:t xml:space="preserve"> is added from Defense Manpower Data Center (DMDC) processing.)</w:t>
            </w:r>
            <w:r w:rsidR="00901A65">
              <w:t xml:space="preserve">; if no service verified, admin </w:t>
            </w:r>
            <w:r w:rsidR="00F630CB">
              <w:t>denial; Veterans Information Solutions (VIS) is considered an electronic DD214, but the DD214 is more reliable</w:t>
            </w:r>
            <w:r w:rsidR="00D14634">
              <w:t xml:space="preserve">; as of 10/27/15, </w:t>
            </w:r>
            <w:r w:rsidR="00D14634" w:rsidRPr="00D14634">
              <w:rPr>
                <w:b/>
              </w:rPr>
              <w:t>III.ii.6.</w:t>
            </w:r>
            <w:r w:rsidR="00DA4C08">
              <w:rPr>
                <w:b/>
              </w:rPr>
              <w:t>B.3</w:t>
            </w:r>
            <w:r w:rsidR="00D14634" w:rsidRPr="00D14634">
              <w:rPr>
                <w:b/>
              </w:rPr>
              <w:t>.c</w:t>
            </w:r>
            <w:r w:rsidR="00D14634">
              <w:t xml:space="preserve"> says have to add 1 day to RAD provided by VIS for retirees</w:t>
            </w:r>
            <w:r w:rsidR="00A157C1">
              <w:t xml:space="preserve"> &amp; that VADIR in Virtual VA is same info as VIS</w:t>
            </w:r>
            <w:r w:rsidR="00DF595D">
              <w:t>; list of all forms</w:t>
            </w:r>
            <w:r w:rsidR="00236567">
              <w:t xml:space="preserve">; </w:t>
            </w:r>
            <w:r w:rsidR="00236567" w:rsidRPr="00236567">
              <w:rPr>
                <w:b/>
              </w:rPr>
              <w:t>III.ii.6.</w:t>
            </w:r>
            <w:r w:rsidR="00DA4C08">
              <w:rPr>
                <w:b/>
              </w:rPr>
              <w:t>B.3</w:t>
            </w:r>
            <w:r w:rsidR="00236567" w:rsidRPr="00236567">
              <w:rPr>
                <w:b/>
              </w:rPr>
              <w:t>.b</w:t>
            </w:r>
            <w:r w:rsidR="00236567">
              <w:t xml:space="preserve"> says a separation reason of DEV means further development may be required</w:t>
            </w:r>
            <w:r w:rsidR="006C55F5">
              <w:t xml:space="preserve">; Important under </w:t>
            </w:r>
            <w:r w:rsidR="006C55F5" w:rsidRPr="00754B99">
              <w:rPr>
                <w:b/>
              </w:rPr>
              <w:t>III.ii.3.C.7.a</w:t>
            </w:r>
            <w:r w:rsidR="006C55F5">
              <w:t xml:space="preserve"> says “Service information in VA systems that has been verified through VADS but is proven to be incorrect by other credible evidence should be updated or replaced with the correct information, however applicable.”  </w:t>
            </w:r>
          </w:p>
          <w:p w:rsidR="00882AF5" w:rsidRPr="00882AF5" w:rsidRDefault="00021618" w:rsidP="0081294E">
            <w:pPr>
              <w:widowControl w:val="0"/>
              <w:numPr>
                <w:ilvl w:val="0"/>
                <w:numId w:val="60"/>
              </w:numPr>
              <w:spacing w:after="120"/>
              <w:rPr>
                <w:i/>
              </w:rPr>
            </w:pPr>
            <w:r w:rsidRPr="00DF595D">
              <w:rPr>
                <w:b/>
              </w:rPr>
              <w:t>III.ii.7</w:t>
            </w:r>
            <w:r w:rsidR="00901A65">
              <w:t xml:space="preserve"> – admin denial for no qualifying service or character of discharge</w:t>
            </w:r>
          </w:p>
          <w:p w:rsidR="00882AF5" w:rsidRPr="00882AF5" w:rsidRDefault="00750764" w:rsidP="0081294E">
            <w:pPr>
              <w:widowControl w:val="0"/>
              <w:numPr>
                <w:ilvl w:val="0"/>
                <w:numId w:val="60"/>
              </w:numPr>
              <w:spacing w:after="120"/>
              <w:rPr>
                <w:i/>
              </w:rPr>
            </w:pPr>
            <w:r>
              <w:rPr>
                <w:b/>
                <w:bCs/>
                <w:iCs/>
              </w:rPr>
              <w:t xml:space="preserve">III.v.1.A </w:t>
            </w:r>
            <w:r w:rsidRPr="00D03B53">
              <w:rPr>
                <w:bCs/>
                <w:iCs/>
              </w:rPr>
              <w:t xml:space="preserve">&amp; </w:t>
            </w:r>
            <w:r>
              <w:rPr>
                <w:b/>
                <w:bCs/>
                <w:iCs/>
              </w:rPr>
              <w:t>III.v.1.B</w:t>
            </w:r>
            <w:r w:rsidR="00711CF9">
              <w:rPr>
                <w:iCs/>
              </w:rPr>
              <w:t xml:space="preserve"> </w:t>
            </w:r>
            <w:r w:rsidR="00496F18">
              <w:rPr>
                <w:iCs/>
              </w:rPr>
              <w:t xml:space="preserve">– Administrative Decisions &amp; </w:t>
            </w:r>
            <w:r w:rsidR="00901A65" w:rsidRPr="00DC35DC">
              <w:rPr>
                <w:iCs/>
              </w:rPr>
              <w:t>CODs</w:t>
            </w:r>
            <w:r w:rsidR="006A469C">
              <w:rPr>
                <w:iCs/>
              </w:rPr>
              <w:t xml:space="preserve">; </w:t>
            </w:r>
            <w:r w:rsidR="006A469C" w:rsidRPr="006A469C">
              <w:rPr>
                <w:b/>
                <w:iCs/>
              </w:rPr>
              <w:t>III.v.1.B.3.b</w:t>
            </w:r>
            <w:r w:rsidR="006A469C">
              <w:rPr>
                <w:iCs/>
              </w:rPr>
              <w:t xml:space="preserve"> &amp; </w:t>
            </w:r>
            <w:r w:rsidR="006A469C" w:rsidRPr="006A469C">
              <w:rPr>
                <w:b/>
                <w:i/>
                <w:iCs/>
              </w:rPr>
              <w:t>August 2016</w:t>
            </w:r>
            <w:r w:rsidR="006A469C">
              <w:rPr>
                <w:iCs/>
              </w:rPr>
              <w:t xml:space="preserve"> </w:t>
            </w:r>
            <w:r w:rsidR="006A469C" w:rsidRPr="004C02D9">
              <w:rPr>
                <w:b/>
                <w:i/>
              </w:rPr>
              <w:t>Compensation Service Bulletin (CSB)</w:t>
            </w:r>
            <w:r w:rsidR="006A469C" w:rsidRPr="004C02D9">
              <w:rPr>
                <w:i/>
              </w:rPr>
              <w:t xml:space="preserve"> </w:t>
            </w:r>
            <w:r w:rsidR="006A469C">
              <w:rPr>
                <w:iCs/>
              </w:rPr>
              <w:t>– regulatory bar to benefits in 3.12(d)(1) is only for undesirable discharge in lieu of trial by general court martial &amp; cannot be applied to summary or special court martial (check DD-458, Charge Sheet), if do not have confirmation that was general court martial, apply reasonable doubt &amp; do not apply 3.12(d)(1)</w:t>
            </w:r>
          </w:p>
          <w:p w:rsidR="0081294E" w:rsidRDefault="00882AF5" w:rsidP="0081294E">
            <w:pPr>
              <w:widowControl w:val="0"/>
              <w:numPr>
                <w:ilvl w:val="0"/>
                <w:numId w:val="60"/>
              </w:numPr>
              <w:spacing w:after="240"/>
              <w:rPr>
                <w:i/>
              </w:rPr>
            </w:pPr>
            <w:r w:rsidRPr="00882AF5">
              <w:rPr>
                <w:b/>
                <w:bCs/>
                <w:iCs/>
              </w:rPr>
              <w:t>III</w:t>
            </w:r>
            <w:r w:rsidRPr="00882AF5">
              <w:rPr>
                <w:i/>
              </w:rPr>
              <w:t>.</w:t>
            </w:r>
            <w:r w:rsidRPr="00882AF5">
              <w:rPr>
                <w:b/>
              </w:rPr>
              <w:t>v.1.E.1</w:t>
            </w:r>
            <w:r>
              <w:t xml:space="preserve"> &amp; </w:t>
            </w:r>
            <w:r w:rsidR="00013EB8" w:rsidRPr="00882AF5">
              <w:rPr>
                <w:b/>
                <w:bCs/>
              </w:rPr>
              <w:t>IX.ii.2.6</w:t>
            </w:r>
            <w:r w:rsidR="00AC753C" w:rsidRPr="00882AF5">
              <w:rPr>
                <w:i/>
              </w:rPr>
              <w:t xml:space="preserve"> </w:t>
            </w:r>
            <w:r w:rsidRPr="00882AF5">
              <w:rPr>
                <w:i/>
              </w:rPr>
              <w:t>–</w:t>
            </w:r>
            <w:r w:rsidR="00AC753C" w:rsidRPr="00882AF5">
              <w:rPr>
                <w:i/>
              </w:rPr>
              <w:t xml:space="preserve"> </w:t>
            </w:r>
            <w:r w:rsidR="00013EB8" w:rsidRPr="00882AF5">
              <w:rPr>
                <w:i/>
              </w:rPr>
              <w:t>insanity</w:t>
            </w:r>
          </w:p>
          <w:p w:rsidR="0081294E" w:rsidRPr="00EE18AA" w:rsidRDefault="0081294E" w:rsidP="0081294E">
            <w:pPr>
              <w:pStyle w:val="ListParagraph"/>
              <w:numPr>
                <w:ilvl w:val="0"/>
                <w:numId w:val="60"/>
              </w:numPr>
              <w:rPr>
                <w:rFonts w:ascii="Tahoma" w:hAnsi="Tahoma" w:cs="Tahoma"/>
                <w:sz w:val="20"/>
              </w:rPr>
            </w:pPr>
            <w:r w:rsidRPr="00EE18AA">
              <w:rPr>
                <w:rFonts w:ascii="Tahoma" w:hAnsi="Tahoma" w:cs="Tahoma"/>
                <w:b/>
                <w:bCs/>
                <w:sz w:val="20"/>
              </w:rPr>
              <w:t>From:</w:t>
            </w:r>
            <w:r w:rsidRPr="00EE18AA">
              <w:rPr>
                <w:rFonts w:ascii="Tahoma" w:hAnsi="Tahoma" w:cs="Tahoma"/>
                <w:sz w:val="20"/>
              </w:rPr>
              <w:t xml:space="preserve"> VAVBASDC/RO/VSC </w:t>
            </w:r>
            <w:r w:rsidRPr="00EE18AA">
              <w:rPr>
                <w:rFonts w:ascii="Tahoma" w:hAnsi="Tahoma" w:cs="Tahoma"/>
                <w:sz w:val="20"/>
              </w:rPr>
              <w:br/>
            </w:r>
            <w:r w:rsidRPr="00EE18AA">
              <w:rPr>
                <w:rFonts w:ascii="Tahoma" w:hAnsi="Tahoma" w:cs="Tahoma"/>
                <w:b/>
                <w:bCs/>
                <w:sz w:val="20"/>
              </w:rPr>
              <w:t>Sent:</w:t>
            </w:r>
            <w:r w:rsidRPr="00EE18AA">
              <w:rPr>
                <w:rFonts w:ascii="Tahoma" w:hAnsi="Tahoma" w:cs="Tahoma"/>
                <w:sz w:val="20"/>
              </w:rPr>
              <w:t xml:space="preserve"> Monday, March 13, 2017 2:27 PM</w:t>
            </w:r>
            <w:r w:rsidRPr="00EE18AA">
              <w:rPr>
                <w:rFonts w:ascii="Tahoma" w:hAnsi="Tahoma" w:cs="Tahoma"/>
                <w:sz w:val="20"/>
              </w:rPr>
              <w:br/>
            </w:r>
            <w:r w:rsidRPr="00EE18AA">
              <w:rPr>
                <w:rFonts w:ascii="Tahoma" w:hAnsi="Tahoma" w:cs="Tahoma"/>
                <w:b/>
                <w:bCs/>
                <w:sz w:val="20"/>
              </w:rPr>
              <w:t>Subject:</w:t>
            </w:r>
            <w:r w:rsidRPr="00EE18AA">
              <w:rPr>
                <w:rFonts w:ascii="Tahoma" w:hAnsi="Tahoma" w:cs="Tahoma"/>
                <w:sz w:val="20"/>
              </w:rPr>
              <w:t xml:space="preserve"> Q-Tip Character of Discharge (COD) - Consideration of Multiple Periods of Service</w:t>
            </w:r>
          </w:p>
          <w:p w:rsidR="0081294E" w:rsidRPr="00EE18AA" w:rsidRDefault="0081294E" w:rsidP="0081294E">
            <w:pPr>
              <w:spacing w:after="120"/>
              <w:ind w:left="360"/>
              <w:rPr>
                <w:b/>
                <w:bCs/>
                <w:szCs w:val="24"/>
              </w:rPr>
            </w:pPr>
            <w:r w:rsidRPr="00EE18AA">
              <w:rPr>
                <w:b/>
                <w:bCs/>
                <w:szCs w:val="24"/>
              </w:rPr>
              <w:t>Character of Discharge (COD) Q-Tip:  Consideration of Multiple Periods of Service</w:t>
            </w:r>
          </w:p>
          <w:p w:rsidR="0081294E" w:rsidRPr="00EE18AA" w:rsidRDefault="0081294E" w:rsidP="0081294E">
            <w:pPr>
              <w:spacing w:after="120"/>
              <w:ind w:left="360"/>
              <w:rPr>
                <w:b/>
                <w:bCs/>
                <w:szCs w:val="24"/>
              </w:rPr>
            </w:pPr>
            <w:r w:rsidRPr="00EE18AA">
              <w:rPr>
                <w:b/>
                <w:bCs/>
                <w:szCs w:val="24"/>
              </w:rPr>
              <w:t>Target Audience:  All VSRs</w:t>
            </w:r>
          </w:p>
          <w:p w:rsidR="0081294E" w:rsidRPr="00EE18AA" w:rsidRDefault="0081294E" w:rsidP="0081294E">
            <w:pPr>
              <w:spacing w:after="120"/>
              <w:ind w:left="360"/>
              <w:rPr>
                <w:szCs w:val="24"/>
              </w:rPr>
            </w:pPr>
            <w:r w:rsidRPr="00EE18AA">
              <w:rPr>
                <w:szCs w:val="24"/>
              </w:rPr>
              <w:t>Due to a recent increase in errors cited by STAR for Character of Discharge (COD) decisions, we are issuing the Q-Tip below as a reminder on the correct development actions to take when a veteran has multiple periods of service, there is re-enlistment prior to the end of the veteran’s service period (contract), and one period (or more) is considered “dishonorable for VA purposes (DVA)</w:t>
            </w:r>
            <w:r>
              <w:rPr>
                <w:szCs w:val="24"/>
              </w:rPr>
              <w:t>.”</w:t>
            </w:r>
            <w:r w:rsidRPr="00EE18AA">
              <w:rPr>
                <w:szCs w:val="24"/>
              </w:rPr>
              <w:t xml:space="preserve">  </w:t>
            </w:r>
          </w:p>
          <w:p w:rsidR="0081294E" w:rsidRPr="00EE18AA" w:rsidRDefault="0081294E" w:rsidP="0081294E">
            <w:pPr>
              <w:spacing w:after="120"/>
              <w:ind w:left="360"/>
              <w:rPr>
                <w:szCs w:val="24"/>
              </w:rPr>
            </w:pPr>
            <w:r w:rsidRPr="00EE18AA">
              <w:rPr>
                <w:szCs w:val="24"/>
              </w:rPr>
              <w:t>When a veteran has multiple periods of service that overlap, each individual period of service must be completed satisfactorily in order to be considered “honorable for VA purposes (HVA)</w:t>
            </w:r>
            <w:r>
              <w:rPr>
                <w:szCs w:val="24"/>
              </w:rPr>
              <w:t>.”</w:t>
            </w:r>
            <w:r w:rsidRPr="00EE18AA">
              <w:rPr>
                <w:szCs w:val="24"/>
              </w:rPr>
              <w:t xml:space="preserve">  </w:t>
            </w:r>
          </w:p>
          <w:p w:rsidR="0081294E" w:rsidRPr="00EE18AA" w:rsidRDefault="0081294E" w:rsidP="0081294E">
            <w:pPr>
              <w:spacing w:after="120"/>
              <w:ind w:left="360"/>
              <w:rPr>
                <w:szCs w:val="24"/>
              </w:rPr>
            </w:pPr>
            <w:r w:rsidRPr="00EE18AA">
              <w:rPr>
                <w:b/>
                <w:bCs/>
                <w:szCs w:val="24"/>
              </w:rPr>
              <w:t>Example:</w:t>
            </w:r>
            <w:r w:rsidRPr="00EE18AA">
              <w:rPr>
                <w:szCs w:val="24"/>
              </w:rPr>
              <w:t xml:space="preserve">  Joe Veteran signed an initial enlistment contract for a period of 4 years on 10/01/2009.  The veteran signed a re-enlistment contract on 7/23/2012 for another 4 years.  On 5/01/2013, the veteran tested positive on urinalysis for Tetrahydrocannabinol (THC) or marijuana.  Non-judicial punishment was issued for this incident.  The veteran again tested positive on urinalysis on 11/27/2013 and 01/05/2014.  On 03/17/2014, a urinalysis showed the veteran was positive for methamphetamines.  The veteran was processed out of the military with a “bad conduct discharge (BCD)” and separation reason of “pattern of misconduct/illegal drug use</w:t>
            </w:r>
            <w:r>
              <w:rPr>
                <w:szCs w:val="24"/>
              </w:rPr>
              <w:t>.”</w:t>
            </w:r>
            <w:r w:rsidRPr="00EE18AA">
              <w:rPr>
                <w:szCs w:val="24"/>
              </w:rPr>
              <w:t xml:space="preserve">  In the facts and circumstances, the veteran’s file shows a pattern of this misconduct beginning during the initial enlistment.  All incidents of misconduct were used as the basis for the veteran’s bad conduct discharge.  </w:t>
            </w:r>
          </w:p>
          <w:p w:rsidR="0081294E" w:rsidRPr="00EE18AA" w:rsidRDefault="0081294E" w:rsidP="0081294E">
            <w:pPr>
              <w:spacing w:after="120"/>
              <w:ind w:left="360"/>
              <w:rPr>
                <w:szCs w:val="24"/>
              </w:rPr>
            </w:pPr>
            <w:r w:rsidRPr="00EE18AA">
              <w:rPr>
                <w:szCs w:val="24"/>
              </w:rPr>
              <w:t>In this case, the incidents leading to the bad conduct discharge started prior to the completion of the first period of service; therefore, both periods of service are considered dishonorable for VA purposes.  A full review of the veteran’s file should be completed, as the facts and circumstances will show the incidents considered for the dishonorable discharge.</w:t>
            </w:r>
          </w:p>
          <w:tbl>
            <w:tblPr>
              <w:tblW w:w="10300" w:type="dxa"/>
              <w:tblInd w:w="360" w:type="dxa"/>
              <w:tblLayout w:type="fixed"/>
              <w:tblCellMar>
                <w:left w:w="0" w:type="dxa"/>
                <w:right w:w="0" w:type="dxa"/>
              </w:tblCellMar>
              <w:tblLook w:val="04A0" w:firstRow="1" w:lastRow="0" w:firstColumn="1" w:lastColumn="0" w:noHBand="0" w:noVBand="1"/>
            </w:tblPr>
            <w:tblGrid>
              <w:gridCol w:w="2335"/>
              <w:gridCol w:w="225"/>
              <w:gridCol w:w="7740"/>
            </w:tblGrid>
            <w:tr w:rsidR="0081294E" w:rsidRPr="002F71EB" w:rsidTr="004D2DED">
              <w:trPr>
                <w:trHeight w:val="120"/>
              </w:trPr>
              <w:tc>
                <w:tcPr>
                  <w:tcW w:w="2335" w:type="dxa"/>
                  <w:hideMark/>
                </w:tcPr>
                <w:p w:rsidR="0081294E" w:rsidRPr="002F71EB" w:rsidRDefault="0081294E" w:rsidP="004D2DED">
                  <w:pPr>
                    <w:spacing w:before="100" w:beforeAutospacing="1" w:after="100" w:afterAutospacing="1"/>
                    <w:rPr>
                      <w:rFonts w:eastAsiaTheme="minorHAnsi"/>
                      <w:b/>
                      <w:bCs/>
                    </w:rPr>
                  </w:pPr>
                  <w:r w:rsidRPr="002F71EB">
                    <w:rPr>
                      <w:b/>
                      <w:bCs/>
                      <w:szCs w:val="21"/>
                    </w:rPr>
                    <w:t>III.v.1.B.5.a</w:t>
                  </w:r>
                  <w:r w:rsidRPr="002F71EB">
                    <w:rPr>
                      <w:b/>
                      <w:bCs/>
                      <w:color w:val="444444"/>
                      <w:szCs w:val="21"/>
                    </w:rPr>
                    <w:t>.</w:t>
                  </w:r>
                  <w:r w:rsidRPr="002F71EB">
                    <w:rPr>
                      <w:b/>
                      <w:bCs/>
                      <w:szCs w:val="21"/>
                    </w:rPr>
                    <w:t>  Provisions of 38 U.S.C. 101(18) for Reenlistment Prior to Discharge</w:t>
                  </w:r>
                </w:p>
              </w:tc>
              <w:tc>
                <w:tcPr>
                  <w:tcW w:w="225" w:type="dxa"/>
                  <w:vAlign w:val="bottom"/>
                  <w:hideMark/>
                </w:tcPr>
                <w:p w:rsidR="0081294E" w:rsidRPr="002F71EB" w:rsidRDefault="0081294E" w:rsidP="004D2DED">
                  <w:pPr>
                    <w:spacing w:line="120" w:lineRule="atLeast"/>
                    <w:rPr>
                      <w:rFonts w:eastAsiaTheme="minorHAnsi"/>
                      <w:szCs w:val="15"/>
                    </w:rPr>
                  </w:pPr>
                  <w:r w:rsidRPr="002F71EB">
                    <w:rPr>
                      <w:szCs w:val="15"/>
                    </w:rPr>
                    <w:t> </w:t>
                  </w:r>
                </w:p>
              </w:tc>
              <w:tc>
                <w:tcPr>
                  <w:tcW w:w="7740" w:type="dxa"/>
                  <w:vAlign w:val="bottom"/>
                  <w:hideMark/>
                </w:tcPr>
                <w:p w:rsidR="0081294E" w:rsidRPr="002F71EB" w:rsidRDefault="00D571C5" w:rsidP="004D2DED">
                  <w:pPr>
                    <w:spacing w:line="120" w:lineRule="atLeast"/>
                    <w:rPr>
                      <w:rFonts w:eastAsiaTheme="minorHAnsi"/>
                      <w:szCs w:val="15"/>
                    </w:rPr>
                  </w:pPr>
                  <w:hyperlink r:id="rId373" w:tgtFrame="_blank" w:history="1">
                    <w:r w:rsidR="0081294E" w:rsidRPr="002F71EB">
                      <w:rPr>
                        <w:rStyle w:val="Hyperlink"/>
                        <w:szCs w:val="21"/>
                      </w:rPr>
                      <w:t>38 U.S.C. 101(18)</w:t>
                    </w:r>
                  </w:hyperlink>
                  <w:r w:rsidR="0081294E" w:rsidRPr="002F71EB">
                    <w:rPr>
                      <w:szCs w:val="21"/>
                    </w:rPr>
                    <w:t xml:space="preserve"> </w:t>
                  </w:r>
                  <w:r w:rsidR="0081294E" w:rsidRPr="002F71EB">
                    <w:rPr>
                      <w:b/>
                      <w:bCs/>
                      <w:szCs w:val="21"/>
                    </w:rPr>
                    <w:t xml:space="preserve">provides that an individual who enlisted or reenlisted before completion of a period of active service may establish eligibility for VA benefits if he/she </w:t>
                  </w:r>
                  <w:r w:rsidR="0081294E" w:rsidRPr="002F71EB">
                    <w:rPr>
                      <w:b/>
                      <w:bCs/>
                      <w:color w:val="C00000"/>
                      <w:szCs w:val="21"/>
                      <w:highlight w:val="yellow"/>
                    </w:rPr>
                    <w:t>satisfactorily</w:t>
                  </w:r>
                  <w:r w:rsidR="0081294E" w:rsidRPr="002F71EB">
                    <w:rPr>
                      <w:b/>
                      <w:bCs/>
                      <w:color w:val="C00000"/>
                      <w:szCs w:val="21"/>
                    </w:rPr>
                    <w:t xml:space="preserve"> </w:t>
                  </w:r>
                  <w:r w:rsidR="0081294E" w:rsidRPr="002F71EB">
                    <w:rPr>
                      <w:b/>
                      <w:bCs/>
                      <w:szCs w:val="21"/>
                    </w:rPr>
                    <w:t>completed the period of active service for which he/she was obligated at the time of entry.</w:t>
                  </w:r>
                  <w:r w:rsidR="0081294E" w:rsidRPr="002F71EB">
                    <w:rPr>
                      <w:szCs w:val="21"/>
                    </w:rPr>
                    <w:t>  The satisfactory completion of one contracted period of enlistment while serving on a subsequent contracted period of service under a new enlistment is considered a conditional discharge.</w:t>
                  </w:r>
                </w:p>
              </w:tc>
            </w:tr>
          </w:tbl>
          <w:p w:rsidR="0081294E" w:rsidRPr="00EE18AA" w:rsidRDefault="0081294E" w:rsidP="0081294E">
            <w:pPr>
              <w:rPr>
                <w:rFonts w:ascii="Helvetica" w:eastAsiaTheme="minorHAnsi" w:hAnsi="Helvetica" w:cs="Helvetica"/>
                <w:b/>
                <w:bCs/>
                <w:color w:val="1F497D"/>
                <w:lang w:val="en"/>
              </w:rPr>
            </w:pPr>
          </w:p>
          <w:p w:rsidR="0081294E" w:rsidRPr="0081294E" w:rsidRDefault="00D571C5" w:rsidP="0081294E">
            <w:pPr>
              <w:pStyle w:val="NormalWeb"/>
              <w:numPr>
                <w:ilvl w:val="0"/>
                <w:numId w:val="60"/>
              </w:numPr>
              <w:rPr>
                <w:b/>
                <w:sz w:val="18"/>
                <w:szCs w:val="20"/>
              </w:rPr>
            </w:pPr>
            <w:hyperlink r:id="rId374" w:history="1">
              <w:r w:rsidR="0081294E" w:rsidRPr="0031324C">
                <w:rPr>
                  <w:rStyle w:val="Hyperlink"/>
                  <w:b/>
                  <w:bCs/>
                  <w:i/>
                  <w:sz w:val="20"/>
                  <w:szCs w:val="20"/>
                </w:rPr>
                <w:t>April 2017 Quality Call Notes</w:t>
              </w:r>
            </w:hyperlink>
            <w:r w:rsidR="0081294E">
              <w:rPr>
                <w:rStyle w:val="Hyperlink"/>
                <w:bCs/>
                <w:color w:val="auto"/>
                <w:sz w:val="20"/>
                <w:szCs w:val="20"/>
                <w:u w:val="none"/>
              </w:rPr>
              <w:t xml:space="preserve"> – Character of Discharge (COD)</w:t>
            </w:r>
          </w:p>
          <w:p w:rsidR="00882AF5" w:rsidRPr="00D03B53" w:rsidRDefault="00882AF5" w:rsidP="00882AF5">
            <w:r w:rsidRPr="00D03B53">
              <w:rPr>
                <w:i/>
              </w:rPr>
              <w:t>Issue:</w:t>
            </w:r>
            <w:r w:rsidRPr="00D03B53">
              <w:t xml:space="preserve">  Whether the Veteran insane at the time of the commission of offenses resulting in an {</w:t>
            </w:r>
            <w:r w:rsidR="00E619E4" w:rsidRPr="00E619E4">
              <w:t xml:space="preserve">Other Than Honorable </w:t>
            </w:r>
            <w:r w:rsidR="00E619E4">
              <w:t>/ Undesirable / B</w:t>
            </w:r>
            <w:r w:rsidR="00D03B53" w:rsidRPr="00D03B53">
              <w:t xml:space="preserve">ad </w:t>
            </w:r>
            <w:r w:rsidR="00E619E4">
              <w:t>C</w:t>
            </w:r>
            <w:r w:rsidR="00D03B53" w:rsidRPr="00D03B53">
              <w:t xml:space="preserve">onduct / </w:t>
            </w:r>
            <w:r w:rsidR="00E619E4">
              <w:t>D</w:t>
            </w:r>
            <w:r w:rsidR="00D03B53" w:rsidRPr="00D03B53">
              <w:t>ishonorable</w:t>
            </w:r>
            <w:r w:rsidR="00E619E4">
              <w:t>}</w:t>
            </w:r>
            <w:r w:rsidRPr="00D03B53">
              <w:t xml:space="preserve"> discharge.</w:t>
            </w:r>
          </w:p>
          <w:p w:rsidR="00882AF5" w:rsidRPr="00D03B53" w:rsidRDefault="00882AF5" w:rsidP="00882AF5"/>
          <w:p w:rsidR="00D03B53" w:rsidRPr="00D03B53" w:rsidRDefault="00882AF5" w:rsidP="00D03B53">
            <w:r w:rsidRPr="00D03B53">
              <w:rPr>
                <w:i/>
              </w:rPr>
              <w:t>Decision:</w:t>
            </w:r>
            <w:r w:rsidRPr="00D03B53">
              <w:t xml:space="preserve">  The Veteran </w:t>
            </w:r>
            <w:r w:rsidR="00D03B53" w:rsidRPr="00D03B53">
              <w:t xml:space="preserve">{was / </w:t>
            </w:r>
            <w:r w:rsidRPr="00D03B53">
              <w:t>was not</w:t>
            </w:r>
            <w:r w:rsidR="00D03B53" w:rsidRPr="00D03B53">
              <w:t>}</w:t>
            </w:r>
            <w:r w:rsidRPr="00D03B53">
              <w:t xml:space="preserve"> insane at the time of the commission of </w:t>
            </w:r>
            <w:r w:rsidR="00E619E4">
              <w:t xml:space="preserve">the </w:t>
            </w:r>
            <w:r w:rsidRPr="00D03B53">
              <w:t>offense</w:t>
            </w:r>
            <w:r w:rsidR="00E619E4">
              <w:t>(</w:t>
            </w:r>
            <w:r w:rsidRPr="00D03B53">
              <w:t>s</w:t>
            </w:r>
            <w:r w:rsidR="00E619E4">
              <w:t>)</w:t>
            </w:r>
            <w:r w:rsidRPr="00D03B53">
              <w:t xml:space="preserve"> resulting in </w:t>
            </w:r>
            <w:r w:rsidR="00D03B53" w:rsidRPr="00D03B53">
              <w:t>an {</w:t>
            </w:r>
            <w:r w:rsidR="00E619E4" w:rsidRPr="00E619E4">
              <w:t xml:space="preserve">Other Than Honorable </w:t>
            </w:r>
            <w:r w:rsidR="00E619E4">
              <w:t>/ Undesirable / B</w:t>
            </w:r>
            <w:r w:rsidR="00E619E4" w:rsidRPr="00D03B53">
              <w:t xml:space="preserve">ad </w:t>
            </w:r>
            <w:r w:rsidR="00E619E4">
              <w:t>C</w:t>
            </w:r>
            <w:r w:rsidR="00E619E4" w:rsidRPr="00D03B53">
              <w:t xml:space="preserve">onduct / </w:t>
            </w:r>
            <w:r w:rsidR="00E619E4">
              <w:t>D</w:t>
            </w:r>
            <w:r w:rsidR="00E619E4" w:rsidRPr="00D03B53">
              <w:t>ishonorable</w:t>
            </w:r>
            <w:r w:rsidR="00E619E4">
              <w:t xml:space="preserve"> } discharge</w:t>
            </w:r>
            <w:r w:rsidR="00D03B53" w:rsidRPr="00D03B53">
              <w:t>.</w:t>
            </w:r>
          </w:p>
          <w:p w:rsidR="00882AF5" w:rsidRPr="00D03B53" w:rsidRDefault="00882AF5" w:rsidP="00882AF5"/>
          <w:p w:rsidR="00882AF5" w:rsidRPr="00A91DBD" w:rsidRDefault="00882AF5" w:rsidP="00A91DBD">
            <w:pPr>
              <w:spacing w:after="120"/>
            </w:pPr>
            <w:r w:rsidRPr="00D03B53">
              <w:rPr>
                <w:rStyle w:val="Emphasis"/>
              </w:rPr>
              <w:t xml:space="preserve">Reasons for Decision:  </w:t>
            </w:r>
            <w:r w:rsidRPr="00D03B53">
              <w:rPr>
                <w:rStyle w:val="Emphasis"/>
                <w:i w:val="0"/>
              </w:rPr>
              <w:t xml:space="preserve">The Veteran </w:t>
            </w:r>
            <w:r w:rsidR="00E619E4" w:rsidRPr="00D03B53">
              <w:t xml:space="preserve">{was / was not} </w:t>
            </w:r>
            <w:r w:rsidRPr="00D03B53">
              <w:rPr>
                <w:rStyle w:val="Emphasis"/>
                <w:i w:val="0"/>
              </w:rPr>
              <w:t>insane at the time</w:t>
            </w:r>
            <w:r w:rsidR="00E619E4">
              <w:rPr>
                <w:rStyle w:val="Emphasis"/>
                <w:i w:val="0"/>
              </w:rPr>
              <w:t xml:space="preserve"> {he / she}</w:t>
            </w:r>
            <w:r w:rsidRPr="00D03B53">
              <w:rPr>
                <w:rStyle w:val="Emphasis"/>
                <w:i w:val="0"/>
              </w:rPr>
              <w:t xml:space="preserve"> committed {an offense</w:t>
            </w:r>
            <w:r w:rsidRPr="00D03B53">
              <w:rPr>
                <w:i/>
              </w:rPr>
              <w:t xml:space="preserve"> </w:t>
            </w:r>
            <w:r w:rsidRPr="00D03B53">
              <w:t xml:space="preserve">/ </w:t>
            </w:r>
            <w:r w:rsidR="00D03B53" w:rsidRPr="00D03B53">
              <w:t>offenses resulting in an {</w:t>
            </w:r>
            <w:r w:rsidR="00E619E4" w:rsidRPr="00E619E4">
              <w:t xml:space="preserve">Other Than Honorable </w:t>
            </w:r>
            <w:r w:rsidR="00E619E4">
              <w:t>/ Undesirable / B</w:t>
            </w:r>
            <w:r w:rsidR="00E619E4" w:rsidRPr="00D03B53">
              <w:t xml:space="preserve">ad </w:t>
            </w:r>
            <w:r w:rsidR="00E619E4">
              <w:t>C</w:t>
            </w:r>
            <w:r w:rsidR="00E619E4" w:rsidRPr="00D03B53">
              <w:t xml:space="preserve">onduct / </w:t>
            </w:r>
            <w:r w:rsidR="00E619E4">
              <w:t>D</w:t>
            </w:r>
            <w:r w:rsidR="00E619E4" w:rsidRPr="00D03B53">
              <w:t>ishonorable</w:t>
            </w:r>
            <w:r w:rsidR="00E619E4">
              <w:t xml:space="preserve"> }</w:t>
            </w:r>
            <w:r w:rsidR="00D03B53" w:rsidRPr="00D03B53">
              <w:t xml:space="preserve"> discharge.</w:t>
            </w:r>
          </w:p>
          <w:p w:rsidR="00013EB8" w:rsidRPr="00EF1FA3" w:rsidRDefault="00EF1FA3" w:rsidP="001453C4">
            <w:pPr>
              <w:widowControl w:val="0"/>
              <w:pBdr>
                <w:top w:val="double" w:sz="4" w:space="1" w:color="auto"/>
                <w:left w:val="double" w:sz="4" w:space="4" w:color="auto"/>
                <w:bottom w:val="double" w:sz="4" w:space="1" w:color="auto"/>
                <w:right w:val="double" w:sz="4" w:space="4" w:color="auto"/>
              </w:pBdr>
              <w:shd w:val="clear" w:color="auto" w:fill="FFC000"/>
              <w:tabs>
                <w:tab w:val="left" w:pos="150"/>
                <w:tab w:val="left" w:pos="9960"/>
              </w:tabs>
              <w:spacing w:after="240"/>
              <w:ind w:left="150" w:right="250"/>
              <w:rPr>
                <w:i/>
              </w:rPr>
            </w:pPr>
            <w:r w:rsidRPr="0059725E">
              <w:rPr>
                <w:i/>
              </w:rPr>
              <w:t>Training documents are under “</w:t>
            </w:r>
            <w:r>
              <w:rPr>
                <w:i/>
              </w:rPr>
              <w:t>Determinations of Insanity”</w:t>
            </w:r>
            <w:r w:rsidR="001453C4">
              <w:rPr>
                <w:i/>
              </w:rPr>
              <w:t xml:space="preserve"> at </w:t>
            </w:r>
            <w:r w:rsidR="00882AF5" w:rsidRPr="00882AF5">
              <w:rPr>
                <w:b/>
                <w:i/>
              </w:rPr>
              <w:t>https://vba-tpi.vbatraining.org/lc</w:t>
            </w:r>
          </w:p>
          <w:p w:rsidR="00013EB8" w:rsidRDefault="00013EB8" w:rsidP="0081294E">
            <w:pPr>
              <w:widowControl w:val="0"/>
              <w:numPr>
                <w:ilvl w:val="0"/>
                <w:numId w:val="60"/>
              </w:numPr>
              <w:tabs>
                <w:tab w:val="left" w:pos="360"/>
              </w:tabs>
              <w:spacing w:after="120"/>
            </w:pPr>
            <w:r>
              <w:rPr>
                <w:b/>
                <w:i/>
              </w:rPr>
              <w:t>Winter v. Brown</w:t>
            </w:r>
            <w:r>
              <w:rPr>
                <w:b/>
              </w:rPr>
              <w:t xml:space="preserve"> (1/8/93)</w:t>
            </w:r>
            <w:r>
              <w:t xml:space="preserve"> - application of </w:t>
            </w:r>
            <w:r w:rsidRPr="00AC753C">
              <w:rPr>
                <w:b/>
              </w:rPr>
              <w:t>3.12</w:t>
            </w:r>
            <w:r>
              <w:t>(c)(6) [AWOL for 180 days is misconduct unless good reason; if fewer than 180 days, not entitled to exceptions]</w:t>
            </w:r>
          </w:p>
          <w:p w:rsidR="00145819" w:rsidRPr="00145819" w:rsidRDefault="00013EB8" w:rsidP="0081294E">
            <w:pPr>
              <w:widowControl w:val="0"/>
              <w:numPr>
                <w:ilvl w:val="0"/>
                <w:numId w:val="60"/>
              </w:numPr>
              <w:tabs>
                <w:tab w:val="left" w:pos="360"/>
              </w:tabs>
              <w:overflowPunct/>
              <w:autoSpaceDE/>
              <w:autoSpaceDN/>
              <w:adjustRightInd/>
              <w:spacing w:after="120"/>
              <w:textAlignment w:val="auto"/>
              <w:rPr>
                <w:b/>
                <w:bCs/>
                <w:i/>
                <w:iCs/>
              </w:rPr>
            </w:pPr>
            <w:r w:rsidRPr="00145819">
              <w:rPr>
                <w:b/>
                <w:i/>
              </w:rPr>
              <w:t xml:space="preserve">Lane v. Principi </w:t>
            </w:r>
            <w:r w:rsidRPr="00145819">
              <w:rPr>
                <w:b/>
              </w:rPr>
              <w:t xml:space="preserve">(8/7/03) </w:t>
            </w:r>
            <w:r w:rsidRPr="00145819">
              <w:t>- character of discharge, good discussion of 3.12(c)(6)</w:t>
            </w:r>
          </w:p>
          <w:p w:rsidR="00145819" w:rsidRPr="00145819" w:rsidRDefault="00145819" w:rsidP="0081294E">
            <w:pPr>
              <w:widowControl w:val="0"/>
              <w:numPr>
                <w:ilvl w:val="0"/>
                <w:numId w:val="60"/>
              </w:numPr>
              <w:tabs>
                <w:tab w:val="left" w:pos="360"/>
              </w:tabs>
              <w:overflowPunct/>
              <w:autoSpaceDE/>
              <w:autoSpaceDN/>
              <w:adjustRightInd/>
              <w:spacing w:after="120"/>
              <w:textAlignment w:val="auto"/>
              <w:rPr>
                <w:b/>
                <w:bCs/>
                <w:i/>
                <w:iCs/>
              </w:rPr>
            </w:pPr>
            <w:r w:rsidRPr="00145819">
              <w:rPr>
                <w:b/>
                <w:bCs/>
                <w:i/>
                <w:iCs/>
              </w:rPr>
              <w:t>From 8/3/10 Rating Team POD:</w:t>
            </w:r>
          </w:p>
          <w:p w:rsidR="00145819" w:rsidRDefault="00145819" w:rsidP="00145819">
            <w:pPr>
              <w:widowControl w:val="0"/>
              <w:spacing w:before="100" w:after="100"/>
              <w:rPr>
                <w:b/>
                <w:bCs/>
                <w:szCs w:val="28"/>
              </w:rPr>
            </w:pPr>
            <w:r>
              <w:rPr>
                <w:b/>
                <w:bCs/>
                <w:szCs w:val="28"/>
              </w:rPr>
              <w:t>When Not to Make a Character of Discharge Determination</w:t>
            </w:r>
          </w:p>
          <w:p w:rsidR="00145819" w:rsidRDefault="00145819" w:rsidP="00145819">
            <w:pPr>
              <w:widowControl w:val="0"/>
              <w:spacing w:before="100" w:after="100"/>
            </w:pPr>
            <w:r>
              <w:t>Do not make a character of discharge determination for VA claim purposes</w:t>
            </w:r>
          </w:p>
          <w:p w:rsidR="00145819" w:rsidRDefault="00145819" w:rsidP="0081294E">
            <w:pPr>
              <w:widowControl w:val="0"/>
              <w:numPr>
                <w:ilvl w:val="0"/>
                <w:numId w:val="60"/>
              </w:numPr>
            </w:pPr>
            <w:r>
              <w:t xml:space="preserve">before an application from a claimant places the matter at issue </w:t>
            </w:r>
          </w:p>
          <w:p w:rsidR="00145819" w:rsidRDefault="00145819" w:rsidP="0081294E">
            <w:pPr>
              <w:widowControl w:val="0"/>
              <w:numPr>
                <w:ilvl w:val="0"/>
                <w:numId w:val="60"/>
              </w:numPr>
            </w:pPr>
            <w:r>
              <w:t xml:space="preserve">if there is a separate period of honorable service, which qualifies the person for the benefits claimed </w:t>
            </w:r>
          </w:p>
          <w:p w:rsidR="00145819" w:rsidRDefault="00145819" w:rsidP="0081294E">
            <w:pPr>
              <w:widowControl w:val="0"/>
              <w:numPr>
                <w:ilvl w:val="0"/>
                <w:numId w:val="60"/>
              </w:numPr>
            </w:pPr>
            <w:r>
              <w:t xml:space="preserve">if there was another period of honorable service prior to the service at issue and the veteran was eligible for, or received, an unconditional discharge unless </w:t>
            </w:r>
          </w:p>
          <w:p w:rsidR="00145819" w:rsidRDefault="00145819" w:rsidP="0081294E">
            <w:pPr>
              <w:widowControl w:val="0"/>
              <w:numPr>
                <w:ilvl w:val="0"/>
                <w:numId w:val="60"/>
              </w:numPr>
            </w:pPr>
            <w:r>
              <w:t xml:space="preserve">eligibility to the benefits claimed requires the later period of service, for example, disability incurred during such period, or </w:t>
            </w:r>
          </w:p>
          <w:p w:rsidR="00145819" w:rsidRDefault="00145819" w:rsidP="0081294E">
            <w:pPr>
              <w:widowControl w:val="0"/>
              <w:numPr>
                <w:ilvl w:val="0"/>
                <w:numId w:val="60"/>
              </w:numPr>
            </w:pPr>
            <w:r>
              <w:t xml:space="preserve">disability or death pension eligibility requires wartime service and the discharge from such period was under other than honorable conditions. </w:t>
            </w:r>
          </w:p>
          <w:p w:rsidR="00145819" w:rsidRDefault="00145819" w:rsidP="00145819">
            <w:pPr>
              <w:widowControl w:val="0"/>
              <w:spacing w:before="100" w:after="100"/>
              <w:rPr>
                <w:b/>
                <w:bCs/>
                <w:szCs w:val="28"/>
              </w:rPr>
            </w:pPr>
            <w:r>
              <w:rPr>
                <w:b/>
                <w:bCs/>
                <w:szCs w:val="28"/>
              </w:rPr>
              <w:t xml:space="preserve">III.v.1.A.3.a. Notification Prior to a Determination </w:t>
            </w:r>
            <w:r w:rsidR="00711CF9">
              <w:rPr>
                <w:b/>
                <w:bCs/>
                <w:szCs w:val="28"/>
              </w:rPr>
              <w:t xml:space="preserve"> </w:t>
            </w:r>
            <w:r w:rsidR="00711CF9" w:rsidRPr="00BA78B4">
              <w:rPr>
                <w:b/>
                <w:bCs/>
                <w:iCs/>
              </w:rPr>
              <w:t>III.v.1.A</w:t>
            </w:r>
          </w:p>
          <w:p w:rsidR="00145819" w:rsidRDefault="00145819" w:rsidP="00145819">
            <w:pPr>
              <w:widowControl w:val="0"/>
              <w:spacing w:before="100" w:after="100"/>
            </w:pPr>
            <w:r>
              <w:t>In any case in which a character of discharge determination is necessary, including dishonorable discharges</w:t>
            </w:r>
          </w:p>
          <w:p w:rsidR="00145819" w:rsidRDefault="00145819" w:rsidP="0081294E">
            <w:pPr>
              <w:widowControl w:val="0"/>
              <w:numPr>
                <w:ilvl w:val="0"/>
                <w:numId w:val="60"/>
              </w:numPr>
            </w:pPr>
            <w:r>
              <w:t xml:space="preserve">inform the claimant in advance of the need for a determination, and </w:t>
            </w:r>
          </w:p>
          <w:p w:rsidR="00145819" w:rsidRDefault="00145819" w:rsidP="0081294E">
            <w:pPr>
              <w:widowControl w:val="0"/>
              <w:numPr>
                <w:ilvl w:val="0"/>
                <w:numId w:val="60"/>
              </w:numPr>
            </w:pPr>
            <w:r>
              <w:t xml:space="preserve">provide information concerning legal and procedural rights. </w:t>
            </w:r>
          </w:p>
          <w:p w:rsidR="00145819" w:rsidRDefault="00145819" w:rsidP="00145819">
            <w:pPr>
              <w:widowControl w:val="0"/>
              <w:spacing w:before="100" w:after="100"/>
              <w:rPr>
                <w:b/>
                <w:bCs/>
                <w:szCs w:val="28"/>
              </w:rPr>
            </w:pPr>
            <w:r>
              <w:rPr>
                <w:b/>
                <w:bCs/>
                <w:szCs w:val="28"/>
              </w:rPr>
              <w:t xml:space="preserve">III.v.1.A.3.b. Required Elements for Initial Notice </w:t>
            </w:r>
            <w:r w:rsidR="00711CF9" w:rsidRPr="00BA78B4">
              <w:rPr>
                <w:b/>
                <w:bCs/>
                <w:iCs/>
              </w:rPr>
              <w:t>III.v.1.A</w:t>
            </w:r>
          </w:p>
          <w:tbl>
            <w:tblPr>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680"/>
              <w:gridCol w:w="8035"/>
            </w:tblGrid>
            <w:tr w:rsidR="00145819" w:rsidTr="00DC35DC">
              <w:tc>
                <w:tcPr>
                  <w:tcW w:w="1680" w:type="dxa"/>
                  <w:vAlign w:val="center"/>
                </w:tcPr>
                <w:p w:rsidR="00145819" w:rsidRDefault="00145819" w:rsidP="00145819">
                  <w:pPr>
                    <w:widowControl w:val="0"/>
                    <w:spacing w:before="100" w:after="100"/>
                    <w:rPr>
                      <w:b/>
                      <w:bCs/>
                    </w:rPr>
                  </w:pPr>
                  <w:r>
                    <w:rPr>
                      <w:b/>
                      <w:bCs/>
                    </w:rPr>
                    <w:t xml:space="preserve">Element </w:t>
                  </w:r>
                </w:p>
              </w:tc>
              <w:tc>
                <w:tcPr>
                  <w:tcW w:w="8035" w:type="dxa"/>
                  <w:vAlign w:val="center"/>
                </w:tcPr>
                <w:p w:rsidR="00145819" w:rsidRDefault="00145819" w:rsidP="00145819">
                  <w:pPr>
                    <w:widowControl w:val="0"/>
                    <w:spacing w:before="100" w:after="100"/>
                    <w:rPr>
                      <w:b/>
                      <w:bCs/>
                    </w:rPr>
                  </w:pPr>
                  <w:r>
                    <w:rPr>
                      <w:b/>
                      <w:bCs/>
                    </w:rPr>
                    <w:t xml:space="preserve">Purpose and Description </w:t>
                  </w:r>
                </w:p>
              </w:tc>
            </w:tr>
            <w:tr w:rsidR="00145819" w:rsidTr="00DC35DC">
              <w:tc>
                <w:tcPr>
                  <w:tcW w:w="1680" w:type="dxa"/>
                  <w:vAlign w:val="center"/>
                </w:tcPr>
                <w:p w:rsidR="00145819" w:rsidRDefault="00145819" w:rsidP="00145819">
                  <w:pPr>
                    <w:widowControl w:val="0"/>
                    <w:spacing w:before="100" w:after="100"/>
                  </w:pPr>
                  <w:r>
                    <w:t>Reason for Determination</w:t>
                  </w:r>
                </w:p>
              </w:tc>
              <w:tc>
                <w:tcPr>
                  <w:tcW w:w="8035" w:type="dxa"/>
                  <w:vAlign w:val="center"/>
                </w:tcPr>
                <w:p w:rsidR="00145819" w:rsidRDefault="00145819" w:rsidP="00145819">
                  <w:pPr>
                    <w:widowControl w:val="0"/>
                    <w:spacing w:before="100" w:after="100"/>
                  </w:pPr>
                  <w:r>
                    <w:t xml:space="preserve">Explains the reason why a character of discharge determination is necessary. </w:t>
                  </w:r>
                </w:p>
                <w:p w:rsidR="00145819" w:rsidRDefault="00145819" w:rsidP="00145819">
                  <w:pPr>
                    <w:widowControl w:val="0"/>
                    <w:spacing w:before="100" w:after="100"/>
                  </w:pPr>
                  <w:r>
                    <w:t>Note: Basic eligibility for VA benefits is contingent upon a discharge under other than dishonorable conditions.</w:t>
                  </w:r>
                </w:p>
              </w:tc>
            </w:tr>
            <w:tr w:rsidR="00145819" w:rsidTr="00DC35DC">
              <w:tc>
                <w:tcPr>
                  <w:tcW w:w="1680" w:type="dxa"/>
                  <w:vAlign w:val="center"/>
                </w:tcPr>
                <w:p w:rsidR="00145819" w:rsidRDefault="00145819" w:rsidP="00145819">
                  <w:pPr>
                    <w:widowControl w:val="0"/>
                    <w:spacing w:before="100" w:after="100"/>
                  </w:pPr>
                  <w:r>
                    <w:t>Criteria Used to Make Determination</w:t>
                  </w:r>
                </w:p>
              </w:tc>
              <w:tc>
                <w:tcPr>
                  <w:tcW w:w="8035" w:type="dxa"/>
                  <w:vAlign w:val="center"/>
                </w:tcPr>
                <w:p w:rsidR="00145819" w:rsidRDefault="00145819" w:rsidP="00145819">
                  <w:pPr>
                    <w:widowControl w:val="0"/>
                    <w:spacing w:before="100" w:after="100"/>
                  </w:pPr>
                  <w:r>
                    <w:t xml:space="preserve">Explains the criteria that will be used to make the determination. </w:t>
                  </w:r>
                </w:p>
                <w:p w:rsidR="00145819" w:rsidRDefault="00145819" w:rsidP="00145819">
                  <w:pPr>
                    <w:widowControl w:val="0"/>
                    <w:spacing w:before="100" w:after="100"/>
                  </w:pPr>
                  <w:r>
                    <w:t xml:space="preserve">Explains and cites the applicable VA regulations. </w:t>
                  </w:r>
                </w:p>
              </w:tc>
            </w:tr>
            <w:tr w:rsidR="00145819" w:rsidTr="00DC35DC">
              <w:tc>
                <w:tcPr>
                  <w:tcW w:w="1680" w:type="dxa"/>
                  <w:vAlign w:val="center"/>
                </w:tcPr>
                <w:p w:rsidR="00145819" w:rsidRDefault="00145819" w:rsidP="00145819">
                  <w:pPr>
                    <w:widowControl w:val="0"/>
                    <w:spacing w:before="100" w:after="100"/>
                  </w:pPr>
                  <w:r>
                    <w:t>Request Placed to Service Department</w:t>
                  </w:r>
                </w:p>
              </w:tc>
              <w:tc>
                <w:tcPr>
                  <w:tcW w:w="8035" w:type="dxa"/>
                  <w:vAlign w:val="center"/>
                </w:tcPr>
                <w:p w:rsidR="00145819" w:rsidRDefault="00145819" w:rsidP="00145819">
                  <w:pPr>
                    <w:widowControl w:val="0"/>
                    <w:spacing w:before="100" w:after="100"/>
                  </w:pPr>
                  <w:r>
                    <w:t>Explains that VA has asked the service department for a report or information about the discharge proceedings.</w:t>
                  </w:r>
                </w:p>
                <w:p w:rsidR="00145819" w:rsidRDefault="00145819" w:rsidP="00145819">
                  <w:pPr>
                    <w:widowControl w:val="0"/>
                    <w:spacing w:before="100" w:after="100"/>
                  </w:pPr>
                  <w:r>
                    <w:t>Note: VA will not request discharge proceedings if a dishonorable discharge was issued unless the issue of insanity is involved.</w:t>
                  </w:r>
                </w:p>
              </w:tc>
            </w:tr>
            <w:tr w:rsidR="00145819" w:rsidTr="00DC35DC">
              <w:tc>
                <w:tcPr>
                  <w:tcW w:w="1680" w:type="dxa"/>
                  <w:vAlign w:val="center"/>
                </w:tcPr>
                <w:p w:rsidR="00145819" w:rsidRDefault="00145819" w:rsidP="00145819">
                  <w:pPr>
                    <w:widowControl w:val="0"/>
                    <w:spacing w:before="100" w:after="100"/>
                  </w:pPr>
                  <w:r>
                    <w:t xml:space="preserve">Claimant's Right to Submit Evidence </w:t>
                  </w:r>
                </w:p>
              </w:tc>
              <w:tc>
                <w:tcPr>
                  <w:tcW w:w="8035" w:type="dxa"/>
                  <w:vAlign w:val="center"/>
                </w:tcPr>
                <w:p w:rsidR="00145819" w:rsidRDefault="00145819" w:rsidP="00145819">
                  <w:pPr>
                    <w:widowControl w:val="0"/>
                    <w:spacing w:before="100" w:after="100"/>
                  </w:pPr>
                  <w:r>
                    <w:t>Explains the claimant's right to submit any evidence, contention, or argument bearing on the issue.</w:t>
                  </w:r>
                </w:p>
              </w:tc>
            </w:tr>
            <w:tr w:rsidR="00145819" w:rsidTr="00DC35DC">
              <w:tc>
                <w:tcPr>
                  <w:tcW w:w="1680" w:type="dxa"/>
                  <w:vAlign w:val="center"/>
                </w:tcPr>
                <w:p w:rsidR="00145819" w:rsidRDefault="00145819" w:rsidP="00145819">
                  <w:pPr>
                    <w:widowControl w:val="0"/>
                    <w:spacing w:before="100" w:after="100"/>
                  </w:pPr>
                  <w:r>
                    <w:t>Claimant's Right to a Hearing</w:t>
                  </w:r>
                </w:p>
              </w:tc>
              <w:tc>
                <w:tcPr>
                  <w:tcW w:w="8035" w:type="dxa"/>
                  <w:vAlign w:val="center"/>
                </w:tcPr>
                <w:p w:rsidR="00145819" w:rsidRDefault="00145819" w:rsidP="00145819">
                  <w:pPr>
                    <w:widowControl w:val="0"/>
                    <w:spacing w:before="100" w:after="100"/>
                  </w:pPr>
                  <w:r>
                    <w:t>Explains the claimant's right to request a personal hearing prior to the determination.</w:t>
                  </w:r>
                </w:p>
                <w:p w:rsidR="00145819" w:rsidRDefault="00145819" w:rsidP="00145819">
                  <w:pPr>
                    <w:widowControl w:val="0"/>
                    <w:spacing w:before="100" w:after="100"/>
                  </w:pPr>
                  <w:r>
                    <w:t>Note: Inform the claimant that VA will furnish the hearing room, provide hearing officials, and prepare a transcript of the proceedings, but will not pay any other expense connected with the hearing.</w:t>
                  </w:r>
                </w:p>
              </w:tc>
            </w:tr>
            <w:tr w:rsidR="00145819" w:rsidTr="00DC35DC">
              <w:tc>
                <w:tcPr>
                  <w:tcW w:w="1680" w:type="dxa"/>
                  <w:vAlign w:val="center"/>
                </w:tcPr>
                <w:p w:rsidR="00145819" w:rsidRDefault="00145819" w:rsidP="00145819">
                  <w:pPr>
                    <w:widowControl w:val="0"/>
                    <w:spacing w:before="100" w:after="100"/>
                  </w:pPr>
                  <w:r>
                    <w:t>60 Day Limit</w:t>
                  </w:r>
                </w:p>
              </w:tc>
              <w:tc>
                <w:tcPr>
                  <w:tcW w:w="8035" w:type="dxa"/>
                  <w:vAlign w:val="center"/>
                </w:tcPr>
                <w:p w:rsidR="00145819" w:rsidRDefault="00145819" w:rsidP="00145819">
                  <w:pPr>
                    <w:widowControl w:val="0"/>
                    <w:spacing w:before="100" w:after="100"/>
                  </w:pPr>
                  <w:r>
                    <w:t>Explains that if the claimant does not reply within 60 days, VA will</w:t>
                  </w:r>
                </w:p>
                <w:p w:rsidR="00145819" w:rsidRDefault="00145819" w:rsidP="00F063AF">
                  <w:pPr>
                    <w:widowControl w:val="0"/>
                    <w:numPr>
                      <w:ilvl w:val="0"/>
                      <w:numId w:val="131"/>
                    </w:numPr>
                    <w:spacing w:before="100" w:after="100"/>
                    <w:ind w:left="720" w:hanging="360"/>
                  </w:pPr>
                  <w:r>
                    <w:t xml:space="preserve">assume he/she has no additional evidence to submit and does not desire additional time for presentation of the case, and </w:t>
                  </w:r>
                </w:p>
                <w:p w:rsidR="00145819" w:rsidRDefault="00145819" w:rsidP="00F063AF">
                  <w:pPr>
                    <w:widowControl w:val="0"/>
                    <w:numPr>
                      <w:ilvl w:val="0"/>
                      <w:numId w:val="131"/>
                    </w:numPr>
                    <w:spacing w:before="100" w:after="100"/>
                    <w:ind w:left="720" w:hanging="360"/>
                  </w:pPr>
                  <w:r>
                    <w:t xml:space="preserve">make a decision based on the evidence available. </w:t>
                  </w:r>
                </w:p>
              </w:tc>
            </w:tr>
            <w:tr w:rsidR="00145819" w:rsidTr="00DC35DC">
              <w:tc>
                <w:tcPr>
                  <w:tcW w:w="1680" w:type="dxa"/>
                  <w:vAlign w:val="center"/>
                </w:tcPr>
                <w:p w:rsidR="00145819" w:rsidRDefault="00145819" w:rsidP="00145819">
                  <w:pPr>
                    <w:widowControl w:val="0"/>
                    <w:spacing w:before="100" w:after="100"/>
                  </w:pPr>
                  <w:r>
                    <w:t>Effect of Determination</w:t>
                  </w:r>
                </w:p>
              </w:tc>
              <w:tc>
                <w:tcPr>
                  <w:tcW w:w="8035" w:type="dxa"/>
                  <w:vAlign w:val="center"/>
                </w:tcPr>
                <w:p w:rsidR="00145819" w:rsidRDefault="00145819" w:rsidP="00145819">
                  <w:pPr>
                    <w:widowControl w:val="0"/>
                    <w:spacing w:before="100" w:after="100"/>
                  </w:pPr>
                  <w:r>
                    <w:t xml:space="preserve">Fully explains that a statutory bar prevents entitlement to </w:t>
                  </w:r>
                </w:p>
                <w:p w:rsidR="00145819" w:rsidRDefault="00145819" w:rsidP="00F063AF">
                  <w:pPr>
                    <w:widowControl w:val="0"/>
                    <w:numPr>
                      <w:ilvl w:val="0"/>
                      <w:numId w:val="131"/>
                    </w:numPr>
                    <w:spacing w:before="100" w:after="100"/>
                    <w:ind w:left="720" w:hanging="360"/>
                  </w:pPr>
                  <w:r>
                    <w:t xml:space="preserve">the benefit claimed, and </w:t>
                  </w:r>
                </w:p>
                <w:p w:rsidR="00145819" w:rsidRDefault="00145819" w:rsidP="00F063AF">
                  <w:pPr>
                    <w:widowControl w:val="0"/>
                    <w:numPr>
                      <w:ilvl w:val="0"/>
                      <w:numId w:val="131"/>
                    </w:numPr>
                    <w:spacing w:before="100" w:after="100"/>
                    <w:ind w:left="720" w:hanging="360"/>
                  </w:pPr>
                  <w:r>
                    <w:t xml:space="preserve">all other gratuitous VA benefits. </w:t>
                  </w:r>
                </w:p>
              </w:tc>
            </w:tr>
            <w:tr w:rsidR="00145819" w:rsidTr="00DC35DC">
              <w:tc>
                <w:tcPr>
                  <w:tcW w:w="1680" w:type="dxa"/>
                  <w:vAlign w:val="center"/>
                </w:tcPr>
                <w:p w:rsidR="00145819" w:rsidRDefault="00145819" w:rsidP="00145819">
                  <w:pPr>
                    <w:widowControl w:val="0"/>
                    <w:spacing w:before="100" w:after="100"/>
                  </w:pPr>
                  <w:r>
                    <w:t>Statement of Policy</w:t>
                  </w:r>
                </w:p>
              </w:tc>
              <w:tc>
                <w:tcPr>
                  <w:tcW w:w="8035" w:type="dxa"/>
                  <w:vAlign w:val="center"/>
                </w:tcPr>
                <w:p w:rsidR="00145819" w:rsidRDefault="00145819" w:rsidP="00145819">
                  <w:pPr>
                    <w:widowControl w:val="0"/>
                    <w:spacing w:before="100" w:after="100"/>
                  </w:pPr>
                  <w:r>
                    <w:t>Include statements to the claimant explaining:</w:t>
                  </w:r>
                </w:p>
                <w:p w:rsidR="00145819" w:rsidRDefault="00145819" w:rsidP="00F063AF">
                  <w:pPr>
                    <w:widowControl w:val="0"/>
                    <w:numPr>
                      <w:ilvl w:val="0"/>
                      <w:numId w:val="131"/>
                    </w:numPr>
                    <w:spacing w:before="100" w:after="100"/>
                    <w:ind w:left="720" w:hanging="360"/>
                  </w:pPr>
                  <w:r>
                    <w:t xml:space="preserve">the established policy of VA is to assist a claimant in developing the facts pertinent to a claim, and </w:t>
                  </w:r>
                </w:p>
                <w:p w:rsidR="00145819" w:rsidRDefault="00145819" w:rsidP="00F063AF">
                  <w:pPr>
                    <w:widowControl w:val="0"/>
                    <w:numPr>
                      <w:ilvl w:val="0"/>
                      <w:numId w:val="131"/>
                    </w:numPr>
                    <w:spacing w:before="100" w:after="100"/>
                    <w:ind w:left="720" w:hanging="360"/>
                  </w:pPr>
                  <w:r>
                    <w:t xml:space="preserve">that VA will make a decision that grants the claimant every benefit that can be supported in law, while protecting the interest of the Federal Government. </w:t>
                  </w:r>
                </w:p>
              </w:tc>
            </w:tr>
          </w:tbl>
          <w:p w:rsidR="00013EB8" w:rsidRPr="00EF0835" w:rsidRDefault="00013EB8" w:rsidP="00BB0B80">
            <w:pPr>
              <w:spacing w:after="120"/>
            </w:pPr>
          </w:p>
        </w:tc>
      </w:tr>
    </w:tbl>
    <w:p w:rsidR="00013EB8" w:rsidRDefault="00013EB8">
      <w:pPr>
        <w:widowControl w:val="0"/>
        <w:tabs>
          <w:tab w:val="left" w:pos="0"/>
          <w:tab w:val="left" w:pos="144"/>
        </w:tabs>
        <w:rPr>
          <w:sz w:val="22"/>
        </w:rPr>
      </w:pPr>
    </w:p>
    <w:p w:rsidR="00A06121" w:rsidRPr="00A06121" w:rsidRDefault="00A06121" w:rsidP="00A06121">
      <w:r w:rsidRPr="00A06121">
        <w:rPr>
          <w:b/>
          <w:bCs/>
        </w:rPr>
        <w:t>From:</w:t>
      </w:r>
      <w:r w:rsidRPr="00A06121">
        <w:t xml:space="preserve"> VAVBASDC/RO/VSC </w:t>
      </w:r>
      <w:r w:rsidRPr="00A06121">
        <w:br/>
      </w:r>
      <w:r w:rsidRPr="00A06121">
        <w:rPr>
          <w:b/>
          <w:bCs/>
        </w:rPr>
        <w:t>Sent:</w:t>
      </w:r>
      <w:r w:rsidRPr="00A06121">
        <w:t xml:space="preserve"> Tuesday, June 14, 2016 2:18 PM</w:t>
      </w:r>
      <w:r w:rsidRPr="00A06121">
        <w:br/>
      </w:r>
      <w:r w:rsidRPr="00A06121">
        <w:rPr>
          <w:b/>
          <w:bCs/>
        </w:rPr>
        <w:t>Subject:</w:t>
      </w:r>
      <w:r w:rsidRPr="00A06121">
        <w:t xml:space="preserve"> Q-Tip Proper Verification of Military Service : Target Audience: RVSRs and VSRs</w:t>
      </w:r>
    </w:p>
    <w:p w:rsidR="00A06121" w:rsidRPr="00A06121" w:rsidRDefault="00A06121" w:rsidP="00A06121">
      <w:pPr>
        <w:rPr>
          <w:rFonts w:eastAsiaTheme="minorHAnsi"/>
        </w:rPr>
      </w:pPr>
    </w:p>
    <w:p w:rsidR="00A06121" w:rsidRPr="00A06121" w:rsidRDefault="00A06121" w:rsidP="00A06121">
      <w:r w:rsidRPr="00A06121">
        <w:t>Attention RVSRs and VSRs:</w:t>
      </w:r>
    </w:p>
    <w:p w:rsidR="00A06121" w:rsidRPr="00A06121" w:rsidRDefault="00A06121" w:rsidP="00A06121"/>
    <w:p w:rsidR="00A06121" w:rsidRPr="00A06121" w:rsidRDefault="00A06121" w:rsidP="00A06121">
      <w:pPr>
        <w:ind w:right="885"/>
      </w:pPr>
      <w:r w:rsidRPr="00A06121">
        <w:t>The following Quality Tip is provided as it pertains to the proper verification of military service.</w:t>
      </w:r>
    </w:p>
    <w:p w:rsidR="00A06121" w:rsidRPr="00A06121" w:rsidRDefault="00A06121" w:rsidP="00A06121">
      <w:pPr>
        <w:spacing w:before="100" w:beforeAutospacing="1" w:after="100" w:afterAutospacing="1"/>
        <w:ind w:firstLine="180"/>
        <w:rPr>
          <w:b/>
          <w:bCs/>
        </w:rPr>
      </w:pPr>
      <w:r w:rsidRPr="00A06121">
        <w:rPr>
          <w:b/>
          <w:bCs/>
        </w:rPr>
        <w:t>Active service includes:</w:t>
      </w:r>
    </w:p>
    <w:p w:rsidR="00A06121" w:rsidRPr="00A06121" w:rsidRDefault="00A06121" w:rsidP="00F063AF">
      <w:pPr>
        <w:numPr>
          <w:ilvl w:val="0"/>
          <w:numId w:val="286"/>
        </w:numPr>
        <w:overflowPunct/>
        <w:autoSpaceDE/>
        <w:autoSpaceDN/>
        <w:adjustRightInd/>
        <w:spacing w:before="100" w:beforeAutospacing="1" w:after="100" w:afterAutospacing="1"/>
        <w:textAlignment w:val="auto"/>
      </w:pPr>
      <w:r w:rsidRPr="00A06121">
        <w:t>active duty</w:t>
      </w:r>
    </w:p>
    <w:p w:rsidR="00A06121" w:rsidRPr="00A06121" w:rsidRDefault="00A06121" w:rsidP="00F063AF">
      <w:pPr>
        <w:numPr>
          <w:ilvl w:val="0"/>
          <w:numId w:val="286"/>
        </w:numPr>
        <w:overflowPunct/>
        <w:autoSpaceDE/>
        <w:autoSpaceDN/>
        <w:adjustRightInd/>
        <w:spacing w:before="100" w:beforeAutospacing="1" w:after="100" w:afterAutospacing="1"/>
        <w:textAlignment w:val="auto"/>
      </w:pPr>
      <w:r w:rsidRPr="00A06121">
        <w:t xml:space="preserve">any period of </w:t>
      </w:r>
      <w:r w:rsidRPr="00A06121">
        <w:rPr>
          <w:i/>
          <w:iCs/>
        </w:rPr>
        <w:t>active duty for training</w:t>
      </w:r>
      <w:r w:rsidRPr="00A06121">
        <w:t> </w:t>
      </w:r>
      <w:r w:rsidRPr="00A06121">
        <w:rPr>
          <w:i/>
          <w:iCs/>
        </w:rPr>
        <w:t>(ADT)</w:t>
      </w:r>
      <w:r w:rsidRPr="00A06121">
        <w:t xml:space="preserve"> during which a person is disabled or dies from a disease or injury incurred or aggravated in the line of duty</w:t>
      </w:r>
    </w:p>
    <w:p w:rsidR="00A06121" w:rsidRPr="00A06121" w:rsidRDefault="00A06121" w:rsidP="00F063AF">
      <w:pPr>
        <w:numPr>
          <w:ilvl w:val="0"/>
          <w:numId w:val="286"/>
        </w:numPr>
        <w:overflowPunct/>
        <w:autoSpaceDE/>
        <w:autoSpaceDN/>
        <w:adjustRightInd/>
        <w:spacing w:before="100" w:beforeAutospacing="1" w:after="100" w:afterAutospacing="1"/>
        <w:textAlignment w:val="auto"/>
      </w:pPr>
      <w:r w:rsidRPr="00A06121">
        <w:t xml:space="preserve">any period of </w:t>
      </w:r>
      <w:r w:rsidRPr="00A06121">
        <w:rPr>
          <w:i/>
          <w:iCs/>
        </w:rPr>
        <w:t>ADT</w:t>
      </w:r>
      <w:r w:rsidRPr="00A06121">
        <w:t xml:space="preserve"> or </w:t>
      </w:r>
      <w:r w:rsidRPr="00A06121">
        <w:rPr>
          <w:i/>
          <w:iCs/>
        </w:rPr>
        <w:t>inactive duty for training (IADT)</w:t>
      </w:r>
      <w:r w:rsidRPr="00A06121">
        <w:t xml:space="preserve">, during which a person is disabled or dies from an injury incurred or aggravated in the line of duty or any of the following conditions </w:t>
      </w:r>
    </w:p>
    <w:p w:rsidR="00A06121" w:rsidRPr="00A06121" w:rsidRDefault="00A06121" w:rsidP="00F063AF">
      <w:pPr>
        <w:numPr>
          <w:ilvl w:val="1"/>
          <w:numId w:val="286"/>
        </w:numPr>
        <w:overflowPunct/>
        <w:autoSpaceDE/>
        <w:autoSpaceDN/>
        <w:adjustRightInd/>
        <w:spacing w:before="100" w:beforeAutospacing="1" w:after="100" w:afterAutospacing="1"/>
        <w:textAlignment w:val="auto"/>
      </w:pPr>
      <w:r w:rsidRPr="00A06121">
        <w:t>acute myocardial infarction</w:t>
      </w:r>
    </w:p>
    <w:p w:rsidR="00A06121" w:rsidRPr="00A06121" w:rsidRDefault="00A06121" w:rsidP="00F063AF">
      <w:pPr>
        <w:numPr>
          <w:ilvl w:val="1"/>
          <w:numId w:val="286"/>
        </w:numPr>
        <w:overflowPunct/>
        <w:autoSpaceDE/>
        <w:autoSpaceDN/>
        <w:adjustRightInd/>
        <w:spacing w:before="100" w:beforeAutospacing="1" w:after="100" w:afterAutospacing="1"/>
        <w:textAlignment w:val="auto"/>
      </w:pPr>
      <w:r w:rsidRPr="00A06121">
        <w:t>cardiac arrest, or</w:t>
      </w:r>
    </w:p>
    <w:p w:rsidR="00A06121" w:rsidRPr="00A06121" w:rsidRDefault="00A06121" w:rsidP="00F063AF">
      <w:pPr>
        <w:numPr>
          <w:ilvl w:val="1"/>
          <w:numId w:val="286"/>
        </w:numPr>
        <w:overflowPunct/>
        <w:autoSpaceDE/>
        <w:autoSpaceDN/>
        <w:adjustRightInd/>
        <w:spacing w:before="100" w:beforeAutospacing="1" w:after="100" w:afterAutospacing="1"/>
        <w:textAlignment w:val="auto"/>
      </w:pPr>
      <w:r w:rsidRPr="00A06121">
        <w:t>cerebrovascular accident.</w:t>
      </w:r>
    </w:p>
    <w:p w:rsidR="00A06121" w:rsidRPr="00A06121" w:rsidRDefault="00A06121" w:rsidP="00A06121">
      <w:pPr>
        <w:pStyle w:val="NormalWeb"/>
        <w:ind w:left="720"/>
        <w:rPr>
          <w:rFonts w:eastAsiaTheme="minorHAnsi"/>
          <w:sz w:val="20"/>
          <w:szCs w:val="20"/>
        </w:rPr>
      </w:pPr>
      <w:r w:rsidRPr="00A06121">
        <w:rPr>
          <w:rStyle w:val="Emphasis"/>
          <w:b/>
          <w:bCs/>
          <w:sz w:val="20"/>
          <w:szCs w:val="20"/>
        </w:rPr>
        <w:t>Important</w:t>
      </w:r>
      <w:r w:rsidRPr="00A06121">
        <w:rPr>
          <w:sz w:val="20"/>
          <w:szCs w:val="20"/>
        </w:rPr>
        <w:t xml:space="preserve">:  A Veteran may meet the minimum period of active duty without completing 24 months of active duty. </w:t>
      </w:r>
      <w:hyperlink r:id="rId375" w:anchor="se38.1.3_11" w:tgtFrame="_blank" w:history="1">
        <w:r w:rsidRPr="00A06121">
          <w:rPr>
            <w:rStyle w:val="Hyperlink"/>
            <w:sz w:val="20"/>
            <w:szCs w:val="20"/>
          </w:rPr>
          <w:t> 38 CFR 3.12a (a)(1)</w:t>
        </w:r>
      </w:hyperlink>
      <w:r w:rsidRPr="00A06121">
        <w:rPr>
          <w:sz w:val="20"/>
          <w:szCs w:val="20"/>
        </w:rPr>
        <w:t xml:space="preserve"> defines the minimum period as</w:t>
      </w:r>
    </w:p>
    <w:p w:rsidR="00A06121" w:rsidRPr="00A06121" w:rsidRDefault="00A06121" w:rsidP="00F063AF">
      <w:pPr>
        <w:numPr>
          <w:ilvl w:val="0"/>
          <w:numId w:val="287"/>
        </w:numPr>
        <w:overflowPunct/>
        <w:autoSpaceDE/>
        <w:autoSpaceDN/>
        <w:adjustRightInd/>
        <w:spacing w:before="100" w:beforeAutospacing="1" w:after="100" w:afterAutospacing="1"/>
        <w:textAlignment w:val="auto"/>
      </w:pPr>
      <w:r w:rsidRPr="00A06121">
        <w:t>24 months of continuous active duty, or</w:t>
      </w:r>
    </w:p>
    <w:p w:rsidR="00A06121" w:rsidRPr="003C038F" w:rsidRDefault="00A06121" w:rsidP="00F063AF">
      <w:pPr>
        <w:numPr>
          <w:ilvl w:val="0"/>
          <w:numId w:val="287"/>
        </w:numPr>
        <w:overflowPunct/>
        <w:autoSpaceDE/>
        <w:autoSpaceDN/>
        <w:adjustRightInd/>
        <w:spacing w:before="100" w:beforeAutospacing="1" w:after="100" w:afterAutospacing="1"/>
        <w:textAlignment w:val="auto"/>
      </w:pPr>
      <w:r w:rsidRPr="00A06121">
        <w:t>the full period for which a person is called or ordered to active duty.</w:t>
      </w:r>
    </w:p>
    <w:p w:rsidR="00A06121" w:rsidRPr="00A06121" w:rsidRDefault="00A06121" w:rsidP="00A06121">
      <w:pPr>
        <w:ind w:left="180" w:right="885"/>
      </w:pPr>
      <w:r w:rsidRPr="00A06121">
        <w:rPr>
          <w:rStyle w:val="Strong"/>
          <w:b w:val="0"/>
          <w:bCs w:val="0"/>
        </w:rPr>
        <w:t xml:space="preserve">The acceptable forms of evidence of qualifying service (to include DD214s) can be found  under </w:t>
      </w:r>
      <w:r w:rsidRPr="00A06121">
        <w:rPr>
          <w:rStyle w:val="Strong"/>
          <w:b w:val="0"/>
          <w:bCs w:val="0"/>
          <w:i/>
          <w:iCs/>
        </w:rPr>
        <w:t>M21-1</w:t>
      </w:r>
      <w:r w:rsidRPr="00A06121">
        <w:rPr>
          <w:rStyle w:val="Strong"/>
          <w:b w:val="0"/>
          <w:bCs w:val="0"/>
        </w:rPr>
        <w:t>.</w:t>
      </w:r>
      <w:r w:rsidRPr="00A06121">
        <w:rPr>
          <w:rStyle w:val="Strong"/>
          <w:b w:val="0"/>
          <w:bCs w:val="0"/>
          <w:i/>
          <w:iCs/>
        </w:rPr>
        <w:t xml:space="preserve"> </w:t>
      </w:r>
      <w:r w:rsidRPr="00C820D0">
        <w:rPr>
          <w:rStyle w:val="Strong"/>
          <w:b w:val="0"/>
          <w:bCs w:val="0"/>
          <w:i/>
          <w:iCs/>
        </w:rPr>
        <w:t>III.ii.6.6.a</w:t>
      </w:r>
      <w:bookmarkStart w:id="72" w:name="6a"/>
      <w:r w:rsidRPr="00C820D0">
        <w:rPr>
          <w:rStyle w:val="Strong"/>
          <w:b w:val="0"/>
          <w:bCs w:val="0"/>
          <w:i/>
          <w:iCs/>
          <w:color w:val="444444"/>
        </w:rPr>
        <w:t>.</w:t>
      </w:r>
      <w:bookmarkEnd w:id="72"/>
      <w:r w:rsidRPr="00C820D0">
        <w:rPr>
          <w:rStyle w:val="Strong"/>
          <w:b w:val="0"/>
          <w:bCs w:val="0"/>
          <w:i/>
          <w:iCs/>
        </w:rPr>
        <w:t xml:space="preserve"> </w:t>
      </w:r>
      <w:r w:rsidR="00DA4C08" w:rsidRPr="00C820D0">
        <w:rPr>
          <w:bCs/>
          <w:i/>
        </w:rPr>
        <w:t>(</w:t>
      </w:r>
      <w:r w:rsidR="00C820D0" w:rsidRPr="00C820D0">
        <w:rPr>
          <w:bCs/>
          <w:i/>
          <w:color w:val="00B050"/>
        </w:rPr>
        <w:t xml:space="preserve">My Notes:  </w:t>
      </w:r>
      <w:r w:rsidR="00C820D0" w:rsidRPr="00D36CD9">
        <w:rPr>
          <w:bCs/>
          <w:i/>
        </w:rPr>
        <w:t>S</w:t>
      </w:r>
      <w:r w:rsidR="00DA4C08" w:rsidRPr="00D36CD9">
        <w:rPr>
          <w:bCs/>
          <w:i/>
        </w:rPr>
        <w:t xml:space="preserve">hould be </w:t>
      </w:r>
      <w:r w:rsidR="00DA4C08" w:rsidRPr="00D36CD9">
        <w:rPr>
          <w:b/>
          <w:bCs/>
          <w:i/>
        </w:rPr>
        <w:t>III.ii.6.</w:t>
      </w:r>
      <w:r w:rsidR="00E350DC" w:rsidRPr="00D36CD9">
        <w:rPr>
          <w:b/>
          <w:bCs/>
          <w:i/>
        </w:rPr>
        <w:t>B.3</w:t>
      </w:r>
      <w:r w:rsidR="00DA4C08" w:rsidRPr="00D36CD9">
        <w:rPr>
          <w:b/>
          <w:bCs/>
          <w:i/>
        </w:rPr>
        <w:t>.a</w:t>
      </w:r>
      <w:r w:rsidR="00DA4C08" w:rsidRPr="00C820D0">
        <w:rPr>
          <w:bCs/>
        </w:rPr>
        <w:t>)</w:t>
      </w:r>
      <w:r w:rsidR="00DA4C08">
        <w:rPr>
          <w:bCs/>
        </w:rPr>
        <w:t xml:space="preserve"> </w:t>
      </w:r>
      <w:r w:rsidRPr="00A06121">
        <w:t xml:space="preserve">If the documents listed in this section are not available, </w:t>
      </w:r>
      <w:r w:rsidRPr="00A06121">
        <w:rPr>
          <w:i/>
          <w:iCs/>
        </w:rPr>
        <w:t>service can be verified by:</w:t>
      </w:r>
    </w:p>
    <w:p w:rsidR="00A06121" w:rsidRPr="00A06121" w:rsidRDefault="00A06121" w:rsidP="00F063AF">
      <w:pPr>
        <w:numPr>
          <w:ilvl w:val="0"/>
          <w:numId w:val="286"/>
        </w:numPr>
        <w:overflowPunct/>
        <w:autoSpaceDE/>
        <w:autoSpaceDN/>
        <w:adjustRightInd/>
        <w:spacing w:before="100" w:beforeAutospacing="1" w:after="100" w:afterAutospacing="1"/>
        <w:textAlignment w:val="auto"/>
      </w:pPr>
      <w:r w:rsidRPr="00A06121">
        <w:t xml:space="preserve">The VID tab in SHARE that is </w:t>
      </w:r>
      <w:r w:rsidRPr="00A06121">
        <w:rPr>
          <w:i/>
          <w:iCs/>
        </w:rPr>
        <w:t>complete</w:t>
      </w:r>
      <w:r w:rsidRPr="00A06121">
        <w:t xml:space="preserve"> and shows VADS verified service (D or Y in the VADS field).</w:t>
      </w:r>
    </w:p>
    <w:p w:rsidR="00A06121" w:rsidRPr="00A06121" w:rsidRDefault="00A06121" w:rsidP="00F063AF">
      <w:pPr>
        <w:numPr>
          <w:ilvl w:val="0"/>
          <w:numId w:val="286"/>
        </w:numPr>
        <w:overflowPunct/>
        <w:autoSpaceDE/>
        <w:autoSpaceDN/>
        <w:adjustRightInd/>
        <w:spacing w:before="100" w:beforeAutospacing="1" w:after="100" w:afterAutospacing="1"/>
        <w:textAlignment w:val="auto"/>
      </w:pPr>
      <w:r w:rsidRPr="00A06121">
        <w:t xml:space="preserve">Virtual VA- the information obtained from VA/DoD Identity Repository (VADIR) is considered an electronic DD form 214, and is </w:t>
      </w:r>
      <w:r w:rsidRPr="00A06121">
        <w:rPr>
          <w:i/>
          <w:iCs/>
        </w:rPr>
        <w:t>acceptable for verification of service</w:t>
      </w:r>
      <w:r w:rsidRPr="00A06121">
        <w:t>.</w:t>
      </w:r>
    </w:p>
    <w:p w:rsidR="00A06121" w:rsidRPr="00A06121" w:rsidRDefault="00A06121" w:rsidP="00F063AF">
      <w:pPr>
        <w:numPr>
          <w:ilvl w:val="0"/>
          <w:numId w:val="286"/>
        </w:numPr>
        <w:overflowPunct/>
        <w:autoSpaceDE/>
        <w:autoSpaceDN/>
        <w:adjustRightInd/>
        <w:spacing w:before="100" w:beforeAutospacing="1" w:after="100" w:afterAutospacing="1"/>
        <w:textAlignment w:val="auto"/>
      </w:pPr>
      <w:r w:rsidRPr="00A06121">
        <w:t>VIS- The information retrieved from VADIR is identical to the information accessible in VIS, and can be viewed in either Virtual VA or VIS.</w:t>
      </w:r>
    </w:p>
    <w:p w:rsidR="00A06121" w:rsidRPr="00A06121" w:rsidRDefault="00A06121" w:rsidP="00A06121">
      <w:pPr>
        <w:ind w:left="720" w:right="885"/>
        <w:rPr>
          <w:rFonts w:eastAsiaTheme="minorHAnsi"/>
        </w:rPr>
      </w:pPr>
      <w:r w:rsidRPr="00A06121">
        <w:rPr>
          <w:b/>
          <w:bCs/>
          <w:i/>
          <w:iCs/>
        </w:rPr>
        <w:t>Important</w:t>
      </w:r>
      <w:r w:rsidRPr="00A06121">
        <w:rPr>
          <w:i/>
          <w:iCs/>
        </w:rPr>
        <w:t>:</w:t>
      </w:r>
      <w:r w:rsidRPr="00A06121">
        <w:t xml:space="preserve"> Obtaining a DD214 or equivalent is always recommended; However, having a DD214 of record  is not always necessary (QS or VSC claims). If service is otherwise verified by one of the methods mentioned above, then the claim can be decided depending on the type of claim. A DD214 be necessary based on the type of claim received such as PTSD because the DD214 usually provides critical information that may not be found anywhere else. </w:t>
      </w:r>
    </w:p>
    <w:p w:rsidR="00A06121" w:rsidRPr="00A06121" w:rsidRDefault="00A06121" w:rsidP="00A06121">
      <w:pPr>
        <w:ind w:left="180" w:right="885"/>
      </w:pPr>
    </w:p>
    <w:p w:rsidR="00A06121" w:rsidRPr="00A06121" w:rsidRDefault="00A06121" w:rsidP="00A06121">
      <w:pPr>
        <w:ind w:left="720" w:right="885"/>
      </w:pPr>
      <w:r w:rsidRPr="00A06121">
        <w:t>A DD214 or equivalent will always be the ultimate source for verification or service, and the information found within will take precedence over service information reflected on an electronic system.</w:t>
      </w:r>
    </w:p>
    <w:p w:rsidR="00A06121" w:rsidRPr="00A06121" w:rsidRDefault="00A06121" w:rsidP="00A06121">
      <w:pPr>
        <w:spacing w:before="100" w:beforeAutospacing="1" w:after="100" w:afterAutospacing="1"/>
        <w:ind w:firstLine="360"/>
      </w:pPr>
      <w:r w:rsidRPr="00A06121">
        <w:rPr>
          <w:b/>
          <w:bCs/>
          <w:i/>
          <w:iCs/>
        </w:rPr>
        <w:t>Notes</w:t>
      </w:r>
      <w:r w:rsidRPr="00A06121">
        <w:t>: </w:t>
      </w:r>
    </w:p>
    <w:p w:rsidR="00A06121" w:rsidRPr="00A06121" w:rsidRDefault="00A06121" w:rsidP="00F063AF">
      <w:pPr>
        <w:numPr>
          <w:ilvl w:val="0"/>
          <w:numId w:val="288"/>
        </w:numPr>
        <w:overflowPunct/>
        <w:autoSpaceDE/>
        <w:autoSpaceDN/>
        <w:adjustRightInd/>
        <w:spacing w:before="100" w:beforeAutospacing="1" w:after="100" w:afterAutospacing="1"/>
        <w:textAlignment w:val="auto"/>
      </w:pPr>
      <w:r w:rsidRPr="00A06121">
        <w:t xml:space="preserve">If there are discrepancies between the information displayed in VIS and evidence provided by the service member pertaining to the dates of service or character of discharge, develop for the </w:t>
      </w:r>
      <w:r w:rsidRPr="00A06121">
        <w:rPr>
          <w:i/>
          <w:iCs/>
        </w:rPr>
        <w:t>DD Form 214</w:t>
      </w:r>
      <w:r w:rsidRPr="00A06121">
        <w:t>.</w:t>
      </w:r>
    </w:p>
    <w:p w:rsidR="00A06121" w:rsidRPr="00A06121" w:rsidRDefault="00A06121" w:rsidP="00F063AF">
      <w:pPr>
        <w:numPr>
          <w:ilvl w:val="0"/>
          <w:numId w:val="288"/>
        </w:numPr>
        <w:overflowPunct/>
        <w:autoSpaceDE/>
        <w:autoSpaceDN/>
        <w:adjustRightInd/>
        <w:spacing w:before="100" w:beforeAutospacing="1" w:after="100" w:afterAutospacing="1"/>
        <w:textAlignment w:val="auto"/>
      </w:pPr>
      <w:r w:rsidRPr="00A06121">
        <w:t xml:space="preserve">For reservists and National Guard members, a </w:t>
      </w:r>
      <w:r w:rsidRPr="00A06121">
        <w:rPr>
          <w:i/>
          <w:iCs/>
        </w:rPr>
        <w:t>DD Form 214</w:t>
      </w:r>
      <w:r w:rsidRPr="00A06121">
        <w:t xml:space="preserve"> is filed for each segment of active duty.  VIS will display the dates a reservist or National Guard member entered and exited active duty with the same unit.  VIS will </w:t>
      </w:r>
      <w:r w:rsidRPr="00A06121">
        <w:rPr>
          <w:i/>
          <w:iCs/>
        </w:rPr>
        <w:t>not</w:t>
      </w:r>
      <w:r w:rsidRPr="00A06121">
        <w:t xml:space="preserve"> display dates for activation within a unit.</w:t>
      </w:r>
    </w:p>
    <w:p w:rsidR="00A06121" w:rsidRPr="00A06121" w:rsidRDefault="00A06121" w:rsidP="00F063AF">
      <w:pPr>
        <w:numPr>
          <w:ilvl w:val="0"/>
          <w:numId w:val="288"/>
        </w:numPr>
        <w:overflowPunct/>
        <w:autoSpaceDE/>
        <w:autoSpaceDN/>
        <w:adjustRightInd/>
        <w:spacing w:before="100" w:beforeAutospacing="1" w:after="100" w:afterAutospacing="1"/>
        <w:textAlignment w:val="auto"/>
      </w:pPr>
      <w:r w:rsidRPr="00A06121">
        <w:t xml:space="preserve">For retirees, a known discrepancy exists in VIS showing a one day difference between the RAD provided by VIS and the RAD on the </w:t>
      </w:r>
      <w:r w:rsidRPr="00A06121">
        <w:rPr>
          <w:i/>
          <w:iCs/>
        </w:rPr>
        <w:t>DD Form 214</w:t>
      </w:r>
      <w:r w:rsidRPr="00A06121">
        <w:t xml:space="preserve">.  The RAD data in VIS is the last day the service member is paid by the military.  To arrive at the same separation date shown on a retiree’s </w:t>
      </w:r>
      <w:r w:rsidRPr="00A06121">
        <w:rPr>
          <w:i/>
          <w:iCs/>
        </w:rPr>
        <w:t>DD Form 214</w:t>
      </w:r>
      <w:r w:rsidRPr="00A06121">
        <w:t>, add one day to the RAD date displayed in VIS.</w:t>
      </w:r>
    </w:p>
    <w:p w:rsidR="00A06121" w:rsidRPr="00A06121" w:rsidRDefault="00A06121" w:rsidP="00425DA9">
      <w:pPr>
        <w:ind w:left="180"/>
        <w:rPr>
          <w:rFonts w:eastAsiaTheme="minorHAnsi"/>
        </w:rPr>
      </w:pPr>
      <w:r w:rsidRPr="00A06121">
        <w:t xml:space="preserve">To qualify for VA benefits, a veteran must be discharged or released under conditions other than dishonorable. Any other type of discharge may require a character of discharge determination (COD) and service will be verified/updated based on the results of the COD. </w:t>
      </w:r>
    </w:p>
    <w:p w:rsidR="00A06121" w:rsidRPr="008408AE" w:rsidRDefault="00A06121" w:rsidP="00A06121">
      <w:pPr>
        <w:ind w:left="180" w:right="885"/>
      </w:pPr>
    </w:p>
    <w:p w:rsidR="00A06121" w:rsidRPr="008408AE" w:rsidRDefault="00A06121" w:rsidP="00AF7F53">
      <w:pPr>
        <w:pStyle w:val="BulletText2"/>
      </w:pPr>
      <w:r w:rsidRPr="008408AE">
        <w:t>At all times when the type and nature of the service has been verified, rating action is required following complete development of the claim.</w:t>
      </w:r>
    </w:p>
    <w:p w:rsidR="00A06121" w:rsidRPr="008408AE" w:rsidRDefault="00A06121" w:rsidP="00F063AF">
      <w:pPr>
        <w:pStyle w:val="BulletText2"/>
        <w:numPr>
          <w:ilvl w:val="0"/>
          <w:numId w:val="289"/>
        </w:numPr>
      </w:pPr>
      <w:r w:rsidRPr="008408AE">
        <w:t>If the evidence shows the claimant’s service as active service develop for any required evidence and then send to rating for death/service connection determination.</w:t>
      </w:r>
    </w:p>
    <w:p w:rsidR="00A06121" w:rsidRPr="008408AE" w:rsidRDefault="00A06121" w:rsidP="00F063AF">
      <w:pPr>
        <w:pStyle w:val="BulletText2"/>
        <w:numPr>
          <w:ilvl w:val="0"/>
          <w:numId w:val="289"/>
        </w:numPr>
      </w:pPr>
      <w:r w:rsidRPr="008408AE">
        <w:t>If the evidence shows the claimant’s service as ADT or IADT, then the service is not active duty. However, develop for any required evidence and then send to rating for death/service connection determination. If the claimed conditions or death are found to be due as a result from an injury or disease incurred or aggravated in the line of duty, then the period of ADT/IADT qualifies as active service and must be updated in VA systems</w:t>
      </w:r>
      <w:r w:rsidRPr="008408AE">
        <w:rPr>
          <w:iCs/>
        </w:rPr>
        <w:t>. If the veteran has multiple periods of ADT and or IADT, not all periods are automatically considered active duty just because service connection has been granted for some disabilities that occurred in one of those service periods.</w:t>
      </w:r>
    </w:p>
    <w:p w:rsidR="00A06121" w:rsidRPr="008408AE" w:rsidRDefault="00A06121" w:rsidP="00F063AF">
      <w:pPr>
        <w:pStyle w:val="BulletText2"/>
        <w:numPr>
          <w:ilvl w:val="0"/>
          <w:numId w:val="289"/>
        </w:numPr>
      </w:pPr>
      <w:r w:rsidRPr="008408AE">
        <w:t>National Guard service is not qualifying service unless they are called into “Federal service” under the authority of Title 10 or specific sections of Title 32. Ref: M21-1 III.ii.6.3.a thru d</w:t>
      </w:r>
      <w:r w:rsidRPr="00E350DC">
        <w:t xml:space="preserve"> </w:t>
      </w:r>
      <w:r w:rsidRPr="008408AE">
        <w:t>and 38 CFR 3.7(m)</w:t>
      </w:r>
    </w:p>
    <w:p w:rsidR="00A06121" w:rsidRDefault="00A06121" w:rsidP="003C038F">
      <w:pPr>
        <w:pStyle w:val="BulletText2"/>
        <w:numPr>
          <w:ilvl w:val="0"/>
          <w:numId w:val="0"/>
        </w:numPr>
        <w:ind w:left="893"/>
      </w:pPr>
    </w:p>
    <w:p w:rsidR="00A06121" w:rsidRDefault="00A06121" w:rsidP="00A06121">
      <w:pPr>
        <w:ind w:left="180" w:right="885"/>
        <w:rPr>
          <w:color w:val="1F497D"/>
        </w:rPr>
      </w:pPr>
      <w:r>
        <w:rPr>
          <w:noProof/>
          <w:color w:val="1F497D"/>
        </w:rPr>
        <w:drawing>
          <wp:inline distT="0" distB="0" distL="0" distR="0" wp14:anchorId="6488888F" wp14:editId="64EBC2AB">
            <wp:extent cx="6156325" cy="1669415"/>
            <wp:effectExtent l="0" t="0" r="0" b="6985"/>
            <wp:docPr id="95" name="Picture 95" descr="cid:image001.png@01D1C585.3F35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1C585.3F351260"/>
                    <pic:cNvPicPr>
                      <a:picLocks noChangeAspect="1" noChangeArrowheads="1"/>
                    </pic:cNvPicPr>
                  </pic:nvPicPr>
                  <pic:blipFill>
                    <a:blip r:embed="rId376" r:link="rId377">
                      <a:extLst>
                        <a:ext uri="{28A0092B-C50C-407E-A947-70E740481C1C}">
                          <a14:useLocalDpi xmlns:a14="http://schemas.microsoft.com/office/drawing/2010/main" val="0"/>
                        </a:ext>
                      </a:extLst>
                    </a:blip>
                    <a:srcRect/>
                    <a:stretch>
                      <a:fillRect/>
                    </a:stretch>
                  </pic:blipFill>
                  <pic:spPr bwMode="auto">
                    <a:xfrm>
                      <a:off x="0" y="0"/>
                      <a:ext cx="6156325" cy="1669415"/>
                    </a:xfrm>
                    <a:prstGeom prst="rect">
                      <a:avLst/>
                    </a:prstGeom>
                    <a:noFill/>
                    <a:ln>
                      <a:noFill/>
                    </a:ln>
                  </pic:spPr>
                </pic:pic>
              </a:graphicData>
            </a:graphic>
          </wp:inline>
        </w:drawing>
      </w:r>
    </w:p>
    <w:p w:rsidR="00A06121" w:rsidRPr="00A06121" w:rsidRDefault="00A06121" w:rsidP="00A06121">
      <w:pPr>
        <w:ind w:left="180" w:right="885"/>
        <w:rPr>
          <w:szCs w:val="24"/>
        </w:rPr>
      </w:pPr>
      <w:r w:rsidRPr="00A06121">
        <w:rPr>
          <w:rStyle w:val="Strong"/>
          <w:b w:val="0"/>
          <w:bCs w:val="0"/>
          <w:i/>
          <w:iCs/>
          <w:szCs w:val="24"/>
        </w:rPr>
        <w:t>References: M21-1.</w:t>
      </w:r>
      <w:r w:rsidRPr="00A06121">
        <w:rPr>
          <w:szCs w:val="24"/>
        </w:rPr>
        <w:t xml:space="preserve"> </w:t>
      </w:r>
      <w:r w:rsidRPr="00A06121">
        <w:rPr>
          <w:szCs w:val="24"/>
          <w:lang w:val="en"/>
        </w:rPr>
        <w:t>III, Subpart ii, Chapter 6 - Determining Veteran Status and Eligibility for Benefits</w:t>
      </w:r>
      <w:r w:rsidRPr="00A06121">
        <w:rPr>
          <w:szCs w:val="24"/>
          <w:lang w:val="en"/>
        </w:rPr>
        <w:br/>
      </w:r>
      <w:r w:rsidRPr="00A06121">
        <w:rPr>
          <w:rStyle w:val="Strong"/>
          <w:b w:val="0"/>
          <w:bCs w:val="0"/>
          <w:szCs w:val="24"/>
        </w:rPr>
        <w:t>                                 III.ii.6.6.</w:t>
      </w:r>
      <w:r w:rsidRPr="00A06121">
        <w:rPr>
          <w:szCs w:val="24"/>
        </w:rPr>
        <w:t>b</w:t>
      </w:r>
      <w:r w:rsidRPr="00A06121">
        <w:rPr>
          <w:color w:val="444444"/>
          <w:szCs w:val="24"/>
        </w:rPr>
        <w:t>.</w:t>
      </w:r>
      <w:r w:rsidRPr="00A06121">
        <w:rPr>
          <w:szCs w:val="24"/>
        </w:rPr>
        <w:t>  Verification of Service Using the VID Tab in Share</w:t>
      </w:r>
    </w:p>
    <w:p w:rsidR="00A06121" w:rsidRPr="00A06121" w:rsidRDefault="00A06121" w:rsidP="00A06121">
      <w:pPr>
        <w:ind w:left="180" w:right="885"/>
        <w:rPr>
          <w:b/>
          <w:bCs/>
          <w:szCs w:val="24"/>
        </w:rPr>
      </w:pPr>
      <w:r w:rsidRPr="00A06121">
        <w:rPr>
          <w:rStyle w:val="Strong"/>
          <w:b w:val="0"/>
          <w:bCs w:val="0"/>
          <w:i/>
          <w:iCs/>
          <w:szCs w:val="24"/>
        </w:rPr>
        <w:t xml:space="preserve">                                 </w:t>
      </w:r>
      <w:r w:rsidRPr="00A06121">
        <w:rPr>
          <w:rStyle w:val="Strong"/>
          <w:b w:val="0"/>
          <w:bCs w:val="0"/>
          <w:szCs w:val="24"/>
        </w:rPr>
        <w:t>III.ii.6.6.</w:t>
      </w:r>
      <w:r w:rsidRPr="00A06121">
        <w:rPr>
          <w:szCs w:val="24"/>
        </w:rPr>
        <w:t>c</w:t>
      </w:r>
      <w:bookmarkStart w:id="73" w:name="6c"/>
      <w:r w:rsidRPr="00A06121">
        <w:rPr>
          <w:color w:val="444444"/>
          <w:szCs w:val="24"/>
        </w:rPr>
        <w:t>.</w:t>
      </w:r>
      <w:bookmarkEnd w:id="73"/>
      <w:r w:rsidRPr="00A06121">
        <w:rPr>
          <w:szCs w:val="24"/>
        </w:rPr>
        <w:t>  Acceptable Alternative Evidence for Verification of Service</w:t>
      </w:r>
    </w:p>
    <w:p w:rsidR="00A06121" w:rsidRDefault="00A06121" w:rsidP="00A06121">
      <w:pPr>
        <w:ind w:left="180" w:right="885"/>
        <w:rPr>
          <w:sz w:val="21"/>
          <w:szCs w:val="21"/>
        </w:rPr>
      </w:pPr>
    </w:p>
    <w:p w:rsidR="00C820D0" w:rsidRPr="00116FEA" w:rsidRDefault="00C820D0" w:rsidP="00C820D0">
      <w:pPr>
        <w:widowControl w:val="0"/>
        <w:tabs>
          <w:tab w:val="left" w:pos="0"/>
          <w:tab w:val="left" w:pos="144"/>
        </w:tabs>
      </w:pPr>
      <w:r w:rsidRPr="00C820D0">
        <w:rPr>
          <w:i/>
          <w:color w:val="00B050"/>
        </w:rPr>
        <w:t xml:space="preserve">My Notes:  </w:t>
      </w:r>
      <w:r w:rsidRPr="00D36CD9">
        <w:rPr>
          <w:i/>
        </w:rPr>
        <w:t xml:space="preserve">As of 7/8/16, above references are </w:t>
      </w:r>
      <w:r w:rsidRPr="00D36CD9">
        <w:rPr>
          <w:bCs/>
          <w:i/>
        </w:rPr>
        <w:t xml:space="preserve">changed to </w:t>
      </w:r>
      <w:r w:rsidRPr="00D36CD9">
        <w:rPr>
          <w:b/>
          <w:bCs/>
          <w:i/>
        </w:rPr>
        <w:t xml:space="preserve">III.ii.6.A.2.b </w:t>
      </w:r>
      <w:r w:rsidRPr="00D36CD9">
        <w:rPr>
          <w:bCs/>
          <w:i/>
        </w:rPr>
        <w:t>&amp;</w:t>
      </w:r>
      <w:r w:rsidRPr="00D36CD9">
        <w:rPr>
          <w:b/>
          <w:bCs/>
          <w:i/>
        </w:rPr>
        <w:t xml:space="preserve"> III.ii.6.A.2.c</w:t>
      </w:r>
    </w:p>
    <w:p w:rsidR="00A06121" w:rsidRDefault="00A06121" w:rsidP="003C038F">
      <w:pPr>
        <w:pStyle w:val="BulletText2"/>
        <w:numPr>
          <w:ilvl w:val="0"/>
          <w:numId w:val="0"/>
        </w:numPr>
        <w:ind w:left="893"/>
      </w:pPr>
    </w:p>
    <w:p w:rsidR="00A06121" w:rsidRPr="008408AE" w:rsidRDefault="00A06121" w:rsidP="00AF7F53">
      <w:pPr>
        <w:pStyle w:val="BulletText2"/>
      </w:pPr>
      <w:r w:rsidRPr="008408AE">
        <w:t>Updating Military service information in VA systems</w:t>
      </w:r>
    </w:p>
    <w:p w:rsidR="00A06121" w:rsidRPr="008408AE" w:rsidRDefault="00A06121" w:rsidP="003C038F">
      <w:pPr>
        <w:pStyle w:val="BulletText2"/>
        <w:numPr>
          <w:ilvl w:val="0"/>
          <w:numId w:val="0"/>
        </w:numPr>
        <w:ind w:left="893"/>
      </w:pPr>
    </w:p>
    <w:p w:rsidR="00A06121" w:rsidRPr="008408AE" w:rsidRDefault="00A06121" w:rsidP="00F063AF">
      <w:pPr>
        <w:pStyle w:val="BulletText2"/>
        <w:numPr>
          <w:ilvl w:val="0"/>
          <w:numId w:val="290"/>
        </w:numPr>
      </w:pPr>
      <w:r w:rsidRPr="008408AE">
        <w:t>All periods of active duty and periods of service reported by the Veteran as related to claimed issues must be verified and updated in the systems.</w:t>
      </w:r>
    </w:p>
    <w:p w:rsidR="00A06121" w:rsidRPr="008408AE" w:rsidRDefault="00A06121" w:rsidP="00F063AF">
      <w:pPr>
        <w:pStyle w:val="BulletText2"/>
        <w:numPr>
          <w:ilvl w:val="0"/>
          <w:numId w:val="289"/>
        </w:numPr>
      </w:pPr>
      <w:r w:rsidRPr="008408AE">
        <w:t xml:space="preserve">Update service in both BIRLS and in Participant Profile. BIRLS can only display three periods of service, therefore, any additional service periods must be entered in participant profile. </w:t>
      </w:r>
    </w:p>
    <w:p w:rsidR="00A06121" w:rsidRPr="008408AE" w:rsidRDefault="00A06121" w:rsidP="00F063AF">
      <w:pPr>
        <w:pStyle w:val="BulletText2"/>
        <w:numPr>
          <w:ilvl w:val="0"/>
          <w:numId w:val="289"/>
        </w:numPr>
      </w:pPr>
      <w:r w:rsidRPr="008408AE">
        <w:t xml:space="preserve">Changes made in Participant Profile </w:t>
      </w:r>
      <w:r w:rsidRPr="008408AE">
        <w:rPr>
          <w:rStyle w:val="Emphasis"/>
          <w:b/>
          <w:bCs w:val="0"/>
        </w:rPr>
        <w:t>will not</w:t>
      </w:r>
      <w:r w:rsidRPr="008408AE">
        <w:t xml:space="preserve"> automatically update the information shown in BIRLS.  Users should check both systems to ensure the Veteran’s military service is complete.</w:t>
      </w:r>
    </w:p>
    <w:p w:rsidR="00A06121" w:rsidRPr="008408AE" w:rsidRDefault="00A06121" w:rsidP="00F063AF">
      <w:pPr>
        <w:pStyle w:val="BulletText2"/>
        <w:numPr>
          <w:ilvl w:val="0"/>
          <w:numId w:val="289"/>
        </w:numPr>
      </w:pPr>
      <w:r w:rsidRPr="008408AE">
        <w:t>To properly verify active military service, the following information must be available</w:t>
      </w:r>
    </w:p>
    <w:p w:rsidR="00A06121" w:rsidRPr="00A06121" w:rsidRDefault="00A06121" w:rsidP="00F063AF">
      <w:pPr>
        <w:numPr>
          <w:ilvl w:val="2"/>
          <w:numId w:val="289"/>
        </w:numPr>
        <w:overflowPunct/>
        <w:autoSpaceDE/>
        <w:autoSpaceDN/>
        <w:adjustRightInd/>
        <w:spacing w:before="100" w:beforeAutospacing="1" w:after="100" w:afterAutospacing="1"/>
        <w:textAlignment w:val="auto"/>
        <w:rPr>
          <w:szCs w:val="24"/>
        </w:rPr>
      </w:pPr>
      <w:r w:rsidRPr="00A06121">
        <w:rPr>
          <w:szCs w:val="24"/>
        </w:rPr>
        <w:t>entered on date (EOD)</w:t>
      </w:r>
    </w:p>
    <w:p w:rsidR="00A06121" w:rsidRPr="00A06121" w:rsidRDefault="00A06121" w:rsidP="00F063AF">
      <w:pPr>
        <w:numPr>
          <w:ilvl w:val="2"/>
          <w:numId w:val="289"/>
        </w:numPr>
        <w:overflowPunct/>
        <w:autoSpaceDE/>
        <w:autoSpaceDN/>
        <w:adjustRightInd/>
        <w:spacing w:before="100" w:beforeAutospacing="1" w:after="100" w:afterAutospacing="1"/>
        <w:textAlignment w:val="auto"/>
        <w:rPr>
          <w:szCs w:val="24"/>
        </w:rPr>
      </w:pPr>
      <w:r w:rsidRPr="00A06121">
        <w:rPr>
          <w:szCs w:val="24"/>
        </w:rPr>
        <w:t>date of release from active duty (RAD)</w:t>
      </w:r>
    </w:p>
    <w:p w:rsidR="00A06121" w:rsidRPr="00A06121" w:rsidRDefault="00A06121" w:rsidP="00F063AF">
      <w:pPr>
        <w:numPr>
          <w:ilvl w:val="2"/>
          <w:numId w:val="289"/>
        </w:numPr>
        <w:overflowPunct/>
        <w:autoSpaceDE/>
        <w:autoSpaceDN/>
        <w:adjustRightInd/>
        <w:spacing w:before="100" w:beforeAutospacing="1" w:after="100" w:afterAutospacing="1"/>
        <w:textAlignment w:val="auto"/>
        <w:rPr>
          <w:szCs w:val="24"/>
        </w:rPr>
      </w:pPr>
      <w:r w:rsidRPr="00A06121">
        <w:rPr>
          <w:szCs w:val="24"/>
        </w:rPr>
        <w:t>branch of service</w:t>
      </w:r>
    </w:p>
    <w:p w:rsidR="00A06121" w:rsidRPr="00A06121" w:rsidRDefault="00A06121" w:rsidP="00F063AF">
      <w:pPr>
        <w:numPr>
          <w:ilvl w:val="2"/>
          <w:numId w:val="289"/>
        </w:numPr>
        <w:overflowPunct/>
        <w:autoSpaceDE/>
        <w:autoSpaceDN/>
        <w:adjustRightInd/>
        <w:spacing w:before="100" w:beforeAutospacing="1" w:after="100" w:afterAutospacing="1"/>
        <w:textAlignment w:val="auto"/>
        <w:rPr>
          <w:szCs w:val="24"/>
        </w:rPr>
      </w:pPr>
      <w:r w:rsidRPr="00A06121">
        <w:rPr>
          <w:szCs w:val="24"/>
        </w:rPr>
        <w:t>character of service, and</w:t>
      </w:r>
    </w:p>
    <w:p w:rsidR="00A06121" w:rsidRPr="00A06121" w:rsidRDefault="00A06121" w:rsidP="00F063AF">
      <w:pPr>
        <w:numPr>
          <w:ilvl w:val="2"/>
          <w:numId w:val="289"/>
        </w:numPr>
        <w:overflowPunct/>
        <w:autoSpaceDE/>
        <w:autoSpaceDN/>
        <w:adjustRightInd/>
        <w:spacing w:before="100" w:beforeAutospacing="1" w:after="100" w:afterAutospacing="1"/>
        <w:textAlignment w:val="auto"/>
        <w:rPr>
          <w:szCs w:val="24"/>
        </w:rPr>
      </w:pPr>
      <w:r w:rsidRPr="00A06121">
        <w:rPr>
          <w:szCs w:val="24"/>
        </w:rPr>
        <w:t>separation reason. </w:t>
      </w:r>
    </w:p>
    <w:p w:rsidR="00A06121" w:rsidRPr="00A06121" w:rsidRDefault="00A06121" w:rsidP="00AF7F53">
      <w:pPr>
        <w:pStyle w:val="BulletText2"/>
        <w:rPr>
          <w:rStyle w:val="Strong"/>
          <w:b w:val="0"/>
          <w:i w:val="0"/>
          <w:iCs/>
        </w:rPr>
      </w:pPr>
      <w:r w:rsidRPr="00A06121">
        <w:rPr>
          <w:rStyle w:val="Strong"/>
          <w:b w:val="0"/>
          <w:bCs/>
          <w:i w:val="0"/>
          <w:iCs/>
        </w:rPr>
        <w:t>References: M21-1.III.ii.3.C.7.a</w:t>
      </w:r>
      <w:r w:rsidRPr="00A06121">
        <w:rPr>
          <w:rStyle w:val="Strong"/>
          <w:b w:val="0"/>
          <w:bCs/>
          <w:i w:val="0"/>
          <w:iCs/>
          <w:color w:val="444444"/>
        </w:rPr>
        <w:t>.</w:t>
      </w:r>
      <w:bookmarkStart w:id="74" w:name="7a"/>
      <w:bookmarkEnd w:id="74"/>
      <w:r w:rsidRPr="00A06121">
        <w:rPr>
          <w:rStyle w:val="Strong"/>
          <w:b w:val="0"/>
          <w:bCs/>
          <w:i w:val="0"/>
          <w:iCs/>
        </w:rPr>
        <w:t>  Military Service Verification</w:t>
      </w:r>
    </w:p>
    <w:p w:rsidR="00A06121" w:rsidRPr="00A06121" w:rsidRDefault="00A06121" w:rsidP="00AF7F53">
      <w:pPr>
        <w:pStyle w:val="BulletText2"/>
        <w:rPr>
          <w:rStyle w:val="Strong"/>
          <w:b w:val="0"/>
          <w:bCs/>
          <w:i w:val="0"/>
          <w:iCs/>
        </w:rPr>
      </w:pPr>
      <w:r w:rsidRPr="00A06121">
        <w:rPr>
          <w:rStyle w:val="Strong"/>
          <w:b w:val="0"/>
          <w:bCs/>
          <w:i w:val="0"/>
          <w:iCs/>
        </w:rPr>
        <w:t>III.ii.3.C.7.d</w:t>
      </w:r>
      <w:r w:rsidRPr="00A06121">
        <w:rPr>
          <w:rStyle w:val="Strong"/>
          <w:b w:val="0"/>
          <w:bCs/>
          <w:i w:val="0"/>
          <w:iCs/>
          <w:color w:val="444444"/>
        </w:rPr>
        <w:t>.</w:t>
      </w:r>
      <w:bookmarkStart w:id="75" w:name="7d"/>
      <w:bookmarkEnd w:id="75"/>
      <w:r w:rsidRPr="00A06121">
        <w:rPr>
          <w:rStyle w:val="Strong"/>
          <w:b w:val="0"/>
          <w:bCs/>
          <w:i w:val="0"/>
          <w:iCs/>
        </w:rPr>
        <w:t>  Active Military Service by Reason of Award of SC</w:t>
      </w:r>
    </w:p>
    <w:p w:rsidR="00A06121" w:rsidRPr="00A06121" w:rsidRDefault="00A06121" w:rsidP="00AF7F53">
      <w:pPr>
        <w:pStyle w:val="BulletText2"/>
        <w:rPr>
          <w:rFonts w:ascii="Times New Roman" w:hAnsi="Times New Roman" w:cs="Times New Roman"/>
          <w:b/>
        </w:rPr>
      </w:pPr>
      <w:r w:rsidRPr="00A06121">
        <w:rPr>
          <w:rStyle w:val="Strong"/>
          <w:b w:val="0"/>
          <w:bCs/>
          <w:i w:val="0"/>
          <w:iCs/>
        </w:rPr>
        <w:t>III.ii.3.C.7.b</w:t>
      </w:r>
      <w:r w:rsidRPr="00A06121">
        <w:rPr>
          <w:rStyle w:val="Strong"/>
          <w:b w:val="0"/>
          <w:bCs/>
          <w:i w:val="0"/>
          <w:iCs/>
          <w:color w:val="444444"/>
        </w:rPr>
        <w:t>.</w:t>
      </w:r>
      <w:bookmarkStart w:id="76" w:name="7b"/>
      <w:bookmarkEnd w:id="76"/>
      <w:r w:rsidRPr="00A06121">
        <w:rPr>
          <w:rStyle w:val="Strong"/>
          <w:b w:val="0"/>
          <w:bCs/>
          <w:i w:val="0"/>
          <w:iCs/>
        </w:rPr>
        <w:t>  Information Required to Verify Military Service</w:t>
      </w:r>
    </w:p>
    <w:p w:rsidR="00A06121" w:rsidRPr="00A06121" w:rsidRDefault="00A06121" w:rsidP="00A06121">
      <w:pPr>
        <w:pStyle w:val="NormalWeb"/>
        <w:ind w:left="360"/>
        <w:rPr>
          <w:sz w:val="20"/>
          <w:szCs w:val="20"/>
        </w:rPr>
      </w:pPr>
    </w:p>
    <w:p w:rsidR="00A06121" w:rsidRPr="00A06121" w:rsidRDefault="00A06121" w:rsidP="00A06121">
      <w:pPr>
        <w:pStyle w:val="NormalWeb"/>
        <w:ind w:left="180"/>
        <w:rPr>
          <w:sz w:val="20"/>
          <w:szCs w:val="20"/>
        </w:rPr>
      </w:pPr>
      <w:r w:rsidRPr="00A06121">
        <w:rPr>
          <w:sz w:val="20"/>
          <w:szCs w:val="20"/>
        </w:rPr>
        <w:t>For the regulatory and statutory definitions of active duty, active duty for training, inactive duty training, and active service, see</w:t>
      </w:r>
    </w:p>
    <w:p w:rsidR="00A06121" w:rsidRPr="00A06121" w:rsidRDefault="00D571C5" w:rsidP="00F063AF">
      <w:pPr>
        <w:numPr>
          <w:ilvl w:val="0"/>
          <w:numId w:val="291"/>
        </w:numPr>
        <w:overflowPunct/>
        <w:autoSpaceDE/>
        <w:autoSpaceDN/>
        <w:adjustRightInd/>
        <w:spacing w:before="100" w:beforeAutospacing="1" w:after="100" w:afterAutospacing="1"/>
        <w:textAlignment w:val="auto"/>
      </w:pPr>
      <w:hyperlink r:id="rId378" w:tgtFrame="_blank" w:history="1">
        <w:r w:rsidR="00A06121" w:rsidRPr="00A06121">
          <w:rPr>
            <w:rStyle w:val="Hyperlink"/>
          </w:rPr>
          <w:t>38 CFR 3.6</w:t>
        </w:r>
      </w:hyperlink>
    </w:p>
    <w:p w:rsidR="00A06121" w:rsidRPr="00A06121" w:rsidRDefault="00D571C5" w:rsidP="00F063AF">
      <w:pPr>
        <w:numPr>
          <w:ilvl w:val="0"/>
          <w:numId w:val="291"/>
        </w:numPr>
        <w:overflowPunct/>
        <w:autoSpaceDE/>
        <w:autoSpaceDN/>
        <w:adjustRightInd/>
        <w:spacing w:before="100" w:beforeAutospacing="1" w:after="100" w:afterAutospacing="1"/>
        <w:textAlignment w:val="auto"/>
      </w:pPr>
      <w:hyperlink r:id="rId379" w:tgtFrame="_blank" w:history="1">
        <w:r w:rsidR="00A06121" w:rsidRPr="00A06121">
          <w:rPr>
            <w:rStyle w:val="Hyperlink"/>
          </w:rPr>
          <w:t>38 U.S.C. 101(21) through (24)</w:t>
        </w:r>
      </w:hyperlink>
      <w:r w:rsidR="00A06121" w:rsidRPr="00A06121">
        <w:t>, and</w:t>
      </w:r>
    </w:p>
    <w:p w:rsidR="00A06121" w:rsidRPr="00A06121" w:rsidRDefault="00D571C5" w:rsidP="00F063AF">
      <w:pPr>
        <w:numPr>
          <w:ilvl w:val="0"/>
          <w:numId w:val="291"/>
        </w:numPr>
        <w:overflowPunct/>
        <w:autoSpaceDE/>
        <w:autoSpaceDN/>
        <w:adjustRightInd/>
        <w:spacing w:before="100" w:beforeAutospacing="1" w:after="100" w:afterAutospacing="1"/>
        <w:textAlignment w:val="auto"/>
      </w:pPr>
      <w:hyperlink r:id="rId380" w:tgtFrame="_blank" w:history="1">
        <w:r w:rsidR="00A06121" w:rsidRPr="00A06121">
          <w:rPr>
            <w:rStyle w:val="Hyperlink"/>
          </w:rPr>
          <w:t>38 U.S.C. 106 (d)</w:t>
        </w:r>
      </w:hyperlink>
      <w:r w:rsidR="00A06121" w:rsidRPr="00A06121">
        <w:t>.</w:t>
      </w:r>
    </w:p>
    <w:p w:rsidR="00A06121" w:rsidRPr="00A06121" w:rsidRDefault="00A06121" w:rsidP="003C038F">
      <w:pPr>
        <w:pStyle w:val="BulletText2"/>
        <w:numPr>
          <w:ilvl w:val="0"/>
          <w:numId w:val="0"/>
        </w:numPr>
        <w:ind w:left="893" w:hanging="360"/>
      </w:pPr>
    </w:p>
    <w:p w:rsidR="00A06121" w:rsidRPr="006C3B87" w:rsidRDefault="00A06121" w:rsidP="00AF7F53">
      <w:pPr>
        <w:pStyle w:val="BulletText2"/>
      </w:pPr>
      <w:r w:rsidRPr="00A06121">
        <w:t>Each and every employee should ensure that service is correctly updated in SHARE and VBMS during claims review.    Any questions should be brought to the attention of</w:t>
      </w:r>
      <w:r w:rsidR="006C3B87">
        <w:t xml:space="preserve"> your Team Coach or QRT member.</w:t>
      </w:r>
    </w:p>
    <w:p w:rsidR="00A06121" w:rsidRDefault="00A06121">
      <w:pPr>
        <w:widowControl w:val="0"/>
        <w:tabs>
          <w:tab w:val="left" w:pos="0"/>
          <w:tab w:val="left" w:pos="144"/>
        </w:tabs>
        <w:rPr>
          <w:sz w:val="22"/>
        </w:rPr>
      </w:pPr>
    </w:p>
    <w:p w:rsidR="00E350DC" w:rsidRDefault="00E350DC">
      <w:pPr>
        <w:widowControl w:val="0"/>
        <w:tabs>
          <w:tab w:val="left" w:pos="0"/>
          <w:tab w:val="left" w:pos="144"/>
        </w:tabs>
        <w:rPr>
          <w:sz w:val="22"/>
        </w:rPr>
      </w:pPr>
    </w:p>
    <w:p w:rsidR="00EF0835" w:rsidRDefault="00EF0835" w:rsidP="004F6222">
      <w:pPr>
        <w:widowControl w:val="0"/>
        <w:pBdr>
          <w:top w:val="single" w:sz="4" w:space="1" w:color="auto"/>
          <w:left w:val="single" w:sz="4" w:space="1" w:color="auto"/>
          <w:bottom w:val="single" w:sz="4" w:space="1" w:color="auto"/>
          <w:right w:val="single" w:sz="4" w:space="4" w:color="auto"/>
        </w:pBdr>
        <w:rPr>
          <w:i/>
        </w:rPr>
      </w:pPr>
      <w:r>
        <w:rPr>
          <w:i/>
        </w:rPr>
        <w:t xml:space="preserve">Intro: </w:t>
      </w:r>
      <w:bookmarkStart w:id="77" w:name="_Hlk519838255"/>
      <w:r>
        <w:rPr>
          <w:iCs/>
        </w:rPr>
        <w:t>You served in the Marine Corps from August 28, 2006 to April 26, 2011 and the period from August 28, 2006 to August 27, 2010 was determined to be honorable for VA purposes, but the period from August 28, 2010 to April 26, 2011 was determined to be dishonorable for VA purposes.</w:t>
      </w:r>
      <w:bookmarkEnd w:id="77"/>
    </w:p>
    <w:p w:rsidR="00EF0835" w:rsidRDefault="00EF0835" w:rsidP="004F6222">
      <w:pPr>
        <w:widowControl w:val="0"/>
        <w:pBdr>
          <w:top w:val="single" w:sz="4" w:space="1" w:color="auto"/>
          <w:left w:val="single" w:sz="4" w:space="1" w:color="auto"/>
          <w:bottom w:val="single" w:sz="4" w:space="1" w:color="auto"/>
          <w:right w:val="single" w:sz="4" w:space="4" w:color="auto"/>
        </w:pBdr>
      </w:pPr>
    </w:p>
    <w:p w:rsidR="00EF0835" w:rsidRDefault="00EF0835" w:rsidP="004F6222">
      <w:pPr>
        <w:widowControl w:val="0"/>
        <w:pBdr>
          <w:top w:val="single" w:sz="4" w:space="1" w:color="auto"/>
          <w:left w:val="single" w:sz="4" w:space="1" w:color="auto"/>
          <w:bottom w:val="single" w:sz="4" w:space="1" w:color="auto"/>
          <w:right w:val="single" w:sz="4" w:space="4" w:color="auto"/>
        </w:pBdr>
      </w:pPr>
      <w:r>
        <w:t xml:space="preserve">Service connection </w:t>
      </w:r>
      <w:r w:rsidR="00A938A7">
        <w:t>can only b</w:t>
      </w:r>
      <w:r>
        <w:t>e granted</w:t>
      </w:r>
      <w:r w:rsidR="00A938A7">
        <w:t xml:space="preserve"> for a disability which began during a period of honorable</w:t>
      </w:r>
      <w:r>
        <w:t xml:space="preserve"> military service or was cause</w:t>
      </w:r>
      <w:r w:rsidR="00A938A7">
        <w:t>d by some event or experience during honorable</w:t>
      </w:r>
      <w:r>
        <w:t xml:space="preserve"> service</w:t>
      </w:r>
      <w:r w:rsidR="00A938A7">
        <w:t>.</w:t>
      </w:r>
    </w:p>
    <w:p w:rsidR="00EF0835" w:rsidRDefault="00EF0835" w:rsidP="004F6222">
      <w:pPr>
        <w:widowControl w:val="0"/>
        <w:pBdr>
          <w:top w:val="single" w:sz="4" w:space="1" w:color="auto"/>
          <w:left w:val="single" w:sz="4" w:space="1" w:color="auto"/>
          <w:bottom w:val="single" w:sz="4" w:space="1" w:color="auto"/>
          <w:right w:val="single" w:sz="4" w:space="4" w:color="auto"/>
        </w:pBdr>
      </w:pPr>
    </w:p>
    <w:p w:rsidR="00EF0835" w:rsidRDefault="00EF0835" w:rsidP="004F6222">
      <w:pPr>
        <w:widowControl w:val="0"/>
        <w:pBdr>
          <w:top w:val="single" w:sz="4" w:space="1" w:color="auto"/>
          <w:left w:val="single" w:sz="4" w:space="1" w:color="auto"/>
          <w:bottom w:val="single" w:sz="4" w:space="1" w:color="auto"/>
          <w:right w:val="single" w:sz="4" w:space="4" w:color="auto"/>
        </w:pBdr>
      </w:pPr>
      <w:r>
        <w:t xml:space="preserve">There is no basis for service connection for </w:t>
      </w:r>
      <w:r w:rsidR="00A46221">
        <w:t>{}</w:t>
      </w:r>
      <w:r>
        <w:t xml:space="preserve"> because </w:t>
      </w:r>
      <w:r w:rsidR="00AC05EB">
        <w:t>treatment first</w:t>
      </w:r>
      <w:r>
        <w:t xml:space="preserve"> occurred during a period of service which was determined to be dishonorable for VA purposes, creating a statutory bar to benefits.</w:t>
      </w:r>
    </w:p>
    <w:p w:rsidR="00EF0835" w:rsidRDefault="00EF0835" w:rsidP="004F6222">
      <w:pPr>
        <w:widowControl w:val="0"/>
        <w:pBdr>
          <w:top w:val="single" w:sz="4" w:space="1" w:color="auto"/>
          <w:left w:val="single" w:sz="4" w:space="1" w:color="auto"/>
          <w:bottom w:val="single" w:sz="4" w:space="1" w:color="auto"/>
          <w:right w:val="single" w:sz="4" w:space="4" w:color="auto"/>
        </w:pBdr>
      </w:pPr>
    </w:p>
    <w:p w:rsidR="00EF0835" w:rsidRDefault="00EF0835" w:rsidP="004F6222">
      <w:pPr>
        <w:pStyle w:val="Heading7"/>
        <w:keepNext w:val="0"/>
        <w:widowControl w:val="0"/>
        <w:pBdr>
          <w:left w:val="single" w:sz="4" w:space="1" w:color="auto"/>
        </w:pBdr>
        <w:tabs>
          <w:tab w:val="clear" w:pos="0"/>
          <w:tab w:val="clear" w:pos="144"/>
        </w:tabs>
      </w:pPr>
      <w:r>
        <w:t>OR</w:t>
      </w:r>
    </w:p>
    <w:p w:rsidR="00EF0835" w:rsidRDefault="00EF0835" w:rsidP="004F6222">
      <w:pPr>
        <w:widowControl w:val="0"/>
        <w:pBdr>
          <w:top w:val="single" w:sz="4" w:space="1" w:color="auto"/>
          <w:left w:val="single" w:sz="4" w:space="1" w:color="auto"/>
          <w:bottom w:val="single" w:sz="4" w:space="1" w:color="auto"/>
          <w:right w:val="single" w:sz="4" w:space="4" w:color="auto"/>
        </w:pBdr>
      </w:pPr>
      <w:r>
        <w:t xml:space="preserve">Although the service treatment records show a diagnosis of and treatment for </w:t>
      </w:r>
      <w:r w:rsidR="00A46221">
        <w:t>{}</w:t>
      </w:r>
      <w:r>
        <w:t xml:space="preserve"> starting in </w:t>
      </w:r>
      <w:r w:rsidR="00A46221">
        <w:t>{}</w:t>
      </w:r>
      <w:r>
        <w:t xml:space="preserve">, since this condition occurred during a period of service which was determined to be dishonorable for VA purposes, creating a statutory bar to benefits, there is no basis for service connection for </w:t>
      </w:r>
      <w:r w:rsidR="00A46221">
        <w:t>{}</w:t>
      </w:r>
      <w:r>
        <w:t>.</w:t>
      </w:r>
    </w:p>
    <w:p w:rsidR="00242013" w:rsidRDefault="00242013" w:rsidP="004F6222">
      <w:pPr>
        <w:widowControl w:val="0"/>
        <w:pBdr>
          <w:top w:val="single" w:sz="4" w:space="1" w:color="auto"/>
          <w:left w:val="single" w:sz="4" w:space="1" w:color="auto"/>
          <w:bottom w:val="single" w:sz="4" w:space="1" w:color="auto"/>
          <w:right w:val="single" w:sz="4" w:space="4" w:color="auto"/>
        </w:pBdr>
      </w:pPr>
    </w:p>
    <w:p w:rsidR="00242013" w:rsidRDefault="00242013" w:rsidP="004F6222">
      <w:pPr>
        <w:widowControl w:val="0"/>
        <w:pBdr>
          <w:top w:val="single" w:sz="4" w:space="1" w:color="auto"/>
          <w:left w:val="single" w:sz="4" w:space="1" w:color="auto"/>
          <w:bottom w:val="single" w:sz="4" w:space="1" w:color="auto"/>
          <w:right w:val="single" w:sz="4" w:space="4" w:color="auto"/>
        </w:pBdr>
      </w:pPr>
    </w:p>
    <w:p w:rsidR="000A4C63" w:rsidRPr="000A4C63" w:rsidRDefault="00242013" w:rsidP="004F6222">
      <w:pPr>
        <w:widowControl w:val="0"/>
        <w:pBdr>
          <w:top w:val="single" w:sz="4" w:space="1" w:color="auto"/>
          <w:left w:val="single" w:sz="4" w:space="1" w:color="auto"/>
          <w:bottom w:val="single" w:sz="4" w:space="1" w:color="auto"/>
          <w:right w:val="single" w:sz="4" w:space="4" w:color="auto"/>
        </w:pBdr>
        <w:rPr>
          <w:i/>
        </w:rPr>
      </w:pPr>
      <w:r w:rsidRPr="000A4C63">
        <w:rPr>
          <w:i/>
        </w:rPr>
        <w:t xml:space="preserve">For opinion requests:  </w:t>
      </w:r>
    </w:p>
    <w:p w:rsidR="00242013" w:rsidRPr="000A4C63" w:rsidRDefault="00242013" w:rsidP="004F6222">
      <w:pPr>
        <w:widowControl w:val="0"/>
        <w:pBdr>
          <w:top w:val="single" w:sz="4" w:space="1" w:color="auto"/>
          <w:left w:val="single" w:sz="4" w:space="1" w:color="auto"/>
          <w:bottom w:val="single" w:sz="4" w:space="1" w:color="auto"/>
          <w:right w:val="single" w:sz="4" w:space="4" w:color="auto"/>
        </w:pBdr>
        <w:rPr>
          <w:rFonts w:cstheme="minorBidi"/>
        </w:rPr>
      </w:pPr>
      <w:r w:rsidRPr="000A4C63">
        <w:rPr>
          <w:rFonts w:cstheme="minorBidi"/>
        </w:rPr>
        <w:t>The service period from {} to {} has been determined to be dishonorable for VA purposes and treatment/events during this period cannot be considered for the claim, as that period h</w:t>
      </w:r>
      <w:r w:rsidR="000A4C63" w:rsidRPr="000A4C63">
        <w:rPr>
          <w:rFonts w:cstheme="minorBidi"/>
        </w:rPr>
        <w:t>as a statutory bar to benefits.</w:t>
      </w:r>
    </w:p>
    <w:p w:rsidR="000A4C63" w:rsidRDefault="000A4C63" w:rsidP="004F6222">
      <w:pPr>
        <w:widowControl w:val="0"/>
        <w:pBdr>
          <w:top w:val="single" w:sz="4" w:space="1" w:color="auto"/>
          <w:left w:val="single" w:sz="4" w:space="1" w:color="auto"/>
          <w:bottom w:val="single" w:sz="4" w:space="1" w:color="auto"/>
          <w:right w:val="single" w:sz="4" w:space="4" w:color="auto"/>
        </w:pBdr>
        <w:rPr>
          <w:rFonts w:cstheme="minorBidi"/>
          <w:color w:val="1F497D" w:themeColor="dark2"/>
        </w:rPr>
      </w:pPr>
    </w:p>
    <w:p w:rsidR="000A4C63" w:rsidRDefault="000A4C63" w:rsidP="004F6222">
      <w:pPr>
        <w:widowControl w:val="0"/>
        <w:pBdr>
          <w:top w:val="single" w:sz="4" w:space="1" w:color="auto"/>
          <w:left w:val="single" w:sz="4" w:space="1" w:color="auto"/>
          <w:bottom w:val="single" w:sz="4" w:space="1" w:color="auto"/>
          <w:right w:val="single" w:sz="4" w:space="4" w:color="auto"/>
        </w:pBdr>
        <w:rPr>
          <w:rFonts w:cstheme="minorBidi"/>
          <w:color w:val="1F497D" w:themeColor="dark2"/>
        </w:rPr>
      </w:pPr>
    </w:p>
    <w:p w:rsidR="000A4C63" w:rsidRPr="000A4C63" w:rsidRDefault="000A4C63" w:rsidP="004F6222">
      <w:pPr>
        <w:widowControl w:val="0"/>
        <w:pBdr>
          <w:top w:val="single" w:sz="4" w:space="1" w:color="auto"/>
          <w:left w:val="single" w:sz="4" w:space="1" w:color="auto"/>
          <w:bottom w:val="single" w:sz="4" w:space="1" w:color="auto"/>
          <w:right w:val="single" w:sz="4" w:space="4" w:color="auto"/>
        </w:pBdr>
        <w:rPr>
          <w:rFonts w:cstheme="minorBidi"/>
          <w:i/>
        </w:rPr>
      </w:pPr>
      <w:r w:rsidRPr="000A4C63">
        <w:rPr>
          <w:rFonts w:cstheme="minorBidi"/>
          <w:i/>
        </w:rPr>
        <w:t>Effective Date</w:t>
      </w:r>
      <w:r>
        <w:rPr>
          <w:rFonts w:cstheme="minorBidi"/>
          <w:i/>
        </w:rPr>
        <w:t xml:space="preserve"> if filed within one year of dishonorable / DVA period</w:t>
      </w:r>
      <w:r w:rsidRPr="000A4C63">
        <w:rPr>
          <w:rFonts w:cstheme="minorBidi"/>
          <w:i/>
        </w:rPr>
        <w:t xml:space="preserve">:  </w:t>
      </w:r>
    </w:p>
    <w:p w:rsidR="000A4C63" w:rsidRDefault="000A4C63" w:rsidP="004F6222">
      <w:pPr>
        <w:widowControl w:val="0"/>
        <w:pBdr>
          <w:top w:val="single" w:sz="4" w:space="1" w:color="auto"/>
          <w:left w:val="single" w:sz="4" w:space="1" w:color="auto"/>
          <w:bottom w:val="single" w:sz="4" w:space="1" w:color="auto"/>
          <w:right w:val="single" w:sz="4" w:space="4" w:color="auto"/>
        </w:pBdr>
        <w:rPr>
          <w:rFonts w:cstheme="minorBidi"/>
        </w:rPr>
      </w:pPr>
      <w:r w:rsidRPr="000A4C63">
        <w:rPr>
          <w:rFonts w:cstheme="minorBidi"/>
        </w:rPr>
        <w:t>Service connection has been established from the day VA received your claim. When a claim is received more than one year after a period that was determined to be honorable for VA purposes, the effective date is the date VA received the claim.</w:t>
      </w:r>
    </w:p>
    <w:p w:rsidR="00E126CF" w:rsidRDefault="00E126CF" w:rsidP="004F6222">
      <w:pPr>
        <w:widowControl w:val="0"/>
        <w:pBdr>
          <w:top w:val="single" w:sz="4" w:space="1" w:color="auto"/>
          <w:left w:val="single" w:sz="4" w:space="1" w:color="auto"/>
          <w:bottom w:val="single" w:sz="4" w:space="1" w:color="auto"/>
          <w:right w:val="single" w:sz="4" w:space="4" w:color="auto"/>
        </w:pBdr>
        <w:rPr>
          <w:rFonts w:cstheme="minorBidi"/>
        </w:rPr>
      </w:pPr>
    </w:p>
    <w:p w:rsidR="00E126CF" w:rsidRDefault="00E126CF" w:rsidP="004F6222">
      <w:pPr>
        <w:widowControl w:val="0"/>
        <w:pBdr>
          <w:top w:val="single" w:sz="4" w:space="1" w:color="auto"/>
          <w:left w:val="single" w:sz="4" w:space="1" w:color="auto"/>
          <w:bottom w:val="single" w:sz="4" w:space="1" w:color="auto"/>
          <w:right w:val="single" w:sz="4" w:space="4" w:color="auto"/>
        </w:pBdr>
        <w:rPr>
          <w:rFonts w:cstheme="minorBidi"/>
          <w:i/>
        </w:rPr>
      </w:pPr>
      <w:r w:rsidRPr="00E126CF">
        <w:rPr>
          <w:rFonts w:cstheme="minorBidi"/>
          <w:i/>
        </w:rPr>
        <w:t>If file</w:t>
      </w:r>
      <w:r>
        <w:rPr>
          <w:rFonts w:cstheme="minorBidi"/>
          <w:i/>
        </w:rPr>
        <w:t>d (pre-discharge/BDD claim)</w:t>
      </w:r>
      <w:r w:rsidRPr="00E126CF">
        <w:rPr>
          <w:rFonts w:cstheme="minorBidi"/>
          <w:i/>
        </w:rPr>
        <w:t xml:space="preserve"> during DVA period, </w:t>
      </w:r>
      <w:r w:rsidR="00210E63">
        <w:rPr>
          <w:rFonts w:cstheme="minorBidi"/>
          <w:i/>
        </w:rPr>
        <w:t>eff date is day after discharge from that DVA period:</w:t>
      </w:r>
    </w:p>
    <w:p w:rsidR="00210E63" w:rsidRPr="00210E63" w:rsidRDefault="00210E63" w:rsidP="004F6222">
      <w:pPr>
        <w:widowControl w:val="0"/>
        <w:pBdr>
          <w:top w:val="single" w:sz="4" w:space="1" w:color="auto"/>
          <w:left w:val="single" w:sz="4" w:space="1" w:color="auto"/>
          <w:bottom w:val="single" w:sz="4" w:space="1" w:color="auto"/>
          <w:right w:val="single" w:sz="4" w:space="4" w:color="auto"/>
        </w:pBdr>
        <w:rPr>
          <w:i/>
          <w:sz w:val="22"/>
        </w:rPr>
      </w:pPr>
      <w:r w:rsidRPr="00210E63">
        <w:t>the day after your separation from the period of service determined to be dishonorable for VA purposes, as your claim was received while you were on active duty.</w:t>
      </w:r>
    </w:p>
    <w:p w:rsidR="00EF0835" w:rsidRDefault="00EF0835">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Pr="00477BD9" w:rsidRDefault="00013EB8">
            <w:pPr>
              <w:widowControl w:val="0"/>
              <w:numPr>
                <w:ilvl w:val="12"/>
                <w:numId w:val="0"/>
              </w:numPr>
              <w:rPr>
                <w:b/>
              </w:rPr>
            </w:pPr>
            <w:r w:rsidRPr="00F673C9">
              <w:rPr>
                <w:b/>
              </w:rPr>
              <w:t>3.301</w:t>
            </w:r>
          </w:p>
        </w:tc>
        <w:tc>
          <w:tcPr>
            <w:tcW w:w="10270" w:type="dxa"/>
            <w:tcBorders>
              <w:top w:val="nil"/>
              <w:left w:val="nil"/>
              <w:bottom w:val="nil"/>
              <w:right w:val="nil"/>
            </w:tcBorders>
          </w:tcPr>
          <w:p w:rsidR="00013EB8" w:rsidRPr="00477BD9" w:rsidRDefault="00013EB8">
            <w:pPr>
              <w:widowControl w:val="0"/>
              <w:numPr>
                <w:ilvl w:val="12"/>
                <w:numId w:val="0"/>
              </w:numPr>
              <w:spacing w:after="120"/>
            </w:pPr>
            <w:r w:rsidRPr="00477BD9">
              <w:rPr>
                <w:b/>
              </w:rPr>
              <w:t>Line of duty and misconduct</w:t>
            </w:r>
            <w:r w:rsidRPr="00477BD9">
              <w:t xml:space="preserve"> – </w:t>
            </w:r>
          </w:p>
          <w:p w:rsidR="00013EB8" w:rsidRPr="00853C4D" w:rsidRDefault="00013EB8" w:rsidP="00333C92">
            <w:pPr>
              <w:widowControl w:val="0"/>
              <w:numPr>
                <w:ilvl w:val="0"/>
                <w:numId w:val="61"/>
              </w:numPr>
              <w:spacing w:after="120"/>
              <w:rPr>
                <w:b/>
                <w:bCs/>
              </w:rPr>
            </w:pPr>
            <w:r w:rsidRPr="00853C4D">
              <w:rPr>
                <w:b/>
                <w:bCs/>
              </w:rPr>
              <w:t>III.v.1.D</w:t>
            </w:r>
          </w:p>
          <w:p w:rsidR="00013EB8" w:rsidRPr="00477BD9" w:rsidRDefault="00013EB8" w:rsidP="00333C92">
            <w:pPr>
              <w:widowControl w:val="0"/>
              <w:numPr>
                <w:ilvl w:val="0"/>
                <w:numId w:val="61"/>
              </w:numPr>
              <w:spacing w:after="120"/>
              <w:rPr>
                <w:i/>
              </w:rPr>
            </w:pPr>
            <w:r w:rsidRPr="006166BF">
              <w:rPr>
                <w:b/>
                <w:bCs/>
              </w:rPr>
              <w:t>III.i</w:t>
            </w:r>
            <w:r w:rsidR="006166BF" w:rsidRPr="006166BF">
              <w:rPr>
                <w:b/>
                <w:bCs/>
              </w:rPr>
              <w:t>v.4.I.4.a</w:t>
            </w:r>
            <w:r w:rsidRPr="00477BD9">
              <w:t xml:space="preserve"> </w:t>
            </w:r>
            <w:r w:rsidRPr="00477BD9">
              <w:rPr>
                <w:i/>
              </w:rPr>
              <w:t>for venereal disease &amp; HIV</w:t>
            </w:r>
          </w:p>
          <w:p w:rsidR="00013EB8" w:rsidRPr="00853C4D" w:rsidRDefault="00853C4D" w:rsidP="00333C92">
            <w:pPr>
              <w:widowControl w:val="0"/>
              <w:numPr>
                <w:ilvl w:val="0"/>
                <w:numId w:val="61"/>
              </w:numPr>
              <w:spacing w:after="120"/>
              <w:rPr>
                <w:i/>
              </w:rPr>
            </w:pPr>
            <w:r w:rsidRPr="00853C4D">
              <w:rPr>
                <w:b/>
                <w:bCs/>
              </w:rPr>
              <w:t>IV.ii.2.K</w:t>
            </w:r>
          </w:p>
          <w:p w:rsidR="00477BD9" w:rsidRPr="00477BD9" w:rsidRDefault="00013EB8" w:rsidP="00F063AF">
            <w:pPr>
              <w:pStyle w:val="Heading1"/>
              <w:keepNext w:val="0"/>
              <w:widowControl w:val="0"/>
              <w:numPr>
                <w:ilvl w:val="0"/>
                <w:numId w:val="233"/>
              </w:numPr>
              <w:tabs>
                <w:tab w:val="left" w:pos="330"/>
              </w:tabs>
              <w:spacing w:after="120"/>
              <w:rPr>
                <w:bCs/>
                <w:i w:val="0"/>
                <w:iCs w:val="0"/>
                <w:sz w:val="20"/>
              </w:rPr>
            </w:pPr>
            <w:r w:rsidRPr="00477BD9">
              <w:rPr>
                <w:i w:val="0"/>
                <w:sz w:val="20"/>
              </w:rPr>
              <w:t>Forshey v. West</w:t>
            </w:r>
            <w:r w:rsidRPr="00477BD9">
              <w:rPr>
                <w:sz w:val="20"/>
              </w:rPr>
              <w:t xml:space="preserve"> (12/3/98) &amp; </w:t>
            </w:r>
            <w:r w:rsidRPr="00477BD9">
              <w:rPr>
                <w:i w:val="0"/>
                <w:sz w:val="20"/>
              </w:rPr>
              <w:t>Forshey v. Principi</w:t>
            </w:r>
            <w:r w:rsidRPr="00477BD9">
              <w:rPr>
                <w:sz w:val="20"/>
              </w:rPr>
              <w:t xml:space="preserve"> (4/1/02) </w:t>
            </w:r>
            <w:r w:rsidRPr="00477BD9">
              <w:rPr>
                <w:b/>
                <w:i w:val="0"/>
                <w:iCs w:val="0"/>
                <w:sz w:val="20"/>
              </w:rPr>
              <w:t xml:space="preserve">- </w:t>
            </w:r>
            <w:r w:rsidRPr="00477BD9">
              <w:rPr>
                <w:bCs/>
                <w:i w:val="0"/>
                <w:iCs w:val="0"/>
                <w:sz w:val="20"/>
              </w:rPr>
              <w:t>denied DIC because of vet’s misconduct, presumption of SC for cause of death while on active duty, that is overcome, good expression of</w:t>
            </w:r>
            <w:r w:rsidR="00477BD9" w:rsidRPr="00477BD9">
              <w:rPr>
                <w:bCs/>
                <w:i w:val="0"/>
                <w:iCs w:val="0"/>
                <w:sz w:val="20"/>
              </w:rPr>
              <w:t xml:space="preserve"> the law [Russian roulette case]</w:t>
            </w:r>
          </w:p>
          <w:p w:rsidR="00270104" w:rsidRPr="00477BD9" w:rsidRDefault="00477BD9" w:rsidP="00F063AF">
            <w:pPr>
              <w:pStyle w:val="ListParagraph"/>
              <w:numPr>
                <w:ilvl w:val="0"/>
                <w:numId w:val="128"/>
              </w:numPr>
              <w:tabs>
                <w:tab w:val="clear" w:pos="720"/>
                <w:tab w:val="num" w:pos="330"/>
              </w:tabs>
              <w:ind w:left="330"/>
              <w:rPr>
                <w:rFonts w:ascii="Arial" w:hAnsi="Arial"/>
                <w:sz w:val="20"/>
                <w:szCs w:val="20"/>
              </w:rPr>
            </w:pPr>
            <w:r w:rsidRPr="00EC2F1C">
              <w:rPr>
                <w:rFonts w:ascii="Arial" w:hAnsi="Arial"/>
                <w:b/>
                <w:i/>
                <w:sz w:val="20"/>
                <w:szCs w:val="20"/>
              </w:rPr>
              <w:t>Martin v. McDonald</w:t>
            </w:r>
            <w:r w:rsidRPr="00477BD9">
              <w:rPr>
                <w:rFonts w:ascii="Arial" w:hAnsi="Arial"/>
                <w:sz w:val="20"/>
                <w:szCs w:val="20"/>
              </w:rPr>
              <w:t xml:space="preserve"> (8/5/14)</w:t>
            </w:r>
            <w:r>
              <w:rPr>
                <w:rFonts w:ascii="Arial" w:hAnsi="Arial"/>
                <w:sz w:val="20"/>
                <w:szCs w:val="20"/>
              </w:rPr>
              <w:t xml:space="preserve"> – military discharge for “alcohol rehabilitation failure” does not always constitute willful misconduct</w:t>
            </w:r>
          </w:p>
        </w:tc>
      </w:tr>
    </w:tbl>
    <w:p w:rsidR="00270104" w:rsidRDefault="00270104" w:rsidP="001453C4">
      <w:pPr>
        <w:widowControl w:val="0"/>
        <w:numPr>
          <w:ilvl w:val="12"/>
          <w:numId w:val="0"/>
        </w:numPr>
        <w:pBdr>
          <w:top w:val="double" w:sz="4" w:space="1" w:color="auto"/>
          <w:left w:val="double" w:sz="4" w:space="4" w:color="auto"/>
          <w:bottom w:val="double" w:sz="4" w:space="1" w:color="auto"/>
          <w:right w:val="double" w:sz="4" w:space="4" w:color="auto"/>
        </w:pBdr>
        <w:shd w:val="clear" w:color="auto" w:fill="FFC000"/>
        <w:tabs>
          <w:tab w:val="left" w:pos="0"/>
        </w:tabs>
        <w:rPr>
          <w:i/>
        </w:rPr>
      </w:pPr>
      <w:r w:rsidRPr="0059725E">
        <w:rPr>
          <w:i/>
        </w:rPr>
        <w:t>Training documents are under “</w:t>
      </w:r>
      <w:r>
        <w:rPr>
          <w:i/>
        </w:rPr>
        <w:t>Line of Duty – Willful Misconduct”</w:t>
      </w:r>
      <w:r w:rsidR="001453C4">
        <w:rPr>
          <w:i/>
        </w:rPr>
        <w:t xml:space="preserve"> at </w:t>
      </w:r>
      <w:r w:rsidR="001453C4" w:rsidRPr="001453C4">
        <w:rPr>
          <w:b/>
          <w:i/>
        </w:rPr>
        <w:t>http://hvnc.gdit.com/lc/</w:t>
      </w:r>
    </w:p>
    <w:p w:rsidR="00270104" w:rsidRDefault="00270104">
      <w:pPr>
        <w:widowControl w:val="0"/>
        <w:tabs>
          <w:tab w:val="left" w:pos="0"/>
          <w:tab w:val="left" w:pos="144"/>
        </w:tabs>
        <w:rPr>
          <w:b/>
          <w:u w:val="single"/>
        </w:rPr>
      </w:pPr>
    </w:p>
    <w:p w:rsidR="00EF0835" w:rsidRPr="00BC03F7" w:rsidRDefault="00C40657">
      <w:pPr>
        <w:widowControl w:val="0"/>
        <w:tabs>
          <w:tab w:val="left" w:pos="0"/>
          <w:tab w:val="left" w:pos="144"/>
        </w:tabs>
        <w:rPr>
          <w:i/>
          <w:u w:val="single"/>
        </w:rPr>
      </w:pPr>
      <w:r w:rsidRPr="00BC03F7">
        <w:rPr>
          <w:bCs/>
        </w:rPr>
        <w:t xml:space="preserve">Notes from </w:t>
      </w:r>
      <w:r w:rsidR="00EF0835" w:rsidRPr="00C40657">
        <w:rPr>
          <w:b/>
          <w:i/>
          <w:u w:val="single"/>
        </w:rPr>
        <w:t>May 201</w:t>
      </w:r>
      <w:r w:rsidR="00804567" w:rsidRPr="00C40657">
        <w:rPr>
          <w:b/>
          <w:i/>
          <w:u w:val="single"/>
        </w:rPr>
        <w:t>3</w:t>
      </w:r>
      <w:r w:rsidR="00EF0835" w:rsidRPr="00C40657">
        <w:rPr>
          <w:b/>
          <w:i/>
          <w:u w:val="single"/>
        </w:rPr>
        <w:t xml:space="preserve"> Willful Misconduct Training</w:t>
      </w:r>
    </w:p>
    <w:p w:rsidR="00EF0835" w:rsidRPr="00EF0835" w:rsidRDefault="00EF0835">
      <w:pPr>
        <w:widowControl w:val="0"/>
        <w:tabs>
          <w:tab w:val="left" w:pos="0"/>
          <w:tab w:val="left" w:pos="144"/>
        </w:tabs>
      </w:pPr>
    </w:p>
    <w:p w:rsidR="00145819" w:rsidRPr="00145819" w:rsidRDefault="007C6D7B">
      <w:pPr>
        <w:widowControl w:val="0"/>
        <w:tabs>
          <w:tab w:val="left" w:pos="0"/>
          <w:tab w:val="left" w:pos="144"/>
        </w:tabs>
        <w:rPr>
          <w:i/>
        </w:rPr>
      </w:pPr>
      <w:r>
        <w:rPr>
          <w:i/>
        </w:rPr>
        <w:t>Line of Duty has t</w:t>
      </w:r>
      <w:r w:rsidR="00145819" w:rsidRPr="00145819">
        <w:rPr>
          <w:i/>
        </w:rPr>
        <w:t>o do with STATUS</w:t>
      </w:r>
      <w:r w:rsidR="00145819">
        <w:rPr>
          <w:i/>
        </w:rPr>
        <w:t xml:space="preserve"> when injury occurred</w:t>
      </w:r>
      <w:r w:rsidR="00145819" w:rsidRPr="00145819">
        <w:rPr>
          <w:i/>
        </w:rPr>
        <w:t xml:space="preserve"> -</w:t>
      </w:r>
    </w:p>
    <w:p w:rsidR="00804567" w:rsidRPr="00804567" w:rsidRDefault="00EF0835" w:rsidP="00F063AF">
      <w:pPr>
        <w:widowControl w:val="0"/>
        <w:numPr>
          <w:ilvl w:val="0"/>
          <w:numId w:val="132"/>
        </w:numPr>
        <w:tabs>
          <w:tab w:val="left" w:pos="0"/>
          <w:tab w:val="left" w:pos="144"/>
        </w:tabs>
        <w:rPr>
          <w:sz w:val="24"/>
          <w:szCs w:val="24"/>
        </w:rPr>
      </w:pPr>
      <w:r w:rsidRPr="00804567">
        <w:t>AWOL</w:t>
      </w:r>
      <w:r w:rsidR="00145819" w:rsidRPr="00804567">
        <w:t>,</w:t>
      </w:r>
      <w:r w:rsidRPr="00804567">
        <w:t xml:space="preserve"> Desertion</w:t>
      </w:r>
      <w:r w:rsidR="00145819" w:rsidRPr="00804567">
        <w:t xml:space="preserve">, being held for Felony, drugs or alcohol involved – </w:t>
      </w:r>
      <w:r w:rsidR="00A04F52" w:rsidRPr="00804567">
        <w:t xml:space="preserve">our regs say </w:t>
      </w:r>
      <w:r w:rsidR="00145819" w:rsidRPr="00804567">
        <w:rPr>
          <w:u w:val="single"/>
        </w:rPr>
        <w:t>NOT</w:t>
      </w:r>
      <w:r w:rsidR="00145819" w:rsidRPr="00804567">
        <w:t xml:space="preserve"> in the line of duty</w:t>
      </w:r>
      <w:r w:rsidR="00A04F52" w:rsidRPr="00804567">
        <w:t xml:space="preserve"> (Service regs are sometimes different)</w:t>
      </w:r>
    </w:p>
    <w:p w:rsidR="00145819" w:rsidRDefault="00145819" w:rsidP="00F063AF">
      <w:pPr>
        <w:widowControl w:val="0"/>
        <w:numPr>
          <w:ilvl w:val="0"/>
          <w:numId w:val="132"/>
        </w:numPr>
        <w:tabs>
          <w:tab w:val="left" w:pos="0"/>
          <w:tab w:val="left" w:pos="144"/>
        </w:tabs>
        <w:rPr>
          <w:sz w:val="24"/>
          <w:szCs w:val="24"/>
        </w:rPr>
      </w:pPr>
      <w:r w:rsidRPr="00804567">
        <w:t xml:space="preserve">If Service </w:t>
      </w:r>
      <w:r w:rsidR="00804567">
        <w:t xml:space="preserve">Dept </w:t>
      </w:r>
      <w:r w:rsidRPr="00804567">
        <w:t>says “</w:t>
      </w:r>
      <w:r w:rsidRPr="00804567">
        <w:rPr>
          <w:u w:val="single"/>
        </w:rPr>
        <w:t>not</w:t>
      </w:r>
      <w:r w:rsidRPr="00804567">
        <w:t xml:space="preserve"> in the line of duty</w:t>
      </w:r>
      <w:r w:rsidR="001946CC">
        <w:t>,”</w:t>
      </w:r>
      <w:r w:rsidRPr="00804567">
        <w:t xml:space="preserve"> we also make a determination; but if Service says “in the line of duty</w:t>
      </w:r>
      <w:r w:rsidR="001946CC">
        <w:t>,”</w:t>
      </w:r>
      <w:r w:rsidRPr="00804567">
        <w:t xml:space="preserve"> we do not re-do the determination</w:t>
      </w:r>
      <w:r w:rsidR="00804567" w:rsidRPr="00804567">
        <w:t xml:space="preserve"> (Findings are binding on the VA unless it is patently inconsistent with the requirements of laws administered by the VA)</w:t>
      </w:r>
    </w:p>
    <w:p w:rsidR="00804567" w:rsidRPr="00804567" w:rsidRDefault="00804567" w:rsidP="00804567">
      <w:pPr>
        <w:widowControl w:val="0"/>
        <w:tabs>
          <w:tab w:val="left" w:pos="0"/>
          <w:tab w:val="left" w:pos="144"/>
        </w:tabs>
        <w:ind w:left="720"/>
        <w:rPr>
          <w:sz w:val="24"/>
          <w:szCs w:val="24"/>
        </w:rPr>
      </w:pPr>
    </w:p>
    <w:p w:rsidR="007C6D7B" w:rsidRDefault="007C6D7B" w:rsidP="007C6D7B">
      <w:pPr>
        <w:widowControl w:val="0"/>
        <w:tabs>
          <w:tab w:val="left" w:pos="0"/>
          <w:tab w:val="left" w:pos="144"/>
        </w:tabs>
        <w:rPr>
          <w:i/>
        </w:rPr>
      </w:pPr>
      <w:r w:rsidRPr="007C6D7B">
        <w:rPr>
          <w:i/>
        </w:rPr>
        <w:t>Willful Misconduct has to do with</w:t>
      </w:r>
      <w:r w:rsidR="00B41971">
        <w:rPr>
          <w:i/>
        </w:rPr>
        <w:t xml:space="preserve"> PROXIMATE</w:t>
      </w:r>
      <w:r w:rsidRPr="007C6D7B">
        <w:rPr>
          <w:i/>
        </w:rPr>
        <w:t xml:space="preserve"> </w:t>
      </w:r>
      <w:r w:rsidR="00B41971">
        <w:rPr>
          <w:i/>
        </w:rPr>
        <w:t>CAUSE of injury</w:t>
      </w:r>
    </w:p>
    <w:tbl>
      <w:tblPr>
        <w:tblW w:w="0" w:type="auto"/>
        <w:tblLayout w:type="fixed"/>
        <w:tblCellMar>
          <w:left w:w="0" w:type="dxa"/>
          <w:right w:w="0" w:type="dxa"/>
        </w:tblCellMar>
        <w:tblLook w:val="0000" w:firstRow="0" w:lastRow="0" w:firstColumn="0" w:lastColumn="0" w:noHBand="0" w:noVBand="0"/>
      </w:tblPr>
      <w:tblGrid>
        <w:gridCol w:w="10710"/>
      </w:tblGrid>
      <w:tr w:rsidR="00804567" w:rsidRPr="00804567" w:rsidTr="00804567">
        <w:tc>
          <w:tcPr>
            <w:tcW w:w="10710" w:type="dxa"/>
            <w:tcBorders>
              <w:top w:val="nil"/>
              <w:left w:val="nil"/>
              <w:bottom w:val="nil"/>
              <w:right w:val="nil"/>
            </w:tcBorders>
            <w:vAlign w:val="center"/>
          </w:tcPr>
          <w:p w:rsidR="00804567" w:rsidRPr="00804567" w:rsidRDefault="00804567" w:rsidP="00F063AF">
            <w:pPr>
              <w:numPr>
                <w:ilvl w:val="0"/>
                <w:numId w:val="138"/>
              </w:numPr>
              <w:overflowPunct/>
              <w:spacing w:before="100" w:after="100"/>
              <w:textAlignment w:val="auto"/>
            </w:pPr>
            <w:r>
              <w:t>A</w:t>
            </w:r>
            <w:r w:rsidRPr="00804567">
              <w:t xml:space="preserve"> service department finding that injury, disease, or death was not due to willful misconduct will be binding on the Department of Veterans Affairs (VA) unless it is patently inconsistent with the facts and the requirements of laws administered by the VA.</w:t>
            </w:r>
          </w:p>
        </w:tc>
      </w:tr>
    </w:tbl>
    <w:p w:rsidR="00850F69" w:rsidRDefault="00850F69" w:rsidP="007C6D7B">
      <w:pPr>
        <w:widowControl w:val="0"/>
        <w:tabs>
          <w:tab w:val="left" w:pos="0"/>
          <w:tab w:val="left" w:pos="144"/>
        </w:tabs>
        <w:rPr>
          <w:i/>
        </w:rPr>
      </w:pPr>
    </w:p>
    <w:p w:rsidR="00850F69" w:rsidRPr="007C6D7B" w:rsidRDefault="00850F69" w:rsidP="007C6D7B">
      <w:pPr>
        <w:widowControl w:val="0"/>
        <w:tabs>
          <w:tab w:val="left" w:pos="0"/>
          <w:tab w:val="left" w:pos="144"/>
        </w:tabs>
        <w:rPr>
          <w:i/>
        </w:rPr>
      </w:pPr>
      <w:r>
        <w:rPr>
          <w:rFonts w:ascii="Verdana" w:hAnsi="Verdana"/>
          <w:b/>
          <w:bCs/>
          <w:highlight w:val="green"/>
        </w:rPr>
        <w:t>See SA1 in VBMS-R codes</w:t>
      </w:r>
    </w:p>
    <w:p w:rsidR="007C6D7B" w:rsidRPr="00EF0835" w:rsidRDefault="00E92577" w:rsidP="007C6D7B">
      <w:pPr>
        <w:widowControl w:val="0"/>
        <w:tabs>
          <w:tab w:val="left" w:pos="0"/>
          <w:tab w:val="left" w:pos="144"/>
        </w:tabs>
      </w:pPr>
      <w:r>
        <w:t xml:space="preserve">Then can use </w:t>
      </w:r>
      <w:r w:rsidR="00C551BE">
        <w:rPr>
          <w:rFonts w:ascii="Verdana" w:hAnsi="Verdana"/>
          <w:b/>
          <w:highlight w:val="green"/>
        </w:rPr>
        <w:t>VBMS-R System-Generated Text</w:t>
      </w:r>
    </w:p>
    <w:p w:rsidR="00013EB8" w:rsidRDefault="00013EB8">
      <w:pPr>
        <w:widowControl w:val="0"/>
        <w:tabs>
          <w:tab w:val="left" w:pos="0"/>
          <w:tab w:val="left" w:pos="144"/>
        </w:tabs>
        <w:rPr>
          <w:i/>
          <w:sz w:val="22"/>
        </w:rPr>
      </w:pPr>
    </w:p>
    <w:p w:rsidR="00013EB8" w:rsidRDefault="00013EB8">
      <w:pPr>
        <w:pBdr>
          <w:top w:val="single" w:sz="4" w:space="1" w:color="auto"/>
        </w:pBdr>
        <w:overflowPunct/>
        <w:autoSpaceDE/>
        <w:autoSpaceDN/>
        <w:adjustRightInd/>
        <w:textAlignment w:val="auto"/>
        <w:rPr>
          <w:u w:val="single"/>
        </w:rPr>
      </w:pPr>
    </w:p>
    <w:p w:rsidR="00013EB8" w:rsidRDefault="00013EB8">
      <w:pPr>
        <w:widowControl w:val="0"/>
        <w:tabs>
          <w:tab w:val="left" w:pos="0"/>
          <w:tab w:val="left" w:pos="144"/>
        </w:tabs>
        <w:rPr>
          <w:iCs/>
          <w:sz w:val="22"/>
        </w:rPr>
      </w:pPr>
      <w:bookmarkStart w:id="78" w:name="Reserves"/>
      <w:r>
        <w:rPr>
          <w:b/>
          <w:bCs/>
          <w:i/>
          <w:sz w:val="22"/>
        </w:rPr>
        <w:t xml:space="preserve">Reserves - </w:t>
      </w:r>
      <w:bookmarkEnd w:id="78"/>
      <w:r w:rsidR="002E5AEB">
        <w:rPr>
          <w:rFonts w:ascii="Verdana" w:hAnsi="Verdana"/>
          <w:b/>
          <w:bCs/>
          <w:highlight w:val="green"/>
        </w:rPr>
        <w:t>has it</w:t>
      </w:r>
      <w:r>
        <w:rPr>
          <w:rFonts w:ascii="Verdana" w:hAnsi="Verdana"/>
          <w:b/>
          <w:bCs/>
          <w:highlight w:val="green"/>
        </w:rPr>
        <w:t>s own codes in VBMS-R – SE1 and SE2</w:t>
      </w:r>
    </w:p>
    <w:p w:rsidR="00013EB8" w:rsidRDefault="00013EB8">
      <w:pPr>
        <w:widowControl w:val="0"/>
        <w:tabs>
          <w:tab w:val="left" w:pos="0"/>
          <w:tab w:val="left" w:pos="144"/>
        </w:tabs>
        <w:rPr>
          <w:i/>
          <w:sz w:val="22"/>
        </w:rPr>
      </w:pPr>
    </w:p>
    <w:p w:rsidR="00013EB8" w:rsidRDefault="00013EB8">
      <w:pPr>
        <w:widowControl w:val="0"/>
        <w:pBdr>
          <w:top w:val="single" w:sz="4" w:space="1" w:color="auto"/>
          <w:left w:val="single" w:sz="4" w:space="4" w:color="auto"/>
          <w:bottom w:val="single" w:sz="4" w:space="1" w:color="auto"/>
          <w:right w:val="single" w:sz="4" w:space="4" w:color="auto"/>
        </w:pBdr>
        <w:jc w:val="both"/>
      </w:pPr>
      <w:r>
        <w:rPr>
          <w:b/>
          <w:bCs/>
        </w:rPr>
        <w:t>P.L. 106-419, Section 301</w:t>
      </w:r>
      <w:r>
        <w:t>—</w:t>
      </w:r>
      <w:r>
        <w:rPr>
          <w:b/>
          <w:bCs/>
        </w:rPr>
        <w:t>Strokes and Heart Attacks in Reservists</w:t>
      </w:r>
    </w:p>
    <w:p w:rsidR="00013EB8" w:rsidRDefault="00013EB8">
      <w:pPr>
        <w:widowControl w:val="0"/>
        <w:pBdr>
          <w:top w:val="single" w:sz="4" w:space="1" w:color="auto"/>
          <w:left w:val="single" w:sz="4" w:space="4" w:color="auto"/>
          <w:bottom w:val="single" w:sz="4" w:space="1" w:color="auto"/>
          <w:right w:val="single" w:sz="4" w:space="4" w:color="auto"/>
        </w:pBdr>
        <w:jc w:val="both"/>
      </w:pPr>
    </w:p>
    <w:p w:rsidR="00013EB8" w:rsidRDefault="00013EB8">
      <w:pPr>
        <w:widowControl w:val="0"/>
        <w:pBdr>
          <w:top w:val="single" w:sz="4" w:space="1" w:color="auto"/>
          <w:left w:val="single" w:sz="4" w:space="4" w:color="auto"/>
          <w:bottom w:val="single" w:sz="4" w:space="1" w:color="auto"/>
          <w:right w:val="single" w:sz="4" w:space="4" w:color="auto"/>
        </w:pBdr>
        <w:jc w:val="both"/>
      </w:pPr>
      <w:r>
        <w:t>This section establishes entitlement to service-connection for heart attacks and strokes incurred while performing, or in transit to or from, inactive duty for training. This provision covers strokes and heart attacks which occurred prior to November 1, 2000, as well as future events.</w:t>
      </w:r>
    </w:p>
    <w:p w:rsidR="00013EB8" w:rsidRDefault="00013EB8">
      <w:pPr>
        <w:widowControl w:val="0"/>
        <w:pBdr>
          <w:top w:val="single" w:sz="4" w:space="1" w:color="auto"/>
          <w:left w:val="single" w:sz="4" w:space="4" w:color="auto"/>
          <w:bottom w:val="single" w:sz="4" w:space="1" w:color="auto"/>
          <w:right w:val="single" w:sz="4" w:space="4" w:color="auto"/>
        </w:pBdr>
        <w:jc w:val="both"/>
      </w:pPr>
    </w:p>
    <w:p w:rsidR="00013EB8" w:rsidRDefault="00013EB8">
      <w:pPr>
        <w:widowControl w:val="0"/>
        <w:pBdr>
          <w:top w:val="single" w:sz="4" w:space="1" w:color="auto"/>
          <w:left w:val="single" w:sz="4" w:space="4" w:color="auto"/>
          <w:bottom w:val="single" w:sz="4" w:space="1" w:color="auto"/>
          <w:right w:val="single" w:sz="4" w:space="4" w:color="auto"/>
        </w:pBdr>
        <w:jc w:val="both"/>
      </w:pPr>
      <w:r>
        <w:t>The conditions covered by this legislation are limited to:</w:t>
      </w:r>
    </w:p>
    <w:p w:rsidR="00013EB8" w:rsidRDefault="00013EB8" w:rsidP="00F063AF">
      <w:pPr>
        <w:widowControl w:val="0"/>
        <w:numPr>
          <w:ilvl w:val="0"/>
          <w:numId w:val="131"/>
        </w:numPr>
        <w:pBdr>
          <w:top w:val="single" w:sz="4" w:space="1" w:color="auto"/>
          <w:left w:val="single" w:sz="4" w:space="4" w:color="auto"/>
          <w:bottom w:val="single" w:sz="4" w:space="1" w:color="auto"/>
          <w:right w:val="single" w:sz="4" w:space="4" w:color="auto"/>
        </w:pBdr>
        <w:ind w:firstLine="40"/>
        <w:jc w:val="both"/>
      </w:pPr>
      <w:r>
        <w:t xml:space="preserve">acute myocardial infarction </w:t>
      </w:r>
    </w:p>
    <w:p w:rsidR="00013EB8" w:rsidRDefault="00013EB8" w:rsidP="00F063AF">
      <w:pPr>
        <w:widowControl w:val="0"/>
        <w:numPr>
          <w:ilvl w:val="0"/>
          <w:numId w:val="131"/>
        </w:numPr>
        <w:pBdr>
          <w:top w:val="single" w:sz="4" w:space="1" w:color="auto"/>
          <w:left w:val="single" w:sz="4" w:space="4" w:color="auto"/>
          <w:bottom w:val="single" w:sz="4" w:space="1" w:color="auto"/>
          <w:right w:val="single" w:sz="4" w:space="4" w:color="auto"/>
        </w:pBdr>
        <w:ind w:firstLine="40"/>
        <w:jc w:val="both"/>
      </w:pPr>
      <w:r>
        <w:t xml:space="preserve">cardiac arrest </w:t>
      </w:r>
    </w:p>
    <w:p w:rsidR="00013EB8" w:rsidRDefault="00013EB8" w:rsidP="00F063AF">
      <w:pPr>
        <w:widowControl w:val="0"/>
        <w:numPr>
          <w:ilvl w:val="0"/>
          <w:numId w:val="131"/>
        </w:numPr>
        <w:pBdr>
          <w:top w:val="single" w:sz="4" w:space="1" w:color="auto"/>
          <w:left w:val="single" w:sz="4" w:space="4" w:color="auto"/>
          <w:bottom w:val="single" w:sz="4" w:space="1" w:color="auto"/>
          <w:right w:val="single" w:sz="4" w:space="4" w:color="auto"/>
        </w:pBdr>
        <w:ind w:firstLine="40"/>
        <w:jc w:val="both"/>
      </w:pPr>
      <w:r>
        <w:t>cerebrovascular accident</w:t>
      </w:r>
    </w:p>
    <w:p w:rsidR="00013EB8" w:rsidRDefault="00013EB8">
      <w:pPr>
        <w:widowControl w:val="0"/>
        <w:pBdr>
          <w:top w:val="single" w:sz="4" w:space="1" w:color="auto"/>
          <w:left w:val="single" w:sz="4" w:space="4" w:color="auto"/>
          <w:bottom w:val="single" w:sz="4" w:space="1" w:color="auto"/>
          <w:right w:val="single" w:sz="4" w:space="4" w:color="auto"/>
        </w:pBdr>
        <w:jc w:val="both"/>
        <w:rPr>
          <w:b/>
          <w:bCs/>
        </w:rPr>
      </w:pPr>
    </w:p>
    <w:p w:rsidR="00013EB8" w:rsidRDefault="00013EB8">
      <w:pPr>
        <w:widowControl w:val="0"/>
        <w:pBdr>
          <w:top w:val="single" w:sz="4" w:space="1" w:color="auto"/>
          <w:left w:val="single" w:sz="4" w:space="4" w:color="auto"/>
          <w:bottom w:val="single" w:sz="4" w:space="1" w:color="auto"/>
          <w:right w:val="single" w:sz="4" w:space="4" w:color="auto"/>
        </w:pBdr>
        <w:jc w:val="both"/>
      </w:pPr>
      <w:r>
        <w:rPr>
          <w:b/>
          <w:bCs/>
        </w:rPr>
        <w:t xml:space="preserve">Verification: </w:t>
      </w:r>
      <w:r>
        <w:t xml:space="preserve">The reserve components prepare a line of duty (LOD) determination for all major diseases or injuries that occur while at drill. Request a copy of that determination (or other supporting documentation) which is placed in the service personnel records and, in most cases, the member’s medical file. </w:t>
      </w:r>
    </w:p>
    <w:p w:rsidR="00013EB8" w:rsidRDefault="00013EB8">
      <w:pPr>
        <w:widowControl w:val="0"/>
        <w:pBdr>
          <w:top w:val="single" w:sz="4" w:space="1" w:color="auto"/>
          <w:left w:val="single" w:sz="4" w:space="4" w:color="auto"/>
          <w:bottom w:val="single" w:sz="4" w:space="1" w:color="auto"/>
          <w:right w:val="single" w:sz="4" w:space="4" w:color="auto"/>
        </w:pBdr>
        <w:rPr>
          <w:b/>
          <w:bCs/>
        </w:rPr>
      </w:pPr>
    </w:p>
    <w:p w:rsidR="00013EB8" w:rsidRDefault="00013EB8">
      <w:pPr>
        <w:widowControl w:val="0"/>
        <w:pBdr>
          <w:top w:val="single" w:sz="4" w:space="1" w:color="auto"/>
          <w:left w:val="single" w:sz="4" w:space="4" w:color="auto"/>
          <w:bottom w:val="single" w:sz="4" w:space="1" w:color="auto"/>
          <w:right w:val="single" w:sz="4" w:space="4" w:color="auto"/>
        </w:pBdr>
      </w:pPr>
      <w:r>
        <w:rPr>
          <w:b/>
          <w:bCs/>
        </w:rPr>
        <w:t>Effective Date:</w:t>
      </w:r>
      <w:r>
        <w:t xml:space="preserve"> November 1, 2000. 38 CFR 3.114 governs the effective date of entitlement in these cases (M21-1, Part IV, 25.18).</w:t>
      </w:r>
    </w:p>
    <w:p w:rsidR="00013EB8" w:rsidRDefault="00013EB8">
      <w:pPr>
        <w:widowControl w:val="0"/>
        <w:pBdr>
          <w:top w:val="single" w:sz="4" w:space="1" w:color="auto"/>
          <w:left w:val="single" w:sz="4" w:space="4" w:color="auto"/>
          <w:bottom w:val="single" w:sz="4" w:space="1" w:color="auto"/>
          <w:right w:val="single" w:sz="4" w:space="4" w:color="auto"/>
        </w:pBdr>
        <w:rPr>
          <w:b/>
          <w:bCs/>
          <w:i/>
          <w:iCs/>
        </w:rPr>
      </w:pPr>
    </w:p>
    <w:p w:rsidR="00013EB8" w:rsidRPr="00BC6996" w:rsidRDefault="00013EB8">
      <w:pPr>
        <w:widowControl w:val="0"/>
        <w:pBdr>
          <w:top w:val="single" w:sz="4" w:space="1" w:color="auto"/>
          <w:left w:val="single" w:sz="4" w:space="4" w:color="auto"/>
          <w:bottom w:val="single" w:sz="4" w:space="1" w:color="auto"/>
          <w:right w:val="single" w:sz="4" w:space="4" w:color="auto"/>
        </w:pBdr>
      </w:pPr>
      <w:r>
        <w:rPr>
          <w:b/>
          <w:bCs/>
          <w:i/>
          <w:iCs/>
        </w:rPr>
        <w:t xml:space="preserve">VAOPGCPREC 4-2002 </w:t>
      </w:r>
      <w:r w:rsidRPr="00F863FB">
        <w:rPr>
          <w:bCs/>
          <w:i/>
          <w:iCs/>
        </w:rPr>
        <w:t>(5/14/02)</w:t>
      </w:r>
      <w:r w:rsidR="00F863FB">
        <w:rPr>
          <w:bCs/>
          <w:i/>
          <w:iCs/>
        </w:rPr>
        <w:t xml:space="preserve"> </w:t>
      </w:r>
      <w:r w:rsidRPr="00F863FB">
        <w:t>-</w:t>
      </w:r>
      <w:r>
        <w:t xml:space="preserve"> If evidence establishes that an individual suffers from a disabling condition as a result of administration of an anthrax vaccination during inactive duty training, the individual may be considered disabled by an “injury” incurred during such training as the term is used in 38 U.S.C. 101 (24), which defines “active military, naval, or air service” to include any period of inactive duty training during which the individual was disabled or died from an injury incurred or aggravated in line of duty. Consequently, such an individual may be found to have incurred disability in active military, naval, or air service for purposes of disability compensatio</w:t>
      </w:r>
      <w:r w:rsidR="00BC6996">
        <w:t>n under 38 U.S.C. 1110 or 1131.</w:t>
      </w:r>
    </w:p>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rPr>
          <w:trHeight w:val="358"/>
        </w:trPr>
        <w:tc>
          <w:tcPr>
            <w:tcW w:w="705" w:type="dxa"/>
            <w:tcBorders>
              <w:top w:val="nil"/>
              <w:left w:val="nil"/>
              <w:bottom w:val="nil"/>
              <w:right w:val="nil"/>
            </w:tcBorders>
          </w:tcPr>
          <w:p w:rsidR="00013EB8" w:rsidRPr="00061340" w:rsidRDefault="00013EB8">
            <w:pPr>
              <w:widowControl w:val="0"/>
              <w:rPr>
                <w:b/>
              </w:rPr>
            </w:pPr>
            <w:r w:rsidRPr="00F673C9">
              <w:rPr>
                <w:b/>
              </w:rPr>
              <w:t>3.6</w:t>
            </w:r>
          </w:p>
        </w:tc>
        <w:tc>
          <w:tcPr>
            <w:tcW w:w="10270" w:type="dxa"/>
            <w:tcBorders>
              <w:top w:val="nil"/>
              <w:left w:val="nil"/>
              <w:bottom w:val="nil"/>
              <w:right w:val="nil"/>
            </w:tcBorders>
          </w:tcPr>
          <w:p w:rsidR="00013EB8" w:rsidRPr="00061340" w:rsidRDefault="00013EB8" w:rsidP="00061340">
            <w:pPr>
              <w:widowControl w:val="0"/>
              <w:rPr>
                <w:rStyle w:val="Hyperlink"/>
                <w:b/>
                <w:i/>
              </w:rPr>
            </w:pPr>
            <w:r w:rsidRPr="00061340">
              <w:rPr>
                <w:b/>
              </w:rPr>
              <w:t xml:space="preserve">Duty periods </w:t>
            </w:r>
            <w:r w:rsidRPr="00061340">
              <w:t xml:space="preserve">– </w:t>
            </w:r>
          </w:p>
          <w:p w:rsidR="00061340" w:rsidRPr="00061340" w:rsidRDefault="00061340" w:rsidP="00061340">
            <w:pPr>
              <w:widowControl w:val="0"/>
            </w:pPr>
            <w:r w:rsidRPr="00061340">
              <w:t>Active Duty means:</w:t>
            </w:r>
          </w:p>
          <w:p w:rsidR="00061340" w:rsidRPr="00061340" w:rsidRDefault="00061340" w:rsidP="00F063AF">
            <w:pPr>
              <w:pStyle w:val="ListParagraph"/>
              <w:widowControl w:val="0"/>
              <w:numPr>
                <w:ilvl w:val="0"/>
                <w:numId w:val="138"/>
              </w:numPr>
              <w:spacing w:after="0"/>
              <w:rPr>
                <w:rFonts w:ascii="Arial" w:hAnsi="Arial"/>
                <w:sz w:val="20"/>
                <w:szCs w:val="20"/>
              </w:rPr>
            </w:pPr>
            <w:r w:rsidRPr="00061340">
              <w:rPr>
                <w:rFonts w:ascii="Arial" w:hAnsi="Arial"/>
                <w:sz w:val="20"/>
                <w:szCs w:val="20"/>
              </w:rPr>
              <w:t>Full-time duty in the Armed Forces (not active duty for training)</w:t>
            </w:r>
          </w:p>
          <w:p w:rsidR="00061340" w:rsidRPr="00061340" w:rsidRDefault="00061340" w:rsidP="00F063AF">
            <w:pPr>
              <w:pStyle w:val="ListParagraph"/>
              <w:widowControl w:val="0"/>
              <w:numPr>
                <w:ilvl w:val="0"/>
                <w:numId w:val="138"/>
              </w:numPr>
              <w:spacing w:after="0"/>
              <w:rPr>
                <w:rFonts w:ascii="Arial" w:hAnsi="Arial"/>
                <w:sz w:val="20"/>
                <w:szCs w:val="20"/>
              </w:rPr>
            </w:pPr>
            <w:r w:rsidRPr="00061340">
              <w:rPr>
                <w:rFonts w:ascii="Arial" w:hAnsi="Arial"/>
                <w:sz w:val="20"/>
                <w:szCs w:val="20"/>
              </w:rPr>
              <w:t xml:space="preserve">Full-time duty as a commissioned officer of the Regular or Reserve Corps of the Public Health service (not for training purposes) - </w:t>
            </w:r>
            <w:r w:rsidRPr="00DF206B">
              <w:rPr>
                <w:rFonts w:ascii="Arial" w:hAnsi="Arial"/>
                <w:i/>
                <w:sz w:val="20"/>
                <w:szCs w:val="20"/>
              </w:rPr>
              <w:t>see reg for specifics on dates</w:t>
            </w:r>
          </w:p>
          <w:p w:rsidR="00061340" w:rsidRPr="00061340" w:rsidRDefault="00061340" w:rsidP="00F063AF">
            <w:pPr>
              <w:pStyle w:val="ListParagraph"/>
              <w:widowControl w:val="0"/>
              <w:numPr>
                <w:ilvl w:val="0"/>
                <w:numId w:val="138"/>
              </w:numPr>
              <w:spacing w:after="0"/>
              <w:rPr>
                <w:rFonts w:ascii="Arial" w:hAnsi="Arial"/>
                <w:sz w:val="20"/>
                <w:szCs w:val="20"/>
              </w:rPr>
            </w:pPr>
            <w:r w:rsidRPr="00061340">
              <w:rPr>
                <w:rFonts w:ascii="Arial" w:hAnsi="Arial"/>
                <w:sz w:val="20"/>
                <w:szCs w:val="20"/>
              </w:rPr>
              <w:t xml:space="preserve">Full-time duty as a commissioned officer of the Coast and Geodetic Survey or of its successor agencies, the Environmental Science Services Administration and the National Oceanic and Atmospheric Administration - </w:t>
            </w:r>
            <w:r w:rsidRPr="00DF206B">
              <w:rPr>
                <w:rFonts w:ascii="Arial" w:hAnsi="Arial"/>
                <w:i/>
                <w:sz w:val="20"/>
                <w:szCs w:val="20"/>
              </w:rPr>
              <w:t>see reg for specifics on dates</w:t>
            </w:r>
          </w:p>
          <w:p w:rsidR="00061340" w:rsidRPr="00061340" w:rsidRDefault="009E5D40" w:rsidP="00F063AF">
            <w:pPr>
              <w:pStyle w:val="ListParagraph"/>
              <w:widowControl w:val="0"/>
              <w:numPr>
                <w:ilvl w:val="0"/>
                <w:numId w:val="138"/>
              </w:numPr>
              <w:spacing w:after="0"/>
              <w:rPr>
                <w:rFonts w:ascii="Arial" w:hAnsi="Arial"/>
                <w:sz w:val="20"/>
                <w:szCs w:val="20"/>
              </w:rPr>
            </w:pPr>
            <w:r>
              <w:rPr>
                <w:rFonts w:ascii="Arial" w:hAnsi="Arial"/>
                <w:sz w:val="20"/>
                <w:szCs w:val="20"/>
              </w:rPr>
              <w:t xml:space="preserve">Service as a </w:t>
            </w:r>
            <w:r w:rsidR="00061340" w:rsidRPr="00061340">
              <w:rPr>
                <w:rFonts w:ascii="Arial" w:hAnsi="Arial"/>
                <w:sz w:val="20"/>
                <w:szCs w:val="20"/>
              </w:rPr>
              <w:t>cadet at the United States Military, Air Force, or Coast Guard Academy, or as a midshipman at the United States Naval Academy</w:t>
            </w:r>
          </w:p>
          <w:p w:rsidR="00061340" w:rsidRPr="00061340" w:rsidRDefault="00061340" w:rsidP="00F063AF">
            <w:pPr>
              <w:pStyle w:val="ListParagraph"/>
              <w:widowControl w:val="0"/>
              <w:numPr>
                <w:ilvl w:val="0"/>
                <w:numId w:val="138"/>
              </w:numPr>
              <w:spacing w:after="0"/>
              <w:rPr>
                <w:rFonts w:ascii="Arial" w:hAnsi="Arial"/>
                <w:sz w:val="20"/>
                <w:szCs w:val="20"/>
              </w:rPr>
            </w:pPr>
            <w:r w:rsidRPr="00061340">
              <w:rPr>
                <w:rFonts w:ascii="Arial" w:hAnsi="Arial"/>
                <w:sz w:val="20"/>
                <w:szCs w:val="20"/>
              </w:rPr>
              <w:t>Attendance at the preparatory schools of the United States Air Force Acad</w:t>
            </w:r>
            <w:r w:rsidR="00726F7D">
              <w:rPr>
                <w:rFonts w:ascii="Arial" w:hAnsi="Arial"/>
                <w:sz w:val="20"/>
                <w:szCs w:val="20"/>
              </w:rPr>
              <w:t xml:space="preserve">emy, the United States Military </w:t>
            </w:r>
            <w:r w:rsidRPr="00243AB0">
              <w:rPr>
                <w:rFonts w:ascii="Arial" w:hAnsi="Arial"/>
                <w:sz w:val="20"/>
                <w:szCs w:val="20"/>
              </w:rPr>
              <w:t xml:space="preserve">Academy, or the United States Naval Academy for enlisted active-duty members </w:t>
            </w:r>
            <w:r w:rsidR="00726F7D" w:rsidRPr="00243AB0">
              <w:rPr>
                <w:rFonts w:ascii="Arial" w:hAnsi="Arial"/>
                <w:sz w:val="20"/>
                <w:szCs w:val="20"/>
              </w:rPr>
              <w:t>–</w:t>
            </w:r>
            <w:r w:rsidRPr="00243AB0">
              <w:rPr>
                <w:rFonts w:ascii="Arial" w:hAnsi="Arial"/>
                <w:sz w:val="20"/>
                <w:szCs w:val="20"/>
              </w:rPr>
              <w:t xml:space="preserve"> </w:t>
            </w:r>
            <w:r w:rsidRPr="00243AB0">
              <w:rPr>
                <w:rFonts w:ascii="Arial" w:hAnsi="Arial"/>
                <w:i/>
                <w:sz w:val="20"/>
                <w:szCs w:val="20"/>
              </w:rPr>
              <w:t>see reg for specifics</w:t>
            </w:r>
            <w:r w:rsidR="00726F7D" w:rsidRPr="00243AB0">
              <w:rPr>
                <w:rFonts w:ascii="Arial" w:hAnsi="Arial"/>
                <w:sz w:val="20"/>
                <w:szCs w:val="20"/>
              </w:rPr>
              <w:t xml:space="preserve">, </w:t>
            </w:r>
            <w:r w:rsidR="00E350DC" w:rsidRPr="00243AB0">
              <w:rPr>
                <w:rFonts w:ascii="Arial" w:hAnsi="Arial"/>
                <w:b/>
                <w:bCs/>
                <w:sz w:val="20"/>
                <w:szCs w:val="20"/>
              </w:rPr>
              <w:t>III.ii.6.A.1</w:t>
            </w:r>
            <w:r w:rsidR="00243AB0" w:rsidRPr="00243AB0">
              <w:rPr>
                <w:rFonts w:ascii="Arial" w:hAnsi="Arial"/>
                <w:b/>
                <w:bCs/>
                <w:sz w:val="20"/>
                <w:szCs w:val="20"/>
              </w:rPr>
              <w:t>.h</w:t>
            </w:r>
          </w:p>
          <w:p w:rsidR="00061340" w:rsidRPr="00061340" w:rsidRDefault="00061340" w:rsidP="00F063AF">
            <w:pPr>
              <w:pStyle w:val="ListParagraph"/>
              <w:widowControl w:val="0"/>
              <w:numPr>
                <w:ilvl w:val="0"/>
                <w:numId w:val="138"/>
              </w:numPr>
              <w:spacing w:after="0"/>
              <w:rPr>
                <w:rFonts w:ascii="Arial" w:hAnsi="Arial"/>
                <w:sz w:val="20"/>
                <w:szCs w:val="20"/>
              </w:rPr>
            </w:pPr>
            <w:r w:rsidRPr="00061340">
              <w:rPr>
                <w:rFonts w:ascii="Arial" w:hAnsi="Arial"/>
                <w:sz w:val="20"/>
                <w:szCs w:val="20"/>
              </w:rPr>
              <w:t>Authorized travel to or from such duty or service</w:t>
            </w:r>
          </w:p>
          <w:p w:rsidR="00061340" w:rsidRPr="00DF206B" w:rsidRDefault="00061340" w:rsidP="00061340">
            <w:pPr>
              <w:widowControl w:val="0"/>
              <w:rPr>
                <w:i/>
              </w:rPr>
            </w:pPr>
            <w:r w:rsidRPr="00DF206B">
              <w:rPr>
                <w:i/>
              </w:rPr>
              <w:t>Also explains Active duty for training and Inactive duty training</w:t>
            </w:r>
          </w:p>
        </w:tc>
      </w:tr>
    </w:tbl>
    <w:p w:rsidR="00013EB8" w:rsidRDefault="00013EB8">
      <w:pPr>
        <w:widowControl w:val="0"/>
        <w:tabs>
          <w:tab w:val="left" w:pos="0"/>
          <w:tab w:val="left" w:pos="144"/>
        </w:tabs>
        <w:rPr>
          <w:sz w:val="22"/>
        </w:rPr>
      </w:pPr>
    </w:p>
    <w:p w:rsidR="00D37024" w:rsidRPr="00D37024" w:rsidRDefault="00D37024" w:rsidP="00D37024">
      <w:pPr>
        <w:widowControl w:val="0"/>
        <w:pBdr>
          <w:top w:val="single" w:sz="4" w:space="1" w:color="auto"/>
          <w:left w:val="single" w:sz="4" w:space="4" w:color="auto"/>
          <w:bottom w:val="single" w:sz="4" w:space="1" w:color="auto"/>
          <w:right w:val="single" w:sz="4" w:space="4" w:color="auto"/>
        </w:pBdr>
        <w:tabs>
          <w:tab w:val="left" w:pos="144"/>
          <w:tab w:val="left" w:pos="630"/>
        </w:tabs>
        <w:ind w:left="630"/>
      </w:pPr>
      <w:r w:rsidRPr="00D37024">
        <w:t xml:space="preserve">Note to File: Veteran was a Midshipman in the US Naval Academy from </w:t>
      </w:r>
      <w:r w:rsidR="00A46221">
        <w:t>{}</w:t>
      </w:r>
      <w:r w:rsidRPr="00D37024">
        <w:t xml:space="preserve"> to </w:t>
      </w:r>
      <w:r w:rsidR="00A46221">
        <w:t>{}</w:t>
      </w:r>
      <w:r w:rsidRPr="00D37024">
        <w:t>. Per 3.6, active duty means service "as a midshipman at the United States Naval Academy."</w:t>
      </w:r>
    </w:p>
    <w:p w:rsidR="00D37024" w:rsidRDefault="00D37024">
      <w:pPr>
        <w:widowControl w:val="0"/>
        <w:tabs>
          <w:tab w:val="left" w:pos="0"/>
          <w:tab w:val="left" w:pos="144"/>
        </w:tabs>
        <w:rPr>
          <w:sz w:val="22"/>
        </w:rPr>
      </w:pPr>
    </w:p>
    <w:p w:rsidR="00F2233D" w:rsidRPr="00F2233D" w:rsidRDefault="00F2233D" w:rsidP="00F2233D">
      <w:pPr>
        <w:widowControl w:val="0"/>
        <w:tabs>
          <w:tab w:val="left" w:pos="540"/>
          <w:tab w:val="left" w:pos="630"/>
        </w:tabs>
        <w:ind w:left="630"/>
      </w:pPr>
      <w:r w:rsidRPr="00F2233D">
        <w:rPr>
          <w:b/>
        </w:rPr>
        <w:t>III.iii.2.K.3.a</w:t>
      </w:r>
      <w:r w:rsidRPr="00F2233D">
        <w:t xml:space="preserve"> - On May 26, 2004, the Secretary of the Air Force denied “active duty” status for the U.S. Civilian Crewmembers of the </w:t>
      </w:r>
      <w:r w:rsidRPr="00F2233D">
        <w:rPr>
          <w:rStyle w:val="scrollhere"/>
        </w:rPr>
        <w:t>Flotilla</w:t>
      </w:r>
      <w:r w:rsidRPr="00F2233D">
        <w:t xml:space="preserve"> Alaska Barge and Transport Company who served overseas in Vietnam for the period of April 1966 through April 1975.</w:t>
      </w:r>
    </w:p>
    <w:p w:rsidR="00F2233D" w:rsidRDefault="00F2233D">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rPr>
          <w:trHeight w:val="270"/>
        </w:trPr>
        <w:tc>
          <w:tcPr>
            <w:tcW w:w="705" w:type="dxa"/>
            <w:tcBorders>
              <w:top w:val="nil"/>
              <w:left w:val="nil"/>
              <w:bottom w:val="nil"/>
              <w:right w:val="nil"/>
            </w:tcBorders>
          </w:tcPr>
          <w:p w:rsidR="00013EB8" w:rsidRDefault="00013EB8">
            <w:pPr>
              <w:widowControl w:val="0"/>
              <w:rPr>
                <w:b/>
              </w:rPr>
            </w:pPr>
            <w:r w:rsidRPr="00F673C9">
              <w:rPr>
                <w:b/>
              </w:rPr>
              <w:t>3.7</w:t>
            </w:r>
          </w:p>
        </w:tc>
        <w:tc>
          <w:tcPr>
            <w:tcW w:w="10270" w:type="dxa"/>
            <w:tcBorders>
              <w:top w:val="nil"/>
              <w:left w:val="nil"/>
              <w:bottom w:val="nil"/>
              <w:right w:val="nil"/>
            </w:tcBorders>
          </w:tcPr>
          <w:p w:rsidR="00013EB8" w:rsidRDefault="00013EB8" w:rsidP="00500090">
            <w:pPr>
              <w:widowControl w:val="0"/>
            </w:pPr>
            <w:r>
              <w:rPr>
                <w:b/>
              </w:rPr>
              <w:t>Individuals and groups considered to have performed active military, naval, or air service</w:t>
            </w:r>
          </w:p>
        </w:tc>
      </w:tr>
    </w:tbl>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F673C9">
              <w:rPr>
                <w:b/>
              </w:rPr>
              <w:t>3.654</w:t>
            </w:r>
          </w:p>
        </w:tc>
        <w:tc>
          <w:tcPr>
            <w:tcW w:w="10270" w:type="dxa"/>
            <w:tcBorders>
              <w:top w:val="nil"/>
              <w:left w:val="nil"/>
              <w:bottom w:val="nil"/>
              <w:right w:val="nil"/>
            </w:tcBorders>
          </w:tcPr>
          <w:p w:rsidR="00013EB8" w:rsidRDefault="00013EB8">
            <w:pPr>
              <w:widowControl w:val="0"/>
              <w:numPr>
                <w:ilvl w:val="12"/>
                <w:numId w:val="0"/>
              </w:numPr>
              <w:rPr>
                <w:b/>
              </w:rPr>
            </w:pPr>
            <w:r>
              <w:rPr>
                <w:b/>
              </w:rPr>
              <w:t>Active service pay</w:t>
            </w:r>
          </w:p>
          <w:p w:rsidR="00013EB8" w:rsidRDefault="00013EB8">
            <w:pPr>
              <w:widowControl w:val="0"/>
            </w:pPr>
            <w:r>
              <w:t>(b)(1) Where the veteran returns to active duty status, the award will be discontinued effective the day preceding reentrance into active duty status. If the exact date is not known, payments will be discontinued effective date of last payment and as of the correct date when the date of reentrance has been ascertained from the service department.</w:t>
            </w:r>
          </w:p>
          <w:p w:rsidR="00013EB8" w:rsidRDefault="00013EB8">
            <w:pPr>
              <w:widowControl w:val="0"/>
              <w:numPr>
                <w:ilvl w:val="12"/>
                <w:numId w:val="0"/>
              </w:numPr>
              <w:rPr>
                <w:b/>
              </w:rPr>
            </w:pPr>
          </w:p>
          <w:p w:rsidR="00013EB8" w:rsidRPr="00AF7F53" w:rsidRDefault="00013EB8" w:rsidP="00AF7F53">
            <w:pPr>
              <w:widowControl w:val="0"/>
            </w:pPr>
            <w:r>
              <w:t>(b)(2) Payments, if otherwise in order, will be resumed effective the day following release from active duty if claim for recommencement of payments is received within 1 year from the date of such release: otherwise payments will be resumed effective 1 year prior to the date of receipt of a new claim. Prior determinations of service connection will not be disturbed except as provided in §</w:t>
            </w:r>
            <w:r w:rsidRPr="00EC2F1C">
              <w:rPr>
                <w:b/>
              </w:rPr>
              <w:t>3.105</w:t>
            </w:r>
            <w:r>
              <w:t>. Compensation will be authorized based on the degree of disability found to exist at the time the award is resumed. Disability will be evaluated on the basis of all facts, including records from the service department relating to the most recent period of active service. If a disability is incurred or aggravated in the second period of service, compensation for that disability cannot be paid unless a claim therefore is filed.</w:t>
            </w:r>
          </w:p>
        </w:tc>
      </w:tr>
    </w:tbl>
    <w:p w:rsidR="005A4378" w:rsidRDefault="005A4378" w:rsidP="005A4378">
      <w:pPr>
        <w:pStyle w:val="Header"/>
        <w:widowControl w:val="0"/>
        <w:tabs>
          <w:tab w:val="clear" w:pos="4320"/>
          <w:tab w:val="clear" w:pos="8640"/>
        </w:tabs>
      </w:pPr>
    </w:p>
    <w:p w:rsidR="00AF7F53" w:rsidRPr="00AF7F53" w:rsidRDefault="00AF7F53" w:rsidP="00F063AF">
      <w:pPr>
        <w:pStyle w:val="ListParagraph"/>
        <w:widowControl w:val="0"/>
        <w:numPr>
          <w:ilvl w:val="0"/>
          <w:numId w:val="304"/>
        </w:numPr>
        <w:tabs>
          <w:tab w:val="left" w:pos="360"/>
        </w:tabs>
        <w:spacing w:after="120" w:line="240" w:lineRule="auto"/>
        <w:ind w:left="360"/>
        <w:rPr>
          <w:rFonts w:ascii="Arial" w:hAnsi="Arial"/>
          <w:sz w:val="18"/>
        </w:rPr>
      </w:pPr>
      <w:r w:rsidRPr="00AF7F53">
        <w:rPr>
          <w:rFonts w:ascii="Arial" w:hAnsi="Arial"/>
          <w:b/>
          <w:bCs/>
          <w:sz w:val="20"/>
        </w:rPr>
        <w:t xml:space="preserve">III.i.2.C - </w:t>
      </w:r>
      <w:r w:rsidRPr="00AF7F53">
        <w:rPr>
          <w:rFonts w:ascii="Arial" w:hAnsi="Arial"/>
          <w:sz w:val="20"/>
        </w:rPr>
        <w:t xml:space="preserve">Once the Veteran is released from active duty, VA may resume benefits immediately for any service-connected disability that is considered static.  (A disability is considered static </w:t>
      </w:r>
      <w:r w:rsidRPr="00AF7F53">
        <w:rPr>
          <w:rFonts w:ascii="Arial" w:hAnsi="Arial"/>
          <w:b/>
          <w:i/>
          <w:sz w:val="20"/>
        </w:rPr>
        <w:t>unless</w:t>
      </w:r>
      <w:r w:rsidRPr="00AF7F53">
        <w:rPr>
          <w:rFonts w:ascii="Arial" w:hAnsi="Arial"/>
          <w:sz w:val="20"/>
        </w:rPr>
        <w:t xml:space="preserve"> the prior rating decision indicates a routine, future examination of the disability is necessary.)  </w:t>
      </w:r>
      <w:r w:rsidRPr="00AF7F53">
        <w:rPr>
          <w:rFonts w:ascii="Arial" w:hAnsi="Arial"/>
          <w:b/>
          <w:bCs/>
          <w:i/>
          <w:iCs/>
          <w:sz w:val="20"/>
        </w:rPr>
        <w:t>Note</w:t>
      </w:r>
      <w:r w:rsidRPr="00AF7F53">
        <w:rPr>
          <w:rFonts w:ascii="Arial" w:hAnsi="Arial"/>
          <w:sz w:val="20"/>
        </w:rPr>
        <w:t xml:space="preserve">:  Rating activity must re-evaluate any </w:t>
      </w:r>
      <w:r w:rsidRPr="00AF7F53">
        <w:rPr>
          <w:rFonts w:ascii="Arial" w:hAnsi="Arial"/>
          <w:i/>
          <w:sz w:val="20"/>
        </w:rPr>
        <w:t>non-static</w:t>
      </w:r>
      <w:r w:rsidRPr="00AF7F53">
        <w:rPr>
          <w:rFonts w:ascii="Arial" w:hAnsi="Arial"/>
          <w:sz w:val="20"/>
        </w:rPr>
        <w:t xml:space="preserve"> disabilities.  </w:t>
      </w:r>
    </w:p>
    <w:p w:rsidR="00AF7F53" w:rsidRPr="004C02D9" w:rsidRDefault="00AF7F53" w:rsidP="00F063AF">
      <w:pPr>
        <w:pStyle w:val="ListParagraph"/>
        <w:widowControl w:val="0"/>
        <w:numPr>
          <w:ilvl w:val="0"/>
          <w:numId w:val="304"/>
        </w:numPr>
        <w:tabs>
          <w:tab w:val="left" w:pos="360"/>
        </w:tabs>
        <w:spacing w:after="120" w:line="240" w:lineRule="auto"/>
        <w:ind w:left="360"/>
        <w:rPr>
          <w:rFonts w:ascii="Arial" w:hAnsi="Arial"/>
          <w:sz w:val="20"/>
        </w:rPr>
      </w:pPr>
      <w:r w:rsidRPr="004C02D9">
        <w:rPr>
          <w:rFonts w:ascii="Arial" w:hAnsi="Arial"/>
          <w:b/>
          <w:sz w:val="20"/>
        </w:rPr>
        <w:t>III.iv.8.C.1.n</w:t>
      </w:r>
      <w:r>
        <w:rPr>
          <w:rFonts w:ascii="Arial" w:hAnsi="Arial"/>
          <w:sz w:val="20"/>
        </w:rPr>
        <w:t xml:space="preserve"> – evaluation not protected while back on active duty</w:t>
      </w:r>
    </w:p>
    <w:p w:rsidR="005A4378" w:rsidRDefault="005A4378" w:rsidP="00F063AF">
      <w:pPr>
        <w:pStyle w:val="ListParagraph"/>
        <w:widowControl w:val="0"/>
        <w:numPr>
          <w:ilvl w:val="0"/>
          <w:numId w:val="304"/>
        </w:numPr>
        <w:tabs>
          <w:tab w:val="left" w:pos="360"/>
        </w:tabs>
        <w:spacing w:after="120" w:line="240" w:lineRule="auto"/>
        <w:ind w:left="360"/>
        <w:rPr>
          <w:rFonts w:ascii="Arial" w:hAnsi="Arial"/>
          <w:sz w:val="20"/>
        </w:rPr>
      </w:pPr>
      <w:r w:rsidRPr="004C02D9">
        <w:rPr>
          <w:rFonts w:ascii="Arial" w:hAnsi="Arial"/>
          <w:b/>
          <w:sz w:val="20"/>
        </w:rPr>
        <w:t>III.v.4.C.6.c</w:t>
      </w:r>
      <w:r w:rsidR="007977F6">
        <w:rPr>
          <w:rFonts w:ascii="Arial" w:hAnsi="Arial"/>
          <w:sz w:val="20"/>
        </w:rPr>
        <w:t xml:space="preserve"> – changed 6/13/16</w:t>
      </w:r>
      <w:r w:rsidR="000D5145">
        <w:rPr>
          <w:rFonts w:ascii="Arial" w:hAnsi="Arial"/>
          <w:sz w:val="20"/>
        </w:rPr>
        <w:t xml:space="preserve">, </w:t>
      </w:r>
      <w:r w:rsidRPr="004C02D9">
        <w:rPr>
          <w:rFonts w:ascii="Arial" w:hAnsi="Arial"/>
          <w:sz w:val="20"/>
        </w:rPr>
        <w:t xml:space="preserve">Preparation of a rating decision that reflects loss of entitlement to benefits based on a Veteran’s return to active duty is </w:t>
      </w:r>
      <w:r w:rsidRPr="004C02D9">
        <w:rPr>
          <w:rFonts w:ascii="Arial" w:hAnsi="Arial"/>
          <w:b/>
          <w:i/>
          <w:sz w:val="20"/>
        </w:rPr>
        <w:t>not</w:t>
      </w:r>
      <w:r w:rsidRPr="004C02D9">
        <w:rPr>
          <w:rFonts w:ascii="Arial" w:hAnsi="Arial"/>
          <w:sz w:val="20"/>
        </w:rPr>
        <w:t xml:space="preserve"> necessary.  Discontinue benefits by award action, making the appropriate entries on the BASIC ELIGIBILITY tab in VETSNET or VBMS Awards.</w:t>
      </w:r>
    </w:p>
    <w:p w:rsidR="00AF7F53" w:rsidRDefault="00AF7F53" w:rsidP="00F063AF">
      <w:pPr>
        <w:pStyle w:val="Header"/>
        <w:widowControl w:val="0"/>
        <w:numPr>
          <w:ilvl w:val="0"/>
          <w:numId w:val="304"/>
        </w:numPr>
        <w:tabs>
          <w:tab w:val="clear" w:pos="4320"/>
          <w:tab w:val="clear" w:pos="8640"/>
        </w:tabs>
        <w:spacing w:after="120"/>
        <w:ind w:left="360"/>
      </w:pPr>
      <w:r>
        <w:t xml:space="preserve">Per VA Pulse, </w:t>
      </w:r>
      <w:r w:rsidRPr="006E501E">
        <w:rPr>
          <w:i/>
        </w:rPr>
        <w:t>https://www.vapulse.net/thread/3254</w:t>
      </w:r>
      <w:r>
        <w:rPr>
          <w:i/>
        </w:rPr>
        <w:t xml:space="preserve">, </w:t>
      </w:r>
      <w:r>
        <w:t xml:space="preserve">a request to resume benefits is not considered a claim for benefits and therefore does not require any particular form, </w:t>
      </w:r>
      <w:r w:rsidRPr="00632D62">
        <w:rPr>
          <w:b/>
        </w:rPr>
        <w:t>III.v.4.C.6.f &amp; g</w:t>
      </w:r>
      <w:r>
        <w:rPr>
          <w:b/>
        </w:rPr>
        <w:t>, IV.ii</w:t>
      </w:r>
      <w:r w:rsidRPr="00DD4DCE">
        <w:rPr>
          <w:b/>
        </w:rPr>
        <w:t>.</w:t>
      </w:r>
      <w:r>
        <w:rPr>
          <w:b/>
        </w:rPr>
        <w:t>2</w:t>
      </w:r>
      <w:r w:rsidRPr="00DD4DCE">
        <w:rPr>
          <w:b/>
        </w:rPr>
        <w:t>.</w:t>
      </w:r>
      <w:r>
        <w:rPr>
          <w:b/>
        </w:rPr>
        <w:t>A.3.f</w:t>
      </w:r>
    </w:p>
    <w:p w:rsidR="005A4378" w:rsidRPr="004C02D9" w:rsidRDefault="005A4378" w:rsidP="00F063AF">
      <w:pPr>
        <w:pStyle w:val="ListParagraph"/>
        <w:widowControl w:val="0"/>
        <w:numPr>
          <w:ilvl w:val="0"/>
          <w:numId w:val="304"/>
        </w:numPr>
        <w:tabs>
          <w:tab w:val="left" w:pos="360"/>
        </w:tabs>
        <w:spacing w:after="120"/>
        <w:ind w:left="360"/>
        <w:rPr>
          <w:rFonts w:ascii="Arial" w:hAnsi="Arial"/>
          <w:b/>
          <w:bCs/>
          <w:i/>
          <w:sz w:val="20"/>
        </w:rPr>
      </w:pPr>
      <w:r w:rsidRPr="004C02D9">
        <w:rPr>
          <w:rFonts w:ascii="Arial" w:hAnsi="Arial"/>
          <w:b/>
          <w:bCs/>
          <w:i/>
          <w:sz w:val="20"/>
        </w:rPr>
        <w:t xml:space="preserve">June 2016 </w:t>
      </w:r>
      <w:r w:rsidRPr="004C02D9">
        <w:rPr>
          <w:rFonts w:ascii="Arial" w:hAnsi="Arial"/>
          <w:b/>
          <w:i/>
          <w:sz w:val="20"/>
        </w:rPr>
        <w:t>Compensation Service Bulletin (CSB)</w:t>
      </w:r>
      <w:r w:rsidRPr="004C02D9">
        <w:rPr>
          <w:rFonts w:ascii="Arial" w:hAnsi="Arial"/>
          <w:i/>
          <w:sz w:val="20"/>
        </w:rPr>
        <w:t xml:space="preserve"> &amp; </w:t>
      </w:r>
      <w:hyperlink r:id="rId381" w:history="1">
        <w:r w:rsidR="0094438B" w:rsidRPr="004C02D9">
          <w:rPr>
            <w:rStyle w:val="Hyperlink"/>
            <w:rFonts w:ascii="Arial" w:hAnsi="Arial"/>
            <w:b/>
            <w:bCs/>
            <w:i/>
            <w:sz w:val="20"/>
          </w:rPr>
          <w:t>June 2016 Quality Call Notes</w:t>
        </w:r>
      </w:hyperlink>
      <w:r w:rsidRPr="004C02D9">
        <w:rPr>
          <w:rFonts w:ascii="Arial" w:hAnsi="Arial"/>
          <w:i/>
          <w:sz w:val="20"/>
        </w:rPr>
        <w:t>–</w:t>
      </w:r>
    </w:p>
    <w:p w:rsidR="005A4378" w:rsidRPr="00632D62" w:rsidRDefault="005A4378" w:rsidP="00F063AF">
      <w:pPr>
        <w:numPr>
          <w:ilvl w:val="0"/>
          <w:numId w:val="292"/>
        </w:numPr>
        <w:tabs>
          <w:tab w:val="clear" w:pos="720"/>
          <w:tab w:val="num" w:pos="681"/>
        </w:tabs>
        <w:overflowPunct/>
        <w:autoSpaceDE/>
        <w:autoSpaceDN/>
        <w:adjustRightInd/>
        <w:spacing w:after="120"/>
        <w:ind w:left="681" w:hanging="321"/>
        <w:textAlignment w:val="auto"/>
        <w:rPr>
          <w:lang w:val="en"/>
        </w:rPr>
      </w:pPr>
      <w:r w:rsidRPr="00632D62">
        <w:rPr>
          <w:rFonts w:eastAsiaTheme="majorEastAsia" w:cstheme="majorBidi"/>
        </w:rPr>
        <w:t xml:space="preserve">First, return to active duty and return from active duty adjustments will be made in the Awards application (VBMS or VETSNET) only. Coding these types of adjustments into the rating decision using the </w:t>
      </w:r>
      <w:r w:rsidRPr="00632D62">
        <w:rPr>
          <w:rFonts w:eastAsiaTheme="majorEastAsia" w:cstheme="majorBidi"/>
          <w:i/>
          <w:iCs/>
        </w:rPr>
        <w:t>Active Duty – Discontinue</w:t>
      </w:r>
      <w:r w:rsidRPr="00632D62">
        <w:rPr>
          <w:rFonts w:eastAsiaTheme="majorEastAsia" w:cstheme="majorBidi"/>
        </w:rPr>
        <w:t xml:space="preserve"> selection will no longer be authorized. This selection will be removed from VBMS-Rating as part of a future release. Field users will instead make the adjustment through the </w:t>
      </w:r>
      <w:r w:rsidRPr="00632D62">
        <w:rPr>
          <w:rFonts w:eastAsiaTheme="majorEastAsia" w:cstheme="majorBidi"/>
          <w:i/>
          <w:iCs/>
        </w:rPr>
        <w:t>Basic Eligibility</w:t>
      </w:r>
      <w:r w:rsidRPr="00632D62">
        <w:rPr>
          <w:rFonts w:eastAsiaTheme="majorEastAsia" w:cstheme="majorBidi"/>
        </w:rPr>
        <w:t xml:space="preserve"> tab within the Awards application.</w:t>
      </w:r>
    </w:p>
    <w:p w:rsidR="005A4378" w:rsidRPr="00632D62" w:rsidRDefault="005A4378" w:rsidP="00F063AF">
      <w:pPr>
        <w:numPr>
          <w:ilvl w:val="0"/>
          <w:numId w:val="292"/>
        </w:numPr>
        <w:tabs>
          <w:tab w:val="clear" w:pos="720"/>
          <w:tab w:val="num" w:pos="681"/>
        </w:tabs>
        <w:overflowPunct/>
        <w:autoSpaceDE/>
        <w:autoSpaceDN/>
        <w:adjustRightInd/>
        <w:spacing w:after="120"/>
        <w:ind w:left="681" w:hanging="321"/>
        <w:textAlignment w:val="auto"/>
        <w:rPr>
          <w:lang w:val="en"/>
        </w:rPr>
      </w:pPr>
      <w:r w:rsidRPr="00632D62">
        <w:rPr>
          <w:rFonts w:eastAsiaTheme="majorEastAsia" w:cstheme="majorBidi"/>
        </w:rPr>
        <w:t>Second, when the Veteran returns from active duty and requests reinstatement of benefits, the Veteran’s entire award (static and non-static conditions) will be reinstated. Historically, VA has only reinstated benefits for static conditions and has delayed resumption of benefits for non-static conditions pending a reevaluation of those conditions. Reevaluation of non-static conditions will continue to occur, however, resumption of benefits for those conditions will not require the re-evaluation to be completed prior to this action being taken.</w:t>
      </w:r>
    </w:p>
    <w:p w:rsidR="005A4378" w:rsidRPr="004B1D68" w:rsidRDefault="005A4378" w:rsidP="00F063AF">
      <w:pPr>
        <w:numPr>
          <w:ilvl w:val="0"/>
          <w:numId w:val="292"/>
        </w:numPr>
        <w:tabs>
          <w:tab w:val="clear" w:pos="720"/>
          <w:tab w:val="num" w:pos="681"/>
        </w:tabs>
        <w:overflowPunct/>
        <w:autoSpaceDE/>
        <w:autoSpaceDN/>
        <w:adjustRightInd/>
        <w:spacing w:after="120"/>
        <w:ind w:left="681" w:hanging="321"/>
        <w:textAlignment w:val="auto"/>
        <w:rPr>
          <w:rFonts w:cs="Segoe UI"/>
          <w:bCs/>
          <w:i/>
          <w:color w:val="666666"/>
          <w:sz w:val="22"/>
          <w:szCs w:val="22"/>
        </w:rPr>
      </w:pPr>
      <w:r w:rsidRPr="004B1D68">
        <w:rPr>
          <w:rFonts w:eastAsiaTheme="majorEastAsia" w:cstheme="majorBidi"/>
        </w:rPr>
        <w:t>Third, when determining which non-static conditions to reevaluate, field personnel should only request a reevaluation for non-static conditions that were subject to reevaluation during the Veteran’s period of active duty and through the date that the action to resume benefits is being taken. Historically, VA has reevaluated all non-static conditions, regardless of when the proposed reevaluation was scheduled to occur.</w:t>
      </w:r>
    </w:p>
    <w:p w:rsidR="005A4378" w:rsidRDefault="005A4378" w:rsidP="00F063AF">
      <w:pPr>
        <w:numPr>
          <w:ilvl w:val="0"/>
          <w:numId w:val="292"/>
        </w:numPr>
        <w:tabs>
          <w:tab w:val="clear" w:pos="720"/>
          <w:tab w:val="num" w:pos="681"/>
        </w:tabs>
        <w:overflowPunct/>
        <w:autoSpaceDE/>
        <w:autoSpaceDN/>
        <w:adjustRightInd/>
        <w:spacing w:after="120"/>
        <w:ind w:left="681" w:hanging="321"/>
        <w:textAlignment w:val="auto"/>
        <w:rPr>
          <w:rStyle w:val="imsender1"/>
          <w:rFonts w:ascii="Arial" w:hAnsi="Arial"/>
          <w:b w:val="0"/>
          <w:i/>
          <w:color w:val="auto"/>
          <w:sz w:val="20"/>
          <w:szCs w:val="22"/>
        </w:rPr>
      </w:pPr>
      <w:r w:rsidRPr="004B1D68">
        <w:rPr>
          <w:rStyle w:val="imsender1"/>
          <w:rFonts w:ascii="Arial" w:hAnsi="Arial"/>
          <w:b w:val="0"/>
          <w:i/>
          <w:color w:val="auto"/>
          <w:sz w:val="20"/>
          <w:szCs w:val="22"/>
        </w:rPr>
        <w:t>If a previous rating decision included an active duty adjustment (</w:t>
      </w:r>
      <w:r w:rsidRPr="004B1D68">
        <w:rPr>
          <w:rStyle w:val="imsender1"/>
          <w:rFonts w:ascii="Arial" w:hAnsi="Arial"/>
          <w:b w:val="0"/>
          <w:color w:val="auto"/>
          <w:sz w:val="20"/>
          <w:szCs w:val="22"/>
        </w:rPr>
        <w:t>Active Duty – Discontinuance</w:t>
      </w:r>
      <w:r w:rsidRPr="004B1D68">
        <w:rPr>
          <w:rStyle w:val="imsender1"/>
          <w:rFonts w:ascii="Arial" w:hAnsi="Arial"/>
          <w:b w:val="0"/>
          <w:i/>
          <w:color w:val="auto"/>
          <w:sz w:val="20"/>
          <w:szCs w:val="22"/>
        </w:rPr>
        <w:t xml:space="preserve">), the RVSR should remove those adjustments from the code sheet, and the active duty adjustment should be applied within the Awards application under the </w:t>
      </w:r>
      <w:r w:rsidRPr="004B1D68">
        <w:rPr>
          <w:rStyle w:val="imsender1"/>
          <w:rFonts w:ascii="Arial" w:hAnsi="Arial"/>
          <w:b w:val="0"/>
          <w:color w:val="auto"/>
          <w:sz w:val="20"/>
          <w:szCs w:val="22"/>
        </w:rPr>
        <w:t>Basic Eligibility</w:t>
      </w:r>
      <w:r w:rsidRPr="004B1D68">
        <w:rPr>
          <w:rStyle w:val="imsender1"/>
          <w:rFonts w:ascii="Arial" w:hAnsi="Arial"/>
          <w:b w:val="0"/>
          <w:i/>
          <w:color w:val="auto"/>
          <w:sz w:val="20"/>
          <w:szCs w:val="22"/>
        </w:rPr>
        <w:t xml:space="preserve"> tab.</w:t>
      </w:r>
    </w:p>
    <w:p w:rsidR="00382FE9" w:rsidRPr="004C02D9" w:rsidRDefault="00AC433A" w:rsidP="00F063AF">
      <w:pPr>
        <w:pStyle w:val="ListParagraph"/>
        <w:numPr>
          <w:ilvl w:val="0"/>
          <w:numId w:val="305"/>
        </w:numPr>
        <w:spacing w:after="120"/>
        <w:ind w:left="360"/>
        <w:rPr>
          <w:rFonts w:ascii="Arial" w:hAnsi="Arial"/>
          <w:sz w:val="20"/>
        </w:rPr>
      </w:pPr>
      <w:r>
        <w:rPr>
          <w:rFonts w:ascii="Arial" w:hAnsi="Arial"/>
          <w:b/>
          <w:sz w:val="20"/>
        </w:rPr>
        <w:t>IV.ii.2.A.4</w:t>
      </w:r>
      <w:r w:rsidR="007977F6">
        <w:rPr>
          <w:rFonts w:ascii="Arial" w:hAnsi="Arial"/>
          <w:sz w:val="20"/>
        </w:rPr>
        <w:t xml:space="preserve"> – changed 8/11/16</w:t>
      </w:r>
      <w:r w:rsidR="000D5145">
        <w:rPr>
          <w:rFonts w:ascii="Arial" w:hAnsi="Arial"/>
          <w:sz w:val="20"/>
        </w:rPr>
        <w:t xml:space="preserve">, </w:t>
      </w:r>
      <w:r w:rsidR="00382FE9" w:rsidRPr="004C02D9">
        <w:rPr>
          <w:rFonts w:ascii="Arial" w:hAnsi="Arial"/>
          <w:sz w:val="20"/>
        </w:rPr>
        <w:t>Evaluating Pending Claims When a Veteran Returns to Active Duty; if all issues require deferral, do not issue a rating decision, instead initiate deferral action in VBMS</w:t>
      </w:r>
      <w:r w:rsidR="00382FE9" w:rsidRPr="004C02D9">
        <w:rPr>
          <w:rFonts w:ascii="Arial" w:hAnsi="Arial"/>
          <w:i/>
          <w:sz w:val="20"/>
        </w:rPr>
        <w:t xml:space="preserve">; </w:t>
      </w:r>
      <w:r w:rsidR="00382FE9" w:rsidRPr="004C02D9">
        <w:rPr>
          <w:rFonts w:ascii="Arial" w:hAnsi="Arial"/>
          <w:sz w:val="20"/>
        </w:rPr>
        <w:t>if can grant at least one issue, but have to defer another/others</w:t>
      </w:r>
      <w:r w:rsidR="008467B8">
        <w:rPr>
          <w:rFonts w:ascii="Arial" w:hAnsi="Arial"/>
          <w:sz w:val="20"/>
        </w:rPr>
        <w:t xml:space="preserve"> </w:t>
      </w:r>
      <w:r w:rsidR="008467B8">
        <w:rPr>
          <w:rFonts w:ascii="Arial" w:hAnsi="Arial"/>
          <w:sz w:val="20"/>
          <w:szCs w:val="20"/>
        </w:rPr>
        <w:t>(add to Reasons for Decision):</w:t>
      </w:r>
    </w:p>
    <w:p w:rsidR="004C02D9" w:rsidRDefault="00382FE9" w:rsidP="00AF7F53">
      <w:pPr>
        <w:overflowPunct/>
        <w:autoSpaceDE/>
        <w:autoSpaceDN/>
        <w:adjustRightInd/>
        <w:spacing w:after="120"/>
        <w:ind w:left="450"/>
        <w:textAlignment w:val="auto"/>
      </w:pPr>
      <w:r w:rsidRPr="00382FE9">
        <w:rPr>
          <w:i/>
        </w:rPr>
        <w:t>The issue of compensation for {} is deferred for the following information:  further development of the claim.  Due to your return to active duty, we are unable to obtain [</w:t>
      </w:r>
      <w:r w:rsidRPr="00382FE9">
        <w:rPr>
          <w:b/>
          <w:i/>
        </w:rPr>
        <w:t>insert development that cannot be undertaken]</w:t>
      </w:r>
      <w:r w:rsidRPr="00382FE9">
        <w:rPr>
          <w:i/>
        </w:rPr>
        <w:t>.  Action on your claim is suspended until your release from active duty.</w:t>
      </w:r>
      <w:r w:rsidR="00AD085E">
        <w:t xml:space="preserve"> </w:t>
      </w:r>
    </w:p>
    <w:p w:rsidR="00A343B9" w:rsidRDefault="00AC433A" w:rsidP="00AF7F53">
      <w:pPr>
        <w:overflowPunct/>
        <w:autoSpaceDE/>
        <w:autoSpaceDN/>
        <w:adjustRightInd/>
        <w:spacing w:after="120"/>
        <w:ind w:left="450"/>
        <w:textAlignment w:val="auto"/>
        <w:rPr>
          <w:sz w:val="22"/>
        </w:rPr>
      </w:pPr>
      <w:r>
        <w:rPr>
          <w:b/>
        </w:rPr>
        <w:t>IV.ii.2.A.4</w:t>
      </w:r>
      <w:r w:rsidR="00A343B9">
        <w:rPr>
          <w:b/>
        </w:rPr>
        <w:t xml:space="preserve">.c – </w:t>
      </w:r>
      <w:r w:rsidR="00A343B9" w:rsidRPr="00A343B9">
        <w:t>can defer ALL issues in a RD, do not do a deferral in VBMS</w:t>
      </w:r>
      <w:r w:rsidR="00A343B9">
        <w:t xml:space="preserve"> (exception to </w:t>
      </w:r>
      <w:r w:rsidR="007B616C">
        <w:t>partial</w:t>
      </w:r>
      <w:r w:rsidR="00A343B9">
        <w:t xml:space="preserve"> rating policy); </w:t>
      </w:r>
      <w:r>
        <w:rPr>
          <w:b/>
        </w:rPr>
        <w:t>IV.ii.2.A.4</w:t>
      </w:r>
      <w:r w:rsidR="00A343B9">
        <w:rPr>
          <w:b/>
        </w:rPr>
        <w:t xml:space="preserve">.f – </w:t>
      </w:r>
      <w:r w:rsidR="00A343B9" w:rsidRPr="00A343B9">
        <w:t>if claim abandoned &amp; deferred issues remain on codesheet when get subsequent claim to reopen, deferred issues should be changed to denied</w:t>
      </w:r>
    </w:p>
    <w:p w:rsidR="00013EB8" w:rsidRDefault="00013EB8">
      <w:pPr>
        <w:widowControl w:val="0"/>
        <w:pBdr>
          <w:top w:val="single" w:sz="4" w:space="1" w:color="auto"/>
        </w:pBdr>
        <w:tabs>
          <w:tab w:val="left" w:pos="0"/>
        </w:tabs>
        <w:rPr>
          <w:b/>
          <w:bCs/>
          <w:i/>
          <w:iCs/>
          <w:sz w:val="22"/>
        </w:rPr>
      </w:pPr>
    </w:p>
    <w:p w:rsidR="00013EB8" w:rsidRDefault="00013EB8">
      <w:pPr>
        <w:widowControl w:val="0"/>
        <w:tabs>
          <w:tab w:val="left" w:pos="0"/>
        </w:tabs>
        <w:rPr>
          <w:b/>
          <w:bCs/>
          <w:i/>
          <w:iCs/>
          <w:sz w:val="22"/>
        </w:rPr>
      </w:pPr>
      <w:bookmarkStart w:id="79" w:name="elevenfiftyone"/>
      <w:r>
        <w:rPr>
          <w:b/>
          <w:bCs/>
          <w:i/>
          <w:iCs/>
          <w:sz w:val="22"/>
        </w:rPr>
        <w:t>115</w:t>
      </w:r>
      <w:bookmarkEnd w:id="79"/>
      <w:r w:rsidR="00517098">
        <w:rPr>
          <w:b/>
          <w:bCs/>
          <w:i/>
          <w:iCs/>
          <w:sz w:val="22"/>
        </w:rPr>
        <w:t>1 –</w:t>
      </w:r>
    </w:p>
    <w:p w:rsidR="00517098" w:rsidRDefault="00517098">
      <w:pPr>
        <w:widowControl w:val="0"/>
        <w:tabs>
          <w:tab w:val="left" w:pos="0"/>
        </w:tabs>
        <w:rPr>
          <w:sz w:val="22"/>
        </w:rPr>
      </w:pPr>
    </w:p>
    <w:p w:rsidR="001D615F" w:rsidRDefault="00366986" w:rsidP="008F45D0">
      <w:pPr>
        <w:widowControl w:val="0"/>
        <w:spacing w:after="120"/>
        <w:rPr>
          <w:rFonts w:ascii="Verdana" w:hAnsi="Verdana"/>
          <w:b/>
          <w:bCs/>
          <w:highlight w:val="green"/>
        </w:rPr>
      </w:pPr>
      <w:r>
        <w:rPr>
          <w:rFonts w:ascii="Verdana" w:hAnsi="Verdana"/>
          <w:b/>
          <w:bCs/>
          <w:highlight w:val="green"/>
        </w:rPr>
        <w:t>HT1</w:t>
      </w:r>
    </w:p>
    <w:p w:rsidR="008F45D0" w:rsidRDefault="009F5F0C" w:rsidP="008F45D0">
      <w:pPr>
        <w:widowControl w:val="0"/>
        <w:spacing w:after="120"/>
        <w:rPr>
          <w:rFonts w:ascii="Verdana" w:hAnsi="Verdana"/>
          <w:b/>
          <w:bCs/>
        </w:rPr>
      </w:pPr>
      <w:r>
        <w:rPr>
          <w:rFonts w:ascii="Verdana" w:hAnsi="Verdana"/>
          <w:b/>
          <w:bCs/>
          <w:highlight w:val="green"/>
        </w:rPr>
        <w:t>HT2</w:t>
      </w: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rsidRPr="0007669E">
        <w:tc>
          <w:tcPr>
            <w:tcW w:w="705" w:type="dxa"/>
            <w:tcBorders>
              <w:top w:val="nil"/>
              <w:left w:val="nil"/>
              <w:bottom w:val="nil"/>
              <w:right w:val="nil"/>
            </w:tcBorders>
          </w:tcPr>
          <w:p w:rsidR="00013EB8" w:rsidRPr="0007669E" w:rsidRDefault="00013EB8">
            <w:pPr>
              <w:widowControl w:val="0"/>
              <w:numPr>
                <w:ilvl w:val="12"/>
                <w:numId w:val="0"/>
              </w:numPr>
              <w:rPr>
                <w:b/>
              </w:rPr>
            </w:pPr>
            <w:r w:rsidRPr="0007669E">
              <w:rPr>
                <w:b/>
              </w:rPr>
              <w:t>3.358</w:t>
            </w:r>
          </w:p>
        </w:tc>
        <w:tc>
          <w:tcPr>
            <w:tcW w:w="10270" w:type="dxa"/>
            <w:tcBorders>
              <w:top w:val="nil"/>
              <w:left w:val="nil"/>
              <w:bottom w:val="nil"/>
              <w:right w:val="nil"/>
            </w:tcBorders>
          </w:tcPr>
          <w:p w:rsidR="00013EB8" w:rsidRPr="0007669E" w:rsidRDefault="00013EB8">
            <w:pPr>
              <w:widowControl w:val="0"/>
              <w:numPr>
                <w:ilvl w:val="12"/>
                <w:numId w:val="0"/>
              </w:numPr>
              <w:spacing w:after="120"/>
            </w:pPr>
            <w:r w:rsidRPr="0007669E">
              <w:rPr>
                <w:b/>
              </w:rPr>
              <w:t>Compensation for disability or death from hospitalization, medical or surgical treatment, examinations or vocational rehabilitation training (§3.800)</w:t>
            </w:r>
            <w:r w:rsidRPr="0007669E">
              <w:t xml:space="preserve"> – </w:t>
            </w:r>
            <w:r w:rsidRPr="0007669E">
              <w:rPr>
                <w:i/>
              </w:rPr>
              <w:t>called 1151; eff 10/7/97, effective date is date injury or aggravation was suffered, if claim is received within 1 year after that date; otherwise, effective date is date of receipt of claim</w:t>
            </w:r>
          </w:p>
          <w:p w:rsidR="00013EB8" w:rsidRPr="0007669E" w:rsidRDefault="00013EB8" w:rsidP="00333C92">
            <w:pPr>
              <w:widowControl w:val="0"/>
              <w:numPr>
                <w:ilvl w:val="0"/>
                <w:numId w:val="62"/>
              </w:numPr>
              <w:spacing w:after="120"/>
              <w:rPr>
                <w:b/>
                <w:iCs/>
              </w:rPr>
            </w:pPr>
            <w:r w:rsidRPr="0007669E">
              <w:rPr>
                <w:b/>
                <w:iCs/>
              </w:rPr>
              <w:t xml:space="preserve">3.400(i) </w:t>
            </w:r>
          </w:p>
          <w:p w:rsidR="00013EB8" w:rsidRPr="0007669E" w:rsidRDefault="00013EB8" w:rsidP="00333C92">
            <w:pPr>
              <w:widowControl w:val="0"/>
              <w:numPr>
                <w:ilvl w:val="0"/>
                <w:numId w:val="62"/>
              </w:numPr>
              <w:spacing w:after="120"/>
              <w:rPr>
                <w:b/>
                <w:i/>
              </w:rPr>
            </w:pPr>
            <w:r w:rsidRPr="0007669E">
              <w:rPr>
                <w:b/>
                <w:iCs/>
              </w:rPr>
              <w:t>3.800</w:t>
            </w:r>
          </w:p>
          <w:p w:rsidR="0007669E" w:rsidRPr="0007669E" w:rsidRDefault="0007669E" w:rsidP="00333C92">
            <w:pPr>
              <w:widowControl w:val="0"/>
              <w:numPr>
                <w:ilvl w:val="0"/>
                <w:numId w:val="62"/>
              </w:numPr>
              <w:spacing w:after="120"/>
              <w:rPr>
                <w:b/>
                <w:i/>
              </w:rPr>
            </w:pPr>
            <w:r w:rsidRPr="0007669E">
              <w:rPr>
                <w:b/>
              </w:rPr>
              <w:t>III.iv.3.A.7.g</w:t>
            </w:r>
            <w:r w:rsidR="00715EAF">
              <w:t> </w:t>
            </w:r>
            <w:r w:rsidRPr="0007669E">
              <w:t>Instructions for Providing Medical Opinions – Claims Under 38 U.S.C. 1151</w:t>
            </w:r>
          </w:p>
          <w:p w:rsidR="00717686" w:rsidRPr="0007669E" w:rsidRDefault="00717686" w:rsidP="00333C92">
            <w:pPr>
              <w:widowControl w:val="0"/>
              <w:numPr>
                <w:ilvl w:val="0"/>
                <w:numId w:val="62"/>
              </w:numPr>
              <w:spacing w:after="120"/>
              <w:rPr>
                <w:i/>
              </w:rPr>
            </w:pPr>
            <w:r w:rsidRPr="0007669E">
              <w:rPr>
                <w:b/>
                <w:bCs/>
              </w:rPr>
              <w:t>IV.ii.1.A</w:t>
            </w:r>
          </w:p>
          <w:p w:rsidR="00013EB8" w:rsidRPr="0007669E" w:rsidRDefault="00013EB8" w:rsidP="00333C92">
            <w:pPr>
              <w:widowControl w:val="0"/>
              <w:numPr>
                <w:ilvl w:val="0"/>
                <w:numId w:val="62"/>
              </w:numPr>
              <w:spacing w:after="120"/>
              <w:rPr>
                <w:i/>
              </w:rPr>
            </w:pPr>
            <w:r w:rsidRPr="0007669E">
              <w:rPr>
                <w:b/>
                <w:bCs/>
              </w:rPr>
              <w:t>IV.ii.2.G</w:t>
            </w:r>
            <w:r w:rsidR="00646043" w:rsidRPr="0007669E">
              <w:rPr>
                <w:b/>
                <w:bCs/>
              </w:rPr>
              <w:t xml:space="preserve"> – IV.ii.2.G.1.e </w:t>
            </w:r>
            <w:r w:rsidR="00646043" w:rsidRPr="0007669E">
              <w:rPr>
                <w:bCs/>
              </w:rPr>
              <w:t xml:space="preserve">says </w:t>
            </w:r>
            <w:r w:rsidR="00732A9D" w:rsidRPr="0007669E">
              <w:rPr>
                <w:bCs/>
              </w:rPr>
              <w:t xml:space="preserve">no 1151 for </w:t>
            </w:r>
            <w:r w:rsidR="00646043" w:rsidRPr="0007669E">
              <w:t>medical procedure performed by a non-VA physician in a non-VA facility even if a VA physician had rendered recommendation or advice concerning such procedure</w:t>
            </w:r>
            <w:r w:rsidR="00863582">
              <w:t>, with a few exceptions (under IV.ii.2.G.3.f-h)</w:t>
            </w:r>
            <w:r w:rsidR="00646043" w:rsidRPr="0007669E">
              <w:t xml:space="preserve">.  </w:t>
            </w:r>
            <w:r w:rsidR="00732A9D" w:rsidRPr="0007669E">
              <w:rPr>
                <w:i/>
              </w:rPr>
              <w:t>Ollis v. McDonald</w:t>
            </w:r>
            <w:r w:rsidR="00732A9D" w:rsidRPr="0007669E">
              <w:t xml:space="preserve"> (10/15/15)</w:t>
            </w:r>
          </w:p>
          <w:p w:rsidR="00013EB8" w:rsidRPr="0007669E" w:rsidRDefault="00013EB8" w:rsidP="00F063AF">
            <w:pPr>
              <w:widowControl w:val="0"/>
              <w:numPr>
                <w:ilvl w:val="0"/>
                <w:numId w:val="233"/>
              </w:numPr>
              <w:spacing w:after="120"/>
              <w:ind w:left="330"/>
            </w:pPr>
            <w:r w:rsidRPr="0007669E">
              <w:rPr>
                <w:b/>
                <w:i/>
              </w:rPr>
              <w:t xml:space="preserve">VAOPGCPREC 3-2004 </w:t>
            </w:r>
            <w:r w:rsidRPr="0007669E">
              <w:t>(3/9/04)</w:t>
            </w:r>
            <w:r w:rsidR="00F863FB" w:rsidRPr="0007669E">
              <w:rPr>
                <w:b/>
                <w:i/>
              </w:rPr>
              <w:t xml:space="preserve"> </w:t>
            </w:r>
            <w:r w:rsidRPr="0007669E">
              <w:t>- A veteran's entitlement under section 1151(a) to compensation for a disability “as if” service connected does not satisfy 38 U.S.C. 3901(1)(A)'s requirement, for eligibility for automobile benefits under chapter 39 of title 38, United States Code, of entitlement to compensation under chapter 11 for a disability that “is the result of an injury incurred or disease contracted in or aggravated by active military, naval, or air service.”</w:t>
            </w:r>
          </w:p>
          <w:p w:rsidR="001C5E99" w:rsidRPr="0007669E" w:rsidRDefault="001C5E99" w:rsidP="00F063AF">
            <w:pPr>
              <w:widowControl w:val="0"/>
              <w:numPr>
                <w:ilvl w:val="0"/>
                <w:numId w:val="233"/>
              </w:numPr>
              <w:spacing w:after="120"/>
              <w:ind w:left="330"/>
            </w:pPr>
            <w:r w:rsidRPr="0007669E">
              <w:rPr>
                <w:b/>
                <w:i/>
              </w:rPr>
              <w:t xml:space="preserve">Hornick v. Shinseki (2010) – </w:t>
            </w:r>
            <w:r w:rsidRPr="0007669E">
              <w:t>protection of SC is applicable to disabilities compensated under 1151,</w:t>
            </w:r>
            <w:r w:rsidRPr="0007669E">
              <w:rPr>
                <w:b/>
                <w:i/>
              </w:rPr>
              <w:t xml:space="preserve"> </w:t>
            </w:r>
            <w:r w:rsidRPr="0007669E">
              <w:rPr>
                <w:b/>
              </w:rPr>
              <w:t>III.iv.8.C.2.f</w:t>
            </w:r>
          </w:p>
        </w:tc>
      </w:tr>
    </w:tbl>
    <w:p w:rsidR="00013EB8" w:rsidRDefault="00013EB8">
      <w:pPr>
        <w:widowControl w:val="0"/>
        <w:rPr>
          <w:i/>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F673C9">
              <w:rPr>
                <w:b/>
              </w:rPr>
              <w:t>3.800</w:t>
            </w:r>
          </w:p>
        </w:tc>
        <w:tc>
          <w:tcPr>
            <w:tcW w:w="10270" w:type="dxa"/>
            <w:tcBorders>
              <w:top w:val="nil"/>
              <w:left w:val="nil"/>
              <w:bottom w:val="nil"/>
              <w:right w:val="nil"/>
            </w:tcBorders>
          </w:tcPr>
          <w:p w:rsidR="00013EB8" w:rsidRDefault="00013EB8">
            <w:pPr>
              <w:widowControl w:val="0"/>
              <w:numPr>
                <w:ilvl w:val="12"/>
                <w:numId w:val="0"/>
              </w:numPr>
              <w:spacing w:after="120"/>
            </w:pPr>
            <w:r>
              <w:rPr>
                <w:b/>
              </w:rPr>
              <w:t>Disability or death due to hospitalization, etc.</w:t>
            </w:r>
          </w:p>
        </w:tc>
      </w:tr>
    </w:tbl>
    <w:p w:rsidR="00A66915" w:rsidRDefault="00A66915">
      <w:pPr>
        <w:widowControl w:val="0"/>
        <w:pBdr>
          <w:top w:val="single" w:sz="4" w:space="1" w:color="auto"/>
          <w:left w:val="single" w:sz="4" w:space="4" w:color="auto"/>
          <w:bottom w:val="single" w:sz="4" w:space="0" w:color="auto"/>
          <w:right w:val="single" w:sz="4" w:space="4" w:color="auto"/>
        </w:pBdr>
        <w:overflowPunct/>
        <w:textAlignment w:val="auto"/>
        <w:rPr>
          <w:bCs/>
          <w:i/>
        </w:rPr>
      </w:pPr>
      <w:r w:rsidRPr="00A66915">
        <w:rPr>
          <w:b/>
          <w:bCs/>
        </w:rPr>
        <w:t>1151 denial</w:t>
      </w:r>
      <w:r>
        <w:rPr>
          <w:bCs/>
          <w:i/>
        </w:rPr>
        <w:t xml:space="preserve"> </w:t>
      </w:r>
      <w:r w:rsidRPr="007A4EEB">
        <w:rPr>
          <w:bCs/>
          <w:i/>
        </w:rPr>
        <w:t xml:space="preserve">(need Long Form Narrative, per </w:t>
      </w:r>
      <w:r w:rsidRPr="007A4EEB">
        <w:rPr>
          <w:b/>
          <w:bCs/>
        </w:rPr>
        <w:t>III.iv.6.C.7.a</w:t>
      </w:r>
      <w:r w:rsidRPr="007A4EEB">
        <w:rPr>
          <w:bCs/>
          <w:i/>
        </w:rPr>
        <w:t>):</w:t>
      </w:r>
    </w:p>
    <w:p w:rsidR="00A66915" w:rsidRDefault="00A66915">
      <w:pPr>
        <w:widowControl w:val="0"/>
        <w:pBdr>
          <w:top w:val="single" w:sz="4" w:space="1" w:color="auto"/>
          <w:left w:val="single" w:sz="4" w:space="4" w:color="auto"/>
          <w:bottom w:val="single" w:sz="4" w:space="0" w:color="auto"/>
          <w:right w:val="single" w:sz="4" w:space="4" w:color="auto"/>
        </w:pBdr>
        <w:overflowPunct/>
        <w:textAlignment w:val="auto"/>
        <w:rPr>
          <w:szCs w:val="22"/>
        </w:rPr>
      </w:pPr>
    </w:p>
    <w:p w:rsidR="00013EB8" w:rsidRDefault="00013EB8">
      <w:pPr>
        <w:widowControl w:val="0"/>
        <w:pBdr>
          <w:top w:val="single" w:sz="4" w:space="1" w:color="auto"/>
          <w:left w:val="single" w:sz="4" w:space="4" w:color="auto"/>
          <w:bottom w:val="single" w:sz="4" w:space="0" w:color="auto"/>
          <w:right w:val="single" w:sz="4" w:space="4" w:color="auto"/>
        </w:pBdr>
        <w:overflowPunct/>
        <w:textAlignment w:val="auto"/>
        <w:rPr>
          <w:szCs w:val="22"/>
        </w:rPr>
      </w:pPr>
      <w:r>
        <w:rPr>
          <w:szCs w:val="22"/>
        </w:rPr>
        <w:t xml:space="preserve">We have denied entitlement to compensation for incisional hernia.  Compensation is payable for any disability which results from VA hospitalization, medical or surgical treatment, or vocational rehabilitation, or as the result of having submitted to a VA medical examination.  </w:t>
      </w:r>
      <w:r>
        <w:t xml:space="preserve">The evidence must show that the veteran's additional disability is actually the result of the VA care.  Specifically, carelessness, negligence, lack of proper skill, error in judgment, or similar instance of fault on the part of the Department in furnishing the hospital care, medical or surgical treatment, or examination must be shown; or the proximate cause of disability must be an event not reasonably foreseeable.  For training and rehabilitation services or compensated work therapy program, it must be shown that the veteran's participation in an essential activity or function of the training, services, or CWT program provided or authorized by VA proximately caused the disability.  Merely showing that a veteran has additional disability is not sufficient to establish causation.  </w:t>
      </w:r>
    </w:p>
    <w:p w:rsidR="00013EB8" w:rsidRDefault="00013EB8">
      <w:pPr>
        <w:widowControl w:val="0"/>
        <w:pBdr>
          <w:top w:val="single" w:sz="4" w:space="1" w:color="auto"/>
          <w:left w:val="single" w:sz="4" w:space="4" w:color="auto"/>
          <w:bottom w:val="single" w:sz="4" w:space="0" w:color="auto"/>
          <w:right w:val="single" w:sz="4" w:space="4" w:color="auto"/>
        </w:pBdr>
        <w:overflowPunct/>
        <w:textAlignment w:val="auto"/>
        <w:rPr>
          <w:szCs w:val="22"/>
        </w:rPr>
      </w:pPr>
    </w:p>
    <w:p w:rsidR="00013EB8" w:rsidRDefault="00013EB8">
      <w:pPr>
        <w:widowControl w:val="0"/>
        <w:pBdr>
          <w:top w:val="single" w:sz="4" w:space="1" w:color="auto"/>
          <w:left w:val="single" w:sz="4" w:space="4" w:color="auto"/>
          <w:bottom w:val="single" w:sz="4" w:space="0" w:color="auto"/>
          <w:right w:val="single" w:sz="4" w:space="4" w:color="auto"/>
        </w:pBdr>
        <w:overflowPunct/>
        <w:textAlignment w:val="auto"/>
        <w:rPr>
          <w:szCs w:val="22"/>
        </w:rPr>
      </w:pPr>
      <w:r>
        <w:rPr>
          <w:szCs w:val="22"/>
        </w:rPr>
        <w:t>The treatment records show that, prior to your laparoscopic nephrectomy in August 2000 you were "counseled regarding the possibility of conversion to open bleeding and bowel injury</w:t>
      </w:r>
      <w:r w:rsidR="001946CC">
        <w:rPr>
          <w:szCs w:val="22"/>
        </w:rPr>
        <w:t>.”</w:t>
      </w:r>
      <w:r>
        <w:rPr>
          <w:szCs w:val="22"/>
        </w:rPr>
        <w:t xml:space="preserve">  When a bowel injury occurred, surgery was performed to repair the injury.  Complications arose and you had to undergo a left hemicolectomy and colostomy in September 2000.  Your colostomy was removed in February 2001 and no incisional hernia was found.  In August 2001 an incisional hernia was noted on your left flank and a repair was scheduled, but was never done.  </w:t>
      </w:r>
    </w:p>
    <w:p w:rsidR="00013EB8" w:rsidRDefault="00013EB8">
      <w:pPr>
        <w:widowControl w:val="0"/>
        <w:pBdr>
          <w:top w:val="single" w:sz="4" w:space="1" w:color="auto"/>
          <w:left w:val="single" w:sz="4" w:space="4" w:color="auto"/>
          <w:bottom w:val="single" w:sz="4" w:space="0" w:color="auto"/>
          <w:right w:val="single" w:sz="4" w:space="4" w:color="auto"/>
        </w:pBdr>
        <w:overflowPunct/>
        <w:textAlignment w:val="auto"/>
        <w:rPr>
          <w:szCs w:val="22"/>
        </w:rPr>
      </w:pPr>
    </w:p>
    <w:p w:rsidR="00013EB8" w:rsidRDefault="00013EB8">
      <w:pPr>
        <w:widowControl w:val="0"/>
        <w:pBdr>
          <w:top w:val="single" w:sz="4" w:space="1" w:color="auto"/>
          <w:left w:val="single" w:sz="4" w:space="4" w:color="auto"/>
          <w:bottom w:val="single" w:sz="4" w:space="0" w:color="auto"/>
          <w:right w:val="single" w:sz="4" w:space="4" w:color="auto"/>
        </w:pBdr>
        <w:overflowPunct/>
        <w:textAlignment w:val="auto"/>
        <w:rPr>
          <w:szCs w:val="22"/>
        </w:rPr>
      </w:pPr>
      <w:r>
        <w:rPr>
          <w:szCs w:val="22"/>
        </w:rPr>
        <w:t>Because the incisional hernia resulted from the surgery for the complications that you were informed of prior to your laparoscopic nephrectomy, and there is no evidence of carelessness, negligence or lack of proper care on VA's part, we cannot grant entitlement to compensation for incisional hernia.</w:t>
      </w:r>
    </w:p>
    <w:p w:rsidR="00013EB8" w:rsidRDefault="00013EB8">
      <w:pPr>
        <w:widowControl w:val="0"/>
        <w:pBdr>
          <w:top w:val="single" w:sz="4" w:space="1" w:color="auto"/>
          <w:left w:val="single" w:sz="4" w:space="4" w:color="auto"/>
          <w:bottom w:val="single" w:sz="4" w:space="0" w:color="auto"/>
          <w:right w:val="single" w:sz="4" w:space="4" w:color="auto"/>
        </w:pBdr>
        <w:overflowPunct/>
        <w:textAlignment w:val="auto"/>
        <w:rPr>
          <w:szCs w:val="22"/>
        </w:rPr>
      </w:pPr>
    </w:p>
    <w:p w:rsidR="00013EB8" w:rsidRDefault="00013EB8">
      <w:pPr>
        <w:pStyle w:val="Heading7"/>
        <w:keepNext w:val="0"/>
        <w:widowControl w:val="0"/>
        <w:pBdr>
          <w:bottom w:val="single" w:sz="4" w:space="0" w:color="auto"/>
        </w:pBdr>
        <w:tabs>
          <w:tab w:val="clear" w:pos="0"/>
          <w:tab w:val="clear" w:pos="144"/>
        </w:tabs>
        <w:overflowPunct/>
        <w:textAlignment w:val="auto"/>
      </w:pPr>
      <w:r>
        <w:t>OR</w:t>
      </w:r>
    </w:p>
    <w:p w:rsidR="00013EB8" w:rsidRDefault="00013EB8">
      <w:pPr>
        <w:widowControl w:val="0"/>
        <w:pBdr>
          <w:top w:val="single" w:sz="4" w:space="1" w:color="auto"/>
          <w:left w:val="single" w:sz="4" w:space="4" w:color="auto"/>
          <w:bottom w:val="single" w:sz="4" w:space="0" w:color="auto"/>
          <w:right w:val="single" w:sz="4" w:space="4" w:color="auto"/>
        </w:pBdr>
        <w:overflowPunct/>
        <w:textAlignment w:val="auto"/>
        <w:rPr>
          <w:i/>
          <w:iCs/>
        </w:rPr>
      </w:pPr>
      <w:r>
        <w:rPr>
          <w:i/>
          <w:iCs/>
        </w:rPr>
        <w:t>list what TRs show…</w:t>
      </w:r>
    </w:p>
    <w:p w:rsidR="00013EB8" w:rsidRDefault="00013EB8">
      <w:pPr>
        <w:widowControl w:val="0"/>
        <w:pBdr>
          <w:top w:val="single" w:sz="4" w:space="1" w:color="auto"/>
          <w:left w:val="single" w:sz="4" w:space="4" w:color="auto"/>
          <w:bottom w:val="single" w:sz="4" w:space="0" w:color="auto"/>
          <w:right w:val="single" w:sz="4" w:space="4" w:color="auto"/>
        </w:pBdr>
        <w:overflowPunct/>
        <w:textAlignment w:val="auto"/>
      </w:pPr>
    </w:p>
    <w:p w:rsidR="00013EB8" w:rsidRDefault="00013EB8">
      <w:pPr>
        <w:widowControl w:val="0"/>
        <w:pBdr>
          <w:top w:val="single" w:sz="4" w:space="1" w:color="auto"/>
          <w:left w:val="single" w:sz="4" w:space="4" w:color="auto"/>
          <w:bottom w:val="single" w:sz="4" w:space="0" w:color="auto"/>
          <w:right w:val="single" w:sz="4" w:space="4" w:color="auto"/>
        </w:pBdr>
        <w:overflowPunct/>
        <w:textAlignment w:val="auto"/>
        <w:rPr>
          <w:szCs w:val="22"/>
        </w:rPr>
      </w:pPr>
      <w:r>
        <w:t>There is no evidence that the treatment you received in April 2002 involved carelessness, negligence, lack of proper skill, error in judgment, or similar instance of fault on VA's part, as you were treated for foot pain that you directly associated with the callus you self-treated and there is no evidence that your treatment was the proximate cause of your disability.  Therefore, we cannot grant entitlement to compensation for loss of left toes and left leg motor control with pain.</w:t>
      </w:r>
    </w:p>
    <w:p w:rsidR="00013EB8" w:rsidRDefault="00013EB8">
      <w:pPr>
        <w:widowControl w:val="0"/>
        <w:rPr>
          <w:i/>
        </w:rPr>
      </w:pPr>
    </w:p>
    <w:p w:rsidR="00013EB8" w:rsidRDefault="00013EB8">
      <w:pPr>
        <w:widowControl w:val="0"/>
        <w:pBdr>
          <w:top w:val="single" w:sz="4" w:space="1" w:color="auto"/>
        </w:pBdr>
        <w:tabs>
          <w:tab w:val="left" w:pos="0"/>
          <w:tab w:val="left" w:pos="144"/>
        </w:tabs>
        <w:rPr>
          <w:b/>
          <w:bCs/>
          <w:i/>
          <w:iCs/>
          <w:sz w:val="22"/>
        </w:rPr>
      </w:pPr>
    </w:p>
    <w:p w:rsidR="00013EB8" w:rsidRDefault="00013EB8">
      <w:pPr>
        <w:widowControl w:val="0"/>
        <w:tabs>
          <w:tab w:val="left" w:pos="0"/>
          <w:tab w:val="left" w:pos="144"/>
        </w:tabs>
        <w:rPr>
          <w:b/>
          <w:bCs/>
          <w:i/>
          <w:iCs/>
          <w:sz w:val="22"/>
        </w:rPr>
      </w:pPr>
      <w:bookmarkStart w:id="80" w:name="Asbestos"/>
      <w:r>
        <w:rPr>
          <w:b/>
          <w:bCs/>
          <w:i/>
          <w:iCs/>
          <w:sz w:val="22"/>
        </w:rPr>
        <w:t>Asbestos</w:t>
      </w:r>
      <w:bookmarkEnd w:id="80"/>
      <w:r>
        <w:rPr>
          <w:b/>
          <w:bCs/>
          <w:i/>
          <w:iCs/>
          <w:sz w:val="22"/>
        </w:rPr>
        <w:t xml:space="preserve"> -</w:t>
      </w:r>
    </w:p>
    <w:p w:rsidR="00013EB8" w:rsidRDefault="00013EB8">
      <w:pPr>
        <w:widowControl w:val="0"/>
        <w:tabs>
          <w:tab w:val="left" w:pos="0"/>
          <w:tab w:val="left" w:pos="144"/>
        </w:tabs>
      </w:pPr>
    </w:p>
    <w:p w:rsidR="00ED5C7F" w:rsidRDefault="00013EB8">
      <w:pPr>
        <w:widowControl w:val="0"/>
        <w:numPr>
          <w:ilvl w:val="12"/>
          <w:numId w:val="0"/>
        </w:numPr>
        <w:rPr>
          <w:i/>
        </w:rPr>
      </w:pPr>
      <w:r>
        <w:rPr>
          <w:b/>
          <w:u w:val="single"/>
        </w:rPr>
        <w:t>Asbestos Exposure</w:t>
      </w:r>
      <w:r>
        <w:t xml:space="preserve"> </w:t>
      </w:r>
      <w:r>
        <w:rPr>
          <w:i/>
        </w:rPr>
        <w:t xml:space="preserve">– </w:t>
      </w:r>
    </w:p>
    <w:p w:rsidR="00ED5C7F" w:rsidRPr="00ED5C7F" w:rsidRDefault="00013EB8" w:rsidP="00F063AF">
      <w:pPr>
        <w:pStyle w:val="ListParagraph"/>
        <w:widowControl w:val="0"/>
        <w:numPr>
          <w:ilvl w:val="0"/>
          <w:numId w:val="346"/>
        </w:numPr>
        <w:spacing w:after="120" w:line="240" w:lineRule="auto"/>
        <w:ind w:left="360"/>
        <w:rPr>
          <w:rFonts w:ascii="Arial" w:hAnsi="Arial"/>
          <w:b/>
          <w:iCs/>
          <w:sz w:val="20"/>
          <w:szCs w:val="20"/>
        </w:rPr>
      </w:pPr>
      <w:r w:rsidRPr="00ED5C7F">
        <w:rPr>
          <w:rFonts w:ascii="Arial" w:hAnsi="Arial"/>
          <w:b/>
          <w:iCs/>
          <w:sz w:val="20"/>
          <w:szCs w:val="20"/>
        </w:rPr>
        <w:t>4.97</w:t>
      </w:r>
    </w:p>
    <w:p w:rsidR="00ED5C7F" w:rsidRPr="00ED5C7F" w:rsidRDefault="00ED5C7F" w:rsidP="00F063AF">
      <w:pPr>
        <w:pStyle w:val="ListParagraph"/>
        <w:widowControl w:val="0"/>
        <w:numPr>
          <w:ilvl w:val="0"/>
          <w:numId w:val="346"/>
        </w:numPr>
        <w:tabs>
          <w:tab w:val="left" w:pos="400"/>
        </w:tabs>
        <w:spacing w:after="120" w:line="240" w:lineRule="auto"/>
        <w:ind w:left="360"/>
        <w:rPr>
          <w:rFonts w:ascii="Arial" w:hAnsi="Arial"/>
          <w:b/>
          <w:bCs/>
          <w:sz w:val="20"/>
          <w:szCs w:val="20"/>
        </w:rPr>
      </w:pPr>
      <w:r w:rsidRPr="00ED5C7F">
        <w:rPr>
          <w:rFonts w:ascii="Arial" w:hAnsi="Arial"/>
          <w:b/>
          <w:sz w:val="20"/>
          <w:szCs w:val="20"/>
        </w:rPr>
        <w:t>I.1.B.1.f</w:t>
      </w:r>
      <w:r>
        <w:rPr>
          <w:rFonts w:ascii="Arial" w:hAnsi="Arial"/>
          <w:b/>
          <w:sz w:val="20"/>
          <w:szCs w:val="20"/>
        </w:rPr>
        <w:t xml:space="preserve"> – </w:t>
      </w:r>
      <w:r>
        <w:rPr>
          <w:rFonts w:ascii="Arial" w:hAnsi="Arial"/>
          <w:sz w:val="20"/>
          <w:szCs w:val="20"/>
        </w:rPr>
        <w:t xml:space="preserve">need to send additional notice, per </w:t>
      </w:r>
      <w:r w:rsidRPr="00ED5C7F">
        <w:rPr>
          <w:rFonts w:ascii="Arial" w:hAnsi="Arial"/>
          <w:b/>
          <w:sz w:val="20"/>
          <w:szCs w:val="20"/>
        </w:rPr>
        <w:t>IV.ii.1.l.3.d</w:t>
      </w:r>
    </w:p>
    <w:p w:rsidR="00ED5C7F" w:rsidRPr="00ED5C7F" w:rsidRDefault="003255E9" w:rsidP="00F063AF">
      <w:pPr>
        <w:pStyle w:val="ListParagraph"/>
        <w:widowControl w:val="0"/>
        <w:numPr>
          <w:ilvl w:val="0"/>
          <w:numId w:val="346"/>
        </w:numPr>
        <w:spacing w:after="120" w:line="240" w:lineRule="auto"/>
        <w:ind w:left="360"/>
        <w:rPr>
          <w:rFonts w:ascii="Arial" w:hAnsi="Arial"/>
          <w:b/>
          <w:bCs/>
          <w:sz w:val="20"/>
          <w:szCs w:val="20"/>
        </w:rPr>
      </w:pPr>
      <w:r w:rsidRPr="00ED5C7F">
        <w:rPr>
          <w:rFonts w:ascii="Arial" w:hAnsi="Arial"/>
          <w:b/>
          <w:bCs/>
          <w:sz w:val="20"/>
          <w:szCs w:val="20"/>
        </w:rPr>
        <w:t>IV.ii.1.I</w:t>
      </w:r>
      <w:r w:rsidR="007838C8">
        <w:rPr>
          <w:rFonts w:ascii="Arial" w:hAnsi="Arial"/>
          <w:b/>
          <w:bCs/>
          <w:sz w:val="20"/>
          <w:szCs w:val="20"/>
        </w:rPr>
        <w:t>.3</w:t>
      </w:r>
    </w:p>
    <w:p w:rsidR="00013EB8" w:rsidRPr="00ED5C7F" w:rsidRDefault="00475DBA" w:rsidP="00F063AF">
      <w:pPr>
        <w:pStyle w:val="ListParagraph"/>
        <w:widowControl w:val="0"/>
        <w:numPr>
          <w:ilvl w:val="0"/>
          <w:numId w:val="346"/>
        </w:numPr>
        <w:spacing w:after="120" w:line="240" w:lineRule="auto"/>
        <w:ind w:left="360"/>
        <w:rPr>
          <w:rFonts w:ascii="Arial" w:hAnsi="Arial"/>
          <w:i/>
          <w:sz w:val="20"/>
          <w:szCs w:val="20"/>
        </w:rPr>
      </w:pPr>
      <w:r w:rsidRPr="00ED5C7F">
        <w:rPr>
          <w:rFonts w:ascii="Arial" w:hAnsi="Arial"/>
          <w:b/>
          <w:bCs/>
          <w:sz w:val="20"/>
          <w:szCs w:val="20"/>
        </w:rPr>
        <w:t>IV.ii.2.C.2</w:t>
      </w:r>
    </w:p>
    <w:p w:rsidR="00013EB8" w:rsidRDefault="00013EB8">
      <w:pPr>
        <w:widowControl w:val="0"/>
        <w:numPr>
          <w:ilvl w:val="12"/>
          <w:numId w:val="0"/>
        </w:numPr>
        <w:rPr>
          <w:i/>
        </w:rPr>
      </w:pPr>
      <w:r>
        <w:rPr>
          <w:i/>
        </w:rPr>
        <w:t xml:space="preserve">IF IN NAVY BEFORE 1974, COULD HAVE BEEN EXPOSED (check </w:t>
      </w:r>
      <w:r w:rsidR="00580166">
        <w:rPr>
          <w:i/>
        </w:rPr>
        <w:t>Memo below)</w:t>
      </w:r>
    </w:p>
    <w:p w:rsidR="009C4A46" w:rsidRDefault="008D1357">
      <w:pPr>
        <w:widowControl w:val="0"/>
        <w:numPr>
          <w:ilvl w:val="12"/>
          <w:numId w:val="0"/>
        </w:numPr>
        <w:rPr>
          <w:sz w:val="18"/>
        </w:rPr>
      </w:pPr>
      <w:r>
        <w:rPr>
          <w:sz w:val="18"/>
        </w:rPr>
        <w:t>*</w:t>
      </w:r>
      <w:r w:rsidR="00013EB8">
        <w:rPr>
          <w:sz w:val="18"/>
        </w:rPr>
        <w:t xml:space="preserve">not presumptive, but </w:t>
      </w:r>
      <w:r w:rsidR="00013EB8" w:rsidRPr="009C4A46">
        <w:rPr>
          <w:b/>
          <w:sz w:val="18"/>
        </w:rPr>
        <w:t>DIRECT</w:t>
      </w:r>
      <w:r w:rsidR="009C4A46">
        <w:rPr>
          <w:sz w:val="18"/>
        </w:rPr>
        <w:t xml:space="preserve"> </w:t>
      </w:r>
    </w:p>
    <w:p w:rsidR="009C4A46" w:rsidRDefault="008D1357">
      <w:pPr>
        <w:widowControl w:val="0"/>
        <w:numPr>
          <w:ilvl w:val="12"/>
          <w:numId w:val="0"/>
        </w:numPr>
        <w:rPr>
          <w:sz w:val="18"/>
        </w:rPr>
      </w:pPr>
      <w:r>
        <w:rPr>
          <w:sz w:val="18"/>
        </w:rPr>
        <w:t>*</w:t>
      </w:r>
      <w:r w:rsidR="009C4A46">
        <w:rPr>
          <w:sz w:val="18"/>
        </w:rPr>
        <w:t xml:space="preserve">NEED </w:t>
      </w:r>
      <w:r w:rsidR="009C4A46" w:rsidRPr="009C4A46">
        <w:rPr>
          <w:b/>
          <w:sz w:val="18"/>
        </w:rPr>
        <w:t>MEDICAL NEXUS</w:t>
      </w:r>
      <w:r w:rsidR="009C4A46">
        <w:rPr>
          <w:sz w:val="18"/>
        </w:rPr>
        <w:t xml:space="preserve"> (entire file must be re</w:t>
      </w:r>
      <w:r w:rsidR="003C282E">
        <w:rPr>
          <w:sz w:val="18"/>
        </w:rPr>
        <w:t xml:space="preserve">viewed by MD), per </w:t>
      </w:r>
      <w:hyperlink r:id="rId382" w:history="1">
        <w:r w:rsidR="00F863FB">
          <w:rPr>
            <w:rStyle w:val="Hyperlink"/>
            <w:b/>
            <w:i/>
            <w:sz w:val="18"/>
          </w:rPr>
          <w:t>VAOPGCPREC 4-00</w:t>
        </w:r>
      </w:hyperlink>
      <w:r w:rsidR="003C282E">
        <w:rPr>
          <w:sz w:val="18"/>
        </w:rPr>
        <w:t xml:space="preserve"> (4/13/00)</w:t>
      </w:r>
    </w:p>
    <w:p w:rsidR="00013EB8" w:rsidRDefault="00013EB8">
      <w:pPr>
        <w:widowControl w:val="0"/>
        <w:numPr>
          <w:ilvl w:val="12"/>
          <w:numId w:val="0"/>
        </w:numPr>
        <w:rPr>
          <w:sz w:val="18"/>
        </w:rPr>
      </w:pPr>
    </w:p>
    <w:p w:rsidR="00B72BC1" w:rsidRDefault="00B72BC1" w:rsidP="001453C4">
      <w:pPr>
        <w:widowControl w:val="0"/>
        <w:numPr>
          <w:ilvl w:val="12"/>
          <w:numId w:val="0"/>
        </w:numPr>
        <w:pBdr>
          <w:top w:val="double" w:sz="4" w:space="1" w:color="auto"/>
          <w:left w:val="double" w:sz="4" w:space="4" w:color="auto"/>
          <w:bottom w:val="double" w:sz="4" w:space="1" w:color="auto"/>
          <w:right w:val="double" w:sz="4" w:space="4" w:color="auto"/>
        </w:pBdr>
        <w:shd w:val="clear" w:color="auto" w:fill="FFC000"/>
        <w:rPr>
          <w:i/>
        </w:rPr>
      </w:pPr>
    </w:p>
    <w:p w:rsidR="0059725E" w:rsidRPr="0059725E" w:rsidRDefault="0059725E" w:rsidP="001453C4">
      <w:pPr>
        <w:widowControl w:val="0"/>
        <w:numPr>
          <w:ilvl w:val="12"/>
          <w:numId w:val="0"/>
        </w:numPr>
        <w:pBdr>
          <w:top w:val="double" w:sz="4" w:space="1" w:color="auto"/>
          <w:left w:val="double" w:sz="4" w:space="4" w:color="auto"/>
          <w:bottom w:val="double" w:sz="4" w:space="1" w:color="auto"/>
          <w:right w:val="double" w:sz="4" w:space="4" w:color="auto"/>
        </w:pBdr>
        <w:shd w:val="clear" w:color="auto" w:fill="FFC000"/>
        <w:rPr>
          <w:i/>
        </w:rPr>
      </w:pPr>
      <w:r w:rsidRPr="0059725E">
        <w:rPr>
          <w:i/>
        </w:rPr>
        <w:t>Training documents are under “Asbestos Exposure Related Claims”</w:t>
      </w:r>
      <w:r w:rsidR="001453C4">
        <w:rPr>
          <w:i/>
        </w:rPr>
        <w:t xml:space="preserve"> at </w:t>
      </w:r>
      <w:r w:rsidR="001453C4" w:rsidRPr="001453C4">
        <w:rPr>
          <w:b/>
          <w:i/>
        </w:rPr>
        <w:t>http://hvnc.gdit.com/lc/</w:t>
      </w:r>
    </w:p>
    <w:p w:rsidR="0059725E" w:rsidRDefault="0059725E">
      <w:pPr>
        <w:widowControl w:val="0"/>
        <w:numPr>
          <w:ilvl w:val="12"/>
          <w:numId w:val="0"/>
        </w:numPr>
        <w:rPr>
          <w:sz w:val="18"/>
        </w:rPr>
      </w:pPr>
    </w:p>
    <w:p w:rsidR="00013EB8" w:rsidRPr="002445CA" w:rsidRDefault="002445CA" w:rsidP="002445CA">
      <w:pPr>
        <w:widowControl w:val="0"/>
        <w:numPr>
          <w:ilvl w:val="12"/>
          <w:numId w:val="0"/>
        </w:numPr>
        <w:spacing w:after="120"/>
      </w:pPr>
      <w:r w:rsidRPr="002445CA">
        <w:t xml:space="preserve">Per </w:t>
      </w:r>
      <w:r w:rsidRPr="002445CA">
        <w:rPr>
          <w:b/>
          <w:szCs w:val="21"/>
        </w:rPr>
        <w:t>IV.ii.2.C.2.b</w:t>
      </w:r>
      <w:r w:rsidRPr="002445CA">
        <w:rPr>
          <w:sz w:val="22"/>
          <w:szCs w:val="21"/>
        </w:rPr>
        <w:t xml:space="preserve">, </w:t>
      </w:r>
      <w:r w:rsidR="00013EB8" w:rsidRPr="002445CA">
        <w:t>VA recognizes the following conditions as associated with asbestos exposure:</w:t>
      </w:r>
    </w:p>
    <w:p w:rsidR="00013EB8" w:rsidRPr="002445CA" w:rsidRDefault="00013EB8" w:rsidP="00F063AF">
      <w:pPr>
        <w:pStyle w:val="ListParagraph"/>
        <w:widowControl w:val="0"/>
        <w:numPr>
          <w:ilvl w:val="0"/>
          <w:numId w:val="367"/>
        </w:numPr>
        <w:spacing w:after="120" w:line="240" w:lineRule="auto"/>
        <w:ind w:left="360"/>
        <w:rPr>
          <w:rFonts w:ascii="Arial" w:hAnsi="Arial"/>
          <w:sz w:val="20"/>
          <w:szCs w:val="20"/>
        </w:rPr>
      </w:pPr>
      <w:r w:rsidRPr="002445CA">
        <w:rPr>
          <w:rFonts w:ascii="Arial" w:hAnsi="Arial"/>
          <w:sz w:val="20"/>
          <w:szCs w:val="20"/>
        </w:rPr>
        <w:t xml:space="preserve">fibrosis (most common is interstitial pulmonary fibrosis, or asbestosis) </w:t>
      </w:r>
      <w:r w:rsidRPr="002445CA">
        <w:rPr>
          <w:rFonts w:ascii="Arial" w:hAnsi="Arial"/>
          <w:i/>
          <w:iCs/>
          <w:sz w:val="18"/>
          <w:szCs w:val="20"/>
        </w:rPr>
        <w:t>(6833)</w:t>
      </w:r>
    </w:p>
    <w:p w:rsidR="00013EB8" w:rsidRPr="002445CA" w:rsidRDefault="00013EB8" w:rsidP="00F063AF">
      <w:pPr>
        <w:pStyle w:val="ListParagraph"/>
        <w:widowControl w:val="0"/>
        <w:numPr>
          <w:ilvl w:val="0"/>
          <w:numId w:val="367"/>
        </w:numPr>
        <w:spacing w:after="120" w:line="240" w:lineRule="auto"/>
        <w:ind w:left="360"/>
        <w:rPr>
          <w:rFonts w:ascii="Arial" w:hAnsi="Arial"/>
          <w:sz w:val="20"/>
          <w:szCs w:val="20"/>
        </w:rPr>
      </w:pPr>
      <w:r w:rsidRPr="002445CA">
        <w:rPr>
          <w:rFonts w:ascii="Arial" w:hAnsi="Arial"/>
          <w:sz w:val="20"/>
          <w:szCs w:val="20"/>
        </w:rPr>
        <w:t>tumors</w:t>
      </w:r>
      <w:r w:rsidR="009C4A46" w:rsidRPr="002445CA">
        <w:rPr>
          <w:rFonts w:ascii="Arial" w:hAnsi="Arial"/>
          <w:sz w:val="20"/>
          <w:szCs w:val="20"/>
        </w:rPr>
        <w:t xml:space="preserve"> </w:t>
      </w:r>
      <w:r w:rsidR="009C4A46" w:rsidRPr="002445CA">
        <w:rPr>
          <w:rFonts w:ascii="Arial" w:hAnsi="Arial"/>
          <w:i/>
          <w:sz w:val="18"/>
          <w:szCs w:val="20"/>
        </w:rPr>
        <w:t>(6819 for respiratory, 7343 for digestive…)</w:t>
      </w:r>
    </w:p>
    <w:p w:rsidR="00013EB8" w:rsidRPr="002445CA" w:rsidRDefault="00013EB8" w:rsidP="00F063AF">
      <w:pPr>
        <w:pStyle w:val="ListParagraph"/>
        <w:widowControl w:val="0"/>
        <w:numPr>
          <w:ilvl w:val="0"/>
          <w:numId w:val="367"/>
        </w:numPr>
        <w:spacing w:after="120" w:line="240" w:lineRule="auto"/>
        <w:ind w:left="360"/>
        <w:rPr>
          <w:rFonts w:ascii="Arial" w:hAnsi="Arial"/>
          <w:sz w:val="20"/>
          <w:szCs w:val="20"/>
        </w:rPr>
      </w:pPr>
      <w:r w:rsidRPr="002445CA">
        <w:rPr>
          <w:rFonts w:ascii="Arial" w:hAnsi="Arial"/>
          <w:sz w:val="20"/>
          <w:szCs w:val="20"/>
        </w:rPr>
        <w:t xml:space="preserve">pleural effusions and fibrosis </w:t>
      </w:r>
      <w:r w:rsidR="00237575" w:rsidRPr="002445CA">
        <w:rPr>
          <w:rFonts w:ascii="Arial" w:hAnsi="Arial"/>
          <w:i/>
          <w:iCs/>
          <w:sz w:val="18"/>
          <w:szCs w:val="20"/>
        </w:rPr>
        <w:t>(6845</w:t>
      </w:r>
      <w:r w:rsidRPr="002445CA">
        <w:rPr>
          <w:rFonts w:ascii="Arial" w:hAnsi="Arial"/>
          <w:i/>
          <w:iCs/>
          <w:sz w:val="18"/>
          <w:szCs w:val="20"/>
        </w:rPr>
        <w:t>)</w:t>
      </w:r>
    </w:p>
    <w:p w:rsidR="00013EB8" w:rsidRPr="002445CA" w:rsidRDefault="00013EB8" w:rsidP="00F063AF">
      <w:pPr>
        <w:pStyle w:val="ListParagraph"/>
        <w:widowControl w:val="0"/>
        <w:numPr>
          <w:ilvl w:val="0"/>
          <w:numId w:val="367"/>
        </w:numPr>
        <w:spacing w:after="120" w:line="240" w:lineRule="auto"/>
        <w:ind w:left="360"/>
        <w:rPr>
          <w:rFonts w:ascii="Arial" w:hAnsi="Arial"/>
          <w:sz w:val="20"/>
          <w:szCs w:val="20"/>
        </w:rPr>
      </w:pPr>
      <w:r w:rsidRPr="002445CA">
        <w:rPr>
          <w:rFonts w:ascii="Arial" w:hAnsi="Arial"/>
          <w:sz w:val="20"/>
          <w:szCs w:val="20"/>
        </w:rPr>
        <w:t>pleural plaques</w:t>
      </w:r>
      <w:r w:rsidR="002445CA">
        <w:rPr>
          <w:rFonts w:ascii="Arial" w:hAnsi="Arial"/>
          <w:sz w:val="20"/>
          <w:szCs w:val="20"/>
        </w:rPr>
        <w:t xml:space="preserve"> (scarring of the lining that surrounds the lungs) </w:t>
      </w:r>
      <w:r w:rsidRPr="002445CA">
        <w:rPr>
          <w:rFonts w:ascii="Arial" w:hAnsi="Arial"/>
          <w:i/>
          <w:iCs/>
          <w:sz w:val="18"/>
          <w:szCs w:val="20"/>
        </w:rPr>
        <w:t>(6899-6833)</w:t>
      </w:r>
    </w:p>
    <w:p w:rsidR="00013EB8" w:rsidRPr="002445CA" w:rsidRDefault="00013EB8" w:rsidP="00F063AF">
      <w:pPr>
        <w:pStyle w:val="ListParagraph"/>
        <w:widowControl w:val="0"/>
        <w:numPr>
          <w:ilvl w:val="0"/>
          <w:numId w:val="367"/>
        </w:numPr>
        <w:spacing w:after="120" w:line="240" w:lineRule="auto"/>
        <w:ind w:left="360"/>
        <w:rPr>
          <w:rFonts w:ascii="Arial" w:hAnsi="Arial"/>
          <w:sz w:val="20"/>
          <w:szCs w:val="20"/>
        </w:rPr>
      </w:pPr>
      <w:r w:rsidRPr="002445CA">
        <w:rPr>
          <w:rFonts w:ascii="Arial" w:hAnsi="Arial"/>
          <w:sz w:val="20"/>
          <w:szCs w:val="20"/>
        </w:rPr>
        <w:t xml:space="preserve">mesotheliomas of pleura </w:t>
      </w:r>
      <w:r w:rsidRPr="002445CA">
        <w:rPr>
          <w:rFonts w:ascii="Arial" w:hAnsi="Arial"/>
          <w:i/>
          <w:iCs/>
          <w:sz w:val="18"/>
          <w:szCs w:val="20"/>
        </w:rPr>
        <w:t xml:space="preserve">(6899-6819) </w:t>
      </w:r>
      <w:r w:rsidRPr="002445CA">
        <w:rPr>
          <w:rFonts w:ascii="Arial" w:hAnsi="Arial"/>
          <w:sz w:val="20"/>
          <w:szCs w:val="20"/>
        </w:rPr>
        <w:t xml:space="preserve">and peritoneum </w:t>
      </w:r>
      <w:r w:rsidRPr="002445CA">
        <w:rPr>
          <w:rFonts w:ascii="Arial" w:hAnsi="Arial"/>
          <w:i/>
          <w:iCs/>
          <w:sz w:val="18"/>
          <w:szCs w:val="20"/>
        </w:rPr>
        <w:t xml:space="preserve">(7399-7343) </w:t>
      </w:r>
      <w:r w:rsidRPr="002445CA">
        <w:rPr>
          <w:rFonts w:ascii="Arial" w:hAnsi="Arial"/>
          <w:i/>
          <w:iCs/>
          <w:sz w:val="20"/>
          <w:szCs w:val="20"/>
        </w:rPr>
        <w:t xml:space="preserve">[must be accompanied by asbestosis, per Bob Bogue 9/06, per </w:t>
      </w:r>
      <w:r w:rsidRPr="002445CA">
        <w:rPr>
          <w:rFonts w:ascii="Arial" w:hAnsi="Arial"/>
          <w:b/>
          <w:bCs/>
          <w:i/>
          <w:iCs/>
          <w:sz w:val="20"/>
          <w:szCs w:val="20"/>
        </w:rPr>
        <w:t>I</w:t>
      </w:r>
      <w:r w:rsidR="00037A17" w:rsidRPr="002445CA">
        <w:rPr>
          <w:rFonts w:ascii="Arial" w:hAnsi="Arial"/>
          <w:b/>
          <w:bCs/>
          <w:i/>
          <w:iCs/>
          <w:sz w:val="20"/>
          <w:szCs w:val="20"/>
        </w:rPr>
        <w:t>V.ii.2.C.2.c</w:t>
      </w:r>
      <w:r w:rsidRPr="002445CA">
        <w:rPr>
          <w:rFonts w:ascii="Arial" w:hAnsi="Arial"/>
          <w:i/>
          <w:iCs/>
          <w:sz w:val="20"/>
          <w:szCs w:val="20"/>
        </w:rPr>
        <w:t xml:space="preserve">] </w:t>
      </w:r>
    </w:p>
    <w:p w:rsidR="002445CA" w:rsidRDefault="00013EB8" w:rsidP="00F063AF">
      <w:pPr>
        <w:pStyle w:val="ListParagraph"/>
        <w:widowControl w:val="0"/>
        <w:numPr>
          <w:ilvl w:val="0"/>
          <w:numId w:val="367"/>
        </w:numPr>
        <w:tabs>
          <w:tab w:val="left" w:pos="360"/>
        </w:tabs>
        <w:spacing w:after="120" w:line="240" w:lineRule="auto"/>
        <w:ind w:left="360"/>
        <w:rPr>
          <w:rFonts w:ascii="Arial" w:hAnsi="Arial"/>
          <w:i/>
          <w:iCs/>
          <w:sz w:val="20"/>
          <w:szCs w:val="20"/>
        </w:rPr>
      </w:pPr>
      <w:r w:rsidRPr="002445CA">
        <w:rPr>
          <w:rFonts w:ascii="Arial" w:hAnsi="Arial"/>
          <w:sz w:val="20"/>
          <w:szCs w:val="20"/>
        </w:rPr>
        <w:t>cancers of the lung</w:t>
      </w:r>
      <w:r w:rsidRPr="002445CA">
        <w:rPr>
          <w:rFonts w:ascii="Arial" w:hAnsi="Arial"/>
          <w:i/>
          <w:iCs/>
          <w:sz w:val="20"/>
          <w:szCs w:val="20"/>
        </w:rPr>
        <w:t xml:space="preserve"> [must </w:t>
      </w:r>
      <w:r w:rsidR="009C3478">
        <w:rPr>
          <w:rFonts w:ascii="Arial" w:hAnsi="Arial"/>
          <w:i/>
          <w:iCs/>
          <w:sz w:val="20"/>
          <w:szCs w:val="20"/>
        </w:rPr>
        <w:t>originate in the lung parenchema rather than the bronchi AND develop after</w:t>
      </w:r>
      <w:r w:rsidRPr="002445CA">
        <w:rPr>
          <w:rFonts w:ascii="Arial" w:hAnsi="Arial"/>
          <w:i/>
          <w:iCs/>
          <w:sz w:val="20"/>
          <w:szCs w:val="20"/>
        </w:rPr>
        <w:t xml:space="preserve"> asbestosis, per </w:t>
      </w:r>
      <w:r w:rsidR="00037A17" w:rsidRPr="002445CA">
        <w:rPr>
          <w:rFonts w:ascii="Arial" w:hAnsi="Arial"/>
          <w:b/>
          <w:bCs/>
          <w:i/>
          <w:iCs/>
          <w:sz w:val="20"/>
          <w:szCs w:val="20"/>
        </w:rPr>
        <w:t>IV.ii.2.C.2.c</w:t>
      </w:r>
      <w:r w:rsidRPr="002445CA">
        <w:rPr>
          <w:rFonts w:ascii="Arial" w:hAnsi="Arial"/>
          <w:i/>
          <w:iCs/>
          <w:sz w:val="20"/>
          <w:szCs w:val="20"/>
        </w:rPr>
        <w:t>]</w:t>
      </w:r>
      <w:r w:rsidR="009C3478">
        <w:rPr>
          <w:rFonts w:ascii="Arial" w:hAnsi="Arial"/>
          <w:i/>
          <w:iCs/>
          <w:sz w:val="20"/>
          <w:szCs w:val="20"/>
        </w:rPr>
        <w:t xml:space="preserve"> </w:t>
      </w:r>
      <w:r w:rsidR="009C3478" w:rsidRPr="002445CA">
        <w:rPr>
          <w:rFonts w:ascii="Arial" w:hAnsi="Arial"/>
          <w:i/>
          <w:iCs/>
          <w:sz w:val="18"/>
          <w:szCs w:val="20"/>
        </w:rPr>
        <w:t>(68</w:t>
      </w:r>
      <w:r w:rsidR="009C3478">
        <w:rPr>
          <w:rFonts w:ascii="Arial" w:hAnsi="Arial"/>
          <w:i/>
          <w:iCs/>
          <w:sz w:val="18"/>
          <w:szCs w:val="20"/>
        </w:rPr>
        <w:t>19</w:t>
      </w:r>
      <w:r w:rsidR="009C3478" w:rsidRPr="002445CA">
        <w:rPr>
          <w:rFonts w:ascii="Arial" w:hAnsi="Arial"/>
          <w:i/>
          <w:iCs/>
          <w:sz w:val="18"/>
          <w:szCs w:val="20"/>
        </w:rPr>
        <w:t>)</w:t>
      </w:r>
    </w:p>
    <w:p w:rsidR="00013EB8" w:rsidRPr="009C3478" w:rsidRDefault="00013EB8" w:rsidP="00F063AF">
      <w:pPr>
        <w:pStyle w:val="ListParagraph"/>
        <w:widowControl w:val="0"/>
        <w:numPr>
          <w:ilvl w:val="0"/>
          <w:numId w:val="367"/>
        </w:numPr>
        <w:tabs>
          <w:tab w:val="left" w:pos="360"/>
        </w:tabs>
        <w:spacing w:after="120"/>
        <w:ind w:left="360"/>
        <w:rPr>
          <w:rFonts w:ascii="Arial" w:hAnsi="Arial"/>
          <w:sz w:val="20"/>
        </w:rPr>
      </w:pPr>
      <w:r w:rsidRPr="009C3478">
        <w:rPr>
          <w:rFonts w:ascii="Arial" w:hAnsi="Arial"/>
          <w:sz w:val="20"/>
        </w:rPr>
        <w:t>cancers of the bronchus</w:t>
      </w:r>
      <w:r w:rsidR="009C3478" w:rsidRPr="009C3478">
        <w:rPr>
          <w:rFonts w:ascii="Arial" w:hAnsi="Arial"/>
          <w:sz w:val="20"/>
        </w:rPr>
        <w:t xml:space="preserve"> </w:t>
      </w:r>
      <w:r w:rsidR="009C3478" w:rsidRPr="009C3478">
        <w:rPr>
          <w:rFonts w:ascii="Arial" w:hAnsi="Arial"/>
          <w:i/>
          <w:iCs/>
          <w:sz w:val="18"/>
          <w:szCs w:val="20"/>
        </w:rPr>
        <w:t>(6819)</w:t>
      </w:r>
    </w:p>
    <w:p w:rsidR="00013EB8" w:rsidRPr="009C3478" w:rsidRDefault="00013EB8" w:rsidP="00F063AF">
      <w:pPr>
        <w:pStyle w:val="ListParagraph"/>
        <w:widowControl w:val="0"/>
        <w:numPr>
          <w:ilvl w:val="0"/>
          <w:numId w:val="367"/>
        </w:numPr>
        <w:spacing w:after="120" w:line="240" w:lineRule="auto"/>
        <w:ind w:left="360"/>
        <w:rPr>
          <w:rFonts w:ascii="Arial" w:hAnsi="Arial"/>
          <w:sz w:val="20"/>
          <w:szCs w:val="20"/>
        </w:rPr>
      </w:pPr>
      <w:r w:rsidRPr="009C3478">
        <w:rPr>
          <w:rFonts w:ascii="Arial" w:hAnsi="Arial"/>
          <w:sz w:val="20"/>
          <w:szCs w:val="20"/>
        </w:rPr>
        <w:t xml:space="preserve">cancers of the gastrointestinal tract </w:t>
      </w:r>
      <w:r w:rsidRPr="009C3478">
        <w:rPr>
          <w:rFonts w:ascii="Arial" w:hAnsi="Arial"/>
          <w:i/>
          <w:iCs/>
          <w:sz w:val="20"/>
          <w:szCs w:val="20"/>
        </w:rPr>
        <w:t xml:space="preserve">[must </w:t>
      </w:r>
      <w:r w:rsidR="009C3478" w:rsidRPr="009C3478">
        <w:rPr>
          <w:rFonts w:ascii="Arial" w:hAnsi="Arial"/>
          <w:i/>
          <w:iCs/>
          <w:sz w:val="20"/>
          <w:szCs w:val="20"/>
        </w:rPr>
        <w:t>develop after</w:t>
      </w:r>
      <w:r w:rsidRPr="009C3478">
        <w:rPr>
          <w:rFonts w:ascii="Arial" w:hAnsi="Arial"/>
          <w:i/>
          <w:iCs/>
          <w:sz w:val="20"/>
          <w:szCs w:val="20"/>
        </w:rPr>
        <w:t xml:space="preserve"> asbestosis, per </w:t>
      </w:r>
      <w:r w:rsidR="00037A17" w:rsidRPr="009C3478">
        <w:rPr>
          <w:rFonts w:ascii="Arial" w:hAnsi="Arial"/>
          <w:b/>
          <w:bCs/>
          <w:i/>
          <w:iCs/>
          <w:sz w:val="20"/>
          <w:szCs w:val="20"/>
        </w:rPr>
        <w:t>IV.ii.2.C.2.c</w:t>
      </w:r>
      <w:r w:rsidR="009C3478" w:rsidRPr="009C3478">
        <w:rPr>
          <w:rFonts w:ascii="Arial" w:hAnsi="Arial"/>
          <w:i/>
          <w:iCs/>
          <w:sz w:val="20"/>
          <w:szCs w:val="20"/>
        </w:rPr>
        <w:t xml:space="preserve">] </w:t>
      </w:r>
      <w:r w:rsidR="009C3478" w:rsidRPr="009C3478">
        <w:rPr>
          <w:rFonts w:ascii="Arial" w:hAnsi="Arial"/>
          <w:i/>
          <w:iCs/>
          <w:sz w:val="18"/>
          <w:szCs w:val="20"/>
        </w:rPr>
        <w:t>(7343)</w:t>
      </w:r>
    </w:p>
    <w:p w:rsidR="00013EB8" w:rsidRPr="009C3478" w:rsidRDefault="00013EB8" w:rsidP="00F063AF">
      <w:pPr>
        <w:pStyle w:val="ListParagraph"/>
        <w:widowControl w:val="0"/>
        <w:numPr>
          <w:ilvl w:val="0"/>
          <w:numId w:val="367"/>
        </w:numPr>
        <w:spacing w:after="120"/>
        <w:ind w:left="360"/>
        <w:rPr>
          <w:rFonts w:ascii="Arial" w:hAnsi="Arial"/>
        </w:rPr>
      </w:pPr>
      <w:r w:rsidRPr="009C3478">
        <w:rPr>
          <w:rFonts w:ascii="Arial" w:hAnsi="Arial"/>
          <w:sz w:val="20"/>
        </w:rPr>
        <w:t xml:space="preserve">cancers of the larynx </w:t>
      </w:r>
      <w:r w:rsidR="009C3478" w:rsidRPr="009C3478">
        <w:rPr>
          <w:rFonts w:ascii="Arial" w:hAnsi="Arial"/>
          <w:i/>
          <w:iCs/>
          <w:sz w:val="18"/>
          <w:szCs w:val="20"/>
        </w:rPr>
        <w:t>(6819)</w:t>
      </w:r>
    </w:p>
    <w:p w:rsidR="00013EB8" w:rsidRPr="009C3478" w:rsidRDefault="00013EB8" w:rsidP="00F063AF">
      <w:pPr>
        <w:pStyle w:val="ListParagraph"/>
        <w:widowControl w:val="0"/>
        <w:numPr>
          <w:ilvl w:val="0"/>
          <w:numId w:val="367"/>
        </w:numPr>
        <w:spacing w:after="120"/>
        <w:ind w:left="360"/>
        <w:rPr>
          <w:rFonts w:ascii="Arial" w:hAnsi="Arial"/>
        </w:rPr>
      </w:pPr>
      <w:r w:rsidRPr="009C3478">
        <w:rPr>
          <w:rFonts w:ascii="Arial" w:hAnsi="Arial"/>
          <w:sz w:val="20"/>
        </w:rPr>
        <w:t xml:space="preserve">cancers of the </w:t>
      </w:r>
      <w:r w:rsidR="009C3478" w:rsidRPr="009C3478">
        <w:rPr>
          <w:rFonts w:ascii="Arial" w:hAnsi="Arial"/>
          <w:sz w:val="20"/>
        </w:rPr>
        <w:t xml:space="preserve">pharynx </w:t>
      </w:r>
      <w:r w:rsidR="009C3478" w:rsidRPr="009C3478">
        <w:rPr>
          <w:rFonts w:ascii="Arial" w:hAnsi="Arial"/>
          <w:i/>
          <w:iCs/>
          <w:sz w:val="18"/>
          <w:szCs w:val="20"/>
        </w:rPr>
        <w:t>(6819)</w:t>
      </w:r>
    </w:p>
    <w:p w:rsidR="00013EB8" w:rsidRPr="002445CA" w:rsidRDefault="00013EB8" w:rsidP="00F063AF">
      <w:pPr>
        <w:pStyle w:val="ListParagraph"/>
        <w:widowControl w:val="0"/>
        <w:numPr>
          <w:ilvl w:val="0"/>
          <w:numId w:val="367"/>
        </w:numPr>
        <w:spacing w:after="120" w:line="240" w:lineRule="auto"/>
        <w:ind w:left="360"/>
        <w:rPr>
          <w:rFonts w:ascii="Arial" w:hAnsi="Arial"/>
          <w:i/>
          <w:iCs/>
          <w:sz w:val="20"/>
          <w:szCs w:val="20"/>
        </w:rPr>
      </w:pPr>
      <w:r w:rsidRPr="002445CA">
        <w:rPr>
          <w:rFonts w:ascii="Arial" w:hAnsi="Arial"/>
          <w:sz w:val="20"/>
          <w:szCs w:val="20"/>
        </w:rPr>
        <w:t xml:space="preserve">cancers of the urogenital system (except the prostate) </w:t>
      </w:r>
      <w:r w:rsidRPr="002445CA">
        <w:rPr>
          <w:rFonts w:ascii="Arial" w:hAnsi="Arial"/>
          <w:i/>
          <w:iCs/>
          <w:sz w:val="20"/>
          <w:szCs w:val="20"/>
        </w:rPr>
        <w:t xml:space="preserve">[must </w:t>
      </w:r>
      <w:r w:rsidR="009C3478">
        <w:rPr>
          <w:rFonts w:ascii="Arial" w:hAnsi="Arial"/>
          <w:i/>
          <w:iCs/>
          <w:sz w:val="20"/>
          <w:szCs w:val="20"/>
        </w:rPr>
        <w:t>develop after</w:t>
      </w:r>
      <w:r w:rsidRPr="002445CA">
        <w:rPr>
          <w:rFonts w:ascii="Arial" w:hAnsi="Arial"/>
          <w:i/>
          <w:iCs/>
          <w:sz w:val="20"/>
          <w:szCs w:val="20"/>
        </w:rPr>
        <w:t xml:space="preserve"> asbestosis, per </w:t>
      </w:r>
      <w:r w:rsidR="00037A17" w:rsidRPr="002445CA">
        <w:rPr>
          <w:rFonts w:ascii="Arial" w:hAnsi="Arial"/>
          <w:b/>
          <w:bCs/>
          <w:i/>
          <w:iCs/>
          <w:sz w:val="20"/>
          <w:szCs w:val="20"/>
        </w:rPr>
        <w:t>IV.ii.2.C.2.c</w:t>
      </w:r>
      <w:r w:rsidRPr="002445CA">
        <w:rPr>
          <w:rFonts w:ascii="Arial" w:hAnsi="Arial"/>
          <w:i/>
          <w:iCs/>
          <w:sz w:val="20"/>
          <w:szCs w:val="20"/>
        </w:rPr>
        <w:t xml:space="preserve">] </w:t>
      </w:r>
      <w:r w:rsidR="009C3478" w:rsidRPr="002445CA">
        <w:rPr>
          <w:rFonts w:ascii="Arial" w:hAnsi="Arial"/>
          <w:i/>
          <w:iCs/>
          <w:sz w:val="18"/>
          <w:szCs w:val="20"/>
        </w:rPr>
        <w:t>(</w:t>
      </w:r>
      <w:r w:rsidR="009C3478">
        <w:rPr>
          <w:rFonts w:ascii="Arial" w:hAnsi="Arial"/>
          <w:i/>
          <w:iCs/>
          <w:sz w:val="18"/>
          <w:szCs w:val="20"/>
        </w:rPr>
        <w:t>7528</w:t>
      </w:r>
      <w:r w:rsidR="009C3478" w:rsidRPr="002445CA">
        <w:rPr>
          <w:rFonts w:ascii="Arial" w:hAnsi="Arial"/>
          <w:i/>
          <w:iCs/>
          <w:sz w:val="18"/>
          <w:szCs w:val="20"/>
        </w:rPr>
        <w:t>)</w:t>
      </w:r>
    </w:p>
    <w:p w:rsidR="00013EB8" w:rsidRDefault="00013EB8">
      <w:pPr>
        <w:widowControl w:val="0"/>
        <w:numPr>
          <w:ilvl w:val="12"/>
          <w:numId w:val="0"/>
        </w:numPr>
        <w:rPr>
          <w:i/>
          <w:iCs/>
          <w:sz w:val="18"/>
        </w:rPr>
      </w:pP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sz w:val="18"/>
        </w:rPr>
      </w:pPr>
      <w:r>
        <w:rPr>
          <w:sz w:val="18"/>
        </w:rPr>
        <w:t xml:space="preserve">Lung cancer resulting from exposure to asbestos can only be service-connected if it is lung cancer that </w:t>
      </w:r>
      <w:r>
        <w:rPr>
          <w:color w:val="000000"/>
          <w:sz w:val="18"/>
          <w:szCs w:val="18"/>
        </w:rPr>
        <w:t>originates in the lung parenchyma rather than the bronchi and eventually develops in about 50 percent of persons with asbestosis</w:t>
      </w:r>
      <w:r>
        <w:rPr>
          <w:sz w:val="18"/>
        </w:rPr>
        <w:t>, so your lung cancer must be accompanied by asbestosis.</w:t>
      </w: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sz w:val="18"/>
        </w:rPr>
      </w:pP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sz w:val="18"/>
        </w:rPr>
      </w:pPr>
      <w:r>
        <w:rPr>
          <w:sz w:val="18"/>
        </w:rPr>
        <w:t>Gastrointestinal cancer resulting from exposure to asbestos can only be service-connected if it is gastrointestinal cancer that develops in 10 percent of persons with asbestosis, so your {colon/gastrointestinal} cancer must be accompanied by asbestosis.</w:t>
      </w: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sz w:val="18"/>
        </w:rPr>
      </w:pP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sz w:val="18"/>
        </w:rPr>
      </w:pPr>
      <w:r>
        <w:rPr>
          <w:sz w:val="18"/>
        </w:rPr>
        <w:t>Urogenital cancer resulting from exposure to asbestos can only be service-connected if it is urogenital cancer that develops in 10 percent of persons with asbestosis, so your urogenital cancer must be accompanied by asbestosis.</w:t>
      </w: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sz w:val="18"/>
        </w:rPr>
      </w:pP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sz w:val="18"/>
        </w:rPr>
      </w:pPr>
      <w:r>
        <w:rPr>
          <w:sz w:val="18"/>
        </w:rPr>
        <w:t>Mesothelioma resulting from exposure to asbestos can only be service-connected if it is mesothelioma that develops in 17 percent of persons with asbestosis, so your mesothelioma must be accompanied by asbestosis.</w:t>
      </w:r>
    </w:p>
    <w:p w:rsidR="00013EB8" w:rsidRDefault="00013EB8">
      <w:pPr>
        <w:widowControl w:val="0"/>
        <w:numPr>
          <w:ilvl w:val="12"/>
          <w:numId w:val="0"/>
        </w:numPr>
        <w:rPr>
          <w:sz w:val="18"/>
        </w:rPr>
      </w:pPr>
    </w:p>
    <w:p w:rsidR="00951C87" w:rsidRDefault="00B34B88">
      <w:pPr>
        <w:widowControl w:val="0"/>
        <w:numPr>
          <w:ilvl w:val="12"/>
          <w:numId w:val="0"/>
        </w:numPr>
        <w:rPr>
          <w:rFonts w:ascii="Helvetica" w:hAnsi="Helvetica"/>
          <w:color w:val="3D3D3D"/>
          <w:lang w:val="en"/>
        </w:rPr>
      </w:pPr>
      <w:r w:rsidRPr="00B34B88">
        <w:rPr>
          <w:rFonts w:ascii="Helvetica" w:hAnsi="Helvetica"/>
          <w:color w:val="3D3D3D"/>
          <w:lang w:val="en"/>
        </w:rPr>
        <w:t>Asbestos MOS list published and ref</w:t>
      </w:r>
      <w:r>
        <w:rPr>
          <w:rFonts w:ascii="Helvetica" w:hAnsi="Helvetica"/>
          <w:color w:val="3D3D3D"/>
          <w:lang w:val="en"/>
        </w:rPr>
        <w:t>erenced for VSRs/RVSRs to use is in</w:t>
      </w:r>
      <w:r w:rsidRPr="00B34B88">
        <w:rPr>
          <w:rFonts w:ascii="Helvetica" w:hAnsi="Helvetica"/>
          <w:color w:val="3D3D3D"/>
          <w:lang w:val="en"/>
        </w:rPr>
        <w:t xml:space="preserve"> two courses in the VA National Training Curriculum available through the VBA Learning Catalog:  </w:t>
      </w:r>
      <w:r w:rsidR="00951C87" w:rsidRPr="00B34B88">
        <w:rPr>
          <w:rFonts w:ascii="Helvetica" w:hAnsi="Helvetica"/>
          <w:color w:val="3D3D3D"/>
          <w:lang w:val="en"/>
        </w:rPr>
        <w:t>Special Issue Claims (TMS ID 610926) and Asbestos Exposure Related Claims (TMS ID 1306941).</w:t>
      </w:r>
    </w:p>
    <w:p w:rsidR="003255E9" w:rsidRDefault="003255E9">
      <w:pPr>
        <w:widowControl w:val="0"/>
        <w:numPr>
          <w:ilvl w:val="12"/>
          <w:numId w:val="0"/>
        </w:numPr>
        <w:rPr>
          <w:rFonts w:ascii="Helvetica" w:hAnsi="Helvetica"/>
          <w:color w:val="3D3D3D"/>
          <w:lang w:val="en"/>
        </w:rPr>
      </w:pPr>
    </w:p>
    <w:p w:rsidR="003255E9" w:rsidRPr="00F2233D" w:rsidRDefault="003255E9" w:rsidP="003255E9">
      <w:pPr>
        <w:widowControl w:val="0"/>
        <w:numPr>
          <w:ilvl w:val="12"/>
          <w:numId w:val="0"/>
        </w:numPr>
        <w:pBdr>
          <w:top w:val="single" w:sz="4" w:space="1" w:color="auto"/>
        </w:pBdr>
        <w:rPr>
          <w:highlight w:val="magenta"/>
          <w:lang w:val="en"/>
        </w:rPr>
      </w:pPr>
    </w:p>
    <w:p w:rsidR="003255E9" w:rsidRPr="003255E9" w:rsidRDefault="00F2233D" w:rsidP="003255E9">
      <w:pPr>
        <w:widowControl w:val="0"/>
        <w:numPr>
          <w:ilvl w:val="12"/>
          <w:numId w:val="0"/>
        </w:numPr>
        <w:pBdr>
          <w:top w:val="single" w:sz="4" w:space="1" w:color="auto"/>
        </w:pBdr>
        <w:rPr>
          <w:b/>
          <w:sz w:val="24"/>
          <w:szCs w:val="24"/>
        </w:rPr>
      </w:pPr>
      <w:r w:rsidRPr="00D2563F">
        <w:rPr>
          <w:sz w:val="24"/>
          <w:szCs w:val="24"/>
          <w:highlight w:val="cyan"/>
          <w:lang w:val="en"/>
        </w:rPr>
        <w:t>The MOS details from the 5/13/02 Mary M. Parker</w:t>
      </w:r>
      <w:r w:rsidR="003255E9" w:rsidRPr="00D2563F">
        <w:rPr>
          <w:sz w:val="24"/>
          <w:szCs w:val="24"/>
          <w:highlight w:val="cyan"/>
          <w:lang w:val="en"/>
        </w:rPr>
        <w:t xml:space="preserve"> Memo are now listed at</w:t>
      </w:r>
      <w:r w:rsidR="003255E9" w:rsidRPr="00D2563F">
        <w:rPr>
          <w:b/>
          <w:sz w:val="24"/>
          <w:szCs w:val="24"/>
          <w:highlight w:val="cyan"/>
          <w:lang w:val="en"/>
        </w:rPr>
        <w:t xml:space="preserve"> IV.ii.1.I.3.</w:t>
      </w:r>
      <w:r w:rsidR="00E54487">
        <w:rPr>
          <w:b/>
          <w:sz w:val="24"/>
          <w:szCs w:val="24"/>
          <w:highlight w:val="cyan"/>
          <w:lang w:val="en"/>
        </w:rPr>
        <w:t>d</w:t>
      </w:r>
    </w:p>
    <w:p w:rsidR="00013EB8" w:rsidRDefault="00013EB8">
      <w:pPr>
        <w:widowControl w:val="0"/>
        <w:pBdr>
          <w:bottom w:val="single" w:sz="4" w:space="1" w:color="auto"/>
        </w:pBdr>
        <w:tabs>
          <w:tab w:val="left" w:pos="0"/>
          <w:tab w:val="left" w:pos="144"/>
        </w:tabs>
        <w:outlineLvl w:val="0"/>
        <w:rPr>
          <w:b/>
          <w:i/>
          <w:sz w:val="22"/>
        </w:rPr>
      </w:pPr>
    </w:p>
    <w:p w:rsidR="00013EB8" w:rsidRDefault="00013EB8">
      <w:pPr>
        <w:widowControl w:val="0"/>
        <w:pBdr>
          <w:top w:val="double" w:sz="4" w:space="1" w:color="auto"/>
        </w:pBdr>
        <w:tabs>
          <w:tab w:val="left" w:pos="0"/>
          <w:tab w:val="left" w:pos="144"/>
        </w:tabs>
        <w:outlineLvl w:val="0"/>
        <w:rPr>
          <w:b/>
          <w:i/>
          <w:sz w:val="22"/>
        </w:rPr>
      </w:pPr>
      <w:r>
        <w:rPr>
          <w:b/>
          <w:i/>
          <w:sz w:val="22"/>
        </w:rPr>
        <w:br w:type="page"/>
      </w:r>
    </w:p>
    <w:p w:rsidR="004D429B" w:rsidRDefault="004D429B" w:rsidP="004D429B">
      <w:pPr>
        <w:widowControl w:val="0"/>
        <w:pBdr>
          <w:top w:val="double" w:sz="4" w:space="1" w:color="auto"/>
        </w:pBdr>
        <w:tabs>
          <w:tab w:val="left" w:pos="0"/>
          <w:tab w:val="left" w:pos="144"/>
        </w:tabs>
        <w:outlineLvl w:val="0"/>
        <w:rPr>
          <w:b/>
          <w:i/>
          <w:sz w:val="22"/>
        </w:rPr>
      </w:pPr>
      <w:bookmarkStart w:id="81" w:name="Aggravation"/>
    </w:p>
    <w:p w:rsidR="00013EB8" w:rsidRDefault="00013EB8">
      <w:pPr>
        <w:widowControl w:val="0"/>
        <w:tabs>
          <w:tab w:val="left" w:pos="0"/>
          <w:tab w:val="left" w:pos="144"/>
        </w:tabs>
        <w:outlineLvl w:val="0"/>
        <w:rPr>
          <w:b/>
          <w:i/>
          <w:sz w:val="22"/>
        </w:rPr>
      </w:pPr>
      <w:r>
        <w:rPr>
          <w:b/>
          <w:i/>
          <w:sz w:val="22"/>
        </w:rPr>
        <w:t>AGGRAVATION -</w:t>
      </w:r>
    </w:p>
    <w:bookmarkEnd w:id="81"/>
    <w:p w:rsidR="00013EB8" w:rsidRDefault="00013EB8">
      <w:pPr>
        <w:widowControl w:val="0"/>
        <w:tabs>
          <w:tab w:val="left" w:pos="0"/>
          <w:tab w:val="left" w:pos="144"/>
        </w:tabs>
        <w:rPr>
          <w:b/>
          <w:bCs/>
          <w:i/>
          <w:iCs/>
        </w:rPr>
      </w:pPr>
    </w:p>
    <w:p w:rsidR="00013EB8" w:rsidRDefault="00013EB8">
      <w:pPr>
        <w:widowControl w:val="0"/>
        <w:tabs>
          <w:tab w:val="left" w:pos="0"/>
          <w:tab w:val="left" w:pos="144"/>
        </w:tabs>
        <w:rPr>
          <w:i/>
          <w:iCs/>
        </w:rPr>
      </w:pPr>
      <w:r>
        <w:rPr>
          <w:i/>
          <w:iCs/>
        </w:rPr>
        <w:t>Note that the issue of aggravation is generally one requiring medical opinion. Unless the evidence clearly indicates that there was no change in the condition or if the progression was due to some event during service, it should require a medical opinion.</w:t>
      </w:r>
    </w:p>
    <w:p w:rsidR="002E6D61" w:rsidRDefault="002E6D61">
      <w:pPr>
        <w:widowControl w:val="0"/>
        <w:tabs>
          <w:tab w:val="left" w:pos="0"/>
          <w:tab w:val="left" w:pos="144"/>
        </w:tabs>
        <w:rPr>
          <w:i/>
          <w:iCs/>
        </w:rPr>
      </w:pPr>
    </w:p>
    <w:p w:rsidR="002E6D61" w:rsidRDefault="002E6D61" w:rsidP="002E6D61">
      <w:pPr>
        <w:widowControl w:val="0"/>
        <w:spacing w:after="120"/>
        <w:rPr>
          <w:rFonts w:ascii="Verdana" w:hAnsi="Verdana"/>
          <w:i/>
          <w:iCs/>
        </w:rPr>
      </w:pPr>
      <w:r>
        <w:rPr>
          <w:rFonts w:ascii="Verdana" w:hAnsi="Verdana"/>
          <w:b/>
          <w:bCs/>
          <w:highlight w:val="green"/>
        </w:rPr>
        <w:t>GR2</w:t>
      </w:r>
    </w:p>
    <w:p w:rsidR="00013EB8" w:rsidRDefault="00013EB8">
      <w:pPr>
        <w:widowControl w:val="0"/>
        <w:tabs>
          <w:tab w:val="left" w:pos="0"/>
          <w:tab w:val="left" w:pos="144"/>
        </w:tabs>
        <w:rPr>
          <w:i/>
          <w:iCs/>
        </w:rPr>
      </w:pPr>
    </w:p>
    <w:p w:rsidR="00061C66" w:rsidRPr="00061C66" w:rsidRDefault="00061C66" w:rsidP="00061C66">
      <w:pPr>
        <w:widowControl w:val="0"/>
        <w:numPr>
          <w:ilvl w:val="0"/>
          <w:numId w:val="4"/>
        </w:numPr>
        <w:tabs>
          <w:tab w:val="clear" w:pos="720"/>
          <w:tab w:val="num" w:pos="360"/>
        </w:tabs>
        <w:spacing w:after="120"/>
        <w:ind w:left="360"/>
        <w:rPr>
          <w:b/>
          <w:i/>
          <w:iCs/>
        </w:rPr>
      </w:pPr>
      <w:r w:rsidRPr="00061C66">
        <w:rPr>
          <w:b/>
        </w:rPr>
        <w:t xml:space="preserve">I.1.C.3.h </w:t>
      </w:r>
      <w:r w:rsidRPr="007A25DC">
        <w:t>–</w:t>
      </w:r>
      <w:r>
        <w:t xml:space="preserve"> </w:t>
      </w:r>
    </w:p>
    <w:p w:rsidR="00061C66" w:rsidRPr="00061C66" w:rsidRDefault="00061C66" w:rsidP="00F063AF">
      <w:pPr>
        <w:pStyle w:val="ListParagraph"/>
        <w:widowControl w:val="0"/>
        <w:numPr>
          <w:ilvl w:val="0"/>
          <w:numId w:val="361"/>
        </w:numPr>
        <w:spacing w:after="120" w:line="240" w:lineRule="auto"/>
        <w:rPr>
          <w:rFonts w:ascii="Arial" w:hAnsi="Arial"/>
          <w:sz w:val="20"/>
        </w:rPr>
      </w:pPr>
      <w:r w:rsidRPr="00061C66">
        <w:rPr>
          <w:rFonts w:ascii="Arial" w:hAnsi="Arial"/>
          <w:sz w:val="20"/>
        </w:rPr>
        <w:t>Element 1 (current disability/sx)</w:t>
      </w:r>
    </w:p>
    <w:p w:rsidR="00061C66" w:rsidRPr="00061C66" w:rsidRDefault="00061C66" w:rsidP="00F063AF">
      <w:pPr>
        <w:pStyle w:val="ListParagraph"/>
        <w:widowControl w:val="0"/>
        <w:numPr>
          <w:ilvl w:val="0"/>
          <w:numId w:val="361"/>
        </w:numPr>
        <w:spacing w:after="120" w:line="240" w:lineRule="auto"/>
        <w:rPr>
          <w:rFonts w:ascii="Arial" w:hAnsi="Arial"/>
          <w:sz w:val="20"/>
        </w:rPr>
      </w:pPr>
      <w:r w:rsidRPr="00061C66">
        <w:rPr>
          <w:rFonts w:ascii="Arial" w:hAnsi="Arial"/>
          <w:sz w:val="20"/>
        </w:rPr>
        <w:t xml:space="preserve">Element 2 (evid the disability worsened – </w:t>
      </w:r>
      <w:r w:rsidRPr="00061C66">
        <w:rPr>
          <w:rFonts w:ascii="Arial" w:hAnsi="Arial"/>
          <w:i/>
          <w:sz w:val="20"/>
        </w:rPr>
        <w:t>Davis v. Principi, Maxson v. Gober, Verdon v. Brown, Jensen v. Brown, Paulson v. Brown</w:t>
      </w:r>
      <w:r w:rsidRPr="00061C66">
        <w:rPr>
          <w:rFonts w:ascii="Arial" w:hAnsi="Arial"/>
          <w:sz w:val="20"/>
        </w:rPr>
        <w:t>)</w:t>
      </w:r>
    </w:p>
    <w:p w:rsidR="00013EB8" w:rsidRDefault="00061C66" w:rsidP="00F063AF">
      <w:pPr>
        <w:pStyle w:val="ListParagraph"/>
        <w:widowControl w:val="0"/>
        <w:numPr>
          <w:ilvl w:val="0"/>
          <w:numId w:val="361"/>
        </w:numPr>
        <w:spacing w:after="120" w:line="240" w:lineRule="auto"/>
        <w:rPr>
          <w:rFonts w:ascii="Arial" w:hAnsi="Arial"/>
          <w:sz w:val="20"/>
        </w:rPr>
      </w:pPr>
      <w:r w:rsidRPr="00061C66">
        <w:rPr>
          <w:rFonts w:ascii="Arial" w:hAnsi="Arial"/>
          <w:sz w:val="20"/>
        </w:rPr>
        <w:t xml:space="preserve">Element 3 (satisfied by Element 2) </w:t>
      </w:r>
    </w:p>
    <w:p w:rsidR="00271601" w:rsidRDefault="00271601" w:rsidP="00F063AF">
      <w:pPr>
        <w:pStyle w:val="ListParagraph"/>
        <w:widowControl w:val="0"/>
        <w:numPr>
          <w:ilvl w:val="0"/>
          <w:numId w:val="361"/>
        </w:numPr>
        <w:spacing w:after="120" w:line="240" w:lineRule="auto"/>
        <w:rPr>
          <w:rFonts w:ascii="Arial" w:hAnsi="Arial"/>
          <w:sz w:val="20"/>
        </w:rPr>
      </w:pPr>
      <w:r>
        <w:rPr>
          <w:rFonts w:ascii="Arial" w:hAnsi="Arial"/>
          <w:sz w:val="20"/>
        </w:rPr>
        <w:t>has table for if do direct or aggravati</w:t>
      </w:r>
      <w:r w:rsidR="0059482E">
        <w:rPr>
          <w:rFonts w:ascii="Arial" w:hAnsi="Arial"/>
          <w:sz w:val="20"/>
        </w:rPr>
        <w:t>o</w:t>
      </w:r>
      <w:r>
        <w:rPr>
          <w:rFonts w:ascii="Arial" w:hAnsi="Arial"/>
          <w:sz w:val="20"/>
        </w:rPr>
        <w:t>n opinion (still have to have all 3 Elements)</w:t>
      </w:r>
    </w:p>
    <w:p w:rsidR="00061C66" w:rsidRPr="00061C66" w:rsidRDefault="00061C66" w:rsidP="00061C66">
      <w:pPr>
        <w:pStyle w:val="ListParagraph"/>
        <w:widowControl w:val="0"/>
        <w:numPr>
          <w:ilvl w:val="0"/>
          <w:numId w:val="4"/>
        </w:numPr>
        <w:tabs>
          <w:tab w:val="clear" w:pos="720"/>
          <w:tab w:val="num" w:pos="360"/>
        </w:tabs>
        <w:spacing w:after="120"/>
        <w:ind w:left="360"/>
        <w:rPr>
          <w:rFonts w:ascii="Arial" w:hAnsi="Arial"/>
          <w:b/>
          <w:i/>
          <w:iCs/>
          <w:sz w:val="20"/>
        </w:rPr>
      </w:pPr>
      <w:r w:rsidRPr="00061C66">
        <w:rPr>
          <w:rFonts w:ascii="Arial" w:hAnsi="Arial"/>
          <w:b/>
          <w:iCs/>
          <w:sz w:val="20"/>
        </w:rPr>
        <w:t>IV.ii.2.B.4</w:t>
      </w: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trPr>
          <w:trHeight w:val="270"/>
        </w:trPr>
        <w:tc>
          <w:tcPr>
            <w:tcW w:w="705" w:type="dxa"/>
            <w:tcBorders>
              <w:top w:val="nil"/>
              <w:left w:val="nil"/>
              <w:bottom w:val="nil"/>
              <w:right w:val="nil"/>
            </w:tcBorders>
          </w:tcPr>
          <w:p w:rsidR="00013EB8" w:rsidRDefault="00013EB8">
            <w:pPr>
              <w:widowControl w:val="0"/>
              <w:numPr>
                <w:ilvl w:val="12"/>
                <w:numId w:val="0"/>
              </w:numPr>
              <w:rPr>
                <w:b/>
              </w:rPr>
            </w:pPr>
            <w:r w:rsidRPr="00F673C9">
              <w:rPr>
                <w:b/>
              </w:rPr>
              <w:t>3.303</w:t>
            </w:r>
          </w:p>
        </w:tc>
        <w:tc>
          <w:tcPr>
            <w:tcW w:w="10170" w:type="dxa"/>
            <w:tcBorders>
              <w:top w:val="nil"/>
              <w:left w:val="nil"/>
              <w:bottom w:val="nil"/>
              <w:right w:val="nil"/>
            </w:tcBorders>
          </w:tcPr>
          <w:p w:rsidR="00013EB8" w:rsidRDefault="00013EB8">
            <w:pPr>
              <w:widowControl w:val="0"/>
              <w:numPr>
                <w:ilvl w:val="12"/>
                <w:numId w:val="0"/>
              </w:numPr>
              <w:rPr>
                <w:bCs/>
              </w:rPr>
            </w:pPr>
            <w:r>
              <w:rPr>
                <w:b/>
              </w:rPr>
              <w:t>Principles relating to service connection</w:t>
            </w:r>
            <w:r>
              <w:rPr>
                <w:bCs/>
              </w:rPr>
              <w:t xml:space="preserve"> – </w:t>
            </w:r>
          </w:p>
          <w:p w:rsidR="00013EB8" w:rsidRDefault="00013EB8">
            <w:pPr>
              <w:pStyle w:val="NormalWeb"/>
              <w:widowControl w:val="0"/>
              <w:rPr>
                <w:sz w:val="20"/>
              </w:rPr>
            </w:pPr>
            <w:r>
              <w:rPr>
                <w:sz w:val="20"/>
              </w:rPr>
              <w:t xml:space="preserve">(c) </w:t>
            </w:r>
            <w:r>
              <w:rPr>
                <w:i/>
                <w:iCs/>
                <w:sz w:val="20"/>
              </w:rPr>
              <w:t>Preservice disabilities noted in service.</w:t>
            </w:r>
            <w:r>
              <w:rPr>
                <w:sz w:val="20"/>
              </w:rPr>
              <w:t xml:space="preserve"> There are medical principles so universally recognized as to constitute fact (clear and unmistakable proof), and when in accordance with these principles existence of a disability prior to service is established, no additional or confirmatory evidence is necessary. Consequently with notation or discovery during service of such residual conditions (scars; fibrosis of the lungs; atrophies following disease of the central or peripheral nervous system; healed fractures; absent, displaced or resected parts of organs; supernumerary parts; congenital malformations or hemorrhoidal tags or tabs, etc.) with no evidence of the pertinent antecedent active disease or injury during service the conclusion must be that they preexisted service. Similarly, manifestation of lesions or symptoms of chronic disease from date of enlistment, or so close thereto that the disease could not have originated in so short a period will establish preservice existence thereof. Conditions of an infectious nature are to be considered with regard to the circumstances of the infection and if manifested in less than the respective incubation periods after reporting for duty, they will be held to have preexisted service. In the field of mental disorders, personality disorders which are characterized by developmental defects or pathological trends in the personality structure manifested by a lifelong pattern of action or behavior, chronic psychoneurosis of long duration or other psychiatric symptomatology shown to have existed prior to service with the same manifestations during service, which were the basis of the service diagnosis will be accepted as showing preservice origin. Congenital or developmental defects, refractive error of the eye, personality disorders and mental deficiency as such are not diseases or injuries within the meaning of applicable legislation. </w:t>
            </w:r>
          </w:p>
          <w:p w:rsidR="00013EB8" w:rsidRDefault="00013EB8">
            <w:pPr>
              <w:pStyle w:val="NormalWeb"/>
              <w:widowControl w:val="0"/>
              <w:rPr>
                <w:bCs/>
                <w:sz w:val="20"/>
              </w:rPr>
            </w:pPr>
            <w:r>
              <w:rPr>
                <w:i/>
                <w:iCs/>
                <w:sz w:val="20"/>
              </w:rPr>
              <w:t>residuals of conditions without the disease/injury in service – pre-existed</w:t>
            </w:r>
            <w:r>
              <w:rPr>
                <w:i/>
                <w:iCs/>
                <w:sz w:val="20"/>
              </w:rPr>
              <w:br/>
              <w:t>symptoms at, or close to, enlistment – pre-existed</w:t>
            </w:r>
            <w:r>
              <w:rPr>
                <w:i/>
                <w:iCs/>
                <w:sz w:val="20"/>
              </w:rPr>
              <w:br/>
              <w:t>infectious diseases manifested in less than incubation period – pre-existed</w:t>
            </w:r>
            <w:r>
              <w:rPr>
                <w:i/>
                <w:iCs/>
                <w:sz w:val="20"/>
              </w:rPr>
              <w:br/>
              <w:t>chronic psych sx with same manifestations in service – pre-existed</w:t>
            </w:r>
            <w:r>
              <w:rPr>
                <w:i/>
                <w:iCs/>
                <w:sz w:val="20"/>
              </w:rPr>
              <w:br/>
              <w:t>refractive error, personality disorders and mental deficiency – not diseases/injuries</w:t>
            </w:r>
          </w:p>
        </w:tc>
      </w:tr>
    </w:tbl>
    <w:p w:rsidR="000E4BD0" w:rsidRDefault="000E4BD0" w:rsidP="00704964">
      <w:pPr>
        <w:widowControl w:val="0"/>
        <w:tabs>
          <w:tab w:val="left" w:pos="630"/>
          <w:tab w:val="left" w:pos="720"/>
        </w:tabs>
        <w:spacing w:after="120"/>
        <w:ind w:left="634" w:hanging="634"/>
        <w:rPr>
          <w:sz w:val="22"/>
        </w:rPr>
      </w:pPr>
      <w:r w:rsidRPr="00F673C9">
        <w:rPr>
          <w:b/>
        </w:rPr>
        <w:t>3.304</w:t>
      </w:r>
      <w:r>
        <w:rPr>
          <w:b/>
        </w:rPr>
        <w:t xml:space="preserve">(b) – Presumption of soundness. </w:t>
      </w:r>
      <w:r>
        <w:t>The veteran will be considered to have been in sound condition when examined, accepted and enrolled for service except as to defects, infirmities, or disorders noted at entrance into service, or where clear and unmistakable (obvious or manifest) evidence demonstrates that an injury or disease existed prior thereto and was not aggravated by such service. Only such conditions as are recorded in examination reports are to be considered as noted</w:t>
      </w:r>
      <w:r w:rsidR="007F1002">
        <w:t>,</w:t>
      </w: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rsidTr="00735FFC">
        <w:trPr>
          <w:trHeight w:val="4770"/>
        </w:trPr>
        <w:tc>
          <w:tcPr>
            <w:tcW w:w="705" w:type="dxa"/>
            <w:tcBorders>
              <w:top w:val="nil"/>
              <w:left w:val="nil"/>
              <w:bottom w:val="nil"/>
              <w:right w:val="nil"/>
            </w:tcBorders>
          </w:tcPr>
          <w:p w:rsidR="00013EB8" w:rsidRDefault="00013EB8">
            <w:pPr>
              <w:widowControl w:val="0"/>
              <w:numPr>
                <w:ilvl w:val="12"/>
                <w:numId w:val="0"/>
              </w:numPr>
              <w:rPr>
                <w:b/>
              </w:rPr>
            </w:pPr>
            <w:r w:rsidRPr="00F673C9">
              <w:rPr>
                <w:b/>
              </w:rPr>
              <w:t>3.306</w:t>
            </w:r>
          </w:p>
        </w:tc>
        <w:tc>
          <w:tcPr>
            <w:tcW w:w="10170" w:type="dxa"/>
            <w:tcBorders>
              <w:top w:val="nil"/>
              <w:left w:val="nil"/>
              <w:bottom w:val="nil"/>
              <w:right w:val="nil"/>
            </w:tcBorders>
          </w:tcPr>
          <w:p w:rsidR="00013EB8" w:rsidRDefault="00013EB8" w:rsidP="005C7617">
            <w:pPr>
              <w:widowControl w:val="0"/>
              <w:numPr>
                <w:ilvl w:val="12"/>
                <w:numId w:val="0"/>
              </w:numPr>
              <w:spacing w:after="120"/>
              <w:rPr>
                <w:i/>
                <w:iCs/>
              </w:rPr>
            </w:pPr>
            <w:r>
              <w:rPr>
                <w:b/>
              </w:rPr>
              <w:t>Aggravation of pre-service disability</w:t>
            </w:r>
            <w:r>
              <w:t xml:space="preserve"> – </w:t>
            </w:r>
            <w:r>
              <w:rPr>
                <w:i/>
              </w:rPr>
              <w:t xml:space="preserve">1-EPTE &amp; aggravated by service, 2-EPTE &amp; not aggravated by service, 3-DNEPTE; used to use “US” following diagnosis when deducting the % at time of entrance (now indicate in </w:t>
            </w:r>
            <w:r w:rsidR="00D94044" w:rsidRPr="004E16AB">
              <w:rPr>
                <w:rFonts w:ascii="Verdana" w:hAnsi="Verdana"/>
                <w:b/>
                <w:highlight w:val="green"/>
              </w:rPr>
              <w:t>VBMS-R</w:t>
            </w:r>
            <w:r>
              <w:rPr>
                <w:i/>
              </w:rPr>
              <w:t xml:space="preserve">); </w:t>
            </w:r>
            <w:r>
              <w:rPr>
                <w:i/>
                <w:iCs/>
              </w:rPr>
              <w:t>only give degree of disability over the degree existing at entrance, unless 100% now, if entrance degree cannot be determined, then do not deduct</w:t>
            </w:r>
          </w:p>
          <w:p w:rsidR="00013EB8" w:rsidRDefault="00013EB8" w:rsidP="005C7617">
            <w:pPr>
              <w:pStyle w:val="NormalWeb"/>
              <w:widowControl w:val="0"/>
              <w:rPr>
                <w:rFonts w:eastAsia="Arial Unicode MS"/>
                <w:sz w:val="20"/>
              </w:rPr>
            </w:pPr>
            <w:r>
              <w:rPr>
                <w:sz w:val="20"/>
              </w:rPr>
              <w:t xml:space="preserve">(a) </w:t>
            </w:r>
            <w:r>
              <w:rPr>
                <w:i/>
                <w:iCs/>
                <w:sz w:val="20"/>
              </w:rPr>
              <w:t>General.</w:t>
            </w:r>
            <w:r>
              <w:rPr>
                <w:sz w:val="20"/>
              </w:rPr>
              <w:t xml:space="preserve"> A preexisting injury or disease will be considered to have been aggravated by active military, naval, or air service, where there is an increase in disability during such service, unless there is a specific finding that the increase in disability is due to the natural progress of the disease. (Authority: 38 U.S.C. 1153) </w:t>
            </w:r>
          </w:p>
          <w:p w:rsidR="00013EB8" w:rsidRDefault="00013EB8" w:rsidP="005C7617">
            <w:pPr>
              <w:pStyle w:val="NormalWeb"/>
              <w:widowControl w:val="0"/>
              <w:rPr>
                <w:sz w:val="20"/>
              </w:rPr>
            </w:pPr>
            <w:r>
              <w:rPr>
                <w:sz w:val="20"/>
              </w:rPr>
              <w:t xml:space="preserve">(b) </w:t>
            </w:r>
            <w:r>
              <w:rPr>
                <w:i/>
                <w:iCs/>
                <w:sz w:val="20"/>
              </w:rPr>
              <w:t>Wartime service; peacetime service after December 31, 1946.</w:t>
            </w:r>
            <w:r>
              <w:rPr>
                <w:sz w:val="20"/>
              </w:rPr>
              <w:t xml:space="preserve"> Clear and unmistakable evidence (obvious or manifest) is required to rebut the presumption of aggravation where the preservice disability underwent an increase in severity during service. This includes medical facts and principles which may be considered to determine whether the increase is due to the natural progress of the condition. Aggravation may not be conceded where the disability underwent no increase in severity during service on the basis of all the evidence of record pertaining to the manifestations of the disability prior to, during and subsequent to service. </w:t>
            </w:r>
          </w:p>
          <w:p w:rsidR="00013EB8" w:rsidRDefault="00013EB8" w:rsidP="005C7617">
            <w:pPr>
              <w:pStyle w:val="NormalWeb"/>
              <w:widowControl w:val="0"/>
              <w:rPr>
                <w:sz w:val="20"/>
              </w:rPr>
            </w:pPr>
            <w:r>
              <w:rPr>
                <w:sz w:val="20"/>
              </w:rPr>
              <w:t xml:space="preserve">(1) The usual effects of medical and surgical treatment in service, having the effect of ameliorating disease or other conditions incurred before enlistment, including postoperative scars, absent or poorly functioning parts or organs, will not be considered service connected unless the disease or injury is otherwise aggravated by service. </w:t>
            </w:r>
          </w:p>
          <w:p w:rsidR="00013EB8" w:rsidRDefault="00013EB8" w:rsidP="005C7617">
            <w:pPr>
              <w:pStyle w:val="NormalWeb"/>
              <w:widowControl w:val="0"/>
              <w:rPr>
                <w:sz w:val="20"/>
              </w:rPr>
            </w:pPr>
            <w:r>
              <w:rPr>
                <w:sz w:val="20"/>
              </w:rPr>
              <w:t xml:space="preserve">(2) Due regard will be given the places, types, and circumstances of service and particular consideration will be accorded combat duty and other hardships of service. The development of symptomatic manifestations of a preexisting disease or injury during or proximately following action with the enemy or following a status as a prisoner of war will establish aggravation of a disability. (Authority: 38 U.S.C. 1154) </w:t>
            </w:r>
          </w:p>
          <w:p w:rsidR="00704964" w:rsidRDefault="00013EB8" w:rsidP="005C7617">
            <w:pPr>
              <w:widowControl w:val="0"/>
              <w:tabs>
                <w:tab w:val="left" w:pos="0"/>
                <w:tab w:val="left" w:pos="144"/>
              </w:tabs>
              <w:spacing w:after="120"/>
              <w:outlineLvl w:val="0"/>
            </w:pPr>
            <w:r>
              <w:t xml:space="preserve">(c) </w:t>
            </w:r>
            <w:r>
              <w:rPr>
                <w:i/>
                <w:iCs/>
              </w:rPr>
              <w:t>Peacetime service prior to December 7, 1941.</w:t>
            </w:r>
            <w:r>
              <w:t xml:space="preserve"> The specific finding requirement that an increase in disability is due to the natural progress of the condition will be met when the available evidence of a nature generally acceptable as competent shows that the increase in severity of a disease or injury or acceleration in progress was that normally to be expected by reason of the inherent character of the condition, aside from any extraneous or contributing cause or influence peculiar to military service. Consideration will be given to the circumstances, conditions, and hardships of service.</w:t>
            </w:r>
          </w:p>
          <w:p w:rsidR="00F673C9" w:rsidRDefault="00F673C9" w:rsidP="005C7617">
            <w:pPr>
              <w:widowControl w:val="0"/>
              <w:tabs>
                <w:tab w:val="left" w:pos="0"/>
                <w:tab w:val="left" w:pos="144"/>
              </w:tabs>
              <w:spacing w:after="120"/>
              <w:outlineLvl w:val="0"/>
            </w:pPr>
          </w:p>
          <w:tbl>
            <w:tblPr>
              <w:tblW w:w="10875" w:type="dxa"/>
              <w:tblLayout w:type="fixed"/>
              <w:tblCellMar>
                <w:left w:w="30" w:type="dxa"/>
                <w:right w:w="30" w:type="dxa"/>
              </w:tblCellMar>
              <w:tblLook w:val="0000" w:firstRow="0" w:lastRow="0" w:firstColumn="0" w:lastColumn="0" w:noHBand="0" w:noVBand="0"/>
            </w:tblPr>
            <w:tblGrid>
              <w:gridCol w:w="690"/>
              <w:gridCol w:w="15"/>
              <w:gridCol w:w="10170"/>
            </w:tblGrid>
            <w:tr w:rsidR="00704964" w:rsidTr="00704964">
              <w:trPr>
                <w:trHeight w:val="253"/>
              </w:trPr>
              <w:tc>
                <w:tcPr>
                  <w:tcW w:w="705" w:type="dxa"/>
                  <w:gridSpan w:val="2"/>
                  <w:tcBorders>
                    <w:top w:val="nil"/>
                    <w:left w:val="nil"/>
                    <w:bottom w:val="nil"/>
                    <w:right w:val="nil"/>
                  </w:tcBorders>
                </w:tcPr>
                <w:p w:rsidR="00704964" w:rsidRDefault="00704964" w:rsidP="005C7617">
                  <w:pPr>
                    <w:widowControl w:val="0"/>
                    <w:numPr>
                      <w:ilvl w:val="12"/>
                      <w:numId w:val="0"/>
                    </w:numPr>
                    <w:rPr>
                      <w:b/>
                    </w:rPr>
                  </w:pPr>
                  <w:r w:rsidRPr="00F673C9">
                    <w:rPr>
                      <w:b/>
                      <w:iCs/>
                    </w:rPr>
                    <w:t>3.322</w:t>
                  </w:r>
                </w:p>
              </w:tc>
              <w:tc>
                <w:tcPr>
                  <w:tcW w:w="10170" w:type="dxa"/>
                  <w:tcBorders>
                    <w:top w:val="nil"/>
                    <w:left w:val="nil"/>
                    <w:bottom w:val="nil"/>
                    <w:right w:val="nil"/>
                  </w:tcBorders>
                </w:tcPr>
                <w:p w:rsidR="00704964" w:rsidRDefault="00704964" w:rsidP="005C7617">
                  <w:pPr>
                    <w:widowControl w:val="0"/>
                    <w:numPr>
                      <w:ilvl w:val="12"/>
                      <w:numId w:val="0"/>
                    </w:numPr>
                    <w:rPr>
                      <w:b/>
                    </w:rPr>
                  </w:pPr>
                  <w:r>
                    <w:rPr>
                      <w:b/>
                    </w:rPr>
                    <w:t>Rating of disabilities aggravated by service</w:t>
                  </w:r>
                </w:p>
                <w:p w:rsidR="00704964" w:rsidRDefault="00704964" w:rsidP="005C7617">
                  <w:pPr>
                    <w:pStyle w:val="NormalWeb"/>
                    <w:widowControl w:val="0"/>
                    <w:ind w:left="45" w:right="795"/>
                    <w:rPr>
                      <w:rFonts w:eastAsia="Arial Unicode MS"/>
                      <w:sz w:val="20"/>
                    </w:rPr>
                  </w:pPr>
                  <w:r>
                    <w:rPr>
                      <w:sz w:val="20"/>
                    </w:rPr>
                    <w:t xml:space="preserve">(a) </w:t>
                  </w:r>
                  <w:r>
                    <w:rPr>
                      <w:i/>
                      <w:iCs/>
                      <w:sz w:val="20"/>
                    </w:rPr>
                    <w:t>Aggravation of preservice disability.</w:t>
                  </w:r>
                  <w:r>
                    <w:rPr>
                      <w:sz w:val="20"/>
                    </w:rPr>
                    <w:t xml:space="preserve"> In cases involving aggravation by active service, the rating will reflect only the degree of disability over and above the degree of disability existing at the time of entrance into active service, whether the particular condition was noted at the time of entrance into active service, or whether it is determined upon the evidence of record to have existed at that time. It is necessary to deduct from the present evaluation the degree, if ascertainable, of the disability existing at the time of entrance into active service, in terms of the rating schedule except that if the disability is total (100 percent) no deduction will be made. If the degree of disability at the time of entrance into service is not ascertainable in terms of the schedule, no deduction will be made. </w:t>
                  </w:r>
                </w:p>
                <w:p w:rsidR="00704964" w:rsidRDefault="00704964" w:rsidP="005C7617">
                  <w:pPr>
                    <w:pStyle w:val="NormalWeb"/>
                    <w:widowControl w:val="0"/>
                    <w:ind w:right="792"/>
                    <w:rPr>
                      <w:b/>
                      <w:sz w:val="20"/>
                    </w:rPr>
                  </w:pPr>
                  <w:r>
                    <w:rPr>
                      <w:sz w:val="20"/>
                    </w:rPr>
                    <w:t xml:space="preserve">(b) </w:t>
                  </w:r>
                  <w:r>
                    <w:rPr>
                      <w:i/>
                      <w:iCs/>
                      <w:sz w:val="20"/>
                    </w:rPr>
                    <w:t>Aggravation of service-connected disability.</w:t>
                  </w:r>
                  <w:r>
                    <w:rPr>
                      <w:sz w:val="20"/>
                    </w:rPr>
                    <w:t xml:space="preserve"> Where a disease or injury incurred in peacetime service is aggravated during service in a period of war, or conversely, where a disease or injury incurred in service during a period of war is aggravated during peacetime service, the entire disability flowing from the disease or injury will be service connected based on the war service. </w:t>
                  </w:r>
                </w:p>
              </w:tc>
            </w:tr>
            <w:tr w:rsidR="00B70623" w:rsidTr="00052878">
              <w:trPr>
                <w:trHeight w:val="253"/>
              </w:trPr>
              <w:tc>
                <w:tcPr>
                  <w:tcW w:w="705" w:type="dxa"/>
                  <w:gridSpan w:val="2"/>
                  <w:tcBorders>
                    <w:top w:val="nil"/>
                    <w:left w:val="nil"/>
                    <w:bottom w:val="nil"/>
                    <w:right w:val="nil"/>
                  </w:tcBorders>
                </w:tcPr>
                <w:p w:rsidR="00B70623" w:rsidRDefault="00B70623" w:rsidP="005C7617">
                  <w:pPr>
                    <w:widowControl w:val="0"/>
                    <w:numPr>
                      <w:ilvl w:val="12"/>
                      <w:numId w:val="0"/>
                    </w:numPr>
                    <w:rPr>
                      <w:b/>
                    </w:rPr>
                  </w:pPr>
                </w:p>
              </w:tc>
              <w:tc>
                <w:tcPr>
                  <w:tcW w:w="10170" w:type="dxa"/>
                  <w:tcBorders>
                    <w:top w:val="nil"/>
                    <w:left w:val="nil"/>
                    <w:bottom w:val="nil"/>
                    <w:right w:val="nil"/>
                  </w:tcBorders>
                </w:tcPr>
                <w:p w:rsidR="00B70623" w:rsidRDefault="00B70623" w:rsidP="005C7617">
                  <w:pPr>
                    <w:pStyle w:val="NormalWeb"/>
                    <w:widowControl w:val="0"/>
                    <w:rPr>
                      <w:b/>
                      <w:sz w:val="20"/>
                    </w:rPr>
                  </w:pPr>
                </w:p>
              </w:tc>
            </w:tr>
            <w:tr w:rsidR="00B70623" w:rsidTr="00704964">
              <w:trPr>
                <w:trHeight w:val="240"/>
              </w:trPr>
              <w:tc>
                <w:tcPr>
                  <w:tcW w:w="690" w:type="dxa"/>
                  <w:tcBorders>
                    <w:top w:val="nil"/>
                    <w:left w:val="nil"/>
                    <w:bottom w:val="nil"/>
                    <w:right w:val="nil"/>
                  </w:tcBorders>
                </w:tcPr>
                <w:p w:rsidR="00B70623" w:rsidRDefault="00B70623" w:rsidP="005C7617">
                  <w:pPr>
                    <w:widowControl w:val="0"/>
                    <w:numPr>
                      <w:ilvl w:val="12"/>
                      <w:numId w:val="0"/>
                    </w:numPr>
                    <w:rPr>
                      <w:b/>
                    </w:rPr>
                  </w:pPr>
                  <w:r w:rsidRPr="00F673C9">
                    <w:rPr>
                      <w:b/>
                      <w:iCs/>
                    </w:rPr>
                    <w:t>4.22</w:t>
                  </w:r>
                </w:p>
              </w:tc>
              <w:tc>
                <w:tcPr>
                  <w:tcW w:w="10185" w:type="dxa"/>
                  <w:gridSpan w:val="2"/>
                  <w:tcBorders>
                    <w:top w:val="nil"/>
                    <w:left w:val="nil"/>
                    <w:bottom w:val="nil"/>
                    <w:right w:val="nil"/>
                  </w:tcBorders>
                </w:tcPr>
                <w:p w:rsidR="00B70623" w:rsidRDefault="00B70623" w:rsidP="005C7617">
                  <w:pPr>
                    <w:widowControl w:val="0"/>
                    <w:numPr>
                      <w:ilvl w:val="12"/>
                      <w:numId w:val="0"/>
                    </w:numPr>
                    <w:rPr>
                      <w:b/>
                    </w:rPr>
                  </w:pPr>
                  <w:r>
                    <w:rPr>
                      <w:b/>
                    </w:rPr>
                    <w:t>Rating of disabilities aggravated by active service</w:t>
                  </w:r>
                </w:p>
                <w:p w:rsidR="00B70623" w:rsidRPr="00052878" w:rsidRDefault="00B70623" w:rsidP="005C7617">
                  <w:pPr>
                    <w:pStyle w:val="NormalWeb"/>
                    <w:widowControl w:val="0"/>
                    <w:ind w:right="705"/>
                    <w:rPr>
                      <w:sz w:val="20"/>
                    </w:rPr>
                  </w:pPr>
                  <w:r>
                    <w:rPr>
                      <w:sz w:val="20"/>
                    </w:rPr>
                    <w:t xml:space="preserve">In cases involving aggravation by active service, the rating will reflect only the degree of disability over and above the degree existing at the time of entrance into the active service whether the particular condition was noted at the time of entrance into the active service, or it is determined upon the evidence of record to have existed at that time. It is necessary therefore, in all cases of this character to deduct from the present degree of disability the degree, if ascertainable, of the disability existing at the time of entrance into active service, in terms of the rating schedule, except that if the disability is total (100 percent) no deduction will be made. The resulting difference will be recorded on the rating sheet. If the degree of disability at the time of entrance into the service is not ascertainable in terms of the schedule, no deduction </w:t>
                  </w:r>
                  <w:r w:rsidR="00052878">
                    <w:rPr>
                      <w:sz w:val="20"/>
                    </w:rPr>
                    <w:t>will be made.</w:t>
                  </w:r>
                  <w:hyperlink r:id="rId383" w:anchor="Nav" w:tooltip="Click here to go to the top navigation bar." w:history="1"/>
                </w:p>
              </w:tc>
            </w:tr>
          </w:tbl>
          <w:p w:rsidR="00013EB8" w:rsidRDefault="00013EB8" w:rsidP="00F063AF">
            <w:pPr>
              <w:widowControl w:val="0"/>
              <w:numPr>
                <w:ilvl w:val="0"/>
                <w:numId w:val="233"/>
              </w:numPr>
              <w:tabs>
                <w:tab w:val="left" w:pos="360"/>
              </w:tabs>
              <w:spacing w:after="120"/>
              <w:ind w:left="330"/>
              <w:rPr>
                <w:b/>
              </w:rPr>
            </w:pPr>
            <w:r>
              <w:rPr>
                <w:b/>
              </w:rPr>
              <w:t>Cotant, 17/not published</w:t>
            </w:r>
            <w:r>
              <w:t xml:space="preserve"> -pre-existing condition and aggravation; Clear and Unmistakable standard; Judicial notice; Absurd results</w:t>
            </w:r>
          </w:p>
          <w:p w:rsidR="00013EB8" w:rsidRPr="00050A3C" w:rsidRDefault="00013EB8" w:rsidP="00F063AF">
            <w:pPr>
              <w:widowControl w:val="0"/>
              <w:numPr>
                <w:ilvl w:val="0"/>
                <w:numId w:val="233"/>
              </w:numPr>
              <w:tabs>
                <w:tab w:val="left" w:pos="360"/>
              </w:tabs>
              <w:spacing w:after="120"/>
              <w:ind w:left="330"/>
              <w:rPr>
                <w:b/>
              </w:rPr>
            </w:pPr>
            <w:r>
              <w:rPr>
                <w:b/>
                <w:i/>
                <w:iCs/>
              </w:rPr>
              <w:t>Hunt v. Derwinski</w:t>
            </w:r>
            <w:r>
              <w:rPr>
                <w:b/>
              </w:rPr>
              <w:t xml:space="preserve"> (1991) </w:t>
            </w:r>
            <w:r>
              <w:rPr>
                <w:bCs/>
              </w:rPr>
              <w:t>– temporary or intermittent flare-ups are not aggravation unless the condition (not symptoms) is worsened</w:t>
            </w:r>
          </w:p>
          <w:p w:rsidR="00050A3C" w:rsidRPr="00050A3C" w:rsidRDefault="00050A3C" w:rsidP="00F063AF">
            <w:pPr>
              <w:widowControl w:val="0"/>
              <w:numPr>
                <w:ilvl w:val="0"/>
                <w:numId w:val="233"/>
              </w:numPr>
              <w:tabs>
                <w:tab w:val="left" w:pos="360"/>
              </w:tabs>
              <w:spacing w:after="120"/>
              <w:ind w:left="330"/>
              <w:rPr>
                <w:b/>
              </w:rPr>
            </w:pPr>
            <w:r w:rsidRPr="00050A3C">
              <w:rPr>
                <w:b/>
                <w:i/>
              </w:rPr>
              <w:t>Monroe v Brown</w:t>
            </w:r>
            <w:r w:rsidRPr="00050A3C">
              <w:t xml:space="preserve"> </w:t>
            </w:r>
            <w:r w:rsidRPr="00050A3C">
              <w:rPr>
                <w:b/>
              </w:rPr>
              <w:t>(1993)</w:t>
            </w:r>
            <w:r w:rsidRPr="00050A3C">
              <w:t xml:space="preserve"> – defect vs disease</w:t>
            </w:r>
          </w:p>
          <w:p w:rsidR="00013EB8" w:rsidRPr="00B62A55" w:rsidRDefault="00013EB8" w:rsidP="00F063AF">
            <w:pPr>
              <w:widowControl w:val="0"/>
              <w:numPr>
                <w:ilvl w:val="0"/>
                <w:numId w:val="233"/>
              </w:numPr>
              <w:tabs>
                <w:tab w:val="left" w:pos="360"/>
              </w:tabs>
              <w:spacing w:after="120"/>
              <w:ind w:left="330"/>
              <w:rPr>
                <w:b/>
              </w:rPr>
            </w:pPr>
            <w:r>
              <w:rPr>
                <w:b/>
                <w:i/>
                <w:iCs/>
              </w:rPr>
              <w:t>Crowe v. Brown</w:t>
            </w:r>
            <w:r>
              <w:rPr>
                <w:b/>
              </w:rPr>
              <w:t xml:space="preserve"> (1994) – </w:t>
            </w:r>
            <w:r>
              <w:rPr>
                <w:bCs/>
              </w:rPr>
              <w:t>VA’s burden to show that a disability preexisted service and was not aggravated by service is a “formidable burden,” has to be recorded on examination and a history of preservice existence is not enough</w:t>
            </w:r>
            <w:r w:rsidR="00B62A55">
              <w:rPr>
                <w:bCs/>
              </w:rPr>
              <w:t xml:space="preserve">. AND </w:t>
            </w:r>
            <w:r w:rsidR="00B62A55">
              <w:rPr>
                <w:szCs w:val="26"/>
              </w:rPr>
              <w:t xml:space="preserve">Independent medical evidence is needed to support a finding that the preexisting disorder </w:t>
            </w:r>
            <w:r w:rsidR="00B62A55" w:rsidRPr="00B62A55">
              <w:t xml:space="preserve">increased in severity in service. </w:t>
            </w:r>
            <w:r w:rsidR="00B62A55" w:rsidRPr="00B62A55">
              <w:rPr>
                <w:i/>
              </w:rPr>
              <w:t>Also see Paulson v. Brown</w:t>
            </w:r>
            <w:r w:rsidR="00B62A55" w:rsidRPr="00B62A55">
              <w:t>, 7 Vet. App. 466, 470-471 (1995)</w:t>
            </w:r>
          </w:p>
          <w:p w:rsidR="00B62A55" w:rsidRPr="00B62A55" w:rsidRDefault="00013EB8" w:rsidP="00F063AF">
            <w:pPr>
              <w:widowControl w:val="0"/>
              <w:numPr>
                <w:ilvl w:val="0"/>
                <w:numId w:val="233"/>
              </w:numPr>
              <w:tabs>
                <w:tab w:val="left" w:pos="330"/>
              </w:tabs>
              <w:spacing w:after="120" w:line="240" w:lineRule="atLeast"/>
              <w:ind w:left="330" w:hanging="330"/>
            </w:pPr>
            <w:r w:rsidRPr="00B62A55">
              <w:rPr>
                <w:b/>
                <w:i/>
                <w:iCs/>
              </w:rPr>
              <w:t>Laposky v. Brown</w:t>
            </w:r>
            <w:r w:rsidRPr="00B62A55">
              <w:rPr>
                <w:b/>
              </w:rPr>
              <w:t xml:space="preserve"> (1994) </w:t>
            </w:r>
            <w:r w:rsidRPr="00B62A55">
              <w:rPr>
                <w:bCs/>
              </w:rPr>
              <w:t>– The clear and unmistakable eviden</w:t>
            </w:r>
            <w:r w:rsidR="00FC2411">
              <w:rPr>
                <w:bCs/>
              </w:rPr>
              <w:t>ce standard is an “onerous one</w:t>
            </w:r>
            <w:r w:rsidR="001946CC">
              <w:rPr>
                <w:bCs/>
              </w:rPr>
              <w:t>.”</w:t>
            </w:r>
          </w:p>
          <w:p w:rsidR="00B62A55" w:rsidRPr="00B62A55" w:rsidRDefault="00B62A55" w:rsidP="00F063AF">
            <w:pPr>
              <w:pStyle w:val="ListParagraph"/>
              <w:widowControl w:val="0"/>
              <w:numPr>
                <w:ilvl w:val="0"/>
                <w:numId w:val="170"/>
              </w:numPr>
              <w:spacing w:after="120" w:line="240" w:lineRule="atLeast"/>
              <w:ind w:left="330" w:hanging="330"/>
              <w:rPr>
                <w:rFonts w:ascii="Arial" w:hAnsi="Arial"/>
                <w:sz w:val="20"/>
                <w:szCs w:val="20"/>
              </w:rPr>
            </w:pPr>
            <w:r w:rsidRPr="00B62A55">
              <w:rPr>
                <w:rFonts w:ascii="Arial" w:hAnsi="Arial"/>
                <w:b/>
                <w:i/>
                <w:sz w:val="20"/>
                <w:szCs w:val="20"/>
              </w:rPr>
              <w:t>Jensen v. Brown</w:t>
            </w:r>
            <w:r>
              <w:rPr>
                <w:rFonts w:ascii="Arial" w:hAnsi="Arial"/>
                <w:b/>
                <w:i/>
                <w:sz w:val="20"/>
                <w:szCs w:val="20"/>
              </w:rPr>
              <w:t xml:space="preserve"> </w:t>
            </w:r>
            <w:r w:rsidRPr="00B62A55">
              <w:rPr>
                <w:rFonts w:ascii="Arial" w:hAnsi="Arial"/>
                <w:sz w:val="20"/>
                <w:szCs w:val="20"/>
              </w:rPr>
              <w:t>(Fed. Cir. 1994). The burden falls on the veteran to establish aggravation. If there is no evidence of injury, complaints, or treatment of the preexisting disability in service, the veteran’s burden of proof is not met. AND 38 U.S.C. 1153</w:t>
            </w:r>
            <w:r w:rsidRPr="00B62A55">
              <w:rPr>
                <w:rFonts w:ascii="Arial" w:hAnsi="Arial"/>
                <w:b/>
                <w:sz w:val="20"/>
                <w:szCs w:val="20"/>
              </w:rPr>
              <w:t xml:space="preserve"> </w:t>
            </w:r>
            <w:r w:rsidRPr="00B62A55">
              <w:rPr>
                <w:rFonts w:ascii="Arial" w:hAnsi="Arial"/>
                <w:sz w:val="20"/>
                <w:szCs w:val="20"/>
              </w:rPr>
              <w:t xml:space="preserve">requires some increase in the severity of the preexisting condition causally related to military service.  AND 38 U.S.C. 1153 requires an increase in the severity of the preexisting condition, as distinguished from the mere recurrence of manifestations of the pre-service condition. ALSO see </w:t>
            </w:r>
            <w:r w:rsidRPr="00B62A55">
              <w:rPr>
                <w:rFonts w:ascii="Arial" w:hAnsi="Arial"/>
                <w:i/>
                <w:sz w:val="20"/>
                <w:szCs w:val="20"/>
              </w:rPr>
              <w:t xml:space="preserve">Davis v. Principi </w:t>
            </w:r>
            <w:r w:rsidRPr="00B62A55">
              <w:rPr>
                <w:rFonts w:ascii="Arial" w:hAnsi="Arial"/>
                <w:sz w:val="20"/>
                <w:szCs w:val="20"/>
              </w:rPr>
              <w:t xml:space="preserve">(Fed. Cir. 2002) and </w:t>
            </w:r>
            <w:r w:rsidRPr="00B62A55">
              <w:rPr>
                <w:rFonts w:ascii="Arial" w:hAnsi="Arial"/>
                <w:i/>
                <w:sz w:val="20"/>
                <w:szCs w:val="20"/>
              </w:rPr>
              <w:t>Hunt v. Derwinski</w:t>
            </w:r>
            <w:r w:rsidRPr="00B62A55">
              <w:rPr>
                <w:rFonts w:ascii="Arial" w:hAnsi="Arial"/>
                <w:sz w:val="20"/>
                <w:szCs w:val="20"/>
              </w:rPr>
              <w:t xml:space="preserve"> (1991).</w:t>
            </w:r>
          </w:p>
          <w:p w:rsidR="00013EB8" w:rsidRDefault="00013EB8" w:rsidP="00F063AF">
            <w:pPr>
              <w:widowControl w:val="0"/>
              <w:numPr>
                <w:ilvl w:val="0"/>
                <w:numId w:val="233"/>
              </w:numPr>
              <w:tabs>
                <w:tab w:val="left" w:pos="360"/>
              </w:tabs>
              <w:spacing w:after="120"/>
              <w:ind w:left="330"/>
            </w:pPr>
            <w:r w:rsidRPr="00055F2D">
              <w:rPr>
                <w:b/>
                <w:i/>
              </w:rPr>
              <w:t>LeShore v. Brown</w:t>
            </w:r>
            <w:r>
              <w:rPr>
                <w:b/>
              </w:rPr>
              <w:t xml:space="preserve"> </w:t>
            </w:r>
            <w:r>
              <w:rPr>
                <w:bCs/>
              </w:rPr>
              <w:t>(11/22/95)</w:t>
            </w:r>
            <w:r>
              <w:t xml:space="preserve"> - the record of history without more is of no value; info (as reported by vet) recorded in treatment record or VAE is not competent medical evidence. [Court &amp; General Counsel say need clear &amp; unmistakable evidence that existed prior to enlistment if condition is not on entrance exam]</w:t>
            </w:r>
          </w:p>
          <w:p w:rsidR="00013EB8" w:rsidRDefault="00013EB8" w:rsidP="00F063AF">
            <w:pPr>
              <w:widowControl w:val="0"/>
              <w:numPr>
                <w:ilvl w:val="0"/>
                <w:numId w:val="233"/>
              </w:numPr>
              <w:tabs>
                <w:tab w:val="left" w:pos="360"/>
              </w:tabs>
              <w:spacing w:after="120"/>
              <w:ind w:left="330"/>
            </w:pPr>
            <w:r>
              <w:rPr>
                <w:b/>
                <w:i/>
              </w:rPr>
              <w:t>Bloom v. West</w:t>
            </w:r>
            <w:r>
              <w:rPr>
                <w:b/>
              </w:rPr>
              <w:t xml:space="preserve"> (2/10/99), </w:t>
            </w:r>
            <w:r>
              <w:rPr>
                <w:b/>
                <w:i/>
              </w:rPr>
              <w:t>Mattern v. West</w:t>
            </w:r>
            <w:r>
              <w:rPr>
                <w:b/>
              </w:rPr>
              <w:t xml:space="preserve"> (2/23/99) and </w:t>
            </w:r>
            <w:r>
              <w:rPr>
                <w:b/>
                <w:i/>
              </w:rPr>
              <w:t>Link v. West</w:t>
            </w:r>
            <w:r>
              <w:rPr>
                <w:b/>
              </w:rPr>
              <w:t xml:space="preserve"> (11/18/98) </w:t>
            </w:r>
            <w:r>
              <w:t xml:space="preserve">- sets forth when a Doctor’s statement is speculative.  </w:t>
            </w:r>
          </w:p>
          <w:p w:rsidR="00013EB8" w:rsidRDefault="00013EB8" w:rsidP="00F063AF">
            <w:pPr>
              <w:widowControl w:val="0"/>
              <w:numPr>
                <w:ilvl w:val="0"/>
                <w:numId w:val="233"/>
              </w:numPr>
              <w:tabs>
                <w:tab w:val="left" w:pos="360"/>
              </w:tabs>
              <w:spacing w:after="120"/>
              <w:ind w:left="330"/>
            </w:pPr>
            <w:r>
              <w:rPr>
                <w:b/>
                <w:i/>
              </w:rPr>
              <w:t>Splane v. West</w:t>
            </w:r>
            <w:r>
              <w:rPr>
                <w:b/>
              </w:rPr>
              <w:t>, 216 F. 3d 1058 (2000)</w:t>
            </w:r>
            <w:r>
              <w:t xml:space="preserve"> - establishes SC for a condition that existed prior to enlistment but became aggravated to a compensable degree after service [during presumptive period]</w:t>
            </w:r>
          </w:p>
          <w:p w:rsidR="00013EB8" w:rsidRDefault="00013EB8" w:rsidP="00F063AF">
            <w:pPr>
              <w:widowControl w:val="0"/>
              <w:numPr>
                <w:ilvl w:val="0"/>
                <w:numId w:val="233"/>
              </w:numPr>
              <w:tabs>
                <w:tab w:val="left" w:pos="360"/>
              </w:tabs>
              <w:spacing w:after="120"/>
              <w:ind w:left="330"/>
              <w:rPr>
                <w:b/>
              </w:rPr>
            </w:pPr>
            <w:r>
              <w:rPr>
                <w:b/>
                <w:i/>
              </w:rPr>
              <w:t>Adams v. West</w:t>
            </w:r>
            <w:r>
              <w:rPr>
                <w:b/>
              </w:rPr>
              <w:t xml:space="preserve"> (5/1/00) </w:t>
            </w:r>
            <w:r>
              <w:t>- MDs cannot weasel word- statements have to be definite (case specifically about presumption of soundness)</w:t>
            </w:r>
          </w:p>
          <w:p w:rsidR="00013EB8" w:rsidRDefault="00013EB8" w:rsidP="00F063AF">
            <w:pPr>
              <w:widowControl w:val="0"/>
              <w:numPr>
                <w:ilvl w:val="0"/>
                <w:numId w:val="233"/>
              </w:numPr>
              <w:tabs>
                <w:tab w:val="left" w:pos="360"/>
              </w:tabs>
              <w:spacing w:after="120"/>
              <w:ind w:left="330"/>
            </w:pPr>
            <w:r>
              <w:rPr>
                <w:b/>
                <w:i/>
              </w:rPr>
              <w:t>Davis v. Principi</w:t>
            </w:r>
            <w:r>
              <w:rPr>
                <w:b/>
              </w:rPr>
              <w:t xml:space="preserve"> (1/11/02) </w:t>
            </w:r>
            <w:r>
              <w:t>- The Court held “that evidence of temporary flare-ups symptomatic of an underlying preexisting condition, alone, is not sufficient for a non-combat veteran to show increased disability under 38 U.S.C. sec 1153 unless the underlying condition is worsened.”</w:t>
            </w:r>
          </w:p>
          <w:p w:rsidR="00013EB8" w:rsidRDefault="00013EB8" w:rsidP="00F063AF">
            <w:pPr>
              <w:widowControl w:val="0"/>
              <w:numPr>
                <w:ilvl w:val="0"/>
                <w:numId w:val="233"/>
              </w:numPr>
              <w:spacing w:after="120"/>
              <w:ind w:left="330"/>
            </w:pPr>
            <w:r>
              <w:rPr>
                <w:b/>
                <w:i/>
              </w:rPr>
              <w:t>Jordan v. Principi</w:t>
            </w:r>
            <w:r>
              <w:rPr>
                <w:b/>
              </w:rPr>
              <w:t xml:space="preserve"> (9/24/03) </w:t>
            </w:r>
            <w:r>
              <w:t>- good discussion of issue of whether a condition existed prior to enlistment and aggravation; CUE “does not include the otherwise correct application of a statute or regulation where, subsequent to the Board decision challenged, there has been a change in the interpretation of the statute or regulation.”</w:t>
            </w:r>
          </w:p>
          <w:p w:rsidR="00013EB8" w:rsidRDefault="00013EB8" w:rsidP="00F063AF">
            <w:pPr>
              <w:widowControl w:val="0"/>
              <w:numPr>
                <w:ilvl w:val="0"/>
                <w:numId w:val="233"/>
              </w:numPr>
              <w:spacing w:after="120"/>
              <w:ind w:left="330"/>
            </w:pPr>
            <w:r>
              <w:rPr>
                <w:b/>
                <w:i/>
              </w:rPr>
              <w:t xml:space="preserve">VAOPGCPREC 3-2003 </w:t>
            </w:r>
            <w:r w:rsidRPr="00F863FB">
              <w:t>(7/16/03)</w:t>
            </w:r>
            <w:r w:rsidR="00387D3E">
              <w:rPr>
                <w:b/>
                <w:i/>
              </w:rPr>
              <w:t xml:space="preserve"> </w:t>
            </w:r>
            <w:r>
              <w:t>-</w:t>
            </w:r>
            <w:r w:rsidR="00042F5B">
              <w:t xml:space="preserve"> </w:t>
            </w:r>
            <w:r>
              <w:t>To rebut the presumption of sound condition VA must show by clear and unmistakable evidence both that the disease or injury existed prior to service and that the disease or injury was not aggravated by service.  The provisions of 38 CFR 3.304(b) are inconsistent with 38 U.S.C. 1111 insofar as Sec.  3.304(b) states that the presumption of sound condition may be rebutted solely by clear and unmistakable evidence that a disease or injury existed prior to service. Section 3.304(b) is therefore invalid and should not be followed. 3.306(b), which provides that aggravation may not be conceded unless the preexisting condition increased in severity during service, is not inconsistent with 38 U.S.C. 1111 and properly provides that a preexisting injury or disease will be presumed to have been aggravated in service in cases where there was an increase in disability during service. The requirement of an increase in disability in 38 CFR 3.306(b) applies only to determinations concerning the presumption of aggravation and does not apply to determinations concerning the presumption of sound condition.</w:t>
            </w:r>
          </w:p>
          <w:p w:rsidR="00013EB8" w:rsidRDefault="00013EB8" w:rsidP="00F063AF">
            <w:pPr>
              <w:widowControl w:val="0"/>
              <w:numPr>
                <w:ilvl w:val="0"/>
                <w:numId w:val="233"/>
              </w:numPr>
              <w:spacing w:after="120"/>
              <w:ind w:left="330"/>
            </w:pPr>
            <w:r>
              <w:rPr>
                <w:b/>
                <w:i/>
              </w:rPr>
              <w:t>Wagner v</w:t>
            </w:r>
            <w:r>
              <w:t xml:space="preserve">. </w:t>
            </w:r>
            <w:r>
              <w:rPr>
                <w:b/>
                <w:bCs/>
                <w:i/>
                <w:iCs/>
              </w:rPr>
              <w:t xml:space="preserve">Principi </w:t>
            </w:r>
            <w:r>
              <w:rPr>
                <w:b/>
                <w:bCs/>
              </w:rPr>
              <w:t>(Fed. Cir 2004)</w:t>
            </w:r>
            <w:r>
              <w:t xml:space="preserve"> – if consider it pre-existing, then have to consider aggravation (and will deduct the degree of disability existing at the time of entrance if aggravated) </w:t>
            </w:r>
          </w:p>
          <w:p w:rsidR="00640DF1" w:rsidRDefault="00640DF1" w:rsidP="00F063AF">
            <w:pPr>
              <w:widowControl w:val="0"/>
              <w:numPr>
                <w:ilvl w:val="0"/>
                <w:numId w:val="233"/>
              </w:numPr>
              <w:spacing w:after="120"/>
              <w:ind w:left="330"/>
            </w:pPr>
            <w:r w:rsidRPr="00055F2D">
              <w:rPr>
                <w:b/>
                <w:i/>
              </w:rPr>
              <w:t>Morris v. Shinseki</w:t>
            </w:r>
            <w:r>
              <w:t xml:space="preserve"> (5/15/12) </w:t>
            </w:r>
            <w:r w:rsidRPr="00497BCC">
              <w:t xml:space="preserve">- </w:t>
            </w:r>
            <w:r w:rsidR="00497BCC" w:rsidRPr="00497BCC">
              <w:t>the finding of a personality disorder in service does not implicate the presumption of soundness</w:t>
            </w:r>
          </w:p>
          <w:p w:rsidR="00195DA6" w:rsidRDefault="00195DA6" w:rsidP="00F063AF">
            <w:pPr>
              <w:widowControl w:val="0"/>
              <w:numPr>
                <w:ilvl w:val="0"/>
                <w:numId w:val="233"/>
              </w:numPr>
              <w:spacing w:after="120"/>
              <w:ind w:left="330"/>
            </w:pPr>
            <w:r w:rsidRPr="00055F2D">
              <w:rPr>
                <w:b/>
                <w:i/>
              </w:rPr>
              <w:t>Horn v. Shinseki</w:t>
            </w:r>
            <w:r>
              <w:t xml:space="preserve"> (6/21/12) – indication that existed prior to service &amp; not aggravated on MEB, without explanation does not constitute clear and unmistakable evidence of lack of aggravation </w:t>
            </w:r>
          </w:p>
          <w:p w:rsidR="00195DA6" w:rsidRPr="00DF65BB" w:rsidRDefault="00195DA6" w:rsidP="00F063AF">
            <w:pPr>
              <w:widowControl w:val="0"/>
              <w:numPr>
                <w:ilvl w:val="0"/>
                <w:numId w:val="233"/>
              </w:numPr>
              <w:spacing w:after="120"/>
              <w:ind w:left="330"/>
            </w:pPr>
            <w:r w:rsidRPr="00055F2D">
              <w:rPr>
                <w:b/>
                <w:i/>
              </w:rPr>
              <w:t>Gilbert v. Shinseki</w:t>
            </w:r>
            <w:r w:rsidRPr="00DF65BB">
              <w:t xml:space="preserve"> (10/24/12) – the inability to rebut the presumption of soundness does not result in a presumption of aggravation, as the in-service disease or injury is deemed to have been incurred in service</w:t>
            </w:r>
            <w:r w:rsidR="00DF65BB" w:rsidRPr="00DF65BB">
              <w:t xml:space="preserve">. If the in-service injury or disease is deemed service-incurred under the presumption of soundness, disability compensation is only warranted for a current disability if the evidence is in equipoise that the current disability is related to the in-service disease or injury.    </w:t>
            </w:r>
          </w:p>
          <w:p w:rsidR="00EE1118" w:rsidRDefault="00A66690" w:rsidP="00F063AF">
            <w:pPr>
              <w:widowControl w:val="0"/>
              <w:numPr>
                <w:ilvl w:val="0"/>
                <w:numId w:val="233"/>
              </w:numPr>
              <w:spacing w:after="120"/>
              <w:ind w:left="330"/>
            </w:pPr>
            <w:r>
              <w:rPr>
                <w:b/>
                <w:u w:val="single"/>
              </w:rPr>
              <w:t>April</w:t>
            </w:r>
            <w:r w:rsidR="00862554">
              <w:rPr>
                <w:b/>
                <w:u w:val="single"/>
              </w:rPr>
              <w:t xml:space="preserve"> 2013 </w:t>
            </w:r>
            <w:r w:rsidR="00862554" w:rsidRPr="00862554">
              <w:rPr>
                <w:b/>
                <w:u w:val="single"/>
              </w:rPr>
              <w:t>IRR</w:t>
            </w:r>
            <w:r w:rsidR="00862554">
              <w:rPr>
                <w:b/>
                <w:u w:val="single"/>
              </w:rPr>
              <w:t xml:space="preserve"> &amp;</w:t>
            </w:r>
            <w:r w:rsidR="00862554" w:rsidRPr="00862554">
              <w:rPr>
                <w:b/>
                <w:u w:val="single"/>
              </w:rPr>
              <w:t xml:space="preserve"> Consistency</w:t>
            </w:r>
            <w:r w:rsidR="00862554">
              <w:rPr>
                <w:b/>
                <w:u w:val="single"/>
              </w:rPr>
              <w:t xml:space="preserve"> Training</w:t>
            </w:r>
            <w:r>
              <w:rPr>
                <w:b/>
                <w:u w:val="single"/>
              </w:rPr>
              <w:t xml:space="preserve"> (training conducted in May)</w:t>
            </w:r>
            <w:r w:rsidR="00862554">
              <w:t xml:space="preserve"> – </w:t>
            </w:r>
            <w:r w:rsidR="008C29E7">
              <w:t xml:space="preserve">Per AVSCM, Mike Colby, </w:t>
            </w:r>
            <w:r w:rsidR="00862554" w:rsidRPr="008C29E7">
              <w:rPr>
                <w:highlight w:val="darkGray"/>
              </w:rPr>
              <w:t xml:space="preserve">if there is a pre-existing </w:t>
            </w:r>
            <w:r w:rsidR="00862554" w:rsidRPr="008C29E7">
              <w:rPr>
                <w:b/>
                <w:highlight w:val="darkGray"/>
              </w:rPr>
              <w:t>injury</w:t>
            </w:r>
            <w:r w:rsidR="00862554" w:rsidRPr="008C29E7">
              <w:rPr>
                <w:highlight w:val="darkGray"/>
              </w:rPr>
              <w:t xml:space="preserve"> that is considered healed/resolved at enlistment, then the STRs show another injury, consider it a </w:t>
            </w:r>
            <w:r w:rsidR="00862554" w:rsidRPr="008C29E7">
              <w:rPr>
                <w:i/>
                <w:highlight w:val="darkGray"/>
              </w:rPr>
              <w:t>new</w:t>
            </w:r>
            <w:r w:rsidR="00862554" w:rsidRPr="008C29E7">
              <w:rPr>
                <w:highlight w:val="darkGray"/>
              </w:rPr>
              <w:t xml:space="preserve"> injury</w:t>
            </w:r>
            <w:r w:rsidR="00EE1118" w:rsidRPr="008C29E7">
              <w:rPr>
                <w:highlight w:val="darkGray"/>
              </w:rPr>
              <w:t>/event</w:t>
            </w:r>
            <w:r w:rsidR="00862554" w:rsidRPr="008C29E7">
              <w:rPr>
                <w:highlight w:val="darkGray"/>
              </w:rPr>
              <w:t xml:space="preserve"> and not an issue of aggravation. Grant direct SC if chronic.</w:t>
            </w:r>
            <w:r w:rsidR="008C29E7">
              <w:t xml:space="preserve"> – not supported by regulations or manual.</w:t>
            </w:r>
            <w:r w:rsidR="00EE1118">
              <w:t xml:space="preserve"> A </w:t>
            </w:r>
            <w:r w:rsidR="00EE1118" w:rsidRPr="00EE1118">
              <w:rPr>
                <w:b/>
              </w:rPr>
              <w:t>disease</w:t>
            </w:r>
            <w:r w:rsidR="00EE1118">
              <w:t xml:space="preserve"> (with waiver or not) is different and will most often need</w:t>
            </w:r>
            <w:r w:rsidR="00803080">
              <w:t xml:space="preserve"> a medical opinion.</w:t>
            </w:r>
          </w:p>
          <w:p w:rsidR="00B70623" w:rsidRDefault="00B70623" w:rsidP="00F063AF">
            <w:pPr>
              <w:pStyle w:val="NoSpacing"/>
              <w:numPr>
                <w:ilvl w:val="0"/>
                <w:numId w:val="133"/>
              </w:numPr>
              <w:tabs>
                <w:tab w:val="left" w:pos="0"/>
              </w:tabs>
              <w:spacing w:after="120"/>
              <w:rPr>
                <w:rFonts w:ascii="Arial" w:hAnsi="Arial"/>
                <w:b/>
                <w:i/>
                <w:sz w:val="20"/>
                <w:szCs w:val="20"/>
                <w:u w:val="single"/>
              </w:rPr>
            </w:pPr>
            <w:r w:rsidRPr="008023FF">
              <w:rPr>
                <w:rFonts w:ascii="Arial" w:hAnsi="Arial"/>
                <w:bCs/>
                <w:sz w:val="20"/>
                <w:szCs w:val="20"/>
              </w:rPr>
              <w:t>Notes from</w:t>
            </w:r>
            <w:r w:rsidRPr="008023FF">
              <w:rPr>
                <w:bCs/>
                <w:sz w:val="20"/>
                <w:szCs w:val="20"/>
              </w:rPr>
              <w:t xml:space="preserve"> </w:t>
            </w:r>
            <w:r w:rsidRPr="008023FF">
              <w:rPr>
                <w:rFonts w:ascii="Arial" w:hAnsi="Arial"/>
                <w:b/>
                <w:i/>
                <w:sz w:val="20"/>
                <w:szCs w:val="20"/>
                <w:u w:val="single"/>
              </w:rPr>
              <w:t>J</w:t>
            </w:r>
            <w:r>
              <w:rPr>
                <w:rFonts w:ascii="Arial" w:hAnsi="Arial"/>
                <w:b/>
                <w:i/>
                <w:sz w:val="20"/>
                <w:szCs w:val="20"/>
                <w:u w:val="single"/>
              </w:rPr>
              <w:t xml:space="preserve">une </w:t>
            </w:r>
            <w:r w:rsidRPr="008023FF">
              <w:rPr>
                <w:rFonts w:ascii="Arial" w:hAnsi="Arial"/>
                <w:b/>
                <w:i/>
                <w:sz w:val="20"/>
                <w:szCs w:val="20"/>
                <w:u w:val="single"/>
              </w:rPr>
              <w:t xml:space="preserve">2014 </w:t>
            </w:r>
            <w:r>
              <w:rPr>
                <w:rFonts w:ascii="Arial" w:hAnsi="Arial"/>
                <w:b/>
                <w:i/>
                <w:sz w:val="20"/>
                <w:szCs w:val="20"/>
                <w:u w:val="single"/>
              </w:rPr>
              <w:t>Aggravation</w:t>
            </w:r>
            <w:r w:rsidRPr="008023FF">
              <w:rPr>
                <w:rFonts w:ascii="Arial" w:hAnsi="Arial"/>
                <w:b/>
                <w:i/>
                <w:sz w:val="20"/>
                <w:szCs w:val="20"/>
                <w:u w:val="single"/>
              </w:rPr>
              <w:t xml:space="preserve"> Training:</w:t>
            </w:r>
          </w:p>
          <w:p w:rsidR="00B70623" w:rsidRDefault="00B70623" w:rsidP="005C7617">
            <w:pPr>
              <w:pStyle w:val="NoSpacing"/>
              <w:tabs>
                <w:tab w:val="left" w:pos="330"/>
              </w:tabs>
              <w:spacing w:after="120"/>
              <w:ind w:left="351"/>
              <w:rPr>
                <w:rFonts w:ascii="Arial" w:hAnsi="Arial"/>
                <w:sz w:val="20"/>
                <w:szCs w:val="20"/>
              </w:rPr>
            </w:pPr>
            <w:r>
              <w:rPr>
                <w:rFonts w:ascii="Arial" w:hAnsi="Arial"/>
                <w:sz w:val="20"/>
                <w:szCs w:val="20"/>
              </w:rPr>
              <w:t xml:space="preserve">Lack of treatment in service is evidence of NO </w:t>
            </w:r>
            <w:r w:rsidRPr="00B62A55">
              <w:rPr>
                <w:rFonts w:ascii="Arial" w:hAnsi="Arial"/>
                <w:sz w:val="20"/>
                <w:szCs w:val="20"/>
              </w:rPr>
              <w:t>aggravation</w:t>
            </w:r>
            <w:r w:rsidR="00B62A55">
              <w:rPr>
                <w:rFonts w:ascii="Arial" w:hAnsi="Arial"/>
                <w:sz w:val="20"/>
                <w:szCs w:val="20"/>
              </w:rPr>
              <w:t xml:space="preserve">, </w:t>
            </w:r>
            <w:r w:rsidR="00B62A55" w:rsidRPr="00B62A55">
              <w:rPr>
                <w:rFonts w:ascii="Arial" w:hAnsi="Arial"/>
                <w:i/>
                <w:sz w:val="20"/>
                <w:szCs w:val="20"/>
              </w:rPr>
              <w:t>Maxson v. Gober (Fed Cir 2000)</w:t>
            </w:r>
            <w:r w:rsidRPr="00B62A55">
              <w:rPr>
                <w:rFonts w:ascii="Arial" w:hAnsi="Arial"/>
                <w:sz w:val="20"/>
                <w:szCs w:val="20"/>
              </w:rPr>
              <w:t xml:space="preserve"> -</w:t>
            </w:r>
          </w:p>
          <w:p w:rsidR="00B70623" w:rsidRPr="00B70623" w:rsidRDefault="00B70623" w:rsidP="00F063AF">
            <w:pPr>
              <w:pStyle w:val="NoSpacing"/>
              <w:numPr>
                <w:ilvl w:val="0"/>
                <w:numId w:val="169"/>
              </w:numPr>
              <w:tabs>
                <w:tab w:val="left" w:pos="330"/>
              </w:tabs>
              <w:spacing w:after="120"/>
              <w:rPr>
                <w:rFonts w:ascii="Arial" w:hAnsi="Arial"/>
                <w:bCs/>
                <w:sz w:val="20"/>
                <w:szCs w:val="20"/>
              </w:rPr>
            </w:pPr>
            <w:r w:rsidRPr="00B70623">
              <w:rPr>
                <w:rFonts w:ascii="Arial" w:hAnsi="Arial"/>
                <w:bCs/>
                <w:sz w:val="20"/>
                <w:szCs w:val="20"/>
              </w:rPr>
              <w:t>If no evidence of injury, complaint, or treatment of pre-existing disability in service – burden of proof not met</w:t>
            </w:r>
          </w:p>
          <w:p w:rsidR="00B70623" w:rsidRPr="00B70623" w:rsidRDefault="00B70623" w:rsidP="00F063AF">
            <w:pPr>
              <w:pStyle w:val="ListParagraph"/>
              <w:numPr>
                <w:ilvl w:val="0"/>
                <w:numId w:val="169"/>
              </w:numPr>
              <w:spacing w:after="120" w:line="240" w:lineRule="auto"/>
              <w:rPr>
                <w:rFonts w:ascii="Arial" w:hAnsi="Arial"/>
                <w:sz w:val="20"/>
                <w:szCs w:val="20"/>
              </w:rPr>
            </w:pPr>
            <w:r w:rsidRPr="00B70623">
              <w:rPr>
                <w:rFonts w:ascii="Arial" w:hAnsi="Arial"/>
                <w:b/>
                <w:sz w:val="20"/>
                <w:szCs w:val="20"/>
              </w:rPr>
              <w:t>Absence of evidence</w:t>
            </w:r>
            <w:r w:rsidRPr="00B70623">
              <w:rPr>
                <w:rFonts w:ascii="Arial" w:hAnsi="Arial"/>
                <w:sz w:val="20"/>
                <w:szCs w:val="20"/>
              </w:rPr>
              <w:t xml:space="preserve"> – There is nothing in service to show increase of preexisting disease or disability.  Evidence of a prolonged period without medical complaint can be considered, along with other factors concerning the veteran’s health and medical treatment during and after military service, as evidence of whether a preexisting condition was aggravated by military service. </w:t>
            </w:r>
            <w:r w:rsidRPr="00B70623">
              <w:rPr>
                <w:rFonts w:ascii="Arial" w:hAnsi="Arial"/>
                <w:i/>
                <w:sz w:val="20"/>
                <w:szCs w:val="20"/>
              </w:rPr>
              <w:t>Maxson v. Gober</w:t>
            </w:r>
            <w:r w:rsidRPr="00B70623">
              <w:rPr>
                <w:rFonts w:ascii="Arial" w:hAnsi="Arial"/>
                <w:sz w:val="20"/>
                <w:szCs w:val="20"/>
              </w:rPr>
              <w:t>, 230 F.3d 1330 (Fed. Cir. 2000)</w:t>
            </w:r>
          </w:p>
          <w:p w:rsidR="00B70623" w:rsidRPr="00B70623" w:rsidRDefault="00B70623" w:rsidP="00F063AF">
            <w:pPr>
              <w:pStyle w:val="ListParagraph"/>
              <w:numPr>
                <w:ilvl w:val="0"/>
                <w:numId w:val="169"/>
              </w:numPr>
              <w:spacing w:after="120" w:line="240" w:lineRule="auto"/>
              <w:rPr>
                <w:rFonts w:ascii="Arial" w:hAnsi="Arial"/>
                <w:sz w:val="20"/>
                <w:szCs w:val="20"/>
              </w:rPr>
            </w:pPr>
            <w:r w:rsidRPr="00B70623">
              <w:rPr>
                <w:rFonts w:ascii="Arial" w:hAnsi="Arial"/>
                <w:b/>
                <w:sz w:val="20"/>
                <w:szCs w:val="20"/>
              </w:rPr>
              <w:t>Affirmative evidence of no increase in severity</w:t>
            </w:r>
            <w:r w:rsidRPr="00B70623">
              <w:rPr>
                <w:rFonts w:ascii="Arial" w:hAnsi="Arial"/>
                <w:sz w:val="20"/>
                <w:szCs w:val="20"/>
              </w:rPr>
              <w:t xml:space="preserve"> includes normal clinical findings on separation examination, no complaints at separation examination, and where an evaluation of condition is shown to be the same as it was on entrance examination.  </w:t>
            </w:r>
          </w:p>
          <w:p w:rsidR="005C7617" w:rsidRDefault="00B70623" w:rsidP="00F063AF">
            <w:pPr>
              <w:pStyle w:val="ListParagraph"/>
              <w:numPr>
                <w:ilvl w:val="0"/>
                <w:numId w:val="169"/>
              </w:numPr>
              <w:spacing w:after="120" w:line="240" w:lineRule="auto"/>
              <w:rPr>
                <w:rFonts w:ascii="Arial" w:hAnsi="Arial"/>
                <w:sz w:val="20"/>
                <w:szCs w:val="20"/>
              </w:rPr>
            </w:pPr>
            <w:r w:rsidRPr="00B70623">
              <w:rPr>
                <w:rFonts w:ascii="Arial" w:hAnsi="Arial"/>
                <w:b/>
                <w:sz w:val="20"/>
                <w:szCs w:val="20"/>
              </w:rPr>
              <w:t>Medical opinion –</w:t>
            </w:r>
            <w:r w:rsidRPr="00B70623">
              <w:rPr>
                <w:rFonts w:ascii="Arial" w:hAnsi="Arial"/>
                <w:sz w:val="20"/>
                <w:szCs w:val="20"/>
              </w:rPr>
              <w:t xml:space="preserve"> Disease or disability was not aggravated during service.</w:t>
            </w:r>
          </w:p>
          <w:p w:rsidR="006D5D47" w:rsidRPr="006D5D47" w:rsidRDefault="00D571C5" w:rsidP="00F063AF">
            <w:pPr>
              <w:pStyle w:val="NoSpacing"/>
              <w:numPr>
                <w:ilvl w:val="0"/>
                <w:numId w:val="133"/>
              </w:numPr>
              <w:tabs>
                <w:tab w:val="left" w:pos="5760"/>
              </w:tabs>
              <w:spacing w:after="120"/>
              <w:rPr>
                <w:sz w:val="22"/>
                <w:szCs w:val="22"/>
              </w:rPr>
            </w:pPr>
            <w:hyperlink r:id="rId384" w:history="1">
              <w:r w:rsidR="006D5D47">
                <w:rPr>
                  <w:rStyle w:val="Hyperlink"/>
                  <w:rFonts w:ascii="Arial" w:hAnsi="Arial"/>
                  <w:b/>
                  <w:bCs/>
                  <w:i/>
                  <w:sz w:val="20"/>
                </w:rPr>
                <w:t>May 2016 Quality Call Notes</w:t>
              </w:r>
            </w:hyperlink>
            <w:r w:rsidR="006D5D47" w:rsidRPr="006D5D47">
              <w:rPr>
                <w:rFonts w:ascii="Arial" w:hAnsi="Arial"/>
                <w:bCs/>
                <w:sz w:val="20"/>
              </w:rPr>
              <w:t xml:space="preserve"> –</w:t>
            </w:r>
            <w:r w:rsidR="006D5D47">
              <w:rPr>
                <w:rFonts w:ascii="Arial" w:hAnsi="Arial"/>
                <w:bCs/>
                <w:sz w:val="20"/>
              </w:rPr>
              <w:t xml:space="preserve"> </w:t>
            </w:r>
            <w:r w:rsidR="006D5D47" w:rsidRPr="006D5D47">
              <w:rPr>
                <w:rFonts w:ascii="Arial" w:hAnsi="Arial"/>
                <w:bCs/>
                <w:sz w:val="20"/>
                <w:szCs w:val="20"/>
              </w:rPr>
              <w:t>confirms that “</w:t>
            </w:r>
            <w:r w:rsidR="006D5D47" w:rsidRPr="006D5D47">
              <w:rPr>
                <w:rFonts w:ascii="Arial" w:hAnsi="Arial"/>
                <w:sz w:val="20"/>
                <w:szCs w:val="20"/>
              </w:rPr>
              <w:t xml:space="preserve">If a preexisting disability is noted upon entry into service… the Veteran may bring a claim for aggravation of that disability” but “The burden falls on the Veteran to establish aggravation.  See </w:t>
            </w:r>
            <w:r w:rsidR="006D5D47" w:rsidRPr="006D5D47">
              <w:rPr>
                <w:rFonts w:ascii="Arial" w:hAnsi="Arial"/>
                <w:i/>
                <w:sz w:val="20"/>
                <w:szCs w:val="20"/>
              </w:rPr>
              <w:t>Jensen v. Brown</w:t>
            </w:r>
            <w:r w:rsidR="006D5D47" w:rsidRPr="006D5D47">
              <w:rPr>
                <w:rFonts w:ascii="Arial" w:hAnsi="Arial"/>
                <w:sz w:val="20"/>
                <w:szCs w:val="20"/>
              </w:rPr>
              <w:t xml:space="preserve">. If there is no evidence of injury, </w:t>
            </w:r>
            <w:r w:rsidR="006D5D47" w:rsidRPr="00E461E0">
              <w:rPr>
                <w:rFonts w:ascii="Arial" w:hAnsi="Arial"/>
                <w:sz w:val="20"/>
                <w:szCs w:val="20"/>
              </w:rPr>
              <w:t>complaints, or treatment of the preexisting disability in service, the Veteran’s burden of proof is not met.”</w:t>
            </w:r>
            <w:r w:rsidR="00E461E0" w:rsidRPr="00E461E0">
              <w:rPr>
                <w:rFonts w:ascii="Arial" w:hAnsi="Arial"/>
                <w:sz w:val="20"/>
                <w:szCs w:val="20"/>
              </w:rPr>
              <w:t xml:space="preserve"> </w:t>
            </w:r>
            <w:r w:rsidR="00E461E0" w:rsidRPr="00E461E0">
              <w:rPr>
                <w:rFonts w:ascii="Arial" w:hAnsi="Arial"/>
                <w:bCs/>
                <w:sz w:val="20"/>
                <w:szCs w:val="20"/>
              </w:rPr>
              <w:t xml:space="preserve">ALSO, </w:t>
            </w:r>
            <w:r w:rsidR="0060268C">
              <w:rPr>
                <w:rFonts w:ascii="Arial" w:hAnsi="Arial"/>
                <w:bCs/>
                <w:sz w:val="20"/>
                <w:szCs w:val="20"/>
              </w:rPr>
              <w:t>i</w:t>
            </w:r>
            <w:r w:rsidR="00E461E0" w:rsidRPr="00E461E0">
              <w:rPr>
                <w:rFonts w:ascii="Arial" w:hAnsi="Arial"/>
                <w:bCs/>
                <w:sz w:val="20"/>
                <w:szCs w:val="20"/>
              </w:rPr>
              <w:t>f there is nothing noted on the enlistment exam &amp; the examiner gives a negative opinion based on the veteran’s report of a pre-service injury, but we have no clear evidence it pre-existed, “</w:t>
            </w:r>
            <w:r w:rsidR="00E461E0" w:rsidRPr="00E461E0">
              <w:rPr>
                <w:rFonts w:ascii="Arial" w:hAnsi="Arial"/>
                <w:sz w:val="20"/>
                <w:szCs w:val="20"/>
              </w:rPr>
              <w:t xml:space="preserve">… return to examiner with clear instruction to disregard the Veteran’s statement concerning an earlier injury.  Without clear and unmistakable evidence the condition existed prior to service, the presumption of soundness has not been overcome.  See M21-1, IV.ii.2.B.4.b; M21-1, IV.ii.2.B.4.d; and, </w:t>
            </w:r>
            <w:r w:rsidR="00E461E0" w:rsidRPr="00E461E0">
              <w:rPr>
                <w:rFonts w:ascii="Arial" w:hAnsi="Arial"/>
                <w:i/>
                <w:sz w:val="20"/>
                <w:szCs w:val="20"/>
              </w:rPr>
              <w:t>Wagner v Principi</w:t>
            </w:r>
            <w:r w:rsidR="001946CC">
              <w:rPr>
                <w:rFonts w:ascii="Arial" w:hAnsi="Arial"/>
                <w:i/>
                <w:sz w:val="20"/>
                <w:szCs w:val="20"/>
              </w:rPr>
              <w:t>.”</w:t>
            </w:r>
            <w:r w:rsidR="00E461E0" w:rsidRPr="00E461E0">
              <w:rPr>
                <w:rFonts w:ascii="Arial" w:hAnsi="Arial"/>
                <w:sz w:val="20"/>
                <w:szCs w:val="20"/>
              </w:rPr>
              <w:t xml:space="preserve"> If have clear evidence it pre-existed, “…return the opinion to the examiner to inquire whether the condition was aggravated beyond natural progression by military service.”</w:t>
            </w:r>
            <w:r w:rsidR="0093016F">
              <w:rPr>
                <w:rFonts w:ascii="Arial" w:hAnsi="Arial"/>
                <w:sz w:val="20"/>
                <w:szCs w:val="20"/>
              </w:rPr>
              <w:t xml:space="preserve"> </w:t>
            </w:r>
            <w:r w:rsidR="0093016F" w:rsidRPr="00906ADE">
              <w:rPr>
                <w:rFonts w:ascii="Arial" w:hAnsi="Arial"/>
                <w:bCs/>
                <w:sz w:val="20"/>
              </w:rPr>
              <w:t>(</w:t>
            </w:r>
            <w:r w:rsidR="0093016F" w:rsidRPr="0093016F">
              <w:rPr>
                <w:rFonts w:ascii="Arial" w:hAnsi="Arial"/>
                <w:bCs/>
                <w:sz w:val="20"/>
                <w:highlight w:val="magenta"/>
              </w:rPr>
              <w:t>this is a change from local polic</w:t>
            </w:r>
            <w:r w:rsidR="00906ADE">
              <w:rPr>
                <w:rFonts w:ascii="Arial" w:hAnsi="Arial"/>
                <w:bCs/>
                <w:sz w:val="20"/>
                <w:highlight w:val="magenta"/>
              </w:rPr>
              <w:t>y, but may have always been national polic</w:t>
            </w:r>
            <w:r w:rsidR="0093016F" w:rsidRPr="0093016F">
              <w:rPr>
                <w:rFonts w:ascii="Arial" w:hAnsi="Arial"/>
                <w:bCs/>
                <w:sz w:val="20"/>
                <w:highlight w:val="magenta"/>
              </w:rPr>
              <w:t>y</w:t>
            </w:r>
            <w:r w:rsidR="0093016F" w:rsidRPr="00906ADE">
              <w:rPr>
                <w:rFonts w:ascii="Arial" w:hAnsi="Arial"/>
                <w:bCs/>
                <w:sz w:val="20"/>
              </w:rPr>
              <w:t>)</w:t>
            </w:r>
          </w:p>
        </w:tc>
      </w:tr>
    </w:tbl>
    <w:p w:rsidR="005C7617" w:rsidRPr="005C7617" w:rsidRDefault="005C7617" w:rsidP="005C7617">
      <w:pPr>
        <w:widowControl w:val="0"/>
        <w:pBdr>
          <w:top w:val="single" w:sz="4" w:space="1" w:color="auto"/>
          <w:left w:val="single" w:sz="4" w:space="4" w:color="auto"/>
          <w:bottom w:val="single" w:sz="4" w:space="1" w:color="auto"/>
          <w:right w:val="single" w:sz="4" w:space="4" w:color="auto"/>
        </w:pBdr>
        <w:tabs>
          <w:tab w:val="left" w:pos="0"/>
          <w:tab w:val="left" w:pos="144"/>
        </w:tabs>
        <w:outlineLvl w:val="0"/>
      </w:pPr>
      <w:r w:rsidRPr="005C7617">
        <w:t>Rating Note:  The STRs clearly indicate the</w:t>
      </w:r>
      <w:r>
        <w:t xml:space="preserve"> pre-existing,</w:t>
      </w:r>
      <w:r w:rsidRPr="005C7617">
        <w:t xml:space="preserve"> asymptomatic pes planus progressed to being symptomatic, and bilateral plantar fasciitis developed, during service. </w:t>
      </w:r>
    </w:p>
    <w:p w:rsidR="005C7617" w:rsidRDefault="005C7617">
      <w:pPr>
        <w:widowControl w:val="0"/>
        <w:pBdr>
          <w:bottom w:val="single" w:sz="4" w:space="1" w:color="auto"/>
        </w:pBdr>
        <w:tabs>
          <w:tab w:val="left" w:pos="0"/>
          <w:tab w:val="left" w:pos="144"/>
        </w:tabs>
        <w:outlineLvl w:val="0"/>
        <w:rPr>
          <w:b/>
          <w:i/>
          <w:sz w:val="22"/>
        </w:rPr>
      </w:pPr>
    </w:p>
    <w:p w:rsidR="00013EB8" w:rsidRDefault="00013EB8">
      <w:pPr>
        <w:widowControl w:val="0"/>
        <w:pBdr>
          <w:top w:val="double" w:sz="4" w:space="1" w:color="auto"/>
        </w:pBdr>
        <w:tabs>
          <w:tab w:val="left" w:pos="0"/>
          <w:tab w:val="left" w:pos="144"/>
        </w:tabs>
        <w:outlineLvl w:val="0"/>
        <w:rPr>
          <w:b/>
          <w:i/>
          <w:sz w:val="22"/>
        </w:rPr>
      </w:pPr>
      <w:r>
        <w:rPr>
          <w:b/>
          <w:i/>
          <w:sz w:val="22"/>
        </w:rPr>
        <w:br w:type="page"/>
      </w:r>
    </w:p>
    <w:p w:rsidR="004D429B" w:rsidRDefault="004D429B" w:rsidP="004D429B">
      <w:pPr>
        <w:widowControl w:val="0"/>
        <w:pBdr>
          <w:top w:val="double" w:sz="4" w:space="1" w:color="auto"/>
        </w:pBdr>
        <w:tabs>
          <w:tab w:val="left" w:pos="0"/>
          <w:tab w:val="left" w:pos="144"/>
        </w:tabs>
        <w:outlineLvl w:val="0"/>
        <w:rPr>
          <w:b/>
          <w:i/>
          <w:sz w:val="22"/>
        </w:rPr>
      </w:pPr>
      <w:bookmarkStart w:id="82" w:name="PresumptiveSC"/>
    </w:p>
    <w:p w:rsidR="00013EB8" w:rsidRDefault="00013EB8">
      <w:pPr>
        <w:widowControl w:val="0"/>
        <w:tabs>
          <w:tab w:val="left" w:pos="0"/>
          <w:tab w:val="left" w:pos="144"/>
        </w:tabs>
        <w:outlineLvl w:val="0"/>
        <w:rPr>
          <w:b/>
          <w:i/>
          <w:sz w:val="22"/>
        </w:rPr>
      </w:pPr>
      <w:r w:rsidRPr="004D429B">
        <w:rPr>
          <w:b/>
          <w:i/>
          <w:sz w:val="22"/>
        </w:rPr>
        <w:t>PRESUMPTIVE SERVICE CONNECTION</w:t>
      </w:r>
      <w:r w:rsidR="004D429B">
        <w:rPr>
          <w:b/>
          <w:i/>
          <w:sz w:val="22"/>
        </w:rPr>
        <w:t xml:space="preserve"> </w:t>
      </w:r>
      <w:r w:rsidRPr="004D429B">
        <w:rPr>
          <w:b/>
          <w:i/>
          <w:sz w:val="22"/>
        </w:rPr>
        <w:t>-</w:t>
      </w:r>
    </w:p>
    <w:bookmarkEnd w:id="82"/>
    <w:p w:rsidR="00013EB8" w:rsidRDefault="00013EB8">
      <w:pPr>
        <w:widowControl w:val="0"/>
        <w:tabs>
          <w:tab w:val="left" w:pos="0"/>
          <w:tab w:val="left" w:pos="144"/>
        </w:tabs>
        <w:outlineLvl w:val="0"/>
        <w:rPr>
          <w:b/>
          <w:i/>
          <w:sz w:val="22"/>
        </w:rPr>
      </w:pPr>
    </w:p>
    <w:p w:rsidR="00013EB8" w:rsidRDefault="00013EB8">
      <w:pPr>
        <w:widowControl w:val="0"/>
        <w:tabs>
          <w:tab w:val="left" w:pos="0"/>
          <w:tab w:val="left" w:pos="144"/>
        </w:tabs>
        <w:rPr>
          <w:sz w:val="22"/>
        </w:rPr>
      </w:pPr>
    </w:p>
    <w:p w:rsidR="00013EB8" w:rsidRDefault="00013EB8">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pPr>
      <w:r>
        <w:rPr>
          <w:highlight w:val="magenta"/>
        </w:rPr>
        <w:t>Per May 2009</w:t>
      </w:r>
      <w:r>
        <w:rPr>
          <w:b/>
          <w:bCs/>
          <w:highlight w:val="magenta"/>
        </w:rPr>
        <w:t xml:space="preserve"> STAR errors</w:t>
      </w:r>
      <w:r>
        <w:t xml:space="preserve"> - </w:t>
      </w:r>
      <w:r w:rsidRPr="00AC753C">
        <w:rPr>
          <w:b/>
          <w:bCs/>
          <w:iCs/>
        </w:rPr>
        <w:t>3.400</w:t>
      </w:r>
      <w:r>
        <w:t xml:space="preserve">(b)(2)(ii) provides that effective date for presumptive service connection is date entitlement arose, if claim is received within 1 year after discharge from active duty (so, date of diagnosis).  Law also provides that if the requirements for service connection were met during service, effective date will be date following discharge, if claim received within 1 year.  If filed more than 1 year after discharge, but the TRs show to 10 percent within presumptive period, the effective date is the date of claim.  </w:t>
      </w:r>
    </w:p>
    <w:p w:rsidR="00013EB8" w:rsidRDefault="00013EB8">
      <w:pPr>
        <w:pStyle w:val="BodyText3"/>
        <w:widowControl w:val="0"/>
        <w:tabs>
          <w:tab w:val="left" w:pos="0"/>
          <w:tab w:val="left" w:pos="144"/>
        </w:tabs>
        <w:overflowPunct w:val="0"/>
        <w:autoSpaceDE w:val="0"/>
        <w:autoSpaceDN w:val="0"/>
        <w:adjustRightInd w:val="0"/>
        <w:spacing w:before="0"/>
        <w:textAlignment w:val="baseline"/>
        <w:rPr>
          <w:rFonts w:ascii="Times New Roman" w:hAnsi="Times New Roman"/>
        </w:rPr>
      </w:pPr>
    </w:p>
    <w:p w:rsidR="00013EB8" w:rsidRDefault="00013EB8">
      <w:pPr>
        <w:pStyle w:val="BodyText3"/>
        <w:widowControl w:val="0"/>
        <w:pBdr>
          <w:top w:val="single" w:sz="4" w:space="1" w:color="auto"/>
        </w:pBdr>
        <w:tabs>
          <w:tab w:val="left" w:pos="0"/>
          <w:tab w:val="left" w:pos="144"/>
        </w:tabs>
        <w:overflowPunct w:val="0"/>
        <w:autoSpaceDE w:val="0"/>
        <w:autoSpaceDN w:val="0"/>
        <w:adjustRightInd w:val="0"/>
        <w:spacing w:before="0"/>
        <w:textAlignment w:val="baseline"/>
        <w:rPr>
          <w:rFonts w:ascii="Times New Roman" w:hAnsi="Times New Roman"/>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AE0E75">
              <w:rPr>
                <w:b/>
              </w:rPr>
              <w:t>3.307</w:t>
            </w:r>
          </w:p>
        </w:tc>
        <w:tc>
          <w:tcPr>
            <w:tcW w:w="10270" w:type="dxa"/>
            <w:tcBorders>
              <w:top w:val="nil"/>
              <w:left w:val="nil"/>
              <w:bottom w:val="nil"/>
              <w:right w:val="nil"/>
            </w:tcBorders>
          </w:tcPr>
          <w:p w:rsidR="00013EB8" w:rsidRDefault="00013EB8">
            <w:pPr>
              <w:widowControl w:val="0"/>
              <w:numPr>
                <w:ilvl w:val="12"/>
                <w:numId w:val="0"/>
              </w:numPr>
            </w:pPr>
            <w:r>
              <w:rPr>
                <w:b/>
              </w:rPr>
              <w:t>Presumptive service connection for chronic, tropical, or prisoner-of-war-related disease, or disease associated with exposure to certain herbicide agents; wartime and service on or after January 1, 1947</w:t>
            </w:r>
            <w:r>
              <w:t xml:space="preserve"> – need 90 days of service (either during a period of war or after 12/31/46); </w:t>
            </w:r>
            <w:r>
              <w:rPr>
                <w:i/>
              </w:rPr>
              <w:t>cannot use opinion to SC something diagnosed after presumptive period (need “characteristic manifestations” or symptoms during presumptive period</w:t>
            </w:r>
            <w:r w:rsidR="008A5977">
              <w:rPr>
                <w:i/>
              </w:rPr>
              <w:t>)</w:t>
            </w:r>
          </w:p>
          <w:p w:rsidR="00013EB8" w:rsidRDefault="00F555A4">
            <w:pPr>
              <w:widowControl w:val="0"/>
              <w:numPr>
                <w:ilvl w:val="12"/>
                <w:numId w:val="0"/>
              </w:numPr>
              <w:rPr>
                <w:color w:val="0000FF"/>
              </w:rPr>
            </w:pPr>
            <w:r w:rsidRPr="00BD3025">
              <w:rPr>
                <w:b/>
                <w:bCs/>
              </w:rPr>
              <w:t>IV.ii.2.B</w:t>
            </w:r>
          </w:p>
          <w:p w:rsidR="00013EB8" w:rsidRDefault="00013EB8">
            <w:pPr>
              <w:widowControl w:val="0"/>
              <w:numPr>
                <w:ilvl w:val="12"/>
                <w:numId w:val="0"/>
              </w:numPr>
              <w:rPr>
                <w:i/>
              </w:rPr>
            </w:pPr>
            <w:r>
              <w:rPr>
                <w:i/>
              </w:rPr>
              <w:t>POWs</w:t>
            </w:r>
            <w:r w:rsidR="00AC753C">
              <w:rPr>
                <w:i/>
              </w:rPr>
              <w:t xml:space="preserve"> </w:t>
            </w:r>
            <w:r w:rsidRPr="007E54DC">
              <w:rPr>
                <w:i/>
              </w:rPr>
              <w:t>-</w:t>
            </w:r>
            <w:r w:rsidRPr="007E54DC">
              <w:t xml:space="preserve"> </w:t>
            </w:r>
            <w:r w:rsidR="007E54DC">
              <w:rPr>
                <w:b/>
                <w:bCs/>
              </w:rPr>
              <w:t>IV.ii.2.E</w:t>
            </w:r>
          </w:p>
          <w:p w:rsidR="00013EB8" w:rsidRDefault="00AC753C">
            <w:pPr>
              <w:widowControl w:val="0"/>
              <w:numPr>
                <w:ilvl w:val="12"/>
                <w:numId w:val="0"/>
              </w:numPr>
              <w:rPr>
                <w:b/>
                <w:bCs/>
              </w:rPr>
            </w:pPr>
            <w:r>
              <w:rPr>
                <w:i/>
              </w:rPr>
              <w:t>H</w:t>
            </w:r>
            <w:r w:rsidR="00013EB8">
              <w:rPr>
                <w:i/>
              </w:rPr>
              <w:t>erbicides</w:t>
            </w:r>
            <w:r>
              <w:rPr>
                <w:i/>
              </w:rPr>
              <w:t xml:space="preserve"> </w:t>
            </w:r>
            <w:r w:rsidR="00013EB8" w:rsidRPr="007E54DC">
              <w:rPr>
                <w:i/>
              </w:rPr>
              <w:t>-</w:t>
            </w:r>
            <w:r w:rsidRPr="007E54DC">
              <w:rPr>
                <w:i/>
              </w:rPr>
              <w:t xml:space="preserve"> </w:t>
            </w:r>
            <w:r w:rsidR="00013EB8" w:rsidRPr="007E54DC">
              <w:rPr>
                <w:i/>
              </w:rPr>
              <w:t xml:space="preserve"> </w:t>
            </w:r>
            <w:r w:rsidR="00013EB8" w:rsidRPr="007E54DC">
              <w:rPr>
                <w:b/>
                <w:bCs/>
              </w:rPr>
              <w:t>IV.ii.2.C</w:t>
            </w:r>
          </w:p>
          <w:p w:rsidR="005D6D9A" w:rsidRPr="005D6D9A" w:rsidRDefault="005D6D9A" w:rsidP="00F82612">
            <w:pPr>
              <w:widowControl w:val="0"/>
              <w:numPr>
                <w:ilvl w:val="12"/>
                <w:numId w:val="0"/>
              </w:numPr>
            </w:pPr>
            <w:r w:rsidRPr="005D6D9A">
              <w:rPr>
                <w:b/>
              </w:rPr>
              <w:t>IV.ii.2.B.2.</w:t>
            </w:r>
            <w:r w:rsidR="00F82612">
              <w:rPr>
                <w:b/>
              </w:rPr>
              <w:t>d</w:t>
            </w:r>
            <w:r>
              <w:t xml:space="preserve"> – Burden of Proof Required to Rebut Presumptive SC</w:t>
            </w:r>
          </w:p>
        </w:tc>
      </w:tr>
    </w:tbl>
    <w:p w:rsidR="00013EB8" w:rsidRDefault="00013EB8">
      <w:pPr>
        <w:widowControl w:val="0"/>
        <w:tabs>
          <w:tab w:val="left" w:pos="0"/>
          <w:tab w:val="left" w:pos="144"/>
        </w:tabs>
        <w:outlineLvl w:val="0"/>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AE0E75">
              <w:rPr>
                <w:b/>
              </w:rPr>
              <w:t>3.309</w:t>
            </w:r>
          </w:p>
        </w:tc>
        <w:tc>
          <w:tcPr>
            <w:tcW w:w="10270" w:type="dxa"/>
            <w:tcBorders>
              <w:top w:val="nil"/>
              <w:left w:val="nil"/>
              <w:bottom w:val="nil"/>
              <w:right w:val="nil"/>
            </w:tcBorders>
          </w:tcPr>
          <w:p w:rsidR="00013EB8" w:rsidRDefault="00013EB8" w:rsidP="000C4474">
            <w:pPr>
              <w:widowControl w:val="0"/>
              <w:numPr>
                <w:ilvl w:val="12"/>
                <w:numId w:val="0"/>
              </w:numPr>
              <w:spacing w:after="120"/>
              <w:rPr>
                <w:i/>
              </w:rPr>
            </w:pPr>
            <w:bookmarkStart w:id="83" w:name="Part4Pres"/>
            <w:r>
              <w:rPr>
                <w:b/>
              </w:rPr>
              <w:t>Disease subject to presumptive</w:t>
            </w:r>
            <w:r>
              <w:t xml:space="preserve"> </w:t>
            </w:r>
            <w:bookmarkEnd w:id="83"/>
            <w:r>
              <w:t>–</w:t>
            </w:r>
            <w:r>
              <w:rPr>
                <w:i/>
              </w:rPr>
              <w:t xml:space="preserve"> </w:t>
            </w:r>
            <w:r w:rsidR="004F315B">
              <w:rPr>
                <w:i/>
              </w:rPr>
              <w:t>effective date</w:t>
            </w:r>
            <w:r>
              <w:rPr>
                <w:i/>
              </w:rPr>
              <w:t xml:space="preserve"> is date disability is first shown, if 21-526 rec’d w/i 1 year of RAD, otherwise it’s the date of claim</w:t>
            </w:r>
          </w:p>
          <w:p w:rsidR="000A3C22" w:rsidRDefault="000A3C22" w:rsidP="00F063AF">
            <w:pPr>
              <w:pStyle w:val="NoSpacing"/>
              <w:numPr>
                <w:ilvl w:val="0"/>
                <w:numId w:val="133"/>
              </w:numPr>
              <w:tabs>
                <w:tab w:val="left" w:pos="420"/>
              </w:tabs>
              <w:spacing w:after="120"/>
              <w:rPr>
                <w:rFonts w:ascii="Arial" w:hAnsi="Arial"/>
                <w:b/>
                <w:i/>
                <w:sz w:val="20"/>
                <w:szCs w:val="20"/>
                <w:u w:val="single"/>
              </w:rPr>
            </w:pPr>
            <w:r w:rsidRPr="008023FF">
              <w:rPr>
                <w:rFonts w:ascii="Arial" w:hAnsi="Arial"/>
                <w:bCs/>
                <w:sz w:val="20"/>
                <w:szCs w:val="20"/>
              </w:rPr>
              <w:t>Notes from</w:t>
            </w:r>
            <w:r w:rsidRPr="008023FF">
              <w:rPr>
                <w:bCs/>
                <w:sz w:val="20"/>
                <w:szCs w:val="20"/>
              </w:rPr>
              <w:t xml:space="preserve"> </w:t>
            </w:r>
            <w:r w:rsidRPr="008023FF">
              <w:rPr>
                <w:rFonts w:ascii="Arial" w:hAnsi="Arial"/>
                <w:b/>
                <w:i/>
                <w:sz w:val="20"/>
                <w:szCs w:val="20"/>
                <w:u w:val="single"/>
              </w:rPr>
              <w:t xml:space="preserve">January 2014 </w:t>
            </w:r>
            <w:r>
              <w:rPr>
                <w:rFonts w:ascii="Arial" w:hAnsi="Arial"/>
                <w:b/>
                <w:i/>
                <w:sz w:val="20"/>
                <w:szCs w:val="20"/>
                <w:u w:val="single"/>
              </w:rPr>
              <w:t>Presumptive SC</w:t>
            </w:r>
            <w:r w:rsidRPr="008023FF">
              <w:rPr>
                <w:rFonts w:ascii="Arial" w:hAnsi="Arial"/>
                <w:b/>
                <w:i/>
                <w:sz w:val="20"/>
                <w:szCs w:val="20"/>
                <w:u w:val="single"/>
              </w:rPr>
              <w:t xml:space="preserve"> Training:</w:t>
            </w:r>
          </w:p>
          <w:p w:rsidR="000A3C22" w:rsidRDefault="000A3C22" w:rsidP="000A3C22">
            <w:pPr>
              <w:pStyle w:val="NoSpacing"/>
              <w:tabs>
                <w:tab w:val="left" w:pos="330"/>
              </w:tabs>
              <w:spacing w:after="120"/>
              <w:ind w:left="420"/>
              <w:rPr>
                <w:rFonts w:ascii="Arial" w:hAnsi="Arial"/>
                <w:sz w:val="20"/>
                <w:szCs w:val="20"/>
              </w:rPr>
            </w:pPr>
            <w:r>
              <w:rPr>
                <w:rFonts w:ascii="Arial" w:hAnsi="Arial"/>
                <w:sz w:val="20"/>
                <w:szCs w:val="20"/>
              </w:rPr>
              <w:t>Chloracne, etc – if can’t tell when last exposed/in-country, use last day of service</w:t>
            </w:r>
          </w:p>
          <w:p w:rsidR="000A3C22" w:rsidRDefault="00A60771" w:rsidP="000A3C22">
            <w:pPr>
              <w:pStyle w:val="NoSpacing"/>
              <w:tabs>
                <w:tab w:val="left" w:pos="330"/>
              </w:tabs>
              <w:spacing w:after="120"/>
              <w:ind w:left="420"/>
              <w:rPr>
                <w:rFonts w:ascii="Arial" w:hAnsi="Arial"/>
                <w:sz w:val="20"/>
                <w:szCs w:val="20"/>
              </w:rPr>
            </w:pPr>
            <w:r>
              <w:rPr>
                <w:rFonts w:ascii="Arial" w:hAnsi="Arial"/>
                <w:sz w:val="20"/>
                <w:szCs w:val="20"/>
              </w:rPr>
              <w:t>“acute/subacute” means early-</w:t>
            </w:r>
            <w:r w:rsidR="000A3C22">
              <w:rPr>
                <w:rFonts w:ascii="Arial" w:hAnsi="Arial"/>
                <w:sz w:val="20"/>
                <w:szCs w:val="20"/>
              </w:rPr>
              <w:t>onset</w:t>
            </w:r>
          </w:p>
          <w:p w:rsidR="000A3C22" w:rsidRDefault="000A3C22" w:rsidP="000A3C22">
            <w:pPr>
              <w:pStyle w:val="NoSpacing"/>
              <w:tabs>
                <w:tab w:val="left" w:pos="330"/>
              </w:tabs>
              <w:spacing w:after="120"/>
              <w:ind w:left="420"/>
              <w:rPr>
                <w:rFonts w:ascii="Arial" w:hAnsi="Arial"/>
                <w:sz w:val="20"/>
                <w:szCs w:val="20"/>
              </w:rPr>
            </w:pPr>
            <w:r>
              <w:rPr>
                <w:rFonts w:ascii="Arial" w:hAnsi="Arial"/>
                <w:sz w:val="20"/>
                <w:szCs w:val="20"/>
              </w:rPr>
              <w:t xml:space="preserve">Ch. 35 (from April 2013 Comp </w:t>
            </w:r>
            <w:r w:rsidR="0085268B">
              <w:rPr>
                <w:rFonts w:ascii="Arial" w:hAnsi="Arial"/>
                <w:sz w:val="20"/>
                <w:szCs w:val="20"/>
              </w:rPr>
              <w:t>Bulletin)</w:t>
            </w:r>
          </w:p>
          <w:p w:rsidR="0085268B" w:rsidRPr="0085268B" w:rsidRDefault="000A3C22" w:rsidP="0085268B">
            <w:pPr>
              <w:pStyle w:val="NoSpacing"/>
              <w:tabs>
                <w:tab w:val="left" w:pos="330"/>
              </w:tabs>
              <w:spacing w:after="120"/>
              <w:ind w:left="420"/>
              <w:rPr>
                <w:rFonts w:ascii="Arial" w:hAnsi="Arial"/>
                <w:sz w:val="20"/>
                <w:szCs w:val="20"/>
              </w:rPr>
            </w:pPr>
            <w:r w:rsidRPr="005F64DF">
              <w:rPr>
                <w:rFonts w:ascii="Arial" w:hAnsi="Arial"/>
                <w:b/>
                <w:sz w:val="20"/>
                <w:szCs w:val="20"/>
              </w:rPr>
              <w:t>3.310(d)</w:t>
            </w:r>
            <w:r>
              <w:rPr>
                <w:rFonts w:ascii="Arial" w:hAnsi="Arial"/>
                <w:sz w:val="20"/>
                <w:szCs w:val="20"/>
              </w:rPr>
              <w:t xml:space="preserve"> change eff1/16/14 – 5 conditions automatically secondary to TBI – can SC without opinion, but depends on severity of TBI &amp; onset of secondary conds</w:t>
            </w:r>
          </w:p>
        </w:tc>
      </w:tr>
    </w:tbl>
    <w:p w:rsidR="00013EB8" w:rsidRPr="00746324" w:rsidRDefault="00013EB8">
      <w:pPr>
        <w:widowControl w:val="0"/>
        <w:numPr>
          <w:ilvl w:val="12"/>
          <w:numId w:val="0"/>
        </w:numPr>
      </w:pPr>
      <w:r w:rsidRPr="00746324">
        <w:rPr>
          <w:b/>
          <w:u w:val="single"/>
        </w:rPr>
        <w:t>3.309(a) Chronic diseases</w:t>
      </w:r>
      <w:r w:rsidRPr="00746324">
        <w:t xml:space="preserve"> – </w:t>
      </w:r>
    </w:p>
    <w:p w:rsidR="002C1FE6" w:rsidRPr="002C1FE6" w:rsidRDefault="002C1FE6">
      <w:pPr>
        <w:widowControl w:val="0"/>
        <w:numPr>
          <w:ilvl w:val="12"/>
          <w:numId w:val="0"/>
        </w:numPr>
        <w:rPr>
          <w:b/>
          <w:bCs/>
        </w:rPr>
      </w:pPr>
      <w:r w:rsidRPr="002C1FE6">
        <w:rPr>
          <w:rFonts w:eastAsia="Calibri"/>
          <w:b/>
          <w:color w:val="000000" w:themeColor="text1"/>
        </w:rPr>
        <w:t>III.iv.5.C</w:t>
      </w:r>
      <w:r>
        <w:rPr>
          <w:rFonts w:eastAsia="Calibri"/>
          <w:b/>
          <w:color w:val="000000" w:themeColor="text1"/>
        </w:rPr>
        <w:t xml:space="preserve">.4 </w:t>
      </w:r>
      <w:r w:rsidRPr="002C1FE6">
        <w:rPr>
          <w:rFonts w:eastAsia="Calibri"/>
          <w:color w:val="000000" w:themeColor="text1"/>
        </w:rPr>
        <w:t xml:space="preserve">- </w:t>
      </w:r>
      <w:r w:rsidR="004F315B">
        <w:rPr>
          <w:rFonts w:eastAsia="Calibri"/>
          <w:color w:val="000000" w:themeColor="text1"/>
        </w:rPr>
        <w:t>effective date</w:t>
      </w:r>
      <w:r w:rsidRPr="002C1FE6">
        <w:rPr>
          <w:rFonts w:eastAsia="Calibri"/>
          <w:color w:val="000000" w:themeColor="text1"/>
        </w:rPr>
        <w:t>s</w:t>
      </w:r>
    </w:p>
    <w:p w:rsidR="00013EB8" w:rsidRPr="00746324" w:rsidRDefault="00231751">
      <w:pPr>
        <w:widowControl w:val="0"/>
        <w:numPr>
          <w:ilvl w:val="12"/>
          <w:numId w:val="0"/>
        </w:numPr>
      </w:pPr>
      <w:r>
        <w:rPr>
          <w:b/>
          <w:bCs/>
        </w:rPr>
        <w:t>IV.ii.2.B</w:t>
      </w:r>
    </w:p>
    <w:p w:rsidR="00013EB8" w:rsidRDefault="00013EB8">
      <w:pPr>
        <w:widowControl w:val="0"/>
        <w:numPr>
          <w:ilvl w:val="12"/>
          <w:numId w:val="0"/>
        </w:numPr>
      </w:pPr>
      <w:r>
        <w:t xml:space="preserve">Only the following diseases shall be granted service connection although not otherwise established as incurred in service if manifested to </w:t>
      </w:r>
      <w:r>
        <w:rPr>
          <w:b/>
          <w:i/>
        </w:rPr>
        <w:t>10%</w:t>
      </w:r>
      <w:r>
        <w:rPr>
          <w:i/>
        </w:rPr>
        <w:t xml:space="preserve"> </w:t>
      </w:r>
      <w:r>
        <w:rPr>
          <w:b/>
          <w:i/>
        </w:rPr>
        <w:t>within 1 year</w:t>
      </w:r>
      <w:r>
        <w:t xml:space="preserve"> from date of discharge, unless otherwise noted.</w:t>
      </w:r>
      <w:r>
        <w:tab/>
      </w:r>
    </w:p>
    <w:p w:rsidR="00013EB8" w:rsidRDefault="00013EB8">
      <w:pPr>
        <w:widowControl w:val="0"/>
        <w:numPr>
          <w:ilvl w:val="12"/>
          <w:numId w:val="0"/>
        </w:numPr>
        <w:rPr>
          <w:iCs/>
        </w:rPr>
      </w:pPr>
      <w:r>
        <w:rPr>
          <w:b/>
          <w:iCs/>
        </w:rPr>
        <w:t xml:space="preserve">Need 90 days svc (per </w:t>
      </w:r>
      <w:r w:rsidRPr="008E5C3A">
        <w:rPr>
          <w:b/>
          <w:iCs/>
        </w:rPr>
        <w:t>3.307</w:t>
      </w:r>
      <w:r>
        <w:rPr>
          <w:b/>
          <w:iCs/>
        </w:rPr>
        <w:t>(a)(1))</w:t>
      </w:r>
    </w:p>
    <w:p w:rsidR="00013EB8" w:rsidRDefault="00013EB8">
      <w:pPr>
        <w:pStyle w:val="Header"/>
        <w:widowControl w:val="0"/>
        <w:numPr>
          <w:ilvl w:val="12"/>
          <w:numId w:val="0"/>
        </w:numPr>
        <w:tabs>
          <w:tab w:val="clear" w:pos="4320"/>
          <w:tab w:val="clear" w:pos="8640"/>
        </w:tabs>
      </w:pPr>
    </w:p>
    <w:tbl>
      <w:tblPr>
        <w:tblW w:w="109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08"/>
        <w:gridCol w:w="3486"/>
      </w:tblGrid>
      <w:tr w:rsidR="00013EB8">
        <w:trPr>
          <w:trHeight w:val="170"/>
        </w:trPr>
        <w:tc>
          <w:tcPr>
            <w:tcW w:w="7508" w:type="dxa"/>
          </w:tcPr>
          <w:p w:rsidR="00013EB8" w:rsidRDefault="00013EB8">
            <w:pPr>
              <w:widowControl w:val="0"/>
              <w:numPr>
                <w:ilvl w:val="12"/>
                <w:numId w:val="0"/>
              </w:numPr>
              <w:rPr>
                <w:sz w:val="18"/>
              </w:rPr>
            </w:pPr>
            <w:r>
              <w:rPr>
                <w:sz w:val="18"/>
              </w:rPr>
              <w:t>Anemia, primary</w:t>
            </w:r>
          </w:p>
        </w:tc>
        <w:tc>
          <w:tcPr>
            <w:tcW w:w="3486" w:type="dxa"/>
          </w:tcPr>
          <w:p w:rsidR="00013EB8" w:rsidRDefault="00013EB8">
            <w:pPr>
              <w:widowControl w:val="0"/>
              <w:numPr>
                <w:ilvl w:val="12"/>
                <w:numId w:val="0"/>
              </w:numPr>
              <w:rPr>
                <w:sz w:val="18"/>
              </w:rPr>
            </w:pPr>
            <w:r>
              <w:rPr>
                <w:sz w:val="18"/>
              </w:rPr>
              <w:t>7700</w:t>
            </w:r>
          </w:p>
        </w:tc>
      </w:tr>
      <w:tr w:rsidR="00013EB8">
        <w:trPr>
          <w:trHeight w:val="170"/>
        </w:trPr>
        <w:tc>
          <w:tcPr>
            <w:tcW w:w="7508" w:type="dxa"/>
          </w:tcPr>
          <w:p w:rsidR="00013EB8" w:rsidRDefault="00013EB8">
            <w:pPr>
              <w:widowControl w:val="0"/>
              <w:numPr>
                <w:ilvl w:val="12"/>
                <w:numId w:val="0"/>
              </w:numPr>
              <w:rPr>
                <w:iCs/>
                <w:sz w:val="18"/>
              </w:rPr>
            </w:pPr>
            <w:r>
              <w:rPr>
                <w:sz w:val="18"/>
              </w:rPr>
              <w:t>Arteriosclerosis</w:t>
            </w:r>
          </w:p>
        </w:tc>
        <w:tc>
          <w:tcPr>
            <w:tcW w:w="3486" w:type="dxa"/>
          </w:tcPr>
          <w:p w:rsidR="00013EB8" w:rsidRDefault="00013EB8">
            <w:pPr>
              <w:widowControl w:val="0"/>
              <w:numPr>
                <w:ilvl w:val="12"/>
                <w:numId w:val="0"/>
              </w:numPr>
              <w:rPr>
                <w:iCs/>
                <w:sz w:val="18"/>
              </w:rPr>
            </w:pPr>
            <w:r>
              <w:rPr>
                <w:iCs/>
                <w:sz w:val="18"/>
              </w:rPr>
              <w:t>7005, 7006, 7017, 7020, 7114 (PVD)</w:t>
            </w:r>
          </w:p>
        </w:tc>
      </w:tr>
      <w:tr w:rsidR="00013EB8">
        <w:trPr>
          <w:trHeight w:val="170"/>
        </w:trPr>
        <w:tc>
          <w:tcPr>
            <w:tcW w:w="7508" w:type="dxa"/>
          </w:tcPr>
          <w:p w:rsidR="00013EB8" w:rsidRDefault="00013EB8" w:rsidP="00E23780">
            <w:pPr>
              <w:widowControl w:val="0"/>
              <w:numPr>
                <w:ilvl w:val="12"/>
                <w:numId w:val="0"/>
              </w:numPr>
              <w:rPr>
                <w:sz w:val="18"/>
              </w:rPr>
            </w:pPr>
            <w:r>
              <w:rPr>
                <w:sz w:val="18"/>
              </w:rPr>
              <w:t>Arthritis</w:t>
            </w:r>
          </w:p>
          <w:p w:rsidR="00475C3E" w:rsidRDefault="00475C3E" w:rsidP="00E23780">
            <w:pPr>
              <w:widowControl w:val="0"/>
              <w:numPr>
                <w:ilvl w:val="12"/>
                <w:numId w:val="0"/>
              </w:numPr>
              <w:rPr>
                <w:i/>
                <w:sz w:val="18"/>
              </w:rPr>
            </w:pPr>
            <w:r w:rsidRPr="00475C3E">
              <w:rPr>
                <w:i/>
                <w:sz w:val="18"/>
              </w:rPr>
              <w:t>*</w:t>
            </w:r>
            <w:r w:rsidR="002F1344">
              <w:rPr>
                <w:i/>
                <w:sz w:val="18"/>
              </w:rPr>
              <w:t xml:space="preserve">Dr. Nguyen says osteoarthrosis </w:t>
            </w:r>
            <w:r w:rsidR="002F1344" w:rsidRPr="002F1344">
              <w:rPr>
                <w:i/>
                <w:sz w:val="18"/>
                <w:u w:val="single"/>
              </w:rPr>
              <w:t>is</w:t>
            </w:r>
            <w:r w:rsidR="002F1344" w:rsidRPr="00907E2B">
              <w:rPr>
                <w:i/>
                <w:sz w:val="18"/>
              </w:rPr>
              <w:t xml:space="preserve"> </w:t>
            </w:r>
            <w:r w:rsidR="002F1344">
              <w:rPr>
                <w:i/>
                <w:sz w:val="18"/>
              </w:rPr>
              <w:t>arthritis.</w:t>
            </w:r>
          </w:p>
          <w:p w:rsidR="005B11DE" w:rsidRDefault="005B11DE" w:rsidP="00E23780">
            <w:pPr>
              <w:widowControl w:val="0"/>
              <w:numPr>
                <w:ilvl w:val="12"/>
                <w:numId w:val="0"/>
              </w:numPr>
              <w:rPr>
                <w:i/>
                <w:sz w:val="18"/>
              </w:rPr>
            </w:pPr>
            <w:r>
              <w:rPr>
                <w:i/>
                <w:sz w:val="18"/>
              </w:rPr>
              <w:t>*Dr. Moyad, Orthopaedic Physician, says “narrowing” is arthritis.</w:t>
            </w:r>
          </w:p>
          <w:p w:rsidR="00E96E55" w:rsidRDefault="00E96E55" w:rsidP="00E23780">
            <w:pPr>
              <w:widowControl w:val="0"/>
              <w:numPr>
                <w:ilvl w:val="12"/>
                <w:numId w:val="0"/>
              </w:numPr>
              <w:rPr>
                <w:i/>
                <w:sz w:val="18"/>
              </w:rPr>
            </w:pPr>
          </w:p>
          <w:p w:rsidR="00E96E55" w:rsidRPr="00E96E55" w:rsidRDefault="00E96E55" w:rsidP="00E96E55">
            <w:pPr>
              <w:overflowPunct/>
              <w:autoSpaceDE/>
              <w:autoSpaceDN/>
              <w:adjustRightInd/>
              <w:textAlignment w:val="auto"/>
              <w:rPr>
                <w:i/>
                <w:sz w:val="18"/>
                <w:szCs w:val="16"/>
              </w:rPr>
            </w:pPr>
            <w:r w:rsidRPr="00E96E55">
              <w:rPr>
                <w:b/>
                <w:i/>
                <w:sz w:val="18"/>
                <w:szCs w:val="16"/>
              </w:rPr>
              <w:t>III.iv.4.</w:t>
            </w:r>
            <w:r w:rsidR="002F795E">
              <w:rPr>
                <w:b/>
                <w:i/>
                <w:sz w:val="18"/>
                <w:szCs w:val="16"/>
              </w:rPr>
              <w:t>B.2.b</w:t>
            </w:r>
            <w:r w:rsidRPr="00E96E55">
              <w:rPr>
                <w:i/>
                <w:sz w:val="18"/>
                <w:szCs w:val="16"/>
              </w:rPr>
              <w:t xml:space="preserve"> shows degenerative arthritis includes:</w:t>
            </w:r>
          </w:p>
          <w:p w:rsidR="00E96E55" w:rsidRPr="00E96E55" w:rsidRDefault="00E96E55" w:rsidP="00F063AF">
            <w:pPr>
              <w:pStyle w:val="ListParagraph"/>
              <w:numPr>
                <w:ilvl w:val="0"/>
                <w:numId w:val="276"/>
              </w:numPr>
              <w:spacing w:after="0" w:line="240" w:lineRule="auto"/>
              <w:rPr>
                <w:rFonts w:ascii="Arial" w:hAnsi="Arial"/>
                <w:i/>
                <w:sz w:val="18"/>
                <w:szCs w:val="16"/>
              </w:rPr>
            </w:pPr>
            <w:r w:rsidRPr="00E96E55">
              <w:rPr>
                <w:rFonts w:ascii="Arial" w:hAnsi="Arial"/>
                <w:i/>
                <w:sz w:val="18"/>
                <w:szCs w:val="16"/>
              </w:rPr>
              <w:t>the presence of Heberden’s nodes or calcific deposits in the terminal joints of the fingers with deformity</w:t>
            </w:r>
          </w:p>
          <w:p w:rsidR="00E96E55" w:rsidRPr="00E96E55" w:rsidRDefault="00E96E55" w:rsidP="00F063AF">
            <w:pPr>
              <w:pStyle w:val="ListParagraph"/>
              <w:numPr>
                <w:ilvl w:val="0"/>
                <w:numId w:val="276"/>
              </w:numPr>
              <w:spacing w:after="0" w:line="240" w:lineRule="auto"/>
              <w:rPr>
                <w:rFonts w:ascii="Arial" w:hAnsi="Arial"/>
                <w:i/>
                <w:sz w:val="18"/>
                <w:szCs w:val="16"/>
              </w:rPr>
            </w:pPr>
            <w:r w:rsidRPr="00E96E55">
              <w:rPr>
                <w:rFonts w:ascii="Arial" w:hAnsi="Arial"/>
                <w:i/>
                <w:sz w:val="18"/>
                <w:szCs w:val="16"/>
              </w:rPr>
              <w:t>ankylosis, in rare cases</w:t>
            </w:r>
          </w:p>
          <w:p w:rsidR="00E96E55" w:rsidRPr="00E96E55" w:rsidRDefault="00E96E55" w:rsidP="00F063AF">
            <w:pPr>
              <w:numPr>
                <w:ilvl w:val="0"/>
                <w:numId w:val="276"/>
              </w:numPr>
              <w:overflowPunct/>
              <w:autoSpaceDE/>
              <w:autoSpaceDN/>
              <w:adjustRightInd/>
              <w:textAlignment w:val="auto"/>
              <w:rPr>
                <w:i/>
                <w:sz w:val="18"/>
                <w:szCs w:val="16"/>
              </w:rPr>
            </w:pPr>
            <w:r w:rsidRPr="00E96E55">
              <w:rPr>
                <w:i/>
                <w:sz w:val="18"/>
                <w:szCs w:val="16"/>
              </w:rPr>
              <w:t>hyperostosis and irregular, notched articular surfaces of the joints</w:t>
            </w:r>
          </w:p>
          <w:p w:rsidR="00E96E55" w:rsidRPr="00E96E55" w:rsidRDefault="00E96E55" w:rsidP="00F063AF">
            <w:pPr>
              <w:numPr>
                <w:ilvl w:val="0"/>
                <w:numId w:val="276"/>
              </w:numPr>
              <w:overflowPunct/>
              <w:autoSpaceDE/>
              <w:autoSpaceDN/>
              <w:adjustRightInd/>
              <w:textAlignment w:val="auto"/>
              <w:rPr>
                <w:i/>
                <w:sz w:val="18"/>
                <w:szCs w:val="16"/>
              </w:rPr>
            </w:pPr>
            <w:r w:rsidRPr="00E96E55">
              <w:rPr>
                <w:i/>
                <w:sz w:val="18"/>
                <w:szCs w:val="16"/>
              </w:rPr>
              <w:t>destruction of cartilage</w:t>
            </w:r>
          </w:p>
          <w:p w:rsidR="00E96E55" w:rsidRPr="00E96E55" w:rsidRDefault="00E96E55" w:rsidP="00F063AF">
            <w:pPr>
              <w:numPr>
                <w:ilvl w:val="0"/>
                <w:numId w:val="276"/>
              </w:numPr>
              <w:overflowPunct/>
              <w:autoSpaceDE/>
              <w:autoSpaceDN/>
              <w:adjustRightInd/>
              <w:textAlignment w:val="auto"/>
              <w:rPr>
                <w:i/>
                <w:sz w:val="18"/>
                <w:szCs w:val="16"/>
              </w:rPr>
            </w:pPr>
            <w:r w:rsidRPr="00E96E55">
              <w:rPr>
                <w:i/>
                <w:sz w:val="18"/>
                <w:szCs w:val="16"/>
              </w:rPr>
              <w:t>bone eburnation, and</w:t>
            </w:r>
          </w:p>
          <w:p w:rsidR="00E96E55" w:rsidRPr="00E96E55" w:rsidRDefault="00E96E55" w:rsidP="00F063AF">
            <w:pPr>
              <w:numPr>
                <w:ilvl w:val="0"/>
                <w:numId w:val="276"/>
              </w:numPr>
              <w:overflowPunct/>
              <w:autoSpaceDE/>
              <w:autoSpaceDN/>
              <w:adjustRightInd/>
              <w:textAlignment w:val="auto"/>
              <w:rPr>
                <w:i/>
                <w:sz w:val="18"/>
                <w:szCs w:val="16"/>
              </w:rPr>
            </w:pPr>
            <w:r w:rsidRPr="00E96E55">
              <w:rPr>
                <w:i/>
                <w:sz w:val="18"/>
                <w:szCs w:val="16"/>
              </w:rPr>
              <w:t>the formation of osteophytes.</w:t>
            </w:r>
          </w:p>
          <w:p w:rsidR="00E96E55" w:rsidRDefault="00E96E55" w:rsidP="00E23780">
            <w:pPr>
              <w:widowControl w:val="0"/>
              <w:numPr>
                <w:ilvl w:val="12"/>
                <w:numId w:val="0"/>
              </w:numPr>
              <w:rPr>
                <w:i/>
                <w:sz w:val="18"/>
              </w:rPr>
            </w:pPr>
          </w:p>
          <w:p w:rsidR="003C58B8" w:rsidRDefault="003C58B8" w:rsidP="00E23780">
            <w:pPr>
              <w:widowControl w:val="0"/>
              <w:numPr>
                <w:ilvl w:val="12"/>
                <w:numId w:val="0"/>
              </w:numPr>
              <w:rPr>
                <w:i/>
                <w:sz w:val="18"/>
              </w:rPr>
            </w:pPr>
            <w:r>
              <w:rPr>
                <w:i/>
                <w:sz w:val="18"/>
              </w:rPr>
              <w:t xml:space="preserve">Per </w:t>
            </w:r>
            <w:r w:rsidR="00DE2BD0">
              <w:rPr>
                <w:i/>
                <w:sz w:val="18"/>
              </w:rPr>
              <w:t>QRT/</w:t>
            </w:r>
            <w:r>
              <w:rPr>
                <w:i/>
                <w:sz w:val="18"/>
              </w:rPr>
              <w:t>Carlos Rosario, use degenerative (5003) unless there is a traumatic event. Repetitive use is not considered trauma.</w:t>
            </w:r>
            <w:r w:rsidR="00CD0826">
              <w:rPr>
                <w:i/>
                <w:sz w:val="18"/>
              </w:rPr>
              <w:t xml:space="preserve"> 6/3/03 Musculoskeletal broadcast - </w:t>
            </w:r>
            <w:r w:rsidR="00CD0826" w:rsidRPr="00CD0826">
              <w:rPr>
                <w:i/>
                <w:sz w:val="18"/>
              </w:rPr>
              <w:t>http://vbaw.vba.va.gov/bl/21/Calendar/vbn/transcripts.htm</w:t>
            </w:r>
          </w:p>
          <w:p w:rsidR="003C58B8" w:rsidRDefault="003C58B8" w:rsidP="00E23780">
            <w:pPr>
              <w:widowControl w:val="0"/>
              <w:numPr>
                <w:ilvl w:val="12"/>
                <w:numId w:val="0"/>
              </w:numPr>
              <w:rPr>
                <w:i/>
                <w:sz w:val="18"/>
              </w:rPr>
            </w:pPr>
          </w:p>
          <w:p w:rsidR="00E96E55" w:rsidRPr="00E96E55" w:rsidRDefault="003E04B7" w:rsidP="00B561DC">
            <w:pPr>
              <w:widowControl w:val="0"/>
              <w:numPr>
                <w:ilvl w:val="12"/>
                <w:numId w:val="0"/>
              </w:numPr>
              <w:pBdr>
                <w:top w:val="single" w:sz="4" w:space="1" w:color="auto"/>
                <w:left w:val="single" w:sz="4" w:space="4" w:color="auto"/>
                <w:bottom w:val="single" w:sz="4" w:space="1" w:color="auto"/>
                <w:right w:val="single" w:sz="4" w:space="4" w:color="auto"/>
              </w:pBdr>
              <w:rPr>
                <w:sz w:val="18"/>
              </w:rPr>
            </w:pPr>
            <w:r>
              <w:rPr>
                <w:sz w:val="18"/>
              </w:rPr>
              <w:t>Rating Note:  III.iv.4.A.</w:t>
            </w:r>
            <w:r w:rsidR="00F95CC5">
              <w:rPr>
                <w:sz w:val="18"/>
              </w:rPr>
              <w:t>5</w:t>
            </w:r>
            <w:r w:rsidR="00E96E55" w:rsidRPr="00E96E55">
              <w:rPr>
                <w:sz w:val="18"/>
              </w:rPr>
              <w:t>.a indicates that degenerative disc disease is IVDS &amp; not degenerative arthritis, but the 7/22/03 x-ray findings show "degenerative changes" and "osteophytes</w:t>
            </w:r>
            <w:r w:rsidR="001946CC">
              <w:rPr>
                <w:sz w:val="18"/>
              </w:rPr>
              <w:t>,”</w:t>
            </w:r>
            <w:r w:rsidR="00E96E55" w:rsidRPr="00E96E55">
              <w:rPr>
                <w:sz w:val="18"/>
              </w:rPr>
              <w:t xml:space="preserve"> which are forms of degenerative arthritis, per III.iv.4.</w:t>
            </w:r>
            <w:r w:rsidR="002F795E">
              <w:rPr>
                <w:sz w:val="18"/>
              </w:rPr>
              <w:t>B.2.b</w:t>
            </w:r>
            <w:r w:rsidR="00E96E55" w:rsidRPr="00E96E55">
              <w:rPr>
                <w:sz w:val="18"/>
              </w:rPr>
              <w:t xml:space="preserve"> &amp; fall under 3.309(a).</w:t>
            </w:r>
          </w:p>
          <w:p w:rsidR="00E96E55" w:rsidRDefault="00E96E55" w:rsidP="00E23780">
            <w:pPr>
              <w:widowControl w:val="0"/>
              <w:numPr>
                <w:ilvl w:val="12"/>
                <w:numId w:val="0"/>
              </w:numPr>
              <w:rPr>
                <w:i/>
                <w:sz w:val="18"/>
              </w:rPr>
            </w:pPr>
          </w:p>
          <w:p w:rsidR="00E96E55" w:rsidRDefault="00E96E55" w:rsidP="00E23780">
            <w:pPr>
              <w:widowControl w:val="0"/>
              <w:numPr>
                <w:ilvl w:val="12"/>
                <w:numId w:val="0"/>
              </w:numPr>
              <w:rPr>
                <w:i/>
                <w:sz w:val="18"/>
              </w:rPr>
            </w:pPr>
          </w:p>
          <w:p w:rsidR="00E23780" w:rsidRPr="00E23780" w:rsidRDefault="00480D3D" w:rsidP="00E23780">
            <w:pPr>
              <w:widowControl w:val="0"/>
              <w:numPr>
                <w:ilvl w:val="12"/>
                <w:numId w:val="0"/>
              </w:numPr>
              <w:rPr>
                <w:b/>
                <w:i/>
                <w:sz w:val="18"/>
                <w:u w:val="single"/>
              </w:rPr>
            </w:pPr>
            <w:r>
              <w:rPr>
                <w:b/>
                <w:i/>
                <w:sz w:val="18"/>
                <w:u w:val="single"/>
              </w:rPr>
              <w:t>SPONDYLOLYSIS</w:t>
            </w:r>
          </w:p>
          <w:p w:rsidR="005267C5" w:rsidRPr="00480D3D" w:rsidRDefault="005267C5" w:rsidP="005267C5">
            <w:pPr>
              <w:pStyle w:val="BodyText2"/>
              <w:widowControl w:val="0"/>
              <w:rPr>
                <w:b w:val="0"/>
                <w:i/>
                <w:sz w:val="18"/>
              </w:rPr>
            </w:pPr>
            <w:r w:rsidRPr="00E23780">
              <w:rPr>
                <w:sz w:val="18"/>
              </w:rPr>
              <w:t>III.iv.4.A.</w:t>
            </w:r>
            <w:r w:rsidR="00F95CC5">
              <w:rPr>
                <w:sz w:val="18"/>
              </w:rPr>
              <w:t>8.h</w:t>
            </w:r>
            <w:r w:rsidRPr="00E23780">
              <w:rPr>
                <w:b w:val="0"/>
                <w:sz w:val="18"/>
              </w:rPr>
              <w:t xml:space="preserve"> says </w:t>
            </w:r>
            <w:r w:rsidRPr="00E23780">
              <w:rPr>
                <w:bCs w:val="0"/>
                <w:i/>
                <w:iCs/>
                <w:sz w:val="18"/>
              </w:rPr>
              <w:t>spondylolysis</w:t>
            </w:r>
            <w:r w:rsidRPr="00E23780">
              <w:rPr>
                <w:sz w:val="18"/>
              </w:rPr>
              <w:t xml:space="preserve"> </w:t>
            </w:r>
            <w:r w:rsidRPr="00E23780">
              <w:rPr>
                <w:b w:val="0"/>
                <w:sz w:val="18"/>
              </w:rPr>
              <w:t xml:space="preserve">is a </w:t>
            </w:r>
            <w:r>
              <w:rPr>
                <w:b w:val="0"/>
                <w:sz w:val="18"/>
              </w:rPr>
              <w:t>congenital defect.</w:t>
            </w:r>
            <w:r w:rsidR="00480D3D">
              <w:rPr>
                <w:b w:val="0"/>
                <w:sz w:val="18"/>
              </w:rPr>
              <w:t xml:space="preserve"> </w:t>
            </w:r>
            <w:r w:rsidR="00480D3D" w:rsidRPr="00480D3D">
              <w:rPr>
                <w:b w:val="0"/>
                <w:i/>
                <w:sz w:val="18"/>
              </w:rPr>
              <w:t xml:space="preserve">*It appears this is </w:t>
            </w:r>
            <w:r w:rsidR="00480D3D" w:rsidRPr="0024506C">
              <w:rPr>
                <w:b w:val="0"/>
                <w:i/>
                <w:sz w:val="18"/>
              </w:rPr>
              <w:t>not spondylosis</w:t>
            </w:r>
            <w:r w:rsidR="00480D3D" w:rsidRPr="00480D3D">
              <w:rPr>
                <w:b w:val="0"/>
                <w:i/>
                <w:sz w:val="18"/>
              </w:rPr>
              <w:t>.</w:t>
            </w:r>
          </w:p>
          <w:p w:rsidR="005267C5" w:rsidRDefault="005267C5" w:rsidP="005267C5">
            <w:pPr>
              <w:pStyle w:val="BodyText2"/>
              <w:widowControl w:val="0"/>
              <w:rPr>
                <w:b w:val="0"/>
                <w:sz w:val="18"/>
              </w:rPr>
            </w:pPr>
          </w:p>
          <w:p w:rsidR="005267C5" w:rsidRDefault="005267C5" w:rsidP="005267C5">
            <w:pPr>
              <w:pStyle w:val="BodyText2"/>
              <w:widowControl w:val="0"/>
              <w:rPr>
                <w:b w:val="0"/>
                <w:sz w:val="18"/>
              </w:rPr>
            </w:pPr>
            <w:r w:rsidRPr="00E23780">
              <w:rPr>
                <w:b w:val="0"/>
                <w:sz w:val="18"/>
              </w:rPr>
              <w:t xml:space="preserve">orthoinfo.aaos.org  </w:t>
            </w:r>
            <w:r>
              <w:rPr>
                <w:b w:val="0"/>
                <w:sz w:val="18"/>
              </w:rPr>
              <w:t xml:space="preserve">&amp; </w:t>
            </w:r>
            <w:r w:rsidRPr="00E23780">
              <w:rPr>
                <w:b w:val="0"/>
                <w:sz w:val="18"/>
                <w:lang w:val="en"/>
              </w:rPr>
              <w:t xml:space="preserve">medicine.medscape.com </w:t>
            </w:r>
            <w:r w:rsidRPr="00E23780">
              <w:rPr>
                <w:b w:val="0"/>
                <w:sz w:val="18"/>
              </w:rPr>
              <w:t xml:space="preserve">say </w:t>
            </w:r>
            <w:r w:rsidRPr="00E23780">
              <w:rPr>
                <w:i/>
                <w:sz w:val="18"/>
              </w:rPr>
              <w:t>spondylolysis</w:t>
            </w:r>
            <w:r w:rsidRPr="00E23780">
              <w:rPr>
                <w:sz w:val="18"/>
              </w:rPr>
              <w:t xml:space="preserve"> </w:t>
            </w:r>
            <w:r w:rsidRPr="00E23780">
              <w:rPr>
                <w:b w:val="0"/>
                <w:sz w:val="18"/>
              </w:rPr>
              <w:t>is a stress</w:t>
            </w:r>
            <w:r>
              <w:rPr>
                <w:b w:val="0"/>
                <w:sz w:val="18"/>
              </w:rPr>
              <w:t>fracture from repeated microtrauma or heredity (possibly on a defect in the pars interarticularis of the neural arch )</w:t>
            </w:r>
            <w:r w:rsidR="00480D3D" w:rsidRPr="00480D3D">
              <w:rPr>
                <w:b w:val="0"/>
                <w:i/>
                <w:sz w:val="18"/>
              </w:rPr>
              <w:t xml:space="preserve"> *It appears this is not spondylosis.</w:t>
            </w:r>
          </w:p>
          <w:p w:rsidR="005267C5" w:rsidRDefault="005267C5" w:rsidP="00E23780">
            <w:pPr>
              <w:widowControl w:val="0"/>
              <w:numPr>
                <w:ilvl w:val="12"/>
                <w:numId w:val="0"/>
              </w:numPr>
              <w:rPr>
                <w:sz w:val="18"/>
              </w:rPr>
            </w:pPr>
          </w:p>
          <w:p w:rsidR="0024506C" w:rsidRDefault="0024506C" w:rsidP="00E23780">
            <w:pPr>
              <w:widowControl w:val="0"/>
              <w:numPr>
                <w:ilvl w:val="12"/>
                <w:numId w:val="0"/>
              </w:numPr>
              <w:rPr>
                <w:sz w:val="18"/>
              </w:rPr>
            </w:pPr>
          </w:p>
          <w:p w:rsidR="0024506C" w:rsidRDefault="0024506C" w:rsidP="00E23780">
            <w:pPr>
              <w:widowControl w:val="0"/>
              <w:numPr>
                <w:ilvl w:val="12"/>
                <w:numId w:val="0"/>
              </w:numPr>
              <w:rPr>
                <w:sz w:val="18"/>
              </w:rPr>
            </w:pPr>
            <w:r w:rsidRPr="00E23780">
              <w:rPr>
                <w:b/>
                <w:i/>
                <w:sz w:val="18"/>
                <w:u w:val="single"/>
              </w:rPr>
              <w:t>SPONDYLOSIS</w:t>
            </w:r>
          </w:p>
          <w:p w:rsidR="00E23780" w:rsidRDefault="00E23780" w:rsidP="00E23780">
            <w:pPr>
              <w:pStyle w:val="BodyText2"/>
              <w:widowControl w:val="0"/>
              <w:rPr>
                <w:b w:val="0"/>
                <w:sz w:val="18"/>
                <w:lang w:val="en"/>
              </w:rPr>
            </w:pPr>
            <w:r w:rsidRPr="00E23780">
              <w:rPr>
                <w:b w:val="0"/>
                <w:sz w:val="18"/>
                <w:lang w:val="en"/>
              </w:rPr>
              <w:t>medicine.medscape.com says</w:t>
            </w:r>
            <w:r>
              <w:rPr>
                <w:b w:val="0"/>
                <w:sz w:val="18"/>
                <w:lang w:val="en"/>
              </w:rPr>
              <w:t xml:space="preserve"> </w:t>
            </w:r>
            <w:r w:rsidRPr="00E23780">
              <w:rPr>
                <w:i/>
                <w:sz w:val="18"/>
                <w:lang w:val="en"/>
              </w:rPr>
              <w:t>spondylosis</w:t>
            </w:r>
            <w:r w:rsidRPr="00E23780">
              <w:rPr>
                <w:b w:val="0"/>
                <w:sz w:val="18"/>
                <w:lang w:val="en"/>
              </w:rPr>
              <w:t xml:space="preserve"> describes bony overgrowths (osteophytes) [</w:t>
            </w:r>
            <w:r>
              <w:rPr>
                <w:b w:val="0"/>
                <w:sz w:val="18"/>
                <w:lang w:val="en"/>
              </w:rPr>
              <w:t>and is not</w:t>
            </w:r>
            <w:r w:rsidRPr="00E23780">
              <w:rPr>
                <w:b w:val="0"/>
                <w:sz w:val="18"/>
                <w:lang w:val="en"/>
              </w:rPr>
              <w:t xml:space="preserve"> degenerative joint disease or osteoarthritis since not a joint]</w:t>
            </w:r>
          </w:p>
          <w:p w:rsidR="005267C5" w:rsidRDefault="005267C5" w:rsidP="00E23780">
            <w:pPr>
              <w:widowControl w:val="0"/>
              <w:numPr>
                <w:ilvl w:val="12"/>
                <w:numId w:val="0"/>
              </w:numPr>
              <w:rPr>
                <w:sz w:val="18"/>
              </w:rPr>
            </w:pPr>
          </w:p>
          <w:p w:rsidR="005267C5" w:rsidRDefault="005267C5" w:rsidP="005267C5">
            <w:pPr>
              <w:widowControl w:val="0"/>
              <w:numPr>
                <w:ilvl w:val="12"/>
                <w:numId w:val="0"/>
              </w:numPr>
              <w:rPr>
                <w:sz w:val="18"/>
              </w:rPr>
            </w:pPr>
            <w:r w:rsidRPr="00E23780">
              <w:rPr>
                <w:sz w:val="18"/>
              </w:rPr>
              <w:t xml:space="preserve">Some </w:t>
            </w:r>
            <w:r>
              <w:rPr>
                <w:sz w:val="18"/>
              </w:rPr>
              <w:t>VA examiners i</w:t>
            </w:r>
            <w:r w:rsidRPr="00E23780">
              <w:rPr>
                <w:sz w:val="18"/>
              </w:rPr>
              <w:t xml:space="preserve">ndicate that </w:t>
            </w:r>
            <w:r w:rsidRPr="00E23780">
              <w:rPr>
                <w:b/>
                <w:sz w:val="18"/>
              </w:rPr>
              <w:t>spondylosis</w:t>
            </w:r>
            <w:r w:rsidRPr="00E23780">
              <w:rPr>
                <w:sz w:val="18"/>
              </w:rPr>
              <w:t xml:space="preserve"> is not arthritis since it involves osteophytes on the vertebrae (which is not a joint)</w:t>
            </w:r>
            <w:r>
              <w:rPr>
                <w:sz w:val="18"/>
              </w:rPr>
              <w:t>. Other VA examiners indicate it is arthritis. Still others indicate it’s DDD.</w:t>
            </w:r>
          </w:p>
          <w:p w:rsidR="00E23780" w:rsidRDefault="00E23780" w:rsidP="00E23780">
            <w:pPr>
              <w:widowControl w:val="0"/>
              <w:numPr>
                <w:ilvl w:val="12"/>
                <w:numId w:val="0"/>
              </w:numPr>
              <w:rPr>
                <w:sz w:val="18"/>
              </w:rPr>
            </w:pPr>
          </w:p>
          <w:p w:rsidR="00E23780" w:rsidRDefault="00D571C5" w:rsidP="00E23780">
            <w:pPr>
              <w:widowControl w:val="0"/>
              <w:numPr>
                <w:ilvl w:val="12"/>
                <w:numId w:val="0"/>
              </w:numPr>
              <w:rPr>
                <w:sz w:val="18"/>
              </w:rPr>
            </w:pPr>
            <w:hyperlink r:id="rId385" w:history="1">
              <w:r w:rsidR="00D535EB" w:rsidRPr="00D535EB">
                <w:rPr>
                  <w:rStyle w:val="Hyperlink"/>
                  <w:b/>
                  <w:bCs/>
                  <w:i/>
                  <w:iCs/>
                  <w:sz w:val="18"/>
                  <w:szCs w:val="18"/>
                </w:rPr>
                <w:t>Local Narrative July 2013</w:t>
              </w:r>
            </w:hyperlink>
            <w:r w:rsidR="00D535EB">
              <w:rPr>
                <w:i/>
              </w:rPr>
              <w:t xml:space="preserve"> </w:t>
            </w:r>
            <w:r w:rsidR="00BA4217" w:rsidRPr="00E23780">
              <w:rPr>
                <w:sz w:val="18"/>
              </w:rPr>
              <w:t xml:space="preserve">says </w:t>
            </w:r>
            <w:r w:rsidR="00BA4217" w:rsidRPr="004A70B3">
              <w:rPr>
                <w:b/>
                <w:i/>
                <w:sz w:val="18"/>
              </w:rPr>
              <w:t xml:space="preserve">spondylosis </w:t>
            </w:r>
            <w:r w:rsidR="00BA4217" w:rsidRPr="00E23780">
              <w:rPr>
                <w:sz w:val="18"/>
              </w:rPr>
              <w:t>should be 5242</w:t>
            </w:r>
          </w:p>
          <w:p w:rsidR="005267C5" w:rsidRDefault="005267C5" w:rsidP="00E23780">
            <w:pPr>
              <w:widowControl w:val="0"/>
              <w:numPr>
                <w:ilvl w:val="12"/>
                <w:numId w:val="0"/>
              </w:numPr>
              <w:rPr>
                <w:sz w:val="18"/>
              </w:rPr>
            </w:pPr>
          </w:p>
          <w:p w:rsidR="00743C7C" w:rsidRDefault="004A70B3" w:rsidP="00E23780">
            <w:pPr>
              <w:widowControl w:val="0"/>
              <w:numPr>
                <w:ilvl w:val="12"/>
                <w:numId w:val="0"/>
              </w:numPr>
              <w:rPr>
                <w:i/>
                <w:sz w:val="18"/>
              </w:rPr>
            </w:pPr>
            <w:r w:rsidRPr="00E23780">
              <w:rPr>
                <w:i/>
                <w:sz w:val="18"/>
              </w:rPr>
              <w:t>Majority of information</w:t>
            </w:r>
            <w:r w:rsidR="00E23780">
              <w:rPr>
                <w:i/>
                <w:sz w:val="18"/>
              </w:rPr>
              <w:t xml:space="preserve"> with rationale</w:t>
            </w:r>
            <w:r w:rsidRPr="00E23780">
              <w:rPr>
                <w:i/>
                <w:sz w:val="18"/>
              </w:rPr>
              <w:t xml:space="preserve"> s</w:t>
            </w:r>
            <w:r w:rsidR="00743C7C">
              <w:rPr>
                <w:i/>
                <w:sz w:val="18"/>
              </w:rPr>
              <w:t>ays spondylosis is NOT arthriti</w:t>
            </w:r>
            <w:r w:rsidR="0024506C">
              <w:rPr>
                <w:i/>
                <w:sz w:val="18"/>
              </w:rPr>
              <w:t>s</w:t>
            </w:r>
          </w:p>
          <w:p w:rsidR="0024506C" w:rsidRDefault="0024506C" w:rsidP="00E23780">
            <w:pPr>
              <w:widowControl w:val="0"/>
              <w:numPr>
                <w:ilvl w:val="12"/>
                <w:numId w:val="0"/>
              </w:numPr>
              <w:rPr>
                <w:i/>
                <w:sz w:val="18"/>
              </w:rPr>
            </w:pPr>
          </w:p>
          <w:p w:rsidR="0024506C" w:rsidRDefault="0024506C" w:rsidP="00E23780">
            <w:pPr>
              <w:widowControl w:val="0"/>
              <w:numPr>
                <w:ilvl w:val="12"/>
                <w:numId w:val="0"/>
              </w:numPr>
              <w:rPr>
                <w:i/>
                <w:sz w:val="18"/>
              </w:rPr>
            </w:pPr>
          </w:p>
          <w:p w:rsidR="00E23780" w:rsidRPr="00E23780" w:rsidRDefault="00E23780" w:rsidP="00E23780">
            <w:pPr>
              <w:widowControl w:val="0"/>
              <w:numPr>
                <w:ilvl w:val="12"/>
                <w:numId w:val="0"/>
              </w:numPr>
              <w:rPr>
                <w:b/>
                <w:i/>
                <w:sz w:val="18"/>
                <w:u w:val="single"/>
              </w:rPr>
            </w:pPr>
            <w:r w:rsidRPr="00E23780">
              <w:rPr>
                <w:b/>
                <w:i/>
                <w:sz w:val="18"/>
                <w:u w:val="single"/>
              </w:rPr>
              <w:t>SPONDYLO</w:t>
            </w:r>
            <w:r>
              <w:rPr>
                <w:b/>
                <w:i/>
                <w:sz w:val="18"/>
                <w:u w:val="single"/>
              </w:rPr>
              <w:t>LISTHESIS</w:t>
            </w:r>
          </w:p>
          <w:p w:rsidR="004A70B3" w:rsidRDefault="00F95CC5" w:rsidP="00E23780">
            <w:pPr>
              <w:pStyle w:val="BodyText2"/>
              <w:widowControl w:val="0"/>
              <w:rPr>
                <w:b w:val="0"/>
                <w:sz w:val="18"/>
              </w:rPr>
            </w:pPr>
            <w:r>
              <w:rPr>
                <w:sz w:val="18"/>
              </w:rPr>
              <w:t>III.iv.4.A.8.h</w:t>
            </w:r>
            <w:r w:rsidR="00E23780" w:rsidRPr="00E23780">
              <w:rPr>
                <w:b w:val="0"/>
                <w:sz w:val="18"/>
              </w:rPr>
              <w:t xml:space="preserve"> </w:t>
            </w:r>
            <w:r w:rsidR="00E23780">
              <w:rPr>
                <w:b w:val="0"/>
                <w:sz w:val="18"/>
              </w:rPr>
              <w:t xml:space="preserve">says </w:t>
            </w:r>
            <w:r w:rsidR="004A70B3" w:rsidRPr="00E23780">
              <w:rPr>
                <w:b w:val="0"/>
                <w:sz w:val="18"/>
              </w:rPr>
              <w:t>spondylolisthesis is not automatically a con</w:t>
            </w:r>
            <w:r w:rsidR="00E23780">
              <w:rPr>
                <w:b w:val="0"/>
                <w:sz w:val="18"/>
              </w:rPr>
              <w:t>g</w:t>
            </w:r>
            <w:r w:rsidR="004A70B3" w:rsidRPr="00E23780">
              <w:rPr>
                <w:b w:val="0"/>
                <w:sz w:val="18"/>
              </w:rPr>
              <w:t>ential condition although is commonly associated with a congenital defect</w:t>
            </w:r>
          </w:p>
          <w:p w:rsidR="00E23780" w:rsidRPr="00E23780" w:rsidRDefault="00E23780" w:rsidP="00E23780">
            <w:pPr>
              <w:pStyle w:val="BodyText2"/>
              <w:widowControl w:val="0"/>
              <w:rPr>
                <w:b w:val="0"/>
                <w:sz w:val="18"/>
              </w:rPr>
            </w:pPr>
          </w:p>
          <w:p w:rsidR="004A70B3" w:rsidRDefault="004A70B3" w:rsidP="00E23780">
            <w:pPr>
              <w:pStyle w:val="BodyText2"/>
              <w:widowControl w:val="0"/>
              <w:rPr>
                <w:b w:val="0"/>
                <w:sz w:val="18"/>
                <w:lang w:val="en"/>
              </w:rPr>
            </w:pPr>
            <w:r w:rsidRPr="00E23780">
              <w:rPr>
                <w:b w:val="0"/>
                <w:sz w:val="18"/>
              </w:rPr>
              <w:t xml:space="preserve">orthoinfo.aaos.org  says </w:t>
            </w:r>
            <w:r w:rsidRPr="00E23780">
              <w:rPr>
                <w:i/>
                <w:sz w:val="18"/>
              </w:rPr>
              <w:t>s</w:t>
            </w:r>
            <w:r w:rsidRPr="00E23780">
              <w:rPr>
                <w:i/>
                <w:sz w:val="18"/>
                <w:lang w:val="en"/>
              </w:rPr>
              <w:t>pondylolisthesis</w:t>
            </w:r>
            <w:r w:rsidRPr="00E23780">
              <w:rPr>
                <w:b w:val="0"/>
                <w:sz w:val="18"/>
                <w:lang w:val="en"/>
              </w:rPr>
              <w:t xml:space="preserve"> is when the vertebra shifts out of place after the stress fracture</w:t>
            </w:r>
          </w:p>
          <w:p w:rsidR="00E23780" w:rsidRPr="00E23780" w:rsidRDefault="00E23780" w:rsidP="00E23780">
            <w:pPr>
              <w:pStyle w:val="BodyText2"/>
              <w:widowControl w:val="0"/>
              <w:rPr>
                <w:b w:val="0"/>
                <w:sz w:val="18"/>
                <w:lang w:val="en"/>
              </w:rPr>
            </w:pPr>
          </w:p>
          <w:p w:rsidR="004A70B3" w:rsidRPr="00475C3E" w:rsidRDefault="004A70B3" w:rsidP="00E23780">
            <w:pPr>
              <w:pStyle w:val="BodyText2"/>
              <w:widowControl w:val="0"/>
              <w:rPr>
                <w:i/>
                <w:sz w:val="18"/>
              </w:rPr>
            </w:pPr>
            <w:r w:rsidRPr="00E23780">
              <w:rPr>
                <w:b w:val="0"/>
                <w:sz w:val="18"/>
                <w:lang w:val="en"/>
              </w:rPr>
              <w:t>medicine.medscape.com says</w:t>
            </w:r>
            <w:r w:rsidR="00E23780">
              <w:rPr>
                <w:b w:val="0"/>
                <w:sz w:val="18"/>
                <w:lang w:val="en"/>
              </w:rPr>
              <w:t xml:space="preserve"> </w:t>
            </w:r>
            <w:r w:rsidRPr="00E23780">
              <w:rPr>
                <w:i/>
                <w:sz w:val="18"/>
              </w:rPr>
              <w:t>s</w:t>
            </w:r>
            <w:r w:rsidRPr="00E23780">
              <w:rPr>
                <w:i/>
                <w:sz w:val="18"/>
                <w:lang w:val="en"/>
              </w:rPr>
              <w:t>pondylolisthesis</w:t>
            </w:r>
            <w:r w:rsidRPr="00E23780">
              <w:rPr>
                <w:b w:val="0"/>
                <w:sz w:val="18"/>
                <w:lang w:val="en"/>
              </w:rPr>
              <w:t xml:space="preserve"> (forward slippage of one vertebral body with respect to the one beneath it) can be congenital/dysplastic, isthmic, degenerative, trauma</w:t>
            </w:r>
            <w:r w:rsidR="00E23780">
              <w:rPr>
                <w:b w:val="0"/>
                <w:sz w:val="18"/>
                <w:lang w:val="en"/>
              </w:rPr>
              <w:t>t</w:t>
            </w:r>
            <w:r w:rsidRPr="00E23780">
              <w:rPr>
                <w:b w:val="0"/>
                <w:sz w:val="18"/>
                <w:lang w:val="en"/>
              </w:rPr>
              <w:t>ic or pathologic</w:t>
            </w:r>
            <w:r w:rsidR="00E23780">
              <w:rPr>
                <w:b w:val="0"/>
                <w:sz w:val="18"/>
                <w:lang w:val="en"/>
              </w:rPr>
              <w:t>.</w:t>
            </w:r>
          </w:p>
        </w:tc>
        <w:tc>
          <w:tcPr>
            <w:tcW w:w="3486" w:type="dxa"/>
          </w:tcPr>
          <w:p w:rsidR="00013EB8" w:rsidRDefault="0020513E">
            <w:pPr>
              <w:widowControl w:val="0"/>
              <w:numPr>
                <w:ilvl w:val="12"/>
                <w:numId w:val="0"/>
              </w:numPr>
              <w:rPr>
                <w:sz w:val="18"/>
              </w:rPr>
            </w:pPr>
            <w:r>
              <w:rPr>
                <w:sz w:val="18"/>
              </w:rPr>
              <w:t xml:space="preserve">5002, </w:t>
            </w:r>
            <w:r w:rsidR="00013EB8">
              <w:rPr>
                <w:sz w:val="18"/>
              </w:rPr>
              <w:t>5003,</w:t>
            </w:r>
            <w:r>
              <w:rPr>
                <w:sz w:val="18"/>
              </w:rPr>
              <w:t xml:space="preserve"> 5004, 5005, 5006, 5007, 5008, 5009,</w:t>
            </w:r>
            <w:r w:rsidR="00013EB8">
              <w:rPr>
                <w:sz w:val="18"/>
              </w:rPr>
              <w:t xml:space="preserve"> 5010</w:t>
            </w:r>
          </w:p>
        </w:tc>
      </w:tr>
      <w:tr w:rsidR="00013EB8">
        <w:trPr>
          <w:trHeight w:val="170"/>
        </w:trPr>
        <w:tc>
          <w:tcPr>
            <w:tcW w:w="7508" w:type="dxa"/>
          </w:tcPr>
          <w:p w:rsidR="00013EB8" w:rsidRDefault="00013EB8">
            <w:pPr>
              <w:widowControl w:val="0"/>
              <w:numPr>
                <w:ilvl w:val="12"/>
                <w:numId w:val="0"/>
              </w:numPr>
              <w:rPr>
                <w:sz w:val="18"/>
              </w:rPr>
            </w:pPr>
            <w:r>
              <w:rPr>
                <w:sz w:val="18"/>
              </w:rPr>
              <w:t>Atrophy, Progressive muscular</w:t>
            </w:r>
          </w:p>
        </w:tc>
        <w:tc>
          <w:tcPr>
            <w:tcW w:w="3486" w:type="dxa"/>
          </w:tcPr>
          <w:p w:rsidR="00013EB8" w:rsidRDefault="00013EB8">
            <w:pPr>
              <w:widowControl w:val="0"/>
              <w:numPr>
                <w:ilvl w:val="12"/>
                <w:numId w:val="0"/>
              </w:numPr>
              <w:rPr>
                <w:sz w:val="18"/>
              </w:rPr>
            </w:pPr>
            <w:r>
              <w:rPr>
                <w:sz w:val="18"/>
              </w:rPr>
              <w:t>8023</w:t>
            </w:r>
          </w:p>
        </w:tc>
      </w:tr>
      <w:tr w:rsidR="00013EB8">
        <w:trPr>
          <w:trHeight w:val="159"/>
        </w:trPr>
        <w:tc>
          <w:tcPr>
            <w:tcW w:w="7508" w:type="dxa"/>
          </w:tcPr>
          <w:p w:rsidR="00013EB8" w:rsidRDefault="00013EB8">
            <w:pPr>
              <w:widowControl w:val="0"/>
              <w:numPr>
                <w:ilvl w:val="12"/>
                <w:numId w:val="0"/>
              </w:numPr>
              <w:rPr>
                <w:sz w:val="18"/>
              </w:rPr>
            </w:pPr>
            <w:r>
              <w:rPr>
                <w:sz w:val="18"/>
              </w:rPr>
              <w:t>Brain hemorrhage</w:t>
            </w:r>
          </w:p>
        </w:tc>
        <w:tc>
          <w:tcPr>
            <w:tcW w:w="3486" w:type="dxa"/>
          </w:tcPr>
          <w:p w:rsidR="00013EB8" w:rsidRDefault="00013EB8">
            <w:pPr>
              <w:widowControl w:val="0"/>
              <w:numPr>
                <w:ilvl w:val="12"/>
                <w:numId w:val="0"/>
              </w:numPr>
              <w:rPr>
                <w:sz w:val="18"/>
              </w:rPr>
            </w:pPr>
            <w:r>
              <w:rPr>
                <w:sz w:val="18"/>
              </w:rPr>
              <w:t>8009</w:t>
            </w:r>
          </w:p>
        </w:tc>
      </w:tr>
      <w:tr w:rsidR="00013EB8">
        <w:trPr>
          <w:trHeight w:val="170"/>
        </w:trPr>
        <w:tc>
          <w:tcPr>
            <w:tcW w:w="7508" w:type="dxa"/>
          </w:tcPr>
          <w:p w:rsidR="00013EB8" w:rsidRDefault="00013EB8">
            <w:pPr>
              <w:widowControl w:val="0"/>
              <w:numPr>
                <w:ilvl w:val="12"/>
                <w:numId w:val="0"/>
              </w:numPr>
              <w:rPr>
                <w:sz w:val="18"/>
              </w:rPr>
            </w:pPr>
            <w:r>
              <w:rPr>
                <w:sz w:val="18"/>
              </w:rPr>
              <w:t>Brain thrombosis</w:t>
            </w:r>
          </w:p>
        </w:tc>
        <w:tc>
          <w:tcPr>
            <w:tcW w:w="3486" w:type="dxa"/>
          </w:tcPr>
          <w:p w:rsidR="00013EB8" w:rsidRDefault="00013EB8">
            <w:pPr>
              <w:widowControl w:val="0"/>
              <w:numPr>
                <w:ilvl w:val="12"/>
                <w:numId w:val="0"/>
              </w:numPr>
              <w:rPr>
                <w:sz w:val="18"/>
              </w:rPr>
            </w:pPr>
            <w:r>
              <w:rPr>
                <w:sz w:val="18"/>
              </w:rPr>
              <w:t>8008</w:t>
            </w:r>
          </w:p>
        </w:tc>
      </w:tr>
      <w:tr w:rsidR="00013EB8" w:rsidTr="006454D3">
        <w:trPr>
          <w:trHeight w:val="314"/>
        </w:trPr>
        <w:tc>
          <w:tcPr>
            <w:tcW w:w="7508" w:type="dxa"/>
          </w:tcPr>
          <w:p w:rsidR="00013EB8" w:rsidRDefault="00013EB8">
            <w:pPr>
              <w:widowControl w:val="0"/>
              <w:numPr>
                <w:ilvl w:val="12"/>
                <w:numId w:val="0"/>
              </w:numPr>
              <w:rPr>
                <w:sz w:val="18"/>
              </w:rPr>
            </w:pPr>
            <w:r>
              <w:rPr>
                <w:sz w:val="18"/>
              </w:rPr>
              <w:t>Bronchiectasis</w:t>
            </w:r>
          </w:p>
        </w:tc>
        <w:tc>
          <w:tcPr>
            <w:tcW w:w="3486" w:type="dxa"/>
          </w:tcPr>
          <w:p w:rsidR="00013EB8" w:rsidRDefault="00013EB8">
            <w:pPr>
              <w:widowControl w:val="0"/>
              <w:numPr>
                <w:ilvl w:val="12"/>
                <w:numId w:val="0"/>
              </w:numPr>
              <w:rPr>
                <w:sz w:val="18"/>
              </w:rPr>
            </w:pPr>
            <w:r>
              <w:rPr>
                <w:sz w:val="18"/>
              </w:rPr>
              <w:t>6601</w:t>
            </w:r>
          </w:p>
        </w:tc>
      </w:tr>
      <w:tr w:rsidR="00013EB8">
        <w:trPr>
          <w:trHeight w:val="170"/>
        </w:trPr>
        <w:tc>
          <w:tcPr>
            <w:tcW w:w="7508" w:type="dxa"/>
          </w:tcPr>
          <w:p w:rsidR="00013EB8" w:rsidRDefault="00013EB8" w:rsidP="006454D3">
            <w:pPr>
              <w:widowControl w:val="0"/>
              <w:numPr>
                <w:ilvl w:val="12"/>
                <w:numId w:val="0"/>
              </w:numPr>
              <w:rPr>
                <w:sz w:val="18"/>
              </w:rPr>
            </w:pPr>
            <w:r>
              <w:rPr>
                <w:sz w:val="18"/>
              </w:rPr>
              <w:t>Calculi of the kidney, bladder, or gallbladder</w:t>
            </w:r>
            <w:r w:rsidR="006454D3" w:rsidRPr="006454D3">
              <w:rPr>
                <w:i/>
                <w:sz w:val="18"/>
              </w:rPr>
              <w:t xml:space="preserve"> (aka kidney stones/renal calculi/nephrolithiasis/ureterolithiasis; bladder stones; gall stones/cholelithiasis)</w:t>
            </w:r>
          </w:p>
        </w:tc>
        <w:tc>
          <w:tcPr>
            <w:tcW w:w="3486" w:type="dxa"/>
          </w:tcPr>
          <w:p w:rsidR="00013EB8" w:rsidRDefault="00013EB8">
            <w:pPr>
              <w:widowControl w:val="0"/>
              <w:numPr>
                <w:ilvl w:val="12"/>
                <w:numId w:val="0"/>
              </w:numPr>
              <w:rPr>
                <w:sz w:val="18"/>
              </w:rPr>
            </w:pPr>
            <w:r>
              <w:rPr>
                <w:sz w:val="18"/>
              </w:rPr>
              <w:t>7508, 7515, 7315</w:t>
            </w:r>
          </w:p>
        </w:tc>
      </w:tr>
      <w:tr w:rsidR="00013EB8">
        <w:trPr>
          <w:trHeight w:val="634"/>
        </w:trPr>
        <w:tc>
          <w:tcPr>
            <w:tcW w:w="7508" w:type="dxa"/>
          </w:tcPr>
          <w:p w:rsidR="00013EB8" w:rsidRDefault="00013EB8">
            <w:pPr>
              <w:widowControl w:val="0"/>
              <w:numPr>
                <w:ilvl w:val="12"/>
                <w:numId w:val="0"/>
              </w:numPr>
              <w:rPr>
                <w:sz w:val="18"/>
              </w:rPr>
            </w:pPr>
            <w:r>
              <w:rPr>
                <w:sz w:val="18"/>
              </w:rPr>
              <w:t xml:space="preserve">Cardiovascular-renal disease, including </w:t>
            </w:r>
            <w:r>
              <w:rPr>
                <w:sz w:val="18"/>
                <w:u w:val="single"/>
              </w:rPr>
              <w:t>hypertension</w:t>
            </w:r>
            <w:r>
              <w:rPr>
                <w:sz w:val="18"/>
              </w:rPr>
              <w:t xml:space="preserve"> </w:t>
            </w:r>
          </w:p>
          <w:p w:rsidR="00013EB8" w:rsidRDefault="00013EB8">
            <w:pPr>
              <w:widowControl w:val="0"/>
              <w:numPr>
                <w:ilvl w:val="12"/>
                <w:numId w:val="0"/>
              </w:numPr>
              <w:rPr>
                <w:sz w:val="18"/>
              </w:rPr>
            </w:pPr>
            <w:r>
              <w:rPr>
                <w:sz w:val="18"/>
              </w:rPr>
              <w:t xml:space="preserve">(combination involvement of arteriosclerosis, nephritis, and organic heart disease)  </w:t>
            </w:r>
          </w:p>
          <w:p w:rsidR="00013EB8" w:rsidRDefault="008D1357">
            <w:pPr>
              <w:widowControl w:val="0"/>
              <w:numPr>
                <w:ilvl w:val="12"/>
                <w:numId w:val="0"/>
              </w:numPr>
              <w:rPr>
                <w:sz w:val="16"/>
              </w:rPr>
            </w:pPr>
            <w:r>
              <w:rPr>
                <w:i/>
                <w:iCs/>
                <w:sz w:val="16"/>
              </w:rPr>
              <w:t>*</w:t>
            </w:r>
            <w:r w:rsidR="00013EB8">
              <w:rPr>
                <w:i/>
                <w:iCs/>
                <w:sz w:val="16"/>
              </w:rPr>
              <w:t>also see arteriosclerosis above, &amp; myocarditis &amp; nephritis below</w:t>
            </w:r>
          </w:p>
        </w:tc>
        <w:tc>
          <w:tcPr>
            <w:tcW w:w="3486" w:type="dxa"/>
          </w:tcPr>
          <w:p w:rsidR="00013EB8" w:rsidRDefault="00013EB8">
            <w:pPr>
              <w:widowControl w:val="0"/>
              <w:numPr>
                <w:ilvl w:val="12"/>
                <w:numId w:val="0"/>
              </w:numPr>
              <w:tabs>
                <w:tab w:val="left" w:pos="1731"/>
              </w:tabs>
              <w:rPr>
                <w:sz w:val="18"/>
              </w:rPr>
            </w:pPr>
            <w:r>
              <w:rPr>
                <w:sz w:val="18"/>
              </w:rPr>
              <w:t>7007, 7101</w:t>
            </w:r>
          </w:p>
        </w:tc>
      </w:tr>
      <w:tr w:rsidR="00013EB8">
        <w:trPr>
          <w:trHeight w:val="170"/>
        </w:trPr>
        <w:tc>
          <w:tcPr>
            <w:tcW w:w="7508" w:type="dxa"/>
          </w:tcPr>
          <w:p w:rsidR="00013EB8" w:rsidRDefault="00013EB8">
            <w:pPr>
              <w:pStyle w:val="Header"/>
              <w:widowControl w:val="0"/>
              <w:numPr>
                <w:ilvl w:val="12"/>
                <w:numId w:val="0"/>
              </w:numPr>
              <w:tabs>
                <w:tab w:val="clear" w:pos="4320"/>
                <w:tab w:val="clear" w:pos="8640"/>
              </w:tabs>
              <w:rPr>
                <w:sz w:val="18"/>
              </w:rPr>
            </w:pPr>
            <w:r>
              <w:rPr>
                <w:sz w:val="18"/>
              </w:rPr>
              <w:t>Cirrhosis of the liver</w:t>
            </w:r>
          </w:p>
        </w:tc>
        <w:tc>
          <w:tcPr>
            <w:tcW w:w="3486" w:type="dxa"/>
          </w:tcPr>
          <w:p w:rsidR="00013EB8" w:rsidRDefault="00013EB8">
            <w:pPr>
              <w:pStyle w:val="Header"/>
              <w:widowControl w:val="0"/>
              <w:numPr>
                <w:ilvl w:val="12"/>
                <w:numId w:val="0"/>
              </w:numPr>
              <w:tabs>
                <w:tab w:val="clear" w:pos="4320"/>
                <w:tab w:val="clear" w:pos="8640"/>
              </w:tabs>
              <w:rPr>
                <w:sz w:val="18"/>
              </w:rPr>
            </w:pPr>
            <w:r>
              <w:rPr>
                <w:sz w:val="18"/>
              </w:rPr>
              <w:t>7312</w:t>
            </w:r>
          </w:p>
        </w:tc>
      </w:tr>
      <w:tr w:rsidR="00013EB8">
        <w:trPr>
          <w:trHeight w:val="159"/>
        </w:trPr>
        <w:tc>
          <w:tcPr>
            <w:tcW w:w="7508" w:type="dxa"/>
          </w:tcPr>
          <w:p w:rsidR="00013EB8" w:rsidRDefault="00013EB8">
            <w:pPr>
              <w:widowControl w:val="0"/>
              <w:numPr>
                <w:ilvl w:val="12"/>
                <w:numId w:val="0"/>
              </w:numPr>
              <w:rPr>
                <w:sz w:val="18"/>
              </w:rPr>
            </w:pPr>
            <w:r>
              <w:rPr>
                <w:sz w:val="18"/>
              </w:rPr>
              <w:t>Coccidioidomycosis</w:t>
            </w:r>
          </w:p>
        </w:tc>
        <w:tc>
          <w:tcPr>
            <w:tcW w:w="3486" w:type="dxa"/>
          </w:tcPr>
          <w:p w:rsidR="00013EB8" w:rsidRDefault="00013EB8">
            <w:pPr>
              <w:widowControl w:val="0"/>
              <w:numPr>
                <w:ilvl w:val="12"/>
                <w:numId w:val="0"/>
              </w:numPr>
              <w:rPr>
                <w:sz w:val="18"/>
              </w:rPr>
            </w:pPr>
            <w:r>
              <w:rPr>
                <w:sz w:val="18"/>
              </w:rPr>
              <w:t>6835</w:t>
            </w:r>
          </w:p>
        </w:tc>
      </w:tr>
      <w:tr w:rsidR="00013EB8">
        <w:trPr>
          <w:trHeight w:val="170"/>
        </w:trPr>
        <w:tc>
          <w:tcPr>
            <w:tcW w:w="7508" w:type="dxa"/>
          </w:tcPr>
          <w:p w:rsidR="00013EB8" w:rsidRDefault="00013EB8">
            <w:pPr>
              <w:widowControl w:val="0"/>
              <w:numPr>
                <w:ilvl w:val="12"/>
                <w:numId w:val="0"/>
              </w:numPr>
              <w:rPr>
                <w:sz w:val="18"/>
              </w:rPr>
            </w:pPr>
            <w:r>
              <w:rPr>
                <w:sz w:val="18"/>
              </w:rPr>
              <w:t>Diabetes mellitus</w:t>
            </w:r>
          </w:p>
        </w:tc>
        <w:tc>
          <w:tcPr>
            <w:tcW w:w="3486" w:type="dxa"/>
          </w:tcPr>
          <w:p w:rsidR="00013EB8" w:rsidRDefault="00013EB8">
            <w:pPr>
              <w:widowControl w:val="0"/>
              <w:numPr>
                <w:ilvl w:val="12"/>
                <w:numId w:val="0"/>
              </w:numPr>
              <w:rPr>
                <w:sz w:val="18"/>
              </w:rPr>
            </w:pPr>
            <w:r>
              <w:rPr>
                <w:sz w:val="18"/>
              </w:rPr>
              <w:t>7913</w:t>
            </w:r>
          </w:p>
        </w:tc>
      </w:tr>
      <w:tr w:rsidR="00013EB8">
        <w:trPr>
          <w:trHeight w:val="170"/>
        </w:trPr>
        <w:tc>
          <w:tcPr>
            <w:tcW w:w="7508" w:type="dxa"/>
          </w:tcPr>
          <w:p w:rsidR="00013EB8" w:rsidRDefault="00013EB8">
            <w:pPr>
              <w:widowControl w:val="0"/>
              <w:numPr>
                <w:ilvl w:val="12"/>
                <w:numId w:val="0"/>
              </w:numPr>
              <w:rPr>
                <w:sz w:val="18"/>
              </w:rPr>
            </w:pPr>
            <w:r>
              <w:rPr>
                <w:sz w:val="18"/>
              </w:rPr>
              <w:t>Encephalitis lethargica residuals</w:t>
            </w:r>
          </w:p>
        </w:tc>
        <w:tc>
          <w:tcPr>
            <w:tcW w:w="3486" w:type="dxa"/>
          </w:tcPr>
          <w:p w:rsidR="00013EB8" w:rsidRDefault="00013EB8">
            <w:pPr>
              <w:widowControl w:val="0"/>
              <w:numPr>
                <w:ilvl w:val="12"/>
                <w:numId w:val="0"/>
              </w:numPr>
              <w:rPr>
                <w:sz w:val="18"/>
              </w:rPr>
            </w:pPr>
            <w:r>
              <w:rPr>
                <w:sz w:val="18"/>
              </w:rPr>
              <w:t>8000</w:t>
            </w:r>
          </w:p>
        </w:tc>
      </w:tr>
      <w:tr w:rsidR="00013EB8">
        <w:trPr>
          <w:trHeight w:val="233"/>
        </w:trPr>
        <w:tc>
          <w:tcPr>
            <w:tcW w:w="7508" w:type="dxa"/>
          </w:tcPr>
          <w:p w:rsidR="00013EB8" w:rsidRDefault="00013EB8">
            <w:pPr>
              <w:widowControl w:val="0"/>
              <w:numPr>
                <w:ilvl w:val="12"/>
                <w:numId w:val="0"/>
              </w:numPr>
              <w:rPr>
                <w:sz w:val="18"/>
              </w:rPr>
            </w:pPr>
            <w:r>
              <w:rPr>
                <w:sz w:val="18"/>
              </w:rPr>
              <w:t xml:space="preserve">Endocarditis (This term covers all forms of </w:t>
            </w:r>
            <w:r>
              <w:rPr>
                <w:sz w:val="18"/>
                <w:u w:val="single"/>
              </w:rPr>
              <w:t>valvular heart disease</w:t>
            </w:r>
            <w:r>
              <w:rPr>
                <w:sz w:val="18"/>
              </w:rPr>
              <w:t>.)</w:t>
            </w:r>
          </w:p>
        </w:tc>
        <w:tc>
          <w:tcPr>
            <w:tcW w:w="3486" w:type="dxa"/>
          </w:tcPr>
          <w:p w:rsidR="00013EB8" w:rsidRDefault="00013EB8">
            <w:pPr>
              <w:widowControl w:val="0"/>
              <w:numPr>
                <w:ilvl w:val="12"/>
                <w:numId w:val="0"/>
              </w:numPr>
              <w:rPr>
                <w:sz w:val="18"/>
              </w:rPr>
            </w:pPr>
            <w:r>
              <w:rPr>
                <w:sz w:val="18"/>
              </w:rPr>
              <w:t>7000, 7001, 7002, 7016</w:t>
            </w:r>
          </w:p>
        </w:tc>
      </w:tr>
      <w:tr w:rsidR="00013EB8">
        <w:trPr>
          <w:trHeight w:val="159"/>
        </w:trPr>
        <w:tc>
          <w:tcPr>
            <w:tcW w:w="7508" w:type="dxa"/>
          </w:tcPr>
          <w:p w:rsidR="00013EB8" w:rsidRDefault="00013EB8">
            <w:pPr>
              <w:widowControl w:val="0"/>
              <w:numPr>
                <w:ilvl w:val="12"/>
                <w:numId w:val="0"/>
              </w:numPr>
              <w:rPr>
                <w:sz w:val="18"/>
              </w:rPr>
            </w:pPr>
            <w:r>
              <w:rPr>
                <w:sz w:val="18"/>
              </w:rPr>
              <w:t>Endocrinopathies</w:t>
            </w:r>
          </w:p>
        </w:tc>
        <w:tc>
          <w:tcPr>
            <w:tcW w:w="3486" w:type="dxa"/>
          </w:tcPr>
          <w:p w:rsidR="00013EB8" w:rsidRDefault="00013EB8">
            <w:pPr>
              <w:widowControl w:val="0"/>
              <w:numPr>
                <w:ilvl w:val="12"/>
                <w:numId w:val="0"/>
              </w:numPr>
              <w:rPr>
                <w:sz w:val="18"/>
              </w:rPr>
            </w:pPr>
            <w:r>
              <w:rPr>
                <w:sz w:val="18"/>
              </w:rPr>
              <w:t>7900, 7901, 7902, 7903, 7904, 7905, 7907, 7908, 7909, 7911, 7912, 7913, 7914, 7915, 7916, 7917, 7918, 7919</w:t>
            </w:r>
          </w:p>
        </w:tc>
      </w:tr>
      <w:tr w:rsidR="00013EB8">
        <w:trPr>
          <w:trHeight w:val="170"/>
        </w:trPr>
        <w:tc>
          <w:tcPr>
            <w:tcW w:w="7508" w:type="dxa"/>
          </w:tcPr>
          <w:p w:rsidR="00013EB8" w:rsidRDefault="00013EB8">
            <w:pPr>
              <w:widowControl w:val="0"/>
              <w:numPr>
                <w:ilvl w:val="12"/>
                <w:numId w:val="0"/>
              </w:numPr>
              <w:rPr>
                <w:sz w:val="18"/>
              </w:rPr>
            </w:pPr>
            <w:r>
              <w:rPr>
                <w:sz w:val="18"/>
              </w:rPr>
              <w:t>Epilepsies</w:t>
            </w:r>
          </w:p>
        </w:tc>
        <w:tc>
          <w:tcPr>
            <w:tcW w:w="3486" w:type="dxa"/>
          </w:tcPr>
          <w:p w:rsidR="00013EB8" w:rsidRDefault="00013EB8">
            <w:pPr>
              <w:widowControl w:val="0"/>
              <w:numPr>
                <w:ilvl w:val="12"/>
                <w:numId w:val="0"/>
              </w:numPr>
              <w:rPr>
                <w:sz w:val="18"/>
              </w:rPr>
            </w:pPr>
            <w:r>
              <w:rPr>
                <w:sz w:val="18"/>
              </w:rPr>
              <w:t>8910, 8911, 8912, 8913, 8914</w:t>
            </w:r>
          </w:p>
        </w:tc>
      </w:tr>
      <w:tr w:rsidR="00013EB8">
        <w:trPr>
          <w:trHeight w:val="181"/>
        </w:trPr>
        <w:tc>
          <w:tcPr>
            <w:tcW w:w="7508" w:type="dxa"/>
          </w:tcPr>
          <w:p w:rsidR="00013EB8" w:rsidRDefault="00013EB8">
            <w:pPr>
              <w:widowControl w:val="0"/>
              <w:numPr>
                <w:ilvl w:val="12"/>
                <w:numId w:val="0"/>
              </w:numPr>
              <w:rPr>
                <w:i/>
                <w:sz w:val="18"/>
              </w:rPr>
            </w:pPr>
            <w:r>
              <w:rPr>
                <w:sz w:val="18"/>
              </w:rPr>
              <w:t xml:space="preserve">Hansen’s disease </w:t>
            </w:r>
            <w:r>
              <w:rPr>
                <w:i/>
                <w:sz w:val="18"/>
              </w:rPr>
              <w:t xml:space="preserve">(leprosy) (3 yr pres period per </w:t>
            </w:r>
            <w:r w:rsidRPr="008E5C3A">
              <w:rPr>
                <w:b/>
                <w:i/>
                <w:iCs/>
              </w:rPr>
              <w:t>3.307</w:t>
            </w:r>
            <w:r>
              <w:rPr>
                <w:i/>
                <w:sz w:val="18"/>
              </w:rPr>
              <w:t>)</w:t>
            </w:r>
          </w:p>
        </w:tc>
        <w:tc>
          <w:tcPr>
            <w:tcW w:w="3486" w:type="dxa"/>
          </w:tcPr>
          <w:p w:rsidR="00013EB8" w:rsidRDefault="00013EB8">
            <w:pPr>
              <w:widowControl w:val="0"/>
              <w:numPr>
                <w:ilvl w:val="12"/>
                <w:numId w:val="0"/>
              </w:numPr>
              <w:rPr>
                <w:sz w:val="18"/>
              </w:rPr>
            </w:pPr>
            <w:r>
              <w:rPr>
                <w:sz w:val="18"/>
              </w:rPr>
              <w:t>6302</w:t>
            </w:r>
          </w:p>
        </w:tc>
      </w:tr>
      <w:tr w:rsidR="00013EB8">
        <w:trPr>
          <w:trHeight w:val="170"/>
        </w:trPr>
        <w:tc>
          <w:tcPr>
            <w:tcW w:w="7508" w:type="dxa"/>
          </w:tcPr>
          <w:p w:rsidR="00013EB8" w:rsidRDefault="00013EB8">
            <w:pPr>
              <w:widowControl w:val="0"/>
              <w:numPr>
                <w:ilvl w:val="12"/>
                <w:numId w:val="0"/>
              </w:numPr>
              <w:rPr>
                <w:sz w:val="18"/>
              </w:rPr>
            </w:pPr>
            <w:r>
              <w:rPr>
                <w:sz w:val="18"/>
              </w:rPr>
              <w:t>Hodgkin’s disease</w:t>
            </w:r>
          </w:p>
        </w:tc>
        <w:tc>
          <w:tcPr>
            <w:tcW w:w="3486" w:type="dxa"/>
          </w:tcPr>
          <w:p w:rsidR="00013EB8" w:rsidRDefault="00013EB8">
            <w:pPr>
              <w:widowControl w:val="0"/>
              <w:numPr>
                <w:ilvl w:val="12"/>
                <w:numId w:val="0"/>
              </w:numPr>
              <w:rPr>
                <w:sz w:val="18"/>
              </w:rPr>
            </w:pPr>
            <w:r>
              <w:rPr>
                <w:sz w:val="18"/>
              </w:rPr>
              <w:t>7709</w:t>
            </w:r>
          </w:p>
        </w:tc>
      </w:tr>
      <w:tr w:rsidR="00013EB8">
        <w:trPr>
          <w:trHeight w:val="170"/>
        </w:trPr>
        <w:tc>
          <w:tcPr>
            <w:tcW w:w="7508" w:type="dxa"/>
          </w:tcPr>
          <w:p w:rsidR="00013EB8" w:rsidRDefault="00013EB8">
            <w:pPr>
              <w:widowControl w:val="0"/>
              <w:numPr>
                <w:ilvl w:val="12"/>
                <w:numId w:val="0"/>
              </w:numPr>
              <w:rPr>
                <w:sz w:val="18"/>
              </w:rPr>
            </w:pPr>
            <w:r>
              <w:rPr>
                <w:sz w:val="18"/>
              </w:rPr>
              <w:t>Leukemia</w:t>
            </w:r>
          </w:p>
        </w:tc>
        <w:tc>
          <w:tcPr>
            <w:tcW w:w="3486" w:type="dxa"/>
          </w:tcPr>
          <w:p w:rsidR="00013EB8" w:rsidRDefault="00013EB8">
            <w:pPr>
              <w:widowControl w:val="0"/>
              <w:numPr>
                <w:ilvl w:val="12"/>
                <w:numId w:val="0"/>
              </w:numPr>
              <w:rPr>
                <w:sz w:val="18"/>
              </w:rPr>
            </w:pPr>
            <w:r>
              <w:rPr>
                <w:sz w:val="18"/>
              </w:rPr>
              <w:t>7703</w:t>
            </w:r>
          </w:p>
        </w:tc>
      </w:tr>
      <w:tr w:rsidR="00013EB8">
        <w:trPr>
          <w:trHeight w:val="170"/>
        </w:trPr>
        <w:tc>
          <w:tcPr>
            <w:tcW w:w="7508" w:type="dxa"/>
          </w:tcPr>
          <w:p w:rsidR="00013EB8" w:rsidRDefault="00013EB8">
            <w:pPr>
              <w:widowControl w:val="0"/>
              <w:numPr>
                <w:ilvl w:val="12"/>
                <w:numId w:val="0"/>
              </w:numPr>
              <w:rPr>
                <w:sz w:val="18"/>
              </w:rPr>
            </w:pPr>
            <w:r>
              <w:rPr>
                <w:sz w:val="18"/>
              </w:rPr>
              <w:t>Lupus erythematosus, systemic</w:t>
            </w:r>
          </w:p>
        </w:tc>
        <w:tc>
          <w:tcPr>
            <w:tcW w:w="3486" w:type="dxa"/>
          </w:tcPr>
          <w:p w:rsidR="00013EB8" w:rsidRDefault="00013EB8">
            <w:pPr>
              <w:widowControl w:val="0"/>
              <w:numPr>
                <w:ilvl w:val="12"/>
                <w:numId w:val="0"/>
              </w:numPr>
              <w:rPr>
                <w:sz w:val="18"/>
              </w:rPr>
            </w:pPr>
            <w:r>
              <w:rPr>
                <w:sz w:val="18"/>
              </w:rPr>
              <w:t>6350</w:t>
            </w:r>
          </w:p>
        </w:tc>
      </w:tr>
      <w:tr w:rsidR="00013EB8">
        <w:trPr>
          <w:trHeight w:val="159"/>
        </w:trPr>
        <w:tc>
          <w:tcPr>
            <w:tcW w:w="7508" w:type="dxa"/>
          </w:tcPr>
          <w:p w:rsidR="00013EB8" w:rsidRDefault="00013EB8">
            <w:pPr>
              <w:widowControl w:val="0"/>
              <w:numPr>
                <w:ilvl w:val="12"/>
                <w:numId w:val="0"/>
              </w:numPr>
              <w:rPr>
                <w:sz w:val="18"/>
              </w:rPr>
            </w:pPr>
            <w:r>
              <w:rPr>
                <w:sz w:val="18"/>
              </w:rPr>
              <w:t>Myasthenia gravis</w:t>
            </w:r>
          </w:p>
        </w:tc>
        <w:tc>
          <w:tcPr>
            <w:tcW w:w="3486" w:type="dxa"/>
          </w:tcPr>
          <w:p w:rsidR="00013EB8" w:rsidRDefault="00013EB8">
            <w:pPr>
              <w:widowControl w:val="0"/>
              <w:numPr>
                <w:ilvl w:val="12"/>
                <w:numId w:val="0"/>
              </w:numPr>
              <w:rPr>
                <w:sz w:val="18"/>
              </w:rPr>
            </w:pPr>
            <w:r>
              <w:rPr>
                <w:sz w:val="18"/>
              </w:rPr>
              <w:t>8025</w:t>
            </w:r>
          </w:p>
        </w:tc>
      </w:tr>
      <w:tr w:rsidR="00013EB8">
        <w:trPr>
          <w:trHeight w:val="170"/>
        </w:trPr>
        <w:tc>
          <w:tcPr>
            <w:tcW w:w="7508" w:type="dxa"/>
          </w:tcPr>
          <w:p w:rsidR="00013EB8" w:rsidRDefault="00013EB8">
            <w:pPr>
              <w:widowControl w:val="0"/>
              <w:numPr>
                <w:ilvl w:val="12"/>
                <w:numId w:val="0"/>
              </w:numPr>
              <w:rPr>
                <w:sz w:val="18"/>
              </w:rPr>
            </w:pPr>
            <w:r>
              <w:rPr>
                <w:sz w:val="18"/>
              </w:rPr>
              <w:t>Myelitis</w:t>
            </w:r>
          </w:p>
        </w:tc>
        <w:tc>
          <w:tcPr>
            <w:tcW w:w="3486" w:type="dxa"/>
          </w:tcPr>
          <w:p w:rsidR="00013EB8" w:rsidRDefault="00013EB8">
            <w:pPr>
              <w:widowControl w:val="0"/>
              <w:numPr>
                <w:ilvl w:val="12"/>
                <w:numId w:val="0"/>
              </w:numPr>
              <w:rPr>
                <w:sz w:val="18"/>
              </w:rPr>
            </w:pPr>
            <w:r>
              <w:rPr>
                <w:sz w:val="18"/>
              </w:rPr>
              <w:t>8010</w:t>
            </w:r>
          </w:p>
        </w:tc>
      </w:tr>
      <w:tr w:rsidR="00013EB8">
        <w:trPr>
          <w:trHeight w:val="53"/>
        </w:trPr>
        <w:tc>
          <w:tcPr>
            <w:tcW w:w="7508" w:type="dxa"/>
          </w:tcPr>
          <w:p w:rsidR="00013EB8" w:rsidRDefault="00013EB8">
            <w:pPr>
              <w:widowControl w:val="0"/>
              <w:numPr>
                <w:ilvl w:val="12"/>
                <w:numId w:val="0"/>
              </w:numPr>
              <w:rPr>
                <w:sz w:val="18"/>
              </w:rPr>
            </w:pPr>
            <w:r>
              <w:rPr>
                <w:sz w:val="18"/>
              </w:rPr>
              <w:t>Myocarditis</w:t>
            </w:r>
          </w:p>
        </w:tc>
        <w:tc>
          <w:tcPr>
            <w:tcW w:w="3486" w:type="dxa"/>
          </w:tcPr>
          <w:p w:rsidR="00013EB8" w:rsidRDefault="00013EB8">
            <w:pPr>
              <w:widowControl w:val="0"/>
              <w:numPr>
                <w:ilvl w:val="12"/>
                <w:numId w:val="0"/>
              </w:numPr>
              <w:rPr>
                <w:sz w:val="18"/>
              </w:rPr>
            </w:pPr>
            <w:r>
              <w:rPr>
                <w:sz w:val="18"/>
              </w:rPr>
              <w:t>7006</w:t>
            </w:r>
          </w:p>
        </w:tc>
      </w:tr>
      <w:tr w:rsidR="00013EB8">
        <w:trPr>
          <w:trHeight w:val="181"/>
        </w:trPr>
        <w:tc>
          <w:tcPr>
            <w:tcW w:w="7508" w:type="dxa"/>
          </w:tcPr>
          <w:p w:rsidR="00013EB8" w:rsidRDefault="00013EB8">
            <w:pPr>
              <w:widowControl w:val="0"/>
              <w:numPr>
                <w:ilvl w:val="12"/>
                <w:numId w:val="0"/>
              </w:numPr>
              <w:rPr>
                <w:sz w:val="18"/>
              </w:rPr>
            </w:pPr>
            <w:r>
              <w:rPr>
                <w:sz w:val="18"/>
              </w:rPr>
              <w:t>Nephritis</w:t>
            </w:r>
          </w:p>
        </w:tc>
        <w:tc>
          <w:tcPr>
            <w:tcW w:w="3486" w:type="dxa"/>
          </w:tcPr>
          <w:p w:rsidR="00013EB8" w:rsidRDefault="00013EB8">
            <w:pPr>
              <w:widowControl w:val="0"/>
              <w:numPr>
                <w:ilvl w:val="12"/>
                <w:numId w:val="0"/>
              </w:numPr>
              <w:rPr>
                <w:sz w:val="18"/>
              </w:rPr>
            </w:pPr>
            <w:r>
              <w:rPr>
                <w:sz w:val="18"/>
              </w:rPr>
              <w:t>7502</w:t>
            </w:r>
          </w:p>
        </w:tc>
      </w:tr>
      <w:tr w:rsidR="00013EB8">
        <w:trPr>
          <w:trHeight w:val="181"/>
        </w:trPr>
        <w:tc>
          <w:tcPr>
            <w:tcW w:w="7508" w:type="dxa"/>
          </w:tcPr>
          <w:p w:rsidR="00013EB8" w:rsidRDefault="00013EB8">
            <w:pPr>
              <w:widowControl w:val="0"/>
              <w:numPr>
                <w:ilvl w:val="12"/>
                <w:numId w:val="0"/>
              </w:numPr>
              <w:rPr>
                <w:sz w:val="18"/>
              </w:rPr>
            </w:pPr>
            <w:r>
              <w:rPr>
                <w:sz w:val="18"/>
              </w:rPr>
              <w:t>Other organic diseases of the nervous system</w:t>
            </w:r>
            <w:r w:rsidR="00C20A14">
              <w:rPr>
                <w:sz w:val="18"/>
              </w:rPr>
              <w:t xml:space="preserve">, </w:t>
            </w:r>
            <w:r w:rsidR="00526485">
              <w:rPr>
                <w:b/>
                <w:sz w:val="18"/>
              </w:rPr>
              <w:t>III.iv.4.N</w:t>
            </w:r>
            <w:r w:rsidR="00F82612">
              <w:rPr>
                <w:b/>
                <w:sz w:val="18"/>
              </w:rPr>
              <w:t>.1.d</w:t>
            </w:r>
          </w:p>
          <w:p w:rsidR="002D709F" w:rsidRDefault="002D709F" w:rsidP="00DC0001">
            <w:pPr>
              <w:widowControl w:val="0"/>
              <w:rPr>
                <w:i/>
                <w:sz w:val="18"/>
                <w:szCs w:val="18"/>
              </w:rPr>
            </w:pPr>
            <w:r w:rsidRPr="00E2442C">
              <w:rPr>
                <w:i/>
                <w:sz w:val="18"/>
                <w:szCs w:val="18"/>
              </w:rPr>
              <w:t>I</w:t>
            </w:r>
            <w:r w:rsidR="00013EB8" w:rsidRPr="00E2442C">
              <w:rPr>
                <w:i/>
                <w:sz w:val="18"/>
                <w:szCs w:val="18"/>
              </w:rPr>
              <w:t>ncludes</w:t>
            </w:r>
            <w:r>
              <w:rPr>
                <w:i/>
                <w:sz w:val="18"/>
                <w:szCs w:val="18"/>
              </w:rPr>
              <w:t>:</w:t>
            </w:r>
          </w:p>
          <w:p w:rsidR="00C20A14" w:rsidRPr="00C20A14" w:rsidRDefault="00C20A14" w:rsidP="00F063AF">
            <w:pPr>
              <w:pStyle w:val="ListParagraph"/>
              <w:widowControl w:val="0"/>
              <w:numPr>
                <w:ilvl w:val="0"/>
                <w:numId w:val="228"/>
              </w:numPr>
              <w:spacing w:after="120" w:line="240" w:lineRule="auto"/>
              <w:rPr>
                <w:rFonts w:ascii="Arial" w:hAnsi="Arial"/>
                <w:i/>
                <w:sz w:val="18"/>
                <w:szCs w:val="18"/>
              </w:rPr>
            </w:pPr>
            <w:r w:rsidRPr="00C20A14">
              <w:rPr>
                <w:rFonts w:ascii="Arial" w:hAnsi="Arial"/>
                <w:i/>
                <w:sz w:val="18"/>
                <w:szCs w:val="18"/>
              </w:rPr>
              <w:t xml:space="preserve">carpal tunnel syndrome (CTS) </w:t>
            </w:r>
            <w:r w:rsidR="001C44E8">
              <w:rPr>
                <w:rFonts w:ascii="Arial" w:hAnsi="Arial"/>
                <w:i/>
                <w:sz w:val="18"/>
                <w:szCs w:val="18"/>
              </w:rPr>
              <w:t xml:space="preserve">– </w:t>
            </w:r>
            <w:r w:rsidR="001C44E8" w:rsidRPr="001C44E8">
              <w:rPr>
                <w:rFonts w:ascii="Arial" w:hAnsi="Arial"/>
                <w:sz w:val="18"/>
                <w:szCs w:val="18"/>
              </w:rPr>
              <w:t>organic per</w:t>
            </w:r>
            <w:r w:rsidRPr="001C44E8">
              <w:rPr>
                <w:rFonts w:ascii="Arial" w:hAnsi="Arial"/>
                <w:sz w:val="18"/>
                <w:szCs w:val="18"/>
              </w:rPr>
              <w:t xml:space="preserve"> </w:t>
            </w:r>
            <w:r w:rsidR="001C44E8">
              <w:rPr>
                <w:rFonts w:ascii="Verdana" w:hAnsi="Verdana"/>
                <w:b/>
                <w:i/>
                <w:sz w:val="18"/>
              </w:rPr>
              <w:t>FAQ 10/4/00</w:t>
            </w:r>
            <w:r w:rsidR="001C44E8">
              <w:rPr>
                <w:rFonts w:ascii="Verdana" w:hAnsi="Verdana"/>
                <w:i/>
                <w:sz w:val="18"/>
              </w:rPr>
              <w:t xml:space="preserve">- </w:t>
            </w:r>
            <w:r w:rsidR="001C44E8">
              <w:rPr>
                <w:rFonts w:ascii="Verdana" w:hAnsi="Verdana"/>
                <w:b/>
                <w:bCs/>
                <w:i/>
                <w:sz w:val="18"/>
              </w:rPr>
              <w:t xml:space="preserve">carpal tunnel syndrome &amp; </w:t>
            </w:r>
            <w:r w:rsidRPr="00055F2D">
              <w:rPr>
                <w:rFonts w:ascii="Arial" w:hAnsi="Arial"/>
                <w:b/>
                <w:bCs/>
                <w:i/>
                <w:iCs/>
                <w:sz w:val="18"/>
                <w:szCs w:val="18"/>
              </w:rPr>
              <w:t xml:space="preserve">December 2012 </w:t>
            </w:r>
            <w:r w:rsidR="00EB6F0B" w:rsidRPr="00055F2D">
              <w:rPr>
                <w:rFonts w:ascii="Arial" w:hAnsi="Arial"/>
                <w:b/>
                <w:bCs/>
                <w:i/>
                <w:iCs/>
                <w:sz w:val="18"/>
                <w:szCs w:val="18"/>
              </w:rPr>
              <w:t>Compensation Service Bulletin (CSB)</w:t>
            </w:r>
            <w:r w:rsidR="00E87213">
              <w:rPr>
                <w:rFonts w:ascii="Arial" w:hAnsi="Arial"/>
                <w:b/>
                <w:bCs/>
                <w:i/>
                <w:iCs/>
                <w:sz w:val="18"/>
                <w:szCs w:val="18"/>
              </w:rPr>
              <w:t xml:space="preserve"> </w:t>
            </w:r>
            <w:r w:rsidR="00E87213" w:rsidRPr="00E87213">
              <w:rPr>
                <w:rFonts w:ascii="Arial" w:hAnsi="Arial"/>
                <w:bCs/>
                <w:iCs/>
                <w:sz w:val="18"/>
                <w:szCs w:val="18"/>
              </w:rPr>
              <w:t>&amp;</w:t>
            </w:r>
            <w:r w:rsidR="00E87213" w:rsidRPr="00E87213">
              <w:rPr>
                <w:rFonts w:ascii="Arial" w:hAnsi="Arial"/>
                <w:b/>
                <w:bCs/>
                <w:iCs/>
                <w:sz w:val="18"/>
                <w:szCs w:val="18"/>
              </w:rPr>
              <w:t xml:space="preserve"> </w:t>
            </w:r>
            <w:r w:rsidR="00526485">
              <w:rPr>
                <w:rFonts w:ascii="Arial" w:hAnsi="Arial"/>
                <w:b/>
                <w:bCs/>
                <w:iCs/>
                <w:sz w:val="18"/>
                <w:szCs w:val="18"/>
              </w:rPr>
              <w:t>III.iv.4.N</w:t>
            </w:r>
            <w:r w:rsidR="00E87213" w:rsidRPr="00E87213">
              <w:rPr>
                <w:rFonts w:ascii="Arial" w:hAnsi="Arial"/>
                <w:b/>
                <w:bCs/>
                <w:iCs/>
                <w:sz w:val="18"/>
                <w:szCs w:val="18"/>
              </w:rPr>
              <w:t>.1.d</w:t>
            </w:r>
          </w:p>
          <w:p w:rsidR="00C20A14" w:rsidRPr="00C20A14" w:rsidRDefault="00C20A14" w:rsidP="00F063AF">
            <w:pPr>
              <w:pStyle w:val="ListParagraph"/>
              <w:widowControl w:val="0"/>
              <w:numPr>
                <w:ilvl w:val="0"/>
                <w:numId w:val="228"/>
              </w:numPr>
              <w:spacing w:after="120" w:line="240" w:lineRule="auto"/>
              <w:rPr>
                <w:rFonts w:ascii="Arial" w:hAnsi="Arial"/>
                <w:iCs/>
                <w:sz w:val="18"/>
                <w:szCs w:val="18"/>
              </w:rPr>
            </w:pPr>
            <w:r w:rsidRPr="00C20A14">
              <w:rPr>
                <w:rFonts w:ascii="Arial" w:hAnsi="Arial"/>
                <w:i/>
                <w:sz w:val="18"/>
                <w:szCs w:val="18"/>
              </w:rPr>
              <w:t xml:space="preserve">peripheral neuropathy - </w:t>
            </w:r>
            <w:hyperlink r:id="rId386" w:history="1">
              <w:r w:rsidRPr="00C20A14">
                <w:rPr>
                  <w:rStyle w:val="Hyperlink"/>
                  <w:rFonts w:ascii="Arial" w:hAnsi="Arial"/>
                  <w:b/>
                  <w:bCs/>
                  <w:i/>
                  <w:iCs/>
                  <w:sz w:val="18"/>
                  <w:szCs w:val="18"/>
                </w:rPr>
                <w:t>Local Narrative July 2013</w:t>
              </w:r>
            </w:hyperlink>
            <w:r w:rsidRPr="00C20A14">
              <w:rPr>
                <w:rFonts w:ascii="Arial" w:hAnsi="Arial"/>
                <w:i/>
                <w:sz w:val="18"/>
                <w:szCs w:val="18"/>
              </w:rPr>
              <w:t xml:space="preserve"> </w:t>
            </w:r>
            <w:r w:rsidRPr="00C20A14">
              <w:rPr>
                <w:rFonts w:ascii="Arial" w:hAnsi="Arial"/>
                <w:iCs/>
                <w:sz w:val="18"/>
                <w:szCs w:val="18"/>
              </w:rPr>
              <w:t xml:space="preserve"> confirms peripheral neuropathy is presumptive; </w:t>
            </w:r>
            <w:r w:rsidRPr="00055F2D">
              <w:rPr>
                <w:rFonts w:ascii="Arial" w:hAnsi="Arial"/>
                <w:b/>
                <w:i/>
                <w:sz w:val="18"/>
                <w:szCs w:val="18"/>
              </w:rPr>
              <w:t xml:space="preserve">April 2014 </w:t>
            </w:r>
            <w:r w:rsidR="00EB6F0B" w:rsidRPr="00055F2D">
              <w:rPr>
                <w:rFonts w:ascii="Arial" w:hAnsi="Arial"/>
                <w:b/>
                <w:i/>
                <w:sz w:val="18"/>
                <w:szCs w:val="18"/>
              </w:rPr>
              <w:t>Compensation Service Bulletin (CSB)</w:t>
            </w:r>
            <w:r w:rsidRPr="00C20A14">
              <w:rPr>
                <w:rFonts w:ascii="Arial" w:hAnsi="Arial"/>
                <w:sz w:val="18"/>
                <w:szCs w:val="18"/>
              </w:rPr>
              <w:t xml:space="preserve"> – confirms inclusion of disease of the central nervous system, as well as cranial and peripheral nerve conditions</w:t>
            </w:r>
            <w:r w:rsidR="00E87213">
              <w:rPr>
                <w:rFonts w:ascii="Arial" w:hAnsi="Arial"/>
                <w:sz w:val="18"/>
                <w:szCs w:val="18"/>
              </w:rPr>
              <w:t xml:space="preserve">; </w:t>
            </w:r>
            <w:r w:rsidR="00E87213" w:rsidRPr="00E87213">
              <w:rPr>
                <w:rFonts w:ascii="Arial" w:hAnsi="Arial"/>
                <w:b/>
                <w:bCs/>
                <w:iCs/>
                <w:sz w:val="18"/>
                <w:szCs w:val="18"/>
              </w:rPr>
              <w:t xml:space="preserve"> </w:t>
            </w:r>
            <w:r w:rsidR="00526485">
              <w:rPr>
                <w:rFonts w:ascii="Arial" w:hAnsi="Arial"/>
                <w:b/>
                <w:bCs/>
                <w:iCs/>
                <w:sz w:val="18"/>
                <w:szCs w:val="18"/>
              </w:rPr>
              <w:t>III.iv.4.N</w:t>
            </w:r>
            <w:r w:rsidR="00E87213" w:rsidRPr="00E87213">
              <w:rPr>
                <w:rFonts w:ascii="Arial" w:hAnsi="Arial"/>
                <w:b/>
                <w:bCs/>
                <w:iCs/>
                <w:sz w:val="18"/>
                <w:szCs w:val="18"/>
              </w:rPr>
              <w:t>.1.d</w:t>
            </w:r>
          </w:p>
          <w:p w:rsidR="00C20A14" w:rsidRPr="001C44E8" w:rsidRDefault="00C20A14" w:rsidP="00F063AF">
            <w:pPr>
              <w:pStyle w:val="ListParagraph"/>
              <w:widowControl w:val="0"/>
              <w:numPr>
                <w:ilvl w:val="0"/>
                <w:numId w:val="228"/>
              </w:numPr>
              <w:spacing w:after="120" w:line="240" w:lineRule="auto"/>
              <w:rPr>
                <w:rFonts w:ascii="Arial" w:hAnsi="Arial"/>
                <w:i/>
                <w:sz w:val="18"/>
                <w:szCs w:val="18"/>
              </w:rPr>
            </w:pPr>
            <w:r w:rsidRPr="00C20A14">
              <w:rPr>
                <w:rFonts w:ascii="Arial" w:hAnsi="Arial"/>
                <w:i/>
                <w:sz w:val="18"/>
                <w:szCs w:val="18"/>
              </w:rPr>
              <w:t xml:space="preserve">migraine headaches - </w:t>
            </w:r>
            <w:r w:rsidRPr="009E2F62">
              <w:rPr>
                <w:rFonts w:ascii="Arial" w:hAnsi="Arial"/>
                <w:b/>
                <w:bCs/>
                <w:i/>
                <w:sz w:val="18"/>
                <w:szCs w:val="18"/>
                <w:highlight w:val="darkGray"/>
              </w:rPr>
              <w:t>FAQ 12/4/00- Migraine Headaches/New Claim during VA Exam</w:t>
            </w:r>
            <w:r w:rsidRPr="009E2F62">
              <w:rPr>
                <w:rFonts w:ascii="Arial" w:hAnsi="Arial"/>
                <w:i/>
                <w:sz w:val="18"/>
                <w:szCs w:val="18"/>
                <w:highlight w:val="darkGray"/>
              </w:rPr>
              <w:t xml:space="preserve"> said no to migraines, </w:t>
            </w:r>
            <w:r w:rsidRPr="00C20A14">
              <w:rPr>
                <w:rFonts w:ascii="Arial" w:hAnsi="Arial"/>
                <w:b/>
                <w:i/>
                <w:color w:val="FF0000"/>
                <w:sz w:val="18"/>
                <w:szCs w:val="18"/>
              </w:rPr>
              <w:t>rescinded</w:t>
            </w:r>
            <w:r w:rsidRPr="00C20A14">
              <w:rPr>
                <w:rFonts w:ascii="Arial" w:hAnsi="Arial"/>
                <w:i/>
                <w:sz w:val="18"/>
                <w:szCs w:val="18"/>
              </w:rPr>
              <w:t xml:space="preserve"> by </w:t>
            </w:r>
            <w:r w:rsidRPr="00055F2D">
              <w:rPr>
                <w:rFonts w:ascii="Arial" w:hAnsi="Arial"/>
                <w:b/>
                <w:bCs/>
                <w:i/>
                <w:iCs/>
                <w:sz w:val="18"/>
                <w:szCs w:val="18"/>
              </w:rPr>
              <w:t xml:space="preserve">July 2013 </w:t>
            </w:r>
            <w:r w:rsidR="00EB6F0B" w:rsidRPr="00055F2D">
              <w:rPr>
                <w:rFonts w:ascii="Arial" w:hAnsi="Arial"/>
                <w:b/>
                <w:bCs/>
                <w:i/>
                <w:iCs/>
                <w:sz w:val="18"/>
                <w:szCs w:val="18"/>
              </w:rPr>
              <w:t>Compensation Service Bulletin (CSB)</w:t>
            </w:r>
            <w:r w:rsidR="00261A26">
              <w:rPr>
                <w:rFonts w:ascii="Arial" w:hAnsi="Arial"/>
                <w:b/>
                <w:bCs/>
                <w:i/>
                <w:iCs/>
                <w:sz w:val="18"/>
                <w:szCs w:val="18"/>
              </w:rPr>
              <w:t xml:space="preserve"> </w:t>
            </w:r>
            <w:r w:rsidR="001C44E8">
              <w:rPr>
                <w:rFonts w:ascii="Arial" w:hAnsi="Arial"/>
                <w:bCs/>
                <w:iCs/>
                <w:sz w:val="18"/>
                <w:szCs w:val="18"/>
              </w:rPr>
              <w:t>-</w:t>
            </w:r>
            <w:r w:rsidR="00261A26">
              <w:rPr>
                <w:rFonts w:ascii="Arial" w:hAnsi="Arial"/>
                <w:bCs/>
                <w:iCs/>
                <w:sz w:val="18"/>
                <w:szCs w:val="18"/>
              </w:rPr>
              <w:t xml:space="preserve"> </w:t>
            </w:r>
            <w:r w:rsidR="001C44E8">
              <w:rPr>
                <w:rFonts w:ascii="Arial" w:hAnsi="Arial"/>
                <w:bCs/>
                <w:iCs/>
                <w:sz w:val="18"/>
                <w:szCs w:val="18"/>
              </w:rPr>
              <w:t>clarif, not liberalizing</w:t>
            </w:r>
            <w:r w:rsidR="00E87213" w:rsidRPr="00E87213">
              <w:rPr>
                <w:rFonts w:ascii="Arial" w:hAnsi="Arial"/>
                <w:bCs/>
                <w:i/>
                <w:iCs/>
                <w:sz w:val="18"/>
                <w:szCs w:val="18"/>
              </w:rPr>
              <w:t>;</w:t>
            </w:r>
            <w:r w:rsidR="00E87213">
              <w:rPr>
                <w:rFonts w:ascii="Arial" w:hAnsi="Arial"/>
                <w:b/>
                <w:bCs/>
                <w:i/>
                <w:iCs/>
                <w:sz w:val="18"/>
                <w:szCs w:val="18"/>
              </w:rPr>
              <w:t xml:space="preserve"> </w:t>
            </w:r>
            <w:r w:rsidR="00526485">
              <w:rPr>
                <w:rFonts w:ascii="Arial" w:hAnsi="Arial"/>
                <w:b/>
                <w:bCs/>
                <w:iCs/>
                <w:sz w:val="18"/>
                <w:szCs w:val="18"/>
              </w:rPr>
              <w:t>III.iv.4.N</w:t>
            </w:r>
            <w:r w:rsidR="00E87213" w:rsidRPr="00E87213">
              <w:rPr>
                <w:rFonts w:ascii="Arial" w:hAnsi="Arial"/>
                <w:b/>
                <w:bCs/>
                <w:iCs/>
                <w:sz w:val="18"/>
                <w:szCs w:val="18"/>
              </w:rPr>
              <w:t>.1.d</w:t>
            </w:r>
          </w:p>
          <w:p w:rsidR="002D709F" w:rsidRPr="00C20A14" w:rsidRDefault="00C20A14" w:rsidP="00F063AF">
            <w:pPr>
              <w:pStyle w:val="ListParagraph"/>
              <w:widowControl w:val="0"/>
              <w:numPr>
                <w:ilvl w:val="0"/>
                <w:numId w:val="228"/>
              </w:numPr>
              <w:spacing w:after="120" w:line="240" w:lineRule="auto"/>
              <w:rPr>
                <w:rFonts w:ascii="Arial" w:hAnsi="Arial"/>
                <w:b/>
                <w:sz w:val="18"/>
                <w:szCs w:val="18"/>
              </w:rPr>
            </w:pPr>
            <w:r>
              <w:rPr>
                <w:rFonts w:ascii="Arial" w:hAnsi="Arial"/>
                <w:i/>
                <w:sz w:val="18"/>
                <w:szCs w:val="18"/>
              </w:rPr>
              <w:t xml:space="preserve">sensorineural </w:t>
            </w:r>
            <w:r w:rsidR="002D709F" w:rsidRPr="00C20A14">
              <w:rPr>
                <w:rFonts w:ascii="Arial" w:hAnsi="Arial"/>
                <w:i/>
                <w:sz w:val="18"/>
                <w:szCs w:val="18"/>
              </w:rPr>
              <w:t xml:space="preserve">hearing loss – </w:t>
            </w:r>
            <w:r w:rsidR="00526485">
              <w:rPr>
                <w:rFonts w:ascii="Arial" w:hAnsi="Arial"/>
                <w:b/>
                <w:bCs/>
                <w:iCs/>
                <w:sz w:val="18"/>
                <w:szCs w:val="18"/>
              </w:rPr>
              <w:t>III.iv.4.N</w:t>
            </w:r>
            <w:r w:rsidR="00E87213" w:rsidRPr="00E87213">
              <w:rPr>
                <w:rFonts w:ascii="Arial" w:hAnsi="Arial"/>
                <w:b/>
                <w:bCs/>
                <w:iCs/>
                <w:sz w:val="18"/>
                <w:szCs w:val="18"/>
              </w:rPr>
              <w:t>.1.d</w:t>
            </w:r>
          </w:p>
          <w:p w:rsidR="002D709F" w:rsidRPr="00E87213" w:rsidRDefault="00013EB8" w:rsidP="00F063AF">
            <w:pPr>
              <w:pStyle w:val="ListParagraph"/>
              <w:widowControl w:val="0"/>
              <w:numPr>
                <w:ilvl w:val="0"/>
                <w:numId w:val="228"/>
              </w:numPr>
              <w:spacing w:after="120" w:line="240" w:lineRule="auto"/>
              <w:rPr>
                <w:rFonts w:ascii="Arial" w:hAnsi="Arial"/>
                <w:b/>
                <w:i/>
                <w:sz w:val="18"/>
                <w:szCs w:val="18"/>
              </w:rPr>
            </w:pPr>
            <w:r w:rsidRPr="00C20A14">
              <w:rPr>
                <w:rFonts w:ascii="Arial" w:hAnsi="Arial"/>
                <w:i/>
                <w:sz w:val="18"/>
                <w:szCs w:val="18"/>
              </w:rPr>
              <w:t>gla</w:t>
            </w:r>
            <w:r w:rsidR="00E2442C" w:rsidRPr="00C20A14">
              <w:rPr>
                <w:rFonts w:ascii="Arial" w:hAnsi="Arial"/>
                <w:i/>
                <w:sz w:val="18"/>
                <w:szCs w:val="18"/>
              </w:rPr>
              <w:t>ucoma</w:t>
            </w:r>
            <w:r w:rsidR="002D709F" w:rsidRPr="00C20A14">
              <w:rPr>
                <w:rFonts w:ascii="Arial" w:hAnsi="Arial"/>
                <w:i/>
                <w:sz w:val="18"/>
                <w:szCs w:val="18"/>
              </w:rPr>
              <w:t xml:space="preserve"> - </w:t>
            </w:r>
            <w:r w:rsidR="00526485">
              <w:rPr>
                <w:rFonts w:ascii="Arial" w:hAnsi="Arial"/>
                <w:b/>
                <w:bCs/>
                <w:iCs/>
                <w:sz w:val="18"/>
                <w:szCs w:val="18"/>
              </w:rPr>
              <w:t>III.iv.4.N</w:t>
            </w:r>
            <w:r w:rsidR="00E87213" w:rsidRPr="00E87213">
              <w:rPr>
                <w:rFonts w:ascii="Arial" w:hAnsi="Arial"/>
                <w:b/>
                <w:bCs/>
                <w:iCs/>
                <w:sz w:val="18"/>
                <w:szCs w:val="18"/>
              </w:rPr>
              <w:t>.1.d</w:t>
            </w:r>
          </w:p>
          <w:p w:rsidR="00E87213" w:rsidRPr="00C20A14" w:rsidRDefault="00E87213" w:rsidP="00F063AF">
            <w:pPr>
              <w:pStyle w:val="ListParagraph"/>
              <w:widowControl w:val="0"/>
              <w:numPr>
                <w:ilvl w:val="0"/>
                <w:numId w:val="228"/>
              </w:numPr>
              <w:spacing w:after="120" w:line="240" w:lineRule="auto"/>
              <w:rPr>
                <w:rFonts w:ascii="Arial" w:hAnsi="Arial"/>
                <w:b/>
                <w:i/>
                <w:sz w:val="18"/>
                <w:szCs w:val="18"/>
              </w:rPr>
            </w:pPr>
            <w:r>
              <w:rPr>
                <w:rFonts w:ascii="Arial" w:hAnsi="Arial"/>
                <w:i/>
                <w:sz w:val="18"/>
                <w:szCs w:val="18"/>
              </w:rPr>
              <w:t>progressive spinal muscle atrophy</w:t>
            </w:r>
            <w:r w:rsidRPr="00C20A14">
              <w:rPr>
                <w:rFonts w:ascii="Arial" w:hAnsi="Arial"/>
                <w:i/>
                <w:sz w:val="18"/>
                <w:szCs w:val="18"/>
              </w:rPr>
              <w:t xml:space="preserve"> - </w:t>
            </w:r>
            <w:r w:rsidR="00526485">
              <w:rPr>
                <w:rFonts w:ascii="Arial" w:hAnsi="Arial"/>
                <w:b/>
                <w:bCs/>
                <w:iCs/>
                <w:sz w:val="18"/>
                <w:szCs w:val="18"/>
              </w:rPr>
              <w:t>III.iv.4.N</w:t>
            </w:r>
            <w:r w:rsidRPr="00E87213">
              <w:rPr>
                <w:rFonts w:ascii="Arial" w:hAnsi="Arial"/>
                <w:b/>
                <w:bCs/>
                <w:iCs/>
                <w:sz w:val="18"/>
                <w:szCs w:val="18"/>
              </w:rPr>
              <w:t>.1.d</w:t>
            </w:r>
          </w:p>
          <w:p w:rsidR="00E87213" w:rsidRPr="00C20A14" w:rsidRDefault="00E87213" w:rsidP="00F063AF">
            <w:pPr>
              <w:pStyle w:val="ListParagraph"/>
              <w:widowControl w:val="0"/>
              <w:numPr>
                <w:ilvl w:val="0"/>
                <w:numId w:val="228"/>
              </w:numPr>
              <w:spacing w:after="120" w:line="240" w:lineRule="auto"/>
              <w:rPr>
                <w:rFonts w:ascii="Arial" w:hAnsi="Arial"/>
                <w:b/>
                <w:i/>
                <w:sz w:val="18"/>
                <w:szCs w:val="18"/>
              </w:rPr>
            </w:pPr>
            <w:r>
              <w:rPr>
                <w:rFonts w:ascii="Arial" w:hAnsi="Arial"/>
                <w:i/>
                <w:sz w:val="18"/>
                <w:szCs w:val="18"/>
              </w:rPr>
              <w:t>disease of the cranial nervous system</w:t>
            </w:r>
            <w:r w:rsidRPr="00C20A14">
              <w:rPr>
                <w:rFonts w:ascii="Arial" w:hAnsi="Arial"/>
                <w:i/>
                <w:sz w:val="18"/>
                <w:szCs w:val="18"/>
              </w:rPr>
              <w:t xml:space="preserve">- </w:t>
            </w:r>
            <w:r w:rsidR="00526485">
              <w:rPr>
                <w:rFonts w:ascii="Arial" w:hAnsi="Arial"/>
                <w:b/>
                <w:bCs/>
                <w:iCs/>
                <w:sz w:val="18"/>
                <w:szCs w:val="18"/>
              </w:rPr>
              <w:t>III.iv.4.N</w:t>
            </w:r>
            <w:r w:rsidRPr="00E87213">
              <w:rPr>
                <w:rFonts w:ascii="Arial" w:hAnsi="Arial"/>
                <w:b/>
                <w:bCs/>
                <w:iCs/>
                <w:sz w:val="18"/>
                <w:szCs w:val="18"/>
              </w:rPr>
              <w:t>.1.d</w:t>
            </w:r>
          </w:p>
          <w:p w:rsidR="00E87213" w:rsidRPr="00C20A14" w:rsidRDefault="00E87213" w:rsidP="00F063AF">
            <w:pPr>
              <w:pStyle w:val="ListParagraph"/>
              <w:widowControl w:val="0"/>
              <w:numPr>
                <w:ilvl w:val="0"/>
                <w:numId w:val="228"/>
              </w:numPr>
              <w:spacing w:after="120" w:line="240" w:lineRule="auto"/>
              <w:rPr>
                <w:rFonts w:ascii="Arial" w:hAnsi="Arial"/>
                <w:b/>
                <w:i/>
                <w:sz w:val="18"/>
                <w:szCs w:val="18"/>
              </w:rPr>
            </w:pPr>
            <w:r>
              <w:rPr>
                <w:rFonts w:ascii="Arial" w:hAnsi="Arial"/>
                <w:i/>
                <w:sz w:val="18"/>
                <w:szCs w:val="18"/>
              </w:rPr>
              <w:t>cranial nerve conditions</w:t>
            </w:r>
            <w:r w:rsidRPr="00C20A14">
              <w:rPr>
                <w:rFonts w:ascii="Arial" w:hAnsi="Arial"/>
                <w:i/>
                <w:sz w:val="18"/>
                <w:szCs w:val="18"/>
              </w:rPr>
              <w:t xml:space="preserve"> - </w:t>
            </w:r>
            <w:r w:rsidR="00526485">
              <w:rPr>
                <w:rFonts w:ascii="Arial" w:hAnsi="Arial"/>
                <w:b/>
                <w:bCs/>
                <w:iCs/>
                <w:sz w:val="18"/>
                <w:szCs w:val="18"/>
              </w:rPr>
              <w:t>III.iv.4.N</w:t>
            </w:r>
            <w:r w:rsidRPr="00E87213">
              <w:rPr>
                <w:rFonts w:ascii="Arial" w:hAnsi="Arial"/>
                <w:b/>
                <w:bCs/>
                <w:iCs/>
                <w:sz w:val="18"/>
                <w:szCs w:val="18"/>
              </w:rPr>
              <w:t>.1.d</w:t>
            </w:r>
          </w:p>
          <w:p w:rsidR="00E87213" w:rsidRPr="00F82612" w:rsidRDefault="00E87213" w:rsidP="00F063AF">
            <w:pPr>
              <w:pStyle w:val="ListParagraph"/>
              <w:widowControl w:val="0"/>
              <w:numPr>
                <w:ilvl w:val="0"/>
                <w:numId w:val="228"/>
              </w:numPr>
              <w:spacing w:after="120" w:line="240" w:lineRule="auto"/>
              <w:rPr>
                <w:rFonts w:ascii="Arial" w:hAnsi="Arial"/>
                <w:b/>
                <w:i/>
                <w:sz w:val="18"/>
                <w:szCs w:val="18"/>
              </w:rPr>
            </w:pPr>
            <w:r>
              <w:rPr>
                <w:rFonts w:ascii="Arial" w:hAnsi="Arial"/>
                <w:i/>
                <w:sz w:val="18"/>
                <w:szCs w:val="18"/>
              </w:rPr>
              <w:t xml:space="preserve">peripheral nerve </w:t>
            </w:r>
            <w:r w:rsidRPr="00F82612">
              <w:rPr>
                <w:rFonts w:ascii="Arial" w:hAnsi="Arial"/>
                <w:i/>
                <w:sz w:val="18"/>
                <w:szCs w:val="18"/>
              </w:rPr>
              <w:t xml:space="preserve">conditions - </w:t>
            </w:r>
            <w:r w:rsidR="00526485">
              <w:rPr>
                <w:rFonts w:ascii="Arial" w:hAnsi="Arial"/>
                <w:b/>
                <w:bCs/>
                <w:iCs/>
                <w:sz w:val="18"/>
                <w:szCs w:val="18"/>
              </w:rPr>
              <w:t>III.iv.4.N</w:t>
            </w:r>
            <w:r w:rsidRPr="00F82612">
              <w:rPr>
                <w:rFonts w:ascii="Arial" w:hAnsi="Arial"/>
                <w:b/>
                <w:bCs/>
                <w:iCs/>
                <w:sz w:val="18"/>
                <w:szCs w:val="18"/>
              </w:rPr>
              <w:t>.1.d</w:t>
            </w:r>
          </w:p>
          <w:p w:rsidR="00E2442C" w:rsidRPr="00F82612" w:rsidRDefault="00F82612" w:rsidP="00F063AF">
            <w:pPr>
              <w:pStyle w:val="ListParagraph"/>
              <w:widowControl w:val="0"/>
              <w:numPr>
                <w:ilvl w:val="0"/>
                <w:numId w:val="228"/>
              </w:numPr>
              <w:spacing w:after="120" w:line="240" w:lineRule="auto"/>
              <w:rPr>
                <w:rStyle w:val="Hyperlink"/>
                <w:rFonts w:ascii="Verdana" w:hAnsi="Verdana"/>
                <w:b/>
                <w:bCs/>
                <w:i/>
                <w:sz w:val="18"/>
                <w:szCs w:val="18"/>
              </w:rPr>
            </w:pPr>
            <w:r w:rsidRPr="00F82612">
              <w:rPr>
                <w:rFonts w:ascii="Arial" w:hAnsi="Arial"/>
                <w:i/>
                <w:sz w:val="18"/>
                <w:szCs w:val="18"/>
              </w:rPr>
              <w:t xml:space="preserve">tinnitus </w:t>
            </w:r>
            <w:r w:rsidRPr="009E2F62">
              <w:rPr>
                <w:rFonts w:ascii="Arial" w:hAnsi="Arial"/>
                <w:i/>
                <w:sz w:val="18"/>
                <w:szCs w:val="18"/>
                <w:highlight w:val="darkGray"/>
              </w:rPr>
              <w:t>associated with acoustic trauma</w:t>
            </w:r>
            <w:r w:rsidRPr="00F82612">
              <w:rPr>
                <w:rFonts w:ascii="Arial" w:hAnsi="Arial"/>
                <w:i/>
                <w:sz w:val="18"/>
                <w:szCs w:val="18"/>
              </w:rPr>
              <w:t xml:space="preserve"> </w:t>
            </w:r>
            <w:r w:rsidR="00E912A9">
              <w:rPr>
                <w:rFonts w:ascii="Arial" w:hAnsi="Arial"/>
                <w:b/>
                <w:sz w:val="18"/>
                <w:szCs w:val="18"/>
              </w:rPr>
              <w:t xml:space="preserve">- </w:t>
            </w:r>
            <w:r w:rsidR="00E912A9" w:rsidRPr="00E912A9">
              <w:rPr>
                <w:rFonts w:ascii="Arial" w:hAnsi="Arial"/>
                <w:sz w:val="18"/>
                <w:szCs w:val="18"/>
              </w:rPr>
              <w:t>see below clarification provided 1/30/18</w:t>
            </w:r>
            <w:r w:rsidR="00E912A9">
              <w:rPr>
                <w:rFonts w:ascii="Arial" w:hAnsi="Arial"/>
                <w:sz w:val="18"/>
                <w:szCs w:val="18"/>
              </w:rPr>
              <w:t xml:space="preserve"> </w:t>
            </w:r>
            <w:r w:rsidRPr="00F82612">
              <w:rPr>
                <w:rFonts w:ascii="Arial" w:hAnsi="Arial"/>
                <w:i/>
                <w:sz w:val="18"/>
                <w:szCs w:val="18"/>
              </w:rPr>
              <w:t>-</w:t>
            </w:r>
            <w:r w:rsidRPr="00F82612">
              <w:rPr>
                <w:rFonts w:ascii="Arial" w:hAnsi="Arial"/>
                <w:b/>
                <w:i/>
                <w:sz w:val="18"/>
                <w:szCs w:val="18"/>
              </w:rPr>
              <w:t xml:space="preserve"> </w:t>
            </w:r>
            <w:r w:rsidR="00526485">
              <w:rPr>
                <w:rFonts w:ascii="Arial" w:hAnsi="Arial"/>
                <w:b/>
                <w:sz w:val="18"/>
                <w:szCs w:val="18"/>
              </w:rPr>
              <w:t>III.iv.4.N</w:t>
            </w:r>
            <w:r w:rsidRPr="00F82612">
              <w:rPr>
                <w:rFonts w:ascii="Arial" w:hAnsi="Arial"/>
                <w:b/>
                <w:sz w:val="18"/>
                <w:szCs w:val="18"/>
              </w:rPr>
              <w:t>.1.d</w:t>
            </w:r>
            <w:r w:rsidR="00E912A9">
              <w:rPr>
                <w:rFonts w:ascii="Arial" w:hAnsi="Arial"/>
                <w:b/>
                <w:sz w:val="18"/>
                <w:szCs w:val="18"/>
              </w:rPr>
              <w:t xml:space="preserve"> </w:t>
            </w:r>
            <w:r w:rsidR="00E912A9" w:rsidRPr="00E912A9">
              <w:rPr>
                <w:rFonts w:ascii="Arial" w:hAnsi="Arial"/>
                <w:sz w:val="18"/>
                <w:szCs w:val="18"/>
              </w:rPr>
              <w:t xml:space="preserve">&amp; </w:t>
            </w:r>
            <w:r w:rsidR="00E912A9">
              <w:rPr>
                <w:rFonts w:ascii="Arial" w:hAnsi="Arial"/>
                <w:b/>
                <w:sz w:val="18"/>
                <w:szCs w:val="18"/>
              </w:rPr>
              <w:t>IV.ii.2.B.2.a</w:t>
            </w:r>
            <w:r>
              <w:rPr>
                <w:rFonts w:ascii="Arial" w:hAnsi="Arial"/>
                <w:sz w:val="18"/>
                <w:szCs w:val="18"/>
              </w:rPr>
              <w:t xml:space="preserve">, </w:t>
            </w:r>
            <w:r w:rsidRPr="00F82612">
              <w:rPr>
                <w:rFonts w:ascii="Arial" w:hAnsi="Arial"/>
                <w:i/>
                <w:sz w:val="18"/>
                <w:szCs w:val="18"/>
              </w:rPr>
              <w:t>Fountain v. McDonald</w:t>
            </w:r>
            <w:r>
              <w:rPr>
                <w:rFonts w:ascii="Arial" w:hAnsi="Arial"/>
                <w:sz w:val="18"/>
                <w:szCs w:val="18"/>
              </w:rPr>
              <w:t xml:space="preserve"> (2/9/15)</w:t>
            </w:r>
            <w:r w:rsidRPr="00F82612">
              <w:rPr>
                <w:rFonts w:ascii="Arial" w:hAnsi="Arial"/>
                <w:b/>
                <w:sz w:val="18"/>
                <w:szCs w:val="18"/>
              </w:rPr>
              <w:t xml:space="preserve"> </w:t>
            </w:r>
            <w:r w:rsidR="00E912A9">
              <w:rPr>
                <w:rFonts w:ascii="Arial" w:hAnsi="Arial"/>
                <w:b/>
                <w:sz w:val="18"/>
                <w:szCs w:val="18"/>
              </w:rPr>
              <w:t xml:space="preserve"> </w:t>
            </w:r>
          </w:p>
          <w:p w:rsidR="00070D5C" w:rsidRPr="00070D5C" w:rsidRDefault="00D571C5" w:rsidP="00070D5C">
            <w:pPr>
              <w:widowControl w:val="0"/>
              <w:spacing w:after="120"/>
              <w:rPr>
                <w:sz w:val="18"/>
              </w:rPr>
            </w:pPr>
            <w:hyperlink r:id="rId387" w:history="1">
              <w:r w:rsidR="00070D5C" w:rsidRPr="00070D5C">
                <w:rPr>
                  <w:rStyle w:val="Hyperlink"/>
                  <w:b/>
                  <w:bCs/>
                  <w:i/>
                  <w:sz w:val="18"/>
                </w:rPr>
                <w:t>January 2017 Quality Call Notes</w:t>
              </w:r>
            </w:hyperlink>
            <w:r w:rsidR="00070D5C" w:rsidRPr="00070D5C">
              <w:rPr>
                <w:i/>
                <w:sz w:val="18"/>
              </w:rPr>
              <w:t xml:space="preserve"> – </w:t>
            </w:r>
            <w:r w:rsidR="00070D5C" w:rsidRPr="00070D5C">
              <w:rPr>
                <w:sz w:val="18"/>
              </w:rPr>
              <w:t>If there is uncertainty as to whether a claimed disability may be considered as an organic disease of the nervous system for purposes of 38 CFR 3.309(a), send the case to CS’s Advisory Review Staff for guidance.  See M21-1, III.vi.1.A for more information on requesting advisory opinions.</w:t>
            </w:r>
          </w:p>
          <w:p w:rsidR="00070D5C" w:rsidRPr="00070D5C" w:rsidRDefault="00070D5C" w:rsidP="00070D5C">
            <w:pPr>
              <w:spacing w:after="120"/>
              <w:rPr>
                <w:b/>
                <w:color w:val="FFFFFF"/>
                <w:sz w:val="18"/>
              </w:rPr>
            </w:pPr>
            <w:r w:rsidRPr="00070D5C">
              <w:rPr>
                <w:b/>
                <w:sz w:val="18"/>
              </w:rPr>
              <w:t xml:space="preserve">Question:  Is military noise exposure equivalent to acoustic trauma for the purposes of establishing SC for tinnitus?  See </w:t>
            </w:r>
            <w:hyperlink r:id="rId388" w:history="1">
              <w:r w:rsidRPr="00070D5C">
                <w:rPr>
                  <w:rStyle w:val="Hyperlink"/>
                  <w:b/>
                  <w:sz w:val="18"/>
                </w:rPr>
                <w:t>VA Pulse post # 1</w:t>
              </w:r>
            </w:hyperlink>
            <w:r w:rsidRPr="00070D5C">
              <w:rPr>
                <w:b/>
                <w:sz w:val="18"/>
              </w:rPr>
              <w:t xml:space="preserve"> and </w:t>
            </w:r>
            <w:hyperlink r:id="rId389" w:history="1">
              <w:r w:rsidRPr="00070D5C">
                <w:rPr>
                  <w:rStyle w:val="Hyperlink"/>
                  <w:b/>
                  <w:sz w:val="18"/>
                </w:rPr>
                <w:t>VA Pulse post # 2</w:t>
              </w:r>
            </w:hyperlink>
            <w:r w:rsidRPr="00070D5C">
              <w:rPr>
                <w:b/>
                <w:sz w:val="18"/>
              </w:rPr>
              <w:t>.</w:t>
            </w:r>
          </w:p>
          <w:p w:rsidR="00070D5C" w:rsidRDefault="00070D5C" w:rsidP="00D915EC">
            <w:pPr>
              <w:spacing w:after="120"/>
              <w:rPr>
                <w:sz w:val="18"/>
              </w:rPr>
            </w:pPr>
            <w:r w:rsidRPr="00070D5C">
              <w:rPr>
                <w:sz w:val="18"/>
              </w:rPr>
              <w:t>Answer:  As noted in the VA Pulse inquiries, this matter is being investigated.  As soon as the appropriate policy determinations are made, the manual will be updated with corresponding procedures.</w:t>
            </w:r>
          </w:p>
          <w:p w:rsidR="001D0236" w:rsidRPr="001D0236" w:rsidRDefault="00D571C5" w:rsidP="001D0236">
            <w:pPr>
              <w:pStyle w:val="NoSpacing"/>
              <w:rPr>
                <w:rFonts w:ascii="Arial" w:hAnsi="Arial"/>
                <w:sz w:val="18"/>
                <w:szCs w:val="18"/>
              </w:rPr>
            </w:pPr>
            <w:hyperlink r:id="rId390" w:history="1">
              <w:r w:rsidR="001D0236" w:rsidRPr="001D0236">
                <w:rPr>
                  <w:rStyle w:val="Hyperlink"/>
                  <w:rFonts w:ascii="Arial" w:hAnsi="Arial"/>
                  <w:b/>
                  <w:bCs/>
                  <w:i/>
                  <w:sz w:val="18"/>
                  <w:szCs w:val="18"/>
                </w:rPr>
                <w:t>January 2018 Quality Call Notes</w:t>
              </w:r>
            </w:hyperlink>
            <w:r w:rsidR="001D0236" w:rsidRPr="001D0236">
              <w:rPr>
                <w:rFonts w:ascii="Arial" w:hAnsi="Arial"/>
                <w:sz w:val="18"/>
                <w:szCs w:val="18"/>
              </w:rPr>
              <w:t xml:space="preserve"> – We have received several inquiries from the field requesting clarification regarding acoustic trauma versus noise exposure – who determines the acoustic trauma occurred, and when to consider tinnitus on a presumptive basis?  A claims processor cannot concede acoustic trauma, only noise exposure.  Acoustic trauma is damage to the hearing mechanisms within the ear and therefore can only be made by a clinician such as an audiologist.  Again, acoustic trauma is a medical determination.</w:t>
            </w:r>
          </w:p>
          <w:p w:rsidR="001D0236" w:rsidRPr="001D0236" w:rsidRDefault="001D0236" w:rsidP="001D0236">
            <w:pPr>
              <w:pStyle w:val="NoSpacing"/>
              <w:rPr>
                <w:rFonts w:ascii="Arial" w:hAnsi="Arial"/>
                <w:sz w:val="18"/>
                <w:szCs w:val="18"/>
              </w:rPr>
            </w:pPr>
          </w:p>
          <w:p w:rsidR="00E912A9" w:rsidRDefault="001D0236" w:rsidP="002515AC">
            <w:pPr>
              <w:pStyle w:val="NoSpacing"/>
              <w:rPr>
                <w:rFonts w:ascii="Arial" w:hAnsi="Arial"/>
                <w:i/>
                <w:sz w:val="18"/>
                <w:szCs w:val="18"/>
              </w:rPr>
            </w:pPr>
            <w:r w:rsidRPr="001D0236">
              <w:rPr>
                <w:rFonts w:ascii="Arial" w:hAnsi="Arial"/>
                <w:sz w:val="18"/>
                <w:szCs w:val="18"/>
              </w:rPr>
              <w:t xml:space="preserve">Tinnitus is a presumptive condition under 38 CFR 3.309a and should be granted service connection if a diagnosis appears and manifests to a compensable degree within one year of discharge.  A medical opinion is not needed unless there is medical and/or lay evidence showing the </w:t>
            </w:r>
            <w:r w:rsidRPr="002515AC">
              <w:rPr>
                <w:rFonts w:ascii="Arial" w:hAnsi="Arial"/>
                <w:sz w:val="18"/>
                <w:szCs w:val="18"/>
              </w:rPr>
              <w:t>condition may have been caused from post-service event, injury or illness. – This does not speak to the issue that</w:t>
            </w:r>
            <w:r w:rsidR="002515AC" w:rsidRPr="002515AC">
              <w:rPr>
                <w:rFonts w:ascii="Arial" w:hAnsi="Arial"/>
                <w:sz w:val="18"/>
                <w:szCs w:val="18"/>
              </w:rPr>
              <w:t xml:space="preserve"> Fountain v. McDonald says</w:t>
            </w:r>
            <w:r w:rsidRPr="002515AC">
              <w:rPr>
                <w:rFonts w:ascii="Arial" w:hAnsi="Arial"/>
                <w:sz w:val="18"/>
                <w:szCs w:val="18"/>
              </w:rPr>
              <w:t xml:space="preserve"> “</w:t>
            </w:r>
            <w:r w:rsidR="002515AC" w:rsidRPr="002515AC">
              <w:rPr>
                <w:rFonts w:ascii="Arial" w:hAnsi="Arial"/>
                <w:sz w:val="18"/>
                <w:szCs w:val="18"/>
              </w:rPr>
              <w:t>tinnitus is considered an organic disease of the nervous system when there is evidence of acoustic trauma</w:t>
            </w:r>
            <w:r w:rsidRPr="002515AC">
              <w:rPr>
                <w:rFonts w:ascii="Arial" w:hAnsi="Arial"/>
                <w:i/>
                <w:sz w:val="18"/>
                <w:szCs w:val="18"/>
              </w:rPr>
              <w:t>.”</w:t>
            </w:r>
          </w:p>
          <w:p w:rsidR="001D0236" w:rsidRDefault="00E912A9" w:rsidP="002515AC">
            <w:pPr>
              <w:pStyle w:val="NoSpacing"/>
              <w:rPr>
                <w:rFonts w:ascii="Arial" w:hAnsi="Arial"/>
                <w:sz w:val="18"/>
                <w:szCs w:val="18"/>
                <w:u w:val="single"/>
              </w:rPr>
            </w:pPr>
            <w:r>
              <w:rPr>
                <w:rFonts w:ascii="Arial" w:hAnsi="Arial"/>
                <w:sz w:val="18"/>
                <w:szCs w:val="18"/>
                <w:highlight w:val="red"/>
                <w:u w:val="single"/>
              </w:rPr>
              <w:t>3 questions requested clarification</w:t>
            </w:r>
          </w:p>
          <w:p w:rsidR="00E912A9" w:rsidRDefault="00E912A9" w:rsidP="002515AC">
            <w:pPr>
              <w:pStyle w:val="NoSpacing"/>
              <w:rPr>
                <w:rFonts w:ascii="Arial" w:hAnsi="Arial"/>
                <w:sz w:val="18"/>
                <w:szCs w:val="18"/>
                <w:u w:val="single"/>
              </w:rPr>
            </w:pPr>
          </w:p>
          <w:p w:rsidR="00E912A9" w:rsidRPr="00E912A9" w:rsidRDefault="00E912A9" w:rsidP="00E912A9">
            <w:pPr>
              <w:pStyle w:val="NoSpacing"/>
              <w:ind w:right="-123"/>
              <w:rPr>
                <w:rFonts w:ascii="Arial" w:hAnsi="Arial"/>
                <w:color w:val="000000" w:themeColor="text1"/>
                <w:sz w:val="18"/>
              </w:rPr>
            </w:pPr>
            <w:r w:rsidRPr="00E912A9">
              <w:rPr>
                <w:rFonts w:ascii="Arial" w:hAnsi="Arial"/>
                <w:b/>
                <w:color w:val="00B050"/>
                <w:sz w:val="18"/>
              </w:rPr>
              <w:t>Q:</w:t>
            </w:r>
            <w:r w:rsidRPr="00E912A9">
              <w:rPr>
                <w:rFonts w:ascii="Arial" w:hAnsi="Arial"/>
                <w:b/>
                <w:color w:val="000000" w:themeColor="text1"/>
                <w:sz w:val="18"/>
              </w:rPr>
              <w:t xml:space="preserve">  The Quality Call directed that tinnitus would be considered a presumptive condition and the manual will be updated.  However, it was my understanding that tinnitus is a presumptive condition (i.e. considered an organic disease of the nervous system) when there is evidence of acoustic trauma.  M21-1 III.iv.4.G.1.d:</w:t>
            </w:r>
            <w:r w:rsidRPr="00E912A9">
              <w:rPr>
                <w:rFonts w:ascii="Arial" w:hAnsi="Arial"/>
                <w:b/>
                <w:i/>
                <w:iCs/>
                <w:color w:val="000000" w:themeColor="text1"/>
                <w:sz w:val="18"/>
              </w:rPr>
              <w:t xml:space="preserve"> “The court holding in</w:t>
            </w:r>
            <w:r w:rsidRPr="00E912A9">
              <w:rPr>
                <w:rFonts w:ascii="Arial" w:hAnsi="Arial"/>
                <w:b/>
                <w:color w:val="000000" w:themeColor="text1"/>
                <w:sz w:val="18"/>
              </w:rPr>
              <w:t xml:space="preserve"> </w:t>
            </w:r>
            <w:hyperlink r:id="rId391" w:history="1">
              <w:r w:rsidRPr="00E912A9">
                <w:rPr>
                  <w:rStyle w:val="Hyperlink"/>
                  <w:rFonts w:ascii="Arial" w:hAnsi="Arial"/>
                  <w:b/>
                  <w:i/>
                  <w:iCs/>
                  <w:sz w:val="18"/>
                </w:rPr>
                <w:t>Fountain v. McDonald</w:t>
              </w:r>
            </w:hyperlink>
            <w:r w:rsidRPr="00E912A9">
              <w:rPr>
                <w:rFonts w:ascii="Arial" w:hAnsi="Arial"/>
                <w:b/>
                <w:i/>
                <w:iCs/>
                <w:color w:val="000000" w:themeColor="text1"/>
                <w:sz w:val="18"/>
              </w:rPr>
              <w:t>, 27 Vet.App. 258 (2015) established that tinnitus is considered an organic disease of the nervous system when there is evidence of acoustic trauma.”</w:t>
            </w:r>
            <w:r w:rsidRPr="00E912A9">
              <w:rPr>
                <w:rFonts w:ascii="Arial" w:hAnsi="Arial"/>
                <w:b/>
                <w:color w:val="000000" w:themeColor="text1"/>
                <w:sz w:val="18"/>
              </w:rPr>
              <w:t xml:space="preserve">  We are curious about the information provided in the Call because it appears that the presenter is saying that as long as tinnitus is diagnosed within 1 year following separation from AD that the decision maker should grant SC.  But, the Court case appears to have said that there must be acoustic trauma before tinnitus can be considered a presumptive condition.  Can you please provide clarification of this?</w:t>
            </w:r>
          </w:p>
          <w:p w:rsidR="00E912A9" w:rsidRPr="00E912A9" w:rsidRDefault="00E912A9" w:rsidP="00E912A9">
            <w:pPr>
              <w:pStyle w:val="NoSpacing"/>
              <w:rPr>
                <w:rFonts w:ascii="Arial" w:hAnsi="Arial"/>
                <w:sz w:val="18"/>
              </w:rPr>
            </w:pPr>
          </w:p>
          <w:p w:rsidR="00E912A9" w:rsidRPr="00E912A9" w:rsidRDefault="00E912A9" w:rsidP="00E912A9">
            <w:pPr>
              <w:pStyle w:val="NoSpacing"/>
              <w:rPr>
                <w:rFonts w:ascii="Arial" w:hAnsi="Arial"/>
                <w:color w:val="000000" w:themeColor="text1"/>
                <w:sz w:val="18"/>
              </w:rPr>
            </w:pPr>
            <w:r w:rsidRPr="00E912A9">
              <w:rPr>
                <w:rFonts w:ascii="Arial" w:hAnsi="Arial"/>
                <w:b/>
                <w:color w:val="00B050"/>
                <w:sz w:val="18"/>
              </w:rPr>
              <w:t>Q:</w:t>
            </w:r>
            <w:r w:rsidRPr="00E912A9">
              <w:rPr>
                <w:rFonts w:ascii="Arial" w:hAnsi="Arial"/>
                <w:b/>
                <w:color w:val="000000" w:themeColor="text1"/>
                <w:sz w:val="18"/>
              </w:rPr>
              <w:t xml:space="preserve">  Can you please clarify the issue of tinnitus as a presumptive condition?  The MR and </w:t>
            </w:r>
            <w:r w:rsidRPr="00E912A9">
              <w:rPr>
                <w:rFonts w:ascii="Arial" w:hAnsi="Arial"/>
                <w:b/>
                <w:i/>
                <w:color w:val="000000" w:themeColor="text1"/>
                <w:sz w:val="18"/>
              </w:rPr>
              <w:t>Fountain v. McDonald</w:t>
            </w:r>
            <w:r w:rsidRPr="00E912A9">
              <w:rPr>
                <w:rFonts w:ascii="Arial" w:hAnsi="Arial"/>
                <w:b/>
                <w:color w:val="000000" w:themeColor="text1"/>
                <w:sz w:val="18"/>
              </w:rPr>
              <w:t xml:space="preserve"> decision instruct that tinnitus is an organic disease of the nervous system when there is evidence of acoustic trauma; however, the presenter mentioned that only a medical provider can determine if there was acoustic trauma.  The slides indicated that we are to grant presumptively WITHOUT a medical opinion.  How is this possible if acoustic trauma is a medical determination?</w:t>
            </w:r>
          </w:p>
          <w:p w:rsidR="00E912A9" w:rsidRPr="00E912A9" w:rsidRDefault="00E912A9" w:rsidP="00E912A9">
            <w:pPr>
              <w:pStyle w:val="NoSpacing"/>
              <w:rPr>
                <w:rFonts w:ascii="Arial" w:hAnsi="Arial"/>
                <w:sz w:val="18"/>
              </w:rPr>
            </w:pPr>
          </w:p>
          <w:p w:rsidR="00E912A9" w:rsidRPr="00E912A9" w:rsidRDefault="00E912A9" w:rsidP="00E912A9">
            <w:pPr>
              <w:pStyle w:val="NoSpacing"/>
              <w:rPr>
                <w:rFonts w:ascii="Arial" w:hAnsi="Arial"/>
                <w:color w:val="000000" w:themeColor="text1"/>
                <w:sz w:val="18"/>
              </w:rPr>
            </w:pPr>
            <w:r w:rsidRPr="00E912A9">
              <w:rPr>
                <w:rFonts w:ascii="Arial" w:hAnsi="Arial"/>
                <w:b/>
                <w:color w:val="00B050"/>
                <w:sz w:val="18"/>
              </w:rPr>
              <w:t>Q:</w:t>
            </w:r>
            <w:r w:rsidRPr="00E912A9">
              <w:rPr>
                <w:rFonts w:ascii="Arial" w:hAnsi="Arial"/>
                <w:b/>
                <w:color w:val="000000" w:themeColor="text1"/>
                <w:sz w:val="18"/>
              </w:rPr>
              <w:t xml:space="preserve"> On today’s Quality Call, the presenter discussed the issue of tinnitus being a presumptive condition, advising us that service connection should be granted if it manifested to a compensable degree in the applicable period as long as there are no intercurrent causes.  However, M21-1 IV.ii.2.B.2.a, in citing the </w:t>
            </w:r>
            <w:r w:rsidRPr="00E912A9">
              <w:rPr>
                <w:rFonts w:ascii="Arial" w:hAnsi="Arial"/>
                <w:b/>
                <w:i/>
                <w:color w:val="000000" w:themeColor="text1"/>
                <w:sz w:val="18"/>
              </w:rPr>
              <w:t>Fountain</w:t>
            </w:r>
            <w:r w:rsidRPr="00E912A9">
              <w:rPr>
                <w:rFonts w:ascii="Arial" w:hAnsi="Arial"/>
                <w:b/>
                <w:color w:val="000000" w:themeColor="text1"/>
                <w:sz w:val="18"/>
              </w:rPr>
              <w:t xml:space="preserve"> decision, states that we may only treat tinnitus as an organic disease of the nervous system when there is evidence of acoustic trauma.  As the presentation also cautioned us that acoustic trauma is medical rather than adjudicative determination, would we not need to pursue medical opinions in these cases where acoustic trauma is not medically shown?</w:t>
            </w:r>
          </w:p>
          <w:p w:rsidR="00E912A9" w:rsidRPr="00E912A9" w:rsidRDefault="00E912A9" w:rsidP="002515AC">
            <w:pPr>
              <w:pStyle w:val="NoSpacing"/>
              <w:rPr>
                <w:rFonts w:ascii="Arial" w:hAnsi="Arial"/>
                <w:sz w:val="12"/>
                <w:szCs w:val="18"/>
                <w:u w:val="single"/>
              </w:rPr>
            </w:pPr>
          </w:p>
          <w:p w:rsidR="00E912A9" w:rsidRPr="00E912A9" w:rsidRDefault="00E912A9" w:rsidP="00E912A9">
            <w:pPr>
              <w:pStyle w:val="NoSpacing"/>
              <w:rPr>
                <w:rFonts w:ascii="Arial" w:hAnsi="Arial"/>
                <w:sz w:val="18"/>
                <w:szCs w:val="18"/>
              </w:rPr>
            </w:pPr>
            <w:r w:rsidRPr="00E912A9">
              <w:rPr>
                <w:rFonts w:ascii="Arial" w:hAnsi="Arial"/>
                <w:sz w:val="18"/>
                <w:szCs w:val="18"/>
                <w:highlight w:val="red"/>
              </w:rPr>
              <w:t>Clarification finally provided 1/30/18:</w:t>
            </w:r>
            <w:r w:rsidRPr="00E912A9">
              <w:rPr>
                <w:rFonts w:ascii="Arial" w:hAnsi="Arial"/>
                <w:sz w:val="18"/>
                <w:szCs w:val="18"/>
              </w:rPr>
              <w:t xml:space="preserve">  </w:t>
            </w:r>
          </w:p>
          <w:p w:rsidR="00E912A9" w:rsidRPr="00E912A9" w:rsidRDefault="00E912A9" w:rsidP="00E912A9">
            <w:pPr>
              <w:pStyle w:val="NoSpacing"/>
              <w:spacing w:after="120"/>
              <w:rPr>
                <w:rFonts w:ascii="Arial" w:hAnsi="Arial"/>
                <w:color w:val="000000" w:themeColor="text1"/>
                <w:sz w:val="18"/>
              </w:rPr>
            </w:pPr>
            <w:r w:rsidRPr="00E912A9">
              <w:rPr>
                <w:rFonts w:ascii="Arial" w:hAnsi="Arial"/>
                <w:color w:val="000000" w:themeColor="text1"/>
                <w:sz w:val="18"/>
                <w:szCs w:val="18"/>
              </w:rPr>
              <w:t>The statement in the manual</w:t>
            </w:r>
            <w:r w:rsidRPr="00E912A9">
              <w:rPr>
                <w:rFonts w:ascii="Arial" w:hAnsi="Arial"/>
                <w:color w:val="000000" w:themeColor="text1"/>
                <w:sz w:val="18"/>
              </w:rPr>
              <w:t xml:space="preserve"> (referenced above) is incorrect; tinnitus should be considered a chronic disease for purposes of 38 CFR 3.309(a) regardless of whether there is evidence of acoustic trauma of record.  This includes treating tinnitus as a chronic disease when applying the principles of presumptive service connection under 38 CFR 3.307(a)(3).  It also includes the situation at issue in </w:t>
            </w:r>
            <w:r w:rsidRPr="00E912A9">
              <w:rPr>
                <w:rFonts w:ascii="Arial" w:hAnsi="Arial"/>
                <w:i/>
                <w:color w:val="000000" w:themeColor="text1"/>
                <w:sz w:val="18"/>
              </w:rPr>
              <w:t>Fountain</w:t>
            </w:r>
            <w:r w:rsidRPr="00E912A9">
              <w:rPr>
                <w:rFonts w:ascii="Arial" w:hAnsi="Arial"/>
                <w:color w:val="000000" w:themeColor="text1"/>
                <w:sz w:val="18"/>
              </w:rPr>
              <w:t xml:space="preserve">, which is considering tinnitus a chronic disease when applying the holding in </w:t>
            </w:r>
            <w:r w:rsidRPr="00E912A9">
              <w:rPr>
                <w:rFonts w:ascii="Arial" w:hAnsi="Arial"/>
                <w:i/>
                <w:color w:val="000000" w:themeColor="text1"/>
                <w:sz w:val="18"/>
              </w:rPr>
              <w:t>Walker v. Shinseki</w:t>
            </w:r>
            <w:r w:rsidRPr="00E912A9">
              <w:rPr>
                <w:rFonts w:ascii="Arial" w:hAnsi="Arial"/>
                <w:color w:val="000000" w:themeColor="text1"/>
                <w:sz w:val="18"/>
              </w:rPr>
              <w:t xml:space="preserve"> to determine whether service connection is established on the basis of continuity of symptomatology.  See also 38 CFR 3.303(b).</w:t>
            </w:r>
          </w:p>
          <w:p w:rsidR="00E912A9" w:rsidRPr="00E912A9" w:rsidRDefault="00E912A9" w:rsidP="00E912A9">
            <w:pPr>
              <w:pStyle w:val="NoSpacing"/>
              <w:spacing w:after="120"/>
              <w:rPr>
                <w:rFonts w:ascii="Arial" w:hAnsi="Arial"/>
                <w:color w:val="000000" w:themeColor="text1"/>
                <w:sz w:val="18"/>
              </w:rPr>
            </w:pPr>
            <w:r w:rsidRPr="00E912A9">
              <w:rPr>
                <w:rFonts w:ascii="Arial" w:hAnsi="Arial"/>
                <w:color w:val="000000" w:themeColor="text1"/>
                <w:sz w:val="18"/>
              </w:rPr>
              <w:t xml:space="preserve">The court, in </w:t>
            </w:r>
            <w:r w:rsidRPr="00E912A9">
              <w:rPr>
                <w:rFonts w:ascii="Arial" w:hAnsi="Arial"/>
                <w:i/>
                <w:color w:val="000000" w:themeColor="text1"/>
                <w:sz w:val="18"/>
              </w:rPr>
              <w:t>Fountain</w:t>
            </w:r>
            <w:r w:rsidRPr="00E912A9">
              <w:rPr>
                <w:rFonts w:ascii="Arial" w:hAnsi="Arial"/>
                <w:color w:val="000000" w:themeColor="text1"/>
                <w:sz w:val="18"/>
              </w:rPr>
              <w:t xml:space="preserve">, stated that 38 CFR 3.309(a) </w:t>
            </w:r>
            <w:r w:rsidRPr="00E912A9">
              <w:rPr>
                <w:rFonts w:ascii="Arial" w:hAnsi="Arial"/>
                <w:i/>
                <w:color w:val="000000" w:themeColor="text1"/>
                <w:sz w:val="18"/>
              </w:rPr>
              <w:t>“includes tinnitus, at a minimum where there is evidence of acoustic trauma, as an ‘organic disease [ ] of the nervous system.’”</w:t>
            </w:r>
            <w:r w:rsidRPr="00E912A9">
              <w:rPr>
                <w:rFonts w:ascii="Arial" w:hAnsi="Arial"/>
                <w:color w:val="000000" w:themeColor="text1"/>
                <w:sz w:val="18"/>
              </w:rPr>
              <w:t xml:space="preserve"> [emphasis added]  Because Mr. Fountain claimed service connection should be granted for tinnitus on the basis of continuity of symptomatology, and there was direct evidence of acoustic trauma in the record (e.g., audiograms meeting the criteria in 38 CFR 3.385 and an in-service diagnosis of hearing loss), the court’s qualifying statement made sense.</w:t>
            </w:r>
          </w:p>
          <w:p w:rsidR="00E912A9" w:rsidRPr="00E912A9" w:rsidRDefault="00E912A9" w:rsidP="00E912A9">
            <w:pPr>
              <w:pStyle w:val="NoSpacing"/>
              <w:spacing w:after="120"/>
              <w:rPr>
                <w:rFonts w:ascii="Arial" w:hAnsi="Arial"/>
                <w:color w:val="000000" w:themeColor="text1"/>
                <w:sz w:val="18"/>
              </w:rPr>
            </w:pPr>
            <w:r w:rsidRPr="00E912A9">
              <w:rPr>
                <w:rFonts w:ascii="Arial" w:hAnsi="Arial"/>
                <w:color w:val="000000" w:themeColor="text1"/>
                <w:sz w:val="18"/>
              </w:rPr>
              <w:t>To require direct evidence of acoustic trauma in every case, however, does not make sense.  In that regard, a Veteran’s records may show exposure to hazardous noise, as well as show tinnitus clinically diagnosed within one year of separation, but may not contain evidence of acoustic trauma.  Absent a medical opinion as to whether the hazardous noise exposure resulted in acoustic trauma, the prior manual reference could not be applied.  Generally, in that fact pattern, a medical opinion is not needed unless there is evidence (lay or medical) showing the condition may have been caused from a post service event, injury, or illness.</w:t>
            </w:r>
          </w:p>
          <w:p w:rsidR="00E912A9" w:rsidRDefault="00E912A9" w:rsidP="00E912A9">
            <w:pPr>
              <w:pStyle w:val="NoSpacing"/>
              <w:rPr>
                <w:rFonts w:ascii="Arial" w:hAnsi="Arial"/>
                <w:color w:val="000000" w:themeColor="text1"/>
                <w:sz w:val="18"/>
              </w:rPr>
            </w:pPr>
            <w:r w:rsidRPr="00E912A9">
              <w:rPr>
                <w:rFonts w:ascii="Arial" w:hAnsi="Arial"/>
                <w:color w:val="000000" w:themeColor="text1"/>
                <w:sz w:val="18"/>
              </w:rPr>
              <w:t>When tinnitus is NOT diagnosed and manifested to a compensable degree within a year from discharge, either direct or indirect evidence is needed to award service connection.  Direct evidence is clear, undisputable proof of an event, injury, or disease.  Such evidence includes, but is not limited to, in-service treatment, symptoms, or a diagnosis.  Indirect evidence is evidence that relies on an inference to connect it to a conclusion.  Such evidence includes, but is not limited to, noise exposure.  When the service record does not contain direct evidence but does contain indirect evidence, the claims processor must concede the in-service event, injury, or illness.  The threshold for concession is very low.  Unless the medical evidence of record shows a formal diagnosis and competent medical nexus, an examination and medical opinion is needed.  The current manual entries contradict the principle of service connection on a presumptive basis by requiring direct evidence of acoustic trauma; presumptive conditions do not require direct evidence during service.  The relevant manual references are being processed for revision.</w:t>
            </w:r>
          </w:p>
          <w:p w:rsidR="002C1FE6" w:rsidRDefault="002C1FE6" w:rsidP="00E912A9">
            <w:pPr>
              <w:pStyle w:val="NoSpacing"/>
              <w:rPr>
                <w:rFonts w:ascii="Arial" w:hAnsi="Arial"/>
                <w:color w:val="000000" w:themeColor="text1"/>
                <w:sz w:val="18"/>
              </w:rPr>
            </w:pPr>
          </w:p>
          <w:p w:rsidR="002C1FE6" w:rsidRDefault="00D571C5" w:rsidP="002C1FE6">
            <w:pPr>
              <w:ind w:right="-33"/>
              <w:rPr>
                <w:rFonts w:eastAsia="Calibri"/>
                <w:b/>
                <w:color w:val="00B050"/>
                <w:sz w:val="18"/>
                <w:szCs w:val="18"/>
              </w:rPr>
            </w:pPr>
            <w:hyperlink r:id="rId392" w:history="1">
              <w:r w:rsidR="002C1FE6" w:rsidRPr="002C1FE6">
                <w:rPr>
                  <w:rStyle w:val="Hyperlink"/>
                  <w:b/>
                  <w:bCs/>
                  <w:i/>
                  <w:sz w:val="18"/>
                  <w:szCs w:val="18"/>
                </w:rPr>
                <w:t>February 2018 Quality Call Notes</w:t>
              </w:r>
            </w:hyperlink>
            <w:r w:rsidR="002C1FE6" w:rsidRPr="002C1FE6">
              <w:rPr>
                <w:sz w:val="18"/>
                <w:szCs w:val="18"/>
              </w:rPr>
              <w:t xml:space="preserve"> </w:t>
            </w:r>
            <w:r w:rsidR="002C1FE6">
              <w:rPr>
                <w:sz w:val="18"/>
                <w:szCs w:val="18"/>
              </w:rPr>
              <w:t>–</w:t>
            </w:r>
            <w:r w:rsidR="002C1FE6" w:rsidRPr="002C1FE6">
              <w:rPr>
                <w:rFonts w:eastAsia="Calibri"/>
                <w:b/>
                <w:color w:val="00B050"/>
                <w:sz w:val="18"/>
                <w:szCs w:val="18"/>
              </w:rPr>
              <w:t xml:space="preserve"> </w:t>
            </w:r>
          </w:p>
          <w:p w:rsidR="002C1FE6" w:rsidRPr="002C1FE6" w:rsidRDefault="002C1FE6" w:rsidP="002C1FE6">
            <w:pPr>
              <w:ind w:right="-33"/>
              <w:rPr>
                <w:rFonts w:eastAsia="Calibri"/>
                <w:b/>
                <w:color w:val="000000" w:themeColor="text1"/>
                <w:sz w:val="18"/>
                <w:szCs w:val="18"/>
              </w:rPr>
            </w:pPr>
            <w:r w:rsidRPr="002C1FE6">
              <w:rPr>
                <w:rFonts w:eastAsia="Calibri"/>
                <w:b/>
                <w:color w:val="00B050"/>
                <w:sz w:val="18"/>
                <w:szCs w:val="18"/>
              </w:rPr>
              <w:t>Q # 1:</w:t>
            </w:r>
            <w:r w:rsidRPr="002C1FE6">
              <w:rPr>
                <w:rFonts w:eastAsia="Calibri"/>
                <w:b/>
                <w:color w:val="000000" w:themeColor="text1"/>
                <w:sz w:val="18"/>
                <w:szCs w:val="18"/>
              </w:rPr>
              <w:t xml:space="preserve">  Under DC 6260, a 10% evaluation is warranted for recurrent tinnitus.  For presumptive effective date purposes, at what point is tinnitus considered recurrent to establish a 10% evaluation?  When claimed by the Veteran within a year of discharge (with no complaints in STRs and no post service treatment records) or the date of the Audio DBQ showing recurrent tinnitus (also with negative medical opinions about etiology of tinnitus)?</w:t>
            </w:r>
          </w:p>
          <w:p w:rsidR="002C1FE6" w:rsidRPr="002C1FE6" w:rsidRDefault="002C1FE6" w:rsidP="002C1FE6">
            <w:pPr>
              <w:ind w:right="-33"/>
              <w:rPr>
                <w:rFonts w:eastAsia="Calibri"/>
                <w:b/>
                <w:color w:val="000000" w:themeColor="text1"/>
                <w:sz w:val="18"/>
                <w:szCs w:val="18"/>
              </w:rPr>
            </w:pPr>
          </w:p>
          <w:p w:rsidR="002C1FE6" w:rsidRPr="002C1FE6" w:rsidRDefault="002C1FE6" w:rsidP="002C1FE6">
            <w:pPr>
              <w:ind w:right="-33"/>
              <w:rPr>
                <w:rFonts w:eastAsia="Calibri"/>
                <w:b/>
                <w:color w:val="000000" w:themeColor="text1"/>
                <w:sz w:val="18"/>
                <w:szCs w:val="18"/>
              </w:rPr>
            </w:pPr>
            <w:r w:rsidRPr="002C1FE6">
              <w:rPr>
                <w:rFonts w:eastAsia="Calibri"/>
                <w:b/>
                <w:color w:val="000000" w:themeColor="text1"/>
                <w:sz w:val="18"/>
                <w:szCs w:val="18"/>
              </w:rPr>
              <w:t xml:space="preserve">This is asked because this following scenario was asked by a RVSR:  </w:t>
            </w:r>
            <w:r w:rsidRPr="002C1FE6">
              <w:rPr>
                <w:rFonts w:eastAsia="Calibri"/>
                <w:b/>
                <w:i/>
                <w:color w:val="000000" w:themeColor="text1"/>
                <w:sz w:val="18"/>
                <w:szCs w:val="18"/>
              </w:rPr>
              <w:t>“A Veteran claims tinnitus within one year of discharge.  It is not noted during service and there are no post service treatment records.  The Audio VAE diagnoses tinnitus and notes it is recurrent but provides a negative opinion.”</w:t>
            </w:r>
            <w:r w:rsidRPr="002C1FE6">
              <w:rPr>
                <w:rFonts w:eastAsia="Calibri"/>
                <w:b/>
                <w:color w:val="000000" w:themeColor="text1"/>
                <w:sz w:val="18"/>
                <w:szCs w:val="18"/>
              </w:rPr>
              <w:t xml:space="preserve">  For presumptive purposes, is the effective date the date of claim (because a layperson can establish a diagnosis) or the date of Audio VAE (because it is identified as recurrent on that date)?</w:t>
            </w:r>
          </w:p>
          <w:p w:rsidR="002C1FE6" w:rsidRPr="002C1FE6" w:rsidRDefault="002C1FE6" w:rsidP="002C1FE6">
            <w:pPr>
              <w:ind w:right="-33"/>
              <w:rPr>
                <w:rFonts w:eastAsia="Calibri"/>
                <w:b/>
                <w:color w:val="000000" w:themeColor="text1"/>
                <w:sz w:val="18"/>
                <w:szCs w:val="18"/>
              </w:rPr>
            </w:pPr>
          </w:p>
          <w:p w:rsidR="002C1FE6" w:rsidRPr="002C1FE6" w:rsidRDefault="002C1FE6" w:rsidP="002C1FE6">
            <w:pPr>
              <w:ind w:right="-33"/>
              <w:rPr>
                <w:rFonts w:eastAsia="Calibri"/>
                <w:b/>
                <w:color w:val="000000" w:themeColor="text1"/>
                <w:sz w:val="18"/>
                <w:szCs w:val="18"/>
              </w:rPr>
            </w:pPr>
            <w:r w:rsidRPr="002C1FE6">
              <w:rPr>
                <w:rFonts w:eastAsia="Calibri"/>
                <w:b/>
                <w:color w:val="000000" w:themeColor="text1"/>
                <w:sz w:val="18"/>
                <w:szCs w:val="18"/>
              </w:rPr>
              <w:t>The RVSR and I discussed III.iv.4.D.3.b; III.iv.4.D.1.a; III.iv.4.N.1.d; CFRs 3.307, 3.309(a); and, 4.87 DC 6260.  We decided date of claim would be appropriate.  Since this topic was raised on the Quality Call, I would be interested in an official response.</w:t>
            </w:r>
          </w:p>
          <w:p w:rsidR="002C1FE6" w:rsidRPr="002C1FE6" w:rsidRDefault="002C1FE6" w:rsidP="002C1FE6">
            <w:pPr>
              <w:ind w:right="-33"/>
              <w:rPr>
                <w:rFonts w:eastAsia="Calibri"/>
                <w:color w:val="000000" w:themeColor="text1"/>
                <w:sz w:val="18"/>
                <w:szCs w:val="18"/>
              </w:rPr>
            </w:pPr>
          </w:p>
          <w:p w:rsidR="002C1FE6" w:rsidRPr="002C1FE6" w:rsidRDefault="002C1FE6" w:rsidP="002C1FE6">
            <w:pPr>
              <w:ind w:right="-303"/>
              <w:rPr>
                <w:rFonts w:eastAsia="Calibri"/>
                <w:color w:val="000000" w:themeColor="text1"/>
                <w:sz w:val="18"/>
                <w:szCs w:val="18"/>
              </w:rPr>
            </w:pPr>
            <w:r w:rsidRPr="002C1FE6">
              <w:rPr>
                <w:rFonts w:eastAsia="Calibri"/>
                <w:b/>
                <w:color w:val="00B050"/>
                <w:sz w:val="18"/>
                <w:szCs w:val="18"/>
              </w:rPr>
              <w:t>A # 1:</w:t>
            </w:r>
            <w:r w:rsidRPr="002C1FE6">
              <w:rPr>
                <w:rFonts w:eastAsia="Calibri"/>
                <w:color w:val="000000" w:themeColor="text1"/>
                <w:sz w:val="18"/>
                <w:szCs w:val="18"/>
              </w:rPr>
              <w:t xml:space="preserve">  </w:t>
            </w:r>
            <w:r w:rsidRPr="002C1FE6">
              <w:rPr>
                <w:rFonts w:eastAsia="Calibri"/>
                <w:iCs/>
                <w:color w:val="000000" w:themeColor="text1"/>
                <w:sz w:val="18"/>
                <w:szCs w:val="18"/>
              </w:rPr>
              <w:t>The Veteran is competent to report the frequency of the tinnitus symptoms; h</w:t>
            </w:r>
            <w:r w:rsidRPr="002C1FE6">
              <w:rPr>
                <w:rFonts w:eastAsia="Calibri"/>
                <w:color w:val="000000" w:themeColor="text1"/>
                <w:sz w:val="18"/>
                <w:szCs w:val="18"/>
              </w:rPr>
              <w:t xml:space="preserve">owever, a Veteran is </w:t>
            </w:r>
            <w:r w:rsidRPr="002C1FE6">
              <w:rPr>
                <w:rFonts w:eastAsia="Calibri"/>
                <w:b/>
                <w:color w:val="000000" w:themeColor="text1"/>
                <w:sz w:val="18"/>
                <w:szCs w:val="18"/>
              </w:rPr>
              <w:t>not</w:t>
            </w:r>
            <w:r w:rsidRPr="002C1FE6">
              <w:rPr>
                <w:rFonts w:eastAsia="Calibri"/>
                <w:color w:val="000000" w:themeColor="text1"/>
                <w:sz w:val="18"/>
                <w:szCs w:val="18"/>
              </w:rPr>
              <w:t xml:space="preserve"> competent to self-diagnose in a formal capacity.  Therefore, the basic service-connection requirement of having a current, formal diagnosis was not met in this particular example until the VA examination (VAE).  Thus, the date of the VAE, which is the </w:t>
            </w:r>
            <w:r w:rsidRPr="002C1FE6">
              <w:rPr>
                <w:rFonts w:eastAsia="Calibri"/>
                <w:i/>
                <w:color w:val="000000" w:themeColor="text1"/>
                <w:sz w:val="18"/>
                <w:szCs w:val="18"/>
              </w:rPr>
              <w:t>“date entitlement arose,”</w:t>
            </w:r>
            <w:r w:rsidRPr="002C1FE6">
              <w:rPr>
                <w:rFonts w:eastAsia="Calibri"/>
                <w:color w:val="000000" w:themeColor="text1"/>
                <w:sz w:val="18"/>
                <w:szCs w:val="18"/>
              </w:rPr>
              <w:t xml:space="preserve"> is the appropriate effective date for presumptive service connection of tinnitus.</w:t>
            </w:r>
          </w:p>
          <w:p w:rsidR="002C1FE6" w:rsidRPr="002C1FE6" w:rsidRDefault="002C1FE6" w:rsidP="002C1FE6">
            <w:pPr>
              <w:ind w:right="-33"/>
              <w:rPr>
                <w:rFonts w:eastAsia="Calibri"/>
                <w:color w:val="000000" w:themeColor="text1"/>
                <w:sz w:val="18"/>
                <w:szCs w:val="18"/>
              </w:rPr>
            </w:pPr>
          </w:p>
          <w:p w:rsidR="002C1FE6" w:rsidRPr="002C1FE6" w:rsidRDefault="002C1FE6" w:rsidP="002C1FE6">
            <w:pPr>
              <w:ind w:right="-33"/>
              <w:rPr>
                <w:rFonts w:eastAsia="Calibri"/>
                <w:color w:val="000000" w:themeColor="text1"/>
                <w:sz w:val="18"/>
                <w:szCs w:val="18"/>
              </w:rPr>
            </w:pPr>
            <w:r w:rsidRPr="002C1FE6">
              <w:rPr>
                <w:rFonts w:eastAsia="Calibri"/>
                <w:color w:val="000000" w:themeColor="text1"/>
                <w:sz w:val="18"/>
                <w:szCs w:val="18"/>
              </w:rPr>
              <w:t xml:space="preserve">Please refer to 38 CFR 3.400 (b)(2), which states the following: </w:t>
            </w:r>
            <w:r w:rsidRPr="002C1FE6">
              <w:rPr>
                <w:rFonts w:eastAsia="Calibri"/>
                <w:i/>
                <w:color w:val="000000" w:themeColor="text1"/>
                <w:sz w:val="18"/>
                <w:szCs w:val="18"/>
              </w:rPr>
              <w:t xml:space="preserve">“(ii) </w:t>
            </w:r>
            <w:r w:rsidRPr="002C1FE6">
              <w:rPr>
                <w:rFonts w:eastAsia="Calibri"/>
                <w:i/>
                <w:iCs/>
                <w:color w:val="000000" w:themeColor="text1"/>
                <w:sz w:val="18"/>
                <w:szCs w:val="18"/>
              </w:rPr>
              <w:t>Presumptive service connection</w:t>
            </w:r>
            <w:r w:rsidRPr="002C1FE6">
              <w:rPr>
                <w:rFonts w:eastAsia="Calibri"/>
                <w:i/>
                <w:color w:val="000000" w:themeColor="text1"/>
                <w:sz w:val="18"/>
                <w:szCs w:val="18"/>
              </w:rPr>
              <w:t xml:space="preserve"> (§§</w:t>
            </w:r>
            <w:r w:rsidRPr="002C1FE6">
              <w:rPr>
                <w:rFonts w:eastAsia="Calibri"/>
                <w:i/>
                <w:iCs/>
                <w:color w:val="000000" w:themeColor="text1"/>
                <w:sz w:val="18"/>
                <w:szCs w:val="18"/>
              </w:rPr>
              <w:t>3.307, 3.308, 3.309</w:t>
            </w:r>
            <w:r w:rsidRPr="002C1FE6">
              <w:rPr>
                <w:rFonts w:eastAsia="Calibri"/>
                <w:i/>
                <w:color w:val="000000" w:themeColor="text1"/>
                <w:sz w:val="18"/>
                <w:szCs w:val="18"/>
              </w:rPr>
              <w:t xml:space="preserve">).  </w:t>
            </w:r>
            <w:r w:rsidRPr="002C1FE6">
              <w:rPr>
                <w:rFonts w:eastAsia="Calibri"/>
                <w:b/>
                <w:bCs/>
                <w:i/>
                <w:color w:val="000000" w:themeColor="text1"/>
                <w:sz w:val="18"/>
                <w:szCs w:val="18"/>
              </w:rPr>
              <w:t>Date entitlement arose</w:t>
            </w:r>
            <w:r w:rsidRPr="002C1FE6">
              <w:rPr>
                <w:rFonts w:eastAsia="Calibri"/>
                <w:b/>
                <w:i/>
                <w:color w:val="000000" w:themeColor="text1"/>
                <w:sz w:val="18"/>
                <w:szCs w:val="18"/>
              </w:rPr>
              <w:t xml:space="preserve">, if claim is received within 1 year after separation from active duty </w:t>
            </w:r>
            <w:r w:rsidRPr="002C1FE6">
              <w:rPr>
                <w:rFonts w:eastAsia="Calibri"/>
                <w:color w:val="000000" w:themeColor="text1"/>
                <w:sz w:val="18"/>
                <w:szCs w:val="18"/>
              </w:rPr>
              <w:t>[emphasis added]</w:t>
            </w:r>
            <w:r w:rsidRPr="002C1FE6">
              <w:rPr>
                <w:rFonts w:eastAsia="Calibri"/>
                <w:i/>
                <w:color w:val="000000" w:themeColor="text1"/>
                <w:sz w:val="18"/>
                <w:szCs w:val="18"/>
              </w:rPr>
              <w:t>; otherwise date of receipt of claim, or date entitlement arose, whichever is later.  Where the requirements for service connection are met during service, the effective date will be the day following separation from service if there was continuous active service following the period of service on which the presumption is based and a claim is received within 1 year after separation from active duty.”</w:t>
            </w:r>
          </w:p>
          <w:p w:rsidR="002C1FE6" w:rsidRPr="002C1FE6" w:rsidRDefault="002C1FE6" w:rsidP="002C1FE6">
            <w:pPr>
              <w:rPr>
                <w:rFonts w:eastAsia="Calibri"/>
                <w:color w:val="000000" w:themeColor="text1"/>
                <w:sz w:val="18"/>
                <w:szCs w:val="18"/>
              </w:rPr>
            </w:pPr>
            <w:r w:rsidRPr="002C1FE6">
              <w:rPr>
                <w:rFonts w:eastAsia="Calibri"/>
                <w:color w:val="000000" w:themeColor="text1"/>
                <w:sz w:val="18"/>
                <w:szCs w:val="18"/>
              </w:rPr>
              <w:br w:type="page"/>
            </w:r>
          </w:p>
          <w:p w:rsidR="002C1FE6" w:rsidRPr="002C1FE6" w:rsidRDefault="002C1FE6" w:rsidP="002C1FE6">
            <w:pPr>
              <w:ind w:right="2"/>
              <w:rPr>
                <w:rFonts w:eastAsia="Calibri"/>
                <w:b/>
                <w:color w:val="000000" w:themeColor="text1"/>
                <w:sz w:val="18"/>
                <w:szCs w:val="18"/>
              </w:rPr>
            </w:pPr>
            <w:r w:rsidRPr="002C1FE6">
              <w:rPr>
                <w:rFonts w:eastAsia="Calibri"/>
                <w:color w:val="000000" w:themeColor="text1"/>
                <w:sz w:val="18"/>
                <w:szCs w:val="18"/>
              </w:rPr>
              <w:t xml:space="preserve">Another applicable reference is M21-1 III.iv.5.C.4.a - </w:t>
            </w:r>
            <w:r w:rsidRPr="002C1FE6">
              <w:rPr>
                <w:rFonts w:eastAsia="Calibri"/>
                <w:i/>
                <w:color w:val="000000" w:themeColor="text1"/>
                <w:sz w:val="18"/>
                <w:szCs w:val="18"/>
              </w:rPr>
              <w:t>Effective Dates for Presumptive SC</w:t>
            </w:r>
            <w:r w:rsidRPr="002C1FE6">
              <w:rPr>
                <w:rFonts w:eastAsia="Calibri"/>
                <w:color w:val="000000" w:themeColor="text1"/>
                <w:sz w:val="18"/>
                <w:szCs w:val="18"/>
              </w:rPr>
              <w:t xml:space="preserve">, which states the following: </w:t>
            </w:r>
            <w:r w:rsidRPr="002C1FE6">
              <w:rPr>
                <w:rFonts w:eastAsia="Calibri"/>
                <w:i/>
                <w:color w:val="000000" w:themeColor="text1"/>
                <w:sz w:val="18"/>
                <w:szCs w:val="18"/>
              </w:rPr>
              <w:t xml:space="preserve">“The effective date will be the </w:t>
            </w:r>
            <w:r w:rsidRPr="002C1FE6">
              <w:rPr>
                <w:rFonts w:eastAsia="Calibri"/>
                <w:b/>
                <w:bCs/>
                <w:i/>
                <w:color w:val="000000" w:themeColor="text1"/>
                <w:sz w:val="18"/>
                <w:szCs w:val="18"/>
              </w:rPr>
              <w:t>date entitlement arose</w:t>
            </w:r>
            <w:r w:rsidRPr="002C1FE6">
              <w:rPr>
                <w:rFonts w:eastAsia="Calibri"/>
                <w:i/>
                <w:color w:val="000000" w:themeColor="text1"/>
                <w:sz w:val="18"/>
                <w:szCs w:val="18"/>
              </w:rPr>
              <w:t xml:space="preserve"> </w:t>
            </w:r>
            <w:r w:rsidRPr="002C1FE6">
              <w:rPr>
                <w:rFonts w:eastAsia="Calibri"/>
                <w:color w:val="000000" w:themeColor="text1"/>
                <w:sz w:val="18"/>
                <w:szCs w:val="18"/>
              </w:rPr>
              <w:t>[emphasis added]</w:t>
            </w:r>
            <w:r w:rsidRPr="002C1FE6">
              <w:rPr>
                <w:rFonts w:eastAsia="Calibri"/>
                <w:i/>
                <w:color w:val="000000" w:themeColor="text1"/>
                <w:sz w:val="18"/>
                <w:szCs w:val="18"/>
              </w:rPr>
              <w:t xml:space="preserve"> when all of the following criteria are met: the claim is received within one year of separation from active duty, and the requirements for SC are not met during service.”</w:t>
            </w:r>
            <w:r w:rsidRPr="002C1FE6">
              <w:rPr>
                <w:rFonts w:eastAsia="Calibri"/>
                <w:color w:val="000000" w:themeColor="text1"/>
                <w:sz w:val="18"/>
                <w:szCs w:val="18"/>
              </w:rPr>
              <w:t xml:space="preserve">  The example in III.iv.5.C.4.b parallels this scenario (see Appendix A).  The date entitlement arose means the date the condition was shown to exist by medical evidence; for the definition reference, please refer to the Direct Service Connection section (click </w:t>
            </w:r>
            <w:hyperlink r:id="rId393" w:history="1">
              <w:r w:rsidRPr="002C1FE6">
                <w:rPr>
                  <w:rStyle w:val="Hyperlink"/>
                  <w:rFonts w:eastAsia="Calibri"/>
                  <w:sz w:val="18"/>
                  <w:szCs w:val="18"/>
                </w:rPr>
                <w:t>HERE</w:t>
              </w:r>
            </w:hyperlink>
            <w:r w:rsidRPr="002C1FE6">
              <w:rPr>
                <w:rFonts w:eastAsia="Calibri"/>
                <w:color w:val="000000" w:themeColor="text1"/>
                <w:sz w:val="18"/>
                <w:szCs w:val="18"/>
              </w:rPr>
              <w:t xml:space="preserve">) or III.iv.5.C.1.c, which states that it is the date on which the facts in the case demonstrate that the entitling criteria are first met.  For clarity on the phrase, </w:t>
            </w:r>
            <w:r w:rsidRPr="002C1FE6">
              <w:rPr>
                <w:rFonts w:eastAsia="Calibri"/>
                <w:i/>
                <w:color w:val="000000" w:themeColor="text1"/>
                <w:sz w:val="18"/>
                <w:szCs w:val="18"/>
              </w:rPr>
              <w:t>“whichever is later,”</w:t>
            </w:r>
            <w:r w:rsidRPr="002C1FE6">
              <w:rPr>
                <w:rFonts w:eastAsia="Calibri"/>
                <w:color w:val="000000" w:themeColor="text1"/>
                <w:sz w:val="18"/>
                <w:szCs w:val="18"/>
              </w:rPr>
              <w:t xml:space="preserve"> please review Example 2 of III.iv.5.C.1.d (see Appendix B).</w:t>
            </w:r>
          </w:p>
          <w:p w:rsidR="002C1FE6" w:rsidRPr="002C1FE6" w:rsidRDefault="002C1FE6" w:rsidP="002C1FE6">
            <w:pPr>
              <w:ind w:right="-33"/>
              <w:rPr>
                <w:rFonts w:eastAsia="Calibri"/>
                <w:color w:val="FFFFFF" w:themeColor="background1"/>
                <w:sz w:val="18"/>
                <w:szCs w:val="18"/>
              </w:rPr>
            </w:pPr>
          </w:p>
          <w:p w:rsidR="002C1FE6" w:rsidRPr="002C1FE6" w:rsidRDefault="002C1FE6" w:rsidP="002C1FE6">
            <w:pPr>
              <w:ind w:right="-33"/>
              <w:rPr>
                <w:rFonts w:eastAsia="Calibri"/>
                <w:color w:val="FFFFFF" w:themeColor="background1"/>
                <w:sz w:val="18"/>
                <w:szCs w:val="18"/>
              </w:rPr>
            </w:pPr>
          </w:p>
          <w:p w:rsidR="002C1FE6" w:rsidRPr="002C1FE6" w:rsidRDefault="002C1FE6" w:rsidP="002C1FE6">
            <w:pPr>
              <w:ind w:right="-33"/>
              <w:rPr>
                <w:rFonts w:eastAsia="Calibri"/>
                <w:b/>
                <w:color w:val="000000" w:themeColor="text1"/>
                <w:sz w:val="18"/>
                <w:szCs w:val="18"/>
              </w:rPr>
            </w:pPr>
            <w:r w:rsidRPr="002C1FE6">
              <w:rPr>
                <w:rFonts w:eastAsia="Calibri"/>
                <w:b/>
                <w:color w:val="00B050"/>
                <w:sz w:val="18"/>
                <w:szCs w:val="18"/>
              </w:rPr>
              <w:t>Q # 2:</w:t>
            </w:r>
            <w:r w:rsidRPr="002C1FE6">
              <w:rPr>
                <w:rFonts w:eastAsia="Calibri"/>
                <w:b/>
                <w:color w:val="000000" w:themeColor="text1"/>
                <w:sz w:val="18"/>
                <w:szCs w:val="18"/>
              </w:rPr>
              <w:t xml:space="preserve">  The Veteran simply claims tinnitus within one year of discharge (no lay testimony that the condition is recurrent) and STRs are silent for tinnitus.  There are no VA treatment records regarding tinnitus.  The VAE is conducted more than one year from discharge and recurrent tinnitus is noted, but the opinion is negative for a direct basis to service.  Although we have tinnitus shown within one year of discharge, the evidence shows it was first compensable (recurrent) after one year from discharge.  Based on this fact pattern, can service connection still be granted on a presumptive basis?</w:t>
            </w:r>
          </w:p>
          <w:p w:rsidR="002C1FE6" w:rsidRPr="002C1FE6" w:rsidRDefault="002C1FE6" w:rsidP="002C1FE6">
            <w:pPr>
              <w:ind w:right="-33"/>
              <w:rPr>
                <w:rFonts w:eastAsia="Calibri"/>
                <w:b/>
                <w:color w:val="000000" w:themeColor="text1"/>
                <w:sz w:val="18"/>
                <w:szCs w:val="18"/>
              </w:rPr>
            </w:pPr>
          </w:p>
          <w:p w:rsidR="002C1FE6" w:rsidRPr="002C1FE6" w:rsidRDefault="002C1FE6" w:rsidP="002C1FE6">
            <w:pPr>
              <w:ind w:right="-33"/>
              <w:rPr>
                <w:rFonts w:eastAsia="Calibri"/>
                <w:color w:val="000000" w:themeColor="text1"/>
                <w:sz w:val="18"/>
                <w:szCs w:val="18"/>
              </w:rPr>
            </w:pPr>
            <w:r w:rsidRPr="002C1FE6">
              <w:rPr>
                <w:rFonts w:eastAsia="Calibri"/>
                <w:b/>
                <w:color w:val="00B050"/>
                <w:sz w:val="18"/>
                <w:szCs w:val="18"/>
              </w:rPr>
              <w:t>A # 2:</w:t>
            </w:r>
            <w:r w:rsidRPr="002C1FE6">
              <w:rPr>
                <w:rFonts w:eastAsia="Calibri"/>
                <w:color w:val="000000" w:themeColor="text1"/>
                <w:sz w:val="18"/>
                <w:szCs w:val="18"/>
              </w:rPr>
              <w:t xml:space="preserve">  The Veteran submitted his/her claim within a year of discharge.  It is not their fault that the VAE occurred passed the one-year mark.  Since the VAE occurred in connection with the claim that was submitted within a year of discharge, it falls under the presumptive purview.  Since the VAE established a formal diagnosis and showed that the condition was recurrent, the decision maker must grant the condition as a presumptive disability.</w:t>
            </w:r>
          </w:p>
          <w:p w:rsidR="002C1FE6" w:rsidRPr="002C1FE6" w:rsidRDefault="002C1FE6" w:rsidP="002C1FE6">
            <w:pPr>
              <w:ind w:right="-33"/>
              <w:rPr>
                <w:rFonts w:eastAsia="Calibri"/>
                <w:b/>
                <w:color w:val="FFFFFF" w:themeColor="background1"/>
                <w:sz w:val="18"/>
                <w:szCs w:val="18"/>
              </w:rPr>
            </w:pPr>
          </w:p>
          <w:p w:rsidR="002C1FE6" w:rsidRPr="002C1FE6" w:rsidRDefault="002C1FE6" w:rsidP="002C1FE6">
            <w:pPr>
              <w:ind w:right="-33"/>
              <w:rPr>
                <w:rFonts w:eastAsia="Calibri"/>
                <w:b/>
                <w:color w:val="FFFFFF" w:themeColor="background1"/>
                <w:sz w:val="18"/>
                <w:szCs w:val="18"/>
              </w:rPr>
            </w:pPr>
          </w:p>
          <w:p w:rsidR="002C1FE6" w:rsidRPr="002C1FE6" w:rsidRDefault="002C1FE6" w:rsidP="002C1FE6">
            <w:pPr>
              <w:ind w:right="2"/>
              <w:rPr>
                <w:rFonts w:eastAsia="Calibri"/>
                <w:b/>
                <w:color w:val="000000" w:themeColor="text1"/>
                <w:sz w:val="18"/>
                <w:szCs w:val="18"/>
              </w:rPr>
            </w:pPr>
            <w:r w:rsidRPr="002C1FE6">
              <w:rPr>
                <w:rFonts w:eastAsia="Calibri"/>
                <w:b/>
                <w:color w:val="00B050"/>
                <w:sz w:val="18"/>
                <w:szCs w:val="18"/>
              </w:rPr>
              <w:t>Q # 3:</w:t>
            </w:r>
            <w:r w:rsidRPr="002C1FE6">
              <w:rPr>
                <w:rFonts w:eastAsia="Calibri"/>
                <w:b/>
                <w:color w:val="000000" w:themeColor="text1"/>
                <w:sz w:val="18"/>
                <w:szCs w:val="18"/>
              </w:rPr>
              <w:t xml:space="preserve">  We and other ROs are trying to make sure that we get this tinnitus issue right.  Tinnitus appears to be one of our most claimed conditions.  And, it is also one of our more unusual claims since it is a totally subjective condition for which we grant SC.  Now that it is considered a presumptive condition in all situations, we are hoping to get this guidance as clear as possible.  The guidance provided in the January 2018 Quality Call Transcript seems to only view 3 scenarios.  The 1st is where there is an in-service diagnosis of tinnitus.  In that case the decision maker grants service connection (this would not involve presumptive service connection under 38 CFR 3.307, but would involve direct service connection under 38 CFR 3.303.  The 2nd involves an after service diagnosis of tinnitus within 1 year of discharge.  In that case, the decision maker grants service connection.  The 3rd scenario involves no diagnosis of tinnitus within 1 year of discharge.</w:t>
            </w:r>
          </w:p>
          <w:p w:rsidR="002C1FE6" w:rsidRPr="002C1FE6" w:rsidRDefault="002C1FE6" w:rsidP="002C1FE6">
            <w:pPr>
              <w:ind w:right="-33"/>
              <w:rPr>
                <w:rFonts w:eastAsia="Calibri"/>
                <w:b/>
                <w:color w:val="000000" w:themeColor="text1"/>
                <w:sz w:val="18"/>
                <w:szCs w:val="18"/>
              </w:rPr>
            </w:pPr>
          </w:p>
          <w:p w:rsidR="002C1FE6" w:rsidRPr="002C1FE6" w:rsidRDefault="002C1FE6" w:rsidP="002C1FE6">
            <w:pPr>
              <w:ind w:right="-123"/>
              <w:rPr>
                <w:rFonts w:eastAsia="Calibri"/>
                <w:b/>
                <w:color w:val="000000" w:themeColor="text1"/>
                <w:sz w:val="18"/>
                <w:szCs w:val="18"/>
              </w:rPr>
            </w:pPr>
            <w:r w:rsidRPr="002C1FE6">
              <w:rPr>
                <w:rFonts w:eastAsia="Calibri"/>
                <w:b/>
                <w:color w:val="000000" w:themeColor="text1"/>
                <w:sz w:val="18"/>
                <w:szCs w:val="18"/>
              </w:rPr>
              <w:t>Today’s question is what if there isn’t a diagnosis of tinnitus within 1 year of discharge and, to make it clearer, there isn’t direct or indirect evidence (e.g. Veteran’s MOS has a low probability of noise exposure).  Would the Veteran’s lay evidence, in a claim received more than 1 year after discharge from service, overcome the need for an opinion and support a grant of service connection for tinnitus on the basis of presumption?  Since there is no way to prove the existence of tinnitus other than by subjective complaints of the condition, and the Veteran is competent to describe what he/she is personally experiencing [38 CFR 3.159(a)(2)], then would presumptive service connection for this organic disease of the nervous system be warranted without a medical opinion?</w:t>
            </w:r>
          </w:p>
          <w:p w:rsidR="002C1FE6" w:rsidRPr="002C1FE6" w:rsidRDefault="002C1FE6" w:rsidP="002C1FE6">
            <w:pPr>
              <w:rPr>
                <w:rFonts w:eastAsia="Calibri"/>
                <w:b/>
                <w:color w:val="000000" w:themeColor="text1"/>
                <w:sz w:val="18"/>
                <w:szCs w:val="18"/>
              </w:rPr>
            </w:pPr>
            <w:r w:rsidRPr="002C1FE6">
              <w:rPr>
                <w:rFonts w:eastAsia="Calibri"/>
                <w:b/>
                <w:color w:val="000000" w:themeColor="text1"/>
                <w:sz w:val="18"/>
                <w:szCs w:val="18"/>
              </w:rPr>
              <w:br w:type="page"/>
            </w:r>
          </w:p>
          <w:p w:rsidR="002C1FE6" w:rsidRPr="002C1FE6" w:rsidRDefault="002C1FE6" w:rsidP="002C1FE6">
            <w:pPr>
              <w:ind w:right="-33"/>
              <w:rPr>
                <w:rFonts w:eastAsia="Calibri"/>
                <w:color w:val="000000" w:themeColor="text1"/>
                <w:sz w:val="18"/>
                <w:szCs w:val="18"/>
              </w:rPr>
            </w:pPr>
            <w:r w:rsidRPr="002C1FE6">
              <w:rPr>
                <w:rFonts w:eastAsia="Calibri"/>
                <w:b/>
                <w:color w:val="000000" w:themeColor="text1"/>
                <w:sz w:val="18"/>
                <w:szCs w:val="18"/>
              </w:rPr>
              <w:t>Note that for any other claim involving a presumptive condition [3.309(a)], there has to be objective evidence that the condition manifested to a compensable degree within the applicable time period.  For example, a Veteran couldn’t say that his diabetes mellitus Type II was either diagnosed within 1 year following discharge from service or that it manifested to a compensable degree within 1 year of discharge from service and, based upon that statement, VA would grant SC on a presumptive basis.  We would be required to develop for the medical records showing that the condition was diagnosed within 1 year following discharge from service or for the medical records showing symptoms developed within 1 year following discharge from service and a medical opinion relating a diagnosis of diabetes to those symptoms.  However, if there are no medical or other records showing tinnitus symptoms within 1 year following discharge from service, do we still require a medical opinion?</w:t>
            </w:r>
          </w:p>
          <w:p w:rsidR="002C1FE6" w:rsidRPr="002C1FE6" w:rsidRDefault="002C1FE6" w:rsidP="002C1FE6">
            <w:pPr>
              <w:ind w:right="-33"/>
              <w:rPr>
                <w:rFonts w:eastAsia="Calibri"/>
                <w:color w:val="000000" w:themeColor="text1"/>
                <w:sz w:val="18"/>
                <w:szCs w:val="18"/>
              </w:rPr>
            </w:pPr>
          </w:p>
          <w:p w:rsidR="002C1FE6" w:rsidRDefault="002C1FE6" w:rsidP="002C1FE6">
            <w:pPr>
              <w:ind w:right="-33"/>
              <w:rPr>
                <w:rFonts w:eastAsia="Calibri"/>
                <w:color w:val="000000" w:themeColor="text1"/>
                <w:sz w:val="18"/>
                <w:szCs w:val="18"/>
              </w:rPr>
            </w:pPr>
            <w:r w:rsidRPr="002C1FE6">
              <w:rPr>
                <w:rFonts w:eastAsia="Calibri"/>
                <w:b/>
                <w:color w:val="00B050"/>
                <w:sz w:val="18"/>
                <w:szCs w:val="18"/>
              </w:rPr>
              <w:t>A # 3:</w:t>
            </w:r>
            <w:r w:rsidRPr="002C1FE6">
              <w:rPr>
                <w:rFonts w:eastAsia="Calibri"/>
                <w:color w:val="000000" w:themeColor="text1"/>
                <w:sz w:val="18"/>
                <w:szCs w:val="18"/>
              </w:rPr>
              <w:t xml:space="preserve">  If the Veteran submitted his/her claim for tinnitus more than a year after discharge, a medical opinion is needed.  For example, the Veteran was discharged on 01/01/2017.  He submitted a claim for tinnitus on 03/13/2018.  The service records, private medical records, and VA medical records are negative for a diagnosis, symptoms, and complaints.  The only indirect evidence is a low probability MOS.  Though the MOS concedes the in-service event, the other two criteria (diagnosis and link) are still needed.  The claims processor must order an examination and medical opinion.  If the examiner reports a current, formal diagnosis of tinnitus and provides a positive link between the diagnosis and the MOS, the decision maker must grant service connection on a direct basis.</w:t>
            </w:r>
          </w:p>
          <w:p w:rsidR="002C1FE6" w:rsidRDefault="002C1FE6" w:rsidP="002C1FE6">
            <w:pPr>
              <w:ind w:right="-33"/>
              <w:rPr>
                <w:rFonts w:eastAsia="Calibri"/>
                <w:color w:val="000000" w:themeColor="text1"/>
                <w:sz w:val="18"/>
                <w:szCs w:val="18"/>
              </w:rPr>
            </w:pPr>
          </w:p>
          <w:p w:rsidR="002C1FE6" w:rsidRPr="002C1FE6" w:rsidRDefault="002C1FE6" w:rsidP="002C1FE6">
            <w:pPr>
              <w:ind w:right="-33"/>
              <w:rPr>
                <w:rFonts w:eastAsia="Calibri"/>
                <w:color w:val="000000" w:themeColor="text1"/>
                <w:sz w:val="18"/>
              </w:rPr>
            </w:pPr>
            <w:r w:rsidRPr="002C1FE6">
              <w:rPr>
                <w:rFonts w:eastAsia="Calibri"/>
                <w:color w:val="000000" w:themeColor="text1"/>
                <w:sz w:val="18"/>
              </w:rPr>
              <w:t>Appendix A:</w:t>
            </w:r>
          </w:p>
          <w:p w:rsidR="002C1FE6" w:rsidRPr="002C1FE6" w:rsidRDefault="002C1FE6" w:rsidP="002C1FE6">
            <w:pPr>
              <w:ind w:right="-33"/>
              <w:rPr>
                <w:rFonts w:eastAsia="Calibri"/>
                <w:color w:val="000000" w:themeColor="text1"/>
                <w:sz w:val="18"/>
              </w:rPr>
            </w:pPr>
          </w:p>
          <w:p w:rsidR="002C1FE6" w:rsidRPr="002C1FE6" w:rsidRDefault="002C1FE6" w:rsidP="002C1FE6">
            <w:pPr>
              <w:ind w:right="-33"/>
              <w:rPr>
                <w:rFonts w:eastAsia="Calibri"/>
                <w:color w:val="000000" w:themeColor="text1"/>
                <w:sz w:val="18"/>
              </w:rPr>
            </w:pPr>
            <w:r w:rsidRPr="002C1FE6">
              <w:rPr>
                <w:rFonts w:eastAsia="Calibri"/>
                <w:color w:val="000000" w:themeColor="text1"/>
                <w:sz w:val="18"/>
              </w:rPr>
              <w:t>III.iv.5.C.4.b - Facts:  The Veteran was discharged June 22, 2016.  He submitted a claim for SC for hypertension on May 12, 2017.  STRs show no evidence of treatment for or diagnosis of hypertension during service.  Private treatment records show that the hypertension first manifested to a compensable degree on March 19, 2017.</w:t>
            </w:r>
          </w:p>
          <w:p w:rsidR="002C1FE6" w:rsidRPr="002C1FE6" w:rsidRDefault="002C1FE6" w:rsidP="002C1FE6">
            <w:pPr>
              <w:ind w:right="-33"/>
              <w:rPr>
                <w:rFonts w:eastAsia="Calibri"/>
                <w:color w:val="000000" w:themeColor="text1"/>
                <w:sz w:val="18"/>
              </w:rPr>
            </w:pPr>
          </w:p>
          <w:p w:rsidR="002C1FE6" w:rsidRPr="002C1FE6" w:rsidRDefault="002C1FE6" w:rsidP="002C1FE6">
            <w:pPr>
              <w:ind w:right="-33"/>
              <w:rPr>
                <w:rFonts w:eastAsia="Calibri"/>
                <w:color w:val="000000" w:themeColor="text1"/>
                <w:sz w:val="18"/>
              </w:rPr>
            </w:pPr>
            <w:r w:rsidRPr="002C1FE6">
              <w:rPr>
                <w:rFonts w:eastAsia="Calibri"/>
                <w:color w:val="000000" w:themeColor="text1"/>
                <w:sz w:val="18"/>
              </w:rPr>
              <w:t>Analysis:  The claim for SC was received within one year of release from active duty, but the requirements for SC were not met during service.  Thus, the effective date is the date entitlement arose, which is the date hypertension was first diagnosed, March 19, 2017.</w:t>
            </w:r>
          </w:p>
          <w:p w:rsidR="002C1FE6" w:rsidRPr="002C1FE6" w:rsidRDefault="002C1FE6" w:rsidP="002C1FE6">
            <w:pPr>
              <w:ind w:right="-33"/>
              <w:rPr>
                <w:rFonts w:eastAsia="Calibri"/>
                <w:color w:val="000000" w:themeColor="text1"/>
                <w:sz w:val="18"/>
              </w:rPr>
            </w:pPr>
          </w:p>
          <w:p w:rsidR="002C1FE6" w:rsidRPr="002C1FE6" w:rsidRDefault="002C1FE6" w:rsidP="002C1FE6">
            <w:pPr>
              <w:ind w:right="-33"/>
              <w:rPr>
                <w:rFonts w:eastAsia="Calibri"/>
                <w:color w:val="000000" w:themeColor="text1"/>
                <w:sz w:val="18"/>
              </w:rPr>
            </w:pPr>
            <w:r w:rsidRPr="002C1FE6">
              <w:rPr>
                <w:rFonts w:eastAsia="Calibri"/>
                <w:color w:val="000000" w:themeColor="text1"/>
                <w:sz w:val="18"/>
              </w:rPr>
              <w:t>Appendix B:</w:t>
            </w:r>
          </w:p>
          <w:p w:rsidR="002C1FE6" w:rsidRPr="002C1FE6" w:rsidRDefault="002C1FE6" w:rsidP="002C1FE6">
            <w:pPr>
              <w:ind w:right="-33"/>
              <w:rPr>
                <w:rFonts w:eastAsia="Calibri"/>
                <w:color w:val="000000" w:themeColor="text1"/>
                <w:sz w:val="18"/>
              </w:rPr>
            </w:pPr>
          </w:p>
          <w:p w:rsidR="002C1FE6" w:rsidRPr="002C1FE6" w:rsidRDefault="002C1FE6" w:rsidP="002C1FE6">
            <w:pPr>
              <w:ind w:right="-33"/>
              <w:rPr>
                <w:rFonts w:eastAsia="Calibri"/>
                <w:color w:val="000000" w:themeColor="text1"/>
                <w:sz w:val="18"/>
              </w:rPr>
            </w:pPr>
            <w:r w:rsidRPr="002C1FE6">
              <w:rPr>
                <w:rFonts w:eastAsia="Calibri"/>
                <w:color w:val="000000" w:themeColor="text1"/>
                <w:sz w:val="18"/>
              </w:rPr>
              <w:t>III.iv.5.C.1.d  - Example 2:  A Veteran claims SC for elevated blood sugar due to possible diabetes on October 8, 2014, associated with confirmed Vietnam service.  Private treatment records are requested and received showing that his blood sugars were first slightly elevated in June 2013, and the records document continued monitoring thereafter.  A VA examination dated January 3, 2015, indicates a diagnosis of type 2 diabetes mellitus, and the physician notes that the diagnostic criteria for diabetes were first met as shown in the private treatment records on November 13, 2014, when blood sugars and other testing met the American Diabetes Association criteria for a diabetes diagnosis, as the documented symptoms prior to that time were not sufficient for a diagnosis.</w:t>
            </w:r>
          </w:p>
          <w:p w:rsidR="002C1FE6" w:rsidRPr="00E912A9" w:rsidRDefault="002C1FE6" w:rsidP="002C1FE6">
            <w:pPr>
              <w:ind w:right="-33"/>
              <w:rPr>
                <w:color w:val="000000" w:themeColor="text1"/>
              </w:rPr>
            </w:pPr>
          </w:p>
        </w:tc>
        <w:tc>
          <w:tcPr>
            <w:tcW w:w="3486" w:type="dxa"/>
          </w:tcPr>
          <w:p w:rsidR="00013EB8" w:rsidRDefault="0050643F" w:rsidP="00691CAF">
            <w:pPr>
              <w:widowControl w:val="0"/>
              <w:numPr>
                <w:ilvl w:val="12"/>
                <w:numId w:val="0"/>
              </w:numPr>
              <w:rPr>
                <w:sz w:val="18"/>
              </w:rPr>
            </w:pPr>
            <w:r w:rsidRPr="00391CC3">
              <w:rPr>
                <w:sz w:val="18"/>
                <w:szCs w:val="18"/>
              </w:rPr>
              <w:t xml:space="preserve">6012/6013, </w:t>
            </w:r>
            <w:r>
              <w:rPr>
                <w:sz w:val="18"/>
              </w:rPr>
              <w:t xml:space="preserve">6100, </w:t>
            </w:r>
            <w:r w:rsidR="00013EB8">
              <w:rPr>
                <w:sz w:val="18"/>
              </w:rPr>
              <w:t>8003, 8007, 8011, 8012, 8013, 8014, 8015, 8019, 8020, 8022, 8045, 8046</w:t>
            </w:r>
            <w:r>
              <w:rPr>
                <w:sz w:val="18"/>
              </w:rPr>
              <w:t xml:space="preserve">, 8100, </w:t>
            </w:r>
            <w:r w:rsidR="00E87213">
              <w:rPr>
                <w:sz w:val="18"/>
              </w:rPr>
              <w:t>8205/</w:t>
            </w:r>
            <w:r w:rsidR="00691CAF">
              <w:rPr>
                <w:sz w:val="18"/>
              </w:rPr>
              <w:t>8305/8405, 8207/8307/8407, 8209/8309/8409, 8210/8310/8410, 8211/8311/8411, 8212/8312/8412</w:t>
            </w:r>
            <w:r w:rsidR="00E87213">
              <w:rPr>
                <w:sz w:val="18"/>
              </w:rPr>
              <w:t>,</w:t>
            </w:r>
            <w:r w:rsidR="00691CAF">
              <w:rPr>
                <w:sz w:val="18"/>
              </w:rPr>
              <w:t xml:space="preserve"> 8510/8610/8710, 8511/8611/8711, 8512/8612/8712, 8513/8613/8713, 8514/8614/8714,</w:t>
            </w:r>
            <w:r w:rsidR="00E87213">
              <w:rPr>
                <w:sz w:val="18"/>
              </w:rPr>
              <w:t xml:space="preserve"> </w:t>
            </w:r>
            <w:r w:rsidR="00391CC3" w:rsidRPr="00391CC3">
              <w:rPr>
                <w:sz w:val="18"/>
                <w:szCs w:val="18"/>
              </w:rPr>
              <w:t xml:space="preserve">8515/8615/8715,  8516/8616/8716, </w:t>
            </w:r>
            <w:r w:rsidR="00691CAF">
              <w:rPr>
                <w:sz w:val="18"/>
                <w:szCs w:val="18"/>
              </w:rPr>
              <w:t xml:space="preserve">8517/8617/8717, 8518/8618/8718, 8519/8619/8719, </w:t>
            </w:r>
            <w:r w:rsidR="00391CC3" w:rsidRPr="00391CC3">
              <w:rPr>
                <w:sz w:val="18"/>
                <w:szCs w:val="18"/>
              </w:rPr>
              <w:t xml:space="preserve">8520/8620/8720, </w:t>
            </w:r>
            <w:r w:rsidR="00691CAF" w:rsidRPr="00391CC3">
              <w:rPr>
                <w:sz w:val="18"/>
                <w:szCs w:val="18"/>
              </w:rPr>
              <w:t>852</w:t>
            </w:r>
            <w:r w:rsidR="00691CAF">
              <w:rPr>
                <w:sz w:val="18"/>
                <w:szCs w:val="18"/>
              </w:rPr>
              <w:t>1/8621</w:t>
            </w:r>
            <w:r w:rsidR="00691CAF" w:rsidRPr="00391CC3">
              <w:rPr>
                <w:sz w:val="18"/>
                <w:szCs w:val="18"/>
              </w:rPr>
              <w:t>/872</w:t>
            </w:r>
            <w:r w:rsidR="00691CAF">
              <w:rPr>
                <w:sz w:val="18"/>
                <w:szCs w:val="18"/>
              </w:rPr>
              <w:t xml:space="preserve">1, </w:t>
            </w:r>
            <w:r w:rsidR="00691CAF" w:rsidRPr="00391CC3">
              <w:rPr>
                <w:sz w:val="18"/>
                <w:szCs w:val="18"/>
              </w:rPr>
              <w:t>852</w:t>
            </w:r>
            <w:r w:rsidR="00691CAF">
              <w:rPr>
                <w:sz w:val="18"/>
                <w:szCs w:val="18"/>
              </w:rPr>
              <w:t>2</w:t>
            </w:r>
            <w:r w:rsidR="00691CAF" w:rsidRPr="00391CC3">
              <w:rPr>
                <w:sz w:val="18"/>
                <w:szCs w:val="18"/>
              </w:rPr>
              <w:t>/862</w:t>
            </w:r>
            <w:r w:rsidR="00691CAF">
              <w:rPr>
                <w:sz w:val="18"/>
                <w:szCs w:val="18"/>
              </w:rPr>
              <w:t>2</w:t>
            </w:r>
            <w:r w:rsidR="00691CAF" w:rsidRPr="00391CC3">
              <w:rPr>
                <w:sz w:val="18"/>
                <w:szCs w:val="18"/>
              </w:rPr>
              <w:t>/872</w:t>
            </w:r>
            <w:r w:rsidR="00691CAF">
              <w:rPr>
                <w:sz w:val="18"/>
                <w:szCs w:val="18"/>
              </w:rPr>
              <w:t xml:space="preserve">2, </w:t>
            </w:r>
            <w:r w:rsidR="00691CAF" w:rsidRPr="00391CC3">
              <w:rPr>
                <w:sz w:val="18"/>
                <w:szCs w:val="18"/>
              </w:rPr>
              <w:t>852</w:t>
            </w:r>
            <w:r w:rsidR="00691CAF">
              <w:rPr>
                <w:sz w:val="18"/>
                <w:szCs w:val="18"/>
              </w:rPr>
              <w:t>3</w:t>
            </w:r>
            <w:r w:rsidR="00691CAF" w:rsidRPr="00391CC3">
              <w:rPr>
                <w:sz w:val="18"/>
                <w:szCs w:val="18"/>
              </w:rPr>
              <w:t>/862</w:t>
            </w:r>
            <w:r w:rsidR="00691CAF">
              <w:rPr>
                <w:sz w:val="18"/>
                <w:szCs w:val="18"/>
              </w:rPr>
              <w:t>3</w:t>
            </w:r>
            <w:r w:rsidR="00691CAF" w:rsidRPr="00391CC3">
              <w:rPr>
                <w:sz w:val="18"/>
                <w:szCs w:val="18"/>
              </w:rPr>
              <w:t>/872</w:t>
            </w:r>
            <w:r w:rsidR="00691CAF">
              <w:rPr>
                <w:sz w:val="18"/>
                <w:szCs w:val="18"/>
              </w:rPr>
              <w:t>3, 8524</w:t>
            </w:r>
            <w:r w:rsidR="00691CAF" w:rsidRPr="00391CC3">
              <w:rPr>
                <w:sz w:val="18"/>
                <w:szCs w:val="18"/>
              </w:rPr>
              <w:t>/862</w:t>
            </w:r>
            <w:r w:rsidR="00691CAF">
              <w:rPr>
                <w:sz w:val="18"/>
                <w:szCs w:val="18"/>
              </w:rPr>
              <w:t>4</w:t>
            </w:r>
            <w:r w:rsidR="00691CAF" w:rsidRPr="00391CC3">
              <w:rPr>
                <w:sz w:val="18"/>
                <w:szCs w:val="18"/>
              </w:rPr>
              <w:t>/872</w:t>
            </w:r>
            <w:r w:rsidR="00691CAF">
              <w:rPr>
                <w:sz w:val="18"/>
                <w:szCs w:val="18"/>
              </w:rPr>
              <w:t xml:space="preserve">4, </w:t>
            </w:r>
            <w:r w:rsidR="00691CAF" w:rsidRPr="00391CC3">
              <w:rPr>
                <w:sz w:val="18"/>
                <w:szCs w:val="18"/>
              </w:rPr>
              <w:t>852</w:t>
            </w:r>
            <w:r w:rsidR="00691CAF">
              <w:rPr>
                <w:sz w:val="18"/>
                <w:szCs w:val="18"/>
              </w:rPr>
              <w:t>5/8625</w:t>
            </w:r>
            <w:r w:rsidR="00691CAF" w:rsidRPr="00391CC3">
              <w:rPr>
                <w:sz w:val="18"/>
                <w:szCs w:val="18"/>
              </w:rPr>
              <w:t>/872</w:t>
            </w:r>
            <w:r w:rsidR="00691CAF">
              <w:rPr>
                <w:sz w:val="18"/>
                <w:szCs w:val="18"/>
              </w:rPr>
              <w:t xml:space="preserve">5, </w:t>
            </w:r>
            <w:r w:rsidR="00391CC3" w:rsidRPr="00391CC3">
              <w:rPr>
                <w:sz w:val="18"/>
                <w:szCs w:val="18"/>
              </w:rPr>
              <w:t>8526/8626/8726</w:t>
            </w:r>
            <w:r w:rsidR="00691CAF">
              <w:rPr>
                <w:sz w:val="18"/>
                <w:szCs w:val="18"/>
              </w:rPr>
              <w:t xml:space="preserve">, </w:t>
            </w:r>
            <w:r w:rsidR="00691CAF" w:rsidRPr="00391CC3">
              <w:rPr>
                <w:sz w:val="18"/>
                <w:szCs w:val="18"/>
              </w:rPr>
              <w:t>852</w:t>
            </w:r>
            <w:r w:rsidR="00691CAF">
              <w:rPr>
                <w:sz w:val="18"/>
                <w:szCs w:val="18"/>
              </w:rPr>
              <w:t>7</w:t>
            </w:r>
            <w:r w:rsidR="00691CAF" w:rsidRPr="00391CC3">
              <w:rPr>
                <w:sz w:val="18"/>
                <w:szCs w:val="18"/>
              </w:rPr>
              <w:t>/862</w:t>
            </w:r>
            <w:r w:rsidR="00691CAF">
              <w:rPr>
                <w:sz w:val="18"/>
                <w:szCs w:val="18"/>
              </w:rPr>
              <w:t>7</w:t>
            </w:r>
            <w:r w:rsidR="00691CAF" w:rsidRPr="00391CC3">
              <w:rPr>
                <w:sz w:val="18"/>
                <w:szCs w:val="18"/>
              </w:rPr>
              <w:t>/872</w:t>
            </w:r>
            <w:r w:rsidR="00691CAF">
              <w:rPr>
                <w:sz w:val="18"/>
                <w:szCs w:val="18"/>
              </w:rPr>
              <w:t>7</w:t>
            </w:r>
            <w:r w:rsidR="00691CAF">
              <w:rPr>
                <w:sz w:val="18"/>
              </w:rPr>
              <w:t xml:space="preserve">, </w:t>
            </w:r>
            <w:r w:rsidR="00691CAF">
              <w:rPr>
                <w:sz w:val="18"/>
                <w:szCs w:val="18"/>
              </w:rPr>
              <w:t>8528</w:t>
            </w:r>
            <w:r w:rsidR="00691CAF" w:rsidRPr="00391CC3">
              <w:rPr>
                <w:sz w:val="18"/>
                <w:szCs w:val="18"/>
              </w:rPr>
              <w:t>/862</w:t>
            </w:r>
            <w:r w:rsidR="00691CAF">
              <w:rPr>
                <w:sz w:val="18"/>
                <w:szCs w:val="18"/>
              </w:rPr>
              <w:t>8</w:t>
            </w:r>
            <w:r w:rsidR="00691CAF" w:rsidRPr="00391CC3">
              <w:rPr>
                <w:sz w:val="18"/>
                <w:szCs w:val="18"/>
              </w:rPr>
              <w:t>/872</w:t>
            </w:r>
            <w:r w:rsidR="00691CAF">
              <w:rPr>
                <w:sz w:val="18"/>
                <w:szCs w:val="18"/>
              </w:rPr>
              <w:t xml:space="preserve">8, </w:t>
            </w:r>
            <w:r w:rsidR="00691CAF" w:rsidRPr="00391CC3">
              <w:rPr>
                <w:sz w:val="18"/>
                <w:szCs w:val="18"/>
              </w:rPr>
              <w:t>852</w:t>
            </w:r>
            <w:r w:rsidR="00691CAF">
              <w:rPr>
                <w:sz w:val="18"/>
                <w:szCs w:val="18"/>
              </w:rPr>
              <w:t>9/8620</w:t>
            </w:r>
            <w:r w:rsidR="00691CAF" w:rsidRPr="00391CC3">
              <w:rPr>
                <w:sz w:val="18"/>
                <w:szCs w:val="18"/>
              </w:rPr>
              <w:t>/872</w:t>
            </w:r>
            <w:r w:rsidR="00691CAF">
              <w:rPr>
                <w:sz w:val="18"/>
                <w:szCs w:val="18"/>
              </w:rPr>
              <w:t>9, 853</w:t>
            </w:r>
            <w:r w:rsidR="00691CAF" w:rsidRPr="00391CC3">
              <w:rPr>
                <w:sz w:val="18"/>
                <w:szCs w:val="18"/>
              </w:rPr>
              <w:t>0</w:t>
            </w:r>
            <w:r w:rsidR="00691CAF">
              <w:rPr>
                <w:sz w:val="18"/>
                <w:szCs w:val="18"/>
              </w:rPr>
              <w:t>/863</w:t>
            </w:r>
            <w:r w:rsidR="00691CAF" w:rsidRPr="00391CC3">
              <w:rPr>
                <w:sz w:val="18"/>
                <w:szCs w:val="18"/>
              </w:rPr>
              <w:t>0/87</w:t>
            </w:r>
            <w:r w:rsidR="00691CAF">
              <w:rPr>
                <w:sz w:val="18"/>
                <w:szCs w:val="18"/>
              </w:rPr>
              <w:t>3</w:t>
            </w:r>
            <w:r w:rsidR="00691CAF" w:rsidRPr="00391CC3">
              <w:rPr>
                <w:sz w:val="18"/>
                <w:szCs w:val="18"/>
              </w:rPr>
              <w:t>0</w:t>
            </w:r>
          </w:p>
        </w:tc>
      </w:tr>
      <w:tr w:rsidR="00013EB8">
        <w:trPr>
          <w:trHeight w:val="181"/>
        </w:trPr>
        <w:tc>
          <w:tcPr>
            <w:tcW w:w="7508" w:type="dxa"/>
          </w:tcPr>
          <w:p w:rsidR="00013EB8" w:rsidRDefault="00013EB8">
            <w:pPr>
              <w:widowControl w:val="0"/>
              <w:numPr>
                <w:ilvl w:val="12"/>
                <w:numId w:val="0"/>
              </w:numPr>
              <w:rPr>
                <w:sz w:val="18"/>
              </w:rPr>
            </w:pPr>
            <w:r>
              <w:rPr>
                <w:sz w:val="18"/>
              </w:rPr>
              <w:t>Osteitis deformans (Paget’s disease)</w:t>
            </w:r>
          </w:p>
        </w:tc>
        <w:tc>
          <w:tcPr>
            <w:tcW w:w="3486" w:type="dxa"/>
          </w:tcPr>
          <w:p w:rsidR="00013EB8" w:rsidRDefault="00013EB8">
            <w:pPr>
              <w:widowControl w:val="0"/>
              <w:numPr>
                <w:ilvl w:val="12"/>
                <w:numId w:val="0"/>
              </w:numPr>
              <w:rPr>
                <w:sz w:val="18"/>
              </w:rPr>
            </w:pPr>
            <w:r>
              <w:rPr>
                <w:sz w:val="18"/>
              </w:rPr>
              <w:t>5016</w:t>
            </w:r>
          </w:p>
        </w:tc>
      </w:tr>
      <w:tr w:rsidR="00013EB8">
        <w:trPr>
          <w:trHeight w:val="181"/>
        </w:trPr>
        <w:tc>
          <w:tcPr>
            <w:tcW w:w="7508" w:type="dxa"/>
          </w:tcPr>
          <w:p w:rsidR="00013EB8" w:rsidRDefault="00013EB8">
            <w:pPr>
              <w:widowControl w:val="0"/>
              <w:numPr>
                <w:ilvl w:val="12"/>
                <w:numId w:val="0"/>
              </w:numPr>
              <w:rPr>
                <w:sz w:val="18"/>
              </w:rPr>
            </w:pPr>
            <w:r>
              <w:rPr>
                <w:sz w:val="18"/>
              </w:rPr>
              <w:t>Osteomalacia</w:t>
            </w:r>
          </w:p>
        </w:tc>
        <w:tc>
          <w:tcPr>
            <w:tcW w:w="3486" w:type="dxa"/>
          </w:tcPr>
          <w:p w:rsidR="00013EB8" w:rsidRDefault="00013EB8">
            <w:pPr>
              <w:widowControl w:val="0"/>
              <w:numPr>
                <w:ilvl w:val="12"/>
                <w:numId w:val="0"/>
              </w:numPr>
              <w:rPr>
                <w:sz w:val="18"/>
              </w:rPr>
            </w:pPr>
            <w:r>
              <w:rPr>
                <w:sz w:val="18"/>
              </w:rPr>
              <w:t>5014</w:t>
            </w:r>
          </w:p>
        </w:tc>
      </w:tr>
      <w:tr w:rsidR="00013EB8">
        <w:trPr>
          <w:trHeight w:val="181"/>
        </w:trPr>
        <w:tc>
          <w:tcPr>
            <w:tcW w:w="7508" w:type="dxa"/>
          </w:tcPr>
          <w:p w:rsidR="00013EB8" w:rsidRDefault="00013EB8">
            <w:pPr>
              <w:widowControl w:val="0"/>
              <w:numPr>
                <w:ilvl w:val="12"/>
                <w:numId w:val="0"/>
              </w:numPr>
              <w:rPr>
                <w:sz w:val="18"/>
              </w:rPr>
            </w:pPr>
            <w:r>
              <w:rPr>
                <w:sz w:val="18"/>
              </w:rPr>
              <w:t>Palsy, bulbar</w:t>
            </w:r>
          </w:p>
        </w:tc>
        <w:tc>
          <w:tcPr>
            <w:tcW w:w="3486" w:type="dxa"/>
          </w:tcPr>
          <w:p w:rsidR="00013EB8" w:rsidRDefault="00013EB8">
            <w:pPr>
              <w:widowControl w:val="0"/>
              <w:numPr>
                <w:ilvl w:val="12"/>
                <w:numId w:val="0"/>
              </w:numPr>
              <w:rPr>
                <w:sz w:val="18"/>
              </w:rPr>
            </w:pPr>
            <w:r>
              <w:rPr>
                <w:sz w:val="18"/>
              </w:rPr>
              <w:t>8005</w:t>
            </w:r>
          </w:p>
        </w:tc>
      </w:tr>
      <w:tr w:rsidR="00013EB8">
        <w:trPr>
          <w:trHeight w:val="181"/>
        </w:trPr>
        <w:tc>
          <w:tcPr>
            <w:tcW w:w="7508" w:type="dxa"/>
          </w:tcPr>
          <w:p w:rsidR="00013EB8" w:rsidRDefault="00013EB8">
            <w:pPr>
              <w:widowControl w:val="0"/>
              <w:numPr>
                <w:ilvl w:val="12"/>
                <w:numId w:val="0"/>
              </w:numPr>
              <w:rPr>
                <w:sz w:val="18"/>
              </w:rPr>
            </w:pPr>
            <w:r>
              <w:rPr>
                <w:sz w:val="18"/>
              </w:rPr>
              <w:t>Paralysis agitans</w:t>
            </w:r>
          </w:p>
        </w:tc>
        <w:tc>
          <w:tcPr>
            <w:tcW w:w="3486" w:type="dxa"/>
          </w:tcPr>
          <w:p w:rsidR="00013EB8" w:rsidRDefault="00013EB8">
            <w:pPr>
              <w:widowControl w:val="0"/>
              <w:numPr>
                <w:ilvl w:val="12"/>
                <w:numId w:val="0"/>
              </w:numPr>
              <w:rPr>
                <w:sz w:val="18"/>
              </w:rPr>
            </w:pPr>
            <w:r w:rsidRPr="008E5C3A">
              <w:rPr>
                <w:sz w:val="18"/>
              </w:rPr>
              <w:t>8004</w:t>
            </w:r>
          </w:p>
        </w:tc>
      </w:tr>
      <w:tr w:rsidR="00013EB8">
        <w:trPr>
          <w:trHeight w:val="181"/>
        </w:trPr>
        <w:tc>
          <w:tcPr>
            <w:tcW w:w="7508" w:type="dxa"/>
          </w:tcPr>
          <w:p w:rsidR="00013EB8" w:rsidRDefault="00013EB8">
            <w:pPr>
              <w:widowControl w:val="0"/>
              <w:numPr>
                <w:ilvl w:val="12"/>
                <w:numId w:val="0"/>
              </w:numPr>
              <w:rPr>
                <w:sz w:val="18"/>
              </w:rPr>
            </w:pPr>
            <w:r>
              <w:rPr>
                <w:sz w:val="18"/>
              </w:rPr>
              <w:t>Psychoses</w:t>
            </w:r>
          </w:p>
        </w:tc>
        <w:tc>
          <w:tcPr>
            <w:tcW w:w="3486" w:type="dxa"/>
          </w:tcPr>
          <w:p w:rsidR="00013EB8" w:rsidRDefault="00013EB8" w:rsidP="00A74233">
            <w:pPr>
              <w:widowControl w:val="0"/>
              <w:numPr>
                <w:ilvl w:val="12"/>
                <w:numId w:val="0"/>
              </w:numPr>
              <w:rPr>
                <w:sz w:val="18"/>
              </w:rPr>
            </w:pPr>
            <w:r>
              <w:rPr>
                <w:sz w:val="18"/>
              </w:rPr>
              <w:t>9201</w:t>
            </w:r>
            <w:r w:rsidR="00F776DB">
              <w:rPr>
                <w:sz w:val="18"/>
              </w:rPr>
              <w:t>, 9208, 921</w:t>
            </w:r>
            <w:r w:rsidR="00A74233">
              <w:rPr>
                <w:sz w:val="18"/>
              </w:rPr>
              <w:t>0,</w:t>
            </w:r>
            <w:r>
              <w:rPr>
                <w:sz w:val="18"/>
              </w:rPr>
              <w:t xml:space="preserve"> 9211</w:t>
            </w:r>
          </w:p>
        </w:tc>
      </w:tr>
      <w:tr w:rsidR="00013EB8">
        <w:trPr>
          <w:trHeight w:val="181"/>
        </w:trPr>
        <w:tc>
          <w:tcPr>
            <w:tcW w:w="7508" w:type="dxa"/>
          </w:tcPr>
          <w:p w:rsidR="00013EB8" w:rsidRDefault="00013EB8">
            <w:pPr>
              <w:widowControl w:val="0"/>
              <w:numPr>
                <w:ilvl w:val="12"/>
                <w:numId w:val="0"/>
              </w:numPr>
              <w:rPr>
                <w:sz w:val="18"/>
              </w:rPr>
            </w:pPr>
            <w:r>
              <w:rPr>
                <w:sz w:val="18"/>
              </w:rPr>
              <w:t>Purpura idiopathic, hemorrhagic</w:t>
            </w:r>
            <w:r>
              <w:rPr>
                <w:sz w:val="18"/>
              </w:rPr>
              <w:tab/>
            </w:r>
          </w:p>
        </w:tc>
        <w:tc>
          <w:tcPr>
            <w:tcW w:w="3486" w:type="dxa"/>
          </w:tcPr>
          <w:p w:rsidR="00013EB8" w:rsidRDefault="00A74233">
            <w:pPr>
              <w:widowControl w:val="0"/>
              <w:numPr>
                <w:ilvl w:val="12"/>
                <w:numId w:val="0"/>
              </w:numPr>
              <w:rPr>
                <w:sz w:val="18"/>
              </w:rPr>
            </w:pPr>
            <w:r>
              <w:rPr>
                <w:sz w:val="18"/>
              </w:rPr>
              <w:t>7705</w:t>
            </w:r>
          </w:p>
        </w:tc>
      </w:tr>
      <w:tr w:rsidR="00013EB8">
        <w:trPr>
          <w:trHeight w:val="181"/>
        </w:trPr>
        <w:tc>
          <w:tcPr>
            <w:tcW w:w="7508" w:type="dxa"/>
          </w:tcPr>
          <w:p w:rsidR="00013EB8" w:rsidRDefault="00013EB8">
            <w:pPr>
              <w:widowControl w:val="0"/>
              <w:numPr>
                <w:ilvl w:val="12"/>
                <w:numId w:val="0"/>
              </w:numPr>
              <w:rPr>
                <w:sz w:val="18"/>
              </w:rPr>
            </w:pPr>
            <w:r>
              <w:rPr>
                <w:sz w:val="18"/>
              </w:rPr>
              <w:t>Raynaud’s disease</w:t>
            </w:r>
          </w:p>
        </w:tc>
        <w:tc>
          <w:tcPr>
            <w:tcW w:w="3486" w:type="dxa"/>
          </w:tcPr>
          <w:p w:rsidR="00013EB8" w:rsidRDefault="00013EB8">
            <w:pPr>
              <w:widowControl w:val="0"/>
              <w:numPr>
                <w:ilvl w:val="12"/>
                <w:numId w:val="0"/>
              </w:numPr>
              <w:rPr>
                <w:sz w:val="18"/>
              </w:rPr>
            </w:pPr>
            <w:r>
              <w:rPr>
                <w:sz w:val="18"/>
              </w:rPr>
              <w:t>7117</w:t>
            </w:r>
          </w:p>
        </w:tc>
      </w:tr>
      <w:tr w:rsidR="00013EB8">
        <w:trPr>
          <w:trHeight w:val="181"/>
        </w:trPr>
        <w:tc>
          <w:tcPr>
            <w:tcW w:w="7508" w:type="dxa"/>
          </w:tcPr>
          <w:p w:rsidR="00013EB8" w:rsidRDefault="00013EB8">
            <w:pPr>
              <w:widowControl w:val="0"/>
              <w:numPr>
                <w:ilvl w:val="12"/>
                <w:numId w:val="0"/>
              </w:numPr>
              <w:rPr>
                <w:sz w:val="18"/>
              </w:rPr>
            </w:pPr>
            <w:r w:rsidRPr="006B2A5A">
              <w:rPr>
                <w:sz w:val="18"/>
              </w:rPr>
              <w:t>Sarcoidosis</w:t>
            </w:r>
          </w:p>
        </w:tc>
        <w:tc>
          <w:tcPr>
            <w:tcW w:w="3486" w:type="dxa"/>
          </w:tcPr>
          <w:p w:rsidR="00013EB8" w:rsidRDefault="00013EB8">
            <w:pPr>
              <w:widowControl w:val="0"/>
              <w:numPr>
                <w:ilvl w:val="12"/>
                <w:numId w:val="0"/>
              </w:numPr>
              <w:rPr>
                <w:sz w:val="18"/>
              </w:rPr>
            </w:pPr>
            <w:r>
              <w:rPr>
                <w:sz w:val="18"/>
              </w:rPr>
              <w:t>6846</w:t>
            </w:r>
          </w:p>
        </w:tc>
      </w:tr>
      <w:tr w:rsidR="00013EB8">
        <w:trPr>
          <w:trHeight w:val="181"/>
        </w:trPr>
        <w:tc>
          <w:tcPr>
            <w:tcW w:w="7508" w:type="dxa"/>
          </w:tcPr>
          <w:p w:rsidR="00013EB8" w:rsidRDefault="00013EB8">
            <w:pPr>
              <w:widowControl w:val="0"/>
              <w:numPr>
                <w:ilvl w:val="12"/>
                <w:numId w:val="0"/>
              </w:numPr>
              <w:rPr>
                <w:sz w:val="18"/>
              </w:rPr>
            </w:pPr>
            <w:r>
              <w:rPr>
                <w:sz w:val="18"/>
              </w:rPr>
              <w:t>Scleroderma</w:t>
            </w:r>
          </w:p>
        </w:tc>
        <w:tc>
          <w:tcPr>
            <w:tcW w:w="3486" w:type="dxa"/>
          </w:tcPr>
          <w:p w:rsidR="00013EB8" w:rsidRDefault="00013EB8">
            <w:pPr>
              <w:widowControl w:val="0"/>
              <w:numPr>
                <w:ilvl w:val="12"/>
                <w:numId w:val="0"/>
              </w:numPr>
              <w:rPr>
                <w:sz w:val="18"/>
              </w:rPr>
            </w:pPr>
            <w:r>
              <w:rPr>
                <w:sz w:val="18"/>
              </w:rPr>
              <w:t>7821</w:t>
            </w:r>
            <w:r w:rsidR="00E83696">
              <w:rPr>
                <w:sz w:val="18"/>
              </w:rPr>
              <w:t>-7806</w:t>
            </w:r>
          </w:p>
        </w:tc>
      </w:tr>
      <w:tr w:rsidR="00013EB8">
        <w:trPr>
          <w:trHeight w:val="181"/>
        </w:trPr>
        <w:tc>
          <w:tcPr>
            <w:tcW w:w="7508" w:type="dxa"/>
          </w:tcPr>
          <w:p w:rsidR="00013EB8" w:rsidRPr="00F275C8" w:rsidRDefault="00013EB8">
            <w:pPr>
              <w:widowControl w:val="0"/>
              <w:numPr>
                <w:ilvl w:val="12"/>
                <w:numId w:val="0"/>
              </w:numPr>
              <w:rPr>
                <w:i/>
                <w:iCs/>
                <w:sz w:val="18"/>
                <w:szCs w:val="18"/>
              </w:rPr>
            </w:pPr>
            <w:r>
              <w:rPr>
                <w:sz w:val="18"/>
              </w:rPr>
              <w:t xml:space="preserve">Sclerosis, amyotrophic lateral </w:t>
            </w:r>
            <w:r>
              <w:rPr>
                <w:i/>
                <w:iCs/>
                <w:sz w:val="18"/>
              </w:rPr>
              <w:t>(eff 9/23/08 anytime after service</w:t>
            </w:r>
            <w:r w:rsidR="00F275C8">
              <w:rPr>
                <w:i/>
                <w:iCs/>
                <w:sz w:val="18"/>
              </w:rPr>
              <w:t xml:space="preserve"> if had at least 90 days of service</w:t>
            </w:r>
            <w:r>
              <w:rPr>
                <w:i/>
                <w:iCs/>
                <w:sz w:val="18"/>
              </w:rPr>
              <w:t>)</w:t>
            </w:r>
            <w:r w:rsidR="00F275C8">
              <w:rPr>
                <w:i/>
                <w:iCs/>
                <w:sz w:val="18"/>
              </w:rPr>
              <w:t xml:space="preserve">, </w:t>
            </w:r>
            <w:r w:rsidR="00526485">
              <w:rPr>
                <w:b/>
                <w:bCs/>
                <w:iCs/>
                <w:sz w:val="18"/>
                <w:szCs w:val="18"/>
              </w:rPr>
              <w:t>III.iv.4.N</w:t>
            </w:r>
            <w:r w:rsidR="00F275C8" w:rsidRPr="00F275C8">
              <w:rPr>
                <w:b/>
                <w:bCs/>
                <w:iCs/>
                <w:sz w:val="18"/>
                <w:szCs w:val="18"/>
              </w:rPr>
              <w:t>.6.b</w:t>
            </w:r>
            <w:r w:rsidR="00F275C8">
              <w:rPr>
                <w:bCs/>
                <w:iCs/>
                <w:sz w:val="18"/>
                <w:szCs w:val="18"/>
              </w:rPr>
              <w:t xml:space="preserve"> confirms that</w:t>
            </w:r>
            <w:r w:rsidR="00F275C8" w:rsidRPr="00F275C8">
              <w:rPr>
                <w:bCs/>
                <w:iCs/>
                <w:sz w:val="18"/>
                <w:szCs w:val="18"/>
              </w:rPr>
              <w:t xml:space="preserve"> 3.114 applies</w:t>
            </w:r>
          </w:p>
          <w:p w:rsidR="00013EB8" w:rsidRDefault="00013EB8" w:rsidP="00333C92">
            <w:pPr>
              <w:widowControl w:val="0"/>
              <w:numPr>
                <w:ilvl w:val="0"/>
                <w:numId w:val="53"/>
              </w:numPr>
              <w:tabs>
                <w:tab w:val="clear" w:pos="720"/>
                <w:tab w:val="num" w:pos="300"/>
              </w:tabs>
              <w:ind w:left="300"/>
              <w:rPr>
                <w:b/>
                <w:bCs/>
                <w:i/>
                <w:iCs/>
                <w:sz w:val="18"/>
              </w:rPr>
            </w:pPr>
            <w:r w:rsidRPr="008E5C3A">
              <w:rPr>
                <w:b/>
                <w:bCs/>
                <w:i/>
                <w:iCs/>
                <w:sz w:val="18"/>
              </w:rPr>
              <w:t>3.318</w:t>
            </w:r>
          </w:p>
          <w:p w:rsidR="00F10930" w:rsidRPr="000D4F70" w:rsidRDefault="00526485" w:rsidP="00333C92">
            <w:pPr>
              <w:widowControl w:val="0"/>
              <w:numPr>
                <w:ilvl w:val="0"/>
                <w:numId w:val="53"/>
              </w:numPr>
              <w:tabs>
                <w:tab w:val="clear" w:pos="720"/>
                <w:tab w:val="num" w:pos="300"/>
              </w:tabs>
              <w:ind w:left="300"/>
              <w:rPr>
                <w:b/>
                <w:bCs/>
                <w:i/>
                <w:iCs/>
                <w:sz w:val="18"/>
              </w:rPr>
            </w:pPr>
            <w:r>
              <w:rPr>
                <w:b/>
                <w:bCs/>
                <w:iCs/>
                <w:sz w:val="18"/>
                <w:szCs w:val="18"/>
              </w:rPr>
              <w:t>III.iv.4.N</w:t>
            </w:r>
            <w:r w:rsidR="00F10930" w:rsidRPr="00F275C8">
              <w:rPr>
                <w:b/>
                <w:bCs/>
                <w:iCs/>
                <w:sz w:val="18"/>
                <w:szCs w:val="18"/>
              </w:rPr>
              <w:t>.6.b</w:t>
            </w:r>
            <w:r w:rsidR="00F10930">
              <w:rPr>
                <w:bCs/>
                <w:iCs/>
                <w:sz w:val="18"/>
                <w:szCs w:val="18"/>
              </w:rPr>
              <w:t xml:space="preserve"> – primary lateral sclerosis (PLS) excluded</w:t>
            </w:r>
          </w:p>
        </w:tc>
        <w:tc>
          <w:tcPr>
            <w:tcW w:w="3486" w:type="dxa"/>
          </w:tcPr>
          <w:p w:rsidR="00013EB8" w:rsidRDefault="00013EB8">
            <w:pPr>
              <w:widowControl w:val="0"/>
              <w:numPr>
                <w:ilvl w:val="12"/>
                <w:numId w:val="0"/>
              </w:numPr>
              <w:rPr>
                <w:sz w:val="18"/>
              </w:rPr>
            </w:pPr>
            <w:r>
              <w:rPr>
                <w:sz w:val="18"/>
              </w:rPr>
              <w:t>8017</w:t>
            </w:r>
          </w:p>
        </w:tc>
      </w:tr>
      <w:tr w:rsidR="00013EB8">
        <w:trPr>
          <w:trHeight w:val="181"/>
        </w:trPr>
        <w:tc>
          <w:tcPr>
            <w:tcW w:w="7508" w:type="dxa"/>
          </w:tcPr>
          <w:p w:rsidR="00013EB8" w:rsidRDefault="00013EB8">
            <w:pPr>
              <w:widowControl w:val="0"/>
              <w:numPr>
                <w:ilvl w:val="12"/>
                <w:numId w:val="0"/>
              </w:numPr>
              <w:rPr>
                <w:sz w:val="18"/>
              </w:rPr>
            </w:pPr>
            <w:r>
              <w:rPr>
                <w:sz w:val="18"/>
              </w:rPr>
              <w:t xml:space="preserve">Sclerosis, multiple </w:t>
            </w:r>
            <w:r>
              <w:rPr>
                <w:i/>
                <w:sz w:val="18"/>
              </w:rPr>
              <w:t xml:space="preserve">(7 yr pres period, per </w:t>
            </w:r>
            <w:r w:rsidRPr="008E5C3A">
              <w:rPr>
                <w:b/>
                <w:i/>
              </w:rPr>
              <w:t>3.307</w:t>
            </w:r>
            <w:r>
              <w:rPr>
                <w:i/>
                <w:sz w:val="18"/>
              </w:rPr>
              <w:t>)</w:t>
            </w:r>
          </w:p>
        </w:tc>
        <w:tc>
          <w:tcPr>
            <w:tcW w:w="3486" w:type="dxa"/>
          </w:tcPr>
          <w:p w:rsidR="00013EB8" w:rsidRDefault="00013EB8">
            <w:pPr>
              <w:widowControl w:val="0"/>
              <w:numPr>
                <w:ilvl w:val="12"/>
                <w:numId w:val="0"/>
              </w:numPr>
              <w:rPr>
                <w:sz w:val="18"/>
              </w:rPr>
            </w:pPr>
            <w:r w:rsidRPr="008E5C3A">
              <w:rPr>
                <w:sz w:val="18"/>
              </w:rPr>
              <w:t>8018</w:t>
            </w:r>
          </w:p>
        </w:tc>
      </w:tr>
      <w:tr w:rsidR="00013EB8">
        <w:trPr>
          <w:trHeight w:val="181"/>
        </w:trPr>
        <w:tc>
          <w:tcPr>
            <w:tcW w:w="7508" w:type="dxa"/>
          </w:tcPr>
          <w:p w:rsidR="00013EB8" w:rsidRDefault="00013EB8">
            <w:pPr>
              <w:widowControl w:val="0"/>
              <w:numPr>
                <w:ilvl w:val="12"/>
                <w:numId w:val="0"/>
              </w:numPr>
              <w:rPr>
                <w:sz w:val="18"/>
              </w:rPr>
            </w:pPr>
            <w:r>
              <w:rPr>
                <w:sz w:val="18"/>
              </w:rPr>
              <w:t>Syringomyelia</w:t>
            </w:r>
          </w:p>
        </w:tc>
        <w:tc>
          <w:tcPr>
            <w:tcW w:w="3486" w:type="dxa"/>
          </w:tcPr>
          <w:p w:rsidR="00013EB8" w:rsidRDefault="00013EB8">
            <w:pPr>
              <w:widowControl w:val="0"/>
              <w:numPr>
                <w:ilvl w:val="12"/>
                <w:numId w:val="0"/>
              </w:numPr>
              <w:rPr>
                <w:sz w:val="18"/>
              </w:rPr>
            </w:pPr>
            <w:r w:rsidRPr="008E5C3A">
              <w:rPr>
                <w:sz w:val="18"/>
              </w:rPr>
              <w:t>8024</w:t>
            </w:r>
          </w:p>
        </w:tc>
      </w:tr>
      <w:tr w:rsidR="00013EB8">
        <w:trPr>
          <w:trHeight w:val="181"/>
        </w:trPr>
        <w:tc>
          <w:tcPr>
            <w:tcW w:w="7508" w:type="dxa"/>
          </w:tcPr>
          <w:p w:rsidR="00013EB8" w:rsidRDefault="00013EB8">
            <w:pPr>
              <w:widowControl w:val="0"/>
              <w:numPr>
                <w:ilvl w:val="12"/>
                <w:numId w:val="0"/>
              </w:numPr>
              <w:rPr>
                <w:sz w:val="18"/>
              </w:rPr>
            </w:pPr>
            <w:r>
              <w:rPr>
                <w:sz w:val="18"/>
              </w:rPr>
              <w:t>Thromboangiitis obliterans (Buerger’s disease)</w:t>
            </w:r>
          </w:p>
        </w:tc>
        <w:tc>
          <w:tcPr>
            <w:tcW w:w="3486" w:type="dxa"/>
          </w:tcPr>
          <w:p w:rsidR="00013EB8" w:rsidRDefault="00013EB8">
            <w:pPr>
              <w:widowControl w:val="0"/>
              <w:numPr>
                <w:ilvl w:val="12"/>
                <w:numId w:val="0"/>
              </w:numPr>
              <w:rPr>
                <w:sz w:val="18"/>
              </w:rPr>
            </w:pPr>
            <w:r>
              <w:rPr>
                <w:sz w:val="18"/>
              </w:rPr>
              <w:t>7115</w:t>
            </w:r>
          </w:p>
        </w:tc>
      </w:tr>
      <w:tr w:rsidR="00013EB8">
        <w:trPr>
          <w:trHeight w:val="181"/>
        </w:trPr>
        <w:tc>
          <w:tcPr>
            <w:tcW w:w="7508" w:type="dxa"/>
          </w:tcPr>
          <w:p w:rsidR="00013EB8" w:rsidRDefault="00013EB8">
            <w:pPr>
              <w:widowControl w:val="0"/>
              <w:numPr>
                <w:ilvl w:val="12"/>
                <w:numId w:val="0"/>
              </w:numPr>
              <w:rPr>
                <w:sz w:val="18"/>
              </w:rPr>
            </w:pPr>
            <w:r>
              <w:rPr>
                <w:sz w:val="18"/>
              </w:rPr>
              <w:t xml:space="preserve">Tuberculosis, active </w:t>
            </w:r>
            <w:r>
              <w:rPr>
                <w:i/>
                <w:sz w:val="18"/>
              </w:rPr>
              <w:t xml:space="preserve">(3 yr pres period per </w:t>
            </w:r>
            <w:r w:rsidRPr="008E5C3A">
              <w:rPr>
                <w:b/>
                <w:i/>
                <w:iCs/>
              </w:rPr>
              <w:t>3.307</w:t>
            </w:r>
            <w:r>
              <w:rPr>
                <w:i/>
                <w:sz w:val="18"/>
              </w:rPr>
              <w:t>)</w:t>
            </w:r>
          </w:p>
        </w:tc>
        <w:tc>
          <w:tcPr>
            <w:tcW w:w="3486" w:type="dxa"/>
          </w:tcPr>
          <w:p w:rsidR="00013EB8" w:rsidRDefault="00013EB8">
            <w:pPr>
              <w:widowControl w:val="0"/>
              <w:numPr>
                <w:ilvl w:val="12"/>
                <w:numId w:val="0"/>
              </w:numPr>
              <w:rPr>
                <w:sz w:val="18"/>
              </w:rPr>
            </w:pPr>
            <w:r>
              <w:rPr>
                <w:sz w:val="18"/>
              </w:rPr>
              <w:t>6701, 6702, 6703, 6704, 6730</w:t>
            </w:r>
          </w:p>
        </w:tc>
      </w:tr>
      <w:tr w:rsidR="00013EB8">
        <w:trPr>
          <w:trHeight w:val="181"/>
        </w:trPr>
        <w:tc>
          <w:tcPr>
            <w:tcW w:w="7508" w:type="dxa"/>
          </w:tcPr>
          <w:p w:rsidR="00013EB8" w:rsidRDefault="00013EB8">
            <w:pPr>
              <w:widowControl w:val="0"/>
              <w:numPr>
                <w:ilvl w:val="12"/>
                <w:numId w:val="0"/>
              </w:numPr>
              <w:rPr>
                <w:sz w:val="18"/>
              </w:rPr>
            </w:pPr>
            <w:r>
              <w:rPr>
                <w:sz w:val="18"/>
              </w:rPr>
              <w:t>Tumors, malignant, or of the brain or spinal cord or peripheral nerves</w:t>
            </w:r>
          </w:p>
        </w:tc>
        <w:tc>
          <w:tcPr>
            <w:tcW w:w="3486" w:type="dxa"/>
          </w:tcPr>
          <w:p w:rsidR="00013EB8" w:rsidRDefault="00013EB8">
            <w:pPr>
              <w:widowControl w:val="0"/>
              <w:numPr>
                <w:ilvl w:val="12"/>
                <w:numId w:val="0"/>
              </w:numPr>
              <w:rPr>
                <w:sz w:val="18"/>
              </w:rPr>
            </w:pPr>
            <w:r>
              <w:rPr>
                <w:sz w:val="18"/>
              </w:rPr>
              <w:t>5012, 5327, 6014,</w:t>
            </w:r>
            <w:r w:rsidR="00D96652">
              <w:rPr>
                <w:sz w:val="18"/>
              </w:rPr>
              <w:t xml:space="preserve"> 6208,</w:t>
            </w:r>
            <w:r>
              <w:rPr>
                <w:sz w:val="18"/>
              </w:rPr>
              <w:t xml:space="preserve"> 6819, 7343, 7528, 7627, 7818, 7833, 7914, 8002, 8021</w:t>
            </w:r>
            <w:r w:rsidR="00D96652">
              <w:rPr>
                <w:sz w:val="18"/>
              </w:rPr>
              <w:t>, 9918</w:t>
            </w:r>
          </w:p>
        </w:tc>
      </w:tr>
      <w:tr w:rsidR="00013EB8">
        <w:trPr>
          <w:trHeight w:val="181"/>
        </w:trPr>
        <w:tc>
          <w:tcPr>
            <w:tcW w:w="7508" w:type="dxa"/>
          </w:tcPr>
          <w:p w:rsidR="00013EB8" w:rsidRDefault="00013EB8">
            <w:pPr>
              <w:widowControl w:val="0"/>
              <w:numPr>
                <w:ilvl w:val="12"/>
                <w:numId w:val="0"/>
              </w:numPr>
              <w:rPr>
                <w:sz w:val="18"/>
              </w:rPr>
            </w:pPr>
            <w:r>
              <w:rPr>
                <w:sz w:val="18"/>
              </w:rPr>
              <w:t>Ulcers, peptic (gastric or duodenal)</w:t>
            </w:r>
          </w:p>
          <w:p w:rsidR="00013EB8" w:rsidRDefault="00013EB8">
            <w:pPr>
              <w:widowControl w:val="0"/>
              <w:numPr>
                <w:ilvl w:val="12"/>
                <w:numId w:val="0"/>
              </w:numPr>
              <w:rPr>
                <w:sz w:val="16"/>
              </w:rPr>
            </w:pPr>
            <w:r>
              <w:rPr>
                <w:sz w:val="16"/>
              </w:rPr>
              <w:t>(A proper diagnosis of gastric or duodenal ulcer (peptic ulcer) is to be considered established if it represents a medically sound interpretation of sufficient clinical findings warranting such diagnosis and provides an adequate basis for a differential diagnosis from other conditions with like symptomatology; in short, where the preponderance of evidence indicates gastric or duodenal ulcer (peptic ulcer). Whenever possible, of course, laboratory findings should be used in corroboration of the clinical data.)</w:t>
            </w:r>
          </w:p>
        </w:tc>
        <w:tc>
          <w:tcPr>
            <w:tcW w:w="3486" w:type="dxa"/>
          </w:tcPr>
          <w:p w:rsidR="00013EB8" w:rsidRDefault="00013EB8">
            <w:pPr>
              <w:widowControl w:val="0"/>
              <w:numPr>
                <w:ilvl w:val="12"/>
                <w:numId w:val="0"/>
              </w:numPr>
              <w:rPr>
                <w:sz w:val="18"/>
              </w:rPr>
            </w:pPr>
            <w:r>
              <w:rPr>
                <w:sz w:val="18"/>
              </w:rPr>
              <w:t>7304, 7305, 7306</w:t>
            </w:r>
          </w:p>
        </w:tc>
      </w:tr>
    </w:tbl>
    <w:p w:rsidR="00013EB8" w:rsidRDefault="00013EB8">
      <w:pPr>
        <w:widowControl w:val="0"/>
        <w:numPr>
          <w:ilvl w:val="12"/>
          <w:numId w:val="0"/>
        </w:numPr>
      </w:pPr>
    </w:p>
    <w:p w:rsidR="00EF7F22" w:rsidRDefault="00BD30DF" w:rsidP="00F063AF">
      <w:pPr>
        <w:pStyle w:val="BodyText2"/>
        <w:widowControl w:val="0"/>
        <w:numPr>
          <w:ilvl w:val="0"/>
          <w:numId w:val="161"/>
        </w:numPr>
        <w:spacing w:after="120"/>
        <w:ind w:left="360"/>
        <w:rPr>
          <w:b w:val="0"/>
          <w:bCs w:val="0"/>
          <w:iCs/>
          <w:sz w:val="20"/>
        </w:rPr>
      </w:pPr>
      <w:r>
        <w:rPr>
          <w:bCs w:val="0"/>
          <w:i/>
          <w:iCs/>
          <w:sz w:val="20"/>
        </w:rPr>
        <w:t>Walk</w:t>
      </w:r>
      <w:r w:rsidR="003E6B7B" w:rsidRPr="00055F2D">
        <w:rPr>
          <w:bCs w:val="0"/>
          <w:i/>
          <w:iCs/>
          <w:sz w:val="20"/>
        </w:rPr>
        <w:t>er v. Shinseki</w:t>
      </w:r>
      <w:r w:rsidR="003E6B7B">
        <w:rPr>
          <w:b w:val="0"/>
          <w:bCs w:val="0"/>
          <w:i/>
          <w:iCs/>
          <w:sz w:val="20"/>
        </w:rPr>
        <w:t xml:space="preserve"> (2/21/13) </w:t>
      </w:r>
      <w:r w:rsidR="003E6B7B" w:rsidRPr="003E6B7B">
        <w:rPr>
          <w:b w:val="0"/>
          <w:bCs w:val="0"/>
          <w:iCs/>
          <w:sz w:val="20"/>
        </w:rPr>
        <w:t>- says 3.303(b) provisions apply only to chronic diseases identified in 3.309(a)</w:t>
      </w:r>
      <w:r w:rsidR="00EF7F22">
        <w:rPr>
          <w:b w:val="0"/>
          <w:bCs w:val="0"/>
          <w:iCs/>
          <w:sz w:val="20"/>
        </w:rPr>
        <w:t>; “Service connection for a disease not listed under 3.309(a) may not be established on the basis of chronicity provisions of 3.303(b), but would have to satisfy the typical three-element nexus of 3.303(a).</w:t>
      </w:r>
      <w:r w:rsidR="00380255">
        <w:rPr>
          <w:b w:val="0"/>
          <w:bCs w:val="0"/>
          <w:iCs/>
          <w:sz w:val="20"/>
        </w:rPr>
        <w:t xml:space="preserve"> </w:t>
      </w:r>
      <w:r w:rsidR="00380255" w:rsidRPr="00380255">
        <w:rPr>
          <w:b w:val="0"/>
          <w:sz w:val="20"/>
        </w:rPr>
        <w:t>The provisions of § 3.303(b) also provide that if a chronic disease is shown in service or within the presumptive period, subsequent manifestations of the same chronic disease at any later date will be service connected unless clearly attributed to intercurrent causes.  The regulation provides that if a condition noted in service or in a presumptive period is not clearly identified as a chronic disease during such periods, a showing of continuity of symptomatology is necessary to establish service connection for the disease under § 3.303(b).”</w:t>
      </w:r>
    </w:p>
    <w:p w:rsidR="00BB1526" w:rsidRDefault="00A610B9" w:rsidP="00F063AF">
      <w:pPr>
        <w:pStyle w:val="BodyText2"/>
        <w:widowControl w:val="0"/>
        <w:numPr>
          <w:ilvl w:val="0"/>
          <w:numId w:val="165"/>
        </w:numPr>
        <w:spacing w:after="120"/>
        <w:ind w:left="360"/>
        <w:rPr>
          <w:b w:val="0"/>
          <w:sz w:val="20"/>
        </w:rPr>
      </w:pPr>
      <w:r w:rsidRPr="00BB1526">
        <w:rPr>
          <w:b w:val="0"/>
          <w:sz w:val="20"/>
        </w:rPr>
        <w:t>Subordinate Issues handout says hiatal hernia (7346) is a chronic disability.</w:t>
      </w:r>
    </w:p>
    <w:p w:rsidR="00A610B9" w:rsidRPr="00F93A80" w:rsidRDefault="00BB1526" w:rsidP="00F063AF">
      <w:pPr>
        <w:pStyle w:val="ListParagraph"/>
        <w:numPr>
          <w:ilvl w:val="0"/>
          <w:numId w:val="165"/>
        </w:numPr>
        <w:spacing w:after="120" w:line="240" w:lineRule="auto"/>
        <w:ind w:left="360"/>
        <w:rPr>
          <w:rStyle w:val="Hyperlink"/>
          <w:rFonts w:ascii="Arial" w:hAnsi="Arial"/>
          <w:color w:val="auto"/>
          <w:sz w:val="20"/>
          <w:szCs w:val="20"/>
          <w:u w:val="none"/>
        </w:rPr>
      </w:pPr>
      <w:r w:rsidRPr="00055F2D">
        <w:rPr>
          <w:rFonts w:ascii="Arial" w:hAnsi="Arial"/>
          <w:b/>
          <w:i/>
          <w:sz w:val="20"/>
          <w:szCs w:val="20"/>
        </w:rPr>
        <w:t xml:space="preserve">April 2014 </w:t>
      </w:r>
      <w:r w:rsidR="00EB6F0B" w:rsidRPr="00055F2D">
        <w:rPr>
          <w:rFonts w:ascii="Arial" w:hAnsi="Arial"/>
          <w:b/>
          <w:i/>
          <w:sz w:val="20"/>
          <w:szCs w:val="20"/>
        </w:rPr>
        <w:t>Compensation Service Bulletin (CSB)</w:t>
      </w:r>
      <w:r w:rsidRPr="00BB1526">
        <w:rPr>
          <w:rStyle w:val="Hyperlink"/>
          <w:rFonts w:ascii="Arial" w:hAnsi="Arial"/>
          <w:color w:val="auto"/>
          <w:sz w:val="20"/>
          <w:szCs w:val="20"/>
          <w:u w:val="none"/>
        </w:rPr>
        <w:t xml:space="preserve"> - </w:t>
      </w:r>
      <w:r w:rsidRPr="00055F2D">
        <w:rPr>
          <w:rFonts w:ascii="Arial" w:hAnsi="Arial"/>
          <w:b/>
          <w:i/>
          <w:sz w:val="20"/>
          <w:szCs w:val="20"/>
        </w:rPr>
        <w:t>Walker v. Shinseki</w:t>
      </w:r>
      <w:r>
        <w:rPr>
          <w:rFonts w:ascii="Arial" w:hAnsi="Arial"/>
          <w:i/>
          <w:sz w:val="20"/>
          <w:szCs w:val="20"/>
        </w:rPr>
        <w:t xml:space="preserve"> </w:t>
      </w:r>
      <w:r w:rsidR="00305E95">
        <w:rPr>
          <w:rFonts w:ascii="Arial" w:hAnsi="Arial"/>
          <w:sz w:val="20"/>
          <w:szCs w:val="20"/>
        </w:rPr>
        <w:t xml:space="preserve">(2013) </w:t>
      </w:r>
      <w:r>
        <w:rPr>
          <w:rFonts w:ascii="Arial" w:hAnsi="Arial"/>
          <w:sz w:val="20"/>
          <w:szCs w:val="20"/>
        </w:rPr>
        <w:t>says that</w:t>
      </w:r>
      <w:r w:rsidRPr="00BB1526">
        <w:rPr>
          <w:rFonts w:ascii="Arial" w:hAnsi="Arial"/>
          <w:sz w:val="20"/>
          <w:szCs w:val="20"/>
        </w:rPr>
        <w:t xml:space="preserve"> </w:t>
      </w:r>
      <w:r w:rsidRPr="00BB1526">
        <w:rPr>
          <w:rFonts w:ascii="Arial" w:hAnsi="Arial"/>
          <w:b/>
          <w:sz w:val="20"/>
          <w:szCs w:val="20"/>
        </w:rPr>
        <w:t>continuity of symptomatology</w:t>
      </w:r>
      <w:r w:rsidRPr="00BB1526">
        <w:rPr>
          <w:rFonts w:ascii="Arial" w:hAnsi="Arial"/>
          <w:sz w:val="20"/>
          <w:szCs w:val="20"/>
        </w:rPr>
        <w:t xml:space="preserve"> under </w:t>
      </w:r>
      <w:r w:rsidRPr="00055F2D">
        <w:rPr>
          <w:rFonts w:ascii="Arial" w:hAnsi="Arial"/>
          <w:sz w:val="20"/>
          <w:szCs w:val="20"/>
        </w:rPr>
        <w:t>3.303(b)</w:t>
      </w:r>
      <w:r w:rsidRPr="00BB1526">
        <w:rPr>
          <w:rFonts w:ascii="Arial" w:hAnsi="Arial"/>
          <w:sz w:val="20"/>
          <w:szCs w:val="20"/>
        </w:rPr>
        <w:t xml:space="preserve"> may only be used to establish service connection for a chronic disease listed under </w:t>
      </w:r>
      <w:r w:rsidRPr="00055F2D">
        <w:rPr>
          <w:rFonts w:ascii="Arial" w:hAnsi="Arial"/>
          <w:sz w:val="20"/>
          <w:szCs w:val="20"/>
        </w:rPr>
        <w:t>3.309(a)</w:t>
      </w:r>
      <w:r w:rsidRPr="00BB1526">
        <w:rPr>
          <w:rFonts w:ascii="Arial" w:hAnsi="Arial"/>
          <w:sz w:val="20"/>
          <w:szCs w:val="20"/>
        </w:rPr>
        <w:t xml:space="preserve">.  For </w:t>
      </w:r>
      <w:r>
        <w:rPr>
          <w:rFonts w:ascii="Arial" w:hAnsi="Arial"/>
          <w:sz w:val="20"/>
          <w:szCs w:val="20"/>
        </w:rPr>
        <w:t xml:space="preserve">all other </w:t>
      </w:r>
      <w:r w:rsidRPr="00BB1526">
        <w:rPr>
          <w:rFonts w:ascii="Arial" w:hAnsi="Arial"/>
          <w:sz w:val="20"/>
          <w:szCs w:val="20"/>
        </w:rPr>
        <w:t xml:space="preserve">disabilities, service connection must be established through  </w:t>
      </w:r>
      <w:r w:rsidRPr="00055F2D">
        <w:rPr>
          <w:rFonts w:ascii="Arial" w:hAnsi="Arial"/>
          <w:sz w:val="20"/>
          <w:szCs w:val="20"/>
        </w:rPr>
        <w:t>3.303(a)</w:t>
      </w:r>
      <w:r w:rsidRPr="00BB1526">
        <w:rPr>
          <w:rFonts w:ascii="Arial" w:hAnsi="Arial"/>
          <w:sz w:val="20"/>
          <w:szCs w:val="20"/>
        </w:rPr>
        <w:t xml:space="preserve">, which requires a medical nexus between the condition in service and the current disability as part of the standard three-element test for entitlement to disability compensation… </w:t>
      </w:r>
      <w:r>
        <w:rPr>
          <w:rFonts w:ascii="Arial" w:hAnsi="Arial"/>
          <w:sz w:val="20"/>
          <w:szCs w:val="20"/>
        </w:rPr>
        <w:t>but,</w:t>
      </w:r>
      <w:r w:rsidRPr="00BB1526">
        <w:rPr>
          <w:rFonts w:ascii="Arial" w:hAnsi="Arial"/>
          <w:sz w:val="20"/>
          <w:szCs w:val="20"/>
        </w:rPr>
        <w:t xml:space="preserve"> evidence of continuous symptoms may be used to support a nexus under the three-element test of </w:t>
      </w:r>
      <w:r w:rsidRPr="00055F2D">
        <w:rPr>
          <w:rFonts w:ascii="Arial" w:hAnsi="Arial"/>
          <w:sz w:val="20"/>
          <w:szCs w:val="20"/>
        </w:rPr>
        <w:t>3.303(a)</w:t>
      </w:r>
      <w:r>
        <w:rPr>
          <w:rStyle w:val="Hyperlink"/>
          <w:rFonts w:ascii="Arial" w:hAnsi="Arial"/>
          <w:sz w:val="20"/>
          <w:szCs w:val="20"/>
          <w:u w:val="none"/>
        </w:rPr>
        <w:t xml:space="preserve">, </w:t>
      </w:r>
      <w:r w:rsidRPr="00BB1526">
        <w:rPr>
          <w:rFonts w:ascii="Arial" w:hAnsi="Arial"/>
          <w:sz w:val="20"/>
          <w:szCs w:val="20"/>
        </w:rPr>
        <w:t xml:space="preserve">as all evidence bearing upon service connection should be evaluated under the three-part nexus test and evidence of continuous symptoms following service may be relevant to determinations of service connection under the nexus standard.  </w:t>
      </w:r>
      <w:r w:rsidRPr="00BB1526">
        <w:rPr>
          <w:rFonts w:ascii="Arial" w:hAnsi="Arial"/>
          <w:b/>
          <w:sz w:val="20"/>
          <w:szCs w:val="20"/>
        </w:rPr>
        <w:t>Evidence of continuous symptoms</w:t>
      </w:r>
      <w:r w:rsidRPr="00BB1526">
        <w:rPr>
          <w:rFonts w:ascii="Arial" w:hAnsi="Arial"/>
          <w:sz w:val="20"/>
          <w:szCs w:val="20"/>
        </w:rPr>
        <w:t xml:space="preserve"> alone may also be sufficient to satisfy the nexus requirement under </w:t>
      </w:r>
      <w:r w:rsidRPr="00055F2D">
        <w:rPr>
          <w:rFonts w:ascii="Arial" w:hAnsi="Arial"/>
          <w:sz w:val="20"/>
          <w:szCs w:val="20"/>
        </w:rPr>
        <w:t>3.303(a)</w:t>
      </w:r>
      <w:r>
        <w:rPr>
          <w:rStyle w:val="Hyperlink"/>
          <w:rFonts w:ascii="Arial" w:hAnsi="Arial"/>
          <w:sz w:val="20"/>
          <w:szCs w:val="20"/>
          <w:u w:val="none"/>
        </w:rPr>
        <w:t xml:space="preserve"> </w:t>
      </w:r>
      <w:r w:rsidRPr="00BB1526">
        <w:rPr>
          <w:rFonts w:ascii="Arial" w:hAnsi="Arial"/>
          <w:sz w:val="20"/>
          <w:szCs w:val="20"/>
        </w:rPr>
        <w:t xml:space="preserve">and warrant a grant of entitlement to service connection under that regulation.  </w:t>
      </w:r>
      <w:r>
        <w:rPr>
          <w:rFonts w:ascii="Arial" w:hAnsi="Arial"/>
          <w:sz w:val="20"/>
          <w:szCs w:val="20"/>
        </w:rPr>
        <w:t xml:space="preserve">Use “continuity of symptomatology” for </w:t>
      </w:r>
      <w:r w:rsidRPr="00055F2D">
        <w:rPr>
          <w:rFonts w:ascii="Arial" w:hAnsi="Arial"/>
          <w:sz w:val="20"/>
          <w:szCs w:val="20"/>
        </w:rPr>
        <w:t>3.303(b)</w:t>
      </w:r>
      <w:r>
        <w:rPr>
          <w:rStyle w:val="Hyperlink"/>
          <w:rFonts w:ascii="Arial" w:hAnsi="Arial"/>
          <w:sz w:val="20"/>
          <w:szCs w:val="20"/>
          <w:u w:val="none"/>
        </w:rPr>
        <w:t xml:space="preserve"> </w:t>
      </w:r>
      <w:r w:rsidRPr="00BB1526">
        <w:rPr>
          <w:rStyle w:val="Hyperlink"/>
          <w:rFonts w:ascii="Arial" w:hAnsi="Arial"/>
          <w:color w:val="auto"/>
          <w:sz w:val="20"/>
          <w:szCs w:val="20"/>
          <w:u w:val="none"/>
        </w:rPr>
        <w:t xml:space="preserve">and “evidence of continuous symptoms” for </w:t>
      </w:r>
      <w:r w:rsidRPr="00055F2D">
        <w:rPr>
          <w:rFonts w:ascii="Arial" w:hAnsi="Arial"/>
          <w:sz w:val="20"/>
          <w:szCs w:val="20"/>
        </w:rPr>
        <w:t>3.303(a)</w:t>
      </w:r>
      <w:r w:rsidR="0061357F">
        <w:rPr>
          <w:rStyle w:val="Hyperlink"/>
          <w:rFonts w:ascii="Arial" w:hAnsi="Arial"/>
          <w:sz w:val="20"/>
          <w:szCs w:val="20"/>
          <w:u w:val="none"/>
        </w:rPr>
        <w:t xml:space="preserve">  </w:t>
      </w:r>
    </w:p>
    <w:p w:rsidR="00F93A80" w:rsidRPr="00F93A80" w:rsidRDefault="00D571C5" w:rsidP="00F063AF">
      <w:pPr>
        <w:widowControl w:val="0"/>
        <w:numPr>
          <w:ilvl w:val="0"/>
          <w:numId w:val="165"/>
        </w:numPr>
        <w:tabs>
          <w:tab w:val="left" w:pos="360"/>
        </w:tabs>
        <w:spacing w:after="120"/>
        <w:ind w:left="360"/>
        <w:rPr>
          <w:rStyle w:val="Hyperlink"/>
          <w:color w:val="auto"/>
          <w:u w:val="none"/>
        </w:rPr>
      </w:pPr>
      <w:hyperlink r:id="rId394" w:history="1">
        <w:r w:rsidR="00F93A80" w:rsidRPr="00F93A80">
          <w:rPr>
            <w:rStyle w:val="Hyperlink"/>
            <w:b/>
            <w:bCs/>
            <w:i/>
          </w:rPr>
          <w:t>April 2017 Quality Call Notes</w:t>
        </w:r>
      </w:hyperlink>
      <w:r w:rsidR="00F93A80" w:rsidRPr="00F93A80">
        <w:rPr>
          <w:rStyle w:val="Hyperlink"/>
          <w:bCs/>
          <w:color w:val="auto"/>
          <w:u w:val="none"/>
        </w:rPr>
        <w:t xml:space="preserve"> – </w:t>
      </w:r>
    </w:p>
    <w:p w:rsidR="00F93A80" w:rsidRPr="00F93A80" w:rsidRDefault="00F93A80" w:rsidP="00F93A80">
      <w:pPr>
        <w:pStyle w:val="NoSpacing"/>
        <w:spacing w:after="120"/>
        <w:ind w:left="360"/>
        <w:rPr>
          <w:rFonts w:ascii="Arial" w:hAnsi="Arial"/>
          <w:b/>
          <w:color w:val="FFFFFF"/>
          <w:sz w:val="20"/>
          <w:szCs w:val="20"/>
        </w:rPr>
      </w:pPr>
      <w:r w:rsidRPr="00F93A80">
        <w:rPr>
          <w:rFonts w:ascii="Arial" w:hAnsi="Arial"/>
          <w:b/>
          <w:color w:val="000000"/>
          <w:sz w:val="20"/>
          <w:szCs w:val="20"/>
        </w:rPr>
        <w:t xml:space="preserve">Question:  Can you provide clarification on granting service connection for chronic disabilities (listed under 38 CFR 3.309 a)?  It was noted that these condition would </w:t>
      </w:r>
      <w:r w:rsidRPr="00F93A80">
        <w:rPr>
          <w:rFonts w:ascii="Arial" w:hAnsi="Arial"/>
          <w:b/>
          <w:i/>
          <w:color w:val="000000"/>
          <w:sz w:val="20"/>
          <w:szCs w:val="20"/>
        </w:rPr>
        <w:t>generally</w:t>
      </w:r>
      <w:r w:rsidRPr="00F93A80">
        <w:rPr>
          <w:rFonts w:ascii="Arial" w:hAnsi="Arial"/>
          <w:b/>
          <w:color w:val="000000"/>
          <w:sz w:val="20"/>
          <w:szCs w:val="20"/>
        </w:rPr>
        <w:t xml:space="preserve"> be granted service connection at 0% if the condition was diagnosed in service and the Veteran then failed to report to an examination.  Would you be able to clarify when service connection would not be granted for a chronic condition when diagnosed during service?  Or is more appropriate to state that chronic condition listed under 3.309a should </w:t>
      </w:r>
      <w:r w:rsidRPr="00F93A80">
        <w:rPr>
          <w:rFonts w:ascii="Arial" w:hAnsi="Arial"/>
          <w:b/>
          <w:i/>
          <w:color w:val="000000"/>
          <w:sz w:val="20"/>
          <w:szCs w:val="20"/>
        </w:rPr>
        <w:t>always</w:t>
      </w:r>
      <w:r w:rsidRPr="00F93A80">
        <w:rPr>
          <w:rFonts w:ascii="Arial" w:hAnsi="Arial"/>
          <w:b/>
          <w:color w:val="000000"/>
          <w:sz w:val="20"/>
          <w:szCs w:val="20"/>
        </w:rPr>
        <w:t xml:space="preserve"> be granted?</w:t>
      </w:r>
    </w:p>
    <w:p w:rsidR="00F93A80" w:rsidRPr="00F93A80" w:rsidRDefault="00F93A80" w:rsidP="00F93A80">
      <w:pPr>
        <w:pStyle w:val="NoSpacing"/>
        <w:spacing w:after="120"/>
        <w:ind w:left="360"/>
        <w:rPr>
          <w:rStyle w:val="Strong"/>
          <w:rFonts w:ascii="Arial" w:hAnsi="Arial"/>
          <w:b w:val="0"/>
          <w:bCs w:val="0"/>
          <w:color w:val="FFFFFF"/>
          <w:sz w:val="20"/>
          <w:szCs w:val="20"/>
        </w:rPr>
      </w:pPr>
      <w:r w:rsidRPr="00F93A80">
        <w:rPr>
          <w:rFonts w:ascii="Arial" w:hAnsi="Arial"/>
          <w:color w:val="000000"/>
          <w:sz w:val="20"/>
          <w:szCs w:val="20"/>
        </w:rPr>
        <w:t xml:space="preserve">Answer:  Service connection is not appropriate in every case that demonstrates this fact pattern – rebuttal of the idea that a set of circumstances exists that always results in an </w:t>
      </w:r>
      <w:r w:rsidRPr="00F93A80">
        <w:rPr>
          <w:rFonts w:ascii="Arial" w:hAnsi="Arial"/>
          <w:i/>
          <w:color w:val="000000"/>
          <w:sz w:val="20"/>
          <w:szCs w:val="20"/>
        </w:rPr>
        <w:t>“automatic”</w:t>
      </w:r>
      <w:r w:rsidRPr="00F93A80">
        <w:rPr>
          <w:rFonts w:ascii="Arial" w:hAnsi="Arial"/>
          <w:color w:val="000000"/>
          <w:sz w:val="20"/>
          <w:szCs w:val="20"/>
        </w:rPr>
        <w:t xml:space="preserve"> grant or denial without consideration of the totality of the evidence is the central theme of this training.  For this particular point, service connection would not be appropriate for a </w:t>
      </w:r>
      <w:hyperlink r:id="rId395" w:history="1">
        <w:r w:rsidRPr="00F93A80">
          <w:rPr>
            <w:rStyle w:val="Hyperlink"/>
            <w:rFonts w:ascii="Arial" w:hAnsi="Arial"/>
            <w:sz w:val="20"/>
            <w:szCs w:val="20"/>
          </w:rPr>
          <w:t>38 CFR 3.309(a)</w:t>
        </w:r>
      </w:hyperlink>
      <w:r w:rsidRPr="00F93A80">
        <w:rPr>
          <w:rFonts w:ascii="Arial" w:hAnsi="Arial"/>
          <w:color w:val="000000"/>
          <w:sz w:val="20"/>
          <w:szCs w:val="20"/>
        </w:rPr>
        <w:t xml:space="preserve"> chronic disease under </w:t>
      </w:r>
      <w:hyperlink r:id="rId396" w:history="1">
        <w:r w:rsidRPr="00F93A80">
          <w:rPr>
            <w:rStyle w:val="Hyperlink"/>
            <w:rFonts w:ascii="Arial" w:hAnsi="Arial"/>
            <w:sz w:val="20"/>
            <w:szCs w:val="20"/>
          </w:rPr>
          <w:t>38 CFR 3.303(b)</w:t>
        </w:r>
      </w:hyperlink>
      <w:r w:rsidRPr="00F93A80">
        <w:rPr>
          <w:rFonts w:ascii="Arial" w:hAnsi="Arial"/>
          <w:color w:val="000000"/>
          <w:sz w:val="20"/>
          <w:szCs w:val="20"/>
        </w:rPr>
        <w:t xml:space="preserve"> if the totality of the evidence demonstrates an intercurrent cause to rebut the presumption between in-service occurrence and the claim.  See also </w:t>
      </w:r>
      <w:hyperlink r:id="rId397" w:history="1">
        <w:r w:rsidRPr="00F93A80">
          <w:rPr>
            <w:rStyle w:val="Hyperlink"/>
            <w:rFonts w:ascii="Arial" w:hAnsi="Arial"/>
            <w:sz w:val="20"/>
            <w:szCs w:val="20"/>
          </w:rPr>
          <w:t>38 CFR 3.307(b)</w:t>
        </w:r>
      </w:hyperlink>
      <w:r w:rsidRPr="00F93A80">
        <w:rPr>
          <w:rFonts w:ascii="Arial" w:hAnsi="Arial"/>
          <w:color w:val="000000"/>
          <w:sz w:val="20"/>
          <w:szCs w:val="20"/>
        </w:rPr>
        <w:t xml:space="preserve">, </w:t>
      </w:r>
      <w:hyperlink r:id="rId398" w:history="1">
        <w:r w:rsidRPr="00F93A80">
          <w:rPr>
            <w:rStyle w:val="Hyperlink"/>
            <w:rFonts w:ascii="Arial" w:hAnsi="Arial"/>
            <w:i/>
            <w:sz w:val="20"/>
            <w:szCs w:val="20"/>
          </w:rPr>
          <w:t>Groves v. Peake</w:t>
        </w:r>
      </w:hyperlink>
      <w:r w:rsidRPr="00F93A80">
        <w:rPr>
          <w:rFonts w:ascii="Arial" w:hAnsi="Arial"/>
          <w:color w:val="000000"/>
          <w:sz w:val="20"/>
          <w:szCs w:val="20"/>
        </w:rPr>
        <w:t xml:space="preserve">, May 1, 2008, 524 F.3d 1306, and </w:t>
      </w:r>
      <w:hyperlink r:id="rId399" w:history="1">
        <w:r w:rsidRPr="00F93A80">
          <w:rPr>
            <w:rStyle w:val="Hyperlink"/>
            <w:rFonts w:ascii="Arial" w:hAnsi="Arial"/>
            <w:i/>
            <w:sz w:val="20"/>
            <w:szCs w:val="20"/>
          </w:rPr>
          <w:t>Walker v. Shinseki</w:t>
        </w:r>
      </w:hyperlink>
      <w:r w:rsidRPr="00F93A80">
        <w:rPr>
          <w:rFonts w:ascii="Arial" w:hAnsi="Arial"/>
          <w:color w:val="000000"/>
          <w:sz w:val="20"/>
          <w:szCs w:val="20"/>
        </w:rPr>
        <w:t>, Feb 21, 2013, 708 F.3d 1331.</w:t>
      </w:r>
    </w:p>
    <w:p w:rsidR="00F93A80" w:rsidRPr="00BB1526" w:rsidRDefault="00F93A80" w:rsidP="00F063AF">
      <w:pPr>
        <w:pStyle w:val="ListParagraph"/>
        <w:numPr>
          <w:ilvl w:val="0"/>
          <w:numId w:val="165"/>
        </w:numPr>
        <w:spacing w:after="120" w:line="240" w:lineRule="auto"/>
        <w:ind w:left="360"/>
        <w:rPr>
          <w:rFonts w:ascii="Arial" w:hAnsi="Arial"/>
          <w:sz w:val="20"/>
          <w:szCs w:val="20"/>
        </w:rPr>
      </w:pPr>
      <w:r>
        <w:rPr>
          <w:rFonts w:ascii="Arial" w:hAnsi="Arial"/>
          <w:sz w:val="20"/>
          <w:szCs w:val="20"/>
        </w:rPr>
        <w:t>…</w:t>
      </w:r>
    </w:p>
    <w:p w:rsidR="00013EB8" w:rsidRDefault="00013EB8">
      <w:pPr>
        <w:widowControl w:val="0"/>
        <w:tabs>
          <w:tab w:val="left" w:pos="0"/>
          <w:tab w:val="left" w:pos="144"/>
        </w:tabs>
        <w:outlineLvl w:val="0"/>
      </w:pPr>
    </w:p>
    <w:p w:rsidR="007560D0" w:rsidRDefault="007560D0" w:rsidP="007560D0">
      <w:pPr>
        <w:widowControl w:val="0"/>
        <w:pBdr>
          <w:top w:val="single" w:sz="4" w:space="1" w:color="auto"/>
        </w:pBdr>
        <w:tabs>
          <w:tab w:val="left" w:pos="0"/>
          <w:tab w:val="left" w:pos="144"/>
        </w:tabs>
        <w:rPr>
          <w:b/>
          <w:bCs/>
          <w:i/>
          <w:iCs/>
          <w:sz w:val="22"/>
        </w:rPr>
      </w:pPr>
    </w:p>
    <w:p w:rsidR="00EB59F0" w:rsidRPr="00EB59F0" w:rsidRDefault="00282CA6" w:rsidP="007560D0">
      <w:pPr>
        <w:widowControl w:val="0"/>
        <w:pBdr>
          <w:top w:val="single" w:sz="4" w:space="1" w:color="auto"/>
        </w:pBdr>
        <w:tabs>
          <w:tab w:val="left" w:pos="0"/>
          <w:tab w:val="left" w:pos="144"/>
        </w:tabs>
        <w:rPr>
          <w:b/>
          <w:bCs/>
          <w:iCs/>
        </w:rPr>
      </w:pPr>
      <w:r>
        <w:rPr>
          <w:b/>
          <w:bCs/>
          <w:iCs/>
        </w:rPr>
        <w:t xml:space="preserve">III.iii.1.B.1.c </w:t>
      </w:r>
      <w:r w:rsidR="00EB59F0" w:rsidRPr="00EB59F0">
        <w:rPr>
          <w:bCs/>
          <w:iCs/>
        </w:rPr>
        <w:t>– clarifying issues</w:t>
      </w:r>
    </w:p>
    <w:p w:rsidR="00EB59F0" w:rsidRDefault="00EB59F0" w:rsidP="007560D0">
      <w:pPr>
        <w:widowControl w:val="0"/>
        <w:pBdr>
          <w:top w:val="single" w:sz="4" w:space="1" w:color="auto"/>
        </w:pBdr>
        <w:tabs>
          <w:tab w:val="left" w:pos="0"/>
          <w:tab w:val="left" w:pos="144"/>
        </w:tabs>
        <w:rPr>
          <w:b/>
          <w:bCs/>
          <w:i/>
          <w:iCs/>
          <w:sz w:val="22"/>
        </w:rPr>
      </w:pPr>
    </w:p>
    <w:p w:rsidR="002911EB" w:rsidRPr="002911EB" w:rsidRDefault="002911EB" w:rsidP="0049630C">
      <w:pPr>
        <w:widowControl w:val="0"/>
        <w:pBdr>
          <w:top w:val="single" w:sz="4" w:space="1" w:color="auto"/>
          <w:left w:val="single" w:sz="4" w:space="4" w:color="auto"/>
          <w:bottom w:val="single" w:sz="4" w:space="0" w:color="auto"/>
          <w:right w:val="single" w:sz="4" w:space="4" w:color="auto"/>
        </w:pBdr>
        <w:tabs>
          <w:tab w:val="left" w:pos="0"/>
          <w:tab w:val="left" w:pos="144"/>
        </w:tabs>
        <w:rPr>
          <w:b/>
          <w:i/>
          <w:color w:val="000000"/>
        </w:rPr>
      </w:pPr>
      <w:bookmarkStart w:id="84" w:name="SolicitClarify"/>
      <w:bookmarkEnd w:id="84"/>
      <w:r w:rsidRPr="003C3882">
        <w:rPr>
          <w:b/>
          <w:i/>
          <w:color w:val="000000"/>
          <w:highlight w:val="cyan"/>
        </w:rPr>
        <w:t>As of 3/24/15</w:t>
      </w:r>
      <w:r w:rsidR="00896C74" w:rsidRPr="003C3882">
        <w:rPr>
          <w:b/>
          <w:i/>
          <w:color w:val="000000"/>
          <w:highlight w:val="cyan"/>
        </w:rPr>
        <w:t>, IV.ii.2.A.1.f</w:t>
      </w:r>
      <w:r w:rsidRPr="003C3882">
        <w:rPr>
          <w:b/>
          <w:i/>
          <w:color w:val="000000"/>
          <w:highlight w:val="cyan"/>
        </w:rPr>
        <w:t>:</w:t>
      </w:r>
    </w:p>
    <w:p w:rsidR="002911EB" w:rsidRDefault="002911EB" w:rsidP="0049630C">
      <w:pPr>
        <w:pBdr>
          <w:top w:val="single" w:sz="4" w:space="1" w:color="auto"/>
          <w:left w:val="single" w:sz="4" w:space="4" w:color="auto"/>
          <w:bottom w:val="single" w:sz="4" w:space="0" w:color="auto"/>
          <w:right w:val="single" w:sz="4" w:space="4" w:color="auto"/>
        </w:pBdr>
      </w:pPr>
      <w:r w:rsidRPr="002911EB">
        <w:t xml:space="preserve">VSR, </w:t>
      </w:r>
      <w:r w:rsidRPr="002911EB">
        <w:rPr>
          <w:b/>
          <w:bCs/>
        </w:rPr>
        <w:t>solicitation</w:t>
      </w:r>
      <w:r w:rsidRPr="002911EB">
        <w:t xml:space="preserve"> is needed, so please include this in the notification letter to the Veteran:  “</w:t>
      </w:r>
      <w:r w:rsidRPr="005F63EF">
        <w:t>We have reviewed your records and they suggest you may be entitled to an additional benefit. If you want to file a claim for</w:t>
      </w:r>
      <w:r w:rsidRPr="005F63EF">
        <w:rPr>
          <w:i/>
          <w:iCs/>
        </w:rPr>
        <w:t xml:space="preserve"> </w:t>
      </w:r>
      <w:r w:rsidR="00DA64AB">
        <w:rPr>
          <w:color w:val="FF0000"/>
        </w:rPr>
        <w:t>[insert chronic disability]</w:t>
      </w:r>
      <w:r w:rsidR="00DA64AB" w:rsidRPr="00DA64AB">
        <w:rPr>
          <w:color w:val="244061" w:themeColor="accent1" w:themeShade="80"/>
        </w:rPr>
        <w:t xml:space="preserve">, </w:t>
      </w:r>
      <w:r w:rsidRPr="005F63EF">
        <w:t xml:space="preserve">please submit a completed VA Form 21-526EZ, </w:t>
      </w:r>
      <w:r w:rsidRPr="005F63EF">
        <w:rPr>
          <w:i/>
          <w:iCs/>
        </w:rPr>
        <w:t xml:space="preserve">Application For Disability Compensation And Related Compensation Benefits, </w:t>
      </w:r>
      <w:r w:rsidRPr="005F63EF">
        <w:t xml:space="preserve">to the appropriate address listed on the attached </w:t>
      </w:r>
      <w:r w:rsidRPr="005F63EF">
        <w:rPr>
          <w:i/>
          <w:iCs/>
        </w:rPr>
        <w:t xml:space="preserve">Where to Send Your Written Correspondence </w:t>
      </w:r>
      <w:r w:rsidRPr="005F63EF">
        <w:t xml:space="preserve">chart. You can download the form at </w:t>
      </w:r>
      <w:hyperlink r:id="rId400" w:history="1">
        <w:r w:rsidRPr="005F63EF">
          <w:rPr>
            <w:rStyle w:val="Hyperlink"/>
          </w:rPr>
          <w:t>http://www.va.gov/vaforms</w:t>
        </w:r>
      </w:hyperlink>
      <w:r w:rsidRPr="005F63EF">
        <w:t xml:space="preserve"> or you can call us at 1-800-827-1000. We recommend you return the form as soon as you can, in order to ensure the earliest possible payment date, if an award is authorized.</w:t>
      </w:r>
      <w:r>
        <w:t>”</w:t>
      </w:r>
    </w:p>
    <w:p w:rsidR="002911EB" w:rsidRDefault="002911EB" w:rsidP="0049630C">
      <w:pPr>
        <w:pBdr>
          <w:top w:val="single" w:sz="4" w:space="1" w:color="auto"/>
          <w:left w:val="single" w:sz="4" w:space="4" w:color="auto"/>
          <w:bottom w:val="single" w:sz="4" w:space="0" w:color="auto"/>
          <w:right w:val="single" w:sz="4" w:space="4" w:color="auto"/>
        </w:pBdr>
      </w:pPr>
    </w:p>
    <w:p w:rsidR="002911EB" w:rsidRDefault="002911EB" w:rsidP="0049630C">
      <w:pPr>
        <w:pBdr>
          <w:top w:val="single" w:sz="4" w:space="1" w:color="auto"/>
          <w:left w:val="single" w:sz="4" w:space="4" w:color="auto"/>
          <w:bottom w:val="single" w:sz="4" w:space="0" w:color="auto"/>
          <w:right w:val="single" w:sz="4" w:space="4" w:color="auto"/>
        </w:pBdr>
      </w:pPr>
      <w:r>
        <w:t xml:space="preserve">VSR, </w:t>
      </w:r>
      <w:r>
        <w:rPr>
          <w:b/>
          <w:bCs/>
        </w:rPr>
        <w:t>clarification*</w:t>
      </w:r>
      <w:r>
        <w:t xml:space="preserve"> is needed, so please include this in the notification letter to the Veteran:  “It is unclear whether you are seeking service connection for </w:t>
      </w:r>
      <w:r w:rsidR="00A46221">
        <w:t>{}</w:t>
      </w:r>
      <w:r w:rsidR="00535D6E">
        <w:t xml:space="preserve"> based on {list evidence that is unclear} received on {}</w:t>
      </w:r>
      <w:r>
        <w:t xml:space="preserve">. </w:t>
      </w:r>
      <w:r w:rsidRPr="005F63EF">
        <w:t>If you want to file a claim for</w:t>
      </w:r>
      <w:r>
        <w:t xml:space="preserve"> </w:t>
      </w:r>
      <w:r w:rsidR="00A46221">
        <w:t>{}</w:t>
      </w:r>
      <w:r w:rsidR="00047653">
        <w:t>,</w:t>
      </w:r>
      <w:r w:rsidRPr="005F63EF">
        <w:rPr>
          <w:color w:val="FF0000"/>
        </w:rPr>
        <w:t xml:space="preserve"> </w:t>
      </w:r>
      <w:r w:rsidRPr="005F63EF">
        <w:t xml:space="preserve">please submit a completed VA Form 21-526EZ, </w:t>
      </w:r>
      <w:r w:rsidRPr="005F63EF">
        <w:rPr>
          <w:i/>
          <w:iCs/>
        </w:rPr>
        <w:t xml:space="preserve">Application For Disability Compensation And Related Compensation Benefits, </w:t>
      </w:r>
      <w:r w:rsidRPr="005F63EF">
        <w:t xml:space="preserve">to the appropriate address listed on the attached </w:t>
      </w:r>
      <w:r w:rsidRPr="005F63EF">
        <w:rPr>
          <w:i/>
          <w:iCs/>
        </w:rPr>
        <w:t xml:space="preserve">Where to Send Your Written Correspondence </w:t>
      </w:r>
      <w:r w:rsidRPr="005F63EF">
        <w:t xml:space="preserve">chart. You can download the form at </w:t>
      </w:r>
      <w:hyperlink r:id="rId401" w:history="1">
        <w:r w:rsidRPr="005F63EF">
          <w:rPr>
            <w:rStyle w:val="Hyperlink"/>
          </w:rPr>
          <w:t>http://www.va.gov/vaforms</w:t>
        </w:r>
      </w:hyperlink>
      <w:r w:rsidRPr="005F63EF">
        <w:t xml:space="preserve"> or you can call us at 1-800-827-1000. We recommend you return the form as soon as you can, in order to ensure the earliest possible payment date, if an award is authorized.</w:t>
      </w:r>
      <w:r>
        <w:t>”</w:t>
      </w:r>
    </w:p>
    <w:p w:rsidR="002911EB" w:rsidRDefault="002911EB" w:rsidP="0049630C">
      <w:pPr>
        <w:pBdr>
          <w:top w:val="single" w:sz="4" w:space="1" w:color="auto"/>
          <w:left w:val="single" w:sz="4" w:space="4" w:color="auto"/>
          <w:bottom w:val="single" w:sz="4" w:space="0" w:color="auto"/>
          <w:right w:val="single" w:sz="4" w:space="4" w:color="auto"/>
        </w:pBdr>
      </w:pPr>
      <w:r w:rsidRPr="00275B3D">
        <w:t>*this a clarification, not a solicitation</w:t>
      </w:r>
    </w:p>
    <w:p w:rsidR="00535D6E" w:rsidRDefault="00535D6E" w:rsidP="0049630C">
      <w:pPr>
        <w:pBdr>
          <w:top w:val="single" w:sz="4" w:space="1" w:color="auto"/>
          <w:left w:val="single" w:sz="4" w:space="4" w:color="auto"/>
          <w:bottom w:val="single" w:sz="4" w:space="0" w:color="auto"/>
          <w:right w:val="single" w:sz="4" w:space="4" w:color="auto"/>
        </w:pBdr>
      </w:pPr>
    </w:p>
    <w:p w:rsidR="00535D6E" w:rsidRDefault="00535D6E" w:rsidP="0049630C">
      <w:pPr>
        <w:pBdr>
          <w:top w:val="single" w:sz="4" w:space="1" w:color="auto"/>
          <w:left w:val="single" w:sz="4" w:space="4" w:color="auto"/>
          <w:bottom w:val="single" w:sz="4" w:space="0" w:color="auto"/>
          <w:right w:val="single" w:sz="4" w:space="4" w:color="auto"/>
        </w:pBdr>
      </w:pPr>
      <w:r>
        <w:t xml:space="preserve">VSR, </w:t>
      </w:r>
      <w:r>
        <w:rPr>
          <w:b/>
          <w:bCs/>
        </w:rPr>
        <w:t>clarification*</w:t>
      </w:r>
      <w:r>
        <w:t xml:space="preserve"> is needed, so please include this in the notification letter to the Veteran:  “It is unclear whether you are seeking an increased evaluation for your service-connected {} based on the {list evidence that is unclear} received on {}. </w:t>
      </w:r>
      <w:r w:rsidRPr="005F63EF">
        <w:t xml:space="preserve">We recommend you </w:t>
      </w:r>
      <w:r>
        <w:t>clarify your intent</w:t>
      </w:r>
      <w:r w:rsidRPr="005F63EF">
        <w:t xml:space="preserve"> as soon as you can, in order to ensure the earliest possible payment date, if an award is authorized.</w:t>
      </w:r>
      <w:r>
        <w:t>”</w:t>
      </w:r>
    </w:p>
    <w:p w:rsidR="00535D6E" w:rsidRPr="002911EB" w:rsidRDefault="00535D6E" w:rsidP="0049630C">
      <w:pPr>
        <w:pBdr>
          <w:top w:val="single" w:sz="4" w:space="1" w:color="auto"/>
          <w:left w:val="single" w:sz="4" w:space="4" w:color="auto"/>
          <w:bottom w:val="single" w:sz="4" w:space="0" w:color="auto"/>
          <w:right w:val="single" w:sz="4" w:space="4" w:color="auto"/>
        </w:pBdr>
      </w:pPr>
      <w:r w:rsidRPr="00275B3D">
        <w:t>*this a clarification, not a solicitation</w:t>
      </w:r>
    </w:p>
    <w:p w:rsidR="007560D0" w:rsidRDefault="007560D0" w:rsidP="007560D0">
      <w:pPr>
        <w:widowControl w:val="0"/>
        <w:tabs>
          <w:tab w:val="left" w:pos="0"/>
          <w:tab w:val="left" w:pos="144"/>
        </w:tabs>
        <w:rPr>
          <w:b/>
          <w:bCs/>
          <w:sz w:val="22"/>
        </w:rPr>
      </w:pPr>
    </w:p>
    <w:p w:rsidR="007560D0" w:rsidRPr="00191CFD" w:rsidRDefault="00D571C5" w:rsidP="00691877">
      <w:pPr>
        <w:numPr>
          <w:ilvl w:val="0"/>
          <w:numId w:val="4"/>
        </w:numPr>
        <w:tabs>
          <w:tab w:val="clear" w:pos="720"/>
          <w:tab w:val="num" w:pos="360"/>
        </w:tabs>
        <w:spacing w:after="120"/>
        <w:ind w:left="360"/>
        <w:rPr>
          <w:color w:val="000000"/>
        </w:rPr>
      </w:pPr>
      <w:hyperlink r:id="rId402" w:history="1">
        <w:r w:rsidR="007560D0" w:rsidRPr="00917D80">
          <w:rPr>
            <w:rStyle w:val="Hyperlink"/>
            <w:b/>
            <w:i/>
          </w:rPr>
          <w:t>QRT FY13 Local Narratives</w:t>
        </w:r>
      </w:hyperlink>
      <w:r w:rsidR="007560D0" w:rsidRPr="00917D80">
        <w:rPr>
          <w:bCs/>
          <w:iCs/>
        </w:rPr>
        <w:t xml:space="preserve"> – if claimed left eye, but VAE diagnoses right eye, should deny left eye and invite right eye</w:t>
      </w:r>
    </w:p>
    <w:p w:rsidR="00191CFD" w:rsidRPr="005C31FD" w:rsidRDefault="00D571C5" w:rsidP="00691877">
      <w:pPr>
        <w:numPr>
          <w:ilvl w:val="0"/>
          <w:numId w:val="4"/>
        </w:numPr>
        <w:tabs>
          <w:tab w:val="clear" w:pos="720"/>
          <w:tab w:val="num" w:pos="360"/>
        </w:tabs>
        <w:spacing w:after="120"/>
        <w:ind w:left="360"/>
        <w:rPr>
          <w:color w:val="000000"/>
        </w:rPr>
      </w:pPr>
      <w:hyperlink r:id="rId403" w:history="1">
        <w:r w:rsidR="00191CFD" w:rsidRPr="005A03EA">
          <w:rPr>
            <w:rStyle w:val="Hyperlink"/>
            <w:b/>
            <w:bCs/>
            <w:i/>
          </w:rPr>
          <w:t>March 2016 Quality Call Notes</w:t>
        </w:r>
      </w:hyperlink>
      <w:r w:rsidR="00191CFD" w:rsidRPr="005A03EA">
        <w:rPr>
          <w:bCs/>
        </w:rPr>
        <w:t xml:space="preserve"> –</w:t>
      </w:r>
      <w:r w:rsidR="00191CFD">
        <w:rPr>
          <w:bCs/>
        </w:rPr>
        <w:t xml:space="preserve"> Solicitation of a claim for increase is only </w:t>
      </w:r>
      <w:r w:rsidR="00191CFD" w:rsidRPr="002D07AC">
        <w:rPr>
          <w:bCs/>
          <w:u w:val="single"/>
        </w:rPr>
        <w:t>required</w:t>
      </w:r>
      <w:r w:rsidR="00191CFD">
        <w:rPr>
          <w:bCs/>
        </w:rPr>
        <w:t xml:space="preserve"> for diabetes mellitus</w:t>
      </w:r>
      <w:r w:rsidR="00FE4BBD">
        <w:rPr>
          <w:bCs/>
        </w:rPr>
        <w:t xml:space="preserve"> &amp; it’s complications (if DM &amp;/or that specific complication(s) NOT claimed, but another complication was claimed; </w:t>
      </w:r>
      <w:r w:rsidR="00FE4BBD" w:rsidRPr="00FE4BBD">
        <w:rPr>
          <w:bCs/>
          <w:i/>
        </w:rPr>
        <w:t>my example: eyes claimed,</w:t>
      </w:r>
      <w:r w:rsidR="00CB3BA2">
        <w:rPr>
          <w:bCs/>
          <w:i/>
        </w:rPr>
        <w:t xml:space="preserve"> </w:t>
      </w:r>
      <w:r w:rsidR="00FE4BBD" w:rsidRPr="00FE4BBD">
        <w:rPr>
          <w:bCs/>
          <w:i/>
        </w:rPr>
        <w:t>but TRs show nephropathy diagnosed/worsened</w:t>
      </w:r>
      <w:r w:rsidR="00FE4BBD">
        <w:rPr>
          <w:bCs/>
        </w:rPr>
        <w:t>)</w:t>
      </w:r>
      <w:r w:rsidR="00191CFD">
        <w:rPr>
          <w:bCs/>
        </w:rPr>
        <w:t xml:space="preserve">, per </w:t>
      </w:r>
      <w:r w:rsidR="006D16BF">
        <w:rPr>
          <w:b/>
          <w:bCs/>
        </w:rPr>
        <w:t>III.iv.4.M</w:t>
      </w:r>
      <w:r w:rsidR="00191CFD" w:rsidRPr="00FE4BBD">
        <w:rPr>
          <w:b/>
          <w:bCs/>
        </w:rPr>
        <w:t>.1.</w:t>
      </w:r>
      <w:r w:rsidR="00B564E7">
        <w:rPr>
          <w:b/>
          <w:bCs/>
        </w:rPr>
        <w:t>g</w:t>
      </w:r>
      <w:r w:rsidR="00191CFD">
        <w:rPr>
          <w:bCs/>
        </w:rPr>
        <w:t>; otherwise solicitation of a claim for SC</w:t>
      </w:r>
      <w:r w:rsidR="00FE4BBD">
        <w:rPr>
          <w:bCs/>
        </w:rPr>
        <w:t xml:space="preserve"> for chronic, unclaimed disabilities notes in STRs</w:t>
      </w:r>
      <w:r w:rsidR="00191CFD">
        <w:rPr>
          <w:bCs/>
        </w:rPr>
        <w:t xml:space="preserve"> is just </w:t>
      </w:r>
      <w:r w:rsidR="00191CFD" w:rsidRPr="002D07AC">
        <w:rPr>
          <w:bCs/>
          <w:u w:val="single"/>
        </w:rPr>
        <w:t>encouraged</w:t>
      </w:r>
      <w:r w:rsidR="00191CFD">
        <w:rPr>
          <w:bCs/>
        </w:rPr>
        <w:t xml:space="preserve">, per </w:t>
      </w:r>
      <w:r w:rsidR="00191CFD" w:rsidRPr="00FE4BBD">
        <w:rPr>
          <w:b/>
          <w:bCs/>
        </w:rPr>
        <w:t>IV.ii.2.A.1.a</w:t>
      </w:r>
      <w:r w:rsidR="00191CFD">
        <w:rPr>
          <w:bCs/>
        </w:rPr>
        <w:t xml:space="preserve"> (says it is not an error NOT to solicit)</w:t>
      </w:r>
      <w:r w:rsidR="0004245D">
        <w:rPr>
          <w:bCs/>
        </w:rPr>
        <w:t xml:space="preserve"> (also says, in Q&amp;A, if claimed PTSD &amp; increase in DM shown in TRs, </w:t>
      </w:r>
      <w:r w:rsidR="0004245D" w:rsidRPr="0004245D">
        <w:rPr>
          <w:bCs/>
          <w:u w:val="single"/>
        </w:rPr>
        <w:t>could consider</w:t>
      </w:r>
      <w:r w:rsidR="0004245D">
        <w:rPr>
          <w:bCs/>
        </w:rPr>
        <w:t xml:space="preserve"> soliciting CFI, </w:t>
      </w:r>
      <w:r w:rsidR="0004245D" w:rsidRPr="0004245D">
        <w:rPr>
          <w:bCs/>
          <w:i/>
        </w:rPr>
        <w:t xml:space="preserve">seems not to be </w:t>
      </w:r>
      <w:r w:rsidR="0004245D" w:rsidRPr="0004245D">
        <w:rPr>
          <w:bCs/>
          <w:i/>
          <w:u w:val="single"/>
        </w:rPr>
        <w:t>required</w:t>
      </w:r>
      <w:r w:rsidR="0004245D" w:rsidRPr="0004245D">
        <w:rPr>
          <w:bCs/>
          <w:i/>
        </w:rPr>
        <w:t xml:space="preserve"> in this case</w:t>
      </w:r>
      <w:r w:rsidR="0004245D">
        <w:rPr>
          <w:bCs/>
        </w:rPr>
        <w:t>)</w:t>
      </w:r>
      <w:r w:rsidR="003C1306">
        <w:rPr>
          <w:bCs/>
        </w:rPr>
        <w:t xml:space="preserve"> [</w:t>
      </w:r>
      <w:r w:rsidR="003C1306" w:rsidRPr="003C1306">
        <w:rPr>
          <w:bCs/>
          <w:i/>
        </w:rPr>
        <w:t>per QRT/GiaBao</w:t>
      </w:r>
      <w:r w:rsidR="00330E23">
        <w:rPr>
          <w:bCs/>
          <w:i/>
        </w:rPr>
        <w:t xml:space="preserve"> Nguyen</w:t>
      </w:r>
      <w:r w:rsidR="003C1306" w:rsidRPr="003C1306">
        <w:rPr>
          <w:bCs/>
          <w:i/>
        </w:rPr>
        <w:t xml:space="preserve">, 5/25/17, if see worsening in SC cond in DBQ, can solicit claim &amp; if claim within one year, can use date of DBQ for </w:t>
      </w:r>
      <w:r w:rsidR="004F315B">
        <w:rPr>
          <w:bCs/>
          <w:i/>
        </w:rPr>
        <w:t>effective date</w:t>
      </w:r>
      <w:r w:rsidR="003C1306" w:rsidRPr="003C1306">
        <w:rPr>
          <w:bCs/>
          <w:i/>
        </w:rPr>
        <w:t>]</w:t>
      </w:r>
    </w:p>
    <w:p w:rsidR="005C31FD" w:rsidRPr="00917D80" w:rsidRDefault="00D571C5" w:rsidP="00691877">
      <w:pPr>
        <w:numPr>
          <w:ilvl w:val="0"/>
          <w:numId w:val="4"/>
        </w:numPr>
        <w:tabs>
          <w:tab w:val="clear" w:pos="720"/>
          <w:tab w:val="num" w:pos="360"/>
        </w:tabs>
        <w:spacing w:after="120"/>
        <w:ind w:left="360"/>
        <w:rPr>
          <w:color w:val="000000"/>
        </w:rPr>
      </w:pPr>
      <w:hyperlink r:id="rId404" w:history="1">
        <w:r w:rsidR="005C31FD" w:rsidRPr="003F619B">
          <w:rPr>
            <w:rStyle w:val="Hyperlink"/>
            <w:b/>
            <w:bCs/>
            <w:i/>
          </w:rPr>
          <w:t>August 2016 Quality Call Notes</w:t>
        </w:r>
      </w:hyperlink>
      <w:r w:rsidR="005C31FD" w:rsidRPr="003F619B">
        <w:rPr>
          <w:i/>
        </w:rPr>
        <w:t xml:space="preserve"> </w:t>
      </w:r>
      <w:r w:rsidR="005C31FD" w:rsidRPr="003F619B">
        <w:rPr>
          <w:rFonts w:eastAsiaTheme="minorHAnsi"/>
        </w:rPr>
        <w:t>–</w:t>
      </w:r>
      <w:r w:rsidR="005C31FD">
        <w:rPr>
          <w:rFonts w:eastAsiaTheme="minorHAnsi"/>
        </w:rPr>
        <w:t xml:space="preserve"> </w:t>
      </w:r>
      <w:r w:rsidR="00521A8E">
        <w:rPr>
          <w:rFonts w:eastAsiaTheme="minorHAnsi"/>
        </w:rPr>
        <w:t xml:space="preserve">Claim for “exposure to Agent Orange” on 526 with subsequent 4138 claiming SC for diabetes cannot be considered the same claim unless we call veteran &amp; clarify, per </w:t>
      </w:r>
      <w:r w:rsidR="00521A8E" w:rsidRPr="00521A8E">
        <w:rPr>
          <w:rFonts w:eastAsiaTheme="minorHAnsi"/>
          <w:b/>
        </w:rPr>
        <w:t>IV.ii.1.H.1.j</w:t>
      </w:r>
      <w:r w:rsidR="00521A8E">
        <w:rPr>
          <w:rFonts w:eastAsiaTheme="minorHAnsi"/>
        </w:rPr>
        <w:t xml:space="preserve"> </w:t>
      </w:r>
    </w:p>
    <w:p w:rsidR="007560D0" w:rsidRDefault="007560D0">
      <w:pPr>
        <w:widowControl w:val="0"/>
        <w:tabs>
          <w:tab w:val="left" w:pos="0"/>
          <w:tab w:val="left" w:pos="144"/>
        </w:tabs>
        <w:outlineLvl w:val="0"/>
      </w:pPr>
    </w:p>
    <w:p w:rsidR="00013EB8" w:rsidRDefault="00013EB8">
      <w:pPr>
        <w:widowControl w:val="0"/>
        <w:numPr>
          <w:ilvl w:val="12"/>
          <w:numId w:val="0"/>
        </w:numPr>
        <w:pBdr>
          <w:top w:val="single" w:sz="6" w:space="1" w:color="auto"/>
        </w:pBdr>
        <w:rPr>
          <w:b/>
          <w:u w:val="single"/>
        </w:rPr>
      </w:pPr>
    </w:p>
    <w:p w:rsidR="00013EB8" w:rsidRDefault="00013EB8">
      <w:pPr>
        <w:widowControl w:val="0"/>
        <w:numPr>
          <w:ilvl w:val="12"/>
          <w:numId w:val="0"/>
        </w:numPr>
        <w:pBdr>
          <w:top w:val="single" w:sz="6" w:space="1" w:color="auto"/>
        </w:pBdr>
        <w:rPr>
          <w:i/>
        </w:rPr>
      </w:pPr>
      <w:r w:rsidRPr="00AE0E75">
        <w:rPr>
          <w:b/>
          <w:u w:val="single"/>
        </w:rPr>
        <w:t>3.309(</w:t>
      </w:r>
      <w:r>
        <w:rPr>
          <w:b/>
          <w:u w:val="single"/>
        </w:rPr>
        <w:t>b) Tropical diseases</w:t>
      </w:r>
      <w:r>
        <w:t xml:space="preserve"> </w:t>
      </w:r>
      <w:r>
        <w:rPr>
          <w:i/>
        </w:rPr>
        <w:t xml:space="preserve">– </w:t>
      </w:r>
    </w:p>
    <w:p w:rsidR="00013EB8" w:rsidRDefault="00013EB8">
      <w:pPr>
        <w:widowControl w:val="0"/>
        <w:numPr>
          <w:ilvl w:val="12"/>
          <w:numId w:val="0"/>
        </w:numPr>
        <w:pBdr>
          <w:top w:val="single" w:sz="6" w:space="1" w:color="auto"/>
        </w:pBdr>
        <w:rPr>
          <w:b/>
          <w:iCs/>
        </w:rPr>
      </w:pPr>
      <w:r w:rsidRPr="00AE0E75">
        <w:rPr>
          <w:b/>
        </w:rPr>
        <w:t>3.307</w:t>
      </w:r>
      <w:r>
        <w:rPr>
          <w:b/>
          <w:iCs/>
        </w:rPr>
        <w:t xml:space="preserve"> </w:t>
      </w:r>
    </w:p>
    <w:p w:rsidR="00013EB8" w:rsidRDefault="00013EB8">
      <w:pPr>
        <w:widowControl w:val="0"/>
        <w:numPr>
          <w:ilvl w:val="12"/>
          <w:numId w:val="0"/>
        </w:numPr>
        <w:pBdr>
          <w:top w:val="single" w:sz="6" w:space="1" w:color="auto"/>
        </w:pBdr>
        <w:rPr>
          <w:b/>
          <w:iCs/>
        </w:rPr>
      </w:pPr>
      <w:r w:rsidRPr="00AE0E75">
        <w:rPr>
          <w:b/>
          <w:iCs/>
        </w:rPr>
        <w:t>3.308</w:t>
      </w:r>
    </w:p>
    <w:p w:rsidR="00013EB8" w:rsidRPr="00746324" w:rsidRDefault="00746324">
      <w:pPr>
        <w:widowControl w:val="0"/>
        <w:numPr>
          <w:ilvl w:val="12"/>
          <w:numId w:val="0"/>
        </w:numPr>
        <w:pBdr>
          <w:top w:val="single" w:sz="6" w:space="1" w:color="auto"/>
        </w:pBdr>
        <w:rPr>
          <w:b/>
          <w:bCs/>
        </w:rPr>
      </w:pPr>
      <w:r w:rsidRPr="00746324">
        <w:rPr>
          <w:b/>
          <w:bCs/>
        </w:rPr>
        <w:t>IV.ii.1.H</w:t>
      </w:r>
    </w:p>
    <w:p w:rsidR="00013EB8" w:rsidRPr="00B459F6" w:rsidRDefault="00F555A4">
      <w:pPr>
        <w:widowControl w:val="0"/>
        <w:numPr>
          <w:ilvl w:val="12"/>
          <w:numId w:val="0"/>
        </w:numPr>
        <w:pBdr>
          <w:top w:val="single" w:sz="6" w:space="1" w:color="auto"/>
        </w:pBdr>
        <w:rPr>
          <w:color w:val="0000FF"/>
        </w:rPr>
      </w:pPr>
      <w:r w:rsidRPr="00B459F6">
        <w:rPr>
          <w:b/>
          <w:bCs/>
        </w:rPr>
        <w:t>IV.ii.2.B</w:t>
      </w:r>
    </w:p>
    <w:p w:rsidR="00013EB8" w:rsidRDefault="00364863">
      <w:pPr>
        <w:widowControl w:val="0"/>
        <w:numPr>
          <w:ilvl w:val="12"/>
          <w:numId w:val="0"/>
        </w:numPr>
        <w:pBdr>
          <w:top w:val="single" w:sz="6" w:space="1" w:color="auto"/>
        </w:pBdr>
        <w:rPr>
          <w:i/>
        </w:rPr>
      </w:pPr>
      <w:r>
        <w:rPr>
          <w:b/>
          <w:bCs/>
        </w:rPr>
        <w:t>III.iv.4.E</w:t>
      </w:r>
    </w:p>
    <w:p w:rsidR="00013EB8" w:rsidRDefault="00013EB8">
      <w:pPr>
        <w:widowControl w:val="0"/>
        <w:numPr>
          <w:ilvl w:val="12"/>
          <w:numId w:val="0"/>
        </w:numPr>
      </w:pPr>
      <w:r>
        <w:t xml:space="preserve">Only the following diseases shall be granted service connection as a result of tropical service, although not otherwise established as incurred in service if manifested to </w:t>
      </w:r>
      <w:r>
        <w:rPr>
          <w:b/>
          <w:i/>
        </w:rPr>
        <w:t>10% within 1 year</w:t>
      </w:r>
      <w:r>
        <w:t xml:space="preserve"> from date discharge or at a time when standard accepted treatises indicate that the incubation period commenced during such service.</w:t>
      </w:r>
      <w:r>
        <w:tab/>
      </w:r>
      <w:r>
        <w:tab/>
      </w:r>
      <w:r>
        <w:tab/>
      </w:r>
    </w:p>
    <w:p w:rsidR="00013EB8" w:rsidRDefault="00013EB8">
      <w:pPr>
        <w:widowControl w:val="0"/>
        <w:numPr>
          <w:ilvl w:val="12"/>
          <w:numId w:val="0"/>
        </w:numPr>
      </w:pPr>
      <w:r>
        <w:rPr>
          <w:b/>
          <w:i/>
        </w:rPr>
        <w:t xml:space="preserve">Need 90 days svc (per </w:t>
      </w:r>
      <w:r w:rsidRPr="00AE0E75">
        <w:rPr>
          <w:b/>
        </w:rPr>
        <w:t>3.307</w:t>
      </w:r>
      <w:r>
        <w:rPr>
          <w:b/>
          <w:i/>
        </w:rPr>
        <w:t>(a)(1))</w:t>
      </w:r>
    </w:p>
    <w:p w:rsidR="00013EB8" w:rsidRDefault="00013EB8">
      <w:pPr>
        <w:widowControl w:val="0"/>
        <w:numPr>
          <w:ilvl w:val="12"/>
          <w:numId w:val="0"/>
        </w:numPr>
        <w:rPr>
          <w:sz w:val="18"/>
        </w:rPr>
      </w:pPr>
    </w:p>
    <w:p w:rsidR="00013EB8" w:rsidRDefault="00013EB8">
      <w:pPr>
        <w:widowControl w:val="0"/>
        <w:numPr>
          <w:ilvl w:val="12"/>
          <w:numId w:val="0"/>
        </w:numPr>
        <w:rPr>
          <w:sz w:val="18"/>
        </w:rPr>
      </w:pPr>
      <w:r>
        <w:rPr>
          <w:sz w:val="18"/>
        </w:rPr>
        <w:t xml:space="preserve">Amebiasis </w:t>
      </w:r>
      <w:r>
        <w:rPr>
          <w:i/>
          <w:sz w:val="18"/>
        </w:rPr>
        <w:t>(digestive)</w:t>
      </w:r>
    </w:p>
    <w:p w:rsidR="00013EB8" w:rsidRDefault="00013EB8">
      <w:pPr>
        <w:widowControl w:val="0"/>
        <w:numPr>
          <w:ilvl w:val="12"/>
          <w:numId w:val="0"/>
        </w:numPr>
        <w:rPr>
          <w:sz w:val="18"/>
        </w:rPr>
      </w:pPr>
      <w:r>
        <w:rPr>
          <w:sz w:val="18"/>
        </w:rPr>
        <w:t>Blackwater fever</w:t>
      </w:r>
    </w:p>
    <w:p w:rsidR="00013EB8" w:rsidRDefault="00013EB8">
      <w:pPr>
        <w:widowControl w:val="0"/>
        <w:numPr>
          <w:ilvl w:val="12"/>
          <w:numId w:val="0"/>
        </w:numPr>
        <w:rPr>
          <w:sz w:val="18"/>
        </w:rPr>
      </w:pPr>
      <w:r>
        <w:rPr>
          <w:sz w:val="18"/>
        </w:rPr>
        <w:t>Cholera</w:t>
      </w:r>
    </w:p>
    <w:p w:rsidR="00013EB8" w:rsidRDefault="00013EB8">
      <w:pPr>
        <w:widowControl w:val="0"/>
        <w:numPr>
          <w:ilvl w:val="12"/>
          <w:numId w:val="0"/>
        </w:numPr>
        <w:rPr>
          <w:sz w:val="18"/>
        </w:rPr>
      </w:pPr>
      <w:r>
        <w:rPr>
          <w:sz w:val="18"/>
        </w:rPr>
        <w:t>Dracontiasis</w:t>
      </w:r>
    </w:p>
    <w:p w:rsidR="00013EB8" w:rsidRDefault="00013EB8">
      <w:pPr>
        <w:widowControl w:val="0"/>
        <w:numPr>
          <w:ilvl w:val="12"/>
          <w:numId w:val="0"/>
        </w:numPr>
        <w:rPr>
          <w:sz w:val="18"/>
        </w:rPr>
      </w:pPr>
      <w:r>
        <w:rPr>
          <w:sz w:val="18"/>
        </w:rPr>
        <w:t>Dysentery (</w:t>
      </w:r>
      <w:r w:rsidRPr="008E5C3A">
        <w:rPr>
          <w:sz w:val="18"/>
        </w:rPr>
        <w:t>7322</w:t>
      </w:r>
      <w:r>
        <w:rPr>
          <w:sz w:val="18"/>
        </w:rPr>
        <w:t>)</w:t>
      </w:r>
    </w:p>
    <w:p w:rsidR="00013EB8" w:rsidRDefault="00013EB8">
      <w:pPr>
        <w:widowControl w:val="0"/>
        <w:numPr>
          <w:ilvl w:val="12"/>
          <w:numId w:val="0"/>
        </w:numPr>
        <w:rPr>
          <w:sz w:val="18"/>
        </w:rPr>
      </w:pPr>
      <w:r>
        <w:rPr>
          <w:sz w:val="18"/>
        </w:rPr>
        <w:t>Filariasis</w:t>
      </w:r>
    </w:p>
    <w:p w:rsidR="00013EB8" w:rsidRDefault="00013EB8">
      <w:pPr>
        <w:widowControl w:val="0"/>
        <w:numPr>
          <w:ilvl w:val="12"/>
          <w:numId w:val="0"/>
        </w:numPr>
        <w:rPr>
          <w:sz w:val="18"/>
        </w:rPr>
      </w:pPr>
      <w:r>
        <w:rPr>
          <w:sz w:val="18"/>
        </w:rPr>
        <w:t xml:space="preserve">Leishmaniasis, including kala-azar [oriental sore and espundia (old world cutaneous and American mucocutaneous leishmaniasis)], up to 1 yr incubation </w:t>
      </w:r>
      <w:r>
        <w:rPr>
          <w:i/>
          <w:sz w:val="18"/>
        </w:rPr>
        <w:t>(skin)</w:t>
      </w:r>
    </w:p>
    <w:p w:rsidR="00013EB8" w:rsidRDefault="00013EB8">
      <w:pPr>
        <w:widowControl w:val="0"/>
        <w:numPr>
          <w:ilvl w:val="12"/>
          <w:numId w:val="0"/>
        </w:numPr>
        <w:rPr>
          <w:sz w:val="18"/>
        </w:rPr>
      </w:pPr>
      <w:r>
        <w:rPr>
          <w:sz w:val="18"/>
        </w:rPr>
        <w:t>Loiasis</w:t>
      </w:r>
    </w:p>
    <w:p w:rsidR="00013EB8" w:rsidRDefault="00013EB8">
      <w:pPr>
        <w:widowControl w:val="0"/>
        <w:numPr>
          <w:ilvl w:val="12"/>
          <w:numId w:val="0"/>
        </w:numPr>
        <w:rPr>
          <w:sz w:val="18"/>
        </w:rPr>
      </w:pPr>
      <w:r>
        <w:rPr>
          <w:sz w:val="18"/>
        </w:rPr>
        <w:t xml:space="preserve">Malaria </w:t>
      </w:r>
    </w:p>
    <w:p w:rsidR="00013EB8" w:rsidRDefault="00013EB8">
      <w:pPr>
        <w:widowControl w:val="0"/>
        <w:numPr>
          <w:ilvl w:val="12"/>
          <w:numId w:val="0"/>
        </w:numPr>
        <w:rPr>
          <w:sz w:val="18"/>
        </w:rPr>
      </w:pPr>
      <w:r>
        <w:rPr>
          <w:sz w:val="18"/>
        </w:rPr>
        <w:t xml:space="preserve">Onchocerciasis </w:t>
      </w:r>
      <w:r>
        <w:rPr>
          <w:i/>
          <w:sz w:val="18"/>
        </w:rPr>
        <w:t>(skin)</w:t>
      </w:r>
    </w:p>
    <w:p w:rsidR="00013EB8" w:rsidRDefault="00013EB8">
      <w:pPr>
        <w:widowControl w:val="0"/>
        <w:numPr>
          <w:ilvl w:val="12"/>
          <w:numId w:val="0"/>
        </w:numPr>
        <w:rPr>
          <w:sz w:val="18"/>
        </w:rPr>
      </w:pPr>
      <w:r>
        <w:rPr>
          <w:sz w:val="18"/>
        </w:rPr>
        <w:t xml:space="preserve">Oroya fever [verruga peruana is a late residual] </w:t>
      </w:r>
      <w:r>
        <w:rPr>
          <w:i/>
          <w:sz w:val="18"/>
        </w:rPr>
        <w:t>(skin)</w:t>
      </w:r>
    </w:p>
    <w:p w:rsidR="00013EB8" w:rsidRDefault="00013EB8">
      <w:pPr>
        <w:widowControl w:val="0"/>
        <w:numPr>
          <w:ilvl w:val="12"/>
          <w:numId w:val="0"/>
        </w:numPr>
        <w:rPr>
          <w:sz w:val="18"/>
        </w:rPr>
      </w:pPr>
      <w:r>
        <w:rPr>
          <w:sz w:val="18"/>
        </w:rPr>
        <w:t xml:space="preserve">Pinta </w:t>
      </w:r>
      <w:r>
        <w:rPr>
          <w:i/>
          <w:sz w:val="18"/>
        </w:rPr>
        <w:t>(skin)</w:t>
      </w:r>
    </w:p>
    <w:p w:rsidR="00013EB8" w:rsidRDefault="00013EB8">
      <w:pPr>
        <w:widowControl w:val="0"/>
        <w:numPr>
          <w:ilvl w:val="12"/>
          <w:numId w:val="0"/>
        </w:numPr>
        <w:rPr>
          <w:sz w:val="18"/>
        </w:rPr>
      </w:pPr>
      <w:r>
        <w:rPr>
          <w:sz w:val="18"/>
        </w:rPr>
        <w:t xml:space="preserve">Plague </w:t>
      </w:r>
    </w:p>
    <w:p w:rsidR="00013EB8" w:rsidRDefault="00013EB8">
      <w:pPr>
        <w:widowControl w:val="0"/>
        <w:numPr>
          <w:ilvl w:val="12"/>
          <w:numId w:val="0"/>
        </w:numPr>
        <w:rPr>
          <w:sz w:val="18"/>
        </w:rPr>
      </w:pPr>
      <w:r>
        <w:rPr>
          <w:sz w:val="18"/>
        </w:rPr>
        <w:t xml:space="preserve">Schistosomiasis </w:t>
      </w:r>
      <w:r>
        <w:rPr>
          <w:i/>
          <w:sz w:val="18"/>
        </w:rPr>
        <w:t>(digestive)</w:t>
      </w:r>
    </w:p>
    <w:p w:rsidR="00013EB8" w:rsidRDefault="00013EB8">
      <w:pPr>
        <w:widowControl w:val="0"/>
        <w:numPr>
          <w:ilvl w:val="12"/>
          <w:numId w:val="0"/>
        </w:numPr>
        <w:rPr>
          <w:sz w:val="18"/>
        </w:rPr>
      </w:pPr>
      <w:r>
        <w:rPr>
          <w:sz w:val="18"/>
        </w:rPr>
        <w:t>Yaws</w:t>
      </w:r>
    </w:p>
    <w:p w:rsidR="00013EB8" w:rsidRDefault="00013EB8">
      <w:pPr>
        <w:widowControl w:val="0"/>
        <w:numPr>
          <w:ilvl w:val="12"/>
          <w:numId w:val="0"/>
        </w:numPr>
        <w:rPr>
          <w:sz w:val="18"/>
        </w:rPr>
      </w:pPr>
      <w:r>
        <w:rPr>
          <w:sz w:val="18"/>
        </w:rPr>
        <w:t>Yellow fever</w:t>
      </w:r>
    </w:p>
    <w:p w:rsidR="00013EB8" w:rsidRDefault="00013EB8">
      <w:pPr>
        <w:pStyle w:val="BodyText"/>
        <w:widowControl w:val="0"/>
        <w:numPr>
          <w:ilvl w:val="12"/>
          <w:numId w:val="0"/>
        </w:numPr>
        <w:rPr>
          <w:sz w:val="18"/>
        </w:rPr>
      </w:pPr>
      <w:r>
        <w:rPr>
          <w:sz w:val="18"/>
        </w:rPr>
        <w:t>Resultant disorders or diseases originating because of therapy administered in connection with such diseases or as a preventative thereof.</w:t>
      </w:r>
    </w:p>
    <w:p w:rsidR="00013EB8" w:rsidRDefault="00013EB8">
      <w:pPr>
        <w:widowControl w:val="0"/>
        <w:numPr>
          <w:ilvl w:val="12"/>
          <w:numId w:val="0"/>
        </w:numPr>
        <w:tabs>
          <w:tab w:val="left" w:pos="660"/>
          <w:tab w:val="left" w:pos="9390"/>
        </w:tabs>
        <w:ind w:left="-45"/>
        <w:rPr>
          <w:b/>
        </w:rPr>
      </w:pPr>
    </w:p>
    <w:p w:rsidR="00013EB8" w:rsidRDefault="00013EB8">
      <w:pPr>
        <w:widowControl w:val="0"/>
        <w:numPr>
          <w:ilvl w:val="12"/>
          <w:numId w:val="0"/>
        </w:numPr>
        <w:pBdr>
          <w:top w:val="single" w:sz="6" w:space="1" w:color="auto"/>
        </w:pBdr>
        <w:rPr>
          <w:b/>
          <w:u w:val="single"/>
        </w:rPr>
      </w:pPr>
    </w:p>
    <w:p w:rsidR="00013EB8" w:rsidRDefault="00013EB8">
      <w:pPr>
        <w:widowControl w:val="0"/>
        <w:numPr>
          <w:ilvl w:val="12"/>
          <w:numId w:val="0"/>
        </w:numPr>
        <w:pBdr>
          <w:top w:val="single" w:sz="6" w:space="1" w:color="auto"/>
        </w:pBdr>
        <w:spacing w:after="120"/>
        <w:rPr>
          <w:i/>
        </w:rPr>
      </w:pPr>
      <w:r w:rsidRPr="00D2563F">
        <w:rPr>
          <w:b/>
          <w:u w:val="single"/>
        </w:rPr>
        <w:t>3.309(c) Prisoners of War</w:t>
      </w:r>
      <w:r w:rsidRPr="00D2563F">
        <w:rPr>
          <w:i/>
        </w:rPr>
        <w:t xml:space="preserve"> –</w:t>
      </w:r>
      <w:r>
        <w:rPr>
          <w:i/>
        </w:rPr>
        <w:t xml:space="preserve"> </w:t>
      </w:r>
    </w:p>
    <w:p w:rsidR="00013EB8" w:rsidRDefault="00013EB8" w:rsidP="00333C92">
      <w:pPr>
        <w:widowControl w:val="0"/>
        <w:numPr>
          <w:ilvl w:val="0"/>
          <w:numId w:val="68"/>
        </w:numPr>
        <w:tabs>
          <w:tab w:val="clear" w:pos="720"/>
          <w:tab w:val="num" w:pos="400"/>
        </w:tabs>
        <w:spacing w:after="120"/>
        <w:ind w:left="400"/>
        <w:rPr>
          <w:b/>
          <w:iCs/>
        </w:rPr>
      </w:pPr>
      <w:r w:rsidRPr="00AE0E75">
        <w:rPr>
          <w:b/>
          <w:iCs/>
        </w:rPr>
        <w:t>3.1</w:t>
      </w:r>
      <w:r>
        <w:rPr>
          <w:b/>
          <w:iCs/>
        </w:rPr>
        <w:t>(y)</w:t>
      </w:r>
    </w:p>
    <w:p w:rsidR="00013EB8" w:rsidRDefault="00013EB8" w:rsidP="00333C92">
      <w:pPr>
        <w:widowControl w:val="0"/>
        <w:numPr>
          <w:ilvl w:val="0"/>
          <w:numId w:val="68"/>
        </w:numPr>
        <w:tabs>
          <w:tab w:val="clear" w:pos="720"/>
          <w:tab w:val="num" w:pos="400"/>
        </w:tabs>
        <w:spacing w:after="120"/>
        <w:ind w:left="400"/>
        <w:rPr>
          <w:b/>
          <w:iCs/>
        </w:rPr>
      </w:pPr>
      <w:r w:rsidRPr="00AE0E75">
        <w:rPr>
          <w:b/>
          <w:iCs/>
        </w:rPr>
        <w:t>3.22</w:t>
      </w:r>
    </w:p>
    <w:p w:rsidR="00013EB8" w:rsidRDefault="00013EB8" w:rsidP="00333C92">
      <w:pPr>
        <w:widowControl w:val="0"/>
        <w:numPr>
          <w:ilvl w:val="0"/>
          <w:numId w:val="68"/>
        </w:numPr>
        <w:tabs>
          <w:tab w:val="clear" w:pos="720"/>
          <w:tab w:val="num" w:pos="400"/>
        </w:tabs>
        <w:spacing w:after="120"/>
        <w:ind w:left="400"/>
        <w:rPr>
          <w:b/>
          <w:iCs/>
        </w:rPr>
      </w:pPr>
      <w:r w:rsidRPr="00AE0E75">
        <w:rPr>
          <w:b/>
          <w:iCs/>
        </w:rPr>
        <w:t>3.304</w:t>
      </w:r>
      <w:r>
        <w:rPr>
          <w:b/>
          <w:iCs/>
        </w:rPr>
        <w:t>(e)</w:t>
      </w:r>
    </w:p>
    <w:p w:rsidR="00013EB8" w:rsidRDefault="00013EB8" w:rsidP="00333C92">
      <w:pPr>
        <w:widowControl w:val="0"/>
        <w:numPr>
          <w:ilvl w:val="0"/>
          <w:numId w:val="68"/>
        </w:numPr>
        <w:tabs>
          <w:tab w:val="clear" w:pos="720"/>
          <w:tab w:val="num" w:pos="400"/>
        </w:tabs>
        <w:spacing w:after="120"/>
        <w:ind w:left="400"/>
        <w:rPr>
          <w:b/>
          <w:iCs/>
        </w:rPr>
      </w:pPr>
      <w:r w:rsidRPr="00AE0E75">
        <w:rPr>
          <w:b/>
          <w:iCs/>
        </w:rPr>
        <w:t>3.307</w:t>
      </w:r>
    </w:p>
    <w:p w:rsidR="00013EB8" w:rsidRDefault="00013EB8" w:rsidP="00333C92">
      <w:pPr>
        <w:widowControl w:val="0"/>
        <w:numPr>
          <w:ilvl w:val="0"/>
          <w:numId w:val="68"/>
        </w:numPr>
        <w:tabs>
          <w:tab w:val="clear" w:pos="720"/>
          <w:tab w:val="num" w:pos="400"/>
        </w:tabs>
        <w:spacing w:after="120"/>
        <w:ind w:left="400"/>
        <w:rPr>
          <w:b/>
          <w:iCs/>
        </w:rPr>
      </w:pPr>
      <w:r w:rsidRPr="00AE0E75">
        <w:rPr>
          <w:b/>
          <w:iCs/>
        </w:rPr>
        <w:t>3.309</w:t>
      </w:r>
      <w:r>
        <w:rPr>
          <w:b/>
          <w:iCs/>
        </w:rPr>
        <w:t>(c)</w:t>
      </w:r>
    </w:p>
    <w:p w:rsidR="00013EB8" w:rsidRDefault="00013EB8" w:rsidP="00333C92">
      <w:pPr>
        <w:widowControl w:val="0"/>
        <w:numPr>
          <w:ilvl w:val="0"/>
          <w:numId w:val="68"/>
        </w:numPr>
        <w:tabs>
          <w:tab w:val="clear" w:pos="720"/>
          <w:tab w:val="num" w:pos="400"/>
        </w:tabs>
        <w:spacing w:after="120"/>
        <w:ind w:left="400"/>
        <w:rPr>
          <w:i/>
        </w:rPr>
      </w:pPr>
      <w:r w:rsidRPr="00A60F30">
        <w:rPr>
          <w:b/>
          <w:bCs/>
        </w:rPr>
        <w:t>III.iii.2.G</w:t>
      </w:r>
      <w:r>
        <w:rPr>
          <w:color w:val="0000FF"/>
        </w:rPr>
        <w:t xml:space="preserve"> </w:t>
      </w:r>
      <w:r>
        <w:rPr>
          <w:b/>
          <w:i/>
        </w:rPr>
        <w:t>–</w:t>
      </w:r>
      <w:r>
        <w:rPr>
          <w:i/>
        </w:rPr>
        <w:t xml:space="preserve"> Former Prisoner of War Service Records</w:t>
      </w:r>
    </w:p>
    <w:p w:rsidR="00013EB8" w:rsidRDefault="00F01095" w:rsidP="00333C92">
      <w:pPr>
        <w:widowControl w:val="0"/>
        <w:numPr>
          <w:ilvl w:val="0"/>
          <w:numId w:val="68"/>
        </w:numPr>
        <w:tabs>
          <w:tab w:val="clear" w:pos="720"/>
          <w:tab w:val="num" w:pos="400"/>
        </w:tabs>
        <w:spacing w:after="120"/>
        <w:ind w:left="400"/>
        <w:rPr>
          <w:i/>
        </w:rPr>
      </w:pPr>
      <w:r>
        <w:rPr>
          <w:b/>
          <w:bCs/>
        </w:rPr>
        <w:t>III.iv.3</w:t>
      </w:r>
      <w:r w:rsidR="00013EB8">
        <w:t xml:space="preserve"> </w:t>
      </w:r>
      <w:r w:rsidR="00013EB8">
        <w:rPr>
          <w:b/>
          <w:i/>
        </w:rPr>
        <w:t xml:space="preserve">– </w:t>
      </w:r>
      <w:r w:rsidR="00013EB8">
        <w:rPr>
          <w:i/>
        </w:rPr>
        <w:t>Exams</w:t>
      </w:r>
    </w:p>
    <w:p w:rsidR="00013EB8" w:rsidRDefault="00013EB8" w:rsidP="00333C92">
      <w:pPr>
        <w:widowControl w:val="0"/>
        <w:numPr>
          <w:ilvl w:val="0"/>
          <w:numId w:val="68"/>
        </w:numPr>
        <w:tabs>
          <w:tab w:val="clear" w:pos="720"/>
          <w:tab w:val="num" w:pos="400"/>
        </w:tabs>
        <w:spacing w:after="120"/>
        <w:ind w:left="400"/>
      </w:pPr>
      <w:r w:rsidRPr="00B459F6">
        <w:rPr>
          <w:b/>
          <w:bCs/>
        </w:rPr>
        <w:t>III.v.1.C</w:t>
      </w:r>
      <w:r>
        <w:rPr>
          <w:color w:val="0000FF"/>
        </w:rPr>
        <w:t xml:space="preserve"> </w:t>
      </w:r>
      <w:r>
        <w:rPr>
          <w:b/>
          <w:i/>
        </w:rPr>
        <w:t xml:space="preserve">– </w:t>
      </w:r>
      <w:r>
        <w:rPr>
          <w:i/>
        </w:rPr>
        <w:t>Former Prisoner of War Status</w:t>
      </w:r>
    </w:p>
    <w:p w:rsidR="00013EB8" w:rsidRDefault="00013EB8" w:rsidP="00333C92">
      <w:pPr>
        <w:widowControl w:val="0"/>
        <w:numPr>
          <w:ilvl w:val="0"/>
          <w:numId w:val="68"/>
        </w:numPr>
        <w:tabs>
          <w:tab w:val="clear" w:pos="720"/>
          <w:tab w:val="num" w:pos="400"/>
        </w:tabs>
        <w:spacing w:after="120"/>
        <w:ind w:left="400"/>
        <w:rPr>
          <w:i/>
        </w:rPr>
      </w:pPr>
      <w:r w:rsidRPr="00B459F6">
        <w:rPr>
          <w:b/>
          <w:bCs/>
        </w:rPr>
        <w:t>IV.ii.1.G</w:t>
      </w:r>
      <w:r>
        <w:t xml:space="preserve"> </w:t>
      </w:r>
      <w:r>
        <w:rPr>
          <w:b/>
          <w:i/>
        </w:rPr>
        <w:t xml:space="preserve">– </w:t>
      </w:r>
      <w:r>
        <w:rPr>
          <w:bCs/>
          <w:i/>
        </w:rPr>
        <w:t>Claims Based on Former</w:t>
      </w:r>
      <w:r>
        <w:rPr>
          <w:b/>
          <w:i/>
        </w:rPr>
        <w:t xml:space="preserve"> </w:t>
      </w:r>
      <w:r>
        <w:rPr>
          <w:i/>
        </w:rPr>
        <w:t>Prisoner of War Status</w:t>
      </w:r>
    </w:p>
    <w:p w:rsidR="00B459F6" w:rsidRDefault="00B459F6" w:rsidP="00333C92">
      <w:pPr>
        <w:widowControl w:val="0"/>
        <w:numPr>
          <w:ilvl w:val="0"/>
          <w:numId w:val="68"/>
        </w:numPr>
        <w:tabs>
          <w:tab w:val="clear" w:pos="720"/>
          <w:tab w:val="num" w:pos="400"/>
        </w:tabs>
        <w:spacing w:after="120"/>
        <w:ind w:left="400"/>
        <w:rPr>
          <w:i/>
        </w:rPr>
      </w:pPr>
      <w:r w:rsidRPr="00B459F6">
        <w:rPr>
          <w:b/>
          <w:bCs/>
        </w:rPr>
        <w:t>IV.ii.2.E</w:t>
      </w:r>
      <w:r>
        <w:t xml:space="preserve"> </w:t>
      </w:r>
      <w:r>
        <w:rPr>
          <w:b/>
          <w:bCs/>
        </w:rPr>
        <w:t xml:space="preserve">– </w:t>
      </w:r>
      <w:r>
        <w:rPr>
          <w:i/>
        </w:rPr>
        <w:t>Service Connection for Disabilities Incurred as a Prisoner of War</w:t>
      </w:r>
    </w:p>
    <w:p w:rsidR="00013EB8" w:rsidRDefault="00B459F6" w:rsidP="00333C92">
      <w:pPr>
        <w:widowControl w:val="0"/>
        <w:numPr>
          <w:ilvl w:val="0"/>
          <w:numId w:val="68"/>
        </w:numPr>
        <w:tabs>
          <w:tab w:val="clear" w:pos="720"/>
          <w:tab w:val="num" w:pos="400"/>
        </w:tabs>
        <w:spacing w:after="120"/>
        <w:ind w:left="400"/>
        <w:rPr>
          <w:i/>
        </w:rPr>
      </w:pPr>
      <w:r w:rsidRPr="00B459F6">
        <w:rPr>
          <w:b/>
          <w:bCs/>
        </w:rPr>
        <w:t>IV.ii.2.F.4.e</w:t>
      </w:r>
      <w:r>
        <w:rPr>
          <w:b/>
          <w:bCs/>
        </w:rPr>
        <w:t xml:space="preserve"> </w:t>
      </w:r>
      <w:r w:rsidR="00013EB8">
        <w:rPr>
          <w:i/>
        </w:rPr>
        <w:t>– IU</w:t>
      </w:r>
    </w:p>
    <w:p w:rsidR="00013EB8" w:rsidRDefault="00013EB8">
      <w:pPr>
        <w:widowControl w:val="0"/>
        <w:numPr>
          <w:ilvl w:val="12"/>
          <w:numId w:val="0"/>
        </w:numPr>
      </w:pPr>
      <w:r>
        <w:t xml:space="preserve">Diseases specific as to former prisoners of war. If a veteran is: (1) A former prisoner of war and; (2) as such was interned or detained for not less than 30 days, only the following diseases shall be service-connected if manifest to a degree of </w:t>
      </w:r>
      <w:r>
        <w:rPr>
          <w:b/>
          <w:i/>
        </w:rPr>
        <w:t>10% or more at any time</w:t>
      </w:r>
      <w:r>
        <w:t xml:space="preserve"> after discharge or release from active military, naval, or air service even though there is no record of such disease during service (or if at 0% now). </w:t>
      </w:r>
      <w:r>
        <w:tab/>
      </w:r>
      <w:r>
        <w:tab/>
      </w:r>
      <w:r>
        <w:tab/>
      </w:r>
      <w:r>
        <w:tab/>
      </w:r>
      <w:r>
        <w:tab/>
      </w:r>
    </w:p>
    <w:p w:rsidR="00013EB8" w:rsidRDefault="00013EB8">
      <w:pPr>
        <w:widowControl w:val="0"/>
        <w:numPr>
          <w:ilvl w:val="12"/>
          <w:numId w:val="0"/>
        </w:numPr>
        <w:rPr>
          <w:iCs/>
        </w:rPr>
      </w:pPr>
      <w:r>
        <w:rPr>
          <w:b/>
          <w:iCs/>
          <w:u w:val="single"/>
        </w:rPr>
        <w:t>No</w:t>
      </w:r>
      <w:r>
        <w:rPr>
          <w:b/>
          <w:iCs/>
        </w:rPr>
        <w:t xml:space="preserve"> requirement for 90 days svc (per </w:t>
      </w:r>
      <w:r w:rsidRPr="00AE0E75">
        <w:rPr>
          <w:b/>
          <w:iCs/>
        </w:rPr>
        <w:t>3.307</w:t>
      </w:r>
      <w:r>
        <w:rPr>
          <w:b/>
          <w:iCs/>
        </w:rPr>
        <w:t>(a)(1))</w:t>
      </w:r>
    </w:p>
    <w:p w:rsidR="00013EB8" w:rsidRDefault="00013EB8">
      <w:pPr>
        <w:widowControl w:val="0"/>
        <w:numPr>
          <w:ilvl w:val="12"/>
          <w:numId w:val="0"/>
        </w:numPr>
        <w:rPr>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65"/>
        <w:gridCol w:w="3892"/>
        <w:gridCol w:w="993"/>
      </w:tblGrid>
      <w:tr w:rsidR="00013EB8">
        <w:tc>
          <w:tcPr>
            <w:tcW w:w="5708" w:type="dxa"/>
          </w:tcPr>
          <w:p w:rsidR="00013EB8" w:rsidRDefault="00013EB8">
            <w:pPr>
              <w:widowControl w:val="0"/>
              <w:numPr>
                <w:ilvl w:val="12"/>
                <w:numId w:val="0"/>
              </w:numPr>
              <w:rPr>
                <w:sz w:val="18"/>
              </w:rPr>
            </w:pPr>
            <w:r>
              <w:rPr>
                <w:sz w:val="18"/>
              </w:rPr>
              <w:t>Avitaminosis</w:t>
            </w:r>
          </w:p>
        </w:tc>
        <w:tc>
          <w:tcPr>
            <w:tcW w:w="4100" w:type="dxa"/>
          </w:tcPr>
          <w:p w:rsidR="00013EB8" w:rsidRDefault="00013EB8">
            <w:pPr>
              <w:pStyle w:val="Header"/>
              <w:widowControl w:val="0"/>
              <w:numPr>
                <w:ilvl w:val="12"/>
                <w:numId w:val="0"/>
              </w:numPr>
              <w:tabs>
                <w:tab w:val="clear" w:pos="4320"/>
                <w:tab w:val="clear" w:pos="8640"/>
              </w:tabs>
              <w:rPr>
                <w:sz w:val="18"/>
              </w:rPr>
            </w:pPr>
            <w:r>
              <w:rPr>
                <w:sz w:val="18"/>
              </w:rPr>
              <w:t>6313</w:t>
            </w:r>
          </w:p>
        </w:tc>
        <w:tc>
          <w:tcPr>
            <w:tcW w:w="1008" w:type="dxa"/>
          </w:tcPr>
          <w:p w:rsidR="00013EB8" w:rsidRDefault="00013EB8">
            <w:pPr>
              <w:widowControl w:val="0"/>
              <w:numPr>
                <w:ilvl w:val="12"/>
                <w:numId w:val="0"/>
              </w:numPr>
              <w:rPr>
                <w:sz w:val="18"/>
              </w:rPr>
            </w:pPr>
            <w:r>
              <w:rPr>
                <w:sz w:val="18"/>
              </w:rPr>
              <w:t>8/12/70</w:t>
            </w:r>
          </w:p>
        </w:tc>
      </w:tr>
      <w:tr w:rsidR="00013EB8">
        <w:tc>
          <w:tcPr>
            <w:tcW w:w="5708" w:type="dxa"/>
          </w:tcPr>
          <w:p w:rsidR="00013EB8" w:rsidRDefault="00013EB8">
            <w:pPr>
              <w:widowControl w:val="0"/>
              <w:numPr>
                <w:ilvl w:val="12"/>
                <w:numId w:val="0"/>
              </w:numPr>
              <w:rPr>
                <w:sz w:val="18"/>
              </w:rPr>
            </w:pPr>
            <w:r>
              <w:rPr>
                <w:sz w:val="18"/>
              </w:rPr>
              <w:t xml:space="preserve">Beriberi (including beriberi heart disease*) </w:t>
            </w:r>
            <w:r>
              <w:rPr>
                <w:sz w:val="14"/>
              </w:rPr>
              <w:t>lack of thiamine (peripheral neuro, cerebral &amp; cardio abnormalities)</w:t>
            </w:r>
          </w:p>
        </w:tc>
        <w:tc>
          <w:tcPr>
            <w:tcW w:w="4100" w:type="dxa"/>
          </w:tcPr>
          <w:p w:rsidR="00013EB8" w:rsidRDefault="00013EB8">
            <w:pPr>
              <w:pStyle w:val="Header"/>
              <w:widowControl w:val="0"/>
              <w:numPr>
                <w:ilvl w:val="12"/>
                <w:numId w:val="0"/>
              </w:numPr>
              <w:tabs>
                <w:tab w:val="clear" w:pos="4320"/>
                <w:tab w:val="clear" w:pos="8640"/>
              </w:tabs>
              <w:rPr>
                <w:sz w:val="18"/>
              </w:rPr>
            </w:pPr>
            <w:r>
              <w:rPr>
                <w:sz w:val="18"/>
              </w:rPr>
              <w:t>6314 or 7005</w:t>
            </w:r>
          </w:p>
        </w:tc>
        <w:tc>
          <w:tcPr>
            <w:tcW w:w="1008" w:type="dxa"/>
          </w:tcPr>
          <w:p w:rsidR="00013EB8" w:rsidRDefault="00013EB8">
            <w:pPr>
              <w:widowControl w:val="0"/>
              <w:numPr>
                <w:ilvl w:val="12"/>
                <w:numId w:val="0"/>
              </w:numPr>
              <w:rPr>
                <w:sz w:val="18"/>
              </w:rPr>
            </w:pPr>
            <w:r>
              <w:rPr>
                <w:sz w:val="18"/>
              </w:rPr>
              <w:t>8/12/70</w:t>
            </w:r>
          </w:p>
        </w:tc>
      </w:tr>
      <w:tr w:rsidR="00013EB8">
        <w:tc>
          <w:tcPr>
            <w:tcW w:w="5708" w:type="dxa"/>
          </w:tcPr>
          <w:p w:rsidR="00013EB8" w:rsidRDefault="00013EB8">
            <w:pPr>
              <w:widowControl w:val="0"/>
              <w:numPr>
                <w:ilvl w:val="12"/>
                <w:numId w:val="0"/>
              </w:numPr>
              <w:rPr>
                <w:sz w:val="18"/>
              </w:rPr>
            </w:pPr>
            <w:r>
              <w:rPr>
                <w:sz w:val="18"/>
              </w:rPr>
              <w:t xml:space="preserve">Chronic dysentery </w:t>
            </w:r>
          </w:p>
        </w:tc>
        <w:tc>
          <w:tcPr>
            <w:tcW w:w="4100" w:type="dxa"/>
          </w:tcPr>
          <w:p w:rsidR="00013EB8" w:rsidRDefault="00013EB8">
            <w:pPr>
              <w:widowControl w:val="0"/>
              <w:numPr>
                <w:ilvl w:val="12"/>
                <w:numId w:val="0"/>
              </w:numPr>
              <w:rPr>
                <w:sz w:val="18"/>
              </w:rPr>
            </w:pPr>
            <w:r w:rsidRPr="008E5C3A">
              <w:rPr>
                <w:sz w:val="18"/>
              </w:rPr>
              <w:t>7322</w:t>
            </w:r>
          </w:p>
        </w:tc>
        <w:tc>
          <w:tcPr>
            <w:tcW w:w="1008" w:type="dxa"/>
          </w:tcPr>
          <w:p w:rsidR="00013EB8" w:rsidRDefault="00013EB8">
            <w:pPr>
              <w:widowControl w:val="0"/>
              <w:numPr>
                <w:ilvl w:val="12"/>
                <w:numId w:val="0"/>
              </w:numPr>
              <w:rPr>
                <w:sz w:val="18"/>
              </w:rPr>
            </w:pPr>
            <w:r>
              <w:rPr>
                <w:sz w:val="18"/>
              </w:rPr>
              <w:t>8/12/70</w:t>
            </w:r>
          </w:p>
        </w:tc>
      </w:tr>
      <w:tr w:rsidR="00013EB8">
        <w:tc>
          <w:tcPr>
            <w:tcW w:w="5708" w:type="dxa"/>
          </w:tcPr>
          <w:p w:rsidR="00013EB8" w:rsidRDefault="00013EB8">
            <w:pPr>
              <w:widowControl w:val="0"/>
              <w:numPr>
                <w:ilvl w:val="12"/>
                <w:numId w:val="0"/>
              </w:numPr>
              <w:rPr>
                <w:sz w:val="18"/>
              </w:rPr>
            </w:pPr>
            <w:r>
              <w:rPr>
                <w:sz w:val="18"/>
              </w:rPr>
              <w:t>Helminthiasis (</w:t>
            </w:r>
            <w:r>
              <w:rPr>
                <w:sz w:val="16"/>
              </w:rPr>
              <w:t>worms)</w:t>
            </w:r>
            <w:r>
              <w:rPr>
                <w:sz w:val="18"/>
              </w:rPr>
              <w:t xml:space="preserve"> </w:t>
            </w:r>
          </w:p>
        </w:tc>
        <w:tc>
          <w:tcPr>
            <w:tcW w:w="4100" w:type="dxa"/>
          </w:tcPr>
          <w:p w:rsidR="00013EB8" w:rsidRDefault="00013EB8">
            <w:pPr>
              <w:widowControl w:val="0"/>
              <w:numPr>
                <w:ilvl w:val="12"/>
                <w:numId w:val="0"/>
              </w:numPr>
              <w:rPr>
                <w:sz w:val="18"/>
              </w:rPr>
            </w:pPr>
            <w:r>
              <w:rPr>
                <w:sz w:val="18"/>
              </w:rPr>
              <w:t>7399-7324</w:t>
            </w:r>
          </w:p>
        </w:tc>
        <w:tc>
          <w:tcPr>
            <w:tcW w:w="1008" w:type="dxa"/>
          </w:tcPr>
          <w:p w:rsidR="00013EB8" w:rsidRDefault="00013EB8">
            <w:pPr>
              <w:widowControl w:val="0"/>
              <w:numPr>
                <w:ilvl w:val="12"/>
                <w:numId w:val="0"/>
              </w:numPr>
              <w:rPr>
                <w:i/>
                <w:sz w:val="18"/>
              </w:rPr>
            </w:pPr>
            <w:r>
              <w:rPr>
                <w:sz w:val="18"/>
              </w:rPr>
              <w:t>8/12/70</w:t>
            </w:r>
          </w:p>
        </w:tc>
      </w:tr>
      <w:tr w:rsidR="00013EB8">
        <w:tc>
          <w:tcPr>
            <w:tcW w:w="5708" w:type="dxa"/>
          </w:tcPr>
          <w:p w:rsidR="00013EB8" w:rsidRDefault="00013EB8">
            <w:pPr>
              <w:widowControl w:val="0"/>
              <w:numPr>
                <w:ilvl w:val="12"/>
                <w:numId w:val="0"/>
              </w:numPr>
              <w:rPr>
                <w:sz w:val="18"/>
              </w:rPr>
            </w:pPr>
            <w:r>
              <w:rPr>
                <w:sz w:val="18"/>
              </w:rPr>
              <w:t>Malnutrition (including optic atrophy associated with malnutrition)</w:t>
            </w:r>
          </w:p>
        </w:tc>
        <w:tc>
          <w:tcPr>
            <w:tcW w:w="4100" w:type="dxa"/>
          </w:tcPr>
          <w:p w:rsidR="00013EB8" w:rsidRDefault="00013EB8">
            <w:pPr>
              <w:widowControl w:val="0"/>
              <w:numPr>
                <w:ilvl w:val="12"/>
                <w:numId w:val="0"/>
              </w:numPr>
              <w:rPr>
                <w:sz w:val="18"/>
              </w:rPr>
            </w:pPr>
            <w:r>
              <w:rPr>
                <w:sz w:val="18"/>
              </w:rPr>
              <w:t>6399-6313</w:t>
            </w:r>
          </w:p>
        </w:tc>
        <w:tc>
          <w:tcPr>
            <w:tcW w:w="1008" w:type="dxa"/>
          </w:tcPr>
          <w:p w:rsidR="00013EB8" w:rsidRDefault="00013EB8">
            <w:pPr>
              <w:widowControl w:val="0"/>
              <w:numPr>
                <w:ilvl w:val="12"/>
                <w:numId w:val="0"/>
              </w:numPr>
              <w:rPr>
                <w:sz w:val="18"/>
              </w:rPr>
            </w:pPr>
            <w:r>
              <w:rPr>
                <w:sz w:val="18"/>
              </w:rPr>
              <w:t>8/12/70</w:t>
            </w:r>
          </w:p>
        </w:tc>
      </w:tr>
      <w:tr w:rsidR="00013EB8">
        <w:tc>
          <w:tcPr>
            <w:tcW w:w="5708" w:type="dxa"/>
          </w:tcPr>
          <w:p w:rsidR="00013EB8" w:rsidRDefault="00013EB8">
            <w:pPr>
              <w:widowControl w:val="0"/>
              <w:numPr>
                <w:ilvl w:val="12"/>
                <w:numId w:val="0"/>
              </w:numPr>
              <w:rPr>
                <w:sz w:val="14"/>
              </w:rPr>
            </w:pPr>
            <w:r>
              <w:rPr>
                <w:sz w:val="18"/>
              </w:rPr>
              <w:t>Pellagra (</w:t>
            </w:r>
            <w:r>
              <w:rPr>
                <w:sz w:val="14"/>
              </w:rPr>
              <w:t>niacin deficiency; skin-dermatitis where there was trauma or exposure to light, gastro, mucosal, neuro disturbances &amp; mental)</w:t>
            </w:r>
          </w:p>
        </w:tc>
        <w:tc>
          <w:tcPr>
            <w:tcW w:w="4100" w:type="dxa"/>
          </w:tcPr>
          <w:p w:rsidR="00013EB8" w:rsidRDefault="00013EB8">
            <w:pPr>
              <w:pStyle w:val="Header"/>
              <w:widowControl w:val="0"/>
              <w:numPr>
                <w:ilvl w:val="12"/>
                <w:numId w:val="0"/>
              </w:numPr>
              <w:tabs>
                <w:tab w:val="clear" w:pos="4320"/>
                <w:tab w:val="clear" w:pos="8640"/>
              </w:tabs>
              <w:rPr>
                <w:sz w:val="18"/>
              </w:rPr>
            </w:pPr>
            <w:r>
              <w:rPr>
                <w:sz w:val="18"/>
              </w:rPr>
              <w:t>6315</w:t>
            </w:r>
          </w:p>
        </w:tc>
        <w:tc>
          <w:tcPr>
            <w:tcW w:w="1008" w:type="dxa"/>
          </w:tcPr>
          <w:p w:rsidR="00013EB8" w:rsidRDefault="00013EB8">
            <w:pPr>
              <w:widowControl w:val="0"/>
              <w:numPr>
                <w:ilvl w:val="12"/>
                <w:numId w:val="0"/>
              </w:numPr>
              <w:rPr>
                <w:sz w:val="18"/>
              </w:rPr>
            </w:pPr>
            <w:r>
              <w:rPr>
                <w:sz w:val="18"/>
              </w:rPr>
              <w:t>8/12/70</w:t>
            </w:r>
          </w:p>
        </w:tc>
      </w:tr>
      <w:tr w:rsidR="00013EB8">
        <w:tc>
          <w:tcPr>
            <w:tcW w:w="5708" w:type="dxa"/>
          </w:tcPr>
          <w:p w:rsidR="00013EB8" w:rsidRDefault="00013EB8">
            <w:pPr>
              <w:widowControl w:val="0"/>
              <w:numPr>
                <w:ilvl w:val="12"/>
                <w:numId w:val="0"/>
              </w:numPr>
              <w:rPr>
                <w:sz w:val="18"/>
              </w:rPr>
            </w:pPr>
            <w:r>
              <w:rPr>
                <w:sz w:val="18"/>
              </w:rPr>
              <w:t>Any other nutritional deficiency</w:t>
            </w:r>
          </w:p>
        </w:tc>
        <w:tc>
          <w:tcPr>
            <w:tcW w:w="4100" w:type="dxa"/>
          </w:tcPr>
          <w:p w:rsidR="00013EB8" w:rsidRDefault="00013EB8">
            <w:pPr>
              <w:widowControl w:val="0"/>
              <w:numPr>
                <w:ilvl w:val="12"/>
                <w:numId w:val="0"/>
              </w:numPr>
              <w:rPr>
                <w:sz w:val="18"/>
              </w:rPr>
            </w:pPr>
            <w:r w:rsidRPr="004861FB">
              <w:rPr>
                <w:sz w:val="18"/>
                <w:highlight w:val="red"/>
              </w:rPr>
              <w:t>???</w:t>
            </w:r>
          </w:p>
        </w:tc>
        <w:tc>
          <w:tcPr>
            <w:tcW w:w="1008" w:type="dxa"/>
          </w:tcPr>
          <w:p w:rsidR="00013EB8" w:rsidRDefault="00013EB8">
            <w:pPr>
              <w:widowControl w:val="0"/>
              <w:numPr>
                <w:ilvl w:val="12"/>
                <w:numId w:val="0"/>
              </w:numPr>
              <w:rPr>
                <w:sz w:val="18"/>
              </w:rPr>
            </w:pPr>
            <w:r>
              <w:rPr>
                <w:sz w:val="18"/>
              </w:rPr>
              <w:t>8/12/70</w:t>
            </w:r>
          </w:p>
        </w:tc>
      </w:tr>
      <w:tr w:rsidR="00013EB8" w:rsidRPr="00D2563F">
        <w:tc>
          <w:tcPr>
            <w:tcW w:w="5708" w:type="dxa"/>
          </w:tcPr>
          <w:p w:rsidR="00013EB8" w:rsidRPr="00D2563F" w:rsidRDefault="00013EB8">
            <w:pPr>
              <w:widowControl w:val="0"/>
              <w:numPr>
                <w:ilvl w:val="12"/>
                <w:numId w:val="0"/>
              </w:numPr>
              <w:rPr>
                <w:sz w:val="18"/>
              </w:rPr>
            </w:pPr>
            <w:r w:rsidRPr="00D2563F">
              <w:rPr>
                <w:sz w:val="18"/>
              </w:rPr>
              <w:t>*Psychosis</w:t>
            </w:r>
            <w:r w:rsidR="003859B5" w:rsidRPr="00D2563F">
              <w:rPr>
                <w:sz w:val="18"/>
              </w:rPr>
              <w:t xml:space="preserve"> </w:t>
            </w:r>
            <w:r w:rsidR="009E4918">
              <w:rPr>
                <w:b/>
                <w:sz w:val="18"/>
              </w:rPr>
              <w:t>III.iv.4.O</w:t>
            </w:r>
            <w:r w:rsidR="003859B5" w:rsidRPr="00D2563F">
              <w:rPr>
                <w:b/>
                <w:sz w:val="18"/>
              </w:rPr>
              <w:t>.1.g</w:t>
            </w:r>
          </w:p>
        </w:tc>
        <w:tc>
          <w:tcPr>
            <w:tcW w:w="4100" w:type="dxa"/>
          </w:tcPr>
          <w:p w:rsidR="00013EB8" w:rsidRPr="00D2563F" w:rsidRDefault="00013EB8">
            <w:pPr>
              <w:widowControl w:val="0"/>
              <w:numPr>
                <w:ilvl w:val="12"/>
                <w:numId w:val="0"/>
              </w:numPr>
              <w:rPr>
                <w:sz w:val="18"/>
              </w:rPr>
            </w:pPr>
            <w:r w:rsidRPr="00D2563F">
              <w:rPr>
                <w:sz w:val="18"/>
              </w:rPr>
              <w:t>9201 thru 9211</w:t>
            </w:r>
          </w:p>
        </w:tc>
        <w:tc>
          <w:tcPr>
            <w:tcW w:w="1008" w:type="dxa"/>
          </w:tcPr>
          <w:p w:rsidR="00013EB8" w:rsidRPr="00D2563F" w:rsidRDefault="00013EB8">
            <w:pPr>
              <w:widowControl w:val="0"/>
              <w:numPr>
                <w:ilvl w:val="12"/>
                <w:numId w:val="0"/>
              </w:numPr>
              <w:rPr>
                <w:sz w:val="18"/>
              </w:rPr>
            </w:pPr>
            <w:r w:rsidRPr="00D2563F">
              <w:rPr>
                <w:sz w:val="18"/>
              </w:rPr>
              <w:t>8/12/70</w:t>
            </w:r>
          </w:p>
        </w:tc>
      </w:tr>
      <w:tr w:rsidR="00013EB8" w:rsidRPr="00D2563F">
        <w:tc>
          <w:tcPr>
            <w:tcW w:w="5708" w:type="dxa"/>
          </w:tcPr>
          <w:p w:rsidR="00013EB8" w:rsidRPr="00D2563F" w:rsidRDefault="00013EB8">
            <w:pPr>
              <w:widowControl w:val="0"/>
              <w:numPr>
                <w:ilvl w:val="12"/>
                <w:numId w:val="0"/>
              </w:numPr>
              <w:rPr>
                <w:i/>
                <w:sz w:val="16"/>
              </w:rPr>
            </w:pPr>
            <w:r w:rsidRPr="00D2563F">
              <w:rPr>
                <w:sz w:val="18"/>
              </w:rPr>
              <w:t xml:space="preserve">*Any of the anxiety states </w:t>
            </w:r>
            <w:r w:rsidRPr="00D2563F">
              <w:rPr>
                <w:i/>
                <w:sz w:val="16"/>
              </w:rPr>
              <w:t>(incl. PTSD)</w:t>
            </w:r>
          </w:p>
        </w:tc>
        <w:tc>
          <w:tcPr>
            <w:tcW w:w="4100" w:type="dxa"/>
          </w:tcPr>
          <w:p w:rsidR="00013EB8" w:rsidRPr="00D2563F" w:rsidRDefault="00013EB8">
            <w:pPr>
              <w:widowControl w:val="0"/>
              <w:numPr>
                <w:ilvl w:val="12"/>
                <w:numId w:val="0"/>
              </w:numPr>
              <w:rPr>
                <w:sz w:val="18"/>
              </w:rPr>
            </w:pPr>
            <w:r w:rsidRPr="00D2563F">
              <w:rPr>
                <w:sz w:val="18"/>
              </w:rPr>
              <w:t>9400 thru 9413</w:t>
            </w:r>
          </w:p>
        </w:tc>
        <w:tc>
          <w:tcPr>
            <w:tcW w:w="1008" w:type="dxa"/>
          </w:tcPr>
          <w:p w:rsidR="00013EB8" w:rsidRPr="00D2563F" w:rsidRDefault="00013EB8">
            <w:pPr>
              <w:widowControl w:val="0"/>
              <w:numPr>
                <w:ilvl w:val="12"/>
                <w:numId w:val="0"/>
              </w:numPr>
              <w:rPr>
                <w:sz w:val="18"/>
              </w:rPr>
            </w:pPr>
            <w:r w:rsidRPr="00D2563F">
              <w:rPr>
                <w:sz w:val="18"/>
              </w:rPr>
              <w:t>10/1/81</w:t>
            </w:r>
          </w:p>
        </w:tc>
      </w:tr>
      <w:tr w:rsidR="00013EB8" w:rsidRPr="00D2563F">
        <w:tc>
          <w:tcPr>
            <w:tcW w:w="5708" w:type="dxa"/>
          </w:tcPr>
          <w:p w:rsidR="00013EB8" w:rsidRPr="00D2563F" w:rsidRDefault="00013EB8">
            <w:pPr>
              <w:widowControl w:val="0"/>
              <w:numPr>
                <w:ilvl w:val="12"/>
                <w:numId w:val="0"/>
              </w:numPr>
              <w:rPr>
                <w:sz w:val="18"/>
              </w:rPr>
            </w:pPr>
            <w:r w:rsidRPr="00D2563F">
              <w:rPr>
                <w:sz w:val="18"/>
              </w:rPr>
              <w:t>*Dysthymic disorder (or depressive neurosis)</w:t>
            </w:r>
          </w:p>
        </w:tc>
        <w:tc>
          <w:tcPr>
            <w:tcW w:w="4100" w:type="dxa"/>
          </w:tcPr>
          <w:p w:rsidR="00013EB8" w:rsidRPr="00D2563F" w:rsidRDefault="00013EB8">
            <w:pPr>
              <w:widowControl w:val="0"/>
              <w:numPr>
                <w:ilvl w:val="12"/>
                <w:numId w:val="0"/>
              </w:numPr>
              <w:rPr>
                <w:sz w:val="18"/>
              </w:rPr>
            </w:pPr>
            <w:r w:rsidRPr="00D2563F">
              <w:rPr>
                <w:sz w:val="18"/>
              </w:rPr>
              <w:t>9433 thru 9435</w:t>
            </w:r>
          </w:p>
        </w:tc>
        <w:tc>
          <w:tcPr>
            <w:tcW w:w="1008" w:type="dxa"/>
          </w:tcPr>
          <w:p w:rsidR="00013EB8" w:rsidRPr="00D2563F" w:rsidRDefault="00013EB8">
            <w:pPr>
              <w:widowControl w:val="0"/>
              <w:numPr>
                <w:ilvl w:val="12"/>
                <w:numId w:val="0"/>
              </w:numPr>
              <w:rPr>
                <w:sz w:val="18"/>
              </w:rPr>
            </w:pPr>
            <w:r w:rsidRPr="00D2563F">
              <w:rPr>
                <w:sz w:val="18"/>
              </w:rPr>
              <w:t>10/1/83</w:t>
            </w:r>
          </w:p>
        </w:tc>
      </w:tr>
      <w:tr w:rsidR="00013EB8" w:rsidRPr="00D2563F">
        <w:tc>
          <w:tcPr>
            <w:tcW w:w="5708" w:type="dxa"/>
          </w:tcPr>
          <w:p w:rsidR="00013EB8" w:rsidRPr="00D2563F" w:rsidRDefault="00013EB8">
            <w:pPr>
              <w:widowControl w:val="0"/>
              <w:numPr>
                <w:ilvl w:val="12"/>
                <w:numId w:val="0"/>
              </w:numPr>
              <w:rPr>
                <w:sz w:val="18"/>
              </w:rPr>
            </w:pPr>
            <w:r w:rsidRPr="00D2563F">
              <w:rPr>
                <w:sz w:val="18"/>
              </w:rPr>
              <w:t>*Organic residuals of frostbite, if it is determined that the veteran was interned in climatic conditions</w:t>
            </w:r>
          </w:p>
        </w:tc>
        <w:tc>
          <w:tcPr>
            <w:tcW w:w="4100" w:type="dxa"/>
          </w:tcPr>
          <w:p w:rsidR="00013EB8" w:rsidRPr="00D2563F" w:rsidRDefault="00013EB8">
            <w:pPr>
              <w:widowControl w:val="0"/>
              <w:numPr>
                <w:ilvl w:val="12"/>
                <w:numId w:val="0"/>
              </w:numPr>
              <w:rPr>
                <w:sz w:val="18"/>
              </w:rPr>
            </w:pPr>
            <w:r w:rsidRPr="00D2563F">
              <w:rPr>
                <w:sz w:val="18"/>
              </w:rPr>
              <w:t>7122</w:t>
            </w:r>
          </w:p>
        </w:tc>
        <w:tc>
          <w:tcPr>
            <w:tcW w:w="1008" w:type="dxa"/>
          </w:tcPr>
          <w:p w:rsidR="00013EB8" w:rsidRPr="00D2563F" w:rsidRDefault="00013EB8">
            <w:pPr>
              <w:widowControl w:val="0"/>
              <w:numPr>
                <w:ilvl w:val="12"/>
                <w:numId w:val="0"/>
              </w:numPr>
              <w:rPr>
                <w:sz w:val="18"/>
              </w:rPr>
            </w:pPr>
            <w:r w:rsidRPr="00D2563F">
              <w:rPr>
                <w:sz w:val="18"/>
              </w:rPr>
              <w:t>10/1/86</w:t>
            </w:r>
          </w:p>
        </w:tc>
      </w:tr>
      <w:tr w:rsidR="00013EB8" w:rsidRPr="00D2563F">
        <w:tc>
          <w:tcPr>
            <w:tcW w:w="5708" w:type="dxa"/>
          </w:tcPr>
          <w:p w:rsidR="00013EB8" w:rsidRPr="00D2563F" w:rsidRDefault="00013EB8">
            <w:pPr>
              <w:widowControl w:val="0"/>
              <w:numPr>
                <w:ilvl w:val="12"/>
                <w:numId w:val="0"/>
              </w:numPr>
              <w:rPr>
                <w:sz w:val="14"/>
              </w:rPr>
            </w:pPr>
            <w:r w:rsidRPr="00D2563F">
              <w:rPr>
                <w:sz w:val="18"/>
              </w:rPr>
              <w:t>*Post-traumatic osteoarthritis (</w:t>
            </w:r>
            <w:r w:rsidRPr="00D2563F">
              <w:rPr>
                <w:sz w:val="14"/>
              </w:rPr>
              <w:t>need report of trauma &amp; MD's opinion that it is traumatic from the POW experience (as opposed to from aging))</w:t>
            </w:r>
          </w:p>
        </w:tc>
        <w:tc>
          <w:tcPr>
            <w:tcW w:w="4100" w:type="dxa"/>
          </w:tcPr>
          <w:p w:rsidR="00013EB8" w:rsidRPr="00D2563F" w:rsidRDefault="00013EB8">
            <w:pPr>
              <w:widowControl w:val="0"/>
              <w:numPr>
                <w:ilvl w:val="12"/>
                <w:numId w:val="0"/>
              </w:numPr>
              <w:rPr>
                <w:sz w:val="18"/>
              </w:rPr>
            </w:pPr>
            <w:r w:rsidRPr="00D2563F">
              <w:rPr>
                <w:sz w:val="18"/>
              </w:rPr>
              <w:t>5010-DC for location</w:t>
            </w:r>
          </w:p>
        </w:tc>
        <w:tc>
          <w:tcPr>
            <w:tcW w:w="1008" w:type="dxa"/>
          </w:tcPr>
          <w:p w:rsidR="00013EB8" w:rsidRPr="00D2563F" w:rsidRDefault="00013EB8">
            <w:pPr>
              <w:widowControl w:val="0"/>
              <w:numPr>
                <w:ilvl w:val="12"/>
                <w:numId w:val="0"/>
              </w:numPr>
              <w:rPr>
                <w:sz w:val="18"/>
              </w:rPr>
            </w:pPr>
            <w:r w:rsidRPr="00D2563F">
              <w:rPr>
                <w:sz w:val="18"/>
              </w:rPr>
              <w:t>10/1/86</w:t>
            </w:r>
          </w:p>
        </w:tc>
      </w:tr>
      <w:tr w:rsidR="00013EB8" w:rsidRPr="00D2563F">
        <w:tc>
          <w:tcPr>
            <w:tcW w:w="5708" w:type="dxa"/>
          </w:tcPr>
          <w:p w:rsidR="00013EB8" w:rsidRPr="00D2563F" w:rsidRDefault="00013EB8">
            <w:pPr>
              <w:widowControl w:val="0"/>
              <w:numPr>
                <w:ilvl w:val="12"/>
                <w:numId w:val="0"/>
              </w:numPr>
              <w:rPr>
                <w:sz w:val="18"/>
              </w:rPr>
            </w:pPr>
            <w:r w:rsidRPr="00D2563F">
              <w:rPr>
                <w:sz w:val="18"/>
              </w:rPr>
              <w:t>Irritable bowel syndrome</w:t>
            </w:r>
          </w:p>
        </w:tc>
        <w:tc>
          <w:tcPr>
            <w:tcW w:w="4100" w:type="dxa"/>
          </w:tcPr>
          <w:p w:rsidR="00013EB8" w:rsidRPr="00D2563F" w:rsidRDefault="00013EB8">
            <w:pPr>
              <w:widowControl w:val="0"/>
              <w:numPr>
                <w:ilvl w:val="12"/>
                <w:numId w:val="0"/>
              </w:numPr>
              <w:rPr>
                <w:sz w:val="18"/>
              </w:rPr>
            </w:pPr>
            <w:r w:rsidRPr="00D2563F">
              <w:rPr>
                <w:sz w:val="18"/>
              </w:rPr>
              <w:t>7319</w:t>
            </w:r>
          </w:p>
        </w:tc>
        <w:tc>
          <w:tcPr>
            <w:tcW w:w="1008" w:type="dxa"/>
          </w:tcPr>
          <w:p w:rsidR="00013EB8" w:rsidRPr="00D2563F" w:rsidRDefault="00013EB8">
            <w:pPr>
              <w:widowControl w:val="0"/>
              <w:numPr>
                <w:ilvl w:val="12"/>
                <w:numId w:val="0"/>
              </w:numPr>
              <w:rPr>
                <w:sz w:val="18"/>
              </w:rPr>
            </w:pPr>
            <w:r w:rsidRPr="00D2563F">
              <w:rPr>
                <w:sz w:val="18"/>
              </w:rPr>
              <w:t>5/20/88</w:t>
            </w:r>
          </w:p>
        </w:tc>
      </w:tr>
      <w:tr w:rsidR="00013EB8" w:rsidRPr="00D2563F">
        <w:tc>
          <w:tcPr>
            <w:tcW w:w="5708" w:type="dxa"/>
          </w:tcPr>
          <w:p w:rsidR="00013EB8" w:rsidRPr="00D2563F" w:rsidRDefault="00013EB8">
            <w:pPr>
              <w:widowControl w:val="0"/>
              <w:numPr>
                <w:ilvl w:val="12"/>
                <w:numId w:val="0"/>
              </w:numPr>
              <w:rPr>
                <w:sz w:val="18"/>
              </w:rPr>
            </w:pPr>
            <w:r w:rsidRPr="00D2563F">
              <w:rPr>
                <w:sz w:val="18"/>
              </w:rPr>
              <w:t>Peptic ulcer disease</w:t>
            </w:r>
          </w:p>
        </w:tc>
        <w:tc>
          <w:tcPr>
            <w:tcW w:w="4100" w:type="dxa"/>
          </w:tcPr>
          <w:p w:rsidR="00013EB8" w:rsidRPr="00D2563F" w:rsidRDefault="00013EB8" w:rsidP="00BB6448">
            <w:pPr>
              <w:widowControl w:val="0"/>
              <w:numPr>
                <w:ilvl w:val="12"/>
                <w:numId w:val="0"/>
              </w:numPr>
              <w:rPr>
                <w:sz w:val="18"/>
              </w:rPr>
            </w:pPr>
            <w:r w:rsidRPr="00D2563F">
              <w:rPr>
                <w:sz w:val="18"/>
              </w:rPr>
              <w:t>7304</w:t>
            </w:r>
            <w:r w:rsidR="00BB6448" w:rsidRPr="00D2563F">
              <w:rPr>
                <w:sz w:val="18"/>
              </w:rPr>
              <w:t xml:space="preserve"> thru </w:t>
            </w:r>
            <w:r w:rsidRPr="00D2563F">
              <w:rPr>
                <w:sz w:val="18"/>
              </w:rPr>
              <w:t>7306</w:t>
            </w:r>
          </w:p>
        </w:tc>
        <w:tc>
          <w:tcPr>
            <w:tcW w:w="1008" w:type="dxa"/>
          </w:tcPr>
          <w:p w:rsidR="00013EB8" w:rsidRPr="00D2563F" w:rsidRDefault="00013EB8">
            <w:pPr>
              <w:widowControl w:val="0"/>
              <w:numPr>
                <w:ilvl w:val="12"/>
                <w:numId w:val="0"/>
              </w:numPr>
              <w:rPr>
                <w:sz w:val="18"/>
              </w:rPr>
            </w:pPr>
            <w:r w:rsidRPr="00D2563F">
              <w:rPr>
                <w:sz w:val="18"/>
              </w:rPr>
              <w:t>5/20/88</w:t>
            </w:r>
          </w:p>
        </w:tc>
      </w:tr>
      <w:tr w:rsidR="00013EB8" w:rsidRPr="00D2563F">
        <w:tc>
          <w:tcPr>
            <w:tcW w:w="5708" w:type="dxa"/>
          </w:tcPr>
          <w:p w:rsidR="00013EB8" w:rsidRPr="00D2563F" w:rsidRDefault="00013EB8">
            <w:pPr>
              <w:widowControl w:val="0"/>
              <w:numPr>
                <w:ilvl w:val="12"/>
                <w:numId w:val="0"/>
              </w:numPr>
              <w:rPr>
                <w:sz w:val="18"/>
              </w:rPr>
            </w:pPr>
            <w:r w:rsidRPr="00D2563F">
              <w:rPr>
                <w:sz w:val="18"/>
              </w:rPr>
              <w:t>Peripheral neuropathy except where directly related to infectious causes</w:t>
            </w:r>
          </w:p>
        </w:tc>
        <w:tc>
          <w:tcPr>
            <w:tcW w:w="4100" w:type="dxa"/>
          </w:tcPr>
          <w:p w:rsidR="00013EB8" w:rsidRPr="00D2563F" w:rsidRDefault="00BB6448">
            <w:pPr>
              <w:widowControl w:val="0"/>
              <w:numPr>
                <w:ilvl w:val="12"/>
                <w:numId w:val="0"/>
              </w:numPr>
              <w:rPr>
                <w:sz w:val="18"/>
              </w:rPr>
            </w:pPr>
            <w:r w:rsidRPr="00D2563F">
              <w:rPr>
                <w:sz w:val="18"/>
              </w:rPr>
              <w:t xml:space="preserve">8510 thru </w:t>
            </w:r>
            <w:r w:rsidR="00013EB8" w:rsidRPr="00D2563F">
              <w:rPr>
                <w:sz w:val="18"/>
              </w:rPr>
              <w:t>8730</w:t>
            </w:r>
          </w:p>
        </w:tc>
        <w:tc>
          <w:tcPr>
            <w:tcW w:w="1008" w:type="dxa"/>
          </w:tcPr>
          <w:p w:rsidR="00013EB8" w:rsidRPr="00D2563F" w:rsidRDefault="00013EB8">
            <w:pPr>
              <w:widowControl w:val="0"/>
              <w:numPr>
                <w:ilvl w:val="12"/>
                <w:numId w:val="0"/>
              </w:numPr>
              <w:rPr>
                <w:sz w:val="18"/>
              </w:rPr>
            </w:pPr>
            <w:r w:rsidRPr="00D2563F">
              <w:rPr>
                <w:sz w:val="18"/>
              </w:rPr>
              <w:t>5/20/88</w:t>
            </w:r>
          </w:p>
        </w:tc>
      </w:tr>
      <w:tr w:rsidR="00013EB8" w:rsidRPr="00D2563F">
        <w:tc>
          <w:tcPr>
            <w:tcW w:w="5708" w:type="dxa"/>
          </w:tcPr>
          <w:p w:rsidR="00013EB8" w:rsidRPr="00D2563F" w:rsidRDefault="00013EB8">
            <w:pPr>
              <w:widowControl w:val="0"/>
              <w:numPr>
                <w:ilvl w:val="12"/>
                <w:numId w:val="0"/>
              </w:numPr>
              <w:rPr>
                <w:sz w:val="18"/>
              </w:rPr>
            </w:pPr>
            <w:r w:rsidRPr="00D2563F">
              <w:rPr>
                <w:sz w:val="18"/>
              </w:rPr>
              <w:t>Cirrhosis of the liver</w:t>
            </w:r>
          </w:p>
        </w:tc>
        <w:tc>
          <w:tcPr>
            <w:tcW w:w="4100" w:type="dxa"/>
          </w:tcPr>
          <w:p w:rsidR="00013EB8" w:rsidRPr="00D2563F" w:rsidRDefault="00013EB8">
            <w:pPr>
              <w:pStyle w:val="Header"/>
              <w:widowControl w:val="0"/>
              <w:numPr>
                <w:ilvl w:val="12"/>
                <w:numId w:val="0"/>
              </w:numPr>
              <w:tabs>
                <w:tab w:val="clear" w:pos="4320"/>
                <w:tab w:val="clear" w:pos="8640"/>
              </w:tabs>
              <w:rPr>
                <w:sz w:val="18"/>
              </w:rPr>
            </w:pPr>
            <w:r w:rsidRPr="00D2563F">
              <w:rPr>
                <w:sz w:val="18"/>
              </w:rPr>
              <w:t>7312</w:t>
            </w:r>
          </w:p>
        </w:tc>
        <w:tc>
          <w:tcPr>
            <w:tcW w:w="1008" w:type="dxa"/>
          </w:tcPr>
          <w:p w:rsidR="00013EB8" w:rsidRPr="00D2563F" w:rsidRDefault="00013EB8">
            <w:pPr>
              <w:widowControl w:val="0"/>
              <w:numPr>
                <w:ilvl w:val="12"/>
                <w:numId w:val="0"/>
              </w:numPr>
              <w:rPr>
                <w:sz w:val="18"/>
              </w:rPr>
            </w:pPr>
            <w:r w:rsidRPr="00D2563F">
              <w:rPr>
                <w:sz w:val="18"/>
              </w:rPr>
              <w:t>7/18/03</w:t>
            </w:r>
          </w:p>
        </w:tc>
      </w:tr>
      <w:tr w:rsidR="00013EB8" w:rsidRPr="00D2563F">
        <w:tc>
          <w:tcPr>
            <w:tcW w:w="5708" w:type="dxa"/>
          </w:tcPr>
          <w:p w:rsidR="00013EB8" w:rsidRPr="00D2563F" w:rsidRDefault="00013EB8" w:rsidP="00EF1AC7">
            <w:pPr>
              <w:pStyle w:val="HTMLPreformatted"/>
              <w:widowControl w:val="0"/>
              <w:numPr>
                <w:ilvl w:val="12"/>
                <w:numId w:val="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sz w:val="18"/>
              </w:rPr>
            </w:pPr>
            <w:r w:rsidRPr="00D2563F">
              <w:rPr>
                <w:rFonts w:ascii="Arial" w:hAnsi="Arial"/>
                <w:sz w:val="18"/>
              </w:rPr>
              <w:t xml:space="preserve">*Atherosclerotic heart disease or hypertensive vascular disease (including hypertensive heart disease) and their complications (including myocardial infarction, congestive heart failure, arrhythmia) </w:t>
            </w:r>
          </w:p>
        </w:tc>
        <w:tc>
          <w:tcPr>
            <w:tcW w:w="4100" w:type="dxa"/>
          </w:tcPr>
          <w:p w:rsidR="00013EB8" w:rsidRPr="00D2563F" w:rsidRDefault="00013EB8">
            <w:pPr>
              <w:pStyle w:val="HTMLPreformatted"/>
              <w:widowControl w:val="0"/>
              <w:numPr>
                <w:ilvl w:val="12"/>
                <w:numId w:val="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sz w:val="18"/>
              </w:rPr>
            </w:pPr>
            <w:r w:rsidRPr="00D2563F">
              <w:rPr>
                <w:rFonts w:ascii="Arial" w:hAnsi="Arial"/>
                <w:sz w:val="18"/>
              </w:rPr>
              <w:t>7005-ASHD/CAD, 7006-MI, 7007-hypertensive heart dz, 7010 &amp; 7011-arrhythmias, 7017-CABG, 7018-pacemaker, 7019-transplant, 7020-cardiomyopathy, 7101-hypertensive vascular disease/htn</w:t>
            </w:r>
          </w:p>
        </w:tc>
        <w:tc>
          <w:tcPr>
            <w:tcW w:w="1008" w:type="dxa"/>
          </w:tcPr>
          <w:p w:rsidR="00013EB8" w:rsidRPr="00D2563F" w:rsidRDefault="00013EB8">
            <w:pPr>
              <w:pStyle w:val="HTMLPreformatted"/>
              <w:widowControl w:val="0"/>
              <w:numPr>
                <w:ilvl w:val="12"/>
                <w:numId w:val="0"/>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sz w:val="18"/>
              </w:rPr>
            </w:pPr>
            <w:r w:rsidRPr="00D2563F">
              <w:rPr>
                <w:rFonts w:ascii="Arial" w:hAnsi="Arial"/>
                <w:sz w:val="18"/>
              </w:rPr>
              <w:t xml:space="preserve">10/7/04 </w:t>
            </w:r>
          </w:p>
        </w:tc>
      </w:tr>
      <w:tr w:rsidR="00013EB8">
        <w:tc>
          <w:tcPr>
            <w:tcW w:w="5708" w:type="dxa"/>
          </w:tcPr>
          <w:p w:rsidR="00013EB8" w:rsidRPr="00D2563F" w:rsidRDefault="00013EB8">
            <w:pPr>
              <w:widowControl w:val="0"/>
              <w:numPr>
                <w:ilvl w:val="12"/>
                <w:numId w:val="0"/>
              </w:numPr>
              <w:rPr>
                <w:sz w:val="18"/>
              </w:rPr>
            </w:pPr>
            <w:r w:rsidRPr="00D2563F">
              <w:rPr>
                <w:sz w:val="18"/>
              </w:rPr>
              <w:t>*Stroke and its complications</w:t>
            </w:r>
          </w:p>
        </w:tc>
        <w:tc>
          <w:tcPr>
            <w:tcW w:w="4100" w:type="dxa"/>
          </w:tcPr>
          <w:p w:rsidR="00013EB8" w:rsidRPr="00D2563F" w:rsidRDefault="00013EB8">
            <w:pPr>
              <w:widowControl w:val="0"/>
              <w:numPr>
                <w:ilvl w:val="12"/>
                <w:numId w:val="0"/>
              </w:numPr>
              <w:rPr>
                <w:sz w:val="18"/>
              </w:rPr>
            </w:pPr>
            <w:r w:rsidRPr="00D2563F">
              <w:rPr>
                <w:sz w:val="18"/>
              </w:rPr>
              <w:t>8008-thrombosis of brain vessels, 8009-hemorrhage from brain vessels</w:t>
            </w:r>
          </w:p>
        </w:tc>
        <w:tc>
          <w:tcPr>
            <w:tcW w:w="1008" w:type="dxa"/>
          </w:tcPr>
          <w:p w:rsidR="00013EB8" w:rsidRPr="00D2563F" w:rsidRDefault="00013EB8">
            <w:pPr>
              <w:widowControl w:val="0"/>
              <w:numPr>
                <w:ilvl w:val="12"/>
                <w:numId w:val="0"/>
              </w:numPr>
              <w:rPr>
                <w:sz w:val="18"/>
              </w:rPr>
            </w:pPr>
            <w:r w:rsidRPr="00D2563F">
              <w:rPr>
                <w:sz w:val="18"/>
              </w:rPr>
              <w:t>10/7/04</w:t>
            </w:r>
          </w:p>
        </w:tc>
      </w:tr>
      <w:tr w:rsidR="00013EB8">
        <w:trPr>
          <w:trHeight w:val="70"/>
        </w:trPr>
        <w:tc>
          <w:tcPr>
            <w:tcW w:w="5708" w:type="dxa"/>
          </w:tcPr>
          <w:p w:rsidR="00013EB8" w:rsidRDefault="00013EB8">
            <w:pPr>
              <w:widowControl w:val="0"/>
              <w:numPr>
                <w:ilvl w:val="12"/>
                <w:numId w:val="0"/>
              </w:numPr>
              <w:rPr>
                <w:sz w:val="18"/>
              </w:rPr>
            </w:pPr>
            <w:r>
              <w:rPr>
                <w:sz w:val="18"/>
              </w:rPr>
              <w:t>Osteoporosis</w:t>
            </w:r>
          </w:p>
        </w:tc>
        <w:tc>
          <w:tcPr>
            <w:tcW w:w="4100" w:type="dxa"/>
          </w:tcPr>
          <w:p w:rsidR="00013EB8" w:rsidRDefault="00013EB8">
            <w:pPr>
              <w:widowControl w:val="0"/>
              <w:numPr>
                <w:ilvl w:val="12"/>
                <w:numId w:val="0"/>
              </w:numPr>
              <w:rPr>
                <w:sz w:val="18"/>
              </w:rPr>
            </w:pPr>
            <w:r>
              <w:rPr>
                <w:sz w:val="18"/>
              </w:rPr>
              <w:t>5013</w:t>
            </w:r>
          </w:p>
        </w:tc>
        <w:tc>
          <w:tcPr>
            <w:tcW w:w="1008" w:type="dxa"/>
          </w:tcPr>
          <w:p w:rsidR="00013EB8" w:rsidRDefault="00013EB8">
            <w:pPr>
              <w:widowControl w:val="0"/>
              <w:numPr>
                <w:ilvl w:val="12"/>
                <w:numId w:val="0"/>
              </w:numPr>
              <w:rPr>
                <w:sz w:val="18"/>
              </w:rPr>
            </w:pPr>
            <w:r>
              <w:rPr>
                <w:sz w:val="18"/>
              </w:rPr>
              <w:t>9/28/09</w:t>
            </w:r>
          </w:p>
        </w:tc>
      </w:tr>
    </w:tbl>
    <w:p w:rsidR="00013EB8" w:rsidRDefault="00013EB8">
      <w:pPr>
        <w:widowControl w:val="0"/>
        <w:numPr>
          <w:ilvl w:val="12"/>
          <w:numId w:val="0"/>
        </w:numPr>
        <w:rPr>
          <w:b/>
          <w:i/>
          <w:sz w:val="18"/>
        </w:rPr>
      </w:pPr>
      <w:r>
        <w:rPr>
          <w:b/>
          <w:i/>
          <w:sz w:val="18"/>
        </w:rPr>
        <w:t>&amp; any condition secondary to those above.</w:t>
      </w:r>
    </w:p>
    <w:p w:rsidR="00013EB8" w:rsidRDefault="00013EB8">
      <w:pPr>
        <w:widowControl w:val="0"/>
        <w:numPr>
          <w:ilvl w:val="12"/>
          <w:numId w:val="0"/>
        </w:numPr>
        <w:rPr>
          <w:sz w:val="18"/>
        </w:rPr>
      </w:pPr>
    </w:p>
    <w:p w:rsidR="00013EB8" w:rsidRDefault="00013EB8">
      <w:pPr>
        <w:widowControl w:val="0"/>
        <w:numPr>
          <w:ilvl w:val="12"/>
          <w:numId w:val="0"/>
        </w:numPr>
        <w:rPr>
          <w:sz w:val="16"/>
        </w:rPr>
      </w:pPr>
      <w:r>
        <w:rPr>
          <w:b/>
          <w:sz w:val="16"/>
        </w:rPr>
        <w:t>Note</w:t>
      </w:r>
      <w:r>
        <w:rPr>
          <w:sz w:val="16"/>
        </w:rPr>
        <w:t xml:space="preserve">: For purposes of this section, the term beriberi heart disease includes ischemic heart disease in a former prisoner of war who had experienced localized edema during captivity.  Don't need beriberi diagnosis.  </w:t>
      </w:r>
      <w:r>
        <w:rPr>
          <w:b/>
          <w:sz w:val="16"/>
        </w:rPr>
        <w:t xml:space="preserve">8/24/93 </w:t>
      </w:r>
      <w:r>
        <w:rPr>
          <w:i/>
          <w:sz w:val="16"/>
        </w:rPr>
        <w:t>(</w:t>
      </w:r>
      <w:r>
        <w:rPr>
          <w:b/>
          <w:i/>
          <w:sz w:val="16"/>
          <w:u w:val="single"/>
        </w:rPr>
        <w:t>include</w:t>
      </w:r>
      <w:r>
        <w:rPr>
          <w:b/>
          <w:i/>
          <w:sz w:val="16"/>
        </w:rPr>
        <w:t>s</w:t>
      </w:r>
      <w:r>
        <w:rPr>
          <w:i/>
          <w:sz w:val="16"/>
        </w:rPr>
        <w:t xml:space="preserve"> arteriosclerotic heart disease, CAD, MI, secondary conds, aneurysm of the heart wall, aneurysm of the coronary artery, &amp; arrhythmias w/medical opinion; </w:t>
      </w:r>
      <w:r>
        <w:rPr>
          <w:b/>
          <w:i/>
          <w:sz w:val="16"/>
          <w:u w:val="single"/>
        </w:rPr>
        <w:t>excludes</w:t>
      </w:r>
      <w:r>
        <w:rPr>
          <w:b/>
          <w:i/>
          <w:sz w:val="16"/>
        </w:rPr>
        <w:t xml:space="preserve"> </w:t>
      </w:r>
      <w:r>
        <w:rPr>
          <w:i/>
          <w:sz w:val="16"/>
        </w:rPr>
        <w:t>hypertension, arteriosclerosis, aortic stenosis, PVD, stroke, aortic aneurysm</w:t>
      </w:r>
      <w:r w:rsidR="00FB3030">
        <w:rPr>
          <w:i/>
          <w:sz w:val="16"/>
        </w:rPr>
        <w:t xml:space="preserve"> (7110)</w:t>
      </w:r>
      <w:r>
        <w:rPr>
          <w:i/>
          <w:sz w:val="16"/>
        </w:rPr>
        <w:t>, and renal nephrosclerosis-even if any are secondary to the heart cond.)</w:t>
      </w:r>
      <w:r>
        <w:rPr>
          <w:sz w:val="16"/>
        </w:rPr>
        <w:t xml:space="preserve"> (Authority: 38 U.S.C. 1112) </w:t>
      </w:r>
    </w:p>
    <w:p w:rsidR="00013EB8" w:rsidRDefault="00013EB8">
      <w:pPr>
        <w:widowControl w:val="0"/>
        <w:numPr>
          <w:ilvl w:val="12"/>
          <w:numId w:val="0"/>
        </w:numPr>
        <w:rPr>
          <w:sz w:val="18"/>
        </w:rPr>
      </w:pPr>
    </w:p>
    <w:p w:rsidR="00013EB8" w:rsidRDefault="00013EB8">
      <w:pPr>
        <w:widowControl w:val="0"/>
        <w:numPr>
          <w:ilvl w:val="12"/>
          <w:numId w:val="0"/>
        </w:numPr>
        <w:rPr>
          <w:sz w:val="18"/>
        </w:rPr>
      </w:pPr>
      <w:r w:rsidRPr="00D2563F">
        <w:t xml:space="preserve">*30 days not required, </w:t>
      </w:r>
      <w:r w:rsidRPr="00D2563F">
        <w:rPr>
          <w:b/>
        </w:rPr>
        <w:t>effective 12/16/03</w:t>
      </w:r>
      <w:r w:rsidR="00701E0C" w:rsidRPr="00D2563F">
        <w:t xml:space="preserve"> (subject to 3.114)</w:t>
      </w:r>
    </w:p>
    <w:p w:rsidR="00013EB8" w:rsidRDefault="00013EB8">
      <w:pPr>
        <w:widowControl w:val="0"/>
        <w:numPr>
          <w:ilvl w:val="12"/>
          <w:numId w:val="0"/>
        </w:numPr>
        <w:pBdr>
          <w:top w:val="single" w:sz="4" w:space="1" w:color="auto"/>
        </w:pBdr>
        <w:tabs>
          <w:tab w:val="left" w:pos="660"/>
          <w:tab w:val="left" w:pos="9390"/>
        </w:tabs>
        <w:ind w:left="-45"/>
        <w:rPr>
          <w:b/>
        </w:rPr>
      </w:pPr>
    </w:p>
    <w:p w:rsidR="00013EB8" w:rsidRDefault="00013EB8">
      <w:pPr>
        <w:widowControl w:val="0"/>
        <w:numPr>
          <w:ilvl w:val="12"/>
          <w:numId w:val="0"/>
        </w:numPr>
      </w:pPr>
      <w:bookmarkStart w:id="85" w:name="AO"/>
      <w:r w:rsidRPr="00AE0E75">
        <w:rPr>
          <w:b/>
          <w:u w:val="single"/>
        </w:rPr>
        <w:t>3.309</w:t>
      </w:r>
      <w:r>
        <w:rPr>
          <w:b/>
          <w:u w:val="single"/>
        </w:rPr>
        <w:t xml:space="preserve">(e) </w:t>
      </w:r>
      <w:r>
        <w:rPr>
          <w:b/>
          <w:highlight w:val="cyan"/>
          <w:u w:val="single"/>
        </w:rPr>
        <w:t>herbicide (Agent Orange) exposure</w:t>
      </w:r>
      <w:r w:rsidR="00A97740">
        <w:rPr>
          <w:b/>
          <w:u w:val="single"/>
        </w:rPr>
        <w:t xml:space="preserve"> </w:t>
      </w:r>
      <w:r w:rsidR="00A97740" w:rsidRPr="00D2563F">
        <w:rPr>
          <w:i/>
        </w:rPr>
        <w:t>–</w:t>
      </w:r>
    </w:p>
    <w:bookmarkEnd w:id="85"/>
    <w:p w:rsidR="00013EB8" w:rsidRDefault="00013EB8">
      <w:pPr>
        <w:widowControl w:val="0"/>
        <w:numPr>
          <w:ilvl w:val="12"/>
          <w:numId w:val="0"/>
        </w:numPr>
        <w:rPr>
          <w:b/>
          <w:iCs/>
        </w:rPr>
      </w:pPr>
      <w:r>
        <w:rPr>
          <w:b/>
          <w:bCs/>
          <w:color w:val="339966"/>
        </w:rPr>
        <w:t>January 9, 1962, to May 7, 1975</w:t>
      </w:r>
      <w:r>
        <w:rPr>
          <w:b/>
          <w:iCs/>
        </w:rPr>
        <w:t xml:space="preserve">- per </w:t>
      </w:r>
      <w:r w:rsidRPr="00AE0E75">
        <w:rPr>
          <w:b/>
          <w:iCs/>
        </w:rPr>
        <w:t>3.307</w:t>
      </w:r>
      <w:r>
        <w:rPr>
          <w:b/>
          <w:iCs/>
        </w:rPr>
        <w:t xml:space="preserve"> &amp; </w:t>
      </w:r>
      <w:r w:rsidR="00746324" w:rsidRPr="00746324">
        <w:rPr>
          <w:b/>
          <w:bCs/>
          <w:iCs/>
        </w:rPr>
        <w:t>IV.ii.1.H</w:t>
      </w:r>
    </w:p>
    <w:p w:rsidR="00013EB8" w:rsidRDefault="00013EB8">
      <w:pPr>
        <w:widowControl w:val="0"/>
        <w:numPr>
          <w:ilvl w:val="12"/>
          <w:numId w:val="0"/>
        </w:numPr>
      </w:pPr>
      <w:r>
        <w:rPr>
          <w:i/>
        </w:rPr>
        <w:t xml:space="preserve">2, 4-D or 2, 4, 5-T; TCDD; cacodylic acid; picloram- per </w:t>
      </w:r>
      <w:r w:rsidRPr="00AE0E75">
        <w:rPr>
          <w:b/>
        </w:rPr>
        <w:t>3.307</w:t>
      </w:r>
    </w:p>
    <w:p w:rsidR="00013EB8" w:rsidRDefault="00013EB8">
      <w:pPr>
        <w:widowControl w:val="0"/>
        <w:numPr>
          <w:ilvl w:val="12"/>
          <w:numId w:val="0"/>
        </w:numPr>
      </w:pPr>
      <w:r>
        <w:t xml:space="preserve">If a veteran was exposed to an herbicide agent during active military, naval, or air service, only the following diseases shall be service-connected if manifested to </w:t>
      </w:r>
      <w:r>
        <w:rPr>
          <w:b/>
          <w:i/>
        </w:rPr>
        <w:t>10% at any time after exposure</w:t>
      </w:r>
      <w:r>
        <w:t xml:space="preserve">, unless otherwise noted.   </w:t>
      </w:r>
    </w:p>
    <w:p w:rsidR="00013EB8" w:rsidRDefault="00013EB8">
      <w:pPr>
        <w:widowControl w:val="0"/>
        <w:numPr>
          <w:ilvl w:val="12"/>
          <w:numId w:val="0"/>
        </w:numPr>
        <w:rPr>
          <w:b/>
          <w:iCs/>
        </w:rPr>
      </w:pPr>
      <w:r>
        <w:rPr>
          <w:b/>
          <w:iCs/>
          <w:u w:val="single"/>
        </w:rPr>
        <w:t>No</w:t>
      </w:r>
      <w:r>
        <w:rPr>
          <w:b/>
          <w:iCs/>
        </w:rPr>
        <w:t xml:space="preserve"> requirement for 90 days svc (per </w:t>
      </w:r>
      <w:r w:rsidRPr="00AE0E75">
        <w:rPr>
          <w:b/>
          <w:iCs/>
        </w:rPr>
        <w:t>3.307</w:t>
      </w:r>
      <w:r>
        <w:rPr>
          <w:b/>
          <w:iCs/>
        </w:rPr>
        <w:t>(a)(1))</w:t>
      </w:r>
    </w:p>
    <w:p w:rsidR="00013EB8" w:rsidRDefault="00013EB8">
      <w:pPr>
        <w:widowControl w:val="0"/>
        <w:numPr>
          <w:ilvl w:val="12"/>
          <w:numId w:val="0"/>
        </w:numPr>
        <w:rPr>
          <w:b/>
          <w:iCs/>
        </w:rPr>
      </w:pPr>
    </w:p>
    <w:p w:rsidR="005643CD" w:rsidRDefault="00D571C5">
      <w:pPr>
        <w:widowControl w:val="0"/>
        <w:numPr>
          <w:ilvl w:val="12"/>
          <w:numId w:val="0"/>
        </w:numPr>
      </w:pPr>
      <w:hyperlink r:id="rId405" w:history="1">
        <w:r w:rsidR="005643CD" w:rsidRPr="005643CD">
          <w:rPr>
            <w:rStyle w:val="Hyperlink"/>
            <w:b/>
            <w:i/>
            <w:iCs/>
          </w:rPr>
          <w:t>Polovick v. Shinseki</w:t>
        </w:r>
      </w:hyperlink>
      <w:r w:rsidR="005643CD">
        <w:rPr>
          <w:b/>
          <w:iCs/>
        </w:rPr>
        <w:t xml:space="preserve"> </w:t>
      </w:r>
      <w:r w:rsidR="005643CD" w:rsidRPr="005643CD">
        <w:rPr>
          <w:iCs/>
        </w:rPr>
        <w:t>(4/22/09)</w:t>
      </w:r>
      <w:r w:rsidR="005643CD">
        <w:rPr>
          <w:b/>
          <w:iCs/>
        </w:rPr>
        <w:t xml:space="preserve"> - </w:t>
      </w:r>
      <w:r w:rsidR="005643CD" w:rsidRPr="005643CD">
        <w:t xml:space="preserve">VA is not required to grant presumptive service connection for disabilities not on VA’s presumptive Agent Orange list on the basis of the opinions of individual doctors that there is a statistical correlation between Agent Orange exposure and such disabilities.  </w:t>
      </w:r>
    </w:p>
    <w:p w:rsidR="00ED5C7F" w:rsidRDefault="00ED5C7F">
      <w:pPr>
        <w:widowControl w:val="0"/>
        <w:numPr>
          <w:ilvl w:val="12"/>
          <w:numId w:val="0"/>
        </w:numPr>
      </w:pPr>
    </w:p>
    <w:p w:rsidR="00ED5C7F" w:rsidRPr="00ED5C7F" w:rsidRDefault="00ED5C7F" w:rsidP="00F063AF">
      <w:pPr>
        <w:pStyle w:val="ListParagraph"/>
        <w:widowControl w:val="0"/>
        <w:numPr>
          <w:ilvl w:val="0"/>
          <w:numId w:val="346"/>
        </w:numPr>
        <w:tabs>
          <w:tab w:val="left" w:pos="400"/>
        </w:tabs>
        <w:spacing w:after="120" w:line="240" w:lineRule="auto"/>
        <w:ind w:left="360"/>
        <w:rPr>
          <w:rFonts w:ascii="Arial" w:hAnsi="Arial"/>
          <w:b/>
          <w:bCs/>
          <w:sz w:val="20"/>
          <w:szCs w:val="20"/>
        </w:rPr>
      </w:pPr>
      <w:r w:rsidRPr="00ED5C7F">
        <w:rPr>
          <w:rFonts w:ascii="Arial" w:hAnsi="Arial"/>
          <w:b/>
          <w:sz w:val="20"/>
          <w:szCs w:val="20"/>
        </w:rPr>
        <w:t>I.1.B.1.f</w:t>
      </w:r>
      <w:r>
        <w:rPr>
          <w:rFonts w:ascii="Arial" w:hAnsi="Arial"/>
          <w:b/>
          <w:sz w:val="20"/>
          <w:szCs w:val="20"/>
        </w:rPr>
        <w:t xml:space="preserve"> – </w:t>
      </w:r>
      <w:r>
        <w:rPr>
          <w:rFonts w:ascii="Arial" w:hAnsi="Arial"/>
          <w:sz w:val="20"/>
          <w:szCs w:val="20"/>
        </w:rPr>
        <w:t xml:space="preserve">need to send additional notice, per </w:t>
      </w:r>
      <w:r w:rsidRPr="00ED5C7F">
        <w:rPr>
          <w:rFonts w:ascii="Arial" w:hAnsi="Arial"/>
          <w:b/>
          <w:sz w:val="20"/>
          <w:szCs w:val="20"/>
        </w:rPr>
        <w:t>IV.ii.1.</w:t>
      </w:r>
      <w:r>
        <w:rPr>
          <w:rFonts w:ascii="Arial" w:hAnsi="Arial"/>
          <w:b/>
          <w:sz w:val="20"/>
          <w:szCs w:val="20"/>
        </w:rPr>
        <w:t>H.1.f</w:t>
      </w:r>
      <w:r w:rsidR="00070D5C">
        <w:rPr>
          <w:rFonts w:ascii="Arial" w:hAnsi="Arial"/>
          <w:b/>
          <w:sz w:val="20"/>
          <w:szCs w:val="20"/>
        </w:rPr>
        <w:t>, IV.ii.1.H.1.k</w:t>
      </w:r>
    </w:p>
    <w:p w:rsidR="005643CD" w:rsidRDefault="005643CD">
      <w:pPr>
        <w:widowControl w:val="0"/>
        <w:numPr>
          <w:ilvl w:val="12"/>
          <w:numId w:val="0"/>
        </w:numPr>
        <w:rPr>
          <w:b/>
          <w:iCs/>
        </w:rPr>
      </w:pPr>
    </w:p>
    <w:p w:rsidR="00013EB8" w:rsidRDefault="00013EB8">
      <w:pPr>
        <w:widowControl w:val="0"/>
        <w:numPr>
          <w:ilvl w:val="12"/>
          <w:numId w:val="0"/>
        </w:numPr>
        <w:rPr>
          <w:b/>
          <w:iCs/>
        </w:rPr>
      </w:pPr>
      <w:r>
        <w:rPr>
          <w:b/>
          <w:iCs/>
        </w:rPr>
        <w:t xml:space="preserve">Date Disabilities Became Subject to Presumptive Service Connection – </w:t>
      </w:r>
      <w:r w:rsidR="00037A17" w:rsidRPr="00037A17">
        <w:rPr>
          <w:b/>
          <w:iCs/>
        </w:rPr>
        <w:t>IV.ii.2.C.3.i</w:t>
      </w:r>
    </w:p>
    <w:p w:rsidR="00013EB8" w:rsidRDefault="00013EB8">
      <w:pPr>
        <w:widowControl w:val="0"/>
        <w:numPr>
          <w:ilvl w:val="12"/>
          <w:numId w:val="0"/>
        </w:numPr>
        <w:rPr>
          <w:sz w:val="18"/>
        </w:rPr>
      </w:pPr>
    </w:p>
    <w:tbl>
      <w:tblPr>
        <w:tblW w:w="10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8"/>
        <w:gridCol w:w="1700"/>
        <w:gridCol w:w="2020"/>
      </w:tblGrid>
      <w:tr w:rsidR="00013EB8">
        <w:tc>
          <w:tcPr>
            <w:tcW w:w="7208" w:type="dxa"/>
          </w:tcPr>
          <w:p w:rsidR="00013EB8" w:rsidRDefault="00013EB8">
            <w:pPr>
              <w:widowControl w:val="0"/>
              <w:numPr>
                <w:ilvl w:val="12"/>
                <w:numId w:val="0"/>
              </w:numPr>
              <w:rPr>
                <w:i/>
                <w:sz w:val="16"/>
              </w:rPr>
            </w:pPr>
            <w:r>
              <w:rPr>
                <w:sz w:val="18"/>
              </w:rPr>
              <w:t xml:space="preserve">Chloracne or other acneform disease consistent with chloracne </w:t>
            </w:r>
            <w:r>
              <w:rPr>
                <w:i/>
                <w:sz w:val="16"/>
              </w:rPr>
              <w:t xml:space="preserve">(1 year presumptive period from date of exposure, per </w:t>
            </w:r>
            <w:r w:rsidRPr="00AE0E75">
              <w:rPr>
                <w:b/>
                <w:sz w:val="16"/>
              </w:rPr>
              <w:t>3.307</w:t>
            </w:r>
            <w:r>
              <w:rPr>
                <w:i/>
                <w:sz w:val="16"/>
              </w:rPr>
              <w:t>)</w:t>
            </w:r>
            <w:r>
              <w:rPr>
                <w:iCs/>
                <w:sz w:val="16"/>
              </w:rPr>
              <w:t xml:space="preserve">, </w:t>
            </w:r>
            <w:r w:rsidRPr="00AE0E75">
              <w:rPr>
                <w:b/>
                <w:bCs/>
                <w:iCs/>
                <w:sz w:val="16"/>
              </w:rPr>
              <w:t>3.813</w:t>
            </w:r>
          </w:p>
        </w:tc>
        <w:tc>
          <w:tcPr>
            <w:tcW w:w="1700" w:type="dxa"/>
          </w:tcPr>
          <w:p w:rsidR="00013EB8" w:rsidRDefault="00013EB8">
            <w:pPr>
              <w:widowControl w:val="0"/>
              <w:numPr>
                <w:ilvl w:val="12"/>
                <w:numId w:val="0"/>
              </w:numPr>
            </w:pPr>
            <w:r>
              <w:t>7829</w:t>
            </w:r>
          </w:p>
        </w:tc>
        <w:tc>
          <w:tcPr>
            <w:tcW w:w="2020" w:type="dxa"/>
          </w:tcPr>
          <w:p w:rsidR="00013EB8" w:rsidRDefault="00013EB8">
            <w:pPr>
              <w:widowControl w:val="0"/>
              <w:numPr>
                <w:ilvl w:val="12"/>
                <w:numId w:val="0"/>
              </w:numPr>
              <w:rPr>
                <w:i/>
              </w:rPr>
            </w:pPr>
            <w:r>
              <w:t>2/6/91</w:t>
            </w:r>
          </w:p>
        </w:tc>
      </w:tr>
      <w:tr w:rsidR="00013EB8">
        <w:tc>
          <w:tcPr>
            <w:tcW w:w="7208" w:type="dxa"/>
          </w:tcPr>
          <w:p w:rsidR="00013EB8" w:rsidRDefault="00013EB8">
            <w:pPr>
              <w:widowControl w:val="0"/>
              <w:numPr>
                <w:ilvl w:val="12"/>
                <w:numId w:val="0"/>
              </w:numPr>
              <w:rPr>
                <w:sz w:val="18"/>
              </w:rPr>
            </w:pPr>
            <w:r>
              <w:rPr>
                <w:sz w:val="18"/>
              </w:rPr>
              <w:t>Non-Hodgkin’s lymphoma</w:t>
            </w:r>
            <w:r w:rsidR="00EA1CC3">
              <w:rPr>
                <w:sz w:val="18"/>
              </w:rPr>
              <w:t xml:space="preserve"> (NHL)</w:t>
            </w:r>
          </w:p>
          <w:p w:rsidR="00013EB8" w:rsidRDefault="00013EB8">
            <w:pPr>
              <w:widowControl w:val="0"/>
              <w:numPr>
                <w:ilvl w:val="12"/>
                <w:numId w:val="0"/>
              </w:numPr>
              <w:rPr>
                <w:sz w:val="18"/>
              </w:rPr>
            </w:pPr>
          </w:p>
          <w:p w:rsidR="00013EB8" w:rsidRDefault="00013EB8">
            <w:pPr>
              <w:widowControl w:val="0"/>
              <w:numPr>
                <w:ilvl w:val="12"/>
                <w:numId w:val="0"/>
              </w:numPr>
              <w:rPr>
                <w:i/>
                <w:iCs/>
                <w:sz w:val="18"/>
              </w:rPr>
            </w:pPr>
            <w:r>
              <w:rPr>
                <w:i/>
                <w:iCs/>
                <w:sz w:val="18"/>
              </w:rPr>
              <w:t>Rec’d via email on 1/9/13:</w:t>
            </w:r>
          </w:p>
          <w:p w:rsidR="00013EB8" w:rsidRDefault="00013EB8">
            <w:pPr>
              <w:rPr>
                <w:sz w:val="16"/>
              </w:rPr>
            </w:pPr>
            <w:r>
              <w:rPr>
                <w:b/>
                <w:bCs/>
                <w:sz w:val="18"/>
              </w:rPr>
              <w:t>Subtypes of Non-Hodgkins Lymphoma (WHO Classification)</w:t>
            </w:r>
            <w:r>
              <w:rPr>
                <w:b/>
                <w:bCs/>
                <w:sz w:val="16"/>
              </w:rPr>
              <w:t xml:space="preserve"> </w:t>
            </w:r>
            <w:r>
              <w:rPr>
                <w:b/>
                <w:bCs/>
                <w:sz w:val="16"/>
              </w:rPr>
              <w:br/>
            </w:r>
            <w:r>
              <w:rPr>
                <w:b/>
                <w:bCs/>
                <w:sz w:val="18"/>
              </w:rPr>
              <w:t>Cell Origin Tumor</w:t>
            </w:r>
            <w:r>
              <w:rPr>
                <w:b/>
                <w:bCs/>
                <w:sz w:val="16"/>
              </w:rPr>
              <w:t xml:space="preserve"> </w:t>
            </w:r>
            <w:r>
              <w:rPr>
                <w:b/>
                <w:bCs/>
                <w:sz w:val="16"/>
              </w:rPr>
              <w:br/>
            </w:r>
            <w:r>
              <w:rPr>
                <w:sz w:val="16"/>
              </w:rPr>
              <w:t xml:space="preserve">Precursor B-cell tumor Precursor B-lymphoblastic leukemia/lymphoma* </w:t>
            </w:r>
            <w:r>
              <w:rPr>
                <w:sz w:val="16"/>
              </w:rPr>
              <w:br/>
              <w:t>Mature B-cell tumors B-cell chronic lymphocytic leukemia/small lymphocytic lymphoma</w:t>
            </w:r>
            <w:r>
              <w:rPr>
                <w:sz w:val="16"/>
                <w:vertAlign w:val="superscript"/>
              </w:rPr>
              <w:t>†</w:t>
            </w:r>
            <w:r>
              <w:rPr>
                <w:sz w:val="16"/>
              </w:rPr>
              <w:t xml:space="preserve"> </w:t>
            </w:r>
            <w:r>
              <w:rPr>
                <w:sz w:val="16"/>
              </w:rPr>
              <w:br/>
              <w:t>B-cell prolymphocytic leukemia</w:t>
            </w:r>
            <w:r>
              <w:rPr>
                <w:sz w:val="16"/>
                <w:vertAlign w:val="superscript"/>
              </w:rPr>
              <w:t>†</w:t>
            </w:r>
            <w:r>
              <w:rPr>
                <w:sz w:val="16"/>
              </w:rPr>
              <w:t xml:space="preserve"> </w:t>
            </w:r>
            <w:r>
              <w:rPr>
                <w:sz w:val="16"/>
              </w:rPr>
              <w:br/>
              <w:t>Lymphoplasmacytic lymphoma</w:t>
            </w:r>
            <w:r>
              <w:rPr>
                <w:sz w:val="16"/>
                <w:vertAlign w:val="superscript"/>
              </w:rPr>
              <w:t>†</w:t>
            </w:r>
            <w:r>
              <w:rPr>
                <w:sz w:val="16"/>
              </w:rPr>
              <w:t xml:space="preserve"> </w:t>
            </w:r>
            <w:r>
              <w:rPr>
                <w:sz w:val="16"/>
              </w:rPr>
              <w:br/>
              <w:t>Splenic marginal zone B-cell lymphoma (± villous lymphocytes)</w:t>
            </w:r>
            <w:r>
              <w:rPr>
                <w:sz w:val="16"/>
                <w:vertAlign w:val="superscript"/>
              </w:rPr>
              <w:t xml:space="preserve"> †</w:t>
            </w:r>
            <w:r>
              <w:rPr>
                <w:sz w:val="16"/>
              </w:rPr>
              <w:t xml:space="preserve"> </w:t>
            </w:r>
            <w:r>
              <w:rPr>
                <w:sz w:val="16"/>
              </w:rPr>
              <w:br/>
              <w:t>Hairy cell leukemia</w:t>
            </w:r>
            <w:r>
              <w:rPr>
                <w:sz w:val="16"/>
                <w:vertAlign w:val="superscript"/>
              </w:rPr>
              <w:t>†</w:t>
            </w:r>
            <w:r>
              <w:rPr>
                <w:sz w:val="16"/>
              </w:rPr>
              <w:t xml:space="preserve"> </w:t>
            </w:r>
            <w:r>
              <w:rPr>
                <w:sz w:val="16"/>
              </w:rPr>
              <w:br/>
              <w:t>Plasma cell myeloma/plasmacytoma</w:t>
            </w:r>
            <w:r>
              <w:rPr>
                <w:sz w:val="16"/>
                <w:vertAlign w:val="superscript"/>
              </w:rPr>
              <w:t>†</w:t>
            </w:r>
            <w:r>
              <w:rPr>
                <w:sz w:val="16"/>
              </w:rPr>
              <w:t xml:space="preserve"> </w:t>
            </w:r>
            <w:r>
              <w:rPr>
                <w:sz w:val="16"/>
              </w:rPr>
              <w:br/>
              <w:t>Extranodal marginal zone B-cell lymphoma of the MALT type</w:t>
            </w:r>
            <w:r>
              <w:rPr>
                <w:sz w:val="16"/>
                <w:vertAlign w:val="superscript"/>
              </w:rPr>
              <w:t>†</w:t>
            </w:r>
            <w:r>
              <w:rPr>
                <w:sz w:val="16"/>
              </w:rPr>
              <w:t xml:space="preserve"> </w:t>
            </w:r>
            <w:r>
              <w:rPr>
                <w:sz w:val="16"/>
              </w:rPr>
              <w:br/>
              <w:t>Nodal marginal zone B-cell lymphoma (± monocytoid B cells)</w:t>
            </w:r>
            <w:r>
              <w:rPr>
                <w:sz w:val="16"/>
                <w:vertAlign w:val="superscript"/>
              </w:rPr>
              <w:t>†</w:t>
            </w:r>
            <w:r>
              <w:rPr>
                <w:sz w:val="16"/>
              </w:rPr>
              <w:t xml:space="preserve"> </w:t>
            </w:r>
            <w:r>
              <w:rPr>
                <w:sz w:val="16"/>
              </w:rPr>
              <w:br/>
              <w:t>Follicular lymphoma</w:t>
            </w:r>
            <w:r>
              <w:rPr>
                <w:sz w:val="16"/>
                <w:vertAlign w:val="superscript"/>
              </w:rPr>
              <w:t>†</w:t>
            </w:r>
            <w:r>
              <w:rPr>
                <w:sz w:val="16"/>
              </w:rPr>
              <w:t xml:space="preserve"> </w:t>
            </w:r>
            <w:r>
              <w:rPr>
                <w:sz w:val="16"/>
              </w:rPr>
              <w:br/>
              <w:t>Mantle cell lymphoma</w:t>
            </w:r>
            <w:r>
              <w:rPr>
                <w:sz w:val="16"/>
                <w:vertAlign w:val="superscript"/>
              </w:rPr>
              <w:t>‡</w:t>
            </w:r>
            <w:r>
              <w:rPr>
                <w:sz w:val="16"/>
              </w:rPr>
              <w:t xml:space="preserve"> </w:t>
            </w:r>
            <w:r>
              <w:rPr>
                <w:sz w:val="16"/>
              </w:rPr>
              <w:br/>
              <w:t xml:space="preserve">Diffuse large B-cell lymphomas* (including mediastinal large B-cell lymphoma and primary effusion lymphoma) </w:t>
            </w:r>
            <w:r>
              <w:rPr>
                <w:sz w:val="16"/>
              </w:rPr>
              <w:br/>
              <w:t xml:space="preserve">Burkitt's lymphoma* </w:t>
            </w:r>
            <w:r>
              <w:rPr>
                <w:sz w:val="16"/>
              </w:rPr>
              <w:br/>
              <w:t xml:space="preserve">Precursor T-cell tumor Precursor T-lymphoblastic lymphoma/leukemia* </w:t>
            </w:r>
            <w:r>
              <w:rPr>
                <w:sz w:val="16"/>
              </w:rPr>
              <w:br/>
              <w:t>Mature T-cell tumors T-cell prolymphocytic leukemia</w:t>
            </w:r>
            <w:r>
              <w:rPr>
                <w:sz w:val="16"/>
                <w:vertAlign w:val="superscript"/>
              </w:rPr>
              <w:t>†</w:t>
            </w:r>
            <w:r>
              <w:rPr>
                <w:sz w:val="16"/>
              </w:rPr>
              <w:t xml:space="preserve"> </w:t>
            </w:r>
            <w:r>
              <w:rPr>
                <w:sz w:val="16"/>
              </w:rPr>
              <w:br/>
              <w:t xml:space="preserve">T-cell granular lymphocytic leukemia* </w:t>
            </w:r>
            <w:r>
              <w:rPr>
                <w:sz w:val="16"/>
              </w:rPr>
              <w:br/>
              <w:t xml:space="preserve">Aggressive NK cell leukemia* </w:t>
            </w:r>
            <w:r>
              <w:rPr>
                <w:sz w:val="16"/>
              </w:rPr>
              <w:br/>
              <w:t xml:space="preserve">Adult T-cell lymphoma/leukemia* (HTLV 1-positive) </w:t>
            </w:r>
            <w:r>
              <w:rPr>
                <w:sz w:val="16"/>
              </w:rPr>
              <w:br/>
              <w:t xml:space="preserve">Extranodal NK/T-cell lymphoma, nasal type* </w:t>
            </w:r>
            <w:r>
              <w:rPr>
                <w:sz w:val="16"/>
              </w:rPr>
              <w:br/>
              <w:t xml:space="preserve">Enteropathy-type T-cell lymphoma* </w:t>
            </w:r>
            <w:r>
              <w:rPr>
                <w:sz w:val="16"/>
              </w:rPr>
              <w:br/>
              <w:t xml:space="preserve">Hepatosplenic γ-δ T-cell lymphoma* </w:t>
            </w:r>
            <w:r>
              <w:rPr>
                <w:sz w:val="16"/>
              </w:rPr>
              <w:br/>
              <w:t xml:space="preserve">Subcutaneous panniculitis-like T-cell lymphoma* </w:t>
            </w:r>
            <w:r>
              <w:rPr>
                <w:sz w:val="16"/>
              </w:rPr>
              <w:br/>
              <w:t>Mycosis fungoides/Sézary syndrome</w:t>
            </w:r>
            <w:r>
              <w:rPr>
                <w:sz w:val="16"/>
                <w:vertAlign w:val="superscript"/>
              </w:rPr>
              <w:t>†</w:t>
            </w:r>
            <w:r>
              <w:rPr>
                <w:sz w:val="16"/>
              </w:rPr>
              <w:t xml:space="preserve"> </w:t>
            </w:r>
            <w:r>
              <w:rPr>
                <w:sz w:val="16"/>
              </w:rPr>
              <w:br/>
              <w:t xml:space="preserve">Anaplastic large cell lymphoma, T/null cell, primary cutaneous type* </w:t>
            </w:r>
            <w:r>
              <w:rPr>
                <w:sz w:val="16"/>
              </w:rPr>
              <w:br/>
              <w:t xml:space="preserve">Anaplastic large cell lymphoma, T-/null-cell, primary systemic type* </w:t>
            </w:r>
            <w:r>
              <w:rPr>
                <w:sz w:val="16"/>
              </w:rPr>
              <w:br/>
              <w:t xml:space="preserve">Peripheral T-cell lymphoma, not otherwise characterized* </w:t>
            </w:r>
            <w:r>
              <w:rPr>
                <w:sz w:val="16"/>
              </w:rPr>
              <w:br/>
              <w:t xml:space="preserve">Angioimmunoblastic T-cell lymphoma* </w:t>
            </w:r>
          </w:p>
          <w:p w:rsidR="00013EB8" w:rsidRDefault="00013EB8">
            <w:pPr>
              <w:rPr>
                <w:i/>
                <w:iCs/>
                <w:sz w:val="16"/>
              </w:rPr>
            </w:pPr>
            <w:r>
              <w:rPr>
                <w:sz w:val="16"/>
              </w:rPr>
              <w:br/>
            </w:r>
            <w:r>
              <w:rPr>
                <w:i/>
                <w:iCs/>
                <w:sz w:val="16"/>
              </w:rPr>
              <w:t xml:space="preserve">*Aggressive. </w:t>
            </w:r>
            <w:r>
              <w:rPr>
                <w:i/>
                <w:iCs/>
                <w:sz w:val="16"/>
              </w:rPr>
              <w:br/>
            </w:r>
            <w:r>
              <w:rPr>
                <w:i/>
                <w:iCs/>
                <w:sz w:val="16"/>
                <w:vertAlign w:val="superscript"/>
              </w:rPr>
              <w:t>†</w:t>
            </w:r>
            <w:r>
              <w:rPr>
                <w:i/>
                <w:iCs/>
                <w:sz w:val="16"/>
              </w:rPr>
              <w:t xml:space="preserve">Indolent. </w:t>
            </w:r>
            <w:r>
              <w:rPr>
                <w:i/>
                <w:iCs/>
                <w:sz w:val="16"/>
              </w:rPr>
              <w:br/>
            </w:r>
            <w:r>
              <w:rPr>
                <w:i/>
                <w:iCs/>
                <w:sz w:val="16"/>
                <w:vertAlign w:val="superscript"/>
              </w:rPr>
              <w:t>‡</w:t>
            </w:r>
            <w:r>
              <w:rPr>
                <w:i/>
                <w:iCs/>
                <w:sz w:val="16"/>
              </w:rPr>
              <w:t>Indolent but more rapidly progressive.</w:t>
            </w:r>
          </w:p>
          <w:p w:rsidR="00013EB8" w:rsidRDefault="00013EB8">
            <w:pPr>
              <w:rPr>
                <w:sz w:val="16"/>
              </w:rPr>
            </w:pPr>
            <w:r>
              <w:rPr>
                <w:i/>
                <w:iCs/>
                <w:sz w:val="16"/>
              </w:rPr>
              <w:t>HTLV = human T-cell leukemia virus 1; MALT = mucosa-associated lymphoid tissue; NK = natural killer; ± = with or without.</w:t>
            </w:r>
            <w:r>
              <w:rPr>
                <w:sz w:val="16"/>
              </w:rPr>
              <w:t xml:space="preserve"> </w:t>
            </w:r>
          </w:p>
          <w:p w:rsidR="008E214F" w:rsidRDefault="008E214F">
            <w:pPr>
              <w:rPr>
                <w:sz w:val="16"/>
              </w:rPr>
            </w:pPr>
          </w:p>
          <w:p w:rsidR="008E214F" w:rsidRPr="00431D1F" w:rsidRDefault="00D571C5" w:rsidP="006166BF">
            <w:pPr>
              <w:rPr>
                <w:iCs/>
                <w:sz w:val="18"/>
                <w:szCs w:val="18"/>
              </w:rPr>
            </w:pPr>
            <w:hyperlink r:id="rId406" w:history="1">
              <w:r w:rsidR="008E214F" w:rsidRPr="008E214F">
                <w:rPr>
                  <w:rStyle w:val="Hyperlink"/>
                  <w:b/>
                  <w:i/>
                  <w:iCs/>
                  <w:sz w:val="18"/>
                  <w:szCs w:val="18"/>
                </w:rPr>
                <w:t xml:space="preserve">October 2013 </w:t>
              </w:r>
              <w:r w:rsidR="00EB6F0B">
                <w:rPr>
                  <w:rStyle w:val="Hyperlink"/>
                  <w:b/>
                  <w:i/>
                  <w:iCs/>
                  <w:sz w:val="18"/>
                  <w:szCs w:val="18"/>
                </w:rPr>
                <w:t>Compensation Service Bulletin (CSB)</w:t>
              </w:r>
            </w:hyperlink>
            <w:r w:rsidR="008E214F" w:rsidRPr="008E214F">
              <w:rPr>
                <w:bCs/>
                <w:i/>
                <w:iCs/>
                <w:sz w:val="18"/>
                <w:szCs w:val="18"/>
              </w:rPr>
              <w:t xml:space="preserve"> –</w:t>
            </w:r>
            <w:r w:rsidR="008E214F" w:rsidRPr="008E214F">
              <w:rPr>
                <w:bCs/>
                <w:iCs/>
                <w:sz w:val="18"/>
                <w:szCs w:val="18"/>
              </w:rPr>
              <w:t xml:space="preserve"> </w:t>
            </w:r>
            <w:r w:rsidR="008E214F">
              <w:rPr>
                <w:bCs/>
                <w:iCs/>
                <w:sz w:val="18"/>
                <w:szCs w:val="18"/>
              </w:rPr>
              <w:t>NHL includes m</w:t>
            </w:r>
            <w:r w:rsidR="008E214F" w:rsidRPr="008E214F">
              <w:rPr>
                <w:sz w:val="18"/>
                <w:szCs w:val="18"/>
              </w:rPr>
              <w:t xml:space="preserve">ycosis fungoides </w:t>
            </w:r>
            <w:r w:rsidR="008E214F">
              <w:rPr>
                <w:sz w:val="18"/>
                <w:szCs w:val="18"/>
              </w:rPr>
              <w:t>(</w:t>
            </w:r>
            <w:r w:rsidR="008E214F" w:rsidRPr="008E214F">
              <w:rPr>
                <w:sz w:val="18"/>
                <w:szCs w:val="18"/>
              </w:rPr>
              <w:t>a cutaneous T-cell lymphoma, which is manifested by skin symptoms that can appear as patches, plaques, or tumors</w:t>
            </w:r>
            <w:r w:rsidR="008E214F">
              <w:rPr>
                <w:sz w:val="18"/>
                <w:szCs w:val="18"/>
              </w:rPr>
              <w:t>)</w:t>
            </w:r>
            <w:r w:rsidR="008E214F" w:rsidRPr="008E214F">
              <w:rPr>
                <w:sz w:val="18"/>
                <w:szCs w:val="18"/>
              </w:rPr>
              <w:t xml:space="preserve">.  </w:t>
            </w:r>
            <w:r w:rsidR="008E214F" w:rsidRPr="0065132D">
              <w:rPr>
                <w:i/>
                <w:sz w:val="18"/>
                <w:szCs w:val="18"/>
              </w:rPr>
              <w:t>See full write-up under 3.313</w:t>
            </w:r>
            <w:r w:rsidR="0065132D" w:rsidRPr="0065132D">
              <w:rPr>
                <w:i/>
                <w:sz w:val="18"/>
                <w:szCs w:val="18"/>
              </w:rPr>
              <w:t xml:space="preserve"> below</w:t>
            </w:r>
            <w:r w:rsidR="00431D1F">
              <w:rPr>
                <w:i/>
                <w:sz w:val="18"/>
                <w:szCs w:val="18"/>
              </w:rPr>
              <w:t xml:space="preserve">, </w:t>
            </w:r>
            <w:r w:rsidR="002505D9" w:rsidRPr="0053291F">
              <w:rPr>
                <w:b/>
              </w:rPr>
              <w:t>III.iv.4.K.2.</w:t>
            </w:r>
            <w:r w:rsidR="002505D9">
              <w:rPr>
                <w:b/>
              </w:rPr>
              <w:t>e</w:t>
            </w:r>
            <w:r w:rsidR="002505D9" w:rsidRPr="0053291F">
              <w:rPr>
                <w:b/>
              </w:rPr>
              <w:t xml:space="preserve"> </w:t>
            </w:r>
            <w:r w:rsidR="0082333C">
              <w:t>– 7715-7818 or just 7715</w:t>
            </w:r>
          </w:p>
        </w:tc>
        <w:tc>
          <w:tcPr>
            <w:tcW w:w="1700" w:type="dxa"/>
          </w:tcPr>
          <w:p w:rsidR="00013EB8" w:rsidRDefault="00013EB8">
            <w:pPr>
              <w:widowControl w:val="0"/>
              <w:numPr>
                <w:ilvl w:val="12"/>
                <w:numId w:val="0"/>
              </w:numPr>
            </w:pPr>
            <w:r>
              <w:t>7715</w:t>
            </w:r>
          </w:p>
        </w:tc>
        <w:tc>
          <w:tcPr>
            <w:tcW w:w="2020" w:type="dxa"/>
          </w:tcPr>
          <w:p w:rsidR="00013EB8" w:rsidRDefault="00013EB8">
            <w:pPr>
              <w:widowControl w:val="0"/>
              <w:numPr>
                <w:ilvl w:val="12"/>
                <w:numId w:val="0"/>
              </w:numPr>
              <w:rPr>
                <w:i/>
              </w:rPr>
            </w:pPr>
            <w:r>
              <w:t xml:space="preserve">2/6/91 (or 8/5/64 under </w:t>
            </w:r>
            <w:r w:rsidRPr="00AE0E75">
              <w:rPr>
                <w:b/>
                <w:bCs/>
              </w:rPr>
              <w:t>3.313</w:t>
            </w:r>
            <w:r>
              <w:t>) (</w:t>
            </w:r>
            <w:hyperlink w:anchor="Nehmer" w:history="1">
              <w:r>
                <w:rPr>
                  <w:rStyle w:val="Hyperlink"/>
                </w:rPr>
                <w:t>Nehmer</w:t>
              </w:r>
            </w:hyperlink>
            <w:r>
              <w:t>)</w:t>
            </w:r>
          </w:p>
        </w:tc>
      </w:tr>
      <w:tr w:rsidR="00013EB8">
        <w:tc>
          <w:tcPr>
            <w:tcW w:w="7208" w:type="dxa"/>
          </w:tcPr>
          <w:p w:rsidR="00013EB8" w:rsidRDefault="00013EB8">
            <w:pPr>
              <w:widowControl w:val="0"/>
              <w:numPr>
                <w:ilvl w:val="12"/>
                <w:numId w:val="0"/>
              </w:numPr>
              <w:rPr>
                <w:sz w:val="18"/>
              </w:rPr>
            </w:pPr>
            <w:r>
              <w:rPr>
                <w:sz w:val="18"/>
              </w:rPr>
              <w:t>Soft-tissue sarcoma (other than osteosarcoma, chondrosarcoma, Kaposi’s sarcoma, or mesothelioma)</w:t>
            </w:r>
          </w:p>
          <w:p w:rsidR="00013EB8" w:rsidRDefault="00013EB8">
            <w:pPr>
              <w:widowControl w:val="0"/>
              <w:numPr>
                <w:ilvl w:val="12"/>
                <w:numId w:val="0"/>
              </w:numPr>
              <w:rPr>
                <w:sz w:val="18"/>
              </w:rPr>
            </w:pPr>
            <w:r>
              <w:rPr>
                <w:sz w:val="18"/>
              </w:rPr>
              <w:t>including:</w:t>
            </w:r>
          </w:p>
          <w:p w:rsidR="00013EB8" w:rsidRDefault="00013EB8">
            <w:pPr>
              <w:widowControl w:val="0"/>
              <w:numPr>
                <w:ilvl w:val="12"/>
                <w:numId w:val="0"/>
              </w:numPr>
              <w:ind w:left="360"/>
              <w:rPr>
                <w:sz w:val="16"/>
              </w:rPr>
            </w:pPr>
            <w:r>
              <w:rPr>
                <w:sz w:val="16"/>
              </w:rPr>
              <w:t xml:space="preserve">Adult fibrosarcoma </w:t>
            </w:r>
          </w:p>
          <w:p w:rsidR="00013EB8" w:rsidRDefault="00013EB8">
            <w:pPr>
              <w:widowControl w:val="0"/>
              <w:numPr>
                <w:ilvl w:val="12"/>
                <w:numId w:val="0"/>
              </w:numPr>
              <w:ind w:left="360"/>
              <w:rPr>
                <w:sz w:val="16"/>
              </w:rPr>
            </w:pPr>
            <w:r>
              <w:rPr>
                <w:sz w:val="16"/>
              </w:rPr>
              <w:t xml:space="preserve">Angiosarcoma (hemangiosarcoma and lymphangiosarcoma) </w:t>
            </w:r>
          </w:p>
          <w:p w:rsidR="00013EB8" w:rsidRDefault="00013EB8">
            <w:pPr>
              <w:widowControl w:val="0"/>
              <w:numPr>
                <w:ilvl w:val="12"/>
                <w:numId w:val="0"/>
              </w:numPr>
              <w:ind w:left="360"/>
              <w:rPr>
                <w:sz w:val="16"/>
              </w:rPr>
            </w:pPr>
            <w:r>
              <w:rPr>
                <w:sz w:val="16"/>
              </w:rPr>
              <w:t xml:space="preserve">Alveolar soft part sarcoma </w:t>
            </w:r>
          </w:p>
          <w:p w:rsidR="00013EB8" w:rsidRDefault="00013EB8">
            <w:pPr>
              <w:widowControl w:val="0"/>
              <w:numPr>
                <w:ilvl w:val="12"/>
                <w:numId w:val="0"/>
              </w:numPr>
              <w:ind w:left="360"/>
              <w:rPr>
                <w:sz w:val="16"/>
              </w:rPr>
            </w:pPr>
            <w:r>
              <w:rPr>
                <w:sz w:val="16"/>
              </w:rPr>
              <w:t xml:space="preserve">Clear cell sarcoma of tendons and aponeuroses </w:t>
            </w:r>
          </w:p>
          <w:p w:rsidR="00013EB8" w:rsidRDefault="00013EB8">
            <w:pPr>
              <w:widowControl w:val="0"/>
              <w:numPr>
                <w:ilvl w:val="12"/>
                <w:numId w:val="0"/>
              </w:numPr>
              <w:ind w:left="360"/>
              <w:rPr>
                <w:sz w:val="16"/>
              </w:rPr>
            </w:pPr>
            <w:r>
              <w:rPr>
                <w:sz w:val="16"/>
              </w:rPr>
              <w:t xml:space="preserve">Congenital and infantile fibrosarcoma </w:t>
            </w:r>
          </w:p>
          <w:p w:rsidR="00013EB8" w:rsidRDefault="00013EB8">
            <w:pPr>
              <w:widowControl w:val="0"/>
              <w:numPr>
                <w:ilvl w:val="12"/>
                <w:numId w:val="0"/>
              </w:numPr>
              <w:ind w:left="360"/>
              <w:rPr>
                <w:sz w:val="16"/>
              </w:rPr>
            </w:pPr>
            <w:r>
              <w:rPr>
                <w:sz w:val="16"/>
              </w:rPr>
              <w:t xml:space="preserve">Dermatofibrosarcoma protuberans </w:t>
            </w:r>
          </w:p>
          <w:p w:rsidR="00013EB8" w:rsidRDefault="00013EB8">
            <w:pPr>
              <w:widowControl w:val="0"/>
              <w:numPr>
                <w:ilvl w:val="12"/>
                <w:numId w:val="0"/>
              </w:numPr>
              <w:ind w:left="360"/>
              <w:rPr>
                <w:sz w:val="16"/>
              </w:rPr>
            </w:pPr>
            <w:r>
              <w:rPr>
                <w:sz w:val="16"/>
              </w:rPr>
              <w:t xml:space="preserve">Ectomesenchymoma </w:t>
            </w:r>
          </w:p>
          <w:p w:rsidR="00013EB8" w:rsidRDefault="00013EB8">
            <w:pPr>
              <w:widowControl w:val="0"/>
              <w:numPr>
                <w:ilvl w:val="12"/>
                <w:numId w:val="0"/>
              </w:numPr>
              <w:ind w:left="360"/>
              <w:rPr>
                <w:sz w:val="16"/>
              </w:rPr>
            </w:pPr>
            <w:r>
              <w:rPr>
                <w:sz w:val="16"/>
              </w:rPr>
              <w:t xml:space="preserve">Epithelioid leiomyosarcoma (malignant leiomyoblastoma) </w:t>
            </w:r>
          </w:p>
          <w:p w:rsidR="00013EB8" w:rsidRDefault="00013EB8">
            <w:pPr>
              <w:widowControl w:val="0"/>
              <w:numPr>
                <w:ilvl w:val="12"/>
                <w:numId w:val="0"/>
              </w:numPr>
              <w:ind w:left="360"/>
              <w:rPr>
                <w:sz w:val="16"/>
              </w:rPr>
            </w:pPr>
            <w:r>
              <w:rPr>
                <w:sz w:val="16"/>
              </w:rPr>
              <w:t xml:space="preserve">Epithelioid sarcoma </w:t>
            </w:r>
          </w:p>
          <w:p w:rsidR="00013EB8" w:rsidRDefault="00013EB8">
            <w:pPr>
              <w:widowControl w:val="0"/>
              <w:numPr>
                <w:ilvl w:val="12"/>
                <w:numId w:val="0"/>
              </w:numPr>
              <w:ind w:left="360"/>
              <w:rPr>
                <w:sz w:val="16"/>
              </w:rPr>
            </w:pPr>
            <w:r>
              <w:rPr>
                <w:sz w:val="16"/>
              </w:rPr>
              <w:t xml:space="preserve">Extraskeletal Ewing’s sarcoma </w:t>
            </w:r>
          </w:p>
          <w:p w:rsidR="00013EB8" w:rsidRDefault="00013EB8">
            <w:pPr>
              <w:widowControl w:val="0"/>
              <w:numPr>
                <w:ilvl w:val="12"/>
                <w:numId w:val="0"/>
              </w:numPr>
              <w:ind w:left="360"/>
              <w:rPr>
                <w:sz w:val="16"/>
              </w:rPr>
            </w:pPr>
            <w:r>
              <w:rPr>
                <w:sz w:val="16"/>
              </w:rPr>
              <w:t xml:space="preserve">Leiomyosarcoma </w:t>
            </w:r>
          </w:p>
          <w:p w:rsidR="00013EB8" w:rsidRDefault="00013EB8">
            <w:pPr>
              <w:widowControl w:val="0"/>
              <w:numPr>
                <w:ilvl w:val="12"/>
                <w:numId w:val="0"/>
              </w:numPr>
              <w:ind w:left="360"/>
              <w:rPr>
                <w:sz w:val="16"/>
              </w:rPr>
            </w:pPr>
            <w:r>
              <w:rPr>
                <w:sz w:val="16"/>
              </w:rPr>
              <w:t xml:space="preserve">Liposarcoma </w:t>
            </w:r>
          </w:p>
          <w:p w:rsidR="00013EB8" w:rsidRDefault="00013EB8">
            <w:pPr>
              <w:widowControl w:val="0"/>
              <w:numPr>
                <w:ilvl w:val="12"/>
                <w:numId w:val="0"/>
              </w:numPr>
              <w:ind w:left="360"/>
              <w:rPr>
                <w:sz w:val="16"/>
              </w:rPr>
            </w:pPr>
            <w:r>
              <w:rPr>
                <w:sz w:val="16"/>
              </w:rPr>
              <w:t>Malignant fibrous histiocytoma, ganglioneuroma, giant cell tumor of tendon sheath, granular cell tumor, glomus tumor, hemangiopericytoma, mesenchymoma or schwannoma (including malignant schwannoma with rhabdomyoblastic differentiation (malignant Triton tumor), glandular and epithelioid malignant schwannomas)</w:t>
            </w:r>
          </w:p>
          <w:p w:rsidR="00013EB8" w:rsidRDefault="00013EB8">
            <w:pPr>
              <w:widowControl w:val="0"/>
              <w:numPr>
                <w:ilvl w:val="12"/>
                <w:numId w:val="0"/>
              </w:numPr>
              <w:ind w:left="360"/>
              <w:rPr>
                <w:sz w:val="16"/>
              </w:rPr>
            </w:pPr>
            <w:r>
              <w:rPr>
                <w:sz w:val="16"/>
              </w:rPr>
              <w:t xml:space="preserve">Proliferating (systemic) angioendotheliomatosis </w:t>
            </w:r>
          </w:p>
          <w:p w:rsidR="00013EB8" w:rsidRDefault="00013EB8">
            <w:pPr>
              <w:widowControl w:val="0"/>
              <w:numPr>
                <w:ilvl w:val="12"/>
                <w:numId w:val="0"/>
              </w:numPr>
              <w:ind w:left="360"/>
              <w:rPr>
                <w:sz w:val="16"/>
              </w:rPr>
            </w:pPr>
            <w:r>
              <w:rPr>
                <w:sz w:val="16"/>
              </w:rPr>
              <w:t xml:space="preserve">Rhabdomyosarcoma </w:t>
            </w:r>
          </w:p>
          <w:p w:rsidR="00013EB8" w:rsidRDefault="00013EB8">
            <w:pPr>
              <w:widowControl w:val="0"/>
              <w:numPr>
                <w:ilvl w:val="12"/>
                <w:numId w:val="0"/>
              </w:numPr>
              <w:ind w:left="360"/>
              <w:rPr>
                <w:sz w:val="18"/>
              </w:rPr>
            </w:pPr>
            <w:r>
              <w:rPr>
                <w:sz w:val="16"/>
              </w:rPr>
              <w:t>Synovial sarcoma (malignant synovioma)</w:t>
            </w:r>
          </w:p>
        </w:tc>
        <w:tc>
          <w:tcPr>
            <w:tcW w:w="1700" w:type="dxa"/>
          </w:tcPr>
          <w:p w:rsidR="00013EB8" w:rsidRDefault="00013EB8">
            <w:pPr>
              <w:pStyle w:val="Header"/>
              <w:widowControl w:val="0"/>
              <w:numPr>
                <w:ilvl w:val="12"/>
                <w:numId w:val="0"/>
              </w:numPr>
              <w:tabs>
                <w:tab w:val="clear" w:pos="4320"/>
                <w:tab w:val="clear" w:pos="8640"/>
              </w:tabs>
            </w:pPr>
            <w:r>
              <w:t>5329 or 8540</w:t>
            </w:r>
          </w:p>
        </w:tc>
        <w:tc>
          <w:tcPr>
            <w:tcW w:w="2020" w:type="dxa"/>
          </w:tcPr>
          <w:p w:rsidR="00013EB8" w:rsidRDefault="00013EB8">
            <w:pPr>
              <w:widowControl w:val="0"/>
              <w:numPr>
                <w:ilvl w:val="12"/>
                <w:numId w:val="0"/>
              </w:numPr>
            </w:pPr>
            <w:r>
              <w:t>2/6/91 (</w:t>
            </w:r>
            <w:hyperlink w:anchor="Nehmer" w:history="1">
              <w:r>
                <w:rPr>
                  <w:rStyle w:val="Hyperlink"/>
                </w:rPr>
                <w:t>Nehmer</w:t>
              </w:r>
            </w:hyperlink>
            <w:r>
              <w:t>)</w:t>
            </w:r>
          </w:p>
        </w:tc>
      </w:tr>
      <w:tr w:rsidR="00013EB8">
        <w:trPr>
          <w:trHeight w:val="262"/>
        </w:trPr>
        <w:tc>
          <w:tcPr>
            <w:tcW w:w="7208" w:type="dxa"/>
          </w:tcPr>
          <w:p w:rsidR="00013EB8" w:rsidRDefault="00013EB8">
            <w:pPr>
              <w:widowControl w:val="0"/>
              <w:numPr>
                <w:ilvl w:val="12"/>
                <w:numId w:val="0"/>
              </w:numPr>
              <w:rPr>
                <w:sz w:val="18"/>
              </w:rPr>
            </w:pPr>
            <w:r>
              <w:rPr>
                <w:sz w:val="18"/>
              </w:rPr>
              <w:t>Hodgkin’s disease</w:t>
            </w:r>
          </w:p>
        </w:tc>
        <w:tc>
          <w:tcPr>
            <w:tcW w:w="1700" w:type="dxa"/>
          </w:tcPr>
          <w:p w:rsidR="00013EB8" w:rsidRDefault="00013EB8">
            <w:pPr>
              <w:widowControl w:val="0"/>
              <w:numPr>
                <w:ilvl w:val="12"/>
                <w:numId w:val="0"/>
              </w:numPr>
            </w:pPr>
            <w:r>
              <w:t>7709</w:t>
            </w:r>
          </w:p>
        </w:tc>
        <w:tc>
          <w:tcPr>
            <w:tcW w:w="2020" w:type="dxa"/>
          </w:tcPr>
          <w:p w:rsidR="00013EB8" w:rsidRDefault="00013EB8">
            <w:pPr>
              <w:widowControl w:val="0"/>
              <w:numPr>
                <w:ilvl w:val="12"/>
                <w:numId w:val="0"/>
              </w:numPr>
            </w:pPr>
            <w:r>
              <w:t>2/3/94 (</w:t>
            </w:r>
            <w:hyperlink w:anchor="Nehmer" w:history="1">
              <w:r>
                <w:rPr>
                  <w:rStyle w:val="Hyperlink"/>
                </w:rPr>
                <w:t>Nehmer</w:t>
              </w:r>
            </w:hyperlink>
            <w:r>
              <w:t>)</w:t>
            </w:r>
          </w:p>
        </w:tc>
      </w:tr>
      <w:tr w:rsidR="00013EB8">
        <w:tc>
          <w:tcPr>
            <w:tcW w:w="7208" w:type="dxa"/>
          </w:tcPr>
          <w:p w:rsidR="00013EB8" w:rsidRDefault="00013EB8">
            <w:pPr>
              <w:widowControl w:val="0"/>
              <w:numPr>
                <w:ilvl w:val="12"/>
                <w:numId w:val="0"/>
              </w:numPr>
              <w:rPr>
                <w:i/>
                <w:sz w:val="16"/>
              </w:rPr>
            </w:pPr>
            <w:r>
              <w:rPr>
                <w:sz w:val="18"/>
              </w:rPr>
              <w:t xml:space="preserve">Porphyria cutanea tarda </w:t>
            </w:r>
            <w:r>
              <w:rPr>
                <w:i/>
                <w:sz w:val="16"/>
              </w:rPr>
              <w:t xml:space="preserve">(1 year presumptive period from date of exposure, per </w:t>
            </w:r>
            <w:r w:rsidRPr="008E5C3A">
              <w:rPr>
                <w:b/>
                <w:sz w:val="16"/>
              </w:rPr>
              <w:t>3.307</w:t>
            </w:r>
            <w:r>
              <w:rPr>
                <w:i/>
                <w:sz w:val="16"/>
              </w:rPr>
              <w:t>)</w:t>
            </w:r>
            <w:r>
              <w:rPr>
                <w:iCs/>
                <w:sz w:val="16"/>
              </w:rPr>
              <w:t xml:space="preserve">, </w:t>
            </w:r>
            <w:r w:rsidRPr="008E5C3A">
              <w:rPr>
                <w:b/>
                <w:bCs/>
                <w:iCs/>
                <w:sz w:val="16"/>
              </w:rPr>
              <w:t>3.813</w:t>
            </w:r>
          </w:p>
        </w:tc>
        <w:tc>
          <w:tcPr>
            <w:tcW w:w="1700" w:type="dxa"/>
          </w:tcPr>
          <w:p w:rsidR="00013EB8" w:rsidRDefault="00013EB8">
            <w:pPr>
              <w:widowControl w:val="0"/>
              <w:numPr>
                <w:ilvl w:val="12"/>
                <w:numId w:val="0"/>
              </w:numPr>
            </w:pPr>
            <w:r>
              <w:t>7815</w:t>
            </w:r>
          </w:p>
        </w:tc>
        <w:tc>
          <w:tcPr>
            <w:tcW w:w="2020" w:type="dxa"/>
          </w:tcPr>
          <w:p w:rsidR="00013EB8" w:rsidRDefault="00013EB8">
            <w:pPr>
              <w:widowControl w:val="0"/>
              <w:numPr>
                <w:ilvl w:val="12"/>
                <w:numId w:val="0"/>
              </w:numPr>
              <w:rPr>
                <w:i/>
              </w:rPr>
            </w:pPr>
            <w:r>
              <w:t>2/3/94 (</w:t>
            </w:r>
            <w:hyperlink w:anchor="Nehmer" w:history="1">
              <w:r>
                <w:rPr>
                  <w:rStyle w:val="Hyperlink"/>
                </w:rPr>
                <w:t>Nehmer</w:t>
              </w:r>
            </w:hyperlink>
            <w:r>
              <w:t>)</w:t>
            </w:r>
          </w:p>
        </w:tc>
      </w:tr>
      <w:tr w:rsidR="00013EB8">
        <w:tc>
          <w:tcPr>
            <w:tcW w:w="7208" w:type="dxa"/>
          </w:tcPr>
          <w:p w:rsidR="00013EB8" w:rsidRDefault="00013EB8">
            <w:pPr>
              <w:widowControl w:val="0"/>
              <w:numPr>
                <w:ilvl w:val="12"/>
                <w:numId w:val="0"/>
              </w:numPr>
              <w:rPr>
                <w:sz w:val="18"/>
              </w:rPr>
            </w:pPr>
            <w:r>
              <w:rPr>
                <w:sz w:val="18"/>
              </w:rPr>
              <w:t>Multiple myeloma</w:t>
            </w:r>
          </w:p>
          <w:p w:rsidR="005047F4" w:rsidRDefault="005047F4" w:rsidP="006166BF">
            <w:pPr>
              <w:widowControl w:val="0"/>
              <w:tabs>
                <w:tab w:val="left" w:pos="700"/>
              </w:tabs>
              <w:spacing w:after="120"/>
              <w:rPr>
                <w:sz w:val="18"/>
              </w:rPr>
            </w:pPr>
            <w:r w:rsidRPr="005047F4">
              <w:rPr>
                <w:sz w:val="18"/>
              </w:rPr>
              <w:t xml:space="preserve">*generally </w:t>
            </w:r>
            <w:r w:rsidRPr="00282CA6">
              <w:rPr>
                <w:sz w:val="18"/>
              </w:rPr>
              <w:t>multiple myeloma is 100% P&amp;T (rare exceptions), per</w:t>
            </w:r>
            <w:r w:rsidR="00282CA6" w:rsidRPr="00282CA6">
              <w:rPr>
                <w:sz w:val="18"/>
              </w:rPr>
              <w:t xml:space="preserve"> </w:t>
            </w:r>
            <w:r w:rsidR="00282CA6" w:rsidRPr="00282CA6">
              <w:rPr>
                <w:b/>
                <w:sz w:val="18"/>
              </w:rPr>
              <w:t>III.iv.4.K.2.a</w:t>
            </w:r>
          </w:p>
        </w:tc>
        <w:tc>
          <w:tcPr>
            <w:tcW w:w="1700" w:type="dxa"/>
          </w:tcPr>
          <w:p w:rsidR="00013EB8" w:rsidRDefault="005047F4">
            <w:pPr>
              <w:widowControl w:val="0"/>
              <w:numPr>
                <w:ilvl w:val="12"/>
                <w:numId w:val="0"/>
              </w:numPr>
            </w:pPr>
            <w:r>
              <w:t>7799-7709</w:t>
            </w:r>
          </w:p>
        </w:tc>
        <w:tc>
          <w:tcPr>
            <w:tcW w:w="2020" w:type="dxa"/>
          </w:tcPr>
          <w:p w:rsidR="00013EB8" w:rsidRDefault="00013EB8">
            <w:pPr>
              <w:widowControl w:val="0"/>
              <w:numPr>
                <w:ilvl w:val="12"/>
                <w:numId w:val="0"/>
              </w:numPr>
            </w:pPr>
            <w:r>
              <w:t>6/9/94 (</w:t>
            </w:r>
            <w:hyperlink w:anchor="Nehmer" w:history="1">
              <w:r>
                <w:rPr>
                  <w:rStyle w:val="Hyperlink"/>
                </w:rPr>
                <w:t>Nehmer</w:t>
              </w:r>
            </w:hyperlink>
            <w:r>
              <w:t>)</w:t>
            </w:r>
          </w:p>
        </w:tc>
      </w:tr>
      <w:tr w:rsidR="00013EB8">
        <w:tc>
          <w:tcPr>
            <w:tcW w:w="7208" w:type="dxa"/>
          </w:tcPr>
          <w:p w:rsidR="00013EB8" w:rsidRDefault="00013EB8" w:rsidP="00EF1AC7">
            <w:pPr>
              <w:widowControl w:val="0"/>
              <w:numPr>
                <w:ilvl w:val="12"/>
                <w:numId w:val="0"/>
              </w:numPr>
              <w:rPr>
                <w:i/>
                <w:sz w:val="16"/>
              </w:rPr>
            </w:pPr>
            <w:r>
              <w:rPr>
                <w:sz w:val="18"/>
              </w:rPr>
              <w:t>Respiratory cancers (cancer of the lung, bronchus, larynx, or tr</w:t>
            </w:r>
            <w:r w:rsidR="00EF1AC7">
              <w:rPr>
                <w:sz w:val="18"/>
              </w:rPr>
              <w:t>achea)</w:t>
            </w:r>
          </w:p>
        </w:tc>
        <w:tc>
          <w:tcPr>
            <w:tcW w:w="1700" w:type="dxa"/>
          </w:tcPr>
          <w:p w:rsidR="00013EB8" w:rsidRDefault="00013EB8">
            <w:pPr>
              <w:widowControl w:val="0"/>
              <w:numPr>
                <w:ilvl w:val="12"/>
                <w:numId w:val="0"/>
              </w:numPr>
            </w:pPr>
            <w:r>
              <w:t>6819</w:t>
            </w:r>
          </w:p>
        </w:tc>
        <w:tc>
          <w:tcPr>
            <w:tcW w:w="2020" w:type="dxa"/>
          </w:tcPr>
          <w:p w:rsidR="00013EB8" w:rsidRDefault="00013EB8">
            <w:pPr>
              <w:widowControl w:val="0"/>
              <w:numPr>
                <w:ilvl w:val="12"/>
                <w:numId w:val="0"/>
              </w:numPr>
            </w:pPr>
            <w:r>
              <w:t>6/9/94 (</w:t>
            </w:r>
            <w:hyperlink w:anchor="Nehmer" w:history="1">
              <w:r>
                <w:rPr>
                  <w:rStyle w:val="Hyperlink"/>
                </w:rPr>
                <w:t>Nehmer</w:t>
              </w:r>
            </w:hyperlink>
            <w:r>
              <w:t>)</w:t>
            </w:r>
          </w:p>
        </w:tc>
      </w:tr>
      <w:tr w:rsidR="00013EB8">
        <w:tc>
          <w:tcPr>
            <w:tcW w:w="7208" w:type="dxa"/>
          </w:tcPr>
          <w:p w:rsidR="00013EB8" w:rsidRDefault="00013EB8">
            <w:pPr>
              <w:widowControl w:val="0"/>
              <w:numPr>
                <w:ilvl w:val="12"/>
                <w:numId w:val="0"/>
              </w:numPr>
              <w:rPr>
                <w:sz w:val="18"/>
              </w:rPr>
            </w:pPr>
            <w:r>
              <w:rPr>
                <w:sz w:val="18"/>
              </w:rPr>
              <w:t xml:space="preserve">Prostate cancer </w:t>
            </w:r>
          </w:p>
        </w:tc>
        <w:tc>
          <w:tcPr>
            <w:tcW w:w="1700" w:type="dxa"/>
          </w:tcPr>
          <w:p w:rsidR="00013EB8" w:rsidRDefault="00013EB8">
            <w:pPr>
              <w:widowControl w:val="0"/>
              <w:numPr>
                <w:ilvl w:val="12"/>
                <w:numId w:val="0"/>
              </w:numPr>
            </w:pPr>
            <w:r>
              <w:t>7528</w:t>
            </w:r>
          </w:p>
        </w:tc>
        <w:tc>
          <w:tcPr>
            <w:tcW w:w="2020" w:type="dxa"/>
          </w:tcPr>
          <w:p w:rsidR="00013EB8" w:rsidRDefault="00013EB8">
            <w:pPr>
              <w:widowControl w:val="0"/>
              <w:numPr>
                <w:ilvl w:val="12"/>
                <w:numId w:val="0"/>
              </w:numPr>
            </w:pPr>
            <w:r>
              <w:t>11/7/96 (</w:t>
            </w:r>
            <w:hyperlink w:anchor="Nehmer" w:history="1">
              <w:r>
                <w:rPr>
                  <w:rStyle w:val="Hyperlink"/>
                </w:rPr>
                <w:t>Nehmer</w:t>
              </w:r>
            </w:hyperlink>
            <w:r>
              <w:t>)</w:t>
            </w:r>
          </w:p>
        </w:tc>
      </w:tr>
      <w:tr w:rsidR="00013EB8">
        <w:tc>
          <w:tcPr>
            <w:tcW w:w="7208" w:type="dxa"/>
          </w:tcPr>
          <w:p w:rsidR="00EC433C" w:rsidRPr="00EF1AC7" w:rsidRDefault="001D1C6D" w:rsidP="00EF1AC7">
            <w:pPr>
              <w:widowControl w:val="0"/>
              <w:numPr>
                <w:ilvl w:val="12"/>
                <w:numId w:val="0"/>
              </w:numPr>
              <w:rPr>
                <w:i/>
                <w:sz w:val="16"/>
              </w:rPr>
            </w:pPr>
            <w:r>
              <w:rPr>
                <w:sz w:val="18"/>
              </w:rPr>
              <w:t>Early-onset</w:t>
            </w:r>
            <w:r w:rsidR="00013EB8">
              <w:rPr>
                <w:sz w:val="18"/>
              </w:rPr>
              <w:t xml:space="preserve"> peripheral neuropathy</w:t>
            </w:r>
            <w:r>
              <w:rPr>
                <w:sz w:val="18"/>
              </w:rPr>
              <w:t xml:space="preserve"> (previously acute and subacute</w:t>
            </w:r>
            <w:r w:rsidR="00EF1AC7">
              <w:rPr>
                <w:sz w:val="18"/>
              </w:rPr>
              <w:t>, changed 9/6/13</w:t>
            </w:r>
            <w:r>
              <w:rPr>
                <w:sz w:val="18"/>
              </w:rPr>
              <w:t>)</w:t>
            </w:r>
            <w:r w:rsidR="00013EB8">
              <w:rPr>
                <w:sz w:val="18"/>
              </w:rPr>
              <w:t xml:space="preserve"> </w:t>
            </w:r>
            <w:r w:rsidR="00013EB8" w:rsidRPr="009E2F62">
              <w:rPr>
                <w:i/>
                <w:sz w:val="16"/>
                <w:highlight w:val="darkGray"/>
              </w:rPr>
              <w:t>(</w:t>
            </w:r>
            <w:r w:rsidRPr="009E2F62">
              <w:rPr>
                <w:i/>
                <w:sz w:val="16"/>
                <w:highlight w:val="darkGray"/>
              </w:rPr>
              <w:t xml:space="preserve">per Note 2 - </w:t>
            </w:r>
            <w:r w:rsidR="00013EB8" w:rsidRPr="009E2F62">
              <w:rPr>
                <w:i/>
                <w:sz w:val="16"/>
                <w:highlight w:val="darkGray"/>
              </w:rPr>
              <w:t>means transient peripheral neuropathy that appears w/i weeks or months of exposure and resolv</w:t>
            </w:r>
            <w:r w:rsidRPr="009E2F62">
              <w:rPr>
                <w:i/>
                <w:sz w:val="16"/>
                <w:highlight w:val="darkGray"/>
              </w:rPr>
              <w:t>es w/i 2 years of date of onset;</w:t>
            </w:r>
            <w:r>
              <w:rPr>
                <w:i/>
                <w:sz w:val="16"/>
              </w:rPr>
              <w:t xml:space="preserve"> per </w:t>
            </w:r>
            <w:r w:rsidRPr="008E5C3A">
              <w:rPr>
                <w:b/>
                <w:sz w:val="16"/>
              </w:rPr>
              <w:t>3.307</w:t>
            </w:r>
            <w:r w:rsidR="00013EB8">
              <w:rPr>
                <w:i/>
                <w:sz w:val="16"/>
              </w:rPr>
              <w:t xml:space="preserve"> </w:t>
            </w:r>
            <w:r>
              <w:rPr>
                <w:i/>
                <w:sz w:val="16"/>
              </w:rPr>
              <w:t>-</w:t>
            </w:r>
            <w:r w:rsidR="00013EB8">
              <w:rPr>
                <w:i/>
                <w:sz w:val="16"/>
              </w:rPr>
              <w:t xml:space="preserve"> 1 year presumptive period from date of </w:t>
            </w:r>
            <w:r>
              <w:rPr>
                <w:i/>
                <w:sz w:val="16"/>
              </w:rPr>
              <w:t>last exposure to herbicides)</w:t>
            </w:r>
          </w:p>
        </w:tc>
        <w:tc>
          <w:tcPr>
            <w:tcW w:w="1700" w:type="dxa"/>
          </w:tcPr>
          <w:p w:rsidR="00013EB8" w:rsidRDefault="00013EB8">
            <w:pPr>
              <w:widowControl w:val="0"/>
              <w:numPr>
                <w:ilvl w:val="12"/>
                <w:numId w:val="0"/>
              </w:numPr>
              <w:rPr>
                <w:iCs/>
              </w:rPr>
            </w:pPr>
            <w:r>
              <w:rPr>
                <w:iCs/>
              </w:rPr>
              <w:t>8510 thru 8730</w:t>
            </w:r>
          </w:p>
        </w:tc>
        <w:tc>
          <w:tcPr>
            <w:tcW w:w="2020" w:type="dxa"/>
          </w:tcPr>
          <w:p w:rsidR="003F4ACB" w:rsidRDefault="00013EB8" w:rsidP="003F4ACB">
            <w:pPr>
              <w:widowControl w:val="0"/>
              <w:numPr>
                <w:ilvl w:val="12"/>
                <w:numId w:val="0"/>
              </w:numPr>
            </w:pPr>
            <w:r>
              <w:t>11/7/96 (</w:t>
            </w:r>
            <w:hyperlink w:anchor="Nehmer" w:history="1">
              <w:r>
                <w:rPr>
                  <w:rStyle w:val="Hyperlink"/>
                </w:rPr>
                <w:t>Nehmer</w:t>
              </w:r>
            </w:hyperlink>
            <w:r w:rsidR="00A36F33">
              <w:t>)</w:t>
            </w:r>
          </w:p>
        </w:tc>
      </w:tr>
      <w:tr w:rsidR="00013EB8">
        <w:tc>
          <w:tcPr>
            <w:tcW w:w="7208" w:type="dxa"/>
          </w:tcPr>
          <w:p w:rsidR="00013EB8" w:rsidRDefault="00013EB8" w:rsidP="0039300C">
            <w:pPr>
              <w:widowControl w:val="0"/>
              <w:numPr>
                <w:ilvl w:val="12"/>
                <w:numId w:val="0"/>
              </w:numPr>
              <w:rPr>
                <w:sz w:val="18"/>
              </w:rPr>
            </w:pPr>
            <w:r>
              <w:rPr>
                <w:sz w:val="18"/>
              </w:rPr>
              <w:t>Type 2 diabetes (also known as adult-onset diabetes)</w:t>
            </w:r>
          </w:p>
        </w:tc>
        <w:tc>
          <w:tcPr>
            <w:tcW w:w="1700" w:type="dxa"/>
          </w:tcPr>
          <w:p w:rsidR="00013EB8" w:rsidRDefault="00013EB8">
            <w:pPr>
              <w:widowControl w:val="0"/>
              <w:numPr>
                <w:ilvl w:val="12"/>
                <w:numId w:val="0"/>
              </w:numPr>
              <w:rPr>
                <w:i/>
              </w:rPr>
            </w:pPr>
            <w:r>
              <w:t>7913</w:t>
            </w:r>
            <w:r>
              <w:tab/>
            </w:r>
          </w:p>
        </w:tc>
        <w:tc>
          <w:tcPr>
            <w:tcW w:w="2020" w:type="dxa"/>
          </w:tcPr>
          <w:p w:rsidR="00013EB8" w:rsidRDefault="00013EB8">
            <w:pPr>
              <w:widowControl w:val="0"/>
              <w:numPr>
                <w:ilvl w:val="12"/>
                <w:numId w:val="0"/>
              </w:numPr>
              <w:rPr>
                <w:i/>
              </w:rPr>
            </w:pPr>
            <w:r>
              <w:t>5/8/01 (</w:t>
            </w:r>
            <w:hyperlink w:anchor="Nehmer" w:history="1">
              <w:r>
                <w:rPr>
                  <w:rStyle w:val="Hyperlink"/>
                </w:rPr>
                <w:t>Nehmer</w:t>
              </w:r>
            </w:hyperlink>
            <w:r>
              <w:t xml:space="preserve"> &amp; Liesegang; previously 7/9/01)</w:t>
            </w:r>
          </w:p>
        </w:tc>
      </w:tr>
      <w:tr w:rsidR="00013EB8">
        <w:tc>
          <w:tcPr>
            <w:tcW w:w="7208" w:type="dxa"/>
          </w:tcPr>
          <w:p w:rsidR="005D613E" w:rsidRDefault="00013EB8" w:rsidP="005D613E">
            <w:pPr>
              <w:widowControl w:val="0"/>
              <w:numPr>
                <w:ilvl w:val="12"/>
                <w:numId w:val="0"/>
              </w:numPr>
              <w:tabs>
                <w:tab w:val="left" w:pos="700"/>
              </w:tabs>
              <w:ind w:left="700" w:hanging="700"/>
              <w:rPr>
                <w:sz w:val="18"/>
              </w:rPr>
            </w:pPr>
            <w:r>
              <w:rPr>
                <w:sz w:val="18"/>
              </w:rPr>
              <w:t xml:space="preserve">Chronic Lymphocytic Leukemia (CLL) </w:t>
            </w:r>
            <w:r w:rsidR="005D613E">
              <w:rPr>
                <w:sz w:val="18"/>
              </w:rPr>
              <w:t xml:space="preserve"> - </w:t>
            </w:r>
          </w:p>
          <w:p w:rsidR="00013EB8" w:rsidRPr="005D613E" w:rsidRDefault="005D613E" w:rsidP="00020865">
            <w:pPr>
              <w:widowControl w:val="0"/>
              <w:numPr>
                <w:ilvl w:val="12"/>
                <w:numId w:val="0"/>
              </w:numPr>
              <w:tabs>
                <w:tab w:val="left" w:pos="700"/>
              </w:tabs>
              <w:spacing w:after="120"/>
              <w:ind w:left="706" w:hanging="706"/>
            </w:pPr>
            <w:r>
              <w:rPr>
                <w:sz w:val="18"/>
              </w:rPr>
              <w:t xml:space="preserve">*should be 100% </w:t>
            </w:r>
            <w:r w:rsidR="005047F4">
              <w:rPr>
                <w:sz w:val="18"/>
              </w:rPr>
              <w:t>P&amp;T</w:t>
            </w:r>
            <w:r>
              <w:rPr>
                <w:sz w:val="18"/>
              </w:rPr>
              <w:t xml:space="preserve">, per </w:t>
            </w:r>
            <w:r w:rsidRPr="00C02245">
              <w:rPr>
                <w:b/>
                <w:sz w:val="18"/>
              </w:rPr>
              <w:t>III.iv.4.</w:t>
            </w:r>
            <w:r w:rsidR="00020865">
              <w:rPr>
                <w:b/>
                <w:sz w:val="18"/>
              </w:rPr>
              <w:t>K.2.c</w:t>
            </w:r>
          </w:p>
        </w:tc>
        <w:tc>
          <w:tcPr>
            <w:tcW w:w="1700" w:type="dxa"/>
          </w:tcPr>
          <w:p w:rsidR="00013EB8" w:rsidRDefault="00013EB8">
            <w:pPr>
              <w:widowControl w:val="0"/>
              <w:numPr>
                <w:ilvl w:val="12"/>
                <w:numId w:val="0"/>
              </w:numPr>
            </w:pPr>
            <w:r>
              <w:t>7799-7703</w:t>
            </w:r>
          </w:p>
        </w:tc>
        <w:tc>
          <w:tcPr>
            <w:tcW w:w="2020" w:type="dxa"/>
          </w:tcPr>
          <w:p w:rsidR="00013EB8" w:rsidRDefault="00013EB8">
            <w:pPr>
              <w:pStyle w:val="Header"/>
              <w:widowControl w:val="0"/>
              <w:numPr>
                <w:ilvl w:val="12"/>
                <w:numId w:val="0"/>
              </w:numPr>
              <w:tabs>
                <w:tab w:val="clear" w:pos="4320"/>
                <w:tab w:val="clear" w:pos="8640"/>
              </w:tabs>
            </w:pPr>
            <w:r>
              <w:t>10/16/03 (</w:t>
            </w:r>
            <w:hyperlink w:anchor="Nehmer" w:history="1">
              <w:r>
                <w:rPr>
                  <w:rStyle w:val="Hyperlink"/>
                </w:rPr>
                <w:t>Nehmer</w:t>
              </w:r>
            </w:hyperlink>
            <w:r>
              <w:t>)</w:t>
            </w:r>
          </w:p>
        </w:tc>
      </w:tr>
      <w:tr w:rsidR="00013EB8">
        <w:trPr>
          <w:trHeight w:val="1385"/>
        </w:trPr>
        <w:tc>
          <w:tcPr>
            <w:tcW w:w="7208" w:type="dxa"/>
          </w:tcPr>
          <w:p w:rsidR="00013EB8" w:rsidRDefault="00013EB8" w:rsidP="005D613E">
            <w:pPr>
              <w:widowControl w:val="0"/>
              <w:numPr>
                <w:ilvl w:val="12"/>
                <w:numId w:val="0"/>
              </w:numPr>
              <w:rPr>
                <w:sz w:val="18"/>
              </w:rPr>
            </w:pPr>
            <w:r>
              <w:rPr>
                <w:sz w:val="18"/>
              </w:rPr>
              <w:t>AL Amyloidosis (“amyloid light ch</w:t>
            </w:r>
            <w:r w:rsidR="00701E0C">
              <w:rPr>
                <w:sz w:val="18"/>
              </w:rPr>
              <w:t>ain” primary amyloidosis, ALA)</w:t>
            </w:r>
          </w:p>
          <w:p w:rsidR="00701E0C" w:rsidRPr="00701E0C" w:rsidRDefault="00C45AE7" w:rsidP="00020865">
            <w:pPr>
              <w:widowControl w:val="0"/>
              <w:numPr>
                <w:ilvl w:val="12"/>
                <w:numId w:val="0"/>
              </w:numPr>
              <w:spacing w:after="120"/>
              <w:rPr>
                <w:sz w:val="18"/>
              </w:rPr>
            </w:pPr>
            <w:r>
              <w:rPr>
                <w:sz w:val="18"/>
              </w:rPr>
              <w:t xml:space="preserve">*should be 100% </w:t>
            </w:r>
            <w:r w:rsidR="005047F4">
              <w:rPr>
                <w:sz w:val="18"/>
              </w:rPr>
              <w:t>P&amp;T</w:t>
            </w:r>
            <w:r>
              <w:rPr>
                <w:sz w:val="18"/>
              </w:rPr>
              <w:t xml:space="preserve">, per </w:t>
            </w:r>
            <w:r w:rsidR="00020865">
              <w:rPr>
                <w:b/>
                <w:sz w:val="18"/>
              </w:rPr>
              <w:t>III.iv.4.K.2.b</w:t>
            </w:r>
          </w:p>
        </w:tc>
        <w:tc>
          <w:tcPr>
            <w:tcW w:w="1700" w:type="dxa"/>
          </w:tcPr>
          <w:p w:rsidR="00013EB8" w:rsidRDefault="0006213F">
            <w:pPr>
              <w:widowControl w:val="0"/>
              <w:numPr>
                <w:ilvl w:val="12"/>
                <w:numId w:val="0"/>
              </w:numPr>
            </w:pPr>
            <w:r>
              <w:t>7717</w:t>
            </w:r>
            <w:r>
              <w:rPr>
                <w:sz w:val="18"/>
              </w:rPr>
              <w:t xml:space="preserve">, per </w:t>
            </w:r>
            <w:r w:rsidR="00020865">
              <w:rPr>
                <w:b/>
                <w:sz w:val="18"/>
              </w:rPr>
              <w:t>III.iv.4.K.2.b</w:t>
            </w:r>
          </w:p>
        </w:tc>
        <w:tc>
          <w:tcPr>
            <w:tcW w:w="2020" w:type="dxa"/>
          </w:tcPr>
          <w:p w:rsidR="00013EB8" w:rsidRDefault="00013EB8">
            <w:pPr>
              <w:widowControl w:val="0"/>
              <w:numPr>
                <w:ilvl w:val="12"/>
                <w:numId w:val="0"/>
              </w:numPr>
              <w:rPr>
                <w:i/>
                <w:iCs/>
              </w:rPr>
            </w:pPr>
            <w:r>
              <w:t>5/7/09 (</w:t>
            </w:r>
            <w:hyperlink w:anchor="Nehmer" w:history="1">
              <w:r>
                <w:rPr>
                  <w:rStyle w:val="Hyperlink"/>
                </w:rPr>
                <w:t>Nehmer</w:t>
              </w:r>
            </w:hyperlink>
            <w:r>
              <w:t>)</w:t>
            </w:r>
          </w:p>
        </w:tc>
      </w:tr>
      <w:tr w:rsidR="00013EB8">
        <w:trPr>
          <w:trHeight w:val="323"/>
        </w:trPr>
        <w:tc>
          <w:tcPr>
            <w:tcW w:w="7208" w:type="dxa"/>
          </w:tcPr>
          <w:p w:rsidR="00013EB8" w:rsidRDefault="00013EB8">
            <w:pPr>
              <w:widowControl w:val="0"/>
              <w:numPr>
                <w:ilvl w:val="12"/>
                <w:numId w:val="0"/>
              </w:numPr>
              <w:spacing w:after="120"/>
              <w:rPr>
                <w:sz w:val="18"/>
              </w:rPr>
            </w:pPr>
            <w:r>
              <w:rPr>
                <w:sz w:val="18"/>
              </w:rPr>
              <w:t>All chronic B-cell leukemias (including, but not limited to, hairy-cell leukemia and chronic lymphocytic leukemia (CLL))</w:t>
            </w:r>
          </w:p>
          <w:p w:rsidR="00013EB8" w:rsidRDefault="00013EB8">
            <w:pPr>
              <w:widowControl w:val="0"/>
              <w:numPr>
                <w:ilvl w:val="12"/>
                <w:numId w:val="0"/>
              </w:numPr>
              <w:spacing w:after="120"/>
              <w:rPr>
                <w:i/>
                <w:iCs/>
                <w:sz w:val="16"/>
              </w:rPr>
            </w:pPr>
            <w:r>
              <w:rPr>
                <w:i/>
                <w:iCs/>
                <w:sz w:val="16"/>
              </w:rPr>
              <w:t xml:space="preserve">(also </w:t>
            </w:r>
            <w:r>
              <w:rPr>
                <w:b/>
                <w:bCs/>
                <w:i/>
                <w:iCs/>
                <w:sz w:val="16"/>
              </w:rPr>
              <w:t>including</w:t>
            </w:r>
            <w:r>
              <w:rPr>
                <w:i/>
                <w:iCs/>
                <w:sz w:val="16"/>
              </w:rPr>
              <w:t xml:space="preserve"> hairy cell leukemia, acute lymphoblastic leukemia/lymphoma (ALL), mantle cell lymphoma (MCL), Burkitt lymphoma, mucosa associated lymphoid tissue (MALT), B-cell chronic lymphocytic leukemia/small cell lymphocytic lymphoma, acute lymphoblastic leukemia mature B-cell type, B-cell prolymphocytic leukemia, pre-cursor B lymphoblastic leukemia, diffuse large B-cell lymphoma, follicular lymphoma, mediastinal large B-cell lymphoma, Waldenstrom Macroglobulinemia, nodular marginal zone B-cell lymphoma (NMZL), splenic marginal zone lymphoma (SMZL), nodal marginal zone b-cell lymphoma (NMZL), extranodal marginal zone B-cell lymphoma, intravascular large B-cell lymphoma, primary effusion lymphoma, lymphomatoid granulomatosis)</w:t>
            </w:r>
          </w:p>
          <w:p w:rsidR="00013EB8" w:rsidRPr="00701E0C" w:rsidRDefault="00013EB8" w:rsidP="00701E0C">
            <w:pPr>
              <w:widowControl w:val="0"/>
              <w:numPr>
                <w:ilvl w:val="12"/>
                <w:numId w:val="0"/>
              </w:numPr>
              <w:spacing w:after="120"/>
              <w:rPr>
                <w:sz w:val="18"/>
              </w:rPr>
            </w:pPr>
            <w:r>
              <w:rPr>
                <w:i/>
                <w:iCs/>
                <w:sz w:val="16"/>
              </w:rPr>
              <w:t>(</w:t>
            </w:r>
            <w:r>
              <w:rPr>
                <w:b/>
                <w:bCs/>
                <w:i/>
                <w:iCs/>
                <w:sz w:val="16"/>
              </w:rPr>
              <w:t>excluding</w:t>
            </w:r>
            <w:r>
              <w:rPr>
                <w:i/>
                <w:iCs/>
                <w:sz w:val="16"/>
              </w:rPr>
              <w:t xml:space="preserve"> myeloid stem cells, myeloblasts, granulocytes, red blood cells, platelets, T lymphocytes, natural killer cells, precursor T acute lymphoblastic leukemia/lymphoma, prolymphocyte or prolymphocytic, anaplastic large cell or lymphomatoid papulosis, cutaneous [mycosis fungoides, Sezary’s disease, hepatosplenic, angioimmunoblastic], enteropathic associated with T-cell lymphoma, adult T-cell leukemia/lymphoma, blastic NK lymphoma, extra nodal NK-T cell lymphoma, large granular lymphocytic leukemia, acute biphenotypic leukemia, lymphoproliferative disorder, x-linked lymphoproliferative disease, autoimmune lymphoproliferative syndrome, leukemoid reaction, pseudolymphoma)  </w:t>
            </w:r>
            <w:r>
              <w:rPr>
                <w:b/>
                <w:bCs/>
                <w:i/>
                <w:iCs/>
                <w:sz w:val="16"/>
              </w:rPr>
              <w:t>However, consider service connection under Non-Hodgkin’s lymphoma for T-cell or any lymphoma that is not B-cell.</w:t>
            </w:r>
            <w:r>
              <w:rPr>
                <w:b/>
                <w:bCs/>
              </w:rPr>
              <w:br/>
            </w:r>
            <w:r>
              <w:rPr>
                <w:b/>
                <w:bCs/>
              </w:rPr>
              <w:br/>
            </w:r>
            <w:r>
              <w:rPr>
                <w:sz w:val="18"/>
              </w:rPr>
              <w:t xml:space="preserve">Leukemias are classified in two important ways. The first is as either </w:t>
            </w:r>
            <w:r>
              <w:rPr>
                <w:rStyle w:val="Emphasis"/>
                <w:sz w:val="18"/>
              </w:rPr>
              <w:t>Acute</w:t>
            </w:r>
            <w:r>
              <w:rPr>
                <w:sz w:val="18"/>
              </w:rPr>
              <w:t xml:space="preserve"> or </w:t>
            </w:r>
            <w:r>
              <w:rPr>
                <w:rStyle w:val="Emphasis"/>
                <w:sz w:val="18"/>
              </w:rPr>
              <w:t>Chronic</w:t>
            </w:r>
            <w:r>
              <w:rPr>
                <w:sz w:val="18"/>
              </w:rPr>
              <w:t xml:space="preserve">. Long story short, the </w:t>
            </w:r>
            <w:r>
              <w:rPr>
                <w:rStyle w:val="Emphasis"/>
                <w:sz w:val="18"/>
              </w:rPr>
              <w:t>Chronic</w:t>
            </w:r>
            <w:r>
              <w:rPr>
                <w:sz w:val="18"/>
              </w:rPr>
              <w:t xml:space="preserve"> leukemias have the more favorable diagnoses because they're indolent, or slow-growing, and sometimes don't require treatment for years. The </w:t>
            </w:r>
            <w:r>
              <w:rPr>
                <w:rStyle w:val="Emphasis"/>
                <w:sz w:val="18"/>
              </w:rPr>
              <w:t>Acute</w:t>
            </w:r>
            <w:r>
              <w:rPr>
                <w:sz w:val="18"/>
              </w:rPr>
              <w:t xml:space="preserve"> leukemias are aggressive and life-threatening; they come on very quickly, and patients can sometimes die within weeks of being diagnosed. The second is as either </w:t>
            </w:r>
            <w:r>
              <w:rPr>
                <w:rStyle w:val="Emphasis"/>
                <w:sz w:val="18"/>
              </w:rPr>
              <w:t>Myeloid</w:t>
            </w:r>
            <w:r>
              <w:rPr>
                <w:sz w:val="18"/>
              </w:rPr>
              <w:t xml:space="preserve"> or </w:t>
            </w:r>
            <w:r>
              <w:rPr>
                <w:rStyle w:val="Emphasis"/>
                <w:sz w:val="18"/>
              </w:rPr>
              <w:t>Lymphoid</w:t>
            </w:r>
            <w:r>
              <w:rPr>
                <w:sz w:val="18"/>
              </w:rPr>
              <w:t xml:space="preserve">. If </w:t>
            </w:r>
            <w:r>
              <w:rPr>
                <w:rStyle w:val="Emphasis"/>
                <w:sz w:val="18"/>
              </w:rPr>
              <w:t>Myeloid</w:t>
            </w:r>
            <w:r>
              <w:rPr>
                <w:sz w:val="18"/>
              </w:rPr>
              <w:t xml:space="preserve">, it means the cancer involves the myeloid cells, which are the white blood cells that create neutrophils, which our bodies need to fight foreign bacteria. If </w:t>
            </w:r>
            <w:r>
              <w:rPr>
                <w:rStyle w:val="Emphasis"/>
                <w:sz w:val="18"/>
              </w:rPr>
              <w:t>Lymphoid</w:t>
            </w:r>
            <w:r>
              <w:rPr>
                <w:sz w:val="18"/>
              </w:rPr>
              <w:t>, it means the cancer involves the lymphoid cells, the white blood cells that create lymphocytes, which our bodies need to fight off anything non-bacterial.</w:t>
            </w:r>
            <w:r>
              <w:rPr>
                <w:sz w:val="18"/>
              </w:rPr>
              <w:br/>
            </w:r>
            <w:r>
              <w:rPr>
                <w:i/>
                <w:iCs/>
                <w:sz w:val="18"/>
              </w:rPr>
              <w:br/>
              <w:t xml:space="preserve">Myeloid is </w:t>
            </w:r>
            <w:r>
              <w:rPr>
                <w:i/>
                <w:iCs/>
                <w:sz w:val="18"/>
                <w:u w:val="single"/>
              </w:rPr>
              <w:t>NOT</w:t>
            </w:r>
            <w:r>
              <w:rPr>
                <w:i/>
                <w:iCs/>
                <w:sz w:val="18"/>
              </w:rPr>
              <w:t xml:space="preserve"> associated with AO. Lymphoid is associated with AO.</w:t>
            </w:r>
          </w:p>
        </w:tc>
        <w:tc>
          <w:tcPr>
            <w:tcW w:w="1700" w:type="dxa"/>
          </w:tcPr>
          <w:p w:rsidR="00013EB8" w:rsidRDefault="00013EB8">
            <w:pPr>
              <w:pStyle w:val="Header"/>
              <w:widowControl w:val="0"/>
              <w:numPr>
                <w:ilvl w:val="12"/>
                <w:numId w:val="0"/>
              </w:numPr>
              <w:tabs>
                <w:tab w:val="clear" w:pos="4320"/>
                <w:tab w:val="clear" w:pos="8640"/>
              </w:tabs>
            </w:pPr>
            <w:r>
              <w:t>7703</w:t>
            </w:r>
          </w:p>
          <w:p w:rsidR="00013EB8" w:rsidRDefault="00013EB8">
            <w:pPr>
              <w:pStyle w:val="Header"/>
              <w:widowControl w:val="0"/>
              <w:numPr>
                <w:ilvl w:val="12"/>
                <w:numId w:val="0"/>
              </w:numPr>
              <w:tabs>
                <w:tab w:val="clear" w:pos="4320"/>
                <w:tab w:val="clear" w:pos="8640"/>
              </w:tabs>
            </w:pPr>
          </w:p>
          <w:p w:rsidR="00013EB8" w:rsidRDefault="00013EB8">
            <w:pPr>
              <w:pStyle w:val="Header"/>
              <w:widowControl w:val="0"/>
              <w:numPr>
                <w:ilvl w:val="12"/>
                <w:numId w:val="0"/>
              </w:numPr>
              <w:tabs>
                <w:tab w:val="clear" w:pos="4320"/>
                <w:tab w:val="clear" w:pos="8640"/>
              </w:tabs>
              <w:rPr>
                <w:i/>
                <w:iCs/>
                <w:sz w:val="16"/>
              </w:rPr>
            </w:pPr>
            <w:r>
              <w:rPr>
                <w:i/>
                <w:iCs/>
                <w:sz w:val="16"/>
              </w:rPr>
              <w:t>(in the past, may also have used 7799-7700 and 7799-7716)</w:t>
            </w:r>
          </w:p>
        </w:tc>
        <w:tc>
          <w:tcPr>
            <w:tcW w:w="2020" w:type="dxa"/>
          </w:tcPr>
          <w:p w:rsidR="00013EB8" w:rsidRDefault="00013EB8">
            <w:pPr>
              <w:widowControl w:val="0"/>
              <w:numPr>
                <w:ilvl w:val="12"/>
                <w:numId w:val="0"/>
              </w:numPr>
              <w:rPr>
                <w:i/>
                <w:iCs/>
              </w:rPr>
            </w:pPr>
            <w:r>
              <w:t>8/31/10</w:t>
            </w:r>
            <w:r>
              <w:rPr>
                <w:i/>
                <w:iCs/>
              </w:rPr>
              <w:t xml:space="preserve"> </w:t>
            </w:r>
            <w:r>
              <w:t>(</w:t>
            </w:r>
            <w:hyperlink w:anchor="Nehmer" w:history="1">
              <w:r>
                <w:rPr>
                  <w:rStyle w:val="Hyperlink"/>
                </w:rPr>
                <w:t>Nehmer</w:t>
              </w:r>
            </w:hyperlink>
            <w:r>
              <w:t>)</w:t>
            </w:r>
          </w:p>
        </w:tc>
      </w:tr>
      <w:tr w:rsidR="00013EB8">
        <w:trPr>
          <w:trHeight w:val="287"/>
        </w:trPr>
        <w:tc>
          <w:tcPr>
            <w:tcW w:w="7208" w:type="dxa"/>
          </w:tcPr>
          <w:p w:rsidR="00013EB8" w:rsidRDefault="00013EB8">
            <w:pPr>
              <w:widowControl w:val="0"/>
              <w:numPr>
                <w:ilvl w:val="12"/>
                <w:numId w:val="0"/>
              </w:numPr>
              <w:spacing w:after="120"/>
              <w:rPr>
                <w:sz w:val="18"/>
              </w:rPr>
            </w:pPr>
            <w:r>
              <w:rPr>
                <w:sz w:val="18"/>
              </w:rPr>
              <w:t>Parkinson’s disease</w:t>
            </w:r>
          </w:p>
          <w:p w:rsidR="00013EB8" w:rsidRDefault="00013EB8">
            <w:pPr>
              <w:widowControl w:val="0"/>
              <w:numPr>
                <w:ilvl w:val="12"/>
                <w:numId w:val="0"/>
              </w:numPr>
              <w:spacing w:after="120"/>
              <w:rPr>
                <w:i/>
                <w:iCs/>
                <w:sz w:val="16"/>
              </w:rPr>
            </w:pPr>
            <w:r>
              <w:rPr>
                <w:i/>
                <w:iCs/>
                <w:sz w:val="16"/>
              </w:rPr>
              <w:t>(</w:t>
            </w:r>
            <w:r>
              <w:rPr>
                <w:b/>
                <w:bCs/>
                <w:i/>
                <w:iCs/>
                <w:sz w:val="16"/>
              </w:rPr>
              <w:t>excluding</w:t>
            </w:r>
            <w:r>
              <w:rPr>
                <w:i/>
                <w:iCs/>
                <w:sz w:val="16"/>
              </w:rPr>
              <w:t xml:space="preserve"> other motor system disorders like Parkinsonism, multiple system atrophy, progressive supranuclear palsy, corticobasal degeneration, dementia with Lewy bodies)</w:t>
            </w:r>
          </w:p>
          <w:p w:rsidR="00A01CD0" w:rsidRPr="00FF0858" w:rsidRDefault="00A01CD0" w:rsidP="00A01CD0">
            <w:pPr>
              <w:pStyle w:val="NormalWeb"/>
              <w:rPr>
                <w:rStyle w:val="Hyperlink"/>
                <w:color w:val="auto"/>
                <w:sz w:val="18"/>
                <w:szCs w:val="20"/>
                <w:u w:val="none"/>
              </w:rPr>
            </w:pPr>
            <w:r w:rsidRPr="00FF0858">
              <w:rPr>
                <w:sz w:val="18"/>
                <w:szCs w:val="20"/>
              </w:rPr>
              <w:t>Per</w:t>
            </w:r>
            <w:r w:rsidRPr="00FF0858">
              <w:rPr>
                <w:b/>
                <w:sz w:val="18"/>
                <w:szCs w:val="20"/>
              </w:rPr>
              <w:t xml:space="preserve"> IV.ii.2.A.2</w:t>
            </w:r>
            <w:r>
              <w:rPr>
                <w:b/>
                <w:sz w:val="18"/>
                <w:szCs w:val="20"/>
              </w:rPr>
              <w:t>.a</w:t>
            </w:r>
            <w:r w:rsidRPr="00FF0858">
              <w:rPr>
                <w:sz w:val="18"/>
                <w:szCs w:val="20"/>
              </w:rPr>
              <w:t xml:space="preserve"> – Parkinson-like tremor is a subthreshold diagnosis</w:t>
            </w:r>
          </w:p>
          <w:p w:rsidR="00FF5C40" w:rsidRDefault="00FF5C40">
            <w:pPr>
              <w:widowControl w:val="0"/>
              <w:numPr>
                <w:ilvl w:val="12"/>
                <w:numId w:val="0"/>
              </w:numPr>
              <w:spacing w:after="120"/>
              <w:rPr>
                <w:iCs/>
                <w:sz w:val="18"/>
              </w:rPr>
            </w:pPr>
            <w:r w:rsidRPr="00FF5C40">
              <w:rPr>
                <w:iCs/>
                <w:sz w:val="18"/>
              </w:rPr>
              <w:t xml:space="preserve">Per </w:t>
            </w:r>
            <w:r w:rsidR="00203FA8">
              <w:rPr>
                <w:b/>
                <w:iCs/>
                <w:sz w:val="18"/>
              </w:rPr>
              <w:t>IV.ii.2.C.3.i</w:t>
            </w:r>
            <w:r w:rsidR="00203FA8">
              <w:rPr>
                <w:iCs/>
                <w:sz w:val="18"/>
              </w:rPr>
              <w:t xml:space="preserve"> </w:t>
            </w:r>
            <w:r w:rsidRPr="00FF5C40">
              <w:rPr>
                <w:iCs/>
                <w:sz w:val="18"/>
              </w:rPr>
              <w:t xml:space="preserve">– excludes </w:t>
            </w:r>
            <w:r>
              <w:rPr>
                <w:iCs/>
                <w:sz w:val="18"/>
              </w:rPr>
              <w:t>Parkinsonism and/or Parkinsonian syndromes</w:t>
            </w:r>
          </w:p>
          <w:p w:rsidR="00013EB8" w:rsidRDefault="00013EB8">
            <w:pPr>
              <w:widowControl w:val="0"/>
              <w:numPr>
                <w:ilvl w:val="12"/>
                <w:numId w:val="0"/>
              </w:numPr>
              <w:rPr>
                <w:sz w:val="18"/>
              </w:rPr>
            </w:pPr>
            <w:r>
              <w:rPr>
                <w:b/>
                <w:bCs/>
                <w:i/>
                <w:iCs/>
                <w:sz w:val="18"/>
              </w:rPr>
              <w:t>From Rating Team 2/24/11 POD:</w:t>
            </w:r>
            <w:r>
              <w:rPr>
                <w:b/>
                <w:bCs/>
                <w:sz w:val="18"/>
              </w:rPr>
              <w:t xml:space="preserve">  </w:t>
            </w:r>
            <w:r>
              <w:rPr>
                <w:sz w:val="18"/>
              </w:rPr>
              <w:t xml:space="preserve">Evaluating disabilities using Disability Benefit Questionnaires (DBQ): </w:t>
            </w:r>
          </w:p>
          <w:p w:rsidR="00013EB8" w:rsidRDefault="00013EB8" w:rsidP="00F063AF">
            <w:pPr>
              <w:widowControl w:val="0"/>
              <w:numPr>
                <w:ilvl w:val="0"/>
                <w:numId w:val="98"/>
              </w:numPr>
              <w:tabs>
                <w:tab w:val="clear" w:pos="720"/>
                <w:tab w:val="left" w:pos="400"/>
              </w:tabs>
              <w:ind w:left="400"/>
              <w:rPr>
                <w:sz w:val="18"/>
              </w:rPr>
            </w:pPr>
            <w:r>
              <w:rPr>
                <w:sz w:val="18"/>
              </w:rPr>
              <w:t xml:space="preserve">RVSRs should use the information provided by the DBQ to identify Veteran disabilities.  </w:t>
            </w:r>
            <w:r>
              <w:rPr>
                <w:b/>
                <w:bCs/>
                <w:sz w:val="18"/>
                <w:u w:val="single"/>
              </w:rPr>
              <w:t>RVSRs should never "diagnose" disabilities on their own.</w:t>
            </w:r>
            <w:r>
              <w:rPr>
                <w:sz w:val="18"/>
              </w:rPr>
              <w:t xml:space="preserve">  For example, the Parkinson's DBQ provides information on SPEECH CHANGES (none, mild, mod, severe).  The RVSR should rate this condition as SPEECH CHANGES secondary to Parkinson's disease.  Describing this condition as APHONIA would be incorrect, unless there is an actual medical diagnoses APHONIA due to Parkinson's disease somewhere in the evidence.  </w:t>
            </w:r>
          </w:p>
          <w:p w:rsidR="00013EB8" w:rsidRDefault="00013EB8" w:rsidP="00F063AF">
            <w:pPr>
              <w:widowControl w:val="0"/>
              <w:numPr>
                <w:ilvl w:val="0"/>
                <w:numId w:val="98"/>
              </w:numPr>
              <w:tabs>
                <w:tab w:val="clear" w:pos="720"/>
                <w:tab w:val="left" w:pos="400"/>
              </w:tabs>
              <w:ind w:left="400"/>
              <w:rPr>
                <w:sz w:val="18"/>
              </w:rPr>
            </w:pPr>
            <w:r>
              <w:rPr>
                <w:sz w:val="18"/>
              </w:rPr>
              <w:t>The same rule applies for DIFFICULTY CHEWING/SWALLOWING.  If a diagnosis of DYSPHAGIA is not provided, identify this disability as DIFFICULTY CHEWING/SWALLOWING secondary to Parkinson's disease.</w:t>
            </w:r>
          </w:p>
          <w:p w:rsidR="00013EB8" w:rsidRPr="009E2F62" w:rsidRDefault="00013EB8" w:rsidP="00F063AF">
            <w:pPr>
              <w:widowControl w:val="0"/>
              <w:numPr>
                <w:ilvl w:val="0"/>
                <w:numId w:val="98"/>
              </w:numPr>
              <w:tabs>
                <w:tab w:val="clear" w:pos="720"/>
                <w:tab w:val="left" w:pos="400"/>
              </w:tabs>
              <w:ind w:left="400"/>
              <w:rPr>
                <w:sz w:val="18"/>
                <w:highlight w:val="darkGray"/>
              </w:rPr>
            </w:pPr>
            <w:r w:rsidRPr="009E2F62">
              <w:rPr>
                <w:sz w:val="18"/>
                <w:highlight w:val="darkGray"/>
              </w:rPr>
              <w:t>RVSR should not assign an evaluation for STOOPED POSTURE, BALANCE IMPAIRMENT, or SLEEP DISTURBANCE unless an associated disability is identified.  If clarification is needed, request appropriate VAE.</w:t>
            </w:r>
          </w:p>
          <w:p w:rsidR="00013EB8" w:rsidRPr="009E2F62" w:rsidRDefault="00013EB8" w:rsidP="00F063AF">
            <w:pPr>
              <w:widowControl w:val="0"/>
              <w:numPr>
                <w:ilvl w:val="0"/>
                <w:numId w:val="98"/>
              </w:numPr>
              <w:tabs>
                <w:tab w:val="clear" w:pos="720"/>
                <w:tab w:val="left" w:pos="400"/>
              </w:tabs>
              <w:ind w:left="400"/>
              <w:rPr>
                <w:highlight w:val="darkGray"/>
              </w:rPr>
            </w:pPr>
            <w:r w:rsidRPr="009E2F62">
              <w:rPr>
                <w:sz w:val="18"/>
                <w:highlight w:val="darkGray"/>
              </w:rPr>
              <w:t>RVSR should not assign an evaluation for DEPRESSION and/or COGNITIVE DISORDER without appropriate medical evidence.  If the only available evidence is the DBQ, an examination will be required.</w:t>
            </w:r>
          </w:p>
          <w:p w:rsidR="00573CA6" w:rsidRPr="00573CA6" w:rsidRDefault="00573CA6" w:rsidP="00573CA6">
            <w:pPr>
              <w:widowControl w:val="0"/>
              <w:tabs>
                <w:tab w:val="left" w:pos="400"/>
              </w:tabs>
              <w:ind w:left="40"/>
              <w:rPr>
                <w:i/>
              </w:rPr>
            </w:pPr>
            <w:r w:rsidRPr="00573CA6">
              <w:rPr>
                <w:i/>
                <w:sz w:val="18"/>
              </w:rPr>
              <w:t>*as of before 3/17, no one is following c or d</w:t>
            </w:r>
            <w:r>
              <w:rPr>
                <w:i/>
                <w:sz w:val="18"/>
              </w:rPr>
              <w:t>, see below VA Pulse info</w:t>
            </w:r>
          </w:p>
          <w:p w:rsidR="00013EB8" w:rsidRDefault="00013EB8">
            <w:pPr>
              <w:widowControl w:val="0"/>
              <w:tabs>
                <w:tab w:val="left" w:pos="400"/>
              </w:tabs>
              <w:ind w:left="40"/>
            </w:pPr>
          </w:p>
          <w:p w:rsidR="00907CE6" w:rsidRDefault="00D571C5" w:rsidP="00B66759">
            <w:pPr>
              <w:widowControl w:val="0"/>
              <w:numPr>
                <w:ilvl w:val="12"/>
                <w:numId w:val="0"/>
              </w:numPr>
              <w:rPr>
                <w:rStyle w:val="Hyperlink"/>
                <w:color w:val="auto"/>
                <w:u w:val="none"/>
              </w:rPr>
            </w:pPr>
            <w:hyperlink r:id="rId407" w:history="1">
              <w:r w:rsidR="00D37D00">
                <w:rPr>
                  <w:rStyle w:val="Hyperlink"/>
                  <w:b/>
                  <w:i/>
                </w:rPr>
                <w:t xml:space="preserve">March 2015 </w:t>
              </w:r>
              <w:r w:rsidR="00FF4E63">
                <w:rPr>
                  <w:rStyle w:val="Hyperlink"/>
                  <w:b/>
                  <w:i/>
                </w:rPr>
                <w:t>Quality Call Notes</w:t>
              </w:r>
            </w:hyperlink>
            <w:r w:rsidR="00907CE6">
              <w:rPr>
                <w:rStyle w:val="Hyperlink"/>
                <w:u w:val="none"/>
              </w:rPr>
              <w:t xml:space="preserve"> </w:t>
            </w:r>
            <w:r w:rsidR="00907CE6" w:rsidRPr="00907CE6">
              <w:rPr>
                <w:rStyle w:val="Hyperlink"/>
                <w:color w:val="auto"/>
                <w:u w:val="none"/>
              </w:rPr>
              <w:t xml:space="preserve">– steps to properly evaluate Parkinson’s using </w:t>
            </w:r>
            <w:r w:rsidR="00D94044" w:rsidRPr="004E16AB">
              <w:rPr>
                <w:rFonts w:ascii="Verdana" w:hAnsi="Verdana"/>
                <w:b/>
                <w:highlight w:val="green"/>
              </w:rPr>
              <w:t>VBMS-R</w:t>
            </w:r>
            <w:r w:rsidR="00907CE6" w:rsidRPr="00907CE6">
              <w:rPr>
                <w:rStyle w:val="Hyperlink"/>
                <w:color w:val="auto"/>
                <w:u w:val="none"/>
              </w:rPr>
              <w:t xml:space="preserve"> (to avoid override)</w:t>
            </w:r>
            <w:r w:rsidR="00907CE6">
              <w:rPr>
                <w:rStyle w:val="Hyperlink"/>
                <w:color w:val="auto"/>
                <w:u w:val="none"/>
              </w:rPr>
              <w:t xml:space="preserve"> – “Neurological Other System</w:t>
            </w:r>
            <w:r w:rsidR="001946CC">
              <w:rPr>
                <w:rStyle w:val="Hyperlink"/>
                <w:color w:val="auto"/>
                <w:u w:val="none"/>
              </w:rPr>
              <w:t>,”</w:t>
            </w:r>
            <w:r w:rsidR="00907CE6">
              <w:rPr>
                <w:rStyle w:val="Hyperlink"/>
                <w:color w:val="auto"/>
                <w:u w:val="none"/>
              </w:rPr>
              <w:t xml:space="preserve"> then “</w:t>
            </w:r>
            <w:r w:rsidR="00B66759">
              <w:rPr>
                <w:rStyle w:val="Hyperlink"/>
                <w:color w:val="auto"/>
                <w:u w:val="none"/>
              </w:rPr>
              <w:t>P</w:t>
            </w:r>
            <w:r w:rsidR="00907CE6">
              <w:rPr>
                <w:rStyle w:val="Hyperlink"/>
                <w:color w:val="auto"/>
                <w:u w:val="none"/>
              </w:rPr>
              <w:t>aralysis agitans</w:t>
            </w:r>
            <w:r w:rsidR="001946CC">
              <w:rPr>
                <w:rStyle w:val="Hyperlink"/>
                <w:color w:val="auto"/>
                <w:u w:val="none"/>
              </w:rPr>
              <w:t>,”</w:t>
            </w:r>
            <w:r w:rsidR="00907CE6">
              <w:rPr>
                <w:rStyle w:val="Hyperlink"/>
                <w:color w:val="auto"/>
                <w:u w:val="none"/>
              </w:rPr>
              <w:t xml:space="preserve"> then “Minimum” or “Rate Residuals</w:t>
            </w:r>
            <w:r w:rsidR="001946CC">
              <w:rPr>
                <w:rStyle w:val="Hyperlink"/>
                <w:color w:val="auto"/>
                <w:u w:val="none"/>
              </w:rPr>
              <w:t>,”</w:t>
            </w:r>
            <w:r w:rsidR="00907CE6">
              <w:rPr>
                <w:rStyle w:val="Hyperlink"/>
                <w:color w:val="auto"/>
                <w:u w:val="none"/>
              </w:rPr>
              <w:t xml:space="preserve"> use other Calcul</w:t>
            </w:r>
            <w:r w:rsidR="00B503AA">
              <w:rPr>
                <w:rStyle w:val="Hyperlink"/>
                <w:color w:val="auto"/>
                <w:u w:val="none"/>
              </w:rPr>
              <w:t>ators to evaluate each residual, one-at-a-time</w:t>
            </w:r>
          </w:p>
          <w:p w:rsidR="008905F3" w:rsidRDefault="008905F3" w:rsidP="00B66759">
            <w:pPr>
              <w:widowControl w:val="0"/>
              <w:numPr>
                <w:ilvl w:val="12"/>
                <w:numId w:val="0"/>
              </w:numPr>
              <w:rPr>
                <w:rStyle w:val="Hyperlink"/>
                <w:color w:val="auto"/>
                <w:u w:val="none"/>
              </w:rPr>
            </w:pPr>
          </w:p>
          <w:p w:rsidR="00893BDA" w:rsidRPr="008905F3" w:rsidRDefault="00893BDA" w:rsidP="00893BDA">
            <w:pPr>
              <w:widowControl w:val="0"/>
              <w:numPr>
                <w:ilvl w:val="12"/>
                <w:numId w:val="0"/>
              </w:numPr>
              <w:rPr>
                <w:rStyle w:val="Hyperlink"/>
                <w:i/>
                <w:color w:val="auto"/>
                <w:u w:val="none"/>
              </w:rPr>
            </w:pPr>
            <w:r w:rsidRPr="008905F3">
              <w:rPr>
                <w:rStyle w:val="Hyperlink"/>
                <w:i/>
                <w:color w:val="auto"/>
                <w:u w:val="none"/>
              </w:rPr>
              <w:t>https://www.vapulse.net/docs/DOC-78794</w:t>
            </w:r>
          </w:p>
          <w:p w:rsidR="00893BDA" w:rsidRDefault="00893BDA" w:rsidP="00B66759">
            <w:pPr>
              <w:widowControl w:val="0"/>
              <w:numPr>
                <w:ilvl w:val="12"/>
                <w:numId w:val="0"/>
              </w:numPr>
              <w:rPr>
                <w:rStyle w:val="Hyperlink"/>
                <w:color w:val="auto"/>
                <w:u w:val="none"/>
              </w:rPr>
            </w:pPr>
          </w:p>
          <w:p w:rsidR="008905F3" w:rsidRPr="005F5D1E" w:rsidRDefault="008905F3" w:rsidP="008905F3">
            <w:pPr>
              <w:pBdr>
                <w:top w:val="double" w:sz="4" w:space="1" w:color="auto"/>
                <w:left w:val="double" w:sz="4" w:space="4" w:color="auto"/>
                <w:bottom w:val="double" w:sz="4" w:space="1" w:color="auto"/>
                <w:right w:val="double" w:sz="4" w:space="4" w:color="auto"/>
              </w:pBdr>
              <w:shd w:val="clear" w:color="auto" w:fill="FFC000"/>
              <w:spacing w:after="120"/>
              <w:ind w:left="360" w:right="332"/>
              <w:rPr>
                <w:rFonts w:eastAsiaTheme="minorHAnsi"/>
              </w:rPr>
            </w:pPr>
            <w:r>
              <w:rPr>
                <w:rFonts w:eastAsiaTheme="minorHAnsi"/>
                <w:b/>
              </w:rPr>
              <w:t xml:space="preserve">Parkinsons_Tool (from VA Pulse).xlsm </w:t>
            </w:r>
            <w:r w:rsidRPr="008905F3">
              <w:rPr>
                <w:rFonts w:eastAsiaTheme="minorHAnsi"/>
              </w:rPr>
              <w:t xml:space="preserve">and </w:t>
            </w:r>
            <w:r>
              <w:rPr>
                <w:rFonts w:eastAsiaTheme="minorHAnsi"/>
                <w:b/>
              </w:rPr>
              <w:t>Parkinsons DBQ Rating Help (from VA Pulse)</w:t>
            </w:r>
            <w:r>
              <w:rPr>
                <w:rFonts w:eastAsiaTheme="minorHAnsi"/>
              </w:rPr>
              <w:t xml:space="preserve"> are</w:t>
            </w:r>
            <w:r w:rsidRPr="0036376C">
              <w:t xml:space="preserve"> saved at </w:t>
            </w:r>
            <w:r w:rsidRPr="005F5D1E">
              <w:rPr>
                <w:b/>
                <w:bCs/>
                <w:i/>
                <w:iCs/>
              </w:rPr>
              <w:t>H:\VSC\Rating Reference</w:t>
            </w:r>
          </w:p>
          <w:p w:rsidR="005225E4" w:rsidRPr="00573B6F" w:rsidRDefault="005225E4" w:rsidP="005225E4">
            <w:pPr>
              <w:pBdr>
                <w:top w:val="double" w:sz="4" w:space="1" w:color="auto"/>
                <w:left w:val="double" w:sz="4" w:space="4" w:color="auto"/>
                <w:bottom w:val="double" w:sz="4" w:space="1" w:color="auto"/>
                <w:right w:val="double" w:sz="4" w:space="4" w:color="auto"/>
              </w:pBdr>
              <w:shd w:val="clear" w:color="auto" w:fill="FFC000"/>
              <w:tabs>
                <w:tab w:val="left" w:pos="360"/>
                <w:tab w:val="left" w:pos="6120"/>
                <w:tab w:val="left" w:pos="6660"/>
                <w:tab w:val="left" w:pos="6992"/>
              </w:tabs>
              <w:spacing w:after="120"/>
              <w:ind w:left="360" w:right="332"/>
              <w:rPr>
                <w:bCs/>
                <w:iCs/>
              </w:rPr>
            </w:pPr>
            <w:r>
              <w:rPr>
                <w:b/>
              </w:rPr>
              <w:t xml:space="preserve">Peripheral </w:t>
            </w:r>
            <w:r w:rsidRPr="007F4897">
              <w:rPr>
                <w:b/>
              </w:rPr>
              <w:t xml:space="preserve">Nerve Evaluation </w:t>
            </w:r>
            <w:r w:rsidRPr="00707DD6">
              <w:rPr>
                <w:b/>
              </w:rPr>
              <w:t>Matrix</w:t>
            </w:r>
            <w:r>
              <w:rPr>
                <w:bCs/>
                <w:iCs/>
              </w:rPr>
              <w:t xml:space="preserve"> on </w:t>
            </w:r>
            <w:hyperlink r:id="rId408" w:history="1">
              <w:r>
                <w:rPr>
                  <w:rStyle w:val="Hyperlink"/>
                  <w:b/>
                  <w:bCs/>
                  <w:i/>
                  <w:iCs/>
                </w:rPr>
                <w:t>Rating Job Aids</w:t>
              </w:r>
            </w:hyperlink>
            <w:r>
              <w:rPr>
                <w:b/>
                <w:bCs/>
                <w:i/>
                <w:iCs/>
              </w:rPr>
              <w:t xml:space="preserve"> </w:t>
            </w:r>
            <w:r w:rsidRPr="001C6A0C">
              <w:rPr>
                <w:bCs/>
                <w:iCs/>
              </w:rPr>
              <w:t>page</w:t>
            </w:r>
            <w:r>
              <w:rPr>
                <w:bCs/>
                <w:iCs/>
              </w:rPr>
              <w:t xml:space="preserve"> also has some notes under “Top 10 Highlights” tab</w:t>
            </w:r>
          </w:p>
          <w:p w:rsidR="008905F3" w:rsidRDefault="008905F3" w:rsidP="00893BDA">
            <w:pPr>
              <w:widowControl w:val="0"/>
              <w:numPr>
                <w:ilvl w:val="12"/>
                <w:numId w:val="0"/>
              </w:numPr>
              <w:rPr>
                <w:sz w:val="18"/>
              </w:rPr>
            </w:pPr>
          </w:p>
          <w:p w:rsidR="005225E4" w:rsidRDefault="00AC256D" w:rsidP="00893BDA">
            <w:pPr>
              <w:widowControl w:val="0"/>
              <w:numPr>
                <w:ilvl w:val="12"/>
                <w:numId w:val="0"/>
              </w:numPr>
              <w:rPr>
                <w:sz w:val="18"/>
              </w:rPr>
            </w:pPr>
            <w:r>
              <w:rPr>
                <w:sz w:val="18"/>
              </w:rPr>
              <w:t>My list (complied from above &amp; other info):</w:t>
            </w:r>
          </w:p>
          <w:tbl>
            <w:tblPr>
              <w:tblStyle w:val="TableGrid"/>
              <w:tblW w:w="0" w:type="auto"/>
              <w:tblLook w:val="04A0" w:firstRow="1" w:lastRow="0" w:firstColumn="1" w:lastColumn="0" w:noHBand="0" w:noVBand="1"/>
            </w:tblPr>
            <w:tblGrid>
              <w:gridCol w:w="2868"/>
              <w:gridCol w:w="4090"/>
            </w:tblGrid>
            <w:tr w:rsidR="00893BDA" w:rsidTr="005D0F7F">
              <w:trPr>
                <w:trHeight w:val="207"/>
              </w:trPr>
              <w:tc>
                <w:tcPr>
                  <w:tcW w:w="0" w:type="auto"/>
                  <w:shd w:val="clear" w:color="auto" w:fill="4F81BD" w:themeFill="accent1"/>
                </w:tcPr>
                <w:p w:rsidR="00893BDA" w:rsidRPr="00893BDA" w:rsidRDefault="00893BDA" w:rsidP="00DC2E8D">
                  <w:pPr>
                    <w:widowControl w:val="0"/>
                    <w:numPr>
                      <w:ilvl w:val="12"/>
                      <w:numId w:val="0"/>
                    </w:numPr>
                    <w:rPr>
                      <w:b/>
                      <w:color w:val="FFFFFF" w:themeColor="background1"/>
                      <w:sz w:val="18"/>
                    </w:rPr>
                  </w:pPr>
                  <w:r w:rsidRPr="00893BDA">
                    <w:rPr>
                      <w:b/>
                      <w:color w:val="FFFFFF" w:themeColor="background1"/>
                      <w:sz w:val="18"/>
                    </w:rPr>
                    <w:t>Impairment</w:t>
                  </w:r>
                </w:p>
              </w:tc>
              <w:tc>
                <w:tcPr>
                  <w:tcW w:w="0" w:type="auto"/>
                  <w:shd w:val="clear" w:color="auto" w:fill="4F81BD" w:themeFill="accent1"/>
                </w:tcPr>
                <w:p w:rsidR="00893BDA" w:rsidRPr="00893BDA" w:rsidRDefault="00893BDA" w:rsidP="00DC2E8D">
                  <w:pPr>
                    <w:widowControl w:val="0"/>
                    <w:numPr>
                      <w:ilvl w:val="12"/>
                      <w:numId w:val="0"/>
                    </w:numPr>
                    <w:rPr>
                      <w:b/>
                      <w:color w:val="FFFFFF" w:themeColor="background1"/>
                      <w:sz w:val="18"/>
                    </w:rPr>
                  </w:pPr>
                  <w:r w:rsidRPr="00893BDA">
                    <w:rPr>
                      <w:b/>
                      <w:color w:val="FFFFFF" w:themeColor="background1"/>
                      <w:sz w:val="18"/>
                    </w:rPr>
                    <w:t>Diagnostic Code Options</w:t>
                  </w:r>
                </w:p>
              </w:tc>
            </w:tr>
            <w:tr w:rsidR="00893BDA" w:rsidTr="005D0F7F">
              <w:trPr>
                <w:trHeight w:val="207"/>
              </w:trPr>
              <w:tc>
                <w:tcPr>
                  <w:tcW w:w="0" w:type="auto"/>
                </w:tcPr>
                <w:p w:rsidR="00893BDA" w:rsidRDefault="00DC2E8D" w:rsidP="00DC2E8D">
                  <w:pPr>
                    <w:widowControl w:val="0"/>
                    <w:numPr>
                      <w:ilvl w:val="12"/>
                      <w:numId w:val="0"/>
                    </w:numPr>
                    <w:rPr>
                      <w:sz w:val="18"/>
                    </w:rPr>
                  </w:pPr>
                  <w:r>
                    <w:rPr>
                      <w:sz w:val="18"/>
                    </w:rPr>
                    <w:t>stooped p</w:t>
                  </w:r>
                  <w:r w:rsidR="00893BDA">
                    <w:rPr>
                      <w:sz w:val="18"/>
                    </w:rPr>
                    <w:t>osture</w:t>
                  </w:r>
                </w:p>
              </w:tc>
              <w:tc>
                <w:tcPr>
                  <w:tcW w:w="0" w:type="auto"/>
                </w:tcPr>
                <w:p w:rsidR="00893BDA" w:rsidRDefault="00893BDA" w:rsidP="00DC2E8D">
                  <w:pPr>
                    <w:widowControl w:val="0"/>
                    <w:numPr>
                      <w:ilvl w:val="12"/>
                      <w:numId w:val="0"/>
                    </w:numPr>
                    <w:rPr>
                      <w:sz w:val="18"/>
                    </w:rPr>
                  </w:pPr>
                  <w:r>
                    <w:rPr>
                      <w:sz w:val="18"/>
                    </w:rPr>
                    <w:t>5327 I 8211 I 5320</w:t>
                  </w:r>
                </w:p>
              </w:tc>
            </w:tr>
            <w:tr w:rsidR="00893BDA" w:rsidTr="005D0F7F">
              <w:trPr>
                <w:trHeight w:val="207"/>
              </w:trPr>
              <w:tc>
                <w:tcPr>
                  <w:tcW w:w="0" w:type="auto"/>
                </w:tcPr>
                <w:p w:rsidR="00893BDA" w:rsidRDefault="00DC2E8D" w:rsidP="00DC2E8D">
                  <w:pPr>
                    <w:widowControl w:val="0"/>
                    <w:numPr>
                      <w:ilvl w:val="12"/>
                      <w:numId w:val="0"/>
                    </w:numPr>
                    <w:rPr>
                      <w:sz w:val="18"/>
                    </w:rPr>
                  </w:pPr>
                  <w:r>
                    <w:rPr>
                      <w:sz w:val="18"/>
                    </w:rPr>
                    <w:t>b</w:t>
                  </w:r>
                  <w:r w:rsidR="00893BDA">
                    <w:rPr>
                      <w:sz w:val="18"/>
                    </w:rPr>
                    <w:t xml:space="preserve">alance </w:t>
                  </w:r>
                  <w:r>
                    <w:rPr>
                      <w:sz w:val="18"/>
                    </w:rPr>
                    <w:t>i</w:t>
                  </w:r>
                  <w:r w:rsidR="00893BDA">
                    <w:rPr>
                      <w:sz w:val="18"/>
                    </w:rPr>
                    <w:t>mpairment</w:t>
                  </w:r>
                </w:p>
              </w:tc>
              <w:tc>
                <w:tcPr>
                  <w:tcW w:w="0" w:type="auto"/>
                </w:tcPr>
                <w:p w:rsidR="00893BDA" w:rsidRDefault="00DC2E8D" w:rsidP="00DC2E8D">
                  <w:pPr>
                    <w:widowControl w:val="0"/>
                    <w:numPr>
                      <w:ilvl w:val="12"/>
                      <w:numId w:val="0"/>
                    </w:numPr>
                    <w:rPr>
                      <w:sz w:val="18"/>
                    </w:rPr>
                  </w:pPr>
                  <w:r>
                    <w:rPr>
                      <w:sz w:val="18"/>
                    </w:rPr>
                    <w:t>6204 I 8211 I 8209</w:t>
                  </w:r>
                </w:p>
              </w:tc>
            </w:tr>
            <w:tr w:rsidR="00893BDA" w:rsidTr="005D0F7F">
              <w:trPr>
                <w:trHeight w:val="207"/>
              </w:trPr>
              <w:tc>
                <w:tcPr>
                  <w:tcW w:w="0" w:type="auto"/>
                </w:tcPr>
                <w:p w:rsidR="00893BDA" w:rsidRDefault="00DC2E8D" w:rsidP="00DC2E8D">
                  <w:pPr>
                    <w:widowControl w:val="0"/>
                    <w:numPr>
                      <w:ilvl w:val="12"/>
                      <w:numId w:val="0"/>
                    </w:numPr>
                    <w:rPr>
                      <w:sz w:val="18"/>
                    </w:rPr>
                  </w:pPr>
                  <w:r>
                    <w:rPr>
                      <w:sz w:val="18"/>
                    </w:rPr>
                    <w:t>bradykinesia or slowed motion</w:t>
                  </w:r>
                </w:p>
              </w:tc>
              <w:tc>
                <w:tcPr>
                  <w:tcW w:w="0" w:type="auto"/>
                </w:tcPr>
                <w:p w:rsidR="00893BDA" w:rsidRDefault="00DC2E8D" w:rsidP="00DC2E8D">
                  <w:pPr>
                    <w:widowControl w:val="0"/>
                    <w:numPr>
                      <w:ilvl w:val="12"/>
                      <w:numId w:val="0"/>
                    </w:numPr>
                    <w:rPr>
                      <w:sz w:val="18"/>
                    </w:rPr>
                  </w:pPr>
                  <w:r>
                    <w:rPr>
                      <w:sz w:val="18"/>
                    </w:rPr>
                    <w:t>Rate with extremity under nerves I 5307 I 5310</w:t>
                  </w:r>
                </w:p>
              </w:tc>
            </w:tr>
            <w:tr w:rsidR="00893BDA" w:rsidTr="005D0F7F">
              <w:trPr>
                <w:trHeight w:val="207"/>
              </w:trPr>
              <w:tc>
                <w:tcPr>
                  <w:tcW w:w="0" w:type="auto"/>
                </w:tcPr>
                <w:p w:rsidR="00893BDA" w:rsidRDefault="00DC2E8D" w:rsidP="00DC2E8D">
                  <w:pPr>
                    <w:widowControl w:val="0"/>
                    <w:numPr>
                      <w:ilvl w:val="12"/>
                      <w:numId w:val="0"/>
                    </w:numPr>
                    <w:rPr>
                      <w:sz w:val="18"/>
                    </w:rPr>
                  </w:pPr>
                  <w:r>
                    <w:rPr>
                      <w:sz w:val="18"/>
                    </w:rPr>
                    <w:t>loss of automatic movements</w:t>
                  </w:r>
                </w:p>
              </w:tc>
              <w:tc>
                <w:tcPr>
                  <w:tcW w:w="0" w:type="auto"/>
                </w:tcPr>
                <w:p w:rsidR="00893BDA" w:rsidRDefault="00DC2E8D" w:rsidP="00DC2E8D">
                  <w:pPr>
                    <w:widowControl w:val="0"/>
                    <w:numPr>
                      <w:ilvl w:val="12"/>
                      <w:numId w:val="0"/>
                    </w:numPr>
                    <w:rPr>
                      <w:sz w:val="18"/>
                    </w:rPr>
                  </w:pPr>
                  <w:r>
                    <w:rPr>
                      <w:sz w:val="18"/>
                    </w:rPr>
                    <w:t>8207 I 8205</w:t>
                  </w:r>
                </w:p>
              </w:tc>
            </w:tr>
            <w:tr w:rsidR="00893BDA" w:rsidTr="005D0F7F">
              <w:trPr>
                <w:trHeight w:val="207"/>
              </w:trPr>
              <w:tc>
                <w:tcPr>
                  <w:tcW w:w="0" w:type="auto"/>
                </w:tcPr>
                <w:p w:rsidR="00893BDA" w:rsidRDefault="00DC2E8D" w:rsidP="00DC2E8D">
                  <w:pPr>
                    <w:widowControl w:val="0"/>
                    <w:numPr>
                      <w:ilvl w:val="12"/>
                      <w:numId w:val="0"/>
                    </w:numPr>
                    <w:rPr>
                      <w:sz w:val="18"/>
                    </w:rPr>
                  </w:pPr>
                  <w:r>
                    <w:rPr>
                      <w:sz w:val="18"/>
                    </w:rPr>
                    <w:t>speech changes</w:t>
                  </w:r>
                </w:p>
              </w:tc>
              <w:tc>
                <w:tcPr>
                  <w:tcW w:w="0" w:type="auto"/>
                </w:tcPr>
                <w:p w:rsidR="00893BDA" w:rsidRDefault="00DC2E8D" w:rsidP="00DC2E8D">
                  <w:pPr>
                    <w:widowControl w:val="0"/>
                    <w:numPr>
                      <w:ilvl w:val="12"/>
                      <w:numId w:val="0"/>
                    </w:numPr>
                    <w:rPr>
                      <w:sz w:val="18"/>
                    </w:rPr>
                  </w:pPr>
                  <w:r>
                    <w:rPr>
                      <w:sz w:val="18"/>
                    </w:rPr>
                    <w:t>6519 I 6516 I 8210 I 82XX</w:t>
                  </w:r>
                </w:p>
              </w:tc>
            </w:tr>
            <w:tr w:rsidR="00893BDA" w:rsidTr="005D0F7F">
              <w:trPr>
                <w:trHeight w:val="207"/>
              </w:trPr>
              <w:tc>
                <w:tcPr>
                  <w:tcW w:w="0" w:type="auto"/>
                </w:tcPr>
                <w:p w:rsidR="00893BDA" w:rsidRDefault="00DC2E8D" w:rsidP="00DC2E8D">
                  <w:pPr>
                    <w:widowControl w:val="0"/>
                    <w:numPr>
                      <w:ilvl w:val="12"/>
                      <w:numId w:val="0"/>
                    </w:numPr>
                    <w:rPr>
                      <w:sz w:val="18"/>
                    </w:rPr>
                  </w:pPr>
                  <w:r>
                    <w:rPr>
                      <w:sz w:val="18"/>
                    </w:rPr>
                    <w:t>tremors – UEs</w:t>
                  </w:r>
                </w:p>
              </w:tc>
              <w:tc>
                <w:tcPr>
                  <w:tcW w:w="0" w:type="auto"/>
                </w:tcPr>
                <w:p w:rsidR="00893BDA" w:rsidRDefault="00DC2E8D" w:rsidP="00DC2E8D">
                  <w:pPr>
                    <w:widowControl w:val="0"/>
                    <w:numPr>
                      <w:ilvl w:val="12"/>
                      <w:numId w:val="0"/>
                    </w:numPr>
                    <w:rPr>
                      <w:sz w:val="18"/>
                    </w:rPr>
                  </w:pPr>
                  <w:r>
                    <w:rPr>
                      <w:sz w:val="18"/>
                    </w:rPr>
                    <w:t>8514 I 8513 I nerve indicated I 5215/5109</w:t>
                  </w:r>
                </w:p>
              </w:tc>
            </w:tr>
            <w:tr w:rsidR="00893BDA" w:rsidTr="005D0F7F">
              <w:trPr>
                <w:trHeight w:val="207"/>
              </w:trPr>
              <w:tc>
                <w:tcPr>
                  <w:tcW w:w="0" w:type="auto"/>
                </w:tcPr>
                <w:p w:rsidR="00893BDA" w:rsidRDefault="00DC2E8D" w:rsidP="00DC2E8D">
                  <w:pPr>
                    <w:widowControl w:val="0"/>
                    <w:numPr>
                      <w:ilvl w:val="12"/>
                      <w:numId w:val="0"/>
                    </w:numPr>
                    <w:rPr>
                      <w:sz w:val="18"/>
                    </w:rPr>
                  </w:pPr>
                  <w:r>
                    <w:rPr>
                      <w:sz w:val="18"/>
                    </w:rPr>
                    <w:t>tremors – LEs</w:t>
                  </w:r>
                </w:p>
              </w:tc>
              <w:tc>
                <w:tcPr>
                  <w:tcW w:w="0" w:type="auto"/>
                </w:tcPr>
                <w:p w:rsidR="00893BDA" w:rsidRDefault="00DC2E8D" w:rsidP="00DC2E8D">
                  <w:pPr>
                    <w:widowControl w:val="0"/>
                    <w:numPr>
                      <w:ilvl w:val="12"/>
                      <w:numId w:val="0"/>
                    </w:numPr>
                    <w:rPr>
                      <w:sz w:val="18"/>
                    </w:rPr>
                  </w:pPr>
                  <w:r>
                    <w:rPr>
                      <w:sz w:val="18"/>
                    </w:rPr>
                    <w:t>8521 I 8520 I nerve indicated I 5167/5010</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muscle rigidity – UEs</w:t>
                  </w:r>
                </w:p>
              </w:tc>
              <w:tc>
                <w:tcPr>
                  <w:tcW w:w="0" w:type="auto"/>
                </w:tcPr>
                <w:p w:rsidR="00DC2E8D" w:rsidRDefault="00DC2E8D" w:rsidP="00DC2E8D">
                  <w:pPr>
                    <w:widowControl w:val="0"/>
                    <w:numPr>
                      <w:ilvl w:val="12"/>
                      <w:numId w:val="0"/>
                    </w:numPr>
                    <w:rPr>
                      <w:sz w:val="18"/>
                    </w:rPr>
                  </w:pPr>
                  <w:r>
                    <w:rPr>
                      <w:sz w:val="18"/>
                    </w:rPr>
                    <w:t>8514 I 8513 I nerve indicated I 5307 I 5215/5109</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muscle rigidity – LEs</w:t>
                  </w:r>
                </w:p>
              </w:tc>
              <w:tc>
                <w:tcPr>
                  <w:tcW w:w="0" w:type="auto"/>
                </w:tcPr>
                <w:p w:rsidR="00DC2E8D" w:rsidRDefault="00DC2E8D" w:rsidP="00DC2E8D">
                  <w:pPr>
                    <w:widowControl w:val="0"/>
                    <w:numPr>
                      <w:ilvl w:val="12"/>
                      <w:numId w:val="0"/>
                    </w:numPr>
                    <w:rPr>
                      <w:sz w:val="18"/>
                    </w:rPr>
                  </w:pPr>
                  <w:r>
                    <w:rPr>
                      <w:sz w:val="18"/>
                    </w:rPr>
                    <w:t>8521 I 8520 I nerve indicated I 5310 I 5167/5010</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depression</w:t>
                  </w:r>
                </w:p>
              </w:tc>
              <w:tc>
                <w:tcPr>
                  <w:tcW w:w="0" w:type="auto"/>
                </w:tcPr>
                <w:p w:rsidR="00DC2E8D" w:rsidRDefault="00DC2E8D" w:rsidP="00DC2E8D">
                  <w:pPr>
                    <w:widowControl w:val="0"/>
                    <w:numPr>
                      <w:ilvl w:val="12"/>
                      <w:numId w:val="0"/>
                    </w:numPr>
                    <w:rPr>
                      <w:sz w:val="18"/>
                    </w:rPr>
                  </w:pPr>
                  <w:r>
                    <w:rPr>
                      <w:sz w:val="18"/>
                    </w:rPr>
                    <w:t>9434</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cognitive impairment or dementia</w:t>
                  </w:r>
                </w:p>
              </w:tc>
              <w:tc>
                <w:tcPr>
                  <w:tcW w:w="0" w:type="auto"/>
                </w:tcPr>
                <w:p w:rsidR="00DC2E8D" w:rsidRDefault="00DC2E8D" w:rsidP="00DC2E8D">
                  <w:pPr>
                    <w:widowControl w:val="0"/>
                    <w:numPr>
                      <w:ilvl w:val="12"/>
                      <w:numId w:val="0"/>
                    </w:numPr>
                    <w:rPr>
                      <w:sz w:val="18"/>
                    </w:rPr>
                  </w:pPr>
                  <w:r>
                    <w:rPr>
                      <w:sz w:val="18"/>
                    </w:rPr>
                    <w:t>9310 I 9326</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loss of sense of smell</w:t>
                  </w:r>
                </w:p>
              </w:tc>
              <w:tc>
                <w:tcPr>
                  <w:tcW w:w="0" w:type="auto"/>
                </w:tcPr>
                <w:p w:rsidR="00DC2E8D" w:rsidRDefault="00DC2E8D" w:rsidP="00DC2E8D">
                  <w:pPr>
                    <w:widowControl w:val="0"/>
                    <w:numPr>
                      <w:ilvl w:val="12"/>
                      <w:numId w:val="0"/>
                    </w:numPr>
                    <w:rPr>
                      <w:sz w:val="18"/>
                    </w:rPr>
                  </w:pPr>
                  <w:r>
                    <w:rPr>
                      <w:sz w:val="18"/>
                    </w:rPr>
                    <w:t>6275</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sleep disturbance</w:t>
                  </w:r>
                </w:p>
              </w:tc>
              <w:tc>
                <w:tcPr>
                  <w:tcW w:w="0" w:type="auto"/>
                </w:tcPr>
                <w:p w:rsidR="00DC2E8D" w:rsidRDefault="00DC2E8D" w:rsidP="00DC2E8D">
                  <w:pPr>
                    <w:widowControl w:val="0"/>
                    <w:numPr>
                      <w:ilvl w:val="12"/>
                      <w:numId w:val="0"/>
                    </w:numPr>
                    <w:rPr>
                      <w:sz w:val="18"/>
                    </w:rPr>
                  </w:pPr>
                  <w:r>
                    <w:rPr>
                      <w:sz w:val="18"/>
                    </w:rPr>
                    <w:t>Combined w/mental I 9400 I 6847</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difficulty chewing</w:t>
                  </w:r>
                </w:p>
              </w:tc>
              <w:tc>
                <w:tcPr>
                  <w:tcW w:w="0" w:type="auto"/>
                </w:tcPr>
                <w:p w:rsidR="00DC2E8D" w:rsidRDefault="00DC2E8D" w:rsidP="00DC2E8D">
                  <w:pPr>
                    <w:widowControl w:val="0"/>
                    <w:numPr>
                      <w:ilvl w:val="12"/>
                      <w:numId w:val="0"/>
                    </w:numPr>
                    <w:rPr>
                      <w:sz w:val="18"/>
                    </w:rPr>
                  </w:pPr>
                  <w:r>
                    <w:rPr>
                      <w:sz w:val="18"/>
                    </w:rPr>
                    <w:t>6521 I 7203 I 8205 I 82XX</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constipation</w:t>
                  </w:r>
                </w:p>
              </w:tc>
              <w:tc>
                <w:tcPr>
                  <w:tcW w:w="0" w:type="auto"/>
                </w:tcPr>
                <w:p w:rsidR="00DC2E8D" w:rsidRDefault="00DC2E8D" w:rsidP="00DC2E8D">
                  <w:pPr>
                    <w:widowControl w:val="0"/>
                    <w:numPr>
                      <w:ilvl w:val="12"/>
                      <w:numId w:val="0"/>
                    </w:numPr>
                    <w:rPr>
                      <w:sz w:val="18"/>
                    </w:rPr>
                  </w:pPr>
                  <w:r>
                    <w:rPr>
                      <w:sz w:val="18"/>
                    </w:rPr>
                    <w:t>7332 I 7319 I 8210</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sexual dysfunction</w:t>
                  </w:r>
                </w:p>
              </w:tc>
              <w:tc>
                <w:tcPr>
                  <w:tcW w:w="0" w:type="auto"/>
                </w:tcPr>
                <w:p w:rsidR="00DC2E8D" w:rsidRDefault="00DC2E8D" w:rsidP="00DC2E8D">
                  <w:pPr>
                    <w:widowControl w:val="0"/>
                    <w:numPr>
                      <w:ilvl w:val="12"/>
                      <w:numId w:val="0"/>
                    </w:numPr>
                    <w:rPr>
                      <w:sz w:val="18"/>
                    </w:rPr>
                  </w:pPr>
                  <w:r>
                    <w:rPr>
                      <w:sz w:val="18"/>
                    </w:rPr>
                    <w:t>7522</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urinary problems</w:t>
                  </w:r>
                </w:p>
              </w:tc>
              <w:tc>
                <w:tcPr>
                  <w:tcW w:w="0" w:type="auto"/>
                </w:tcPr>
                <w:p w:rsidR="00DC2E8D" w:rsidRDefault="00DC2E8D" w:rsidP="00DC2E8D">
                  <w:pPr>
                    <w:widowControl w:val="0"/>
                    <w:numPr>
                      <w:ilvl w:val="12"/>
                      <w:numId w:val="0"/>
                    </w:numPr>
                    <w:rPr>
                      <w:sz w:val="18"/>
                    </w:rPr>
                  </w:pPr>
                  <w:r>
                    <w:rPr>
                      <w:sz w:val="18"/>
                    </w:rPr>
                    <w:t>7541 I 7542</w:t>
                  </w:r>
                </w:p>
              </w:tc>
            </w:tr>
            <w:tr w:rsidR="00DC2E8D" w:rsidTr="005D0F7F">
              <w:trPr>
                <w:trHeight w:val="207"/>
              </w:trPr>
              <w:tc>
                <w:tcPr>
                  <w:tcW w:w="0" w:type="auto"/>
                </w:tcPr>
                <w:p w:rsidR="00DC2E8D" w:rsidRDefault="00DC2E8D" w:rsidP="00DC2E8D">
                  <w:pPr>
                    <w:widowControl w:val="0"/>
                    <w:numPr>
                      <w:ilvl w:val="12"/>
                      <w:numId w:val="0"/>
                    </w:numPr>
                    <w:rPr>
                      <w:sz w:val="18"/>
                    </w:rPr>
                  </w:pPr>
                  <w:r>
                    <w:rPr>
                      <w:sz w:val="18"/>
                    </w:rPr>
                    <w:t>loss of taste</w:t>
                  </w:r>
                </w:p>
              </w:tc>
              <w:tc>
                <w:tcPr>
                  <w:tcW w:w="0" w:type="auto"/>
                </w:tcPr>
                <w:p w:rsidR="00DC2E8D" w:rsidRDefault="00DC2E8D" w:rsidP="00DC2E8D">
                  <w:pPr>
                    <w:widowControl w:val="0"/>
                    <w:numPr>
                      <w:ilvl w:val="12"/>
                      <w:numId w:val="0"/>
                    </w:numPr>
                    <w:rPr>
                      <w:sz w:val="18"/>
                    </w:rPr>
                  </w:pPr>
                  <w:r>
                    <w:rPr>
                      <w:sz w:val="18"/>
                    </w:rPr>
                    <w:t>6276</w:t>
                  </w:r>
                </w:p>
              </w:tc>
            </w:tr>
          </w:tbl>
          <w:p w:rsidR="00893BDA" w:rsidRDefault="00893BDA" w:rsidP="00893BDA">
            <w:pPr>
              <w:widowControl w:val="0"/>
              <w:numPr>
                <w:ilvl w:val="12"/>
                <w:numId w:val="0"/>
              </w:numPr>
              <w:rPr>
                <w:sz w:val="18"/>
              </w:rPr>
            </w:pPr>
          </w:p>
          <w:p w:rsidR="00893BDA" w:rsidRPr="00907CE6" w:rsidRDefault="00893BDA" w:rsidP="00893BDA">
            <w:pPr>
              <w:widowControl w:val="0"/>
              <w:numPr>
                <w:ilvl w:val="12"/>
                <w:numId w:val="0"/>
              </w:numPr>
              <w:rPr>
                <w:sz w:val="18"/>
              </w:rPr>
            </w:pPr>
          </w:p>
        </w:tc>
        <w:tc>
          <w:tcPr>
            <w:tcW w:w="1700" w:type="dxa"/>
          </w:tcPr>
          <w:p w:rsidR="00013EB8" w:rsidRDefault="00013EB8">
            <w:pPr>
              <w:widowControl w:val="0"/>
              <w:numPr>
                <w:ilvl w:val="12"/>
                <w:numId w:val="0"/>
              </w:numPr>
            </w:pPr>
            <w:r w:rsidRPr="008E5C3A">
              <w:t>8004</w:t>
            </w:r>
          </w:p>
          <w:p w:rsidR="00013EB8" w:rsidRDefault="00013EB8">
            <w:pPr>
              <w:widowControl w:val="0"/>
              <w:numPr>
                <w:ilvl w:val="12"/>
                <w:numId w:val="0"/>
              </w:numPr>
            </w:pPr>
          </w:p>
          <w:p w:rsidR="00013EB8" w:rsidRDefault="00013EB8">
            <w:pPr>
              <w:widowControl w:val="0"/>
              <w:numPr>
                <w:ilvl w:val="12"/>
                <w:numId w:val="0"/>
              </w:numPr>
              <w:rPr>
                <w:sz w:val="16"/>
              </w:rPr>
            </w:pPr>
          </w:p>
          <w:p w:rsidR="00013EB8" w:rsidRDefault="00013EB8">
            <w:pPr>
              <w:widowControl w:val="0"/>
              <w:numPr>
                <w:ilvl w:val="12"/>
                <w:numId w:val="0"/>
              </w:numPr>
              <w:rPr>
                <w:sz w:val="16"/>
              </w:rPr>
            </w:pPr>
          </w:p>
          <w:p w:rsidR="00013EB8" w:rsidRDefault="00013EB8">
            <w:pPr>
              <w:widowControl w:val="0"/>
              <w:numPr>
                <w:ilvl w:val="12"/>
                <w:numId w:val="0"/>
              </w:numPr>
              <w:rPr>
                <w:sz w:val="16"/>
              </w:rPr>
            </w:pPr>
          </w:p>
          <w:p w:rsidR="00013EB8" w:rsidRDefault="00013EB8">
            <w:pPr>
              <w:widowControl w:val="0"/>
              <w:numPr>
                <w:ilvl w:val="12"/>
                <w:numId w:val="0"/>
              </w:numPr>
              <w:rPr>
                <w:sz w:val="16"/>
              </w:rPr>
            </w:pPr>
          </w:p>
          <w:p w:rsidR="00013EB8" w:rsidRDefault="00013EB8">
            <w:pPr>
              <w:widowControl w:val="0"/>
              <w:numPr>
                <w:ilvl w:val="12"/>
                <w:numId w:val="0"/>
              </w:numPr>
              <w:rPr>
                <w:sz w:val="16"/>
              </w:rPr>
            </w:pPr>
            <w:r>
              <w:rPr>
                <w:sz w:val="16"/>
              </w:rPr>
              <w:t>*speech changes or dysarthria</w:t>
            </w:r>
          </w:p>
          <w:p w:rsidR="00013EB8" w:rsidRDefault="00013EB8">
            <w:pPr>
              <w:widowControl w:val="0"/>
              <w:numPr>
                <w:ilvl w:val="12"/>
                <w:numId w:val="0"/>
              </w:numPr>
              <w:rPr>
                <w:sz w:val="16"/>
              </w:rPr>
            </w:pPr>
            <w:r>
              <w:rPr>
                <w:sz w:val="16"/>
              </w:rPr>
              <w:t>8212 (twelfth/hypoglossal cranial nerve)</w:t>
            </w:r>
            <w:r w:rsidR="002B1DA6">
              <w:rPr>
                <w:sz w:val="16"/>
              </w:rPr>
              <w:t xml:space="preserve"> [Audrey Reid uses 6516]</w:t>
            </w:r>
          </w:p>
          <w:p w:rsidR="00013EB8" w:rsidRDefault="00013EB8">
            <w:pPr>
              <w:widowControl w:val="0"/>
              <w:numPr>
                <w:ilvl w:val="12"/>
                <w:numId w:val="0"/>
              </w:numPr>
              <w:rPr>
                <w:sz w:val="16"/>
              </w:rPr>
            </w:pPr>
          </w:p>
          <w:p w:rsidR="00013EB8" w:rsidRDefault="00013EB8">
            <w:pPr>
              <w:widowControl w:val="0"/>
              <w:numPr>
                <w:ilvl w:val="12"/>
                <w:numId w:val="0"/>
              </w:numPr>
              <w:rPr>
                <w:sz w:val="16"/>
              </w:rPr>
            </w:pPr>
            <w:r>
              <w:rPr>
                <w:sz w:val="16"/>
              </w:rPr>
              <w:t>*difficulty chewing/swallowing 7299-7203 (ana</w:t>
            </w:r>
            <w:r w:rsidR="005047F4">
              <w:rPr>
                <w:sz w:val="16"/>
              </w:rPr>
              <w:t>logous to esophageal stricture)</w:t>
            </w:r>
          </w:p>
          <w:p w:rsidR="00013EB8" w:rsidRDefault="00013EB8">
            <w:pPr>
              <w:widowControl w:val="0"/>
              <w:numPr>
                <w:ilvl w:val="12"/>
                <w:numId w:val="0"/>
              </w:numPr>
              <w:rPr>
                <w:sz w:val="16"/>
              </w:rPr>
            </w:pPr>
          </w:p>
          <w:p w:rsidR="00013EB8" w:rsidRDefault="00013EB8">
            <w:pPr>
              <w:widowControl w:val="0"/>
              <w:numPr>
                <w:ilvl w:val="12"/>
                <w:numId w:val="0"/>
              </w:numPr>
              <w:rPr>
                <w:sz w:val="16"/>
              </w:rPr>
            </w:pPr>
            <w:r>
              <w:rPr>
                <w:sz w:val="16"/>
              </w:rPr>
              <w:t>*loss of smell 6275</w:t>
            </w:r>
          </w:p>
          <w:p w:rsidR="00013EB8" w:rsidRDefault="00013EB8">
            <w:pPr>
              <w:widowControl w:val="0"/>
              <w:numPr>
                <w:ilvl w:val="12"/>
                <w:numId w:val="0"/>
              </w:numPr>
              <w:rPr>
                <w:sz w:val="16"/>
              </w:rPr>
            </w:pPr>
          </w:p>
          <w:p w:rsidR="007425DF" w:rsidRDefault="007425DF" w:rsidP="007425DF">
            <w:pPr>
              <w:widowControl w:val="0"/>
              <w:numPr>
                <w:ilvl w:val="12"/>
                <w:numId w:val="0"/>
              </w:numPr>
              <w:rPr>
                <w:sz w:val="16"/>
              </w:rPr>
            </w:pPr>
            <w:r>
              <w:rPr>
                <w:sz w:val="16"/>
              </w:rPr>
              <w:t xml:space="preserve">*UE 8516 (ulnar nerve) </w:t>
            </w:r>
            <w:r>
              <w:rPr>
                <w:i/>
                <w:sz w:val="16"/>
              </w:rPr>
              <w:t>[Audrey Reid uses 8510 (upper radicular group/fifth &amp; sixth cervical)]</w:t>
            </w:r>
          </w:p>
          <w:p w:rsidR="007425DF" w:rsidRDefault="007425DF" w:rsidP="007425DF">
            <w:pPr>
              <w:widowControl w:val="0"/>
              <w:numPr>
                <w:ilvl w:val="12"/>
                <w:numId w:val="0"/>
              </w:numPr>
              <w:rPr>
                <w:sz w:val="16"/>
              </w:rPr>
            </w:pPr>
          </w:p>
          <w:p w:rsidR="007425DF" w:rsidRDefault="007425DF" w:rsidP="007425DF">
            <w:pPr>
              <w:rPr>
                <w:rFonts w:cstheme="minorBidi"/>
                <w:color w:val="1F497D" w:themeColor="dark2"/>
                <w:sz w:val="22"/>
              </w:rPr>
            </w:pPr>
            <w:r>
              <w:rPr>
                <w:sz w:val="16"/>
              </w:rPr>
              <w:t>*LE 8521 (external popliteal nerve/common peroneal)</w:t>
            </w:r>
            <w:r>
              <w:rPr>
                <w:i/>
                <w:sz w:val="16"/>
              </w:rPr>
              <w:t xml:space="preserve"> [Camp Lejeune training uses 8520 (sciatic nerve)]</w:t>
            </w:r>
          </w:p>
          <w:p w:rsidR="00013EB8" w:rsidRDefault="00013EB8" w:rsidP="00A74299">
            <w:pPr>
              <w:widowControl w:val="0"/>
              <w:numPr>
                <w:ilvl w:val="12"/>
                <w:numId w:val="0"/>
              </w:numPr>
            </w:pPr>
          </w:p>
        </w:tc>
        <w:tc>
          <w:tcPr>
            <w:tcW w:w="2020" w:type="dxa"/>
          </w:tcPr>
          <w:p w:rsidR="00013EB8" w:rsidRDefault="00013EB8" w:rsidP="002617A7">
            <w:pPr>
              <w:widowControl w:val="0"/>
              <w:numPr>
                <w:ilvl w:val="12"/>
                <w:numId w:val="0"/>
              </w:numPr>
            </w:pPr>
            <w:r>
              <w:t>8/31/10</w:t>
            </w:r>
            <w:r>
              <w:rPr>
                <w:i/>
                <w:iCs/>
              </w:rPr>
              <w:t xml:space="preserve"> </w:t>
            </w:r>
            <w:r>
              <w:t>(</w:t>
            </w:r>
            <w:hyperlink w:anchor="Nehmer" w:history="1">
              <w:r>
                <w:rPr>
                  <w:rStyle w:val="Hyperlink"/>
                </w:rPr>
                <w:t>Nehmer</w:t>
              </w:r>
            </w:hyperlink>
            <w:r>
              <w:t>)</w:t>
            </w:r>
          </w:p>
        </w:tc>
      </w:tr>
      <w:tr w:rsidR="00013EB8">
        <w:trPr>
          <w:trHeight w:val="260"/>
        </w:trPr>
        <w:tc>
          <w:tcPr>
            <w:tcW w:w="7208" w:type="dxa"/>
          </w:tcPr>
          <w:p w:rsidR="002617A7" w:rsidRDefault="002617A7">
            <w:pPr>
              <w:widowControl w:val="0"/>
              <w:numPr>
                <w:ilvl w:val="12"/>
                <w:numId w:val="0"/>
              </w:numPr>
              <w:spacing w:after="120"/>
              <w:rPr>
                <w:sz w:val="18"/>
              </w:rPr>
            </w:pPr>
            <w:r>
              <w:rPr>
                <w:sz w:val="18"/>
              </w:rPr>
              <w:t>Ischemic heart disease</w:t>
            </w:r>
          </w:p>
          <w:p w:rsidR="00013EB8" w:rsidRDefault="002617A7">
            <w:pPr>
              <w:widowControl w:val="0"/>
              <w:numPr>
                <w:ilvl w:val="12"/>
                <w:numId w:val="0"/>
              </w:numPr>
              <w:spacing w:after="120"/>
              <w:rPr>
                <w:b/>
              </w:rPr>
            </w:pPr>
            <w:r w:rsidRPr="002617A7">
              <w:rPr>
                <w:b/>
                <w:sz w:val="18"/>
              </w:rPr>
              <w:t>III.iv.4.G.1</w:t>
            </w:r>
            <w:r>
              <w:rPr>
                <w:b/>
                <w:sz w:val="18"/>
              </w:rPr>
              <w:t xml:space="preserve"> - </w:t>
            </w:r>
            <w:r w:rsidRPr="002617A7">
              <w:rPr>
                <w:rStyle w:val="Emphasis"/>
                <w:b/>
                <w:bCs/>
                <w:sz w:val="18"/>
                <w:szCs w:val="21"/>
              </w:rPr>
              <w:t>Arteriosclerotic heart disease</w:t>
            </w:r>
            <w:r w:rsidRPr="002617A7">
              <w:rPr>
                <w:sz w:val="18"/>
                <w:szCs w:val="21"/>
              </w:rPr>
              <w:t>, also diagnosed as ischemic heart disease (IHD) and coronary artery disease (CAD), is a disease of the heart caused by the diminution of blood supply to the heart muscle due to narrowing of the cavity of one or both coronary arteries due to the accumulation of fatty material on the inner lining of the arterial wall.</w:t>
            </w:r>
          </w:p>
          <w:p w:rsidR="002617A7" w:rsidRPr="003B411C" w:rsidRDefault="002617A7">
            <w:pPr>
              <w:widowControl w:val="0"/>
              <w:numPr>
                <w:ilvl w:val="12"/>
                <w:numId w:val="0"/>
              </w:numPr>
              <w:spacing w:after="120"/>
              <w:rPr>
                <w:b/>
                <w:iCs/>
                <w:sz w:val="18"/>
              </w:rPr>
            </w:pPr>
            <w:r w:rsidRPr="00922DEB">
              <w:rPr>
                <w:b/>
                <w:iCs/>
                <w:sz w:val="18"/>
              </w:rPr>
              <w:t>IV.ii.2.C.4.c</w:t>
            </w:r>
            <w:r>
              <w:rPr>
                <w:b/>
                <w:iCs/>
                <w:sz w:val="18"/>
              </w:rPr>
              <w:t xml:space="preserve"> - </w:t>
            </w:r>
            <w:r w:rsidRPr="002617A7">
              <w:rPr>
                <w:sz w:val="18"/>
                <w:szCs w:val="21"/>
              </w:rPr>
              <w:t>IHD (including, but not limited to, acute, subacute, and old myocardial infarction (MI); atherosclerotic cardiovascular disease (ASCVD) including coronary artery disease (CAD) (including coronary spasm) and coronary bypass surgery; and stable, unstable, and Prinzmetal’s angina</w:t>
            </w:r>
          </w:p>
          <w:p w:rsidR="00013EB8" w:rsidRDefault="00013EB8">
            <w:pPr>
              <w:widowControl w:val="0"/>
              <w:numPr>
                <w:ilvl w:val="12"/>
                <w:numId w:val="0"/>
              </w:numPr>
              <w:spacing w:after="120"/>
              <w:rPr>
                <w:i/>
                <w:iCs/>
                <w:sz w:val="16"/>
              </w:rPr>
            </w:pPr>
            <w:r>
              <w:rPr>
                <w:i/>
                <w:iCs/>
                <w:sz w:val="16"/>
              </w:rPr>
              <w:t xml:space="preserve">(also </w:t>
            </w:r>
            <w:r>
              <w:rPr>
                <w:b/>
                <w:bCs/>
                <w:i/>
                <w:iCs/>
                <w:sz w:val="16"/>
              </w:rPr>
              <w:t>including</w:t>
            </w:r>
            <w:r>
              <w:rPr>
                <w:i/>
                <w:iCs/>
                <w:sz w:val="16"/>
              </w:rPr>
              <w:t xml:space="preserve"> coronary atherosclerosis, arteriosclerotic heart disease, atherosclerotic cardiovascular disease, acute coronary syndrome, coronary heart disease, angina pectoris, anginal syndrome, coronary insufficiency, ischemic cardiomyopathy, cardiomyopathy, variant angina (indicates a rapid progression of CAD), atherosclerosis, heart failure/congestive heart failure, heart transplant, silent ischemia, status post angioplasty (PTCA)) </w:t>
            </w:r>
          </w:p>
          <w:p w:rsidR="00013EB8" w:rsidRDefault="00013EB8">
            <w:pPr>
              <w:widowControl w:val="0"/>
              <w:numPr>
                <w:ilvl w:val="12"/>
                <w:numId w:val="0"/>
              </w:numPr>
              <w:spacing w:after="120"/>
              <w:rPr>
                <w:i/>
                <w:iCs/>
                <w:sz w:val="16"/>
              </w:rPr>
            </w:pPr>
            <w:r>
              <w:rPr>
                <w:i/>
                <w:iCs/>
                <w:sz w:val="16"/>
              </w:rPr>
              <w:t>(</w:t>
            </w:r>
            <w:r>
              <w:rPr>
                <w:b/>
                <w:bCs/>
                <w:i/>
                <w:iCs/>
                <w:sz w:val="16"/>
              </w:rPr>
              <w:t>excluding</w:t>
            </w:r>
            <w:r>
              <w:rPr>
                <w:i/>
                <w:iCs/>
                <w:sz w:val="16"/>
              </w:rPr>
              <w:t xml:space="preserve"> hypertension, PVD/PAD, stroke/TIA, valvular heart disease)</w:t>
            </w:r>
          </w:p>
          <w:p w:rsidR="00013EB8" w:rsidRDefault="00013EB8">
            <w:pPr>
              <w:widowControl w:val="0"/>
              <w:numPr>
                <w:ilvl w:val="12"/>
                <w:numId w:val="0"/>
              </w:numPr>
              <w:spacing w:after="120"/>
              <w:rPr>
                <w:sz w:val="16"/>
              </w:rPr>
            </w:pPr>
            <w:r>
              <w:rPr>
                <w:sz w:val="16"/>
              </w:rPr>
              <w:t>Per Carlos</w:t>
            </w:r>
            <w:r w:rsidR="00CD0826">
              <w:rPr>
                <w:sz w:val="16"/>
              </w:rPr>
              <w:t xml:space="preserve"> Rosario</w:t>
            </w:r>
            <w:r>
              <w:rPr>
                <w:sz w:val="16"/>
              </w:rPr>
              <w:t xml:space="preserve">:  </w:t>
            </w:r>
          </w:p>
          <w:p w:rsidR="00013EB8" w:rsidRDefault="00013EB8" w:rsidP="00F063AF">
            <w:pPr>
              <w:widowControl w:val="0"/>
              <w:numPr>
                <w:ilvl w:val="0"/>
                <w:numId w:val="97"/>
              </w:numPr>
              <w:tabs>
                <w:tab w:val="clear" w:pos="720"/>
                <w:tab w:val="num" w:pos="400"/>
              </w:tabs>
              <w:spacing w:after="120"/>
              <w:ind w:left="400"/>
              <w:rPr>
                <w:sz w:val="18"/>
              </w:rPr>
            </w:pPr>
            <w:r>
              <w:rPr>
                <w:sz w:val="16"/>
              </w:rPr>
              <w:t xml:space="preserve">Must involve the coronary arteries (right coronary artery, RCA and left coronary artery/left anterior descending artery, LAD), not the aorta or carotids (“plumbing”), not the valves (“electrical”) and not the arteries in the legs. </w:t>
            </w:r>
          </w:p>
          <w:p w:rsidR="00013EB8" w:rsidRDefault="00E41EBD" w:rsidP="00F063AF">
            <w:pPr>
              <w:widowControl w:val="0"/>
              <w:numPr>
                <w:ilvl w:val="0"/>
                <w:numId w:val="97"/>
              </w:numPr>
              <w:tabs>
                <w:tab w:val="clear" w:pos="720"/>
                <w:tab w:val="num" w:pos="400"/>
              </w:tabs>
              <w:spacing w:after="120"/>
              <w:ind w:left="400"/>
              <w:rPr>
                <w:sz w:val="18"/>
              </w:rPr>
            </w:pPr>
            <w:r>
              <w:rPr>
                <w:sz w:val="16"/>
              </w:rPr>
              <w:t>Excludes arrhythmias</w:t>
            </w:r>
            <w:r w:rsidR="00013EB8">
              <w:rPr>
                <w:sz w:val="16"/>
              </w:rPr>
              <w:t>, endocarditis, pacemakers for non-IHD/CAD, lower extremity arteriosclerosis/atherosclerosis/PVD, thrombosis, embolus, WPW syndrome, heart block, sick sinus syndrome, BBB, MVP, hypertensive heart disease.</w:t>
            </w:r>
          </w:p>
          <w:p w:rsidR="00013EB8" w:rsidRPr="00440CD9" w:rsidRDefault="00013EB8" w:rsidP="00F063AF">
            <w:pPr>
              <w:widowControl w:val="0"/>
              <w:numPr>
                <w:ilvl w:val="0"/>
                <w:numId w:val="97"/>
              </w:numPr>
              <w:tabs>
                <w:tab w:val="clear" w:pos="720"/>
                <w:tab w:val="num" w:pos="400"/>
              </w:tabs>
              <w:spacing w:after="120"/>
              <w:ind w:left="400"/>
              <w:rPr>
                <w:sz w:val="18"/>
              </w:rPr>
            </w:pPr>
            <w:r>
              <w:rPr>
                <w:sz w:val="16"/>
              </w:rPr>
              <w:t>Ensure “cardiomegaly,” “cardiomyopathy” and “congestive heart failure” are a result of IHD/CAD.</w:t>
            </w:r>
          </w:p>
          <w:p w:rsidR="00440CD9" w:rsidRDefault="00440CD9" w:rsidP="00440CD9">
            <w:pPr>
              <w:widowControl w:val="0"/>
              <w:spacing w:after="120"/>
              <w:rPr>
                <w:sz w:val="16"/>
              </w:rPr>
            </w:pPr>
            <w:r>
              <w:rPr>
                <w:sz w:val="16"/>
              </w:rPr>
              <w:t>Percutaneous coronary intervention (PCI) is commonly known as angioplasty</w:t>
            </w:r>
          </w:p>
          <w:p w:rsidR="00237575" w:rsidRDefault="00237575" w:rsidP="00440CD9">
            <w:pPr>
              <w:widowControl w:val="0"/>
              <w:spacing w:after="120"/>
              <w:rPr>
                <w:sz w:val="16"/>
              </w:rPr>
            </w:pPr>
            <w:r>
              <w:rPr>
                <w:sz w:val="16"/>
              </w:rPr>
              <w:t xml:space="preserve">Per VA Pulse, </w:t>
            </w:r>
            <w:r w:rsidRPr="00237575">
              <w:rPr>
                <w:i/>
                <w:sz w:val="16"/>
              </w:rPr>
              <w:t>https://www.vapulse.net/thread/7792</w:t>
            </w:r>
            <w:r>
              <w:rPr>
                <w:sz w:val="16"/>
              </w:rPr>
              <w:t>, do not grant SC for underlying atherosclerosis (disease process characterized by hardening and narrowing of the arteries and can occur throughout the entire body (including the heart, brain and carotids)</w:t>
            </w:r>
            <w:r w:rsidR="00492D60">
              <w:rPr>
                <w:sz w:val="16"/>
              </w:rPr>
              <w:t>)</w:t>
            </w:r>
          </w:p>
          <w:p w:rsidR="003C3BD2" w:rsidRPr="003C3BD2" w:rsidRDefault="003C3BD2" w:rsidP="00472785">
            <w:pPr>
              <w:widowControl w:val="0"/>
              <w:spacing w:after="120"/>
              <w:ind w:right="540"/>
              <w:rPr>
                <w:b/>
                <w:i/>
              </w:rPr>
            </w:pPr>
            <w:r>
              <w:rPr>
                <w:rFonts w:ascii="Verdana" w:hAnsi="Verdana"/>
                <w:b/>
                <w:bCs/>
                <w:highlight w:val="green"/>
              </w:rPr>
              <w:t>IHD</w:t>
            </w:r>
          </w:p>
        </w:tc>
        <w:tc>
          <w:tcPr>
            <w:tcW w:w="1700" w:type="dxa"/>
          </w:tcPr>
          <w:p w:rsidR="00013EB8" w:rsidRDefault="00013EB8">
            <w:pPr>
              <w:widowControl w:val="0"/>
              <w:numPr>
                <w:ilvl w:val="12"/>
                <w:numId w:val="0"/>
              </w:numPr>
            </w:pPr>
            <w:r>
              <w:t>7005, 7006, 7017, 7019, 7020</w:t>
            </w:r>
          </w:p>
        </w:tc>
        <w:tc>
          <w:tcPr>
            <w:tcW w:w="2020" w:type="dxa"/>
          </w:tcPr>
          <w:p w:rsidR="006D7129" w:rsidRDefault="00013EB8">
            <w:pPr>
              <w:widowControl w:val="0"/>
              <w:numPr>
                <w:ilvl w:val="12"/>
                <w:numId w:val="0"/>
              </w:numPr>
            </w:pPr>
            <w:r>
              <w:t>8/31/10 (</w:t>
            </w:r>
            <w:hyperlink w:anchor="Nehmer" w:history="1">
              <w:r>
                <w:rPr>
                  <w:rStyle w:val="Hyperlink"/>
                </w:rPr>
                <w:t>Nehmer</w:t>
              </w:r>
            </w:hyperlink>
            <w:r>
              <w:t>)</w:t>
            </w:r>
          </w:p>
          <w:p w:rsidR="006D7129" w:rsidRPr="006D7129" w:rsidRDefault="006D7129">
            <w:pPr>
              <w:widowControl w:val="0"/>
              <w:numPr>
                <w:ilvl w:val="12"/>
                <w:numId w:val="0"/>
              </w:numPr>
              <w:rPr>
                <w:b/>
              </w:rPr>
            </w:pPr>
          </w:p>
          <w:p w:rsidR="006D7129" w:rsidRDefault="006D7129" w:rsidP="001F7E5B">
            <w:pPr>
              <w:widowControl w:val="0"/>
              <w:numPr>
                <w:ilvl w:val="12"/>
                <w:numId w:val="0"/>
              </w:numPr>
            </w:pPr>
          </w:p>
        </w:tc>
      </w:tr>
    </w:tbl>
    <w:p w:rsidR="00013EB8" w:rsidRDefault="00013EB8">
      <w:pPr>
        <w:widowControl w:val="0"/>
      </w:pPr>
    </w:p>
    <w:p w:rsidR="00013EB8" w:rsidRDefault="00013EB8">
      <w:pPr>
        <w:widowControl w:val="0"/>
        <w:numPr>
          <w:ilvl w:val="12"/>
          <w:numId w:val="0"/>
        </w:numPr>
        <w:pBdr>
          <w:top w:val="single" w:sz="6" w:space="1" w:color="auto"/>
        </w:pBdr>
        <w:rPr>
          <w:sz w:val="18"/>
        </w:rPr>
      </w:pPr>
      <w:r>
        <w:rPr>
          <w:b/>
          <w:sz w:val="22"/>
        </w:rPr>
        <w:t xml:space="preserve">Conditions having No Positive Association with Herbicide exposure </w:t>
      </w:r>
      <w:r>
        <w:rPr>
          <w:sz w:val="18"/>
        </w:rPr>
        <w:t xml:space="preserve">(from </w:t>
      </w:r>
      <w:r w:rsidR="00037A17">
        <w:rPr>
          <w:b/>
          <w:bCs/>
          <w:sz w:val="18"/>
          <w:szCs w:val="18"/>
        </w:rPr>
        <w:t>IV.ii.2.C.3.k</w:t>
      </w:r>
      <w:r>
        <w:rPr>
          <w:sz w:val="18"/>
        </w:rPr>
        <w:t>):</w:t>
      </w:r>
    </w:p>
    <w:p w:rsidR="000E7D13" w:rsidRPr="000E7D13" w:rsidRDefault="000E7D13" w:rsidP="00F063AF">
      <w:pPr>
        <w:numPr>
          <w:ilvl w:val="0"/>
          <w:numId w:val="266"/>
        </w:numPr>
        <w:overflowPunct/>
        <w:autoSpaceDE/>
        <w:autoSpaceDN/>
        <w:adjustRightInd/>
        <w:spacing w:before="100" w:beforeAutospacing="1" w:after="100" w:afterAutospacing="1"/>
        <w:textAlignment w:val="auto"/>
        <w:rPr>
          <w:rFonts w:ascii="Times New Roman" w:hAnsi="Times New Roman" w:cs="Times New Roman"/>
          <w:i/>
        </w:rPr>
      </w:pPr>
      <w:r w:rsidRPr="000E7D13">
        <w:rPr>
          <w:i/>
        </w:rPr>
        <w:t>Cancers</w:t>
      </w:r>
      <w:r w:rsidRPr="000E7D13">
        <w:rPr>
          <w:rFonts w:ascii="Times New Roman" w:hAnsi="Times New Roman" w:cs="Times New Roman"/>
          <w:i/>
        </w:rPr>
        <w:t xml:space="preserve"> </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bone and joint</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brain and nervous system (including eye)</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breast</w:t>
      </w:r>
      <w:r w:rsidR="00E95FCE">
        <w:t xml:space="preserve"> </w:t>
      </w:r>
      <w:r w:rsidR="00E95FCE" w:rsidRPr="00E95FCE">
        <w:rPr>
          <w:sz w:val="18"/>
        </w:rPr>
        <w:t>(7627)</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digestive (including esophagus, stomach, colon-rectum, small intestine, and anus)</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endocrine (including thyroid and thymus)</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hepatobiliary (liver, gallbladder, and bile ducts) and pancreatic</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leukemia (</w:t>
      </w:r>
      <w:r w:rsidRPr="000E7D13">
        <w:rPr>
          <w:b/>
          <w:bCs/>
          <w:i/>
          <w:iCs/>
        </w:rPr>
        <w:t>excluding chronic B-cell leukemias</w:t>
      </w:r>
      <w:r w:rsidRPr="000E7D13">
        <w:t xml:space="preserve"> </w:t>
      </w:r>
      <w:r w:rsidRPr="000E7D13">
        <w:rPr>
          <w:b/>
          <w:bCs/>
          <w:i/>
          <w:iCs/>
        </w:rPr>
        <w:t>such as CLL and hairy cell</w:t>
      </w:r>
      <w:r w:rsidRPr="000E7D13">
        <w:t>)</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nasal cavity (including ears and sinuses)</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oral cavity (including lips and tongue)</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pharynx (including tonsils)</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pleura, mediastinum, and other unspecified sites within the respiratory system and intrathoracic organs</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renal (kidney and renal pelvis)</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 xml:space="preserve">skin (including melanoma, basal cell carcinoma, and squamous cell carcinoma) </w:t>
      </w:r>
      <w:r w:rsidRPr="000E7D13">
        <w:rPr>
          <w:sz w:val="18"/>
        </w:rPr>
        <w:t>(7818, 7833)</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 xml:space="preserve">reproductive (including the cervix, uterus, ovary, testes, and penis, but </w:t>
      </w:r>
      <w:r w:rsidRPr="000E7D13">
        <w:rPr>
          <w:b/>
          <w:bCs/>
          <w:i/>
          <w:iCs/>
        </w:rPr>
        <w:t>excluding prostate</w:t>
      </w:r>
      <w:r w:rsidRPr="000E7D13">
        <w:t>)</w:t>
      </w:r>
    </w:p>
    <w:p w:rsidR="000E7D13" w:rsidRPr="000E7D13" w:rsidRDefault="00E95FCE"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t xml:space="preserve">urinary bladder </w:t>
      </w:r>
      <w:r w:rsidRPr="00E95FCE">
        <w:rPr>
          <w:sz w:val="18"/>
        </w:rPr>
        <w:t>(7528)</w:t>
      </w:r>
    </w:p>
    <w:p w:rsidR="000E7D13" w:rsidRPr="000E7D13" w:rsidRDefault="000E7D13" w:rsidP="00F063AF">
      <w:pPr>
        <w:numPr>
          <w:ilvl w:val="1"/>
          <w:numId w:val="266"/>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any cancers for which the Secretary has not already established a presumption.</w:t>
      </w:r>
    </w:p>
    <w:p w:rsidR="000E7D13" w:rsidRPr="000E7D13" w:rsidRDefault="000E7D13" w:rsidP="00F063AF">
      <w:pPr>
        <w:numPr>
          <w:ilvl w:val="0"/>
          <w:numId w:val="267"/>
        </w:numPr>
        <w:overflowPunct/>
        <w:autoSpaceDE/>
        <w:autoSpaceDN/>
        <w:adjustRightInd/>
        <w:spacing w:before="100" w:beforeAutospacing="1" w:after="100" w:afterAutospacing="1"/>
        <w:textAlignment w:val="auto"/>
        <w:rPr>
          <w:rFonts w:ascii="Times New Roman" w:hAnsi="Times New Roman" w:cs="Times New Roman"/>
          <w:i/>
        </w:rPr>
      </w:pPr>
      <w:r w:rsidRPr="000E7D13">
        <w:rPr>
          <w:i/>
        </w:rPr>
        <w:t>Other</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bone conditions</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circulatory disorders (</w:t>
      </w:r>
      <w:r w:rsidRPr="000E7D13">
        <w:rPr>
          <w:b/>
          <w:bCs/>
          <w:i/>
          <w:iCs/>
        </w:rPr>
        <w:t>but excluding IHD</w:t>
      </w:r>
      <w:r w:rsidRPr="000E7D13">
        <w:t>)</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cognitive and neuropsychiatric effects</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endometriosis</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eye problems</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gastrointestinal, metabolic, and digestive disorders (including changes in liver enzymes, lipid abnormalities, and ulcers)</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hearing loss</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immune system disorders (immune suppression, allergy, and autoimmunity)</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neurobehavioral (cognitive and neuropsychiatric) disorders</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 xml:space="preserve">neurodegenerative diseases (including amyotrophic lateral sclerosis (ALS), but </w:t>
      </w:r>
      <w:r w:rsidRPr="000E7D13">
        <w:rPr>
          <w:b/>
          <w:bCs/>
          <w:i/>
          <w:iCs/>
        </w:rPr>
        <w:t>excluding Parkinson's disease</w:t>
      </w:r>
      <w:r w:rsidRPr="000E7D13">
        <w:t>)</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 xml:space="preserve">conditions affecting offspring of exposed persons (including neonatal death, infant death, stillborn, low birth weight, birth defects </w:t>
      </w:r>
      <w:r w:rsidRPr="000E7D13">
        <w:rPr>
          <w:b/>
          <w:bCs/>
          <w:i/>
          <w:iCs/>
        </w:rPr>
        <w:t>other than spina bifida</w:t>
      </w:r>
      <w:r w:rsidRPr="000E7D13">
        <w:t>, and childhood cancer such as acute myeloid leukemia)</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chronic peripheral nervous system disorders such as late-onset PN (</w:t>
      </w:r>
      <w:r w:rsidRPr="000E7D13">
        <w:rPr>
          <w:b/>
          <w:bCs/>
          <w:i/>
          <w:iCs/>
        </w:rPr>
        <w:t>but</w:t>
      </w:r>
      <w:r w:rsidRPr="000E7D13">
        <w:t xml:space="preserve"> </w:t>
      </w:r>
      <w:r w:rsidRPr="000E7D13">
        <w:rPr>
          <w:b/>
          <w:bCs/>
          <w:i/>
          <w:iCs/>
        </w:rPr>
        <w:t>excluding early-onset PN</w:t>
      </w:r>
      <w:r w:rsidRPr="000E7D13">
        <w:t>)</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reproductive effects, such as abnormal sperm parameters and infertility</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respiratory disorders(</w:t>
      </w:r>
      <w:r w:rsidRPr="000E7D13">
        <w:rPr>
          <w:b/>
          <w:bCs/>
          <w:i/>
          <w:iCs/>
        </w:rPr>
        <w:t>but excluding covered respiratory cancers</w:t>
      </w:r>
      <w:r w:rsidRPr="000E7D13">
        <w:t>) such as asthma and chronic obstructive pulmonary disease (COPD), and</w:t>
      </w:r>
    </w:p>
    <w:p w:rsidR="000E7D13" w:rsidRPr="000E7D13" w:rsidRDefault="000E7D13" w:rsidP="00F063AF">
      <w:pPr>
        <w:numPr>
          <w:ilvl w:val="1"/>
          <w:numId w:val="267"/>
        </w:numPr>
        <w:tabs>
          <w:tab w:val="clear" w:pos="1440"/>
          <w:tab w:val="num" w:pos="1080"/>
        </w:tabs>
        <w:overflowPunct/>
        <w:autoSpaceDE/>
        <w:autoSpaceDN/>
        <w:adjustRightInd/>
        <w:spacing w:before="100" w:beforeAutospacing="1" w:after="100" w:afterAutospacing="1"/>
        <w:ind w:left="1080"/>
        <w:textAlignment w:val="auto"/>
        <w:rPr>
          <w:rFonts w:ascii="Times New Roman" w:hAnsi="Times New Roman" w:cs="Times New Roman"/>
        </w:rPr>
      </w:pPr>
      <w:r w:rsidRPr="000E7D13">
        <w:t>effects on thyroid homeostasis.</w:t>
      </w:r>
    </w:p>
    <w:p w:rsidR="00013EB8" w:rsidRPr="00D11117" w:rsidRDefault="00646F7B" w:rsidP="00646F7B">
      <w:pPr>
        <w:widowControl w:val="0"/>
        <w:tabs>
          <w:tab w:val="left" w:pos="720"/>
        </w:tabs>
        <w:rPr>
          <w:b/>
          <w:iCs/>
        </w:rPr>
      </w:pPr>
      <w:r>
        <w:t>*</w:t>
      </w:r>
      <w:r w:rsidR="00013EB8" w:rsidRPr="000E7D13">
        <w:t xml:space="preserve">hypertension </w:t>
      </w:r>
      <w:r w:rsidR="000E7D13" w:rsidRPr="000E7D13">
        <w:rPr>
          <w:sz w:val="18"/>
          <w:szCs w:val="18"/>
        </w:rPr>
        <w:t xml:space="preserve">(added 6/10/08, not listed at </w:t>
      </w:r>
      <w:r w:rsidR="000E7D13" w:rsidRPr="006F1ACB">
        <w:rPr>
          <w:b/>
          <w:sz w:val="18"/>
          <w:szCs w:val="18"/>
        </w:rPr>
        <w:t>IV.ii.2.C.3.k</w:t>
      </w:r>
      <w:r w:rsidR="000E7D13" w:rsidRPr="000E7D13">
        <w:rPr>
          <w:sz w:val="18"/>
          <w:szCs w:val="18"/>
        </w:rPr>
        <w:t xml:space="preserve"> </w:t>
      </w:r>
      <w:r w:rsidR="000E7D13">
        <w:rPr>
          <w:sz w:val="18"/>
          <w:szCs w:val="18"/>
        </w:rPr>
        <w:t>, but have</w:t>
      </w:r>
      <w:r w:rsidR="004C5CFD">
        <w:rPr>
          <w:sz w:val="18"/>
          <w:szCs w:val="18"/>
        </w:rPr>
        <w:t xml:space="preserve"> </w:t>
      </w:r>
      <w:r w:rsidR="00D11117" w:rsidRPr="00D11117">
        <w:rPr>
          <w:rFonts w:ascii="Verdana" w:hAnsi="Verdana"/>
          <w:b/>
          <w:bCs/>
          <w:highlight w:val="green"/>
        </w:rPr>
        <w:t>AO2</w:t>
      </w:r>
      <w:r w:rsidR="000E7D13">
        <w:rPr>
          <w:sz w:val="18"/>
          <w:szCs w:val="18"/>
        </w:rPr>
        <w:t>)</w:t>
      </w:r>
    </w:p>
    <w:p w:rsidR="00D11117" w:rsidRDefault="00D11117" w:rsidP="00AE0E75">
      <w:pPr>
        <w:widowControl w:val="0"/>
        <w:pBdr>
          <w:bottom w:val="single" w:sz="4" w:space="1" w:color="auto"/>
        </w:pBdr>
        <w:tabs>
          <w:tab w:val="left" w:pos="720"/>
        </w:tabs>
        <w:rPr>
          <w:b/>
          <w:iCs/>
        </w:rPr>
      </w:pPr>
    </w:p>
    <w:p w:rsidR="0071616E" w:rsidRPr="0071616E" w:rsidRDefault="0071616E" w:rsidP="00AE0E75">
      <w:pPr>
        <w:widowControl w:val="0"/>
        <w:pBdr>
          <w:bottom w:val="single" w:sz="4" w:space="1" w:color="auto"/>
        </w:pBdr>
        <w:tabs>
          <w:tab w:val="left" w:pos="720"/>
        </w:tabs>
        <w:rPr>
          <w:b/>
          <w:iCs/>
        </w:rPr>
      </w:pPr>
      <w:r w:rsidRPr="0071616E">
        <w:rPr>
          <w:b/>
          <w:iCs/>
        </w:rPr>
        <w:t>IV.ii.2.C.3.k Note:</w:t>
      </w:r>
      <w:r w:rsidRPr="0071616E">
        <w:t xml:space="preserve">  No positive association means that the evidence for an association does not equal or outweigh the evidence against association.</w:t>
      </w:r>
    </w:p>
    <w:p w:rsidR="0071616E" w:rsidRDefault="0071616E" w:rsidP="00AE0E75">
      <w:pPr>
        <w:widowControl w:val="0"/>
        <w:pBdr>
          <w:bottom w:val="single" w:sz="4" w:space="1" w:color="auto"/>
        </w:pBdr>
        <w:tabs>
          <w:tab w:val="left" w:pos="720"/>
        </w:tabs>
        <w:rPr>
          <w:b/>
          <w:iCs/>
        </w:rPr>
      </w:pPr>
    </w:p>
    <w:p w:rsidR="0071616E" w:rsidRPr="0071616E" w:rsidRDefault="0071616E" w:rsidP="00AE0E75">
      <w:pPr>
        <w:widowControl w:val="0"/>
        <w:pBdr>
          <w:bottom w:val="single" w:sz="4" w:space="1" w:color="auto"/>
        </w:pBdr>
        <w:tabs>
          <w:tab w:val="left" w:pos="720"/>
        </w:tabs>
        <w:rPr>
          <w:iCs/>
        </w:rPr>
      </w:pPr>
      <w:r w:rsidRPr="0071616E">
        <w:rPr>
          <w:iCs/>
        </w:rPr>
        <w:t>I asked a question on VA Puls</w:t>
      </w:r>
      <w:r>
        <w:rPr>
          <w:iCs/>
        </w:rPr>
        <w:t>e</w:t>
      </w:r>
      <w:r w:rsidRPr="0071616E">
        <w:rPr>
          <w:iCs/>
        </w:rPr>
        <w:t xml:space="preserve"> about soliciting medical evidence</w:t>
      </w:r>
      <w:r>
        <w:rPr>
          <w:iCs/>
        </w:rPr>
        <w:t xml:space="preserve"> for claims for the above disabilitie</w:t>
      </w:r>
      <w:r w:rsidRPr="0071616E">
        <w:rPr>
          <w:iCs/>
        </w:rPr>
        <w:t xml:space="preserve">s &amp; was told VSRs are still to include those paragraphs, </w:t>
      </w:r>
      <w:r w:rsidRPr="0071616E">
        <w:rPr>
          <w:i/>
          <w:iCs/>
        </w:rPr>
        <w:t>https://www.vapulse.net/message/41806</w:t>
      </w:r>
    </w:p>
    <w:p w:rsidR="0071616E" w:rsidRPr="00D11117" w:rsidRDefault="0071616E" w:rsidP="00AE0E75">
      <w:pPr>
        <w:widowControl w:val="0"/>
        <w:pBdr>
          <w:bottom w:val="single" w:sz="4" w:space="1" w:color="auto"/>
        </w:pBdr>
        <w:tabs>
          <w:tab w:val="left" w:pos="720"/>
        </w:tabs>
        <w:rPr>
          <w:b/>
          <w:iCs/>
        </w:rPr>
      </w:pPr>
    </w:p>
    <w:p w:rsidR="00013EB8" w:rsidRDefault="00013EB8">
      <w:pPr>
        <w:widowControl w:val="0"/>
        <w:numPr>
          <w:ilvl w:val="12"/>
          <w:numId w:val="0"/>
        </w:numPr>
        <w:rPr>
          <w:b/>
          <w:iCs/>
        </w:rPr>
      </w:pPr>
    </w:p>
    <w:p w:rsidR="00013EB8" w:rsidRDefault="00013EB8">
      <w:pPr>
        <w:widowControl w:val="0"/>
        <w:numPr>
          <w:ilvl w:val="12"/>
          <w:numId w:val="0"/>
        </w:numPr>
        <w:rPr>
          <w:b/>
          <w:i/>
          <w:u w:val="single"/>
        </w:rPr>
      </w:pPr>
      <w:r>
        <w:rPr>
          <w:b/>
          <w:i/>
          <w:u w:val="single"/>
        </w:rPr>
        <w:t>Manual &amp; in-country References:</w:t>
      </w:r>
    </w:p>
    <w:p w:rsidR="00013EB8" w:rsidRDefault="00013EB8">
      <w:pPr>
        <w:widowControl w:val="0"/>
        <w:numPr>
          <w:ilvl w:val="12"/>
          <w:numId w:val="0"/>
        </w:numPr>
        <w:rPr>
          <w:b/>
          <w:i/>
          <w:u w:val="single"/>
        </w:rPr>
      </w:pPr>
    </w:p>
    <w:p w:rsidR="00A82C2F" w:rsidRDefault="00013EB8" w:rsidP="00055F2D">
      <w:pPr>
        <w:widowControl w:val="0"/>
        <w:numPr>
          <w:ilvl w:val="12"/>
          <w:numId w:val="0"/>
        </w:numPr>
        <w:spacing w:after="120"/>
        <w:rPr>
          <w:i/>
          <w:iCs/>
        </w:rPr>
      </w:pPr>
      <w:r>
        <w:rPr>
          <w:i/>
          <w:iCs/>
        </w:rPr>
        <w:t>2/28/61-5/7/75</w:t>
      </w:r>
      <w:r w:rsidR="00B4136B">
        <w:rPr>
          <w:i/>
          <w:iCs/>
        </w:rPr>
        <w:t xml:space="preserve">, </w:t>
      </w:r>
      <w:r w:rsidR="007F3DC3" w:rsidRPr="007F3DC3">
        <w:rPr>
          <w:i/>
          <w:iCs/>
          <w:color w:val="00B050"/>
        </w:rPr>
        <w:t xml:space="preserve">My Notes:  </w:t>
      </w:r>
      <w:r w:rsidR="00B4136B">
        <w:rPr>
          <w:i/>
          <w:iCs/>
        </w:rPr>
        <w:t xml:space="preserve">USARV on DD214 </w:t>
      </w:r>
      <w:r w:rsidR="00B4136B" w:rsidRPr="0087733A">
        <w:rPr>
          <w:i/>
          <w:iCs/>
          <w:u w:val="single"/>
        </w:rPr>
        <w:t>usually</w:t>
      </w:r>
      <w:r w:rsidR="00B4136B">
        <w:rPr>
          <w:i/>
          <w:iCs/>
        </w:rPr>
        <w:t xml:space="preserve"> means RVN</w:t>
      </w:r>
      <w:r w:rsidR="007F3DC3">
        <w:rPr>
          <w:i/>
          <w:iCs/>
        </w:rPr>
        <w:t xml:space="preserve"> (but it’s not enough</w:t>
      </w:r>
      <w:r w:rsidR="0087733A">
        <w:rPr>
          <w:i/>
          <w:iCs/>
        </w:rPr>
        <w:t xml:space="preserve"> on it’ sown</w:t>
      </w:r>
      <w:r w:rsidR="007F3DC3">
        <w:rPr>
          <w:i/>
          <w:iCs/>
        </w:rPr>
        <w:t>)</w:t>
      </w:r>
      <w:r w:rsidR="00D71921">
        <w:rPr>
          <w:i/>
          <w:iCs/>
        </w:rPr>
        <w:t xml:space="preserve">, USARPAC in SPRs </w:t>
      </w:r>
      <w:r w:rsidR="00D71921" w:rsidRPr="0087733A">
        <w:rPr>
          <w:i/>
          <w:iCs/>
          <w:u w:val="single"/>
        </w:rPr>
        <w:t>usually</w:t>
      </w:r>
      <w:r w:rsidR="00D71921">
        <w:rPr>
          <w:i/>
          <w:iCs/>
        </w:rPr>
        <w:t xml:space="preserve"> means RVN</w:t>
      </w:r>
      <w:r w:rsidR="00A82C2F">
        <w:rPr>
          <w:i/>
          <w:iCs/>
        </w:rPr>
        <w:t xml:space="preserve"> (but it’s not enough</w:t>
      </w:r>
      <w:r w:rsidR="0087733A">
        <w:rPr>
          <w:i/>
          <w:iCs/>
        </w:rPr>
        <w:t xml:space="preserve"> on it’s own</w:t>
      </w:r>
      <w:r w:rsidR="00A82C2F">
        <w:rPr>
          <w:i/>
          <w:iCs/>
        </w:rPr>
        <w:t>)</w:t>
      </w:r>
    </w:p>
    <w:p w:rsidR="00A82C2F" w:rsidRPr="00935122" w:rsidRDefault="00A82C2F" w:rsidP="00A82C2F">
      <w:pPr>
        <w:widowControl w:val="0"/>
        <w:pBdr>
          <w:top w:val="single" w:sz="2" w:space="1" w:color="auto"/>
          <w:left w:val="single" w:sz="2" w:space="4" w:color="auto"/>
          <w:bottom w:val="single" w:sz="2" w:space="1" w:color="auto"/>
          <w:right w:val="single" w:sz="2" w:space="4" w:color="auto"/>
        </w:pBdr>
        <w:spacing w:before="120" w:after="120"/>
        <w:rPr>
          <w:i/>
          <w:u w:val="single"/>
        </w:rPr>
      </w:pPr>
      <w:r w:rsidRPr="00935122">
        <w:rPr>
          <w:i/>
          <w:u w:val="single"/>
        </w:rPr>
        <w:t>USED USARPAC FOR RVN:</w:t>
      </w:r>
    </w:p>
    <w:p w:rsidR="00A82C2F" w:rsidRPr="00935122" w:rsidRDefault="00A82C2F" w:rsidP="00A82C2F">
      <w:pPr>
        <w:widowControl w:val="0"/>
        <w:pBdr>
          <w:top w:val="single" w:sz="2" w:space="1" w:color="auto"/>
          <w:left w:val="single" w:sz="2" w:space="4" w:color="auto"/>
          <w:bottom w:val="single" w:sz="2" w:space="1" w:color="auto"/>
          <w:right w:val="single" w:sz="2" w:space="4" w:color="auto"/>
        </w:pBdr>
        <w:spacing w:before="120" w:after="120"/>
        <w:rPr>
          <w:i/>
        </w:rPr>
      </w:pPr>
      <w:r w:rsidRPr="00935122">
        <w:rPr>
          <w:i/>
        </w:rPr>
        <w:t xml:space="preserve">for deferral:  </w:t>
      </w:r>
      <w:r>
        <w:rPr>
          <w:i/>
        </w:rPr>
        <w:t>W</w:t>
      </w:r>
      <w:r w:rsidRPr="00935122">
        <w:rPr>
          <w:i/>
        </w:rPr>
        <w:t>e need to request the</w:t>
      </w:r>
      <w:r>
        <w:rPr>
          <w:i/>
        </w:rPr>
        <w:t xml:space="preserve"> SPRs. *See Claim Notes for</w:t>
      </w:r>
      <w:r w:rsidRPr="00935122">
        <w:rPr>
          <w:i/>
        </w:rPr>
        <w:t xml:space="preserve"> </w:t>
      </w:r>
      <w:r>
        <w:rPr>
          <w:i/>
        </w:rPr>
        <w:t xml:space="preserve">more </w:t>
      </w:r>
      <w:r w:rsidRPr="00935122">
        <w:rPr>
          <w:i/>
        </w:rPr>
        <w:t xml:space="preserve">details. </w:t>
      </w:r>
    </w:p>
    <w:p w:rsidR="00A82C2F" w:rsidRPr="00813235" w:rsidRDefault="00A82C2F" w:rsidP="00A82C2F">
      <w:pPr>
        <w:widowControl w:val="0"/>
        <w:pBdr>
          <w:top w:val="single" w:sz="2" w:space="1" w:color="auto"/>
          <w:left w:val="single" w:sz="2" w:space="4" w:color="auto"/>
          <w:bottom w:val="single" w:sz="2" w:space="1" w:color="auto"/>
          <w:right w:val="single" w:sz="2" w:space="4" w:color="auto"/>
        </w:pBdr>
        <w:spacing w:before="120" w:after="120"/>
        <w:rPr>
          <w:i/>
        </w:rPr>
      </w:pPr>
      <w:r w:rsidRPr="00935122">
        <w:rPr>
          <w:i/>
        </w:rPr>
        <w:t xml:space="preserve">for Claim Note:   </w:t>
      </w:r>
      <w:r w:rsidRPr="00813235">
        <w:rPr>
          <w:i/>
        </w:rPr>
        <w:t xml:space="preserve">Claim is not RFD. </w:t>
      </w:r>
      <w:r>
        <w:rPr>
          <w:i/>
        </w:rPr>
        <w:t>W</w:t>
      </w:r>
      <w:r w:rsidRPr="00935122">
        <w:rPr>
          <w:i/>
        </w:rPr>
        <w:t>e need to request the SPRs. The notes on the DD214 say USARPAC means RVN service, but that is not VA policy.  IV.ii.1.H.1.g says the DD214 needs to show “Republic of Vietnam” or “RVN” &amp; that receipt of the Vietnam Service Medal is not acceptable proof of RVN service for the purpose of proving herbicide exposure. Deferral done.</w:t>
      </w:r>
    </w:p>
    <w:p w:rsidR="008A5977" w:rsidRDefault="008A5977" w:rsidP="008A5977">
      <w:pPr>
        <w:widowControl w:val="0"/>
        <w:numPr>
          <w:ilvl w:val="12"/>
          <w:numId w:val="0"/>
        </w:numPr>
        <w:spacing w:after="120"/>
      </w:pPr>
      <w:r w:rsidRPr="00190E48">
        <w:rPr>
          <w:b/>
        </w:rPr>
        <w:t>IV.ii.1.H</w:t>
      </w:r>
      <w:r>
        <w:t xml:space="preserve"> – inland waterways, offshore waters, duty, visitation</w:t>
      </w:r>
    </w:p>
    <w:p w:rsidR="00C741C6" w:rsidRDefault="00C741C6" w:rsidP="008A5977">
      <w:pPr>
        <w:widowControl w:val="0"/>
        <w:numPr>
          <w:ilvl w:val="12"/>
          <w:numId w:val="0"/>
        </w:numPr>
        <w:spacing w:after="120"/>
      </w:pPr>
      <w:r w:rsidRPr="00190E48">
        <w:rPr>
          <w:b/>
        </w:rPr>
        <w:t>IV.ii.1.H</w:t>
      </w:r>
      <w:r w:rsidR="005523CF">
        <w:rPr>
          <w:b/>
        </w:rPr>
        <w:t>.1</w:t>
      </w:r>
      <w:r>
        <w:rPr>
          <w:b/>
        </w:rPr>
        <w:t>.d</w:t>
      </w:r>
      <w:r>
        <w:t xml:space="preserve"> – development steps for verifying RVN service</w:t>
      </w:r>
    </w:p>
    <w:p w:rsidR="007E54DC" w:rsidRDefault="005523CF" w:rsidP="00055F2D">
      <w:pPr>
        <w:pStyle w:val="Heading6"/>
        <w:keepNext w:val="0"/>
        <w:widowControl w:val="0"/>
        <w:numPr>
          <w:ilvl w:val="12"/>
          <w:numId w:val="0"/>
        </w:numPr>
        <w:spacing w:after="120"/>
        <w:rPr>
          <w:sz w:val="20"/>
          <w:szCs w:val="21"/>
        </w:rPr>
      </w:pPr>
      <w:r>
        <w:rPr>
          <w:sz w:val="20"/>
        </w:rPr>
        <w:t>I</w:t>
      </w:r>
      <w:r w:rsidR="00636782" w:rsidRPr="00C9777E">
        <w:rPr>
          <w:sz w:val="20"/>
        </w:rPr>
        <w:t>V</w:t>
      </w:r>
      <w:r w:rsidR="007E54DC" w:rsidRPr="00C9777E">
        <w:rPr>
          <w:sz w:val="20"/>
        </w:rPr>
        <w:t>.ii.</w:t>
      </w:r>
      <w:r w:rsidR="00636782" w:rsidRPr="00C9777E">
        <w:rPr>
          <w:sz w:val="20"/>
        </w:rPr>
        <w:t>1</w:t>
      </w:r>
      <w:r w:rsidR="007E54DC" w:rsidRPr="00C9777E">
        <w:rPr>
          <w:sz w:val="20"/>
        </w:rPr>
        <w:t>.</w:t>
      </w:r>
      <w:r w:rsidR="00636782" w:rsidRPr="00C9777E">
        <w:rPr>
          <w:sz w:val="20"/>
        </w:rPr>
        <w:t>H</w:t>
      </w:r>
      <w:r w:rsidR="006F1ACB" w:rsidRPr="00C9777E">
        <w:rPr>
          <w:sz w:val="20"/>
        </w:rPr>
        <w:t>.</w:t>
      </w:r>
      <w:r>
        <w:rPr>
          <w:sz w:val="20"/>
        </w:rPr>
        <w:t>1.g</w:t>
      </w:r>
      <w:r w:rsidR="00636782" w:rsidRPr="00C9777E">
        <w:rPr>
          <w:b w:val="0"/>
          <w:bCs w:val="0"/>
          <w:sz w:val="20"/>
        </w:rPr>
        <w:t xml:space="preserve"> – </w:t>
      </w:r>
      <w:r w:rsidR="00C9777E" w:rsidRPr="00C9777E">
        <w:rPr>
          <w:b w:val="0"/>
          <w:sz w:val="20"/>
          <w:szCs w:val="21"/>
        </w:rPr>
        <w:t>Receipt of the Vietnam Service</w:t>
      </w:r>
      <w:r w:rsidR="00C9777E">
        <w:rPr>
          <w:b w:val="0"/>
          <w:sz w:val="20"/>
          <w:szCs w:val="21"/>
        </w:rPr>
        <w:t xml:space="preserve"> Medal</w:t>
      </w:r>
      <w:r w:rsidR="00C9777E" w:rsidRPr="00C9777E">
        <w:rPr>
          <w:b w:val="0"/>
          <w:sz w:val="20"/>
          <w:szCs w:val="21"/>
        </w:rPr>
        <w:t>, Vietnam Campaign</w:t>
      </w:r>
      <w:r w:rsidR="00C9777E">
        <w:rPr>
          <w:b w:val="0"/>
          <w:sz w:val="20"/>
          <w:szCs w:val="21"/>
        </w:rPr>
        <w:t xml:space="preserve"> Medal</w:t>
      </w:r>
      <w:r w:rsidR="00C9777E" w:rsidRPr="00C9777E">
        <w:rPr>
          <w:b w:val="0"/>
          <w:sz w:val="20"/>
          <w:szCs w:val="21"/>
        </w:rPr>
        <w:t>,</w:t>
      </w:r>
      <w:r w:rsidR="00C9777E">
        <w:rPr>
          <w:b w:val="0"/>
          <w:sz w:val="20"/>
          <w:szCs w:val="21"/>
        </w:rPr>
        <w:t xml:space="preserve"> Armed Forces</w:t>
      </w:r>
      <w:r w:rsidR="00C9777E" w:rsidRPr="00C9777E">
        <w:rPr>
          <w:b w:val="0"/>
          <w:sz w:val="20"/>
          <w:szCs w:val="21"/>
        </w:rPr>
        <w:t xml:space="preserve"> Expeditionary</w:t>
      </w:r>
      <w:r w:rsidR="00C9777E">
        <w:rPr>
          <w:b w:val="0"/>
          <w:sz w:val="20"/>
          <w:szCs w:val="21"/>
        </w:rPr>
        <w:t xml:space="preserve"> Medal</w:t>
      </w:r>
      <w:r w:rsidR="00C9777E" w:rsidRPr="00C9777E">
        <w:rPr>
          <w:b w:val="0"/>
          <w:sz w:val="20"/>
          <w:szCs w:val="21"/>
        </w:rPr>
        <w:t xml:space="preserve"> and/or the Vietnam Cross of Gallantry is </w:t>
      </w:r>
      <w:r w:rsidR="00C9777E" w:rsidRPr="00C9777E">
        <w:rPr>
          <w:rStyle w:val="Emphasis"/>
          <w:b w:val="0"/>
          <w:bCs w:val="0"/>
          <w:sz w:val="20"/>
          <w:szCs w:val="21"/>
        </w:rPr>
        <w:t>not</w:t>
      </w:r>
      <w:r w:rsidR="00C9777E" w:rsidRPr="00C9777E">
        <w:rPr>
          <w:b w:val="0"/>
          <w:sz w:val="20"/>
          <w:szCs w:val="21"/>
        </w:rPr>
        <w:t xml:space="preserve"> acceptable proof of RVN service for the purpose of proving herbicide exposure.</w:t>
      </w:r>
      <w:r w:rsidR="00C9777E" w:rsidRPr="00C9777E">
        <w:rPr>
          <w:sz w:val="20"/>
          <w:szCs w:val="21"/>
        </w:rPr>
        <w:t> </w:t>
      </w:r>
    </w:p>
    <w:p w:rsidR="006807D4" w:rsidRPr="006807D4" w:rsidRDefault="006807D4" w:rsidP="006807D4">
      <w:pPr>
        <w:widowControl w:val="0"/>
        <w:numPr>
          <w:ilvl w:val="12"/>
          <w:numId w:val="0"/>
        </w:numPr>
        <w:spacing w:after="120"/>
      </w:pPr>
      <w:r w:rsidRPr="00190E48">
        <w:rPr>
          <w:b/>
        </w:rPr>
        <w:t>IV.ii.1.H</w:t>
      </w:r>
      <w:r>
        <w:rPr>
          <w:b/>
        </w:rPr>
        <w:t>.1.i</w:t>
      </w:r>
      <w:r>
        <w:t xml:space="preserve"> – mark “RVN service, pg {#}” in Subject line of document</w:t>
      </w:r>
      <w:r w:rsidR="00DF457B">
        <w:t xml:space="preserve"> (updated 6/23/17)</w:t>
      </w:r>
    </w:p>
    <w:p w:rsidR="00B564E7" w:rsidRPr="00B564E7" w:rsidRDefault="00B564E7" w:rsidP="004E52F5">
      <w:pPr>
        <w:spacing w:after="120"/>
      </w:pPr>
      <w:r w:rsidRPr="00B564E7">
        <w:rPr>
          <w:b/>
        </w:rPr>
        <w:t>IV.ii.1.H.2</w:t>
      </w:r>
    </w:p>
    <w:p w:rsidR="0029353F" w:rsidRDefault="0029353F" w:rsidP="0029353F">
      <w:pPr>
        <w:spacing w:after="120"/>
      </w:pPr>
      <w:r>
        <w:rPr>
          <w:b/>
          <w:bCs/>
        </w:rPr>
        <w:t>IV.ii.2.C.3.m</w:t>
      </w:r>
      <w:r>
        <w:rPr>
          <w:bCs/>
        </w:rPr>
        <w:t xml:space="preserve"> – Da Nang, Vung Tau, Qui Nhon, Ganh Rai Bay and Cam Ranh Bay are deep-water coastal harbors, not inland waterways or shore dock, need confirmation that went ashore during anchorage</w:t>
      </w:r>
    </w:p>
    <w:p w:rsidR="0029353F" w:rsidRPr="003B354A" w:rsidRDefault="00E0790F" w:rsidP="00055F2D">
      <w:pPr>
        <w:widowControl w:val="0"/>
        <w:numPr>
          <w:ilvl w:val="12"/>
          <w:numId w:val="0"/>
        </w:numPr>
        <w:spacing w:after="120"/>
        <w:rPr>
          <w:bCs/>
        </w:rPr>
      </w:pPr>
      <w:r w:rsidRPr="004E52F5">
        <w:rPr>
          <w:b/>
          <w:bCs/>
        </w:rPr>
        <w:t>IV.ii.2.C.3</w:t>
      </w:r>
      <w:r w:rsidR="003B354A">
        <w:rPr>
          <w:bCs/>
        </w:rPr>
        <w:t xml:space="preserve"> – </w:t>
      </w:r>
      <w:r w:rsidR="003B354A" w:rsidRPr="004E52F5">
        <w:rPr>
          <w:b/>
          <w:bCs/>
        </w:rPr>
        <w:t>IV.ii.2.C.3</w:t>
      </w:r>
      <w:r w:rsidR="003B354A">
        <w:rPr>
          <w:b/>
          <w:bCs/>
        </w:rPr>
        <w:t>.n</w:t>
      </w:r>
      <w:r w:rsidR="003B354A">
        <w:rPr>
          <w:bCs/>
        </w:rPr>
        <w:t xml:space="preserve"> apply 3.156(c) if previously denied &amp; now </w:t>
      </w:r>
      <w:r w:rsidR="0029353F">
        <w:rPr>
          <w:bCs/>
        </w:rPr>
        <w:t>have ship/Thailand/DMZ evidence</w:t>
      </w:r>
    </w:p>
    <w:p w:rsidR="00013EB8" w:rsidRDefault="000342D4" w:rsidP="00055F2D">
      <w:pPr>
        <w:widowControl w:val="0"/>
        <w:numPr>
          <w:ilvl w:val="12"/>
          <w:numId w:val="0"/>
        </w:numPr>
        <w:spacing w:after="120"/>
      </w:pPr>
      <w:r>
        <w:rPr>
          <w:b/>
          <w:bCs/>
        </w:rPr>
        <w:t xml:space="preserve">IV.ii.1.H.9.b </w:t>
      </w:r>
      <w:r w:rsidRPr="000342D4">
        <w:rPr>
          <w:bCs/>
        </w:rPr>
        <w:t>&amp;</w:t>
      </w:r>
      <w:r w:rsidRPr="000342D4">
        <w:t xml:space="preserve"> </w:t>
      </w:r>
      <w:r w:rsidR="00037A17" w:rsidRPr="004E52F5">
        <w:rPr>
          <w:b/>
          <w:bCs/>
        </w:rPr>
        <w:t>IV.ii.2.C.4</w:t>
      </w:r>
      <w:r>
        <w:rPr>
          <w:b/>
          <w:bCs/>
        </w:rPr>
        <w:t xml:space="preserve"> </w:t>
      </w:r>
      <w:r w:rsidR="00FF5C40">
        <w:t>–</w:t>
      </w:r>
      <w:r w:rsidR="008E5C3A" w:rsidRPr="004E52F5">
        <w:t xml:space="preserve"> </w:t>
      </w:r>
      <w:r w:rsidR="00FF5C40">
        <w:t xml:space="preserve">Nehmer info; </w:t>
      </w:r>
      <w:r w:rsidR="00013EB8" w:rsidRPr="004E52F5">
        <w:t>can’t go prior to 9/25/85, the date the regulation was effective</w:t>
      </w:r>
    </w:p>
    <w:p w:rsidR="00013EB8" w:rsidRDefault="00770D3A" w:rsidP="009D64B2">
      <w:pPr>
        <w:widowControl w:val="0"/>
        <w:numPr>
          <w:ilvl w:val="12"/>
          <w:numId w:val="0"/>
        </w:numPr>
        <w:pBdr>
          <w:top w:val="single" w:sz="4" w:space="1" w:color="auto"/>
          <w:left w:val="single" w:sz="4" w:space="1" w:color="auto"/>
          <w:bottom w:val="single" w:sz="4" w:space="1" w:color="auto"/>
          <w:right w:val="single" w:sz="4" w:space="1" w:color="auto"/>
        </w:pBdr>
        <w:spacing w:after="120"/>
        <w:rPr>
          <w:b/>
          <w:bCs/>
          <w:i/>
          <w:iCs/>
          <w:u w:val="single"/>
        </w:rPr>
      </w:pPr>
      <w:r>
        <w:rPr>
          <w:b/>
          <w:bCs/>
          <w:i/>
          <w:iCs/>
          <w:u w:val="single"/>
        </w:rPr>
        <w:t>AO outside RVN:</w:t>
      </w:r>
      <w:r w:rsidRPr="00770D3A">
        <w:rPr>
          <w:b/>
          <w:bCs/>
        </w:rPr>
        <w:t xml:space="preserve"> </w:t>
      </w:r>
    </w:p>
    <w:p w:rsidR="00814295" w:rsidRPr="007A18B1" w:rsidRDefault="00D11117" w:rsidP="00F063AF">
      <w:pPr>
        <w:pStyle w:val="ListParagraph"/>
        <w:numPr>
          <w:ilvl w:val="0"/>
          <w:numId w:val="189"/>
        </w:numPr>
        <w:pBdr>
          <w:top w:val="single" w:sz="4" w:space="1" w:color="auto"/>
          <w:left w:val="single" w:sz="4" w:space="1" w:color="auto"/>
          <w:bottom w:val="single" w:sz="4" w:space="1" w:color="auto"/>
          <w:right w:val="single" w:sz="4" w:space="1" w:color="auto"/>
        </w:pBdr>
        <w:spacing w:after="0" w:line="240" w:lineRule="auto"/>
        <w:ind w:left="360"/>
        <w:rPr>
          <w:rFonts w:ascii="Arial" w:hAnsi="Arial"/>
          <w:color w:val="000000"/>
          <w:sz w:val="18"/>
          <w:szCs w:val="20"/>
        </w:rPr>
      </w:pPr>
      <w:r w:rsidRPr="00D11117">
        <w:rPr>
          <w:rFonts w:ascii="Verdana" w:hAnsi="Verdana"/>
          <w:b/>
          <w:bCs/>
          <w:highlight w:val="green"/>
        </w:rPr>
        <w:t>AO</w:t>
      </w:r>
      <w:r>
        <w:rPr>
          <w:rFonts w:ascii="Verdana" w:hAnsi="Verdana"/>
          <w:b/>
          <w:bCs/>
          <w:highlight w:val="green"/>
        </w:rPr>
        <w:t>3</w:t>
      </w:r>
      <w:r>
        <w:rPr>
          <w:rFonts w:ascii="Verdana" w:hAnsi="Verdana"/>
          <w:b/>
          <w:bCs/>
        </w:rPr>
        <w:t xml:space="preserve"> </w:t>
      </w:r>
      <w:r w:rsidR="00814295">
        <w:rPr>
          <w:rFonts w:ascii="Arial" w:hAnsi="Arial"/>
          <w:sz w:val="20"/>
          <w:szCs w:val="20"/>
        </w:rPr>
        <w:t>for secondary or remote contact with an aircraft or equipment previously used in Vietna</w:t>
      </w:r>
      <w:r w:rsidR="007A18B1">
        <w:rPr>
          <w:rFonts w:ascii="Arial" w:hAnsi="Arial"/>
          <w:sz w:val="20"/>
          <w:szCs w:val="20"/>
        </w:rPr>
        <w:t xml:space="preserve">m, </w:t>
      </w:r>
      <w:r w:rsidR="005523CF">
        <w:rPr>
          <w:rFonts w:ascii="Arial" w:hAnsi="Arial"/>
          <w:b/>
          <w:sz w:val="20"/>
        </w:rPr>
        <w:t>IV.ii.1.H.2.m</w:t>
      </w:r>
      <w:r w:rsidR="007A18B1" w:rsidRPr="007A18B1">
        <w:rPr>
          <w:rFonts w:ascii="Arial" w:hAnsi="Arial"/>
          <w:sz w:val="18"/>
          <w:szCs w:val="20"/>
        </w:rPr>
        <w:t xml:space="preserve"> </w:t>
      </w:r>
    </w:p>
    <w:p w:rsidR="00814295" w:rsidRPr="007A18B1" w:rsidRDefault="00814295" w:rsidP="009D64B2">
      <w:pPr>
        <w:widowControl w:val="0"/>
        <w:numPr>
          <w:ilvl w:val="12"/>
          <w:numId w:val="0"/>
        </w:numPr>
        <w:pBdr>
          <w:top w:val="single" w:sz="4" w:space="1" w:color="auto"/>
          <w:left w:val="single" w:sz="4" w:space="1" w:color="auto"/>
          <w:bottom w:val="single" w:sz="4" w:space="1" w:color="auto"/>
          <w:right w:val="single" w:sz="4" w:space="1" w:color="auto"/>
        </w:pBdr>
        <w:rPr>
          <w:b/>
          <w:bCs/>
          <w:i/>
          <w:iCs/>
          <w:sz w:val="18"/>
          <w:u w:val="single"/>
        </w:rPr>
      </w:pPr>
    </w:p>
    <w:p w:rsidR="00013EB8" w:rsidRDefault="00013EB8" w:rsidP="009D64B2">
      <w:pPr>
        <w:widowControl w:val="0"/>
        <w:pBdr>
          <w:top w:val="single" w:sz="4" w:space="1" w:color="auto"/>
          <w:left w:val="single" w:sz="4" w:space="1" w:color="auto"/>
          <w:bottom w:val="single" w:sz="4" w:space="1" w:color="auto"/>
          <w:right w:val="single" w:sz="4" w:space="1" w:color="auto"/>
        </w:pBdr>
        <w:rPr>
          <w:rStyle w:val="referencecode1"/>
          <w:b/>
          <w:bCs/>
          <w:i/>
          <w:iCs/>
          <w:sz w:val="20"/>
          <w:szCs w:val="20"/>
        </w:rPr>
      </w:pPr>
      <w:r>
        <w:rPr>
          <w:rStyle w:val="referencecode1"/>
          <w:b/>
          <w:bCs/>
          <w:i/>
          <w:iCs/>
          <w:sz w:val="20"/>
        </w:rPr>
        <w:t>DMZ (KOREA) –</w:t>
      </w:r>
    </w:p>
    <w:p w:rsidR="00013EB8" w:rsidRPr="00E1001E" w:rsidRDefault="00013EB8" w:rsidP="00691877">
      <w:pPr>
        <w:widowControl w:val="0"/>
        <w:numPr>
          <w:ilvl w:val="0"/>
          <w:numId w:val="8"/>
        </w:numPr>
        <w:pBdr>
          <w:top w:val="single" w:sz="4" w:space="1" w:color="auto"/>
          <w:left w:val="single" w:sz="4" w:space="1" w:color="auto"/>
          <w:bottom w:val="single" w:sz="4" w:space="1" w:color="auto"/>
          <w:right w:val="single" w:sz="4" w:space="1" w:color="auto"/>
        </w:pBdr>
        <w:tabs>
          <w:tab w:val="clear" w:pos="720"/>
          <w:tab w:val="num" w:pos="360"/>
          <w:tab w:val="left" w:pos="1400"/>
        </w:tabs>
        <w:spacing w:after="120"/>
        <w:ind w:left="360"/>
      </w:pPr>
      <w:r w:rsidRPr="00770D3A">
        <w:rPr>
          <w:b/>
          <w:bCs/>
          <w:szCs w:val="24"/>
        </w:rPr>
        <w:t>IV.ii.</w:t>
      </w:r>
      <w:r w:rsidR="00770D3A" w:rsidRPr="00770D3A">
        <w:rPr>
          <w:b/>
          <w:bCs/>
          <w:szCs w:val="24"/>
        </w:rPr>
        <w:t>1</w:t>
      </w:r>
      <w:r w:rsidR="00770D3A">
        <w:rPr>
          <w:b/>
          <w:bCs/>
          <w:szCs w:val="24"/>
        </w:rPr>
        <w:t>.H.4</w:t>
      </w:r>
      <w:r w:rsidR="007A18B1">
        <w:rPr>
          <w:b/>
          <w:bCs/>
          <w:szCs w:val="24"/>
        </w:rPr>
        <w:t>.b</w:t>
      </w:r>
      <w:r>
        <w:t xml:space="preserve"> </w:t>
      </w:r>
      <w:r w:rsidR="007A18B1">
        <w:t>-</w:t>
      </w:r>
      <w:r w:rsidRPr="007A18B1">
        <w:t xml:space="preserve"> list of units in DMZ (Korea) when AO was used [April 1968 to August 1971]</w:t>
      </w:r>
      <w:r w:rsidR="005523CF">
        <w:t xml:space="preserve">, per </w:t>
      </w:r>
      <w:r w:rsidR="005523CF" w:rsidRPr="00770D3A">
        <w:rPr>
          <w:b/>
          <w:bCs/>
          <w:szCs w:val="24"/>
        </w:rPr>
        <w:t>IV.ii.1</w:t>
      </w:r>
      <w:r w:rsidR="005523CF">
        <w:rPr>
          <w:b/>
          <w:bCs/>
          <w:szCs w:val="24"/>
        </w:rPr>
        <w:t>.H.4.c</w:t>
      </w:r>
      <w:r w:rsidR="005523CF">
        <w:rPr>
          <w:bCs/>
          <w:szCs w:val="24"/>
        </w:rPr>
        <w:t xml:space="preserve">, if not during those dates or in one of the units/entities from </w:t>
      </w:r>
      <w:r w:rsidR="005523CF" w:rsidRPr="00770D3A">
        <w:rPr>
          <w:b/>
          <w:bCs/>
          <w:szCs w:val="24"/>
        </w:rPr>
        <w:t>IV.ii.1</w:t>
      </w:r>
      <w:r w:rsidR="005523CF">
        <w:rPr>
          <w:b/>
          <w:bCs/>
          <w:szCs w:val="24"/>
        </w:rPr>
        <w:t>.H.4.b</w:t>
      </w:r>
      <w:r w:rsidR="005523CF">
        <w:rPr>
          <w:bCs/>
          <w:szCs w:val="24"/>
        </w:rPr>
        <w:t>, send a JSRRC request (need dates, location(s) &amp; nature of exposure)</w:t>
      </w:r>
    </w:p>
    <w:p w:rsidR="00E1001E" w:rsidRPr="007A18B1" w:rsidRDefault="00E1001E" w:rsidP="00E1001E">
      <w:pPr>
        <w:widowControl w:val="0"/>
        <w:pBdr>
          <w:top w:val="single" w:sz="4" w:space="1" w:color="auto"/>
          <w:left w:val="single" w:sz="4" w:space="1" w:color="auto"/>
          <w:bottom w:val="single" w:sz="4" w:space="1" w:color="auto"/>
          <w:right w:val="single" w:sz="4" w:space="1" w:color="auto"/>
        </w:pBdr>
        <w:tabs>
          <w:tab w:val="left" w:pos="1400"/>
        </w:tabs>
        <w:spacing w:after="120"/>
        <w:rPr>
          <w:rStyle w:val="referencecode1"/>
          <w:sz w:val="20"/>
          <w:szCs w:val="20"/>
        </w:rPr>
      </w:pPr>
    </w:p>
    <w:p w:rsidR="00013EB8" w:rsidRPr="005775A8" w:rsidRDefault="00013EB8" w:rsidP="009D64B2">
      <w:pPr>
        <w:widowControl w:val="0"/>
        <w:pBdr>
          <w:top w:val="single" w:sz="4" w:space="1" w:color="auto"/>
          <w:left w:val="single" w:sz="4" w:space="1" w:color="auto"/>
          <w:bottom w:val="single" w:sz="4" w:space="1" w:color="auto"/>
          <w:right w:val="single" w:sz="4" w:space="1" w:color="auto"/>
        </w:pBdr>
        <w:rPr>
          <w:rStyle w:val="referencecode1"/>
          <w:bCs/>
        </w:rPr>
      </w:pPr>
      <w:r>
        <w:rPr>
          <w:rStyle w:val="Strong"/>
          <w:i/>
          <w:iCs/>
        </w:rPr>
        <w:t xml:space="preserve">OTHER LOCATIONS THAN RVN OR DMZ – </w:t>
      </w:r>
      <w:r>
        <w:rPr>
          <w:i/>
        </w:rPr>
        <w:t xml:space="preserve">email Compensation Service and request a review of DoD’s inventory of herbicide operations to determine whether herbicides were used as alleged (if have dates, location and nature of alleged exposure), </w:t>
      </w:r>
      <w:r w:rsidRPr="005775A8">
        <w:rPr>
          <w:i/>
          <w:highlight w:val="darkGray"/>
        </w:rPr>
        <w:t xml:space="preserve">if not need formal finding that sufficient information required to verify herbicide exposure does not exist, per </w:t>
      </w:r>
      <w:r w:rsidR="00770D3A" w:rsidRPr="005775A8">
        <w:rPr>
          <w:b/>
          <w:bCs/>
          <w:szCs w:val="24"/>
          <w:highlight w:val="darkGray"/>
        </w:rPr>
        <w:t>IV.ii.1.H.7.a</w:t>
      </w:r>
      <w:r w:rsidR="005775A8" w:rsidRPr="005775A8">
        <w:rPr>
          <w:bCs/>
          <w:szCs w:val="24"/>
          <w:highlight w:val="darkGray"/>
        </w:rPr>
        <w:t>,</w:t>
      </w:r>
      <w:r w:rsidR="005775A8">
        <w:rPr>
          <w:bCs/>
          <w:szCs w:val="24"/>
        </w:rPr>
        <w:t xml:space="preserve"> </w:t>
      </w:r>
      <w:r w:rsidR="005775A8" w:rsidRPr="005775A8">
        <w:rPr>
          <w:bCs/>
          <w:i/>
          <w:szCs w:val="24"/>
        </w:rPr>
        <w:t>as of 3/27/18, formal finding no longer needed (except for Thailand)</w:t>
      </w:r>
    </w:p>
    <w:p w:rsidR="002651C4" w:rsidRDefault="002651C4" w:rsidP="009D64B2">
      <w:pPr>
        <w:widowControl w:val="0"/>
        <w:pBdr>
          <w:top w:val="single" w:sz="4" w:space="1" w:color="auto"/>
          <w:left w:val="single" w:sz="4" w:space="1" w:color="auto"/>
          <w:bottom w:val="single" w:sz="4" w:space="1" w:color="auto"/>
          <w:right w:val="single" w:sz="4" w:space="1" w:color="auto"/>
        </w:pBdr>
        <w:rPr>
          <w:rStyle w:val="referencecode1"/>
          <w:b/>
          <w:bCs/>
        </w:rPr>
      </w:pPr>
    </w:p>
    <w:p w:rsidR="00E1001E" w:rsidRDefault="00D571C5" w:rsidP="009D64B2">
      <w:pPr>
        <w:widowControl w:val="0"/>
        <w:pBdr>
          <w:top w:val="single" w:sz="4" w:space="1" w:color="auto"/>
          <w:left w:val="single" w:sz="4" w:space="1" w:color="auto"/>
          <w:bottom w:val="single" w:sz="4" w:space="1" w:color="auto"/>
          <w:right w:val="single" w:sz="4" w:space="1" w:color="auto"/>
        </w:pBdr>
        <w:rPr>
          <w:rStyle w:val="referencecode1"/>
          <w:b/>
          <w:bCs/>
        </w:rPr>
      </w:pPr>
      <w:hyperlink r:id="rId409" w:tooltip="https://www.publichealth.va.gov/exposures/agentorange/locations/tests-storage/index.asp" w:history="1">
        <w:r w:rsidR="00E1001E">
          <w:rPr>
            <w:rStyle w:val="Hyperlink"/>
            <w:rFonts w:ascii="Segoe UI" w:hAnsi="Segoe UI" w:cs="Segoe UI"/>
          </w:rPr>
          <w:t>https://www.publichealth.va.gov/exposures/agentorange/locations/tests-storage/index.asp</w:t>
        </w:r>
      </w:hyperlink>
    </w:p>
    <w:p w:rsidR="00E1001E" w:rsidRDefault="00E1001E" w:rsidP="009D64B2">
      <w:pPr>
        <w:widowControl w:val="0"/>
        <w:pBdr>
          <w:top w:val="single" w:sz="4" w:space="1" w:color="auto"/>
          <w:left w:val="single" w:sz="4" w:space="1" w:color="auto"/>
          <w:bottom w:val="single" w:sz="4" w:space="1" w:color="auto"/>
          <w:right w:val="single" w:sz="4" w:space="1" w:color="auto"/>
        </w:pBdr>
        <w:rPr>
          <w:rStyle w:val="referencecode1"/>
          <w:b/>
          <w:bCs/>
        </w:rPr>
      </w:pPr>
    </w:p>
    <w:p w:rsidR="00E1001E" w:rsidRDefault="00E1001E" w:rsidP="009D64B2">
      <w:pPr>
        <w:widowControl w:val="0"/>
        <w:pBdr>
          <w:top w:val="single" w:sz="4" w:space="1" w:color="auto"/>
          <w:left w:val="single" w:sz="4" w:space="1" w:color="auto"/>
          <w:bottom w:val="single" w:sz="4" w:space="1" w:color="auto"/>
          <w:right w:val="single" w:sz="4" w:space="1" w:color="auto"/>
        </w:pBdr>
        <w:rPr>
          <w:rStyle w:val="referencecode1"/>
          <w:b/>
          <w:bCs/>
        </w:rPr>
      </w:pPr>
    </w:p>
    <w:p w:rsidR="002651C4" w:rsidRDefault="00770D3A" w:rsidP="007E54DC">
      <w:pPr>
        <w:widowControl w:val="0"/>
        <w:pBdr>
          <w:top w:val="single" w:sz="4" w:space="1" w:color="auto"/>
          <w:left w:val="single" w:sz="4" w:space="1" w:color="auto"/>
          <w:bottom w:val="single" w:sz="4" w:space="1" w:color="auto"/>
          <w:right w:val="single" w:sz="4" w:space="1" w:color="auto"/>
        </w:pBdr>
        <w:rPr>
          <w:b/>
          <w:bCs/>
          <w:color w:val="000000"/>
        </w:rPr>
      </w:pPr>
      <w:r w:rsidRPr="00770D3A">
        <w:rPr>
          <w:b/>
          <w:bCs/>
          <w:szCs w:val="24"/>
        </w:rPr>
        <w:t>IV.ii.1.</w:t>
      </w:r>
      <w:r>
        <w:rPr>
          <w:b/>
          <w:bCs/>
          <w:szCs w:val="24"/>
        </w:rPr>
        <w:t>H.2.</w:t>
      </w:r>
      <w:r w:rsidR="005523CF">
        <w:rPr>
          <w:b/>
          <w:bCs/>
          <w:szCs w:val="24"/>
        </w:rPr>
        <w:t>l</w:t>
      </w:r>
      <w:r>
        <w:rPr>
          <w:b/>
          <w:bCs/>
          <w:szCs w:val="24"/>
        </w:rPr>
        <w:t xml:space="preserve"> &amp; </w:t>
      </w:r>
      <w:r w:rsidR="005523CF">
        <w:rPr>
          <w:b/>
          <w:bCs/>
          <w:szCs w:val="24"/>
        </w:rPr>
        <w:t>m</w:t>
      </w:r>
      <w:r w:rsidRPr="002651C4">
        <w:rPr>
          <w:rStyle w:val="referencecode1"/>
          <w:b/>
          <w:bCs/>
          <w:sz w:val="20"/>
          <w:szCs w:val="20"/>
        </w:rPr>
        <w:t xml:space="preserve"> </w:t>
      </w:r>
      <w:r w:rsidR="002651C4" w:rsidRPr="002651C4">
        <w:rPr>
          <w:rStyle w:val="referencecode1"/>
          <w:b/>
          <w:bCs/>
          <w:sz w:val="20"/>
          <w:szCs w:val="20"/>
        </w:rPr>
        <w:t xml:space="preserve">– Use of </w:t>
      </w:r>
      <w:r w:rsidR="002651C4" w:rsidRPr="002651C4">
        <w:rPr>
          <w:b/>
          <w:bCs/>
          <w:color w:val="000000"/>
        </w:rPr>
        <w:t>JSRRC's Memorandum in Claims of Exposure From Herbicides Being Stored or Transported on Veteran's Ship</w:t>
      </w:r>
    </w:p>
    <w:p w:rsidR="007E54DC" w:rsidRDefault="007E54DC" w:rsidP="00691877">
      <w:pPr>
        <w:widowControl w:val="0"/>
        <w:numPr>
          <w:ilvl w:val="0"/>
          <w:numId w:val="7"/>
        </w:numPr>
        <w:pBdr>
          <w:top w:val="single" w:sz="4" w:space="1" w:color="auto"/>
          <w:left w:val="single" w:sz="4" w:space="1" w:color="auto"/>
          <w:bottom w:val="single" w:sz="4" w:space="1" w:color="auto"/>
          <w:right w:val="single" w:sz="4" w:space="1" w:color="auto"/>
        </w:pBdr>
        <w:tabs>
          <w:tab w:val="clear" w:pos="720"/>
          <w:tab w:val="num" w:pos="400"/>
        </w:tabs>
        <w:spacing w:after="120"/>
        <w:ind w:left="403" w:hanging="403"/>
      </w:pPr>
      <w:r w:rsidRPr="00055F2D">
        <w:rPr>
          <w:b/>
          <w:bCs/>
          <w:i/>
          <w:iCs/>
        </w:rPr>
        <w:t>May 2009 Compensation Service Bulletin (CSB)</w:t>
      </w:r>
      <w:r>
        <w:t xml:space="preserve"> &amp; </w:t>
      </w:r>
      <w:hyperlink r:id="rId410" w:history="1">
        <w:r>
          <w:rPr>
            <w:rStyle w:val="Hyperlink"/>
            <w:b/>
            <w:bCs/>
            <w:i/>
            <w:iCs/>
          </w:rPr>
          <w:t>5/1/09 Memorandum for Record from the Department of the Army, U.S. Army &amp; Joint Services Records Research Center</w:t>
        </w:r>
      </w:hyperlink>
      <w:r>
        <w:t xml:space="preserve"> – “the JSRRC has found no evidence that indicates Navy or Coast Guard ships transported tactical herbicides from the United States to the Republic of Vietnam or that ships operating off the coast of Vietnam used, stored, tested, or transported tactical herbicides.  Additionally, the JSRRC cannot document or verify that a shipboard veteran was exposed to tactical herbicides based on contact with aircraft that flew over Vietnam or equipment that was used in Vietnam.”  </w:t>
      </w:r>
    </w:p>
    <w:p w:rsidR="00013EB8" w:rsidRDefault="00013EB8" w:rsidP="009D64B2">
      <w:pPr>
        <w:widowControl w:val="0"/>
        <w:pBdr>
          <w:top w:val="single" w:sz="4" w:space="1" w:color="auto"/>
          <w:left w:val="single" w:sz="4" w:space="1" w:color="auto"/>
          <w:bottom w:val="single" w:sz="4" w:space="1" w:color="auto"/>
          <w:right w:val="single" w:sz="4" w:space="1" w:color="auto"/>
        </w:pBdr>
        <w:rPr>
          <w:rStyle w:val="referencecode1"/>
          <w:i/>
          <w:sz w:val="20"/>
          <w:szCs w:val="20"/>
        </w:rPr>
      </w:pPr>
    </w:p>
    <w:p w:rsidR="00013EB8" w:rsidRDefault="00013EB8" w:rsidP="009D64B2">
      <w:pPr>
        <w:widowControl w:val="0"/>
        <w:pBdr>
          <w:top w:val="single" w:sz="4" w:space="1" w:color="auto"/>
          <w:left w:val="single" w:sz="4" w:space="1" w:color="auto"/>
          <w:bottom w:val="single" w:sz="4" w:space="1" w:color="auto"/>
          <w:right w:val="single" w:sz="4" w:space="1" w:color="auto"/>
        </w:pBdr>
        <w:rPr>
          <w:rStyle w:val="referencecode1"/>
          <w:b/>
          <w:bCs/>
        </w:rPr>
      </w:pPr>
      <w:r>
        <w:rPr>
          <w:rStyle w:val="referencecode1"/>
          <w:b/>
          <w:bCs/>
          <w:i/>
          <w:iCs/>
          <w:sz w:val="20"/>
        </w:rPr>
        <w:t xml:space="preserve">JOHNSTON ISLAND </w:t>
      </w:r>
      <w:r w:rsidR="00770D3A">
        <w:rPr>
          <w:rStyle w:val="referencecode1"/>
          <w:b/>
          <w:bCs/>
          <w:i/>
          <w:iCs/>
          <w:sz w:val="20"/>
        </w:rPr>
        <w:t>–</w:t>
      </w:r>
      <w:r w:rsidR="00770D3A">
        <w:rPr>
          <w:rStyle w:val="referencecode1"/>
          <w:b/>
          <w:bCs/>
          <w:iCs/>
          <w:sz w:val="20"/>
        </w:rPr>
        <w:t xml:space="preserve"> IV.ii.1.H.6</w:t>
      </w:r>
    </w:p>
    <w:p w:rsidR="00013EB8" w:rsidRDefault="00013EB8" w:rsidP="009D64B2">
      <w:pPr>
        <w:widowControl w:val="0"/>
        <w:pBdr>
          <w:top w:val="single" w:sz="4" w:space="1" w:color="auto"/>
          <w:left w:val="single" w:sz="4" w:space="1" w:color="auto"/>
          <w:bottom w:val="single" w:sz="4" w:space="1" w:color="auto"/>
          <w:right w:val="single" w:sz="4" w:space="1" w:color="auto"/>
        </w:pBdr>
        <w:rPr>
          <w:rStyle w:val="referencecode1"/>
          <w:i/>
          <w:sz w:val="20"/>
          <w:szCs w:val="20"/>
        </w:rPr>
      </w:pPr>
    </w:p>
    <w:p w:rsidR="00013EB8" w:rsidRPr="00746324" w:rsidRDefault="00013EB8" w:rsidP="009D64B2">
      <w:pPr>
        <w:widowControl w:val="0"/>
        <w:pBdr>
          <w:top w:val="single" w:sz="4" w:space="1" w:color="auto"/>
          <w:left w:val="single" w:sz="4" w:space="1" w:color="auto"/>
          <w:bottom w:val="single" w:sz="4" w:space="1" w:color="auto"/>
          <w:right w:val="single" w:sz="4" w:space="1" w:color="auto"/>
        </w:pBdr>
        <w:rPr>
          <w:rStyle w:val="referencecode1"/>
          <w:bCs/>
          <w:i/>
          <w:iCs/>
          <w:sz w:val="20"/>
          <w:szCs w:val="20"/>
        </w:rPr>
      </w:pPr>
      <w:r>
        <w:rPr>
          <w:rStyle w:val="referencecode1"/>
          <w:b/>
          <w:bCs/>
          <w:i/>
          <w:iCs/>
          <w:sz w:val="20"/>
        </w:rPr>
        <w:t xml:space="preserve">THAILAND – </w:t>
      </w:r>
    </w:p>
    <w:p w:rsidR="00013EB8" w:rsidRPr="005775A8" w:rsidRDefault="00746324" w:rsidP="005775A8">
      <w:pPr>
        <w:widowControl w:val="0"/>
        <w:numPr>
          <w:ilvl w:val="0"/>
          <w:numId w:val="8"/>
        </w:numPr>
        <w:pBdr>
          <w:top w:val="single" w:sz="4" w:space="1" w:color="auto"/>
          <w:left w:val="single" w:sz="4" w:space="1" w:color="auto"/>
          <w:bottom w:val="single" w:sz="4" w:space="1" w:color="auto"/>
          <w:right w:val="single" w:sz="4" w:space="1" w:color="auto"/>
        </w:pBdr>
        <w:tabs>
          <w:tab w:val="clear" w:pos="720"/>
          <w:tab w:val="num" w:pos="360"/>
        </w:tabs>
        <w:spacing w:after="120"/>
        <w:ind w:left="360"/>
        <w:rPr>
          <w:i/>
          <w:color w:val="0000FF"/>
          <w:u w:val="single"/>
        </w:rPr>
      </w:pPr>
      <w:r w:rsidRPr="00746324">
        <w:rPr>
          <w:b/>
          <w:bCs/>
          <w:iCs/>
        </w:rPr>
        <w:t>IV.ii.1.H.5</w:t>
      </w:r>
      <w:r w:rsidRPr="00746324">
        <w:rPr>
          <w:bCs/>
          <w:iCs/>
        </w:rPr>
        <w:t xml:space="preserve"> – </w:t>
      </w:r>
      <w:r w:rsidR="00DE269C">
        <w:rPr>
          <w:bCs/>
          <w:iCs/>
        </w:rPr>
        <w:t xml:space="preserve">(1) </w:t>
      </w:r>
      <w:r w:rsidRPr="00746324">
        <w:rPr>
          <w:bCs/>
          <w:iCs/>
        </w:rPr>
        <w:t>Royal Thai Air Force B</w:t>
      </w:r>
      <w:r w:rsidRPr="005775A8">
        <w:rPr>
          <w:bCs/>
          <w:iCs/>
        </w:rPr>
        <w:t xml:space="preserve">ases (RTAFBs) as </w:t>
      </w:r>
      <w:r w:rsidR="00DE269C" w:rsidRPr="005775A8">
        <w:rPr>
          <w:bCs/>
          <w:iCs/>
        </w:rPr>
        <w:t xml:space="preserve">security policeman, security patrol </w:t>
      </w:r>
      <w:r w:rsidRPr="005775A8">
        <w:rPr>
          <w:bCs/>
          <w:iCs/>
        </w:rPr>
        <w:t>dog handler</w:t>
      </w:r>
      <w:r w:rsidR="00DE269C" w:rsidRPr="005775A8">
        <w:rPr>
          <w:bCs/>
          <w:iCs/>
        </w:rPr>
        <w:t xml:space="preserve">, member of </w:t>
      </w:r>
      <w:r w:rsidRPr="005775A8">
        <w:rPr>
          <w:bCs/>
          <w:iCs/>
        </w:rPr>
        <w:t>security p</w:t>
      </w:r>
      <w:r w:rsidR="00DE269C" w:rsidRPr="005775A8">
        <w:rPr>
          <w:bCs/>
          <w:iCs/>
        </w:rPr>
        <w:t xml:space="preserve">olice squadron, or otherwise near the air base perimeter, can concede herbicide exposure; (2) on U.S. Army Base in Thailand as MP or with a MP occupational specialty, concede herbicide exposure; (3) if neither of the first two, follow chart at </w:t>
      </w:r>
      <w:r w:rsidR="00DE269C" w:rsidRPr="005775A8">
        <w:rPr>
          <w:b/>
          <w:bCs/>
          <w:iCs/>
        </w:rPr>
        <w:t>IV.ii.1.H.5.b</w:t>
      </w:r>
    </w:p>
    <w:p w:rsidR="005775A8" w:rsidRPr="005775A8" w:rsidRDefault="005775A8" w:rsidP="005775A8">
      <w:pPr>
        <w:pStyle w:val="ListParagraph"/>
        <w:numPr>
          <w:ilvl w:val="0"/>
          <w:numId w:val="8"/>
        </w:numPr>
        <w:pBdr>
          <w:top w:val="single" w:sz="4" w:space="1" w:color="auto"/>
          <w:left w:val="single" w:sz="4" w:space="1" w:color="auto"/>
          <w:bottom w:val="single" w:sz="4" w:space="1" w:color="auto"/>
          <w:right w:val="single" w:sz="4" w:space="1" w:color="auto"/>
        </w:pBdr>
        <w:tabs>
          <w:tab w:val="clear" w:pos="720"/>
          <w:tab w:val="left" w:pos="360"/>
        </w:tabs>
        <w:spacing w:after="120"/>
        <w:ind w:left="360"/>
        <w:rPr>
          <w:rFonts w:ascii="Arial" w:hAnsi="Arial"/>
          <w:sz w:val="20"/>
          <w:szCs w:val="20"/>
        </w:rPr>
      </w:pPr>
      <w:r w:rsidRPr="005775A8">
        <w:rPr>
          <w:rFonts w:ascii="Arial" w:hAnsi="Arial"/>
          <w:b/>
          <w:sz w:val="20"/>
          <w:szCs w:val="20"/>
        </w:rPr>
        <w:t>IV.ii.1.H.10.c</w:t>
      </w:r>
      <w:r w:rsidRPr="005775A8">
        <w:rPr>
          <w:rFonts w:ascii="Arial" w:hAnsi="Arial"/>
          <w:sz w:val="20"/>
          <w:szCs w:val="20"/>
        </w:rPr>
        <w:t xml:space="preserve"> - Formal finding that the Department of Veterans Affairs (VA) lacks the information the U.S. Army and Joint Services Records Research Center (JSRRC) requires to verify herbicide exposure in [</w:t>
      </w:r>
      <w:r w:rsidRPr="005775A8">
        <w:rPr>
          <w:rFonts w:ascii="Arial" w:hAnsi="Arial"/>
          <w:b/>
          <w:sz w:val="20"/>
          <w:szCs w:val="20"/>
        </w:rPr>
        <w:t>LOCATION(S)</w:t>
      </w:r>
      <w:r w:rsidRPr="005775A8">
        <w:rPr>
          <w:rFonts w:ascii="Arial" w:hAnsi="Arial"/>
          <w:sz w:val="20"/>
          <w:szCs w:val="20"/>
        </w:rPr>
        <w:t xml:space="preserve">]. – </w:t>
      </w:r>
      <w:r>
        <w:rPr>
          <w:rFonts w:ascii="Arial" w:hAnsi="Arial"/>
          <w:i/>
          <w:sz w:val="20"/>
          <w:szCs w:val="20"/>
        </w:rPr>
        <w:t>as of</w:t>
      </w:r>
      <w:r w:rsidRPr="005775A8">
        <w:rPr>
          <w:rFonts w:ascii="Arial" w:hAnsi="Arial"/>
          <w:i/>
          <w:sz w:val="20"/>
          <w:szCs w:val="20"/>
        </w:rPr>
        <w:t xml:space="preserve"> 3/27/18,</w:t>
      </w:r>
      <w:r>
        <w:rPr>
          <w:rFonts w:ascii="Arial" w:hAnsi="Arial"/>
          <w:sz w:val="20"/>
          <w:szCs w:val="20"/>
        </w:rPr>
        <w:t xml:space="preserve"> </w:t>
      </w:r>
      <w:r>
        <w:rPr>
          <w:rFonts w:ascii="Arial" w:hAnsi="Arial"/>
          <w:i/>
          <w:sz w:val="20"/>
          <w:szCs w:val="20"/>
        </w:rPr>
        <w:t>only for</w:t>
      </w:r>
      <w:r w:rsidRPr="005775A8">
        <w:rPr>
          <w:rFonts w:ascii="Arial" w:hAnsi="Arial"/>
          <w:i/>
          <w:sz w:val="20"/>
          <w:szCs w:val="20"/>
        </w:rPr>
        <w:t xml:space="preserve"> Thailand</w:t>
      </w:r>
    </w:p>
    <w:p w:rsidR="00013EB8" w:rsidRDefault="00562F54">
      <w:pPr>
        <w:widowControl w:val="0"/>
        <w:rPr>
          <w:b/>
          <w:bCs/>
          <w:color w:val="000000"/>
        </w:rPr>
      </w:pPr>
      <w:r>
        <w:rPr>
          <w:b/>
          <w:bCs/>
          <w:noProof/>
          <w:color w:val="000000"/>
        </w:rPr>
        <w:drawing>
          <wp:anchor distT="0" distB="0" distL="114300" distR="114300" simplePos="0" relativeHeight="251639296" behindDoc="0" locked="0" layoutInCell="1" allowOverlap="1" wp14:anchorId="43980977" wp14:editId="3AAFF0EC">
            <wp:simplePos x="0" y="0"/>
            <wp:positionH relativeFrom="column">
              <wp:posOffset>-63500</wp:posOffset>
            </wp:positionH>
            <wp:positionV relativeFrom="paragraph">
              <wp:posOffset>-345440</wp:posOffset>
            </wp:positionV>
            <wp:extent cx="7065645" cy="9489440"/>
            <wp:effectExtent l="0" t="0" r="1905" b="0"/>
            <wp:wrapTopAndBottom/>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11" cstate="print">
                      <a:extLst>
                        <a:ext uri="{28A0092B-C50C-407E-A947-70E740481C1C}">
                          <a14:useLocalDpi xmlns:a14="http://schemas.microsoft.com/office/drawing/2010/main" val="0"/>
                        </a:ext>
                      </a:extLst>
                    </a:blip>
                    <a:srcRect/>
                    <a:stretch>
                      <a:fillRect/>
                    </a:stretch>
                  </pic:blipFill>
                  <pic:spPr bwMode="auto">
                    <a:xfrm>
                      <a:off x="0" y="0"/>
                      <a:ext cx="7065645" cy="948944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rsidR="00DB55F7" w:rsidRDefault="00DB55F7" w:rsidP="001453C4">
      <w:pPr>
        <w:widowControl w:val="0"/>
        <w:numPr>
          <w:ilvl w:val="12"/>
          <w:numId w:val="0"/>
        </w:numPr>
        <w:pBdr>
          <w:top w:val="double" w:sz="4" w:space="1" w:color="auto"/>
          <w:left w:val="double" w:sz="4" w:space="4" w:color="auto"/>
          <w:bottom w:val="double" w:sz="4" w:space="1" w:color="auto"/>
          <w:right w:val="double" w:sz="4" w:space="4" w:color="auto"/>
        </w:pBdr>
        <w:shd w:val="clear" w:color="auto" w:fill="FFC000"/>
        <w:tabs>
          <w:tab w:val="left" w:pos="420"/>
        </w:tabs>
        <w:spacing w:after="120"/>
        <w:rPr>
          <w:i/>
        </w:rPr>
      </w:pPr>
      <w:r w:rsidRPr="0059725E">
        <w:rPr>
          <w:i/>
        </w:rPr>
        <w:t>Training documents are under “</w:t>
      </w:r>
      <w:r>
        <w:rPr>
          <w:i/>
        </w:rPr>
        <w:t>Agent Orange”</w:t>
      </w:r>
      <w:r w:rsidR="001453C4">
        <w:rPr>
          <w:i/>
        </w:rPr>
        <w:t xml:space="preserve"> at </w:t>
      </w:r>
      <w:r w:rsidR="001453C4" w:rsidRPr="001453C4">
        <w:rPr>
          <w:b/>
          <w:i/>
        </w:rPr>
        <w:t>http://hvnc.gdit.com/lc/</w:t>
      </w:r>
    </w:p>
    <w:p w:rsidR="00DB55F7" w:rsidRPr="00DB55F7" w:rsidRDefault="00DB55F7" w:rsidP="00175058">
      <w:pPr>
        <w:overflowPunct/>
        <w:autoSpaceDE/>
        <w:autoSpaceDN/>
        <w:adjustRightInd/>
        <w:spacing w:after="120"/>
        <w:ind w:right="-720"/>
        <w:textAlignment w:val="auto"/>
      </w:pPr>
      <w:r w:rsidRPr="00DB55F7">
        <w:t>The following APOs have been verified by the Military Postal Service Agency (MPSA) as having been used for delivery to Vietnam.</w:t>
      </w:r>
    </w:p>
    <w:p w:rsidR="00DB55F7" w:rsidRPr="00DB55F7" w:rsidRDefault="00DB55F7" w:rsidP="00DB55F7">
      <w:pPr>
        <w:overflowPunct/>
        <w:autoSpaceDE/>
        <w:autoSpaceDN/>
        <w:adjustRightInd/>
        <w:ind w:right="-720"/>
        <w:textAlignment w:val="auto"/>
      </w:pPr>
      <w:r w:rsidRPr="00DB55F7">
        <w:t> </w:t>
      </w:r>
    </w:p>
    <w:tbl>
      <w:tblPr>
        <w:tblW w:w="0" w:type="auto"/>
        <w:tblInd w:w="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0"/>
        <w:gridCol w:w="910"/>
        <w:gridCol w:w="1011"/>
        <w:gridCol w:w="1080"/>
        <w:gridCol w:w="1260"/>
        <w:gridCol w:w="1260"/>
        <w:gridCol w:w="990"/>
        <w:gridCol w:w="1440"/>
      </w:tblGrid>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15</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27</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38</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40</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91</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95</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97</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137</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143</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157</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158</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299</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300</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307</w:t>
            </w:r>
          </w:p>
        </w:tc>
        <w:tc>
          <w:tcPr>
            <w:tcW w:w="1440" w:type="dxa"/>
          </w:tcPr>
          <w:p w:rsidR="00DB55F7" w:rsidRPr="00DB55F7" w:rsidRDefault="00DB55F7" w:rsidP="00DB55F7">
            <w:pPr>
              <w:overflowPunct/>
              <w:autoSpaceDE/>
              <w:autoSpaceDN/>
              <w:adjustRightInd/>
              <w:ind w:right="-720"/>
              <w:textAlignment w:val="auto"/>
            </w:pPr>
            <w:r w:rsidRPr="00DB55F7">
              <w:rPr>
                <w:b/>
                <w:bCs/>
              </w:rPr>
              <w:t>96495</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96496</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96499</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96208</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96214</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96215</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96216</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96217</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96219</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96221</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96222</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96223</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96225</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96226</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96227</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96228</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96230</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96234</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96236</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96238</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96240</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96243</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96250</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96256</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96257</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96258</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96260</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96262</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96265</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96266</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96268</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96269</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96278</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96279</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96289</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96291</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96294</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96295</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96296</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96297</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96307</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96308</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96309</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96312</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96314</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96316</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96317</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96318</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96320</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96321</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96322</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96325</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96326</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96327</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96332</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96337</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96345</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96347</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96348</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96349</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96350</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96353</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96355</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96357</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96359</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96361</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96362</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96363</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96368</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96370</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96371</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96372</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96373</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96374</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96375</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96376</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96377</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96379</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96381</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96383</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96384</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96385</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96388</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96393</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96392</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96395</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96398</w:t>
            </w:r>
          </w:p>
        </w:tc>
        <w:tc>
          <w:tcPr>
            <w:tcW w:w="990" w:type="dxa"/>
          </w:tcPr>
          <w:p w:rsidR="00DB55F7" w:rsidRPr="00DB55F7" w:rsidRDefault="00DB55F7" w:rsidP="00DB55F7">
            <w:pPr>
              <w:overflowPunct/>
              <w:autoSpaceDE/>
              <w:autoSpaceDN/>
              <w:adjustRightInd/>
              <w:ind w:right="-720"/>
              <w:textAlignment w:val="auto"/>
              <w:rPr>
                <w:b/>
                <w:bCs/>
              </w:rPr>
            </w:pPr>
            <w:r w:rsidRPr="00DB55F7">
              <w:rPr>
                <w:b/>
                <w:bCs/>
              </w:rPr>
              <w:t>96494</w:t>
            </w:r>
          </w:p>
        </w:tc>
        <w:tc>
          <w:tcPr>
            <w:tcW w:w="1440" w:type="dxa"/>
          </w:tcPr>
          <w:p w:rsidR="00DB55F7" w:rsidRPr="00DB55F7" w:rsidRDefault="00DB55F7" w:rsidP="00DB55F7">
            <w:pPr>
              <w:overflowPunct/>
              <w:autoSpaceDE/>
              <w:autoSpaceDN/>
              <w:adjustRightInd/>
              <w:ind w:right="-720"/>
              <w:textAlignment w:val="auto"/>
              <w:rPr>
                <w:b/>
                <w:bCs/>
              </w:rPr>
            </w:pPr>
            <w:r w:rsidRPr="00DB55F7">
              <w:rPr>
                <w:b/>
                <w:bCs/>
              </w:rPr>
              <w:t>96399</w:t>
            </w:r>
          </w:p>
        </w:tc>
      </w:tr>
      <w:tr w:rsidR="00DB55F7" w:rsidRPr="00DB55F7" w:rsidTr="00DB55F7">
        <w:tc>
          <w:tcPr>
            <w:tcW w:w="910" w:type="dxa"/>
          </w:tcPr>
          <w:p w:rsidR="00DB55F7" w:rsidRPr="00DB55F7" w:rsidRDefault="00DB55F7" w:rsidP="00DB55F7">
            <w:pPr>
              <w:overflowPunct/>
              <w:autoSpaceDE/>
              <w:autoSpaceDN/>
              <w:adjustRightInd/>
              <w:ind w:right="-720"/>
              <w:textAlignment w:val="auto"/>
              <w:rPr>
                <w:b/>
                <w:bCs/>
              </w:rPr>
            </w:pPr>
            <w:r w:rsidRPr="00DB55F7">
              <w:rPr>
                <w:b/>
                <w:bCs/>
              </w:rPr>
              <w:t>96402</w:t>
            </w:r>
          </w:p>
        </w:tc>
        <w:tc>
          <w:tcPr>
            <w:tcW w:w="910" w:type="dxa"/>
          </w:tcPr>
          <w:p w:rsidR="00DB55F7" w:rsidRPr="00DB55F7" w:rsidRDefault="00DB55F7" w:rsidP="00DB55F7">
            <w:pPr>
              <w:overflowPunct/>
              <w:autoSpaceDE/>
              <w:autoSpaceDN/>
              <w:adjustRightInd/>
              <w:ind w:right="-720"/>
              <w:textAlignment w:val="auto"/>
              <w:rPr>
                <w:b/>
                <w:bCs/>
              </w:rPr>
            </w:pPr>
            <w:r w:rsidRPr="00DB55F7">
              <w:rPr>
                <w:b/>
                <w:bCs/>
              </w:rPr>
              <w:t>96477</w:t>
            </w:r>
          </w:p>
        </w:tc>
        <w:tc>
          <w:tcPr>
            <w:tcW w:w="1011" w:type="dxa"/>
          </w:tcPr>
          <w:p w:rsidR="00DB55F7" w:rsidRPr="00DB55F7" w:rsidRDefault="00DB55F7" w:rsidP="00DB55F7">
            <w:pPr>
              <w:overflowPunct/>
              <w:autoSpaceDE/>
              <w:autoSpaceDN/>
              <w:adjustRightInd/>
              <w:ind w:right="-720"/>
              <w:textAlignment w:val="auto"/>
              <w:rPr>
                <w:b/>
                <w:bCs/>
              </w:rPr>
            </w:pPr>
            <w:r w:rsidRPr="00DB55F7">
              <w:rPr>
                <w:b/>
                <w:bCs/>
              </w:rPr>
              <w:t>96485</w:t>
            </w:r>
          </w:p>
        </w:tc>
        <w:tc>
          <w:tcPr>
            <w:tcW w:w="1080" w:type="dxa"/>
          </w:tcPr>
          <w:p w:rsidR="00DB55F7" w:rsidRPr="00DB55F7" w:rsidRDefault="00DB55F7" w:rsidP="00DB55F7">
            <w:pPr>
              <w:overflowPunct/>
              <w:autoSpaceDE/>
              <w:autoSpaceDN/>
              <w:adjustRightInd/>
              <w:ind w:right="-720"/>
              <w:textAlignment w:val="auto"/>
              <w:rPr>
                <w:b/>
                <w:bCs/>
              </w:rPr>
            </w:pPr>
            <w:r w:rsidRPr="00DB55F7">
              <w:rPr>
                <w:b/>
                <w:bCs/>
              </w:rPr>
              <w:t>96490</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96491</w:t>
            </w:r>
          </w:p>
        </w:tc>
        <w:tc>
          <w:tcPr>
            <w:tcW w:w="1260" w:type="dxa"/>
          </w:tcPr>
          <w:p w:rsidR="00DB55F7" w:rsidRPr="00DB55F7" w:rsidRDefault="00DB55F7" w:rsidP="00DB55F7">
            <w:pPr>
              <w:overflowPunct/>
              <w:autoSpaceDE/>
              <w:autoSpaceDN/>
              <w:adjustRightInd/>
              <w:ind w:right="-720"/>
              <w:textAlignment w:val="auto"/>
              <w:rPr>
                <w:b/>
                <w:bCs/>
              </w:rPr>
            </w:pPr>
            <w:r w:rsidRPr="00DB55F7">
              <w:rPr>
                <w:b/>
                <w:bCs/>
              </w:rPr>
              <w:t>96492</w:t>
            </w:r>
          </w:p>
        </w:tc>
        <w:tc>
          <w:tcPr>
            <w:tcW w:w="990" w:type="dxa"/>
          </w:tcPr>
          <w:p w:rsidR="00DB55F7" w:rsidRPr="00DB55F7" w:rsidRDefault="00DB55F7" w:rsidP="00DB55F7">
            <w:pPr>
              <w:overflowPunct/>
              <w:autoSpaceDE/>
              <w:autoSpaceDN/>
              <w:adjustRightInd/>
              <w:ind w:right="-720"/>
              <w:textAlignment w:val="auto"/>
            </w:pPr>
            <w:r w:rsidRPr="00DB55F7">
              <w:rPr>
                <w:b/>
                <w:bCs/>
              </w:rPr>
              <w:t>96493</w:t>
            </w:r>
          </w:p>
        </w:tc>
        <w:tc>
          <w:tcPr>
            <w:tcW w:w="1440" w:type="dxa"/>
          </w:tcPr>
          <w:p w:rsidR="00DB55F7" w:rsidRPr="00DB55F7" w:rsidRDefault="00DB55F7" w:rsidP="00DB55F7">
            <w:pPr>
              <w:overflowPunct/>
              <w:autoSpaceDE/>
              <w:autoSpaceDN/>
              <w:adjustRightInd/>
              <w:ind w:right="-720"/>
              <w:textAlignment w:val="auto"/>
            </w:pPr>
          </w:p>
        </w:tc>
      </w:tr>
    </w:tbl>
    <w:p w:rsidR="00DB55F7" w:rsidRPr="00DB55F7" w:rsidRDefault="00DB55F7">
      <w:pPr>
        <w:widowControl w:val="0"/>
      </w:pPr>
    </w:p>
    <w:p w:rsidR="00DB55F7" w:rsidRPr="00DB55F7" w:rsidRDefault="00DB55F7" w:rsidP="00DB55F7">
      <w:pPr>
        <w:pStyle w:val="VBAbodytext0"/>
        <w:rPr>
          <w:sz w:val="20"/>
          <w:szCs w:val="20"/>
        </w:rPr>
      </w:pPr>
      <w:r w:rsidRPr="00DB55F7">
        <w:rPr>
          <w:sz w:val="20"/>
          <w:szCs w:val="20"/>
        </w:rPr>
        <w:t xml:space="preserve">MPSA was created in 1980 and date prior to its creation was maintained by the individual services.  The data received by MPSA from the branches was not always complete; therefore, additional addresses may exist.   Military Postal History Society, a private organization, as being located in Vietnam, has identified the following Navy addresses.  These addresses cannot by verified by MPSA, however, MPSA cannot state that they were </w:t>
      </w:r>
      <w:r w:rsidRPr="00DB55F7">
        <w:rPr>
          <w:i/>
          <w:iCs/>
          <w:sz w:val="20"/>
          <w:szCs w:val="20"/>
        </w:rPr>
        <w:t>not</w:t>
      </w:r>
      <w:r w:rsidRPr="00DB55F7">
        <w:rPr>
          <w:sz w:val="20"/>
          <w:szCs w:val="20"/>
        </w:rPr>
        <w:t xml:space="preserve"> in Vietnam.  These will most likely appear as </w:t>
      </w:r>
      <w:r w:rsidRPr="00DB55F7">
        <w:rPr>
          <w:b/>
          <w:bCs/>
          <w:sz w:val="20"/>
          <w:szCs w:val="20"/>
        </w:rPr>
        <w:t>FPO</w:t>
      </w:r>
      <w:r w:rsidRPr="00DB55F7">
        <w:rPr>
          <w:sz w:val="20"/>
          <w:szCs w:val="20"/>
        </w:rPr>
        <w:t xml:space="preserve"> (Fleet Post Office) or “Navy Br.</w:t>
      </w:r>
      <w:r w:rsidR="001946CC">
        <w:rPr>
          <w:sz w:val="20"/>
          <w:szCs w:val="20"/>
        </w:rPr>
        <w:t>,”</w:t>
      </w:r>
      <w:r w:rsidRPr="00DB55F7">
        <w:rPr>
          <w:sz w:val="20"/>
          <w:szCs w:val="20"/>
        </w:rPr>
        <w:t xml:space="preserve"> rather than APO.</w:t>
      </w:r>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1350"/>
        <w:gridCol w:w="990"/>
        <w:gridCol w:w="1080"/>
        <w:gridCol w:w="1710"/>
        <w:gridCol w:w="1440"/>
        <w:gridCol w:w="900"/>
      </w:tblGrid>
      <w:tr w:rsidR="00DB55F7" w:rsidRPr="00DB55F7" w:rsidTr="00DB55F7">
        <w:trPr>
          <w:trHeight w:val="269"/>
        </w:trPr>
        <w:tc>
          <w:tcPr>
            <w:tcW w:w="1440" w:type="dxa"/>
          </w:tcPr>
          <w:p w:rsidR="00DB55F7" w:rsidRPr="00DB55F7" w:rsidRDefault="00DB55F7" w:rsidP="00DB55F7">
            <w:pPr>
              <w:overflowPunct/>
              <w:autoSpaceDE/>
              <w:autoSpaceDN/>
              <w:adjustRightInd/>
              <w:ind w:right="-720"/>
              <w:jc w:val="both"/>
              <w:textAlignment w:val="auto"/>
              <w:rPr>
                <w:b/>
                <w:bCs/>
              </w:rPr>
            </w:pPr>
            <w:r w:rsidRPr="00DB55F7">
              <w:t> </w:t>
            </w:r>
            <w:r w:rsidRPr="00DB55F7">
              <w:rPr>
                <w:b/>
                <w:bCs/>
              </w:rPr>
              <w:t>150</w:t>
            </w:r>
          </w:p>
        </w:tc>
        <w:tc>
          <w:tcPr>
            <w:tcW w:w="1350" w:type="dxa"/>
          </w:tcPr>
          <w:p w:rsidR="00DB55F7" w:rsidRPr="00DB55F7" w:rsidRDefault="00DB55F7" w:rsidP="00DB55F7">
            <w:pPr>
              <w:overflowPunct/>
              <w:autoSpaceDE/>
              <w:autoSpaceDN/>
              <w:adjustRightInd/>
              <w:ind w:right="-720"/>
              <w:jc w:val="both"/>
              <w:textAlignment w:val="auto"/>
              <w:rPr>
                <w:b/>
                <w:bCs/>
              </w:rPr>
            </w:pPr>
            <w:r w:rsidRPr="00DB55F7">
              <w:rPr>
                <w:b/>
                <w:bCs/>
              </w:rPr>
              <w:t>955</w:t>
            </w:r>
          </w:p>
        </w:tc>
        <w:tc>
          <w:tcPr>
            <w:tcW w:w="990" w:type="dxa"/>
          </w:tcPr>
          <w:p w:rsidR="00DB55F7" w:rsidRPr="00DB55F7" w:rsidRDefault="00DB55F7" w:rsidP="00DB55F7">
            <w:pPr>
              <w:overflowPunct/>
              <w:autoSpaceDE/>
              <w:autoSpaceDN/>
              <w:adjustRightInd/>
              <w:ind w:right="-720"/>
              <w:jc w:val="both"/>
              <w:textAlignment w:val="auto"/>
              <w:rPr>
                <w:b/>
                <w:bCs/>
              </w:rPr>
            </w:pPr>
            <w:r w:rsidRPr="00DB55F7">
              <w:rPr>
                <w:b/>
                <w:bCs/>
              </w:rPr>
              <w:t>17041</w:t>
            </w:r>
          </w:p>
        </w:tc>
        <w:tc>
          <w:tcPr>
            <w:tcW w:w="1080" w:type="dxa"/>
          </w:tcPr>
          <w:p w:rsidR="00DB55F7" w:rsidRPr="00DB55F7" w:rsidRDefault="00DB55F7" w:rsidP="00DB55F7">
            <w:pPr>
              <w:overflowPunct/>
              <w:autoSpaceDE/>
              <w:autoSpaceDN/>
              <w:adjustRightInd/>
              <w:ind w:right="-720"/>
              <w:jc w:val="both"/>
              <w:textAlignment w:val="auto"/>
              <w:rPr>
                <w:b/>
                <w:bCs/>
              </w:rPr>
            </w:pPr>
            <w:r w:rsidRPr="00DB55F7">
              <w:rPr>
                <w:b/>
                <w:bCs/>
              </w:rPr>
              <w:t>17090</w:t>
            </w:r>
          </w:p>
        </w:tc>
        <w:tc>
          <w:tcPr>
            <w:tcW w:w="1710" w:type="dxa"/>
          </w:tcPr>
          <w:p w:rsidR="00DB55F7" w:rsidRPr="00DB55F7" w:rsidRDefault="00DB55F7" w:rsidP="00DB55F7">
            <w:pPr>
              <w:overflowPunct/>
              <w:autoSpaceDE/>
              <w:autoSpaceDN/>
              <w:adjustRightInd/>
              <w:ind w:right="-720"/>
              <w:jc w:val="both"/>
              <w:textAlignment w:val="auto"/>
              <w:rPr>
                <w:b/>
                <w:bCs/>
              </w:rPr>
            </w:pPr>
            <w:r w:rsidRPr="00DB55F7">
              <w:rPr>
                <w:b/>
                <w:bCs/>
              </w:rPr>
              <w:t xml:space="preserve">17095     </w:t>
            </w:r>
          </w:p>
        </w:tc>
        <w:tc>
          <w:tcPr>
            <w:tcW w:w="1440" w:type="dxa"/>
          </w:tcPr>
          <w:p w:rsidR="00DB55F7" w:rsidRPr="00DB55F7" w:rsidRDefault="00DB55F7" w:rsidP="00DB55F7">
            <w:pPr>
              <w:overflowPunct/>
              <w:autoSpaceDE/>
              <w:autoSpaceDN/>
              <w:adjustRightInd/>
              <w:ind w:right="-720"/>
              <w:jc w:val="both"/>
              <w:textAlignment w:val="auto"/>
              <w:rPr>
                <w:b/>
                <w:bCs/>
              </w:rPr>
            </w:pPr>
            <w:r w:rsidRPr="00DB55F7">
              <w:rPr>
                <w:b/>
                <w:bCs/>
              </w:rPr>
              <w:t>17115</w:t>
            </w:r>
          </w:p>
        </w:tc>
        <w:tc>
          <w:tcPr>
            <w:tcW w:w="900" w:type="dxa"/>
          </w:tcPr>
          <w:p w:rsidR="00DB55F7" w:rsidRPr="00DB55F7" w:rsidRDefault="00DB55F7" w:rsidP="00DB55F7">
            <w:pPr>
              <w:overflowPunct/>
              <w:autoSpaceDE/>
              <w:autoSpaceDN/>
              <w:adjustRightInd/>
              <w:ind w:right="-720"/>
              <w:jc w:val="both"/>
              <w:textAlignment w:val="auto"/>
              <w:rPr>
                <w:b/>
                <w:bCs/>
              </w:rPr>
            </w:pPr>
            <w:r w:rsidRPr="00DB55F7">
              <w:rPr>
                <w:b/>
                <w:bCs/>
              </w:rPr>
              <w:t>96220</w:t>
            </w:r>
          </w:p>
        </w:tc>
      </w:tr>
      <w:tr w:rsidR="00DB55F7" w:rsidRPr="00DB55F7" w:rsidTr="00DB55F7">
        <w:tc>
          <w:tcPr>
            <w:tcW w:w="1440" w:type="dxa"/>
          </w:tcPr>
          <w:p w:rsidR="00DB55F7" w:rsidRPr="00DB55F7" w:rsidRDefault="00DB55F7" w:rsidP="00DB55F7">
            <w:pPr>
              <w:overflowPunct/>
              <w:autoSpaceDE/>
              <w:autoSpaceDN/>
              <w:adjustRightInd/>
              <w:jc w:val="both"/>
              <w:textAlignment w:val="auto"/>
              <w:rPr>
                <w:b/>
                <w:bCs/>
              </w:rPr>
            </w:pPr>
            <w:r w:rsidRPr="00DB55F7">
              <w:rPr>
                <w:b/>
                <w:bCs/>
              </w:rPr>
              <w:t>96621</w:t>
            </w:r>
          </w:p>
        </w:tc>
        <w:tc>
          <w:tcPr>
            <w:tcW w:w="1350" w:type="dxa"/>
          </w:tcPr>
          <w:p w:rsidR="00DB55F7" w:rsidRPr="00DB55F7" w:rsidRDefault="00DB55F7" w:rsidP="00DB55F7">
            <w:pPr>
              <w:overflowPunct/>
              <w:autoSpaceDE/>
              <w:autoSpaceDN/>
              <w:adjustRightInd/>
              <w:jc w:val="both"/>
              <w:textAlignment w:val="auto"/>
              <w:rPr>
                <w:b/>
                <w:bCs/>
              </w:rPr>
            </w:pPr>
            <w:r w:rsidRPr="00DB55F7">
              <w:rPr>
                <w:b/>
                <w:bCs/>
              </w:rPr>
              <w:t>96622</w:t>
            </w:r>
          </w:p>
        </w:tc>
        <w:tc>
          <w:tcPr>
            <w:tcW w:w="990" w:type="dxa"/>
          </w:tcPr>
          <w:p w:rsidR="00DB55F7" w:rsidRPr="00DB55F7" w:rsidRDefault="00DB55F7" w:rsidP="00DB55F7">
            <w:pPr>
              <w:overflowPunct/>
              <w:autoSpaceDE/>
              <w:autoSpaceDN/>
              <w:adjustRightInd/>
              <w:jc w:val="both"/>
              <w:textAlignment w:val="auto"/>
              <w:rPr>
                <w:b/>
                <w:bCs/>
              </w:rPr>
            </w:pPr>
            <w:r w:rsidRPr="00DB55F7">
              <w:rPr>
                <w:b/>
                <w:bCs/>
              </w:rPr>
              <w:t>96623</w:t>
            </w:r>
          </w:p>
        </w:tc>
        <w:tc>
          <w:tcPr>
            <w:tcW w:w="1080" w:type="dxa"/>
          </w:tcPr>
          <w:p w:rsidR="00DB55F7" w:rsidRPr="00DB55F7" w:rsidRDefault="00DB55F7" w:rsidP="00DB55F7">
            <w:pPr>
              <w:overflowPunct/>
              <w:autoSpaceDE/>
              <w:autoSpaceDN/>
              <w:adjustRightInd/>
              <w:jc w:val="both"/>
              <w:textAlignment w:val="auto"/>
              <w:rPr>
                <w:b/>
                <w:bCs/>
              </w:rPr>
            </w:pPr>
            <w:r w:rsidRPr="00DB55F7">
              <w:rPr>
                <w:b/>
                <w:bCs/>
              </w:rPr>
              <w:t>96624</w:t>
            </w:r>
          </w:p>
        </w:tc>
        <w:tc>
          <w:tcPr>
            <w:tcW w:w="1710" w:type="dxa"/>
          </w:tcPr>
          <w:p w:rsidR="00DB55F7" w:rsidRPr="00DB55F7" w:rsidRDefault="00DB55F7" w:rsidP="00DB55F7">
            <w:pPr>
              <w:overflowPunct/>
              <w:autoSpaceDE/>
              <w:autoSpaceDN/>
              <w:adjustRightInd/>
              <w:jc w:val="both"/>
              <w:textAlignment w:val="auto"/>
              <w:rPr>
                <w:b/>
                <w:bCs/>
              </w:rPr>
            </w:pPr>
            <w:r w:rsidRPr="00DB55F7">
              <w:rPr>
                <w:b/>
                <w:bCs/>
              </w:rPr>
              <w:t>96625</w:t>
            </w:r>
          </w:p>
        </w:tc>
        <w:tc>
          <w:tcPr>
            <w:tcW w:w="1440" w:type="dxa"/>
          </w:tcPr>
          <w:p w:rsidR="00DB55F7" w:rsidRPr="00DB55F7" w:rsidRDefault="00DB55F7" w:rsidP="00DB55F7">
            <w:pPr>
              <w:overflowPunct/>
              <w:autoSpaceDE/>
              <w:autoSpaceDN/>
              <w:adjustRightInd/>
              <w:jc w:val="both"/>
              <w:textAlignment w:val="auto"/>
              <w:rPr>
                <w:b/>
                <w:bCs/>
              </w:rPr>
            </w:pPr>
            <w:r w:rsidRPr="00DB55F7">
              <w:rPr>
                <w:b/>
                <w:bCs/>
              </w:rPr>
              <w:t>96626</w:t>
            </w:r>
          </w:p>
        </w:tc>
        <w:tc>
          <w:tcPr>
            <w:tcW w:w="900" w:type="dxa"/>
          </w:tcPr>
          <w:p w:rsidR="00DB55F7" w:rsidRPr="00DB55F7" w:rsidRDefault="00DB55F7" w:rsidP="00DB55F7">
            <w:pPr>
              <w:overflowPunct/>
              <w:autoSpaceDE/>
              <w:autoSpaceDN/>
              <w:adjustRightInd/>
              <w:jc w:val="both"/>
              <w:textAlignment w:val="auto"/>
              <w:rPr>
                <w:b/>
                <w:bCs/>
              </w:rPr>
            </w:pPr>
            <w:r w:rsidRPr="00DB55F7">
              <w:rPr>
                <w:b/>
                <w:bCs/>
              </w:rPr>
              <w:t>96627</w:t>
            </w:r>
          </w:p>
        </w:tc>
      </w:tr>
      <w:tr w:rsidR="00DB55F7" w:rsidRPr="00DB55F7" w:rsidTr="00DB55F7">
        <w:tc>
          <w:tcPr>
            <w:tcW w:w="1440" w:type="dxa"/>
          </w:tcPr>
          <w:p w:rsidR="00DB55F7" w:rsidRPr="00DB55F7" w:rsidRDefault="00DB55F7" w:rsidP="00DB55F7">
            <w:pPr>
              <w:jc w:val="both"/>
              <w:textAlignment w:val="auto"/>
              <w:rPr>
                <w:b/>
                <w:bCs/>
              </w:rPr>
            </w:pPr>
            <w:r w:rsidRPr="00DB55F7">
              <w:rPr>
                <w:b/>
                <w:bCs/>
              </w:rPr>
              <w:t>96628</w:t>
            </w:r>
          </w:p>
        </w:tc>
        <w:tc>
          <w:tcPr>
            <w:tcW w:w="1350" w:type="dxa"/>
          </w:tcPr>
          <w:p w:rsidR="00DB55F7" w:rsidRPr="00DB55F7" w:rsidRDefault="00DB55F7" w:rsidP="00DB55F7">
            <w:pPr>
              <w:jc w:val="both"/>
              <w:textAlignment w:val="auto"/>
              <w:rPr>
                <w:b/>
                <w:bCs/>
              </w:rPr>
            </w:pPr>
            <w:r w:rsidRPr="00DB55F7">
              <w:rPr>
                <w:b/>
                <w:bCs/>
              </w:rPr>
              <w:t>96629</w:t>
            </w:r>
          </w:p>
        </w:tc>
        <w:tc>
          <w:tcPr>
            <w:tcW w:w="990" w:type="dxa"/>
          </w:tcPr>
          <w:p w:rsidR="00DB55F7" w:rsidRPr="00DB55F7" w:rsidRDefault="00DB55F7" w:rsidP="00DB55F7">
            <w:pPr>
              <w:jc w:val="both"/>
              <w:textAlignment w:val="auto"/>
              <w:rPr>
                <w:b/>
                <w:bCs/>
              </w:rPr>
            </w:pPr>
            <w:r w:rsidRPr="00DB55F7">
              <w:rPr>
                <w:b/>
                <w:bCs/>
              </w:rPr>
              <w:t>96638</w:t>
            </w:r>
          </w:p>
        </w:tc>
        <w:tc>
          <w:tcPr>
            <w:tcW w:w="1080" w:type="dxa"/>
          </w:tcPr>
          <w:p w:rsidR="00DB55F7" w:rsidRPr="00DB55F7" w:rsidRDefault="00DB55F7" w:rsidP="00DB55F7">
            <w:pPr>
              <w:jc w:val="both"/>
              <w:textAlignment w:val="auto"/>
              <w:rPr>
                <w:b/>
                <w:bCs/>
              </w:rPr>
            </w:pPr>
            <w:r w:rsidRPr="00DB55F7">
              <w:rPr>
                <w:b/>
                <w:bCs/>
              </w:rPr>
              <w:t>96639</w:t>
            </w:r>
          </w:p>
        </w:tc>
        <w:tc>
          <w:tcPr>
            <w:tcW w:w="1710" w:type="dxa"/>
          </w:tcPr>
          <w:p w:rsidR="00DB55F7" w:rsidRPr="00DB55F7" w:rsidRDefault="00DB55F7" w:rsidP="00DB55F7">
            <w:pPr>
              <w:jc w:val="both"/>
              <w:textAlignment w:val="auto"/>
              <w:rPr>
                <w:b/>
                <w:bCs/>
              </w:rPr>
            </w:pPr>
            <w:r w:rsidRPr="00DB55F7">
              <w:rPr>
                <w:b/>
                <w:bCs/>
              </w:rPr>
              <w:t>96641</w:t>
            </w:r>
          </w:p>
        </w:tc>
        <w:tc>
          <w:tcPr>
            <w:tcW w:w="1440" w:type="dxa"/>
          </w:tcPr>
          <w:p w:rsidR="00DB55F7" w:rsidRPr="00DB55F7" w:rsidRDefault="00DB55F7" w:rsidP="00DB55F7">
            <w:pPr>
              <w:jc w:val="both"/>
              <w:textAlignment w:val="auto"/>
              <w:rPr>
                <w:b/>
                <w:bCs/>
              </w:rPr>
            </w:pPr>
            <w:r w:rsidRPr="00DB55F7">
              <w:rPr>
                <w:b/>
                <w:bCs/>
              </w:rPr>
              <w:t>96647</w:t>
            </w:r>
          </w:p>
        </w:tc>
        <w:tc>
          <w:tcPr>
            <w:tcW w:w="900" w:type="dxa"/>
          </w:tcPr>
          <w:p w:rsidR="00DB55F7" w:rsidRPr="00DB55F7" w:rsidRDefault="00DB55F7" w:rsidP="00DB55F7">
            <w:pPr>
              <w:jc w:val="both"/>
              <w:textAlignment w:val="auto"/>
              <w:rPr>
                <w:b/>
                <w:bCs/>
              </w:rPr>
            </w:pPr>
            <w:r w:rsidRPr="00DB55F7">
              <w:rPr>
                <w:b/>
                <w:bCs/>
              </w:rPr>
              <w:t>96648</w:t>
            </w:r>
          </w:p>
        </w:tc>
      </w:tr>
      <w:tr w:rsidR="00DB55F7" w:rsidRPr="00DB55F7" w:rsidTr="00DB55F7">
        <w:tc>
          <w:tcPr>
            <w:tcW w:w="1440" w:type="dxa"/>
          </w:tcPr>
          <w:p w:rsidR="00DB55F7" w:rsidRPr="00DB55F7" w:rsidRDefault="00DB55F7" w:rsidP="00DB55F7">
            <w:pPr>
              <w:jc w:val="both"/>
              <w:textAlignment w:val="auto"/>
              <w:rPr>
                <w:b/>
                <w:bCs/>
              </w:rPr>
            </w:pPr>
            <w:r w:rsidRPr="00DB55F7">
              <w:rPr>
                <w:b/>
                <w:bCs/>
              </w:rPr>
              <w:t>96694</w:t>
            </w:r>
          </w:p>
        </w:tc>
        <w:tc>
          <w:tcPr>
            <w:tcW w:w="1350" w:type="dxa"/>
          </w:tcPr>
          <w:p w:rsidR="00DB55F7" w:rsidRPr="00DB55F7" w:rsidRDefault="00DB55F7" w:rsidP="00DB55F7">
            <w:pPr>
              <w:jc w:val="both"/>
              <w:textAlignment w:val="auto"/>
              <w:rPr>
                <w:b/>
                <w:bCs/>
              </w:rPr>
            </w:pPr>
            <w:r w:rsidRPr="00DB55F7">
              <w:rPr>
                <w:b/>
                <w:bCs/>
              </w:rPr>
              <w:t>96695</w:t>
            </w:r>
          </w:p>
        </w:tc>
        <w:tc>
          <w:tcPr>
            <w:tcW w:w="990" w:type="dxa"/>
          </w:tcPr>
          <w:p w:rsidR="00DB55F7" w:rsidRPr="00DB55F7" w:rsidRDefault="00DB55F7" w:rsidP="00DB55F7">
            <w:pPr>
              <w:jc w:val="both"/>
              <w:textAlignment w:val="auto"/>
              <w:rPr>
                <w:b/>
                <w:bCs/>
              </w:rPr>
            </w:pPr>
            <w:r w:rsidRPr="00DB55F7">
              <w:rPr>
                <w:b/>
                <w:bCs/>
              </w:rPr>
              <w:t>96696</w:t>
            </w:r>
          </w:p>
        </w:tc>
        <w:tc>
          <w:tcPr>
            <w:tcW w:w="1080" w:type="dxa"/>
          </w:tcPr>
          <w:p w:rsidR="00DB55F7" w:rsidRPr="00DB55F7" w:rsidRDefault="00DB55F7" w:rsidP="00DB55F7">
            <w:pPr>
              <w:jc w:val="both"/>
              <w:textAlignment w:val="auto"/>
              <w:rPr>
                <w:b/>
                <w:bCs/>
              </w:rPr>
            </w:pPr>
          </w:p>
        </w:tc>
        <w:tc>
          <w:tcPr>
            <w:tcW w:w="1710" w:type="dxa"/>
          </w:tcPr>
          <w:p w:rsidR="00DB55F7" w:rsidRPr="00DB55F7" w:rsidRDefault="00DB55F7" w:rsidP="00DB55F7">
            <w:pPr>
              <w:jc w:val="both"/>
              <w:textAlignment w:val="auto"/>
              <w:rPr>
                <w:b/>
                <w:bCs/>
              </w:rPr>
            </w:pPr>
          </w:p>
        </w:tc>
        <w:tc>
          <w:tcPr>
            <w:tcW w:w="1440" w:type="dxa"/>
          </w:tcPr>
          <w:p w:rsidR="00DB55F7" w:rsidRPr="00DB55F7" w:rsidRDefault="00DB55F7" w:rsidP="00DB55F7">
            <w:pPr>
              <w:jc w:val="both"/>
              <w:textAlignment w:val="auto"/>
              <w:rPr>
                <w:b/>
                <w:bCs/>
              </w:rPr>
            </w:pPr>
          </w:p>
        </w:tc>
        <w:tc>
          <w:tcPr>
            <w:tcW w:w="900" w:type="dxa"/>
          </w:tcPr>
          <w:p w:rsidR="00DB55F7" w:rsidRPr="00DB55F7" w:rsidRDefault="00DB55F7" w:rsidP="00DB55F7">
            <w:pPr>
              <w:jc w:val="both"/>
              <w:textAlignment w:val="auto"/>
              <w:rPr>
                <w:b/>
                <w:bCs/>
              </w:rPr>
            </w:pPr>
          </w:p>
        </w:tc>
      </w:tr>
    </w:tbl>
    <w:p w:rsidR="00DB55F7" w:rsidRDefault="00DB55F7">
      <w:pPr>
        <w:widowControl w:val="0"/>
      </w:pPr>
    </w:p>
    <w:p w:rsidR="008D0673" w:rsidRPr="008D0673" w:rsidRDefault="008D0673">
      <w:pPr>
        <w:widowControl w:val="0"/>
      </w:pPr>
    </w:p>
    <w:p w:rsidR="008D0673" w:rsidRPr="008D0673" w:rsidRDefault="008D0673" w:rsidP="008D0673">
      <w:pPr>
        <w:pStyle w:val="VBAbodytext0"/>
        <w:spacing w:before="0" w:after="120"/>
        <w:rPr>
          <w:sz w:val="20"/>
          <w:szCs w:val="20"/>
        </w:rPr>
      </w:pPr>
      <w:r w:rsidRPr="008D0673">
        <w:rPr>
          <w:sz w:val="20"/>
          <w:szCs w:val="20"/>
        </w:rPr>
        <w:t>Agent Orange and other herbicides used in Vietnam were tested or stored elsewhere, including many military bases in the United States. Below is information from the Department of Defense (DoD) on projects to test, dispose of, or store herbicides in the U.S.</w:t>
      </w:r>
    </w:p>
    <w:p w:rsidR="008D0673" w:rsidRPr="008D0673" w:rsidRDefault="008D0673" w:rsidP="008D0673">
      <w:pPr>
        <w:pStyle w:val="VBAbodytext0"/>
        <w:spacing w:before="0" w:after="120"/>
        <w:rPr>
          <w:sz w:val="20"/>
          <w:szCs w:val="20"/>
        </w:rPr>
      </w:pPr>
      <w:r w:rsidRPr="008D0673">
        <w:rPr>
          <w:rStyle w:val="Strong"/>
          <w:bCs w:val="0"/>
          <w:sz w:val="20"/>
          <w:szCs w:val="20"/>
        </w:rPr>
        <w:t>In the U.S.</w:t>
      </w:r>
      <w:r w:rsidRPr="008D0673">
        <w:rPr>
          <w:sz w:val="20"/>
          <w:szCs w:val="20"/>
        </w:rPr>
        <w:t>:</w:t>
      </w:r>
      <w:r w:rsidRPr="008D0673">
        <w:rPr>
          <w:b/>
          <w:bCs/>
          <w:sz w:val="20"/>
          <w:szCs w:val="20"/>
        </w:rPr>
        <w:t xml:space="preserve"> </w:t>
      </w:r>
      <w:r w:rsidRPr="008D0673">
        <w:rPr>
          <w:sz w:val="20"/>
          <w:szCs w:val="20"/>
        </w:rPr>
        <w:t xml:space="preserve">Alaska| Arizona | California | Florida | Georgia| Hawaii| Indiana | Kansas | Kentucky |Maryland | </w:t>
      </w:r>
      <w:hyperlink r:id="rId412" w:anchor="Mississippi" w:tgtFrame="_self" w:tooltip="Mississippi" w:history="1">
        <w:r w:rsidRPr="008D0673">
          <w:rPr>
            <w:rStyle w:val="Hyperlink"/>
            <w:sz w:val="20"/>
            <w:szCs w:val="20"/>
          </w:rPr>
          <w:t>Mississippi</w:t>
        </w:r>
      </w:hyperlink>
      <w:r w:rsidRPr="008D0673">
        <w:rPr>
          <w:sz w:val="20"/>
          <w:szCs w:val="20"/>
        </w:rPr>
        <w:t xml:space="preserve"> | Montana | N</w:t>
      </w:r>
      <w:hyperlink r:id="rId413" w:anchor="New_York" w:tgtFrame="_self" w:tooltip="New York" w:history="1">
        <w:r w:rsidRPr="008D0673">
          <w:rPr>
            <w:rStyle w:val="Hyperlink"/>
            <w:sz w:val="20"/>
            <w:szCs w:val="20"/>
          </w:rPr>
          <w:t>ew</w:t>
        </w:r>
      </w:hyperlink>
      <w:r w:rsidRPr="008D0673">
        <w:rPr>
          <w:sz w:val="20"/>
          <w:szCs w:val="20"/>
        </w:rPr>
        <w:t xml:space="preserve"> York | North Dakota | Pennsylvania | Rhode Island | Tennessee | Texas | Utah | Washington | Wisconsin</w:t>
      </w:r>
    </w:p>
    <w:p w:rsidR="008D0673" w:rsidRPr="008D0673" w:rsidRDefault="008D0673" w:rsidP="008D0673">
      <w:pPr>
        <w:pStyle w:val="VBAbodytext0"/>
        <w:spacing w:before="0" w:after="120"/>
        <w:rPr>
          <w:sz w:val="20"/>
          <w:szCs w:val="20"/>
        </w:rPr>
      </w:pPr>
      <w:r w:rsidRPr="008D0673">
        <w:rPr>
          <w:sz w:val="20"/>
          <w:szCs w:val="20"/>
        </w:rPr>
        <w:t>Many Veterans have submitted claims alleging exposure to Agent Orange in Thailand.  The Air force operated a number of large bases in Thailand during the Vietnam War, and veterans who were stationed there are not eligible for presumption on “in-country” Vietnam status unless they can establish that they actually set foot in Vietnam.  See FL</w:t>
      </w:r>
      <w:r w:rsidR="00540451">
        <w:rPr>
          <w:sz w:val="20"/>
          <w:szCs w:val="20"/>
        </w:rPr>
        <w:t xml:space="preserve"> </w:t>
      </w:r>
      <w:r w:rsidRPr="008D0673">
        <w:rPr>
          <w:sz w:val="20"/>
          <w:szCs w:val="20"/>
        </w:rPr>
        <w:t>09-20.</w:t>
      </w:r>
    </w:p>
    <w:p w:rsidR="008D0673" w:rsidRPr="008D0673" w:rsidRDefault="008D0673" w:rsidP="008D0673">
      <w:pPr>
        <w:pStyle w:val="VBAbodytext0"/>
        <w:spacing w:before="0" w:after="120"/>
        <w:rPr>
          <w:sz w:val="20"/>
          <w:szCs w:val="20"/>
        </w:rPr>
      </w:pPr>
      <w:r w:rsidRPr="008D0673">
        <w:rPr>
          <w:sz w:val="20"/>
          <w:szCs w:val="20"/>
        </w:rPr>
        <w:t xml:space="preserve">If a veteran claims exposure based on their occupation, then the important thing to remember regarding these type claims is that they are currently being verified by submitting inquires to the C&amp;P Agent Orange Mailbox.  However, Regional office can also use their JRRSC coordinators to verify claims of this nature.  </w:t>
      </w:r>
    </w:p>
    <w:p w:rsidR="008D0673" w:rsidRDefault="008D0673" w:rsidP="008D0673">
      <w:pPr>
        <w:spacing w:after="120"/>
        <w:rPr>
          <w:b/>
          <w:bCs/>
          <w:i/>
          <w:iCs/>
          <w:shd w:val="clear" w:color="auto" w:fill="FF9900"/>
        </w:rPr>
      </w:pPr>
      <w:r w:rsidRPr="008D0673">
        <w:rPr>
          <w:b/>
          <w:bCs/>
          <w:i/>
          <w:iCs/>
          <w:shd w:val="clear" w:color="auto" w:fill="FF9900"/>
        </w:rPr>
        <w:t>NOTE:  No aircraft based in Thailand sprayed herbicide in Thailand or Vietnam</w:t>
      </w:r>
    </w:p>
    <w:p w:rsidR="00456D69" w:rsidRDefault="00456D69" w:rsidP="00F063AF">
      <w:pPr>
        <w:pStyle w:val="ListParagraph"/>
        <w:widowControl w:val="0"/>
        <w:numPr>
          <w:ilvl w:val="2"/>
          <w:numId w:val="117"/>
        </w:numPr>
        <w:tabs>
          <w:tab w:val="clear" w:pos="2140"/>
          <w:tab w:val="num" w:pos="360"/>
          <w:tab w:val="num" w:pos="720"/>
        </w:tabs>
        <w:spacing w:after="120" w:line="240" w:lineRule="auto"/>
        <w:ind w:left="360"/>
        <w:rPr>
          <w:rFonts w:ascii="Arial" w:hAnsi="Arial"/>
          <w:sz w:val="20"/>
          <w:szCs w:val="20"/>
        </w:rPr>
      </w:pPr>
      <w:r w:rsidRPr="00DB3FEA">
        <w:rPr>
          <w:rFonts w:ascii="Arial" w:hAnsi="Arial"/>
          <w:b/>
          <w:sz w:val="20"/>
          <w:szCs w:val="20"/>
        </w:rPr>
        <w:t>IV.ii.1.H.2.e</w:t>
      </w:r>
      <w:r w:rsidR="00DB3FEA">
        <w:rPr>
          <w:rFonts w:ascii="Arial" w:hAnsi="Arial"/>
          <w:sz w:val="20"/>
          <w:szCs w:val="20"/>
        </w:rPr>
        <w:t xml:space="preserve"> -</w:t>
      </w:r>
      <w:r w:rsidR="000D5145">
        <w:rPr>
          <w:rFonts w:ascii="Arial" w:hAnsi="Arial"/>
          <w:sz w:val="20"/>
          <w:szCs w:val="20"/>
        </w:rPr>
        <w:t xml:space="preserve"> changed 4/29/16, </w:t>
      </w:r>
      <w:r>
        <w:rPr>
          <w:rFonts w:ascii="Arial" w:hAnsi="Arial"/>
          <w:sz w:val="20"/>
          <w:szCs w:val="20"/>
        </w:rPr>
        <w:t>add “Blue Water Navy” flash &amp; establish EP 409 for claims based on service aboard ships on the RVN’s offshore waters or inland waterways</w:t>
      </w:r>
    </w:p>
    <w:p w:rsidR="00486F45" w:rsidRPr="000F25C9" w:rsidRDefault="00D571C5" w:rsidP="00F063AF">
      <w:pPr>
        <w:pStyle w:val="ListParagraph"/>
        <w:widowControl w:val="0"/>
        <w:numPr>
          <w:ilvl w:val="2"/>
          <w:numId w:val="117"/>
        </w:numPr>
        <w:tabs>
          <w:tab w:val="clear" w:pos="2140"/>
          <w:tab w:val="num" w:pos="360"/>
          <w:tab w:val="num" w:pos="720"/>
        </w:tabs>
        <w:spacing w:after="120" w:line="240" w:lineRule="auto"/>
        <w:ind w:left="360"/>
        <w:rPr>
          <w:rFonts w:ascii="Arial" w:hAnsi="Arial"/>
          <w:sz w:val="20"/>
          <w:szCs w:val="20"/>
        </w:rPr>
      </w:pPr>
      <w:hyperlink r:id="rId414" w:history="1">
        <w:r w:rsidR="00D56556" w:rsidRPr="00E3629B">
          <w:rPr>
            <w:rStyle w:val="Hyperlink"/>
            <w:rFonts w:ascii="Arial" w:hAnsi="Arial"/>
            <w:b/>
            <w:bCs/>
            <w:sz w:val="20"/>
            <w:szCs w:val="20"/>
          </w:rPr>
          <w:t>Vietnam Era Navy Ship Agent Orange Exposure Development Site</w:t>
        </w:r>
      </w:hyperlink>
      <w:r w:rsidR="00D56556" w:rsidRPr="00E3629B">
        <w:rPr>
          <w:rFonts w:ascii="Arial" w:hAnsi="Arial"/>
          <w:sz w:val="20"/>
          <w:szCs w:val="20"/>
        </w:rPr>
        <w:t xml:space="preserve">, </w:t>
      </w:r>
      <w:r w:rsidR="00D56556" w:rsidRPr="00646A47">
        <w:rPr>
          <w:rFonts w:ascii="Arial" w:hAnsi="Arial"/>
          <w:sz w:val="20"/>
          <w:szCs w:val="20"/>
          <w:highlight w:val="cyan"/>
        </w:rPr>
        <w:t xml:space="preserve">updated </w:t>
      </w:r>
      <w:r w:rsidR="00770E8A">
        <w:rPr>
          <w:rFonts w:ascii="Arial" w:hAnsi="Arial"/>
          <w:b/>
          <w:sz w:val="20"/>
          <w:szCs w:val="20"/>
          <w:highlight w:val="cyan"/>
        </w:rPr>
        <w:t>6/1/18</w:t>
      </w:r>
      <w:r w:rsidR="00D56556" w:rsidRPr="00646A47">
        <w:rPr>
          <w:rFonts w:ascii="Arial" w:hAnsi="Arial"/>
          <w:b/>
          <w:sz w:val="20"/>
          <w:szCs w:val="20"/>
          <w:highlight w:val="cyan"/>
        </w:rPr>
        <w:t xml:space="preserve"> </w:t>
      </w:r>
      <w:r w:rsidR="00D56556" w:rsidRPr="00646A47">
        <w:rPr>
          <w:rFonts w:ascii="Arial" w:hAnsi="Arial"/>
          <w:i/>
          <w:iCs/>
          <w:sz w:val="20"/>
          <w:szCs w:val="20"/>
          <w:highlight w:val="cyan"/>
        </w:rPr>
        <w:t>[see Rating References ARCHIVE for list</w:t>
      </w:r>
      <w:r w:rsidR="000F25C9">
        <w:rPr>
          <w:rFonts w:ascii="Arial" w:hAnsi="Arial"/>
          <w:i/>
          <w:iCs/>
          <w:sz w:val="20"/>
          <w:szCs w:val="20"/>
          <w:highlight w:val="cyan"/>
        </w:rPr>
        <w:t>s</w:t>
      </w:r>
      <w:r w:rsidR="00D56556" w:rsidRPr="00646A47">
        <w:rPr>
          <w:rFonts w:ascii="Arial" w:hAnsi="Arial"/>
          <w:i/>
          <w:iCs/>
          <w:sz w:val="20"/>
          <w:szCs w:val="20"/>
          <w:highlight w:val="cyan"/>
        </w:rPr>
        <w:t xml:space="preserve"> of </w:t>
      </w:r>
      <w:r w:rsidR="000F25C9">
        <w:rPr>
          <w:rFonts w:ascii="Arial" w:hAnsi="Arial"/>
          <w:i/>
          <w:iCs/>
          <w:sz w:val="20"/>
          <w:szCs w:val="20"/>
          <w:highlight w:val="cyan"/>
        </w:rPr>
        <w:t>Navy and Coast Guard Ships Associated with Service in Vietnam and Exposure to Herbicide Agents (</w:t>
      </w:r>
      <w:r w:rsidR="00D56556" w:rsidRPr="00646A47">
        <w:rPr>
          <w:rFonts w:ascii="Arial" w:hAnsi="Arial"/>
          <w:i/>
          <w:iCs/>
          <w:sz w:val="20"/>
          <w:szCs w:val="20"/>
          <w:highlight w:val="cyan"/>
        </w:rPr>
        <w:t>I’m keeping ALL of</w:t>
      </w:r>
      <w:r w:rsidR="00D56556">
        <w:rPr>
          <w:rFonts w:ascii="Arial" w:hAnsi="Arial"/>
          <w:i/>
          <w:iCs/>
          <w:sz w:val="20"/>
          <w:szCs w:val="20"/>
          <w:highlight w:val="cyan"/>
        </w:rPr>
        <w:t xml:space="preserve"> the</w:t>
      </w:r>
      <w:r w:rsidR="00D56556" w:rsidRPr="00646A47">
        <w:rPr>
          <w:rFonts w:ascii="Arial" w:hAnsi="Arial"/>
          <w:i/>
          <w:iCs/>
          <w:sz w:val="20"/>
          <w:szCs w:val="20"/>
          <w:highlight w:val="cyan"/>
        </w:rPr>
        <w:t xml:space="preserve"> lists there</w:t>
      </w:r>
      <w:r w:rsidR="00770E8A">
        <w:rPr>
          <w:rFonts w:ascii="Arial" w:hAnsi="Arial"/>
          <w:i/>
          <w:iCs/>
          <w:sz w:val="20"/>
          <w:szCs w:val="20"/>
          <w:highlight w:val="cyan"/>
        </w:rPr>
        <w:t xml:space="preserve"> with the most recent list highlighted</w:t>
      </w:r>
      <w:r w:rsidR="000F25C9">
        <w:rPr>
          <w:rFonts w:ascii="Arial" w:hAnsi="Arial"/>
          <w:i/>
          <w:iCs/>
          <w:sz w:val="20"/>
          <w:szCs w:val="20"/>
          <w:highlight w:val="cyan"/>
        </w:rPr>
        <w:t>)</w:t>
      </w:r>
      <w:r w:rsidR="00D56556" w:rsidRPr="00646A47">
        <w:rPr>
          <w:rFonts w:ascii="Arial" w:hAnsi="Arial"/>
          <w:i/>
          <w:iCs/>
          <w:sz w:val="20"/>
          <w:szCs w:val="20"/>
          <w:highlight w:val="cyan"/>
        </w:rPr>
        <w:t>]</w:t>
      </w:r>
      <w:r w:rsidR="000F25C9">
        <w:rPr>
          <w:rFonts w:ascii="Arial" w:hAnsi="Arial"/>
          <w:i/>
          <w:iCs/>
          <w:sz w:val="20"/>
          <w:szCs w:val="20"/>
        </w:rPr>
        <w:t xml:space="preserve"> </w:t>
      </w:r>
      <w:r w:rsidR="000F25C9" w:rsidRPr="000F25C9">
        <w:rPr>
          <w:rFonts w:ascii="Arial" w:hAnsi="Arial"/>
          <w:i/>
          <w:iCs/>
          <w:sz w:val="20"/>
          <w:szCs w:val="20"/>
        </w:rPr>
        <w:t>*</w:t>
      </w:r>
      <w:r w:rsidR="000F25C9" w:rsidRPr="000F25C9">
        <w:rPr>
          <w:rFonts w:ascii="Arial" w:hAnsi="Arial"/>
          <w:iCs/>
          <w:sz w:val="20"/>
          <w:szCs w:val="20"/>
        </w:rPr>
        <w:t xml:space="preserve">See </w:t>
      </w:r>
      <w:r w:rsidR="000F25C9" w:rsidRPr="000F25C9">
        <w:rPr>
          <w:rFonts w:ascii="Arial" w:hAnsi="Arial"/>
          <w:b/>
          <w:bCs/>
          <w:sz w:val="20"/>
          <w:szCs w:val="20"/>
        </w:rPr>
        <w:t xml:space="preserve">III.iv.5.C.6.g </w:t>
      </w:r>
      <w:r w:rsidR="000F25C9" w:rsidRPr="000F25C9">
        <w:rPr>
          <w:rFonts w:ascii="Arial" w:hAnsi="Arial"/>
          <w:bCs/>
          <w:sz w:val="20"/>
          <w:szCs w:val="20"/>
        </w:rPr>
        <w:t>for effective dates under 3.156(c)</w:t>
      </w:r>
      <w:r w:rsidR="000F25C9">
        <w:rPr>
          <w:rFonts w:ascii="Arial" w:hAnsi="Arial"/>
          <w:bCs/>
          <w:sz w:val="20"/>
          <w:szCs w:val="20"/>
        </w:rPr>
        <w:t xml:space="preserve"> (can use this list like supplemental STRs if had everything but verification that ship docked</w:t>
      </w:r>
      <w:r w:rsidR="00C274BF">
        <w:rPr>
          <w:rFonts w:ascii="Arial" w:hAnsi="Arial"/>
          <w:bCs/>
          <w:sz w:val="20"/>
          <w:szCs w:val="20"/>
        </w:rPr>
        <w:t xml:space="preserve"> while veteran as aboard</w:t>
      </w:r>
      <w:r w:rsidR="000F25C9">
        <w:rPr>
          <w:rFonts w:ascii="Arial" w:hAnsi="Arial"/>
          <w:bCs/>
          <w:sz w:val="20"/>
          <w:szCs w:val="20"/>
        </w:rPr>
        <w:t>)</w:t>
      </w:r>
    </w:p>
    <w:p w:rsidR="00A97740" w:rsidRDefault="00A97740" w:rsidP="00A97740">
      <w:pPr>
        <w:widowControl w:val="0"/>
        <w:numPr>
          <w:ilvl w:val="12"/>
          <w:numId w:val="0"/>
        </w:numPr>
        <w:pBdr>
          <w:top w:val="single" w:sz="6" w:space="1" w:color="auto"/>
        </w:pBdr>
        <w:spacing w:after="120"/>
        <w:rPr>
          <w:b/>
          <w:bCs/>
          <w:iCs/>
        </w:rPr>
      </w:pPr>
    </w:p>
    <w:p w:rsidR="00A97740" w:rsidRDefault="00A97740" w:rsidP="00A97740">
      <w:pPr>
        <w:widowControl w:val="0"/>
        <w:numPr>
          <w:ilvl w:val="12"/>
          <w:numId w:val="0"/>
        </w:numPr>
        <w:pBdr>
          <w:top w:val="single" w:sz="6" w:space="1" w:color="auto"/>
        </w:pBdr>
        <w:spacing w:after="120"/>
        <w:rPr>
          <w:i/>
        </w:rPr>
      </w:pPr>
      <w:r w:rsidRPr="00A97740">
        <w:rPr>
          <w:b/>
          <w:bCs/>
          <w:iCs/>
          <w:u w:val="single"/>
        </w:rPr>
        <w:t>3.309(f)</w:t>
      </w:r>
      <w:r w:rsidRPr="00A97740">
        <w:rPr>
          <w:b/>
          <w:u w:val="single"/>
        </w:rPr>
        <w:t xml:space="preserve"> </w:t>
      </w:r>
      <w:r>
        <w:rPr>
          <w:b/>
          <w:u w:val="single"/>
        </w:rPr>
        <w:t>Camp Lejeune, NC</w:t>
      </w:r>
      <w:r w:rsidRPr="00D2563F">
        <w:rPr>
          <w:i/>
        </w:rPr>
        <w:t xml:space="preserve"> –</w:t>
      </w:r>
      <w:r>
        <w:rPr>
          <w:i/>
        </w:rPr>
        <w:t xml:space="preserve"> </w:t>
      </w:r>
    </w:p>
    <w:p w:rsidR="00A97740" w:rsidRPr="00A97740" w:rsidRDefault="00A97740" w:rsidP="00F063AF">
      <w:pPr>
        <w:pStyle w:val="ListParagraph"/>
        <w:widowControl w:val="0"/>
        <w:numPr>
          <w:ilvl w:val="0"/>
          <w:numId w:val="357"/>
        </w:numPr>
        <w:spacing w:after="120" w:line="240" w:lineRule="auto"/>
        <w:ind w:left="360"/>
        <w:rPr>
          <w:rFonts w:ascii="Arial" w:hAnsi="Arial"/>
          <w:bCs/>
          <w:iCs/>
          <w:sz w:val="20"/>
        </w:rPr>
      </w:pPr>
      <w:r w:rsidRPr="00A97740">
        <w:rPr>
          <w:rFonts w:ascii="Arial" w:hAnsi="Arial"/>
          <w:b/>
          <w:bCs/>
          <w:iCs/>
          <w:sz w:val="20"/>
        </w:rPr>
        <w:t>3.307(a)(7)</w:t>
      </w:r>
    </w:p>
    <w:p w:rsidR="00A97740" w:rsidRPr="00A97740" w:rsidRDefault="00A97740" w:rsidP="00F063AF">
      <w:pPr>
        <w:pStyle w:val="ListParagraph"/>
        <w:widowControl w:val="0"/>
        <w:numPr>
          <w:ilvl w:val="0"/>
          <w:numId w:val="357"/>
        </w:numPr>
        <w:spacing w:after="120" w:line="240" w:lineRule="auto"/>
        <w:ind w:left="360"/>
        <w:rPr>
          <w:rFonts w:ascii="Arial" w:hAnsi="Arial"/>
          <w:b/>
          <w:bCs/>
          <w:iCs/>
          <w:sz w:val="20"/>
        </w:rPr>
      </w:pPr>
      <w:r w:rsidRPr="00A97740">
        <w:rPr>
          <w:rFonts w:ascii="Arial" w:hAnsi="Arial"/>
          <w:b/>
          <w:bCs/>
          <w:iCs/>
          <w:sz w:val="20"/>
        </w:rPr>
        <w:t>I.1.B.1.f</w:t>
      </w:r>
    </w:p>
    <w:p w:rsidR="00A97740" w:rsidRPr="00A97740" w:rsidRDefault="00A97740" w:rsidP="00F063AF">
      <w:pPr>
        <w:pStyle w:val="ListParagraph"/>
        <w:widowControl w:val="0"/>
        <w:numPr>
          <w:ilvl w:val="0"/>
          <w:numId w:val="357"/>
        </w:numPr>
        <w:spacing w:after="120" w:line="240" w:lineRule="auto"/>
        <w:ind w:left="360"/>
        <w:rPr>
          <w:rFonts w:ascii="Arial" w:hAnsi="Arial"/>
          <w:b/>
          <w:bCs/>
          <w:iCs/>
          <w:sz w:val="20"/>
        </w:rPr>
      </w:pPr>
      <w:r w:rsidRPr="00A97740">
        <w:rPr>
          <w:rFonts w:ascii="Arial" w:hAnsi="Arial"/>
          <w:b/>
          <w:bCs/>
          <w:iCs/>
          <w:sz w:val="20"/>
        </w:rPr>
        <w:t>III.ii.6.A.2.i</w:t>
      </w:r>
    </w:p>
    <w:p w:rsidR="00A97740" w:rsidRPr="00A97740" w:rsidRDefault="00A97740" w:rsidP="00F063AF">
      <w:pPr>
        <w:pStyle w:val="ListParagraph"/>
        <w:widowControl w:val="0"/>
        <w:numPr>
          <w:ilvl w:val="0"/>
          <w:numId w:val="357"/>
        </w:numPr>
        <w:spacing w:after="120" w:line="240" w:lineRule="auto"/>
        <w:ind w:left="360"/>
        <w:rPr>
          <w:rFonts w:ascii="Arial" w:hAnsi="Arial"/>
          <w:bCs/>
          <w:iCs/>
          <w:sz w:val="20"/>
        </w:rPr>
      </w:pPr>
      <w:r w:rsidRPr="00A97740">
        <w:rPr>
          <w:rFonts w:ascii="Arial" w:hAnsi="Arial"/>
          <w:b/>
          <w:bCs/>
          <w:iCs/>
          <w:sz w:val="20"/>
        </w:rPr>
        <w:t>III.iii.2.E.8.d</w:t>
      </w:r>
    </w:p>
    <w:p w:rsidR="00A97740" w:rsidRPr="00A97740" w:rsidRDefault="00A97740" w:rsidP="00F063AF">
      <w:pPr>
        <w:pStyle w:val="ListParagraph"/>
        <w:widowControl w:val="0"/>
        <w:numPr>
          <w:ilvl w:val="0"/>
          <w:numId w:val="357"/>
        </w:numPr>
        <w:spacing w:after="120" w:line="240" w:lineRule="auto"/>
        <w:ind w:left="360"/>
        <w:rPr>
          <w:rFonts w:ascii="Arial" w:hAnsi="Arial"/>
          <w:bCs/>
          <w:iCs/>
          <w:sz w:val="20"/>
        </w:rPr>
      </w:pPr>
      <w:r w:rsidRPr="00A97740">
        <w:rPr>
          <w:rFonts w:ascii="Arial" w:hAnsi="Arial"/>
          <w:b/>
          <w:bCs/>
          <w:iCs/>
          <w:sz w:val="20"/>
        </w:rPr>
        <w:t>IV.ii.1.I.6</w:t>
      </w:r>
      <w:r w:rsidR="008335E5">
        <w:rPr>
          <w:rFonts w:ascii="Arial" w:hAnsi="Arial"/>
          <w:b/>
          <w:bCs/>
          <w:iCs/>
          <w:sz w:val="20"/>
        </w:rPr>
        <w:t xml:space="preserve"> </w:t>
      </w:r>
      <w:r w:rsidR="008335E5">
        <w:rPr>
          <w:rStyle w:val="Strong"/>
          <w:rFonts w:ascii="Arial" w:hAnsi="Arial"/>
          <w:sz w:val="20"/>
          <w:szCs w:val="21"/>
        </w:rPr>
        <w:t>– Developing Claims</w:t>
      </w:r>
    </w:p>
    <w:p w:rsidR="00A97740" w:rsidRPr="00AD1DF9" w:rsidRDefault="00A97740" w:rsidP="00F063AF">
      <w:pPr>
        <w:pStyle w:val="ListParagraph"/>
        <w:widowControl w:val="0"/>
        <w:numPr>
          <w:ilvl w:val="0"/>
          <w:numId w:val="357"/>
        </w:numPr>
        <w:spacing w:after="120" w:line="240" w:lineRule="auto"/>
        <w:ind w:left="360"/>
        <w:rPr>
          <w:rStyle w:val="Strong"/>
          <w:rFonts w:ascii="Arial" w:hAnsi="Arial"/>
          <w:b w:val="0"/>
          <w:iCs/>
          <w:sz w:val="20"/>
        </w:rPr>
      </w:pPr>
      <w:r w:rsidRPr="00A97740">
        <w:rPr>
          <w:rStyle w:val="Strong"/>
          <w:rFonts w:ascii="Arial" w:hAnsi="Arial"/>
          <w:sz w:val="20"/>
          <w:szCs w:val="21"/>
        </w:rPr>
        <w:t>IV.ii.1.I.7</w:t>
      </w:r>
      <w:r w:rsidR="008335E5">
        <w:rPr>
          <w:rStyle w:val="Strong"/>
          <w:rFonts w:ascii="Arial" w:hAnsi="Arial"/>
          <w:sz w:val="20"/>
          <w:szCs w:val="21"/>
        </w:rPr>
        <w:t xml:space="preserve"> – Developing Claims</w:t>
      </w:r>
      <w:r w:rsidR="0051775E">
        <w:rPr>
          <w:rStyle w:val="Strong"/>
          <w:rFonts w:ascii="Arial" w:hAnsi="Arial"/>
          <w:sz w:val="20"/>
          <w:szCs w:val="21"/>
        </w:rPr>
        <w:t xml:space="preserve"> – </w:t>
      </w:r>
      <w:r w:rsidR="0051775E">
        <w:rPr>
          <w:rStyle w:val="Strong"/>
          <w:rFonts w:ascii="Arial" w:hAnsi="Arial"/>
          <w:b w:val="0"/>
          <w:sz w:val="20"/>
          <w:szCs w:val="21"/>
        </w:rPr>
        <w:t xml:space="preserve">SPRs should be marked with </w:t>
      </w:r>
      <w:r w:rsidR="0051775E" w:rsidRPr="0051775E">
        <w:rPr>
          <w:rStyle w:val="Strong"/>
          <w:rFonts w:ascii="Arial" w:hAnsi="Arial"/>
          <w:b w:val="0"/>
          <w:sz w:val="20"/>
          <w:szCs w:val="21"/>
        </w:rPr>
        <w:t>“</w:t>
      </w:r>
      <w:r w:rsidR="0051775E">
        <w:rPr>
          <w:rStyle w:val="Strong"/>
          <w:rFonts w:ascii="Arial" w:hAnsi="Arial"/>
          <w:b w:val="0"/>
          <w:sz w:val="20"/>
          <w:szCs w:val="21"/>
        </w:rPr>
        <w:t>CLNC” &amp; the page &amp; dates served</w:t>
      </w:r>
      <w:r w:rsidR="00AB63B9">
        <w:rPr>
          <w:rStyle w:val="Strong"/>
          <w:rFonts w:ascii="Arial" w:hAnsi="Arial"/>
          <w:b w:val="0"/>
          <w:sz w:val="20"/>
          <w:szCs w:val="21"/>
        </w:rPr>
        <w:t>, has chart for who works claims</w:t>
      </w:r>
    </w:p>
    <w:p w:rsidR="00AD1DF9" w:rsidRPr="00B55BA8" w:rsidRDefault="00AD1DF9" w:rsidP="00F063AF">
      <w:pPr>
        <w:pStyle w:val="ListParagraph"/>
        <w:widowControl w:val="0"/>
        <w:numPr>
          <w:ilvl w:val="0"/>
          <w:numId w:val="357"/>
        </w:numPr>
        <w:spacing w:after="120" w:line="240" w:lineRule="auto"/>
        <w:ind w:left="360"/>
        <w:rPr>
          <w:rFonts w:ascii="Arial" w:hAnsi="Arial"/>
          <w:b/>
          <w:bCs/>
          <w:sz w:val="20"/>
        </w:rPr>
      </w:pPr>
      <w:r>
        <w:rPr>
          <w:rFonts w:ascii="Arial" w:hAnsi="Arial"/>
          <w:b/>
          <w:bCs/>
          <w:sz w:val="20"/>
        </w:rPr>
        <w:t>I</w:t>
      </w:r>
      <w:r w:rsidRPr="00A97740">
        <w:rPr>
          <w:rFonts w:ascii="Arial" w:hAnsi="Arial"/>
          <w:b/>
          <w:bCs/>
          <w:sz w:val="20"/>
        </w:rPr>
        <w:t>V.ii.2.C.6</w:t>
      </w:r>
      <w:r w:rsidR="008335E5">
        <w:rPr>
          <w:rFonts w:ascii="Arial" w:hAnsi="Arial"/>
          <w:b/>
          <w:bCs/>
          <w:sz w:val="20"/>
        </w:rPr>
        <w:t xml:space="preserve"> – </w:t>
      </w:r>
      <w:r w:rsidR="008335E5" w:rsidRPr="00176072">
        <w:rPr>
          <w:rFonts w:ascii="Arial" w:hAnsi="Arial"/>
          <w:b/>
          <w:bCs/>
          <w:sz w:val="20"/>
        </w:rPr>
        <w:t>rating info</w:t>
      </w:r>
      <w:r w:rsidR="003E3140">
        <w:rPr>
          <w:rFonts w:ascii="Arial" w:hAnsi="Arial"/>
          <w:bCs/>
          <w:sz w:val="20"/>
        </w:rPr>
        <w:t xml:space="preserve">, </w:t>
      </w:r>
      <w:r w:rsidR="003E3140" w:rsidRPr="003E3140">
        <w:rPr>
          <w:rFonts w:ascii="Arial" w:hAnsi="Arial"/>
          <w:bCs/>
          <w:i/>
          <w:sz w:val="20"/>
        </w:rPr>
        <w:t>per QR</w:t>
      </w:r>
      <w:r w:rsidR="00CF6556">
        <w:rPr>
          <w:rFonts w:ascii="Arial" w:hAnsi="Arial"/>
          <w:bCs/>
          <w:i/>
          <w:sz w:val="20"/>
        </w:rPr>
        <w:t>T</w:t>
      </w:r>
      <w:r w:rsidR="003E3140" w:rsidRPr="003E3140">
        <w:rPr>
          <w:rFonts w:ascii="Arial" w:hAnsi="Arial"/>
          <w:bCs/>
          <w:i/>
          <w:sz w:val="20"/>
        </w:rPr>
        <w:t>/Konane Stradling</w:t>
      </w:r>
      <w:r w:rsidR="00072D3D" w:rsidRPr="003E3140">
        <w:rPr>
          <w:rFonts w:ascii="Arial" w:hAnsi="Arial"/>
          <w:bCs/>
          <w:i/>
          <w:sz w:val="20"/>
        </w:rPr>
        <w:t>, handle previously denied claims same as claims file</w:t>
      </w:r>
      <w:r w:rsidR="003E3140">
        <w:rPr>
          <w:rFonts w:ascii="Arial" w:hAnsi="Arial"/>
          <w:bCs/>
          <w:i/>
          <w:sz w:val="20"/>
        </w:rPr>
        <w:t>d</w:t>
      </w:r>
      <w:r w:rsidR="00072D3D" w:rsidRPr="003E3140">
        <w:rPr>
          <w:rFonts w:ascii="Arial" w:hAnsi="Arial"/>
          <w:bCs/>
          <w:i/>
          <w:sz w:val="20"/>
        </w:rPr>
        <w:t xml:space="preserve"> prior to 3/14/17, per </w:t>
      </w:r>
      <w:r w:rsidR="00072D3D" w:rsidRPr="003E3140">
        <w:rPr>
          <w:rFonts w:ascii="Arial" w:hAnsi="Arial"/>
          <w:b/>
          <w:bCs/>
          <w:i/>
          <w:sz w:val="20"/>
        </w:rPr>
        <w:t>IV.ii.2.C.6.k</w:t>
      </w:r>
    </w:p>
    <w:p w:rsidR="00B55BA8" w:rsidRDefault="00B55BA8" w:rsidP="00B55BA8">
      <w:pPr>
        <w:pStyle w:val="ListParagraph"/>
        <w:widowControl w:val="0"/>
        <w:pBdr>
          <w:top w:val="single" w:sz="4" w:space="1" w:color="auto"/>
          <w:left w:val="single" w:sz="4" w:space="4" w:color="auto"/>
          <w:bottom w:val="single" w:sz="4" w:space="1" w:color="auto"/>
          <w:right w:val="single" w:sz="4" w:space="4" w:color="auto"/>
        </w:pBdr>
        <w:spacing w:after="120" w:line="240" w:lineRule="auto"/>
        <w:ind w:left="360"/>
        <w:rPr>
          <w:rFonts w:ascii="Arial" w:hAnsi="Arial"/>
          <w:bCs/>
          <w:sz w:val="20"/>
        </w:rPr>
      </w:pPr>
      <w:r w:rsidRPr="00B55BA8">
        <w:rPr>
          <w:rFonts w:ascii="Arial" w:hAnsi="Arial"/>
          <w:bCs/>
          <w:sz w:val="20"/>
        </w:rPr>
        <w:t xml:space="preserve">Entitlement to an effective date prior to March 14, 2017, for service connection of </w:t>
      </w:r>
      <w:r>
        <w:rPr>
          <w:rFonts w:ascii="Arial" w:hAnsi="Arial"/>
          <w:bCs/>
          <w:sz w:val="20"/>
        </w:rPr>
        <w:t>{}</w:t>
      </w:r>
      <w:r w:rsidRPr="00B55BA8">
        <w:rPr>
          <w:rFonts w:ascii="Arial" w:hAnsi="Arial"/>
          <w:bCs/>
          <w:sz w:val="20"/>
        </w:rPr>
        <w:t>.</w:t>
      </w:r>
    </w:p>
    <w:p w:rsidR="00B55BA8" w:rsidRDefault="00B55BA8" w:rsidP="00B55BA8">
      <w:pPr>
        <w:pStyle w:val="ListParagraph"/>
        <w:widowControl w:val="0"/>
        <w:pBdr>
          <w:top w:val="single" w:sz="4" w:space="1" w:color="auto"/>
          <w:left w:val="single" w:sz="4" w:space="4" w:color="auto"/>
          <w:bottom w:val="single" w:sz="4" w:space="1" w:color="auto"/>
          <w:right w:val="single" w:sz="4" w:space="4" w:color="auto"/>
        </w:pBdr>
        <w:spacing w:after="120" w:line="240" w:lineRule="auto"/>
        <w:ind w:left="360"/>
        <w:rPr>
          <w:rFonts w:ascii="Arial" w:hAnsi="Arial"/>
          <w:bCs/>
          <w:sz w:val="20"/>
        </w:rPr>
      </w:pPr>
      <w:r w:rsidRPr="00B55BA8">
        <w:rPr>
          <w:rFonts w:ascii="Arial" w:hAnsi="Arial"/>
          <w:bCs/>
          <w:sz w:val="20"/>
        </w:rPr>
        <w:t xml:space="preserve">Entitlement to an effective date prior to March 14, 2017, for service connection of </w:t>
      </w:r>
      <w:r>
        <w:rPr>
          <w:rFonts w:ascii="Arial" w:hAnsi="Arial"/>
          <w:bCs/>
          <w:sz w:val="20"/>
        </w:rPr>
        <w:t>{}</w:t>
      </w:r>
      <w:r w:rsidRPr="00B55BA8">
        <w:rPr>
          <w:rFonts w:ascii="Arial" w:hAnsi="Arial"/>
          <w:bCs/>
          <w:sz w:val="20"/>
        </w:rPr>
        <w:t>, is deferred.</w:t>
      </w:r>
    </w:p>
    <w:p w:rsidR="00B55BA8" w:rsidRDefault="00B55BA8" w:rsidP="00B55BA8">
      <w:pPr>
        <w:pStyle w:val="ListParagraph"/>
        <w:widowControl w:val="0"/>
        <w:pBdr>
          <w:top w:val="single" w:sz="4" w:space="1" w:color="auto"/>
          <w:left w:val="single" w:sz="4" w:space="4" w:color="auto"/>
          <w:bottom w:val="single" w:sz="4" w:space="1" w:color="auto"/>
          <w:right w:val="single" w:sz="4" w:space="4" w:color="auto"/>
        </w:pBdr>
        <w:spacing w:after="120" w:line="240" w:lineRule="auto"/>
        <w:ind w:left="360"/>
        <w:rPr>
          <w:rFonts w:ascii="Arial" w:hAnsi="Arial"/>
          <w:bCs/>
          <w:sz w:val="20"/>
        </w:rPr>
      </w:pPr>
      <w:r w:rsidRPr="00B55BA8">
        <w:rPr>
          <w:rFonts w:ascii="Arial" w:hAnsi="Arial"/>
          <w:bCs/>
          <w:sz w:val="20"/>
        </w:rPr>
        <w:t xml:space="preserve">Entitlement to an effective date prior to March 14, 2017, for service connection of </w:t>
      </w:r>
      <w:r>
        <w:rPr>
          <w:rFonts w:ascii="Arial" w:hAnsi="Arial"/>
          <w:bCs/>
          <w:sz w:val="20"/>
        </w:rPr>
        <w:t>{}</w:t>
      </w:r>
      <w:r w:rsidRPr="00B55BA8">
        <w:rPr>
          <w:rFonts w:ascii="Arial" w:hAnsi="Arial"/>
          <w:bCs/>
          <w:sz w:val="20"/>
        </w:rPr>
        <w:t>, is deferred for a</w:t>
      </w:r>
      <w:r>
        <w:rPr>
          <w:rFonts w:ascii="Arial" w:hAnsi="Arial"/>
          <w:bCs/>
          <w:sz w:val="20"/>
        </w:rPr>
        <w:t xml:space="preserve"> review of your previously denied claim.</w:t>
      </w:r>
    </w:p>
    <w:p w:rsidR="00B55BA8" w:rsidRPr="00B55BA8" w:rsidRDefault="008A542B" w:rsidP="008A542B">
      <w:pPr>
        <w:pStyle w:val="ListParagraph"/>
        <w:widowControl w:val="0"/>
        <w:pBdr>
          <w:top w:val="single" w:sz="4" w:space="1" w:color="auto"/>
          <w:left w:val="single" w:sz="4" w:space="4" w:color="auto"/>
          <w:bottom w:val="single" w:sz="4" w:space="1" w:color="auto"/>
          <w:right w:val="single" w:sz="4" w:space="4" w:color="auto"/>
        </w:pBdr>
        <w:spacing w:after="120" w:line="240" w:lineRule="auto"/>
        <w:ind w:left="360"/>
        <w:rPr>
          <w:sz w:val="20"/>
          <w:szCs w:val="20"/>
        </w:rPr>
      </w:pPr>
      <w:r w:rsidRPr="008A542B">
        <w:rPr>
          <w:rFonts w:ascii="Arial" w:hAnsi="Arial"/>
          <w:bCs/>
          <w:sz w:val="20"/>
        </w:rPr>
        <w:t>VSR:  Please continue the end product (EP) for assignment of the claim to the Louisville RO to address the issue of entitlement to an effective date prior to March 14, 2017.</w:t>
      </w:r>
    </w:p>
    <w:p w:rsidR="00A97740" w:rsidRDefault="00A97740" w:rsidP="00A97740">
      <w:pPr>
        <w:widowControl w:val="0"/>
        <w:spacing w:after="120"/>
        <w:rPr>
          <w:bCs/>
          <w:iCs/>
        </w:rPr>
      </w:pPr>
      <w:r>
        <w:rPr>
          <w:bCs/>
          <w:iCs/>
        </w:rPr>
        <w:t>30 days service (consecutive or noncon</w:t>
      </w:r>
      <w:r w:rsidR="003C699E">
        <w:rPr>
          <w:bCs/>
          <w:iCs/>
        </w:rPr>
        <w:t xml:space="preserve">secutive) from 8/1/53-12/31/87 </w:t>
      </w:r>
      <w:r>
        <w:rPr>
          <w:bCs/>
          <w:iCs/>
        </w:rPr>
        <w:t>at US Marine Corps Base Camp Lejeune &amp; Marine Corps Air Station New River (MCAS) [</w:t>
      </w:r>
      <w:r w:rsidR="00AD1DF9">
        <w:rPr>
          <w:b/>
          <w:bCs/>
          <w:iCs/>
        </w:rPr>
        <w:t>IV.ii.2.C.6</w:t>
      </w:r>
      <w:r w:rsidRPr="00B35ED6">
        <w:rPr>
          <w:b/>
          <w:bCs/>
          <w:iCs/>
        </w:rPr>
        <w:t>.b</w:t>
      </w:r>
      <w:r>
        <w:rPr>
          <w:bCs/>
          <w:iCs/>
        </w:rPr>
        <w:t xml:space="preserve"> has borders of base, excludes MCAS Cherry Point]</w:t>
      </w:r>
    </w:p>
    <w:p w:rsidR="00176072" w:rsidRDefault="00176072" w:rsidP="00176072">
      <w:pPr>
        <w:widowControl w:val="0"/>
        <w:spacing w:after="120"/>
        <w:rPr>
          <w:bCs/>
          <w:iCs/>
        </w:rPr>
      </w:pPr>
      <w:r>
        <w:rPr>
          <w:bCs/>
          <w:iCs/>
        </w:rPr>
        <w:t xml:space="preserve">Per </w:t>
      </w:r>
      <w:r w:rsidR="00EF55D3">
        <w:rPr>
          <w:b/>
          <w:bCs/>
          <w:iCs/>
        </w:rPr>
        <w:t>IV.ii.2</w:t>
      </w:r>
      <w:r w:rsidRPr="00176072">
        <w:rPr>
          <w:b/>
          <w:bCs/>
          <w:iCs/>
        </w:rPr>
        <w:t>.C.6.k</w:t>
      </w:r>
      <w:r w:rsidR="00D20B0A">
        <w:rPr>
          <w:bCs/>
          <w:iCs/>
        </w:rPr>
        <w:t xml:space="preserve"> &amp; </w:t>
      </w:r>
      <w:r w:rsidR="00D20B0A" w:rsidRPr="00D20B0A">
        <w:rPr>
          <w:b/>
          <w:bCs/>
          <w:iCs/>
        </w:rPr>
        <w:t>IV.ii.1.I.7.c</w:t>
      </w:r>
      <w:r>
        <w:rPr>
          <w:bCs/>
          <w:iCs/>
        </w:rPr>
        <w:t>, any claim filed prior to 3/14/17 MUST be referred to Louisville</w:t>
      </w:r>
      <w:r w:rsidR="00E21A2D">
        <w:rPr>
          <w:bCs/>
          <w:iCs/>
        </w:rPr>
        <w:t xml:space="preserve"> (do partial grant first)</w:t>
      </w:r>
    </w:p>
    <w:p w:rsidR="00A97740" w:rsidRDefault="00176072" w:rsidP="00A97740">
      <w:pPr>
        <w:widowControl w:val="0"/>
        <w:rPr>
          <w:rStyle w:val="Hyperlink"/>
          <w:u w:val="none"/>
        </w:rPr>
      </w:pPr>
      <w:r>
        <w:rPr>
          <w:bCs/>
          <w:iCs/>
        </w:rPr>
        <w:t xml:space="preserve">eff 3/14/17, </w:t>
      </w:r>
      <w:r w:rsidR="00A97740">
        <w:rPr>
          <w:bCs/>
          <w:iCs/>
        </w:rPr>
        <w:t xml:space="preserve">some worked by Louisville RO (327), </w:t>
      </w:r>
      <w:r w:rsidR="00A97740" w:rsidRPr="00F37F14">
        <w:rPr>
          <w:rStyle w:val="Strong"/>
        </w:rPr>
        <w:t xml:space="preserve">IV.ii.1.I.7.c </w:t>
      </w:r>
      <w:r w:rsidR="00A97740" w:rsidRPr="00F37F14">
        <w:rPr>
          <w:rStyle w:val="Strong"/>
          <w:b w:val="0"/>
        </w:rPr>
        <w:t xml:space="preserve">has chart for </w:t>
      </w:r>
      <w:r w:rsidR="00A97740">
        <w:rPr>
          <w:rStyle w:val="Strong"/>
          <w:b w:val="0"/>
        </w:rPr>
        <w:t xml:space="preserve">if </w:t>
      </w:r>
      <w:r w:rsidR="00A97740" w:rsidRPr="00F37F14">
        <w:rPr>
          <w:rStyle w:val="Strong"/>
          <w:b w:val="0"/>
        </w:rPr>
        <w:t>claim stays with ROJ or goes to Louisville</w:t>
      </w:r>
    </w:p>
    <w:p w:rsidR="00A97740" w:rsidRDefault="00A97740" w:rsidP="00A97740">
      <w:pPr>
        <w:widowControl w:val="0"/>
        <w:rPr>
          <w:b/>
          <w:bCs/>
          <w:i/>
          <w:iCs/>
        </w:rPr>
      </w:pPr>
    </w:p>
    <w:tbl>
      <w:tblPr>
        <w:tblStyle w:val="TableGrid"/>
        <w:tblW w:w="10278" w:type="dxa"/>
        <w:tblLook w:val="04A0" w:firstRow="1" w:lastRow="0" w:firstColumn="1" w:lastColumn="0" w:noHBand="0" w:noVBand="1"/>
      </w:tblPr>
      <w:tblGrid>
        <w:gridCol w:w="3686"/>
        <w:gridCol w:w="5062"/>
        <w:gridCol w:w="1530"/>
      </w:tblGrid>
      <w:tr w:rsidR="00A97740" w:rsidRPr="00A97740" w:rsidTr="005D613E">
        <w:tc>
          <w:tcPr>
            <w:tcW w:w="3686" w:type="dxa"/>
          </w:tcPr>
          <w:p w:rsidR="00A97740" w:rsidRPr="00A97740" w:rsidRDefault="00A97740" w:rsidP="00A97740">
            <w:pPr>
              <w:widowControl w:val="0"/>
              <w:rPr>
                <w:bCs/>
                <w:iCs/>
              </w:rPr>
            </w:pPr>
            <w:r w:rsidRPr="00A97740">
              <w:rPr>
                <w:bCs/>
                <w:iCs/>
              </w:rPr>
              <w:t>adult leukemia</w:t>
            </w:r>
          </w:p>
        </w:tc>
        <w:tc>
          <w:tcPr>
            <w:tcW w:w="5062" w:type="dxa"/>
          </w:tcPr>
          <w:p w:rsidR="005047F4" w:rsidRDefault="00A97740" w:rsidP="00A97740">
            <w:pPr>
              <w:widowControl w:val="0"/>
              <w:rPr>
                <w:bCs/>
                <w:iCs/>
              </w:rPr>
            </w:pPr>
            <w:r>
              <w:rPr>
                <w:bCs/>
                <w:iCs/>
              </w:rPr>
              <w:t>7703</w:t>
            </w:r>
            <w:r w:rsidR="005047F4">
              <w:rPr>
                <w:bCs/>
                <w:iCs/>
              </w:rPr>
              <w:t xml:space="preserve"> </w:t>
            </w:r>
          </w:p>
          <w:p w:rsidR="00A97740" w:rsidRPr="00A97740" w:rsidRDefault="005047F4" w:rsidP="00020865">
            <w:pPr>
              <w:widowControl w:val="0"/>
              <w:rPr>
                <w:bCs/>
                <w:iCs/>
              </w:rPr>
            </w:pPr>
            <w:r>
              <w:rPr>
                <w:bCs/>
                <w:iCs/>
              </w:rPr>
              <w:t>*</w:t>
            </w:r>
            <w:r w:rsidR="005D613E">
              <w:rPr>
                <w:sz w:val="18"/>
              </w:rPr>
              <w:t xml:space="preserve">CLL should be </w:t>
            </w:r>
            <w:r w:rsidRPr="005047F4">
              <w:rPr>
                <w:sz w:val="18"/>
              </w:rPr>
              <w:t>100% P&amp;T</w:t>
            </w:r>
            <w:r w:rsidR="005D613E">
              <w:rPr>
                <w:sz w:val="18"/>
              </w:rPr>
              <w:t xml:space="preserve">, per </w:t>
            </w:r>
            <w:r w:rsidR="005D613E" w:rsidRPr="00C02245">
              <w:rPr>
                <w:b/>
                <w:sz w:val="18"/>
              </w:rPr>
              <w:t>III.iv.4.</w:t>
            </w:r>
            <w:r w:rsidR="00020865">
              <w:rPr>
                <w:b/>
                <w:sz w:val="18"/>
              </w:rPr>
              <w:t>K.2.c</w:t>
            </w:r>
          </w:p>
        </w:tc>
        <w:tc>
          <w:tcPr>
            <w:tcW w:w="1530" w:type="dxa"/>
          </w:tcPr>
          <w:p w:rsidR="00A97740" w:rsidRPr="00A97740" w:rsidRDefault="00A97740" w:rsidP="00A97740">
            <w:pPr>
              <w:widowControl w:val="0"/>
              <w:rPr>
                <w:bCs/>
                <w:iCs/>
              </w:rPr>
            </w:pPr>
            <w:r>
              <w:rPr>
                <w:bCs/>
                <w:iCs/>
              </w:rPr>
              <w:t>3/14/17</w:t>
            </w:r>
          </w:p>
        </w:tc>
      </w:tr>
      <w:tr w:rsidR="00A97740" w:rsidRPr="00A97740" w:rsidTr="005D613E">
        <w:tc>
          <w:tcPr>
            <w:tcW w:w="3686" w:type="dxa"/>
          </w:tcPr>
          <w:p w:rsidR="00A97740" w:rsidRPr="00A97740" w:rsidRDefault="00A97740" w:rsidP="00A97740">
            <w:pPr>
              <w:widowControl w:val="0"/>
              <w:rPr>
                <w:bCs/>
                <w:iCs/>
              </w:rPr>
            </w:pPr>
            <w:r>
              <w:rPr>
                <w:bCs/>
                <w:iCs/>
              </w:rPr>
              <w:t>aplastic anemia &amp; other myelodysplastic syndromes</w:t>
            </w:r>
          </w:p>
        </w:tc>
        <w:tc>
          <w:tcPr>
            <w:tcW w:w="5062" w:type="dxa"/>
          </w:tcPr>
          <w:p w:rsidR="00A97740" w:rsidRPr="00A97740" w:rsidRDefault="005047F4" w:rsidP="00A97740">
            <w:pPr>
              <w:widowControl w:val="0"/>
              <w:rPr>
                <w:bCs/>
                <w:iCs/>
              </w:rPr>
            </w:pPr>
            <w:r>
              <w:rPr>
                <w:bCs/>
                <w:iCs/>
              </w:rPr>
              <w:t>7716</w:t>
            </w:r>
          </w:p>
        </w:tc>
        <w:tc>
          <w:tcPr>
            <w:tcW w:w="1530" w:type="dxa"/>
          </w:tcPr>
          <w:p w:rsidR="00A97740" w:rsidRDefault="00A97740">
            <w:r w:rsidRPr="00B1591B">
              <w:rPr>
                <w:bCs/>
                <w:iCs/>
              </w:rPr>
              <w:t>3/14/17</w:t>
            </w:r>
          </w:p>
        </w:tc>
      </w:tr>
      <w:tr w:rsidR="00A97740" w:rsidRPr="00A97740" w:rsidTr="005D613E">
        <w:tc>
          <w:tcPr>
            <w:tcW w:w="3686" w:type="dxa"/>
          </w:tcPr>
          <w:p w:rsidR="00A97740" w:rsidRPr="00A97740" w:rsidRDefault="00A97740" w:rsidP="00A97740">
            <w:pPr>
              <w:widowControl w:val="0"/>
              <w:rPr>
                <w:bCs/>
                <w:iCs/>
              </w:rPr>
            </w:pPr>
            <w:r>
              <w:rPr>
                <w:bCs/>
                <w:iCs/>
              </w:rPr>
              <w:t>bladder cancer</w:t>
            </w:r>
          </w:p>
        </w:tc>
        <w:tc>
          <w:tcPr>
            <w:tcW w:w="5062" w:type="dxa"/>
          </w:tcPr>
          <w:p w:rsidR="00A97740" w:rsidRPr="00A97740" w:rsidRDefault="00840A6E" w:rsidP="00A97740">
            <w:pPr>
              <w:widowControl w:val="0"/>
              <w:rPr>
                <w:bCs/>
                <w:iCs/>
              </w:rPr>
            </w:pPr>
            <w:r>
              <w:rPr>
                <w:bCs/>
                <w:iCs/>
              </w:rPr>
              <w:t>7528</w:t>
            </w:r>
            <w:r w:rsidR="005D613E">
              <w:rPr>
                <w:bCs/>
                <w:iCs/>
              </w:rPr>
              <w:t xml:space="preserve"> (or 7516 if have suprapubic cystostomy</w:t>
            </w:r>
            <w:r w:rsidR="00B226AE">
              <w:rPr>
                <w:bCs/>
                <w:iCs/>
              </w:rPr>
              <w:t>)</w:t>
            </w:r>
          </w:p>
        </w:tc>
        <w:tc>
          <w:tcPr>
            <w:tcW w:w="1530" w:type="dxa"/>
          </w:tcPr>
          <w:p w:rsidR="00A97740" w:rsidRDefault="00A97740">
            <w:r w:rsidRPr="00B1591B">
              <w:rPr>
                <w:bCs/>
                <w:iCs/>
              </w:rPr>
              <w:t>3/14/17</w:t>
            </w:r>
          </w:p>
        </w:tc>
      </w:tr>
      <w:tr w:rsidR="00A97740" w:rsidRPr="00A97740" w:rsidTr="005D613E">
        <w:tc>
          <w:tcPr>
            <w:tcW w:w="3686" w:type="dxa"/>
          </w:tcPr>
          <w:p w:rsidR="00A97740" w:rsidRPr="00A97740" w:rsidRDefault="00A97740" w:rsidP="00A97740">
            <w:pPr>
              <w:widowControl w:val="0"/>
              <w:rPr>
                <w:bCs/>
                <w:iCs/>
              </w:rPr>
            </w:pPr>
            <w:r>
              <w:rPr>
                <w:bCs/>
                <w:iCs/>
              </w:rPr>
              <w:t>kidney cancer</w:t>
            </w:r>
          </w:p>
        </w:tc>
        <w:tc>
          <w:tcPr>
            <w:tcW w:w="5062" w:type="dxa"/>
          </w:tcPr>
          <w:p w:rsidR="00A97740" w:rsidRPr="00A97740" w:rsidRDefault="00840A6E" w:rsidP="00A97740">
            <w:pPr>
              <w:widowControl w:val="0"/>
              <w:rPr>
                <w:bCs/>
                <w:iCs/>
              </w:rPr>
            </w:pPr>
            <w:r>
              <w:rPr>
                <w:bCs/>
                <w:iCs/>
              </w:rPr>
              <w:t>7528</w:t>
            </w:r>
            <w:r w:rsidR="005D613E">
              <w:rPr>
                <w:bCs/>
                <w:iCs/>
              </w:rPr>
              <w:t xml:space="preserve"> (or 7500 if removed, or </w:t>
            </w:r>
            <w:r w:rsidR="00B226AE">
              <w:rPr>
                <w:bCs/>
                <w:iCs/>
              </w:rPr>
              <w:t>7530 if on dialysis</w:t>
            </w:r>
            <w:r w:rsidR="005D613E">
              <w:rPr>
                <w:bCs/>
                <w:iCs/>
              </w:rPr>
              <w:t>)</w:t>
            </w:r>
          </w:p>
        </w:tc>
        <w:tc>
          <w:tcPr>
            <w:tcW w:w="1530" w:type="dxa"/>
          </w:tcPr>
          <w:p w:rsidR="00A97740" w:rsidRDefault="00A97740">
            <w:r w:rsidRPr="00B1591B">
              <w:rPr>
                <w:bCs/>
                <w:iCs/>
              </w:rPr>
              <w:t>3/14/17</w:t>
            </w:r>
          </w:p>
        </w:tc>
      </w:tr>
      <w:tr w:rsidR="00A97740" w:rsidRPr="00A97740" w:rsidTr="005D613E">
        <w:tc>
          <w:tcPr>
            <w:tcW w:w="3686" w:type="dxa"/>
          </w:tcPr>
          <w:p w:rsidR="00A97740" w:rsidRPr="00A97740" w:rsidRDefault="00A97740" w:rsidP="00A97740">
            <w:pPr>
              <w:widowControl w:val="0"/>
              <w:rPr>
                <w:bCs/>
                <w:iCs/>
              </w:rPr>
            </w:pPr>
            <w:r>
              <w:rPr>
                <w:bCs/>
                <w:iCs/>
              </w:rPr>
              <w:t>liver cancer</w:t>
            </w:r>
          </w:p>
        </w:tc>
        <w:tc>
          <w:tcPr>
            <w:tcW w:w="5062" w:type="dxa"/>
          </w:tcPr>
          <w:p w:rsidR="00A97740" w:rsidRDefault="00840A6E" w:rsidP="00B226AE">
            <w:pPr>
              <w:widowControl w:val="0"/>
              <w:rPr>
                <w:bCs/>
                <w:iCs/>
              </w:rPr>
            </w:pPr>
            <w:r>
              <w:rPr>
                <w:bCs/>
                <w:iCs/>
              </w:rPr>
              <w:t>7343</w:t>
            </w:r>
            <w:r w:rsidR="005D613E">
              <w:rPr>
                <w:bCs/>
                <w:iCs/>
              </w:rPr>
              <w:t xml:space="preserve"> (or 7311, or 7351 with transplant [might need 4.29 while in hospital waiting for transplant])</w:t>
            </w:r>
          </w:p>
          <w:p w:rsidR="00B226AE" w:rsidRPr="00A97740" w:rsidRDefault="00B226AE" w:rsidP="00B226AE">
            <w:pPr>
              <w:widowControl w:val="0"/>
              <w:rPr>
                <w:bCs/>
                <w:iCs/>
              </w:rPr>
            </w:pPr>
            <w:r w:rsidRPr="00B226AE">
              <w:rPr>
                <w:bCs/>
                <w:iCs/>
                <w:sz w:val="18"/>
              </w:rPr>
              <w:t xml:space="preserve">*remember 4.114 if rate residuals of liver cancer under </w:t>
            </w:r>
            <w:r>
              <w:rPr>
                <w:bCs/>
                <w:iCs/>
                <w:sz w:val="18"/>
              </w:rPr>
              <w:t xml:space="preserve">7311, </w:t>
            </w:r>
            <w:r w:rsidRPr="00B226AE">
              <w:rPr>
                <w:bCs/>
                <w:iCs/>
                <w:sz w:val="18"/>
              </w:rPr>
              <w:t>7345</w:t>
            </w:r>
          </w:p>
        </w:tc>
        <w:tc>
          <w:tcPr>
            <w:tcW w:w="1530" w:type="dxa"/>
          </w:tcPr>
          <w:p w:rsidR="00A97740" w:rsidRDefault="00A97740">
            <w:r w:rsidRPr="00B1591B">
              <w:rPr>
                <w:bCs/>
                <w:iCs/>
              </w:rPr>
              <w:t>3/14/17</w:t>
            </w:r>
          </w:p>
        </w:tc>
      </w:tr>
      <w:tr w:rsidR="00A97740" w:rsidRPr="00A97740" w:rsidTr="005D613E">
        <w:tc>
          <w:tcPr>
            <w:tcW w:w="3686" w:type="dxa"/>
          </w:tcPr>
          <w:p w:rsidR="00A97740" w:rsidRPr="00A97740" w:rsidRDefault="00A97740" w:rsidP="00A97740">
            <w:pPr>
              <w:widowControl w:val="0"/>
              <w:rPr>
                <w:bCs/>
                <w:iCs/>
              </w:rPr>
            </w:pPr>
            <w:r>
              <w:rPr>
                <w:bCs/>
                <w:iCs/>
              </w:rPr>
              <w:t>multiple myeloma</w:t>
            </w:r>
          </w:p>
        </w:tc>
        <w:tc>
          <w:tcPr>
            <w:tcW w:w="5062" w:type="dxa"/>
          </w:tcPr>
          <w:p w:rsidR="005047F4" w:rsidRDefault="005047F4" w:rsidP="005047F4">
            <w:pPr>
              <w:widowControl w:val="0"/>
              <w:rPr>
                <w:bCs/>
                <w:iCs/>
              </w:rPr>
            </w:pPr>
            <w:r>
              <w:rPr>
                <w:bCs/>
                <w:iCs/>
              </w:rPr>
              <w:t>7799-7709</w:t>
            </w:r>
          </w:p>
          <w:p w:rsidR="00A97740" w:rsidRPr="00A97740" w:rsidRDefault="005047F4" w:rsidP="006166BF">
            <w:pPr>
              <w:widowControl w:val="0"/>
              <w:rPr>
                <w:bCs/>
                <w:iCs/>
              </w:rPr>
            </w:pPr>
            <w:r>
              <w:rPr>
                <w:bCs/>
                <w:iCs/>
              </w:rPr>
              <w:t>*</w:t>
            </w:r>
            <w:r w:rsidRPr="005047F4">
              <w:rPr>
                <w:sz w:val="18"/>
              </w:rPr>
              <w:t>generally multiple myeloma is 100% P&amp;T (rare exc</w:t>
            </w:r>
            <w:r w:rsidR="00282CA6">
              <w:rPr>
                <w:sz w:val="18"/>
              </w:rPr>
              <w:t>eptions)</w:t>
            </w:r>
            <w:r w:rsidR="00282CA6" w:rsidRPr="00282CA6">
              <w:rPr>
                <w:sz w:val="18"/>
              </w:rPr>
              <w:t xml:space="preserve">, per </w:t>
            </w:r>
            <w:r w:rsidR="00282CA6" w:rsidRPr="00282CA6">
              <w:rPr>
                <w:b/>
                <w:sz w:val="18"/>
              </w:rPr>
              <w:t>III.iv.4.K.2.a</w:t>
            </w:r>
          </w:p>
        </w:tc>
        <w:tc>
          <w:tcPr>
            <w:tcW w:w="1530" w:type="dxa"/>
          </w:tcPr>
          <w:p w:rsidR="00A97740" w:rsidRDefault="00A97740">
            <w:r w:rsidRPr="00B1591B">
              <w:rPr>
                <w:bCs/>
                <w:iCs/>
              </w:rPr>
              <w:t>3/14/17</w:t>
            </w:r>
          </w:p>
        </w:tc>
      </w:tr>
      <w:tr w:rsidR="00A97740" w:rsidRPr="00A97740" w:rsidTr="005D613E">
        <w:tc>
          <w:tcPr>
            <w:tcW w:w="3686" w:type="dxa"/>
          </w:tcPr>
          <w:p w:rsidR="00A97740" w:rsidRPr="00A97740" w:rsidRDefault="005047F4" w:rsidP="00A97740">
            <w:pPr>
              <w:widowControl w:val="0"/>
              <w:rPr>
                <w:bCs/>
                <w:iCs/>
              </w:rPr>
            </w:pPr>
            <w:r>
              <w:rPr>
                <w:bCs/>
                <w:iCs/>
              </w:rPr>
              <w:t>N</w:t>
            </w:r>
            <w:r w:rsidR="00A97740">
              <w:rPr>
                <w:bCs/>
                <w:iCs/>
              </w:rPr>
              <w:t>on-Hodgkin’s lymphoma</w:t>
            </w:r>
            <w:r w:rsidR="00EA1CC3">
              <w:rPr>
                <w:bCs/>
                <w:iCs/>
              </w:rPr>
              <w:t xml:space="preserve"> (NHL)</w:t>
            </w:r>
          </w:p>
        </w:tc>
        <w:tc>
          <w:tcPr>
            <w:tcW w:w="5062" w:type="dxa"/>
          </w:tcPr>
          <w:p w:rsidR="00A97740" w:rsidRPr="00A97740" w:rsidRDefault="00840A6E" w:rsidP="00A97740">
            <w:pPr>
              <w:widowControl w:val="0"/>
              <w:rPr>
                <w:bCs/>
                <w:iCs/>
              </w:rPr>
            </w:pPr>
            <w:r>
              <w:rPr>
                <w:bCs/>
                <w:iCs/>
              </w:rPr>
              <w:t>7715</w:t>
            </w:r>
          </w:p>
        </w:tc>
        <w:tc>
          <w:tcPr>
            <w:tcW w:w="1530" w:type="dxa"/>
          </w:tcPr>
          <w:p w:rsidR="00A97740" w:rsidRDefault="00A97740">
            <w:r w:rsidRPr="00B1591B">
              <w:rPr>
                <w:bCs/>
                <w:iCs/>
              </w:rPr>
              <w:t>3/14/17</w:t>
            </w:r>
          </w:p>
        </w:tc>
      </w:tr>
      <w:tr w:rsidR="00A97740" w:rsidRPr="00A97740" w:rsidTr="005D613E">
        <w:tc>
          <w:tcPr>
            <w:tcW w:w="3686" w:type="dxa"/>
          </w:tcPr>
          <w:p w:rsidR="00A97740" w:rsidRPr="00A97740" w:rsidRDefault="00A97740" w:rsidP="00A97740">
            <w:pPr>
              <w:widowControl w:val="0"/>
              <w:rPr>
                <w:bCs/>
                <w:iCs/>
              </w:rPr>
            </w:pPr>
            <w:r>
              <w:rPr>
                <w:bCs/>
                <w:iCs/>
              </w:rPr>
              <w:t>Parkinson’s disease</w:t>
            </w:r>
          </w:p>
        </w:tc>
        <w:tc>
          <w:tcPr>
            <w:tcW w:w="5062" w:type="dxa"/>
          </w:tcPr>
          <w:p w:rsidR="00A97740" w:rsidRPr="00A97740" w:rsidRDefault="00840A6E" w:rsidP="00A97740">
            <w:pPr>
              <w:widowControl w:val="0"/>
              <w:rPr>
                <w:bCs/>
                <w:iCs/>
              </w:rPr>
            </w:pPr>
            <w:r>
              <w:rPr>
                <w:bCs/>
                <w:iCs/>
              </w:rPr>
              <w:t>8004</w:t>
            </w:r>
          </w:p>
        </w:tc>
        <w:tc>
          <w:tcPr>
            <w:tcW w:w="1530" w:type="dxa"/>
          </w:tcPr>
          <w:p w:rsidR="00A97740" w:rsidRDefault="00A97740">
            <w:r w:rsidRPr="00B1591B">
              <w:rPr>
                <w:bCs/>
                <w:iCs/>
              </w:rPr>
              <w:t>3/14/17</w:t>
            </w:r>
          </w:p>
        </w:tc>
      </w:tr>
    </w:tbl>
    <w:p w:rsidR="00A97740" w:rsidRDefault="00A97740" w:rsidP="00A97740">
      <w:pPr>
        <w:widowControl w:val="0"/>
        <w:rPr>
          <w:bCs/>
          <w:iCs/>
        </w:rPr>
      </w:pPr>
    </w:p>
    <w:p w:rsidR="003C699E" w:rsidRPr="0051775E" w:rsidRDefault="003C699E" w:rsidP="003C699E">
      <w:pPr>
        <w:widowControl w:val="0"/>
        <w:spacing w:after="120"/>
        <w:rPr>
          <w:i/>
        </w:rPr>
      </w:pPr>
      <w:r w:rsidRPr="0051775E">
        <w:rPr>
          <w:i/>
        </w:rPr>
        <w:t>use</w:t>
      </w:r>
      <w:r w:rsidR="005B451B">
        <w:rPr>
          <w:i/>
        </w:rPr>
        <w:t xml:space="preserve"> </w:t>
      </w:r>
      <w:r w:rsidRPr="005B451B">
        <w:rPr>
          <w:i/>
          <w:color w:val="FF0000"/>
        </w:rPr>
        <w:t>Environmental Hazard-Camp Lejeune</w:t>
      </w:r>
      <w:r w:rsidR="005B451B">
        <w:rPr>
          <w:i/>
        </w:rPr>
        <w:t xml:space="preserve"> OR </w:t>
      </w:r>
      <w:r w:rsidR="0051775E" w:rsidRPr="005B451B">
        <w:rPr>
          <w:rStyle w:val="Emphasis"/>
          <w:color w:val="FF0000"/>
        </w:rPr>
        <w:t>Environmental Hazard – Camp Lejeune – Louisville</w:t>
      </w:r>
      <w:r w:rsidR="005B451B">
        <w:rPr>
          <w:rStyle w:val="Emphasis"/>
        </w:rPr>
        <w:t xml:space="preserve"> s</w:t>
      </w:r>
      <w:r w:rsidR="005B451B" w:rsidRPr="0051775E">
        <w:rPr>
          <w:i/>
        </w:rPr>
        <w:t xml:space="preserve">pecial </w:t>
      </w:r>
      <w:r w:rsidR="005B451B">
        <w:rPr>
          <w:i/>
        </w:rPr>
        <w:t>i</w:t>
      </w:r>
      <w:r w:rsidR="005B451B" w:rsidRPr="0051775E">
        <w:rPr>
          <w:i/>
        </w:rPr>
        <w:t>ssue</w:t>
      </w:r>
      <w:r w:rsidR="005B451B">
        <w:rPr>
          <w:i/>
        </w:rPr>
        <w:t xml:space="preserve">s in </w:t>
      </w:r>
      <w:r w:rsidR="005B451B">
        <w:rPr>
          <w:rFonts w:ascii="Verdana" w:hAnsi="Verdana"/>
          <w:b/>
          <w:bCs/>
          <w:highlight w:val="green"/>
        </w:rPr>
        <w:t>VBMS-R</w:t>
      </w:r>
    </w:p>
    <w:p w:rsidR="003C699E" w:rsidRPr="008058D8" w:rsidRDefault="00AD1DF9" w:rsidP="00F063AF">
      <w:pPr>
        <w:pStyle w:val="ListParagraph"/>
        <w:widowControl w:val="0"/>
        <w:numPr>
          <w:ilvl w:val="0"/>
          <w:numId w:val="357"/>
        </w:numPr>
        <w:spacing w:after="120" w:line="240" w:lineRule="auto"/>
        <w:ind w:left="360"/>
        <w:rPr>
          <w:rFonts w:ascii="Arial" w:hAnsi="Arial"/>
          <w:i/>
          <w:sz w:val="20"/>
          <w:szCs w:val="20"/>
        </w:rPr>
      </w:pPr>
      <w:r>
        <w:rPr>
          <w:rFonts w:ascii="Arial" w:hAnsi="Arial"/>
          <w:b/>
          <w:bCs/>
          <w:iCs/>
          <w:sz w:val="20"/>
          <w:szCs w:val="20"/>
        </w:rPr>
        <w:t>IV.ii.2.C.6</w:t>
      </w:r>
      <w:r w:rsidR="003C699E" w:rsidRPr="003C699E">
        <w:rPr>
          <w:rFonts w:ascii="Arial" w:hAnsi="Arial"/>
          <w:b/>
          <w:bCs/>
          <w:iCs/>
          <w:sz w:val="20"/>
          <w:szCs w:val="20"/>
        </w:rPr>
        <w:t xml:space="preserve">.i - </w:t>
      </w:r>
      <w:r w:rsidR="003C699E" w:rsidRPr="008058D8">
        <w:rPr>
          <w:rFonts w:ascii="Arial" w:hAnsi="Arial"/>
          <w:i/>
          <w:sz w:val="20"/>
          <w:szCs w:val="20"/>
        </w:rPr>
        <w:t xml:space="preserve">Add this to Reasons for Decision </w:t>
      </w:r>
      <w:r w:rsidR="00C5356C" w:rsidRPr="008058D8">
        <w:rPr>
          <w:rFonts w:ascii="Arial" w:hAnsi="Arial"/>
          <w:i/>
          <w:sz w:val="20"/>
          <w:szCs w:val="20"/>
        </w:rPr>
        <w:t>if granting presumptive</w:t>
      </w:r>
      <w:r w:rsidR="00BD41B3" w:rsidRPr="008058D8">
        <w:rPr>
          <w:rFonts w:ascii="Arial" w:hAnsi="Arial"/>
          <w:i/>
          <w:sz w:val="20"/>
          <w:szCs w:val="20"/>
        </w:rPr>
        <w:t>ly</w:t>
      </w:r>
      <w:r w:rsidR="003C699E" w:rsidRPr="009474DB">
        <w:rPr>
          <w:rFonts w:ascii="Arial" w:hAnsi="Arial"/>
          <w:i/>
          <w:sz w:val="20"/>
          <w:szCs w:val="20"/>
        </w:rPr>
        <w:t>:</w:t>
      </w:r>
    </w:p>
    <w:p w:rsidR="003C699E" w:rsidRPr="008058D8" w:rsidRDefault="003C699E" w:rsidP="003C699E">
      <w:pPr>
        <w:spacing w:after="120"/>
        <w:ind w:left="360"/>
      </w:pPr>
      <w:r w:rsidRPr="008058D8">
        <w:t xml:space="preserve">Service connection may be granted for specific diseases or conditions which are presumed to have been caused by exposure to contaminants in the water supply at Camp Lejeune.  Although not shown in service, service connection for [insert condition] has been granted on the basis of presumption due to exposure to contaminants in the water supply at Camp Lejeune. </w:t>
      </w:r>
    </w:p>
    <w:p w:rsidR="003C699E" w:rsidRPr="008058D8" w:rsidRDefault="00AD1DF9" w:rsidP="00F063AF">
      <w:pPr>
        <w:pStyle w:val="ListParagraph"/>
        <w:widowControl w:val="0"/>
        <w:numPr>
          <w:ilvl w:val="0"/>
          <w:numId w:val="357"/>
        </w:numPr>
        <w:spacing w:after="120" w:line="240" w:lineRule="auto"/>
        <w:ind w:left="360"/>
        <w:rPr>
          <w:rFonts w:ascii="Arial" w:hAnsi="Arial"/>
          <w:i/>
          <w:sz w:val="20"/>
          <w:szCs w:val="20"/>
        </w:rPr>
      </w:pPr>
      <w:r>
        <w:rPr>
          <w:rFonts w:ascii="Arial" w:hAnsi="Arial"/>
          <w:b/>
          <w:bCs/>
          <w:iCs/>
          <w:sz w:val="20"/>
          <w:szCs w:val="20"/>
        </w:rPr>
        <w:t>IV.ii.2</w:t>
      </w:r>
      <w:r w:rsidR="003C699E" w:rsidRPr="003C699E">
        <w:rPr>
          <w:rFonts w:ascii="Arial" w:hAnsi="Arial"/>
          <w:b/>
          <w:bCs/>
          <w:iCs/>
          <w:sz w:val="20"/>
          <w:szCs w:val="20"/>
        </w:rPr>
        <w:t>.</w:t>
      </w:r>
      <w:r>
        <w:rPr>
          <w:rFonts w:ascii="Arial" w:hAnsi="Arial"/>
          <w:b/>
          <w:bCs/>
          <w:iCs/>
          <w:sz w:val="20"/>
          <w:szCs w:val="20"/>
        </w:rPr>
        <w:t>C</w:t>
      </w:r>
      <w:r w:rsidR="003C699E" w:rsidRPr="003C699E">
        <w:rPr>
          <w:rFonts w:ascii="Arial" w:hAnsi="Arial"/>
          <w:b/>
          <w:bCs/>
          <w:iCs/>
          <w:sz w:val="20"/>
          <w:szCs w:val="20"/>
        </w:rPr>
        <w:t>.6.</w:t>
      </w:r>
      <w:r w:rsidR="003C699E">
        <w:rPr>
          <w:rFonts w:ascii="Arial" w:hAnsi="Arial"/>
          <w:b/>
          <w:bCs/>
          <w:iCs/>
          <w:sz w:val="20"/>
          <w:szCs w:val="20"/>
        </w:rPr>
        <w:t>j</w:t>
      </w:r>
      <w:r w:rsidR="003C699E" w:rsidRPr="003C699E">
        <w:rPr>
          <w:rFonts w:ascii="Arial" w:hAnsi="Arial"/>
          <w:b/>
          <w:bCs/>
          <w:iCs/>
          <w:sz w:val="20"/>
          <w:szCs w:val="20"/>
        </w:rPr>
        <w:t xml:space="preserve"> - </w:t>
      </w:r>
      <w:r w:rsidR="003C699E" w:rsidRPr="008058D8">
        <w:rPr>
          <w:rFonts w:ascii="Arial" w:hAnsi="Arial"/>
          <w:i/>
          <w:sz w:val="20"/>
          <w:szCs w:val="20"/>
        </w:rPr>
        <w:t>Add this to Reasons for Decision if denying presumptively:</w:t>
      </w:r>
    </w:p>
    <w:p w:rsidR="003C699E" w:rsidRPr="008058D8" w:rsidRDefault="003C699E" w:rsidP="008F4022">
      <w:pPr>
        <w:pStyle w:val="ListParagraph"/>
        <w:spacing w:after="120" w:line="240" w:lineRule="auto"/>
        <w:ind w:left="360"/>
        <w:rPr>
          <w:rFonts w:ascii="Arial" w:hAnsi="Arial"/>
          <w:bCs/>
          <w:sz w:val="20"/>
        </w:rPr>
      </w:pPr>
      <w:r w:rsidRPr="008058D8">
        <w:rPr>
          <w:rFonts w:ascii="Arial" w:hAnsi="Arial"/>
          <w:sz w:val="20"/>
        </w:rPr>
        <w:t xml:space="preserve">VA has acknowledged a relationship between exposure to contaminants in the water supply at Camp Lejeune during the period beginning on August 1, 1953, and ending on December 31, 1987, and the subsequent development of the following conditions:  kidney cancer, liver cancer, non-Hodgkin’s lymphoma, adult leukemia, multiple myeloma, Parkinson’s disease, aplastic anemia and other myelodysplastic syndromes, and bladder cancer.  Service at Camp Lejeune for Veterans, Reservists, and former National Guard members must have been for at least 30 days (cumulative) during the specified time frame.  </w:t>
      </w:r>
      <w:r w:rsidRPr="008058D8">
        <w:rPr>
          <w:rFonts w:ascii="Arial" w:hAnsi="Arial"/>
          <w:bCs/>
          <w:sz w:val="20"/>
        </w:rPr>
        <w:t>A presumption of service connection based on exposure to contaminants in the water supply at Camp Lejeune is not warranted for any other condition.</w:t>
      </w:r>
    </w:p>
    <w:p w:rsidR="003C699E" w:rsidRDefault="008058D8" w:rsidP="008F4022">
      <w:pPr>
        <w:pStyle w:val="ListParagraph"/>
        <w:spacing w:after="120" w:line="240" w:lineRule="auto"/>
        <w:ind w:left="360"/>
        <w:rPr>
          <w:rFonts w:ascii="Arial" w:hAnsi="Arial"/>
          <w:i/>
          <w:sz w:val="20"/>
          <w:szCs w:val="20"/>
        </w:rPr>
      </w:pPr>
      <w:r>
        <w:rPr>
          <w:rFonts w:ascii="Arial" w:hAnsi="Arial"/>
          <w:bCs/>
          <w:i/>
          <w:sz w:val="20"/>
        </w:rPr>
        <w:t>*p</w:t>
      </w:r>
      <w:r w:rsidR="003C699E" w:rsidRPr="008058D8">
        <w:rPr>
          <w:rFonts w:ascii="Arial" w:hAnsi="Arial"/>
          <w:bCs/>
          <w:i/>
          <w:sz w:val="20"/>
        </w:rPr>
        <w:t>lus add relevant text from table</w:t>
      </w:r>
      <w:r w:rsidR="00BD41B3" w:rsidRPr="008058D8">
        <w:rPr>
          <w:rFonts w:ascii="Arial" w:hAnsi="Arial"/>
          <w:bCs/>
          <w:i/>
          <w:sz w:val="20"/>
        </w:rPr>
        <w:t xml:space="preserve"> at </w:t>
      </w:r>
      <w:r w:rsidR="00BD41B3" w:rsidRPr="008058D8">
        <w:rPr>
          <w:rFonts w:ascii="Arial" w:hAnsi="Arial"/>
          <w:b/>
          <w:bCs/>
          <w:i/>
          <w:iCs/>
          <w:sz w:val="20"/>
          <w:szCs w:val="20"/>
        </w:rPr>
        <w:t xml:space="preserve">IV.ii.2.C.6.j </w:t>
      </w:r>
      <w:r w:rsidR="00BD41B3" w:rsidRPr="008058D8">
        <w:rPr>
          <w:rFonts w:ascii="Arial" w:hAnsi="Arial"/>
          <w:bCs/>
          <w:i/>
          <w:sz w:val="20"/>
        </w:rPr>
        <w:t xml:space="preserve">in </w:t>
      </w:r>
      <w:r w:rsidR="008467B8">
        <w:rPr>
          <w:rFonts w:ascii="Arial" w:hAnsi="Arial"/>
          <w:i/>
          <w:sz w:val="20"/>
          <w:szCs w:val="20"/>
        </w:rPr>
        <w:t>Reasons for Decision</w:t>
      </w:r>
    </w:p>
    <w:p w:rsidR="00F107C0" w:rsidRPr="00F107C0" w:rsidRDefault="00D571C5" w:rsidP="00F063AF">
      <w:pPr>
        <w:widowControl w:val="0"/>
        <w:numPr>
          <w:ilvl w:val="1"/>
          <w:numId w:val="105"/>
        </w:numPr>
        <w:tabs>
          <w:tab w:val="clear" w:pos="1440"/>
          <w:tab w:val="num" w:pos="360"/>
        </w:tabs>
        <w:spacing w:after="120"/>
        <w:ind w:left="360"/>
        <w:rPr>
          <w:rStyle w:val="Hyperlink"/>
          <w:color w:val="auto"/>
          <w:u w:val="none"/>
        </w:rPr>
      </w:pPr>
      <w:hyperlink r:id="rId415" w:history="1">
        <w:r w:rsidR="00F107C0" w:rsidRPr="0031324C">
          <w:rPr>
            <w:rStyle w:val="Hyperlink"/>
            <w:b/>
            <w:bCs/>
            <w:i/>
          </w:rPr>
          <w:t>April 2017 Quality Call Notes</w:t>
        </w:r>
      </w:hyperlink>
      <w:r w:rsidR="00F107C0">
        <w:rPr>
          <w:rStyle w:val="Hyperlink"/>
          <w:bCs/>
          <w:color w:val="auto"/>
          <w:u w:val="none"/>
        </w:rPr>
        <w:t xml:space="preserve"> – </w:t>
      </w:r>
    </w:p>
    <w:p w:rsidR="00F107C0" w:rsidRPr="00F107C0" w:rsidRDefault="00F107C0" w:rsidP="00F107C0">
      <w:pPr>
        <w:pStyle w:val="NoSpacing"/>
        <w:spacing w:after="120"/>
        <w:ind w:left="360"/>
        <w:rPr>
          <w:rFonts w:ascii="Arial" w:hAnsi="Arial"/>
          <w:b/>
          <w:color w:val="FFFFFF"/>
          <w:sz w:val="20"/>
          <w:szCs w:val="22"/>
        </w:rPr>
      </w:pPr>
      <w:r w:rsidRPr="00F107C0">
        <w:rPr>
          <w:rFonts w:ascii="Arial" w:hAnsi="Arial"/>
          <w:b/>
          <w:color w:val="000000"/>
          <w:sz w:val="20"/>
          <w:szCs w:val="22"/>
        </w:rPr>
        <w:t>Question:  A Veteran with qualifying Camp Lejeune service claims Parkinson’s disease, but medical evidence shows only Parkinsonism.  This looks like it will be the ROJ’s jurisdiction per M21-1 IV.ii.1.I.7.c and a possible denial since there is no diagnosis of the claimed condition.  However, if the same Veteran claimed Parkinsonism, then per the same table, it would be referred to Louisville and a SME medical opinion may be requested by Louisville.  Are we reading that table and those following blocks correctly?</w:t>
      </w:r>
    </w:p>
    <w:p w:rsidR="00F107C0" w:rsidRPr="00F107C0" w:rsidRDefault="00F107C0" w:rsidP="00F107C0">
      <w:pPr>
        <w:pStyle w:val="NoSpacing"/>
        <w:ind w:left="360"/>
        <w:rPr>
          <w:rFonts w:ascii="Arial" w:hAnsi="Arial"/>
          <w:color w:val="FFFFFF"/>
          <w:sz w:val="20"/>
          <w:szCs w:val="22"/>
        </w:rPr>
      </w:pPr>
      <w:r w:rsidRPr="00F107C0">
        <w:rPr>
          <w:rFonts w:ascii="Arial" w:hAnsi="Arial"/>
          <w:color w:val="000000"/>
          <w:sz w:val="20"/>
          <w:szCs w:val="22"/>
        </w:rPr>
        <w:t>Answer:  Parkinsonism should be considered a neurobehavioral effect under the healthcare law (</w:t>
      </w:r>
      <w:hyperlink r:id="rId416" w:history="1">
        <w:r w:rsidRPr="00F107C0">
          <w:rPr>
            <w:rStyle w:val="Hyperlink"/>
            <w:rFonts w:ascii="Arial" w:hAnsi="Arial"/>
            <w:sz w:val="20"/>
            <w:szCs w:val="22"/>
          </w:rPr>
          <w:t>38 CFR 17.400</w:t>
        </w:r>
      </w:hyperlink>
      <w:r w:rsidRPr="00F107C0">
        <w:rPr>
          <w:rFonts w:ascii="Arial" w:hAnsi="Arial"/>
          <w:color w:val="000000"/>
          <w:sz w:val="20"/>
          <w:szCs w:val="22"/>
        </w:rPr>
        <w:t>).  So if you see the diagnosis, or if Parkinsonism is claimed, it should be sent to Louisville.</w:t>
      </w:r>
    </w:p>
    <w:p w:rsidR="003C699E" w:rsidRDefault="003C699E" w:rsidP="00A97740">
      <w:pPr>
        <w:widowControl w:val="0"/>
        <w:rPr>
          <w:bCs/>
          <w:iCs/>
        </w:rPr>
      </w:pPr>
    </w:p>
    <w:p w:rsidR="00A66EEF" w:rsidRPr="00A66EEF" w:rsidRDefault="00A66EEF" w:rsidP="00F063AF">
      <w:pPr>
        <w:pStyle w:val="ListParagraph"/>
        <w:numPr>
          <w:ilvl w:val="1"/>
          <w:numId w:val="105"/>
        </w:numPr>
        <w:tabs>
          <w:tab w:val="clear" w:pos="1440"/>
          <w:tab w:val="num" w:pos="360"/>
        </w:tabs>
        <w:spacing w:after="0" w:line="240" w:lineRule="auto"/>
        <w:ind w:left="360"/>
        <w:rPr>
          <w:rFonts w:ascii="Arial" w:hAnsi="Arial"/>
          <w:sz w:val="20"/>
          <w:szCs w:val="20"/>
        </w:rPr>
      </w:pPr>
      <w:r w:rsidRPr="00A66EEF">
        <w:rPr>
          <w:rFonts w:ascii="Arial" w:hAnsi="Arial"/>
          <w:b/>
          <w:bCs/>
          <w:sz w:val="20"/>
          <w:szCs w:val="20"/>
        </w:rPr>
        <w:t>From:</w:t>
      </w:r>
      <w:r w:rsidRPr="00A66EEF">
        <w:rPr>
          <w:rFonts w:ascii="Arial" w:hAnsi="Arial"/>
          <w:sz w:val="20"/>
          <w:szCs w:val="20"/>
        </w:rPr>
        <w:t xml:space="preserve"> VAVBASDC/RO/VSC </w:t>
      </w:r>
      <w:r w:rsidRPr="00A66EEF">
        <w:rPr>
          <w:rFonts w:ascii="Arial" w:hAnsi="Arial"/>
          <w:sz w:val="20"/>
          <w:szCs w:val="20"/>
        </w:rPr>
        <w:br/>
      </w:r>
      <w:r w:rsidRPr="00A66EEF">
        <w:rPr>
          <w:rFonts w:ascii="Arial" w:hAnsi="Arial"/>
          <w:b/>
          <w:bCs/>
          <w:sz w:val="20"/>
          <w:szCs w:val="20"/>
        </w:rPr>
        <w:t>Sent:</w:t>
      </w:r>
      <w:r w:rsidRPr="00A66EEF">
        <w:rPr>
          <w:rFonts w:ascii="Arial" w:hAnsi="Arial"/>
          <w:sz w:val="20"/>
          <w:szCs w:val="20"/>
        </w:rPr>
        <w:t xml:space="preserve"> Wednesday, April 04, 2018 3:10 PM</w:t>
      </w:r>
      <w:r w:rsidRPr="00A66EEF">
        <w:rPr>
          <w:rFonts w:ascii="Arial" w:hAnsi="Arial"/>
          <w:sz w:val="20"/>
          <w:szCs w:val="20"/>
        </w:rPr>
        <w:br/>
      </w:r>
      <w:r w:rsidRPr="00A66EEF">
        <w:rPr>
          <w:rFonts w:ascii="Arial" w:hAnsi="Arial"/>
          <w:b/>
          <w:bCs/>
          <w:sz w:val="20"/>
          <w:szCs w:val="20"/>
        </w:rPr>
        <w:t>Subject:</w:t>
      </w:r>
      <w:r w:rsidRPr="00A66EEF">
        <w:rPr>
          <w:rFonts w:ascii="Arial" w:hAnsi="Arial"/>
          <w:sz w:val="20"/>
          <w:szCs w:val="20"/>
        </w:rPr>
        <w:t xml:space="preserve"> Q-Tip: Camp Lejeune Contaminated Water Rating decisions and Liberalizing Legislation (3.114)</w:t>
      </w:r>
    </w:p>
    <w:p w:rsidR="00A66EEF" w:rsidRPr="00A66EEF" w:rsidRDefault="00A66EEF" w:rsidP="00A66EEF">
      <w:pPr>
        <w:rPr>
          <w:rFonts w:eastAsiaTheme="minorHAnsi"/>
        </w:rPr>
      </w:pPr>
    </w:p>
    <w:p w:rsidR="00A66EEF" w:rsidRPr="00A66EEF" w:rsidRDefault="00A66EEF" w:rsidP="00A66EEF">
      <w:pPr>
        <w:ind w:left="360"/>
      </w:pPr>
      <w:r w:rsidRPr="00A66EEF">
        <w:t xml:space="preserve">Recent communication from the Louisville RO has identified a jurisdictional issue with regard to Camp Lejeune contaminated drinking water claims where an earlier effective date pursuant to 38 CFR 3.114 (Change in Law) is involved. Accordingly, this Q-Tip is being sent out with the intent of clarifying the action to take on claims associated with drinking water contamination at Camp Lejeune, received prior to the change in law.  </w:t>
      </w:r>
    </w:p>
    <w:p w:rsidR="00A66EEF" w:rsidRPr="00A66EEF" w:rsidRDefault="00A66EEF" w:rsidP="00A66EEF">
      <w:pPr>
        <w:ind w:left="360"/>
      </w:pPr>
    </w:p>
    <w:p w:rsidR="00A66EEF" w:rsidRPr="00A66EEF" w:rsidRDefault="00A66EEF" w:rsidP="00A66EEF">
      <w:pPr>
        <w:ind w:left="360"/>
        <w:rPr>
          <w:b/>
          <w:bCs/>
          <w:u w:val="single"/>
        </w:rPr>
      </w:pPr>
      <w:r w:rsidRPr="00A66EEF">
        <w:rPr>
          <w:b/>
          <w:bCs/>
          <w:u w:val="single"/>
        </w:rPr>
        <w:t>Background:</w:t>
      </w:r>
    </w:p>
    <w:p w:rsidR="00A66EEF" w:rsidRPr="00A66EEF" w:rsidRDefault="00A66EEF" w:rsidP="00A66EEF">
      <w:pPr>
        <w:ind w:left="360"/>
      </w:pPr>
    </w:p>
    <w:p w:rsidR="00A66EEF" w:rsidRPr="00A66EEF" w:rsidRDefault="00A66EEF" w:rsidP="00A66EEF">
      <w:pPr>
        <w:ind w:left="360"/>
      </w:pPr>
      <w:r w:rsidRPr="00A66EEF">
        <w:t>On March 14, 2017, 38 CFR 3.307(a)(7) effectuated a presumption of SC for specific disabilities for Veterans who served no less than 30 days (consecutive or nonconsecutive) at the U.S. Marine Corps Base Camp Lejeune, North Carolina between August 1, 1953, and December 31, 1987, based on exposure to contaminants present in the base’s water supply.</w:t>
      </w:r>
    </w:p>
    <w:p w:rsidR="00A66EEF" w:rsidRPr="00A66EEF" w:rsidRDefault="00A66EEF" w:rsidP="00A66EEF">
      <w:pPr>
        <w:ind w:left="360"/>
      </w:pPr>
    </w:p>
    <w:p w:rsidR="00A66EEF" w:rsidRPr="00A66EEF" w:rsidRDefault="00A66EEF" w:rsidP="00A66EEF">
      <w:pPr>
        <w:ind w:left="360"/>
      </w:pPr>
      <w:r w:rsidRPr="00A66EEF">
        <w:t>M21-1, IV.ii.1.l.7.c  provides a table which lists the RO having jurisdiction over the claim dependent upon several factors including whether the condition claimed is recognized under 38 CFR 3.309(f), whether a diagnosis actually exists, and also taking into consideration the amount of time the Veteran is of record as having served onboard Camp Lejeune. RVSR’s are encouraged to consult this section of the Manual prior to rating and evaluating a claim stemming from duty onboard Camp Lejeune.</w:t>
      </w:r>
    </w:p>
    <w:p w:rsidR="00A66EEF" w:rsidRPr="00A66EEF" w:rsidRDefault="00A66EEF" w:rsidP="00A66EEF">
      <w:pPr>
        <w:ind w:left="360"/>
      </w:pPr>
    </w:p>
    <w:p w:rsidR="00A66EEF" w:rsidRPr="00A66EEF" w:rsidRDefault="00A66EEF" w:rsidP="00A66EEF">
      <w:pPr>
        <w:ind w:left="360"/>
      </w:pPr>
      <w:r w:rsidRPr="00A66EEF">
        <w:t>Additionally, please note that the Louisville RO has jurisdiction for any appeals received on Camp Lejeune claims and all other inextricably intertwined non-Camp Lejeune appeals.</w:t>
      </w:r>
    </w:p>
    <w:p w:rsidR="00A66EEF" w:rsidRPr="00A66EEF" w:rsidRDefault="00A66EEF" w:rsidP="00A66EEF">
      <w:pPr>
        <w:ind w:left="360"/>
      </w:pPr>
    </w:p>
    <w:p w:rsidR="00A66EEF" w:rsidRPr="00A66EEF" w:rsidRDefault="00A66EEF" w:rsidP="00A66EEF">
      <w:pPr>
        <w:ind w:left="360"/>
        <w:rPr>
          <w:b/>
          <w:bCs/>
          <w:u w:val="single"/>
        </w:rPr>
      </w:pPr>
      <w:r w:rsidRPr="00A66EEF">
        <w:rPr>
          <w:b/>
          <w:bCs/>
          <w:u w:val="single"/>
        </w:rPr>
        <w:t>Effective date consideration:</w:t>
      </w:r>
    </w:p>
    <w:p w:rsidR="00A66EEF" w:rsidRPr="00A66EEF" w:rsidRDefault="00A66EEF" w:rsidP="00A66EEF">
      <w:pPr>
        <w:ind w:left="360"/>
      </w:pPr>
    </w:p>
    <w:p w:rsidR="00A66EEF" w:rsidRPr="00A66EEF" w:rsidRDefault="00A66EEF" w:rsidP="00A66EEF">
      <w:pPr>
        <w:ind w:left="360"/>
      </w:pPr>
      <w:r w:rsidRPr="00A66EEF">
        <w:t xml:space="preserve">Of specific importance are the effective date considerations. The presumption established in 38 CFR 3.307(a)(7) became effective on March 14, 2017. Decision makers must evaluate the facts of each claim to determine the most advantageous effective date allowed. </w:t>
      </w:r>
    </w:p>
    <w:p w:rsidR="00A66EEF" w:rsidRPr="00A66EEF" w:rsidRDefault="00A66EEF" w:rsidP="00A66EEF"/>
    <w:p w:rsidR="00A66EEF" w:rsidRPr="00A66EEF" w:rsidRDefault="00A66EEF" w:rsidP="00F063AF">
      <w:pPr>
        <w:pStyle w:val="ListParagraph"/>
        <w:numPr>
          <w:ilvl w:val="0"/>
          <w:numId w:val="414"/>
        </w:numPr>
        <w:spacing w:after="0" w:line="240" w:lineRule="auto"/>
        <w:ind w:left="810"/>
        <w:contextualSpacing/>
        <w:rPr>
          <w:rFonts w:ascii="Arial" w:hAnsi="Arial"/>
          <w:sz w:val="20"/>
          <w:szCs w:val="20"/>
        </w:rPr>
      </w:pPr>
      <w:r w:rsidRPr="00A66EEF">
        <w:rPr>
          <w:rFonts w:ascii="Arial" w:hAnsi="Arial"/>
          <w:sz w:val="20"/>
          <w:szCs w:val="20"/>
        </w:rPr>
        <w:t>If awarding a claim based on exposure to contaminants in the Camp Lejeune water supply on a direct basis under 38 CFR 3.303, apply the regular effective date provisions of 38 CFR 3.400, General.</w:t>
      </w:r>
    </w:p>
    <w:p w:rsidR="00A66EEF" w:rsidRPr="00A66EEF" w:rsidRDefault="00A66EEF" w:rsidP="00F063AF">
      <w:pPr>
        <w:pStyle w:val="ListParagraph"/>
        <w:numPr>
          <w:ilvl w:val="0"/>
          <w:numId w:val="414"/>
        </w:numPr>
        <w:spacing w:after="0" w:line="240" w:lineRule="auto"/>
        <w:ind w:left="810"/>
        <w:contextualSpacing/>
        <w:rPr>
          <w:rFonts w:ascii="Arial" w:hAnsi="Arial"/>
          <w:sz w:val="20"/>
          <w:szCs w:val="20"/>
        </w:rPr>
      </w:pPr>
      <w:r w:rsidRPr="00A66EEF">
        <w:rPr>
          <w:rFonts w:ascii="Arial" w:hAnsi="Arial"/>
          <w:sz w:val="20"/>
          <w:szCs w:val="20"/>
        </w:rPr>
        <w:t>If awarding a claim presumptively under 38 CFR 3.307(a)(7), consider the provisions of 38 CFR 3.114(a), i.e. Change of law or Department of Veterans Affairs issue.</w:t>
      </w:r>
    </w:p>
    <w:p w:rsidR="00A66EEF" w:rsidRPr="00A66EEF" w:rsidRDefault="00A66EEF" w:rsidP="00A66EEF"/>
    <w:p w:rsidR="00A66EEF" w:rsidRPr="00A66EEF" w:rsidRDefault="00A66EEF" w:rsidP="00A66EEF">
      <w:pPr>
        <w:ind w:left="360"/>
      </w:pPr>
      <w:r w:rsidRPr="00A66EEF">
        <w:t xml:space="preserve">Please be aware that if you are processing a Camp Lejeune claim which was filed </w:t>
      </w:r>
      <w:r w:rsidRPr="00A66EEF">
        <w:rPr>
          <w:u w:val="single"/>
        </w:rPr>
        <w:t>prior to March 14, 2017</w:t>
      </w:r>
      <w:r w:rsidRPr="00A66EEF">
        <w:t xml:space="preserve"> (the date of the change in law), please refer to M21-1, IV.ii.2.C.6.k. The provisions of 38 CFR 3.114 may apply. This section of the Manual states all Camp Lejeune claims filed PRIOR to March 14, 2017, must be referred to the Louisville RO. </w:t>
      </w:r>
    </w:p>
    <w:p w:rsidR="00A66EEF" w:rsidRDefault="00A66EEF" w:rsidP="00A66EEF">
      <w:pPr>
        <w:ind w:left="360"/>
      </w:pPr>
    </w:p>
    <w:p w:rsidR="00A66EEF" w:rsidRPr="00A66EEF" w:rsidRDefault="00A66EEF" w:rsidP="00A66EEF">
      <w:pPr>
        <w:ind w:left="360"/>
      </w:pPr>
      <w:r w:rsidRPr="00A66EEF">
        <w:t>/s/</w:t>
      </w:r>
    </w:p>
    <w:p w:rsidR="00A66EEF" w:rsidRDefault="00A66EEF" w:rsidP="00A66EEF">
      <w:pPr>
        <w:ind w:left="360"/>
      </w:pPr>
      <w:r w:rsidRPr="00A66EEF">
        <w:t>VSC Front Office</w:t>
      </w:r>
    </w:p>
    <w:p w:rsidR="00A66EEF" w:rsidRDefault="00A66EEF" w:rsidP="00A66EEF"/>
    <w:p w:rsidR="00A66EEF" w:rsidRDefault="00A66EEF" w:rsidP="00A66EEF">
      <w:pPr>
        <w:ind w:left="360"/>
      </w:pPr>
      <w:r>
        <w:t>This reference further provides a table describing the process of handling claims filed prior to the change in law. (M21-1 IV.ii.2.C.6.k.)</w:t>
      </w:r>
    </w:p>
    <w:p w:rsidR="00A66EEF" w:rsidRDefault="00A66EEF" w:rsidP="00A66EEF"/>
    <w:p w:rsidR="00A66EEF" w:rsidRDefault="00A66EEF" w:rsidP="00A66EEF"/>
    <w:tbl>
      <w:tblPr>
        <w:tblW w:w="7755" w:type="dxa"/>
        <w:tblCellSpacing w:w="0" w:type="dxa"/>
        <w:tblInd w:w="43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Description w:val="This is a stage-who is responsible-description table.  Column 1 is the stage number, column 2 is the responsible party, and column 3 describes the process of handling claims filed prior to March 14, 2017."/>
      </w:tblPr>
      <w:tblGrid>
        <w:gridCol w:w="855"/>
        <w:gridCol w:w="3090"/>
        <w:gridCol w:w="3810"/>
      </w:tblGrid>
      <w:tr w:rsidR="00A66EEF" w:rsidRPr="00A66EEF" w:rsidTr="00A66EEF">
        <w:trPr>
          <w:tblCellSpacing w:w="0" w:type="dxa"/>
        </w:trPr>
        <w:tc>
          <w:tcPr>
            <w:tcW w:w="855"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jc w:val="center"/>
              <w:rPr>
                <w:rFonts w:cs="Times New Roman"/>
                <w:szCs w:val="24"/>
              </w:rPr>
            </w:pPr>
            <w:r w:rsidRPr="00A66EEF">
              <w:rPr>
                <w:szCs w:val="21"/>
              </w:rPr>
              <w:t>1</w:t>
            </w:r>
          </w:p>
        </w:tc>
        <w:tc>
          <w:tcPr>
            <w:tcW w:w="309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Rating activity</w:t>
            </w:r>
          </w:p>
        </w:tc>
        <w:tc>
          <w:tcPr>
            <w:tcW w:w="381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Creates a free text issue for entitlement to an earlier effective date for the Camp LeJeune presumptive condition.</w:t>
            </w:r>
          </w:p>
          <w:p w:rsidR="00A66EEF" w:rsidRPr="00A66EEF" w:rsidRDefault="00A66EEF">
            <w:pPr>
              <w:rPr>
                <w:rFonts w:cs="Times New Roman"/>
                <w:szCs w:val="24"/>
              </w:rPr>
            </w:pPr>
            <w:r w:rsidRPr="00A66EEF">
              <w:rPr>
                <w:szCs w:val="21"/>
              </w:rPr>
              <w:t> </w:t>
            </w:r>
          </w:p>
          <w:p w:rsidR="00A66EEF" w:rsidRPr="00A66EEF" w:rsidRDefault="00A66EEF">
            <w:pPr>
              <w:rPr>
                <w:rFonts w:cs="Times New Roman"/>
                <w:szCs w:val="24"/>
              </w:rPr>
            </w:pPr>
            <w:r w:rsidRPr="00A66EEF">
              <w:rPr>
                <w:b/>
                <w:bCs/>
                <w:i/>
                <w:iCs/>
                <w:szCs w:val="21"/>
              </w:rPr>
              <w:t>Example</w:t>
            </w:r>
            <w:r w:rsidRPr="00A66EEF">
              <w:rPr>
                <w:szCs w:val="21"/>
              </w:rPr>
              <w:t xml:space="preserve">:  </w:t>
            </w:r>
            <w:r w:rsidRPr="00A66EEF">
              <w:rPr>
                <w:i/>
                <w:iCs/>
                <w:szCs w:val="21"/>
              </w:rPr>
              <w:t>Entitlement to an effective date prior to March 14, 2017, for service connection of</w:t>
            </w:r>
            <w:r w:rsidRPr="00A66EEF">
              <w:rPr>
                <w:szCs w:val="21"/>
              </w:rPr>
              <w:t xml:space="preserve"> </w:t>
            </w:r>
            <w:r w:rsidRPr="00A66EEF">
              <w:rPr>
                <w:i/>
                <w:iCs/>
                <w:szCs w:val="21"/>
              </w:rPr>
              <w:t>bladder cancer.</w:t>
            </w:r>
          </w:p>
        </w:tc>
      </w:tr>
      <w:tr w:rsidR="00A66EEF" w:rsidRPr="00A66EEF" w:rsidTr="00A66EEF">
        <w:trPr>
          <w:tblCellSpacing w:w="0" w:type="dxa"/>
        </w:trPr>
        <w:tc>
          <w:tcPr>
            <w:tcW w:w="855"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jc w:val="center"/>
              <w:rPr>
                <w:rFonts w:cs="Times New Roman"/>
                <w:szCs w:val="24"/>
              </w:rPr>
            </w:pPr>
            <w:r w:rsidRPr="00A66EEF">
              <w:rPr>
                <w:szCs w:val="21"/>
              </w:rPr>
              <w:t>2</w:t>
            </w:r>
          </w:p>
        </w:tc>
        <w:tc>
          <w:tcPr>
            <w:tcW w:w="309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Rating Activity</w:t>
            </w:r>
          </w:p>
        </w:tc>
        <w:tc>
          <w:tcPr>
            <w:tcW w:w="381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Creates a note in the SPECIAL NOTATION field, instructing the authorization activity to continue the end product (EP) for assignment of the claim to the Louisville RO.</w:t>
            </w:r>
          </w:p>
        </w:tc>
      </w:tr>
      <w:tr w:rsidR="00A66EEF" w:rsidRPr="00A66EEF" w:rsidTr="00A66EEF">
        <w:trPr>
          <w:tblCellSpacing w:w="0" w:type="dxa"/>
        </w:trPr>
        <w:tc>
          <w:tcPr>
            <w:tcW w:w="855"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jc w:val="center"/>
              <w:rPr>
                <w:rFonts w:cs="Times New Roman"/>
                <w:szCs w:val="24"/>
              </w:rPr>
            </w:pPr>
            <w:r w:rsidRPr="00A66EEF">
              <w:rPr>
                <w:szCs w:val="21"/>
              </w:rPr>
              <w:t>2</w:t>
            </w:r>
          </w:p>
        </w:tc>
        <w:tc>
          <w:tcPr>
            <w:tcW w:w="309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Rating Activity</w:t>
            </w:r>
          </w:p>
        </w:tc>
        <w:tc>
          <w:tcPr>
            <w:tcW w:w="381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highlight w:val="yellow"/>
              </w:rPr>
            </w:pPr>
            <w:r w:rsidRPr="00A66EEF">
              <w:rPr>
                <w:szCs w:val="21"/>
                <w:highlight w:val="yellow"/>
              </w:rPr>
              <w:t>Completes a rating decision</w:t>
            </w:r>
          </w:p>
          <w:p w:rsidR="00A66EEF" w:rsidRPr="00A66EEF" w:rsidRDefault="00A66EEF" w:rsidP="00F063AF">
            <w:pPr>
              <w:numPr>
                <w:ilvl w:val="0"/>
                <w:numId w:val="415"/>
              </w:numPr>
              <w:overflowPunct/>
              <w:autoSpaceDE/>
              <w:autoSpaceDN/>
              <w:adjustRightInd/>
              <w:spacing w:before="100" w:beforeAutospacing="1" w:after="100" w:afterAutospacing="1"/>
              <w:textAlignment w:val="auto"/>
              <w:rPr>
                <w:rFonts w:cs="Times New Roman"/>
                <w:szCs w:val="24"/>
                <w:highlight w:val="yellow"/>
              </w:rPr>
            </w:pPr>
            <w:r w:rsidRPr="00A66EEF">
              <w:rPr>
                <w:szCs w:val="21"/>
                <w:highlight w:val="yellow"/>
              </w:rPr>
              <w:t>awarding SC for the presumptive disability</w:t>
            </w:r>
          </w:p>
          <w:p w:rsidR="00A66EEF" w:rsidRPr="00A66EEF" w:rsidRDefault="00A66EEF" w:rsidP="00F063AF">
            <w:pPr>
              <w:numPr>
                <w:ilvl w:val="0"/>
                <w:numId w:val="415"/>
              </w:numPr>
              <w:overflowPunct/>
              <w:autoSpaceDE/>
              <w:autoSpaceDN/>
              <w:adjustRightInd/>
              <w:spacing w:before="100" w:beforeAutospacing="1" w:after="100" w:afterAutospacing="1"/>
              <w:textAlignment w:val="auto"/>
              <w:rPr>
                <w:rFonts w:cs="Times New Roman"/>
                <w:szCs w:val="24"/>
                <w:highlight w:val="yellow"/>
              </w:rPr>
            </w:pPr>
            <w:r w:rsidRPr="00A66EEF">
              <w:rPr>
                <w:szCs w:val="21"/>
                <w:highlight w:val="yellow"/>
              </w:rPr>
              <w:t>deferring the earlier effective date issue</w:t>
            </w:r>
          </w:p>
          <w:p w:rsidR="00A66EEF" w:rsidRPr="00A66EEF" w:rsidRDefault="00A66EEF" w:rsidP="00F063AF">
            <w:pPr>
              <w:numPr>
                <w:ilvl w:val="0"/>
                <w:numId w:val="415"/>
              </w:numPr>
              <w:overflowPunct/>
              <w:autoSpaceDE/>
              <w:autoSpaceDN/>
              <w:adjustRightInd/>
              <w:spacing w:before="100" w:beforeAutospacing="1" w:after="100" w:afterAutospacing="1"/>
              <w:textAlignment w:val="auto"/>
              <w:rPr>
                <w:rFonts w:cs="Times New Roman"/>
                <w:szCs w:val="24"/>
                <w:highlight w:val="yellow"/>
              </w:rPr>
            </w:pPr>
            <w:r w:rsidRPr="00A66EEF">
              <w:rPr>
                <w:szCs w:val="21"/>
                <w:highlight w:val="yellow"/>
              </w:rPr>
              <w:t>providing an explanation of the reason for deferral, and</w:t>
            </w:r>
          </w:p>
          <w:p w:rsidR="00A66EEF" w:rsidRPr="00A66EEF" w:rsidRDefault="00A66EEF" w:rsidP="00F063AF">
            <w:pPr>
              <w:numPr>
                <w:ilvl w:val="0"/>
                <w:numId w:val="415"/>
              </w:numPr>
              <w:overflowPunct/>
              <w:autoSpaceDE/>
              <w:autoSpaceDN/>
              <w:adjustRightInd/>
              <w:spacing w:before="100" w:beforeAutospacing="1" w:after="100" w:afterAutospacing="1"/>
              <w:textAlignment w:val="auto"/>
              <w:rPr>
                <w:rFonts w:cs="Times New Roman"/>
                <w:szCs w:val="24"/>
              </w:rPr>
            </w:pPr>
            <w:r w:rsidRPr="00A66EEF">
              <w:rPr>
                <w:szCs w:val="21"/>
                <w:highlight w:val="yellow"/>
              </w:rPr>
              <w:t>addressing any other issues that can be decided.</w:t>
            </w:r>
          </w:p>
        </w:tc>
      </w:tr>
      <w:tr w:rsidR="00A66EEF" w:rsidRPr="00A66EEF" w:rsidTr="00A66EEF">
        <w:trPr>
          <w:tblCellSpacing w:w="0" w:type="dxa"/>
        </w:trPr>
        <w:tc>
          <w:tcPr>
            <w:tcW w:w="855"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jc w:val="center"/>
              <w:rPr>
                <w:rFonts w:cs="Times New Roman"/>
                <w:szCs w:val="24"/>
              </w:rPr>
            </w:pPr>
            <w:r w:rsidRPr="00A66EEF">
              <w:rPr>
                <w:szCs w:val="21"/>
              </w:rPr>
              <w:t>3</w:t>
            </w:r>
          </w:p>
        </w:tc>
        <w:tc>
          <w:tcPr>
            <w:tcW w:w="309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Authorization Activity</w:t>
            </w:r>
          </w:p>
        </w:tc>
        <w:tc>
          <w:tcPr>
            <w:tcW w:w="381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Designates the EP to continue at authorization.</w:t>
            </w:r>
          </w:p>
        </w:tc>
      </w:tr>
      <w:tr w:rsidR="00A66EEF" w:rsidRPr="00A66EEF" w:rsidTr="00A66EEF">
        <w:trPr>
          <w:tblCellSpacing w:w="0" w:type="dxa"/>
        </w:trPr>
        <w:tc>
          <w:tcPr>
            <w:tcW w:w="855"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jc w:val="center"/>
              <w:rPr>
                <w:rFonts w:cs="Times New Roman"/>
                <w:szCs w:val="24"/>
              </w:rPr>
            </w:pPr>
            <w:r w:rsidRPr="00A66EEF">
              <w:rPr>
                <w:szCs w:val="21"/>
              </w:rPr>
              <w:t>4</w:t>
            </w:r>
          </w:p>
        </w:tc>
        <w:tc>
          <w:tcPr>
            <w:tcW w:w="309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Authorization Activity</w:t>
            </w:r>
          </w:p>
        </w:tc>
        <w:tc>
          <w:tcPr>
            <w:tcW w:w="381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Authorizes the award.</w:t>
            </w:r>
          </w:p>
        </w:tc>
      </w:tr>
      <w:tr w:rsidR="00A66EEF" w:rsidRPr="00A66EEF" w:rsidTr="00A66EEF">
        <w:trPr>
          <w:tblCellSpacing w:w="0" w:type="dxa"/>
        </w:trPr>
        <w:tc>
          <w:tcPr>
            <w:tcW w:w="855"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jc w:val="center"/>
              <w:rPr>
                <w:rFonts w:cs="Times New Roman"/>
                <w:szCs w:val="24"/>
              </w:rPr>
            </w:pPr>
            <w:r w:rsidRPr="00A66EEF">
              <w:rPr>
                <w:szCs w:val="21"/>
              </w:rPr>
              <w:t>5</w:t>
            </w:r>
          </w:p>
        </w:tc>
        <w:tc>
          <w:tcPr>
            <w:tcW w:w="309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Authorization Activity</w:t>
            </w:r>
          </w:p>
        </w:tc>
        <w:tc>
          <w:tcPr>
            <w:tcW w:w="3810" w:type="dxa"/>
            <w:tcBorders>
              <w:top w:val="outset" w:sz="6" w:space="0" w:color="auto"/>
              <w:left w:val="outset" w:sz="6" w:space="0" w:color="auto"/>
              <w:bottom w:val="outset" w:sz="6" w:space="0" w:color="auto"/>
              <w:right w:val="outset" w:sz="6" w:space="0" w:color="auto"/>
            </w:tcBorders>
            <w:vAlign w:val="center"/>
            <w:hideMark/>
          </w:tcPr>
          <w:p w:rsidR="00A66EEF" w:rsidRPr="00A66EEF" w:rsidRDefault="00A66EEF">
            <w:pPr>
              <w:rPr>
                <w:rFonts w:cs="Times New Roman"/>
                <w:szCs w:val="24"/>
              </w:rPr>
            </w:pPr>
            <w:r w:rsidRPr="00A66EEF">
              <w:rPr>
                <w:szCs w:val="21"/>
              </w:rPr>
              <w:t xml:space="preserve">Affixes the </w:t>
            </w:r>
            <w:r w:rsidRPr="00A66EEF">
              <w:rPr>
                <w:i/>
                <w:iCs/>
                <w:szCs w:val="21"/>
              </w:rPr>
              <w:t>Environmental Hazard – Camp Lejeune – Louisville</w:t>
            </w:r>
            <w:r w:rsidRPr="00A66EEF">
              <w:rPr>
                <w:szCs w:val="21"/>
              </w:rPr>
              <w:t xml:space="preserve"> special issue indicator to the relevant contention(s).</w:t>
            </w:r>
          </w:p>
        </w:tc>
      </w:tr>
    </w:tbl>
    <w:p w:rsidR="00A66EEF" w:rsidRDefault="00A66EEF" w:rsidP="00A66EEF">
      <w:pPr>
        <w:rPr>
          <w:rFonts w:cstheme="minorBidi"/>
          <w:szCs w:val="22"/>
        </w:rPr>
      </w:pPr>
    </w:p>
    <w:p w:rsidR="00A66EEF" w:rsidRDefault="00A66EEF" w:rsidP="00A66EEF">
      <w:pPr>
        <w:ind w:left="360"/>
      </w:pPr>
      <w:r>
        <w:t xml:space="preserve">Assistance in deferral of the earlier effective date can be located in the VBMS Deferral Job Aids, under Deferral Job Aids, Initiating and Finalizing Draft Deferrals. </w:t>
      </w:r>
    </w:p>
    <w:p w:rsidR="00A66EEF" w:rsidRDefault="00A66EEF" w:rsidP="00A66EEF">
      <w:pPr>
        <w:ind w:left="360"/>
      </w:pPr>
    </w:p>
    <w:p w:rsidR="00A66EEF" w:rsidRDefault="00D571C5" w:rsidP="00A66EEF">
      <w:pPr>
        <w:ind w:left="360"/>
      </w:pPr>
      <w:hyperlink r:id="rId417" w:history="1">
        <w:r w:rsidR="00A66EEF">
          <w:rPr>
            <w:rStyle w:val="Hyperlink"/>
          </w:rPr>
          <w:t>https://vbaw.vba.va.gov/VBMS/docs/Desktop/Job_Aids/VBMS_Initiating_and_Finalizing_Draft_Deferrals_Job_Aid_20170816_final.pdf</w:t>
        </w:r>
      </w:hyperlink>
    </w:p>
    <w:p w:rsidR="00A66EEF" w:rsidRPr="00A66EEF" w:rsidRDefault="00A66EEF" w:rsidP="00A66EEF">
      <w:pPr>
        <w:ind w:left="360"/>
      </w:pPr>
    </w:p>
    <w:p w:rsidR="00A66EEF" w:rsidRDefault="00A66EEF" w:rsidP="00A97740">
      <w:pPr>
        <w:widowControl w:val="0"/>
        <w:rPr>
          <w:bCs/>
          <w:iCs/>
        </w:rPr>
      </w:pPr>
    </w:p>
    <w:p w:rsidR="00F107C0" w:rsidRPr="00B35ED6" w:rsidRDefault="00F107C0" w:rsidP="00A97740">
      <w:pPr>
        <w:widowControl w:val="0"/>
        <w:rPr>
          <w:bCs/>
          <w:iCs/>
        </w:rPr>
      </w:pPr>
    </w:p>
    <w:p w:rsidR="00A97740" w:rsidRDefault="00A97740">
      <w:pPr>
        <w:widowControl w:val="0"/>
        <w:pBdr>
          <w:top w:val="single" w:sz="4" w:space="1" w:color="auto"/>
        </w:pBdr>
        <w:tabs>
          <w:tab w:val="left" w:pos="0"/>
          <w:tab w:val="left" w:pos="144"/>
        </w:tabs>
        <w:outlineLvl w:val="0"/>
      </w:pPr>
    </w:p>
    <w:tbl>
      <w:tblPr>
        <w:tblW w:w="10875" w:type="dxa"/>
        <w:tblInd w:w="-45" w:type="dxa"/>
        <w:tblLayout w:type="fixed"/>
        <w:tblCellMar>
          <w:left w:w="30" w:type="dxa"/>
          <w:right w:w="30" w:type="dxa"/>
        </w:tblCellMar>
        <w:tblLook w:val="0000" w:firstRow="0" w:lastRow="0" w:firstColumn="0" w:lastColumn="0" w:noHBand="0" w:noVBand="0"/>
      </w:tblPr>
      <w:tblGrid>
        <w:gridCol w:w="705"/>
        <w:gridCol w:w="10170"/>
      </w:tblGrid>
      <w:tr w:rsidR="00013EB8" w:rsidTr="00500090">
        <w:trPr>
          <w:trHeight w:val="675"/>
        </w:trPr>
        <w:tc>
          <w:tcPr>
            <w:tcW w:w="705" w:type="dxa"/>
            <w:tcBorders>
              <w:top w:val="nil"/>
              <w:left w:val="nil"/>
              <w:bottom w:val="nil"/>
              <w:right w:val="nil"/>
            </w:tcBorders>
          </w:tcPr>
          <w:p w:rsidR="00013EB8" w:rsidRDefault="00013EB8">
            <w:pPr>
              <w:widowControl w:val="0"/>
              <w:numPr>
                <w:ilvl w:val="12"/>
                <w:numId w:val="0"/>
              </w:numPr>
              <w:rPr>
                <w:b/>
              </w:rPr>
            </w:pPr>
            <w:r w:rsidRPr="00AE0E75">
              <w:rPr>
                <w:b/>
              </w:rPr>
              <w:t>3.31</w:t>
            </w:r>
          </w:p>
        </w:tc>
        <w:tc>
          <w:tcPr>
            <w:tcW w:w="10170" w:type="dxa"/>
            <w:tcBorders>
              <w:top w:val="nil"/>
              <w:left w:val="nil"/>
              <w:bottom w:val="nil"/>
              <w:right w:val="nil"/>
            </w:tcBorders>
          </w:tcPr>
          <w:p w:rsidR="00013EB8" w:rsidRPr="00500090" w:rsidRDefault="00013EB8">
            <w:pPr>
              <w:widowControl w:val="0"/>
              <w:numPr>
                <w:ilvl w:val="12"/>
                <w:numId w:val="0"/>
              </w:numPr>
            </w:pPr>
            <w:r>
              <w:rPr>
                <w:b/>
              </w:rPr>
              <w:t>Commencement of the period of payment</w:t>
            </w:r>
            <w:r>
              <w:t xml:space="preserve"> – “first day of the calendar month following the month in wh</w:t>
            </w:r>
            <w:r w:rsidR="00500090">
              <w:t>ich the award became effective”</w:t>
            </w:r>
          </w:p>
        </w:tc>
      </w:tr>
    </w:tbl>
    <w:p w:rsidR="00013EB8" w:rsidRDefault="00013EB8">
      <w:pPr>
        <w:widowControl w:val="0"/>
        <w:tabs>
          <w:tab w:val="left" w:pos="0"/>
          <w:tab w:val="left" w:pos="144"/>
        </w:tabs>
        <w:outlineLvl w:val="0"/>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rsidTr="007E54DC">
        <w:tc>
          <w:tcPr>
            <w:tcW w:w="705" w:type="dxa"/>
            <w:tcBorders>
              <w:top w:val="nil"/>
              <w:left w:val="nil"/>
              <w:bottom w:val="nil"/>
              <w:right w:val="nil"/>
            </w:tcBorders>
          </w:tcPr>
          <w:p w:rsidR="00013EB8" w:rsidRDefault="00013EB8">
            <w:pPr>
              <w:widowControl w:val="0"/>
              <w:numPr>
                <w:ilvl w:val="12"/>
                <w:numId w:val="0"/>
              </w:numPr>
              <w:rPr>
                <w:b/>
              </w:rPr>
            </w:pPr>
            <w:r w:rsidRPr="00AE0E75">
              <w:rPr>
                <w:b/>
              </w:rPr>
              <w:t>3.313</w:t>
            </w:r>
          </w:p>
        </w:tc>
        <w:tc>
          <w:tcPr>
            <w:tcW w:w="10170" w:type="dxa"/>
            <w:tcBorders>
              <w:top w:val="nil"/>
              <w:left w:val="nil"/>
              <w:bottom w:val="nil"/>
              <w:right w:val="nil"/>
            </w:tcBorders>
            <w:shd w:val="clear" w:color="auto" w:fill="auto"/>
          </w:tcPr>
          <w:p w:rsidR="00013EB8" w:rsidRDefault="00013EB8">
            <w:pPr>
              <w:widowControl w:val="0"/>
              <w:numPr>
                <w:ilvl w:val="12"/>
                <w:numId w:val="0"/>
              </w:numPr>
              <w:tabs>
                <w:tab w:val="num" w:pos="740"/>
              </w:tabs>
              <w:spacing w:after="120"/>
              <w:rPr>
                <w:i/>
                <w:sz w:val="16"/>
              </w:rPr>
            </w:pPr>
            <w:r>
              <w:rPr>
                <w:b/>
              </w:rPr>
              <w:t xml:space="preserve">Claims based on service in Vietnam </w:t>
            </w:r>
            <w:r>
              <w:t>– non-Hodgkin’s lymphoma (NHL)</w:t>
            </w:r>
            <w:r w:rsidR="004D2DED">
              <w:t>, 7715</w:t>
            </w:r>
            <w:r>
              <w:t xml:space="preserve">, </w:t>
            </w:r>
            <w:r>
              <w:rPr>
                <w:i/>
              </w:rPr>
              <w:t>do not need in-country service, just service in RVN during the Vietnam Era, &amp; does not ha</w:t>
            </w:r>
            <w:r w:rsidR="004D2DED">
              <w:rPr>
                <w:i/>
              </w:rPr>
              <w:t>ve to be 10% (incl. Waldenstrom</w:t>
            </w:r>
            <w:r>
              <w:rPr>
                <w:i/>
              </w:rPr>
              <w:t xml:space="preserve"> Macroglobulin</w:t>
            </w:r>
            <w:r w:rsidR="004D2DED">
              <w:rPr>
                <w:i/>
              </w:rPr>
              <w:t>emia</w:t>
            </w:r>
            <w:r w:rsidR="008A5977">
              <w:rPr>
                <w:i/>
              </w:rPr>
              <w:t>,</w:t>
            </w:r>
            <w:r>
              <w:rPr>
                <w:i/>
              </w:rPr>
              <w:t xml:space="preserve"> T-cell lymphomas </w:t>
            </w:r>
            <w:r w:rsidR="008A5977">
              <w:rPr>
                <w:i/>
              </w:rPr>
              <w:t>&amp; B-cell lymphomas</w:t>
            </w:r>
            <w:r w:rsidR="004D2DED">
              <w:rPr>
                <w:i/>
              </w:rPr>
              <w:t>; when B-cell leukemias added to AO list, 7703, Waldenstrom listed there; MEPSS shows it’s a lymphoma</w:t>
            </w:r>
            <w:r>
              <w:rPr>
                <w:i/>
              </w:rPr>
              <w:t>)</w:t>
            </w:r>
          </w:p>
          <w:p w:rsidR="00013EB8" w:rsidRDefault="00013EB8" w:rsidP="00F063AF">
            <w:pPr>
              <w:widowControl w:val="0"/>
              <w:numPr>
                <w:ilvl w:val="0"/>
                <w:numId w:val="119"/>
              </w:numPr>
              <w:tabs>
                <w:tab w:val="clear" w:pos="720"/>
                <w:tab w:val="num" w:pos="420"/>
              </w:tabs>
              <w:spacing w:after="120"/>
              <w:ind w:left="330"/>
              <w:rPr>
                <w:b/>
              </w:rPr>
            </w:pPr>
            <w:r>
              <w:rPr>
                <w:b/>
                <w:i/>
              </w:rPr>
              <w:t>GC Opinion 9/13/96</w:t>
            </w:r>
            <w:r>
              <w:rPr>
                <w:i/>
              </w:rPr>
              <w:t xml:space="preserve">- broader interpretation than </w:t>
            </w:r>
            <w:r w:rsidRPr="00AE0E75">
              <w:rPr>
                <w:b/>
              </w:rPr>
              <w:t>3.307</w:t>
            </w:r>
          </w:p>
          <w:p w:rsidR="00013EB8" w:rsidRPr="00746324" w:rsidRDefault="00746324" w:rsidP="00F063AF">
            <w:pPr>
              <w:pStyle w:val="Header"/>
              <w:widowControl w:val="0"/>
              <w:numPr>
                <w:ilvl w:val="0"/>
                <w:numId w:val="118"/>
              </w:numPr>
              <w:tabs>
                <w:tab w:val="clear" w:pos="1080"/>
                <w:tab w:val="clear" w:pos="4320"/>
                <w:tab w:val="clear" w:pos="8640"/>
                <w:tab w:val="num" w:pos="420"/>
              </w:tabs>
              <w:spacing w:after="120"/>
              <w:ind w:left="330"/>
              <w:rPr>
                <w:rStyle w:val="referencecode1"/>
                <w:b/>
                <w:bCs/>
              </w:rPr>
            </w:pPr>
            <w:r w:rsidRPr="00746324">
              <w:rPr>
                <w:b/>
                <w:bCs/>
                <w:iCs/>
              </w:rPr>
              <w:t>IV.ii.1.H</w:t>
            </w:r>
          </w:p>
          <w:p w:rsidR="00013EB8" w:rsidRPr="007E54DC" w:rsidRDefault="00013EB8" w:rsidP="00F063AF">
            <w:pPr>
              <w:pStyle w:val="Header"/>
              <w:widowControl w:val="0"/>
              <w:numPr>
                <w:ilvl w:val="0"/>
                <w:numId w:val="118"/>
              </w:numPr>
              <w:tabs>
                <w:tab w:val="clear" w:pos="1080"/>
                <w:tab w:val="clear" w:pos="4320"/>
                <w:tab w:val="clear" w:pos="8640"/>
                <w:tab w:val="num" w:pos="420"/>
              </w:tabs>
              <w:spacing w:after="120"/>
              <w:ind w:left="330"/>
              <w:rPr>
                <w:rStyle w:val="referencecode1"/>
                <w:b/>
                <w:bCs/>
              </w:rPr>
            </w:pPr>
            <w:r w:rsidRPr="007E54DC">
              <w:rPr>
                <w:b/>
                <w:bCs/>
                <w:szCs w:val="24"/>
              </w:rPr>
              <w:t>IV.ii.2.C</w:t>
            </w:r>
            <w:r w:rsidR="007E54DC" w:rsidRPr="007E54DC">
              <w:rPr>
                <w:b/>
                <w:bCs/>
                <w:szCs w:val="24"/>
              </w:rPr>
              <w:t>.3</w:t>
            </w:r>
          </w:p>
          <w:p w:rsidR="00013EB8" w:rsidRDefault="00013EB8" w:rsidP="00F063AF">
            <w:pPr>
              <w:widowControl w:val="0"/>
              <w:numPr>
                <w:ilvl w:val="0"/>
                <w:numId w:val="118"/>
              </w:numPr>
              <w:tabs>
                <w:tab w:val="clear" w:pos="1080"/>
                <w:tab w:val="num" w:pos="420"/>
              </w:tabs>
              <w:spacing w:after="120"/>
              <w:ind w:left="330"/>
              <w:rPr>
                <w:iCs/>
              </w:rPr>
            </w:pPr>
            <w:r w:rsidRPr="00055F2D">
              <w:rPr>
                <w:b/>
                <w:bCs/>
                <w:i/>
              </w:rPr>
              <w:t xml:space="preserve">May 2011 </w:t>
            </w:r>
            <w:r w:rsidR="00EB6F0B" w:rsidRPr="00055F2D">
              <w:rPr>
                <w:b/>
                <w:bCs/>
                <w:i/>
              </w:rPr>
              <w:t>Compensation Service Bulletin (CSB)</w:t>
            </w:r>
            <w:r w:rsidRPr="00055F2D">
              <w:rPr>
                <w:b/>
                <w:bCs/>
                <w:i/>
              </w:rPr>
              <w:t xml:space="preserve"> Addendum</w:t>
            </w:r>
            <w:r>
              <w:rPr>
                <w:iCs/>
              </w:rPr>
              <w:t xml:space="preserve"> and the </w:t>
            </w:r>
            <w:r w:rsidRPr="00055F2D">
              <w:rPr>
                <w:b/>
                <w:bCs/>
                <w:i/>
              </w:rPr>
              <w:t xml:space="preserve">September 2011 </w:t>
            </w:r>
            <w:r w:rsidR="00EB6F0B" w:rsidRPr="00055F2D">
              <w:rPr>
                <w:b/>
                <w:bCs/>
                <w:i/>
              </w:rPr>
              <w:t>Compensation Service Bulletin (CSB)</w:t>
            </w:r>
            <w:r>
              <w:rPr>
                <w:iCs/>
              </w:rPr>
              <w:t xml:space="preserve">) - </w:t>
            </w:r>
            <w:r w:rsidRPr="00055F2D">
              <w:rPr>
                <w:b/>
                <w:bCs/>
                <w:iCs/>
              </w:rPr>
              <w:t>3.313</w:t>
            </w:r>
            <w:r>
              <w:rPr>
                <w:b/>
                <w:bCs/>
                <w:iCs/>
              </w:rPr>
              <w:t xml:space="preserve"> </w:t>
            </w:r>
            <w:r>
              <w:rPr>
                <w:iCs/>
              </w:rPr>
              <w:t xml:space="preserve">includes B-cell type (not T-cell) chronic lymphocytic leukemia (CLL) &amp; small-cell lymphocytic leukemia (SLL) [interpretive change &amp; not subject to 3.114, so </w:t>
            </w:r>
            <w:r w:rsidR="004F315B">
              <w:rPr>
                <w:iCs/>
              </w:rPr>
              <w:t>effective date</w:t>
            </w:r>
            <w:r>
              <w:rPr>
                <w:iCs/>
              </w:rPr>
              <w:t xml:space="preserve"> is DOC or date disability arose]</w:t>
            </w:r>
          </w:p>
          <w:p w:rsidR="00013EB8" w:rsidRDefault="00D571C5" w:rsidP="00F063AF">
            <w:pPr>
              <w:widowControl w:val="0"/>
              <w:numPr>
                <w:ilvl w:val="0"/>
                <w:numId w:val="118"/>
              </w:numPr>
              <w:tabs>
                <w:tab w:val="clear" w:pos="1080"/>
                <w:tab w:val="num" w:pos="420"/>
              </w:tabs>
              <w:spacing w:after="120"/>
              <w:ind w:left="330"/>
              <w:rPr>
                <w:iCs/>
              </w:rPr>
            </w:pPr>
            <w:hyperlink r:id="rId418" w:history="1">
              <w:r w:rsidR="00013EB8">
                <w:rPr>
                  <w:rStyle w:val="Hyperlink"/>
                  <w:b/>
                  <w:bCs/>
                  <w:i/>
                  <w:iCs/>
                </w:rPr>
                <w:t xml:space="preserve">November 2012 </w:t>
              </w:r>
              <w:r w:rsidR="00EB6F0B">
                <w:rPr>
                  <w:rStyle w:val="Hyperlink"/>
                  <w:b/>
                  <w:bCs/>
                  <w:i/>
                  <w:iCs/>
                </w:rPr>
                <w:t>Compensation Service Bulletin (CSB)</w:t>
              </w:r>
            </w:hyperlink>
            <w:r w:rsidR="00013EB8">
              <w:rPr>
                <w:b/>
                <w:bCs/>
                <w:i/>
                <w:iCs/>
              </w:rPr>
              <w:t xml:space="preserve"> </w:t>
            </w:r>
            <w:r w:rsidR="00013EB8">
              <w:t>– if have enough info to grant SC &amp; evaluate NHL, do so (even if have to defer other decisions)</w:t>
            </w:r>
          </w:p>
          <w:p w:rsidR="008E214F" w:rsidRPr="008E214F" w:rsidRDefault="007E54DC" w:rsidP="00F063AF">
            <w:pPr>
              <w:widowControl w:val="0"/>
              <w:numPr>
                <w:ilvl w:val="0"/>
                <w:numId w:val="118"/>
              </w:numPr>
              <w:tabs>
                <w:tab w:val="clear" w:pos="1080"/>
                <w:tab w:val="num" w:pos="420"/>
              </w:tabs>
              <w:spacing w:after="120"/>
              <w:ind w:left="330"/>
              <w:rPr>
                <w:sz w:val="24"/>
                <w:szCs w:val="24"/>
              </w:rPr>
            </w:pPr>
            <w:r w:rsidRPr="007E54DC">
              <w:rPr>
                <w:b/>
                <w:bCs/>
                <w:iCs/>
              </w:rPr>
              <w:t>IV.ii.2.C.3.o</w:t>
            </w:r>
            <w:r w:rsidR="00013EB8" w:rsidRPr="008E214F">
              <w:rPr>
                <w:iCs/>
              </w:rPr>
              <w:t xml:space="preserve"> has full list of low, intermediate and high grade lymphomas qualifying as NHL</w:t>
            </w:r>
          </w:p>
          <w:p w:rsidR="008E214F" w:rsidRPr="008E214F" w:rsidRDefault="00D571C5" w:rsidP="00F063AF">
            <w:pPr>
              <w:widowControl w:val="0"/>
              <w:numPr>
                <w:ilvl w:val="0"/>
                <w:numId w:val="118"/>
              </w:numPr>
              <w:tabs>
                <w:tab w:val="clear" w:pos="1080"/>
                <w:tab w:val="num" w:pos="420"/>
              </w:tabs>
              <w:spacing w:after="120"/>
              <w:ind w:left="330"/>
              <w:rPr>
                <w:sz w:val="24"/>
                <w:szCs w:val="24"/>
              </w:rPr>
            </w:pPr>
            <w:hyperlink r:id="rId419" w:history="1">
              <w:r w:rsidR="008E214F" w:rsidRPr="008E214F">
                <w:rPr>
                  <w:rStyle w:val="Hyperlink"/>
                  <w:b/>
                  <w:i/>
                  <w:iCs/>
                </w:rPr>
                <w:t xml:space="preserve">October 2013 </w:t>
              </w:r>
              <w:r w:rsidR="00EB6F0B">
                <w:rPr>
                  <w:rStyle w:val="Hyperlink"/>
                  <w:b/>
                  <w:i/>
                  <w:iCs/>
                </w:rPr>
                <w:t>Compensation Service Bulletin (CSB)</w:t>
              </w:r>
            </w:hyperlink>
            <w:r w:rsidR="008E214F" w:rsidRPr="008E214F">
              <w:rPr>
                <w:bCs/>
                <w:i/>
                <w:iCs/>
              </w:rPr>
              <w:t xml:space="preserve"> –</w:t>
            </w:r>
            <w:r w:rsidR="008E214F" w:rsidRPr="008E214F">
              <w:rPr>
                <w:bCs/>
                <w:iCs/>
              </w:rPr>
              <w:t xml:space="preserve"> </w:t>
            </w:r>
            <w:r w:rsidR="008E214F" w:rsidRPr="008E214F">
              <w:t xml:space="preserve">Mycosis fungoides is a cutaneous T-cell lymphoma, which is manifested by skin symptoms that can appear as patches, plaques, or tumors.  In 1993, The Institute of Medicine identified mycosis fungoides as a form of non-Hodgkin’s lymphoma (NHL).  The disease should be considered the same as NHL and subject to presumptive service connection under the provisions of </w:t>
            </w:r>
            <w:hyperlink r:id="rId420" w:history="1">
              <w:r w:rsidR="008E214F" w:rsidRPr="008E214F">
                <w:rPr>
                  <w:rStyle w:val="Hyperlink"/>
                </w:rPr>
                <w:t>38 C.F.R. 3.309</w:t>
              </w:r>
            </w:hyperlink>
            <w:r w:rsidR="008E214F" w:rsidRPr="008E214F">
              <w:t xml:space="preserve">.  Service connection for NHL is also warranted under  </w:t>
            </w:r>
            <w:hyperlink r:id="rId421" w:history="1">
              <w:r w:rsidR="008E214F" w:rsidRPr="008E214F">
                <w:rPr>
                  <w:rStyle w:val="Hyperlink"/>
                </w:rPr>
                <w:t>38 C.F.R. 3.313</w:t>
              </w:r>
            </w:hyperlink>
            <w:r w:rsidR="008E214F" w:rsidRPr="008E214F">
              <w:t xml:space="preserve"> (which also includes service in the offshore waters of Vietnam (</w:t>
            </w:r>
            <w:hyperlink r:id="rId422" w:history="1">
              <w:r w:rsidR="008E214F" w:rsidRPr="008E214F">
                <w:rPr>
                  <w:rStyle w:val="Hyperlink"/>
                </w:rPr>
                <w:t>MR IV .ii.2.C.10.v</w:t>
              </w:r>
            </w:hyperlink>
            <w:r w:rsidR="008E214F" w:rsidRPr="008E214F">
              <w:t xml:space="preserve">).  If service connection for mycosis fungoides was previously denied and the evidence shows a diagnosis of mycosis fungoides at the time of the previous denial and confirms the Veteran’s service in Vietnam, please refer these cases to Compensation Service for an advisory opinion in accordance with </w:t>
            </w:r>
            <w:r w:rsidR="008E214F" w:rsidRPr="008E214F">
              <w:rPr>
                <w:color w:val="000000"/>
              </w:rPr>
              <w:t>M21-1Manual Rewrite (MR), Part III, Subpart iv, Chapter 1, Section A, Topic 2, Block a (</w:t>
            </w:r>
            <w:r w:rsidR="008E214F" w:rsidRPr="008E214F">
              <w:t xml:space="preserve">MR </w:t>
            </w:r>
            <w:hyperlink r:id="rId423" w:history="1">
              <w:r w:rsidR="008E214F" w:rsidRPr="008E214F">
                <w:rPr>
                  <w:rStyle w:val="Hyperlink"/>
                </w:rPr>
                <w:t>III.vi.1.A.2.a</w:t>
              </w:r>
            </w:hyperlink>
            <w:r w:rsidR="008E214F" w:rsidRPr="008E214F">
              <w:t>).</w:t>
            </w:r>
            <w:r w:rsidR="00431D1F">
              <w:t xml:space="preserve"> </w:t>
            </w:r>
            <w:r w:rsidR="002505D9" w:rsidRPr="0053291F">
              <w:rPr>
                <w:b/>
              </w:rPr>
              <w:t>III.iv.4.K.2.</w:t>
            </w:r>
            <w:r w:rsidR="002505D9">
              <w:rPr>
                <w:b/>
              </w:rPr>
              <w:t>e</w:t>
            </w:r>
          </w:p>
        </w:tc>
      </w:tr>
    </w:tbl>
    <w:p w:rsidR="00013EB8" w:rsidRDefault="00013EB8">
      <w:pPr>
        <w:widowControl w:val="0"/>
        <w:tabs>
          <w:tab w:val="left" w:pos="0"/>
          <w:tab w:val="left" w:pos="144"/>
        </w:tabs>
        <w:outlineLvl w:val="0"/>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AE0E75">
              <w:rPr>
                <w:b/>
              </w:rPr>
              <w:t>3.814</w:t>
            </w:r>
          </w:p>
        </w:tc>
        <w:tc>
          <w:tcPr>
            <w:tcW w:w="10170" w:type="dxa"/>
            <w:tcBorders>
              <w:top w:val="nil"/>
              <w:left w:val="nil"/>
              <w:bottom w:val="nil"/>
              <w:right w:val="nil"/>
            </w:tcBorders>
          </w:tcPr>
          <w:p w:rsidR="00013EB8" w:rsidRDefault="00013EB8" w:rsidP="008B218F">
            <w:pPr>
              <w:widowControl w:val="0"/>
              <w:numPr>
                <w:ilvl w:val="12"/>
                <w:numId w:val="0"/>
              </w:numPr>
              <w:rPr>
                <w:b/>
                <w:i/>
              </w:rPr>
            </w:pPr>
            <w:r>
              <w:rPr>
                <w:b/>
              </w:rPr>
              <w:t xml:space="preserve">Monetary allowance under 38 U.S.C. 1805 for a child suffering from spina bifida who is a child of a Vietnam </w:t>
            </w:r>
            <w:r w:rsidRPr="00B459F6">
              <w:rPr>
                <w:b/>
              </w:rPr>
              <w:t>veteran</w:t>
            </w:r>
            <w:r w:rsidR="008B218F">
              <w:t xml:space="preserve"> –</w:t>
            </w:r>
            <w:r>
              <w:rPr>
                <w:b/>
                <w:bCs/>
              </w:rPr>
              <w:t xml:space="preserve"> </w:t>
            </w:r>
            <w:r>
              <w:rPr>
                <w:i/>
                <w:iCs/>
              </w:rPr>
              <w:t>claims processed by the Denver Regional Office</w:t>
            </w:r>
            <w:r w:rsidR="008B218F">
              <w:rPr>
                <w:iCs/>
              </w:rPr>
              <w:t xml:space="preserve"> per </w:t>
            </w:r>
            <w:r w:rsidR="008B218F" w:rsidRPr="008B218F">
              <w:rPr>
                <w:b/>
                <w:iCs/>
              </w:rPr>
              <w:t>VI.1.1</w:t>
            </w:r>
            <w:r w:rsidR="008B218F">
              <w:rPr>
                <w:iCs/>
              </w:rPr>
              <w:t>,</w:t>
            </w:r>
            <w:r w:rsidR="002056B2">
              <w:rPr>
                <w:i/>
                <w:iCs/>
              </w:rPr>
              <w:t xml:space="preserve"> </w:t>
            </w:r>
            <w:r w:rsidR="002056B2" w:rsidRPr="002056B2">
              <w:rPr>
                <w:iCs/>
              </w:rPr>
              <w:t>also includes multiple other birth defects</w:t>
            </w:r>
            <w:r w:rsidR="002056B2">
              <w:rPr>
                <w:iCs/>
              </w:rPr>
              <w:t xml:space="preserve">, see </w:t>
            </w:r>
            <w:r w:rsidR="002056B2" w:rsidRPr="00B459F6">
              <w:rPr>
                <w:b/>
                <w:bCs/>
              </w:rPr>
              <w:t>VI.2</w:t>
            </w:r>
            <w:r w:rsidR="002056B2">
              <w:rPr>
                <w:iCs/>
              </w:rPr>
              <w:t xml:space="preserve"> or </w:t>
            </w:r>
            <w:r w:rsidR="002056B2" w:rsidRPr="00AE0E75">
              <w:rPr>
                <w:b/>
              </w:rPr>
              <w:t>3.814</w:t>
            </w:r>
          </w:p>
        </w:tc>
      </w:tr>
    </w:tbl>
    <w:p w:rsidR="00013EB8" w:rsidRDefault="00013EB8">
      <w:pPr>
        <w:widowControl w:val="0"/>
        <w:rPr>
          <w:sz w:val="22"/>
        </w:rPr>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AE0E75">
              <w:rPr>
                <w:b/>
              </w:rPr>
              <w:t>3.815</w:t>
            </w:r>
          </w:p>
        </w:tc>
        <w:tc>
          <w:tcPr>
            <w:tcW w:w="10170" w:type="dxa"/>
            <w:tcBorders>
              <w:top w:val="nil"/>
              <w:left w:val="nil"/>
              <w:bottom w:val="nil"/>
              <w:right w:val="nil"/>
            </w:tcBorders>
          </w:tcPr>
          <w:p w:rsidR="00013EB8" w:rsidRDefault="00013EB8">
            <w:pPr>
              <w:widowControl w:val="0"/>
              <w:numPr>
                <w:ilvl w:val="12"/>
                <w:numId w:val="0"/>
              </w:numPr>
              <w:rPr>
                <w:b/>
              </w:rPr>
            </w:pPr>
            <w:r>
              <w:rPr>
                <w:b/>
              </w:rPr>
              <w:t>Monetary allowance under 38 U.S.C. chapter 18 for an individual with disability from covered birth defects whose biological mother is or was a Vietnam veteran; identification of covered birth defects.</w:t>
            </w:r>
          </w:p>
        </w:tc>
      </w:tr>
    </w:tbl>
    <w:p w:rsidR="00013EB8" w:rsidRDefault="00013EB8">
      <w:pPr>
        <w:widowControl w:val="0"/>
        <w:rPr>
          <w:sz w:val="22"/>
        </w:rPr>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rsidTr="007E54DC">
        <w:tc>
          <w:tcPr>
            <w:tcW w:w="705" w:type="dxa"/>
            <w:tcBorders>
              <w:top w:val="nil"/>
              <w:left w:val="nil"/>
              <w:bottom w:val="nil"/>
              <w:right w:val="nil"/>
            </w:tcBorders>
            <w:shd w:val="clear" w:color="auto" w:fill="auto"/>
          </w:tcPr>
          <w:p w:rsidR="00013EB8" w:rsidRPr="007E54DC" w:rsidRDefault="00013EB8">
            <w:pPr>
              <w:widowControl w:val="0"/>
              <w:numPr>
                <w:ilvl w:val="12"/>
                <w:numId w:val="0"/>
              </w:numPr>
              <w:rPr>
                <w:b/>
              </w:rPr>
            </w:pPr>
            <w:r w:rsidRPr="007E54DC">
              <w:rPr>
                <w:b/>
              </w:rPr>
              <w:t>3.816</w:t>
            </w:r>
          </w:p>
        </w:tc>
        <w:tc>
          <w:tcPr>
            <w:tcW w:w="10170" w:type="dxa"/>
            <w:tcBorders>
              <w:top w:val="nil"/>
              <w:left w:val="nil"/>
              <w:bottom w:val="nil"/>
              <w:right w:val="nil"/>
            </w:tcBorders>
            <w:shd w:val="clear" w:color="auto" w:fill="auto"/>
          </w:tcPr>
          <w:p w:rsidR="00013EB8" w:rsidRPr="007E54DC" w:rsidRDefault="00013EB8" w:rsidP="00DB55F7">
            <w:pPr>
              <w:widowControl w:val="0"/>
              <w:numPr>
                <w:ilvl w:val="12"/>
                <w:numId w:val="0"/>
              </w:numPr>
              <w:spacing w:after="120"/>
            </w:pPr>
            <w:r w:rsidRPr="007E54DC">
              <w:rPr>
                <w:b/>
              </w:rPr>
              <w:t>Awards under the Nehmer Court Orders for disability or death caused by a condition presumptively associated with herbicide exposure.</w:t>
            </w:r>
            <w:r w:rsidRPr="007E54DC">
              <w:t xml:space="preserve"> – 9/25/85 (the date 38 CFR 3.311(a) was effective)</w:t>
            </w:r>
          </w:p>
          <w:p w:rsidR="00F46A1E" w:rsidRPr="00F46A1E" w:rsidRDefault="00F46A1E" w:rsidP="00333C92">
            <w:pPr>
              <w:widowControl w:val="0"/>
              <w:numPr>
                <w:ilvl w:val="0"/>
                <w:numId w:val="69"/>
              </w:numPr>
              <w:tabs>
                <w:tab w:val="clear" w:pos="720"/>
                <w:tab w:val="num" w:pos="340"/>
              </w:tabs>
              <w:spacing w:after="120"/>
              <w:ind w:left="340"/>
            </w:pPr>
            <w:r w:rsidRPr="005F64DF">
              <w:rPr>
                <w:rFonts w:ascii="Helvetica" w:hAnsi="Helvetica"/>
                <w:b/>
                <w:lang w:val="en"/>
              </w:rPr>
              <w:t>III.iv.6.B.1</w:t>
            </w:r>
            <w:r>
              <w:rPr>
                <w:rFonts w:ascii="Helvetica" w:hAnsi="Helvetica"/>
                <w:b/>
                <w:lang w:val="en"/>
              </w:rPr>
              <w:t>.f</w:t>
            </w:r>
            <w:r>
              <w:rPr>
                <w:rFonts w:ascii="Helvetica" w:hAnsi="Helvetica"/>
                <w:lang w:val="en"/>
              </w:rPr>
              <w:t xml:space="preserve"> – entitlement to an earlier effective date under Nehmer does not have to be expressly claimed; if records support an EED, can grant even if not making a decision on that issue</w:t>
            </w:r>
          </w:p>
          <w:p w:rsidR="00013EB8" w:rsidRPr="006A469C" w:rsidRDefault="007E54DC" w:rsidP="00333C92">
            <w:pPr>
              <w:widowControl w:val="0"/>
              <w:numPr>
                <w:ilvl w:val="0"/>
                <w:numId w:val="69"/>
              </w:numPr>
              <w:tabs>
                <w:tab w:val="clear" w:pos="720"/>
                <w:tab w:val="num" w:pos="340"/>
              </w:tabs>
              <w:spacing w:after="120"/>
              <w:ind w:left="340"/>
            </w:pPr>
            <w:r w:rsidRPr="007E54DC">
              <w:rPr>
                <w:b/>
                <w:bCs/>
              </w:rPr>
              <w:t>IV.ii.2.C.4</w:t>
            </w:r>
          </w:p>
          <w:p w:rsidR="006A469C" w:rsidRPr="006A469C" w:rsidRDefault="00D571C5" w:rsidP="00333C92">
            <w:pPr>
              <w:widowControl w:val="0"/>
              <w:numPr>
                <w:ilvl w:val="0"/>
                <w:numId w:val="69"/>
              </w:numPr>
              <w:tabs>
                <w:tab w:val="clear" w:pos="720"/>
                <w:tab w:val="num" w:pos="340"/>
              </w:tabs>
              <w:spacing w:after="120"/>
              <w:ind w:left="340"/>
              <w:rPr>
                <w:b/>
              </w:rPr>
            </w:pPr>
            <w:hyperlink r:id="rId424" w:history="1">
              <w:r w:rsidR="006A469C" w:rsidRPr="006A469C">
                <w:rPr>
                  <w:rStyle w:val="Hyperlink"/>
                  <w:b/>
                </w:rPr>
                <w:t>Nehmer Training Guide</w:t>
              </w:r>
            </w:hyperlink>
            <w:r w:rsidR="006A469C" w:rsidRPr="006A469C">
              <w:rPr>
                <w:b/>
              </w:rPr>
              <w:t xml:space="preserve"> </w:t>
            </w:r>
          </w:p>
          <w:p w:rsidR="00013EB8" w:rsidRPr="007E54DC" w:rsidRDefault="00013EB8" w:rsidP="00DB55F7">
            <w:pPr>
              <w:widowControl w:val="0"/>
              <w:numPr>
                <w:ilvl w:val="12"/>
                <w:numId w:val="0"/>
              </w:numPr>
              <w:spacing w:after="120"/>
              <w:rPr>
                <w:i/>
                <w:iCs/>
              </w:rPr>
            </w:pPr>
            <w:r w:rsidRPr="007E54DC">
              <w:rPr>
                <w:i/>
                <w:iCs/>
              </w:rPr>
              <w:t>If there is evidence in the file that secondary conditions existed prior to change in the law, we can grant prior to the date of the change.</w:t>
            </w:r>
          </w:p>
          <w:p w:rsidR="00013EB8" w:rsidRDefault="00013EB8">
            <w:pPr>
              <w:widowControl w:val="0"/>
              <w:numPr>
                <w:ilvl w:val="12"/>
                <w:numId w:val="0"/>
              </w:numPr>
              <w:rPr>
                <w:i/>
                <w:iCs/>
              </w:rPr>
            </w:pPr>
            <w:r w:rsidRPr="007E54DC">
              <w:rPr>
                <w:i/>
                <w:iCs/>
              </w:rPr>
              <w:t>For Nehmer, the veteran has to have been in-country RVN.  Nehmer does not include AO exposure outside RVN.</w:t>
            </w:r>
          </w:p>
          <w:p w:rsidR="005F5D1E" w:rsidRDefault="005F5D1E">
            <w:pPr>
              <w:widowControl w:val="0"/>
              <w:numPr>
                <w:ilvl w:val="12"/>
                <w:numId w:val="0"/>
              </w:numPr>
              <w:rPr>
                <w:i/>
                <w:iCs/>
              </w:rPr>
            </w:pPr>
          </w:p>
          <w:p w:rsidR="005F5D1E" w:rsidRPr="00D10240" w:rsidRDefault="005F5D1E" w:rsidP="005F5D1E">
            <w:pPr>
              <w:pBdr>
                <w:top w:val="double" w:sz="4" w:space="1" w:color="auto"/>
                <w:left w:val="double" w:sz="4" w:space="4" w:color="auto"/>
                <w:bottom w:val="double" w:sz="4" w:space="1" w:color="auto"/>
                <w:right w:val="double" w:sz="4" w:space="4" w:color="auto"/>
              </w:pBdr>
              <w:shd w:val="clear" w:color="auto" w:fill="FFC000"/>
              <w:ind w:left="150" w:right="150"/>
              <w:rPr>
                <w:rFonts w:eastAsiaTheme="minorHAnsi"/>
              </w:rPr>
            </w:pPr>
            <w:r>
              <w:rPr>
                <w:rFonts w:eastAsiaTheme="minorHAnsi"/>
                <w:b/>
              </w:rPr>
              <w:t>TBI, Case Law and Nehmer Timeline</w:t>
            </w:r>
            <w:r w:rsidRPr="007F4897">
              <w:rPr>
                <w:rFonts w:eastAsiaTheme="minorHAnsi"/>
                <w:b/>
              </w:rPr>
              <w:t xml:space="preserve"> </w:t>
            </w:r>
            <w:r>
              <w:rPr>
                <w:rFonts w:eastAsiaTheme="minorHAnsi"/>
                <w:b/>
              </w:rPr>
              <w:t>[spreadsheet with Nehmer Timeline]</w:t>
            </w:r>
            <w:r>
              <w:rPr>
                <w:rFonts w:eastAsiaTheme="minorHAnsi"/>
              </w:rPr>
              <w:t xml:space="preserve"> is</w:t>
            </w:r>
            <w:r w:rsidRPr="0036376C">
              <w:t xml:space="preserve"> saved at </w:t>
            </w:r>
            <w:r w:rsidRPr="001453C4">
              <w:rPr>
                <w:b/>
                <w:bCs/>
                <w:i/>
                <w:iCs/>
              </w:rPr>
              <w:t>H:\VSC\Rating Reference</w:t>
            </w:r>
          </w:p>
          <w:p w:rsidR="005F5D1E" w:rsidRPr="007E54DC" w:rsidRDefault="005F5D1E">
            <w:pPr>
              <w:widowControl w:val="0"/>
              <w:numPr>
                <w:ilvl w:val="12"/>
                <w:numId w:val="0"/>
              </w:numPr>
              <w:rPr>
                <w:i/>
                <w:iCs/>
              </w:rPr>
            </w:pPr>
          </w:p>
        </w:tc>
      </w:tr>
    </w:tbl>
    <w:p w:rsidR="00013EB8" w:rsidRDefault="00013EB8">
      <w:pPr>
        <w:widowControl w:val="0"/>
      </w:pPr>
    </w:p>
    <w:p w:rsidR="00F67D18" w:rsidRDefault="00F67D18">
      <w:pPr>
        <w:widowControl w:val="0"/>
        <w:numPr>
          <w:ilvl w:val="12"/>
          <w:numId w:val="0"/>
        </w:numPr>
        <w:pBdr>
          <w:top w:val="single" w:sz="6" w:space="1" w:color="auto"/>
        </w:pBdr>
        <w:rPr>
          <w:b/>
        </w:rPr>
      </w:pPr>
      <w:bookmarkStart w:id="86" w:name="GulfWar"/>
    </w:p>
    <w:p w:rsidR="00013EB8" w:rsidRDefault="00013EB8">
      <w:pPr>
        <w:widowControl w:val="0"/>
        <w:numPr>
          <w:ilvl w:val="12"/>
          <w:numId w:val="0"/>
        </w:numPr>
        <w:pBdr>
          <w:top w:val="single" w:sz="6" w:space="1" w:color="auto"/>
        </w:pBdr>
        <w:rPr>
          <w:b/>
          <w:i/>
          <w:iCs/>
          <w:sz w:val="22"/>
        </w:rPr>
      </w:pPr>
      <w:r>
        <w:rPr>
          <w:b/>
          <w:i/>
          <w:iCs/>
          <w:sz w:val="22"/>
        </w:rPr>
        <w:t>Gulf War –</w:t>
      </w:r>
    </w:p>
    <w:bookmarkEnd w:id="86"/>
    <w:p w:rsidR="00013EB8" w:rsidRDefault="00013EB8">
      <w:pPr>
        <w:widowControl w:val="0"/>
        <w:tabs>
          <w:tab w:val="left" w:pos="0"/>
          <w:tab w:val="left" w:pos="144"/>
        </w:tabs>
      </w:pPr>
    </w:p>
    <w:p w:rsidR="008F45D0" w:rsidRDefault="001D615F" w:rsidP="008F45D0">
      <w:pPr>
        <w:widowControl w:val="0"/>
        <w:spacing w:after="120"/>
        <w:rPr>
          <w:rFonts w:ascii="Verdana" w:hAnsi="Verdana"/>
          <w:i/>
          <w:iCs/>
        </w:rPr>
      </w:pPr>
      <w:r>
        <w:rPr>
          <w:rFonts w:ascii="Verdana" w:hAnsi="Verdana"/>
          <w:b/>
          <w:bCs/>
          <w:highlight w:val="green"/>
        </w:rPr>
        <w:t>GW1</w:t>
      </w:r>
    </w:p>
    <w:p w:rsidR="008F45D0" w:rsidRDefault="008F45D0">
      <w:pPr>
        <w:widowControl w:val="0"/>
        <w:tabs>
          <w:tab w:val="left" w:pos="0"/>
          <w:tab w:val="left" w:pos="144"/>
        </w:tabs>
      </w:pPr>
    </w:p>
    <w:p w:rsidR="00013EB8" w:rsidRDefault="00013EB8">
      <w:pPr>
        <w:widowControl w:val="0"/>
        <w:numPr>
          <w:ilvl w:val="12"/>
          <w:numId w:val="0"/>
        </w:numPr>
        <w:spacing w:after="120"/>
      </w:pPr>
      <w:r w:rsidRPr="00AE0E75">
        <w:rPr>
          <w:b/>
        </w:rPr>
        <w:t>3.317</w:t>
      </w:r>
      <w:r>
        <w:rPr>
          <w:b/>
        </w:rPr>
        <w:t xml:space="preserve"> </w:t>
      </w:r>
      <w:r>
        <w:t xml:space="preserve">- Compensation for certain disabilities due to (1) </w:t>
      </w:r>
      <w:r>
        <w:rPr>
          <w:b/>
          <w:highlight w:val="cyan"/>
          <w:u w:val="single"/>
        </w:rPr>
        <w:t>undiagnosed illnesses</w:t>
      </w:r>
      <w:r>
        <w:t xml:space="preserve"> or (2) </w:t>
      </w:r>
      <w:r>
        <w:rPr>
          <w:b/>
          <w:u w:val="single"/>
        </w:rPr>
        <w:t>medically unexplained chronic multi-symptom illness</w:t>
      </w:r>
      <w:r>
        <w:t xml:space="preserve"> </w:t>
      </w:r>
      <w:r w:rsidR="00C46AAF">
        <w:t xml:space="preserve">(MUCMI) </w:t>
      </w:r>
      <w:r>
        <w:t xml:space="preserve">– </w:t>
      </w:r>
    </w:p>
    <w:p w:rsidR="00013EB8" w:rsidRDefault="00013EB8" w:rsidP="00691877">
      <w:pPr>
        <w:widowControl w:val="0"/>
        <w:numPr>
          <w:ilvl w:val="0"/>
          <w:numId w:val="51"/>
        </w:numPr>
        <w:tabs>
          <w:tab w:val="clear" w:pos="720"/>
          <w:tab w:val="num" w:pos="400"/>
        </w:tabs>
        <w:spacing w:after="120"/>
        <w:ind w:left="400" w:hanging="400"/>
        <w:rPr>
          <w:b/>
          <w:iCs/>
        </w:rPr>
      </w:pPr>
      <w:r w:rsidRPr="00AE0E75">
        <w:rPr>
          <w:b/>
          <w:iCs/>
        </w:rPr>
        <w:t>3.2</w:t>
      </w:r>
    </w:p>
    <w:p w:rsidR="00ED5C7F" w:rsidRPr="00ED5C7F" w:rsidRDefault="00ED5C7F" w:rsidP="00ED5C7F">
      <w:pPr>
        <w:pStyle w:val="ListParagraph"/>
        <w:widowControl w:val="0"/>
        <w:numPr>
          <w:ilvl w:val="0"/>
          <w:numId w:val="51"/>
        </w:numPr>
        <w:tabs>
          <w:tab w:val="clear" w:pos="720"/>
          <w:tab w:val="num" w:pos="360"/>
          <w:tab w:val="left" w:pos="400"/>
        </w:tabs>
        <w:spacing w:after="120" w:line="240" w:lineRule="auto"/>
        <w:ind w:left="360"/>
        <w:rPr>
          <w:rFonts w:ascii="Arial" w:hAnsi="Arial"/>
          <w:b/>
          <w:bCs/>
          <w:sz w:val="20"/>
          <w:szCs w:val="20"/>
        </w:rPr>
      </w:pPr>
      <w:r w:rsidRPr="00ED5C7F">
        <w:rPr>
          <w:rFonts w:ascii="Arial" w:hAnsi="Arial"/>
          <w:b/>
          <w:sz w:val="20"/>
          <w:szCs w:val="20"/>
        </w:rPr>
        <w:t>I.1.B.1.f</w:t>
      </w:r>
      <w:r>
        <w:rPr>
          <w:rFonts w:ascii="Arial" w:hAnsi="Arial"/>
          <w:b/>
          <w:sz w:val="20"/>
          <w:szCs w:val="20"/>
        </w:rPr>
        <w:t xml:space="preserve"> – </w:t>
      </w:r>
      <w:r>
        <w:rPr>
          <w:rFonts w:ascii="Arial" w:hAnsi="Arial"/>
          <w:sz w:val="20"/>
          <w:szCs w:val="20"/>
        </w:rPr>
        <w:t xml:space="preserve">need to send additional notice, per </w:t>
      </w:r>
      <w:r w:rsidRPr="00ED5C7F">
        <w:rPr>
          <w:rFonts w:ascii="Arial" w:hAnsi="Arial"/>
          <w:b/>
          <w:sz w:val="20"/>
          <w:szCs w:val="20"/>
        </w:rPr>
        <w:t>IV.ii.1.</w:t>
      </w:r>
      <w:r>
        <w:rPr>
          <w:rFonts w:ascii="Arial" w:hAnsi="Arial"/>
          <w:b/>
          <w:sz w:val="20"/>
          <w:szCs w:val="20"/>
        </w:rPr>
        <w:t>l</w:t>
      </w:r>
      <w:r w:rsidRPr="00ED5C7F">
        <w:rPr>
          <w:rFonts w:ascii="Arial" w:hAnsi="Arial"/>
          <w:b/>
          <w:sz w:val="20"/>
          <w:szCs w:val="20"/>
        </w:rPr>
        <w:t>.</w:t>
      </w:r>
      <w:r>
        <w:rPr>
          <w:rFonts w:ascii="Arial" w:hAnsi="Arial"/>
          <w:b/>
          <w:sz w:val="20"/>
          <w:szCs w:val="20"/>
        </w:rPr>
        <w:t>6</w:t>
      </w:r>
      <w:r w:rsidRPr="00ED5C7F">
        <w:rPr>
          <w:rFonts w:ascii="Arial" w:hAnsi="Arial"/>
          <w:b/>
          <w:sz w:val="20"/>
          <w:szCs w:val="20"/>
        </w:rPr>
        <w:t>.</w:t>
      </w:r>
      <w:r>
        <w:rPr>
          <w:rFonts w:ascii="Arial" w:hAnsi="Arial"/>
          <w:b/>
          <w:sz w:val="20"/>
          <w:szCs w:val="20"/>
        </w:rPr>
        <w:t>c</w:t>
      </w:r>
    </w:p>
    <w:p w:rsidR="001E1DFE" w:rsidRDefault="001E1DFE" w:rsidP="001E1DFE">
      <w:pPr>
        <w:widowControl w:val="0"/>
        <w:numPr>
          <w:ilvl w:val="0"/>
          <w:numId w:val="51"/>
        </w:numPr>
        <w:tabs>
          <w:tab w:val="clear" w:pos="720"/>
          <w:tab w:val="num" w:pos="360"/>
          <w:tab w:val="left" w:pos="1080"/>
        </w:tabs>
        <w:spacing w:after="120"/>
        <w:ind w:left="360"/>
        <w:rPr>
          <w:b/>
        </w:rPr>
      </w:pPr>
      <w:r w:rsidRPr="001E1DFE">
        <w:t>DBQ is</w:t>
      </w:r>
      <w:r>
        <w:t xml:space="preserve"> for internal VA use only</w:t>
      </w:r>
      <w:r w:rsidR="003F3D88">
        <w:t>,</w:t>
      </w:r>
      <w:r w:rsidR="003F3D88" w:rsidRPr="003F3D88">
        <w:t xml:space="preserve"> </w:t>
      </w:r>
      <w:r w:rsidR="003F3D88">
        <w:t xml:space="preserve"> see DBQ at </w:t>
      </w:r>
      <w:r w:rsidR="003F3D88" w:rsidRPr="003F3D88">
        <w:rPr>
          <w:i/>
        </w:rPr>
        <w:t>http://vbacodmoint1.vba.va.gov/bl/21/dbq/default.asp</w:t>
      </w:r>
    </w:p>
    <w:p w:rsidR="007259D5" w:rsidRPr="007259D5" w:rsidRDefault="007259D5" w:rsidP="00691877">
      <w:pPr>
        <w:widowControl w:val="0"/>
        <w:numPr>
          <w:ilvl w:val="0"/>
          <w:numId w:val="51"/>
        </w:numPr>
        <w:tabs>
          <w:tab w:val="clear" w:pos="720"/>
          <w:tab w:val="num" w:pos="400"/>
        </w:tabs>
        <w:spacing w:after="120"/>
        <w:ind w:left="400" w:hanging="400"/>
        <w:rPr>
          <w:rStyle w:val="Hyperlink"/>
          <w:b/>
          <w:bCs/>
          <w:color w:val="auto"/>
          <w:u w:val="none"/>
        </w:rPr>
      </w:pPr>
      <w:r>
        <w:rPr>
          <w:b/>
          <w:bCs/>
        </w:rPr>
        <w:t>IV.ii.1.E</w:t>
      </w:r>
      <w:r w:rsidR="00021A34" w:rsidRPr="00021A34">
        <w:rPr>
          <w:rStyle w:val="Hyperlink"/>
          <w:bCs/>
          <w:u w:val="none"/>
        </w:rPr>
        <w:t xml:space="preserve"> </w:t>
      </w:r>
      <w:r>
        <w:rPr>
          <w:rStyle w:val="Hyperlink"/>
          <w:bCs/>
          <w:u w:val="none"/>
        </w:rPr>
        <w:t>–</w:t>
      </w:r>
      <w:r w:rsidR="00021A34" w:rsidRPr="00021A34">
        <w:rPr>
          <w:rStyle w:val="Hyperlink"/>
          <w:bCs/>
          <w:u w:val="none"/>
        </w:rPr>
        <w:t xml:space="preserve"> </w:t>
      </w:r>
    </w:p>
    <w:p w:rsidR="00EC5BBA" w:rsidRPr="00EC5BBA" w:rsidRDefault="00EC5BBA" w:rsidP="00691877">
      <w:pPr>
        <w:widowControl w:val="0"/>
        <w:numPr>
          <w:ilvl w:val="1"/>
          <w:numId w:val="51"/>
        </w:numPr>
        <w:tabs>
          <w:tab w:val="clear" w:pos="1440"/>
          <w:tab w:val="num" w:pos="720"/>
        </w:tabs>
        <w:spacing w:after="120"/>
        <w:ind w:left="720"/>
        <w:rPr>
          <w:b/>
          <w:bCs/>
        </w:rPr>
      </w:pPr>
      <w:r>
        <w:rPr>
          <w:b/>
          <w:bCs/>
        </w:rPr>
        <w:t>IV.ii.1.E.1</w:t>
      </w:r>
      <w:r w:rsidRPr="00EC5BBA">
        <w:rPr>
          <w:b/>
          <w:bCs/>
        </w:rPr>
        <w:t>.c</w:t>
      </w:r>
      <w:r w:rsidRPr="00EC5BBA">
        <w:rPr>
          <w:bCs/>
        </w:rPr>
        <w:t xml:space="preserve"> – </w:t>
      </w:r>
      <w:r w:rsidR="00BC4989">
        <w:rPr>
          <w:bCs/>
        </w:rPr>
        <w:t xml:space="preserve">using DD214 to verify </w:t>
      </w:r>
      <w:r w:rsidR="00BC4989">
        <w:rPr>
          <w:rFonts w:cs="Times New Roman"/>
          <w:szCs w:val="24"/>
        </w:rPr>
        <w:t>Southwest Asia theater of operations / SWA</w:t>
      </w:r>
      <w:r w:rsidR="00BC4989">
        <w:rPr>
          <w:bCs/>
        </w:rPr>
        <w:t xml:space="preserve"> service = service in SWA with dates, Iraq Campaign Medal, Kuwait Liberation Medal are ALL good; Southwest Asia Service Medal (check that not for Israel, Egypt, Turkey, Syria or Jordan); GWOT Medal not sufficient</w:t>
      </w:r>
    </w:p>
    <w:p w:rsidR="007259D5" w:rsidRPr="00460E4D" w:rsidRDefault="00EC5BBA" w:rsidP="00691877">
      <w:pPr>
        <w:widowControl w:val="0"/>
        <w:numPr>
          <w:ilvl w:val="1"/>
          <w:numId w:val="51"/>
        </w:numPr>
        <w:tabs>
          <w:tab w:val="clear" w:pos="1440"/>
          <w:tab w:val="num" w:pos="720"/>
        </w:tabs>
        <w:spacing w:after="120"/>
        <w:ind w:left="720"/>
        <w:rPr>
          <w:b/>
          <w:bCs/>
        </w:rPr>
      </w:pPr>
      <w:r>
        <w:rPr>
          <w:b/>
        </w:rPr>
        <w:t>IV.ii.1.E.2.a -</w:t>
      </w:r>
      <w:r>
        <w:t xml:space="preserve"> </w:t>
      </w:r>
      <w:r w:rsidR="00021A34" w:rsidRPr="007259D5">
        <w:rPr>
          <w:rFonts w:eastAsia="Calibri"/>
        </w:rPr>
        <w:t>The threshold for requiring an examination is low, just need service in S</w:t>
      </w:r>
      <w:r w:rsidR="00BC4989">
        <w:rPr>
          <w:rFonts w:eastAsia="Calibri"/>
        </w:rPr>
        <w:t>outhwest Asia</w:t>
      </w:r>
      <w:r w:rsidR="00021A34" w:rsidRPr="007259D5">
        <w:rPr>
          <w:rFonts w:eastAsia="Calibri"/>
        </w:rPr>
        <w:t xml:space="preserve"> Theater of Operations</w:t>
      </w:r>
      <w:r w:rsidR="00BC4989">
        <w:rPr>
          <w:rFonts w:eastAsia="Calibri"/>
        </w:rPr>
        <w:t xml:space="preserve"> / SWA</w:t>
      </w:r>
      <w:r w:rsidR="00021A34" w:rsidRPr="007259D5">
        <w:rPr>
          <w:rFonts w:eastAsia="Calibri"/>
        </w:rPr>
        <w:t xml:space="preserve"> &amp; medical/lay evid documenting chronic/recurrent sx lasting at least 6 months that fit the description of conditions</w:t>
      </w:r>
      <w:r w:rsidR="001B6774" w:rsidRPr="007259D5">
        <w:rPr>
          <w:rFonts w:eastAsia="Calibri"/>
        </w:rPr>
        <w:t xml:space="preserve">; </w:t>
      </w:r>
      <w:r w:rsidR="001B6774" w:rsidRPr="001B6774">
        <w:t>To be sufficient, the examiner must provide a medical opinion as to whether it is "at least as likely as not" that the disability pattern or diagnosed disease is related to a specific exposure event experienced by the Veteran during service in</w:t>
      </w:r>
      <w:r w:rsidR="00BC4989" w:rsidRPr="00BC4989">
        <w:rPr>
          <w:rFonts w:cs="Times New Roman"/>
          <w:szCs w:val="24"/>
        </w:rPr>
        <w:t xml:space="preserve"> </w:t>
      </w:r>
      <w:r w:rsidR="00BC4989">
        <w:rPr>
          <w:rFonts w:cs="Times New Roman"/>
          <w:szCs w:val="24"/>
        </w:rPr>
        <w:t>Southwest Asia theater of operations / SWA</w:t>
      </w:r>
    </w:p>
    <w:p w:rsidR="00460E4D" w:rsidRPr="00460E4D" w:rsidRDefault="00460E4D" w:rsidP="00691877">
      <w:pPr>
        <w:widowControl w:val="0"/>
        <w:numPr>
          <w:ilvl w:val="1"/>
          <w:numId w:val="51"/>
        </w:numPr>
        <w:tabs>
          <w:tab w:val="clear" w:pos="1440"/>
          <w:tab w:val="num" w:pos="720"/>
        </w:tabs>
        <w:spacing w:after="120"/>
        <w:ind w:left="720"/>
        <w:rPr>
          <w:bCs/>
        </w:rPr>
      </w:pPr>
      <w:r w:rsidRPr="00460E4D">
        <w:t>Do not prepare a separate medical opinion DBQ.</w:t>
      </w:r>
      <w:r w:rsidRPr="00460E4D">
        <w:rPr>
          <w:bCs/>
        </w:rPr>
        <w:t xml:space="preserve"> The </w:t>
      </w:r>
      <w:r w:rsidRPr="00460E4D">
        <w:rPr>
          <w:bCs/>
          <w:i/>
        </w:rPr>
        <w:t>Notice to Examiners in Southwest Asia Claims</w:t>
      </w:r>
      <w:r w:rsidRPr="00460E4D">
        <w:rPr>
          <w:bCs/>
        </w:rPr>
        <w:t xml:space="preserve"> directs the examiner to provide the required opinion.</w:t>
      </w:r>
    </w:p>
    <w:p w:rsidR="0073043A" w:rsidRPr="00D932CD" w:rsidRDefault="0073043A" w:rsidP="0073043A">
      <w:pPr>
        <w:widowControl w:val="0"/>
        <w:numPr>
          <w:ilvl w:val="1"/>
          <w:numId w:val="51"/>
        </w:numPr>
        <w:tabs>
          <w:tab w:val="clear" w:pos="1440"/>
          <w:tab w:val="num" w:pos="720"/>
        </w:tabs>
        <w:spacing w:after="120"/>
        <w:ind w:left="720"/>
        <w:rPr>
          <w:b/>
          <w:bCs/>
        </w:rPr>
      </w:pPr>
      <w:r w:rsidRPr="00D932CD">
        <w:rPr>
          <w:b/>
        </w:rPr>
        <w:t>IV.ii.1.E.2.b</w:t>
      </w:r>
      <w:r>
        <w:t xml:space="preserve"> </w:t>
      </w:r>
      <w:r w:rsidR="00D932CD">
        <w:t>–</w:t>
      </w:r>
      <w:r w:rsidR="00460E4D">
        <w:t xml:space="preserve"> </w:t>
      </w:r>
      <w:r w:rsidR="00D932CD">
        <w:t>examples; a</w:t>
      </w:r>
      <w:r>
        <w:t xml:space="preserve"> Gulf War General Medical Examination should not be requested if one has already been completed for a claim that has not yet become final.</w:t>
      </w:r>
    </w:p>
    <w:p w:rsidR="00E93443" w:rsidRPr="00E93443" w:rsidRDefault="00EC5BBA" w:rsidP="00691877">
      <w:pPr>
        <w:widowControl w:val="0"/>
        <w:numPr>
          <w:ilvl w:val="1"/>
          <w:numId w:val="51"/>
        </w:numPr>
        <w:tabs>
          <w:tab w:val="clear" w:pos="1440"/>
          <w:tab w:val="num" w:pos="720"/>
        </w:tabs>
        <w:spacing w:after="120"/>
        <w:ind w:left="720"/>
        <w:rPr>
          <w:b/>
          <w:bCs/>
        </w:rPr>
      </w:pPr>
      <w:r>
        <w:rPr>
          <w:b/>
        </w:rPr>
        <w:t>IV.</w:t>
      </w:r>
      <w:r w:rsidR="00E93443">
        <w:rPr>
          <w:b/>
          <w:bCs/>
        </w:rPr>
        <w:t>ii.1.E.2</w:t>
      </w:r>
      <w:r w:rsidRPr="00EC5BBA">
        <w:rPr>
          <w:bCs/>
        </w:rPr>
        <w:t xml:space="preserve"> –</w:t>
      </w:r>
      <w:r>
        <w:rPr>
          <w:bCs/>
        </w:rPr>
        <w:t xml:space="preserve"> e</w:t>
      </w:r>
      <w:r w:rsidR="00E93443">
        <w:rPr>
          <w:bCs/>
        </w:rPr>
        <w:t>xamples for no exams warranted:</w:t>
      </w:r>
    </w:p>
    <w:p w:rsidR="00E93443" w:rsidRPr="00E93443" w:rsidRDefault="00E93443" w:rsidP="00E93443">
      <w:pPr>
        <w:widowControl w:val="0"/>
        <w:numPr>
          <w:ilvl w:val="2"/>
          <w:numId w:val="51"/>
        </w:numPr>
        <w:tabs>
          <w:tab w:val="clear" w:pos="2160"/>
          <w:tab w:val="num" w:pos="1080"/>
        </w:tabs>
        <w:spacing w:after="120"/>
        <w:ind w:left="1080"/>
        <w:rPr>
          <w:b/>
          <w:bCs/>
        </w:rPr>
      </w:pPr>
      <w:r>
        <w:rPr>
          <w:b/>
        </w:rPr>
        <w:t>IV.</w:t>
      </w:r>
      <w:r>
        <w:rPr>
          <w:b/>
          <w:bCs/>
        </w:rPr>
        <w:t>ii.1.E.2.f</w:t>
      </w:r>
      <w:r>
        <w:rPr>
          <w:bCs/>
        </w:rPr>
        <w:t xml:space="preserve"> </w:t>
      </w:r>
      <w:r w:rsidR="0004206E">
        <w:rPr>
          <w:bCs/>
        </w:rPr>
        <w:t>known cl</w:t>
      </w:r>
      <w:r>
        <w:rPr>
          <w:bCs/>
        </w:rPr>
        <w:t>inical diagnosis [sleep apnea]</w:t>
      </w:r>
    </w:p>
    <w:p w:rsidR="00EC5BBA" w:rsidRPr="00E93443" w:rsidRDefault="00E93443" w:rsidP="00E93443">
      <w:pPr>
        <w:widowControl w:val="0"/>
        <w:numPr>
          <w:ilvl w:val="2"/>
          <w:numId w:val="51"/>
        </w:numPr>
        <w:tabs>
          <w:tab w:val="clear" w:pos="2160"/>
          <w:tab w:val="num" w:pos="1080"/>
        </w:tabs>
        <w:spacing w:after="120"/>
        <w:ind w:left="1080"/>
        <w:rPr>
          <w:b/>
          <w:bCs/>
        </w:rPr>
      </w:pPr>
      <w:r>
        <w:rPr>
          <w:b/>
        </w:rPr>
        <w:t>IV.</w:t>
      </w:r>
      <w:r>
        <w:rPr>
          <w:b/>
          <w:bCs/>
        </w:rPr>
        <w:t xml:space="preserve">ii.1.E.2.k </w:t>
      </w:r>
      <w:r w:rsidR="00EC5BBA">
        <w:rPr>
          <w:bCs/>
        </w:rPr>
        <w:t>no potential entitleme</w:t>
      </w:r>
      <w:r w:rsidR="0061171C">
        <w:rPr>
          <w:bCs/>
        </w:rPr>
        <w:t>n</w:t>
      </w:r>
      <w:r w:rsidR="00EC5BBA">
        <w:rPr>
          <w:bCs/>
        </w:rPr>
        <w:t>t</w:t>
      </w:r>
      <w:r w:rsidR="0004206E">
        <w:rPr>
          <w:bCs/>
        </w:rPr>
        <w:t xml:space="preserve"> [multiple sclerosis, diabetes, single joint injury</w:t>
      </w:r>
      <w:r>
        <w:rPr>
          <w:bCs/>
        </w:rPr>
        <w:t xml:space="preserve"> w/trauma (in service or thereafter) &amp; known clinical diagnosis indicating injury etiology</w:t>
      </w:r>
      <w:r w:rsidR="0004206E">
        <w:rPr>
          <w:bCs/>
        </w:rPr>
        <w:t>]</w:t>
      </w:r>
    </w:p>
    <w:p w:rsidR="00E93443" w:rsidRPr="00CF1DED" w:rsidRDefault="00E93443" w:rsidP="00E93443">
      <w:pPr>
        <w:widowControl w:val="0"/>
        <w:numPr>
          <w:ilvl w:val="2"/>
          <w:numId w:val="51"/>
        </w:numPr>
        <w:tabs>
          <w:tab w:val="clear" w:pos="2160"/>
          <w:tab w:val="num" w:pos="1080"/>
        </w:tabs>
        <w:spacing w:after="120"/>
        <w:ind w:left="1080"/>
        <w:rPr>
          <w:b/>
          <w:bCs/>
        </w:rPr>
      </w:pPr>
      <w:r>
        <w:rPr>
          <w:b/>
        </w:rPr>
        <w:t>IV.</w:t>
      </w:r>
      <w:r>
        <w:rPr>
          <w:b/>
          <w:bCs/>
        </w:rPr>
        <w:t>ii.1.E.2.l</w:t>
      </w:r>
      <w:r w:rsidRPr="00E93443">
        <w:rPr>
          <w:bCs/>
        </w:rPr>
        <w:t xml:space="preserve"> </w:t>
      </w:r>
      <w:r>
        <w:rPr>
          <w:bCs/>
        </w:rPr>
        <w:t>no potential entitlement [single joint injury w/trauma (in service or thereafter) &amp; known clinical diagnosis indicating injury]</w:t>
      </w:r>
    </w:p>
    <w:p w:rsidR="00460E4D" w:rsidRPr="00D932CD" w:rsidRDefault="00D932CD" w:rsidP="00691877">
      <w:pPr>
        <w:widowControl w:val="0"/>
        <w:numPr>
          <w:ilvl w:val="1"/>
          <w:numId w:val="51"/>
        </w:numPr>
        <w:tabs>
          <w:tab w:val="clear" w:pos="1440"/>
          <w:tab w:val="num" w:pos="400"/>
          <w:tab w:val="num" w:pos="720"/>
        </w:tabs>
        <w:spacing w:after="120"/>
        <w:ind w:left="720"/>
        <w:rPr>
          <w:rStyle w:val="Hyperlink"/>
          <w:b/>
          <w:bCs/>
          <w:color w:val="auto"/>
          <w:u w:val="none"/>
        </w:rPr>
      </w:pPr>
      <w:r w:rsidRPr="00D932CD">
        <w:rPr>
          <w:rStyle w:val="Hyperlink"/>
          <w:b/>
          <w:bCs/>
          <w:color w:val="auto"/>
          <w:u w:val="none"/>
        </w:rPr>
        <w:t>IV.ii.1.E.2.m</w:t>
      </w:r>
      <w:r w:rsidR="000A5349" w:rsidRPr="00D932CD">
        <w:rPr>
          <w:rStyle w:val="Hyperlink"/>
          <w:bCs/>
          <w:color w:val="auto"/>
          <w:u w:val="none"/>
        </w:rPr>
        <w:t xml:space="preserve"> - </w:t>
      </w:r>
      <w:r w:rsidR="005747D0" w:rsidRPr="00D932CD">
        <w:rPr>
          <w:rStyle w:val="Hyperlink"/>
          <w:bCs/>
          <w:i/>
          <w:color w:val="auto"/>
          <w:u w:val="none"/>
        </w:rPr>
        <w:t>Notice to Exami</w:t>
      </w:r>
      <w:r w:rsidRPr="00D932CD">
        <w:rPr>
          <w:rStyle w:val="Hyperlink"/>
          <w:bCs/>
          <w:i/>
          <w:color w:val="auto"/>
          <w:u w:val="none"/>
        </w:rPr>
        <w:t>ners in Southwest Asia Claims</w:t>
      </w:r>
    </w:p>
    <w:p w:rsidR="002C3B90" w:rsidRPr="007259D5" w:rsidRDefault="002C3B90" w:rsidP="00691877">
      <w:pPr>
        <w:widowControl w:val="0"/>
        <w:numPr>
          <w:ilvl w:val="1"/>
          <w:numId w:val="51"/>
        </w:numPr>
        <w:tabs>
          <w:tab w:val="clear" w:pos="1440"/>
          <w:tab w:val="num" w:pos="400"/>
          <w:tab w:val="num" w:pos="720"/>
        </w:tabs>
        <w:spacing w:after="120"/>
        <w:ind w:left="720"/>
        <w:rPr>
          <w:b/>
          <w:bCs/>
        </w:rPr>
      </w:pPr>
      <w:r w:rsidRPr="002C3B90">
        <w:rPr>
          <w:b/>
        </w:rPr>
        <w:t>IV.ii.1.E.3</w:t>
      </w:r>
      <w:r>
        <w:rPr>
          <w:rStyle w:val="Hyperlink"/>
          <w:bCs/>
          <w:color w:val="auto"/>
          <w:u w:val="none"/>
        </w:rPr>
        <w:t xml:space="preserve"> – brain cancer, need </w:t>
      </w:r>
      <w:r>
        <w:t>SWA service 1/17/91-4/11/91 (GW I only) &amp; diagnosis, request medical opinion if no nexus with “rational, scientific explanation”</w:t>
      </w:r>
      <w:r w:rsidR="00554493">
        <w:t xml:space="preserve"> yet</w:t>
      </w:r>
      <w:r>
        <w:t xml:space="preserve"> on file</w:t>
      </w:r>
      <w:r w:rsidR="00554493">
        <w:t xml:space="preserve"> [only do VHA exams, ACE is okay; use SWA Brain Cancer (MO) &amp; add SWA Brain Cancer Fact Sheet (which loads to desktop after creat</w:t>
      </w:r>
      <w:r w:rsidR="00AE4786">
        <w:t>e</w:t>
      </w:r>
      <w:r w:rsidR="00554493">
        <w:t xml:space="preserve"> ERB)]</w:t>
      </w:r>
    </w:p>
    <w:p w:rsidR="00EC5BBA" w:rsidRPr="00AB261D" w:rsidRDefault="00AB261D" w:rsidP="00691877">
      <w:pPr>
        <w:widowControl w:val="0"/>
        <w:numPr>
          <w:ilvl w:val="0"/>
          <w:numId w:val="51"/>
        </w:numPr>
        <w:tabs>
          <w:tab w:val="clear" w:pos="720"/>
          <w:tab w:val="num" w:pos="360"/>
        </w:tabs>
        <w:spacing w:after="120"/>
        <w:ind w:left="360"/>
        <w:rPr>
          <w:b/>
          <w:bCs/>
        </w:rPr>
      </w:pPr>
      <w:r w:rsidRPr="00AB261D">
        <w:rPr>
          <w:rStyle w:val="Strong"/>
          <w:szCs w:val="18"/>
        </w:rPr>
        <w:t>IV.ii.1.I.</w:t>
      </w:r>
      <w:r w:rsidR="009658CD">
        <w:rPr>
          <w:rStyle w:val="Strong"/>
          <w:szCs w:val="18"/>
        </w:rPr>
        <w:t>10</w:t>
      </w:r>
      <w:r w:rsidRPr="00AB261D">
        <w:rPr>
          <w:bCs/>
          <w:iCs/>
          <w:szCs w:val="18"/>
        </w:rPr>
        <w:t xml:space="preserve"> &amp; </w:t>
      </w:r>
      <w:r w:rsidR="00EC5BBA">
        <w:rPr>
          <w:b/>
          <w:bCs/>
        </w:rPr>
        <w:t>IV.ii.2.C</w:t>
      </w:r>
      <w:r w:rsidR="00F37F14">
        <w:rPr>
          <w:b/>
          <w:bCs/>
        </w:rPr>
        <w:t>.5</w:t>
      </w:r>
      <w:r w:rsidR="00EC5BBA">
        <w:rPr>
          <w:b/>
          <w:bCs/>
        </w:rPr>
        <w:t xml:space="preserve"> </w:t>
      </w:r>
      <w:r w:rsidR="00EC5BBA">
        <w:rPr>
          <w:bCs/>
        </w:rPr>
        <w:t>– burn pits, Sulfur mine, Chromium VI, waste incinerator, 3.317, Camp Lejeune</w:t>
      </w:r>
    </w:p>
    <w:p w:rsidR="00AB261D" w:rsidRDefault="00AB261D" w:rsidP="00691877">
      <w:pPr>
        <w:widowControl w:val="0"/>
        <w:numPr>
          <w:ilvl w:val="0"/>
          <w:numId w:val="37"/>
        </w:numPr>
        <w:spacing w:after="120"/>
        <w:rPr>
          <w:bCs/>
          <w:iCs/>
        </w:rPr>
      </w:pPr>
      <w:r>
        <w:rPr>
          <w:bCs/>
          <w:iCs/>
        </w:rPr>
        <w:t xml:space="preserve">Burn pits in Iraq (Joint Base Balad Logistical Support Area (LSA) Anaconda in Northern Iraq is a 10 acre area), Afghanistan &amp; Djibouti on the Horn of Africa – </w:t>
      </w:r>
      <w:r w:rsidRPr="00B17678">
        <w:rPr>
          <w:rFonts w:ascii="Verdana" w:hAnsi="Verdana"/>
          <w:b/>
          <w:highlight w:val="green"/>
        </w:rPr>
        <w:t>VBMS-R</w:t>
      </w:r>
      <w:r>
        <w:rPr>
          <w:rFonts w:ascii="Verdana" w:hAnsi="Verdana"/>
          <w:b/>
          <w:highlight w:val="green"/>
        </w:rPr>
        <w:t xml:space="preserve"> has Special Issue for Burn Pit Exposure as of </w:t>
      </w:r>
      <w:r w:rsidR="003C038F">
        <w:rPr>
          <w:rFonts w:ascii="Verdana" w:hAnsi="Verdana"/>
          <w:b/>
          <w:highlight w:val="green"/>
        </w:rPr>
        <w:t>10/</w:t>
      </w:r>
      <w:r>
        <w:rPr>
          <w:rFonts w:ascii="Verdana" w:hAnsi="Verdana"/>
          <w:b/>
          <w:highlight w:val="green"/>
        </w:rPr>
        <w:t>15</w:t>
      </w:r>
      <w:r>
        <w:rPr>
          <w:rFonts w:ascii="Verdana" w:hAnsi="Verdana"/>
        </w:rPr>
        <w:t xml:space="preserve"> [</w:t>
      </w:r>
      <w:r>
        <w:rPr>
          <w:rFonts w:cs="Courier New"/>
        </w:rPr>
        <w:t xml:space="preserve">The Fact Sheet under </w:t>
      </w:r>
      <w:r>
        <w:rPr>
          <w:rStyle w:val="Strong"/>
        </w:rPr>
        <w:t>IV.ii.1.I.</w:t>
      </w:r>
      <w:r w:rsidR="00E54487">
        <w:rPr>
          <w:rStyle w:val="Strong"/>
        </w:rPr>
        <w:t>10.a</w:t>
      </w:r>
      <w:r>
        <w:rPr>
          <w:rStyle w:val="Strong"/>
          <w:b w:val="0"/>
        </w:rPr>
        <w:t xml:space="preserve"> shows burn pits can affect respiratory, skin, eyes, liver, kidneys, central nervous system, cardiovascular, reproductive, peripheral nervous system, &amp; GI tract</w:t>
      </w:r>
      <w:r w:rsidRPr="00476B1F">
        <w:rPr>
          <w:rStyle w:val="Strong"/>
          <w:b w:val="0"/>
        </w:rPr>
        <w:t>.]</w:t>
      </w:r>
    </w:p>
    <w:p w:rsidR="00AB261D" w:rsidRPr="00476B1F" w:rsidRDefault="00AB261D" w:rsidP="00691877">
      <w:pPr>
        <w:widowControl w:val="0"/>
        <w:numPr>
          <w:ilvl w:val="0"/>
          <w:numId w:val="37"/>
        </w:numPr>
        <w:spacing w:after="120"/>
        <w:rPr>
          <w:bCs/>
          <w:iCs/>
        </w:rPr>
      </w:pPr>
      <w:r w:rsidRPr="00476B1F">
        <w:rPr>
          <w:bCs/>
          <w:iCs/>
        </w:rPr>
        <w:t xml:space="preserve">“Particulate Matter” in Iraq &amp; Afghanistan </w:t>
      </w:r>
    </w:p>
    <w:p w:rsidR="007838C8" w:rsidRPr="007838C8" w:rsidRDefault="00AB261D" w:rsidP="007838C8">
      <w:pPr>
        <w:widowControl w:val="0"/>
        <w:numPr>
          <w:ilvl w:val="0"/>
          <w:numId w:val="37"/>
        </w:numPr>
        <w:spacing w:after="120"/>
        <w:rPr>
          <w:b/>
          <w:bCs/>
        </w:rPr>
      </w:pPr>
      <w:r w:rsidRPr="007838C8">
        <w:rPr>
          <w:bCs/>
        </w:rPr>
        <w:t>sulfur fire at Misraq State Sulfur Mine near Mosul, Iraq (</w:t>
      </w:r>
      <w:r w:rsidRPr="007838C8">
        <w:rPr>
          <w:bCs/>
          <w:iCs/>
        </w:rPr>
        <w:t>4-week fire, started 6/24/03 (go to one week after fire, so 4 weeks), affected Mosul Airfield and Qayyarah Airfield West (Camp Q West) which is the primary deployment area for the 101</w:t>
      </w:r>
      <w:r w:rsidRPr="007838C8">
        <w:rPr>
          <w:bCs/>
          <w:iCs/>
          <w:vertAlign w:val="superscript"/>
        </w:rPr>
        <w:t>st</w:t>
      </w:r>
      <w:r w:rsidRPr="007838C8">
        <w:rPr>
          <w:bCs/>
          <w:iCs/>
        </w:rPr>
        <w:t xml:space="preserve"> airborne division; causes skin conditions, and respiratory conditions to include shortness of breath and “constrictive bronchiolitis”)</w:t>
      </w:r>
    </w:p>
    <w:p w:rsidR="007838C8" w:rsidRPr="007838C8" w:rsidRDefault="00AB261D" w:rsidP="007838C8">
      <w:pPr>
        <w:widowControl w:val="0"/>
        <w:numPr>
          <w:ilvl w:val="0"/>
          <w:numId w:val="37"/>
        </w:numPr>
        <w:spacing w:after="120"/>
        <w:rPr>
          <w:b/>
          <w:bCs/>
        </w:rPr>
      </w:pPr>
      <w:r w:rsidRPr="007838C8">
        <w:rPr>
          <w:bCs/>
        </w:rPr>
        <w:t>NG &amp; Chromium VI at Qarmat Ali Water Treatment Plant in Bashrah, Iraq</w:t>
      </w:r>
      <w:r w:rsidRPr="007838C8">
        <w:rPr>
          <w:bCs/>
          <w:iCs/>
        </w:rPr>
        <w:t xml:space="preserve"> (4/03-9/03, Army National Guard personnel from West Virgina, South Carolina and Oregon)</w:t>
      </w:r>
      <w:r w:rsidR="007838C8" w:rsidRPr="007838C8">
        <w:rPr>
          <w:bCs/>
          <w:iCs/>
        </w:rPr>
        <w:t xml:space="preserve">, </w:t>
      </w:r>
      <w:r w:rsidR="007838C8">
        <w:rPr>
          <w:b/>
        </w:rPr>
        <w:t>IV.ii.1.I.6.f</w:t>
      </w:r>
    </w:p>
    <w:p w:rsidR="00AB261D" w:rsidRDefault="00AB261D" w:rsidP="00691877">
      <w:pPr>
        <w:widowControl w:val="0"/>
        <w:numPr>
          <w:ilvl w:val="0"/>
          <w:numId w:val="37"/>
        </w:numPr>
        <w:spacing w:after="120"/>
        <w:rPr>
          <w:bCs/>
          <w:iCs/>
        </w:rPr>
      </w:pPr>
      <w:r>
        <w:rPr>
          <w:bCs/>
          <w:iCs/>
        </w:rPr>
        <w:t xml:space="preserve">Emissions from waste incinerator </w:t>
      </w:r>
      <w:r>
        <w:rPr>
          <w:bCs/>
        </w:rPr>
        <w:t>near naval air facility in Atsugi, Japan</w:t>
      </w:r>
      <w:r>
        <w:rPr>
          <w:bCs/>
          <w:iCs/>
        </w:rPr>
        <w:t xml:space="preserve"> (1985-2001)</w:t>
      </w:r>
    </w:p>
    <w:p w:rsidR="00460E4D" w:rsidRPr="00460E4D" w:rsidRDefault="00B35ED6" w:rsidP="00460E4D">
      <w:pPr>
        <w:pStyle w:val="ListParagraph"/>
        <w:numPr>
          <w:ilvl w:val="0"/>
          <w:numId w:val="37"/>
        </w:numPr>
        <w:tabs>
          <w:tab w:val="clear" w:pos="720"/>
          <w:tab w:val="left" w:pos="360"/>
        </w:tabs>
        <w:spacing w:after="120" w:line="240" w:lineRule="auto"/>
        <w:ind w:left="360"/>
        <w:rPr>
          <w:rFonts w:ascii="Arial" w:hAnsi="Arial"/>
          <w:b/>
          <w:bCs/>
          <w:sz w:val="20"/>
          <w:szCs w:val="21"/>
        </w:rPr>
      </w:pPr>
      <w:r w:rsidRPr="00460E4D">
        <w:rPr>
          <w:rFonts w:ascii="Arial" w:hAnsi="Arial"/>
          <w:b/>
          <w:bCs/>
          <w:sz w:val="20"/>
          <w:szCs w:val="21"/>
        </w:rPr>
        <w:t>IV.ii.2.C.5.n</w:t>
      </w:r>
      <w:r w:rsidR="00F30BA2" w:rsidRPr="00460E4D">
        <w:rPr>
          <w:rFonts w:ascii="Arial" w:hAnsi="Arial"/>
          <w:b/>
          <w:bCs/>
          <w:sz w:val="20"/>
          <w:szCs w:val="21"/>
        </w:rPr>
        <w:t> </w:t>
      </w:r>
      <w:r w:rsidR="00460E4D" w:rsidRPr="00460E4D">
        <w:rPr>
          <w:rFonts w:ascii="Arial" w:hAnsi="Arial"/>
          <w:bCs/>
          <w:sz w:val="20"/>
          <w:szCs w:val="21"/>
        </w:rPr>
        <w:t xml:space="preserve">&amp; </w:t>
      </w:r>
      <w:r w:rsidR="00460E4D" w:rsidRPr="00460E4D">
        <w:rPr>
          <w:rFonts w:ascii="Arial" w:hAnsi="Arial"/>
          <w:b/>
          <w:bCs/>
          <w:sz w:val="20"/>
          <w:szCs w:val="21"/>
        </w:rPr>
        <w:t>IV.ii.1.I.6.h -</w:t>
      </w:r>
      <w:r w:rsidR="00F30BA2" w:rsidRPr="00460E4D">
        <w:rPr>
          <w:rFonts w:ascii="Arial" w:hAnsi="Arial"/>
          <w:b/>
          <w:bCs/>
          <w:sz w:val="20"/>
          <w:szCs w:val="21"/>
        </w:rPr>
        <w:t xml:space="preserve"> </w:t>
      </w:r>
      <w:r w:rsidR="00F30BA2" w:rsidRPr="00460E4D">
        <w:rPr>
          <w:rFonts w:ascii="Arial" w:hAnsi="Arial"/>
          <w:bCs/>
          <w:sz w:val="20"/>
          <w:szCs w:val="21"/>
        </w:rPr>
        <w:t>What to Include in VA Examination and/or Medical Opinion Requests  in Environmental Hazard Claims</w:t>
      </w:r>
    </w:p>
    <w:p w:rsidR="00A66217" w:rsidRPr="00A66217" w:rsidRDefault="00013EB8" w:rsidP="00691877">
      <w:pPr>
        <w:widowControl w:val="0"/>
        <w:numPr>
          <w:ilvl w:val="0"/>
          <w:numId w:val="51"/>
        </w:numPr>
        <w:tabs>
          <w:tab w:val="clear" w:pos="720"/>
          <w:tab w:val="num" w:pos="360"/>
        </w:tabs>
        <w:spacing w:after="120"/>
        <w:ind w:left="360"/>
        <w:rPr>
          <w:b/>
          <w:bCs/>
        </w:rPr>
      </w:pPr>
      <w:r w:rsidRPr="00796422">
        <w:rPr>
          <w:b/>
          <w:bCs/>
        </w:rPr>
        <w:t>IV.ii.2.D</w:t>
      </w:r>
      <w:r w:rsidR="00491AF8" w:rsidRPr="00796422">
        <w:rPr>
          <w:bCs/>
        </w:rPr>
        <w:t xml:space="preserve"> </w:t>
      </w:r>
      <w:r w:rsidR="00A66217">
        <w:rPr>
          <w:bCs/>
        </w:rPr>
        <w:t>–</w:t>
      </w:r>
      <w:r w:rsidR="00491AF8" w:rsidRPr="00796422">
        <w:rPr>
          <w:bCs/>
        </w:rPr>
        <w:t xml:space="preserve"> </w:t>
      </w:r>
    </w:p>
    <w:p w:rsidR="00567130" w:rsidRPr="00567130" w:rsidRDefault="00491AF8" w:rsidP="00691877">
      <w:pPr>
        <w:widowControl w:val="0"/>
        <w:numPr>
          <w:ilvl w:val="1"/>
          <w:numId w:val="51"/>
        </w:numPr>
        <w:tabs>
          <w:tab w:val="clear" w:pos="1440"/>
          <w:tab w:val="num" w:pos="720"/>
        </w:tabs>
        <w:spacing w:after="120"/>
        <w:ind w:left="720"/>
        <w:rPr>
          <w:b/>
          <w:bCs/>
        </w:rPr>
      </w:pPr>
      <w:r>
        <w:rPr>
          <w:rFonts w:cs="Times New Roman"/>
          <w:szCs w:val="24"/>
        </w:rPr>
        <w:t>medically unexplained chronic multi</w:t>
      </w:r>
      <w:r w:rsidR="005C6E23">
        <w:rPr>
          <w:rFonts w:cs="Times New Roman"/>
          <w:szCs w:val="24"/>
        </w:rPr>
        <w:t>-</w:t>
      </w:r>
      <w:r>
        <w:rPr>
          <w:rFonts w:cs="Times New Roman"/>
          <w:szCs w:val="24"/>
        </w:rPr>
        <w:t>symptom illnesses (MUCMI</w:t>
      </w:r>
      <w:r w:rsidR="00A66217">
        <w:rPr>
          <w:rFonts w:cs="Times New Roman"/>
          <w:szCs w:val="24"/>
        </w:rPr>
        <w:t>s</w:t>
      </w:r>
      <w:r>
        <w:rPr>
          <w:rFonts w:cs="Times New Roman"/>
          <w:szCs w:val="24"/>
        </w:rPr>
        <w:t>)</w:t>
      </w:r>
      <w:r w:rsidR="00BB24F4">
        <w:rPr>
          <w:rFonts w:cs="Times New Roman"/>
          <w:szCs w:val="24"/>
        </w:rPr>
        <w:t xml:space="preserve"> are </w:t>
      </w:r>
      <w:r w:rsidR="00BB24F4" w:rsidRPr="008009CB">
        <w:rPr>
          <w:rFonts w:cs="Times New Roman"/>
          <w:b/>
          <w:szCs w:val="24"/>
        </w:rPr>
        <w:t>only</w:t>
      </w:r>
      <w:r w:rsidR="00BB24F4">
        <w:rPr>
          <w:rFonts w:cs="Times New Roman"/>
          <w:szCs w:val="24"/>
        </w:rPr>
        <w:t xml:space="preserve"> for veterans with service in S</w:t>
      </w:r>
      <w:r w:rsidR="00567130">
        <w:rPr>
          <w:rFonts w:cs="Times New Roman"/>
          <w:szCs w:val="24"/>
        </w:rPr>
        <w:t xml:space="preserve">outhwest Asia </w:t>
      </w:r>
      <w:r w:rsidR="00BC4989">
        <w:rPr>
          <w:rFonts w:cs="Times New Roman"/>
          <w:szCs w:val="24"/>
        </w:rPr>
        <w:t xml:space="preserve">theater of operations / </w:t>
      </w:r>
      <w:r w:rsidR="00567130">
        <w:rPr>
          <w:rFonts w:cs="Times New Roman"/>
          <w:szCs w:val="24"/>
        </w:rPr>
        <w:t>S</w:t>
      </w:r>
      <w:r w:rsidR="00BB24F4">
        <w:rPr>
          <w:rFonts w:cs="Times New Roman"/>
          <w:szCs w:val="24"/>
        </w:rPr>
        <w:t>WA</w:t>
      </w:r>
      <w:r w:rsidR="00A66217">
        <w:rPr>
          <w:rFonts w:cs="Times New Roman"/>
          <w:szCs w:val="24"/>
        </w:rPr>
        <w:t xml:space="preserve">; </w:t>
      </w:r>
      <w:r w:rsidR="00A66217">
        <w:t>“mi</w:t>
      </w:r>
      <w:r w:rsidR="00567130">
        <w:t>litary, naval, or air service”</w:t>
      </w:r>
    </w:p>
    <w:p w:rsidR="00013EB8" w:rsidRPr="00567130" w:rsidRDefault="00567130" w:rsidP="00691877">
      <w:pPr>
        <w:widowControl w:val="0"/>
        <w:numPr>
          <w:ilvl w:val="1"/>
          <w:numId w:val="51"/>
        </w:numPr>
        <w:tabs>
          <w:tab w:val="clear" w:pos="1440"/>
          <w:tab w:val="num" w:pos="720"/>
        </w:tabs>
        <w:spacing w:after="120"/>
        <w:ind w:left="720"/>
        <w:rPr>
          <w:b/>
          <w:bCs/>
        </w:rPr>
      </w:pPr>
      <w:r w:rsidRPr="00796422">
        <w:rPr>
          <w:b/>
          <w:bCs/>
        </w:rPr>
        <w:t>IV.ii.2.D</w:t>
      </w:r>
      <w:r>
        <w:rPr>
          <w:b/>
          <w:bCs/>
        </w:rPr>
        <w:t>.1.f</w:t>
      </w:r>
      <w:r w:rsidRPr="00796422">
        <w:rPr>
          <w:bCs/>
        </w:rPr>
        <w:t xml:space="preserve"> </w:t>
      </w:r>
      <w:r>
        <w:rPr>
          <w:bCs/>
        </w:rPr>
        <w:t xml:space="preserve">- </w:t>
      </w:r>
      <w:r w:rsidR="008009CB" w:rsidRPr="00D2563F">
        <w:rPr>
          <w:highlight w:val="cyan"/>
        </w:rPr>
        <w:t>Iraq, Kuwait, Saudi Arabia, neutral zone between Iraq &amp; Saudi Arabia, United Arab Emirates, Bahrain, Qatar, Oman, Gulf of Aden, Gulf of Oman, Persian Gulf, Arabian Sea, Red Sea AND the airspace above these locations</w:t>
      </w:r>
      <w:r w:rsidR="00BB24F4">
        <w:rPr>
          <w:rFonts w:cs="Times New Roman"/>
          <w:szCs w:val="24"/>
        </w:rPr>
        <w:t xml:space="preserve"> after 8/2/90</w:t>
      </w:r>
      <w:r w:rsidR="00C27092">
        <w:rPr>
          <w:rFonts w:cs="Times New Roman"/>
          <w:szCs w:val="24"/>
        </w:rPr>
        <w:t xml:space="preserve">; </w:t>
      </w:r>
      <w:r w:rsidR="008009CB" w:rsidRPr="0039182F">
        <w:rPr>
          <w:rFonts w:cs="Times New Roman"/>
          <w:szCs w:val="24"/>
          <w:u w:val="single"/>
        </w:rPr>
        <w:t>NOT for Afghanistan veterans</w:t>
      </w:r>
      <w:r w:rsidR="00BB24F4">
        <w:rPr>
          <w:rFonts w:cs="Times New Roman"/>
          <w:szCs w:val="24"/>
        </w:rPr>
        <w:t xml:space="preserve">; infectious diseases are for </w:t>
      </w:r>
      <w:r w:rsidR="008009CB" w:rsidRPr="008009CB">
        <w:rPr>
          <w:rFonts w:cs="Times New Roman"/>
          <w:b/>
          <w:szCs w:val="24"/>
        </w:rPr>
        <w:t>both</w:t>
      </w:r>
      <w:r w:rsidR="008009CB">
        <w:rPr>
          <w:rFonts w:cs="Times New Roman"/>
          <w:szCs w:val="24"/>
        </w:rPr>
        <w:t xml:space="preserve"> </w:t>
      </w:r>
      <w:r w:rsidR="008009CB" w:rsidRPr="008009CB">
        <w:rPr>
          <w:rFonts w:cs="Times New Roman"/>
          <w:szCs w:val="24"/>
        </w:rPr>
        <w:t>veterans with service in SWA theater of operations</w:t>
      </w:r>
      <w:r w:rsidR="008009CB">
        <w:rPr>
          <w:rFonts w:cs="Times New Roman"/>
          <w:szCs w:val="24"/>
        </w:rPr>
        <w:t xml:space="preserve"> and Afg</w:t>
      </w:r>
      <w:r w:rsidR="00A177FF">
        <w:rPr>
          <w:rFonts w:cs="Times New Roman"/>
          <w:szCs w:val="24"/>
        </w:rPr>
        <w:t>h</w:t>
      </w:r>
      <w:r w:rsidR="008009CB">
        <w:rPr>
          <w:rFonts w:cs="Times New Roman"/>
          <w:szCs w:val="24"/>
        </w:rPr>
        <w:t>anistan veterans</w:t>
      </w:r>
      <w:r w:rsidR="0039182F">
        <w:rPr>
          <w:rFonts w:cs="Times New Roman"/>
          <w:szCs w:val="24"/>
        </w:rPr>
        <w:t xml:space="preserve"> </w:t>
      </w:r>
      <w:r w:rsidR="0039182F">
        <w:t>with service on or after 9/19/01</w:t>
      </w:r>
    </w:p>
    <w:p w:rsidR="00567130" w:rsidRPr="00983A79" w:rsidRDefault="00567130" w:rsidP="00691877">
      <w:pPr>
        <w:pStyle w:val="ListParagraph"/>
        <w:widowControl w:val="0"/>
        <w:numPr>
          <w:ilvl w:val="0"/>
          <w:numId w:val="51"/>
        </w:numPr>
        <w:spacing w:after="120" w:line="240" w:lineRule="auto"/>
        <w:rPr>
          <w:rFonts w:ascii="Arial" w:hAnsi="Arial"/>
          <w:b/>
          <w:bCs/>
          <w:i/>
          <w:iCs/>
          <w:sz w:val="20"/>
          <w:szCs w:val="20"/>
        </w:rPr>
      </w:pPr>
      <w:r w:rsidRPr="00796422">
        <w:rPr>
          <w:rFonts w:ascii="Arial" w:hAnsi="Arial"/>
          <w:b/>
          <w:sz w:val="20"/>
          <w:szCs w:val="20"/>
        </w:rPr>
        <w:t>IV.ii.2.D</w:t>
      </w:r>
      <w:r>
        <w:rPr>
          <w:rFonts w:ascii="Arial" w:hAnsi="Arial"/>
          <w:b/>
          <w:sz w:val="20"/>
          <w:szCs w:val="20"/>
        </w:rPr>
        <w:t>.1.j</w:t>
      </w:r>
      <w:r w:rsidRPr="00796422">
        <w:rPr>
          <w:rFonts w:ascii="Arial" w:hAnsi="Arial"/>
          <w:sz w:val="20"/>
          <w:szCs w:val="20"/>
        </w:rPr>
        <w:t xml:space="preserve"> – </w:t>
      </w:r>
      <w:r>
        <w:rPr>
          <w:rFonts w:ascii="Arial" w:hAnsi="Arial"/>
          <w:sz w:val="20"/>
          <w:szCs w:val="20"/>
        </w:rPr>
        <w:t xml:space="preserve">functional gastrointestinal disorders (FGIDs) – type of MUCMI (list of characteristic symptoms &amp; diagnoses; includes irritable bowel syndrome (IBS), functional dyspepsia, functional vomiting, functional constipation, functional bloating, functional abdominal pain syndrome, functional dysphagia); </w:t>
      </w:r>
      <w:r w:rsidR="00AB5199">
        <w:rPr>
          <w:rFonts w:ascii="Arial" w:hAnsi="Arial"/>
          <w:sz w:val="20"/>
          <w:szCs w:val="20"/>
          <w:u w:val="single"/>
        </w:rPr>
        <w:t>EXCLUDES</w:t>
      </w:r>
      <w:r>
        <w:rPr>
          <w:rFonts w:ascii="Arial" w:hAnsi="Arial"/>
          <w:sz w:val="20"/>
          <w:szCs w:val="20"/>
        </w:rPr>
        <w:t xml:space="preserve"> structural gastrointestinaldiseases like inflammatory bowel disease (ulcerative</w:t>
      </w:r>
      <w:r w:rsidR="000F71BD">
        <w:rPr>
          <w:rFonts w:ascii="Arial" w:hAnsi="Arial"/>
          <w:sz w:val="20"/>
          <w:szCs w:val="20"/>
        </w:rPr>
        <w:t xml:space="preserve"> </w:t>
      </w:r>
      <w:r>
        <w:rPr>
          <w:rFonts w:ascii="Arial" w:hAnsi="Arial"/>
          <w:sz w:val="20"/>
          <w:szCs w:val="20"/>
        </w:rPr>
        <w:t>colitis, Crohn’s diease) &amp; gastroesophageal reflux disease/GERD</w:t>
      </w:r>
    </w:p>
    <w:p w:rsidR="00983A79" w:rsidRPr="00983A79" w:rsidRDefault="00983A79" w:rsidP="00983A79">
      <w:pPr>
        <w:pStyle w:val="ListParagraph"/>
        <w:widowControl w:val="0"/>
        <w:numPr>
          <w:ilvl w:val="0"/>
          <w:numId w:val="51"/>
        </w:numPr>
        <w:spacing w:after="120" w:line="240" w:lineRule="auto"/>
        <w:rPr>
          <w:rFonts w:ascii="Arial" w:hAnsi="Arial"/>
          <w:b/>
          <w:bCs/>
          <w:iCs/>
          <w:sz w:val="20"/>
          <w:szCs w:val="20"/>
        </w:rPr>
      </w:pPr>
      <w:r w:rsidRPr="00983A79">
        <w:rPr>
          <w:rFonts w:ascii="Arial" w:hAnsi="Arial"/>
          <w:b/>
          <w:bCs/>
          <w:iCs/>
          <w:sz w:val="20"/>
          <w:szCs w:val="20"/>
        </w:rPr>
        <w:t xml:space="preserve">IV.ii.2.D.1.m </w:t>
      </w:r>
      <w:r w:rsidRPr="00983A79">
        <w:rPr>
          <w:rFonts w:ascii="Arial" w:hAnsi="Arial"/>
          <w:bCs/>
          <w:iCs/>
          <w:sz w:val="20"/>
          <w:szCs w:val="20"/>
        </w:rPr>
        <w:t>– thru 12/31/</w:t>
      </w:r>
      <w:r>
        <w:rPr>
          <w:rFonts w:ascii="Arial" w:hAnsi="Arial"/>
          <w:bCs/>
          <w:iCs/>
          <w:sz w:val="20"/>
          <w:szCs w:val="20"/>
        </w:rPr>
        <w:t>20</w:t>
      </w:r>
      <w:r w:rsidRPr="00983A79">
        <w:rPr>
          <w:rFonts w:ascii="Arial" w:hAnsi="Arial"/>
          <w:bCs/>
          <w:iCs/>
          <w:sz w:val="20"/>
          <w:szCs w:val="20"/>
        </w:rPr>
        <w:t>21</w:t>
      </w:r>
    </w:p>
    <w:p w:rsidR="00A66217" w:rsidRPr="00DB4AFF" w:rsidRDefault="00A66217" w:rsidP="00691877">
      <w:pPr>
        <w:widowControl w:val="0"/>
        <w:numPr>
          <w:ilvl w:val="0"/>
          <w:numId w:val="51"/>
        </w:numPr>
        <w:overflowPunct/>
        <w:autoSpaceDE/>
        <w:autoSpaceDN/>
        <w:adjustRightInd/>
        <w:spacing w:after="120"/>
        <w:textAlignment w:val="auto"/>
        <w:rPr>
          <w:rFonts w:ascii="Times New Roman" w:hAnsi="Times New Roman" w:cs="Times New Roman"/>
          <w:sz w:val="24"/>
          <w:szCs w:val="24"/>
        </w:rPr>
      </w:pPr>
      <w:r w:rsidRPr="00A66217">
        <w:rPr>
          <w:b/>
        </w:rPr>
        <w:t>IV.ii.2.D.1.n</w:t>
      </w:r>
      <w:r>
        <w:t xml:space="preserve"> - signs/</w:t>
      </w:r>
      <w:r w:rsidRPr="00A66217">
        <w:t>symptoms of undiagnosed illness or MUCMI:  joint pain</w:t>
      </w:r>
      <w:r w:rsidR="00B304A4">
        <w:t xml:space="preserve"> </w:t>
      </w:r>
      <w:r w:rsidR="00B304A4" w:rsidRPr="00B304A4">
        <w:t>(</w:t>
      </w:r>
      <w:r w:rsidR="00B304A4" w:rsidRPr="00B304A4">
        <w:rPr>
          <w:b/>
        </w:rPr>
        <w:t>IV.ii.1.E.1.b</w:t>
      </w:r>
      <w:r w:rsidR="00B304A4">
        <w:t xml:space="preserve"> says call to get specific joint, but even if can’t clarify can still get exam)</w:t>
      </w:r>
      <w:r w:rsidRPr="00A66217">
        <w:t>, muscle pain</w:t>
      </w:r>
      <w:r w:rsidR="00B304A4" w:rsidRPr="00B304A4">
        <w:t xml:space="preserve"> </w:t>
      </w:r>
      <w:r w:rsidR="00B304A4" w:rsidRPr="00A66217">
        <w:t>pain</w:t>
      </w:r>
      <w:r w:rsidR="00B304A4">
        <w:t xml:space="preserve"> </w:t>
      </w:r>
      <w:r w:rsidR="00B304A4" w:rsidRPr="00B304A4">
        <w:t>(</w:t>
      </w:r>
      <w:r w:rsidR="00B304A4" w:rsidRPr="00B304A4">
        <w:rPr>
          <w:b/>
        </w:rPr>
        <w:t>IV.ii.1.E.1.b</w:t>
      </w:r>
      <w:r w:rsidR="00B304A4">
        <w:t xml:space="preserve"> says call to get specific area, but even if can’t clarify can still get exam)</w:t>
      </w:r>
      <w:r w:rsidR="00B304A4" w:rsidRPr="00A66217">
        <w:t xml:space="preserve">, </w:t>
      </w:r>
      <w:r w:rsidRPr="00A66217">
        <w:t>neurological signs or symptoms, headache, neuropsychological signs or symptoms, gastrointestinal signs or symptoms, abnormal weight loss, fatigue, sleep disturbances, respiratory signs and symptoms (upper and lower), cardiovascular signs or symptoms, skin signs and symptoms, and menstrual disorders</w:t>
      </w:r>
    </w:p>
    <w:p w:rsidR="00013EB8" w:rsidRPr="00567130" w:rsidRDefault="00567130" w:rsidP="00691877">
      <w:pPr>
        <w:widowControl w:val="0"/>
        <w:numPr>
          <w:ilvl w:val="1"/>
          <w:numId w:val="51"/>
        </w:numPr>
        <w:tabs>
          <w:tab w:val="clear" w:pos="1440"/>
          <w:tab w:val="num" w:pos="720"/>
          <w:tab w:val="num" w:pos="1800"/>
        </w:tabs>
        <w:spacing w:after="120"/>
        <w:ind w:left="810"/>
        <w:rPr>
          <w:b/>
          <w:i/>
        </w:rPr>
      </w:pPr>
      <w:r>
        <w:rPr>
          <w:b/>
        </w:rPr>
        <w:t>IV</w:t>
      </w:r>
      <w:r w:rsidRPr="00691877">
        <w:rPr>
          <w:b/>
        </w:rPr>
        <w:t>.ii.2.D</w:t>
      </w:r>
      <w:r w:rsidR="00691877" w:rsidRPr="00691877">
        <w:rPr>
          <w:b/>
        </w:rPr>
        <w:t>.1.p</w:t>
      </w:r>
      <w:r>
        <w:t xml:space="preserve"> - </w:t>
      </w:r>
      <w:r w:rsidR="00E703E4" w:rsidRPr="00E703E4">
        <w:t>Time Limits for Man</w:t>
      </w:r>
      <w:r w:rsidR="00E703E4">
        <w:t>i</w:t>
      </w:r>
      <w:r w:rsidR="00E703E4" w:rsidRPr="00E703E4">
        <w:t>festation</w:t>
      </w:r>
      <w:r w:rsidR="0039182F">
        <w:t xml:space="preserve"> of Infectious Diseases:</w:t>
      </w:r>
    </w:p>
    <w:tbl>
      <w:tblPr>
        <w:tblW w:w="7600" w:type="dxa"/>
        <w:tblInd w:w="18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800"/>
        <w:gridCol w:w="3800"/>
      </w:tblGrid>
      <w:tr w:rsidR="0039182F" w:rsidRPr="006145A9" w:rsidTr="0078372E">
        <w:tc>
          <w:tcPr>
            <w:tcW w:w="4788" w:type="dxa"/>
            <w:shd w:val="clear" w:color="auto" w:fill="auto"/>
          </w:tcPr>
          <w:p w:rsidR="0039182F" w:rsidRPr="00BD14BB" w:rsidRDefault="0039182F" w:rsidP="0078372E">
            <w:pPr>
              <w:pStyle w:val="TableHeaderText"/>
              <w:rPr>
                <w:rFonts w:ascii="Arial" w:hAnsi="Arial" w:cs="Arial"/>
                <w:sz w:val="20"/>
                <w:szCs w:val="22"/>
              </w:rPr>
            </w:pPr>
            <w:r w:rsidRPr="00BD14BB">
              <w:rPr>
                <w:rFonts w:ascii="Arial" w:hAnsi="Arial" w:cs="Arial"/>
                <w:sz w:val="20"/>
                <w:szCs w:val="22"/>
              </w:rPr>
              <w:t>Infectious Disease</w:t>
            </w:r>
          </w:p>
        </w:tc>
        <w:tc>
          <w:tcPr>
            <w:tcW w:w="4788" w:type="dxa"/>
            <w:shd w:val="clear" w:color="auto" w:fill="auto"/>
          </w:tcPr>
          <w:p w:rsidR="0039182F" w:rsidRPr="00BD14BB" w:rsidRDefault="0039182F" w:rsidP="0078372E">
            <w:pPr>
              <w:pStyle w:val="TableHeaderText"/>
              <w:rPr>
                <w:rFonts w:ascii="Arial" w:hAnsi="Arial" w:cs="Arial"/>
                <w:sz w:val="20"/>
                <w:szCs w:val="22"/>
              </w:rPr>
            </w:pPr>
            <w:r w:rsidRPr="00BD14BB">
              <w:rPr>
                <w:rFonts w:ascii="Arial" w:hAnsi="Arial" w:cs="Arial"/>
                <w:sz w:val="20"/>
                <w:szCs w:val="22"/>
              </w:rPr>
              <w:t>Time Limit for Manifestation</w:t>
            </w:r>
          </w:p>
        </w:tc>
      </w:tr>
      <w:tr w:rsidR="0039182F" w:rsidRPr="006145A9" w:rsidTr="0078372E">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Brucellosis</w:t>
            </w:r>
          </w:p>
        </w:tc>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one year</w:t>
            </w:r>
          </w:p>
        </w:tc>
      </w:tr>
      <w:tr w:rsidR="0039182F" w:rsidRPr="006145A9" w:rsidTr="0078372E">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Campylobacter jejuni</w:t>
            </w:r>
          </w:p>
        </w:tc>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one year</w:t>
            </w:r>
          </w:p>
        </w:tc>
      </w:tr>
      <w:tr w:rsidR="0039182F" w:rsidRPr="006145A9" w:rsidTr="0078372E">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Coxiella burnetii (Q fever)</w:t>
            </w:r>
          </w:p>
        </w:tc>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one year</w:t>
            </w:r>
          </w:p>
        </w:tc>
      </w:tr>
      <w:tr w:rsidR="0039182F" w:rsidRPr="006145A9" w:rsidTr="0078372E">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Malaria</w:t>
            </w:r>
          </w:p>
        </w:tc>
        <w:tc>
          <w:tcPr>
            <w:tcW w:w="4788" w:type="dxa"/>
            <w:shd w:val="clear" w:color="auto" w:fill="auto"/>
          </w:tcPr>
          <w:p w:rsidR="0039182F" w:rsidRPr="00BD14BB" w:rsidRDefault="0039182F" w:rsidP="00F063AF">
            <w:pPr>
              <w:pStyle w:val="BulletText1"/>
              <w:numPr>
                <w:ilvl w:val="0"/>
                <w:numId w:val="176"/>
              </w:numPr>
              <w:tabs>
                <w:tab w:val="clear" w:pos="360"/>
              </w:tabs>
              <w:overflowPunct/>
              <w:autoSpaceDE/>
              <w:autoSpaceDN/>
              <w:adjustRightInd/>
              <w:textAlignment w:val="auto"/>
              <w:rPr>
                <w:sz w:val="20"/>
                <w:szCs w:val="22"/>
              </w:rPr>
            </w:pPr>
            <w:r w:rsidRPr="00BD14BB">
              <w:rPr>
                <w:sz w:val="20"/>
                <w:szCs w:val="22"/>
              </w:rPr>
              <w:t>one year, or</w:t>
            </w:r>
          </w:p>
          <w:p w:rsidR="0039182F" w:rsidRPr="00BD14BB" w:rsidRDefault="0039182F" w:rsidP="00F063AF">
            <w:pPr>
              <w:pStyle w:val="BulletText1"/>
              <w:numPr>
                <w:ilvl w:val="0"/>
                <w:numId w:val="176"/>
              </w:numPr>
              <w:tabs>
                <w:tab w:val="clear" w:pos="360"/>
              </w:tabs>
              <w:overflowPunct/>
              <w:autoSpaceDE/>
              <w:autoSpaceDN/>
              <w:adjustRightInd/>
              <w:textAlignment w:val="auto"/>
              <w:rPr>
                <w:sz w:val="20"/>
                <w:szCs w:val="22"/>
              </w:rPr>
            </w:pPr>
            <w:r w:rsidRPr="00BD14BB">
              <w:rPr>
                <w:sz w:val="20"/>
                <w:szCs w:val="22"/>
              </w:rPr>
              <w:t xml:space="preserve">at a time when standard or accepted treatises indicate that the incubation period began during a qualifying period of service   </w:t>
            </w:r>
          </w:p>
        </w:tc>
      </w:tr>
      <w:tr w:rsidR="0039182F" w:rsidRPr="006145A9" w:rsidTr="0078372E">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Mycobacterium tuberculosis</w:t>
            </w:r>
          </w:p>
        </w:tc>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no time limit</w:t>
            </w:r>
          </w:p>
        </w:tc>
      </w:tr>
      <w:tr w:rsidR="0039182F" w:rsidRPr="006145A9" w:rsidTr="0078372E">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Nontyphoid Salmonella</w:t>
            </w:r>
          </w:p>
        </w:tc>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one year</w:t>
            </w:r>
          </w:p>
        </w:tc>
      </w:tr>
      <w:tr w:rsidR="0039182F" w:rsidRPr="006145A9" w:rsidTr="0078372E">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Shigella</w:t>
            </w:r>
          </w:p>
        </w:tc>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one year</w:t>
            </w:r>
          </w:p>
        </w:tc>
      </w:tr>
      <w:tr w:rsidR="0039182F" w:rsidRPr="006145A9" w:rsidTr="0078372E">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Visceral leishmaniasis</w:t>
            </w:r>
          </w:p>
        </w:tc>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no time limit</w:t>
            </w:r>
          </w:p>
        </w:tc>
      </w:tr>
      <w:tr w:rsidR="0039182F" w:rsidRPr="006145A9" w:rsidTr="0078372E">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West Nile virus</w:t>
            </w:r>
          </w:p>
        </w:tc>
        <w:tc>
          <w:tcPr>
            <w:tcW w:w="4788" w:type="dxa"/>
            <w:shd w:val="clear" w:color="auto" w:fill="auto"/>
          </w:tcPr>
          <w:p w:rsidR="0039182F" w:rsidRPr="00BD14BB" w:rsidRDefault="0039182F" w:rsidP="0078372E">
            <w:pPr>
              <w:pStyle w:val="TableText"/>
              <w:rPr>
                <w:rFonts w:ascii="Arial" w:hAnsi="Arial" w:cs="Arial"/>
                <w:sz w:val="20"/>
                <w:szCs w:val="22"/>
              </w:rPr>
            </w:pPr>
            <w:r w:rsidRPr="00BD14BB">
              <w:rPr>
                <w:rFonts w:ascii="Arial" w:hAnsi="Arial" w:cs="Arial"/>
                <w:sz w:val="20"/>
                <w:szCs w:val="22"/>
              </w:rPr>
              <w:t>one year</w:t>
            </w:r>
          </w:p>
        </w:tc>
      </w:tr>
    </w:tbl>
    <w:p w:rsidR="0039182F" w:rsidRPr="0039182F" w:rsidRDefault="0039182F" w:rsidP="0039182F">
      <w:pPr>
        <w:pStyle w:val="ListParagraph"/>
        <w:widowControl w:val="0"/>
        <w:spacing w:after="0"/>
        <w:ind w:left="360"/>
        <w:rPr>
          <w:rFonts w:ascii="Arial" w:hAnsi="Arial"/>
          <w:b/>
          <w:bCs/>
          <w:i/>
          <w:iCs/>
          <w:sz w:val="20"/>
          <w:szCs w:val="20"/>
        </w:rPr>
      </w:pPr>
    </w:p>
    <w:p w:rsidR="0039182F" w:rsidRPr="002C3B90" w:rsidRDefault="0039182F" w:rsidP="00F063AF">
      <w:pPr>
        <w:widowControl w:val="0"/>
        <w:numPr>
          <w:ilvl w:val="0"/>
          <w:numId w:val="155"/>
        </w:numPr>
        <w:tabs>
          <w:tab w:val="num" w:pos="360"/>
          <w:tab w:val="left" w:pos="720"/>
        </w:tabs>
        <w:spacing w:before="120" w:after="120"/>
        <w:ind w:left="720" w:hanging="270"/>
        <w:rPr>
          <w:bCs/>
          <w:i/>
          <w:iCs/>
        </w:rPr>
      </w:pPr>
      <w:r w:rsidRPr="00796422">
        <w:rPr>
          <w:b/>
        </w:rPr>
        <w:t>IV.ii.2.D</w:t>
      </w:r>
      <w:r w:rsidR="00BC4989">
        <w:rPr>
          <w:b/>
        </w:rPr>
        <w:t>.</w:t>
      </w:r>
      <w:r w:rsidR="00691877">
        <w:rPr>
          <w:b/>
        </w:rPr>
        <w:t>1.q</w:t>
      </w:r>
      <w:r w:rsidRPr="00796422">
        <w:t xml:space="preserve"> – Long-Term Health Effects Potentially Ass</w:t>
      </w:r>
      <w:r w:rsidR="00796422" w:rsidRPr="00796422">
        <w:t>ociated with</w:t>
      </w:r>
      <w:r w:rsidR="007223FA">
        <w:t xml:space="preserve"> </w:t>
      </w:r>
      <w:r w:rsidR="00796422" w:rsidRPr="00796422">
        <w:t>Infectious Diseases</w:t>
      </w:r>
      <w:r w:rsidR="007223FA">
        <w:t>, including associated conditions</w:t>
      </w:r>
    </w:p>
    <w:p w:rsidR="002C3B90" w:rsidRPr="002C3B90" w:rsidRDefault="002C3B90" w:rsidP="00F063AF">
      <w:pPr>
        <w:widowControl w:val="0"/>
        <w:numPr>
          <w:ilvl w:val="0"/>
          <w:numId w:val="155"/>
        </w:numPr>
        <w:tabs>
          <w:tab w:val="num" w:pos="360"/>
          <w:tab w:val="left" w:pos="720"/>
        </w:tabs>
        <w:spacing w:before="120" w:after="120"/>
        <w:ind w:left="720" w:hanging="270"/>
        <w:rPr>
          <w:bCs/>
          <w:i/>
          <w:iCs/>
        </w:rPr>
      </w:pPr>
      <w:r w:rsidRPr="002C3B90">
        <w:rPr>
          <w:b/>
        </w:rPr>
        <w:t>IV.ii.2.D.1.r</w:t>
      </w:r>
      <w:r w:rsidRPr="00796422">
        <w:t xml:space="preserve"> – </w:t>
      </w:r>
      <w:r>
        <w:t xml:space="preserve">direct SC for brain cancer can be granted with diagnosis, SWA service 1/17/91-4/11/91 (GW I only) &amp; medical nexus with “rational, scientific explanation” (see </w:t>
      </w:r>
      <w:r w:rsidRPr="002C3B90">
        <w:rPr>
          <w:b/>
        </w:rPr>
        <w:t>IV.ii.1.E.3</w:t>
      </w:r>
      <w:r>
        <w:t xml:space="preserve"> for development procedures)</w:t>
      </w:r>
    </w:p>
    <w:p w:rsidR="00691877" w:rsidRPr="006808D2" w:rsidRDefault="00691877" w:rsidP="00F063AF">
      <w:pPr>
        <w:widowControl w:val="0"/>
        <w:numPr>
          <w:ilvl w:val="0"/>
          <w:numId w:val="311"/>
        </w:numPr>
        <w:overflowPunct/>
        <w:autoSpaceDE/>
        <w:autoSpaceDN/>
        <w:adjustRightInd/>
        <w:spacing w:after="120"/>
        <w:ind w:left="720" w:hanging="270"/>
        <w:textAlignment w:val="auto"/>
        <w:rPr>
          <w:rFonts w:ascii="Times New Roman" w:hAnsi="Times New Roman" w:cs="Times New Roman"/>
          <w:sz w:val="24"/>
          <w:szCs w:val="24"/>
        </w:rPr>
      </w:pPr>
      <w:r w:rsidRPr="00A66217">
        <w:rPr>
          <w:b/>
        </w:rPr>
        <w:t>IV.ii.2.D.</w:t>
      </w:r>
      <w:r>
        <w:rPr>
          <w:b/>
        </w:rPr>
        <w:t xml:space="preserve">2.h – </w:t>
      </w:r>
      <w:r w:rsidRPr="00DB4AFF">
        <w:t xml:space="preserve">if have </w:t>
      </w:r>
      <w:r>
        <w:t xml:space="preserve">an </w:t>
      </w:r>
      <w:r w:rsidRPr="00DB4AFF">
        <w:t>undiagnosed illness &amp; GW service, no opinion needed to grant SC (if receive negative opinion with no rationale, still grant SC); deny if negative opinion with rationale</w:t>
      </w:r>
    </w:p>
    <w:p w:rsidR="00691877" w:rsidRPr="006808D2" w:rsidRDefault="00691877" w:rsidP="00F063AF">
      <w:pPr>
        <w:widowControl w:val="0"/>
        <w:numPr>
          <w:ilvl w:val="1"/>
          <w:numId w:val="312"/>
        </w:numPr>
        <w:spacing w:after="120"/>
        <w:ind w:left="720" w:hanging="270"/>
        <w:rPr>
          <w:b/>
          <w:i/>
        </w:rPr>
      </w:pPr>
      <w:r w:rsidRPr="006808D2">
        <w:rPr>
          <w:b/>
        </w:rPr>
        <w:t xml:space="preserve">IV.ii.2.D.3.a </w:t>
      </w:r>
      <w:r>
        <w:rPr>
          <w:lang w:val="en"/>
        </w:rPr>
        <w:t xml:space="preserve">- </w:t>
      </w:r>
      <w:r w:rsidR="000D5145">
        <w:rPr>
          <w:bCs/>
        </w:rPr>
        <w:t xml:space="preserve">changed 7/14/16, </w:t>
      </w:r>
      <w:r w:rsidRPr="006808D2">
        <w:t>for undiagnosed illness or MUCMI,</w:t>
      </w:r>
      <w:r>
        <w:rPr>
          <w:b/>
        </w:rPr>
        <w:t xml:space="preserve"> </w:t>
      </w:r>
      <w:r w:rsidRPr="006808D2">
        <w:t>use</w:t>
      </w:r>
      <w:r>
        <w:t xml:space="preserve"> 88 codes &amp;</w:t>
      </w:r>
      <w:r>
        <w:rPr>
          <w:b/>
          <w:i/>
        </w:rPr>
        <w:t xml:space="preserve"> </w:t>
      </w:r>
      <w:r w:rsidRPr="00B759D3">
        <w:rPr>
          <w:i/>
          <w:color w:val="FF0000"/>
          <w:sz w:val="22"/>
          <w:szCs w:val="22"/>
        </w:rPr>
        <w:t>Environmental Hazard in Gulf War</w:t>
      </w:r>
      <w:r w:rsidRPr="006808D2">
        <w:rPr>
          <w:i/>
          <w:sz w:val="22"/>
          <w:szCs w:val="22"/>
        </w:rPr>
        <w:t xml:space="preserve"> </w:t>
      </w:r>
      <w:r w:rsidRPr="006808D2">
        <w:rPr>
          <w:szCs w:val="22"/>
        </w:rPr>
        <w:t>s</w:t>
      </w:r>
      <w:r>
        <w:rPr>
          <w:szCs w:val="22"/>
        </w:rPr>
        <w:t>pecial i</w:t>
      </w:r>
      <w:r w:rsidRPr="006808D2">
        <w:rPr>
          <w:szCs w:val="22"/>
        </w:rPr>
        <w:t>ssue</w:t>
      </w:r>
      <w:r w:rsidR="005B451B">
        <w:rPr>
          <w:szCs w:val="22"/>
        </w:rPr>
        <w:t xml:space="preserve"> in </w:t>
      </w:r>
      <w:r w:rsidR="005B451B">
        <w:rPr>
          <w:rFonts w:ascii="Verdana" w:hAnsi="Verdana"/>
          <w:b/>
          <w:bCs/>
          <w:highlight w:val="green"/>
        </w:rPr>
        <w:t>VBMS-R</w:t>
      </w:r>
      <w:r>
        <w:rPr>
          <w:szCs w:val="22"/>
        </w:rPr>
        <w:t xml:space="preserve">; for infectious disease, use </w:t>
      </w:r>
      <w:r w:rsidRPr="00B759D3">
        <w:rPr>
          <w:i/>
          <w:color w:val="FF0000"/>
          <w:sz w:val="22"/>
          <w:szCs w:val="22"/>
        </w:rPr>
        <w:t>Gulf War</w:t>
      </w:r>
      <w:r>
        <w:rPr>
          <w:i/>
          <w:color w:val="FF0000"/>
          <w:sz w:val="22"/>
          <w:szCs w:val="22"/>
        </w:rPr>
        <w:t xml:space="preserve"> Presumptive</w:t>
      </w:r>
      <w:r w:rsidRPr="006808D2">
        <w:rPr>
          <w:szCs w:val="22"/>
        </w:rPr>
        <w:t xml:space="preserve"> s</w:t>
      </w:r>
      <w:r>
        <w:rPr>
          <w:szCs w:val="22"/>
        </w:rPr>
        <w:t>pecial i</w:t>
      </w:r>
      <w:r w:rsidRPr="006808D2">
        <w:rPr>
          <w:szCs w:val="22"/>
        </w:rPr>
        <w:t>ssue</w:t>
      </w:r>
      <w:r w:rsidR="005B451B">
        <w:rPr>
          <w:szCs w:val="22"/>
        </w:rPr>
        <w:t xml:space="preserve"> in </w:t>
      </w:r>
      <w:r w:rsidR="005B451B">
        <w:rPr>
          <w:rFonts w:ascii="Verdana" w:hAnsi="Verdana"/>
          <w:b/>
          <w:bCs/>
          <w:highlight w:val="green"/>
        </w:rPr>
        <w:t>VBMS-R</w:t>
      </w:r>
      <w:r>
        <w:rPr>
          <w:szCs w:val="22"/>
        </w:rPr>
        <w:t xml:space="preserve"> &amp; basis specific to the disease</w:t>
      </w:r>
    </w:p>
    <w:p w:rsidR="00691877" w:rsidRPr="0073043A" w:rsidRDefault="00691877" w:rsidP="00F063AF">
      <w:pPr>
        <w:widowControl w:val="0"/>
        <w:numPr>
          <w:ilvl w:val="1"/>
          <w:numId w:val="312"/>
        </w:numPr>
        <w:spacing w:after="120"/>
        <w:ind w:left="720" w:hanging="270"/>
        <w:rPr>
          <w:b/>
          <w:i/>
        </w:rPr>
      </w:pPr>
      <w:r w:rsidRPr="006808D2">
        <w:rPr>
          <w:b/>
        </w:rPr>
        <w:t>IV.ii.2.D.3.</w:t>
      </w:r>
      <w:r>
        <w:rPr>
          <w:b/>
        </w:rPr>
        <w:t>b, c</w:t>
      </w:r>
      <w:r w:rsidRPr="006808D2">
        <w:rPr>
          <w:b/>
        </w:rPr>
        <w:t xml:space="preserve"> </w:t>
      </w:r>
      <w:r>
        <w:rPr>
          <w:b/>
        </w:rPr>
        <w:t xml:space="preserve">&amp; d </w:t>
      </w:r>
      <w:r>
        <w:rPr>
          <w:lang w:val="en"/>
        </w:rPr>
        <w:t xml:space="preserve">- </w:t>
      </w:r>
      <w:r>
        <w:t>tables for 88 DC codes</w:t>
      </w:r>
    </w:p>
    <w:p w:rsidR="0073043A" w:rsidRPr="00610731" w:rsidRDefault="0073043A" w:rsidP="00F063AF">
      <w:pPr>
        <w:widowControl w:val="0"/>
        <w:numPr>
          <w:ilvl w:val="1"/>
          <w:numId w:val="312"/>
        </w:numPr>
        <w:spacing w:after="120"/>
        <w:ind w:left="720" w:hanging="270"/>
        <w:rPr>
          <w:b/>
          <w:i/>
        </w:rPr>
      </w:pPr>
      <w:r w:rsidRPr="006808D2">
        <w:rPr>
          <w:b/>
        </w:rPr>
        <w:t>IV.ii.2.D.3.</w:t>
      </w:r>
      <w:r>
        <w:rPr>
          <w:b/>
        </w:rPr>
        <w:t xml:space="preserve">e </w:t>
      </w:r>
      <w:r>
        <w:rPr>
          <w:lang w:val="en"/>
        </w:rPr>
        <w:t>– if have to terminate/sever or reduce because disability subsequently diagnosed</w:t>
      </w:r>
    </w:p>
    <w:p w:rsidR="00691877" w:rsidRDefault="00691877" w:rsidP="00F063AF">
      <w:pPr>
        <w:widowControl w:val="0"/>
        <w:numPr>
          <w:ilvl w:val="1"/>
          <w:numId w:val="312"/>
        </w:numPr>
        <w:spacing w:after="120"/>
        <w:ind w:left="720" w:hanging="270"/>
        <w:rPr>
          <w:b/>
          <w:i/>
        </w:rPr>
      </w:pPr>
      <w:r w:rsidRPr="00A66217">
        <w:rPr>
          <w:b/>
        </w:rPr>
        <w:t>IV.ii.2.D.</w:t>
      </w:r>
      <w:r>
        <w:rPr>
          <w:b/>
        </w:rPr>
        <w:t xml:space="preserve">4.g – </w:t>
      </w:r>
      <w:r>
        <w:t>analogous codes for undiagnosed illnesses manifest by 13 signs/symptoms under 3.317</w:t>
      </w:r>
    </w:p>
    <w:p w:rsidR="009D5D74" w:rsidRPr="00964E37" w:rsidRDefault="00D571C5" w:rsidP="00F063AF">
      <w:pPr>
        <w:pStyle w:val="ListParagraph"/>
        <w:widowControl w:val="0"/>
        <w:numPr>
          <w:ilvl w:val="0"/>
          <w:numId w:val="196"/>
        </w:numPr>
        <w:spacing w:after="120"/>
        <w:ind w:left="360"/>
        <w:rPr>
          <w:rFonts w:ascii="Verdana" w:hAnsi="Verdana"/>
          <w:i/>
          <w:sz w:val="18"/>
        </w:rPr>
      </w:pPr>
      <w:hyperlink r:id="rId425" w:history="1">
        <w:r w:rsidR="009D5D74" w:rsidRPr="00F26444">
          <w:rPr>
            <w:rStyle w:val="Hyperlink"/>
            <w:b/>
            <w:i/>
            <w:sz w:val="24"/>
            <w:szCs w:val="24"/>
          </w:rPr>
          <w:t>12/19/14 DBQ Call</w:t>
        </w:r>
      </w:hyperlink>
      <w:r w:rsidR="009D5D74" w:rsidRPr="00F26444">
        <w:rPr>
          <w:rStyle w:val="Hyperlink"/>
          <w:sz w:val="24"/>
          <w:szCs w:val="24"/>
          <w:u w:val="none"/>
        </w:rPr>
        <w:t xml:space="preserve"> </w:t>
      </w:r>
      <w:r w:rsidR="009D5D74" w:rsidRPr="009D5D74">
        <w:rPr>
          <w:rStyle w:val="Hyperlink"/>
          <w:color w:val="auto"/>
          <w:sz w:val="24"/>
          <w:szCs w:val="24"/>
          <w:u w:val="none"/>
        </w:rPr>
        <w:t xml:space="preserve">– Do not request exam simply because the veteran had service in SWA. Need to have something that would lead us to apply 3.317. See </w:t>
      </w:r>
      <w:r w:rsidR="009D5D74" w:rsidRPr="009E2F62">
        <w:rPr>
          <w:b/>
          <w:bCs/>
          <w:sz w:val="24"/>
          <w:szCs w:val="24"/>
          <w:highlight w:val="darkGray"/>
        </w:rPr>
        <w:t>IV.ii.1.E.19.f</w:t>
      </w:r>
      <w:r w:rsidR="00DD3601" w:rsidRPr="009A2A74">
        <w:rPr>
          <w:rFonts w:ascii="Arial" w:eastAsia="Calibri" w:hAnsi="Arial"/>
          <w:i/>
          <w:sz w:val="20"/>
          <w:szCs w:val="20"/>
        </w:rPr>
        <w:t xml:space="preserve"> </w:t>
      </w:r>
      <w:r w:rsidR="00DD3601" w:rsidRPr="002E2D9E">
        <w:rPr>
          <w:rFonts w:ascii="Arial" w:eastAsia="Calibri" w:hAnsi="Arial"/>
          <w:sz w:val="20"/>
          <w:szCs w:val="20"/>
        </w:rPr>
        <w:t xml:space="preserve">[now </w:t>
      </w:r>
      <w:r w:rsidR="00DD3601" w:rsidRPr="002E2D9E">
        <w:rPr>
          <w:rFonts w:ascii="Arial" w:eastAsia="Calibri" w:hAnsi="Arial"/>
          <w:b/>
          <w:sz w:val="20"/>
          <w:szCs w:val="20"/>
        </w:rPr>
        <w:t>IV.ii.1.E.2.f</w:t>
      </w:r>
      <w:r w:rsidR="00DD3601" w:rsidRPr="002E2D9E">
        <w:rPr>
          <w:rFonts w:ascii="Arial" w:eastAsia="Calibri" w:hAnsi="Arial"/>
          <w:sz w:val="20"/>
          <w:szCs w:val="20"/>
        </w:rPr>
        <w:t>]</w:t>
      </w:r>
    </w:p>
    <w:p w:rsidR="00D92679" w:rsidRPr="00AA7B46" w:rsidRDefault="00D571C5" w:rsidP="00F063AF">
      <w:pPr>
        <w:pStyle w:val="ListParagraph"/>
        <w:widowControl w:val="0"/>
        <w:numPr>
          <w:ilvl w:val="0"/>
          <w:numId w:val="196"/>
        </w:numPr>
        <w:spacing w:after="120"/>
        <w:ind w:left="360"/>
        <w:rPr>
          <w:rFonts w:ascii="Verdana" w:hAnsi="Verdana"/>
          <w:i/>
          <w:sz w:val="24"/>
          <w:szCs w:val="24"/>
        </w:rPr>
      </w:pPr>
      <w:hyperlink r:id="rId426" w:history="1">
        <w:r w:rsidR="00D92679">
          <w:rPr>
            <w:rStyle w:val="Hyperlink"/>
            <w:rFonts w:asciiTheme="minorHAnsi" w:hAnsiTheme="minorHAnsi"/>
            <w:b/>
            <w:i/>
            <w:sz w:val="24"/>
            <w:szCs w:val="24"/>
          </w:rPr>
          <w:t>1/16/15 DBQ Call</w:t>
        </w:r>
      </w:hyperlink>
      <w:r w:rsidR="00D92679" w:rsidRPr="00D92679">
        <w:rPr>
          <w:rStyle w:val="Hyperlink"/>
          <w:rFonts w:asciiTheme="minorHAnsi" w:hAnsiTheme="minorHAnsi"/>
          <w:sz w:val="24"/>
          <w:szCs w:val="24"/>
          <w:u w:val="none"/>
        </w:rPr>
        <w:t xml:space="preserve"> –</w:t>
      </w:r>
      <w:r w:rsidR="00D92679">
        <w:rPr>
          <w:rStyle w:val="Hyperlink"/>
          <w:rFonts w:asciiTheme="minorHAnsi" w:hAnsiTheme="minorHAnsi"/>
          <w:sz w:val="24"/>
          <w:szCs w:val="24"/>
          <w:u w:val="none"/>
        </w:rPr>
        <w:t xml:space="preserve"> </w:t>
      </w:r>
      <w:r w:rsidR="00BA427E" w:rsidRPr="00BA427E">
        <w:rPr>
          <w:rFonts w:eastAsia="Calibri"/>
          <w:sz w:val="24"/>
          <w:szCs w:val="24"/>
        </w:rPr>
        <w:t>for initial claims where GW Issues are claimed, inferred, or considered possible, the GW Gen Med examination should be ordered.  There is no need to also order a Gen Med Comp exam.  The GW exam is a Gen Med examination and will be able to address all issues possibly contained in the Gen Med Comp DBQ.  When ordering pre-discharge program examinations where a Separation Health Assessment (SHA) exam is required, it is not necessary to also order the GW Gen Med examination.  Simply cut and paste the “Notice to Examiners” found at:  M21-1MR IV.ii.1.E.19.g into the exam request remarks section and identify those conditions claimed or inferred as being GW issues.</w:t>
      </w:r>
      <w:r w:rsidR="007259D5">
        <w:rPr>
          <w:rFonts w:eastAsia="Calibri"/>
          <w:sz w:val="24"/>
          <w:szCs w:val="24"/>
        </w:rPr>
        <w:t xml:space="preserve"> </w:t>
      </w:r>
      <w:r w:rsidR="007259D5" w:rsidRPr="007259D5">
        <w:rPr>
          <w:rFonts w:ascii="Arial" w:eastAsia="Calibri" w:hAnsi="Arial"/>
          <w:sz w:val="20"/>
          <w:szCs w:val="20"/>
        </w:rPr>
        <w:t xml:space="preserve">[now </w:t>
      </w:r>
      <w:r w:rsidR="00656FDD">
        <w:rPr>
          <w:rFonts w:ascii="Arial" w:eastAsia="Calibri" w:hAnsi="Arial"/>
          <w:b/>
          <w:sz w:val="20"/>
          <w:szCs w:val="20"/>
        </w:rPr>
        <w:t>IV.ii.1.E.2.j</w:t>
      </w:r>
      <w:r w:rsidR="007259D5" w:rsidRPr="007259D5">
        <w:rPr>
          <w:rFonts w:ascii="Arial" w:eastAsia="Calibri" w:hAnsi="Arial"/>
          <w:sz w:val="20"/>
          <w:szCs w:val="20"/>
        </w:rPr>
        <w:t>]</w:t>
      </w:r>
    </w:p>
    <w:p w:rsidR="00AA7B46" w:rsidRPr="00BC03F7" w:rsidRDefault="001421FA" w:rsidP="00F063AF">
      <w:pPr>
        <w:pStyle w:val="Footer"/>
        <w:widowControl w:val="0"/>
        <w:numPr>
          <w:ilvl w:val="0"/>
          <w:numId w:val="196"/>
        </w:numPr>
        <w:tabs>
          <w:tab w:val="clear" w:pos="4320"/>
          <w:tab w:val="clear" w:pos="8640"/>
        </w:tabs>
        <w:spacing w:after="120"/>
        <w:ind w:left="360"/>
        <w:rPr>
          <w:i/>
          <w:u w:val="single"/>
        </w:rPr>
      </w:pPr>
      <w:r w:rsidRPr="00BC03F7">
        <w:rPr>
          <w:bCs/>
        </w:rPr>
        <w:t xml:space="preserve">Notes from </w:t>
      </w:r>
      <w:r w:rsidR="00AA7B46" w:rsidRPr="001421FA">
        <w:rPr>
          <w:b/>
          <w:i/>
          <w:u w:val="single"/>
        </w:rPr>
        <w:t>May 2015 Adjud</w:t>
      </w:r>
      <w:r w:rsidR="005D4DBF">
        <w:rPr>
          <w:b/>
          <w:i/>
          <w:u w:val="single"/>
        </w:rPr>
        <w:t>icat</w:t>
      </w:r>
      <w:r w:rsidR="00AA7B46" w:rsidRPr="001421FA">
        <w:rPr>
          <w:b/>
          <w:i/>
          <w:u w:val="single"/>
        </w:rPr>
        <w:t xml:space="preserve">ing Gulf War Claims </w:t>
      </w:r>
      <w:r w:rsidRPr="001421FA">
        <w:rPr>
          <w:b/>
          <w:i/>
          <w:u w:val="single"/>
        </w:rPr>
        <w:t>Tr</w:t>
      </w:r>
      <w:r w:rsidR="00AA7B46" w:rsidRPr="001421FA">
        <w:rPr>
          <w:b/>
          <w:i/>
          <w:u w:val="single"/>
        </w:rPr>
        <w:t>aining</w:t>
      </w:r>
      <w:r w:rsidR="006F3FFC" w:rsidRPr="00CD0826">
        <w:rPr>
          <w:i/>
        </w:rPr>
        <w:t xml:space="preserve"> (Carlos</w:t>
      </w:r>
      <w:r w:rsidR="00CD0826" w:rsidRPr="00CD0826">
        <w:rPr>
          <w:i/>
        </w:rPr>
        <w:t xml:space="preserve"> Rosario</w:t>
      </w:r>
      <w:r w:rsidR="00AA7B46" w:rsidRPr="00CD0826">
        <w:rPr>
          <w:i/>
        </w:rPr>
        <w:t>)</w:t>
      </w:r>
      <w:r w:rsidR="00AA7B46" w:rsidRPr="00CD0826">
        <w:t>:</w:t>
      </w:r>
    </w:p>
    <w:p w:rsidR="00AA7B46" w:rsidRPr="007F4897" w:rsidRDefault="00AA7B46" w:rsidP="007F4897">
      <w:pPr>
        <w:widowControl w:val="0"/>
        <w:pBdr>
          <w:top w:val="double" w:sz="4" w:space="1" w:color="auto"/>
          <w:left w:val="double" w:sz="4" w:space="4" w:color="auto"/>
          <w:bottom w:val="double" w:sz="4" w:space="1" w:color="auto"/>
          <w:right w:val="double" w:sz="4" w:space="4" w:color="auto"/>
        </w:pBdr>
        <w:shd w:val="clear" w:color="auto" w:fill="FFC000"/>
        <w:tabs>
          <w:tab w:val="left" w:pos="360"/>
        </w:tabs>
        <w:spacing w:after="120"/>
        <w:ind w:left="360"/>
        <w:rPr>
          <w:rStyle w:val="Hyperlink"/>
          <w:b/>
          <w:i/>
        </w:rPr>
      </w:pPr>
      <w:r w:rsidRPr="00AA7B46">
        <w:rPr>
          <w:i/>
        </w:rPr>
        <w:t xml:space="preserve">Training documents are under “Adjudicating Gulf War Claims” </w:t>
      </w:r>
      <w:r w:rsidR="007F4897">
        <w:rPr>
          <w:i/>
        </w:rPr>
        <w:t xml:space="preserve">at </w:t>
      </w:r>
      <w:r w:rsidR="007F4897" w:rsidRPr="001453C4">
        <w:rPr>
          <w:b/>
          <w:i/>
        </w:rPr>
        <w:t>http://hvnc.gdit.com/lc/</w:t>
      </w:r>
      <w:r w:rsidR="007F4897">
        <w:rPr>
          <w:i/>
        </w:rPr>
        <w:t xml:space="preserve"> </w:t>
      </w:r>
      <w:r w:rsidRPr="00AA7B46">
        <w:rPr>
          <w:i/>
        </w:rPr>
        <w:t>or</w:t>
      </w:r>
      <w:r w:rsidR="007F4897">
        <w:rPr>
          <w:i/>
        </w:rPr>
        <w:t xml:space="preserve"> at</w:t>
      </w:r>
      <w:r w:rsidRPr="00AA7B46">
        <w:rPr>
          <w:i/>
        </w:rPr>
        <w:t xml:space="preserve"> </w:t>
      </w:r>
      <w:r w:rsidRPr="001453C4">
        <w:rPr>
          <w:b/>
          <w:i/>
        </w:rPr>
        <w:t>H:\VSC\Training\NTC Class Material\RVSR-Adjudicating Gulf War Claims</w:t>
      </w:r>
    </w:p>
    <w:p w:rsidR="007F4897" w:rsidRDefault="007F4897" w:rsidP="007F4897">
      <w:pPr>
        <w:widowControl w:val="0"/>
        <w:tabs>
          <w:tab w:val="left" w:pos="360"/>
        </w:tabs>
        <w:ind w:left="360"/>
        <w:rPr>
          <w:rStyle w:val="Hyperlink"/>
        </w:rPr>
      </w:pPr>
    </w:p>
    <w:p w:rsidR="006F3FFC" w:rsidRDefault="006F3FFC" w:rsidP="0036376C">
      <w:pPr>
        <w:widowControl w:val="0"/>
        <w:pBdr>
          <w:top w:val="double" w:sz="4" w:space="1" w:color="auto"/>
          <w:left w:val="double" w:sz="4" w:space="4" w:color="auto"/>
          <w:bottom w:val="double" w:sz="4" w:space="1" w:color="auto"/>
          <w:right w:val="double" w:sz="4" w:space="4" w:color="auto"/>
        </w:pBdr>
        <w:tabs>
          <w:tab w:val="left" w:pos="360"/>
        </w:tabs>
        <w:spacing w:after="240"/>
        <w:ind w:left="360"/>
        <w:rPr>
          <w:rStyle w:val="Hyperlink"/>
        </w:rPr>
      </w:pPr>
      <w:r w:rsidRPr="007F4897">
        <w:rPr>
          <w:b/>
          <w:shd w:val="clear" w:color="auto" w:fill="FFC000"/>
        </w:rPr>
        <w:t>Gulf War Examinations (Flowchart)</w:t>
      </w:r>
      <w:r w:rsidR="007F4897" w:rsidRPr="007F4897">
        <w:rPr>
          <w:shd w:val="clear" w:color="auto" w:fill="FFC000"/>
        </w:rPr>
        <w:t xml:space="preserve"> is saved at </w:t>
      </w:r>
      <w:r w:rsidR="007F4897" w:rsidRPr="001453C4">
        <w:rPr>
          <w:b/>
          <w:bCs/>
          <w:i/>
          <w:iCs/>
          <w:shd w:val="clear" w:color="auto" w:fill="FFC000"/>
        </w:rPr>
        <w:t>H:\VSC\Development &amp; Rating Resources</w:t>
      </w:r>
      <w:r w:rsidR="00484687">
        <w:rPr>
          <w:b/>
          <w:bCs/>
          <w:i/>
          <w:iCs/>
          <w:shd w:val="clear" w:color="auto" w:fill="FFC000"/>
        </w:rPr>
        <w:t>\</w:t>
      </w:r>
      <w:r w:rsidR="00964E37">
        <w:rPr>
          <w:b/>
          <w:bCs/>
          <w:i/>
          <w:iCs/>
          <w:shd w:val="clear" w:color="auto" w:fill="FFC000"/>
        </w:rPr>
        <w:t>Examination Information</w:t>
      </w:r>
    </w:p>
    <w:p w:rsidR="00AA7B46" w:rsidRDefault="00AA7B46" w:rsidP="007A20CE">
      <w:pPr>
        <w:widowControl w:val="0"/>
        <w:ind w:left="360"/>
      </w:pPr>
      <w:r w:rsidRPr="00D2563F">
        <w:rPr>
          <w:highlight w:val="cyan"/>
        </w:rPr>
        <w:t xml:space="preserve">Very helpful sheet - </w:t>
      </w:r>
      <w:r w:rsidRPr="00D2563F">
        <w:rPr>
          <w:b/>
          <w:highlight w:val="cyan"/>
        </w:rPr>
        <w:t>Gulf War Overview – Claims Based on Undiagnosed Illnesses of Gulf War Veterans</w:t>
      </w:r>
      <w:r w:rsidRPr="00D2563F">
        <w:rPr>
          <w:highlight w:val="cyan"/>
        </w:rPr>
        <w:t xml:space="preserve"> -</w:t>
      </w:r>
      <w:r w:rsidRPr="00AA7B46">
        <w:rPr>
          <w:i/>
        </w:rPr>
        <w:t xml:space="preserve"> </w:t>
      </w:r>
      <w:hyperlink r:id="rId427" w:history="1">
        <w:r w:rsidRPr="00AA7B46">
          <w:rPr>
            <w:rStyle w:val="Hyperlink"/>
            <w:i/>
          </w:rPr>
          <w:t>https://www.ttande.org/VBA_Learning_Catalog/Comp_svc/Add_Ref/3893762_Add_Ref.docx</w:t>
        </w:r>
      </w:hyperlink>
      <w:r w:rsidR="00951792">
        <w:t xml:space="preserve">  -</w:t>
      </w:r>
      <w:r w:rsidR="00EA1198">
        <w:t xml:space="preserve"> anyone who got Kuwait Liberation Medal, but Southwest Asia</w:t>
      </w:r>
      <w:r w:rsidR="00BC4989">
        <w:t xml:space="preserve"> Service Medal / </w:t>
      </w:r>
      <w:r w:rsidR="00EA1198">
        <w:t>SWA</w:t>
      </w:r>
      <w:r w:rsidR="00BC4989">
        <w:t xml:space="preserve"> </w:t>
      </w:r>
      <w:r w:rsidR="00EA1198">
        <w:t>was given to those also serving in</w:t>
      </w:r>
      <w:r w:rsidR="00951792">
        <w:t xml:space="preserve"> </w:t>
      </w:r>
      <w:r w:rsidR="00951792" w:rsidRPr="001D0419">
        <w:t>Israel, Egypt, Turkey, Syria, and Jordan</w:t>
      </w:r>
      <w:r w:rsidR="00EA1198">
        <w:t xml:space="preserve">, but they are excluded under 3.317; </w:t>
      </w:r>
      <w:r w:rsidR="00951792">
        <w:t>GWOT medal is excluded since awarded for many locat</w:t>
      </w:r>
      <w:r w:rsidR="00EA1198">
        <w:t xml:space="preserve">ions besides those considered </w:t>
      </w:r>
      <w:r w:rsidR="00951792">
        <w:t>SWA for the purposes of 3.317</w:t>
      </w:r>
    </w:p>
    <w:p w:rsidR="007A20CE" w:rsidRPr="00951792" w:rsidRDefault="007A20CE" w:rsidP="007A20CE">
      <w:pPr>
        <w:widowControl w:val="0"/>
        <w:ind w:left="360"/>
      </w:pPr>
    </w:p>
    <w:p w:rsidR="00AA7B46" w:rsidRPr="001453C4" w:rsidRDefault="00AA7B46" w:rsidP="001453C4">
      <w:pPr>
        <w:pBdr>
          <w:top w:val="double" w:sz="4" w:space="1" w:color="auto"/>
          <w:left w:val="double" w:sz="4" w:space="4" w:color="auto"/>
          <w:bottom w:val="double" w:sz="4" w:space="1" w:color="auto"/>
          <w:right w:val="double" w:sz="4" w:space="4" w:color="auto"/>
        </w:pBdr>
        <w:shd w:val="clear" w:color="auto" w:fill="FFC000"/>
        <w:spacing w:after="120"/>
        <w:ind w:left="360"/>
        <w:rPr>
          <w:rStyle w:val="Hyperlink"/>
          <w:b/>
          <w:i/>
        </w:rPr>
      </w:pPr>
      <w:r w:rsidRPr="00AA7B46">
        <w:rPr>
          <w:i/>
        </w:rPr>
        <w:t xml:space="preserve">VSR info - </w:t>
      </w:r>
      <w:r w:rsidRPr="001453C4">
        <w:rPr>
          <w:b/>
          <w:i/>
        </w:rPr>
        <w:t>H:\VSC\Training\NTC Class Material\Undiagnosed Illness (Gulf War) Claims Development</w:t>
      </w:r>
    </w:p>
    <w:p w:rsidR="00495749" w:rsidRPr="00D2563F" w:rsidRDefault="00495749" w:rsidP="00F063AF">
      <w:pPr>
        <w:pStyle w:val="ListParagraph"/>
        <w:numPr>
          <w:ilvl w:val="0"/>
          <w:numId w:val="216"/>
        </w:numPr>
        <w:spacing w:after="120" w:line="240" w:lineRule="auto"/>
        <w:rPr>
          <w:rFonts w:ascii="Arial" w:hAnsi="Arial"/>
          <w:b/>
          <w:bCs/>
          <w:color w:val="000000"/>
          <w:sz w:val="20"/>
          <w:szCs w:val="20"/>
          <w:highlight w:val="cyan"/>
        </w:rPr>
      </w:pPr>
      <w:r w:rsidRPr="00D2563F">
        <w:rPr>
          <w:rFonts w:ascii="Arial" w:hAnsi="Arial"/>
          <w:b/>
          <w:bCs/>
          <w:color w:val="000000"/>
          <w:sz w:val="20"/>
          <w:szCs w:val="20"/>
          <w:highlight w:val="cyan"/>
        </w:rPr>
        <w:t xml:space="preserve">DO NOT DENY WITHOUT A </w:t>
      </w:r>
      <w:hyperlink r:id="rId428" w:history="1">
        <w:r w:rsidRPr="00D2563F">
          <w:rPr>
            <w:rStyle w:val="Hyperlink"/>
            <w:rFonts w:ascii="Arial" w:hAnsi="Arial"/>
            <w:b/>
            <w:i/>
            <w:sz w:val="20"/>
            <w:szCs w:val="20"/>
            <w:highlight w:val="cyan"/>
          </w:rPr>
          <w:t>Gulf War General Medical DBQ</w:t>
        </w:r>
      </w:hyperlink>
    </w:p>
    <w:p w:rsidR="00495749" w:rsidRPr="00495749" w:rsidRDefault="00495749" w:rsidP="00F063AF">
      <w:pPr>
        <w:pStyle w:val="ListParagraph"/>
        <w:numPr>
          <w:ilvl w:val="0"/>
          <w:numId w:val="216"/>
        </w:numPr>
        <w:spacing w:after="120" w:line="240" w:lineRule="auto"/>
        <w:rPr>
          <w:rFonts w:ascii="Arial" w:hAnsi="Arial"/>
          <w:bCs/>
          <w:color w:val="000000"/>
          <w:sz w:val="20"/>
          <w:szCs w:val="20"/>
        </w:rPr>
      </w:pPr>
      <w:r w:rsidRPr="00BC4989">
        <w:rPr>
          <w:rFonts w:ascii="Arial" w:hAnsi="Arial"/>
          <w:bCs/>
          <w:color w:val="000000"/>
          <w:sz w:val="20"/>
          <w:szCs w:val="20"/>
        </w:rPr>
        <w:t>The Global War on Terrorism Service/Expeditionary medal (</w:t>
      </w:r>
      <w:r w:rsidRPr="00BC4989">
        <w:rPr>
          <w:rFonts w:ascii="Arial" w:hAnsi="Arial"/>
          <w:b/>
          <w:bCs/>
          <w:color w:val="000000"/>
          <w:sz w:val="20"/>
          <w:szCs w:val="20"/>
        </w:rPr>
        <w:t>GWOT</w:t>
      </w:r>
      <w:r w:rsidRPr="00BC4989">
        <w:rPr>
          <w:rFonts w:ascii="Arial" w:hAnsi="Arial"/>
          <w:bCs/>
          <w:color w:val="000000"/>
          <w:sz w:val="20"/>
          <w:szCs w:val="20"/>
        </w:rPr>
        <w:t>) is NOT sufficient to v</w:t>
      </w:r>
      <w:r w:rsidR="00B15D94" w:rsidRPr="00BC4989">
        <w:rPr>
          <w:rFonts w:ascii="Arial" w:hAnsi="Arial"/>
          <w:bCs/>
          <w:color w:val="000000"/>
          <w:sz w:val="20"/>
          <w:szCs w:val="20"/>
        </w:rPr>
        <w:t xml:space="preserve">erify service in </w:t>
      </w:r>
      <w:r w:rsidR="00BC4989" w:rsidRPr="00BC4989">
        <w:rPr>
          <w:rFonts w:ascii="Arial" w:hAnsi="Arial"/>
          <w:sz w:val="20"/>
          <w:szCs w:val="20"/>
        </w:rPr>
        <w:t>Southwest Asia theater of operations / SWA</w:t>
      </w:r>
      <w:r w:rsidR="00BC4989" w:rsidRPr="00BC4989">
        <w:rPr>
          <w:rFonts w:ascii="Arial" w:hAnsi="Arial"/>
          <w:bCs/>
          <w:color w:val="000000"/>
          <w:sz w:val="20"/>
          <w:szCs w:val="20"/>
        </w:rPr>
        <w:t>,</w:t>
      </w:r>
      <w:r w:rsidR="00BC4989">
        <w:rPr>
          <w:rFonts w:ascii="Arial" w:hAnsi="Arial"/>
          <w:bCs/>
          <w:color w:val="000000"/>
          <w:sz w:val="20"/>
          <w:szCs w:val="20"/>
        </w:rPr>
        <w:t xml:space="preserve"> </w:t>
      </w:r>
      <w:r w:rsidR="00B15D94">
        <w:rPr>
          <w:rFonts w:ascii="Arial" w:hAnsi="Arial"/>
          <w:bCs/>
          <w:color w:val="000000"/>
          <w:sz w:val="20"/>
          <w:szCs w:val="20"/>
        </w:rPr>
        <w:t>as detailed above.</w:t>
      </w:r>
    </w:p>
    <w:p w:rsidR="0073043A" w:rsidRPr="005D4DBF" w:rsidRDefault="00495749" w:rsidP="00F063AF">
      <w:pPr>
        <w:pStyle w:val="ListParagraph"/>
        <w:widowControl w:val="0"/>
        <w:numPr>
          <w:ilvl w:val="1"/>
          <w:numId w:val="196"/>
        </w:numPr>
        <w:spacing w:after="120" w:line="240" w:lineRule="auto"/>
        <w:ind w:left="1080"/>
        <w:rPr>
          <w:rFonts w:ascii="Arial" w:hAnsi="Arial"/>
          <w:sz w:val="20"/>
          <w:szCs w:val="20"/>
        </w:rPr>
      </w:pPr>
      <w:r w:rsidRPr="00495749">
        <w:rPr>
          <w:rFonts w:ascii="Arial" w:hAnsi="Arial"/>
          <w:bCs/>
          <w:color w:val="000000"/>
          <w:sz w:val="20"/>
          <w:szCs w:val="20"/>
        </w:rPr>
        <w:t>After an initial grant of service connection, schedule a routine future exam</w:t>
      </w:r>
      <w:r w:rsidR="00F46384">
        <w:rPr>
          <w:rFonts w:ascii="Arial" w:hAnsi="Arial"/>
          <w:bCs/>
          <w:color w:val="000000"/>
          <w:sz w:val="20"/>
          <w:szCs w:val="20"/>
        </w:rPr>
        <w:t xml:space="preserve"> / RFE</w:t>
      </w:r>
      <w:r w:rsidRPr="00495749">
        <w:rPr>
          <w:rFonts w:ascii="Arial" w:hAnsi="Arial"/>
          <w:bCs/>
          <w:color w:val="000000"/>
          <w:sz w:val="20"/>
          <w:szCs w:val="20"/>
        </w:rPr>
        <w:t xml:space="preserve"> after </w:t>
      </w:r>
      <w:r w:rsidRPr="00B15D94">
        <w:rPr>
          <w:rFonts w:ascii="Arial" w:hAnsi="Arial"/>
          <w:b/>
          <w:bCs/>
          <w:color w:val="000000"/>
          <w:sz w:val="20"/>
          <w:szCs w:val="20"/>
        </w:rPr>
        <w:t>24 months</w:t>
      </w:r>
      <w:r w:rsidR="00580A73">
        <w:rPr>
          <w:rFonts w:ascii="Arial" w:hAnsi="Arial"/>
          <w:b/>
          <w:bCs/>
          <w:color w:val="000000"/>
          <w:sz w:val="20"/>
          <w:szCs w:val="20"/>
        </w:rPr>
        <w:t>/2 years</w:t>
      </w:r>
      <w:r w:rsidRPr="00495749">
        <w:rPr>
          <w:rFonts w:ascii="Arial" w:hAnsi="Arial"/>
          <w:bCs/>
          <w:color w:val="000000"/>
          <w:sz w:val="20"/>
          <w:szCs w:val="20"/>
        </w:rPr>
        <w:t>.</w:t>
      </w:r>
      <w:r w:rsidR="0073043A">
        <w:rPr>
          <w:rFonts w:ascii="Arial" w:hAnsi="Arial"/>
          <w:bCs/>
          <w:color w:val="000000"/>
          <w:sz w:val="20"/>
          <w:szCs w:val="20"/>
        </w:rPr>
        <w:t xml:space="preserve"> </w:t>
      </w:r>
      <w:r w:rsidR="0073043A" w:rsidRPr="0073043A">
        <w:rPr>
          <w:rFonts w:ascii="Arial" w:hAnsi="Arial"/>
          <w:i/>
          <w:color w:val="00B050"/>
          <w:sz w:val="20"/>
          <w:szCs w:val="20"/>
        </w:rPr>
        <w:t>My Notes:</w:t>
      </w:r>
      <w:r w:rsidR="0073043A" w:rsidRPr="0073043A">
        <w:rPr>
          <w:rFonts w:ascii="Arial" w:hAnsi="Arial"/>
          <w:color w:val="00B050"/>
          <w:sz w:val="20"/>
          <w:szCs w:val="20"/>
        </w:rPr>
        <w:t xml:space="preserve"> </w:t>
      </w:r>
      <w:r w:rsidR="0073043A" w:rsidRPr="00D36CD9">
        <w:rPr>
          <w:rFonts w:ascii="Arial" w:hAnsi="Arial"/>
          <w:i/>
          <w:color w:val="00B050"/>
          <w:sz w:val="20"/>
          <w:szCs w:val="20"/>
        </w:rPr>
        <w:t xml:space="preserve"> </w:t>
      </w:r>
      <w:r w:rsidR="0073043A" w:rsidRPr="00D36CD9">
        <w:rPr>
          <w:rFonts w:ascii="Arial" w:hAnsi="Arial"/>
          <w:i/>
          <w:sz w:val="20"/>
          <w:szCs w:val="20"/>
        </w:rPr>
        <w:t>I cannot find this in the M21-1.</w:t>
      </w:r>
    </w:p>
    <w:p w:rsidR="00495749" w:rsidRPr="006808D2" w:rsidRDefault="00495749" w:rsidP="00F063AF">
      <w:pPr>
        <w:pStyle w:val="ListParagraph"/>
        <w:widowControl w:val="0"/>
        <w:numPr>
          <w:ilvl w:val="0"/>
          <w:numId w:val="216"/>
        </w:numPr>
        <w:spacing w:after="120" w:line="240" w:lineRule="auto"/>
        <w:rPr>
          <w:rFonts w:ascii="Arial" w:hAnsi="Arial"/>
          <w:i/>
          <w:sz w:val="20"/>
          <w:szCs w:val="20"/>
        </w:rPr>
      </w:pPr>
      <w:r w:rsidRPr="00495749">
        <w:rPr>
          <w:rFonts w:ascii="Arial" w:hAnsi="Arial"/>
          <w:bCs/>
          <w:color w:val="000000"/>
          <w:sz w:val="20"/>
          <w:szCs w:val="20"/>
        </w:rPr>
        <w:t xml:space="preserve">If a veteran has been diagnosed with </w:t>
      </w:r>
      <w:r w:rsidRPr="00B15D94">
        <w:rPr>
          <w:rFonts w:ascii="Arial" w:hAnsi="Arial"/>
          <w:b/>
          <w:bCs/>
          <w:color w:val="000000"/>
          <w:sz w:val="20"/>
          <w:szCs w:val="20"/>
        </w:rPr>
        <w:t>chronic fatigue syndrome</w:t>
      </w:r>
      <w:r w:rsidR="00E2241D">
        <w:rPr>
          <w:rFonts w:ascii="Arial" w:hAnsi="Arial"/>
          <w:b/>
          <w:bCs/>
          <w:color w:val="000000"/>
          <w:sz w:val="20"/>
          <w:szCs w:val="20"/>
        </w:rPr>
        <w:t xml:space="preserve"> (8863-6354)</w:t>
      </w:r>
      <w:r w:rsidRPr="00B15D94">
        <w:rPr>
          <w:rFonts w:ascii="Arial" w:hAnsi="Arial"/>
          <w:b/>
          <w:bCs/>
          <w:color w:val="000000"/>
          <w:sz w:val="20"/>
          <w:szCs w:val="20"/>
        </w:rPr>
        <w:t>, fibromyalgia</w:t>
      </w:r>
      <w:r w:rsidR="00E2241D">
        <w:rPr>
          <w:rFonts w:ascii="Arial" w:hAnsi="Arial"/>
          <w:b/>
          <w:bCs/>
          <w:color w:val="000000"/>
          <w:sz w:val="20"/>
          <w:szCs w:val="20"/>
        </w:rPr>
        <w:t xml:space="preserve"> (8850-5025)</w:t>
      </w:r>
      <w:r w:rsidRPr="00B15D94">
        <w:rPr>
          <w:rFonts w:ascii="Arial" w:hAnsi="Arial"/>
          <w:b/>
          <w:bCs/>
          <w:color w:val="000000"/>
          <w:sz w:val="20"/>
          <w:szCs w:val="20"/>
        </w:rPr>
        <w:t>, or functional</w:t>
      </w:r>
      <w:r w:rsidR="00580A73">
        <w:rPr>
          <w:rFonts w:ascii="Arial" w:hAnsi="Arial"/>
          <w:b/>
          <w:bCs/>
          <w:color w:val="000000"/>
          <w:sz w:val="20"/>
          <w:szCs w:val="20"/>
        </w:rPr>
        <w:t xml:space="preserve"> gastrointestinal disorders</w:t>
      </w:r>
      <w:r w:rsidR="00E2241D">
        <w:rPr>
          <w:rFonts w:ascii="Arial" w:hAnsi="Arial"/>
          <w:b/>
          <w:bCs/>
          <w:color w:val="000000"/>
          <w:sz w:val="20"/>
          <w:szCs w:val="20"/>
        </w:rPr>
        <w:t xml:space="preserve"> (887</w:t>
      </w:r>
      <w:r w:rsidR="005D4DBF">
        <w:rPr>
          <w:rFonts w:ascii="Arial" w:hAnsi="Arial"/>
          <w:b/>
          <w:bCs/>
          <w:color w:val="000000"/>
          <w:sz w:val="20"/>
          <w:szCs w:val="20"/>
        </w:rPr>
        <w:t>3-7319</w:t>
      </w:r>
      <w:r w:rsidR="00E2241D">
        <w:rPr>
          <w:rFonts w:ascii="Arial" w:hAnsi="Arial"/>
          <w:b/>
          <w:bCs/>
          <w:color w:val="000000"/>
          <w:sz w:val="20"/>
          <w:szCs w:val="20"/>
        </w:rPr>
        <w:t>)</w:t>
      </w:r>
      <w:r w:rsidRPr="00495749">
        <w:rPr>
          <w:rFonts w:ascii="Arial" w:hAnsi="Arial"/>
          <w:bCs/>
          <w:color w:val="000000"/>
          <w:sz w:val="20"/>
          <w:szCs w:val="20"/>
        </w:rPr>
        <w:t xml:space="preserve">, </w:t>
      </w:r>
      <w:r w:rsidR="00796422">
        <w:rPr>
          <w:rFonts w:ascii="Arial" w:hAnsi="Arial"/>
          <w:bCs/>
          <w:color w:val="000000"/>
          <w:sz w:val="20"/>
          <w:szCs w:val="20"/>
        </w:rPr>
        <w:t>(MUCM</w:t>
      </w:r>
      <w:r w:rsidR="00B15D94">
        <w:rPr>
          <w:rFonts w:ascii="Arial" w:hAnsi="Arial"/>
          <w:bCs/>
          <w:color w:val="000000"/>
          <w:sz w:val="20"/>
          <w:szCs w:val="20"/>
        </w:rPr>
        <w:t xml:space="preserve">I) </w:t>
      </w:r>
      <w:r w:rsidRPr="00495749">
        <w:rPr>
          <w:rFonts w:ascii="Arial" w:hAnsi="Arial"/>
          <w:bCs/>
          <w:color w:val="000000"/>
          <w:sz w:val="20"/>
          <w:szCs w:val="20"/>
        </w:rPr>
        <w:t>there is no requirement of a medical nexus (they are presumptive).</w:t>
      </w:r>
      <w:r w:rsidR="00B15D94">
        <w:rPr>
          <w:rFonts w:ascii="Arial" w:hAnsi="Arial"/>
          <w:bCs/>
          <w:color w:val="000000"/>
          <w:sz w:val="20"/>
          <w:szCs w:val="20"/>
        </w:rPr>
        <w:t xml:space="preserve"> See </w:t>
      </w:r>
      <w:hyperlink r:id="rId429" w:history="1">
        <w:r w:rsidR="00B15D94">
          <w:rPr>
            <w:rStyle w:val="Hyperlink"/>
            <w:rFonts w:ascii="Arial" w:hAnsi="Arial"/>
            <w:b/>
            <w:bCs/>
            <w:i/>
            <w:iCs/>
            <w:sz w:val="20"/>
            <w:szCs w:val="20"/>
          </w:rPr>
          <w:t>February 2014 Rating Quality Call</w:t>
        </w:r>
      </w:hyperlink>
      <w:r w:rsidR="006808D2">
        <w:rPr>
          <w:rStyle w:val="Hyperlink"/>
          <w:rFonts w:ascii="Arial" w:hAnsi="Arial"/>
          <w:bCs/>
          <w:iCs/>
          <w:sz w:val="20"/>
          <w:szCs w:val="20"/>
          <w:u w:val="none"/>
        </w:rPr>
        <w:t xml:space="preserve">. </w:t>
      </w:r>
      <w:r w:rsidR="006808D2" w:rsidRPr="006808D2">
        <w:rPr>
          <w:rStyle w:val="Hyperlink"/>
          <w:rFonts w:ascii="Arial" w:hAnsi="Arial"/>
          <w:bCs/>
          <w:i/>
          <w:iCs/>
          <w:color w:val="auto"/>
          <w:sz w:val="20"/>
          <w:szCs w:val="20"/>
          <w:u w:val="none"/>
        </w:rPr>
        <w:t xml:space="preserve">See </w:t>
      </w:r>
      <w:r w:rsidR="006808D2" w:rsidRPr="006808D2">
        <w:rPr>
          <w:rFonts w:ascii="Arial" w:hAnsi="Arial"/>
          <w:b/>
          <w:i/>
          <w:sz w:val="20"/>
          <w:szCs w:val="20"/>
        </w:rPr>
        <w:t>IV.ii.2.D.3.b</w:t>
      </w:r>
      <w:r w:rsidR="006808D2">
        <w:rPr>
          <w:rFonts w:ascii="Arial" w:hAnsi="Arial"/>
          <w:b/>
          <w:i/>
          <w:sz w:val="20"/>
          <w:szCs w:val="20"/>
        </w:rPr>
        <w:t>,</w:t>
      </w:r>
      <w:r w:rsidR="006808D2" w:rsidRPr="006808D2">
        <w:rPr>
          <w:rFonts w:ascii="Arial" w:hAnsi="Arial"/>
          <w:b/>
          <w:i/>
          <w:sz w:val="20"/>
          <w:szCs w:val="20"/>
        </w:rPr>
        <w:t xml:space="preserve"> c</w:t>
      </w:r>
      <w:r w:rsidR="006808D2">
        <w:rPr>
          <w:rFonts w:ascii="Arial" w:hAnsi="Arial"/>
          <w:b/>
          <w:i/>
          <w:sz w:val="20"/>
          <w:szCs w:val="20"/>
        </w:rPr>
        <w:t xml:space="preserve"> &amp; d</w:t>
      </w:r>
      <w:r w:rsidR="006808D2" w:rsidRPr="006808D2">
        <w:rPr>
          <w:rFonts w:ascii="Arial" w:hAnsi="Arial"/>
          <w:b/>
          <w:i/>
          <w:sz w:val="20"/>
          <w:szCs w:val="20"/>
        </w:rPr>
        <w:t xml:space="preserve"> </w:t>
      </w:r>
      <w:r w:rsidR="006808D2" w:rsidRPr="006808D2">
        <w:rPr>
          <w:rFonts w:ascii="Arial" w:hAnsi="Arial"/>
          <w:i/>
          <w:sz w:val="20"/>
          <w:szCs w:val="20"/>
        </w:rPr>
        <w:t>for 88 codes.</w:t>
      </w:r>
    </w:p>
    <w:p w:rsidR="00495749" w:rsidRPr="00495749" w:rsidRDefault="00495749" w:rsidP="00F063AF">
      <w:pPr>
        <w:pStyle w:val="ListParagraph"/>
        <w:widowControl w:val="0"/>
        <w:numPr>
          <w:ilvl w:val="0"/>
          <w:numId w:val="216"/>
        </w:numPr>
        <w:spacing w:after="120" w:line="240" w:lineRule="auto"/>
        <w:rPr>
          <w:rFonts w:ascii="Arial" w:hAnsi="Arial"/>
          <w:i/>
          <w:sz w:val="20"/>
          <w:szCs w:val="20"/>
        </w:rPr>
      </w:pPr>
      <w:r>
        <w:rPr>
          <w:rFonts w:ascii="Arial" w:hAnsi="Arial"/>
          <w:sz w:val="20"/>
          <w:szCs w:val="20"/>
        </w:rPr>
        <w:t xml:space="preserve">A veteran who served in </w:t>
      </w:r>
      <w:r w:rsidRPr="00B15D94">
        <w:rPr>
          <w:rFonts w:ascii="Arial" w:hAnsi="Arial"/>
          <w:b/>
          <w:sz w:val="20"/>
          <w:szCs w:val="20"/>
        </w:rPr>
        <w:t>Afghanistan</w:t>
      </w:r>
      <w:r>
        <w:rPr>
          <w:rFonts w:ascii="Arial" w:hAnsi="Arial"/>
          <w:sz w:val="20"/>
          <w:szCs w:val="20"/>
        </w:rPr>
        <w:t xml:space="preserve"> is NOT considered a Persian Gulf War veteran (for purposes of PGW under 3.317 eff 9/2/94, but they are a GW veteran for purposes of the period of war from 8/2/90 to present)</w:t>
      </w:r>
    </w:p>
    <w:p w:rsidR="00495749" w:rsidRPr="00495749" w:rsidRDefault="00495749" w:rsidP="00F063AF">
      <w:pPr>
        <w:pStyle w:val="ListParagraph"/>
        <w:widowControl w:val="0"/>
        <w:numPr>
          <w:ilvl w:val="0"/>
          <w:numId w:val="216"/>
        </w:numPr>
        <w:spacing w:after="120" w:line="240" w:lineRule="auto"/>
        <w:rPr>
          <w:rFonts w:ascii="Arial" w:hAnsi="Arial"/>
          <w:i/>
          <w:sz w:val="20"/>
          <w:szCs w:val="20"/>
        </w:rPr>
      </w:pPr>
      <w:r w:rsidRPr="00495749">
        <w:rPr>
          <w:rFonts w:ascii="Arial" w:hAnsi="Arial"/>
          <w:bCs/>
          <w:color w:val="000000"/>
          <w:sz w:val="20"/>
          <w:szCs w:val="20"/>
        </w:rPr>
        <w:t xml:space="preserve">VA has determined the Secretary does NOT have the authority to compensate for </w:t>
      </w:r>
      <w:r w:rsidRPr="00B15D94">
        <w:rPr>
          <w:rFonts w:ascii="Arial" w:hAnsi="Arial"/>
          <w:b/>
          <w:bCs/>
          <w:color w:val="000000"/>
          <w:sz w:val="20"/>
          <w:szCs w:val="20"/>
        </w:rPr>
        <w:t>aggravation</w:t>
      </w:r>
      <w:r w:rsidRPr="00495749">
        <w:rPr>
          <w:rFonts w:ascii="Arial" w:hAnsi="Arial"/>
          <w:bCs/>
          <w:color w:val="000000"/>
          <w:sz w:val="20"/>
          <w:szCs w:val="20"/>
        </w:rPr>
        <w:t xml:space="preserve"> of disabilities resulting from pre-existing undiagnosed illness.</w:t>
      </w:r>
      <w:r w:rsidR="00E2241D">
        <w:rPr>
          <w:rFonts w:ascii="Arial" w:hAnsi="Arial"/>
          <w:bCs/>
          <w:color w:val="000000"/>
          <w:sz w:val="20"/>
          <w:szCs w:val="20"/>
        </w:rPr>
        <w:t xml:space="preserve"> If started before GW service, not GW-related.</w:t>
      </w:r>
    </w:p>
    <w:p w:rsidR="00495749" w:rsidRPr="00EA1198" w:rsidRDefault="00495749" w:rsidP="00F063AF">
      <w:pPr>
        <w:pStyle w:val="ListParagraph"/>
        <w:widowControl w:val="0"/>
        <w:numPr>
          <w:ilvl w:val="0"/>
          <w:numId w:val="216"/>
        </w:numPr>
        <w:spacing w:after="120" w:line="240" w:lineRule="auto"/>
        <w:rPr>
          <w:rFonts w:ascii="Arial" w:hAnsi="Arial"/>
          <w:i/>
          <w:sz w:val="20"/>
          <w:szCs w:val="20"/>
        </w:rPr>
      </w:pPr>
      <w:r w:rsidRPr="00B15D94">
        <w:rPr>
          <w:rFonts w:ascii="Arial" w:hAnsi="Arial"/>
          <w:b/>
          <w:bCs/>
          <w:color w:val="000000"/>
          <w:sz w:val="20"/>
          <w:szCs w:val="20"/>
        </w:rPr>
        <w:t>Infectious dieases</w:t>
      </w:r>
      <w:r>
        <w:rPr>
          <w:rFonts w:ascii="Arial" w:hAnsi="Arial"/>
          <w:bCs/>
          <w:color w:val="000000"/>
          <w:sz w:val="20"/>
          <w:szCs w:val="20"/>
        </w:rPr>
        <w:t xml:space="preserve"> </w:t>
      </w:r>
      <w:r w:rsidR="00EA1198">
        <w:rPr>
          <w:rFonts w:ascii="Arial" w:hAnsi="Arial"/>
          <w:bCs/>
          <w:color w:val="000000"/>
          <w:sz w:val="20"/>
          <w:szCs w:val="20"/>
        </w:rPr>
        <w:t>(for PGW &amp; Afghanistan veterans) under 3.317 added 9/10</w:t>
      </w:r>
    </w:p>
    <w:p w:rsidR="00EA1198" w:rsidRPr="00EA1198" w:rsidRDefault="00EA1198" w:rsidP="00F063AF">
      <w:pPr>
        <w:pStyle w:val="ListParagraph"/>
        <w:widowControl w:val="0"/>
        <w:numPr>
          <w:ilvl w:val="0"/>
          <w:numId w:val="216"/>
        </w:numPr>
        <w:spacing w:after="120" w:line="240" w:lineRule="auto"/>
        <w:rPr>
          <w:rFonts w:ascii="Arial" w:hAnsi="Arial"/>
          <w:i/>
          <w:sz w:val="20"/>
          <w:szCs w:val="20"/>
        </w:rPr>
      </w:pPr>
      <w:r>
        <w:rPr>
          <w:rFonts w:ascii="Arial" w:hAnsi="Arial"/>
          <w:bCs/>
          <w:color w:val="000000"/>
          <w:sz w:val="20"/>
          <w:szCs w:val="20"/>
        </w:rPr>
        <w:t xml:space="preserve">Might be able to use </w:t>
      </w:r>
      <w:r w:rsidRPr="00B15D94">
        <w:rPr>
          <w:rFonts w:ascii="Arial" w:hAnsi="Arial"/>
          <w:b/>
          <w:bCs/>
          <w:color w:val="000000"/>
          <w:sz w:val="20"/>
          <w:szCs w:val="20"/>
        </w:rPr>
        <w:t>GW Registry exam</w:t>
      </w:r>
      <w:r>
        <w:rPr>
          <w:rFonts w:ascii="Arial" w:hAnsi="Arial"/>
          <w:bCs/>
          <w:color w:val="000000"/>
          <w:sz w:val="20"/>
          <w:szCs w:val="20"/>
        </w:rPr>
        <w:t xml:space="preserve"> to see if in SWA (see above for list of areas), if had treatment for 6+ months (can use lay stmt to show if greater than or less than 6 months, positive or negative evidence) &amp; if at 10%</w:t>
      </w:r>
    </w:p>
    <w:p w:rsidR="00EA1198" w:rsidRDefault="00EA1198" w:rsidP="00F063AF">
      <w:pPr>
        <w:pStyle w:val="ListParagraph"/>
        <w:widowControl w:val="0"/>
        <w:numPr>
          <w:ilvl w:val="0"/>
          <w:numId w:val="216"/>
        </w:numPr>
        <w:spacing w:after="120" w:line="240" w:lineRule="auto"/>
        <w:rPr>
          <w:rFonts w:ascii="Arial" w:hAnsi="Arial"/>
          <w:sz w:val="20"/>
          <w:szCs w:val="20"/>
        </w:rPr>
      </w:pPr>
      <w:r w:rsidRPr="00EA1198">
        <w:rPr>
          <w:rFonts w:ascii="Arial" w:hAnsi="Arial"/>
          <w:sz w:val="20"/>
          <w:szCs w:val="20"/>
        </w:rPr>
        <w:t>“objective indicators” are (1) signs (something examiner can feel/see/note) and (2) symptoms (reported/subjective, including buddy stmts)</w:t>
      </w:r>
    </w:p>
    <w:p w:rsidR="00EA1198" w:rsidRDefault="00EA1198"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partially understood is NOT medically unexplained</w:t>
      </w:r>
    </w:p>
    <w:p w:rsidR="00EA1198" w:rsidRDefault="00EA1198"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functional – tests normal, but have it; structural – something physically wrong</w:t>
      </w:r>
    </w:p>
    <w:p w:rsidR="00EA1198" w:rsidRDefault="00EA1198"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 xml:space="preserve">the opinion we ask </w:t>
      </w:r>
      <w:r w:rsidR="00B15D94">
        <w:rPr>
          <w:rFonts w:ascii="Arial" w:hAnsi="Arial"/>
          <w:sz w:val="20"/>
          <w:szCs w:val="20"/>
        </w:rPr>
        <w:t xml:space="preserve">on the DBQ </w:t>
      </w:r>
      <w:r>
        <w:rPr>
          <w:rFonts w:ascii="Arial" w:hAnsi="Arial"/>
          <w:sz w:val="20"/>
          <w:szCs w:val="20"/>
        </w:rPr>
        <w:t xml:space="preserve">is to find out if the symptom/illness/disability can be established based on </w:t>
      </w:r>
      <w:r w:rsidRPr="00B15D94">
        <w:rPr>
          <w:rFonts w:ascii="Arial" w:hAnsi="Arial"/>
          <w:b/>
          <w:sz w:val="20"/>
          <w:szCs w:val="20"/>
        </w:rPr>
        <w:t>DIRECT S</w:t>
      </w:r>
      <w:r w:rsidR="00B15D94" w:rsidRPr="00B15D94">
        <w:rPr>
          <w:rFonts w:ascii="Arial" w:hAnsi="Arial"/>
          <w:b/>
          <w:sz w:val="20"/>
          <w:szCs w:val="20"/>
        </w:rPr>
        <w:t>C</w:t>
      </w:r>
      <w:r>
        <w:rPr>
          <w:rFonts w:ascii="Arial" w:hAnsi="Arial"/>
          <w:sz w:val="20"/>
          <w:szCs w:val="20"/>
        </w:rPr>
        <w:t xml:space="preserve"> (can grant diarrhea for SWA veteran if in STRs &amp; on DBQ, but will need medical nexus; can be 0% since direct)</w:t>
      </w:r>
    </w:p>
    <w:p w:rsidR="00EA1198" w:rsidRDefault="00EA1198" w:rsidP="00F063AF">
      <w:pPr>
        <w:pStyle w:val="ListParagraph"/>
        <w:widowControl w:val="0"/>
        <w:numPr>
          <w:ilvl w:val="0"/>
          <w:numId w:val="216"/>
        </w:numPr>
        <w:spacing w:after="120" w:line="240" w:lineRule="auto"/>
        <w:rPr>
          <w:rFonts w:ascii="Arial" w:hAnsi="Arial"/>
          <w:sz w:val="20"/>
          <w:szCs w:val="20"/>
        </w:rPr>
      </w:pPr>
      <w:r w:rsidRPr="00B15D94">
        <w:rPr>
          <w:rFonts w:ascii="Arial" w:hAnsi="Arial"/>
          <w:b/>
          <w:sz w:val="20"/>
          <w:szCs w:val="20"/>
        </w:rPr>
        <w:t>4 patterns</w:t>
      </w:r>
      <w:r>
        <w:rPr>
          <w:rFonts w:ascii="Arial" w:hAnsi="Arial"/>
          <w:sz w:val="20"/>
          <w:szCs w:val="20"/>
        </w:rPr>
        <w:t xml:space="preserve"> – </w:t>
      </w:r>
    </w:p>
    <w:p w:rsidR="00EA1198" w:rsidRDefault="00EA1198" w:rsidP="00F063AF">
      <w:pPr>
        <w:pStyle w:val="ListParagraph"/>
        <w:widowControl w:val="0"/>
        <w:numPr>
          <w:ilvl w:val="1"/>
          <w:numId w:val="217"/>
        </w:numPr>
        <w:spacing w:after="120" w:line="240" w:lineRule="auto"/>
        <w:rPr>
          <w:rFonts w:ascii="Arial" w:hAnsi="Arial"/>
          <w:sz w:val="20"/>
          <w:szCs w:val="20"/>
        </w:rPr>
      </w:pPr>
      <w:r>
        <w:rPr>
          <w:rFonts w:ascii="Arial" w:hAnsi="Arial"/>
          <w:sz w:val="20"/>
          <w:szCs w:val="20"/>
        </w:rPr>
        <w:t>undiagnosed illness – GRANT [a diagnosis does not exclude SC for “undiagnosed illness”</w:t>
      </w:r>
      <w:r w:rsidR="00B15D94">
        <w:rPr>
          <w:rFonts w:ascii="Arial" w:hAnsi="Arial"/>
          <w:sz w:val="20"/>
          <w:szCs w:val="20"/>
        </w:rPr>
        <w:t>; if have conflicting opinions, cannot base weight of opinion on a diagnosis versus no diagnosis]</w:t>
      </w:r>
    </w:p>
    <w:p w:rsidR="00EA1198" w:rsidRDefault="00EA1198" w:rsidP="00F063AF">
      <w:pPr>
        <w:pStyle w:val="ListParagraph"/>
        <w:widowControl w:val="0"/>
        <w:numPr>
          <w:ilvl w:val="1"/>
          <w:numId w:val="217"/>
        </w:numPr>
        <w:spacing w:after="120" w:line="240" w:lineRule="auto"/>
        <w:rPr>
          <w:rFonts w:ascii="Arial" w:hAnsi="Arial"/>
          <w:sz w:val="20"/>
          <w:szCs w:val="20"/>
        </w:rPr>
      </w:pPr>
      <w:r>
        <w:rPr>
          <w:rFonts w:ascii="Arial" w:hAnsi="Arial"/>
          <w:sz w:val="20"/>
          <w:szCs w:val="20"/>
        </w:rPr>
        <w:t>diagnosed but unexplained – GRANT</w:t>
      </w:r>
    </w:p>
    <w:p w:rsidR="00EA1198" w:rsidRDefault="00EA1198" w:rsidP="00F063AF">
      <w:pPr>
        <w:pStyle w:val="ListParagraph"/>
        <w:widowControl w:val="0"/>
        <w:numPr>
          <w:ilvl w:val="1"/>
          <w:numId w:val="217"/>
        </w:numPr>
        <w:spacing w:after="120" w:line="240" w:lineRule="auto"/>
        <w:rPr>
          <w:rFonts w:ascii="Arial" w:hAnsi="Arial"/>
          <w:sz w:val="20"/>
          <w:szCs w:val="20"/>
        </w:rPr>
      </w:pPr>
      <w:r>
        <w:rPr>
          <w:rFonts w:ascii="Arial" w:hAnsi="Arial"/>
          <w:sz w:val="20"/>
          <w:szCs w:val="20"/>
        </w:rPr>
        <w:t>partially explained – DENY</w:t>
      </w:r>
    </w:p>
    <w:p w:rsidR="00EA1198" w:rsidRPr="00EA1198" w:rsidRDefault="00EA1198" w:rsidP="00F063AF">
      <w:pPr>
        <w:pStyle w:val="ListParagraph"/>
        <w:widowControl w:val="0"/>
        <w:numPr>
          <w:ilvl w:val="1"/>
          <w:numId w:val="217"/>
        </w:numPr>
        <w:spacing w:after="120" w:line="240" w:lineRule="auto"/>
        <w:rPr>
          <w:rFonts w:ascii="Arial" w:hAnsi="Arial"/>
          <w:sz w:val="20"/>
          <w:szCs w:val="20"/>
        </w:rPr>
      </w:pPr>
      <w:r>
        <w:rPr>
          <w:rFonts w:ascii="Arial" w:hAnsi="Arial"/>
          <w:sz w:val="20"/>
          <w:szCs w:val="20"/>
        </w:rPr>
        <w:t>clear &amp; specific etiology - DENY</w:t>
      </w:r>
    </w:p>
    <w:p w:rsidR="00EA1198" w:rsidRDefault="00B15D94"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Check all possible diagnostic codes if denying because not 10% (&amp; explain</w:t>
      </w:r>
      <w:r w:rsidR="00E2241D">
        <w:rPr>
          <w:rFonts w:ascii="Arial" w:hAnsi="Arial"/>
          <w:sz w:val="20"/>
          <w:szCs w:val="20"/>
        </w:rPr>
        <w:t xml:space="preserve"> WHY</w:t>
      </w:r>
      <w:r>
        <w:rPr>
          <w:rFonts w:ascii="Arial" w:hAnsi="Arial"/>
          <w:sz w:val="20"/>
          <w:szCs w:val="20"/>
        </w:rPr>
        <w:t xml:space="preserve"> specific DC was chosen</w:t>
      </w:r>
      <w:r w:rsidR="00E2241D">
        <w:rPr>
          <w:rFonts w:ascii="Arial" w:hAnsi="Arial"/>
          <w:sz w:val="20"/>
          <w:szCs w:val="20"/>
        </w:rPr>
        <w:t xml:space="preserve"> in Narrative</w:t>
      </w:r>
      <w:r>
        <w:rPr>
          <w:rFonts w:ascii="Arial" w:hAnsi="Arial"/>
          <w:sz w:val="20"/>
          <w:szCs w:val="20"/>
        </w:rPr>
        <w:t>)</w:t>
      </w:r>
    </w:p>
    <w:p w:rsidR="00E2241D" w:rsidRDefault="00E2241D"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If a lay statement is not credible, explain WHY in Narrative.</w:t>
      </w:r>
    </w:p>
    <w:p w:rsidR="00E2241D" w:rsidRDefault="00E2241D"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If there is evidence of another cause, it does not have to be conclusive (just affirmative).</w:t>
      </w:r>
    </w:p>
    <w:p w:rsidR="006808D2" w:rsidRPr="006808D2" w:rsidRDefault="002529FF" w:rsidP="00F063AF">
      <w:pPr>
        <w:pStyle w:val="ListParagraph"/>
        <w:widowControl w:val="0"/>
        <w:numPr>
          <w:ilvl w:val="0"/>
          <w:numId w:val="216"/>
        </w:numPr>
        <w:spacing w:after="120" w:line="240" w:lineRule="auto"/>
        <w:rPr>
          <w:rFonts w:ascii="Arial" w:hAnsi="Arial"/>
          <w:i/>
          <w:sz w:val="20"/>
          <w:szCs w:val="20"/>
        </w:rPr>
      </w:pPr>
      <w:r>
        <w:rPr>
          <w:rFonts w:ascii="Arial" w:hAnsi="Arial"/>
          <w:sz w:val="20"/>
          <w:szCs w:val="20"/>
        </w:rPr>
        <w:t>c</w:t>
      </w:r>
      <w:r w:rsidR="00580A73">
        <w:rPr>
          <w:rFonts w:ascii="Arial" w:hAnsi="Arial"/>
          <w:sz w:val="20"/>
          <w:szCs w:val="20"/>
        </w:rPr>
        <w:t>ardiovascular symptoms (8870-7005), muscle pain (8850-5021), seizures (8889-8910), joint pain (8850-5002), headaches (8881-8100)</w:t>
      </w:r>
      <w:r w:rsidR="006808D2">
        <w:rPr>
          <w:rFonts w:ascii="Arial" w:hAnsi="Arial"/>
          <w:sz w:val="20"/>
          <w:szCs w:val="20"/>
        </w:rPr>
        <w:t xml:space="preserve">. </w:t>
      </w:r>
      <w:r w:rsidR="006808D2" w:rsidRPr="006808D2">
        <w:rPr>
          <w:rStyle w:val="Hyperlink"/>
          <w:rFonts w:ascii="Arial" w:hAnsi="Arial"/>
          <w:bCs/>
          <w:i/>
          <w:iCs/>
          <w:color w:val="auto"/>
          <w:sz w:val="20"/>
          <w:szCs w:val="20"/>
          <w:u w:val="none"/>
        </w:rPr>
        <w:t xml:space="preserve">See </w:t>
      </w:r>
      <w:r w:rsidR="006808D2" w:rsidRPr="006808D2">
        <w:rPr>
          <w:rFonts w:ascii="Arial" w:hAnsi="Arial"/>
          <w:b/>
          <w:i/>
          <w:sz w:val="20"/>
          <w:szCs w:val="20"/>
        </w:rPr>
        <w:t>IV.ii.2.D.3.b</w:t>
      </w:r>
      <w:r w:rsidR="006808D2">
        <w:rPr>
          <w:rFonts w:ascii="Arial" w:hAnsi="Arial"/>
          <w:b/>
          <w:i/>
          <w:sz w:val="20"/>
          <w:szCs w:val="20"/>
        </w:rPr>
        <w:t>,</w:t>
      </w:r>
      <w:r w:rsidR="006808D2" w:rsidRPr="006808D2">
        <w:rPr>
          <w:rFonts w:ascii="Arial" w:hAnsi="Arial"/>
          <w:b/>
          <w:i/>
          <w:sz w:val="20"/>
          <w:szCs w:val="20"/>
        </w:rPr>
        <w:t xml:space="preserve"> c</w:t>
      </w:r>
      <w:r w:rsidR="006808D2">
        <w:rPr>
          <w:rFonts w:ascii="Arial" w:hAnsi="Arial"/>
          <w:b/>
          <w:i/>
          <w:sz w:val="20"/>
          <w:szCs w:val="20"/>
        </w:rPr>
        <w:t xml:space="preserve"> &amp; d</w:t>
      </w:r>
      <w:r w:rsidR="006808D2" w:rsidRPr="006808D2">
        <w:rPr>
          <w:rFonts w:ascii="Arial" w:hAnsi="Arial"/>
          <w:b/>
          <w:i/>
          <w:sz w:val="20"/>
          <w:szCs w:val="20"/>
        </w:rPr>
        <w:t xml:space="preserve"> </w:t>
      </w:r>
      <w:r w:rsidR="006808D2" w:rsidRPr="006808D2">
        <w:rPr>
          <w:rFonts w:ascii="Arial" w:hAnsi="Arial"/>
          <w:i/>
          <w:sz w:val="20"/>
          <w:szCs w:val="20"/>
        </w:rPr>
        <w:t>for 88 codes.</w:t>
      </w:r>
    </w:p>
    <w:p w:rsidR="00580A73" w:rsidRDefault="00580A73"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ANY joint pain without diagnosis in a SWA veteran – need GW exam</w:t>
      </w:r>
    </w:p>
    <w:p w:rsidR="00580A73" w:rsidRDefault="00580A73"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Apply reconsideration &amp; N&amp;M evidence, as needed</w:t>
      </w:r>
    </w:p>
    <w:p w:rsidR="00303C97" w:rsidRPr="00303C97" w:rsidRDefault="00303C97" w:rsidP="00F063AF">
      <w:pPr>
        <w:pStyle w:val="Footer"/>
        <w:widowControl w:val="0"/>
        <w:numPr>
          <w:ilvl w:val="0"/>
          <w:numId w:val="218"/>
        </w:numPr>
        <w:tabs>
          <w:tab w:val="clear" w:pos="4320"/>
          <w:tab w:val="clear" w:pos="8640"/>
        </w:tabs>
        <w:spacing w:after="120"/>
        <w:rPr>
          <w:i/>
          <w:u w:val="single"/>
        </w:rPr>
      </w:pPr>
      <w:r w:rsidRPr="00661AE1">
        <w:rPr>
          <w:b/>
        </w:rPr>
        <w:t xml:space="preserve">Q-Tip </w:t>
      </w:r>
      <w:r>
        <w:rPr>
          <w:b/>
        </w:rPr>
        <w:t>for GW claims 6/4/15</w:t>
      </w:r>
      <w:r w:rsidR="00D806E6">
        <w:rPr>
          <w:b/>
        </w:rPr>
        <w:t xml:space="preserve"> -</w:t>
      </w:r>
    </w:p>
    <w:p w:rsidR="00303C97" w:rsidRDefault="00303C97" w:rsidP="00303C97">
      <w:pPr>
        <w:spacing w:after="120"/>
        <w:ind w:left="720"/>
      </w:pPr>
      <w:r w:rsidRPr="00303C97">
        <w:t xml:space="preserve">The following Q-Tip is provided as a follow up to recent training to this regard.  </w:t>
      </w:r>
    </w:p>
    <w:p w:rsidR="00303C97" w:rsidRDefault="00303C97" w:rsidP="00303C97">
      <w:pPr>
        <w:spacing w:after="120"/>
        <w:ind w:left="720"/>
      </w:pPr>
      <w:r w:rsidRPr="00303C97">
        <w:t xml:space="preserve">The threshold for ordering Veterans Affairs (VA) examinations for Gulf War Veterans claiming an undiagnosed illness or medically unexplained chronic multi-symptom illness is </w:t>
      </w:r>
      <w:r w:rsidRPr="00303C97">
        <w:rPr>
          <w:b/>
          <w:bCs/>
          <w:i/>
          <w:iCs/>
        </w:rPr>
        <w:t>very low.</w:t>
      </w:r>
      <w:r w:rsidRPr="00303C97">
        <w:t xml:space="preserve">  The Veteran must have served in the Southwest Asia theater of operations, covered in </w:t>
      </w:r>
      <w:r w:rsidRPr="002E2D9E">
        <w:t>38 CFR 3.317 (e) (2)</w:t>
      </w:r>
      <w:r w:rsidRPr="00303C97">
        <w:t>, and provide a statement of the disability and benefit sought.  Medical evidence could show that the Veteran has sought treatment for the disability claimed, or the Veteran’s lay testimony alone could be used to describe the disability pattern. </w:t>
      </w:r>
    </w:p>
    <w:p w:rsidR="00303C97" w:rsidRDefault="00303C97" w:rsidP="00303C97">
      <w:pPr>
        <w:spacing w:after="120"/>
        <w:ind w:left="720"/>
      </w:pPr>
      <w:r w:rsidRPr="00303C97">
        <w:t xml:space="preserve">The Veteran does </w:t>
      </w:r>
      <w:r w:rsidRPr="00303C97">
        <w:rPr>
          <w:b/>
          <w:bCs/>
        </w:rPr>
        <w:t>not</w:t>
      </w:r>
      <w:r w:rsidRPr="00303C97">
        <w:t xml:space="preserve"> have to explicitly state that the claim is “due to Gulf War.”   </w:t>
      </w:r>
    </w:p>
    <w:p w:rsidR="00303C97" w:rsidRDefault="00303C97" w:rsidP="00303C97">
      <w:pPr>
        <w:spacing w:after="120"/>
        <w:ind w:left="720"/>
      </w:pPr>
      <w:r w:rsidRPr="00303C97">
        <w:t xml:space="preserve">VSRs/RVSRs should verify Gulf War service when reviewing the claim.  If the Veteran </w:t>
      </w:r>
      <w:r w:rsidRPr="00303C97">
        <w:rPr>
          <w:i/>
          <w:iCs/>
        </w:rPr>
        <w:t>does not</w:t>
      </w:r>
      <w:r w:rsidRPr="00303C97">
        <w:t xml:space="preserve"> indicate that a claim is due to Gulf War service, but the claim fits the description of conditions listed under </w:t>
      </w:r>
      <w:r w:rsidRPr="002E2D9E">
        <w:t>38 CFR 3.317(a) (2) (B) or 3.317(b)</w:t>
      </w:r>
      <w:r w:rsidRPr="00303C97">
        <w:t xml:space="preserve">, and the Veteran’s service in the Southwest Asia theater of operations is confirmed, then consider the claim for service-connection on the basis of Gulf War service.  </w:t>
      </w:r>
    </w:p>
    <w:p w:rsidR="00303C97" w:rsidRDefault="00303C97" w:rsidP="00303C97">
      <w:pPr>
        <w:spacing w:after="120"/>
        <w:ind w:left="720"/>
      </w:pPr>
      <w:r w:rsidRPr="00303C97">
        <w:t xml:space="preserve">VSRs/RVSRs are not expected to determine what is, or is not, an undiagnosed illness or medically unexplained chronic multi-symptom illness. They are expected to determine whether a Veteran had Gulf War service and whether sufficient medical or lay evidence has been submitted showing a chronic disability pattern, lasting at least six months, that fits the symptoms described in </w:t>
      </w:r>
      <w:r w:rsidRPr="002E2D9E">
        <w:t>38 CFR 3.317</w:t>
      </w:r>
      <w:r w:rsidRPr="00303C97">
        <w:t xml:space="preserve">.  Please see </w:t>
      </w:r>
      <w:r w:rsidRPr="002E2D9E">
        <w:rPr>
          <w:i/>
          <w:iCs/>
        </w:rPr>
        <w:t>Training Letter 10-01, Adjudicating Claims Based on Service in the Gulf War and Southwest Asia</w:t>
      </w:r>
      <w:r w:rsidRPr="00303C97">
        <w:t>, for additional guidance.</w:t>
      </w:r>
    </w:p>
    <w:p w:rsidR="00303C97" w:rsidRDefault="00303C97" w:rsidP="00303C97">
      <w:pPr>
        <w:spacing w:after="120"/>
        <w:ind w:left="720"/>
        <w:rPr>
          <w:color w:val="000000"/>
        </w:rPr>
      </w:pPr>
      <w:r w:rsidRPr="00303C97">
        <w:rPr>
          <w:color w:val="000000"/>
        </w:rPr>
        <w:t xml:space="preserve">Refer the claim to an RVSR who will make the determination as to whether or not the condition is chronic (see definition/explanation above).  If an examination is warranted, the VSR should request a GW exam with the specific opinion (is it due to a known clinical diagnosis, etc.....) </w:t>
      </w:r>
    </w:p>
    <w:p w:rsidR="00303C97" w:rsidRDefault="00303C97" w:rsidP="00303C97">
      <w:pPr>
        <w:spacing w:after="120"/>
        <w:ind w:left="720"/>
      </w:pPr>
      <w:r w:rsidRPr="00303C97">
        <w:rPr>
          <w:b/>
          <w:bCs/>
          <w:color w:val="000000"/>
        </w:rPr>
        <w:t xml:space="preserve">IN EVERY CASE </w:t>
      </w:r>
      <w:r w:rsidRPr="00303C97">
        <w:rPr>
          <w:color w:val="000000"/>
        </w:rPr>
        <w:t xml:space="preserve">where the Veteran alleges a condition is due to GW exposure a GW/GENMED will be requested. </w:t>
      </w:r>
      <w:r w:rsidRPr="00303C97">
        <w:t>   </w:t>
      </w:r>
    </w:p>
    <w:p w:rsidR="00303C97" w:rsidRDefault="00303C97" w:rsidP="00303C97">
      <w:pPr>
        <w:spacing w:after="120"/>
        <w:ind w:left="720"/>
      </w:pPr>
      <w:r w:rsidRPr="00303C97">
        <w:t xml:space="preserve">The following can also be used as additional guidance: </w:t>
      </w:r>
      <w:hyperlink r:id="rId430" w:history="1">
        <w:r w:rsidRPr="00303C97">
          <w:rPr>
            <w:rStyle w:val="Hyperlink"/>
          </w:rPr>
          <w:t>Gulf War Examination Flowchart</w:t>
        </w:r>
      </w:hyperlink>
    </w:p>
    <w:p w:rsidR="00303C97" w:rsidRPr="00303C97" w:rsidRDefault="00303C97" w:rsidP="00303C97">
      <w:pPr>
        <w:spacing w:after="120"/>
        <w:ind w:left="720"/>
        <w:rPr>
          <w:color w:val="000000"/>
        </w:rPr>
      </w:pPr>
      <w:r w:rsidRPr="00303C97">
        <w:rPr>
          <w:b/>
          <w:bCs/>
          <w:color w:val="000000"/>
          <w:u w:val="single"/>
        </w:rPr>
        <w:t>Quick</w:t>
      </w:r>
      <w:r w:rsidR="008A3B47">
        <w:rPr>
          <w:b/>
          <w:bCs/>
          <w:color w:val="000000"/>
          <w:u w:val="single"/>
        </w:rPr>
        <w:t xml:space="preserve"> S</w:t>
      </w:r>
      <w:r w:rsidRPr="00303C97">
        <w:rPr>
          <w:b/>
          <w:bCs/>
          <w:color w:val="000000"/>
          <w:u w:val="single"/>
        </w:rPr>
        <w:t>tart Claims</w:t>
      </w:r>
      <w:r w:rsidRPr="00303C97">
        <w:rPr>
          <w:color w:val="000000"/>
        </w:rPr>
        <w:t xml:space="preserve"> – Do not request a GW/GENMED examination. </w:t>
      </w:r>
      <w:r w:rsidRPr="00303C97">
        <w:t> </w:t>
      </w:r>
      <w:r w:rsidRPr="00303C97">
        <w:rPr>
          <w:color w:val="000000"/>
        </w:rPr>
        <w:t xml:space="preserve">A Separation Health Assessment (SHA)/GENMED will be requested. </w:t>
      </w:r>
      <w:r w:rsidRPr="00303C97">
        <w:t> </w:t>
      </w:r>
      <w:r w:rsidRPr="00303C97">
        <w:rPr>
          <w:color w:val="000000"/>
        </w:rPr>
        <w:t>Cut and paste the “Notice to Examiners</w:t>
      </w:r>
      <w:r w:rsidRPr="00303C97">
        <w:t>”</w:t>
      </w:r>
      <w:r w:rsidRPr="00303C97">
        <w:rPr>
          <w:color w:val="000000"/>
        </w:rPr>
        <w:t xml:space="preserve"> found in: </w:t>
      </w:r>
      <w:r w:rsidRPr="002E2D9E">
        <w:t>M21-1 IV.ii.1.E.19.g</w:t>
      </w:r>
      <w:r w:rsidR="00656FDD">
        <w:t xml:space="preserve"> </w:t>
      </w:r>
      <w:r w:rsidR="00656FDD" w:rsidRPr="007259D5">
        <w:rPr>
          <w:rFonts w:eastAsia="Calibri"/>
        </w:rPr>
        <w:t xml:space="preserve">[now </w:t>
      </w:r>
      <w:r w:rsidR="00656FDD">
        <w:rPr>
          <w:rFonts w:eastAsia="Calibri"/>
          <w:b/>
        </w:rPr>
        <w:t>IV.ii.1.E.2.j</w:t>
      </w:r>
      <w:r w:rsidR="00656FDD" w:rsidRPr="007259D5">
        <w:rPr>
          <w:rFonts w:eastAsia="Calibri"/>
        </w:rPr>
        <w:t>]</w:t>
      </w:r>
      <w:r w:rsidRPr="00303C97">
        <w:rPr>
          <w:color w:val="000000"/>
        </w:rPr>
        <w:t xml:space="preserve"> into the SHA examination request remarks section and identify those conditions claimed or inferred as being GW issues. </w:t>
      </w:r>
      <w:r w:rsidRPr="00303C97">
        <w:t>  Note:  Quick</w:t>
      </w:r>
      <w:r w:rsidR="008A3B47">
        <w:t xml:space="preserve"> </w:t>
      </w:r>
      <w:r w:rsidRPr="00303C97">
        <w:t xml:space="preserve">Start is not exempt from rating Gulf War claims if the condition claimed had its onset in service and we are able to grant the condition locally (upon receipt of the SHA/GEN MED exam.   If, however, a condition must be deferred due to additional prolonged development (i.e. verification of Gulf War service or a Gulf War exam with medical opinions is needed), the claim must be excluded from the QS program and transferred to the Regional Office of jurisdiction (ROJ) with explicit instructions for deferred development on the deferred rating.      </w:t>
      </w:r>
    </w:p>
    <w:p w:rsidR="00303C97" w:rsidRPr="00303C97" w:rsidRDefault="00303C97" w:rsidP="007A20CE">
      <w:pPr>
        <w:pStyle w:val="NoSpacing"/>
        <w:ind w:left="720"/>
        <w:rPr>
          <w:rFonts w:ascii="Arial" w:hAnsi="Arial"/>
          <w:b/>
          <w:bCs/>
          <w:sz w:val="20"/>
          <w:szCs w:val="20"/>
        </w:rPr>
      </w:pPr>
      <w:r w:rsidRPr="00303C97">
        <w:rPr>
          <w:rFonts w:ascii="Arial" w:hAnsi="Arial"/>
          <w:b/>
          <w:bCs/>
          <w:sz w:val="20"/>
          <w:szCs w:val="20"/>
        </w:rPr>
        <w:t>References:</w:t>
      </w:r>
    </w:p>
    <w:p w:rsidR="00303C97" w:rsidRPr="00303C97" w:rsidRDefault="00303C97" w:rsidP="007A20CE">
      <w:pPr>
        <w:pStyle w:val="NoSpacing"/>
        <w:ind w:left="720"/>
        <w:rPr>
          <w:rFonts w:ascii="Arial" w:hAnsi="Arial"/>
          <w:sz w:val="20"/>
          <w:szCs w:val="20"/>
        </w:rPr>
      </w:pPr>
      <w:r w:rsidRPr="00303C97">
        <w:rPr>
          <w:rFonts w:ascii="Arial" w:hAnsi="Arial"/>
          <w:sz w:val="20"/>
          <w:szCs w:val="20"/>
        </w:rPr>
        <w:t xml:space="preserve">M21-1: IV.ii.1.E:   </w:t>
      </w:r>
      <w:r w:rsidRPr="002E2D9E">
        <w:rPr>
          <w:rFonts w:ascii="Arial" w:hAnsi="Arial"/>
          <w:sz w:val="20"/>
          <w:szCs w:val="20"/>
        </w:rPr>
        <w:t>Claims Based on Service in Southwest Asia</w:t>
      </w:r>
    </w:p>
    <w:p w:rsidR="00303C97" w:rsidRPr="00303C97" w:rsidRDefault="00303C97" w:rsidP="007A20CE">
      <w:pPr>
        <w:pStyle w:val="NoSpacing"/>
        <w:ind w:left="720"/>
        <w:rPr>
          <w:rFonts w:ascii="Arial" w:hAnsi="Arial"/>
          <w:sz w:val="20"/>
          <w:szCs w:val="20"/>
        </w:rPr>
      </w:pPr>
      <w:r w:rsidRPr="00303C97">
        <w:rPr>
          <w:rFonts w:ascii="Arial" w:hAnsi="Arial"/>
          <w:sz w:val="20"/>
          <w:szCs w:val="20"/>
        </w:rPr>
        <w:t xml:space="preserve">M21-1-MR:  IV.ii.1.E.19.f:  </w:t>
      </w:r>
      <w:r w:rsidRPr="002E2D9E">
        <w:rPr>
          <w:rFonts w:ascii="Arial" w:hAnsi="Arial"/>
          <w:sz w:val="20"/>
          <w:szCs w:val="20"/>
        </w:rPr>
        <w:t>Requesting Medical Examinations and Opinions in Claims Under 38 CFR3.317</w:t>
      </w:r>
    </w:p>
    <w:p w:rsidR="00303C97" w:rsidRPr="00303C97" w:rsidRDefault="00303C97" w:rsidP="007A20CE">
      <w:pPr>
        <w:pStyle w:val="NoSpacing"/>
        <w:ind w:left="720"/>
        <w:rPr>
          <w:rFonts w:ascii="Arial" w:hAnsi="Arial"/>
          <w:sz w:val="20"/>
          <w:szCs w:val="20"/>
        </w:rPr>
      </w:pPr>
      <w:r w:rsidRPr="002E2D9E">
        <w:rPr>
          <w:rFonts w:ascii="Arial" w:hAnsi="Arial"/>
          <w:sz w:val="20"/>
          <w:szCs w:val="20"/>
        </w:rPr>
        <w:t>38 CFR 3.317</w:t>
      </w:r>
      <w:r w:rsidRPr="00303C97">
        <w:rPr>
          <w:rFonts w:ascii="Arial" w:hAnsi="Arial"/>
          <w:sz w:val="20"/>
          <w:szCs w:val="20"/>
        </w:rPr>
        <w:t>:  Compensation for certain disabilities occurring in Persian Gulf Veterans</w:t>
      </w:r>
    </w:p>
    <w:p w:rsidR="00303C97" w:rsidRPr="00303C97" w:rsidRDefault="00303C97" w:rsidP="007A20CE">
      <w:pPr>
        <w:pStyle w:val="NoSpacing"/>
        <w:ind w:left="720"/>
        <w:rPr>
          <w:rFonts w:ascii="Arial" w:hAnsi="Arial"/>
          <w:sz w:val="20"/>
          <w:szCs w:val="20"/>
        </w:rPr>
      </w:pPr>
      <w:r w:rsidRPr="002E2D9E">
        <w:rPr>
          <w:rFonts w:ascii="Arial" w:hAnsi="Arial"/>
          <w:sz w:val="20"/>
          <w:szCs w:val="20"/>
        </w:rPr>
        <w:t>38 CFR 3.317(e)(2)</w:t>
      </w:r>
      <w:r w:rsidRPr="00303C97">
        <w:rPr>
          <w:rFonts w:ascii="Arial" w:hAnsi="Arial"/>
          <w:sz w:val="20"/>
          <w:szCs w:val="20"/>
        </w:rPr>
        <w:t xml:space="preserve">:  Qualifying Service in Southwest Asia Theater of Operations </w:t>
      </w:r>
    </w:p>
    <w:p w:rsidR="00303C97" w:rsidRPr="00303C97" w:rsidRDefault="00303C97" w:rsidP="007A20CE">
      <w:pPr>
        <w:pStyle w:val="NoSpacing"/>
        <w:ind w:left="720"/>
        <w:rPr>
          <w:rFonts w:ascii="Arial" w:hAnsi="Arial"/>
          <w:sz w:val="20"/>
          <w:szCs w:val="20"/>
        </w:rPr>
      </w:pPr>
      <w:r w:rsidRPr="002E2D9E">
        <w:rPr>
          <w:rFonts w:ascii="Arial" w:hAnsi="Arial"/>
          <w:sz w:val="20"/>
          <w:szCs w:val="20"/>
        </w:rPr>
        <w:t>38 CFR 3.317(a)(2)(B)</w:t>
      </w:r>
      <w:r w:rsidRPr="00303C97">
        <w:rPr>
          <w:rFonts w:ascii="Arial" w:hAnsi="Arial"/>
          <w:sz w:val="20"/>
          <w:szCs w:val="20"/>
        </w:rPr>
        <w:t>:  A medically unexplained chronic multi-symptom illness that is defined by a cluster of symptoms</w:t>
      </w:r>
    </w:p>
    <w:p w:rsidR="00303C97" w:rsidRPr="00303C97" w:rsidRDefault="00303C97" w:rsidP="007A20CE">
      <w:pPr>
        <w:pStyle w:val="NoSpacing"/>
        <w:ind w:left="720"/>
        <w:rPr>
          <w:rFonts w:ascii="Arial" w:hAnsi="Arial"/>
          <w:sz w:val="20"/>
          <w:szCs w:val="20"/>
        </w:rPr>
      </w:pPr>
      <w:r w:rsidRPr="002E2D9E">
        <w:rPr>
          <w:rFonts w:ascii="Arial" w:hAnsi="Arial"/>
          <w:sz w:val="20"/>
          <w:szCs w:val="20"/>
        </w:rPr>
        <w:t>38 CRF 3.317(b)</w:t>
      </w:r>
      <w:r w:rsidRPr="00303C97">
        <w:rPr>
          <w:rFonts w:ascii="Arial" w:hAnsi="Arial"/>
          <w:sz w:val="20"/>
          <w:szCs w:val="20"/>
        </w:rPr>
        <w:t>:  Signs or symptoms of undiagnosed illness and medically unexplained chronic multi-symptom illnesses</w:t>
      </w:r>
    </w:p>
    <w:p w:rsidR="00303C97" w:rsidRPr="00303C97" w:rsidRDefault="00303C97" w:rsidP="007A20CE">
      <w:pPr>
        <w:pStyle w:val="NoSpacing"/>
        <w:ind w:left="720"/>
        <w:rPr>
          <w:rFonts w:ascii="Arial" w:hAnsi="Arial"/>
          <w:sz w:val="20"/>
          <w:szCs w:val="20"/>
        </w:rPr>
      </w:pPr>
      <w:r w:rsidRPr="002E2D9E">
        <w:rPr>
          <w:rFonts w:ascii="Arial" w:hAnsi="Arial"/>
          <w:sz w:val="20"/>
          <w:szCs w:val="20"/>
        </w:rPr>
        <w:t>TL 10-01</w:t>
      </w:r>
      <w:r w:rsidRPr="00303C97">
        <w:rPr>
          <w:rFonts w:ascii="Arial" w:hAnsi="Arial"/>
          <w:sz w:val="20"/>
          <w:szCs w:val="20"/>
        </w:rPr>
        <w:t>:  Adjudicating Claims Based on Service in the Gulf War and Southwest Asia</w:t>
      </w:r>
    </w:p>
    <w:p w:rsidR="00303C97" w:rsidRDefault="00303C97" w:rsidP="00303C97">
      <w:pPr>
        <w:pStyle w:val="NoSpacing"/>
        <w:spacing w:after="120"/>
        <w:ind w:left="720"/>
        <w:rPr>
          <w:rFonts w:ascii="Arial" w:hAnsi="Arial"/>
          <w:sz w:val="20"/>
          <w:szCs w:val="20"/>
        </w:rPr>
      </w:pPr>
      <w:r w:rsidRPr="002E2D9E">
        <w:rPr>
          <w:rFonts w:ascii="Arial" w:hAnsi="Arial"/>
          <w:sz w:val="20"/>
          <w:szCs w:val="20"/>
        </w:rPr>
        <w:t>Compensation Bulletin January 2015</w:t>
      </w:r>
      <w:r w:rsidRPr="00303C97">
        <w:rPr>
          <w:rFonts w:ascii="Arial" w:hAnsi="Arial"/>
          <w:sz w:val="20"/>
          <w:szCs w:val="20"/>
        </w:rPr>
        <w:t>: Ordering Gulf War examinations</w:t>
      </w:r>
    </w:p>
    <w:p w:rsidR="008A3B47" w:rsidRPr="008239FE" w:rsidRDefault="008A3B47" w:rsidP="008239FE">
      <w:pPr>
        <w:spacing w:after="120"/>
        <w:ind w:left="720"/>
        <w:rPr>
          <w:color w:val="000000"/>
          <w:szCs w:val="24"/>
        </w:rPr>
      </w:pPr>
      <w:r w:rsidRPr="008A3B47">
        <w:rPr>
          <w:i/>
          <w:color w:val="00B050"/>
          <w:szCs w:val="24"/>
        </w:rPr>
        <w:t>My Notes:</w:t>
      </w:r>
      <w:r w:rsidRPr="008A3B47">
        <w:rPr>
          <w:color w:val="00B050"/>
          <w:szCs w:val="24"/>
        </w:rPr>
        <w:t xml:space="preserve">  </w:t>
      </w:r>
      <w:r w:rsidRPr="009E39F2">
        <w:rPr>
          <w:color w:val="000000"/>
          <w:szCs w:val="24"/>
        </w:rPr>
        <w:t>Quick Start discontinued 10/1/17</w:t>
      </w:r>
    </w:p>
    <w:p w:rsidR="00AD651B" w:rsidRPr="00303C97" w:rsidRDefault="00AD651B" w:rsidP="00F063AF">
      <w:pPr>
        <w:pStyle w:val="Footer"/>
        <w:widowControl w:val="0"/>
        <w:numPr>
          <w:ilvl w:val="0"/>
          <w:numId w:val="218"/>
        </w:numPr>
        <w:tabs>
          <w:tab w:val="clear" w:pos="4320"/>
          <w:tab w:val="clear" w:pos="8640"/>
        </w:tabs>
        <w:spacing w:after="120"/>
        <w:rPr>
          <w:i/>
          <w:u w:val="single"/>
        </w:rPr>
      </w:pPr>
      <w:r w:rsidRPr="00661AE1">
        <w:rPr>
          <w:b/>
        </w:rPr>
        <w:t xml:space="preserve">Q-Tip </w:t>
      </w:r>
      <w:r>
        <w:rPr>
          <w:b/>
        </w:rPr>
        <w:t>for GW claims 6/5/15 -</w:t>
      </w:r>
    </w:p>
    <w:p w:rsidR="00AD651B" w:rsidRPr="00AD651B" w:rsidRDefault="00AD651B" w:rsidP="00AD651B">
      <w:pPr>
        <w:spacing w:after="120"/>
        <w:ind w:left="720"/>
      </w:pPr>
      <w:r w:rsidRPr="00AD651B">
        <w:t xml:space="preserve">To further clarify the below guidance, a GW exam does not need to be scheduled on every claim for conditions listed in </w:t>
      </w:r>
      <w:r w:rsidRPr="002E2D9E">
        <w:t>38 CFR 3.317(a) (2) (B) or 3.317(b)</w:t>
      </w:r>
      <w:r w:rsidRPr="00AD651B">
        <w:t xml:space="preserve">.  It is still up to the VSR / RVSR to determine whether there is a fact pattern, i.e. medical evidence that the Veteran has sought treatment for the disability claimed and/or the Veteran’s lay testimony that describes the disability pattern.  This is no different than any other claim for SC, with the exception that the VSR / RVSR must know what conditions are covered in </w:t>
      </w:r>
      <w:r w:rsidRPr="002E2D9E">
        <w:t>38 CFR 3.317(a) (2) (B) or 3.317(b)</w:t>
      </w:r>
      <w:r w:rsidRPr="00AD651B">
        <w:t xml:space="preserve"> as having potential for service connection when there is verified Gulf War service, and then proceed accordingly with necessary development.  Please refer to </w:t>
      </w:r>
      <w:r w:rsidRPr="002E2D9E">
        <w:t>TL 10-01</w:t>
      </w:r>
      <w:r w:rsidRPr="00AD651B">
        <w:t xml:space="preserve"> for guidance.  </w:t>
      </w:r>
    </w:p>
    <w:p w:rsidR="00AD651B" w:rsidRPr="00AD651B" w:rsidRDefault="00AD651B" w:rsidP="00AD651B">
      <w:pPr>
        <w:spacing w:after="120"/>
        <w:ind w:left="720"/>
      </w:pPr>
      <w:r w:rsidRPr="00AD651B">
        <w:t>Please note that if the Veteran specifically claims “GW exposure” or a condition related to service in the GW, and their GW service is verified, then a GW exam is required (regardless of whether the claimed condition is shown).  It will then be up to the examiner to determine if the condition is “diagnosed” or “undiagnosed</w:t>
      </w:r>
      <w:r w:rsidR="001946CC">
        <w:t>.”</w:t>
      </w:r>
      <w:r w:rsidRPr="00AD651B">
        <w:t xml:space="preserve">   </w:t>
      </w:r>
    </w:p>
    <w:p w:rsidR="00AD651B" w:rsidRPr="00AD651B" w:rsidRDefault="00AD651B" w:rsidP="00AD651B">
      <w:pPr>
        <w:spacing w:after="120"/>
        <w:ind w:left="720"/>
      </w:pPr>
      <w:r w:rsidRPr="00AD651B">
        <w:t>Reminder:  All Rating decisions for undiagnosed illness must be second signed by either a Coach or a designee within the Team, per guidance provided in our local 2</w:t>
      </w:r>
      <w:r w:rsidRPr="00AD651B">
        <w:rPr>
          <w:vertAlign w:val="superscript"/>
        </w:rPr>
        <w:t>nd</w:t>
      </w:r>
      <w:r w:rsidRPr="00AD651B">
        <w:t xml:space="preserve"> sign policy, M21-1, and prior emails to this regard.   </w:t>
      </w:r>
    </w:p>
    <w:p w:rsidR="00BD14BB" w:rsidRDefault="00BD14BB" w:rsidP="00BD14BB">
      <w:pPr>
        <w:pStyle w:val="Footer"/>
        <w:widowControl w:val="0"/>
        <w:tabs>
          <w:tab w:val="clear" w:pos="4320"/>
          <w:tab w:val="clear" w:pos="8640"/>
        </w:tabs>
        <w:spacing w:after="120"/>
      </w:pPr>
    </w:p>
    <w:p w:rsidR="00BD14BB" w:rsidRPr="00BD14BB" w:rsidRDefault="00BD14BB" w:rsidP="00BD14BB">
      <w:r w:rsidRPr="00BD14BB">
        <w:rPr>
          <w:b/>
          <w:bCs/>
        </w:rPr>
        <w:t>From:</w:t>
      </w:r>
      <w:r w:rsidRPr="00BD14BB">
        <w:t xml:space="preserve"> Walsh, Erin, VBASDGO </w:t>
      </w:r>
      <w:r w:rsidRPr="00BD14BB">
        <w:br/>
      </w:r>
      <w:r w:rsidRPr="00BD14BB">
        <w:rPr>
          <w:b/>
          <w:bCs/>
        </w:rPr>
        <w:t>Sent:</w:t>
      </w:r>
      <w:r w:rsidRPr="00BD14BB">
        <w:t xml:space="preserve"> Thursday, August 06, 2015 4:08 PM</w:t>
      </w:r>
      <w:r w:rsidRPr="00BD14BB">
        <w:br/>
      </w:r>
      <w:r w:rsidRPr="00BD14BB">
        <w:rPr>
          <w:b/>
          <w:bCs/>
        </w:rPr>
        <w:t>Subject:</w:t>
      </w:r>
      <w:r w:rsidRPr="00BD14BB">
        <w:t xml:space="preserve"> VSCCR1,2,7 - GW Refresher Training - FOLLOW UP</w:t>
      </w:r>
      <w:r w:rsidRPr="00BD14BB">
        <w:br/>
      </w:r>
      <w:r w:rsidRPr="00BD14BB">
        <w:rPr>
          <w:b/>
          <w:bCs/>
        </w:rPr>
        <w:t>Importance:</w:t>
      </w:r>
      <w:r w:rsidRPr="00BD14BB">
        <w:t xml:space="preserve"> High</w:t>
      </w:r>
    </w:p>
    <w:p w:rsidR="00BD14BB" w:rsidRPr="00BD14BB" w:rsidRDefault="00BD14BB" w:rsidP="00BD14BB"/>
    <w:p w:rsidR="00BD14BB" w:rsidRPr="00BD14BB" w:rsidRDefault="00BD14BB" w:rsidP="00BD14BB"/>
    <w:p w:rsidR="00BD14BB" w:rsidRPr="00BD14BB" w:rsidRDefault="00BD14BB" w:rsidP="00BD14BB">
      <w:r w:rsidRPr="00BD14BB">
        <w:t xml:space="preserve">Good afternoon all, </w:t>
      </w:r>
    </w:p>
    <w:p w:rsidR="00BD14BB" w:rsidRPr="00BD14BB" w:rsidRDefault="00BD14BB" w:rsidP="00BD14BB"/>
    <w:p w:rsidR="00BD14BB" w:rsidRPr="00BD14BB" w:rsidRDefault="00BD14BB" w:rsidP="00BD14BB">
      <w:r w:rsidRPr="00BD14BB">
        <w:t xml:space="preserve">Thank you to all who attended the Gulf War claims refresher class this afternoon.  As promised, below are the main points we discussed and their corresponding references.  PLEASE NOTE: All written below can be found in M21-1 IV.ii.2.D.1.  I highly encourage you to read that in its entirety as it was just changed as of 6/3/2015.  </w:t>
      </w:r>
    </w:p>
    <w:p w:rsidR="00BD14BB" w:rsidRPr="00BD14BB" w:rsidRDefault="00BD14BB" w:rsidP="00BD14BB"/>
    <w:p w:rsidR="00BD14BB" w:rsidRPr="00BD14BB" w:rsidRDefault="00BD14BB" w:rsidP="00BD14BB">
      <w:r w:rsidRPr="00BD14BB">
        <w:t>For service connection to be granted as related to Gulf War service, there are requirements.</w:t>
      </w:r>
    </w:p>
    <w:p w:rsidR="00BD14BB" w:rsidRPr="00BD14BB" w:rsidRDefault="00BD14BB" w:rsidP="00BD14BB"/>
    <w:p w:rsidR="00BD14BB" w:rsidRPr="00BD14BB" w:rsidRDefault="00BD14BB" w:rsidP="00BD14BB">
      <w:r w:rsidRPr="00BD14BB">
        <w:t>First, we must be able to verify that the Vet has qualifying Gulf War service.</w:t>
      </w:r>
    </w:p>
    <w:p w:rsidR="00BD14BB" w:rsidRPr="00BD14BB" w:rsidRDefault="00BD14BB" w:rsidP="00F063AF">
      <w:pPr>
        <w:pStyle w:val="ListParagraph"/>
        <w:numPr>
          <w:ilvl w:val="0"/>
          <w:numId w:val="257"/>
        </w:numPr>
        <w:spacing w:after="0" w:line="240" w:lineRule="auto"/>
        <w:rPr>
          <w:rFonts w:ascii="Arial" w:hAnsi="Arial"/>
          <w:sz w:val="20"/>
          <w:szCs w:val="20"/>
        </w:rPr>
      </w:pPr>
      <w:r w:rsidRPr="00BD14BB">
        <w:rPr>
          <w:rFonts w:ascii="Arial" w:hAnsi="Arial"/>
          <w:sz w:val="20"/>
          <w:szCs w:val="20"/>
        </w:rPr>
        <w:t xml:space="preserve">A qualifying Veteran, under 38 CFR 3.317, is a Veteran who served on active military, naval, or air service in the Southwest Asia theater of operations during the GW period.  Per </w:t>
      </w:r>
      <w:hyperlink r:id="rId431" w:history="1">
        <w:r w:rsidRPr="00BD14BB">
          <w:rPr>
            <w:rStyle w:val="Hyperlink"/>
            <w:rFonts w:ascii="Arial" w:hAnsi="Arial"/>
            <w:color w:val="000000"/>
            <w:sz w:val="20"/>
            <w:szCs w:val="20"/>
          </w:rPr>
          <w:t>38 U.S.C. 101(33)</w:t>
        </w:r>
      </w:hyperlink>
      <w:r w:rsidRPr="00BD14BB">
        <w:rPr>
          <w:rFonts w:ascii="Arial" w:hAnsi="Arial"/>
          <w:sz w:val="20"/>
          <w:szCs w:val="20"/>
        </w:rPr>
        <w:t xml:space="preserve">, the GW period extends from August 2, 1990, through a date yet to be determined by law or Presidential proclamation.  Reference: For a definition of the Southwest Asia theater of operations, see  </w:t>
      </w:r>
      <w:hyperlink r:id="rId432" w:anchor="1f" w:history="1">
        <w:r w:rsidRPr="00BD14BB">
          <w:rPr>
            <w:rStyle w:val="Hyperlink"/>
            <w:rFonts w:ascii="Arial" w:hAnsi="Arial"/>
            <w:color w:val="000000"/>
            <w:sz w:val="20"/>
            <w:szCs w:val="20"/>
          </w:rPr>
          <w:t>M21-1, Part IV, Subpart ii, 2.D.1.f</w:t>
        </w:r>
      </w:hyperlink>
      <w:r w:rsidRPr="00BD14BB">
        <w:rPr>
          <w:rFonts w:ascii="Arial" w:hAnsi="Arial"/>
          <w:sz w:val="20"/>
          <w:szCs w:val="20"/>
        </w:rPr>
        <w:t xml:space="preserve">, and </w:t>
      </w:r>
      <w:hyperlink r:id="rId433" w:history="1">
        <w:r w:rsidRPr="00BD14BB">
          <w:rPr>
            <w:rStyle w:val="Hyperlink"/>
            <w:rFonts w:ascii="Arial" w:hAnsi="Arial"/>
            <w:color w:val="000000"/>
            <w:sz w:val="20"/>
            <w:szCs w:val="20"/>
          </w:rPr>
          <w:t>38 CFR 3.317(e)(2)</w:t>
        </w:r>
      </w:hyperlink>
      <w:r w:rsidRPr="00BD14BB">
        <w:rPr>
          <w:rFonts w:ascii="Arial" w:hAnsi="Arial"/>
          <w:sz w:val="20"/>
          <w:szCs w:val="20"/>
        </w:rPr>
        <w:t>.</w:t>
      </w:r>
    </w:p>
    <w:p w:rsidR="00BD14BB" w:rsidRPr="00BD14BB" w:rsidRDefault="00BD14BB" w:rsidP="00BD14BB">
      <w:r w:rsidRPr="00BD14BB">
        <w:br/>
        <w:t xml:space="preserve">This is </w:t>
      </w:r>
      <w:r w:rsidRPr="00BD14BB">
        <w:rPr>
          <w:b/>
          <w:u w:val="single"/>
        </w:rPr>
        <w:t>crucial!</w:t>
      </w:r>
      <w:r w:rsidRPr="00BD14BB">
        <w:t xml:space="preserve">  If the Vet does not have qualifying service, the provisions under 3.317 do not apply.</w:t>
      </w:r>
    </w:p>
    <w:p w:rsidR="00BD14BB" w:rsidRPr="00BD14BB" w:rsidRDefault="00BD14BB" w:rsidP="00BD14BB"/>
    <w:p w:rsidR="00BD14BB" w:rsidRPr="00BD14BB" w:rsidRDefault="00BD14BB" w:rsidP="00BD14BB">
      <w:r w:rsidRPr="00BD14BB">
        <w:t>Next, figure out what the Vet is claiming.  Is the Vet claiming a disability under 3.317(c)(2) or 38 CFR 3.317(a)(2)(i)(B)?  If so, ask yourself the following questions:</w:t>
      </w:r>
    </w:p>
    <w:p w:rsidR="00BD14BB" w:rsidRPr="00BD14BB" w:rsidRDefault="00BD14BB" w:rsidP="00F063AF">
      <w:pPr>
        <w:pStyle w:val="ListParagraph"/>
        <w:numPr>
          <w:ilvl w:val="0"/>
          <w:numId w:val="258"/>
        </w:numPr>
        <w:spacing w:after="0" w:line="240" w:lineRule="auto"/>
        <w:rPr>
          <w:rFonts w:ascii="Arial" w:hAnsi="Arial"/>
          <w:sz w:val="20"/>
          <w:szCs w:val="20"/>
        </w:rPr>
      </w:pPr>
      <w:r w:rsidRPr="00BD14BB">
        <w:rPr>
          <w:rFonts w:ascii="Arial" w:hAnsi="Arial"/>
          <w:sz w:val="20"/>
          <w:szCs w:val="20"/>
        </w:rPr>
        <w:t>Do we have a clinical diagnosis of record of the claimed disease?</w:t>
      </w:r>
    </w:p>
    <w:p w:rsidR="00BD14BB" w:rsidRPr="00BD14BB" w:rsidRDefault="00BD14BB" w:rsidP="00F063AF">
      <w:pPr>
        <w:pStyle w:val="ListParagraph"/>
        <w:numPr>
          <w:ilvl w:val="0"/>
          <w:numId w:val="258"/>
        </w:numPr>
        <w:spacing w:after="0" w:line="240" w:lineRule="auto"/>
        <w:rPr>
          <w:rFonts w:ascii="Arial" w:hAnsi="Arial"/>
          <w:sz w:val="20"/>
          <w:szCs w:val="20"/>
        </w:rPr>
      </w:pPr>
      <w:r w:rsidRPr="00BD14BB">
        <w:rPr>
          <w:rFonts w:ascii="Arial" w:hAnsi="Arial"/>
          <w:sz w:val="20"/>
          <w:szCs w:val="20"/>
        </w:rPr>
        <w:t xml:space="preserve">Did it manifest to a compensable degree within the specified time limit?  </w:t>
      </w:r>
      <w:r w:rsidRPr="00BD14BB">
        <w:rPr>
          <w:rFonts w:ascii="Arial" w:hAnsi="Arial"/>
          <w:sz w:val="20"/>
          <w:szCs w:val="20"/>
        </w:rPr>
        <w:sym w:font="Wingdings" w:char="F0E0"/>
      </w:r>
      <w:r w:rsidRPr="00BD14BB">
        <w:rPr>
          <w:rFonts w:ascii="Arial" w:hAnsi="Arial"/>
          <w:sz w:val="20"/>
          <w:szCs w:val="20"/>
        </w:rPr>
        <w:t xml:space="preserve"> See the chart attached.</w:t>
      </w:r>
    </w:p>
    <w:p w:rsidR="00BD14BB" w:rsidRPr="00BD14BB" w:rsidRDefault="00BD14BB" w:rsidP="00BD14BB">
      <w:r w:rsidRPr="00BD14BB">
        <w:br/>
        <w:t>In order to warrant an examination, we must have clinical evidence of a diagnosis of the disease and evidence that it manifested to a compensable degree within the presumptive period.  NOTE: There are different presumptive periods, they are not all the same.  See the chart attached to the email, which is listed in M21-1 IV.11.2.D.1.p.</w:t>
      </w:r>
    </w:p>
    <w:p w:rsidR="00BD14BB" w:rsidRPr="00BD14BB" w:rsidRDefault="00BD14BB" w:rsidP="00BD14BB"/>
    <w:p w:rsidR="00BD14BB" w:rsidRPr="00BD14BB" w:rsidRDefault="00BD14BB" w:rsidP="00BD14BB">
      <w:r w:rsidRPr="00BD14BB">
        <w:t xml:space="preserve">Pursuant to 38 CFR 3.317, these diseases will be considered to have been incurred in or aggravated by service under the circumstances even though there is no evidence of such disease during the period of service.  There is no medical opinion needed for these diseases as they are </w:t>
      </w:r>
      <w:r w:rsidRPr="00BD14BB">
        <w:rPr>
          <w:u w:val="single"/>
        </w:rPr>
        <w:t>presumed</w:t>
      </w:r>
      <w:r w:rsidRPr="00BD14BB">
        <w:t xml:space="preserve"> to be related to Gulf War service.  </w:t>
      </w:r>
    </w:p>
    <w:p w:rsidR="00BD14BB" w:rsidRPr="00BD14BB" w:rsidRDefault="00BD14BB" w:rsidP="00BD14BB"/>
    <w:p w:rsidR="00BD14BB" w:rsidRPr="00BD14BB" w:rsidRDefault="00BD14BB" w:rsidP="00BD14BB">
      <w:r w:rsidRPr="00BD14BB">
        <w:t xml:space="preserve">OK, now let’s move on to the disabilities for which we will require a medical opinion so long as we have qualifying service.  </w:t>
      </w:r>
    </w:p>
    <w:p w:rsidR="00BD14BB" w:rsidRPr="00BD14BB" w:rsidRDefault="00BD14BB" w:rsidP="00BD14BB"/>
    <w:p w:rsidR="00BD14BB" w:rsidRPr="00BD14BB" w:rsidRDefault="00BD14BB" w:rsidP="00BD14BB">
      <w:r w:rsidRPr="00BD14BB">
        <w:t xml:space="preserve">Under 3.317(b), an undiagnosed illness is a type of chronic qualifying disability where qualifying signs and/or symptoms cannot be attributed to any known clinical diagnosis by history, physical examination and laboratory tests.  The claimed disability must be </w:t>
      </w:r>
      <w:r w:rsidRPr="00BD14BB">
        <w:rPr>
          <w:u w:val="single"/>
        </w:rPr>
        <w:t>chronic, that is, it must have persisted for a period of six months</w:t>
      </w:r>
      <w:r w:rsidRPr="00BD14BB">
        <w:t xml:space="preserve">.  Measure the six-month period of chronicity from the earliest date on which all pertinent evidence establishes that the signs or symptoms of the disability first manifested.   </w:t>
      </w:r>
    </w:p>
    <w:p w:rsidR="00BD14BB" w:rsidRPr="00BD14BB" w:rsidRDefault="00BD14BB" w:rsidP="00BD14BB"/>
    <w:p w:rsidR="00BD14BB" w:rsidRPr="00BD14BB" w:rsidRDefault="00BD14BB" w:rsidP="00BD14BB">
      <w:r w:rsidRPr="00BD14BB">
        <w:t>Note:  If a disability is subject to intermittent episodes of improvement and worsening within a six-month period, consider the disability to be chronic.</w:t>
      </w:r>
    </w:p>
    <w:p w:rsidR="00BD14BB" w:rsidRPr="00BD14BB" w:rsidRDefault="00BD14BB" w:rsidP="00BD14BB"/>
    <w:p w:rsidR="00BD14BB" w:rsidRPr="00BD14BB" w:rsidRDefault="00BD14BB" w:rsidP="00BD14BB">
      <w:r w:rsidRPr="00BD14BB">
        <w:t xml:space="preserve">Qualifying chronic disability means a chronic disability resulting from either an undiagnosed illness, or a medically unexplained chronic multi-symptom illness (MUCMI).  </w:t>
      </w:r>
    </w:p>
    <w:p w:rsidR="00BD14BB" w:rsidRPr="00BD14BB" w:rsidRDefault="00BD14BB" w:rsidP="00F063AF">
      <w:pPr>
        <w:pStyle w:val="ListParagraph"/>
        <w:numPr>
          <w:ilvl w:val="0"/>
          <w:numId w:val="259"/>
        </w:numPr>
        <w:spacing w:after="0" w:line="240" w:lineRule="auto"/>
        <w:rPr>
          <w:rFonts w:ascii="Arial" w:hAnsi="Arial"/>
          <w:sz w:val="20"/>
          <w:szCs w:val="20"/>
        </w:rPr>
      </w:pPr>
      <w:r w:rsidRPr="00BD14BB">
        <w:rPr>
          <w:rFonts w:ascii="Arial" w:hAnsi="Arial"/>
          <w:sz w:val="20"/>
          <w:szCs w:val="20"/>
        </w:rPr>
        <w:t>An</w:t>
      </w:r>
      <w:r w:rsidRPr="00BD14BB">
        <w:rPr>
          <w:rStyle w:val="Emphasis"/>
          <w:rFonts w:ascii="Arial" w:hAnsi="Arial"/>
          <w:b/>
          <w:bCs/>
          <w:sz w:val="20"/>
          <w:szCs w:val="20"/>
        </w:rPr>
        <w:t xml:space="preserve"> undiagnosed illness</w:t>
      </w:r>
      <w:r w:rsidRPr="00BD14BB">
        <w:rPr>
          <w:rFonts w:ascii="Arial" w:hAnsi="Arial"/>
          <w:sz w:val="20"/>
          <w:szCs w:val="20"/>
        </w:rPr>
        <w:t xml:space="preserve"> is a type of chronic qualifying disability where qualifying signs and/or symptoms cannot be attributed to any known clinical diagnosis by history, physical examination and laboratory tests.</w:t>
      </w:r>
    </w:p>
    <w:p w:rsidR="00BD14BB" w:rsidRPr="00BD14BB" w:rsidRDefault="00BD14BB" w:rsidP="00F063AF">
      <w:pPr>
        <w:pStyle w:val="NormalWeb"/>
        <w:numPr>
          <w:ilvl w:val="1"/>
          <w:numId w:val="259"/>
        </w:numPr>
        <w:spacing w:after="0"/>
        <w:ind w:left="1555"/>
        <w:rPr>
          <w:sz w:val="20"/>
          <w:szCs w:val="20"/>
        </w:rPr>
      </w:pPr>
      <w:r w:rsidRPr="00BD14BB">
        <w:rPr>
          <w:sz w:val="20"/>
          <w:szCs w:val="20"/>
        </w:rPr>
        <w:t xml:space="preserve">Signs or symptoms which may be manifestations of undiagnosed illness or medically unexplained chronic multisymptom illness include, but are not limited to: </w:t>
      </w:r>
    </w:p>
    <w:p w:rsidR="00BD14BB" w:rsidRPr="00BD14BB" w:rsidRDefault="00BD14BB" w:rsidP="00FF41AA">
      <w:pPr>
        <w:pStyle w:val="NormalWeb"/>
        <w:spacing w:after="0"/>
        <w:ind w:left="1915"/>
        <w:rPr>
          <w:sz w:val="20"/>
          <w:szCs w:val="20"/>
        </w:rPr>
      </w:pPr>
      <w:bookmarkStart w:id="87" w:name="b1"/>
      <w:bookmarkEnd w:id="87"/>
      <w:r w:rsidRPr="00BD14BB">
        <w:rPr>
          <w:sz w:val="20"/>
          <w:szCs w:val="20"/>
        </w:rPr>
        <w:t xml:space="preserve">(1) Fatigue. </w:t>
      </w:r>
    </w:p>
    <w:p w:rsidR="00BD14BB" w:rsidRPr="00BD14BB" w:rsidRDefault="00BD14BB" w:rsidP="00FF41AA">
      <w:pPr>
        <w:pStyle w:val="NormalWeb"/>
        <w:spacing w:after="0"/>
        <w:ind w:left="1915"/>
        <w:rPr>
          <w:sz w:val="20"/>
          <w:szCs w:val="20"/>
        </w:rPr>
      </w:pPr>
      <w:bookmarkStart w:id="88" w:name="b2"/>
      <w:bookmarkEnd w:id="88"/>
      <w:r w:rsidRPr="00BD14BB">
        <w:rPr>
          <w:sz w:val="20"/>
          <w:szCs w:val="20"/>
        </w:rPr>
        <w:t xml:space="preserve">(2) Signs or symptoms involving skin. </w:t>
      </w:r>
    </w:p>
    <w:p w:rsidR="00BD14BB" w:rsidRPr="00BD14BB" w:rsidRDefault="00BD14BB" w:rsidP="00FF41AA">
      <w:pPr>
        <w:pStyle w:val="NormalWeb"/>
        <w:spacing w:after="0"/>
        <w:ind w:left="1915"/>
        <w:rPr>
          <w:sz w:val="20"/>
          <w:szCs w:val="20"/>
        </w:rPr>
      </w:pPr>
      <w:bookmarkStart w:id="89" w:name="b3"/>
      <w:bookmarkEnd w:id="89"/>
      <w:r w:rsidRPr="00BD14BB">
        <w:rPr>
          <w:sz w:val="20"/>
          <w:szCs w:val="20"/>
        </w:rPr>
        <w:t xml:space="preserve">(3) Headache. </w:t>
      </w:r>
    </w:p>
    <w:p w:rsidR="00BD14BB" w:rsidRPr="00BD14BB" w:rsidRDefault="00BD14BB" w:rsidP="00FF41AA">
      <w:pPr>
        <w:pStyle w:val="NormalWeb"/>
        <w:spacing w:after="0"/>
        <w:ind w:left="1915"/>
        <w:rPr>
          <w:sz w:val="20"/>
          <w:szCs w:val="20"/>
        </w:rPr>
      </w:pPr>
      <w:bookmarkStart w:id="90" w:name="b4"/>
      <w:bookmarkEnd w:id="90"/>
      <w:r w:rsidRPr="00BD14BB">
        <w:rPr>
          <w:sz w:val="20"/>
          <w:szCs w:val="20"/>
        </w:rPr>
        <w:t xml:space="preserve">(4) Muscle pain. </w:t>
      </w:r>
    </w:p>
    <w:p w:rsidR="00BD14BB" w:rsidRPr="00BD14BB" w:rsidRDefault="00BD14BB" w:rsidP="00FF41AA">
      <w:pPr>
        <w:pStyle w:val="NormalWeb"/>
        <w:spacing w:after="0"/>
        <w:ind w:left="1915"/>
        <w:rPr>
          <w:sz w:val="20"/>
          <w:szCs w:val="20"/>
        </w:rPr>
      </w:pPr>
      <w:bookmarkStart w:id="91" w:name="b5"/>
      <w:bookmarkEnd w:id="91"/>
      <w:r w:rsidRPr="00BD14BB">
        <w:rPr>
          <w:sz w:val="20"/>
          <w:szCs w:val="20"/>
        </w:rPr>
        <w:t xml:space="preserve">(5) Joint pain. </w:t>
      </w:r>
    </w:p>
    <w:p w:rsidR="00BD14BB" w:rsidRPr="00BD14BB" w:rsidRDefault="00BD14BB" w:rsidP="00FF41AA">
      <w:pPr>
        <w:pStyle w:val="NormalWeb"/>
        <w:spacing w:after="0"/>
        <w:ind w:left="1915"/>
        <w:rPr>
          <w:sz w:val="20"/>
          <w:szCs w:val="20"/>
        </w:rPr>
      </w:pPr>
      <w:bookmarkStart w:id="92" w:name="b6"/>
      <w:bookmarkEnd w:id="92"/>
      <w:r w:rsidRPr="00BD14BB">
        <w:rPr>
          <w:sz w:val="20"/>
          <w:szCs w:val="20"/>
        </w:rPr>
        <w:t xml:space="preserve">(6) Neurologic signs and symptoms. </w:t>
      </w:r>
    </w:p>
    <w:p w:rsidR="00BD14BB" w:rsidRPr="00BD14BB" w:rsidRDefault="00BD14BB" w:rsidP="00FF41AA">
      <w:pPr>
        <w:pStyle w:val="NormalWeb"/>
        <w:spacing w:after="0"/>
        <w:ind w:left="1915"/>
        <w:rPr>
          <w:sz w:val="20"/>
          <w:szCs w:val="20"/>
        </w:rPr>
      </w:pPr>
      <w:bookmarkStart w:id="93" w:name="b7"/>
      <w:bookmarkEnd w:id="93"/>
      <w:r w:rsidRPr="00BD14BB">
        <w:rPr>
          <w:sz w:val="20"/>
          <w:szCs w:val="20"/>
        </w:rPr>
        <w:t xml:space="preserve">(7) Neuropsychological signs or symptoms. </w:t>
      </w:r>
    </w:p>
    <w:p w:rsidR="00BD14BB" w:rsidRPr="00BD14BB" w:rsidRDefault="00BD14BB" w:rsidP="00FF41AA">
      <w:pPr>
        <w:pStyle w:val="NormalWeb"/>
        <w:spacing w:after="0"/>
        <w:ind w:left="1915"/>
        <w:rPr>
          <w:sz w:val="20"/>
          <w:szCs w:val="20"/>
        </w:rPr>
      </w:pPr>
      <w:bookmarkStart w:id="94" w:name="b8"/>
      <w:bookmarkEnd w:id="94"/>
      <w:r w:rsidRPr="00BD14BB">
        <w:rPr>
          <w:sz w:val="20"/>
          <w:szCs w:val="20"/>
        </w:rPr>
        <w:t xml:space="preserve">(8) Signs or symptoms involving the respiratory system (upper or lower). </w:t>
      </w:r>
    </w:p>
    <w:p w:rsidR="00BD14BB" w:rsidRPr="00BD14BB" w:rsidRDefault="00BD14BB" w:rsidP="00FF41AA">
      <w:pPr>
        <w:pStyle w:val="NormalWeb"/>
        <w:spacing w:after="0"/>
        <w:ind w:left="1915"/>
        <w:rPr>
          <w:sz w:val="20"/>
          <w:szCs w:val="20"/>
        </w:rPr>
      </w:pPr>
      <w:bookmarkStart w:id="95" w:name="b9"/>
      <w:bookmarkEnd w:id="95"/>
      <w:r w:rsidRPr="00BD14BB">
        <w:rPr>
          <w:sz w:val="20"/>
          <w:szCs w:val="20"/>
        </w:rPr>
        <w:t xml:space="preserve">(9) Sleep disturbances. </w:t>
      </w:r>
    </w:p>
    <w:p w:rsidR="00BD14BB" w:rsidRPr="00BD14BB" w:rsidRDefault="00BD14BB" w:rsidP="00FF41AA">
      <w:pPr>
        <w:pStyle w:val="NormalWeb"/>
        <w:spacing w:after="0"/>
        <w:ind w:left="1915"/>
        <w:rPr>
          <w:sz w:val="20"/>
          <w:szCs w:val="20"/>
        </w:rPr>
      </w:pPr>
      <w:bookmarkStart w:id="96" w:name="b10"/>
      <w:bookmarkEnd w:id="96"/>
      <w:r w:rsidRPr="00BD14BB">
        <w:rPr>
          <w:sz w:val="20"/>
          <w:szCs w:val="20"/>
        </w:rPr>
        <w:t xml:space="preserve">(10) Gastrointestinal signs or symptoms. </w:t>
      </w:r>
    </w:p>
    <w:p w:rsidR="00BD14BB" w:rsidRPr="00BD14BB" w:rsidRDefault="00BD14BB" w:rsidP="00FF41AA">
      <w:pPr>
        <w:pStyle w:val="NormalWeb"/>
        <w:spacing w:after="0"/>
        <w:ind w:left="1915"/>
        <w:rPr>
          <w:sz w:val="20"/>
          <w:szCs w:val="20"/>
        </w:rPr>
      </w:pPr>
      <w:bookmarkStart w:id="97" w:name="b11"/>
      <w:bookmarkEnd w:id="97"/>
      <w:r w:rsidRPr="00BD14BB">
        <w:rPr>
          <w:sz w:val="20"/>
          <w:szCs w:val="20"/>
        </w:rPr>
        <w:t xml:space="preserve">(11) Cardiovascular signs or symptoms. </w:t>
      </w:r>
    </w:p>
    <w:p w:rsidR="00BD14BB" w:rsidRPr="00BD14BB" w:rsidRDefault="00BD14BB" w:rsidP="00FF41AA">
      <w:pPr>
        <w:pStyle w:val="NormalWeb"/>
        <w:spacing w:after="0"/>
        <w:ind w:left="1915"/>
        <w:rPr>
          <w:sz w:val="20"/>
          <w:szCs w:val="20"/>
        </w:rPr>
      </w:pPr>
      <w:bookmarkStart w:id="98" w:name="b12"/>
      <w:bookmarkEnd w:id="98"/>
      <w:r w:rsidRPr="00BD14BB">
        <w:rPr>
          <w:sz w:val="20"/>
          <w:szCs w:val="20"/>
        </w:rPr>
        <w:t xml:space="preserve">(12) Abnormal weight loss. </w:t>
      </w:r>
    </w:p>
    <w:p w:rsidR="00BD14BB" w:rsidRPr="00BD14BB" w:rsidRDefault="00BD14BB" w:rsidP="00FF41AA">
      <w:pPr>
        <w:pStyle w:val="NormalWeb"/>
        <w:spacing w:after="0"/>
        <w:ind w:left="1915"/>
        <w:rPr>
          <w:sz w:val="20"/>
          <w:szCs w:val="20"/>
        </w:rPr>
      </w:pPr>
      <w:bookmarkStart w:id="99" w:name="b13"/>
      <w:bookmarkEnd w:id="99"/>
      <w:r w:rsidRPr="00BD14BB">
        <w:rPr>
          <w:sz w:val="20"/>
          <w:szCs w:val="20"/>
        </w:rPr>
        <w:t xml:space="preserve">(13) Menstrual disorders. </w:t>
      </w:r>
    </w:p>
    <w:p w:rsidR="00BD14BB" w:rsidRPr="00BD14BB" w:rsidRDefault="00BD14BB" w:rsidP="00F063AF">
      <w:pPr>
        <w:pStyle w:val="ListParagraph"/>
        <w:numPr>
          <w:ilvl w:val="0"/>
          <w:numId w:val="260"/>
        </w:numPr>
        <w:spacing w:before="100" w:beforeAutospacing="1" w:after="100" w:afterAutospacing="1" w:line="240" w:lineRule="auto"/>
        <w:rPr>
          <w:rFonts w:ascii="Arial" w:hAnsi="Arial"/>
          <w:sz w:val="20"/>
          <w:szCs w:val="20"/>
        </w:rPr>
      </w:pPr>
      <w:r w:rsidRPr="00BD14BB">
        <w:rPr>
          <w:rFonts w:ascii="Arial" w:hAnsi="Arial"/>
          <w:sz w:val="20"/>
          <w:szCs w:val="20"/>
        </w:rPr>
        <w:t xml:space="preserve">A </w:t>
      </w:r>
      <w:r w:rsidRPr="00BD14BB">
        <w:rPr>
          <w:rFonts w:ascii="Arial" w:hAnsi="Arial"/>
          <w:b/>
          <w:bCs/>
          <w:i/>
          <w:iCs/>
          <w:sz w:val="20"/>
          <w:szCs w:val="20"/>
        </w:rPr>
        <w:t xml:space="preserve">MUCMI </w:t>
      </w:r>
      <w:r w:rsidRPr="00BD14BB">
        <w:rPr>
          <w:rFonts w:ascii="Arial" w:hAnsi="Arial"/>
          <w:sz w:val="20"/>
          <w:szCs w:val="20"/>
        </w:rPr>
        <w:t xml:space="preserve">is a type of chronic qualifying disability in which there is a </w:t>
      </w:r>
      <w:r w:rsidRPr="00BD14BB">
        <w:rPr>
          <w:rFonts w:ascii="Arial" w:hAnsi="Arial"/>
          <w:i/>
          <w:iCs/>
          <w:sz w:val="20"/>
          <w:szCs w:val="20"/>
        </w:rPr>
        <w:t>diagnosed</w:t>
      </w:r>
      <w:r w:rsidRPr="00BD14BB">
        <w:rPr>
          <w:rFonts w:ascii="Arial" w:hAnsi="Arial"/>
          <w:sz w:val="20"/>
          <w:szCs w:val="20"/>
        </w:rPr>
        <w:t xml:space="preserve"> illness but that illness has no conclusive pathophysiology or etiology, overlapping symptoms and signs, and</w:t>
      </w:r>
    </w:p>
    <w:p w:rsidR="00BD14BB" w:rsidRPr="00BD14BB" w:rsidRDefault="00BD14BB" w:rsidP="00F063AF">
      <w:pPr>
        <w:numPr>
          <w:ilvl w:val="1"/>
          <w:numId w:val="260"/>
        </w:numPr>
        <w:overflowPunct/>
        <w:autoSpaceDE/>
        <w:autoSpaceDN/>
        <w:adjustRightInd/>
        <w:spacing w:before="100" w:beforeAutospacing="1" w:after="100" w:afterAutospacing="1"/>
        <w:textAlignment w:val="auto"/>
      </w:pPr>
      <w:r w:rsidRPr="00BD14BB">
        <w:t xml:space="preserve">features such as fatigue and pain, disability out of proportion to physical findings, and inconsistent demonstration of laboratory abnormalities. </w:t>
      </w:r>
    </w:p>
    <w:p w:rsidR="00BD14BB" w:rsidRPr="00BD14BB" w:rsidRDefault="00BD14BB" w:rsidP="00F063AF">
      <w:pPr>
        <w:pStyle w:val="ListParagraph"/>
        <w:numPr>
          <w:ilvl w:val="0"/>
          <w:numId w:val="257"/>
        </w:numPr>
        <w:spacing w:after="0" w:line="240" w:lineRule="auto"/>
        <w:rPr>
          <w:rFonts w:ascii="Arial" w:hAnsi="Arial"/>
          <w:sz w:val="20"/>
          <w:szCs w:val="20"/>
        </w:rPr>
      </w:pPr>
      <w:r w:rsidRPr="00BD14BB">
        <w:rPr>
          <w:rFonts w:ascii="Arial" w:hAnsi="Arial"/>
          <w:sz w:val="20"/>
          <w:szCs w:val="20"/>
        </w:rPr>
        <w:t xml:space="preserve">When considering disabilities under the provisions of 38 CFR 3.317, a Veteran’s lay statement describing his or her own symptoms of a qualifying disability takes on a greater importance than when considering other claims under direct SC principles.  </w:t>
      </w:r>
      <w:r w:rsidRPr="00BD14BB">
        <w:rPr>
          <w:rFonts w:ascii="Arial" w:hAnsi="Arial"/>
          <w:sz w:val="20"/>
          <w:szCs w:val="20"/>
        </w:rPr>
        <w:sym w:font="Wingdings" w:char="F0E0"/>
      </w:r>
      <w:r w:rsidRPr="00BD14BB">
        <w:rPr>
          <w:rFonts w:ascii="Arial" w:hAnsi="Arial"/>
          <w:sz w:val="20"/>
          <w:szCs w:val="20"/>
        </w:rPr>
        <w:t xml:space="preserve"> Confirmed by </w:t>
      </w:r>
      <w:hyperlink r:id="rId434" w:history="1">
        <w:r w:rsidRPr="00BD14BB">
          <w:rPr>
            <w:rStyle w:val="Hyperlink"/>
            <w:rFonts w:ascii="Arial" w:hAnsi="Arial"/>
            <w:color w:val="000000"/>
            <w:sz w:val="20"/>
            <w:szCs w:val="20"/>
          </w:rPr>
          <w:t>June 2013 VSCM Bulletin</w:t>
        </w:r>
      </w:hyperlink>
      <w:r w:rsidRPr="00BD14BB">
        <w:rPr>
          <w:rFonts w:ascii="Arial" w:hAnsi="Arial"/>
          <w:sz w:val="20"/>
          <w:szCs w:val="20"/>
        </w:rPr>
        <w:t>, referenced in class</w:t>
      </w:r>
    </w:p>
    <w:p w:rsidR="00BD14BB" w:rsidRPr="00BD14BB" w:rsidRDefault="00BD14BB" w:rsidP="00BD14BB"/>
    <w:p w:rsidR="00BD14BB" w:rsidRPr="00BD14BB" w:rsidRDefault="00BD14BB" w:rsidP="00BD14BB">
      <w:r w:rsidRPr="00BD14BB">
        <w:t xml:space="preserve">First, as indicated in M21-1, Part IV, Subpart ii, 1.E.1.h, the threshold for ordering an examination based on claims under 38 CFR 3.317 is low, as </w:t>
      </w:r>
      <w:r w:rsidRPr="00BD14BB">
        <w:rPr>
          <w:b/>
        </w:rPr>
        <w:t>the claimant’s statement alone, describing symptoms, may be sufficient to trigger an examination</w:t>
      </w:r>
      <w:r w:rsidRPr="00BD14BB">
        <w:t xml:space="preserve">.  Second, lay evidence describing symptoms unsupported by clinical findings is sufficient to establish SC under 38 CFR 3.317 as long as there is medical evidence showing that “no medical diagnosis” is present.   </w:t>
      </w:r>
    </w:p>
    <w:p w:rsidR="00BD14BB" w:rsidRPr="00BD14BB" w:rsidRDefault="00BD14BB" w:rsidP="00BD14BB"/>
    <w:p w:rsidR="00BD14BB" w:rsidRPr="00BD14BB" w:rsidRDefault="00BD14BB" w:rsidP="00BD14BB">
      <w:r w:rsidRPr="00F737BD">
        <w:rPr>
          <w:highlight w:val="cyan"/>
        </w:rPr>
        <w:t>If the claimed contention was been diagnosed, it cannot be generalized as an undiagnosed illness.  (RVSRs: There is a pick in VBMS-R for this basis for denial.)</w:t>
      </w:r>
    </w:p>
    <w:p w:rsidR="00BD14BB" w:rsidRPr="00BD14BB" w:rsidRDefault="00BD14BB" w:rsidP="00BD14BB"/>
    <w:p w:rsidR="00BD14BB" w:rsidRPr="00BD14BB" w:rsidRDefault="00BD14BB" w:rsidP="00BD14BB">
      <w:r w:rsidRPr="00BD14BB">
        <w:t xml:space="preserve">Remember: Service connection will not be for a chronic disability: </w:t>
      </w:r>
    </w:p>
    <w:p w:rsidR="00BD14BB" w:rsidRPr="00BD14BB" w:rsidRDefault="00BD14BB" w:rsidP="00BD14BB"/>
    <w:p w:rsidR="00BD14BB" w:rsidRPr="00BD14BB" w:rsidRDefault="00BD14BB" w:rsidP="00F063AF">
      <w:pPr>
        <w:pStyle w:val="ListParagraph"/>
        <w:numPr>
          <w:ilvl w:val="0"/>
          <w:numId w:val="261"/>
        </w:numPr>
        <w:spacing w:after="0" w:line="240" w:lineRule="auto"/>
        <w:ind w:left="1080"/>
        <w:rPr>
          <w:rFonts w:ascii="Arial" w:hAnsi="Arial"/>
          <w:sz w:val="20"/>
          <w:szCs w:val="20"/>
        </w:rPr>
      </w:pPr>
      <w:r w:rsidRPr="00BD14BB">
        <w:rPr>
          <w:rFonts w:ascii="Arial" w:hAnsi="Arial"/>
          <w:sz w:val="20"/>
          <w:szCs w:val="20"/>
        </w:rPr>
        <w:t xml:space="preserve">If there is </w:t>
      </w:r>
      <w:r w:rsidRPr="00BD14BB">
        <w:rPr>
          <w:rFonts w:ascii="Arial" w:hAnsi="Arial"/>
          <w:b/>
          <w:sz w:val="20"/>
          <w:szCs w:val="20"/>
        </w:rPr>
        <w:t>affirmative evidence</w:t>
      </w:r>
      <w:r w:rsidRPr="00BD14BB">
        <w:rPr>
          <w:rFonts w:ascii="Arial" w:hAnsi="Arial"/>
          <w:sz w:val="20"/>
          <w:szCs w:val="20"/>
        </w:rPr>
        <w:t xml:space="preserve"> that the disability was not incurred during active military, naval, or air service in the Southwest Asia theater of operations; or </w:t>
      </w:r>
    </w:p>
    <w:p w:rsidR="00BD14BB" w:rsidRPr="00BD14BB" w:rsidRDefault="00BD14BB" w:rsidP="00BD14BB">
      <w:pPr>
        <w:ind w:left="360"/>
      </w:pPr>
    </w:p>
    <w:p w:rsidR="00BD14BB" w:rsidRPr="00BD14BB" w:rsidRDefault="00BD14BB" w:rsidP="00F063AF">
      <w:pPr>
        <w:pStyle w:val="ListParagraph"/>
        <w:numPr>
          <w:ilvl w:val="0"/>
          <w:numId w:val="261"/>
        </w:numPr>
        <w:spacing w:after="0" w:line="240" w:lineRule="auto"/>
        <w:ind w:left="1080"/>
        <w:rPr>
          <w:rFonts w:ascii="Arial" w:hAnsi="Arial"/>
          <w:sz w:val="20"/>
          <w:szCs w:val="20"/>
        </w:rPr>
      </w:pPr>
      <w:r w:rsidRPr="00BD14BB">
        <w:rPr>
          <w:rFonts w:ascii="Arial" w:hAnsi="Arial"/>
          <w:sz w:val="20"/>
          <w:szCs w:val="20"/>
        </w:rPr>
        <w:t xml:space="preserve">If there is </w:t>
      </w:r>
      <w:r w:rsidRPr="00BD14BB">
        <w:rPr>
          <w:rFonts w:ascii="Arial" w:hAnsi="Arial"/>
          <w:b/>
          <w:sz w:val="20"/>
          <w:szCs w:val="20"/>
        </w:rPr>
        <w:t>affirmative evidence</w:t>
      </w:r>
      <w:r w:rsidRPr="00BD14BB">
        <w:rPr>
          <w:rFonts w:ascii="Arial" w:hAnsi="Arial"/>
          <w:sz w:val="20"/>
          <w:szCs w:val="20"/>
        </w:rPr>
        <w:t xml:space="preserve"> that the disability was caused by a supervening condition or event that occurred between the veteran's most recent departure from active duty in the Southwest Asia theater of operations and the onset of the disability; or </w:t>
      </w:r>
    </w:p>
    <w:p w:rsidR="00BD14BB" w:rsidRPr="00BD14BB" w:rsidRDefault="00BD14BB" w:rsidP="00BD14BB">
      <w:pPr>
        <w:ind w:left="360"/>
      </w:pPr>
    </w:p>
    <w:p w:rsidR="00BD14BB" w:rsidRPr="00BD14BB" w:rsidRDefault="00BD14BB" w:rsidP="00F063AF">
      <w:pPr>
        <w:pStyle w:val="ListParagraph"/>
        <w:numPr>
          <w:ilvl w:val="0"/>
          <w:numId w:val="261"/>
        </w:numPr>
        <w:spacing w:after="0" w:line="240" w:lineRule="auto"/>
        <w:ind w:left="1080"/>
        <w:rPr>
          <w:rFonts w:ascii="Arial" w:hAnsi="Arial"/>
          <w:sz w:val="20"/>
          <w:szCs w:val="20"/>
        </w:rPr>
      </w:pPr>
      <w:r w:rsidRPr="00BD14BB">
        <w:rPr>
          <w:rFonts w:ascii="Arial" w:hAnsi="Arial"/>
          <w:sz w:val="20"/>
          <w:szCs w:val="20"/>
        </w:rPr>
        <w:t>If there is affirmative evidence that the disability is the result of the veteran's own willful misconduct or the abuse of alcohol or drugs.</w:t>
      </w:r>
    </w:p>
    <w:p w:rsidR="00BD14BB" w:rsidRPr="00BD14BB" w:rsidRDefault="00BD14BB" w:rsidP="00BD14BB"/>
    <w:p w:rsidR="00BD14BB" w:rsidRPr="00BD14BB" w:rsidRDefault="00BD14BB" w:rsidP="00BD14BB">
      <w:pPr>
        <w:rPr>
          <w:b/>
          <w:u w:val="single"/>
        </w:rPr>
      </w:pPr>
      <w:r w:rsidRPr="00BD14BB">
        <w:rPr>
          <w:b/>
          <w:u w:val="single"/>
        </w:rPr>
        <w:t>TAKE AWAY NOTES:</w:t>
      </w:r>
    </w:p>
    <w:p w:rsidR="00BD14BB" w:rsidRPr="00BD14BB" w:rsidRDefault="00BD14BB" w:rsidP="00F063AF">
      <w:pPr>
        <w:pStyle w:val="ListParagraph"/>
        <w:numPr>
          <w:ilvl w:val="0"/>
          <w:numId w:val="259"/>
        </w:numPr>
        <w:spacing w:after="120" w:line="240" w:lineRule="auto"/>
        <w:ind w:left="835"/>
        <w:rPr>
          <w:rFonts w:ascii="Arial" w:hAnsi="Arial"/>
          <w:sz w:val="20"/>
          <w:szCs w:val="20"/>
        </w:rPr>
      </w:pPr>
      <w:r w:rsidRPr="00BD14BB">
        <w:rPr>
          <w:rFonts w:ascii="Arial" w:hAnsi="Arial"/>
          <w:sz w:val="20"/>
          <w:szCs w:val="20"/>
        </w:rPr>
        <w:t xml:space="preserve">If you have a Vet with qualifying GW service with a </w:t>
      </w:r>
      <w:r w:rsidRPr="00BD14BB">
        <w:rPr>
          <w:rFonts w:ascii="Arial" w:hAnsi="Arial"/>
          <w:b/>
          <w:sz w:val="20"/>
          <w:szCs w:val="20"/>
        </w:rPr>
        <w:t>diagnosed</w:t>
      </w:r>
      <w:r w:rsidRPr="00BD14BB">
        <w:rPr>
          <w:rFonts w:ascii="Arial" w:hAnsi="Arial"/>
          <w:sz w:val="20"/>
          <w:szCs w:val="20"/>
        </w:rPr>
        <w:t xml:space="preserve"> disability in 3.317(a)(2)(i)(B) or (c) and medical evidence showing that it was manifest to a compensable degree within the presumptive period, order an examination (the specific DBQ, </w:t>
      </w:r>
      <w:r w:rsidRPr="00BD14BB">
        <w:rPr>
          <w:rFonts w:ascii="Arial" w:hAnsi="Arial"/>
          <w:b/>
          <w:sz w:val="20"/>
          <w:szCs w:val="20"/>
        </w:rPr>
        <w:t>not</w:t>
      </w:r>
      <w:r w:rsidRPr="00BD14BB">
        <w:rPr>
          <w:rFonts w:ascii="Arial" w:hAnsi="Arial"/>
          <w:sz w:val="20"/>
          <w:szCs w:val="20"/>
        </w:rPr>
        <w:t xml:space="preserve"> a GW gen med) with no opinion.</w:t>
      </w:r>
    </w:p>
    <w:p w:rsidR="00BD14BB" w:rsidRPr="00BD14BB" w:rsidRDefault="00BD14BB" w:rsidP="00F063AF">
      <w:pPr>
        <w:pStyle w:val="ListParagraph"/>
        <w:numPr>
          <w:ilvl w:val="0"/>
          <w:numId w:val="259"/>
        </w:numPr>
        <w:spacing w:after="0" w:line="240" w:lineRule="auto"/>
        <w:rPr>
          <w:rFonts w:ascii="Arial" w:hAnsi="Arial"/>
          <w:sz w:val="20"/>
          <w:szCs w:val="20"/>
        </w:rPr>
      </w:pPr>
      <w:r w:rsidRPr="00BD14BB">
        <w:rPr>
          <w:rFonts w:ascii="Arial" w:hAnsi="Arial"/>
          <w:sz w:val="20"/>
          <w:szCs w:val="20"/>
        </w:rPr>
        <w:t xml:space="preserve">If you have a Vet with qualifying GW service, claiming something that fits the criteria discussed in class and listed in 3.317(b), with medical or lay evidence that it has persisted for at least 6 months, order a Gulf War gen med exam and include the necessary verbiage to the examiner. Additionally, if you see that the condition is claimed on a different basis and evidence of record supports the claim, include the appropriate medical opinion request based on the applicable basis for entitlement.  </w:t>
      </w:r>
    </w:p>
    <w:p w:rsidR="00BD14BB" w:rsidRPr="00BD14BB" w:rsidRDefault="00BD14BB" w:rsidP="00F063AF">
      <w:pPr>
        <w:pStyle w:val="ListParagraph"/>
        <w:numPr>
          <w:ilvl w:val="1"/>
          <w:numId w:val="259"/>
        </w:numPr>
        <w:spacing w:after="0" w:line="240" w:lineRule="auto"/>
        <w:rPr>
          <w:rFonts w:ascii="Arial" w:hAnsi="Arial"/>
          <w:sz w:val="20"/>
          <w:szCs w:val="20"/>
        </w:rPr>
      </w:pPr>
      <w:r w:rsidRPr="00BD14BB">
        <w:rPr>
          <w:rFonts w:ascii="Arial" w:hAnsi="Arial"/>
          <w:sz w:val="20"/>
          <w:szCs w:val="20"/>
        </w:rPr>
        <w:t>Example: Verified GW Vet claims respiratory condition as directly related to service.  STRs show complaints of chest pain and difficulty breathing on active duty.  Vet reports continued symptoms since service.  The best practice is to order a GW exam, include the GW verbiage to the examiner, AND include a request for medical opinion on a direct basis (Is the Veteran’s respiratory condition at least as likely as not related to or the progression of the respiratory condition treated in service?)</w:t>
      </w:r>
    </w:p>
    <w:p w:rsidR="00BD14BB" w:rsidRPr="00BD14BB" w:rsidRDefault="00BD14BB" w:rsidP="00BD14BB"/>
    <w:p w:rsidR="00BD14BB" w:rsidRPr="00BD14BB" w:rsidRDefault="00BD14BB" w:rsidP="00BD14BB">
      <w:r w:rsidRPr="00BD14BB">
        <w:t xml:space="preserve">Please let me know if you still have questions or concerns.  </w:t>
      </w:r>
    </w:p>
    <w:p w:rsidR="00BD14BB" w:rsidRPr="00BD14BB" w:rsidRDefault="00BD14BB" w:rsidP="00BD14BB"/>
    <w:p w:rsidR="00BD14BB" w:rsidRPr="00BD14BB" w:rsidRDefault="00BD14BB" w:rsidP="00BD14BB">
      <w:r w:rsidRPr="00BD14BB">
        <w:t>Thanks!</w:t>
      </w:r>
    </w:p>
    <w:p w:rsidR="00BD14BB" w:rsidRPr="00BD14BB" w:rsidRDefault="00BD14BB" w:rsidP="00BD14BB">
      <w:pPr>
        <w:rPr>
          <w:b/>
          <w:bCs/>
          <w:noProof/>
          <w:color w:val="000080"/>
        </w:rPr>
      </w:pPr>
      <w:r w:rsidRPr="00BD14BB">
        <w:rPr>
          <w:b/>
          <w:bCs/>
          <w:noProof/>
          <w:color w:val="000080"/>
        </w:rPr>
        <w:t>-E</w:t>
      </w:r>
    </w:p>
    <w:p w:rsidR="00BD14BB" w:rsidRDefault="00BD14BB" w:rsidP="00BD14BB">
      <w:pPr>
        <w:pStyle w:val="Footer"/>
        <w:widowControl w:val="0"/>
        <w:tabs>
          <w:tab w:val="clear" w:pos="4320"/>
          <w:tab w:val="clear" w:pos="8640"/>
        </w:tabs>
        <w:spacing w:after="120"/>
        <w:rPr>
          <w:rStyle w:val="Hyperlink"/>
          <w:noProof/>
          <w:color w:val="000000"/>
        </w:rPr>
      </w:pPr>
      <w:r w:rsidRPr="00BD14BB">
        <w:rPr>
          <w:b/>
          <w:bCs/>
          <w:noProof/>
          <w:color w:val="000080"/>
        </w:rPr>
        <w:t>Erin B. Walsh</w:t>
      </w:r>
      <w:r w:rsidRPr="00BD14BB">
        <w:rPr>
          <w:noProof/>
        </w:rPr>
        <w:br/>
        <w:t>Rating Quality Review Specialist</w:t>
      </w:r>
      <w:r w:rsidRPr="00BD14BB">
        <w:rPr>
          <w:noProof/>
        </w:rPr>
        <w:br/>
        <w:t>Department of Veterans Affairs</w:t>
      </w:r>
      <w:r w:rsidRPr="00BD14BB">
        <w:rPr>
          <w:noProof/>
        </w:rPr>
        <w:br/>
      </w:r>
      <w:hyperlink r:id="rId435" w:history="1">
        <w:r w:rsidRPr="00BD14BB">
          <w:rPr>
            <w:rStyle w:val="Hyperlink"/>
            <w:noProof/>
            <w:color w:val="000000"/>
          </w:rPr>
          <w:t>erin.walsh@va.gov</w:t>
        </w:r>
      </w:hyperlink>
    </w:p>
    <w:p w:rsidR="00A22807" w:rsidRPr="00BD14BB" w:rsidRDefault="00A22807" w:rsidP="00BD14BB">
      <w:pPr>
        <w:pStyle w:val="Footer"/>
        <w:widowControl w:val="0"/>
        <w:tabs>
          <w:tab w:val="clear" w:pos="4320"/>
          <w:tab w:val="clear" w:pos="8640"/>
        </w:tabs>
        <w:spacing w:after="120"/>
      </w:pPr>
    </w:p>
    <w:p w:rsidR="00A22807" w:rsidRPr="00BC03F7" w:rsidRDefault="00A22807" w:rsidP="00F063AF">
      <w:pPr>
        <w:pStyle w:val="Footer"/>
        <w:widowControl w:val="0"/>
        <w:numPr>
          <w:ilvl w:val="0"/>
          <w:numId w:val="196"/>
        </w:numPr>
        <w:tabs>
          <w:tab w:val="clear" w:pos="4320"/>
          <w:tab w:val="clear" w:pos="8640"/>
        </w:tabs>
        <w:spacing w:after="120"/>
        <w:ind w:left="360"/>
        <w:rPr>
          <w:i/>
          <w:u w:val="single"/>
        </w:rPr>
      </w:pPr>
      <w:r w:rsidRPr="00BC03F7">
        <w:rPr>
          <w:bCs/>
        </w:rPr>
        <w:t xml:space="preserve">Notes from </w:t>
      </w:r>
      <w:r>
        <w:rPr>
          <w:b/>
          <w:i/>
          <w:u w:val="single"/>
        </w:rPr>
        <w:t xml:space="preserve">October </w:t>
      </w:r>
      <w:r w:rsidRPr="001421FA">
        <w:rPr>
          <w:b/>
          <w:i/>
          <w:u w:val="single"/>
        </w:rPr>
        <w:t>2015 Adjud</w:t>
      </w:r>
      <w:r w:rsidR="000832B5">
        <w:rPr>
          <w:b/>
          <w:i/>
          <w:u w:val="single"/>
        </w:rPr>
        <w:t>icat</w:t>
      </w:r>
      <w:r w:rsidRPr="001421FA">
        <w:rPr>
          <w:b/>
          <w:i/>
          <w:u w:val="single"/>
        </w:rPr>
        <w:t>ing Gulf War Claims Training</w:t>
      </w:r>
      <w:r>
        <w:rPr>
          <w:i/>
          <w:u w:val="single"/>
        </w:rPr>
        <w:t xml:space="preserve"> (GiBao)</w:t>
      </w:r>
      <w:r w:rsidRPr="00905864">
        <w:t>:</w:t>
      </w:r>
    </w:p>
    <w:p w:rsidR="00A22807" w:rsidRDefault="00A22807" w:rsidP="00F063AF">
      <w:pPr>
        <w:pStyle w:val="ListParagraph"/>
        <w:widowControl w:val="0"/>
        <w:numPr>
          <w:ilvl w:val="0"/>
          <w:numId w:val="216"/>
        </w:numPr>
        <w:spacing w:after="120" w:line="240" w:lineRule="auto"/>
        <w:rPr>
          <w:rFonts w:ascii="Arial" w:hAnsi="Arial"/>
          <w:sz w:val="20"/>
          <w:szCs w:val="20"/>
        </w:rPr>
      </w:pPr>
      <w:r w:rsidRPr="00A22807">
        <w:rPr>
          <w:rFonts w:ascii="Arial" w:hAnsi="Arial"/>
          <w:b/>
          <w:sz w:val="20"/>
          <w:szCs w:val="20"/>
        </w:rPr>
        <w:t>IV.ii.1.E</w:t>
      </w:r>
      <w:r>
        <w:rPr>
          <w:rFonts w:ascii="Arial" w:hAnsi="Arial"/>
          <w:sz w:val="20"/>
          <w:szCs w:val="20"/>
        </w:rPr>
        <w:t xml:space="preserve"> – development</w:t>
      </w:r>
    </w:p>
    <w:p w:rsidR="00A22807" w:rsidRDefault="00A22807" w:rsidP="00F063AF">
      <w:pPr>
        <w:pStyle w:val="ListParagraph"/>
        <w:widowControl w:val="0"/>
        <w:numPr>
          <w:ilvl w:val="0"/>
          <w:numId w:val="216"/>
        </w:numPr>
        <w:spacing w:after="120" w:line="240" w:lineRule="auto"/>
        <w:rPr>
          <w:rFonts w:ascii="Arial" w:hAnsi="Arial"/>
          <w:sz w:val="20"/>
          <w:szCs w:val="20"/>
        </w:rPr>
      </w:pPr>
      <w:r w:rsidRPr="00A22807">
        <w:rPr>
          <w:rFonts w:ascii="Arial" w:hAnsi="Arial"/>
          <w:b/>
          <w:sz w:val="20"/>
          <w:szCs w:val="20"/>
        </w:rPr>
        <w:t>IV.ii.2.D</w:t>
      </w:r>
      <w:r>
        <w:rPr>
          <w:rFonts w:ascii="Arial" w:hAnsi="Arial"/>
          <w:sz w:val="20"/>
          <w:szCs w:val="20"/>
        </w:rPr>
        <w:t xml:space="preserve"> – rating</w:t>
      </w:r>
    </w:p>
    <w:p w:rsidR="00A22807" w:rsidRPr="00A22807" w:rsidRDefault="00A22807" w:rsidP="00F063AF">
      <w:pPr>
        <w:pStyle w:val="ListParagraph"/>
        <w:widowControl w:val="0"/>
        <w:numPr>
          <w:ilvl w:val="0"/>
          <w:numId w:val="216"/>
        </w:numPr>
        <w:spacing w:after="120" w:line="240" w:lineRule="auto"/>
        <w:rPr>
          <w:rFonts w:ascii="Arial" w:hAnsi="Arial"/>
          <w:sz w:val="20"/>
          <w:szCs w:val="20"/>
        </w:rPr>
      </w:pPr>
      <w:r w:rsidRPr="00A22807">
        <w:rPr>
          <w:rFonts w:ascii="Arial" w:hAnsi="Arial"/>
          <w:sz w:val="20"/>
          <w:szCs w:val="20"/>
        </w:rPr>
        <w:t xml:space="preserve">exceptions </w:t>
      </w:r>
      <w:r>
        <w:rPr>
          <w:rFonts w:ascii="Arial" w:hAnsi="Arial"/>
          <w:sz w:val="20"/>
          <w:szCs w:val="20"/>
        </w:rPr>
        <w:t xml:space="preserve">– </w:t>
      </w:r>
      <w:r w:rsidRPr="00A22807">
        <w:rPr>
          <w:rFonts w:ascii="Arial" w:hAnsi="Arial"/>
          <w:b/>
          <w:sz w:val="20"/>
          <w:szCs w:val="20"/>
        </w:rPr>
        <w:t>IV.ii.1.E.2.d-h</w:t>
      </w:r>
      <w:r>
        <w:rPr>
          <w:rFonts w:ascii="Arial" w:hAnsi="Arial"/>
          <w:sz w:val="20"/>
          <w:szCs w:val="20"/>
        </w:rPr>
        <w:t>, no GW exam if:</w:t>
      </w:r>
    </w:p>
    <w:p w:rsidR="00A22807" w:rsidRDefault="00A22807" w:rsidP="00F063AF">
      <w:pPr>
        <w:pStyle w:val="ListParagraph"/>
        <w:widowControl w:val="0"/>
        <w:numPr>
          <w:ilvl w:val="1"/>
          <w:numId w:val="216"/>
        </w:numPr>
        <w:spacing w:after="120" w:line="240" w:lineRule="auto"/>
        <w:ind w:left="1440"/>
        <w:rPr>
          <w:rFonts w:ascii="Arial" w:hAnsi="Arial"/>
          <w:sz w:val="20"/>
          <w:szCs w:val="20"/>
        </w:rPr>
      </w:pPr>
      <w:r>
        <w:rPr>
          <w:rFonts w:ascii="Arial" w:hAnsi="Arial"/>
          <w:sz w:val="20"/>
          <w:szCs w:val="20"/>
        </w:rPr>
        <w:t>claim can be substantiated/granted without exam (directly, presumptively or secondarily; just get specific DBQ to evaluate, if needed)</w:t>
      </w:r>
    </w:p>
    <w:p w:rsidR="00A22807" w:rsidRDefault="00A22807" w:rsidP="00F063AF">
      <w:pPr>
        <w:pStyle w:val="ListParagraph"/>
        <w:widowControl w:val="0"/>
        <w:numPr>
          <w:ilvl w:val="1"/>
          <w:numId w:val="216"/>
        </w:numPr>
        <w:spacing w:after="120" w:line="240" w:lineRule="auto"/>
        <w:ind w:left="1440"/>
        <w:rPr>
          <w:rFonts w:ascii="Arial" w:hAnsi="Arial"/>
          <w:sz w:val="20"/>
          <w:szCs w:val="20"/>
        </w:rPr>
      </w:pPr>
      <w:r>
        <w:rPr>
          <w:rFonts w:ascii="Arial" w:hAnsi="Arial"/>
          <w:sz w:val="20"/>
          <w:szCs w:val="20"/>
        </w:rPr>
        <w:t>there is a diagnosis of a MUCMI (CFS, fibromyalgia, FGID/IBS; just get specif</w:t>
      </w:r>
      <w:r w:rsidR="0061171C">
        <w:rPr>
          <w:rFonts w:ascii="Arial" w:hAnsi="Arial"/>
          <w:sz w:val="20"/>
          <w:szCs w:val="20"/>
        </w:rPr>
        <w:t xml:space="preserve">ic DBQ to evaluate, if needed), </w:t>
      </w:r>
      <w:r>
        <w:rPr>
          <w:rFonts w:ascii="Arial" w:hAnsi="Arial"/>
          <w:sz w:val="20"/>
          <w:szCs w:val="20"/>
        </w:rPr>
        <w:t xml:space="preserve">grant presumptively if at 10% at any point before </w:t>
      </w:r>
      <w:r w:rsidRPr="00BD23A1">
        <w:rPr>
          <w:rFonts w:ascii="Arial" w:hAnsi="Arial"/>
          <w:sz w:val="20"/>
          <w:szCs w:val="20"/>
          <w:highlight w:val="darkGray"/>
        </w:rPr>
        <w:t>12/31/16</w:t>
      </w:r>
    </w:p>
    <w:p w:rsidR="00A22807" w:rsidRPr="00A22807" w:rsidRDefault="00A22807" w:rsidP="00F063AF">
      <w:pPr>
        <w:pStyle w:val="ListParagraph"/>
        <w:widowControl w:val="0"/>
        <w:numPr>
          <w:ilvl w:val="1"/>
          <w:numId w:val="216"/>
        </w:numPr>
        <w:spacing w:after="120" w:line="240" w:lineRule="auto"/>
        <w:ind w:left="1440"/>
        <w:rPr>
          <w:rFonts w:ascii="Arial" w:hAnsi="Arial"/>
          <w:sz w:val="20"/>
          <w:szCs w:val="20"/>
        </w:rPr>
      </w:pPr>
      <w:r>
        <w:rPr>
          <w:rFonts w:ascii="Arial" w:hAnsi="Arial"/>
          <w:sz w:val="20"/>
          <w:szCs w:val="20"/>
        </w:rPr>
        <w:t>there is a single joint injury in STRs or post service &amp; x-ray shows arthritis or meniscal tear</w:t>
      </w:r>
    </w:p>
    <w:p w:rsidR="00A22807" w:rsidRDefault="00A22807"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f</w:t>
      </w:r>
      <w:r w:rsidRPr="00A22807">
        <w:rPr>
          <w:rFonts w:ascii="Arial" w:hAnsi="Arial"/>
          <w:sz w:val="20"/>
          <w:szCs w:val="20"/>
        </w:rPr>
        <w:t>or the 9 infectious diseases</w:t>
      </w:r>
      <w:r>
        <w:rPr>
          <w:rFonts w:ascii="Arial" w:hAnsi="Arial"/>
          <w:b/>
          <w:sz w:val="20"/>
          <w:szCs w:val="20"/>
        </w:rPr>
        <w:t xml:space="preserve"> </w:t>
      </w:r>
      <w:r>
        <w:rPr>
          <w:rFonts w:ascii="Arial" w:hAnsi="Arial"/>
          <w:sz w:val="20"/>
          <w:szCs w:val="20"/>
        </w:rPr>
        <w:t>– DBQ Persian Gulf &amp; Afghanistan Infectious Diseases</w:t>
      </w:r>
    </w:p>
    <w:p w:rsidR="00A22807" w:rsidRDefault="00A22807"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 xml:space="preserve">burn pits, </w:t>
      </w:r>
      <w:r w:rsidR="00A36F33">
        <w:rPr>
          <w:rFonts w:ascii="Arial" w:hAnsi="Arial"/>
          <w:sz w:val="20"/>
          <w:szCs w:val="20"/>
        </w:rPr>
        <w:t>etc</w:t>
      </w:r>
      <w:r>
        <w:rPr>
          <w:rFonts w:ascii="Arial" w:hAnsi="Arial"/>
          <w:sz w:val="20"/>
          <w:szCs w:val="20"/>
        </w:rPr>
        <w:t xml:space="preserve"> – separate too</w:t>
      </w:r>
    </w:p>
    <w:p w:rsidR="00A22807" w:rsidRDefault="00A22807"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 xml:space="preserve">SWA service verified if have dates in SWA, Iraq Campaign Medal, Kuwait Liberation Medal; NOT verified with just SWA medal (cannot </w:t>
      </w:r>
      <w:r w:rsidRPr="00A22807">
        <w:rPr>
          <w:rFonts w:ascii="Arial" w:hAnsi="Arial"/>
          <w:sz w:val="20"/>
          <w:szCs w:val="20"/>
        </w:rPr>
        <w:t>be used if Israel, Egypt, Turkey, Syria, and Jordan</w:t>
      </w:r>
      <w:r>
        <w:rPr>
          <w:rFonts w:ascii="Arial" w:hAnsi="Arial"/>
          <w:sz w:val="20"/>
          <w:szCs w:val="20"/>
        </w:rPr>
        <w:t>), NOT verified with just GWOT medal (need to know location served)</w:t>
      </w:r>
    </w:p>
    <w:p w:rsidR="00A22807" w:rsidRDefault="00A22807"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To get GW exam, need symptoms for 6 months or more (chronic, including waxing &amp; waning, can use lay statements in TRs or directly from veteran); CFS has to meet our regulation requirements for diagnosis; FGIDs</w:t>
      </w:r>
      <w:r w:rsidR="00310B1D">
        <w:rPr>
          <w:rFonts w:ascii="Arial" w:hAnsi="Arial"/>
          <w:sz w:val="20"/>
          <w:szCs w:val="20"/>
        </w:rPr>
        <w:t xml:space="preserve"> (IBS, functional dyspepsia, functional vomiting, functional constipation, functional bloating, functional abdominal pain syndrome, functional dysphagia)</w:t>
      </w:r>
      <w:r>
        <w:rPr>
          <w:rFonts w:ascii="Arial" w:hAnsi="Arial"/>
          <w:sz w:val="20"/>
          <w:szCs w:val="20"/>
        </w:rPr>
        <w:t xml:space="preserve"> cannot be structural</w:t>
      </w:r>
      <w:r w:rsidR="00000847">
        <w:rPr>
          <w:rFonts w:ascii="Arial" w:hAnsi="Arial"/>
          <w:sz w:val="20"/>
          <w:szCs w:val="20"/>
        </w:rPr>
        <w:t xml:space="preserve"> (</w:t>
      </w:r>
      <w:r w:rsidR="00000847" w:rsidRPr="00000847">
        <w:rPr>
          <w:rFonts w:ascii="Arial" w:hAnsi="Arial"/>
          <w:b/>
          <w:sz w:val="20"/>
          <w:szCs w:val="20"/>
        </w:rPr>
        <w:t>IV.ii.2.D.1.j</w:t>
      </w:r>
      <w:r w:rsidR="00000847">
        <w:rPr>
          <w:rFonts w:ascii="Arial" w:hAnsi="Arial"/>
          <w:sz w:val="20"/>
          <w:szCs w:val="20"/>
        </w:rPr>
        <w:t xml:space="preserve"> shows structural is inflammatory bowel disease (ulcerative colitis or Crohn’s disease) &amp; gastroesophageal reflux disease (GERD))</w:t>
      </w:r>
      <w:r w:rsidR="00310B1D">
        <w:rPr>
          <w:rFonts w:ascii="Arial" w:hAnsi="Arial"/>
          <w:sz w:val="20"/>
          <w:szCs w:val="20"/>
        </w:rPr>
        <w:t>; evidence of a diagnosis does NOT exclude an exam</w:t>
      </w:r>
    </w:p>
    <w:p w:rsidR="00310B1D" w:rsidRDefault="00310B1D"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If getting exam with direct opinion, may sometimes also get GW Gen Med</w:t>
      </w:r>
    </w:p>
    <w:p w:rsidR="00310B1D" w:rsidRDefault="00310B1D"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get GW Gen Med (plus eyes, ears, dental, mental, if applicable), use Notice to Examiner from IV.ii.1.E.2.j &amp; fill in specific symptoms</w:t>
      </w:r>
    </w:p>
    <w:p w:rsidR="00310B1D" w:rsidRDefault="00310B1D" w:rsidP="00F063AF">
      <w:pPr>
        <w:pStyle w:val="ListParagraph"/>
        <w:widowControl w:val="0"/>
        <w:numPr>
          <w:ilvl w:val="0"/>
          <w:numId w:val="216"/>
        </w:numPr>
        <w:spacing w:after="120" w:line="240" w:lineRule="auto"/>
        <w:rPr>
          <w:rFonts w:ascii="Arial" w:hAnsi="Arial"/>
          <w:sz w:val="20"/>
          <w:szCs w:val="20"/>
        </w:rPr>
      </w:pPr>
      <w:r>
        <w:rPr>
          <w:rFonts w:ascii="Arial" w:hAnsi="Arial"/>
          <w:sz w:val="20"/>
          <w:szCs w:val="20"/>
        </w:rPr>
        <w:t>call veteran to clarify these issues in order for examiners to do correct exam:</w:t>
      </w:r>
    </w:p>
    <w:p w:rsidR="00310B1D" w:rsidRDefault="00310B1D" w:rsidP="00F063AF">
      <w:pPr>
        <w:pStyle w:val="ListParagraph"/>
        <w:widowControl w:val="0"/>
        <w:numPr>
          <w:ilvl w:val="1"/>
          <w:numId w:val="216"/>
        </w:numPr>
        <w:spacing w:after="120" w:line="240" w:lineRule="auto"/>
        <w:ind w:left="1440"/>
        <w:rPr>
          <w:rFonts w:ascii="Arial" w:hAnsi="Arial"/>
          <w:sz w:val="20"/>
          <w:szCs w:val="20"/>
        </w:rPr>
      </w:pPr>
      <w:r>
        <w:rPr>
          <w:rFonts w:ascii="Arial" w:hAnsi="Arial"/>
          <w:sz w:val="20"/>
          <w:szCs w:val="20"/>
        </w:rPr>
        <w:t>area of muscle/joint</w:t>
      </w:r>
    </w:p>
    <w:p w:rsidR="00310B1D" w:rsidRDefault="00310B1D" w:rsidP="00F063AF">
      <w:pPr>
        <w:pStyle w:val="ListParagraph"/>
        <w:widowControl w:val="0"/>
        <w:numPr>
          <w:ilvl w:val="1"/>
          <w:numId w:val="216"/>
        </w:numPr>
        <w:spacing w:after="120" w:line="240" w:lineRule="auto"/>
        <w:ind w:left="1440"/>
        <w:rPr>
          <w:rFonts w:ascii="Arial" w:hAnsi="Arial"/>
          <w:sz w:val="20"/>
          <w:szCs w:val="20"/>
        </w:rPr>
      </w:pPr>
      <w:r>
        <w:rPr>
          <w:rFonts w:ascii="Arial" w:hAnsi="Arial"/>
          <w:sz w:val="20"/>
          <w:szCs w:val="20"/>
        </w:rPr>
        <w:t>are “sleep” symptoms respiratory or mental</w:t>
      </w:r>
    </w:p>
    <w:p w:rsidR="00310B1D" w:rsidRPr="00310B1D" w:rsidRDefault="00310B1D" w:rsidP="00F063AF">
      <w:pPr>
        <w:pStyle w:val="ListParagraph"/>
        <w:widowControl w:val="0"/>
        <w:numPr>
          <w:ilvl w:val="1"/>
          <w:numId w:val="216"/>
        </w:numPr>
        <w:spacing w:after="120" w:line="240" w:lineRule="auto"/>
        <w:ind w:left="1440"/>
        <w:rPr>
          <w:rFonts w:ascii="Arial" w:hAnsi="Arial"/>
          <w:sz w:val="20"/>
          <w:szCs w:val="20"/>
        </w:rPr>
      </w:pPr>
      <w:r>
        <w:rPr>
          <w:rFonts w:ascii="Arial" w:hAnsi="Arial"/>
          <w:sz w:val="20"/>
          <w:szCs w:val="20"/>
        </w:rPr>
        <w:t>are “respiratory” symptoms lung or nose</w:t>
      </w:r>
    </w:p>
    <w:p w:rsidR="00A22807" w:rsidRDefault="00A22807" w:rsidP="00F063AF">
      <w:pPr>
        <w:pStyle w:val="ListParagraph"/>
        <w:widowControl w:val="0"/>
        <w:numPr>
          <w:ilvl w:val="0"/>
          <w:numId w:val="216"/>
        </w:numPr>
        <w:spacing w:after="120" w:line="240" w:lineRule="auto"/>
        <w:rPr>
          <w:rFonts w:ascii="Arial" w:hAnsi="Arial"/>
          <w:sz w:val="20"/>
          <w:szCs w:val="20"/>
        </w:rPr>
      </w:pPr>
      <w:r w:rsidRPr="00B15D94">
        <w:rPr>
          <w:rFonts w:ascii="Arial" w:hAnsi="Arial"/>
          <w:b/>
          <w:sz w:val="20"/>
          <w:szCs w:val="20"/>
        </w:rPr>
        <w:t>4 patterns</w:t>
      </w:r>
      <w:r>
        <w:rPr>
          <w:rFonts w:ascii="Arial" w:hAnsi="Arial"/>
          <w:sz w:val="20"/>
          <w:szCs w:val="20"/>
        </w:rPr>
        <w:t xml:space="preserve"> – </w:t>
      </w:r>
    </w:p>
    <w:p w:rsidR="00A22807" w:rsidRDefault="00A22807" w:rsidP="00F063AF">
      <w:pPr>
        <w:pStyle w:val="ListParagraph"/>
        <w:widowControl w:val="0"/>
        <w:numPr>
          <w:ilvl w:val="0"/>
          <w:numId w:val="263"/>
        </w:numPr>
        <w:spacing w:after="120" w:line="240" w:lineRule="auto"/>
        <w:rPr>
          <w:rFonts w:ascii="Arial" w:hAnsi="Arial"/>
          <w:sz w:val="20"/>
          <w:szCs w:val="20"/>
        </w:rPr>
      </w:pPr>
      <w:r>
        <w:rPr>
          <w:rFonts w:ascii="Arial" w:hAnsi="Arial"/>
          <w:sz w:val="20"/>
          <w:szCs w:val="20"/>
        </w:rPr>
        <w:t>undiagnosed illness – GRANT</w:t>
      </w:r>
      <w:r w:rsidR="00310B1D">
        <w:rPr>
          <w:rFonts w:ascii="Arial" w:hAnsi="Arial"/>
          <w:sz w:val="20"/>
          <w:szCs w:val="20"/>
        </w:rPr>
        <w:t xml:space="preserve"> under 3.317</w:t>
      </w:r>
      <w:r>
        <w:rPr>
          <w:rFonts w:ascii="Arial" w:hAnsi="Arial"/>
          <w:sz w:val="20"/>
          <w:szCs w:val="20"/>
        </w:rPr>
        <w:t xml:space="preserve"> [</w:t>
      </w:r>
      <w:r w:rsidR="00310B1D">
        <w:rPr>
          <w:rFonts w:ascii="Arial" w:hAnsi="Arial"/>
          <w:sz w:val="20"/>
          <w:szCs w:val="20"/>
        </w:rPr>
        <w:t>even if with negative opinion without rationale, don’t send back for clarification, just grant; deny if negative opinion with rationale based on rebuttal of presumption</w:t>
      </w:r>
      <w:r>
        <w:rPr>
          <w:rFonts w:ascii="Arial" w:hAnsi="Arial"/>
          <w:sz w:val="20"/>
          <w:szCs w:val="20"/>
        </w:rPr>
        <w:t>]</w:t>
      </w:r>
    </w:p>
    <w:p w:rsidR="00A22807" w:rsidRDefault="00A22807" w:rsidP="00F063AF">
      <w:pPr>
        <w:pStyle w:val="ListParagraph"/>
        <w:widowControl w:val="0"/>
        <w:numPr>
          <w:ilvl w:val="0"/>
          <w:numId w:val="263"/>
        </w:numPr>
        <w:spacing w:after="120" w:line="240" w:lineRule="auto"/>
        <w:rPr>
          <w:rFonts w:ascii="Arial" w:hAnsi="Arial"/>
          <w:sz w:val="20"/>
          <w:szCs w:val="20"/>
        </w:rPr>
      </w:pPr>
      <w:r>
        <w:rPr>
          <w:rFonts w:ascii="Arial" w:hAnsi="Arial"/>
          <w:sz w:val="20"/>
          <w:szCs w:val="20"/>
        </w:rPr>
        <w:t>diagnosed but unexplained – GRANT</w:t>
      </w:r>
      <w:r w:rsidR="00310B1D">
        <w:rPr>
          <w:rFonts w:ascii="Arial" w:hAnsi="Arial"/>
          <w:sz w:val="20"/>
          <w:szCs w:val="20"/>
        </w:rPr>
        <w:t xml:space="preserve"> under 3.317</w:t>
      </w:r>
    </w:p>
    <w:p w:rsidR="00A22807" w:rsidRDefault="00310B1D" w:rsidP="00F063AF">
      <w:pPr>
        <w:pStyle w:val="ListParagraph"/>
        <w:widowControl w:val="0"/>
        <w:numPr>
          <w:ilvl w:val="0"/>
          <w:numId w:val="263"/>
        </w:numPr>
        <w:spacing w:after="120" w:line="240" w:lineRule="auto"/>
        <w:rPr>
          <w:rFonts w:ascii="Arial" w:hAnsi="Arial"/>
          <w:sz w:val="20"/>
          <w:szCs w:val="20"/>
        </w:rPr>
      </w:pPr>
      <w:r>
        <w:rPr>
          <w:rFonts w:ascii="Arial" w:hAnsi="Arial"/>
          <w:sz w:val="20"/>
          <w:szCs w:val="20"/>
        </w:rPr>
        <w:t xml:space="preserve">partially explained/understood (including DM &amp; MS) </w:t>
      </w:r>
      <w:r w:rsidR="00A22807">
        <w:rPr>
          <w:rFonts w:ascii="Arial" w:hAnsi="Arial"/>
          <w:sz w:val="20"/>
          <w:szCs w:val="20"/>
        </w:rPr>
        <w:t>– DENY</w:t>
      </w:r>
      <w:r>
        <w:rPr>
          <w:rFonts w:ascii="Arial" w:hAnsi="Arial"/>
          <w:sz w:val="20"/>
          <w:szCs w:val="20"/>
        </w:rPr>
        <w:t xml:space="preserve"> under 3.317 [partially understood etiology cannot be considered medically unexplained; can get GW exam if diagnosis is “rule out MS” or “possible diabetes”]; but need further opinion on if related to specific exposure event, if yes, grant unde</w:t>
      </w:r>
      <w:r w:rsidR="00D932CD">
        <w:rPr>
          <w:rFonts w:ascii="Arial" w:hAnsi="Arial"/>
          <w:sz w:val="20"/>
          <w:szCs w:val="20"/>
        </w:rPr>
        <w:t>r 3.304;</w:t>
      </w:r>
    </w:p>
    <w:p w:rsidR="00A22807" w:rsidRDefault="00A22807" w:rsidP="00F063AF">
      <w:pPr>
        <w:pStyle w:val="ListParagraph"/>
        <w:widowControl w:val="0"/>
        <w:numPr>
          <w:ilvl w:val="0"/>
          <w:numId w:val="263"/>
        </w:numPr>
        <w:spacing w:after="120" w:line="240" w:lineRule="auto"/>
        <w:rPr>
          <w:rFonts w:ascii="Arial" w:hAnsi="Arial"/>
          <w:sz w:val="20"/>
          <w:szCs w:val="20"/>
        </w:rPr>
      </w:pPr>
      <w:r>
        <w:rPr>
          <w:rFonts w:ascii="Arial" w:hAnsi="Arial"/>
          <w:sz w:val="20"/>
          <w:szCs w:val="20"/>
        </w:rPr>
        <w:t xml:space="preserve">clear &amp; specific etiology </w:t>
      </w:r>
      <w:r w:rsidR="00310B1D">
        <w:rPr>
          <w:rFonts w:ascii="Arial" w:hAnsi="Arial"/>
          <w:sz w:val="20"/>
          <w:szCs w:val="20"/>
        </w:rPr>
        <w:t>–</w:t>
      </w:r>
      <w:r>
        <w:rPr>
          <w:rFonts w:ascii="Arial" w:hAnsi="Arial"/>
          <w:sz w:val="20"/>
          <w:szCs w:val="20"/>
        </w:rPr>
        <w:t xml:space="preserve"> DENY</w:t>
      </w:r>
      <w:r w:rsidR="00310B1D">
        <w:rPr>
          <w:rFonts w:ascii="Arial" w:hAnsi="Arial"/>
          <w:sz w:val="20"/>
          <w:szCs w:val="20"/>
        </w:rPr>
        <w:t xml:space="preserve"> under 3.317; but need further opinion on if related to specific exposure event, if yes, grant under 3.304 </w:t>
      </w:r>
    </w:p>
    <w:p w:rsidR="00D932CD" w:rsidRDefault="00D932CD" w:rsidP="00D932CD">
      <w:pPr>
        <w:pStyle w:val="ListParagraph"/>
        <w:widowControl w:val="0"/>
        <w:spacing w:after="120" w:line="240" w:lineRule="auto"/>
        <w:ind w:left="1440"/>
        <w:rPr>
          <w:rFonts w:ascii="Arial" w:hAnsi="Arial"/>
          <w:sz w:val="20"/>
          <w:szCs w:val="20"/>
        </w:rPr>
      </w:pPr>
      <w:r>
        <w:rPr>
          <w:rFonts w:ascii="Arial" w:hAnsi="Arial"/>
          <w:sz w:val="20"/>
          <w:szCs w:val="20"/>
        </w:rPr>
        <w:t>*</w:t>
      </w:r>
      <w:r w:rsidRPr="00D932CD">
        <w:rPr>
          <w:rFonts w:ascii="Arial" w:hAnsi="Arial"/>
          <w:b/>
          <w:sz w:val="20"/>
          <w:szCs w:val="20"/>
        </w:rPr>
        <w:t>4/17 Rating Consistency Study</w:t>
      </w:r>
      <w:r>
        <w:rPr>
          <w:rFonts w:ascii="Arial" w:hAnsi="Arial"/>
          <w:sz w:val="20"/>
          <w:szCs w:val="20"/>
        </w:rPr>
        <w:t xml:space="preserve"> says to add this statement for 3&amp;4 above:</w:t>
      </w:r>
    </w:p>
    <w:p w:rsidR="00D932CD" w:rsidRPr="00D932CD" w:rsidRDefault="00D932CD" w:rsidP="00D932CD">
      <w:pPr>
        <w:pStyle w:val="ListParagraph"/>
        <w:widowControl w:val="0"/>
        <w:spacing w:after="120" w:line="240" w:lineRule="auto"/>
        <w:ind w:left="1440"/>
        <w:rPr>
          <w:rFonts w:ascii="Arial" w:hAnsi="Arial"/>
          <w:sz w:val="14"/>
          <w:szCs w:val="20"/>
        </w:rPr>
      </w:pPr>
      <w:r w:rsidRPr="00D932CD">
        <w:rPr>
          <w:rFonts w:ascii="Arial" w:hAnsi="Arial"/>
          <w:i/>
          <w:iCs/>
          <w:color w:val="000000"/>
          <w:sz w:val="20"/>
          <w:szCs w:val="28"/>
          <w:lang w:val="en"/>
        </w:rPr>
        <w:t>Service connection may be established for disability resulting from undiagnosed illness or a medically unexplained chronic multisymptom illness that is defined by a cluster of symptoms, or a diagnosed illness that is determined by VA regulation to warrant a presumption of service connection which manifested itself either during active service in the Southwest Asia theater of operations during the Gulf War period, or to a degree of ten percent or more after the date on which the Veteran last performed service in the Southwest Asia theater of operations during the Gulf War period</w:t>
      </w:r>
      <w:r w:rsidRPr="00D932CD">
        <w:rPr>
          <w:rFonts w:ascii="Arial" w:hAnsi="Arial"/>
          <w:color w:val="000000"/>
          <w:sz w:val="20"/>
          <w:szCs w:val="28"/>
          <w:lang w:val="en"/>
        </w:rPr>
        <w:t>.</w:t>
      </w:r>
    </w:p>
    <w:p w:rsidR="00172077" w:rsidRDefault="00172077" w:rsidP="00F063AF">
      <w:pPr>
        <w:pStyle w:val="ListParagraph"/>
        <w:widowControl w:val="0"/>
        <w:numPr>
          <w:ilvl w:val="0"/>
          <w:numId w:val="264"/>
        </w:numPr>
        <w:tabs>
          <w:tab w:val="left" w:pos="1080"/>
        </w:tabs>
        <w:spacing w:after="120"/>
        <w:ind w:left="1080"/>
        <w:rPr>
          <w:rFonts w:ascii="Arial" w:hAnsi="Arial"/>
          <w:sz w:val="20"/>
        </w:rPr>
      </w:pPr>
      <w:r w:rsidRPr="00172077">
        <w:rPr>
          <w:rFonts w:ascii="Arial" w:hAnsi="Arial"/>
          <w:sz w:val="20"/>
        </w:rPr>
        <w:t>use 88 codes if grant/deny due to Gulf War</w:t>
      </w:r>
    </w:p>
    <w:p w:rsidR="00172077" w:rsidRPr="009E2F62" w:rsidRDefault="00646AB9" w:rsidP="00F063AF">
      <w:pPr>
        <w:pStyle w:val="ListParagraph"/>
        <w:widowControl w:val="0"/>
        <w:numPr>
          <w:ilvl w:val="0"/>
          <w:numId w:val="264"/>
        </w:numPr>
        <w:tabs>
          <w:tab w:val="left" w:pos="1080"/>
        </w:tabs>
        <w:spacing w:after="120"/>
        <w:ind w:left="1080"/>
        <w:rPr>
          <w:rFonts w:ascii="Arial" w:hAnsi="Arial"/>
          <w:sz w:val="20"/>
          <w:highlight w:val="darkGray"/>
        </w:rPr>
      </w:pPr>
      <w:r w:rsidRPr="009E2F62">
        <w:rPr>
          <w:rFonts w:ascii="Arial" w:hAnsi="Arial"/>
          <w:sz w:val="20"/>
          <w:highlight w:val="darkGray"/>
        </w:rPr>
        <w:t>sleep apnea</w:t>
      </w:r>
      <w:r w:rsidR="00172077" w:rsidRPr="009E2F62">
        <w:rPr>
          <w:rFonts w:ascii="Arial" w:hAnsi="Arial"/>
          <w:sz w:val="20"/>
          <w:highlight w:val="darkGray"/>
        </w:rPr>
        <w:t xml:space="preserve"> is not listed in the manual anymore &amp; they are still looking at it, but for now continue to get GW exam</w:t>
      </w:r>
    </w:p>
    <w:p w:rsidR="00B44E74" w:rsidRDefault="00F93DDC" w:rsidP="00F063AF">
      <w:pPr>
        <w:pStyle w:val="ListParagraph"/>
        <w:widowControl w:val="0"/>
        <w:numPr>
          <w:ilvl w:val="0"/>
          <w:numId w:val="196"/>
        </w:numPr>
        <w:spacing w:after="120" w:line="240" w:lineRule="auto"/>
        <w:ind w:left="360"/>
        <w:rPr>
          <w:rFonts w:ascii="Arial" w:hAnsi="Arial"/>
          <w:sz w:val="20"/>
          <w:szCs w:val="20"/>
        </w:rPr>
      </w:pPr>
      <w:r w:rsidRPr="00F93DDC">
        <w:rPr>
          <w:rFonts w:ascii="Arial" w:hAnsi="Arial"/>
          <w:b/>
          <w:sz w:val="20"/>
          <w:szCs w:val="20"/>
          <w:lang w:val="en"/>
        </w:rPr>
        <w:t>IV.ii.1.E.2.b</w:t>
      </w:r>
      <w:r w:rsidRPr="00F93DDC">
        <w:rPr>
          <w:rFonts w:ascii="Arial" w:hAnsi="Arial"/>
          <w:sz w:val="20"/>
          <w:szCs w:val="20"/>
          <w:lang w:val="en"/>
        </w:rPr>
        <w:t xml:space="preserve"> – </w:t>
      </w:r>
      <w:r w:rsidR="00EE6BBC">
        <w:rPr>
          <w:rFonts w:ascii="Arial" w:hAnsi="Arial"/>
          <w:sz w:val="20"/>
          <w:szCs w:val="20"/>
          <w:lang w:val="en"/>
        </w:rPr>
        <w:t>as of</w:t>
      </w:r>
      <w:r>
        <w:rPr>
          <w:rFonts w:ascii="Arial" w:hAnsi="Arial"/>
          <w:sz w:val="20"/>
          <w:szCs w:val="20"/>
          <w:lang w:val="en"/>
        </w:rPr>
        <w:t xml:space="preserve"> 11/5/</w:t>
      </w:r>
      <w:r w:rsidRPr="00906ADE">
        <w:rPr>
          <w:rFonts w:ascii="Arial" w:hAnsi="Arial"/>
          <w:sz w:val="20"/>
          <w:szCs w:val="20"/>
          <w:lang w:val="en"/>
        </w:rPr>
        <w:t>15, n</w:t>
      </w:r>
      <w:r>
        <w:rPr>
          <w:rFonts w:ascii="Arial" w:hAnsi="Arial"/>
          <w:sz w:val="20"/>
          <w:szCs w:val="20"/>
          <w:lang w:val="en"/>
        </w:rPr>
        <w:t xml:space="preserve">o GW exams if have sleep study showing sleep apnea; </w:t>
      </w:r>
      <w:r w:rsidRPr="00F93DDC">
        <w:rPr>
          <w:rFonts w:ascii="Arial" w:hAnsi="Arial"/>
          <w:sz w:val="20"/>
          <w:szCs w:val="20"/>
        </w:rPr>
        <w:t xml:space="preserve">sleep apnea is not a recognized </w:t>
      </w:r>
      <w:r w:rsidRPr="0042139A">
        <w:rPr>
          <w:rFonts w:ascii="Arial" w:hAnsi="Arial"/>
          <w:sz w:val="20"/>
          <w:szCs w:val="20"/>
        </w:rPr>
        <w:t xml:space="preserve">qualifying, chronic disability under the provisions of </w:t>
      </w:r>
      <w:hyperlink r:id="rId436" w:history="1">
        <w:r w:rsidRPr="0042139A">
          <w:rPr>
            <w:rStyle w:val="Hyperlink"/>
            <w:rFonts w:ascii="Arial" w:hAnsi="Arial"/>
            <w:color w:val="auto"/>
            <w:sz w:val="20"/>
            <w:szCs w:val="20"/>
          </w:rPr>
          <w:t>38 CFR 3.317</w:t>
        </w:r>
      </w:hyperlink>
      <w:r w:rsidR="00B44E74" w:rsidRPr="0042139A">
        <w:rPr>
          <w:rFonts w:ascii="Arial" w:hAnsi="Arial"/>
          <w:sz w:val="20"/>
          <w:szCs w:val="20"/>
        </w:rPr>
        <w:t xml:space="preserve">; also see VA Pulse, </w:t>
      </w:r>
      <w:r w:rsidR="0042139A" w:rsidRPr="0042139A">
        <w:rPr>
          <w:rFonts w:ascii="Arial" w:hAnsi="Arial"/>
          <w:i/>
          <w:sz w:val="20"/>
          <w:szCs w:val="20"/>
        </w:rPr>
        <w:t>https://www.vapulse.net/thread/10077</w:t>
      </w:r>
      <w:r w:rsidR="00B304A4">
        <w:rPr>
          <w:rFonts w:ascii="Arial" w:hAnsi="Arial"/>
          <w:bCs/>
          <w:sz w:val="20"/>
          <w:szCs w:val="20"/>
        </w:rPr>
        <w:t xml:space="preserve">; </w:t>
      </w:r>
      <w:r w:rsidR="00B304A4" w:rsidRPr="00F93DDC">
        <w:rPr>
          <w:rFonts w:ascii="Arial" w:hAnsi="Arial"/>
          <w:b/>
          <w:sz w:val="20"/>
          <w:szCs w:val="20"/>
          <w:lang w:val="en"/>
        </w:rPr>
        <w:t>IV.ii.1.E.2.b</w:t>
      </w:r>
      <w:r w:rsidR="00B304A4" w:rsidRPr="00F93DDC">
        <w:rPr>
          <w:rFonts w:ascii="Arial" w:hAnsi="Arial"/>
          <w:sz w:val="20"/>
          <w:szCs w:val="20"/>
          <w:lang w:val="en"/>
        </w:rPr>
        <w:t xml:space="preserve"> </w:t>
      </w:r>
      <w:r w:rsidR="00B304A4">
        <w:rPr>
          <w:rFonts w:ascii="Arial" w:hAnsi="Arial"/>
          <w:sz w:val="20"/>
          <w:szCs w:val="20"/>
          <w:lang w:val="en"/>
        </w:rPr>
        <w:t xml:space="preserve">- </w:t>
      </w:r>
      <w:r w:rsidR="000D5145">
        <w:rPr>
          <w:rFonts w:ascii="Arial" w:hAnsi="Arial"/>
          <w:bCs/>
          <w:sz w:val="20"/>
          <w:szCs w:val="20"/>
        </w:rPr>
        <w:t xml:space="preserve">changed 6/24/16, </w:t>
      </w:r>
      <w:r w:rsidR="00B304A4">
        <w:rPr>
          <w:rFonts w:ascii="Arial" w:hAnsi="Arial"/>
          <w:bCs/>
          <w:sz w:val="20"/>
          <w:szCs w:val="20"/>
        </w:rPr>
        <w:t xml:space="preserve">do not get a subsequent Gen Med if have one on pending claim or on decision that is not yet final; sleep apnea example moved to </w:t>
      </w:r>
      <w:r w:rsidR="00B304A4">
        <w:rPr>
          <w:rFonts w:ascii="Arial" w:hAnsi="Arial"/>
          <w:b/>
          <w:sz w:val="20"/>
          <w:szCs w:val="20"/>
          <w:lang w:val="en"/>
        </w:rPr>
        <w:t>IV.ii.1.E.2.f</w:t>
      </w:r>
      <w:r w:rsidR="00B304A4" w:rsidRPr="00F93DDC">
        <w:rPr>
          <w:rFonts w:ascii="Arial" w:hAnsi="Arial"/>
          <w:sz w:val="20"/>
          <w:szCs w:val="20"/>
          <w:lang w:val="en"/>
        </w:rPr>
        <w:t xml:space="preserve"> </w:t>
      </w:r>
      <w:r w:rsidR="00B304A4">
        <w:rPr>
          <w:rFonts w:ascii="Arial" w:hAnsi="Arial"/>
          <w:sz w:val="20"/>
          <w:szCs w:val="20"/>
          <w:lang w:val="en"/>
        </w:rPr>
        <w:t>on</w:t>
      </w:r>
      <w:r w:rsidR="00B304A4">
        <w:rPr>
          <w:rFonts w:ascii="Arial" w:hAnsi="Arial"/>
          <w:bCs/>
          <w:sz w:val="20"/>
          <w:szCs w:val="20"/>
        </w:rPr>
        <w:t xml:space="preserve"> 6/24/16</w:t>
      </w:r>
    </w:p>
    <w:p w:rsidR="00B44E74" w:rsidRDefault="00F74A53" w:rsidP="00F063AF">
      <w:pPr>
        <w:pStyle w:val="ListParagraph"/>
        <w:widowControl w:val="0"/>
        <w:numPr>
          <w:ilvl w:val="0"/>
          <w:numId w:val="196"/>
        </w:numPr>
        <w:spacing w:after="120" w:line="240" w:lineRule="auto"/>
        <w:ind w:left="360"/>
        <w:rPr>
          <w:rFonts w:ascii="Arial" w:hAnsi="Arial"/>
          <w:sz w:val="20"/>
          <w:szCs w:val="20"/>
        </w:rPr>
      </w:pPr>
      <w:r w:rsidRPr="00F74A53">
        <w:rPr>
          <w:rFonts w:ascii="Arial" w:hAnsi="Arial"/>
          <w:b/>
          <w:sz w:val="20"/>
          <w:szCs w:val="20"/>
        </w:rPr>
        <w:t>IV.ii.2.D.1.n</w:t>
      </w:r>
      <w:r>
        <w:rPr>
          <w:rFonts w:ascii="Arial" w:hAnsi="Arial"/>
          <w:sz w:val="20"/>
          <w:szCs w:val="20"/>
        </w:rPr>
        <w:t xml:space="preserve"> – </w:t>
      </w:r>
      <w:r w:rsidR="003C43CE" w:rsidRPr="00F93DDC">
        <w:rPr>
          <w:rFonts w:ascii="Arial" w:hAnsi="Arial"/>
          <w:sz w:val="20"/>
          <w:szCs w:val="20"/>
          <w:lang w:val="en"/>
        </w:rPr>
        <w:t>added example about sleep apnea</w:t>
      </w:r>
      <w:r w:rsidR="003C43CE">
        <w:rPr>
          <w:rFonts w:ascii="Arial" w:hAnsi="Arial"/>
          <w:sz w:val="20"/>
          <w:szCs w:val="20"/>
          <w:lang w:val="en"/>
        </w:rPr>
        <w:t xml:space="preserve"> on 11/30/15,</w:t>
      </w:r>
      <w:r w:rsidR="003C43CE" w:rsidRPr="00F93DDC">
        <w:rPr>
          <w:rFonts w:ascii="Arial" w:hAnsi="Arial"/>
          <w:sz w:val="20"/>
          <w:szCs w:val="20"/>
          <w:lang w:val="en"/>
        </w:rPr>
        <w:t xml:space="preserve"> </w:t>
      </w:r>
      <w:r>
        <w:rPr>
          <w:rFonts w:ascii="Arial" w:hAnsi="Arial"/>
          <w:sz w:val="20"/>
          <w:szCs w:val="20"/>
        </w:rPr>
        <w:t>sleep apnea cannot be presumptively SC under 3.317 since it is a diagnosable condition (must be considered on an non-presumptive SC basis)</w:t>
      </w:r>
    </w:p>
    <w:p w:rsidR="005D4DBF" w:rsidRPr="005D4DBF" w:rsidRDefault="005D4DBF" w:rsidP="00F063AF">
      <w:pPr>
        <w:pStyle w:val="Footer"/>
        <w:widowControl w:val="0"/>
        <w:numPr>
          <w:ilvl w:val="0"/>
          <w:numId w:val="196"/>
        </w:numPr>
        <w:tabs>
          <w:tab w:val="clear" w:pos="4320"/>
          <w:tab w:val="clear" w:pos="8640"/>
        </w:tabs>
        <w:spacing w:after="120"/>
        <w:ind w:left="360"/>
        <w:rPr>
          <w:i/>
          <w:u w:val="single"/>
        </w:rPr>
      </w:pPr>
      <w:r w:rsidRPr="00BC03F7">
        <w:rPr>
          <w:bCs/>
        </w:rPr>
        <w:t xml:space="preserve">Notes from </w:t>
      </w:r>
      <w:r>
        <w:rPr>
          <w:b/>
          <w:i/>
          <w:u w:val="single"/>
        </w:rPr>
        <w:t xml:space="preserve">June </w:t>
      </w:r>
      <w:r w:rsidRPr="001421FA">
        <w:rPr>
          <w:b/>
          <w:i/>
          <w:u w:val="single"/>
        </w:rPr>
        <w:t>201</w:t>
      </w:r>
      <w:r>
        <w:rPr>
          <w:b/>
          <w:i/>
          <w:u w:val="single"/>
        </w:rPr>
        <w:t>6</w:t>
      </w:r>
      <w:r w:rsidRPr="001421FA">
        <w:rPr>
          <w:b/>
          <w:i/>
          <w:u w:val="single"/>
        </w:rPr>
        <w:t xml:space="preserve"> </w:t>
      </w:r>
      <w:r>
        <w:rPr>
          <w:b/>
          <w:i/>
          <w:u w:val="single"/>
        </w:rPr>
        <w:t>Rating</w:t>
      </w:r>
      <w:r w:rsidRPr="001421FA">
        <w:rPr>
          <w:b/>
          <w:i/>
          <w:u w:val="single"/>
        </w:rPr>
        <w:t xml:space="preserve"> Gulf War Claims </w:t>
      </w:r>
      <w:r>
        <w:rPr>
          <w:i/>
          <w:u w:val="single"/>
        </w:rPr>
        <w:t>(Konane</w:t>
      </w:r>
      <w:r w:rsidR="00CD351C">
        <w:rPr>
          <w:i/>
          <w:u w:val="single"/>
        </w:rPr>
        <w:t xml:space="preserve"> Stradling</w:t>
      </w:r>
      <w:r>
        <w:rPr>
          <w:i/>
          <w:u w:val="single"/>
        </w:rPr>
        <w:t xml:space="preserve"> - video)</w:t>
      </w:r>
      <w:r w:rsidRPr="00905864">
        <w:t>:</w:t>
      </w:r>
    </w:p>
    <w:p w:rsidR="006808D2" w:rsidRPr="006808D2" w:rsidRDefault="005D4DBF" w:rsidP="00F063AF">
      <w:pPr>
        <w:pStyle w:val="ListParagraph"/>
        <w:widowControl w:val="0"/>
        <w:numPr>
          <w:ilvl w:val="0"/>
          <w:numId w:val="216"/>
        </w:numPr>
        <w:spacing w:after="120" w:line="240" w:lineRule="auto"/>
        <w:rPr>
          <w:rFonts w:ascii="Arial" w:hAnsi="Arial"/>
          <w:i/>
          <w:sz w:val="20"/>
          <w:szCs w:val="20"/>
        </w:rPr>
      </w:pPr>
      <w:r>
        <w:rPr>
          <w:rFonts w:ascii="Arial" w:hAnsi="Arial"/>
          <w:sz w:val="20"/>
          <w:szCs w:val="20"/>
        </w:rPr>
        <w:t>use 88 codes even if deny –</w:t>
      </w:r>
      <w:r w:rsidR="00845063">
        <w:rPr>
          <w:rFonts w:ascii="Arial" w:hAnsi="Arial"/>
          <w:sz w:val="20"/>
          <w:szCs w:val="20"/>
        </w:rPr>
        <w:t xml:space="preserve"> </w:t>
      </w:r>
      <w:r w:rsidR="006808D2" w:rsidRPr="006808D2">
        <w:rPr>
          <w:rStyle w:val="Hyperlink"/>
          <w:rFonts w:ascii="Arial" w:hAnsi="Arial"/>
          <w:bCs/>
          <w:i/>
          <w:iCs/>
          <w:color w:val="auto"/>
          <w:sz w:val="20"/>
          <w:szCs w:val="20"/>
          <w:u w:val="none"/>
        </w:rPr>
        <w:t xml:space="preserve">See </w:t>
      </w:r>
      <w:r w:rsidR="006808D2" w:rsidRPr="006808D2">
        <w:rPr>
          <w:rFonts w:ascii="Arial" w:hAnsi="Arial"/>
          <w:b/>
          <w:i/>
          <w:sz w:val="20"/>
          <w:szCs w:val="20"/>
        </w:rPr>
        <w:t>IV.ii.2.D.3.b</w:t>
      </w:r>
      <w:r w:rsidR="006808D2">
        <w:rPr>
          <w:rFonts w:ascii="Arial" w:hAnsi="Arial"/>
          <w:b/>
          <w:i/>
          <w:sz w:val="20"/>
          <w:szCs w:val="20"/>
        </w:rPr>
        <w:t>,</w:t>
      </w:r>
      <w:r w:rsidR="006808D2" w:rsidRPr="006808D2">
        <w:rPr>
          <w:rFonts w:ascii="Arial" w:hAnsi="Arial"/>
          <w:b/>
          <w:i/>
          <w:sz w:val="20"/>
          <w:szCs w:val="20"/>
        </w:rPr>
        <w:t xml:space="preserve"> c</w:t>
      </w:r>
      <w:r w:rsidR="006808D2">
        <w:rPr>
          <w:rFonts w:ascii="Arial" w:hAnsi="Arial"/>
          <w:b/>
          <w:i/>
          <w:sz w:val="20"/>
          <w:szCs w:val="20"/>
        </w:rPr>
        <w:t xml:space="preserve"> &amp; d</w:t>
      </w:r>
      <w:r w:rsidR="006808D2" w:rsidRPr="006808D2">
        <w:rPr>
          <w:rFonts w:ascii="Arial" w:hAnsi="Arial"/>
          <w:b/>
          <w:i/>
          <w:sz w:val="20"/>
          <w:szCs w:val="20"/>
        </w:rPr>
        <w:t xml:space="preserve"> </w:t>
      </w:r>
      <w:r w:rsidR="006808D2" w:rsidRPr="006808D2">
        <w:rPr>
          <w:rFonts w:ascii="Arial" w:hAnsi="Arial"/>
          <w:i/>
          <w:sz w:val="20"/>
          <w:szCs w:val="20"/>
        </w:rPr>
        <w:t>for 88 codes.</w:t>
      </w:r>
    </w:p>
    <w:p w:rsidR="005D4DBF" w:rsidRPr="005D4DBF" w:rsidRDefault="005D4DBF" w:rsidP="00F063AF">
      <w:pPr>
        <w:pStyle w:val="ListParagraph"/>
        <w:widowControl w:val="0"/>
        <w:numPr>
          <w:ilvl w:val="1"/>
          <w:numId w:val="196"/>
        </w:numPr>
        <w:spacing w:after="120" w:line="240" w:lineRule="auto"/>
        <w:ind w:left="1080"/>
        <w:rPr>
          <w:rFonts w:ascii="Arial" w:hAnsi="Arial"/>
          <w:sz w:val="20"/>
          <w:szCs w:val="20"/>
        </w:rPr>
      </w:pPr>
      <w:r>
        <w:rPr>
          <w:rFonts w:ascii="Arial" w:hAnsi="Arial"/>
          <w:sz w:val="20"/>
          <w:szCs w:val="20"/>
        </w:rPr>
        <w:t>schedule routine future exam</w:t>
      </w:r>
      <w:r w:rsidR="00F46384">
        <w:rPr>
          <w:rFonts w:ascii="Arial" w:hAnsi="Arial"/>
          <w:sz w:val="20"/>
          <w:szCs w:val="20"/>
        </w:rPr>
        <w:t xml:space="preserve"> / RFE</w:t>
      </w:r>
      <w:r>
        <w:rPr>
          <w:rFonts w:ascii="Arial" w:hAnsi="Arial"/>
          <w:sz w:val="20"/>
          <w:szCs w:val="20"/>
        </w:rPr>
        <w:t xml:space="preserve"> 24 months from date of last exam, per Live Manual</w:t>
      </w:r>
      <w:r w:rsidR="0073043A">
        <w:rPr>
          <w:rFonts w:ascii="Arial" w:hAnsi="Arial"/>
          <w:sz w:val="20"/>
          <w:szCs w:val="20"/>
        </w:rPr>
        <w:t xml:space="preserve"> – </w:t>
      </w:r>
      <w:r w:rsidR="0073043A" w:rsidRPr="0073043A">
        <w:rPr>
          <w:rFonts w:ascii="Arial" w:hAnsi="Arial"/>
          <w:i/>
          <w:color w:val="00B050"/>
          <w:sz w:val="20"/>
          <w:szCs w:val="20"/>
        </w:rPr>
        <w:t>My Notes:</w:t>
      </w:r>
      <w:r w:rsidR="0073043A" w:rsidRPr="0073043A">
        <w:rPr>
          <w:rFonts w:ascii="Arial" w:hAnsi="Arial"/>
          <w:color w:val="00B050"/>
          <w:sz w:val="20"/>
          <w:szCs w:val="20"/>
        </w:rPr>
        <w:t xml:space="preserve"> </w:t>
      </w:r>
      <w:r w:rsidR="0073043A" w:rsidRPr="00D36CD9">
        <w:rPr>
          <w:rFonts w:ascii="Arial" w:hAnsi="Arial"/>
          <w:i/>
          <w:color w:val="00B050"/>
          <w:sz w:val="20"/>
          <w:szCs w:val="20"/>
        </w:rPr>
        <w:t xml:space="preserve"> </w:t>
      </w:r>
      <w:r w:rsidR="0073043A" w:rsidRPr="00D36CD9">
        <w:rPr>
          <w:rFonts w:ascii="Arial" w:hAnsi="Arial"/>
          <w:i/>
          <w:sz w:val="20"/>
          <w:szCs w:val="20"/>
        </w:rPr>
        <w:t>I cannot find this in the M21-1.</w:t>
      </w:r>
    </w:p>
    <w:p w:rsidR="005D4DBF" w:rsidRPr="00C820D0" w:rsidRDefault="00A67492" w:rsidP="00F063AF">
      <w:pPr>
        <w:pStyle w:val="ListParagraph"/>
        <w:widowControl w:val="0"/>
        <w:numPr>
          <w:ilvl w:val="0"/>
          <w:numId w:val="196"/>
        </w:numPr>
        <w:spacing w:after="120" w:line="240" w:lineRule="auto"/>
        <w:ind w:left="360"/>
        <w:rPr>
          <w:rFonts w:ascii="Arial" w:hAnsi="Arial"/>
          <w:i/>
          <w:color w:val="00B050"/>
          <w:sz w:val="20"/>
          <w:szCs w:val="20"/>
        </w:rPr>
      </w:pPr>
      <w:r w:rsidRPr="00C820D0">
        <w:rPr>
          <w:rFonts w:ascii="Arial" w:hAnsi="Arial"/>
          <w:i/>
          <w:color w:val="00B050"/>
          <w:sz w:val="20"/>
          <w:szCs w:val="20"/>
        </w:rPr>
        <w:t>My Notes:</w:t>
      </w:r>
    </w:p>
    <w:p w:rsidR="00A67492" w:rsidRDefault="00A67492" w:rsidP="00F063AF">
      <w:pPr>
        <w:pStyle w:val="ListParagraph"/>
        <w:widowControl w:val="0"/>
        <w:numPr>
          <w:ilvl w:val="0"/>
          <w:numId w:val="196"/>
        </w:numPr>
        <w:spacing w:after="120"/>
        <w:rPr>
          <w:rFonts w:ascii="Arial" w:hAnsi="Arial"/>
          <w:i/>
          <w:smallCaps/>
          <w:sz w:val="20"/>
          <w:szCs w:val="20"/>
        </w:rPr>
      </w:pPr>
      <w:r w:rsidRPr="00A67492">
        <w:rPr>
          <w:rFonts w:ascii="Arial" w:hAnsi="Arial"/>
          <w:i/>
          <w:sz w:val="20"/>
          <w:szCs w:val="20"/>
        </w:rPr>
        <w:t>3.317</w:t>
      </w:r>
      <w:r w:rsidRPr="00A67492">
        <w:rPr>
          <w:rFonts w:ascii="Arial" w:hAnsi="Arial"/>
          <w:i/>
          <w:smallCaps/>
          <w:sz w:val="20"/>
          <w:szCs w:val="20"/>
        </w:rPr>
        <w:t>(</w:t>
      </w:r>
      <w:r w:rsidRPr="00A67492">
        <w:rPr>
          <w:rFonts w:ascii="Arial" w:hAnsi="Arial"/>
          <w:i/>
          <w:sz w:val="20"/>
          <w:szCs w:val="20"/>
        </w:rPr>
        <w:t>a</w:t>
      </w:r>
      <w:r w:rsidRPr="00A67492">
        <w:rPr>
          <w:rFonts w:ascii="Arial" w:hAnsi="Arial"/>
          <w:i/>
          <w:smallCaps/>
          <w:sz w:val="20"/>
          <w:szCs w:val="20"/>
        </w:rPr>
        <w:t>) – MUCMIs</w:t>
      </w:r>
    </w:p>
    <w:tbl>
      <w:tblPr>
        <w:tblW w:w="97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80"/>
        <w:gridCol w:w="2080"/>
        <w:gridCol w:w="1280"/>
      </w:tblGrid>
      <w:tr w:rsidR="008E1CBE" w:rsidTr="008E1CBE">
        <w:tc>
          <w:tcPr>
            <w:tcW w:w="6380" w:type="dxa"/>
          </w:tcPr>
          <w:p w:rsidR="008E1CBE" w:rsidRPr="008E1CBE" w:rsidRDefault="008E1CBE" w:rsidP="00E96A89">
            <w:pPr>
              <w:widowControl w:val="0"/>
              <w:numPr>
                <w:ilvl w:val="12"/>
                <w:numId w:val="0"/>
              </w:numPr>
              <w:rPr>
                <w:sz w:val="18"/>
                <w:szCs w:val="18"/>
              </w:rPr>
            </w:pPr>
            <w:r w:rsidRPr="008E1CBE">
              <w:rPr>
                <w:sz w:val="18"/>
                <w:szCs w:val="18"/>
              </w:rPr>
              <w:t>chronic fatigue syndrome</w:t>
            </w:r>
          </w:p>
        </w:tc>
        <w:tc>
          <w:tcPr>
            <w:tcW w:w="2080" w:type="dxa"/>
          </w:tcPr>
          <w:p w:rsidR="008E1CBE" w:rsidRDefault="008E1CBE" w:rsidP="00E96A89">
            <w:pPr>
              <w:widowControl w:val="0"/>
              <w:numPr>
                <w:ilvl w:val="12"/>
                <w:numId w:val="0"/>
              </w:numPr>
              <w:rPr>
                <w:bCs/>
                <w:i/>
                <w:color w:val="000000"/>
                <w:sz w:val="18"/>
                <w:szCs w:val="18"/>
              </w:rPr>
            </w:pPr>
            <w:r w:rsidRPr="008E1CBE">
              <w:rPr>
                <w:bCs/>
                <w:color w:val="000000"/>
                <w:sz w:val="18"/>
                <w:szCs w:val="18"/>
              </w:rPr>
              <w:t>8863-6354</w:t>
            </w:r>
          </w:p>
          <w:p w:rsidR="008E1CBE" w:rsidRPr="008E1CBE" w:rsidRDefault="008E1CBE" w:rsidP="00E96A89">
            <w:pPr>
              <w:widowControl w:val="0"/>
              <w:numPr>
                <w:ilvl w:val="12"/>
                <w:numId w:val="0"/>
              </w:numPr>
              <w:rPr>
                <w:sz w:val="18"/>
                <w:szCs w:val="18"/>
              </w:rPr>
            </w:pPr>
            <w:r w:rsidRPr="008E1CBE">
              <w:rPr>
                <w:bCs/>
                <w:i/>
                <w:color w:val="000000"/>
                <w:sz w:val="18"/>
                <w:szCs w:val="18"/>
              </w:rPr>
              <w:t>also see fatigue below</w:t>
            </w:r>
          </w:p>
        </w:tc>
        <w:tc>
          <w:tcPr>
            <w:tcW w:w="1280" w:type="dxa"/>
          </w:tcPr>
          <w:p w:rsidR="008E1CBE" w:rsidRDefault="00BD23A1" w:rsidP="00E96A89">
            <w:pPr>
              <w:widowControl w:val="0"/>
              <w:numPr>
                <w:ilvl w:val="12"/>
                <w:numId w:val="0"/>
              </w:numPr>
              <w:rPr>
                <w:i/>
              </w:rPr>
            </w:pPr>
            <w:r w:rsidRPr="00BD23A1">
              <w:rPr>
                <w:sz w:val="18"/>
              </w:rPr>
              <w:t>3/1/02</w:t>
            </w:r>
          </w:p>
        </w:tc>
      </w:tr>
      <w:tr w:rsidR="008E1CBE" w:rsidTr="008E1CBE">
        <w:tc>
          <w:tcPr>
            <w:tcW w:w="6380" w:type="dxa"/>
          </w:tcPr>
          <w:p w:rsidR="008E1CBE" w:rsidRPr="008E1CBE" w:rsidRDefault="008E1CBE" w:rsidP="00E96A89">
            <w:pPr>
              <w:widowControl w:val="0"/>
              <w:numPr>
                <w:ilvl w:val="12"/>
                <w:numId w:val="0"/>
              </w:numPr>
              <w:rPr>
                <w:sz w:val="18"/>
                <w:szCs w:val="18"/>
              </w:rPr>
            </w:pPr>
            <w:r w:rsidRPr="008E1CBE">
              <w:rPr>
                <w:sz w:val="18"/>
                <w:szCs w:val="18"/>
              </w:rPr>
              <w:t>fibromyalgia</w:t>
            </w:r>
          </w:p>
        </w:tc>
        <w:tc>
          <w:tcPr>
            <w:tcW w:w="2080" w:type="dxa"/>
          </w:tcPr>
          <w:p w:rsidR="008E1CBE" w:rsidRPr="008E1CBE" w:rsidRDefault="008E1CBE" w:rsidP="00E96A89">
            <w:pPr>
              <w:widowControl w:val="0"/>
              <w:numPr>
                <w:ilvl w:val="12"/>
                <w:numId w:val="0"/>
              </w:numPr>
              <w:rPr>
                <w:bCs/>
                <w:color w:val="000000"/>
                <w:sz w:val="18"/>
                <w:szCs w:val="18"/>
              </w:rPr>
            </w:pPr>
            <w:r w:rsidRPr="008E1CBE">
              <w:rPr>
                <w:bCs/>
                <w:color w:val="000000"/>
                <w:sz w:val="18"/>
                <w:szCs w:val="18"/>
              </w:rPr>
              <w:t>8850-5025</w:t>
            </w:r>
          </w:p>
        </w:tc>
        <w:tc>
          <w:tcPr>
            <w:tcW w:w="1280" w:type="dxa"/>
          </w:tcPr>
          <w:p w:rsidR="008E1CBE" w:rsidRPr="008E1CBE" w:rsidRDefault="00BD23A1" w:rsidP="00E96A89">
            <w:pPr>
              <w:widowControl w:val="0"/>
              <w:numPr>
                <w:ilvl w:val="12"/>
                <w:numId w:val="0"/>
              </w:numPr>
              <w:rPr>
                <w:sz w:val="18"/>
                <w:highlight w:val="yellow"/>
              </w:rPr>
            </w:pPr>
            <w:r w:rsidRPr="00BD23A1">
              <w:rPr>
                <w:sz w:val="18"/>
              </w:rPr>
              <w:t>3/1</w:t>
            </w:r>
            <w:r w:rsidR="009704C6" w:rsidRPr="00BD23A1">
              <w:rPr>
                <w:sz w:val="18"/>
              </w:rPr>
              <w:t>/02</w:t>
            </w:r>
          </w:p>
        </w:tc>
      </w:tr>
      <w:tr w:rsidR="008E1CBE" w:rsidTr="008E1CBE">
        <w:trPr>
          <w:trHeight w:val="188"/>
        </w:trPr>
        <w:tc>
          <w:tcPr>
            <w:tcW w:w="6380" w:type="dxa"/>
          </w:tcPr>
          <w:p w:rsidR="008E1CBE" w:rsidRPr="008E1CBE" w:rsidRDefault="008E1CBE" w:rsidP="00E96A89">
            <w:pPr>
              <w:widowControl w:val="0"/>
              <w:numPr>
                <w:ilvl w:val="12"/>
                <w:numId w:val="0"/>
              </w:numPr>
              <w:rPr>
                <w:sz w:val="18"/>
                <w:szCs w:val="18"/>
              </w:rPr>
            </w:pPr>
            <w:r w:rsidRPr="008E1CBE">
              <w:rPr>
                <w:sz w:val="18"/>
                <w:szCs w:val="18"/>
              </w:rPr>
              <w:t>functional gastrointestinal disorders (excluding structural gastrointestinal diseases)</w:t>
            </w:r>
          </w:p>
        </w:tc>
        <w:tc>
          <w:tcPr>
            <w:tcW w:w="2080" w:type="dxa"/>
          </w:tcPr>
          <w:p w:rsidR="008E1CBE" w:rsidRDefault="008E1CBE" w:rsidP="00E96A89">
            <w:pPr>
              <w:widowControl w:val="0"/>
              <w:numPr>
                <w:ilvl w:val="12"/>
                <w:numId w:val="0"/>
              </w:numPr>
              <w:rPr>
                <w:bCs/>
                <w:color w:val="000000"/>
                <w:sz w:val="18"/>
                <w:szCs w:val="18"/>
              </w:rPr>
            </w:pPr>
            <w:r w:rsidRPr="008E1CBE">
              <w:rPr>
                <w:bCs/>
                <w:color w:val="000000"/>
                <w:sz w:val="18"/>
                <w:szCs w:val="18"/>
              </w:rPr>
              <w:t>ulcer 8873-7305</w:t>
            </w:r>
            <w:r>
              <w:rPr>
                <w:bCs/>
                <w:color w:val="000000"/>
                <w:sz w:val="18"/>
                <w:szCs w:val="18"/>
              </w:rPr>
              <w:t xml:space="preserve"> hiatal hernia 8873-7346</w:t>
            </w:r>
          </w:p>
          <w:p w:rsidR="008E1CBE" w:rsidRDefault="008E1CBE" w:rsidP="00E96A89">
            <w:pPr>
              <w:widowControl w:val="0"/>
              <w:numPr>
                <w:ilvl w:val="12"/>
                <w:numId w:val="0"/>
              </w:numPr>
              <w:rPr>
                <w:bCs/>
                <w:color w:val="000000"/>
                <w:sz w:val="18"/>
                <w:szCs w:val="18"/>
              </w:rPr>
            </w:pPr>
            <w:r w:rsidRPr="008E1CBE">
              <w:rPr>
                <w:bCs/>
                <w:color w:val="000000"/>
                <w:sz w:val="18"/>
                <w:szCs w:val="18"/>
              </w:rPr>
              <w:t>IBS 8873-7319</w:t>
            </w:r>
          </w:p>
          <w:p w:rsidR="008E1CBE" w:rsidRPr="008E1CBE" w:rsidRDefault="008E1CBE" w:rsidP="00E96A89">
            <w:pPr>
              <w:widowControl w:val="0"/>
              <w:numPr>
                <w:ilvl w:val="12"/>
                <w:numId w:val="0"/>
              </w:numPr>
              <w:rPr>
                <w:bCs/>
                <w:color w:val="000000"/>
                <w:sz w:val="18"/>
                <w:szCs w:val="18"/>
              </w:rPr>
            </w:pPr>
            <w:r w:rsidRPr="008E1CBE">
              <w:rPr>
                <w:bCs/>
                <w:i/>
                <w:color w:val="000000"/>
                <w:sz w:val="18"/>
                <w:szCs w:val="18"/>
              </w:rPr>
              <w:t>also see GI below</w:t>
            </w:r>
          </w:p>
        </w:tc>
        <w:tc>
          <w:tcPr>
            <w:tcW w:w="1280" w:type="dxa"/>
          </w:tcPr>
          <w:p w:rsidR="008E1CBE" w:rsidRPr="008E1CBE" w:rsidRDefault="00BD23A1" w:rsidP="008E1CBE">
            <w:pPr>
              <w:widowControl w:val="0"/>
              <w:numPr>
                <w:ilvl w:val="12"/>
                <w:numId w:val="0"/>
              </w:numPr>
              <w:spacing w:after="120"/>
              <w:rPr>
                <w:sz w:val="18"/>
                <w:highlight w:val="yellow"/>
              </w:rPr>
            </w:pPr>
            <w:r w:rsidRPr="00BD23A1">
              <w:rPr>
                <w:sz w:val="18"/>
              </w:rPr>
              <w:t>3/1/02</w:t>
            </w:r>
          </w:p>
        </w:tc>
      </w:tr>
    </w:tbl>
    <w:p w:rsidR="00A67492" w:rsidRPr="008E1CBE" w:rsidRDefault="00A67492" w:rsidP="00F063AF">
      <w:pPr>
        <w:pStyle w:val="ListParagraph"/>
        <w:widowControl w:val="0"/>
        <w:numPr>
          <w:ilvl w:val="0"/>
          <w:numId w:val="196"/>
        </w:numPr>
        <w:spacing w:before="100" w:beforeAutospacing="1" w:after="120"/>
        <w:rPr>
          <w:rFonts w:ascii="Arial" w:hAnsi="Arial"/>
          <w:i/>
          <w:sz w:val="20"/>
          <w:szCs w:val="20"/>
        </w:rPr>
      </w:pPr>
      <w:r w:rsidRPr="008E1CBE">
        <w:rPr>
          <w:rFonts w:ascii="Arial" w:hAnsi="Arial"/>
          <w:i/>
          <w:sz w:val="20"/>
          <w:szCs w:val="20"/>
        </w:rPr>
        <w:t xml:space="preserve">3.317(b) </w:t>
      </w:r>
      <w:r w:rsidRPr="008E1CBE">
        <w:rPr>
          <w:rFonts w:ascii="Arial" w:hAnsi="Arial"/>
          <w:i/>
          <w:iCs/>
          <w:sz w:val="20"/>
          <w:szCs w:val="20"/>
        </w:rPr>
        <w:t>Signs or symptoms of undiagnosed illness and medically unexplained chronic multisymptom illnesses</w:t>
      </w:r>
    </w:p>
    <w:tbl>
      <w:tblPr>
        <w:tblW w:w="9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80"/>
        <w:gridCol w:w="2170"/>
        <w:gridCol w:w="1280"/>
      </w:tblGrid>
      <w:tr w:rsidR="008E1CBE" w:rsidTr="008E1CBE">
        <w:tc>
          <w:tcPr>
            <w:tcW w:w="6380" w:type="dxa"/>
          </w:tcPr>
          <w:p w:rsidR="008E1CBE" w:rsidRPr="008E1CBE" w:rsidRDefault="008E1CBE" w:rsidP="00E96A89">
            <w:pPr>
              <w:widowControl w:val="0"/>
              <w:numPr>
                <w:ilvl w:val="12"/>
                <w:numId w:val="0"/>
              </w:numPr>
              <w:rPr>
                <w:sz w:val="18"/>
                <w:szCs w:val="18"/>
              </w:rPr>
            </w:pPr>
            <w:r>
              <w:rPr>
                <w:sz w:val="18"/>
                <w:szCs w:val="18"/>
              </w:rPr>
              <w:t>fatigue</w:t>
            </w:r>
          </w:p>
        </w:tc>
        <w:tc>
          <w:tcPr>
            <w:tcW w:w="2170" w:type="dxa"/>
          </w:tcPr>
          <w:p w:rsidR="008E1CBE" w:rsidRDefault="008E1CBE" w:rsidP="00E96A89">
            <w:pPr>
              <w:widowControl w:val="0"/>
              <w:numPr>
                <w:ilvl w:val="12"/>
                <w:numId w:val="0"/>
              </w:numPr>
              <w:rPr>
                <w:bCs/>
                <w:color w:val="000000"/>
                <w:sz w:val="18"/>
                <w:szCs w:val="18"/>
              </w:rPr>
            </w:pPr>
            <w:r w:rsidRPr="008E1CBE">
              <w:rPr>
                <w:sz w:val="18"/>
                <w:szCs w:val="18"/>
              </w:rPr>
              <w:t xml:space="preserve">CFS </w:t>
            </w:r>
            <w:r w:rsidRPr="008E1CBE">
              <w:rPr>
                <w:bCs/>
                <w:color w:val="000000"/>
                <w:sz w:val="18"/>
                <w:szCs w:val="18"/>
              </w:rPr>
              <w:t>8863-6354</w:t>
            </w:r>
          </w:p>
          <w:p w:rsidR="008E1CBE" w:rsidRPr="008E1CBE" w:rsidRDefault="008E1CBE" w:rsidP="00E96A89">
            <w:pPr>
              <w:widowControl w:val="0"/>
              <w:numPr>
                <w:ilvl w:val="12"/>
                <w:numId w:val="0"/>
              </w:numPr>
              <w:rPr>
                <w:sz w:val="18"/>
                <w:szCs w:val="18"/>
              </w:rPr>
            </w:pPr>
            <w:r w:rsidRPr="008E1CBE">
              <w:rPr>
                <w:bCs/>
                <w:color w:val="000000"/>
                <w:sz w:val="18"/>
                <w:szCs w:val="18"/>
              </w:rPr>
              <w:t>anemia 8877-7700</w:t>
            </w:r>
          </w:p>
        </w:tc>
        <w:tc>
          <w:tcPr>
            <w:tcW w:w="1280" w:type="dxa"/>
          </w:tcPr>
          <w:p w:rsidR="008E1CBE" w:rsidRDefault="00BD23A1" w:rsidP="00E96A89">
            <w:pPr>
              <w:widowControl w:val="0"/>
              <w:numPr>
                <w:ilvl w:val="12"/>
                <w:numId w:val="0"/>
              </w:numPr>
              <w:rPr>
                <w:i/>
              </w:rPr>
            </w:pPr>
            <w:r>
              <w:rPr>
                <w:sz w:val="18"/>
              </w:rPr>
              <w:t>11/2/94</w:t>
            </w:r>
          </w:p>
        </w:tc>
      </w:tr>
      <w:tr w:rsidR="008E1CBE" w:rsidTr="008E1CBE">
        <w:tc>
          <w:tcPr>
            <w:tcW w:w="6380" w:type="dxa"/>
          </w:tcPr>
          <w:p w:rsidR="008E1CBE" w:rsidRPr="008E1CBE" w:rsidRDefault="008E1CBE" w:rsidP="00E96A89">
            <w:pPr>
              <w:widowControl w:val="0"/>
              <w:numPr>
                <w:ilvl w:val="12"/>
                <w:numId w:val="0"/>
              </w:numPr>
              <w:rPr>
                <w:sz w:val="18"/>
                <w:szCs w:val="18"/>
              </w:rPr>
            </w:pPr>
            <w:r>
              <w:rPr>
                <w:sz w:val="18"/>
                <w:szCs w:val="18"/>
              </w:rPr>
              <w:t>s</w:t>
            </w:r>
            <w:r w:rsidRPr="008E1CBE">
              <w:rPr>
                <w:sz w:val="18"/>
                <w:szCs w:val="18"/>
              </w:rPr>
              <w:t>igns or symptoms involving skin</w:t>
            </w:r>
          </w:p>
        </w:tc>
        <w:tc>
          <w:tcPr>
            <w:tcW w:w="2170" w:type="dxa"/>
          </w:tcPr>
          <w:p w:rsidR="008E1CBE" w:rsidRPr="008E1CBE" w:rsidRDefault="008E1CBE" w:rsidP="00E96A89">
            <w:pPr>
              <w:widowControl w:val="0"/>
              <w:numPr>
                <w:ilvl w:val="12"/>
                <w:numId w:val="0"/>
              </w:numPr>
              <w:rPr>
                <w:bCs/>
                <w:color w:val="000000"/>
                <w:sz w:val="18"/>
                <w:szCs w:val="18"/>
              </w:rPr>
            </w:pPr>
            <w:r w:rsidRPr="008E1CBE">
              <w:rPr>
                <w:sz w:val="18"/>
                <w:szCs w:val="18"/>
              </w:rPr>
              <w:t>8878-7806</w:t>
            </w:r>
          </w:p>
        </w:tc>
        <w:tc>
          <w:tcPr>
            <w:tcW w:w="1280" w:type="dxa"/>
          </w:tcPr>
          <w:p w:rsidR="008E1CBE" w:rsidRPr="008E1CBE" w:rsidRDefault="00BD23A1" w:rsidP="00E96A89">
            <w:pPr>
              <w:widowControl w:val="0"/>
              <w:numPr>
                <w:ilvl w:val="12"/>
                <w:numId w:val="0"/>
              </w:numPr>
              <w:rPr>
                <w:sz w:val="18"/>
                <w:highlight w:val="yellow"/>
              </w:rPr>
            </w:pPr>
            <w:r>
              <w:rPr>
                <w:sz w:val="18"/>
              </w:rPr>
              <w:t>11/2/94</w:t>
            </w:r>
          </w:p>
        </w:tc>
      </w:tr>
      <w:tr w:rsidR="008E1CBE" w:rsidTr="008E1CBE">
        <w:tc>
          <w:tcPr>
            <w:tcW w:w="6380" w:type="dxa"/>
          </w:tcPr>
          <w:p w:rsidR="008E1CBE" w:rsidRPr="008E1CBE" w:rsidRDefault="008E1CBE" w:rsidP="00E96A89">
            <w:pPr>
              <w:widowControl w:val="0"/>
              <w:numPr>
                <w:ilvl w:val="12"/>
                <w:numId w:val="0"/>
              </w:numPr>
              <w:rPr>
                <w:sz w:val="18"/>
                <w:szCs w:val="18"/>
              </w:rPr>
            </w:pPr>
            <w:r>
              <w:rPr>
                <w:sz w:val="18"/>
                <w:szCs w:val="18"/>
              </w:rPr>
              <w:t>h</w:t>
            </w:r>
            <w:r w:rsidRPr="008E1CBE">
              <w:rPr>
                <w:sz w:val="18"/>
                <w:szCs w:val="18"/>
              </w:rPr>
              <w:t>eadache</w:t>
            </w:r>
          </w:p>
        </w:tc>
        <w:tc>
          <w:tcPr>
            <w:tcW w:w="2170" w:type="dxa"/>
          </w:tcPr>
          <w:p w:rsidR="008E1CBE" w:rsidRPr="008E1CBE" w:rsidRDefault="008E1CBE" w:rsidP="00E96A89">
            <w:pPr>
              <w:widowControl w:val="0"/>
              <w:numPr>
                <w:ilvl w:val="12"/>
                <w:numId w:val="0"/>
              </w:numPr>
              <w:rPr>
                <w:bCs/>
                <w:color w:val="000000"/>
                <w:sz w:val="18"/>
                <w:szCs w:val="18"/>
              </w:rPr>
            </w:pPr>
            <w:r w:rsidRPr="008E1CBE">
              <w:rPr>
                <w:sz w:val="18"/>
                <w:szCs w:val="18"/>
              </w:rPr>
              <w:t>8881-8100</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Pr="008E1CBE" w:rsidRDefault="008E1CBE" w:rsidP="00E96A89">
            <w:pPr>
              <w:widowControl w:val="0"/>
              <w:numPr>
                <w:ilvl w:val="12"/>
                <w:numId w:val="0"/>
              </w:numPr>
              <w:rPr>
                <w:sz w:val="18"/>
                <w:szCs w:val="18"/>
              </w:rPr>
            </w:pPr>
            <w:r>
              <w:rPr>
                <w:sz w:val="18"/>
                <w:szCs w:val="18"/>
              </w:rPr>
              <w:t>muscle pain</w:t>
            </w:r>
          </w:p>
        </w:tc>
        <w:tc>
          <w:tcPr>
            <w:tcW w:w="2170" w:type="dxa"/>
          </w:tcPr>
          <w:p w:rsidR="008E1CBE" w:rsidRPr="008E1CBE" w:rsidRDefault="008E1CBE" w:rsidP="00E96A89">
            <w:pPr>
              <w:widowControl w:val="0"/>
              <w:numPr>
                <w:ilvl w:val="12"/>
                <w:numId w:val="0"/>
              </w:numPr>
              <w:rPr>
                <w:sz w:val="18"/>
                <w:szCs w:val="18"/>
              </w:rPr>
            </w:pPr>
            <w:r>
              <w:rPr>
                <w:sz w:val="18"/>
                <w:szCs w:val="18"/>
              </w:rPr>
              <w:t>8850-5021</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Default="008E1CBE" w:rsidP="00E96A89">
            <w:pPr>
              <w:widowControl w:val="0"/>
              <w:numPr>
                <w:ilvl w:val="12"/>
                <w:numId w:val="0"/>
              </w:numPr>
              <w:rPr>
                <w:sz w:val="18"/>
                <w:szCs w:val="18"/>
              </w:rPr>
            </w:pPr>
            <w:r>
              <w:rPr>
                <w:sz w:val="18"/>
                <w:szCs w:val="18"/>
              </w:rPr>
              <w:t>joint pain</w:t>
            </w:r>
          </w:p>
        </w:tc>
        <w:tc>
          <w:tcPr>
            <w:tcW w:w="2170" w:type="dxa"/>
          </w:tcPr>
          <w:p w:rsidR="008E1CBE" w:rsidRDefault="008E1CBE" w:rsidP="00E96A89">
            <w:pPr>
              <w:widowControl w:val="0"/>
              <w:numPr>
                <w:ilvl w:val="12"/>
                <w:numId w:val="0"/>
              </w:numPr>
              <w:rPr>
                <w:sz w:val="18"/>
                <w:szCs w:val="18"/>
              </w:rPr>
            </w:pPr>
            <w:r>
              <w:rPr>
                <w:sz w:val="18"/>
                <w:szCs w:val="18"/>
              </w:rPr>
              <w:t>8850-5002</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Default="008E1CBE" w:rsidP="00E96A89">
            <w:pPr>
              <w:widowControl w:val="0"/>
              <w:numPr>
                <w:ilvl w:val="12"/>
                <w:numId w:val="0"/>
              </w:numPr>
              <w:rPr>
                <w:sz w:val="18"/>
                <w:szCs w:val="18"/>
              </w:rPr>
            </w:pPr>
            <w:r>
              <w:rPr>
                <w:sz w:val="18"/>
                <w:szCs w:val="18"/>
              </w:rPr>
              <w:t>neurological signs or symptoms</w:t>
            </w:r>
          </w:p>
        </w:tc>
        <w:tc>
          <w:tcPr>
            <w:tcW w:w="2170" w:type="dxa"/>
          </w:tcPr>
          <w:p w:rsidR="008E1CBE" w:rsidRDefault="008E1CBE" w:rsidP="00E96A89">
            <w:pPr>
              <w:widowControl w:val="0"/>
              <w:numPr>
                <w:ilvl w:val="12"/>
                <w:numId w:val="0"/>
              </w:numPr>
              <w:rPr>
                <w:sz w:val="18"/>
                <w:szCs w:val="18"/>
              </w:rPr>
            </w:pPr>
            <w:r w:rsidRPr="008E1CBE">
              <w:rPr>
                <w:sz w:val="18"/>
                <w:szCs w:val="18"/>
              </w:rPr>
              <w:t>seizure 8889-8910</w:t>
            </w:r>
            <w:r>
              <w:rPr>
                <w:sz w:val="18"/>
                <w:szCs w:val="18"/>
              </w:rPr>
              <w:t xml:space="preserve"> </w:t>
            </w:r>
          </w:p>
          <w:p w:rsidR="008E1CBE" w:rsidRDefault="008E1CBE" w:rsidP="00E96A89">
            <w:pPr>
              <w:widowControl w:val="0"/>
              <w:numPr>
                <w:ilvl w:val="12"/>
                <w:numId w:val="0"/>
              </w:numPr>
              <w:rPr>
                <w:sz w:val="18"/>
                <w:szCs w:val="18"/>
              </w:rPr>
            </w:pPr>
            <w:r>
              <w:rPr>
                <w:sz w:val="18"/>
                <w:szCs w:val="18"/>
              </w:rPr>
              <w:t>or 8885-85__</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Default="008E1CBE" w:rsidP="00E96A89">
            <w:pPr>
              <w:widowControl w:val="0"/>
              <w:numPr>
                <w:ilvl w:val="12"/>
                <w:numId w:val="0"/>
              </w:numPr>
              <w:rPr>
                <w:sz w:val="18"/>
                <w:szCs w:val="18"/>
              </w:rPr>
            </w:pPr>
            <w:r>
              <w:rPr>
                <w:sz w:val="18"/>
                <w:szCs w:val="18"/>
              </w:rPr>
              <w:t>n</w:t>
            </w:r>
            <w:r w:rsidRPr="008E1CBE">
              <w:rPr>
                <w:sz w:val="18"/>
                <w:szCs w:val="18"/>
              </w:rPr>
              <w:t>europsyc</w:t>
            </w:r>
            <w:r>
              <w:rPr>
                <w:sz w:val="18"/>
                <w:szCs w:val="18"/>
              </w:rPr>
              <w:t>hological signs or symptoms</w:t>
            </w:r>
          </w:p>
        </w:tc>
        <w:tc>
          <w:tcPr>
            <w:tcW w:w="2170" w:type="dxa"/>
          </w:tcPr>
          <w:p w:rsidR="008E1CBE" w:rsidRPr="008E1CBE" w:rsidRDefault="008E1CBE" w:rsidP="00E96A89">
            <w:pPr>
              <w:widowControl w:val="0"/>
              <w:numPr>
                <w:ilvl w:val="12"/>
                <w:numId w:val="0"/>
              </w:numPr>
              <w:rPr>
                <w:sz w:val="18"/>
                <w:szCs w:val="18"/>
              </w:rPr>
            </w:pPr>
            <w:r w:rsidRPr="008E1CBE">
              <w:rPr>
                <w:sz w:val="18"/>
                <w:szCs w:val="18"/>
              </w:rPr>
              <w:t>8893-9300</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Pr="008E1CBE" w:rsidRDefault="008E1CBE" w:rsidP="008E1CBE">
            <w:pPr>
              <w:pStyle w:val="NormalWeb"/>
              <w:rPr>
                <w:sz w:val="18"/>
                <w:szCs w:val="18"/>
              </w:rPr>
            </w:pPr>
            <w:r>
              <w:rPr>
                <w:sz w:val="18"/>
                <w:szCs w:val="18"/>
              </w:rPr>
              <w:t>s</w:t>
            </w:r>
            <w:r w:rsidRPr="008E1CBE">
              <w:rPr>
                <w:sz w:val="18"/>
                <w:szCs w:val="18"/>
              </w:rPr>
              <w:t>igns or symptoms involving the resp</w:t>
            </w:r>
            <w:r>
              <w:rPr>
                <w:sz w:val="18"/>
                <w:szCs w:val="18"/>
              </w:rPr>
              <w:t>iratory system (upper or lower)</w:t>
            </w:r>
          </w:p>
        </w:tc>
        <w:tc>
          <w:tcPr>
            <w:tcW w:w="2170" w:type="dxa"/>
          </w:tcPr>
          <w:p w:rsidR="008E1CBE" w:rsidRDefault="008E1CBE" w:rsidP="00E96A89">
            <w:pPr>
              <w:widowControl w:val="0"/>
              <w:numPr>
                <w:ilvl w:val="12"/>
                <w:numId w:val="0"/>
              </w:numPr>
              <w:rPr>
                <w:sz w:val="18"/>
                <w:szCs w:val="18"/>
              </w:rPr>
            </w:pPr>
            <w:r w:rsidRPr="008E1CBE">
              <w:rPr>
                <w:sz w:val="18"/>
                <w:szCs w:val="18"/>
              </w:rPr>
              <w:t>8865-65__</w:t>
            </w:r>
          </w:p>
          <w:p w:rsidR="008E1CBE" w:rsidRDefault="008E1CBE" w:rsidP="00E96A89">
            <w:pPr>
              <w:widowControl w:val="0"/>
              <w:numPr>
                <w:ilvl w:val="12"/>
                <w:numId w:val="0"/>
              </w:numPr>
              <w:rPr>
                <w:sz w:val="18"/>
                <w:szCs w:val="18"/>
              </w:rPr>
            </w:pPr>
            <w:r w:rsidRPr="008E1CBE">
              <w:rPr>
                <w:sz w:val="18"/>
                <w:szCs w:val="18"/>
              </w:rPr>
              <w:t xml:space="preserve">or 8866-66__ </w:t>
            </w:r>
          </w:p>
          <w:p w:rsidR="008E1CBE" w:rsidRPr="008E1CBE" w:rsidRDefault="008E1CBE" w:rsidP="00E96A89">
            <w:pPr>
              <w:widowControl w:val="0"/>
              <w:numPr>
                <w:ilvl w:val="12"/>
                <w:numId w:val="0"/>
              </w:numPr>
              <w:rPr>
                <w:sz w:val="18"/>
                <w:szCs w:val="18"/>
              </w:rPr>
            </w:pPr>
            <w:r w:rsidRPr="008E1CBE">
              <w:rPr>
                <w:sz w:val="18"/>
                <w:szCs w:val="18"/>
              </w:rPr>
              <w:t>or 8868-68</w:t>
            </w:r>
            <w:r>
              <w:rPr>
                <w:sz w:val="18"/>
                <w:szCs w:val="18"/>
              </w:rPr>
              <w:t>__</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Pr="008E1CBE" w:rsidRDefault="008E1CBE" w:rsidP="008E1CBE">
            <w:pPr>
              <w:pStyle w:val="NormalWeb"/>
              <w:rPr>
                <w:sz w:val="18"/>
                <w:szCs w:val="18"/>
              </w:rPr>
            </w:pPr>
            <w:r>
              <w:rPr>
                <w:sz w:val="18"/>
                <w:szCs w:val="18"/>
              </w:rPr>
              <w:t>sleep disturbances</w:t>
            </w:r>
          </w:p>
        </w:tc>
        <w:tc>
          <w:tcPr>
            <w:tcW w:w="2170" w:type="dxa"/>
          </w:tcPr>
          <w:p w:rsidR="008E1CBE" w:rsidRPr="008E1CBE" w:rsidRDefault="008E1CBE" w:rsidP="00E96A89">
            <w:pPr>
              <w:widowControl w:val="0"/>
              <w:numPr>
                <w:ilvl w:val="12"/>
                <w:numId w:val="0"/>
              </w:numPr>
              <w:rPr>
                <w:sz w:val="18"/>
                <w:szCs w:val="18"/>
              </w:rPr>
            </w:pPr>
            <w:r w:rsidRPr="008E1CBE">
              <w:rPr>
                <w:sz w:val="18"/>
                <w:szCs w:val="18"/>
              </w:rPr>
              <w:t>8894-9400</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Pr="008E1CBE" w:rsidRDefault="008E1CBE" w:rsidP="008E1CBE">
            <w:pPr>
              <w:pStyle w:val="NormalWeb"/>
              <w:rPr>
                <w:sz w:val="18"/>
                <w:szCs w:val="18"/>
              </w:rPr>
            </w:pPr>
            <w:r>
              <w:rPr>
                <w:sz w:val="18"/>
                <w:szCs w:val="18"/>
              </w:rPr>
              <w:t>g</w:t>
            </w:r>
            <w:r w:rsidRPr="008E1CBE">
              <w:rPr>
                <w:sz w:val="18"/>
                <w:szCs w:val="18"/>
              </w:rPr>
              <w:t>astrointestinal signs or symptoms</w:t>
            </w:r>
          </w:p>
        </w:tc>
        <w:tc>
          <w:tcPr>
            <w:tcW w:w="2170" w:type="dxa"/>
          </w:tcPr>
          <w:p w:rsidR="008E1CBE" w:rsidRDefault="008E1CBE" w:rsidP="008E1CBE">
            <w:pPr>
              <w:widowControl w:val="0"/>
              <w:numPr>
                <w:ilvl w:val="12"/>
                <w:numId w:val="0"/>
              </w:numPr>
              <w:rPr>
                <w:bCs/>
                <w:color w:val="000000"/>
                <w:sz w:val="18"/>
                <w:szCs w:val="18"/>
              </w:rPr>
            </w:pPr>
            <w:r w:rsidRPr="008E1CBE">
              <w:rPr>
                <w:bCs/>
                <w:color w:val="000000"/>
                <w:sz w:val="18"/>
                <w:szCs w:val="18"/>
              </w:rPr>
              <w:t>ulcer 8873-7305</w:t>
            </w:r>
            <w:r>
              <w:rPr>
                <w:bCs/>
                <w:color w:val="000000"/>
                <w:sz w:val="18"/>
                <w:szCs w:val="18"/>
              </w:rPr>
              <w:t xml:space="preserve"> hiatal hernia 8873-7346</w:t>
            </w:r>
          </w:p>
          <w:p w:rsidR="008E1CBE" w:rsidRDefault="008E1CBE" w:rsidP="008E1CBE">
            <w:pPr>
              <w:widowControl w:val="0"/>
              <w:numPr>
                <w:ilvl w:val="12"/>
                <w:numId w:val="0"/>
              </w:numPr>
              <w:rPr>
                <w:bCs/>
                <w:color w:val="000000"/>
                <w:sz w:val="18"/>
                <w:szCs w:val="18"/>
              </w:rPr>
            </w:pPr>
            <w:r w:rsidRPr="008E1CBE">
              <w:rPr>
                <w:bCs/>
                <w:color w:val="000000"/>
                <w:sz w:val="18"/>
                <w:szCs w:val="18"/>
              </w:rPr>
              <w:t>IBS 8873-7319</w:t>
            </w:r>
          </w:p>
          <w:p w:rsidR="008E1CBE" w:rsidRPr="008E1CBE" w:rsidRDefault="008E1CBE" w:rsidP="008E1CBE">
            <w:pPr>
              <w:widowControl w:val="0"/>
              <w:numPr>
                <w:ilvl w:val="12"/>
                <w:numId w:val="0"/>
              </w:numPr>
              <w:rPr>
                <w:sz w:val="18"/>
                <w:szCs w:val="18"/>
              </w:rPr>
            </w:pPr>
            <w:r>
              <w:rPr>
                <w:bCs/>
                <w:i/>
                <w:color w:val="000000"/>
                <w:sz w:val="18"/>
                <w:szCs w:val="18"/>
              </w:rPr>
              <w:t>also see GI above</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Pr="008E1CBE" w:rsidRDefault="008E1CBE" w:rsidP="008E1CBE">
            <w:pPr>
              <w:pStyle w:val="NormalWeb"/>
              <w:rPr>
                <w:sz w:val="18"/>
                <w:szCs w:val="18"/>
              </w:rPr>
            </w:pPr>
            <w:r>
              <w:rPr>
                <w:sz w:val="18"/>
                <w:szCs w:val="18"/>
              </w:rPr>
              <w:t>cardiovascular signs or symptoms</w:t>
            </w:r>
          </w:p>
        </w:tc>
        <w:tc>
          <w:tcPr>
            <w:tcW w:w="2170" w:type="dxa"/>
          </w:tcPr>
          <w:p w:rsidR="008E1CBE" w:rsidRDefault="008E1CBE" w:rsidP="00E96A89">
            <w:pPr>
              <w:widowControl w:val="0"/>
              <w:numPr>
                <w:ilvl w:val="12"/>
                <w:numId w:val="0"/>
              </w:numPr>
              <w:rPr>
                <w:sz w:val="18"/>
                <w:szCs w:val="18"/>
              </w:rPr>
            </w:pPr>
            <w:r w:rsidRPr="008E1CBE">
              <w:rPr>
                <w:sz w:val="18"/>
                <w:szCs w:val="18"/>
              </w:rPr>
              <w:t>8870-70</w:t>
            </w:r>
            <w:r>
              <w:rPr>
                <w:sz w:val="18"/>
                <w:szCs w:val="18"/>
              </w:rPr>
              <w:t>13</w:t>
            </w:r>
          </w:p>
          <w:p w:rsidR="008E1CBE" w:rsidRPr="008E1CBE" w:rsidRDefault="008E1CBE" w:rsidP="00E96A89">
            <w:pPr>
              <w:widowControl w:val="0"/>
              <w:numPr>
                <w:ilvl w:val="12"/>
                <w:numId w:val="0"/>
              </w:numPr>
              <w:rPr>
                <w:sz w:val="18"/>
                <w:szCs w:val="18"/>
              </w:rPr>
            </w:pPr>
            <w:r w:rsidRPr="008E1CBE">
              <w:rPr>
                <w:sz w:val="18"/>
                <w:szCs w:val="18"/>
              </w:rPr>
              <w:t>or 8870-7005</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Pr="008E1CBE" w:rsidRDefault="008E1CBE" w:rsidP="008E1CBE">
            <w:pPr>
              <w:pStyle w:val="NormalWeb"/>
              <w:rPr>
                <w:sz w:val="18"/>
                <w:szCs w:val="18"/>
              </w:rPr>
            </w:pPr>
            <w:r>
              <w:rPr>
                <w:sz w:val="18"/>
                <w:szCs w:val="18"/>
              </w:rPr>
              <w:t>abnormal weight loss</w:t>
            </w:r>
          </w:p>
        </w:tc>
        <w:tc>
          <w:tcPr>
            <w:tcW w:w="2170" w:type="dxa"/>
          </w:tcPr>
          <w:p w:rsidR="008E1CBE" w:rsidRPr="008E1CBE" w:rsidRDefault="008E1CBE" w:rsidP="00E96A89">
            <w:pPr>
              <w:widowControl w:val="0"/>
              <w:numPr>
                <w:ilvl w:val="12"/>
                <w:numId w:val="0"/>
              </w:numPr>
              <w:rPr>
                <w:sz w:val="18"/>
                <w:szCs w:val="18"/>
              </w:rPr>
            </w:pPr>
            <w:r w:rsidRPr="008E1CBE">
              <w:rPr>
                <w:sz w:val="18"/>
                <w:szCs w:val="18"/>
              </w:rPr>
              <w:t>8873-7328</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r w:rsidR="008E1CBE" w:rsidTr="008E1CBE">
        <w:tc>
          <w:tcPr>
            <w:tcW w:w="6380" w:type="dxa"/>
          </w:tcPr>
          <w:p w:rsidR="008E1CBE" w:rsidRPr="008E1CBE" w:rsidRDefault="008E1CBE" w:rsidP="008E1CBE">
            <w:pPr>
              <w:pStyle w:val="NormalWeb"/>
              <w:rPr>
                <w:sz w:val="18"/>
                <w:szCs w:val="18"/>
              </w:rPr>
            </w:pPr>
            <w:r>
              <w:rPr>
                <w:sz w:val="18"/>
                <w:szCs w:val="18"/>
              </w:rPr>
              <w:t>menstrual disorders</w:t>
            </w:r>
          </w:p>
        </w:tc>
        <w:tc>
          <w:tcPr>
            <w:tcW w:w="2170" w:type="dxa"/>
          </w:tcPr>
          <w:p w:rsidR="008E1CBE" w:rsidRPr="008E1CBE" w:rsidRDefault="008E1CBE" w:rsidP="00E96A89">
            <w:pPr>
              <w:widowControl w:val="0"/>
              <w:numPr>
                <w:ilvl w:val="12"/>
                <w:numId w:val="0"/>
              </w:numPr>
              <w:rPr>
                <w:sz w:val="18"/>
                <w:szCs w:val="18"/>
              </w:rPr>
            </w:pPr>
            <w:r w:rsidRPr="008E1CBE">
              <w:rPr>
                <w:sz w:val="18"/>
                <w:szCs w:val="18"/>
              </w:rPr>
              <w:t>8876-7622</w:t>
            </w:r>
          </w:p>
        </w:tc>
        <w:tc>
          <w:tcPr>
            <w:tcW w:w="1280" w:type="dxa"/>
          </w:tcPr>
          <w:p w:rsidR="008E1CBE" w:rsidRPr="008E1CBE" w:rsidRDefault="00BD23A1" w:rsidP="00E96A89">
            <w:pPr>
              <w:widowControl w:val="0"/>
              <w:numPr>
                <w:ilvl w:val="12"/>
                <w:numId w:val="0"/>
              </w:numPr>
              <w:spacing w:after="120"/>
              <w:rPr>
                <w:sz w:val="18"/>
                <w:highlight w:val="yellow"/>
              </w:rPr>
            </w:pPr>
            <w:r>
              <w:rPr>
                <w:sz w:val="18"/>
              </w:rPr>
              <w:t>11/2/94</w:t>
            </w:r>
          </w:p>
        </w:tc>
      </w:tr>
    </w:tbl>
    <w:p w:rsidR="008E1CBE" w:rsidRDefault="008E1CBE" w:rsidP="00AB261D"/>
    <w:p w:rsidR="00AB261D" w:rsidRDefault="00AB261D" w:rsidP="00AB261D">
      <w:r>
        <w:rPr>
          <w:noProof/>
        </w:rPr>
        <w:drawing>
          <wp:inline distT="0" distB="0" distL="0" distR="0" wp14:anchorId="38141C0F" wp14:editId="7685486F">
            <wp:extent cx="3923414" cy="1177025"/>
            <wp:effectExtent l="0" t="0" r="1270" b="4445"/>
            <wp:docPr id="24614" name="Picture 24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7"/>
                    <a:stretch>
                      <a:fillRect/>
                    </a:stretch>
                  </pic:blipFill>
                  <pic:spPr>
                    <a:xfrm>
                      <a:off x="0" y="0"/>
                      <a:ext cx="3922011" cy="1176604"/>
                    </a:xfrm>
                    <a:prstGeom prst="rect">
                      <a:avLst/>
                    </a:prstGeom>
                  </pic:spPr>
                </pic:pic>
              </a:graphicData>
            </a:graphic>
          </wp:inline>
        </w:drawing>
      </w:r>
    </w:p>
    <w:p w:rsidR="00AB261D" w:rsidRDefault="00AB261D" w:rsidP="00AB261D">
      <w:r>
        <w:rPr>
          <w:noProof/>
        </w:rPr>
        <w:drawing>
          <wp:inline distT="0" distB="0" distL="0" distR="0" wp14:anchorId="7238B41F" wp14:editId="0462F563">
            <wp:extent cx="3997842" cy="377155"/>
            <wp:effectExtent l="0" t="0" r="3175" b="4445"/>
            <wp:docPr id="24615" name="Picture 24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8"/>
                    <a:stretch>
                      <a:fillRect/>
                    </a:stretch>
                  </pic:blipFill>
                  <pic:spPr>
                    <a:xfrm>
                      <a:off x="0" y="0"/>
                      <a:ext cx="3996089" cy="376990"/>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636C8EA2" wp14:editId="56A8DB7B">
            <wp:extent cx="4104167" cy="814446"/>
            <wp:effectExtent l="0" t="0" r="0" b="5080"/>
            <wp:docPr id="24616" name="Picture 24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9"/>
                    <a:stretch>
                      <a:fillRect/>
                    </a:stretch>
                  </pic:blipFill>
                  <pic:spPr>
                    <a:xfrm>
                      <a:off x="0" y="0"/>
                      <a:ext cx="4121079" cy="817802"/>
                    </a:xfrm>
                    <a:prstGeom prst="rect">
                      <a:avLst/>
                    </a:prstGeom>
                  </pic:spPr>
                </pic:pic>
              </a:graphicData>
            </a:graphic>
          </wp:inline>
        </w:drawing>
      </w:r>
    </w:p>
    <w:p w:rsidR="00AB261D" w:rsidRDefault="00AB261D" w:rsidP="00AB261D">
      <w:r>
        <w:rPr>
          <w:noProof/>
        </w:rPr>
        <w:drawing>
          <wp:inline distT="0" distB="0" distL="0" distR="0" wp14:anchorId="26F8D67A" wp14:editId="3348C32A">
            <wp:extent cx="4199860" cy="281512"/>
            <wp:effectExtent l="0" t="0" r="0" b="4445"/>
            <wp:docPr id="24617" name="Picture 24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0"/>
                    <a:stretch>
                      <a:fillRect/>
                    </a:stretch>
                  </pic:blipFill>
                  <pic:spPr>
                    <a:xfrm>
                      <a:off x="0" y="0"/>
                      <a:ext cx="4218425" cy="282756"/>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0973E89E" wp14:editId="3EAFBE61">
            <wp:extent cx="4153695" cy="1233377"/>
            <wp:effectExtent l="0" t="0" r="0" b="5080"/>
            <wp:docPr id="24618" name="Picture 2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1"/>
                    <a:stretch>
                      <a:fillRect/>
                    </a:stretch>
                  </pic:blipFill>
                  <pic:spPr>
                    <a:xfrm>
                      <a:off x="0" y="0"/>
                      <a:ext cx="4150367" cy="1232389"/>
                    </a:xfrm>
                    <a:prstGeom prst="rect">
                      <a:avLst/>
                    </a:prstGeom>
                  </pic:spPr>
                </pic:pic>
              </a:graphicData>
            </a:graphic>
          </wp:inline>
        </w:drawing>
      </w:r>
    </w:p>
    <w:p w:rsidR="00AB261D" w:rsidRDefault="00AB261D" w:rsidP="00AB261D">
      <w:r>
        <w:rPr>
          <w:noProof/>
        </w:rPr>
        <w:drawing>
          <wp:inline distT="0" distB="0" distL="0" distR="0" wp14:anchorId="772765ED" wp14:editId="3D7E3B5F">
            <wp:extent cx="4104167" cy="432018"/>
            <wp:effectExtent l="0" t="0" r="0" b="6350"/>
            <wp:docPr id="24619" name="Picture 24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2"/>
                    <a:stretch>
                      <a:fillRect/>
                    </a:stretch>
                  </pic:blipFill>
                  <pic:spPr>
                    <a:xfrm>
                      <a:off x="0" y="0"/>
                      <a:ext cx="4136229" cy="435393"/>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2EB8722C" wp14:editId="7500C079">
            <wp:extent cx="4199860" cy="1158865"/>
            <wp:effectExtent l="0" t="0" r="0" b="3810"/>
            <wp:docPr id="24620" name="Picture 24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3"/>
                    <a:stretch>
                      <a:fillRect/>
                    </a:stretch>
                  </pic:blipFill>
                  <pic:spPr>
                    <a:xfrm>
                      <a:off x="0" y="0"/>
                      <a:ext cx="4210277" cy="1161739"/>
                    </a:xfrm>
                    <a:prstGeom prst="rect">
                      <a:avLst/>
                    </a:prstGeom>
                  </pic:spPr>
                </pic:pic>
              </a:graphicData>
            </a:graphic>
          </wp:inline>
        </w:drawing>
      </w:r>
    </w:p>
    <w:p w:rsidR="00AB261D" w:rsidRDefault="00AB261D" w:rsidP="00AB261D">
      <w:r>
        <w:rPr>
          <w:noProof/>
        </w:rPr>
        <w:drawing>
          <wp:inline distT="0" distB="0" distL="0" distR="0" wp14:anchorId="38E4CE87" wp14:editId="3CD3F286">
            <wp:extent cx="3997842" cy="291931"/>
            <wp:effectExtent l="0" t="0" r="3175" b="0"/>
            <wp:docPr id="24621" name="Picture 24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4"/>
                    <a:stretch>
                      <a:fillRect/>
                    </a:stretch>
                  </pic:blipFill>
                  <pic:spPr>
                    <a:xfrm>
                      <a:off x="0" y="0"/>
                      <a:ext cx="4068245" cy="297072"/>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2A0BE495" wp14:editId="254D032B">
            <wp:extent cx="4497572" cy="1790622"/>
            <wp:effectExtent l="0" t="0" r="0" b="635"/>
            <wp:docPr id="24622" name="Picture 24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5"/>
                    <a:stretch>
                      <a:fillRect/>
                    </a:stretch>
                  </pic:blipFill>
                  <pic:spPr>
                    <a:xfrm>
                      <a:off x="0" y="0"/>
                      <a:ext cx="4500115" cy="1791635"/>
                    </a:xfrm>
                    <a:prstGeom prst="rect">
                      <a:avLst/>
                    </a:prstGeom>
                  </pic:spPr>
                </pic:pic>
              </a:graphicData>
            </a:graphic>
          </wp:inline>
        </w:drawing>
      </w:r>
    </w:p>
    <w:p w:rsidR="00AB261D" w:rsidRDefault="00AB261D" w:rsidP="00AB261D">
      <w:r>
        <w:rPr>
          <w:noProof/>
        </w:rPr>
        <w:drawing>
          <wp:inline distT="0" distB="0" distL="0" distR="0" wp14:anchorId="167F56B3" wp14:editId="2E2DCED8">
            <wp:extent cx="4274288" cy="267143"/>
            <wp:effectExtent l="0" t="0" r="0" b="0"/>
            <wp:docPr id="24623" name="Picture 24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6"/>
                    <a:stretch>
                      <a:fillRect/>
                    </a:stretch>
                  </pic:blipFill>
                  <pic:spPr>
                    <a:xfrm>
                      <a:off x="0" y="0"/>
                      <a:ext cx="4277497" cy="267344"/>
                    </a:xfrm>
                    <a:prstGeom prst="rect">
                      <a:avLst/>
                    </a:prstGeom>
                  </pic:spPr>
                </pic:pic>
              </a:graphicData>
            </a:graphic>
          </wp:inline>
        </w:drawing>
      </w:r>
    </w:p>
    <w:p w:rsidR="00AB261D" w:rsidRDefault="00AB261D" w:rsidP="00AB261D"/>
    <w:p w:rsidR="00AB261D" w:rsidRDefault="00AB261D" w:rsidP="00AB261D"/>
    <w:p w:rsidR="00AB261D" w:rsidRDefault="00AB261D" w:rsidP="00AB261D">
      <w:r>
        <w:rPr>
          <w:noProof/>
        </w:rPr>
        <w:drawing>
          <wp:inline distT="0" distB="0" distL="0" distR="0" wp14:anchorId="2E6508B1" wp14:editId="750B2811">
            <wp:extent cx="4433777" cy="361084"/>
            <wp:effectExtent l="0" t="0" r="0" b="1270"/>
            <wp:docPr id="24624" name="Picture 24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7"/>
                    <a:stretch>
                      <a:fillRect/>
                    </a:stretch>
                  </pic:blipFill>
                  <pic:spPr>
                    <a:xfrm>
                      <a:off x="0" y="0"/>
                      <a:ext cx="4494549" cy="366033"/>
                    </a:xfrm>
                    <a:prstGeom prst="rect">
                      <a:avLst/>
                    </a:prstGeom>
                  </pic:spPr>
                </pic:pic>
              </a:graphicData>
            </a:graphic>
          </wp:inline>
        </w:drawing>
      </w:r>
    </w:p>
    <w:p w:rsidR="00AB261D" w:rsidRDefault="00AB261D" w:rsidP="00AB261D">
      <w:r>
        <w:rPr>
          <w:noProof/>
        </w:rPr>
        <w:drawing>
          <wp:inline distT="0" distB="0" distL="0" distR="0" wp14:anchorId="480D161A" wp14:editId="3915BBF0">
            <wp:extent cx="1333500" cy="304800"/>
            <wp:effectExtent l="0" t="0" r="0" b="0"/>
            <wp:docPr id="24625" name="Picture 24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8"/>
                    <a:stretch>
                      <a:fillRect/>
                    </a:stretch>
                  </pic:blipFill>
                  <pic:spPr>
                    <a:xfrm>
                      <a:off x="0" y="0"/>
                      <a:ext cx="1333500" cy="304800"/>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11D7AD86" wp14:editId="1A289E29">
            <wp:extent cx="4433777" cy="1288593"/>
            <wp:effectExtent l="0" t="0" r="5080" b="6985"/>
            <wp:docPr id="24626" name="Picture 24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9"/>
                    <a:stretch>
                      <a:fillRect/>
                    </a:stretch>
                  </pic:blipFill>
                  <pic:spPr>
                    <a:xfrm>
                      <a:off x="0" y="0"/>
                      <a:ext cx="4439210" cy="1290172"/>
                    </a:xfrm>
                    <a:prstGeom prst="rect">
                      <a:avLst/>
                    </a:prstGeom>
                  </pic:spPr>
                </pic:pic>
              </a:graphicData>
            </a:graphic>
          </wp:inline>
        </w:drawing>
      </w:r>
    </w:p>
    <w:p w:rsidR="00AB261D" w:rsidRDefault="00AB261D" w:rsidP="00AB261D">
      <w:r>
        <w:rPr>
          <w:noProof/>
        </w:rPr>
        <w:drawing>
          <wp:inline distT="0" distB="0" distL="0" distR="0" wp14:anchorId="23485261" wp14:editId="288D11A8">
            <wp:extent cx="946298" cy="208506"/>
            <wp:effectExtent l="0" t="0" r="6350" b="1270"/>
            <wp:docPr id="24627" name="Picture 24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0"/>
                    <a:stretch>
                      <a:fillRect/>
                    </a:stretch>
                  </pic:blipFill>
                  <pic:spPr>
                    <a:xfrm>
                      <a:off x="0" y="0"/>
                      <a:ext cx="958301" cy="211151"/>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46EB1945" wp14:editId="44355198">
            <wp:extent cx="4433777" cy="1291061"/>
            <wp:effectExtent l="0" t="0" r="5080" b="4445"/>
            <wp:docPr id="24628" name="Picture 24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1"/>
                    <a:stretch>
                      <a:fillRect/>
                    </a:stretch>
                  </pic:blipFill>
                  <pic:spPr>
                    <a:xfrm>
                      <a:off x="0" y="0"/>
                      <a:ext cx="4439210" cy="1292643"/>
                    </a:xfrm>
                    <a:prstGeom prst="rect">
                      <a:avLst/>
                    </a:prstGeom>
                  </pic:spPr>
                </pic:pic>
              </a:graphicData>
            </a:graphic>
          </wp:inline>
        </w:drawing>
      </w:r>
    </w:p>
    <w:p w:rsidR="00AB261D" w:rsidRDefault="00AB261D" w:rsidP="00AB261D">
      <w:r>
        <w:rPr>
          <w:noProof/>
        </w:rPr>
        <w:drawing>
          <wp:inline distT="0" distB="0" distL="0" distR="0" wp14:anchorId="4C8812C7" wp14:editId="1B453EFA">
            <wp:extent cx="2126512" cy="286910"/>
            <wp:effectExtent l="0" t="0" r="0" b="0"/>
            <wp:docPr id="24629" name="Picture 24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2"/>
                    <a:stretch>
                      <a:fillRect/>
                    </a:stretch>
                  </pic:blipFill>
                  <pic:spPr>
                    <a:xfrm>
                      <a:off x="0" y="0"/>
                      <a:ext cx="2159005" cy="291294"/>
                    </a:xfrm>
                    <a:prstGeom prst="rect">
                      <a:avLst/>
                    </a:prstGeom>
                  </pic:spPr>
                </pic:pic>
              </a:graphicData>
            </a:graphic>
          </wp:inline>
        </w:drawing>
      </w:r>
    </w:p>
    <w:p w:rsidR="00AB261D" w:rsidRPr="00220F93" w:rsidRDefault="00AB261D" w:rsidP="00AB261D">
      <w:pPr>
        <w:rPr>
          <w:i/>
          <w:color w:val="FF0000"/>
        </w:rPr>
      </w:pPr>
      <w:r>
        <w:rPr>
          <w:i/>
          <w:color w:val="FF0000"/>
        </w:rPr>
        <w:t>*the two scenarios above are the same, first an</w:t>
      </w:r>
      <w:r w:rsidRPr="00220F93">
        <w:rPr>
          <w:i/>
          <w:color w:val="FF0000"/>
        </w:rPr>
        <w:t xml:space="preserve">swer is 8873-7319, </w:t>
      </w:r>
      <w:r>
        <w:rPr>
          <w:i/>
          <w:color w:val="FF0000"/>
        </w:rPr>
        <w:t>second one is</w:t>
      </w:r>
      <w:r w:rsidRPr="00220F93">
        <w:rPr>
          <w:i/>
          <w:color w:val="FF0000"/>
        </w:rPr>
        <w:t xml:space="preserve"> 7346</w:t>
      </w:r>
    </w:p>
    <w:p w:rsidR="00AB261D" w:rsidRDefault="00AB261D" w:rsidP="00AB261D"/>
    <w:p w:rsidR="00AB261D" w:rsidRDefault="00AB261D" w:rsidP="00AB261D">
      <w:r>
        <w:rPr>
          <w:noProof/>
        </w:rPr>
        <w:drawing>
          <wp:inline distT="0" distB="0" distL="0" distR="0" wp14:anchorId="4A8DB8C3" wp14:editId="39F5F6AB">
            <wp:extent cx="4529470" cy="1230648"/>
            <wp:effectExtent l="0" t="0" r="4445" b="7620"/>
            <wp:docPr id="24630" name="Picture 24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3"/>
                    <a:stretch>
                      <a:fillRect/>
                    </a:stretch>
                  </pic:blipFill>
                  <pic:spPr>
                    <a:xfrm>
                      <a:off x="0" y="0"/>
                      <a:ext cx="4529470" cy="1230648"/>
                    </a:xfrm>
                    <a:prstGeom prst="rect">
                      <a:avLst/>
                    </a:prstGeom>
                  </pic:spPr>
                </pic:pic>
              </a:graphicData>
            </a:graphic>
          </wp:inline>
        </w:drawing>
      </w:r>
    </w:p>
    <w:p w:rsidR="00AB261D" w:rsidRDefault="00AB261D" w:rsidP="00AB261D">
      <w:r>
        <w:rPr>
          <w:noProof/>
        </w:rPr>
        <w:drawing>
          <wp:inline distT="0" distB="0" distL="0" distR="0" wp14:anchorId="2C04D231" wp14:editId="500073FF">
            <wp:extent cx="3338623" cy="339661"/>
            <wp:effectExtent l="0" t="0" r="0" b="3810"/>
            <wp:docPr id="24631" name="Picture 24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4"/>
                    <a:stretch>
                      <a:fillRect/>
                    </a:stretch>
                  </pic:blipFill>
                  <pic:spPr>
                    <a:xfrm>
                      <a:off x="0" y="0"/>
                      <a:ext cx="3338816" cy="339681"/>
                    </a:xfrm>
                    <a:prstGeom prst="rect">
                      <a:avLst/>
                    </a:prstGeom>
                  </pic:spPr>
                </pic:pic>
              </a:graphicData>
            </a:graphic>
          </wp:inline>
        </w:drawing>
      </w:r>
    </w:p>
    <w:p w:rsidR="00AB261D" w:rsidRDefault="00AB261D" w:rsidP="00AB261D">
      <w:r>
        <w:rPr>
          <w:noProof/>
        </w:rPr>
        <w:drawing>
          <wp:inline distT="0" distB="0" distL="0" distR="0" wp14:anchorId="3C6EE171" wp14:editId="04CB83CC">
            <wp:extent cx="4253023" cy="1631514"/>
            <wp:effectExtent l="0" t="0" r="0" b="6985"/>
            <wp:docPr id="24632" name="Picture 24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5"/>
                    <a:stretch>
                      <a:fillRect/>
                    </a:stretch>
                  </pic:blipFill>
                  <pic:spPr>
                    <a:xfrm>
                      <a:off x="0" y="0"/>
                      <a:ext cx="4253576" cy="1631726"/>
                    </a:xfrm>
                    <a:prstGeom prst="rect">
                      <a:avLst/>
                    </a:prstGeom>
                  </pic:spPr>
                </pic:pic>
              </a:graphicData>
            </a:graphic>
          </wp:inline>
        </w:drawing>
      </w:r>
    </w:p>
    <w:p w:rsidR="00AB261D" w:rsidRDefault="00AB261D" w:rsidP="00AB261D">
      <w:r>
        <w:rPr>
          <w:noProof/>
        </w:rPr>
        <w:drawing>
          <wp:inline distT="0" distB="0" distL="0" distR="0" wp14:anchorId="0E8BD120" wp14:editId="24E26BF4">
            <wp:extent cx="3551274" cy="286650"/>
            <wp:effectExtent l="0" t="0" r="0" b="0"/>
            <wp:docPr id="24633" name="Picture 24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6"/>
                    <a:stretch>
                      <a:fillRect/>
                    </a:stretch>
                  </pic:blipFill>
                  <pic:spPr>
                    <a:xfrm>
                      <a:off x="0" y="0"/>
                      <a:ext cx="3579017" cy="288889"/>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1D543361" wp14:editId="4243CB82">
            <wp:extent cx="4136065" cy="933950"/>
            <wp:effectExtent l="0" t="0" r="0" b="0"/>
            <wp:docPr id="24634" name="Picture 24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7"/>
                    <a:stretch>
                      <a:fillRect/>
                    </a:stretch>
                  </pic:blipFill>
                  <pic:spPr>
                    <a:xfrm>
                      <a:off x="0" y="0"/>
                      <a:ext cx="4136978" cy="934156"/>
                    </a:xfrm>
                    <a:prstGeom prst="rect">
                      <a:avLst/>
                    </a:prstGeom>
                  </pic:spPr>
                </pic:pic>
              </a:graphicData>
            </a:graphic>
          </wp:inline>
        </w:drawing>
      </w:r>
    </w:p>
    <w:p w:rsidR="00AB261D" w:rsidRDefault="00AB261D" w:rsidP="00AB261D">
      <w:r>
        <w:rPr>
          <w:noProof/>
        </w:rPr>
        <w:drawing>
          <wp:inline distT="0" distB="0" distL="0" distR="0" wp14:anchorId="3DE307B4" wp14:editId="49AB5730">
            <wp:extent cx="4231758" cy="402634"/>
            <wp:effectExtent l="0" t="0" r="0" b="0"/>
            <wp:docPr id="24635" name="Picture 24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8"/>
                    <a:stretch>
                      <a:fillRect/>
                    </a:stretch>
                  </pic:blipFill>
                  <pic:spPr>
                    <a:xfrm>
                      <a:off x="0" y="0"/>
                      <a:ext cx="4235009" cy="402943"/>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4D3C9B43" wp14:editId="291D367A">
            <wp:extent cx="4444409" cy="1152561"/>
            <wp:effectExtent l="0" t="0" r="0" b="9525"/>
            <wp:docPr id="24636" name="Picture 24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9"/>
                    <a:stretch>
                      <a:fillRect/>
                    </a:stretch>
                  </pic:blipFill>
                  <pic:spPr>
                    <a:xfrm>
                      <a:off x="0" y="0"/>
                      <a:ext cx="4463077" cy="1157402"/>
                    </a:xfrm>
                    <a:prstGeom prst="rect">
                      <a:avLst/>
                    </a:prstGeom>
                  </pic:spPr>
                </pic:pic>
              </a:graphicData>
            </a:graphic>
          </wp:inline>
        </w:drawing>
      </w:r>
    </w:p>
    <w:p w:rsidR="00AB261D" w:rsidRDefault="00AB261D" w:rsidP="00AB261D">
      <w:r>
        <w:rPr>
          <w:noProof/>
        </w:rPr>
        <w:drawing>
          <wp:inline distT="0" distB="0" distL="0" distR="0" wp14:anchorId="60BFB7B1" wp14:editId="35F6E52E">
            <wp:extent cx="3466214" cy="395418"/>
            <wp:effectExtent l="0" t="0" r="1270" b="5080"/>
            <wp:docPr id="24637" name="Picture 24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0"/>
                    <a:stretch>
                      <a:fillRect/>
                    </a:stretch>
                  </pic:blipFill>
                  <pic:spPr>
                    <a:xfrm>
                      <a:off x="0" y="0"/>
                      <a:ext cx="3474814" cy="396399"/>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5BC2F46B" wp14:editId="61279D7D">
            <wp:extent cx="4231758" cy="1035857"/>
            <wp:effectExtent l="0" t="0" r="0" b="0"/>
            <wp:docPr id="24638" name="Picture 24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1"/>
                    <a:stretch>
                      <a:fillRect/>
                    </a:stretch>
                  </pic:blipFill>
                  <pic:spPr>
                    <a:xfrm>
                      <a:off x="0" y="0"/>
                      <a:ext cx="4252454" cy="1040923"/>
                    </a:xfrm>
                    <a:prstGeom prst="rect">
                      <a:avLst/>
                    </a:prstGeom>
                  </pic:spPr>
                </pic:pic>
              </a:graphicData>
            </a:graphic>
          </wp:inline>
        </w:drawing>
      </w:r>
    </w:p>
    <w:p w:rsidR="00AB261D" w:rsidRDefault="00AB261D" w:rsidP="00AB261D">
      <w:r>
        <w:rPr>
          <w:noProof/>
        </w:rPr>
        <w:drawing>
          <wp:inline distT="0" distB="0" distL="0" distR="0" wp14:anchorId="47D19E79" wp14:editId="4FB96E89">
            <wp:extent cx="4061637" cy="351409"/>
            <wp:effectExtent l="0" t="0" r="0" b="0"/>
            <wp:docPr id="24639" name="Picture 24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2"/>
                    <a:stretch>
                      <a:fillRect/>
                    </a:stretch>
                  </pic:blipFill>
                  <pic:spPr>
                    <a:xfrm>
                      <a:off x="0" y="0"/>
                      <a:ext cx="4117308" cy="356226"/>
                    </a:xfrm>
                    <a:prstGeom prst="rect">
                      <a:avLst/>
                    </a:prstGeom>
                  </pic:spPr>
                </pic:pic>
              </a:graphicData>
            </a:graphic>
          </wp:inline>
        </w:drawing>
      </w:r>
    </w:p>
    <w:p w:rsidR="00AB261D" w:rsidRDefault="00AB261D" w:rsidP="00AB261D"/>
    <w:p w:rsidR="00AB261D" w:rsidRDefault="00AB261D" w:rsidP="00AB261D">
      <w:r>
        <w:rPr>
          <w:noProof/>
        </w:rPr>
        <w:drawing>
          <wp:inline distT="0" distB="0" distL="0" distR="0" wp14:anchorId="17D24ACC" wp14:editId="798C4375">
            <wp:extent cx="4231758" cy="1106028"/>
            <wp:effectExtent l="0" t="0" r="0" b="0"/>
            <wp:docPr id="24640" name="Picture 24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3"/>
                    <a:stretch>
                      <a:fillRect/>
                    </a:stretch>
                  </pic:blipFill>
                  <pic:spPr>
                    <a:xfrm>
                      <a:off x="0" y="0"/>
                      <a:ext cx="4231758" cy="1106028"/>
                    </a:xfrm>
                    <a:prstGeom prst="rect">
                      <a:avLst/>
                    </a:prstGeom>
                  </pic:spPr>
                </pic:pic>
              </a:graphicData>
            </a:graphic>
          </wp:inline>
        </w:drawing>
      </w:r>
    </w:p>
    <w:p w:rsidR="00AB261D" w:rsidRDefault="00AB261D" w:rsidP="00AB261D">
      <w:r>
        <w:rPr>
          <w:noProof/>
        </w:rPr>
        <w:drawing>
          <wp:inline distT="0" distB="0" distL="0" distR="0" wp14:anchorId="1504C70F" wp14:editId="73553EF9">
            <wp:extent cx="1860698" cy="199910"/>
            <wp:effectExtent l="0" t="0" r="0" b="0"/>
            <wp:docPr id="24641" name="Picture 24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4"/>
                    <a:stretch>
                      <a:fillRect/>
                    </a:stretch>
                  </pic:blipFill>
                  <pic:spPr>
                    <a:xfrm>
                      <a:off x="0" y="0"/>
                      <a:ext cx="1884293" cy="202445"/>
                    </a:xfrm>
                    <a:prstGeom prst="rect">
                      <a:avLst/>
                    </a:prstGeom>
                  </pic:spPr>
                </pic:pic>
              </a:graphicData>
            </a:graphic>
          </wp:inline>
        </w:drawing>
      </w:r>
    </w:p>
    <w:p w:rsidR="005D41AD" w:rsidRDefault="005D41AD" w:rsidP="003F619B">
      <w:pPr>
        <w:widowControl w:val="0"/>
        <w:numPr>
          <w:ilvl w:val="12"/>
          <w:numId w:val="0"/>
        </w:numPr>
      </w:pPr>
    </w:p>
    <w:p w:rsidR="003F619B" w:rsidRPr="003F619B" w:rsidRDefault="00D571C5" w:rsidP="00F063AF">
      <w:pPr>
        <w:pStyle w:val="ListParagraph"/>
        <w:widowControl w:val="0"/>
        <w:numPr>
          <w:ilvl w:val="0"/>
          <w:numId w:val="196"/>
        </w:numPr>
        <w:rPr>
          <w:rFonts w:ascii="Arial" w:eastAsiaTheme="minorHAnsi" w:hAnsi="Arial"/>
          <w:sz w:val="20"/>
          <w:szCs w:val="20"/>
        </w:rPr>
      </w:pPr>
      <w:hyperlink r:id="rId465" w:history="1">
        <w:r w:rsidR="003F619B" w:rsidRPr="003F619B">
          <w:rPr>
            <w:rStyle w:val="Hyperlink"/>
            <w:rFonts w:ascii="Arial" w:hAnsi="Arial"/>
            <w:b/>
            <w:bCs/>
            <w:i/>
            <w:sz w:val="20"/>
            <w:szCs w:val="20"/>
          </w:rPr>
          <w:t>August 2016 Quality Call Notes</w:t>
        </w:r>
      </w:hyperlink>
      <w:r w:rsidR="003F619B" w:rsidRPr="003F619B">
        <w:rPr>
          <w:i/>
        </w:rPr>
        <w:t xml:space="preserve"> </w:t>
      </w:r>
      <w:r w:rsidR="003F619B" w:rsidRPr="003F619B">
        <w:rPr>
          <w:rFonts w:eastAsiaTheme="minorHAnsi"/>
        </w:rPr>
        <w:t>–</w:t>
      </w:r>
      <w:r w:rsidR="003F619B">
        <w:rPr>
          <w:rFonts w:eastAsiaTheme="minorHAnsi"/>
        </w:rPr>
        <w:t xml:space="preserve"> </w:t>
      </w:r>
      <w:r w:rsidR="003F619B" w:rsidRPr="003F619B">
        <w:rPr>
          <w:rFonts w:ascii="Arial" w:hAnsi="Arial"/>
          <w:sz w:val="20"/>
          <w:szCs w:val="20"/>
        </w:rPr>
        <w:t xml:space="preserve">many ‘Gulf War General Medical Examinations’ are being requested for Veterans whose only service is in Afghanistan.  Afghanistan is not included in the Southwest Asia Theater of Operations – </w:t>
      </w:r>
      <w:hyperlink r:id="rId466" w:history="1">
        <w:r w:rsidR="003F619B" w:rsidRPr="003F619B">
          <w:rPr>
            <w:rStyle w:val="Hyperlink"/>
            <w:rFonts w:ascii="Arial" w:hAnsi="Arial"/>
            <w:sz w:val="20"/>
            <w:szCs w:val="20"/>
          </w:rPr>
          <w:t>M21-1, IV.ii.2.D.1.f</w:t>
        </w:r>
      </w:hyperlink>
      <w:r w:rsidR="003F619B" w:rsidRPr="003F619B">
        <w:rPr>
          <w:rFonts w:ascii="Arial" w:hAnsi="Arial"/>
          <w:sz w:val="20"/>
          <w:szCs w:val="20"/>
        </w:rPr>
        <w:t xml:space="preserve"> and </w:t>
      </w:r>
      <w:hyperlink r:id="rId467" w:history="1">
        <w:r w:rsidR="003F619B" w:rsidRPr="003F619B">
          <w:rPr>
            <w:rStyle w:val="Hyperlink"/>
            <w:rFonts w:ascii="Arial" w:hAnsi="Arial"/>
            <w:sz w:val="20"/>
            <w:szCs w:val="20"/>
          </w:rPr>
          <w:t>TMS # 4178422</w:t>
        </w:r>
      </w:hyperlink>
      <w:r w:rsidR="003F619B" w:rsidRPr="003F619B">
        <w:rPr>
          <w:rFonts w:ascii="Arial" w:hAnsi="Arial"/>
          <w:sz w:val="20"/>
          <w:szCs w:val="20"/>
        </w:rPr>
        <w:t xml:space="preserve"> (Claims Based on Environmental Hazards).</w:t>
      </w:r>
    </w:p>
    <w:p w:rsidR="003F619B" w:rsidRDefault="003F619B">
      <w:pPr>
        <w:widowControl w:val="0"/>
        <w:numPr>
          <w:ilvl w:val="12"/>
          <w:numId w:val="0"/>
        </w:numPr>
        <w:pBdr>
          <w:bottom w:val="single" w:sz="6" w:space="1" w:color="auto"/>
        </w:pBdr>
      </w:pPr>
    </w:p>
    <w:p w:rsidR="00013EB8" w:rsidRDefault="00013EB8">
      <w:pPr>
        <w:widowControl w:val="0"/>
        <w:rPr>
          <w:b/>
          <w:bCs/>
          <w:i/>
          <w:iCs/>
        </w:rPr>
      </w:pPr>
    </w:p>
    <w:p w:rsidR="00013EB8" w:rsidRDefault="00013EB8">
      <w:pPr>
        <w:widowControl w:val="0"/>
        <w:numPr>
          <w:ilvl w:val="12"/>
          <w:numId w:val="0"/>
        </w:numPr>
        <w:tabs>
          <w:tab w:val="left" w:pos="660"/>
          <w:tab w:val="left" w:pos="9390"/>
        </w:tabs>
        <w:ind w:left="-45"/>
        <w:rPr>
          <w:b/>
          <w:bCs/>
          <w:i/>
          <w:iCs/>
          <w:sz w:val="22"/>
        </w:rPr>
      </w:pPr>
      <w:bookmarkStart w:id="100" w:name="ALS"/>
      <w:r>
        <w:rPr>
          <w:b/>
          <w:bCs/>
          <w:i/>
          <w:iCs/>
          <w:sz w:val="22"/>
        </w:rPr>
        <w:t xml:space="preserve">Amyotrophic Lateral Sclerosis (ALS) </w:t>
      </w:r>
      <w:r w:rsidR="0099637C">
        <w:rPr>
          <w:b/>
          <w:bCs/>
          <w:i/>
          <w:iCs/>
          <w:sz w:val="22"/>
        </w:rPr>
        <w:t xml:space="preserve">– </w:t>
      </w:r>
      <w:r w:rsidR="00526485">
        <w:rPr>
          <w:b/>
          <w:bCs/>
          <w:iCs/>
        </w:rPr>
        <w:t>III.iv.4.N</w:t>
      </w:r>
      <w:r w:rsidR="0099637C" w:rsidRPr="0099637C">
        <w:rPr>
          <w:b/>
          <w:bCs/>
          <w:iCs/>
        </w:rPr>
        <w:t>.6</w:t>
      </w:r>
    </w:p>
    <w:bookmarkEnd w:id="100"/>
    <w:p w:rsidR="00013EB8" w:rsidRDefault="00013EB8">
      <w:pPr>
        <w:widowControl w:val="0"/>
        <w:numPr>
          <w:ilvl w:val="12"/>
          <w:numId w:val="0"/>
        </w:numPr>
        <w:tabs>
          <w:tab w:val="left" w:pos="660"/>
          <w:tab w:val="left" w:pos="9390"/>
        </w:tabs>
        <w:ind w:left="-45"/>
        <w:rPr>
          <w:b/>
        </w:rPr>
      </w:pPr>
    </w:p>
    <w:p w:rsidR="00013EB8" w:rsidRDefault="00013EB8" w:rsidP="006D58A3">
      <w:pPr>
        <w:pStyle w:val="Heading1"/>
        <w:keepNext w:val="0"/>
        <w:widowControl w:val="0"/>
        <w:spacing w:after="120"/>
        <w:rPr>
          <w:b/>
          <w:bCs/>
          <w:i w:val="0"/>
          <w:iCs w:val="0"/>
          <w:sz w:val="20"/>
        </w:rPr>
      </w:pPr>
      <w:r>
        <w:rPr>
          <w:sz w:val="20"/>
        </w:rPr>
        <w:t xml:space="preserve">ALS – 8017, eff 9/23/08 </w:t>
      </w:r>
      <w:r>
        <w:rPr>
          <w:sz w:val="20"/>
          <w:u w:val="single"/>
        </w:rPr>
        <w:t>anytime</w:t>
      </w:r>
      <w:r>
        <w:rPr>
          <w:sz w:val="20"/>
        </w:rPr>
        <w:t xml:space="preserve"> after service </w:t>
      </w:r>
      <w:r w:rsidR="00F275C8">
        <w:rPr>
          <w:sz w:val="20"/>
        </w:rPr>
        <w:t>if had at least 90 days of service</w:t>
      </w:r>
      <w:r w:rsidR="003C576F">
        <w:rPr>
          <w:sz w:val="20"/>
        </w:rPr>
        <w:t xml:space="preserve"> (unless evidence not incurred/aggravated or due to willful misconduct) [Bowers v. Shinseki says has to be active service or National Guard service that meets active service, cannot be active duty for training, see </w:t>
      </w:r>
      <w:r w:rsidR="00526485">
        <w:rPr>
          <w:b/>
          <w:i w:val="0"/>
          <w:sz w:val="20"/>
        </w:rPr>
        <w:t>III.iv.4.N</w:t>
      </w:r>
      <w:r w:rsidR="003C576F" w:rsidRPr="003C576F">
        <w:rPr>
          <w:b/>
          <w:i w:val="0"/>
          <w:sz w:val="20"/>
        </w:rPr>
        <w:t>.6.b</w:t>
      </w:r>
      <w:r w:rsidR="003C576F">
        <w:rPr>
          <w:sz w:val="20"/>
        </w:rPr>
        <w:t>]</w:t>
      </w:r>
      <w:r w:rsidR="00F275C8">
        <w:rPr>
          <w:sz w:val="20"/>
        </w:rPr>
        <w:t>, 3.114 applies</w:t>
      </w:r>
    </w:p>
    <w:p w:rsidR="00013EB8" w:rsidRDefault="00013EB8" w:rsidP="006D58A3">
      <w:pPr>
        <w:pStyle w:val="Heading1"/>
        <w:keepNext w:val="0"/>
        <w:widowControl w:val="0"/>
        <w:spacing w:after="120"/>
        <w:rPr>
          <w:sz w:val="20"/>
        </w:rPr>
      </w:pPr>
      <w:r w:rsidRPr="00AE0E75">
        <w:rPr>
          <w:b/>
          <w:bCs/>
          <w:i w:val="0"/>
          <w:iCs w:val="0"/>
          <w:sz w:val="20"/>
        </w:rPr>
        <w:t>3.318</w:t>
      </w:r>
      <w:r>
        <w:rPr>
          <w:b/>
          <w:bCs/>
          <w:i w:val="0"/>
          <w:iCs w:val="0"/>
          <w:sz w:val="20"/>
        </w:rPr>
        <w:t xml:space="preserve"> </w:t>
      </w:r>
      <w:r>
        <w:rPr>
          <w:bCs/>
          <w:i w:val="0"/>
          <w:iCs w:val="0"/>
          <w:sz w:val="20"/>
        </w:rPr>
        <w:t xml:space="preserve">- </w:t>
      </w:r>
      <w:r>
        <w:rPr>
          <w:sz w:val="20"/>
        </w:rPr>
        <w:t>Presumptive Service Connection for Amyotrophic Lateral Sclerosis – SC if manifested at any time after discharge or release and have active, continuous service of 90 days or more [cannot be due to willful misconduct or another cause]</w:t>
      </w:r>
    </w:p>
    <w:p w:rsidR="006D58A3" w:rsidRDefault="006D58A3" w:rsidP="006D58A3">
      <w:r>
        <w:t>ALS should be 100%, change dated 12/20/11, but effective</w:t>
      </w:r>
      <w:r>
        <w:rPr>
          <w:b/>
          <w:bCs/>
        </w:rPr>
        <w:t xml:space="preserve"> 1/19/12</w:t>
      </w:r>
      <w:r>
        <w:t>, subject to 3.114</w:t>
      </w:r>
    </w:p>
    <w:p w:rsidR="006D58A3" w:rsidRDefault="006D58A3" w:rsidP="006D58A3">
      <w:pPr>
        <w:widowControl w:val="0"/>
      </w:pPr>
      <w:r>
        <w:t>If a complication is 100%, do hyphenated as 8017-#### &amp; that satisfies the minimum 100% for ALS (&amp; cannot assign a separate 100% under 8017), then evaluate all other complications separately. If no single complication at 100%, evaluate ALL complications at 100% under 8017 &amp; include in the name of the disability (amyotrophic lateral sclerosis with loss of use of the left foot and partial ninth cranial nerve paralysis) &amp; consider SMC.</w:t>
      </w:r>
    </w:p>
    <w:p w:rsidR="006D58A3" w:rsidRDefault="006D58A3" w:rsidP="006D58A3">
      <w:pPr>
        <w:widowControl w:val="0"/>
      </w:pPr>
    </w:p>
    <w:p w:rsidR="006D58A3" w:rsidRDefault="00013EB8" w:rsidP="006D58A3">
      <w:pPr>
        <w:widowControl w:val="0"/>
        <w:rPr>
          <w:bCs/>
          <w:iCs/>
        </w:rPr>
      </w:pPr>
      <w:r w:rsidRPr="002E2D9E">
        <w:rPr>
          <w:b/>
          <w:i/>
        </w:rPr>
        <w:t xml:space="preserve">May 2012 </w:t>
      </w:r>
      <w:r w:rsidR="00EB6F0B" w:rsidRPr="002E2D9E">
        <w:rPr>
          <w:b/>
          <w:i/>
        </w:rPr>
        <w:t>Compensation Service Bulletin (CSB)</w:t>
      </w:r>
      <w:r>
        <w:rPr>
          <w:bCs/>
          <w:iCs/>
        </w:rPr>
        <w:t xml:space="preserve"> – </w:t>
      </w:r>
    </w:p>
    <w:p w:rsidR="00013EB8" w:rsidRDefault="00013EB8" w:rsidP="006D58A3">
      <w:pPr>
        <w:widowControl w:val="0"/>
      </w:pPr>
      <w:r>
        <w:rPr>
          <w:i/>
        </w:rPr>
        <w:t>Prior to the new regulation</w:t>
      </w:r>
      <w:r>
        <w:t>:  We assign a 30 percent minimum evaluation for ALS.  However, once complications progressed, the higher evaluation for complications, such as a 100 percent rating for loss of use (LOU) of the lower extremities, would exceed and replace the minimum 30 percent evaluation. </w:t>
      </w:r>
    </w:p>
    <w:p w:rsidR="00013EB8" w:rsidRDefault="00013EB8" w:rsidP="006D58A3">
      <w:pPr>
        <w:widowControl w:val="0"/>
      </w:pPr>
      <w:r>
        <w:t xml:space="preserve">   </w:t>
      </w:r>
    </w:p>
    <w:p w:rsidR="004B4279" w:rsidRDefault="00013EB8" w:rsidP="006D58A3">
      <w:pPr>
        <w:widowControl w:val="0"/>
      </w:pPr>
      <w:r>
        <w:rPr>
          <w:i/>
        </w:rPr>
        <w:t>Under the new regulation</w:t>
      </w:r>
      <w:r>
        <w:t xml:space="preserve">: </w:t>
      </w:r>
      <w:r w:rsidR="002F63D2">
        <w:t xml:space="preserve"> </w:t>
      </w:r>
      <w:r>
        <w:t>We assign a 100 percent minimum evaluation.  The Veteran subsequently develops LOU of the lower extremiti</w:t>
      </w:r>
      <w:r>
        <w:rPr>
          <w:color w:val="000000"/>
        </w:rPr>
        <w:t>es</w:t>
      </w:r>
      <w:r>
        <w:t xml:space="preserve">.  We assign a 100 percent evaluation for the LOU of the lower extremities.  This evaluation replaces the minimum 100 percent evaluation previously assigned when service connection for the disease was first established.  In this situation, </w:t>
      </w:r>
      <w:r>
        <w:rPr>
          <w:b/>
          <w:bCs/>
        </w:rPr>
        <w:t>d</w:t>
      </w:r>
      <w:r>
        <w:rPr>
          <w:b/>
        </w:rPr>
        <w:t>o not</w:t>
      </w:r>
      <w:r>
        <w:t xml:space="preserve"> grant the Veteran both a 100 percent evaluation on the basis of loss of use of the lower extremities and a separate 100 percent evaluation solely on the basis of a diagnosis of ALS.  If the Veteran has, in addition to loss of use of the lower extremities, loss of use of the upper extremities or bilateral blindness due to ALS, </w:t>
      </w:r>
      <w:r>
        <w:rPr>
          <w:i/>
        </w:rPr>
        <w:t>then</w:t>
      </w:r>
      <w:r>
        <w:t xml:space="preserve"> assign separate 100% evaluations with special monthly compensation gran</w:t>
      </w:r>
      <w:r w:rsidR="007E7D3D">
        <w:t xml:space="preserve">ted at the appropriate level.  </w:t>
      </w:r>
    </w:p>
    <w:p w:rsidR="00893BDA" w:rsidRDefault="00893BDA" w:rsidP="006D58A3">
      <w:pPr>
        <w:widowControl w:val="0"/>
      </w:pPr>
    </w:p>
    <w:p w:rsidR="00893BDA" w:rsidRPr="005F5D1E" w:rsidRDefault="00893BDA" w:rsidP="00893BDA">
      <w:pPr>
        <w:pBdr>
          <w:top w:val="double" w:sz="4" w:space="1" w:color="auto"/>
          <w:left w:val="double" w:sz="4" w:space="4" w:color="auto"/>
          <w:bottom w:val="double" w:sz="4" w:space="1" w:color="auto"/>
          <w:right w:val="double" w:sz="4" w:space="4" w:color="auto"/>
        </w:pBdr>
        <w:shd w:val="clear" w:color="auto" w:fill="FFC000"/>
        <w:spacing w:after="120"/>
        <w:ind w:left="360" w:right="332"/>
        <w:rPr>
          <w:rFonts w:eastAsiaTheme="minorHAnsi"/>
        </w:rPr>
      </w:pPr>
      <w:r>
        <w:rPr>
          <w:rFonts w:eastAsiaTheme="minorHAnsi"/>
          <w:b/>
        </w:rPr>
        <w:t>ALS-Neuromusclar DBQ Rating Help (from VA Pulse)</w:t>
      </w:r>
      <w:r>
        <w:rPr>
          <w:rFonts w:eastAsiaTheme="minorHAnsi"/>
        </w:rPr>
        <w:t xml:space="preserve"> is</w:t>
      </w:r>
      <w:r w:rsidRPr="0036376C">
        <w:t xml:space="preserve"> saved at </w:t>
      </w:r>
      <w:r w:rsidRPr="005F5D1E">
        <w:rPr>
          <w:b/>
          <w:bCs/>
          <w:i/>
          <w:iCs/>
        </w:rPr>
        <w:t>H:\VSC\Rating Reference</w:t>
      </w:r>
    </w:p>
    <w:p w:rsidR="00893BDA" w:rsidRPr="00893BDA" w:rsidRDefault="00893BDA" w:rsidP="006D58A3">
      <w:pPr>
        <w:widowControl w:val="0"/>
        <w:rPr>
          <w:i/>
        </w:rPr>
      </w:pPr>
      <w:r w:rsidRPr="00893BDA">
        <w:rPr>
          <w:i/>
        </w:rPr>
        <w:t>https://www.vapulse.net/docs/DOC-78794</w:t>
      </w:r>
    </w:p>
    <w:p w:rsidR="00C237D5" w:rsidRDefault="00C237D5" w:rsidP="006D58A3">
      <w:pPr>
        <w:widowControl w:val="0"/>
      </w:pPr>
    </w:p>
    <w:p w:rsidR="00C237D5" w:rsidRPr="00BE34D1" w:rsidRDefault="00C237D5"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sz w:val="20"/>
          <w:szCs w:val="20"/>
        </w:rPr>
        <w:t>Per Beth, 10/25/16, all should go to a prior SpecOps RVSR (Autumn, Geoff or Audrey) to rate (email Beth &amp; Sally if get one)</w:t>
      </w:r>
    </w:p>
    <w:p w:rsidR="00CD085F" w:rsidRPr="00CD085F" w:rsidRDefault="00CD085F" w:rsidP="00F063AF">
      <w:pPr>
        <w:pStyle w:val="ListParagraph"/>
        <w:numPr>
          <w:ilvl w:val="0"/>
          <w:numId w:val="177"/>
        </w:numPr>
        <w:spacing w:after="0" w:line="240" w:lineRule="auto"/>
        <w:ind w:left="720"/>
        <w:rPr>
          <w:rFonts w:ascii="Tahoma" w:hAnsi="Tahoma" w:cs="Tahoma"/>
        </w:rPr>
      </w:pPr>
      <w:r w:rsidRPr="00CD085F">
        <w:rPr>
          <w:rFonts w:ascii="Tahoma" w:hAnsi="Tahoma" w:cs="Tahoma"/>
          <w:b/>
          <w:bCs/>
        </w:rPr>
        <w:t>From:</w:t>
      </w:r>
      <w:r w:rsidRPr="00CD085F">
        <w:rPr>
          <w:rFonts w:ascii="Tahoma" w:hAnsi="Tahoma" w:cs="Tahoma"/>
        </w:rPr>
        <w:t xml:space="preserve"> VAVBASDC/RO/VSC </w:t>
      </w:r>
      <w:r w:rsidRPr="00CD085F">
        <w:rPr>
          <w:rFonts w:ascii="Tahoma" w:hAnsi="Tahoma" w:cs="Tahoma"/>
        </w:rPr>
        <w:br/>
      </w:r>
      <w:r w:rsidRPr="00CD085F">
        <w:rPr>
          <w:rFonts w:ascii="Tahoma" w:hAnsi="Tahoma" w:cs="Tahoma"/>
          <w:b/>
          <w:bCs/>
        </w:rPr>
        <w:t>Sent:</w:t>
      </w:r>
      <w:r w:rsidRPr="00CD085F">
        <w:rPr>
          <w:rFonts w:ascii="Tahoma" w:hAnsi="Tahoma" w:cs="Tahoma"/>
        </w:rPr>
        <w:t xml:space="preserve"> Friday, February 02, 2018 5:01 PM</w:t>
      </w:r>
    </w:p>
    <w:p w:rsidR="00CD085F" w:rsidRPr="00CD085F" w:rsidRDefault="00CD085F" w:rsidP="00CD085F">
      <w:pPr>
        <w:ind w:left="720"/>
        <w:rPr>
          <w:rFonts w:eastAsiaTheme="minorHAnsi"/>
          <w:sz w:val="22"/>
          <w:szCs w:val="22"/>
        </w:rPr>
      </w:pPr>
      <w:r>
        <w:t xml:space="preserve">RVSRs, </w:t>
      </w:r>
    </w:p>
    <w:p w:rsidR="00C237D5" w:rsidRPr="007E7D3D" w:rsidRDefault="00CD085F" w:rsidP="00CD085F">
      <w:pPr>
        <w:ind w:left="720"/>
      </w:pPr>
      <w:r>
        <w:t>As reminder, claims for ALS need to be rated by RVSRs with specialized training. If you have not been trained to rate ALS and have one assigned to you, please notify your Coach so the claim can be reassigned to an RVSR with ALS training.  </w:t>
      </w:r>
    </w:p>
    <w:p w:rsidR="00013EB8" w:rsidRDefault="00013EB8">
      <w:pPr>
        <w:widowControl w:val="0"/>
        <w:numPr>
          <w:ilvl w:val="12"/>
          <w:numId w:val="0"/>
        </w:numPr>
        <w:tabs>
          <w:tab w:val="left" w:pos="660"/>
          <w:tab w:val="left" w:pos="9390"/>
        </w:tabs>
        <w:ind w:left="-45"/>
        <w:rPr>
          <w:b/>
        </w:rPr>
      </w:pPr>
    </w:p>
    <w:p w:rsidR="00013EB8" w:rsidRDefault="00013EB8">
      <w:pPr>
        <w:widowControl w:val="0"/>
        <w:pBdr>
          <w:top w:val="single" w:sz="4" w:space="1" w:color="auto"/>
        </w:pBdr>
        <w:tabs>
          <w:tab w:val="left" w:pos="0"/>
          <w:tab w:val="left" w:pos="144"/>
        </w:tabs>
        <w:outlineLvl w:val="0"/>
      </w:pPr>
    </w:p>
    <w:p w:rsidR="00013EB8" w:rsidRDefault="00013EB8">
      <w:pPr>
        <w:pStyle w:val="Title"/>
        <w:widowControl w:val="0"/>
        <w:rPr>
          <w:rFonts w:ascii="Times New Roman" w:hAnsi="Times New Roman" w:cs="Times New Roman"/>
          <w:sz w:val="22"/>
        </w:rPr>
      </w:pPr>
      <w:bookmarkStart w:id="101" w:name="Cancer"/>
      <w:r>
        <w:rPr>
          <w:rFonts w:ascii="Times New Roman" w:hAnsi="Times New Roman" w:cs="Times New Roman"/>
          <w:sz w:val="22"/>
        </w:rPr>
        <w:t>CANCER CLASS by Celeste Otanez</w:t>
      </w:r>
    </w:p>
    <w:bookmarkEnd w:id="101"/>
    <w:p w:rsidR="00013EB8" w:rsidRDefault="00013EB8">
      <w:pPr>
        <w:widowControl w:val="0"/>
        <w:jc w:val="center"/>
        <w:rPr>
          <w:sz w:val="22"/>
        </w:rPr>
      </w:pPr>
    </w:p>
    <w:p w:rsidR="00013EB8" w:rsidRDefault="00013EB8">
      <w:pPr>
        <w:widowControl w:val="0"/>
        <w:rPr>
          <w:sz w:val="22"/>
        </w:rPr>
      </w:pPr>
      <w:r w:rsidRPr="00AE0E75">
        <w:rPr>
          <w:b/>
        </w:rPr>
        <w:t>3.309</w:t>
      </w:r>
      <w:r>
        <w:rPr>
          <w:sz w:val="22"/>
        </w:rPr>
        <w:t xml:space="preserve"> - cancer falls under one year presumptive, specifically listed as:</w:t>
      </w:r>
    </w:p>
    <w:p w:rsidR="00013EB8" w:rsidRDefault="00013EB8">
      <w:pPr>
        <w:widowControl w:val="0"/>
        <w:ind w:left="720"/>
        <w:rPr>
          <w:sz w:val="22"/>
        </w:rPr>
      </w:pPr>
      <w:r>
        <w:rPr>
          <w:sz w:val="22"/>
        </w:rPr>
        <w:t>tumors, malignant (includes sarcoma, lymphoma, skin tumors-Basal Cell Carcinoma, Squamous Cell Carcinoma)</w:t>
      </w:r>
    </w:p>
    <w:p w:rsidR="00013EB8" w:rsidRDefault="00013EB8">
      <w:pPr>
        <w:widowControl w:val="0"/>
        <w:ind w:firstLine="720"/>
        <w:rPr>
          <w:sz w:val="22"/>
        </w:rPr>
      </w:pPr>
      <w:r>
        <w:rPr>
          <w:sz w:val="22"/>
        </w:rPr>
        <w:t xml:space="preserve">Hodgkin’s </w:t>
      </w:r>
    </w:p>
    <w:p w:rsidR="00013EB8" w:rsidRDefault="00013EB8">
      <w:pPr>
        <w:widowControl w:val="0"/>
        <w:ind w:firstLine="720"/>
        <w:rPr>
          <w:sz w:val="22"/>
        </w:rPr>
      </w:pPr>
      <w:r>
        <w:rPr>
          <w:sz w:val="22"/>
        </w:rPr>
        <w:t xml:space="preserve">Leukemia </w:t>
      </w:r>
    </w:p>
    <w:p w:rsidR="00013EB8" w:rsidRDefault="00013EB8">
      <w:pPr>
        <w:widowControl w:val="0"/>
        <w:rPr>
          <w:sz w:val="22"/>
        </w:rPr>
      </w:pPr>
    </w:p>
    <w:p w:rsidR="00013EB8" w:rsidRDefault="00013EB8">
      <w:pPr>
        <w:widowControl w:val="0"/>
        <w:rPr>
          <w:sz w:val="22"/>
        </w:rPr>
      </w:pPr>
      <w:r>
        <w:rPr>
          <w:sz w:val="22"/>
        </w:rPr>
        <w:t>METASTATIC – primary tumor site</w:t>
      </w:r>
    </w:p>
    <w:p w:rsidR="00013EB8" w:rsidRDefault="00013EB8">
      <w:pPr>
        <w:widowControl w:val="0"/>
        <w:rPr>
          <w:sz w:val="22"/>
        </w:rPr>
      </w:pPr>
      <w:r>
        <w:rPr>
          <w:sz w:val="22"/>
        </w:rPr>
        <w:t xml:space="preserve">                   IS – d</w:t>
      </w:r>
      <w:r>
        <w:rPr>
          <w:b/>
          <w:bCs/>
          <w:sz w:val="22"/>
        </w:rPr>
        <w:t>IS</w:t>
      </w:r>
      <w:r>
        <w:rPr>
          <w:sz w:val="22"/>
        </w:rPr>
        <w:t>tant tumor site</w:t>
      </w:r>
    </w:p>
    <w:p w:rsidR="00013EB8" w:rsidRDefault="00013EB8">
      <w:pPr>
        <w:widowControl w:val="0"/>
        <w:rPr>
          <w:sz w:val="22"/>
        </w:rPr>
      </w:pPr>
      <w:r>
        <w:rPr>
          <w:sz w:val="22"/>
        </w:rPr>
        <w:t xml:space="preserve">                   ES – plural</w:t>
      </w:r>
    </w:p>
    <w:p w:rsidR="00013EB8" w:rsidRDefault="00013EB8">
      <w:pPr>
        <w:widowControl w:val="0"/>
        <w:rPr>
          <w:b/>
          <w:bCs/>
          <w:sz w:val="22"/>
        </w:rPr>
      </w:pPr>
      <w:r>
        <w:rPr>
          <w:sz w:val="22"/>
        </w:rPr>
        <w:tab/>
        <w:t xml:space="preserve">       IZE – new formations </w:t>
      </w:r>
    </w:p>
    <w:p w:rsidR="00013EB8" w:rsidRDefault="00013EB8">
      <w:pPr>
        <w:widowControl w:val="0"/>
        <w:rPr>
          <w:b/>
          <w:bCs/>
          <w:sz w:val="22"/>
        </w:rPr>
      </w:pPr>
    </w:p>
    <w:p w:rsidR="00013EB8" w:rsidRDefault="00013EB8">
      <w:pPr>
        <w:widowControl w:val="0"/>
        <w:rPr>
          <w:sz w:val="22"/>
        </w:rPr>
      </w:pPr>
      <w:r>
        <w:rPr>
          <w:b/>
          <w:bCs/>
          <w:sz w:val="22"/>
        </w:rPr>
        <w:t xml:space="preserve">You can get cancer anywhere and there is any diagnostic code for every body system.  It is to be used for all cancer related service-connected conditions. It stands alone for a 100% evaluation i.e. prostate cancer 7528 or is hyphenated if rated on the residuals i.e. 7528-7527 prostate cancer status post prostatectomy. </w:t>
      </w:r>
    </w:p>
    <w:p w:rsidR="00013EB8" w:rsidRDefault="00013EB8">
      <w:pPr>
        <w:widowControl w:val="0"/>
        <w:rPr>
          <w:sz w:val="22"/>
        </w:rPr>
      </w:pPr>
    </w:p>
    <w:p w:rsidR="00013EB8" w:rsidRPr="00AE0E75" w:rsidRDefault="00013EB8">
      <w:pPr>
        <w:widowControl w:val="0"/>
      </w:pPr>
      <w:r w:rsidRPr="00AE0E75">
        <w:rPr>
          <w:b/>
        </w:rPr>
        <w:t>3.309</w:t>
      </w:r>
      <w:r w:rsidRPr="00AE0E75">
        <w:t xml:space="preserve"> and </w:t>
      </w:r>
      <w:r w:rsidRPr="00AE0E75">
        <w:rPr>
          <w:b/>
        </w:rPr>
        <w:t>3.311</w:t>
      </w:r>
      <w:r w:rsidRPr="00AE0E75">
        <w:t xml:space="preserve"> special presumptive conditions</w:t>
      </w:r>
    </w:p>
    <w:p w:rsidR="00013EB8" w:rsidRDefault="00013EB8">
      <w:pPr>
        <w:widowControl w:val="0"/>
        <w:rPr>
          <w:sz w:val="22"/>
        </w:rPr>
      </w:pPr>
    </w:p>
    <w:p w:rsidR="00013EB8" w:rsidRDefault="00013EB8">
      <w:pPr>
        <w:widowControl w:val="0"/>
        <w:rPr>
          <w:sz w:val="22"/>
        </w:rPr>
      </w:pPr>
      <w:r>
        <w:rPr>
          <w:sz w:val="22"/>
        </w:rPr>
        <w:t xml:space="preserve">Agent Orange Exposure – </w:t>
      </w:r>
      <w:r w:rsidRPr="00AE0E75">
        <w:rPr>
          <w:b/>
        </w:rPr>
        <w:t>3.309</w:t>
      </w:r>
    </w:p>
    <w:p w:rsidR="00013EB8" w:rsidRDefault="00013EB8">
      <w:pPr>
        <w:widowControl w:val="0"/>
        <w:rPr>
          <w:sz w:val="22"/>
        </w:rPr>
      </w:pPr>
    </w:p>
    <w:p w:rsidR="00013EB8" w:rsidRDefault="00013EB8">
      <w:pPr>
        <w:widowControl w:val="0"/>
        <w:rPr>
          <w:sz w:val="22"/>
        </w:rPr>
      </w:pPr>
      <w:r>
        <w:rPr>
          <w:sz w:val="22"/>
        </w:rPr>
        <w:t xml:space="preserve">Radiation Exposure – </w:t>
      </w:r>
      <w:r w:rsidRPr="00AE0E75">
        <w:rPr>
          <w:b/>
        </w:rPr>
        <w:t>3.309</w:t>
      </w:r>
      <w:r>
        <w:rPr>
          <w:sz w:val="22"/>
        </w:rPr>
        <w:t xml:space="preserve"> specific cancers related to radiation risk activity</w:t>
      </w:r>
    </w:p>
    <w:p w:rsidR="00013EB8" w:rsidRDefault="00013EB8">
      <w:pPr>
        <w:widowControl w:val="0"/>
        <w:rPr>
          <w:sz w:val="22"/>
        </w:rPr>
      </w:pPr>
      <w:r>
        <w:rPr>
          <w:sz w:val="22"/>
        </w:rPr>
        <w:tab/>
        <w:t>Atmospheric detonation of a nuclear device</w:t>
      </w:r>
    </w:p>
    <w:p w:rsidR="00013EB8" w:rsidRDefault="00013EB8">
      <w:pPr>
        <w:widowControl w:val="0"/>
        <w:rPr>
          <w:sz w:val="22"/>
        </w:rPr>
      </w:pPr>
      <w:r>
        <w:rPr>
          <w:sz w:val="22"/>
        </w:rPr>
        <w:tab/>
        <w:t>Occupation of Hiroshima or Nagasaski</w:t>
      </w:r>
    </w:p>
    <w:p w:rsidR="00013EB8" w:rsidRDefault="00013EB8">
      <w:pPr>
        <w:widowControl w:val="0"/>
        <w:rPr>
          <w:sz w:val="22"/>
        </w:rPr>
      </w:pPr>
      <w:r>
        <w:rPr>
          <w:sz w:val="22"/>
        </w:rPr>
        <w:tab/>
        <w:t>WWII Japanese POW</w:t>
      </w:r>
    </w:p>
    <w:p w:rsidR="00013EB8" w:rsidRDefault="00013EB8">
      <w:pPr>
        <w:widowControl w:val="0"/>
        <w:rPr>
          <w:sz w:val="22"/>
        </w:rPr>
      </w:pPr>
      <w:r>
        <w:rPr>
          <w:sz w:val="22"/>
        </w:rPr>
        <w:tab/>
        <w:t>250 days or more at K25 Oak Ridge Tennessee before February 1, 1992</w:t>
      </w:r>
    </w:p>
    <w:p w:rsidR="00013EB8" w:rsidRDefault="00013EB8">
      <w:pPr>
        <w:widowControl w:val="0"/>
        <w:rPr>
          <w:sz w:val="22"/>
        </w:rPr>
      </w:pPr>
      <w:r>
        <w:rPr>
          <w:sz w:val="22"/>
        </w:rPr>
        <w:t xml:space="preserve">Radiation Exposure – </w:t>
      </w:r>
      <w:r w:rsidRPr="00AE0E75">
        <w:rPr>
          <w:b/>
          <w:bCs/>
          <w:sz w:val="22"/>
        </w:rPr>
        <w:t>3.311</w:t>
      </w:r>
      <w:r>
        <w:rPr>
          <w:sz w:val="22"/>
        </w:rPr>
        <w:t xml:space="preserve"> occupational exposure, etc.</w:t>
      </w:r>
    </w:p>
    <w:p w:rsidR="00013EB8" w:rsidRDefault="00013EB8">
      <w:pPr>
        <w:widowControl w:val="0"/>
        <w:rPr>
          <w:sz w:val="22"/>
        </w:rPr>
      </w:pPr>
      <w:r>
        <w:rPr>
          <w:sz w:val="22"/>
        </w:rPr>
        <w:tab/>
        <w:t>Doesn’t apply to chronic lymphatic leukemia or Hodgkin’s disease</w:t>
      </w:r>
    </w:p>
    <w:p w:rsidR="00013EB8" w:rsidRDefault="00013EB8">
      <w:pPr>
        <w:widowControl w:val="0"/>
        <w:ind w:left="720"/>
        <w:rPr>
          <w:sz w:val="22"/>
        </w:rPr>
      </w:pPr>
      <w:r>
        <w:rPr>
          <w:sz w:val="22"/>
        </w:rPr>
        <w:t>(xxiv) any other cancer – i.e. in theory the veteran could claim metastatic cancer of an unknown primary site as a result of radiation exposure</w:t>
      </w:r>
    </w:p>
    <w:p w:rsidR="00013EB8" w:rsidRDefault="00013EB8">
      <w:pPr>
        <w:widowControl w:val="0"/>
        <w:rPr>
          <w:sz w:val="22"/>
        </w:rPr>
      </w:pPr>
    </w:p>
    <w:p w:rsidR="00013EB8" w:rsidRDefault="00013EB8">
      <w:pPr>
        <w:widowControl w:val="0"/>
        <w:rPr>
          <w:sz w:val="22"/>
        </w:rPr>
      </w:pPr>
      <w:r>
        <w:rPr>
          <w:sz w:val="22"/>
        </w:rPr>
        <w:t>CANCER/NAVY - think asbestos exposure</w:t>
      </w:r>
    </w:p>
    <w:p w:rsidR="00013EB8" w:rsidRDefault="00013EB8">
      <w:pPr>
        <w:widowControl w:val="0"/>
        <w:rPr>
          <w:sz w:val="22"/>
        </w:rPr>
      </w:pPr>
      <w:r>
        <w:rPr>
          <w:sz w:val="22"/>
        </w:rPr>
        <w:t xml:space="preserve">Asbestos-Related Diseases originally issued as a circular on May 11, 1988 and can still be found in M21-1MR (manual re-write), Subpart ii, Chapter 2, Section C, Topic 9, page 2-C-5  </w:t>
      </w:r>
    </w:p>
    <w:p w:rsidR="00013EB8" w:rsidRDefault="00013EB8">
      <w:pPr>
        <w:widowControl w:val="0"/>
        <w:rPr>
          <w:sz w:val="22"/>
        </w:rPr>
      </w:pPr>
      <w:r>
        <w:rPr>
          <w:sz w:val="22"/>
        </w:rPr>
        <w:t xml:space="preserve">The extent and duration of exposure is not a factor.  </w:t>
      </w:r>
    </w:p>
    <w:p w:rsidR="00013EB8" w:rsidRDefault="00013EB8">
      <w:pPr>
        <w:widowControl w:val="0"/>
        <w:rPr>
          <w:sz w:val="22"/>
        </w:rPr>
      </w:pPr>
      <w:r>
        <w:rPr>
          <w:sz w:val="22"/>
        </w:rPr>
        <w:t xml:space="preserve">Exposure may be as little as a month or two, direct or indirect.  </w:t>
      </w:r>
    </w:p>
    <w:p w:rsidR="00013EB8" w:rsidRDefault="00013EB8">
      <w:pPr>
        <w:widowControl w:val="0"/>
        <w:rPr>
          <w:sz w:val="22"/>
        </w:rPr>
      </w:pPr>
      <w:r>
        <w:rPr>
          <w:sz w:val="22"/>
        </w:rPr>
        <w:t>The latent period varies from 10 to 45 or more years between first exposure and the development of disease.</w:t>
      </w:r>
    </w:p>
    <w:p w:rsidR="00013EB8" w:rsidRDefault="00013EB8">
      <w:pPr>
        <w:widowControl w:val="0"/>
        <w:rPr>
          <w:sz w:val="22"/>
        </w:rPr>
      </w:pPr>
      <w:r>
        <w:rPr>
          <w:sz w:val="22"/>
        </w:rPr>
        <w:t>Not a presumptive condition.</w:t>
      </w:r>
    </w:p>
    <w:p w:rsidR="00013EB8" w:rsidRDefault="00013EB8">
      <w:pPr>
        <w:widowControl w:val="0"/>
        <w:rPr>
          <w:sz w:val="22"/>
        </w:rPr>
      </w:pPr>
      <w:r>
        <w:rPr>
          <w:sz w:val="22"/>
        </w:rPr>
        <w:t xml:space="preserve">The most common type of exposure: shipyards, military ships, demolition of old buildings, carpentry and construction, clutch facings and brake linings, etc.  </w:t>
      </w:r>
    </w:p>
    <w:p w:rsidR="00013EB8" w:rsidRDefault="00013EB8">
      <w:pPr>
        <w:widowControl w:val="0"/>
        <w:rPr>
          <w:sz w:val="22"/>
        </w:rPr>
      </w:pPr>
      <w:r>
        <w:rPr>
          <w:sz w:val="22"/>
        </w:rPr>
        <w:t xml:space="preserve">You must determine: </w:t>
      </w:r>
    </w:p>
    <w:p w:rsidR="00013EB8" w:rsidRDefault="00013EB8" w:rsidP="00691877">
      <w:pPr>
        <w:widowControl w:val="0"/>
        <w:numPr>
          <w:ilvl w:val="0"/>
          <w:numId w:val="10"/>
        </w:numPr>
        <w:rPr>
          <w:sz w:val="22"/>
        </w:rPr>
      </w:pPr>
      <w:r>
        <w:rPr>
          <w:sz w:val="22"/>
        </w:rPr>
        <w:t>Whether the military records show evidence of asbestos exposure in service (STRs, DD214)</w:t>
      </w:r>
    </w:p>
    <w:p w:rsidR="00013EB8" w:rsidRDefault="00013EB8" w:rsidP="00691877">
      <w:pPr>
        <w:widowControl w:val="0"/>
        <w:numPr>
          <w:ilvl w:val="0"/>
          <w:numId w:val="10"/>
        </w:numPr>
        <w:rPr>
          <w:sz w:val="22"/>
        </w:rPr>
      </w:pPr>
      <w:r>
        <w:rPr>
          <w:sz w:val="22"/>
        </w:rPr>
        <w:t xml:space="preserve">Is there pre-service and/or post-service asbestos exposure.  </w:t>
      </w:r>
    </w:p>
    <w:p w:rsidR="00013EB8" w:rsidRDefault="00013EB8" w:rsidP="00691877">
      <w:pPr>
        <w:widowControl w:val="0"/>
        <w:numPr>
          <w:ilvl w:val="0"/>
          <w:numId w:val="10"/>
        </w:numPr>
        <w:rPr>
          <w:sz w:val="22"/>
        </w:rPr>
      </w:pPr>
      <w:r>
        <w:rPr>
          <w:sz w:val="22"/>
        </w:rPr>
        <w:t xml:space="preserve">The relationship between asbestos exposure and the claimed diseases, keeping in mind the delayed onset of disease.  </w:t>
      </w:r>
    </w:p>
    <w:p w:rsidR="00013EB8" w:rsidRDefault="00013EB8" w:rsidP="00691877">
      <w:pPr>
        <w:widowControl w:val="0"/>
        <w:numPr>
          <w:ilvl w:val="0"/>
          <w:numId w:val="10"/>
        </w:numPr>
        <w:rPr>
          <w:sz w:val="22"/>
        </w:rPr>
      </w:pPr>
      <w:r>
        <w:rPr>
          <w:sz w:val="22"/>
        </w:rPr>
        <w:t>Reasonable doubt applies. THE REASONABLE DOUBT DOCTRINE IS FOR CONSIDERATION IN SUCH CLAIMS.</w:t>
      </w:r>
    </w:p>
    <w:p w:rsidR="00013EB8" w:rsidRDefault="00013EB8">
      <w:pPr>
        <w:widowControl w:val="0"/>
        <w:rPr>
          <w:b/>
          <w:bCs/>
          <w:sz w:val="22"/>
        </w:rPr>
      </w:pPr>
      <w:r>
        <w:rPr>
          <w:sz w:val="22"/>
        </w:rPr>
        <w:t xml:space="preserve">Asbestos fibers float in the air and may be </w:t>
      </w:r>
      <w:r>
        <w:rPr>
          <w:b/>
          <w:bCs/>
          <w:sz w:val="22"/>
        </w:rPr>
        <w:t>swallowed or inhaled.</w:t>
      </w:r>
    </w:p>
    <w:p w:rsidR="00013EB8" w:rsidRDefault="00013EB8">
      <w:pPr>
        <w:pStyle w:val="Heading1"/>
        <w:keepNext w:val="0"/>
        <w:widowControl w:val="0"/>
        <w:rPr>
          <w:sz w:val="22"/>
        </w:rPr>
      </w:pPr>
      <w:r>
        <w:rPr>
          <w:sz w:val="22"/>
        </w:rPr>
        <w:t>Most common disease is:</w:t>
      </w:r>
    </w:p>
    <w:p w:rsidR="00013EB8" w:rsidRDefault="00013EB8">
      <w:pPr>
        <w:pStyle w:val="Heading1"/>
        <w:keepNext w:val="0"/>
        <w:widowControl w:val="0"/>
        <w:ind w:firstLine="720"/>
        <w:rPr>
          <w:sz w:val="22"/>
        </w:rPr>
      </w:pPr>
      <w:r>
        <w:rPr>
          <w:sz w:val="22"/>
        </w:rPr>
        <w:t>interstitial pulmonary fibrosis/asbestosis</w:t>
      </w:r>
    </w:p>
    <w:p w:rsidR="00013EB8" w:rsidRDefault="00013EB8">
      <w:pPr>
        <w:widowControl w:val="0"/>
        <w:ind w:firstLine="720"/>
        <w:rPr>
          <w:sz w:val="22"/>
        </w:rPr>
      </w:pPr>
      <w:r>
        <w:rPr>
          <w:sz w:val="22"/>
        </w:rPr>
        <w:t>mesothelioma is synonymous with asbestos exposure</w:t>
      </w:r>
    </w:p>
    <w:p w:rsidR="00013EB8" w:rsidRDefault="00013EB8">
      <w:pPr>
        <w:widowControl w:val="0"/>
        <w:ind w:firstLine="720"/>
        <w:rPr>
          <w:sz w:val="22"/>
        </w:rPr>
      </w:pPr>
      <w:r>
        <w:rPr>
          <w:sz w:val="22"/>
        </w:rPr>
        <w:t>pleural plaques</w:t>
      </w:r>
    </w:p>
    <w:p w:rsidR="00013EB8" w:rsidRDefault="00013EB8">
      <w:pPr>
        <w:widowControl w:val="0"/>
        <w:ind w:firstLine="720"/>
        <w:rPr>
          <w:sz w:val="22"/>
        </w:rPr>
      </w:pPr>
      <w:r>
        <w:rPr>
          <w:sz w:val="22"/>
        </w:rPr>
        <w:t>pleural effusions and fibrosis</w:t>
      </w:r>
    </w:p>
    <w:p w:rsidR="00013EB8" w:rsidRDefault="00013EB8">
      <w:pPr>
        <w:widowControl w:val="0"/>
        <w:rPr>
          <w:sz w:val="22"/>
        </w:rPr>
      </w:pPr>
      <w:r>
        <w:rPr>
          <w:sz w:val="22"/>
        </w:rPr>
        <w:t>Asbestos fibers may also produce:</w:t>
      </w:r>
    </w:p>
    <w:p w:rsidR="00013EB8" w:rsidRDefault="00013EB8" w:rsidP="00691877">
      <w:pPr>
        <w:widowControl w:val="0"/>
        <w:numPr>
          <w:ilvl w:val="0"/>
          <w:numId w:val="11"/>
        </w:numPr>
        <w:rPr>
          <w:sz w:val="22"/>
        </w:rPr>
      </w:pPr>
      <w:r>
        <w:rPr>
          <w:sz w:val="22"/>
        </w:rPr>
        <w:t>lung cancer, not limited to the pleura/mesothelioma, not limited by cell type</w:t>
      </w:r>
    </w:p>
    <w:p w:rsidR="00013EB8" w:rsidRDefault="00013EB8" w:rsidP="00691877">
      <w:pPr>
        <w:widowControl w:val="0"/>
        <w:numPr>
          <w:ilvl w:val="0"/>
          <w:numId w:val="11"/>
        </w:numPr>
        <w:rPr>
          <w:sz w:val="22"/>
        </w:rPr>
      </w:pPr>
      <w:r>
        <w:rPr>
          <w:sz w:val="22"/>
        </w:rPr>
        <w:t>gastrointestinal tract cancer</w:t>
      </w:r>
    </w:p>
    <w:p w:rsidR="00013EB8" w:rsidRDefault="00013EB8" w:rsidP="00691877">
      <w:pPr>
        <w:widowControl w:val="0"/>
        <w:numPr>
          <w:ilvl w:val="0"/>
          <w:numId w:val="11"/>
        </w:numPr>
        <w:rPr>
          <w:sz w:val="22"/>
        </w:rPr>
      </w:pPr>
      <w:r>
        <w:rPr>
          <w:sz w:val="22"/>
        </w:rPr>
        <w:t>cancer of the larynx and pharynx</w:t>
      </w:r>
    </w:p>
    <w:p w:rsidR="00013EB8" w:rsidRDefault="00013EB8" w:rsidP="00691877">
      <w:pPr>
        <w:widowControl w:val="0"/>
        <w:numPr>
          <w:ilvl w:val="0"/>
          <w:numId w:val="11"/>
        </w:numPr>
        <w:rPr>
          <w:sz w:val="22"/>
        </w:rPr>
      </w:pPr>
      <w:r>
        <w:rPr>
          <w:sz w:val="22"/>
        </w:rPr>
        <w:t>urogenital cancer, but not prostate cancer</w:t>
      </w:r>
    </w:p>
    <w:p w:rsidR="00013EB8" w:rsidRDefault="00013EB8">
      <w:pPr>
        <w:widowControl w:val="0"/>
        <w:rPr>
          <w:sz w:val="22"/>
        </w:rPr>
      </w:pPr>
    </w:p>
    <w:p w:rsidR="00013EB8" w:rsidRDefault="00013EB8">
      <w:pPr>
        <w:widowControl w:val="0"/>
        <w:rPr>
          <w:sz w:val="22"/>
        </w:rPr>
      </w:pPr>
      <w:r>
        <w:rPr>
          <w:sz w:val="22"/>
        </w:rPr>
        <w:t xml:space="preserve">TREATMENT AND THE REGS </w:t>
      </w:r>
    </w:p>
    <w:p w:rsidR="00013EB8" w:rsidRDefault="00013EB8">
      <w:pPr>
        <w:widowControl w:val="0"/>
        <w:rPr>
          <w:sz w:val="22"/>
        </w:rPr>
      </w:pPr>
      <w:r>
        <w:rPr>
          <w:sz w:val="22"/>
        </w:rPr>
        <w:t xml:space="preserve">Cancer is evaluated at 100% until the cessation/discontinuance of therapeutic procedures.  After the specified time stated in the diagnostic code has passed, the appropriate disability rating shall be determined by </w:t>
      </w:r>
      <w:r>
        <w:rPr>
          <w:b/>
          <w:bCs/>
          <w:sz w:val="22"/>
        </w:rPr>
        <w:t>mandatory VA examination</w:t>
      </w:r>
      <w:r>
        <w:rPr>
          <w:sz w:val="22"/>
        </w:rPr>
        <w:t xml:space="preserve">.  Any change in evaluation based upon that or any subsequent examination shall be subject to the provisions of 3.305(e).  If there has been no local recurrence or metastasis, rate on residuals.  </w:t>
      </w:r>
    </w:p>
    <w:p w:rsidR="00013EB8" w:rsidRDefault="00013EB8">
      <w:pPr>
        <w:widowControl w:val="0"/>
        <w:rPr>
          <w:sz w:val="22"/>
        </w:rPr>
      </w:pPr>
      <w:r>
        <w:rPr>
          <w:sz w:val="22"/>
        </w:rPr>
        <w:t>EXCEPTIONS WHEN A “MANDATORY” VA EXAMINATION IS NOT NEEDED.</w:t>
      </w:r>
    </w:p>
    <w:p w:rsidR="00013EB8" w:rsidRDefault="00013EB8">
      <w:pPr>
        <w:widowControl w:val="0"/>
        <w:rPr>
          <w:sz w:val="22"/>
        </w:rPr>
      </w:pPr>
      <w:r>
        <w:rPr>
          <w:sz w:val="22"/>
        </w:rPr>
        <w:t>If the medical records show the veteran has terminal cancer that would be considered chronic, incurable, and does not need a</w:t>
      </w:r>
      <w:r w:rsidR="00F46384">
        <w:rPr>
          <w:sz w:val="22"/>
        </w:rPr>
        <w:t xml:space="preserve"> routine </w:t>
      </w:r>
      <w:r>
        <w:rPr>
          <w:sz w:val="22"/>
        </w:rPr>
        <w:t xml:space="preserve">future exam </w:t>
      </w:r>
      <w:r w:rsidR="00F46384">
        <w:rPr>
          <w:sz w:val="22"/>
        </w:rPr>
        <w:t xml:space="preserve">/ RFE </w:t>
      </w:r>
      <w:r>
        <w:rPr>
          <w:sz w:val="22"/>
        </w:rPr>
        <w:t xml:space="preserve">as it is considered permanent.  </w:t>
      </w:r>
    </w:p>
    <w:p w:rsidR="00013EB8" w:rsidRDefault="00013EB8">
      <w:pPr>
        <w:pStyle w:val="BodyText"/>
        <w:widowControl w:val="0"/>
        <w:rPr>
          <w:sz w:val="22"/>
        </w:rPr>
      </w:pPr>
      <w:r>
        <w:rPr>
          <w:sz w:val="22"/>
        </w:rPr>
        <w:t xml:space="preserve">Be careful what you say in your rating.  The vet might not know that he has cancer, let alone that the cancer is worse.  It is up to the doctor to notify the vet of his medical condition or any change.  The doctor may not want the vet to know, i.e. suicidal.  </w:t>
      </w:r>
    </w:p>
    <w:p w:rsidR="00013EB8" w:rsidRDefault="00013EB8">
      <w:pPr>
        <w:widowControl w:val="0"/>
        <w:rPr>
          <w:sz w:val="22"/>
        </w:rPr>
      </w:pPr>
      <w:r>
        <w:rPr>
          <w:sz w:val="22"/>
        </w:rPr>
        <w:t xml:space="preserve">If there are medical records showing local recurrence or metastasis, the 100% evaluation is permanent.  </w:t>
      </w:r>
      <w:r>
        <w:rPr>
          <w:b/>
          <w:bCs/>
          <w:sz w:val="22"/>
        </w:rPr>
        <w:t>Why?  Because the prognosis is now worse, the treatment has failed.</w:t>
      </w:r>
      <w:r w:rsidR="0063662F">
        <w:rPr>
          <w:b/>
          <w:bCs/>
          <w:sz w:val="22"/>
        </w:rPr>
        <w:t xml:space="preserve"> </w:t>
      </w:r>
      <w:r>
        <w:rPr>
          <w:b/>
          <w:bCs/>
          <w:sz w:val="22"/>
        </w:rPr>
        <w:t xml:space="preserve">No </w:t>
      </w:r>
      <w:r w:rsidR="00F46384">
        <w:rPr>
          <w:b/>
          <w:bCs/>
          <w:sz w:val="22"/>
        </w:rPr>
        <w:t>routine future exam / RFE</w:t>
      </w:r>
      <w:r>
        <w:rPr>
          <w:b/>
          <w:bCs/>
          <w:sz w:val="22"/>
        </w:rPr>
        <w:t xml:space="preserve"> is necessary.  </w:t>
      </w:r>
      <w:r>
        <w:rPr>
          <w:sz w:val="22"/>
        </w:rPr>
        <w:t xml:space="preserve">According to 3.305(e) reductions or discontinuance will be prepared setting forth all material facts and reasons.  </w:t>
      </w:r>
    </w:p>
    <w:p w:rsidR="00013EB8" w:rsidRDefault="00013EB8">
      <w:pPr>
        <w:widowControl w:val="0"/>
        <w:rPr>
          <w:sz w:val="22"/>
        </w:rPr>
      </w:pPr>
      <w:r>
        <w:rPr>
          <w:sz w:val="22"/>
        </w:rPr>
        <w:t>3.326(b) Provided that it is otherwise adequate for rating purposes, any hospital report, or any other examination report, from any government or private institution may be accepted for rating a claim without further examination.</w:t>
      </w:r>
    </w:p>
    <w:p w:rsidR="00013EB8" w:rsidRDefault="00013EB8">
      <w:pPr>
        <w:widowControl w:val="0"/>
        <w:rPr>
          <w:sz w:val="22"/>
        </w:rPr>
      </w:pPr>
      <w:r>
        <w:rPr>
          <w:sz w:val="22"/>
        </w:rPr>
        <w:t>3.326(c) Provided that it is otherwise adequate for rating purposes, a statement from a private physician may be accepted for rating a claim without further examination.</w:t>
      </w:r>
    </w:p>
    <w:p w:rsidR="00013EB8" w:rsidRDefault="00013EB8">
      <w:pPr>
        <w:widowControl w:val="0"/>
        <w:rPr>
          <w:sz w:val="22"/>
        </w:rPr>
      </w:pPr>
      <w:r>
        <w:rPr>
          <w:sz w:val="22"/>
        </w:rPr>
        <w:t>Conclusion: if the material facts and reasons show that we would not otherwise reduce the evaluation, no VA exam is necessary.</w:t>
      </w:r>
    </w:p>
    <w:p w:rsidR="00013EB8" w:rsidRDefault="00013EB8">
      <w:pPr>
        <w:widowControl w:val="0"/>
        <w:rPr>
          <w:sz w:val="22"/>
        </w:rPr>
      </w:pPr>
    </w:p>
    <w:p w:rsidR="00013EB8" w:rsidRDefault="00013EB8">
      <w:pPr>
        <w:widowControl w:val="0"/>
        <w:rPr>
          <w:sz w:val="22"/>
        </w:rPr>
      </w:pPr>
      <w:r>
        <w:rPr>
          <w:sz w:val="22"/>
        </w:rPr>
        <w:t>SPECIAL CONSIDERATIONS</w:t>
      </w:r>
    </w:p>
    <w:p w:rsidR="00013EB8" w:rsidRDefault="00013EB8">
      <w:pPr>
        <w:widowControl w:val="0"/>
        <w:rPr>
          <w:sz w:val="22"/>
        </w:rPr>
      </w:pPr>
      <w:r>
        <w:rPr>
          <w:sz w:val="22"/>
        </w:rPr>
        <w:t xml:space="preserve">Service connection may be granted to the areas affected by distant metastasis.  </w:t>
      </w:r>
    </w:p>
    <w:p w:rsidR="00013EB8" w:rsidRDefault="00013EB8">
      <w:pPr>
        <w:widowControl w:val="0"/>
        <w:rPr>
          <w:sz w:val="22"/>
        </w:rPr>
      </w:pPr>
      <w:r>
        <w:rPr>
          <w:sz w:val="22"/>
        </w:rPr>
        <w:t>Lung cancer with bone mets, 100% for lung cancer, 100% for bone mets, SMC S.</w:t>
      </w:r>
    </w:p>
    <w:p w:rsidR="00013EB8" w:rsidRDefault="00013EB8">
      <w:pPr>
        <w:widowControl w:val="0"/>
        <w:rPr>
          <w:sz w:val="22"/>
        </w:rPr>
      </w:pPr>
      <w:r>
        <w:rPr>
          <w:sz w:val="22"/>
        </w:rPr>
        <w:t>Lung cancer with mets throughout the lung, single 100% as is did not effect a different body system.</w:t>
      </w:r>
    </w:p>
    <w:p w:rsidR="00013EB8" w:rsidRDefault="00013EB8">
      <w:pPr>
        <w:widowControl w:val="0"/>
        <w:rPr>
          <w:sz w:val="22"/>
        </w:rPr>
      </w:pPr>
      <w:r>
        <w:rPr>
          <w:sz w:val="22"/>
        </w:rPr>
        <w:t>Consider A&amp;A, hospice and home health routinely provide caregivers to assist with personal care.</w:t>
      </w:r>
    </w:p>
    <w:p w:rsidR="00013EB8" w:rsidRDefault="00013EB8">
      <w:pPr>
        <w:widowControl w:val="0"/>
        <w:rPr>
          <w:sz w:val="22"/>
        </w:rPr>
      </w:pPr>
    </w:p>
    <w:p w:rsidR="00013EB8" w:rsidRDefault="00013EB8">
      <w:pPr>
        <w:widowControl w:val="0"/>
        <w:rPr>
          <w:sz w:val="22"/>
        </w:rPr>
      </w:pPr>
      <w:r>
        <w:rPr>
          <w:sz w:val="22"/>
        </w:rPr>
        <w:t xml:space="preserve">When rating prostate cancer and the vet had </w:t>
      </w:r>
      <w:r w:rsidRPr="0063662F">
        <w:rPr>
          <w:b/>
          <w:sz w:val="22"/>
        </w:rPr>
        <w:t>brachytherapy/seed implants</w:t>
      </w:r>
      <w:r>
        <w:rPr>
          <w:sz w:val="22"/>
        </w:rPr>
        <w:t>, per TL 00-02</w:t>
      </w:r>
      <w:r w:rsidR="00C42CFA">
        <w:rPr>
          <w:sz w:val="22"/>
        </w:rPr>
        <w:t xml:space="preserve"> (now per </w:t>
      </w:r>
      <w:r w:rsidR="00C42CFA" w:rsidRPr="00DB19D5">
        <w:rPr>
          <w:b/>
          <w:bCs/>
          <w:sz w:val="21"/>
          <w:szCs w:val="21"/>
        </w:rPr>
        <w:t xml:space="preserve">III.iv.4.I.3.h) </w:t>
      </w:r>
      <w:r w:rsidRPr="00DB19D5">
        <w:rPr>
          <w:b/>
          <w:sz w:val="22"/>
        </w:rPr>
        <w:t>brachytherapy</w:t>
      </w:r>
      <w:r w:rsidRPr="00DB19D5">
        <w:rPr>
          <w:sz w:val="22"/>
        </w:rPr>
        <w:t xml:space="preserve"> - internal radiation therapy via seeds of radioactive isotopes placed in or </w:t>
      </w:r>
      <w:r>
        <w:rPr>
          <w:sz w:val="22"/>
        </w:rPr>
        <w:t>near a tumor site</w:t>
      </w:r>
      <w:r w:rsidR="0063662F">
        <w:rPr>
          <w:sz w:val="22"/>
        </w:rPr>
        <w:t>:</w:t>
      </w:r>
    </w:p>
    <w:p w:rsidR="00013EB8" w:rsidRDefault="00013EB8" w:rsidP="00691877">
      <w:pPr>
        <w:widowControl w:val="0"/>
        <w:numPr>
          <w:ilvl w:val="0"/>
          <w:numId w:val="12"/>
        </w:numPr>
        <w:rPr>
          <w:sz w:val="22"/>
        </w:rPr>
      </w:pPr>
      <w:r>
        <w:rPr>
          <w:sz w:val="22"/>
        </w:rPr>
        <w:t xml:space="preserve">Low dose rate (LDR) should be gone by one year.  Evaluate at 100% for one year followed by a VA exam.  </w:t>
      </w:r>
    </w:p>
    <w:p w:rsidR="00013EB8" w:rsidRDefault="00013EB8" w:rsidP="00691877">
      <w:pPr>
        <w:widowControl w:val="0"/>
        <w:numPr>
          <w:ilvl w:val="0"/>
          <w:numId w:val="12"/>
        </w:numPr>
        <w:rPr>
          <w:sz w:val="22"/>
        </w:rPr>
      </w:pPr>
      <w:r>
        <w:rPr>
          <w:sz w:val="22"/>
        </w:rPr>
        <w:t>High dose rate (HDR) is present only for hours or days.  Evaluate at 100% for 6 months followed by a VA exam.</w:t>
      </w:r>
    </w:p>
    <w:p w:rsidR="00013EB8" w:rsidRDefault="00013EB8" w:rsidP="00691877">
      <w:pPr>
        <w:widowControl w:val="0"/>
        <w:numPr>
          <w:ilvl w:val="0"/>
          <w:numId w:val="12"/>
        </w:numPr>
        <w:rPr>
          <w:sz w:val="22"/>
        </w:rPr>
      </w:pPr>
      <w:r>
        <w:rPr>
          <w:sz w:val="22"/>
        </w:rPr>
        <w:t>Low dose rate (LDR) Iodine-125, 100% should continue for 26 months (radioactivity lasts about 20 months) and 1 year for Palladium-103 (radioactivity lasts about 6 months)</w:t>
      </w:r>
    </w:p>
    <w:p w:rsidR="00013EB8" w:rsidRDefault="00013EB8">
      <w:pPr>
        <w:widowControl w:val="0"/>
        <w:rPr>
          <w:sz w:val="22"/>
        </w:rPr>
      </w:pPr>
    </w:p>
    <w:p w:rsidR="00013EB8" w:rsidRDefault="00013EB8">
      <w:pPr>
        <w:widowControl w:val="0"/>
        <w:rPr>
          <w:sz w:val="22"/>
        </w:rPr>
      </w:pPr>
      <w:r>
        <w:rPr>
          <w:sz w:val="22"/>
        </w:rPr>
        <w:t>Watchful Waiting</w:t>
      </w:r>
    </w:p>
    <w:p w:rsidR="00013EB8" w:rsidRDefault="00013EB8">
      <w:pPr>
        <w:widowControl w:val="0"/>
        <w:rPr>
          <w:sz w:val="22"/>
        </w:rPr>
      </w:pPr>
      <w:r>
        <w:rPr>
          <w:sz w:val="22"/>
        </w:rPr>
        <w:t xml:space="preserve">Treatment for individuals who are not good surgical candidates because they are older or have other serious health problems.  </w:t>
      </w:r>
    </w:p>
    <w:p w:rsidR="00013EB8" w:rsidRDefault="00013EB8">
      <w:pPr>
        <w:widowControl w:val="0"/>
        <w:rPr>
          <w:sz w:val="22"/>
        </w:rPr>
      </w:pPr>
      <w:r>
        <w:rPr>
          <w:sz w:val="22"/>
        </w:rPr>
        <w:t>May be considered for early stage of prostate cancer that is slow growing.</w:t>
      </w:r>
    </w:p>
    <w:p w:rsidR="00013EB8" w:rsidRDefault="00013EB8">
      <w:pPr>
        <w:widowControl w:val="0"/>
        <w:rPr>
          <w:sz w:val="22"/>
        </w:rPr>
      </w:pPr>
      <w:r>
        <w:rPr>
          <w:sz w:val="22"/>
        </w:rPr>
        <w:t>Watch waiting is untreated cancer, it is not in remission or cured.  It would be evaluated at 100% as it is considered chronic and active.</w:t>
      </w:r>
    </w:p>
    <w:p w:rsidR="00013EB8" w:rsidRDefault="00013EB8">
      <w:pPr>
        <w:widowControl w:val="0"/>
        <w:rPr>
          <w:sz w:val="22"/>
        </w:rPr>
      </w:pPr>
      <w:r>
        <w:rPr>
          <w:sz w:val="22"/>
        </w:rPr>
        <w:t xml:space="preserve">Lupron – hormone therapy injections given as often as daily or as seldom as twice yearly.  Lupron implants are under the skin and usually given yearly.  The length of time for treatment is determined by the physician.  Order a </w:t>
      </w:r>
      <w:r w:rsidR="00F46384">
        <w:rPr>
          <w:sz w:val="22"/>
        </w:rPr>
        <w:t xml:space="preserve">routine </w:t>
      </w:r>
      <w:r>
        <w:rPr>
          <w:sz w:val="22"/>
        </w:rPr>
        <w:t xml:space="preserve">future exam </w:t>
      </w:r>
      <w:r w:rsidR="00F46384">
        <w:rPr>
          <w:sz w:val="22"/>
        </w:rPr>
        <w:t xml:space="preserve">/ RFE </w:t>
      </w:r>
      <w:r>
        <w:rPr>
          <w:sz w:val="22"/>
        </w:rPr>
        <w:t>in 6 months after treatment stopped, if no change in treatment then P&amp;T.</w:t>
      </w:r>
    </w:p>
    <w:p w:rsidR="00013EB8" w:rsidRDefault="00013EB8">
      <w:pPr>
        <w:widowControl w:val="0"/>
        <w:rPr>
          <w:sz w:val="22"/>
        </w:rPr>
      </w:pPr>
      <w:r>
        <w:rPr>
          <w:sz w:val="22"/>
        </w:rPr>
        <w:t>BREAST CANCER – Tamoxifen</w:t>
      </w:r>
    </w:p>
    <w:p w:rsidR="00013EB8" w:rsidRDefault="00013EB8">
      <w:pPr>
        <w:widowControl w:val="0"/>
        <w:rPr>
          <w:sz w:val="22"/>
        </w:rPr>
      </w:pPr>
      <w:r>
        <w:rPr>
          <w:sz w:val="22"/>
        </w:rPr>
        <w:t>Used as adjuvant therapy for early stage breast cancer, generally prescribed for 5 years.</w:t>
      </w:r>
    </w:p>
    <w:p w:rsidR="00013EB8" w:rsidRDefault="00013EB8">
      <w:pPr>
        <w:widowControl w:val="0"/>
        <w:rPr>
          <w:sz w:val="22"/>
        </w:rPr>
      </w:pPr>
      <w:r>
        <w:rPr>
          <w:sz w:val="22"/>
        </w:rPr>
        <w:t>Drug reduces the risk of recurrence or developing a new primary cancer of the breast.</w:t>
      </w:r>
    </w:p>
    <w:p w:rsidR="00013EB8" w:rsidRDefault="00013EB8">
      <w:pPr>
        <w:widowControl w:val="0"/>
        <w:rPr>
          <w:sz w:val="22"/>
        </w:rPr>
      </w:pPr>
      <w:r>
        <w:rPr>
          <w:sz w:val="22"/>
        </w:rPr>
        <w:t xml:space="preserve">People with advanced breast cancer may take Tamoxifen for varying lengths of time, depending on their response to treatment.  Order </w:t>
      </w:r>
      <w:r w:rsidR="00F46384">
        <w:rPr>
          <w:sz w:val="22"/>
        </w:rPr>
        <w:t xml:space="preserve">routine future exam / RFE </w:t>
      </w:r>
      <w:r>
        <w:rPr>
          <w:sz w:val="22"/>
        </w:rPr>
        <w:t xml:space="preserve">in 6 months, if continues treatment with Tamoxifen order a second </w:t>
      </w:r>
      <w:r w:rsidR="00F46384">
        <w:rPr>
          <w:sz w:val="22"/>
        </w:rPr>
        <w:t>routine future exam / RFE</w:t>
      </w:r>
      <w:r>
        <w:rPr>
          <w:sz w:val="22"/>
        </w:rPr>
        <w:t xml:space="preserve"> in 5 years.</w:t>
      </w:r>
    </w:p>
    <w:p w:rsidR="00013EB8" w:rsidRDefault="00013EB8">
      <w:pPr>
        <w:widowControl w:val="0"/>
        <w:rPr>
          <w:sz w:val="22"/>
        </w:rPr>
      </w:pPr>
    </w:p>
    <w:p w:rsidR="00013EB8" w:rsidRDefault="00013EB8">
      <w:pPr>
        <w:pStyle w:val="NormalWeb"/>
        <w:widowControl w:val="0"/>
        <w:pBdr>
          <w:top w:val="single" w:sz="4" w:space="1" w:color="auto"/>
        </w:pBdr>
        <w:jc w:val="center"/>
        <w:rPr>
          <w:rStyle w:val="summary-keypoint1"/>
          <w:sz w:val="22"/>
        </w:rPr>
      </w:pPr>
      <w:r>
        <w:rPr>
          <w:rStyle w:val="summary-keypoint1"/>
          <w:sz w:val="22"/>
        </w:rPr>
        <w:t>MALIGNANT BRAIN TUMORS</w:t>
      </w:r>
    </w:p>
    <w:p w:rsidR="00013EB8" w:rsidRDefault="00013EB8">
      <w:pPr>
        <w:pStyle w:val="NormalWeb"/>
        <w:widowControl w:val="0"/>
        <w:rPr>
          <w:sz w:val="22"/>
        </w:rPr>
      </w:pPr>
      <w:r>
        <w:rPr>
          <w:rStyle w:val="summary-keypoint1"/>
          <w:sz w:val="22"/>
        </w:rPr>
        <w:t>Certain factors affect prognosis (chance of recovery) and treatment options.</w:t>
      </w:r>
    </w:p>
    <w:p w:rsidR="00013EB8" w:rsidRDefault="00013EB8">
      <w:pPr>
        <w:pStyle w:val="NormalWeb"/>
        <w:widowControl w:val="0"/>
        <w:rPr>
          <w:sz w:val="22"/>
        </w:rPr>
      </w:pPr>
      <w:r>
        <w:rPr>
          <w:sz w:val="22"/>
        </w:rPr>
        <w:t xml:space="preserve">The </w:t>
      </w:r>
      <w:hyperlink r:id="rId468" w:history="1">
        <w:r>
          <w:rPr>
            <w:rStyle w:val="Hyperlink"/>
            <w:color w:val="333333"/>
            <w:sz w:val="22"/>
          </w:rPr>
          <w:t>prognosis</w:t>
        </w:r>
      </w:hyperlink>
      <w:r>
        <w:rPr>
          <w:sz w:val="22"/>
        </w:rPr>
        <w:t xml:space="preserve"> (chance of recovery) and treatment options depend on: </w:t>
      </w:r>
    </w:p>
    <w:p w:rsidR="00013EB8" w:rsidRDefault="00013EB8" w:rsidP="00691877">
      <w:pPr>
        <w:widowControl w:val="0"/>
        <w:numPr>
          <w:ilvl w:val="0"/>
          <w:numId w:val="13"/>
        </w:numPr>
        <w:spacing w:before="100" w:beforeAutospacing="1" w:after="100" w:afterAutospacing="1"/>
        <w:ind w:left="420"/>
        <w:rPr>
          <w:color w:val="000000"/>
          <w:sz w:val="22"/>
          <w:szCs w:val="30"/>
        </w:rPr>
      </w:pPr>
      <w:r>
        <w:rPr>
          <w:color w:val="000000"/>
          <w:sz w:val="22"/>
          <w:szCs w:val="30"/>
        </w:rPr>
        <w:t xml:space="preserve">The location of the tumor.  </w:t>
      </w:r>
      <w:r>
        <w:rPr>
          <w:i/>
          <w:iCs/>
          <w:color w:val="000000"/>
          <w:sz w:val="22"/>
          <w:szCs w:val="30"/>
        </w:rPr>
        <w:t>Can they operate?</w:t>
      </w:r>
    </w:p>
    <w:p w:rsidR="00013EB8" w:rsidRDefault="00013EB8" w:rsidP="00691877">
      <w:pPr>
        <w:widowControl w:val="0"/>
        <w:numPr>
          <w:ilvl w:val="0"/>
          <w:numId w:val="13"/>
        </w:numPr>
        <w:spacing w:before="100" w:beforeAutospacing="1" w:after="100" w:afterAutospacing="1"/>
        <w:ind w:left="420"/>
        <w:rPr>
          <w:color w:val="000000"/>
          <w:sz w:val="22"/>
          <w:szCs w:val="30"/>
        </w:rPr>
      </w:pPr>
      <w:r>
        <w:rPr>
          <w:color w:val="000000"/>
          <w:sz w:val="22"/>
          <w:szCs w:val="30"/>
        </w:rPr>
        <w:t xml:space="preserve">The type of tumor cell diagnosed.  </w:t>
      </w:r>
      <w:r>
        <w:rPr>
          <w:i/>
          <w:iCs/>
          <w:color w:val="000000"/>
          <w:sz w:val="22"/>
          <w:szCs w:val="30"/>
        </w:rPr>
        <w:t>Glioblastoma multiforme –grows rapidly, may be enormous before diagnosed.</w:t>
      </w:r>
    </w:p>
    <w:p w:rsidR="00013EB8" w:rsidRDefault="00013EB8" w:rsidP="00691877">
      <w:pPr>
        <w:widowControl w:val="0"/>
        <w:numPr>
          <w:ilvl w:val="0"/>
          <w:numId w:val="13"/>
        </w:numPr>
        <w:spacing w:before="100" w:beforeAutospacing="1" w:after="100" w:afterAutospacing="1"/>
        <w:ind w:left="420"/>
        <w:rPr>
          <w:color w:val="000000"/>
          <w:sz w:val="22"/>
          <w:szCs w:val="30"/>
        </w:rPr>
      </w:pPr>
      <w:r>
        <w:rPr>
          <w:color w:val="000000"/>
          <w:sz w:val="22"/>
          <w:szCs w:val="30"/>
        </w:rPr>
        <w:t xml:space="preserve">The amount of tumor remaining after surgery.  </w:t>
      </w:r>
      <w:r w:rsidR="00C42CFA">
        <w:rPr>
          <w:i/>
          <w:iCs/>
          <w:color w:val="000000"/>
          <w:sz w:val="22"/>
          <w:szCs w:val="30"/>
        </w:rPr>
        <w:t xml:space="preserve">Increased intracranial </w:t>
      </w:r>
      <w:r>
        <w:rPr>
          <w:i/>
          <w:iCs/>
          <w:color w:val="000000"/>
          <w:sz w:val="22"/>
          <w:szCs w:val="30"/>
        </w:rPr>
        <w:t>pressure</w:t>
      </w:r>
      <w:r>
        <w:rPr>
          <w:color w:val="000000"/>
          <w:sz w:val="22"/>
          <w:szCs w:val="30"/>
        </w:rPr>
        <w:t>.</w:t>
      </w:r>
    </w:p>
    <w:p w:rsidR="00013EB8" w:rsidRDefault="00013EB8">
      <w:pPr>
        <w:widowControl w:val="0"/>
        <w:pBdr>
          <w:bottom w:val="single" w:sz="4" w:space="1" w:color="auto"/>
        </w:pBdr>
        <w:tabs>
          <w:tab w:val="left" w:pos="0"/>
          <w:tab w:val="left" w:pos="144"/>
        </w:tabs>
        <w:outlineLvl w:val="0"/>
      </w:pPr>
      <w:r>
        <w:rPr>
          <w:color w:val="000000"/>
          <w:sz w:val="22"/>
          <w:szCs w:val="30"/>
        </w:rPr>
        <w:t xml:space="preserve">Whether the cancer has spread to other parts of the </w:t>
      </w:r>
      <w:hyperlink r:id="rId469" w:history="1">
        <w:r>
          <w:rPr>
            <w:rStyle w:val="Hyperlink"/>
            <w:color w:val="333333"/>
            <w:sz w:val="22"/>
          </w:rPr>
          <w:t>central nervous system</w:t>
        </w:r>
      </w:hyperlink>
      <w:r>
        <w:rPr>
          <w:color w:val="000000"/>
          <w:sz w:val="22"/>
          <w:szCs w:val="30"/>
        </w:rPr>
        <w:t xml:space="preserve"> (brain and spinal cord), or to other parts of the body, such as the bones.</w:t>
      </w:r>
    </w:p>
    <w:p w:rsidR="00013EB8" w:rsidRDefault="00013EB8">
      <w:pPr>
        <w:widowControl w:val="0"/>
        <w:pBdr>
          <w:top w:val="double" w:sz="4" w:space="1" w:color="auto"/>
        </w:pBdr>
        <w:tabs>
          <w:tab w:val="left" w:pos="0"/>
          <w:tab w:val="left" w:pos="144"/>
        </w:tabs>
        <w:outlineLvl w:val="0"/>
      </w:pPr>
    </w:p>
    <w:p w:rsidR="00C551BE" w:rsidRDefault="00013EB8" w:rsidP="00F063AF">
      <w:pPr>
        <w:widowControl w:val="0"/>
        <w:numPr>
          <w:ilvl w:val="0"/>
          <w:numId w:val="362"/>
        </w:numPr>
        <w:tabs>
          <w:tab w:val="clear" w:pos="720"/>
          <w:tab w:val="num" w:pos="360"/>
        </w:tabs>
        <w:spacing w:after="120"/>
        <w:ind w:left="360"/>
        <w:outlineLvl w:val="0"/>
      </w:pPr>
      <w:r>
        <w:rPr>
          <w:bCs/>
          <w:iCs/>
        </w:rPr>
        <w:t>Per</w:t>
      </w:r>
      <w:r w:rsidRPr="005C2EB3">
        <w:t xml:space="preserve"> </w:t>
      </w:r>
      <w:r w:rsidRPr="002E2D9E">
        <w:rPr>
          <w:b/>
          <w:i/>
        </w:rPr>
        <w:t xml:space="preserve">March 2012 </w:t>
      </w:r>
      <w:r w:rsidR="00EB6F0B" w:rsidRPr="002E2D9E">
        <w:rPr>
          <w:b/>
          <w:i/>
        </w:rPr>
        <w:t>Compensation Service Bulletin (CSB)</w:t>
      </w:r>
      <w:r>
        <w:rPr>
          <w:bCs/>
          <w:iCs/>
        </w:rPr>
        <w:t xml:space="preserve"> &amp; </w:t>
      </w:r>
      <w:hyperlink r:id="rId470" w:history="1">
        <w:r>
          <w:rPr>
            <w:rStyle w:val="Hyperlink"/>
            <w:b/>
            <w:i/>
          </w:rPr>
          <w:t>QRT Bulletin March 2012</w:t>
        </w:r>
      </w:hyperlink>
      <w:r>
        <w:rPr>
          <w:bCs/>
          <w:iCs/>
        </w:rPr>
        <w:t xml:space="preserve"> - </w:t>
      </w:r>
      <w:r>
        <w:rPr>
          <w:color w:val="000000"/>
        </w:rPr>
        <w:t>The treatment of an active cancer with watchful waiting will require continuation of a 100 percent evaluation because the cancer is active.  However, if the physician indicates that watchful waiting is being used to monitor a cancer in remission, the cancer will be rated on the basis of any residuals, since the cancer is no longer active.</w:t>
      </w:r>
    </w:p>
    <w:p w:rsidR="00C551BE" w:rsidRDefault="00C551BE" w:rsidP="00F063AF">
      <w:pPr>
        <w:widowControl w:val="0"/>
        <w:numPr>
          <w:ilvl w:val="0"/>
          <w:numId w:val="362"/>
        </w:numPr>
        <w:tabs>
          <w:tab w:val="clear" w:pos="720"/>
          <w:tab w:val="num" w:pos="360"/>
        </w:tabs>
        <w:spacing w:after="120"/>
        <w:ind w:left="360"/>
        <w:outlineLvl w:val="0"/>
      </w:pPr>
      <w:r w:rsidRPr="00C551BE">
        <w:rPr>
          <w:b/>
        </w:rPr>
        <w:t>III.iv.5.B.3.b – Addressing the P&amp;T Status of Malignancies</w:t>
      </w:r>
      <w:r>
        <w:t xml:space="preserve"> (if not doing RFE &amp; conceding P&amp;T status, replace the </w:t>
      </w:r>
      <w:r w:rsidRPr="00C551BE">
        <w:rPr>
          <w:rFonts w:ascii="Verdana" w:hAnsi="Verdana"/>
          <w:b/>
          <w:szCs w:val="22"/>
          <w:highlight w:val="green"/>
        </w:rPr>
        <w:t>VBMS-R System-Generated Text</w:t>
      </w:r>
      <w:r>
        <w:t xml:space="preserve"> with this:</w:t>
      </w:r>
    </w:p>
    <w:p w:rsidR="00C551BE" w:rsidRPr="00C551BE" w:rsidRDefault="00C551BE" w:rsidP="00C551BE">
      <w:pPr>
        <w:pStyle w:val="Header"/>
        <w:widowControl w:val="0"/>
        <w:tabs>
          <w:tab w:val="clear" w:pos="4320"/>
          <w:tab w:val="clear" w:pos="8640"/>
        </w:tabs>
        <w:spacing w:after="120"/>
        <w:ind w:left="360"/>
      </w:pPr>
      <w:r w:rsidRPr="00E22105">
        <w:rPr>
          <w:i/>
        </w:rPr>
        <w:t>The medical evidence shows that permanence of this disability has been established.  Consequently, no future VA examination will be requested.</w:t>
      </w:r>
    </w:p>
    <w:p w:rsidR="000F483F" w:rsidRDefault="00C551BE" w:rsidP="00F063AF">
      <w:pPr>
        <w:pStyle w:val="Header"/>
        <w:widowControl w:val="0"/>
        <w:numPr>
          <w:ilvl w:val="0"/>
          <w:numId w:val="362"/>
        </w:numPr>
        <w:tabs>
          <w:tab w:val="clear" w:pos="720"/>
          <w:tab w:val="clear" w:pos="4320"/>
          <w:tab w:val="clear" w:pos="8640"/>
          <w:tab w:val="num" w:pos="360"/>
        </w:tabs>
        <w:spacing w:after="120"/>
        <w:ind w:left="360"/>
      </w:pPr>
      <w:r>
        <w:rPr>
          <w:b/>
        </w:rPr>
        <w:t>III.iv.5.B.3.c</w:t>
      </w:r>
      <w:r w:rsidR="000F483F">
        <w:rPr>
          <w:b/>
        </w:rPr>
        <w:t xml:space="preserve"> – Evaluating Malignant Neoplasms and Associated Impairments </w:t>
      </w:r>
      <w:r w:rsidR="000F483F" w:rsidRPr="000F483F">
        <w:t>(can give separate eval for related diagnosed disability, but not for symptomatic complaint from neoplasm or treatment</w:t>
      </w:r>
      <w:r w:rsidR="000F483F">
        <w:t>; cannot give separate eval for metastases to same body system, but can for metastases to different body system (&amp; can give SMC S, if applicable, as considered separate &amp; distinct)</w:t>
      </w:r>
      <w:r w:rsidR="000F483F" w:rsidRPr="000F483F">
        <w:t>)</w:t>
      </w:r>
      <w:r w:rsidR="00645488">
        <w:t xml:space="preserve">, </w:t>
      </w:r>
      <w:r w:rsidR="00645488">
        <w:rPr>
          <w:b/>
        </w:rPr>
        <w:t>III.iv.5.B.3.</w:t>
      </w:r>
      <w:r>
        <w:rPr>
          <w:b/>
        </w:rPr>
        <w:t>d</w:t>
      </w:r>
      <w:r w:rsidR="00645488">
        <w:rPr>
          <w:b/>
        </w:rPr>
        <w:t xml:space="preserve"> </w:t>
      </w:r>
      <w:r w:rsidR="006709B1">
        <w:rPr>
          <w:b/>
        </w:rPr>
        <w:t>–</w:t>
      </w:r>
      <w:r w:rsidR="00645488" w:rsidRPr="00645488">
        <w:t xml:space="preserve"> examples</w:t>
      </w:r>
      <w:r w:rsidR="006709B1">
        <w:t xml:space="preserve">; </w:t>
      </w:r>
      <w:r w:rsidR="006709B1" w:rsidRPr="00BD2ECC">
        <w:rPr>
          <w:i/>
        </w:rPr>
        <w:t>per QRT</w:t>
      </w:r>
      <w:r w:rsidR="00C75534">
        <w:rPr>
          <w:i/>
        </w:rPr>
        <w:t xml:space="preserve">, 2/18 </w:t>
      </w:r>
      <w:r w:rsidR="006709B1" w:rsidRPr="00BD2ECC">
        <w:rPr>
          <w:i/>
        </w:rPr>
        <w:t>– cannot give separate evals for anemia or thrombocytopenia due to multiple myeloma</w:t>
      </w:r>
    </w:p>
    <w:p w:rsidR="00F82612" w:rsidRPr="00D9035C" w:rsidRDefault="00F82612" w:rsidP="00F063AF">
      <w:pPr>
        <w:pStyle w:val="Header"/>
        <w:widowControl w:val="0"/>
        <w:numPr>
          <w:ilvl w:val="0"/>
          <w:numId w:val="362"/>
        </w:numPr>
        <w:tabs>
          <w:tab w:val="clear" w:pos="720"/>
          <w:tab w:val="clear" w:pos="4320"/>
          <w:tab w:val="clear" w:pos="8640"/>
          <w:tab w:val="num" w:pos="360"/>
        </w:tabs>
        <w:spacing w:after="120"/>
        <w:ind w:left="360"/>
      </w:pPr>
      <w:r>
        <w:rPr>
          <w:b/>
        </w:rPr>
        <w:t>IV.ii.2.B.2.c – Considerting Presumptive SC for Metastatic Cancer</w:t>
      </w:r>
    </w:p>
    <w:p w:rsidR="00013EB8" w:rsidRPr="00ED37C1" w:rsidRDefault="00013EB8" w:rsidP="006709B1">
      <w:pPr>
        <w:widowControl w:val="0"/>
        <w:tabs>
          <w:tab w:val="left" w:pos="0"/>
          <w:tab w:val="left" w:pos="144"/>
        </w:tabs>
        <w:outlineLvl w:val="0"/>
      </w:pPr>
    </w:p>
    <w:p w:rsidR="004D429B" w:rsidRDefault="004D429B" w:rsidP="004D429B">
      <w:pPr>
        <w:widowControl w:val="0"/>
        <w:pBdr>
          <w:top w:val="double" w:sz="4" w:space="1" w:color="auto"/>
        </w:pBdr>
        <w:tabs>
          <w:tab w:val="left" w:pos="0"/>
          <w:tab w:val="left" w:pos="144"/>
        </w:tabs>
        <w:outlineLvl w:val="0"/>
        <w:rPr>
          <w:b/>
          <w:i/>
          <w:sz w:val="22"/>
        </w:rPr>
      </w:pPr>
      <w:bookmarkStart w:id="102" w:name="SecondarySC"/>
    </w:p>
    <w:p w:rsidR="00013EB8" w:rsidRDefault="00013EB8">
      <w:pPr>
        <w:widowControl w:val="0"/>
        <w:tabs>
          <w:tab w:val="left" w:pos="0"/>
          <w:tab w:val="left" w:pos="144"/>
        </w:tabs>
        <w:outlineLvl w:val="0"/>
        <w:rPr>
          <w:b/>
          <w:i/>
          <w:sz w:val="22"/>
        </w:rPr>
      </w:pPr>
      <w:r>
        <w:rPr>
          <w:b/>
          <w:i/>
          <w:sz w:val="22"/>
        </w:rPr>
        <w:t>SECONDARY SERVICE CONNECTION –</w:t>
      </w:r>
    </w:p>
    <w:p w:rsidR="00013EB8" w:rsidRDefault="00013EB8">
      <w:pPr>
        <w:widowControl w:val="0"/>
        <w:tabs>
          <w:tab w:val="left" w:pos="0"/>
          <w:tab w:val="left" w:pos="144"/>
        </w:tabs>
        <w:outlineLvl w:val="0"/>
        <w:rPr>
          <w:b/>
          <w:i/>
          <w:sz w:val="22"/>
        </w:rPr>
      </w:pPr>
    </w:p>
    <w:bookmarkEnd w:id="102"/>
    <w:p w:rsidR="00222094" w:rsidRDefault="00222094" w:rsidP="00222094">
      <w:pPr>
        <w:pBdr>
          <w:top w:val="single" w:sz="4" w:space="0" w:color="auto"/>
          <w:left w:val="single" w:sz="4" w:space="4" w:color="auto"/>
          <w:bottom w:val="single" w:sz="4" w:space="1" w:color="auto"/>
          <w:right w:val="single" w:sz="4" w:space="4" w:color="auto"/>
        </w:pBdr>
        <w:rPr>
          <w:szCs w:val="22"/>
        </w:rPr>
      </w:pPr>
      <w:r w:rsidRPr="009336CB">
        <w:rPr>
          <w:szCs w:val="22"/>
        </w:rPr>
        <w:t>Issue:  Service connection for {}.</w:t>
      </w:r>
    </w:p>
    <w:p w:rsidR="00222094" w:rsidRPr="009336CB" w:rsidRDefault="00222094" w:rsidP="00222094">
      <w:pPr>
        <w:pBdr>
          <w:top w:val="single" w:sz="4" w:space="0" w:color="auto"/>
          <w:left w:val="single" w:sz="4" w:space="4" w:color="auto"/>
          <w:bottom w:val="single" w:sz="4" w:space="1" w:color="auto"/>
          <w:right w:val="single" w:sz="4" w:space="4" w:color="auto"/>
        </w:pBdr>
        <w:rPr>
          <w:szCs w:val="22"/>
        </w:rPr>
      </w:pPr>
    </w:p>
    <w:p w:rsidR="00222094" w:rsidRPr="009336CB" w:rsidRDefault="00222094" w:rsidP="00222094">
      <w:pPr>
        <w:pBdr>
          <w:top w:val="single" w:sz="4" w:space="0" w:color="auto"/>
          <w:left w:val="single" w:sz="4" w:space="4" w:color="auto"/>
          <w:bottom w:val="single" w:sz="4" w:space="1" w:color="auto"/>
          <w:right w:val="single" w:sz="4" w:space="4" w:color="auto"/>
        </w:pBdr>
        <w:rPr>
          <w:szCs w:val="22"/>
        </w:rPr>
      </w:pPr>
      <w:r w:rsidRPr="009336CB">
        <w:rPr>
          <w:szCs w:val="22"/>
        </w:rPr>
        <w:t xml:space="preserve">Decision:  </w:t>
      </w:r>
      <w:r>
        <w:rPr>
          <w:szCs w:val="22"/>
        </w:rPr>
        <w:t>S</w:t>
      </w:r>
      <w:r w:rsidRPr="009336CB">
        <w:rPr>
          <w:szCs w:val="22"/>
        </w:rPr>
        <w:t xml:space="preserve">ervice connection for {} </w:t>
      </w:r>
      <w:r>
        <w:rPr>
          <w:szCs w:val="22"/>
        </w:rPr>
        <w:t>(claimed as secondary to {}) is denied</w:t>
      </w:r>
      <w:r w:rsidRPr="009336CB">
        <w:rPr>
          <w:szCs w:val="22"/>
        </w:rPr>
        <w:t>.</w:t>
      </w:r>
    </w:p>
    <w:p w:rsidR="00013EB8" w:rsidRDefault="00013EB8">
      <w:pPr>
        <w:widowControl w:val="0"/>
        <w:tabs>
          <w:tab w:val="left" w:pos="0"/>
          <w:tab w:val="left" w:pos="144"/>
        </w:tabs>
        <w:rPr>
          <w:sz w:val="22"/>
        </w:rPr>
      </w:pPr>
    </w:p>
    <w:p w:rsidR="00222094" w:rsidRDefault="00222094">
      <w:pPr>
        <w:widowControl w:val="0"/>
        <w:tabs>
          <w:tab w:val="left" w:pos="0"/>
          <w:tab w:val="left" w:pos="144"/>
        </w:tabs>
        <w:rPr>
          <w:sz w:val="22"/>
        </w:rPr>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rsidTr="003C3BD2">
        <w:trPr>
          <w:trHeight w:val="3060"/>
        </w:trPr>
        <w:tc>
          <w:tcPr>
            <w:tcW w:w="705" w:type="dxa"/>
            <w:tcBorders>
              <w:top w:val="nil"/>
              <w:left w:val="nil"/>
              <w:bottom w:val="nil"/>
              <w:right w:val="nil"/>
            </w:tcBorders>
          </w:tcPr>
          <w:p w:rsidR="00013EB8" w:rsidRDefault="00013EB8">
            <w:pPr>
              <w:widowControl w:val="0"/>
              <w:numPr>
                <w:ilvl w:val="12"/>
                <w:numId w:val="0"/>
              </w:numPr>
              <w:rPr>
                <w:b/>
              </w:rPr>
            </w:pPr>
            <w:r w:rsidRPr="00AE0E75">
              <w:rPr>
                <w:b/>
              </w:rPr>
              <w:t>3.310</w:t>
            </w:r>
          </w:p>
        </w:tc>
        <w:tc>
          <w:tcPr>
            <w:tcW w:w="10170" w:type="dxa"/>
            <w:tcBorders>
              <w:top w:val="nil"/>
              <w:left w:val="nil"/>
              <w:bottom w:val="nil"/>
              <w:right w:val="nil"/>
            </w:tcBorders>
          </w:tcPr>
          <w:p w:rsidR="00013EB8" w:rsidRDefault="00013EB8">
            <w:pPr>
              <w:widowControl w:val="0"/>
              <w:numPr>
                <w:ilvl w:val="12"/>
                <w:numId w:val="0"/>
              </w:numPr>
              <w:spacing w:after="120"/>
              <w:rPr>
                <w:i/>
              </w:rPr>
            </w:pPr>
            <w:r>
              <w:rPr>
                <w:b/>
              </w:rPr>
              <w:t>Proximate results, secondary conditions</w:t>
            </w:r>
            <w:r>
              <w:t xml:space="preserve"> –when service connection for a secondary condition is established as proximately due to or the result of a service-connected disease or injury, “the secondary condition shall be considered a p</w:t>
            </w:r>
            <w:r w:rsidR="00D2563F">
              <w:t>art of the original condition”</w:t>
            </w:r>
          </w:p>
          <w:p w:rsidR="002C1FE6" w:rsidRDefault="002C1FE6" w:rsidP="002C1FE6">
            <w:pPr>
              <w:widowControl w:val="0"/>
              <w:numPr>
                <w:ilvl w:val="0"/>
                <w:numId w:val="71"/>
              </w:numPr>
              <w:spacing w:after="120"/>
              <w:rPr>
                <w:b/>
                <w:iCs/>
              </w:rPr>
            </w:pPr>
            <w:r>
              <w:rPr>
                <w:b/>
                <w:iCs/>
              </w:rPr>
              <w:t>III.iv.5.C.3</w:t>
            </w:r>
            <w:r w:rsidRPr="002C1FE6">
              <w:rPr>
                <w:iCs/>
              </w:rPr>
              <w:t xml:space="preserve"> – eff</w:t>
            </w:r>
            <w:r w:rsidR="004F315B">
              <w:rPr>
                <w:iCs/>
              </w:rPr>
              <w:t xml:space="preserve">ective </w:t>
            </w:r>
            <w:r w:rsidRPr="002C1FE6">
              <w:rPr>
                <w:iCs/>
              </w:rPr>
              <w:t>dates</w:t>
            </w:r>
          </w:p>
          <w:p w:rsidR="00013EB8" w:rsidRDefault="00F555A4" w:rsidP="002C1FE6">
            <w:pPr>
              <w:widowControl w:val="0"/>
              <w:numPr>
                <w:ilvl w:val="0"/>
                <w:numId w:val="71"/>
              </w:numPr>
              <w:spacing w:after="120"/>
              <w:rPr>
                <w:b/>
                <w:bCs/>
              </w:rPr>
            </w:pPr>
            <w:r w:rsidRPr="00BD3025">
              <w:rPr>
                <w:b/>
                <w:bCs/>
              </w:rPr>
              <w:t>IV.ii.2.B</w:t>
            </w:r>
            <w:r w:rsidR="00B91D9E">
              <w:rPr>
                <w:b/>
                <w:bCs/>
              </w:rPr>
              <w:t>.5</w:t>
            </w:r>
          </w:p>
          <w:p w:rsidR="00013EB8" w:rsidRDefault="00853C4D" w:rsidP="002C1FE6">
            <w:pPr>
              <w:widowControl w:val="0"/>
              <w:numPr>
                <w:ilvl w:val="0"/>
                <w:numId w:val="71"/>
              </w:numPr>
              <w:spacing w:after="120"/>
            </w:pPr>
            <w:r>
              <w:rPr>
                <w:b/>
                <w:bCs/>
              </w:rPr>
              <w:t>IV.ii.2.K</w:t>
            </w:r>
          </w:p>
          <w:p w:rsidR="00013EB8" w:rsidRDefault="00013EB8" w:rsidP="002C1FE6">
            <w:pPr>
              <w:widowControl w:val="0"/>
              <w:numPr>
                <w:ilvl w:val="0"/>
                <w:numId w:val="71"/>
              </w:numPr>
              <w:spacing w:after="120"/>
              <w:rPr>
                <w:i/>
              </w:rPr>
            </w:pPr>
            <w:r>
              <w:rPr>
                <w:b/>
                <w:i/>
              </w:rPr>
              <w:t xml:space="preserve">Tobin v. Derwinski </w:t>
            </w:r>
            <w:r>
              <w:rPr>
                <w:bCs/>
              </w:rPr>
              <w:t xml:space="preserve">(12/18/91) </w:t>
            </w:r>
            <w:r>
              <w:t>- only SC the increase caused by the SC condition; only examine &amp; get opinion if have records that the condition exists</w:t>
            </w:r>
          </w:p>
          <w:p w:rsidR="00013EB8" w:rsidRDefault="00013EB8" w:rsidP="002C1FE6">
            <w:pPr>
              <w:widowControl w:val="0"/>
              <w:numPr>
                <w:ilvl w:val="0"/>
                <w:numId w:val="71"/>
              </w:numPr>
              <w:spacing w:after="120"/>
              <w:rPr>
                <w:i/>
              </w:rPr>
            </w:pPr>
            <w:r w:rsidRPr="002E2D9E">
              <w:rPr>
                <w:b/>
                <w:i/>
              </w:rPr>
              <w:t>Allen v. Brown</w:t>
            </w:r>
            <w:r>
              <w:rPr>
                <w:b/>
              </w:rPr>
              <w:t xml:space="preserve"> </w:t>
            </w:r>
            <w:r>
              <w:rPr>
                <w:bCs/>
              </w:rPr>
              <w:t>(3/17/95)</w:t>
            </w:r>
            <w:r>
              <w:rPr>
                <w:i/>
              </w:rPr>
              <w:t xml:space="preserve"> </w:t>
            </w:r>
            <w:r>
              <w:t>– if SC cond. worsens NSC, take baseline level of NSC prior &amp; subtract it from current NSC (incremen</w:t>
            </w:r>
            <w:r w:rsidR="00B44E74">
              <w:t>tal SC) [subtract even if at 100%]</w:t>
            </w:r>
          </w:p>
          <w:p w:rsidR="0015618A" w:rsidRPr="0015618A" w:rsidRDefault="00013EB8" w:rsidP="002C1FE6">
            <w:pPr>
              <w:widowControl w:val="0"/>
              <w:numPr>
                <w:ilvl w:val="0"/>
                <w:numId w:val="71"/>
              </w:numPr>
              <w:spacing w:after="120"/>
              <w:rPr>
                <w:rFonts w:asciiTheme="minorHAnsi" w:eastAsiaTheme="minorHAnsi" w:hAnsiTheme="minorHAnsi" w:cstheme="minorBidi"/>
                <w:sz w:val="22"/>
                <w:szCs w:val="22"/>
              </w:rPr>
            </w:pPr>
            <w:r w:rsidRPr="002E2D9E">
              <w:rPr>
                <w:b/>
                <w:i/>
              </w:rPr>
              <w:t>Lalonde v. West</w:t>
            </w:r>
            <w:r w:rsidRPr="0015618A">
              <w:rPr>
                <w:b/>
              </w:rPr>
              <w:t xml:space="preserve"> </w:t>
            </w:r>
            <w:r w:rsidRPr="0015618A">
              <w:rPr>
                <w:bCs/>
              </w:rPr>
              <w:t>(5/11/99)</w:t>
            </w:r>
            <w:r>
              <w:t xml:space="preserve"> - TRs not informal claim for secondary condition, but if an informal claim is filed, we will treat it like a claim for increase (and the date of treatment can be used for the </w:t>
            </w:r>
            <w:r w:rsidR="004F315B">
              <w:t>effective date</w:t>
            </w:r>
            <w:r>
              <w:t>)</w:t>
            </w:r>
          </w:p>
          <w:p w:rsidR="0015618A" w:rsidRPr="00B91D9E" w:rsidRDefault="0015618A" w:rsidP="002C1FE6">
            <w:pPr>
              <w:widowControl w:val="0"/>
              <w:numPr>
                <w:ilvl w:val="0"/>
                <w:numId w:val="71"/>
              </w:numPr>
              <w:overflowPunct/>
              <w:spacing w:after="120"/>
              <w:rPr>
                <w:rFonts w:eastAsia="MS PGothic"/>
                <w:kern w:val="24"/>
              </w:rPr>
            </w:pPr>
            <w:r w:rsidRPr="002E2D9E">
              <w:rPr>
                <w:rFonts w:eastAsiaTheme="minorHAnsi"/>
                <w:b/>
                <w:i/>
              </w:rPr>
              <w:t>Ellington v. Nicholson</w:t>
            </w:r>
            <w:r w:rsidRPr="0015618A">
              <w:rPr>
                <w:rFonts w:eastAsiaTheme="minorHAnsi"/>
              </w:rPr>
              <w:t xml:space="preserve"> (</w:t>
            </w:r>
            <w:r>
              <w:rPr>
                <w:rFonts w:eastAsiaTheme="minorHAnsi"/>
              </w:rPr>
              <w:t>7/25/07</w:t>
            </w:r>
            <w:r w:rsidRPr="0015618A">
              <w:rPr>
                <w:rFonts w:eastAsiaTheme="minorHAnsi"/>
              </w:rPr>
              <w:t xml:space="preserve">) – </w:t>
            </w:r>
            <w:r w:rsidRPr="0015618A">
              <w:rPr>
                <w:rFonts w:eastAsia="MS PGothic"/>
                <w:kern w:val="24"/>
              </w:rPr>
              <w:t xml:space="preserve">The </w:t>
            </w:r>
            <w:r w:rsidR="004F315B">
              <w:rPr>
                <w:rFonts w:eastAsia="MS PGothic"/>
                <w:kern w:val="24"/>
              </w:rPr>
              <w:t>effective date</w:t>
            </w:r>
            <w:r w:rsidRPr="0015618A">
              <w:rPr>
                <w:rFonts w:eastAsia="MS PGothic"/>
                <w:kern w:val="24"/>
              </w:rPr>
              <w:t xml:space="preserve"> for a secondarily s/c condition is not identical to that of the original condition; the </w:t>
            </w:r>
            <w:r w:rsidR="004F315B">
              <w:rPr>
                <w:rFonts w:eastAsia="MS PGothic"/>
                <w:kern w:val="24"/>
              </w:rPr>
              <w:t>effective date</w:t>
            </w:r>
            <w:r w:rsidRPr="0015618A">
              <w:rPr>
                <w:rFonts w:eastAsia="MS PGothic"/>
                <w:kern w:val="24"/>
              </w:rPr>
              <w:t xml:space="preserve"> could arise no earlier than the date on which the appellant applied for benefits for the condition at issue.</w:t>
            </w:r>
            <w:r w:rsidR="001A3A22">
              <w:t xml:space="preserve"> (</w:t>
            </w:r>
            <w:r w:rsidR="005B713B" w:rsidRPr="005B713B">
              <w:rPr>
                <w:b/>
              </w:rPr>
              <w:t>I</w:t>
            </w:r>
            <w:r w:rsidR="001A3A22">
              <w:rPr>
                <w:b/>
              </w:rPr>
              <w:t>I</w:t>
            </w:r>
            <w:r w:rsidR="005B713B" w:rsidRPr="005B713B">
              <w:rPr>
                <w:b/>
              </w:rPr>
              <w:t>I.ii.2.C.1.a</w:t>
            </w:r>
            <w:r w:rsidR="005B713B">
              <w:t xml:space="preserve"> says</w:t>
            </w:r>
            <w:r w:rsidR="005B713B">
              <w:rPr>
                <w:rFonts w:eastAsia="MS PGothic"/>
                <w:kern w:val="24"/>
              </w:rPr>
              <w:t xml:space="preserve"> th</w:t>
            </w:r>
            <w:r w:rsidR="005B713B">
              <w:t xml:space="preserve">e Court of Appeals for Veteran Claims (CAVC) (in </w:t>
            </w:r>
            <w:r w:rsidR="005B713B">
              <w:rPr>
                <w:i/>
              </w:rPr>
              <w:t>Ellington v. Nicholson</w:t>
            </w:r>
            <w:r w:rsidR="005B713B">
              <w:t xml:space="preserve"> ) ruled that complaints noted by a Veteran during a VA examination (and included in the corresponding examination report) do not constitute an informal claim unless "the veteran sufficiently manifested an intent to apply for benefits for a particular disease or injury."</w:t>
            </w:r>
          </w:p>
          <w:p w:rsidR="00B91D9E" w:rsidRPr="0015618A" w:rsidRDefault="00B91D9E" w:rsidP="002C1FE6">
            <w:pPr>
              <w:widowControl w:val="0"/>
              <w:numPr>
                <w:ilvl w:val="0"/>
                <w:numId w:val="71"/>
              </w:numPr>
              <w:overflowPunct/>
              <w:spacing w:after="120"/>
              <w:rPr>
                <w:rFonts w:eastAsia="MS PGothic"/>
                <w:kern w:val="24"/>
              </w:rPr>
            </w:pPr>
            <w:r>
              <w:rPr>
                <w:rFonts w:eastAsiaTheme="minorHAnsi"/>
                <w:b/>
                <w:i/>
              </w:rPr>
              <w:t>Douglas v.</w:t>
            </w:r>
            <w:r>
              <w:rPr>
                <w:rFonts w:eastAsia="MS PGothic"/>
                <w:kern w:val="24"/>
              </w:rPr>
              <w:t xml:space="preserve"> </w:t>
            </w:r>
            <w:r w:rsidRPr="00B91D9E">
              <w:rPr>
                <w:rFonts w:eastAsia="MS PGothic"/>
                <w:b/>
                <w:i/>
                <w:kern w:val="24"/>
              </w:rPr>
              <w:t xml:space="preserve">Shinseki </w:t>
            </w:r>
            <w:r w:rsidRPr="00B91D9E">
              <w:rPr>
                <w:rFonts w:eastAsia="MS PGothic"/>
                <w:kern w:val="24"/>
              </w:rPr>
              <w:t>(2009)?</w:t>
            </w:r>
            <w:r>
              <w:rPr>
                <w:rFonts w:eastAsia="MS PGothic"/>
                <w:kern w:val="24"/>
              </w:rPr>
              <w:t xml:space="preserve"> – need baseline level of severity on NSC disability before get agg opinion</w:t>
            </w:r>
          </w:p>
          <w:p w:rsidR="0015618A" w:rsidRPr="00A76FED" w:rsidRDefault="0015618A" w:rsidP="002C1FE6">
            <w:pPr>
              <w:numPr>
                <w:ilvl w:val="0"/>
                <w:numId w:val="71"/>
              </w:numPr>
              <w:overflowPunct/>
              <w:autoSpaceDE/>
              <w:autoSpaceDN/>
              <w:adjustRightInd/>
              <w:spacing w:after="120"/>
              <w:textAlignment w:val="auto"/>
            </w:pPr>
            <w:r w:rsidRPr="002E2D9E">
              <w:rPr>
                <w:rFonts w:eastAsiaTheme="minorHAnsi"/>
                <w:b/>
                <w:i/>
              </w:rPr>
              <w:t>Delisio v. Shinseki</w:t>
            </w:r>
            <w:r w:rsidRPr="0015618A">
              <w:rPr>
                <w:rFonts w:eastAsiaTheme="minorHAnsi"/>
              </w:rPr>
              <w:t xml:space="preserve"> (8/24/11)</w:t>
            </w:r>
            <w:r>
              <w:rPr>
                <w:rFonts w:eastAsiaTheme="minorHAnsi"/>
              </w:rPr>
              <w:t xml:space="preserve"> – “a disability that is secondarily service-connected could have an effective date earlier than the date a claim was filed explicitly for theprimary service-connected disability, but only under certain, limited circumstances.” </w:t>
            </w:r>
            <w:r w:rsidR="00867C30">
              <w:rPr>
                <w:rFonts w:ascii="Helvetica" w:hAnsi="Helvetica"/>
                <w:color w:val="3D3D3D"/>
                <w:lang w:val="en"/>
              </w:rPr>
              <w:t xml:space="preserve">"The Court rejected the Secretary’s argument that a claimant must explicitly </w:t>
            </w:r>
            <w:r w:rsidR="00867C30" w:rsidRPr="00EE5046">
              <w:rPr>
                <w:rFonts w:ascii="Helvetica" w:hAnsi="Helvetica"/>
                <w:lang w:val="en"/>
              </w:rPr>
              <w:t>file a claim for the causal disease or disability to establish entitlement to secondary service connection for the claimed condition as overly technical and incompatible with the veteran-friendly, nonadversarial, claims system. The Court stated that the Secretary’s position contravened applicable case law that (1) a claimant need not file a claim for benefits for the precise medical causes of his condition; (2) the Secretary must sympathetically read claimant’s filing and investigate potentially applicable theories of service connection; and (3) a claim for benefits for one disability reasonably may encompass other disabilities."</w:t>
            </w:r>
          </w:p>
          <w:p w:rsidR="00A76FED" w:rsidRPr="00A76FED" w:rsidRDefault="00A76FED" w:rsidP="002C1FE6">
            <w:pPr>
              <w:widowControl w:val="0"/>
              <w:numPr>
                <w:ilvl w:val="0"/>
                <w:numId w:val="71"/>
              </w:numPr>
              <w:spacing w:after="120"/>
              <w:rPr>
                <w:b/>
                <w:bCs/>
              </w:rPr>
            </w:pPr>
            <w:r>
              <w:rPr>
                <w:rFonts w:eastAsiaTheme="minorHAnsi"/>
                <w:b/>
                <w:i/>
              </w:rPr>
              <w:t xml:space="preserve">Frost v. Shulkin (2017) </w:t>
            </w:r>
            <w:r w:rsidRPr="00A76FED">
              <w:rPr>
                <w:rFonts w:eastAsiaTheme="minorHAnsi"/>
                <w:i/>
              </w:rPr>
              <w:t>-</w:t>
            </w:r>
            <w:r w:rsidRPr="00A76FED">
              <w:rPr>
                <w:rFonts w:eastAsiaTheme="minorHAnsi"/>
                <w:b/>
                <w:i/>
              </w:rPr>
              <w:t xml:space="preserve"> </w:t>
            </w:r>
            <w:r w:rsidRPr="00A76FED">
              <w:t>establishment of causation prior to a finding of SC or formal diagn</w:t>
            </w:r>
            <w:r>
              <w:t xml:space="preserve">osis for the primary disability, </w:t>
            </w:r>
            <w:r w:rsidRPr="00BD3025">
              <w:rPr>
                <w:b/>
                <w:bCs/>
              </w:rPr>
              <w:t>IV.ii.2.B</w:t>
            </w:r>
            <w:r>
              <w:rPr>
                <w:b/>
                <w:bCs/>
              </w:rPr>
              <w:t xml:space="preserve">.5.b </w:t>
            </w:r>
            <w:r w:rsidRPr="00A76FED">
              <w:rPr>
                <w:bCs/>
              </w:rPr>
              <w:t>&amp;</w:t>
            </w:r>
            <w:r>
              <w:rPr>
                <w:b/>
                <w:bCs/>
              </w:rPr>
              <w:t xml:space="preserve"> </w:t>
            </w:r>
            <w:r w:rsidRPr="00A76FED">
              <w:rPr>
                <w:rStyle w:val="Strong"/>
                <w:bCs w:val="0"/>
                <w:szCs w:val="21"/>
              </w:rPr>
              <w:t>III.iv.5.C.3.f</w:t>
            </w:r>
            <w:r>
              <w:rPr>
                <w:rStyle w:val="Strong"/>
                <w:b w:val="0"/>
                <w:bCs w:val="0"/>
                <w:szCs w:val="21"/>
              </w:rPr>
              <w:t xml:space="preserve"> (</w:t>
            </w:r>
            <w:r w:rsidR="004F315B">
              <w:rPr>
                <w:rStyle w:val="Strong"/>
                <w:b w:val="0"/>
                <w:bCs w:val="0"/>
                <w:szCs w:val="21"/>
              </w:rPr>
              <w:t>effective date</w:t>
            </w:r>
            <w:r>
              <w:rPr>
                <w:rStyle w:val="Strong"/>
                <w:b w:val="0"/>
                <w:bCs w:val="0"/>
                <w:szCs w:val="21"/>
              </w:rPr>
              <w:t>s)</w:t>
            </w:r>
          </w:p>
          <w:p w:rsidR="00013EB8" w:rsidRDefault="00472785" w:rsidP="002C1FE6">
            <w:pPr>
              <w:numPr>
                <w:ilvl w:val="0"/>
                <w:numId w:val="71"/>
              </w:numPr>
              <w:overflowPunct/>
              <w:autoSpaceDE/>
              <w:autoSpaceDN/>
              <w:adjustRightInd/>
              <w:textAlignment w:val="auto"/>
              <w:rPr>
                <w:rFonts w:ascii="Verdana" w:hAnsi="Verdana"/>
              </w:rPr>
            </w:pPr>
            <w:r>
              <w:rPr>
                <w:rFonts w:ascii="Verdana" w:hAnsi="Verdana"/>
                <w:b/>
                <w:bCs/>
                <w:highlight w:val="green"/>
              </w:rPr>
              <w:t>AG1</w:t>
            </w:r>
          </w:p>
        </w:tc>
      </w:tr>
    </w:tbl>
    <w:p w:rsidR="00013EB8" w:rsidRDefault="00013EB8">
      <w:pPr>
        <w:widowControl w:val="0"/>
        <w:tabs>
          <w:tab w:val="left" w:pos="0"/>
          <w:tab w:val="left" w:pos="144"/>
        </w:tabs>
        <w:rPr>
          <w:b/>
          <w:bCs/>
          <w:i/>
          <w:sz w:val="22"/>
        </w:rPr>
      </w:pPr>
    </w:p>
    <w:p w:rsidR="004D429B" w:rsidRDefault="004D429B">
      <w:pPr>
        <w:overflowPunct/>
        <w:autoSpaceDE/>
        <w:autoSpaceDN/>
        <w:adjustRightInd/>
        <w:textAlignment w:val="auto"/>
        <w:rPr>
          <w:b/>
          <w:bCs/>
          <w:i/>
          <w:sz w:val="22"/>
        </w:rPr>
      </w:pPr>
      <w:r>
        <w:rPr>
          <w:b/>
          <w:bCs/>
          <w:i/>
          <w:sz w:val="22"/>
        </w:rPr>
        <w:br w:type="page"/>
      </w:r>
    </w:p>
    <w:p w:rsidR="00013EB8" w:rsidRDefault="00013EB8">
      <w:pPr>
        <w:widowControl w:val="0"/>
        <w:pBdr>
          <w:top w:val="double" w:sz="4" w:space="1" w:color="auto"/>
        </w:pBdr>
        <w:tabs>
          <w:tab w:val="left" w:pos="0"/>
          <w:tab w:val="left" w:pos="144"/>
        </w:tabs>
        <w:rPr>
          <w:b/>
          <w:bCs/>
          <w:i/>
          <w:sz w:val="22"/>
        </w:rPr>
      </w:pPr>
    </w:p>
    <w:p w:rsidR="00013EB8" w:rsidRDefault="00013EB8" w:rsidP="007F1619">
      <w:pPr>
        <w:widowControl w:val="0"/>
        <w:tabs>
          <w:tab w:val="left" w:pos="0"/>
          <w:tab w:val="left" w:pos="144"/>
        </w:tabs>
        <w:spacing w:after="120"/>
        <w:rPr>
          <w:b/>
          <w:bCs/>
          <w:i/>
          <w:sz w:val="22"/>
        </w:rPr>
      </w:pPr>
      <w:bookmarkStart w:id="103" w:name="Evaluations"/>
      <w:r>
        <w:rPr>
          <w:b/>
          <w:bCs/>
          <w:i/>
          <w:sz w:val="22"/>
        </w:rPr>
        <w:t>EVALUATIONS –</w:t>
      </w:r>
    </w:p>
    <w:bookmarkEnd w:id="103"/>
    <w:p w:rsidR="00013EB8" w:rsidRDefault="00013EB8" w:rsidP="00394AB5">
      <w:pPr>
        <w:widowControl w:val="0"/>
        <w:spacing w:after="120"/>
        <w:rPr>
          <w:i/>
          <w:iCs/>
        </w:rPr>
      </w:pPr>
    </w:p>
    <w:tbl>
      <w:tblPr>
        <w:tblW w:w="10875" w:type="dxa"/>
        <w:tblInd w:w="-45" w:type="dxa"/>
        <w:tblLayout w:type="fixed"/>
        <w:tblCellMar>
          <w:left w:w="30" w:type="dxa"/>
          <w:right w:w="30" w:type="dxa"/>
        </w:tblCellMar>
        <w:tblLook w:val="0000" w:firstRow="0" w:lastRow="0" w:firstColumn="0" w:lastColumn="0" w:noHBand="0" w:noVBand="0"/>
      </w:tblPr>
      <w:tblGrid>
        <w:gridCol w:w="684"/>
        <w:gridCol w:w="21"/>
        <w:gridCol w:w="10170"/>
      </w:tblGrid>
      <w:tr w:rsidR="00013EB8" w:rsidTr="007F1619">
        <w:tc>
          <w:tcPr>
            <w:tcW w:w="705" w:type="dxa"/>
            <w:gridSpan w:val="2"/>
            <w:tcBorders>
              <w:top w:val="nil"/>
              <w:left w:val="nil"/>
              <w:bottom w:val="nil"/>
              <w:right w:val="nil"/>
            </w:tcBorders>
          </w:tcPr>
          <w:p w:rsidR="00013EB8" w:rsidRDefault="00013EB8" w:rsidP="007F1619">
            <w:pPr>
              <w:widowControl w:val="0"/>
              <w:numPr>
                <w:ilvl w:val="12"/>
                <w:numId w:val="0"/>
              </w:numPr>
              <w:spacing w:after="120"/>
              <w:rPr>
                <w:b/>
              </w:rPr>
            </w:pPr>
            <w:r w:rsidRPr="00AE0E75">
              <w:rPr>
                <w:b/>
              </w:rPr>
              <w:t>3.951</w:t>
            </w:r>
          </w:p>
        </w:tc>
        <w:tc>
          <w:tcPr>
            <w:tcW w:w="10170" w:type="dxa"/>
            <w:tcBorders>
              <w:top w:val="nil"/>
              <w:left w:val="nil"/>
              <w:bottom w:val="nil"/>
              <w:right w:val="nil"/>
            </w:tcBorders>
          </w:tcPr>
          <w:p w:rsidR="00013EB8" w:rsidRPr="00A7764C" w:rsidRDefault="00013EB8" w:rsidP="00A7764C">
            <w:pPr>
              <w:pStyle w:val="Header"/>
              <w:widowControl w:val="0"/>
              <w:tabs>
                <w:tab w:val="clear" w:pos="4320"/>
                <w:tab w:val="clear" w:pos="8640"/>
                <w:tab w:val="left" w:pos="360"/>
              </w:tabs>
              <w:spacing w:after="120"/>
              <w:ind w:left="90"/>
              <w:rPr>
                <w:b/>
              </w:rPr>
            </w:pPr>
            <w:r>
              <w:rPr>
                <w:b/>
              </w:rPr>
              <w:t>Preservation of disability ratings</w:t>
            </w:r>
            <w:r w:rsidR="001932FE">
              <w:rPr>
                <w:b/>
              </w:rPr>
              <w:t>, 38 USC 110</w:t>
            </w:r>
            <w:r>
              <w:t xml:space="preserve"> – </w:t>
            </w:r>
            <w:r w:rsidRPr="003859B5">
              <w:rPr>
                <w:b/>
                <w:bCs/>
              </w:rPr>
              <w:t>III.iv.8.B</w:t>
            </w:r>
            <w:r w:rsidR="00FF567E">
              <w:t xml:space="preserve">, </w:t>
            </w:r>
            <w:r w:rsidR="00A7764C" w:rsidRPr="003859B5">
              <w:rPr>
                <w:b/>
              </w:rPr>
              <w:t>III.iv.8.C</w:t>
            </w:r>
            <w:r w:rsidR="00FF567E">
              <w:t xml:space="preserve"> </w:t>
            </w:r>
            <w:r>
              <w:t>(a) cannot reduce unless “actually improved</w:t>
            </w:r>
            <w:r w:rsidR="001946CC">
              <w:t>,”</w:t>
            </w:r>
            <w:r>
              <w:t xml:space="preserve"> (b) do not reduce an evaluation (unless fraudulent) if in effect for 20 years or more</w:t>
            </w:r>
            <w:r w:rsidR="00474CC4">
              <w:t xml:space="preserve"> (this includes the combined evaluation)</w:t>
            </w:r>
            <w:r>
              <w:t>, same w/P&amp;T, compute from effective date of evaluation to effective date of reduction</w:t>
            </w:r>
          </w:p>
          <w:p w:rsidR="0088709C" w:rsidRPr="007F1619" w:rsidRDefault="00D571C5" w:rsidP="00F063AF">
            <w:pPr>
              <w:widowControl w:val="0"/>
              <w:numPr>
                <w:ilvl w:val="0"/>
                <w:numId w:val="100"/>
              </w:numPr>
              <w:tabs>
                <w:tab w:val="clear" w:pos="720"/>
                <w:tab w:val="num" w:pos="360"/>
                <w:tab w:val="left" w:pos="9413"/>
              </w:tabs>
              <w:spacing w:after="120"/>
              <w:ind w:left="360"/>
            </w:pPr>
            <w:hyperlink r:id="rId471" w:history="1">
              <w:r w:rsidR="0088709C">
                <w:rPr>
                  <w:rStyle w:val="Hyperlink"/>
                  <w:b/>
                  <w:bCs/>
                  <w:i/>
                  <w:iCs/>
                </w:rPr>
                <w:t>FY 2013 Quality Call Training</w:t>
              </w:r>
            </w:hyperlink>
            <w:r w:rsidR="0088709C" w:rsidRPr="002B1B67">
              <w:rPr>
                <w:b/>
                <w:bCs/>
                <w:i/>
                <w:iCs/>
              </w:rPr>
              <w:t xml:space="preserve"> – </w:t>
            </w:r>
            <w:r w:rsidR="0053190C" w:rsidRPr="00E94B83">
              <w:rPr>
                <w:b/>
                <w:bCs/>
                <w:iCs/>
              </w:rPr>
              <w:t>I</w:t>
            </w:r>
            <w:r w:rsidR="0053190C">
              <w:rPr>
                <w:b/>
                <w:bCs/>
                <w:iCs/>
              </w:rPr>
              <w:t>nter-Rater Reliability (I</w:t>
            </w:r>
            <w:r w:rsidR="0053190C" w:rsidRPr="00E94B83">
              <w:rPr>
                <w:b/>
                <w:bCs/>
                <w:iCs/>
              </w:rPr>
              <w:t>RR</w:t>
            </w:r>
            <w:r w:rsidR="0053190C">
              <w:rPr>
                <w:b/>
                <w:bCs/>
                <w:iCs/>
              </w:rPr>
              <w:t>)/IRR Consistency Questionnaire</w:t>
            </w:r>
            <w:r w:rsidR="0088709C">
              <w:rPr>
                <w:b/>
                <w:iCs/>
              </w:rPr>
              <w:t xml:space="preserve"> – </w:t>
            </w:r>
            <w:r w:rsidR="0088709C">
              <w:rPr>
                <w:iCs/>
              </w:rPr>
              <w:t xml:space="preserve">no reductions after 20 years (except in cases of fraud); no </w:t>
            </w:r>
            <w:r w:rsidR="00F46384" w:rsidRPr="008E29EB">
              <w:t>routine</w:t>
            </w:r>
            <w:r w:rsidR="00F46384">
              <w:rPr>
                <w:sz w:val="22"/>
              </w:rPr>
              <w:t xml:space="preserve"> </w:t>
            </w:r>
            <w:r w:rsidR="00F46384" w:rsidRPr="00F46384">
              <w:t>future exam / RFE</w:t>
            </w:r>
          </w:p>
          <w:p w:rsidR="007F1619" w:rsidRDefault="007F1619" w:rsidP="00F063AF">
            <w:pPr>
              <w:widowControl w:val="0"/>
              <w:numPr>
                <w:ilvl w:val="0"/>
                <w:numId w:val="100"/>
              </w:numPr>
              <w:tabs>
                <w:tab w:val="clear" w:pos="720"/>
                <w:tab w:val="num" w:pos="360"/>
                <w:tab w:val="left" w:pos="9413"/>
              </w:tabs>
              <w:spacing w:after="120"/>
              <w:ind w:left="360"/>
            </w:pPr>
            <w:r w:rsidRPr="002E2D9E">
              <w:rPr>
                <w:b/>
                <w:i/>
              </w:rPr>
              <w:t xml:space="preserve">January 2014 </w:t>
            </w:r>
            <w:r w:rsidR="00EB6F0B" w:rsidRPr="002E2D9E">
              <w:rPr>
                <w:b/>
                <w:i/>
              </w:rPr>
              <w:t>Compensation Service Bulletin (CSB)</w:t>
            </w:r>
            <w:r w:rsidRPr="007F1619">
              <w:t xml:space="preserve"> –</w:t>
            </w:r>
            <w:r>
              <w:t xml:space="preserve"> also applies to SMC</w:t>
            </w:r>
          </w:p>
        </w:tc>
      </w:tr>
      <w:tr w:rsidR="00013EB8" w:rsidTr="007F1619">
        <w:tc>
          <w:tcPr>
            <w:tcW w:w="705" w:type="dxa"/>
            <w:gridSpan w:val="2"/>
            <w:tcBorders>
              <w:top w:val="nil"/>
              <w:left w:val="nil"/>
              <w:bottom w:val="nil"/>
              <w:right w:val="nil"/>
            </w:tcBorders>
          </w:tcPr>
          <w:p w:rsidR="00013EB8" w:rsidRDefault="00013EB8" w:rsidP="007F1619">
            <w:pPr>
              <w:widowControl w:val="0"/>
              <w:numPr>
                <w:ilvl w:val="12"/>
                <w:numId w:val="0"/>
              </w:numPr>
              <w:spacing w:after="120"/>
              <w:rPr>
                <w:b/>
              </w:rPr>
            </w:pPr>
            <w:r w:rsidRPr="00AE0E75">
              <w:rPr>
                <w:b/>
              </w:rPr>
              <w:t>3.952</w:t>
            </w:r>
          </w:p>
        </w:tc>
        <w:tc>
          <w:tcPr>
            <w:tcW w:w="10170" w:type="dxa"/>
            <w:tcBorders>
              <w:top w:val="nil"/>
              <w:left w:val="nil"/>
              <w:bottom w:val="nil"/>
              <w:right w:val="nil"/>
            </w:tcBorders>
          </w:tcPr>
          <w:p w:rsidR="00013EB8" w:rsidRPr="00A7764C" w:rsidRDefault="00013EB8" w:rsidP="003859B5">
            <w:pPr>
              <w:pStyle w:val="Header"/>
              <w:widowControl w:val="0"/>
              <w:tabs>
                <w:tab w:val="clear" w:pos="4320"/>
                <w:tab w:val="clear" w:pos="8640"/>
                <w:tab w:val="left" w:pos="360"/>
              </w:tabs>
              <w:spacing w:after="120"/>
              <w:ind w:left="90"/>
              <w:rPr>
                <w:b/>
              </w:rPr>
            </w:pPr>
            <w:r>
              <w:rPr>
                <w:b/>
              </w:rPr>
              <w:t>Protected ratings</w:t>
            </w:r>
            <w:r w:rsidR="001932FE">
              <w:rPr>
                <w:b/>
              </w:rPr>
              <w:t>, 38 USC 1155</w:t>
            </w:r>
            <w:r>
              <w:t xml:space="preserve"> –</w:t>
            </w:r>
            <w:r w:rsidR="00A7764C">
              <w:t xml:space="preserve"> </w:t>
            </w:r>
            <w:r w:rsidR="00A7764C" w:rsidRPr="003859B5">
              <w:rPr>
                <w:b/>
              </w:rPr>
              <w:t>III.iv.8.C</w:t>
            </w:r>
            <w:r w:rsidRPr="00A7764C">
              <w:rPr>
                <w:i/>
              </w:rPr>
              <w:t xml:space="preserve">; </w:t>
            </w:r>
            <w:r>
              <w:t>1925 schedule ratings, “which were the basis of compensation on 4/1/46” can only be reduced based on 1925 criteria, or increased based on 1945 criteria</w:t>
            </w:r>
          </w:p>
        </w:tc>
      </w:tr>
      <w:tr w:rsidR="00013EB8" w:rsidTr="007F1619">
        <w:tc>
          <w:tcPr>
            <w:tcW w:w="705" w:type="dxa"/>
            <w:gridSpan w:val="2"/>
            <w:tcBorders>
              <w:top w:val="nil"/>
              <w:left w:val="nil"/>
              <w:bottom w:val="nil"/>
              <w:right w:val="nil"/>
            </w:tcBorders>
          </w:tcPr>
          <w:p w:rsidR="00013EB8" w:rsidRDefault="00013EB8" w:rsidP="007F1619">
            <w:pPr>
              <w:widowControl w:val="0"/>
              <w:numPr>
                <w:ilvl w:val="12"/>
                <w:numId w:val="0"/>
              </w:numPr>
              <w:spacing w:after="120"/>
              <w:rPr>
                <w:b/>
              </w:rPr>
            </w:pPr>
            <w:r w:rsidRPr="00AE0E75">
              <w:rPr>
                <w:b/>
              </w:rPr>
              <w:t>3.957</w:t>
            </w:r>
          </w:p>
        </w:tc>
        <w:tc>
          <w:tcPr>
            <w:tcW w:w="10170" w:type="dxa"/>
            <w:tcBorders>
              <w:top w:val="nil"/>
              <w:left w:val="nil"/>
              <w:bottom w:val="nil"/>
              <w:right w:val="nil"/>
            </w:tcBorders>
          </w:tcPr>
          <w:p w:rsidR="00013EB8" w:rsidRDefault="00013EB8" w:rsidP="007F1619">
            <w:pPr>
              <w:widowControl w:val="0"/>
              <w:numPr>
                <w:ilvl w:val="12"/>
                <w:numId w:val="0"/>
              </w:numPr>
              <w:spacing w:after="120"/>
            </w:pPr>
            <w:r>
              <w:rPr>
                <w:b/>
              </w:rPr>
              <w:t>Service connection</w:t>
            </w:r>
            <w:r w:rsidR="001932FE">
              <w:rPr>
                <w:b/>
              </w:rPr>
              <w:t>, 38 USC 1159</w:t>
            </w:r>
            <w:r>
              <w:t xml:space="preserve"> – </w:t>
            </w:r>
            <w:r w:rsidR="00C02245" w:rsidRPr="00C02245">
              <w:rPr>
                <w:b/>
              </w:rPr>
              <w:t>III.iv.8.C.2</w:t>
            </w:r>
            <w:r w:rsidR="00C02245">
              <w:t xml:space="preserve">; </w:t>
            </w:r>
            <w:r>
              <w:t>cannot sever (unless fraudulent, or did not have required service or character of discharge) if SC for 10 years or more, compute from effective date of SC to effective date of severance</w:t>
            </w:r>
            <w:r w:rsidR="00C02245">
              <w:t>; can grant increase &amp; SC for secondary disabilities</w:t>
            </w:r>
          </w:p>
          <w:p w:rsidR="00FE06EA" w:rsidRDefault="00F863FB" w:rsidP="00F063AF">
            <w:pPr>
              <w:widowControl w:val="0"/>
              <w:numPr>
                <w:ilvl w:val="0"/>
                <w:numId w:val="233"/>
              </w:numPr>
              <w:spacing w:after="120"/>
              <w:ind w:left="330"/>
            </w:pPr>
            <w:r>
              <w:rPr>
                <w:b/>
                <w:i/>
              </w:rPr>
              <w:t>VAOPGCPREC 6-</w:t>
            </w:r>
            <w:r w:rsidR="00013EB8">
              <w:rPr>
                <w:b/>
                <w:i/>
              </w:rPr>
              <w:t xml:space="preserve">02 </w:t>
            </w:r>
            <w:r w:rsidR="00013EB8" w:rsidRPr="00F863FB">
              <w:t>(7/11/02)</w:t>
            </w:r>
            <w:r w:rsidR="00032E30">
              <w:rPr>
                <w:b/>
                <w:i/>
              </w:rPr>
              <w:t xml:space="preserve"> </w:t>
            </w:r>
            <w:r w:rsidR="00013EB8">
              <w:t>- 3.957 protects even service connection erroneously and recently granted, but with an effective date more than ten years before the date of the decision establishing service connection. VA may not sever such a grant of service connection (in the absence of fraud or lack of requisite service or character of discharge).  In the absence of the veteran's own willful misconduct or abuse of alcohol or drugs, VA must pay compensation otherwise in order for a disability that was erroneously service connected, where service connection is protected from severance.</w:t>
            </w:r>
          </w:p>
          <w:p w:rsidR="001B1DB1" w:rsidRDefault="001932FE" w:rsidP="00F063AF">
            <w:pPr>
              <w:widowControl w:val="0"/>
              <w:numPr>
                <w:ilvl w:val="0"/>
                <w:numId w:val="233"/>
              </w:numPr>
              <w:spacing w:after="120"/>
              <w:ind w:left="330"/>
            </w:pPr>
            <w:r>
              <w:rPr>
                <w:b/>
                <w:i/>
              </w:rPr>
              <w:t xml:space="preserve">Hornick v. Shinseki (2010) – </w:t>
            </w:r>
            <w:r w:rsidRPr="001C5E99">
              <w:t>protection of SC is applicable to disa</w:t>
            </w:r>
            <w:r w:rsidR="001B1DB1">
              <w:t>bilities compensated under 1151</w:t>
            </w:r>
          </w:p>
          <w:p w:rsidR="001932FE" w:rsidRPr="002A176A" w:rsidRDefault="001B1DB1" w:rsidP="00F063AF">
            <w:pPr>
              <w:widowControl w:val="0"/>
              <w:numPr>
                <w:ilvl w:val="0"/>
                <w:numId w:val="233"/>
              </w:numPr>
              <w:spacing w:after="120"/>
              <w:ind w:left="330"/>
            </w:pPr>
            <w:r>
              <w:rPr>
                <w:b/>
              </w:rPr>
              <w:t>III.iv.8.C.2</w:t>
            </w:r>
          </w:p>
          <w:p w:rsidR="002A176A" w:rsidRDefault="002A176A" w:rsidP="00F063AF">
            <w:pPr>
              <w:widowControl w:val="0"/>
              <w:numPr>
                <w:ilvl w:val="0"/>
                <w:numId w:val="233"/>
              </w:numPr>
              <w:spacing w:after="120"/>
              <w:ind w:left="330"/>
            </w:pPr>
            <w:r w:rsidRPr="002A176A">
              <w:rPr>
                <w:rStyle w:val="Strong"/>
                <w:bCs w:val="0"/>
                <w:szCs w:val="21"/>
              </w:rPr>
              <w:t>IV.ii.3.A.2.k</w:t>
            </w:r>
            <w:r w:rsidRPr="002A176A">
              <w:rPr>
                <w:rStyle w:val="Strong"/>
                <w:b w:val="0"/>
                <w:bCs w:val="0"/>
                <w:szCs w:val="21"/>
              </w:rPr>
              <w:t xml:space="preserve"> eff date of severance is first day of month following 60 day</w:t>
            </w:r>
            <w:r>
              <w:rPr>
                <w:rStyle w:val="Strong"/>
                <w:b w:val="0"/>
                <w:bCs w:val="0"/>
                <w:szCs w:val="21"/>
              </w:rPr>
              <w:t>s from date of notice of final rating action</w:t>
            </w:r>
          </w:p>
        </w:tc>
      </w:tr>
      <w:tr w:rsidR="00013EB8" w:rsidTr="007F1619">
        <w:trPr>
          <w:trHeight w:val="468"/>
        </w:trPr>
        <w:tc>
          <w:tcPr>
            <w:tcW w:w="684" w:type="dxa"/>
            <w:tcBorders>
              <w:top w:val="nil"/>
              <w:left w:val="nil"/>
              <w:bottom w:val="nil"/>
              <w:right w:val="nil"/>
            </w:tcBorders>
          </w:tcPr>
          <w:p w:rsidR="00013EB8" w:rsidRDefault="00013EB8" w:rsidP="007F1619">
            <w:pPr>
              <w:widowControl w:val="0"/>
              <w:spacing w:after="120"/>
              <w:rPr>
                <w:b/>
              </w:rPr>
            </w:pPr>
            <w:r w:rsidRPr="00AE0E75">
              <w:rPr>
                <w:b/>
              </w:rPr>
              <w:t>4.1</w:t>
            </w:r>
          </w:p>
        </w:tc>
        <w:tc>
          <w:tcPr>
            <w:tcW w:w="10191" w:type="dxa"/>
            <w:gridSpan w:val="2"/>
            <w:tcBorders>
              <w:top w:val="nil"/>
              <w:left w:val="nil"/>
              <w:bottom w:val="nil"/>
              <w:right w:val="nil"/>
            </w:tcBorders>
          </w:tcPr>
          <w:p w:rsidR="00013EB8" w:rsidRPr="00CA5CD0" w:rsidRDefault="00013EB8" w:rsidP="00CA5CD0">
            <w:pPr>
              <w:widowControl w:val="0"/>
              <w:spacing w:after="120"/>
            </w:pPr>
            <w:r>
              <w:rPr>
                <w:b/>
              </w:rPr>
              <w:t xml:space="preserve">Essentials of evaluative rating </w:t>
            </w:r>
            <w:r>
              <w:t>–</w:t>
            </w:r>
            <w:r w:rsidR="00CA5CD0">
              <w:t xml:space="preserve"> </w:t>
            </w:r>
            <w:r w:rsidR="00CA5CD0" w:rsidRPr="00CA5CD0">
              <w:rPr>
                <w:b/>
              </w:rPr>
              <w:t>4.2, 4.10, 4.40, 4.45</w:t>
            </w:r>
            <w:r w:rsidR="00CA5CD0">
              <w:t xml:space="preserve">; </w:t>
            </w:r>
            <w:r>
              <w:t>percentages represent “average impairment in earning capacity</w:t>
            </w:r>
            <w:r w:rsidR="001946CC">
              <w:t>,”</w:t>
            </w:r>
            <w:r>
              <w:t xml:space="preserve"> exams should emphasize “limitation of activity impo</w:t>
            </w:r>
            <w:r w:rsidR="00CA5CD0">
              <w:t>sed by the disabling condition”</w:t>
            </w:r>
          </w:p>
        </w:tc>
      </w:tr>
      <w:tr w:rsidR="00013EB8" w:rsidTr="007F1619">
        <w:trPr>
          <w:trHeight w:val="450"/>
        </w:trPr>
        <w:tc>
          <w:tcPr>
            <w:tcW w:w="684" w:type="dxa"/>
            <w:tcBorders>
              <w:top w:val="nil"/>
              <w:left w:val="nil"/>
              <w:bottom w:val="nil"/>
              <w:right w:val="nil"/>
            </w:tcBorders>
          </w:tcPr>
          <w:p w:rsidR="00013EB8" w:rsidRDefault="00013EB8" w:rsidP="007F1619">
            <w:pPr>
              <w:widowControl w:val="0"/>
              <w:numPr>
                <w:ilvl w:val="12"/>
                <w:numId w:val="0"/>
              </w:numPr>
              <w:spacing w:after="120"/>
              <w:rPr>
                <w:b/>
              </w:rPr>
            </w:pPr>
            <w:r w:rsidRPr="00AE0E75">
              <w:rPr>
                <w:b/>
              </w:rPr>
              <w:t>4.7</w:t>
            </w:r>
          </w:p>
        </w:tc>
        <w:tc>
          <w:tcPr>
            <w:tcW w:w="10191" w:type="dxa"/>
            <w:gridSpan w:val="2"/>
            <w:tcBorders>
              <w:top w:val="nil"/>
              <w:left w:val="nil"/>
              <w:bottom w:val="nil"/>
              <w:right w:val="nil"/>
            </w:tcBorders>
          </w:tcPr>
          <w:p w:rsidR="00013EB8" w:rsidRPr="007656BF" w:rsidRDefault="00013EB8" w:rsidP="007656BF">
            <w:pPr>
              <w:widowControl w:val="0"/>
              <w:numPr>
                <w:ilvl w:val="12"/>
                <w:numId w:val="0"/>
              </w:numPr>
              <w:spacing w:after="120"/>
            </w:pPr>
            <w:r>
              <w:rPr>
                <w:b/>
              </w:rPr>
              <w:t xml:space="preserve">Higher of two evaluations </w:t>
            </w:r>
            <w:r>
              <w:t xml:space="preserve">– “higher evaluation will be assigned if the disability picture more nearly approximates the criteria required for that rating”; </w:t>
            </w:r>
            <w:r>
              <w:rPr>
                <w:i/>
              </w:rPr>
              <w:t>even if doesn’t meet all criteria</w:t>
            </w:r>
            <w:r w:rsidR="00EA0432">
              <w:t xml:space="preserve">; </w:t>
            </w:r>
            <w:r w:rsidR="00EA0432" w:rsidRPr="00EA0432">
              <w:rPr>
                <w:b/>
              </w:rPr>
              <w:t>III.iv.5.</w:t>
            </w:r>
            <w:r w:rsidR="007656BF">
              <w:rPr>
                <w:b/>
              </w:rPr>
              <w:t>B.2.a</w:t>
            </w:r>
            <w:r w:rsidR="007656BF">
              <w:t xml:space="preserve"> – conjunctive, disjunctive, cumulative, successive, variable; </w:t>
            </w:r>
            <w:r w:rsidR="007656BF" w:rsidRPr="00EA0432">
              <w:rPr>
                <w:b/>
              </w:rPr>
              <w:t>III.iv.5.</w:t>
            </w:r>
            <w:r w:rsidR="007656BF">
              <w:rPr>
                <w:b/>
              </w:rPr>
              <w:t>B.2.e</w:t>
            </w:r>
          </w:p>
        </w:tc>
      </w:tr>
      <w:tr w:rsidR="00013EB8" w:rsidTr="007F1619">
        <w:trPr>
          <w:trHeight w:val="450"/>
        </w:trPr>
        <w:tc>
          <w:tcPr>
            <w:tcW w:w="684" w:type="dxa"/>
            <w:tcBorders>
              <w:top w:val="nil"/>
              <w:left w:val="nil"/>
              <w:bottom w:val="nil"/>
              <w:right w:val="nil"/>
            </w:tcBorders>
          </w:tcPr>
          <w:p w:rsidR="00013EB8" w:rsidRDefault="00013EB8" w:rsidP="007F1619">
            <w:pPr>
              <w:widowControl w:val="0"/>
              <w:numPr>
                <w:ilvl w:val="12"/>
                <w:numId w:val="0"/>
              </w:numPr>
              <w:spacing w:after="120"/>
              <w:rPr>
                <w:b/>
              </w:rPr>
            </w:pPr>
            <w:r w:rsidRPr="00AE0E75">
              <w:rPr>
                <w:b/>
              </w:rPr>
              <w:t>4.10</w:t>
            </w:r>
          </w:p>
        </w:tc>
        <w:tc>
          <w:tcPr>
            <w:tcW w:w="10191" w:type="dxa"/>
            <w:gridSpan w:val="2"/>
            <w:tcBorders>
              <w:top w:val="nil"/>
              <w:left w:val="nil"/>
              <w:bottom w:val="nil"/>
              <w:right w:val="nil"/>
            </w:tcBorders>
          </w:tcPr>
          <w:p w:rsidR="00013EB8" w:rsidRDefault="00013EB8" w:rsidP="007F1619">
            <w:pPr>
              <w:widowControl w:val="0"/>
              <w:numPr>
                <w:ilvl w:val="12"/>
                <w:numId w:val="0"/>
              </w:numPr>
              <w:spacing w:after="120"/>
              <w:rPr>
                <w:b/>
              </w:rPr>
            </w:pPr>
            <w:r>
              <w:rPr>
                <w:b/>
              </w:rPr>
              <w:t xml:space="preserve">Functional impairment </w:t>
            </w:r>
            <w:r>
              <w:t xml:space="preserve">– </w:t>
            </w:r>
            <w:r w:rsidRPr="00AE0E75">
              <w:rPr>
                <w:b/>
                <w:iCs/>
              </w:rPr>
              <w:t>4.1</w:t>
            </w:r>
            <w:r>
              <w:rPr>
                <w:b/>
                <w:iCs/>
              </w:rPr>
              <w:t xml:space="preserve">, </w:t>
            </w:r>
            <w:r w:rsidRPr="00AE0E75">
              <w:rPr>
                <w:b/>
                <w:iCs/>
              </w:rPr>
              <w:t>4.2</w:t>
            </w:r>
            <w:r>
              <w:rPr>
                <w:b/>
                <w:iCs/>
              </w:rPr>
              <w:t>,</w:t>
            </w:r>
            <w:r>
              <w:rPr>
                <w:b/>
                <w:i/>
              </w:rPr>
              <w:t xml:space="preserve"> </w:t>
            </w:r>
            <w:r w:rsidRPr="00AE0E75">
              <w:rPr>
                <w:b/>
              </w:rPr>
              <w:t>4.40</w:t>
            </w:r>
            <w:r>
              <w:rPr>
                <w:b/>
                <w:iCs/>
              </w:rPr>
              <w:t xml:space="preserve">, </w:t>
            </w:r>
            <w:r w:rsidRPr="00AE0E75">
              <w:rPr>
                <w:b/>
                <w:iCs/>
              </w:rPr>
              <w:t>4.45</w:t>
            </w:r>
            <w:r>
              <w:rPr>
                <w:iCs/>
              </w:rPr>
              <w:t>;</w:t>
            </w:r>
            <w:r>
              <w:t xml:space="preserve"> “evaluations are based on lack of usefulness</w:t>
            </w:r>
            <w:r w:rsidR="001946CC">
              <w:t>,”</w:t>
            </w:r>
            <w:r>
              <w:t xml:space="preserve"> “especially in self-support</w:t>
            </w:r>
            <w:r w:rsidR="001946CC">
              <w:t>,”</w:t>
            </w:r>
            <w:r>
              <w:t xml:space="preserve"> need examiner to give a “full description of the effects of disability upon the person’s ordinary activity”</w:t>
            </w:r>
          </w:p>
        </w:tc>
      </w:tr>
      <w:tr w:rsidR="00013EB8" w:rsidTr="007F1619">
        <w:trPr>
          <w:trHeight w:val="1440"/>
        </w:trPr>
        <w:tc>
          <w:tcPr>
            <w:tcW w:w="684" w:type="dxa"/>
            <w:tcBorders>
              <w:top w:val="nil"/>
              <w:left w:val="nil"/>
              <w:bottom w:val="nil"/>
              <w:right w:val="nil"/>
            </w:tcBorders>
          </w:tcPr>
          <w:p w:rsidR="00013EB8" w:rsidRDefault="00C31B8F" w:rsidP="00582EB1">
            <w:pPr>
              <w:widowControl w:val="0"/>
              <w:numPr>
                <w:ilvl w:val="12"/>
                <w:numId w:val="0"/>
              </w:numPr>
              <w:spacing w:after="120"/>
              <w:rPr>
                <w:b/>
              </w:rPr>
            </w:pPr>
            <w:r w:rsidRPr="00AE0E75">
              <w:rPr>
                <w:b/>
              </w:rPr>
              <w:t>4.14</w:t>
            </w:r>
          </w:p>
        </w:tc>
        <w:tc>
          <w:tcPr>
            <w:tcW w:w="10191" w:type="dxa"/>
            <w:gridSpan w:val="2"/>
            <w:tcBorders>
              <w:top w:val="nil"/>
              <w:left w:val="nil"/>
              <w:bottom w:val="nil"/>
              <w:right w:val="nil"/>
            </w:tcBorders>
          </w:tcPr>
          <w:p w:rsidR="00013EB8" w:rsidRDefault="00013EB8" w:rsidP="007F1619">
            <w:pPr>
              <w:widowControl w:val="0"/>
              <w:numPr>
                <w:ilvl w:val="12"/>
                <w:numId w:val="0"/>
              </w:numPr>
              <w:tabs>
                <w:tab w:val="left" w:pos="0"/>
              </w:tabs>
              <w:spacing w:after="120"/>
            </w:pPr>
            <w:r>
              <w:rPr>
                <w:b/>
              </w:rPr>
              <w:t xml:space="preserve">Avoidance of pyramiding </w:t>
            </w:r>
            <w:r>
              <w:t>– do not evaluate the same disability under various diagnoses</w:t>
            </w:r>
          </w:p>
          <w:p w:rsidR="007656BF" w:rsidRPr="007656BF" w:rsidRDefault="007656BF" w:rsidP="00F063AF">
            <w:pPr>
              <w:widowControl w:val="0"/>
              <w:numPr>
                <w:ilvl w:val="0"/>
                <w:numId w:val="172"/>
              </w:numPr>
              <w:tabs>
                <w:tab w:val="left" w:pos="450"/>
                <w:tab w:val="left" w:pos="1080"/>
              </w:tabs>
              <w:spacing w:after="120"/>
              <w:ind w:left="351"/>
              <w:rPr>
                <w:b/>
              </w:rPr>
            </w:pPr>
            <w:r w:rsidRPr="007656BF">
              <w:rPr>
                <w:b/>
              </w:rPr>
              <w:t>III.iv.5.B.2</w:t>
            </w:r>
            <w:r>
              <w:rPr>
                <w:b/>
              </w:rPr>
              <w:t>.b</w:t>
            </w:r>
          </w:p>
          <w:p w:rsidR="00013EB8" w:rsidRDefault="00013EB8" w:rsidP="00F063AF">
            <w:pPr>
              <w:widowControl w:val="0"/>
              <w:numPr>
                <w:ilvl w:val="0"/>
                <w:numId w:val="172"/>
              </w:numPr>
              <w:tabs>
                <w:tab w:val="left" w:pos="450"/>
                <w:tab w:val="left" w:pos="1080"/>
              </w:tabs>
              <w:spacing w:after="120"/>
              <w:ind w:left="351"/>
              <w:rPr>
                <w:i/>
              </w:rPr>
            </w:pPr>
            <w:r>
              <w:rPr>
                <w:b/>
                <w:i/>
              </w:rPr>
              <w:t xml:space="preserve">Brady v. Brown </w:t>
            </w:r>
            <w:r>
              <w:rPr>
                <w:b/>
              </w:rPr>
              <w:t>(2/17/93)</w:t>
            </w:r>
            <w:r>
              <w:rPr>
                <w:i/>
              </w:rPr>
              <w:t xml:space="preserve"> – </w:t>
            </w:r>
            <w:r>
              <w:t>can’t rate psych disability &amp; it’s physical manifestations separately</w:t>
            </w:r>
          </w:p>
          <w:p w:rsidR="00030AE3" w:rsidRPr="00582EB1" w:rsidRDefault="00013EB8" w:rsidP="00F063AF">
            <w:pPr>
              <w:widowControl w:val="0"/>
              <w:numPr>
                <w:ilvl w:val="0"/>
                <w:numId w:val="172"/>
              </w:numPr>
              <w:tabs>
                <w:tab w:val="left" w:pos="1080"/>
              </w:tabs>
              <w:spacing w:after="120"/>
              <w:ind w:left="351"/>
              <w:rPr>
                <w:b/>
              </w:rPr>
            </w:pPr>
            <w:r>
              <w:rPr>
                <w:b/>
                <w:i/>
              </w:rPr>
              <w:t xml:space="preserve">Fanning v. Brown </w:t>
            </w:r>
            <w:r>
              <w:rPr>
                <w:b/>
              </w:rPr>
              <w:t>(2/19/93)</w:t>
            </w:r>
            <w:r>
              <w:rPr>
                <w:i/>
              </w:rPr>
              <w:t xml:space="preserve"> </w:t>
            </w:r>
            <w:r w:rsidR="008B35B0" w:rsidRPr="00582EB1">
              <w:rPr>
                <w:i/>
              </w:rPr>
              <w:t xml:space="preserve">– </w:t>
            </w:r>
            <w:r w:rsidR="00030AE3">
              <w:t>cannot give separate, compensable evaluation for a hernia &amp; for the scar</w:t>
            </w:r>
          </w:p>
          <w:p w:rsidR="00013EB8" w:rsidRDefault="00013EB8" w:rsidP="00F063AF">
            <w:pPr>
              <w:widowControl w:val="0"/>
              <w:numPr>
                <w:ilvl w:val="0"/>
                <w:numId w:val="172"/>
              </w:numPr>
              <w:tabs>
                <w:tab w:val="left" w:pos="351"/>
                <w:tab w:val="left" w:pos="1080"/>
              </w:tabs>
              <w:spacing w:after="120"/>
              <w:ind w:left="351"/>
              <w:rPr>
                <w:b/>
              </w:rPr>
            </w:pPr>
            <w:r w:rsidRPr="002E2D9E">
              <w:rPr>
                <w:b/>
                <w:i/>
              </w:rPr>
              <w:t>Esteban v. Brown</w:t>
            </w:r>
            <w:r>
              <w:rPr>
                <w:b/>
                <w:i/>
              </w:rPr>
              <w:t xml:space="preserve"> </w:t>
            </w:r>
            <w:r>
              <w:rPr>
                <w:b/>
              </w:rPr>
              <w:t>(2/25/94)</w:t>
            </w:r>
            <w:r>
              <w:rPr>
                <w:i/>
              </w:rPr>
              <w:t xml:space="preserve"> </w:t>
            </w:r>
            <w:r>
              <w:t>– Pyramiding; can grant for related, but different conditions if not duplicative or overlapping with the symptomatology (i.e. scar disfigurement, scar pain &amp; muscle damage)</w:t>
            </w:r>
            <w:r w:rsidR="00E61608">
              <w:t>; includes</w:t>
            </w:r>
            <w:r w:rsidR="005643CD">
              <w:t xml:space="preserve"> cold injury residuals &amp; peripheral neuropathy</w:t>
            </w:r>
          </w:p>
          <w:p w:rsidR="00013EB8" w:rsidRDefault="00013EB8" w:rsidP="00F063AF">
            <w:pPr>
              <w:widowControl w:val="0"/>
              <w:numPr>
                <w:ilvl w:val="0"/>
                <w:numId w:val="172"/>
              </w:numPr>
              <w:tabs>
                <w:tab w:val="left" w:pos="351"/>
                <w:tab w:val="left" w:pos="1080"/>
              </w:tabs>
              <w:spacing w:after="120"/>
              <w:ind w:left="351"/>
              <w:rPr>
                <w:b/>
              </w:rPr>
            </w:pPr>
            <w:r>
              <w:rPr>
                <w:b/>
                <w:i/>
              </w:rPr>
              <w:t>VAOPGPREC 23</w:t>
            </w:r>
            <w:r>
              <w:rPr>
                <w:b/>
              </w:rPr>
              <w:t>-</w:t>
            </w:r>
            <w:r>
              <w:rPr>
                <w:b/>
                <w:i/>
                <w:iCs/>
              </w:rPr>
              <w:t>97</w:t>
            </w:r>
            <w:r>
              <w:rPr>
                <w:b/>
              </w:rPr>
              <w:t xml:space="preserve"> </w:t>
            </w:r>
            <w:r>
              <w:rPr>
                <w:bCs/>
              </w:rPr>
              <w:t>(7/1/97)</w:t>
            </w:r>
          </w:p>
          <w:p w:rsidR="00013EB8" w:rsidRDefault="00D571C5" w:rsidP="00F063AF">
            <w:pPr>
              <w:widowControl w:val="0"/>
              <w:numPr>
                <w:ilvl w:val="0"/>
                <w:numId w:val="172"/>
              </w:numPr>
              <w:tabs>
                <w:tab w:val="left" w:pos="351"/>
                <w:tab w:val="left" w:pos="1080"/>
              </w:tabs>
              <w:spacing w:after="120"/>
              <w:ind w:left="351"/>
              <w:rPr>
                <w:b/>
              </w:rPr>
            </w:pPr>
            <w:hyperlink r:id="rId472" w:history="1">
              <w:r w:rsidR="00013EB8" w:rsidRPr="003C282E">
                <w:rPr>
                  <w:rStyle w:val="Hyperlink"/>
                  <w:b/>
                  <w:i/>
                </w:rPr>
                <w:t>VAOPGPREC 9</w:t>
              </w:r>
              <w:r w:rsidR="00013EB8" w:rsidRPr="003C282E">
                <w:rPr>
                  <w:rStyle w:val="Hyperlink"/>
                  <w:b/>
                </w:rPr>
                <w:t>-</w:t>
              </w:r>
              <w:r w:rsidR="00013EB8" w:rsidRPr="003C282E">
                <w:rPr>
                  <w:rStyle w:val="Hyperlink"/>
                  <w:b/>
                  <w:i/>
                  <w:iCs/>
                </w:rPr>
                <w:t>98</w:t>
              </w:r>
            </w:hyperlink>
            <w:r w:rsidR="00013EB8">
              <w:rPr>
                <w:b/>
              </w:rPr>
              <w:t xml:space="preserve"> </w:t>
            </w:r>
            <w:r w:rsidR="00013EB8">
              <w:rPr>
                <w:bCs/>
              </w:rPr>
              <w:t>(8/14/98)</w:t>
            </w:r>
          </w:p>
          <w:p w:rsidR="00D37024" w:rsidRPr="00D37024" w:rsidRDefault="00013EB8" w:rsidP="00F063AF">
            <w:pPr>
              <w:widowControl w:val="0"/>
              <w:numPr>
                <w:ilvl w:val="0"/>
                <w:numId w:val="172"/>
              </w:numPr>
              <w:tabs>
                <w:tab w:val="left" w:pos="351"/>
                <w:tab w:val="left" w:pos="1080"/>
              </w:tabs>
              <w:spacing w:after="120"/>
              <w:ind w:left="351"/>
              <w:rPr>
                <w:sz w:val="22"/>
                <w:szCs w:val="22"/>
              </w:rPr>
            </w:pPr>
            <w:r w:rsidRPr="00D37024">
              <w:rPr>
                <w:b/>
                <w:i/>
              </w:rPr>
              <w:t>VAOPGPREC 9</w:t>
            </w:r>
            <w:r w:rsidRPr="00D37024">
              <w:rPr>
                <w:b/>
              </w:rPr>
              <w:t>-</w:t>
            </w:r>
            <w:r w:rsidRPr="00D37024">
              <w:rPr>
                <w:b/>
                <w:i/>
                <w:iCs/>
              </w:rPr>
              <w:t>2004</w:t>
            </w:r>
            <w:r w:rsidRPr="00D37024">
              <w:rPr>
                <w:b/>
              </w:rPr>
              <w:t xml:space="preserve"> </w:t>
            </w:r>
            <w:r w:rsidRPr="00D37024">
              <w:rPr>
                <w:bCs/>
              </w:rPr>
              <w:t>(9/17/04)</w:t>
            </w:r>
          </w:p>
          <w:p w:rsidR="00E83696" w:rsidRPr="00E83696" w:rsidRDefault="00D571C5" w:rsidP="00F063AF">
            <w:pPr>
              <w:widowControl w:val="0"/>
              <w:numPr>
                <w:ilvl w:val="0"/>
                <w:numId w:val="172"/>
              </w:numPr>
              <w:tabs>
                <w:tab w:val="left" w:pos="351"/>
                <w:tab w:val="left" w:pos="1080"/>
                <w:tab w:val="left" w:pos="5760"/>
              </w:tabs>
              <w:spacing w:after="120"/>
              <w:ind w:left="351"/>
              <w:rPr>
                <w:sz w:val="22"/>
                <w:szCs w:val="22"/>
              </w:rPr>
            </w:pPr>
            <w:hyperlink r:id="rId473" w:history="1">
              <w:r w:rsidR="00D37D00">
                <w:rPr>
                  <w:rStyle w:val="Hyperlink"/>
                  <w:b/>
                  <w:i/>
                </w:rPr>
                <w:t xml:space="preserve">May 2015 </w:t>
              </w:r>
              <w:r w:rsidR="00FF4E63">
                <w:rPr>
                  <w:rStyle w:val="Hyperlink"/>
                  <w:b/>
                  <w:i/>
                </w:rPr>
                <w:t>Quality Call Notes</w:t>
              </w:r>
            </w:hyperlink>
            <w:r w:rsidR="00D37D00">
              <w:rPr>
                <w:rStyle w:val="Hyperlink"/>
                <w:u w:val="none"/>
              </w:rPr>
              <w:t xml:space="preserve"> </w:t>
            </w:r>
            <w:r w:rsidR="00D37D00">
              <w:rPr>
                <w:rStyle w:val="Hyperlink"/>
                <w:color w:val="auto"/>
                <w:u w:val="none"/>
              </w:rPr>
              <w:t>-</w:t>
            </w:r>
            <w:r w:rsidR="00D37D00" w:rsidRPr="00BE4AFD">
              <w:rPr>
                <w:rStyle w:val="Hyperlink"/>
                <w:color w:val="auto"/>
                <w:u w:val="none"/>
              </w:rPr>
              <w:t xml:space="preserve"> </w:t>
            </w:r>
            <w:r w:rsidR="00130276" w:rsidRPr="00E83696">
              <w:rPr>
                <w:rStyle w:val="Hyperlink"/>
                <w:color w:val="auto"/>
                <w:u w:val="none"/>
              </w:rPr>
              <w:t xml:space="preserve">VBMS-R pyramiding functionality is driven by DCs (do not override pyramiding errors if you have (1) 5055 with 5257, 5260 or 5261 on same knee; </w:t>
            </w:r>
            <w:r w:rsidR="00130276" w:rsidRPr="00DE2BD0">
              <w:rPr>
                <w:rStyle w:val="Hyperlink"/>
                <w:color w:val="auto"/>
                <w:highlight w:val="lightGray"/>
                <w:u w:val="none"/>
              </w:rPr>
              <w:t>(2) 5258 with 5260 or 5261 on same knee</w:t>
            </w:r>
            <w:r w:rsidR="00DE2BD0">
              <w:rPr>
                <w:bCs/>
              </w:rPr>
              <w:t xml:space="preserve"> (changed 4/13/18, </w:t>
            </w:r>
            <w:r w:rsidR="00DE2BD0">
              <w:rPr>
                <w:b/>
                <w:bCs/>
              </w:rPr>
              <w:t>III.iv.4.A.6.f</w:t>
            </w:r>
            <w:r w:rsidR="00DE2BD0">
              <w:rPr>
                <w:bCs/>
              </w:rPr>
              <w:t xml:space="preserve">, per </w:t>
            </w:r>
            <w:r w:rsidR="00DE2BD0" w:rsidRPr="001D3D0C">
              <w:rPr>
                <w:bCs/>
                <w:i/>
              </w:rPr>
              <w:t xml:space="preserve">Lyles v. Shulkin </w:t>
            </w:r>
            <w:r w:rsidR="00DE2BD0">
              <w:rPr>
                <w:bCs/>
              </w:rPr>
              <w:t xml:space="preserve">(2017); </w:t>
            </w:r>
            <w:r w:rsidR="00130276" w:rsidRPr="00E83696">
              <w:rPr>
                <w:rStyle w:val="Hyperlink"/>
                <w:color w:val="auto"/>
                <w:u w:val="none"/>
              </w:rPr>
              <w:t>(3) 6847 with 6602 &amp; other respiratory DCs; (4) 7806 with 7813 (should be 7813-7806); (5) 6100 with 6201</w:t>
            </w:r>
            <w:r w:rsidR="00D37024" w:rsidRPr="00E83696">
              <w:rPr>
                <w:rStyle w:val="Hyperlink"/>
                <w:color w:val="auto"/>
                <w:u w:val="none"/>
              </w:rPr>
              <w:t xml:space="preserve">; </w:t>
            </w:r>
            <w:r w:rsidR="00D37024" w:rsidRPr="00D37024">
              <w:t>there is a potential pyramiding conflict between 7903 and 9400 series DCs.  The criteria under DC 7903 specifically references mental disturbance, dementia, and depression.  If the decision-maker used any of these symptoms to determine an evaluation under DC 7903 while also granting a separate evaluation under a mental code in the DC 9400 series, there would be a pyramiding conflict.  This is the reason why the system generates an error message.  So, it is not a needless pyramiding conflict.</w:t>
            </w:r>
          </w:p>
          <w:p w:rsidR="00E83696" w:rsidRPr="00BB4D33" w:rsidRDefault="00D571C5" w:rsidP="00F063AF">
            <w:pPr>
              <w:widowControl w:val="0"/>
              <w:numPr>
                <w:ilvl w:val="0"/>
                <w:numId w:val="172"/>
              </w:numPr>
              <w:tabs>
                <w:tab w:val="left" w:pos="351"/>
                <w:tab w:val="left" w:pos="1080"/>
                <w:tab w:val="left" w:pos="5760"/>
              </w:tabs>
              <w:spacing w:after="120"/>
              <w:ind w:left="351"/>
            </w:pPr>
            <w:hyperlink r:id="rId474" w:history="1">
              <w:r w:rsidR="00FF4E63">
                <w:rPr>
                  <w:rStyle w:val="Hyperlink"/>
                  <w:b/>
                  <w:i/>
                </w:rPr>
                <w:t>July 2015 Quality Call Notes</w:t>
              </w:r>
            </w:hyperlink>
            <w:r w:rsidR="00E83696" w:rsidRPr="00BB4D33">
              <w:rPr>
                <w:rStyle w:val="Hyperlink"/>
                <w:u w:val="none"/>
              </w:rPr>
              <w:t xml:space="preserve"> </w:t>
            </w:r>
            <w:r w:rsidR="00E83696" w:rsidRPr="00BB4D33">
              <w:rPr>
                <w:rStyle w:val="Hyperlink"/>
                <w:color w:val="auto"/>
                <w:u w:val="none"/>
              </w:rPr>
              <w:t xml:space="preserve">– </w:t>
            </w:r>
            <w:r w:rsidR="00E83696" w:rsidRPr="00BB4D33">
              <w:t>Here are some additional reminders on avoiding improper pyramiding overrides.</w:t>
            </w:r>
          </w:p>
          <w:p w:rsidR="00E83696" w:rsidRPr="00DE2BD0" w:rsidRDefault="00E83696" w:rsidP="00F063AF">
            <w:pPr>
              <w:pStyle w:val="NoSpacing"/>
              <w:numPr>
                <w:ilvl w:val="0"/>
                <w:numId w:val="226"/>
              </w:numPr>
              <w:spacing w:after="120"/>
              <w:ind w:left="711"/>
              <w:rPr>
                <w:rFonts w:ascii="Arial" w:hAnsi="Arial"/>
                <w:sz w:val="20"/>
                <w:szCs w:val="20"/>
                <w:highlight w:val="lightGray"/>
              </w:rPr>
            </w:pPr>
            <w:r w:rsidRPr="00DE2BD0">
              <w:rPr>
                <w:rFonts w:ascii="Arial" w:hAnsi="Arial"/>
                <w:sz w:val="20"/>
                <w:szCs w:val="20"/>
                <w:highlight w:val="lightGray"/>
              </w:rPr>
              <w:t>DCs 5258 and 5259 cannot be rated separately from DCs 5257, 5260, or 5261 as both 5258 and 5259 contemplate limitation of motion and instability.  Separate evaluations between these codes would constitute pyramiding.</w:t>
            </w:r>
            <w:r w:rsidR="00DE2BD0" w:rsidRPr="00DE2BD0">
              <w:rPr>
                <w:rFonts w:ascii="Arial" w:hAnsi="Arial"/>
                <w:bCs/>
                <w:sz w:val="20"/>
                <w:szCs w:val="20"/>
              </w:rPr>
              <w:t xml:space="preserve"> (changed 4/13/18, </w:t>
            </w:r>
            <w:r w:rsidR="00DE2BD0" w:rsidRPr="00DE2BD0">
              <w:rPr>
                <w:rFonts w:ascii="Arial" w:hAnsi="Arial"/>
                <w:b/>
                <w:bCs/>
                <w:sz w:val="20"/>
                <w:szCs w:val="20"/>
              </w:rPr>
              <w:t>III.iv.4.A.6.f</w:t>
            </w:r>
            <w:r w:rsidR="00DE2BD0" w:rsidRPr="00DE2BD0">
              <w:rPr>
                <w:rFonts w:ascii="Arial" w:hAnsi="Arial"/>
                <w:bCs/>
                <w:sz w:val="20"/>
                <w:szCs w:val="20"/>
              </w:rPr>
              <w:t xml:space="preserve">, per </w:t>
            </w:r>
            <w:r w:rsidR="00DE2BD0" w:rsidRPr="00DE2BD0">
              <w:rPr>
                <w:rFonts w:ascii="Arial" w:hAnsi="Arial"/>
                <w:bCs/>
                <w:i/>
                <w:sz w:val="20"/>
                <w:szCs w:val="20"/>
              </w:rPr>
              <w:t xml:space="preserve">Lyles v. Shulkin </w:t>
            </w:r>
            <w:r w:rsidR="00DE2BD0" w:rsidRPr="00DE2BD0">
              <w:rPr>
                <w:rFonts w:ascii="Arial" w:hAnsi="Arial"/>
                <w:bCs/>
                <w:sz w:val="20"/>
                <w:szCs w:val="20"/>
              </w:rPr>
              <w:t>(2017)</w:t>
            </w:r>
          </w:p>
          <w:p w:rsidR="00E83696" w:rsidRPr="00D408C1" w:rsidRDefault="00E83696" w:rsidP="00F063AF">
            <w:pPr>
              <w:pStyle w:val="NoSpacing"/>
              <w:numPr>
                <w:ilvl w:val="0"/>
                <w:numId w:val="226"/>
              </w:numPr>
              <w:spacing w:after="120"/>
              <w:ind w:left="711"/>
              <w:rPr>
                <w:rFonts w:ascii="Arial" w:hAnsi="Arial"/>
                <w:sz w:val="20"/>
                <w:szCs w:val="20"/>
              </w:rPr>
            </w:pPr>
            <w:r w:rsidRPr="00D408C1">
              <w:rPr>
                <w:rFonts w:ascii="Arial" w:hAnsi="Arial"/>
                <w:sz w:val="20"/>
                <w:szCs w:val="20"/>
              </w:rPr>
              <w:t>DC 5055 cannot be rated separately from DCs 5257, 5260, or 5261 as once the joint replacement occurs, the residuals are rated under the joint replacement code.  This also applies to other joint replacements, too.</w:t>
            </w:r>
          </w:p>
          <w:p w:rsidR="00E83696" w:rsidRPr="00D408C1" w:rsidRDefault="00E83696" w:rsidP="00F063AF">
            <w:pPr>
              <w:pStyle w:val="NoSpacing"/>
              <w:numPr>
                <w:ilvl w:val="0"/>
                <w:numId w:val="226"/>
              </w:numPr>
              <w:spacing w:after="120"/>
              <w:ind w:left="711"/>
              <w:rPr>
                <w:rFonts w:ascii="Arial" w:hAnsi="Arial"/>
                <w:sz w:val="20"/>
                <w:szCs w:val="20"/>
              </w:rPr>
            </w:pPr>
            <w:r w:rsidRPr="00D408C1">
              <w:rPr>
                <w:rFonts w:ascii="Arial" w:hAnsi="Arial"/>
                <w:sz w:val="20"/>
                <w:szCs w:val="20"/>
              </w:rPr>
              <w:t>Any visual field defect DC with any visual acuity DC cannot be rated separately.  Visual DCs must be combined into one evaluation.</w:t>
            </w:r>
          </w:p>
          <w:p w:rsidR="00E83696" w:rsidRPr="00D408C1" w:rsidRDefault="00E83696" w:rsidP="00F063AF">
            <w:pPr>
              <w:pStyle w:val="NoSpacing"/>
              <w:numPr>
                <w:ilvl w:val="0"/>
                <w:numId w:val="226"/>
              </w:numPr>
              <w:spacing w:after="120"/>
              <w:ind w:left="711"/>
              <w:rPr>
                <w:rFonts w:ascii="Arial" w:hAnsi="Arial"/>
                <w:sz w:val="20"/>
                <w:szCs w:val="20"/>
              </w:rPr>
            </w:pPr>
            <w:r w:rsidRPr="00D408C1">
              <w:rPr>
                <w:rFonts w:ascii="Arial" w:hAnsi="Arial"/>
                <w:sz w:val="20"/>
                <w:szCs w:val="20"/>
              </w:rPr>
              <w:t>Any co-existing mental disorders as mental disorders are rated under the same General Rating Formula as each other.</w:t>
            </w:r>
          </w:p>
          <w:p w:rsidR="00847664" w:rsidRPr="00273CA7" w:rsidRDefault="00D571C5" w:rsidP="00F063AF">
            <w:pPr>
              <w:widowControl w:val="0"/>
              <w:numPr>
                <w:ilvl w:val="0"/>
                <w:numId w:val="172"/>
              </w:numPr>
              <w:tabs>
                <w:tab w:val="left" w:pos="351"/>
                <w:tab w:val="left" w:pos="1080"/>
              </w:tabs>
              <w:spacing w:after="120"/>
              <w:ind w:left="261" w:hanging="261"/>
              <w:rPr>
                <w:sz w:val="22"/>
                <w:szCs w:val="22"/>
              </w:rPr>
            </w:pPr>
            <w:hyperlink r:id="rId475" w:history="1">
              <w:r w:rsidR="003B565E">
                <w:rPr>
                  <w:rStyle w:val="Hyperlink"/>
                  <w:b/>
                  <w:i/>
                </w:rPr>
                <w:t>October 2015 Quality Call Notes</w:t>
              </w:r>
            </w:hyperlink>
            <w:hyperlink r:id="rId476" w:history="1"/>
            <w:r w:rsidR="003B565E" w:rsidRPr="00B32B0D">
              <w:rPr>
                <w:rStyle w:val="Hyperlink"/>
                <w:u w:val="none"/>
              </w:rPr>
              <w:t xml:space="preserve"> </w:t>
            </w:r>
            <w:r w:rsidR="003B565E" w:rsidRPr="00B32B0D">
              <w:rPr>
                <w:rStyle w:val="Hyperlink"/>
                <w:color w:val="auto"/>
                <w:u w:val="none"/>
              </w:rPr>
              <w:t>–</w:t>
            </w:r>
            <w:r w:rsidR="006C5F54">
              <w:rPr>
                <w:rStyle w:val="Hyperlink"/>
                <w:color w:val="auto"/>
                <w:u w:val="none"/>
              </w:rPr>
              <w:t xml:space="preserve"> Still seeing overrides on digestive &amp; respiratory, </w:t>
            </w:r>
            <w:r w:rsidR="006C5F54" w:rsidRPr="00DE2BD0">
              <w:rPr>
                <w:rStyle w:val="Hyperlink"/>
                <w:color w:val="auto"/>
                <w:highlight w:val="lightGray"/>
                <w:u w:val="none"/>
              </w:rPr>
              <w:t>plus 5258 &amp; 5259 with 5257, 5260, 5261</w:t>
            </w:r>
            <w:r w:rsidR="00DE2BD0">
              <w:rPr>
                <w:bCs/>
              </w:rPr>
              <w:t xml:space="preserve"> (changed 4/13/18, </w:t>
            </w:r>
            <w:r w:rsidR="00DE2BD0">
              <w:rPr>
                <w:b/>
                <w:bCs/>
              </w:rPr>
              <w:t>III.iv.4.A.6.f</w:t>
            </w:r>
            <w:r w:rsidR="00DE2BD0">
              <w:rPr>
                <w:bCs/>
              </w:rPr>
              <w:t xml:space="preserve">, per </w:t>
            </w:r>
            <w:r w:rsidR="00DE2BD0" w:rsidRPr="001D3D0C">
              <w:rPr>
                <w:bCs/>
                <w:i/>
              </w:rPr>
              <w:t xml:space="preserve">Lyles v. Shulkin </w:t>
            </w:r>
            <w:r w:rsidR="00DE2BD0">
              <w:rPr>
                <w:bCs/>
              </w:rPr>
              <w:t>(2017</w:t>
            </w:r>
            <w:r w:rsidR="00DA2B8B">
              <w:rPr>
                <w:bCs/>
              </w:rPr>
              <w:t>)</w:t>
            </w:r>
            <w:r w:rsidR="00DE2BD0">
              <w:rPr>
                <w:bCs/>
              </w:rPr>
              <w:t>);</w:t>
            </w:r>
            <w:r w:rsidR="006C5F54">
              <w:rPr>
                <w:rStyle w:val="Hyperlink"/>
                <w:color w:val="auto"/>
                <w:u w:val="none"/>
              </w:rPr>
              <w:t xml:space="preserve"> now also seeing overrides on 6205 with 6100 &amp; 6260; also can</w:t>
            </w:r>
            <w:r w:rsidR="00DA2B8B">
              <w:rPr>
                <w:rStyle w:val="Hyperlink"/>
                <w:color w:val="auto"/>
                <w:u w:val="none"/>
              </w:rPr>
              <w:t>not have 6201 or 6202 with 6100</w:t>
            </w:r>
          </w:p>
        </w:tc>
      </w:tr>
      <w:tr w:rsidR="00013EB8" w:rsidTr="007F1619">
        <w:trPr>
          <w:trHeight w:val="240"/>
        </w:trPr>
        <w:tc>
          <w:tcPr>
            <w:tcW w:w="684" w:type="dxa"/>
            <w:tcBorders>
              <w:top w:val="nil"/>
              <w:left w:val="nil"/>
              <w:bottom w:val="nil"/>
              <w:right w:val="nil"/>
            </w:tcBorders>
          </w:tcPr>
          <w:p w:rsidR="00013EB8" w:rsidRDefault="00013EB8" w:rsidP="007F1619">
            <w:pPr>
              <w:widowControl w:val="0"/>
              <w:numPr>
                <w:ilvl w:val="12"/>
                <w:numId w:val="0"/>
              </w:numPr>
              <w:spacing w:after="120"/>
              <w:rPr>
                <w:b/>
              </w:rPr>
            </w:pPr>
            <w:r w:rsidRPr="00AE0E75">
              <w:rPr>
                <w:b/>
              </w:rPr>
              <w:t>4.15</w:t>
            </w:r>
          </w:p>
        </w:tc>
        <w:tc>
          <w:tcPr>
            <w:tcW w:w="10191" w:type="dxa"/>
            <w:gridSpan w:val="2"/>
            <w:tcBorders>
              <w:top w:val="nil"/>
              <w:left w:val="nil"/>
              <w:bottom w:val="nil"/>
              <w:right w:val="nil"/>
            </w:tcBorders>
          </w:tcPr>
          <w:p w:rsidR="00013EB8" w:rsidRDefault="00013EB8" w:rsidP="007F1619">
            <w:pPr>
              <w:widowControl w:val="0"/>
              <w:numPr>
                <w:ilvl w:val="12"/>
                <w:numId w:val="0"/>
              </w:numPr>
              <w:spacing w:after="120"/>
              <w:rPr>
                <w:b/>
              </w:rPr>
            </w:pPr>
            <w:r>
              <w:rPr>
                <w:b/>
              </w:rPr>
              <w:t xml:space="preserve">Total disability ratings </w:t>
            </w:r>
            <w:r>
              <w:t>– a rating “is based primarily upon the average impairment in earning capacity, that is, upon the economic or industrial handicap which must be overcome and not from individual success in overcoming it</w:t>
            </w:r>
            <w:r w:rsidR="001946CC">
              <w:t>,”</w:t>
            </w:r>
            <w:r>
              <w:t xml:space="preserve"> “Total disability will be considered to exist when there is present any impairment of mind or body which is sufficient to render it impossible for the average person to follow a substantially gainful occupation; Provided, That permanent total disability shall be taken to exist when the impairment is reasonably certain to continue throughout the life of the disabled person.” (always includes loss of the use of both hands, both feet, one hand and one foot, sight of both eyes, or becoming permanently helpless or permanently bedridden)</w:t>
            </w:r>
          </w:p>
        </w:tc>
      </w:tr>
      <w:tr w:rsidR="00013EB8" w:rsidTr="007F1619">
        <w:trPr>
          <w:trHeight w:val="225"/>
        </w:trPr>
        <w:tc>
          <w:tcPr>
            <w:tcW w:w="684" w:type="dxa"/>
            <w:tcBorders>
              <w:top w:val="nil"/>
              <w:left w:val="nil"/>
              <w:bottom w:val="nil"/>
              <w:right w:val="nil"/>
            </w:tcBorders>
          </w:tcPr>
          <w:p w:rsidR="00013EB8" w:rsidRDefault="00013EB8" w:rsidP="007F1619">
            <w:pPr>
              <w:widowControl w:val="0"/>
              <w:numPr>
                <w:ilvl w:val="12"/>
                <w:numId w:val="0"/>
              </w:numPr>
              <w:spacing w:after="120"/>
              <w:rPr>
                <w:b/>
              </w:rPr>
            </w:pPr>
            <w:r w:rsidRPr="00AE0E75">
              <w:rPr>
                <w:b/>
              </w:rPr>
              <w:t>4.21</w:t>
            </w:r>
          </w:p>
        </w:tc>
        <w:tc>
          <w:tcPr>
            <w:tcW w:w="10191" w:type="dxa"/>
            <w:gridSpan w:val="2"/>
            <w:tcBorders>
              <w:top w:val="nil"/>
              <w:left w:val="nil"/>
              <w:bottom w:val="nil"/>
              <w:right w:val="nil"/>
            </w:tcBorders>
          </w:tcPr>
          <w:p w:rsidR="00013EB8" w:rsidRDefault="00013EB8" w:rsidP="007F1619">
            <w:pPr>
              <w:widowControl w:val="0"/>
              <w:numPr>
                <w:ilvl w:val="12"/>
                <w:numId w:val="0"/>
              </w:numPr>
              <w:spacing w:after="120"/>
              <w:rPr>
                <w:b/>
              </w:rPr>
            </w:pPr>
            <w:r>
              <w:rPr>
                <w:b/>
              </w:rPr>
              <w:t xml:space="preserve">Application of rating schedule </w:t>
            </w:r>
            <w:r>
              <w:t xml:space="preserve">– do not need all the findings specified, but need enough to identify the disease and disability, and to coordinate the rating with the impairment of function </w:t>
            </w:r>
          </w:p>
        </w:tc>
      </w:tr>
      <w:tr w:rsidR="00013EB8" w:rsidTr="007F1619">
        <w:trPr>
          <w:trHeight w:val="240"/>
        </w:trPr>
        <w:tc>
          <w:tcPr>
            <w:tcW w:w="684" w:type="dxa"/>
            <w:tcBorders>
              <w:top w:val="nil"/>
              <w:left w:val="nil"/>
              <w:bottom w:val="nil"/>
              <w:right w:val="nil"/>
            </w:tcBorders>
          </w:tcPr>
          <w:p w:rsidR="00013EB8" w:rsidRDefault="00013EB8" w:rsidP="007F1619">
            <w:pPr>
              <w:widowControl w:val="0"/>
              <w:numPr>
                <w:ilvl w:val="12"/>
                <w:numId w:val="0"/>
              </w:numPr>
              <w:spacing w:after="120"/>
              <w:rPr>
                <w:b/>
              </w:rPr>
            </w:pPr>
            <w:r w:rsidRPr="00AE0E75">
              <w:rPr>
                <w:b/>
              </w:rPr>
              <w:t>4.25</w:t>
            </w:r>
          </w:p>
        </w:tc>
        <w:tc>
          <w:tcPr>
            <w:tcW w:w="10191" w:type="dxa"/>
            <w:gridSpan w:val="2"/>
            <w:tcBorders>
              <w:top w:val="nil"/>
              <w:left w:val="nil"/>
              <w:bottom w:val="nil"/>
              <w:right w:val="nil"/>
            </w:tcBorders>
          </w:tcPr>
          <w:p w:rsidR="00013EB8" w:rsidRDefault="00013EB8" w:rsidP="007F1619">
            <w:pPr>
              <w:widowControl w:val="0"/>
              <w:numPr>
                <w:ilvl w:val="12"/>
                <w:numId w:val="0"/>
              </w:numPr>
              <w:spacing w:after="120"/>
            </w:pPr>
            <w:r>
              <w:rPr>
                <w:b/>
              </w:rPr>
              <w:t xml:space="preserve">Combined ratings table </w:t>
            </w:r>
            <w:r>
              <w:t xml:space="preserve">– </w:t>
            </w:r>
            <w:r w:rsidRPr="00D806E6">
              <w:rPr>
                <w:b/>
                <w:bCs/>
              </w:rPr>
              <w:t>III.i</w:t>
            </w:r>
            <w:r w:rsidR="00D806E6">
              <w:rPr>
                <w:b/>
                <w:bCs/>
              </w:rPr>
              <w:t>v.6.E</w:t>
            </w:r>
            <w:r>
              <w:rPr>
                <w:i/>
              </w:rPr>
              <w:t xml:space="preserve">; </w:t>
            </w:r>
            <w:r>
              <w:t>start with most disabling, then deduct those less disabling in order of severity</w:t>
            </w:r>
          </w:p>
        </w:tc>
      </w:tr>
      <w:tr w:rsidR="00013EB8" w:rsidTr="00637BF0">
        <w:trPr>
          <w:trHeight w:val="2340"/>
        </w:trPr>
        <w:tc>
          <w:tcPr>
            <w:tcW w:w="684" w:type="dxa"/>
            <w:tcBorders>
              <w:top w:val="nil"/>
              <w:left w:val="nil"/>
              <w:bottom w:val="nil"/>
              <w:right w:val="nil"/>
            </w:tcBorders>
          </w:tcPr>
          <w:p w:rsidR="00013EB8" w:rsidRDefault="00013EB8" w:rsidP="007F1619">
            <w:pPr>
              <w:widowControl w:val="0"/>
              <w:numPr>
                <w:ilvl w:val="12"/>
                <w:numId w:val="0"/>
              </w:numPr>
              <w:spacing w:after="120"/>
              <w:rPr>
                <w:b/>
              </w:rPr>
            </w:pPr>
            <w:r w:rsidRPr="00AE0E75">
              <w:rPr>
                <w:b/>
              </w:rPr>
              <w:t>4.26</w:t>
            </w:r>
          </w:p>
        </w:tc>
        <w:tc>
          <w:tcPr>
            <w:tcW w:w="10191" w:type="dxa"/>
            <w:gridSpan w:val="2"/>
            <w:tcBorders>
              <w:top w:val="nil"/>
              <w:left w:val="nil"/>
              <w:bottom w:val="nil"/>
              <w:right w:val="nil"/>
            </w:tcBorders>
          </w:tcPr>
          <w:p w:rsidR="006D188F" w:rsidRDefault="00013EB8" w:rsidP="00637BF0">
            <w:pPr>
              <w:widowControl w:val="0"/>
              <w:numPr>
                <w:ilvl w:val="12"/>
                <w:numId w:val="0"/>
              </w:numPr>
              <w:spacing w:after="120"/>
            </w:pPr>
            <w:r>
              <w:rPr>
                <w:b/>
              </w:rPr>
              <w:t xml:space="preserve">Bilateral factor </w:t>
            </w:r>
            <w:r>
              <w:t xml:space="preserve">– </w:t>
            </w:r>
          </w:p>
          <w:p w:rsidR="006D188F" w:rsidRPr="006D188F" w:rsidRDefault="00D806E6" w:rsidP="00F063AF">
            <w:pPr>
              <w:pStyle w:val="ListParagraph"/>
              <w:widowControl w:val="0"/>
              <w:numPr>
                <w:ilvl w:val="0"/>
                <w:numId w:val="417"/>
              </w:numPr>
              <w:spacing w:after="120"/>
              <w:ind w:left="351"/>
              <w:rPr>
                <w:rFonts w:ascii="Arial" w:hAnsi="Arial"/>
                <w:sz w:val="20"/>
              </w:rPr>
            </w:pPr>
            <w:r w:rsidRPr="006D188F">
              <w:rPr>
                <w:rFonts w:ascii="Arial" w:hAnsi="Arial"/>
                <w:b/>
                <w:bCs/>
                <w:sz w:val="20"/>
              </w:rPr>
              <w:t>III.iv.6.E</w:t>
            </w:r>
            <w:r w:rsidR="00F91B8B" w:rsidRPr="006D188F">
              <w:rPr>
                <w:rFonts w:ascii="Arial" w:hAnsi="Arial"/>
                <w:b/>
                <w:bCs/>
                <w:sz w:val="20"/>
              </w:rPr>
              <w:t>.4.b</w:t>
            </w:r>
            <w:r w:rsidR="006D188F">
              <w:rPr>
                <w:rFonts w:ascii="Arial" w:hAnsi="Arial"/>
                <w:sz w:val="20"/>
              </w:rPr>
              <w:t xml:space="preserve"> -</w:t>
            </w:r>
            <w:r w:rsidR="001C44E8" w:rsidRPr="006D188F">
              <w:rPr>
                <w:rFonts w:ascii="Arial" w:hAnsi="Arial"/>
                <w:i/>
                <w:sz w:val="20"/>
              </w:rPr>
              <w:t xml:space="preserve"> </w:t>
            </w:r>
            <w:r w:rsidR="00013EB8" w:rsidRPr="006D188F">
              <w:rPr>
                <w:rFonts w:ascii="Arial" w:hAnsi="Arial"/>
                <w:sz w:val="20"/>
              </w:rPr>
              <w:t>both upper extremities, both lower extremities, or paired skeletal muscles (for the latter- “regardless of location or specified type of impairment”)</w:t>
            </w:r>
          </w:p>
          <w:p w:rsidR="00013EB8" w:rsidRPr="004B39B6" w:rsidRDefault="00D806E6" w:rsidP="00F063AF">
            <w:pPr>
              <w:pStyle w:val="ListParagraph"/>
              <w:widowControl w:val="0"/>
              <w:numPr>
                <w:ilvl w:val="0"/>
                <w:numId w:val="417"/>
              </w:numPr>
              <w:spacing w:after="120"/>
              <w:ind w:left="351"/>
              <w:rPr>
                <w:rFonts w:ascii="Arial" w:hAnsi="Arial"/>
                <w:i/>
                <w:sz w:val="20"/>
              </w:rPr>
            </w:pPr>
            <w:r w:rsidRPr="006D188F">
              <w:rPr>
                <w:rFonts w:ascii="Arial" w:hAnsi="Arial"/>
                <w:b/>
                <w:sz w:val="20"/>
              </w:rPr>
              <w:t>III.iv.6.E.4.b</w:t>
            </w:r>
            <w:r w:rsidRPr="006D188F">
              <w:rPr>
                <w:rFonts w:ascii="Arial" w:hAnsi="Arial"/>
                <w:sz w:val="20"/>
              </w:rPr>
              <w:t xml:space="preserve"> – for skin, only applies to 7801 &amp; 7802</w:t>
            </w:r>
            <w:r w:rsidR="00E54279">
              <w:rPr>
                <w:rFonts w:ascii="Arial" w:hAnsi="Arial"/>
                <w:sz w:val="20"/>
              </w:rPr>
              <w:t xml:space="preserve"> </w:t>
            </w:r>
            <w:r w:rsidR="00E54279" w:rsidRPr="004B39B6">
              <w:rPr>
                <w:rFonts w:ascii="Arial" w:hAnsi="Arial"/>
                <w:i/>
                <w:sz w:val="20"/>
              </w:rPr>
              <w:t>(</w:t>
            </w:r>
            <w:r w:rsidR="00E54279" w:rsidRPr="00E54279">
              <w:rPr>
                <w:rFonts w:ascii="Arial" w:hAnsi="Arial"/>
                <w:i/>
                <w:color w:val="00B050"/>
                <w:sz w:val="20"/>
              </w:rPr>
              <w:t xml:space="preserve">My Notes:  </w:t>
            </w:r>
            <w:r w:rsidR="00E54279" w:rsidRPr="004B39B6">
              <w:rPr>
                <w:rFonts w:ascii="Arial" w:hAnsi="Arial"/>
                <w:i/>
                <w:sz w:val="20"/>
              </w:rPr>
              <w:t>Check prior RDs, as they might have it incorrectly applied to 7804 evaluations, which needs to be corrected if now granting SC or increasing/decreasing an evaluation.)</w:t>
            </w:r>
          </w:p>
          <w:p w:rsidR="00637BF0" w:rsidRDefault="00637BF0" w:rsidP="00637BF0">
            <w:pPr>
              <w:pStyle w:val="NormalWeb"/>
              <w:numPr>
                <w:ilvl w:val="0"/>
                <w:numId w:val="51"/>
              </w:numPr>
              <w:tabs>
                <w:tab w:val="clear" w:pos="720"/>
                <w:tab w:val="num" w:pos="351"/>
              </w:tabs>
              <w:ind w:left="351"/>
              <w:rPr>
                <w:sz w:val="20"/>
                <w:szCs w:val="20"/>
                <w:lang w:val="en"/>
              </w:rPr>
            </w:pPr>
            <w:r w:rsidRPr="00637BF0">
              <w:rPr>
                <w:b/>
                <w:bCs/>
                <w:i/>
                <w:iCs/>
                <w:sz w:val="20"/>
                <w:szCs w:val="20"/>
              </w:rPr>
              <w:t>February 2017 Compensation Service Bulletin (CSB)</w:t>
            </w:r>
            <w:r w:rsidRPr="00637BF0">
              <w:rPr>
                <w:sz w:val="20"/>
                <w:szCs w:val="20"/>
              </w:rPr>
              <w:t xml:space="preserve"> -</w:t>
            </w:r>
            <w:r w:rsidRPr="00637BF0">
              <w:rPr>
                <w:sz w:val="20"/>
                <w:szCs w:val="20"/>
                <w:lang w:val="en"/>
              </w:rPr>
              <w:t xml:space="preserve"> bilateral disabilities rated under a single evaluation, such as pes planus under diagnostic code (DC) 5276, the bilateral factor may only be applied if another compensable disability involves the same extremity.  The example provided in M21-1 indicates that the bilateral factor may be applied for a Veteran rated 30 percent disabling for bilateral pes planus that is also service-connected for left leg muscle damage with a 20 percent evaluation under DC 5311. </w:t>
            </w:r>
          </w:p>
          <w:p w:rsidR="00637BF0" w:rsidRPr="00637BF0" w:rsidRDefault="00637BF0" w:rsidP="00637BF0">
            <w:pPr>
              <w:pStyle w:val="NormalWeb"/>
              <w:ind w:left="351"/>
              <w:rPr>
                <w:sz w:val="20"/>
                <w:szCs w:val="20"/>
                <w:lang w:val="en"/>
              </w:rPr>
            </w:pPr>
            <w:r w:rsidRPr="00637BF0">
              <w:rPr>
                <w:sz w:val="20"/>
                <w:szCs w:val="20"/>
                <w:lang w:val="en"/>
              </w:rPr>
              <w:t>The bilateral factor may also be applied if there are compensable service-connected disabilities of the bilateral extremities not involved with the bilateral extremity disability that has been assigned a single disability evaluation.  For example, the bilateral factor would be applied if a Veteran is rated 30 percent for bilateral pes planus under DC 5276 and also has bilateral shoulder arthritis that is evaluated with the assignment of separate 20 percent evaluations under DC 5201. </w:t>
            </w:r>
          </w:p>
          <w:p w:rsidR="00637BF0" w:rsidRPr="00637BF0" w:rsidRDefault="00637BF0" w:rsidP="00637BF0">
            <w:pPr>
              <w:overflowPunct/>
              <w:autoSpaceDE/>
              <w:autoSpaceDN/>
              <w:adjustRightInd/>
              <w:spacing w:after="120"/>
              <w:ind w:left="351"/>
              <w:textAlignment w:val="auto"/>
              <w:rPr>
                <w:sz w:val="15"/>
                <w:szCs w:val="15"/>
                <w:lang w:val="en"/>
              </w:rPr>
            </w:pPr>
            <w:r w:rsidRPr="00637BF0">
              <w:rPr>
                <w:lang w:val="en"/>
              </w:rPr>
              <w:t>The bilateral factor would not be applied for a Veteran rated 30 percent under DC 5276 for bilateral pes planus and 10 percent disabling under DC 5215 for a right wrist disability, as only one upper extremity is involved.</w:t>
            </w:r>
            <w:r w:rsidRPr="00637BF0">
              <w:rPr>
                <w:sz w:val="15"/>
                <w:szCs w:val="15"/>
                <w:lang w:val="en"/>
              </w:rPr>
              <w:t> </w:t>
            </w:r>
          </w:p>
        </w:tc>
      </w:tr>
      <w:tr w:rsidR="00013EB8" w:rsidTr="007F1619">
        <w:trPr>
          <w:trHeight w:val="225"/>
        </w:trPr>
        <w:tc>
          <w:tcPr>
            <w:tcW w:w="684" w:type="dxa"/>
            <w:tcBorders>
              <w:top w:val="nil"/>
              <w:left w:val="nil"/>
              <w:bottom w:val="nil"/>
              <w:right w:val="nil"/>
            </w:tcBorders>
          </w:tcPr>
          <w:p w:rsidR="00013EB8" w:rsidRDefault="00013EB8" w:rsidP="007F1619">
            <w:pPr>
              <w:widowControl w:val="0"/>
              <w:numPr>
                <w:ilvl w:val="12"/>
                <w:numId w:val="0"/>
              </w:numPr>
              <w:spacing w:after="120"/>
              <w:rPr>
                <w:b/>
              </w:rPr>
            </w:pPr>
            <w:r w:rsidRPr="00AE0E75">
              <w:rPr>
                <w:b/>
              </w:rPr>
              <w:t>4.31</w:t>
            </w:r>
          </w:p>
        </w:tc>
        <w:tc>
          <w:tcPr>
            <w:tcW w:w="10191" w:type="dxa"/>
            <w:gridSpan w:val="2"/>
            <w:tcBorders>
              <w:top w:val="nil"/>
              <w:left w:val="nil"/>
              <w:bottom w:val="nil"/>
              <w:right w:val="nil"/>
            </w:tcBorders>
          </w:tcPr>
          <w:p w:rsidR="00013EB8" w:rsidRPr="001874BF" w:rsidRDefault="00013EB8" w:rsidP="007F1619">
            <w:pPr>
              <w:widowControl w:val="0"/>
              <w:numPr>
                <w:ilvl w:val="12"/>
                <w:numId w:val="0"/>
              </w:numPr>
              <w:spacing w:after="120"/>
            </w:pPr>
            <w:r>
              <w:rPr>
                <w:b/>
              </w:rPr>
              <w:t xml:space="preserve">A no-percent rating </w:t>
            </w:r>
            <w:r>
              <w:t>–</w:t>
            </w:r>
            <w:r w:rsidR="001874BF">
              <w:t xml:space="preserve"> </w:t>
            </w:r>
            <w:r w:rsidR="007656BF" w:rsidRPr="001874BF">
              <w:rPr>
                <w:b/>
              </w:rPr>
              <w:t>III.iv.5.B.2.</w:t>
            </w:r>
            <w:r w:rsidR="007962EC">
              <w:rPr>
                <w:b/>
              </w:rPr>
              <w:t>f</w:t>
            </w:r>
            <w:r w:rsidR="007656BF">
              <w:t xml:space="preserve"> – zero percent / noncompensable / 0% evalusions</w:t>
            </w:r>
            <w:r>
              <w:t xml:space="preserve"> are always available even if not listed, use “when the requirements for a compensable evaluation are not met”</w:t>
            </w:r>
            <w:r w:rsidR="001874BF">
              <w:t xml:space="preserve">; </w:t>
            </w:r>
            <w:r w:rsidR="001874BF" w:rsidRPr="001874BF">
              <w:rPr>
                <w:b/>
              </w:rPr>
              <w:t>III.iv.4.A.</w:t>
            </w:r>
            <w:r w:rsidR="0069408A">
              <w:rPr>
                <w:b/>
              </w:rPr>
              <w:t>2</w:t>
            </w:r>
            <w:r w:rsidR="007962EC">
              <w:rPr>
                <w:b/>
              </w:rPr>
              <w:t>.b</w:t>
            </w:r>
            <w:r w:rsidR="001874BF">
              <w:t xml:space="preserve"> discusses 0%s for 5207, 5213, 5251, 5252, 5253</w:t>
            </w:r>
          </w:p>
          <w:p w:rsidR="00013EB8" w:rsidRDefault="00347E11" w:rsidP="00691877">
            <w:pPr>
              <w:widowControl w:val="0"/>
              <w:numPr>
                <w:ilvl w:val="0"/>
                <w:numId w:val="51"/>
              </w:numPr>
              <w:tabs>
                <w:tab w:val="clear" w:pos="720"/>
                <w:tab w:val="num" w:pos="361"/>
              </w:tabs>
              <w:spacing w:after="120"/>
              <w:ind w:left="360"/>
            </w:pPr>
            <w:r>
              <w:rPr>
                <w:b/>
                <w:bCs/>
              </w:rPr>
              <w:t>III.iv.6.A.1.b</w:t>
            </w:r>
            <w:r w:rsidR="00BD75C3">
              <w:rPr>
                <w:b/>
                <w:bCs/>
              </w:rPr>
              <w:t xml:space="preserve"> &amp; III.iv.6.A.1.e</w:t>
            </w:r>
            <w:r w:rsidR="00455426">
              <w:rPr>
                <w:b/>
                <w:bCs/>
              </w:rPr>
              <w:t xml:space="preserve"> </w:t>
            </w:r>
            <w:r w:rsidR="00013EB8">
              <w:t xml:space="preserve">– can do </w:t>
            </w:r>
            <w:r w:rsidR="007B616C">
              <w:t>partial</w:t>
            </w:r>
            <w:r w:rsidR="00013EB8">
              <w:t xml:space="preserve"> rating decision</w:t>
            </w:r>
            <w:r>
              <w:t xml:space="preserve"> (for a time was called intermediate rating) if grant/award</w:t>
            </w:r>
            <w:r w:rsidR="00013EB8">
              <w:t xml:space="preserve"> </w:t>
            </w:r>
            <w:r>
              <w:t xml:space="preserve">any claim at issue (including SC at </w:t>
            </w:r>
            <w:r w:rsidR="00013EB8">
              <w:t>a noncompensable level</w:t>
            </w:r>
            <w:r>
              <w:t xml:space="preserve">) </w:t>
            </w:r>
            <w:r w:rsidRPr="00347E11">
              <w:rPr>
                <w:u w:val="single"/>
              </w:rPr>
              <w:t>&amp;/or</w:t>
            </w:r>
            <w:r>
              <w:t xml:space="preserve"> </w:t>
            </w:r>
            <w:r w:rsidRPr="00347E11">
              <w:rPr>
                <w:i/>
              </w:rPr>
              <w:t>(added 6/15/18)</w:t>
            </w:r>
            <w:r>
              <w:t xml:space="preserve"> proposing/finalizing a previous proposal to reduce/sever/find incompetent</w:t>
            </w:r>
          </w:p>
          <w:p w:rsidR="000B4512" w:rsidRPr="000B4512" w:rsidRDefault="000B4512" w:rsidP="000B4512">
            <w:pPr>
              <w:spacing w:after="120"/>
              <w:ind w:left="346"/>
              <w:rPr>
                <w:rFonts w:ascii="Calibri" w:hAnsi="Calibri"/>
                <w:sz w:val="16"/>
              </w:rPr>
            </w:pPr>
            <w:r w:rsidRPr="000B4512">
              <w:rPr>
                <w:i/>
                <w:color w:val="00B050"/>
                <w:szCs w:val="24"/>
              </w:rPr>
              <w:t>My Notes:</w:t>
            </w:r>
            <w:r w:rsidRPr="000B4512">
              <w:rPr>
                <w:color w:val="00B050"/>
                <w:szCs w:val="24"/>
              </w:rPr>
              <w:t xml:space="preserve">  </w:t>
            </w:r>
            <w:r w:rsidRPr="000B4512">
              <w:rPr>
                <w:i/>
                <w:color w:val="000000"/>
                <w:szCs w:val="24"/>
              </w:rPr>
              <w:t>If doing a partial grant, create &amp; finalize deferral in VBMS (claim will change to OPEN status), THEN finalize rating (ensure claim is in RDC status).</w:t>
            </w:r>
            <w:r w:rsidR="004B39B6">
              <w:rPr>
                <w:i/>
                <w:color w:val="000000"/>
                <w:szCs w:val="24"/>
              </w:rPr>
              <w:t xml:space="preserve"> Do not use the old 21-6789 unless it’s a 930 &amp; the deferral chevron is not available.</w:t>
            </w:r>
          </w:p>
          <w:p w:rsidR="00013EB8" w:rsidRDefault="00013EB8" w:rsidP="00691877">
            <w:pPr>
              <w:numPr>
                <w:ilvl w:val="0"/>
                <w:numId w:val="51"/>
              </w:numPr>
              <w:tabs>
                <w:tab w:val="clear" w:pos="720"/>
                <w:tab w:val="num" w:pos="361"/>
              </w:tabs>
              <w:overflowPunct/>
              <w:autoSpaceDE/>
              <w:autoSpaceDN/>
              <w:adjustRightInd/>
              <w:spacing w:after="120"/>
              <w:ind w:left="360"/>
              <w:textAlignment w:val="auto"/>
              <w:rPr>
                <w:sz w:val="24"/>
                <w:szCs w:val="24"/>
              </w:rPr>
            </w:pPr>
            <w:r>
              <w:rPr>
                <w:b/>
                <w:bCs/>
              </w:rPr>
              <w:t>WEEKLY QRT TIP FOR WEEK OF 12/03/2012</w:t>
            </w:r>
            <w:r>
              <w:t xml:space="preserve"> - </w:t>
            </w:r>
            <w:r>
              <w:rPr>
                <w:szCs w:val="24"/>
              </w:rPr>
              <w:t>Make an intermediate rating decision if the record contains sufficient evidence to grant any claim at issue, including service connection at a noncompensable level.</w:t>
            </w:r>
            <w:r>
              <w:rPr>
                <w:color w:val="0000FF"/>
                <w:szCs w:val="24"/>
              </w:rPr>
              <w:t xml:space="preserve"> </w:t>
            </w:r>
            <w:r>
              <w:rPr>
                <w:szCs w:val="24"/>
              </w:rPr>
              <w:t xml:space="preserve">Reference: </w:t>
            </w:r>
            <w:r w:rsidRPr="002E2D9E">
              <w:rPr>
                <w:szCs w:val="24"/>
              </w:rPr>
              <w:t>M21-1MR III.iv.6.A.1.a</w:t>
            </w:r>
            <w:r>
              <w:rPr>
                <w:szCs w:val="24"/>
              </w:rPr>
              <w:t xml:space="preserve"> </w:t>
            </w:r>
          </w:p>
          <w:p w:rsidR="00013EB8" w:rsidRDefault="00013EB8" w:rsidP="007F1619">
            <w:pPr>
              <w:overflowPunct/>
              <w:autoSpaceDE/>
              <w:autoSpaceDN/>
              <w:adjustRightInd/>
              <w:spacing w:after="120"/>
              <w:ind w:left="361"/>
              <w:textAlignment w:val="auto"/>
              <w:rPr>
                <w:rStyle w:val="Hyperlink"/>
                <w:szCs w:val="24"/>
              </w:rPr>
            </w:pPr>
            <w:r>
              <w:rPr>
                <w:szCs w:val="24"/>
              </w:rPr>
              <w:t>Do not use an intermediate rating decision to deny one claim when resolution of another issue is pending examination or receipt of other evidence, or deny service connection for cause of death if development is being undertaken for another condition that is possibly involved.  In this situation, the case is no longer ready to rate and should be returned to the proper location until development is completed.</w:t>
            </w:r>
            <w:r>
              <w:rPr>
                <w:color w:val="0000FF"/>
                <w:szCs w:val="24"/>
              </w:rPr>
              <w:t xml:space="preserve"> </w:t>
            </w:r>
            <w:r>
              <w:rPr>
                <w:szCs w:val="24"/>
              </w:rPr>
              <w:t xml:space="preserve">Reference: </w:t>
            </w:r>
            <w:r w:rsidRPr="002E2D9E">
              <w:rPr>
                <w:szCs w:val="24"/>
              </w:rPr>
              <w:t>M21-1MR III.iv.6.A.1.b</w:t>
            </w:r>
          </w:p>
          <w:p w:rsidR="00E968ED" w:rsidRPr="00E968ED" w:rsidRDefault="00D571C5" w:rsidP="00F063AF">
            <w:pPr>
              <w:widowControl w:val="0"/>
              <w:numPr>
                <w:ilvl w:val="0"/>
                <w:numId w:val="106"/>
              </w:numPr>
              <w:tabs>
                <w:tab w:val="clear" w:pos="720"/>
                <w:tab w:val="num" w:pos="360"/>
                <w:tab w:val="left" w:pos="9413"/>
              </w:tabs>
              <w:spacing w:after="120"/>
              <w:ind w:left="360"/>
              <w:rPr>
                <w:rFonts w:ascii="Tahoma" w:hAnsi="Tahoma" w:cs="Tahoma"/>
              </w:rPr>
            </w:pPr>
            <w:hyperlink r:id="rId477" w:history="1">
              <w:r w:rsidR="00365021" w:rsidRPr="00E968ED">
                <w:rPr>
                  <w:rStyle w:val="Hyperlink"/>
                  <w:b/>
                  <w:bCs/>
                  <w:i/>
                  <w:iCs/>
                </w:rPr>
                <w:t>FY 2012 &amp; 2013 Quality Call Training</w:t>
              </w:r>
            </w:hyperlink>
            <w:r w:rsidR="008A7171" w:rsidRPr="00E968ED">
              <w:rPr>
                <w:b/>
                <w:bCs/>
                <w:i/>
                <w:iCs/>
              </w:rPr>
              <w:t xml:space="preserve"> – </w:t>
            </w:r>
            <w:r w:rsidR="0053190C" w:rsidRPr="00E968ED">
              <w:rPr>
                <w:b/>
                <w:bCs/>
                <w:iCs/>
              </w:rPr>
              <w:t>Inter-Rater Reliability (IRR)/IRR Consistency Questionnaire</w:t>
            </w:r>
            <w:r w:rsidR="008A7171" w:rsidRPr="00E968ED">
              <w:rPr>
                <w:b/>
                <w:iCs/>
              </w:rPr>
              <w:t xml:space="preserve"> – </w:t>
            </w:r>
            <w:r w:rsidR="008A7171" w:rsidRPr="00E968ED">
              <w:rPr>
                <w:iCs/>
              </w:rPr>
              <w:t>can make an interim rating decision if the record contains sufficient evidence to grant any claim at issue, including granting SC at a noncompensable level &amp; granting SC plus deferring for an exam to evaluate properly</w:t>
            </w:r>
          </w:p>
          <w:p w:rsidR="00E968ED" w:rsidRPr="00E968ED" w:rsidRDefault="00E968ED" w:rsidP="00F063AF">
            <w:pPr>
              <w:widowControl w:val="0"/>
              <w:numPr>
                <w:ilvl w:val="0"/>
                <w:numId w:val="106"/>
              </w:numPr>
              <w:tabs>
                <w:tab w:val="clear" w:pos="720"/>
                <w:tab w:val="num" w:pos="360"/>
                <w:tab w:val="left" w:pos="9413"/>
              </w:tabs>
              <w:spacing w:after="120"/>
              <w:ind w:left="360"/>
              <w:rPr>
                <w:rFonts w:ascii="Tahoma" w:hAnsi="Tahoma" w:cs="Tahoma"/>
              </w:rPr>
            </w:pPr>
            <w:r w:rsidRPr="00E968ED">
              <w:rPr>
                <w:rFonts w:ascii="Tahoma" w:hAnsi="Tahoma" w:cs="Tahoma"/>
                <w:b/>
                <w:bCs/>
              </w:rPr>
              <w:t>From:</w:t>
            </w:r>
            <w:r w:rsidRPr="00E968ED">
              <w:rPr>
                <w:rFonts w:ascii="Tahoma" w:hAnsi="Tahoma" w:cs="Tahoma"/>
              </w:rPr>
              <w:t xml:space="preserve"> VAVBASDC/RO/VSC </w:t>
            </w:r>
            <w:r w:rsidRPr="00E968ED">
              <w:rPr>
                <w:rFonts w:ascii="Tahoma" w:hAnsi="Tahoma" w:cs="Tahoma"/>
              </w:rPr>
              <w:br/>
            </w:r>
            <w:r w:rsidRPr="00E968ED">
              <w:rPr>
                <w:rFonts w:ascii="Tahoma" w:hAnsi="Tahoma" w:cs="Tahoma"/>
                <w:b/>
                <w:bCs/>
              </w:rPr>
              <w:t>Sent:</w:t>
            </w:r>
            <w:r w:rsidRPr="00E968ED">
              <w:rPr>
                <w:rFonts w:ascii="Tahoma" w:hAnsi="Tahoma" w:cs="Tahoma"/>
              </w:rPr>
              <w:t xml:space="preserve"> Monday, September 19, 2016 1:16 PM</w:t>
            </w:r>
            <w:r w:rsidRPr="00E968ED">
              <w:rPr>
                <w:rFonts w:ascii="Tahoma" w:hAnsi="Tahoma" w:cs="Tahoma"/>
              </w:rPr>
              <w:br/>
            </w:r>
            <w:r w:rsidRPr="00E968ED">
              <w:rPr>
                <w:rFonts w:ascii="Tahoma" w:hAnsi="Tahoma" w:cs="Tahoma"/>
                <w:b/>
                <w:bCs/>
              </w:rPr>
              <w:t>Subject:</w:t>
            </w:r>
            <w:r w:rsidRPr="00E968ED">
              <w:rPr>
                <w:rFonts w:ascii="Tahoma" w:hAnsi="Tahoma" w:cs="Tahoma"/>
              </w:rPr>
              <w:t xml:space="preserve"> FW: Quality Tip: ATTN: RVSRs/DROs; Deferred Rating Responsibility</w:t>
            </w:r>
          </w:p>
          <w:p w:rsidR="00E968ED" w:rsidRPr="00E968ED" w:rsidRDefault="00E968ED" w:rsidP="00E968ED">
            <w:pPr>
              <w:rPr>
                <w:rFonts w:ascii="Calibri" w:eastAsiaTheme="minorHAnsi" w:hAnsi="Calibri" w:cs="Times New Roman"/>
                <w:sz w:val="18"/>
                <w:szCs w:val="22"/>
              </w:rPr>
            </w:pPr>
          </w:p>
          <w:p w:rsidR="00E968ED" w:rsidRPr="00E968ED" w:rsidRDefault="00E968ED" w:rsidP="00E968ED">
            <w:pPr>
              <w:ind w:left="351"/>
              <w:rPr>
                <w:b/>
                <w:bCs/>
                <w:szCs w:val="24"/>
              </w:rPr>
            </w:pPr>
            <w:r w:rsidRPr="00E968ED">
              <w:rPr>
                <w:b/>
                <w:bCs/>
                <w:szCs w:val="24"/>
              </w:rPr>
              <w:t>Quality Tip:  RVSR Deferred Rating Responsibility (Post Interim Decision)</w:t>
            </w:r>
          </w:p>
          <w:p w:rsidR="00E968ED" w:rsidRPr="00E968ED" w:rsidRDefault="00E968ED" w:rsidP="00E968ED">
            <w:pPr>
              <w:ind w:left="351"/>
              <w:rPr>
                <w:b/>
                <w:bCs/>
                <w:szCs w:val="24"/>
              </w:rPr>
            </w:pPr>
          </w:p>
          <w:p w:rsidR="00E968ED" w:rsidRPr="00E968ED" w:rsidRDefault="00E968ED" w:rsidP="00E968ED">
            <w:pPr>
              <w:ind w:left="351"/>
              <w:rPr>
                <w:szCs w:val="24"/>
              </w:rPr>
            </w:pPr>
            <w:r w:rsidRPr="00E968ED">
              <w:rPr>
                <w:b/>
                <w:bCs/>
                <w:szCs w:val="24"/>
              </w:rPr>
              <w:t>Issue:</w:t>
            </w:r>
            <w:r w:rsidRPr="00E968ED">
              <w:rPr>
                <w:szCs w:val="24"/>
              </w:rPr>
              <w:t xml:space="preserve">  RVSR’s have requested guidance/clarification of what their responsibilities are when completing a secondary rating decision when the prior interim rating decision contained one or more deferred issues. </w:t>
            </w:r>
          </w:p>
          <w:p w:rsidR="00E968ED" w:rsidRPr="00E968ED" w:rsidRDefault="00E968ED" w:rsidP="00E968ED">
            <w:pPr>
              <w:ind w:left="351"/>
              <w:rPr>
                <w:szCs w:val="24"/>
              </w:rPr>
            </w:pPr>
          </w:p>
          <w:p w:rsidR="00E968ED" w:rsidRPr="00E968ED" w:rsidRDefault="00E968ED" w:rsidP="00E968ED">
            <w:pPr>
              <w:ind w:left="351"/>
              <w:rPr>
                <w:b/>
                <w:bCs/>
                <w:szCs w:val="24"/>
              </w:rPr>
            </w:pPr>
            <w:r w:rsidRPr="00E968ED">
              <w:rPr>
                <w:b/>
                <w:bCs/>
                <w:szCs w:val="24"/>
              </w:rPr>
              <w:t xml:space="preserve">Reference: </w:t>
            </w:r>
          </w:p>
          <w:p w:rsidR="00E968ED" w:rsidRPr="00E968ED" w:rsidRDefault="00E968ED" w:rsidP="00E968ED">
            <w:pPr>
              <w:rPr>
                <w:szCs w:val="24"/>
              </w:rPr>
            </w:pPr>
          </w:p>
          <w:p w:rsidR="00E968ED" w:rsidRPr="00E968ED" w:rsidRDefault="00E968ED" w:rsidP="00F063AF">
            <w:pPr>
              <w:pStyle w:val="ListParagraph"/>
              <w:numPr>
                <w:ilvl w:val="0"/>
                <w:numId w:val="409"/>
              </w:numPr>
              <w:contextualSpacing/>
              <w:rPr>
                <w:rFonts w:ascii="Arial" w:hAnsi="Arial"/>
                <w:sz w:val="20"/>
                <w:szCs w:val="24"/>
              </w:rPr>
            </w:pPr>
            <w:r w:rsidRPr="00E968ED">
              <w:rPr>
                <w:rFonts w:ascii="Arial" w:hAnsi="Arial"/>
                <w:sz w:val="20"/>
                <w:szCs w:val="24"/>
              </w:rPr>
              <w:t>III.iv.6.B.1.a.  Recognizing Issues and Claims When Preparing a Rating Decision:</w:t>
            </w:r>
          </w:p>
          <w:p w:rsidR="00E968ED" w:rsidRPr="00E968ED" w:rsidRDefault="00E968ED" w:rsidP="00F063AF">
            <w:pPr>
              <w:pStyle w:val="ListParagraph"/>
              <w:numPr>
                <w:ilvl w:val="1"/>
                <w:numId w:val="409"/>
              </w:numPr>
              <w:contextualSpacing/>
              <w:rPr>
                <w:rFonts w:ascii="Arial" w:hAnsi="Arial"/>
                <w:sz w:val="20"/>
                <w:szCs w:val="24"/>
              </w:rPr>
            </w:pPr>
            <w:r w:rsidRPr="00E968ED">
              <w:rPr>
                <w:rFonts w:ascii="Arial" w:hAnsi="Arial"/>
                <w:sz w:val="20"/>
                <w:szCs w:val="24"/>
              </w:rPr>
              <w:t xml:space="preserve">When preparing a rating decision, the decision maker must recognize, develop, clarify, and/or decide </w:t>
            </w:r>
            <w:r w:rsidRPr="00E968ED">
              <w:rPr>
                <w:rFonts w:ascii="Arial" w:hAnsi="Arial"/>
                <w:sz w:val="20"/>
                <w:szCs w:val="24"/>
                <w:u w:val="single"/>
              </w:rPr>
              <w:t>all issues and claims</w:t>
            </w:r>
            <w:r w:rsidRPr="00E968ED">
              <w:rPr>
                <w:rFonts w:ascii="Arial" w:hAnsi="Arial"/>
                <w:sz w:val="20"/>
                <w:szCs w:val="24"/>
              </w:rPr>
              <w:t>, whether they are:</w:t>
            </w:r>
          </w:p>
          <w:p w:rsidR="00E968ED" w:rsidRPr="00E968ED" w:rsidRDefault="00E968ED" w:rsidP="00F063AF">
            <w:pPr>
              <w:pStyle w:val="ListParagraph"/>
              <w:numPr>
                <w:ilvl w:val="2"/>
                <w:numId w:val="409"/>
              </w:numPr>
              <w:contextualSpacing/>
              <w:rPr>
                <w:rFonts w:ascii="Arial" w:hAnsi="Arial"/>
                <w:sz w:val="20"/>
                <w:szCs w:val="24"/>
              </w:rPr>
            </w:pPr>
            <w:r w:rsidRPr="00E968ED">
              <w:rPr>
                <w:rFonts w:ascii="Arial" w:hAnsi="Arial"/>
                <w:sz w:val="20"/>
                <w:szCs w:val="24"/>
              </w:rPr>
              <w:t>expressly claimed</w:t>
            </w:r>
          </w:p>
          <w:p w:rsidR="00E968ED" w:rsidRPr="00E968ED" w:rsidRDefault="00E968ED" w:rsidP="00F063AF">
            <w:pPr>
              <w:pStyle w:val="ListParagraph"/>
              <w:numPr>
                <w:ilvl w:val="2"/>
                <w:numId w:val="409"/>
              </w:numPr>
              <w:contextualSpacing/>
              <w:rPr>
                <w:rFonts w:ascii="Arial" w:hAnsi="Arial"/>
                <w:sz w:val="20"/>
                <w:szCs w:val="24"/>
              </w:rPr>
            </w:pPr>
            <w:r w:rsidRPr="00E968ED">
              <w:rPr>
                <w:rFonts w:ascii="Arial" w:hAnsi="Arial"/>
                <w:sz w:val="20"/>
                <w:szCs w:val="24"/>
              </w:rPr>
              <w:t>reasonably raised, or</w:t>
            </w:r>
          </w:p>
          <w:p w:rsidR="00E968ED" w:rsidRPr="00E968ED" w:rsidRDefault="00E968ED" w:rsidP="00F063AF">
            <w:pPr>
              <w:pStyle w:val="ListParagraph"/>
              <w:numPr>
                <w:ilvl w:val="2"/>
                <w:numId w:val="409"/>
              </w:numPr>
              <w:contextualSpacing/>
              <w:rPr>
                <w:rFonts w:ascii="Arial" w:hAnsi="Arial"/>
                <w:sz w:val="20"/>
                <w:szCs w:val="24"/>
              </w:rPr>
            </w:pPr>
            <w:r w:rsidRPr="00E968ED">
              <w:rPr>
                <w:rFonts w:ascii="Arial" w:hAnsi="Arial"/>
                <w:sz w:val="20"/>
                <w:szCs w:val="24"/>
              </w:rPr>
              <w:t>unclaimed subordinate issues and ancillary benefits.</w:t>
            </w:r>
          </w:p>
          <w:p w:rsidR="00E968ED" w:rsidRPr="00E968ED" w:rsidRDefault="00E968ED" w:rsidP="00F063AF">
            <w:pPr>
              <w:pStyle w:val="ListParagraph"/>
              <w:numPr>
                <w:ilvl w:val="0"/>
                <w:numId w:val="409"/>
              </w:numPr>
              <w:contextualSpacing/>
              <w:rPr>
                <w:rFonts w:ascii="Arial" w:hAnsi="Arial"/>
                <w:sz w:val="20"/>
                <w:szCs w:val="24"/>
              </w:rPr>
            </w:pPr>
            <w:r w:rsidRPr="00E968ED">
              <w:rPr>
                <w:rFonts w:ascii="Arial" w:hAnsi="Arial"/>
                <w:sz w:val="20"/>
                <w:szCs w:val="24"/>
              </w:rPr>
              <w:t>The RVSR is responsibilities for ensuring that all issues from the pending EP have been properly addressed:</w:t>
            </w:r>
          </w:p>
          <w:p w:rsidR="00E968ED" w:rsidRPr="00E968ED" w:rsidRDefault="00E968ED" w:rsidP="00F063AF">
            <w:pPr>
              <w:pStyle w:val="ListParagraph"/>
              <w:numPr>
                <w:ilvl w:val="1"/>
                <w:numId w:val="409"/>
              </w:numPr>
              <w:contextualSpacing/>
              <w:rPr>
                <w:rFonts w:ascii="Arial" w:hAnsi="Arial"/>
                <w:sz w:val="20"/>
                <w:szCs w:val="24"/>
              </w:rPr>
            </w:pPr>
            <w:r w:rsidRPr="00E968ED">
              <w:rPr>
                <w:rFonts w:ascii="Arial" w:hAnsi="Arial"/>
                <w:sz w:val="20"/>
                <w:szCs w:val="24"/>
              </w:rPr>
              <w:t>Examples:</w:t>
            </w:r>
          </w:p>
          <w:p w:rsidR="00E968ED" w:rsidRPr="00E968ED" w:rsidRDefault="00E968ED" w:rsidP="00F063AF">
            <w:pPr>
              <w:pStyle w:val="ListParagraph"/>
              <w:numPr>
                <w:ilvl w:val="2"/>
                <w:numId w:val="409"/>
              </w:numPr>
              <w:contextualSpacing/>
              <w:rPr>
                <w:rFonts w:ascii="Arial" w:hAnsi="Arial"/>
                <w:sz w:val="20"/>
                <w:szCs w:val="24"/>
              </w:rPr>
            </w:pPr>
            <w:r w:rsidRPr="00E968ED">
              <w:rPr>
                <w:rFonts w:ascii="Arial" w:hAnsi="Arial"/>
                <w:sz w:val="20"/>
                <w:szCs w:val="24"/>
              </w:rPr>
              <w:t>If the Veteran files claims for 5 issues and the prior rating decision issued decisions for 3 of the issues, and deferred 2 issues, the RVSR is now responsible for addressing the 2 deferred issues.</w:t>
            </w:r>
          </w:p>
          <w:p w:rsidR="00E968ED" w:rsidRPr="00E968ED" w:rsidRDefault="00E968ED" w:rsidP="00F063AF">
            <w:pPr>
              <w:pStyle w:val="ListParagraph"/>
              <w:numPr>
                <w:ilvl w:val="2"/>
                <w:numId w:val="409"/>
              </w:numPr>
              <w:contextualSpacing/>
              <w:rPr>
                <w:rFonts w:ascii="Arial" w:hAnsi="Arial"/>
                <w:sz w:val="20"/>
                <w:szCs w:val="24"/>
              </w:rPr>
            </w:pPr>
            <w:r w:rsidRPr="00E968ED">
              <w:rPr>
                <w:rFonts w:ascii="Arial" w:hAnsi="Arial"/>
                <w:sz w:val="20"/>
                <w:szCs w:val="24"/>
              </w:rPr>
              <w:t>If the Veteran files claims for 5 issues and the prior rating decision issued decisions for 2 of the issues, and deferred 2 issues, the RVSR is now responsible for addressing the 2 deferred issues, and the missed issue from the prior decision. The RVSR must ensure that all issues are properly addressed.</w:t>
            </w:r>
          </w:p>
          <w:p w:rsidR="00E968ED" w:rsidRPr="00E968ED" w:rsidRDefault="00E968ED" w:rsidP="00F063AF">
            <w:pPr>
              <w:pStyle w:val="ListParagraph"/>
              <w:numPr>
                <w:ilvl w:val="2"/>
                <w:numId w:val="409"/>
              </w:numPr>
              <w:contextualSpacing/>
              <w:rPr>
                <w:rFonts w:ascii="Arial" w:hAnsi="Arial"/>
                <w:sz w:val="20"/>
                <w:szCs w:val="24"/>
              </w:rPr>
            </w:pPr>
            <w:r w:rsidRPr="00E968ED">
              <w:rPr>
                <w:rFonts w:ascii="Arial" w:hAnsi="Arial"/>
                <w:sz w:val="20"/>
                <w:szCs w:val="24"/>
              </w:rPr>
              <w:t>If the Veteran files a Quick Start claim with 32 contentions, rates 30 contentions in the interim rating decision, and defers 2 contentions, for additional development, the next RVSR is responsible for rating the two deferred issues and confirming that all of the 32 contentions have been addressed.</w:t>
            </w:r>
          </w:p>
          <w:p w:rsidR="00E968ED" w:rsidRPr="00E968ED" w:rsidRDefault="00E968ED" w:rsidP="00E968ED">
            <w:pPr>
              <w:ind w:left="351"/>
              <w:rPr>
                <w:szCs w:val="24"/>
              </w:rPr>
            </w:pPr>
            <w:r w:rsidRPr="00E968ED">
              <w:rPr>
                <w:b/>
                <w:bCs/>
                <w:szCs w:val="24"/>
              </w:rPr>
              <w:t>Note:</w:t>
            </w:r>
            <w:r w:rsidRPr="00E968ED">
              <w:rPr>
                <w:szCs w:val="24"/>
              </w:rPr>
              <w:t xml:space="preserve">  The RVSR is not responsible for conducting a quality review of the interim rating decision(s).  Errors, noted on decided issues, discovered in the interim decision(s), would be cited as comments (not critical errors), requiring correction. </w:t>
            </w:r>
          </w:p>
          <w:p w:rsidR="00E968ED" w:rsidRPr="00E968ED" w:rsidRDefault="00E968ED" w:rsidP="00E968ED">
            <w:pPr>
              <w:rPr>
                <w:szCs w:val="24"/>
              </w:rPr>
            </w:pPr>
          </w:p>
          <w:p w:rsidR="00B36993" w:rsidRPr="00B36993" w:rsidRDefault="00B36993" w:rsidP="00F063AF">
            <w:pPr>
              <w:widowControl w:val="0"/>
              <w:numPr>
                <w:ilvl w:val="0"/>
                <w:numId w:val="106"/>
              </w:numPr>
              <w:tabs>
                <w:tab w:val="clear" w:pos="720"/>
                <w:tab w:val="num" w:pos="360"/>
                <w:tab w:val="left" w:pos="9413"/>
              </w:tabs>
              <w:spacing w:after="120"/>
              <w:ind w:left="360"/>
              <w:rPr>
                <w:rFonts w:ascii="Tahoma" w:hAnsi="Tahoma" w:cs="Tahoma"/>
              </w:rPr>
            </w:pPr>
            <w:r w:rsidRPr="00B36993">
              <w:rPr>
                <w:rFonts w:ascii="Tahoma" w:hAnsi="Tahoma" w:cs="Tahoma"/>
                <w:b/>
                <w:bCs/>
              </w:rPr>
              <w:t>From:</w:t>
            </w:r>
            <w:r w:rsidRPr="00B36993">
              <w:rPr>
                <w:rFonts w:ascii="Tahoma" w:hAnsi="Tahoma" w:cs="Tahoma"/>
              </w:rPr>
              <w:t xml:space="preserve"> VAVBASDC/RO/VSC </w:t>
            </w:r>
            <w:r w:rsidRPr="00B36993">
              <w:rPr>
                <w:rFonts w:ascii="Tahoma" w:hAnsi="Tahoma" w:cs="Tahoma"/>
              </w:rPr>
              <w:br/>
            </w:r>
            <w:r w:rsidRPr="00B36993">
              <w:rPr>
                <w:rFonts w:ascii="Tahoma" w:hAnsi="Tahoma" w:cs="Tahoma"/>
                <w:b/>
                <w:bCs/>
              </w:rPr>
              <w:t>Sent:</w:t>
            </w:r>
            <w:r w:rsidRPr="00B36993">
              <w:rPr>
                <w:rFonts w:ascii="Tahoma" w:hAnsi="Tahoma" w:cs="Tahoma"/>
              </w:rPr>
              <w:t xml:space="preserve"> Wednesday, August 30, 2017 4:06 PM</w:t>
            </w:r>
            <w:r w:rsidRPr="00B36993">
              <w:rPr>
                <w:rFonts w:ascii="Tahoma" w:hAnsi="Tahoma" w:cs="Tahoma"/>
              </w:rPr>
              <w:br/>
            </w:r>
            <w:r w:rsidRPr="00B36993">
              <w:rPr>
                <w:rFonts w:ascii="Tahoma" w:hAnsi="Tahoma" w:cs="Tahoma"/>
                <w:b/>
                <w:bCs/>
              </w:rPr>
              <w:t>Subject:</w:t>
            </w:r>
            <w:r w:rsidRPr="00B36993">
              <w:rPr>
                <w:rFonts w:ascii="Tahoma" w:hAnsi="Tahoma" w:cs="Tahoma"/>
              </w:rPr>
              <w:t xml:space="preserve"> FW: Q-Tip: When to Make a Partial Rating Decision (RVSRs and DROs)</w:t>
            </w:r>
          </w:p>
          <w:p w:rsidR="00B36993" w:rsidRPr="00B36993" w:rsidRDefault="00B36993" w:rsidP="00B36993">
            <w:pPr>
              <w:spacing w:after="120"/>
              <w:ind w:left="351"/>
              <w:rPr>
                <w:szCs w:val="24"/>
              </w:rPr>
            </w:pPr>
            <w:r w:rsidRPr="00B36993">
              <w:rPr>
                <w:szCs w:val="24"/>
              </w:rPr>
              <w:t>VSC – For your information:</w:t>
            </w:r>
          </w:p>
          <w:p w:rsidR="00B36993" w:rsidRPr="00B36993" w:rsidRDefault="00B36993" w:rsidP="00B36993">
            <w:pPr>
              <w:spacing w:after="120"/>
              <w:ind w:left="351"/>
              <w:rPr>
                <w:b/>
                <w:bCs/>
                <w:szCs w:val="24"/>
              </w:rPr>
            </w:pPr>
            <w:r w:rsidRPr="00B36993">
              <w:rPr>
                <w:b/>
                <w:bCs/>
                <w:szCs w:val="24"/>
              </w:rPr>
              <w:t>Q-Tip:  When to Make a Partial Rating Decision</w:t>
            </w:r>
          </w:p>
          <w:p w:rsidR="00B36993" w:rsidRPr="00B36993" w:rsidRDefault="00B36993" w:rsidP="00B36993">
            <w:pPr>
              <w:spacing w:after="120"/>
              <w:ind w:left="351"/>
              <w:rPr>
                <w:b/>
                <w:bCs/>
                <w:szCs w:val="24"/>
              </w:rPr>
            </w:pPr>
            <w:r w:rsidRPr="00B36993">
              <w:rPr>
                <w:b/>
                <w:bCs/>
                <w:szCs w:val="24"/>
              </w:rPr>
              <w:t>Target Audience:  RVSRs and DROs</w:t>
            </w:r>
          </w:p>
          <w:p w:rsidR="00B36993" w:rsidRPr="00B36993" w:rsidRDefault="00B36993" w:rsidP="00B36993">
            <w:pPr>
              <w:spacing w:after="120"/>
              <w:ind w:left="351"/>
              <w:rPr>
                <w:szCs w:val="24"/>
                <w:u w:val="single"/>
              </w:rPr>
            </w:pPr>
            <w:r w:rsidRPr="00B36993">
              <w:rPr>
                <w:szCs w:val="24"/>
                <w:u w:val="single"/>
              </w:rPr>
              <w:t>When to Make a Partial Rating Decision</w:t>
            </w:r>
          </w:p>
          <w:p w:rsidR="00B36993" w:rsidRPr="00B36993" w:rsidRDefault="00B36993" w:rsidP="00B36993">
            <w:pPr>
              <w:spacing w:after="120"/>
              <w:ind w:left="351"/>
              <w:rPr>
                <w:szCs w:val="24"/>
              </w:rPr>
            </w:pPr>
            <w:r w:rsidRPr="00B36993">
              <w:rPr>
                <w:szCs w:val="24"/>
              </w:rPr>
              <w:t xml:space="preserve">Make a partial rating decision when the record contains sufficient evidence to grant any claim at issue, including service connection (SC) at a non-compensable level, but other issues require additional development before they can be decided.  </w:t>
            </w:r>
          </w:p>
          <w:p w:rsidR="00B36993" w:rsidRPr="00B36993" w:rsidRDefault="00B36993" w:rsidP="00B36993">
            <w:pPr>
              <w:spacing w:after="120"/>
              <w:ind w:left="351"/>
              <w:rPr>
                <w:szCs w:val="24"/>
              </w:rPr>
            </w:pPr>
            <w:r w:rsidRPr="00B36993">
              <w:rPr>
                <w:szCs w:val="24"/>
              </w:rPr>
              <w:t>When deferring an issue in a partial rating decision, the decision</w:t>
            </w:r>
          </w:p>
          <w:p w:rsidR="00B36993" w:rsidRPr="00B36993" w:rsidRDefault="00B36993" w:rsidP="00F063AF">
            <w:pPr>
              <w:numPr>
                <w:ilvl w:val="0"/>
                <w:numId w:val="374"/>
              </w:numPr>
              <w:overflowPunct/>
              <w:autoSpaceDE/>
              <w:autoSpaceDN/>
              <w:adjustRightInd/>
              <w:spacing w:after="120"/>
              <w:textAlignment w:val="auto"/>
              <w:rPr>
                <w:szCs w:val="24"/>
              </w:rPr>
            </w:pPr>
            <w:r w:rsidRPr="00B36993">
              <w:rPr>
                <w:szCs w:val="24"/>
              </w:rPr>
              <w:t>must award at least one issue, and</w:t>
            </w:r>
          </w:p>
          <w:p w:rsidR="00B36993" w:rsidRPr="00B36993" w:rsidRDefault="00B36993" w:rsidP="00F063AF">
            <w:pPr>
              <w:numPr>
                <w:ilvl w:val="0"/>
                <w:numId w:val="374"/>
              </w:numPr>
              <w:overflowPunct/>
              <w:autoSpaceDE/>
              <w:autoSpaceDN/>
              <w:adjustRightInd/>
              <w:spacing w:after="120"/>
              <w:textAlignment w:val="auto"/>
              <w:rPr>
                <w:szCs w:val="24"/>
              </w:rPr>
            </w:pPr>
            <w:r w:rsidRPr="00B36993">
              <w:rPr>
                <w:szCs w:val="24"/>
              </w:rPr>
              <w:t>may deny one or more issues for which adequate evidence exists to decide the claim.</w:t>
            </w:r>
          </w:p>
          <w:p w:rsidR="00B36993" w:rsidRPr="00B36993" w:rsidRDefault="00B36993" w:rsidP="00B36993">
            <w:pPr>
              <w:spacing w:after="120"/>
              <w:ind w:left="351"/>
              <w:rPr>
                <w:szCs w:val="24"/>
              </w:rPr>
            </w:pPr>
            <w:r w:rsidRPr="00B36993">
              <w:rPr>
                <w:szCs w:val="24"/>
              </w:rPr>
              <w:t xml:space="preserve">Note:  Awarding at least one issue includes SC at a non-compensable level, even when the same issue requires its evaluation to be deferred. </w:t>
            </w:r>
          </w:p>
          <w:p w:rsidR="00B36993" w:rsidRPr="00B36993" w:rsidRDefault="00B36993" w:rsidP="00B36993">
            <w:pPr>
              <w:spacing w:after="120"/>
              <w:ind w:left="351"/>
              <w:rPr>
                <w:szCs w:val="24"/>
                <w:u w:val="single"/>
              </w:rPr>
            </w:pPr>
            <w:r w:rsidRPr="00B36993">
              <w:rPr>
                <w:szCs w:val="24"/>
                <w:u w:val="single"/>
              </w:rPr>
              <w:t>Improper Use of a Partial Rating Decision</w:t>
            </w:r>
          </w:p>
          <w:p w:rsidR="00B36993" w:rsidRPr="00B36993" w:rsidRDefault="00B36993" w:rsidP="00B36993">
            <w:pPr>
              <w:spacing w:after="120"/>
              <w:ind w:left="351"/>
              <w:rPr>
                <w:szCs w:val="24"/>
              </w:rPr>
            </w:pPr>
            <w:r w:rsidRPr="00B36993">
              <w:rPr>
                <w:b/>
                <w:bCs/>
                <w:szCs w:val="24"/>
              </w:rPr>
              <w:t>Do not</w:t>
            </w:r>
            <w:r w:rsidRPr="00B36993">
              <w:rPr>
                <w:szCs w:val="24"/>
              </w:rPr>
              <w:t xml:space="preserve"> use a partial rating decision to deny all other issues of a claim when resolution of another issue, including SC, is pending examination or receipt of other evidence.</w:t>
            </w:r>
          </w:p>
          <w:p w:rsidR="00B36993" w:rsidRPr="00B36993" w:rsidRDefault="00B36993" w:rsidP="00B36993">
            <w:pPr>
              <w:spacing w:after="120"/>
              <w:ind w:left="351"/>
              <w:rPr>
                <w:szCs w:val="24"/>
              </w:rPr>
            </w:pPr>
            <w:r w:rsidRPr="00B36993">
              <w:rPr>
                <w:szCs w:val="24"/>
              </w:rPr>
              <w:t>A confirmed and continued evaluation is considered a denial.  M21-1 III.v.2.A.3.a.</w:t>
            </w:r>
          </w:p>
          <w:p w:rsidR="00B36993" w:rsidRPr="00B36993" w:rsidRDefault="00B36993" w:rsidP="00B36993">
            <w:pPr>
              <w:spacing w:after="120"/>
              <w:ind w:left="351"/>
              <w:rPr>
                <w:szCs w:val="24"/>
              </w:rPr>
            </w:pPr>
            <w:r w:rsidRPr="00B36993">
              <w:rPr>
                <w:szCs w:val="24"/>
              </w:rPr>
              <w:t>Rating decisions completed in which all issues are denied while others are deferred violates the policy set forth in M21-1 III.iv.6.A.1.  QRT has been directed to cite such violation as a critical error under Task 6 (Was the denial of all issues correct) on the new RVSR Quality Checklist.</w:t>
            </w:r>
          </w:p>
        </w:tc>
      </w:tr>
    </w:tbl>
    <w:p w:rsidR="00013EB8" w:rsidRDefault="00013EB8">
      <w:pPr>
        <w:widowControl w:val="0"/>
        <w:tabs>
          <w:tab w:val="left" w:pos="0"/>
          <w:tab w:val="left" w:pos="144"/>
        </w:tabs>
        <w:rPr>
          <w:sz w:val="22"/>
        </w:rPr>
      </w:pPr>
    </w:p>
    <w:p w:rsidR="00013EB8" w:rsidRDefault="00013EB8">
      <w:pPr>
        <w:widowControl w:val="0"/>
        <w:pBdr>
          <w:top w:val="single" w:sz="4" w:space="1" w:color="auto"/>
        </w:pBdr>
        <w:tabs>
          <w:tab w:val="left" w:pos="0"/>
          <w:tab w:val="left" w:pos="144"/>
        </w:tabs>
        <w:rPr>
          <w:b/>
          <w:bCs/>
          <w:i/>
          <w:iCs/>
          <w:sz w:val="22"/>
        </w:rPr>
      </w:pPr>
    </w:p>
    <w:tbl>
      <w:tblPr>
        <w:tblW w:w="0" w:type="auto"/>
        <w:tblInd w:w="-45" w:type="dxa"/>
        <w:tblLayout w:type="fixed"/>
        <w:tblCellMar>
          <w:left w:w="30" w:type="dxa"/>
          <w:right w:w="30" w:type="dxa"/>
        </w:tblCellMar>
        <w:tblLook w:val="0000" w:firstRow="0" w:lastRow="0" w:firstColumn="0" w:lastColumn="0" w:noHBand="0" w:noVBand="0"/>
      </w:tblPr>
      <w:tblGrid>
        <w:gridCol w:w="684"/>
        <w:gridCol w:w="10011"/>
      </w:tblGrid>
      <w:tr w:rsidR="00013EB8" w:rsidTr="00B32B0D">
        <w:trPr>
          <w:trHeight w:val="240"/>
        </w:trPr>
        <w:tc>
          <w:tcPr>
            <w:tcW w:w="684" w:type="dxa"/>
            <w:tcBorders>
              <w:top w:val="nil"/>
              <w:left w:val="nil"/>
              <w:bottom w:val="nil"/>
              <w:right w:val="nil"/>
            </w:tcBorders>
          </w:tcPr>
          <w:p w:rsidR="00013EB8" w:rsidRDefault="00013EB8">
            <w:pPr>
              <w:widowControl w:val="0"/>
              <w:numPr>
                <w:ilvl w:val="12"/>
                <w:numId w:val="0"/>
              </w:numPr>
              <w:rPr>
                <w:b/>
              </w:rPr>
            </w:pPr>
            <w:r w:rsidRPr="00AE0E75">
              <w:rPr>
                <w:b/>
              </w:rPr>
              <w:t>4.28</w:t>
            </w:r>
          </w:p>
        </w:tc>
        <w:tc>
          <w:tcPr>
            <w:tcW w:w="10011" w:type="dxa"/>
            <w:tcBorders>
              <w:top w:val="nil"/>
              <w:left w:val="nil"/>
              <w:bottom w:val="nil"/>
              <w:right w:val="nil"/>
            </w:tcBorders>
          </w:tcPr>
          <w:p w:rsidR="00013EB8" w:rsidRDefault="00013EB8" w:rsidP="003859B5">
            <w:pPr>
              <w:widowControl w:val="0"/>
              <w:numPr>
                <w:ilvl w:val="12"/>
                <w:numId w:val="0"/>
              </w:numPr>
              <w:spacing w:after="120"/>
              <w:rPr>
                <w:b/>
                <w:bCs/>
                <w:i/>
              </w:rPr>
            </w:pPr>
            <w:r>
              <w:rPr>
                <w:b/>
              </w:rPr>
              <w:t xml:space="preserve">Prestabilization rating from date of discharge from service </w:t>
            </w:r>
            <w:r>
              <w:t xml:space="preserve">– </w:t>
            </w:r>
            <w:r w:rsidR="00937B10" w:rsidRPr="003859B5">
              <w:rPr>
                <w:b/>
                <w:bCs/>
              </w:rPr>
              <w:t>IV.ii.2.J</w:t>
            </w:r>
            <w:r w:rsidR="00DF49E1">
              <w:rPr>
                <w:rStyle w:val="id-mask"/>
              </w:rPr>
              <w:t>;</w:t>
            </w:r>
            <w:r>
              <w:rPr>
                <w:iCs/>
              </w:rPr>
              <w:t xml:space="preserve"> </w:t>
            </w:r>
            <w:r>
              <w:t xml:space="preserve">do not use if total rating is immediately assignable (including IU), or 50% if it is assignable, only for immediate postdischarge period, continues for 12 months minimum (unless can give real 100% or increase from 50%), exam in 6 months minimum, 12 months maximum; </w:t>
            </w:r>
            <w:r>
              <w:rPr>
                <w:i/>
              </w:rPr>
              <w:t>auto accidents, burns, etc.; consider Ch</w:t>
            </w:r>
            <w:r w:rsidR="00E74DD0">
              <w:rPr>
                <w:i/>
              </w:rPr>
              <w:t>.</w:t>
            </w:r>
            <w:r>
              <w:rPr>
                <w:i/>
              </w:rPr>
              <w:t xml:space="preserve"> 35 &amp; A&amp;A/HB with all 100% grants, including 4.28, 4.29 &amp; 4.30 (but do not infer to deny); </w:t>
            </w:r>
            <w:r w:rsidR="009359A0" w:rsidRPr="006F5847">
              <w:rPr>
                <w:b/>
                <w:i/>
              </w:rPr>
              <w:t>1/30/03 Legal Update B</w:t>
            </w:r>
            <w:r w:rsidR="006F5847">
              <w:rPr>
                <w:b/>
                <w:i/>
              </w:rPr>
              <w:t>roadcast</w:t>
            </w:r>
          </w:p>
        </w:tc>
      </w:tr>
      <w:tr w:rsidR="00013EB8" w:rsidTr="00B32B0D">
        <w:trPr>
          <w:trHeight w:val="225"/>
        </w:trPr>
        <w:tc>
          <w:tcPr>
            <w:tcW w:w="684" w:type="dxa"/>
            <w:tcBorders>
              <w:top w:val="nil"/>
              <w:left w:val="nil"/>
              <w:bottom w:val="nil"/>
              <w:right w:val="nil"/>
            </w:tcBorders>
          </w:tcPr>
          <w:p w:rsidR="00013EB8" w:rsidRDefault="00013EB8">
            <w:pPr>
              <w:widowControl w:val="0"/>
              <w:numPr>
                <w:ilvl w:val="12"/>
                <w:numId w:val="0"/>
              </w:numPr>
              <w:rPr>
                <w:b/>
              </w:rPr>
            </w:pPr>
            <w:r w:rsidRPr="00AE0E75">
              <w:rPr>
                <w:b/>
              </w:rPr>
              <w:t>4.29</w:t>
            </w:r>
          </w:p>
        </w:tc>
        <w:tc>
          <w:tcPr>
            <w:tcW w:w="10011" w:type="dxa"/>
            <w:tcBorders>
              <w:top w:val="nil"/>
              <w:left w:val="nil"/>
              <w:bottom w:val="nil"/>
              <w:right w:val="nil"/>
            </w:tcBorders>
          </w:tcPr>
          <w:p w:rsidR="00013EB8" w:rsidRDefault="00013EB8" w:rsidP="007F1619">
            <w:pPr>
              <w:widowControl w:val="0"/>
              <w:numPr>
                <w:ilvl w:val="12"/>
                <w:numId w:val="0"/>
              </w:numPr>
              <w:spacing w:after="120"/>
            </w:pPr>
            <w:r>
              <w:rPr>
                <w:b/>
              </w:rPr>
              <w:t xml:space="preserve">Ratings for service-connected disabilities requiring hospital treatment or observation </w:t>
            </w:r>
            <w:r>
              <w:t>–</w:t>
            </w:r>
          </w:p>
          <w:p w:rsidR="00937B10" w:rsidRPr="00937B10" w:rsidRDefault="00937B10" w:rsidP="00691877">
            <w:pPr>
              <w:widowControl w:val="0"/>
              <w:numPr>
                <w:ilvl w:val="0"/>
                <w:numId w:val="4"/>
              </w:numPr>
              <w:tabs>
                <w:tab w:val="clear" w:pos="720"/>
                <w:tab w:val="num" w:pos="360"/>
              </w:tabs>
              <w:spacing w:after="120"/>
              <w:ind w:left="360"/>
              <w:rPr>
                <w:i/>
              </w:rPr>
            </w:pPr>
            <w:r w:rsidRPr="003859B5">
              <w:rPr>
                <w:b/>
                <w:bCs/>
              </w:rPr>
              <w:t>IV.ii.2.J</w:t>
            </w:r>
          </w:p>
          <w:p w:rsidR="00013EB8" w:rsidRDefault="00013EB8" w:rsidP="00691877">
            <w:pPr>
              <w:widowControl w:val="0"/>
              <w:numPr>
                <w:ilvl w:val="0"/>
                <w:numId w:val="4"/>
              </w:numPr>
              <w:tabs>
                <w:tab w:val="clear" w:pos="720"/>
                <w:tab w:val="num" w:pos="360"/>
              </w:tabs>
              <w:spacing w:after="120"/>
              <w:ind w:left="360"/>
              <w:rPr>
                <w:i/>
              </w:rPr>
            </w:pPr>
            <w:r>
              <w:t>hospital treatment or observation (for the latter- at DVA expense) for more than 21 days</w:t>
            </w:r>
            <w:r w:rsidR="00FE547C">
              <w:t xml:space="preserve"> (cannot be 21 days exactly, has to be more than 21 days)</w:t>
            </w:r>
            <w:r>
              <w:t>, effective 1</w:t>
            </w:r>
            <w:r>
              <w:rPr>
                <w:vertAlign w:val="superscript"/>
              </w:rPr>
              <w:t>st</w:t>
            </w:r>
            <w:r>
              <w:t xml:space="preserve"> day of continuous hospitalization, terminated last day of month of discharge </w:t>
            </w:r>
            <w:r>
              <w:rPr>
                <w:sz w:val="18"/>
              </w:rPr>
              <w:t>(Per Ed Ortiz on 9/24/09 “the veteran has to be paid in full month and any changes or reduction in pay has to be made on the first day of each month” &amp; the effective date charts tend to support this:  We have assigned an evaluation of 20 percent from February 1, 2009, the first day of the month after discharge.</w:t>
            </w:r>
            <w:r>
              <w:rPr>
                <w:color w:val="0000FF"/>
                <w:sz w:val="18"/>
              </w:rPr>
              <w:t>)</w:t>
            </w:r>
            <w:r>
              <w:t xml:space="preserve">, can be extended for 1-3 months, sign by VSCM if more than 3 months extension, check with Director of C&amp;P Service if fewer than 21 days but need care on convalescence following discharge, check reg for restrictions on temporary releases, can still give real 100% if warranted; </w:t>
            </w:r>
            <w:r>
              <w:rPr>
                <w:i/>
              </w:rPr>
              <w:t>psych conds usually; consider Ch</w:t>
            </w:r>
            <w:r w:rsidR="00E74DD0">
              <w:rPr>
                <w:i/>
              </w:rPr>
              <w:t>.</w:t>
            </w:r>
            <w:r>
              <w:rPr>
                <w:i/>
              </w:rPr>
              <w:t xml:space="preserve"> 35 &amp; A&amp;A/HB with all 100% grants, including 4.28, 4.29 &amp; 4.30 (but do not infer to deny)</w:t>
            </w:r>
          </w:p>
          <w:p w:rsidR="00013EB8" w:rsidRDefault="00013EB8" w:rsidP="007F1619">
            <w:pPr>
              <w:widowControl w:val="0"/>
              <w:spacing w:after="120"/>
              <w:rPr>
                <w:i/>
                <w:iCs/>
              </w:rPr>
            </w:pPr>
            <w:r>
              <w:t>38 CFR 4.29 states that para 29 benefits "will be terminated effective the last day of the</w:t>
            </w:r>
            <w:r w:rsidR="00F96E36">
              <w:t xml:space="preserve"> month of hospital discharge.” </w:t>
            </w:r>
            <w:r>
              <w:rPr>
                <w:i/>
                <w:iCs/>
              </w:rPr>
              <w:t>So we use the 1</w:t>
            </w:r>
            <w:r>
              <w:rPr>
                <w:i/>
                <w:iCs/>
                <w:vertAlign w:val="superscript"/>
              </w:rPr>
              <w:t>st</w:t>
            </w:r>
            <w:r>
              <w:rPr>
                <w:i/>
                <w:iCs/>
              </w:rPr>
              <w:t xml:space="preserve"> of the following month as the effective date.</w:t>
            </w:r>
          </w:p>
          <w:p w:rsidR="00013EB8" w:rsidRDefault="00592635" w:rsidP="00F063AF">
            <w:pPr>
              <w:widowControl w:val="0"/>
              <w:numPr>
                <w:ilvl w:val="0"/>
                <w:numId w:val="99"/>
              </w:numPr>
              <w:tabs>
                <w:tab w:val="clear" w:pos="720"/>
                <w:tab w:val="num" w:pos="361"/>
              </w:tabs>
              <w:spacing w:after="120"/>
              <w:ind w:left="361"/>
              <w:rPr>
                <w:rFonts w:ascii="Verdana" w:hAnsi="Verdana"/>
              </w:rPr>
            </w:pPr>
            <w:r w:rsidRPr="00592635">
              <w:rPr>
                <w:b/>
                <w:color w:val="000000"/>
              </w:rPr>
              <w:t>IV.ii.2.J.2.a</w:t>
            </w:r>
            <w:r w:rsidRPr="00592635">
              <w:rPr>
                <w:color w:val="000000"/>
              </w:rPr>
              <w:t xml:space="preserve"> – </w:t>
            </w:r>
            <w:r w:rsidR="00906ADE">
              <w:rPr>
                <w:color w:val="000000"/>
              </w:rPr>
              <w:t>changed</w:t>
            </w:r>
            <w:r w:rsidR="007977F6">
              <w:rPr>
                <w:color w:val="000000"/>
              </w:rPr>
              <w:t xml:space="preserve"> 2/12/16</w:t>
            </w:r>
            <w:r w:rsidR="000D5145">
              <w:rPr>
                <w:color w:val="000000"/>
              </w:rPr>
              <w:t xml:space="preserve">, </w:t>
            </w:r>
            <w:r w:rsidRPr="00592635">
              <w:rPr>
                <w:color w:val="000000"/>
              </w:rPr>
              <w:t>must address competency for 100% for mental under 4.29</w:t>
            </w:r>
          </w:p>
        </w:tc>
      </w:tr>
      <w:tr w:rsidR="00013EB8" w:rsidTr="00B32B0D">
        <w:trPr>
          <w:trHeight w:val="240"/>
        </w:trPr>
        <w:tc>
          <w:tcPr>
            <w:tcW w:w="684" w:type="dxa"/>
            <w:tcBorders>
              <w:top w:val="nil"/>
              <w:left w:val="nil"/>
              <w:bottom w:val="nil"/>
              <w:right w:val="nil"/>
            </w:tcBorders>
          </w:tcPr>
          <w:p w:rsidR="00013EB8" w:rsidRDefault="00013EB8">
            <w:pPr>
              <w:widowControl w:val="0"/>
              <w:numPr>
                <w:ilvl w:val="12"/>
                <w:numId w:val="0"/>
              </w:numPr>
              <w:rPr>
                <w:b/>
              </w:rPr>
            </w:pPr>
            <w:r w:rsidRPr="00AE0E75">
              <w:rPr>
                <w:b/>
              </w:rPr>
              <w:t>4.30</w:t>
            </w:r>
          </w:p>
        </w:tc>
        <w:tc>
          <w:tcPr>
            <w:tcW w:w="10011" w:type="dxa"/>
            <w:tcBorders>
              <w:top w:val="nil"/>
              <w:left w:val="nil"/>
              <w:bottom w:val="nil"/>
              <w:right w:val="nil"/>
            </w:tcBorders>
          </w:tcPr>
          <w:p w:rsidR="006D45C7" w:rsidRDefault="00013EB8" w:rsidP="00922301">
            <w:pPr>
              <w:spacing w:after="120"/>
            </w:pPr>
            <w:r>
              <w:rPr>
                <w:b/>
              </w:rPr>
              <w:t xml:space="preserve">Convalescent ratings </w:t>
            </w:r>
            <w:r>
              <w:t>– surgery needing 1 month convalescence, surgery with severe postoperative residuals</w:t>
            </w:r>
            <w:r w:rsidR="002152D7">
              <w:t xml:space="preserve"> </w:t>
            </w:r>
            <w:r w:rsidR="002152D7" w:rsidRPr="00DE3FD7">
              <w:t>(</w:t>
            </w:r>
            <w:bookmarkStart w:id="104" w:name="_Hlk517435704"/>
            <w:r w:rsidR="002152D7" w:rsidRPr="00DE3FD7">
              <w:rPr>
                <w:b/>
              </w:rPr>
              <w:t>IV.ii.2.J.4.b</w:t>
            </w:r>
            <w:r w:rsidR="002152D7" w:rsidRPr="00DE3FD7">
              <w:t xml:space="preserve"> </w:t>
            </w:r>
            <w:bookmarkEnd w:id="104"/>
            <w:r w:rsidR="002152D7" w:rsidRPr="00DE3FD7">
              <w:t xml:space="preserve">says </w:t>
            </w:r>
            <w:r w:rsidR="00DE3FD7" w:rsidRPr="00DE3FD7">
              <w:t>severe postoperative residuals include incompletely healed surgical wounds, stumps of recent amputations, therapeutic immobilization of one major joint or more, application of a body cast, the necessity for house confinement, or the necessity for continued use of a wheelchair or crutches (regular weight-bearing prohibited))</w:t>
            </w:r>
            <w:r w:rsidRPr="00DE3FD7">
              <w:t>,</w:t>
            </w:r>
            <w:r>
              <w:t xml:space="preserve"> or casting of a major joint</w:t>
            </w:r>
            <w:r w:rsidR="00FE547C">
              <w:t xml:space="preserve"> (elbow, knee, ankle</w:t>
            </w:r>
            <w:r w:rsidR="00581CB6">
              <w:t>; necessary use of wheelchair or crutches (no weight-bearing)</w:t>
            </w:r>
            <w:r w:rsidR="00FE547C">
              <w:t>)</w:t>
            </w:r>
            <w:r>
              <w:t>, effective date of admission/treatment, for 1-3 months from 1</w:t>
            </w:r>
            <w:r>
              <w:rPr>
                <w:vertAlign w:val="superscript"/>
              </w:rPr>
              <w:t>st</w:t>
            </w:r>
            <w:r>
              <w:t xml:space="preserve"> day of month following discharge/release, can be extended for 1-3 months, sign by VSCM if more than 3 months extension (can</w:t>
            </w:r>
            <w:r w:rsidR="00885A00">
              <w:t xml:space="preserve"> be extended 1-6 months further)</w:t>
            </w:r>
          </w:p>
          <w:p w:rsidR="00E6740B" w:rsidRPr="00F96E36" w:rsidRDefault="006D45C7" w:rsidP="006D45C7">
            <w:pPr>
              <w:spacing w:after="120"/>
              <w:rPr>
                <w:iCs/>
              </w:rPr>
            </w:pPr>
            <w:r w:rsidRPr="006D45C7">
              <w:rPr>
                <w:b/>
                <w:u w:val="single"/>
              </w:rPr>
              <w:t>Termination of convalescence</w:t>
            </w:r>
            <w:r w:rsidRPr="006D45C7">
              <w:t xml:space="preserve"> for a veteran with a temporary total rating is the last day of the month in which convalescence ends, </w:t>
            </w:r>
            <w:r w:rsidRPr="006D45C7">
              <w:rPr>
                <w:i/>
              </w:rPr>
              <w:t>so</w:t>
            </w:r>
            <w:r w:rsidRPr="006D45C7">
              <w:t xml:space="preserve"> </w:t>
            </w:r>
            <w:r w:rsidR="00E6740B" w:rsidRPr="006D45C7">
              <w:rPr>
                <w:i/>
                <w:iCs/>
              </w:rPr>
              <w:t>we use the 1</w:t>
            </w:r>
            <w:r w:rsidR="00E6740B" w:rsidRPr="006D45C7">
              <w:rPr>
                <w:i/>
                <w:iCs/>
                <w:vertAlign w:val="superscript"/>
              </w:rPr>
              <w:t>st</w:t>
            </w:r>
            <w:r w:rsidR="00E6740B" w:rsidRPr="006D45C7">
              <w:rPr>
                <w:i/>
                <w:iCs/>
              </w:rPr>
              <w:t xml:space="preserve"> of the following month as the effective date.</w:t>
            </w:r>
            <w:r w:rsidR="00F96E36">
              <w:rPr>
                <w:iCs/>
              </w:rPr>
              <w:t xml:space="preserve"> </w:t>
            </w:r>
            <w:r w:rsidR="0039104F">
              <w:rPr>
                <w:iCs/>
              </w:rPr>
              <w:t>(</w:t>
            </w:r>
            <w:r w:rsidR="0039104F" w:rsidRPr="0039104F">
              <w:rPr>
                <w:i/>
                <w:iCs/>
                <w:color w:val="00B050"/>
              </w:rPr>
              <w:t xml:space="preserve">My Notes:  </w:t>
            </w:r>
            <w:r w:rsidR="0039104F" w:rsidRPr="0039104F">
              <w:rPr>
                <w:i/>
                <w:iCs/>
              </w:rPr>
              <w:t xml:space="preserve">The end date for 4.30 </w:t>
            </w:r>
            <w:r w:rsidR="00F96E36" w:rsidRPr="0039104F">
              <w:rPr>
                <w:i/>
                <w:iCs/>
              </w:rPr>
              <w:t xml:space="preserve">is not indicated anywhere in the regs or manual, </w:t>
            </w:r>
            <w:r w:rsidR="0039104F" w:rsidRPr="0039104F">
              <w:rPr>
                <w:i/>
                <w:iCs/>
              </w:rPr>
              <w:t>but is confirmed by the July 2018 Temp 100% &amp; Under-Evaluations Consistency Study.</w:t>
            </w:r>
            <w:r w:rsidR="0039104F">
              <w:rPr>
                <w:iCs/>
              </w:rPr>
              <w:t>)</w:t>
            </w:r>
          </w:p>
          <w:p w:rsidR="00013EB8" w:rsidRDefault="00937B10" w:rsidP="00333C92">
            <w:pPr>
              <w:widowControl w:val="0"/>
              <w:numPr>
                <w:ilvl w:val="0"/>
                <w:numId w:val="72"/>
              </w:numPr>
              <w:spacing w:after="120"/>
              <w:rPr>
                <w:i/>
              </w:rPr>
            </w:pPr>
            <w:r w:rsidRPr="003859B5">
              <w:rPr>
                <w:b/>
                <w:bCs/>
              </w:rPr>
              <w:t>IV.ii.2.J</w:t>
            </w:r>
            <w:r w:rsidR="00DF49E1">
              <w:rPr>
                <w:rStyle w:val="id-mask"/>
              </w:rPr>
              <w:t xml:space="preserve"> </w:t>
            </w:r>
            <w:r w:rsidR="00013EB8">
              <w:t>– an RVSR can grant up to six months without a 2</w:t>
            </w:r>
            <w:r w:rsidR="00013EB8">
              <w:rPr>
                <w:vertAlign w:val="superscript"/>
              </w:rPr>
              <w:t>nd</w:t>
            </w:r>
            <w:r w:rsidR="00013EB8">
              <w:t>/3</w:t>
            </w:r>
            <w:r w:rsidR="00013EB8">
              <w:rPr>
                <w:vertAlign w:val="superscript"/>
              </w:rPr>
              <w:t>rd</w:t>
            </w:r>
            <w:r w:rsidR="00013EB8">
              <w:t xml:space="preserve"> signature, but a VSCM signature is needed for an additional six months, for a total of 12 months (Coach needs to sign before VSCM); </w:t>
            </w:r>
            <w:bookmarkStart w:id="105" w:name="_Hlk517436887"/>
            <w:r w:rsidR="00013EB8">
              <w:t>[</w:t>
            </w:r>
            <w:bookmarkStart w:id="106" w:name="_Hlk517783910"/>
            <w:r w:rsidR="00013EB8">
              <w:rPr>
                <w:color w:val="0000FF"/>
              </w:rPr>
              <w:t>BVA decision, Citation Nr: 1015395, Decision Date: 04/28/10 says “</w:t>
            </w:r>
            <w:r w:rsidR="00013EB8">
              <w:rPr>
                <w:rStyle w:val="Emphasis"/>
                <w:i w:val="0"/>
                <w:iCs w:val="0"/>
                <w:color w:val="0000FF"/>
              </w:rPr>
              <w:t>However, the Board notes that extensions of periods of convalescence may not be authorized for longer than one year.  Therefore, the Veteran has been granted the maximum benefit permitted under 38 C.F.R. § 4.30.”</w:t>
            </w:r>
            <w:bookmarkEnd w:id="106"/>
            <w:r w:rsidR="00013EB8">
              <w:rPr>
                <w:rStyle w:val="Emphasis"/>
                <w:i w:val="0"/>
                <w:iCs w:val="0"/>
                <w:color w:val="0000FF"/>
              </w:rPr>
              <w:t>]</w:t>
            </w:r>
            <w:bookmarkEnd w:id="105"/>
            <w:r w:rsidR="00013EB8">
              <w:t xml:space="preserve">; examine prior to end of 100% period if cannot evaluate; </w:t>
            </w:r>
            <w:r w:rsidR="00013EB8">
              <w:rPr>
                <w:i/>
              </w:rPr>
              <w:t>see what MD says, usually until can put weight on a weight-bearing joint; consider Ch</w:t>
            </w:r>
            <w:r w:rsidR="00E74DD0">
              <w:rPr>
                <w:i/>
              </w:rPr>
              <w:t>.</w:t>
            </w:r>
            <w:r w:rsidR="00013EB8">
              <w:rPr>
                <w:i/>
              </w:rPr>
              <w:t xml:space="preserve"> 35 &amp; A&amp;A/HB with all 100% grants, including 4.28, 4.29 &amp; 4.30 (but do not infer to deny)</w:t>
            </w:r>
          </w:p>
          <w:p w:rsidR="00013EB8" w:rsidRDefault="00013EB8" w:rsidP="00F063AF">
            <w:pPr>
              <w:widowControl w:val="0"/>
              <w:numPr>
                <w:ilvl w:val="0"/>
                <w:numId w:val="171"/>
              </w:numPr>
              <w:tabs>
                <w:tab w:val="left" w:pos="351"/>
                <w:tab w:val="left" w:pos="9400"/>
              </w:tabs>
              <w:spacing w:after="120"/>
              <w:ind w:left="360"/>
              <w:rPr>
                <w:i/>
              </w:rPr>
            </w:pPr>
            <w:r>
              <w:rPr>
                <w:b/>
                <w:i/>
              </w:rPr>
              <w:t>Rossiello v. Principi</w:t>
            </w:r>
            <w:r>
              <w:rPr>
                <w:b/>
              </w:rPr>
              <w:t xml:space="preserve"> (11/4/92) </w:t>
            </w:r>
            <w:r>
              <w:t>- evaluations are based upon the level of disability after the temporary period of total evaluation [</w:t>
            </w:r>
            <w:r w:rsidRPr="00AE0E75">
              <w:rPr>
                <w:b/>
              </w:rPr>
              <w:t>3.105</w:t>
            </w:r>
            <w:r>
              <w:t>/due process not involved in 4.29 &amp; 4.30]</w:t>
            </w:r>
          </w:p>
          <w:p w:rsidR="00013EB8" w:rsidRDefault="00013EB8" w:rsidP="00F063AF">
            <w:pPr>
              <w:pStyle w:val="NormalWeb"/>
              <w:widowControl w:val="0"/>
              <w:numPr>
                <w:ilvl w:val="0"/>
                <w:numId w:val="171"/>
              </w:numPr>
              <w:ind w:left="360"/>
              <w:rPr>
                <w:rFonts w:eastAsia="Arial Unicode MS"/>
                <w:b/>
                <w:bCs/>
                <w:i/>
                <w:iCs/>
                <w:sz w:val="20"/>
              </w:rPr>
            </w:pPr>
            <w:r w:rsidRPr="002E2D9E">
              <w:rPr>
                <w:b/>
                <w:bCs/>
                <w:i/>
                <w:iCs/>
                <w:sz w:val="20"/>
                <w:szCs w:val="20"/>
              </w:rPr>
              <w:t xml:space="preserve">February 2009 </w:t>
            </w:r>
            <w:r w:rsidR="00EB6F0B" w:rsidRPr="002E2D9E">
              <w:rPr>
                <w:b/>
                <w:bCs/>
                <w:i/>
                <w:iCs/>
                <w:sz w:val="20"/>
                <w:szCs w:val="20"/>
              </w:rPr>
              <w:t>Compensation Service Bulletin (CSB)</w:t>
            </w:r>
          </w:p>
          <w:p w:rsidR="00013EB8" w:rsidRDefault="00013EB8" w:rsidP="007F1619">
            <w:pPr>
              <w:pStyle w:val="NormalWeb"/>
              <w:widowControl w:val="0"/>
              <w:ind w:left="351"/>
              <w:rPr>
                <w:sz w:val="20"/>
                <w:szCs w:val="20"/>
              </w:rPr>
            </w:pPr>
            <w:r>
              <w:rPr>
                <w:sz w:val="20"/>
                <w:szCs w:val="20"/>
              </w:rPr>
              <w:t xml:space="preserve">From Policy: Joint Replacements, Diagnostic Codes (DCs) 5051 to 5056: </w:t>
            </w:r>
          </w:p>
          <w:p w:rsidR="00013EB8" w:rsidRDefault="00013EB8" w:rsidP="007F1619">
            <w:pPr>
              <w:widowControl w:val="0"/>
              <w:spacing w:after="120"/>
              <w:ind w:left="351"/>
            </w:pPr>
            <w:r>
              <w:t xml:space="preserve">For purposes of entitlement to a schedular total evaluation for 12 months following one month of convalescence under § 4.30, a total joint replacement is necessary, except for the provision under DC 5054 for replacement of the hip joint, which specifically includes replacement of either the head of the femur or the acetabulum.  Partial joint replacement should be evaluated based on the facts found and any period of convalescence under § 4.30 based on the recommended convalescent period required for that veteran. </w:t>
            </w:r>
          </w:p>
          <w:p w:rsidR="00013EB8" w:rsidRDefault="00013EB8" w:rsidP="007F1619">
            <w:pPr>
              <w:widowControl w:val="0"/>
              <w:spacing w:after="120"/>
              <w:ind w:left="351"/>
            </w:pPr>
            <w:r>
              <w:t>The simple wording of the diagnostic code language is clear that the surgery required is prosthetic “replacement of the ______ joint” inserting which joint applies, and requires replacement of the total joint, not some part of it.  If that were not the case, there would have been no reason to make special provisions for one or the other parts of the hip joint.</w:t>
            </w:r>
          </w:p>
          <w:p w:rsidR="00013EB8" w:rsidRDefault="00013EB8" w:rsidP="007F1619">
            <w:pPr>
              <w:widowControl w:val="0"/>
              <w:tabs>
                <w:tab w:val="left" w:pos="351"/>
                <w:tab w:val="left" w:pos="9400"/>
              </w:tabs>
              <w:spacing w:after="120"/>
              <w:ind w:left="351"/>
            </w:pPr>
            <w:r>
              <w:t>Orthopedics has progressed exponentially since the advent of prosthetic joint replacements.  Surgical procedures called “joint replacements” can be as simple as the insertion of a prosthetic spacer in place of a meniscus.  Surgical procedures that involve only partial joint replacement generally do not warrant the 13 month temporary total evaluation.  Hence, the requirement to evaluate the residual disability following the convalescent period recommended by the medical provider.</w:t>
            </w:r>
          </w:p>
          <w:p w:rsidR="00455426" w:rsidRPr="00455426" w:rsidRDefault="00455426" w:rsidP="00455426">
            <w:pPr>
              <w:spacing w:after="120"/>
              <w:ind w:left="346"/>
            </w:pPr>
            <w:r w:rsidRPr="00455426">
              <w:t>[Per Rene Wilterding, PA-C at Loma Linda VAMC, March 2015, a bicondylar knee arthroplasty involves about 3/4ths of the knee joint. A unicondylar knee arthroplasty would only involve about half of the knee joint, but can also vary. The closest choice on the DBQ to the bicondylar knee arthroplasty is a total knee arthroplasty</w:t>
            </w:r>
            <w:r>
              <w:t xml:space="preserve">.] – </w:t>
            </w:r>
            <w:r w:rsidRPr="00455426">
              <w:rPr>
                <w:i/>
              </w:rPr>
              <w:t>see above for partial joint replacement</w:t>
            </w:r>
          </w:p>
          <w:p w:rsidR="00460B7E" w:rsidRPr="00460B7E" w:rsidRDefault="007B20E2" w:rsidP="00F063AF">
            <w:pPr>
              <w:pStyle w:val="Header"/>
              <w:widowControl w:val="0"/>
              <w:numPr>
                <w:ilvl w:val="0"/>
                <w:numId w:val="150"/>
              </w:numPr>
              <w:tabs>
                <w:tab w:val="clear" w:pos="4320"/>
                <w:tab w:val="clear" w:pos="8640"/>
                <w:tab w:val="left" w:pos="351"/>
                <w:tab w:val="left" w:pos="9400"/>
              </w:tabs>
              <w:spacing w:after="120"/>
              <w:rPr>
                <w:rFonts w:ascii="Times New Roman" w:hAnsi="Times New Roman"/>
                <w:sz w:val="24"/>
                <w:szCs w:val="24"/>
              </w:rPr>
            </w:pPr>
            <w:r w:rsidRPr="002E2D9E">
              <w:rPr>
                <w:b/>
                <w:i/>
              </w:rPr>
              <w:t xml:space="preserve">January 2014 </w:t>
            </w:r>
            <w:r w:rsidR="00EB6F0B" w:rsidRPr="002E2D9E">
              <w:rPr>
                <w:b/>
                <w:i/>
              </w:rPr>
              <w:t>Compensation Service Bulletin (CSB)</w:t>
            </w:r>
            <w:r w:rsidRPr="007B20E2">
              <w:t xml:space="preserve"> – </w:t>
            </w:r>
            <w:r w:rsidRPr="007B20E2">
              <w:rPr>
                <w:rFonts w:eastAsiaTheme="minorHAnsi"/>
              </w:rPr>
              <w:t>when evaluating joint replacements and the Veteran is hospitalized toward the end of the month and released at the beginning of the next month; the evaluation builder is generating the temporary 100% for a total of 14 months.  The evaluation builder is correct; therefore, QA will not cite benefit entitlement errors in this instance.  Decision makers should not override the evaluation builder in these instances to pay only the temporary 100% for 13 months, doing that would result in QA citing a benefit entitlement payment error.</w:t>
            </w:r>
          </w:p>
          <w:p w:rsidR="00460B7E" w:rsidRDefault="00460B7E" w:rsidP="00F063AF">
            <w:pPr>
              <w:pStyle w:val="Header"/>
              <w:widowControl w:val="0"/>
              <w:numPr>
                <w:ilvl w:val="0"/>
                <w:numId w:val="150"/>
              </w:numPr>
              <w:tabs>
                <w:tab w:val="clear" w:pos="4320"/>
                <w:tab w:val="clear" w:pos="8640"/>
                <w:tab w:val="left" w:pos="351"/>
                <w:tab w:val="left" w:pos="9400"/>
              </w:tabs>
              <w:spacing w:after="120"/>
            </w:pPr>
            <w:r w:rsidRPr="002E2D9E">
              <w:rPr>
                <w:b/>
                <w:i/>
              </w:rPr>
              <w:t xml:space="preserve">March 2014 </w:t>
            </w:r>
            <w:r w:rsidR="00EB6F0B" w:rsidRPr="002E2D9E">
              <w:rPr>
                <w:b/>
                <w:i/>
              </w:rPr>
              <w:t>Compensation Service Bulletin (CSB)</w:t>
            </w:r>
            <w:r w:rsidRPr="00460B7E">
              <w:t xml:space="preserve"> – Convalescent ratings may be granted or extended based solely on consideration of a work excuse from a medical provider, provided there’s a clear connection between the claimant’s inability to return to previous employment and the surgery or cast immobilization, and there is n</w:t>
            </w:r>
            <w:r w:rsidR="00C90897">
              <w:t xml:space="preserve">o contrary evidence of record. </w:t>
            </w:r>
            <w:r w:rsidRPr="00460B7E">
              <w:t>However, in determining whether or not to grant or extend Paragraph 30 benefits, the work excuse will be weighed as one piece of evidence for consideration if there is any contrary medical evidence in the record.</w:t>
            </w:r>
          </w:p>
          <w:p w:rsidR="00B32B0D" w:rsidRPr="00460B7E" w:rsidRDefault="00F46384" w:rsidP="00F063AF">
            <w:pPr>
              <w:pStyle w:val="Header"/>
              <w:widowControl w:val="0"/>
              <w:numPr>
                <w:ilvl w:val="0"/>
                <w:numId w:val="150"/>
              </w:numPr>
              <w:tabs>
                <w:tab w:val="clear" w:pos="4320"/>
                <w:tab w:val="clear" w:pos="8640"/>
                <w:tab w:val="left" w:pos="351"/>
                <w:tab w:val="left" w:pos="9400"/>
              </w:tabs>
              <w:spacing w:after="120"/>
            </w:pPr>
            <w:r>
              <w:t>…</w:t>
            </w:r>
          </w:p>
        </w:tc>
      </w:tr>
    </w:tbl>
    <w:p w:rsidR="00013EB8" w:rsidRDefault="00013EB8">
      <w:pPr>
        <w:widowControl w:val="0"/>
        <w:pBdr>
          <w:top w:val="single" w:sz="4" w:space="1" w:color="auto"/>
        </w:pBdr>
        <w:tabs>
          <w:tab w:val="left" w:pos="0"/>
          <w:tab w:val="left" w:pos="144"/>
        </w:tabs>
        <w:rPr>
          <w:b/>
          <w:bCs/>
          <w:i/>
          <w:iCs/>
          <w:sz w:val="22"/>
        </w:rPr>
      </w:pPr>
    </w:p>
    <w:p w:rsidR="00F43BB6" w:rsidRDefault="00F43BB6" w:rsidP="00971903">
      <w:pPr>
        <w:widowControl w:val="0"/>
        <w:numPr>
          <w:ilvl w:val="12"/>
          <w:numId w:val="0"/>
        </w:numPr>
        <w:pBdr>
          <w:top w:val="single" w:sz="4" w:space="1" w:color="auto"/>
        </w:pBdr>
        <w:tabs>
          <w:tab w:val="left" w:pos="0"/>
        </w:tabs>
        <w:jc w:val="center"/>
        <w:rPr>
          <w:b/>
          <w:bCs/>
          <w:i/>
          <w:iCs/>
          <w:sz w:val="22"/>
        </w:rPr>
      </w:pPr>
      <w:bookmarkStart w:id="107" w:name="ManualReorg"/>
      <w:r w:rsidRPr="00F43BB6">
        <w:rPr>
          <w:b/>
          <w:bCs/>
          <w:sz w:val="22"/>
        </w:rPr>
        <w:t xml:space="preserve">Reorganization of M21-1 III.iv.4, </w:t>
      </w:r>
      <w:r w:rsidRPr="00F43BB6">
        <w:rPr>
          <w:b/>
          <w:bCs/>
          <w:i/>
          <w:iCs/>
          <w:sz w:val="22"/>
        </w:rPr>
        <w:t>Rating Specific Disabilities</w:t>
      </w:r>
      <w:r>
        <w:rPr>
          <w:b/>
          <w:bCs/>
          <w:i/>
          <w:iCs/>
          <w:sz w:val="22"/>
        </w:rPr>
        <w:t>, starting 12/17</w:t>
      </w:r>
    </w:p>
    <w:bookmarkEnd w:id="107"/>
    <w:p w:rsidR="00F43BB6" w:rsidRPr="00F43BB6" w:rsidRDefault="00F43BB6" w:rsidP="00F43BB6">
      <w:pPr>
        <w:widowControl w:val="0"/>
        <w:numPr>
          <w:ilvl w:val="12"/>
          <w:numId w:val="0"/>
        </w:numPr>
        <w:pBdr>
          <w:top w:val="single" w:sz="4" w:space="1" w:color="auto"/>
        </w:pBdr>
        <w:tabs>
          <w:tab w:val="left" w:pos="0"/>
        </w:tabs>
        <w:rPr>
          <w:sz w:val="22"/>
        </w:rPr>
      </w:pPr>
    </w:p>
    <w:tbl>
      <w:tblPr>
        <w:tblW w:w="7160" w:type="dxa"/>
        <w:jc w:val="center"/>
        <w:tblCellMar>
          <w:left w:w="0" w:type="dxa"/>
          <w:right w:w="0" w:type="dxa"/>
        </w:tblCellMar>
        <w:tblLook w:val="0400" w:firstRow="0" w:lastRow="0" w:firstColumn="0" w:lastColumn="0" w:noHBand="0" w:noVBand="1"/>
      </w:tblPr>
      <w:tblGrid>
        <w:gridCol w:w="1137"/>
        <w:gridCol w:w="6023"/>
      </w:tblGrid>
      <w:tr w:rsidR="00F43BB6" w:rsidRPr="00F43BB6" w:rsidTr="00971903">
        <w:trPr>
          <w:trHeight w:val="409"/>
          <w:jc w:val="center"/>
        </w:trPr>
        <w:tc>
          <w:tcPr>
            <w:tcW w:w="1140" w:type="dxa"/>
            <w:tcBorders>
              <w:top w:val="single" w:sz="8" w:space="0" w:color="000000"/>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A</w:t>
            </w:r>
          </w:p>
        </w:tc>
        <w:tc>
          <w:tcPr>
            <w:tcW w:w="6040" w:type="dxa"/>
            <w:tcBorders>
              <w:top w:val="single" w:sz="8" w:space="0" w:color="000000"/>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Musculoskeletal System Part I</w:t>
            </w:r>
          </w:p>
        </w:tc>
      </w:tr>
      <w:tr w:rsidR="00F43BB6" w:rsidRPr="00F43BB6" w:rsidTr="00971903">
        <w:trPr>
          <w:trHeight w:val="433"/>
          <w:jc w:val="center"/>
        </w:trPr>
        <w:tc>
          <w:tcPr>
            <w:tcW w:w="11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B</w:t>
            </w:r>
          </w:p>
        </w:tc>
        <w:tc>
          <w:tcPr>
            <w:tcW w:w="60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Musculoskeletal System Part II</w:t>
            </w:r>
          </w:p>
        </w:tc>
      </w:tr>
      <w:tr w:rsidR="00F43BB6" w:rsidRPr="00F43BB6" w:rsidTr="00971903">
        <w:trPr>
          <w:trHeight w:val="433"/>
          <w:jc w:val="center"/>
        </w:trPr>
        <w:tc>
          <w:tcPr>
            <w:tcW w:w="11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C</w:t>
            </w:r>
          </w:p>
        </w:tc>
        <w:tc>
          <w:tcPr>
            <w:tcW w:w="60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Organs of Special Sense (including eyes)</w:t>
            </w:r>
          </w:p>
        </w:tc>
      </w:tr>
      <w:tr w:rsidR="00F43BB6" w:rsidRPr="00F43BB6" w:rsidTr="00971903">
        <w:trPr>
          <w:trHeight w:val="433"/>
          <w:jc w:val="center"/>
        </w:trPr>
        <w:tc>
          <w:tcPr>
            <w:tcW w:w="11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D</w:t>
            </w:r>
          </w:p>
        </w:tc>
        <w:tc>
          <w:tcPr>
            <w:tcW w:w="60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Impairment of Auditory Acuity</w:t>
            </w:r>
          </w:p>
        </w:tc>
      </w:tr>
      <w:tr w:rsidR="00F43BB6" w:rsidRPr="00F43BB6" w:rsidTr="00971903">
        <w:trPr>
          <w:trHeight w:val="636"/>
          <w:jc w:val="center"/>
        </w:trPr>
        <w:tc>
          <w:tcPr>
            <w:tcW w:w="11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E</w:t>
            </w:r>
          </w:p>
        </w:tc>
        <w:tc>
          <w:tcPr>
            <w:tcW w:w="60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Infectious Diseases, Immune Disorders, Nutritional Deficiencies</w:t>
            </w:r>
          </w:p>
        </w:tc>
      </w:tr>
      <w:tr w:rsidR="00F43BB6" w:rsidRPr="00F43BB6" w:rsidTr="00971903">
        <w:trPr>
          <w:trHeight w:val="433"/>
          <w:jc w:val="center"/>
        </w:trPr>
        <w:tc>
          <w:tcPr>
            <w:tcW w:w="11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F</w:t>
            </w:r>
          </w:p>
        </w:tc>
        <w:tc>
          <w:tcPr>
            <w:tcW w:w="60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Respiratory System</w:t>
            </w:r>
          </w:p>
        </w:tc>
      </w:tr>
      <w:tr w:rsidR="00F43BB6" w:rsidRPr="00F43BB6" w:rsidTr="00971903">
        <w:trPr>
          <w:trHeight w:val="433"/>
          <w:jc w:val="center"/>
        </w:trPr>
        <w:tc>
          <w:tcPr>
            <w:tcW w:w="11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G</w:t>
            </w:r>
          </w:p>
        </w:tc>
        <w:tc>
          <w:tcPr>
            <w:tcW w:w="60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Cardiovascular System</w:t>
            </w:r>
          </w:p>
        </w:tc>
      </w:tr>
      <w:tr w:rsidR="00F43BB6" w:rsidRPr="00F43BB6" w:rsidTr="00971903">
        <w:trPr>
          <w:trHeight w:val="433"/>
          <w:jc w:val="center"/>
        </w:trPr>
        <w:tc>
          <w:tcPr>
            <w:tcW w:w="11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H</w:t>
            </w:r>
          </w:p>
        </w:tc>
        <w:tc>
          <w:tcPr>
            <w:tcW w:w="60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Digestive System</w:t>
            </w:r>
          </w:p>
        </w:tc>
      </w:tr>
      <w:tr w:rsidR="00F43BB6" w:rsidRPr="00F43BB6" w:rsidTr="00971903">
        <w:trPr>
          <w:trHeight w:val="433"/>
          <w:jc w:val="center"/>
        </w:trPr>
        <w:tc>
          <w:tcPr>
            <w:tcW w:w="11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 xml:space="preserve">I </w:t>
            </w:r>
          </w:p>
        </w:tc>
        <w:tc>
          <w:tcPr>
            <w:tcW w:w="60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Genitourinary System</w:t>
            </w:r>
          </w:p>
        </w:tc>
      </w:tr>
      <w:tr w:rsidR="00F43BB6" w:rsidRPr="00F43BB6" w:rsidTr="00971903">
        <w:trPr>
          <w:trHeight w:val="433"/>
          <w:jc w:val="center"/>
        </w:trPr>
        <w:tc>
          <w:tcPr>
            <w:tcW w:w="11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J</w:t>
            </w:r>
          </w:p>
        </w:tc>
        <w:tc>
          <w:tcPr>
            <w:tcW w:w="60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Gynecological Conditions and Disorders of the Breast</w:t>
            </w:r>
          </w:p>
        </w:tc>
      </w:tr>
      <w:tr w:rsidR="00F43BB6" w:rsidRPr="00F43BB6" w:rsidTr="00971903">
        <w:trPr>
          <w:trHeight w:val="433"/>
          <w:jc w:val="center"/>
        </w:trPr>
        <w:tc>
          <w:tcPr>
            <w:tcW w:w="11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K</w:t>
            </w:r>
          </w:p>
        </w:tc>
        <w:tc>
          <w:tcPr>
            <w:tcW w:w="60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Hemic and Lymphatic Systems</w:t>
            </w:r>
          </w:p>
        </w:tc>
      </w:tr>
      <w:tr w:rsidR="00F43BB6" w:rsidRPr="00F43BB6" w:rsidTr="00971903">
        <w:trPr>
          <w:trHeight w:val="433"/>
          <w:jc w:val="center"/>
        </w:trPr>
        <w:tc>
          <w:tcPr>
            <w:tcW w:w="11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L</w:t>
            </w:r>
          </w:p>
        </w:tc>
        <w:tc>
          <w:tcPr>
            <w:tcW w:w="60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Skin</w:t>
            </w:r>
          </w:p>
        </w:tc>
      </w:tr>
      <w:tr w:rsidR="00F43BB6" w:rsidRPr="00F43BB6" w:rsidTr="00971903">
        <w:trPr>
          <w:trHeight w:val="433"/>
          <w:jc w:val="center"/>
        </w:trPr>
        <w:tc>
          <w:tcPr>
            <w:tcW w:w="11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M</w:t>
            </w:r>
          </w:p>
        </w:tc>
        <w:tc>
          <w:tcPr>
            <w:tcW w:w="6040" w:type="dxa"/>
            <w:tcBorders>
              <w:top w:val="nil"/>
              <w:left w:val="nil"/>
              <w:bottom w:val="nil"/>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The Endocrine System</w:t>
            </w:r>
          </w:p>
        </w:tc>
      </w:tr>
      <w:tr w:rsidR="00F43BB6" w:rsidRPr="00F43BB6" w:rsidTr="00971903">
        <w:trPr>
          <w:trHeight w:val="433"/>
          <w:jc w:val="center"/>
        </w:trPr>
        <w:tc>
          <w:tcPr>
            <w:tcW w:w="11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N</w:t>
            </w:r>
          </w:p>
        </w:tc>
        <w:tc>
          <w:tcPr>
            <w:tcW w:w="6040" w:type="dxa"/>
            <w:tcBorders>
              <w:top w:val="nil"/>
              <w:left w:val="nil"/>
              <w:bottom w:val="nil"/>
              <w:right w:val="nil"/>
            </w:tcBorders>
            <w:shd w:val="clear" w:color="auto" w:fill="auto"/>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Neurological Conditions and Convulsive Disorders</w:t>
            </w:r>
          </w:p>
        </w:tc>
      </w:tr>
      <w:tr w:rsidR="00F43BB6" w:rsidRPr="00F43BB6" w:rsidTr="00971903">
        <w:trPr>
          <w:jc w:val="center"/>
        </w:trPr>
        <w:tc>
          <w:tcPr>
            <w:tcW w:w="1140" w:type="dxa"/>
            <w:tcBorders>
              <w:top w:val="nil"/>
              <w:left w:val="nil"/>
              <w:bottom w:val="single" w:sz="8" w:space="0" w:color="000000"/>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O</w:t>
            </w:r>
          </w:p>
        </w:tc>
        <w:tc>
          <w:tcPr>
            <w:tcW w:w="6040" w:type="dxa"/>
            <w:tcBorders>
              <w:top w:val="nil"/>
              <w:left w:val="nil"/>
              <w:bottom w:val="single" w:sz="8" w:space="0" w:color="000000"/>
              <w:right w:val="nil"/>
            </w:tcBorders>
            <w:shd w:val="clear" w:color="auto" w:fill="E7E7E7"/>
            <w:tcMar>
              <w:top w:w="72" w:type="dxa"/>
              <w:left w:w="144" w:type="dxa"/>
              <w:bottom w:w="72" w:type="dxa"/>
              <w:right w:w="144" w:type="dxa"/>
            </w:tcMar>
            <w:hideMark/>
          </w:tcPr>
          <w:p w:rsidR="00954A49" w:rsidRPr="00F43BB6" w:rsidRDefault="00F43BB6" w:rsidP="00F43BB6">
            <w:pPr>
              <w:widowControl w:val="0"/>
              <w:numPr>
                <w:ilvl w:val="12"/>
                <w:numId w:val="0"/>
              </w:numPr>
              <w:pBdr>
                <w:top w:val="single" w:sz="4" w:space="1" w:color="auto"/>
              </w:pBdr>
              <w:tabs>
                <w:tab w:val="left" w:pos="0"/>
              </w:tabs>
              <w:rPr>
                <w:sz w:val="22"/>
              </w:rPr>
            </w:pPr>
            <w:r w:rsidRPr="00F43BB6">
              <w:rPr>
                <w:sz w:val="22"/>
              </w:rPr>
              <w:t>Mental Disorders</w:t>
            </w:r>
          </w:p>
        </w:tc>
      </w:tr>
    </w:tbl>
    <w:p w:rsidR="00F43BB6" w:rsidRDefault="00F43BB6">
      <w:pPr>
        <w:widowControl w:val="0"/>
        <w:numPr>
          <w:ilvl w:val="12"/>
          <w:numId w:val="0"/>
        </w:numPr>
        <w:pBdr>
          <w:top w:val="single" w:sz="4" w:space="1" w:color="auto"/>
        </w:pBdr>
        <w:tabs>
          <w:tab w:val="left" w:pos="0"/>
        </w:tabs>
        <w:rPr>
          <w:sz w:val="22"/>
        </w:rPr>
      </w:pPr>
    </w:p>
    <w:tbl>
      <w:tblPr>
        <w:tblW w:w="8800" w:type="dxa"/>
        <w:jc w:val="center"/>
        <w:tblLook w:val="04A0" w:firstRow="1" w:lastRow="0" w:firstColumn="1" w:lastColumn="0" w:noHBand="0" w:noVBand="1"/>
      </w:tblPr>
      <w:tblGrid>
        <w:gridCol w:w="4860"/>
        <w:gridCol w:w="1280"/>
        <w:gridCol w:w="1240"/>
        <w:gridCol w:w="1420"/>
      </w:tblGrid>
      <w:tr w:rsidR="00971903" w:rsidRPr="00971903" w:rsidTr="00971903">
        <w:trPr>
          <w:trHeight w:val="255"/>
          <w:jc w:val="center"/>
        </w:trPr>
        <w:tc>
          <w:tcPr>
            <w:tcW w:w="4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b/>
                <w:bCs/>
                <w:color w:val="000000"/>
              </w:rPr>
            </w:pPr>
            <w:r w:rsidRPr="00971903">
              <w:rPr>
                <w:b/>
                <w:bCs/>
                <w:color w:val="000000"/>
              </w:rPr>
              <w:t>Historical MR References for Body Systems</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b/>
                <w:bCs/>
                <w:color w:val="000000"/>
              </w:rPr>
            </w:pPr>
            <w:r w:rsidRPr="00971903">
              <w:rPr>
                <w:b/>
                <w:bCs/>
                <w:color w:val="000000"/>
              </w:rPr>
              <w:t xml:space="preserve">Old Section </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b/>
                <w:bCs/>
                <w:color w:val="000000"/>
              </w:rPr>
            </w:pPr>
            <w:r w:rsidRPr="00971903">
              <w:rPr>
                <w:b/>
                <w:bCs/>
                <w:color w:val="000000"/>
              </w:rPr>
              <w:t>Date Moved</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b/>
                <w:bCs/>
                <w:color w:val="000000"/>
              </w:rPr>
            </w:pPr>
            <w:r w:rsidRPr="00971903">
              <w:rPr>
                <w:b/>
                <w:bCs/>
                <w:color w:val="000000"/>
              </w:rPr>
              <w:t>New Section</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Musculoskeletal</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III.iv.4.A</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 </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III.iv.4.A</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 </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 </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 </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III.iv.4.B</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Organs of Special Sense Eyes</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III.iv.4.B</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2/2/18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 xml:space="preserve">III.iv.4.C </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Organs of Special Sense Audio</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III.iv.4.B</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2/2/18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III.iv.4.D</w:t>
            </w:r>
          </w:p>
        </w:tc>
      </w:tr>
      <w:tr w:rsidR="00971903" w:rsidRPr="00971903" w:rsidTr="00971903">
        <w:trPr>
          <w:trHeight w:val="510"/>
          <w:jc w:val="center"/>
        </w:trPr>
        <w:tc>
          <w:tcPr>
            <w:tcW w:w="4860" w:type="dxa"/>
            <w:tcBorders>
              <w:top w:val="nil"/>
              <w:left w:val="single" w:sz="4" w:space="0" w:color="auto"/>
              <w:bottom w:val="single" w:sz="4" w:space="0" w:color="auto"/>
              <w:right w:val="single" w:sz="4" w:space="0" w:color="auto"/>
            </w:tcBorders>
            <w:shd w:val="clear" w:color="auto" w:fill="auto"/>
            <w:vAlign w:val="center"/>
            <w:hideMark/>
          </w:tcPr>
          <w:p w:rsidR="00971903" w:rsidRPr="00971903" w:rsidRDefault="00971903" w:rsidP="00971903">
            <w:pPr>
              <w:overflowPunct/>
              <w:autoSpaceDE/>
              <w:autoSpaceDN/>
              <w:adjustRightInd/>
              <w:textAlignment w:val="auto"/>
              <w:rPr>
                <w:color w:val="000000"/>
              </w:rPr>
            </w:pPr>
            <w:r w:rsidRPr="00971903">
              <w:rPr>
                <w:color w:val="000000"/>
              </w:rPr>
              <w:t>Infectious Diseases, Immune Disorders, and Nutritional Deficiencies</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III.iv.4.C</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1/25/18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III.iv.4.E</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Respiratory</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III.iv.4.D</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1/31/18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III.iv.4.F</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Cardiovascular</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III.iv.4.E</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1/25/18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III.iv.4.G</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Digestive</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III.iv.4.I</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1/11/18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III.iv.4.H</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Other (Digestive/Hepatitis/GU/GYN/Hemic</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III.iv.4.I</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 </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III.iv.4.H; I; J; K</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Genitourinary</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III.iv.4.I</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1/11/18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III.iv.4.I</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Gynecological</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III.iv.4.I</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1/11/18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III.iv.4.J</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Hemic and Lymphatic</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III.iv.4.I</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1/11/18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III.iv.4.K</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Skin</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III.iv.4.J</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12/21/17</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III.iv.4.L</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Endocrine</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III.iv.4.F</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12/11/17</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III.iv.4.M</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Neuro</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III.iv.4.G</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1/24/18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III.iv.4.N</w:t>
            </w:r>
          </w:p>
        </w:tc>
      </w:tr>
      <w:tr w:rsidR="00971903" w:rsidRPr="00971903" w:rsidTr="00971903">
        <w:trPr>
          <w:trHeight w:val="255"/>
          <w:jc w:val="center"/>
        </w:trPr>
        <w:tc>
          <w:tcPr>
            <w:tcW w:w="4860" w:type="dxa"/>
            <w:tcBorders>
              <w:top w:val="nil"/>
              <w:left w:val="single" w:sz="4" w:space="0" w:color="auto"/>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textAlignment w:val="auto"/>
              <w:rPr>
                <w:color w:val="000000"/>
              </w:rPr>
            </w:pPr>
            <w:r w:rsidRPr="00971903">
              <w:rPr>
                <w:color w:val="000000"/>
              </w:rPr>
              <w:t>Mental Disorders</w:t>
            </w:r>
          </w:p>
        </w:tc>
        <w:tc>
          <w:tcPr>
            <w:tcW w:w="128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III.iv.4.H</w:t>
            </w:r>
          </w:p>
        </w:tc>
        <w:tc>
          <w:tcPr>
            <w:tcW w:w="124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1/4/18</w:t>
            </w:r>
          </w:p>
        </w:tc>
        <w:tc>
          <w:tcPr>
            <w:tcW w:w="1420" w:type="dxa"/>
            <w:tcBorders>
              <w:top w:val="nil"/>
              <w:left w:val="nil"/>
              <w:bottom w:val="single" w:sz="4" w:space="0" w:color="auto"/>
              <w:right w:val="single" w:sz="4" w:space="0" w:color="auto"/>
            </w:tcBorders>
            <w:shd w:val="clear" w:color="auto" w:fill="auto"/>
            <w:noWrap/>
            <w:vAlign w:val="center"/>
            <w:hideMark/>
          </w:tcPr>
          <w:p w:rsidR="00971903" w:rsidRPr="00971903" w:rsidRDefault="00971903" w:rsidP="00971903">
            <w:pPr>
              <w:overflowPunct/>
              <w:autoSpaceDE/>
              <w:autoSpaceDN/>
              <w:adjustRightInd/>
              <w:jc w:val="center"/>
              <w:textAlignment w:val="auto"/>
              <w:rPr>
                <w:color w:val="000000"/>
              </w:rPr>
            </w:pPr>
            <w:r w:rsidRPr="00971903">
              <w:rPr>
                <w:color w:val="000000"/>
              </w:rPr>
              <w:t>III.iv.4.O</w:t>
            </w:r>
          </w:p>
        </w:tc>
      </w:tr>
    </w:tbl>
    <w:p w:rsidR="005567F4" w:rsidRDefault="005567F4" w:rsidP="005567F4">
      <w:pPr>
        <w:widowControl w:val="0"/>
        <w:numPr>
          <w:ilvl w:val="12"/>
          <w:numId w:val="0"/>
        </w:numPr>
        <w:tabs>
          <w:tab w:val="left" w:pos="0"/>
        </w:tabs>
        <w:rPr>
          <w:sz w:val="22"/>
        </w:rPr>
      </w:pPr>
    </w:p>
    <w:p w:rsidR="005567F4" w:rsidRDefault="005567F4" w:rsidP="005567F4">
      <w:r>
        <w:br w:type="page"/>
      </w:r>
    </w:p>
    <w:p w:rsidR="00F43BB6" w:rsidRDefault="00F43BB6">
      <w:pPr>
        <w:widowControl w:val="0"/>
        <w:numPr>
          <w:ilvl w:val="12"/>
          <w:numId w:val="0"/>
        </w:numPr>
        <w:pBdr>
          <w:top w:val="single" w:sz="4" w:space="1" w:color="auto"/>
        </w:pBdr>
        <w:tabs>
          <w:tab w:val="left" w:pos="0"/>
        </w:tabs>
        <w:rPr>
          <w:sz w:val="22"/>
        </w:rPr>
      </w:pPr>
    </w:p>
    <w:tbl>
      <w:tblPr>
        <w:tblW w:w="10485" w:type="dxa"/>
        <w:tblInd w:w="-45" w:type="dxa"/>
        <w:tblLayout w:type="fixed"/>
        <w:tblCellMar>
          <w:left w:w="30" w:type="dxa"/>
          <w:right w:w="30" w:type="dxa"/>
        </w:tblCellMar>
        <w:tblLook w:val="0000" w:firstRow="0" w:lastRow="0" w:firstColumn="0" w:lastColumn="0" w:noHBand="0" w:noVBand="0"/>
      </w:tblPr>
      <w:tblGrid>
        <w:gridCol w:w="615"/>
        <w:gridCol w:w="9870"/>
      </w:tblGrid>
      <w:tr w:rsidR="00013EB8" w:rsidTr="000A206A">
        <w:trPr>
          <w:trHeight w:val="211"/>
        </w:trPr>
        <w:tc>
          <w:tcPr>
            <w:tcW w:w="10485" w:type="dxa"/>
            <w:gridSpan w:val="2"/>
            <w:tcBorders>
              <w:top w:val="nil"/>
              <w:left w:val="nil"/>
              <w:bottom w:val="nil"/>
              <w:right w:val="nil"/>
            </w:tcBorders>
          </w:tcPr>
          <w:p w:rsidR="00013EB8" w:rsidRDefault="00013EB8">
            <w:pPr>
              <w:widowControl w:val="0"/>
              <w:numPr>
                <w:ilvl w:val="12"/>
                <w:numId w:val="0"/>
              </w:numPr>
              <w:jc w:val="center"/>
              <w:rPr>
                <w:b/>
                <w:i/>
                <w:color w:val="FF0000"/>
              </w:rPr>
            </w:pPr>
            <w:bookmarkStart w:id="108" w:name="Part4Musculoskeletal"/>
            <w:r>
              <w:rPr>
                <w:b/>
                <w:color w:val="FF0000"/>
              </w:rPr>
              <w:t xml:space="preserve">4.40 - 4.73. </w:t>
            </w:r>
            <w:r>
              <w:rPr>
                <w:b/>
                <w:i/>
                <w:color w:val="FF0000"/>
              </w:rPr>
              <w:t>The Musculoskeletal System</w:t>
            </w:r>
          </w:p>
          <w:bookmarkEnd w:id="108"/>
          <w:p w:rsidR="005567F4" w:rsidRPr="00220DAA" w:rsidRDefault="005567F4" w:rsidP="005567F4">
            <w:pPr>
              <w:widowControl w:val="0"/>
              <w:rPr>
                <w:b/>
              </w:rPr>
            </w:pPr>
            <w:r w:rsidRPr="00220DAA">
              <w:rPr>
                <w:b/>
                <w:color w:val="000000"/>
              </w:rPr>
              <w:t>III.iv.4.A</w:t>
            </w:r>
          </w:p>
          <w:p w:rsidR="005567F4" w:rsidRPr="00220DAA" w:rsidRDefault="005567F4" w:rsidP="005567F4">
            <w:pPr>
              <w:widowControl w:val="0"/>
              <w:rPr>
                <w:b/>
                <w:bCs/>
                <w:i/>
                <w:iCs/>
                <w:sz w:val="22"/>
              </w:rPr>
            </w:pPr>
            <w:r w:rsidRPr="00220DAA">
              <w:rPr>
                <w:b/>
              </w:rPr>
              <w:t>III.iv.4.B</w:t>
            </w:r>
          </w:p>
          <w:p w:rsidR="005567F4" w:rsidRDefault="005567F4" w:rsidP="005567F4">
            <w:pPr>
              <w:widowControl w:val="0"/>
              <w:numPr>
                <w:ilvl w:val="12"/>
                <w:numId w:val="0"/>
              </w:numPr>
              <w:rPr>
                <w:b/>
                <w:color w:val="FF0000"/>
              </w:rPr>
            </w:pPr>
          </w:p>
        </w:tc>
      </w:tr>
      <w:tr w:rsidR="00013EB8" w:rsidTr="000A206A">
        <w:trPr>
          <w:trHeight w:val="205"/>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4.40</w:t>
            </w:r>
          </w:p>
        </w:tc>
        <w:tc>
          <w:tcPr>
            <w:tcW w:w="9870" w:type="dxa"/>
            <w:tcBorders>
              <w:top w:val="nil"/>
              <w:left w:val="nil"/>
              <w:bottom w:val="nil"/>
              <w:right w:val="nil"/>
            </w:tcBorders>
          </w:tcPr>
          <w:p w:rsidR="00013EB8" w:rsidRDefault="00013EB8">
            <w:pPr>
              <w:widowControl w:val="0"/>
              <w:numPr>
                <w:ilvl w:val="12"/>
                <w:numId w:val="0"/>
              </w:numPr>
              <w:spacing w:after="120"/>
              <w:rPr>
                <w:b/>
              </w:rPr>
            </w:pPr>
            <w:r>
              <w:rPr>
                <w:b/>
              </w:rPr>
              <w:t>Functional loss</w:t>
            </w:r>
            <w:r>
              <w:t xml:space="preserve"> –</w:t>
            </w:r>
            <w:r w:rsidR="00CA5CD0">
              <w:t xml:space="preserve"> </w:t>
            </w:r>
            <w:r w:rsidR="00CA5CD0" w:rsidRPr="00CA5CD0">
              <w:rPr>
                <w:b/>
              </w:rPr>
              <w:t>4.1, 4.2, 4.10, 4.45, 4.59</w:t>
            </w:r>
            <w:r w:rsidR="00CA5CD0">
              <w:t>;</w:t>
            </w:r>
            <w:r>
              <w:rPr>
                <w:b/>
              </w:rPr>
              <w:t xml:space="preserve"> </w:t>
            </w:r>
            <w:r>
              <w:rPr>
                <w:bCs/>
              </w:rPr>
              <w:t>“</w:t>
            </w:r>
            <w:r>
              <w:t>Disability of the musculoskeletal system is primarily the inability…to perform the normal working movements of the body with normal excursion, strength, speed, coordination and endurance.”  This can be due to missing joint structures, deformity, pain "supported by adequate pathology and evidenced by the visible behavior of the claimant undertaking the motion</w:t>
            </w:r>
            <w:r w:rsidR="001946CC">
              <w:t>,”</w:t>
            </w:r>
            <w:r>
              <w:t xml:space="preserve"> weakness, limitation of motion, pain with use, &amp; atrophy.  Exams need to “adequately portray the anatomical damage, and the functional loss, with respect to all these elements.” “a part which becomes painful on use must be regarded as seriously disabled,” w</w:t>
            </w:r>
            <w:r>
              <w:rPr>
                <w:i/>
              </w:rPr>
              <w:t>eakness is the same as pain is the same as limitation of use</w:t>
            </w:r>
          </w:p>
          <w:p w:rsidR="00002823" w:rsidRPr="00002823" w:rsidRDefault="009D6313" w:rsidP="00F063AF">
            <w:pPr>
              <w:widowControl w:val="0"/>
              <w:numPr>
                <w:ilvl w:val="0"/>
                <w:numId w:val="175"/>
              </w:numPr>
              <w:spacing w:after="120"/>
              <w:ind w:left="330"/>
              <w:rPr>
                <w:b/>
                <w:bCs/>
              </w:rPr>
            </w:pPr>
            <w:r>
              <w:rPr>
                <w:b/>
                <w:bCs/>
              </w:rPr>
              <w:t>III.iv.3.D</w:t>
            </w:r>
            <w:r w:rsidR="00F172C9">
              <w:rPr>
                <w:b/>
                <w:bCs/>
              </w:rPr>
              <w:t xml:space="preserve">, </w:t>
            </w:r>
            <w:r w:rsidR="00F172C9" w:rsidRPr="00193090">
              <w:rPr>
                <w:b/>
              </w:rPr>
              <w:t>III.iv.3.D.3</w:t>
            </w:r>
            <w:r w:rsidR="00002823">
              <w:rPr>
                <w:b/>
              </w:rPr>
              <w:t xml:space="preserve"> – </w:t>
            </w:r>
            <w:r w:rsidR="00002823" w:rsidRPr="00002823">
              <w:t>insufficient, clarification, inconsistent, inadequate</w:t>
            </w:r>
            <w:r w:rsidR="00002823">
              <w:t xml:space="preserve"> exams</w:t>
            </w:r>
            <w:r w:rsidR="00002823" w:rsidRPr="00002823">
              <w:t xml:space="preserve">, </w:t>
            </w:r>
            <w:r w:rsidR="00002823">
              <w:rPr>
                <w:b/>
                <w:bCs/>
              </w:rPr>
              <w:t xml:space="preserve">III.iv.3.D.4.g – </w:t>
            </w:r>
            <w:r w:rsidR="00002823" w:rsidRPr="00002823">
              <w:rPr>
                <w:bCs/>
              </w:rPr>
              <w:t>send back</w:t>
            </w:r>
            <w:r w:rsidR="00646C1D">
              <w:rPr>
                <w:bCs/>
              </w:rPr>
              <w:t xml:space="preserve"> musculoskeletal</w:t>
            </w:r>
            <w:r w:rsidR="00002823" w:rsidRPr="00002823">
              <w:rPr>
                <w:bCs/>
              </w:rPr>
              <w:t xml:space="preserve"> DBQs w/contradictory findings</w:t>
            </w:r>
          </w:p>
          <w:p w:rsidR="00682002" w:rsidRPr="008F5A6D" w:rsidRDefault="00682002" w:rsidP="00F063AF">
            <w:pPr>
              <w:widowControl w:val="0"/>
              <w:numPr>
                <w:ilvl w:val="0"/>
                <w:numId w:val="175"/>
              </w:numPr>
              <w:spacing w:after="120"/>
              <w:ind w:left="330"/>
              <w:rPr>
                <w:i/>
              </w:rPr>
            </w:pPr>
            <w:r w:rsidRPr="002E2D9E">
              <w:rPr>
                <w:b/>
                <w:i/>
              </w:rPr>
              <w:t>Deluca v. Brown</w:t>
            </w:r>
            <w:r>
              <w:rPr>
                <w:b/>
                <w:i/>
              </w:rPr>
              <w:t xml:space="preserve"> </w:t>
            </w:r>
            <w:r>
              <w:rPr>
                <w:bCs/>
              </w:rPr>
              <w:t>(12/22/95)</w:t>
            </w:r>
            <w:r>
              <w:t xml:space="preserve"> </w:t>
            </w:r>
            <w:r>
              <w:rPr>
                <w:i/>
              </w:rPr>
              <w:t>–</w:t>
            </w:r>
            <w:r>
              <w:rPr>
                <w:sz w:val="21"/>
                <w:szCs w:val="21"/>
              </w:rPr>
              <w:t xml:space="preserve"> </w:t>
            </w:r>
            <w:r w:rsidR="00152C27" w:rsidRPr="00152C27">
              <w:rPr>
                <w:b/>
              </w:rPr>
              <w:t>III.iv.4.A.1.b</w:t>
            </w:r>
            <w:r w:rsidR="00152C27">
              <w:t xml:space="preserve"> says “</w:t>
            </w:r>
            <w:r w:rsidRPr="00A279A0">
              <w:rPr>
                <w:szCs w:val="21"/>
              </w:rPr>
              <w:t>exams must assess the impact of pain on functional impairment including additional loss of motion due to pain</w:t>
            </w:r>
            <w:r w:rsidR="00152C27">
              <w:rPr>
                <w:szCs w:val="21"/>
              </w:rPr>
              <w:t>”</w:t>
            </w:r>
            <w:r w:rsidRPr="00682002">
              <w:t>;</w:t>
            </w:r>
            <w:r w:rsidRPr="00682002">
              <w:rPr>
                <w:i/>
              </w:rPr>
              <w:t xml:space="preserve"> </w:t>
            </w:r>
            <w:r w:rsidR="00152C27" w:rsidRPr="00152C27">
              <w:rPr>
                <w:b/>
              </w:rPr>
              <w:t>III.iv.4.A.1.c</w:t>
            </w:r>
            <w:r w:rsidR="00152C27">
              <w:t xml:space="preserve"> says “</w:t>
            </w:r>
            <w:r w:rsidR="001F132A" w:rsidRPr="001F132A">
              <w:t xml:space="preserve">the disability is evaluated based on most severe loss of motion due to pain or following repetitive motion testing. </w:t>
            </w:r>
            <w:r>
              <w:rPr>
                <w:rFonts w:ascii="Verdana" w:hAnsi="Verdana"/>
                <w:b/>
                <w:bCs/>
                <w:highlight w:val="green"/>
              </w:rPr>
              <w:t>DL1</w:t>
            </w:r>
          </w:p>
          <w:p w:rsidR="00682002" w:rsidRPr="001453C4" w:rsidRDefault="00682002" w:rsidP="00682002">
            <w:pPr>
              <w:widowControl w:val="0"/>
              <w:pBdr>
                <w:top w:val="double" w:sz="4" w:space="1" w:color="auto"/>
                <w:left w:val="double" w:sz="4" w:space="4" w:color="auto"/>
                <w:bottom w:val="double" w:sz="4" w:space="1" w:color="auto"/>
                <w:right w:val="double" w:sz="4" w:space="4" w:color="auto"/>
              </w:pBdr>
              <w:shd w:val="clear" w:color="auto" w:fill="FFC000"/>
              <w:tabs>
                <w:tab w:val="left" w:pos="420"/>
              </w:tabs>
              <w:spacing w:after="120"/>
              <w:ind w:left="150" w:right="240"/>
              <w:rPr>
                <w:i/>
              </w:rPr>
            </w:pPr>
            <w:r w:rsidRPr="001453C4">
              <w:rPr>
                <w:i/>
              </w:rPr>
              <w:t xml:space="preserve">Training documents are under “Applying Deluca” at </w:t>
            </w:r>
            <w:r w:rsidRPr="001453C4">
              <w:rPr>
                <w:b/>
                <w:i/>
              </w:rPr>
              <w:t>http://hvnc.gdit.com/lc/</w:t>
            </w:r>
          </w:p>
          <w:p w:rsidR="00152C27" w:rsidRDefault="00682002" w:rsidP="00F063AF">
            <w:pPr>
              <w:widowControl w:val="0"/>
              <w:numPr>
                <w:ilvl w:val="0"/>
                <w:numId w:val="175"/>
              </w:numPr>
              <w:spacing w:after="120"/>
              <w:ind w:left="330"/>
              <w:rPr>
                <w:b/>
                <w:bCs/>
              </w:rPr>
            </w:pPr>
            <w:r>
              <w:rPr>
                <w:b/>
                <w:i/>
              </w:rPr>
              <w:t xml:space="preserve">Floyd v. Brown </w:t>
            </w:r>
            <w:r w:rsidRPr="007744F2">
              <w:t>(4/17/96)</w:t>
            </w:r>
            <w:r>
              <w:t xml:space="preserve"> – adequacy of examinations</w:t>
            </w:r>
          </w:p>
          <w:p w:rsidR="00152C27" w:rsidRPr="00152C27" w:rsidRDefault="00682002" w:rsidP="00F063AF">
            <w:pPr>
              <w:widowControl w:val="0"/>
              <w:numPr>
                <w:ilvl w:val="0"/>
                <w:numId w:val="175"/>
              </w:numPr>
              <w:spacing w:after="120"/>
              <w:ind w:left="330"/>
              <w:rPr>
                <w:b/>
                <w:bCs/>
              </w:rPr>
            </w:pPr>
            <w:r w:rsidRPr="00152C27">
              <w:rPr>
                <w:b/>
                <w:i/>
                <w:iCs/>
              </w:rPr>
              <w:t>Mitchell v. Shinseki</w:t>
            </w:r>
            <w:r w:rsidRPr="00152C27">
              <w:rPr>
                <w:i/>
                <w:iCs/>
              </w:rPr>
              <w:t xml:space="preserve"> </w:t>
            </w:r>
            <w:r w:rsidRPr="00152C27">
              <w:rPr>
                <w:iCs/>
              </w:rPr>
              <w:t>(8/23/11) –</w:t>
            </w:r>
            <w:r w:rsidRPr="00152C27">
              <w:rPr>
                <w:i/>
                <w:iCs/>
              </w:rPr>
              <w:t xml:space="preserve"> </w:t>
            </w:r>
            <w:r w:rsidR="001F132A" w:rsidRPr="00152C27">
              <w:rPr>
                <w:iCs/>
              </w:rPr>
              <w:t>rei</w:t>
            </w:r>
            <w:r w:rsidRPr="00152C27">
              <w:rPr>
                <w:iCs/>
              </w:rPr>
              <w:t xml:space="preserve">terates DeLuca’s requirement that when pain is associated with movement, </w:t>
            </w:r>
            <w:r w:rsidRPr="00152C27">
              <w:rPr>
                <w:iCs/>
                <w:color w:val="000000"/>
              </w:rPr>
              <w:t>the medical examiner must be asked to express an opinion o</w:t>
            </w:r>
            <w:r w:rsidRPr="00152C27">
              <w:rPr>
                <w:iCs/>
              </w:rPr>
              <w:t>n</w:t>
            </w:r>
            <w:r w:rsidRPr="00152C27">
              <w:rPr>
                <w:iCs/>
                <w:color w:val="000000"/>
              </w:rPr>
              <w:t xml:space="preserve"> whether pain could significantly limit functional ability during flare-ups or when the </w:t>
            </w:r>
            <w:r w:rsidRPr="00152C27">
              <w:rPr>
                <w:iCs/>
              </w:rPr>
              <w:t>(joint)</w:t>
            </w:r>
            <w:r w:rsidRPr="00152C27">
              <w:rPr>
                <w:iCs/>
                <w:color w:val="000000"/>
              </w:rPr>
              <w:t xml:space="preserve"> is used repeatedly over a period of time. It states that </w:t>
            </w:r>
            <w:r w:rsidRPr="00001700">
              <w:t xml:space="preserve">when there is pain noted on range of motion, or a history of pain associated with flare-ups, the pain itself could limit function of that joint. Therefore, looking only at the loss of function associated with three repetitions of ROM in a person with pain on range of motion testing may not always be an accurate indication of loss of function </w:t>
            </w:r>
            <w:r w:rsidRPr="00152C27">
              <w:t xml:space="preserve">due to pain associated with repetitive use. </w:t>
            </w:r>
            <w:r w:rsidRPr="00152C27">
              <w:rPr>
                <w:i/>
              </w:rPr>
              <w:t xml:space="preserve">Need an opinion on functional loss (in degrees of loss) during real-life repetitive use (walking, stairs, etc.) and during flare-ups. </w:t>
            </w:r>
            <w:r w:rsidR="00152C27">
              <w:rPr>
                <w:b/>
              </w:rPr>
              <w:t>III.iv.4.A.1.d</w:t>
            </w:r>
            <w:r w:rsidR="00152C27">
              <w:t xml:space="preserve"> says “</w:t>
            </w:r>
            <w:r w:rsidR="00152C27" w:rsidRPr="00152C27">
              <w:t>When painful motion on repeated use over time or during a flare-up results in additional loss of ROM, then the condition should be evaluated based on the additional loss of ROM. ROM must be actually limited. Do not assign an evaluation for loss of ROM based on the point at which pain accompanies motion unless the pain actually causes reduced ROM on objective assessment.</w:t>
            </w:r>
            <w:r w:rsidR="00152C27">
              <w:t>”</w:t>
            </w:r>
          </w:p>
          <w:p w:rsidR="00682002" w:rsidRDefault="00682002" w:rsidP="00F063AF">
            <w:pPr>
              <w:widowControl w:val="0"/>
              <w:numPr>
                <w:ilvl w:val="0"/>
                <w:numId w:val="175"/>
              </w:numPr>
              <w:tabs>
                <w:tab w:val="left" w:pos="780"/>
              </w:tabs>
              <w:spacing w:after="120"/>
              <w:ind w:left="330"/>
              <w:rPr>
                <w:sz w:val="22"/>
              </w:rPr>
            </w:pPr>
            <w:r>
              <w:t xml:space="preserve">Per STAR Quality Conference Call February 23, 2012 and March 22, 2012 &amp; </w:t>
            </w:r>
            <w:hyperlink r:id="rId478" w:history="1">
              <w:r>
                <w:rPr>
                  <w:rStyle w:val="Hyperlink"/>
                  <w:b/>
                  <w:i/>
                </w:rPr>
                <w:t>QRT Bulletin March 2012</w:t>
              </w:r>
            </w:hyperlink>
            <w:r>
              <w:rPr>
                <w:bCs/>
                <w:iCs/>
              </w:rPr>
              <w:t xml:space="preserve"> </w:t>
            </w:r>
            <w:r>
              <w:t xml:space="preserve">– Do not check the PAIN box if the record only shows tenderness or pain upon palpation of the joint. </w:t>
            </w:r>
            <w:r w:rsidRPr="00F069E8">
              <w:rPr>
                <w:i/>
              </w:rPr>
              <w:t>[Confirmed by</w:t>
            </w:r>
            <w:r>
              <w:t xml:space="preserve"> </w:t>
            </w:r>
            <w:r w:rsidRPr="002E2D9E">
              <w:rPr>
                <w:b/>
                <w:i/>
                <w:iCs/>
              </w:rPr>
              <w:t>September 2013 Compensation Service Bulletin (CSB)</w:t>
            </w:r>
            <w:r>
              <w:rPr>
                <w:bCs/>
                <w:i/>
                <w:iCs/>
              </w:rPr>
              <w:t>]</w:t>
            </w:r>
          </w:p>
          <w:p w:rsidR="00682002" w:rsidRPr="00A4710D" w:rsidRDefault="00D571C5" w:rsidP="00F063AF">
            <w:pPr>
              <w:pStyle w:val="ListParagraph"/>
              <w:numPr>
                <w:ilvl w:val="0"/>
                <w:numId w:val="175"/>
              </w:numPr>
              <w:tabs>
                <w:tab w:val="left" w:pos="1230"/>
              </w:tabs>
              <w:spacing w:after="120" w:line="240" w:lineRule="auto"/>
              <w:ind w:left="330"/>
              <w:rPr>
                <w:rFonts w:ascii="Arial" w:hAnsi="Arial"/>
                <w:b/>
                <w:i/>
                <w:sz w:val="20"/>
                <w:szCs w:val="20"/>
              </w:rPr>
            </w:pPr>
            <w:hyperlink r:id="rId479" w:history="1">
              <w:r w:rsidR="00682002">
                <w:rPr>
                  <w:rStyle w:val="Hyperlink"/>
                  <w:rFonts w:ascii="Arial" w:hAnsi="Arial"/>
                  <w:b/>
                  <w:i/>
                  <w:sz w:val="20"/>
                  <w:szCs w:val="20"/>
                </w:rPr>
                <w:t>April 2014 Rating Quality Call Notes</w:t>
              </w:r>
            </w:hyperlink>
            <w:r w:rsidR="00682002" w:rsidRPr="008E0653">
              <w:rPr>
                <w:rFonts w:ascii="Arial" w:hAnsi="Arial"/>
                <w:sz w:val="20"/>
                <w:szCs w:val="20"/>
              </w:rPr>
              <w:t xml:space="preserve"> </w:t>
            </w:r>
            <w:r w:rsidR="00682002">
              <w:rPr>
                <w:rFonts w:ascii="Arial" w:hAnsi="Arial"/>
                <w:sz w:val="20"/>
                <w:szCs w:val="20"/>
              </w:rPr>
              <w:t>–</w:t>
            </w:r>
            <w:r w:rsidR="00682002" w:rsidRPr="008E0653">
              <w:rPr>
                <w:rFonts w:ascii="Arial" w:hAnsi="Arial"/>
                <w:sz w:val="20"/>
                <w:szCs w:val="20"/>
              </w:rPr>
              <w:t xml:space="preserve"> </w:t>
            </w:r>
          </w:p>
          <w:p w:rsidR="00682002" w:rsidRPr="00A4710D" w:rsidRDefault="00682002" w:rsidP="00682002">
            <w:pPr>
              <w:tabs>
                <w:tab w:val="left" w:pos="1230"/>
              </w:tabs>
              <w:spacing w:after="120"/>
              <w:ind w:left="330" w:right="150"/>
            </w:pPr>
            <w:r w:rsidRPr="00A4710D">
              <w:t xml:space="preserve">Q:  During a VA examination, the examiner notes a Veteran’s right knee joint has no pain on motion, no limited range of motion (LROM), and no pain or LROM on repetitive movement.  However, the examiner opines the Veteran has painful right knee motion during flare-ups, but there is no LROM during flare-ups.  An evaluation of 10 percent is assigned for the right knee based on pain during flare-ups using </w:t>
            </w:r>
            <w:r w:rsidRPr="002E2D9E">
              <w:rPr>
                <w:i/>
              </w:rPr>
              <w:t>Mitchell</w:t>
            </w:r>
            <w:r w:rsidRPr="00A4710D">
              <w:t xml:space="preserve"> and </w:t>
            </w:r>
            <w:r w:rsidRPr="002E2D9E">
              <w:t>38 CFR 4.59</w:t>
            </w:r>
            <w:r w:rsidRPr="00A4710D">
              <w:t>.  Is this rating action correct?</w:t>
            </w:r>
          </w:p>
          <w:p w:rsidR="00682002" w:rsidRPr="00A4710D" w:rsidRDefault="00682002" w:rsidP="00682002">
            <w:pPr>
              <w:tabs>
                <w:tab w:val="left" w:pos="1230"/>
              </w:tabs>
              <w:spacing w:after="120"/>
              <w:ind w:left="330" w:right="150"/>
            </w:pPr>
            <w:r w:rsidRPr="00A4710D">
              <w:t xml:space="preserve">A:  Policy Staff (211) advises the rating action in the scenario above is not correct.  A review of the </w:t>
            </w:r>
            <w:r w:rsidRPr="002E2D9E">
              <w:rPr>
                <w:i/>
              </w:rPr>
              <w:t>Mitchell</w:t>
            </w:r>
            <w:r w:rsidRPr="00A4710D">
              <w:t xml:space="preserve"> decision shows that pain on motion during the examination is the gateway to the </w:t>
            </w:r>
            <w:r w:rsidRPr="002E2D9E">
              <w:rPr>
                <w:i/>
              </w:rPr>
              <w:t>DeLuca</w:t>
            </w:r>
            <w:r w:rsidRPr="00A4710D">
              <w:t xml:space="preserve"> and </w:t>
            </w:r>
            <w:r w:rsidRPr="002E2D9E">
              <w:rPr>
                <w:i/>
              </w:rPr>
              <w:t>Mitchell</w:t>
            </w:r>
            <w:r w:rsidRPr="00A4710D">
              <w:t xml:space="preserve"> tests.  If no pain on motion is shown, to include the repetitive motion test, there is no need for the examiner to provide a </w:t>
            </w:r>
            <w:r w:rsidRPr="002E2D9E">
              <w:rPr>
                <w:i/>
              </w:rPr>
              <w:t>Mitchell</w:t>
            </w:r>
            <w:r w:rsidRPr="00A4710D">
              <w:t xml:space="preserve"> assessment.  Furthermore, </w:t>
            </w:r>
            <w:r w:rsidRPr="002E2D9E">
              <w:rPr>
                <w:i/>
              </w:rPr>
              <w:t>Mitchell</w:t>
            </w:r>
            <w:r w:rsidRPr="00A4710D">
              <w:t xml:space="preserve"> findings must be expressed in terms of additional loss of motion.</w:t>
            </w:r>
          </w:p>
          <w:p w:rsidR="00682002" w:rsidRPr="00A4710D" w:rsidRDefault="00682002" w:rsidP="00682002">
            <w:pPr>
              <w:tabs>
                <w:tab w:val="left" w:pos="1230"/>
              </w:tabs>
              <w:spacing w:after="120"/>
              <w:ind w:left="330" w:right="150"/>
            </w:pPr>
            <w:r w:rsidRPr="00A4710D">
              <w:t xml:space="preserve">In the </w:t>
            </w:r>
            <w:r w:rsidRPr="002E2D9E">
              <w:t>March 2013 CS Bulletin</w:t>
            </w:r>
            <w:r w:rsidRPr="00A4710D">
              <w:t xml:space="preserve">, Policy Staff (211) advised that flare-ups and repeated use over long periods should only be addressed when a </w:t>
            </w:r>
            <w:r w:rsidRPr="002E2D9E">
              <w:t>38 CFR 4.40</w:t>
            </w:r>
            <w:r w:rsidRPr="00A4710D">
              <w:t xml:space="preserve"> or </w:t>
            </w:r>
            <w:r w:rsidRPr="002E2D9E">
              <w:t>38 CFR 4.45</w:t>
            </w:r>
            <w:r w:rsidRPr="00A4710D">
              <w:t xml:space="preserve"> factor is shown on examination.</w:t>
            </w:r>
          </w:p>
          <w:p w:rsidR="00682002" w:rsidRPr="00A4710D" w:rsidRDefault="00682002" w:rsidP="00682002">
            <w:pPr>
              <w:tabs>
                <w:tab w:val="left" w:pos="1230"/>
                <w:tab w:val="left" w:pos="10050"/>
              </w:tabs>
              <w:spacing w:after="120"/>
              <w:ind w:left="330" w:right="240"/>
            </w:pPr>
            <w:r w:rsidRPr="00A4710D">
              <w:t xml:space="preserve">In the </w:t>
            </w:r>
            <w:r w:rsidRPr="002E2D9E">
              <w:rPr>
                <w:i/>
              </w:rPr>
              <w:t>Mitchell</w:t>
            </w:r>
            <w:r w:rsidRPr="00A4710D">
              <w:t xml:space="preserve"> decision, the Court indicated that in the context of examinations evaluating functional loss under diagnostic codes (DCs) based upon limitation of motion and when pain is associated with movement, </w:t>
            </w:r>
            <w:r w:rsidRPr="002E2D9E">
              <w:rPr>
                <w:i/>
              </w:rPr>
              <w:t>DeLuca v. Brown</w:t>
            </w:r>
            <w:r w:rsidRPr="002E2D9E">
              <w:t>, 8 Vet.App. 202 (1995)</w:t>
            </w:r>
            <w:r w:rsidRPr="00A4710D">
              <w:t xml:space="preserve">, requires examinations to comply with the requirements of </w:t>
            </w:r>
            <w:r w:rsidRPr="002E2D9E">
              <w:t>§ 4.40</w:t>
            </w:r>
            <w:r w:rsidRPr="00A4710D">
              <w:t>.  In such examinations, the examiner must express an opinion on whether pain could significantly limit functional ability during flare-ups or upon repeated use over a period of time.  Such determinations should, if feasible, be portrayed in terms of the degree of additional ROM loss due to pain on use or during flare-ups.</w:t>
            </w:r>
          </w:p>
          <w:p w:rsidR="00682002" w:rsidRDefault="00682002" w:rsidP="00682002">
            <w:pPr>
              <w:jc w:val="center"/>
              <w:rPr>
                <w:rFonts w:ascii="Verdana" w:hAnsi="Verdana"/>
                <w:b/>
                <w:i/>
                <w:sz w:val="18"/>
                <w:highlight w:val="cyan"/>
              </w:rPr>
            </w:pPr>
            <w:r w:rsidRPr="00E30C39">
              <w:rPr>
                <w:rFonts w:ascii="Verdana" w:hAnsi="Verdana"/>
                <w:b/>
                <w:i/>
                <w:sz w:val="18"/>
                <w:highlight w:val="cyan"/>
              </w:rPr>
              <w:t>**MITCHELL IS ONLY RELEVANT IF THERE IS PAIN</w:t>
            </w:r>
            <w:r>
              <w:rPr>
                <w:rFonts w:ascii="Verdana" w:hAnsi="Verdana"/>
                <w:b/>
                <w:i/>
                <w:sz w:val="18"/>
                <w:highlight w:val="cyan"/>
              </w:rPr>
              <w:t xml:space="preserve"> ON </w:t>
            </w:r>
            <w:r w:rsidRPr="00E30C39">
              <w:rPr>
                <w:rFonts w:ascii="Verdana" w:hAnsi="Verdana"/>
                <w:b/>
                <w:i/>
                <w:sz w:val="18"/>
                <w:highlight w:val="cyan"/>
              </w:rPr>
              <w:t>INITIAL ROM OR ON REPE</w:t>
            </w:r>
            <w:r>
              <w:rPr>
                <w:rFonts w:ascii="Verdana" w:hAnsi="Verdana"/>
                <w:b/>
                <w:i/>
                <w:sz w:val="18"/>
                <w:highlight w:val="cyan"/>
              </w:rPr>
              <w:t xml:space="preserve">TITION** </w:t>
            </w:r>
          </w:p>
          <w:p w:rsidR="00682002" w:rsidRDefault="00682002" w:rsidP="00682002">
            <w:pPr>
              <w:jc w:val="center"/>
              <w:rPr>
                <w:rFonts w:ascii="Verdana" w:hAnsi="Verdana"/>
                <w:b/>
                <w:i/>
                <w:sz w:val="18"/>
                <w:highlight w:val="cyan"/>
              </w:rPr>
            </w:pPr>
            <w:r>
              <w:rPr>
                <w:rFonts w:ascii="Verdana" w:hAnsi="Verdana"/>
                <w:b/>
                <w:i/>
                <w:sz w:val="18"/>
                <w:highlight w:val="cyan"/>
              </w:rPr>
              <w:t xml:space="preserve">(but pain during repeated use over time/flare-ups can be used to grant a compensable evaluation </w:t>
            </w:r>
          </w:p>
          <w:p w:rsidR="00682002" w:rsidRDefault="00682002" w:rsidP="00682002">
            <w:pPr>
              <w:spacing w:after="120"/>
              <w:jc w:val="center"/>
              <w:rPr>
                <w:rFonts w:ascii="Verdana" w:hAnsi="Verdana"/>
                <w:b/>
                <w:i/>
                <w:sz w:val="18"/>
              </w:rPr>
            </w:pPr>
            <w:r>
              <w:rPr>
                <w:rFonts w:ascii="Verdana" w:hAnsi="Verdana"/>
                <w:b/>
                <w:i/>
                <w:sz w:val="18"/>
                <w:highlight w:val="cyan"/>
              </w:rPr>
              <w:t>if it causes actual LOM to a compensable level)</w:t>
            </w:r>
          </w:p>
          <w:p w:rsidR="00682002" w:rsidRPr="008671C8" w:rsidRDefault="00682002" w:rsidP="00F063AF">
            <w:pPr>
              <w:pStyle w:val="ListParagraph"/>
              <w:numPr>
                <w:ilvl w:val="0"/>
                <w:numId w:val="175"/>
              </w:numPr>
              <w:spacing w:before="120" w:after="120" w:line="240" w:lineRule="auto"/>
              <w:ind w:left="418"/>
              <w:rPr>
                <w:i/>
                <w:highlight w:val="darkGray"/>
              </w:rPr>
            </w:pPr>
            <w:r w:rsidRPr="009E2F62">
              <w:rPr>
                <w:rFonts w:ascii="Arial" w:hAnsi="Arial"/>
                <w:b/>
                <w:sz w:val="20"/>
                <w:szCs w:val="20"/>
                <w:highlight w:val="darkGray"/>
              </w:rPr>
              <w:t>III.iv.4.A.1.g</w:t>
            </w:r>
            <w:r w:rsidRPr="009E2F62">
              <w:rPr>
                <w:rFonts w:ascii="Arial" w:hAnsi="Arial"/>
                <w:sz w:val="20"/>
                <w:szCs w:val="20"/>
                <w:highlight w:val="darkGray"/>
              </w:rPr>
              <w:t xml:space="preserve"> – “When pain results in additional functional loss during flare-ups or upon repeated use over a period of time, evaluate the joint based on the resulting LOM.”</w:t>
            </w:r>
            <w:r w:rsidRPr="009E2F62">
              <w:rPr>
                <w:rFonts w:ascii="Arial" w:hAnsi="Arial"/>
                <w:sz w:val="20"/>
                <w:szCs w:val="20"/>
              </w:rPr>
              <w:t xml:space="preserve"> </w:t>
            </w:r>
            <w:r w:rsidRPr="001874BF">
              <w:rPr>
                <w:rFonts w:ascii="Arial" w:hAnsi="Arial"/>
                <w:sz w:val="20"/>
                <w:szCs w:val="20"/>
              </w:rPr>
              <w:t>- removed as of 5/25/17</w:t>
            </w:r>
          </w:p>
          <w:p w:rsidR="00682002" w:rsidRPr="002A51A0" w:rsidRDefault="00682002" w:rsidP="00682002">
            <w:pPr>
              <w:spacing w:after="120"/>
              <w:ind w:left="418"/>
              <w:rPr>
                <w:i/>
              </w:rPr>
            </w:pPr>
            <w:r w:rsidRPr="002A51A0">
              <w:rPr>
                <w:i/>
              </w:rPr>
              <w:t>From Carlos Rosario 5/5/1</w:t>
            </w:r>
            <w:r>
              <w:rPr>
                <w:i/>
              </w:rPr>
              <w:t>5</w:t>
            </w:r>
            <w:r w:rsidRPr="002A51A0">
              <w:rPr>
                <w:i/>
              </w:rPr>
              <w:t xml:space="preserve"> –</w:t>
            </w:r>
          </w:p>
          <w:p w:rsidR="00682002" w:rsidRPr="00743F83" w:rsidRDefault="00682002" w:rsidP="00682002">
            <w:pPr>
              <w:spacing w:after="120"/>
              <w:ind w:left="418"/>
              <w:rPr>
                <w:rFonts w:ascii="Times New Roman" w:hAnsi="Times New Roman"/>
              </w:rPr>
            </w:pPr>
            <w:r w:rsidRPr="00743F83">
              <w:t>Subject:</w:t>
            </w:r>
            <w:r w:rsidRPr="00743F83">
              <w:rPr>
                <w:rFonts w:ascii="Times New Roman" w:hAnsi="Times New Roman"/>
              </w:rPr>
              <w:t xml:space="preserve"> </w:t>
            </w:r>
            <w:r>
              <w:rPr>
                <w:rFonts w:ascii="Times New Roman" w:hAnsi="Times New Roman"/>
              </w:rPr>
              <w:t xml:space="preserve"> </w:t>
            </w:r>
            <w:r w:rsidRPr="00743F83">
              <w:t>Mitchell and flare ups</w:t>
            </w:r>
          </w:p>
          <w:p w:rsidR="00682002" w:rsidRPr="00743F83" w:rsidRDefault="00682002" w:rsidP="00682002">
            <w:pPr>
              <w:spacing w:after="120"/>
              <w:ind w:left="418"/>
              <w:rPr>
                <w:rFonts w:ascii="Times New Roman" w:hAnsi="Times New Roman"/>
              </w:rPr>
            </w:pPr>
            <w:r w:rsidRPr="00743F83">
              <w:t>If during examination the veteran:</w:t>
            </w:r>
          </w:p>
          <w:p w:rsidR="00682002" w:rsidRPr="00743F83" w:rsidRDefault="00682002" w:rsidP="00682002">
            <w:pPr>
              <w:spacing w:after="120"/>
              <w:ind w:left="418"/>
              <w:rPr>
                <w:rFonts w:ascii="Times New Roman" w:hAnsi="Times New Roman"/>
              </w:rPr>
            </w:pPr>
            <w:r w:rsidRPr="00743F83">
              <w:t>1.     </w:t>
            </w:r>
            <w:r w:rsidRPr="00743F83">
              <w:rPr>
                <w:rFonts w:ascii="Times New Roman" w:hAnsi="Times New Roman"/>
              </w:rPr>
              <w:t xml:space="preserve"> </w:t>
            </w:r>
            <w:r w:rsidRPr="00743F83">
              <w:t>does not have pain on motion,</w:t>
            </w:r>
            <w:r w:rsidRPr="00743F83">
              <w:rPr>
                <w:rFonts w:ascii="Times New Roman" w:hAnsi="Times New Roman"/>
              </w:rPr>
              <w:t xml:space="preserve"> </w:t>
            </w:r>
            <w:r w:rsidRPr="00743F83">
              <w:t>or</w:t>
            </w:r>
            <w:r w:rsidRPr="00743F83">
              <w:rPr>
                <w:rFonts w:ascii="Times New Roman" w:hAnsi="Times New Roman"/>
              </w:rPr>
              <w:t xml:space="preserve"> </w:t>
            </w:r>
            <w:r w:rsidRPr="00743F83">
              <w:t>limited range of motion;</w:t>
            </w:r>
            <w:r w:rsidRPr="00743F83">
              <w:rPr>
                <w:rFonts w:ascii="Times New Roman" w:hAnsi="Times New Roman"/>
              </w:rPr>
              <w:t xml:space="preserve"> </w:t>
            </w:r>
            <w:r>
              <w:rPr>
                <w:rFonts w:ascii="Times New Roman" w:hAnsi="Times New Roman"/>
              </w:rPr>
              <w:t xml:space="preserve"> </w:t>
            </w:r>
            <w:r w:rsidRPr="00743F83">
              <w:t>and</w:t>
            </w:r>
          </w:p>
          <w:p w:rsidR="00682002" w:rsidRPr="00743F83" w:rsidRDefault="00682002" w:rsidP="00682002">
            <w:pPr>
              <w:spacing w:after="120"/>
              <w:ind w:left="418"/>
              <w:rPr>
                <w:rFonts w:ascii="Times New Roman" w:hAnsi="Times New Roman"/>
              </w:rPr>
            </w:pPr>
            <w:r w:rsidRPr="00743F83">
              <w:t>2.     </w:t>
            </w:r>
            <w:r w:rsidRPr="00743F83">
              <w:rPr>
                <w:rFonts w:ascii="Times New Roman" w:hAnsi="Times New Roman"/>
              </w:rPr>
              <w:t xml:space="preserve"> </w:t>
            </w:r>
            <w:r w:rsidRPr="00743F83">
              <w:t>during repetitive motion</w:t>
            </w:r>
            <w:r w:rsidRPr="00743F83">
              <w:rPr>
                <w:rFonts w:ascii="Times New Roman" w:hAnsi="Times New Roman"/>
              </w:rPr>
              <w:t xml:space="preserve"> </w:t>
            </w:r>
            <w:r w:rsidRPr="00743F83">
              <w:t>the veteran does not have</w:t>
            </w:r>
            <w:r w:rsidRPr="00743F83">
              <w:rPr>
                <w:rFonts w:ascii="Times New Roman" w:hAnsi="Times New Roman"/>
              </w:rPr>
              <w:t xml:space="preserve"> </w:t>
            </w:r>
            <w:r w:rsidRPr="00743F83">
              <w:t>pain on motion or</w:t>
            </w:r>
            <w:r w:rsidRPr="00743F83">
              <w:rPr>
                <w:rFonts w:ascii="Times New Roman" w:hAnsi="Times New Roman"/>
              </w:rPr>
              <w:t xml:space="preserve"> </w:t>
            </w:r>
            <w:r w:rsidRPr="00743F83">
              <w:t>limitation of motion;</w:t>
            </w:r>
            <w:r w:rsidRPr="00743F83">
              <w:rPr>
                <w:rFonts w:ascii="Times New Roman" w:hAnsi="Times New Roman"/>
              </w:rPr>
              <w:t xml:space="preserve"> </w:t>
            </w:r>
            <w:r>
              <w:rPr>
                <w:rFonts w:ascii="Times New Roman" w:hAnsi="Times New Roman"/>
              </w:rPr>
              <w:t xml:space="preserve"> </w:t>
            </w:r>
            <w:r w:rsidRPr="00743F83">
              <w:t>and</w:t>
            </w:r>
          </w:p>
          <w:p w:rsidR="00682002" w:rsidRPr="00743F83" w:rsidRDefault="00682002" w:rsidP="00682002">
            <w:pPr>
              <w:spacing w:after="120"/>
              <w:ind w:left="418"/>
              <w:rPr>
                <w:rFonts w:ascii="Times New Roman" w:hAnsi="Times New Roman"/>
              </w:rPr>
            </w:pPr>
            <w:r w:rsidRPr="00743F83">
              <w:t>3.     </w:t>
            </w:r>
            <w:r w:rsidRPr="00743F83">
              <w:rPr>
                <w:rFonts w:ascii="Times New Roman" w:hAnsi="Times New Roman"/>
              </w:rPr>
              <w:t xml:space="preserve"> </w:t>
            </w:r>
            <w:r w:rsidRPr="00743F83">
              <w:t>the examiner opines the veteran has</w:t>
            </w:r>
            <w:r w:rsidRPr="00743F83">
              <w:rPr>
                <w:rFonts w:ascii="Times New Roman" w:hAnsi="Times New Roman"/>
              </w:rPr>
              <w:t xml:space="preserve"> </w:t>
            </w:r>
            <w:r w:rsidRPr="00743F83">
              <w:t>painful motion during flare-but no additional limitation of motion during flare ups; limitation of motion cannot be estimated</w:t>
            </w:r>
          </w:p>
          <w:p w:rsidR="00682002" w:rsidRPr="00743F83" w:rsidRDefault="00682002" w:rsidP="00682002">
            <w:pPr>
              <w:spacing w:after="120"/>
              <w:ind w:left="418"/>
              <w:rPr>
                <w:rFonts w:ascii="Times New Roman" w:hAnsi="Times New Roman"/>
              </w:rPr>
            </w:pPr>
            <w:r w:rsidRPr="00743F83">
              <w:t>Then,</w:t>
            </w:r>
            <w:r>
              <w:t xml:space="preserve"> </w:t>
            </w:r>
          </w:p>
          <w:p w:rsidR="00682002" w:rsidRDefault="00682002" w:rsidP="00682002">
            <w:pPr>
              <w:spacing w:after="120"/>
              <w:ind w:left="418"/>
            </w:pPr>
            <w:r w:rsidRPr="00743F83">
              <w:rPr>
                <w:rFonts w:ascii="Times New Roman" w:hAnsi="Times New Roman"/>
              </w:rPr>
              <w:t xml:space="preserve">        </w:t>
            </w:r>
            <w:r w:rsidRPr="00743F83">
              <w:t>A compensable evaluation is not warranted. Mitchel</w:t>
            </w:r>
            <w:r>
              <w:t>l</w:t>
            </w:r>
            <w:r w:rsidRPr="00743F83">
              <w:t xml:space="preserve"> findings must be expressed in terms of additional degree loss of motion.</w:t>
            </w:r>
          </w:p>
          <w:p w:rsidR="00682002" w:rsidRPr="00917D5D" w:rsidRDefault="00682002" w:rsidP="00682002">
            <w:pPr>
              <w:spacing w:after="120"/>
              <w:ind w:left="418"/>
              <w:rPr>
                <w:color w:val="1F497D"/>
              </w:rPr>
            </w:pPr>
            <w:r w:rsidRPr="00917D5D">
              <w:t>Carlos also said</w:t>
            </w:r>
            <w:r>
              <w:t>,</w:t>
            </w:r>
            <w:r w:rsidRPr="00917D5D">
              <w:t xml:space="preserve"> with Mitchell:  </w:t>
            </w:r>
            <w:r w:rsidRPr="00917D5D">
              <w:rPr>
                <w:color w:val="1F497D"/>
              </w:rPr>
              <w:t>we cannot compensate using 4.59 it would have to be a schedular evaluation. For example if during flare ups there is a 5 degree loss during flexion and extension due to pain it is a 0% evaluation using the Mitchel criteria. But if there was an additional loss of 10 degrees during flexion and extension because of pain, the extension would be compensable because it is a schedular 10%.</w:t>
            </w:r>
          </w:p>
          <w:p w:rsidR="00682002" w:rsidRPr="00917D5D" w:rsidRDefault="00682002" w:rsidP="00682002">
            <w:pPr>
              <w:pBdr>
                <w:top w:val="single" w:sz="4" w:space="1" w:color="auto"/>
                <w:left w:val="single" w:sz="4" w:space="4" w:color="auto"/>
                <w:bottom w:val="single" w:sz="4" w:space="1" w:color="auto"/>
                <w:right w:val="single" w:sz="4" w:space="4" w:color="auto"/>
              </w:pBdr>
              <w:tabs>
                <w:tab w:val="left" w:pos="720"/>
              </w:tabs>
              <w:spacing w:after="120"/>
              <w:ind w:left="420" w:right="420"/>
            </w:pPr>
            <w:r w:rsidRPr="00917D5D">
              <w:t>Rating Note:  Although the VA examiner indicated that pain causes functional loss with</w:t>
            </w:r>
            <w:r>
              <w:t xml:space="preserve"> {flare ups/</w:t>
            </w:r>
            <w:r w:rsidRPr="00917D5D">
              <w:t>repeated use over time</w:t>
            </w:r>
            <w:r>
              <w:t>}</w:t>
            </w:r>
            <w:r w:rsidRPr="00917D5D">
              <w:t xml:space="preserve"> for the </w:t>
            </w:r>
            <w:r>
              <w:t>{enter joint}</w:t>
            </w:r>
            <w:r w:rsidRPr="00917D5D">
              <w:t xml:space="preserve">, </w:t>
            </w:r>
            <w:r>
              <w:t>there is no limitation of motion to a compensable level</w:t>
            </w:r>
            <w:r w:rsidRPr="00917D5D">
              <w:t xml:space="preserve"> and Mitchell cannot be used to apply 4.59, so a compensable evaluation is not warranted. Ref: April and November 2014 Rating </w:t>
            </w:r>
            <w:r>
              <w:t>Quality Call Notes</w:t>
            </w:r>
            <w:r w:rsidRPr="00917D5D">
              <w:t>.</w:t>
            </w:r>
            <w:r>
              <w:t xml:space="preserve"> – CHECK SUBJECTIVE COMPLAINTS OF PAINFUL MOTION, will need to address that too, if can’t grant compensable evaluation</w:t>
            </w:r>
          </w:p>
          <w:p w:rsidR="00682002" w:rsidRPr="00512661" w:rsidRDefault="00682002" w:rsidP="00F063AF">
            <w:pPr>
              <w:pStyle w:val="ListParagraph"/>
              <w:numPr>
                <w:ilvl w:val="0"/>
                <w:numId w:val="175"/>
              </w:numPr>
              <w:spacing w:before="120" w:after="120" w:line="240" w:lineRule="auto"/>
              <w:ind w:left="418"/>
              <w:rPr>
                <w:rFonts w:ascii="Arial" w:hAnsi="Arial"/>
                <w:sz w:val="20"/>
                <w:szCs w:val="20"/>
              </w:rPr>
            </w:pPr>
            <w:r w:rsidRPr="00BC5DE1">
              <w:rPr>
                <w:rFonts w:ascii="Arial" w:hAnsi="Arial"/>
                <w:sz w:val="20"/>
                <w:szCs w:val="20"/>
              </w:rPr>
              <w:t>Per Melvin Moore, 7/11/16, “for muscular skeleton joint conditions, if the initial ROM and observed repeated ROM are normal with no pain, a compensable evaluation can only be awarded due to functional loss that is shown with the Mitchell consideration and flare-ups if there is pain that causes functional loss and the functional loss results in and is reported via degrees in ROM.”</w:t>
            </w:r>
          </w:p>
          <w:p w:rsidR="00682002" w:rsidRPr="009F7053" w:rsidRDefault="00682002" w:rsidP="00682002">
            <w:pPr>
              <w:rPr>
                <w:rFonts w:ascii="Calibri" w:hAnsi="Calibri"/>
                <w:b/>
                <w:u w:val="single"/>
              </w:rPr>
            </w:pPr>
            <w:r w:rsidRPr="009F7053">
              <w:rPr>
                <w:rFonts w:ascii="Calibri" w:hAnsi="Calibri"/>
                <w:b/>
                <w:u w:val="single"/>
              </w:rPr>
              <w:t>DBQ</w:t>
            </w:r>
            <w:r>
              <w:rPr>
                <w:rFonts w:ascii="Calibri" w:hAnsi="Calibri"/>
                <w:b/>
                <w:u w:val="single"/>
              </w:rPr>
              <w:t xml:space="preserve"> result</w:t>
            </w:r>
            <w:r w:rsidRPr="009F7053">
              <w:rPr>
                <w:rFonts w:ascii="Calibri" w:hAnsi="Calibri"/>
                <w:b/>
                <w:u w:val="single"/>
              </w:rPr>
              <w:t>s –</w:t>
            </w:r>
            <w:r>
              <w:rPr>
                <w:rFonts w:ascii="Calibri" w:hAnsi="Calibri"/>
                <w:b/>
                <w:u w:val="single"/>
              </w:rPr>
              <w:t>&gt;</w:t>
            </w:r>
            <w:r w:rsidRPr="009F7053">
              <w:rPr>
                <w:rFonts w:ascii="Calibri" w:hAnsi="Calibri"/>
                <w:b/>
                <w:u w:val="single"/>
              </w:rPr>
              <w:t xml:space="preserve"> entries in EB</w:t>
            </w:r>
          </w:p>
          <w:p w:rsidR="00682002" w:rsidRPr="009F7053" w:rsidRDefault="00682002" w:rsidP="00F063AF">
            <w:pPr>
              <w:pStyle w:val="ListParagraph"/>
              <w:numPr>
                <w:ilvl w:val="0"/>
                <w:numId w:val="175"/>
              </w:numPr>
              <w:spacing w:after="0" w:line="240" w:lineRule="auto"/>
              <w:contextualSpacing/>
            </w:pPr>
            <w:r>
              <w:t xml:space="preserve">For </w:t>
            </w:r>
            <w:r w:rsidRPr="00590B90">
              <w:rPr>
                <w:b/>
              </w:rPr>
              <w:t>Initial range of motion (ROM)</w:t>
            </w:r>
            <w:r w:rsidRPr="009F7053">
              <w:t xml:space="preserve"> – enter degree in “Actual</w:t>
            </w:r>
            <w:r>
              <w:t>,”</w:t>
            </w:r>
            <w:r w:rsidRPr="009F7053">
              <w:t xml:space="preserve"> then </w:t>
            </w:r>
            <w:r>
              <w:t xml:space="preserve">for </w:t>
            </w:r>
            <w:r w:rsidRPr="00590B90">
              <w:rPr>
                <w:b/>
              </w:rPr>
              <w:t>Select where objective evidence of painful motion begins</w:t>
            </w:r>
            <w:r w:rsidRPr="009F7053">
              <w:t xml:space="preserve"> – if any degree selected, click the appropriate square under Painful Motion</w:t>
            </w:r>
          </w:p>
          <w:p w:rsidR="00682002" w:rsidRPr="009F7053" w:rsidRDefault="00682002" w:rsidP="00F063AF">
            <w:pPr>
              <w:pStyle w:val="ListParagraph"/>
              <w:numPr>
                <w:ilvl w:val="0"/>
                <w:numId w:val="175"/>
              </w:numPr>
              <w:spacing w:after="0" w:line="240" w:lineRule="auto"/>
              <w:contextualSpacing/>
            </w:pPr>
            <w:r w:rsidRPr="0085589A">
              <w:rPr>
                <w:b/>
              </w:rPr>
              <w:t xml:space="preserve">Observed repetitive use </w:t>
            </w:r>
            <w:r w:rsidRPr="0085589A">
              <w:t xml:space="preserve">/ </w:t>
            </w:r>
            <w:r w:rsidRPr="0085589A">
              <w:rPr>
                <w:b/>
              </w:rPr>
              <w:t>ROM measurements after repetitive use testing</w:t>
            </w:r>
            <w:r w:rsidRPr="0085589A">
              <w:t xml:space="preserve"> / </w:t>
            </w:r>
            <w:r w:rsidRPr="0085589A">
              <w:rPr>
                <w:b/>
              </w:rPr>
              <w:t>Additional limitation in ROM following repetitive-use testing</w:t>
            </w:r>
            <w:r w:rsidRPr="009F7053">
              <w:t xml:space="preserve"> – enter degree in “Deluca” if different than “Actual”</w:t>
            </w:r>
          </w:p>
          <w:p w:rsidR="00682002" w:rsidRPr="009F7053" w:rsidRDefault="00682002" w:rsidP="00F063AF">
            <w:pPr>
              <w:pStyle w:val="ListParagraph"/>
              <w:numPr>
                <w:ilvl w:val="0"/>
                <w:numId w:val="175"/>
              </w:numPr>
              <w:spacing w:after="0" w:line="240" w:lineRule="auto"/>
              <w:contextualSpacing/>
            </w:pPr>
            <w:r w:rsidRPr="0085589A">
              <w:rPr>
                <w:b/>
              </w:rPr>
              <w:t>Repeated use over time</w:t>
            </w:r>
            <w:r>
              <w:rPr>
                <w:b/>
              </w:rPr>
              <w:t xml:space="preserve"> </w:t>
            </w:r>
            <w:r w:rsidRPr="0085589A">
              <w:t xml:space="preserve">/ </w:t>
            </w:r>
            <w:r w:rsidRPr="0085589A">
              <w:rPr>
                <w:b/>
              </w:rPr>
              <w:t xml:space="preserve">Mitchell (i.e. repeated use over time) </w:t>
            </w:r>
            <w:r w:rsidRPr="0085589A">
              <w:t xml:space="preserve">/ </w:t>
            </w:r>
            <w:r w:rsidRPr="0085589A">
              <w:rPr>
                <w:b/>
              </w:rPr>
              <w:t>some older DBQs covered this in Remarks</w:t>
            </w:r>
            <w:r w:rsidRPr="009F7053">
              <w:t xml:space="preserve"> [not needed</w:t>
            </w:r>
            <w:r>
              <w:t xml:space="preserve"> or applicable</w:t>
            </w:r>
            <w:r w:rsidRPr="009F7053">
              <w:t xml:space="preserve"> if no pain on</w:t>
            </w:r>
            <w:r>
              <w:t xml:space="preserve"> initial range of </w:t>
            </w:r>
            <w:r w:rsidRPr="009F7053">
              <w:t>motion</w:t>
            </w:r>
            <w:r>
              <w:t xml:space="preserve"> or</w:t>
            </w:r>
            <w:r w:rsidRPr="009F7053">
              <w:t xml:space="preserve"> during</w:t>
            </w:r>
            <w:r>
              <w:t xml:space="preserve"> observed repetitive use/repetitive use</w:t>
            </w:r>
            <w:r w:rsidRPr="009F7053">
              <w:t xml:space="preserve"> test</w:t>
            </w:r>
            <w:r>
              <w:t>ing</w:t>
            </w:r>
            <w:r w:rsidRPr="009F7053">
              <w:t xml:space="preserve"> (Deluca)</w:t>
            </w:r>
            <w:r>
              <w:t xml:space="preserve"> unless there is LOM to a compensable level due to pain</w:t>
            </w:r>
            <w:r w:rsidRPr="009F7053">
              <w:t>] – enter degree in “Mitchell” if YES</w:t>
            </w:r>
            <w:r>
              <w:t xml:space="preserve"> &amp; if ROM is provided </w:t>
            </w:r>
            <w:r w:rsidRPr="009F7053">
              <w:t>&amp; if different than “Actual” or “Deluca”</w:t>
            </w:r>
          </w:p>
          <w:p w:rsidR="00682002" w:rsidRPr="00613E11" w:rsidRDefault="00682002" w:rsidP="00F063AF">
            <w:pPr>
              <w:pStyle w:val="ListParagraph"/>
              <w:numPr>
                <w:ilvl w:val="0"/>
                <w:numId w:val="175"/>
              </w:numPr>
              <w:spacing w:after="120" w:line="240" w:lineRule="auto"/>
              <w:contextualSpacing/>
              <w:rPr>
                <w:highlight w:val="cyan"/>
              </w:rPr>
            </w:pPr>
            <w:r w:rsidRPr="0026229C">
              <w:rPr>
                <w:b/>
              </w:rPr>
              <w:t>Flare-</w:t>
            </w:r>
            <w:r w:rsidRPr="0085589A">
              <w:rPr>
                <w:b/>
              </w:rPr>
              <w:t>ups (also Mitchell)</w:t>
            </w:r>
            <w:r>
              <w:t xml:space="preserve"> / </w:t>
            </w:r>
            <w:r w:rsidRPr="0085589A">
              <w:rPr>
                <w:b/>
              </w:rPr>
              <w:t>some older DBQs covered this in Remarks</w:t>
            </w:r>
            <w:r w:rsidRPr="009F7053">
              <w:t xml:space="preserve"> [not needed </w:t>
            </w:r>
            <w:r>
              <w:t xml:space="preserve">or applicable </w:t>
            </w:r>
            <w:r w:rsidRPr="009F7053">
              <w:t>if no pain on motion, to include during repetitive motion test (Deluca)</w:t>
            </w:r>
            <w:r>
              <w:t xml:space="preserve"> unless there is LOM to a compensable level due to pain]</w:t>
            </w:r>
            <w:r w:rsidRPr="009F7053">
              <w:t xml:space="preserve"> – enter degree in “Flare-Up”</w:t>
            </w:r>
            <w:r>
              <w:t xml:space="preserve"> </w:t>
            </w:r>
            <w:r w:rsidRPr="009F7053">
              <w:t>” if YES</w:t>
            </w:r>
            <w:r>
              <w:t xml:space="preserve"> &amp; if ROM is provided </w:t>
            </w:r>
            <w:r w:rsidRPr="009F7053">
              <w:t>&amp; if different than “Actual” or “Deluca”</w:t>
            </w:r>
            <w:r>
              <w:t xml:space="preserve"> or “Mitchell” – </w:t>
            </w:r>
            <w:r w:rsidRPr="00D2563F">
              <w:rPr>
                <w:highlight w:val="cyan"/>
              </w:rPr>
              <w:t>if “No response” under 3d, see if checked No under 2b or 2c.</w:t>
            </w:r>
          </w:p>
          <w:p w:rsidR="00682002" w:rsidRPr="00613E11" w:rsidRDefault="00682002" w:rsidP="00F063AF">
            <w:pPr>
              <w:widowControl w:val="0"/>
              <w:numPr>
                <w:ilvl w:val="0"/>
                <w:numId w:val="175"/>
              </w:numPr>
              <w:spacing w:after="120"/>
              <w:ind w:left="420"/>
              <w:rPr>
                <w:b/>
                <w:bCs/>
              </w:rPr>
            </w:pPr>
            <w:r>
              <w:rPr>
                <w:b/>
                <w:bCs/>
              </w:rPr>
              <w:t>…</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4.41</w:t>
            </w:r>
          </w:p>
        </w:tc>
        <w:tc>
          <w:tcPr>
            <w:tcW w:w="9870" w:type="dxa"/>
            <w:tcBorders>
              <w:top w:val="nil"/>
              <w:left w:val="nil"/>
              <w:bottom w:val="nil"/>
              <w:right w:val="nil"/>
            </w:tcBorders>
          </w:tcPr>
          <w:p w:rsidR="00013EB8" w:rsidRDefault="00013EB8">
            <w:pPr>
              <w:widowControl w:val="0"/>
              <w:numPr>
                <w:ilvl w:val="12"/>
                <w:numId w:val="0"/>
              </w:numPr>
              <w:rPr>
                <w:i/>
              </w:rPr>
            </w:pPr>
            <w:r>
              <w:rPr>
                <w:b/>
              </w:rPr>
              <w:t>History of injury</w:t>
            </w:r>
            <w:r>
              <w:t xml:space="preserve"> – trace medical-industrial history; </w:t>
            </w:r>
            <w:r>
              <w:rPr>
                <w:i/>
              </w:rPr>
              <w:t>trauma v. congenital/developmental</w:t>
            </w:r>
          </w:p>
        </w:tc>
      </w:tr>
      <w:tr w:rsidR="00013EB8" w:rsidTr="000A206A">
        <w:trPr>
          <w:trHeight w:val="205"/>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4.42</w:t>
            </w:r>
          </w:p>
        </w:tc>
        <w:tc>
          <w:tcPr>
            <w:tcW w:w="9870" w:type="dxa"/>
            <w:tcBorders>
              <w:top w:val="nil"/>
              <w:left w:val="nil"/>
              <w:bottom w:val="nil"/>
              <w:right w:val="nil"/>
            </w:tcBorders>
          </w:tcPr>
          <w:p w:rsidR="00013EB8" w:rsidRDefault="00013EB8">
            <w:pPr>
              <w:widowControl w:val="0"/>
              <w:numPr>
                <w:ilvl w:val="12"/>
                <w:numId w:val="0"/>
              </w:numPr>
            </w:pPr>
            <w:r>
              <w:rPr>
                <w:b/>
              </w:rPr>
              <w:t>Complete medical examination of injury cases</w:t>
            </w:r>
            <w:r>
              <w:t xml:space="preserve"> – complete exam covering all systems of the body on 1</w:t>
            </w:r>
            <w:r>
              <w:rPr>
                <w:vertAlign w:val="superscript"/>
              </w:rPr>
              <w:t>st</w:t>
            </w:r>
            <w:r>
              <w:t xml:space="preserve"> exam</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4.43</w:t>
            </w:r>
          </w:p>
        </w:tc>
        <w:tc>
          <w:tcPr>
            <w:tcW w:w="9870" w:type="dxa"/>
            <w:tcBorders>
              <w:top w:val="nil"/>
              <w:left w:val="nil"/>
              <w:bottom w:val="nil"/>
              <w:right w:val="nil"/>
            </w:tcBorders>
          </w:tcPr>
          <w:p w:rsidR="00013EB8" w:rsidRDefault="00013EB8">
            <w:pPr>
              <w:widowControl w:val="0"/>
              <w:numPr>
                <w:ilvl w:val="12"/>
                <w:numId w:val="0"/>
              </w:numPr>
            </w:pPr>
            <w:r>
              <w:rPr>
                <w:b/>
              </w:rPr>
              <w:t>Osteomyelitis</w:t>
            </w:r>
            <w:r>
              <w:t xml:space="preserve"> –</w:t>
            </w:r>
            <w:r w:rsidR="00AA667D">
              <w:t xml:space="preserve"> </w:t>
            </w:r>
            <w:r w:rsidRPr="00B459F6">
              <w:rPr>
                <w:b/>
                <w:bCs/>
              </w:rPr>
              <w:t>III.iv.4.A</w:t>
            </w:r>
            <w:r>
              <w:rPr>
                <w:i/>
              </w:rPr>
              <w:t xml:space="preserve">; </w:t>
            </w:r>
            <w:r>
              <w:t>is a continuously disabling process, give permanent rating, don’t exceed amputation rating</w:t>
            </w:r>
          </w:p>
        </w:tc>
      </w:tr>
      <w:tr w:rsidR="00013EB8" w:rsidTr="000A206A">
        <w:trPr>
          <w:trHeight w:val="205"/>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4.44</w:t>
            </w:r>
          </w:p>
        </w:tc>
        <w:tc>
          <w:tcPr>
            <w:tcW w:w="9870" w:type="dxa"/>
            <w:tcBorders>
              <w:top w:val="nil"/>
              <w:left w:val="nil"/>
              <w:bottom w:val="nil"/>
              <w:right w:val="nil"/>
            </w:tcBorders>
          </w:tcPr>
          <w:p w:rsidR="00013EB8" w:rsidRDefault="00013EB8">
            <w:pPr>
              <w:widowControl w:val="0"/>
              <w:numPr>
                <w:ilvl w:val="12"/>
                <w:numId w:val="0"/>
              </w:numPr>
            </w:pPr>
            <w:r>
              <w:rPr>
                <w:b/>
              </w:rPr>
              <w:t>The bones</w:t>
            </w:r>
            <w:r>
              <w:t xml:space="preserve"> – need complete study with regard to deformity and affect on neighboring (especially weight-bearing) joints</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iCs/>
              </w:rPr>
              <w:t>4.45</w:t>
            </w:r>
          </w:p>
        </w:tc>
        <w:tc>
          <w:tcPr>
            <w:tcW w:w="9870" w:type="dxa"/>
            <w:tcBorders>
              <w:top w:val="nil"/>
              <w:left w:val="nil"/>
              <w:bottom w:val="nil"/>
              <w:right w:val="nil"/>
            </w:tcBorders>
          </w:tcPr>
          <w:p w:rsidR="00013EB8" w:rsidRDefault="00013EB8">
            <w:pPr>
              <w:widowControl w:val="0"/>
              <w:numPr>
                <w:ilvl w:val="12"/>
                <w:numId w:val="0"/>
              </w:numPr>
            </w:pPr>
            <w:r>
              <w:rPr>
                <w:b/>
              </w:rPr>
              <w:t xml:space="preserve">The joints </w:t>
            </w:r>
            <w:r>
              <w:t>– look for less movement than normal, more movement than normal, weakened movement, excess fatigability, incoordination, and pain on movement, swelling, deformity, atrophy, instability, disturbance of locomotion, and interference with sitting, standing and weight-bearing, “pain on movement” cited as a factor of disability regarding the joints</w:t>
            </w:r>
          </w:p>
          <w:p w:rsidR="00013EB8" w:rsidRDefault="00013EB8">
            <w:pPr>
              <w:pStyle w:val="NormalWeb"/>
              <w:widowControl w:val="0"/>
              <w:spacing w:after="0"/>
              <w:rPr>
                <w:sz w:val="20"/>
                <w:szCs w:val="20"/>
              </w:rPr>
            </w:pPr>
          </w:p>
          <w:p w:rsidR="00013EB8" w:rsidRPr="008B102D" w:rsidRDefault="0069408A">
            <w:pPr>
              <w:pStyle w:val="NormalWeb"/>
              <w:widowControl w:val="0"/>
              <w:spacing w:after="0"/>
              <w:rPr>
                <w:rFonts w:eastAsia="Arial Unicode MS"/>
                <w:b/>
              </w:rPr>
            </w:pPr>
            <w:r>
              <w:rPr>
                <w:b/>
                <w:sz w:val="20"/>
                <w:szCs w:val="20"/>
              </w:rPr>
              <w:t>III.iv.4.A.2.j</w:t>
            </w:r>
            <w:r w:rsidR="00650A5E">
              <w:rPr>
                <w:b/>
                <w:sz w:val="20"/>
                <w:szCs w:val="20"/>
              </w:rPr>
              <w:t xml:space="preserve"> - </w:t>
            </w:r>
            <w:r w:rsidR="00013EB8" w:rsidRPr="008B102D">
              <w:rPr>
                <w:b/>
                <w:sz w:val="20"/>
                <w:szCs w:val="20"/>
              </w:rPr>
              <w:t>Major joints:</w:t>
            </w:r>
            <w:r w:rsidR="00013EB8" w:rsidRPr="008B102D">
              <w:rPr>
                <w:b/>
              </w:rPr>
              <w:t xml:space="preserve"> </w:t>
            </w:r>
          </w:p>
          <w:p w:rsidR="00013EB8" w:rsidRDefault="00013EB8" w:rsidP="00691877">
            <w:pPr>
              <w:widowControl w:val="0"/>
              <w:numPr>
                <w:ilvl w:val="0"/>
                <w:numId w:val="31"/>
              </w:numPr>
            </w:pPr>
            <w:r>
              <w:t xml:space="preserve">Shoulder </w:t>
            </w:r>
          </w:p>
          <w:p w:rsidR="00013EB8" w:rsidRDefault="00013EB8" w:rsidP="00691877">
            <w:pPr>
              <w:widowControl w:val="0"/>
              <w:numPr>
                <w:ilvl w:val="0"/>
                <w:numId w:val="31"/>
              </w:numPr>
            </w:pPr>
            <w:r>
              <w:t xml:space="preserve">Elbow </w:t>
            </w:r>
          </w:p>
          <w:p w:rsidR="00013EB8" w:rsidRDefault="00013EB8" w:rsidP="00691877">
            <w:pPr>
              <w:widowControl w:val="0"/>
              <w:numPr>
                <w:ilvl w:val="0"/>
                <w:numId w:val="31"/>
              </w:numPr>
            </w:pPr>
            <w:r>
              <w:t xml:space="preserve">Wrist </w:t>
            </w:r>
          </w:p>
          <w:p w:rsidR="00013EB8" w:rsidRDefault="00013EB8" w:rsidP="00691877">
            <w:pPr>
              <w:widowControl w:val="0"/>
              <w:numPr>
                <w:ilvl w:val="0"/>
                <w:numId w:val="31"/>
              </w:numPr>
            </w:pPr>
            <w:r>
              <w:t xml:space="preserve">Hip </w:t>
            </w:r>
          </w:p>
          <w:p w:rsidR="00013EB8" w:rsidRDefault="00013EB8" w:rsidP="00691877">
            <w:pPr>
              <w:widowControl w:val="0"/>
              <w:numPr>
                <w:ilvl w:val="0"/>
                <w:numId w:val="31"/>
              </w:numPr>
            </w:pPr>
            <w:r>
              <w:t xml:space="preserve">Knee </w:t>
            </w:r>
          </w:p>
          <w:p w:rsidR="00013EB8" w:rsidRDefault="00013EB8" w:rsidP="00691877">
            <w:pPr>
              <w:widowControl w:val="0"/>
              <w:numPr>
                <w:ilvl w:val="0"/>
                <w:numId w:val="31"/>
              </w:numPr>
            </w:pPr>
            <w:r>
              <w:t xml:space="preserve">Ankle </w:t>
            </w:r>
          </w:p>
          <w:p w:rsidR="00013EB8" w:rsidRPr="00853DFA" w:rsidRDefault="00013EB8">
            <w:pPr>
              <w:pStyle w:val="NormalWeb"/>
              <w:widowControl w:val="0"/>
              <w:spacing w:after="0"/>
              <w:rPr>
                <w:b/>
                <w:sz w:val="20"/>
                <w:szCs w:val="20"/>
              </w:rPr>
            </w:pPr>
          </w:p>
          <w:p w:rsidR="00013EB8" w:rsidRPr="00853DFA" w:rsidRDefault="00650A5E">
            <w:pPr>
              <w:pStyle w:val="NormalWeb"/>
              <w:widowControl w:val="0"/>
              <w:spacing w:after="0"/>
              <w:rPr>
                <w:b/>
              </w:rPr>
            </w:pPr>
            <w:r>
              <w:rPr>
                <w:b/>
                <w:sz w:val="20"/>
                <w:szCs w:val="20"/>
              </w:rPr>
              <w:t>III.iv.4.A.</w:t>
            </w:r>
            <w:r w:rsidR="0069408A">
              <w:rPr>
                <w:b/>
                <w:sz w:val="20"/>
                <w:szCs w:val="20"/>
              </w:rPr>
              <w:t>2.k</w:t>
            </w:r>
            <w:r>
              <w:rPr>
                <w:b/>
                <w:sz w:val="20"/>
                <w:szCs w:val="20"/>
              </w:rPr>
              <w:t xml:space="preserve"> - </w:t>
            </w:r>
            <w:r w:rsidR="00013EB8" w:rsidRPr="00853DFA">
              <w:rPr>
                <w:b/>
                <w:sz w:val="20"/>
                <w:szCs w:val="20"/>
              </w:rPr>
              <w:t>Minor joint groups:</w:t>
            </w:r>
            <w:r w:rsidR="00013EB8" w:rsidRPr="00853DFA">
              <w:rPr>
                <w:b/>
              </w:rPr>
              <w:t xml:space="preserve"> </w:t>
            </w:r>
          </w:p>
          <w:p w:rsidR="00013EB8" w:rsidRDefault="00013EB8" w:rsidP="00691877">
            <w:pPr>
              <w:widowControl w:val="0"/>
              <w:numPr>
                <w:ilvl w:val="0"/>
                <w:numId w:val="32"/>
              </w:numPr>
            </w:pPr>
            <w:r>
              <w:t xml:space="preserve">Multiple involvements of the </w:t>
            </w:r>
            <w:r w:rsidR="00650A5E">
              <w:t xml:space="preserve">distal </w:t>
            </w:r>
            <w:r>
              <w:t>interphalangeal</w:t>
            </w:r>
            <w:r w:rsidR="00650A5E">
              <w:t xml:space="preserve"> (DIP)</w:t>
            </w:r>
            <w:r>
              <w:t>,</w:t>
            </w:r>
            <w:r w:rsidR="00650A5E">
              <w:t xml:space="preserve"> proximal interphalangeal (PIP), metacarpophalangeal (MCP)</w:t>
            </w:r>
            <w:r>
              <w:t xml:space="preserve"> and</w:t>
            </w:r>
            <w:r w:rsidR="00650A5E">
              <w:t>/or</w:t>
            </w:r>
            <w:r>
              <w:t xml:space="preserve"> carp</w:t>
            </w:r>
            <w:r w:rsidR="00650A5E">
              <w:t>ometacarpal (CMC)</w:t>
            </w:r>
            <w:r>
              <w:t xml:space="preserve"> joints </w:t>
            </w:r>
            <w:r w:rsidR="00650A5E">
              <w:t>of the same upper extremity</w:t>
            </w:r>
          </w:p>
          <w:p w:rsidR="00013EB8" w:rsidRDefault="00013EB8" w:rsidP="00691877">
            <w:pPr>
              <w:widowControl w:val="0"/>
              <w:numPr>
                <w:ilvl w:val="0"/>
                <w:numId w:val="32"/>
              </w:numPr>
            </w:pPr>
            <w:r>
              <w:t>Multiple involvements of the interphalangeal</w:t>
            </w:r>
            <w:r w:rsidR="00650A5E">
              <w:t xml:space="preserve"> (IP), metatarsophalangeal (MTP)</w:t>
            </w:r>
            <w:r>
              <w:t xml:space="preserve"> and</w:t>
            </w:r>
            <w:r w:rsidR="00650A5E">
              <w:t>/or</w:t>
            </w:r>
            <w:r>
              <w:t xml:space="preserve"> </w:t>
            </w:r>
            <w:r w:rsidR="00650A5E">
              <w:t xml:space="preserve">transverse </w:t>
            </w:r>
            <w:r>
              <w:t xml:space="preserve">tarsal joints </w:t>
            </w:r>
            <w:r w:rsidR="00650A5E">
              <w:t>of the same lower extremity</w:t>
            </w:r>
          </w:p>
          <w:p w:rsidR="00013EB8" w:rsidRDefault="00013EB8" w:rsidP="00691877">
            <w:pPr>
              <w:widowControl w:val="0"/>
              <w:numPr>
                <w:ilvl w:val="0"/>
                <w:numId w:val="32"/>
              </w:numPr>
            </w:pPr>
            <w:r>
              <w:t xml:space="preserve">Multiple involvements of the cervical vertebrae </w:t>
            </w:r>
          </w:p>
          <w:p w:rsidR="00013EB8" w:rsidRDefault="00013EB8" w:rsidP="00691877">
            <w:pPr>
              <w:widowControl w:val="0"/>
              <w:numPr>
                <w:ilvl w:val="0"/>
                <w:numId w:val="32"/>
              </w:numPr>
            </w:pPr>
            <w:r>
              <w:t>Multiple involvements of the dorsal</w:t>
            </w:r>
            <w:r w:rsidR="00650A5E">
              <w:t xml:space="preserve"> (thoracic)</w:t>
            </w:r>
            <w:r>
              <w:t xml:space="preserve"> vertebrae </w:t>
            </w:r>
          </w:p>
          <w:p w:rsidR="00013EB8" w:rsidRDefault="00013EB8" w:rsidP="00691877">
            <w:pPr>
              <w:widowControl w:val="0"/>
              <w:numPr>
                <w:ilvl w:val="0"/>
                <w:numId w:val="32"/>
              </w:numPr>
            </w:pPr>
            <w:r>
              <w:t>Multiple involvements of the lumbar vertebrae</w:t>
            </w:r>
            <w:r w:rsidR="00650A5E">
              <w:t>, or lumbosacral articulation together with both sacroiliac joints</w:t>
            </w:r>
            <w:r>
              <w:t xml:space="preserve"> </w:t>
            </w:r>
          </w:p>
          <w:p w:rsidR="00013EB8" w:rsidRDefault="00013EB8">
            <w:pPr>
              <w:pStyle w:val="NormalWeb"/>
              <w:widowControl w:val="0"/>
              <w:spacing w:after="0"/>
              <w:rPr>
                <w:sz w:val="20"/>
                <w:szCs w:val="20"/>
              </w:rPr>
            </w:pPr>
          </w:p>
          <w:p w:rsidR="00013EB8" w:rsidRDefault="00013EB8">
            <w:pPr>
              <w:pStyle w:val="NormalWeb"/>
              <w:widowControl w:val="0"/>
              <w:spacing w:after="0"/>
            </w:pPr>
            <w:r>
              <w:rPr>
                <w:sz w:val="20"/>
                <w:szCs w:val="20"/>
              </w:rPr>
              <w:t>For 10% under 5010, you need x-ray evidence of involvement of</w:t>
            </w:r>
            <w:r>
              <w:rPr>
                <w:b/>
                <w:bCs/>
                <w:sz w:val="20"/>
                <w:szCs w:val="20"/>
              </w:rPr>
              <w:t xml:space="preserve"> 2 or more major joints</w:t>
            </w:r>
            <w:r>
              <w:rPr>
                <w:sz w:val="20"/>
                <w:szCs w:val="20"/>
              </w:rPr>
              <w:t xml:space="preserve"> or</w:t>
            </w:r>
            <w:r>
              <w:rPr>
                <w:b/>
                <w:bCs/>
                <w:sz w:val="20"/>
                <w:szCs w:val="20"/>
              </w:rPr>
              <w:t xml:space="preserve"> 2 or more minor joint groups</w:t>
            </w:r>
            <w:r>
              <w:rPr>
                <w:sz w:val="20"/>
                <w:szCs w:val="20"/>
              </w:rPr>
              <w:t>.</w:t>
            </w:r>
            <w:r>
              <w:t xml:space="preserve"> </w:t>
            </w:r>
          </w:p>
          <w:p w:rsidR="00013EB8" w:rsidRDefault="00013EB8">
            <w:pPr>
              <w:widowControl w:val="0"/>
              <w:tabs>
                <w:tab w:val="left" w:pos="330"/>
              </w:tabs>
              <w:rPr>
                <w:i/>
                <w:iCs/>
              </w:rPr>
            </w:pPr>
            <w:r>
              <w:br/>
            </w:r>
            <w:r>
              <w:rPr>
                <w:i/>
                <w:iCs/>
              </w:rPr>
              <w:t>So, you would need more than one joint involved on each (1) hand, (2) foot or (3) section of the spine to equal a</w:t>
            </w:r>
            <w:r w:rsidR="00853DFA">
              <w:rPr>
                <w:i/>
                <w:iCs/>
              </w:rPr>
              <w:t xml:space="preserve"> minor joint group. </w:t>
            </w:r>
            <w:r>
              <w:rPr>
                <w:i/>
                <w:iCs/>
              </w:rPr>
              <w:t>For a 10 percent, you would need at least two finger joints on one hand (1st group), and at least two finger joints on the other hand (2nd group).</w:t>
            </w:r>
          </w:p>
          <w:p w:rsidR="008B102D" w:rsidRDefault="008B102D">
            <w:pPr>
              <w:widowControl w:val="0"/>
              <w:tabs>
                <w:tab w:val="left" w:pos="330"/>
              </w:tabs>
              <w:rPr>
                <w:i/>
                <w:iCs/>
              </w:rPr>
            </w:pPr>
          </w:p>
          <w:p w:rsidR="00013EB8" w:rsidRDefault="00D571C5" w:rsidP="00691877">
            <w:pPr>
              <w:widowControl w:val="0"/>
              <w:numPr>
                <w:ilvl w:val="0"/>
                <w:numId w:val="14"/>
              </w:numPr>
              <w:tabs>
                <w:tab w:val="clear" w:pos="720"/>
                <w:tab w:val="num" w:pos="400"/>
              </w:tabs>
              <w:spacing w:after="120"/>
              <w:ind w:left="400" w:hanging="300"/>
            </w:pPr>
            <w:hyperlink r:id="rId480" w:history="1">
              <w:r w:rsidR="00013EB8">
                <w:rPr>
                  <w:rStyle w:val="Hyperlink"/>
                  <w:b/>
                  <w:bCs/>
                  <w:i/>
                  <w:iCs/>
                </w:rPr>
                <w:t>QRT Bulletin August 2012 &amp; Q&amp;A Session</w:t>
              </w:r>
            </w:hyperlink>
            <w:r w:rsidR="00013EB8">
              <w:t xml:space="preserve"> – do not deny joints just based on no objective findings; if diagnosis is ambiguous/equivocal or don’t know if it’s current, get clarification; can deny if acute or resolved, with no objective findings or a statement of no residuals</w:t>
            </w:r>
            <w:r w:rsidR="00F025EB">
              <w:t xml:space="preserve"> [</w:t>
            </w:r>
            <w:hyperlink r:id="rId481" w:history="1">
              <w:r w:rsidR="00F025EB">
                <w:rPr>
                  <w:rStyle w:val="Hyperlink"/>
                  <w:b/>
                  <w:bCs/>
                  <w:i/>
                  <w:iCs/>
                </w:rPr>
                <w:t>Local Narrative Feb 2013</w:t>
              </w:r>
            </w:hyperlink>
            <w:r w:rsidR="00F025EB">
              <w:rPr>
                <w:i/>
              </w:rPr>
              <w:t xml:space="preserve"> </w:t>
            </w:r>
            <w:r w:rsidR="00F025EB">
              <w:t>says okay to deny a diagnosis of lumbar strain with no residuals]</w:t>
            </w:r>
            <w:r w:rsidR="00013EB8">
              <w:t>; should still grant if diagnosis, but no objective findings and the examiner says in remission or quiescent, or STR/TRs show active treatment.</w:t>
            </w:r>
            <w:r w:rsidR="00E67515">
              <w:t xml:space="preserve"> - </w:t>
            </w:r>
            <w:r w:rsidR="00E67515" w:rsidRPr="00D75339">
              <w:rPr>
                <w:i/>
              </w:rPr>
              <w:t xml:space="preserve">*THIS IS FOR JOINTS, see </w:t>
            </w:r>
            <w:r w:rsidR="00E67515" w:rsidRPr="00D75339">
              <w:rPr>
                <w:b/>
                <w:i/>
                <w:iCs/>
              </w:rPr>
              <w:t>IV.ii.2.B.1.b</w:t>
            </w:r>
            <w:r w:rsidR="00E67515" w:rsidRPr="00D75339">
              <w:rPr>
                <w:i/>
                <w:iCs/>
              </w:rPr>
              <w:t xml:space="preserve"> for more info on “current disability”</w:t>
            </w:r>
            <w:r w:rsidR="00980D01" w:rsidRPr="00D75339">
              <w:rPr>
                <w:i/>
                <w:iCs/>
              </w:rPr>
              <w:t xml:space="preserve"> with “near-contemporaneous” diagnosis</w:t>
            </w:r>
          </w:p>
          <w:p w:rsidR="00291C26" w:rsidRDefault="00291C26" w:rsidP="00291C26">
            <w:pPr>
              <w:widowControl w:val="0"/>
              <w:pBdr>
                <w:top w:val="single" w:sz="4" w:space="1" w:color="auto"/>
                <w:left w:val="single" w:sz="4" w:space="4" w:color="auto"/>
                <w:bottom w:val="single" w:sz="4" w:space="1" w:color="auto"/>
                <w:right w:val="single" w:sz="4" w:space="4" w:color="auto"/>
              </w:pBdr>
              <w:spacing w:after="120"/>
              <w:ind w:left="60" w:right="150"/>
            </w:pPr>
            <w:r w:rsidRPr="00291C26">
              <w:t>Rating Note:  QRT Bulletin August 2012 &amp; Q&amp;A Session indicated that we should deny if acute or resolved, with no objective findings or a statement of no residuals; but we should still grant if there is a diagnosis, but no objective findings and the examiner says in remission or quiescent, or STR/TRs show active treatment.</w:t>
            </w:r>
          </w:p>
          <w:p w:rsidR="00E67515" w:rsidRPr="00D75339" w:rsidRDefault="00E67515" w:rsidP="00291C26">
            <w:pPr>
              <w:widowControl w:val="0"/>
              <w:pBdr>
                <w:top w:val="single" w:sz="4" w:space="1" w:color="auto"/>
                <w:left w:val="single" w:sz="4" w:space="4" w:color="auto"/>
                <w:bottom w:val="single" w:sz="4" w:space="1" w:color="auto"/>
                <w:right w:val="single" w:sz="4" w:space="4" w:color="auto"/>
              </w:pBdr>
              <w:spacing w:after="120"/>
              <w:ind w:left="60" w:right="150"/>
              <w:rPr>
                <w:i/>
              </w:rPr>
            </w:pPr>
            <w:r w:rsidRPr="00D75339">
              <w:rPr>
                <w:i/>
              </w:rPr>
              <w:t xml:space="preserve">*THIS IS FOR JOINTS, see </w:t>
            </w:r>
            <w:r w:rsidRPr="00D75339">
              <w:rPr>
                <w:b/>
                <w:i/>
                <w:iCs/>
              </w:rPr>
              <w:t>IV.ii.2.B.1.b</w:t>
            </w:r>
            <w:r w:rsidRPr="00D75339">
              <w:rPr>
                <w:i/>
                <w:iCs/>
              </w:rPr>
              <w:t xml:space="preserve"> for more info on “current disability”</w:t>
            </w:r>
            <w:r w:rsidR="00980D01" w:rsidRPr="00D75339">
              <w:rPr>
                <w:i/>
                <w:iCs/>
              </w:rPr>
              <w:t xml:space="preserve"> with “near-contemporaneous” diagnosis</w:t>
            </w:r>
          </w:p>
          <w:p w:rsidR="00013EB8" w:rsidRDefault="00013EB8" w:rsidP="00691877">
            <w:pPr>
              <w:widowControl w:val="0"/>
              <w:numPr>
                <w:ilvl w:val="0"/>
                <w:numId w:val="14"/>
              </w:numPr>
              <w:tabs>
                <w:tab w:val="clear" w:pos="720"/>
                <w:tab w:val="num" w:pos="400"/>
              </w:tabs>
              <w:spacing w:after="120"/>
              <w:ind w:left="400" w:hanging="300"/>
            </w:pPr>
            <w:r w:rsidRPr="002E2D9E">
              <w:rPr>
                <w:b/>
                <w:bCs/>
                <w:i/>
                <w:iCs/>
              </w:rPr>
              <w:t xml:space="preserve">January 2013 </w:t>
            </w:r>
            <w:r w:rsidR="00EB6F0B" w:rsidRPr="002E2D9E">
              <w:rPr>
                <w:b/>
                <w:bCs/>
                <w:i/>
                <w:iCs/>
              </w:rPr>
              <w:t>Compensation Service Bulletin (CSB)</w:t>
            </w:r>
            <w:r>
              <w:rPr>
                <w:bCs/>
                <w:iCs/>
              </w:rPr>
              <w:t xml:space="preserve"> – </w:t>
            </w:r>
            <w:r>
              <w:rPr>
                <w:szCs w:val="24"/>
              </w:rPr>
              <w:t xml:space="preserve">A minor joint in the upper extremity would be a distal interphalangeal joint, proximal interphalangeal joint, metacarpophalangeal joint, or carpometacarpal joint. In the lower extremity, it would be an interphalangeal joint, metatarsophalangeal joint, or transverse tarsal joint. A combination of two or more minor joints in the upper extremities constitutes a group of minor joints. A combination of two or more minor joints in the lower extremities also constitutes as a group of minor joints. The two groups of minor joints must both be in either the upper extremities OR the lower extremities, </w:t>
            </w:r>
            <w:r>
              <w:rPr>
                <w:b/>
                <w:szCs w:val="24"/>
              </w:rPr>
              <w:t>not</w:t>
            </w:r>
            <w:r>
              <w:rPr>
                <w:szCs w:val="24"/>
              </w:rPr>
              <w:t xml:space="preserve"> a combination of one group in the upper, and one group in the lower. Under </w:t>
            </w:r>
            <w:r>
              <w:rPr>
                <w:i/>
                <w:iCs/>
                <w:szCs w:val="24"/>
              </w:rPr>
              <w:t>DeLuca</w:t>
            </w:r>
            <w:r>
              <w:rPr>
                <w:szCs w:val="24"/>
              </w:rPr>
              <w:t xml:space="preserve"> requirements, compensable evaluations are allowed for pain on motion of joints. Also, under DC 5003, a compensable evaluation may be assigned for painful motion of certain minor joints. Entitlement to a 10 percent evaluation requires pain on motion in at least two of the following digits of the </w:t>
            </w:r>
            <w:r>
              <w:rPr>
                <w:i/>
                <w:iCs/>
                <w:szCs w:val="24"/>
              </w:rPr>
              <w:t>same</w:t>
            </w:r>
            <w:r>
              <w:rPr>
                <w:szCs w:val="24"/>
              </w:rPr>
              <w:t xml:space="preserve"> extremity: thumb, index finger, and middle finger.  Pain in the ring finger or little finger will not be considered.  Pain on motion in the toes does not warrant a compensable evaluation, however the facts of the case could be considered in determining if a compensable evaluation is warranted under DC 5284.</w:t>
            </w:r>
          </w:p>
        </w:tc>
      </w:tr>
      <w:tr w:rsidR="00013EB8" w:rsidTr="000A206A">
        <w:trPr>
          <w:trHeight w:val="522"/>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4.46</w:t>
            </w:r>
          </w:p>
        </w:tc>
        <w:tc>
          <w:tcPr>
            <w:tcW w:w="9870" w:type="dxa"/>
            <w:tcBorders>
              <w:top w:val="nil"/>
              <w:left w:val="nil"/>
              <w:bottom w:val="nil"/>
              <w:right w:val="nil"/>
            </w:tcBorders>
          </w:tcPr>
          <w:p w:rsidR="00013EB8" w:rsidRDefault="00013EB8">
            <w:pPr>
              <w:widowControl w:val="0"/>
              <w:numPr>
                <w:ilvl w:val="12"/>
                <w:numId w:val="0"/>
              </w:numPr>
            </w:pPr>
            <w:r>
              <w:rPr>
                <w:b/>
              </w:rPr>
              <w:t>Accurate measurement</w:t>
            </w:r>
            <w:r>
              <w:t xml:space="preserve"> – needed for length of stumps, range of motion, dimensions of scars, muscle atrophy, helps if use a goniometer</w:t>
            </w:r>
          </w:p>
          <w:p w:rsidR="00B22A55" w:rsidRDefault="00B22A55">
            <w:pPr>
              <w:widowControl w:val="0"/>
              <w:numPr>
                <w:ilvl w:val="12"/>
                <w:numId w:val="0"/>
              </w:numPr>
            </w:pPr>
          </w:p>
          <w:p w:rsidR="00B22A55" w:rsidRDefault="00B22A55" w:rsidP="00B22A55">
            <w:pPr>
              <w:rPr>
                <w:rFonts w:ascii="Tahoma" w:hAnsi="Tahoma" w:cs="Tahoma"/>
              </w:rPr>
            </w:pPr>
            <w:r>
              <w:rPr>
                <w:rFonts w:ascii="Tahoma" w:hAnsi="Tahoma" w:cs="Tahoma"/>
                <w:b/>
                <w:bCs/>
              </w:rPr>
              <w:t>From:</w:t>
            </w:r>
            <w:r>
              <w:rPr>
                <w:rFonts w:ascii="Tahoma" w:hAnsi="Tahoma" w:cs="Tahoma"/>
              </w:rPr>
              <w:t xml:space="preserve"> Rosario, Carlos H., VBASDGO </w:t>
            </w:r>
            <w:r>
              <w:rPr>
                <w:rFonts w:ascii="Tahoma" w:hAnsi="Tahoma" w:cs="Tahoma"/>
              </w:rPr>
              <w:br/>
            </w:r>
            <w:r>
              <w:rPr>
                <w:rFonts w:ascii="Tahoma" w:hAnsi="Tahoma" w:cs="Tahoma"/>
                <w:b/>
                <w:bCs/>
              </w:rPr>
              <w:t>Sent:</w:t>
            </w:r>
            <w:r>
              <w:rPr>
                <w:rFonts w:ascii="Tahoma" w:hAnsi="Tahoma" w:cs="Tahoma"/>
              </w:rPr>
              <w:t xml:space="preserve"> Tuesday, April 18, 2017 1:09 PM</w:t>
            </w:r>
            <w:r>
              <w:rPr>
                <w:rFonts w:ascii="Tahoma" w:hAnsi="Tahoma" w:cs="Tahoma"/>
              </w:rPr>
              <w:br/>
            </w:r>
            <w:r>
              <w:rPr>
                <w:rFonts w:ascii="Tahoma" w:hAnsi="Tahoma" w:cs="Tahoma"/>
                <w:b/>
                <w:bCs/>
              </w:rPr>
              <w:t>Subject:</w:t>
            </w:r>
            <w:r>
              <w:rPr>
                <w:rFonts w:ascii="Tahoma" w:hAnsi="Tahoma" w:cs="Tahoma"/>
              </w:rPr>
              <w:t xml:space="preserve"> FW: RQRS Notification - Use of the Goniometer</w:t>
            </w:r>
          </w:p>
          <w:p w:rsidR="00B22A55" w:rsidRDefault="00B22A55" w:rsidP="00B22A55">
            <w:pPr>
              <w:rPr>
                <w:rFonts w:ascii="Calibri" w:eastAsiaTheme="minorHAnsi" w:hAnsi="Calibri" w:cs="Times New Roman"/>
                <w:sz w:val="22"/>
                <w:szCs w:val="22"/>
              </w:rPr>
            </w:pPr>
          </w:p>
          <w:p w:rsidR="00B22A55" w:rsidRPr="00B22A55" w:rsidRDefault="00B22A55" w:rsidP="00B22A55">
            <w:pPr>
              <w:spacing w:after="120"/>
              <w:rPr>
                <w:rFonts w:asciiTheme="minorHAnsi" w:hAnsiTheme="minorHAnsi"/>
                <w:color w:val="1F497D"/>
                <w:sz w:val="22"/>
              </w:rPr>
            </w:pPr>
            <w:r w:rsidRPr="00B22A55">
              <w:rPr>
                <w:rFonts w:asciiTheme="minorHAnsi" w:hAnsiTheme="minorHAnsi"/>
                <w:color w:val="1F497D"/>
                <w:sz w:val="22"/>
              </w:rPr>
              <w:t>The QRT just received the following message. I am happy</w:t>
            </w:r>
            <w:r>
              <w:rPr>
                <w:rFonts w:asciiTheme="minorHAnsi" w:hAnsiTheme="minorHAnsi"/>
                <w:color w:val="1F497D"/>
                <w:sz w:val="22"/>
              </w:rPr>
              <w:t xml:space="preserve"> to share with you guys… Carlos</w:t>
            </w:r>
            <w:r w:rsidRPr="00B22A55">
              <w:rPr>
                <w:rFonts w:asciiTheme="minorHAnsi" w:hAnsiTheme="minorHAnsi"/>
                <w:color w:val="1F497D"/>
                <w:sz w:val="22"/>
              </w:rPr>
              <w:t xml:space="preserve">                                                                                          </w:t>
            </w:r>
          </w:p>
          <w:p w:rsidR="00B22A55" w:rsidRPr="00B22A55" w:rsidRDefault="00B22A55" w:rsidP="00B22A55">
            <w:pPr>
              <w:spacing w:after="120"/>
              <w:rPr>
                <w:rFonts w:asciiTheme="minorHAnsi" w:hAnsiTheme="minorHAnsi"/>
                <w:sz w:val="22"/>
              </w:rPr>
            </w:pPr>
            <w:r w:rsidRPr="00B22A55">
              <w:rPr>
                <w:rFonts w:asciiTheme="minorHAnsi" w:hAnsiTheme="minorHAnsi"/>
                <w:sz w:val="22"/>
              </w:rPr>
              <w:t>Good afternoon,</w:t>
            </w:r>
          </w:p>
          <w:p w:rsidR="00B22A55" w:rsidRPr="00B22A55" w:rsidRDefault="00B22A55" w:rsidP="00B22A55">
            <w:pPr>
              <w:spacing w:after="120"/>
              <w:rPr>
                <w:rFonts w:asciiTheme="minorHAnsi" w:hAnsiTheme="minorHAnsi"/>
                <w:sz w:val="22"/>
              </w:rPr>
            </w:pPr>
            <w:r w:rsidRPr="00B22A55">
              <w:rPr>
                <w:rFonts w:asciiTheme="minorHAnsi" w:hAnsiTheme="minorHAnsi"/>
                <w:sz w:val="22"/>
              </w:rPr>
              <w:t xml:space="preserve">VHA has notified us that musculoskeletal examinations are being returned as insufficient because the examiner did not clearly indicate that a goniometer was used. </w:t>
            </w:r>
          </w:p>
          <w:p w:rsidR="00B22A55" w:rsidRPr="00B22A55" w:rsidRDefault="00B22A55" w:rsidP="00F063AF">
            <w:pPr>
              <w:pStyle w:val="ListParagraph"/>
              <w:numPr>
                <w:ilvl w:val="0"/>
                <w:numId w:val="365"/>
              </w:numPr>
              <w:spacing w:after="120" w:line="240" w:lineRule="auto"/>
              <w:rPr>
                <w:rFonts w:asciiTheme="minorHAnsi" w:hAnsiTheme="minorHAnsi"/>
              </w:rPr>
            </w:pPr>
            <w:r w:rsidRPr="00B22A55">
              <w:rPr>
                <w:rFonts w:asciiTheme="minorHAnsi" w:hAnsiTheme="minorHAnsi"/>
              </w:rPr>
              <w:t xml:space="preserve">VBA’s Procedural Manual was updated on February 9, 2017 and originated with </w:t>
            </w:r>
            <w:hyperlink r:id="rId482" w:history="1">
              <w:r w:rsidRPr="00B22A55">
                <w:rPr>
                  <w:rStyle w:val="Hyperlink"/>
                  <w:rFonts w:asciiTheme="minorHAnsi" w:hAnsiTheme="minorHAnsi"/>
                </w:rPr>
                <w:t>this Pulse post</w:t>
              </w:r>
            </w:hyperlink>
            <w:r w:rsidRPr="00B22A55">
              <w:rPr>
                <w:rFonts w:asciiTheme="minorHAnsi" w:hAnsiTheme="minorHAnsi"/>
              </w:rPr>
              <w:t>, wherein a user pointed out that the manual was, at that point, silent as to the necessity for the goniometer’s use.  The Manual added III.iv.4.A.1.r as a passing procedural nod to 38 CFR 4.46, acknowledging the goniometer requirement, but the intent of this update was not to subject musculoskeletal exams to a higher level of discernment or scrutiny.</w:t>
            </w:r>
          </w:p>
          <w:p w:rsidR="00B22A55" w:rsidRPr="00B22A55" w:rsidRDefault="00B22A55" w:rsidP="00F063AF">
            <w:pPr>
              <w:pStyle w:val="ListParagraph"/>
              <w:numPr>
                <w:ilvl w:val="0"/>
                <w:numId w:val="366"/>
              </w:numPr>
              <w:spacing w:after="120" w:line="240" w:lineRule="auto"/>
              <w:rPr>
                <w:rFonts w:asciiTheme="minorHAnsi" w:hAnsiTheme="minorHAnsi"/>
                <w:highlight w:val="yellow"/>
              </w:rPr>
            </w:pPr>
            <w:r w:rsidRPr="00B22A55">
              <w:rPr>
                <w:rFonts w:asciiTheme="minorHAnsi" w:hAnsiTheme="minorHAnsi"/>
              </w:rPr>
              <w:t xml:space="preserve">For C&amp;P examinations, the goniometer’s use has been the standard.  </w:t>
            </w:r>
            <w:r w:rsidRPr="00B22A55">
              <w:rPr>
                <w:rFonts w:asciiTheme="minorHAnsi" w:hAnsiTheme="minorHAnsi"/>
                <w:highlight w:val="yellow"/>
              </w:rPr>
              <w:t xml:space="preserve">The examiner does not have to specifically state that a goniometer was used as we will assume under the presumption of administrative regularity that the goniometer was used, unless there is specific evidence to the contrary.  </w:t>
            </w:r>
          </w:p>
          <w:p w:rsidR="00B22A55" w:rsidRPr="00B22A55" w:rsidRDefault="00B22A55" w:rsidP="00B22A55">
            <w:pPr>
              <w:spacing w:after="120"/>
              <w:rPr>
                <w:rFonts w:asciiTheme="minorHAnsi" w:hAnsiTheme="minorHAnsi"/>
                <w:b/>
                <w:bCs/>
                <w:sz w:val="22"/>
              </w:rPr>
            </w:pPr>
            <w:r w:rsidRPr="00B22A55">
              <w:rPr>
                <w:rFonts w:asciiTheme="minorHAnsi" w:hAnsiTheme="minorHAnsi"/>
                <w:b/>
                <w:bCs/>
                <w:sz w:val="22"/>
              </w:rPr>
              <w:t>References:</w:t>
            </w:r>
          </w:p>
          <w:p w:rsidR="00B22A55" w:rsidRPr="00B22A55" w:rsidRDefault="00B22A55" w:rsidP="00F063AF">
            <w:pPr>
              <w:pStyle w:val="ListParagraph"/>
              <w:numPr>
                <w:ilvl w:val="0"/>
                <w:numId w:val="366"/>
              </w:numPr>
              <w:spacing w:after="120" w:line="240" w:lineRule="auto"/>
              <w:rPr>
                <w:rFonts w:asciiTheme="minorHAnsi" w:hAnsiTheme="minorHAnsi"/>
                <w:b/>
                <w:bCs/>
              </w:rPr>
            </w:pPr>
            <w:r w:rsidRPr="00B22A55">
              <w:rPr>
                <w:rFonts w:asciiTheme="minorHAnsi" w:hAnsiTheme="minorHAnsi"/>
                <w:b/>
                <w:bCs/>
              </w:rPr>
              <w:t>III.iv.4.A.1.r.  Importance of Accurate Measurements in Joint Cases</w:t>
            </w:r>
          </w:p>
          <w:p w:rsidR="00B22A55" w:rsidRPr="00B22A55" w:rsidRDefault="00B22A55" w:rsidP="00F063AF">
            <w:pPr>
              <w:pStyle w:val="ListParagraph"/>
              <w:numPr>
                <w:ilvl w:val="0"/>
                <w:numId w:val="366"/>
              </w:numPr>
              <w:spacing w:after="120" w:line="240" w:lineRule="auto"/>
              <w:rPr>
                <w:rFonts w:asciiTheme="minorHAnsi" w:hAnsiTheme="minorHAnsi"/>
                <w:b/>
                <w:bCs/>
              </w:rPr>
            </w:pPr>
            <w:r w:rsidRPr="00B22A55">
              <w:rPr>
                <w:rFonts w:asciiTheme="minorHAnsi" w:hAnsiTheme="minorHAnsi"/>
                <w:b/>
                <w:bCs/>
              </w:rPr>
              <w:t>§4.46   Accurate measurement.</w:t>
            </w:r>
          </w:p>
          <w:p w:rsidR="00B22A55" w:rsidRPr="00B22A55" w:rsidRDefault="00B22A55" w:rsidP="00B22A55">
            <w:pPr>
              <w:spacing w:after="120"/>
              <w:rPr>
                <w:rFonts w:asciiTheme="minorHAnsi" w:hAnsiTheme="minorHAnsi"/>
                <w:sz w:val="22"/>
              </w:rPr>
            </w:pPr>
            <w:r w:rsidRPr="00B22A55">
              <w:rPr>
                <w:rFonts w:asciiTheme="minorHAnsi" w:hAnsiTheme="minorHAnsi"/>
                <w:sz w:val="22"/>
              </w:rPr>
              <w:t>Thank you for your cooperation,</w:t>
            </w:r>
          </w:p>
          <w:p w:rsidR="00B22A55" w:rsidRPr="00B22A55" w:rsidRDefault="00B22A55" w:rsidP="00B22A55">
            <w:pPr>
              <w:spacing w:after="120"/>
              <w:rPr>
                <w:rFonts w:asciiTheme="minorHAnsi" w:hAnsiTheme="minorHAnsi"/>
                <w:sz w:val="22"/>
              </w:rPr>
            </w:pPr>
            <w:r w:rsidRPr="00B22A55">
              <w:rPr>
                <w:rFonts w:asciiTheme="minorHAnsi" w:hAnsiTheme="minorHAnsi"/>
                <w:sz w:val="22"/>
                <w:highlight w:val="yellow"/>
              </w:rPr>
              <w:t>DEMO and 214C</w:t>
            </w:r>
          </w:p>
          <w:p w:rsidR="00B22A55" w:rsidRDefault="00B22A55">
            <w:pPr>
              <w:widowControl w:val="0"/>
              <w:numPr>
                <w:ilvl w:val="12"/>
                <w:numId w:val="0"/>
              </w:numPr>
            </w:pPr>
          </w:p>
        </w:tc>
      </w:tr>
      <w:tr w:rsidR="00013EB8" w:rsidTr="000A206A">
        <w:trPr>
          <w:trHeight w:val="205"/>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4.55</w:t>
            </w:r>
          </w:p>
        </w:tc>
        <w:tc>
          <w:tcPr>
            <w:tcW w:w="9870" w:type="dxa"/>
            <w:tcBorders>
              <w:top w:val="nil"/>
              <w:left w:val="nil"/>
              <w:bottom w:val="nil"/>
              <w:right w:val="nil"/>
            </w:tcBorders>
          </w:tcPr>
          <w:p w:rsidR="00013EB8" w:rsidRDefault="00013EB8">
            <w:pPr>
              <w:widowControl w:val="0"/>
              <w:numPr>
                <w:ilvl w:val="12"/>
                <w:numId w:val="0"/>
              </w:numPr>
              <w:rPr>
                <w:i/>
              </w:rPr>
            </w:pPr>
            <w:r>
              <w:rPr>
                <w:b/>
              </w:rPr>
              <w:t>Principles of combined ratings for muscle injuries</w:t>
            </w:r>
            <w:r>
              <w:t xml:space="preserve"> – </w:t>
            </w:r>
            <w:r>
              <w:rPr>
                <w:i/>
              </w:rPr>
              <w:t>no separate evaluations if involve nerves OR ankylosed joint (with exceptions, read regulation)</w:t>
            </w:r>
          </w:p>
          <w:p w:rsidR="00013EB8" w:rsidRDefault="00013EB8">
            <w:pPr>
              <w:widowControl w:val="0"/>
              <w:numPr>
                <w:ilvl w:val="12"/>
                <w:numId w:val="0"/>
              </w:numPr>
              <w:spacing w:after="120"/>
            </w:pPr>
            <w:r>
              <w:t xml:space="preserve">Please note that our regulations state that a "muscle injury rating will not be combined with a peripheral nerve paralysis rating of the same body part, unless the injuries affect entirely different functions."  Since the same function is involved, we cannot grant a separate evaluation for </w:t>
            </w:r>
            <w:r w:rsidR="00A46221">
              <w:t>{}</w:t>
            </w:r>
            <w:r>
              <w:t xml:space="preserve"> nerve damage.</w:t>
            </w:r>
          </w:p>
          <w:p w:rsidR="008F310D" w:rsidRPr="008F310D" w:rsidRDefault="008A2FE5" w:rsidP="00F063AF">
            <w:pPr>
              <w:widowControl w:val="0"/>
              <w:numPr>
                <w:ilvl w:val="0"/>
                <w:numId w:val="129"/>
              </w:numPr>
              <w:spacing w:after="120"/>
              <w:rPr>
                <w:b/>
              </w:rPr>
            </w:pPr>
            <w:r>
              <w:rPr>
                <w:b/>
              </w:rPr>
              <w:t>III.iv.4.B.7</w:t>
            </w:r>
          </w:p>
          <w:p w:rsidR="00013EB8" w:rsidRDefault="00013EB8" w:rsidP="00F063AF">
            <w:pPr>
              <w:widowControl w:val="0"/>
              <w:numPr>
                <w:ilvl w:val="0"/>
                <w:numId w:val="129"/>
              </w:numPr>
              <w:spacing w:after="120"/>
              <w:rPr>
                <w:b/>
                <w:i/>
              </w:rPr>
            </w:pPr>
            <w:r w:rsidRPr="007A4B37">
              <w:rPr>
                <w:b/>
                <w:iCs/>
              </w:rPr>
              <w:t>4.56</w:t>
            </w:r>
          </w:p>
          <w:p w:rsidR="00013EB8" w:rsidRDefault="00013EB8" w:rsidP="00F063AF">
            <w:pPr>
              <w:widowControl w:val="0"/>
              <w:numPr>
                <w:ilvl w:val="0"/>
                <w:numId w:val="129"/>
              </w:numPr>
              <w:spacing w:after="120"/>
              <w:rPr>
                <w:b/>
                <w:iCs/>
              </w:rPr>
            </w:pPr>
            <w:r w:rsidRPr="007A4B37">
              <w:rPr>
                <w:b/>
                <w:iCs/>
              </w:rPr>
              <w:t>4.73</w:t>
            </w:r>
          </w:p>
          <w:p w:rsidR="00013EB8" w:rsidRDefault="00013EB8" w:rsidP="00F063AF">
            <w:pPr>
              <w:widowControl w:val="0"/>
              <w:numPr>
                <w:ilvl w:val="0"/>
                <w:numId w:val="129"/>
              </w:numPr>
              <w:spacing w:after="120"/>
              <w:rPr>
                <w:b/>
                <w:i/>
              </w:rPr>
            </w:pPr>
            <w:r>
              <w:rPr>
                <w:b/>
                <w:i/>
              </w:rPr>
              <w:t>GC Opinion 23-97</w:t>
            </w:r>
          </w:p>
          <w:p w:rsidR="00013EB8" w:rsidRDefault="001421FA" w:rsidP="001421FA">
            <w:pPr>
              <w:pStyle w:val="Footer"/>
              <w:widowControl w:val="0"/>
              <w:tabs>
                <w:tab w:val="clear" w:pos="4320"/>
                <w:tab w:val="clear" w:pos="8640"/>
              </w:tabs>
              <w:spacing w:after="120"/>
              <w:ind w:left="330"/>
              <w:rPr>
                <w:i/>
                <w:u w:val="single"/>
              </w:rPr>
            </w:pPr>
            <w:r w:rsidRPr="00BC03F7">
              <w:rPr>
                <w:bCs/>
              </w:rPr>
              <w:t xml:space="preserve">Notes from </w:t>
            </w:r>
            <w:r w:rsidR="00013EB8" w:rsidRPr="001421FA">
              <w:rPr>
                <w:b/>
                <w:i/>
                <w:u w:val="single"/>
              </w:rPr>
              <w:t xml:space="preserve">April 2013 AMPUTATION RULE, PYRAMIDING, AND GUNSHOT WOUNDS </w:t>
            </w:r>
            <w:r w:rsidRPr="001421FA">
              <w:rPr>
                <w:b/>
                <w:i/>
                <w:u w:val="single"/>
              </w:rPr>
              <w:t>Tr</w:t>
            </w:r>
            <w:r w:rsidR="00013EB8" w:rsidRPr="001421FA">
              <w:rPr>
                <w:b/>
                <w:i/>
                <w:u w:val="single"/>
              </w:rPr>
              <w:t>aining</w:t>
            </w:r>
            <w:r w:rsidR="00BC03F7">
              <w:rPr>
                <w:i/>
                <w:u w:val="single"/>
              </w:rPr>
              <w:t>:</w:t>
            </w:r>
          </w:p>
          <w:p w:rsidR="00FB3678" w:rsidRDefault="00FB3678" w:rsidP="00FB3678">
            <w:pPr>
              <w:widowControl w:val="0"/>
              <w:numPr>
                <w:ilvl w:val="12"/>
                <w:numId w:val="0"/>
              </w:numPr>
              <w:pBdr>
                <w:top w:val="double" w:sz="4" w:space="1" w:color="auto"/>
                <w:left w:val="double" w:sz="4" w:space="4" w:color="auto"/>
                <w:bottom w:val="double" w:sz="4" w:space="1" w:color="auto"/>
                <w:right w:val="double" w:sz="4" w:space="4" w:color="auto"/>
              </w:pBdr>
              <w:shd w:val="clear" w:color="auto" w:fill="FFC000"/>
              <w:tabs>
                <w:tab w:val="left" w:pos="330"/>
              </w:tabs>
              <w:spacing w:after="240"/>
              <w:ind w:left="330" w:right="240"/>
              <w:rPr>
                <w:i/>
              </w:rPr>
            </w:pPr>
            <w:r w:rsidRPr="0059725E">
              <w:rPr>
                <w:i/>
              </w:rPr>
              <w:t>Training documents are under “</w:t>
            </w:r>
            <w:r>
              <w:rPr>
                <w:i/>
              </w:rPr>
              <w:t xml:space="preserve">Application of the Amputation Rule, Pyramiding, and Gunshot Wounds” at </w:t>
            </w:r>
            <w:r w:rsidRPr="001453C4">
              <w:rPr>
                <w:b/>
                <w:i/>
              </w:rPr>
              <w:t>http://hvnc.gdit.com/lc/</w:t>
            </w:r>
          </w:p>
          <w:p w:rsidR="00013EB8" w:rsidRDefault="00013EB8">
            <w:pPr>
              <w:tabs>
                <w:tab w:val="num" w:pos="340"/>
              </w:tabs>
              <w:overflowPunct/>
              <w:ind w:left="340"/>
              <w:textAlignment w:val="auto"/>
            </w:pPr>
            <w:r>
              <w:rPr>
                <w:b/>
                <w:bCs/>
              </w:rPr>
              <w:t>4.55</w:t>
            </w:r>
            <w:r>
              <w:t xml:space="preserve"> - </w:t>
            </w:r>
            <w:r>
              <w:rPr>
                <w:i/>
                <w:iCs/>
              </w:rPr>
              <w:t>does not apply if the MG does not act on a joint AND there is no peripheral nerve damage to the same body part affected by the muscle injury (if one or both is true, 4.55 applies)</w:t>
            </w:r>
          </w:p>
          <w:p w:rsidR="00013EB8" w:rsidRDefault="00013EB8" w:rsidP="007F1619">
            <w:pPr>
              <w:tabs>
                <w:tab w:val="num" w:pos="340"/>
              </w:tabs>
              <w:overflowPunct/>
              <w:spacing w:after="120"/>
              <w:ind w:left="346"/>
              <w:textAlignment w:val="auto"/>
            </w:pPr>
            <w:r>
              <w:t>Don't combine a muscle injury rating with a rating for peripheral nerve paralysis of the same body part unless the injuries affect entirely different functions.</w:t>
            </w:r>
          </w:p>
          <w:p w:rsidR="00013EB8" w:rsidRDefault="00013EB8">
            <w:pPr>
              <w:tabs>
                <w:tab w:val="num" w:pos="340"/>
              </w:tabs>
              <w:overflowPunct/>
              <w:ind w:left="340"/>
              <w:textAlignment w:val="auto"/>
            </w:pPr>
            <w:r>
              <w:t>Don't assign a rating for muscle groups that act on an ankylosed joint except:</w:t>
            </w:r>
          </w:p>
          <w:p w:rsidR="00013EB8" w:rsidRDefault="00013EB8">
            <w:pPr>
              <w:tabs>
                <w:tab w:val="num" w:pos="340"/>
              </w:tabs>
              <w:overflowPunct/>
              <w:ind w:left="340"/>
              <w:textAlignment w:val="auto"/>
            </w:pPr>
            <w:r>
              <w:t>- if the knee is ankylosed and there is a disability of MG XIII (you'll rate MG XIII but at the next lower level than would otherwise be assigned)</w:t>
            </w:r>
          </w:p>
          <w:p w:rsidR="00013EB8" w:rsidRDefault="00013EB8" w:rsidP="007F1619">
            <w:pPr>
              <w:tabs>
                <w:tab w:val="num" w:pos="340"/>
              </w:tabs>
              <w:overflowPunct/>
              <w:spacing w:after="120"/>
              <w:ind w:left="346"/>
              <w:textAlignment w:val="auto"/>
            </w:pPr>
            <w:r>
              <w:t>- if the shoulder is ankylosed and MGs I &amp; II are severely disabled (you'll evaluate the shoulder joint under 5200 as unfavorable ankylosis, if not already assigned, but do not assign an evaluation for MG I or II)</w:t>
            </w:r>
          </w:p>
          <w:p w:rsidR="00013EB8" w:rsidRDefault="00013EB8" w:rsidP="007F1619">
            <w:pPr>
              <w:tabs>
                <w:tab w:val="num" w:pos="340"/>
              </w:tabs>
              <w:overflowPunct/>
              <w:spacing w:after="120"/>
              <w:ind w:left="346"/>
              <w:textAlignment w:val="auto"/>
            </w:pPr>
            <w:r>
              <w:t>When there is an injury of more than one muscle group acting on a single, unankylosed joint, assign a combined evaluation for the muscle group that is lower than the evaluation for unfavorable ankylosis of that joint (except for MGs I and II acting on the shoulder).</w:t>
            </w:r>
          </w:p>
          <w:p w:rsidR="00013EB8" w:rsidRDefault="00013EB8">
            <w:pPr>
              <w:tabs>
                <w:tab w:val="num" w:pos="340"/>
              </w:tabs>
              <w:overflowPunct/>
              <w:ind w:left="340"/>
              <w:textAlignment w:val="auto"/>
            </w:pPr>
            <w:r>
              <w:t>When there are multiple muscle groups injuries that:</w:t>
            </w:r>
          </w:p>
          <w:p w:rsidR="00013EB8" w:rsidRDefault="00013EB8">
            <w:pPr>
              <w:tabs>
                <w:tab w:val="num" w:pos="340"/>
              </w:tabs>
              <w:overflowPunct/>
              <w:ind w:left="340"/>
              <w:textAlignment w:val="auto"/>
            </w:pPr>
            <w:r>
              <w:t>- are in the same anatomical region, AND</w:t>
            </w:r>
          </w:p>
          <w:p w:rsidR="00013EB8" w:rsidRDefault="00013EB8">
            <w:pPr>
              <w:tabs>
                <w:tab w:val="num" w:pos="340"/>
              </w:tabs>
              <w:overflowPunct/>
              <w:ind w:left="340"/>
              <w:textAlignment w:val="auto"/>
            </w:pPr>
            <w:r>
              <w:t>- are NOT acting on the same joint, AND</w:t>
            </w:r>
          </w:p>
          <w:p w:rsidR="00013EB8" w:rsidRDefault="00013EB8">
            <w:pPr>
              <w:tabs>
                <w:tab w:val="num" w:pos="340"/>
              </w:tabs>
              <w:overflowPunct/>
              <w:ind w:left="340"/>
              <w:textAlignment w:val="auto"/>
            </w:pPr>
            <w:r>
              <w:t>- are compensable;</w:t>
            </w:r>
          </w:p>
          <w:p w:rsidR="00013EB8" w:rsidRDefault="004E5F84" w:rsidP="007F1619">
            <w:pPr>
              <w:tabs>
                <w:tab w:val="num" w:pos="340"/>
              </w:tabs>
              <w:overflowPunct/>
              <w:spacing w:after="120"/>
              <w:ind w:left="346"/>
              <w:textAlignment w:val="auto"/>
            </w:pPr>
            <w:r>
              <w:t>Y</w:t>
            </w:r>
            <w:r w:rsidR="00013EB8">
              <w:t>ou'll rate the most severely injured MG one level higher than would otherwise be assigned, and use this as the combined evaluation for all affected muscle groups in this region.</w:t>
            </w:r>
          </w:p>
          <w:p w:rsidR="00013EB8" w:rsidRDefault="00013EB8" w:rsidP="007F1619">
            <w:pPr>
              <w:tabs>
                <w:tab w:val="num" w:pos="340"/>
              </w:tabs>
              <w:overflowPunct/>
              <w:spacing w:after="120"/>
              <w:ind w:left="346"/>
              <w:textAlignment w:val="auto"/>
              <w:rPr>
                <w:i/>
                <w:iCs/>
              </w:rPr>
            </w:pPr>
            <w:r>
              <w:rPr>
                <w:i/>
                <w:iCs/>
              </w:rPr>
              <w:t>The "Application of the Amputation Rule HO" has nice pictures of all the muscle groups.</w:t>
            </w:r>
          </w:p>
          <w:p w:rsidR="00013EB8" w:rsidRDefault="00013EB8">
            <w:pPr>
              <w:tabs>
                <w:tab w:val="num" w:pos="340"/>
              </w:tabs>
              <w:overflowPunct/>
              <w:ind w:left="340"/>
              <w:textAlignment w:val="auto"/>
            </w:pPr>
            <w:r>
              <w:t>(0) Absent:</w:t>
            </w:r>
            <w:r>
              <w:tab/>
              <w:t>No contraction felt.</w:t>
            </w:r>
          </w:p>
          <w:p w:rsidR="00013EB8" w:rsidRDefault="00013EB8">
            <w:pPr>
              <w:tabs>
                <w:tab w:val="num" w:pos="340"/>
              </w:tabs>
              <w:overflowPunct/>
              <w:ind w:left="340"/>
              <w:textAlignment w:val="auto"/>
            </w:pPr>
            <w:r>
              <w:t>(1) Trace:</w:t>
            </w:r>
            <w:r>
              <w:tab/>
              <w:t>Muscle can be felt to tighten, but no movement is produced.</w:t>
            </w:r>
          </w:p>
          <w:p w:rsidR="00013EB8" w:rsidRDefault="00013EB8">
            <w:pPr>
              <w:tabs>
                <w:tab w:val="num" w:pos="340"/>
              </w:tabs>
              <w:overflowPunct/>
              <w:ind w:left="340"/>
              <w:textAlignment w:val="auto"/>
            </w:pPr>
            <w:r>
              <w:t>(2) Poor:</w:t>
            </w:r>
            <w:r>
              <w:tab/>
              <w:t>Muscle movement is produced only with gravity eliminated.</w:t>
            </w:r>
          </w:p>
          <w:p w:rsidR="00013EB8" w:rsidRDefault="00013EB8">
            <w:pPr>
              <w:tabs>
                <w:tab w:val="num" w:pos="340"/>
              </w:tabs>
              <w:overflowPunct/>
              <w:ind w:left="340"/>
              <w:textAlignment w:val="auto"/>
            </w:pPr>
            <w:r>
              <w:t>(3) Fair:</w:t>
            </w:r>
            <w:r>
              <w:tab/>
              <w:t>Muscle movement is produced against gravity, but cannot overcome resistance.</w:t>
            </w:r>
          </w:p>
          <w:p w:rsidR="00013EB8" w:rsidRDefault="00013EB8">
            <w:pPr>
              <w:tabs>
                <w:tab w:val="num" w:pos="340"/>
              </w:tabs>
              <w:overflowPunct/>
              <w:ind w:left="340"/>
              <w:textAlignment w:val="auto"/>
            </w:pPr>
            <w:r>
              <w:t>(4) Good:</w:t>
            </w:r>
            <w:r>
              <w:tab/>
              <w:t>Muscle movement is produced against resistance, however, less than “normal” resistance.</w:t>
            </w:r>
          </w:p>
          <w:p w:rsidR="00013EB8" w:rsidRDefault="00013EB8" w:rsidP="007F1619">
            <w:pPr>
              <w:tabs>
                <w:tab w:val="num" w:pos="340"/>
              </w:tabs>
              <w:overflowPunct/>
              <w:spacing w:after="120"/>
              <w:ind w:left="346"/>
              <w:textAlignment w:val="auto"/>
            </w:pPr>
            <w:r>
              <w:t>(5) Normal:</w:t>
            </w:r>
            <w:r>
              <w:tab/>
              <w:t>Muscle movement can overcome “normal” resistance.</w:t>
            </w:r>
          </w:p>
          <w:p w:rsidR="00013EB8" w:rsidRDefault="00013EB8" w:rsidP="007F1619">
            <w:pPr>
              <w:tabs>
                <w:tab w:val="num" w:pos="340"/>
              </w:tabs>
              <w:overflowPunct/>
              <w:spacing w:after="120"/>
              <w:ind w:left="346"/>
              <w:textAlignment w:val="auto"/>
            </w:pPr>
            <w:r>
              <w:rPr>
                <w:i/>
                <w:iCs/>
                <w:color w:val="000000"/>
              </w:rPr>
              <w:t>Remember, when rating wounds of the chest or abdomen, you must rate the muscle groups penetrated, as well as any affected internal organs.</w:t>
            </w:r>
          </w:p>
          <w:p w:rsidR="007F1619" w:rsidRDefault="00013EB8" w:rsidP="007F1619">
            <w:pPr>
              <w:tabs>
                <w:tab w:val="num" w:pos="340"/>
              </w:tabs>
              <w:overflowPunct/>
              <w:spacing w:after="120"/>
              <w:ind w:left="346"/>
              <w:textAlignment w:val="auto"/>
            </w:pPr>
            <w:r>
              <w:t xml:space="preserve">4.56(a) - An open </w:t>
            </w:r>
            <w:r>
              <w:rPr>
                <w:i/>
                <w:iCs/>
              </w:rPr>
              <w:t xml:space="preserve">(or compound, bone sticking through the skin) </w:t>
            </w:r>
            <w:r>
              <w:t xml:space="preserve">comminuted </w:t>
            </w:r>
            <w:r>
              <w:rPr>
                <w:i/>
                <w:iCs/>
              </w:rPr>
              <w:t xml:space="preserve">(bone is broken, splintered or crushed into a number of pieces) </w:t>
            </w:r>
            <w:r>
              <w:t>fracture with muscle or tendon damage will be rated as a severe injury of the muscle group involved unless, for locations such as in the wrist or over the tibia, evidence establishes that the muscle damage is minimal.</w:t>
            </w:r>
          </w:p>
          <w:p w:rsidR="00013EB8" w:rsidRDefault="00013EB8" w:rsidP="007F1619">
            <w:pPr>
              <w:tabs>
                <w:tab w:val="num" w:pos="340"/>
              </w:tabs>
              <w:overflowPunct/>
              <w:spacing w:after="120"/>
              <w:ind w:left="346"/>
              <w:textAlignment w:val="auto"/>
              <w:rPr>
                <w:i/>
                <w:iCs/>
                <w:color w:val="000000"/>
              </w:rPr>
            </w:pPr>
            <w:r>
              <w:t xml:space="preserve">4.56(b) - A through-and-through wound injury </w:t>
            </w:r>
            <w:r>
              <w:rPr>
                <w:i/>
                <w:iCs/>
              </w:rPr>
              <w:t xml:space="preserve">(has an entrance and exit wound, destroys muscle tissue by crushing it, exit wounds are generally larger) </w:t>
            </w:r>
            <w:r>
              <w:t xml:space="preserve">with muscle damage shall be evaluated as </w:t>
            </w:r>
            <w:r>
              <w:rPr>
                <w:b/>
                <w:bCs/>
                <w:u w:val="single"/>
              </w:rPr>
              <w:t>no less than</w:t>
            </w:r>
            <w:r>
              <w:rPr>
                <w:b/>
                <w:bCs/>
              </w:rPr>
              <w:t xml:space="preserve"> </w:t>
            </w:r>
            <w:r>
              <w:t>a moderate injury for each group of muscles damaged.</w:t>
            </w:r>
          </w:p>
          <w:p w:rsidR="00013EB8" w:rsidRDefault="00013EB8" w:rsidP="007F1619">
            <w:pPr>
              <w:tabs>
                <w:tab w:val="num" w:pos="340"/>
              </w:tabs>
              <w:overflowPunct/>
              <w:spacing w:after="120"/>
              <w:ind w:left="346"/>
              <w:textAlignment w:val="auto"/>
              <w:rPr>
                <w:i/>
                <w:iCs/>
                <w:color w:val="000000"/>
              </w:rPr>
            </w:pPr>
            <w:r>
              <w:rPr>
                <w:i/>
                <w:iCs/>
                <w:color w:val="000000"/>
              </w:rPr>
              <w:t>As there are currently many wounds incurred from improvised explosive devices (IEDs), RVSRs should be aware that fragments often result from such devices. Fragments from Explosive Devices - Most result in decreased tissue penetration, compared to denser rifle bullets.  When struck by multiple fragments in a localized area, the crush mechanism results in massive tissue disruption.</w:t>
            </w:r>
          </w:p>
          <w:p w:rsidR="00013EB8" w:rsidRDefault="00013EB8" w:rsidP="007F1619">
            <w:pPr>
              <w:tabs>
                <w:tab w:val="num" w:pos="340"/>
              </w:tabs>
              <w:overflowPunct/>
              <w:spacing w:after="120"/>
              <w:ind w:left="346"/>
              <w:textAlignment w:val="auto"/>
            </w:pPr>
            <w:r>
              <w:t xml:space="preserve">4.56(d)(1) - do </w:t>
            </w:r>
            <w:r>
              <w:rPr>
                <w:u w:val="single"/>
              </w:rPr>
              <w:t>NOT</w:t>
            </w:r>
            <w:r w:rsidR="00101541">
              <w:t xml:space="preserve"> assign</w:t>
            </w:r>
            <w:r>
              <w:t xml:space="preserve"> a slight evaluation if there are cardinal signs or symptoms of muscle disability; fascial defect, atrophy or impaired tonus; impairment of function; or metallic fragments retained in muscle tissue</w:t>
            </w:r>
          </w:p>
          <w:p w:rsidR="00013EB8" w:rsidRDefault="00013EB8" w:rsidP="007F1619">
            <w:pPr>
              <w:tabs>
                <w:tab w:val="num" w:pos="340"/>
              </w:tabs>
              <w:overflowPunct/>
              <w:spacing w:after="120"/>
              <w:ind w:left="346"/>
              <w:textAlignment w:val="auto"/>
              <w:rPr>
                <w:i/>
                <w:iCs/>
                <w:color w:val="000000"/>
              </w:rPr>
            </w:pPr>
            <w:r>
              <w:rPr>
                <w:b/>
                <w:bCs/>
              </w:rPr>
              <w:t xml:space="preserve">4.14 - </w:t>
            </w:r>
            <w:r>
              <w:t>Don't combine overlapping symptoms from injuries to the muscles, nerves and joints. Separate ratings under 7800, 7801, 7802, 7803 &amp; 7804 is not pyramiding, but a separate rating under 7805 is pyramiding if it's for the same body part that is receiving a rating for muscle injury because 7805 evaluates limitation of function.</w:t>
            </w:r>
            <w:r w:rsidR="00807EF5">
              <w:t xml:space="preserve"> </w:t>
            </w:r>
          </w:p>
          <w:p w:rsidR="00013EB8" w:rsidRDefault="00013EB8" w:rsidP="007F1619">
            <w:pPr>
              <w:tabs>
                <w:tab w:val="num" w:pos="340"/>
              </w:tabs>
              <w:overflowPunct/>
              <w:spacing w:after="120"/>
              <w:ind w:left="340"/>
              <w:textAlignment w:val="auto"/>
              <w:rPr>
                <w:b/>
                <w:bCs/>
                <w:smallCaps/>
              </w:rPr>
            </w:pPr>
            <w:r>
              <w:rPr>
                <w:b/>
                <w:bCs/>
                <w:smallCaps/>
              </w:rPr>
              <w:t>Things to Remember When Evaluating Gunshot Wound Claims</w:t>
            </w:r>
          </w:p>
          <w:p w:rsidR="00013EB8" w:rsidRDefault="00013EB8" w:rsidP="00F063AF">
            <w:pPr>
              <w:numPr>
                <w:ilvl w:val="0"/>
                <w:numId w:val="129"/>
              </w:numPr>
              <w:overflowPunct/>
              <w:spacing w:after="120"/>
              <w:textAlignment w:val="auto"/>
            </w:pPr>
            <w:r>
              <w:rPr>
                <w:b/>
                <w:bCs/>
              </w:rPr>
              <w:t xml:space="preserve">Rate all disabilities - </w:t>
            </w:r>
            <w:r>
              <w:t xml:space="preserve">All manifestations of a GSW or SFW injury </w:t>
            </w:r>
            <w:r>
              <w:rPr>
                <w:i/>
                <w:iCs/>
              </w:rPr>
              <w:t>affecting different bodily functions</w:t>
            </w:r>
            <w:r>
              <w:t xml:space="preserve"> are </w:t>
            </w:r>
            <w:r>
              <w:rPr>
                <w:b/>
                <w:bCs/>
              </w:rPr>
              <w:t>separately</w:t>
            </w:r>
            <w:r>
              <w:t xml:space="preserve"> ratable.  </w:t>
            </w:r>
          </w:p>
          <w:p w:rsidR="00013EB8" w:rsidRDefault="00013EB8" w:rsidP="00F063AF">
            <w:pPr>
              <w:numPr>
                <w:ilvl w:val="0"/>
                <w:numId w:val="129"/>
              </w:numPr>
              <w:overflowPunct/>
              <w:spacing w:after="120"/>
              <w:textAlignment w:val="auto"/>
            </w:pPr>
            <w:r>
              <w:rPr>
                <w:b/>
                <w:bCs/>
              </w:rPr>
              <w:t xml:space="preserve">Amputation Rule - </w:t>
            </w:r>
            <w:r>
              <w:t xml:space="preserve">The combined rating for residuals of a GSW/SFW to an upper or lower extremity, with certain exceptions related to osteomyelitis, </w:t>
            </w:r>
            <w:r>
              <w:rPr>
                <w:i/>
                <w:iCs/>
              </w:rPr>
              <w:t>cannot exceed the rating for amputation at the elective level</w:t>
            </w:r>
            <w:r>
              <w:t>, were amputation to be performed.  38 C.F.R. § 4.68</w:t>
            </w:r>
          </w:p>
          <w:p w:rsidR="00013EB8" w:rsidRDefault="00013EB8" w:rsidP="00F063AF">
            <w:pPr>
              <w:numPr>
                <w:ilvl w:val="0"/>
                <w:numId w:val="129"/>
              </w:numPr>
              <w:overflowPunct/>
              <w:spacing w:after="120"/>
              <w:textAlignment w:val="auto"/>
            </w:pPr>
            <w:r>
              <w:rPr>
                <w:b/>
                <w:bCs/>
              </w:rPr>
              <w:t xml:space="preserve">Pleural Cavity Injury and MG XXI - </w:t>
            </w:r>
            <w:r>
              <w:t>Separate ratings for a pleural cavity injury (diagnostic code 6800) and injury to Muscle Group XXI are prohibited.  38 C.F.R. § 4.97, Diagnostic Codes 6840 to 6845, note 3.</w:t>
            </w:r>
          </w:p>
          <w:p w:rsidR="00013EB8" w:rsidRDefault="00013EB8" w:rsidP="00F063AF">
            <w:pPr>
              <w:numPr>
                <w:ilvl w:val="0"/>
                <w:numId w:val="129"/>
              </w:numPr>
              <w:overflowPunct/>
              <w:spacing w:after="120"/>
              <w:textAlignment w:val="auto"/>
            </w:pPr>
            <w:r>
              <w:rPr>
                <w:b/>
                <w:bCs/>
              </w:rPr>
              <w:t xml:space="preserve">Pleural Cavity Injury and MG I &amp; IV - </w:t>
            </w:r>
            <w:r>
              <w:t>Disabling injuries of shoulder girdle muscles (Groups I and IV) shall be separately rated and combined with respiratory involvement.  38 C.F.R. § 4.97, Diagnostic Codes 6840 to 6845, note 3.</w:t>
            </w:r>
          </w:p>
          <w:p w:rsidR="00013EB8" w:rsidRDefault="00013EB8" w:rsidP="00F063AF">
            <w:pPr>
              <w:numPr>
                <w:ilvl w:val="0"/>
                <w:numId w:val="129"/>
              </w:numPr>
              <w:overflowPunct/>
              <w:spacing w:after="120"/>
              <w:textAlignment w:val="auto"/>
            </w:pPr>
            <w:r>
              <w:rPr>
                <w:b/>
                <w:bCs/>
              </w:rPr>
              <w:t xml:space="preserve">Open comminuted fracture - severe muscle rating - </w:t>
            </w:r>
            <w:r>
              <w:t xml:space="preserve">Open comminuted fracture with muscle or tendon damage will be rated as a severe injury of the muscle group involved unless, for locations such as in the wrist or over the tibia, evidence establishes that the muscle damage is minimal.  38 C.F.R. § 4.56(a).  </w:t>
            </w:r>
          </w:p>
          <w:p w:rsidR="00013EB8" w:rsidRDefault="00013EB8" w:rsidP="00F063AF">
            <w:pPr>
              <w:numPr>
                <w:ilvl w:val="0"/>
                <w:numId w:val="129"/>
              </w:numPr>
              <w:overflowPunct/>
              <w:spacing w:after="120"/>
              <w:textAlignment w:val="auto"/>
            </w:pPr>
            <w:r>
              <w:rPr>
                <w:b/>
                <w:bCs/>
              </w:rPr>
              <w:t xml:space="preserve">GSW/SFW fractures all open - </w:t>
            </w:r>
            <w:r>
              <w:t>All GSW/SFW fractures should be considered open because all of them involve an opening to the outside.  Most GSW/FSW fractures are also comminuted due to the shattering nature of the injury.</w:t>
            </w:r>
          </w:p>
          <w:p w:rsidR="00013EB8" w:rsidRDefault="002408B5" w:rsidP="00F063AF">
            <w:pPr>
              <w:numPr>
                <w:ilvl w:val="0"/>
                <w:numId w:val="129"/>
              </w:numPr>
              <w:overflowPunct/>
              <w:spacing w:after="120"/>
              <w:textAlignment w:val="auto"/>
            </w:pPr>
            <w:r>
              <w:rPr>
                <w:b/>
                <w:bCs/>
              </w:rPr>
              <w:t>Through-and-</w:t>
            </w:r>
            <w:r w:rsidR="00013EB8">
              <w:rPr>
                <w:b/>
                <w:bCs/>
              </w:rPr>
              <w:t xml:space="preserve">through muscle injury minimum moderate </w:t>
            </w:r>
            <w:r>
              <w:rPr>
                <w:b/>
                <w:bCs/>
              </w:rPr>
              <w:t>–</w:t>
            </w:r>
            <w:r w:rsidR="00013EB8">
              <w:rPr>
                <w:b/>
                <w:bCs/>
              </w:rPr>
              <w:t xml:space="preserve"> </w:t>
            </w:r>
            <w:r>
              <w:t>Through-and-</w:t>
            </w:r>
            <w:r w:rsidR="00013EB8">
              <w:t>through injury with muscle damage shall be evaluated no less than a moderate injury for each muscle group affected.  38 C.F.R. § 4.56(b).</w:t>
            </w:r>
          </w:p>
          <w:p w:rsidR="008D3B4B" w:rsidRPr="00B44E74" w:rsidRDefault="00013EB8" w:rsidP="00F063AF">
            <w:pPr>
              <w:pStyle w:val="Footer"/>
              <w:widowControl w:val="0"/>
              <w:numPr>
                <w:ilvl w:val="0"/>
                <w:numId w:val="129"/>
              </w:numPr>
              <w:tabs>
                <w:tab w:val="clear" w:pos="4320"/>
                <w:tab w:val="clear" w:pos="8640"/>
              </w:tabs>
              <w:spacing w:after="120"/>
            </w:pPr>
            <w:r>
              <w:rPr>
                <w:b/>
                <w:bCs/>
              </w:rPr>
              <w:t xml:space="preserve">Special Monthly Compensation for Loss of Use - </w:t>
            </w:r>
            <w:r>
              <w:t>Consider special monthly compensation for loss of use of any extremity or loss of use of both buttocks.</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iCs/>
              </w:rPr>
              <w:t>4.56</w:t>
            </w:r>
          </w:p>
        </w:tc>
        <w:tc>
          <w:tcPr>
            <w:tcW w:w="9870" w:type="dxa"/>
            <w:tcBorders>
              <w:top w:val="nil"/>
              <w:left w:val="nil"/>
              <w:bottom w:val="nil"/>
              <w:right w:val="nil"/>
            </w:tcBorders>
          </w:tcPr>
          <w:p w:rsidR="00013EB8" w:rsidRDefault="00013EB8">
            <w:pPr>
              <w:widowControl w:val="0"/>
              <w:numPr>
                <w:ilvl w:val="12"/>
                <w:numId w:val="0"/>
              </w:numPr>
              <w:rPr>
                <w:iCs/>
              </w:rPr>
            </w:pPr>
            <w:r>
              <w:rPr>
                <w:b/>
              </w:rPr>
              <w:t>Evaluation of muscle disabilities</w:t>
            </w:r>
            <w:r>
              <w:t xml:space="preserve"> –</w:t>
            </w:r>
            <w:r>
              <w:rPr>
                <w:i/>
              </w:rPr>
              <w:t xml:space="preserve">open comminuted fracture with muscle/tendon damage = severe, thru &amp; thru with muscle damage = at least moderate, don’t forget amputation rule (read regulation), retained fragments = at least moderate, but </w:t>
            </w:r>
            <w:r>
              <w:rPr>
                <w:b/>
                <w:bCs/>
                <w:i/>
              </w:rPr>
              <w:t>Tropf (8/24/06) &amp; Robertson (1993)</w:t>
            </w:r>
            <w:r>
              <w:rPr>
                <w:i/>
              </w:rPr>
              <w:t xml:space="preserve"> (court cases) say that 4.56d “is essentially a totality-of-the-circumstances test and no single factor is per se controlling</w:t>
            </w:r>
            <w:r w:rsidR="001946CC">
              <w:rPr>
                <w:i/>
              </w:rPr>
              <w:t>,”</w:t>
            </w:r>
            <w:r>
              <w:rPr>
                <w:i/>
              </w:rPr>
              <w:t xml:space="preserve"> so can say </w:t>
            </w:r>
            <w:r>
              <w:rPr>
                <w:i/>
                <w:u w:val="single"/>
              </w:rPr>
              <w:t>no CUE</w:t>
            </w:r>
            <w:r>
              <w:rPr>
                <w:i/>
              </w:rPr>
              <w:t xml:space="preserve"> because, </w:t>
            </w:r>
            <w:r>
              <w:rPr>
                <w:iCs/>
              </w:rPr>
              <w:t>“These findings warrant a 0 percent evaluation under VA rules, practices and procedures, including Court cases that have stated that under VA regulations the actual disability should be determined by the totality-of-the-circumstances and that no single factor is per se controlling.”</w:t>
            </w:r>
          </w:p>
          <w:p w:rsidR="00013EB8" w:rsidRDefault="00013EB8" w:rsidP="007F1619">
            <w:pPr>
              <w:widowControl w:val="0"/>
              <w:numPr>
                <w:ilvl w:val="12"/>
                <w:numId w:val="0"/>
              </w:numPr>
              <w:spacing w:after="120"/>
            </w:pPr>
            <w:r>
              <w:rPr>
                <w:iCs/>
              </w:rPr>
              <w:t>Or special notation:  Per Tropf v. Robertson, 4.56d "is essentially a totality-of-the-circumstances test and no single factor is per se controlling."</w:t>
            </w:r>
          </w:p>
        </w:tc>
      </w:tr>
      <w:tr w:rsidR="00013EB8" w:rsidTr="000A206A">
        <w:trPr>
          <w:trHeight w:val="205"/>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4.57</w:t>
            </w:r>
          </w:p>
        </w:tc>
        <w:tc>
          <w:tcPr>
            <w:tcW w:w="9870" w:type="dxa"/>
            <w:tcBorders>
              <w:top w:val="nil"/>
              <w:left w:val="nil"/>
              <w:bottom w:val="nil"/>
              <w:right w:val="nil"/>
            </w:tcBorders>
          </w:tcPr>
          <w:p w:rsidR="00013EB8" w:rsidRDefault="00013EB8">
            <w:pPr>
              <w:widowControl w:val="0"/>
              <w:numPr>
                <w:ilvl w:val="12"/>
                <w:numId w:val="0"/>
              </w:numPr>
            </w:pPr>
            <w:r>
              <w:rPr>
                <w:b/>
              </w:rPr>
              <w:t>Static foot deformities</w:t>
            </w:r>
            <w:r>
              <w:t xml:space="preserve"> – distinguish between congenital and acquired flat feet</w:t>
            </w:r>
          </w:p>
          <w:p w:rsidR="00013EB8" w:rsidRDefault="00013EB8">
            <w:pPr>
              <w:widowControl w:val="0"/>
              <w:numPr>
                <w:ilvl w:val="12"/>
                <w:numId w:val="0"/>
              </w:numPr>
            </w:pPr>
            <w:r>
              <w:t xml:space="preserve">“Grant service-connection for </w:t>
            </w:r>
            <w:r>
              <w:rPr>
                <w:i/>
                <w:iCs/>
              </w:rPr>
              <w:t>acquired</w:t>
            </w:r>
            <w:r>
              <w:t xml:space="preserve"> flat feet, or pes planus, DC 5276, but not for the </w:t>
            </w:r>
            <w:r>
              <w:rPr>
                <w:i/>
                <w:iCs/>
              </w:rPr>
              <w:t>congenital</w:t>
            </w:r>
            <w:r>
              <w:t xml:space="preserve"> variant.  The rating specialist should carefully review 38 CFR 4.57 to distinguish between the two.  Simple flattening of the arches without evidence of abnormal callosities, areas of pressure, strain or demonstrable tenderness, is a congenital abnormality.  In the acquired condition, there is depression of the longitudinal arch, but this is not the essential feature.  There would also be associated anatomical changes, such as the inward rotation of the superior portion of the os calcis, medial deviation of the insertion of the Achilles tendon, or a medial tilting of the upper border of the astragalus.  The plantar surface of the foot would be painful and show demonstrable tenderness, and manipulation of the foot would produce spasm of the Achilles tendon, peroneal spasm due to adhesion about the peroneal sheaths, and other evidence of pain and limitation of motion.”- Musculoskeletal Training Student Guide</w:t>
            </w:r>
          </w:p>
          <w:p w:rsidR="00013EB8" w:rsidRDefault="00013EB8" w:rsidP="007F1619">
            <w:pPr>
              <w:widowControl w:val="0"/>
              <w:numPr>
                <w:ilvl w:val="12"/>
                <w:numId w:val="0"/>
              </w:numPr>
              <w:spacing w:after="120"/>
            </w:pPr>
            <w:r>
              <w:rPr>
                <w:i/>
              </w:rPr>
              <w:t>service connect pes cavus (5278) only if trauma or definite aggravation</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4.58</w:t>
            </w:r>
          </w:p>
        </w:tc>
        <w:tc>
          <w:tcPr>
            <w:tcW w:w="9870" w:type="dxa"/>
            <w:tcBorders>
              <w:top w:val="nil"/>
              <w:left w:val="nil"/>
              <w:bottom w:val="nil"/>
              <w:right w:val="nil"/>
            </w:tcBorders>
          </w:tcPr>
          <w:p w:rsidR="00013EB8" w:rsidRDefault="00013EB8" w:rsidP="007F1619">
            <w:pPr>
              <w:widowControl w:val="0"/>
              <w:numPr>
                <w:ilvl w:val="12"/>
                <w:numId w:val="0"/>
              </w:numPr>
              <w:spacing w:after="120"/>
            </w:pPr>
            <w:r>
              <w:rPr>
                <w:b/>
              </w:rPr>
              <w:t>Arthritis due to strain</w:t>
            </w:r>
            <w:r>
              <w:t xml:space="preserve"> – arthritis in only those joints directly affected by strain from lower extremity amputation or shortening will be considered for service connection, includes same extremity, both lower extremities, lumbosacral joints and lumbar spine, upper extremities are not considered causative</w:t>
            </w:r>
          </w:p>
        </w:tc>
      </w:tr>
      <w:tr w:rsidR="00013EB8" w:rsidTr="000A206A">
        <w:trPr>
          <w:trHeight w:val="205"/>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4.59</w:t>
            </w:r>
          </w:p>
        </w:tc>
        <w:tc>
          <w:tcPr>
            <w:tcW w:w="9870" w:type="dxa"/>
            <w:tcBorders>
              <w:top w:val="nil"/>
              <w:left w:val="nil"/>
              <w:bottom w:val="nil"/>
              <w:right w:val="nil"/>
            </w:tcBorders>
          </w:tcPr>
          <w:p w:rsidR="00013EB8" w:rsidRDefault="00013EB8" w:rsidP="007F1619">
            <w:pPr>
              <w:widowControl w:val="0"/>
              <w:numPr>
                <w:ilvl w:val="12"/>
                <w:numId w:val="0"/>
              </w:numPr>
              <w:spacing w:after="120"/>
              <w:rPr>
                <w:i/>
              </w:rPr>
            </w:pPr>
            <w:r>
              <w:rPr>
                <w:b/>
              </w:rPr>
              <w:t xml:space="preserve">Painful motion </w:t>
            </w:r>
            <w:r>
              <w:t>– to justify “the minimum compensable rating” for an arthritic joint, painful motion can be shown by “facial expression, wincing, etc. on pressure or manipulation</w:t>
            </w:r>
            <w:r w:rsidR="001946CC">
              <w:t>,”</w:t>
            </w:r>
            <w:r>
              <w:t xml:space="preserve"> also mentions muscle spasm, and crepitation with flexion; </w:t>
            </w:r>
            <w:r>
              <w:rPr>
                <w:i/>
              </w:rPr>
              <w:t>tenderness, swelling, redness and crepitation are indicative of pain</w:t>
            </w:r>
          </w:p>
          <w:p w:rsidR="00613E11" w:rsidRPr="00AD1D2B" w:rsidRDefault="00613E11" w:rsidP="00F063AF">
            <w:pPr>
              <w:widowControl w:val="0"/>
              <w:numPr>
                <w:ilvl w:val="0"/>
                <w:numId w:val="175"/>
              </w:numPr>
              <w:spacing w:after="120"/>
              <w:ind w:left="330"/>
              <w:rPr>
                <w:b/>
                <w:i/>
              </w:rPr>
            </w:pPr>
            <w:r>
              <w:rPr>
                <w:b/>
                <w:i/>
              </w:rPr>
              <w:t>Schafrath v. Derwinski</w:t>
            </w:r>
            <w:r>
              <w:rPr>
                <w:b/>
              </w:rPr>
              <w:t xml:space="preserve"> </w:t>
            </w:r>
            <w:r w:rsidRPr="00AD1D2B">
              <w:t>(11/26/91)</w:t>
            </w:r>
            <w:r>
              <w:t xml:space="preserve"> – functional loss due to pain or weakness is to be rated at the same level as the functional loss where motion is impeded.  Veteran’s elbow cond was reduced even though it affected his employment.</w:t>
            </w:r>
          </w:p>
          <w:p w:rsidR="00613E11" w:rsidRPr="00682002" w:rsidRDefault="00613E11" w:rsidP="00F063AF">
            <w:pPr>
              <w:widowControl w:val="0"/>
              <w:numPr>
                <w:ilvl w:val="0"/>
                <w:numId w:val="175"/>
              </w:numPr>
              <w:spacing w:after="120"/>
              <w:ind w:left="330" w:right="420"/>
              <w:rPr>
                <w:b/>
                <w:i/>
              </w:rPr>
            </w:pPr>
            <w:r>
              <w:rPr>
                <w:b/>
                <w:i/>
              </w:rPr>
              <w:t xml:space="preserve">Hicks v. Brown </w:t>
            </w:r>
            <w:r w:rsidRPr="00AD1D2B">
              <w:t>(1995)</w:t>
            </w:r>
            <w:r>
              <w:t xml:space="preserve"> – painful motion is considered limited motion even though ROM is possible beyond the point when pain sets in</w:t>
            </w:r>
          </w:p>
          <w:p w:rsidR="00682002" w:rsidRPr="00984FEE" w:rsidRDefault="00682002" w:rsidP="00F063AF">
            <w:pPr>
              <w:pStyle w:val="ListParagraph"/>
              <w:numPr>
                <w:ilvl w:val="0"/>
                <w:numId w:val="175"/>
              </w:numPr>
              <w:spacing w:before="120" w:after="120" w:line="240" w:lineRule="auto"/>
              <w:ind w:left="330"/>
              <w:rPr>
                <w:rFonts w:ascii="Arial" w:hAnsi="Arial"/>
                <w:i/>
                <w:sz w:val="20"/>
                <w:szCs w:val="20"/>
              </w:rPr>
            </w:pPr>
            <w:r w:rsidRPr="00984FEE">
              <w:rPr>
                <w:rFonts w:ascii="Arial" w:hAnsi="Arial"/>
                <w:b/>
                <w:i/>
                <w:sz w:val="20"/>
                <w:szCs w:val="20"/>
              </w:rPr>
              <w:t>Burton v. Shinseki</w:t>
            </w:r>
            <w:r w:rsidRPr="00984FEE">
              <w:rPr>
                <w:rFonts w:ascii="Arial" w:hAnsi="Arial"/>
                <w:i/>
                <w:sz w:val="20"/>
                <w:szCs w:val="20"/>
              </w:rPr>
              <w:t xml:space="preserve"> </w:t>
            </w:r>
            <w:r w:rsidRPr="00984FEE">
              <w:rPr>
                <w:rFonts w:ascii="Arial" w:hAnsi="Arial"/>
                <w:sz w:val="20"/>
                <w:szCs w:val="20"/>
              </w:rPr>
              <w:t>(8/4/11)</w:t>
            </w:r>
            <w:r w:rsidRPr="00984FEE">
              <w:rPr>
                <w:rFonts w:ascii="Arial" w:hAnsi="Arial"/>
                <w:i/>
                <w:sz w:val="20"/>
                <w:szCs w:val="20"/>
              </w:rPr>
              <w:t xml:space="preserve"> – </w:t>
            </w:r>
            <w:r w:rsidRPr="00984FEE">
              <w:rPr>
                <w:rFonts w:ascii="Arial" w:hAnsi="Arial"/>
                <w:sz w:val="20"/>
                <w:szCs w:val="20"/>
              </w:rPr>
              <w:t>4.59 is not limited to arthritis claims</w:t>
            </w:r>
          </w:p>
          <w:p w:rsidR="00A279A0" w:rsidRPr="00984FEE" w:rsidRDefault="00A279A0" w:rsidP="00F063AF">
            <w:pPr>
              <w:pStyle w:val="ListParagraph"/>
              <w:numPr>
                <w:ilvl w:val="0"/>
                <w:numId w:val="175"/>
              </w:numPr>
              <w:spacing w:before="120" w:after="120" w:line="240" w:lineRule="auto"/>
              <w:ind w:left="330"/>
              <w:rPr>
                <w:rFonts w:ascii="Arial" w:hAnsi="Arial"/>
                <w:i/>
                <w:sz w:val="20"/>
                <w:szCs w:val="20"/>
              </w:rPr>
            </w:pPr>
            <w:r w:rsidRPr="00984FEE">
              <w:rPr>
                <w:rFonts w:ascii="Arial" w:hAnsi="Arial"/>
                <w:b/>
                <w:i/>
                <w:sz w:val="20"/>
                <w:szCs w:val="20"/>
              </w:rPr>
              <w:t>Petitti v. McDonald</w:t>
            </w:r>
            <w:r w:rsidRPr="00984FEE">
              <w:rPr>
                <w:rFonts w:ascii="Arial" w:hAnsi="Arial"/>
                <w:i/>
                <w:sz w:val="20"/>
                <w:szCs w:val="20"/>
              </w:rPr>
              <w:t xml:space="preserve"> </w:t>
            </w:r>
            <w:r w:rsidRPr="00984FEE">
              <w:rPr>
                <w:rFonts w:ascii="Arial" w:hAnsi="Arial"/>
                <w:sz w:val="20"/>
                <w:szCs w:val="20"/>
              </w:rPr>
              <w:t>(</w:t>
            </w:r>
            <w:r w:rsidR="00682002" w:rsidRPr="00984FEE">
              <w:rPr>
                <w:rFonts w:ascii="Arial" w:hAnsi="Arial"/>
                <w:sz w:val="20"/>
                <w:szCs w:val="20"/>
              </w:rPr>
              <w:t>10/25/</w:t>
            </w:r>
            <w:r w:rsidRPr="00984FEE">
              <w:rPr>
                <w:rFonts w:ascii="Arial" w:hAnsi="Arial"/>
                <w:sz w:val="20"/>
                <w:szCs w:val="20"/>
              </w:rPr>
              <w:t>15)</w:t>
            </w:r>
            <w:r w:rsidRPr="00984FEE">
              <w:rPr>
                <w:rFonts w:ascii="Arial" w:hAnsi="Arial"/>
                <w:i/>
                <w:sz w:val="20"/>
                <w:szCs w:val="20"/>
              </w:rPr>
              <w:t xml:space="preserve"> - </w:t>
            </w:r>
            <w:r w:rsidRPr="00984FEE">
              <w:rPr>
                <w:rFonts w:ascii="Arial" w:hAnsi="Arial"/>
                <w:sz w:val="20"/>
                <w:szCs w:val="20"/>
              </w:rPr>
              <w:t>4.59 does not require objective evidence of painful motion</w:t>
            </w:r>
            <w:r w:rsidR="00456906" w:rsidRPr="00984FEE">
              <w:rPr>
                <w:rFonts w:ascii="Arial" w:hAnsi="Arial"/>
                <w:sz w:val="20"/>
                <w:szCs w:val="20"/>
              </w:rPr>
              <w:t xml:space="preserve"> </w:t>
            </w:r>
            <w:r w:rsidRPr="00984FEE">
              <w:rPr>
                <w:rFonts w:ascii="Arial" w:hAnsi="Arial"/>
                <w:sz w:val="20"/>
                <w:szCs w:val="20"/>
              </w:rPr>
              <w:t>for a compensable evaluation</w:t>
            </w:r>
            <w:r w:rsidR="00916F83" w:rsidRPr="00984FEE">
              <w:rPr>
                <w:rFonts w:ascii="Arial" w:hAnsi="Arial"/>
                <w:sz w:val="20"/>
                <w:szCs w:val="20"/>
              </w:rPr>
              <w:t xml:space="preserve">; </w:t>
            </w:r>
            <w:r w:rsidR="00916F83" w:rsidRPr="00984FEE">
              <w:rPr>
                <w:rFonts w:ascii="Arial" w:hAnsi="Arial"/>
                <w:b/>
                <w:sz w:val="20"/>
                <w:szCs w:val="20"/>
              </w:rPr>
              <w:t>III.iv.4.A.1.f</w:t>
            </w:r>
          </w:p>
          <w:p w:rsidR="00613E11" w:rsidRPr="00613E11" w:rsidRDefault="00613E11" w:rsidP="00F063AF">
            <w:pPr>
              <w:pStyle w:val="ListParagraph"/>
              <w:numPr>
                <w:ilvl w:val="0"/>
                <w:numId w:val="175"/>
              </w:numPr>
              <w:spacing w:before="120" w:after="120" w:line="240" w:lineRule="auto"/>
              <w:ind w:left="330"/>
              <w:rPr>
                <w:rFonts w:ascii="Arial" w:hAnsi="Arial"/>
                <w:i/>
                <w:sz w:val="18"/>
                <w:szCs w:val="20"/>
              </w:rPr>
            </w:pPr>
            <w:r w:rsidRPr="00A279A0">
              <w:rPr>
                <w:rFonts w:ascii="Arial" w:hAnsi="Arial"/>
                <w:b/>
                <w:i/>
                <w:sz w:val="20"/>
                <w:szCs w:val="20"/>
              </w:rPr>
              <w:t>Sowers v. McDonald</w:t>
            </w:r>
            <w:r>
              <w:rPr>
                <w:rFonts w:ascii="Arial" w:hAnsi="Arial"/>
                <w:i/>
                <w:sz w:val="20"/>
                <w:szCs w:val="20"/>
              </w:rPr>
              <w:t xml:space="preserve"> </w:t>
            </w:r>
            <w:r w:rsidRPr="00682002">
              <w:rPr>
                <w:rFonts w:ascii="Arial" w:hAnsi="Arial"/>
                <w:sz w:val="20"/>
                <w:szCs w:val="20"/>
              </w:rPr>
              <w:t>(2</w:t>
            </w:r>
            <w:r w:rsidR="00682002" w:rsidRPr="00682002">
              <w:rPr>
                <w:rFonts w:ascii="Arial" w:hAnsi="Arial"/>
                <w:sz w:val="20"/>
                <w:szCs w:val="20"/>
              </w:rPr>
              <w:t>/12/</w:t>
            </w:r>
            <w:r w:rsidRPr="00682002">
              <w:rPr>
                <w:rFonts w:ascii="Arial" w:hAnsi="Arial"/>
                <w:sz w:val="20"/>
                <w:szCs w:val="20"/>
              </w:rPr>
              <w:t>16)</w:t>
            </w:r>
            <w:r>
              <w:rPr>
                <w:rFonts w:ascii="Arial" w:hAnsi="Arial"/>
                <w:i/>
                <w:sz w:val="20"/>
                <w:szCs w:val="20"/>
              </w:rPr>
              <w:t xml:space="preserve"> – </w:t>
            </w:r>
            <w:r>
              <w:rPr>
                <w:rFonts w:ascii="Arial" w:hAnsi="Arial"/>
                <w:sz w:val="20"/>
                <w:szCs w:val="20"/>
              </w:rPr>
              <w:t>4.59 is limited by the DC applicable to the disability &amp; not applicable to a DC that does not provide a compensable evaluation</w:t>
            </w:r>
          </w:p>
          <w:p w:rsidR="00A279A0" w:rsidRPr="00613E11" w:rsidRDefault="008A60B2" w:rsidP="00F063AF">
            <w:pPr>
              <w:pStyle w:val="ListParagraph"/>
              <w:numPr>
                <w:ilvl w:val="0"/>
                <w:numId w:val="175"/>
              </w:numPr>
              <w:spacing w:before="120" w:after="120" w:line="240" w:lineRule="auto"/>
              <w:ind w:left="330"/>
              <w:rPr>
                <w:rFonts w:ascii="Arial" w:hAnsi="Arial"/>
                <w:i/>
                <w:sz w:val="18"/>
                <w:szCs w:val="20"/>
              </w:rPr>
            </w:pPr>
            <w:r w:rsidRPr="00A279A0">
              <w:rPr>
                <w:rFonts w:ascii="Arial" w:hAnsi="Arial"/>
                <w:b/>
                <w:bCs/>
                <w:i/>
                <w:iCs/>
                <w:sz w:val="20"/>
              </w:rPr>
              <w:t>Correia v. McDonald</w:t>
            </w:r>
            <w:r w:rsidRPr="00A279A0">
              <w:rPr>
                <w:rFonts w:ascii="Arial" w:hAnsi="Arial"/>
                <w:bCs/>
                <w:i/>
                <w:iCs/>
                <w:sz w:val="20"/>
              </w:rPr>
              <w:t xml:space="preserve"> </w:t>
            </w:r>
            <w:r w:rsidR="00682002" w:rsidRPr="00682002">
              <w:rPr>
                <w:rFonts w:ascii="Arial" w:hAnsi="Arial"/>
                <w:bCs/>
                <w:iCs/>
                <w:sz w:val="20"/>
              </w:rPr>
              <w:t>(7/5/</w:t>
            </w:r>
            <w:r w:rsidR="00A279A0" w:rsidRPr="00682002">
              <w:rPr>
                <w:rFonts w:ascii="Arial" w:hAnsi="Arial"/>
                <w:bCs/>
                <w:iCs/>
                <w:sz w:val="20"/>
              </w:rPr>
              <w:t>16)</w:t>
            </w:r>
            <w:r w:rsidR="00A279A0">
              <w:rPr>
                <w:rFonts w:ascii="Arial" w:hAnsi="Arial"/>
                <w:bCs/>
                <w:i/>
                <w:iCs/>
                <w:sz w:val="20"/>
              </w:rPr>
              <w:t xml:space="preserve"> </w:t>
            </w:r>
            <w:r w:rsidRPr="00A279A0">
              <w:rPr>
                <w:rFonts w:ascii="Arial" w:hAnsi="Arial"/>
                <w:bCs/>
                <w:i/>
                <w:sz w:val="20"/>
              </w:rPr>
              <w:t xml:space="preserve">– </w:t>
            </w:r>
            <w:r w:rsidR="00613E11">
              <w:rPr>
                <w:rFonts w:ascii="Arial" w:hAnsi="Arial"/>
                <w:bCs/>
                <w:sz w:val="20"/>
              </w:rPr>
              <w:t xml:space="preserve">exams must assess </w:t>
            </w:r>
            <w:r w:rsidR="00613E11" w:rsidRPr="00613E11">
              <w:rPr>
                <w:rFonts w:ascii="Arial" w:hAnsi="Arial"/>
                <w:sz w:val="20"/>
                <w:szCs w:val="20"/>
              </w:rPr>
              <w:t>ROM testing to evaluate joint disabilities for painful motion in weight-bearing, nonweight-bearing, with active and passive motion, and in c</w:t>
            </w:r>
            <w:r w:rsidR="00613E11">
              <w:rPr>
                <w:rFonts w:ascii="Arial" w:hAnsi="Arial"/>
                <w:sz w:val="20"/>
                <w:szCs w:val="20"/>
              </w:rPr>
              <w:t xml:space="preserve">omparison to the opposite joint; </w:t>
            </w:r>
            <w:r w:rsidR="00613E11">
              <w:rPr>
                <w:rFonts w:ascii="Arial" w:hAnsi="Arial"/>
                <w:bCs/>
                <w:sz w:val="20"/>
              </w:rPr>
              <w:t>p</w:t>
            </w:r>
            <w:r w:rsidRPr="00A279A0">
              <w:rPr>
                <w:rFonts w:ascii="Arial" w:hAnsi="Arial"/>
                <w:bCs/>
                <w:sz w:val="20"/>
              </w:rPr>
              <w:t>ainful passive motion is sufficient to s</w:t>
            </w:r>
            <w:r w:rsidR="00A279A0" w:rsidRPr="00A279A0">
              <w:rPr>
                <w:rFonts w:ascii="Arial" w:hAnsi="Arial"/>
                <w:bCs/>
                <w:sz w:val="20"/>
              </w:rPr>
              <w:t xml:space="preserve">atisfy criteria for </w:t>
            </w:r>
            <w:r w:rsidR="00613E11">
              <w:rPr>
                <w:rFonts w:ascii="Arial" w:hAnsi="Arial"/>
                <w:bCs/>
                <w:sz w:val="20"/>
              </w:rPr>
              <w:t xml:space="preserve">minimum compensable evaluation under </w:t>
            </w:r>
            <w:r w:rsidR="00A279A0" w:rsidRPr="00A279A0">
              <w:rPr>
                <w:rFonts w:ascii="Arial" w:hAnsi="Arial"/>
                <w:bCs/>
                <w:sz w:val="20"/>
              </w:rPr>
              <w:t>4.59</w:t>
            </w:r>
          </w:p>
          <w:p w:rsidR="00613E11" w:rsidRPr="00613E11" w:rsidRDefault="00613E11" w:rsidP="00F063AF">
            <w:pPr>
              <w:pStyle w:val="ListParagraph"/>
              <w:numPr>
                <w:ilvl w:val="0"/>
                <w:numId w:val="175"/>
              </w:numPr>
              <w:spacing w:before="120" w:after="120" w:line="240" w:lineRule="auto"/>
              <w:ind w:left="330"/>
              <w:rPr>
                <w:rFonts w:ascii="Arial" w:hAnsi="Arial"/>
                <w:i/>
                <w:sz w:val="16"/>
                <w:szCs w:val="20"/>
              </w:rPr>
            </w:pPr>
            <w:r w:rsidRPr="00A279A0">
              <w:rPr>
                <w:rFonts w:ascii="Arial" w:hAnsi="Arial"/>
                <w:b/>
                <w:i/>
                <w:sz w:val="20"/>
                <w:szCs w:val="20"/>
              </w:rPr>
              <w:t>Southall-Norman v. McDonald</w:t>
            </w:r>
            <w:r w:rsidRPr="00EC1261">
              <w:rPr>
                <w:rFonts w:ascii="Arial" w:hAnsi="Arial"/>
                <w:i/>
                <w:sz w:val="20"/>
                <w:szCs w:val="20"/>
              </w:rPr>
              <w:t xml:space="preserve"> </w:t>
            </w:r>
            <w:r w:rsidRPr="00682002">
              <w:rPr>
                <w:rFonts w:ascii="Arial" w:hAnsi="Arial"/>
                <w:sz w:val="20"/>
                <w:szCs w:val="20"/>
              </w:rPr>
              <w:t>(</w:t>
            </w:r>
            <w:r w:rsidR="00682002" w:rsidRPr="00682002">
              <w:rPr>
                <w:rFonts w:ascii="Arial" w:hAnsi="Arial"/>
                <w:sz w:val="20"/>
                <w:szCs w:val="20"/>
              </w:rPr>
              <w:t>1</w:t>
            </w:r>
            <w:r w:rsidRPr="00682002">
              <w:rPr>
                <w:rFonts w:ascii="Arial" w:hAnsi="Arial"/>
                <w:sz w:val="20"/>
                <w:szCs w:val="20"/>
              </w:rPr>
              <w:t>2</w:t>
            </w:r>
            <w:r w:rsidR="00682002" w:rsidRPr="00682002">
              <w:rPr>
                <w:rFonts w:ascii="Arial" w:hAnsi="Arial"/>
                <w:sz w:val="20"/>
                <w:szCs w:val="20"/>
              </w:rPr>
              <w:t>/15/</w:t>
            </w:r>
            <w:r w:rsidRPr="00682002">
              <w:rPr>
                <w:rFonts w:ascii="Arial" w:hAnsi="Arial"/>
                <w:sz w:val="20"/>
                <w:szCs w:val="20"/>
              </w:rPr>
              <w:t>16)</w:t>
            </w:r>
            <w:r>
              <w:rPr>
                <w:rFonts w:ascii="Arial" w:hAnsi="Arial"/>
                <w:i/>
                <w:sz w:val="20"/>
                <w:szCs w:val="20"/>
              </w:rPr>
              <w:t xml:space="preserve"> – </w:t>
            </w:r>
            <w:r w:rsidRPr="00613E11">
              <w:rPr>
                <w:rFonts w:ascii="Arial" w:hAnsi="Arial"/>
                <w:sz w:val="20"/>
                <w:szCs w:val="21"/>
              </w:rPr>
              <w:t>4.59 is not limited to DCs involving limited ROM</w:t>
            </w:r>
          </w:p>
          <w:p w:rsidR="00F41875" w:rsidRPr="00076309" w:rsidRDefault="00F41875" w:rsidP="00F063AF">
            <w:pPr>
              <w:pStyle w:val="ListParagraph"/>
              <w:numPr>
                <w:ilvl w:val="0"/>
                <w:numId w:val="175"/>
              </w:numPr>
              <w:spacing w:before="120" w:after="120" w:line="240" w:lineRule="auto"/>
              <w:ind w:left="330"/>
              <w:rPr>
                <w:rFonts w:ascii="Arial" w:hAnsi="Arial"/>
                <w:i/>
                <w:sz w:val="18"/>
                <w:szCs w:val="20"/>
              </w:rPr>
            </w:pPr>
            <w:r w:rsidRPr="00091B0E">
              <w:rPr>
                <w:rFonts w:ascii="Arial" w:hAnsi="Arial"/>
                <w:b/>
                <w:i/>
                <w:iCs/>
                <w:sz w:val="20"/>
              </w:rPr>
              <w:t>August 2016</w:t>
            </w:r>
            <w:r w:rsidRPr="00091B0E">
              <w:rPr>
                <w:rFonts w:ascii="Arial" w:hAnsi="Arial"/>
                <w:iCs/>
                <w:sz w:val="20"/>
              </w:rPr>
              <w:t xml:space="preserve"> </w:t>
            </w:r>
            <w:r w:rsidRPr="00091B0E">
              <w:rPr>
                <w:rFonts w:ascii="Arial" w:hAnsi="Arial"/>
                <w:b/>
                <w:i/>
                <w:sz w:val="20"/>
              </w:rPr>
              <w:t>Compensation Service Bulletin (CSB)</w:t>
            </w:r>
            <w:r w:rsidRPr="00091B0E">
              <w:rPr>
                <w:rFonts w:ascii="Arial" w:hAnsi="Arial"/>
                <w:i/>
                <w:sz w:val="20"/>
              </w:rPr>
              <w:t xml:space="preserve"> </w:t>
            </w:r>
            <w:r w:rsidRPr="00091B0E">
              <w:rPr>
                <w:rFonts w:ascii="Arial" w:hAnsi="Arial"/>
                <w:iCs/>
                <w:sz w:val="20"/>
              </w:rPr>
              <w:t>– Need contralateral joint exam</w:t>
            </w:r>
            <w:r w:rsidR="00C75534">
              <w:rPr>
                <w:rFonts w:ascii="Arial" w:hAnsi="Arial"/>
                <w:iCs/>
                <w:sz w:val="20"/>
              </w:rPr>
              <w:t xml:space="preserve">ined, per Correia v. McDonald. </w:t>
            </w:r>
            <w:r w:rsidR="00C75534" w:rsidRPr="00C75534">
              <w:rPr>
                <w:rFonts w:ascii="Arial" w:hAnsi="Arial"/>
                <w:i/>
                <w:iCs/>
                <w:sz w:val="20"/>
              </w:rPr>
              <w:t>Per Q</w:t>
            </w:r>
            <w:r w:rsidRPr="00C75534">
              <w:rPr>
                <w:rFonts w:ascii="Arial" w:hAnsi="Arial"/>
                <w:i/>
                <w:iCs/>
                <w:sz w:val="20"/>
              </w:rPr>
              <w:t>RT</w:t>
            </w:r>
            <w:r w:rsidR="00C75534" w:rsidRPr="00C75534">
              <w:rPr>
                <w:rFonts w:ascii="Arial" w:hAnsi="Arial"/>
                <w:i/>
                <w:iCs/>
                <w:sz w:val="20"/>
              </w:rPr>
              <w:t xml:space="preserve">, </w:t>
            </w:r>
            <w:r w:rsidRPr="00C75534">
              <w:rPr>
                <w:rFonts w:ascii="Arial" w:hAnsi="Arial"/>
                <w:i/>
                <w:iCs/>
                <w:sz w:val="20"/>
              </w:rPr>
              <w:t xml:space="preserve">send DBQ back if not </w:t>
            </w:r>
            <w:r w:rsidR="00C75534" w:rsidRPr="00C75534">
              <w:rPr>
                <w:rFonts w:ascii="Arial" w:hAnsi="Arial"/>
                <w:i/>
                <w:iCs/>
                <w:sz w:val="20"/>
              </w:rPr>
              <w:t>done.</w:t>
            </w:r>
          </w:p>
          <w:p w:rsidR="00F41875" w:rsidRDefault="00D571C5" w:rsidP="00F063AF">
            <w:pPr>
              <w:pStyle w:val="ListParagraph"/>
              <w:numPr>
                <w:ilvl w:val="0"/>
                <w:numId w:val="175"/>
              </w:numPr>
              <w:spacing w:after="120" w:line="240" w:lineRule="auto"/>
              <w:ind w:left="330"/>
            </w:pPr>
            <w:hyperlink r:id="rId483" w:history="1">
              <w:r w:rsidR="00F41875" w:rsidRPr="00076309">
                <w:rPr>
                  <w:rStyle w:val="Hyperlink"/>
                  <w:rFonts w:ascii="Arial" w:hAnsi="Arial"/>
                  <w:b/>
                  <w:i/>
                  <w:sz w:val="20"/>
                </w:rPr>
                <w:t>May 2017 Quality Call Notes</w:t>
              </w:r>
            </w:hyperlink>
            <w:r w:rsidR="00F41875">
              <w:t xml:space="preserve"> – </w:t>
            </w:r>
          </w:p>
          <w:p w:rsidR="00F41875" w:rsidRPr="005A2BEB" w:rsidRDefault="00F41875" w:rsidP="00F41875">
            <w:pPr>
              <w:pStyle w:val="NoSpacing"/>
              <w:spacing w:after="120"/>
              <w:ind w:left="330"/>
              <w:rPr>
                <w:rFonts w:ascii="Arial" w:hAnsi="Arial"/>
                <w:b/>
                <w:color w:val="000000"/>
                <w:sz w:val="20"/>
                <w:szCs w:val="22"/>
              </w:rPr>
            </w:pPr>
            <w:r w:rsidRPr="005A2BEB">
              <w:rPr>
                <w:rFonts w:ascii="Arial" w:hAnsi="Arial"/>
                <w:b/>
                <w:color w:val="000000"/>
                <w:sz w:val="20"/>
                <w:szCs w:val="22"/>
              </w:rPr>
              <w:t xml:space="preserve">Question:  Is </w:t>
            </w:r>
            <w:r w:rsidRPr="005A2BEB">
              <w:rPr>
                <w:rFonts w:ascii="Arial" w:hAnsi="Arial"/>
                <w:b/>
                <w:i/>
                <w:color w:val="000000"/>
                <w:sz w:val="20"/>
                <w:szCs w:val="22"/>
              </w:rPr>
              <w:t>Correia</w:t>
            </w:r>
            <w:r w:rsidRPr="005A2BEB">
              <w:rPr>
                <w:rFonts w:ascii="Arial" w:hAnsi="Arial"/>
                <w:b/>
                <w:color w:val="000000"/>
                <w:sz w:val="20"/>
                <w:szCs w:val="22"/>
              </w:rPr>
              <w:t xml:space="preserve"> required for the spine?</w:t>
            </w:r>
          </w:p>
          <w:p w:rsidR="00F41875" w:rsidRDefault="006C3622" w:rsidP="00F41875">
            <w:pPr>
              <w:pStyle w:val="NoSpacing"/>
              <w:spacing w:after="120"/>
              <w:ind w:left="331"/>
              <w:rPr>
                <w:rFonts w:ascii="Arial" w:hAnsi="Arial"/>
                <w:color w:val="000000"/>
                <w:sz w:val="20"/>
                <w:szCs w:val="22"/>
              </w:rPr>
            </w:pPr>
            <w:r w:rsidRPr="005A2BEB">
              <w:rPr>
                <w:rFonts w:ascii="Arial" w:hAnsi="Arial"/>
                <w:color w:val="000000"/>
                <w:sz w:val="20"/>
                <w:szCs w:val="22"/>
              </w:rPr>
              <w:t xml:space="preserve">Answer: Yes. </w:t>
            </w:r>
            <w:r w:rsidR="00F41875" w:rsidRPr="005A2BEB">
              <w:rPr>
                <w:rFonts w:ascii="Arial" w:hAnsi="Arial"/>
                <w:color w:val="000000"/>
                <w:sz w:val="20"/>
                <w:szCs w:val="22"/>
              </w:rPr>
              <w:t xml:space="preserve">DEMO advises that C&amp;P examiners have been instructed to include </w:t>
            </w:r>
            <w:hyperlink r:id="rId484" w:history="1">
              <w:r w:rsidR="00F41875" w:rsidRPr="005A2BEB">
                <w:rPr>
                  <w:rStyle w:val="Hyperlink"/>
                  <w:rFonts w:ascii="Arial" w:hAnsi="Arial"/>
                  <w:i/>
                  <w:sz w:val="20"/>
                  <w:szCs w:val="22"/>
                </w:rPr>
                <w:t>Correia</w:t>
              </w:r>
            </w:hyperlink>
            <w:r w:rsidR="00F41875" w:rsidRPr="005A2BEB">
              <w:rPr>
                <w:rFonts w:ascii="Arial" w:hAnsi="Arial"/>
                <w:color w:val="000000"/>
                <w:sz w:val="20"/>
                <w:szCs w:val="22"/>
              </w:rPr>
              <w:t xml:space="preserve"> information in all applicable examinations.  DEMO will be updating all appropriate DBQs with </w:t>
            </w:r>
            <w:r w:rsidR="00F41875" w:rsidRPr="005A2BEB">
              <w:rPr>
                <w:rFonts w:ascii="Arial" w:hAnsi="Arial"/>
                <w:i/>
                <w:color w:val="000000"/>
                <w:sz w:val="20"/>
                <w:szCs w:val="22"/>
              </w:rPr>
              <w:t>Correia</w:t>
            </w:r>
            <w:r w:rsidR="00F41875" w:rsidRPr="005A2BEB">
              <w:rPr>
                <w:rFonts w:ascii="Arial" w:hAnsi="Arial"/>
                <w:color w:val="000000"/>
                <w:sz w:val="20"/>
                <w:szCs w:val="22"/>
              </w:rPr>
              <w:t xml:space="preserve"> language.</w:t>
            </w:r>
          </w:p>
          <w:p w:rsidR="00DF062C" w:rsidRPr="00DF062C" w:rsidRDefault="00DF062C" w:rsidP="00F41875">
            <w:pPr>
              <w:pStyle w:val="NoSpacing"/>
              <w:spacing w:after="120"/>
              <w:ind w:left="331"/>
              <w:rPr>
                <w:rFonts w:ascii="Arial" w:hAnsi="Arial"/>
                <w:color w:val="000000"/>
                <w:sz w:val="18"/>
                <w:szCs w:val="22"/>
              </w:rPr>
            </w:pPr>
            <w:r w:rsidRPr="00DF062C">
              <w:rPr>
                <w:rFonts w:ascii="Arial" w:hAnsi="Arial"/>
                <w:b/>
                <w:sz w:val="20"/>
                <w:szCs w:val="21"/>
              </w:rPr>
              <w:t>III.iv.4.A.1.h</w:t>
            </w:r>
            <w:r w:rsidRPr="00DF062C">
              <w:rPr>
                <w:rFonts w:ascii="Arial" w:hAnsi="Arial"/>
                <w:sz w:val="20"/>
                <w:szCs w:val="21"/>
              </w:rPr>
              <w:t xml:space="preserve"> (updated 10/24</w:t>
            </w:r>
            <w:r w:rsidR="00273CA7">
              <w:rPr>
                <w:rFonts w:ascii="Arial" w:hAnsi="Arial"/>
                <w:sz w:val="20"/>
                <w:szCs w:val="21"/>
              </w:rPr>
              <w:t>/17) says Correia section for ROM of the opposite, undamaged joint NOT required for</w:t>
            </w:r>
            <w:r w:rsidRPr="00DF062C">
              <w:rPr>
                <w:rFonts w:ascii="Arial" w:hAnsi="Arial"/>
                <w:sz w:val="20"/>
                <w:szCs w:val="21"/>
              </w:rPr>
              <w:t xml:space="preserve"> spinal disabilities, s</w:t>
            </w:r>
            <w:r w:rsidR="00B63B69">
              <w:rPr>
                <w:rFonts w:ascii="Arial" w:hAnsi="Arial"/>
                <w:sz w:val="20"/>
                <w:szCs w:val="21"/>
              </w:rPr>
              <w:t>ince there is no opposite joint</w:t>
            </w:r>
            <w:r w:rsidR="00273CA7">
              <w:rPr>
                <w:rFonts w:ascii="Arial" w:hAnsi="Arial"/>
                <w:sz w:val="20"/>
                <w:szCs w:val="21"/>
              </w:rPr>
              <w:t xml:space="preserve"> (but still need both active &amp; passive ROM in weight-bearing and nonweight-bearing, as can apply 4.59 for pain with passive ROM)</w:t>
            </w:r>
            <w:r w:rsidR="005A2BEB">
              <w:rPr>
                <w:rFonts w:ascii="Arial" w:hAnsi="Arial"/>
                <w:sz w:val="20"/>
                <w:szCs w:val="21"/>
              </w:rPr>
              <w:t>;</w:t>
            </w:r>
            <w:r w:rsidR="00B63B69">
              <w:rPr>
                <w:rFonts w:ascii="Arial" w:hAnsi="Arial"/>
                <w:sz w:val="20"/>
                <w:szCs w:val="21"/>
              </w:rPr>
              <w:t>also says Correia ho</w:t>
            </w:r>
            <w:r w:rsidR="00273CA7">
              <w:rPr>
                <w:rFonts w:ascii="Arial" w:hAnsi="Arial"/>
                <w:sz w:val="20"/>
                <w:szCs w:val="21"/>
              </w:rPr>
              <w:t>lding is effective July 5, 2016</w:t>
            </w:r>
          </w:p>
          <w:p w:rsidR="00F41875" w:rsidRPr="00076309" w:rsidRDefault="00F41875" w:rsidP="00F41875">
            <w:pPr>
              <w:pStyle w:val="NoSpacing"/>
              <w:spacing w:after="120"/>
              <w:ind w:left="330"/>
              <w:rPr>
                <w:rFonts w:ascii="Arial" w:hAnsi="Arial"/>
                <w:b/>
                <w:color w:val="000000"/>
                <w:sz w:val="20"/>
                <w:szCs w:val="22"/>
              </w:rPr>
            </w:pPr>
            <w:r w:rsidRPr="00076309">
              <w:rPr>
                <w:rFonts w:ascii="Arial" w:hAnsi="Arial"/>
                <w:b/>
                <w:color w:val="000000"/>
                <w:sz w:val="20"/>
                <w:szCs w:val="22"/>
              </w:rPr>
              <w:t xml:space="preserve">Question:  Does 38 CFR 4.59 apply to pain on passive range of motion (i.e. </w:t>
            </w:r>
            <w:r w:rsidRPr="00076309">
              <w:rPr>
                <w:rFonts w:ascii="Arial" w:hAnsi="Arial"/>
                <w:b/>
                <w:i/>
                <w:color w:val="000000"/>
                <w:sz w:val="20"/>
                <w:szCs w:val="22"/>
              </w:rPr>
              <w:t>Correia</w:t>
            </w:r>
            <w:r w:rsidRPr="00076309">
              <w:rPr>
                <w:rFonts w:ascii="Arial" w:hAnsi="Arial"/>
                <w:b/>
                <w:color w:val="000000"/>
                <w:sz w:val="20"/>
                <w:szCs w:val="22"/>
              </w:rPr>
              <w:t xml:space="preserve"> responses) in regards to assigning a compensable evaluation for objective evidence of painful motion.  We are seeing many DBQs where the examiner marks </w:t>
            </w:r>
            <w:r w:rsidRPr="00076309">
              <w:rPr>
                <w:rFonts w:ascii="Arial" w:hAnsi="Arial"/>
                <w:b/>
                <w:i/>
                <w:color w:val="000000"/>
                <w:sz w:val="20"/>
                <w:szCs w:val="22"/>
              </w:rPr>
              <w:t>“No”</w:t>
            </w:r>
            <w:r w:rsidRPr="00076309">
              <w:rPr>
                <w:rFonts w:ascii="Arial" w:hAnsi="Arial"/>
                <w:b/>
                <w:color w:val="000000"/>
                <w:sz w:val="20"/>
                <w:szCs w:val="22"/>
              </w:rPr>
              <w:t xml:space="preserve"> to whether there was pain during initial/repetitive ROM testing; however, the examiner advises that there is pain on passive motion of the joint in the </w:t>
            </w:r>
            <w:r w:rsidRPr="00076309">
              <w:rPr>
                <w:rFonts w:ascii="Arial" w:hAnsi="Arial"/>
                <w:b/>
                <w:i/>
                <w:color w:val="000000"/>
                <w:sz w:val="20"/>
                <w:szCs w:val="22"/>
              </w:rPr>
              <w:t>Correia</w:t>
            </w:r>
            <w:r w:rsidRPr="00076309">
              <w:rPr>
                <w:rFonts w:ascii="Arial" w:hAnsi="Arial"/>
                <w:b/>
                <w:color w:val="000000"/>
                <w:sz w:val="20"/>
                <w:szCs w:val="22"/>
              </w:rPr>
              <w:t xml:space="preserve"> questions.  Should clarification be sought?  Basically, what does the decision maker do with the </w:t>
            </w:r>
            <w:r w:rsidRPr="00076309">
              <w:rPr>
                <w:rFonts w:ascii="Arial" w:hAnsi="Arial"/>
                <w:b/>
                <w:i/>
                <w:color w:val="000000"/>
                <w:sz w:val="20"/>
                <w:szCs w:val="22"/>
              </w:rPr>
              <w:t>Correia</w:t>
            </w:r>
            <w:r w:rsidRPr="00076309">
              <w:rPr>
                <w:rFonts w:ascii="Arial" w:hAnsi="Arial"/>
                <w:b/>
                <w:color w:val="000000"/>
                <w:sz w:val="20"/>
                <w:szCs w:val="22"/>
              </w:rPr>
              <w:t xml:space="preserve"> question responses as far as assigning an evaluation based on those responses?</w:t>
            </w:r>
          </w:p>
          <w:p w:rsidR="00F41875" w:rsidRPr="00076309" w:rsidRDefault="00F41875" w:rsidP="00F41875">
            <w:pPr>
              <w:pStyle w:val="NoSpacing"/>
              <w:spacing w:after="120"/>
              <w:ind w:left="330"/>
              <w:rPr>
                <w:rFonts w:ascii="Arial" w:hAnsi="Arial"/>
                <w:color w:val="000000"/>
                <w:sz w:val="20"/>
                <w:szCs w:val="22"/>
              </w:rPr>
            </w:pPr>
            <w:r w:rsidRPr="00076309">
              <w:rPr>
                <w:rFonts w:ascii="Arial" w:hAnsi="Arial"/>
                <w:color w:val="000000"/>
                <w:sz w:val="20"/>
                <w:szCs w:val="22"/>
              </w:rPr>
              <w:t xml:space="preserve">Answer:  Historically, VA has only applied </w:t>
            </w:r>
            <w:hyperlink r:id="rId485" w:history="1">
              <w:r w:rsidRPr="00076309">
                <w:rPr>
                  <w:rStyle w:val="Hyperlink"/>
                  <w:rFonts w:ascii="Arial" w:hAnsi="Arial"/>
                  <w:sz w:val="20"/>
                  <w:szCs w:val="22"/>
                </w:rPr>
                <w:t>38 CFR 4.59</w:t>
              </w:r>
            </w:hyperlink>
            <w:r w:rsidRPr="00076309">
              <w:rPr>
                <w:rFonts w:ascii="Arial" w:hAnsi="Arial"/>
                <w:color w:val="000000"/>
                <w:sz w:val="20"/>
                <w:szCs w:val="22"/>
              </w:rPr>
              <w:t xml:space="preserve"> to pain on active motion.  However, with </w:t>
            </w:r>
            <w:hyperlink r:id="rId486" w:history="1">
              <w:r w:rsidRPr="00076309">
                <w:rPr>
                  <w:rStyle w:val="Hyperlink"/>
                  <w:rFonts w:ascii="Arial" w:hAnsi="Arial"/>
                  <w:i/>
                  <w:sz w:val="20"/>
                  <w:szCs w:val="22"/>
                </w:rPr>
                <w:t>Correia</w:t>
              </w:r>
            </w:hyperlink>
            <w:r w:rsidRPr="00076309">
              <w:rPr>
                <w:rFonts w:ascii="Arial" w:hAnsi="Arial"/>
                <w:color w:val="000000"/>
                <w:sz w:val="20"/>
                <w:szCs w:val="22"/>
              </w:rPr>
              <w:t>, we cannot avoid applying 4.59 with a minimal compensable evaluation if pain is shown on passive motion.</w:t>
            </w:r>
          </w:p>
          <w:p w:rsidR="00F41875" w:rsidRPr="00076309" w:rsidRDefault="00F41875" w:rsidP="00F41875">
            <w:pPr>
              <w:pStyle w:val="NoSpacing"/>
              <w:spacing w:after="120"/>
              <w:ind w:left="330"/>
              <w:rPr>
                <w:rFonts w:ascii="Arial" w:hAnsi="Arial"/>
                <w:b/>
                <w:color w:val="000000"/>
                <w:sz w:val="20"/>
                <w:szCs w:val="22"/>
              </w:rPr>
            </w:pPr>
            <w:r w:rsidRPr="00076309">
              <w:rPr>
                <w:rFonts w:ascii="Arial" w:hAnsi="Arial"/>
                <w:b/>
                <w:color w:val="000000"/>
                <w:sz w:val="20"/>
                <w:szCs w:val="22"/>
              </w:rPr>
              <w:t xml:space="preserve">Question:  Is the prior guidance to not return completed examinations for </w:t>
            </w:r>
            <w:r w:rsidRPr="00076309">
              <w:rPr>
                <w:rFonts w:ascii="Arial" w:hAnsi="Arial"/>
                <w:b/>
                <w:i/>
                <w:color w:val="000000"/>
                <w:sz w:val="20"/>
                <w:szCs w:val="22"/>
              </w:rPr>
              <w:t>Correia</w:t>
            </w:r>
            <w:r w:rsidRPr="00076309">
              <w:rPr>
                <w:rFonts w:ascii="Arial" w:hAnsi="Arial"/>
                <w:b/>
                <w:color w:val="000000"/>
                <w:sz w:val="20"/>
                <w:szCs w:val="22"/>
              </w:rPr>
              <w:t xml:space="preserve"> information applicable, or applicable in limited circumstances (especially with older exams and exam requests that did not ask for </w:t>
            </w:r>
            <w:r w:rsidRPr="00076309">
              <w:rPr>
                <w:rFonts w:ascii="Arial" w:hAnsi="Arial"/>
                <w:b/>
                <w:i/>
                <w:color w:val="000000"/>
                <w:sz w:val="20"/>
                <w:szCs w:val="22"/>
              </w:rPr>
              <w:t>Correia</w:t>
            </w:r>
            <w:r w:rsidRPr="00076309">
              <w:rPr>
                <w:rFonts w:ascii="Arial" w:hAnsi="Arial"/>
                <w:b/>
                <w:color w:val="000000"/>
                <w:sz w:val="20"/>
                <w:szCs w:val="22"/>
              </w:rPr>
              <w:t xml:space="preserve"> information)?</w:t>
            </w:r>
          </w:p>
          <w:p w:rsidR="00EC1261" w:rsidRPr="00613E11" w:rsidRDefault="00F41875" w:rsidP="00613E11">
            <w:pPr>
              <w:pStyle w:val="NoSpacing"/>
              <w:spacing w:after="120"/>
              <w:ind w:left="331"/>
              <w:rPr>
                <w:rFonts w:ascii="Arial" w:hAnsi="Arial"/>
                <w:color w:val="000000"/>
                <w:sz w:val="20"/>
                <w:szCs w:val="22"/>
              </w:rPr>
            </w:pPr>
            <w:r w:rsidRPr="00076309">
              <w:rPr>
                <w:rFonts w:ascii="Arial" w:hAnsi="Arial"/>
                <w:color w:val="000000"/>
                <w:sz w:val="20"/>
                <w:szCs w:val="22"/>
              </w:rPr>
              <w:t xml:space="preserve">Answer:  Compensation Service released guidance in the </w:t>
            </w:r>
            <w:hyperlink r:id="rId487" w:anchor="!agent/portal/554400000001034/article/554400000046759/CSB-2016-09-September" w:history="1">
              <w:r w:rsidRPr="00076309">
                <w:rPr>
                  <w:rStyle w:val="Hyperlink"/>
                  <w:rFonts w:ascii="Arial" w:hAnsi="Arial"/>
                  <w:sz w:val="20"/>
                  <w:szCs w:val="22"/>
                </w:rPr>
                <w:t>September 2016 VSCM CSB</w:t>
              </w:r>
            </w:hyperlink>
            <w:r w:rsidRPr="00076309">
              <w:rPr>
                <w:rFonts w:ascii="Arial" w:hAnsi="Arial"/>
                <w:color w:val="000000"/>
                <w:sz w:val="20"/>
                <w:szCs w:val="22"/>
              </w:rPr>
              <w:t xml:space="preserve"> to </w:t>
            </w:r>
            <w:r w:rsidRPr="00076309">
              <w:rPr>
                <w:rFonts w:ascii="Arial" w:hAnsi="Arial"/>
                <w:b/>
                <w:color w:val="000000"/>
                <w:sz w:val="20"/>
                <w:szCs w:val="22"/>
              </w:rPr>
              <w:t>not</w:t>
            </w:r>
            <w:r w:rsidRPr="00076309">
              <w:rPr>
                <w:rFonts w:ascii="Arial" w:hAnsi="Arial"/>
                <w:color w:val="000000"/>
                <w:sz w:val="20"/>
                <w:szCs w:val="22"/>
              </w:rPr>
              <w:t xml:space="preserve"> return the examination for </w:t>
            </w:r>
            <w:r w:rsidRPr="00076309">
              <w:rPr>
                <w:rFonts w:ascii="Arial" w:hAnsi="Arial"/>
                <w:i/>
                <w:color w:val="000000"/>
                <w:sz w:val="20"/>
                <w:szCs w:val="22"/>
              </w:rPr>
              <w:t>Correia</w:t>
            </w:r>
            <w:r w:rsidRPr="00076309">
              <w:rPr>
                <w:rFonts w:ascii="Arial" w:hAnsi="Arial"/>
                <w:color w:val="000000"/>
                <w:sz w:val="20"/>
                <w:szCs w:val="22"/>
              </w:rPr>
              <w:t xml:space="preserve"> compliance, unless a Substantive Appeal has been submitted.  Since then, DEMO has provided guidance concerning the language that needs to be inserted into the DBQs.</w:t>
            </w:r>
          </w:p>
          <w:p w:rsidR="00553057" w:rsidRPr="00613E11" w:rsidRDefault="00553057" w:rsidP="00F063AF">
            <w:pPr>
              <w:pStyle w:val="ListParagraph"/>
              <w:numPr>
                <w:ilvl w:val="0"/>
                <w:numId w:val="426"/>
              </w:numPr>
              <w:spacing w:before="120" w:after="120"/>
              <w:ind w:left="330"/>
              <w:rPr>
                <w:rFonts w:ascii="Arial" w:hAnsi="Arial"/>
                <w:i/>
                <w:sz w:val="20"/>
              </w:rPr>
            </w:pPr>
            <w:r w:rsidRPr="00613E11">
              <w:rPr>
                <w:rFonts w:ascii="Arial" w:hAnsi="Arial"/>
                <w:i/>
                <w:sz w:val="20"/>
              </w:rPr>
              <w:t>Per QRT/GiaBao Nguyen</w:t>
            </w:r>
            <w:r w:rsidRPr="00613E11">
              <w:rPr>
                <w:rFonts w:ascii="Arial" w:hAnsi="Arial"/>
                <w:sz w:val="20"/>
              </w:rPr>
              <w:t xml:space="preserve"> – </w:t>
            </w:r>
          </w:p>
          <w:p w:rsidR="000F5D9B" w:rsidRPr="000F5D9B" w:rsidRDefault="00553057" w:rsidP="00F063AF">
            <w:pPr>
              <w:pStyle w:val="ListParagraph"/>
              <w:widowControl w:val="0"/>
              <w:numPr>
                <w:ilvl w:val="1"/>
                <w:numId w:val="175"/>
              </w:numPr>
              <w:tabs>
                <w:tab w:val="left" w:pos="0"/>
                <w:tab w:val="left" w:pos="144"/>
              </w:tabs>
              <w:spacing w:before="120" w:after="120" w:line="240" w:lineRule="auto"/>
              <w:ind w:left="780"/>
              <w:rPr>
                <w:b/>
              </w:rPr>
            </w:pPr>
            <w:r>
              <w:rPr>
                <w:rFonts w:ascii="Arial" w:hAnsi="Arial"/>
                <w:sz w:val="20"/>
                <w:szCs w:val="20"/>
              </w:rPr>
              <w:t>for 5280/hallux valgus, do manual entry to give 10% under 4.59 as there is no option for this in VEB/LEB</w:t>
            </w:r>
          </w:p>
          <w:p w:rsidR="000F5D9B" w:rsidRPr="000F5D9B" w:rsidRDefault="00553057" w:rsidP="00F063AF">
            <w:pPr>
              <w:pStyle w:val="ListParagraph"/>
              <w:widowControl w:val="0"/>
              <w:numPr>
                <w:ilvl w:val="1"/>
                <w:numId w:val="175"/>
              </w:numPr>
              <w:tabs>
                <w:tab w:val="left" w:pos="0"/>
                <w:tab w:val="left" w:pos="144"/>
              </w:tabs>
              <w:spacing w:before="120" w:after="120" w:line="240" w:lineRule="auto"/>
              <w:ind w:left="780"/>
              <w:rPr>
                <w:b/>
              </w:rPr>
            </w:pPr>
            <w:r>
              <w:rPr>
                <w:rFonts w:ascii="Arial" w:hAnsi="Arial"/>
                <w:sz w:val="20"/>
                <w:szCs w:val="20"/>
              </w:rPr>
              <w:t>for 5276/pes planus, can still give 10% under 4.59 if there is complete relief with orthotics</w:t>
            </w:r>
            <w:r w:rsidR="003B0AA8">
              <w:rPr>
                <w:rFonts w:ascii="Arial" w:hAnsi="Arial"/>
                <w:sz w:val="20"/>
                <w:szCs w:val="20"/>
              </w:rPr>
              <w:t xml:space="preserve">, confirmed by </w:t>
            </w:r>
            <w:r w:rsidR="003B0AA8" w:rsidRPr="000F5D9B">
              <w:rPr>
                <w:rFonts w:ascii="Arial" w:hAnsi="Arial"/>
                <w:b/>
                <w:sz w:val="20"/>
              </w:rPr>
              <w:t>III.iv.4.A.1.r</w:t>
            </w:r>
            <w:r w:rsidR="006B2D03" w:rsidRPr="000F5D9B">
              <w:rPr>
                <w:rFonts w:ascii="Arial" w:hAnsi="Arial"/>
                <w:b/>
                <w:sz w:val="20"/>
              </w:rPr>
              <w:t xml:space="preserve"> </w:t>
            </w:r>
            <w:r w:rsidR="006B2D03" w:rsidRPr="006B2D03">
              <w:rPr>
                <w:rFonts w:ascii="Arial" w:hAnsi="Arial"/>
                <w:sz w:val="20"/>
              </w:rPr>
              <w:t>on 4/13/18 change</w:t>
            </w:r>
            <w:r w:rsidR="000F5D9B">
              <w:rPr>
                <w:rFonts w:ascii="Arial" w:hAnsi="Arial"/>
                <w:sz w:val="20"/>
              </w:rPr>
              <w:t xml:space="preserve"> &amp; by </w:t>
            </w:r>
            <w:hyperlink r:id="rId488" w:history="1">
              <w:r w:rsidR="000F5D9B" w:rsidRPr="000F5D9B">
                <w:rPr>
                  <w:rStyle w:val="Hyperlink"/>
                  <w:rFonts w:ascii="Arial" w:hAnsi="Arial"/>
                  <w:b/>
                  <w:bCs/>
                  <w:i/>
                  <w:sz w:val="20"/>
                </w:rPr>
                <w:t>April 2018 Quality Call Notes</w:t>
              </w:r>
            </w:hyperlink>
          </w:p>
          <w:p w:rsidR="00553057" w:rsidRPr="00D005FD" w:rsidRDefault="00553057" w:rsidP="00F063AF">
            <w:pPr>
              <w:pStyle w:val="ListParagraph"/>
              <w:numPr>
                <w:ilvl w:val="1"/>
                <w:numId w:val="175"/>
              </w:numPr>
              <w:spacing w:before="120" w:after="120" w:line="240" w:lineRule="auto"/>
              <w:ind w:left="780"/>
              <w:rPr>
                <w:rFonts w:ascii="Arial" w:hAnsi="Arial"/>
                <w:i/>
                <w:sz w:val="20"/>
                <w:szCs w:val="20"/>
              </w:rPr>
            </w:pPr>
            <w:r>
              <w:rPr>
                <w:rFonts w:ascii="Arial" w:hAnsi="Arial"/>
                <w:sz w:val="20"/>
                <w:szCs w:val="20"/>
              </w:rPr>
              <w:t xml:space="preserve">pinkie/ring finger is 0% max under 5230, </w:t>
            </w:r>
            <w:r w:rsidRPr="00E76AD0">
              <w:rPr>
                <w:rFonts w:ascii="Arial" w:hAnsi="Arial"/>
                <w:strike/>
                <w:sz w:val="20"/>
                <w:szCs w:val="20"/>
                <w:highlight w:val="darkGray"/>
              </w:rPr>
              <w:t xml:space="preserve">thumb/index/long – need two fingers to give 10% under 4.59 </w:t>
            </w:r>
            <w:r w:rsidR="00843370" w:rsidRPr="00E76AD0">
              <w:rPr>
                <w:rFonts w:ascii="Arial" w:hAnsi="Arial"/>
                <w:strike/>
                <w:sz w:val="20"/>
                <w:szCs w:val="20"/>
                <w:highlight w:val="darkGray"/>
              </w:rPr>
              <w:t>per</w:t>
            </w:r>
            <w:r w:rsidR="00843370" w:rsidRPr="00E76AD0">
              <w:rPr>
                <w:rFonts w:ascii="Arial" w:hAnsi="Arial"/>
                <w:b/>
                <w:strike/>
                <w:sz w:val="20"/>
                <w:szCs w:val="20"/>
                <w:highlight w:val="darkGray"/>
              </w:rPr>
              <w:t xml:space="preserve"> III.iv.4.A.2.n</w:t>
            </w:r>
            <w:r w:rsidR="00804C82">
              <w:rPr>
                <w:rFonts w:ascii="Arial" w:hAnsi="Arial"/>
                <w:sz w:val="20"/>
                <w:szCs w:val="20"/>
              </w:rPr>
              <w:t xml:space="preserve">; </w:t>
            </w:r>
            <w:r w:rsidR="00804C82">
              <w:rPr>
                <w:rFonts w:ascii="Arial" w:hAnsi="Arial"/>
                <w:sz w:val="20"/>
              </w:rPr>
              <w:t>can give compensable evaluations for the thumb, index finger and long finger (separate evals for each) under 5228 and 5229,</w:t>
            </w:r>
            <w:r w:rsidR="003656F0">
              <w:rPr>
                <w:rFonts w:ascii="Arial" w:hAnsi="Arial"/>
                <w:sz w:val="20"/>
                <w:szCs w:val="20"/>
              </w:rPr>
              <w:t xml:space="preserve"> per 10/24/17 change </w:t>
            </w:r>
            <w:r w:rsidR="003656F0" w:rsidRPr="00D005FD">
              <w:rPr>
                <w:rFonts w:ascii="Arial" w:hAnsi="Arial"/>
                <w:sz w:val="20"/>
                <w:szCs w:val="20"/>
              </w:rPr>
              <w:t xml:space="preserve">to </w:t>
            </w:r>
            <w:r w:rsidR="003656F0" w:rsidRPr="00D005FD">
              <w:rPr>
                <w:rFonts w:ascii="Arial" w:hAnsi="Arial"/>
                <w:b/>
                <w:sz w:val="20"/>
                <w:szCs w:val="20"/>
              </w:rPr>
              <w:t>III.iv.4.A.1.j</w:t>
            </w:r>
            <w:r w:rsidR="00D005FD" w:rsidRPr="00D005FD">
              <w:rPr>
                <w:rFonts w:ascii="Arial" w:hAnsi="Arial"/>
                <w:b/>
                <w:sz w:val="20"/>
                <w:szCs w:val="20"/>
              </w:rPr>
              <w:t xml:space="preserve"> </w:t>
            </w:r>
            <w:r w:rsidR="003656F0" w:rsidRPr="00D005FD">
              <w:rPr>
                <w:rFonts w:ascii="Arial" w:hAnsi="Arial"/>
                <w:sz w:val="20"/>
                <w:szCs w:val="20"/>
              </w:rPr>
              <w:t xml:space="preserve">(which was moved to </w:t>
            </w:r>
            <w:r w:rsidR="003656F0" w:rsidRPr="00D005FD">
              <w:rPr>
                <w:rFonts w:ascii="Arial" w:hAnsi="Arial"/>
                <w:b/>
                <w:sz w:val="20"/>
                <w:szCs w:val="20"/>
              </w:rPr>
              <w:t>III.iv.4.A.1.p&amp;q</w:t>
            </w:r>
            <w:r w:rsidR="003656F0" w:rsidRPr="00D005FD">
              <w:rPr>
                <w:rFonts w:ascii="Arial" w:hAnsi="Arial"/>
                <w:sz w:val="20"/>
                <w:szCs w:val="20"/>
              </w:rPr>
              <w:t xml:space="preserve"> &amp; further clarified on 4/13/18) &amp; 10/24/17 change to </w:t>
            </w:r>
            <w:r w:rsidR="003656F0" w:rsidRPr="00D005FD">
              <w:rPr>
                <w:rFonts w:ascii="Arial" w:hAnsi="Arial"/>
                <w:b/>
                <w:sz w:val="20"/>
                <w:szCs w:val="20"/>
              </w:rPr>
              <w:t>III.iv.4.A.3.n</w:t>
            </w:r>
            <w:r w:rsidR="00D005FD" w:rsidRPr="00D005FD">
              <w:rPr>
                <w:rFonts w:ascii="Arial" w:hAnsi="Arial"/>
                <w:b/>
                <w:sz w:val="20"/>
                <w:szCs w:val="20"/>
              </w:rPr>
              <w:t xml:space="preserve"> </w:t>
            </w:r>
            <w:r w:rsidR="00D005FD" w:rsidRPr="00D005FD">
              <w:rPr>
                <w:rFonts w:ascii="Arial" w:hAnsi="Arial"/>
                <w:sz w:val="20"/>
                <w:szCs w:val="20"/>
              </w:rPr>
              <w:t>(which was</w:t>
            </w:r>
            <w:r w:rsidR="003656F0" w:rsidRPr="00D005FD">
              <w:rPr>
                <w:rFonts w:ascii="Arial" w:hAnsi="Arial"/>
                <w:sz w:val="20"/>
                <w:szCs w:val="20"/>
              </w:rPr>
              <w:t xml:space="preserve"> then moved to </w:t>
            </w:r>
            <w:r w:rsidR="003656F0" w:rsidRPr="00D005FD">
              <w:rPr>
                <w:rFonts w:ascii="Arial" w:hAnsi="Arial"/>
                <w:b/>
                <w:sz w:val="20"/>
                <w:szCs w:val="20"/>
              </w:rPr>
              <w:t>III.iv.4.A.4.h</w:t>
            </w:r>
            <w:r w:rsidR="003656F0" w:rsidRPr="00D005FD">
              <w:rPr>
                <w:rFonts w:ascii="Arial" w:hAnsi="Arial"/>
                <w:sz w:val="20"/>
                <w:szCs w:val="20"/>
              </w:rPr>
              <w:t xml:space="preserve"> on 4/13/18)</w:t>
            </w:r>
            <w:r w:rsidR="00D005FD" w:rsidRPr="00D005FD">
              <w:rPr>
                <w:rFonts w:ascii="Arial" w:hAnsi="Arial"/>
                <w:sz w:val="20"/>
                <w:szCs w:val="20"/>
              </w:rPr>
              <w:t xml:space="preserve">; </w:t>
            </w:r>
            <w:r w:rsidR="00D005FD" w:rsidRPr="00D005FD">
              <w:rPr>
                <w:rFonts w:ascii="Arial" w:hAnsi="Arial"/>
                <w:i/>
                <w:color w:val="00B050"/>
                <w:sz w:val="20"/>
                <w:szCs w:val="20"/>
              </w:rPr>
              <w:t xml:space="preserve">My Notes: </w:t>
            </w:r>
            <w:r w:rsidR="00D005FD" w:rsidRPr="00D005FD">
              <w:rPr>
                <w:rFonts w:ascii="Arial" w:hAnsi="Arial"/>
                <w:i/>
                <w:sz w:val="20"/>
                <w:szCs w:val="20"/>
              </w:rPr>
              <w:t xml:space="preserve">Maybe not </w:t>
            </w:r>
            <w:r w:rsidR="00D005FD">
              <w:rPr>
                <w:rFonts w:ascii="Arial" w:hAnsi="Arial"/>
                <w:i/>
                <w:sz w:val="20"/>
                <w:szCs w:val="20"/>
              </w:rPr>
              <w:t xml:space="preserve">super </w:t>
            </w:r>
            <w:r w:rsidR="00D005FD" w:rsidRPr="00D005FD">
              <w:rPr>
                <w:rFonts w:ascii="Arial" w:hAnsi="Arial"/>
                <w:i/>
                <w:sz w:val="20"/>
                <w:szCs w:val="20"/>
              </w:rPr>
              <w:t>clear that can get 5229 10% for index &amp; 5229 10% for long until 4/13/18</w:t>
            </w:r>
            <w:r w:rsidR="00D005FD">
              <w:rPr>
                <w:rFonts w:ascii="Arial" w:hAnsi="Arial"/>
                <w:i/>
                <w:sz w:val="20"/>
                <w:szCs w:val="20"/>
              </w:rPr>
              <w:t xml:space="preserve"> clarification at III.iv.4.A.1.p</w:t>
            </w:r>
            <w:r w:rsidR="00D005FD" w:rsidRPr="00D005FD">
              <w:rPr>
                <w:rFonts w:ascii="Arial" w:hAnsi="Arial"/>
                <w:i/>
                <w:sz w:val="20"/>
                <w:szCs w:val="20"/>
              </w:rPr>
              <w:t>…</w:t>
            </w:r>
          </w:p>
          <w:p w:rsidR="00553057" w:rsidRPr="00553057" w:rsidRDefault="00553057" w:rsidP="00F063AF">
            <w:pPr>
              <w:pStyle w:val="ListParagraph"/>
              <w:numPr>
                <w:ilvl w:val="1"/>
                <w:numId w:val="175"/>
              </w:numPr>
              <w:spacing w:before="120" w:after="120" w:line="240" w:lineRule="auto"/>
              <w:ind w:left="780"/>
              <w:rPr>
                <w:rFonts w:ascii="Arial" w:hAnsi="Arial"/>
                <w:i/>
                <w:sz w:val="20"/>
                <w:szCs w:val="20"/>
              </w:rPr>
            </w:pPr>
            <w:r>
              <w:rPr>
                <w:rFonts w:ascii="Arial" w:hAnsi="Arial"/>
                <w:sz w:val="20"/>
                <w:szCs w:val="20"/>
              </w:rPr>
              <w:t>can use 5010 &amp; 5003 to give 10% under 4.59</w:t>
            </w:r>
          </w:p>
          <w:p w:rsidR="00553057" w:rsidRPr="00FA29CC" w:rsidRDefault="00843370" w:rsidP="00F063AF">
            <w:pPr>
              <w:pStyle w:val="ListParagraph"/>
              <w:numPr>
                <w:ilvl w:val="1"/>
                <w:numId w:val="175"/>
              </w:numPr>
              <w:spacing w:before="120" w:after="120" w:line="240" w:lineRule="auto"/>
              <w:ind w:left="780"/>
              <w:rPr>
                <w:rFonts w:ascii="Arial" w:hAnsi="Arial"/>
                <w:i/>
                <w:sz w:val="20"/>
                <w:szCs w:val="20"/>
              </w:rPr>
            </w:pPr>
            <w:r>
              <w:rPr>
                <w:rFonts w:ascii="Arial" w:hAnsi="Arial"/>
                <w:sz w:val="20"/>
                <w:szCs w:val="20"/>
              </w:rPr>
              <w:t>they have requested</w:t>
            </w:r>
            <w:r w:rsidR="00553057">
              <w:rPr>
                <w:rFonts w:ascii="Arial" w:hAnsi="Arial"/>
                <w:sz w:val="20"/>
                <w:szCs w:val="20"/>
              </w:rPr>
              <w:t xml:space="preserve"> clarification on if we can give 10% under 4.59 for </w:t>
            </w:r>
            <w:r w:rsidR="00FA29CC">
              <w:rPr>
                <w:rFonts w:ascii="Arial" w:hAnsi="Arial"/>
                <w:sz w:val="20"/>
                <w:szCs w:val="20"/>
              </w:rPr>
              <w:t>5213/</w:t>
            </w:r>
            <w:r w:rsidR="00553057">
              <w:rPr>
                <w:rFonts w:ascii="Arial" w:hAnsi="Arial"/>
                <w:sz w:val="20"/>
                <w:szCs w:val="20"/>
              </w:rPr>
              <w:t>forearm supination</w:t>
            </w:r>
            <w:r w:rsidR="00FA29CC">
              <w:rPr>
                <w:rFonts w:ascii="Arial" w:hAnsi="Arial"/>
                <w:sz w:val="20"/>
                <w:szCs w:val="20"/>
              </w:rPr>
              <w:t>/pronation (twisting) &amp; another 10% under 4.59</w:t>
            </w:r>
            <w:r w:rsidR="00553057">
              <w:rPr>
                <w:rFonts w:ascii="Arial" w:hAnsi="Arial"/>
                <w:sz w:val="20"/>
                <w:szCs w:val="20"/>
              </w:rPr>
              <w:t xml:space="preserve"> for </w:t>
            </w:r>
            <w:r w:rsidR="00FA29CC">
              <w:rPr>
                <w:rFonts w:ascii="Arial" w:hAnsi="Arial"/>
                <w:sz w:val="20"/>
                <w:szCs w:val="20"/>
              </w:rPr>
              <w:t>5206/5207 elbow flexion/extension if the veteran just says “arm pain”</w:t>
            </w:r>
            <w:r>
              <w:rPr>
                <w:rFonts w:ascii="Arial" w:hAnsi="Arial"/>
                <w:sz w:val="20"/>
                <w:szCs w:val="20"/>
              </w:rPr>
              <w:t xml:space="preserve"> </w:t>
            </w:r>
            <w:r w:rsidRPr="00843370">
              <w:rPr>
                <w:rFonts w:ascii="Arial" w:hAnsi="Arial"/>
                <w:i/>
                <w:sz w:val="20"/>
                <w:szCs w:val="20"/>
              </w:rPr>
              <w:t>* see below notes on pdf</w:t>
            </w:r>
          </w:p>
          <w:p w:rsidR="00FA29CC" w:rsidRPr="00FA29CC" w:rsidRDefault="00FA29CC" w:rsidP="00F063AF">
            <w:pPr>
              <w:pStyle w:val="ListParagraph"/>
              <w:numPr>
                <w:ilvl w:val="1"/>
                <w:numId w:val="175"/>
              </w:numPr>
              <w:spacing w:before="120" w:after="120" w:line="240" w:lineRule="auto"/>
              <w:ind w:left="780"/>
              <w:rPr>
                <w:rFonts w:ascii="Arial" w:hAnsi="Arial"/>
                <w:i/>
                <w:sz w:val="20"/>
                <w:szCs w:val="20"/>
              </w:rPr>
            </w:pPr>
            <w:r>
              <w:rPr>
                <w:rFonts w:ascii="Arial" w:hAnsi="Arial"/>
                <w:sz w:val="20"/>
                <w:szCs w:val="20"/>
              </w:rPr>
              <w:t>5260/5261/5257/knee – can only give ONE 10% under 4.59</w:t>
            </w:r>
          </w:p>
          <w:p w:rsidR="00FA29CC" w:rsidRPr="00FA29CC" w:rsidRDefault="00FA29CC" w:rsidP="00F063AF">
            <w:pPr>
              <w:pStyle w:val="ListParagraph"/>
              <w:numPr>
                <w:ilvl w:val="1"/>
                <w:numId w:val="175"/>
              </w:numPr>
              <w:spacing w:before="120" w:after="120" w:line="240" w:lineRule="auto"/>
              <w:ind w:left="780"/>
              <w:rPr>
                <w:rFonts w:ascii="Arial" w:hAnsi="Arial"/>
                <w:i/>
                <w:sz w:val="20"/>
                <w:szCs w:val="20"/>
              </w:rPr>
            </w:pPr>
            <w:r>
              <w:rPr>
                <w:rFonts w:ascii="Arial" w:hAnsi="Arial"/>
                <w:sz w:val="20"/>
                <w:szCs w:val="20"/>
              </w:rPr>
              <w:t>5251/5252/5253/hip – can only give ONE 10% under 4.59</w:t>
            </w:r>
          </w:p>
          <w:p w:rsidR="00FA29CC" w:rsidRPr="00553057" w:rsidRDefault="00FA29CC" w:rsidP="00F063AF">
            <w:pPr>
              <w:pStyle w:val="ListParagraph"/>
              <w:numPr>
                <w:ilvl w:val="1"/>
                <w:numId w:val="175"/>
              </w:numPr>
              <w:spacing w:before="120" w:after="120" w:line="240" w:lineRule="auto"/>
              <w:ind w:left="780"/>
              <w:rPr>
                <w:rFonts w:ascii="Arial" w:hAnsi="Arial"/>
                <w:i/>
                <w:sz w:val="20"/>
                <w:szCs w:val="20"/>
              </w:rPr>
            </w:pPr>
            <w:r>
              <w:rPr>
                <w:rFonts w:ascii="Arial" w:hAnsi="Arial"/>
                <w:sz w:val="20"/>
                <w:szCs w:val="20"/>
              </w:rPr>
              <w:t>pain at rest is not painful motion under 4.59, “bothered” is not sufficient; need st</w:t>
            </w:r>
            <w:r w:rsidR="0050581C">
              <w:rPr>
                <w:rFonts w:ascii="Arial" w:hAnsi="Arial"/>
                <w:sz w:val="20"/>
                <w:szCs w:val="20"/>
              </w:rPr>
              <w:t>atement of “pain with activity”</w:t>
            </w:r>
          </w:p>
          <w:p w:rsidR="00FA29CC" w:rsidRPr="00FA29CC" w:rsidRDefault="00FA29CC" w:rsidP="00F063AF">
            <w:pPr>
              <w:pStyle w:val="ListParagraph"/>
              <w:numPr>
                <w:ilvl w:val="1"/>
                <w:numId w:val="175"/>
              </w:numPr>
              <w:spacing w:before="120" w:after="120" w:line="240" w:lineRule="auto"/>
              <w:ind w:left="780"/>
              <w:rPr>
                <w:rFonts w:ascii="Arial" w:hAnsi="Arial"/>
                <w:i/>
                <w:sz w:val="20"/>
                <w:szCs w:val="20"/>
              </w:rPr>
            </w:pPr>
            <w:r>
              <w:rPr>
                <w:rFonts w:ascii="Arial" w:hAnsi="Arial"/>
                <w:sz w:val="20"/>
                <w:szCs w:val="20"/>
              </w:rPr>
              <w:t xml:space="preserve">you cannot rate </w:t>
            </w:r>
            <w:r w:rsidR="007A0928">
              <w:rPr>
                <w:rFonts w:ascii="Arial" w:hAnsi="Arial"/>
                <w:sz w:val="20"/>
                <w:szCs w:val="20"/>
              </w:rPr>
              <w:t xml:space="preserve">on </w:t>
            </w:r>
            <w:r>
              <w:rPr>
                <w:rFonts w:ascii="Arial" w:hAnsi="Arial"/>
                <w:sz w:val="20"/>
                <w:szCs w:val="20"/>
              </w:rPr>
              <w:t>just a lay statement without treatment recor</w:t>
            </w:r>
            <w:r w:rsidR="00843370">
              <w:rPr>
                <w:rFonts w:ascii="Arial" w:hAnsi="Arial"/>
                <w:sz w:val="20"/>
                <w:szCs w:val="20"/>
              </w:rPr>
              <w:t>d</w:t>
            </w:r>
            <w:r w:rsidR="007A0928">
              <w:rPr>
                <w:rFonts w:ascii="Arial" w:hAnsi="Arial"/>
                <w:sz w:val="20"/>
                <w:szCs w:val="20"/>
              </w:rPr>
              <w:t>s or a DBQ</w:t>
            </w:r>
            <w:r>
              <w:rPr>
                <w:rFonts w:ascii="Arial" w:hAnsi="Arial"/>
                <w:sz w:val="20"/>
                <w:szCs w:val="20"/>
              </w:rPr>
              <w:t xml:space="preserve"> </w:t>
            </w:r>
          </w:p>
          <w:p w:rsidR="00553057" w:rsidRPr="00553057" w:rsidRDefault="00553057" w:rsidP="00F063AF">
            <w:pPr>
              <w:pStyle w:val="ListParagraph"/>
              <w:numPr>
                <w:ilvl w:val="1"/>
                <w:numId w:val="175"/>
              </w:numPr>
              <w:spacing w:before="120" w:after="120" w:line="240" w:lineRule="auto"/>
              <w:ind w:left="780"/>
              <w:rPr>
                <w:rFonts w:ascii="Arial" w:hAnsi="Arial"/>
                <w:i/>
                <w:sz w:val="20"/>
                <w:szCs w:val="20"/>
              </w:rPr>
            </w:pPr>
            <w:r>
              <w:rPr>
                <w:rFonts w:ascii="Arial" w:hAnsi="Arial"/>
                <w:sz w:val="20"/>
                <w:szCs w:val="20"/>
              </w:rPr>
              <w:t>they recommend that you add a line about where you found lay painful motion allowing 10% under 4.59</w:t>
            </w:r>
          </w:p>
          <w:p w:rsidR="006018A1" w:rsidRPr="006018A1" w:rsidRDefault="00D571C5" w:rsidP="00F063AF">
            <w:pPr>
              <w:pStyle w:val="ListParagraph"/>
              <w:numPr>
                <w:ilvl w:val="0"/>
                <w:numId w:val="175"/>
              </w:numPr>
              <w:spacing w:before="120" w:after="120" w:line="240" w:lineRule="auto"/>
              <w:ind w:left="330"/>
              <w:rPr>
                <w:rFonts w:ascii="Arial" w:hAnsi="Arial"/>
                <w:i/>
                <w:sz w:val="20"/>
                <w:szCs w:val="20"/>
              </w:rPr>
            </w:pPr>
            <w:hyperlink r:id="rId489" w:history="1">
              <w:r w:rsidR="006018A1" w:rsidRPr="006018A1">
                <w:rPr>
                  <w:rStyle w:val="Hyperlink"/>
                  <w:rFonts w:ascii="Arial" w:hAnsi="Arial"/>
                  <w:b/>
                  <w:bCs/>
                  <w:i/>
                  <w:sz w:val="20"/>
                </w:rPr>
                <w:t>July 2017 Quality Call Notes</w:t>
              </w:r>
            </w:hyperlink>
            <w:r w:rsidR="006018A1" w:rsidRPr="006018A1">
              <w:rPr>
                <w:rStyle w:val="Hyperlink"/>
                <w:rFonts w:ascii="Arial" w:hAnsi="Arial"/>
                <w:bCs/>
                <w:sz w:val="20"/>
                <w:u w:val="none"/>
              </w:rPr>
              <w:t xml:space="preserve"> – </w:t>
            </w:r>
            <w:r w:rsidR="006018A1" w:rsidRPr="006018A1">
              <w:rPr>
                <w:rStyle w:val="Hyperlink"/>
                <w:rFonts w:ascii="Arial" w:hAnsi="Arial"/>
                <w:bCs/>
                <w:color w:val="auto"/>
                <w:sz w:val="20"/>
                <w:u w:val="none"/>
              </w:rPr>
              <w:t xml:space="preserve">can </w:t>
            </w:r>
            <w:r w:rsidR="006018A1">
              <w:rPr>
                <w:rStyle w:val="Hyperlink"/>
                <w:rFonts w:ascii="Arial" w:hAnsi="Arial"/>
                <w:bCs/>
                <w:color w:val="auto"/>
                <w:sz w:val="20"/>
                <w:u w:val="none"/>
              </w:rPr>
              <w:t>use 3.157 &amp; 3.400(o)(2) for subjective complaints of painful motion under 4.59; can give 10% for 5280 &amp; another for 5276;</w:t>
            </w:r>
            <w:r w:rsidR="00342C10">
              <w:rPr>
                <w:rStyle w:val="Hyperlink"/>
                <w:rFonts w:ascii="Arial" w:hAnsi="Arial"/>
                <w:bCs/>
                <w:color w:val="auto"/>
                <w:sz w:val="20"/>
                <w:u w:val="none"/>
              </w:rPr>
              <w:t xml:space="preserve"> </w:t>
            </w:r>
            <w:r w:rsidR="00342C10" w:rsidRPr="00342C10">
              <w:rPr>
                <w:rStyle w:val="Hyperlink"/>
                <w:rFonts w:ascii="Arial" w:hAnsi="Arial"/>
                <w:bCs/>
                <w:i/>
                <w:color w:val="00B050"/>
                <w:sz w:val="20"/>
                <w:u w:val="none"/>
              </w:rPr>
              <w:t>My Notes:</w:t>
            </w:r>
            <w:r w:rsidR="006018A1" w:rsidRPr="00342C10">
              <w:rPr>
                <w:rStyle w:val="Hyperlink"/>
                <w:rFonts w:ascii="Arial" w:hAnsi="Arial"/>
                <w:bCs/>
                <w:i/>
                <w:color w:val="00B050"/>
                <w:sz w:val="20"/>
                <w:u w:val="none"/>
              </w:rPr>
              <w:t xml:space="preserve"> </w:t>
            </w:r>
            <w:r w:rsidR="006018A1" w:rsidRPr="00342C10">
              <w:rPr>
                <w:rStyle w:val="Hyperlink"/>
                <w:rFonts w:ascii="Arial" w:hAnsi="Arial"/>
                <w:bCs/>
                <w:i/>
                <w:color w:val="auto"/>
                <w:sz w:val="20"/>
                <w:u w:val="none"/>
              </w:rPr>
              <w:t>seems to imply that you can grant 10% with just “I have pain” or “It hurts” but wit</w:t>
            </w:r>
            <w:r w:rsidR="00D1641D" w:rsidRPr="00342C10">
              <w:rPr>
                <w:rStyle w:val="Hyperlink"/>
                <w:rFonts w:ascii="Arial" w:hAnsi="Arial"/>
                <w:bCs/>
                <w:i/>
                <w:color w:val="auto"/>
                <w:sz w:val="20"/>
                <w:u w:val="none"/>
              </w:rPr>
              <w:t>hout any mention of a “motion”</w:t>
            </w:r>
            <w:r w:rsidR="00A8152A">
              <w:rPr>
                <w:rStyle w:val="Hyperlink"/>
                <w:rFonts w:ascii="Arial" w:hAnsi="Arial"/>
                <w:bCs/>
                <w:i/>
                <w:color w:val="auto"/>
                <w:sz w:val="20"/>
                <w:u w:val="none"/>
              </w:rPr>
              <w:t xml:space="preserve"> (maybe because can give if have pain with “use” or “activity,” including standing/weightbearing).</w:t>
            </w:r>
          </w:p>
          <w:p w:rsidR="00856137" w:rsidRPr="00856137" w:rsidRDefault="002A7239" w:rsidP="00F063AF">
            <w:pPr>
              <w:pStyle w:val="ListParagraph"/>
              <w:numPr>
                <w:ilvl w:val="0"/>
                <w:numId w:val="175"/>
              </w:numPr>
              <w:spacing w:before="120" w:after="120" w:line="240" w:lineRule="auto"/>
              <w:ind w:left="330"/>
              <w:rPr>
                <w:rFonts w:ascii="Arial" w:hAnsi="Arial"/>
                <w:i/>
                <w:sz w:val="20"/>
                <w:szCs w:val="20"/>
              </w:rPr>
            </w:pPr>
            <w:r w:rsidRPr="002A7239">
              <w:rPr>
                <w:rFonts w:ascii="Arial" w:hAnsi="Arial"/>
                <w:i/>
                <w:sz w:val="20"/>
                <w:szCs w:val="20"/>
              </w:rPr>
              <w:t>https://www.vapulse.net/message/148943</w:t>
            </w:r>
            <w:r>
              <w:rPr>
                <w:rFonts w:ascii="Arial" w:hAnsi="Arial"/>
                <w:i/>
                <w:sz w:val="20"/>
                <w:szCs w:val="20"/>
              </w:rPr>
              <w:t xml:space="preserve"> - </w:t>
            </w:r>
            <w:r w:rsidRPr="002A7239">
              <w:rPr>
                <w:rFonts w:ascii="Arial" w:hAnsi="Arial"/>
                <w:sz w:val="20"/>
                <w:szCs w:val="20"/>
              </w:rPr>
              <w:t>good q</w:t>
            </w:r>
            <w:r>
              <w:rPr>
                <w:rFonts w:ascii="Arial" w:hAnsi="Arial"/>
                <w:sz w:val="20"/>
                <w:szCs w:val="20"/>
              </w:rPr>
              <w:t>uestions on 4.59 (no answers as of 6/13/17</w:t>
            </w:r>
            <w:r w:rsidRPr="002A7239">
              <w:rPr>
                <w:rFonts w:ascii="Arial" w:hAnsi="Arial"/>
                <w:sz w:val="20"/>
                <w:szCs w:val="20"/>
              </w:rPr>
              <w:t>)</w:t>
            </w:r>
          </w:p>
          <w:p w:rsidR="00856137" w:rsidRPr="002A7239" w:rsidRDefault="00D571C5" w:rsidP="00F063AF">
            <w:pPr>
              <w:pStyle w:val="ListParagraph"/>
              <w:numPr>
                <w:ilvl w:val="0"/>
                <w:numId w:val="175"/>
              </w:numPr>
              <w:spacing w:before="120" w:after="120" w:line="240" w:lineRule="auto"/>
              <w:ind w:left="330"/>
              <w:rPr>
                <w:rFonts w:ascii="Arial" w:hAnsi="Arial"/>
                <w:i/>
                <w:sz w:val="20"/>
                <w:szCs w:val="20"/>
              </w:rPr>
            </w:pPr>
            <w:hyperlink r:id="rId490" w:history="1">
              <w:r w:rsidR="00856137" w:rsidRPr="00856137">
                <w:rPr>
                  <w:rStyle w:val="Hyperlink"/>
                  <w:rFonts w:ascii="Arial" w:hAnsi="Arial"/>
                  <w:b/>
                  <w:bCs/>
                  <w:i/>
                  <w:sz w:val="20"/>
                </w:rPr>
                <w:t>July 2017 Quality Call Notes</w:t>
              </w:r>
            </w:hyperlink>
            <w:r w:rsidR="00856137" w:rsidRPr="00856137">
              <w:rPr>
                <w:rFonts w:ascii="Arial" w:hAnsi="Arial"/>
                <w:b/>
                <w:sz w:val="18"/>
                <w:szCs w:val="20"/>
              </w:rPr>
              <w:t xml:space="preserve"> </w:t>
            </w:r>
            <w:r w:rsidR="00856137">
              <w:rPr>
                <w:rFonts w:ascii="Arial" w:hAnsi="Arial"/>
                <w:sz w:val="20"/>
                <w:szCs w:val="20"/>
              </w:rPr>
              <w:t>– look for s</w:t>
            </w:r>
            <w:r w:rsidR="005D7D7F">
              <w:rPr>
                <w:rFonts w:ascii="Arial" w:hAnsi="Arial"/>
                <w:sz w:val="20"/>
                <w:szCs w:val="20"/>
              </w:rPr>
              <w:t xml:space="preserve">ymptom of painful motion in exam, TRs or lay testimony; does not absolve VSRs from ordering exams in CFIs if veteran indicates painful motion in lay testimony; </w:t>
            </w:r>
            <w:r w:rsidR="005D7D7F" w:rsidRPr="0051793B">
              <w:rPr>
                <w:rFonts w:ascii="Arial" w:hAnsi="Arial"/>
                <w:sz w:val="20"/>
              </w:rPr>
              <w:t>38 CFR 4.59</w:t>
            </w:r>
            <w:r w:rsidR="005D7D7F" w:rsidRPr="005D7D7F">
              <w:rPr>
                <w:rFonts w:ascii="Arial" w:hAnsi="Arial"/>
                <w:sz w:val="20"/>
              </w:rPr>
              <w:t xml:space="preserve"> considerations are now based on diagnostic codes rather than on range of motion disabilities only. Minimum compensable evaluations can be established for any diagnostic code that both provides a minimum compensable evaluation (10 percent or more) and demonstrates pain on movement, whether in objective medical evidence or subjective credible testimony.</w:t>
            </w:r>
            <w:r w:rsidR="009478A7">
              <w:rPr>
                <w:rFonts w:ascii="Arial" w:hAnsi="Arial"/>
                <w:sz w:val="20"/>
              </w:rPr>
              <w:t xml:space="preserve"> PowerPoint shows:  pain/tenderness on palplation &amp; crepitus are not sufficient, alone, to establish painful motion; only one 10% for knee for 4.59</w:t>
            </w:r>
          </w:p>
          <w:p w:rsidR="002E07D0" w:rsidRPr="00682002" w:rsidRDefault="002E07D0" w:rsidP="00F063AF">
            <w:pPr>
              <w:pStyle w:val="ListParagraph"/>
              <w:numPr>
                <w:ilvl w:val="0"/>
                <w:numId w:val="175"/>
              </w:numPr>
              <w:spacing w:before="120" w:after="120" w:line="240" w:lineRule="auto"/>
              <w:ind w:left="330"/>
              <w:rPr>
                <w:rFonts w:ascii="Arial" w:hAnsi="Arial"/>
                <w:b/>
                <w:i/>
                <w:sz w:val="18"/>
                <w:szCs w:val="20"/>
              </w:rPr>
            </w:pPr>
            <w:r>
              <w:rPr>
                <w:rFonts w:ascii="Arial" w:hAnsi="Arial"/>
                <w:b/>
                <w:sz w:val="20"/>
                <w:szCs w:val="21"/>
              </w:rPr>
              <w:t>III.iv.4.A.1</w:t>
            </w:r>
            <w:r>
              <w:rPr>
                <w:rFonts w:ascii="Arial" w:hAnsi="Arial"/>
                <w:sz w:val="20"/>
                <w:szCs w:val="21"/>
              </w:rPr>
              <w:t xml:space="preserve"> (lots of new info 10/24/17)</w:t>
            </w:r>
          </w:p>
          <w:p w:rsidR="00F41875" w:rsidRPr="00F41875" w:rsidRDefault="00F41875" w:rsidP="00F063AF">
            <w:pPr>
              <w:pStyle w:val="ListParagraph"/>
              <w:numPr>
                <w:ilvl w:val="0"/>
                <w:numId w:val="387"/>
              </w:numPr>
              <w:spacing w:after="0"/>
              <w:ind w:left="331"/>
              <w:rPr>
                <w:rFonts w:ascii="Arial" w:hAnsi="Arial"/>
                <w:sz w:val="20"/>
                <w:szCs w:val="20"/>
              </w:rPr>
            </w:pPr>
            <w:r w:rsidRPr="00F41875">
              <w:rPr>
                <w:rFonts w:ascii="Tahoma" w:hAnsi="Tahoma" w:cs="Tahoma"/>
                <w:b/>
                <w:bCs/>
                <w:sz w:val="20"/>
                <w:szCs w:val="20"/>
              </w:rPr>
              <w:t>From:</w:t>
            </w:r>
            <w:r w:rsidRPr="00F41875">
              <w:rPr>
                <w:rFonts w:ascii="Tahoma" w:hAnsi="Tahoma" w:cs="Tahoma"/>
                <w:sz w:val="20"/>
                <w:szCs w:val="20"/>
              </w:rPr>
              <w:t xml:space="preserve"> VAVBASDC/RO/VSC</w:t>
            </w:r>
          </w:p>
          <w:p w:rsidR="00F41875" w:rsidRPr="00F41875" w:rsidRDefault="00F41875" w:rsidP="00F41875">
            <w:pPr>
              <w:ind w:left="330"/>
            </w:pPr>
            <w:r w:rsidRPr="00F41875">
              <w:rPr>
                <w:b/>
                <w:bCs/>
              </w:rPr>
              <w:t>Sent:</w:t>
            </w:r>
            <w:r w:rsidRPr="00F41875">
              <w:t xml:space="preserve"> Friday, November 03, 2017 8:11 AM</w:t>
            </w:r>
            <w:r w:rsidRPr="00F41875">
              <w:br/>
            </w:r>
            <w:r w:rsidRPr="00F41875">
              <w:rPr>
                <w:b/>
                <w:bCs/>
              </w:rPr>
              <w:t>Subject:</w:t>
            </w:r>
            <w:r w:rsidRPr="00F41875">
              <w:t xml:space="preserve"> Updated Q-Tip: Evaluating Painful Motion under 38 CFR 4.59 </w:t>
            </w:r>
          </w:p>
          <w:p w:rsidR="00F41875" w:rsidRPr="00F41875" w:rsidRDefault="00F41875" w:rsidP="00F41875">
            <w:pPr>
              <w:spacing w:after="120"/>
              <w:ind w:left="331"/>
              <w:rPr>
                <w:b/>
                <w:bCs/>
              </w:rPr>
            </w:pPr>
            <w:r w:rsidRPr="00F41875">
              <w:rPr>
                <w:b/>
                <w:bCs/>
              </w:rPr>
              <w:t>Q-Tip:  Evaluating Painful Motion under 38 CFR 4.59 (with attachment)</w:t>
            </w:r>
            <w:r w:rsidRPr="00F41875">
              <w:rPr>
                <w:b/>
                <w:bCs/>
                <w:color w:val="1F497D"/>
              </w:rPr>
              <w:t xml:space="preserve">  </w:t>
            </w:r>
          </w:p>
          <w:p w:rsidR="00F41875" w:rsidRPr="00F41875" w:rsidRDefault="00F41875" w:rsidP="00F41875">
            <w:pPr>
              <w:spacing w:after="120"/>
              <w:ind w:left="331"/>
              <w:rPr>
                <w:b/>
                <w:bCs/>
              </w:rPr>
            </w:pPr>
            <w:r w:rsidRPr="00F41875">
              <w:rPr>
                <w:b/>
                <w:bCs/>
              </w:rPr>
              <w:t>Target Audience:  RVSRs and DROs</w:t>
            </w:r>
          </w:p>
          <w:p w:rsidR="00F41875" w:rsidRPr="00F41875" w:rsidRDefault="00F41875" w:rsidP="00F41875">
            <w:pPr>
              <w:spacing w:after="120"/>
              <w:ind w:left="331"/>
              <w:rPr>
                <w:u w:val="single"/>
              </w:rPr>
            </w:pPr>
            <w:r w:rsidRPr="00F41875">
              <w:rPr>
                <w:u w:val="single"/>
              </w:rPr>
              <w:t xml:space="preserve">Background  </w:t>
            </w:r>
          </w:p>
          <w:p w:rsidR="00F41875" w:rsidRPr="00F41875" w:rsidRDefault="00F41875" w:rsidP="00F41875">
            <w:pPr>
              <w:spacing w:after="120"/>
              <w:ind w:left="331"/>
            </w:pPr>
            <w:r w:rsidRPr="00F41875">
              <w:t xml:space="preserve">The musculoskeletal section of the manual at </w:t>
            </w:r>
            <w:hyperlink r:id="rId491" w:anchor="!portal/554400000001018/topic/554400000004049/M21-1-Adjudication-Procedures-Manual" w:history="1">
              <w:r w:rsidRPr="00F41875">
                <w:rPr>
                  <w:rStyle w:val="Hyperlink"/>
                </w:rPr>
                <w:t>M21-1 III.iv.4.A.1</w:t>
              </w:r>
            </w:hyperlink>
            <w:r w:rsidRPr="00F41875">
              <w:t xml:space="preserve"> was updated on May 25, 2017 to provide instruction on when a minimum compensable evaluation is warranted under </w:t>
            </w:r>
            <w:hyperlink r:id="rId492" w:tgtFrame="_blank" w:history="1">
              <w:r w:rsidRPr="00F41875">
                <w:rPr>
                  <w:rStyle w:val="Hyperlink"/>
                </w:rPr>
                <w:t>38 CFR 4.59</w:t>
              </w:r>
            </w:hyperlink>
            <w:r w:rsidRPr="00F41875">
              <w:t xml:space="preserve">.  Significant changes included that 38 CFR 4.59 does </w:t>
            </w:r>
            <w:r w:rsidRPr="00F41875">
              <w:rPr>
                <w:b/>
                <w:bCs/>
              </w:rPr>
              <w:t>not</w:t>
            </w:r>
            <w:r w:rsidRPr="00F41875">
              <w:t xml:space="preserve"> require </w:t>
            </w:r>
            <w:r w:rsidRPr="00F41875">
              <w:rPr>
                <w:i/>
                <w:iCs/>
              </w:rPr>
              <w:t>objective</w:t>
            </w:r>
            <w:r w:rsidRPr="00F41875">
              <w:t xml:space="preserve"> evidence of painful motion in order to assign the minimal compensable evaluation for the joint.  A claimant’s credible lay statement describing his/her pain is acceptable proof that the he/ she has “painful motion.”  Due to gaps in the manual instructions relating to certain issues, QRT provided interim guidance in VSC email “ QRT Q&amp;A – Minimum compensable evaluation under 38 CFR 4.59” dated June 22, 2017 until the manual can be further clarified.  The “Q&amp;As” were rescinded due to additional clarification published to the manual on October 24, 2017.</w:t>
            </w:r>
          </w:p>
          <w:p w:rsidR="00F41875" w:rsidRPr="00F41875" w:rsidRDefault="00F41875" w:rsidP="00F41875">
            <w:pPr>
              <w:spacing w:after="120"/>
              <w:ind w:left="331"/>
              <w:rPr>
                <w:u w:val="single"/>
              </w:rPr>
            </w:pPr>
            <w:r w:rsidRPr="00F41875">
              <w:rPr>
                <w:u w:val="single"/>
              </w:rPr>
              <w:t>Updated Guidance</w:t>
            </w:r>
          </w:p>
          <w:p w:rsidR="00F41875" w:rsidRDefault="00F41875" w:rsidP="00F41875">
            <w:pPr>
              <w:spacing w:after="120"/>
              <w:ind w:left="331"/>
            </w:pPr>
            <w:r w:rsidRPr="00F41875">
              <w:t xml:space="preserve">The latest guidance provided at M21-1 III.iv.4.A.1 must be followed when </w:t>
            </w:r>
            <w:r w:rsidRPr="00F41875">
              <w:rPr>
                <w:color w:val="000000"/>
              </w:rPr>
              <w:t xml:space="preserve">evaluating for painful motion under </w:t>
            </w:r>
            <w:r w:rsidRPr="00F41875">
              <w:t xml:space="preserve">38 CFR 4.59.  The </w:t>
            </w:r>
            <w:r w:rsidRPr="00F41875">
              <w:rPr>
                <w:b/>
                <w:bCs/>
              </w:rPr>
              <w:t>attached document</w:t>
            </w:r>
            <w:r w:rsidRPr="00F41875">
              <w:t xml:space="preserve"> provides on overview of what is considered satisfactory evidence of painful motion to warrant a minimum compensable evaluation under 38 CFR 4.59 along with some examples that are provided in the manual.  Guidance from the manual relating to specific disabilities are also included based on previous inquiries received.  Changes deemed to be significant from prior guidance are highlighted in yellow.</w:t>
            </w:r>
          </w:p>
          <w:p w:rsidR="00F41875" w:rsidRPr="005F5D1E" w:rsidRDefault="00F41875" w:rsidP="00EA2D91">
            <w:pPr>
              <w:pBdr>
                <w:top w:val="double" w:sz="4" w:space="1" w:color="auto"/>
                <w:left w:val="double" w:sz="4" w:space="4" w:color="auto"/>
                <w:bottom w:val="double" w:sz="4" w:space="1" w:color="auto"/>
                <w:right w:val="double" w:sz="4" w:space="4" w:color="auto"/>
              </w:pBdr>
              <w:shd w:val="clear" w:color="auto" w:fill="FFC000"/>
              <w:tabs>
                <w:tab w:val="left" w:pos="9960"/>
              </w:tabs>
              <w:spacing w:after="120"/>
              <w:ind w:left="360" w:right="240"/>
              <w:rPr>
                <w:rFonts w:eastAsiaTheme="minorHAnsi"/>
              </w:rPr>
            </w:pPr>
            <w:r>
              <w:rPr>
                <w:rFonts w:eastAsiaTheme="minorHAnsi"/>
                <w:b/>
              </w:rPr>
              <w:t>Evaluating Painful Motion 10-24-17.pdf</w:t>
            </w:r>
            <w:r>
              <w:rPr>
                <w:rFonts w:eastAsiaTheme="minorHAnsi"/>
              </w:rPr>
              <w:t xml:space="preserve"> </w:t>
            </w:r>
            <w:r w:rsidRPr="005F5D1E">
              <w:rPr>
                <w:rFonts w:eastAsiaTheme="minorHAnsi"/>
              </w:rPr>
              <w:t>is</w:t>
            </w:r>
            <w:r w:rsidRPr="0036376C">
              <w:t xml:space="preserve"> saved at </w:t>
            </w:r>
            <w:r w:rsidRPr="005F5D1E">
              <w:rPr>
                <w:b/>
                <w:bCs/>
                <w:i/>
                <w:iCs/>
              </w:rPr>
              <w:t>H:\VSC\Rating Reference</w:t>
            </w:r>
          </w:p>
          <w:p w:rsidR="009914C0" w:rsidRDefault="009914C0" w:rsidP="009914C0">
            <w:pPr>
              <w:spacing w:before="120" w:after="120"/>
              <w:ind w:left="330"/>
              <w:rPr>
                <w:i/>
                <w:color w:val="00B050"/>
              </w:rPr>
            </w:pPr>
            <w:r w:rsidRPr="009914C0">
              <w:rPr>
                <w:i/>
                <w:color w:val="00B050"/>
              </w:rPr>
              <w:t xml:space="preserve">My Notes from the above pdf file:  </w:t>
            </w:r>
          </w:p>
          <w:p w:rsidR="009914C0" w:rsidRDefault="009914C0" w:rsidP="009914C0">
            <w:pPr>
              <w:spacing w:before="120" w:after="120"/>
              <w:ind w:left="330"/>
            </w:pPr>
            <w:r>
              <w:t>Veteran’s/buddy statement of painful motion = 10% for painful motion, if credible per III.iv.5.A.2.b (usually credible unless have conflicting info in TRs)</w:t>
            </w:r>
          </w:p>
          <w:p w:rsidR="009914C0" w:rsidRDefault="009914C0" w:rsidP="009914C0">
            <w:pPr>
              <w:spacing w:before="120" w:after="120"/>
              <w:ind w:left="330"/>
            </w:pPr>
            <w:r>
              <w:t xml:space="preserve">Pain </w:t>
            </w:r>
            <w:r w:rsidRPr="009914C0">
              <w:rPr>
                <w:i/>
              </w:rPr>
              <w:t>with</w:t>
            </w:r>
            <w:r>
              <w:t xml:space="preserve"> weight-bearing, nonweight-bearing or passive</w:t>
            </w:r>
            <w:r w:rsidR="00A8152A">
              <w:t xml:space="preserve"> ROM (including positive Hawkin’</w:t>
            </w:r>
            <w:r>
              <w:t xml:space="preserve">s sign); pain </w:t>
            </w:r>
            <w:r w:rsidRPr="009914C0">
              <w:rPr>
                <w:i/>
              </w:rPr>
              <w:t>reported</w:t>
            </w:r>
            <w:r>
              <w:t xml:space="preserve"> </w:t>
            </w:r>
            <w:r w:rsidRPr="009914C0">
              <w:rPr>
                <w:i/>
              </w:rPr>
              <w:t>during</w:t>
            </w:r>
            <w:r>
              <w:t xml:space="preserve"> repeated use or flare-ups = 10% for painful motion</w:t>
            </w:r>
          </w:p>
          <w:p w:rsidR="009914C0" w:rsidRDefault="009914C0" w:rsidP="009914C0">
            <w:pPr>
              <w:spacing w:before="120" w:after="120"/>
              <w:ind w:left="330"/>
            </w:pPr>
            <w:r>
              <w:t>Examiner’s opinion that painful motion would be present with repeated use over time or during flare-ups = 10% for painful motion</w:t>
            </w:r>
          </w:p>
          <w:p w:rsidR="009914C0" w:rsidRDefault="009914C0" w:rsidP="009914C0">
            <w:pPr>
              <w:spacing w:before="120" w:after="120"/>
              <w:ind w:left="330"/>
            </w:pPr>
            <w:r>
              <w:t>Cannot give 10% for crepitus/crepitation or pain on palpation</w:t>
            </w:r>
          </w:p>
          <w:p w:rsidR="009914C0" w:rsidRPr="00BE6C53" w:rsidRDefault="009914C0" w:rsidP="00BE6C53">
            <w:pPr>
              <w:widowControl w:val="0"/>
              <w:ind w:left="330"/>
              <w:rPr>
                <w:b/>
                <w:bCs/>
                <w:i/>
                <w:color w:val="0000FF"/>
                <w:u w:val="single"/>
              </w:rPr>
            </w:pPr>
            <w:r>
              <w:t>Can give 10% for 5276, 5284(including painful motion of multiple toes</w:t>
            </w:r>
            <w:r w:rsidR="00BE6C53">
              <w:t xml:space="preserve">, </w:t>
            </w:r>
            <w:hyperlink r:id="rId493" w:history="1">
              <w:r w:rsidR="00BE6C53" w:rsidRPr="00BE6C53">
                <w:rPr>
                  <w:rStyle w:val="Hyperlink"/>
                  <w:b/>
                  <w:bCs/>
                  <w:i/>
                </w:rPr>
                <w:t>February 2018 Quality Call Notes</w:t>
              </w:r>
            </w:hyperlink>
            <w:r w:rsidR="00BE6C53">
              <w:rPr>
                <w:rStyle w:val="Hyperlink"/>
                <w:b/>
                <w:bCs/>
                <w:i/>
              </w:rPr>
              <w:t xml:space="preserve"> </w:t>
            </w:r>
            <w:r w:rsidR="00BE6C53">
              <w:t xml:space="preserve">confirmed only one 5284 for each foot even if have multiple painful toes, per </w:t>
            </w:r>
            <w:r w:rsidR="00804C82">
              <w:rPr>
                <w:b/>
              </w:rPr>
              <w:t>III.iv.4.A.1.p</w:t>
            </w:r>
            <w:r>
              <w:t>), 5280</w:t>
            </w:r>
            <w:r w:rsidR="00804C82">
              <w:t>(for hallux valgus,</w:t>
            </w:r>
            <w:r w:rsidR="00E76AD0">
              <w:t xml:space="preserve"> don’t use for</w:t>
            </w:r>
            <w:r w:rsidR="00804C82">
              <w:t xml:space="preserve"> painful motion of the first toe, per </w:t>
            </w:r>
            <w:r w:rsidR="00804C82" w:rsidRPr="00804C82">
              <w:rPr>
                <w:b/>
              </w:rPr>
              <w:t xml:space="preserve">III.iv.4.A.1.p </w:t>
            </w:r>
            <w:r w:rsidR="00804C82">
              <w:t xml:space="preserve">&amp; </w:t>
            </w:r>
            <w:r w:rsidR="00804C82" w:rsidRPr="00804C82">
              <w:rPr>
                <w:b/>
              </w:rPr>
              <w:t>III.iv.4.A.1.q</w:t>
            </w:r>
            <w:r w:rsidR="00804C82">
              <w:t>)</w:t>
            </w:r>
            <w:r>
              <w:t xml:space="preserve"> &amp; 5229</w:t>
            </w:r>
            <w:r w:rsidR="00BE6C53">
              <w:t>(</w:t>
            </w:r>
            <w:hyperlink r:id="rId494" w:history="1">
              <w:r w:rsidR="00BE6C53" w:rsidRPr="00BE6C53">
                <w:rPr>
                  <w:rStyle w:val="Hyperlink"/>
                  <w:b/>
                  <w:bCs/>
                  <w:i/>
                </w:rPr>
                <w:t>February 2018 Quality Call Notes</w:t>
              </w:r>
            </w:hyperlink>
            <w:r w:rsidR="00BE6C53" w:rsidRPr="00E52CB3">
              <w:rPr>
                <w:rStyle w:val="Hyperlink"/>
                <w:bCs/>
                <w:u w:val="none"/>
              </w:rPr>
              <w:t xml:space="preserve"> </w:t>
            </w:r>
            <w:r w:rsidR="00BE6C53">
              <w:t xml:space="preserve">confirmed can give multiple 10%s for fingers per </w:t>
            </w:r>
            <w:r w:rsidR="00BE6C53" w:rsidRPr="00BE6C53">
              <w:rPr>
                <w:b/>
              </w:rPr>
              <w:t>III.iv.4.A.1.</w:t>
            </w:r>
            <w:r w:rsidR="00804C82">
              <w:rPr>
                <w:b/>
              </w:rPr>
              <w:t>p</w:t>
            </w:r>
            <w:r w:rsidR="00E76AD0">
              <w:rPr>
                <w:b/>
              </w:rPr>
              <w:t xml:space="preserve"> </w:t>
            </w:r>
            <w:r w:rsidR="00E76AD0">
              <w:t xml:space="preserve">&amp; </w:t>
            </w:r>
            <w:r w:rsidR="00E76AD0">
              <w:rPr>
                <w:b/>
              </w:rPr>
              <w:t>III.iv.4.A.1.q</w:t>
            </w:r>
            <w:r w:rsidR="00BE6C53">
              <w:t xml:space="preserve">, </w:t>
            </w:r>
            <w:r w:rsidR="00E76AD0">
              <w:t>they</w:t>
            </w:r>
            <w:r w:rsidR="00BE6C53">
              <w:t xml:space="preserve"> mean 5228 &amp; 5229), </w:t>
            </w:r>
            <w:r>
              <w:t xml:space="preserve">but </w:t>
            </w:r>
            <w:r w:rsidRPr="00BE6C53">
              <w:rPr>
                <w:u w:val="single"/>
              </w:rPr>
              <w:t>not for 5230</w:t>
            </w:r>
            <w:r w:rsidR="00804C82">
              <w:t xml:space="preserve">(per </w:t>
            </w:r>
            <w:r w:rsidR="00804C82">
              <w:rPr>
                <w:b/>
              </w:rPr>
              <w:t>III.iv.4.A.1.g</w:t>
            </w:r>
            <w:r w:rsidR="00804C82">
              <w:t xml:space="preserve"> &amp; </w:t>
            </w:r>
            <w:r w:rsidR="00804C82">
              <w:rPr>
                <w:b/>
              </w:rPr>
              <w:t>III.iv.4.A.1.q</w:t>
            </w:r>
            <w:r w:rsidR="00804C82">
              <w:t>)</w:t>
            </w:r>
          </w:p>
          <w:p w:rsidR="00A960BE" w:rsidRPr="009914C0" w:rsidRDefault="00A960BE" w:rsidP="009914C0">
            <w:pPr>
              <w:spacing w:before="120" w:after="120"/>
              <w:ind w:left="330"/>
            </w:pPr>
            <w:r>
              <w:t xml:space="preserve">Clarify with examiner if have painful motion of elbow/forearm, but you cannot tell if apply it to </w:t>
            </w:r>
            <w:r>
              <w:rPr>
                <w:bCs/>
              </w:rPr>
              <w:t>5206/5207 or</w:t>
            </w:r>
            <w:r w:rsidRPr="005830A4">
              <w:rPr>
                <w:bCs/>
              </w:rPr>
              <w:t xml:space="preserve"> </w:t>
            </w:r>
            <w:r>
              <w:rPr>
                <w:bCs/>
              </w:rPr>
              <w:t xml:space="preserve">to </w:t>
            </w:r>
            <w:r w:rsidRPr="005830A4">
              <w:rPr>
                <w:bCs/>
              </w:rPr>
              <w:t>5213</w:t>
            </w:r>
            <w:r>
              <w:t xml:space="preserve"> (</w:t>
            </w:r>
            <w:r w:rsidR="00351455">
              <w:t xml:space="preserve">examiner should check which box, but </w:t>
            </w:r>
            <w:r>
              <w:t>if examiner cannot delineate, resolve reasonable doubt in the veteran’s favor)</w:t>
            </w:r>
          </w:p>
          <w:p w:rsidR="00A8152A" w:rsidRDefault="00A8152A" w:rsidP="00A8152A">
            <w:pPr>
              <w:spacing w:before="120" w:after="120"/>
              <w:ind w:left="420" w:right="240"/>
            </w:pPr>
          </w:p>
          <w:p w:rsidR="00351455" w:rsidRDefault="00351455" w:rsidP="00351455">
            <w:pPr>
              <w:pBdr>
                <w:top w:val="single" w:sz="4" w:space="1" w:color="auto"/>
                <w:left w:val="single" w:sz="4" w:space="1" w:color="auto"/>
                <w:bottom w:val="single" w:sz="4" w:space="1" w:color="auto"/>
                <w:right w:val="single" w:sz="4" w:space="1" w:color="auto"/>
              </w:pBdr>
              <w:spacing w:before="120" w:after="120"/>
              <w:ind w:left="420" w:right="240"/>
            </w:pPr>
            <w:r w:rsidRPr="00351455">
              <w:rPr>
                <w:i/>
              </w:rPr>
              <w:t>Note for Narrative:</w:t>
            </w:r>
            <w:r>
              <w:t xml:space="preserve">  </w:t>
            </w:r>
            <w:r w:rsidRPr="00553057">
              <w:t xml:space="preserve">The {} </w:t>
            </w:r>
            <w:r>
              <w:t xml:space="preserve">DBQ </w:t>
            </w:r>
            <w:r w:rsidRPr="00553057">
              <w:t xml:space="preserve">shows your </w:t>
            </w:r>
            <w:r>
              <w:t>lay statement of painful motion based on your reports of {pain with standing / pain with walking / pain with running / }.</w:t>
            </w:r>
          </w:p>
          <w:p w:rsidR="00351455" w:rsidRDefault="00351455" w:rsidP="00351455">
            <w:pPr>
              <w:pBdr>
                <w:top w:val="single" w:sz="4" w:space="1" w:color="auto"/>
                <w:left w:val="single" w:sz="4" w:space="1" w:color="auto"/>
                <w:bottom w:val="single" w:sz="4" w:space="1" w:color="auto"/>
                <w:right w:val="single" w:sz="4" w:space="1" w:color="auto"/>
              </w:pBdr>
              <w:spacing w:before="120" w:after="120"/>
              <w:ind w:left="420" w:right="240"/>
            </w:pPr>
          </w:p>
          <w:p w:rsidR="00A8152A" w:rsidRDefault="00A8152A" w:rsidP="00351455">
            <w:pPr>
              <w:pBdr>
                <w:top w:val="single" w:sz="4" w:space="1" w:color="auto"/>
                <w:left w:val="single" w:sz="4" w:space="1" w:color="auto"/>
                <w:bottom w:val="single" w:sz="4" w:space="1" w:color="auto"/>
                <w:right w:val="single" w:sz="4" w:space="1" w:color="auto"/>
              </w:pBdr>
              <w:spacing w:before="120" w:after="120"/>
              <w:ind w:left="420" w:right="240"/>
            </w:pPr>
            <w:r w:rsidRPr="00E86A5D">
              <w:rPr>
                <w:i/>
                <w:color w:val="00B050"/>
              </w:rPr>
              <w:t>My Notes</w:t>
            </w:r>
            <w:r w:rsidRPr="00D36CD9">
              <w:rPr>
                <w:i/>
                <w:color w:val="00B050"/>
              </w:rPr>
              <w:t xml:space="preserve">:  </w:t>
            </w:r>
            <w:r w:rsidRPr="00D36CD9">
              <w:rPr>
                <w:i/>
              </w:rPr>
              <w:t xml:space="preserve">I’d add a note to the codesheet if </w:t>
            </w:r>
            <w:r w:rsidR="00351455">
              <w:rPr>
                <w:i/>
              </w:rPr>
              <w:t xml:space="preserve">complaints are </w:t>
            </w:r>
            <w:r w:rsidRPr="00D36CD9">
              <w:rPr>
                <w:i/>
              </w:rPr>
              <w:t xml:space="preserve">not </w:t>
            </w:r>
            <w:bookmarkStart w:id="109" w:name="_Hlk519171172"/>
            <w:r w:rsidRPr="00D36CD9">
              <w:rPr>
                <w:i/>
              </w:rPr>
              <w:t>pain on motion</w:t>
            </w:r>
            <w:r w:rsidR="00351455">
              <w:rPr>
                <w:i/>
              </w:rPr>
              <w:t xml:space="preserve"> </w:t>
            </w:r>
            <w:r w:rsidRPr="00D36CD9">
              <w:rPr>
                <w:i/>
              </w:rPr>
              <w:t>/</w:t>
            </w:r>
            <w:r w:rsidR="00351455">
              <w:rPr>
                <w:i/>
              </w:rPr>
              <w:t xml:space="preserve"> </w:t>
            </w:r>
            <w:r w:rsidRPr="00D36CD9">
              <w:rPr>
                <w:i/>
              </w:rPr>
              <w:t>use</w:t>
            </w:r>
            <w:r w:rsidR="00351455">
              <w:rPr>
                <w:i/>
              </w:rPr>
              <w:t xml:space="preserve"> </w:t>
            </w:r>
            <w:r w:rsidRPr="00D36CD9">
              <w:rPr>
                <w:i/>
              </w:rPr>
              <w:t>/</w:t>
            </w:r>
            <w:r w:rsidR="00351455">
              <w:rPr>
                <w:i/>
              </w:rPr>
              <w:t xml:space="preserve"> </w:t>
            </w:r>
            <w:r w:rsidRPr="00D36CD9">
              <w:rPr>
                <w:i/>
              </w:rPr>
              <w:t>activity</w:t>
            </w:r>
            <w:r w:rsidR="00351455">
              <w:rPr>
                <w:i/>
              </w:rPr>
              <w:t xml:space="preserve"> </w:t>
            </w:r>
            <w:r>
              <w:rPr>
                <w:i/>
              </w:rPr>
              <w:t>/</w:t>
            </w:r>
            <w:r w:rsidR="00351455">
              <w:rPr>
                <w:i/>
              </w:rPr>
              <w:t xml:space="preserve"> </w:t>
            </w:r>
            <w:r>
              <w:rPr>
                <w:i/>
              </w:rPr>
              <w:t>weight-bearing</w:t>
            </w:r>
            <w:r w:rsidR="00351455">
              <w:rPr>
                <w:i/>
              </w:rPr>
              <w:t xml:space="preserve"> </w:t>
            </w:r>
            <w:r>
              <w:rPr>
                <w:i/>
              </w:rPr>
              <w:t>/</w:t>
            </w:r>
            <w:r w:rsidR="00351455">
              <w:rPr>
                <w:i/>
              </w:rPr>
              <w:t xml:space="preserve"> </w:t>
            </w:r>
            <w:r>
              <w:rPr>
                <w:i/>
              </w:rPr>
              <w:t>nonweight-bearing</w:t>
            </w:r>
            <w:r w:rsidR="00F02673">
              <w:rPr>
                <w:i/>
              </w:rPr>
              <w:t xml:space="preserve"> </w:t>
            </w:r>
            <w:r>
              <w:rPr>
                <w:i/>
              </w:rPr>
              <w:t>/</w:t>
            </w:r>
            <w:r w:rsidR="00F02673">
              <w:rPr>
                <w:i/>
              </w:rPr>
              <w:t xml:space="preserve"> </w:t>
            </w:r>
            <w:r>
              <w:rPr>
                <w:i/>
              </w:rPr>
              <w:t>passive motion(Hawkin’s sign)</w:t>
            </w:r>
            <w:r w:rsidR="00351455">
              <w:rPr>
                <w:i/>
              </w:rPr>
              <w:t xml:space="preserve"> </w:t>
            </w:r>
            <w:r>
              <w:rPr>
                <w:i/>
              </w:rPr>
              <w:t>/</w:t>
            </w:r>
            <w:r w:rsidR="00351455">
              <w:rPr>
                <w:i/>
              </w:rPr>
              <w:t xml:space="preserve"> </w:t>
            </w:r>
            <w:r>
              <w:rPr>
                <w:i/>
              </w:rPr>
              <w:t>repeated use(can be just reported</w:t>
            </w:r>
            <w:r w:rsidR="00351455">
              <w:rPr>
                <w:i/>
              </w:rPr>
              <w:t xml:space="preserve"> pain</w:t>
            </w:r>
            <w:r>
              <w:rPr>
                <w:i/>
              </w:rPr>
              <w:t>)</w:t>
            </w:r>
            <w:r w:rsidR="00351455">
              <w:rPr>
                <w:i/>
              </w:rPr>
              <w:t xml:space="preserve"> </w:t>
            </w:r>
            <w:r>
              <w:rPr>
                <w:i/>
              </w:rPr>
              <w:t>/</w:t>
            </w:r>
            <w:r w:rsidR="00351455">
              <w:rPr>
                <w:i/>
              </w:rPr>
              <w:t xml:space="preserve"> </w:t>
            </w:r>
            <w:r>
              <w:rPr>
                <w:i/>
              </w:rPr>
              <w:t>flare-ups(can be just reported</w:t>
            </w:r>
            <w:r w:rsidR="00351455">
              <w:rPr>
                <w:i/>
              </w:rPr>
              <w:t xml:space="preserve"> pain</w:t>
            </w:r>
            <w:r>
              <w:rPr>
                <w:i/>
              </w:rPr>
              <w:t>)</w:t>
            </w:r>
            <w:bookmarkEnd w:id="109"/>
            <w:r w:rsidRPr="00D36CD9">
              <w:rPr>
                <w:i/>
              </w:rPr>
              <w:t>:</w:t>
            </w:r>
          </w:p>
          <w:p w:rsidR="00A8152A" w:rsidRDefault="00A8152A" w:rsidP="00351455">
            <w:pPr>
              <w:pBdr>
                <w:top w:val="single" w:sz="4" w:space="1" w:color="auto"/>
                <w:left w:val="single" w:sz="4" w:space="1" w:color="auto"/>
                <w:bottom w:val="single" w:sz="4" w:space="1" w:color="auto"/>
                <w:right w:val="single" w:sz="4" w:space="1" w:color="auto"/>
              </w:pBdr>
              <w:spacing w:before="120" w:after="120"/>
              <w:ind w:left="420" w:right="240"/>
            </w:pPr>
            <w:r>
              <w:t>Rating Note:  The {} DBQ shows “</w:t>
            </w:r>
            <w:r>
              <w:rPr>
                <w:rFonts w:ascii="Courier" w:hAnsi="Courier" w:cs="Courier"/>
              </w:rPr>
              <w:t xml:space="preserve">He reports the {} pain </w:t>
            </w:r>
            <w:r w:rsidRPr="00351455">
              <w:rPr>
                <w:rFonts w:ascii="Courier" w:hAnsi="Courier" w:cs="Courier"/>
                <w:u w:val="single"/>
              </w:rPr>
              <w:t>was</w:t>
            </w:r>
            <w:r>
              <w:rPr>
                <w:rFonts w:ascii="Courier" w:hAnsi="Courier" w:cs="Courier"/>
              </w:rPr>
              <w:t xml:space="preserve"> worse during physical therapy activity and sometimes when picking up his son.</w:t>
            </w:r>
            <w:r>
              <w:t>” This is not evidence of current painful motion, because it only talks about the veteran’s history.</w:t>
            </w:r>
          </w:p>
          <w:p w:rsidR="00A8152A" w:rsidRDefault="00A8152A" w:rsidP="00351455">
            <w:pPr>
              <w:pBdr>
                <w:top w:val="single" w:sz="4" w:space="1" w:color="auto"/>
                <w:left w:val="single" w:sz="4" w:space="1" w:color="auto"/>
                <w:bottom w:val="single" w:sz="4" w:space="1" w:color="auto"/>
                <w:right w:val="single" w:sz="4" w:space="1" w:color="auto"/>
              </w:pBdr>
              <w:spacing w:before="120" w:after="120"/>
              <w:ind w:left="420" w:right="240"/>
            </w:pPr>
            <w:r>
              <w:t xml:space="preserve">Rating Note:  The {} DBQ only shows reports of </w:t>
            </w:r>
            <w:bookmarkStart w:id="110" w:name="_Hlk519171335"/>
            <w:r>
              <w:t>“pain”</w:t>
            </w:r>
            <w:r w:rsidR="00F02673">
              <w:t xml:space="preserve"> (alone, with nothing else)</w:t>
            </w:r>
            <w:r>
              <w:t xml:space="preserve"> / “pain at rest” / “pain in certain positions”</w:t>
            </w:r>
            <w:r w:rsidR="00351455">
              <w:t>(unless it can be considered nonweight-bearing)</w:t>
            </w:r>
            <w:r>
              <w:t xml:space="preserve"> / “discomfort” / “being bothered” / “difficulty”</w:t>
            </w:r>
            <w:r w:rsidR="00351455">
              <w:t>(</w:t>
            </w:r>
            <w:r w:rsidR="00351455" w:rsidRPr="00351455">
              <w:rPr>
                <w:i/>
              </w:rPr>
              <w:t>My Notes:  This is up for debate</w:t>
            </w:r>
            <w:r w:rsidR="00351455">
              <w:t>),</w:t>
            </w:r>
            <w:r>
              <w:t xml:space="preserve"> which is not painful motion </w:t>
            </w:r>
            <w:r w:rsidR="00351455">
              <w:t xml:space="preserve">(or </w:t>
            </w:r>
            <w:r>
              <w:t>pain with use/activity</w:t>
            </w:r>
            <w:r w:rsidR="00351455">
              <w:t>)</w:t>
            </w:r>
            <w:r>
              <w:t xml:space="preserve"> under 4.59.</w:t>
            </w:r>
            <w:bookmarkEnd w:id="110"/>
          </w:p>
          <w:p w:rsidR="00A8152A" w:rsidRDefault="00A8152A" w:rsidP="00351455">
            <w:pPr>
              <w:pBdr>
                <w:top w:val="single" w:sz="4" w:space="1" w:color="auto"/>
                <w:left w:val="single" w:sz="4" w:space="1" w:color="auto"/>
                <w:bottom w:val="single" w:sz="4" w:space="1" w:color="auto"/>
                <w:right w:val="single" w:sz="4" w:space="1" w:color="auto"/>
              </w:pBdr>
              <w:spacing w:before="120" w:after="120"/>
              <w:ind w:left="420" w:right="240"/>
            </w:pPr>
            <w:r>
              <w:t>Rating Note:  The {} DBQ only shows “pain on palpation,” which is not painful motion under 4.59.</w:t>
            </w:r>
          </w:p>
          <w:p w:rsidR="00A8152A" w:rsidRDefault="00A8152A" w:rsidP="00351455">
            <w:pPr>
              <w:pBdr>
                <w:top w:val="single" w:sz="4" w:space="1" w:color="auto"/>
                <w:left w:val="single" w:sz="4" w:space="1" w:color="auto"/>
                <w:bottom w:val="single" w:sz="4" w:space="1" w:color="auto"/>
                <w:right w:val="single" w:sz="4" w:space="1" w:color="auto"/>
              </w:pBdr>
              <w:spacing w:before="120" w:after="120"/>
              <w:ind w:left="420" w:right="240"/>
            </w:pPr>
            <w:r>
              <w:t>Rating Note:  The {} DBQ does not show painful motion under 4.59.</w:t>
            </w:r>
          </w:p>
          <w:p w:rsidR="00A8152A" w:rsidRPr="00A8152A" w:rsidRDefault="00A8152A" w:rsidP="00A8152A">
            <w:pPr>
              <w:pStyle w:val="ListParagraph"/>
              <w:spacing w:before="120" w:after="120"/>
              <w:ind w:left="330" w:right="240"/>
              <w:rPr>
                <w:rFonts w:ascii="Arial" w:hAnsi="Arial"/>
                <w:i/>
                <w:sz w:val="20"/>
              </w:rPr>
            </w:pPr>
          </w:p>
          <w:p w:rsidR="002E07D0" w:rsidRPr="00856922" w:rsidRDefault="002E07D0" w:rsidP="00F063AF">
            <w:pPr>
              <w:pStyle w:val="ListParagraph"/>
              <w:numPr>
                <w:ilvl w:val="0"/>
                <w:numId w:val="426"/>
              </w:numPr>
              <w:spacing w:before="120" w:after="120"/>
              <w:ind w:left="330" w:right="240"/>
              <w:rPr>
                <w:rFonts w:ascii="Arial" w:hAnsi="Arial"/>
                <w:i/>
                <w:sz w:val="20"/>
              </w:rPr>
            </w:pPr>
            <w:r w:rsidRPr="00856922">
              <w:rPr>
                <w:rFonts w:ascii="Arial" w:hAnsi="Arial"/>
                <w:b/>
                <w:sz w:val="20"/>
              </w:rPr>
              <w:t>III.iv.4.A.1.s</w:t>
            </w:r>
            <w:r w:rsidRPr="00856922">
              <w:rPr>
                <w:rFonts w:ascii="Arial" w:hAnsi="Arial"/>
                <w:i/>
                <w:sz w:val="20"/>
              </w:rPr>
              <w:t xml:space="preserve"> </w:t>
            </w:r>
            <w:r>
              <w:rPr>
                <w:rFonts w:ascii="Arial" w:hAnsi="Arial"/>
                <w:sz w:val="20"/>
                <w:szCs w:val="21"/>
              </w:rPr>
              <w:t xml:space="preserve">(as of 4/13/18) </w:t>
            </w:r>
            <w:r w:rsidRPr="00856922">
              <w:rPr>
                <w:rFonts w:ascii="Arial" w:hAnsi="Arial"/>
                <w:i/>
                <w:sz w:val="20"/>
              </w:rPr>
              <w:t>- for 5228 &amp; 5229, go directly to the Disability Decision Information (DDI) screen to grant 10%, then add this:</w:t>
            </w:r>
          </w:p>
          <w:p w:rsidR="002E07D0" w:rsidRPr="00E52CB3" w:rsidRDefault="002E07D0" w:rsidP="002E07D0">
            <w:pPr>
              <w:ind w:left="330"/>
              <w:rPr>
                <w:iCs/>
              </w:rPr>
            </w:pPr>
            <w:r w:rsidRPr="00E52CB3">
              <w:rPr>
                <w:iCs/>
              </w:rPr>
              <w:t>We have assigned a 10 percent evaluation based on:</w:t>
            </w:r>
          </w:p>
          <w:p w:rsidR="002E07D0" w:rsidRPr="00E52CB3" w:rsidRDefault="002E07D0" w:rsidP="002E07D0">
            <w:pPr>
              <w:ind w:left="330"/>
              <w:rPr>
                <w:iCs/>
              </w:rPr>
            </w:pPr>
            <w:r>
              <w:rPr>
                <w:iCs/>
              </w:rPr>
              <w:t> </w:t>
            </w:r>
            <w:r w:rsidRPr="00E52CB3">
              <w:rPr>
                <w:iCs/>
              </w:rPr>
              <w:t>• Painful motion due to [</w:t>
            </w:r>
            <w:r w:rsidRPr="00E52CB3">
              <w:t>input name of affected digit</w:t>
            </w:r>
            <w:r w:rsidRPr="00E52CB3">
              <w:rPr>
                <w:iCs/>
              </w:rPr>
              <w:t>].</w:t>
            </w:r>
          </w:p>
          <w:p w:rsidR="002E07D0" w:rsidRPr="00E52CB3" w:rsidRDefault="002E07D0" w:rsidP="002E07D0">
            <w:pPr>
              <w:spacing w:before="120" w:after="120"/>
              <w:ind w:left="330" w:right="240"/>
              <w:rPr>
                <w:iCs/>
              </w:rPr>
            </w:pPr>
            <w:r w:rsidRPr="00E52CB3">
              <w:rPr>
                <w:iCs/>
              </w:rPr>
              <w:t>38 CFR §4.59 allows consideration of functional loss due to painful motion to be rated to the minimum compensable rating for the affected disability. Since you demonstrate painful motion, a minimum compensable evaluation of 10 percent is assigned.</w:t>
            </w:r>
          </w:p>
          <w:p w:rsidR="002E07D0" w:rsidRPr="00E52CB3" w:rsidRDefault="002E07D0" w:rsidP="002E07D0">
            <w:pPr>
              <w:ind w:left="330"/>
              <w:rPr>
                <w:i/>
              </w:rPr>
            </w:pPr>
            <w:r>
              <w:rPr>
                <w:i/>
              </w:rPr>
              <w:t>Then m</w:t>
            </w:r>
            <w:r w:rsidRPr="00E52CB3">
              <w:rPr>
                <w:i/>
              </w:rPr>
              <w:t>odify the text below to include only the criteria that is relevant to the fact pattern being addressed and incorporate into the rating narrative as the next higher evaluation criteria.</w:t>
            </w:r>
          </w:p>
          <w:p w:rsidR="002E07D0" w:rsidRPr="00E52CB3" w:rsidRDefault="002E07D0" w:rsidP="002E07D0">
            <w:pPr>
              <w:ind w:left="330"/>
            </w:pPr>
          </w:p>
          <w:p w:rsidR="002E07D0" w:rsidRPr="00E52CB3" w:rsidRDefault="002E07D0" w:rsidP="002E07D0">
            <w:pPr>
              <w:ind w:left="330"/>
            </w:pPr>
            <w:r w:rsidRPr="00E52CB3">
              <w:t>A higher evaluation of 20 percent is not warranted unless there is:</w:t>
            </w:r>
          </w:p>
          <w:p w:rsidR="002E07D0" w:rsidRPr="00E52CB3" w:rsidRDefault="002E07D0" w:rsidP="00F063AF">
            <w:pPr>
              <w:pStyle w:val="ListParagraph"/>
              <w:numPr>
                <w:ilvl w:val="0"/>
                <w:numId w:val="421"/>
              </w:numPr>
              <w:spacing w:after="0" w:line="240" w:lineRule="auto"/>
              <w:ind w:left="330" w:firstLine="0"/>
              <w:contextualSpacing/>
              <w:rPr>
                <w:rFonts w:ascii="Arial" w:hAnsi="Arial"/>
                <w:sz w:val="20"/>
                <w:szCs w:val="20"/>
              </w:rPr>
            </w:pPr>
            <w:r w:rsidRPr="00E52CB3">
              <w:rPr>
                <w:rFonts w:ascii="Arial" w:hAnsi="Arial"/>
                <w:sz w:val="20"/>
                <w:szCs w:val="20"/>
              </w:rPr>
              <w:t>Limited motion of the thumb: with a gap of more than two inches (5.1 cm.) between the thumb pad and the fingers, with the thumb attempting to oppose the fingers; or,</w:t>
            </w:r>
          </w:p>
          <w:p w:rsidR="002E07D0" w:rsidRPr="00E52CB3" w:rsidRDefault="002E07D0" w:rsidP="00F063AF">
            <w:pPr>
              <w:pStyle w:val="ListParagraph"/>
              <w:numPr>
                <w:ilvl w:val="0"/>
                <w:numId w:val="421"/>
              </w:numPr>
              <w:spacing w:after="0" w:line="240" w:lineRule="auto"/>
              <w:ind w:left="330" w:firstLine="0"/>
              <w:contextualSpacing/>
              <w:rPr>
                <w:rFonts w:ascii="Arial" w:hAnsi="Arial"/>
                <w:sz w:val="20"/>
                <w:szCs w:val="20"/>
              </w:rPr>
            </w:pPr>
            <w:r w:rsidRPr="00E52CB3">
              <w:rPr>
                <w:rFonts w:ascii="Arial" w:hAnsi="Arial"/>
                <w:sz w:val="20"/>
                <w:szCs w:val="20"/>
              </w:rPr>
              <w:t>Favorable ankylosis involving the index finger and any other finger; or,</w:t>
            </w:r>
          </w:p>
          <w:p w:rsidR="002E07D0" w:rsidRPr="00E52CB3" w:rsidRDefault="002E07D0" w:rsidP="00F063AF">
            <w:pPr>
              <w:pStyle w:val="ListParagraph"/>
              <w:numPr>
                <w:ilvl w:val="0"/>
                <w:numId w:val="421"/>
              </w:numPr>
              <w:spacing w:after="0" w:line="240" w:lineRule="auto"/>
              <w:ind w:left="330" w:firstLine="0"/>
              <w:contextualSpacing/>
              <w:rPr>
                <w:rFonts w:ascii="Arial" w:hAnsi="Arial"/>
                <w:sz w:val="20"/>
                <w:szCs w:val="20"/>
              </w:rPr>
            </w:pPr>
            <w:r w:rsidRPr="00E52CB3">
              <w:rPr>
                <w:rFonts w:ascii="Arial" w:hAnsi="Arial"/>
                <w:sz w:val="20"/>
                <w:szCs w:val="20"/>
              </w:rPr>
              <w:t>Favorable ankylosis involving the long, ring and little fingers; or,</w:t>
            </w:r>
          </w:p>
          <w:p w:rsidR="002E07D0" w:rsidRPr="00E52CB3" w:rsidRDefault="002E07D0" w:rsidP="00F063AF">
            <w:pPr>
              <w:pStyle w:val="ListParagraph"/>
              <w:numPr>
                <w:ilvl w:val="0"/>
                <w:numId w:val="421"/>
              </w:numPr>
              <w:spacing w:after="0" w:line="240" w:lineRule="auto"/>
              <w:ind w:left="330" w:firstLine="0"/>
              <w:contextualSpacing/>
              <w:rPr>
                <w:rFonts w:ascii="Arial" w:hAnsi="Arial"/>
                <w:sz w:val="20"/>
                <w:szCs w:val="20"/>
              </w:rPr>
            </w:pPr>
            <w:r w:rsidRPr="00E52CB3">
              <w:rPr>
                <w:rFonts w:ascii="Arial" w:hAnsi="Arial"/>
                <w:sz w:val="20"/>
                <w:szCs w:val="20"/>
              </w:rPr>
              <w:t>Unfavorable ankylosis involving the thumb; or,</w:t>
            </w:r>
          </w:p>
          <w:p w:rsidR="002E07D0" w:rsidRPr="00E52CB3" w:rsidRDefault="002E07D0" w:rsidP="00F063AF">
            <w:pPr>
              <w:pStyle w:val="ListParagraph"/>
              <w:numPr>
                <w:ilvl w:val="0"/>
                <w:numId w:val="421"/>
              </w:numPr>
              <w:spacing w:after="0" w:line="240" w:lineRule="auto"/>
              <w:ind w:left="330" w:firstLine="0"/>
              <w:contextualSpacing/>
              <w:rPr>
                <w:rFonts w:ascii="Arial" w:hAnsi="Arial"/>
                <w:sz w:val="20"/>
                <w:szCs w:val="20"/>
              </w:rPr>
            </w:pPr>
            <w:r w:rsidRPr="00E52CB3">
              <w:rPr>
                <w:rFonts w:ascii="Arial" w:hAnsi="Arial"/>
                <w:sz w:val="20"/>
                <w:szCs w:val="20"/>
              </w:rPr>
              <w:t>Unfavorable ankylosis involving the long and ring fingers; or,</w:t>
            </w:r>
          </w:p>
          <w:p w:rsidR="002E07D0" w:rsidRPr="00E52CB3" w:rsidRDefault="002E07D0" w:rsidP="00F063AF">
            <w:pPr>
              <w:pStyle w:val="ListParagraph"/>
              <w:numPr>
                <w:ilvl w:val="0"/>
                <w:numId w:val="421"/>
              </w:numPr>
              <w:spacing w:after="0" w:line="240" w:lineRule="auto"/>
              <w:ind w:left="330" w:firstLine="0"/>
              <w:contextualSpacing/>
              <w:rPr>
                <w:rFonts w:ascii="Arial" w:hAnsi="Arial"/>
                <w:sz w:val="20"/>
                <w:szCs w:val="20"/>
              </w:rPr>
            </w:pPr>
            <w:r w:rsidRPr="00E52CB3">
              <w:rPr>
                <w:rFonts w:ascii="Arial" w:hAnsi="Arial"/>
                <w:sz w:val="20"/>
                <w:szCs w:val="20"/>
              </w:rPr>
              <w:t>Unfavorable ankylosis involving the long and little fingers; or,</w:t>
            </w:r>
          </w:p>
          <w:p w:rsidR="002E07D0" w:rsidRPr="00E52CB3" w:rsidRDefault="002E07D0" w:rsidP="00F063AF">
            <w:pPr>
              <w:pStyle w:val="ListParagraph"/>
              <w:numPr>
                <w:ilvl w:val="0"/>
                <w:numId w:val="420"/>
              </w:numPr>
              <w:spacing w:after="0" w:line="240" w:lineRule="auto"/>
              <w:ind w:left="330" w:firstLine="0"/>
              <w:contextualSpacing/>
              <w:rPr>
                <w:rFonts w:ascii="Arial" w:hAnsi="Arial"/>
                <w:sz w:val="20"/>
                <w:szCs w:val="20"/>
              </w:rPr>
            </w:pPr>
            <w:r w:rsidRPr="00E52CB3">
              <w:rPr>
                <w:rFonts w:ascii="Arial" w:hAnsi="Arial"/>
                <w:sz w:val="20"/>
                <w:szCs w:val="20"/>
              </w:rPr>
              <w:t>Unfavorable ankylosis involving the ring and little fingers; or,</w:t>
            </w:r>
          </w:p>
          <w:p w:rsidR="002E07D0" w:rsidRPr="00E52CB3" w:rsidRDefault="002E07D0" w:rsidP="00F063AF">
            <w:pPr>
              <w:pStyle w:val="ListParagraph"/>
              <w:numPr>
                <w:ilvl w:val="0"/>
                <w:numId w:val="420"/>
              </w:numPr>
              <w:spacing w:after="0" w:line="240" w:lineRule="auto"/>
              <w:ind w:left="330" w:firstLine="0"/>
              <w:contextualSpacing/>
              <w:rPr>
                <w:rFonts w:ascii="Arial" w:hAnsi="Arial"/>
                <w:sz w:val="20"/>
                <w:szCs w:val="20"/>
              </w:rPr>
            </w:pPr>
            <w:r w:rsidRPr="00E52CB3">
              <w:rPr>
                <w:rFonts w:ascii="Arial" w:hAnsi="Arial"/>
                <w:sz w:val="20"/>
                <w:szCs w:val="20"/>
              </w:rPr>
              <w:t>Amputation of the thumb at distal joint or through distal phalanx; or,</w:t>
            </w:r>
          </w:p>
          <w:p w:rsidR="002E07D0" w:rsidRPr="00E52CB3" w:rsidRDefault="002E07D0" w:rsidP="00F063AF">
            <w:pPr>
              <w:pStyle w:val="ListParagraph"/>
              <w:numPr>
                <w:ilvl w:val="0"/>
                <w:numId w:val="420"/>
              </w:numPr>
              <w:spacing w:after="0" w:line="240" w:lineRule="auto"/>
              <w:ind w:left="330" w:firstLine="0"/>
              <w:contextualSpacing/>
              <w:rPr>
                <w:rFonts w:ascii="Arial" w:hAnsi="Arial"/>
                <w:sz w:val="20"/>
                <w:szCs w:val="20"/>
              </w:rPr>
            </w:pPr>
            <w:r w:rsidRPr="00E52CB3">
              <w:rPr>
                <w:rFonts w:ascii="Arial" w:hAnsi="Arial"/>
                <w:sz w:val="20"/>
                <w:szCs w:val="20"/>
              </w:rPr>
              <w:t>Amputation of the index finger without metacarpal resection, at proximal interphalangeal joint or proximal thereto; or,</w:t>
            </w:r>
          </w:p>
          <w:p w:rsidR="002E07D0" w:rsidRPr="00E52CB3" w:rsidRDefault="002E07D0" w:rsidP="00F063AF">
            <w:pPr>
              <w:pStyle w:val="ListParagraph"/>
              <w:numPr>
                <w:ilvl w:val="0"/>
                <w:numId w:val="420"/>
              </w:numPr>
              <w:spacing w:after="0" w:line="240" w:lineRule="auto"/>
              <w:ind w:left="330" w:firstLine="0"/>
              <w:contextualSpacing/>
              <w:rPr>
                <w:rFonts w:ascii="Arial" w:hAnsi="Arial"/>
                <w:sz w:val="20"/>
                <w:szCs w:val="20"/>
              </w:rPr>
            </w:pPr>
            <w:r w:rsidRPr="00E52CB3">
              <w:rPr>
                <w:rFonts w:ascii="Arial" w:hAnsi="Arial"/>
                <w:sz w:val="20"/>
                <w:szCs w:val="20"/>
              </w:rPr>
              <w:t>Amputation of the long, ring or middle finger with metacarpal resection (more than one-half the bone lost).</w:t>
            </w:r>
          </w:p>
          <w:p w:rsidR="002E07D0" w:rsidRPr="00E52CB3" w:rsidRDefault="002E07D0" w:rsidP="002E07D0">
            <w:pPr>
              <w:ind w:left="330"/>
            </w:pPr>
          </w:p>
          <w:p w:rsidR="002E07D0" w:rsidRPr="00E52CB3" w:rsidRDefault="002E07D0" w:rsidP="002E07D0">
            <w:pPr>
              <w:ind w:left="330" w:right="240"/>
            </w:pPr>
            <w:r w:rsidRPr="00E52CB3">
              <w:t>In some situations, evaluation of disabilities of the hand requires multiple digits to be combined into a single diagnostic code.  Therefore, some higher evaluation criteria listed above include all possible hig</w:t>
            </w:r>
            <w:r>
              <w:t>her digit-combination criteria.</w:t>
            </w:r>
          </w:p>
          <w:p w:rsidR="002E07D0" w:rsidRPr="00856922" w:rsidRDefault="002E07D0" w:rsidP="00F063AF">
            <w:pPr>
              <w:pStyle w:val="ListParagraph"/>
              <w:numPr>
                <w:ilvl w:val="0"/>
                <w:numId w:val="426"/>
              </w:numPr>
              <w:spacing w:before="120" w:after="120"/>
              <w:ind w:left="330" w:right="240"/>
              <w:rPr>
                <w:rFonts w:ascii="Arial" w:hAnsi="Arial"/>
                <w:i/>
                <w:sz w:val="20"/>
              </w:rPr>
            </w:pPr>
            <w:r w:rsidRPr="00856922">
              <w:rPr>
                <w:rFonts w:ascii="Arial" w:hAnsi="Arial"/>
                <w:b/>
                <w:sz w:val="20"/>
              </w:rPr>
              <w:t>III.iv.4.A.1.t</w:t>
            </w:r>
            <w:r w:rsidRPr="00856922">
              <w:rPr>
                <w:rFonts w:ascii="Arial" w:hAnsi="Arial"/>
                <w:i/>
                <w:sz w:val="20"/>
              </w:rPr>
              <w:t xml:space="preserve"> </w:t>
            </w:r>
            <w:r>
              <w:rPr>
                <w:rFonts w:ascii="Arial" w:hAnsi="Arial"/>
                <w:sz w:val="20"/>
                <w:szCs w:val="21"/>
              </w:rPr>
              <w:t xml:space="preserve">(as of 4/13/18) </w:t>
            </w:r>
            <w:r w:rsidRPr="00856922">
              <w:rPr>
                <w:rFonts w:ascii="Arial" w:hAnsi="Arial"/>
                <w:i/>
                <w:sz w:val="20"/>
              </w:rPr>
              <w:t>- for 5276-5284, go directly to the Disability Decision Information (DDI) screen to grant 10%, then add this:</w:t>
            </w:r>
          </w:p>
          <w:p w:rsidR="002E07D0" w:rsidRPr="00340EC8" w:rsidRDefault="002E07D0" w:rsidP="002E07D0">
            <w:pPr>
              <w:ind w:left="330"/>
              <w:rPr>
                <w:iCs/>
              </w:rPr>
            </w:pPr>
            <w:r w:rsidRPr="00340EC8">
              <w:rPr>
                <w:iCs/>
              </w:rPr>
              <w:t>We have assigned a 10 percent evaluation based on:</w:t>
            </w:r>
          </w:p>
          <w:p w:rsidR="002E07D0" w:rsidRPr="00340EC8" w:rsidRDefault="002E07D0" w:rsidP="002E07D0">
            <w:pPr>
              <w:ind w:left="330"/>
              <w:rPr>
                <w:iCs/>
              </w:rPr>
            </w:pPr>
            <w:r>
              <w:rPr>
                <w:iCs/>
              </w:rPr>
              <w:t> </w:t>
            </w:r>
            <w:r w:rsidRPr="00340EC8">
              <w:rPr>
                <w:iCs/>
              </w:rPr>
              <w:t>• Painful motion due to [</w:t>
            </w:r>
            <w:r w:rsidRPr="00340EC8">
              <w:t>input name of disability</w:t>
            </w:r>
            <w:r>
              <w:rPr>
                <w:iCs/>
              </w:rPr>
              <w:t>].</w:t>
            </w:r>
          </w:p>
          <w:p w:rsidR="002E07D0" w:rsidRPr="00340EC8" w:rsidRDefault="002E07D0" w:rsidP="002E07D0">
            <w:pPr>
              <w:spacing w:before="120" w:after="120"/>
              <w:ind w:left="330" w:right="240"/>
              <w:rPr>
                <w:iCs/>
              </w:rPr>
            </w:pPr>
            <w:r w:rsidRPr="00340EC8">
              <w:rPr>
                <w:iCs/>
              </w:rPr>
              <w:t>38 CFR §4.59 allows consideration of functional loss due to painful motion to be rated to the minimum compensable rating for the affected disability. Since you demonstrate painful motion, a minimum compensable evaluation of 10 percent is assigned.</w:t>
            </w:r>
          </w:p>
          <w:p w:rsidR="002E07D0" w:rsidRPr="00340EC8" w:rsidRDefault="002E07D0" w:rsidP="002E07D0">
            <w:pPr>
              <w:spacing w:before="120" w:after="120"/>
              <w:ind w:left="330" w:right="240"/>
              <w:rPr>
                <w:i/>
                <w:iCs/>
              </w:rPr>
            </w:pPr>
            <w:r>
              <w:rPr>
                <w:i/>
                <w:iCs/>
              </w:rPr>
              <w:t>Then g</w:t>
            </w:r>
            <w:r w:rsidRPr="00340EC8">
              <w:rPr>
                <w:i/>
                <w:iCs/>
              </w:rPr>
              <w:t>et the higher eval info from LEB.</w:t>
            </w:r>
          </w:p>
          <w:p w:rsidR="002E07D0" w:rsidRPr="00E86A5D" w:rsidRDefault="002E07D0" w:rsidP="002E07D0">
            <w:pPr>
              <w:spacing w:before="120" w:after="120"/>
              <w:ind w:left="330" w:right="240"/>
            </w:pPr>
            <w:r>
              <w:rPr>
                <w:i/>
              </w:rPr>
              <w:t xml:space="preserve">Next higher for </w:t>
            </w:r>
            <w:r w:rsidRPr="002E73E5">
              <w:rPr>
                <w:i/>
              </w:rPr>
              <w:t>52</w:t>
            </w:r>
            <w:r>
              <w:rPr>
                <w:i/>
              </w:rPr>
              <w:t>84</w:t>
            </w:r>
            <w:r w:rsidRPr="002E73E5">
              <w:rPr>
                <w:i/>
              </w:rPr>
              <w:t>:</w:t>
            </w:r>
            <w:r>
              <w:rPr>
                <w:i/>
              </w:rPr>
              <w:t xml:space="preserve">  </w:t>
            </w:r>
            <w:r>
              <w:t>A higher evaluation of 20 percent is not warranted for foot injuries unless the evidence shows moderately severe symptoms.</w:t>
            </w:r>
          </w:p>
          <w:p w:rsidR="00E55C58" w:rsidRPr="00E55C58" w:rsidRDefault="000A206A" w:rsidP="005E289F">
            <w:pPr>
              <w:pStyle w:val="ListParagraph"/>
              <w:numPr>
                <w:ilvl w:val="0"/>
                <w:numId w:val="175"/>
              </w:numPr>
              <w:spacing w:before="120" w:after="120" w:line="240" w:lineRule="auto"/>
              <w:ind w:left="330"/>
              <w:rPr>
                <w:rFonts w:ascii="Arial" w:hAnsi="Arial"/>
                <w:i/>
                <w:sz w:val="20"/>
                <w:szCs w:val="20"/>
              </w:rPr>
            </w:pPr>
            <w:r w:rsidRPr="000A206A">
              <w:rPr>
                <w:rFonts w:ascii="Arial" w:hAnsi="Arial"/>
                <w:b/>
                <w:i/>
                <w:sz w:val="20"/>
                <w:szCs w:val="20"/>
              </w:rPr>
              <w:t>Saunders v. Wilkie</w:t>
            </w:r>
            <w:r w:rsidR="005E289F" w:rsidRPr="000A206A">
              <w:rPr>
                <w:rFonts w:ascii="Arial" w:hAnsi="Arial"/>
                <w:i/>
                <w:sz w:val="20"/>
                <w:szCs w:val="20"/>
              </w:rPr>
              <w:t xml:space="preserve"> </w:t>
            </w:r>
            <w:r w:rsidR="005E289F" w:rsidRPr="00E55C58">
              <w:rPr>
                <w:rFonts w:ascii="Arial" w:hAnsi="Arial"/>
                <w:b/>
                <w:sz w:val="20"/>
                <w:szCs w:val="20"/>
              </w:rPr>
              <w:t>(</w:t>
            </w:r>
            <w:r w:rsidR="00E55C58">
              <w:rPr>
                <w:rFonts w:ascii="Arial" w:hAnsi="Arial"/>
                <w:b/>
                <w:sz w:val="20"/>
                <w:szCs w:val="20"/>
              </w:rPr>
              <w:t>4/3/</w:t>
            </w:r>
            <w:r w:rsidR="005E289F" w:rsidRPr="00E55C58">
              <w:rPr>
                <w:rFonts w:ascii="Arial" w:hAnsi="Arial"/>
                <w:b/>
                <w:sz w:val="20"/>
                <w:szCs w:val="20"/>
              </w:rPr>
              <w:t>18)</w:t>
            </w:r>
            <w:r w:rsidR="005E289F" w:rsidRPr="00E55C58">
              <w:rPr>
                <w:rFonts w:ascii="Arial" w:hAnsi="Arial"/>
                <w:b/>
                <w:i/>
                <w:sz w:val="20"/>
                <w:szCs w:val="20"/>
              </w:rPr>
              <w:t xml:space="preserve"> </w:t>
            </w:r>
            <w:r w:rsidR="005E289F" w:rsidRPr="000A206A">
              <w:rPr>
                <w:rFonts w:ascii="Arial" w:hAnsi="Arial"/>
                <w:i/>
                <w:sz w:val="20"/>
                <w:szCs w:val="20"/>
              </w:rPr>
              <w:t>–</w:t>
            </w:r>
            <w:r w:rsidR="005E289F" w:rsidRPr="00E55C58">
              <w:rPr>
                <w:rFonts w:ascii="Arial" w:hAnsi="Arial"/>
                <w:sz w:val="20"/>
                <w:szCs w:val="20"/>
              </w:rPr>
              <w:t xml:space="preserve"> per </w:t>
            </w:r>
            <w:hyperlink r:id="rId495" w:history="1">
              <w:r w:rsidR="00C60C68" w:rsidRPr="000A206A">
                <w:rPr>
                  <w:rStyle w:val="Hyperlink"/>
                  <w:rFonts w:ascii="Arial" w:hAnsi="Arial"/>
                  <w:b/>
                  <w:bCs/>
                  <w:i/>
                  <w:sz w:val="20"/>
                  <w:szCs w:val="20"/>
                </w:rPr>
                <w:t>July 2018 Quality Call Notes</w:t>
              </w:r>
            </w:hyperlink>
            <w:r w:rsidR="005E289F" w:rsidRPr="000A206A">
              <w:rPr>
                <w:rFonts w:ascii="Arial" w:hAnsi="Arial"/>
                <w:sz w:val="20"/>
                <w:szCs w:val="20"/>
              </w:rPr>
              <w:t>,</w:t>
            </w:r>
            <w:r w:rsidR="00E55C58">
              <w:rPr>
                <w:rFonts w:ascii="Arial" w:hAnsi="Arial"/>
                <w:sz w:val="20"/>
                <w:szCs w:val="20"/>
              </w:rPr>
              <w:t xml:space="preserve"> </w:t>
            </w:r>
            <w:r w:rsidR="00E55C58" w:rsidRPr="00B15357">
              <w:rPr>
                <w:rFonts w:ascii="Arial" w:hAnsi="Arial"/>
                <w:b/>
                <w:sz w:val="20"/>
                <w:szCs w:val="20"/>
              </w:rPr>
              <w:t>IV.ii.2.A.2</w:t>
            </w:r>
            <w:r w:rsidR="00E55C58">
              <w:rPr>
                <w:rFonts w:ascii="Arial" w:hAnsi="Arial"/>
                <w:b/>
                <w:sz w:val="20"/>
                <w:szCs w:val="20"/>
              </w:rPr>
              <w:t>.c</w:t>
            </w:r>
            <w:r w:rsidR="00E55C58">
              <w:rPr>
                <w:rFonts w:ascii="Arial" w:hAnsi="Arial"/>
                <w:sz w:val="20"/>
                <w:szCs w:val="20"/>
              </w:rPr>
              <w:t xml:space="preserve"> (updated 7/18/18) &amp; </w:t>
            </w:r>
            <w:r w:rsidR="00E55C58" w:rsidRPr="00B15357">
              <w:rPr>
                <w:rFonts w:ascii="Arial" w:hAnsi="Arial"/>
                <w:b/>
                <w:sz w:val="20"/>
                <w:szCs w:val="20"/>
              </w:rPr>
              <w:t>IV.ii.2.A.2</w:t>
            </w:r>
            <w:r w:rsidR="00E55C58">
              <w:rPr>
                <w:rFonts w:ascii="Arial" w:hAnsi="Arial"/>
                <w:b/>
                <w:sz w:val="20"/>
                <w:szCs w:val="20"/>
              </w:rPr>
              <w:t>.d</w:t>
            </w:r>
            <w:r w:rsidR="00E55C58">
              <w:rPr>
                <w:rFonts w:ascii="Arial" w:hAnsi="Arial"/>
                <w:sz w:val="20"/>
                <w:szCs w:val="20"/>
              </w:rPr>
              <w:t xml:space="preserve"> (added 7/18/18),</w:t>
            </w:r>
            <w:r w:rsidR="005E289F" w:rsidRPr="000A206A">
              <w:rPr>
                <w:rFonts w:ascii="Arial" w:hAnsi="Arial"/>
                <w:sz w:val="20"/>
                <w:szCs w:val="20"/>
              </w:rPr>
              <w:t xml:space="preserve"> if </w:t>
            </w:r>
            <w:r w:rsidR="0016567C">
              <w:rPr>
                <w:rFonts w:ascii="Arial" w:hAnsi="Arial"/>
                <w:sz w:val="20"/>
                <w:szCs w:val="20"/>
              </w:rPr>
              <w:t xml:space="preserve">lay/medical </w:t>
            </w:r>
            <w:r w:rsidR="00CE5C33">
              <w:rPr>
                <w:rFonts w:ascii="Arial" w:hAnsi="Arial"/>
                <w:sz w:val="20"/>
                <w:szCs w:val="20"/>
              </w:rPr>
              <w:t>evidence shows</w:t>
            </w:r>
            <w:r w:rsidR="005E289F" w:rsidRPr="000A206A">
              <w:rPr>
                <w:rFonts w:ascii="Arial" w:hAnsi="Arial"/>
                <w:sz w:val="20"/>
                <w:szCs w:val="20"/>
              </w:rPr>
              <w:t xml:space="preserve"> “functional impairment</w:t>
            </w:r>
            <w:r>
              <w:rPr>
                <w:rFonts w:ascii="Arial" w:hAnsi="Arial"/>
                <w:sz w:val="20"/>
                <w:szCs w:val="20"/>
              </w:rPr>
              <w:t xml:space="preserve"> of earning capacity</w:t>
            </w:r>
            <w:r w:rsidR="005E289F" w:rsidRPr="000A206A">
              <w:rPr>
                <w:rFonts w:ascii="Arial" w:hAnsi="Arial"/>
                <w:sz w:val="20"/>
                <w:szCs w:val="20"/>
              </w:rPr>
              <w:t>”</w:t>
            </w:r>
            <w:r>
              <w:rPr>
                <w:rFonts w:ascii="Arial" w:hAnsi="Arial"/>
                <w:sz w:val="20"/>
                <w:szCs w:val="20"/>
              </w:rPr>
              <w:t xml:space="preserve"> (i.e. limited ability to perform occupational tasks to the extent that work performance is impaired</w:t>
            </w:r>
            <w:r w:rsidR="00E55C58">
              <w:rPr>
                <w:rFonts w:ascii="Arial" w:hAnsi="Arial"/>
                <w:sz w:val="20"/>
                <w:szCs w:val="20"/>
              </w:rPr>
              <w:t xml:space="preserve">, </w:t>
            </w:r>
            <w:r w:rsidR="00F50DD9" w:rsidRPr="00F50DD9">
              <w:rPr>
                <w:rFonts w:ascii="Arial" w:hAnsi="Arial"/>
                <w:i/>
                <w:sz w:val="20"/>
                <w:szCs w:val="20"/>
              </w:rPr>
              <w:t xml:space="preserve">examples:  </w:t>
            </w:r>
            <w:r w:rsidRPr="00F50DD9">
              <w:rPr>
                <w:rFonts w:ascii="Arial" w:hAnsi="Arial"/>
                <w:i/>
                <w:sz w:val="20"/>
                <w:szCs w:val="20"/>
              </w:rPr>
              <w:t>inability to perform certain movements or tasks d/t pain, time lost from work d/t/ pain, pain resulting from increased fatigability or incoordination affecting job performance</w:t>
            </w:r>
            <w:r>
              <w:rPr>
                <w:rFonts w:ascii="Arial" w:hAnsi="Arial"/>
                <w:sz w:val="20"/>
                <w:szCs w:val="20"/>
              </w:rPr>
              <w:t>),</w:t>
            </w:r>
            <w:r w:rsidR="005E289F" w:rsidRPr="000A206A">
              <w:rPr>
                <w:rFonts w:ascii="Arial" w:hAnsi="Arial"/>
                <w:sz w:val="20"/>
                <w:szCs w:val="20"/>
              </w:rPr>
              <w:t xml:space="preserve"> we can grant for </w:t>
            </w:r>
            <w:r w:rsidR="00F50DD9">
              <w:rPr>
                <w:rFonts w:ascii="Arial" w:hAnsi="Arial"/>
                <w:sz w:val="20"/>
                <w:szCs w:val="20"/>
              </w:rPr>
              <w:t xml:space="preserve">PAIN </w:t>
            </w:r>
            <w:r>
              <w:rPr>
                <w:rFonts w:ascii="Arial" w:hAnsi="Arial"/>
                <w:sz w:val="20"/>
                <w:szCs w:val="20"/>
              </w:rPr>
              <w:t xml:space="preserve">ALONE </w:t>
            </w:r>
            <w:r w:rsidR="005E289F" w:rsidRPr="000A206A">
              <w:rPr>
                <w:rFonts w:ascii="Arial" w:hAnsi="Arial"/>
                <w:sz w:val="20"/>
                <w:szCs w:val="20"/>
              </w:rPr>
              <w:t>without an actual d</w:t>
            </w:r>
            <w:r>
              <w:rPr>
                <w:rFonts w:ascii="Arial" w:hAnsi="Arial"/>
                <w:sz w:val="20"/>
                <w:szCs w:val="20"/>
              </w:rPr>
              <w:t>iagnosis of a disease/injury, but it cannot just be subjective pain</w:t>
            </w:r>
            <w:r w:rsidR="005E289F" w:rsidRPr="000A206A">
              <w:rPr>
                <w:rFonts w:ascii="Arial" w:hAnsi="Arial"/>
                <w:sz w:val="20"/>
                <w:szCs w:val="20"/>
              </w:rPr>
              <w:t xml:space="preserve"> </w:t>
            </w:r>
          </w:p>
          <w:p w:rsidR="00E55C58" w:rsidRPr="00E55C58" w:rsidRDefault="00916F83" w:rsidP="00E55C58">
            <w:pPr>
              <w:pStyle w:val="ListParagraph"/>
              <w:numPr>
                <w:ilvl w:val="1"/>
                <w:numId w:val="175"/>
              </w:numPr>
              <w:spacing w:before="120" w:after="120" w:line="240" w:lineRule="auto"/>
              <w:ind w:left="750"/>
              <w:rPr>
                <w:rFonts w:ascii="Arial" w:hAnsi="Arial"/>
                <w:i/>
                <w:sz w:val="20"/>
                <w:szCs w:val="20"/>
              </w:rPr>
            </w:pPr>
            <w:r>
              <w:rPr>
                <w:rFonts w:ascii="Arial" w:hAnsi="Arial"/>
                <w:i/>
                <w:sz w:val="20"/>
                <w:szCs w:val="20"/>
              </w:rPr>
              <w:t>see “Functional Impact” section of the DBQ, e</w:t>
            </w:r>
            <w:r w:rsidR="00F50DD9" w:rsidRPr="00F50DD9">
              <w:rPr>
                <w:rFonts w:ascii="Arial" w:hAnsi="Arial"/>
                <w:i/>
                <w:sz w:val="20"/>
                <w:szCs w:val="20"/>
              </w:rPr>
              <w:t xml:space="preserve">xamples:  “subjective bilateral knee pain” diagnosed with functional limitations on walking, can only stand for a few minutes, sometimes requires cane/brace; “subjective cephalgia” diagnosed with FI since needs to leave work &amp; lie down to get relief; does </w:t>
            </w:r>
            <w:r w:rsidR="00F50DD9" w:rsidRPr="00F50DD9">
              <w:rPr>
                <w:rFonts w:ascii="Arial" w:hAnsi="Arial"/>
                <w:i/>
                <w:sz w:val="20"/>
                <w:szCs w:val="20"/>
                <w:u w:val="single"/>
              </w:rPr>
              <w:t>NOT</w:t>
            </w:r>
            <w:r w:rsidR="00F50DD9" w:rsidRPr="00F50DD9">
              <w:rPr>
                <w:rFonts w:ascii="Arial" w:hAnsi="Arial"/>
                <w:i/>
                <w:sz w:val="20"/>
                <w:szCs w:val="20"/>
              </w:rPr>
              <w:t xml:space="preserve"> apply if examiner says the pain wo</w:t>
            </w:r>
            <w:r>
              <w:rPr>
                <w:rFonts w:ascii="Arial" w:hAnsi="Arial"/>
                <w:i/>
                <w:sz w:val="20"/>
                <w:szCs w:val="20"/>
              </w:rPr>
              <w:t>u</w:t>
            </w:r>
            <w:r w:rsidR="00F50DD9" w:rsidRPr="00F50DD9">
              <w:rPr>
                <w:rFonts w:ascii="Arial" w:hAnsi="Arial"/>
                <w:i/>
                <w:sz w:val="20"/>
                <w:szCs w:val="20"/>
              </w:rPr>
              <w:t>ld not impact the veteran’s ability to perform any type of occupational task</w:t>
            </w:r>
            <w:r w:rsidR="00E55C58">
              <w:rPr>
                <w:rFonts w:ascii="Arial" w:hAnsi="Arial"/>
                <w:i/>
                <w:sz w:val="20"/>
                <w:szCs w:val="20"/>
              </w:rPr>
              <w:t>; clarify exam if there I sno analysis as to whether the pain impacts the ability to perform occupational tasks unless that info is shown in other credible evidence</w:t>
            </w:r>
            <w:r w:rsidR="00F50DD9" w:rsidRPr="000A206A">
              <w:rPr>
                <w:rFonts w:ascii="Arial" w:hAnsi="Arial"/>
                <w:sz w:val="20"/>
                <w:szCs w:val="20"/>
              </w:rPr>
              <w:t xml:space="preserve">) </w:t>
            </w:r>
          </w:p>
          <w:p w:rsidR="00E55C58" w:rsidRPr="00E55C58" w:rsidRDefault="005E289F" w:rsidP="00E55C58">
            <w:pPr>
              <w:pStyle w:val="ListParagraph"/>
              <w:numPr>
                <w:ilvl w:val="1"/>
                <w:numId w:val="175"/>
              </w:numPr>
              <w:spacing w:before="120" w:after="120" w:line="240" w:lineRule="auto"/>
              <w:ind w:left="750"/>
              <w:rPr>
                <w:rFonts w:ascii="Arial" w:hAnsi="Arial"/>
                <w:i/>
                <w:sz w:val="20"/>
                <w:szCs w:val="20"/>
              </w:rPr>
            </w:pPr>
            <w:r w:rsidRPr="000A206A">
              <w:rPr>
                <w:rFonts w:ascii="Arial" w:hAnsi="Arial"/>
                <w:sz w:val="20"/>
                <w:szCs w:val="20"/>
              </w:rPr>
              <w:t>this is about establishing a “disability,” not about the evaluation of the disability</w:t>
            </w:r>
            <w:r w:rsidR="000A206A">
              <w:rPr>
                <w:rFonts w:ascii="Arial" w:hAnsi="Arial"/>
                <w:sz w:val="20"/>
                <w:szCs w:val="20"/>
              </w:rPr>
              <w:t xml:space="preserve"> </w:t>
            </w:r>
            <w:r w:rsidR="00E55C58">
              <w:rPr>
                <w:rFonts w:ascii="Arial" w:hAnsi="Arial"/>
                <w:sz w:val="20"/>
                <w:szCs w:val="20"/>
              </w:rPr>
              <w:t>(Petitti covers the evaluation under 4.59 &amp; DCs 5002 &amp; 5003)</w:t>
            </w:r>
          </w:p>
          <w:p w:rsidR="00E55C58" w:rsidRPr="00E55C58" w:rsidRDefault="00E55C58" w:rsidP="00E55C58">
            <w:pPr>
              <w:pStyle w:val="ListParagraph"/>
              <w:numPr>
                <w:ilvl w:val="1"/>
                <w:numId w:val="175"/>
              </w:numPr>
              <w:spacing w:before="120" w:after="120" w:line="240" w:lineRule="auto"/>
              <w:ind w:left="750"/>
              <w:rPr>
                <w:rFonts w:ascii="Arial" w:hAnsi="Arial"/>
                <w:i/>
                <w:sz w:val="20"/>
                <w:szCs w:val="20"/>
              </w:rPr>
            </w:pPr>
            <w:r>
              <w:rPr>
                <w:rFonts w:ascii="Arial" w:hAnsi="Arial"/>
                <w:sz w:val="20"/>
                <w:szCs w:val="20"/>
              </w:rPr>
              <w:t>can be noncompensable</w:t>
            </w:r>
          </w:p>
          <w:p w:rsidR="00E55C58" w:rsidRPr="00E55C58" w:rsidRDefault="00916F83" w:rsidP="00E55C58">
            <w:pPr>
              <w:pStyle w:val="ListParagraph"/>
              <w:numPr>
                <w:ilvl w:val="1"/>
                <w:numId w:val="175"/>
              </w:numPr>
              <w:spacing w:before="120" w:after="120" w:line="240" w:lineRule="auto"/>
              <w:ind w:left="750"/>
              <w:rPr>
                <w:rFonts w:ascii="Arial" w:hAnsi="Arial"/>
                <w:i/>
                <w:sz w:val="20"/>
                <w:szCs w:val="20"/>
              </w:rPr>
            </w:pPr>
            <w:r>
              <w:rPr>
                <w:rFonts w:ascii="Arial" w:hAnsi="Arial"/>
                <w:sz w:val="20"/>
                <w:szCs w:val="20"/>
              </w:rPr>
              <w:t>applies to all body systems, not just musculoskeletal</w:t>
            </w:r>
          </w:p>
          <w:p w:rsidR="00E55C58" w:rsidRPr="00E55C58" w:rsidRDefault="00E55C58" w:rsidP="00E55C58">
            <w:pPr>
              <w:pStyle w:val="ListParagraph"/>
              <w:numPr>
                <w:ilvl w:val="1"/>
                <w:numId w:val="175"/>
              </w:numPr>
              <w:spacing w:before="120" w:after="120" w:line="240" w:lineRule="auto"/>
              <w:ind w:left="750"/>
              <w:rPr>
                <w:rFonts w:ascii="Arial" w:hAnsi="Arial"/>
                <w:i/>
                <w:sz w:val="20"/>
                <w:szCs w:val="20"/>
              </w:rPr>
            </w:pPr>
            <w:r>
              <w:rPr>
                <w:rFonts w:ascii="Arial" w:hAnsi="Arial"/>
                <w:sz w:val="20"/>
                <w:szCs w:val="20"/>
              </w:rPr>
              <w:t xml:space="preserve">this is not liberalizing </w:t>
            </w:r>
          </w:p>
          <w:p w:rsidR="005E289F" w:rsidRPr="000A206A" w:rsidRDefault="000A206A" w:rsidP="00E55C58">
            <w:pPr>
              <w:pStyle w:val="ListParagraph"/>
              <w:numPr>
                <w:ilvl w:val="1"/>
                <w:numId w:val="175"/>
              </w:numPr>
              <w:spacing w:before="120" w:after="120" w:line="240" w:lineRule="auto"/>
              <w:ind w:left="750"/>
              <w:rPr>
                <w:rFonts w:ascii="Arial" w:hAnsi="Arial"/>
                <w:i/>
                <w:sz w:val="20"/>
                <w:szCs w:val="20"/>
              </w:rPr>
            </w:pPr>
            <w:r>
              <w:rPr>
                <w:rFonts w:ascii="Arial" w:hAnsi="Arial"/>
                <w:sz w:val="20"/>
                <w:szCs w:val="20"/>
              </w:rPr>
              <w:t>applies to claims pending or received on or after 4/3/18</w:t>
            </w:r>
          </w:p>
          <w:p w:rsidR="00013EB8" w:rsidRPr="007F1619" w:rsidRDefault="005E289F" w:rsidP="00F063AF">
            <w:pPr>
              <w:pStyle w:val="ListParagraph"/>
              <w:numPr>
                <w:ilvl w:val="0"/>
                <w:numId w:val="175"/>
              </w:numPr>
              <w:spacing w:after="120" w:line="240" w:lineRule="auto"/>
              <w:ind w:left="330"/>
            </w:pPr>
            <w:r>
              <w:t>…</w:t>
            </w:r>
          </w:p>
        </w:tc>
      </w:tr>
      <w:tr w:rsidR="00013EB8" w:rsidTr="000A206A">
        <w:trPr>
          <w:trHeight w:val="205"/>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4.61</w:t>
            </w:r>
          </w:p>
        </w:tc>
        <w:tc>
          <w:tcPr>
            <w:tcW w:w="9870" w:type="dxa"/>
            <w:tcBorders>
              <w:top w:val="nil"/>
              <w:left w:val="nil"/>
              <w:bottom w:val="nil"/>
              <w:right w:val="nil"/>
            </w:tcBorders>
          </w:tcPr>
          <w:p w:rsidR="00013EB8" w:rsidRDefault="00013EB8" w:rsidP="007F1619">
            <w:pPr>
              <w:widowControl w:val="0"/>
              <w:numPr>
                <w:ilvl w:val="12"/>
                <w:numId w:val="0"/>
              </w:numPr>
              <w:spacing w:after="120"/>
            </w:pPr>
            <w:r>
              <w:rPr>
                <w:b/>
              </w:rPr>
              <w:t>Examination</w:t>
            </w:r>
            <w:r>
              <w:t xml:space="preserve"> – for any non-traumatic arthritis, the exam needs to cover all major joints</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4.62</w:t>
            </w:r>
          </w:p>
        </w:tc>
        <w:tc>
          <w:tcPr>
            <w:tcW w:w="9870" w:type="dxa"/>
            <w:tcBorders>
              <w:top w:val="nil"/>
              <w:left w:val="nil"/>
              <w:bottom w:val="nil"/>
              <w:right w:val="nil"/>
            </w:tcBorders>
          </w:tcPr>
          <w:p w:rsidR="00013EB8" w:rsidRDefault="00013EB8" w:rsidP="007F1619">
            <w:pPr>
              <w:widowControl w:val="0"/>
              <w:numPr>
                <w:ilvl w:val="12"/>
                <w:numId w:val="0"/>
              </w:numPr>
              <w:spacing w:after="120"/>
            </w:pPr>
            <w:r>
              <w:rPr>
                <w:b/>
              </w:rPr>
              <w:t>Circulatory disturbances</w:t>
            </w:r>
            <w:r>
              <w:t xml:space="preserve"> – might require a rating under phlebitis</w:t>
            </w:r>
          </w:p>
        </w:tc>
      </w:tr>
      <w:tr w:rsidR="00013EB8" w:rsidTr="000A206A">
        <w:trPr>
          <w:trHeight w:val="205"/>
        </w:trPr>
        <w:tc>
          <w:tcPr>
            <w:tcW w:w="615" w:type="dxa"/>
            <w:tcBorders>
              <w:top w:val="nil"/>
              <w:left w:val="nil"/>
              <w:bottom w:val="nil"/>
              <w:right w:val="nil"/>
            </w:tcBorders>
          </w:tcPr>
          <w:p w:rsidR="00013EB8" w:rsidRPr="00525152" w:rsidRDefault="00013EB8">
            <w:pPr>
              <w:widowControl w:val="0"/>
              <w:numPr>
                <w:ilvl w:val="12"/>
                <w:numId w:val="0"/>
              </w:numPr>
              <w:rPr>
                <w:b/>
              </w:rPr>
            </w:pPr>
            <w:r w:rsidRPr="00525152">
              <w:rPr>
                <w:b/>
              </w:rPr>
              <w:t>4.63</w:t>
            </w:r>
          </w:p>
        </w:tc>
        <w:tc>
          <w:tcPr>
            <w:tcW w:w="9870" w:type="dxa"/>
            <w:tcBorders>
              <w:top w:val="nil"/>
              <w:left w:val="nil"/>
              <w:bottom w:val="nil"/>
              <w:right w:val="nil"/>
            </w:tcBorders>
          </w:tcPr>
          <w:p w:rsidR="00013EB8" w:rsidRPr="00525152" w:rsidRDefault="00013EB8">
            <w:pPr>
              <w:widowControl w:val="0"/>
              <w:numPr>
                <w:ilvl w:val="12"/>
                <w:numId w:val="0"/>
              </w:numPr>
              <w:spacing w:after="120"/>
            </w:pPr>
            <w:r w:rsidRPr="00525152">
              <w:rPr>
                <w:b/>
              </w:rPr>
              <w:t>Loss of use of hand or foot</w:t>
            </w:r>
            <w:r w:rsidRPr="00525152">
              <w:t xml:space="preserve"> – loss of use is when no effective function remains except for what would exist if had prosthesis, loss of use exists with extremely unfavorable complete ankylosis of the knee, or complete ankylosis of 2 major joints of an extremity, shortening of the lower extremity of 3-1/2 inches (8.9 cm) or more, or complete paralysis of the external popliteal nerve (common peroneal) with footdrop and characteristic organic changes</w:t>
            </w:r>
          </w:p>
          <w:p w:rsidR="00013EB8" w:rsidRPr="00525152" w:rsidRDefault="00013EB8" w:rsidP="00F063AF">
            <w:pPr>
              <w:widowControl w:val="0"/>
              <w:numPr>
                <w:ilvl w:val="0"/>
                <w:numId w:val="75"/>
              </w:numPr>
              <w:tabs>
                <w:tab w:val="clear" w:pos="720"/>
                <w:tab w:val="num" w:pos="420"/>
              </w:tabs>
              <w:spacing w:after="120"/>
              <w:ind w:left="330"/>
              <w:rPr>
                <w:b/>
                <w:iCs/>
              </w:rPr>
            </w:pPr>
            <w:r w:rsidRPr="00525152">
              <w:rPr>
                <w:b/>
                <w:iCs/>
              </w:rPr>
              <w:t xml:space="preserve">3.350 </w:t>
            </w:r>
          </w:p>
          <w:p w:rsidR="00013EB8" w:rsidRPr="00525152" w:rsidRDefault="00A7439F" w:rsidP="00F063AF">
            <w:pPr>
              <w:widowControl w:val="0"/>
              <w:numPr>
                <w:ilvl w:val="0"/>
                <w:numId w:val="75"/>
              </w:numPr>
              <w:tabs>
                <w:tab w:val="clear" w:pos="720"/>
                <w:tab w:val="num" w:pos="420"/>
              </w:tabs>
              <w:spacing w:after="120"/>
              <w:ind w:left="330"/>
              <w:rPr>
                <w:b/>
                <w:bCs/>
              </w:rPr>
            </w:pPr>
            <w:r w:rsidRPr="00430FAB">
              <w:rPr>
                <w:b/>
                <w:bCs/>
              </w:rPr>
              <w:t>IV.ii.2.H</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4.64</w:t>
            </w:r>
          </w:p>
        </w:tc>
        <w:tc>
          <w:tcPr>
            <w:tcW w:w="9870" w:type="dxa"/>
            <w:tcBorders>
              <w:top w:val="nil"/>
              <w:left w:val="nil"/>
              <w:bottom w:val="nil"/>
              <w:right w:val="nil"/>
            </w:tcBorders>
          </w:tcPr>
          <w:p w:rsidR="00013EB8" w:rsidRDefault="00013EB8" w:rsidP="007F1619">
            <w:pPr>
              <w:widowControl w:val="0"/>
              <w:numPr>
                <w:ilvl w:val="12"/>
                <w:numId w:val="0"/>
              </w:numPr>
              <w:spacing w:after="120"/>
            </w:pPr>
            <w:r>
              <w:rPr>
                <w:b/>
              </w:rPr>
              <w:t>Loss of use of both buttocks</w:t>
            </w:r>
            <w:r>
              <w:t xml:space="preserve"> – </w:t>
            </w:r>
            <w:r w:rsidRPr="007A4B37">
              <w:rPr>
                <w:b/>
                <w:iCs/>
              </w:rPr>
              <w:t>3.350</w:t>
            </w:r>
            <w:r>
              <w:rPr>
                <w:i/>
              </w:rPr>
              <w:t xml:space="preserve">; </w:t>
            </w:r>
            <w:r>
              <w:t>loss of use is when there is severe damage to MG XVII, bilateral (DC 5317), and the person cannot rise from a seated/stooped position, as well as maintain postural stability without assistance from another person, or the person’s own hands/arms, or a special device</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4.66</w:t>
            </w:r>
          </w:p>
        </w:tc>
        <w:tc>
          <w:tcPr>
            <w:tcW w:w="9870" w:type="dxa"/>
            <w:tcBorders>
              <w:top w:val="nil"/>
              <w:left w:val="nil"/>
              <w:bottom w:val="nil"/>
              <w:right w:val="nil"/>
            </w:tcBorders>
          </w:tcPr>
          <w:p w:rsidR="00013EB8" w:rsidRDefault="00013EB8" w:rsidP="007F1619">
            <w:pPr>
              <w:widowControl w:val="0"/>
              <w:numPr>
                <w:ilvl w:val="12"/>
                <w:numId w:val="0"/>
              </w:numPr>
              <w:spacing w:after="120"/>
            </w:pPr>
            <w:r>
              <w:rPr>
                <w:b/>
              </w:rPr>
              <w:t>Sacroiliac joint</w:t>
            </w:r>
            <w:r>
              <w:t xml:space="preserve"> – usually arthritis here, lumbosacral and sacroiliac are considered one anatomical segment, trauma causing arthritis is rare so need objective evidence of damage to joint and history of severe trauma</w:t>
            </w:r>
          </w:p>
        </w:tc>
      </w:tr>
      <w:tr w:rsidR="00013EB8" w:rsidTr="000A206A">
        <w:trPr>
          <w:trHeight w:val="205"/>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4.67</w:t>
            </w:r>
          </w:p>
        </w:tc>
        <w:tc>
          <w:tcPr>
            <w:tcW w:w="9870" w:type="dxa"/>
            <w:tcBorders>
              <w:top w:val="nil"/>
              <w:left w:val="nil"/>
              <w:bottom w:val="nil"/>
              <w:right w:val="nil"/>
            </w:tcBorders>
          </w:tcPr>
          <w:p w:rsidR="00013EB8" w:rsidRDefault="00013EB8" w:rsidP="007F1619">
            <w:pPr>
              <w:widowControl w:val="0"/>
              <w:numPr>
                <w:ilvl w:val="12"/>
                <w:numId w:val="0"/>
              </w:numPr>
              <w:spacing w:after="120"/>
            </w:pPr>
            <w:r>
              <w:rPr>
                <w:b/>
              </w:rPr>
              <w:t>Pelvic bones</w:t>
            </w:r>
            <w:r>
              <w:t xml:space="preserve"> – rate specific residuals, faulty posture, limitation of motion, muscle injury, painful motion of the lumbar spine, manifest by muscle spasm, mild to moderate sciatic neuritis, peripheral nerve injury, or limitation of hip motion</w:t>
            </w:r>
          </w:p>
        </w:tc>
      </w:tr>
      <w:tr w:rsidR="00013EB8" w:rsidTr="000A206A">
        <w:trPr>
          <w:trHeight w:val="219"/>
        </w:trPr>
        <w:tc>
          <w:tcPr>
            <w:tcW w:w="615" w:type="dxa"/>
            <w:tcBorders>
              <w:top w:val="nil"/>
              <w:left w:val="nil"/>
              <w:bottom w:val="nil"/>
              <w:right w:val="nil"/>
            </w:tcBorders>
          </w:tcPr>
          <w:p w:rsidR="00013EB8" w:rsidRPr="00C709BC" w:rsidRDefault="00013EB8">
            <w:pPr>
              <w:widowControl w:val="0"/>
              <w:numPr>
                <w:ilvl w:val="12"/>
                <w:numId w:val="0"/>
              </w:numPr>
              <w:rPr>
                <w:b/>
              </w:rPr>
            </w:pPr>
            <w:r w:rsidRPr="00C709BC">
              <w:rPr>
                <w:b/>
              </w:rPr>
              <w:t>4.68</w:t>
            </w:r>
          </w:p>
        </w:tc>
        <w:tc>
          <w:tcPr>
            <w:tcW w:w="9870" w:type="dxa"/>
            <w:tcBorders>
              <w:top w:val="nil"/>
              <w:left w:val="nil"/>
              <w:bottom w:val="nil"/>
              <w:right w:val="nil"/>
            </w:tcBorders>
          </w:tcPr>
          <w:p w:rsidR="00013EB8" w:rsidRPr="00C709BC" w:rsidRDefault="00013EB8">
            <w:pPr>
              <w:widowControl w:val="0"/>
              <w:numPr>
                <w:ilvl w:val="12"/>
                <w:numId w:val="0"/>
              </w:numPr>
              <w:spacing w:after="120"/>
              <w:rPr>
                <w:i/>
                <w:iCs/>
              </w:rPr>
            </w:pPr>
            <w:r w:rsidRPr="00C709BC">
              <w:rPr>
                <w:b/>
              </w:rPr>
              <w:t>Amputation rule</w:t>
            </w:r>
            <w:r w:rsidRPr="00C709BC">
              <w:t xml:space="preserve"> – combined cannot exceed amputation rating at that level;</w:t>
            </w:r>
            <w:r w:rsidRPr="00C709BC">
              <w:rPr>
                <w:i/>
                <w:iCs/>
              </w:rPr>
              <w:t xml:space="preserve"> applies to musculoskeletal conds only (does not apply to neurological, skin or vascular, unless part of musculoskeletal injury</w:t>
            </w:r>
            <w:r w:rsidR="007B3A03">
              <w:rPr>
                <w:i/>
                <w:iCs/>
              </w:rPr>
              <w:t xml:space="preserve">, </w:t>
            </w:r>
            <w:r w:rsidR="008A2FE5" w:rsidRPr="008A2FE5">
              <w:rPr>
                <w:b/>
                <w:iCs/>
              </w:rPr>
              <w:t>III.iv.4.A.8</w:t>
            </w:r>
            <w:r w:rsidR="007B3A03" w:rsidRPr="008A2FE5">
              <w:rPr>
                <w:b/>
                <w:iCs/>
              </w:rPr>
              <w:t>.</w:t>
            </w:r>
            <w:r w:rsidR="008A2FE5" w:rsidRPr="008A2FE5">
              <w:rPr>
                <w:b/>
                <w:iCs/>
              </w:rPr>
              <w:t>e</w:t>
            </w:r>
            <w:r w:rsidR="00015F22">
              <w:rPr>
                <w:iCs/>
              </w:rPr>
              <w:t xml:space="preserve"> confirms neuro, but not skin or vascular</w:t>
            </w:r>
            <w:r w:rsidRPr="00C709BC">
              <w:rPr>
                <w:i/>
                <w:iCs/>
              </w:rPr>
              <w:t>)</w:t>
            </w:r>
          </w:p>
          <w:p w:rsidR="00013EB8" w:rsidRPr="00C709BC" w:rsidRDefault="009359A0" w:rsidP="00F063AF">
            <w:pPr>
              <w:widowControl w:val="0"/>
              <w:numPr>
                <w:ilvl w:val="0"/>
                <w:numId w:val="76"/>
              </w:numPr>
              <w:tabs>
                <w:tab w:val="clear" w:pos="720"/>
                <w:tab w:val="num" w:pos="340"/>
              </w:tabs>
              <w:spacing w:after="120"/>
              <w:ind w:left="340"/>
              <w:rPr>
                <w:rFonts w:ascii="Arial Unicode MS" w:eastAsia="Arial Unicode MS" w:hAnsi="Arial Unicode MS" w:cs="Arial Unicode MS"/>
                <w:color w:val="000000"/>
                <w:szCs w:val="24"/>
              </w:rPr>
            </w:pPr>
            <w:r w:rsidRPr="00C709BC">
              <w:rPr>
                <w:b/>
                <w:bCs/>
                <w:i/>
              </w:rPr>
              <w:t xml:space="preserve">5/20/03 Traumatic Injuries </w:t>
            </w:r>
            <w:r w:rsidR="00013EB8" w:rsidRPr="00C709BC">
              <w:rPr>
                <w:b/>
                <w:bCs/>
                <w:i/>
              </w:rPr>
              <w:t>Broadcast</w:t>
            </w:r>
            <w:r w:rsidR="00013EB8" w:rsidRPr="00C709BC">
              <w:rPr>
                <w:iCs/>
              </w:rPr>
              <w:t xml:space="preserve"> - </w:t>
            </w:r>
            <w:r w:rsidR="00013EB8" w:rsidRPr="00C709BC">
              <w:rPr>
                <w:color w:val="000000"/>
                <w:szCs w:val="25"/>
              </w:rPr>
              <w:t xml:space="preserve">“The total evaluation of the </w:t>
            </w:r>
            <w:r w:rsidR="00013EB8" w:rsidRPr="00C709BC">
              <w:rPr>
                <w:color w:val="000000"/>
                <w:szCs w:val="25"/>
                <w:u w:val="single"/>
              </w:rPr>
              <w:t>amputation, and residuals such as nerve and skin damage</w:t>
            </w:r>
            <w:r w:rsidR="00013EB8" w:rsidRPr="00C709BC">
              <w:rPr>
                <w:color w:val="000000"/>
                <w:szCs w:val="25"/>
              </w:rPr>
              <w:t xml:space="preserve">, do fall under the auspices of the musculoskeletal section because the disability you are evaluating is an amputation.” </w:t>
            </w:r>
          </w:p>
          <w:p w:rsidR="00013EB8" w:rsidRPr="00C709BC" w:rsidRDefault="001421FA" w:rsidP="00F063AF">
            <w:pPr>
              <w:widowControl w:val="0"/>
              <w:numPr>
                <w:ilvl w:val="0"/>
                <w:numId w:val="76"/>
              </w:numPr>
              <w:tabs>
                <w:tab w:val="clear" w:pos="720"/>
                <w:tab w:val="num" w:pos="340"/>
              </w:tabs>
              <w:spacing w:after="120"/>
              <w:ind w:left="340"/>
              <w:rPr>
                <w:iCs/>
              </w:rPr>
            </w:pPr>
            <w:r w:rsidRPr="00C709BC">
              <w:rPr>
                <w:bCs/>
              </w:rPr>
              <w:t xml:space="preserve">Notes from </w:t>
            </w:r>
            <w:r w:rsidRPr="00C709BC">
              <w:rPr>
                <w:b/>
                <w:i/>
                <w:iCs/>
                <w:u w:val="single"/>
              </w:rPr>
              <w:t>May 2011 Amputation Rule T</w:t>
            </w:r>
            <w:r w:rsidR="00013EB8" w:rsidRPr="00C709BC">
              <w:rPr>
                <w:b/>
                <w:i/>
                <w:iCs/>
                <w:u w:val="single"/>
              </w:rPr>
              <w:t>raining</w:t>
            </w:r>
            <w:r w:rsidR="00013EB8" w:rsidRPr="00C709BC">
              <w:rPr>
                <w:iCs/>
              </w:rPr>
              <w:t xml:space="preserve"> – </w:t>
            </w:r>
          </w:p>
          <w:p w:rsidR="00013EB8" w:rsidRPr="00C709BC" w:rsidRDefault="00013EB8" w:rsidP="00F063AF">
            <w:pPr>
              <w:widowControl w:val="0"/>
              <w:numPr>
                <w:ilvl w:val="0"/>
                <w:numId w:val="245"/>
              </w:numPr>
              <w:spacing w:after="120"/>
              <w:rPr>
                <w:iCs/>
              </w:rPr>
            </w:pPr>
            <w:r w:rsidRPr="00C709BC">
              <w:rPr>
                <w:color w:val="000000"/>
                <w:szCs w:val="25"/>
              </w:rPr>
              <w:t xml:space="preserve">The amputation rule </w:t>
            </w:r>
            <w:r w:rsidRPr="00C709BC">
              <w:rPr>
                <w:color w:val="000000"/>
                <w:szCs w:val="25"/>
                <w:u w:val="single"/>
              </w:rPr>
              <w:t>does not apply to non-musculoskeletal disabilities in general</w:t>
            </w:r>
            <w:r w:rsidRPr="00C709BC">
              <w:rPr>
                <w:color w:val="000000"/>
                <w:szCs w:val="25"/>
              </w:rPr>
              <w:t xml:space="preserve">, but if the nerve residuals are part of an amputation disability, the amputation rule applies. In situations where the disability at issue is entirely separate from the amputation, the amputation rule would not come into play.  </w:t>
            </w:r>
          </w:p>
          <w:p w:rsidR="00013EB8" w:rsidRPr="00C709BC" w:rsidRDefault="00013EB8" w:rsidP="00F063AF">
            <w:pPr>
              <w:widowControl w:val="0"/>
              <w:numPr>
                <w:ilvl w:val="0"/>
                <w:numId w:val="245"/>
              </w:numPr>
              <w:spacing w:after="120"/>
              <w:rPr>
                <w:iCs/>
              </w:rPr>
            </w:pPr>
            <w:r w:rsidRPr="00C709BC">
              <w:rPr>
                <w:color w:val="000000"/>
                <w:szCs w:val="25"/>
              </w:rPr>
              <w:t>Musculoskeletal disabilities (with the exception of osteomyelitis, as it’s based on constitutional symptoms), nerve and skin damage associated with an actual amputation, neurologic injuries and skin damage associated with musculoskeletal injuries</w:t>
            </w:r>
          </w:p>
          <w:p w:rsidR="00013EB8" w:rsidRPr="00C709BC" w:rsidRDefault="001421FA" w:rsidP="00F063AF">
            <w:pPr>
              <w:widowControl w:val="0"/>
              <w:numPr>
                <w:ilvl w:val="0"/>
                <w:numId w:val="76"/>
              </w:numPr>
              <w:tabs>
                <w:tab w:val="clear" w:pos="720"/>
                <w:tab w:val="num" w:pos="340"/>
              </w:tabs>
              <w:spacing w:after="120"/>
              <w:ind w:left="340"/>
              <w:rPr>
                <w:iCs/>
              </w:rPr>
            </w:pPr>
            <w:r w:rsidRPr="00C709BC">
              <w:rPr>
                <w:bCs/>
              </w:rPr>
              <w:t xml:space="preserve">Notes from </w:t>
            </w:r>
            <w:r w:rsidRPr="00C709BC">
              <w:rPr>
                <w:b/>
                <w:bCs/>
                <w:i/>
                <w:u w:val="single"/>
              </w:rPr>
              <w:t>A</w:t>
            </w:r>
            <w:r w:rsidR="00013EB8" w:rsidRPr="00C709BC">
              <w:rPr>
                <w:b/>
                <w:i/>
                <w:iCs/>
                <w:u w:val="single"/>
              </w:rPr>
              <w:t>pril 2013 AMPUTATION RULE, PYRAMIDING, AND GUNSHOT WOUNDS</w:t>
            </w:r>
            <w:r w:rsidRPr="00C709BC">
              <w:rPr>
                <w:b/>
                <w:i/>
                <w:iCs/>
                <w:u w:val="single"/>
              </w:rPr>
              <w:t xml:space="preserve"> T</w:t>
            </w:r>
            <w:r w:rsidR="00013EB8" w:rsidRPr="00C709BC">
              <w:rPr>
                <w:b/>
                <w:i/>
                <w:iCs/>
                <w:u w:val="single"/>
              </w:rPr>
              <w:t>raining</w:t>
            </w:r>
            <w:r w:rsidR="00013EB8" w:rsidRPr="00C709BC">
              <w:rPr>
                <w:iCs/>
              </w:rPr>
              <w:t xml:space="preserve">– </w:t>
            </w:r>
          </w:p>
          <w:p w:rsidR="00013EB8" w:rsidRPr="00C709BC" w:rsidRDefault="00013EB8">
            <w:pPr>
              <w:overflowPunct/>
              <w:ind w:left="340"/>
              <w:textAlignment w:val="auto"/>
            </w:pPr>
            <w:r w:rsidRPr="00C709BC">
              <w:t>Amputation rule applies to musculoskeletal conditions (other unrelated disabilities affecting the extremity can combine at a rate higher than the elective amputation site)</w:t>
            </w:r>
          </w:p>
          <w:p w:rsidR="00013EB8" w:rsidRPr="00C709BC" w:rsidRDefault="00013EB8">
            <w:pPr>
              <w:overflowPunct/>
              <w:ind w:left="340"/>
              <w:textAlignment w:val="auto"/>
            </w:pPr>
            <w:r w:rsidRPr="00C709BC">
              <w:t>Disarticulation of the thigh &amp; below = max 90%</w:t>
            </w:r>
          </w:p>
          <w:p w:rsidR="00013EB8" w:rsidRPr="00C709BC" w:rsidRDefault="00013EB8">
            <w:pPr>
              <w:overflowPunct/>
              <w:ind w:left="340"/>
              <w:textAlignment w:val="auto"/>
            </w:pPr>
            <w:r w:rsidRPr="00C709BC">
              <w:t>Middle third of the thigh &amp; below = max 60% (knee involvement is considered "above the knee" amputation)</w:t>
            </w:r>
          </w:p>
          <w:p w:rsidR="00A1674F" w:rsidRPr="00C709BC" w:rsidRDefault="00013EB8" w:rsidP="00A1674F">
            <w:pPr>
              <w:widowControl w:val="0"/>
              <w:spacing w:after="120"/>
              <w:ind w:left="340"/>
            </w:pPr>
            <w:r w:rsidRPr="00C709BC">
              <w:t>Below the knee = max 40%</w:t>
            </w:r>
          </w:p>
          <w:p w:rsidR="00B44E74" w:rsidRPr="00C709BC" w:rsidRDefault="00D34B5A" w:rsidP="00F063AF">
            <w:pPr>
              <w:pStyle w:val="ListParagraph"/>
              <w:numPr>
                <w:ilvl w:val="0"/>
                <w:numId w:val="177"/>
              </w:numPr>
              <w:tabs>
                <w:tab w:val="left" w:pos="360"/>
              </w:tabs>
              <w:spacing w:after="120"/>
              <w:ind w:left="330"/>
            </w:pPr>
            <w:r w:rsidRPr="00C709BC">
              <w:rPr>
                <w:rFonts w:ascii="Arial" w:hAnsi="Arial"/>
                <w:b/>
                <w:i/>
                <w:sz w:val="20"/>
                <w:szCs w:val="20"/>
              </w:rPr>
              <w:t xml:space="preserve">August 2014 </w:t>
            </w:r>
            <w:r w:rsidR="00EB6F0B" w:rsidRPr="00C709BC">
              <w:rPr>
                <w:rFonts w:ascii="Arial" w:hAnsi="Arial"/>
                <w:b/>
                <w:i/>
                <w:sz w:val="20"/>
                <w:szCs w:val="20"/>
              </w:rPr>
              <w:t>Compensation Service Bulletin (CSB)</w:t>
            </w:r>
            <w:r w:rsidRPr="00C709BC">
              <w:rPr>
                <w:rFonts w:ascii="Arial" w:hAnsi="Arial"/>
                <w:b/>
                <w:i/>
                <w:sz w:val="20"/>
                <w:szCs w:val="20"/>
              </w:rPr>
              <w:t xml:space="preserve"> Addendum</w:t>
            </w:r>
            <w:r w:rsidRPr="00C709BC">
              <w:rPr>
                <w:rStyle w:val="Hyperlink"/>
                <w:rFonts w:ascii="Arial" w:hAnsi="Arial"/>
                <w:color w:val="auto"/>
                <w:sz w:val="20"/>
                <w:szCs w:val="20"/>
                <w:u w:val="none"/>
              </w:rPr>
              <w:t xml:space="preserve"> –</w:t>
            </w:r>
            <w:r w:rsidRPr="00C709BC">
              <w:rPr>
                <w:rFonts w:ascii="Arial" w:hAnsi="Arial"/>
                <w:sz w:val="20"/>
                <w:szCs w:val="20"/>
              </w:rPr>
              <w:t xml:space="preserve"> Amputation rule does not apply to peripheral nerve evaluations.</w:t>
            </w:r>
          </w:p>
          <w:p w:rsidR="0004559D" w:rsidRPr="00C709BC" w:rsidRDefault="0004559D" w:rsidP="00F063AF">
            <w:pPr>
              <w:pStyle w:val="ListParagraph"/>
              <w:numPr>
                <w:ilvl w:val="0"/>
                <w:numId w:val="177"/>
              </w:numPr>
              <w:tabs>
                <w:tab w:val="left" w:pos="360"/>
              </w:tabs>
              <w:spacing w:after="120"/>
              <w:ind w:left="330"/>
            </w:pPr>
            <w:r w:rsidRPr="00C709BC">
              <w:rPr>
                <w:rFonts w:ascii="Arial" w:hAnsi="Arial"/>
                <w:sz w:val="20"/>
                <w:szCs w:val="20"/>
              </w:rPr>
              <w:t>New Amputation Rule functionality – see VBMS Major Release 8.0 Functionality Preview</w:t>
            </w:r>
            <w:r w:rsidR="00E23D35" w:rsidRPr="00C709BC">
              <w:rPr>
                <w:rFonts w:ascii="Arial" w:hAnsi="Arial"/>
                <w:sz w:val="20"/>
                <w:szCs w:val="20"/>
              </w:rPr>
              <w:t xml:space="preserve"> [no longer online]</w:t>
            </w:r>
            <w:r w:rsidRPr="00C709BC">
              <w:rPr>
                <w:rFonts w:ascii="Arial" w:hAnsi="Arial"/>
                <w:sz w:val="20"/>
                <w:szCs w:val="20"/>
              </w:rPr>
              <w:t xml:space="preserve"> (no more Amputation Rule check-box, it’s automated started 12/15/14</w:t>
            </w:r>
            <w:r w:rsidR="0021762F" w:rsidRPr="00C709BC">
              <w:rPr>
                <w:rFonts w:ascii="Arial" w:hAnsi="Arial"/>
                <w:sz w:val="20"/>
                <w:szCs w:val="20"/>
              </w:rPr>
              <w:t xml:space="preserve"> &amp; Amputation rule item will be added after you “Document</w:t>
            </w:r>
            <w:r w:rsidR="001946CC">
              <w:rPr>
                <w:rFonts w:ascii="Arial" w:hAnsi="Arial"/>
                <w:sz w:val="20"/>
                <w:szCs w:val="20"/>
              </w:rPr>
              <w:t>,”</w:t>
            </w:r>
            <w:r w:rsidR="0021762F" w:rsidRPr="00C709BC">
              <w:rPr>
                <w:rFonts w:ascii="Arial" w:hAnsi="Arial"/>
                <w:sz w:val="20"/>
                <w:szCs w:val="20"/>
              </w:rPr>
              <w:t xml:space="preserve"> select link to verify amputation rule, check Master Record for new condition under 5164</w:t>
            </w:r>
            <w:r w:rsidRPr="00C709BC">
              <w:rPr>
                <w:rFonts w:ascii="Arial" w:hAnsi="Arial"/>
                <w:sz w:val="20"/>
                <w:szCs w:val="20"/>
              </w:rPr>
              <w:t>)</w:t>
            </w:r>
          </w:p>
          <w:p w:rsidR="00312F8F" w:rsidRPr="00C709BC" w:rsidRDefault="00492195" w:rsidP="00F063AF">
            <w:pPr>
              <w:pStyle w:val="ListParagraph"/>
              <w:numPr>
                <w:ilvl w:val="0"/>
                <w:numId w:val="202"/>
              </w:numPr>
              <w:spacing w:after="120"/>
              <w:ind w:left="330"/>
              <w:rPr>
                <w:rFonts w:ascii="Arial" w:hAnsi="Arial"/>
                <w:sz w:val="20"/>
                <w:szCs w:val="20"/>
              </w:rPr>
            </w:pPr>
            <w:r w:rsidRPr="00C709BC">
              <w:rPr>
                <w:rFonts w:ascii="Arial" w:hAnsi="Arial"/>
                <w:b/>
                <w:sz w:val="20"/>
                <w:szCs w:val="20"/>
              </w:rPr>
              <w:t>II</w:t>
            </w:r>
            <w:r w:rsidR="00B70128" w:rsidRPr="00C709BC">
              <w:rPr>
                <w:rFonts w:ascii="Arial" w:hAnsi="Arial"/>
                <w:b/>
                <w:sz w:val="20"/>
                <w:szCs w:val="20"/>
              </w:rPr>
              <w:t>I.iv.6.D.9.a</w:t>
            </w:r>
            <w:r w:rsidRPr="00C709BC">
              <w:rPr>
                <w:rFonts w:ascii="Arial" w:hAnsi="Arial"/>
                <w:sz w:val="20"/>
                <w:szCs w:val="20"/>
              </w:rPr>
              <w:t xml:space="preserve"> – example of codesheet w/amputation rule</w:t>
            </w:r>
          </w:p>
          <w:p w:rsidR="001874B5" w:rsidRPr="00C709BC" w:rsidRDefault="00D571C5" w:rsidP="00F063AF">
            <w:pPr>
              <w:pStyle w:val="ListParagraph"/>
              <w:numPr>
                <w:ilvl w:val="0"/>
                <w:numId w:val="202"/>
              </w:numPr>
              <w:spacing w:after="120"/>
              <w:ind w:left="330"/>
              <w:rPr>
                <w:rStyle w:val="Hyperlink"/>
                <w:rFonts w:ascii="Arial" w:hAnsi="Arial"/>
                <w:color w:val="003300"/>
                <w:sz w:val="20"/>
                <w:szCs w:val="20"/>
                <w:u w:val="none"/>
              </w:rPr>
            </w:pPr>
            <w:hyperlink r:id="rId496" w:history="1">
              <w:r w:rsidR="001874B5" w:rsidRPr="00C709BC">
                <w:rPr>
                  <w:rStyle w:val="Hyperlink"/>
                  <w:rFonts w:ascii="Arial" w:hAnsi="Arial"/>
                  <w:b/>
                  <w:i/>
                  <w:sz w:val="20"/>
                </w:rPr>
                <w:t>November 2015 Quality Call Notes</w:t>
              </w:r>
            </w:hyperlink>
            <w:hyperlink r:id="rId497" w:history="1"/>
            <w:r w:rsidR="001874B5" w:rsidRPr="00C709BC">
              <w:rPr>
                <w:rStyle w:val="Hyperlink"/>
                <w:rFonts w:ascii="Arial" w:hAnsi="Arial"/>
                <w:sz w:val="20"/>
                <w:u w:val="none"/>
              </w:rPr>
              <w:t xml:space="preserve"> </w:t>
            </w:r>
            <w:r w:rsidR="001874B5" w:rsidRPr="00C709BC">
              <w:rPr>
                <w:rStyle w:val="Hyperlink"/>
                <w:rFonts w:ascii="Arial" w:hAnsi="Arial"/>
                <w:color w:val="auto"/>
                <w:sz w:val="20"/>
                <w:u w:val="none"/>
              </w:rPr>
              <w:t>– amputation rule</w:t>
            </w:r>
            <w:r w:rsidR="00400BEA" w:rsidRPr="00C709BC">
              <w:rPr>
                <w:rStyle w:val="Hyperlink"/>
                <w:rFonts w:ascii="Arial" w:hAnsi="Arial"/>
                <w:color w:val="auto"/>
                <w:sz w:val="20"/>
                <w:u w:val="none"/>
              </w:rPr>
              <w:t xml:space="preserve"> discussion &amp; clarification</w:t>
            </w:r>
          </w:p>
          <w:p w:rsidR="0052421B" w:rsidRPr="00442D34" w:rsidRDefault="008A2FE5" w:rsidP="00F063AF">
            <w:pPr>
              <w:pStyle w:val="ListParagraph"/>
              <w:numPr>
                <w:ilvl w:val="0"/>
                <w:numId w:val="202"/>
              </w:numPr>
              <w:spacing w:after="120"/>
              <w:ind w:left="330"/>
              <w:rPr>
                <w:rFonts w:ascii="Arial" w:hAnsi="Arial"/>
                <w:color w:val="003300"/>
                <w:sz w:val="20"/>
                <w:szCs w:val="20"/>
              </w:rPr>
            </w:pPr>
            <w:r w:rsidRPr="008A2FE5">
              <w:rPr>
                <w:rFonts w:ascii="Arial" w:hAnsi="Arial"/>
                <w:b/>
                <w:bCs/>
                <w:sz w:val="20"/>
                <w:szCs w:val="20"/>
              </w:rPr>
              <w:t>III.iv.4.A.8</w:t>
            </w:r>
            <w:r w:rsidR="00A53F9A" w:rsidRPr="008A2FE5">
              <w:rPr>
                <w:rFonts w:ascii="Arial" w:hAnsi="Arial"/>
                <w:b/>
                <w:bCs/>
                <w:sz w:val="20"/>
                <w:szCs w:val="20"/>
              </w:rPr>
              <w:t>.</w:t>
            </w:r>
            <w:r w:rsidR="00F24959">
              <w:rPr>
                <w:rFonts w:ascii="Arial" w:hAnsi="Arial"/>
                <w:b/>
                <w:bCs/>
                <w:sz w:val="20"/>
                <w:szCs w:val="20"/>
              </w:rPr>
              <w:t>e</w:t>
            </w:r>
            <w:r w:rsidR="0052421B" w:rsidRPr="00C709BC">
              <w:rPr>
                <w:rFonts w:ascii="Arial" w:hAnsi="Arial"/>
                <w:b/>
                <w:bCs/>
                <w:sz w:val="20"/>
                <w:szCs w:val="20"/>
              </w:rPr>
              <w:t xml:space="preserve"> </w:t>
            </w:r>
            <w:r w:rsidR="004F2E41">
              <w:rPr>
                <w:rFonts w:ascii="Arial" w:hAnsi="Arial"/>
                <w:b/>
                <w:bCs/>
                <w:sz w:val="20"/>
                <w:szCs w:val="20"/>
              </w:rPr>
              <w:t>–</w:t>
            </w:r>
            <w:r w:rsidR="0052421B" w:rsidRPr="00C709BC">
              <w:rPr>
                <w:rFonts w:ascii="Arial" w:hAnsi="Arial"/>
                <w:b/>
                <w:bCs/>
                <w:sz w:val="20"/>
                <w:szCs w:val="20"/>
              </w:rPr>
              <w:t xml:space="preserve"> </w:t>
            </w:r>
            <w:r w:rsidR="0052421B" w:rsidRPr="00C709BC">
              <w:rPr>
                <w:rFonts w:ascii="Arial" w:hAnsi="Arial"/>
                <w:sz w:val="20"/>
                <w:szCs w:val="20"/>
              </w:rPr>
              <w:t>The amputation rule does not apply to bilateral evaluations under 5276, 5277, 5278, 5279.</w:t>
            </w:r>
            <w:r w:rsidR="0088235B">
              <w:rPr>
                <w:rFonts w:ascii="Arial" w:hAnsi="Arial"/>
                <w:sz w:val="20"/>
                <w:szCs w:val="20"/>
              </w:rPr>
              <w:t xml:space="preserve"> Link to 8/13/13 </w:t>
            </w:r>
            <w:hyperlink r:id="rId498" w:history="1">
              <w:r w:rsidR="0088235B" w:rsidRPr="0088235B">
                <w:rPr>
                  <w:rStyle w:val="Hyperlink"/>
                  <w:rFonts w:ascii="Arial" w:hAnsi="Arial"/>
                  <w:sz w:val="20"/>
                  <w:szCs w:val="20"/>
                </w:rPr>
                <w:t>VBMS-R Job Aid</w:t>
              </w:r>
            </w:hyperlink>
            <w:r w:rsidR="0088235B">
              <w:rPr>
                <w:rFonts w:ascii="Arial" w:hAnsi="Arial"/>
                <w:sz w:val="20"/>
                <w:szCs w:val="20"/>
              </w:rPr>
              <w:t>.</w:t>
            </w:r>
          </w:p>
          <w:p w:rsidR="00442D34" w:rsidRPr="00D72CA4" w:rsidRDefault="00526485" w:rsidP="00F063AF">
            <w:pPr>
              <w:pStyle w:val="ListParagraph"/>
              <w:numPr>
                <w:ilvl w:val="0"/>
                <w:numId w:val="202"/>
              </w:numPr>
              <w:spacing w:after="120"/>
              <w:ind w:left="330"/>
              <w:rPr>
                <w:rFonts w:ascii="Arial" w:hAnsi="Arial"/>
                <w:color w:val="003300"/>
                <w:sz w:val="20"/>
                <w:szCs w:val="20"/>
              </w:rPr>
            </w:pPr>
            <w:r>
              <w:rPr>
                <w:rFonts w:ascii="Arial" w:hAnsi="Arial"/>
                <w:b/>
                <w:sz w:val="20"/>
              </w:rPr>
              <w:t>III.iv.4.N</w:t>
            </w:r>
            <w:r w:rsidR="00442D34" w:rsidRPr="00442D34">
              <w:rPr>
                <w:rFonts w:ascii="Arial" w:hAnsi="Arial"/>
                <w:b/>
                <w:sz w:val="20"/>
              </w:rPr>
              <w:t xml:space="preserve">.4.i </w:t>
            </w:r>
            <w:r w:rsidR="00442D34" w:rsidRPr="00442D34">
              <w:rPr>
                <w:rFonts w:ascii="Arial" w:hAnsi="Arial"/>
                <w:sz w:val="20"/>
              </w:rPr>
              <w:t>(added 11/16/17)</w:t>
            </w:r>
            <w:r w:rsidR="00442D34">
              <w:rPr>
                <w:rFonts w:ascii="Arial" w:hAnsi="Arial"/>
                <w:b/>
                <w:sz w:val="20"/>
              </w:rPr>
              <w:t xml:space="preserve"> </w:t>
            </w:r>
            <w:r w:rsidR="00442D34" w:rsidRPr="00442D34">
              <w:rPr>
                <w:rFonts w:ascii="Arial" w:hAnsi="Arial"/>
                <w:sz w:val="20"/>
              </w:rPr>
              <w:t xml:space="preserve">– peripheral nerve disabilities </w:t>
            </w:r>
            <w:r w:rsidR="00442D34">
              <w:rPr>
                <w:rFonts w:ascii="Arial" w:hAnsi="Arial"/>
                <w:sz w:val="20"/>
              </w:rPr>
              <w:t>–</w:t>
            </w:r>
            <w:r w:rsidR="00442D34" w:rsidRPr="00442D34">
              <w:rPr>
                <w:rFonts w:ascii="Arial" w:hAnsi="Arial"/>
                <w:sz w:val="20"/>
              </w:rPr>
              <w:t xml:space="preserve"> </w:t>
            </w:r>
            <w:r w:rsidR="00442D34">
              <w:rPr>
                <w:rFonts w:ascii="Arial" w:hAnsi="Arial"/>
                <w:sz w:val="20"/>
              </w:rPr>
              <w:t xml:space="preserve">if associated with a musculoskeletal injury or amputation, </w:t>
            </w:r>
            <w:r w:rsidR="00442D34" w:rsidRPr="008A2FE5">
              <w:rPr>
                <w:rFonts w:ascii="Arial" w:hAnsi="Arial"/>
                <w:sz w:val="20"/>
              </w:rPr>
              <w:t xml:space="preserve">follow </w:t>
            </w:r>
            <w:r w:rsidR="008A2FE5" w:rsidRPr="008A2FE5">
              <w:rPr>
                <w:rFonts w:ascii="Arial" w:hAnsi="Arial"/>
                <w:b/>
                <w:sz w:val="20"/>
              </w:rPr>
              <w:t>III.iv.4.A.8</w:t>
            </w:r>
            <w:r w:rsidR="00442D34" w:rsidRPr="008A2FE5">
              <w:rPr>
                <w:rFonts w:ascii="Arial" w:hAnsi="Arial"/>
                <w:b/>
                <w:sz w:val="20"/>
              </w:rPr>
              <w:t>.</w:t>
            </w:r>
            <w:r w:rsidR="008A2FE5" w:rsidRPr="008A2FE5">
              <w:rPr>
                <w:rFonts w:ascii="Arial" w:hAnsi="Arial"/>
                <w:b/>
                <w:sz w:val="20"/>
              </w:rPr>
              <w:t>e</w:t>
            </w:r>
            <w:r w:rsidR="00442D34" w:rsidRPr="008A2FE5">
              <w:rPr>
                <w:rFonts w:ascii="Arial" w:hAnsi="Arial"/>
                <w:sz w:val="20"/>
              </w:rPr>
              <w:t xml:space="preserve"> regarding</w:t>
            </w:r>
            <w:r w:rsidR="00442D34">
              <w:rPr>
                <w:rFonts w:ascii="Arial" w:hAnsi="Arial"/>
                <w:sz w:val="20"/>
              </w:rPr>
              <w:t xml:space="preserve"> the amputation rule; amputation rule does not aply to diabetic neuropathy or peripheral nerve disbliies not associated with a musculoskeletal injury</w:t>
            </w:r>
          </w:p>
          <w:p w:rsidR="00D72CA4" w:rsidRPr="00D72CA4" w:rsidRDefault="00D72CA4" w:rsidP="00F063AF">
            <w:pPr>
              <w:pStyle w:val="ListParagraph"/>
              <w:numPr>
                <w:ilvl w:val="0"/>
                <w:numId w:val="202"/>
              </w:numPr>
              <w:spacing w:after="120"/>
              <w:ind w:left="330"/>
              <w:rPr>
                <w:rFonts w:ascii="Arial" w:hAnsi="Arial"/>
                <w:i/>
                <w:color w:val="003300"/>
                <w:sz w:val="20"/>
                <w:szCs w:val="20"/>
              </w:rPr>
            </w:pPr>
            <w:r w:rsidRPr="00D72CA4">
              <w:rPr>
                <w:rFonts w:ascii="Arial" w:hAnsi="Arial"/>
                <w:i/>
                <w:color w:val="00B050"/>
                <w:sz w:val="20"/>
                <w:szCs w:val="20"/>
              </w:rPr>
              <w:t xml:space="preserve">My Notes:  </w:t>
            </w:r>
            <w:r w:rsidRPr="00D72CA4">
              <w:rPr>
                <w:rFonts w:ascii="Arial" w:hAnsi="Arial"/>
                <w:i/>
                <w:sz w:val="20"/>
                <w:szCs w:val="20"/>
              </w:rPr>
              <w:t>The “Amputation Rule” warning in VBMS-R is not useful. You get it when you have a Temporary 100</w:t>
            </w:r>
            <w:r>
              <w:rPr>
                <w:rFonts w:ascii="Arial" w:hAnsi="Arial"/>
                <w:i/>
                <w:sz w:val="20"/>
                <w:szCs w:val="20"/>
              </w:rPr>
              <w:t>% grant. You also get it anytim</w:t>
            </w:r>
            <w:r w:rsidRPr="00D72CA4">
              <w:rPr>
                <w:rFonts w:ascii="Arial" w:hAnsi="Arial"/>
                <w:i/>
                <w:sz w:val="20"/>
                <w:szCs w:val="20"/>
              </w:rPr>
              <w:t>e</w:t>
            </w:r>
            <w:r>
              <w:rPr>
                <w:rFonts w:ascii="Arial" w:hAnsi="Arial"/>
                <w:i/>
                <w:sz w:val="20"/>
                <w:szCs w:val="20"/>
              </w:rPr>
              <w:t xml:space="preserve"> </w:t>
            </w:r>
            <w:r w:rsidRPr="00D72CA4">
              <w:rPr>
                <w:rFonts w:ascii="Arial" w:hAnsi="Arial"/>
                <w:i/>
                <w:sz w:val="20"/>
                <w:szCs w:val="20"/>
              </w:rPr>
              <w:t xml:space="preserve">you use 5276, </w:t>
            </w:r>
            <w:r w:rsidRPr="008A2FE5">
              <w:rPr>
                <w:rFonts w:ascii="Arial" w:hAnsi="Arial"/>
                <w:i/>
                <w:sz w:val="20"/>
                <w:szCs w:val="20"/>
              </w:rPr>
              <w:t xml:space="preserve">but </w:t>
            </w:r>
            <w:r w:rsidR="008A2FE5" w:rsidRPr="008A2FE5">
              <w:rPr>
                <w:rFonts w:ascii="Arial" w:hAnsi="Arial"/>
                <w:bCs/>
                <w:i/>
                <w:sz w:val="20"/>
                <w:szCs w:val="20"/>
              </w:rPr>
              <w:t>III.iv.4.A.8</w:t>
            </w:r>
            <w:r w:rsidRPr="008A2FE5">
              <w:rPr>
                <w:rFonts w:ascii="Arial" w:hAnsi="Arial"/>
                <w:bCs/>
                <w:i/>
                <w:sz w:val="20"/>
                <w:szCs w:val="20"/>
              </w:rPr>
              <w:t>.</w:t>
            </w:r>
            <w:r w:rsidR="008A2FE5" w:rsidRPr="008A2FE5">
              <w:rPr>
                <w:rFonts w:ascii="Arial" w:hAnsi="Arial"/>
                <w:bCs/>
                <w:i/>
                <w:sz w:val="20"/>
                <w:szCs w:val="20"/>
              </w:rPr>
              <w:t>e</w:t>
            </w:r>
            <w:r w:rsidRPr="008A2FE5">
              <w:rPr>
                <w:rFonts w:ascii="Arial" w:hAnsi="Arial"/>
                <w:bCs/>
                <w:i/>
                <w:sz w:val="20"/>
                <w:szCs w:val="20"/>
              </w:rPr>
              <w:t xml:space="preserve"> says</w:t>
            </w:r>
            <w:r w:rsidRPr="00D72CA4">
              <w:rPr>
                <w:rFonts w:ascii="Arial" w:hAnsi="Arial"/>
                <w:bCs/>
                <w:i/>
                <w:sz w:val="20"/>
                <w:szCs w:val="20"/>
              </w:rPr>
              <w:t xml:space="preserve"> “The amputation rule does not apply to bilateral evaluations under DC 5276 to 5279.”</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4.69</w:t>
            </w:r>
          </w:p>
        </w:tc>
        <w:tc>
          <w:tcPr>
            <w:tcW w:w="9870" w:type="dxa"/>
            <w:tcBorders>
              <w:top w:val="nil"/>
              <w:left w:val="nil"/>
              <w:bottom w:val="nil"/>
              <w:right w:val="nil"/>
            </w:tcBorders>
          </w:tcPr>
          <w:p w:rsidR="00013EB8" w:rsidRDefault="00013EB8" w:rsidP="007F1619">
            <w:pPr>
              <w:widowControl w:val="0"/>
              <w:numPr>
                <w:ilvl w:val="12"/>
                <w:numId w:val="0"/>
              </w:numPr>
              <w:spacing w:after="120"/>
            </w:pPr>
            <w:r>
              <w:rPr>
                <w:b/>
              </w:rPr>
              <w:t>Dominant hand</w:t>
            </w:r>
            <w:r>
              <w:t xml:space="preserve"> – only 1 hand can be dominant, if ambidextrous then the injured hand or the most severely injured hand will be considered dominant</w:t>
            </w:r>
          </w:p>
        </w:tc>
      </w:tr>
      <w:tr w:rsidR="00013EB8" w:rsidTr="000A206A">
        <w:trPr>
          <w:trHeight w:val="205"/>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4.70</w:t>
            </w:r>
          </w:p>
        </w:tc>
        <w:tc>
          <w:tcPr>
            <w:tcW w:w="9870" w:type="dxa"/>
            <w:tcBorders>
              <w:top w:val="nil"/>
              <w:left w:val="nil"/>
              <w:bottom w:val="nil"/>
              <w:right w:val="nil"/>
            </w:tcBorders>
          </w:tcPr>
          <w:p w:rsidR="00013EB8" w:rsidRDefault="00013EB8">
            <w:pPr>
              <w:widowControl w:val="0"/>
              <w:spacing w:after="120"/>
            </w:pPr>
            <w:bookmarkStart w:id="111" w:name="InadequateExams"/>
            <w:r>
              <w:rPr>
                <w:b/>
              </w:rPr>
              <w:t xml:space="preserve">Inadequate examinations </w:t>
            </w:r>
            <w:bookmarkEnd w:id="111"/>
            <w:r>
              <w:t xml:space="preserve">– </w:t>
            </w:r>
          </w:p>
          <w:p w:rsidR="00013EB8" w:rsidRDefault="00013EB8" w:rsidP="00F063AF">
            <w:pPr>
              <w:widowControl w:val="0"/>
              <w:numPr>
                <w:ilvl w:val="0"/>
                <w:numId w:val="77"/>
              </w:numPr>
              <w:tabs>
                <w:tab w:val="clear" w:pos="720"/>
                <w:tab w:val="num" w:pos="340"/>
              </w:tabs>
              <w:spacing w:after="120"/>
              <w:ind w:left="340"/>
              <w:rPr>
                <w:b/>
                <w:iCs/>
              </w:rPr>
            </w:pPr>
            <w:r w:rsidRPr="007A4B37">
              <w:rPr>
                <w:b/>
                <w:iCs/>
              </w:rPr>
              <w:t>4.2</w:t>
            </w:r>
          </w:p>
          <w:p w:rsidR="000C0A40" w:rsidRPr="005772B6" w:rsidRDefault="00604169" w:rsidP="00F063AF">
            <w:pPr>
              <w:widowControl w:val="0"/>
              <w:numPr>
                <w:ilvl w:val="0"/>
                <w:numId w:val="77"/>
              </w:numPr>
              <w:tabs>
                <w:tab w:val="clear" w:pos="720"/>
                <w:tab w:val="num" w:pos="340"/>
              </w:tabs>
              <w:spacing w:after="120"/>
              <w:ind w:left="340"/>
              <w:rPr>
                <w:b/>
                <w:bCs/>
              </w:rPr>
            </w:pPr>
            <w:r>
              <w:rPr>
                <w:b/>
                <w:bCs/>
              </w:rPr>
              <w:t>III.iv.3</w:t>
            </w:r>
            <w:r w:rsidR="00193090">
              <w:rPr>
                <w:bCs/>
              </w:rPr>
              <w:t xml:space="preserve"> – need review of file (if required, see </w:t>
            </w:r>
            <w:r w:rsidR="00193090" w:rsidRPr="009D6313">
              <w:rPr>
                <w:b/>
                <w:bCs/>
                <w:iCs/>
              </w:rPr>
              <w:t>III.iv.3.A.1</w:t>
            </w:r>
            <w:r w:rsidR="00193090">
              <w:rPr>
                <w:b/>
                <w:bCs/>
                <w:iCs/>
              </w:rPr>
              <w:t>5.b</w:t>
            </w:r>
            <w:r w:rsidR="00193090">
              <w:rPr>
                <w:bCs/>
              </w:rPr>
              <w:t>), rationale for medical opinion, etc.</w:t>
            </w:r>
          </w:p>
          <w:p w:rsidR="00013EB8" w:rsidRDefault="00013EB8" w:rsidP="00F063AF">
            <w:pPr>
              <w:widowControl w:val="0"/>
              <w:numPr>
                <w:ilvl w:val="0"/>
                <w:numId w:val="77"/>
              </w:numPr>
              <w:tabs>
                <w:tab w:val="clear" w:pos="720"/>
                <w:tab w:val="num" w:pos="340"/>
              </w:tabs>
              <w:spacing w:after="120"/>
              <w:ind w:left="340"/>
              <w:rPr>
                <w:iCs/>
              </w:rPr>
            </w:pPr>
            <w:r w:rsidRPr="009D6313">
              <w:rPr>
                <w:b/>
                <w:bCs/>
              </w:rPr>
              <w:t>III.iv.5</w:t>
            </w:r>
          </w:p>
        </w:tc>
      </w:tr>
      <w:tr w:rsidR="00013EB8" w:rsidTr="000A206A">
        <w:trPr>
          <w:trHeight w:val="219"/>
        </w:trPr>
        <w:tc>
          <w:tcPr>
            <w:tcW w:w="615" w:type="dxa"/>
            <w:tcBorders>
              <w:top w:val="nil"/>
              <w:left w:val="nil"/>
              <w:bottom w:val="nil"/>
              <w:right w:val="nil"/>
            </w:tcBorders>
          </w:tcPr>
          <w:p w:rsidR="00013EB8" w:rsidRDefault="00013EB8">
            <w:pPr>
              <w:widowControl w:val="0"/>
              <w:numPr>
                <w:ilvl w:val="12"/>
                <w:numId w:val="0"/>
              </w:numPr>
              <w:rPr>
                <w:b/>
              </w:rPr>
            </w:pPr>
            <w:r w:rsidRPr="007A4B37">
              <w:rPr>
                <w:b/>
              </w:rPr>
              <w:t>4.71</w:t>
            </w:r>
          </w:p>
        </w:tc>
        <w:tc>
          <w:tcPr>
            <w:tcW w:w="9870" w:type="dxa"/>
            <w:tcBorders>
              <w:top w:val="nil"/>
              <w:left w:val="nil"/>
              <w:bottom w:val="nil"/>
              <w:right w:val="nil"/>
            </w:tcBorders>
          </w:tcPr>
          <w:p w:rsidR="00013EB8" w:rsidRDefault="00013EB8">
            <w:pPr>
              <w:widowControl w:val="0"/>
              <w:numPr>
                <w:ilvl w:val="12"/>
                <w:numId w:val="0"/>
              </w:numPr>
            </w:pPr>
            <w:r>
              <w:rPr>
                <w:b/>
              </w:rPr>
              <w:t>Measurement of ankylosis and joint motion</w:t>
            </w:r>
            <w:r>
              <w:t xml:space="preserve"> – anatomical position is 0 except for shoulder rotation and supination and pronation of the forearm </w:t>
            </w:r>
          </w:p>
        </w:tc>
      </w:tr>
    </w:tbl>
    <w:p w:rsidR="00013EB8" w:rsidRDefault="00013EB8">
      <w:pPr>
        <w:widowControl w:val="0"/>
        <w:numPr>
          <w:ilvl w:val="12"/>
          <w:numId w:val="0"/>
        </w:numPr>
        <w:tabs>
          <w:tab w:val="left" w:pos="660"/>
          <w:tab w:val="left" w:pos="9387"/>
        </w:tabs>
        <w:rPr>
          <w:b/>
          <w:i/>
          <w:color w:val="008000"/>
          <w:u w:val="single"/>
        </w:rPr>
      </w:pPr>
    </w:p>
    <w:p w:rsidR="00013EB8" w:rsidRDefault="00013EB8">
      <w:pPr>
        <w:widowControl w:val="0"/>
        <w:numPr>
          <w:ilvl w:val="12"/>
          <w:numId w:val="0"/>
        </w:numPr>
        <w:tabs>
          <w:tab w:val="left" w:pos="660"/>
          <w:tab w:val="left" w:pos="9387"/>
        </w:tabs>
        <w:rPr>
          <w:b/>
          <w:u w:val="single"/>
        </w:rPr>
      </w:pPr>
      <w:r>
        <w:rPr>
          <w:b/>
          <w:u w:val="single"/>
        </w:rPr>
        <w:t>4.71a</w:t>
      </w:r>
      <w:r>
        <w:rPr>
          <w:b/>
          <w:u w:val="single"/>
        </w:rPr>
        <w:tab/>
        <w:t>Schedule of Ratings—Musculoskeletal System</w:t>
      </w:r>
    </w:p>
    <w:p w:rsidR="00013EB8" w:rsidRDefault="00013EB8">
      <w:pPr>
        <w:pStyle w:val="Heading1"/>
        <w:keepNext w:val="0"/>
        <w:widowControl w:val="0"/>
        <w:numPr>
          <w:ilvl w:val="12"/>
          <w:numId w:val="0"/>
        </w:numPr>
      </w:pPr>
    </w:p>
    <w:p w:rsidR="00013EB8" w:rsidRDefault="00EC3C06">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changed 5/7/96 (DC 5025)</w:t>
      </w: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i/>
          <w:iCs/>
        </w:rPr>
      </w:pPr>
      <w:r>
        <w:rPr>
          <w:i/>
        </w:rPr>
        <w:t xml:space="preserve">changed 8/26/02 (DCs 5216-5230), </w:t>
      </w:r>
      <w:hyperlink r:id="rId499" w:history="1">
        <w:r>
          <w:rPr>
            <w:rStyle w:val="Hyperlink"/>
            <w:i/>
            <w:sz w:val="16"/>
          </w:rPr>
          <w:t>prior to 8/26/02</w:t>
        </w:r>
      </w:hyperlink>
      <w:r>
        <w:rPr>
          <w:i/>
          <w:sz w:val="16"/>
        </w:rPr>
        <w:t xml:space="preserve"> &amp;</w:t>
      </w:r>
      <w:r>
        <w:rPr>
          <w:i/>
          <w:iCs/>
          <w:sz w:val="16"/>
        </w:rPr>
        <w:t xml:space="preserve"> see “</w:t>
      </w:r>
      <w:r w:rsidRPr="00EA0611">
        <w:rPr>
          <w:i/>
          <w:iCs/>
          <w:sz w:val="16"/>
        </w:rPr>
        <w:t>Historic Part 4 Sections</w:t>
      </w:r>
      <w:r>
        <w:rPr>
          <w:i/>
          <w:iCs/>
          <w:sz w:val="16"/>
        </w:rPr>
        <w:t>”</w:t>
      </w:r>
      <w:r w:rsidR="00707F9F" w:rsidRPr="00707F9F">
        <w:rPr>
          <w:i/>
          <w:iCs/>
          <w:sz w:val="16"/>
        </w:rPr>
        <w:t xml:space="preserve"> </w:t>
      </w:r>
      <w:r w:rsidR="00707F9F">
        <w:rPr>
          <w:i/>
          <w:iCs/>
          <w:sz w:val="16"/>
        </w:rPr>
        <w:t>in Rating Reference</w:t>
      </w:r>
      <w:r w:rsidR="005F5D1E">
        <w:rPr>
          <w:i/>
          <w:iCs/>
          <w:sz w:val="16"/>
        </w:rPr>
        <w:t>s</w:t>
      </w:r>
      <w:r w:rsidR="00707F9F">
        <w:rPr>
          <w:i/>
          <w:iCs/>
          <w:sz w:val="16"/>
        </w:rPr>
        <w:t xml:space="preserve"> Archive</w:t>
      </w: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i/>
          <w:iCs/>
        </w:rPr>
      </w:pPr>
      <w:r>
        <w:rPr>
          <w:i/>
        </w:rPr>
        <w:t xml:space="preserve">changed 9/23/02 (DC 5293), </w:t>
      </w:r>
      <w:hyperlink r:id="rId500" w:history="1">
        <w:r>
          <w:rPr>
            <w:rStyle w:val="Hyperlink"/>
            <w:i/>
            <w:sz w:val="16"/>
          </w:rPr>
          <w:t>prior to 9/23/02</w:t>
        </w:r>
      </w:hyperlink>
      <w:r>
        <w:rPr>
          <w:i/>
        </w:rPr>
        <w:t xml:space="preserve"> </w:t>
      </w:r>
      <w:r>
        <w:rPr>
          <w:i/>
          <w:sz w:val="16"/>
        </w:rPr>
        <w:t>&amp;</w:t>
      </w:r>
      <w:r>
        <w:rPr>
          <w:i/>
          <w:iCs/>
          <w:sz w:val="16"/>
        </w:rPr>
        <w:t xml:space="preserve"> see “</w:t>
      </w:r>
      <w:r w:rsidRPr="00EA0611">
        <w:rPr>
          <w:i/>
          <w:iCs/>
          <w:sz w:val="16"/>
        </w:rPr>
        <w:t>Historic Part 4 Sections</w:t>
      </w:r>
      <w:r>
        <w:rPr>
          <w:i/>
          <w:iCs/>
          <w:sz w:val="16"/>
        </w:rPr>
        <w:t>”</w:t>
      </w:r>
      <w:r w:rsidR="00707F9F" w:rsidRPr="00707F9F">
        <w:rPr>
          <w:i/>
          <w:iCs/>
          <w:sz w:val="16"/>
        </w:rPr>
        <w:t xml:space="preserve"> </w:t>
      </w:r>
      <w:r w:rsidR="00707F9F">
        <w:rPr>
          <w:i/>
          <w:iCs/>
          <w:sz w:val="16"/>
        </w:rPr>
        <w:t>in Rating Reference</w:t>
      </w:r>
      <w:r w:rsidR="005F5D1E">
        <w:rPr>
          <w:i/>
          <w:iCs/>
          <w:sz w:val="16"/>
        </w:rPr>
        <w:t>s</w:t>
      </w:r>
      <w:r w:rsidR="00707F9F">
        <w:rPr>
          <w:i/>
          <w:iCs/>
          <w:sz w:val="16"/>
        </w:rPr>
        <w:t xml:space="preserve"> Archive</w:t>
      </w: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i/>
          <w:iCs/>
          <w:sz w:val="16"/>
        </w:rPr>
      </w:pPr>
      <w:r>
        <w:rPr>
          <w:i/>
        </w:rPr>
        <w:t xml:space="preserve">changed 9/26/03 (DCs 5285 to 5293 changed and now called 5235 to 5243), </w:t>
      </w:r>
      <w:r>
        <w:rPr>
          <w:i/>
          <w:iCs/>
          <w:sz w:val="16"/>
        </w:rPr>
        <w:t>see “</w:t>
      </w:r>
      <w:r w:rsidRPr="00EA0611">
        <w:rPr>
          <w:i/>
          <w:iCs/>
          <w:sz w:val="16"/>
        </w:rPr>
        <w:t>Historic Part 4 Sections</w:t>
      </w:r>
      <w:r>
        <w:rPr>
          <w:i/>
          <w:iCs/>
          <w:sz w:val="16"/>
        </w:rPr>
        <w:t>”</w:t>
      </w:r>
      <w:r w:rsidR="00707F9F" w:rsidRPr="00707F9F">
        <w:rPr>
          <w:i/>
          <w:iCs/>
          <w:sz w:val="16"/>
        </w:rPr>
        <w:t xml:space="preserve"> </w:t>
      </w:r>
      <w:r w:rsidR="00707F9F">
        <w:rPr>
          <w:i/>
          <w:iCs/>
          <w:sz w:val="16"/>
        </w:rPr>
        <w:t>in Rating Reference</w:t>
      </w:r>
      <w:r w:rsidR="005F5D1E">
        <w:rPr>
          <w:i/>
          <w:iCs/>
          <w:sz w:val="16"/>
        </w:rPr>
        <w:t>s</w:t>
      </w:r>
      <w:r w:rsidR="00707F9F">
        <w:rPr>
          <w:i/>
          <w:iCs/>
          <w:sz w:val="16"/>
        </w:rPr>
        <w:t xml:space="preserve"> Archive</w:t>
      </w:r>
    </w:p>
    <w:p w:rsidR="00941592" w:rsidRDefault="00941592">
      <w:pPr>
        <w:widowControl w:val="0"/>
        <w:numPr>
          <w:ilvl w:val="12"/>
          <w:numId w:val="0"/>
        </w:numPr>
        <w:pBdr>
          <w:top w:val="single" w:sz="4" w:space="1" w:color="auto"/>
          <w:left w:val="single" w:sz="4" w:space="4" w:color="auto"/>
          <w:bottom w:val="single" w:sz="4" w:space="1" w:color="auto"/>
          <w:right w:val="single" w:sz="4" w:space="4" w:color="auto"/>
        </w:pBdr>
        <w:rPr>
          <w:i/>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sidR="00EC3C06">
        <w:rPr>
          <w:bCs/>
          <w:i/>
          <w:iCs/>
          <w:sz w:val="18"/>
        </w:rPr>
        <w:t>, search 4.71</w:t>
      </w:r>
      <w:r w:rsidR="00D11C3E">
        <w:rPr>
          <w:bCs/>
          <w:i/>
          <w:iCs/>
          <w:sz w:val="18"/>
        </w:rPr>
        <w:t>; or in CPKM</w:t>
      </w:r>
    </w:p>
    <w:p w:rsidR="00013EB8" w:rsidRDefault="00013EB8">
      <w:pPr>
        <w:widowControl w:val="0"/>
        <w:numPr>
          <w:ilvl w:val="12"/>
          <w:numId w:val="0"/>
        </w:numPr>
        <w:rPr>
          <w:b/>
          <w:i/>
        </w:rPr>
      </w:pPr>
    </w:p>
    <w:p w:rsidR="00013EB8" w:rsidRDefault="00013EB8">
      <w:pPr>
        <w:widowControl w:val="0"/>
        <w:numPr>
          <w:ilvl w:val="12"/>
          <w:numId w:val="0"/>
        </w:numPr>
      </w:pPr>
      <w:r>
        <w:rPr>
          <w:i/>
        </w:rPr>
        <w:t xml:space="preserve">1945 schedule added bilateral factor (if rated after that &amp; not separated, it’s a CUE; </w:t>
      </w:r>
      <w:r>
        <w:rPr>
          <w:b/>
          <w:i/>
        </w:rPr>
        <w:t>3.952</w:t>
      </w:r>
      <w:r>
        <w:rPr>
          <w:i/>
        </w:rPr>
        <w:t xml:space="preserve"> says that 1925 schedule ratings “were the basis of compensation on 4/1/46”)</w:t>
      </w:r>
      <w:r>
        <w:t xml:space="preserve">; </w:t>
      </w:r>
      <w:r>
        <w:rPr>
          <w:b/>
          <w:highlight w:val="cyan"/>
        </w:rPr>
        <w:t>1945 SCHEDULE EFFECTIVE 4/2/46</w:t>
      </w:r>
    </w:p>
    <w:p w:rsidR="00013EB8" w:rsidRDefault="00013EB8">
      <w:pPr>
        <w:widowControl w:val="0"/>
        <w:numPr>
          <w:ilvl w:val="12"/>
          <w:numId w:val="0"/>
        </w:numPr>
        <w:rPr>
          <w:i/>
        </w:rPr>
      </w:pPr>
    </w:p>
    <w:p w:rsidR="00013EB8" w:rsidRDefault="00013EB8">
      <w:pPr>
        <w:widowControl w:val="0"/>
        <w:numPr>
          <w:ilvl w:val="12"/>
          <w:numId w:val="0"/>
        </w:numPr>
        <w:rPr>
          <w:i/>
        </w:rPr>
      </w:pPr>
      <w:r>
        <w:rPr>
          <w:i/>
        </w:rPr>
        <w:t>degenerative changes are:  productive changes, compartment narro</w:t>
      </w:r>
      <w:r w:rsidR="00046B16">
        <w:rPr>
          <w:i/>
        </w:rPr>
        <w:t xml:space="preserve">wing, spurring, osteophytes, </w:t>
      </w:r>
      <w:r>
        <w:rPr>
          <w:i/>
        </w:rPr>
        <w:t>calcification</w:t>
      </w:r>
      <w:r w:rsidR="00046B16">
        <w:rPr>
          <w:i/>
        </w:rPr>
        <w:t>, per QTC calcaneal bone spurs are considered degenerative changes</w:t>
      </w:r>
    </w:p>
    <w:p w:rsidR="00013EB8" w:rsidRDefault="00013EB8">
      <w:pPr>
        <w:widowControl w:val="0"/>
        <w:numPr>
          <w:ilvl w:val="12"/>
          <w:numId w:val="0"/>
        </w:numPr>
        <w:rPr>
          <w:i/>
        </w:rPr>
      </w:pPr>
    </w:p>
    <w:p w:rsidR="00013EB8" w:rsidRDefault="00013EB8">
      <w:pPr>
        <w:widowControl w:val="0"/>
        <w:rPr>
          <w:iCs/>
        </w:rPr>
      </w:pPr>
    </w:p>
    <w:p w:rsidR="00013EB8" w:rsidRDefault="00013EB8">
      <w:pPr>
        <w:pStyle w:val="Heading1"/>
        <w:keepNext w:val="0"/>
        <w:widowControl w:val="0"/>
        <w:numPr>
          <w:ilvl w:val="12"/>
          <w:numId w:val="0"/>
        </w:numPr>
        <w:rPr>
          <w:b/>
          <w:bCs/>
          <w:i w:val="0"/>
          <w:iCs w:val="0"/>
          <w:sz w:val="20"/>
        </w:rPr>
      </w:pPr>
      <w:r>
        <w:rPr>
          <w:b/>
          <w:bCs/>
          <w:i w:val="0"/>
          <w:iCs w:val="0"/>
          <w:sz w:val="20"/>
          <w:u w:val="single"/>
        </w:rPr>
        <w:t>ACUTE, SUBACUTE, AND CHRONIC DISEASES</w:t>
      </w:r>
      <w:r>
        <w:rPr>
          <w:b/>
          <w:bCs/>
          <w:i w:val="0"/>
          <w:iCs w:val="0"/>
          <w:sz w:val="20"/>
        </w:rPr>
        <w:t xml:space="preserve"> – </w:t>
      </w:r>
      <w:r w:rsidRPr="007A4B37">
        <w:rPr>
          <w:b/>
          <w:bCs/>
          <w:i w:val="0"/>
          <w:iCs w:val="0"/>
          <w:sz w:val="20"/>
        </w:rPr>
        <w:t>4.43</w:t>
      </w:r>
    </w:p>
    <w:p w:rsidR="00013EB8" w:rsidRDefault="00013EB8">
      <w:pPr>
        <w:widowControl w:val="0"/>
        <w:numPr>
          <w:ilvl w:val="12"/>
          <w:numId w:val="0"/>
        </w:numPr>
        <w:ind w:left="720" w:hanging="720"/>
        <w:rPr>
          <w:i/>
        </w:rPr>
      </w:pPr>
      <w:r>
        <w:t>5000</w:t>
      </w:r>
      <w:r>
        <w:tab/>
        <w:t xml:space="preserve">Osteomyelitis, acute, subacute, or chronic </w:t>
      </w:r>
      <w:r w:rsidRPr="00525152">
        <w:t xml:space="preserve">– </w:t>
      </w:r>
      <w:r w:rsidR="002F795E">
        <w:rPr>
          <w:b/>
          <w:bCs/>
        </w:rPr>
        <w:t>III.iv.4.B.5</w:t>
      </w:r>
      <w:r>
        <w:rPr>
          <w:i/>
        </w:rPr>
        <w:t>; bone &amp; bone marrow dying, “sequestrum” is dead tissue separated from the surrounding tissue; leave at 10% because can recur, no 0%</w:t>
      </w:r>
    </w:p>
    <w:p w:rsidR="007E5875" w:rsidRDefault="007E5875" w:rsidP="007E5875">
      <w:pPr>
        <w:widowControl w:val="0"/>
        <w:numPr>
          <w:ilvl w:val="12"/>
          <w:numId w:val="0"/>
        </w:numPr>
        <w:ind w:left="720"/>
        <w:rPr>
          <w:b/>
          <w:i/>
        </w:rPr>
      </w:pPr>
      <w:r w:rsidRPr="006F5847">
        <w:rPr>
          <w:b/>
          <w:i/>
        </w:rPr>
        <w:t>6/30/03 Medicine for Adjudicators Broadcast- Musculoskeletal System</w:t>
      </w:r>
    </w:p>
    <w:p w:rsidR="007E5875" w:rsidRDefault="007E5875" w:rsidP="007E5875">
      <w:pPr>
        <w:pStyle w:val="Footer"/>
        <w:widowControl w:val="0"/>
        <w:numPr>
          <w:ilvl w:val="12"/>
          <w:numId w:val="0"/>
        </w:numPr>
        <w:tabs>
          <w:tab w:val="clear" w:pos="4320"/>
          <w:tab w:val="clear" w:pos="8640"/>
        </w:tabs>
        <w:ind w:left="720"/>
      </w:pPr>
      <w:r>
        <w:rPr>
          <w:i/>
        </w:rPr>
        <w:t>osteomyelitis</w:t>
      </w:r>
      <w:r>
        <w:t xml:space="preserve"> classified by location (acute, subacute), sequestra- large dead bone fragments</w:t>
      </w:r>
    </w:p>
    <w:p w:rsidR="007E5875" w:rsidRDefault="007E5875" w:rsidP="007E5875">
      <w:pPr>
        <w:pStyle w:val="Footer"/>
        <w:widowControl w:val="0"/>
        <w:numPr>
          <w:ilvl w:val="12"/>
          <w:numId w:val="0"/>
        </w:numPr>
        <w:tabs>
          <w:tab w:val="clear" w:pos="4320"/>
          <w:tab w:val="clear" w:pos="8640"/>
        </w:tabs>
        <w:ind w:left="720"/>
      </w:pPr>
      <w:r>
        <w:t>constitutional sx- fatigue, fevers, weight loss, amyloid liver changes &amp; anemia come from chronic osteomyelitis, but are RARE, inactive is 5 years w/o infection, need 2 episodes after initial for 10%</w:t>
      </w:r>
    </w:p>
    <w:p w:rsidR="007E5875" w:rsidRDefault="007E5875">
      <w:pPr>
        <w:widowControl w:val="0"/>
        <w:numPr>
          <w:ilvl w:val="12"/>
          <w:numId w:val="0"/>
        </w:numPr>
        <w:ind w:left="720" w:hanging="720"/>
        <w:rPr>
          <w:i/>
        </w:rPr>
      </w:pPr>
    </w:p>
    <w:p w:rsidR="00013EB8" w:rsidRDefault="00013EB8">
      <w:pPr>
        <w:widowControl w:val="0"/>
        <w:numPr>
          <w:ilvl w:val="12"/>
          <w:numId w:val="0"/>
        </w:numPr>
        <w:ind w:left="720" w:hanging="720"/>
      </w:pPr>
      <w:r>
        <w:t>5001</w:t>
      </w:r>
      <w:r>
        <w:tab/>
        <w:t>Bones and joints, tuberculosis of, active or inactive</w:t>
      </w:r>
    </w:p>
    <w:p w:rsidR="007E5875" w:rsidRDefault="007E5875">
      <w:pPr>
        <w:widowControl w:val="0"/>
        <w:numPr>
          <w:ilvl w:val="12"/>
          <w:numId w:val="0"/>
        </w:numPr>
        <w:ind w:left="720" w:hanging="720"/>
        <w:rPr>
          <w:i/>
        </w:rPr>
      </w:pPr>
    </w:p>
    <w:p w:rsidR="00013EB8" w:rsidRDefault="00013EB8">
      <w:pPr>
        <w:widowControl w:val="0"/>
        <w:numPr>
          <w:ilvl w:val="12"/>
          <w:numId w:val="0"/>
        </w:numPr>
        <w:ind w:left="720" w:hanging="720"/>
        <w:rPr>
          <w:i/>
        </w:rPr>
      </w:pPr>
      <w:r>
        <w:rPr>
          <w:color w:val="FF0000"/>
        </w:rPr>
        <w:t>5002</w:t>
      </w:r>
      <w:r>
        <w:rPr>
          <w:color w:val="FF0000"/>
        </w:rPr>
        <w:tab/>
        <w:t>Arthritis, rheumatoid (</w:t>
      </w:r>
      <w:r w:rsidRPr="00525152">
        <w:rPr>
          <w:color w:val="FF0000"/>
        </w:rPr>
        <w:t>atrophic)</w:t>
      </w:r>
      <w:r w:rsidRPr="00525152">
        <w:t xml:space="preserve"> – </w:t>
      </w:r>
      <w:r w:rsidR="002F795E">
        <w:rPr>
          <w:b/>
          <w:bCs/>
        </w:rPr>
        <w:t>III.iv.4.B.1</w:t>
      </w:r>
      <w:r w:rsidRPr="00525152">
        <w:rPr>
          <w:i/>
        </w:rPr>
        <w:t>;</w:t>
      </w:r>
      <w:r>
        <w:rPr>
          <w:i/>
        </w:rPr>
        <w:t xml:space="preserve"> need blood work/lab findings, in spine called rheumatoid spondylitis, ankylosing spondylitis or Marie-Strumpell disease</w:t>
      </w:r>
    </w:p>
    <w:p w:rsidR="007E5875" w:rsidRPr="005916F3" w:rsidRDefault="007E5875" w:rsidP="005916F3">
      <w:pPr>
        <w:widowControl w:val="0"/>
        <w:numPr>
          <w:ilvl w:val="12"/>
          <w:numId w:val="0"/>
        </w:numPr>
        <w:ind w:left="720"/>
      </w:pPr>
    </w:p>
    <w:p w:rsidR="00A1674F" w:rsidRDefault="00013EB8" w:rsidP="00D4107D">
      <w:pPr>
        <w:widowControl w:val="0"/>
        <w:numPr>
          <w:ilvl w:val="12"/>
          <w:numId w:val="0"/>
        </w:numPr>
        <w:spacing w:after="120"/>
      </w:pPr>
      <w:r>
        <w:rPr>
          <w:color w:val="FF0000"/>
        </w:rPr>
        <w:t>5003</w:t>
      </w:r>
      <w:r>
        <w:rPr>
          <w:color w:val="FF0000"/>
        </w:rPr>
        <w:tab/>
        <w:t xml:space="preserve">Arthritis, </w:t>
      </w:r>
      <w:r>
        <w:rPr>
          <w:color w:val="FF0000"/>
          <w:u w:val="single"/>
        </w:rPr>
        <w:t>degenerative</w:t>
      </w:r>
      <w:r>
        <w:rPr>
          <w:color w:val="FF0000"/>
        </w:rPr>
        <w:t xml:space="preserve"> (hypertrophic or osteoarthritis)</w:t>
      </w:r>
      <w:r>
        <w:t xml:space="preserve"> – </w:t>
      </w:r>
    </w:p>
    <w:p w:rsidR="006F5847" w:rsidRPr="00723461" w:rsidRDefault="00723461" w:rsidP="00F063AF">
      <w:pPr>
        <w:pStyle w:val="ListParagraph"/>
        <w:widowControl w:val="0"/>
        <w:numPr>
          <w:ilvl w:val="0"/>
          <w:numId w:val="356"/>
        </w:numPr>
        <w:spacing w:after="120" w:line="240" w:lineRule="auto"/>
        <w:ind w:left="720"/>
        <w:rPr>
          <w:rFonts w:ascii="Arial" w:hAnsi="Arial"/>
          <w:b/>
          <w:i/>
          <w:sz w:val="20"/>
        </w:rPr>
      </w:pPr>
      <w:r w:rsidRPr="00723461">
        <w:rPr>
          <w:rFonts w:ascii="Arial" w:hAnsi="Arial"/>
          <w:b/>
          <w:i/>
          <w:sz w:val="20"/>
        </w:rPr>
        <w:t>9/23/04 Evaluating Degenerative &amp; Traumatic Arthritis Claims Broadcast</w:t>
      </w:r>
    </w:p>
    <w:p w:rsidR="00D4107D" w:rsidRPr="00D4107D" w:rsidRDefault="002F795E" w:rsidP="00F063AF">
      <w:pPr>
        <w:pStyle w:val="ListParagraph"/>
        <w:widowControl w:val="0"/>
        <w:numPr>
          <w:ilvl w:val="1"/>
          <w:numId w:val="246"/>
        </w:numPr>
        <w:tabs>
          <w:tab w:val="left" w:pos="720"/>
        </w:tabs>
        <w:spacing w:after="120" w:line="240" w:lineRule="auto"/>
        <w:ind w:left="720"/>
        <w:rPr>
          <w:rFonts w:ascii="Arial" w:hAnsi="Arial"/>
          <w:i/>
          <w:sz w:val="20"/>
          <w:szCs w:val="20"/>
        </w:rPr>
      </w:pPr>
      <w:r>
        <w:rPr>
          <w:rFonts w:ascii="Arial" w:hAnsi="Arial"/>
          <w:b/>
          <w:bCs/>
          <w:sz w:val="20"/>
          <w:szCs w:val="20"/>
        </w:rPr>
        <w:t>III.iv.4.B</w:t>
      </w:r>
    </w:p>
    <w:p w:rsidR="00D4107D" w:rsidRPr="0050059B" w:rsidRDefault="00D4107D" w:rsidP="00F063AF">
      <w:pPr>
        <w:pStyle w:val="ListParagraph"/>
        <w:widowControl w:val="0"/>
        <w:numPr>
          <w:ilvl w:val="1"/>
          <w:numId w:val="246"/>
        </w:numPr>
        <w:tabs>
          <w:tab w:val="left" w:pos="720"/>
        </w:tabs>
        <w:spacing w:after="120" w:line="240" w:lineRule="auto"/>
        <w:ind w:left="720"/>
        <w:rPr>
          <w:rFonts w:ascii="Arial" w:hAnsi="Arial"/>
          <w:i/>
          <w:sz w:val="20"/>
          <w:szCs w:val="20"/>
        </w:rPr>
      </w:pPr>
      <w:r w:rsidRPr="00D4107D">
        <w:rPr>
          <w:rFonts w:ascii="Arial" w:hAnsi="Arial"/>
          <w:bCs/>
          <w:sz w:val="20"/>
          <w:szCs w:val="20"/>
        </w:rPr>
        <w:t>Note 1 means the 10% &amp; 20% ratings for arthritis under 5003 based on x-ray findings are not allowed if there are other joints with arthritis that have compensable evaluations based on limitation of motion</w:t>
      </w:r>
      <w:r>
        <w:rPr>
          <w:rFonts w:ascii="Arial" w:hAnsi="Arial"/>
          <w:bCs/>
          <w:sz w:val="20"/>
          <w:szCs w:val="20"/>
        </w:rPr>
        <w:t xml:space="preserve"> (this was detailed in </w:t>
      </w:r>
      <w:r w:rsidRPr="00D4107D">
        <w:rPr>
          <w:rFonts w:ascii="Arial" w:hAnsi="Arial"/>
          <w:b/>
          <w:bCs/>
          <w:sz w:val="20"/>
          <w:szCs w:val="20"/>
        </w:rPr>
        <w:t>FAQ 9/29/03 – Arthritis &amp; DC 5003</w:t>
      </w:r>
      <w:r>
        <w:rPr>
          <w:rFonts w:ascii="Arial" w:hAnsi="Arial"/>
          <w:bCs/>
          <w:sz w:val="20"/>
          <w:szCs w:val="20"/>
        </w:rPr>
        <w:t xml:space="preserve">, which is no longer available, but is discussed on VA Pulse, </w:t>
      </w:r>
      <w:r w:rsidRPr="006A627B">
        <w:rPr>
          <w:rFonts w:ascii="Arial" w:hAnsi="Arial"/>
          <w:bCs/>
          <w:i/>
          <w:sz w:val="20"/>
          <w:szCs w:val="20"/>
        </w:rPr>
        <w:t>https://www.vapulse.net/message/46345</w:t>
      </w:r>
      <w:r>
        <w:rPr>
          <w:rFonts w:ascii="Arial" w:hAnsi="Arial"/>
          <w:bCs/>
          <w:sz w:val="20"/>
          <w:szCs w:val="20"/>
        </w:rPr>
        <w:t xml:space="preserve"> in reference to a needed update of </w:t>
      </w:r>
      <w:r w:rsidRPr="002F795E">
        <w:rPr>
          <w:rFonts w:ascii="Arial" w:hAnsi="Arial"/>
          <w:b/>
          <w:bCs/>
          <w:sz w:val="20"/>
          <w:szCs w:val="20"/>
          <w:highlight w:val="yellow"/>
        </w:rPr>
        <w:t>III.iv.4.A.8.a</w:t>
      </w:r>
      <w:r>
        <w:rPr>
          <w:rFonts w:ascii="Arial" w:hAnsi="Arial"/>
          <w:bCs/>
          <w:sz w:val="20"/>
          <w:szCs w:val="20"/>
        </w:rPr>
        <w:t xml:space="preserve">, AND in </w:t>
      </w:r>
      <w:r>
        <w:rPr>
          <w:rFonts w:ascii="Arial" w:hAnsi="Arial"/>
          <w:b/>
          <w:i/>
          <w:sz w:val="20"/>
          <w:szCs w:val="20"/>
        </w:rPr>
        <w:t>June 2012</w:t>
      </w:r>
      <w:r w:rsidRPr="00EA0611">
        <w:rPr>
          <w:rFonts w:ascii="Arial" w:hAnsi="Arial"/>
          <w:b/>
          <w:i/>
          <w:sz w:val="20"/>
          <w:szCs w:val="20"/>
        </w:rPr>
        <w:t xml:space="preserve"> Compensation Service Bulletin (CSB)</w:t>
      </w:r>
      <w:r w:rsidR="00A25740">
        <w:rPr>
          <w:rFonts w:ascii="Arial" w:hAnsi="Arial"/>
          <w:bCs/>
          <w:sz w:val="20"/>
          <w:szCs w:val="20"/>
        </w:rPr>
        <w:t>)</w:t>
      </w:r>
      <w:r w:rsidR="00037BBC">
        <w:rPr>
          <w:rFonts w:ascii="Arial" w:hAnsi="Arial"/>
          <w:bCs/>
          <w:sz w:val="20"/>
          <w:szCs w:val="20"/>
        </w:rPr>
        <w:t xml:space="preserve">, example </w:t>
      </w:r>
      <w:r w:rsidR="00037BBC" w:rsidRPr="008A2FE5">
        <w:rPr>
          <w:rFonts w:ascii="Arial" w:hAnsi="Arial"/>
          <w:bCs/>
          <w:sz w:val="20"/>
          <w:szCs w:val="20"/>
        </w:rPr>
        <w:t xml:space="preserve">under </w:t>
      </w:r>
      <w:r w:rsidR="008A2FE5" w:rsidRPr="008A2FE5">
        <w:rPr>
          <w:rFonts w:ascii="Arial" w:hAnsi="Arial"/>
          <w:b/>
          <w:bCs/>
          <w:sz w:val="20"/>
          <w:szCs w:val="20"/>
        </w:rPr>
        <w:t>III.iv.4.B.4.</w:t>
      </w:r>
      <w:r w:rsidR="00037BBC" w:rsidRPr="008A2FE5">
        <w:rPr>
          <w:rFonts w:ascii="Arial" w:hAnsi="Arial"/>
          <w:b/>
          <w:bCs/>
          <w:sz w:val="20"/>
          <w:szCs w:val="20"/>
        </w:rPr>
        <w:t>d</w:t>
      </w:r>
      <w:r w:rsidR="00037BBC" w:rsidRPr="008A2FE5">
        <w:rPr>
          <w:rFonts w:ascii="Arial" w:hAnsi="Arial"/>
          <w:bCs/>
          <w:sz w:val="20"/>
          <w:szCs w:val="20"/>
        </w:rPr>
        <w:t xml:space="preserve"> as</w:t>
      </w:r>
      <w:r w:rsidR="00037BBC">
        <w:rPr>
          <w:rFonts w:ascii="Arial" w:hAnsi="Arial"/>
          <w:bCs/>
          <w:sz w:val="20"/>
          <w:szCs w:val="20"/>
        </w:rPr>
        <w:t xml:space="preserve"> of 1/11/16</w:t>
      </w:r>
    </w:p>
    <w:p w:rsidR="0050059B" w:rsidRDefault="0050059B" w:rsidP="0050059B">
      <w:pPr>
        <w:widowControl w:val="0"/>
        <w:pBdr>
          <w:top w:val="single" w:sz="4" w:space="1" w:color="auto"/>
          <w:left w:val="single" w:sz="4" w:space="4" w:color="auto"/>
          <w:bottom w:val="single" w:sz="4" w:space="1" w:color="auto"/>
          <w:right w:val="single" w:sz="4" w:space="4" w:color="auto"/>
        </w:pBdr>
        <w:tabs>
          <w:tab w:val="left" w:pos="720"/>
        </w:tabs>
        <w:spacing w:after="120"/>
        <w:ind w:left="720"/>
      </w:pPr>
      <w:r w:rsidRPr="0050059B">
        <w:t>Rating Note</w:t>
      </w:r>
      <w:r w:rsidR="007C2BCF">
        <w:t xml:space="preserve">:  </w:t>
      </w:r>
      <w:bookmarkStart w:id="112" w:name="_Hlk515609128"/>
      <w:r w:rsidR="007C2BCF">
        <w:t xml:space="preserve">Per </w:t>
      </w:r>
      <w:r w:rsidR="008A2FE5">
        <w:t>Note</w:t>
      </w:r>
      <w:r w:rsidR="007C2BCF">
        <w:t xml:space="preserve"> 1</w:t>
      </w:r>
      <w:r w:rsidR="008A2FE5">
        <w:t xml:space="preserve"> under 5003, “Important” under III.iv.4.B</w:t>
      </w:r>
      <w:r w:rsidRPr="008A2FE5">
        <w:t>.</w:t>
      </w:r>
      <w:r w:rsidR="002F795E" w:rsidRPr="008A2FE5">
        <w:t>3.b</w:t>
      </w:r>
      <w:r w:rsidR="008A2FE5" w:rsidRPr="008A2FE5">
        <w:t xml:space="preserve"> &amp; example under III.iv.4.B.4.d</w:t>
      </w:r>
      <w:r w:rsidRPr="008A2FE5">
        <w:t>, since</w:t>
      </w:r>
      <w:r w:rsidRPr="0050059B">
        <w:t xml:space="preserve"> a 10% evaluation is already assigned under 5003 for osteoarthritis, multiple joints, to include the bilateral knees, a </w:t>
      </w:r>
      <w:r w:rsidR="008A2FE5">
        <w:t>compensable</w:t>
      </w:r>
      <w:r w:rsidRPr="0050059B">
        <w:t xml:space="preserve"> evaluation is not being assigned for left shoulder impingement syndrome, rotator cuff tendonitis and acromioclavicular osteoarthritis (previously rated as left rotator cuff tendonitis with heal</w:t>
      </w:r>
      <w:r w:rsidR="00E929A6">
        <w:t>ed clavicle fracture per x-ray,</w:t>
      </w:r>
      <w:r w:rsidRPr="0050059B">
        <w:t xml:space="preserve"> DC 5201-5024) under DC 5201-5003.</w:t>
      </w:r>
      <w:bookmarkEnd w:id="112"/>
    </w:p>
    <w:p w:rsidR="0050059B" w:rsidRPr="004E1A52" w:rsidRDefault="0050059B" w:rsidP="0050059B">
      <w:pPr>
        <w:widowControl w:val="0"/>
        <w:pBdr>
          <w:top w:val="single" w:sz="4" w:space="1" w:color="auto"/>
          <w:left w:val="single" w:sz="4" w:space="4" w:color="auto"/>
          <w:bottom w:val="single" w:sz="4" w:space="1" w:color="auto"/>
          <w:right w:val="single" w:sz="4" w:space="4" w:color="auto"/>
        </w:pBdr>
        <w:tabs>
          <w:tab w:val="left" w:pos="720"/>
        </w:tabs>
        <w:ind w:left="720"/>
        <w:rPr>
          <w:i/>
        </w:rPr>
      </w:pPr>
      <w:r w:rsidRPr="004E1A52">
        <w:rPr>
          <w:i/>
        </w:rPr>
        <w:t>Add to Reasons for Decision:</w:t>
      </w:r>
    </w:p>
    <w:p w:rsidR="0050059B" w:rsidRDefault="0050059B" w:rsidP="0050059B">
      <w:pPr>
        <w:widowControl w:val="0"/>
        <w:pBdr>
          <w:top w:val="single" w:sz="4" w:space="1" w:color="auto"/>
          <w:left w:val="single" w:sz="4" w:space="4" w:color="auto"/>
          <w:bottom w:val="single" w:sz="4" w:space="1" w:color="auto"/>
          <w:right w:val="single" w:sz="4" w:space="4" w:color="auto"/>
        </w:pBdr>
        <w:tabs>
          <w:tab w:val="left" w:pos="720"/>
        </w:tabs>
        <w:spacing w:after="120"/>
        <w:ind w:left="720"/>
      </w:pPr>
      <w:r w:rsidRPr="0050059B">
        <w:t>Although the DBQ shows your disability warrants a 10 percent evaluation based on x-ray evidenc</w:t>
      </w:r>
      <w:r>
        <w:t xml:space="preserve">e of degenerative arthritis </w:t>
      </w:r>
      <w:r w:rsidRPr="0050059B">
        <w:t>with limitation of motion of the joint, VA regulations say that we cannot grant a 10 percent evaluation based on limit</w:t>
      </w:r>
      <w:r w:rsidR="004E1A52">
        <w:t>ation of motion of a joint if a compensable</w:t>
      </w:r>
      <w:r w:rsidRPr="0050059B">
        <w:t xml:space="preserve"> evaluation is assigned based on X-ray findings, and you already have a 10 percent evaluation for osteoarthritis, multiple joints, to include the bilateral knees based on X-ray findings.</w:t>
      </w:r>
    </w:p>
    <w:p w:rsidR="004E1A52" w:rsidRDefault="004E1A52" w:rsidP="004E1A52">
      <w:pPr>
        <w:widowControl w:val="0"/>
        <w:pBdr>
          <w:top w:val="single" w:sz="4" w:space="1" w:color="auto"/>
          <w:left w:val="single" w:sz="4" w:space="4" w:color="auto"/>
          <w:bottom w:val="single" w:sz="4" w:space="1" w:color="auto"/>
          <w:right w:val="single" w:sz="4" w:space="4" w:color="auto"/>
        </w:pBdr>
        <w:tabs>
          <w:tab w:val="left" w:pos="720"/>
        </w:tabs>
        <w:ind w:left="720"/>
      </w:pPr>
      <w:r>
        <w:t>A higher evaluation of 20 percent is not warranted for degenerative arthritis unless the evidence shows:</w:t>
      </w:r>
    </w:p>
    <w:p w:rsidR="004E1A52" w:rsidRDefault="004E1A52" w:rsidP="004E1A52">
      <w:pPr>
        <w:widowControl w:val="0"/>
        <w:pBdr>
          <w:top w:val="single" w:sz="4" w:space="1" w:color="auto"/>
          <w:left w:val="single" w:sz="4" w:space="4" w:color="auto"/>
          <w:bottom w:val="single" w:sz="4" w:space="1" w:color="auto"/>
          <w:right w:val="single" w:sz="4" w:space="4" w:color="auto"/>
        </w:pBdr>
        <w:tabs>
          <w:tab w:val="left" w:pos="720"/>
        </w:tabs>
        <w:ind w:left="720"/>
      </w:pPr>
      <w:r>
        <w:t xml:space="preserve"> • X-ray evidence of involvement of two or more major joints* or two or more minor joint groups, with occasional incapacitating exacerbations.</w:t>
      </w:r>
    </w:p>
    <w:p w:rsidR="004E1A52" w:rsidRDefault="004E1A52" w:rsidP="004E1A52">
      <w:pPr>
        <w:widowControl w:val="0"/>
        <w:pBdr>
          <w:top w:val="single" w:sz="4" w:space="1" w:color="auto"/>
          <w:left w:val="single" w:sz="4" w:space="4" w:color="auto"/>
          <w:bottom w:val="single" w:sz="4" w:space="1" w:color="auto"/>
          <w:right w:val="single" w:sz="4" w:space="4" w:color="auto"/>
        </w:pBdr>
        <w:tabs>
          <w:tab w:val="left" w:pos="720"/>
        </w:tabs>
        <w:spacing w:after="120"/>
        <w:ind w:left="720"/>
      </w:pPr>
      <w:r>
        <w:t>*including your bilateral knees and left shoulder</w:t>
      </w:r>
    </w:p>
    <w:p w:rsidR="0050059B" w:rsidRPr="004E1A52" w:rsidRDefault="0050059B" w:rsidP="004E1A52">
      <w:pPr>
        <w:widowControl w:val="0"/>
        <w:pBdr>
          <w:top w:val="single" w:sz="4" w:space="1" w:color="auto"/>
          <w:left w:val="single" w:sz="4" w:space="4" w:color="auto"/>
          <w:bottom w:val="single" w:sz="4" w:space="1" w:color="auto"/>
          <w:right w:val="single" w:sz="4" w:space="4" w:color="auto"/>
        </w:pBdr>
        <w:tabs>
          <w:tab w:val="left" w:pos="720"/>
        </w:tabs>
        <w:ind w:left="720"/>
        <w:rPr>
          <w:i/>
        </w:rPr>
      </w:pPr>
      <w:r w:rsidRPr="004E1A52">
        <w:rPr>
          <w:i/>
        </w:rPr>
        <w:t>*10% under 5003 says:</w:t>
      </w:r>
    </w:p>
    <w:p w:rsidR="0050059B" w:rsidRPr="0050059B" w:rsidRDefault="0050059B" w:rsidP="0050059B">
      <w:pPr>
        <w:widowControl w:val="0"/>
        <w:pBdr>
          <w:top w:val="single" w:sz="4" w:space="1" w:color="auto"/>
          <w:left w:val="single" w:sz="4" w:space="4" w:color="auto"/>
          <w:bottom w:val="single" w:sz="4" w:space="1" w:color="auto"/>
          <w:right w:val="single" w:sz="4" w:space="4" w:color="auto"/>
        </w:pBdr>
        <w:tabs>
          <w:tab w:val="left" w:pos="720"/>
        </w:tabs>
        <w:spacing w:after="120"/>
        <w:ind w:left="720"/>
      </w:pPr>
      <w:r w:rsidRPr="0050059B">
        <w:t>Please note: in the absence of arthritis, the above joints would warrant a noncompensable evaluation by themselves. Should there be any limitation of motion of any of these joints, or should the joint itself warrant a compensable evaluation by another means, these joints would be rated separately as appropriate.</w:t>
      </w:r>
    </w:p>
    <w:p w:rsidR="00013EB8" w:rsidRDefault="00013EB8">
      <w:pPr>
        <w:widowControl w:val="0"/>
        <w:numPr>
          <w:ilvl w:val="12"/>
          <w:numId w:val="0"/>
        </w:numPr>
        <w:rPr>
          <w:color w:val="FF0000"/>
        </w:rPr>
      </w:pPr>
      <w:r>
        <w:rPr>
          <w:color w:val="FF0000"/>
        </w:rPr>
        <w:t>5004</w:t>
      </w:r>
      <w:r>
        <w:rPr>
          <w:color w:val="FF0000"/>
        </w:rPr>
        <w:tab/>
        <w:t>Arthritis, gonorrheal</w:t>
      </w:r>
    </w:p>
    <w:p w:rsidR="00013EB8" w:rsidRDefault="00013EB8">
      <w:pPr>
        <w:widowControl w:val="0"/>
        <w:numPr>
          <w:ilvl w:val="12"/>
          <w:numId w:val="0"/>
        </w:numPr>
        <w:rPr>
          <w:color w:val="FF0000"/>
        </w:rPr>
      </w:pPr>
      <w:r>
        <w:rPr>
          <w:color w:val="FF0000"/>
        </w:rPr>
        <w:t>5005</w:t>
      </w:r>
      <w:r>
        <w:rPr>
          <w:color w:val="FF0000"/>
        </w:rPr>
        <w:tab/>
        <w:t>Arthritis, pneumococcic</w:t>
      </w:r>
    </w:p>
    <w:p w:rsidR="00013EB8" w:rsidRDefault="00013EB8">
      <w:pPr>
        <w:widowControl w:val="0"/>
        <w:numPr>
          <w:ilvl w:val="12"/>
          <w:numId w:val="0"/>
        </w:numPr>
        <w:rPr>
          <w:color w:val="FF0000"/>
        </w:rPr>
      </w:pPr>
      <w:r>
        <w:rPr>
          <w:color w:val="FF0000"/>
        </w:rPr>
        <w:t>5006</w:t>
      </w:r>
      <w:r>
        <w:rPr>
          <w:color w:val="FF0000"/>
        </w:rPr>
        <w:tab/>
        <w:t>Arthritis, typhoid</w:t>
      </w:r>
    </w:p>
    <w:p w:rsidR="00013EB8" w:rsidRDefault="00013EB8">
      <w:pPr>
        <w:widowControl w:val="0"/>
        <w:numPr>
          <w:ilvl w:val="12"/>
          <w:numId w:val="0"/>
        </w:numPr>
        <w:rPr>
          <w:color w:val="FF0000"/>
        </w:rPr>
      </w:pPr>
      <w:r>
        <w:rPr>
          <w:color w:val="FF0000"/>
        </w:rPr>
        <w:t>5007</w:t>
      </w:r>
      <w:r>
        <w:rPr>
          <w:color w:val="FF0000"/>
        </w:rPr>
        <w:tab/>
        <w:t>Arthritis, syphilitic</w:t>
      </w:r>
    </w:p>
    <w:p w:rsidR="00013EB8" w:rsidRDefault="00013EB8">
      <w:pPr>
        <w:widowControl w:val="0"/>
        <w:numPr>
          <w:ilvl w:val="12"/>
          <w:numId w:val="0"/>
        </w:numPr>
        <w:rPr>
          <w:color w:val="FF0000"/>
        </w:rPr>
      </w:pPr>
      <w:r>
        <w:rPr>
          <w:color w:val="FF0000"/>
        </w:rPr>
        <w:t>5008</w:t>
      </w:r>
      <w:r>
        <w:rPr>
          <w:color w:val="FF0000"/>
        </w:rPr>
        <w:tab/>
        <w:t>Arthritis, streptococcic</w:t>
      </w:r>
    </w:p>
    <w:p w:rsidR="00013EB8" w:rsidRDefault="00013EB8">
      <w:pPr>
        <w:widowControl w:val="0"/>
        <w:numPr>
          <w:ilvl w:val="12"/>
          <w:numId w:val="0"/>
        </w:numPr>
        <w:rPr>
          <w:color w:val="FF0000"/>
        </w:rPr>
      </w:pPr>
      <w:r>
        <w:rPr>
          <w:color w:val="FF0000"/>
        </w:rPr>
        <w:t>5009</w:t>
      </w:r>
      <w:r>
        <w:rPr>
          <w:color w:val="FF0000"/>
        </w:rPr>
        <w:tab/>
        <w:t>Arthritis, other types</w:t>
      </w:r>
    </w:p>
    <w:p w:rsidR="00A1674F" w:rsidRDefault="00013EB8">
      <w:pPr>
        <w:widowControl w:val="0"/>
        <w:numPr>
          <w:ilvl w:val="12"/>
          <w:numId w:val="0"/>
        </w:numPr>
        <w:rPr>
          <w:i/>
          <w:color w:val="00CCFF"/>
        </w:rPr>
      </w:pPr>
      <w:r>
        <w:rPr>
          <w:color w:val="FF0000"/>
        </w:rPr>
        <w:t>5010</w:t>
      </w:r>
      <w:r>
        <w:rPr>
          <w:color w:val="FF0000"/>
        </w:rPr>
        <w:tab/>
        <w:t xml:space="preserve">Arthritis, due to </w:t>
      </w:r>
      <w:r>
        <w:rPr>
          <w:color w:val="FF0000"/>
          <w:u w:val="single"/>
        </w:rPr>
        <w:t>trauma</w:t>
      </w:r>
      <w:r>
        <w:rPr>
          <w:i/>
          <w:color w:val="FF0000"/>
        </w:rPr>
        <w:t xml:space="preserve"> </w:t>
      </w:r>
      <w:r>
        <w:rPr>
          <w:i/>
        </w:rPr>
        <w:t xml:space="preserve">– </w:t>
      </w:r>
      <w:r>
        <w:rPr>
          <w:i/>
          <w:color w:val="00CCFF"/>
        </w:rPr>
        <w:t xml:space="preserve">also POW presumptive under </w:t>
      </w:r>
      <w:r w:rsidRPr="00453DE5">
        <w:rPr>
          <w:b/>
        </w:rPr>
        <w:t>3.309</w:t>
      </w:r>
      <w:r w:rsidR="00A1674F">
        <w:rPr>
          <w:i/>
          <w:color w:val="00CCFF"/>
        </w:rPr>
        <w:t>(c)</w:t>
      </w:r>
    </w:p>
    <w:p w:rsidR="00492327" w:rsidRDefault="00492327">
      <w:pPr>
        <w:widowControl w:val="0"/>
        <w:numPr>
          <w:ilvl w:val="12"/>
          <w:numId w:val="0"/>
        </w:numPr>
      </w:pPr>
      <w:r w:rsidRPr="00492327">
        <w:t>5011</w:t>
      </w:r>
      <w:r w:rsidRPr="00492327">
        <w:tab/>
        <w:t>Bones, caisson disease of</w:t>
      </w:r>
    </w:p>
    <w:p w:rsidR="00492327" w:rsidRPr="00492327" w:rsidRDefault="00492327" w:rsidP="00F063AF">
      <w:pPr>
        <w:pStyle w:val="ListParagraph"/>
        <w:widowControl w:val="0"/>
        <w:numPr>
          <w:ilvl w:val="0"/>
          <w:numId w:val="310"/>
        </w:numPr>
        <w:tabs>
          <w:tab w:val="left" w:pos="0"/>
          <w:tab w:val="left" w:pos="144"/>
        </w:tabs>
        <w:outlineLvl w:val="0"/>
        <w:rPr>
          <w:rFonts w:ascii="Arial" w:hAnsi="Arial"/>
          <w:b/>
          <w:i/>
        </w:rPr>
      </w:pPr>
      <w:r w:rsidRPr="00492327">
        <w:rPr>
          <w:rStyle w:val="Strong"/>
          <w:rFonts w:ascii="Arial" w:hAnsi="Arial"/>
          <w:sz w:val="20"/>
          <w:szCs w:val="21"/>
        </w:rPr>
        <w:t>IV.ii.2.K.5</w:t>
      </w:r>
      <w:r w:rsidRPr="00492327">
        <w:rPr>
          <w:rStyle w:val="Strong"/>
          <w:rFonts w:ascii="Arial" w:hAnsi="Arial"/>
          <w:b w:val="0"/>
          <w:sz w:val="20"/>
          <w:szCs w:val="21"/>
        </w:rPr>
        <w:t xml:space="preserve"> – Diving-Related Disabilities</w:t>
      </w:r>
      <w:r>
        <w:rPr>
          <w:rStyle w:val="Strong"/>
          <w:rFonts w:ascii="Arial" w:hAnsi="Arial"/>
          <w:b w:val="0"/>
          <w:sz w:val="20"/>
          <w:szCs w:val="21"/>
        </w:rPr>
        <w:t xml:space="preserve"> </w:t>
      </w:r>
      <w:r w:rsidRPr="00492327">
        <w:rPr>
          <w:rStyle w:val="Strong"/>
          <w:rFonts w:ascii="Arial" w:hAnsi="Arial"/>
          <w:b w:val="0"/>
          <w:i/>
          <w:sz w:val="20"/>
          <w:szCs w:val="21"/>
        </w:rPr>
        <w:t>(use 5011 hyphenated with appropriate DC)</w:t>
      </w:r>
    </w:p>
    <w:p w:rsidR="00013EB8" w:rsidRPr="0057478A" w:rsidRDefault="00013EB8">
      <w:pPr>
        <w:widowControl w:val="0"/>
        <w:numPr>
          <w:ilvl w:val="12"/>
          <w:numId w:val="0"/>
        </w:numPr>
        <w:ind w:left="720" w:hanging="720"/>
      </w:pPr>
      <w:r>
        <w:rPr>
          <w:color w:val="FF0000"/>
        </w:rPr>
        <w:t>5012</w:t>
      </w:r>
      <w:r>
        <w:rPr>
          <w:color w:val="FF0000"/>
        </w:rPr>
        <w:tab/>
        <w:t>Bones, new growths of, malignant</w:t>
      </w:r>
      <w:r w:rsidR="0057478A">
        <w:t>, RFE is 1 year (not 6 months)</w:t>
      </w:r>
    </w:p>
    <w:p w:rsidR="00013EB8" w:rsidRDefault="00013EB8">
      <w:pPr>
        <w:widowControl w:val="0"/>
        <w:numPr>
          <w:ilvl w:val="12"/>
          <w:numId w:val="0"/>
        </w:numPr>
        <w:rPr>
          <w:color w:val="FF0000"/>
        </w:rPr>
      </w:pPr>
      <w:r>
        <w:rPr>
          <w:color w:val="FF0000"/>
        </w:rPr>
        <w:t>5014</w:t>
      </w:r>
      <w:r>
        <w:rPr>
          <w:color w:val="FF0000"/>
        </w:rPr>
        <w:tab/>
        <w:t>Osteomalacia</w:t>
      </w:r>
    </w:p>
    <w:p w:rsidR="00013EB8" w:rsidRDefault="00013EB8">
      <w:pPr>
        <w:widowControl w:val="0"/>
        <w:numPr>
          <w:ilvl w:val="12"/>
          <w:numId w:val="0"/>
        </w:numPr>
        <w:rPr>
          <w:i/>
        </w:rPr>
      </w:pPr>
      <w:r>
        <w:rPr>
          <w:color w:val="FF0000"/>
        </w:rPr>
        <w:t>5016</w:t>
      </w:r>
      <w:r>
        <w:rPr>
          <w:color w:val="FF0000"/>
        </w:rPr>
        <w:tab/>
        <w:t>Osteitis deformans</w:t>
      </w:r>
      <w:r>
        <w:rPr>
          <w:i/>
        </w:rPr>
        <w:t xml:space="preserve"> – Paget’s disease</w:t>
      </w:r>
    </w:p>
    <w:p w:rsidR="007C5B5A" w:rsidRDefault="007C5B5A" w:rsidP="006363F2">
      <w:pPr>
        <w:widowControl w:val="0"/>
        <w:numPr>
          <w:ilvl w:val="12"/>
          <w:numId w:val="0"/>
        </w:numPr>
        <w:spacing w:after="120"/>
      </w:pPr>
      <w:r>
        <w:t>5017</w:t>
      </w:r>
      <w:r>
        <w:tab/>
        <w:t>Gout</w:t>
      </w:r>
    </w:p>
    <w:p w:rsidR="007C5B5A" w:rsidRPr="00C31B5F" w:rsidRDefault="007C5B5A" w:rsidP="00F063AF">
      <w:pPr>
        <w:pStyle w:val="ListParagraph"/>
        <w:widowControl w:val="0"/>
        <w:numPr>
          <w:ilvl w:val="0"/>
          <w:numId w:val="174"/>
        </w:numPr>
        <w:tabs>
          <w:tab w:val="left" w:pos="720"/>
        </w:tabs>
        <w:spacing w:after="120"/>
        <w:ind w:left="720"/>
        <w:rPr>
          <w:rFonts w:ascii="Arial" w:hAnsi="Arial"/>
          <w:sz w:val="20"/>
          <w:szCs w:val="20"/>
        </w:rPr>
      </w:pPr>
      <w:r w:rsidRPr="00C31B5F">
        <w:rPr>
          <w:rFonts w:ascii="Arial" w:hAnsi="Arial"/>
          <w:b/>
          <w:sz w:val="20"/>
          <w:szCs w:val="20"/>
          <w:u w:val="single"/>
        </w:rPr>
        <w:t>Weekly Q</w:t>
      </w:r>
      <w:r w:rsidR="00303C97">
        <w:rPr>
          <w:rFonts w:ascii="Arial" w:hAnsi="Arial"/>
          <w:b/>
          <w:sz w:val="20"/>
          <w:szCs w:val="20"/>
          <w:u w:val="single"/>
        </w:rPr>
        <w:t>-</w:t>
      </w:r>
      <w:r w:rsidRPr="00C31B5F">
        <w:rPr>
          <w:rFonts w:ascii="Arial" w:hAnsi="Arial"/>
          <w:b/>
          <w:sz w:val="20"/>
          <w:szCs w:val="20"/>
          <w:u w:val="single"/>
        </w:rPr>
        <w:t>Tip</w:t>
      </w:r>
      <w:r w:rsidRPr="00C31B5F">
        <w:rPr>
          <w:rFonts w:ascii="Arial" w:hAnsi="Arial"/>
          <w:b/>
          <w:sz w:val="20"/>
          <w:szCs w:val="20"/>
        </w:rPr>
        <w:t xml:space="preserve"> (2/13/14) -</w:t>
      </w:r>
      <w:r w:rsidR="006363F2" w:rsidRPr="00C31B5F">
        <w:rPr>
          <w:rFonts w:ascii="Arial" w:hAnsi="Arial"/>
          <w:b/>
          <w:sz w:val="20"/>
          <w:szCs w:val="20"/>
        </w:rPr>
        <w:t xml:space="preserve"> </w:t>
      </w:r>
      <w:r w:rsidRPr="00C31B5F">
        <w:rPr>
          <w:rFonts w:ascii="Arial" w:hAnsi="Arial"/>
          <w:sz w:val="20"/>
          <w:szCs w:val="20"/>
        </w:rPr>
        <w:t xml:space="preserve">This week’s QRT quality tip provides information for requesting an examination for a Gout disability. </w:t>
      </w:r>
    </w:p>
    <w:p w:rsidR="007C5B5A" w:rsidRPr="007C5B5A" w:rsidRDefault="007C5B5A" w:rsidP="00F063AF">
      <w:pPr>
        <w:pStyle w:val="NormalWeb"/>
        <w:numPr>
          <w:ilvl w:val="0"/>
          <w:numId w:val="151"/>
        </w:numPr>
        <w:ind w:left="1080"/>
        <w:rPr>
          <w:sz w:val="20"/>
          <w:szCs w:val="20"/>
        </w:rPr>
      </w:pPr>
      <w:r w:rsidRPr="007C5B5A">
        <w:rPr>
          <w:sz w:val="20"/>
          <w:szCs w:val="20"/>
        </w:rPr>
        <w:t xml:space="preserve">The proper DBQ is </w:t>
      </w:r>
      <w:r w:rsidRPr="007C5B5A">
        <w:rPr>
          <w:b/>
          <w:bCs/>
          <w:sz w:val="20"/>
          <w:szCs w:val="20"/>
        </w:rPr>
        <w:t xml:space="preserve">DBQ MUSC non-degenerative arthritis worksheet when requesting an exam for </w:t>
      </w:r>
      <w:r w:rsidRPr="007C5B5A">
        <w:rPr>
          <w:b/>
          <w:bCs/>
          <w:sz w:val="20"/>
          <w:szCs w:val="20"/>
          <w:u w:val="single"/>
        </w:rPr>
        <w:t>GOUT</w:t>
      </w:r>
      <w:r w:rsidRPr="007C5B5A">
        <w:rPr>
          <w:b/>
          <w:bCs/>
          <w:sz w:val="20"/>
          <w:szCs w:val="20"/>
        </w:rPr>
        <w:t>.  In Capri, this is under RHEUM arthritis</w:t>
      </w:r>
      <w:r w:rsidRPr="007C5B5A">
        <w:rPr>
          <w:sz w:val="20"/>
          <w:szCs w:val="20"/>
        </w:rPr>
        <w:t xml:space="preserve"> – non degenerative (inflam, imm, cryst, infect).</w:t>
      </w:r>
    </w:p>
    <w:p w:rsidR="007C5B5A" w:rsidRPr="007C5B5A" w:rsidRDefault="007C5B5A" w:rsidP="00F063AF">
      <w:pPr>
        <w:pStyle w:val="NormalWeb"/>
        <w:numPr>
          <w:ilvl w:val="0"/>
          <w:numId w:val="151"/>
        </w:numPr>
        <w:ind w:left="1080"/>
        <w:rPr>
          <w:sz w:val="20"/>
          <w:szCs w:val="20"/>
        </w:rPr>
      </w:pPr>
      <w:r w:rsidRPr="007C5B5A">
        <w:rPr>
          <w:sz w:val="20"/>
          <w:szCs w:val="20"/>
        </w:rPr>
        <w:t xml:space="preserve">We must inform the examiner which joints to examine. If you cannot determine which joint is affected by the GOUT in the previous rating decision(s), ask an RVSR or clarify with Veteran.  The examiner is required to complete the DBQ non degenerative arthritis </w:t>
      </w:r>
      <w:r w:rsidRPr="007C5B5A">
        <w:rPr>
          <w:sz w:val="20"/>
          <w:szCs w:val="20"/>
          <w:u w:val="single"/>
        </w:rPr>
        <w:t>and</w:t>
      </w:r>
      <w:r w:rsidRPr="007C5B5A">
        <w:rPr>
          <w:sz w:val="20"/>
          <w:szCs w:val="20"/>
        </w:rPr>
        <w:t xml:space="preserve"> is also required to complete the applicable knee, ankle, foot, etc. DBQ. </w:t>
      </w:r>
    </w:p>
    <w:p w:rsidR="007C5B5A" w:rsidRPr="007C5B5A" w:rsidRDefault="007C5B5A" w:rsidP="007C5B5A">
      <w:pPr>
        <w:pStyle w:val="NormalWeb"/>
        <w:tabs>
          <w:tab w:val="left" w:pos="360"/>
        </w:tabs>
        <w:ind w:left="360"/>
        <w:rPr>
          <w:sz w:val="20"/>
          <w:szCs w:val="20"/>
        </w:rPr>
      </w:pPr>
      <w:r w:rsidRPr="007C5B5A">
        <w:rPr>
          <w:sz w:val="20"/>
          <w:szCs w:val="20"/>
        </w:rPr>
        <w:t xml:space="preserve">Example:  Veteran claims increase/service connection for: </w:t>
      </w:r>
    </w:p>
    <w:p w:rsidR="007C5B5A" w:rsidRPr="007C5B5A" w:rsidRDefault="007C5B5A" w:rsidP="007C5B5A">
      <w:pPr>
        <w:pStyle w:val="NormalWeb"/>
        <w:tabs>
          <w:tab w:val="left" w:pos="360"/>
        </w:tabs>
        <w:ind w:left="360"/>
        <w:rPr>
          <w:sz w:val="20"/>
          <w:szCs w:val="20"/>
        </w:rPr>
      </w:pPr>
      <w:r w:rsidRPr="007C5B5A">
        <w:rPr>
          <w:sz w:val="20"/>
          <w:szCs w:val="20"/>
        </w:rPr>
        <w:t xml:space="preserve">1.      Gout (ankles/big toes)  </w:t>
      </w:r>
    </w:p>
    <w:p w:rsidR="007C5B5A" w:rsidRPr="007C5B5A" w:rsidRDefault="007C5B5A" w:rsidP="007C5B5A">
      <w:pPr>
        <w:pStyle w:val="NormalWeb"/>
        <w:tabs>
          <w:tab w:val="left" w:pos="360"/>
        </w:tabs>
        <w:ind w:left="360"/>
        <w:rPr>
          <w:sz w:val="20"/>
          <w:szCs w:val="20"/>
        </w:rPr>
      </w:pPr>
      <w:r w:rsidRPr="007C5B5A">
        <w:rPr>
          <w:sz w:val="20"/>
          <w:szCs w:val="20"/>
        </w:rPr>
        <w:t xml:space="preserve">The examiner is required to identify the joints affected and address any limitation of joint motion attributable to gout. Therefore, in this example the examiner will be required to complete DBQ MUSC non-degenerative arthritis and the Ankle and Foot DBQs. </w:t>
      </w:r>
    </w:p>
    <w:p w:rsidR="007C5B5A" w:rsidRPr="007C5B5A" w:rsidRDefault="007C5B5A" w:rsidP="007C5B5A">
      <w:pPr>
        <w:pStyle w:val="NormalWeb"/>
        <w:tabs>
          <w:tab w:val="left" w:pos="360"/>
        </w:tabs>
        <w:ind w:left="360"/>
        <w:rPr>
          <w:sz w:val="20"/>
          <w:szCs w:val="20"/>
        </w:rPr>
      </w:pPr>
      <w:r w:rsidRPr="007C5B5A">
        <w:rPr>
          <w:b/>
          <w:bCs/>
          <w:i/>
          <w:iCs/>
          <w:sz w:val="20"/>
          <w:szCs w:val="20"/>
          <w:u w:val="single"/>
        </w:rPr>
        <w:t>Note to Raters:</w:t>
      </w:r>
      <w:r w:rsidRPr="007C5B5A">
        <w:rPr>
          <w:sz w:val="20"/>
          <w:szCs w:val="20"/>
        </w:rPr>
        <w:t xml:space="preserve"> This condition may be rated as an active process with constitutional manifestations or; limitation of motion under the joints involved, but not both.</w:t>
      </w:r>
    </w:p>
    <w:p w:rsidR="007C5B5A" w:rsidRPr="007C5B5A" w:rsidRDefault="007C5B5A" w:rsidP="0077127A">
      <w:pPr>
        <w:pStyle w:val="NormalWeb"/>
        <w:tabs>
          <w:tab w:val="left" w:pos="360"/>
        </w:tabs>
        <w:spacing w:after="0"/>
        <w:ind w:left="360"/>
        <w:rPr>
          <w:sz w:val="20"/>
          <w:szCs w:val="20"/>
        </w:rPr>
      </w:pPr>
      <w:r w:rsidRPr="007C5B5A">
        <w:rPr>
          <w:sz w:val="20"/>
          <w:szCs w:val="20"/>
        </w:rPr>
        <w:t>References:</w:t>
      </w:r>
    </w:p>
    <w:p w:rsidR="007C5B5A" w:rsidRPr="007C5B5A" w:rsidRDefault="007C5B5A" w:rsidP="0077127A">
      <w:pPr>
        <w:pStyle w:val="NormalWeb"/>
        <w:tabs>
          <w:tab w:val="left" w:pos="360"/>
        </w:tabs>
        <w:spacing w:after="0"/>
        <w:ind w:left="360"/>
        <w:rPr>
          <w:sz w:val="20"/>
          <w:szCs w:val="20"/>
        </w:rPr>
      </w:pPr>
      <w:r w:rsidRPr="00EA0611">
        <w:rPr>
          <w:sz w:val="20"/>
          <w:szCs w:val="20"/>
        </w:rPr>
        <w:t>38 CFR 4.71(a)</w:t>
      </w:r>
      <w:r w:rsidRPr="007C5B5A">
        <w:rPr>
          <w:color w:val="000000"/>
          <w:sz w:val="20"/>
          <w:szCs w:val="20"/>
        </w:rPr>
        <w:t xml:space="preserve"> </w:t>
      </w:r>
    </w:p>
    <w:p w:rsidR="007C5B5A" w:rsidRPr="007C5B5A" w:rsidRDefault="007C5B5A" w:rsidP="007C5B5A">
      <w:pPr>
        <w:pStyle w:val="NormalWeb"/>
        <w:tabs>
          <w:tab w:val="left" w:pos="360"/>
        </w:tabs>
        <w:ind w:left="360"/>
        <w:rPr>
          <w:sz w:val="20"/>
          <w:szCs w:val="20"/>
        </w:rPr>
      </w:pPr>
      <w:r w:rsidRPr="00EA0611">
        <w:rPr>
          <w:sz w:val="20"/>
          <w:szCs w:val="20"/>
        </w:rPr>
        <w:t>M21-1MR III.iv.4.A.6.e</w:t>
      </w:r>
    </w:p>
    <w:p w:rsidR="007C5B5A" w:rsidRPr="007C5B5A" w:rsidRDefault="007C5B5A">
      <w:pPr>
        <w:widowControl w:val="0"/>
        <w:numPr>
          <w:ilvl w:val="12"/>
          <w:numId w:val="0"/>
        </w:numPr>
      </w:pPr>
    </w:p>
    <w:p w:rsidR="004E6359" w:rsidRDefault="00013EB8" w:rsidP="004E6359">
      <w:pPr>
        <w:widowControl w:val="0"/>
        <w:numPr>
          <w:ilvl w:val="12"/>
          <w:numId w:val="0"/>
        </w:numPr>
        <w:tabs>
          <w:tab w:val="left" w:pos="720"/>
          <w:tab w:val="left" w:pos="9417"/>
        </w:tabs>
        <w:rPr>
          <w:rStyle w:val="Hyperlink"/>
          <w:b/>
        </w:rPr>
      </w:pPr>
      <w:r w:rsidRPr="007A4B37">
        <w:t>5025</w:t>
      </w:r>
      <w:r>
        <w:tab/>
        <w:t>Fibromyalgia –</w:t>
      </w:r>
      <w:r>
        <w:rPr>
          <w:i/>
        </w:rPr>
        <w:t xml:space="preserve"> </w:t>
      </w:r>
      <w:r>
        <w:rPr>
          <w:i/>
          <w:bdr w:val="single" w:sz="4" w:space="0" w:color="auto"/>
        </w:rPr>
        <w:t xml:space="preserve">changed 5/7/96, </w:t>
      </w:r>
      <w:r>
        <w:rPr>
          <w:i/>
          <w:iCs/>
          <w:sz w:val="16"/>
          <w:bdr w:val="single" w:sz="4" w:space="0" w:color="auto"/>
        </w:rPr>
        <w:t>see “</w:t>
      </w:r>
      <w:r w:rsidRPr="00EA0611">
        <w:rPr>
          <w:i/>
          <w:iCs/>
          <w:sz w:val="16"/>
          <w:bdr w:val="single" w:sz="4" w:space="0" w:color="auto"/>
        </w:rPr>
        <w:t>Historic Part 4 Sections</w:t>
      </w:r>
      <w:r w:rsidR="00707F9F">
        <w:rPr>
          <w:rStyle w:val="Hyperlink"/>
          <w:i/>
          <w:iCs/>
          <w:sz w:val="16"/>
          <w:bdr w:val="single" w:sz="4" w:space="0" w:color="auto"/>
        </w:rPr>
        <w:t xml:space="preserve"> </w:t>
      </w:r>
      <w:r>
        <w:rPr>
          <w:i/>
          <w:iCs/>
          <w:sz w:val="16"/>
          <w:bdr w:val="single" w:sz="4" w:space="0" w:color="auto"/>
        </w:rPr>
        <w:t>”</w:t>
      </w:r>
      <w:r w:rsidR="00707F9F">
        <w:rPr>
          <w:i/>
          <w:iCs/>
          <w:sz w:val="16"/>
          <w:bdr w:val="single" w:sz="4" w:space="0" w:color="auto"/>
        </w:rPr>
        <w:t xml:space="preserve"> in Rating Reference</w:t>
      </w:r>
      <w:r w:rsidR="005F5D1E">
        <w:rPr>
          <w:i/>
          <w:iCs/>
          <w:sz w:val="16"/>
          <w:bdr w:val="single" w:sz="4" w:space="0" w:color="auto"/>
        </w:rPr>
        <w:t>s</w:t>
      </w:r>
      <w:r w:rsidR="00707F9F">
        <w:rPr>
          <w:i/>
          <w:iCs/>
          <w:sz w:val="16"/>
          <w:bdr w:val="single" w:sz="4" w:space="0" w:color="auto"/>
        </w:rPr>
        <w:t xml:space="preserve"> Archive</w:t>
      </w:r>
      <w:r w:rsidR="00707F9F">
        <w:rPr>
          <w:i/>
          <w:iCs/>
          <w:sz w:val="16"/>
        </w:rPr>
        <w:t xml:space="preserve">; </w:t>
      </w:r>
      <w:r w:rsidR="004E6359" w:rsidRPr="004E6359">
        <w:rPr>
          <w:color w:val="E36C0A" w:themeColor="accent6" w:themeShade="BF"/>
        </w:rPr>
        <w:t xml:space="preserve"> GW presumptive under </w:t>
      </w:r>
      <w:r w:rsidR="004E6359" w:rsidRPr="007A4B37">
        <w:rPr>
          <w:b/>
        </w:rPr>
        <w:t>3.317</w:t>
      </w:r>
    </w:p>
    <w:p w:rsidR="00814295" w:rsidRDefault="00814295" w:rsidP="00F063AF">
      <w:pPr>
        <w:pStyle w:val="ListParagraph"/>
        <w:numPr>
          <w:ilvl w:val="0"/>
          <w:numId w:val="189"/>
        </w:numPr>
        <w:spacing w:after="0" w:line="240" w:lineRule="auto"/>
        <w:rPr>
          <w:rFonts w:ascii="Arial" w:hAnsi="Arial"/>
          <w:color w:val="000000"/>
          <w:sz w:val="20"/>
          <w:szCs w:val="20"/>
        </w:rPr>
      </w:pPr>
      <w:r w:rsidRPr="00EA0611">
        <w:rPr>
          <w:rFonts w:ascii="Arial" w:hAnsi="Arial"/>
          <w:b/>
          <w:i/>
          <w:sz w:val="20"/>
          <w:szCs w:val="20"/>
        </w:rPr>
        <w:t xml:space="preserve">October 2014 </w:t>
      </w:r>
      <w:r w:rsidR="00EB6F0B" w:rsidRPr="00EA0611">
        <w:rPr>
          <w:rFonts w:ascii="Arial" w:hAnsi="Arial"/>
          <w:b/>
          <w:i/>
          <w:sz w:val="20"/>
          <w:szCs w:val="20"/>
        </w:rPr>
        <w:t>Compensation Service Bulletin (CSB)</w:t>
      </w:r>
      <w:r w:rsidRPr="00AA1AB8">
        <w:rPr>
          <w:rStyle w:val="Hyperlink"/>
          <w:rFonts w:ascii="Arial" w:hAnsi="Arial"/>
          <w:sz w:val="20"/>
          <w:szCs w:val="20"/>
          <w:u w:val="none"/>
        </w:rPr>
        <w:t xml:space="preserve"> –</w:t>
      </w:r>
      <w:r w:rsidR="00E71248">
        <w:rPr>
          <w:rStyle w:val="Hyperlink"/>
          <w:rFonts w:ascii="Arial" w:hAnsi="Arial"/>
          <w:sz w:val="20"/>
          <w:szCs w:val="20"/>
          <w:u w:val="none"/>
        </w:rPr>
        <w:t xml:space="preserve"> </w:t>
      </w:r>
      <w:r>
        <w:rPr>
          <w:rFonts w:ascii="Arial" w:hAnsi="Arial"/>
          <w:sz w:val="20"/>
          <w:szCs w:val="20"/>
        </w:rPr>
        <w:t xml:space="preserve">Mental symptoms cannot be included with fibromyalgia AND a diagnosed mental disability (anxiety symptoms, for example), only in </w:t>
      </w:r>
      <w:r>
        <w:rPr>
          <w:rFonts w:ascii="Arial" w:hAnsi="Arial"/>
          <w:b/>
          <w:sz w:val="20"/>
          <w:szCs w:val="20"/>
        </w:rPr>
        <w:t>one</w:t>
      </w:r>
      <w:r>
        <w:rPr>
          <w:rFonts w:ascii="Arial" w:hAnsi="Arial"/>
          <w:sz w:val="20"/>
          <w:szCs w:val="20"/>
        </w:rPr>
        <w:t xml:space="preserve"> of the evaluations.</w:t>
      </w:r>
    </w:p>
    <w:p w:rsidR="00827ABE" w:rsidRDefault="00827ABE" w:rsidP="00827ABE"/>
    <w:p w:rsidR="007A6E81" w:rsidRDefault="007A6E81" w:rsidP="00827ABE">
      <w:r w:rsidRPr="007A4B37">
        <w:t>50</w:t>
      </w:r>
      <w:r>
        <w:t>5</w:t>
      </w:r>
      <w:r w:rsidRPr="007A4B37">
        <w:t>5</w:t>
      </w:r>
      <w:r>
        <w:tab/>
        <w:t xml:space="preserve">Knee replacement (prosthesis) – </w:t>
      </w:r>
      <w:r w:rsidRPr="007A6E81">
        <w:rPr>
          <w:b/>
        </w:rPr>
        <w:t>III.iv.4.A.</w:t>
      </w:r>
      <w:r w:rsidR="00E76AD0">
        <w:rPr>
          <w:b/>
        </w:rPr>
        <w:t>6</w:t>
      </w:r>
      <w:r w:rsidRPr="007A6E81">
        <w:rPr>
          <w:b/>
        </w:rPr>
        <w:t>.</w:t>
      </w:r>
      <w:r w:rsidR="00E76AD0">
        <w:rPr>
          <w:b/>
        </w:rPr>
        <w:t>a</w:t>
      </w:r>
      <w:r>
        <w:t xml:space="preserve"> – Hudgens v. McDonald (Fed Cir 2016) – partial knee replacements (*no eval under 5055 if filed and decided on or after 7/16/15 [because 4.71a was clarified to only apply to total knee replacements on 7/16/15]; *assign eval under 5055 (if higher eval allowed under 5055) if filed before 7/16/15 &amp; still pending on 7/16/15; *no CUE (whether assigned 5055 or not) if filed before 7/16/15 &amp; finally adjudicated before 7/16/15</w:t>
      </w:r>
    </w:p>
    <w:p w:rsidR="007A6E81" w:rsidRPr="00827ABE" w:rsidRDefault="007A6E81" w:rsidP="00827ABE"/>
    <w:p w:rsidR="00013EB8" w:rsidRDefault="00013EB8">
      <w:pPr>
        <w:widowControl w:val="0"/>
        <w:pBdr>
          <w:top w:val="dashed" w:sz="4" w:space="1" w:color="auto"/>
        </w:pBdr>
      </w:pPr>
    </w:p>
    <w:p w:rsidR="00013EB8" w:rsidRDefault="00013EB8">
      <w:pPr>
        <w:pStyle w:val="Heading1"/>
        <w:keepNext w:val="0"/>
        <w:widowControl w:val="0"/>
        <w:numPr>
          <w:ilvl w:val="12"/>
          <w:numId w:val="0"/>
        </w:numPr>
        <w:rPr>
          <w:i w:val="0"/>
          <w:iCs w:val="0"/>
          <w:sz w:val="20"/>
        </w:rPr>
      </w:pPr>
      <w:r>
        <w:rPr>
          <w:b/>
          <w:bCs/>
          <w:i w:val="0"/>
          <w:iCs w:val="0"/>
          <w:sz w:val="20"/>
          <w:u w:val="single"/>
        </w:rPr>
        <w:t>PROSTHETIC IMPLANTS</w:t>
      </w:r>
      <w:r>
        <w:rPr>
          <w:i w:val="0"/>
          <w:iCs w:val="0"/>
          <w:sz w:val="20"/>
        </w:rPr>
        <w:t xml:space="preserve"> – 1 month at 100% based on 4.30, then 12 months at 100%, reduce to minimum, then examine</w:t>
      </w:r>
    </w:p>
    <w:p w:rsidR="00013EB8" w:rsidRDefault="00013EB8">
      <w:pPr>
        <w:pStyle w:val="Heading1"/>
        <w:keepNext w:val="0"/>
        <w:widowControl w:val="0"/>
        <w:numPr>
          <w:ilvl w:val="12"/>
          <w:numId w:val="0"/>
        </w:numPr>
        <w:ind w:left="360"/>
        <w:rPr>
          <w:b/>
          <w:bCs/>
          <w:i w:val="0"/>
          <w:iCs w:val="0"/>
          <w:sz w:val="20"/>
        </w:rPr>
      </w:pPr>
      <w:r>
        <w:rPr>
          <w:b/>
          <w:bCs/>
          <w:i w:val="0"/>
          <w:iCs w:val="0"/>
          <w:sz w:val="20"/>
        </w:rPr>
        <w:t xml:space="preserve">Combinations of disabilities – </w:t>
      </w:r>
      <w:r w:rsidRPr="007A4B37">
        <w:rPr>
          <w:b/>
          <w:i w:val="0"/>
          <w:iCs w:val="0"/>
          <w:sz w:val="20"/>
        </w:rPr>
        <w:t>4.63</w:t>
      </w:r>
      <w:r>
        <w:rPr>
          <w:b/>
          <w:bCs/>
          <w:i w:val="0"/>
          <w:iCs w:val="0"/>
          <w:sz w:val="20"/>
        </w:rPr>
        <w:t xml:space="preserve"> &amp; </w:t>
      </w:r>
      <w:r w:rsidRPr="007A4B37">
        <w:rPr>
          <w:b/>
          <w:bCs/>
          <w:i w:val="0"/>
          <w:iCs w:val="0"/>
          <w:sz w:val="20"/>
        </w:rPr>
        <w:t>4.64</w:t>
      </w:r>
    </w:p>
    <w:p w:rsidR="00013EB8" w:rsidRDefault="00013EB8">
      <w:pPr>
        <w:pStyle w:val="Header"/>
        <w:widowControl w:val="0"/>
        <w:numPr>
          <w:ilvl w:val="12"/>
          <w:numId w:val="0"/>
        </w:numPr>
        <w:tabs>
          <w:tab w:val="clear" w:pos="4320"/>
          <w:tab w:val="clear" w:pos="8640"/>
        </w:tabs>
      </w:pPr>
    </w:p>
    <w:p w:rsidR="00013EB8" w:rsidRDefault="00013EB8">
      <w:pPr>
        <w:pStyle w:val="Header"/>
        <w:widowControl w:val="0"/>
        <w:numPr>
          <w:ilvl w:val="12"/>
          <w:numId w:val="0"/>
        </w:numPr>
        <w:pBdr>
          <w:top w:val="dashed" w:sz="4" w:space="1" w:color="auto"/>
        </w:pBdr>
        <w:tabs>
          <w:tab w:val="clear" w:pos="4320"/>
          <w:tab w:val="clear" w:pos="8640"/>
        </w:tabs>
      </w:pPr>
    </w:p>
    <w:p w:rsidR="00013EB8" w:rsidRDefault="00013EB8">
      <w:pPr>
        <w:pStyle w:val="Heading1"/>
        <w:keepNext w:val="0"/>
        <w:widowControl w:val="0"/>
        <w:numPr>
          <w:ilvl w:val="12"/>
          <w:numId w:val="0"/>
        </w:numPr>
        <w:rPr>
          <w:b/>
          <w:bCs/>
          <w:i w:val="0"/>
          <w:iCs w:val="0"/>
          <w:sz w:val="20"/>
        </w:rPr>
      </w:pPr>
      <w:r w:rsidRPr="00EA0611">
        <w:rPr>
          <w:b/>
          <w:bCs/>
          <w:i w:val="0"/>
          <w:iCs w:val="0"/>
          <w:sz w:val="20"/>
        </w:rPr>
        <w:t>AMPUTATIONS:  UPPER EXTREMITY</w:t>
      </w:r>
      <w:r>
        <w:rPr>
          <w:b/>
          <w:bCs/>
          <w:i w:val="0"/>
          <w:iCs w:val="0"/>
          <w:sz w:val="20"/>
        </w:rPr>
        <w:t xml:space="preserve"> – </w:t>
      </w:r>
      <w:r w:rsidRPr="007A4B37">
        <w:rPr>
          <w:b/>
          <w:bCs/>
          <w:i w:val="0"/>
          <w:iCs w:val="0"/>
          <w:sz w:val="20"/>
        </w:rPr>
        <w:t>4.69</w:t>
      </w:r>
    </w:p>
    <w:p w:rsidR="0075726B" w:rsidRDefault="0075726B" w:rsidP="0075726B">
      <w:pPr>
        <w:widowControl w:val="0"/>
        <w:numPr>
          <w:ilvl w:val="12"/>
          <w:numId w:val="0"/>
        </w:numPr>
        <w:rPr>
          <w:i/>
          <w:iCs/>
        </w:rPr>
      </w:pPr>
      <w:r>
        <w:rPr>
          <w:i/>
          <w:iCs/>
        </w:rPr>
        <w:t>Amputation Rule:</w:t>
      </w:r>
    </w:p>
    <w:p w:rsidR="0075726B" w:rsidRDefault="0075726B" w:rsidP="0075726B">
      <w:pPr>
        <w:widowControl w:val="0"/>
        <w:numPr>
          <w:ilvl w:val="12"/>
          <w:numId w:val="0"/>
        </w:numPr>
        <w:rPr>
          <w:i/>
          <w:iCs/>
        </w:rPr>
      </w:pPr>
      <w:r>
        <w:rPr>
          <w:i/>
          <w:iCs/>
        </w:rPr>
        <w:t>60% minor, 70% major for hand OR below insertion of pronator teres</w:t>
      </w:r>
    </w:p>
    <w:p w:rsidR="0075726B" w:rsidRDefault="0075726B" w:rsidP="0075726B">
      <w:pPr>
        <w:widowControl w:val="0"/>
        <w:numPr>
          <w:ilvl w:val="12"/>
          <w:numId w:val="0"/>
        </w:numPr>
        <w:rPr>
          <w:i/>
          <w:iCs/>
        </w:rPr>
      </w:pPr>
      <w:r>
        <w:rPr>
          <w:i/>
          <w:iCs/>
        </w:rPr>
        <w:t>70% minor, 80% major for above insertion of pronator teres OR below insertion of deltoid</w:t>
      </w:r>
    </w:p>
    <w:p w:rsidR="0075726B" w:rsidRDefault="0075726B" w:rsidP="0075726B">
      <w:pPr>
        <w:widowControl w:val="0"/>
        <w:numPr>
          <w:ilvl w:val="12"/>
          <w:numId w:val="0"/>
        </w:numPr>
        <w:rPr>
          <w:i/>
          <w:iCs/>
        </w:rPr>
      </w:pPr>
      <w:r>
        <w:rPr>
          <w:i/>
          <w:iCs/>
        </w:rPr>
        <w:t>80% minor, 90% major for above insertion of deltoid</w:t>
      </w:r>
    </w:p>
    <w:p w:rsidR="0075726B" w:rsidRDefault="0075726B" w:rsidP="0075726B">
      <w:pPr>
        <w:widowControl w:val="0"/>
        <w:numPr>
          <w:ilvl w:val="12"/>
          <w:numId w:val="0"/>
        </w:numPr>
        <w:rPr>
          <w:i/>
          <w:iCs/>
        </w:rPr>
      </w:pPr>
      <w:r>
        <w:rPr>
          <w:i/>
          <w:iCs/>
        </w:rPr>
        <w:t>90% for disarticulation</w:t>
      </w:r>
    </w:p>
    <w:p w:rsidR="0075726B" w:rsidRDefault="0075726B" w:rsidP="0075726B">
      <w:pPr>
        <w:widowControl w:val="0"/>
        <w:numPr>
          <w:ilvl w:val="12"/>
          <w:numId w:val="0"/>
        </w:numPr>
        <w:rPr>
          <w:i/>
          <w:iCs/>
        </w:rPr>
      </w:pPr>
    </w:p>
    <w:p w:rsidR="00013EB8" w:rsidRDefault="00013EB8">
      <w:pPr>
        <w:pStyle w:val="Footer"/>
        <w:widowControl w:val="0"/>
        <w:numPr>
          <w:ilvl w:val="12"/>
          <w:numId w:val="0"/>
        </w:numPr>
        <w:pBdr>
          <w:top w:val="dashed" w:sz="4" w:space="1" w:color="auto"/>
        </w:pBdr>
        <w:tabs>
          <w:tab w:val="clear" w:pos="4320"/>
          <w:tab w:val="clear" w:pos="8640"/>
        </w:tabs>
      </w:pPr>
    </w:p>
    <w:p w:rsidR="00013EB8" w:rsidRDefault="00013EB8">
      <w:pPr>
        <w:pStyle w:val="Heading1"/>
        <w:keepNext w:val="0"/>
        <w:widowControl w:val="0"/>
        <w:numPr>
          <w:ilvl w:val="12"/>
          <w:numId w:val="0"/>
        </w:numPr>
        <w:rPr>
          <w:b/>
          <w:i w:val="0"/>
        </w:rPr>
      </w:pPr>
      <w:r w:rsidRPr="00EA0611">
        <w:rPr>
          <w:b/>
          <w:bCs/>
          <w:i w:val="0"/>
          <w:iCs w:val="0"/>
          <w:sz w:val="20"/>
        </w:rPr>
        <w:t>AMPUTATIONS:  LOWER EXTREMITY</w:t>
      </w:r>
      <w:r>
        <w:rPr>
          <w:i w:val="0"/>
          <w:iCs w:val="0"/>
          <w:sz w:val="20"/>
        </w:rPr>
        <w:t xml:space="preserve"> – </w:t>
      </w:r>
      <w:r w:rsidRPr="007A4B37">
        <w:rPr>
          <w:b/>
          <w:bCs/>
          <w:i w:val="0"/>
          <w:iCs w:val="0"/>
          <w:sz w:val="20"/>
        </w:rPr>
        <w:t>4.68</w:t>
      </w:r>
      <w:r>
        <w:rPr>
          <w:i w:val="0"/>
          <w:iCs w:val="0"/>
          <w:sz w:val="20"/>
        </w:rPr>
        <w:t>; check for cardiovascular condition</w:t>
      </w:r>
      <w:r w:rsidR="008D7108">
        <w:rPr>
          <w:i w:val="0"/>
          <w:iCs w:val="0"/>
          <w:sz w:val="20"/>
        </w:rPr>
        <w:t>s</w:t>
      </w:r>
      <w:r>
        <w:rPr>
          <w:i w:val="0"/>
          <w:iCs w:val="0"/>
          <w:sz w:val="20"/>
        </w:rPr>
        <w:t xml:space="preserve"> per </w:t>
      </w:r>
      <w:r w:rsidR="009F7D8B">
        <w:rPr>
          <w:b/>
          <w:bCs/>
          <w:i w:val="0"/>
          <w:iCs w:val="0"/>
          <w:sz w:val="20"/>
        </w:rPr>
        <w:t>III.iv.4.</w:t>
      </w:r>
      <w:r w:rsidR="009474D3">
        <w:rPr>
          <w:b/>
          <w:bCs/>
          <w:i w:val="0"/>
          <w:iCs w:val="0"/>
          <w:sz w:val="20"/>
        </w:rPr>
        <w:t>G</w:t>
      </w:r>
      <w:r w:rsidR="009F7D8B">
        <w:rPr>
          <w:b/>
          <w:bCs/>
          <w:i w:val="0"/>
          <w:iCs w:val="0"/>
          <w:sz w:val="20"/>
        </w:rPr>
        <w:t>.</w:t>
      </w:r>
      <w:r w:rsidR="001F7E5B">
        <w:rPr>
          <w:b/>
          <w:bCs/>
          <w:i w:val="0"/>
          <w:iCs w:val="0"/>
          <w:sz w:val="20"/>
        </w:rPr>
        <w:t>1.f</w:t>
      </w:r>
    </w:p>
    <w:p w:rsidR="00013EB8" w:rsidRDefault="00013EB8">
      <w:pPr>
        <w:widowControl w:val="0"/>
        <w:numPr>
          <w:ilvl w:val="12"/>
          <w:numId w:val="0"/>
        </w:numPr>
        <w:rPr>
          <w:i/>
          <w:iCs/>
        </w:rPr>
      </w:pPr>
      <w:r>
        <w:rPr>
          <w:i/>
          <w:iCs/>
        </w:rPr>
        <w:t>Amputation Rule:</w:t>
      </w:r>
    </w:p>
    <w:p w:rsidR="00013EB8" w:rsidRDefault="0075726B">
      <w:pPr>
        <w:widowControl w:val="0"/>
        <w:numPr>
          <w:ilvl w:val="12"/>
          <w:numId w:val="0"/>
        </w:numPr>
        <w:rPr>
          <w:i/>
          <w:iCs/>
        </w:rPr>
      </w:pPr>
      <w:r>
        <w:rPr>
          <w:i/>
          <w:iCs/>
        </w:rPr>
        <w:t>40% for</w:t>
      </w:r>
      <w:r w:rsidR="00013EB8">
        <w:rPr>
          <w:i/>
          <w:iCs/>
        </w:rPr>
        <w:t xml:space="preserve"> below the knee</w:t>
      </w:r>
    </w:p>
    <w:p w:rsidR="00013EB8" w:rsidRDefault="00013EB8">
      <w:pPr>
        <w:widowControl w:val="0"/>
        <w:numPr>
          <w:ilvl w:val="12"/>
          <w:numId w:val="0"/>
        </w:numPr>
        <w:rPr>
          <w:i/>
          <w:iCs/>
        </w:rPr>
      </w:pPr>
      <w:r>
        <w:rPr>
          <w:i/>
          <w:iCs/>
        </w:rPr>
        <w:t xml:space="preserve">60% </w:t>
      </w:r>
      <w:r w:rsidR="0075726B">
        <w:rPr>
          <w:i/>
          <w:iCs/>
        </w:rPr>
        <w:t>for</w:t>
      </w:r>
      <w:r>
        <w:rPr>
          <w:i/>
          <w:iCs/>
        </w:rPr>
        <w:t xml:space="preserve"> above the knee (including knee joint involvement)</w:t>
      </w:r>
    </w:p>
    <w:p w:rsidR="00013EB8" w:rsidRDefault="0075726B">
      <w:pPr>
        <w:widowControl w:val="0"/>
        <w:numPr>
          <w:ilvl w:val="12"/>
          <w:numId w:val="0"/>
        </w:numPr>
      </w:pPr>
      <w:r>
        <w:rPr>
          <w:i/>
          <w:iCs/>
        </w:rPr>
        <w:t>90%</w:t>
      </w:r>
      <w:r w:rsidR="00013EB8">
        <w:rPr>
          <w:i/>
          <w:iCs/>
        </w:rPr>
        <w:t xml:space="preserve"> with hip involvement</w:t>
      </w:r>
    </w:p>
    <w:p w:rsidR="00013EB8" w:rsidRDefault="00013EB8">
      <w:pPr>
        <w:widowControl w:val="0"/>
        <w:numPr>
          <w:ilvl w:val="12"/>
          <w:numId w:val="0"/>
        </w:numPr>
      </w:pPr>
    </w:p>
    <w:p w:rsidR="00013EB8" w:rsidRDefault="00013EB8">
      <w:pPr>
        <w:widowControl w:val="0"/>
        <w:numPr>
          <w:ilvl w:val="12"/>
          <w:numId w:val="0"/>
        </w:numPr>
        <w:pBdr>
          <w:top w:val="dashed" w:sz="4" w:space="1" w:color="auto"/>
        </w:pBdr>
      </w:pPr>
    </w:p>
    <w:p w:rsidR="00013EB8" w:rsidRDefault="00013EB8" w:rsidP="001874B5">
      <w:pPr>
        <w:widowControl w:val="0"/>
        <w:numPr>
          <w:ilvl w:val="12"/>
          <w:numId w:val="0"/>
        </w:numPr>
        <w:spacing w:after="120"/>
        <w:rPr>
          <w:i/>
          <w:u w:val="single"/>
        </w:rPr>
      </w:pPr>
      <w:r>
        <w:rPr>
          <w:b/>
          <w:u w:val="single"/>
        </w:rPr>
        <w:t>THE SHOULDER AND ARM</w:t>
      </w:r>
    </w:p>
    <w:p w:rsidR="009E1DCC" w:rsidRPr="00B7635F" w:rsidRDefault="009E1DCC" w:rsidP="00691877">
      <w:pPr>
        <w:widowControl w:val="0"/>
        <w:numPr>
          <w:ilvl w:val="0"/>
          <w:numId w:val="45"/>
        </w:numPr>
        <w:tabs>
          <w:tab w:val="clear" w:pos="720"/>
          <w:tab w:val="left" w:pos="360"/>
        </w:tabs>
        <w:spacing w:after="120"/>
        <w:ind w:left="360"/>
        <w:rPr>
          <w:rFonts w:asciiTheme="minorHAnsi" w:hAnsiTheme="minorHAnsi"/>
          <w:b/>
          <w:sz w:val="24"/>
          <w:szCs w:val="24"/>
        </w:rPr>
      </w:pPr>
      <w:r>
        <w:t>shoulder = glenohumeral</w:t>
      </w:r>
      <w:r w:rsidR="00B7635F">
        <w:t xml:space="preserve"> / scapulohumeral</w:t>
      </w:r>
      <w:r>
        <w:t xml:space="preserve"> joint</w:t>
      </w:r>
      <w:r w:rsidR="00B7635F">
        <w:t>; between scapula &amp; humerus</w:t>
      </w:r>
    </w:p>
    <w:p w:rsidR="00B7635F" w:rsidRPr="00B7635F" w:rsidRDefault="00B7635F" w:rsidP="00691877">
      <w:pPr>
        <w:widowControl w:val="0"/>
        <w:numPr>
          <w:ilvl w:val="0"/>
          <w:numId w:val="45"/>
        </w:numPr>
        <w:tabs>
          <w:tab w:val="clear" w:pos="720"/>
          <w:tab w:val="left" w:pos="360"/>
        </w:tabs>
        <w:spacing w:after="120"/>
        <w:ind w:left="360"/>
        <w:rPr>
          <w:rFonts w:asciiTheme="minorHAnsi" w:hAnsiTheme="minorHAnsi"/>
          <w:b/>
          <w:sz w:val="24"/>
          <w:szCs w:val="24"/>
        </w:rPr>
      </w:pPr>
      <w:r>
        <w:t>5202 – impairment of humerus, including loss of head, nonunion, fibrous union, recurrent dislocation of the humerus at the scapulohumeral head, malunion</w:t>
      </w:r>
    </w:p>
    <w:p w:rsidR="00B7635F" w:rsidRPr="009E1DCC" w:rsidRDefault="00B7635F" w:rsidP="00691877">
      <w:pPr>
        <w:widowControl w:val="0"/>
        <w:numPr>
          <w:ilvl w:val="0"/>
          <w:numId w:val="45"/>
        </w:numPr>
        <w:tabs>
          <w:tab w:val="clear" w:pos="720"/>
          <w:tab w:val="left" w:pos="360"/>
        </w:tabs>
        <w:spacing w:after="120"/>
        <w:ind w:left="360"/>
        <w:rPr>
          <w:rFonts w:asciiTheme="minorHAnsi" w:hAnsiTheme="minorHAnsi"/>
          <w:b/>
          <w:sz w:val="24"/>
          <w:szCs w:val="24"/>
        </w:rPr>
      </w:pPr>
      <w:r>
        <w:t>5203 – impairment of the clavicle or scapula, including dislocation, nonunion, malunion</w:t>
      </w:r>
    </w:p>
    <w:p w:rsidR="00BE01B0" w:rsidRPr="00E51562" w:rsidRDefault="00D571C5" w:rsidP="00691877">
      <w:pPr>
        <w:widowControl w:val="0"/>
        <w:numPr>
          <w:ilvl w:val="0"/>
          <w:numId w:val="45"/>
        </w:numPr>
        <w:tabs>
          <w:tab w:val="clear" w:pos="720"/>
          <w:tab w:val="left" w:pos="360"/>
        </w:tabs>
        <w:spacing w:after="120"/>
        <w:ind w:left="360"/>
        <w:rPr>
          <w:rFonts w:asciiTheme="minorHAnsi" w:hAnsiTheme="minorHAnsi"/>
          <w:b/>
          <w:sz w:val="24"/>
          <w:szCs w:val="24"/>
        </w:rPr>
      </w:pPr>
      <w:hyperlink r:id="rId501" w:history="1">
        <w:r w:rsidR="00BE01B0" w:rsidRPr="00BE01B0">
          <w:rPr>
            <w:rStyle w:val="Hyperlink"/>
            <w:rFonts w:asciiTheme="minorHAnsi" w:hAnsiTheme="minorHAnsi"/>
            <w:b/>
            <w:i/>
            <w:sz w:val="24"/>
            <w:szCs w:val="24"/>
          </w:rPr>
          <w:t>2/15/13 DBQ Call</w:t>
        </w:r>
      </w:hyperlink>
      <w:r w:rsidR="00BE01B0" w:rsidRPr="00BE01B0">
        <w:rPr>
          <w:rFonts w:asciiTheme="minorHAnsi" w:hAnsiTheme="minorHAnsi"/>
          <w:b/>
          <w:sz w:val="24"/>
          <w:szCs w:val="24"/>
        </w:rPr>
        <w:t xml:space="preserve"> – </w:t>
      </w:r>
      <w:r w:rsidR="00BE01B0" w:rsidRPr="00BE01B0">
        <w:rPr>
          <w:rFonts w:ascii="Calibri" w:hAnsi="Calibri"/>
          <w:sz w:val="24"/>
          <w:szCs w:val="24"/>
        </w:rPr>
        <w:t xml:space="preserve">Diagnostic code 5203 pertains to dislocation of the AC (acromioclavicular) or the sternoclavicular joint.  Diagnostic code 5202 involves only dislocation of the glenohumeral or scapulohumeral joint.  Dislocation of the AC or sternoclavicular joint does not warrant application of Diagnostic code 5202.  Additionally, the evidence must show a current dislocation in order for a 20 percent evaluation to be assigned under Diagnostic code 5203.  Diagnostic code 5203 contemplates a chronic position of dislocation which would not be a common finding.  </w:t>
      </w:r>
    </w:p>
    <w:p w:rsidR="004F6E79" w:rsidRPr="00671E26" w:rsidRDefault="005F41B6" w:rsidP="00691877">
      <w:pPr>
        <w:pStyle w:val="ListParagraph"/>
        <w:numPr>
          <w:ilvl w:val="0"/>
          <w:numId w:val="45"/>
        </w:numPr>
        <w:tabs>
          <w:tab w:val="clear" w:pos="720"/>
          <w:tab w:val="num" w:pos="360"/>
        </w:tabs>
        <w:spacing w:after="120"/>
        <w:ind w:left="360"/>
        <w:rPr>
          <w:rStyle w:val="Strong"/>
          <w:rFonts w:ascii="Arial" w:hAnsi="Arial"/>
          <w:b w:val="0"/>
          <w:bCs w:val="0"/>
          <w:sz w:val="18"/>
          <w:szCs w:val="20"/>
        </w:rPr>
      </w:pPr>
      <w:r>
        <w:rPr>
          <w:rStyle w:val="Strong"/>
          <w:rFonts w:ascii="Arial" w:hAnsi="Arial"/>
          <w:sz w:val="20"/>
          <w:szCs w:val="21"/>
        </w:rPr>
        <w:t>III.iv.4.A.3.</w:t>
      </w:r>
      <w:r w:rsidR="004F6E79" w:rsidRPr="004F6E79">
        <w:rPr>
          <w:rStyle w:val="Strong"/>
          <w:rFonts w:ascii="Arial" w:hAnsi="Arial"/>
          <w:sz w:val="20"/>
          <w:szCs w:val="21"/>
        </w:rPr>
        <w:t>a</w:t>
      </w:r>
      <w:r w:rsidR="007E5875">
        <w:rPr>
          <w:rStyle w:val="Strong"/>
          <w:rFonts w:ascii="Arial" w:hAnsi="Arial"/>
          <w:sz w:val="20"/>
          <w:szCs w:val="21"/>
        </w:rPr>
        <w:t xml:space="preserve"> - </w:t>
      </w:r>
      <w:r w:rsidR="007E5875" w:rsidRPr="00E51562">
        <w:rPr>
          <w:rFonts w:ascii="Arial" w:hAnsi="Arial"/>
          <w:sz w:val="20"/>
          <w:szCs w:val="20"/>
        </w:rPr>
        <w:t xml:space="preserve">Separate evaluations may be given for disabilities of the shoulder and arm under DCs 5201, 5202, or 5203 if the manifestations represent separate and distinct symptomatology that are neither duplicative nor overlapping.  </w:t>
      </w:r>
    </w:p>
    <w:p w:rsidR="00671E26" w:rsidRPr="00E4797E" w:rsidRDefault="005F41B6" w:rsidP="00691877">
      <w:pPr>
        <w:pStyle w:val="ListParagraph"/>
        <w:numPr>
          <w:ilvl w:val="0"/>
          <w:numId w:val="45"/>
        </w:numPr>
        <w:tabs>
          <w:tab w:val="clear" w:pos="720"/>
          <w:tab w:val="num" w:pos="360"/>
        </w:tabs>
        <w:spacing w:after="120"/>
        <w:ind w:left="360"/>
        <w:rPr>
          <w:rStyle w:val="Strong"/>
          <w:rFonts w:ascii="Arial" w:hAnsi="Arial"/>
          <w:b w:val="0"/>
          <w:bCs w:val="0"/>
          <w:sz w:val="18"/>
          <w:szCs w:val="20"/>
        </w:rPr>
      </w:pPr>
      <w:r>
        <w:rPr>
          <w:rStyle w:val="Strong"/>
          <w:rFonts w:ascii="Arial" w:hAnsi="Arial"/>
          <w:sz w:val="20"/>
          <w:szCs w:val="21"/>
        </w:rPr>
        <w:t>III.iv.4.A.3</w:t>
      </w:r>
      <w:r w:rsidR="00E4797E" w:rsidRPr="00E4797E">
        <w:rPr>
          <w:rStyle w:val="Strong"/>
          <w:rFonts w:ascii="Arial" w:hAnsi="Arial"/>
          <w:sz w:val="20"/>
          <w:szCs w:val="21"/>
        </w:rPr>
        <w:t xml:space="preserve">.b </w:t>
      </w:r>
      <w:r w:rsidR="00E4797E" w:rsidRPr="00E4797E">
        <w:rPr>
          <w:rStyle w:val="Strong"/>
          <w:rFonts w:ascii="Arial" w:hAnsi="Arial"/>
          <w:b w:val="0"/>
          <w:sz w:val="20"/>
          <w:szCs w:val="21"/>
        </w:rPr>
        <w:t>shows when you</w:t>
      </w:r>
      <w:r w:rsidR="00E4797E" w:rsidRPr="00E4797E">
        <w:rPr>
          <w:rStyle w:val="Strong"/>
          <w:rFonts w:ascii="Arial" w:hAnsi="Arial"/>
          <w:sz w:val="20"/>
          <w:szCs w:val="21"/>
        </w:rPr>
        <w:t xml:space="preserve"> </w:t>
      </w:r>
      <w:r w:rsidR="00EB7F82" w:rsidRPr="00EB7F82">
        <w:rPr>
          <w:rStyle w:val="Strong"/>
          <w:rFonts w:ascii="Arial" w:hAnsi="Arial"/>
          <w:b w:val="0"/>
          <w:sz w:val="20"/>
          <w:szCs w:val="21"/>
        </w:rPr>
        <w:t>should</w:t>
      </w:r>
      <w:r w:rsidR="00EB7F82">
        <w:rPr>
          <w:rStyle w:val="Strong"/>
          <w:rFonts w:ascii="Arial" w:hAnsi="Arial"/>
          <w:sz w:val="20"/>
          <w:szCs w:val="21"/>
        </w:rPr>
        <w:t xml:space="preserve"> </w:t>
      </w:r>
      <w:r w:rsidR="00E4797E">
        <w:rPr>
          <w:rStyle w:val="Strong"/>
          <w:rFonts w:ascii="Arial" w:hAnsi="Arial"/>
          <w:b w:val="0"/>
          <w:sz w:val="20"/>
          <w:szCs w:val="21"/>
        </w:rPr>
        <w:t>che</w:t>
      </w:r>
      <w:r w:rsidR="00EB7F82">
        <w:rPr>
          <w:rStyle w:val="Strong"/>
          <w:rFonts w:ascii="Arial" w:hAnsi="Arial"/>
          <w:b w:val="0"/>
          <w:sz w:val="20"/>
          <w:szCs w:val="21"/>
        </w:rPr>
        <w:t>ck this box:</w:t>
      </w:r>
    </w:p>
    <w:p w:rsidR="00671E26" w:rsidRDefault="00671E26" w:rsidP="00671E26">
      <w:pPr>
        <w:pStyle w:val="ListParagraph"/>
        <w:spacing w:after="120"/>
        <w:ind w:left="360"/>
        <w:rPr>
          <w:rFonts w:ascii="Arial" w:hAnsi="Arial"/>
          <w:sz w:val="18"/>
          <w:szCs w:val="20"/>
        </w:rPr>
      </w:pPr>
      <w:r>
        <w:rPr>
          <w:noProof/>
        </w:rPr>
        <w:drawing>
          <wp:inline distT="0" distB="0" distL="0" distR="0" wp14:anchorId="285DBCF6" wp14:editId="2F26EF6D">
            <wp:extent cx="2264735" cy="1247246"/>
            <wp:effectExtent l="0" t="0" r="254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2"/>
                    <a:stretch>
                      <a:fillRect/>
                    </a:stretch>
                  </pic:blipFill>
                  <pic:spPr>
                    <a:xfrm>
                      <a:off x="0" y="0"/>
                      <a:ext cx="2267510" cy="1248774"/>
                    </a:xfrm>
                    <a:prstGeom prst="rect">
                      <a:avLst/>
                    </a:prstGeom>
                  </pic:spPr>
                </pic:pic>
              </a:graphicData>
            </a:graphic>
          </wp:inline>
        </w:drawing>
      </w:r>
    </w:p>
    <w:p w:rsidR="00BA412C" w:rsidRDefault="00BA412C">
      <w:pPr>
        <w:overflowPunct/>
        <w:autoSpaceDE/>
        <w:autoSpaceDN/>
        <w:adjustRightInd/>
        <w:textAlignment w:val="auto"/>
        <w:rPr>
          <w:i/>
          <w:szCs w:val="21"/>
        </w:rPr>
      </w:pPr>
    </w:p>
    <w:p w:rsidR="00AA1019" w:rsidRPr="00AA1019" w:rsidRDefault="00E4797E" w:rsidP="00AA1019">
      <w:pPr>
        <w:ind w:left="360"/>
        <w:rPr>
          <w:rFonts w:ascii="Calibri" w:hAnsi="Calibri"/>
          <w:i/>
        </w:rPr>
      </w:pPr>
      <w:r w:rsidRPr="00AA1019">
        <w:rPr>
          <w:i/>
          <w:szCs w:val="21"/>
        </w:rPr>
        <w:t>humeral fracture resulting in restriction of arm motion at shoulder level (20% under 5202-5201 because humerus affects ROM) &amp; clavicular fracture resulting in malunion of the clavicle (10% under 5203, only warranted because does not affect ROM)</w:t>
      </w:r>
      <w:r w:rsidR="00BA412C">
        <w:rPr>
          <w:i/>
          <w:szCs w:val="21"/>
        </w:rPr>
        <w:t>.</w:t>
      </w:r>
      <w:r w:rsidR="00AA1019" w:rsidRPr="00AA1019">
        <w:rPr>
          <w:i/>
          <w:szCs w:val="21"/>
        </w:rPr>
        <w:t xml:space="preserve"> </w:t>
      </w:r>
      <w:r w:rsidR="00AA1019" w:rsidRPr="00AA1019">
        <w:rPr>
          <w:rFonts w:ascii="Calibri" w:hAnsi="Calibri"/>
          <w:i/>
        </w:rPr>
        <w:t>*If don’t enter anything under Humerus (DC 5202), will need to add 5202 to the 5201</w:t>
      </w:r>
      <w:r w:rsidR="00993E2A">
        <w:rPr>
          <w:rFonts w:ascii="Calibri" w:hAnsi="Calibri"/>
          <w:i/>
        </w:rPr>
        <w:t xml:space="preserve"> if the humerus is involved</w:t>
      </w:r>
      <w:r w:rsidR="00BA412C">
        <w:rPr>
          <w:rFonts w:ascii="Calibri" w:hAnsi="Calibri"/>
          <w:i/>
        </w:rPr>
        <w:t>:</w:t>
      </w:r>
    </w:p>
    <w:p w:rsidR="00E4797E" w:rsidRDefault="00E4797E" w:rsidP="00AA1019">
      <w:pPr>
        <w:ind w:left="360"/>
        <w:rPr>
          <w:rFonts w:ascii="Calibri" w:hAnsi="Calibri"/>
        </w:rPr>
      </w:pPr>
      <w:r>
        <w:rPr>
          <w:noProof/>
        </w:rPr>
        <w:drawing>
          <wp:inline distT="0" distB="0" distL="0" distR="0" wp14:anchorId="03BBFC12" wp14:editId="5DC1FF5A">
            <wp:extent cx="4446202" cy="3636335"/>
            <wp:effectExtent l="0" t="0" r="0" b="2540"/>
            <wp:docPr id="24585" name="Picture 24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3">
                      <a:extLst>
                        <a:ext uri="{28A0092B-C50C-407E-A947-70E740481C1C}">
                          <a14:useLocalDpi xmlns:a14="http://schemas.microsoft.com/office/drawing/2010/main" val="0"/>
                        </a:ext>
                      </a:extLst>
                    </a:blip>
                    <a:srcRect/>
                    <a:stretch>
                      <a:fillRect/>
                    </a:stretch>
                  </pic:blipFill>
                  <pic:spPr bwMode="auto">
                    <a:xfrm>
                      <a:off x="0" y="0"/>
                      <a:ext cx="4450971" cy="3640235"/>
                    </a:xfrm>
                    <a:prstGeom prst="rect">
                      <a:avLst/>
                    </a:prstGeom>
                    <a:noFill/>
                    <a:ln>
                      <a:noFill/>
                    </a:ln>
                  </pic:spPr>
                </pic:pic>
              </a:graphicData>
            </a:graphic>
          </wp:inline>
        </w:drawing>
      </w:r>
    </w:p>
    <w:p w:rsidR="00E4797E" w:rsidRDefault="00E4797E" w:rsidP="00E4797E">
      <w:pPr>
        <w:rPr>
          <w:rFonts w:ascii="Calibri" w:hAnsi="Calibri"/>
        </w:rPr>
      </w:pPr>
    </w:p>
    <w:p w:rsidR="00E4797E" w:rsidRDefault="00E4797E" w:rsidP="00E4797E">
      <w:pPr>
        <w:rPr>
          <w:rFonts w:ascii="Calibri" w:hAnsi="Calibri"/>
        </w:rPr>
      </w:pPr>
    </w:p>
    <w:p w:rsidR="00E4797E" w:rsidRPr="00AA1019" w:rsidRDefault="00E4797E" w:rsidP="00AA1019">
      <w:pPr>
        <w:ind w:left="360"/>
        <w:rPr>
          <w:rFonts w:ascii="Calibri" w:hAnsi="Calibri"/>
          <w:i/>
        </w:rPr>
      </w:pPr>
      <w:r w:rsidRPr="00AA1019">
        <w:rPr>
          <w:rFonts w:ascii="Calibri" w:hAnsi="Calibri"/>
          <w:i/>
        </w:rPr>
        <w:t>If check “Clavicle/Scapula affect Range of Motion</w:t>
      </w:r>
      <w:r w:rsidR="001946CC">
        <w:rPr>
          <w:rFonts w:ascii="Calibri" w:hAnsi="Calibri"/>
          <w:i/>
        </w:rPr>
        <w:t>,”</w:t>
      </w:r>
      <w:r w:rsidRPr="00AA1019">
        <w:rPr>
          <w:rFonts w:ascii="Calibri" w:hAnsi="Calibri"/>
          <w:i/>
        </w:rPr>
        <w:t xml:space="preserve"> will only get 20% under 5201</w:t>
      </w:r>
      <w:r w:rsidR="00BA412C">
        <w:rPr>
          <w:rFonts w:ascii="Calibri" w:hAnsi="Calibri"/>
          <w:i/>
        </w:rPr>
        <w:t>:</w:t>
      </w:r>
    </w:p>
    <w:p w:rsidR="00E4797E" w:rsidRDefault="00E4797E" w:rsidP="00AA1019">
      <w:pPr>
        <w:ind w:left="360"/>
        <w:rPr>
          <w:rFonts w:ascii="Calibri" w:hAnsi="Calibri"/>
        </w:rPr>
      </w:pPr>
      <w:r>
        <w:rPr>
          <w:noProof/>
        </w:rPr>
        <w:drawing>
          <wp:inline distT="0" distB="0" distL="0" distR="0" wp14:anchorId="766DFE1A" wp14:editId="74BA268D">
            <wp:extent cx="4465674" cy="3698235"/>
            <wp:effectExtent l="0" t="0" r="0" b="0"/>
            <wp:docPr id="24584" name="Picture 24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4">
                      <a:extLst>
                        <a:ext uri="{28A0092B-C50C-407E-A947-70E740481C1C}">
                          <a14:useLocalDpi xmlns:a14="http://schemas.microsoft.com/office/drawing/2010/main" val="0"/>
                        </a:ext>
                      </a:extLst>
                    </a:blip>
                    <a:srcRect/>
                    <a:stretch>
                      <a:fillRect/>
                    </a:stretch>
                  </pic:blipFill>
                  <pic:spPr bwMode="auto">
                    <a:xfrm>
                      <a:off x="0" y="0"/>
                      <a:ext cx="4465640" cy="3698207"/>
                    </a:xfrm>
                    <a:prstGeom prst="rect">
                      <a:avLst/>
                    </a:prstGeom>
                    <a:noFill/>
                    <a:ln>
                      <a:noFill/>
                    </a:ln>
                  </pic:spPr>
                </pic:pic>
              </a:graphicData>
            </a:graphic>
          </wp:inline>
        </w:drawing>
      </w:r>
    </w:p>
    <w:p w:rsidR="00EB7F82" w:rsidRDefault="00EB7F82" w:rsidP="00AA1019">
      <w:pPr>
        <w:ind w:left="360"/>
        <w:rPr>
          <w:rFonts w:ascii="Calibri" w:hAnsi="Calibri"/>
        </w:rPr>
      </w:pPr>
    </w:p>
    <w:p w:rsidR="00BA412C" w:rsidRDefault="00BA412C">
      <w:pPr>
        <w:overflowPunct/>
        <w:autoSpaceDE/>
        <w:autoSpaceDN/>
        <w:adjustRightInd/>
        <w:textAlignment w:val="auto"/>
      </w:pPr>
    </w:p>
    <w:p w:rsidR="00EB7F82" w:rsidRPr="00BA412C" w:rsidRDefault="00EB7F82" w:rsidP="00EB7F82">
      <w:pPr>
        <w:ind w:left="360"/>
        <w:rPr>
          <w:i/>
        </w:rPr>
      </w:pPr>
      <w:r w:rsidRPr="00BA412C">
        <w:rPr>
          <w:i/>
        </w:rPr>
        <w:t>If you have normal ROM, but recurrent dislocation (subluxation) of the glenohumeral (scapulohumeral) joint under 5202</w:t>
      </w:r>
      <w:r w:rsidR="00BA412C" w:rsidRPr="00BA412C">
        <w:rPr>
          <w:i/>
        </w:rPr>
        <w:t xml:space="preserve"> with infrequent episodes &amp; guard</w:t>
      </w:r>
      <w:r w:rsidR="009E1DCC">
        <w:rPr>
          <w:i/>
        </w:rPr>
        <w:t>ing</w:t>
      </w:r>
      <w:r w:rsidR="00BA412C" w:rsidRPr="00BA412C">
        <w:rPr>
          <w:i/>
        </w:rPr>
        <w:t xml:space="preserve"> at the shoulder leve</w:t>
      </w:r>
      <w:r w:rsidR="00BA412C">
        <w:rPr>
          <w:i/>
        </w:rPr>
        <w:t>l. *</w:t>
      </w:r>
      <w:r w:rsidR="00BA412C" w:rsidRPr="00BA412C">
        <w:rPr>
          <w:i/>
        </w:rPr>
        <w:t>w</w:t>
      </w:r>
      <w:r w:rsidR="00BA412C" w:rsidRPr="00BA412C">
        <w:rPr>
          <w:rFonts w:ascii="Calibri" w:hAnsi="Calibri"/>
          <w:i/>
        </w:rPr>
        <w:t>hether or not you check “Humerus affects Range of Motion</w:t>
      </w:r>
      <w:r w:rsidR="001946CC">
        <w:rPr>
          <w:rFonts w:ascii="Calibri" w:hAnsi="Calibri"/>
          <w:i/>
        </w:rPr>
        <w:t>,”</w:t>
      </w:r>
      <w:r w:rsidR="00BA412C" w:rsidRPr="00BA412C">
        <w:rPr>
          <w:rFonts w:ascii="Calibri" w:hAnsi="Calibri"/>
          <w:i/>
        </w:rPr>
        <w:t xml:space="preserve"> you get 5202 20%</w:t>
      </w:r>
      <w:r w:rsidRPr="00BA412C">
        <w:rPr>
          <w:i/>
        </w:rPr>
        <w:t>:</w:t>
      </w:r>
    </w:p>
    <w:p w:rsidR="00EB7F82" w:rsidRDefault="00EB7F82" w:rsidP="00EB7F82">
      <w:pPr>
        <w:ind w:left="360"/>
        <w:rPr>
          <w:rFonts w:ascii="Calibri" w:hAnsi="Calibri"/>
        </w:rPr>
      </w:pPr>
      <w:r>
        <w:rPr>
          <w:noProof/>
        </w:rPr>
        <w:drawing>
          <wp:inline distT="0" distB="0" distL="0" distR="0" wp14:anchorId="2465D9D9" wp14:editId="72631F96">
            <wp:extent cx="3944679" cy="2659411"/>
            <wp:effectExtent l="0" t="0" r="0" b="7620"/>
            <wp:docPr id="24656" name="Picture 24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5"/>
                    <a:stretch>
                      <a:fillRect/>
                    </a:stretch>
                  </pic:blipFill>
                  <pic:spPr>
                    <a:xfrm>
                      <a:off x="0" y="0"/>
                      <a:ext cx="3950111" cy="2663073"/>
                    </a:xfrm>
                    <a:prstGeom prst="rect">
                      <a:avLst/>
                    </a:prstGeom>
                  </pic:spPr>
                </pic:pic>
              </a:graphicData>
            </a:graphic>
          </wp:inline>
        </w:drawing>
      </w:r>
    </w:p>
    <w:p w:rsidR="00EB7F82" w:rsidRDefault="00EB7F82" w:rsidP="00BA412C">
      <w:pPr>
        <w:rPr>
          <w:rFonts w:ascii="Calibri" w:hAnsi="Calibri"/>
          <w:i/>
        </w:rPr>
      </w:pPr>
    </w:p>
    <w:p w:rsidR="007B7545" w:rsidRDefault="00C51439" w:rsidP="007B7545">
      <w:pPr>
        <w:spacing w:after="120"/>
        <w:ind w:left="450"/>
        <w:rPr>
          <w:i/>
          <w:color w:val="00B050"/>
        </w:rPr>
      </w:pPr>
      <w:r w:rsidRPr="009E1DCC">
        <w:rPr>
          <w:i/>
          <w:color w:val="00B050"/>
        </w:rPr>
        <w:t xml:space="preserve">My Notes:  </w:t>
      </w:r>
    </w:p>
    <w:p w:rsidR="007B7545" w:rsidRPr="007B7545" w:rsidRDefault="007B7545" w:rsidP="00F063AF">
      <w:pPr>
        <w:pStyle w:val="ListParagraph"/>
        <w:numPr>
          <w:ilvl w:val="0"/>
          <w:numId w:val="413"/>
        </w:numPr>
        <w:spacing w:after="120" w:line="240" w:lineRule="auto"/>
        <w:ind w:left="810"/>
        <w:rPr>
          <w:rFonts w:ascii="Arial" w:hAnsi="Arial"/>
          <w:i/>
          <w:sz w:val="20"/>
          <w:szCs w:val="20"/>
        </w:rPr>
      </w:pPr>
      <w:r w:rsidRPr="007B7545">
        <w:rPr>
          <w:rFonts w:ascii="Arial" w:hAnsi="Arial"/>
          <w:i/>
          <w:sz w:val="20"/>
          <w:szCs w:val="20"/>
        </w:rPr>
        <w:t xml:space="preserve">If </w:t>
      </w:r>
      <w:r w:rsidR="00C51439" w:rsidRPr="007B7545">
        <w:rPr>
          <w:rFonts w:ascii="Arial" w:hAnsi="Arial"/>
          <w:i/>
          <w:sz w:val="20"/>
          <w:szCs w:val="20"/>
        </w:rPr>
        <w:t>you can get separate evaluations under 5202 or 5203 unless ROM is affect</w:t>
      </w:r>
      <w:r w:rsidR="00101036" w:rsidRPr="007B7545">
        <w:rPr>
          <w:rFonts w:ascii="Arial" w:hAnsi="Arial"/>
          <w:i/>
          <w:sz w:val="20"/>
          <w:szCs w:val="20"/>
        </w:rPr>
        <w:t>ed</w:t>
      </w:r>
      <w:r w:rsidR="00FF4BF2" w:rsidRPr="007B7545">
        <w:rPr>
          <w:rFonts w:ascii="Arial" w:hAnsi="Arial"/>
          <w:i/>
          <w:sz w:val="20"/>
          <w:szCs w:val="20"/>
        </w:rPr>
        <w:t xml:space="preserve"> (by the </w:t>
      </w:r>
      <w:r>
        <w:rPr>
          <w:rFonts w:ascii="Arial" w:hAnsi="Arial"/>
          <w:i/>
          <w:sz w:val="20"/>
          <w:szCs w:val="20"/>
        </w:rPr>
        <w:t xml:space="preserve">humerus </w:t>
      </w:r>
      <w:r w:rsidR="00FF4BF2" w:rsidRPr="007B7545">
        <w:rPr>
          <w:rFonts w:ascii="Arial" w:hAnsi="Arial"/>
          <w:i/>
          <w:sz w:val="20"/>
          <w:szCs w:val="20"/>
        </w:rPr>
        <w:t xml:space="preserve">or by the </w:t>
      </w:r>
      <w:r>
        <w:rPr>
          <w:rFonts w:ascii="Arial" w:hAnsi="Arial"/>
          <w:i/>
          <w:sz w:val="20"/>
          <w:szCs w:val="20"/>
        </w:rPr>
        <w:t>clavicle, respectively</w:t>
      </w:r>
      <w:r w:rsidR="00FF4BF2" w:rsidRPr="007B7545">
        <w:rPr>
          <w:rFonts w:ascii="Arial" w:hAnsi="Arial"/>
          <w:i/>
          <w:sz w:val="20"/>
          <w:szCs w:val="20"/>
        </w:rPr>
        <w:t>)</w:t>
      </w:r>
      <w:r w:rsidR="00B453EA" w:rsidRPr="007B7545">
        <w:rPr>
          <w:rFonts w:ascii="Arial" w:hAnsi="Arial"/>
          <w:i/>
          <w:sz w:val="20"/>
          <w:szCs w:val="20"/>
        </w:rPr>
        <w:t>. If ROM is limited</w:t>
      </w:r>
      <w:r w:rsidR="00C51439" w:rsidRPr="007B7545">
        <w:rPr>
          <w:rFonts w:ascii="Arial" w:hAnsi="Arial"/>
          <w:i/>
          <w:sz w:val="20"/>
          <w:szCs w:val="20"/>
        </w:rPr>
        <w:t xml:space="preserve">, you check the box &amp; </w:t>
      </w:r>
      <w:r w:rsidR="009E1DCC" w:rsidRPr="007B7545">
        <w:rPr>
          <w:rFonts w:ascii="Arial" w:hAnsi="Arial"/>
          <w:i/>
          <w:sz w:val="20"/>
          <w:szCs w:val="20"/>
        </w:rPr>
        <w:t>you can only get one eval</w:t>
      </w:r>
      <w:r w:rsidR="00B7635F" w:rsidRPr="007B7545">
        <w:rPr>
          <w:rFonts w:ascii="Arial" w:hAnsi="Arial"/>
          <w:i/>
          <w:sz w:val="20"/>
          <w:szCs w:val="20"/>
        </w:rPr>
        <w:t xml:space="preserve">uation under 5201. </w:t>
      </w:r>
    </w:p>
    <w:p w:rsidR="007B7545" w:rsidRDefault="00B7635F" w:rsidP="00F063AF">
      <w:pPr>
        <w:pStyle w:val="ListParagraph"/>
        <w:numPr>
          <w:ilvl w:val="0"/>
          <w:numId w:val="413"/>
        </w:numPr>
        <w:spacing w:after="120" w:line="240" w:lineRule="auto"/>
        <w:ind w:left="810"/>
        <w:rPr>
          <w:rFonts w:ascii="Arial" w:hAnsi="Arial"/>
          <w:i/>
          <w:sz w:val="20"/>
          <w:szCs w:val="20"/>
        </w:rPr>
      </w:pPr>
      <w:r w:rsidRPr="007B7545">
        <w:rPr>
          <w:rFonts w:ascii="Arial" w:hAnsi="Arial"/>
          <w:i/>
          <w:sz w:val="20"/>
          <w:szCs w:val="20"/>
        </w:rPr>
        <w:t>The examiners need to tell us if the clavicle or scapula condition affects the ROM of the shoulder</w:t>
      </w:r>
      <w:r w:rsidR="007B7545">
        <w:rPr>
          <w:rFonts w:ascii="Arial" w:hAnsi="Arial"/>
          <w:i/>
          <w:sz w:val="20"/>
          <w:szCs w:val="20"/>
        </w:rPr>
        <w:t xml:space="preserve"> </w:t>
      </w:r>
      <w:r w:rsidRPr="007B7545">
        <w:rPr>
          <w:rFonts w:ascii="Arial" w:hAnsi="Arial"/>
          <w:i/>
          <w:sz w:val="20"/>
          <w:szCs w:val="20"/>
        </w:rPr>
        <w:t>/</w:t>
      </w:r>
      <w:r w:rsidR="007B7545">
        <w:rPr>
          <w:rFonts w:ascii="Arial" w:hAnsi="Arial"/>
          <w:i/>
          <w:sz w:val="20"/>
          <w:szCs w:val="20"/>
        </w:rPr>
        <w:t xml:space="preserve"> </w:t>
      </w:r>
      <w:r w:rsidRPr="007B7545">
        <w:rPr>
          <w:rFonts w:ascii="Arial" w:hAnsi="Arial"/>
          <w:i/>
          <w:sz w:val="20"/>
          <w:szCs w:val="20"/>
        </w:rPr>
        <w:t>glenohumeral joint (8C</w:t>
      </w:r>
      <w:r w:rsidR="00692495" w:rsidRPr="007B7545">
        <w:rPr>
          <w:rFonts w:ascii="Arial" w:hAnsi="Arial"/>
          <w:i/>
          <w:sz w:val="20"/>
          <w:szCs w:val="20"/>
        </w:rPr>
        <w:t>)</w:t>
      </w:r>
      <w:r w:rsidRPr="007B7545">
        <w:rPr>
          <w:rFonts w:ascii="Arial" w:hAnsi="Arial"/>
          <w:i/>
          <w:sz w:val="20"/>
          <w:szCs w:val="20"/>
        </w:rPr>
        <w:t xml:space="preserve"> [5203] or if the humerus condition affects the ROM of the shoulder</w:t>
      </w:r>
      <w:r w:rsidR="007B7545">
        <w:rPr>
          <w:rFonts w:ascii="Arial" w:hAnsi="Arial"/>
          <w:i/>
          <w:sz w:val="20"/>
          <w:szCs w:val="20"/>
        </w:rPr>
        <w:t xml:space="preserve"> </w:t>
      </w:r>
      <w:r w:rsidRPr="007B7545">
        <w:rPr>
          <w:rFonts w:ascii="Arial" w:hAnsi="Arial"/>
          <w:i/>
          <w:sz w:val="20"/>
          <w:szCs w:val="20"/>
        </w:rPr>
        <w:t>/</w:t>
      </w:r>
      <w:r w:rsidR="007B7545">
        <w:rPr>
          <w:rFonts w:ascii="Arial" w:hAnsi="Arial"/>
          <w:i/>
          <w:sz w:val="20"/>
          <w:szCs w:val="20"/>
        </w:rPr>
        <w:t xml:space="preserve"> </w:t>
      </w:r>
      <w:r w:rsidRPr="007B7545">
        <w:rPr>
          <w:rFonts w:ascii="Arial" w:hAnsi="Arial"/>
          <w:i/>
          <w:sz w:val="20"/>
          <w:szCs w:val="20"/>
        </w:rPr>
        <w:t>glenohumeral joint (9C</w:t>
      </w:r>
      <w:r w:rsidR="00692495" w:rsidRPr="007B7545">
        <w:rPr>
          <w:rFonts w:ascii="Arial" w:hAnsi="Arial"/>
          <w:i/>
          <w:sz w:val="20"/>
          <w:szCs w:val="20"/>
        </w:rPr>
        <w:t>)</w:t>
      </w:r>
      <w:r w:rsidR="00052A53" w:rsidRPr="007B7545">
        <w:rPr>
          <w:rFonts w:ascii="Arial" w:hAnsi="Arial"/>
          <w:i/>
          <w:sz w:val="20"/>
          <w:szCs w:val="20"/>
        </w:rPr>
        <w:t xml:space="preserve"> [5202].</w:t>
      </w:r>
      <w:r w:rsidR="00FF4BF2" w:rsidRPr="007B7545">
        <w:rPr>
          <w:rFonts w:ascii="Arial" w:hAnsi="Arial"/>
          <w:i/>
          <w:sz w:val="20"/>
          <w:szCs w:val="20"/>
        </w:rPr>
        <w:t xml:space="preserve"> </w:t>
      </w:r>
    </w:p>
    <w:p w:rsidR="007B7545" w:rsidRPr="007B7545" w:rsidRDefault="007B7545" w:rsidP="00F063AF">
      <w:pPr>
        <w:pStyle w:val="ListParagraph"/>
        <w:numPr>
          <w:ilvl w:val="0"/>
          <w:numId w:val="413"/>
        </w:numPr>
        <w:spacing w:after="120" w:line="240" w:lineRule="auto"/>
        <w:ind w:left="810"/>
        <w:rPr>
          <w:rFonts w:ascii="Arial" w:hAnsi="Arial"/>
          <w:szCs w:val="23"/>
        </w:rPr>
      </w:pPr>
      <w:r>
        <w:rPr>
          <w:rFonts w:ascii="Arial" w:hAnsi="Arial"/>
          <w:i/>
          <w:sz w:val="20"/>
          <w:szCs w:val="20"/>
        </w:rPr>
        <w:t xml:space="preserve">However, there are dislocation answers under  </w:t>
      </w:r>
      <w:r w:rsidRPr="007B7545">
        <w:rPr>
          <w:rFonts w:ascii="Arial" w:hAnsi="Arial"/>
          <w:sz w:val="20"/>
          <w:szCs w:val="20"/>
        </w:rPr>
        <w:t>“</w:t>
      </w:r>
      <w:r w:rsidRPr="007B7545">
        <w:rPr>
          <w:rFonts w:ascii="Courier" w:hAnsi="Courier"/>
          <w:szCs w:val="20"/>
        </w:rPr>
        <w:t xml:space="preserve">7. Shoulder instability, </w:t>
      </w:r>
      <w:r w:rsidRPr="007B7545">
        <w:rPr>
          <w:rFonts w:ascii="Courier" w:hAnsi="Courier"/>
        </w:rPr>
        <w:t>dislocation or labral pathology</w:t>
      </w:r>
      <w:r w:rsidRPr="007B7545">
        <w:rPr>
          <w:rFonts w:ascii="Arial" w:hAnsi="Arial"/>
          <w:i/>
          <w:sz w:val="20"/>
        </w:rPr>
        <w:t>"</w:t>
      </w:r>
      <w:r w:rsidRPr="007B7545">
        <w:rPr>
          <w:rFonts w:ascii="Arial" w:hAnsi="Arial"/>
          <w:i/>
          <w:sz w:val="20"/>
          <w:szCs w:val="23"/>
        </w:rPr>
        <w:t xml:space="preserve"> </w:t>
      </w:r>
      <w:r>
        <w:rPr>
          <w:rFonts w:ascii="Arial" w:hAnsi="Arial"/>
          <w:i/>
          <w:sz w:val="20"/>
          <w:szCs w:val="23"/>
        </w:rPr>
        <w:t xml:space="preserve"> which need to be entered under 5202 even if there is no true humerus condition. So, you can have </w:t>
      </w:r>
      <w:r w:rsidRPr="007B7545">
        <w:rPr>
          <w:rFonts w:ascii="Arial" w:hAnsi="Arial"/>
          <w:i/>
          <w:sz w:val="20"/>
          <w:szCs w:val="20"/>
        </w:rPr>
        <w:t>“No</w:t>
      </w:r>
      <w:r w:rsidRPr="007B7545">
        <w:rPr>
          <w:rFonts w:ascii="Arial" w:hAnsi="Arial"/>
          <w:i/>
          <w:sz w:val="20"/>
        </w:rPr>
        <w:t>”</w:t>
      </w:r>
      <w:r>
        <w:rPr>
          <w:rFonts w:ascii="Arial" w:hAnsi="Arial"/>
          <w:i/>
          <w:sz w:val="20"/>
        </w:rPr>
        <w:t xml:space="preserve"> for 9a &amp; 9b under </w:t>
      </w:r>
      <w:r w:rsidRPr="007B7545">
        <w:rPr>
          <w:rFonts w:ascii="Arial" w:hAnsi="Arial"/>
          <w:i/>
          <w:sz w:val="20"/>
          <w:szCs w:val="23"/>
        </w:rPr>
        <w:t>“</w:t>
      </w:r>
      <w:r w:rsidRPr="007B7545">
        <w:rPr>
          <w:rFonts w:ascii="Courier" w:hAnsi="Courier"/>
          <w:szCs w:val="20"/>
        </w:rPr>
        <w:t>9. Conditions or impairments of the humerus</w:t>
      </w:r>
      <w:r w:rsidRPr="007B7545">
        <w:rPr>
          <w:rFonts w:ascii="Arial" w:hAnsi="Arial"/>
          <w:i/>
          <w:sz w:val="20"/>
          <w:szCs w:val="20"/>
        </w:rPr>
        <w:t xml:space="preserve">,” </w:t>
      </w:r>
      <w:r>
        <w:rPr>
          <w:rFonts w:ascii="Arial" w:hAnsi="Arial"/>
          <w:i/>
          <w:sz w:val="20"/>
          <w:szCs w:val="20"/>
        </w:rPr>
        <w:t>plus no answer under</w:t>
      </w:r>
      <w:r w:rsidRPr="007B7545">
        <w:rPr>
          <w:rFonts w:ascii="Arial" w:hAnsi="Arial"/>
          <w:i/>
          <w:sz w:val="20"/>
          <w:szCs w:val="20"/>
        </w:rPr>
        <w:t xml:space="preserve"> 9c</w:t>
      </w:r>
      <w:r w:rsidRPr="007B7545">
        <w:rPr>
          <w:rFonts w:ascii="Arial" w:hAnsi="Arial"/>
          <w:i/>
          <w:sz w:val="20"/>
        </w:rPr>
        <w:t>)</w:t>
      </w:r>
      <w:r>
        <w:rPr>
          <w:rFonts w:ascii="Arial" w:hAnsi="Arial"/>
          <w:i/>
          <w:sz w:val="20"/>
        </w:rPr>
        <w:t>. In that situation</w:t>
      </w:r>
      <w:r w:rsidRPr="007B7545">
        <w:rPr>
          <w:rFonts w:ascii="Arial" w:hAnsi="Arial"/>
          <w:i/>
          <w:sz w:val="20"/>
        </w:rPr>
        <w:t xml:space="preserve">, we would need to check the box. </w:t>
      </w:r>
      <w:r w:rsidRPr="007B7545">
        <w:rPr>
          <w:rFonts w:ascii="Arial" w:hAnsi="Arial"/>
          <w:i/>
          <w:sz w:val="20"/>
          <w:szCs w:val="23"/>
        </w:rPr>
        <w:t>It’s odd to check the box “Humerus affects Range of Motion” when we have no actual humerus condition, but the way the</w:t>
      </w:r>
      <w:r>
        <w:rPr>
          <w:rFonts w:ascii="Arial" w:hAnsi="Arial"/>
          <w:i/>
          <w:sz w:val="20"/>
          <w:szCs w:val="23"/>
        </w:rPr>
        <w:t xml:space="preserve"> Rating S</w:t>
      </w:r>
      <w:r w:rsidRPr="007B7545">
        <w:rPr>
          <w:rFonts w:ascii="Arial" w:hAnsi="Arial"/>
          <w:i/>
          <w:sz w:val="20"/>
          <w:szCs w:val="23"/>
        </w:rPr>
        <w:t>chedule is written, 5202 is the only</w:t>
      </w:r>
      <w:r>
        <w:rPr>
          <w:rFonts w:ascii="Arial" w:hAnsi="Arial"/>
          <w:i/>
          <w:sz w:val="20"/>
          <w:szCs w:val="23"/>
        </w:rPr>
        <w:t xml:space="preserve"> place for dislocation symptoms.</w:t>
      </w:r>
    </w:p>
    <w:p w:rsidR="007B7545" w:rsidRPr="007B7545" w:rsidRDefault="007B7545" w:rsidP="00F063AF">
      <w:pPr>
        <w:pStyle w:val="ListParagraph"/>
        <w:numPr>
          <w:ilvl w:val="0"/>
          <w:numId w:val="413"/>
        </w:numPr>
        <w:spacing w:after="120" w:line="240" w:lineRule="auto"/>
        <w:ind w:left="810"/>
        <w:rPr>
          <w:rFonts w:ascii="Arial" w:hAnsi="Arial"/>
          <w:i/>
          <w:sz w:val="20"/>
          <w:szCs w:val="20"/>
        </w:rPr>
      </w:pPr>
      <w:r>
        <w:rPr>
          <w:rFonts w:ascii="Arial" w:hAnsi="Arial"/>
          <w:i/>
          <w:sz w:val="20"/>
          <w:szCs w:val="20"/>
        </w:rPr>
        <w:t xml:space="preserve">If there is </w:t>
      </w:r>
      <w:r w:rsidR="00FF4BF2" w:rsidRPr="007B7545">
        <w:rPr>
          <w:rFonts w:ascii="Arial" w:hAnsi="Arial"/>
          <w:i/>
          <w:sz w:val="20"/>
          <w:szCs w:val="20"/>
        </w:rPr>
        <w:t xml:space="preserve">just one disability, you would </w:t>
      </w:r>
      <w:r w:rsidR="000133C0">
        <w:rPr>
          <w:rFonts w:ascii="Arial" w:hAnsi="Arial"/>
          <w:i/>
          <w:sz w:val="20"/>
          <w:szCs w:val="20"/>
        </w:rPr>
        <w:t xml:space="preserve">also </w:t>
      </w:r>
      <w:r w:rsidR="00FF4BF2" w:rsidRPr="007B7545">
        <w:rPr>
          <w:rFonts w:ascii="Arial" w:hAnsi="Arial"/>
          <w:i/>
          <w:sz w:val="20"/>
          <w:szCs w:val="20"/>
        </w:rPr>
        <w:t>need to check the box even if the examiner did not give an answer, as there is no other disbility to account for the limited range of motion, and only one evaluation is warranted.</w:t>
      </w:r>
      <w:r w:rsidR="006C1A0E" w:rsidRPr="007B7545">
        <w:rPr>
          <w:rFonts w:ascii="Arial" w:hAnsi="Arial"/>
          <w:i/>
          <w:sz w:val="20"/>
          <w:szCs w:val="20"/>
        </w:rPr>
        <w:t xml:space="preserve"> </w:t>
      </w:r>
    </w:p>
    <w:p w:rsidR="007B7545" w:rsidRDefault="007B7545" w:rsidP="000133C0">
      <w:pPr>
        <w:pBdr>
          <w:top w:val="single" w:sz="4" w:space="1" w:color="auto"/>
          <w:left w:val="single" w:sz="4" w:space="4" w:color="auto"/>
          <w:bottom w:val="single" w:sz="4" w:space="1" w:color="auto"/>
          <w:right w:val="single" w:sz="4" w:space="4" w:color="auto"/>
        </w:pBdr>
        <w:ind w:left="450"/>
      </w:pPr>
      <w:r w:rsidRPr="007B7545">
        <w:t xml:space="preserve">Rating Note:  </w:t>
      </w:r>
      <w:r>
        <w:t>The examiner indicated there is no condition or impairment of the humerus under 9a &amp; 9b, so we are not asking for the answer to 9c</w:t>
      </w:r>
      <w:r w:rsidR="000133C0">
        <w:t>. The dislocation answers under #7 are entered, in the VEB, under 5202 &amp; I checked “Humerus affects Range of Motion” even though there is no true humerus condition, as separate evaluations under 5201 &amp; 5202 are not warranted.</w:t>
      </w:r>
    </w:p>
    <w:p w:rsidR="000133C0" w:rsidRDefault="000133C0" w:rsidP="000133C0">
      <w:pPr>
        <w:pBdr>
          <w:top w:val="single" w:sz="4" w:space="1" w:color="auto"/>
          <w:left w:val="single" w:sz="4" w:space="4" w:color="auto"/>
          <w:bottom w:val="single" w:sz="4" w:space="1" w:color="auto"/>
          <w:right w:val="single" w:sz="4" w:space="4" w:color="auto"/>
        </w:pBdr>
        <w:ind w:left="450"/>
      </w:pPr>
    </w:p>
    <w:p w:rsidR="000133C0" w:rsidRDefault="000133C0" w:rsidP="000133C0">
      <w:pPr>
        <w:pBdr>
          <w:top w:val="single" w:sz="4" w:space="1" w:color="auto"/>
          <w:left w:val="single" w:sz="4" w:space="4" w:color="auto"/>
          <w:bottom w:val="single" w:sz="4" w:space="1" w:color="auto"/>
          <w:right w:val="single" w:sz="4" w:space="4" w:color="auto"/>
        </w:pBdr>
        <w:ind w:left="450"/>
      </w:pPr>
      <w:r w:rsidRPr="007B7545">
        <w:t xml:space="preserve">Rating Note:  </w:t>
      </w:r>
      <w:r>
        <w:t>There is only one shoulder disability, so I checked “Humerus affects Range of Motion,” as separate evaluations under 5201 &amp; 5202 are not warranted.</w:t>
      </w:r>
    </w:p>
    <w:p w:rsidR="000133C0" w:rsidRPr="007B7545" w:rsidRDefault="000133C0" w:rsidP="007B7545">
      <w:pPr>
        <w:ind w:left="450"/>
      </w:pPr>
    </w:p>
    <w:p w:rsidR="00013EB8" w:rsidRDefault="00013EB8">
      <w:pPr>
        <w:widowControl w:val="0"/>
        <w:numPr>
          <w:ilvl w:val="12"/>
          <w:numId w:val="0"/>
        </w:numPr>
        <w:rPr>
          <w:i/>
        </w:rPr>
      </w:pPr>
    </w:p>
    <w:p w:rsidR="00013EB8" w:rsidRDefault="00013EB8">
      <w:pPr>
        <w:widowControl w:val="0"/>
        <w:numPr>
          <w:ilvl w:val="12"/>
          <w:numId w:val="0"/>
        </w:numPr>
        <w:pBdr>
          <w:top w:val="dashed" w:sz="4" w:space="1" w:color="auto"/>
        </w:pBdr>
        <w:rPr>
          <w:i/>
        </w:rPr>
      </w:pPr>
    </w:p>
    <w:p w:rsidR="00CB7E76" w:rsidRDefault="00013EB8">
      <w:pPr>
        <w:widowControl w:val="0"/>
        <w:numPr>
          <w:ilvl w:val="12"/>
          <w:numId w:val="0"/>
        </w:numPr>
        <w:rPr>
          <w:b/>
        </w:rPr>
      </w:pPr>
      <w:r>
        <w:rPr>
          <w:b/>
          <w:u w:val="single"/>
        </w:rPr>
        <w:t xml:space="preserve">THE ELBOW AND </w:t>
      </w:r>
      <w:r w:rsidRPr="00525152">
        <w:rPr>
          <w:b/>
          <w:u w:val="single"/>
        </w:rPr>
        <w:t>FOREARM</w:t>
      </w:r>
      <w:r w:rsidRPr="00525152">
        <w:rPr>
          <w:b/>
        </w:rPr>
        <w:t xml:space="preserve"> – </w:t>
      </w:r>
    </w:p>
    <w:p w:rsidR="00013EB8" w:rsidRDefault="00013EB8">
      <w:pPr>
        <w:pStyle w:val="Header"/>
        <w:widowControl w:val="0"/>
        <w:numPr>
          <w:ilvl w:val="12"/>
          <w:numId w:val="0"/>
        </w:numPr>
        <w:tabs>
          <w:tab w:val="clear" w:pos="4320"/>
          <w:tab w:val="clear" w:pos="8640"/>
        </w:tabs>
        <w:rPr>
          <w:iCs/>
        </w:rPr>
      </w:pPr>
    </w:p>
    <w:p w:rsidR="00271B60" w:rsidRPr="00CB7E76" w:rsidRDefault="00525152" w:rsidP="00F063AF">
      <w:pPr>
        <w:widowControl w:val="0"/>
        <w:numPr>
          <w:ilvl w:val="0"/>
          <w:numId w:val="139"/>
        </w:numPr>
        <w:tabs>
          <w:tab w:val="clear" w:pos="720"/>
          <w:tab w:val="num" w:pos="450"/>
        </w:tabs>
        <w:spacing w:after="120"/>
        <w:ind w:left="446"/>
        <w:rPr>
          <w:bCs/>
          <w:iCs/>
          <w:color w:val="0000FF"/>
        </w:rPr>
      </w:pPr>
      <w:r w:rsidRPr="00525152">
        <w:rPr>
          <w:b/>
          <w:bCs/>
        </w:rPr>
        <w:t>III.iv.4.A.1</w:t>
      </w:r>
      <w:r w:rsidR="00CB7E76">
        <w:rPr>
          <w:b/>
          <w:bCs/>
        </w:rPr>
        <w:t xml:space="preserve"> – </w:t>
      </w:r>
      <w:r w:rsidR="00CB7E76" w:rsidRPr="005830A4">
        <w:rPr>
          <w:bCs/>
        </w:rPr>
        <w:t>can give separate evals for 5206, 5207 &amp; 5213</w:t>
      </w:r>
    </w:p>
    <w:p w:rsidR="00CB7E76" w:rsidRPr="00631657" w:rsidRDefault="00CB7E76" w:rsidP="00CB7E76">
      <w:pPr>
        <w:ind w:left="450"/>
      </w:pPr>
      <w:r>
        <w:t>5206 – right/left elbow {} with limitation of extension</w:t>
      </w:r>
    </w:p>
    <w:p w:rsidR="00CB7E76" w:rsidRPr="00631657" w:rsidRDefault="00CB7E76" w:rsidP="00CB7E76">
      <w:pPr>
        <w:ind w:left="450"/>
      </w:pPr>
      <w:r>
        <w:t>5207 – right/left elbow {} with limitation of flexion</w:t>
      </w:r>
    </w:p>
    <w:p w:rsidR="00CB7E76" w:rsidRDefault="00FA29CC" w:rsidP="00CB7E76">
      <w:pPr>
        <w:spacing w:after="120"/>
        <w:ind w:left="450"/>
      </w:pPr>
      <w:r>
        <w:t>5213 – right/left elbow</w:t>
      </w:r>
      <w:r w:rsidR="00CB7E76">
        <w:t xml:space="preserve"> {} with </w:t>
      </w:r>
      <w:r>
        <w:t xml:space="preserve">forearm </w:t>
      </w:r>
      <w:r w:rsidR="00CB7E76">
        <w:t>supination and pronation</w:t>
      </w:r>
      <w:r w:rsidR="00CB7E76" w:rsidRPr="00631657">
        <w:t xml:space="preserve"> impairment</w:t>
      </w:r>
    </w:p>
    <w:p w:rsidR="00FA29CC" w:rsidRPr="003E3140" w:rsidRDefault="00FA29CC" w:rsidP="00CB7E76">
      <w:pPr>
        <w:spacing w:after="120"/>
        <w:ind w:left="450"/>
        <w:rPr>
          <w:i/>
        </w:rPr>
      </w:pPr>
      <w:r w:rsidRPr="003E3140">
        <w:rPr>
          <w:i/>
        </w:rPr>
        <w:t xml:space="preserve">Per QRT/GiaBao Nguyen, </w:t>
      </w:r>
      <w:r w:rsidR="003E3140">
        <w:rPr>
          <w:i/>
        </w:rPr>
        <w:t xml:space="preserve">6/17, </w:t>
      </w:r>
      <w:r w:rsidRPr="003E3140">
        <w:rPr>
          <w:i/>
        </w:rPr>
        <w:t>elbow &amp; forearm are separate “joints</w:t>
      </w:r>
      <w:r w:rsidR="001946CC">
        <w:rPr>
          <w:i/>
        </w:rPr>
        <w:t>.”</w:t>
      </w:r>
    </w:p>
    <w:p w:rsidR="0052421B" w:rsidRPr="00196342" w:rsidRDefault="00E76AD0" w:rsidP="00F063AF">
      <w:pPr>
        <w:widowControl w:val="0"/>
        <w:numPr>
          <w:ilvl w:val="0"/>
          <w:numId w:val="139"/>
        </w:numPr>
        <w:tabs>
          <w:tab w:val="clear" w:pos="720"/>
          <w:tab w:val="num" w:pos="450"/>
          <w:tab w:val="left" w:pos="9413"/>
        </w:tabs>
        <w:overflowPunct/>
        <w:spacing w:after="120"/>
        <w:ind w:left="450"/>
        <w:textAlignment w:val="auto"/>
        <w:rPr>
          <w:rStyle w:val="Hyperlink"/>
          <w:color w:val="auto"/>
          <w:u w:val="none"/>
        </w:rPr>
      </w:pPr>
      <w:r>
        <w:rPr>
          <w:b/>
          <w:bCs/>
        </w:rPr>
        <w:t>III.iv.4.A.3</w:t>
      </w:r>
      <w:r w:rsidR="0052421B">
        <w:rPr>
          <w:b/>
          <w:bCs/>
        </w:rPr>
        <w:t xml:space="preserve">.d </w:t>
      </w:r>
      <w:r w:rsidR="0052421B" w:rsidRPr="0052421B">
        <w:rPr>
          <w:bCs/>
        </w:rPr>
        <w:t>– If elbow flexion is limited to 100 degrees &amp; elbow extension is limited to 45 degrees, assign a single 20% eval under 5208</w:t>
      </w:r>
    </w:p>
    <w:p w:rsidR="00141D70" w:rsidRPr="00141D70" w:rsidRDefault="00141D70" w:rsidP="00141D70">
      <w:pPr>
        <w:widowControl w:val="0"/>
        <w:numPr>
          <w:ilvl w:val="12"/>
          <w:numId w:val="0"/>
        </w:numPr>
        <w:tabs>
          <w:tab w:val="num" w:pos="400"/>
        </w:tabs>
        <w:rPr>
          <w:i/>
        </w:rPr>
      </w:pPr>
    </w:p>
    <w:p w:rsidR="00013EB8" w:rsidRDefault="00013EB8">
      <w:pPr>
        <w:widowControl w:val="0"/>
        <w:numPr>
          <w:ilvl w:val="12"/>
          <w:numId w:val="0"/>
        </w:numPr>
        <w:pBdr>
          <w:top w:val="dashed" w:sz="4" w:space="1" w:color="auto"/>
        </w:pBdr>
        <w:rPr>
          <w:i/>
        </w:rPr>
      </w:pPr>
    </w:p>
    <w:p w:rsidR="00013EB8" w:rsidRDefault="00013EB8">
      <w:pPr>
        <w:widowControl w:val="0"/>
        <w:numPr>
          <w:ilvl w:val="12"/>
          <w:numId w:val="0"/>
        </w:numPr>
        <w:rPr>
          <w:b/>
          <w:u w:val="single"/>
        </w:rPr>
      </w:pPr>
      <w:r>
        <w:rPr>
          <w:b/>
          <w:u w:val="single"/>
        </w:rPr>
        <w:t>THE WRIST</w:t>
      </w:r>
    </w:p>
    <w:p w:rsidR="00013EB8" w:rsidRDefault="00013EB8">
      <w:pPr>
        <w:widowControl w:val="0"/>
        <w:numPr>
          <w:ilvl w:val="12"/>
          <w:numId w:val="0"/>
        </w:numPr>
        <w:rPr>
          <w:b/>
        </w:rPr>
      </w:pPr>
    </w:p>
    <w:p w:rsidR="00013EB8" w:rsidRDefault="00013EB8">
      <w:pPr>
        <w:widowControl w:val="0"/>
        <w:numPr>
          <w:ilvl w:val="12"/>
          <w:numId w:val="0"/>
        </w:numPr>
        <w:pBdr>
          <w:top w:val="dashed" w:sz="4" w:space="1" w:color="auto"/>
        </w:pBdr>
        <w:rPr>
          <w:b/>
        </w:rPr>
      </w:pPr>
    </w:p>
    <w:p w:rsidR="00013EB8" w:rsidRDefault="00013EB8">
      <w:pPr>
        <w:widowControl w:val="0"/>
        <w:numPr>
          <w:ilvl w:val="12"/>
          <w:numId w:val="0"/>
        </w:numPr>
        <w:rPr>
          <w:i/>
        </w:rPr>
      </w:pPr>
      <w:r>
        <w:rPr>
          <w:b/>
        </w:rPr>
        <w:t xml:space="preserve">EVALUATION OF ANKYLOSIS OR LIMITATION OF MOTION OF SINGLE OR MULTIPLE DIGITS OF </w:t>
      </w:r>
      <w:r>
        <w:rPr>
          <w:b/>
          <w:u w:val="single"/>
        </w:rPr>
        <w:t>THE HAND</w:t>
      </w:r>
      <w:r>
        <w:rPr>
          <w:b/>
        </w:rPr>
        <w:t xml:space="preserve"> – </w:t>
      </w:r>
      <w:r>
        <w:rPr>
          <w:i/>
          <w:bdr w:val="single" w:sz="4" w:space="0" w:color="auto"/>
        </w:rPr>
        <w:t xml:space="preserve">changed 8/26/02 (DCs 5216 to 5230), </w:t>
      </w:r>
      <w:r>
        <w:rPr>
          <w:i/>
          <w:iCs/>
          <w:sz w:val="16"/>
          <w:bdr w:val="single" w:sz="4" w:space="0" w:color="auto"/>
        </w:rPr>
        <w:t>see “</w:t>
      </w:r>
      <w:r w:rsidRPr="00EA0611">
        <w:rPr>
          <w:i/>
          <w:iCs/>
          <w:sz w:val="16"/>
          <w:bdr w:val="single" w:sz="4" w:space="0" w:color="auto"/>
        </w:rPr>
        <w:t>Historic Part 4 Sections</w:t>
      </w:r>
      <w:r>
        <w:rPr>
          <w:i/>
          <w:iCs/>
          <w:sz w:val="16"/>
          <w:bdr w:val="single" w:sz="4" w:space="0" w:color="auto"/>
        </w:rPr>
        <w:t>”</w:t>
      </w:r>
      <w:r w:rsidR="00707F9F">
        <w:rPr>
          <w:i/>
          <w:iCs/>
          <w:sz w:val="16"/>
          <w:bdr w:val="single" w:sz="4" w:space="0" w:color="auto"/>
        </w:rPr>
        <w:t xml:space="preserve"> in Rating Reference</w:t>
      </w:r>
      <w:r w:rsidR="005F5D1E">
        <w:rPr>
          <w:i/>
          <w:iCs/>
          <w:sz w:val="16"/>
          <w:bdr w:val="single" w:sz="4" w:space="0" w:color="auto"/>
        </w:rPr>
        <w:t>s</w:t>
      </w:r>
      <w:r w:rsidR="00707F9F">
        <w:rPr>
          <w:i/>
          <w:iCs/>
          <w:sz w:val="16"/>
          <w:bdr w:val="single" w:sz="4" w:space="0" w:color="auto"/>
        </w:rPr>
        <w:t xml:space="preserve"> </w:t>
      </w:r>
      <w:r w:rsidR="00707F9F" w:rsidRPr="00525152">
        <w:rPr>
          <w:i/>
          <w:iCs/>
          <w:sz w:val="16"/>
          <w:bdr w:val="single" w:sz="4" w:space="0" w:color="auto"/>
        </w:rPr>
        <w:t>Archive</w:t>
      </w:r>
      <w:hyperlink w:anchor="Part4Changes" w:history="1"/>
      <w:r w:rsidR="00707F9F" w:rsidRPr="00525152">
        <w:t>;</w:t>
      </w:r>
      <w:r w:rsidRPr="00525152">
        <w:t xml:space="preserve"> </w:t>
      </w:r>
      <w:r w:rsidRPr="00525152">
        <w:rPr>
          <w:b/>
          <w:bCs/>
        </w:rPr>
        <w:t>III.iv.4.A.</w:t>
      </w:r>
      <w:r w:rsidR="00525152" w:rsidRPr="00525152">
        <w:rPr>
          <w:b/>
          <w:bCs/>
        </w:rPr>
        <w:t>2</w:t>
      </w:r>
      <w:r>
        <w:rPr>
          <w:i/>
        </w:rPr>
        <w:t xml:space="preserve"> for Dupuytren’s contracture (5299-5224/5/6/7)</w:t>
      </w:r>
    </w:p>
    <w:p w:rsidR="00013EB8" w:rsidRDefault="00013EB8">
      <w:pPr>
        <w:widowControl w:val="0"/>
        <w:numPr>
          <w:ilvl w:val="12"/>
          <w:numId w:val="0"/>
        </w:numPr>
        <w:rPr>
          <w:b/>
        </w:rPr>
      </w:pPr>
      <w:r>
        <w:rPr>
          <w:i/>
        </w:rPr>
        <w:tab/>
      </w:r>
      <w:r>
        <w:rPr>
          <w:b/>
        </w:rPr>
        <w:t>Multiple Digits:  Unfavorable Ankylosis</w:t>
      </w:r>
    </w:p>
    <w:p w:rsidR="00013EB8" w:rsidRDefault="00013EB8">
      <w:pPr>
        <w:pStyle w:val="Heading1"/>
        <w:keepNext w:val="0"/>
        <w:widowControl w:val="0"/>
        <w:numPr>
          <w:ilvl w:val="12"/>
          <w:numId w:val="0"/>
        </w:numPr>
        <w:rPr>
          <w:b/>
          <w:bCs/>
          <w:i w:val="0"/>
          <w:iCs w:val="0"/>
          <w:sz w:val="20"/>
        </w:rPr>
      </w:pPr>
      <w:r>
        <w:tab/>
      </w:r>
      <w:r>
        <w:rPr>
          <w:b/>
          <w:bCs/>
          <w:i w:val="0"/>
          <w:iCs w:val="0"/>
          <w:sz w:val="20"/>
        </w:rPr>
        <w:t>Multiple Digits:  Favorable Ankylosis</w:t>
      </w:r>
    </w:p>
    <w:p w:rsidR="00013EB8" w:rsidRDefault="00013EB8">
      <w:pPr>
        <w:pStyle w:val="Heading1"/>
        <w:keepNext w:val="0"/>
        <w:widowControl w:val="0"/>
        <w:numPr>
          <w:ilvl w:val="12"/>
          <w:numId w:val="0"/>
        </w:numPr>
        <w:rPr>
          <w:b/>
          <w:bCs/>
          <w:i w:val="0"/>
          <w:iCs w:val="0"/>
          <w:sz w:val="20"/>
        </w:rPr>
      </w:pPr>
      <w:r>
        <w:rPr>
          <w:b/>
          <w:bCs/>
          <w:i w:val="0"/>
          <w:iCs w:val="0"/>
          <w:sz w:val="20"/>
        </w:rPr>
        <w:tab/>
        <w:t>Ankylosis of Individual Digits</w:t>
      </w:r>
    </w:p>
    <w:p w:rsidR="00013EB8" w:rsidRDefault="00013EB8">
      <w:pPr>
        <w:pStyle w:val="Heading1"/>
        <w:keepNext w:val="0"/>
        <w:widowControl w:val="0"/>
        <w:numPr>
          <w:ilvl w:val="12"/>
          <w:numId w:val="0"/>
        </w:numPr>
      </w:pPr>
      <w:r>
        <w:rPr>
          <w:b/>
          <w:bCs/>
          <w:i w:val="0"/>
          <w:iCs w:val="0"/>
          <w:sz w:val="20"/>
        </w:rPr>
        <w:tab/>
        <w:t>Limitation of Motion of Individual Digits</w:t>
      </w:r>
    </w:p>
    <w:p w:rsidR="00013EB8" w:rsidRDefault="00013EB8">
      <w:pPr>
        <w:widowControl w:val="0"/>
        <w:numPr>
          <w:ilvl w:val="12"/>
          <w:numId w:val="0"/>
        </w:numPr>
        <w:rPr>
          <w:i/>
        </w:rPr>
      </w:pPr>
    </w:p>
    <w:p w:rsidR="00032C85" w:rsidRPr="008F06B1" w:rsidRDefault="00D571C5" w:rsidP="00032C85">
      <w:pPr>
        <w:pStyle w:val="Header"/>
        <w:widowControl w:val="0"/>
        <w:tabs>
          <w:tab w:val="clear" w:pos="4320"/>
          <w:tab w:val="clear" w:pos="8640"/>
        </w:tabs>
        <w:rPr>
          <w:rFonts w:asciiTheme="minorHAnsi" w:hAnsiTheme="minorHAnsi"/>
        </w:rPr>
      </w:pPr>
      <w:hyperlink r:id="rId506" w:history="1">
        <w:r w:rsidR="00032C85" w:rsidRPr="008F06B1">
          <w:rPr>
            <w:rStyle w:val="Hyperlink"/>
            <w:rFonts w:asciiTheme="minorHAnsi" w:eastAsiaTheme="minorHAnsi" w:hAnsiTheme="minorHAnsi"/>
            <w:b/>
            <w:i/>
          </w:rPr>
          <w:t>VBMS Tips &amp; Tricks 9.0</w:t>
        </w:r>
      </w:hyperlink>
      <w:r w:rsidR="00032C85" w:rsidRPr="008F06B1">
        <w:rPr>
          <w:rFonts w:asciiTheme="minorHAnsi" w:eastAsiaTheme="minorHAnsi" w:hAnsiTheme="minorHAnsi"/>
          <w:b/>
          <w:i/>
        </w:rPr>
        <w:t xml:space="preserve"> </w:t>
      </w:r>
      <w:r w:rsidR="004C6842" w:rsidRPr="008F06B1">
        <w:rPr>
          <w:rFonts w:asciiTheme="minorHAnsi" w:eastAsiaTheme="minorHAnsi" w:hAnsiTheme="minorHAnsi"/>
        </w:rPr>
        <w:t>(June 2015) -</w:t>
      </w:r>
    </w:p>
    <w:p w:rsidR="00032C85" w:rsidRPr="008F06B1" w:rsidRDefault="00032C85" w:rsidP="00032C85">
      <w:pPr>
        <w:overflowPunct/>
        <w:textAlignment w:val="auto"/>
        <w:rPr>
          <w:rFonts w:asciiTheme="minorHAnsi" w:hAnsiTheme="minorHAnsi"/>
          <w:color w:val="000000"/>
        </w:rPr>
      </w:pPr>
      <w:r w:rsidRPr="008F06B1">
        <w:rPr>
          <w:rFonts w:asciiTheme="minorHAnsi" w:hAnsiTheme="minorHAnsi"/>
          <w:color w:val="000000"/>
        </w:rPr>
        <w:t xml:space="preserve">In certain scenarios, the VEB incorrectly generates more than one evaluation for the hand condition when there are multiple fingers with arthritis and limited motion. This occurs when there is arthritis and limited motion in any combination of two or more of the following groups: </w:t>
      </w:r>
    </w:p>
    <w:p w:rsidR="00032C85" w:rsidRPr="008F06B1" w:rsidRDefault="00032C85" w:rsidP="00F063AF">
      <w:pPr>
        <w:pStyle w:val="ListParagraph"/>
        <w:numPr>
          <w:ilvl w:val="0"/>
          <w:numId w:val="224"/>
        </w:numPr>
        <w:spacing w:after="0" w:line="240" w:lineRule="auto"/>
        <w:rPr>
          <w:rFonts w:asciiTheme="minorHAnsi" w:hAnsiTheme="minorHAnsi"/>
          <w:color w:val="000000"/>
          <w:sz w:val="20"/>
          <w:szCs w:val="20"/>
        </w:rPr>
      </w:pPr>
      <w:r w:rsidRPr="008F06B1">
        <w:rPr>
          <w:rFonts w:asciiTheme="minorHAnsi" w:hAnsiTheme="minorHAnsi"/>
          <w:color w:val="000000"/>
          <w:sz w:val="20"/>
          <w:szCs w:val="20"/>
        </w:rPr>
        <w:t xml:space="preserve">Thumb </w:t>
      </w:r>
    </w:p>
    <w:p w:rsidR="00032C85" w:rsidRPr="008F06B1" w:rsidRDefault="00032C85" w:rsidP="00F063AF">
      <w:pPr>
        <w:pStyle w:val="ListParagraph"/>
        <w:numPr>
          <w:ilvl w:val="0"/>
          <w:numId w:val="224"/>
        </w:numPr>
        <w:spacing w:after="0" w:line="240" w:lineRule="auto"/>
        <w:rPr>
          <w:rFonts w:asciiTheme="minorHAnsi" w:hAnsiTheme="minorHAnsi"/>
          <w:color w:val="000000"/>
          <w:sz w:val="20"/>
          <w:szCs w:val="20"/>
        </w:rPr>
      </w:pPr>
      <w:r w:rsidRPr="008F06B1">
        <w:rPr>
          <w:rFonts w:asciiTheme="minorHAnsi" w:hAnsiTheme="minorHAnsi"/>
          <w:color w:val="000000"/>
          <w:sz w:val="20"/>
          <w:szCs w:val="20"/>
        </w:rPr>
        <w:t xml:space="preserve">Index and Long fingers </w:t>
      </w:r>
    </w:p>
    <w:p w:rsidR="00032C85" w:rsidRPr="008F06B1" w:rsidRDefault="00032C85" w:rsidP="00F063AF">
      <w:pPr>
        <w:pStyle w:val="ListParagraph"/>
        <w:numPr>
          <w:ilvl w:val="0"/>
          <w:numId w:val="224"/>
        </w:numPr>
        <w:spacing w:after="0" w:line="240" w:lineRule="auto"/>
        <w:rPr>
          <w:rFonts w:asciiTheme="minorHAnsi" w:hAnsiTheme="minorHAnsi"/>
          <w:color w:val="000000"/>
          <w:sz w:val="20"/>
          <w:szCs w:val="20"/>
        </w:rPr>
      </w:pPr>
      <w:r w:rsidRPr="008F06B1">
        <w:rPr>
          <w:rFonts w:asciiTheme="minorHAnsi" w:hAnsiTheme="minorHAnsi"/>
          <w:color w:val="000000"/>
          <w:sz w:val="20"/>
          <w:szCs w:val="20"/>
        </w:rPr>
        <w:t xml:space="preserve">Ring and Little fingers </w:t>
      </w:r>
    </w:p>
    <w:p w:rsidR="00032C85" w:rsidRPr="008F06B1" w:rsidRDefault="00032C85" w:rsidP="00032C85">
      <w:pPr>
        <w:widowControl w:val="0"/>
        <w:numPr>
          <w:ilvl w:val="12"/>
          <w:numId w:val="0"/>
        </w:numPr>
        <w:rPr>
          <w:rFonts w:asciiTheme="minorHAnsi" w:hAnsiTheme="minorHAnsi"/>
          <w:color w:val="000000"/>
        </w:rPr>
      </w:pPr>
      <w:r w:rsidRPr="008F06B1">
        <w:rPr>
          <w:rFonts w:asciiTheme="minorHAnsi" w:hAnsiTheme="minorHAnsi"/>
          <w:color w:val="000000"/>
        </w:rPr>
        <w:t xml:space="preserve">Therefore, if there is arthritis and limited motion in the thumb and index fingers, the system will generate two evaluations when there should be one. </w:t>
      </w:r>
    </w:p>
    <w:p w:rsidR="00032C85" w:rsidRPr="008F06B1" w:rsidRDefault="00032C85" w:rsidP="00032C85">
      <w:pPr>
        <w:widowControl w:val="0"/>
        <w:numPr>
          <w:ilvl w:val="12"/>
          <w:numId w:val="0"/>
        </w:numPr>
        <w:rPr>
          <w:rFonts w:asciiTheme="minorHAnsi" w:hAnsiTheme="minorHAnsi"/>
          <w:color w:val="000000"/>
        </w:rPr>
      </w:pPr>
    </w:p>
    <w:p w:rsidR="00032C85" w:rsidRPr="008F06B1" w:rsidRDefault="00032C85" w:rsidP="00032C85">
      <w:pPr>
        <w:overflowPunct/>
        <w:textAlignment w:val="auto"/>
        <w:rPr>
          <w:rFonts w:asciiTheme="minorHAnsi" w:hAnsiTheme="minorHAnsi"/>
          <w:color w:val="000000"/>
        </w:rPr>
      </w:pPr>
      <w:r w:rsidRPr="008F06B1">
        <w:rPr>
          <w:rFonts w:asciiTheme="minorHAnsi" w:hAnsiTheme="minorHAnsi"/>
          <w:color w:val="000000"/>
        </w:rPr>
        <w:t xml:space="preserve">End-Users should process the evaluation with the highest award or highest potential future award (hyphenated code) and ignore other generated evaluations for the hand. </w:t>
      </w:r>
    </w:p>
    <w:p w:rsidR="00032C85" w:rsidRPr="008F06B1" w:rsidRDefault="00032C85" w:rsidP="00032C85">
      <w:pPr>
        <w:overflowPunct/>
        <w:textAlignment w:val="auto"/>
        <w:rPr>
          <w:rFonts w:asciiTheme="minorHAnsi" w:hAnsiTheme="minorHAnsi"/>
          <w:color w:val="000000"/>
        </w:rPr>
      </w:pPr>
      <w:r w:rsidRPr="008F06B1">
        <w:rPr>
          <w:rFonts w:asciiTheme="minorHAnsi" w:hAnsiTheme="minorHAnsi"/>
          <w:color w:val="000000"/>
        </w:rPr>
        <w:t xml:space="preserve">OR </w:t>
      </w:r>
    </w:p>
    <w:p w:rsidR="00032C85" w:rsidRPr="008F06B1" w:rsidRDefault="00032C85" w:rsidP="00032C85">
      <w:pPr>
        <w:widowControl w:val="0"/>
        <w:numPr>
          <w:ilvl w:val="12"/>
          <w:numId w:val="0"/>
        </w:numPr>
        <w:rPr>
          <w:rFonts w:asciiTheme="minorHAnsi" w:hAnsiTheme="minorHAnsi"/>
          <w:i/>
        </w:rPr>
      </w:pPr>
      <w:r w:rsidRPr="008F06B1">
        <w:rPr>
          <w:rFonts w:asciiTheme="minorHAnsi" w:hAnsiTheme="minorHAnsi"/>
          <w:color w:val="000000"/>
        </w:rPr>
        <w:t xml:space="preserve">Utilize the LEB for these cases. </w:t>
      </w:r>
    </w:p>
    <w:p w:rsidR="00032C85" w:rsidRDefault="00032C85">
      <w:pPr>
        <w:widowControl w:val="0"/>
        <w:numPr>
          <w:ilvl w:val="12"/>
          <w:numId w:val="0"/>
        </w:numPr>
        <w:rPr>
          <w:i/>
        </w:rPr>
      </w:pPr>
    </w:p>
    <w:p w:rsidR="002735B9" w:rsidRPr="00DF062C" w:rsidRDefault="002735B9">
      <w:pPr>
        <w:widowControl w:val="0"/>
        <w:numPr>
          <w:ilvl w:val="12"/>
          <w:numId w:val="0"/>
        </w:numPr>
      </w:pPr>
      <w:r w:rsidRPr="00DF062C">
        <w:rPr>
          <w:b/>
        </w:rPr>
        <w:t>III.iv.4.A.1.</w:t>
      </w:r>
      <w:r w:rsidR="00DF062C" w:rsidRPr="00DF062C">
        <w:rPr>
          <w:b/>
        </w:rPr>
        <w:t>g</w:t>
      </w:r>
      <w:r w:rsidRPr="00DF062C">
        <w:t xml:space="preserve"> says “</w:t>
      </w:r>
      <w:r w:rsidR="00DF062C" w:rsidRPr="00DF062C">
        <w:t xml:space="preserve">Painful motion of a right ring finger fracture that is rated under </w:t>
      </w:r>
      <w:hyperlink r:id="rId507" w:tgtFrame="_blank" w:history="1">
        <w:r w:rsidR="00DF062C" w:rsidRPr="00DF062C">
          <w:rPr>
            <w:rStyle w:val="Hyperlink"/>
          </w:rPr>
          <w:t>38 CFR 4.71a, DC 5230</w:t>
        </w:r>
      </w:hyperlink>
      <w:r w:rsidR="00DF062C" w:rsidRPr="00DF062C">
        <w:t xml:space="preserve"> would not receive a compensable evaluation under </w:t>
      </w:r>
      <w:hyperlink r:id="rId508" w:tgtFrame="_blank" w:history="1">
        <w:r w:rsidR="00DF062C" w:rsidRPr="00DF062C">
          <w:rPr>
            <w:rStyle w:val="Hyperlink"/>
          </w:rPr>
          <w:t>38 CFR 4.59</w:t>
        </w:r>
      </w:hyperlink>
      <w:r w:rsidR="00DF062C" w:rsidRPr="00DF062C">
        <w:t xml:space="preserve"> because this DC does not contain a compensable evaluation.”</w:t>
      </w:r>
    </w:p>
    <w:p w:rsidR="003B7F72" w:rsidRDefault="003B7F72">
      <w:pPr>
        <w:widowControl w:val="0"/>
        <w:numPr>
          <w:ilvl w:val="12"/>
          <w:numId w:val="0"/>
        </w:numPr>
      </w:pPr>
    </w:p>
    <w:p w:rsidR="00E77C53" w:rsidRPr="00E77C53" w:rsidRDefault="00E77C53" w:rsidP="00F063AF">
      <w:pPr>
        <w:pStyle w:val="ListParagraph"/>
        <w:widowControl w:val="0"/>
        <w:numPr>
          <w:ilvl w:val="0"/>
          <w:numId w:val="320"/>
        </w:numPr>
        <w:spacing w:after="0" w:line="240" w:lineRule="auto"/>
        <w:ind w:left="360" w:right="331"/>
        <w:rPr>
          <w:rFonts w:ascii="Arial" w:hAnsi="Arial"/>
          <w:sz w:val="20"/>
        </w:rPr>
      </w:pPr>
      <w:r w:rsidRPr="00E77C53">
        <w:rPr>
          <w:rFonts w:ascii="Arial" w:hAnsi="Arial"/>
          <w:b/>
          <w:bCs/>
          <w:sz w:val="20"/>
        </w:rPr>
        <w:t>III.iv.4.A.</w:t>
      </w:r>
      <w:r w:rsidR="00506F16">
        <w:rPr>
          <w:rFonts w:ascii="Arial" w:hAnsi="Arial"/>
          <w:b/>
          <w:bCs/>
          <w:sz w:val="20"/>
        </w:rPr>
        <w:t>4.a</w:t>
      </w:r>
      <w:r w:rsidRPr="00E77C53">
        <w:rPr>
          <w:rFonts w:ascii="Arial" w:hAnsi="Arial"/>
          <w:sz w:val="20"/>
        </w:rPr>
        <w:t xml:space="preserve"> - nomenclature of digits of the hand / fingers - thumb, index, long, ring, little</w:t>
      </w:r>
    </w:p>
    <w:p w:rsidR="00E77C53" w:rsidRPr="00E77C53" w:rsidRDefault="00E77C53" w:rsidP="00E77C53">
      <w:pPr>
        <w:widowControl w:val="0"/>
        <w:numPr>
          <w:ilvl w:val="12"/>
          <w:numId w:val="0"/>
        </w:numPr>
        <w:spacing w:after="120"/>
        <w:ind w:left="360" w:right="331"/>
        <w:rPr>
          <w:i/>
        </w:rPr>
      </w:pPr>
      <w:r w:rsidRPr="00E77C53">
        <w:rPr>
          <w:i/>
          <w:color w:val="00B050"/>
        </w:rPr>
        <w:t>My Notes:</w:t>
      </w:r>
      <w:r w:rsidRPr="00E77C53">
        <w:rPr>
          <w:b/>
          <w:i/>
          <w:color w:val="00B050"/>
        </w:rPr>
        <w:t xml:space="preserve">  </w:t>
      </w:r>
      <w:r w:rsidRPr="00D36CD9">
        <w:rPr>
          <w:b/>
          <w:i/>
        </w:rPr>
        <w:t xml:space="preserve">ORDER OF FINGER JOINTS/BONES </w:t>
      </w:r>
      <w:r w:rsidRPr="00D36CD9">
        <w:rPr>
          <w:i/>
        </w:rPr>
        <w:t>(</w:t>
      </w:r>
      <w:r w:rsidR="00D0752A" w:rsidRPr="00D36CD9">
        <w:rPr>
          <w:i/>
        </w:rPr>
        <w:t xml:space="preserve">starting </w:t>
      </w:r>
      <w:r w:rsidRPr="00D36CD9">
        <w:rPr>
          <w:i/>
        </w:rPr>
        <w:t>from wrist):  metacarpophalangeal (MCP) joint, proximal phalanx, proximal interphalangeal</w:t>
      </w:r>
      <w:r w:rsidR="00D0752A" w:rsidRPr="00D36CD9">
        <w:rPr>
          <w:i/>
        </w:rPr>
        <w:t xml:space="preserve"> (PIP)</w:t>
      </w:r>
      <w:r w:rsidRPr="00D36CD9">
        <w:rPr>
          <w:i/>
        </w:rPr>
        <w:t xml:space="preserve"> joint, middle phalanx, distal </w:t>
      </w:r>
      <w:r w:rsidR="00D0752A" w:rsidRPr="00D36CD9">
        <w:rPr>
          <w:i/>
        </w:rPr>
        <w:t xml:space="preserve">interphalangeal (DIP) </w:t>
      </w:r>
      <w:r w:rsidRPr="00D36CD9">
        <w:rPr>
          <w:i/>
        </w:rPr>
        <w:t>joint, then distal phalanx</w:t>
      </w:r>
    </w:p>
    <w:p w:rsidR="002735B9" w:rsidRDefault="002735B9">
      <w:pPr>
        <w:widowControl w:val="0"/>
        <w:numPr>
          <w:ilvl w:val="12"/>
          <w:numId w:val="0"/>
        </w:numPr>
        <w:rPr>
          <w:i/>
        </w:rPr>
      </w:pPr>
    </w:p>
    <w:p w:rsidR="00013EB8" w:rsidRDefault="00013EB8">
      <w:pPr>
        <w:widowControl w:val="0"/>
        <w:numPr>
          <w:ilvl w:val="12"/>
          <w:numId w:val="0"/>
        </w:numPr>
        <w:pBdr>
          <w:top w:val="dashed" w:sz="4" w:space="1" w:color="auto"/>
        </w:pBdr>
        <w:rPr>
          <w:i/>
        </w:rPr>
      </w:pPr>
    </w:p>
    <w:p w:rsidR="00013EB8" w:rsidRDefault="00013EB8">
      <w:pPr>
        <w:widowControl w:val="0"/>
        <w:numPr>
          <w:ilvl w:val="12"/>
          <w:numId w:val="0"/>
        </w:numPr>
        <w:rPr>
          <w:b/>
          <w:u w:val="single"/>
        </w:rPr>
      </w:pPr>
      <w:r>
        <w:rPr>
          <w:b/>
          <w:u w:val="single"/>
        </w:rPr>
        <w:t>THE SPINE</w:t>
      </w:r>
    </w:p>
    <w:p w:rsidR="00013EB8" w:rsidRDefault="00013EB8">
      <w:pPr>
        <w:widowControl w:val="0"/>
        <w:numPr>
          <w:ilvl w:val="12"/>
          <w:numId w:val="0"/>
        </w:numPr>
        <w:rPr>
          <w:b/>
          <w:u w:val="single"/>
        </w:rPr>
      </w:pP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changed 9/23/02 (DC 5293),</w:t>
      </w:r>
      <w:hyperlink w:anchor="Part4Changes" w:history="1">
        <w:r>
          <w:rPr>
            <w:i/>
            <w:iCs/>
            <w:sz w:val="16"/>
          </w:rPr>
          <w:t xml:space="preserve"> see “</w:t>
        </w:r>
        <w:r w:rsidRPr="00EA0611">
          <w:rPr>
            <w:i/>
            <w:iCs/>
            <w:sz w:val="16"/>
          </w:rPr>
          <w:t>Historic Part 4 Sections</w:t>
        </w:r>
        <w:r>
          <w:rPr>
            <w:i/>
            <w:iCs/>
            <w:sz w:val="16"/>
          </w:rPr>
          <w:t>”</w:t>
        </w:r>
      </w:hyperlink>
      <w:r w:rsidR="00707F9F">
        <w:rPr>
          <w:i/>
          <w:iCs/>
          <w:sz w:val="16"/>
        </w:rPr>
        <w:t xml:space="preserve"> </w:t>
      </w:r>
      <w:r w:rsidR="00707F9F" w:rsidRPr="00707F9F">
        <w:rPr>
          <w:i/>
          <w:iCs/>
          <w:sz w:val="16"/>
        </w:rPr>
        <w:t xml:space="preserve"> </w:t>
      </w:r>
      <w:r w:rsidR="00707F9F">
        <w:rPr>
          <w:i/>
          <w:iCs/>
          <w:sz w:val="16"/>
        </w:rPr>
        <w:t>in Rating Reference</w:t>
      </w:r>
      <w:r w:rsidR="005F5D1E">
        <w:rPr>
          <w:i/>
          <w:iCs/>
          <w:sz w:val="16"/>
        </w:rPr>
        <w:t>s</w:t>
      </w:r>
      <w:r w:rsidR="00707F9F">
        <w:rPr>
          <w:i/>
          <w:iCs/>
          <w:sz w:val="16"/>
        </w:rPr>
        <w:t xml:space="preserve"> Archive</w:t>
      </w: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 xml:space="preserve">changed 9/26/03 (DCs 5285 to 5293 changed and now called 5235 to 5243), </w:t>
      </w:r>
      <w:r>
        <w:rPr>
          <w:i/>
          <w:iCs/>
          <w:sz w:val="16"/>
        </w:rPr>
        <w:t>see “</w:t>
      </w:r>
      <w:r w:rsidRPr="00EA0611">
        <w:rPr>
          <w:i/>
          <w:iCs/>
          <w:sz w:val="16"/>
        </w:rPr>
        <w:t>Historic Part 4 Sections</w:t>
      </w:r>
      <w:r>
        <w:rPr>
          <w:i/>
          <w:iCs/>
          <w:sz w:val="16"/>
        </w:rPr>
        <w:t>”</w:t>
      </w:r>
      <w:r w:rsidR="00707F9F">
        <w:rPr>
          <w:i/>
          <w:iCs/>
          <w:sz w:val="16"/>
        </w:rPr>
        <w:t xml:space="preserve"> in Rating Reference</w:t>
      </w:r>
      <w:r w:rsidR="005F5D1E">
        <w:rPr>
          <w:i/>
          <w:iCs/>
          <w:sz w:val="16"/>
        </w:rPr>
        <w:t>s</w:t>
      </w:r>
      <w:r w:rsidR="00707F9F">
        <w:rPr>
          <w:i/>
          <w:iCs/>
          <w:sz w:val="16"/>
        </w:rPr>
        <w:t xml:space="preserve"> Archive</w:t>
      </w:r>
    </w:p>
    <w:p w:rsidR="00013EB8" w:rsidRDefault="00013EB8">
      <w:pPr>
        <w:widowControl w:val="0"/>
        <w:numPr>
          <w:ilvl w:val="12"/>
          <w:numId w:val="0"/>
        </w:numPr>
        <w:rPr>
          <w:b/>
          <w:i/>
        </w:rPr>
      </w:pPr>
    </w:p>
    <w:p w:rsidR="00013EB8" w:rsidRDefault="00013EB8">
      <w:pPr>
        <w:widowControl w:val="0"/>
      </w:pPr>
      <w:r>
        <w:rPr>
          <w:iCs/>
        </w:rPr>
        <w:t xml:space="preserve">The rating criteria for </w:t>
      </w:r>
      <w:r>
        <w:rPr>
          <w:b/>
          <w:bCs/>
          <w:iCs/>
        </w:rPr>
        <w:t>intervertebral disc disease</w:t>
      </w:r>
      <w:r>
        <w:rPr>
          <w:iCs/>
        </w:rPr>
        <w:t xml:space="preserve"> was revised effective September 23, 2002.</w:t>
      </w:r>
    </w:p>
    <w:p w:rsidR="00013EB8" w:rsidRDefault="00013EB8">
      <w:pPr>
        <w:widowControl w:val="0"/>
        <w:rPr>
          <w:iCs/>
        </w:rPr>
      </w:pPr>
      <w:r>
        <w:rPr>
          <w:iCs/>
        </w:rPr>
        <w:t xml:space="preserve">The rating criteria for the </w:t>
      </w:r>
      <w:r>
        <w:rPr>
          <w:b/>
          <w:bCs/>
          <w:iCs/>
        </w:rPr>
        <w:t>spine</w:t>
      </w:r>
      <w:r>
        <w:rPr>
          <w:iCs/>
        </w:rPr>
        <w:t xml:space="preserve"> was revised effective September 26, 2003.</w:t>
      </w:r>
    </w:p>
    <w:p w:rsidR="00013EB8" w:rsidRDefault="00013EB8">
      <w:pPr>
        <w:widowControl w:val="0"/>
        <w:numPr>
          <w:ilvl w:val="12"/>
          <w:numId w:val="0"/>
        </w:numPr>
        <w:rPr>
          <w:b/>
          <w:i/>
        </w:rPr>
      </w:pPr>
    </w:p>
    <w:p w:rsidR="00013EB8" w:rsidRPr="00055A89" w:rsidRDefault="003E04B7" w:rsidP="00F063AF">
      <w:pPr>
        <w:widowControl w:val="0"/>
        <w:numPr>
          <w:ilvl w:val="0"/>
          <w:numId w:val="78"/>
        </w:numPr>
        <w:tabs>
          <w:tab w:val="clear" w:pos="720"/>
          <w:tab w:val="num" w:pos="400"/>
        </w:tabs>
        <w:spacing w:after="120"/>
        <w:ind w:left="403"/>
        <w:rPr>
          <w:b/>
          <w:bCs/>
        </w:rPr>
      </w:pPr>
      <w:r>
        <w:rPr>
          <w:b/>
          <w:bCs/>
        </w:rPr>
        <w:t>III.iv.4.A.</w:t>
      </w:r>
      <w:r w:rsidR="00F95CC5">
        <w:rPr>
          <w:b/>
          <w:bCs/>
        </w:rPr>
        <w:t>5</w:t>
      </w:r>
      <w:r w:rsidR="00055A89">
        <w:rPr>
          <w:bCs/>
        </w:rPr>
        <w:t xml:space="preserve"> – radiculopathy, incapacitating episodes (prescribed bedrest</w:t>
      </w:r>
      <w:r w:rsidR="006930E9">
        <w:rPr>
          <w:bCs/>
        </w:rPr>
        <w:t xml:space="preserve"> by a physician</w:t>
      </w:r>
      <w:r w:rsidR="00055A89">
        <w:rPr>
          <w:bCs/>
        </w:rPr>
        <w:t>)</w:t>
      </w:r>
    </w:p>
    <w:p w:rsidR="00860BE3" w:rsidRDefault="00860BE3" w:rsidP="00860BE3">
      <w:pPr>
        <w:pStyle w:val="NoSpacing"/>
        <w:pBdr>
          <w:top w:val="single" w:sz="2" w:space="1" w:color="auto"/>
          <w:left w:val="single" w:sz="2" w:space="4" w:color="auto"/>
          <w:bottom w:val="single" w:sz="2" w:space="1" w:color="auto"/>
          <w:right w:val="single" w:sz="2" w:space="4" w:color="auto"/>
        </w:pBdr>
        <w:tabs>
          <w:tab w:val="left" w:pos="360"/>
          <w:tab w:val="left" w:pos="1080"/>
        </w:tabs>
        <w:spacing w:after="120"/>
        <w:ind w:left="360"/>
        <w:rPr>
          <w:rFonts w:ascii="Arial" w:hAnsi="Arial"/>
          <w:sz w:val="20"/>
          <w:szCs w:val="20"/>
        </w:rPr>
      </w:pPr>
      <w:r w:rsidRPr="00860BE3">
        <w:rPr>
          <w:rFonts w:ascii="Arial" w:hAnsi="Arial"/>
          <w:sz w:val="20"/>
          <w:szCs w:val="20"/>
        </w:rPr>
        <w:t xml:space="preserve">(the DBQ shows your reports of bed rest, but there is </w:t>
      </w:r>
      <w:r w:rsidRPr="00BC29B7">
        <w:rPr>
          <w:rFonts w:ascii="Arial" w:hAnsi="Arial"/>
          <w:sz w:val="20"/>
          <w:szCs w:val="20"/>
        </w:rPr>
        <w:t>no medical evidence of prescribed bed</w:t>
      </w:r>
      <w:r>
        <w:rPr>
          <w:rFonts w:ascii="Arial" w:hAnsi="Arial"/>
          <w:sz w:val="20"/>
          <w:szCs w:val="20"/>
        </w:rPr>
        <w:t xml:space="preserve"> </w:t>
      </w:r>
      <w:r w:rsidRPr="00BC29B7">
        <w:rPr>
          <w:rFonts w:ascii="Arial" w:hAnsi="Arial"/>
          <w:sz w:val="20"/>
          <w:szCs w:val="20"/>
        </w:rPr>
        <w:t>rest</w:t>
      </w:r>
      <w:r>
        <w:rPr>
          <w:rFonts w:ascii="Arial" w:hAnsi="Arial"/>
          <w:sz w:val="20"/>
          <w:szCs w:val="20"/>
        </w:rPr>
        <w:t>)</w:t>
      </w:r>
    </w:p>
    <w:p w:rsidR="00055A89" w:rsidRPr="00055A89" w:rsidRDefault="00055A89" w:rsidP="00860BE3">
      <w:pPr>
        <w:pStyle w:val="NoSpacing"/>
        <w:pBdr>
          <w:top w:val="single" w:sz="2" w:space="1" w:color="auto"/>
          <w:left w:val="single" w:sz="2" w:space="4" w:color="auto"/>
          <w:bottom w:val="single" w:sz="2" w:space="1" w:color="auto"/>
          <w:right w:val="single" w:sz="2" w:space="4" w:color="auto"/>
        </w:pBdr>
        <w:tabs>
          <w:tab w:val="left" w:pos="360"/>
          <w:tab w:val="left" w:pos="1080"/>
        </w:tabs>
        <w:spacing w:after="120"/>
        <w:ind w:left="360"/>
        <w:rPr>
          <w:rFonts w:ascii="Arial" w:hAnsi="Arial"/>
          <w:sz w:val="20"/>
          <w:szCs w:val="20"/>
        </w:rPr>
      </w:pPr>
      <w:r>
        <w:rPr>
          <w:rFonts w:ascii="Arial" w:hAnsi="Arial"/>
          <w:sz w:val="20"/>
          <w:szCs w:val="20"/>
        </w:rPr>
        <w:t xml:space="preserve">Rating Note:  </w:t>
      </w:r>
      <w:r w:rsidRPr="00BC29B7">
        <w:rPr>
          <w:rFonts w:ascii="Arial" w:hAnsi="Arial"/>
          <w:sz w:val="20"/>
          <w:szCs w:val="20"/>
        </w:rPr>
        <w:t>There is no medical evidence of prescribed bed</w:t>
      </w:r>
      <w:r w:rsidR="00860BE3">
        <w:rPr>
          <w:rFonts w:ascii="Arial" w:hAnsi="Arial"/>
          <w:sz w:val="20"/>
          <w:szCs w:val="20"/>
        </w:rPr>
        <w:t xml:space="preserve"> </w:t>
      </w:r>
      <w:r w:rsidRPr="00BC29B7">
        <w:rPr>
          <w:rFonts w:ascii="Arial" w:hAnsi="Arial"/>
          <w:sz w:val="20"/>
          <w:szCs w:val="20"/>
        </w:rPr>
        <w:t>rest to support the incapacitating episodes indicated by the DBQ.</w:t>
      </w:r>
    </w:p>
    <w:p w:rsidR="00AB1DEB" w:rsidRPr="00AB1DEB" w:rsidRDefault="00D571C5" w:rsidP="00F063AF">
      <w:pPr>
        <w:pStyle w:val="ListParagraph"/>
        <w:widowControl w:val="0"/>
        <w:numPr>
          <w:ilvl w:val="0"/>
          <w:numId w:val="78"/>
        </w:numPr>
        <w:tabs>
          <w:tab w:val="clear" w:pos="720"/>
          <w:tab w:val="left" w:pos="360"/>
          <w:tab w:val="num" w:pos="450"/>
        </w:tabs>
        <w:spacing w:after="120" w:line="240" w:lineRule="auto"/>
        <w:ind w:left="360"/>
        <w:rPr>
          <w:color w:val="000000"/>
        </w:rPr>
      </w:pPr>
      <w:hyperlink r:id="rId509" w:history="1">
        <w:r w:rsidR="00AB1DEB" w:rsidRPr="00AB1DEB">
          <w:rPr>
            <w:rStyle w:val="Hyperlink"/>
            <w:rFonts w:asciiTheme="minorHAnsi" w:hAnsiTheme="minorHAnsi"/>
            <w:b/>
            <w:i/>
            <w:sz w:val="24"/>
            <w:szCs w:val="24"/>
          </w:rPr>
          <w:t>7/11/14 DBQ Call</w:t>
        </w:r>
      </w:hyperlink>
      <w:r w:rsidR="00AB1DEB" w:rsidRPr="00AB1DEB">
        <w:rPr>
          <w:rFonts w:asciiTheme="minorHAnsi" w:hAnsiTheme="minorHAnsi"/>
          <w:b/>
          <w:sz w:val="24"/>
          <w:szCs w:val="24"/>
        </w:rPr>
        <w:t xml:space="preserve"> – </w:t>
      </w:r>
      <w:r w:rsidR="00AB1DEB" w:rsidRPr="00AB1DEB">
        <w:rPr>
          <w:rFonts w:asciiTheme="minorHAnsi" w:hAnsiTheme="minorHAnsi"/>
          <w:sz w:val="24"/>
          <w:szCs w:val="24"/>
        </w:rPr>
        <w:t>Policy staff says can grant mechanical low back pain if there is some objective symptomatology or other clinical findings that demonstrate an actual disability. BVA says it does not represent an underlying diagnosis so cannot grant without a diagnosis or identifiable underlying malady. STAR said can grant for mechanical low back pain syndrome but not mechanical low back pain (unless mlbp is an undiagnosed illness due to GW hazard) [similar to retro-patellar pain and retropatellar pain syndrome]. So, Keith said it’s only on the DBQ (like chronic diarrhea and chronic constipation) so that the examiner can enter a diagnosis and complete the DBQ, otherwise if there is no diagnosis most of the DBQ is disabled and can’t be answered.</w:t>
      </w:r>
    </w:p>
    <w:p w:rsidR="00013EB8" w:rsidRDefault="00013EB8">
      <w:pPr>
        <w:widowControl w:val="0"/>
        <w:numPr>
          <w:ilvl w:val="12"/>
          <w:numId w:val="0"/>
        </w:numPr>
        <w:rPr>
          <w:i/>
        </w:rPr>
      </w:pPr>
      <w:r>
        <w:rPr>
          <w:i/>
        </w:rPr>
        <w:t>vertebrae:  7 cervical, 12 thoracic/dorsal, 5 lumbar, 5 sacral (fused as one), 4-5 coccyx (fused as one)</w:t>
      </w:r>
    </w:p>
    <w:p w:rsidR="00013EB8" w:rsidRDefault="00013EB8" w:rsidP="0032720D">
      <w:pPr>
        <w:widowControl w:val="0"/>
        <w:numPr>
          <w:ilvl w:val="12"/>
          <w:numId w:val="0"/>
        </w:numPr>
        <w:tabs>
          <w:tab w:val="left" w:pos="1080"/>
        </w:tabs>
        <w:spacing w:after="120"/>
      </w:pPr>
      <w:r>
        <w:rPr>
          <w:i/>
        </w:rPr>
        <w:t>(see note 5 for definition of favorable and unfavorable ankylosis)</w:t>
      </w:r>
    </w:p>
    <w:p w:rsidR="00013EB8" w:rsidRDefault="00013EB8">
      <w:pPr>
        <w:widowControl w:val="0"/>
        <w:numPr>
          <w:ilvl w:val="12"/>
          <w:numId w:val="0"/>
        </w:numPr>
        <w:rPr>
          <w:b/>
          <w:u w:val="single"/>
        </w:rPr>
      </w:pPr>
      <w:r>
        <w:rPr>
          <w:b/>
          <w:i/>
          <w:u w:val="single"/>
        </w:rPr>
        <w:t>5235 to 5243:</w:t>
      </w:r>
    </w:p>
    <w:p w:rsidR="00013EB8" w:rsidRDefault="00013EB8">
      <w:pPr>
        <w:widowControl w:val="0"/>
        <w:numPr>
          <w:ilvl w:val="12"/>
          <w:numId w:val="0"/>
        </w:numPr>
      </w:pPr>
      <w:r>
        <w:t>5235</w:t>
      </w:r>
      <w:r>
        <w:tab/>
        <w:t xml:space="preserve">Vertebral fracture or dislocation </w:t>
      </w:r>
    </w:p>
    <w:p w:rsidR="00013EB8" w:rsidRDefault="00013EB8">
      <w:pPr>
        <w:widowControl w:val="0"/>
        <w:numPr>
          <w:ilvl w:val="12"/>
          <w:numId w:val="0"/>
        </w:numPr>
      </w:pPr>
      <w:r>
        <w:t xml:space="preserve">5236 </w:t>
      </w:r>
      <w:r>
        <w:tab/>
        <w:t xml:space="preserve">Sacroiliac injury and weakness </w:t>
      </w:r>
    </w:p>
    <w:p w:rsidR="00013EB8" w:rsidRDefault="00013EB8">
      <w:pPr>
        <w:widowControl w:val="0"/>
        <w:numPr>
          <w:ilvl w:val="12"/>
          <w:numId w:val="0"/>
        </w:numPr>
      </w:pPr>
      <w:r>
        <w:t xml:space="preserve">5237 </w:t>
      </w:r>
      <w:r>
        <w:tab/>
        <w:t xml:space="preserve">Lumbosacral or cervical strain </w:t>
      </w:r>
    </w:p>
    <w:p w:rsidR="00013EB8" w:rsidRDefault="00013EB8">
      <w:pPr>
        <w:widowControl w:val="0"/>
        <w:numPr>
          <w:ilvl w:val="12"/>
          <w:numId w:val="0"/>
        </w:numPr>
      </w:pPr>
      <w:r>
        <w:t xml:space="preserve">5238 </w:t>
      </w:r>
      <w:r>
        <w:tab/>
        <w:t xml:space="preserve">Spinal stenosis </w:t>
      </w:r>
    </w:p>
    <w:p w:rsidR="00013EB8" w:rsidRDefault="00013EB8">
      <w:pPr>
        <w:widowControl w:val="0"/>
        <w:numPr>
          <w:ilvl w:val="12"/>
          <w:numId w:val="0"/>
        </w:numPr>
      </w:pPr>
      <w:r>
        <w:t xml:space="preserve">5239 </w:t>
      </w:r>
      <w:r>
        <w:tab/>
        <w:t xml:space="preserve">Spondylolisthesis or segmental instability </w:t>
      </w:r>
    </w:p>
    <w:p w:rsidR="00013EB8" w:rsidRDefault="00013EB8">
      <w:pPr>
        <w:widowControl w:val="0"/>
        <w:numPr>
          <w:ilvl w:val="12"/>
          <w:numId w:val="0"/>
        </w:numPr>
      </w:pPr>
      <w:r>
        <w:t xml:space="preserve">5240 </w:t>
      </w:r>
      <w:r>
        <w:tab/>
        <w:t xml:space="preserve">Ankylosing spondylitis </w:t>
      </w:r>
    </w:p>
    <w:p w:rsidR="00013EB8" w:rsidRDefault="00013EB8">
      <w:pPr>
        <w:widowControl w:val="0"/>
        <w:numPr>
          <w:ilvl w:val="12"/>
          <w:numId w:val="0"/>
        </w:numPr>
      </w:pPr>
      <w:r>
        <w:t xml:space="preserve">5241 </w:t>
      </w:r>
      <w:r>
        <w:tab/>
        <w:t xml:space="preserve">Spinal fusion </w:t>
      </w:r>
    </w:p>
    <w:p w:rsidR="00013EB8" w:rsidRPr="00E64BF3" w:rsidRDefault="00013EB8">
      <w:pPr>
        <w:widowControl w:val="0"/>
        <w:numPr>
          <w:ilvl w:val="12"/>
          <w:numId w:val="0"/>
        </w:numPr>
        <w:rPr>
          <w:color w:val="FF0000"/>
        </w:rPr>
      </w:pPr>
      <w:r w:rsidRPr="00E64BF3">
        <w:rPr>
          <w:color w:val="FF0000"/>
        </w:rPr>
        <w:t xml:space="preserve">5242 </w:t>
      </w:r>
      <w:r w:rsidRPr="00E64BF3">
        <w:rPr>
          <w:color w:val="FF0000"/>
        </w:rPr>
        <w:tab/>
        <w:t xml:space="preserve">Degenerative arthritis of the spine (see also diagnostic code 5003) </w:t>
      </w:r>
    </w:p>
    <w:p w:rsidR="00346325" w:rsidRDefault="00013EB8" w:rsidP="00346325">
      <w:pPr>
        <w:widowControl w:val="0"/>
        <w:numPr>
          <w:ilvl w:val="12"/>
          <w:numId w:val="0"/>
        </w:numPr>
        <w:rPr>
          <w:sz w:val="18"/>
          <w:szCs w:val="18"/>
        </w:rPr>
      </w:pPr>
      <w:r>
        <w:t xml:space="preserve">5243 </w:t>
      </w:r>
      <w:r>
        <w:tab/>
        <w:t>Intervertebral disc syndrome</w:t>
      </w:r>
      <w:r w:rsidR="00BC22C6">
        <w:t xml:space="preserve"> </w:t>
      </w:r>
      <w:r w:rsidR="006E38D5" w:rsidRPr="00D14A9E">
        <w:rPr>
          <w:i/>
          <w:sz w:val="18"/>
          <w:szCs w:val="18"/>
        </w:rPr>
        <w:t>[</w:t>
      </w:r>
      <w:r w:rsidR="00BC014D" w:rsidRPr="00D14A9E">
        <w:rPr>
          <w:i/>
          <w:sz w:val="18"/>
          <w:szCs w:val="18"/>
        </w:rPr>
        <w:t xml:space="preserve">March </w:t>
      </w:r>
      <w:r w:rsidR="00BC22C6" w:rsidRPr="00D14A9E">
        <w:rPr>
          <w:i/>
          <w:sz w:val="18"/>
          <w:szCs w:val="18"/>
        </w:rPr>
        <w:t>2013 QRT comment says DDD is IVDS (not arthritis) &amp; is not subject to presumptive SC</w:t>
      </w:r>
      <w:r w:rsidR="00767FD7" w:rsidRPr="00D14A9E">
        <w:rPr>
          <w:i/>
          <w:sz w:val="18"/>
          <w:szCs w:val="18"/>
        </w:rPr>
        <w:t xml:space="preserve">; </w:t>
      </w:r>
      <w:r w:rsidR="00D45D53" w:rsidRPr="00D14A9E">
        <w:rPr>
          <w:i/>
          <w:sz w:val="18"/>
          <w:szCs w:val="18"/>
        </w:rPr>
        <w:t xml:space="preserve">however </w:t>
      </w:r>
      <w:r w:rsidR="00C1383B">
        <w:rPr>
          <w:i/>
          <w:sz w:val="18"/>
          <w:szCs w:val="18"/>
        </w:rPr>
        <w:t>I</w:t>
      </w:r>
      <w:r w:rsidR="00D45D53" w:rsidRPr="00D14A9E">
        <w:rPr>
          <w:i/>
          <w:sz w:val="18"/>
          <w:szCs w:val="18"/>
        </w:rPr>
        <w:t xml:space="preserve"> see</w:t>
      </w:r>
      <w:r w:rsidR="002E54AE" w:rsidRPr="00D14A9E">
        <w:rPr>
          <w:i/>
          <w:sz w:val="18"/>
          <w:szCs w:val="18"/>
        </w:rPr>
        <w:t xml:space="preserve"> </w:t>
      </w:r>
      <w:r w:rsidR="00D45D53" w:rsidRPr="00D14A9E">
        <w:rPr>
          <w:i/>
          <w:sz w:val="18"/>
          <w:szCs w:val="18"/>
        </w:rPr>
        <w:t>examiners diagnose</w:t>
      </w:r>
      <w:r w:rsidR="00767FD7" w:rsidRPr="00D14A9E">
        <w:rPr>
          <w:i/>
          <w:sz w:val="18"/>
          <w:szCs w:val="18"/>
        </w:rPr>
        <w:t xml:space="preserve"> DDD based on arthritis on x-ray</w:t>
      </w:r>
      <w:r w:rsidR="006A40A5" w:rsidRPr="00D14A9E">
        <w:rPr>
          <w:i/>
          <w:sz w:val="18"/>
          <w:szCs w:val="18"/>
        </w:rPr>
        <w:t xml:space="preserve"> AND diagnose DDD then select the box indicating no IVDS</w:t>
      </w:r>
      <w:r w:rsidR="007F05C2" w:rsidRPr="00D14A9E">
        <w:rPr>
          <w:i/>
          <w:sz w:val="18"/>
          <w:szCs w:val="18"/>
        </w:rPr>
        <w:t>; also see VA examiners say no arthritis when there is disc space narrowing</w:t>
      </w:r>
      <w:r w:rsidR="00C1383B">
        <w:rPr>
          <w:i/>
          <w:sz w:val="18"/>
          <w:szCs w:val="18"/>
        </w:rPr>
        <w:t>;</w:t>
      </w:r>
      <w:r w:rsidR="003673C0" w:rsidRPr="00D14A9E">
        <w:rPr>
          <w:i/>
          <w:sz w:val="18"/>
          <w:szCs w:val="18"/>
        </w:rPr>
        <w:t xml:space="preserve"> also see</w:t>
      </w:r>
      <w:r w:rsidR="0092716C" w:rsidRPr="00D14A9E">
        <w:rPr>
          <w:i/>
          <w:sz w:val="18"/>
          <w:szCs w:val="18"/>
        </w:rPr>
        <w:t xml:space="preserve"> examiners </w:t>
      </w:r>
      <w:r w:rsidR="003673C0" w:rsidRPr="00D14A9E">
        <w:rPr>
          <w:i/>
          <w:sz w:val="18"/>
          <w:szCs w:val="18"/>
        </w:rPr>
        <w:t>diagnose DDD &amp; say no IVDS &amp; no arthritis on x-ray</w:t>
      </w:r>
      <w:r w:rsidR="00C1383B">
        <w:rPr>
          <w:i/>
          <w:sz w:val="18"/>
          <w:szCs w:val="18"/>
        </w:rPr>
        <w:t>;</w:t>
      </w:r>
      <w:r w:rsidR="004C50B2" w:rsidRPr="00D14A9E">
        <w:rPr>
          <w:i/>
          <w:sz w:val="18"/>
          <w:szCs w:val="18"/>
        </w:rPr>
        <w:t xml:space="preserve"> also see examiners diagnose strain &amp; say no arth</w:t>
      </w:r>
      <w:r w:rsidR="00D233A5">
        <w:rPr>
          <w:i/>
          <w:sz w:val="18"/>
          <w:szCs w:val="18"/>
        </w:rPr>
        <w:t>ritis when the x-rays show DDD</w:t>
      </w:r>
      <w:r w:rsidR="002573E6">
        <w:rPr>
          <w:i/>
          <w:sz w:val="18"/>
          <w:szCs w:val="18"/>
        </w:rPr>
        <w:t xml:space="preserve">; </w:t>
      </w:r>
      <w:r w:rsidR="002573E6" w:rsidRPr="002573E6">
        <w:rPr>
          <w:b/>
          <w:sz w:val="18"/>
          <w:szCs w:val="18"/>
        </w:rPr>
        <w:t>III.iv.4.A.</w:t>
      </w:r>
      <w:r w:rsidR="00F95CC5">
        <w:rPr>
          <w:b/>
          <w:sz w:val="18"/>
          <w:szCs w:val="18"/>
        </w:rPr>
        <w:t>5</w:t>
      </w:r>
      <w:r w:rsidR="002573E6" w:rsidRPr="002573E6">
        <w:rPr>
          <w:b/>
          <w:sz w:val="18"/>
          <w:szCs w:val="18"/>
        </w:rPr>
        <w:t>.a</w:t>
      </w:r>
      <w:r w:rsidR="002573E6" w:rsidRPr="002573E6">
        <w:rPr>
          <w:sz w:val="18"/>
          <w:szCs w:val="18"/>
        </w:rPr>
        <w:t xml:space="preserve"> says IVDS is also called slipped disc, herniated disc, ruptured disc, prolapsed disc, bulging disc, protruded disc, degenerative disc disc</w:t>
      </w:r>
      <w:r w:rsidR="002573E6">
        <w:rPr>
          <w:sz w:val="18"/>
          <w:szCs w:val="18"/>
        </w:rPr>
        <w:t xml:space="preserve"> (DDD)</w:t>
      </w:r>
      <w:r w:rsidR="002573E6" w:rsidRPr="002573E6">
        <w:rPr>
          <w:sz w:val="18"/>
          <w:szCs w:val="18"/>
        </w:rPr>
        <w:t>, sciatic, discogenic pain syndrome, herniated nucleus pulposus (HNP), pinched nerve</w:t>
      </w:r>
      <w:r w:rsidR="00346325">
        <w:rPr>
          <w:sz w:val="18"/>
          <w:szCs w:val="18"/>
        </w:rPr>
        <w:t xml:space="preserve">; </w:t>
      </w:r>
    </w:p>
    <w:p w:rsidR="00E96E55" w:rsidRDefault="00E96E55" w:rsidP="00346325">
      <w:pPr>
        <w:widowControl w:val="0"/>
        <w:numPr>
          <w:ilvl w:val="12"/>
          <w:numId w:val="0"/>
        </w:numPr>
        <w:rPr>
          <w:sz w:val="18"/>
          <w:szCs w:val="18"/>
        </w:rPr>
      </w:pPr>
    </w:p>
    <w:p w:rsidR="00E96E55" w:rsidRPr="00E96E55" w:rsidRDefault="00E96E55" w:rsidP="00E96E55">
      <w:pPr>
        <w:widowControl w:val="0"/>
        <w:numPr>
          <w:ilvl w:val="12"/>
          <w:numId w:val="0"/>
        </w:numPr>
        <w:pBdr>
          <w:top w:val="single" w:sz="4" w:space="1" w:color="auto"/>
          <w:left w:val="single" w:sz="4" w:space="4" w:color="auto"/>
          <w:bottom w:val="single" w:sz="4" w:space="1" w:color="auto"/>
          <w:right w:val="single" w:sz="4" w:space="4" w:color="auto"/>
        </w:pBdr>
      </w:pPr>
      <w:r>
        <w:t xml:space="preserve">Rating Note:  </w:t>
      </w:r>
      <w:r w:rsidR="003E04B7">
        <w:t>III.iv.4.A.</w:t>
      </w:r>
      <w:r w:rsidR="00F95CC5">
        <w:t>5</w:t>
      </w:r>
      <w:r w:rsidRPr="00055A89">
        <w:t>.a</w:t>
      </w:r>
      <w:r w:rsidRPr="00E96E55">
        <w:t xml:space="preserve"> indicates that degenerative disc disease is IVDS &amp; not degenerative arthritis, so it does not fall unde</w:t>
      </w:r>
      <w:r>
        <w:t xml:space="preserve">r </w:t>
      </w:r>
      <w:r w:rsidRPr="00E96E55">
        <w:t>3.309(a).</w:t>
      </w:r>
    </w:p>
    <w:p w:rsidR="00013EB8" w:rsidRDefault="00013EB8">
      <w:pPr>
        <w:widowControl w:val="0"/>
        <w:numPr>
          <w:ilvl w:val="12"/>
          <w:numId w:val="0"/>
        </w:numPr>
        <w:rPr>
          <w:sz w:val="18"/>
          <w:szCs w:val="18"/>
        </w:rPr>
      </w:pPr>
    </w:p>
    <w:p w:rsidR="00070D5C" w:rsidRPr="00070D5C" w:rsidRDefault="00D571C5" w:rsidP="00F063AF">
      <w:pPr>
        <w:pStyle w:val="NoSpacing"/>
        <w:numPr>
          <w:ilvl w:val="0"/>
          <w:numId w:val="78"/>
        </w:numPr>
        <w:tabs>
          <w:tab w:val="clear" w:pos="720"/>
          <w:tab w:val="num" w:pos="360"/>
        </w:tabs>
        <w:spacing w:after="120"/>
        <w:ind w:left="360" w:right="-86"/>
        <w:rPr>
          <w:rFonts w:ascii="Arial" w:hAnsi="Arial"/>
          <w:sz w:val="20"/>
          <w:szCs w:val="20"/>
        </w:rPr>
      </w:pPr>
      <w:hyperlink r:id="rId510" w:history="1">
        <w:r w:rsidR="00070D5C" w:rsidRPr="00070D5C">
          <w:rPr>
            <w:rStyle w:val="Hyperlink"/>
            <w:rFonts w:ascii="Arial" w:hAnsi="Arial"/>
            <w:b/>
            <w:bCs/>
            <w:i/>
            <w:sz w:val="20"/>
            <w:szCs w:val="20"/>
          </w:rPr>
          <w:t>January 2017 Quality Call Notes</w:t>
        </w:r>
      </w:hyperlink>
      <w:r w:rsidR="00070D5C" w:rsidRPr="00070D5C">
        <w:rPr>
          <w:rFonts w:ascii="Arial" w:hAnsi="Arial"/>
          <w:i/>
          <w:sz w:val="20"/>
          <w:szCs w:val="20"/>
        </w:rPr>
        <w:t xml:space="preserve"> –</w:t>
      </w:r>
      <w:r w:rsidR="00070D5C" w:rsidRPr="00070D5C">
        <w:rPr>
          <w:rFonts w:ascii="Arial" w:hAnsi="Arial"/>
          <w:sz w:val="20"/>
          <w:szCs w:val="20"/>
        </w:rPr>
        <w:t xml:space="preserve"> You cannot assign separate evaluations for a neurological condition with an evaluation based on IVDS rating criteria because it would constitute pyramiding.  </w:t>
      </w:r>
    </w:p>
    <w:p w:rsidR="00070D5C" w:rsidRPr="00070D5C" w:rsidRDefault="00070D5C" w:rsidP="00070D5C">
      <w:pPr>
        <w:spacing w:after="120"/>
        <w:ind w:left="360"/>
        <w:rPr>
          <w:b/>
          <w:color w:val="FFFFFF"/>
        </w:rPr>
      </w:pPr>
      <w:r w:rsidRPr="00070D5C">
        <w:rPr>
          <w:b/>
        </w:rPr>
        <w:t>Question:  The IVDS scenario presented during the Call involved a Veteran with IVDS and mild neuralgia of the left sciatic nerve.  The answer provided a hyphenated diagnostic code of 8720-5243.  When using VBMS-R, how do you generate this hyphenated code?</w:t>
      </w:r>
    </w:p>
    <w:p w:rsidR="00070D5C" w:rsidRPr="00070D5C" w:rsidRDefault="00070D5C" w:rsidP="00F107C0">
      <w:pPr>
        <w:pStyle w:val="ListParagraph"/>
        <w:spacing w:after="120"/>
        <w:ind w:left="360" w:right="-90"/>
        <w:rPr>
          <w:rFonts w:ascii="Arial" w:hAnsi="Arial"/>
          <w:color w:val="FFFFFF"/>
          <w:sz w:val="20"/>
          <w:szCs w:val="20"/>
        </w:rPr>
      </w:pPr>
      <w:r w:rsidRPr="00070D5C">
        <w:rPr>
          <w:rFonts w:ascii="Arial" w:hAnsi="Arial"/>
          <w:sz w:val="20"/>
          <w:szCs w:val="20"/>
        </w:rPr>
        <w:t>Answer:  In the example presented, a hyphenated code was used because a separate evaluation cannot be granted for the neurological condition with the IVDS.  A hyphenated code is used to reflect that the neurological symptoms were considered.  The decision maker would grant the 5243 as it was of the greater benefit and manually enter in the hyphenated code on the DDI screen.</w:t>
      </w:r>
    </w:p>
    <w:p w:rsidR="000F009F" w:rsidRPr="000F009F" w:rsidRDefault="00F95CC5" w:rsidP="00F063AF">
      <w:pPr>
        <w:pStyle w:val="ListParagraph"/>
        <w:widowControl w:val="0"/>
        <w:numPr>
          <w:ilvl w:val="0"/>
          <w:numId w:val="78"/>
        </w:numPr>
        <w:tabs>
          <w:tab w:val="clear" w:pos="720"/>
          <w:tab w:val="num" w:pos="360"/>
        </w:tabs>
        <w:ind w:left="360"/>
        <w:rPr>
          <w:rFonts w:ascii="Arial" w:hAnsi="Arial"/>
          <w:sz w:val="16"/>
          <w:szCs w:val="18"/>
        </w:rPr>
      </w:pPr>
      <w:r>
        <w:rPr>
          <w:rStyle w:val="Strong"/>
          <w:rFonts w:ascii="Arial" w:hAnsi="Arial"/>
          <w:bCs w:val="0"/>
          <w:sz w:val="20"/>
          <w:szCs w:val="21"/>
        </w:rPr>
        <w:t>III.iv.4.A.5</w:t>
      </w:r>
      <w:r w:rsidR="000F009F" w:rsidRPr="000F009F">
        <w:rPr>
          <w:rStyle w:val="Strong"/>
          <w:rFonts w:ascii="Arial" w:hAnsi="Arial"/>
          <w:bCs w:val="0"/>
          <w:sz w:val="20"/>
          <w:szCs w:val="21"/>
        </w:rPr>
        <w:t>.a</w:t>
      </w:r>
      <w:r w:rsidR="000F009F" w:rsidRPr="000F009F">
        <w:rPr>
          <w:rStyle w:val="Hyperlink"/>
          <w:rFonts w:ascii="Arial" w:hAnsi="Arial"/>
          <w:bCs/>
          <w:i/>
          <w:color w:val="auto"/>
          <w:sz w:val="16"/>
          <w:u w:val="none"/>
        </w:rPr>
        <w:t xml:space="preserve"> </w:t>
      </w:r>
      <w:r w:rsidR="000F009F" w:rsidRPr="000F009F">
        <w:rPr>
          <w:rStyle w:val="Hyperlink"/>
          <w:rFonts w:ascii="Arial" w:hAnsi="Arial"/>
          <w:bCs/>
          <w:i/>
          <w:color w:val="auto"/>
          <w:sz w:val="20"/>
          <w:u w:val="none"/>
        </w:rPr>
        <w:t xml:space="preserve">– </w:t>
      </w:r>
      <w:r w:rsidR="000F009F" w:rsidRPr="000F009F">
        <w:rPr>
          <w:rStyle w:val="Hyperlink"/>
          <w:rFonts w:ascii="Arial" w:hAnsi="Arial"/>
          <w:bCs/>
          <w:color w:val="auto"/>
          <w:sz w:val="20"/>
          <w:u w:val="none"/>
        </w:rPr>
        <w:t>“</w:t>
      </w:r>
      <w:r w:rsidR="000F009F" w:rsidRPr="000F009F">
        <w:rPr>
          <w:rFonts w:ascii="Arial" w:hAnsi="Arial"/>
          <w:sz w:val="20"/>
          <w:szCs w:val="21"/>
        </w:rPr>
        <w:t xml:space="preserve">spinal disease can cause objective neurological abnormalities, onset of a neurological complication represents medical progression or worsening of the spinal disease.  For that reason and because neurological complications of spinal disease are contemplated in the evaluation criteria for spinal conditions under </w:t>
      </w:r>
      <w:hyperlink r:id="rId511" w:history="1">
        <w:r w:rsidR="000F009F" w:rsidRPr="000F009F">
          <w:rPr>
            <w:rStyle w:val="Hyperlink"/>
            <w:rFonts w:ascii="Arial" w:hAnsi="Arial"/>
            <w:sz w:val="20"/>
            <w:szCs w:val="21"/>
          </w:rPr>
          <w:t>38 CFR 4.71a</w:t>
        </w:r>
      </w:hyperlink>
      <w:r w:rsidR="000F009F" w:rsidRPr="000F009F">
        <w:rPr>
          <w:rFonts w:ascii="Arial" w:hAnsi="Arial"/>
          <w:sz w:val="20"/>
          <w:szCs w:val="21"/>
        </w:rPr>
        <w:t>, a claim asserting new complications of spinal disease is a claim for increase rather than a claim for secondary SC</w:t>
      </w:r>
    </w:p>
    <w:p w:rsidR="00013EB8" w:rsidRDefault="00013EB8">
      <w:pPr>
        <w:pStyle w:val="Heading1"/>
        <w:keepNext w:val="0"/>
        <w:widowControl w:val="0"/>
        <w:numPr>
          <w:ilvl w:val="12"/>
          <w:numId w:val="0"/>
        </w:numPr>
        <w:rPr>
          <w:b/>
          <w:bCs/>
          <w:i w:val="0"/>
          <w:iCs w:val="0"/>
          <w:sz w:val="20"/>
        </w:rPr>
      </w:pPr>
    </w:p>
    <w:p w:rsidR="00013EB8" w:rsidRDefault="00013EB8">
      <w:pPr>
        <w:widowControl w:val="0"/>
        <w:pBdr>
          <w:top w:val="dashed" w:sz="4" w:space="1" w:color="auto"/>
        </w:pBdr>
      </w:pPr>
    </w:p>
    <w:p w:rsidR="00013EB8" w:rsidRDefault="00013EB8">
      <w:pPr>
        <w:pStyle w:val="Heading1"/>
        <w:keepNext w:val="0"/>
        <w:widowControl w:val="0"/>
        <w:numPr>
          <w:ilvl w:val="12"/>
          <w:numId w:val="0"/>
        </w:numPr>
        <w:rPr>
          <w:bCs/>
          <w:i w:val="0"/>
          <w:sz w:val="20"/>
        </w:rPr>
      </w:pPr>
      <w:r w:rsidRPr="00055A89">
        <w:rPr>
          <w:b/>
          <w:bCs/>
          <w:i w:val="0"/>
          <w:iCs w:val="0"/>
          <w:sz w:val="20"/>
          <w:u w:val="single"/>
        </w:rPr>
        <w:t>THE HIP AND THIGH</w:t>
      </w:r>
    </w:p>
    <w:p w:rsidR="00055A89" w:rsidRPr="00055A89" w:rsidRDefault="00055A89" w:rsidP="00055A89"/>
    <w:p w:rsidR="00271B60" w:rsidRPr="00CB7E76" w:rsidRDefault="00525152" w:rsidP="00F063AF">
      <w:pPr>
        <w:widowControl w:val="0"/>
        <w:numPr>
          <w:ilvl w:val="0"/>
          <w:numId w:val="139"/>
        </w:numPr>
        <w:tabs>
          <w:tab w:val="clear" w:pos="720"/>
          <w:tab w:val="num" w:pos="450"/>
        </w:tabs>
        <w:spacing w:after="120"/>
        <w:ind w:left="450"/>
        <w:rPr>
          <w:bCs/>
          <w:iCs/>
          <w:color w:val="0000FF"/>
        </w:rPr>
      </w:pPr>
      <w:r w:rsidRPr="00525152">
        <w:rPr>
          <w:b/>
          <w:bCs/>
        </w:rPr>
        <w:t>III.iv.4.A.1</w:t>
      </w:r>
      <w:r w:rsidR="00CB7E76">
        <w:rPr>
          <w:b/>
          <w:bCs/>
        </w:rPr>
        <w:t xml:space="preserve"> </w:t>
      </w:r>
      <w:r w:rsidR="00CB7E76" w:rsidRPr="00055A89">
        <w:rPr>
          <w:b/>
          <w:bCs/>
          <w:i/>
        </w:rPr>
        <w:t xml:space="preserve">– </w:t>
      </w:r>
      <w:r w:rsidR="00CB7E76" w:rsidRPr="00CB7E76">
        <w:rPr>
          <w:bCs/>
        </w:rPr>
        <w:t>can give separate evals for 5251, 5252 &amp; 5253</w:t>
      </w:r>
    </w:p>
    <w:p w:rsidR="00CB7E76" w:rsidRPr="00631657" w:rsidRDefault="00CB7E76" w:rsidP="00CB7E76">
      <w:pPr>
        <w:ind w:left="450"/>
      </w:pPr>
      <w:r>
        <w:t>5251 – right/left hip {} with limitation of extension</w:t>
      </w:r>
    </w:p>
    <w:p w:rsidR="00CB7E76" w:rsidRPr="00631657" w:rsidRDefault="00CB7E76" w:rsidP="00CB7E76">
      <w:pPr>
        <w:ind w:left="450"/>
      </w:pPr>
      <w:r>
        <w:t>5252 – right/left hip {} with limitation of flexion</w:t>
      </w:r>
    </w:p>
    <w:p w:rsidR="00CB7E76" w:rsidRDefault="00CB7E76" w:rsidP="00CB7E76">
      <w:pPr>
        <w:spacing w:after="120"/>
        <w:ind w:left="446"/>
      </w:pPr>
      <w:r>
        <w:t xml:space="preserve">5253 – right/left hip {} with </w:t>
      </w:r>
      <w:r w:rsidRPr="00631657">
        <w:t>thigh impairment</w:t>
      </w:r>
    </w:p>
    <w:p w:rsidR="00B82EBC" w:rsidRPr="00B82EBC" w:rsidRDefault="00B82EBC" w:rsidP="00B82EBC">
      <w:pPr>
        <w:pBdr>
          <w:top w:val="single" w:sz="4" w:space="1" w:color="auto"/>
          <w:left w:val="single" w:sz="4" w:space="4" w:color="auto"/>
          <w:bottom w:val="single" w:sz="4" w:space="1" w:color="auto"/>
          <w:right w:val="single" w:sz="4" w:space="4" w:color="auto"/>
        </w:pBdr>
        <w:rPr>
          <w:rFonts w:cstheme="minorBidi"/>
          <w:i/>
        </w:rPr>
      </w:pPr>
      <w:r w:rsidRPr="00B82EBC">
        <w:rPr>
          <w:rFonts w:cstheme="minorBidi"/>
        </w:rPr>
        <w:t xml:space="preserve">Rating Note:  The veteran cannot cross his legs, but we are not asking for clarification on abduction being {40/45/full abduction} degrees yet he cannot cross his legs, as 10% is warranted based on painful motion. </w:t>
      </w:r>
      <w:r w:rsidRPr="00B82EBC">
        <w:rPr>
          <w:rFonts w:cstheme="minorBidi"/>
          <w:i/>
        </w:rPr>
        <w:t>[choose “Yes” for crossing legs]</w:t>
      </w:r>
    </w:p>
    <w:p w:rsidR="00B82EBC" w:rsidRPr="00CB7E76" w:rsidRDefault="00B82EBC" w:rsidP="00B82EBC">
      <w:pPr>
        <w:spacing w:after="120"/>
      </w:pPr>
    </w:p>
    <w:p w:rsidR="00DF08EF" w:rsidRPr="00B32B0D" w:rsidRDefault="00D571C5" w:rsidP="00F063AF">
      <w:pPr>
        <w:pStyle w:val="Header"/>
        <w:widowControl w:val="0"/>
        <w:numPr>
          <w:ilvl w:val="0"/>
          <w:numId w:val="139"/>
        </w:numPr>
        <w:tabs>
          <w:tab w:val="clear" w:pos="720"/>
          <w:tab w:val="clear" w:pos="4320"/>
          <w:tab w:val="clear" w:pos="8640"/>
          <w:tab w:val="left" w:pos="450"/>
          <w:tab w:val="left" w:pos="9400"/>
        </w:tabs>
        <w:spacing w:after="120"/>
        <w:ind w:left="450"/>
      </w:pPr>
      <w:hyperlink r:id="rId512" w:history="1">
        <w:r w:rsidR="00DF08EF" w:rsidRPr="00B32B0D">
          <w:rPr>
            <w:rStyle w:val="Hyperlink"/>
            <w:b/>
            <w:i/>
          </w:rPr>
          <w:t>August 2015 Quality Call Notes</w:t>
        </w:r>
      </w:hyperlink>
      <w:hyperlink r:id="rId513" w:history="1"/>
      <w:r w:rsidR="00DF08EF" w:rsidRPr="00B32B0D">
        <w:rPr>
          <w:rStyle w:val="Hyperlink"/>
          <w:u w:val="none"/>
        </w:rPr>
        <w:t xml:space="preserve"> </w:t>
      </w:r>
      <w:r w:rsidR="00DF08EF" w:rsidRPr="00B32B0D">
        <w:rPr>
          <w:rStyle w:val="Hyperlink"/>
          <w:color w:val="auto"/>
          <w:u w:val="none"/>
        </w:rPr>
        <w:t xml:space="preserve">– AP 38 – Agency Interpretation of Prosthetic Replacement of a Joint Final Rule, for 5051 through 5056, 100% is only for TOTAL replacement (for 5054, total means </w:t>
      </w:r>
      <w:r w:rsidR="00DF08EF" w:rsidRPr="00B32B0D">
        <w:t>a total replacement of the head of the femur or of the acetabulum)</w:t>
      </w:r>
    </w:p>
    <w:p w:rsidR="00DF08EF" w:rsidRPr="00B32B0D" w:rsidRDefault="00DF08EF" w:rsidP="00CB7E76">
      <w:pPr>
        <w:tabs>
          <w:tab w:val="left" w:pos="360"/>
        </w:tabs>
        <w:spacing w:after="120"/>
        <w:ind w:left="450"/>
      </w:pPr>
      <w:r w:rsidRPr="00B32B0D">
        <w:t xml:space="preserve">Q:  I have a question regarding the ramifications of rating DC 5051-5056.The post evaluation of a partial replacement is a mystery in light of the new regulations on partial replacements, but also applies to total replacements, too.  Only DC 5054 for total hip replacement contains the same prescriptions as the other codes 5051, 5052, 5053, 5055, and 5056.  It appears that DC 5054 does not explicitly prohibit multiple evaluations for loss of flexion/extension as do the other replacement codes.  However, the Evaluation Builder does not appear to take this into consideration.  </w:t>
      </w:r>
    </w:p>
    <w:p w:rsidR="00DF08EF" w:rsidRPr="00B32B0D" w:rsidRDefault="00DF08EF" w:rsidP="00CB7E76">
      <w:pPr>
        <w:tabs>
          <w:tab w:val="left" w:pos="360"/>
        </w:tabs>
        <w:spacing w:after="120"/>
        <w:ind w:left="450"/>
      </w:pPr>
      <w:r w:rsidRPr="00B32B0D">
        <w:t xml:space="preserve">Am I reading the rating schedule correctly?  Two of our RQRSs have concurred with my reading of the rating schedule (RS).  But the evaluation builder language concerns me in that I could be pyramiding, even though the RS does not explicitly prohibit multiple evaluations for the hip post-replacement. </w:t>
      </w:r>
    </w:p>
    <w:p w:rsidR="00DF08EF" w:rsidRPr="00B32B0D" w:rsidRDefault="00DF08EF" w:rsidP="00CB7E76">
      <w:pPr>
        <w:tabs>
          <w:tab w:val="left" w:pos="360"/>
          <w:tab w:val="left" w:pos="1365"/>
        </w:tabs>
        <w:spacing w:after="120"/>
        <w:ind w:left="450"/>
        <w:rPr>
          <w:i/>
        </w:rPr>
      </w:pPr>
      <w:r w:rsidRPr="00B32B0D">
        <w:rPr>
          <w:i/>
        </w:rPr>
        <w:t xml:space="preserve">A:  It’s important to reiterate that the new policy discussed on August’s call did not change the way VA evaluates musculoskeletal conditions.  It merely added an explanatory note to diagnostic codes 5051-5056 to clarify that the temporary total disability evaluation warranted under those codes applies only when there has been a total replacement of the named joint.  </w:t>
      </w:r>
    </w:p>
    <w:p w:rsidR="00DF08EF" w:rsidRPr="00B32B0D" w:rsidRDefault="00DF08EF" w:rsidP="00CB7E76">
      <w:pPr>
        <w:pStyle w:val="Header"/>
        <w:widowControl w:val="0"/>
        <w:tabs>
          <w:tab w:val="clear" w:pos="4320"/>
          <w:tab w:val="clear" w:pos="8640"/>
          <w:tab w:val="left" w:pos="360"/>
          <w:tab w:val="left" w:pos="9400"/>
        </w:tabs>
        <w:spacing w:after="120"/>
        <w:ind w:left="450"/>
        <w:rPr>
          <w:i/>
        </w:rPr>
      </w:pPr>
      <w:r w:rsidRPr="00B32B0D">
        <w:rPr>
          <w:i/>
        </w:rPr>
        <w:t>With regard to multiple evaluations for loss of flexion/extension under diagnostic code 5054, please refer to 38 CFR 4.20.  There is no authority under § 4.20 to rate analogously to another joint code because the condition is not unlisted (e.g. prosthetic replacement of the hip joint) and DC 5054 criteria does not direct the adjudicator to rate analogously to another diagnostic code.  Therefore, multiple evaluations that might apply to analogous evaluations under other prosthetic joint codes do not apply to prosthetic replacement of the hip.</w:t>
      </w:r>
    </w:p>
    <w:p w:rsidR="00DF08EF" w:rsidRPr="00B32B0D" w:rsidRDefault="00DF08EF" w:rsidP="00CB7E76">
      <w:pPr>
        <w:pStyle w:val="NoSpacing"/>
        <w:tabs>
          <w:tab w:val="left" w:pos="360"/>
        </w:tabs>
        <w:spacing w:after="120"/>
        <w:ind w:left="450"/>
        <w:rPr>
          <w:rFonts w:ascii="Arial" w:hAnsi="Arial"/>
          <w:sz w:val="20"/>
          <w:szCs w:val="20"/>
        </w:rPr>
      </w:pPr>
      <w:r w:rsidRPr="00B32B0D">
        <w:rPr>
          <w:rFonts w:ascii="Arial" w:hAnsi="Arial"/>
          <w:sz w:val="20"/>
          <w:szCs w:val="20"/>
        </w:rPr>
        <w:t xml:space="preserve">Q:  The example cited femur replacement in the hip and I was curious if this applied to the knee?  </w:t>
      </w:r>
    </w:p>
    <w:p w:rsidR="00DF08EF" w:rsidRPr="00B32B0D" w:rsidRDefault="00DF08EF" w:rsidP="00CB7E76">
      <w:pPr>
        <w:pStyle w:val="NoSpacing"/>
        <w:tabs>
          <w:tab w:val="left" w:pos="360"/>
        </w:tabs>
        <w:spacing w:after="120"/>
        <w:ind w:left="450"/>
        <w:rPr>
          <w:rFonts w:ascii="Arial" w:hAnsi="Arial"/>
          <w:color w:val="3682A2"/>
          <w:sz w:val="20"/>
          <w:szCs w:val="20"/>
        </w:rPr>
      </w:pPr>
      <w:r w:rsidRPr="00B32B0D">
        <w:rPr>
          <w:rFonts w:ascii="Arial" w:hAnsi="Arial"/>
          <w:i/>
          <w:sz w:val="20"/>
          <w:szCs w:val="20"/>
        </w:rPr>
        <w:t>A:  Femur replacement refers to diagnostic code 5054, which requires by its terms total “[p]rosthetic replacement of the head of the femur or of the acetabulum.”  In other words, there must be a total replacement of the head of the femur or total replacement of the acetabulum for the 1 year, 100 percent evaluation to apply.  This does not apply to the criteria under diagnostic code 5055.   </w:t>
      </w:r>
    </w:p>
    <w:p w:rsidR="00DF08EF" w:rsidRPr="00DC275A" w:rsidRDefault="00D571C5" w:rsidP="00F063AF">
      <w:pPr>
        <w:pStyle w:val="Header"/>
        <w:widowControl w:val="0"/>
        <w:numPr>
          <w:ilvl w:val="0"/>
          <w:numId w:val="139"/>
        </w:numPr>
        <w:tabs>
          <w:tab w:val="clear" w:pos="720"/>
          <w:tab w:val="clear" w:pos="4320"/>
          <w:tab w:val="clear" w:pos="8640"/>
          <w:tab w:val="left" w:pos="450"/>
          <w:tab w:val="left" w:pos="9400"/>
        </w:tabs>
        <w:spacing w:after="120"/>
        <w:ind w:left="450"/>
        <w:rPr>
          <w:highlight w:val="yellow"/>
        </w:rPr>
      </w:pPr>
      <w:hyperlink r:id="rId514" w:history="1">
        <w:r w:rsidR="00DF08EF">
          <w:rPr>
            <w:rStyle w:val="Hyperlink"/>
            <w:b/>
            <w:i/>
          </w:rPr>
          <w:t>October 2015 Quality Call Notes</w:t>
        </w:r>
      </w:hyperlink>
      <w:hyperlink r:id="rId515" w:history="1"/>
      <w:r w:rsidR="00DF08EF" w:rsidRPr="00B32B0D">
        <w:rPr>
          <w:rStyle w:val="Hyperlink"/>
          <w:u w:val="none"/>
        </w:rPr>
        <w:t xml:space="preserve"> </w:t>
      </w:r>
      <w:r w:rsidR="00DF08EF" w:rsidRPr="00B32B0D">
        <w:rPr>
          <w:rStyle w:val="Hyperlink"/>
          <w:color w:val="auto"/>
          <w:u w:val="none"/>
        </w:rPr>
        <w:t xml:space="preserve">– </w:t>
      </w:r>
      <w:r w:rsidR="00DF08EF">
        <w:rPr>
          <w:rStyle w:val="Hyperlink"/>
          <w:color w:val="auto"/>
          <w:u w:val="none"/>
        </w:rPr>
        <w:t>VEB now has joint replacement functionality, includes Job Aid</w:t>
      </w:r>
      <w:r w:rsidR="00DF08EF" w:rsidRPr="00DC275A">
        <w:rPr>
          <w:rStyle w:val="Hyperlink"/>
          <w:color w:val="auto"/>
          <w:u w:val="none"/>
        </w:rPr>
        <w:t xml:space="preserve">, </w:t>
      </w:r>
      <w:r w:rsidR="00DF08EF" w:rsidRPr="00DC275A">
        <w:rPr>
          <w:rStyle w:val="Hyperlink"/>
          <w:color w:val="auto"/>
          <w:highlight w:val="yellow"/>
          <w:u w:val="none"/>
        </w:rPr>
        <w:t>check for video?</w:t>
      </w:r>
    </w:p>
    <w:p w:rsidR="00DF08EF" w:rsidRPr="004863DB" w:rsidRDefault="004863DB" w:rsidP="00F063AF">
      <w:pPr>
        <w:widowControl w:val="0"/>
        <w:numPr>
          <w:ilvl w:val="0"/>
          <w:numId w:val="139"/>
        </w:numPr>
        <w:tabs>
          <w:tab w:val="clear" w:pos="720"/>
          <w:tab w:val="num" w:pos="450"/>
        </w:tabs>
        <w:spacing w:after="120"/>
        <w:ind w:left="450"/>
        <w:rPr>
          <w:rStyle w:val="Hyperlink"/>
          <w:bCs/>
          <w:iCs/>
          <w:color w:val="auto"/>
          <w:u w:val="none"/>
        </w:rPr>
      </w:pPr>
      <w:r w:rsidRPr="004863DB">
        <w:rPr>
          <w:rStyle w:val="Hyperlink"/>
          <w:bCs/>
          <w:iCs/>
          <w:color w:val="auto"/>
          <w:u w:val="none"/>
        </w:rPr>
        <w:t>…</w:t>
      </w:r>
    </w:p>
    <w:p w:rsidR="00013EB8" w:rsidRDefault="00013EB8">
      <w:pPr>
        <w:widowControl w:val="0"/>
        <w:numPr>
          <w:ilvl w:val="12"/>
          <w:numId w:val="0"/>
        </w:numPr>
        <w:rPr>
          <w:b/>
        </w:rPr>
      </w:pPr>
    </w:p>
    <w:p w:rsidR="00013EB8" w:rsidRDefault="00013EB8">
      <w:pPr>
        <w:widowControl w:val="0"/>
        <w:numPr>
          <w:ilvl w:val="12"/>
          <w:numId w:val="0"/>
        </w:numPr>
        <w:pBdr>
          <w:top w:val="dashed" w:sz="4" w:space="1" w:color="auto"/>
        </w:pBdr>
        <w:rPr>
          <w:b/>
        </w:rPr>
      </w:pPr>
    </w:p>
    <w:p w:rsidR="00CB7E76" w:rsidRDefault="00013EB8">
      <w:pPr>
        <w:widowControl w:val="0"/>
        <w:numPr>
          <w:ilvl w:val="12"/>
          <w:numId w:val="0"/>
        </w:numPr>
        <w:spacing w:after="120"/>
        <w:rPr>
          <w:b/>
          <w:bCs/>
        </w:rPr>
      </w:pPr>
      <w:r>
        <w:rPr>
          <w:b/>
          <w:u w:val="single"/>
        </w:rPr>
        <w:t>THE KNEE AND LEG</w:t>
      </w:r>
      <w:r w:rsidR="00055A89" w:rsidRPr="00055A89">
        <w:rPr>
          <w:b/>
          <w:bCs/>
        </w:rPr>
        <w:t xml:space="preserve"> </w:t>
      </w:r>
      <w:r w:rsidR="00CB7E76">
        <w:rPr>
          <w:b/>
          <w:bCs/>
        </w:rPr>
        <w:t>–</w:t>
      </w:r>
      <w:r w:rsidR="00055A89">
        <w:rPr>
          <w:b/>
          <w:bCs/>
        </w:rPr>
        <w:t xml:space="preserve"> </w:t>
      </w:r>
    </w:p>
    <w:p w:rsidR="00013EB8" w:rsidRPr="00CB7E76" w:rsidRDefault="00055A89" w:rsidP="00F063AF">
      <w:pPr>
        <w:pStyle w:val="ListParagraph"/>
        <w:widowControl w:val="0"/>
        <w:numPr>
          <w:ilvl w:val="0"/>
          <w:numId w:val="345"/>
        </w:numPr>
        <w:spacing w:after="120"/>
        <w:ind w:left="360"/>
        <w:rPr>
          <w:rFonts w:ascii="Arial" w:hAnsi="Arial"/>
          <w:sz w:val="20"/>
          <w:szCs w:val="20"/>
          <w:u w:val="single"/>
        </w:rPr>
      </w:pPr>
      <w:r w:rsidRPr="00CB7E76">
        <w:rPr>
          <w:rFonts w:ascii="Arial" w:hAnsi="Arial"/>
          <w:b/>
          <w:bCs/>
          <w:sz w:val="20"/>
          <w:szCs w:val="20"/>
        </w:rPr>
        <w:t xml:space="preserve">III.iv.4.A.1 – </w:t>
      </w:r>
      <w:r w:rsidRPr="00CB7E76">
        <w:rPr>
          <w:rFonts w:ascii="Arial" w:hAnsi="Arial"/>
          <w:bCs/>
          <w:sz w:val="20"/>
          <w:szCs w:val="20"/>
        </w:rPr>
        <w:t>can give separate evals for 5260 &amp; 5261</w:t>
      </w:r>
    </w:p>
    <w:p w:rsidR="00CB7E76" w:rsidRPr="00CB7E76" w:rsidRDefault="00CB7E76" w:rsidP="00CB7E76">
      <w:pPr>
        <w:ind w:left="360"/>
      </w:pPr>
      <w:r w:rsidRPr="00CB7E76">
        <w:t>5260 – right/left knee {} with limitation of flexion</w:t>
      </w:r>
    </w:p>
    <w:p w:rsidR="00CB7E76" w:rsidRPr="00CB7E76" w:rsidRDefault="00CB7E76" w:rsidP="00CB7E76">
      <w:pPr>
        <w:spacing w:after="120"/>
        <w:ind w:left="360"/>
      </w:pPr>
      <w:r w:rsidRPr="00CB7E76">
        <w:t>5261 – right/left knee {} with limitation of extension</w:t>
      </w:r>
    </w:p>
    <w:p w:rsidR="00013EB8" w:rsidRPr="009B1266" w:rsidRDefault="00013EB8" w:rsidP="00F063AF">
      <w:pPr>
        <w:widowControl w:val="0"/>
        <w:numPr>
          <w:ilvl w:val="0"/>
          <w:numId w:val="100"/>
        </w:numPr>
        <w:tabs>
          <w:tab w:val="clear" w:pos="720"/>
          <w:tab w:val="num" w:pos="300"/>
        </w:tabs>
        <w:overflowPunct/>
        <w:spacing w:after="120"/>
        <w:ind w:left="302" w:hanging="302"/>
        <w:textAlignment w:val="auto"/>
      </w:pPr>
      <w:r w:rsidRPr="00EA0611">
        <w:rPr>
          <w:b/>
          <w:i/>
        </w:rPr>
        <w:t xml:space="preserve">May 2012 </w:t>
      </w:r>
      <w:r w:rsidR="00EB6F0B" w:rsidRPr="00EA0611">
        <w:rPr>
          <w:b/>
          <w:i/>
        </w:rPr>
        <w:t>Compensation Service Bulletin (CSB)</w:t>
      </w:r>
      <w:r>
        <w:rPr>
          <w:bCs/>
          <w:iCs/>
        </w:rPr>
        <w:t xml:space="preserve">  &amp; </w:t>
      </w:r>
      <w:hyperlink r:id="rId516" w:history="1">
        <w:r>
          <w:rPr>
            <w:rStyle w:val="Hyperlink"/>
            <w:b/>
            <w:i/>
          </w:rPr>
          <w:t>QRT Bulletin June 2012</w:t>
        </w:r>
      </w:hyperlink>
      <w:r>
        <w:rPr>
          <w:bCs/>
          <w:iCs/>
        </w:rPr>
        <w:t xml:space="preserve"> – 5257 includes lateral instability, as well as anterior and posterior instability; subluxation means “partial or incomplete dislocation” of the joint, so evaluate as slight, moderate or severe</w:t>
      </w:r>
    </w:p>
    <w:p w:rsidR="009B1266" w:rsidRDefault="009B1266" w:rsidP="009B1266">
      <w:pPr>
        <w:pBdr>
          <w:top w:val="single" w:sz="2" w:space="0" w:color="auto"/>
          <w:left w:val="single" w:sz="2" w:space="4" w:color="auto"/>
          <w:bottom w:val="single" w:sz="2" w:space="1" w:color="auto"/>
          <w:right w:val="single" w:sz="2" w:space="3" w:color="auto"/>
        </w:pBdr>
        <w:tabs>
          <w:tab w:val="left" w:pos="360"/>
        </w:tabs>
        <w:spacing w:after="120"/>
        <w:ind w:left="360"/>
        <w:rPr>
          <w:rFonts w:eastAsiaTheme="minorHAnsi"/>
          <w:i/>
        </w:rPr>
      </w:pPr>
      <w:r>
        <w:rPr>
          <w:rFonts w:eastAsiaTheme="minorHAnsi"/>
          <w:i/>
        </w:rPr>
        <w:t>If already SC for the knee under one DC, add the other(s) DC(s) as secondary &amp; change the language to:</w:t>
      </w:r>
    </w:p>
    <w:p w:rsidR="009B1266" w:rsidRPr="009B1266" w:rsidRDefault="009B1266" w:rsidP="009B1266">
      <w:pPr>
        <w:pBdr>
          <w:top w:val="single" w:sz="2" w:space="0" w:color="auto"/>
          <w:left w:val="single" w:sz="2" w:space="4" w:color="auto"/>
          <w:bottom w:val="single" w:sz="2" w:space="1" w:color="auto"/>
          <w:right w:val="single" w:sz="2" w:space="3" w:color="auto"/>
        </w:pBdr>
        <w:tabs>
          <w:tab w:val="left" w:pos="360"/>
        </w:tabs>
        <w:spacing w:after="120"/>
        <w:ind w:left="360"/>
        <w:rPr>
          <w:rFonts w:eastAsiaTheme="minorHAnsi"/>
        </w:rPr>
      </w:pPr>
      <w:r w:rsidRPr="009B1266">
        <w:rPr>
          <w:rFonts w:eastAsiaTheme="minorHAnsi"/>
          <w:i/>
        </w:rPr>
        <w:t>Issue:</w:t>
      </w:r>
      <w:r w:rsidRPr="009B1266">
        <w:rPr>
          <w:rFonts w:eastAsiaTheme="minorHAnsi"/>
        </w:rPr>
        <w:t xml:space="preserve">  Entitlement to a separate evaluation for </w:t>
      </w:r>
      <w:r>
        <w:rPr>
          <w:rFonts w:eastAsiaTheme="minorHAnsi"/>
        </w:rPr>
        <w:t>{}.</w:t>
      </w:r>
    </w:p>
    <w:p w:rsidR="009B1266" w:rsidRPr="009B1266" w:rsidRDefault="009B1266" w:rsidP="009B1266">
      <w:pPr>
        <w:pBdr>
          <w:top w:val="single" w:sz="2" w:space="0" w:color="auto"/>
          <w:left w:val="single" w:sz="2" w:space="4" w:color="auto"/>
          <w:bottom w:val="single" w:sz="2" w:space="1" w:color="auto"/>
          <w:right w:val="single" w:sz="2" w:space="3" w:color="auto"/>
        </w:pBdr>
        <w:tabs>
          <w:tab w:val="left" w:pos="360"/>
        </w:tabs>
        <w:spacing w:after="120"/>
        <w:ind w:left="360"/>
        <w:rPr>
          <w:rFonts w:eastAsiaTheme="minorHAnsi"/>
        </w:rPr>
      </w:pPr>
      <w:r w:rsidRPr="009B1266">
        <w:rPr>
          <w:rFonts w:eastAsiaTheme="minorHAnsi"/>
          <w:i/>
        </w:rPr>
        <w:t>Decision:</w:t>
      </w:r>
      <w:r w:rsidRPr="009B1266">
        <w:rPr>
          <w:rFonts w:eastAsiaTheme="minorHAnsi"/>
        </w:rPr>
        <w:t xml:space="preserve">  A separate evaluation for </w:t>
      </w:r>
      <w:r>
        <w:rPr>
          <w:rFonts w:eastAsiaTheme="minorHAnsi"/>
        </w:rPr>
        <w:t>{}</w:t>
      </w:r>
      <w:r w:rsidRPr="009B1266">
        <w:rPr>
          <w:rFonts w:eastAsiaTheme="minorHAnsi"/>
        </w:rPr>
        <w:t xml:space="preserve"> is granted with an evaluation of {} percent effective {}.</w:t>
      </w:r>
    </w:p>
    <w:p w:rsidR="009B1266" w:rsidRPr="009400D6" w:rsidRDefault="009B1266" w:rsidP="009B1266">
      <w:pPr>
        <w:pBdr>
          <w:top w:val="single" w:sz="2" w:space="0" w:color="auto"/>
          <w:left w:val="single" w:sz="2" w:space="4" w:color="auto"/>
          <w:bottom w:val="single" w:sz="2" w:space="1" w:color="auto"/>
          <w:right w:val="single" w:sz="2" w:space="3" w:color="auto"/>
        </w:pBdr>
        <w:tabs>
          <w:tab w:val="left" w:pos="360"/>
        </w:tabs>
        <w:spacing w:after="120"/>
        <w:ind w:left="360"/>
      </w:pPr>
      <w:r w:rsidRPr="009B1266">
        <w:rPr>
          <w:rFonts w:eastAsiaTheme="minorHAnsi"/>
          <w:i/>
        </w:rPr>
        <w:t>Reasons for Decision</w:t>
      </w:r>
      <w:r w:rsidRPr="009B1266">
        <w:rPr>
          <w:rFonts w:eastAsiaTheme="minorHAnsi"/>
        </w:rPr>
        <w:t xml:space="preserve">:  A separate evaluation for </w:t>
      </w:r>
      <w:r>
        <w:rPr>
          <w:rFonts w:eastAsiaTheme="minorHAnsi"/>
        </w:rPr>
        <w:t>{}</w:t>
      </w:r>
      <w:r w:rsidRPr="009B1266">
        <w:rPr>
          <w:rFonts w:eastAsiaTheme="minorHAnsi"/>
        </w:rPr>
        <w:t xml:space="preserve"> has been granted with an evaluation of {} percent from {}, the day VA received your claim. </w:t>
      </w:r>
    </w:p>
    <w:p w:rsidR="009400D6" w:rsidRPr="009400D6" w:rsidRDefault="00D571C5" w:rsidP="00F063AF">
      <w:pPr>
        <w:pStyle w:val="ListParagraph"/>
        <w:numPr>
          <w:ilvl w:val="0"/>
          <w:numId w:val="100"/>
        </w:numPr>
        <w:tabs>
          <w:tab w:val="clear" w:pos="720"/>
          <w:tab w:val="left" w:pos="450"/>
        </w:tabs>
        <w:spacing w:after="120"/>
        <w:ind w:left="360"/>
        <w:rPr>
          <w:rFonts w:asciiTheme="minorHAnsi" w:hAnsiTheme="minorHAnsi"/>
          <w:sz w:val="24"/>
          <w:szCs w:val="24"/>
        </w:rPr>
      </w:pPr>
      <w:hyperlink r:id="rId517" w:history="1">
        <w:r w:rsidR="009400D6" w:rsidRPr="009400D6">
          <w:rPr>
            <w:rStyle w:val="Hyperlink"/>
            <w:rFonts w:asciiTheme="minorHAnsi" w:hAnsiTheme="minorHAnsi"/>
            <w:b/>
            <w:i/>
            <w:sz w:val="24"/>
            <w:szCs w:val="24"/>
          </w:rPr>
          <w:t>5/11/12 DBQ Call</w:t>
        </w:r>
      </w:hyperlink>
      <w:r w:rsidR="009400D6" w:rsidRPr="009400D6">
        <w:rPr>
          <w:rFonts w:asciiTheme="minorHAnsi" w:hAnsiTheme="minorHAnsi"/>
          <w:sz w:val="24"/>
          <w:szCs w:val="24"/>
        </w:rPr>
        <w:t xml:space="preserve"> – The DBQ asks (about patellar subluxation); however it cannot be applied to the Rating Schedule. </w:t>
      </w:r>
      <w:r w:rsidR="009400D6" w:rsidRPr="009400D6">
        <w:rPr>
          <w:rFonts w:asciiTheme="minorHAnsi" w:hAnsiTheme="minorHAnsi"/>
          <w:bCs/>
          <w:sz w:val="24"/>
          <w:szCs w:val="24"/>
        </w:rPr>
        <w:t>Under 5257, we can only evaluate lateral instability or subluxation (incomplete dislocation of the joint).  In today’s medicine the more recently trained clinicians immediately go to patellar subluxation.  Actual subluxation of the knee joint is extremely rare and can only be caused by severe trauma.  Current medicine doesn’t really consider it that much anymore.  This is additional information for the rater; the new revised musculoskeletal system schedule will include patellar subluxation information.</w:t>
      </w:r>
    </w:p>
    <w:p w:rsidR="00271B60" w:rsidRPr="00803080" w:rsidRDefault="00D571C5" w:rsidP="00F063AF">
      <w:pPr>
        <w:widowControl w:val="0"/>
        <w:numPr>
          <w:ilvl w:val="0"/>
          <w:numId w:val="100"/>
        </w:numPr>
        <w:tabs>
          <w:tab w:val="clear" w:pos="720"/>
          <w:tab w:val="left" w:pos="360"/>
          <w:tab w:val="left" w:pos="9413"/>
        </w:tabs>
        <w:spacing w:after="120"/>
        <w:ind w:left="360"/>
        <w:rPr>
          <w:b/>
          <w:bCs/>
        </w:rPr>
      </w:pPr>
      <w:hyperlink r:id="rId518" w:history="1">
        <w:r w:rsidR="0088709C" w:rsidRPr="00E94B83">
          <w:rPr>
            <w:rStyle w:val="Hyperlink"/>
            <w:b/>
            <w:bCs/>
            <w:i/>
            <w:iCs/>
          </w:rPr>
          <w:t>FY 2013 Quality Call Training</w:t>
        </w:r>
      </w:hyperlink>
      <w:r w:rsidR="0088709C" w:rsidRPr="00E94B83">
        <w:rPr>
          <w:b/>
          <w:bCs/>
          <w:i/>
          <w:iCs/>
        </w:rPr>
        <w:t xml:space="preserve"> – </w:t>
      </w:r>
      <w:r w:rsidR="0088709C" w:rsidRPr="00E94B83">
        <w:rPr>
          <w:b/>
          <w:bCs/>
          <w:iCs/>
        </w:rPr>
        <w:t>I</w:t>
      </w:r>
      <w:r w:rsidR="0053190C">
        <w:rPr>
          <w:b/>
          <w:bCs/>
          <w:iCs/>
        </w:rPr>
        <w:t>nter-Rater Reliability (I</w:t>
      </w:r>
      <w:r w:rsidR="0088709C" w:rsidRPr="00E94B83">
        <w:rPr>
          <w:b/>
          <w:bCs/>
          <w:iCs/>
        </w:rPr>
        <w:t>RR</w:t>
      </w:r>
      <w:r w:rsidR="0053190C">
        <w:rPr>
          <w:b/>
          <w:bCs/>
          <w:iCs/>
        </w:rPr>
        <w:t>)/IRR Consistency Questionnaire</w:t>
      </w:r>
      <w:r w:rsidR="0088709C" w:rsidRPr="00E94B83">
        <w:rPr>
          <w:b/>
          <w:iCs/>
        </w:rPr>
        <w:t xml:space="preserve"> – </w:t>
      </w:r>
      <w:r w:rsidR="0088709C" w:rsidRPr="00E94B83">
        <w:rPr>
          <w:iCs/>
        </w:rPr>
        <w:t>instability is not to be rated separately from 5055 under 5257; instability, painful motion and LOM are included in the evaluation under 5055</w:t>
      </w:r>
    </w:p>
    <w:p w:rsidR="00803080" w:rsidRPr="00803080" w:rsidRDefault="00803080" w:rsidP="00F063AF">
      <w:pPr>
        <w:widowControl w:val="0"/>
        <w:numPr>
          <w:ilvl w:val="0"/>
          <w:numId w:val="100"/>
        </w:numPr>
        <w:tabs>
          <w:tab w:val="clear" w:pos="720"/>
          <w:tab w:val="num" w:pos="360"/>
        </w:tabs>
        <w:spacing w:after="120"/>
        <w:ind w:left="360"/>
      </w:pPr>
      <w:r w:rsidRPr="00803080">
        <w:rPr>
          <w:b/>
          <w:u w:val="single"/>
        </w:rPr>
        <w:t>April 2013 IRR &amp; Consistency Training (training conducted in May)</w:t>
      </w:r>
      <w:r>
        <w:t xml:space="preserve"> - </w:t>
      </w:r>
      <w:r w:rsidRPr="00EE1118">
        <w:t xml:space="preserve">If </w:t>
      </w:r>
      <w:r>
        <w:t xml:space="preserve">have a </w:t>
      </w:r>
      <w:r w:rsidRPr="00EE1118">
        <w:t>sepa</w:t>
      </w:r>
      <w:r>
        <w:t>rate diagnosis of ankle or knee disability, do not rate under shin splints</w:t>
      </w:r>
      <w:r w:rsidR="00A24327">
        <w:t xml:space="preserve"> (5262)</w:t>
      </w:r>
      <w:r>
        <w:t>, but under joints.</w:t>
      </w:r>
    </w:p>
    <w:p w:rsidR="0088709C" w:rsidRPr="00AA667D" w:rsidRDefault="00AA667D" w:rsidP="00F063AF">
      <w:pPr>
        <w:widowControl w:val="0"/>
        <w:numPr>
          <w:ilvl w:val="0"/>
          <w:numId w:val="100"/>
        </w:numPr>
        <w:tabs>
          <w:tab w:val="clear" w:pos="720"/>
          <w:tab w:val="left" w:pos="360"/>
          <w:tab w:val="left" w:pos="9413"/>
        </w:tabs>
        <w:spacing w:after="120"/>
        <w:ind w:left="360"/>
        <w:rPr>
          <w:b/>
          <w:bCs/>
        </w:rPr>
      </w:pPr>
      <w:r w:rsidRPr="00525152">
        <w:rPr>
          <w:b/>
          <w:bCs/>
        </w:rPr>
        <w:t>III.iv.4.A.</w:t>
      </w:r>
      <w:r w:rsidR="001D3D0C">
        <w:rPr>
          <w:b/>
          <w:bCs/>
        </w:rPr>
        <w:t>6.e</w:t>
      </w:r>
      <w:r w:rsidR="00E94B83" w:rsidRPr="00AA667D">
        <w:rPr>
          <w:b/>
          <w:bCs/>
        </w:rPr>
        <w:t xml:space="preserve"> </w:t>
      </w:r>
      <w:r w:rsidR="00E94B83" w:rsidRPr="00AA667D">
        <w:rPr>
          <w:bCs/>
        </w:rPr>
        <w:t>– can give eval for knee instability under 5257 in addition to evals based on LOM; includes subluxation, lateral instability, posterior instability and anterior instability. Cannot give 5257 with 5055.</w:t>
      </w:r>
      <w:r w:rsidR="001D3D0C">
        <w:rPr>
          <w:bCs/>
        </w:rPr>
        <w:t xml:space="preserve"> </w:t>
      </w:r>
      <w:r w:rsidR="001D3D0C" w:rsidRPr="00DE2BD0">
        <w:rPr>
          <w:bCs/>
          <w:highlight w:val="lightGray"/>
        </w:rPr>
        <w:t>Cannot give 5258 or 5259 with 5260 or 5261</w:t>
      </w:r>
      <w:r w:rsidR="001D3D0C">
        <w:rPr>
          <w:bCs/>
        </w:rPr>
        <w:t xml:space="preserve"> (changed 4/13/18, </w:t>
      </w:r>
      <w:r w:rsidR="001D3D0C">
        <w:rPr>
          <w:b/>
          <w:bCs/>
        </w:rPr>
        <w:t>III.iv.4.A.6.f</w:t>
      </w:r>
      <w:r w:rsidR="001D3D0C">
        <w:rPr>
          <w:bCs/>
        </w:rPr>
        <w:t xml:space="preserve">, per </w:t>
      </w:r>
      <w:r w:rsidR="001D3D0C" w:rsidRPr="001D3D0C">
        <w:rPr>
          <w:bCs/>
          <w:i/>
        </w:rPr>
        <w:t xml:space="preserve">Lyles v. Shulkin </w:t>
      </w:r>
      <w:r w:rsidR="00C120A8">
        <w:rPr>
          <w:bCs/>
        </w:rPr>
        <w:t>(2017)</w:t>
      </w:r>
      <w:r w:rsidR="001D3D0C">
        <w:rPr>
          <w:bCs/>
        </w:rPr>
        <w:t>).</w:t>
      </w:r>
    </w:p>
    <w:p w:rsidR="00A523EC" w:rsidRPr="00196342" w:rsidRDefault="00A523EC" w:rsidP="00F063AF">
      <w:pPr>
        <w:widowControl w:val="0"/>
        <w:numPr>
          <w:ilvl w:val="0"/>
          <w:numId w:val="100"/>
        </w:numPr>
        <w:tabs>
          <w:tab w:val="clear" w:pos="720"/>
          <w:tab w:val="left" w:pos="360"/>
          <w:tab w:val="left" w:pos="9413"/>
        </w:tabs>
        <w:overflowPunct/>
        <w:spacing w:after="120"/>
        <w:ind w:left="360"/>
        <w:textAlignment w:val="auto"/>
      </w:pPr>
      <w:r w:rsidRPr="00EA0611">
        <w:rPr>
          <w:b/>
          <w:i/>
        </w:rPr>
        <w:t xml:space="preserve">April 2014 </w:t>
      </w:r>
      <w:r w:rsidR="00EB6F0B" w:rsidRPr="00EA0611">
        <w:rPr>
          <w:b/>
          <w:i/>
        </w:rPr>
        <w:t>Compensation Service Bulletin (CSB)</w:t>
      </w:r>
      <w:r w:rsidRPr="007540A4">
        <w:t xml:space="preserve"> - </w:t>
      </w:r>
      <w:r>
        <w:rPr>
          <w:bCs/>
        </w:rPr>
        <w:t>Cannot give 5257 with 5055. Even if 5257 is in effect for 20 years, it can be reclassified under 5055 (the eval is still protected).</w:t>
      </w:r>
    </w:p>
    <w:p w:rsidR="00755AF3" w:rsidRDefault="00E60443" w:rsidP="00F063AF">
      <w:pPr>
        <w:pStyle w:val="ListParagraph"/>
        <w:widowControl w:val="0"/>
        <w:numPr>
          <w:ilvl w:val="0"/>
          <w:numId w:val="177"/>
        </w:numPr>
        <w:tabs>
          <w:tab w:val="left" w:pos="0"/>
          <w:tab w:val="left" w:pos="330"/>
        </w:tabs>
        <w:spacing w:after="120" w:line="240" w:lineRule="auto"/>
        <w:ind w:left="360"/>
        <w:rPr>
          <w:rFonts w:ascii="Arial" w:hAnsi="Arial"/>
          <w:sz w:val="20"/>
          <w:szCs w:val="20"/>
        </w:rPr>
      </w:pPr>
      <w:r w:rsidRPr="00A9001A">
        <w:rPr>
          <w:rFonts w:ascii="Arial" w:hAnsi="Arial"/>
          <w:b/>
          <w:sz w:val="20"/>
          <w:szCs w:val="20"/>
        </w:rPr>
        <w:t>5258 &amp; 5259</w:t>
      </w:r>
      <w:r w:rsidRPr="00A9001A">
        <w:rPr>
          <w:rFonts w:ascii="Arial" w:hAnsi="Arial"/>
          <w:sz w:val="20"/>
          <w:szCs w:val="20"/>
        </w:rPr>
        <w:t xml:space="preserve"> – semilunar cartilage = meniscus</w:t>
      </w:r>
      <w:r w:rsidR="00A9001A" w:rsidRPr="00A9001A">
        <w:rPr>
          <w:rFonts w:ascii="Arial" w:hAnsi="Arial"/>
          <w:sz w:val="20"/>
          <w:szCs w:val="20"/>
        </w:rPr>
        <w:t xml:space="preserve">; In April 2016, </w:t>
      </w:r>
      <w:r w:rsidR="00DE2BD0">
        <w:rPr>
          <w:rFonts w:ascii="Arial" w:hAnsi="Arial"/>
          <w:sz w:val="20"/>
          <w:szCs w:val="20"/>
        </w:rPr>
        <w:t>QRT/</w:t>
      </w:r>
      <w:r w:rsidR="00A9001A" w:rsidRPr="00A9001A">
        <w:rPr>
          <w:rFonts w:ascii="Arial" w:hAnsi="Arial"/>
          <w:sz w:val="20"/>
          <w:szCs w:val="20"/>
        </w:rPr>
        <w:t>Carlos Rosario said dislocation</w:t>
      </w:r>
      <w:r w:rsidR="00755AF3">
        <w:rPr>
          <w:rFonts w:ascii="Arial" w:hAnsi="Arial"/>
          <w:sz w:val="20"/>
          <w:szCs w:val="20"/>
        </w:rPr>
        <w:t xml:space="preserve"> / dislocated</w:t>
      </w:r>
      <w:r w:rsidR="00A9001A" w:rsidRPr="00A9001A">
        <w:rPr>
          <w:rFonts w:ascii="Arial" w:hAnsi="Arial"/>
          <w:sz w:val="20"/>
          <w:szCs w:val="20"/>
        </w:rPr>
        <w:t xml:space="preserve"> = tear, can apply 4.7 &amp; give 20% if think warranted under 5258 (maybe has 2 of 3 criteria)</w:t>
      </w:r>
    </w:p>
    <w:p w:rsidR="00A9001A" w:rsidRPr="00755AF3" w:rsidRDefault="00A9001A" w:rsidP="00755AF3">
      <w:pPr>
        <w:widowControl w:val="0"/>
        <w:tabs>
          <w:tab w:val="left" w:pos="330"/>
          <w:tab w:val="left" w:pos="360"/>
        </w:tabs>
        <w:spacing w:after="120"/>
        <w:ind w:left="360"/>
      </w:pPr>
      <w:r w:rsidRPr="00755AF3">
        <w:t>DBQ shows dislocation &amp; tear separately:</w:t>
      </w:r>
    </w:p>
    <w:p w:rsidR="00A9001A" w:rsidRDefault="00A9001A" w:rsidP="00A9001A">
      <w:pPr>
        <w:widowControl w:val="0"/>
        <w:tabs>
          <w:tab w:val="left" w:pos="330"/>
          <w:tab w:val="left" w:pos="360"/>
        </w:tabs>
        <w:spacing w:after="120"/>
        <w:ind w:left="360"/>
      </w:pPr>
      <w:r>
        <w:rPr>
          <w:noProof/>
        </w:rPr>
        <w:drawing>
          <wp:inline distT="0" distB="0" distL="0" distR="0" wp14:anchorId="5FBFC1D0" wp14:editId="5A7B4039">
            <wp:extent cx="1943100" cy="1609725"/>
            <wp:effectExtent l="0" t="0" r="0" b="9525"/>
            <wp:docPr id="24593" name="Picture 24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9"/>
                    <a:stretch>
                      <a:fillRect/>
                    </a:stretch>
                  </pic:blipFill>
                  <pic:spPr>
                    <a:xfrm>
                      <a:off x="0" y="0"/>
                      <a:ext cx="1943100" cy="1609725"/>
                    </a:xfrm>
                    <a:prstGeom prst="rect">
                      <a:avLst/>
                    </a:prstGeom>
                  </pic:spPr>
                </pic:pic>
              </a:graphicData>
            </a:graphic>
          </wp:inline>
        </w:drawing>
      </w:r>
    </w:p>
    <w:p w:rsidR="00755AF3" w:rsidRDefault="00755AF3" w:rsidP="00A9001A">
      <w:pPr>
        <w:widowControl w:val="0"/>
        <w:tabs>
          <w:tab w:val="left" w:pos="330"/>
          <w:tab w:val="left" w:pos="360"/>
        </w:tabs>
        <w:spacing w:after="120"/>
        <w:ind w:left="360"/>
      </w:pPr>
      <w:r>
        <w:t>But VEB shows only dislocated:</w:t>
      </w:r>
    </w:p>
    <w:p w:rsidR="00755AF3" w:rsidRDefault="00755AF3" w:rsidP="00A9001A">
      <w:pPr>
        <w:widowControl w:val="0"/>
        <w:tabs>
          <w:tab w:val="left" w:pos="330"/>
          <w:tab w:val="left" w:pos="360"/>
        </w:tabs>
        <w:spacing w:after="120"/>
        <w:ind w:left="360"/>
      </w:pPr>
      <w:r>
        <w:rPr>
          <w:noProof/>
        </w:rPr>
        <w:drawing>
          <wp:inline distT="0" distB="0" distL="0" distR="0" wp14:anchorId="455BA79E" wp14:editId="683A3B3A">
            <wp:extent cx="4886325" cy="1676400"/>
            <wp:effectExtent l="0" t="0" r="9525" b="0"/>
            <wp:docPr id="24674" name="Picture 24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0"/>
                    <a:stretch>
                      <a:fillRect/>
                    </a:stretch>
                  </pic:blipFill>
                  <pic:spPr>
                    <a:xfrm>
                      <a:off x="0" y="0"/>
                      <a:ext cx="4886325" cy="1676400"/>
                    </a:xfrm>
                    <a:prstGeom prst="rect">
                      <a:avLst/>
                    </a:prstGeom>
                  </pic:spPr>
                </pic:pic>
              </a:graphicData>
            </a:graphic>
          </wp:inline>
        </w:drawing>
      </w:r>
    </w:p>
    <w:p w:rsidR="00B52D30" w:rsidRDefault="00B52D30" w:rsidP="00F063AF">
      <w:pPr>
        <w:widowControl w:val="0"/>
        <w:numPr>
          <w:ilvl w:val="0"/>
          <w:numId w:val="100"/>
        </w:numPr>
        <w:tabs>
          <w:tab w:val="clear" w:pos="720"/>
          <w:tab w:val="num" w:pos="360"/>
          <w:tab w:val="left" w:pos="9413"/>
        </w:tabs>
        <w:overflowPunct/>
        <w:spacing w:after="120"/>
        <w:ind w:left="360"/>
        <w:textAlignment w:val="auto"/>
      </w:pPr>
      <w:r w:rsidRPr="00B52D30">
        <w:rPr>
          <w:b/>
        </w:rPr>
        <w:t>Weekly Q</w:t>
      </w:r>
      <w:r w:rsidR="00303C97">
        <w:rPr>
          <w:b/>
        </w:rPr>
        <w:t>-</w:t>
      </w:r>
      <w:r w:rsidRPr="00B52D30">
        <w:rPr>
          <w:b/>
        </w:rPr>
        <w:t>Tip: DC 5258</w:t>
      </w:r>
      <w:r>
        <w:t xml:space="preserve"> (9/3/14) –</w:t>
      </w:r>
    </w:p>
    <w:p w:rsidR="00B52D30" w:rsidRPr="00B52D30" w:rsidRDefault="00B52D30" w:rsidP="00B52D30">
      <w:pPr>
        <w:spacing w:after="120"/>
        <w:ind w:left="360"/>
      </w:pPr>
      <w:r w:rsidRPr="00B52D30">
        <w:t xml:space="preserve">Discussion: The Evaluation Builder does not apply the provisions under 38 CFR 4.7, higher of two evaluations to musculoskeletal conditions.  Guidance from Comp Service indicates that we can apply 4.7 to DC 5258. </w:t>
      </w:r>
    </w:p>
    <w:p w:rsidR="00B52D30" w:rsidRPr="00B52D30" w:rsidRDefault="00B52D30" w:rsidP="00B52D30">
      <w:pPr>
        <w:spacing w:after="120"/>
        <w:ind w:left="360"/>
        <w:rPr>
          <w:u w:val="single"/>
        </w:rPr>
      </w:pPr>
      <w:r w:rsidRPr="00B52D30">
        <w:rPr>
          <w:u w:val="single"/>
        </w:rPr>
        <w:t>When rating under DC 5258, remember:</w:t>
      </w:r>
    </w:p>
    <w:p w:rsidR="00B52D30" w:rsidRDefault="00B52D30" w:rsidP="00B52D30">
      <w:pPr>
        <w:widowControl w:val="0"/>
        <w:tabs>
          <w:tab w:val="left" w:pos="360"/>
          <w:tab w:val="left" w:pos="9413"/>
        </w:tabs>
        <w:overflowPunct/>
        <w:spacing w:after="120"/>
        <w:ind w:left="360"/>
        <w:textAlignment w:val="auto"/>
      </w:pPr>
      <w:r w:rsidRPr="00B52D30">
        <w:t>There must be meniscus (semilunar cartilage of the knee) impairment to evaluate under DC 5258.  Although DBQ may show effusion, locking, or dislocation, in the absence of meniscus involvement, evaluating under DC 5258 is improper.  Ensure that question 11A indicates a meniscus condition.</w:t>
      </w:r>
    </w:p>
    <w:p w:rsidR="00987FDE" w:rsidRPr="00D36CD9" w:rsidRDefault="00987FDE" w:rsidP="00B52D30">
      <w:pPr>
        <w:widowControl w:val="0"/>
        <w:tabs>
          <w:tab w:val="left" w:pos="360"/>
          <w:tab w:val="left" w:pos="9413"/>
        </w:tabs>
        <w:overflowPunct/>
        <w:spacing w:after="120"/>
        <w:ind w:left="360"/>
        <w:textAlignment w:val="auto"/>
        <w:rPr>
          <w:i/>
        </w:rPr>
      </w:pPr>
      <w:r w:rsidRPr="00987FDE">
        <w:rPr>
          <w:i/>
          <w:color w:val="00B050"/>
        </w:rPr>
        <w:t>My Notes:</w:t>
      </w:r>
      <w:r w:rsidRPr="00987FDE">
        <w:rPr>
          <w:color w:val="00B050"/>
        </w:rPr>
        <w:t xml:space="preserve">  </w:t>
      </w:r>
      <w:r w:rsidRPr="00D36CD9">
        <w:rPr>
          <w:i/>
        </w:rPr>
        <w:t>Effusion is water on the knee causing swelling.</w:t>
      </w:r>
    </w:p>
    <w:p w:rsidR="001E10E5" w:rsidRPr="001E10E5" w:rsidRDefault="001E10E5" w:rsidP="00F063AF">
      <w:pPr>
        <w:pStyle w:val="ListParagraph"/>
        <w:numPr>
          <w:ilvl w:val="0"/>
          <w:numId w:val="177"/>
        </w:numPr>
        <w:spacing w:after="120" w:line="240" w:lineRule="auto"/>
        <w:ind w:left="360"/>
        <w:rPr>
          <w:rFonts w:ascii="Arial" w:hAnsi="Arial"/>
          <w:sz w:val="20"/>
          <w:szCs w:val="20"/>
        </w:rPr>
      </w:pPr>
      <w:r w:rsidRPr="001E10E5">
        <w:rPr>
          <w:rFonts w:ascii="Arial" w:hAnsi="Arial"/>
          <w:b/>
          <w:bCs/>
          <w:sz w:val="20"/>
          <w:szCs w:val="20"/>
        </w:rPr>
        <w:t>From:</w:t>
      </w:r>
      <w:r w:rsidRPr="001E10E5">
        <w:rPr>
          <w:rFonts w:ascii="Arial" w:hAnsi="Arial"/>
          <w:sz w:val="20"/>
          <w:szCs w:val="20"/>
        </w:rPr>
        <w:t xml:space="preserve"> VAVBASDC/RO/VSC </w:t>
      </w:r>
      <w:r w:rsidRPr="001E10E5">
        <w:rPr>
          <w:rFonts w:ascii="Arial" w:hAnsi="Arial"/>
          <w:sz w:val="20"/>
          <w:szCs w:val="20"/>
        </w:rPr>
        <w:br/>
      </w:r>
      <w:r w:rsidRPr="001E10E5">
        <w:rPr>
          <w:rFonts w:ascii="Arial" w:hAnsi="Arial"/>
          <w:b/>
          <w:bCs/>
          <w:sz w:val="20"/>
          <w:szCs w:val="20"/>
        </w:rPr>
        <w:t>Sent:</w:t>
      </w:r>
      <w:r w:rsidRPr="001E10E5">
        <w:rPr>
          <w:rFonts w:ascii="Arial" w:hAnsi="Arial"/>
          <w:sz w:val="20"/>
          <w:szCs w:val="20"/>
        </w:rPr>
        <w:t xml:space="preserve"> Wednesday, September 21, 2016 1:52 PM</w:t>
      </w:r>
      <w:r w:rsidRPr="001E10E5">
        <w:rPr>
          <w:rFonts w:ascii="Arial" w:hAnsi="Arial"/>
          <w:sz w:val="20"/>
          <w:szCs w:val="20"/>
        </w:rPr>
        <w:br/>
      </w:r>
      <w:r w:rsidRPr="001E10E5">
        <w:rPr>
          <w:rFonts w:ascii="Arial" w:hAnsi="Arial"/>
          <w:b/>
          <w:bCs/>
          <w:sz w:val="20"/>
          <w:szCs w:val="20"/>
        </w:rPr>
        <w:t>Subject:</w:t>
      </w:r>
      <w:r w:rsidRPr="001E10E5">
        <w:rPr>
          <w:rFonts w:ascii="Arial" w:hAnsi="Arial"/>
          <w:sz w:val="20"/>
          <w:szCs w:val="20"/>
        </w:rPr>
        <w:t xml:space="preserve"> ATTN: RVSRs/DROs: DC 5257 and findings of +1, +2 or +3 for QR purposes </w:t>
      </w:r>
    </w:p>
    <w:p w:rsidR="001E10E5" w:rsidRDefault="001E10E5" w:rsidP="001E10E5">
      <w:pPr>
        <w:spacing w:after="120"/>
        <w:ind w:left="360"/>
      </w:pPr>
      <w:r w:rsidRPr="001E10E5">
        <w:t>Recently, a question was brought forward in regard to instability</w:t>
      </w:r>
      <w:r>
        <w:t xml:space="preserve"> of the knee, and findings listed in an examination of “+1 (0-5 millimeters), +2 (5-10 millimeters) and +3(10-15 millimeters)” in regard to instability with no indication from the examiner of how such a finding related to the rating schedule for recurrent subluxation or lateral instability of a knee (i.e. DC 5257 “slight, moderate or severe”).  Please be advised that since these specific findings are not listed in the rating schedule, and as there is currently no official Agency policy on the interpretation of such findings or how to equate them to the levels of “slight, moderate, severe” as listed in the rating schedule, QRTs should refrain from citing C2 errors based upon such findings (i.e. deciding that a finding of “+1” equates to slight instability, and citing an error on the RVSR if they assign an evaluation other than 10% under DC 5257).  If your RO QRT currently has a policy of equating the +1, +2 or +3 findings to a specific level of instability, and the QRT is currently citing errors if RVSRs do not follow that policy, we ask that you refrain from citing such errors from this point forward.  The matter is currently under consideration with various Compensation Service staffs to include Policy and Procedures.  National quality reviews (i.e. STAR reviews) are currently following this guide line of refraining from citing C2 errors for this specific fact pattern.</w:t>
      </w:r>
    </w:p>
    <w:p w:rsidR="001E10E5" w:rsidRDefault="001E10E5" w:rsidP="001E10E5">
      <w:pPr>
        <w:spacing w:after="120"/>
        <w:ind w:left="360"/>
      </w:pPr>
      <w:r>
        <w:t>As additional developments occur, we will keep you apprised.</w:t>
      </w:r>
    </w:p>
    <w:p w:rsidR="001E10E5" w:rsidRDefault="001E10E5" w:rsidP="001E10E5">
      <w:pPr>
        <w:spacing w:after="120"/>
        <w:ind w:left="360"/>
      </w:pPr>
      <w:r>
        <w:t>VSC Front Office</w:t>
      </w:r>
    </w:p>
    <w:p w:rsidR="001E10E5" w:rsidRDefault="008D79A7" w:rsidP="00F063AF">
      <w:pPr>
        <w:pStyle w:val="ListParagraph"/>
        <w:widowControl w:val="0"/>
        <w:numPr>
          <w:ilvl w:val="0"/>
          <w:numId w:val="177"/>
        </w:numPr>
        <w:tabs>
          <w:tab w:val="left" w:pos="0"/>
          <w:tab w:val="left" w:pos="330"/>
        </w:tabs>
        <w:spacing w:after="120" w:line="240" w:lineRule="auto"/>
        <w:ind w:left="360"/>
        <w:rPr>
          <w:rFonts w:ascii="Arial" w:hAnsi="Arial"/>
          <w:sz w:val="20"/>
          <w:szCs w:val="20"/>
        </w:rPr>
      </w:pPr>
      <w:r w:rsidRPr="008D79A7">
        <w:rPr>
          <w:rFonts w:ascii="Arial" w:hAnsi="Arial"/>
          <w:bCs/>
          <w:i/>
          <w:color w:val="00B050"/>
          <w:sz w:val="20"/>
          <w:szCs w:val="24"/>
        </w:rPr>
        <w:t xml:space="preserve">My Notes:  </w:t>
      </w:r>
      <w:r w:rsidRPr="00D36CD9">
        <w:rPr>
          <w:rFonts w:ascii="Arial" w:hAnsi="Arial"/>
          <w:bCs/>
          <w:i/>
          <w:sz w:val="20"/>
          <w:szCs w:val="24"/>
        </w:rPr>
        <w:t>Knee DBQ shows “recurrent subluxation” under Joint Stability Tests &amp; “recurrent patellar dislocation” under Additional Comments.</w:t>
      </w:r>
    </w:p>
    <w:p w:rsidR="008D79A7" w:rsidRPr="00DE2BD0" w:rsidRDefault="008D79A7" w:rsidP="00E3599A">
      <w:pPr>
        <w:pBdr>
          <w:top w:val="single" w:sz="4" w:space="1" w:color="auto"/>
          <w:left w:val="single" w:sz="4" w:space="4" w:color="auto"/>
          <w:bottom w:val="single" w:sz="4" w:space="1" w:color="auto"/>
          <w:right w:val="single" w:sz="4" w:space="4" w:color="auto"/>
        </w:pBdr>
        <w:spacing w:after="120"/>
        <w:ind w:left="446"/>
      </w:pPr>
      <w:r w:rsidRPr="00DE2BD0">
        <w:t xml:space="preserve">Rating Note:  </w:t>
      </w:r>
      <w:r w:rsidR="00A9001A" w:rsidRPr="00DE2BD0">
        <w:t>The K</w:t>
      </w:r>
      <w:r w:rsidRPr="00DE2BD0">
        <w:t xml:space="preserve">nee DBQ shows slight recurrent patellar dislocation, but there are no other symptoms to warrant a 20% </w:t>
      </w:r>
      <w:r w:rsidR="003E04B7" w:rsidRPr="00DE2BD0">
        <w:t>under 5258 (plus III.iv.4.A.4</w:t>
      </w:r>
      <w:r w:rsidRPr="00DE2BD0">
        <w:t>.i indicates 5258 &amp; 5259 are for meniscus disabilities)</w:t>
      </w:r>
      <w:r w:rsidR="00E3599A" w:rsidRPr="00DE2BD0">
        <w:t>. A</w:t>
      </w:r>
      <w:r w:rsidRPr="00DE2BD0">
        <w:t xml:space="preserve"> 10% is warranted under 5257, as III.iv.4.A.</w:t>
      </w:r>
      <w:r w:rsidR="003E04B7" w:rsidRPr="00DE2BD0">
        <w:t>4</w:t>
      </w:r>
      <w:r w:rsidRPr="00DE2BD0">
        <w:t>.i says dislocation under 5258 is consistent with instability.</w:t>
      </w:r>
    </w:p>
    <w:p w:rsidR="008D79A7" w:rsidRDefault="003E04B7" w:rsidP="00F063AF">
      <w:pPr>
        <w:pStyle w:val="ListParagraph"/>
        <w:widowControl w:val="0"/>
        <w:numPr>
          <w:ilvl w:val="0"/>
          <w:numId w:val="177"/>
        </w:numPr>
        <w:tabs>
          <w:tab w:val="left" w:pos="0"/>
          <w:tab w:val="left" w:pos="330"/>
        </w:tabs>
        <w:spacing w:after="120" w:line="240" w:lineRule="auto"/>
        <w:ind w:left="360"/>
        <w:rPr>
          <w:rFonts w:ascii="Arial" w:hAnsi="Arial"/>
          <w:sz w:val="20"/>
          <w:szCs w:val="20"/>
        </w:rPr>
      </w:pPr>
      <w:r>
        <w:rPr>
          <w:rFonts w:ascii="Arial" w:hAnsi="Arial"/>
          <w:b/>
          <w:sz w:val="20"/>
          <w:szCs w:val="20"/>
        </w:rPr>
        <w:t>III.iv.4.A.</w:t>
      </w:r>
      <w:r w:rsidR="00F95CC5">
        <w:rPr>
          <w:rFonts w:ascii="Arial" w:hAnsi="Arial"/>
          <w:b/>
          <w:sz w:val="20"/>
          <w:szCs w:val="20"/>
        </w:rPr>
        <w:t>6</w:t>
      </w:r>
      <w:r w:rsidR="000F009F" w:rsidRPr="000F009F">
        <w:rPr>
          <w:rFonts w:ascii="Arial" w:hAnsi="Arial"/>
          <w:b/>
          <w:sz w:val="20"/>
          <w:szCs w:val="20"/>
        </w:rPr>
        <w:t>.</w:t>
      </w:r>
      <w:r w:rsidR="00F95CC5">
        <w:rPr>
          <w:rFonts w:ascii="Arial" w:hAnsi="Arial"/>
          <w:b/>
          <w:sz w:val="20"/>
          <w:szCs w:val="20"/>
        </w:rPr>
        <w:t>c</w:t>
      </w:r>
      <w:r w:rsidR="000F009F">
        <w:rPr>
          <w:rFonts w:ascii="Arial" w:hAnsi="Arial"/>
          <w:sz w:val="20"/>
          <w:szCs w:val="20"/>
        </w:rPr>
        <w:t xml:space="preserve"> – tibiofemoral versus patellar dislocation / subluxation, 5257</w:t>
      </w:r>
    </w:p>
    <w:p w:rsidR="00E52CB3" w:rsidRPr="002C398C" w:rsidRDefault="00E52CB3" w:rsidP="00F063AF">
      <w:pPr>
        <w:pStyle w:val="ListParagraph"/>
        <w:widowControl w:val="0"/>
        <w:numPr>
          <w:ilvl w:val="0"/>
          <w:numId w:val="177"/>
        </w:numPr>
        <w:tabs>
          <w:tab w:val="left" w:pos="0"/>
          <w:tab w:val="left" w:pos="330"/>
        </w:tabs>
        <w:spacing w:after="120" w:line="240" w:lineRule="auto"/>
        <w:ind w:left="360"/>
        <w:rPr>
          <w:rFonts w:ascii="Arial" w:hAnsi="Arial"/>
          <w:sz w:val="20"/>
          <w:szCs w:val="20"/>
        </w:rPr>
      </w:pPr>
      <w:r w:rsidRPr="00E52CB3">
        <w:rPr>
          <w:rFonts w:ascii="Arial" w:hAnsi="Arial"/>
          <w:b/>
          <w:sz w:val="20"/>
          <w:szCs w:val="20"/>
        </w:rPr>
        <w:t>III.iv.4.A.6.d</w:t>
      </w:r>
      <w:r>
        <w:rPr>
          <w:rFonts w:ascii="Arial" w:hAnsi="Arial"/>
          <w:sz w:val="20"/>
          <w:szCs w:val="20"/>
        </w:rPr>
        <w:t xml:space="preserve"> (eff 4/13/18) - </w:t>
      </w:r>
    </w:p>
    <w:tbl>
      <w:tblPr>
        <w:tblW w:w="5850" w:type="dxa"/>
        <w:tblCellSpacing w:w="0" w:type="dxa"/>
        <w:tblInd w:w="3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Description w:val="Column 1 provides the DBQ finding and column 2 provides the correlated level of impairment."/>
      </w:tblPr>
      <w:tblGrid>
        <w:gridCol w:w="2520"/>
        <w:gridCol w:w="3330"/>
      </w:tblGrid>
      <w:tr w:rsidR="00E52CB3" w:rsidRPr="00E52CB3" w:rsidTr="00E52CB3">
        <w:trPr>
          <w:tblHeader/>
          <w:tblCellSpacing w:w="0" w:type="dxa"/>
        </w:trPr>
        <w:tc>
          <w:tcPr>
            <w:tcW w:w="2520" w:type="dxa"/>
            <w:tcBorders>
              <w:top w:val="outset" w:sz="6" w:space="0" w:color="auto"/>
              <w:left w:val="outset" w:sz="6" w:space="0" w:color="auto"/>
              <w:bottom w:val="outset" w:sz="6" w:space="0" w:color="auto"/>
              <w:right w:val="outset" w:sz="6" w:space="0" w:color="auto"/>
            </w:tcBorders>
            <w:vAlign w:val="center"/>
            <w:hideMark/>
          </w:tcPr>
          <w:p w:rsidR="00E52CB3" w:rsidRPr="00E52CB3" w:rsidRDefault="00E52CB3" w:rsidP="00E52CB3">
            <w:pPr>
              <w:overflowPunct/>
              <w:autoSpaceDE/>
              <w:autoSpaceDN/>
              <w:adjustRightInd/>
              <w:ind w:left="-15" w:firstLine="15"/>
              <w:jc w:val="center"/>
              <w:textAlignment w:val="auto"/>
              <w:rPr>
                <w:rFonts w:ascii="Times New Roman" w:hAnsi="Times New Roman" w:cs="Times New Roman"/>
                <w:b/>
                <w:bCs/>
                <w:szCs w:val="24"/>
              </w:rPr>
            </w:pPr>
            <w:r w:rsidRPr="00E52CB3">
              <w:rPr>
                <w:b/>
                <w:bCs/>
                <w:szCs w:val="21"/>
              </w:rPr>
              <w:t>DBQ Finding</w:t>
            </w:r>
          </w:p>
        </w:tc>
        <w:tc>
          <w:tcPr>
            <w:tcW w:w="3330" w:type="dxa"/>
            <w:tcBorders>
              <w:top w:val="outset" w:sz="6" w:space="0" w:color="auto"/>
              <w:left w:val="outset" w:sz="6" w:space="0" w:color="auto"/>
              <w:bottom w:val="outset" w:sz="6" w:space="0" w:color="auto"/>
              <w:right w:val="outset" w:sz="6" w:space="0" w:color="auto"/>
            </w:tcBorders>
            <w:vAlign w:val="center"/>
            <w:hideMark/>
          </w:tcPr>
          <w:p w:rsidR="00E52CB3" w:rsidRPr="00E52CB3" w:rsidRDefault="00E52CB3" w:rsidP="00E52CB3">
            <w:pPr>
              <w:overflowPunct/>
              <w:autoSpaceDE/>
              <w:autoSpaceDN/>
              <w:adjustRightInd/>
              <w:ind w:left="-15" w:firstLine="15"/>
              <w:jc w:val="center"/>
              <w:textAlignment w:val="auto"/>
              <w:rPr>
                <w:rFonts w:ascii="Times New Roman" w:hAnsi="Times New Roman" w:cs="Times New Roman"/>
                <w:b/>
                <w:bCs/>
                <w:szCs w:val="24"/>
              </w:rPr>
            </w:pPr>
            <w:r w:rsidRPr="00E52CB3">
              <w:rPr>
                <w:b/>
                <w:bCs/>
                <w:szCs w:val="21"/>
              </w:rPr>
              <w:t>Correlated Level of Impairment</w:t>
            </w:r>
          </w:p>
        </w:tc>
      </w:tr>
      <w:tr w:rsidR="00E52CB3" w:rsidRPr="00E52CB3" w:rsidTr="00E52CB3">
        <w:trPr>
          <w:tblCellSpacing w:w="0" w:type="dxa"/>
        </w:trPr>
        <w:tc>
          <w:tcPr>
            <w:tcW w:w="2520" w:type="dxa"/>
            <w:tcBorders>
              <w:top w:val="outset" w:sz="6" w:space="0" w:color="auto"/>
              <w:left w:val="outset" w:sz="6" w:space="0" w:color="auto"/>
              <w:bottom w:val="outset" w:sz="6" w:space="0" w:color="auto"/>
              <w:right w:val="outset" w:sz="6" w:space="0" w:color="auto"/>
            </w:tcBorders>
            <w:vAlign w:val="center"/>
            <w:hideMark/>
          </w:tcPr>
          <w:p w:rsidR="00E52CB3" w:rsidRPr="00E52CB3" w:rsidRDefault="00E52CB3" w:rsidP="00E52CB3">
            <w:pPr>
              <w:overflowPunct/>
              <w:autoSpaceDE/>
              <w:autoSpaceDN/>
              <w:adjustRightInd/>
              <w:ind w:left="-15" w:firstLine="15"/>
              <w:textAlignment w:val="auto"/>
              <w:rPr>
                <w:rFonts w:ascii="Times New Roman" w:hAnsi="Times New Roman" w:cs="Times New Roman"/>
                <w:szCs w:val="24"/>
              </w:rPr>
            </w:pPr>
            <w:r w:rsidRPr="00E52CB3">
              <w:rPr>
                <w:szCs w:val="21"/>
              </w:rPr>
              <w:t>1+ (0-5 millimeters)</w:t>
            </w:r>
          </w:p>
        </w:tc>
        <w:tc>
          <w:tcPr>
            <w:tcW w:w="3330" w:type="dxa"/>
            <w:tcBorders>
              <w:top w:val="outset" w:sz="6" w:space="0" w:color="auto"/>
              <w:left w:val="outset" w:sz="6" w:space="0" w:color="auto"/>
              <w:bottom w:val="outset" w:sz="6" w:space="0" w:color="auto"/>
              <w:right w:val="outset" w:sz="6" w:space="0" w:color="auto"/>
            </w:tcBorders>
            <w:vAlign w:val="center"/>
            <w:hideMark/>
          </w:tcPr>
          <w:p w:rsidR="00E52CB3" w:rsidRPr="00E52CB3" w:rsidRDefault="00E52CB3" w:rsidP="00E52CB3">
            <w:pPr>
              <w:overflowPunct/>
              <w:autoSpaceDE/>
              <w:autoSpaceDN/>
              <w:adjustRightInd/>
              <w:ind w:left="-15" w:firstLine="15"/>
              <w:textAlignment w:val="auto"/>
              <w:rPr>
                <w:rFonts w:ascii="Times New Roman" w:hAnsi="Times New Roman" w:cs="Times New Roman"/>
                <w:szCs w:val="24"/>
              </w:rPr>
            </w:pPr>
            <w:r w:rsidRPr="00E52CB3">
              <w:rPr>
                <w:szCs w:val="21"/>
              </w:rPr>
              <w:t>slight</w:t>
            </w:r>
          </w:p>
        </w:tc>
      </w:tr>
      <w:tr w:rsidR="00E52CB3" w:rsidRPr="00E52CB3" w:rsidTr="00E52CB3">
        <w:trPr>
          <w:tblCellSpacing w:w="0" w:type="dxa"/>
        </w:trPr>
        <w:tc>
          <w:tcPr>
            <w:tcW w:w="2520" w:type="dxa"/>
            <w:tcBorders>
              <w:top w:val="outset" w:sz="6" w:space="0" w:color="auto"/>
              <w:left w:val="outset" w:sz="6" w:space="0" w:color="auto"/>
              <w:bottom w:val="outset" w:sz="6" w:space="0" w:color="auto"/>
              <w:right w:val="outset" w:sz="6" w:space="0" w:color="auto"/>
            </w:tcBorders>
            <w:vAlign w:val="center"/>
            <w:hideMark/>
          </w:tcPr>
          <w:p w:rsidR="00E52CB3" w:rsidRPr="00E52CB3" w:rsidRDefault="00E52CB3" w:rsidP="00E52CB3">
            <w:pPr>
              <w:overflowPunct/>
              <w:autoSpaceDE/>
              <w:autoSpaceDN/>
              <w:adjustRightInd/>
              <w:ind w:left="-15" w:firstLine="15"/>
              <w:textAlignment w:val="auto"/>
              <w:rPr>
                <w:rFonts w:ascii="Times New Roman" w:hAnsi="Times New Roman" w:cs="Times New Roman"/>
                <w:szCs w:val="24"/>
              </w:rPr>
            </w:pPr>
            <w:r w:rsidRPr="00E52CB3">
              <w:rPr>
                <w:szCs w:val="21"/>
              </w:rPr>
              <w:t>2+ (5-10 millimeters)</w:t>
            </w:r>
          </w:p>
        </w:tc>
        <w:tc>
          <w:tcPr>
            <w:tcW w:w="3330" w:type="dxa"/>
            <w:tcBorders>
              <w:top w:val="outset" w:sz="6" w:space="0" w:color="auto"/>
              <w:left w:val="outset" w:sz="6" w:space="0" w:color="auto"/>
              <w:bottom w:val="outset" w:sz="6" w:space="0" w:color="auto"/>
              <w:right w:val="outset" w:sz="6" w:space="0" w:color="auto"/>
            </w:tcBorders>
            <w:vAlign w:val="center"/>
            <w:hideMark/>
          </w:tcPr>
          <w:p w:rsidR="00E52CB3" w:rsidRPr="00E52CB3" w:rsidRDefault="00E52CB3" w:rsidP="00E52CB3">
            <w:pPr>
              <w:overflowPunct/>
              <w:autoSpaceDE/>
              <w:autoSpaceDN/>
              <w:adjustRightInd/>
              <w:ind w:left="-15" w:firstLine="15"/>
              <w:textAlignment w:val="auto"/>
              <w:rPr>
                <w:rFonts w:ascii="Times New Roman" w:hAnsi="Times New Roman" w:cs="Times New Roman"/>
                <w:szCs w:val="24"/>
              </w:rPr>
            </w:pPr>
            <w:r w:rsidRPr="00E52CB3">
              <w:rPr>
                <w:szCs w:val="21"/>
              </w:rPr>
              <w:t>moderate</w:t>
            </w:r>
          </w:p>
        </w:tc>
      </w:tr>
      <w:tr w:rsidR="00E52CB3" w:rsidRPr="00E52CB3" w:rsidTr="00E52CB3">
        <w:trPr>
          <w:tblCellSpacing w:w="0" w:type="dxa"/>
        </w:trPr>
        <w:tc>
          <w:tcPr>
            <w:tcW w:w="2520" w:type="dxa"/>
            <w:tcBorders>
              <w:top w:val="outset" w:sz="6" w:space="0" w:color="auto"/>
              <w:left w:val="outset" w:sz="6" w:space="0" w:color="auto"/>
              <w:bottom w:val="outset" w:sz="6" w:space="0" w:color="auto"/>
              <w:right w:val="outset" w:sz="6" w:space="0" w:color="auto"/>
            </w:tcBorders>
            <w:vAlign w:val="center"/>
            <w:hideMark/>
          </w:tcPr>
          <w:p w:rsidR="00E52CB3" w:rsidRPr="00E52CB3" w:rsidRDefault="00E52CB3" w:rsidP="00E52CB3">
            <w:pPr>
              <w:overflowPunct/>
              <w:autoSpaceDE/>
              <w:autoSpaceDN/>
              <w:adjustRightInd/>
              <w:ind w:left="-15" w:firstLine="15"/>
              <w:textAlignment w:val="auto"/>
              <w:rPr>
                <w:rFonts w:ascii="Times New Roman" w:hAnsi="Times New Roman" w:cs="Times New Roman"/>
                <w:szCs w:val="24"/>
              </w:rPr>
            </w:pPr>
            <w:r w:rsidRPr="00E52CB3">
              <w:rPr>
                <w:szCs w:val="21"/>
              </w:rPr>
              <w:t>3+ (10-15 millimeters)</w:t>
            </w:r>
          </w:p>
        </w:tc>
        <w:tc>
          <w:tcPr>
            <w:tcW w:w="3330" w:type="dxa"/>
            <w:tcBorders>
              <w:top w:val="outset" w:sz="6" w:space="0" w:color="auto"/>
              <w:left w:val="outset" w:sz="6" w:space="0" w:color="auto"/>
              <w:bottom w:val="outset" w:sz="6" w:space="0" w:color="auto"/>
              <w:right w:val="outset" w:sz="6" w:space="0" w:color="auto"/>
            </w:tcBorders>
            <w:vAlign w:val="center"/>
            <w:hideMark/>
          </w:tcPr>
          <w:p w:rsidR="00E52CB3" w:rsidRPr="00E52CB3" w:rsidRDefault="00E52CB3" w:rsidP="00E52CB3">
            <w:pPr>
              <w:overflowPunct/>
              <w:autoSpaceDE/>
              <w:autoSpaceDN/>
              <w:adjustRightInd/>
              <w:ind w:left="-15" w:firstLine="15"/>
              <w:textAlignment w:val="auto"/>
              <w:rPr>
                <w:rFonts w:ascii="Times New Roman" w:hAnsi="Times New Roman" w:cs="Times New Roman"/>
                <w:szCs w:val="24"/>
              </w:rPr>
            </w:pPr>
            <w:r w:rsidRPr="00E52CB3">
              <w:rPr>
                <w:szCs w:val="21"/>
              </w:rPr>
              <w:t>severe</w:t>
            </w:r>
          </w:p>
        </w:tc>
      </w:tr>
    </w:tbl>
    <w:p w:rsidR="006D5C02" w:rsidRDefault="00CA5CD0" w:rsidP="00F063AF">
      <w:pPr>
        <w:pStyle w:val="ListParagraph"/>
        <w:widowControl w:val="0"/>
        <w:numPr>
          <w:ilvl w:val="0"/>
          <w:numId w:val="177"/>
        </w:numPr>
        <w:tabs>
          <w:tab w:val="left" w:pos="0"/>
          <w:tab w:val="left" w:pos="330"/>
        </w:tabs>
        <w:spacing w:before="120" w:after="120" w:line="240" w:lineRule="auto"/>
        <w:ind w:left="360"/>
        <w:rPr>
          <w:rFonts w:ascii="Arial" w:hAnsi="Arial"/>
          <w:sz w:val="20"/>
          <w:szCs w:val="20"/>
        </w:rPr>
      </w:pPr>
      <w:r w:rsidRPr="006D5C02">
        <w:rPr>
          <w:rFonts w:ascii="Arial" w:hAnsi="Arial"/>
          <w:b/>
          <w:sz w:val="20"/>
          <w:szCs w:val="20"/>
        </w:rPr>
        <w:t>III.iv.4.A.6.f</w:t>
      </w:r>
      <w:r w:rsidRPr="006D5C02">
        <w:rPr>
          <w:rFonts w:ascii="Arial" w:hAnsi="Arial"/>
          <w:sz w:val="20"/>
          <w:szCs w:val="20"/>
        </w:rPr>
        <w:t xml:space="preserve"> (eff 4/13/18) </w:t>
      </w:r>
      <w:r w:rsidR="006D5C02" w:rsidRPr="006D5C02">
        <w:rPr>
          <w:rFonts w:ascii="Arial" w:hAnsi="Arial"/>
          <w:sz w:val="20"/>
          <w:szCs w:val="20"/>
        </w:rPr>
        <w:t xml:space="preserve">- </w:t>
      </w:r>
      <w:r w:rsidR="006D5C02" w:rsidRPr="006D5C02">
        <w:rPr>
          <w:rFonts w:ascii="Arial" w:hAnsi="Arial"/>
          <w:bCs/>
          <w:sz w:val="20"/>
          <w:szCs w:val="20"/>
        </w:rPr>
        <w:t xml:space="preserve">per </w:t>
      </w:r>
      <w:r w:rsidR="006D5C02" w:rsidRPr="006D5C02">
        <w:rPr>
          <w:rFonts w:ascii="Arial" w:hAnsi="Arial"/>
          <w:bCs/>
          <w:i/>
          <w:sz w:val="20"/>
          <w:szCs w:val="20"/>
        </w:rPr>
        <w:t xml:space="preserve">Lyles v. Shulkin </w:t>
      </w:r>
      <w:r w:rsidR="006D5C02" w:rsidRPr="006D5C02">
        <w:rPr>
          <w:rFonts w:ascii="Arial" w:hAnsi="Arial"/>
          <w:bCs/>
          <w:sz w:val="20"/>
          <w:szCs w:val="20"/>
        </w:rPr>
        <w:t xml:space="preserve">(2017) </w:t>
      </w:r>
      <w:r w:rsidRPr="006D5C02">
        <w:rPr>
          <w:rFonts w:ascii="Arial" w:hAnsi="Arial"/>
          <w:sz w:val="20"/>
          <w:szCs w:val="20"/>
        </w:rPr>
        <w:t>– can give 5258 or 5259 even if already have 5257, 5260 and/or 5261</w:t>
      </w:r>
      <w:r w:rsidR="006D5C02">
        <w:rPr>
          <w:rFonts w:ascii="Arial" w:hAnsi="Arial"/>
          <w:sz w:val="20"/>
          <w:szCs w:val="20"/>
        </w:rPr>
        <w:t xml:space="preserve">; BUT </w:t>
      </w:r>
      <w:r w:rsidR="006D5C02" w:rsidRPr="006D5C02">
        <w:rPr>
          <w:rFonts w:ascii="Arial" w:hAnsi="Arial"/>
          <w:sz w:val="20"/>
          <w:szCs w:val="20"/>
        </w:rPr>
        <w:t>be</w:t>
      </w:r>
      <w:r w:rsidR="006D5C02">
        <w:rPr>
          <w:rFonts w:ascii="Arial" w:hAnsi="Arial"/>
          <w:sz w:val="20"/>
          <w:szCs w:val="20"/>
        </w:rPr>
        <w:t xml:space="preserve"> very</w:t>
      </w:r>
      <w:r w:rsidR="006D5C02" w:rsidRPr="006D5C02">
        <w:rPr>
          <w:rFonts w:ascii="Arial" w:hAnsi="Arial"/>
          <w:sz w:val="20"/>
          <w:szCs w:val="20"/>
        </w:rPr>
        <w:t xml:space="preserve"> careful </w:t>
      </w:r>
      <w:r w:rsidR="006D5C02">
        <w:rPr>
          <w:rFonts w:ascii="Arial" w:hAnsi="Arial"/>
          <w:sz w:val="20"/>
          <w:szCs w:val="20"/>
        </w:rPr>
        <w:t>to avoid</w:t>
      </w:r>
      <w:r w:rsidR="006D5C02" w:rsidRPr="006D5C02">
        <w:rPr>
          <w:rFonts w:ascii="Arial" w:hAnsi="Arial"/>
          <w:sz w:val="20"/>
          <w:szCs w:val="20"/>
        </w:rPr>
        <w:t xml:space="preserve"> pyramiding/4</w:t>
      </w:r>
      <w:r w:rsidR="006D5C02" w:rsidRPr="00C120A8">
        <w:rPr>
          <w:rFonts w:ascii="Arial" w:hAnsi="Arial"/>
          <w:sz w:val="20"/>
          <w:szCs w:val="20"/>
        </w:rPr>
        <w:t>.14</w:t>
      </w:r>
      <w:r w:rsidR="00C120A8" w:rsidRPr="00C120A8">
        <w:rPr>
          <w:rFonts w:ascii="Arial" w:hAnsi="Arial"/>
          <w:sz w:val="20"/>
          <w:szCs w:val="20"/>
        </w:rPr>
        <w:t xml:space="preserve">; </w:t>
      </w:r>
      <w:r w:rsidR="00C120A8" w:rsidRPr="00C120A8">
        <w:rPr>
          <w:rFonts w:ascii="Arial" w:hAnsi="Arial"/>
          <w:bCs/>
          <w:sz w:val="20"/>
          <w:szCs w:val="20"/>
        </w:rPr>
        <w:t xml:space="preserve">VEB workaround </w:t>
      </w:r>
      <w:r w:rsidR="00C120A8" w:rsidRPr="00C120A8">
        <w:rPr>
          <w:rFonts w:ascii="Arial" w:hAnsi="Arial"/>
          <w:b/>
          <w:bCs/>
          <w:sz w:val="20"/>
          <w:szCs w:val="20"/>
        </w:rPr>
        <w:t>III.iv.4.A.6.h</w:t>
      </w:r>
    </w:p>
    <w:p w:rsidR="006D5C02" w:rsidRDefault="00CA5CD0" w:rsidP="00F063AF">
      <w:pPr>
        <w:pStyle w:val="ListParagraph"/>
        <w:widowControl w:val="0"/>
        <w:numPr>
          <w:ilvl w:val="1"/>
          <w:numId w:val="177"/>
        </w:numPr>
        <w:tabs>
          <w:tab w:val="left" w:pos="0"/>
          <w:tab w:val="left" w:pos="330"/>
          <w:tab w:val="left" w:pos="1890"/>
        </w:tabs>
        <w:spacing w:before="120" w:after="120" w:line="240" w:lineRule="auto"/>
        <w:ind w:left="990"/>
        <w:rPr>
          <w:rFonts w:ascii="Arial" w:hAnsi="Arial"/>
          <w:sz w:val="20"/>
          <w:szCs w:val="20"/>
        </w:rPr>
      </w:pPr>
      <w:r w:rsidRPr="006D5C02">
        <w:rPr>
          <w:rFonts w:ascii="Arial" w:hAnsi="Arial"/>
          <w:sz w:val="20"/>
          <w:szCs w:val="20"/>
        </w:rPr>
        <w:t>if give 5258/5259 with 5257, the 5258/5259 cannot be for recurrent sub</w:t>
      </w:r>
      <w:r w:rsidR="006D5C02">
        <w:rPr>
          <w:rFonts w:ascii="Arial" w:hAnsi="Arial"/>
          <w:sz w:val="20"/>
          <w:szCs w:val="20"/>
        </w:rPr>
        <w:t>luxation or lateral instability</w:t>
      </w:r>
    </w:p>
    <w:p w:rsidR="009C7DC7" w:rsidRPr="006D5C02" w:rsidRDefault="00CA5CD0" w:rsidP="00F063AF">
      <w:pPr>
        <w:pStyle w:val="ListParagraph"/>
        <w:widowControl w:val="0"/>
        <w:numPr>
          <w:ilvl w:val="1"/>
          <w:numId w:val="177"/>
        </w:numPr>
        <w:tabs>
          <w:tab w:val="left" w:pos="0"/>
          <w:tab w:val="left" w:pos="330"/>
          <w:tab w:val="left" w:pos="1890"/>
        </w:tabs>
        <w:spacing w:before="120" w:after="120" w:line="240" w:lineRule="auto"/>
        <w:ind w:left="990"/>
        <w:rPr>
          <w:rFonts w:ascii="Arial" w:hAnsi="Arial"/>
          <w:sz w:val="20"/>
          <w:szCs w:val="20"/>
        </w:rPr>
      </w:pPr>
      <w:r w:rsidRPr="006D5C02">
        <w:rPr>
          <w:rFonts w:ascii="Arial" w:hAnsi="Arial"/>
          <w:sz w:val="20"/>
          <w:szCs w:val="20"/>
        </w:rPr>
        <w:t>if give 5258/5259 with 5260/5261, the 5258/5259 symptoms</w:t>
      </w:r>
      <w:r w:rsidR="009C7DC7" w:rsidRPr="006D5C02">
        <w:rPr>
          <w:rFonts w:ascii="Arial" w:hAnsi="Arial"/>
          <w:sz w:val="20"/>
          <w:szCs w:val="20"/>
        </w:rPr>
        <w:t xml:space="preserve"> cannot have been used to give an evaluation under 5260/5621 based on Deluca </w:t>
      </w:r>
      <w:r w:rsidR="009C7DC7" w:rsidRPr="006D5C02">
        <w:rPr>
          <w:rFonts w:ascii="Arial" w:hAnsi="Arial"/>
          <w:i/>
          <w:sz w:val="20"/>
          <w:szCs w:val="20"/>
        </w:rPr>
        <w:t>(i.e. if the 5258/5259 disability causes function loss due to pain, per  DeLuca, 4.40 &amp; 4.45, with additional loss of range of motion with repetitive movements as it relates to pain, weakness, excessive fatigability or incoordination, AND we used that to give an eval under 5260 or 5261, we cannot give a separate eval under 5258/5259)</w:t>
      </w:r>
    </w:p>
    <w:p w:rsidR="00E52CB3" w:rsidRPr="009C7DC7" w:rsidRDefault="009C7DC7" w:rsidP="00F063AF">
      <w:pPr>
        <w:pStyle w:val="ListParagraph"/>
        <w:widowControl w:val="0"/>
        <w:numPr>
          <w:ilvl w:val="0"/>
          <w:numId w:val="177"/>
        </w:numPr>
        <w:tabs>
          <w:tab w:val="left" w:pos="0"/>
          <w:tab w:val="left" w:pos="330"/>
        </w:tabs>
        <w:spacing w:before="120" w:after="120" w:line="240" w:lineRule="auto"/>
        <w:ind w:left="360"/>
        <w:rPr>
          <w:rFonts w:ascii="Arial" w:hAnsi="Arial"/>
          <w:sz w:val="20"/>
          <w:szCs w:val="20"/>
        </w:rPr>
      </w:pPr>
      <w:r>
        <w:rPr>
          <w:rFonts w:ascii="Arial" w:hAnsi="Arial"/>
          <w:sz w:val="20"/>
          <w:szCs w:val="20"/>
        </w:rPr>
        <w:t>…</w:t>
      </w:r>
    </w:p>
    <w:p w:rsidR="00013EB8" w:rsidRDefault="00013EB8">
      <w:pPr>
        <w:pStyle w:val="Header"/>
        <w:widowControl w:val="0"/>
        <w:tabs>
          <w:tab w:val="clear" w:pos="4320"/>
          <w:tab w:val="clear" w:pos="8640"/>
        </w:tabs>
        <w:overflowPunct/>
        <w:textAlignment w:val="auto"/>
      </w:pPr>
    </w:p>
    <w:p w:rsidR="00013EB8" w:rsidRDefault="00013EB8">
      <w:pPr>
        <w:widowControl w:val="0"/>
        <w:pBdr>
          <w:top w:val="dashed" w:sz="4" w:space="1" w:color="auto"/>
        </w:pBdr>
        <w:overflowPunct/>
        <w:textAlignment w:val="auto"/>
      </w:pPr>
    </w:p>
    <w:p w:rsidR="00E653C3" w:rsidRPr="00E653C3" w:rsidRDefault="00013EB8">
      <w:pPr>
        <w:widowControl w:val="0"/>
        <w:numPr>
          <w:ilvl w:val="12"/>
          <w:numId w:val="0"/>
        </w:numPr>
      </w:pPr>
      <w:r>
        <w:rPr>
          <w:b/>
          <w:u w:val="single"/>
        </w:rPr>
        <w:t>THE ANKLE</w:t>
      </w:r>
      <w:r>
        <w:rPr>
          <w:b/>
          <w:u w:val="single"/>
        </w:rPr>
        <w:br/>
      </w:r>
    </w:p>
    <w:p w:rsidR="00803080" w:rsidRPr="00803080" w:rsidRDefault="00803080" w:rsidP="00F063AF">
      <w:pPr>
        <w:widowControl w:val="0"/>
        <w:numPr>
          <w:ilvl w:val="0"/>
          <w:numId w:val="152"/>
        </w:numPr>
        <w:spacing w:after="120"/>
        <w:ind w:left="360"/>
      </w:pPr>
      <w:r w:rsidRPr="00803080">
        <w:rPr>
          <w:b/>
          <w:u w:val="single"/>
        </w:rPr>
        <w:t>April 2013 IRR &amp; Consistency Training (training conducted in May)</w:t>
      </w:r>
      <w:r>
        <w:t xml:space="preserve"> - </w:t>
      </w:r>
      <w:r w:rsidRPr="00EE1118">
        <w:t xml:space="preserve">If </w:t>
      </w:r>
      <w:r>
        <w:t xml:space="preserve">have a </w:t>
      </w:r>
      <w:r w:rsidRPr="00EE1118">
        <w:t>sepa</w:t>
      </w:r>
      <w:r>
        <w:t>rate diagnosis of ankle or knee disability, do not rate under shin splints, but under joints.</w:t>
      </w:r>
    </w:p>
    <w:p w:rsidR="007540A4" w:rsidRPr="007540A4" w:rsidRDefault="00E653C3" w:rsidP="00F063AF">
      <w:pPr>
        <w:pStyle w:val="ListParagraph"/>
        <w:widowControl w:val="0"/>
        <w:numPr>
          <w:ilvl w:val="0"/>
          <w:numId w:val="152"/>
        </w:numPr>
        <w:spacing w:after="120" w:line="240" w:lineRule="auto"/>
        <w:ind w:left="360"/>
        <w:rPr>
          <w:rFonts w:ascii="Times New Roman" w:hAnsi="Times New Roman"/>
          <w:sz w:val="24"/>
          <w:szCs w:val="24"/>
        </w:rPr>
      </w:pPr>
      <w:r w:rsidRPr="00EA0611">
        <w:rPr>
          <w:rFonts w:ascii="Arial" w:hAnsi="Arial"/>
          <w:b/>
          <w:i/>
          <w:sz w:val="20"/>
          <w:szCs w:val="20"/>
        </w:rPr>
        <w:t xml:space="preserve">February 2014 </w:t>
      </w:r>
      <w:r w:rsidR="00EB6F0B" w:rsidRPr="00EA0611">
        <w:rPr>
          <w:rFonts w:ascii="Arial" w:hAnsi="Arial"/>
          <w:b/>
          <w:i/>
          <w:sz w:val="20"/>
          <w:szCs w:val="20"/>
        </w:rPr>
        <w:t>Compensation Service Bulletin (CSB)</w:t>
      </w:r>
      <w:r w:rsidRPr="00A7380D">
        <w:rPr>
          <w:rFonts w:ascii="Arial" w:hAnsi="Arial"/>
          <w:sz w:val="20"/>
          <w:szCs w:val="20"/>
        </w:rPr>
        <w:t xml:space="preserve"> - </w:t>
      </w:r>
      <w:r w:rsidR="00A7380D" w:rsidRPr="00A7380D">
        <w:rPr>
          <w:rFonts w:ascii="Arial" w:hAnsi="Arial"/>
          <w:sz w:val="20"/>
          <w:szCs w:val="20"/>
        </w:rPr>
        <w:t xml:space="preserve">separate evaluations may </w:t>
      </w:r>
      <w:r w:rsidR="00A7380D" w:rsidRPr="007540A4">
        <w:rPr>
          <w:rFonts w:ascii="Arial" w:hAnsi="Arial"/>
          <w:b/>
          <w:sz w:val="20"/>
          <w:szCs w:val="20"/>
        </w:rPr>
        <w:t>not</w:t>
      </w:r>
      <w:r w:rsidR="00A7380D" w:rsidRPr="00A7380D">
        <w:rPr>
          <w:rFonts w:ascii="Arial" w:hAnsi="Arial"/>
          <w:sz w:val="20"/>
          <w:szCs w:val="20"/>
        </w:rPr>
        <w:t xml:space="preserve"> be assigned for ankle instability under DC 5262 and ankle limitation of motion under DC 5271.</w:t>
      </w:r>
      <w:r w:rsidR="00467499">
        <w:rPr>
          <w:rFonts w:ascii="Arial" w:hAnsi="Arial"/>
          <w:sz w:val="20"/>
          <w:szCs w:val="20"/>
        </w:rPr>
        <w:t xml:space="preserve"> Also, 5262 should only be used when there is impairment of the tibia and fibula.</w:t>
      </w:r>
    </w:p>
    <w:p w:rsidR="00A523EC" w:rsidRPr="0029403B" w:rsidRDefault="00F95CC5" w:rsidP="00F063AF">
      <w:pPr>
        <w:pStyle w:val="ListParagraph"/>
        <w:widowControl w:val="0"/>
        <w:numPr>
          <w:ilvl w:val="0"/>
          <w:numId w:val="152"/>
        </w:numPr>
        <w:spacing w:after="120" w:line="240" w:lineRule="auto"/>
        <w:ind w:left="360"/>
        <w:rPr>
          <w:rFonts w:ascii="Arial" w:hAnsi="Arial"/>
          <w:sz w:val="20"/>
          <w:szCs w:val="20"/>
        </w:rPr>
      </w:pPr>
      <w:r>
        <w:rPr>
          <w:rFonts w:ascii="Arial" w:hAnsi="Arial"/>
          <w:b/>
          <w:sz w:val="20"/>
          <w:szCs w:val="20"/>
        </w:rPr>
        <w:t>III.iv.4.A.6</w:t>
      </w:r>
      <w:r w:rsidR="005811C0" w:rsidRPr="005811C0">
        <w:rPr>
          <w:rFonts w:ascii="Arial" w:hAnsi="Arial"/>
          <w:b/>
          <w:sz w:val="20"/>
          <w:szCs w:val="20"/>
        </w:rPr>
        <w:t>.</w:t>
      </w:r>
      <w:r>
        <w:rPr>
          <w:rFonts w:ascii="Arial" w:hAnsi="Arial"/>
          <w:b/>
          <w:sz w:val="20"/>
          <w:szCs w:val="20"/>
        </w:rPr>
        <w:t>m</w:t>
      </w:r>
      <w:r w:rsidR="007540A4" w:rsidRPr="007540A4">
        <w:rPr>
          <w:rFonts w:ascii="Arial" w:hAnsi="Arial"/>
          <w:sz w:val="20"/>
          <w:szCs w:val="20"/>
        </w:rPr>
        <w:t xml:space="preserve"> - moderate limitation of ankle motion is less than 15 degrees dorsiflexion or less t</w:t>
      </w:r>
      <w:r w:rsidR="005811C0">
        <w:rPr>
          <w:rFonts w:ascii="Arial" w:hAnsi="Arial"/>
          <w:sz w:val="20"/>
          <w:szCs w:val="20"/>
        </w:rPr>
        <w:t>han 30 degrees plantar flexion; m</w:t>
      </w:r>
      <w:r w:rsidR="007540A4" w:rsidRPr="007540A4">
        <w:rPr>
          <w:rFonts w:ascii="Arial" w:hAnsi="Arial"/>
          <w:sz w:val="20"/>
          <w:szCs w:val="20"/>
        </w:rPr>
        <w:t xml:space="preserve">arked limitation of motion is less than five degrees dorsiflexion or less than 10 degrees plantar flexion.  </w:t>
      </w:r>
    </w:p>
    <w:p w:rsidR="007540A4" w:rsidRPr="007540A4" w:rsidRDefault="007540A4" w:rsidP="007540A4">
      <w:pPr>
        <w:widowControl w:val="0"/>
      </w:pPr>
    </w:p>
    <w:p w:rsidR="00013EB8" w:rsidRDefault="00013EB8">
      <w:pPr>
        <w:widowControl w:val="0"/>
        <w:numPr>
          <w:ilvl w:val="12"/>
          <w:numId w:val="0"/>
        </w:numPr>
        <w:pBdr>
          <w:top w:val="dashed" w:sz="4" w:space="1" w:color="auto"/>
        </w:pBdr>
        <w:tabs>
          <w:tab w:val="left" w:pos="6300"/>
        </w:tabs>
        <w:rPr>
          <w:b/>
        </w:rPr>
      </w:pPr>
    </w:p>
    <w:p w:rsidR="00013EB8" w:rsidRDefault="00013EB8">
      <w:pPr>
        <w:widowControl w:val="0"/>
        <w:numPr>
          <w:ilvl w:val="12"/>
          <w:numId w:val="0"/>
        </w:numPr>
        <w:rPr>
          <w:i/>
        </w:rPr>
      </w:pPr>
      <w:r>
        <w:rPr>
          <w:b/>
          <w:u w:val="single"/>
        </w:rPr>
        <w:t>5275 SHORTENING OF THE LOWER EXTREMITY</w:t>
      </w:r>
      <w:r>
        <w:t xml:space="preserve"> – </w:t>
      </w:r>
      <w:r>
        <w:rPr>
          <w:i/>
        </w:rPr>
        <w:t xml:space="preserve">usually of long bones, </w:t>
      </w:r>
      <w:r w:rsidRPr="007A4B37">
        <w:rPr>
          <w:b/>
          <w:bCs/>
          <w:i/>
          <w:iCs/>
        </w:rPr>
        <w:t>4.58</w:t>
      </w:r>
      <w:r>
        <w:rPr>
          <w:b/>
          <w:bCs/>
          <w:i/>
          <w:iCs/>
        </w:rPr>
        <w:t xml:space="preserve"> </w:t>
      </w:r>
      <w:r>
        <w:rPr>
          <w:i/>
        </w:rPr>
        <w:t>for info on arthritis of joints, back, etc. due to strain</w:t>
      </w:r>
    </w:p>
    <w:p w:rsidR="00013EB8" w:rsidRDefault="00013EB8">
      <w:pPr>
        <w:widowControl w:val="0"/>
        <w:numPr>
          <w:ilvl w:val="12"/>
          <w:numId w:val="0"/>
        </w:numPr>
        <w:rPr>
          <w:i/>
        </w:rPr>
      </w:pPr>
    </w:p>
    <w:p w:rsidR="00013EB8" w:rsidRDefault="00013EB8">
      <w:pPr>
        <w:widowControl w:val="0"/>
        <w:numPr>
          <w:ilvl w:val="12"/>
          <w:numId w:val="0"/>
        </w:numPr>
        <w:pBdr>
          <w:top w:val="dashed" w:sz="4" w:space="1" w:color="auto"/>
        </w:pBdr>
        <w:rPr>
          <w:i/>
        </w:rPr>
      </w:pPr>
    </w:p>
    <w:p w:rsidR="00013EB8" w:rsidRDefault="00013EB8" w:rsidP="00804C28">
      <w:pPr>
        <w:widowControl w:val="0"/>
        <w:numPr>
          <w:ilvl w:val="12"/>
          <w:numId w:val="0"/>
        </w:numPr>
        <w:spacing w:after="120"/>
        <w:rPr>
          <w:i/>
        </w:rPr>
      </w:pPr>
      <w:r>
        <w:rPr>
          <w:b/>
          <w:u w:val="single"/>
        </w:rPr>
        <w:t>THE FOOT</w:t>
      </w:r>
      <w:r>
        <w:t xml:space="preserve"> – </w:t>
      </w:r>
      <w:r w:rsidRPr="007A4B37">
        <w:rPr>
          <w:b/>
          <w:bCs/>
          <w:i/>
          <w:iCs/>
        </w:rPr>
        <w:t>4.57</w:t>
      </w:r>
      <w:r>
        <w:rPr>
          <w:b/>
          <w:bCs/>
          <w:i/>
          <w:iCs/>
        </w:rPr>
        <w:t xml:space="preserve"> </w:t>
      </w:r>
      <w:r>
        <w:rPr>
          <w:i/>
        </w:rPr>
        <w:t>for congenital v. acquired pes planus/flatfoot/flat feet</w:t>
      </w:r>
      <w:r w:rsidR="001B3FB8">
        <w:rPr>
          <w:i/>
        </w:rPr>
        <w:t xml:space="preserve"> (5276)</w:t>
      </w:r>
      <w:r>
        <w:rPr>
          <w:i/>
        </w:rPr>
        <w:t>; pes cavus (5278) only if trauma or aggravated</w:t>
      </w:r>
    </w:p>
    <w:p w:rsidR="00013EB8" w:rsidRDefault="00013EB8" w:rsidP="00804C28">
      <w:pPr>
        <w:widowControl w:val="0"/>
        <w:numPr>
          <w:ilvl w:val="12"/>
          <w:numId w:val="0"/>
        </w:numPr>
        <w:spacing w:after="120"/>
        <w:rPr>
          <w:i/>
        </w:rPr>
      </w:pPr>
      <w:r>
        <w:rPr>
          <w:i/>
        </w:rPr>
        <w:t>loss of use is 40%</w:t>
      </w:r>
    </w:p>
    <w:p w:rsidR="00345BD9" w:rsidRPr="00345BD9" w:rsidRDefault="00345BD9" w:rsidP="00345BD9">
      <w:pPr>
        <w:widowControl w:val="0"/>
        <w:numPr>
          <w:ilvl w:val="12"/>
          <w:numId w:val="0"/>
        </w:numPr>
        <w:pBdr>
          <w:top w:val="single" w:sz="4" w:space="1" w:color="auto"/>
          <w:left w:val="single" w:sz="4" w:space="4" w:color="auto"/>
          <w:bottom w:val="single" w:sz="4" w:space="1" w:color="auto"/>
          <w:right w:val="single" w:sz="4" w:space="4" w:color="auto"/>
        </w:pBdr>
        <w:spacing w:after="120"/>
        <w:ind w:left="360"/>
      </w:pPr>
      <w:r w:rsidRPr="00345BD9">
        <w:t xml:space="preserve">Rating Note:  Although policy is to evaluate plantar fasciitis analogous to 5276, flatfoot, the veteran’s plantar fasciitis symptoms are due to pes cavus/claw foot, so DC 5278 better represents the disability picture. Also, there is definite evidence of aggravation of pes cavus since the veteran developed pain in the arches and plantar fasciitis during service, which he did not have at </w:t>
      </w:r>
      <w:r w:rsidR="0029353F">
        <w:t xml:space="preserve">entrance / </w:t>
      </w:r>
      <w:r w:rsidRPr="00345BD9">
        <w:t>enlistment.</w:t>
      </w:r>
    </w:p>
    <w:p w:rsidR="00763718" w:rsidRPr="003B7F72" w:rsidRDefault="00763718" w:rsidP="00F063AF">
      <w:pPr>
        <w:widowControl w:val="0"/>
        <w:numPr>
          <w:ilvl w:val="0"/>
          <w:numId w:val="319"/>
        </w:numPr>
        <w:tabs>
          <w:tab w:val="left" w:pos="360"/>
        </w:tabs>
        <w:spacing w:after="120"/>
        <w:ind w:left="360"/>
        <w:rPr>
          <w:color w:val="000000"/>
        </w:rPr>
      </w:pPr>
      <w:r w:rsidRPr="001D3D0C">
        <w:rPr>
          <w:b/>
        </w:rPr>
        <w:t>III.iv.4.A.7</w:t>
      </w:r>
      <w:r>
        <w:rPr>
          <w:b/>
        </w:rPr>
        <w:t xml:space="preserve">.a – </w:t>
      </w:r>
      <w:r>
        <w:t>foot disabilities, don’t use 5284 if covered under 5276, 5277, 5278, 5279, 5280, 5281, 5283</w:t>
      </w:r>
    </w:p>
    <w:p w:rsidR="00E77C53" w:rsidRDefault="00233263" w:rsidP="00F063AF">
      <w:pPr>
        <w:pStyle w:val="ListParagraph"/>
        <w:widowControl w:val="0"/>
        <w:numPr>
          <w:ilvl w:val="0"/>
          <w:numId w:val="319"/>
        </w:numPr>
        <w:spacing w:after="120"/>
        <w:ind w:left="360" w:right="330"/>
        <w:rPr>
          <w:rFonts w:ascii="Arial" w:hAnsi="Arial"/>
          <w:sz w:val="20"/>
          <w:szCs w:val="20"/>
        </w:rPr>
      </w:pPr>
      <w:r>
        <w:rPr>
          <w:rFonts w:ascii="Arial" w:hAnsi="Arial"/>
          <w:b/>
          <w:bCs/>
          <w:sz w:val="20"/>
          <w:szCs w:val="20"/>
        </w:rPr>
        <w:t>III.iv.4.A.</w:t>
      </w:r>
      <w:r w:rsidR="00763718">
        <w:rPr>
          <w:rFonts w:ascii="Arial" w:hAnsi="Arial"/>
          <w:b/>
          <w:bCs/>
          <w:sz w:val="20"/>
          <w:szCs w:val="20"/>
        </w:rPr>
        <w:t>7.b</w:t>
      </w:r>
      <w:r w:rsidR="00E77C53">
        <w:rPr>
          <w:rFonts w:ascii="Arial" w:hAnsi="Arial"/>
          <w:sz w:val="20"/>
          <w:szCs w:val="20"/>
        </w:rPr>
        <w:t xml:space="preserve"> -</w:t>
      </w:r>
      <w:r w:rsidR="00E77C53" w:rsidRPr="00E77C53">
        <w:rPr>
          <w:rFonts w:ascii="Arial" w:hAnsi="Arial"/>
          <w:sz w:val="20"/>
          <w:szCs w:val="20"/>
        </w:rPr>
        <w:t xml:space="preserve"> nomenclature of digits of </w:t>
      </w:r>
      <w:r w:rsidR="00E77C53">
        <w:rPr>
          <w:rFonts w:ascii="Arial" w:hAnsi="Arial"/>
          <w:sz w:val="20"/>
          <w:szCs w:val="20"/>
        </w:rPr>
        <w:t xml:space="preserve">the foot / toes </w:t>
      </w:r>
      <w:r w:rsidR="00E77C53" w:rsidRPr="00E77C53">
        <w:rPr>
          <w:rFonts w:ascii="Arial" w:hAnsi="Arial"/>
          <w:sz w:val="20"/>
          <w:szCs w:val="20"/>
        </w:rPr>
        <w:t>- first/great, second, third, fourth, fifth</w:t>
      </w:r>
    </w:p>
    <w:p w:rsidR="00763718" w:rsidRPr="0029403B" w:rsidRDefault="00763718" w:rsidP="00F063AF">
      <w:pPr>
        <w:widowControl w:val="0"/>
        <w:numPr>
          <w:ilvl w:val="0"/>
          <w:numId w:val="319"/>
        </w:numPr>
        <w:tabs>
          <w:tab w:val="left" w:pos="360"/>
        </w:tabs>
        <w:spacing w:after="120"/>
        <w:ind w:left="360"/>
        <w:rPr>
          <w:color w:val="000000"/>
        </w:rPr>
      </w:pPr>
      <w:r>
        <w:rPr>
          <w:b/>
          <w:iCs/>
        </w:rPr>
        <w:t xml:space="preserve">III.iv.4.A.7.e – </w:t>
      </w:r>
      <w:r>
        <w:rPr>
          <w:iCs/>
        </w:rPr>
        <w:t>evaluating plantar fasciitis</w:t>
      </w:r>
    </w:p>
    <w:p w:rsidR="003B7F72" w:rsidRPr="00E77C53" w:rsidRDefault="003B7F72" w:rsidP="00F063AF">
      <w:pPr>
        <w:widowControl w:val="0"/>
        <w:numPr>
          <w:ilvl w:val="0"/>
          <w:numId w:val="124"/>
        </w:numPr>
        <w:tabs>
          <w:tab w:val="clear" w:pos="720"/>
          <w:tab w:val="num" w:pos="360"/>
        </w:tabs>
        <w:spacing w:after="120"/>
        <w:ind w:left="360"/>
        <w:rPr>
          <w:color w:val="000000"/>
        </w:rPr>
      </w:pPr>
      <w:r w:rsidRPr="00E77C53">
        <w:rPr>
          <w:b/>
        </w:rPr>
        <w:t>III.iv.4.A.</w:t>
      </w:r>
      <w:r w:rsidR="00F95CC5">
        <w:rPr>
          <w:b/>
        </w:rPr>
        <w:t>7.g</w:t>
      </w:r>
      <w:r w:rsidRPr="00E77C53">
        <w:rPr>
          <w:b/>
        </w:rPr>
        <w:t xml:space="preserve"> – </w:t>
      </w:r>
      <w:r w:rsidRPr="00E77C53">
        <w:t xml:space="preserve">5279 </w:t>
      </w:r>
      <w:r w:rsidRPr="00E77C53">
        <w:rPr>
          <w:b/>
        </w:rPr>
        <w:t xml:space="preserve">– </w:t>
      </w:r>
      <w:r w:rsidRPr="00E77C53">
        <w:t>metatarsalgia, Morton’s Disease / Morton’s Neuroma</w:t>
      </w:r>
    </w:p>
    <w:p w:rsidR="007825D2" w:rsidRPr="003E04B7" w:rsidRDefault="007825D2" w:rsidP="00F063AF">
      <w:pPr>
        <w:widowControl w:val="0"/>
        <w:numPr>
          <w:ilvl w:val="0"/>
          <w:numId w:val="124"/>
        </w:numPr>
        <w:tabs>
          <w:tab w:val="clear" w:pos="720"/>
          <w:tab w:val="num" w:pos="360"/>
        </w:tabs>
        <w:spacing w:after="120"/>
        <w:ind w:left="360"/>
        <w:rPr>
          <w:color w:val="000000"/>
        </w:rPr>
      </w:pPr>
      <w:r>
        <w:rPr>
          <w:b/>
        </w:rPr>
        <w:t>III.iv.4.A.</w:t>
      </w:r>
      <w:r w:rsidR="00BB2BB0">
        <w:rPr>
          <w:b/>
        </w:rPr>
        <w:t>7.h</w:t>
      </w:r>
      <w:r>
        <w:rPr>
          <w:b/>
        </w:rPr>
        <w:t xml:space="preserve"> – </w:t>
      </w:r>
      <w:r w:rsidRPr="007825D2">
        <w:t>do not assign separate evaluations for metatarsalgia under 5279 &amp; plantar fasciitis / pes planus under 5276</w:t>
      </w:r>
    </w:p>
    <w:p w:rsidR="00013EB8" w:rsidRPr="001E5B19" w:rsidRDefault="00D571C5" w:rsidP="00F063AF">
      <w:pPr>
        <w:widowControl w:val="0"/>
        <w:numPr>
          <w:ilvl w:val="0"/>
          <w:numId w:val="124"/>
        </w:numPr>
        <w:tabs>
          <w:tab w:val="clear" w:pos="720"/>
          <w:tab w:val="num" w:pos="400"/>
        </w:tabs>
        <w:spacing w:after="120"/>
        <w:ind w:left="400"/>
        <w:rPr>
          <w:iCs/>
        </w:rPr>
      </w:pPr>
      <w:hyperlink r:id="rId521" w:history="1">
        <w:r w:rsidR="00013EB8">
          <w:rPr>
            <w:rStyle w:val="Hyperlink"/>
            <w:b/>
            <w:bCs/>
            <w:i/>
            <w:iCs/>
          </w:rPr>
          <w:t>QRT Bulletin September/October 2012</w:t>
        </w:r>
      </w:hyperlink>
      <w:r w:rsidR="00013EB8">
        <w:t xml:space="preserve"> - Per DC 5282 and the DBQ titled “Foot Miscellaneous (Other than Flatfoot/Pes Planus), a Veteran must have all 5 toes affected by the hammer toe condition (unilateral) in order </w:t>
      </w:r>
      <w:r w:rsidR="00013EB8">
        <w:rPr>
          <w:color w:val="000000"/>
        </w:rPr>
        <w:t>to receive</w:t>
      </w:r>
      <w:r w:rsidR="00013EB8">
        <w:t xml:space="preserve"> a 10 percent evaluation, as all 5 toes can be properly diagnosed with this condition</w:t>
      </w:r>
    </w:p>
    <w:p w:rsidR="001E5B19" w:rsidRPr="00AA04CD" w:rsidRDefault="001E5B19" w:rsidP="00F063AF">
      <w:pPr>
        <w:widowControl w:val="0"/>
        <w:numPr>
          <w:ilvl w:val="0"/>
          <w:numId w:val="124"/>
        </w:numPr>
        <w:tabs>
          <w:tab w:val="clear" w:pos="720"/>
          <w:tab w:val="num" w:pos="360"/>
        </w:tabs>
        <w:spacing w:after="120"/>
        <w:ind w:left="360"/>
        <w:rPr>
          <w:color w:val="000000"/>
        </w:rPr>
      </w:pPr>
      <w:r w:rsidRPr="00AA04CD">
        <w:rPr>
          <w:b/>
          <w:iCs/>
        </w:rPr>
        <w:t>WEEKLY QRT Q</w:t>
      </w:r>
      <w:r w:rsidR="00303C97">
        <w:rPr>
          <w:b/>
          <w:iCs/>
        </w:rPr>
        <w:t>-T</w:t>
      </w:r>
      <w:r w:rsidRPr="00AA04CD">
        <w:rPr>
          <w:b/>
          <w:iCs/>
        </w:rPr>
        <w:t>IP FOR WEEK OF 06/10/2013 –</w:t>
      </w:r>
      <w:r w:rsidR="00AA04CD" w:rsidRPr="00AA04CD">
        <w:rPr>
          <w:b/>
          <w:iCs/>
        </w:rPr>
        <w:t xml:space="preserve"> </w:t>
      </w:r>
      <w:r w:rsidRPr="00AA04CD">
        <w:rPr>
          <w:color w:val="000000"/>
        </w:rPr>
        <w:t>This week’s QRT quality tip provides information to consider S/C for hallux valgus following a bunionectomy.</w:t>
      </w:r>
    </w:p>
    <w:p w:rsidR="001E5B19" w:rsidRPr="001E5B19" w:rsidRDefault="001E5B19" w:rsidP="001B3FB8">
      <w:pPr>
        <w:spacing w:after="120"/>
        <w:ind w:left="360"/>
      </w:pPr>
      <w:r w:rsidRPr="001E5B19">
        <w:t>Per the Rating Schedule, a 10% evaluation is warranted for hallux valgus following a bunionectomy.  A bunionectomy is a surgical procedure to excise (or remove) a bunion, which is a resection of the metatarsal head.</w:t>
      </w:r>
    </w:p>
    <w:p w:rsidR="001E5B19" w:rsidRPr="001E5B19" w:rsidRDefault="001E5B19" w:rsidP="00804C28">
      <w:pPr>
        <w:spacing w:after="120"/>
        <w:ind w:left="360"/>
      </w:pPr>
      <w:r w:rsidRPr="001E5B19">
        <w:t>It is important to consider entitlement to Paragraph 30 if the requirements under 38 CFR 4.30 are met.  Not all bunionectomy cases will warrant entitlement Paragraph 30 based on the evidence, and a Rating Decision note in the Special Notation box to indicate that you considered Paragraph 30 is advised.</w:t>
      </w:r>
    </w:p>
    <w:p w:rsidR="001E5B19" w:rsidRPr="001E5B19" w:rsidRDefault="001E5B19" w:rsidP="00804C28">
      <w:pPr>
        <w:spacing w:after="120"/>
        <w:ind w:left="360"/>
      </w:pPr>
      <w:r w:rsidRPr="001E5B19">
        <w:t xml:space="preserve">Reference: </w:t>
      </w:r>
      <w:r w:rsidRPr="00EA0611">
        <w:t>38 CFR 4.30</w:t>
      </w:r>
      <w:r w:rsidRPr="001E5B19">
        <w:t xml:space="preserve">; </w:t>
      </w:r>
      <w:r w:rsidRPr="00EA0611">
        <w:t>DC 5280</w:t>
      </w:r>
      <w:r w:rsidRPr="001E5B19">
        <w:t xml:space="preserve">; </w:t>
      </w:r>
      <w:hyperlink r:id="rId522" w:history="1">
        <w:r w:rsidRPr="001E5B19">
          <w:rPr>
            <w:rStyle w:val="Hyperlink"/>
          </w:rPr>
          <w:t>DBQ Foot Miscellaneous</w:t>
        </w:r>
      </w:hyperlink>
      <w:r w:rsidRPr="001E5B19">
        <w:t xml:space="preserve">; </w:t>
      </w:r>
      <w:hyperlink r:id="rId523" w:history="1">
        <w:r w:rsidRPr="001E5B19">
          <w:rPr>
            <w:rStyle w:val="Hyperlink"/>
          </w:rPr>
          <w:t>Bunionectomy Definition</w:t>
        </w:r>
      </w:hyperlink>
    </w:p>
    <w:p w:rsidR="00404D28" w:rsidRDefault="00D571C5" w:rsidP="00F063AF">
      <w:pPr>
        <w:widowControl w:val="0"/>
        <w:numPr>
          <w:ilvl w:val="0"/>
          <w:numId w:val="163"/>
        </w:numPr>
        <w:tabs>
          <w:tab w:val="left" w:pos="360"/>
          <w:tab w:val="left" w:pos="9413"/>
        </w:tabs>
        <w:overflowPunct/>
        <w:spacing w:after="120"/>
        <w:ind w:left="360"/>
        <w:textAlignment w:val="auto"/>
      </w:pPr>
      <w:hyperlink r:id="rId524" w:history="1">
        <w:r w:rsidR="00D37D00" w:rsidRPr="00FF4E63">
          <w:rPr>
            <w:rStyle w:val="Hyperlink"/>
            <w:b/>
            <w:i/>
          </w:rPr>
          <w:t xml:space="preserve">June 2015 </w:t>
        </w:r>
        <w:r w:rsidR="00FF4E63">
          <w:rPr>
            <w:rStyle w:val="Hyperlink"/>
            <w:b/>
            <w:i/>
          </w:rPr>
          <w:t>Quality Call Notes</w:t>
        </w:r>
      </w:hyperlink>
      <w:r w:rsidR="00D37D00" w:rsidRPr="00FF4E63">
        <w:rPr>
          <w:rStyle w:val="Hyperlink"/>
          <w:u w:val="none"/>
        </w:rPr>
        <w:t xml:space="preserve"> </w:t>
      </w:r>
      <w:r w:rsidR="00D37D00" w:rsidRPr="00FF4E63">
        <w:rPr>
          <w:rStyle w:val="Hyperlink"/>
          <w:color w:val="auto"/>
          <w:u w:val="none"/>
        </w:rPr>
        <w:t>– Pes Pla</w:t>
      </w:r>
      <w:r w:rsidR="00FF4E63" w:rsidRPr="00FF4E63">
        <w:rPr>
          <w:rStyle w:val="Hyperlink"/>
          <w:color w:val="auto"/>
          <w:u w:val="none"/>
        </w:rPr>
        <w:t>nus and the Evaluation Builder, extreme tenderness is a pronounced foot diability</w:t>
      </w:r>
      <w:r w:rsidR="00953A97">
        <w:rPr>
          <w:rStyle w:val="Hyperlink"/>
          <w:color w:val="auto"/>
          <w:u w:val="none"/>
        </w:rPr>
        <w:t xml:space="preserve"> &amp; warrants 30% for one foot or 50% for both feet under 5276</w:t>
      </w:r>
      <w:r w:rsidR="00FF4E63" w:rsidRPr="00FF4E63">
        <w:rPr>
          <w:rStyle w:val="Hyperlink"/>
          <w:color w:val="auto"/>
          <w:u w:val="none"/>
        </w:rPr>
        <w:t xml:space="preserve">; </w:t>
      </w:r>
      <w:r w:rsidR="004755C4">
        <w:t xml:space="preserve">VA Pulse has discussions of extreme tenderness - </w:t>
      </w:r>
      <w:r w:rsidR="004755C4" w:rsidRPr="00EA0611">
        <w:rPr>
          <w:i/>
        </w:rPr>
        <w:t>https://www.vapulse.net/message/14798</w:t>
      </w:r>
      <w:r w:rsidR="004755C4">
        <w:t xml:space="preserve"> &amp; </w:t>
      </w:r>
      <w:r w:rsidR="00404D28" w:rsidRPr="00953A97">
        <w:rPr>
          <w:i/>
        </w:rPr>
        <w:t>https://www.vapulse.net/message/22478</w:t>
      </w:r>
    </w:p>
    <w:p w:rsidR="00404D28" w:rsidRDefault="00D571C5" w:rsidP="00F063AF">
      <w:pPr>
        <w:widowControl w:val="0"/>
        <w:numPr>
          <w:ilvl w:val="0"/>
          <w:numId w:val="163"/>
        </w:numPr>
        <w:tabs>
          <w:tab w:val="left" w:pos="360"/>
          <w:tab w:val="left" w:pos="9413"/>
        </w:tabs>
        <w:overflowPunct/>
        <w:spacing w:after="120"/>
        <w:ind w:left="360"/>
        <w:textAlignment w:val="auto"/>
      </w:pPr>
      <w:hyperlink r:id="rId525" w:history="1">
        <w:r w:rsidR="0094438B">
          <w:rPr>
            <w:rStyle w:val="Hyperlink"/>
            <w:b/>
            <w:bCs/>
            <w:i/>
          </w:rPr>
          <w:t>June 2016 Quality Call Notes</w:t>
        </w:r>
      </w:hyperlink>
      <w:r w:rsidR="00404D28">
        <w:rPr>
          <w:i/>
        </w:rPr>
        <w:t xml:space="preserve"> </w:t>
      </w:r>
      <w:r w:rsidR="00404D28" w:rsidRPr="00632D62">
        <w:rPr>
          <w:i/>
        </w:rPr>
        <w:t>–</w:t>
      </w:r>
      <w:r w:rsidR="00404D28">
        <w:rPr>
          <w:i/>
        </w:rPr>
        <w:t xml:space="preserve"> </w:t>
      </w:r>
      <w:r w:rsidR="00404D28" w:rsidRPr="00404D28">
        <w:t>The DBQ has two options- “side relieved” and “side not relieved</w:t>
      </w:r>
      <w:r w:rsidR="001946CC">
        <w:t>.”</w:t>
      </w:r>
      <w:r w:rsidR="00404D28" w:rsidRPr="00404D28">
        <w:t>  “Side relieved” is interpreted as total or complete relief and “side not relieved” is only partial relief.</w:t>
      </w:r>
    </w:p>
    <w:p w:rsidR="00A365E7" w:rsidRDefault="00953A97" w:rsidP="00F063AF">
      <w:pPr>
        <w:widowControl w:val="0"/>
        <w:numPr>
          <w:ilvl w:val="0"/>
          <w:numId w:val="163"/>
        </w:numPr>
        <w:tabs>
          <w:tab w:val="left" w:pos="360"/>
          <w:tab w:val="left" w:pos="9413"/>
        </w:tabs>
        <w:overflowPunct/>
        <w:spacing w:after="120"/>
        <w:ind w:left="360"/>
        <w:textAlignment w:val="auto"/>
      </w:pPr>
      <w:r>
        <w:t xml:space="preserve">As </w:t>
      </w:r>
      <w:r w:rsidR="00A365E7">
        <w:t xml:space="preserve">of 12/16, VEB </w:t>
      </w:r>
      <w:r>
        <w:t>generates 30% for bilateral pes planus with “</w:t>
      </w:r>
      <w:r w:rsidRPr="00953A97">
        <w:t>Extreme tenderness of plantar surfaces of the feet</w:t>
      </w:r>
      <w:r>
        <w:t xml:space="preserve">” </w:t>
      </w:r>
      <w:r w:rsidRPr="00A365E7">
        <w:rPr>
          <w:u w:val="single"/>
        </w:rPr>
        <w:t>unless</w:t>
      </w:r>
      <w:r w:rsidR="00A365E7">
        <w:t xml:space="preserve"> you select:</w:t>
      </w:r>
    </w:p>
    <w:p w:rsidR="00A365E7" w:rsidRDefault="00A365E7" w:rsidP="00F063AF">
      <w:pPr>
        <w:widowControl w:val="0"/>
        <w:numPr>
          <w:ilvl w:val="1"/>
          <w:numId w:val="163"/>
        </w:numPr>
        <w:tabs>
          <w:tab w:val="left" w:pos="360"/>
          <w:tab w:val="left" w:pos="9413"/>
        </w:tabs>
        <w:overflowPunct/>
        <w:spacing w:after="120"/>
        <w:ind w:left="720"/>
        <w:textAlignment w:val="auto"/>
      </w:pPr>
      <w:r>
        <w:t>“</w:t>
      </w:r>
      <w:r w:rsidR="00953A97" w:rsidRPr="00953A97">
        <w:t>Symptoms NOT improved by orthopedic shoe or appliance</w:t>
      </w:r>
      <w:r w:rsidR="00953A97">
        <w:t xml:space="preserve">” </w:t>
      </w:r>
      <w:r>
        <w:t xml:space="preserve">- then gives 50%; </w:t>
      </w:r>
      <w:r w:rsidR="00953A97">
        <w:t xml:space="preserve">OR </w:t>
      </w:r>
    </w:p>
    <w:p w:rsidR="00953A97" w:rsidRDefault="00953A97" w:rsidP="00F063AF">
      <w:pPr>
        <w:widowControl w:val="0"/>
        <w:numPr>
          <w:ilvl w:val="1"/>
          <w:numId w:val="163"/>
        </w:numPr>
        <w:tabs>
          <w:tab w:val="left" w:pos="360"/>
          <w:tab w:val="left" w:pos="9413"/>
        </w:tabs>
        <w:overflowPunct/>
        <w:spacing w:after="120"/>
        <w:ind w:left="720"/>
        <w:textAlignment w:val="auto"/>
      </w:pPr>
      <w:r>
        <w:t>“Symptoms relieved by built-up shoe (renders diagnosis asymptomatic)”/</w:t>
      </w:r>
      <w:r w:rsidRPr="00953A97">
        <w:t xml:space="preserve"> </w:t>
      </w:r>
      <w:r>
        <w:t>“Symptoms relieved by arch support (renders diagnosis asymptomatic)”</w:t>
      </w:r>
      <w:r w:rsidR="00A365E7">
        <w:t xml:space="preserve"> - then gives 0%</w:t>
      </w:r>
    </w:p>
    <w:p w:rsidR="005A51F0" w:rsidRDefault="005A51F0" w:rsidP="005A51F0">
      <w:pPr>
        <w:widowControl w:val="0"/>
        <w:tabs>
          <w:tab w:val="left" w:pos="360"/>
          <w:tab w:val="left" w:pos="9413"/>
        </w:tabs>
        <w:overflowPunct/>
        <w:spacing w:after="120"/>
        <w:ind w:left="360"/>
        <w:textAlignment w:val="auto"/>
        <w:rPr>
          <w:rFonts w:ascii="Helvetica" w:hAnsi="Helvetica" w:cs="Helvetica"/>
          <w:color w:val="3D3D3D"/>
          <w:lang w:val="en"/>
        </w:rPr>
      </w:pPr>
      <w:r>
        <w:t xml:space="preserve">This is correct, per VA Pulse, </w:t>
      </w:r>
      <w:r w:rsidRPr="005A51F0">
        <w:rPr>
          <w:i/>
        </w:rPr>
        <w:t>https://www.vapulse.net/message/22478</w:t>
      </w:r>
      <w:r>
        <w:t>. “</w:t>
      </w:r>
      <w:r>
        <w:rPr>
          <w:rFonts w:ascii="Helvetica" w:hAnsi="Helvetica" w:cs="Helvetica"/>
          <w:color w:val="3D3D3D"/>
          <w:lang w:val="en"/>
        </w:rPr>
        <w:t xml:space="preserve">A 50% evaluation will only be generated if you select pronounced symptoms AND the radio button for ‘Symptoms NOT improved by orthopedic shoe or appliance. This was a determination change made by Compensation Service and Policy Staff and implemented in this last release. “ </w:t>
      </w:r>
      <w:r w:rsidRPr="005A51F0">
        <w:rPr>
          <w:rFonts w:ascii="Helvetica" w:hAnsi="Helvetica" w:cs="Helvetica"/>
          <w:i/>
          <w:color w:val="3D3D3D"/>
          <w:lang w:val="en"/>
        </w:rPr>
        <w:t>and</w:t>
      </w:r>
      <w:r>
        <w:rPr>
          <w:rFonts w:ascii="Helvetica" w:hAnsi="Helvetica" w:cs="Helvetica"/>
          <w:color w:val="3D3D3D"/>
          <w:lang w:val="en"/>
        </w:rPr>
        <w:t xml:space="preserve"> “A bilateral disability at the severe level is a 30% per the Rating Schedule. And since the symptom for ‘not improved by orthopedic shoe or appliance’ was not selected, a severe disabilty is warranted rather than a pronounced level. Therefore a 30% is correct. If it was unilateral, it would be a 20%.”</w:t>
      </w:r>
    </w:p>
    <w:p w:rsidR="00415F4F" w:rsidRPr="00415F4F" w:rsidRDefault="00D571C5" w:rsidP="00F063AF">
      <w:pPr>
        <w:pStyle w:val="NoSpacing"/>
        <w:numPr>
          <w:ilvl w:val="0"/>
          <w:numId w:val="342"/>
        </w:numPr>
        <w:spacing w:after="120"/>
        <w:ind w:left="360"/>
        <w:rPr>
          <w:rFonts w:ascii="Arial" w:hAnsi="Arial"/>
          <w:sz w:val="20"/>
          <w:szCs w:val="20"/>
        </w:rPr>
      </w:pPr>
      <w:hyperlink r:id="rId526" w:history="1">
        <w:r w:rsidR="00415F4F" w:rsidRPr="00415F4F">
          <w:rPr>
            <w:rStyle w:val="Hyperlink"/>
            <w:rFonts w:ascii="Arial" w:hAnsi="Arial"/>
            <w:b/>
            <w:bCs/>
            <w:i/>
            <w:sz w:val="20"/>
            <w:szCs w:val="20"/>
          </w:rPr>
          <w:t>January 2017 Quality Call Notes</w:t>
        </w:r>
      </w:hyperlink>
      <w:r w:rsidR="00415F4F" w:rsidRPr="00415F4F">
        <w:rPr>
          <w:rFonts w:ascii="Arial" w:hAnsi="Arial"/>
          <w:i/>
          <w:sz w:val="20"/>
          <w:szCs w:val="20"/>
        </w:rPr>
        <w:t xml:space="preserve"> – </w:t>
      </w:r>
      <w:r w:rsidR="00415F4F" w:rsidRPr="00415F4F">
        <w:rPr>
          <w:rFonts w:ascii="Arial" w:hAnsi="Arial"/>
          <w:sz w:val="20"/>
          <w:szCs w:val="20"/>
        </w:rPr>
        <w:t xml:space="preserve">To be eligible for a pronounced disability under </w:t>
      </w:r>
      <w:r w:rsidR="00415F4F">
        <w:rPr>
          <w:rFonts w:ascii="Arial" w:hAnsi="Arial"/>
          <w:sz w:val="20"/>
          <w:szCs w:val="20"/>
        </w:rPr>
        <w:t>5276</w:t>
      </w:r>
      <w:r w:rsidR="00415F4F" w:rsidRPr="00415F4F">
        <w:rPr>
          <w:rFonts w:ascii="Arial" w:hAnsi="Arial"/>
          <w:sz w:val="20"/>
          <w:szCs w:val="20"/>
        </w:rPr>
        <w:t>, the Veteran must demonstrate (i.e., appropriate boxes marked on DBQ) that his/her symptoms are not improved by orthopedic devices or appliances to warrant the highest evaluation level.  If the Veteran does not demonstrate that his/her symptoms are not improved by orthopedic devices or appliances, and you do not select that corresponding radio button, the Evaluation Builder will generate an evaluate equivalent to the severe level.  These changes were made at the direction and approval of Compensation Service (CS) Policy Staff.</w:t>
      </w:r>
    </w:p>
    <w:p w:rsidR="00EF3A46" w:rsidRDefault="000F173A" w:rsidP="006E69E0">
      <w:pPr>
        <w:widowControl w:val="0"/>
        <w:pBdr>
          <w:top w:val="single" w:sz="4" w:space="1" w:color="auto"/>
          <w:left w:val="single" w:sz="4" w:space="4" w:color="auto"/>
          <w:bottom w:val="single" w:sz="4" w:space="1" w:color="auto"/>
          <w:right w:val="single" w:sz="4" w:space="4" w:color="auto"/>
        </w:pBdr>
        <w:tabs>
          <w:tab w:val="left" w:pos="360"/>
          <w:tab w:val="left" w:pos="9413"/>
        </w:tabs>
        <w:overflowPunct/>
        <w:textAlignment w:val="auto"/>
      </w:pPr>
      <w:r>
        <w:t>Rating Note:  “Extreme tenderness of plantar surfaces of the feet” was selected</w:t>
      </w:r>
      <w:r w:rsidR="00EF3A46">
        <w:t xml:space="preserve"> &amp; “Symptoms NOT improved by orthopedic shoe or appliance” was NOT selected</w:t>
      </w:r>
      <w:r>
        <w:t>, as 3F shows the tenderness is improved by orthopedic shoes or applian</w:t>
      </w:r>
      <w:r w:rsidR="00EF3A46">
        <w:t xml:space="preserve">ces, which is considered partial relief. </w:t>
      </w:r>
      <w:r w:rsidR="006E69E0">
        <w:t xml:space="preserve"> </w:t>
      </w:r>
    </w:p>
    <w:p w:rsidR="006E69E0" w:rsidRDefault="006E69E0" w:rsidP="00EF3A46">
      <w:pPr>
        <w:widowControl w:val="0"/>
        <w:pBdr>
          <w:top w:val="single" w:sz="4" w:space="1" w:color="auto"/>
          <w:left w:val="single" w:sz="4" w:space="4" w:color="auto"/>
          <w:bottom w:val="single" w:sz="4" w:space="1" w:color="auto"/>
          <w:right w:val="single" w:sz="4" w:space="4" w:color="auto"/>
        </w:pBdr>
        <w:tabs>
          <w:tab w:val="left" w:pos="360"/>
          <w:tab w:val="left" w:pos="9413"/>
        </w:tabs>
        <w:overflowPunct/>
        <w:spacing w:after="120"/>
        <w:textAlignment w:val="auto"/>
        <w:rPr>
          <w:i/>
        </w:rPr>
      </w:pPr>
      <w:r w:rsidRPr="006E69E0">
        <w:rPr>
          <w:i/>
        </w:rPr>
        <w:t>*This will give 30% for partial relief, per VA Pulse &amp; January 2017 Quality Call Notes above.</w:t>
      </w:r>
    </w:p>
    <w:p w:rsidR="005B47FE" w:rsidRDefault="00EC28C4" w:rsidP="00EF3A46">
      <w:pPr>
        <w:widowControl w:val="0"/>
        <w:pBdr>
          <w:top w:val="single" w:sz="4" w:space="1" w:color="auto"/>
          <w:left w:val="single" w:sz="4" w:space="4" w:color="auto"/>
          <w:bottom w:val="single" w:sz="4" w:space="1" w:color="auto"/>
          <w:right w:val="single" w:sz="4" w:space="4" w:color="auto"/>
        </w:pBdr>
        <w:tabs>
          <w:tab w:val="left" w:pos="360"/>
          <w:tab w:val="left" w:pos="9413"/>
        </w:tabs>
        <w:overflowPunct/>
        <w:spacing w:after="120"/>
        <w:textAlignment w:val="auto"/>
        <w:rPr>
          <w:i/>
        </w:rPr>
      </w:pPr>
      <w:r>
        <w:t>Rating Note:  The DBQ shows the right foot “extreme tenderness of plantar surfaces of the feet” is not improved by orthopedic shoes or appliances under 3F. So, although 3E shows the symptoms in both feet are relieved by built-up shoes, that radio button was not selected for the right foot based on the answer under 3F.</w:t>
      </w:r>
    </w:p>
    <w:p w:rsidR="00A025AD" w:rsidRDefault="005B47FE" w:rsidP="00A025AD">
      <w:pPr>
        <w:widowControl w:val="0"/>
        <w:pBdr>
          <w:top w:val="single" w:sz="4" w:space="1" w:color="auto"/>
          <w:left w:val="single" w:sz="4" w:space="4" w:color="auto"/>
          <w:bottom w:val="single" w:sz="4" w:space="1" w:color="auto"/>
          <w:right w:val="single" w:sz="4" w:space="4" w:color="auto"/>
        </w:pBdr>
        <w:tabs>
          <w:tab w:val="left" w:pos="360"/>
          <w:tab w:val="left" w:pos="9413"/>
        </w:tabs>
        <w:overflowPunct/>
        <w:textAlignment w:val="auto"/>
      </w:pPr>
      <w:r>
        <w:t>Rating Note:  “Extreme tenderness of plantar surfaces of the feet” was selected &amp; “Symptoms NOT improved by orthopedic shoe or appliance” was NOT selected, as the Remarks show the veteran has not used any arch supports, built up shoes, or orthotics.</w:t>
      </w:r>
    </w:p>
    <w:p w:rsidR="00A025AD" w:rsidRDefault="00A025AD" w:rsidP="00A025AD">
      <w:pPr>
        <w:widowControl w:val="0"/>
        <w:pBdr>
          <w:top w:val="single" w:sz="4" w:space="1" w:color="auto"/>
          <w:left w:val="single" w:sz="4" w:space="4" w:color="auto"/>
          <w:bottom w:val="single" w:sz="4" w:space="1" w:color="auto"/>
          <w:right w:val="single" w:sz="4" w:space="4" w:color="auto"/>
        </w:pBdr>
        <w:tabs>
          <w:tab w:val="left" w:pos="360"/>
          <w:tab w:val="left" w:pos="9413"/>
        </w:tabs>
        <w:overflowPunct/>
        <w:textAlignment w:val="auto"/>
      </w:pPr>
    </w:p>
    <w:p w:rsidR="00A025AD" w:rsidRPr="00A025AD" w:rsidRDefault="00A025AD" w:rsidP="005B47FE">
      <w:pPr>
        <w:widowControl w:val="0"/>
        <w:pBdr>
          <w:top w:val="single" w:sz="4" w:space="1" w:color="auto"/>
          <w:left w:val="single" w:sz="4" w:space="4" w:color="auto"/>
          <w:bottom w:val="single" w:sz="4" w:space="1" w:color="auto"/>
          <w:right w:val="single" w:sz="4" w:space="4" w:color="auto"/>
        </w:pBdr>
        <w:tabs>
          <w:tab w:val="left" w:pos="360"/>
          <w:tab w:val="left" w:pos="9413"/>
        </w:tabs>
        <w:overflowPunct/>
        <w:textAlignment w:val="auto"/>
        <w:rPr>
          <w:sz w:val="16"/>
        </w:rPr>
      </w:pPr>
      <w:r w:rsidRPr="00A025AD">
        <w:rPr>
          <w:color w:val="000000"/>
          <w:szCs w:val="23"/>
        </w:rPr>
        <w:t>Rating Note: VEB does not have a choice for "orthotics</w:t>
      </w:r>
      <w:r w:rsidR="001946CC">
        <w:rPr>
          <w:color w:val="000000"/>
          <w:szCs w:val="23"/>
        </w:rPr>
        <w:t>,”</w:t>
      </w:r>
      <w:r w:rsidRPr="00A025AD">
        <w:rPr>
          <w:color w:val="000000"/>
          <w:szCs w:val="23"/>
        </w:rPr>
        <w:t xml:space="preserve"> so "arch support" was selected. </w:t>
      </w:r>
    </w:p>
    <w:p w:rsidR="00013EB8" w:rsidRDefault="00013EB8">
      <w:pPr>
        <w:widowControl w:val="0"/>
        <w:numPr>
          <w:ilvl w:val="12"/>
          <w:numId w:val="0"/>
        </w:numPr>
        <w:pBdr>
          <w:top w:val="dashed" w:sz="4" w:space="1" w:color="auto"/>
        </w:pBdr>
        <w:rPr>
          <w:b/>
        </w:rPr>
      </w:pPr>
    </w:p>
    <w:p w:rsidR="00013EB8" w:rsidRDefault="00013EB8">
      <w:pPr>
        <w:widowControl w:val="0"/>
        <w:numPr>
          <w:ilvl w:val="12"/>
          <w:numId w:val="0"/>
        </w:numPr>
      </w:pPr>
      <w:r>
        <w:rPr>
          <w:b/>
        </w:rPr>
        <w:t>THE SKULL</w:t>
      </w:r>
      <w:r>
        <w:t xml:space="preserve"> – </w:t>
      </w:r>
      <w:r>
        <w:rPr>
          <w:i/>
        </w:rPr>
        <w:t>22 bones</w:t>
      </w:r>
    </w:p>
    <w:p w:rsidR="00013EB8" w:rsidRDefault="00013EB8">
      <w:pPr>
        <w:widowControl w:val="0"/>
        <w:numPr>
          <w:ilvl w:val="12"/>
          <w:numId w:val="0"/>
        </w:numPr>
        <w:rPr>
          <w:b/>
        </w:rPr>
      </w:pPr>
    </w:p>
    <w:p w:rsidR="00013EB8" w:rsidRDefault="00013EB8">
      <w:pPr>
        <w:widowControl w:val="0"/>
        <w:numPr>
          <w:ilvl w:val="12"/>
          <w:numId w:val="0"/>
        </w:numPr>
        <w:pBdr>
          <w:top w:val="dashed" w:sz="4" w:space="1" w:color="auto"/>
        </w:pBdr>
        <w:rPr>
          <w:b/>
        </w:rPr>
      </w:pPr>
    </w:p>
    <w:p w:rsidR="00013EB8" w:rsidRDefault="00013EB8">
      <w:pPr>
        <w:widowControl w:val="0"/>
        <w:numPr>
          <w:ilvl w:val="12"/>
          <w:numId w:val="0"/>
        </w:numPr>
        <w:rPr>
          <w:i/>
        </w:rPr>
      </w:pPr>
      <w:r>
        <w:rPr>
          <w:b/>
        </w:rPr>
        <w:t>THE RIBS</w:t>
      </w:r>
      <w:r>
        <w:t xml:space="preserve"> – </w:t>
      </w:r>
      <w:r>
        <w:rPr>
          <w:i/>
        </w:rPr>
        <w:t>25 bones in ribs &amp; sternum</w:t>
      </w:r>
    </w:p>
    <w:p w:rsidR="008A45DD" w:rsidRPr="008A45DD" w:rsidRDefault="008A45DD">
      <w:pPr>
        <w:widowControl w:val="0"/>
        <w:numPr>
          <w:ilvl w:val="12"/>
          <w:numId w:val="0"/>
        </w:numPr>
      </w:pPr>
      <w:r>
        <w:t>Ribs – LEB – Musculoskeletal System – Other – Ribs, removal of</w:t>
      </w:r>
      <w:r w:rsidR="0029403B">
        <w:t>, 5297</w:t>
      </w:r>
    </w:p>
    <w:p w:rsidR="00013EB8" w:rsidRDefault="00013EB8">
      <w:pPr>
        <w:widowControl w:val="0"/>
        <w:numPr>
          <w:ilvl w:val="12"/>
          <w:numId w:val="0"/>
        </w:numPr>
        <w:rPr>
          <w:b/>
        </w:rPr>
      </w:pPr>
    </w:p>
    <w:p w:rsidR="00013EB8" w:rsidRDefault="00013EB8">
      <w:pPr>
        <w:widowControl w:val="0"/>
        <w:numPr>
          <w:ilvl w:val="12"/>
          <w:numId w:val="0"/>
        </w:numPr>
        <w:pBdr>
          <w:top w:val="dashed" w:sz="4" w:space="1" w:color="auto"/>
        </w:pBdr>
        <w:rPr>
          <w:b/>
        </w:rPr>
      </w:pPr>
    </w:p>
    <w:p w:rsidR="00013EB8" w:rsidRDefault="00013EB8">
      <w:pPr>
        <w:widowControl w:val="0"/>
        <w:numPr>
          <w:ilvl w:val="12"/>
          <w:numId w:val="0"/>
        </w:numPr>
        <w:rPr>
          <w:i/>
        </w:rPr>
      </w:pPr>
      <w:r>
        <w:rPr>
          <w:b/>
        </w:rPr>
        <w:t>THE COCCYX</w:t>
      </w:r>
      <w:r>
        <w:t xml:space="preserve"> – </w:t>
      </w:r>
      <w:r>
        <w:rPr>
          <w:i/>
        </w:rPr>
        <w:t>4 or 5 bones (fused as one)</w:t>
      </w:r>
    </w:p>
    <w:p w:rsidR="00013EB8" w:rsidRDefault="00013EB8">
      <w:pPr>
        <w:widowControl w:val="0"/>
        <w:numPr>
          <w:ilvl w:val="12"/>
          <w:numId w:val="0"/>
        </w:numPr>
        <w:rPr>
          <w:i/>
        </w:rPr>
      </w:pPr>
    </w:p>
    <w:p w:rsidR="00013EB8" w:rsidRDefault="00013EB8">
      <w:pPr>
        <w:widowControl w:val="0"/>
        <w:numPr>
          <w:ilvl w:val="12"/>
          <w:numId w:val="0"/>
        </w:numPr>
        <w:pBdr>
          <w:top w:val="single" w:sz="4" w:space="1" w:color="auto"/>
        </w:pBdr>
        <w:rPr>
          <w:i/>
        </w:rPr>
      </w:pPr>
    </w:p>
    <w:p w:rsidR="00013EB8" w:rsidRDefault="00013EB8">
      <w:pPr>
        <w:pStyle w:val="Heading3"/>
        <w:keepNext w:val="0"/>
        <w:widowControl w:val="0"/>
        <w:numPr>
          <w:ilvl w:val="12"/>
          <w:numId w:val="0"/>
        </w:numPr>
        <w:pBdr>
          <w:top w:val="none" w:sz="0" w:space="0" w:color="auto"/>
          <w:left w:val="none" w:sz="0" w:space="0" w:color="auto"/>
          <w:bottom w:val="none" w:sz="0" w:space="0" w:color="auto"/>
          <w:right w:val="none" w:sz="0" w:space="0" w:color="auto"/>
        </w:pBdr>
        <w:tabs>
          <w:tab w:val="left" w:pos="660"/>
          <w:tab w:val="left" w:pos="9387"/>
        </w:tabs>
        <w:rPr>
          <w:iCs/>
          <w:sz w:val="20"/>
          <w:u w:val="single"/>
        </w:rPr>
      </w:pPr>
      <w:r w:rsidRPr="007A4B37">
        <w:rPr>
          <w:rStyle w:val="Hyperlink"/>
          <w:bCs w:val="0"/>
          <w:iCs/>
          <w:color w:val="auto"/>
          <w:sz w:val="20"/>
        </w:rPr>
        <w:t>4.73</w:t>
      </w:r>
      <w:r>
        <w:rPr>
          <w:iCs/>
          <w:sz w:val="20"/>
          <w:u w:val="single"/>
        </w:rPr>
        <w:tab/>
        <w:t>Schedule of Ratings—Muscle injuries</w:t>
      </w:r>
    </w:p>
    <w:p w:rsidR="00013EB8" w:rsidRDefault="00013EB8">
      <w:pPr>
        <w:widowControl w:val="0"/>
        <w:numPr>
          <w:ilvl w:val="12"/>
          <w:numId w:val="0"/>
        </w:numPr>
      </w:pP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change</w:t>
      </w:r>
      <w:r w:rsidR="00EC3C06">
        <w:rPr>
          <w:i/>
        </w:rPr>
        <w:t>d 7/2/97 (DCs 5301 to 5329)</w:t>
      </w:r>
    </w:p>
    <w:p w:rsidR="00EC3C06" w:rsidRDefault="00EC3C06">
      <w:pPr>
        <w:widowControl w:val="0"/>
        <w:numPr>
          <w:ilvl w:val="12"/>
          <w:numId w:val="0"/>
        </w:numPr>
        <w:pBdr>
          <w:top w:val="single" w:sz="4" w:space="1" w:color="auto"/>
          <w:left w:val="single" w:sz="4" w:space="4" w:color="auto"/>
          <w:bottom w:val="single" w:sz="4" w:space="1" w:color="auto"/>
          <w:right w:val="single" w:sz="4" w:space="4" w:color="auto"/>
        </w:pBdr>
        <w:rPr>
          <w:i/>
        </w:rPr>
      </w:pPr>
      <w:r>
        <w:rPr>
          <w:i/>
          <w:sz w:val="18"/>
        </w:rPr>
        <w:t xml:space="preserve">*you can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4.73</w:t>
      </w:r>
      <w:r w:rsidR="00D11C3E">
        <w:rPr>
          <w:bCs/>
          <w:i/>
          <w:iCs/>
          <w:sz w:val="18"/>
        </w:rPr>
        <w:t>; or in CPKM</w:t>
      </w:r>
    </w:p>
    <w:p w:rsidR="00013EB8" w:rsidRDefault="00013EB8">
      <w:pPr>
        <w:widowControl w:val="0"/>
        <w:numPr>
          <w:ilvl w:val="12"/>
          <w:numId w:val="0"/>
        </w:numPr>
        <w:rPr>
          <w:i/>
        </w:rPr>
      </w:pPr>
    </w:p>
    <w:p w:rsidR="00013EB8" w:rsidRPr="007A4B37" w:rsidRDefault="00013EB8" w:rsidP="00F063AF">
      <w:pPr>
        <w:widowControl w:val="0"/>
        <w:numPr>
          <w:ilvl w:val="0"/>
          <w:numId w:val="79"/>
        </w:numPr>
        <w:tabs>
          <w:tab w:val="clear" w:pos="1080"/>
          <w:tab w:val="num" w:pos="400"/>
        </w:tabs>
        <w:spacing w:after="120"/>
        <w:ind w:left="403"/>
      </w:pPr>
      <w:r w:rsidRPr="007A4B37">
        <w:rPr>
          <w:rStyle w:val="Hyperlink"/>
          <w:b/>
          <w:color w:val="auto"/>
          <w:u w:val="none"/>
        </w:rPr>
        <w:t>4.55</w:t>
      </w:r>
    </w:p>
    <w:p w:rsidR="00013EB8" w:rsidRPr="007A4B37" w:rsidRDefault="00013EB8" w:rsidP="00F063AF">
      <w:pPr>
        <w:widowControl w:val="0"/>
        <w:numPr>
          <w:ilvl w:val="0"/>
          <w:numId w:val="79"/>
        </w:numPr>
        <w:tabs>
          <w:tab w:val="clear" w:pos="1080"/>
          <w:tab w:val="num" w:pos="400"/>
        </w:tabs>
        <w:spacing w:after="120"/>
        <w:ind w:left="403"/>
        <w:rPr>
          <w:rStyle w:val="Hyperlink"/>
          <w:b/>
          <w:iCs/>
          <w:color w:val="auto"/>
          <w:u w:val="none"/>
        </w:rPr>
      </w:pPr>
      <w:r w:rsidRPr="007A4B37">
        <w:rPr>
          <w:rStyle w:val="Hyperlink"/>
          <w:b/>
          <w:iCs/>
          <w:color w:val="auto"/>
          <w:u w:val="none"/>
        </w:rPr>
        <w:t>4.56</w:t>
      </w:r>
    </w:p>
    <w:p w:rsidR="00013EB8" w:rsidRPr="007A4B37" w:rsidRDefault="00013EB8" w:rsidP="00F063AF">
      <w:pPr>
        <w:widowControl w:val="0"/>
        <w:numPr>
          <w:ilvl w:val="0"/>
          <w:numId w:val="79"/>
        </w:numPr>
        <w:tabs>
          <w:tab w:val="clear" w:pos="1080"/>
          <w:tab w:val="num" w:pos="400"/>
        </w:tabs>
        <w:spacing w:after="120"/>
        <w:ind w:left="403"/>
        <w:rPr>
          <w:b/>
          <w:i/>
        </w:rPr>
      </w:pPr>
      <w:r w:rsidRPr="007A4B37">
        <w:rPr>
          <w:rStyle w:val="Hyperlink"/>
          <w:b/>
          <w:iCs/>
          <w:color w:val="auto"/>
          <w:u w:val="none"/>
        </w:rPr>
        <w:t>4.73</w:t>
      </w:r>
    </w:p>
    <w:p w:rsidR="00013EB8" w:rsidRDefault="00013EB8" w:rsidP="00F063AF">
      <w:pPr>
        <w:widowControl w:val="0"/>
        <w:numPr>
          <w:ilvl w:val="0"/>
          <w:numId w:val="79"/>
        </w:numPr>
        <w:tabs>
          <w:tab w:val="clear" w:pos="1080"/>
          <w:tab w:val="num" w:pos="400"/>
        </w:tabs>
        <w:spacing w:after="120"/>
        <w:ind w:left="403"/>
        <w:rPr>
          <w:b/>
          <w:i/>
        </w:rPr>
      </w:pPr>
      <w:r>
        <w:rPr>
          <w:b/>
          <w:i/>
        </w:rPr>
        <w:t>GC Opinion 23-97</w:t>
      </w:r>
    </w:p>
    <w:p w:rsidR="00013EB8" w:rsidRDefault="009359A0" w:rsidP="00F063AF">
      <w:pPr>
        <w:widowControl w:val="0"/>
        <w:numPr>
          <w:ilvl w:val="0"/>
          <w:numId w:val="79"/>
        </w:numPr>
        <w:tabs>
          <w:tab w:val="clear" w:pos="1080"/>
          <w:tab w:val="num" w:pos="400"/>
        </w:tabs>
        <w:ind w:left="403"/>
        <w:rPr>
          <w:b/>
          <w:i/>
        </w:rPr>
      </w:pPr>
      <w:r w:rsidRPr="00723461">
        <w:rPr>
          <w:b/>
          <w:i/>
        </w:rPr>
        <w:t>3/20/03 Gunshot, Shell Fragment &amp; Shrapnel Wound Training Broadcast</w:t>
      </w:r>
    </w:p>
    <w:p w:rsidR="00013EB8" w:rsidRDefault="00013EB8" w:rsidP="00F063AF">
      <w:pPr>
        <w:widowControl w:val="0"/>
        <w:numPr>
          <w:ilvl w:val="1"/>
          <w:numId w:val="79"/>
        </w:numPr>
        <w:tabs>
          <w:tab w:val="clear" w:pos="1800"/>
          <w:tab w:val="num" w:pos="400"/>
          <w:tab w:val="num" w:pos="1100"/>
        </w:tabs>
        <w:ind w:left="1100"/>
      </w:pPr>
      <w:r>
        <w:t>scars always rated separately, even if 0%</w:t>
      </w:r>
    </w:p>
    <w:p w:rsidR="00013EB8" w:rsidRDefault="00013EB8" w:rsidP="00F063AF">
      <w:pPr>
        <w:widowControl w:val="0"/>
        <w:numPr>
          <w:ilvl w:val="1"/>
          <w:numId w:val="79"/>
        </w:numPr>
        <w:tabs>
          <w:tab w:val="clear" w:pos="1800"/>
          <w:tab w:val="num" w:pos="400"/>
          <w:tab w:val="num" w:pos="1100"/>
        </w:tabs>
        <w:ind w:left="1100"/>
      </w:pPr>
      <w:r>
        <w:t>if have multiple painful scars- can do 10% each if WIDELY separated</w:t>
      </w:r>
    </w:p>
    <w:p w:rsidR="00013EB8" w:rsidRDefault="00013EB8" w:rsidP="00F063AF">
      <w:pPr>
        <w:widowControl w:val="0"/>
        <w:numPr>
          <w:ilvl w:val="1"/>
          <w:numId w:val="79"/>
        </w:numPr>
        <w:tabs>
          <w:tab w:val="clear" w:pos="1800"/>
          <w:tab w:val="num" w:pos="400"/>
          <w:tab w:val="num" w:pos="1100"/>
        </w:tabs>
        <w:ind w:left="1100"/>
      </w:pPr>
      <w:r>
        <w:t>deep means damage to soft tissues</w:t>
      </w:r>
    </w:p>
    <w:p w:rsidR="00013EB8" w:rsidRDefault="00013EB8" w:rsidP="00F063AF">
      <w:pPr>
        <w:widowControl w:val="0"/>
        <w:numPr>
          <w:ilvl w:val="1"/>
          <w:numId w:val="79"/>
        </w:numPr>
        <w:tabs>
          <w:tab w:val="clear" w:pos="1800"/>
          <w:tab w:val="num" w:pos="400"/>
          <w:tab w:val="num" w:pos="1100"/>
        </w:tabs>
        <w:spacing w:after="120"/>
        <w:ind w:left="1100"/>
      </w:pPr>
      <w:r>
        <w:t>damage to different muscles in same group- only 1 for group</w:t>
      </w:r>
    </w:p>
    <w:p w:rsidR="00013EB8" w:rsidRDefault="009359A0" w:rsidP="00F063AF">
      <w:pPr>
        <w:widowControl w:val="0"/>
        <w:numPr>
          <w:ilvl w:val="0"/>
          <w:numId w:val="79"/>
        </w:numPr>
        <w:tabs>
          <w:tab w:val="clear" w:pos="1080"/>
          <w:tab w:val="num" w:pos="400"/>
        </w:tabs>
        <w:spacing w:after="120"/>
        <w:ind w:left="403"/>
        <w:rPr>
          <w:b/>
          <w:i/>
        </w:rPr>
      </w:pPr>
      <w:r w:rsidRPr="00723461">
        <w:rPr>
          <w:b/>
          <w:i/>
        </w:rPr>
        <w:t>5/20/03 Traumatic Injuries Broadcast</w:t>
      </w:r>
    </w:p>
    <w:p w:rsidR="00013EB8" w:rsidRDefault="00013EB8">
      <w:pPr>
        <w:widowControl w:val="0"/>
        <w:numPr>
          <w:ilvl w:val="12"/>
          <w:numId w:val="0"/>
        </w:numPr>
        <w:rPr>
          <w:b/>
          <w:i/>
        </w:rPr>
      </w:pPr>
    </w:p>
    <w:p w:rsidR="00013EB8" w:rsidRDefault="00013EB8">
      <w:pPr>
        <w:widowControl w:val="0"/>
        <w:numPr>
          <w:ilvl w:val="12"/>
          <w:numId w:val="0"/>
        </w:numPr>
        <w:rPr>
          <w:i/>
        </w:rPr>
      </w:pPr>
      <w:r>
        <w:rPr>
          <w:i/>
        </w:rPr>
        <w:t>500 muscles</w:t>
      </w:r>
    </w:p>
    <w:p w:rsidR="00013EB8" w:rsidRDefault="00013EB8">
      <w:pPr>
        <w:widowControl w:val="0"/>
        <w:numPr>
          <w:ilvl w:val="12"/>
          <w:numId w:val="0"/>
        </w:numPr>
      </w:pPr>
    </w:p>
    <w:p w:rsidR="00013EB8" w:rsidRDefault="00013EB8">
      <w:pPr>
        <w:widowControl w:val="0"/>
        <w:numPr>
          <w:ilvl w:val="12"/>
          <w:numId w:val="0"/>
        </w:numPr>
        <w:rPr>
          <w:i/>
        </w:rPr>
      </w:pPr>
      <w:r>
        <w:rPr>
          <w:i/>
        </w:rPr>
        <w:t xml:space="preserve">note under hand does </w:t>
      </w:r>
      <w:r>
        <w:rPr>
          <w:i/>
          <w:u w:val="single"/>
        </w:rPr>
        <w:t>not</w:t>
      </w:r>
      <w:r>
        <w:rPr>
          <w:i/>
        </w:rPr>
        <w:t xml:space="preserve"> apply to fingers</w:t>
      </w:r>
    </w:p>
    <w:p w:rsidR="00013EB8" w:rsidRDefault="00013EB8">
      <w:pPr>
        <w:widowControl w:val="0"/>
        <w:numPr>
          <w:ilvl w:val="12"/>
          <w:numId w:val="0"/>
        </w:numPr>
        <w:rPr>
          <w:i/>
        </w:rPr>
      </w:pPr>
      <w:r>
        <w:rPr>
          <w:i/>
        </w:rPr>
        <w:t xml:space="preserve">note under foot does </w:t>
      </w:r>
      <w:r>
        <w:rPr>
          <w:i/>
          <w:u w:val="single"/>
        </w:rPr>
        <w:t>not</w:t>
      </w:r>
      <w:r>
        <w:rPr>
          <w:i/>
        </w:rPr>
        <w:t xml:space="preserve"> apply to toes</w:t>
      </w:r>
    </w:p>
    <w:p w:rsidR="00013EB8" w:rsidRDefault="00013EB8">
      <w:pPr>
        <w:widowControl w:val="0"/>
        <w:numPr>
          <w:ilvl w:val="12"/>
          <w:numId w:val="0"/>
        </w:numPr>
        <w:rPr>
          <w:i/>
        </w:rPr>
      </w:pPr>
      <w:r>
        <w:rPr>
          <w:i/>
        </w:rPr>
        <w:t>for 5321 see note 3 under 6845 about gunshot wounds of the pleural cavity</w:t>
      </w:r>
    </w:p>
    <w:p w:rsidR="00013EB8" w:rsidRDefault="00013EB8">
      <w:pPr>
        <w:widowControl w:val="0"/>
        <w:rPr>
          <w:color w:val="FF0000"/>
        </w:rPr>
      </w:pPr>
    </w:p>
    <w:p w:rsidR="00013EB8" w:rsidRDefault="00013EB8">
      <w:pPr>
        <w:pStyle w:val="NormalWeb"/>
        <w:widowControl w:val="0"/>
        <w:spacing w:after="0"/>
        <w:rPr>
          <w:sz w:val="20"/>
        </w:rPr>
      </w:pPr>
      <w:r>
        <w:rPr>
          <w:b/>
          <w:bCs/>
          <w:sz w:val="20"/>
        </w:rPr>
        <w:t xml:space="preserve">   Shoulder Girdle and Arm</w:t>
      </w:r>
      <w:r>
        <w:rPr>
          <w:sz w:val="20"/>
        </w:rPr>
        <w:t xml:space="preserve"> </w:t>
      </w:r>
    </w:p>
    <w:p w:rsidR="00013EB8" w:rsidRDefault="00013EB8">
      <w:pPr>
        <w:pStyle w:val="NormalWeb"/>
        <w:widowControl w:val="0"/>
        <w:spacing w:after="0"/>
        <w:rPr>
          <w:sz w:val="20"/>
        </w:rPr>
      </w:pPr>
      <w:r>
        <w:rPr>
          <w:sz w:val="20"/>
        </w:rPr>
        <w:t>5301    Group I Function: Upward rotation of scapula.</w:t>
      </w:r>
    </w:p>
    <w:p w:rsidR="00013EB8" w:rsidRDefault="00013EB8">
      <w:pPr>
        <w:pStyle w:val="NormalWeb"/>
        <w:widowControl w:val="0"/>
        <w:spacing w:after="0"/>
        <w:rPr>
          <w:sz w:val="20"/>
        </w:rPr>
      </w:pPr>
      <w:r>
        <w:rPr>
          <w:sz w:val="20"/>
        </w:rPr>
        <w:t xml:space="preserve">5302    Group II Function: Depression of arm. </w:t>
      </w:r>
    </w:p>
    <w:p w:rsidR="00013EB8" w:rsidRDefault="00013EB8">
      <w:pPr>
        <w:pStyle w:val="NormalWeb"/>
        <w:widowControl w:val="0"/>
        <w:spacing w:after="0"/>
        <w:rPr>
          <w:sz w:val="20"/>
        </w:rPr>
      </w:pPr>
      <w:r>
        <w:rPr>
          <w:sz w:val="20"/>
        </w:rPr>
        <w:t xml:space="preserve">5303    Group III Function: Elevation and abduction of arm. </w:t>
      </w:r>
    </w:p>
    <w:p w:rsidR="00013EB8" w:rsidRDefault="00013EB8">
      <w:pPr>
        <w:pStyle w:val="NormalWeb"/>
        <w:widowControl w:val="0"/>
        <w:spacing w:after="0"/>
        <w:rPr>
          <w:sz w:val="20"/>
        </w:rPr>
      </w:pPr>
      <w:r>
        <w:rPr>
          <w:sz w:val="20"/>
        </w:rPr>
        <w:t xml:space="preserve">5304    Group IV Function: Stabilization of shoulder. </w:t>
      </w:r>
    </w:p>
    <w:p w:rsidR="00013EB8" w:rsidRDefault="00013EB8">
      <w:pPr>
        <w:pStyle w:val="NormalWeb"/>
        <w:widowControl w:val="0"/>
        <w:spacing w:after="0"/>
        <w:rPr>
          <w:sz w:val="20"/>
        </w:rPr>
      </w:pPr>
      <w:r>
        <w:rPr>
          <w:sz w:val="20"/>
        </w:rPr>
        <w:t xml:space="preserve">5305    Group V Function: Elbow supination. </w:t>
      </w:r>
    </w:p>
    <w:p w:rsidR="00013EB8" w:rsidRDefault="00013EB8">
      <w:pPr>
        <w:pStyle w:val="NormalWeb"/>
        <w:widowControl w:val="0"/>
        <w:spacing w:after="0"/>
        <w:rPr>
          <w:sz w:val="20"/>
        </w:rPr>
      </w:pPr>
      <w:r>
        <w:rPr>
          <w:sz w:val="20"/>
        </w:rPr>
        <w:t xml:space="preserve">5306    Group VI Function: Extension of elbow. </w:t>
      </w:r>
    </w:p>
    <w:p w:rsidR="00013EB8" w:rsidRDefault="00013EB8">
      <w:pPr>
        <w:pStyle w:val="NormalWeb"/>
        <w:widowControl w:val="0"/>
        <w:spacing w:after="0"/>
        <w:rPr>
          <w:sz w:val="20"/>
        </w:rPr>
      </w:pPr>
      <w:r>
        <w:rPr>
          <w:sz w:val="20"/>
        </w:rPr>
        <w:t>    </w:t>
      </w:r>
      <w:r>
        <w:rPr>
          <w:b/>
          <w:bCs/>
          <w:sz w:val="20"/>
        </w:rPr>
        <w:t>Forearm and Hand</w:t>
      </w:r>
      <w:r>
        <w:rPr>
          <w:sz w:val="20"/>
        </w:rPr>
        <w:t xml:space="preserve"> </w:t>
      </w:r>
    </w:p>
    <w:p w:rsidR="00013EB8" w:rsidRDefault="00013EB8">
      <w:pPr>
        <w:pStyle w:val="NormalWeb"/>
        <w:widowControl w:val="0"/>
        <w:spacing w:after="0"/>
        <w:rPr>
          <w:sz w:val="20"/>
        </w:rPr>
      </w:pPr>
      <w:r>
        <w:rPr>
          <w:sz w:val="20"/>
        </w:rPr>
        <w:t xml:space="preserve">5307    Group VII Function: Flexion of wrist and fingers. </w:t>
      </w:r>
    </w:p>
    <w:p w:rsidR="00013EB8" w:rsidRDefault="00013EB8">
      <w:pPr>
        <w:pStyle w:val="NormalWeb"/>
        <w:widowControl w:val="0"/>
        <w:spacing w:after="0"/>
        <w:rPr>
          <w:sz w:val="20"/>
        </w:rPr>
      </w:pPr>
      <w:r>
        <w:rPr>
          <w:sz w:val="20"/>
        </w:rPr>
        <w:t xml:space="preserve">5308    Group VIII Function: Extension of wrist, fingers, thumb. </w:t>
      </w:r>
    </w:p>
    <w:p w:rsidR="00013EB8" w:rsidRDefault="00013EB8">
      <w:pPr>
        <w:pStyle w:val="NormalWeb"/>
        <w:widowControl w:val="0"/>
        <w:spacing w:after="0"/>
        <w:rPr>
          <w:sz w:val="20"/>
        </w:rPr>
      </w:pPr>
      <w:r>
        <w:rPr>
          <w:sz w:val="20"/>
        </w:rPr>
        <w:t xml:space="preserve">5309    Group IX Function: Forearm muscles. </w:t>
      </w:r>
    </w:p>
    <w:p w:rsidR="00013EB8" w:rsidRDefault="00013EB8">
      <w:pPr>
        <w:pStyle w:val="NormalWeb"/>
        <w:widowControl w:val="0"/>
        <w:spacing w:after="0"/>
        <w:rPr>
          <w:sz w:val="20"/>
        </w:rPr>
      </w:pPr>
      <w:r>
        <w:rPr>
          <w:sz w:val="20"/>
        </w:rPr>
        <w:t>    </w:t>
      </w:r>
      <w:r>
        <w:rPr>
          <w:b/>
          <w:bCs/>
          <w:sz w:val="20"/>
        </w:rPr>
        <w:t>Foot and Leg</w:t>
      </w:r>
      <w:r>
        <w:rPr>
          <w:sz w:val="20"/>
        </w:rPr>
        <w:t xml:space="preserve"> </w:t>
      </w:r>
    </w:p>
    <w:p w:rsidR="00013EB8" w:rsidRDefault="00013EB8">
      <w:pPr>
        <w:pStyle w:val="NormalWeb"/>
        <w:widowControl w:val="0"/>
        <w:spacing w:after="0"/>
        <w:rPr>
          <w:sz w:val="20"/>
        </w:rPr>
      </w:pPr>
      <w:r>
        <w:rPr>
          <w:sz w:val="20"/>
        </w:rPr>
        <w:t xml:space="preserve">5310    Group X Function: Movement of forefoot and toes. </w:t>
      </w:r>
    </w:p>
    <w:p w:rsidR="00013EB8" w:rsidRDefault="00013EB8">
      <w:pPr>
        <w:pStyle w:val="NormalWeb"/>
        <w:widowControl w:val="0"/>
        <w:spacing w:after="0"/>
        <w:rPr>
          <w:sz w:val="20"/>
        </w:rPr>
      </w:pPr>
      <w:r>
        <w:rPr>
          <w:sz w:val="20"/>
        </w:rPr>
        <w:t xml:space="preserve">5311    Group XI Function: Propulsion of foot. </w:t>
      </w:r>
    </w:p>
    <w:p w:rsidR="00013EB8" w:rsidRDefault="00013EB8">
      <w:pPr>
        <w:pStyle w:val="NormalWeb"/>
        <w:widowControl w:val="0"/>
        <w:spacing w:after="0"/>
        <w:rPr>
          <w:sz w:val="20"/>
        </w:rPr>
      </w:pPr>
      <w:r>
        <w:rPr>
          <w:sz w:val="20"/>
        </w:rPr>
        <w:t xml:space="preserve">5312    Group XII Function: Dorsiflexion. </w:t>
      </w:r>
    </w:p>
    <w:p w:rsidR="00013EB8" w:rsidRDefault="00013EB8">
      <w:pPr>
        <w:pStyle w:val="NormalWeb"/>
        <w:widowControl w:val="0"/>
        <w:spacing w:after="0"/>
        <w:rPr>
          <w:sz w:val="20"/>
        </w:rPr>
      </w:pPr>
      <w:r>
        <w:rPr>
          <w:sz w:val="20"/>
        </w:rPr>
        <w:t>    </w:t>
      </w:r>
      <w:r>
        <w:rPr>
          <w:b/>
          <w:bCs/>
          <w:sz w:val="20"/>
        </w:rPr>
        <w:t>Pelvic Girdle and Thigh</w:t>
      </w:r>
      <w:r>
        <w:rPr>
          <w:sz w:val="20"/>
        </w:rPr>
        <w:t xml:space="preserve"> </w:t>
      </w:r>
    </w:p>
    <w:p w:rsidR="00013EB8" w:rsidRDefault="00013EB8">
      <w:pPr>
        <w:pStyle w:val="NormalWeb"/>
        <w:widowControl w:val="0"/>
        <w:spacing w:after="0"/>
        <w:rPr>
          <w:sz w:val="20"/>
        </w:rPr>
      </w:pPr>
      <w:r>
        <w:rPr>
          <w:sz w:val="20"/>
        </w:rPr>
        <w:t xml:space="preserve">5313    Group XIII Function: Extension of hip and flexion of knee. </w:t>
      </w:r>
    </w:p>
    <w:p w:rsidR="00013EB8" w:rsidRDefault="00013EB8">
      <w:pPr>
        <w:pStyle w:val="NormalWeb"/>
        <w:widowControl w:val="0"/>
        <w:spacing w:after="0"/>
        <w:rPr>
          <w:sz w:val="20"/>
        </w:rPr>
      </w:pPr>
      <w:r>
        <w:rPr>
          <w:sz w:val="20"/>
        </w:rPr>
        <w:t xml:space="preserve">5314    Group XIV Function: Extension of knee. </w:t>
      </w:r>
    </w:p>
    <w:p w:rsidR="00013EB8" w:rsidRDefault="00013EB8">
      <w:pPr>
        <w:pStyle w:val="NormalWeb"/>
        <w:widowControl w:val="0"/>
        <w:spacing w:after="0"/>
        <w:rPr>
          <w:sz w:val="20"/>
        </w:rPr>
      </w:pPr>
      <w:r>
        <w:rPr>
          <w:sz w:val="20"/>
        </w:rPr>
        <w:t xml:space="preserve">5315    Group XV Function: Adduction of hip. </w:t>
      </w:r>
    </w:p>
    <w:p w:rsidR="00013EB8" w:rsidRDefault="00013EB8">
      <w:pPr>
        <w:pStyle w:val="NormalWeb"/>
        <w:widowControl w:val="0"/>
        <w:spacing w:after="0"/>
        <w:rPr>
          <w:sz w:val="20"/>
        </w:rPr>
      </w:pPr>
      <w:r>
        <w:rPr>
          <w:sz w:val="20"/>
        </w:rPr>
        <w:t xml:space="preserve">5316    Group XVI Function: Flexion of hip. </w:t>
      </w:r>
    </w:p>
    <w:p w:rsidR="00013EB8" w:rsidRDefault="00013EB8">
      <w:pPr>
        <w:pStyle w:val="NormalWeb"/>
        <w:widowControl w:val="0"/>
        <w:spacing w:after="0"/>
        <w:rPr>
          <w:sz w:val="20"/>
        </w:rPr>
      </w:pPr>
      <w:r>
        <w:rPr>
          <w:sz w:val="20"/>
        </w:rPr>
        <w:t xml:space="preserve">5317    Group XVII Function: Extension of hip. </w:t>
      </w:r>
    </w:p>
    <w:p w:rsidR="00013EB8" w:rsidRDefault="00013EB8">
      <w:pPr>
        <w:pStyle w:val="NormalWeb"/>
        <w:widowControl w:val="0"/>
        <w:spacing w:after="0"/>
        <w:rPr>
          <w:sz w:val="20"/>
        </w:rPr>
      </w:pPr>
      <w:r>
        <w:rPr>
          <w:sz w:val="20"/>
        </w:rPr>
        <w:t xml:space="preserve">5318    Group XVIII Function: Outward rotation of thigh. </w:t>
      </w:r>
    </w:p>
    <w:p w:rsidR="00013EB8" w:rsidRDefault="00013EB8">
      <w:pPr>
        <w:pStyle w:val="NormalWeb"/>
        <w:widowControl w:val="0"/>
        <w:spacing w:after="0"/>
        <w:rPr>
          <w:sz w:val="20"/>
        </w:rPr>
      </w:pPr>
      <w:r>
        <w:rPr>
          <w:sz w:val="20"/>
        </w:rPr>
        <w:t>    </w:t>
      </w:r>
      <w:r>
        <w:rPr>
          <w:b/>
          <w:bCs/>
          <w:sz w:val="20"/>
        </w:rPr>
        <w:t>Torso and Neck</w:t>
      </w:r>
      <w:r>
        <w:rPr>
          <w:sz w:val="20"/>
        </w:rPr>
        <w:t xml:space="preserve"> </w:t>
      </w:r>
    </w:p>
    <w:p w:rsidR="00013EB8" w:rsidRDefault="00013EB8">
      <w:pPr>
        <w:pStyle w:val="NormalWeb"/>
        <w:widowControl w:val="0"/>
        <w:spacing w:after="0"/>
        <w:rPr>
          <w:sz w:val="20"/>
        </w:rPr>
      </w:pPr>
      <w:r>
        <w:rPr>
          <w:sz w:val="20"/>
        </w:rPr>
        <w:t xml:space="preserve">5319    Group XIX Function: Abdominal wall and lower thorax. </w:t>
      </w:r>
    </w:p>
    <w:p w:rsidR="00013EB8" w:rsidRDefault="00013EB8">
      <w:pPr>
        <w:pStyle w:val="NormalWeb"/>
        <w:widowControl w:val="0"/>
        <w:spacing w:after="0"/>
        <w:rPr>
          <w:sz w:val="20"/>
        </w:rPr>
      </w:pPr>
      <w:r>
        <w:rPr>
          <w:sz w:val="20"/>
        </w:rPr>
        <w:t xml:space="preserve">5320    Group XX Function: Postural support of body. </w:t>
      </w:r>
    </w:p>
    <w:p w:rsidR="00013EB8" w:rsidRDefault="00013EB8">
      <w:pPr>
        <w:pStyle w:val="NormalWeb"/>
        <w:widowControl w:val="0"/>
        <w:spacing w:after="0"/>
        <w:rPr>
          <w:sz w:val="20"/>
        </w:rPr>
      </w:pPr>
      <w:r>
        <w:rPr>
          <w:sz w:val="20"/>
        </w:rPr>
        <w:t xml:space="preserve">5321    Group XXI Function: Respiration. </w:t>
      </w:r>
    </w:p>
    <w:p w:rsidR="00013EB8" w:rsidRDefault="00013EB8">
      <w:pPr>
        <w:pStyle w:val="NormalWeb"/>
        <w:widowControl w:val="0"/>
        <w:spacing w:after="0"/>
        <w:rPr>
          <w:sz w:val="20"/>
        </w:rPr>
      </w:pPr>
      <w:r>
        <w:rPr>
          <w:sz w:val="20"/>
        </w:rPr>
        <w:t xml:space="preserve">5322    Group XXII Function: Rotary and forward movements, head. </w:t>
      </w:r>
    </w:p>
    <w:p w:rsidR="00013EB8" w:rsidRDefault="00013EB8">
      <w:pPr>
        <w:pStyle w:val="NormalWeb"/>
        <w:widowControl w:val="0"/>
        <w:spacing w:after="0"/>
        <w:rPr>
          <w:sz w:val="20"/>
        </w:rPr>
      </w:pPr>
      <w:r>
        <w:rPr>
          <w:sz w:val="20"/>
        </w:rPr>
        <w:t xml:space="preserve">5323    Group XXIII Function: Movements of head. </w:t>
      </w:r>
    </w:p>
    <w:p w:rsidR="00013EB8" w:rsidRDefault="00013EB8">
      <w:pPr>
        <w:pStyle w:val="NormalWeb"/>
        <w:widowControl w:val="0"/>
        <w:spacing w:after="0"/>
        <w:rPr>
          <w:sz w:val="20"/>
        </w:rPr>
      </w:pPr>
      <w:r>
        <w:rPr>
          <w:sz w:val="20"/>
        </w:rPr>
        <w:t>    </w:t>
      </w:r>
      <w:r>
        <w:rPr>
          <w:b/>
          <w:bCs/>
          <w:sz w:val="20"/>
        </w:rPr>
        <w:t>Miscellaneous</w:t>
      </w:r>
      <w:r>
        <w:rPr>
          <w:sz w:val="20"/>
        </w:rPr>
        <w:t xml:space="preserve"> </w:t>
      </w:r>
    </w:p>
    <w:p w:rsidR="00013EB8" w:rsidRDefault="00013EB8">
      <w:pPr>
        <w:pStyle w:val="NormalWeb"/>
        <w:widowControl w:val="0"/>
        <w:spacing w:after="0"/>
        <w:rPr>
          <w:sz w:val="20"/>
        </w:rPr>
        <w:sectPr w:rsidR="00013EB8" w:rsidSect="004F5228">
          <w:footnotePr>
            <w:numRestart w:val="eachSect"/>
          </w:footnotePr>
          <w:type w:val="continuous"/>
          <w:pgSz w:w="12240" w:h="15840" w:code="1"/>
          <w:pgMar w:top="720" w:right="1260" w:bottom="720" w:left="720" w:header="720" w:footer="720" w:gutter="0"/>
          <w:cols w:space="720"/>
          <w:docGrid w:linePitch="360"/>
        </w:sectPr>
      </w:pPr>
    </w:p>
    <w:p w:rsidR="00013EB8" w:rsidRDefault="00013EB8">
      <w:pPr>
        <w:pStyle w:val="NormalWeb"/>
        <w:widowControl w:val="0"/>
        <w:spacing w:after="0"/>
        <w:rPr>
          <w:sz w:val="20"/>
        </w:rPr>
      </w:pPr>
      <w:r>
        <w:rPr>
          <w:sz w:val="20"/>
        </w:rPr>
        <w:t xml:space="preserve">5324    Diaphragm, rupture. </w:t>
      </w:r>
    </w:p>
    <w:p w:rsidR="00013EB8" w:rsidRDefault="00013EB8">
      <w:pPr>
        <w:pStyle w:val="NormalWeb"/>
        <w:widowControl w:val="0"/>
        <w:spacing w:after="0"/>
        <w:rPr>
          <w:sz w:val="20"/>
        </w:rPr>
      </w:pPr>
      <w:r>
        <w:rPr>
          <w:sz w:val="20"/>
        </w:rPr>
        <w:t xml:space="preserve">5325    Muscle injury, facial muscles. </w:t>
      </w:r>
    </w:p>
    <w:p w:rsidR="00013EB8" w:rsidRDefault="00013EB8">
      <w:pPr>
        <w:pStyle w:val="NormalWeb"/>
        <w:widowControl w:val="0"/>
        <w:spacing w:after="0"/>
        <w:rPr>
          <w:sz w:val="20"/>
        </w:rPr>
      </w:pPr>
      <w:r>
        <w:rPr>
          <w:sz w:val="20"/>
        </w:rPr>
        <w:t xml:space="preserve">5326    Muscle hernia. </w:t>
      </w:r>
    </w:p>
    <w:p w:rsidR="00013EB8" w:rsidRDefault="00013EB8">
      <w:pPr>
        <w:pStyle w:val="NormalWeb"/>
        <w:widowControl w:val="0"/>
        <w:spacing w:after="0"/>
        <w:rPr>
          <w:sz w:val="20"/>
        </w:rPr>
      </w:pPr>
      <w:r>
        <w:rPr>
          <w:sz w:val="20"/>
        </w:rPr>
        <w:t xml:space="preserve">5327    Muscle, neoplasm of, malignant. </w:t>
      </w:r>
    </w:p>
    <w:p w:rsidR="00013EB8" w:rsidRDefault="00013EB8">
      <w:pPr>
        <w:pStyle w:val="NormalWeb"/>
        <w:widowControl w:val="0"/>
        <w:spacing w:after="0"/>
        <w:rPr>
          <w:sz w:val="20"/>
        </w:rPr>
      </w:pPr>
      <w:r>
        <w:rPr>
          <w:sz w:val="20"/>
        </w:rPr>
        <w:t xml:space="preserve">5328    Muscle, neoplasm of, benign. </w:t>
      </w:r>
    </w:p>
    <w:p w:rsidR="00013EB8" w:rsidRDefault="00013EB8">
      <w:pPr>
        <w:pStyle w:val="Footer"/>
        <w:widowControl w:val="0"/>
        <w:numPr>
          <w:ilvl w:val="12"/>
          <w:numId w:val="0"/>
        </w:numPr>
        <w:tabs>
          <w:tab w:val="clear" w:pos="4320"/>
          <w:tab w:val="clear" w:pos="8640"/>
        </w:tabs>
      </w:pPr>
      <w:r>
        <w:t>5329    Sarcoma, soft</w:t>
      </w:r>
      <w:r w:rsidR="00976AD2">
        <w:t>-</w:t>
      </w:r>
      <w:r>
        <w:t>tissue.</w:t>
      </w:r>
    </w:p>
    <w:p w:rsidR="00013EB8" w:rsidRDefault="00013EB8">
      <w:pPr>
        <w:pStyle w:val="Footer"/>
        <w:widowControl w:val="0"/>
        <w:numPr>
          <w:ilvl w:val="12"/>
          <w:numId w:val="0"/>
        </w:numPr>
        <w:tabs>
          <w:tab w:val="clear" w:pos="4320"/>
          <w:tab w:val="clear" w:pos="8640"/>
        </w:tabs>
      </w:pPr>
    </w:p>
    <w:p w:rsidR="00013EB8" w:rsidRDefault="00013EB8">
      <w:pPr>
        <w:pStyle w:val="Footer"/>
        <w:widowControl w:val="0"/>
        <w:numPr>
          <w:ilvl w:val="12"/>
          <w:numId w:val="0"/>
        </w:numPr>
        <w:tabs>
          <w:tab w:val="clear" w:pos="4320"/>
          <w:tab w:val="clear" w:pos="8640"/>
        </w:tabs>
        <w:ind w:left="720" w:hanging="720"/>
        <w:rPr>
          <w:color w:val="FF0000"/>
        </w:rPr>
      </w:pPr>
      <w:r>
        <w:rPr>
          <w:color w:val="FF0000"/>
        </w:rPr>
        <w:t xml:space="preserve">5327 </w:t>
      </w:r>
      <w:r>
        <w:rPr>
          <w:color w:val="FF0000"/>
        </w:rPr>
        <w:tab/>
        <w:t>Muscle, neoplas</w:t>
      </w:r>
      <w:r w:rsidR="008A3132">
        <w:rPr>
          <w:color w:val="FF0000"/>
        </w:rPr>
        <w:t>m of, malignant (excluding soft-</w:t>
      </w:r>
      <w:r>
        <w:rPr>
          <w:color w:val="FF0000"/>
        </w:rPr>
        <w:t>tissue sarcoma)</w:t>
      </w:r>
    </w:p>
    <w:p w:rsidR="00013EB8" w:rsidRDefault="00013EB8">
      <w:pPr>
        <w:widowControl w:val="0"/>
        <w:numPr>
          <w:ilvl w:val="12"/>
          <w:numId w:val="0"/>
        </w:numPr>
        <w:tabs>
          <w:tab w:val="left" w:pos="720"/>
        </w:tabs>
        <w:ind w:left="720" w:hanging="720"/>
        <w:rPr>
          <w:i/>
          <w:color w:val="FF9900"/>
        </w:rPr>
      </w:pPr>
      <w:r>
        <w:rPr>
          <w:color w:val="FF0000"/>
        </w:rPr>
        <w:t>5329</w:t>
      </w:r>
      <w:r>
        <w:rPr>
          <w:color w:val="FF0000"/>
        </w:rPr>
        <w:tab/>
        <w:t>Sarcoma, soft-tissue (of muscle, fat, or fibrous connective tissue</w:t>
      </w:r>
      <w:r>
        <w:t>)</w:t>
      </w:r>
      <w:r>
        <w:rPr>
          <w:rStyle w:val="Strong"/>
        </w:rPr>
        <w:t xml:space="preserve"> </w:t>
      </w:r>
      <w:r>
        <w:rPr>
          <w:i/>
          <w:color w:val="FF9900"/>
        </w:rPr>
        <w:t xml:space="preserve">soft-tissue sarcoma (other than osteosarcoma, chondrosarcoma, Kaposi’s sarcoma, or mesothelioma) are Agent Orange presumptive under </w:t>
      </w:r>
      <w:r w:rsidRPr="007A4B37">
        <w:rPr>
          <w:b/>
        </w:rPr>
        <w:t>3.309</w:t>
      </w:r>
      <w:r>
        <w:rPr>
          <w:i/>
          <w:color w:val="FF9900"/>
        </w:rPr>
        <w:t>(e) (see reg for inclusions)</w:t>
      </w:r>
    </w:p>
    <w:p w:rsidR="00013EB8" w:rsidRDefault="00013EB8">
      <w:pPr>
        <w:widowControl w:val="0"/>
        <w:numPr>
          <w:ilvl w:val="12"/>
          <w:numId w:val="0"/>
        </w:numPr>
      </w:pPr>
    </w:p>
    <w:p w:rsidR="00013EB8" w:rsidRDefault="00013EB8">
      <w:pPr>
        <w:widowControl w:val="0"/>
        <w:numPr>
          <w:ilvl w:val="12"/>
          <w:numId w:val="0"/>
        </w:numPr>
        <w:rPr>
          <w:b/>
          <w:bCs/>
          <w:i/>
          <w:iCs/>
        </w:rPr>
      </w:pPr>
      <w:r>
        <w:rPr>
          <w:b/>
          <w:bCs/>
          <w:i/>
          <w:iCs/>
        </w:rPr>
        <w:t>From 8/31/10 Rating Team POD:</w:t>
      </w:r>
    </w:p>
    <w:p w:rsidR="00013EB8" w:rsidRDefault="00013EB8">
      <w:pPr>
        <w:pStyle w:val="NormalWeb"/>
        <w:widowControl w:val="0"/>
        <w:jc w:val="center"/>
        <w:rPr>
          <w:sz w:val="20"/>
        </w:rPr>
      </w:pPr>
      <w:r>
        <w:rPr>
          <w:b/>
          <w:bCs/>
          <w:sz w:val="20"/>
        </w:rPr>
        <w:t>Bone Infection in Muscle Group Injuries</w:t>
      </w:r>
    </w:p>
    <w:p w:rsidR="00013EB8" w:rsidRDefault="00013EB8">
      <w:pPr>
        <w:pStyle w:val="NormalWeb"/>
        <w:widowControl w:val="0"/>
        <w:rPr>
          <w:sz w:val="20"/>
        </w:rPr>
      </w:pPr>
      <w:r>
        <w:rPr>
          <w:sz w:val="20"/>
        </w:rPr>
        <w:t xml:space="preserve">When evaluating a muscle group injury, the presence of osteomyelitis warrants a separate evaluation, per BVA. Osteomyelitis is inflammation of the bone due to infection. Osteomyelitis is sometimes a complication of surgery or injury. Both the bone and the bone marrow may be infected. Symptoms include deep pain and muscle spasms in the area of inflammation, and fever. Treatment is by bed rest, antibiotics (usually injected locally), and sometimes surgery to remove dead bone tissue. The outlook is worse for those with chronic osteomyelitis, even with surgery, amputation may be necessary. </w:t>
      </w:r>
    </w:p>
    <w:p w:rsidR="00013EB8" w:rsidRDefault="00013EB8">
      <w:pPr>
        <w:widowControl w:val="0"/>
        <w:numPr>
          <w:ilvl w:val="12"/>
          <w:numId w:val="0"/>
        </w:numPr>
      </w:pPr>
      <w:r>
        <w:rPr>
          <w:b/>
          <w:bCs/>
        </w:rPr>
        <w:t>For VA purposes: §4.43 Osteomyelitis -</w:t>
      </w:r>
      <w:r>
        <w:t xml:space="preserve"> Chronic, or recurring, suppurative osteomyelitis, once clinically identified, including chronic inflammation of bone marrow, cortex, or periosteum, should be considered as a continuously disabling process, whether or not an actively discharging sinus or other obvious evidence of infection is manifest from time to time, and unless the focus is entirely removed by amputation will entitle to a permanent rating to be combined with other ratings for residual conditions, however, not exceeding amputation ratings at the site of election.</w:t>
      </w:r>
    </w:p>
    <w:p w:rsidR="00D275EA" w:rsidRDefault="00D275EA" w:rsidP="00D275EA">
      <w:pPr>
        <w:widowControl w:val="0"/>
        <w:ind w:left="-360"/>
        <w:rPr>
          <w:rFonts w:ascii="Courier New" w:hAnsi="Courier New" w:cs="Courier New"/>
          <w:sz w:val="22"/>
          <w:szCs w:val="16"/>
        </w:rPr>
      </w:pPr>
      <w:r>
        <w:rPr>
          <w:rFonts w:ascii="Courier New" w:hAnsi="Courier New" w:cs="Courier New"/>
          <w:sz w:val="22"/>
          <w:szCs w:val="16"/>
        </w:rPr>
        <w:t xml:space="preserve">               </w:t>
      </w:r>
    </w:p>
    <w:p w:rsidR="00013EB8" w:rsidRDefault="00013EB8" w:rsidP="00D275EA">
      <w:pPr>
        <w:widowControl w:val="0"/>
        <w:numPr>
          <w:ilvl w:val="12"/>
          <w:numId w:val="0"/>
        </w:numPr>
        <w:pBdr>
          <w:bottom w:val="single" w:sz="4" w:space="1" w:color="auto"/>
        </w:pBdr>
      </w:pPr>
    </w:p>
    <w:p w:rsidR="00D275EA" w:rsidRDefault="00D275EA" w:rsidP="00D275EA">
      <w:pPr>
        <w:widowControl w:val="0"/>
        <w:ind w:left="-360"/>
        <w:rPr>
          <w:rFonts w:ascii="Courier New" w:hAnsi="Courier New" w:cs="Courier New"/>
          <w:sz w:val="22"/>
          <w:szCs w:val="16"/>
        </w:rPr>
      </w:pPr>
      <w:r>
        <w:rPr>
          <w:rFonts w:ascii="Courier New" w:hAnsi="Courier New" w:cs="Courier New"/>
          <w:sz w:val="22"/>
          <w:szCs w:val="16"/>
        </w:rPr>
        <w:t xml:space="preserve">               </w:t>
      </w:r>
    </w:p>
    <w:p w:rsidR="00D275EA" w:rsidRDefault="00D275EA" w:rsidP="00D275EA">
      <w:pPr>
        <w:widowControl w:val="0"/>
        <w:ind w:left="-360"/>
        <w:rPr>
          <w:rFonts w:ascii="Courier New" w:hAnsi="Courier New" w:cs="Courier New"/>
          <w:sz w:val="22"/>
          <w:szCs w:val="16"/>
        </w:rPr>
      </w:pPr>
      <w:r>
        <w:br w:type="page"/>
      </w:r>
      <w:r>
        <w:rPr>
          <w:rFonts w:ascii="Courier New" w:hAnsi="Courier New" w:cs="Courier New"/>
          <w:sz w:val="22"/>
          <w:szCs w:val="16"/>
        </w:rPr>
        <w:t xml:space="preserve">               </w:t>
      </w:r>
    </w:p>
    <w:p w:rsidR="00013EB8" w:rsidRDefault="00013EB8">
      <w:pPr>
        <w:widowControl w:val="0"/>
        <w:numPr>
          <w:ilvl w:val="12"/>
          <w:numId w:val="0"/>
        </w:numPr>
        <w:pBdr>
          <w:top w:val="single" w:sz="6" w:space="1" w:color="auto"/>
        </w:pBdr>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F43BB6" w:rsidTr="00C334D1">
        <w:trPr>
          <w:trHeight w:val="265"/>
        </w:trPr>
        <w:tc>
          <w:tcPr>
            <w:tcW w:w="10875" w:type="dxa"/>
            <w:gridSpan w:val="2"/>
            <w:tcBorders>
              <w:top w:val="nil"/>
              <w:left w:val="nil"/>
              <w:bottom w:val="nil"/>
              <w:right w:val="nil"/>
            </w:tcBorders>
          </w:tcPr>
          <w:p w:rsidR="00F43BB6" w:rsidRDefault="00F43BB6" w:rsidP="00C334D1">
            <w:pPr>
              <w:widowControl w:val="0"/>
              <w:numPr>
                <w:ilvl w:val="12"/>
                <w:numId w:val="0"/>
              </w:numPr>
              <w:jc w:val="center"/>
              <w:rPr>
                <w:b/>
                <w:i/>
                <w:color w:val="FF0000"/>
              </w:rPr>
            </w:pPr>
            <w:bookmarkStart w:id="113" w:name="Part4Eye"/>
            <w:r>
              <w:rPr>
                <w:b/>
                <w:color w:val="FF0000"/>
              </w:rPr>
              <w:t xml:space="preserve">4.75 - 4.84a. </w:t>
            </w:r>
            <w:r>
              <w:rPr>
                <w:b/>
                <w:i/>
                <w:color w:val="FF0000"/>
              </w:rPr>
              <w:t>The Organs of Special Sense</w:t>
            </w:r>
          </w:p>
          <w:bookmarkEnd w:id="113"/>
          <w:p w:rsidR="005567F4" w:rsidRDefault="005567F4" w:rsidP="005567F4">
            <w:pPr>
              <w:widowControl w:val="0"/>
              <w:rPr>
                <w:b/>
                <w:bCs/>
              </w:rPr>
            </w:pPr>
            <w:r w:rsidRPr="000E2E8C">
              <w:rPr>
                <w:b/>
                <w:bCs/>
              </w:rPr>
              <w:t>III.iv.4.C</w:t>
            </w:r>
          </w:p>
          <w:p w:rsidR="005567F4" w:rsidRDefault="005567F4" w:rsidP="005567F4">
            <w:pPr>
              <w:widowControl w:val="0"/>
              <w:rPr>
                <w:b/>
                <w:bCs/>
              </w:rPr>
            </w:pPr>
          </w:p>
          <w:p w:rsidR="005567F4" w:rsidRPr="00C73614" w:rsidRDefault="005567F4" w:rsidP="005567F4">
            <w:pPr>
              <w:widowControl w:val="0"/>
              <w:rPr>
                <w:i/>
              </w:rPr>
            </w:pPr>
            <w:r w:rsidRPr="005567F4">
              <w:rPr>
                <w:i/>
                <w:color w:val="00B050"/>
              </w:rPr>
              <w:t xml:space="preserve">My Notes:  </w:t>
            </w:r>
            <w:r w:rsidRPr="00C73614">
              <w:rPr>
                <w:i/>
              </w:rPr>
              <w:t>If between, round up (so 20/60 is interpreted as 20/70, 20/80 is interpreted as 20/100)</w:t>
            </w:r>
          </w:p>
          <w:p w:rsidR="005567F4" w:rsidRDefault="005567F4" w:rsidP="005567F4">
            <w:pPr>
              <w:widowControl w:val="0"/>
              <w:rPr>
                <w:b/>
                <w:bCs/>
              </w:rPr>
            </w:pPr>
          </w:p>
          <w:p w:rsidR="005567F4" w:rsidRDefault="005567F4" w:rsidP="005567F4">
            <w:pPr>
              <w:widowControl w:val="0"/>
              <w:numPr>
                <w:ilvl w:val="12"/>
                <w:numId w:val="0"/>
              </w:numPr>
              <w:rPr>
                <w:b/>
                <w:color w:val="FF0000"/>
              </w:rPr>
            </w:pPr>
          </w:p>
        </w:tc>
      </w:tr>
      <w:tr w:rsidR="00F43BB6" w:rsidTr="00C334D1">
        <w:trPr>
          <w:trHeight w:val="282"/>
        </w:trPr>
        <w:tc>
          <w:tcPr>
            <w:tcW w:w="705" w:type="dxa"/>
            <w:tcBorders>
              <w:top w:val="nil"/>
              <w:left w:val="nil"/>
              <w:bottom w:val="nil"/>
              <w:right w:val="nil"/>
            </w:tcBorders>
          </w:tcPr>
          <w:p w:rsidR="00F43BB6" w:rsidRPr="00525152" w:rsidRDefault="00F43BB6" w:rsidP="00C334D1">
            <w:pPr>
              <w:widowControl w:val="0"/>
              <w:numPr>
                <w:ilvl w:val="12"/>
                <w:numId w:val="0"/>
              </w:numPr>
              <w:rPr>
                <w:b/>
              </w:rPr>
            </w:pPr>
            <w:r w:rsidRPr="00525152">
              <w:rPr>
                <w:b/>
              </w:rPr>
              <w:t>4.75</w:t>
            </w:r>
          </w:p>
        </w:tc>
        <w:tc>
          <w:tcPr>
            <w:tcW w:w="10170" w:type="dxa"/>
            <w:tcBorders>
              <w:top w:val="nil"/>
              <w:left w:val="nil"/>
              <w:bottom w:val="nil"/>
              <w:right w:val="nil"/>
            </w:tcBorders>
          </w:tcPr>
          <w:p w:rsidR="00F43BB6" w:rsidRPr="00525152" w:rsidRDefault="00F43BB6" w:rsidP="00C334D1">
            <w:pPr>
              <w:widowControl w:val="0"/>
              <w:numPr>
                <w:ilvl w:val="12"/>
                <w:numId w:val="0"/>
              </w:numPr>
            </w:pPr>
            <w:r w:rsidRPr="00525152">
              <w:rPr>
                <w:b/>
              </w:rPr>
              <w:t>General considerations for evaluating visual impairment</w:t>
            </w:r>
          </w:p>
          <w:p w:rsidR="00F43BB6" w:rsidRPr="005567F4" w:rsidRDefault="00F43BB6" w:rsidP="00F063AF">
            <w:pPr>
              <w:widowControl w:val="0"/>
              <w:numPr>
                <w:ilvl w:val="0"/>
                <w:numId w:val="80"/>
              </w:numPr>
              <w:tabs>
                <w:tab w:val="clear" w:pos="720"/>
                <w:tab w:val="num" w:pos="400"/>
              </w:tabs>
              <w:spacing w:after="120"/>
              <w:ind w:left="403" w:hanging="403"/>
              <w:rPr>
                <w:bCs/>
              </w:rPr>
            </w:pPr>
            <w:r w:rsidRPr="000E2E8C">
              <w:rPr>
                <w:rStyle w:val="Hyperlink"/>
                <w:b/>
                <w:color w:val="auto"/>
                <w:u w:val="none"/>
              </w:rPr>
              <w:t>3.383</w:t>
            </w:r>
            <w:r w:rsidRPr="000E2E8C">
              <w:rPr>
                <w:b/>
                <w:bCs/>
              </w:rPr>
              <w:t>(a)(3)-</w:t>
            </w:r>
            <w:r w:rsidRPr="000E2E8C">
              <w:rPr>
                <w:bCs/>
              </w:rPr>
              <w:t xml:space="preserve"> eff. 8/9/04, if SC 10% for HL in 1 ear, pay the other NSC ear as SC if meets provisions of 3.385</w:t>
            </w:r>
          </w:p>
        </w:tc>
      </w:tr>
      <w:tr w:rsidR="00F43BB6" w:rsidTr="00C334D1">
        <w:trPr>
          <w:trHeight w:val="265"/>
        </w:trPr>
        <w:tc>
          <w:tcPr>
            <w:tcW w:w="705" w:type="dxa"/>
            <w:tcBorders>
              <w:top w:val="nil"/>
              <w:left w:val="nil"/>
              <w:bottom w:val="nil"/>
              <w:right w:val="nil"/>
            </w:tcBorders>
          </w:tcPr>
          <w:p w:rsidR="00F43BB6" w:rsidRPr="00525152" w:rsidRDefault="00F43BB6" w:rsidP="00C334D1">
            <w:pPr>
              <w:widowControl w:val="0"/>
              <w:numPr>
                <w:ilvl w:val="12"/>
                <w:numId w:val="0"/>
              </w:numPr>
              <w:rPr>
                <w:b/>
              </w:rPr>
            </w:pPr>
            <w:r w:rsidRPr="00525152">
              <w:rPr>
                <w:b/>
              </w:rPr>
              <w:t>4.76</w:t>
            </w:r>
          </w:p>
        </w:tc>
        <w:tc>
          <w:tcPr>
            <w:tcW w:w="10170" w:type="dxa"/>
            <w:tcBorders>
              <w:top w:val="nil"/>
              <w:left w:val="nil"/>
              <w:bottom w:val="nil"/>
              <w:right w:val="nil"/>
            </w:tcBorders>
          </w:tcPr>
          <w:p w:rsidR="00F43BB6" w:rsidRPr="00525152" w:rsidRDefault="00F43BB6" w:rsidP="00C334D1">
            <w:pPr>
              <w:widowControl w:val="0"/>
              <w:numPr>
                <w:ilvl w:val="12"/>
                <w:numId w:val="0"/>
              </w:numPr>
            </w:pPr>
            <w:r w:rsidRPr="00525152">
              <w:rPr>
                <w:b/>
              </w:rPr>
              <w:t>Visual acuity</w:t>
            </w:r>
          </w:p>
        </w:tc>
      </w:tr>
      <w:tr w:rsidR="00F43BB6" w:rsidTr="00C334D1">
        <w:trPr>
          <w:trHeight w:val="282"/>
        </w:trPr>
        <w:tc>
          <w:tcPr>
            <w:tcW w:w="705" w:type="dxa"/>
            <w:tcBorders>
              <w:top w:val="nil"/>
              <w:left w:val="nil"/>
              <w:bottom w:val="nil"/>
              <w:right w:val="nil"/>
            </w:tcBorders>
          </w:tcPr>
          <w:p w:rsidR="00F43BB6" w:rsidRPr="00525152" w:rsidRDefault="00F43BB6" w:rsidP="00C334D1">
            <w:pPr>
              <w:widowControl w:val="0"/>
              <w:numPr>
                <w:ilvl w:val="12"/>
                <w:numId w:val="0"/>
              </w:numPr>
              <w:rPr>
                <w:b/>
              </w:rPr>
            </w:pPr>
            <w:r w:rsidRPr="00525152">
              <w:rPr>
                <w:b/>
              </w:rPr>
              <w:t>4.76a</w:t>
            </w:r>
          </w:p>
        </w:tc>
        <w:tc>
          <w:tcPr>
            <w:tcW w:w="10170" w:type="dxa"/>
            <w:tcBorders>
              <w:top w:val="nil"/>
              <w:left w:val="nil"/>
              <w:bottom w:val="nil"/>
              <w:right w:val="nil"/>
            </w:tcBorders>
          </w:tcPr>
          <w:p w:rsidR="00F43BB6" w:rsidRPr="00525152" w:rsidRDefault="00F43BB6" w:rsidP="00C334D1">
            <w:pPr>
              <w:pStyle w:val="Heading1"/>
              <w:keepNext w:val="0"/>
              <w:widowControl w:val="0"/>
              <w:numPr>
                <w:ilvl w:val="12"/>
                <w:numId w:val="0"/>
              </w:numPr>
              <w:rPr>
                <w:b/>
                <w:bCs/>
                <w:i w:val="0"/>
                <w:iCs w:val="0"/>
                <w:sz w:val="20"/>
              </w:rPr>
            </w:pPr>
            <w:r w:rsidRPr="00525152">
              <w:rPr>
                <w:b/>
                <w:bCs/>
                <w:i w:val="0"/>
                <w:iCs w:val="0"/>
                <w:sz w:val="20"/>
              </w:rPr>
              <w:t xml:space="preserve">Computation of average concentric contraction of visual fields </w:t>
            </w:r>
            <w:r w:rsidRPr="00525152">
              <w:rPr>
                <w:sz w:val="20"/>
              </w:rPr>
              <w:t>– tells you how to compute</w:t>
            </w:r>
          </w:p>
        </w:tc>
      </w:tr>
      <w:tr w:rsidR="00F43BB6" w:rsidTr="00C334D1">
        <w:trPr>
          <w:trHeight w:val="282"/>
        </w:trPr>
        <w:tc>
          <w:tcPr>
            <w:tcW w:w="705" w:type="dxa"/>
            <w:tcBorders>
              <w:top w:val="nil"/>
              <w:left w:val="nil"/>
              <w:bottom w:val="nil"/>
              <w:right w:val="nil"/>
            </w:tcBorders>
          </w:tcPr>
          <w:p w:rsidR="00F43BB6" w:rsidRPr="00525152" w:rsidRDefault="00F43BB6" w:rsidP="00C334D1">
            <w:pPr>
              <w:widowControl w:val="0"/>
              <w:numPr>
                <w:ilvl w:val="12"/>
                <w:numId w:val="0"/>
              </w:numPr>
              <w:rPr>
                <w:b/>
              </w:rPr>
            </w:pPr>
            <w:r w:rsidRPr="00525152">
              <w:rPr>
                <w:b/>
              </w:rPr>
              <w:t>4.77</w:t>
            </w:r>
          </w:p>
        </w:tc>
        <w:tc>
          <w:tcPr>
            <w:tcW w:w="10170" w:type="dxa"/>
            <w:tcBorders>
              <w:top w:val="nil"/>
              <w:left w:val="nil"/>
              <w:bottom w:val="nil"/>
              <w:right w:val="nil"/>
            </w:tcBorders>
          </w:tcPr>
          <w:p w:rsidR="00F43BB6" w:rsidRPr="000E2E8C" w:rsidRDefault="00F43BB6" w:rsidP="000E2E8C">
            <w:pPr>
              <w:widowControl w:val="0"/>
              <w:numPr>
                <w:ilvl w:val="12"/>
                <w:numId w:val="0"/>
              </w:numPr>
              <w:rPr>
                <w:b/>
              </w:rPr>
            </w:pPr>
            <w:r w:rsidRPr="000E2E8C">
              <w:rPr>
                <w:b/>
              </w:rPr>
              <w:t xml:space="preserve">Visual fields – </w:t>
            </w:r>
            <w:r w:rsidR="000E2E8C" w:rsidRPr="000E2E8C">
              <w:rPr>
                <w:b/>
              </w:rPr>
              <w:t>III.iv.4.C.1.</w:t>
            </w:r>
            <w:r w:rsidR="000E2E8C">
              <w:rPr>
                <w:b/>
              </w:rPr>
              <w:t>e</w:t>
            </w:r>
            <w:r w:rsidRPr="000E2E8C">
              <w:t xml:space="preserve"> says</w:t>
            </w:r>
            <w:r w:rsidRPr="000E2E8C">
              <w:rPr>
                <w:b/>
              </w:rPr>
              <w:t xml:space="preserve"> </w:t>
            </w:r>
            <w:r w:rsidRPr="000E2E8C">
              <w:t>determine visual acuity &amp; visual field loss, then combine</w:t>
            </w:r>
          </w:p>
        </w:tc>
      </w:tr>
      <w:tr w:rsidR="00F43BB6" w:rsidTr="00C334D1">
        <w:trPr>
          <w:trHeight w:val="265"/>
        </w:trPr>
        <w:tc>
          <w:tcPr>
            <w:tcW w:w="705" w:type="dxa"/>
            <w:tcBorders>
              <w:top w:val="nil"/>
              <w:left w:val="nil"/>
              <w:bottom w:val="nil"/>
              <w:right w:val="nil"/>
            </w:tcBorders>
          </w:tcPr>
          <w:p w:rsidR="00F43BB6" w:rsidRPr="00525152" w:rsidRDefault="00F43BB6" w:rsidP="00C334D1">
            <w:pPr>
              <w:widowControl w:val="0"/>
              <w:numPr>
                <w:ilvl w:val="12"/>
                <w:numId w:val="0"/>
              </w:numPr>
              <w:rPr>
                <w:b/>
              </w:rPr>
            </w:pPr>
            <w:r w:rsidRPr="00525152">
              <w:rPr>
                <w:b/>
              </w:rPr>
              <w:t>4.78</w:t>
            </w:r>
          </w:p>
        </w:tc>
        <w:tc>
          <w:tcPr>
            <w:tcW w:w="10170" w:type="dxa"/>
            <w:tcBorders>
              <w:top w:val="nil"/>
              <w:left w:val="nil"/>
              <w:bottom w:val="nil"/>
              <w:right w:val="nil"/>
            </w:tcBorders>
          </w:tcPr>
          <w:p w:rsidR="00F43BB6" w:rsidRPr="000E2E8C" w:rsidRDefault="00F43BB6" w:rsidP="00C334D1">
            <w:pPr>
              <w:widowControl w:val="0"/>
              <w:numPr>
                <w:ilvl w:val="12"/>
                <w:numId w:val="0"/>
              </w:numPr>
              <w:rPr>
                <w:b/>
              </w:rPr>
            </w:pPr>
            <w:r w:rsidRPr="000E2E8C">
              <w:rPr>
                <w:b/>
              </w:rPr>
              <w:t>Muscle function</w:t>
            </w:r>
            <w:r w:rsidRPr="000E2E8C">
              <w:rPr>
                <w:b/>
                <w:bCs/>
                <w:i/>
                <w:iCs/>
              </w:rPr>
              <w:t xml:space="preserve"> </w:t>
            </w:r>
            <w:r w:rsidRPr="000E2E8C">
              <w:t xml:space="preserve">– </w:t>
            </w:r>
            <w:r w:rsidRPr="000E2E8C">
              <w:rPr>
                <w:i/>
              </w:rPr>
              <w:t>tells you how to evaluate diplopia</w:t>
            </w:r>
            <w:r w:rsidRPr="000E2E8C">
              <w:t xml:space="preserve">, </w:t>
            </w:r>
            <w:r w:rsidR="000E2E8C" w:rsidRPr="000E2E8C">
              <w:rPr>
                <w:b/>
              </w:rPr>
              <w:t>III.iv.4.C.1.c</w:t>
            </w:r>
            <w:r w:rsidR="000E2E8C" w:rsidRPr="000E2E8C">
              <w:t xml:space="preserve">, </w:t>
            </w:r>
            <w:r w:rsidR="000E2E8C" w:rsidRPr="000E2E8C">
              <w:rPr>
                <w:b/>
              </w:rPr>
              <w:t>III.iv.4.C.1.d</w:t>
            </w:r>
          </w:p>
          <w:p w:rsidR="00F43BB6" w:rsidRPr="000E2E8C" w:rsidRDefault="00F43BB6" w:rsidP="00C334D1">
            <w:pPr>
              <w:pBdr>
                <w:top w:val="double" w:sz="4" w:space="1" w:color="auto"/>
                <w:left w:val="double" w:sz="4" w:space="4" w:color="auto"/>
                <w:bottom w:val="double" w:sz="4" w:space="1" w:color="auto"/>
                <w:right w:val="double" w:sz="4" w:space="4" w:color="auto"/>
              </w:pBdr>
              <w:shd w:val="clear" w:color="auto" w:fill="FFC000"/>
              <w:tabs>
                <w:tab w:val="left" w:pos="360"/>
              </w:tabs>
              <w:spacing w:before="120" w:after="120"/>
              <w:ind w:left="144" w:right="331"/>
            </w:pPr>
            <w:r w:rsidRPr="000E2E8C">
              <w:rPr>
                <w:b/>
              </w:rPr>
              <w:t xml:space="preserve">Diplopia job aid </w:t>
            </w:r>
            <w:r w:rsidRPr="000E2E8C">
              <w:t xml:space="preserve">is saved at </w:t>
            </w:r>
            <w:r w:rsidRPr="000E2E8C">
              <w:rPr>
                <w:b/>
                <w:bCs/>
                <w:i/>
                <w:iCs/>
              </w:rPr>
              <w:t>H:\VSC\Rating Reference</w:t>
            </w:r>
          </w:p>
        </w:tc>
      </w:tr>
      <w:tr w:rsidR="00F43BB6" w:rsidTr="00C334D1">
        <w:trPr>
          <w:trHeight w:val="282"/>
        </w:trPr>
        <w:tc>
          <w:tcPr>
            <w:tcW w:w="705" w:type="dxa"/>
            <w:tcBorders>
              <w:top w:val="nil"/>
              <w:left w:val="nil"/>
              <w:bottom w:val="nil"/>
              <w:right w:val="nil"/>
            </w:tcBorders>
          </w:tcPr>
          <w:p w:rsidR="00F43BB6" w:rsidRDefault="00F43BB6" w:rsidP="00C334D1">
            <w:pPr>
              <w:widowControl w:val="0"/>
              <w:numPr>
                <w:ilvl w:val="12"/>
                <w:numId w:val="0"/>
              </w:numPr>
              <w:rPr>
                <w:b/>
              </w:rPr>
            </w:pPr>
          </w:p>
        </w:tc>
        <w:tc>
          <w:tcPr>
            <w:tcW w:w="10170" w:type="dxa"/>
            <w:tcBorders>
              <w:top w:val="nil"/>
              <w:left w:val="nil"/>
              <w:bottom w:val="nil"/>
              <w:right w:val="nil"/>
            </w:tcBorders>
          </w:tcPr>
          <w:p w:rsidR="00F43BB6" w:rsidRDefault="00F43BB6" w:rsidP="00C334D1">
            <w:pPr>
              <w:widowControl w:val="0"/>
              <w:numPr>
                <w:ilvl w:val="12"/>
                <w:numId w:val="0"/>
              </w:numPr>
            </w:pPr>
          </w:p>
          <w:p w:rsidR="00F43BB6" w:rsidRDefault="00F43BB6" w:rsidP="00C334D1">
            <w:pPr>
              <w:widowControl w:val="0"/>
              <w:numPr>
                <w:ilvl w:val="12"/>
                <w:numId w:val="0"/>
              </w:numPr>
            </w:pPr>
          </w:p>
        </w:tc>
      </w:tr>
    </w:tbl>
    <w:p w:rsidR="00F43BB6" w:rsidRDefault="00F43BB6" w:rsidP="00F43BB6">
      <w:pPr>
        <w:widowControl w:val="0"/>
        <w:rPr>
          <w:sz w:val="18"/>
        </w:rPr>
      </w:pPr>
      <w:r>
        <w:rPr>
          <w:color w:val="0000FF"/>
          <w:sz w:val="18"/>
          <w:u w:val="single"/>
        </w:rPr>
        <w:t>Removed 12/10/08</w:t>
      </w:r>
      <w:r>
        <w:rPr>
          <w:sz w:val="18"/>
        </w:rPr>
        <w:t>:</w:t>
      </w: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F43BB6" w:rsidTr="00C334D1">
        <w:trPr>
          <w:trHeight w:val="265"/>
        </w:trPr>
        <w:tc>
          <w:tcPr>
            <w:tcW w:w="705" w:type="dxa"/>
            <w:tcBorders>
              <w:top w:val="nil"/>
              <w:left w:val="nil"/>
              <w:bottom w:val="nil"/>
              <w:right w:val="nil"/>
            </w:tcBorders>
          </w:tcPr>
          <w:p w:rsidR="00F43BB6" w:rsidRPr="00BB322E" w:rsidRDefault="00F43BB6" w:rsidP="00C334D1">
            <w:pPr>
              <w:widowControl w:val="0"/>
              <w:numPr>
                <w:ilvl w:val="12"/>
                <w:numId w:val="0"/>
              </w:numPr>
              <w:rPr>
                <w:b/>
                <w:sz w:val="18"/>
                <w:highlight w:val="lightGray"/>
              </w:rPr>
            </w:pPr>
            <w:r w:rsidRPr="00BB322E">
              <w:rPr>
                <w:b/>
                <w:sz w:val="18"/>
                <w:highlight w:val="lightGray"/>
              </w:rPr>
              <w:t>4.80</w:t>
            </w:r>
          </w:p>
        </w:tc>
        <w:tc>
          <w:tcPr>
            <w:tcW w:w="10170" w:type="dxa"/>
            <w:tcBorders>
              <w:top w:val="nil"/>
              <w:left w:val="nil"/>
              <w:bottom w:val="nil"/>
              <w:right w:val="nil"/>
            </w:tcBorders>
          </w:tcPr>
          <w:p w:rsidR="00F43BB6" w:rsidRPr="00BB322E" w:rsidRDefault="00F43BB6" w:rsidP="00C334D1">
            <w:pPr>
              <w:widowControl w:val="0"/>
              <w:numPr>
                <w:ilvl w:val="12"/>
                <w:numId w:val="0"/>
              </w:numPr>
              <w:rPr>
                <w:sz w:val="18"/>
                <w:highlight w:val="lightGray"/>
              </w:rPr>
            </w:pPr>
            <w:r w:rsidRPr="00BB322E">
              <w:rPr>
                <w:b/>
                <w:sz w:val="18"/>
                <w:highlight w:val="lightGray"/>
              </w:rPr>
              <w:t>Rating of one eye</w:t>
            </w:r>
            <w:r w:rsidRPr="00BB322E">
              <w:rPr>
                <w:sz w:val="18"/>
                <w:highlight w:val="lightGray"/>
              </w:rPr>
              <w:t xml:space="preserve"> – cannot combine to more than total loss of vision unless there is enucleation (removal) or serious cosmetic defect</w:t>
            </w:r>
          </w:p>
        </w:tc>
      </w:tr>
      <w:tr w:rsidR="00F43BB6" w:rsidTr="00C334D1">
        <w:trPr>
          <w:trHeight w:val="265"/>
        </w:trPr>
        <w:tc>
          <w:tcPr>
            <w:tcW w:w="705" w:type="dxa"/>
            <w:tcBorders>
              <w:top w:val="nil"/>
              <w:left w:val="nil"/>
              <w:bottom w:val="nil"/>
              <w:right w:val="nil"/>
            </w:tcBorders>
          </w:tcPr>
          <w:p w:rsidR="00F43BB6" w:rsidRPr="00BB322E" w:rsidRDefault="00F43BB6" w:rsidP="00C334D1">
            <w:pPr>
              <w:widowControl w:val="0"/>
              <w:numPr>
                <w:ilvl w:val="12"/>
                <w:numId w:val="0"/>
              </w:numPr>
              <w:rPr>
                <w:b/>
                <w:sz w:val="18"/>
                <w:highlight w:val="lightGray"/>
              </w:rPr>
            </w:pPr>
            <w:r w:rsidRPr="00BB322E">
              <w:rPr>
                <w:b/>
                <w:sz w:val="18"/>
                <w:highlight w:val="lightGray"/>
              </w:rPr>
              <w:t>4.83</w:t>
            </w:r>
          </w:p>
        </w:tc>
        <w:tc>
          <w:tcPr>
            <w:tcW w:w="10170" w:type="dxa"/>
            <w:tcBorders>
              <w:top w:val="nil"/>
              <w:left w:val="nil"/>
              <w:bottom w:val="nil"/>
              <w:right w:val="nil"/>
            </w:tcBorders>
          </w:tcPr>
          <w:p w:rsidR="00F43BB6" w:rsidRPr="00BB322E" w:rsidRDefault="00F43BB6" w:rsidP="00C334D1">
            <w:pPr>
              <w:widowControl w:val="0"/>
              <w:numPr>
                <w:ilvl w:val="12"/>
                <w:numId w:val="0"/>
              </w:numPr>
              <w:rPr>
                <w:sz w:val="18"/>
                <w:highlight w:val="lightGray"/>
              </w:rPr>
            </w:pPr>
            <w:r w:rsidRPr="00BB322E">
              <w:rPr>
                <w:b/>
                <w:sz w:val="18"/>
                <w:highlight w:val="lightGray"/>
              </w:rPr>
              <w:t>Ratings at scheduled steps and distances</w:t>
            </w:r>
            <w:r w:rsidRPr="00BB322E">
              <w:rPr>
                <w:sz w:val="18"/>
                <w:highlight w:val="lightGray"/>
              </w:rPr>
              <w:t xml:space="preserve"> – use step where can read</w:t>
            </w:r>
          </w:p>
        </w:tc>
      </w:tr>
      <w:tr w:rsidR="00F43BB6" w:rsidTr="00C334D1">
        <w:trPr>
          <w:trHeight w:val="282"/>
        </w:trPr>
        <w:tc>
          <w:tcPr>
            <w:tcW w:w="705" w:type="dxa"/>
            <w:tcBorders>
              <w:top w:val="nil"/>
              <w:left w:val="nil"/>
              <w:bottom w:val="nil"/>
              <w:right w:val="nil"/>
            </w:tcBorders>
          </w:tcPr>
          <w:p w:rsidR="00F43BB6" w:rsidRPr="00BB322E" w:rsidRDefault="00F43BB6" w:rsidP="00C334D1">
            <w:pPr>
              <w:widowControl w:val="0"/>
              <w:numPr>
                <w:ilvl w:val="12"/>
                <w:numId w:val="0"/>
              </w:numPr>
              <w:rPr>
                <w:b/>
                <w:sz w:val="18"/>
                <w:highlight w:val="lightGray"/>
              </w:rPr>
            </w:pPr>
            <w:r w:rsidRPr="00BB322E">
              <w:rPr>
                <w:b/>
                <w:sz w:val="18"/>
                <w:highlight w:val="lightGray"/>
              </w:rPr>
              <w:t>4.83a</w:t>
            </w:r>
          </w:p>
        </w:tc>
        <w:tc>
          <w:tcPr>
            <w:tcW w:w="10170" w:type="dxa"/>
            <w:tcBorders>
              <w:top w:val="nil"/>
              <w:left w:val="nil"/>
              <w:bottom w:val="nil"/>
              <w:right w:val="nil"/>
            </w:tcBorders>
          </w:tcPr>
          <w:p w:rsidR="00F43BB6" w:rsidRPr="00BB322E" w:rsidRDefault="00F43BB6" w:rsidP="00C334D1">
            <w:pPr>
              <w:widowControl w:val="0"/>
              <w:numPr>
                <w:ilvl w:val="12"/>
                <w:numId w:val="0"/>
              </w:numPr>
              <w:rPr>
                <w:sz w:val="18"/>
                <w:highlight w:val="lightGray"/>
              </w:rPr>
            </w:pPr>
            <w:r w:rsidRPr="00BB322E">
              <w:rPr>
                <w:b/>
                <w:sz w:val="18"/>
                <w:highlight w:val="lightGray"/>
              </w:rPr>
              <w:t>Impairment of central visual acuity</w:t>
            </w:r>
            <w:r w:rsidRPr="00BB322E">
              <w:rPr>
                <w:sz w:val="18"/>
                <w:highlight w:val="lightGray"/>
              </w:rPr>
              <w:t xml:space="preserve"> </w:t>
            </w:r>
            <w:r w:rsidRPr="00BB322E">
              <w:rPr>
                <w:i/>
                <w:sz w:val="18"/>
                <w:highlight w:val="lightGray"/>
              </w:rPr>
              <w:t>– tells you how to compute</w:t>
            </w:r>
          </w:p>
        </w:tc>
      </w:tr>
      <w:tr w:rsidR="00F43BB6" w:rsidTr="00C334D1">
        <w:trPr>
          <w:trHeight w:val="265"/>
        </w:trPr>
        <w:tc>
          <w:tcPr>
            <w:tcW w:w="705" w:type="dxa"/>
            <w:tcBorders>
              <w:top w:val="nil"/>
              <w:left w:val="nil"/>
              <w:bottom w:val="nil"/>
              <w:right w:val="nil"/>
            </w:tcBorders>
          </w:tcPr>
          <w:p w:rsidR="00F43BB6" w:rsidRPr="00BB322E" w:rsidRDefault="00F43BB6" w:rsidP="00C334D1">
            <w:pPr>
              <w:widowControl w:val="0"/>
              <w:numPr>
                <w:ilvl w:val="12"/>
                <w:numId w:val="0"/>
              </w:numPr>
              <w:rPr>
                <w:b/>
                <w:sz w:val="18"/>
                <w:highlight w:val="lightGray"/>
              </w:rPr>
            </w:pPr>
            <w:r w:rsidRPr="00BB322E">
              <w:rPr>
                <w:b/>
                <w:sz w:val="18"/>
                <w:highlight w:val="lightGray"/>
              </w:rPr>
              <w:t>4.84</w:t>
            </w:r>
          </w:p>
        </w:tc>
        <w:tc>
          <w:tcPr>
            <w:tcW w:w="10170" w:type="dxa"/>
            <w:tcBorders>
              <w:top w:val="nil"/>
              <w:left w:val="nil"/>
              <w:bottom w:val="nil"/>
              <w:right w:val="nil"/>
            </w:tcBorders>
          </w:tcPr>
          <w:p w:rsidR="00F43BB6" w:rsidRPr="00BB322E" w:rsidRDefault="00F43BB6" w:rsidP="00C334D1">
            <w:pPr>
              <w:widowControl w:val="0"/>
              <w:numPr>
                <w:ilvl w:val="12"/>
                <w:numId w:val="0"/>
              </w:numPr>
              <w:rPr>
                <w:sz w:val="18"/>
                <w:highlight w:val="lightGray"/>
              </w:rPr>
            </w:pPr>
            <w:r w:rsidRPr="00BB322E">
              <w:rPr>
                <w:b/>
                <w:sz w:val="18"/>
                <w:highlight w:val="lightGray"/>
              </w:rPr>
              <w:t>Differences between distant and near visual acuity</w:t>
            </w:r>
            <w:r w:rsidRPr="00BB322E">
              <w:rPr>
                <w:sz w:val="18"/>
                <w:highlight w:val="lightGray"/>
              </w:rPr>
              <w:t xml:space="preserve"> – refer to Director of C&amp;P Service if substantial difference</w:t>
            </w:r>
          </w:p>
        </w:tc>
      </w:tr>
    </w:tbl>
    <w:p w:rsidR="00F43BB6" w:rsidRDefault="00F43BB6" w:rsidP="00F43BB6">
      <w:pPr>
        <w:widowControl w:val="0"/>
        <w:numPr>
          <w:ilvl w:val="12"/>
          <w:numId w:val="0"/>
        </w:numPr>
        <w:tabs>
          <w:tab w:val="left" w:pos="660"/>
          <w:tab w:val="left" w:pos="9416"/>
        </w:tabs>
        <w:rPr>
          <w:b/>
          <w:i/>
          <w:color w:val="008000"/>
          <w:u w:val="single"/>
        </w:rPr>
      </w:pPr>
    </w:p>
    <w:p w:rsidR="00F43BB6" w:rsidRDefault="00F43BB6" w:rsidP="00F43BB6">
      <w:pPr>
        <w:widowControl w:val="0"/>
        <w:numPr>
          <w:ilvl w:val="12"/>
          <w:numId w:val="0"/>
        </w:numPr>
        <w:tabs>
          <w:tab w:val="left" w:pos="660"/>
          <w:tab w:val="left" w:pos="9416"/>
        </w:tabs>
        <w:rPr>
          <w:bCs/>
        </w:rPr>
      </w:pPr>
      <w:r w:rsidRPr="007A4B37">
        <w:rPr>
          <w:b/>
          <w:u w:val="single"/>
        </w:rPr>
        <w:t>4.79</w:t>
      </w:r>
      <w:r>
        <w:rPr>
          <w:b/>
          <w:u w:val="single"/>
        </w:rPr>
        <w:tab/>
        <w:t>Schedule of Ratings—Eye</w:t>
      </w:r>
    </w:p>
    <w:p w:rsidR="00F43BB6" w:rsidRDefault="00F43BB6" w:rsidP="00F43BB6">
      <w:pPr>
        <w:widowControl w:val="0"/>
        <w:numPr>
          <w:ilvl w:val="12"/>
          <w:numId w:val="0"/>
        </w:numPr>
        <w:tabs>
          <w:tab w:val="left" w:pos="660"/>
          <w:tab w:val="left" w:pos="9416"/>
        </w:tabs>
        <w:rPr>
          <w:b/>
          <w:u w:val="single"/>
        </w:rPr>
      </w:pPr>
    </w:p>
    <w:p w:rsidR="00BF49CF" w:rsidRPr="00D25A41" w:rsidRDefault="00F43BB6" w:rsidP="00BB322E">
      <w:pPr>
        <w:widowControl w:val="0"/>
        <w:numPr>
          <w:ilvl w:val="12"/>
          <w:numId w:val="0"/>
        </w:numPr>
        <w:pBdr>
          <w:top w:val="single" w:sz="4" w:space="1" w:color="auto"/>
          <w:left w:val="single" w:sz="4" w:space="0" w:color="auto"/>
          <w:bottom w:val="single" w:sz="4" w:space="1" w:color="auto"/>
          <w:right w:val="single" w:sz="4" w:space="1" w:color="auto"/>
        </w:pBdr>
        <w:rPr>
          <w:i/>
          <w:iCs/>
          <w:color w:val="000000"/>
        </w:rPr>
      </w:pPr>
      <w:r w:rsidRPr="00D25A41">
        <w:rPr>
          <w:i/>
        </w:rPr>
        <w:t xml:space="preserve">changed 12/10/08 to </w:t>
      </w:r>
      <w:r w:rsidRPr="00D25A41">
        <w:rPr>
          <w:bCs/>
          <w:i/>
        </w:rPr>
        <w:t>4.79</w:t>
      </w:r>
      <w:r w:rsidR="00D25A41">
        <w:rPr>
          <w:i/>
        </w:rPr>
        <w:t xml:space="preserve">; </w:t>
      </w:r>
      <w:r w:rsidRPr="00D25A41">
        <w:rPr>
          <w:bCs/>
          <w:i/>
          <w:iCs/>
          <w:color w:val="000000"/>
        </w:rPr>
        <w:t>Revised:</w:t>
      </w:r>
      <w:r w:rsidRPr="00D25A41">
        <w:rPr>
          <w:i/>
          <w:iCs/>
          <w:color w:val="000000"/>
        </w:rPr>
        <w:t xml:space="preserve">  6000, 6001, 6002, 6006, 6007, 6008, 6009, 6010, 6012, 6013, 6014, 6015, 6017, 6018, 6019, 6022, 6025, 6026, 6027, 6029, 6030, 6032, 6034, 6035, 6062, 6063, 6064, 6065, 60</w:t>
      </w:r>
      <w:r w:rsidR="00D25A41">
        <w:rPr>
          <w:i/>
          <w:iCs/>
          <w:color w:val="000000"/>
        </w:rPr>
        <w:t xml:space="preserve">66, 6080, 6081, 6090, and 6091; </w:t>
      </w:r>
      <w:r w:rsidRPr="00D25A41">
        <w:rPr>
          <w:bCs/>
          <w:i/>
          <w:iCs/>
          <w:color w:val="000000"/>
        </w:rPr>
        <w:t>Removed:</w:t>
      </w:r>
      <w:r w:rsidRPr="00D25A41">
        <w:rPr>
          <w:i/>
          <w:iCs/>
          <w:color w:val="000000"/>
        </w:rPr>
        <w:t xml:space="preserve">  6003, 6004, 6005, 6028, 6031, 6033, 6067, 6068, 6069, 6070, 6071, 6072, 6073, 6074, 6075, 607</w:t>
      </w:r>
      <w:r w:rsidR="00D25A41">
        <w:rPr>
          <w:i/>
          <w:iCs/>
          <w:color w:val="000000"/>
        </w:rPr>
        <w:t xml:space="preserve">6, 6077, 6078, 6079, and 6092; </w:t>
      </w:r>
      <w:r w:rsidRPr="00D25A41">
        <w:rPr>
          <w:bCs/>
          <w:i/>
          <w:iCs/>
          <w:color w:val="000000"/>
        </w:rPr>
        <w:t>Added:</w:t>
      </w:r>
      <w:r w:rsidRPr="00D25A41">
        <w:rPr>
          <w:i/>
          <w:iCs/>
          <w:color w:val="000000"/>
        </w:rPr>
        <w:t xml:space="preserve">  6036 and 6037.  </w:t>
      </w:r>
    </w:p>
    <w:p w:rsidR="000674FA" w:rsidRDefault="00D86867" w:rsidP="00BB322E">
      <w:pPr>
        <w:widowControl w:val="0"/>
        <w:pBdr>
          <w:top w:val="single" w:sz="4" w:space="1" w:color="auto"/>
          <w:left w:val="single" w:sz="4" w:space="0" w:color="auto"/>
          <w:bottom w:val="single" w:sz="4" w:space="1" w:color="auto"/>
          <w:right w:val="single" w:sz="4" w:space="1" w:color="auto"/>
        </w:pBdr>
        <w:rPr>
          <w:i/>
        </w:rPr>
      </w:pPr>
      <w:r w:rsidRPr="00CF50AA">
        <w:rPr>
          <w:i/>
        </w:rPr>
        <w:t>changed 5/13/18 (</w:t>
      </w:r>
      <w:r w:rsidR="000B2D3A" w:rsidRPr="000B2D3A">
        <w:rPr>
          <w:i/>
        </w:rPr>
        <w:t>https://www.gpo.gov/fdsys/pkg/FR-2018-04-10/pdf/2018-06928.pdf</w:t>
      </w:r>
      <w:r w:rsidR="000B2D3A">
        <w:rPr>
          <w:i/>
        </w:rPr>
        <w:t xml:space="preserve">, </w:t>
      </w:r>
      <w:r w:rsidR="00500598" w:rsidRPr="00CF50AA">
        <w:rPr>
          <w:i/>
        </w:rPr>
        <w:t>changes 4.77 to include Goldmann, Humphrey or Octopus</w:t>
      </w:r>
      <w:r w:rsidR="00DF2412">
        <w:rPr>
          <w:i/>
        </w:rPr>
        <w:t xml:space="preserve">, but don’t need chart, just </w:t>
      </w:r>
      <w:r w:rsidR="000B2D3A">
        <w:rPr>
          <w:i/>
        </w:rPr>
        <w:t xml:space="preserve">numerical </w:t>
      </w:r>
      <w:r w:rsidR="00DF2412">
        <w:rPr>
          <w:i/>
        </w:rPr>
        <w:t>values</w:t>
      </w:r>
      <w:r w:rsidR="00500598" w:rsidRPr="00CF50AA">
        <w:rPr>
          <w:i/>
        </w:rPr>
        <w:t xml:space="preserve">; changes 4.78 to include Goldmann or Tangent; moves General Rating Formula to top; </w:t>
      </w:r>
      <w:r w:rsidR="00BF49CF" w:rsidRPr="00CF50AA">
        <w:rPr>
          <w:i/>
        </w:rPr>
        <w:t>changes incapacitating episodes to use the number of clinic visits required to treat active eye disease;</w:t>
      </w:r>
      <w:r w:rsidR="00500598" w:rsidRPr="00CF50AA">
        <w:rPr>
          <w:i/>
        </w:rPr>
        <w:t xml:space="preserve"> slight changes to names for 6000, 6006, 6009, 6014</w:t>
      </w:r>
      <w:r w:rsidR="00D25A41">
        <w:rPr>
          <w:i/>
        </w:rPr>
        <w:t>&amp;</w:t>
      </w:r>
      <w:r w:rsidR="00500598" w:rsidRPr="00CF50AA">
        <w:rPr>
          <w:i/>
        </w:rPr>
        <w:t xml:space="preserve"> 6015</w:t>
      </w:r>
      <w:r w:rsidR="00D25A41">
        <w:rPr>
          <w:i/>
        </w:rPr>
        <w:t>(now include eye, orbit &amp; adnexa)</w:t>
      </w:r>
      <w:r w:rsidR="00500598" w:rsidRPr="00CF50AA">
        <w:rPr>
          <w:i/>
        </w:rPr>
        <w:t xml:space="preserve">; changes to </w:t>
      </w:r>
      <w:r w:rsidR="00D25A41">
        <w:rPr>
          <w:i/>
        </w:rPr>
        <w:t>eval criteria</w:t>
      </w:r>
      <w:r w:rsidR="00500598" w:rsidRPr="00CF50AA">
        <w:rPr>
          <w:i/>
        </w:rPr>
        <w:t xml:space="preserve"> </w:t>
      </w:r>
      <w:r w:rsidR="00D25A41">
        <w:rPr>
          <w:i/>
        </w:rPr>
        <w:t>for</w:t>
      </w:r>
      <w:r w:rsidR="00500598" w:rsidRPr="00CF50AA">
        <w:rPr>
          <w:i/>
        </w:rPr>
        <w:t xml:space="preserve"> 6011, 6012, 6013, 6017, 6018, </w:t>
      </w:r>
      <w:r w:rsidR="0031650D">
        <w:rPr>
          <w:i/>
        </w:rPr>
        <w:t xml:space="preserve">6026, </w:t>
      </w:r>
      <w:r w:rsidR="00500598" w:rsidRPr="00CF50AA">
        <w:rPr>
          <w:i/>
        </w:rPr>
        <w:t>6027</w:t>
      </w:r>
      <w:r w:rsidR="00CF50AA" w:rsidRPr="00CF50AA">
        <w:rPr>
          <w:i/>
        </w:rPr>
        <w:t>, 6034, 6035, 6036, 6091; adds 6040</w:t>
      </w:r>
      <w:r w:rsidR="000B2D3A">
        <w:rPr>
          <w:i/>
        </w:rPr>
        <w:t>-diabetic retinopathy</w:t>
      </w:r>
      <w:r w:rsidR="00CF50AA" w:rsidRPr="00CF50AA">
        <w:rPr>
          <w:i/>
        </w:rPr>
        <w:t>, 6042</w:t>
      </w:r>
      <w:r w:rsidR="000B2D3A">
        <w:rPr>
          <w:i/>
        </w:rPr>
        <w:t>-retinal dystrophy</w:t>
      </w:r>
      <w:r w:rsidR="00CF50AA" w:rsidRPr="00CF50AA">
        <w:rPr>
          <w:i/>
        </w:rPr>
        <w:t>, 6046</w:t>
      </w:r>
      <w:r w:rsidR="000B2D3A">
        <w:rPr>
          <w:i/>
        </w:rPr>
        <w:t>-post-chiasmal disorders</w:t>
      </w:r>
      <w:r w:rsidR="00BF49CF" w:rsidRPr="00CF50AA">
        <w:rPr>
          <w:i/>
        </w:rPr>
        <w:t>)</w:t>
      </w:r>
      <w:r w:rsidRPr="00BF49CF">
        <w:rPr>
          <w:i/>
        </w:rPr>
        <w:t xml:space="preserve"> </w:t>
      </w:r>
      <w:r w:rsidR="000674FA">
        <w:rPr>
          <w:i/>
        </w:rPr>
        <w:t xml:space="preserve">– </w:t>
      </w:r>
      <w:r w:rsidR="000674FA">
        <w:t xml:space="preserve">NOT LIBERALIZING, </w:t>
      </w:r>
      <w:r w:rsidR="000674FA" w:rsidRPr="000674FA">
        <w:rPr>
          <w:i/>
          <w:color w:val="00B050"/>
        </w:rPr>
        <w:t xml:space="preserve">My Notes:  </w:t>
      </w:r>
      <w:r w:rsidR="000674FA" w:rsidRPr="000674FA">
        <w:rPr>
          <w:i/>
        </w:rPr>
        <w:t>3.114 does not apply</w:t>
      </w:r>
      <w:r w:rsidR="000674FA">
        <w:rPr>
          <w:i/>
        </w:rPr>
        <w:t xml:space="preserve">, so </w:t>
      </w:r>
      <w:r w:rsidR="000674FA" w:rsidRPr="000674FA">
        <w:rPr>
          <w:i/>
        </w:rPr>
        <w:t>can’t grant increase based on new criteria prior to 5/13/18 (if filed before 5/13/18 or within a year of 5/13/18</w:t>
      </w:r>
      <w:r w:rsidR="002628B3">
        <w:rPr>
          <w:i/>
        </w:rPr>
        <w:t>)</w:t>
      </w:r>
      <w:r w:rsidR="000674FA" w:rsidRPr="000674FA">
        <w:rPr>
          <w:i/>
        </w:rPr>
        <w:t xml:space="preserve">, AND </w:t>
      </w:r>
      <w:r w:rsidR="000674FA">
        <w:rPr>
          <w:i/>
        </w:rPr>
        <w:t xml:space="preserve">can’t go one year prior to DOC </w:t>
      </w:r>
      <w:r w:rsidR="002628B3">
        <w:rPr>
          <w:i/>
        </w:rPr>
        <w:t>(</w:t>
      </w:r>
      <w:r w:rsidR="000674FA" w:rsidRPr="000674FA">
        <w:rPr>
          <w:i/>
        </w:rPr>
        <w:t>if file</w:t>
      </w:r>
      <w:r w:rsidR="000674FA">
        <w:rPr>
          <w:i/>
        </w:rPr>
        <w:t>d</w:t>
      </w:r>
      <w:r w:rsidR="000674FA" w:rsidRPr="000674FA">
        <w:rPr>
          <w:i/>
        </w:rPr>
        <w:t xml:space="preserve"> more than a year after 5/13/18, but had evidence of increase on 5/13/18</w:t>
      </w:r>
      <w:r w:rsidR="000674FA">
        <w:rPr>
          <w:i/>
        </w:rPr>
        <w:t>, still have to use DOC</w:t>
      </w:r>
      <w:r w:rsidR="002628B3">
        <w:rPr>
          <w:i/>
        </w:rPr>
        <w:t>)</w:t>
      </w:r>
      <w:r w:rsidR="000674FA">
        <w:rPr>
          <w:i/>
        </w:rPr>
        <w:t>. However, can use medical evidence of increase to take back to 5/13/18, if filed w/i 1 year &amp; medical evidence shows increase warranted on 5/13/18.</w:t>
      </w:r>
    </w:p>
    <w:p w:rsidR="00F43BB6" w:rsidRDefault="00F43BB6" w:rsidP="00BB322E">
      <w:pPr>
        <w:widowControl w:val="0"/>
        <w:numPr>
          <w:ilvl w:val="12"/>
          <w:numId w:val="0"/>
        </w:numPr>
        <w:pBdr>
          <w:top w:val="single" w:sz="4" w:space="1" w:color="auto"/>
          <w:left w:val="single" w:sz="4" w:space="0" w:color="auto"/>
          <w:bottom w:val="single" w:sz="4" w:space="1" w:color="auto"/>
          <w:right w:val="single" w:sz="4" w:space="1" w:color="auto"/>
        </w:pBdr>
        <w:rPr>
          <w:i/>
          <w:iCs/>
          <w:sz w:val="16"/>
        </w:rPr>
      </w:pPr>
      <w:r>
        <w:rPr>
          <w:i/>
          <w:iCs/>
          <w:sz w:val="16"/>
        </w:rPr>
        <w:t>see “</w:t>
      </w:r>
      <w:r w:rsidRPr="00EA0611">
        <w:rPr>
          <w:i/>
          <w:iCs/>
          <w:sz w:val="16"/>
        </w:rPr>
        <w:t>Historic Part 4 Sections</w:t>
      </w:r>
      <w:r>
        <w:rPr>
          <w:i/>
          <w:iCs/>
          <w:sz w:val="16"/>
        </w:rPr>
        <w:t>” in Rating References Archive</w:t>
      </w:r>
    </w:p>
    <w:p w:rsidR="00F43BB6" w:rsidRPr="00EC3C06" w:rsidRDefault="00F43BB6" w:rsidP="00BB322E">
      <w:pPr>
        <w:widowControl w:val="0"/>
        <w:numPr>
          <w:ilvl w:val="12"/>
          <w:numId w:val="0"/>
        </w:numPr>
        <w:pBdr>
          <w:top w:val="single" w:sz="4" w:space="1" w:color="auto"/>
          <w:left w:val="single" w:sz="4" w:space="0" w:color="auto"/>
          <w:bottom w:val="single" w:sz="4" w:space="1" w:color="auto"/>
          <w:right w:val="single" w:sz="4" w:space="1" w:color="auto"/>
        </w:pBdr>
        <w:rPr>
          <w:i/>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4.118</w:t>
      </w:r>
      <w:r w:rsidR="00D11C3E">
        <w:rPr>
          <w:bCs/>
          <w:i/>
          <w:iCs/>
          <w:sz w:val="18"/>
        </w:rPr>
        <w:t>; or in CPKM</w:t>
      </w:r>
    </w:p>
    <w:p w:rsidR="00F43BB6" w:rsidRDefault="00F43BB6" w:rsidP="00F43BB6">
      <w:pPr>
        <w:widowControl w:val="0"/>
        <w:numPr>
          <w:ilvl w:val="12"/>
          <w:numId w:val="0"/>
        </w:numPr>
        <w:rPr>
          <w:color w:val="FF0000"/>
        </w:rPr>
      </w:pPr>
    </w:p>
    <w:p w:rsidR="00F43BB6" w:rsidRDefault="00F43BB6" w:rsidP="00F063AF">
      <w:pPr>
        <w:pStyle w:val="Heading2"/>
        <w:keepNext w:val="0"/>
        <w:widowControl w:val="0"/>
        <w:numPr>
          <w:ilvl w:val="0"/>
          <w:numId w:val="80"/>
        </w:numPr>
        <w:tabs>
          <w:tab w:val="clear" w:pos="0"/>
          <w:tab w:val="clear" w:pos="144"/>
          <w:tab w:val="clear" w:pos="720"/>
        </w:tabs>
        <w:spacing w:after="120"/>
        <w:ind w:left="360"/>
        <w:rPr>
          <w:sz w:val="20"/>
        </w:rPr>
      </w:pPr>
      <w:r w:rsidRPr="000E2E8C">
        <w:rPr>
          <w:sz w:val="20"/>
        </w:rPr>
        <w:t>III.iv.4.</w:t>
      </w:r>
      <w:r w:rsidR="000E2E8C" w:rsidRPr="000E2E8C">
        <w:rPr>
          <w:sz w:val="20"/>
        </w:rPr>
        <w:t>C.1.b</w:t>
      </w:r>
      <w:r w:rsidRPr="000E2E8C">
        <w:rPr>
          <w:b w:val="0"/>
          <w:sz w:val="20"/>
        </w:rPr>
        <w:t xml:space="preserve"> – Goldmann Bowl &amp; other options, also see </w:t>
      </w:r>
      <w:r w:rsidRPr="000E2E8C">
        <w:rPr>
          <w:sz w:val="20"/>
        </w:rPr>
        <w:t>III.iv.3.D.4.b</w:t>
      </w:r>
    </w:p>
    <w:p w:rsidR="005A2BEB" w:rsidRPr="005A2BEB" w:rsidRDefault="005A2BEB" w:rsidP="00F063AF">
      <w:pPr>
        <w:pStyle w:val="ListParagraph"/>
        <w:numPr>
          <w:ilvl w:val="0"/>
          <w:numId w:val="80"/>
        </w:numPr>
        <w:tabs>
          <w:tab w:val="clear" w:pos="720"/>
          <w:tab w:val="num" w:pos="360"/>
        </w:tabs>
        <w:spacing w:after="120" w:line="240" w:lineRule="auto"/>
        <w:ind w:left="360"/>
        <w:rPr>
          <w:rFonts w:ascii="Arial" w:hAnsi="Arial"/>
          <w:sz w:val="20"/>
          <w:szCs w:val="20"/>
        </w:rPr>
      </w:pPr>
      <w:r w:rsidRPr="005A2BEB">
        <w:rPr>
          <w:rFonts w:ascii="Arial" w:hAnsi="Arial"/>
          <w:b/>
          <w:sz w:val="20"/>
          <w:szCs w:val="20"/>
        </w:rPr>
        <w:t>II</w:t>
      </w:r>
      <w:r w:rsidRPr="005A2BEB">
        <w:rPr>
          <w:rFonts w:ascii="Arial" w:hAnsi="Arial"/>
          <w:sz w:val="20"/>
          <w:szCs w:val="20"/>
        </w:rPr>
        <w:t>I.</w:t>
      </w:r>
      <w:r w:rsidRPr="005A2BEB">
        <w:rPr>
          <w:rFonts w:ascii="Arial" w:hAnsi="Arial"/>
          <w:b/>
          <w:sz w:val="20"/>
          <w:szCs w:val="20"/>
        </w:rPr>
        <w:t>iv.4.C.1.c</w:t>
      </w:r>
      <w:r w:rsidRPr="005A2BEB">
        <w:rPr>
          <w:rFonts w:ascii="Arial" w:hAnsi="Arial"/>
          <w:sz w:val="20"/>
          <w:szCs w:val="20"/>
        </w:rPr>
        <w:t xml:space="preserve"> – Tangent screen for diplopia</w:t>
      </w:r>
    </w:p>
    <w:p w:rsidR="00F43BB6" w:rsidRPr="00382B68" w:rsidRDefault="00F43BB6" w:rsidP="00F063AF">
      <w:pPr>
        <w:pStyle w:val="ListParagraph"/>
        <w:numPr>
          <w:ilvl w:val="0"/>
          <w:numId w:val="80"/>
        </w:numPr>
        <w:tabs>
          <w:tab w:val="clear" w:pos="720"/>
          <w:tab w:val="num" w:pos="360"/>
        </w:tabs>
        <w:spacing w:after="120" w:line="240" w:lineRule="auto"/>
        <w:ind w:left="360"/>
        <w:rPr>
          <w:rFonts w:ascii="Arial" w:hAnsi="Arial"/>
          <w:sz w:val="20"/>
          <w:szCs w:val="20"/>
        </w:rPr>
      </w:pPr>
      <w:r w:rsidRPr="005A2BEB">
        <w:rPr>
          <w:rFonts w:ascii="Arial" w:hAnsi="Arial"/>
          <w:b/>
          <w:sz w:val="20"/>
          <w:szCs w:val="20"/>
        </w:rPr>
        <w:t>III.iv.4.</w:t>
      </w:r>
      <w:r w:rsidR="005A2BEB" w:rsidRPr="005A2BEB">
        <w:rPr>
          <w:rFonts w:ascii="Arial" w:hAnsi="Arial"/>
          <w:b/>
          <w:sz w:val="20"/>
          <w:szCs w:val="20"/>
        </w:rPr>
        <w:t>C.2.3</w:t>
      </w:r>
      <w:r w:rsidRPr="005A2BEB">
        <w:rPr>
          <w:rFonts w:ascii="Arial" w:hAnsi="Arial"/>
          <w:sz w:val="20"/>
          <w:szCs w:val="20"/>
        </w:rPr>
        <w:t xml:space="preserve"> - long-established policy permits establishment of service connection for such unusual developments as</w:t>
      </w:r>
      <w:r w:rsidRPr="009B22E7">
        <w:rPr>
          <w:rFonts w:ascii="Arial" w:hAnsi="Arial"/>
          <w:sz w:val="20"/>
          <w:szCs w:val="20"/>
        </w:rPr>
        <w:t xml:space="preserve"> choroidal degeneration, retinal hemorrhage or detachment, or rapid increase of myopia producing uncorrectable impairment of vision. Consider refractive error service-connected (SC) </w:t>
      </w:r>
      <w:r w:rsidRPr="009B22E7">
        <w:rPr>
          <w:rFonts w:ascii="Arial" w:hAnsi="Arial"/>
          <w:i/>
          <w:iCs/>
          <w:sz w:val="20"/>
          <w:szCs w:val="20"/>
        </w:rPr>
        <w:t>only</w:t>
      </w:r>
      <w:r w:rsidRPr="009B22E7">
        <w:rPr>
          <w:rFonts w:ascii="Arial" w:hAnsi="Arial"/>
          <w:sz w:val="20"/>
          <w:szCs w:val="20"/>
        </w:rPr>
        <w:t xml:space="preserve"> under these unusual circumstances and when combined with uncorrectable residual visual impairment.</w:t>
      </w:r>
      <w:r>
        <w:rPr>
          <w:rFonts w:ascii="Arial" w:hAnsi="Arial"/>
          <w:sz w:val="20"/>
          <w:szCs w:val="20"/>
        </w:rPr>
        <w:t xml:space="preserve"> </w:t>
      </w:r>
      <w:r w:rsidRPr="009B22E7">
        <w:rPr>
          <w:rFonts w:ascii="Arial" w:hAnsi="Arial"/>
          <w:sz w:val="20"/>
          <w:szCs w:val="20"/>
        </w:rPr>
        <w:t> </w:t>
      </w:r>
      <w:r w:rsidRPr="009B22E7">
        <w:rPr>
          <w:rFonts w:ascii="Arial" w:hAnsi="Arial"/>
          <w:b/>
          <w:bCs/>
          <w:i/>
          <w:iCs/>
          <w:color w:val="000000"/>
          <w:sz w:val="20"/>
          <w:szCs w:val="20"/>
        </w:rPr>
        <w:t>Note</w:t>
      </w:r>
      <w:r w:rsidRPr="009B22E7">
        <w:rPr>
          <w:rFonts w:ascii="Arial" w:hAnsi="Arial"/>
          <w:color w:val="000000"/>
          <w:sz w:val="20"/>
          <w:szCs w:val="20"/>
        </w:rPr>
        <w:t>:  Irregular astigmatism may be due to corneal inflammation due to injury or operation.</w:t>
      </w:r>
    </w:p>
    <w:p w:rsidR="00F43BB6" w:rsidRPr="009E5469" w:rsidRDefault="00F43BB6" w:rsidP="00F063AF">
      <w:pPr>
        <w:widowControl w:val="0"/>
        <w:numPr>
          <w:ilvl w:val="0"/>
          <w:numId w:val="80"/>
        </w:numPr>
        <w:tabs>
          <w:tab w:val="clear" w:pos="720"/>
          <w:tab w:val="num" w:pos="400"/>
        </w:tabs>
        <w:spacing w:after="120"/>
        <w:ind w:left="403" w:hanging="403"/>
      </w:pPr>
      <w:r w:rsidRPr="009E5469">
        <w:rPr>
          <w:b/>
          <w:i/>
          <w:iCs/>
        </w:rPr>
        <w:t>June 2016 Eye Refresher Training</w:t>
      </w:r>
      <w:r>
        <w:rPr>
          <w:b/>
          <w:i/>
          <w:iCs/>
        </w:rPr>
        <w:t xml:space="preserve"> </w:t>
      </w:r>
      <w:r>
        <w:rPr>
          <w:i/>
          <w:iCs/>
        </w:rPr>
        <w:t>(Tom Hendrickson)</w:t>
      </w:r>
      <w:r w:rsidRPr="009E5469">
        <w:rPr>
          <w:b/>
          <w:i/>
          <w:iCs/>
        </w:rPr>
        <w:t xml:space="preserve"> –</w:t>
      </w:r>
    </w:p>
    <w:p w:rsidR="00F43BB6" w:rsidRDefault="00F43BB6" w:rsidP="00F43BB6">
      <w:pPr>
        <w:widowControl w:val="0"/>
        <w:tabs>
          <w:tab w:val="left" w:pos="360"/>
        </w:tabs>
        <w:spacing w:after="120"/>
        <w:ind w:left="360"/>
      </w:pPr>
      <w:r w:rsidRPr="009E5469">
        <w:t>30% is maximum for 1 eye unless anatomical (which is 40%</w:t>
      </w:r>
      <w:r>
        <w:t>, 50% if can’t wear prosthesis</w:t>
      </w:r>
      <w:r w:rsidRPr="009E5469">
        <w:t>)</w:t>
      </w:r>
      <w:r>
        <w:t>, NSC eye is 20/40</w:t>
      </w:r>
    </w:p>
    <w:p w:rsidR="00F43BB6" w:rsidRDefault="00F43BB6" w:rsidP="00F43BB6">
      <w:pPr>
        <w:widowControl w:val="0"/>
        <w:spacing w:after="120"/>
        <w:ind w:left="360"/>
      </w:pPr>
      <w:r w:rsidRPr="009E5469">
        <w:rPr>
          <w:rStyle w:val="Hyperlink"/>
          <w:b/>
          <w:color w:val="auto"/>
          <w:u w:val="none"/>
        </w:rPr>
        <w:t>3.383</w:t>
      </w:r>
      <w:r>
        <w:rPr>
          <w:b/>
          <w:bCs/>
        </w:rPr>
        <w:t>(a)(1)</w:t>
      </w:r>
      <w:r>
        <w:rPr>
          <w:sz w:val="24"/>
          <w:szCs w:val="24"/>
        </w:rPr>
        <w:t xml:space="preserve"> </w:t>
      </w:r>
      <w:r>
        <w:t>– paired organ, 20/200B or less (one eye) or visual field 20 degrees or less, then treat both as SC (other eye cannot be WMC)</w:t>
      </w:r>
    </w:p>
    <w:p w:rsidR="00F43BB6" w:rsidRPr="00C94664" w:rsidRDefault="00F43BB6" w:rsidP="00F43BB6">
      <w:pPr>
        <w:widowControl w:val="0"/>
        <w:spacing w:after="120"/>
        <w:ind w:left="360"/>
      </w:pPr>
      <w:r w:rsidRPr="00C94664">
        <w:rPr>
          <w:rStyle w:val="Hyperlink"/>
          <w:color w:val="auto"/>
          <w:u w:val="none"/>
        </w:rPr>
        <w:t xml:space="preserve">Make sure </w:t>
      </w:r>
      <w:r>
        <w:rPr>
          <w:rStyle w:val="Hyperlink"/>
          <w:color w:val="auto"/>
          <w:u w:val="none"/>
        </w:rPr>
        <w:t>near &amp; distant are not 2 lines apart/separate</w:t>
      </w:r>
    </w:p>
    <w:p w:rsidR="00F43BB6" w:rsidRDefault="00F43BB6" w:rsidP="00F43BB6">
      <w:pPr>
        <w:widowControl w:val="0"/>
        <w:spacing w:after="120"/>
        <w:ind w:left="360"/>
        <w:rPr>
          <w:rStyle w:val="Hyperlink"/>
          <w:color w:val="auto"/>
          <w:u w:val="none"/>
        </w:rPr>
      </w:pPr>
      <w:r w:rsidRPr="009E5469">
        <w:rPr>
          <w:rStyle w:val="Hyperlink"/>
          <w:color w:val="auto"/>
          <w:u w:val="none"/>
        </w:rPr>
        <w:t>Check with RQRS if get diplopia</w:t>
      </w:r>
      <w:r>
        <w:rPr>
          <w:rStyle w:val="Hyperlink"/>
          <w:color w:val="auto"/>
          <w:u w:val="none"/>
        </w:rPr>
        <w:t xml:space="preserve"> (6090)</w:t>
      </w:r>
      <w:r w:rsidRPr="009E5469">
        <w:rPr>
          <w:rStyle w:val="Hyperlink"/>
          <w:color w:val="auto"/>
          <w:u w:val="none"/>
        </w:rPr>
        <w:t xml:space="preserve"> case, as can be confusing</w:t>
      </w:r>
      <w:r>
        <w:rPr>
          <w:rStyle w:val="Hyperlink"/>
          <w:color w:val="auto"/>
          <w:u w:val="none"/>
        </w:rPr>
        <w:t xml:space="preserve"> (unless occasional or correctable with spectacles)</w:t>
      </w:r>
    </w:p>
    <w:p w:rsidR="00F43BB6" w:rsidRDefault="00F43BB6" w:rsidP="00F063AF">
      <w:pPr>
        <w:pStyle w:val="ListParagraph"/>
        <w:widowControl w:val="0"/>
        <w:numPr>
          <w:ilvl w:val="0"/>
          <w:numId w:val="284"/>
        </w:numPr>
        <w:spacing w:after="120"/>
        <w:rPr>
          <w:rStyle w:val="Hyperlink"/>
          <w:rFonts w:ascii="Arial" w:hAnsi="Arial"/>
          <w:color w:val="auto"/>
          <w:sz w:val="20"/>
          <w:u w:val="none"/>
        </w:rPr>
      </w:pPr>
      <w:r w:rsidRPr="009E5469">
        <w:rPr>
          <w:rStyle w:val="Hyperlink"/>
          <w:rFonts w:ascii="Arial" w:hAnsi="Arial"/>
          <w:color w:val="auto"/>
          <w:sz w:val="20"/>
          <w:u w:val="none"/>
        </w:rPr>
        <w:t>Apply to one eye only</w:t>
      </w:r>
    </w:p>
    <w:p w:rsidR="00F43BB6" w:rsidRDefault="00F43BB6" w:rsidP="00F063AF">
      <w:pPr>
        <w:pStyle w:val="ListParagraph"/>
        <w:widowControl w:val="0"/>
        <w:numPr>
          <w:ilvl w:val="0"/>
          <w:numId w:val="284"/>
        </w:numPr>
        <w:spacing w:after="120"/>
        <w:rPr>
          <w:rStyle w:val="Hyperlink"/>
          <w:rFonts w:ascii="Arial" w:hAnsi="Arial"/>
          <w:color w:val="auto"/>
          <w:sz w:val="20"/>
          <w:u w:val="none"/>
        </w:rPr>
      </w:pPr>
      <w:r>
        <w:rPr>
          <w:rStyle w:val="Hyperlink"/>
          <w:rFonts w:ascii="Arial" w:hAnsi="Arial"/>
          <w:color w:val="auto"/>
          <w:sz w:val="20"/>
          <w:u w:val="none"/>
        </w:rPr>
        <w:t>See Diploia job aid</w:t>
      </w:r>
    </w:p>
    <w:p w:rsidR="00F43BB6" w:rsidRPr="0073074E" w:rsidRDefault="00F43BB6" w:rsidP="00F063AF">
      <w:pPr>
        <w:pStyle w:val="ListParagraph"/>
        <w:widowControl w:val="0"/>
        <w:numPr>
          <w:ilvl w:val="0"/>
          <w:numId w:val="284"/>
        </w:numPr>
        <w:spacing w:after="120"/>
        <w:rPr>
          <w:rFonts w:ascii="Arial" w:hAnsi="Arial"/>
          <w:sz w:val="20"/>
        </w:rPr>
      </w:pPr>
      <w:r>
        <w:rPr>
          <w:rStyle w:val="Hyperlink"/>
          <w:rFonts w:ascii="Arial" w:hAnsi="Arial"/>
          <w:color w:val="auto"/>
          <w:sz w:val="20"/>
          <w:u w:val="none"/>
        </w:rPr>
        <w:t>If 2 separate quadrants in same eye, bump (down/worse) VA under 6090 to next poorer level (max 5/200)</w:t>
      </w:r>
    </w:p>
    <w:p w:rsidR="00E32E82" w:rsidRPr="00E32E82" w:rsidRDefault="000B2D3A" w:rsidP="00F063AF">
      <w:pPr>
        <w:pStyle w:val="ListParagraph"/>
        <w:numPr>
          <w:ilvl w:val="0"/>
          <w:numId w:val="430"/>
        </w:numPr>
        <w:spacing w:after="120" w:line="240" w:lineRule="auto"/>
        <w:ind w:left="360"/>
        <w:rPr>
          <w:rFonts w:ascii="Arial" w:hAnsi="Arial"/>
          <w:sz w:val="20"/>
          <w:szCs w:val="20"/>
        </w:rPr>
      </w:pPr>
      <w:r w:rsidRPr="000B2D3A">
        <w:rPr>
          <w:rFonts w:ascii="Arial" w:hAnsi="Arial"/>
          <w:b/>
          <w:bCs/>
          <w:sz w:val="20"/>
          <w:szCs w:val="20"/>
        </w:rPr>
        <w:t>From:</w:t>
      </w:r>
      <w:r w:rsidRPr="000B2D3A">
        <w:rPr>
          <w:rFonts w:ascii="Arial" w:hAnsi="Arial"/>
          <w:sz w:val="20"/>
          <w:szCs w:val="20"/>
        </w:rPr>
        <w:t xml:space="preserve"> VAVBASDC/RO/VSC </w:t>
      </w:r>
      <w:r w:rsidRPr="000B2D3A">
        <w:rPr>
          <w:rFonts w:ascii="Arial" w:hAnsi="Arial"/>
          <w:sz w:val="20"/>
          <w:szCs w:val="20"/>
        </w:rPr>
        <w:br/>
      </w:r>
      <w:r w:rsidRPr="000B2D3A">
        <w:rPr>
          <w:rFonts w:ascii="Arial" w:hAnsi="Arial"/>
          <w:b/>
          <w:bCs/>
          <w:sz w:val="20"/>
          <w:szCs w:val="20"/>
        </w:rPr>
        <w:t>Sent:</w:t>
      </w:r>
      <w:r w:rsidRPr="000B2D3A">
        <w:rPr>
          <w:rFonts w:ascii="Arial" w:hAnsi="Arial"/>
          <w:sz w:val="20"/>
          <w:szCs w:val="20"/>
        </w:rPr>
        <w:t xml:space="preserve"> Monday, May 14, 2018 1:06 PM</w:t>
      </w:r>
      <w:r w:rsidRPr="000B2D3A">
        <w:rPr>
          <w:rFonts w:ascii="Arial" w:hAnsi="Arial"/>
          <w:sz w:val="20"/>
          <w:szCs w:val="20"/>
        </w:rPr>
        <w:br/>
      </w:r>
      <w:r w:rsidRPr="00E32E82">
        <w:rPr>
          <w:rFonts w:ascii="Arial" w:hAnsi="Arial"/>
          <w:b/>
          <w:bCs/>
          <w:sz w:val="20"/>
          <w:szCs w:val="20"/>
        </w:rPr>
        <w:t>Subject:</w:t>
      </w:r>
      <w:r w:rsidRPr="00E32E82">
        <w:rPr>
          <w:rFonts w:ascii="Arial" w:hAnsi="Arial"/>
          <w:sz w:val="20"/>
          <w:szCs w:val="20"/>
        </w:rPr>
        <w:t xml:space="preserve"> FW: Q-Tip: Revised Rating Schedule Criteria for the Eye</w:t>
      </w:r>
    </w:p>
    <w:p w:rsidR="000B2D3A" w:rsidRPr="00E32E82" w:rsidRDefault="000B2D3A" w:rsidP="00E32E82">
      <w:pPr>
        <w:spacing w:after="120"/>
        <w:ind w:left="360"/>
      </w:pPr>
      <w:r w:rsidRPr="00E32E82">
        <w:rPr>
          <w:b/>
          <w:bCs/>
        </w:rPr>
        <w:t>Q-Tip:  Revised Rating Schedule Criteria for the Eye</w:t>
      </w:r>
    </w:p>
    <w:p w:rsidR="000B2D3A" w:rsidRPr="00E32E82" w:rsidRDefault="000B2D3A" w:rsidP="00E32E82">
      <w:pPr>
        <w:spacing w:after="120"/>
        <w:ind w:left="360"/>
        <w:rPr>
          <w:b/>
          <w:bCs/>
        </w:rPr>
      </w:pPr>
      <w:r w:rsidRPr="00E32E82">
        <w:rPr>
          <w:b/>
          <w:bCs/>
        </w:rPr>
        <w:t>Target Audience:  RVSRs and DROs</w:t>
      </w:r>
    </w:p>
    <w:p w:rsidR="000B2D3A" w:rsidRPr="000B2D3A" w:rsidRDefault="000B2D3A" w:rsidP="00E32E82">
      <w:pPr>
        <w:spacing w:after="120"/>
        <w:ind w:left="360"/>
      </w:pPr>
      <w:r w:rsidRPr="000B2D3A">
        <w:t xml:space="preserve">The Rating Schedule criteria for the Organs of Special Sense – Eye (specifically 38 CFR 4.77, 4.78 and 4.79) was revised </w:t>
      </w:r>
      <w:r w:rsidRPr="000B2D3A">
        <w:rPr>
          <w:b/>
          <w:bCs/>
        </w:rPr>
        <w:t>effective May 13, 2018</w:t>
      </w:r>
      <w:r w:rsidRPr="000B2D3A">
        <w:t>.</w:t>
      </w:r>
    </w:p>
    <w:p w:rsidR="000B2D3A" w:rsidRPr="000B2D3A" w:rsidRDefault="000B2D3A" w:rsidP="00E32E82">
      <w:pPr>
        <w:spacing w:after="120"/>
        <w:ind w:left="360"/>
      </w:pPr>
      <w:r w:rsidRPr="000B2D3A">
        <w:t xml:space="preserve">The revised evaluation criteria can be viewed </w:t>
      </w:r>
      <w:hyperlink r:id="rId527" w:history="1">
        <w:r w:rsidRPr="000B2D3A">
          <w:rPr>
            <w:rStyle w:val="Hyperlink"/>
          </w:rPr>
          <w:t>here</w:t>
        </w:r>
      </w:hyperlink>
      <w:r w:rsidRPr="000B2D3A">
        <w:t xml:space="preserve"> (pdf version) and soon at </w:t>
      </w:r>
      <w:hyperlink r:id="rId528" w:anchor="sg38.1.4_173.sg1" w:history="1">
        <w:r w:rsidRPr="000B2D3A">
          <w:rPr>
            <w:rStyle w:val="Hyperlink"/>
          </w:rPr>
          <w:t>e-CFR</w:t>
        </w:r>
      </w:hyperlink>
      <w:r w:rsidRPr="000B2D3A">
        <w:t xml:space="preserve"> (if not so already).</w:t>
      </w:r>
    </w:p>
    <w:p w:rsidR="000B2D3A" w:rsidRPr="000B2D3A" w:rsidRDefault="000B2D3A" w:rsidP="00E32E82">
      <w:pPr>
        <w:spacing w:after="120"/>
        <w:ind w:left="360"/>
      </w:pPr>
      <w:r w:rsidRPr="000B2D3A">
        <w:rPr>
          <w:u w:val="single"/>
        </w:rPr>
        <w:t>Overview of Changes</w:t>
      </w:r>
    </w:p>
    <w:p w:rsidR="000B2D3A" w:rsidRPr="000B2D3A" w:rsidRDefault="000B2D3A" w:rsidP="00F063AF">
      <w:pPr>
        <w:pStyle w:val="PlainText"/>
        <w:numPr>
          <w:ilvl w:val="0"/>
          <w:numId w:val="427"/>
        </w:numPr>
        <w:rPr>
          <w:rFonts w:ascii="Arial" w:hAnsi="Arial" w:cs="Arial"/>
          <w:sz w:val="20"/>
          <w:szCs w:val="20"/>
        </w:rPr>
      </w:pPr>
      <w:r w:rsidRPr="000B2D3A">
        <w:rPr>
          <w:rFonts w:ascii="Arial" w:hAnsi="Arial" w:cs="Arial"/>
          <w:sz w:val="20"/>
          <w:szCs w:val="20"/>
        </w:rPr>
        <w:t>Visual Fields – Goldmann chart no longer needed</w:t>
      </w:r>
    </w:p>
    <w:p w:rsidR="000B2D3A" w:rsidRPr="000B2D3A" w:rsidRDefault="000B2D3A" w:rsidP="00F063AF">
      <w:pPr>
        <w:pStyle w:val="PlainText"/>
        <w:numPr>
          <w:ilvl w:val="1"/>
          <w:numId w:val="427"/>
        </w:numPr>
        <w:rPr>
          <w:rFonts w:ascii="Arial" w:hAnsi="Arial" w:cs="Arial"/>
          <w:sz w:val="20"/>
          <w:szCs w:val="20"/>
        </w:rPr>
      </w:pPr>
      <w:r w:rsidRPr="000B2D3A">
        <w:rPr>
          <w:rFonts w:ascii="Arial" w:hAnsi="Arial" w:cs="Arial"/>
          <w:sz w:val="20"/>
          <w:szCs w:val="20"/>
        </w:rPr>
        <w:t>Instead of needing the actual chart, only the numerical values of the test results will be needed</w:t>
      </w:r>
    </w:p>
    <w:p w:rsidR="000B2D3A" w:rsidRPr="000B2D3A" w:rsidRDefault="000B2D3A" w:rsidP="00F063AF">
      <w:pPr>
        <w:pStyle w:val="PlainText"/>
        <w:numPr>
          <w:ilvl w:val="0"/>
          <w:numId w:val="427"/>
        </w:numPr>
        <w:rPr>
          <w:rFonts w:ascii="Arial" w:hAnsi="Arial" w:cs="Arial"/>
          <w:sz w:val="20"/>
          <w:szCs w:val="20"/>
        </w:rPr>
      </w:pPr>
      <w:r w:rsidRPr="000B2D3A">
        <w:rPr>
          <w:rFonts w:ascii="Arial" w:hAnsi="Arial" w:cs="Arial"/>
          <w:sz w:val="20"/>
          <w:szCs w:val="20"/>
        </w:rPr>
        <w:t>Incapacitating Episodes - Definition updated</w:t>
      </w:r>
    </w:p>
    <w:p w:rsidR="000B2D3A" w:rsidRPr="000B2D3A" w:rsidRDefault="000B2D3A" w:rsidP="00F063AF">
      <w:pPr>
        <w:pStyle w:val="PlainText"/>
        <w:numPr>
          <w:ilvl w:val="1"/>
          <w:numId w:val="427"/>
        </w:numPr>
        <w:rPr>
          <w:rFonts w:ascii="Arial" w:hAnsi="Arial" w:cs="Arial"/>
          <w:sz w:val="20"/>
          <w:szCs w:val="20"/>
        </w:rPr>
      </w:pPr>
      <w:r w:rsidRPr="000B2D3A">
        <w:rPr>
          <w:rFonts w:ascii="Arial" w:hAnsi="Arial" w:cs="Arial"/>
          <w:sz w:val="20"/>
          <w:szCs w:val="20"/>
        </w:rPr>
        <w:t>Prescribed bedrest is replaced with required clinic visits to a provider specifically for treatment purposes</w:t>
      </w:r>
    </w:p>
    <w:p w:rsidR="000B2D3A" w:rsidRPr="000B2D3A" w:rsidRDefault="000B2D3A" w:rsidP="00F063AF">
      <w:pPr>
        <w:pStyle w:val="PlainText"/>
        <w:numPr>
          <w:ilvl w:val="0"/>
          <w:numId w:val="427"/>
        </w:numPr>
        <w:rPr>
          <w:rFonts w:ascii="Arial" w:hAnsi="Arial" w:cs="Arial"/>
          <w:sz w:val="20"/>
          <w:szCs w:val="20"/>
        </w:rPr>
      </w:pPr>
      <w:r w:rsidRPr="000B2D3A">
        <w:rPr>
          <w:rFonts w:ascii="Arial" w:hAnsi="Arial" w:cs="Arial"/>
          <w:sz w:val="20"/>
          <w:szCs w:val="20"/>
        </w:rPr>
        <w:t>General Rating Formula (GRF) revised</w:t>
      </w:r>
    </w:p>
    <w:p w:rsidR="000B2D3A" w:rsidRPr="000B2D3A" w:rsidRDefault="000B2D3A" w:rsidP="00F063AF">
      <w:pPr>
        <w:pStyle w:val="PlainText"/>
        <w:numPr>
          <w:ilvl w:val="1"/>
          <w:numId w:val="427"/>
        </w:numPr>
        <w:rPr>
          <w:rFonts w:ascii="Arial" w:hAnsi="Arial" w:cs="Arial"/>
          <w:sz w:val="20"/>
          <w:szCs w:val="20"/>
        </w:rPr>
      </w:pPr>
      <w:r w:rsidRPr="000B2D3A">
        <w:rPr>
          <w:rFonts w:ascii="Arial" w:hAnsi="Arial" w:cs="Arial"/>
          <w:sz w:val="20"/>
          <w:szCs w:val="20"/>
        </w:rPr>
        <w:t>Raters must evaluate all eye conditions under the GRF, unless otherwise directed by a specific DC</w:t>
      </w:r>
    </w:p>
    <w:p w:rsidR="000B2D3A" w:rsidRPr="000B2D3A" w:rsidRDefault="000B2D3A" w:rsidP="00F063AF">
      <w:pPr>
        <w:pStyle w:val="PlainText"/>
        <w:numPr>
          <w:ilvl w:val="0"/>
          <w:numId w:val="427"/>
        </w:numPr>
        <w:rPr>
          <w:rFonts w:ascii="Arial" w:hAnsi="Arial" w:cs="Arial"/>
          <w:sz w:val="20"/>
          <w:szCs w:val="20"/>
        </w:rPr>
      </w:pPr>
      <w:r w:rsidRPr="000B2D3A">
        <w:rPr>
          <w:rFonts w:ascii="Arial" w:hAnsi="Arial" w:cs="Arial"/>
          <w:sz w:val="20"/>
          <w:szCs w:val="20"/>
        </w:rPr>
        <w:t>Added three new diagnostic codes</w:t>
      </w:r>
    </w:p>
    <w:p w:rsidR="000B2D3A" w:rsidRPr="000B2D3A" w:rsidRDefault="000B2D3A" w:rsidP="00F063AF">
      <w:pPr>
        <w:pStyle w:val="PlainText"/>
        <w:numPr>
          <w:ilvl w:val="1"/>
          <w:numId w:val="427"/>
        </w:numPr>
        <w:rPr>
          <w:rFonts w:ascii="Arial" w:hAnsi="Arial" w:cs="Arial"/>
          <w:sz w:val="20"/>
          <w:szCs w:val="20"/>
        </w:rPr>
      </w:pPr>
      <w:r w:rsidRPr="000B2D3A">
        <w:rPr>
          <w:rFonts w:ascii="Arial" w:hAnsi="Arial" w:cs="Arial"/>
          <w:sz w:val="20"/>
          <w:szCs w:val="20"/>
        </w:rPr>
        <w:t>6040 - Diabetic retinopathy</w:t>
      </w:r>
    </w:p>
    <w:p w:rsidR="000B2D3A" w:rsidRPr="000B2D3A" w:rsidRDefault="000B2D3A" w:rsidP="00F063AF">
      <w:pPr>
        <w:pStyle w:val="PlainText"/>
        <w:numPr>
          <w:ilvl w:val="2"/>
          <w:numId w:val="427"/>
        </w:numPr>
        <w:rPr>
          <w:rFonts w:ascii="Arial" w:hAnsi="Arial" w:cs="Arial"/>
          <w:sz w:val="20"/>
          <w:szCs w:val="20"/>
        </w:rPr>
      </w:pPr>
      <w:r w:rsidRPr="000B2D3A">
        <w:rPr>
          <w:rFonts w:ascii="Arial" w:hAnsi="Arial" w:cs="Arial"/>
          <w:sz w:val="20"/>
          <w:szCs w:val="20"/>
        </w:rPr>
        <w:t>Currently, this condition is evaluated under DC 6006. Diabetes is the most significant cause of visual impairment and blindness in the US.  This DC is added in order to track and evaluate the Veteran population with this condition.  It will be evaluated under the GRF.</w:t>
      </w:r>
    </w:p>
    <w:p w:rsidR="000B2D3A" w:rsidRPr="000B2D3A" w:rsidRDefault="000B2D3A" w:rsidP="00F063AF">
      <w:pPr>
        <w:pStyle w:val="PlainText"/>
        <w:numPr>
          <w:ilvl w:val="1"/>
          <w:numId w:val="427"/>
        </w:numPr>
        <w:rPr>
          <w:rFonts w:ascii="Arial" w:hAnsi="Arial" w:cs="Arial"/>
          <w:sz w:val="20"/>
          <w:szCs w:val="20"/>
        </w:rPr>
      </w:pPr>
      <w:r w:rsidRPr="000B2D3A">
        <w:rPr>
          <w:rFonts w:ascii="Arial" w:hAnsi="Arial" w:cs="Arial"/>
          <w:sz w:val="20"/>
          <w:szCs w:val="20"/>
        </w:rPr>
        <w:t>6042 - Retinal dystrophy (including retinitis pigmentosa)</w:t>
      </w:r>
    </w:p>
    <w:p w:rsidR="000B2D3A" w:rsidRPr="000B2D3A" w:rsidRDefault="000B2D3A" w:rsidP="00F063AF">
      <w:pPr>
        <w:pStyle w:val="PlainText"/>
        <w:numPr>
          <w:ilvl w:val="2"/>
          <w:numId w:val="427"/>
        </w:numPr>
        <w:rPr>
          <w:rFonts w:ascii="Arial" w:hAnsi="Arial" w:cs="Arial"/>
          <w:sz w:val="20"/>
          <w:szCs w:val="20"/>
        </w:rPr>
      </w:pPr>
      <w:r w:rsidRPr="000B2D3A">
        <w:rPr>
          <w:rFonts w:ascii="Arial" w:hAnsi="Arial" w:cs="Arial"/>
          <w:sz w:val="20"/>
          <w:szCs w:val="20"/>
        </w:rPr>
        <w:t>Previously this condition is evaluated analogous to DC 6006.  It will be evaluated under the GRF.</w:t>
      </w:r>
    </w:p>
    <w:p w:rsidR="000B2D3A" w:rsidRPr="000B2D3A" w:rsidRDefault="000B2D3A" w:rsidP="00F063AF">
      <w:pPr>
        <w:pStyle w:val="PlainText"/>
        <w:numPr>
          <w:ilvl w:val="1"/>
          <w:numId w:val="427"/>
        </w:numPr>
        <w:rPr>
          <w:rFonts w:ascii="Arial" w:hAnsi="Arial" w:cs="Arial"/>
          <w:sz w:val="20"/>
          <w:szCs w:val="20"/>
        </w:rPr>
      </w:pPr>
      <w:r w:rsidRPr="000B2D3A">
        <w:rPr>
          <w:rFonts w:ascii="Arial" w:hAnsi="Arial" w:cs="Arial"/>
          <w:sz w:val="20"/>
          <w:szCs w:val="20"/>
        </w:rPr>
        <w:t>6046 - Post-chiasmal disorders</w:t>
      </w:r>
    </w:p>
    <w:p w:rsidR="000B2D3A" w:rsidRPr="000B2D3A" w:rsidRDefault="000B2D3A" w:rsidP="00F063AF">
      <w:pPr>
        <w:pStyle w:val="PlainText"/>
        <w:numPr>
          <w:ilvl w:val="2"/>
          <w:numId w:val="427"/>
        </w:numPr>
        <w:spacing w:after="120"/>
        <w:rPr>
          <w:rFonts w:ascii="Arial" w:hAnsi="Arial" w:cs="Arial"/>
          <w:sz w:val="20"/>
          <w:szCs w:val="20"/>
        </w:rPr>
      </w:pPr>
      <w:r w:rsidRPr="000B2D3A">
        <w:rPr>
          <w:rFonts w:ascii="Arial" w:hAnsi="Arial" w:cs="Arial"/>
          <w:sz w:val="20"/>
          <w:szCs w:val="20"/>
        </w:rPr>
        <w:t>This category was not currently accounted for in the rating schedule and was analogous to several DCs.  It is caused by TBI or other cerebral injuries.   It will be evaluated under the GRF.</w:t>
      </w:r>
    </w:p>
    <w:p w:rsidR="000B2D3A" w:rsidRPr="000B2D3A" w:rsidRDefault="000B2D3A" w:rsidP="00E32E82">
      <w:pPr>
        <w:spacing w:after="120"/>
        <w:ind w:left="360"/>
        <w:rPr>
          <w:color w:val="000000"/>
        </w:rPr>
      </w:pPr>
      <w:r w:rsidRPr="000B2D3A">
        <w:rPr>
          <w:color w:val="000000"/>
        </w:rPr>
        <w:t xml:space="preserve">For a more detailed list of the changes, see the </w:t>
      </w:r>
      <w:hyperlink r:id="rId529" w:history="1">
        <w:r w:rsidRPr="000B2D3A">
          <w:rPr>
            <w:rStyle w:val="Hyperlink"/>
          </w:rPr>
          <w:t>student handout</w:t>
        </w:r>
      </w:hyperlink>
      <w:r w:rsidRPr="000B2D3A">
        <w:rPr>
          <w:color w:val="000000"/>
        </w:rPr>
        <w:t xml:space="preserve"> from the associated TMS training course on this topic.  </w:t>
      </w:r>
    </w:p>
    <w:p w:rsidR="000B2D3A" w:rsidRPr="000B2D3A" w:rsidRDefault="000B2D3A" w:rsidP="00E32E82">
      <w:pPr>
        <w:spacing w:after="120"/>
        <w:ind w:left="360"/>
        <w:rPr>
          <w:u w:val="single"/>
        </w:rPr>
      </w:pPr>
      <w:r w:rsidRPr="000B2D3A">
        <w:rPr>
          <w:u w:val="single"/>
        </w:rPr>
        <w:t>M21-1 Updates</w:t>
      </w:r>
    </w:p>
    <w:p w:rsidR="000B2D3A" w:rsidRPr="000B2D3A" w:rsidRDefault="000B2D3A" w:rsidP="00E32E82">
      <w:pPr>
        <w:spacing w:after="120"/>
        <w:ind w:left="360"/>
      </w:pPr>
      <w:r w:rsidRPr="000B2D3A">
        <w:t xml:space="preserve">The manual was updated at </w:t>
      </w:r>
      <w:r w:rsidRPr="000B2D3A">
        <w:rPr>
          <w:b/>
          <w:bCs/>
          <w:color w:val="000000"/>
        </w:rPr>
        <w:t>M21-III.iv.4.C</w:t>
      </w:r>
      <w:r w:rsidRPr="000B2D3A">
        <w:rPr>
          <w:color w:val="000000"/>
        </w:rPr>
        <w:t xml:space="preserve"> </w:t>
      </w:r>
      <w:r w:rsidRPr="000B2D3A">
        <w:t>on May 14, 2018 to consider these changes, to include:</w:t>
      </w:r>
    </w:p>
    <w:p w:rsidR="000B2D3A" w:rsidRPr="000B2D3A" w:rsidRDefault="000B2D3A" w:rsidP="00F063AF">
      <w:pPr>
        <w:pStyle w:val="PlainText"/>
        <w:numPr>
          <w:ilvl w:val="0"/>
          <w:numId w:val="428"/>
        </w:numPr>
        <w:rPr>
          <w:rFonts w:ascii="Arial" w:hAnsi="Arial" w:cs="Arial"/>
          <w:sz w:val="20"/>
          <w:szCs w:val="20"/>
        </w:rPr>
      </w:pPr>
      <w:r w:rsidRPr="000B2D3A">
        <w:rPr>
          <w:rFonts w:ascii="Arial" w:hAnsi="Arial" w:cs="Arial"/>
          <w:sz w:val="20"/>
          <w:szCs w:val="20"/>
        </w:rPr>
        <w:t>Updating the criteria for documentation of visual field testing as modified in updates to 38 CFR 4.77.</w:t>
      </w:r>
    </w:p>
    <w:p w:rsidR="000B2D3A" w:rsidRPr="000B2D3A" w:rsidRDefault="000B2D3A" w:rsidP="00F063AF">
      <w:pPr>
        <w:pStyle w:val="PlainText"/>
        <w:numPr>
          <w:ilvl w:val="0"/>
          <w:numId w:val="428"/>
        </w:numPr>
        <w:rPr>
          <w:rFonts w:ascii="Arial" w:hAnsi="Arial" w:cs="Arial"/>
          <w:sz w:val="20"/>
          <w:szCs w:val="20"/>
        </w:rPr>
      </w:pPr>
      <w:r w:rsidRPr="000B2D3A">
        <w:rPr>
          <w:rFonts w:ascii="Arial" w:hAnsi="Arial" w:cs="Arial"/>
          <w:sz w:val="20"/>
          <w:szCs w:val="20"/>
        </w:rPr>
        <w:t>Updating the criteria for documentation of muscle function testing for diplopia as modified in updates to 38 CFR 4.78.</w:t>
      </w:r>
    </w:p>
    <w:p w:rsidR="000B2D3A" w:rsidRPr="000B2D3A" w:rsidRDefault="000B2D3A" w:rsidP="00F063AF">
      <w:pPr>
        <w:pStyle w:val="PlainText"/>
        <w:numPr>
          <w:ilvl w:val="0"/>
          <w:numId w:val="428"/>
        </w:numPr>
        <w:rPr>
          <w:rFonts w:ascii="Arial" w:hAnsi="Arial" w:cs="Arial"/>
          <w:sz w:val="20"/>
          <w:szCs w:val="20"/>
        </w:rPr>
      </w:pPr>
      <w:r w:rsidRPr="000B2D3A">
        <w:rPr>
          <w:rFonts w:ascii="Arial" w:hAnsi="Arial" w:cs="Arial"/>
          <w:sz w:val="20"/>
          <w:szCs w:val="20"/>
        </w:rPr>
        <w:t>Adding the definition of incapacitating episodes of eye disease as included in updates to 38 CFR 4.79.</w:t>
      </w:r>
    </w:p>
    <w:p w:rsidR="000B2D3A" w:rsidRPr="000B2D3A" w:rsidRDefault="000B2D3A" w:rsidP="00F063AF">
      <w:pPr>
        <w:pStyle w:val="PlainText"/>
        <w:numPr>
          <w:ilvl w:val="0"/>
          <w:numId w:val="428"/>
        </w:numPr>
        <w:rPr>
          <w:rFonts w:ascii="Arial" w:hAnsi="Arial" w:cs="Arial"/>
          <w:sz w:val="20"/>
          <w:szCs w:val="20"/>
        </w:rPr>
      </w:pPr>
      <w:r w:rsidRPr="000B2D3A">
        <w:rPr>
          <w:rFonts w:ascii="Arial" w:hAnsi="Arial" w:cs="Arial"/>
          <w:sz w:val="20"/>
          <w:szCs w:val="20"/>
        </w:rPr>
        <w:t>Updating the guidance on evaluating glaucoma for consistency with revision of the rating schedule criteria.</w:t>
      </w:r>
    </w:p>
    <w:p w:rsidR="000B2D3A" w:rsidRPr="000B2D3A" w:rsidRDefault="000B2D3A" w:rsidP="00F063AF">
      <w:pPr>
        <w:pStyle w:val="PlainText"/>
        <w:numPr>
          <w:ilvl w:val="0"/>
          <w:numId w:val="428"/>
        </w:numPr>
        <w:spacing w:after="120"/>
        <w:rPr>
          <w:rFonts w:ascii="Arial" w:hAnsi="Arial" w:cs="Arial"/>
          <w:sz w:val="20"/>
          <w:szCs w:val="20"/>
        </w:rPr>
      </w:pPr>
      <w:r w:rsidRPr="000B2D3A">
        <w:rPr>
          <w:rFonts w:ascii="Arial" w:hAnsi="Arial" w:cs="Arial"/>
          <w:sz w:val="20"/>
          <w:szCs w:val="20"/>
        </w:rPr>
        <w:t>Updating the guidance on evaluating cataracts for consistency with revision of the rating schedule criteria.</w:t>
      </w:r>
    </w:p>
    <w:p w:rsidR="000B2D3A" w:rsidRPr="000B2D3A" w:rsidRDefault="000B2D3A" w:rsidP="00E32E82">
      <w:pPr>
        <w:pStyle w:val="PlainText"/>
        <w:spacing w:after="120"/>
        <w:ind w:left="360"/>
        <w:rPr>
          <w:rFonts w:ascii="Arial" w:hAnsi="Arial" w:cs="Arial"/>
          <w:sz w:val="20"/>
          <w:szCs w:val="20"/>
        </w:rPr>
      </w:pPr>
      <w:r w:rsidRPr="000B2D3A">
        <w:rPr>
          <w:rFonts w:ascii="Arial" w:hAnsi="Arial" w:cs="Arial"/>
          <w:sz w:val="20"/>
          <w:szCs w:val="20"/>
        </w:rPr>
        <w:t xml:space="preserve">The updates to 38 CFR 4.77, 4.78 and 4.79 are </w:t>
      </w:r>
      <w:r w:rsidRPr="000B2D3A">
        <w:rPr>
          <w:rFonts w:ascii="Arial" w:hAnsi="Arial" w:cs="Arial"/>
          <w:b/>
          <w:bCs/>
          <w:sz w:val="20"/>
          <w:szCs w:val="20"/>
          <w:u w:val="single"/>
        </w:rPr>
        <w:t>not</w:t>
      </w:r>
      <w:r w:rsidRPr="000B2D3A">
        <w:rPr>
          <w:rFonts w:ascii="Arial" w:hAnsi="Arial" w:cs="Arial"/>
          <w:sz w:val="20"/>
          <w:szCs w:val="20"/>
        </w:rPr>
        <w:t xml:space="preserve"> liberalizing (M21-1 III.iv.4.C.1.f).</w:t>
      </w:r>
    </w:p>
    <w:p w:rsidR="000B2D3A" w:rsidRPr="000B2D3A" w:rsidRDefault="000B2D3A" w:rsidP="00E32E82">
      <w:pPr>
        <w:spacing w:after="120"/>
        <w:ind w:left="360"/>
      </w:pPr>
      <w:r w:rsidRPr="000B2D3A">
        <w:t xml:space="preserve">If a Veteran’s claim was pending or there was an Intent to File (ITF) notice received by VA at the time of regulation’s effective date (May 13, 2018), then the claim must be considered under both previous and new rating criteria.  For handling claims when there are regulatory changes, see </w:t>
      </w:r>
      <w:r w:rsidRPr="000B2D3A">
        <w:rPr>
          <w:b/>
          <w:bCs/>
        </w:rPr>
        <w:t xml:space="preserve">M21-1 </w:t>
      </w:r>
      <w:r w:rsidRPr="000B2D3A">
        <w:rPr>
          <w:b/>
          <w:bCs/>
          <w:color w:val="000000"/>
        </w:rPr>
        <w:t>III.iv.5.C.7.m</w:t>
      </w:r>
      <w:r w:rsidRPr="000B2D3A">
        <w:t>.</w:t>
      </w:r>
    </w:p>
    <w:p w:rsidR="000B2D3A" w:rsidRPr="000B2D3A" w:rsidRDefault="000B2D3A" w:rsidP="00E32E82">
      <w:pPr>
        <w:spacing w:after="120"/>
        <w:ind w:left="360"/>
        <w:rPr>
          <w:u w:val="single"/>
        </w:rPr>
      </w:pPr>
      <w:r w:rsidRPr="000B2D3A">
        <w:rPr>
          <w:u w:val="single"/>
        </w:rPr>
        <w:t>DBQs</w:t>
      </w:r>
    </w:p>
    <w:p w:rsidR="000B2D3A" w:rsidRPr="000B2D3A" w:rsidRDefault="000B2D3A" w:rsidP="00E32E82">
      <w:pPr>
        <w:spacing w:after="120"/>
        <w:ind w:left="360"/>
        <w:rPr>
          <w:color w:val="000000"/>
        </w:rPr>
      </w:pPr>
      <w:r w:rsidRPr="000B2D3A">
        <w:t>An updated DBQ for “</w:t>
      </w:r>
      <w:r w:rsidRPr="000B2D3A">
        <w:rPr>
          <w:color w:val="000000"/>
        </w:rPr>
        <w:t>Eye Conditions</w:t>
      </w:r>
      <w:r w:rsidRPr="000B2D3A">
        <w:t xml:space="preserve">” was released to VHA Facilities and VBA Contract Vendors on </w:t>
      </w:r>
      <w:r w:rsidRPr="000B2D3A">
        <w:rPr>
          <w:color w:val="000000"/>
        </w:rPr>
        <w:t xml:space="preserve">May 13, 2018 to comply with the Rating Schedule updates.  The new DBQs for Contract and Internal Use can be viewed on the </w:t>
      </w:r>
      <w:hyperlink r:id="rId530" w:history="1">
        <w:r w:rsidRPr="000B2D3A">
          <w:rPr>
            <w:rStyle w:val="Hyperlink"/>
          </w:rPr>
          <w:t>DBQ Switchboard</w:t>
        </w:r>
      </w:hyperlink>
      <w:r w:rsidRPr="000B2D3A">
        <w:rPr>
          <w:color w:val="000000"/>
        </w:rPr>
        <w:t>.  I</w:t>
      </w:r>
      <w:r w:rsidRPr="000B2D3A">
        <w:t xml:space="preserve">n the additional exam remarks field in the Examination Request Builder (ERB), continue to enter the intent to file (ITF) date as this will alert the examiner whether historical DBQ information must be provided.  </w:t>
      </w:r>
    </w:p>
    <w:p w:rsidR="000B2D3A" w:rsidRPr="000B2D3A" w:rsidRDefault="000B2D3A" w:rsidP="00E32E82">
      <w:pPr>
        <w:spacing w:after="120"/>
        <w:ind w:left="360"/>
        <w:rPr>
          <w:u w:val="single"/>
        </w:rPr>
      </w:pPr>
      <w:r w:rsidRPr="000B2D3A">
        <w:rPr>
          <w:u w:val="single"/>
        </w:rPr>
        <w:t>VBMS-R</w:t>
      </w:r>
    </w:p>
    <w:p w:rsidR="000B2D3A" w:rsidRPr="000B2D3A" w:rsidRDefault="000B2D3A" w:rsidP="00E32E82">
      <w:pPr>
        <w:spacing w:after="120"/>
        <w:ind w:left="360"/>
        <w:rPr>
          <w:color w:val="000000"/>
        </w:rPr>
      </w:pPr>
      <w:r w:rsidRPr="000B2D3A">
        <w:rPr>
          <w:color w:val="000000"/>
        </w:rPr>
        <w:t xml:space="preserve">Updates have </w:t>
      </w:r>
      <w:r w:rsidRPr="000B2D3A">
        <w:rPr>
          <w:b/>
          <w:bCs/>
          <w:color w:val="000000"/>
          <w:u w:val="single"/>
        </w:rPr>
        <w:t>not</w:t>
      </w:r>
      <w:r w:rsidRPr="000B2D3A">
        <w:rPr>
          <w:color w:val="000000"/>
        </w:rPr>
        <w:t xml:space="preserve"> been made to VBMS-R and rating calculator functionality to allow for rating consideration for eye conditions across multiple schedules.  </w:t>
      </w:r>
      <w:r w:rsidRPr="000B2D3A">
        <w:rPr>
          <w:b/>
          <w:bCs/>
          <w:color w:val="000000"/>
        </w:rPr>
        <w:t xml:space="preserve">Please follow </w:t>
      </w:r>
      <w:hyperlink r:id="rId531" w:history="1">
        <w:r w:rsidRPr="000B2D3A">
          <w:rPr>
            <w:rStyle w:val="Hyperlink"/>
            <w:b/>
            <w:bCs/>
          </w:rPr>
          <w:t>Policy Letter 21-18-01</w:t>
        </w:r>
      </w:hyperlink>
      <w:r w:rsidRPr="000B2D3A">
        <w:rPr>
          <w:b/>
          <w:bCs/>
        </w:rPr>
        <w:t xml:space="preserve"> (link to letter on CPKM)</w:t>
      </w:r>
      <w:r w:rsidRPr="000B2D3A">
        <w:rPr>
          <w:b/>
          <w:bCs/>
          <w:color w:val="1F497D"/>
        </w:rPr>
        <w:t xml:space="preserve">, </w:t>
      </w:r>
      <w:r w:rsidRPr="000B2D3A">
        <w:rPr>
          <w:b/>
          <w:bCs/>
          <w:color w:val="000000"/>
        </w:rPr>
        <w:t xml:space="preserve">which provides temporary </w:t>
      </w:r>
      <w:r w:rsidRPr="000B2D3A">
        <w:rPr>
          <w:b/>
          <w:bCs/>
        </w:rPr>
        <w:t>procedures for tracking and deferring affected eye claims until VBMS-R functionality is available.</w:t>
      </w:r>
      <w:r w:rsidRPr="000B2D3A">
        <w:t xml:space="preserve">  </w:t>
      </w:r>
      <w:r w:rsidRPr="000B2D3A">
        <w:rPr>
          <w:i/>
          <w:iCs/>
          <w:color w:val="000000"/>
        </w:rPr>
        <w:t>The procedures outlined in Policy Letter 21-18-01 are effective beginning May 13, 2018</w:t>
      </w:r>
      <w:r w:rsidRPr="000B2D3A">
        <w:rPr>
          <w:color w:val="000000"/>
        </w:rPr>
        <w:t>.  Once the appropriate VBMS functionality is in place, Compensation Service will rescind this temporary guidance and replace it with procedures outlining how to process any deferred cases.</w:t>
      </w:r>
    </w:p>
    <w:p w:rsidR="000B2D3A" w:rsidRPr="000B2D3A" w:rsidRDefault="000B2D3A" w:rsidP="00E32E82">
      <w:pPr>
        <w:spacing w:after="120"/>
        <w:ind w:left="360"/>
        <w:rPr>
          <w:color w:val="000000"/>
          <w:u w:val="single"/>
        </w:rPr>
      </w:pPr>
      <w:r w:rsidRPr="000B2D3A">
        <w:rPr>
          <w:color w:val="000000"/>
          <w:u w:val="single"/>
        </w:rPr>
        <w:t>Training</w:t>
      </w:r>
    </w:p>
    <w:p w:rsidR="000B2D3A" w:rsidRPr="000B2D3A" w:rsidRDefault="000B2D3A" w:rsidP="00E32E82">
      <w:pPr>
        <w:spacing w:after="120"/>
        <w:ind w:left="360"/>
        <w:rPr>
          <w:color w:val="000000"/>
        </w:rPr>
      </w:pPr>
      <w:r w:rsidRPr="000B2D3A">
        <w:rPr>
          <w:color w:val="000000"/>
        </w:rPr>
        <w:t xml:space="preserve">TMS training on “Introduction to Eye Rating Schedule Changes” (TMS #4449901) has been added as a required item for RVSRs and DROs with a due date of June 4, 2018.  It is highly recommended that the training be completed as soon as possible for familiarization with the Rating Schedule changes and immediate application.  </w:t>
      </w:r>
    </w:p>
    <w:p w:rsidR="000B2D3A" w:rsidRPr="000B2D3A" w:rsidRDefault="000B2D3A" w:rsidP="000B2D3A">
      <w:pPr>
        <w:ind w:left="360"/>
      </w:pPr>
      <w:r w:rsidRPr="000B2D3A">
        <w:t>NOTE: RQRSs will also discuss this topic in upcoming team huddles.</w:t>
      </w:r>
    </w:p>
    <w:p w:rsidR="000B2D3A" w:rsidRPr="000B2D3A" w:rsidRDefault="000B2D3A" w:rsidP="00F063AF">
      <w:pPr>
        <w:numPr>
          <w:ilvl w:val="0"/>
          <w:numId w:val="429"/>
        </w:numPr>
        <w:overflowPunct/>
        <w:autoSpaceDE/>
        <w:autoSpaceDN/>
        <w:adjustRightInd/>
        <w:ind w:left="360" w:firstLine="0"/>
        <w:textAlignment w:val="auto"/>
      </w:pPr>
      <w:r w:rsidRPr="000B2D3A">
        <w:t>Questions on VBMS-R should be referred to your Coach or team Super-User.</w:t>
      </w:r>
    </w:p>
    <w:p w:rsidR="000B2D3A" w:rsidRPr="000B2D3A" w:rsidRDefault="000B2D3A" w:rsidP="00F063AF">
      <w:pPr>
        <w:numPr>
          <w:ilvl w:val="0"/>
          <w:numId w:val="429"/>
        </w:numPr>
        <w:overflowPunct/>
        <w:autoSpaceDE/>
        <w:autoSpaceDN/>
        <w:adjustRightInd/>
        <w:ind w:left="360" w:firstLine="0"/>
        <w:textAlignment w:val="auto"/>
      </w:pPr>
      <w:r w:rsidRPr="000B2D3A">
        <w:t>Questions on the Rating Schedule changes may be referred to your Coach or team SME.</w:t>
      </w:r>
    </w:p>
    <w:p w:rsidR="000B2D3A" w:rsidRDefault="000B2D3A" w:rsidP="000B2D3A">
      <w:pPr>
        <w:ind w:left="360"/>
        <w:rPr>
          <w:rFonts w:eastAsiaTheme="minorHAnsi"/>
        </w:rPr>
      </w:pPr>
    </w:p>
    <w:p w:rsidR="00C361B5" w:rsidRDefault="00C361B5" w:rsidP="000B2D3A">
      <w:pPr>
        <w:ind w:left="360"/>
        <w:rPr>
          <w:rFonts w:eastAsiaTheme="minorHAnsi"/>
        </w:rPr>
      </w:pPr>
      <w:r>
        <w:rPr>
          <w:rFonts w:eastAsiaTheme="minorHAnsi"/>
        </w:rPr>
        <w:t>From TMS training:</w:t>
      </w:r>
    </w:p>
    <w:p w:rsidR="00C361B5" w:rsidRDefault="00C361B5" w:rsidP="000B2D3A">
      <w:pPr>
        <w:ind w:left="360"/>
        <w:rPr>
          <w:rFonts w:eastAsiaTheme="minorHAnsi"/>
        </w:rPr>
      </w:pPr>
      <w:r>
        <w:rPr>
          <w:noProof/>
        </w:rPr>
        <w:drawing>
          <wp:inline distT="0" distB="0" distL="0" distR="0" wp14:anchorId="66C09B55" wp14:editId="06E4DBE3">
            <wp:extent cx="5943600" cy="2586355"/>
            <wp:effectExtent l="0" t="0" r="0" b="4445"/>
            <wp:docPr id="24682" name="Picture 24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2"/>
                    <a:stretch>
                      <a:fillRect/>
                    </a:stretch>
                  </pic:blipFill>
                  <pic:spPr>
                    <a:xfrm>
                      <a:off x="0" y="0"/>
                      <a:ext cx="5943600" cy="2586355"/>
                    </a:xfrm>
                    <a:prstGeom prst="rect">
                      <a:avLst/>
                    </a:prstGeom>
                  </pic:spPr>
                </pic:pic>
              </a:graphicData>
            </a:graphic>
          </wp:inline>
        </w:drawing>
      </w:r>
    </w:p>
    <w:p w:rsidR="00E96A89" w:rsidRDefault="00E96A89" w:rsidP="000B2D3A">
      <w:pPr>
        <w:ind w:left="360"/>
        <w:rPr>
          <w:rFonts w:eastAsiaTheme="minorHAnsi"/>
        </w:rPr>
      </w:pPr>
    </w:p>
    <w:p w:rsidR="00E96A89" w:rsidRPr="00A56F48" w:rsidRDefault="00A56F48" w:rsidP="00F063AF">
      <w:pPr>
        <w:pStyle w:val="ListParagraph"/>
        <w:numPr>
          <w:ilvl w:val="0"/>
          <w:numId w:val="443"/>
        </w:numPr>
        <w:ind w:left="360"/>
        <w:rPr>
          <w:rFonts w:eastAsiaTheme="minorHAnsi"/>
          <w:sz w:val="20"/>
          <w:szCs w:val="20"/>
        </w:rPr>
      </w:pPr>
      <w:r w:rsidRPr="00A56F48">
        <w:rPr>
          <w:szCs w:val="20"/>
        </w:rPr>
        <w:t xml:space="preserve">VBMS-R was updated with the new eye rating criteria on 6/25/18 &amp; Policy Letter 21-18-01 was </w:t>
      </w:r>
      <w:hyperlink r:id="rId533" w:history="1">
        <w:r w:rsidRPr="00A56F48">
          <w:rPr>
            <w:rStyle w:val="Hyperlink"/>
            <w:szCs w:val="20"/>
          </w:rPr>
          <w:t>revised</w:t>
        </w:r>
      </w:hyperlink>
    </w:p>
    <w:p w:rsidR="00E20B67" w:rsidRPr="00E20B67" w:rsidRDefault="00E20B67" w:rsidP="00E20B67">
      <w:pPr>
        <w:pStyle w:val="ListParagraph"/>
        <w:numPr>
          <w:ilvl w:val="0"/>
          <w:numId w:val="443"/>
        </w:numPr>
        <w:spacing w:before="40" w:after="40"/>
        <w:ind w:left="360"/>
        <w:rPr>
          <w:rFonts w:ascii="Arial" w:hAnsi="Arial"/>
          <w:sz w:val="20"/>
          <w:szCs w:val="24"/>
        </w:rPr>
      </w:pPr>
      <w:r w:rsidRPr="00E20B67">
        <w:rPr>
          <w:rFonts w:ascii="Arial" w:hAnsi="Arial"/>
          <w:color w:val="FF0000"/>
          <w:sz w:val="20"/>
          <w:szCs w:val="24"/>
        </w:rPr>
        <w:t xml:space="preserve">*(Update) VSR Claims Processing:  </w:t>
      </w:r>
      <w:r w:rsidRPr="00E20B67">
        <w:rPr>
          <w:rFonts w:ascii="Arial" w:hAnsi="Arial"/>
          <w:sz w:val="20"/>
          <w:szCs w:val="24"/>
        </w:rPr>
        <w:t>Currently, all affected eye claims are being deferred and held by National Work Queue (NWQ). These claims will be released to the field this week (06/25/18).</w:t>
      </w:r>
    </w:p>
    <w:p w:rsidR="00E20B67" w:rsidRPr="00E20B67" w:rsidRDefault="00E20B67" w:rsidP="00E20B67">
      <w:pPr>
        <w:pStyle w:val="ListParagraph"/>
        <w:numPr>
          <w:ilvl w:val="0"/>
          <w:numId w:val="443"/>
        </w:numPr>
        <w:spacing w:before="40" w:after="40"/>
        <w:ind w:left="360"/>
        <w:rPr>
          <w:rFonts w:ascii="Arial" w:hAnsi="Arial"/>
          <w:sz w:val="20"/>
          <w:szCs w:val="24"/>
        </w:rPr>
      </w:pPr>
      <w:r w:rsidRPr="00E20B67">
        <w:rPr>
          <w:rFonts w:ascii="Arial" w:hAnsi="Arial"/>
          <w:sz w:val="20"/>
          <w:szCs w:val="24"/>
        </w:rPr>
        <w:t>Please refer to the guidance, found in revised Policy Letter 21-18-01, for instructions on how to process these claims.  The link to the policy letter is shown below:</w:t>
      </w:r>
    </w:p>
    <w:p w:rsidR="00E20B67" w:rsidRPr="00E20B67" w:rsidRDefault="00D571C5" w:rsidP="00E20B67">
      <w:pPr>
        <w:tabs>
          <w:tab w:val="left" w:pos="720"/>
        </w:tabs>
        <w:spacing w:before="40" w:after="40"/>
        <w:ind w:left="360"/>
        <w:rPr>
          <w:szCs w:val="24"/>
        </w:rPr>
      </w:pPr>
      <w:hyperlink r:id="rId534" w:history="1">
        <w:r w:rsidR="00E20B67" w:rsidRPr="00E20B67">
          <w:rPr>
            <w:rStyle w:val="Hyperlink"/>
            <w:szCs w:val="24"/>
          </w:rPr>
          <w:t>https://vaww.vrm.km.va.gov/system/templates/selfservice/va_kanew/help/agent/locale/en-US/portal/554400000001034/content/554400000085439/Policy%20Letter%2018-01</w:t>
        </w:r>
      </w:hyperlink>
      <w:r w:rsidR="00E20B67" w:rsidRPr="00E20B67">
        <w:rPr>
          <w:szCs w:val="24"/>
        </w:rPr>
        <w:t xml:space="preserve"> </w:t>
      </w:r>
      <w:r w:rsidR="00E20B67" w:rsidRPr="00E20B67">
        <w:rPr>
          <w:color w:val="000000"/>
          <w:szCs w:val="24"/>
        </w:rPr>
        <w:t> </w:t>
      </w:r>
    </w:p>
    <w:p w:rsidR="000B2D3A" w:rsidRDefault="000B2D3A" w:rsidP="00F43BB6">
      <w:pPr>
        <w:widowControl w:val="0"/>
        <w:numPr>
          <w:ilvl w:val="12"/>
          <w:numId w:val="0"/>
        </w:numPr>
        <w:rPr>
          <w:color w:val="000000"/>
        </w:rPr>
      </w:pPr>
    </w:p>
    <w:p w:rsidR="0009727B" w:rsidRDefault="0009727B" w:rsidP="0009727B">
      <w:pPr>
        <w:outlineLvl w:val="0"/>
      </w:pPr>
      <w:r>
        <w:rPr>
          <w:b/>
          <w:bCs/>
        </w:rPr>
        <w:t>From:</w:t>
      </w:r>
      <w:r>
        <w:t xml:space="preserve"> VAVBAWAS/CO/21WEB </w:t>
      </w:r>
      <w:r>
        <w:br/>
      </w:r>
      <w:r>
        <w:rPr>
          <w:b/>
          <w:bCs/>
        </w:rPr>
        <w:t>Sent:</w:t>
      </w:r>
      <w:r>
        <w:t xml:space="preserve"> Monday, July 02, 2018 5:52 AM</w:t>
      </w:r>
      <w:r>
        <w:br/>
      </w:r>
      <w:r>
        <w:rPr>
          <w:b/>
          <w:bCs/>
        </w:rPr>
        <w:t>Subject:</w:t>
      </w:r>
      <w:r>
        <w:t xml:space="preserve"> VASRD Eye Display Error Within VBMS-R - Compensation Service Calendar Update</w:t>
      </w:r>
    </w:p>
    <w:p w:rsidR="0009727B" w:rsidRDefault="0009727B" w:rsidP="0009727B"/>
    <w:p w:rsidR="0009727B" w:rsidRDefault="0009727B" w:rsidP="0009727B">
      <w:pPr>
        <w:pStyle w:val="NormalWeb"/>
        <w:spacing w:after="240"/>
      </w:pPr>
      <w:r>
        <w:rPr>
          <w:sz w:val="20"/>
          <w:szCs w:val="20"/>
        </w:rPr>
        <w:t xml:space="preserve">The Compensation Service Calendar has been updated. The following update is now online. To view the calendar on the Intranet, please </w:t>
      </w:r>
      <w:hyperlink r:id="rId535" w:history="1">
        <w:r>
          <w:rPr>
            <w:rStyle w:val="Hyperlink"/>
            <w:sz w:val="20"/>
            <w:szCs w:val="20"/>
          </w:rPr>
          <w:t>click here</w:t>
        </w:r>
      </w:hyperlink>
      <w:r>
        <w:rPr>
          <w:sz w:val="20"/>
          <w:szCs w:val="20"/>
        </w:rPr>
        <w:t>.</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784"/>
      </w:tblGrid>
      <w:tr w:rsidR="0009727B" w:rsidTr="0009727B">
        <w:trPr>
          <w:tblCellSpacing w:w="0" w:type="dxa"/>
        </w:trPr>
        <w:tc>
          <w:tcPr>
            <w:tcW w:w="0" w:type="auto"/>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09727B" w:rsidRDefault="0009727B">
            <w:pPr>
              <w:spacing w:after="240"/>
            </w:pPr>
            <w:r>
              <w:rPr>
                <w:b/>
                <w:bCs/>
              </w:rPr>
              <w:t>Monday, July 2, 2018</w:t>
            </w:r>
          </w:p>
          <w:p w:rsidR="0009727B" w:rsidRPr="0009727B" w:rsidRDefault="0009727B">
            <w:pPr>
              <w:pStyle w:val="NormalWeb"/>
              <w:rPr>
                <w:sz w:val="20"/>
                <w:szCs w:val="20"/>
              </w:rPr>
            </w:pPr>
            <w:r w:rsidRPr="0009727B">
              <w:rPr>
                <w:rStyle w:val="Strong"/>
                <w:sz w:val="20"/>
                <w:szCs w:val="20"/>
                <w:u w:val="single"/>
              </w:rPr>
              <w:t>VASRD Eye Display Error Within VBMS-R</w:t>
            </w:r>
            <w:r w:rsidRPr="0009727B">
              <w:rPr>
                <w:rStyle w:val="Strong"/>
                <w:sz w:val="20"/>
                <w:szCs w:val="20"/>
              </w:rPr>
              <w:t>:  The meridian degree values, which would be associated with a Goldmann Perimeter Chart, are mislabeled for the OS - Left Eye.  The correct axes values and order are provided below:</w:t>
            </w:r>
          </w:p>
          <w:p w:rsidR="0009727B" w:rsidRPr="0009727B" w:rsidRDefault="0009727B">
            <w:pPr>
              <w:pStyle w:val="NormalWeb"/>
              <w:rPr>
                <w:sz w:val="20"/>
                <w:szCs w:val="20"/>
              </w:rPr>
            </w:pPr>
            <w:r w:rsidRPr="0009727B">
              <w:rPr>
                <w:rStyle w:val="Emphasis"/>
                <w:b/>
                <w:bCs/>
                <w:sz w:val="20"/>
                <w:szCs w:val="20"/>
              </w:rPr>
              <w:t>Visual Field (OS-Left Eye)</w:t>
            </w:r>
          </w:p>
          <w:p w:rsidR="0009727B" w:rsidRPr="0009727B" w:rsidRDefault="0009727B">
            <w:pPr>
              <w:pStyle w:val="NormalWeb"/>
              <w:rPr>
                <w:sz w:val="20"/>
                <w:szCs w:val="20"/>
              </w:rPr>
            </w:pPr>
            <w:r w:rsidRPr="0009727B">
              <w:rPr>
                <w:rStyle w:val="Emphasis"/>
                <w:b/>
                <w:bCs/>
                <w:sz w:val="20"/>
                <w:szCs w:val="20"/>
              </w:rPr>
              <w:t>Temporally - 180 degrees</w:t>
            </w:r>
            <w:r w:rsidRPr="0009727B">
              <w:rPr>
                <w:sz w:val="20"/>
                <w:szCs w:val="20"/>
              </w:rPr>
              <w:br/>
            </w:r>
            <w:r w:rsidRPr="0009727B">
              <w:rPr>
                <w:rStyle w:val="Emphasis"/>
                <w:b/>
                <w:bCs/>
                <w:sz w:val="20"/>
                <w:szCs w:val="20"/>
              </w:rPr>
              <w:t>Down Temporally -  225 degrees</w:t>
            </w:r>
            <w:r w:rsidRPr="0009727B">
              <w:rPr>
                <w:sz w:val="20"/>
                <w:szCs w:val="20"/>
              </w:rPr>
              <w:br/>
            </w:r>
            <w:r w:rsidRPr="0009727B">
              <w:rPr>
                <w:rStyle w:val="Emphasis"/>
                <w:b/>
                <w:bCs/>
                <w:sz w:val="20"/>
                <w:szCs w:val="20"/>
              </w:rPr>
              <w:t>Down - 270 degrees</w:t>
            </w:r>
            <w:r w:rsidRPr="0009727B">
              <w:rPr>
                <w:sz w:val="20"/>
                <w:szCs w:val="20"/>
              </w:rPr>
              <w:br/>
            </w:r>
            <w:r w:rsidRPr="0009727B">
              <w:rPr>
                <w:rStyle w:val="Emphasis"/>
                <w:b/>
                <w:bCs/>
                <w:sz w:val="20"/>
                <w:szCs w:val="20"/>
              </w:rPr>
              <w:t>Down Nasally - 315 degrees</w:t>
            </w:r>
            <w:r w:rsidRPr="0009727B">
              <w:rPr>
                <w:sz w:val="20"/>
                <w:szCs w:val="20"/>
              </w:rPr>
              <w:br/>
            </w:r>
            <w:r w:rsidRPr="0009727B">
              <w:rPr>
                <w:rStyle w:val="Emphasis"/>
                <w:b/>
                <w:bCs/>
                <w:sz w:val="20"/>
                <w:szCs w:val="20"/>
              </w:rPr>
              <w:t>Nasally - 0 degrees</w:t>
            </w:r>
            <w:r w:rsidRPr="0009727B">
              <w:rPr>
                <w:sz w:val="20"/>
                <w:szCs w:val="20"/>
              </w:rPr>
              <w:br/>
            </w:r>
            <w:r w:rsidRPr="0009727B">
              <w:rPr>
                <w:rStyle w:val="Emphasis"/>
                <w:b/>
                <w:bCs/>
                <w:sz w:val="20"/>
                <w:szCs w:val="20"/>
              </w:rPr>
              <w:t>Up Nasally - 45 degrees</w:t>
            </w:r>
            <w:r w:rsidRPr="0009727B">
              <w:rPr>
                <w:sz w:val="20"/>
                <w:szCs w:val="20"/>
              </w:rPr>
              <w:br/>
            </w:r>
            <w:r w:rsidRPr="0009727B">
              <w:rPr>
                <w:rStyle w:val="Emphasis"/>
                <w:b/>
                <w:bCs/>
                <w:sz w:val="20"/>
                <w:szCs w:val="20"/>
              </w:rPr>
              <w:t>Up - 90 degrees</w:t>
            </w:r>
            <w:r w:rsidRPr="0009727B">
              <w:rPr>
                <w:sz w:val="20"/>
                <w:szCs w:val="20"/>
              </w:rPr>
              <w:br/>
            </w:r>
            <w:r w:rsidRPr="0009727B">
              <w:rPr>
                <w:rStyle w:val="Emphasis"/>
                <w:b/>
                <w:bCs/>
                <w:sz w:val="20"/>
                <w:szCs w:val="20"/>
              </w:rPr>
              <w:t>Up temporally - 135 degrees</w:t>
            </w:r>
          </w:p>
          <w:p w:rsidR="0009727B" w:rsidRDefault="0009727B">
            <w:pPr>
              <w:pStyle w:val="NormalWeb"/>
            </w:pPr>
            <w:r w:rsidRPr="0009727B">
              <w:rPr>
                <w:rStyle w:val="Strong"/>
                <w:sz w:val="20"/>
                <w:szCs w:val="20"/>
              </w:rPr>
              <w:t>The display is expected to be corrected with the next VBMS release scheduled for August 2018.</w:t>
            </w:r>
          </w:p>
        </w:tc>
      </w:tr>
    </w:tbl>
    <w:p w:rsidR="0009727B" w:rsidRDefault="0009727B" w:rsidP="00F43BB6">
      <w:pPr>
        <w:widowControl w:val="0"/>
        <w:numPr>
          <w:ilvl w:val="12"/>
          <w:numId w:val="0"/>
        </w:numPr>
        <w:rPr>
          <w:color w:val="000000"/>
        </w:rPr>
      </w:pPr>
    </w:p>
    <w:p w:rsidR="0009727B" w:rsidRDefault="0009727B" w:rsidP="00F43BB6">
      <w:pPr>
        <w:widowControl w:val="0"/>
        <w:numPr>
          <w:ilvl w:val="12"/>
          <w:numId w:val="0"/>
        </w:numPr>
        <w:rPr>
          <w:color w:val="000000"/>
        </w:rPr>
      </w:pPr>
    </w:p>
    <w:p w:rsidR="00F43BB6" w:rsidRDefault="00F43BB6" w:rsidP="00F43BB6">
      <w:pPr>
        <w:pStyle w:val="Heading5"/>
        <w:keepNext w:val="0"/>
        <w:widowControl w:val="0"/>
        <w:numPr>
          <w:ilvl w:val="12"/>
          <w:numId w:val="0"/>
        </w:numPr>
        <w:pBdr>
          <w:top w:val="none" w:sz="0" w:space="0" w:color="auto"/>
          <w:left w:val="none" w:sz="0" w:space="0" w:color="auto"/>
          <w:bottom w:val="none" w:sz="0" w:space="0" w:color="auto"/>
          <w:right w:val="none" w:sz="0" w:space="0" w:color="auto"/>
        </w:pBdr>
        <w:rPr>
          <w:b w:val="0"/>
          <w:bCs/>
          <w:i/>
          <w:iCs/>
          <w:sz w:val="20"/>
        </w:rPr>
      </w:pPr>
      <w:r>
        <w:rPr>
          <w:b w:val="0"/>
          <w:bCs/>
          <w:i/>
          <w:iCs/>
          <w:sz w:val="20"/>
        </w:rPr>
        <w:t>OD = right eye</w:t>
      </w:r>
    </w:p>
    <w:p w:rsidR="00F43BB6" w:rsidRDefault="00F43BB6" w:rsidP="00F43BB6">
      <w:pPr>
        <w:pStyle w:val="Heading5"/>
        <w:keepNext w:val="0"/>
        <w:widowControl w:val="0"/>
        <w:numPr>
          <w:ilvl w:val="12"/>
          <w:numId w:val="0"/>
        </w:numPr>
        <w:pBdr>
          <w:top w:val="none" w:sz="0" w:space="0" w:color="auto"/>
          <w:left w:val="none" w:sz="0" w:space="0" w:color="auto"/>
          <w:bottom w:val="none" w:sz="0" w:space="0" w:color="auto"/>
          <w:right w:val="none" w:sz="0" w:space="0" w:color="auto"/>
        </w:pBdr>
        <w:rPr>
          <w:b w:val="0"/>
          <w:bCs/>
          <w:i/>
          <w:iCs/>
          <w:sz w:val="20"/>
        </w:rPr>
      </w:pPr>
      <w:r>
        <w:rPr>
          <w:b w:val="0"/>
          <w:bCs/>
          <w:i/>
          <w:iCs/>
          <w:sz w:val="20"/>
        </w:rPr>
        <w:t>OS = left eye</w:t>
      </w:r>
    </w:p>
    <w:p w:rsidR="00F43BB6" w:rsidRDefault="00F43BB6" w:rsidP="00F43BB6">
      <w:pPr>
        <w:pStyle w:val="Heading5"/>
        <w:keepNext w:val="0"/>
        <w:widowControl w:val="0"/>
        <w:pBdr>
          <w:top w:val="none" w:sz="0" w:space="0" w:color="auto"/>
          <w:left w:val="none" w:sz="0" w:space="0" w:color="auto"/>
          <w:bottom w:val="none" w:sz="0" w:space="0" w:color="auto"/>
          <w:right w:val="none" w:sz="0" w:space="0" w:color="auto"/>
        </w:pBdr>
        <w:rPr>
          <w:b w:val="0"/>
          <w:bCs/>
          <w:i/>
          <w:iCs/>
          <w:sz w:val="20"/>
        </w:rPr>
      </w:pPr>
      <w:r>
        <w:rPr>
          <w:b w:val="0"/>
          <w:bCs/>
          <w:i/>
          <w:iCs/>
          <w:sz w:val="20"/>
        </w:rPr>
        <w:t>OU = bilateral</w:t>
      </w:r>
    </w:p>
    <w:p w:rsidR="00F43BB6" w:rsidRDefault="00F43BB6" w:rsidP="00F43BB6">
      <w:pPr>
        <w:widowControl w:val="0"/>
        <w:numPr>
          <w:ilvl w:val="12"/>
          <w:numId w:val="0"/>
        </w:numPr>
      </w:pPr>
    </w:p>
    <w:p w:rsidR="00F43BB6" w:rsidRDefault="00F43BB6" w:rsidP="00F43BB6">
      <w:pPr>
        <w:pStyle w:val="Heading1"/>
        <w:keepNext w:val="0"/>
        <w:widowControl w:val="0"/>
        <w:numPr>
          <w:ilvl w:val="12"/>
          <w:numId w:val="0"/>
        </w:numPr>
        <w:rPr>
          <w:b/>
          <w:bCs/>
          <w:i w:val="0"/>
          <w:iCs w:val="0"/>
          <w:sz w:val="20"/>
        </w:rPr>
      </w:pPr>
      <w:r>
        <w:rPr>
          <w:b/>
          <w:bCs/>
          <w:i w:val="0"/>
          <w:iCs w:val="0"/>
          <w:sz w:val="20"/>
        </w:rPr>
        <w:t>DISEASES OF THE EYE</w:t>
      </w:r>
    </w:p>
    <w:p w:rsidR="00F43BB6" w:rsidRDefault="00F43BB6" w:rsidP="00F43BB6">
      <w:pPr>
        <w:widowControl w:val="0"/>
        <w:numPr>
          <w:ilvl w:val="12"/>
          <w:numId w:val="0"/>
        </w:numPr>
        <w:rPr>
          <w:i/>
          <w:color w:val="00FFFF"/>
        </w:rPr>
      </w:pPr>
      <w:r>
        <w:t>6001</w:t>
      </w:r>
      <w:r>
        <w:tab/>
        <w:t xml:space="preserve">Keratopathy – </w:t>
      </w:r>
      <w:r>
        <w:rPr>
          <w:i/>
          <w:color w:val="008080"/>
        </w:rPr>
        <w:t>Mustard Gas presumptive under 3.316</w:t>
      </w:r>
      <w:r>
        <w:rPr>
          <w:i/>
          <w:color w:val="00FFFF"/>
        </w:rPr>
        <w:t xml:space="preserve">, </w:t>
      </w:r>
      <w:r>
        <w:rPr>
          <w:i/>
        </w:rPr>
        <w:t>also corneal opacities</w:t>
      </w:r>
    </w:p>
    <w:p w:rsidR="00F43BB6" w:rsidRDefault="00F43BB6" w:rsidP="00F43BB6">
      <w:pPr>
        <w:widowControl w:val="0"/>
        <w:numPr>
          <w:ilvl w:val="12"/>
          <w:numId w:val="0"/>
        </w:numPr>
        <w:rPr>
          <w:color w:val="008080"/>
        </w:rPr>
      </w:pPr>
      <w:r>
        <w:t>6018</w:t>
      </w:r>
      <w:r>
        <w:tab/>
        <w:t xml:space="preserve">Chronic Conjunctivitis (nontrachomatous) – </w:t>
      </w:r>
      <w:r>
        <w:rPr>
          <w:i/>
          <w:color w:val="008080"/>
        </w:rPr>
        <w:t>Mustard Gas presumptive under 3.316</w:t>
      </w:r>
    </w:p>
    <w:p w:rsidR="00F43BB6" w:rsidRDefault="00F43BB6" w:rsidP="00F43BB6">
      <w:pPr>
        <w:widowControl w:val="0"/>
        <w:numPr>
          <w:ilvl w:val="12"/>
          <w:numId w:val="0"/>
        </w:numPr>
        <w:rPr>
          <w:color w:val="FF0000"/>
        </w:rPr>
      </w:pPr>
      <w:r>
        <w:rPr>
          <w:color w:val="FF0000"/>
        </w:rPr>
        <w:t>6012</w:t>
      </w:r>
      <w:r>
        <w:rPr>
          <w:color w:val="FF0000"/>
        </w:rPr>
        <w:tab/>
        <w:t>Angle-closure glaucoma</w:t>
      </w:r>
    </w:p>
    <w:p w:rsidR="00F43BB6" w:rsidRDefault="00F43BB6" w:rsidP="00F43BB6">
      <w:pPr>
        <w:widowControl w:val="0"/>
        <w:numPr>
          <w:ilvl w:val="12"/>
          <w:numId w:val="0"/>
        </w:numPr>
        <w:rPr>
          <w:color w:val="FF0000"/>
        </w:rPr>
      </w:pPr>
      <w:r>
        <w:rPr>
          <w:color w:val="FF0000"/>
        </w:rPr>
        <w:t>6013</w:t>
      </w:r>
      <w:r>
        <w:rPr>
          <w:color w:val="FF0000"/>
        </w:rPr>
        <w:tab/>
        <w:t>Open-angle glaucoma</w:t>
      </w:r>
    </w:p>
    <w:p w:rsidR="00F43BB6" w:rsidRDefault="00F43BB6" w:rsidP="00F43BB6">
      <w:pPr>
        <w:widowControl w:val="0"/>
        <w:numPr>
          <w:ilvl w:val="12"/>
          <w:numId w:val="0"/>
        </w:numPr>
        <w:ind w:left="720" w:hanging="720"/>
      </w:pPr>
      <w:r>
        <w:t>6027</w:t>
      </w:r>
      <w:r>
        <w:tab/>
        <w:t xml:space="preserve">Cataract of any type </w:t>
      </w:r>
    </w:p>
    <w:p w:rsidR="00F43BB6" w:rsidRDefault="00F43BB6" w:rsidP="00F43BB6">
      <w:pPr>
        <w:widowControl w:val="0"/>
        <w:rPr>
          <w:i/>
          <w:iCs/>
        </w:rPr>
      </w:pPr>
      <w:r>
        <w:rPr>
          <w:i/>
          <w:iCs/>
        </w:rPr>
        <w:t xml:space="preserve">6034 - a </w:t>
      </w:r>
      <w:r>
        <w:rPr>
          <w:b/>
          <w:bCs/>
          <w:i/>
          <w:iCs/>
        </w:rPr>
        <w:t>pterygium</w:t>
      </w:r>
      <w:r>
        <w:rPr>
          <w:i/>
          <w:iCs/>
        </w:rPr>
        <w:t xml:space="preserve"> is a non-cancerous growth of the clear, thin tissue that lays over the white part of the eye (conjunctiva)</w:t>
      </w:r>
    </w:p>
    <w:p w:rsidR="00F43BB6" w:rsidRDefault="00F43BB6" w:rsidP="00F43BB6">
      <w:pPr>
        <w:widowControl w:val="0"/>
      </w:pPr>
      <w:r>
        <w:rPr>
          <w:i/>
          <w:iCs/>
        </w:rPr>
        <w:t xml:space="preserve">6037 - a </w:t>
      </w:r>
      <w:r>
        <w:rPr>
          <w:b/>
          <w:bCs/>
          <w:i/>
          <w:iCs/>
        </w:rPr>
        <w:t>pinguecula</w:t>
      </w:r>
      <w:r>
        <w:rPr>
          <w:i/>
          <w:iCs/>
        </w:rPr>
        <w:t xml:space="preserve"> is a common, non-cancerous growth of the mucus membrane lining the eyeball and underside of the eyelids (conjunctiva).</w:t>
      </w:r>
      <w:r>
        <w:t xml:space="preserve"> </w:t>
      </w:r>
    </w:p>
    <w:p w:rsidR="00F43BB6" w:rsidRDefault="00F43BB6" w:rsidP="00F43BB6">
      <w:pPr>
        <w:widowControl w:val="0"/>
        <w:numPr>
          <w:ilvl w:val="12"/>
          <w:numId w:val="0"/>
        </w:numPr>
        <w:ind w:left="720" w:hanging="720"/>
      </w:pPr>
      <w:r>
        <w:t>6090</w:t>
      </w:r>
      <w:r>
        <w:tab/>
        <w:t xml:space="preserve">Diplopia (double vision) – </w:t>
      </w:r>
      <w:r w:rsidRPr="00E07DBB">
        <w:rPr>
          <w:b/>
          <w:i/>
          <w:color w:val="002060"/>
        </w:rPr>
        <w:t>Rating Vision &amp; Eye Conditions training</w:t>
      </w:r>
      <w:r w:rsidRPr="00E07DBB">
        <w:rPr>
          <w:color w:val="002060"/>
        </w:rPr>
        <w:t xml:space="preserve"> </w:t>
      </w:r>
      <w:r w:rsidRPr="00E07DBB">
        <w:rPr>
          <w:i/>
        </w:rPr>
        <w:t>(video) says</w:t>
      </w:r>
      <w:r w:rsidRPr="00E07DBB">
        <w:t xml:space="preserve"> </w:t>
      </w:r>
      <w:r w:rsidRPr="00E07DBB">
        <w:rPr>
          <w:i/>
        </w:rPr>
        <w:t>must be constant, but Note says can give 0% if occasional or correctable with spectacles.</w:t>
      </w:r>
    </w:p>
    <w:p w:rsidR="00F43BB6" w:rsidRDefault="00F43BB6" w:rsidP="00F43BB6">
      <w:pPr>
        <w:widowControl w:val="0"/>
      </w:pPr>
    </w:p>
    <w:p w:rsidR="00F43BB6" w:rsidRPr="00123C7C" w:rsidRDefault="00F43BB6" w:rsidP="00F43BB6">
      <w:pPr>
        <w:widowControl w:val="0"/>
        <w:tabs>
          <w:tab w:val="left" w:pos="0"/>
          <w:tab w:val="left" w:pos="144"/>
        </w:tabs>
        <w:rPr>
          <w:sz w:val="22"/>
        </w:rPr>
      </w:pPr>
      <w:r w:rsidRPr="0053322D">
        <w:rPr>
          <w:rStyle w:val="Strong"/>
          <w:bCs w:val="0"/>
          <w:szCs w:val="21"/>
        </w:rPr>
        <w:t>IV.ii.2.H.4</w:t>
      </w:r>
      <w:r w:rsidRPr="0053322D">
        <w:rPr>
          <w:szCs w:val="21"/>
        </w:rPr>
        <w:t>.</w:t>
      </w:r>
      <w:r w:rsidRPr="0053322D">
        <w:rPr>
          <w:b/>
          <w:szCs w:val="21"/>
        </w:rPr>
        <w:t>j</w:t>
      </w:r>
      <w:bookmarkStart w:id="114" w:name="4j"/>
      <w:bookmarkEnd w:id="114"/>
      <w:r w:rsidRPr="0053322D">
        <w:rPr>
          <w:szCs w:val="21"/>
        </w:rPr>
        <w:t xml:space="preserve"> </w:t>
      </w:r>
      <w:r>
        <w:rPr>
          <w:sz w:val="21"/>
          <w:szCs w:val="21"/>
        </w:rPr>
        <w:t xml:space="preserve">- </w:t>
      </w:r>
      <w:r w:rsidRPr="006B2A5A">
        <w:rPr>
          <w:sz w:val="22"/>
          <w:highlight w:val="cyan"/>
        </w:rPr>
        <w:t>LPO = light perception only = no more than light perception</w:t>
      </w:r>
      <w:r>
        <w:rPr>
          <w:sz w:val="22"/>
          <w:highlight w:val="cyan"/>
        </w:rPr>
        <w:t xml:space="preserve"> = cannot recognize test</w:t>
      </w:r>
      <w:r w:rsidRPr="006B2A5A">
        <w:rPr>
          <w:sz w:val="22"/>
          <w:highlight w:val="cyan"/>
        </w:rPr>
        <w:t xml:space="preserve"> letters at </w:t>
      </w:r>
      <w:r>
        <w:rPr>
          <w:sz w:val="22"/>
          <w:highlight w:val="cyan"/>
        </w:rPr>
        <w:t xml:space="preserve">one foot </w:t>
      </w:r>
      <w:r w:rsidRPr="006B2A5A">
        <w:rPr>
          <w:sz w:val="22"/>
          <w:highlight w:val="cyan"/>
        </w:rPr>
        <w:t xml:space="preserve">or </w:t>
      </w:r>
      <w:r>
        <w:rPr>
          <w:sz w:val="22"/>
          <w:highlight w:val="cyan"/>
        </w:rPr>
        <w:t xml:space="preserve">recognize objects/hand movements, count </w:t>
      </w:r>
      <w:r w:rsidRPr="006B2A5A">
        <w:rPr>
          <w:sz w:val="22"/>
          <w:highlight w:val="cyan"/>
        </w:rPr>
        <w:t>fingers at</w:t>
      </w:r>
      <w:r>
        <w:rPr>
          <w:sz w:val="22"/>
          <w:highlight w:val="cyan"/>
        </w:rPr>
        <w:t xml:space="preserve"> three</w:t>
      </w:r>
      <w:r w:rsidRPr="006B2A5A">
        <w:rPr>
          <w:sz w:val="22"/>
          <w:highlight w:val="cyan"/>
        </w:rPr>
        <w:t xml:space="preserve"> feet = blindness for VA purposes</w:t>
      </w:r>
    </w:p>
    <w:p w:rsidR="00F43BB6" w:rsidRDefault="00F43BB6" w:rsidP="00F43BB6">
      <w:pPr>
        <w:widowControl w:val="0"/>
        <w:tabs>
          <w:tab w:val="left" w:pos="0"/>
          <w:tab w:val="left" w:pos="144"/>
        </w:tabs>
        <w:rPr>
          <w:sz w:val="22"/>
        </w:rPr>
      </w:pPr>
    </w:p>
    <w:p w:rsidR="00F43BB6" w:rsidRDefault="00F43BB6" w:rsidP="00F43BB6">
      <w:pPr>
        <w:widowControl w:val="0"/>
        <w:rPr>
          <w:sz w:val="18"/>
          <w:szCs w:val="22"/>
        </w:rPr>
      </w:pPr>
      <w:r>
        <w:rPr>
          <w:sz w:val="18"/>
          <w:szCs w:val="22"/>
        </w:rPr>
        <w:t>This is a brief list of some of the abbreviations used on clinic notes. Many of these abbreviations change from year to year, and there are dozens more, which are used less often.</w:t>
      </w:r>
    </w:p>
    <w:p w:rsidR="00F43BB6" w:rsidRDefault="00F43BB6" w:rsidP="00F43BB6">
      <w:pPr>
        <w:widowControl w:val="0"/>
        <w:rPr>
          <w:sz w:val="18"/>
          <w:szCs w:val="22"/>
        </w:rPr>
      </w:pPr>
    </w:p>
    <w:p w:rsidR="00F43BB6" w:rsidRDefault="00F43BB6" w:rsidP="00F43BB6">
      <w:pPr>
        <w:widowControl w:val="0"/>
        <w:rPr>
          <w:sz w:val="16"/>
          <w:szCs w:val="16"/>
        </w:rPr>
        <w:sectPr w:rsidR="00F43BB6" w:rsidSect="008140DA">
          <w:footnotePr>
            <w:numRestart w:val="eachSect"/>
          </w:footnotePr>
          <w:type w:val="continuous"/>
          <w:pgSz w:w="12240" w:h="15840" w:code="1"/>
          <w:pgMar w:top="720" w:right="720" w:bottom="720" w:left="720" w:header="720" w:footer="720" w:gutter="0"/>
          <w:cols w:space="720"/>
        </w:sectPr>
      </w:pPr>
    </w:p>
    <w:tbl>
      <w:tblPr>
        <w:tblW w:w="2920" w:type="dxa"/>
        <w:tblCellMar>
          <w:left w:w="0" w:type="dxa"/>
          <w:right w:w="0" w:type="dxa"/>
        </w:tblCellMar>
        <w:tblLook w:val="0000" w:firstRow="0" w:lastRow="0" w:firstColumn="0" w:lastColumn="0" w:noHBand="0" w:noVBand="0"/>
      </w:tblPr>
      <w:tblGrid>
        <w:gridCol w:w="2920"/>
      </w:tblGrid>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30-2 Commonly used automated Humphrey visual fields</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A/C or AC Anterior chamber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ACG Angle closure glaucoma </w:t>
            </w:r>
          </w:p>
        </w:tc>
      </w:tr>
      <w:tr w:rsidR="00F43BB6" w:rsidTr="00C334D1">
        <w:trPr>
          <w:trHeight w:val="67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ALPC Argon laser photocoagulation (often for diabetic macular edema for pupil dilation)</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ALT Argon laser trabeculoplasty (for glaucoma) </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AMD Age-related macular degeneration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APD Afferent pupillary defect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BCC Basal cell cancer </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BDR Background diabetic retinopathy (outside the disc)</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BRVO Branch retinal vein occlusion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 or cc With refractive correction </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C/D Cup-to-disc ratio of the optic nerve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CF Count fingers visual acuity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CL, HC Contact lenses, hard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SCL, EWSCL Soft and extended wear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CME Cystoid macular edema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CRAO Central retinal artery occlusion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CRVO Central retinal vein occlusion </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CSR or CSCR Central serous chorioretinopathy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CVF Confrontation visual field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cyl Cylinder (in refraction)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D Diopter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DCR Dacryocystorhinostomy </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DVD Dissociated vertical deviation (a form of strabismus)</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DVS Ductions, versions, saccades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DWSCL Daily wear contact lenses </w:t>
            </w:r>
          </w:p>
        </w:tc>
      </w:tr>
      <w:tr w:rsidR="00F43BB6" w:rsidTr="00C334D1">
        <w:trPr>
          <w:trHeight w:val="67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ECCE c IOL Extracapsular cataract extraction with  intraocular lens implantation</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EOG Electrooculogram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ERG Electroretinogram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EOM Extraocular muscle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ERM Epi-retinal membrane </w:t>
            </w:r>
          </w:p>
        </w:tc>
      </w:tr>
      <w:tr w:rsidR="00F43BB6" w:rsidTr="00C334D1">
        <w:trPr>
          <w:trHeight w:val="67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ET, E(T), E, E’ Esotropia, intermittent esotropia, esophoria, and esophoria at near</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EUA Exam under anesthesia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HM Hand motion vision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ICCE Intracapsular cataract extraction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IF 1% Inflamase Forte 1%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IK Interstitial keratitis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IO Inferior oblique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IOL Intraocular lens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IOP Intraocular pressure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IR Inferior rectus </w:t>
            </w:r>
          </w:p>
        </w:tc>
      </w:tr>
      <w:tr w:rsidR="00F43BB6" w:rsidTr="00C334D1">
        <w:trPr>
          <w:trHeight w:val="67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K Keratometer reading (measures the curvature of the cornea), or abbreviation for cornea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KCS Keratoconjunctivitis sicca </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KP Keratitic precipitate </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L HoT, R HoT Left Hypotropia, right hypotropia </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 xml:space="preserve">LHT, RHT Left hypertropia and right hypertropia </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LOC Laxative of choice Ä Prism diopter</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LPI Laser peripeheral iridectomy</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LP, LPO Light perception, light perception only</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LR Lateral rectus</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M Manifest (non-cyclopleged) refraction</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M&amp;N Mydriacyl &amp; Neosynephrine mixture used</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NLP No light perception</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NS or NSC Nuclear sclerotic cataract</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NVD Neovascularization of the disc</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NVE Neovascularization of the retina elsewhere</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NVI Neovascularization of iris</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OD, OS, OU Right eye, left eye, both eyes</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OHT Ocular hypertension</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P1, P2, P4 Pilocarpine (with concentration)</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PC Posterior chamber or posterior capsule</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PD Prism diopters</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PE, PHACO Phacoemulsification</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PEE Punctate epithelial erosions</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PEG Punctate epithelial granularity</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PEK Punctate epithelial keratitis or keratopathy</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PERL Pupils equal and reactive to light</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PF, PA 1% Pred Forte eye drops, prednisolone acetate</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PH Pinhole</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PKP or PK Penetrating keratoplasty (cornea transplant)</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PI 1/8 Phospholine Iodine 1/8%</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POAG Primary open angle glaucoma</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POHS Presumed ocular histoplasmosis syndrome</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PPDR Pre-proliferative diabetic retinopathy</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PRP Pan-retinal photocoagulation</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PSC Posterior subcapsular cataract</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PVD Posterior vitreous detachment</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RD Retinal detachment</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ROP Retinopathy of prematurity</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RPE Retinal pigment epithelium</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RP Retinitis pigmentosa</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s or sc Without refractive correction</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SLE or SLX Slit lamp exam</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SPK Superficial punctate keratitis (Thygeson or keratopathy)</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SR Superior rectus</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SRN, SRNVM Subretinal neovascular membrane</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Ta Applanation tonometry</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T ½, T ¼ Timoptic (with concentrations)</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Va Visual acuity</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VF Visual field</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vit Vitreous</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VTX Vitrectomy</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W4D Worth 4-dot test (in strabismus)</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XT, X(T) Exotropia, intermittent exotropia</w:t>
            </w:r>
          </w:p>
        </w:tc>
      </w:tr>
      <w:tr w:rsidR="00F43BB6" w:rsidTr="00C334D1">
        <w:trPr>
          <w:trHeight w:val="255"/>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X, X’ exophoria, exophoria at near</w:t>
            </w:r>
          </w:p>
        </w:tc>
      </w:tr>
      <w:tr w:rsidR="00F43BB6" w:rsidTr="00C334D1">
        <w:trPr>
          <w:trHeight w:val="450"/>
        </w:trPr>
        <w:tc>
          <w:tcPr>
            <w:tcW w:w="2920" w:type="dxa"/>
            <w:tcBorders>
              <w:top w:val="nil"/>
              <w:left w:val="nil"/>
              <w:bottom w:val="nil"/>
              <w:right w:val="nil"/>
            </w:tcBorders>
            <w:tcMar>
              <w:top w:w="18" w:type="dxa"/>
              <w:left w:w="18" w:type="dxa"/>
              <w:bottom w:w="0" w:type="dxa"/>
              <w:right w:w="18" w:type="dxa"/>
            </w:tcMar>
            <w:vAlign w:val="bottom"/>
          </w:tcPr>
          <w:p w:rsidR="00F43BB6" w:rsidRDefault="00F43BB6" w:rsidP="00C334D1">
            <w:pPr>
              <w:widowControl w:val="0"/>
              <w:rPr>
                <w:rFonts w:eastAsia="Arial Unicode MS"/>
                <w:sz w:val="16"/>
                <w:szCs w:val="16"/>
              </w:rPr>
            </w:pPr>
            <w:r>
              <w:rPr>
                <w:sz w:val="16"/>
                <w:szCs w:val="16"/>
              </w:rPr>
              <w:t>YAG Neodymium-yttrium aluminum garnet laser</w:t>
            </w:r>
          </w:p>
        </w:tc>
      </w:tr>
    </w:tbl>
    <w:p w:rsidR="00F43BB6" w:rsidRDefault="00F43BB6" w:rsidP="00F43BB6">
      <w:pPr>
        <w:widowControl w:val="0"/>
        <w:tabs>
          <w:tab w:val="left" w:pos="0"/>
          <w:tab w:val="left" w:pos="144"/>
        </w:tabs>
        <w:rPr>
          <w:sz w:val="22"/>
        </w:rPr>
        <w:sectPr w:rsidR="00F43BB6" w:rsidSect="008140DA">
          <w:footnotePr>
            <w:numRestart w:val="eachSect"/>
          </w:footnotePr>
          <w:type w:val="continuous"/>
          <w:pgSz w:w="12240" w:h="15840" w:code="1"/>
          <w:pgMar w:top="720" w:right="720" w:bottom="720" w:left="720" w:header="720" w:footer="720" w:gutter="0"/>
          <w:cols w:num="3" w:space="720" w:equalWidth="0">
            <w:col w:w="3360" w:space="720"/>
            <w:col w:w="2640" w:space="720"/>
            <w:col w:w="3360"/>
          </w:cols>
        </w:sectPr>
      </w:pPr>
    </w:p>
    <w:p w:rsidR="00F43BB6" w:rsidRDefault="00F43BB6" w:rsidP="00F43BB6">
      <w:pPr>
        <w:widowControl w:val="0"/>
        <w:tabs>
          <w:tab w:val="left" w:pos="0"/>
          <w:tab w:val="left" w:pos="144"/>
        </w:tabs>
        <w:rPr>
          <w:sz w:val="22"/>
        </w:rPr>
      </w:pPr>
    </w:p>
    <w:p w:rsidR="00F43BB6" w:rsidRPr="00162DF4" w:rsidRDefault="00F43BB6" w:rsidP="00F43BB6">
      <w:pPr>
        <w:widowControl w:val="0"/>
        <w:tabs>
          <w:tab w:val="left" w:pos="0"/>
          <w:tab w:val="left" w:pos="144"/>
        </w:tabs>
        <w:rPr>
          <w:sz w:val="16"/>
          <w:szCs w:val="16"/>
        </w:rPr>
      </w:pPr>
      <w:r w:rsidRPr="00162DF4">
        <w:rPr>
          <w:sz w:val="16"/>
          <w:szCs w:val="16"/>
        </w:rPr>
        <w:t>CSME – clinically significant macular edema</w:t>
      </w:r>
    </w:p>
    <w:p w:rsidR="00F43BB6" w:rsidRDefault="00F43BB6" w:rsidP="00F43BB6">
      <w:pPr>
        <w:widowControl w:val="0"/>
        <w:tabs>
          <w:tab w:val="left" w:pos="0"/>
          <w:tab w:val="left" w:pos="144"/>
        </w:tabs>
        <w:rPr>
          <w:sz w:val="22"/>
        </w:rPr>
      </w:pPr>
    </w:p>
    <w:p w:rsidR="00F43BB6" w:rsidRDefault="00F43BB6" w:rsidP="00F43BB6">
      <w:pPr>
        <w:widowControl w:val="0"/>
        <w:numPr>
          <w:ilvl w:val="12"/>
          <w:numId w:val="0"/>
        </w:numPr>
        <w:pBdr>
          <w:top w:val="single" w:sz="4" w:space="1" w:color="auto"/>
        </w:pBdr>
        <w:rPr>
          <w:b/>
          <w:u w:val="single"/>
        </w:rPr>
      </w:pPr>
      <w:r>
        <w:rPr>
          <w:b/>
          <w:u w:val="single"/>
        </w:rPr>
        <w:t>GOLDMANN BOWL NOTES:</w:t>
      </w:r>
    </w:p>
    <w:p w:rsidR="00F43BB6" w:rsidRDefault="00F43BB6" w:rsidP="00F43BB6">
      <w:pPr>
        <w:widowControl w:val="0"/>
        <w:numPr>
          <w:ilvl w:val="12"/>
          <w:numId w:val="0"/>
        </w:numPr>
        <w:pBdr>
          <w:top w:val="single" w:sz="4" w:space="1" w:color="auto"/>
        </w:pBdr>
        <w:rPr>
          <w:b/>
          <w:u w:val="single"/>
        </w:rPr>
      </w:pPr>
    </w:p>
    <w:p w:rsidR="00F43BB6" w:rsidRDefault="00F43BB6" w:rsidP="00F43BB6">
      <w:pPr>
        <w:widowControl w:val="0"/>
        <w:numPr>
          <w:ilvl w:val="12"/>
          <w:numId w:val="0"/>
        </w:numPr>
        <w:ind w:left="2160" w:firstLine="720"/>
        <w:rPr>
          <w:b/>
        </w:rPr>
      </w:pPr>
      <w:r>
        <w:rPr>
          <w:b/>
        </w:rPr>
        <w:t xml:space="preserve">Left eye- OS </w:t>
      </w:r>
      <w:r>
        <w:rPr>
          <w:b/>
          <w:sz w:val="16"/>
        </w:rPr>
        <w:t>(put on left)</w:t>
      </w:r>
      <w:r>
        <w:rPr>
          <w:b/>
        </w:rPr>
        <w:tab/>
      </w:r>
      <w:r>
        <w:rPr>
          <w:b/>
        </w:rPr>
        <w:tab/>
      </w:r>
      <w:r>
        <w:rPr>
          <w:b/>
        </w:rPr>
        <w:tab/>
        <w:t xml:space="preserve">Right eye- OD </w:t>
      </w:r>
      <w:r>
        <w:rPr>
          <w:b/>
          <w:sz w:val="16"/>
        </w:rPr>
        <w:t>(put on right)</w:t>
      </w:r>
    </w:p>
    <w:p w:rsidR="00F43BB6" w:rsidRDefault="00F43BB6" w:rsidP="00F43BB6">
      <w:pPr>
        <w:widowControl w:val="0"/>
        <w:numPr>
          <w:ilvl w:val="12"/>
          <w:numId w:val="0"/>
        </w:numPr>
        <w:rPr>
          <w:b/>
        </w:rPr>
      </w:pPr>
      <w:r>
        <w:rPr>
          <w:b/>
        </w:rPr>
        <w:t xml:space="preserve">Temporally </w:t>
      </w:r>
      <w:r w:rsidRPr="00592F38">
        <w:rPr>
          <w:i/>
        </w:rPr>
        <w:t>(normal 85)</w:t>
      </w:r>
      <w:r>
        <w:rPr>
          <w:b/>
        </w:rPr>
        <w:tab/>
      </w:r>
      <w:r>
        <w:rPr>
          <w:b/>
        </w:rPr>
        <w:tab/>
      </w:r>
      <w:r>
        <w:rPr>
          <w:b/>
        </w:rPr>
        <w:tab/>
        <w:t>180</w:t>
      </w:r>
      <w:r>
        <w:rPr>
          <w:b/>
        </w:rPr>
        <w:tab/>
      </w:r>
      <w:r>
        <w:rPr>
          <w:b/>
        </w:rPr>
        <w:tab/>
      </w:r>
      <w:r>
        <w:rPr>
          <w:b/>
        </w:rPr>
        <w:tab/>
      </w:r>
      <w:r>
        <w:rPr>
          <w:b/>
        </w:rPr>
        <w:tab/>
      </w:r>
      <w:r>
        <w:rPr>
          <w:b/>
        </w:rPr>
        <w:tab/>
        <w:t>0</w:t>
      </w:r>
    </w:p>
    <w:p w:rsidR="00F43BB6" w:rsidRDefault="00F43BB6" w:rsidP="00F43BB6">
      <w:pPr>
        <w:widowControl w:val="0"/>
        <w:numPr>
          <w:ilvl w:val="12"/>
          <w:numId w:val="0"/>
        </w:numPr>
        <w:rPr>
          <w:b/>
        </w:rPr>
      </w:pPr>
      <w:r>
        <w:rPr>
          <w:b/>
        </w:rPr>
        <w:t xml:space="preserve">Down Temporally </w:t>
      </w:r>
      <w:r w:rsidRPr="00592F38">
        <w:rPr>
          <w:i/>
        </w:rPr>
        <w:t>(85)</w:t>
      </w:r>
      <w:r>
        <w:rPr>
          <w:b/>
        </w:rPr>
        <w:tab/>
      </w:r>
      <w:r>
        <w:rPr>
          <w:b/>
        </w:rPr>
        <w:tab/>
      </w:r>
      <w:r>
        <w:rPr>
          <w:b/>
        </w:rPr>
        <w:tab/>
        <w:t>225</w:t>
      </w:r>
      <w:r>
        <w:rPr>
          <w:b/>
        </w:rPr>
        <w:tab/>
      </w:r>
      <w:r>
        <w:rPr>
          <w:b/>
        </w:rPr>
        <w:tab/>
      </w:r>
      <w:r>
        <w:rPr>
          <w:b/>
        </w:rPr>
        <w:tab/>
      </w:r>
      <w:r>
        <w:rPr>
          <w:b/>
        </w:rPr>
        <w:tab/>
      </w:r>
      <w:r>
        <w:rPr>
          <w:b/>
        </w:rPr>
        <w:tab/>
        <w:t>315</w:t>
      </w:r>
    </w:p>
    <w:p w:rsidR="00F43BB6" w:rsidRDefault="00F43BB6" w:rsidP="00F43BB6">
      <w:pPr>
        <w:widowControl w:val="0"/>
        <w:numPr>
          <w:ilvl w:val="12"/>
          <w:numId w:val="0"/>
        </w:numPr>
        <w:rPr>
          <w:b/>
        </w:rPr>
      </w:pPr>
      <w:r>
        <w:rPr>
          <w:b/>
        </w:rPr>
        <w:t xml:space="preserve">Down </w:t>
      </w:r>
      <w:r w:rsidRPr="00592F38">
        <w:rPr>
          <w:i/>
        </w:rPr>
        <w:t>(65)</w:t>
      </w:r>
      <w:r>
        <w:rPr>
          <w:b/>
        </w:rPr>
        <w:tab/>
      </w:r>
      <w:r>
        <w:rPr>
          <w:b/>
        </w:rPr>
        <w:tab/>
      </w:r>
      <w:r>
        <w:rPr>
          <w:b/>
        </w:rPr>
        <w:tab/>
      </w:r>
      <w:r>
        <w:rPr>
          <w:b/>
        </w:rPr>
        <w:tab/>
        <w:t>270</w:t>
      </w:r>
      <w:r>
        <w:rPr>
          <w:b/>
        </w:rPr>
        <w:tab/>
      </w:r>
      <w:r>
        <w:rPr>
          <w:b/>
        </w:rPr>
        <w:tab/>
      </w:r>
      <w:r>
        <w:rPr>
          <w:b/>
        </w:rPr>
        <w:tab/>
      </w:r>
      <w:r>
        <w:rPr>
          <w:b/>
        </w:rPr>
        <w:tab/>
      </w:r>
      <w:r>
        <w:rPr>
          <w:b/>
        </w:rPr>
        <w:tab/>
        <w:t>270</w:t>
      </w:r>
    </w:p>
    <w:p w:rsidR="00F43BB6" w:rsidRDefault="00F43BB6" w:rsidP="00F43BB6">
      <w:pPr>
        <w:widowControl w:val="0"/>
        <w:numPr>
          <w:ilvl w:val="12"/>
          <w:numId w:val="0"/>
        </w:numPr>
        <w:rPr>
          <w:b/>
        </w:rPr>
      </w:pPr>
      <w:r>
        <w:rPr>
          <w:b/>
        </w:rPr>
        <w:t xml:space="preserve">Down Nasally </w:t>
      </w:r>
      <w:r w:rsidRPr="00592F38">
        <w:rPr>
          <w:i/>
        </w:rPr>
        <w:t>(50)</w:t>
      </w:r>
      <w:r>
        <w:rPr>
          <w:b/>
        </w:rPr>
        <w:tab/>
      </w:r>
      <w:r>
        <w:rPr>
          <w:b/>
        </w:rPr>
        <w:tab/>
      </w:r>
      <w:r>
        <w:rPr>
          <w:b/>
        </w:rPr>
        <w:tab/>
        <w:t>315</w:t>
      </w:r>
      <w:r>
        <w:rPr>
          <w:b/>
        </w:rPr>
        <w:tab/>
      </w:r>
      <w:r>
        <w:rPr>
          <w:b/>
        </w:rPr>
        <w:tab/>
      </w:r>
      <w:r>
        <w:rPr>
          <w:b/>
        </w:rPr>
        <w:tab/>
      </w:r>
      <w:r>
        <w:rPr>
          <w:b/>
        </w:rPr>
        <w:tab/>
      </w:r>
      <w:r>
        <w:rPr>
          <w:b/>
        </w:rPr>
        <w:tab/>
        <w:t>225</w:t>
      </w:r>
    </w:p>
    <w:p w:rsidR="00F43BB6" w:rsidRDefault="00F43BB6" w:rsidP="00F43BB6">
      <w:pPr>
        <w:widowControl w:val="0"/>
        <w:numPr>
          <w:ilvl w:val="12"/>
          <w:numId w:val="0"/>
        </w:numPr>
        <w:rPr>
          <w:b/>
        </w:rPr>
      </w:pPr>
      <w:r>
        <w:rPr>
          <w:b/>
        </w:rPr>
        <w:t>Nasally</w:t>
      </w:r>
      <w:r>
        <w:rPr>
          <w:b/>
        </w:rPr>
        <w:tab/>
      </w:r>
      <w:r w:rsidRPr="00592F38">
        <w:rPr>
          <w:i/>
        </w:rPr>
        <w:t xml:space="preserve"> (60)</w:t>
      </w:r>
      <w:r>
        <w:rPr>
          <w:b/>
        </w:rPr>
        <w:tab/>
      </w:r>
      <w:r>
        <w:rPr>
          <w:b/>
        </w:rPr>
        <w:tab/>
      </w:r>
      <w:r>
        <w:rPr>
          <w:b/>
        </w:rPr>
        <w:tab/>
      </w:r>
      <w:r>
        <w:rPr>
          <w:b/>
        </w:rPr>
        <w:tab/>
        <w:t>0</w:t>
      </w:r>
      <w:r>
        <w:rPr>
          <w:b/>
        </w:rPr>
        <w:tab/>
      </w:r>
      <w:r>
        <w:rPr>
          <w:b/>
        </w:rPr>
        <w:tab/>
      </w:r>
      <w:r>
        <w:rPr>
          <w:b/>
        </w:rPr>
        <w:tab/>
      </w:r>
      <w:r>
        <w:rPr>
          <w:b/>
        </w:rPr>
        <w:tab/>
      </w:r>
      <w:r>
        <w:rPr>
          <w:b/>
        </w:rPr>
        <w:tab/>
        <w:t>180</w:t>
      </w:r>
    </w:p>
    <w:p w:rsidR="00F43BB6" w:rsidRDefault="00F43BB6" w:rsidP="00F43BB6">
      <w:pPr>
        <w:widowControl w:val="0"/>
        <w:numPr>
          <w:ilvl w:val="12"/>
          <w:numId w:val="0"/>
        </w:numPr>
        <w:rPr>
          <w:b/>
        </w:rPr>
      </w:pPr>
      <w:r>
        <w:rPr>
          <w:b/>
        </w:rPr>
        <w:t xml:space="preserve">Up Nasally </w:t>
      </w:r>
      <w:r w:rsidRPr="00592F38">
        <w:rPr>
          <w:i/>
        </w:rPr>
        <w:t>(55)</w:t>
      </w:r>
      <w:r w:rsidRPr="00592F38">
        <w:rPr>
          <w:i/>
        </w:rPr>
        <w:tab/>
      </w:r>
      <w:r>
        <w:rPr>
          <w:b/>
        </w:rPr>
        <w:tab/>
      </w:r>
      <w:r>
        <w:rPr>
          <w:b/>
        </w:rPr>
        <w:tab/>
      </w:r>
      <w:r>
        <w:rPr>
          <w:b/>
        </w:rPr>
        <w:tab/>
        <w:t>45</w:t>
      </w:r>
      <w:r>
        <w:rPr>
          <w:b/>
        </w:rPr>
        <w:tab/>
      </w:r>
      <w:r>
        <w:rPr>
          <w:b/>
        </w:rPr>
        <w:tab/>
      </w:r>
      <w:r>
        <w:rPr>
          <w:b/>
        </w:rPr>
        <w:tab/>
      </w:r>
      <w:r>
        <w:rPr>
          <w:b/>
        </w:rPr>
        <w:tab/>
      </w:r>
      <w:r>
        <w:rPr>
          <w:b/>
        </w:rPr>
        <w:tab/>
        <w:t>135</w:t>
      </w:r>
    </w:p>
    <w:p w:rsidR="00F43BB6" w:rsidRDefault="00F43BB6" w:rsidP="00F43BB6">
      <w:pPr>
        <w:widowControl w:val="0"/>
        <w:numPr>
          <w:ilvl w:val="12"/>
          <w:numId w:val="0"/>
        </w:numPr>
        <w:rPr>
          <w:b/>
        </w:rPr>
      </w:pPr>
      <w:r>
        <w:rPr>
          <w:b/>
        </w:rPr>
        <w:t xml:space="preserve">Up </w:t>
      </w:r>
      <w:r w:rsidRPr="00592F38">
        <w:rPr>
          <w:i/>
        </w:rPr>
        <w:t>(45)</w:t>
      </w:r>
      <w:r w:rsidRPr="00592F38">
        <w:rPr>
          <w:i/>
        </w:rPr>
        <w:tab/>
      </w:r>
      <w:r>
        <w:rPr>
          <w:b/>
        </w:rPr>
        <w:tab/>
      </w:r>
      <w:r>
        <w:rPr>
          <w:b/>
        </w:rPr>
        <w:tab/>
      </w:r>
      <w:r>
        <w:rPr>
          <w:b/>
        </w:rPr>
        <w:tab/>
      </w:r>
      <w:r>
        <w:rPr>
          <w:b/>
        </w:rPr>
        <w:tab/>
        <w:t>90</w:t>
      </w:r>
      <w:r>
        <w:rPr>
          <w:b/>
        </w:rPr>
        <w:tab/>
      </w:r>
      <w:r>
        <w:rPr>
          <w:b/>
        </w:rPr>
        <w:tab/>
      </w:r>
      <w:r>
        <w:rPr>
          <w:b/>
        </w:rPr>
        <w:tab/>
      </w:r>
      <w:r>
        <w:rPr>
          <w:b/>
        </w:rPr>
        <w:tab/>
      </w:r>
      <w:r>
        <w:rPr>
          <w:b/>
        </w:rPr>
        <w:tab/>
        <w:t>90</w:t>
      </w:r>
    </w:p>
    <w:p w:rsidR="00F43BB6" w:rsidRDefault="00F43BB6" w:rsidP="00F43BB6">
      <w:pPr>
        <w:widowControl w:val="0"/>
        <w:numPr>
          <w:ilvl w:val="12"/>
          <w:numId w:val="0"/>
        </w:numPr>
        <w:rPr>
          <w:b/>
        </w:rPr>
      </w:pPr>
      <w:r>
        <w:rPr>
          <w:b/>
        </w:rPr>
        <w:t>Up Temporally</w:t>
      </w:r>
      <w:r>
        <w:rPr>
          <w:b/>
        </w:rPr>
        <w:tab/>
      </w:r>
      <w:r w:rsidRPr="00592F38">
        <w:rPr>
          <w:i/>
        </w:rPr>
        <w:t>(55)</w:t>
      </w:r>
      <w:r>
        <w:rPr>
          <w:b/>
        </w:rPr>
        <w:tab/>
      </w:r>
      <w:r>
        <w:rPr>
          <w:b/>
        </w:rPr>
        <w:tab/>
      </w:r>
      <w:r>
        <w:rPr>
          <w:b/>
        </w:rPr>
        <w:tab/>
        <w:t>135</w:t>
      </w:r>
      <w:r>
        <w:rPr>
          <w:b/>
        </w:rPr>
        <w:tab/>
      </w:r>
      <w:r>
        <w:rPr>
          <w:b/>
        </w:rPr>
        <w:tab/>
      </w:r>
      <w:r>
        <w:rPr>
          <w:b/>
        </w:rPr>
        <w:tab/>
      </w:r>
      <w:r>
        <w:rPr>
          <w:b/>
        </w:rPr>
        <w:tab/>
      </w:r>
      <w:r>
        <w:rPr>
          <w:b/>
        </w:rPr>
        <w:tab/>
        <w:t>45</w:t>
      </w:r>
    </w:p>
    <w:p w:rsidR="00F43BB6" w:rsidRPr="00592F38" w:rsidRDefault="00F43BB6" w:rsidP="00F43BB6">
      <w:pPr>
        <w:widowControl w:val="0"/>
        <w:numPr>
          <w:ilvl w:val="12"/>
          <w:numId w:val="0"/>
        </w:numPr>
        <w:rPr>
          <w:i/>
        </w:rPr>
      </w:pPr>
      <w:r w:rsidRPr="00592F38">
        <w:rPr>
          <w:i/>
        </w:rPr>
        <w:t>Normal total 500</w:t>
      </w:r>
    </w:p>
    <w:p w:rsidR="00F43BB6" w:rsidRDefault="00F43BB6" w:rsidP="00F43BB6">
      <w:pPr>
        <w:widowControl w:val="0"/>
        <w:tabs>
          <w:tab w:val="left" w:pos="0"/>
          <w:tab w:val="left" w:pos="144"/>
        </w:tabs>
        <w:rPr>
          <w:b/>
        </w:rPr>
      </w:pPr>
    </w:p>
    <w:p w:rsidR="00F43BB6" w:rsidRDefault="00F43BB6" w:rsidP="00F43BB6">
      <w:pPr>
        <w:pStyle w:val="BodyText3"/>
        <w:widowControl w:val="0"/>
        <w:tabs>
          <w:tab w:val="left" w:pos="0"/>
          <w:tab w:val="left" w:pos="144"/>
        </w:tabs>
        <w:overflowPunct w:val="0"/>
        <w:autoSpaceDE w:val="0"/>
        <w:autoSpaceDN w:val="0"/>
        <w:adjustRightInd w:val="0"/>
        <w:spacing w:before="0"/>
        <w:textAlignment w:val="baseline"/>
        <w:rPr>
          <w:rFonts w:ascii="Arial" w:hAnsi="Arial"/>
          <w:sz w:val="20"/>
        </w:rPr>
      </w:pPr>
      <w:r w:rsidRPr="00F50892">
        <w:rPr>
          <w:rFonts w:ascii="Arial" w:hAnsi="Arial"/>
          <w:sz w:val="20"/>
        </w:rPr>
        <w:t xml:space="preserve">The </w:t>
      </w:r>
      <w:r>
        <w:rPr>
          <w:rFonts w:ascii="Arial" w:hAnsi="Arial"/>
          <w:sz w:val="20"/>
        </w:rPr>
        <w:t>DBQ</w:t>
      </w:r>
      <w:r w:rsidRPr="00F50892">
        <w:rPr>
          <w:rFonts w:ascii="Arial" w:hAnsi="Arial"/>
          <w:sz w:val="20"/>
        </w:rPr>
        <w:t xml:space="preserve"> shows a left eye average contraction of </w:t>
      </w:r>
      <w:r>
        <w:rPr>
          <w:rFonts w:ascii="Arial" w:hAnsi="Arial"/>
          <w:sz w:val="20"/>
        </w:rPr>
        <w:t>{}</w:t>
      </w:r>
      <w:r w:rsidRPr="00F50892">
        <w:rPr>
          <w:rFonts w:ascii="Arial" w:hAnsi="Arial"/>
          <w:sz w:val="20"/>
        </w:rPr>
        <w:t xml:space="preserve"> degrees, which is equivalent to a visual acuity of </w:t>
      </w:r>
      <w:r>
        <w:rPr>
          <w:rFonts w:ascii="Arial" w:hAnsi="Arial"/>
          <w:sz w:val="20"/>
        </w:rPr>
        <w:t>{}</w:t>
      </w:r>
      <w:r w:rsidRPr="00F50892">
        <w:rPr>
          <w:rFonts w:ascii="Arial" w:hAnsi="Arial"/>
          <w:sz w:val="20"/>
        </w:rPr>
        <w:t xml:space="preserve">, and a right eye average contraction of </w:t>
      </w:r>
      <w:r>
        <w:rPr>
          <w:rFonts w:ascii="Arial" w:hAnsi="Arial"/>
          <w:sz w:val="20"/>
        </w:rPr>
        <w:t>{}</w:t>
      </w:r>
      <w:r w:rsidRPr="00F50892">
        <w:rPr>
          <w:rFonts w:ascii="Arial" w:hAnsi="Arial"/>
          <w:sz w:val="20"/>
        </w:rPr>
        <w:t xml:space="preserve"> degrees, which is equivalent to a visual acuity of </w:t>
      </w:r>
      <w:r>
        <w:rPr>
          <w:rFonts w:ascii="Arial" w:hAnsi="Arial"/>
          <w:sz w:val="20"/>
        </w:rPr>
        <w:t>{}</w:t>
      </w:r>
      <w:r w:rsidRPr="00F50892">
        <w:rPr>
          <w:rFonts w:ascii="Arial" w:hAnsi="Arial"/>
          <w:sz w:val="20"/>
        </w:rPr>
        <w:t>.</w:t>
      </w:r>
    </w:p>
    <w:p w:rsidR="00F43BB6" w:rsidRDefault="00F43BB6" w:rsidP="00F43BB6">
      <w:pPr>
        <w:pStyle w:val="BodyText3"/>
        <w:widowControl w:val="0"/>
        <w:tabs>
          <w:tab w:val="left" w:pos="0"/>
          <w:tab w:val="left" w:pos="144"/>
        </w:tabs>
        <w:overflowPunct w:val="0"/>
        <w:autoSpaceDE w:val="0"/>
        <w:autoSpaceDN w:val="0"/>
        <w:adjustRightInd w:val="0"/>
        <w:spacing w:before="0"/>
        <w:textAlignment w:val="baseline"/>
        <w:rPr>
          <w:rFonts w:ascii="Arial" w:hAnsi="Arial"/>
          <w:sz w:val="20"/>
        </w:rPr>
      </w:pPr>
    </w:p>
    <w:p w:rsidR="00F43BB6" w:rsidRPr="00F50892" w:rsidRDefault="00F43BB6" w:rsidP="00F43BB6">
      <w:pPr>
        <w:pStyle w:val="BodyText3"/>
        <w:widowControl w:val="0"/>
        <w:pBdr>
          <w:top w:val="single" w:sz="2" w:space="1" w:color="auto"/>
          <w:left w:val="single" w:sz="2" w:space="4" w:color="auto"/>
          <w:bottom w:val="single" w:sz="2" w:space="1" w:color="auto"/>
          <w:right w:val="single" w:sz="2" w:space="4" w:color="auto"/>
        </w:pBdr>
        <w:tabs>
          <w:tab w:val="left" w:pos="0"/>
          <w:tab w:val="left" w:pos="144"/>
        </w:tabs>
        <w:overflowPunct w:val="0"/>
        <w:autoSpaceDE w:val="0"/>
        <w:autoSpaceDN w:val="0"/>
        <w:adjustRightInd w:val="0"/>
        <w:spacing w:before="0"/>
        <w:textAlignment w:val="baseline"/>
        <w:rPr>
          <w:rFonts w:ascii="Arial" w:hAnsi="Arial"/>
          <w:sz w:val="20"/>
        </w:rPr>
      </w:pPr>
      <w:r w:rsidRPr="00533A8B">
        <w:rPr>
          <w:rFonts w:ascii="Arial" w:hAnsi="Arial"/>
          <w:sz w:val="20"/>
        </w:rPr>
        <w:t xml:space="preserve">Rating Note:  </w:t>
      </w:r>
      <w:r>
        <w:rPr>
          <w:rFonts w:ascii="Arial" w:hAnsi="Arial"/>
          <w:sz w:val="20"/>
        </w:rPr>
        <w:t>Medical</w:t>
      </w:r>
      <w:r w:rsidRPr="00533A8B">
        <w:rPr>
          <w:rFonts w:ascii="Arial" w:hAnsi="Arial"/>
          <w:sz w:val="20"/>
        </w:rPr>
        <w:t xml:space="preserve"> Liaison has previously advised me that if a Goldmann Chart does not show a contraction of visual field or loss of visual field, no Goldmann chart will be provided, per question 10b.</w:t>
      </w:r>
    </w:p>
    <w:p w:rsidR="00F43BB6" w:rsidRDefault="00F43BB6" w:rsidP="00F43BB6">
      <w:pPr>
        <w:widowControl w:val="0"/>
        <w:tabs>
          <w:tab w:val="left" w:pos="0"/>
          <w:tab w:val="left" w:pos="144"/>
        </w:tabs>
        <w:rPr>
          <w:b/>
        </w:rPr>
      </w:pPr>
    </w:p>
    <w:p w:rsidR="00F43BB6" w:rsidRDefault="00F43BB6" w:rsidP="00F43BB6">
      <w:pPr>
        <w:widowControl w:val="0"/>
        <w:tabs>
          <w:tab w:val="left" w:pos="0"/>
          <w:tab w:val="left" w:pos="144"/>
        </w:tabs>
        <w:rPr>
          <w:lang w:val="en"/>
        </w:rPr>
      </w:pPr>
      <w:r>
        <w:rPr>
          <w:b/>
          <w:bCs/>
          <w:i/>
          <w:iCs/>
        </w:rPr>
        <w:t>February 2017</w:t>
      </w:r>
      <w:r w:rsidRPr="00000E48">
        <w:rPr>
          <w:b/>
          <w:bCs/>
          <w:i/>
          <w:iCs/>
        </w:rPr>
        <w:t xml:space="preserve"> Compensation Service Bulletin (CSB</w:t>
      </w:r>
      <w:r w:rsidRPr="00637BF0">
        <w:rPr>
          <w:b/>
          <w:bCs/>
          <w:i/>
          <w:iCs/>
        </w:rPr>
        <w:t>)</w:t>
      </w:r>
      <w:r w:rsidRPr="00637BF0">
        <w:t xml:space="preserve"> - </w:t>
      </w:r>
      <w:r w:rsidRPr="00637BF0">
        <w:rPr>
          <w:lang w:val="en"/>
        </w:rPr>
        <w:t>If the examiner indicates that there is a visual field defect (in block 10), the appropriate visual field testing must be undertaken.  No visual field testing is required if the examiner indicates that the veteran does not have a visual field defect, irrespective of the eye disability that is the subject of the examination. </w:t>
      </w:r>
    </w:p>
    <w:p w:rsidR="00D275EA" w:rsidRDefault="00D275EA" w:rsidP="00F43BB6">
      <w:pPr>
        <w:widowControl w:val="0"/>
        <w:tabs>
          <w:tab w:val="left" w:pos="0"/>
          <w:tab w:val="left" w:pos="144"/>
        </w:tabs>
        <w:rPr>
          <w:b/>
          <w:bCs/>
          <w:i/>
          <w:iCs/>
        </w:rPr>
      </w:pPr>
    </w:p>
    <w:p w:rsidR="00F43BB6" w:rsidRDefault="00F43BB6">
      <w:pPr>
        <w:widowControl w:val="0"/>
        <w:numPr>
          <w:ilvl w:val="12"/>
          <w:numId w:val="0"/>
        </w:numPr>
        <w:pBdr>
          <w:top w:val="single" w:sz="6" w:space="1" w:color="auto"/>
        </w:pBdr>
      </w:pPr>
    </w:p>
    <w:p w:rsidR="00D275EA" w:rsidRDefault="00D275EA">
      <w:pPr>
        <w:overflowPunct/>
        <w:autoSpaceDE/>
        <w:autoSpaceDN/>
        <w:adjustRightInd/>
        <w:textAlignment w:val="auto"/>
      </w:pPr>
      <w:r>
        <w:br w:type="page"/>
      </w:r>
    </w:p>
    <w:p w:rsidR="00D275EA" w:rsidRDefault="00D275EA" w:rsidP="00D275EA">
      <w:pPr>
        <w:widowControl w:val="0"/>
        <w:pBdr>
          <w:top w:val="single" w:sz="4" w:space="1" w:color="auto"/>
        </w:pBdr>
        <w:tabs>
          <w:tab w:val="left" w:pos="0"/>
          <w:tab w:val="left" w:pos="144"/>
        </w:tabs>
        <w:rPr>
          <w:b/>
          <w:bCs/>
          <w:i/>
          <w:iCs/>
          <w:sz w:val="22"/>
        </w:rPr>
      </w:pPr>
      <w:bookmarkStart w:id="115" w:name="HLandTinnitus"/>
      <w:r>
        <w:rPr>
          <w:b/>
          <w:bCs/>
          <w:i/>
          <w:iCs/>
          <w:sz w:val="22"/>
        </w:rPr>
        <w:t>Hearing Loss and Tinnitus</w:t>
      </w:r>
    </w:p>
    <w:p w:rsidR="00D275EA" w:rsidRPr="005567F4" w:rsidRDefault="005567F4" w:rsidP="00D275EA">
      <w:pPr>
        <w:widowControl w:val="0"/>
        <w:pBdr>
          <w:top w:val="single" w:sz="4" w:space="1" w:color="auto"/>
        </w:pBdr>
        <w:tabs>
          <w:tab w:val="left" w:pos="0"/>
          <w:tab w:val="left" w:pos="144"/>
        </w:tabs>
        <w:rPr>
          <w:rStyle w:val="Hyperlink"/>
          <w:b/>
          <w:color w:val="auto"/>
          <w:u w:val="none"/>
        </w:rPr>
      </w:pPr>
      <w:r w:rsidRPr="005567F4">
        <w:rPr>
          <w:rStyle w:val="Hyperlink"/>
          <w:b/>
          <w:color w:val="auto"/>
          <w:u w:val="none"/>
        </w:rPr>
        <w:t>III.iv.4.D</w:t>
      </w:r>
    </w:p>
    <w:p w:rsidR="005567F4" w:rsidRDefault="005567F4" w:rsidP="00D275EA">
      <w:pPr>
        <w:widowControl w:val="0"/>
        <w:pBdr>
          <w:top w:val="single" w:sz="4" w:space="1" w:color="auto"/>
        </w:pBdr>
        <w:tabs>
          <w:tab w:val="left" w:pos="0"/>
          <w:tab w:val="left" w:pos="144"/>
        </w:tabs>
        <w:rPr>
          <w:b/>
          <w:bCs/>
          <w:i/>
          <w:iCs/>
          <w:sz w:val="22"/>
        </w:rPr>
      </w:pPr>
    </w:p>
    <w:p w:rsidR="00D275EA" w:rsidRPr="007143D1" w:rsidRDefault="00D275EA" w:rsidP="00F063AF">
      <w:pPr>
        <w:widowControl w:val="0"/>
        <w:numPr>
          <w:ilvl w:val="0"/>
          <w:numId w:val="172"/>
        </w:numPr>
        <w:pBdr>
          <w:top w:val="single" w:sz="4" w:space="1" w:color="auto"/>
        </w:pBdr>
        <w:tabs>
          <w:tab w:val="left" w:pos="360"/>
        </w:tabs>
        <w:spacing w:after="120"/>
        <w:ind w:left="360"/>
        <w:rPr>
          <w:b/>
          <w:bCs/>
          <w:i/>
          <w:iCs/>
          <w:sz w:val="22"/>
        </w:rPr>
      </w:pPr>
      <w:r>
        <w:t xml:space="preserve">Hearing Loss and Tinnitus </w:t>
      </w:r>
      <w:r w:rsidRPr="001E1DFE">
        <w:t>DBQ is</w:t>
      </w:r>
      <w:r>
        <w:t xml:space="preserve"> for internal VA use only, see DBQ at </w:t>
      </w:r>
      <w:hyperlink r:id="rId536" w:history="1">
        <w:r w:rsidRPr="004E52F3">
          <w:rPr>
            <w:rStyle w:val="Hyperlink"/>
            <w:i/>
          </w:rPr>
          <w:t>http://vbacodmoint1.vba.va.gov/bl/21/dbq/default.asp</w:t>
        </w:r>
      </w:hyperlink>
    </w:p>
    <w:p w:rsidR="00D275EA" w:rsidRDefault="00D275EA" w:rsidP="00D275EA">
      <w:pPr>
        <w:pBdr>
          <w:top w:val="single" w:sz="4" w:space="1" w:color="auto"/>
          <w:left w:val="single" w:sz="4" w:space="4" w:color="auto"/>
          <w:right w:val="single" w:sz="4" w:space="4" w:color="auto"/>
        </w:pBdr>
        <w:tabs>
          <w:tab w:val="left" w:pos="720"/>
        </w:tabs>
        <w:rPr>
          <w:rFonts w:ascii="Calibri" w:hAnsi="Calibri"/>
        </w:rPr>
      </w:pPr>
      <w:r w:rsidRPr="007143D1">
        <w:rPr>
          <w:i/>
        </w:rPr>
        <w:t>We need to request a Hearing Loss and Tinnitus DBQ with direct opinion.</w:t>
      </w:r>
      <w:r>
        <w:t xml:space="preserve"> The Hearing Loss and Tinnitus DBQ says</w:t>
      </w:r>
      <w:r w:rsidR="00B36A6F">
        <w:t xml:space="preserve"> “Internal Veterans Affairs Use” and</w:t>
      </w:r>
      <w:r>
        <w:t xml:space="preserve"> “</w:t>
      </w:r>
      <w:r w:rsidRPr="007143D1">
        <w:rPr>
          <w:bCs/>
          <w:i/>
          <w:iCs/>
        </w:rPr>
        <w:t>This form is only for use by VHA staff or contract examiners.</w:t>
      </w:r>
      <w:r w:rsidRPr="007143D1">
        <w:rPr>
          <w:bCs/>
          <w:iCs/>
        </w:rPr>
        <w:t>”</w:t>
      </w:r>
      <w:r>
        <w:t xml:space="preserve"> Dr. Gubin is not VHA staff or a contract examiner. Additionally, III.iv.3.D.2.k says “Hearing loss examinations must be completed by a state-licensed audiologist.” There is no evidence that Dr. Gubin is a state-licensed audiologist. {Thirdly, Dr. Gubin only reviewed the DD214 when providing his opinion (although he marked Yes for 3A, he then marked only the 214 for 3B). – delete if not appropriate for specific case} Lastly, Dr. Gubin often indicates very high decibel losses/very low speech discrimination scores, but the VA DBQs do not confirm the decibel losses/speech discrimination scores.</w:t>
      </w:r>
      <w:bookmarkEnd w:id="115"/>
    </w:p>
    <w:p w:rsidR="00D275EA" w:rsidRDefault="00D275EA" w:rsidP="00D275EA">
      <w:pPr>
        <w:pBdr>
          <w:top w:val="single" w:sz="4" w:space="1" w:color="auto"/>
          <w:left w:val="single" w:sz="4" w:space="4" w:color="auto"/>
          <w:right w:val="single" w:sz="4" w:space="4" w:color="auto"/>
        </w:pBdr>
        <w:tabs>
          <w:tab w:val="left" w:pos="720"/>
        </w:tabs>
        <w:rPr>
          <w:rFonts w:ascii="Calibri" w:hAnsi="Calibri"/>
        </w:rPr>
      </w:pPr>
    </w:p>
    <w:p w:rsidR="00D275EA" w:rsidRPr="00A401A2" w:rsidRDefault="00D275EA" w:rsidP="00D275EA">
      <w:pPr>
        <w:pBdr>
          <w:top w:val="single" w:sz="4" w:space="1" w:color="auto"/>
          <w:left w:val="single" w:sz="4" w:space="4" w:color="auto"/>
          <w:right w:val="single" w:sz="4" w:space="4" w:color="auto"/>
        </w:pBdr>
        <w:tabs>
          <w:tab w:val="left" w:pos="720"/>
        </w:tabs>
        <w:rPr>
          <w:rFonts w:ascii="Calibri" w:hAnsi="Calibri"/>
        </w:rPr>
      </w:pPr>
      <w:r>
        <w:t>Rating Note:  The Hearing Loss and Tinnitus DBQ says</w:t>
      </w:r>
      <w:r w:rsidR="00B36A6F">
        <w:t xml:space="preserve"> “Internal Veterans Affairs Use” and</w:t>
      </w:r>
      <w:r>
        <w:t xml:space="preserve"> “</w:t>
      </w:r>
      <w:r w:rsidRPr="007143D1">
        <w:rPr>
          <w:bCs/>
          <w:i/>
          <w:iCs/>
        </w:rPr>
        <w:t>This form is only for use by VHA staff or contract examiners.</w:t>
      </w:r>
      <w:r w:rsidRPr="007143D1">
        <w:rPr>
          <w:bCs/>
          <w:iCs/>
        </w:rPr>
        <w:t>”</w:t>
      </w:r>
      <w:r>
        <w:t xml:space="preserve"> Dr. Gubin is not VHA staff or a contract examiner. Additionally, III.iv.3.D.2.k says “Hearing loss examinations must be completed by a state-licensed audiologist.” There is no evidence that Dr. Gubin is a state-licensed audiologist. Thirdly, Dr. Gubin only reviewed the DD214 when providing his opinion (although he marked Yes for 3A, he then marked only the 214 for 3B). Lastly, Dr. Gubin often indicates very high decibel losses/very low speech discrimination scores, but the VA DBQs do not confirm the decibel losses/speech discrimination scores.</w:t>
      </w:r>
    </w:p>
    <w:p w:rsidR="00D275EA" w:rsidRDefault="00D275EA" w:rsidP="00D275EA">
      <w:pPr>
        <w:widowControl w:val="0"/>
        <w:pBdr>
          <w:top w:val="single" w:sz="4" w:space="1" w:color="auto"/>
        </w:pBdr>
        <w:tabs>
          <w:tab w:val="left" w:pos="0"/>
          <w:tab w:val="left" w:pos="144"/>
        </w:tabs>
        <w:rPr>
          <w:b/>
          <w:bCs/>
          <w:i/>
          <w:iCs/>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D275EA" w:rsidTr="00C334D1">
        <w:tc>
          <w:tcPr>
            <w:tcW w:w="705" w:type="dxa"/>
            <w:tcBorders>
              <w:top w:val="nil"/>
              <w:left w:val="nil"/>
              <w:bottom w:val="nil"/>
              <w:right w:val="nil"/>
            </w:tcBorders>
          </w:tcPr>
          <w:p w:rsidR="00D275EA" w:rsidRDefault="00D275EA" w:rsidP="00C334D1">
            <w:pPr>
              <w:widowControl w:val="0"/>
              <w:numPr>
                <w:ilvl w:val="12"/>
                <w:numId w:val="0"/>
              </w:numPr>
              <w:rPr>
                <w:b/>
              </w:rPr>
            </w:pPr>
            <w:r w:rsidRPr="00F673C9">
              <w:rPr>
                <w:b/>
              </w:rPr>
              <w:t>3.385</w:t>
            </w:r>
          </w:p>
        </w:tc>
        <w:tc>
          <w:tcPr>
            <w:tcW w:w="10270" w:type="dxa"/>
            <w:tcBorders>
              <w:top w:val="nil"/>
              <w:left w:val="nil"/>
              <w:bottom w:val="nil"/>
              <w:right w:val="nil"/>
            </w:tcBorders>
          </w:tcPr>
          <w:p w:rsidR="00D275EA" w:rsidRDefault="00D275EA" w:rsidP="00C334D1">
            <w:pPr>
              <w:widowControl w:val="0"/>
              <w:numPr>
                <w:ilvl w:val="12"/>
                <w:numId w:val="0"/>
              </w:numPr>
            </w:pPr>
            <w:r>
              <w:rPr>
                <w:b/>
              </w:rPr>
              <w:t>Disability due to impaired hearing</w:t>
            </w:r>
            <w:r>
              <w:t xml:space="preserve"> – hearing loss is 40 decibels or more in any frequency (500, 1000, 2000, 3000 &amp; 4000) </w:t>
            </w:r>
            <w:r>
              <w:rPr>
                <w:u w:val="single"/>
              </w:rPr>
              <w:t>OR</w:t>
            </w:r>
            <w:r>
              <w:t xml:space="preserve"> 26 decibels or more for 3 or more frequencies </w:t>
            </w:r>
            <w:r>
              <w:rPr>
                <w:u w:val="single"/>
              </w:rPr>
              <w:t>OR</w:t>
            </w:r>
            <w:r>
              <w:t xml:space="preserve"> less than 94%</w:t>
            </w:r>
          </w:p>
        </w:tc>
      </w:tr>
    </w:tbl>
    <w:p w:rsidR="00D275EA" w:rsidRDefault="00D275EA" w:rsidP="00D275EA">
      <w:pPr>
        <w:widowControl w:val="0"/>
        <w:tabs>
          <w:tab w:val="left" w:pos="0"/>
          <w:tab w:val="left" w:pos="144"/>
        </w:tabs>
        <w:outlineLvl w:val="0"/>
        <w:rPr>
          <w:b/>
          <w:i/>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D275EA" w:rsidTr="00C334D1">
        <w:trPr>
          <w:trHeight w:val="273"/>
        </w:trPr>
        <w:tc>
          <w:tcPr>
            <w:tcW w:w="10975" w:type="dxa"/>
            <w:gridSpan w:val="2"/>
            <w:tcBorders>
              <w:top w:val="nil"/>
              <w:left w:val="nil"/>
              <w:bottom w:val="nil"/>
              <w:right w:val="nil"/>
            </w:tcBorders>
          </w:tcPr>
          <w:p w:rsidR="00D275EA" w:rsidRDefault="00D275EA" w:rsidP="00C334D1">
            <w:pPr>
              <w:widowControl w:val="0"/>
              <w:numPr>
                <w:ilvl w:val="12"/>
                <w:numId w:val="0"/>
              </w:numPr>
              <w:jc w:val="center"/>
              <w:rPr>
                <w:b/>
                <w:color w:val="FF0000"/>
              </w:rPr>
            </w:pPr>
            <w:bookmarkStart w:id="116" w:name="Part4Hearing"/>
            <w:r>
              <w:rPr>
                <w:b/>
                <w:color w:val="FF0000"/>
              </w:rPr>
              <w:t xml:space="preserve">4.85 - 4.87a. </w:t>
            </w:r>
            <w:r>
              <w:rPr>
                <w:b/>
                <w:i/>
                <w:color w:val="FF0000"/>
              </w:rPr>
              <w:t>Impairment of Auditory Acuity</w:t>
            </w:r>
            <w:bookmarkEnd w:id="116"/>
          </w:p>
        </w:tc>
      </w:tr>
      <w:tr w:rsidR="00D275EA" w:rsidTr="00C334D1">
        <w:trPr>
          <w:trHeight w:val="291"/>
        </w:trPr>
        <w:tc>
          <w:tcPr>
            <w:tcW w:w="705" w:type="dxa"/>
            <w:tcBorders>
              <w:top w:val="nil"/>
              <w:left w:val="nil"/>
              <w:bottom w:val="nil"/>
              <w:right w:val="nil"/>
            </w:tcBorders>
          </w:tcPr>
          <w:p w:rsidR="00D275EA" w:rsidRDefault="00D275EA" w:rsidP="00C334D1">
            <w:pPr>
              <w:widowControl w:val="0"/>
              <w:numPr>
                <w:ilvl w:val="12"/>
                <w:numId w:val="0"/>
              </w:numPr>
              <w:rPr>
                <w:b/>
              </w:rPr>
            </w:pPr>
            <w:r w:rsidRPr="00F673C9">
              <w:rPr>
                <w:b/>
              </w:rPr>
              <w:t>4.85</w:t>
            </w:r>
          </w:p>
        </w:tc>
        <w:tc>
          <w:tcPr>
            <w:tcW w:w="10270" w:type="dxa"/>
            <w:tcBorders>
              <w:top w:val="nil"/>
              <w:left w:val="nil"/>
              <w:bottom w:val="nil"/>
              <w:right w:val="nil"/>
            </w:tcBorders>
          </w:tcPr>
          <w:p w:rsidR="00D275EA" w:rsidRDefault="00D275EA" w:rsidP="00C334D1">
            <w:pPr>
              <w:widowControl w:val="0"/>
              <w:numPr>
                <w:ilvl w:val="12"/>
                <w:numId w:val="0"/>
              </w:numPr>
              <w:spacing w:after="120"/>
              <w:rPr>
                <w:b/>
              </w:rPr>
            </w:pPr>
            <w:r>
              <w:rPr>
                <w:b/>
              </w:rPr>
              <w:t>Evaluation of hearing impairment</w:t>
            </w:r>
          </w:p>
        </w:tc>
      </w:tr>
      <w:tr w:rsidR="00D275EA" w:rsidTr="00C334D1">
        <w:trPr>
          <w:trHeight w:val="273"/>
        </w:trPr>
        <w:tc>
          <w:tcPr>
            <w:tcW w:w="705" w:type="dxa"/>
            <w:tcBorders>
              <w:top w:val="nil"/>
              <w:left w:val="nil"/>
              <w:bottom w:val="nil"/>
              <w:right w:val="nil"/>
            </w:tcBorders>
          </w:tcPr>
          <w:p w:rsidR="00D275EA" w:rsidRDefault="00D275EA" w:rsidP="00C334D1">
            <w:pPr>
              <w:widowControl w:val="0"/>
              <w:numPr>
                <w:ilvl w:val="12"/>
                <w:numId w:val="0"/>
              </w:numPr>
              <w:rPr>
                <w:b/>
              </w:rPr>
            </w:pPr>
            <w:r w:rsidRPr="00F673C9">
              <w:rPr>
                <w:b/>
              </w:rPr>
              <w:t>4.86</w:t>
            </w:r>
          </w:p>
        </w:tc>
        <w:tc>
          <w:tcPr>
            <w:tcW w:w="10270" w:type="dxa"/>
            <w:tcBorders>
              <w:top w:val="nil"/>
              <w:left w:val="nil"/>
              <w:bottom w:val="nil"/>
              <w:right w:val="nil"/>
            </w:tcBorders>
          </w:tcPr>
          <w:p w:rsidR="00D275EA" w:rsidRDefault="00D275EA" w:rsidP="00C334D1">
            <w:pPr>
              <w:pStyle w:val="Heading1"/>
              <w:keepNext w:val="0"/>
              <w:widowControl w:val="0"/>
              <w:numPr>
                <w:ilvl w:val="12"/>
                <w:numId w:val="0"/>
              </w:numPr>
              <w:rPr>
                <w:i w:val="0"/>
                <w:iCs w:val="0"/>
                <w:sz w:val="20"/>
              </w:rPr>
            </w:pPr>
            <w:r>
              <w:rPr>
                <w:b/>
                <w:bCs/>
                <w:i w:val="0"/>
                <w:iCs w:val="0"/>
                <w:sz w:val="20"/>
              </w:rPr>
              <w:t>Exceptional patterns of hearing impairment</w:t>
            </w:r>
            <w:r>
              <w:rPr>
                <w:i w:val="0"/>
                <w:iCs w:val="0"/>
                <w:sz w:val="20"/>
              </w:rPr>
              <w:t xml:space="preserve"> – (a) 55 decibels or greater at all frequencies (1000, 2000, 3000 &amp; 4000) </w:t>
            </w:r>
            <w:r>
              <w:rPr>
                <w:i w:val="0"/>
                <w:iCs w:val="0"/>
                <w:sz w:val="20"/>
                <w:u w:val="single"/>
              </w:rPr>
              <w:t>OR</w:t>
            </w:r>
            <w:r>
              <w:rPr>
                <w:i w:val="0"/>
                <w:iCs w:val="0"/>
                <w:sz w:val="20"/>
              </w:rPr>
              <w:t xml:space="preserve"> (b) 30 decibels or less at 1000 with 70 decibels or greater at 2000 [elevate to next higher Roman numeral if falls under (b)]</w:t>
            </w:r>
          </w:p>
        </w:tc>
      </w:tr>
    </w:tbl>
    <w:p w:rsidR="00D275EA" w:rsidRDefault="00D275EA" w:rsidP="00D275EA">
      <w:pPr>
        <w:widowControl w:val="0"/>
        <w:numPr>
          <w:ilvl w:val="12"/>
          <w:numId w:val="0"/>
        </w:numPr>
        <w:tabs>
          <w:tab w:val="left" w:pos="660"/>
          <w:tab w:val="left" w:pos="9413"/>
        </w:tabs>
        <w:rPr>
          <w:b/>
          <w:i/>
          <w:color w:val="008000"/>
          <w:u w:val="single"/>
        </w:rPr>
      </w:pPr>
    </w:p>
    <w:p w:rsidR="00D275EA" w:rsidRDefault="00D275EA" w:rsidP="00D275EA">
      <w:pPr>
        <w:widowControl w:val="0"/>
        <w:numPr>
          <w:ilvl w:val="12"/>
          <w:numId w:val="0"/>
        </w:numPr>
        <w:tabs>
          <w:tab w:val="left" w:pos="660"/>
          <w:tab w:val="left" w:pos="9413"/>
        </w:tabs>
        <w:spacing w:after="120"/>
        <w:rPr>
          <w:b/>
          <w:u w:val="single"/>
        </w:rPr>
      </w:pPr>
      <w:r w:rsidRPr="00F673C9">
        <w:rPr>
          <w:b/>
          <w:u w:val="single"/>
        </w:rPr>
        <w:t>4.87</w:t>
      </w:r>
      <w:r>
        <w:rPr>
          <w:b/>
          <w:u w:val="single"/>
        </w:rPr>
        <w:tab/>
        <w:t>Schedule of Ratings—Ear</w:t>
      </w:r>
    </w:p>
    <w:p w:rsidR="00D275EA" w:rsidRPr="00F270F3" w:rsidRDefault="00F270F3" w:rsidP="00D275EA">
      <w:pPr>
        <w:widowControl w:val="0"/>
        <w:numPr>
          <w:ilvl w:val="0"/>
          <w:numId w:val="1"/>
        </w:numPr>
        <w:tabs>
          <w:tab w:val="left" w:pos="360"/>
          <w:tab w:val="left" w:pos="660"/>
          <w:tab w:val="left" w:pos="9413"/>
        </w:tabs>
        <w:spacing w:after="120"/>
        <w:rPr>
          <w:color w:val="0000FF"/>
          <w:u w:val="single"/>
        </w:rPr>
      </w:pPr>
      <w:r w:rsidRPr="00F270F3">
        <w:rPr>
          <w:b/>
          <w:bCs/>
        </w:rPr>
        <w:t>III.iv.4.D.1.b</w:t>
      </w:r>
      <w:r w:rsidR="00D275EA" w:rsidRPr="00F270F3">
        <w:rPr>
          <w:b/>
          <w:bCs/>
        </w:rPr>
        <w:t xml:space="preserve"> - </w:t>
      </w:r>
      <w:hyperlink r:id="rId537" w:history="1">
        <w:r w:rsidR="00D275EA" w:rsidRPr="00F270F3">
          <w:rPr>
            <w:rStyle w:val="Hyperlink"/>
          </w:rPr>
          <w:t>http://vbaw.vba.va.gov/bl/21/rating/docs/dutymosnoise.xls</w:t>
        </w:r>
      </w:hyperlink>
      <w:r w:rsidR="00D275EA" w:rsidRPr="00F270F3">
        <w:rPr>
          <w:color w:val="0000FF"/>
        </w:rPr>
        <w:t xml:space="preserve">  - </w:t>
      </w:r>
      <w:r w:rsidR="00D275EA" w:rsidRPr="00F270F3">
        <w:t xml:space="preserve"> </w:t>
      </w:r>
      <w:r w:rsidR="00D275EA" w:rsidRPr="00F270F3">
        <w:rPr>
          <w:i/>
        </w:rPr>
        <w:t>as of 9/29/17</w:t>
      </w:r>
      <w:r w:rsidR="00D275EA" w:rsidRPr="00F270F3">
        <w:t xml:space="preserve"> </w:t>
      </w:r>
      <w:r>
        <w:t>–</w:t>
      </w:r>
      <w:r w:rsidR="00D275EA" w:rsidRPr="00F270F3">
        <w:t xml:space="preserve"> </w:t>
      </w:r>
      <w:r>
        <w:t>“</w:t>
      </w:r>
      <w:r w:rsidR="00D275EA" w:rsidRPr="00F270F3">
        <w:rPr>
          <w:szCs w:val="21"/>
        </w:rPr>
        <w:t xml:space="preserve">Based on the Veteran’s records, review each duty MOS, Air Force Specialty Code, rating, or duty assignment documented on the </w:t>
      </w:r>
      <w:r w:rsidR="00D275EA" w:rsidRPr="00F270F3">
        <w:rPr>
          <w:i/>
          <w:iCs/>
          <w:szCs w:val="21"/>
        </w:rPr>
        <w:t>Duty MOS Noise Exposure Listing</w:t>
      </w:r>
      <w:r w:rsidR="00D275EA" w:rsidRPr="00F270F3">
        <w:rPr>
          <w:szCs w:val="21"/>
        </w:rPr>
        <w:t xml:space="preserve"> to determine the probability of exposure to hazardous noise.  When the duty position is shown to have a high, moderate, or low probability of hazardous noise exposure, concede exposure to hazardous noise for the purposes of establishing an event in service.</w:t>
      </w:r>
      <w:r>
        <w:rPr>
          <w:szCs w:val="21"/>
        </w:rPr>
        <w:t>”</w:t>
      </w:r>
    </w:p>
    <w:p w:rsidR="003C1034" w:rsidRPr="001E11E2" w:rsidRDefault="003C1034" w:rsidP="00D275EA">
      <w:pPr>
        <w:widowControl w:val="0"/>
        <w:numPr>
          <w:ilvl w:val="0"/>
          <w:numId w:val="1"/>
        </w:numPr>
        <w:tabs>
          <w:tab w:val="left" w:pos="360"/>
          <w:tab w:val="left" w:pos="660"/>
          <w:tab w:val="left" w:pos="9413"/>
        </w:tabs>
        <w:spacing w:after="120"/>
        <w:rPr>
          <w:color w:val="0000FF"/>
          <w:u w:val="single"/>
        </w:rPr>
      </w:pPr>
      <w:r w:rsidRPr="00F270F3">
        <w:rPr>
          <w:rStyle w:val="Strong"/>
          <w:bCs w:val="0"/>
          <w:szCs w:val="21"/>
        </w:rPr>
        <w:t>III.iv.4.</w:t>
      </w:r>
      <w:r w:rsidR="00F270F3" w:rsidRPr="00F270F3">
        <w:rPr>
          <w:rStyle w:val="Strong"/>
          <w:bCs w:val="0"/>
          <w:szCs w:val="21"/>
        </w:rPr>
        <w:t>D.1.d</w:t>
      </w:r>
      <w:r w:rsidRPr="00227207">
        <w:rPr>
          <w:i/>
          <w:sz w:val="18"/>
        </w:rPr>
        <w:t xml:space="preserve"> </w:t>
      </w:r>
      <w:r w:rsidRPr="00C245C3">
        <w:t xml:space="preserve">says </w:t>
      </w:r>
      <w:r w:rsidR="00C245C3">
        <w:rPr>
          <w:i/>
        </w:rPr>
        <w:t>“</w:t>
      </w:r>
      <w:r w:rsidR="00C245C3" w:rsidRPr="00C245C3">
        <w:t>In most instances when noise exposure is conceded as a result of MOS, combat, or event in service this will also satisfy the indication of association between service and current disability for the purposes of finding an examination necessary.”</w:t>
      </w:r>
      <w:r w:rsidR="00C245C3">
        <w:rPr>
          <w:sz w:val="21"/>
          <w:szCs w:val="21"/>
        </w:rPr>
        <w:t> </w:t>
      </w:r>
      <w:r w:rsidR="00C245C3" w:rsidRPr="00C245C3">
        <w:rPr>
          <w:i/>
          <w:color w:val="00B050"/>
          <w:szCs w:val="21"/>
        </w:rPr>
        <w:t>My Notes:</w:t>
      </w:r>
      <w:r w:rsidR="00C245C3" w:rsidRPr="00C245C3">
        <w:rPr>
          <w:color w:val="00B050"/>
          <w:szCs w:val="21"/>
        </w:rPr>
        <w:t xml:space="preserve">  </w:t>
      </w:r>
      <w:r w:rsidR="00C245C3">
        <w:rPr>
          <w:i/>
        </w:rPr>
        <w:t>So, the MOS covers Element 2 &amp; Element 3.</w:t>
      </w:r>
    </w:p>
    <w:p w:rsidR="001E11E2" w:rsidRPr="001E11E2" w:rsidRDefault="001E11E2" w:rsidP="001E11E2">
      <w:pPr>
        <w:widowControl w:val="0"/>
        <w:pBdr>
          <w:top w:val="single" w:sz="4" w:space="1" w:color="auto"/>
          <w:left w:val="single" w:sz="4" w:space="4" w:color="auto"/>
          <w:bottom w:val="single" w:sz="4" w:space="1" w:color="auto"/>
          <w:right w:val="single" w:sz="4" w:space="4" w:color="auto"/>
        </w:pBdr>
        <w:tabs>
          <w:tab w:val="left" w:pos="360"/>
          <w:tab w:val="left" w:pos="660"/>
          <w:tab w:val="left" w:pos="9413"/>
        </w:tabs>
        <w:spacing w:after="120"/>
        <w:ind w:left="360"/>
        <w:rPr>
          <w:color w:val="0000FF"/>
          <w:u w:val="single"/>
        </w:rPr>
      </w:pPr>
      <w:r w:rsidRPr="001E11E2">
        <w:t>Rating Note:  In the HL Calculator, the MOS was entered under “H</w:t>
      </w:r>
      <w:r w:rsidR="00F270F3">
        <w:t>azardous Noise” since III.iv.4.D.1.b</w:t>
      </w:r>
      <w:r w:rsidRPr="001E11E2">
        <w:t xml:space="preserve"> says “When the duty position is shown to have a high, moderate, or low probability of hazardous noise exposure, concede exposure to hazardous noise for the purposes of establishing an event in service.” That </w:t>
      </w:r>
      <w:r>
        <w:t xml:space="preserve">HL Calculator </w:t>
      </w:r>
      <w:r w:rsidRPr="001E11E2">
        <w:t>entry generates the sentence “You have in-service acoustic trauma…,” which seems contradictory to the part of the examiner’s rationale that indicates the MOS has low probability for hazardous noise exposure. However, we are merely following the new MOS policy.</w:t>
      </w:r>
    </w:p>
    <w:p w:rsidR="00D275EA" w:rsidRPr="00F26444" w:rsidRDefault="00D571C5" w:rsidP="00F063AF">
      <w:pPr>
        <w:pStyle w:val="Header"/>
        <w:widowControl w:val="0"/>
        <w:numPr>
          <w:ilvl w:val="0"/>
          <w:numId w:val="138"/>
        </w:numPr>
        <w:tabs>
          <w:tab w:val="clear" w:pos="4320"/>
          <w:tab w:val="clear" w:pos="8640"/>
          <w:tab w:val="left" w:pos="360"/>
        </w:tabs>
        <w:spacing w:after="120"/>
        <w:ind w:left="360"/>
        <w:rPr>
          <w:rStyle w:val="Hyperlink"/>
          <w:color w:val="auto"/>
          <w:u w:val="none"/>
        </w:rPr>
      </w:pPr>
      <w:hyperlink r:id="rId538" w:history="1">
        <w:r w:rsidR="00D275EA">
          <w:rPr>
            <w:rStyle w:val="Hyperlink"/>
            <w:rFonts w:asciiTheme="minorHAnsi" w:hAnsiTheme="minorHAnsi"/>
            <w:b/>
            <w:i/>
            <w:sz w:val="24"/>
            <w:szCs w:val="24"/>
          </w:rPr>
          <w:t>9/5/14 DBQ Call</w:t>
        </w:r>
      </w:hyperlink>
      <w:r w:rsidR="00D275EA">
        <w:rPr>
          <w:rStyle w:val="Hyperlink"/>
          <w:rFonts w:asciiTheme="minorHAnsi" w:hAnsiTheme="minorHAnsi"/>
          <w:sz w:val="24"/>
          <w:szCs w:val="24"/>
          <w:u w:val="none"/>
        </w:rPr>
        <w:t xml:space="preserve"> – </w:t>
      </w:r>
      <w:r w:rsidR="00D275EA" w:rsidRPr="004570DD">
        <w:rPr>
          <w:rStyle w:val="Hyperlink"/>
          <w:rFonts w:asciiTheme="minorHAnsi" w:hAnsiTheme="minorHAnsi"/>
          <w:color w:val="auto"/>
          <w:sz w:val="24"/>
          <w:szCs w:val="24"/>
          <w:u w:val="none"/>
        </w:rPr>
        <w:t>Do not concede “acoustic trauma” on opinion request, only concede “noise exposure” if appropriate</w:t>
      </w:r>
      <w:r w:rsidR="00D275EA">
        <w:rPr>
          <w:rStyle w:val="Hyperlink"/>
          <w:rFonts w:asciiTheme="minorHAnsi" w:hAnsiTheme="minorHAnsi"/>
          <w:color w:val="auto"/>
          <w:sz w:val="24"/>
          <w:szCs w:val="24"/>
          <w:u w:val="none"/>
        </w:rPr>
        <w:t>. Acoustic trauma is a medical decision.</w:t>
      </w:r>
    </w:p>
    <w:p w:rsidR="00D275EA" w:rsidRPr="007D66DB" w:rsidRDefault="00D571C5" w:rsidP="00F063AF">
      <w:pPr>
        <w:pStyle w:val="Header"/>
        <w:widowControl w:val="0"/>
        <w:numPr>
          <w:ilvl w:val="0"/>
          <w:numId w:val="138"/>
        </w:numPr>
        <w:tabs>
          <w:tab w:val="clear" w:pos="4320"/>
          <w:tab w:val="clear" w:pos="8640"/>
          <w:tab w:val="left" w:pos="360"/>
        </w:tabs>
        <w:spacing w:after="120"/>
        <w:ind w:left="360"/>
        <w:rPr>
          <w:rStyle w:val="Hyperlink"/>
          <w:color w:val="auto"/>
          <w:u w:val="none"/>
        </w:rPr>
      </w:pPr>
      <w:hyperlink r:id="rId539" w:history="1">
        <w:r w:rsidR="00D275EA" w:rsidRPr="00F26444">
          <w:rPr>
            <w:rStyle w:val="Hyperlink"/>
            <w:rFonts w:ascii="Calibri" w:hAnsi="Calibri"/>
            <w:b/>
            <w:i/>
            <w:sz w:val="24"/>
            <w:szCs w:val="24"/>
          </w:rPr>
          <w:t>12/19/14 DBQ Call</w:t>
        </w:r>
      </w:hyperlink>
      <w:r w:rsidR="00D275EA" w:rsidRPr="00F26444">
        <w:rPr>
          <w:rStyle w:val="Hyperlink"/>
          <w:rFonts w:ascii="Calibri" w:hAnsi="Calibri"/>
          <w:sz w:val="24"/>
          <w:szCs w:val="24"/>
          <w:u w:val="none"/>
        </w:rPr>
        <w:t xml:space="preserve"> – </w:t>
      </w:r>
      <w:r w:rsidR="00D275EA">
        <w:rPr>
          <w:rStyle w:val="Hyperlink"/>
          <w:rFonts w:ascii="Calibri" w:hAnsi="Calibri"/>
          <w:color w:val="auto"/>
          <w:sz w:val="24"/>
          <w:szCs w:val="24"/>
          <w:u w:val="none"/>
        </w:rPr>
        <w:t xml:space="preserve">Again, do not concede “noise injury” or “acoustic trauma” </w:t>
      </w:r>
    </w:p>
    <w:p w:rsidR="00D275EA" w:rsidRPr="00C63C84" w:rsidRDefault="00D275EA" w:rsidP="00F063AF">
      <w:pPr>
        <w:pStyle w:val="ListParagraph"/>
        <w:widowControl w:val="0"/>
        <w:numPr>
          <w:ilvl w:val="0"/>
          <w:numId w:val="295"/>
        </w:numPr>
        <w:tabs>
          <w:tab w:val="left" w:pos="0"/>
        </w:tabs>
        <w:spacing w:after="120" w:line="240" w:lineRule="auto"/>
        <w:ind w:left="360"/>
        <w:rPr>
          <w:rFonts w:ascii="Arial" w:hAnsi="Arial"/>
          <w:sz w:val="20"/>
          <w:szCs w:val="20"/>
        </w:rPr>
      </w:pPr>
      <w:r w:rsidRPr="00C63C84">
        <w:rPr>
          <w:rFonts w:ascii="Arial" w:hAnsi="Arial"/>
          <w:sz w:val="20"/>
          <w:szCs w:val="20"/>
        </w:rPr>
        <w:t xml:space="preserve">Notes from </w:t>
      </w:r>
      <w:r w:rsidRPr="00C63C84">
        <w:rPr>
          <w:rFonts w:ascii="Arial" w:hAnsi="Arial"/>
          <w:b/>
          <w:i/>
          <w:sz w:val="20"/>
          <w:szCs w:val="20"/>
          <w:u w:val="single"/>
        </w:rPr>
        <w:t>December 2015</w:t>
      </w:r>
      <w:r>
        <w:rPr>
          <w:rFonts w:ascii="Arial" w:hAnsi="Arial"/>
          <w:b/>
          <w:i/>
          <w:sz w:val="20"/>
          <w:szCs w:val="20"/>
          <w:u w:val="single"/>
        </w:rPr>
        <w:t xml:space="preserve"> DBQ Medical Opinion</w:t>
      </w:r>
      <w:r w:rsidRPr="00C63C84">
        <w:rPr>
          <w:rFonts w:ascii="Arial" w:hAnsi="Arial"/>
          <w:b/>
          <w:i/>
          <w:sz w:val="20"/>
          <w:szCs w:val="20"/>
          <w:u w:val="single"/>
        </w:rPr>
        <w:t xml:space="preserve"> Training</w:t>
      </w:r>
      <w:r w:rsidRPr="00C63C84">
        <w:rPr>
          <w:rFonts w:ascii="Arial" w:hAnsi="Arial"/>
          <w:sz w:val="20"/>
          <w:szCs w:val="20"/>
        </w:rPr>
        <w:t xml:space="preserve"> (</w:t>
      </w:r>
      <w:r>
        <w:rPr>
          <w:rFonts w:ascii="Arial" w:hAnsi="Arial"/>
          <w:sz w:val="20"/>
          <w:szCs w:val="20"/>
        </w:rPr>
        <w:t>Konane Stradling</w:t>
      </w:r>
      <w:r w:rsidRPr="00C63C84">
        <w:rPr>
          <w:rFonts w:ascii="Arial" w:hAnsi="Arial"/>
          <w:sz w:val="20"/>
          <w:szCs w:val="20"/>
        </w:rPr>
        <w:t>) –</w:t>
      </w:r>
    </w:p>
    <w:p w:rsidR="00D275EA" w:rsidRPr="00416A7F" w:rsidRDefault="00D275EA" w:rsidP="00D275EA">
      <w:pPr>
        <w:tabs>
          <w:tab w:val="left" w:pos="360"/>
        </w:tabs>
        <w:spacing w:after="120"/>
        <w:ind w:left="360"/>
      </w:pPr>
      <w:r w:rsidRPr="00416A7F">
        <w:t>No longer</w:t>
      </w:r>
      <w:r w:rsidRPr="00416A7F">
        <w:rPr>
          <w:i/>
          <w:iCs/>
        </w:rPr>
        <w:t xml:space="preserve"> (unsure when this changed, as this is the first I’ve heard of it)</w:t>
      </w:r>
      <w:r w:rsidRPr="00416A7F">
        <w:t xml:space="preserve"> have to write up a separate opinion for HL &amp; tinnitus, just have to “include statements of the Veteran's noise exposure in service and statement to the examiner to complete the etiology sections” (both go in the Remarks section).</w:t>
      </w:r>
    </w:p>
    <w:p w:rsidR="00D275EA" w:rsidRDefault="00D275EA" w:rsidP="00F063AF">
      <w:pPr>
        <w:pStyle w:val="ListParagraph"/>
        <w:numPr>
          <w:ilvl w:val="0"/>
          <w:numId w:val="351"/>
        </w:numPr>
        <w:spacing w:after="120"/>
        <w:ind w:left="360"/>
        <w:rPr>
          <w:rFonts w:ascii="Arial" w:hAnsi="Arial"/>
          <w:sz w:val="20"/>
          <w:szCs w:val="20"/>
        </w:rPr>
      </w:pPr>
      <w:r>
        <w:rPr>
          <w:rFonts w:ascii="Arial" w:hAnsi="Arial"/>
          <w:b/>
          <w:sz w:val="20"/>
          <w:szCs w:val="20"/>
        </w:rPr>
        <w:t>III.iv.3.A.7.h</w:t>
      </w:r>
      <w:r>
        <w:rPr>
          <w:rFonts w:ascii="Arial" w:hAnsi="Arial"/>
          <w:sz w:val="20"/>
          <w:szCs w:val="20"/>
        </w:rPr>
        <w:t xml:space="preserve"> says “In any case involving SC for hearing loss or tinnitus where an etiology opinion is required, follow the medical opinion procedures outlined in </w:t>
      </w:r>
      <w:hyperlink r:id="rId540" w:anchor="7b" w:history="1">
        <w:r>
          <w:rPr>
            <w:rStyle w:val="Hyperlink"/>
            <w:rFonts w:ascii="Arial" w:hAnsi="Arial"/>
            <w:sz w:val="20"/>
            <w:szCs w:val="20"/>
          </w:rPr>
          <w:t>M21-1, Part III, Subpart iv, 3.A.7.b</w:t>
        </w:r>
      </w:hyperlink>
      <w:r>
        <w:rPr>
          <w:rFonts w:ascii="Arial" w:hAnsi="Arial"/>
          <w:sz w:val="20"/>
          <w:szCs w:val="20"/>
        </w:rPr>
        <w:t xml:space="preserve"> and </w:t>
      </w:r>
      <w:hyperlink r:id="rId541" w:anchor="7c" w:history="1">
        <w:r>
          <w:rPr>
            <w:rStyle w:val="Hyperlink"/>
            <w:rFonts w:ascii="Arial" w:hAnsi="Arial"/>
            <w:sz w:val="20"/>
            <w:szCs w:val="20"/>
          </w:rPr>
          <w:t>c</w:t>
        </w:r>
      </w:hyperlink>
      <w:r>
        <w:rPr>
          <w:rFonts w:ascii="Arial" w:hAnsi="Arial"/>
          <w:sz w:val="20"/>
          <w:szCs w:val="20"/>
        </w:rPr>
        <w:t xml:space="preserve">.” </w:t>
      </w:r>
    </w:p>
    <w:p w:rsidR="00D275EA" w:rsidRDefault="00D275EA" w:rsidP="00F063AF">
      <w:pPr>
        <w:pStyle w:val="ListParagraph"/>
        <w:numPr>
          <w:ilvl w:val="0"/>
          <w:numId w:val="351"/>
        </w:numPr>
        <w:spacing w:after="120"/>
        <w:ind w:left="360"/>
        <w:rPr>
          <w:rFonts w:ascii="Arial" w:hAnsi="Arial"/>
          <w:sz w:val="20"/>
          <w:szCs w:val="20"/>
        </w:rPr>
      </w:pPr>
      <w:r>
        <w:rPr>
          <w:rFonts w:ascii="Arial" w:hAnsi="Arial"/>
          <w:b/>
          <w:sz w:val="20"/>
          <w:szCs w:val="20"/>
        </w:rPr>
        <w:t>III.</w:t>
      </w:r>
      <w:r w:rsidR="00497D89">
        <w:rPr>
          <w:rFonts w:ascii="Arial" w:hAnsi="Arial"/>
          <w:b/>
          <w:sz w:val="20"/>
          <w:szCs w:val="20"/>
        </w:rPr>
        <w:t>iv.3.A</w:t>
      </w:r>
      <w:r>
        <w:rPr>
          <w:rFonts w:ascii="Arial" w:hAnsi="Arial"/>
          <w:sz w:val="20"/>
          <w:szCs w:val="20"/>
        </w:rPr>
        <w:t xml:space="preserve"> </w:t>
      </w:r>
      <w:r w:rsidRPr="00497D89">
        <w:rPr>
          <w:rFonts w:ascii="Arial" w:hAnsi="Arial"/>
          <w:sz w:val="20"/>
          <w:szCs w:val="20"/>
          <w:highlight w:val="darkGray"/>
        </w:rPr>
        <w:t>direct</w:t>
      </w:r>
      <w:r w:rsidR="00497D89" w:rsidRPr="00497D89">
        <w:rPr>
          <w:rFonts w:ascii="Arial" w:hAnsi="Arial"/>
          <w:sz w:val="20"/>
          <w:szCs w:val="20"/>
          <w:highlight w:val="darkGray"/>
        </w:rPr>
        <w:t>s</w:t>
      </w:r>
      <w:r w:rsidRPr="00497D89">
        <w:rPr>
          <w:rFonts w:ascii="Arial" w:hAnsi="Arial"/>
          <w:sz w:val="20"/>
          <w:szCs w:val="20"/>
          <w:highlight w:val="darkGray"/>
        </w:rPr>
        <w:t xml:space="preserve"> you to use the CAATS templates or</w:t>
      </w:r>
      <w:r w:rsidRPr="00497D89">
        <w:rPr>
          <w:rFonts w:ascii="Arial" w:hAnsi="Arial"/>
          <w:i/>
          <w:sz w:val="20"/>
          <w:szCs w:val="20"/>
          <w:highlight w:val="darkGray"/>
        </w:rPr>
        <w:t xml:space="preserve"> </w:t>
      </w:r>
      <w:r w:rsidRPr="00497D89">
        <w:rPr>
          <w:rFonts w:ascii="Arial" w:hAnsi="Arial"/>
          <w:sz w:val="20"/>
          <w:szCs w:val="20"/>
          <w:highlight w:val="darkGray"/>
        </w:rPr>
        <w:t>ERB tool. Also says “Do not submit a separate medical opinion DBQ unless a medical opinion is needed that is not included on the DBQ.” (</w:t>
      </w:r>
      <w:r w:rsidRPr="00497D89">
        <w:rPr>
          <w:rFonts w:ascii="Arial" w:hAnsi="Arial"/>
          <w:i/>
          <w:sz w:val="20"/>
          <w:szCs w:val="20"/>
          <w:highlight w:val="darkGray"/>
        </w:rPr>
        <w:t>so don’t need to select a Medical Opinion DBQ as well</w:t>
      </w:r>
      <w:r w:rsidRPr="00497D89">
        <w:rPr>
          <w:rFonts w:ascii="Arial" w:hAnsi="Arial"/>
          <w:sz w:val="20"/>
          <w:szCs w:val="20"/>
          <w:highlight w:val="darkGray"/>
        </w:rPr>
        <w:t>).</w:t>
      </w:r>
    </w:p>
    <w:p w:rsidR="00D275EA" w:rsidRPr="001C5E90" w:rsidRDefault="00D571C5" w:rsidP="00F063AF">
      <w:pPr>
        <w:pStyle w:val="NoSpacing"/>
        <w:numPr>
          <w:ilvl w:val="0"/>
          <w:numId w:val="406"/>
        </w:numPr>
        <w:spacing w:after="120"/>
        <w:rPr>
          <w:sz w:val="22"/>
          <w:szCs w:val="22"/>
        </w:rPr>
      </w:pPr>
      <w:hyperlink r:id="rId542" w:history="1">
        <w:r w:rsidR="00D275EA">
          <w:rPr>
            <w:rStyle w:val="Hyperlink"/>
            <w:rFonts w:ascii="Arial" w:hAnsi="Arial"/>
            <w:b/>
            <w:bCs/>
            <w:i/>
            <w:sz w:val="20"/>
          </w:rPr>
          <w:t>March 2017 Quality Call Notes</w:t>
        </w:r>
      </w:hyperlink>
      <w:r w:rsidR="00D275EA">
        <w:rPr>
          <w:rFonts w:ascii="Arial" w:hAnsi="Arial"/>
          <w:bCs/>
          <w:sz w:val="20"/>
        </w:rPr>
        <w:t xml:space="preserve"> </w:t>
      </w:r>
      <w:r w:rsidR="00D275EA">
        <w:rPr>
          <w:rFonts w:ascii="Arial" w:hAnsi="Arial"/>
          <w:sz w:val="20"/>
          <w:szCs w:val="20"/>
        </w:rPr>
        <w:t xml:space="preserve"> - </w:t>
      </w:r>
      <w:r w:rsidR="00D275EA" w:rsidRPr="009E2F62">
        <w:rPr>
          <w:rFonts w:ascii="Arial" w:hAnsi="Arial"/>
          <w:sz w:val="20"/>
          <w:szCs w:val="20"/>
          <w:highlight w:val="darkGray"/>
        </w:rPr>
        <w:t>Do not request a Medical Opinion for hearing loss and tinnitus since it is already embedded into the Hearing Loss and Tinnitus DBQ.</w:t>
      </w:r>
      <w:r w:rsidR="00D275EA">
        <w:rPr>
          <w:rFonts w:ascii="Arial" w:hAnsi="Arial"/>
          <w:sz w:val="20"/>
          <w:szCs w:val="20"/>
        </w:rPr>
        <w:t xml:space="preserve"> changed 1/3/18 to say:  </w:t>
      </w:r>
      <w:r w:rsidR="00D275EA" w:rsidRPr="001C5E90">
        <w:rPr>
          <w:rFonts w:ascii="Arial" w:hAnsi="Arial"/>
          <w:sz w:val="20"/>
          <w:szCs w:val="22"/>
        </w:rPr>
        <w:t xml:space="preserve">Do not request a </w:t>
      </w:r>
      <w:r w:rsidR="00D275EA" w:rsidRPr="001C5E90">
        <w:rPr>
          <w:rFonts w:ascii="Arial" w:hAnsi="Arial"/>
          <w:color w:val="FF0000"/>
          <w:sz w:val="20"/>
          <w:szCs w:val="22"/>
        </w:rPr>
        <w:t>separate</w:t>
      </w:r>
      <w:r w:rsidR="00D275EA" w:rsidRPr="001C5E90">
        <w:rPr>
          <w:rFonts w:ascii="Arial" w:hAnsi="Arial"/>
          <w:sz w:val="20"/>
          <w:szCs w:val="22"/>
        </w:rPr>
        <w:t xml:space="preserve"> Medical Opinion </w:t>
      </w:r>
      <w:r w:rsidR="00D275EA" w:rsidRPr="001C5E90">
        <w:rPr>
          <w:rFonts w:ascii="Arial" w:hAnsi="Arial"/>
          <w:color w:val="FF0000"/>
          <w:sz w:val="20"/>
          <w:szCs w:val="22"/>
        </w:rPr>
        <w:t>DBQ</w:t>
      </w:r>
      <w:r w:rsidR="00D275EA" w:rsidRPr="001C5E90">
        <w:rPr>
          <w:rFonts w:ascii="Arial" w:hAnsi="Arial"/>
          <w:sz w:val="20"/>
          <w:szCs w:val="22"/>
        </w:rPr>
        <w:t xml:space="preserve"> for hearing loss and tinnitus </w:t>
      </w:r>
      <w:r w:rsidR="00D275EA" w:rsidRPr="001C5E90">
        <w:rPr>
          <w:rFonts w:ascii="Arial" w:hAnsi="Arial"/>
          <w:strike/>
          <w:sz w:val="20"/>
          <w:szCs w:val="22"/>
        </w:rPr>
        <w:t>since it is already embedded into the Hearing Loss and Tinnitus DBQ</w:t>
      </w:r>
      <w:r w:rsidR="00D275EA" w:rsidRPr="001C5E90">
        <w:rPr>
          <w:rFonts w:ascii="Arial" w:hAnsi="Arial"/>
          <w:sz w:val="20"/>
          <w:szCs w:val="22"/>
        </w:rPr>
        <w:t xml:space="preserve"> </w:t>
      </w:r>
      <w:r w:rsidR="00D275EA" w:rsidRPr="001C5E90">
        <w:rPr>
          <w:rFonts w:ascii="Arial" w:hAnsi="Arial"/>
          <w:color w:val="FF0000"/>
          <w:sz w:val="20"/>
          <w:szCs w:val="22"/>
        </w:rPr>
        <w:t>unless a medical opinion that is not already included on the Hearing Loss and Tinnitus DBQ is needed</w:t>
      </w:r>
      <w:r w:rsidR="00D275EA" w:rsidRPr="001C5E90">
        <w:rPr>
          <w:rFonts w:ascii="Arial" w:hAnsi="Arial"/>
          <w:sz w:val="20"/>
          <w:szCs w:val="22"/>
        </w:rPr>
        <w:t xml:space="preserve">.  </w:t>
      </w:r>
      <w:r w:rsidR="00D275EA" w:rsidRPr="001C5E90">
        <w:rPr>
          <w:rFonts w:ascii="Arial" w:hAnsi="Arial"/>
          <w:color w:val="0000FF"/>
          <w:sz w:val="20"/>
          <w:szCs w:val="22"/>
        </w:rPr>
        <w:t>Please remember that the exam request still needs to identify the medically answerable question that needs to be addressed so that the examiner knows which avenue(s) of causation to specifically consider.  Per M21-1 III.iv.3.A.7.h, the only item discouraged is the selection of a separate Medical Opinion DBQ (i.e., worksheet in CAPRI or CAATS) since none is needed.</w:t>
      </w:r>
    </w:p>
    <w:p w:rsidR="00D275EA" w:rsidRDefault="00D275EA" w:rsidP="00F063AF">
      <w:pPr>
        <w:pStyle w:val="ListParagraph"/>
        <w:numPr>
          <w:ilvl w:val="0"/>
          <w:numId w:val="351"/>
        </w:numPr>
        <w:spacing w:after="120"/>
        <w:ind w:left="360"/>
        <w:rPr>
          <w:rFonts w:ascii="Arial" w:hAnsi="Arial"/>
          <w:sz w:val="20"/>
          <w:szCs w:val="20"/>
        </w:rPr>
      </w:pPr>
      <w:r>
        <w:rPr>
          <w:rFonts w:ascii="Arial" w:hAnsi="Arial"/>
          <w:sz w:val="20"/>
          <w:szCs w:val="20"/>
        </w:rPr>
        <w:t xml:space="preserve">Notes from </w:t>
      </w:r>
      <w:r>
        <w:rPr>
          <w:rFonts w:ascii="Arial" w:hAnsi="Arial"/>
          <w:b/>
          <w:i/>
          <w:sz w:val="20"/>
          <w:szCs w:val="20"/>
          <w:u w:val="single"/>
        </w:rPr>
        <w:t xml:space="preserve">March 2017 </w:t>
      </w:r>
      <w:r w:rsidRPr="00253858">
        <w:rPr>
          <w:rFonts w:ascii="Arial" w:hAnsi="Arial"/>
          <w:b/>
          <w:i/>
          <w:sz w:val="20"/>
          <w:szCs w:val="20"/>
          <w:u w:val="single"/>
        </w:rPr>
        <w:t>Disability Benefits Questionnaires (DBQs) and Medical Opinions Training</w:t>
      </w:r>
      <w:r>
        <w:rPr>
          <w:rFonts w:ascii="Arial" w:hAnsi="Arial"/>
          <w:sz w:val="20"/>
          <w:szCs w:val="20"/>
        </w:rPr>
        <w:t>:</w:t>
      </w:r>
    </w:p>
    <w:p w:rsidR="00D275EA" w:rsidRDefault="00D275EA" w:rsidP="00F063AF">
      <w:pPr>
        <w:pStyle w:val="VBABodyText"/>
        <w:numPr>
          <w:ilvl w:val="1"/>
          <w:numId w:val="351"/>
        </w:numPr>
        <w:tabs>
          <w:tab w:val="left" w:pos="720"/>
        </w:tabs>
        <w:spacing w:before="0" w:after="120"/>
        <w:ind w:left="720"/>
        <w:rPr>
          <w:sz w:val="20"/>
          <w:szCs w:val="20"/>
        </w:rPr>
      </w:pPr>
      <w:r w:rsidRPr="00253858">
        <w:rPr>
          <w:i/>
          <w:sz w:val="20"/>
          <w:szCs w:val="20"/>
        </w:rPr>
        <w:t>Assessment Question:</w:t>
      </w:r>
      <w:r w:rsidRPr="00253858">
        <w:rPr>
          <w:sz w:val="20"/>
          <w:szCs w:val="20"/>
        </w:rPr>
        <w:t xml:space="preserve">  </w:t>
      </w:r>
      <w:r>
        <w:rPr>
          <w:sz w:val="20"/>
          <w:szCs w:val="20"/>
        </w:rPr>
        <w:t>What information must be included in the Hearing Loss and Tinnitus DBQ comments when the Veteran is claiming hearing loss and tinnitus due to service on the deck fo an aircraft carrier?</w:t>
      </w:r>
      <w:r w:rsidRPr="00253858">
        <w:rPr>
          <w:sz w:val="20"/>
          <w:szCs w:val="20"/>
        </w:rPr>
        <w:t xml:space="preserve">… </w:t>
      </w:r>
      <w:r w:rsidRPr="00253858">
        <w:rPr>
          <w:i/>
          <w:sz w:val="20"/>
          <w:szCs w:val="20"/>
        </w:rPr>
        <w:t>Answer:</w:t>
      </w:r>
      <w:r w:rsidRPr="00253858">
        <w:rPr>
          <w:sz w:val="20"/>
          <w:szCs w:val="20"/>
        </w:rPr>
        <w:t xml:space="preserve">  </w:t>
      </w:r>
      <w:r>
        <w:rPr>
          <w:sz w:val="20"/>
          <w:szCs w:val="20"/>
        </w:rPr>
        <w:t>Comments about the Veteran’s noise exposure while serving on the deck of an aircraft carrier and statement to the examiner to complete the etiology sections.</w:t>
      </w:r>
    </w:p>
    <w:p w:rsidR="00D275EA" w:rsidRPr="001414C2" w:rsidRDefault="00D275EA" w:rsidP="00F063AF">
      <w:pPr>
        <w:pStyle w:val="VBALevel2Heading"/>
        <w:numPr>
          <w:ilvl w:val="1"/>
          <w:numId w:val="351"/>
        </w:numPr>
        <w:ind w:left="720"/>
        <w:rPr>
          <w:color w:val="auto"/>
          <w:sz w:val="20"/>
        </w:rPr>
      </w:pPr>
      <w:bookmarkStart w:id="117" w:name="_Toc318641917"/>
      <w:bookmarkStart w:id="118" w:name="_Toc318642077"/>
      <w:bookmarkStart w:id="119" w:name="_Toc318642247"/>
      <w:bookmarkStart w:id="120" w:name="_Toc320776074"/>
      <w:bookmarkStart w:id="121" w:name="_Toc323045494"/>
      <w:r w:rsidRPr="001414C2">
        <w:rPr>
          <w:color w:val="auto"/>
          <w:sz w:val="20"/>
        </w:rPr>
        <w:t>Hearing Loss and Tinnitus DBQ</w:t>
      </w:r>
      <w:bookmarkEnd w:id="117"/>
      <w:bookmarkEnd w:id="118"/>
      <w:bookmarkEnd w:id="119"/>
      <w:bookmarkEnd w:id="120"/>
      <w:bookmarkEnd w:id="121"/>
    </w:p>
    <w:p w:rsidR="00D275EA" w:rsidRPr="001414C2" w:rsidRDefault="00D275EA" w:rsidP="00D275EA">
      <w:pPr>
        <w:pStyle w:val="norm12"/>
        <w:spacing w:after="120"/>
        <w:ind w:left="720"/>
        <w:rPr>
          <w:sz w:val="20"/>
        </w:rPr>
      </w:pPr>
      <w:r w:rsidRPr="001414C2">
        <w:rPr>
          <w:sz w:val="20"/>
        </w:rPr>
        <w:t>Consider the following for the Hearing Loss and Tinnitus DBQ:</w:t>
      </w:r>
    </w:p>
    <w:p w:rsidR="00D275EA" w:rsidRPr="001414C2" w:rsidRDefault="00D275EA" w:rsidP="00F063AF">
      <w:pPr>
        <w:pStyle w:val="VBAFirstLevelBullet"/>
        <w:numPr>
          <w:ilvl w:val="0"/>
          <w:numId w:val="101"/>
        </w:numPr>
        <w:tabs>
          <w:tab w:val="num" w:pos="1080"/>
        </w:tabs>
        <w:ind w:left="1080"/>
        <w:rPr>
          <w:sz w:val="20"/>
        </w:rPr>
      </w:pPr>
      <w:r w:rsidRPr="001414C2">
        <w:rPr>
          <w:sz w:val="20"/>
        </w:rPr>
        <w:t>The Hearing Loss and Tinnitus DBQ includes the medical opinion.</w:t>
      </w:r>
    </w:p>
    <w:p w:rsidR="00D275EA" w:rsidRPr="001414C2" w:rsidRDefault="00D275EA" w:rsidP="00F063AF">
      <w:pPr>
        <w:pStyle w:val="VBAFirstLevelBullet"/>
        <w:numPr>
          <w:ilvl w:val="0"/>
          <w:numId w:val="101"/>
        </w:numPr>
        <w:tabs>
          <w:tab w:val="num" w:pos="1080"/>
        </w:tabs>
        <w:ind w:left="1080"/>
        <w:rPr>
          <w:sz w:val="20"/>
        </w:rPr>
      </w:pPr>
      <w:r w:rsidRPr="001414C2">
        <w:rPr>
          <w:sz w:val="20"/>
        </w:rPr>
        <w:t>Do not request the Medical Opinion DBQ for Hearing Loss and Tinnitus.</w:t>
      </w:r>
    </w:p>
    <w:p w:rsidR="00D275EA" w:rsidRPr="001414C2" w:rsidRDefault="00D275EA" w:rsidP="00F063AF">
      <w:pPr>
        <w:pStyle w:val="VBAFirstLevelBullet"/>
        <w:numPr>
          <w:ilvl w:val="0"/>
          <w:numId w:val="101"/>
        </w:numPr>
        <w:tabs>
          <w:tab w:val="num" w:pos="1080"/>
        </w:tabs>
        <w:ind w:left="1080"/>
        <w:rPr>
          <w:sz w:val="20"/>
        </w:rPr>
      </w:pPr>
      <w:r w:rsidRPr="001414C2">
        <w:rPr>
          <w:sz w:val="20"/>
        </w:rPr>
        <w:t xml:space="preserve">Continue to include statements concerning the Veteran’s exposure to Acoustic Trauma or Noise Exposure in service in the remarks section </w:t>
      </w:r>
      <w:r w:rsidRPr="001414C2">
        <w:rPr>
          <w:sz w:val="20"/>
          <w:lang w:val="en-US"/>
        </w:rPr>
        <w:t>of the exam request</w:t>
      </w:r>
      <w:r w:rsidRPr="001414C2">
        <w:rPr>
          <w:sz w:val="20"/>
        </w:rPr>
        <w:t>.</w:t>
      </w:r>
    </w:p>
    <w:p w:rsidR="00D275EA" w:rsidRPr="001414C2" w:rsidRDefault="00D275EA" w:rsidP="00F063AF">
      <w:pPr>
        <w:pStyle w:val="VBAFirstLevelBullet"/>
        <w:numPr>
          <w:ilvl w:val="0"/>
          <w:numId w:val="101"/>
        </w:numPr>
        <w:tabs>
          <w:tab w:val="num" w:pos="1080"/>
        </w:tabs>
        <w:ind w:left="1080"/>
        <w:rPr>
          <w:sz w:val="20"/>
          <w:lang w:val="en-US" w:eastAsia="en-US"/>
        </w:rPr>
      </w:pPr>
      <w:r w:rsidRPr="001414C2">
        <w:rPr>
          <w:sz w:val="20"/>
          <w:lang w:val="en-US" w:eastAsia="en-US"/>
        </w:rPr>
        <w:t>Claims for increase will not need the etiology sections of the DBQ to be completed.</w:t>
      </w:r>
    </w:p>
    <w:p w:rsidR="00D275EA" w:rsidRPr="00A430A4" w:rsidRDefault="00D275EA" w:rsidP="00F063AF">
      <w:pPr>
        <w:pStyle w:val="VBAFirstLevelBullet"/>
        <w:numPr>
          <w:ilvl w:val="0"/>
          <w:numId w:val="101"/>
        </w:numPr>
        <w:tabs>
          <w:tab w:val="num" w:pos="1080"/>
        </w:tabs>
        <w:spacing w:after="120"/>
        <w:ind w:left="1080"/>
        <w:rPr>
          <w:sz w:val="20"/>
        </w:rPr>
      </w:pPr>
      <w:r w:rsidRPr="001414C2">
        <w:rPr>
          <w:sz w:val="20"/>
          <w:lang w:val="en-US" w:eastAsia="en-US"/>
        </w:rPr>
        <w:t xml:space="preserve">When etiology is needed for service-connection include the following statement to the examiner in the remarks section:  </w:t>
      </w:r>
      <w:r w:rsidRPr="001414C2">
        <w:rPr>
          <w:i/>
          <w:iCs/>
          <w:sz w:val="20"/>
          <w:lang w:val="en-US" w:eastAsia="en-US"/>
        </w:rPr>
        <w:t>Examiner: Please complete the etiology sections of the Hearing Loss and Tinnitus DBQ.</w:t>
      </w:r>
    </w:p>
    <w:p w:rsidR="00D275EA" w:rsidRPr="00A430A4" w:rsidRDefault="00D275EA" w:rsidP="00D275EA">
      <w:pPr>
        <w:pStyle w:val="VBABulletLevel1"/>
        <w:numPr>
          <w:ilvl w:val="0"/>
          <w:numId w:val="0"/>
        </w:numPr>
        <w:pBdr>
          <w:top w:val="single" w:sz="4" w:space="1" w:color="auto"/>
          <w:left w:val="single" w:sz="4" w:space="1" w:color="auto"/>
          <w:bottom w:val="single" w:sz="4" w:space="1" w:color="auto"/>
          <w:right w:val="single" w:sz="4" w:space="1" w:color="auto"/>
        </w:pBdr>
        <w:spacing w:after="120"/>
        <w:ind w:left="360"/>
        <w:rPr>
          <w:i/>
          <w:sz w:val="20"/>
          <w:u w:val="single"/>
        </w:rPr>
      </w:pPr>
      <w:r w:rsidRPr="00A430A4">
        <w:rPr>
          <w:i/>
          <w:sz w:val="20"/>
          <w:u w:val="single"/>
        </w:rPr>
        <w:t>NEED HL &amp; TINNITUS DBQ with the etiology sections completed:</w:t>
      </w:r>
    </w:p>
    <w:p w:rsidR="00D275EA" w:rsidRPr="00A430A4" w:rsidRDefault="00D275EA" w:rsidP="00D275EA">
      <w:pPr>
        <w:pStyle w:val="VBABulletLevel1"/>
        <w:numPr>
          <w:ilvl w:val="0"/>
          <w:numId w:val="0"/>
        </w:numPr>
        <w:pBdr>
          <w:top w:val="single" w:sz="4" w:space="1" w:color="auto"/>
          <w:left w:val="single" w:sz="4" w:space="1" w:color="auto"/>
          <w:bottom w:val="single" w:sz="4" w:space="1" w:color="auto"/>
          <w:right w:val="single" w:sz="4" w:space="1" w:color="auto"/>
        </w:pBdr>
        <w:spacing w:after="120"/>
        <w:ind w:left="360"/>
        <w:rPr>
          <w:i/>
          <w:sz w:val="20"/>
        </w:rPr>
      </w:pPr>
      <w:r w:rsidRPr="00A430A4">
        <w:rPr>
          <w:i/>
          <w:sz w:val="20"/>
        </w:rPr>
        <w:t xml:space="preserve">for deferral:  We need a </w:t>
      </w:r>
      <w:r>
        <w:rPr>
          <w:i/>
          <w:sz w:val="20"/>
        </w:rPr>
        <w:t xml:space="preserve">Hearing Loss and Tinnitus </w:t>
      </w:r>
      <w:r w:rsidRPr="00A430A4">
        <w:rPr>
          <w:i/>
          <w:sz w:val="20"/>
        </w:rPr>
        <w:t xml:space="preserve">DBQ with the etiology sections completed for bilateral hearing loss and tinnitus. *See Claim Note for details. </w:t>
      </w:r>
    </w:p>
    <w:p w:rsidR="00D275EA" w:rsidRDefault="00D275EA" w:rsidP="00D275EA">
      <w:pPr>
        <w:pStyle w:val="VBABulletLevel1"/>
        <w:numPr>
          <w:ilvl w:val="0"/>
          <w:numId w:val="0"/>
        </w:numPr>
        <w:pBdr>
          <w:top w:val="single" w:sz="4" w:space="1" w:color="auto"/>
          <w:left w:val="single" w:sz="4" w:space="1" w:color="auto"/>
          <w:bottom w:val="single" w:sz="4" w:space="1" w:color="auto"/>
          <w:right w:val="single" w:sz="4" w:space="1" w:color="auto"/>
        </w:pBdr>
        <w:spacing w:after="120"/>
        <w:ind w:left="360"/>
        <w:rPr>
          <w:b/>
          <w:u w:val="single"/>
        </w:rPr>
      </w:pPr>
      <w:r w:rsidRPr="00A430A4">
        <w:rPr>
          <w:i/>
          <w:sz w:val="20"/>
        </w:rPr>
        <w:t xml:space="preserve">for Claim Note:  Claim is not RFD. We need a Hearing Loss and Tinnitus DBQ with the etiology sections completed for </w:t>
      </w:r>
      <w:r>
        <w:rPr>
          <w:i/>
          <w:sz w:val="20"/>
        </w:rPr>
        <w:t xml:space="preserve">the claimed </w:t>
      </w:r>
      <w:r w:rsidRPr="00A430A4">
        <w:rPr>
          <w:i/>
          <w:sz w:val="20"/>
        </w:rPr>
        <w:t>bilateral hearing loss and tinnitus. {Veterans are competent to report hearing loss and tinnitus/ringing in ears</w:t>
      </w:r>
      <w:r>
        <w:rPr>
          <w:i/>
          <w:sz w:val="20"/>
        </w:rPr>
        <w:t xml:space="preserve"> (</w:t>
      </w:r>
      <w:r w:rsidRPr="00A430A4">
        <w:rPr>
          <w:i/>
          <w:sz w:val="20"/>
        </w:rPr>
        <w:t>Element 1</w:t>
      </w:r>
      <w:r>
        <w:rPr>
          <w:i/>
          <w:sz w:val="20"/>
        </w:rPr>
        <w:t>)</w:t>
      </w:r>
      <w:r w:rsidRPr="00A430A4">
        <w:rPr>
          <w:i/>
          <w:sz w:val="20"/>
        </w:rPr>
        <w:t xml:space="preserve"> OR The CAPRI records show hearing loss</w:t>
      </w:r>
      <w:r>
        <w:rPr>
          <w:i/>
          <w:sz w:val="20"/>
        </w:rPr>
        <w:t xml:space="preserve"> (</w:t>
      </w:r>
      <w:r w:rsidRPr="00A430A4">
        <w:rPr>
          <w:i/>
          <w:sz w:val="20"/>
        </w:rPr>
        <w:t>Element 1</w:t>
      </w:r>
      <w:r>
        <w:rPr>
          <w:i/>
          <w:sz w:val="20"/>
        </w:rPr>
        <w:t>)</w:t>
      </w:r>
      <w:r w:rsidRPr="00A430A4">
        <w:rPr>
          <w:i/>
          <w:sz w:val="20"/>
        </w:rPr>
        <w:t>}. The DD214 shows the veteran's MO</w:t>
      </w:r>
      <w:r>
        <w:rPr>
          <w:i/>
          <w:sz w:val="20"/>
        </w:rPr>
        <w:t xml:space="preserve">S was { }, {which has a {} </w:t>
      </w:r>
      <w:r w:rsidRPr="00A430A4">
        <w:rPr>
          <w:i/>
          <w:sz w:val="20"/>
        </w:rPr>
        <w:t>probability</w:t>
      </w:r>
      <w:r>
        <w:rPr>
          <w:i/>
          <w:sz w:val="20"/>
        </w:rPr>
        <w:t xml:space="preserve"> of exposure to hazardous noise</w:t>
      </w:r>
      <w:r w:rsidRPr="00A430A4">
        <w:rPr>
          <w:i/>
          <w:sz w:val="20"/>
        </w:rPr>
        <w:t>, plus the {enter sep exam date} audiogram shows a threshold shift when compared to the {enter enlist exam date} audiogram</w:t>
      </w:r>
      <w:r>
        <w:rPr>
          <w:i/>
          <w:sz w:val="20"/>
        </w:rPr>
        <w:t xml:space="preserve"> (</w:t>
      </w:r>
      <w:r w:rsidRPr="00A430A4">
        <w:rPr>
          <w:i/>
          <w:sz w:val="20"/>
        </w:rPr>
        <w:t>Element 2</w:t>
      </w:r>
      <w:r>
        <w:rPr>
          <w:i/>
          <w:sz w:val="20"/>
        </w:rPr>
        <w:t>)</w:t>
      </w:r>
      <w:r w:rsidRPr="00A430A4">
        <w:rPr>
          <w:i/>
          <w:sz w:val="20"/>
        </w:rPr>
        <w:t xml:space="preserve">. </w:t>
      </w:r>
      <w:r w:rsidR="00F270F3">
        <w:rPr>
          <w:rStyle w:val="Strong"/>
          <w:b w:val="0"/>
          <w:bCs w:val="0"/>
          <w:i/>
          <w:sz w:val="20"/>
          <w:szCs w:val="21"/>
        </w:rPr>
        <w:t>III.iv.4.D.1.d</w:t>
      </w:r>
      <w:r w:rsidRPr="00227207">
        <w:rPr>
          <w:i/>
          <w:sz w:val="18"/>
        </w:rPr>
        <w:t xml:space="preserve"> </w:t>
      </w:r>
      <w:r w:rsidR="00F270F3">
        <w:rPr>
          <w:i/>
          <w:sz w:val="20"/>
        </w:rPr>
        <w:t>s</w:t>
      </w:r>
      <w:r>
        <w:rPr>
          <w:i/>
          <w:sz w:val="20"/>
        </w:rPr>
        <w:t>ays Element</w:t>
      </w:r>
      <w:r w:rsidR="00F270F3">
        <w:rPr>
          <w:i/>
          <w:sz w:val="20"/>
        </w:rPr>
        <w:t xml:space="preserve"> 3 is also sa</w:t>
      </w:r>
      <w:r>
        <w:rPr>
          <w:i/>
          <w:sz w:val="20"/>
        </w:rPr>
        <w:t>tisfied by the noise exposure conceded as a result of the MOS {or combat or event in service}. Deferral done.</w:t>
      </w:r>
    </w:p>
    <w:p w:rsidR="00D275EA" w:rsidRPr="00D86D19"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rPr>
          <w:b/>
          <w:u w:val="single"/>
        </w:rPr>
      </w:pPr>
      <w:r w:rsidRPr="00D86D19">
        <w:rPr>
          <w:b/>
          <w:u w:val="single"/>
        </w:rPr>
        <w:t xml:space="preserve">For </w:t>
      </w:r>
      <w:r>
        <w:rPr>
          <w:b/>
          <w:u w:val="single"/>
        </w:rPr>
        <w:t>CAATS</w:t>
      </w:r>
      <w:r w:rsidRPr="00D86D19">
        <w:rPr>
          <w:b/>
        </w:rPr>
        <w:t xml:space="preserve">: </w:t>
      </w:r>
    </w:p>
    <w:p w:rsidR="00D275EA" w:rsidRPr="00D86D19"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rPr>
          <w:i/>
        </w:rPr>
      </w:pPr>
      <w:r>
        <w:rPr>
          <w:i/>
        </w:rPr>
        <w:t>DBQ based on MOS -</w:t>
      </w:r>
    </w:p>
    <w:p w:rsidR="00D275EA"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240"/>
        <w:ind w:left="360"/>
      </w:pPr>
      <w:r w:rsidRPr="009845E3">
        <w:t>Examiner:  Th</w:t>
      </w:r>
      <w:r>
        <w:t>e Veteran is claiming that his/</w:t>
      </w:r>
      <w:r w:rsidRPr="009845E3">
        <w:t xml:space="preserve">her bilateral hearing loss and tinnitus are related to exposure to hazardous noise. </w:t>
      </w:r>
      <w:r>
        <w:t xml:space="preserve">His/Her </w:t>
      </w:r>
      <w:r w:rsidRPr="009845E3">
        <w:t xml:space="preserve">MOS of </w:t>
      </w:r>
      <w:r>
        <w:t>{} h</w:t>
      </w:r>
      <w:r w:rsidRPr="009845E3">
        <w:t>as high</w:t>
      </w:r>
      <w:r>
        <w:t xml:space="preserve">/moderate probability for hazardous noise exposure (DD214 is Tab A). </w:t>
      </w:r>
      <w:r w:rsidRPr="009845E3">
        <w:t>Please complete the etiology sections of the Hearing Loss and Tinnitus DBQ</w:t>
      </w:r>
      <w:r>
        <w:t>.</w:t>
      </w:r>
    </w:p>
    <w:p w:rsidR="00D275EA" w:rsidRPr="00D86D19"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rPr>
          <w:i/>
        </w:rPr>
      </w:pPr>
      <w:r>
        <w:rPr>
          <w:i/>
        </w:rPr>
        <w:t xml:space="preserve">DBQ </w:t>
      </w:r>
      <w:r w:rsidRPr="00D86D19">
        <w:rPr>
          <w:i/>
        </w:rPr>
        <w:t>based on threshold shift  or complaints of noise exposure –</w:t>
      </w:r>
    </w:p>
    <w:p w:rsidR="00D275EA"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240"/>
        <w:ind w:left="360"/>
      </w:pPr>
      <w:r w:rsidRPr="009845E3">
        <w:t>Examiner:  Th</w:t>
      </w:r>
      <w:r>
        <w:t>e Veteran is claiming that his/</w:t>
      </w:r>
      <w:r w:rsidRPr="009845E3">
        <w:t xml:space="preserve">her bilateral hearing loss and tinnitus are related to exposure to hazardous noise. </w:t>
      </w:r>
      <w:r w:rsidRPr="009E2F62">
        <w:rPr>
          <w:highlight w:val="darkGray"/>
        </w:rPr>
        <w:t>His/Her MOS of {} has a low probability of hazardous noise exposure, but the</w:t>
      </w:r>
      <w:r>
        <w:t xml:space="preserve"> STRs show threshold shifts / but the veteran reported {} (DD214 is Tab A, STRs are Tab B). </w:t>
      </w:r>
      <w:r w:rsidRPr="009845E3">
        <w:t>Please complete the etiology sections of the Hearing Loss and Tinnitus DBQ</w:t>
      </w:r>
      <w:r>
        <w:t>.</w:t>
      </w:r>
    </w:p>
    <w:p w:rsidR="00D275EA" w:rsidRPr="00D86D19"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rPr>
          <w:i/>
        </w:rPr>
      </w:pPr>
      <w:r>
        <w:rPr>
          <w:i/>
        </w:rPr>
        <w:t xml:space="preserve">DBQ </w:t>
      </w:r>
      <w:r w:rsidRPr="00D86D19">
        <w:rPr>
          <w:i/>
        </w:rPr>
        <w:t xml:space="preserve">based on </w:t>
      </w:r>
      <w:r>
        <w:rPr>
          <w:i/>
        </w:rPr>
        <w:t>combat</w:t>
      </w:r>
      <w:r w:rsidRPr="00D86D19">
        <w:rPr>
          <w:i/>
        </w:rPr>
        <w:t xml:space="preserve"> –</w:t>
      </w:r>
    </w:p>
    <w:p w:rsidR="00D275EA"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pPr>
      <w:r w:rsidRPr="009845E3">
        <w:t>Examiner:  Th</w:t>
      </w:r>
      <w:r>
        <w:t>e Veteran is claiming that his/</w:t>
      </w:r>
      <w:r w:rsidRPr="009845E3">
        <w:t xml:space="preserve">her bilateral hearing loss and tinnitus are related to exposure to hazardous noise. </w:t>
      </w:r>
      <w:r>
        <w:t xml:space="preserve">He/She is a combat veteran, in receipt of a {} (DD214 is Tab A). </w:t>
      </w:r>
      <w:r w:rsidRPr="009845E3">
        <w:t>Please complete the etiology sections of the Hearing Loss and Tinnitus DBQ</w:t>
      </w:r>
      <w:r>
        <w:t>.</w:t>
      </w:r>
    </w:p>
    <w:p w:rsidR="00D275EA"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pPr>
    </w:p>
    <w:p w:rsidR="00D275EA" w:rsidRPr="00D86D19"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rPr>
          <w:b/>
          <w:u w:val="single"/>
        </w:rPr>
      </w:pPr>
      <w:r w:rsidRPr="00D86D19">
        <w:rPr>
          <w:b/>
          <w:u w:val="single"/>
        </w:rPr>
        <w:t xml:space="preserve">For </w:t>
      </w:r>
      <w:r>
        <w:rPr>
          <w:b/>
          <w:u w:val="single"/>
        </w:rPr>
        <w:t>CAPRI</w:t>
      </w:r>
      <w:r w:rsidRPr="00D86D19">
        <w:rPr>
          <w:b/>
        </w:rPr>
        <w:t xml:space="preserve">: </w:t>
      </w:r>
    </w:p>
    <w:p w:rsidR="00D275EA" w:rsidRPr="00D86D19"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rPr>
          <w:i/>
        </w:rPr>
      </w:pPr>
      <w:r>
        <w:rPr>
          <w:i/>
        </w:rPr>
        <w:t>DBQ based on MOS (from ERB, when you click on “Basis for examination” you’ll get a pop-up that says “Are you requesting an opinion related to the Veteran’s MOS?,” select Yes, then it will have you enter the MOS info &amp; it will complete the sections with “Direct (MO) – bilateral hearing loss – exposure to hazardous noise; add tinnitus, if applicable) -</w:t>
      </w:r>
    </w:p>
    <w:p w:rsidR="00D275EA" w:rsidRPr="009845E3"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pPr>
      <w:r w:rsidRPr="009845E3">
        <w:t xml:space="preserve">The Veteran is claiming that his or her bilateral hearing loss and tinnitus are related to exposure to hazardous noise. Please fill out the Direct medical opinion template in the DBQ and review the following tabbed evidence. </w:t>
      </w:r>
    </w:p>
    <w:p w:rsidR="00D275EA"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240"/>
        <w:ind w:left="360"/>
      </w:pPr>
      <w:r w:rsidRPr="009845E3">
        <w:t xml:space="preserve">Tab A (DD Form 214 in VBMS): Record showing MOS of </w:t>
      </w:r>
      <w:r>
        <w:t>{}</w:t>
      </w:r>
      <w:r w:rsidRPr="009845E3">
        <w:t xml:space="preserve"> which was highly probable for hazardous noise exposure</w:t>
      </w:r>
      <w:r>
        <w:t xml:space="preserve"> </w:t>
      </w:r>
      <w:r w:rsidRPr="00763F04">
        <w:t>/ which had a moderate probability for hazardous noise exposure</w:t>
      </w:r>
    </w:p>
    <w:p w:rsidR="00D275EA"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rPr>
          <w:i/>
        </w:rPr>
      </w:pPr>
      <w:r>
        <w:rPr>
          <w:i/>
        </w:rPr>
        <w:t xml:space="preserve">DBQ </w:t>
      </w:r>
      <w:r w:rsidRPr="00D86D19">
        <w:rPr>
          <w:i/>
        </w:rPr>
        <w:t xml:space="preserve">based on threshold shift  or complaints of noise exposure </w:t>
      </w:r>
      <w:r>
        <w:rPr>
          <w:i/>
        </w:rPr>
        <w:t xml:space="preserve">(I made this up) </w:t>
      </w:r>
      <w:r w:rsidRPr="00D86D19">
        <w:rPr>
          <w:i/>
        </w:rPr>
        <w:t>–</w:t>
      </w:r>
    </w:p>
    <w:p w:rsidR="00D275EA" w:rsidRPr="009845E3"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pPr>
      <w:r w:rsidRPr="009845E3">
        <w:t xml:space="preserve">The Veteran is claiming that his or her bilateral hearing loss and tinnitus are related to exposure to hazardous noise. </w:t>
      </w:r>
      <w:r w:rsidRPr="009E2F62">
        <w:rPr>
          <w:highlight w:val="darkGray"/>
        </w:rPr>
        <w:t>His/Her MOS of {} has a low probability of hazardous noise exposure, but the</w:t>
      </w:r>
      <w:r>
        <w:t xml:space="preserve"> STRs show threshold shifts / but the veteran reported {}. </w:t>
      </w:r>
      <w:r w:rsidRPr="009845E3">
        <w:t xml:space="preserve">Please fill out the Direct medical opinion template in the DBQ and review the following tabbed evidence. </w:t>
      </w:r>
    </w:p>
    <w:p w:rsidR="00D275EA"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pPr>
      <w:r w:rsidRPr="009845E3">
        <w:t xml:space="preserve">Tab A (DD Form 214 in VBMS): Record showing MOS of </w:t>
      </w:r>
      <w:r>
        <w:t xml:space="preserve">{} which </w:t>
      </w:r>
      <w:r w:rsidRPr="00763F04">
        <w:t xml:space="preserve">had a </w:t>
      </w:r>
      <w:r>
        <w:t>low</w:t>
      </w:r>
      <w:r w:rsidRPr="00763F04">
        <w:t xml:space="preserve"> probability for hazardous noise exposure</w:t>
      </w:r>
    </w:p>
    <w:p w:rsidR="00D275EA" w:rsidRPr="00D86D19"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240"/>
        <w:ind w:left="360"/>
      </w:pPr>
      <w:r>
        <w:t>Tab B (STRs in VBMS):  {date} enlistment exam p{}, {date} separation exam p{}</w:t>
      </w:r>
    </w:p>
    <w:p w:rsidR="00D275EA" w:rsidRPr="00D86D19"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rPr>
          <w:i/>
        </w:rPr>
      </w:pPr>
      <w:r>
        <w:rPr>
          <w:i/>
        </w:rPr>
        <w:t xml:space="preserve">DBQ </w:t>
      </w:r>
      <w:r w:rsidRPr="00D86D19">
        <w:rPr>
          <w:i/>
        </w:rPr>
        <w:t xml:space="preserve">based on </w:t>
      </w:r>
      <w:r>
        <w:rPr>
          <w:i/>
        </w:rPr>
        <w:t>combat</w:t>
      </w:r>
      <w:r w:rsidRPr="00D86D19">
        <w:rPr>
          <w:i/>
        </w:rPr>
        <w:t xml:space="preserve"> </w:t>
      </w:r>
      <w:r>
        <w:rPr>
          <w:i/>
        </w:rPr>
        <w:t xml:space="preserve">(from ERB, choose “Combat(MO)”) </w:t>
      </w:r>
      <w:r w:rsidRPr="00D86D19">
        <w:rPr>
          <w:i/>
        </w:rPr>
        <w:t>–</w:t>
      </w:r>
    </w:p>
    <w:p w:rsidR="00D275EA" w:rsidRPr="009845E3" w:rsidRDefault="00D275EA" w:rsidP="00D275EA">
      <w:pPr>
        <w:pBdr>
          <w:top w:val="single" w:sz="4" w:space="1" w:color="auto"/>
          <w:left w:val="single" w:sz="4" w:space="4" w:color="auto"/>
          <w:bottom w:val="single" w:sz="4" w:space="0" w:color="auto"/>
          <w:right w:val="single" w:sz="4" w:space="4" w:color="auto"/>
        </w:pBdr>
        <w:tabs>
          <w:tab w:val="left" w:pos="360"/>
          <w:tab w:val="left" w:pos="1170"/>
        </w:tabs>
        <w:spacing w:after="120"/>
        <w:ind w:left="360"/>
      </w:pPr>
      <w:r w:rsidRPr="009845E3">
        <w:t>The Veteran is claiming that his or her hearing loss and tinnitus are related to {combat noise exposure with receipt of the Combat Infantryman Badge}. Please fill out the Combat medical opinion template in the DBQ.</w:t>
      </w:r>
    </w:p>
    <w:p w:rsidR="00D275EA" w:rsidRPr="007C0EE5" w:rsidRDefault="00D275EA" w:rsidP="00F063AF">
      <w:pPr>
        <w:pStyle w:val="ListParagraph"/>
        <w:numPr>
          <w:ilvl w:val="0"/>
          <w:numId w:val="358"/>
        </w:numPr>
        <w:tabs>
          <w:tab w:val="left" w:pos="360"/>
        </w:tabs>
        <w:spacing w:after="120"/>
        <w:ind w:left="360"/>
        <w:rPr>
          <w:rFonts w:ascii="Arial" w:hAnsi="Arial"/>
          <w:sz w:val="20"/>
        </w:rPr>
      </w:pPr>
      <w:r w:rsidRPr="007C0EE5">
        <w:rPr>
          <w:rFonts w:ascii="Arial" w:hAnsi="Arial"/>
          <w:b/>
          <w:bCs/>
          <w:sz w:val="20"/>
        </w:rPr>
        <w:t>From:</w:t>
      </w:r>
      <w:r w:rsidRPr="007C0EE5">
        <w:rPr>
          <w:rFonts w:ascii="Arial" w:hAnsi="Arial"/>
          <w:sz w:val="20"/>
        </w:rPr>
        <w:t xml:space="preserve"> VAVBASDC/RO/VSC </w:t>
      </w:r>
      <w:r w:rsidRPr="007C0EE5">
        <w:rPr>
          <w:rFonts w:ascii="Arial" w:hAnsi="Arial"/>
          <w:sz w:val="20"/>
        </w:rPr>
        <w:br/>
      </w:r>
      <w:r w:rsidRPr="007C0EE5">
        <w:rPr>
          <w:rFonts w:ascii="Arial" w:hAnsi="Arial"/>
          <w:b/>
          <w:bCs/>
          <w:sz w:val="20"/>
        </w:rPr>
        <w:t>Sent:</w:t>
      </w:r>
      <w:r w:rsidRPr="007C0EE5">
        <w:rPr>
          <w:rFonts w:ascii="Arial" w:hAnsi="Arial"/>
          <w:sz w:val="20"/>
        </w:rPr>
        <w:t xml:space="preserve"> Wednesday, March 22, 2017 1:06 PM</w:t>
      </w:r>
      <w:r w:rsidRPr="007C0EE5">
        <w:rPr>
          <w:rFonts w:ascii="Arial" w:hAnsi="Arial"/>
          <w:sz w:val="20"/>
        </w:rPr>
        <w:br/>
      </w:r>
      <w:r w:rsidRPr="007C0EE5">
        <w:rPr>
          <w:rFonts w:ascii="Arial" w:hAnsi="Arial"/>
          <w:b/>
          <w:bCs/>
          <w:sz w:val="20"/>
        </w:rPr>
        <w:t>Subject:</w:t>
      </w:r>
      <w:r w:rsidRPr="007C0EE5">
        <w:rPr>
          <w:rFonts w:ascii="Arial" w:hAnsi="Arial"/>
          <w:sz w:val="20"/>
        </w:rPr>
        <w:t xml:space="preserve"> FW: Q-Tip: Medical opinion requests &amp; DBQ for Hearing loss and Tinnitus</w:t>
      </w:r>
    </w:p>
    <w:p w:rsidR="00D275EA" w:rsidRPr="007C0EE5" w:rsidRDefault="00D275EA" w:rsidP="00D275EA">
      <w:pPr>
        <w:spacing w:after="120"/>
        <w:ind w:left="360"/>
        <w:rPr>
          <w:szCs w:val="24"/>
        </w:rPr>
      </w:pPr>
      <w:r w:rsidRPr="007C0EE5">
        <w:rPr>
          <w:szCs w:val="24"/>
        </w:rPr>
        <w:t>VSC - The QR Team would like to put out the below quality tip; per a follow up to the Medical Opinion and DBQs training recently given.</w:t>
      </w:r>
    </w:p>
    <w:p w:rsidR="00D275EA" w:rsidRPr="007C0EE5" w:rsidRDefault="00D275EA" w:rsidP="00D275EA">
      <w:pPr>
        <w:spacing w:after="120"/>
        <w:ind w:left="360"/>
        <w:rPr>
          <w:b/>
          <w:bCs/>
          <w:szCs w:val="24"/>
        </w:rPr>
      </w:pPr>
      <w:r w:rsidRPr="007C0EE5">
        <w:rPr>
          <w:b/>
          <w:bCs/>
          <w:szCs w:val="24"/>
        </w:rPr>
        <w:t>Q-Tip:  Medical opinion requests &amp; DBQ for Hearing loss and Tinnitus</w:t>
      </w:r>
    </w:p>
    <w:p w:rsidR="00D275EA" w:rsidRPr="007C0EE5" w:rsidRDefault="00D275EA" w:rsidP="00D275EA">
      <w:pPr>
        <w:spacing w:after="120"/>
        <w:ind w:left="360"/>
        <w:rPr>
          <w:b/>
          <w:bCs/>
          <w:szCs w:val="24"/>
        </w:rPr>
      </w:pPr>
      <w:r w:rsidRPr="007C0EE5">
        <w:rPr>
          <w:b/>
          <w:bCs/>
          <w:szCs w:val="24"/>
        </w:rPr>
        <w:t>Target Audience:  VSRs, RVSRs, and DROs</w:t>
      </w:r>
    </w:p>
    <w:p w:rsidR="00D275EA" w:rsidRPr="007C0EE5" w:rsidRDefault="00D275EA" w:rsidP="00D275EA">
      <w:pPr>
        <w:spacing w:after="120"/>
        <w:ind w:left="360"/>
        <w:rPr>
          <w:szCs w:val="24"/>
        </w:rPr>
      </w:pPr>
      <w:r w:rsidRPr="007C0EE5">
        <w:rPr>
          <w:szCs w:val="24"/>
        </w:rPr>
        <w:t>This Q-Tip provides the following reminders on medical opinion requests relating to the DBQ for Hearing Loss and Tinnitus:</w:t>
      </w:r>
    </w:p>
    <w:p w:rsidR="00D275EA" w:rsidRPr="007C0EE5" w:rsidRDefault="00D275EA" w:rsidP="00D275EA">
      <w:pPr>
        <w:spacing w:after="120"/>
        <w:ind w:left="360"/>
        <w:rPr>
          <w:szCs w:val="24"/>
        </w:rPr>
      </w:pPr>
      <w:r w:rsidRPr="007C0EE5">
        <w:rPr>
          <w:szCs w:val="24"/>
        </w:rPr>
        <w:t xml:space="preserve">When a medical opinion is necessary for hearing loss and/or tinnitus claims, the exam request must ask for the requested opinion and identify the tabbed evidence for the examiner’s review.  </w:t>
      </w:r>
      <w:r w:rsidRPr="007C0EE5">
        <w:rPr>
          <w:szCs w:val="24"/>
          <w:u w:val="single"/>
        </w:rPr>
        <w:t>However</w:t>
      </w:r>
      <w:r w:rsidRPr="007C0EE5">
        <w:rPr>
          <w:szCs w:val="24"/>
        </w:rPr>
        <w:t xml:space="preserve">, since the DBQ for Hearing Loss and Tinnitus already contains specific sections for etiology opinions, do </w:t>
      </w:r>
      <w:r w:rsidRPr="007C0EE5">
        <w:rPr>
          <w:b/>
          <w:bCs/>
          <w:szCs w:val="24"/>
          <w:u w:val="single"/>
        </w:rPr>
        <w:t>not</w:t>
      </w:r>
      <w:r w:rsidRPr="007C0EE5">
        <w:rPr>
          <w:b/>
          <w:bCs/>
          <w:szCs w:val="24"/>
        </w:rPr>
        <w:t xml:space="preserve"> </w:t>
      </w:r>
      <w:r w:rsidRPr="007C0EE5">
        <w:rPr>
          <w:szCs w:val="24"/>
        </w:rPr>
        <w:t>select or request that a separate Medical Opinion DBQ be completed.</w:t>
      </w:r>
    </w:p>
    <w:p w:rsidR="00D275EA" w:rsidRPr="007C0EE5" w:rsidRDefault="00D275EA" w:rsidP="00D275EA">
      <w:pPr>
        <w:spacing w:after="120"/>
        <w:ind w:left="360"/>
        <w:rPr>
          <w:szCs w:val="24"/>
        </w:rPr>
      </w:pPr>
      <w:r w:rsidRPr="007C0EE5">
        <w:rPr>
          <w:szCs w:val="24"/>
        </w:rPr>
        <w:t>If using the Exam Request Builder (ERB), follow the prompts including the question on whether an opinion is requested based on the Veteran’s MOS.  Remember that the ERB-generated medical opinion language should be edited as need to ensure it is case-specific and will result in an adequate opinion.</w:t>
      </w:r>
    </w:p>
    <w:p w:rsidR="00D275EA" w:rsidRPr="007C0EE5" w:rsidRDefault="00D275EA" w:rsidP="00D275EA">
      <w:pPr>
        <w:spacing w:after="120"/>
        <w:ind w:left="360"/>
        <w:rPr>
          <w:szCs w:val="24"/>
        </w:rPr>
      </w:pPr>
      <w:r w:rsidRPr="007C0EE5">
        <w:rPr>
          <w:szCs w:val="24"/>
        </w:rPr>
        <w:t>Below is a sample exam request from the ERB when a medical opinion is needed for hearing loss:</w:t>
      </w:r>
    </w:p>
    <w:p w:rsidR="00D275EA" w:rsidRPr="007C0EE5" w:rsidRDefault="00D275EA" w:rsidP="00D275EA">
      <w:pPr>
        <w:spacing w:after="120"/>
        <w:ind w:left="360"/>
        <w:rPr>
          <w:b/>
          <w:bCs/>
          <w:sz w:val="18"/>
          <w:szCs w:val="22"/>
        </w:rPr>
      </w:pPr>
      <w:r w:rsidRPr="007C0EE5">
        <w:rPr>
          <w:noProof/>
          <w:sz w:val="16"/>
        </w:rPr>
        <w:drawing>
          <wp:inline distT="0" distB="0" distL="0" distR="0" wp14:anchorId="37A1A8C5" wp14:editId="4FD46874">
            <wp:extent cx="5932805" cy="2987675"/>
            <wp:effectExtent l="0" t="0" r="0" b="3175"/>
            <wp:docPr id="24657" name="Picture 24657" descr="cid:image001.jpg@01D2A15E.48734F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D2A15E.48734F80"/>
                    <pic:cNvPicPr>
                      <a:picLocks noChangeAspect="1" noChangeArrowheads="1"/>
                    </pic:cNvPicPr>
                  </pic:nvPicPr>
                  <pic:blipFill>
                    <a:blip r:embed="rId543" r:link="rId544">
                      <a:extLst>
                        <a:ext uri="{28A0092B-C50C-407E-A947-70E740481C1C}">
                          <a14:useLocalDpi xmlns:a14="http://schemas.microsoft.com/office/drawing/2010/main" val="0"/>
                        </a:ext>
                      </a:extLst>
                    </a:blip>
                    <a:srcRect/>
                    <a:stretch>
                      <a:fillRect/>
                    </a:stretch>
                  </pic:blipFill>
                  <pic:spPr bwMode="auto">
                    <a:xfrm>
                      <a:off x="0" y="0"/>
                      <a:ext cx="5932805" cy="2987675"/>
                    </a:xfrm>
                    <a:prstGeom prst="rect">
                      <a:avLst/>
                    </a:prstGeom>
                    <a:noFill/>
                    <a:ln>
                      <a:noFill/>
                    </a:ln>
                  </pic:spPr>
                </pic:pic>
              </a:graphicData>
            </a:graphic>
          </wp:inline>
        </w:drawing>
      </w:r>
    </w:p>
    <w:p w:rsidR="00D275EA" w:rsidRPr="007C0EE5" w:rsidRDefault="00D275EA" w:rsidP="00D275EA">
      <w:pPr>
        <w:spacing w:after="120"/>
        <w:ind w:left="360"/>
        <w:rPr>
          <w:szCs w:val="24"/>
        </w:rPr>
      </w:pPr>
      <w:r w:rsidRPr="007C0EE5">
        <w:rPr>
          <w:szCs w:val="24"/>
        </w:rPr>
        <w:t>Other sample exam request language</w:t>
      </w:r>
      <w:r w:rsidRPr="007C0EE5">
        <w:rPr>
          <w:color w:val="1F497D"/>
          <w:szCs w:val="24"/>
        </w:rPr>
        <w:t xml:space="preserve"> </w:t>
      </w:r>
      <w:r w:rsidRPr="007C0EE5">
        <w:rPr>
          <w:szCs w:val="24"/>
        </w:rPr>
        <w:t>that may be used (edit verbiage in {brackets} as needed):</w:t>
      </w:r>
    </w:p>
    <w:p w:rsidR="00D275EA" w:rsidRPr="007C0EE5" w:rsidRDefault="00D275EA" w:rsidP="00D275EA">
      <w:pPr>
        <w:spacing w:after="120"/>
        <w:ind w:left="360"/>
        <w:rPr>
          <w:i/>
          <w:iCs/>
          <w:szCs w:val="24"/>
        </w:rPr>
      </w:pPr>
      <w:r w:rsidRPr="007C0EE5">
        <w:rPr>
          <w:i/>
          <w:iCs/>
          <w:szCs w:val="24"/>
        </w:rPr>
        <w:t>DBQ based on threshold shift or complaints of noise exposure –</w:t>
      </w:r>
    </w:p>
    <w:p w:rsidR="00D275EA" w:rsidRPr="007C0EE5" w:rsidRDefault="00D275EA" w:rsidP="00D275EA">
      <w:pPr>
        <w:spacing w:after="120"/>
        <w:ind w:left="360"/>
        <w:rPr>
          <w:szCs w:val="24"/>
        </w:rPr>
      </w:pPr>
      <w:r w:rsidRPr="007C0EE5">
        <w:rPr>
          <w:szCs w:val="24"/>
        </w:rPr>
        <w:t>The Veteran is claiming that his/her bilateral hearing loss and</w:t>
      </w:r>
      <w:r w:rsidRPr="007C0EE5">
        <w:rPr>
          <w:color w:val="1F497D"/>
          <w:szCs w:val="24"/>
        </w:rPr>
        <w:t>/or</w:t>
      </w:r>
      <w:r w:rsidRPr="007C0EE5">
        <w:rPr>
          <w:szCs w:val="24"/>
        </w:rPr>
        <w:t xml:space="preserve"> tinnitus are related to exposure to hazardous noise.  His/Her MOS of {} has a {low/moderate/high} probability of hazardous noise exposure, {but {the STRs show threshold shifts} { but the veteran reported {}}.  Please fill out the Direct (etiology) medical opinion template in the DBQ and review the following tabbed evidence.</w:t>
      </w:r>
    </w:p>
    <w:p w:rsidR="00D275EA" w:rsidRPr="007C0EE5" w:rsidRDefault="00D275EA" w:rsidP="00D275EA">
      <w:pPr>
        <w:spacing w:after="120"/>
        <w:ind w:left="360"/>
        <w:rPr>
          <w:i/>
          <w:iCs/>
          <w:szCs w:val="24"/>
        </w:rPr>
      </w:pPr>
      <w:r w:rsidRPr="007C0EE5">
        <w:rPr>
          <w:i/>
          <w:iCs/>
          <w:szCs w:val="24"/>
        </w:rPr>
        <w:t>DBQ based on combat –</w:t>
      </w:r>
    </w:p>
    <w:p w:rsidR="00D275EA" w:rsidRPr="007C0EE5" w:rsidRDefault="00D275EA" w:rsidP="00D275EA">
      <w:pPr>
        <w:spacing w:after="120"/>
        <w:ind w:left="360"/>
        <w:rPr>
          <w:szCs w:val="24"/>
        </w:rPr>
      </w:pPr>
      <w:r w:rsidRPr="007C0EE5">
        <w:rPr>
          <w:szCs w:val="24"/>
        </w:rPr>
        <w:t>The Veteran is claiming that his/her bilateral hearing loss and</w:t>
      </w:r>
      <w:r w:rsidRPr="007C0EE5">
        <w:rPr>
          <w:color w:val="1F497D"/>
          <w:szCs w:val="24"/>
        </w:rPr>
        <w:t>/or</w:t>
      </w:r>
      <w:r w:rsidRPr="007C0EE5">
        <w:rPr>
          <w:szCs w:val="24"/>
        </w:rPr>
        <w:t xml:space="preserve"> tinnitus are related to exposure to hazardous noise.   He/She is a combat veteran, in receipt of a {}.  Please fill out the Direct (etiology) medical opinion template in the DBQ and review the following tabbed evidence.</w:t>
      </w:r>
    </w:p>
    <w:p w:rsidR="00D275EA" w:rsidRPr="007C0EE5" w:rsidRDefault="00D275EA" w:rsidP="00D275EA">
      <w:pPr>
        <w:spacing w:after="120"/>
        <w:ind w:left="360"/>
        <w:rPr>
          <w:szCs w:val="24"/>
        </w:rPr>
      </w:pPr>
      <w:r w:rsidRPr="007C0EE5">
        <w:rPr>
          <w:szCs w:val="24"/>
        </w:rPr>
        <w:t xml:space="preserve">For CAATS, follow input instructions for the system </w:t>
      </w:r>
      <w:r w:rsidRPr="007C0EE5">
        <w:rPr>
          <w:szCs w:val="24"/>
          <w:u w:val="single"/>
        </w:rPr>
        <w:t>except</w:t>
      </w:r>
      <w:r w:rsidRPr="007C0EE5">
        <w:rPr>
          <w:szCs w:val="24"/>
        </w:rPr>
        <w:t xml:space="preserve"> do not select that an additional Medical Opinion Worksheet/DBQ be completed. </w:t>
      </w:r>
    </w:p>
    <w:p w:rsidR="00D275EA" w:rsidRPr="007C0EE5" w:rsidRDefault="00D275EA" w:rsidP="00D275EA">
      <w:pPr>
        <w:ind w:left="360"/>
      </w:pPr>
      <w:r w:rsidRPr="007C0EE5">
        <w:t>References:</w:t>
      </w:r>
    </w:p>
    <w:p w:rsidR="00D275EA" w:rsidRPr="007C0EE5" w:rsidRDefault="00D275EA" w:rsidP="00D275EA">
      <w:pPr>
        <w:ind w:left="360"/>
        <w:rPr>
          <w:rStyle w:val="Strong"/>
          <w:b w:val="0"/>
          <w:bCs w:val="0"/>
        </w:rPr>
      </w:pPr>
      <w:r w:rsidRPr="007C0EE5">
        <w:rPr>
          <w:rStyle w:val="Strong"/>
          <w:b w:val="0"/>
          <w:bCs w:val="0"/>
        </w:rPr>
        <w:t>M21-1 III.iv.4.B.4.g, Requesting Audiometric Examinations and Medical Opinions </w:t>
      </w:r>
    </w:p>
    <w:p w:rsidR="00D275EA" w:rsidRPr="007C0EE5" w:rsidRDefault="00D275EA" w:rsidP="00D275EA">
      <w:pPr>
        <w:spacing w:after="120"/>
        <w:ind w:left="360"/>
      </w:pPr>
      <w:r w:rsidRPr="007C0EE5">
        <w:t>M21-1 III.iv.3.A.7.h</w:t>
      </w:r>
      <w:r w:rsidRPr="007C0EE5">
        <w:rPr>
          <w:color w:val="444444"/>
        </w:rPr>
        <w:t>,</w:t>
      </w:r>
      <w:r w:rsidRPr="007C0EE5">
        <w:t> Medical Opinions in the Hearing Loss and Tinnitus DBQ</w:t>
      </w:r>
    </w:p>
    <w:p w:rsidR="00BD655D" w:rsidRPr="00861F76" w:rsidRDefault="00BD655D" w:rsidP="00F063AF">
      <w:pPr>
        <w:pStyle w:val="ListParagraph"/>
        <w:widowControl w:val="0"/>
        <w:numPr>
          <w:ilvl w:val="0"/>
          <w:numId w:val="412"/>
        </w:numPr>
        <w:spacing w:after="120"/>
        <w:ind w:left="360" w:right="60"/>
        <w:rPr>
          <w:rFonts w:ascii="Arial" w:hAnsi="Arial"/>
          <w:bCs/>
          <w:iCs/>
          <w:sz w:val="20"/>
          <w:szCs w:val="20"/>
        </w:rPr>
      </w:pPr>
      <w:r>
        <w:rPr>
          <w:rFonts w:ascii="Arial" w:hAnsi="Arial"/>
          <w:bCs/>
          <w:sz w:val="20"/>
          <w:szCs w:val="20"/>
        </w:rPr>
        <w:t>Q&amp;A</w:t>
      </w:r>
      <w:r w:rsidRPr="00861F76">
        <w:rPr>
          <w:rFonts w:ascii="Arial" w:hAnsi="Arial"/>
          <w:bCs/>
          <w:sz w:val="20"/>
          <w:szCs w:val="20"/>
        </w:rPr>
        <w:t xml:space="preserve"> from </w:t>
      </w:r>
      <w:r w:rsidRPr="00861F76">
        <w:rPr>
          <w:rFonts w:ascii="Arial" w:hAnsi="Arial"/>
          <w:b/>
          <w:i/>
          <w:sz w:val="20"/>
          <w:szCs w:val="20"/>
          <w:u w:val="single"/>
        </w:rPr>
        <w:t xml:space="preserve">March 2018 Training Provided by Central Office by Andrew Grey </w:t>
      </w:r>
      <w:r>
        <w:rPr>
          <w:rFonts w:ascii="Arial" w:hAnsi="Arial"/>
          <w:b/>
          <w:i/>
          <w:sz w:val="20"/>
          <w:szCs w:val="20"/>
          <w:u w:val="single"/>
        </w:rPr>
        <w:t>(Site Visit Training)</w:t>
      </w:r>
      <w:r w:rsidRPr="00861F76">
        <w:rPr>
          <w:rFonts w:ascii="Arial" w:hAnsi="Arial"/>
          <w:b/>
          <w:i/>
          <w:sz w:val="20"/>
          <w:szCs w:val="20"/>
        </w:rPr>
        <w:t>:</w:t>
      </w:r>
    </w:p>
    <w:p w:rsidR="00BD655D" w:rsidRPr="00A468CC" w:rsidRDefault="00BD655D" w:rsidP="00BD655D">
      <w:pPr>
        <w:ind w:left="330"/>
        <w:rPr>
          <w:color w:val="254061"/>
          <w:szCs w:val="24"/>
        </w:rPr>
      </w:pPr>
      <w:r w:rsidRPr="00A468CC">
        <w:rPr>
          <w:color w:val="254061"/>
          <w:szCs w:val="24"/>
        </w:rPr>
        <w:t>Question from the VSRs about ordering a hearing loss/tinnitus exam without STRs is as follows:</w:t>
      </w:r>
    </w:p>
    <w:p w:rsidR="00BD655D" w:rsidRPr="00A468CC" w:rsidRDefault="00BD655D" w:rsidP="00BD655D">
      <w:pPr>
        <w:ind w:left="330"/>
        <w:rPr>
          <w:color w:val="254061"/>
          <w:szCs w:val="24"/>
        </w:rPr>
      </w:pPr>
    </w:p>
    <w:p w:rsidR="00BD655D" w:rsidRPr="00A468CC" w:rsidRDefault="00BD655D" w:rsidP="00BD655D">
      <w:pPr>
        <w:ind w:left="330"/>
        <w:rPr>
          <w:color w:val="254061"/>
          <w:szCs w:val="24"/>
        </w:rPr>
      </w:pPr>
      <w:r w:rsidRPr="00A468CC">
        <w:rPr>
          <w:color w:val="254061"/>
          <w:szCs w:val="24"/>
        </w:rPr>
        <w:t>M21-1, I.1.C.3.k states STRs must be of record prior to requesting audiological examination for hearing loss because the results of in-service audiological testing must be reviewed before an audiologist can give an opinion on the etiology of hearing loss.</w:t>
      </w:r>
    </w:p>
    <w:p w:rsidR="00BD655D" w:rsidRPr="00BD655D" w:rsidRDefault="00BD655D" w:rsidP="00BD655D">
      <w:pPr>
        <w:ind w:left="330"/>
        <w:rPr>
          <w:color w:val="254061"/>
          <w:sz w:val="24"/>
          <w:szCs w:val="24"/>
        </w:rPr>
      </w:pPr>
    </w:p>
    <w:p w:rsidR="00BD655D" w:rsidRPr="00D10240" w:rsidRDefault="00BD655D" w:rsidP="00BD655D">
      <w:pPr>
        <w:pBdr>
          <w:top w:val="double" w:sz="4" w:space="1" w:color="auto"/>
          <w:left w:val="double" w:sz="4" w:space="4" w:color="auto"/>
          <w:bottom w:val="double" w:sz="4" w:space="1" w:color="auto"/>
          <w:right w:val="double" w:sz="4" w:space="4" w:color="auto"/>
        </w:pBdr>
        <w:shd w:val="clear" w:color="auto" w:fill="FFC000"/>
        <w:ind w:left="330" w:right="60"/>
        <w:jc w:val="center"/>
        <w:rPr>
          <w:rFonts w:eastAsiaTheme="minorHAnsi"/>
        </w:rPr>
      </w:pPr>
      <w:r>
        <w:rPr>
          <w:rFonts w:eastAsiaTheme="minorHAnsi"/>
          <w:b/>
        </w:rPr>
        <w:t>San Diego RVSR Training (Version 2).pptx, recorded training &amp; email message with answers to questions</w:t>
      </w:r>
      <w:r>
        <w:rPr>
          <w:rFonts w:eastAsiaTheme="minorHAnsi"/>
        </w:rPr>
        <w:t xml:space="preserve"> are</w:t>
      </w:r>
      <w:r w:rsidRPr="0036376C">
        <w:t xml:space="preserve"> saved at </w:t>
      </w:r>
      <w:r w:rsidRPr="001453C4">
        <w:rPr>
          <w:b/>
          <w:bCs/>
          <w:i/>
          <w:iCs/>
        </w:rPr>
        <w:t>H:\VSC\</w:t>
      </w:r>
      <w:r>
        <w:rPr>
          <w:b/>
          <w:bCs/>
          <w:i/>
          <w:iCs/>
        </w:rPr>
        <w:t>FY2013 LANES\Training\NTC Training Recordings\FY18\2018 Site Visit Training</w:t>
      </w:r>
    </w:p>
    <w:p w:rsidR="00D275EA" w:rsidRPr="00D274BD" w:rsidRDefault="00BD655D" w:rsidP="00F063AF">
      <w:pPr>
        <w:pStyle w:val="ListParagraph"/>
        <w:numPr>
          <w:ilvl w:val="0"/>
          <w:numId w:val="268"/>
        </w:numPr>
        <w:spacing w:after="120" w:line="240" w:lineRule="auto"/>
        <w:ind w:left="360"/>
        <w:rPr>
          <w:rFonts w:ascii="Arial" w:hAnsi="Arial"/>
          <w:sz w:val="20"/>
          <w:szCs w:val="20"/>
        </w:rPr>
      </w:pPr>
      <w:r>
        <w:rPr>
          <w:rFonts w:ascii="Arial" w:hAnsi="Arial"/>
          <w:sz w:val="20"/>
          <w:szCs w:val="20"/>
        </w:rPr>
        <w:t>…</w:t>
      </w:r>
    </w:p>
    <w:p w:rsidR="00D275EA" w:rsidRPr="005F7DF0" w:rsidRDefault="00D275EA" w:rsidP="00D275EA">
      <w:pPr>
        <w:pStyle w:val="Header"/>
        <w:widowControl w:val="0"/>
        <w:pBdr>
          <w:top w:val="single" w:sz="4" w:space="1" w:color="auto"/>
          <w:left w:val="single" w:sz="4" w:space="4" w:color="auto"/>
          <w:bottom w:val="single" w:sz="4" w:space="2" w:color="auto"/>
          <w:right w:val="single" w:sz="4" w:space="4" w:color="auto"/>
        </w:pBdr>
        <w:tabs>
          <w:tab w:val="clear" w:pos="4320"/>
          <w:tab w:val="clear" w:pos="8640"/>
        </w:tabs>
        <w:spacing w:after="120"/>
        <w:rPr>
          <w:rFonts w:ascii="Verdana" w:hAnsi="Verdana"/>
          <w:b/>
          <w:highlight w:val="green"/>
        </w:rPr>
      </w:pPr>
      <w:r w:rsidRPr="005F7DF0">
        <w:rPr>
          <w:rFonts w:ascii="Verdana" w:hAnsi="Verdana"/>
          <w:b/>
          <w:bCs/>
          <w:highlight w:val="green"/>
        </w:rPr>
        <w:t>VBMS-R</w:t>
      </w:r>
      <w:r w:rsidRPr="005F7DF0">
        <w:rPr>
          <w:rFonts w:ascii="Verdana" w:hAnsi="Verdana"/>
          <w:b/>
          <w:highlight w:val="green"/>
        </w:rPr>
        <w:t xml:space="preserve"> Hearing Loss Calculator Generated Text:</w:t>
      </w:r>
    </w:p>
    <w:p w:rsidR="00D275EA" w:rsidRDefault="00D275EA" w:rsidP="00D275EA">
      <w:pPr>
        <w:pStyle w:val="Header"/>
        <w:widowControl w:val="0"/>
        <w:pBdr>
          <w:top w:val="single" w:sz="4" w:space="1" w:color="auto"/>
          <w:left w:val="single" w:sz="4" w:space="4" w:color="auto"/>
          <w:bottom w:val="single" w:sz="4" w:space="2" w:color="auto"/>
          <w:right w:val="single" w:sz="4" w:space="4" w:color="auto"/>
        </w:pBdr>
        <w:tabs>
          <w:tab w:val="clear" w:pos="4320"/>
          <w:tab w:val="clear" w:pos="8640"/>
        </w:tabs>
        <w:spacing w:after="120"/>
      </w:pPr>
      <w:r w:rsidRPr="006128DC">
        <w:t>“Hearing loss on discharge” – Service connection is warranted because your service treatment records show that your</w:t>
      </w:r>
      <w:r>
        <w:t xml:space="preserve"> hearing loss began in-service.</w:t>
      </w:r>
    </w:p>
    <w:p w:rsidR="00D275EA" w:rsidRDefault="00D275EA" w:rsidP="00D275EA">
      <w:pPr>
        <w:pStyle w:val="Header"/>
        <w:widowControl w:val="0"/>
        <w:pBdr>
          <w:top w:val="single" w:sz="4" w:space="1" w:color="auto"/>
          <w:left w:val="single" w:sz="4" w:space="4" w:color="auto"/>
          <w:bottom w:val="single" w:sz="4" w:space="2" w:color="auto"/>
          <w:right w:val="single" w:sz="4" w:space="4" w:color="auto"/>
        </w:pBdr>
        <w:tabs>
          <w:tab w:val="clear" w:pos="4320"/>
          <w:tab w:val="clear" w:pos="8640"/>
          <w:tab w:val="left" w:pos="0"/>
        </w:tabs>
        <w:spacing w:after="120"/>
        <w:rPr>
          <w:i/>
        </w:rPr>
      </w:pPr>
      <w:r>
        <w:t xml:space="preserve">If check </w:t>
      </w:r>
      <w:r w:rsidRPr="006128DC">
        <w:t xml:space="preserve">“Diagnosed with sensorineural hearing loss (3.309(a))” – Service connection is warranted because </w:t>
      </w:r>
      <w:r w:rsidRPr="006128DC">
        <w:rPr>
          <w:i/>
        </w:rPr>
        <w:t>you were diagnosed with sensorineural hearing loss in-service.</w:t>
      </w:r>
    </w:p>
    <w:p w:rsidR="00D275EA" w:rsidRPr="006128DC" w:rsidRDefault="00D275EA" w:rsidP="00D275EA">
      <w:pPr>
        <w:pStyle w:val="Header"/>
        <w:widowControl w:val="0"/>
        <w:pBdr>
          <w:top w:val="single" w:sz="4" w:space="1" w:color="auto"/>
          <w:left w:val="single" w:sz="4" w:space="4" w:color="auto"/>
          <w:bottom w:val="single" w:sz="4" w:space="2" w:color="auto"/>
          <w:right w:val="single" w:sz="4" w:space="4" w:color="auto"/>
        </w:pBdr>
        <w:tabs>
          <w:tab w:val="clear" w:pos="4320"/>
          <w:tab w:val="clear" w:pos="8640"/>
          <w:tab w:val="left" w:pos="0"/>
        </w:tabs>
        <w:spacing w:after="120"/>
      </w:pPr>
      <w:r>
        <w:t xml:space="preserve">If check </w:t>
      </w:r>
      <w:r w:rsidRPr="006128DC">
        <w:t xml:space="preserve">“Chronic per 3.303(b)” – Service connection is warranted because </w:t>
      </w:r>
      <w:r w:rsidRPr="006128DC">
        <w:rPr>
          <w:i/>
        </w:rPr>
        <w:t>your hearing loss became chronic in-service</w:t>
      </w:r>
      <w:r w:rsidRPr="006128DC">
        <w:t>.</w:t>
      </w:r>
    </w:p>
    <w:p w:rsidR="00D275EA" w:rsidRDefault="00D275EA" w:rsidP="00D275EA">
      <w:pPr>
        <w:pStyle w:val="Header"/>
        <w:widowControl w:val="0"/>
        <w:tabs>
          <w:tab w:val="clear" w:pos="4320"/>
          <w:tab w:val="clear" w:pos="8640"/>
        </w:tabs>
        <w:rPr>
          <w:i/>
          <w:iCs/>
        </w:rPr>
      </w:pPr>
      <w:r>
        <w:rPr>
          <w:i/>
          <w:iCs/>
        </w:rPr>
        <w:t>AD = right ear</w:t>
      </w:r>
    </w:p>
    <w:p w:rsidR="00D275EA" w:rsidRDefault="00D275EA" w:rsidP="00D275EA">
      <w:pPr>
        <w:pStyle w:val="Heading2"/>
        <w:keepNext w:val="0"/>
        <w:widowControl w:val="0"/>
        <w:numPr>
          <w:ilvl w:val="12"/>
          <w:numId w:val="0"/>
        </w:numPr>
        <w:tabs>
          <w:tab w:val="left" w:pos="660"/>
          <w:tab w:val="left" w:pos="9413"/>
        </w:tabs>
        <w:rPr>
          <w:b w:val="0"/>
          <w:i/>
          <w:iCs/>
          <w:sz w:val="20"/>
        </w:rPr>
      </w:pPr>
      <w:r>
        <w:rPr>
          <w:b w:val="0"/>
          <w:i/>
          <w:iCs/>
          <w:sz w:val="20"/>
        </w:rPr>
        <w:t>AS = left ear</w:t>
      </w:r>
    </w:p>
    <w:p w:rsidR="00D275EA" w:rsidRDefault="00D275EA" w:rsidP="00D275EA">
      <w:pPr>
        <w:pStyle w:val="Heading5"/>
        <w:keepNext w:val="0"/>
        <w:widowControl w:val="0"/>
        <w:pBdr>
          <w:top w:val="none" w:sz="0" w:space="0" w:color="auto"/>
          <w:left w:val="none" w:sz="0" w:space="0" w:color="auto"/>
          <w:bottom w:val="none" w:sz="0" w:space="0" w:color="auto"/>
          <w:right w:val="none" w:sz="0" w:space="0" w:color="auto"/>
        </w:pBdr>
        <w:rPr>
          <w:b w:val="0"/>
          <w:bCs/>
          <w:iCs/>
        </w:rPr>
      </w:pPr>
      <w:r>
        <w:rPr>
          <w:b w:val="0"/>
          <w:bCs/>
          <w:i/>
          <w:iCs/>
          <w:sz w:val="20"/>
        </w:rPr>
        <w:t>AU = bilateral</w:t>
      </w:r>
    </w:p>
    <w:p w:rsidR="00D275EA" w:rsidRDefault="00D275EA" w:rsidP="00D275EA">
      <w:pPr>
        <w:pStyle w:val="Header"/>
        <w:widowControl w:val="0"/>
        <w:tabs>
          <w:tab w:val="clear" w:pos="4320"/>
          <w:tab w:val="clear" w:pos="8640"/>
        </w:tabs>
      </w:pPr>
    </w:p>
    <w:p w:rsidR="00D275EA" w:rsidRDefault="00D275EA" w:rsidP="00D275EA">
      <w:pPr>
        <w:widowControl w:val="0"/>
        <w:rPr>
          <w:i/>
          <w:iCs/>
        </w:rPr>
      </w:pPr>
      <w:r>
        <w:rPr>
          <w:i/>
          <w:iCs/>
        </w:rPr>
        <w:t>O = right ear</w:t>
      </w:r>
    </w:p>
    <w:p w:rsidR="00D275EA" w:rsidRDefault="00D275EA" w:rsidP="00D275EA">
      <w:pPr>
        <w:widowControl w:val="0"/>
      </w:pPr>
      <w:r>
        <w:rPr>
          <w:i/>
          <w:iCs/>
        </w:rPr>
        <w:t>X = left ear</w:t>
      </w:r>
    </w:p>
    <w:p w:rsidR="00D275EA" w:rsidRDefault="000E2E8C" w:rsidP="00D275EA">
      <w:pPr>
        <w:pStyle w:val="Heading5"/>
        <w:keepNext w:val="0"/>
        <w:widowControl w:val="0"/>
        <w:numPr>
          <w:ilvl w:val="12"/>
          <w:numId w:val="0"/>
        </w:numPr>
        <w:pBdr>
          <w:top w:val="none" w:sz="0" w:space="0" w:color="auto"/>
          <w:left w:val="none" w:sz="0" w:space="0" w:color="auto"/>
          <w:bottom w:val="none" w:sz="0" w:space="0" w:color="auto"/>
          <w:right w:val="none" w:sz="0" w:space="0" w:color="auto"/>
        </w:pBdr>
        <w:tabs>
          <w:tab w:val="left" w:pos="660"/>
          <w:tab w:val="left" w:pos="9413"/>
        </w:tabs>
        <w:rPr>
          <w:bCs/>
          <w:i/>
          <w:iCs/>
          <w:sz w:val="20"/>
        </w:rPr>
      </w:pPr>
      <w:r>
        <w:rPr>
          <w:bCs/>
          <w:i/>
          <w:iCs/>
          <w:sz w:val="20"/>
        </w:rPr>
        <w:t xml:space="preserve">always </w:t>
      </w:r>
      <w:r w:rsidR="00D275EA">
        <w:rPr>
          <w:bCs/>
          <w:i/>
          <w:iCs/>
          <w:sz w:val="20"/>
        </w:rPr>
        <w:t xml:space="preserve">use Air conduction results,  </w:t>
      </w:r>
      <w:r w:rsidR="00F270F3">
        <w:rPr>
          <w:bCs/>
          <w:iCs/>
          <w:sz w:val="20"/>
        </w:rPr>
        <w:t xml:space="preserve">III.iv.4.D.2.i </w:t>
      </w:r>
      <w:r w:rsidR="00F270F3" w:rsidRPr="00F270F3">
        <w:rPr>
          <w:b w:val="0"/>
          <w:bCs/>
          <w:iCs/>
          <w:sz w:val="20"/>
        </w:rPr>
        <w:t>&amp;</w:t>
      </w:r>
      <w:r w:rsidR="00F270F3">
        <w:rPr>
          <w:bCs/>
          <w:iCs/>
          <w:sz w:val="20"/>
        </w:rPr>
        <w:t xml:space="preserve"> III.iv.4.D.2.k</w:t>
      </w:r>
    </w:p>
    <w:p w:rsidR="00D275EA" w:rsidRPr="006414F0" w:rsidRDefault="006414F0" w:rsidP="00D275EA">
      <w:pPr>
        <w:widowControl w:val="0"/>
        <w:numPr>
          <w:ilvl w:val="12"/>
          <w:numId w:val="0"/>
        </w:numPr>
        <w:tabs>
          <w:tab w:val="left" w:pos="660"/>
          <w:tab w:val="left" w:pos="9413"/>
        </w:tabs>
        <w:rPr>
          <w:i/>
        </w:rPr>
      </w:pPr>
      <w:bookmarkStart w:id="122" w:name="_Hlk515007770"/>
      <w:r>
        <w:rPr>
          <w:i/>
        </w:rPr>
        <w:t>if get PTRs &amp; Maryland CNC shows results below 92%, need to ensure performance intensity function testing was conducted</w:t>
      </w:r>
      <w:r w:rsidR="004E512B">
        <w:rPr>
          <w:bCs/>
          <w:i/>
          <w:iCs/>
        </w:rPr>
        <w:t xml:space="preserve">, </w:t>
      </w:r>
      <w:r w:rsidRPr="006414F0">
        <w:rPr>
          <w:b/>
          <w:bCs/>
          <w:iCs/>
        </w:rPr>
        <w:t>III.iv.4.D.2.f</w:t>
      </w:r>
    </w:p>
    <w:bookmarkEnd w:id="122"/>
    <w:p w:rsidR="006414F0" w:rsidRDefault="006414F0" w:rsidP="00D275EA">
      <w:pPr>
        <w:widowControl w:val="0"/>
        <w:numPr>
          <w:ilvl w:val="12"/>
          <w:numId w:val="0"/>
        </w:numPr>
        <w:tabs>
          <w:tab w:val="left" w:pos="660"/>
          <w:tab w:val="left" w:pos="9413"/>
        </w:tabs>
        <w:rPr>
          <w:i/>
        </w:rPr>
      </w:pPr>
    </w:p>
    <w:p w:rsidR="00D275EA" w:rsidRDefault="00D275EA" w:rsidP="00D275EA">
      <w:pPr>
        <w:pStyle w:val="Heading1"/>
        <w:keepNext w:val="0"/>
        <w:widowControl w:val="0"/>
        <w:numPr>
          <w:ilvl w:val="12"/>
          <w:numId w:val="0"/>
        </w:numPr>
        <w:tabs>
          <w:tab w:val="left" w:pos="660"/>
          <w:tab w:val="left" w:pos="9413"/>
        </w:tabs>
        <w:rPr>
          <w:b/>
          <w:bCs/>
          <w:i w:val="0"/>
          <w:iCs w:val="0"/>
          <w:sz w:val="20"/>
        </w:rPr>
      </w:pPr>
      <w:r>
        <w:rPr>
          <w:b/>
          <w:bCs/>
          <w:i w:val="0"/>
          <w:iCs w:val="0"/>
          <w:sz w:val="20"/>
        </w:rPr>
        <w:t>DISEASES OF THE EAR</w:t>
      </w:r>
    </w:p>
    <w:p w:rsidR="00D275EA" w:rsidRDefault="00D275EA" w:rsidP="00D275EA">
      <w:pPr>
        <w:widowControl w:val="0"/>
        <w:numPr>
          <w:ilvl w:val="12"/>
          <w:numId w:val="0"/>
        </w:numPr>
      </w:pPr>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i/>
          <w:sz w:val="18"/>
        </w:rPr>
      </w:pPr>
      <w:r>
        <w:rPr>
          <w:i/>
        </w:rPr>
        <w:t xml:space="preserve">changed 6/10/99 (DCs 6100 to 6260, </w:t>
      </w:r>
      <w:r>
        <w:rPr>
          <w:i/>
          <w:sz w:val="18"/>
        </w:rPr>
        <w:t>used to have mastoiditis (6206) &amp; otitis media, chronic, suppurative (6200) separate, but combined into 6200)</w:t>
      </w:r>
    </w:p>
    <w:p w:rsidR="00D275EA" w:rsidRPr="00EC3C06"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i/>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4.87</w:t>
      </w:r>
      <w:r w:rsidR="00D11C3E">
        <w:rPr>
          <w:bCs/>
          <w:i/>
          <w:iCs/>
          <w:sz w:val="18"/>
        </w:rPr>
        <w:t>; or in CPKM</w:t>
      </w:r>
    </w:p>
    <w:p w:rsidR="00D275EA" w:rsidRDefault="00D275EA" w:rsidP="00D275EA">
      <w:pPr>
        <w:widowControl w:val="0"/>
        <w:numPr>
          <w:ilvl w:val="12"/>
          <w:numId w:val="0"/>
        </w:numPr>
      </w:pPr>
    </w:p>
    <w:p w:rsidR="00D275EA" w:rsidRDefault="00D275EA" w:rsidP="00D275EA">
      <w:pPr>
        <w:widowControl w:val="0"/>
        <w:numPr>
          <w:ilvl w:val="12"/>
          <w:numId w:val="0"/>
        </w:numPr>
        <w:tabs>
          <w:tab w:val="left" w:pos="720"/>
          <w:tab w:val="left" w:pos="9413"/>
        </w:tabs>
        <w:spacing w:after="120"/>
        <w:rPr>
          <w:color w:val="FF0000"/>
        </w:rPr>
      </w:pPr>
      <w:r>
        <w:rPr>
          <w:color w:val="FF0000"/>
        </w:rPr>
        <w:t>6100</w:t>
      </w:r>
      <w:r>
        <w:rPr>
          <w:color w:val="FF0000"/>
        </w:rPr>
        <w:tab/>
        <w:t>Hearing impairment</w:t>
      </w:r>
    </w:p>
    <w:p w:rsidR="00D275EA" w:rsidRDefault="00D275EA" w:rsidP="00D275EA">
      <w:pPr>
        <w:widowControl w:val="0"/>
        <w:numPr>
          <w:ilvl w:val="12"/>
          <w:numId w:val="0"/>
        </w:numPr>
        <w:tabs>
          <w:tab w:val="left" w:pos="720"/>
          <w:tab w:val="left" w:pos="9413"/>
        </w:tabs>
        <w:spacing w:after="120"/>
      </w:pPr>
      <w:r>
        <w:t>Ensure it says “Valid” under 1c. If not valid, choose “Test not reliable” under VAE Consideration in the Hearing Loss Calculator. *Please note that under 1a, the DBQ says “Clearly inaccurate, invalid or unreliable test results should not be reported.” BUT examiners still provide test results &amp; sometimes positive opinions.</w:t>
      </w:r>
    </w:p>
    <w:p w:rsidR="00D275EA" w:rsidRDefault="00D275EA" w:rsidP="00F063AF">
      <w:pPr>
        <w:widowControl w:val="0"/>
        <w:numPr>
          <w:ilvl w:val="0"/>
          <w:numId w:val="147"/>
        </w:numPr>
        <w:tabs>
          <w:tab w:val="left" w:pos="360"/>
          <w:tab w:val="left" w:pos="9413"/>
        </w:tabs>
        <w:spacing w:after="120"/>
        <w:ind w:left="360"/>
        <w:rPr>
          <w:i/>
        </w:rPr>
      </w:pPr>
      <w:r>
        <w:rPr>
          <w:b/>
          <w:i/>
        </w:rPr>
        <w:t xml:space="preserve">Hensley v. Brown </w:t>
      </w:r>
      <w:r>
        <w:rPr>
          <w:b/>
        </w:rPr>
        <w:t>(5/18/93)</w:t>
      </w:r>
      <w:r>
        <w:rPr>
          <w:b/>
          <w:i/>
        </w:rPr>
        <w:t xml:space="preserve"> </w:t>
      </w:r>
      <w:r>
        <w:rPr>
          <w:bCs/>
          <w:iCs/>
        </w:rPr>
        <w:t xml:space="preserve">- </w:t>
      </w:r>
      <w:r>
        <w:t>says if decibels losses are at 25, 30, or 35 in any Hertz in service, or there is an increase 15 to 30 decibels per ear (consistently) in service [later interpreted by Dr. Miller (per Sue Haak) as a 10 decibel increase] and the veteran reports a report of significant noise exposure, we need to request a VA examination and opinion.</w:t>
      </w:r>
      <w:r>
        <w:rPr>
          <w:iCs/>
        </w:rPr>
        <w:t xml:space="preserve"> [Dr. Sobieck also says 10 decibels or greater]</w:t>
      </w:r>
    </w:p>
    <w:p w:rsidR="00D275EA" w:rsidRPr="004D03FA" w:rsidRDefault="00D275EA" w:rsidP="00F063AF">
      <w:pPr>
        <w:widowControl w:val="0"/>
        <w:numPr>
          <w:ilvl w:val="0"/>
          <w:numId w:val="147"/>
        </w:numPr>
        <w:tabs>
          <w:tab w:val="left" w:pos="360"/>
          <w:tab w:val="left" w:pos="9413"/>
        </w:tabs>
        <w:spacing w:after="120"/>
        <w:ind w:left="360"/>
        <w:rPr>
          <w:color w:val="0000FF"/>
          <w:u w:val="single"/>
        </w:rPr>
      </w:pPr>
      <w:r w:rsidRPr="004D03FA">
        <w:rPr>
          <w:b/>
          <w:i/>
        </w:rPr>
        <w:t>Escobar v. West</w:t>
      </w:r>
      <w:r w:rsidRPr="004D03FA">
        <w:rPr>
          <w:b/>
        </w:rPr>
        <w:t xml:space="preserve"> (10/30/98)  </w:t>
      </w:r>
      <w:r>
        <w:t>- increase for hearing loss, discussion of the regs</w:t>
      </w:r>
    </w:p>
    <w:p w:rsidR="00D275EA" w:rsidRPr="003C6DB3" w:rsidRDefault="00D275EA" w:rsidP="00F063AF">
      <w:pPr>
        <w:pStyle w:val="ListParagraph"/>
        <w:numPr>
          <w:ilvl w:val="0"/>
          <w:numId w:val="147"/>
        </w:numPr>
        <w:spacing w:after="120" w:line="240" w:lineRule="auto"/>
        <w:ind w:left="360"/>
        <w:rPr>
          <w:rFonts w:ascii="Arial" w:hAnsi="Arial"/>
          <w:sz w:val="20"/>
          <w:szCs w:val="20"/>
        </w:rPr>
      </w:pPr>
      <w:r w:rsidRPr="00D90920">
        <w:rPr>
          <w:rFonts w:ascii="Arial" w:hAnsi="Arial"/>
          <w:b/>
          <w:i/>
          <w:sz w:val="20"/>
          <w:szCs w:val="20"/>
        </w:rPr>
        <w:t>February 2014 Compensation Service Bulletin (CSB)</w:t>
      </w:r>
      <w:r w:rsidRPr="00855904">
        <w:rPr>
          <w:rFonts w:ascii="Arial" w:hAnsi="Arial"/>
          <w:sz w:val="20"/>
          <w:szCs w:val="20"/>
        </w:rPr>
        <w:t xml:space="preserve"> - If audiometric testing contains a value above 105 decibels, it is to be entered as no higher than 105 decibels into the hearing loss calculator for the purpose of determining the pure tone threshold average.  Also, in the event that the examiner certifies that speech discrimination scores are not appropriate or cannot be obtained, which is usually indicated  with a cannot test (CNT)  designation, use Table VIA, Numerical Designation of Hearing Impairment Based Only on Puretone Threshold Average, in accordance with </w:t>
      </w:r>
      <w:r w:rsidRPr="00D90920">
        <w:rPr>
          <w:rFonts w:ascii="Arial" w:hAnsi="Arial"/>
          <w:sz w:val="20"/>
          <w:szCs w:val="20"/>
        </w:rPr>
        <w:t>38 CFR 4.85(c)</w:t>
      </w:r>
      <w:r w:rsidRPr="00855904">
        <w:rPr>
          <w:rFonts w:ascii="Arial" w:hAnsi="Arial"/>
          <w:sz w:val="20"/>
          <w:szCs w:val="20"/>
        </w:rPr>
        <w:t xml:space="preserve">.  Do </w:t>
      </w:r>
      <w:r w:rsidRPr="00855904">
        <w:rPr>
          <w:rFonts w:ascii="Arial" w:hAnsi="Arial"/>
          <w:b/>
          <w:sz w:val="20"/>
          <w:szCs w:val="20"/>
        </w:rPr>
        <w:t>not</w:t>
      </w:r>
      <w:r w:rsidRPr="00855904">
        <w:rPr>
          <w:rFonts w:ascii="Arial" w:hAnsi="Arial"/>
          <w:sz w:val="20"/>
          <w:szCs w:val="20"/>
        </w:rPr>
        <w:t xml:space="preserve"> use Table VI, utilizing a speech discrimination score of zero, in such situations for the purpose of obtaining a numerical designation of hearing impairment. </w:t>
      </w:r>
      <w:r w:rsidRPr="00EC3C2D">
        <w:rPr>
          <w:rFonts w:ascii="Arial" w:hAnsi="Arial"/>
          <w:i/>
          <w:color w:val="00B050"/>
          <w:sz w:val="20"/>
          <w:szCs w:val="20"/>
        </w:rPr>
        <w:t xml:space="preserve"> My Notes:  </w:t>
      </w:r>
      <w:r w:rsidRPr="00D36CD9">
        <w:rPr>
          <w:rFonts w:ascii="Arial" w:hAnsi="Arial"/>
          <w:i/>
          <w:sz w:val="20"/>
          <w:szCs w:val="20"/>
        </w:rPr>
        <w:t>Choose No for “Speech Discrimination Scores Available” &amp; keep entries for Right &amp; Left under “Speech Discrimination” as 100.</w:t>
      </w:r>
    </w:p>
    <w:p w:rsidR="003C6DB3" w:rsidRPr="00855904" w:rsidRDefault="003C6DB3" w:rsidP="00F063AF">
      <w:pPr>
        <w:pStyle w:val="ListParagraph"/>
        <w:numPr>
          <w:ilvl w:val="0"/>
          <w:numId w:val="147"/>
        </w:numPr>
        <w:spacing w:after="120" w:line="240" w:lineRule="auto"/>
        <w:ind w:left="360"/>
        <w:rPr>
          <w:rFonts w:ascii="Arial" w:hAnsi="Arial"/>
          <w:sz w:val="20"/>
          <w:szCs w:val="20"/>
        </w:rPr>
      </w:pPr>
      <w:r>
        <w:rPr>
          <w:rFonts w:ascii="Arial" w:hAnsi="Arial"/>
          <w:b/>
          <w:sz w:val="20"/>
          <w:szCs w:val="20"/>
        </w:rPr>
        <w:t xml:space="preserve">CNT </w:t>
      </w:r>
      <w:r w:rsidRPr="003C6DB3">
        <w:rPr>
          <w:rFonts w:ascii="Arial" w:hAnsi="Arial"/>
          <w:sz w:val="20"/>
          <w:szCs w:val="20"/>
        </w:rPr>
        <w:t>– “could not test” or “cannot test” – manual gives no direction on how to enter decibel losses if</w:t>
      </w:r>
      <w:r w:rsidR="00666EAE">
        <w:rPr>
          <w:rFonts w:ascii="Arial" w:hAnsi="Arial"/>
          <w:sz w:val="20"/>
          <w:szCs w:val="20"/>
        </w:rPr>
        <w:t xml:space="preserve"> we</w:t>
      </w:r>
      <w:r w:rsidRPr="003C6DB3">
        <w:rPr>
          <w:rFonts w:ascii="Arial" w:hAnsi="Arial"/>
          <w:sz w:val="20"/>
          <w:szCs w:val="20"/>
        </w:rPr>
        <w:t xml:space="preserve"> have CNT at only some </w:t>
      </w:r>
      <w:r>
        <w:rPr>
          <w:rFonts w:ascii="Arial" w:hAnsi="Arial"/>
          <w:sz w:val="20"/>
          <w:szCs w:val="20"/>
        </w:rPr>
        <w:t>Hertz levels</w:t>
      </w:r>
      <w:r w:rsidR="00666EAE">
        <w:rPr>
          <w:rFonts w:ascii="Arial" w:hAnsi="Arial"/>
          <w:sz w:val="20"/>
          <w:szCs w:val="20"/>
        </w:rPr>
        <w:t>, only covers CNT for speech discrimination</w:t>
      </w:r>
    </w:p>
    <w:p w:rsidR="00D275EA" w:rsidRDefault="00D275EA" w:rsidP="00D275EA">
      <w:pPr>
        <w:pStyle w:val="Header"/>
        <w:widowControl w:val="0"/>
        <w:numPr>
          <w:ilvl w:val="0"/>
          <w:numId w:val="1"/>
        </w:numPr>
        <w:tabs>
          <w:tab w:val="clear" w:pos="4320"/>
          <w:tab w:val="clear" w:pos="8640"/>
        </w:tabs>
        <w:spacing w:after="120"/>
      </w:pPr>
      <w:r>
        <w:rPr>
          <w:b/>
        </w:rPr>
        <w:t>III.iv.4.</w:t>
      </w:r>
      <w:r w:rsidR="00F270F3">
        <w:rPr>
          <w:b/>
        </w:rPr>
        <w:t>D.3.a</w:t>
      </w:r>
      <w:r w:rsidRPr="00E15F02">
        <w:t xml:space="preserve"> </w:t>
      </w:r>
      <w:r>
        <w:t>- a</w:t>
      </w:r>
      <w:r w:rsidRPr="00E15F02">
        <w:t xml:space="preserve"> claim for tinnitus is not a claim for hearing loss</w:t>
      </w:r>
      <w:r>
        <w:t>; if could grant, solicit claim</w:t>
      </w:r>
    </w:p>
    <w:p w:rsidR="00D275EA" w:rsidRPr="004D78CD" w:rsidRDefault="00D275EA" w:rsidP="00D275EA">
      <w:pPr>
        <w:pStyle w:val="ListParagraph"/>
        <w:pBdr>
          <w:top w:val="single" w:sz="4" w:space="1" w:color="auto"/>
          <w:left w:val="single" w:sz="4" w:space="4" w:color="auto"/>
          <w:bottom w:val="single" w:sz="4" w:space="0" w:color="auto"/>
          <w:right w:val="single" w:sz="4" w:space="4" w:color="auto"/>
        </w:pBdr>
        <w:spacing w:after="120" w:line="240" w:lineRule="auto"/>
        <w:ind w:left="360"/>
      </w:pPr>
      <w:r w:rsidRPr="004D78CD">
        <w:rPr>
          <w:rFonts w:ascii="Arial" w:hAnsi="Arial"/>
          <w:sz w:val="20"/>
          <w:szCs w:val="20"/>
        </w:rPr>
        <w:t xml:space="preserve">VSR, </w:t>
      </w:r>
      <w:r w:rsidRPr="004D78CD">
        <w:rPr>
          <w:rFonts w:ascii="Arial" w:hAnsi="Arial"/>
          <w:b/>
          <w:bCs/>
          <w:sz w:val="20"/>
          <w:szCs w:val="20"/>
        </w:rPr>
        <w:t>solicitation</w:t>
      </w:r>
      <w:r w:rsidRPr="004D78CD">
        <w:rPr>
          <w:rFonts w:ascii="Arial" w:hAnsi="Arial"/>
          <w:sz w:val="20"/>
          <w:szCs w:val="20"/>
        </w:rPr>
        <w:t xml:space="preserve"> is needed, so please include this in the notification letter to the Veteran:  “We have reviewed your records and they suggest you may be entitled to an additional benefit. If you want to file a claim for bilateral hearing loss</w:t>
      </w:r>
      <w:r w:rsidRPr="004D78CD">
        <w:rPr>
          <w:rFonts w:ascii="Arial" w:hAnsi="Arial"/>
          <w:color w:val="244061" w:themeColor="accent1" w:themeShade="80"/>
          <w:sz w:val="20"/>
          <w:szCs w:val="20"/>
        </w:rPr>
        <w:t xml:space="preserve">, </w:t>
      </w:r>
      <w:r w:rsidRPr="004D78CD">
        <w:rPr>
          <w:rFonts w:ascii="Arial" w:hAnsi="Arial"/>
          <w:sz w:val="20"/>
          <w:szCs w:val="20"/>
        </w:rPr>
        <w:t xml:space="preserve">please submit a completed VA Form 21-526EZ, </w:t>
      </w:r>
      <w:r w:rsidRPr="004D78CD">
        <w:rPr>
          <w:rFonts w:ascii="Arial" w:hAnsi="Arial"/>
          <w:i/>
          <w:iCs/>
          <w:sz w:val="20"/>
          <w:szCs w:val="20"/>
        </w:rPr>
        <w:t xml:space="preserve">Application For Disability Compensation And Related Compensation Benefits, </w:t>
      </w:r>
      <w:r w:rsidRPr="004D78CD">
        <w:rPr>
          <w:rFonts w:ascii="Arial" w:hAnsi="Arial"/>
          <w:sz w:val="20"/>
          <w:szCs w:val="20"/>
        </w:rPr>
        <w:t xml:space="preserve">to the appropriate address listed on the attached </w:t>
      </w:r>
      <w:r w:rsidRPr="004D78CD">
        <w:rPr>
          <w:rFonts w:ascii="Arial" w:hAnsi="Arial"/>
          <w:i/>
          <w:iCs/>
          <w:sz w:val="20"/>
          <w:szCs w:val="20"/>
        </w:rPr>
        <w:t xml:space="preserve">Where to Send Your Written Correspondence </w:t>
      </w:r>
      <w:r w:rsidRPr="004D78CD">
        <w:rPr>
          <w:rFonts w:ascii="Arial" w:hAnsi="Arial"/>
          <w:sz w:val="20"/>
          <w:szCs w:val="20"/>
        </w:rPr>
        <w:t xml:space="preserve">chart. You can download the form at </w:t>
      </w:r>
      <w:hyperlink r:id="rId545" w:history="1">
        <w:r w:rsidRPr="004D78CD">
          <w:rPr>
            <w:rStyle w:val="Hyperlink"/>
            <w:rFonts w:ascii="Arial" w:hAnsi="Arial"/>
            <w:sz w:val="20"/>
            <w:szCs w:val="20"/>
          </w:rPr>
          <w:t>http://www.va.gov/vaforms</w:t>
        </w:r>
      </w:hyperlink>
      <w:r w:rsidRPr="004D78CD">
        <w:rPr>
          <w:rFonts w:ascii="Arial" w:hAnsi="Arial"/>
          <w:sz w:val="20"/>
          <w:szCs w:val="20"/>
        </w:rPr>
        <w:t xml:space="preserve"> or you can call us at 1-800-827-</w:t>
      </w:r>
      <w:r w:rsidRPr="00737CE2">
        <w:rPr>
          <w:rFonts w:ascii="Arial" w:hAnsi="Arial"/>
          <w:sz w:val="20"/>
          <w:szCs w:val="20"/>
        </w:rPr>
        <w:t>1000. We recommend you return the form as soon as you can, in order to ensure the earliest possible payment date, if an award is authorized.” *We already have a DBQ on file for bilateral hearing loss with a positive opinion.</w:t>
      </w:r>
    </w:p>
    <w:p w:rsidR="00D275EA" w:rsidRDefault="00D275EA" w:rsidP="00D275EA">
      <w:pPr>
        <w:widowControl w:val="0"/>
        <w:spacing w:after="120"/>
        <w:ind w:left="720" w:hanging="720"/>
      </w:pPr>
      <w:r>
        <w:t xml:space="preserve">6204 </w:t>
      </w:r>
      <w:r>
        <w:tab/>
        <w:t xml:space="preserve">Peripheral vestibular disorders, </w:t>
      </w:r>
      <w:r w:rsidR="00F270F3">
        <w:rPr>
          <w:b/>
        </w:rPr>
        <w:t>III.iv.4.D.4</w:t>
      </w:r>
      <w:r>
        <w:t>, rating criteria says “dizziness” but DBQ says “vertigo”</w:t>
      </w:r>
    </w:p>
    <w:p w:rsidR="00D275EA" w:rsidRPr="00603ECE" w:rsidRDefault="00D275EA" w:rsidP="00D275EA">
      <w:pPr>
        <w:widowControl w:val="0"/>
        <w:pBdr>
          <w:top w:val="single" w:sz="4" w:space="1" w:color="auto"/>
          <w:left w:val="single" w:sz="4" w:space="4" w:color="auto"/>
          <w:bottom w:val="single" w:sz="4" w:space="1" w:color="auto"/>
          <w:right w:val="single" w:sz="4" w:space="4" w:color="auto"/>
        </w:pBdr>
        <w:spacing w:after="120"/>
        <w:ind w:left="720"/>
      </w:pPr>
      <w:r>
        <w:t>Rating Note:  The evaluation criteria for 6204 says “dizziness” but the Ear Conditions DBQ does not mention “dizziness,” only vertigo. The evaluation is assigned based on occasional vertigo / vertigo and occasional staggering.</w:t>
      </w:r>
    </w:p>
    <w:p w:rsidR="00C07987" w:rsidRDefault="00C07987" w:rsidP="00C07987">
      <w:pPr>
        <w:widowControl w:val="0"/>
        <w:spacing w:after="120"/>
        <w:ind w:left="720"/>
      </w:pPr>
      <w:r w:rsidRPr="00C07987">
        <w:rPr>
          <w:szCs w:val="24"/>
        </w:rPr>
        <w:t>Note that</w:t>
      </w:r>
      <w:r>
        <w:rPr>
          <w:b/>
          <w:szCs w:val="24"/>
        </w:rPr>
        <w:t xml:space="preserve"> III.iv.4.N</w:t>
      </w:r>
      <w:r w:rsidRPr="0099637C">
        <w:rPr>
          <w:b/>
          <w:szCs w:val="24"/>
        </w:rPr>
        <w:t>.1.e</w:t>
      </w:r>
      <w:r>
        <w:rPr>
          <w:szCs w:val="24"/>
        </w:rPr>
        <w:t xml:space="preserve"> says grant for disability that accounts for symptom of vertigo, if have such a diagnosis, only grant for vertigo if have no other diagnosis/etiology</w:t>
      </w:r>
    </w:p>
    <w:p w:rsidR="00D275EA" w:rsidRPr="002C0A6C" w:rsidRDefault="00D275EA" w:rsidP="00D275EA">
      <w:pPr>
        <w:widowControl w:val="0"/>
        <w:spacing w:after="120"/>
        <w:ind w:left="720" w:hanging="720"/>
        <w:rPr>
          <w:i/>
        </w:rPr>
      </w:pPr>
      <w:r w:rsidRPr="002C0A6C">
        <w:t>6205</w:t>
      </w:r>
      <w:r w:rsidRPr="002C0A6C">
        <w:tab/>
        <w:t xml:space="preserve">Meniere’s syndrome (endolymphatic hydrops) – </w:t>
      </w:r>
      <w:r w:rsidRPr="002C0A6C">
        <w:rPr>
          <w:i/>
        </w:rPr>
        <w:t xml:space="preserve">one eval under 6205 </w:t>
      </w:r>
      <w:r w:rsidRPr="002C0A6C">
        <w:rPr>
          <w:i/>
          <w:u w:val="single"/>
        </w:rPr>
        <w:t>OR</w:t>
      </w:r>
      <w:r w:rsidRPr="002C0A6C">
        <w:rPr>
          <w:i/>
        </w:rPr>
        <w:t xml:space="preserve"> separate evals for vertigo under 6204, hearing impairment under 6100 &amp; tinnitus under 6260, </w:t>
      </w:r>
      <w:r w:rsidR="00F270F3">
        <w:rPr>
          <w:rStyle w:val="Strong"/>
        </w:rPr>
        <w:t>III.iv.4.D</w:t>
      </w:r>
      <w:r>
        <w:rPr>
          <w:rStyle w:val="Strong"/>
        </w:rPr>
        <w:t>.4</w:t>
      </w:r>
      <w:r w:rsidRPr="002C0A6C">
        <w:rPr>
          <w:rStyle w:val="Strong"/>
        </w:rPr>
        <w:t>.</w:t>
      </w:r>
      <w:r w:rsidR="00F270F3">
        <w:rPr>
          <w:rStyle w:val="Strong"/>
        </w:rPr>
        <w:t>d</w:t>
      </w:r>
      <w:r w:rsidR="006414F0" w:rsidRPr="006414F0">
        <w:rPr>
          <w:rStyle w:val="Strong"/>
          <w:b w:val="0"/>
        </w:rPr>
        <w:t xml:space="preserve">, </w:t>
      </w:r>
      <w:r w:rsidR="006414F0">
        <w:rPr>
          <w:rStyle w:val="Strong"/>
        </w:rPr>
        <w:t>III.iv.4.D.4.e</w:t>
      </w:r>
      <w:r w:rsidR="006414F0" w:rsidRPr="006414F0">
        <w:rPr>
          <w:rStyle w:val="Strong"/>
          <w:b w:val="0"/>
        </w:rPr>
        <w:t xml:space="preserve">; </w:t>
      </w:r>
      <w:r w:rsidR="006414F0">
        <w:rPr>
          <w:rStyle w:val="Strong"/>
        </w:rPr>
        <w:t xml:space="preserve">III.iv.4.D.2.l </w:t>
      </w:r>
      <w:r w:rsidR="006414F0" w:rsidRPr="006414F0">
        <w:rPr>
          <w:rStyle w:val="Strong"/>
          <w:b w:val="0"/>
        </w:rPr>
        <w:t xml:space="preserve">says </w:t>
      </w:r>
      <w:r w:rsidRPr="002C0A6C">
        <w:t xml:space="preserve">“in evaluating hearing impairment under </w:t>
      </w:r>
      <w:hyperlink r:id="rId546" w:tgtFrame="_blank" w:history="1">
        <w:r w:rsidRPr="002C0A6C">
          <w:rPr>
            <w:rStyle w:val="Hyperlink"/>
          </w:rPr>
          <w:t xml:space="preserve">38 CFR 4.87, DC </w:t>
        </w:r>
        <w:r w:rsidRPr="002C0A6C">
          <w:rPr>
            <w:rStyle w:val="scrollhere"/>
            <w:color w:val="444444"/>
            <w:shd w:val="clear" w:color="auto" w:fill="FFFF00"/>
          </w:rPr>
          <w:t>6205</w:t>
        </w:r>
      </w:hyperlink>
      <w:r w:rsidRPr="002C0A6C">
        <w:t xml:space="preserve">, the puretone thresholds or speech discrimination percentages are not required to meet the provisions of </w:t>
      </w:r>
      <w:hyperlink r:id="rId547" w:tgtFrame="_blank" w:history="1">
        <w:r w:rsidRPr="002C0A6C">
          <w:rPr>
            <w:rStyle w:val="Hyperlink"/>
          </w:rPr>
          <w:t>38 CFR 3.385</w:t>
        </w:r>
      </w:hyperlink>
      <w:r w:rsidRPr="002C0A6C">
        <w:t xml:space="preserve"> as hearing impairment associated with Meniere’s disease is often transient.</w:t>
      </w:r>
      <w:r w:rsidR="006414F0">
        <w:t>”</w:t>
      </w:r>
    </w:p>
    <w:p w:rsidR="00D275EA" w:rsidRPr="000F483F" w:rsidRDefault="00D275EA" w:rsidP="00D275EA">
      <w:pPr>
        <w:widowControl w:val="0"/>
        <w:spacing w:after="120"/>
        <w:ind w:left="720" w:hanging="720"/>
        <w:rPr>
          <w:color w:val="FF0000"/>
        </w:rPr>
      </w:pPr>
      <w:r w:rsidRPr="000F483F">
        <w:rPr>
          <w:color w:val="FF0000"/>
        </w:rPr>
        <w:t>6208</w:t>
      </w:r>
      <w:r w:rsidRPr="000F483F">
        <w:rPr>
          <w:color w:val="FF0000"/>
        </w:rPr>
        <w:tab/>
        <w:t>Malignant neoplasm of the ear (other than skin only)</w:t>
      </w:r>
    </w:p>
    <w:p w:rsidR="00D275EA" w:rsidRDefault="00D275EA" w:rsidP="00D275EA">
      <w:pPr>
        <w:widowControl w:val="0"/>
        <w:spacing w:after="120"/>
        <w:ind w:left="720" w:hanging="720"/>
      </w:pPr>
      <w:r>
        <w:t>6260</w:t>
      </w:r>
      <w:r>
        <w:tab/>
        <w:t xml:space="preserve">Tinnitus – 1976-10% was added for acoustic trauma (“persistent tinnitus as a symptom of head injury, concussion, or acoustic trauma”); 6/10/99-allowed for disease process as well, per Sue Haak- all tinnitus should be separated from hearing loss and at 10%, 3.114- so from 6/10/99 to 6/10/00- </w:t>
      </w:r>
      <w:r w:rsidR="004F315B">
        <w:t>effective date</w:t>
      </w:r>
      <w:r>
        <w:t xml:space="preserve"> is 6/10/99, and after 6/10/00- </w:t>
      </w:r>
      <w:r w:rsidR="004F315B">
        <w:t>effective date</w:t>
      </w:r>
      <w:r>
        <w:t xml:space="preserve"> is one year prior)</w:t>
      </w:r>
    </w:p>
    <w:p w:rsidR="00D275EA" w:rsidRDefault="00D275EA" w:rsidP="00D275EA">
      <w:pPr>
        <w:widowControl w:val="0"/>
        <w:numPr>
          <w:ilvl w:val="0"/>
          <w:numId w:val="1"/>
        </w:numPr>
        <w:tabs>
          <w:tab w:val="left" w:pos="660"/>
          <w:tab w:val="left" w:pos="720"/>
          <w:tab w:val="left" w:pos="9413"/>
        </w:tabs>
        <w:spacing w:after="120"/>
        <w:ind w:left="1080"/>
      </w:pPr>
      <w:r>
        <w:rPr>
          <w:b/>
          <w:i/>
        </w:rPr>
        <w:t xml:space="preserve">VAOPGCPREC 2-2003 </w:t>
      </w:r>
      <w:r w:rsidRPr="00F863FB">
        <w:t>(5/22/03)</w:t>
      </w:r>
      <w:r>
        <w:rPr>
          <w:b/>
          <w:i/>
        </w:rPr>
        <w:t xml:space="preserve"> </w:t>
      </w:r>
      <w:r>
        <w:t>- DC 6260 (currently codified at 38 CFR 4.87), as in effect prior to 6/10/99, and as amended as of that date, authorized a single 10% disability rating for tinnitus, regardless of whether tinnitus is perceived as unilateral, bilateral, or in the head. Separate ratings for tinnitus for each ear may not be assigned under DC 6260 or any other diagnostic code.</w:t>
      </w:r>
    </w:p>
    <w:p w:rsidR="00D275EA" w:rsidRPr="002B1B67" w:rsidRDefault="00D275EA" w:rsidP="00D275EA">
      <w:pPr>
        <w:widowControl w:val="0"/>
        <w:numPr>
          <w:ilvl w:val="0"/>
          <w:numId w:val="1"/>
        </w:numPr>
        <w:tabs>
          <w:tab w:val="left" w:pos="660"/>
          <w:tab w:val="left" w:pos="720"/>
          <w:tab w:val="left" w:pos="9413"/>
        </w:tabs>
        <w:spacing w:after="120"/>
        <w:ind w:left="1080"/>
        <w:rPr>
          <w:i/>
          <w:iCs/>
        </w:rPr>
      </w:pPr>
      <w:r w:rsidRPr="002B1B67">
        <w:rPr>
          <w:b/>
          <w:i/>
        </w:rPr>
        <w:t xml:space="preserve">VAOPGCPREC 2-2004 </w:t>
      </w:r>
      <w:r w:rsidRPr="00F863FB">
        <w:t xml:space="preserve">(3/9/04) - </w:t>
      </w:r>
      <w:r w:rsidRPr="002B1B67">
        <w:t>VA is not required to provide notice of the information and evidence necessary to substantiate a claim for separate disability ratings for each ear for bilateral service-connected tinnitus because there is no information or evidence that could substantiate the claim, as entitlement to separate ratings is barred by current DC 6260 and by the previous versions of DC 6260 as interpreted by a precedent opinion of the General Counsel that is binding on all Department officials and employees.</w:t>
      </w:r>
    </w:p>
    <w:p w:rsidR="00D275EA" w:rsidRPr="009902DB" w:rsidRDefault="00D275EA" w:rsidP="00D275EA">
      <w:pPr>
        <w:pStyle w:val="NormalWeb"/>
        <w:numPr>
          <w:ilvl w:val="0"/>
          <w:numId w:val="1"/>
        </w:numPr>
        <w:tabs>
          <w:tab w:val="left" w:pos="1080"/>
        </w:tabs>
        <w:ind w:left="1080"/>
        <w:rPr>
          <w:sz w:val="16"/>
          <w:szCs w:val="20"/>
        </w:rPr>
      </w:pPr>
      <w:r w:rsidRPr="008905EF">
        <w:rPr>
          <w:b/>
          <w:sz w:val="20"/>
        </w:rPr>
        <w:t>I.1.C.3</w:t>
      </w:r>
      <w:r>
        <w:rPr>
          <w:b/>
          <w:sz w:val="20"/>
        </w:rPr>
        <w:t>.j</w:t>
      </w:r>
      <w:r w:rsidRPr="008905EF">
        <w:rPr>
          <w:sz w:val="20"/>
        </w:rPr>
        <w:t xml:space="preserve"> - no automatic exams of disabilities at</w:t>
      </w:r>
      <w:r>
        <w:rPr>
          <w:sz w:val="20"/>
        </w:rPr>
        <w:t xml:space="preserve"> schedular</w:t>
      </w:r>
      <w:r w:rsidRPr="008905EF">
        <w:rPr>
          <w:sz w:val="20"/>
        </w:rPr>
        <w:t xml:space="preserve"> maximum evaluation</w:t>
      </w:r>
    </w:p>
    <w:p w:rsidR="00D275EA" w:rsidRPr="009902DB" w:rsidRDefault="006414F0" w:rsidP="00F063AF">
      <w:pPr>
        <w:widowControl w:val="0"/>
        <w:numPr>
          <w:ilvl w:val="0"/>
          <w:numId w:val="368"/>
        </w:numPr>
        <w:tabs>
          <w:tab w:val="left" w:pos="660"/>
          <w:tab w:val="left" w:pos="1080"/>
          <w:tab w:val="left" w:pos="9413"/>
        </w:tabs>
        <w:spacing w:after="120"/>
        <w:ind w:left="1080"/>
        <w:rPr>
          <w:color w:val="0000FF"/>
          <w:u w:val="single"/>
        </w:rPr>
      </w:pPr>
      <w:r>
        <w:rPr>
          <w:b/>
        </w:rPr>
        <w:t>III.iv.4.D.2.a</w:t>
      </w:r>
      <w:r w:rsidR="00D275EA" w:rsidRPr="009902DB">
        <w:t xml:space="preserve"> – sympathetic reading of hearing loss claims</w:t>
      </w:r>
      <w:r w:rsidR="00D275EA">
        <w:t xml:space="preserve">, </w:t>
      </w:r>
      <w:r w:rsidR="00D275EA" w:rsidRPr="00F24C0E">
        <w:t xml:space="preserve">“In cases where the claim is phrased as a claim for SC or increased evaluation for “hearing loss” (or similar wording) and other lay or medical evidence raises the issue of tinnitus </w:t>
      </w:r>
      <w:r w:rsidR="00D275EA" w:rsidRPr="00F24C0E">
        <w:rPr>
          <w:rStyle w:val="Emphasis"/>
        </w:rPr>
        <w:t>and</w:t>
      </w:r>
      <w:r w:rsidR="00D275EA" w:rsidRPr="00F24C0E">
        <w:t xml:space="preserve"> establishes entitlement to SC, consider the issue of tinnitus as within scope of the claim for hearing loss.”</w:t>
      </w:r>
    </w:p>
    <w:p w:rsidR="00D275EA" w:rsidRDefault="006414F0" w:rsidP="00D275EA">
      <w:pPr>
        <w:pStyle w:val="NormalWeb"/>
        <w:numPr>
          <w:ilvl w:val="0"/>
          <w:numId w:val="1"/>
        </w:numPr>
        <w:tabs>
          <w:tab w:val="left" w:pos="1080"/>
        </w:tabs>
        <w:ind w:left="1080"/>
        <w:rPr>
          <w:sz w:val="20"/>
          <w:szCs w:val="20"/>
        </w:rPr>
      </w:pPr>
      <w:r>
        <w:rPr>
          <w:b/>
          <w:sz w:val="20"/>
          <w:szCs w:val="20"/>
        </w:rPr>
        <w:t>III.iv.4.D.3.b</w:t>
      </w:r>
      <w:r w:rsidR="00D275EA">
        <w:rPr>
          <w:sz w:val="20"/>
          <w:szCs w:val="20"/>
        </w:rPr>
        <w:t xml:space="preserve"> </w:t>
      </w:r>
      <w:r>
        <w:rPr>
          <w:sz w:val="20"/>
          <w:szCs w:val="20"/>
        </w:rPr>
        <w:t xml:space="preserve">says:  </w:t>
      </w:r>
      <w:r w:rsidR="00D275EA">
        <w:rPr>
          <w:sz w:val="20"/>
          <w:szCs w:val="20"/>
        </w:rPr>
        <w:t>A medical opinion is not required to establish direct service connection for claimed tinnitus if</w:t>
      </w:r>
    </w:p>
    <w:p w:rsidR="00D275EA" w:rsidRDefault="00D275EA" w:rsidP="00D275EA">
      <w:pPr>
        <w:pStyle w:val="NormalWeb"/>
        <w:ind w:left="1260"/>
        <w:rPr>
          <w:sz w:val="20"/>
          <w:szCs w:val="20"/>
        </w:rPr>
      </w:pPr>
      <w:r>
        <w:rPr>
          <w:sz w:val="20"/>
          <w:szCs w:val="20"/>
        </w:rPr>
        <w:t>·   service treatment records (STRs) document the original complaints and/or diagnosis of tinnitus</w:t>
      </w:r>
    </w:p>
    <w:p w:rsidR="00D275EA" w:rsidRDefault="00D275EA" w:rsidP="00D275EA">
      <w:pPr>
        <w:pStyle w:val="NormalWeb"/>
        <w:ind w:left="1260"/>
        <w:rPr>
          <w:sz w:val="20"/>
          <w:szCs w:val="20"/>
        </w:rPr>
      </w:pPr>
      <w:r>
        <w:rPr>
          <w:sz w:val="20"/>
          <w:szCs w:val="20"/>
        </w:rPr>
        <w:t>·   there is current medical evidence of a diagnosis of tinnitus or the Veteran competently and credibly reports current tinnitus, and</w:t>
      </w:r>
    </w:p>
    <w:p w:rsidR="00D275EA" w:rsidRPr="00BC29B7" w:rsidRDefault="00D275EA" w:rsidP="00D275EA">
      <w:pPr>
        <w:pStyle w:val="NormalWeb"/>
        <w:ind w:left="1260"/>
        <w:rPr>
          <w:sz w:val="20"/>
          <w:szCs w:val="20"/>
        </w:rPr>
      </w:pPr>
      <w:r>
        <w:rPr>
          <w:sz w:val="20"/>
          <w:szCs w:val="20"/>
        </w:rPr>
        <w:t>·   the Veteran claims continuity of tinnitus since service or there are records or other competent and credible evidence of continuity of tinnitus diagnosis or symptomatology</w:t>
      </w:r>
    </w:p>
    <w:p w:rsidR="00D275EA" w:rsidRPr="002E2288" w:rsidRDefault="00D275EA" w:rsidP="00D275EA">
      <w:pPr>
        <w:widowControl w:val="0"/>
        <w:numPr>
          <w:ilvl w:val="12"/>
          <w:numId w:val="0"/>
        </w:numPr>
        <w:pBdr>
          <w:top w:val="single" w:sz="2" w:space="1" w:color="auto"/>
          <w:left w:val="single" w:sz="2" w:space="4" w:color="auto"/>
          <w:bottom w:val="single" w:sz="2" w:space="0" w:color="auto"/>
          <w:right w:val="single" w:sz="2" w:space="4" w:color="auto"/>
        </w:pBdr>
        <w:tabs>
          <w:tab w:val="left" w:pos="660"/>
          <w:tab w:val="left" w:pos="9413"/>
        </w:tabs>
        <w:ind w:left="720"/>
      </w:pPr>
      <w:r>
        <w:t xml:space="preserve">Rating Note:  </w:t>
      </w:r>
      <w:r w:rsidR="006414F0">
        <w:t>III.iv.4.D.3.c</w:t>
      </w:r>
      <w:r>
        <w:t xml:space="preserve"> </w:t>
      </w:r>
      <w:r w:rsidRPr="00E318E3">
        <w:t>says</w:t>
      </w:r>
      <w:r>
        <w:t xml:space="preserve"> “</w:t>
      </w:r>
      <w:r w:rsidRPr="00E318E3">
        <w:t>if the examiner states tinnitus is a symptom of hearing loss</w:t>
      </w:r>
      <w:r>
        <w:t xml:space="preserve">, </w:t>
      </w:r>
      <w:r w:rsidRPr="00E318E3">
        <w:t>then</w:t>
      </w:r>
      <w:r>
        <w:t>…</w:t>
      </w:r>
      <w:r w:rsidRPr="00E318E3">
        <w:t xml:space="preserve"> establish service connection for tinnitus on a direct, not secondary, basis. Note:  If the hearing loss is </w:t>
      </w:r>
      <w:r>
        <w:t>SC</w:t>
      </w:r>
      <w:r w:rsidRPr="00E318E3">
        <w:t>, and the tinnitus is a symptom of the hearing loss, we concede that the hearing loss and tinnitus result from the same etiology.  Therefore, service connection is warranted for tinnitus on a direct basis in these cases.</w:t>
      </w:r>
      <w:r>
        <w:t>”</w:t>
      </w:r>
    </w:p>
    <w:p w:rsidR="00D275EA" w:rsidRPr="00812EC6" w:rsidRDefault="00D275EA" w:rsidP="00D275EA">
      <w:pPr>
        <w:widowControl w:val="0"/>
        <w:numPr>
          <w:ilvl w:val="12"/>
          <w:numId w:val="0"/>
        </w:numPr>
        <w:tabs>
          <w:tab w:val="left" w:pos="660"/>
          <w:tab w:val="left" w:pos="9413"/>
        </w:tabs>
      </w:pPr>
    </w:p>
    <w:p w:rsidR="00D275EA" w:rsidRPr="00C0672F" w:rsidRDefault="00D275EA" w:rsidP="00F063AF">
      <w:pPr>
        <w:pStyle w:val="ListParagraph"/>
        <w:widowControl w:val="0"/>
        <w:numPr>
          <w:ilvl w:val="0"/>
          <w:numId w:val="268"/>
        </w:numPr>
        <w:tabs>
          <w:tab w:val="left" w:pos="660"/>
          <w:tab w:val="left" w:pos="9413"/>
        </w:tabs>
        <w:spacing w:after="120" w:line="240" w:lineRule="auto"/>
        <w:ind w:left="1080"/>
        <w:rPr>
          <w:rFonts w:ascii="Arial" w:hAnsi="Arial"/>
          <w:i/>
          <w:sz w:val="20"/>
        </w:rPr>
      </w:pPr>
      <w:r w:rsidRPr="00C0672F">
        <w:rPr>
          <w:rFonts w:ascii="Arial" w:hAnsi="Arial"/>
          <w:i/>
          <w:color w:val="00B050"/>
          <w:sz w:val="20"/>
        </w:rPr>
        <w:t>My Notes:</w:t>
      </w:r>
      <w:r w:rsidRPr="00C0672F">
        <w:rPr>
          <w:rFonts w:ascii="Arial" w:hAnsi="Arial"/>
          <w:color w:val="00B050"/>
          <w:sz w:val="20"/>
        </w:rPr>
        <w:t xml:space="preserve">  </w:t>
      </w:r>
      <w:r w:rsidRPr="00D36CD9">
        <w:rPr>
          <w:rFonts w:ascii="Arial" w:hAnsi="Arial"/>
          <w:i/>
          <w:sz w:val="20"/>
        </w:rPr>
        <w:t>Per QRT</w:t>
      </w:r>
      <w:r>
        <w:rPr>
          <w:rFonts w:ascii="Arial" w:hAnsi="Arial"/>
          <w:i/>
          <w:sz w:val="20"/>
        </w:rPr>
        <w:t>/Brian Puglise</w:t>
      </w:r>
      <w:r w:rsidRPr="00D36CD9">
        <w:rPr>
          <w:rFonts w:ascii="Arial" w:hAnsi="Arial"/>
          <w:i/>
          <w:sz w:val="20"/>
        </w:rPr>
        <w:t xml:space="preserve"> &amp;</w:t>
      </w:r>
      <w:r w:rsidRPr="00D36CD9">
        <w:rPr>
          <w:rFonts w:ascii="Arial" w:hAnsi="Arial"/>
          <w:i/>
          <w:sz w:val="21"/>
          <w:szCs w:val="21"/>
        </w:rPr>
        <w:t xml:space="preserve"> </w:t>
      </w:r>
      <w:r w:rsidRPr="00D36CD9">
        <w:rPr>
          <w:rStyle w:val="Strong"/>
          <w:rFonts w:ascii="Arial" w:hAnsi="Arial"/>
          <w:i/>
          <w:sz w:val="20"/>
          <w:szCs w:val="20"/>
        </w:rPr>
        <w:t>III.iv.4.</w:t>
      </w:r>
      <w:r w:rsidR="006414F0">
        <w:rPr>
          <w:rStyle w:val="Strong"/>
          <w:rFonts w:ascii="Arial" w:hAnsi="Arial"/>
          <w:i/>
          <w:sz w:val="20"/>
          <w:szCs w:val="20"/>
        </w:rPr>
        <w:t>D.3.c</w:t>
      </w:r>
      <w:r w:rsidRPr="00D36CD9">
        <w:rPr>
          <w:rStyle w:val="Strong"/>
          <w:rFonts w:ascii="Arial" w:hAnsi="Arial"/>
          <w:i/>
          <w:sz w:val="20"/>
          <w:szCs w:val="20"/>
        </w:rPr>
        <w:t xml:space="preserve"> </w:t>
      </w:r>
      <w:r w:rsidRPr="00D36CD9">
        <w:rPr>
          <w:rStyle w:val="Strong"/>
          <w:rFonts w:ascii="Arial" w:hAnsi="Arial"/>
          <w:b w:val="0"/>
          <w:i/>
          <w:sz w:val="20"/>
          <w:szCs w:val="20"/>
        </w:rPr>
        <w:t>(2</w:t>
      </w:r>
      <w:r w:rsidRPr="00D36CD9">
        <w:rPr>
          <w:rStyle w:val="Strong"/>
          <w:rFonts w:ascii="Arial" w:hAnsi="Arial"/>
          <w:b w:val="0"/>
          <w:i/>
          <w:sz w:val="20"/>
          <w:szCs w:val="20"/>
          <w:vertAlign w:val="superscript"/>
        </w:rPr>
        <w:t>nd</w:t>
      </w:r>
      <w:r w:rsidRPr="00D36CD9">
        <w:rPr>
          <w:rStyle w:val="Strong"/>
          <w:rFonts w:ascii="Arial" w:hAnsi="Arial"/>
          <w:b w:val="0"/>
          <w:i/>
          <w:sz w:val="20"/>
          <w:szCs w:val="20"/>
        </w:rPr>
        <w:t xml:space="preserve"> box, “there is no hearing loss”),</w:t>
      </w:r>
      <w:r w:rsidRPr="00D36CD9">
        <w:rPr>
          <w:rFonts w:ascii="Arial" w:hAnsi="Arial"/>
          <w:i/>
          <w:sz w:val="20"/>
          <w:szCs w:val="20"/>
        </w:rPr>
        <w:t xml:space="preserve"> if</w:t>
      </w:r>
      <w:r w:rsidRPr="00D36CD9">
        <w:rPr>
          <w:rFonts w:ascii="Arial" w:hAnsi="Arial"/>
          <w:i/>
          <w:sz w:val="20"/>
        </w:rPr>
        <w:t xml:space="preserve"> the examiner links the tinnitus to NSC hearing loss (</w:t>
      </w:r>
      <w:r w:rsidRPr="00D36CD9">
        <w:rPr>
          <w:rFonts w:ascii="Arial" w:hAnsi="Arial"/>
          <w:sz w:val="20"/>
        </w:rPr>
        <w:t>either it’s NSC because we have a negative opinion, or it’s NSC because there is no HL for VA purposes (even if the examiner gave a positive opinion on HL)</w:t>
      </w:r>
      <w:r w:rsidRPr="008E60BC">
        <w:rPr>
          <w:rFonts w:ascii="Arial" w:hAnsi="Arial"/>
          <w:sz w:val="20"/>
        </w:rPr>
        <w:t>)</w:t>
      </w:r>
      <w:r w:rsidRPr="00D36CD9">
        <w:rPr>
          <w:rFonts w:ascii="Arial" w:hAnsi="Arial"/>
          <w:i/>
          <w:sz w:val="20"/>
        </w:rPr>
        <w:t>, but gives no opinion on noise exposure, we should deny tinnitus UNLESS the veteran claimed it specifically as due to noise exposure. If no specific  noise exposure claim, just that one opinion is sufficient &amp; we would not send the case back for an addendum.</w:t>
      </w:r>
    </w:p>
    <w:p w:rsidR="00D275EA" w:rsidRDefault="00D275EA" w:rsidP="00D275EA">
      <w:pPr>
        <w:spacing w:after="120"/>
        <w:ind w:left="1080"/>
      </w:pPr>
      <w:r>
        <w:rPr>
          <w:rFonts w:ascii="Verdana" w:hAnsi="Verdana"/>
          <w:b/>
          <w:bCs/>
          <w:highlight w:val="green"/>
        </w:rPr>
        <w:t>NIS</w:t>
      </w:r>
      <w:r w:rsidRPr="00C0672F">
        <w:rPr>
          <w:rFonts w:ascii="Verdana" w:hAnsi="Verdana"/>
          <w:b/>
          <w:bCs/>
        </w:rPr>
        <w:t xml:space="preserve"> </w:t>
      </w:r>
      <w:r>
        <w:rPr>
          <w:rFonts w:ascii="Verdana" w:hAnsi="Verdana"/>
          <w:b/>
          <w:bCs/>
          <w:highlight w:val="green"/>
        </w:rPr>
        <w:t>STRs</w:t>
      </w:r>
      <w:r w:rsidRPr="00C0672F">
        <w:rPr>
          <w:rFonts w:ascii="Verdana" w:hAnsi="Verdana"/>
          <w:b/>
          <w:bCs/>
        </w:rPr>
        <w:t xml:space="preserve"> </w:t>
      </w:r>
      <w:r>
        <w:rPr>
          <w:rFonts w:ascii="Verdana" w:hAnsi="Verdana"/>
          <w:b/>
          <w:bCs/>
          <w:highlight w:val="green"/>
        </w:rPr>
        <w:t>ACK_SX</w:t>
      </w:r>
      <w:r w:rsidRPr="00C0672F">
        <w:rPr>
          <w:rFonts w:ascii="Verdana" w:hAnsi="Verdana"/>
          <w:b/>
          <w:bCs/>
        </w:rPr>
        <w:t xml:space="preserve"> </w:t>
      </w:r>
      <w:r>
        <w:rPr>
          <w:rFonts w:ascii="Verdana" w:hAnsi="Verdana"/>
          <w:b/>
          <w:bCs/>
          <w:highlight w:val="green"/>
        </w:rPr>
        <w:t>NONEX</w:t>
      </w:r>
      <w:r w:rsidRPr="00C0672F">
        <w:rPr>
          <w:rFonts w:ascii="Verdana" w:hAnsi="Verdana"/>
          <w:bCs/>
        </w:rPr>
        <w:t xml:space="preserve"> </w:t>
      </w:r>
      <w:r>
        <w:rPr>
          <w:rFonts w:ascii="Verdana" w:hAnsi="Verdana"/>
          <w:b/>
          <w:bCs/>
          <w:highlight w:val="green"/>
        </w:rPr>
        <w:t>V_NONEX</w:t>
      </w:r>
      <w:r>
        <w:t xml:space="preserve"> The DBQ indicates your tinnitus is a symptom associated with hearing loss {and that your hearing loss is not related to service </w:t>
      </w:r>
      <w:r w:rsidRPr="00666C39">
        <w:rPr>
          <w:u w:val="single"/>
        </w:rPr>
        <w:t>OR</w:t>
      </w:r>
      <w:r>
        <w:t xml:space="preserve"> , but your hearing loss is not </w:t>
      </w:r>
      <w:r w:rsidR="00CA2197">
        <w:t>related to s</w:t>
      </w:r>
      <w:r>
        <w:t>ervice</w:t>
      </w:r>
      <w:r w:rsidR="00CA2197">
        <w:t>, OR, but your hearing loss is not service</w:t>
      </w:r>
      <w:r>
        <w:t>-connected since you do not have</w:t>
      </w:r>
      <w:r w:rsidR="00CA2197">
        <w:t xml:space="preserve"> hearing loss for VA purposes}.</w:t>
      </w:r>
    </w:p>
    <w:p w:rsidR="00D275EA" w:rsidRPr="001D0236" w:rsidRDefault="00D275EA" w:rsidP="00D275EA">
      <w:pPr>
        <w:spacing w:after="120"/>
        <w:ind w:left="1080"/>
        <w:rPr>
          <w:i/>
          <w:szCs w:val="21"/>
        </w:rPr>
      </w:pPr>
      <w:r w:rsidRPr="00416A7F">
        <w:rPr>
          <w:i/>
          <w:sz w:val="18"/>
        </w:rPr>
        <w:t>*</w:t>
      </w:r>
      <w:r w:rsidRPr="00416A7F">
        <w:rPr>
          <w:i/>
          <w:szCs w:val="21"/>
        </w:rPr>
        <w:t>If the Veteran claims tinnitus due to hearing loss, and the examiner says they are not related, no further action is needed.</w:t>
      </w:r>
    </w:p>
    <w:p w:rsidR="00D275EA" w:rsidRPr="001D0236" w:rsidRDefault="00D275EA" w:rsidP="00F063AF">
      <w:pPr>
        <w:pStyle w:val="ListParagraph"/>
        <w:numPr>
          <w:ilvl w:val="0"/>
          <w:numId w:val="268"/>
        </w:numPr>
        <w:tabs>
          <w:tab w:val="left" w:pos="1080"/>
        </w:tabs>
        <w:spacing w:after="120"/>
        <w:ind w:left="1080"/>
        <w:rPr>
          <w:rFonts w:ascii="Arial" w:hAnsi="Arial"/>
          <w:i/>
          <w:sz w:val="20"/>
          <w:szCs w:val="21"/>
        </w:rPr>
      </w:pPr>
      <w:r>
        <w:rPr>
          <w:rFonts w:ascii="Arial" w:hAnsi="Arial"/>
          <w:i/>
          <w:sz w:val="20"/>
          <w:szCs w:val="21"/>
        </w:rPr>
        <w:t>…</w:t>
      </w:r>
    </w:p>
    <w:p w:rsidR="00D275EA" w:rsidRDefault="00D275EA" w:rsidP="00D275EA">
      <w:pPr>
        <w:widowControl w:val="0"/>
        <w:numPr>
          <w:ilvl w:val="12"/>
          <w:numId w:val="0"/>
        </w:numPr>
        <w:tabs>
          <w:tab w:val="left" w:pos="660"/>
          <w:tab w:val="left" w:pos="9413"/>
        </w:tabs>
        <w:rPr>
          <w:i/>
        </w:rPr>
      </w:pPr>
    </w:p>
    <w:p w:rsidR="00D275EA" w:rsidRDefault="00D275EA" w:rsidP="00D275EA">
      <w:pPr>
        <w:widowControl w:val="0"/>
        <w:numPr>
          <w:ilvl w:val="12"/>
          <w:numId w:val="0"/>
        </w:numPr>
        <w:tabs>
          <w:tab w:val="left" w:pos="660"/>
          <w:tab w:val="left" w:pos="9413"/>
        </w:tabs>
        <w:rPr>
          <w:i/>
        </w:rPr>
      </w:pPr>
      <w:r>
        <w:rPr>
          <w:i/>
        </w:rPr>
        <w:t>max for 6211</w:t>
      </w:r>
      <w:r w:rsidR="005A179E">
        <w:rPr>
          <w:i/>
        </w:rPr>
        <w:t xml:space="preserve"> (</w:t>
      </w:r>
      <w:r w:rsidR="005A179E">
        <w:t>Tympanic membrane, perforation of</w:t>
      </w:r>
      <w:r w:rsidR="005A179E">
        <w:rPr>
          <w:i/>
        </w:rPr>
        <w:t>)</w:t>
      </w:r>
      <w:r>
        <w:rPr>
          <w:i/>
        </w:rPr>
        <w:t xml:space="preserve"> is 0%</w:t>
      </w:r>
    </w:p>
    <w:p w:rsidR="00D275EA" w:rsidRDefault="00D275EA" w:rsidP="00D275EA">
      <w:pPr>
        <w:widowControl w:val="0"/>
        <w:numPr>
          <w:ilvl w:val="12"/>
          <w:numId w:val="0"/>
        </w:numPr>
        <w:tabs>
          <w:tab w:val="left" w:pos="660"/>
          <w:tab w:val="left" w:pos="9413"/>
        </w:tabs>
        <w:rPr>
          <w:bCs/>
          <w:i/>
        </w:rPr>
      </w:pPr>
    </w:p>
    <w:p w:rsidR="00D275EA" w:rsidRDefault="00D275EA" w:rsidP="00D275EA">
      <w:pPr>
        <w:widowControl w:val="0"/>
        <w:numPr>
          <w:ilvl w:val="12"/>
          <w:numId w:val="0"/>
        </w:numPr>
        <w:tabs>
          <w:tab w:val="left" w:pos="660"/>
          <w:tab w:val="left" w:pos="9413"/>
        </w:tabs>
        <w:rPr>
          <w:bCs/>
          <w:i/>
        </w:rPr>
      </w:pPr>
      <w:r>
        <w:rPr>
          <w:bCs/>
          <w:i/>
        </w:rPr>
        <w:t>suppuration is pus</w:t>
      </w:r>
    </w:p>
    <w:p w:rsidR="00D275EA" w:rsidRPr="00F673C9" w:rsidRDefault="00D275EA" w:rsidP="00D275EA">
      <w:pPr>
        <w:widowControl w:val="0"/>
        <w:numPr>
          <w:ilvl w:val="12"/>
          <w:numId w:val="0"/>
        </w:numPr>
        <w:tabs>
          <w:tab w:val="left" w:pos="660"/>
          <w:tab w:val="left" w:pos="9413"/>
        </w:tabs>
        <w:rPr>
          <w:b/>
          <w:i/>
          <w:color w:val="008000"/>
          <w:u w:val="single"/>
        </w:rPr>
      </w:pPr>
    </w:p>
    <w:p w:rsidR="00D275EA" w:rsidRDefault="00D275EA" w:rsidP="00D275EA">
      <w:pPr>
        <w:widowControl w:val="0"/>
        <w:numPr>
          <w:ilvl w:val="12"/>
          <w:numId w:val="0"/>
        </w:numPr>
        <w:tabs>
          <w:tab w:val="left" w:pos="660"/>
          <w:tab w:val="left" w:pos="9413"/>
        </w:tabs>
        <w:rPr>
          <w:b/>
          <w:u w:val="single"/>
        </w:rPr>
      </w:pPr>
      <w:r w:rsidRPr="00F673C9">
        <w:rPr>
          <w:b/>
          <w:u w:val="single"/>
        </w:rPr>
        <w:t>4.87a</w:t>
      </w:r>
      <w:r>
        <w:rPr>
          <w:b/>
          <w:u w:val="single"/>
        </w:rPr>
        <w:tab/>
        <w:t>Schedule of Ratings—Other Sense Organs</w:t>
      </w:r>
    </w:p>
    <w:p w:rsidR="00D275EA" w:rsidRDefault="00D275EA" w:rsidP="00D275EA">
      <w:pPr>
        <w:widowControl w:val="0"/>
        <w:ind w:left="720" w:hanging="720"/>
      </w:pPr>
    </w:p>
    <w:p w:rsidR="00D275EA" w:rsidRDefault="00D275EA" w:rsidP="00D275EA">
      <w:pPr>
        <w:widowControl w:val="0"/>
        <w:ind w:left="720" w:hanging="720"/>
      </w:pPr>
      <w:r>
        <w:t>6275</w:t>
      </w:r>
      <w:r>
        <w:tab/>
        <w:t>sense of smell, complete loss (anosmia)</w:t>
      </w:r>
    </w:p>
    <w:p w:rsidR="00D275EA" w:rsidRDefault="00D275EA" w:rsidP="00D275EA">
      <w:pPr>
        <w:widowControl w:val="0"/>
        <w:ind w:left="720" w:hanging="720"/>
      </w:pPr>
      <w:r>
        <w:t>6276</w:t>
      </w:r>
      <w:r>
        <w:tab/>
        <w:t>sense of taste, complete loss (decrease – hypogeusia, absence – ageusia)</w:t>
      </w:r>
    </w:p>
    <w:p w:rsidR="00D275EA" w:rsidRDefault="00D275EA" w:rsidP="00D275EA">
      <w:pPr>
        <w:widowControl w:val="0"/>
        <w:rPr>
          <w:i/>
          <w:iCs/>
        </w:rPr>
      </w:pPr>
      <w:r>
        <w:rPr>
          <w:i/>
          <w:iCs/>
        </w:rPr>
        <w:t>Note says requires anatomical or pathological basis for the condition</w:t>
      </w:r>
    </w:p>
    <w:p w:rsidR="00D275EA" w:rsidRDefault="00D275EA" w:rsidP="00D275EA">
      <w:pPr>
        <w:pBdr>
          <w:bottom w:val="single" w:sz="4" w:space="1" w:color="auto"/>
        </w:pBdr>
        <w:overflowPunct/>
        <w:autoSpaceDE/>
        <w:autoSpaceDN/>
        <w:adjustRightInd/>
        <w:textAlignment w:val="auto"/>
      </w:pPr>
    </w:p>
    <w:p w:rsidR="00D275EA" w:rsidRDefault="00D275EA" w:rsidP="00D275EA">
      <w:pPr>
        <w:overflowPunct/>
        <w:autoSpaceDE/>
        <w:autoSpaceDN/>
        <w:adjustRightInd/>
        <w:textAlignment w:val="auto"/>
      </w:pPr>
      <w:r>
        <w:br w:type="page"/>
      </w:r>
    </w:p>
    <w:tbl>
      <w:tblPr>
        <w:tblW w:w="0" w:type="auto"/>
        <w:tblInd w:w="-60" w:type="dxa"/>
        <w:tblLayout w:type="fixed"/>
        <w:tblCellMar>
          <w:left w:w="30" w:type="dxa"/>
          <w:right w:w="30" w:type="dxa"/>
        </w:tblCellMar>
        <w:tblLook w:val="0000" w:firstRow="0" w:lastRow="0" w:firstColumn="0" w:lastColumn="0" w:noHBand="0" w:noVBand="0"/>
      </w:tblPr>
      <w:tblGrid>
        <w:gridCol w:w="690"/>
        <w:gridCol w:w="10200"/>
      </w:tblGrid>
      <w:tr w:rsidR="00D275EA" w:rsidRPr="005567F4" w:rsidTr="005567F4">
        <w:trPr>
          <w:trHeight w:val="293"/>
        </w:trPr>
        <w:tc>
          <w:tcPr>
            <w:tcW w:w="10890" w:type="dxa"/>
            <w:gridSpan w:val="2"/>
            <w:tcBorders>
              <w:top w:val="single" w:sz="4" w:space="0" w:color="auto"/>
              <w:left w:val="nil"/>
              <w:bottom w:val="nil"/>
              <w:right w:val="nil"/>
            </w:tcBorders>
          </w:tcPr>
          <w:p w:rsidR="00D275EA" w:rsidRPr="005567F4" w:rsidRDefault="00D275EA" w:rsidP="005567F4">
            <w:pPr>
              <w:pStyle w:val="ListParagraph"/>
              <w:widowControl w:val="0"/>
              <w:numPr>
                <w:ilvl w:val="1"/>
                <w:numId w:val="11"/>
              </w:numPr>
              <w:jc w:val="center"/>
              <w:rPr>
                <w:rFonts w:ascii="Arial" w:hAnsi="Arial"/>
                <w:b/>
                <w:i/>
                <w:color w:val="FF0000"/>
                <w:sz w:val="20"/>
                <w:szCs w:val="20"/>
              </w:rPr>
            </w:pPr>
            <w:bookmarkStart w:id="123" w:name="Part4Rest"/>
            <w:r w:rsidRPr="005567F4">
              <w:rPr>
                <w:rFonts w:ascii="Arial" w:hAnsi="Arial"/>
                <w:b/>
                <w:color w:val="FF0000"/>
                <w:sz w:val="20"/>
                <w:szCs w:val="20"/>
              </w:rPr>
              <w:t xml:space="preserve">- 4.89. </w:t>
            </w:r>
            <w:r w:rsidRPr="005567F4">
              <w:rPr>
                <w:rFonts w:ascii="Arial" w:hAnsi="Arial"/>
                <w:b/>
                <w:i/>
                <w:color w:val="FF0000"/>
                <w:sz w:val="20"/>
                <w:szCs w:val="20"/>
              </w:rPr>
              <w:t>Infectious Diseases, Immune Disorders and Nutritional Deficiencies</w:t>
            </w:r>
            <w:bookmarkEnd w:id="123"/>
          </w:p>
          <w:p w:rsidR="005567F4" w:rsidRPr="005567F4" w:rsidRDefault="005567F4" w:rsidP="005567F4">
            <w:pPr>
              <w:widowControl w:val="0"/>
              <w:rPr>
                <w:b/>
              </w:rPr>
            </w:pPr>
            <w:r w:rsidRPr="005567F4">
              <w:rPr>
                <w:b/>
              </w:rPr>
              <w:t>III.iv.4.E</w:t>
            </w:r>
          </w:p>
          <w:p w:rsidR="005567F4" w:rsidRPr="005567F4" w:rsidRDefault="005567F4" w:rsidP="005567F4">
            <w:pPr>
              <w:widowControl w:val="0"/>
            </w:pPr>
          </w:p>
        </w:tc>
      </w:tr>
      <w:tr w:rsidR="00D275EA" w:rsidTr="005567F4">
        <w:trPr>
          <w:trHeight w:val="275"/>
        </w:trPr>
        <w:tc>
          <w:tcPr>
            <w:tcW w:w="690" w:type="dxa"/>
            <w:tcBorders>
              <w:top w:val="nil"/>
              <w:left w:val="nil"/>
              <w:bottom w:val="nil"/>
              <w:right w:val="nil"/>
            </w:tcBorders>
          </w:tcPr>
          <w:p w:rsidR="00D275EA" w:rsidRDefault="00D275EA" w:rsidP="00C334D1">
            <w:pPr>
              <w:widowControl w:val="0"/>
              <w:numPr>
                <w:ilvl w:val="12"/>
                <w:numId w:val="0"/>
              </w:numPr>
              <w:rPr>
                <w:b/>
              </w:rPr>
            </w:pPr>
            <w:r w:rsidRPr="00453DE5">
              <w:rPr>
                <w:b/>
              </w:rPr>
              <w:t>4.88a</w:t>
            </w:r>
          </w:p>
        </w:tc>
        <w:tc>
          <w:tcPr>
            <w:tcW w:w="10200" w:type="dxa"/>
            <w:tcBorders>
              <w:top w:val="nil"/>
              <w:left w:val="nil"/>
              <w:bottom w:val="nil"/>
              <w:right w:val="nil"/>
            </w:tcBorders>
          </w:tcPr>
          <w:p w:rsidR="00D275EA" w:rsidRPr="00DC7E42" w:rsidRDefault="00D275EA" w:rsidP="00C334D1">
            <w:pPr>
              <w:widowControl w:val="0"/>
              <w:numPr>
                <w:ilvl w:val="12"/>
                <w:numId w:val="0"/>
              </w:numPr>
            </w:pPr>
            <w:r>
              <w:rPr>
                <w:b/>
              </w:rPr>
              <w:t>Chronic fatigue syndrome</w:t>
            </w:r>
            <w:r>
              <w:t xml:space="preserve"> </w:t>
            </w:r>
            <w:r>
              <w:rPr>
                <w:i/>
              </w:rPr>
              <w:t>– requirements for CFS dx</w:t>
            </w:r>
            <w:r>
              <w:t xml:space="preserve">, </w:t>
            </w:r>
            <w:r w:rsidR="00364863">
              <w:rPr>
                <w:b/>
              </w:rPr>
              <w:t>III.iv.4.E</w:t>
            </w:r>
            <w:r w:rsidRPr="00B459F6">
              <w:rPr>
                <w:b/>
              </w:rPr>
              <w:t>.4</w:t>
            </w:r>
          </w:p>
        </w:tc>
      </w:tr>
    </w:tbl>
    <w:p w:rsidR="00D275EA" w:rsidRDefault="00D275EA" w:rsidP="00D275EA">
      <w:pPr>
        <w:widowControl w:val="0"/>
        <w:numPr>
          <w:ilvl w:val="12"/>
          <w:numId w:val="0"/>
        </w:numPr>
        <w:tabs>
          <w:tab w:val="left" w:pos="630"/>
          <w:tab w:val="left" w:pos="9417"/>
        </w:tabs>
        <w:ind w:left="-45"/>
        <w:rPr>
          <w:b/>
        </w:rPr>
      </w:pPr>
    </w:p>
    <w:p w:rsidR="00D275EA" w:rsidRDefault="00D275EA" w:rsidP="00D275EA">
      <w:pPr>
        <w:widowControl w:val="0"/>
        <w:numPr>
          <w:ilvl w:val="12"/>
          <w:numId w:val="0"/>
        </w:numPr>
        <w:tabs>
          <w:tab w:val="left" w:pos="630"/>
          <w:tab w:val="left" w:pos="9417"/>
        </w:tabs>
        <w:rPr>
          <w:u w:val="single"/>
        </w:rPr>
      </w:pPr>
      <w:bookmarkStart w:id="124" w:name="Part4InfImmNut"/>
      <w:r w:rsidRPr="00453DE5">
        <w:rPr>
          <w:b/>
          <w:u w:val="single"/>
        </w:rPr>
        <w:t>4.88b</w:t>
      </w:r>
      <w:r>
        <w:rPr>
          <w:b/>
          <w:u w:val="single"/>
        </w:rPr>
        <w:tab/>
        <w:t>Schedule of Ratings—Infectious Diseases, Immune Disorders and Nutritional Deficiencies</w:t>
      </w:r>
      <w:r>
        <w:rPr>
          <w:u w:val="single"/>
        </w:rPr>
        <w:t xml:space="preserve"> </w:t>
      </w:r>
    </w:p>
    <w:bookmarkEnd w:id="124"/>
    <w:p w:rsidR="00D275EA" w:rsidRDefault="00D275EA" w:rsidP="00D275EA">
      <w:pPr>
        <w:widowControl w:val="0"/>
        <w:numPr>
          <w:ilvl w:val="12"/>
          <w:numId w:val="0"/>
        </w:numPr>
        <w:tabs>
          <w:tab w:val="left" w:pos="630"/>
          <w:tab w:val="left" w:pos="9417"/>
        </w:tabs>
        <w:ind w:left="-45"/>
        <w:rPr>
          <w:i/>
        </w:rPr>
      </w:pPr>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tabs>
          <w:tab w:val="left" w:pos="630"/>
          <w:tab w:val="left" w:pos="9417"/>
        </w:tabs>
        <w:ind w:left="-45"/>
        <w:rPr>
          <w:i/>
          <w:sz w:val="16"/>
        </w:rPr>
      </w:pPr>
      <w:r>
        <w:rPr>
          <w:i/>
        </w:rPr>
        <w:t>changed 8/30/96 (DCs 6300-6354)</w:t>
      </w:r>
    </w:p>
    <w:p w:rsidR="00D275EA" w:rsidRPr="00EC3C06"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tabs>
          <w:tab w:val="left" w:pos="630"/>
          <w:tab w:val="left" w:pos="9417"/>
        </w:tabs>
        <w:ind w:left="-45"/>
        <w:rPr>
          <w:i/>
          <w:sz w:val="16"/>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4.88</w:t>
      </w:r>
      <w:r w:rsidR="00D11C3E">
        <w:rPr>
          <w:bCs/>
          <w:i/>
          <w:iCs/>
          <w:sz w:val="18"/>
        </w:rPr>
        <w:t>; or in CPKM</w:t>
      </w:r>
    </w:p>
    <w:p w:rsidR="00D275EA" w:rsidRDefault="00D275EA" w:rsidP="00D275EA">
      <w:pPr>
        <w:widowControl w:val="0"/>
        <w:numPr>
          <w:ilvl w:val="12"/>
          <w:numId w:val="0"/>
        </w:numPr>
        <w:tabs>
          <w:tab w:val="left" w:pos="630"/>
          <w:tab w:val="left" w:pos="9417"/>
        </w:tabs>
        <w:ind w:left="-45"/>
        <w:rPr>
          <w:i/>
        </w:rPr>
      </w:pPr>
    </w:p>
    <w:p w:rsidR="00D275EA" w:rsidRDefault="00D275EA" w:rsidP="00D275EA">
      <w:pPr>
        <w:widowControl w:val="0"/>
        <w:numPr>
          <w:ilvl w:val="12"/>
          <w:numId w:val="0"/>
        </w:numPr>
        <w:tabs>
          <w:tab w:val="left" w:pos="630"/>
          <w:tab w:val="left" w:pos="9417"/>
        </w:tabs>
        <w:ind w:left="-45"/>
        <w:rPr>
          <w:b/>
        </w:rPr>
      </w:pPr>
      <w:r>
        <w:rPr>
          <w:b/>
        </w:rPr>
        <w:tab/>
      </w:r>
    </w:p>
    <w:p w:rsidR="00D275EA" w:rsidRDefault="00D275EA" w:rsidP="00D275EA">
      <w:pPr>
        <w:widowControl w:val="0"/>
        <w:numPr>
          <w:ilvl w:val="12"/>
          <w:numId w:val="0"/>
        </w:numPr>
        <w:tabs>
          <w:tab w:val="left" w:pos="630"/>
          <w:tab w:val="left" w:pos="9417"/>
        </w:tabs>
        <w:ind w:left="-45"/>
      </w:pPr>
      <w:r>
        <w:t>6300</w:t>
      </w:r>
      <w:r>
        <w:tab/>
        <w:t>Cholera, asiatic</w:t>
      </w:r>
    </w:p>
    <w:p w:rsidR="00D275EA" w:rsidRDefault="00D275EA" w:rsidP="00D275EA">
      <w:pPr>
        <w:widowControl w:val="0"/>
        <w:numPr>
          <w:ilvl w:val="12"/>
          <w:numId w:val="0"/>
        </w:numPr>
        <w:tabs>
          <w:tab w:val="left" w:pos="630"/>
          <w:tab w:val="left" w:pos="9417"/>
        </w:tabs>
        <w:ind w:left="630" w:hanging="675"/>
      </w:pPr>
      <w:r>
        <w:t>6301</w:t>
      </w:r>
      <w:r>
        <w:tab/>
        <w:t>Visceral leishmaniasis</w:t>
      </w:r>
    </w:p>
    <w:p w:rsidR="00D275EA" w:rsidRDefault="00D275EA" w:rsidP="00D275EA">
      <w:pPr>
        <w:widowControl w:val="0"/>
        <w:numPr>
          <w:ilvl w:val="0"/>
          <w:numId w:val="5"/>
        </w:numPr>
        <w:tabs>
          <w:tab w:val="left" w:pos="9417"/>
        </w:tabs>
        <w:rPr>
          <w:i/>
          <w:color w:val="FF0000"/>
        </w:rPr>
      </w:pPr>
      <w:r>
        <w:rPr>
          <w:color w:val="FF0000"/>
        </w:rPr>
        <w:t xml:space="preserve">Leprosy (Hansen’s Disease) </w:t>
      </w:r>
      <w:r>
        <w:rPr>
          <w:i/>
          <w:color w:val="FF0000"/>
        </w:rPr>
        <w:t>-3 year pres period</w:t>
      </w:r>
    </w:p>
    <w:p w:rsidR="00D275EA" w:rsidRDefault="00D275EA" w:rsidP="00D275EA">
      <w:pPr>
        <w:widowControl w:val="0"/>
        <w:tabs>
          <w:tab w:val="left" w:pos="630"/>
          <w:tab w:val="left" w:pos="9417"/>
        </w:tabs>
        <w:ind w:left="-45"/>
      </w:pPr>
      <w:r>
        <w:t>6304</w:t>
      </w:r>
      <w:r>
        <w:tab/>
        <w:t>Malaria</w:t>
      </w:r>
    </w:p>
    <w:p w:rsidR="00D275EA" w:rsidRDefault="00D275EA" w:rsidP="00D275EA">
      <w:pPr>
        <w:widowControl w:val="0"/>
        <w:numPr>
          <w:ilvl w:val="12"/>
          <w:numId w:val="0"/>
        </w:numPr>
        <w:tabs>
          <w:tab w:val="left" w:pos="630"/>
          <w:tab w:val="left" w:pos="9417"/>
        </w:tabs>
        <w:ind w:left="-45"/>
      </w:pPr>
      <w:r>
        <w:t>6305</w:t>
      </w:r>
      <w:r>
        <w:tab/>
        <w:t>Lymphatic filariasis</w:t>
      </w:r>
    </w:p>
    <w:p w:rsidR="00D275EA" w:rsidRDefault="00D275EA" w:rsidP="00D275EA">
      <w:pPr>
        <w:widowControl w:val="0"/>
        <w:numPr>
          <w:ilvl w:val="12"/>
          <w:numId w:val="0"/>
        </w:numPr>
        <w:tabs>
          <w:tab w:val="left" w:pos="630"/>
          <w:tab w:val="left" w:pos="9417"/>
        </w:tabs>
        <w:ind w:left="-45"/>
      </w:pPr>
      <w:r>
        <w:t>6307</w:t>
      </w:r>
      <w:r>
        <w:tab/>
        <w:t>Plague</w:t>
      </w:r>
    </w:p>
    <w:p w:rsidR="00D275EA" w:rsidRDefault="00D275EA" w:rsidP="00D275EA">
      <w:pPr>
        <w:widowControl w:val="0"/>
        <w:numPr>
          <w:ilvl w:val="12"/>
          <w:numId w:val="0"/>
        </w:numPr>
        <w:tabs>
          <w:tab w:val="left" w:pos="630"/>
          <w:tab w:val="left" w:pos="9417"/>
        </w:tabs>
        <w:ind w:left="-45"/>
        <w:rPr>
          <w:szCs w:val="56"/>
        </w:rPr>
      </w:pPr>
      <w:r>
        <w:t>6309</w:t>
      </w:r>
      <w:r>
        <w:tab/>
        <w:t xml:space="preserve">Rheumatic fever </w:t>
      </w:r>
      <w:r w:rsidRPr="00B459F6">
        <w:t xml:space="preserve">– </w:t>
      </w:r>
      <w:r w:rsidRPr="00B459F6">
        <w:rPr>
          <w:b/>
          <w:szCs w:val="56"/>
        </w:rPr>
        <w:t>III</w:t>
      </w:r>
      <w:r w:rsidR="009474D3">
        <w:rPr>
          <w:b/>
          <w:szCs w:val="56"/>
        </w:rPr>
        <w:t>.iv.4.G</w:t>
      </w:r>
      <w:r>
        <w:rPr>
          <w:b/>
          <w:szCs w:val="56"/>
        </w:rPr>
        <w:t>.</w:t>
      </w:r>
      <w:r w:rsidR="001F7E5B">
        <w:rPr>
          <w:b/>
          <w:szCs w:val="56"/>
        </w:rPr>
        <w:t>1.g</w:t>
      </w:r>
    </w:p>
    <w:p w:rsidR="00D275EA" w:rsidRDefault="00D275EA" w:rsidP="00D275EA">
      <w:pPr>
        <w:widowControl w:val="0"/>
        <w:numPr>
          <w:ilvl w:val="12"/>
          <w:numId w:val="0"/>
        </w:numPr>
        <w:tabs>
          <w:tab w:val="left" w:pos="630"/>
          <w:tab w:val="left" w:pos="9417"/>
        </w:tabs>
        <w:ind w:left="-45"/>
        <w:rPr>
          <w:color w:val="FF0000"/>
        </w:rPr>
      </w:pPr>
      <w:r>
        <w:t>6311</w:t>
      </w:r>
      <w:r>
        <w:tab/>
        <w:t>Tuberculosis, miliary</w:t>
      </w:r>
    </w:p>
    <w:p w:rsidR="00D275EA" w:rsidRDefault="00D275EA" w:rsidP="00D275EA">
      <w:pPr>
        <w:widowControl w:val="0"/>
        <w:numPr>
          <w:ilvl w:val="12"/>
          <w:numId w:val="0"/>
        </w:numPr>
        <w:tabs>
          <w:tab w:val="left" w:pos="630"/>
          <w:tab w:val="left" w:pos="9417"/>
        </w:tabs>
        <w:ind w:left="-45"/>
      </w:pPr>
      <w:r>
        <w:t>6313</w:t>
      </w:r>
      <w:r>
        <w:tab/>
        <w:t xml:space="preserve">Avitaminosis – </w:t>
      </w:r>
      <w:r>
        <w:rPr>
          <w:i/>
          <w:color w:val="00CCFF"/>
        </w:rPr>
        <w:t xml:space="preserve">POW presumptive under </w:t>
      </w:r>
      <w:r w:rsidRPr="00453DE5">
        <w:rPr>
          <w:b/>
        </w:rPr>
        <w:t>3.309</w:t>
      </w:r>
      <w:r>
        <w:rPr>
          <w:i/>
          <w:color w:val="00CCFF"/>
        </w:rPr>
        <w:t>(c)</w:t>
      </w:r>
      <w:r>
        <w:rPr>
          <w:i/>
          <w:color w:val="0000FF"/>
        </w:rPr>
        <w:t xml:space="preserve"> (</w:t>
      </w:r>
      <w:r>
        <w:rPr>
          <w:i/>
        </w:rPr>
        <w:t>malnutrition 6399-6313)</w:t>
      </w:r>
    </w:p>
    <w:p w:rsidR="00D275EA" w:rsidRDefault="00D275EA" w:rsidP="00D275EA">
      <w:pPr>
        <w:widowControl w:val="0"/>
        <w:numPr>
          <w:ilvl w:val="12"/>
          <w:numId w:val="0"/>
        </w:numPr>
        <w:tabs>
          <w:tab w:val="left" w:pos="630"/>
          <w:tab w:val="left" w:pos="9417"/>
        </w:tabs>
        <w:ind w:left="-45"/>
      </w:pPr>
      <w:r>
        <w:t>6314</w:t>
      </w:r>
      <w:r>
        <w:tab/>
        <w:t xml:space="preserve">Beriberi – </w:t>
      </w:r>
      <w:r>
        <w:rPr>
          <w:i/>
          <w:color w:val="00CCFF"/>
        </w:rPr>
        <w:t xml:space="preserve">POW presumptive under </w:t>
      </w:r>
      <w:r w:rsidRPr="00453DE5">
        <w:rPr>
          <w:b/>
        </w:rPr>
        <w:t>3.309</w:t>
      </w:r>
      <w:r>
        <w:rPr>
          <w:i/>
          <w:color w:val="00CCFF"/>
        </w:rPr>
        <w:t>(c)</w:t>
      </w:r>
    </w:p>
    <w:p w:rsidR="00D275EA" w:rsidRDefault="00D275EA" w:rsidP="00D275EA">
      <w:pPr>
        <w:widowControl w:val="0"/>
        <w:numPr>
          <w:ilvl w:val="12"/>
          <w:numId w:val="0"/>
        </w:numPr>
        <w:tabs>
          <w:tab w:val="left" w:pos="630"/>
          <w:tab w:val="left" w:pos="9417"/>
        </w:tabs>
        <w:ind w:left="-45"/>
        <w:rPr>
          <w:i/>
          <w:color w:val="0000FF"/>
        </w:rPr>
      </w:pPr>
      <w:r>
        <w:t>6315</w:t>
      </w:r>
      <w:r>
        <w:tab/>
        <w:t xml:space="preserve">Pellagra – </w:t>
      </w:r>
      <w:r>
        <w:rPr>
          <w:i/>
          <w:color w:val="00CCFF"/>
        </w:rPr>
        <w:t xml:space="preserve">POW presumptive under </w:t>
      </w:r>
      <w:r w:rsidRPr="00453DE5">
        <w:rPr>
          <w:b/>
        </w:rPr>
        <w:t>3.309</w:t>
      </w:r>
      <w:r>
        <w:rPr>
          <w:i/>
          <w:color w:val="00CCFF"/>
        </w:rPr>
        <w:t>(c)</w:t>
      </w:r>
    </w:p>
    <w:p w:rsidR="00D275EA" w:rsidRDefault="00D275EA" w:rsidP="00D275EA">
      <w:pPr>
        <w:widowControl w:val="0"/>
        <w:numPr>
          <w:ilvl w:val="12"/>
          <w:numId w:val="0"/>
        </w:numPr>
        <w:tabs>
          <w:tab w:val="left" w:pos="630"/>
          <w:tab w:val="left" w:pos="9417"/>
        </w:tabs>
        <w:ind w:left="-45"/>
        <w:rPr>
          <w:color w:val="FF0000"/>
        </w:rPr>
      </w:pPr>
      <w:r>
        <w:rPr>
          <w:color w:val="FF0000"/>
        </w:rPr>
        <w:t>6350</w:t>
      </w:r>
      <w:r>
        <w:rPr>
          <w:color w:val="FF0000"/>
        </w:rPr>
        <w:tab/>
        <w:t>Lupus erythematosus, systemic</w:t>
      </w:r>
    </w:p>
    <w:p w:rsidR="00D275EA" w:rsidRDefault="00D275EA" w:rsidP="00D275EA">
      <w:pPr>
        <w:widowControl w:val="0"/>
        <w:numPr>
          <w:ilvl w:val="12"/>
          <w:numId w:val="0"/>
        </w:numPr>
        <w:tabs>
          <w:tab w:val="left" w:pos="630"/>
          <w:tab w:val="left" w:pos="9417"/>
        </w:tabs>
        <w:ind w:left="630"/>
        <w:rPr>
          <w:color w:val="FF0000"/>
        </w:rPr>
      </w:pPr>
      <w:r>
        <w:rPr>
          <w:smallCaps/>
        </w:rPr>
        <w:t>Note:</w:t>
      </w:r>
      <w:r>
        <w:t xml:space="preserve"> Evaluate this condition either by combining the evaluations for residuals under the appropriate system, or by evaluating DC 6350, whichever method results in a higher evaluation.</w:t>
      </w:r>
    </w:p>
    <w:p w:rsidR="00D275EA" w:rsidRDefault="00D275EA" w:rsidP="00D275EA">
      <w:pPr>
        <w:widowControl w:val="0"/>
        <w:numPr>
          <w:ilvl w:val="12"/>
          <w:numId w:val="0"/>
        </w:numPr>
        <w:tabs>
          <w:tab w:val="left" w:pos="630"/>
          <w:tab w:val="left" w:pos="9417"/>
        </w:tabs>
        <w:ind w:left="-45"/>
        <w:rPr>
          <w:i/>
        </w:rPr>
      </w:pPr>
      <w:r w:rsidRPr="006B2A5A">
        <w:t>6351</w:t>
      </w:r>
      <w:r w:rsidRPr="006B2A5A">
        <w:tab/>
        <w:t xml:space="preserve">HIV-related Illness – </w:t>
      </w:r>
      <w:r w:rsidRPr="006B2A5A">
        <w:rPr>
          <w:b/>
          <w:bCs/>
        </w:rPr>
        <w:t xml:space="preserve">III.ii.4.A.6 - </w:t>
      </w:r>
      <w:r w:rsidRPr="006B2A5A">
        <w:t>nonretention of records</w:t>
      </w:r>
      <w:r w:rsidRPr="006B2A5A">
        <w:rPr>
          <w:i/>
        </w:rPr>
        <w:t>;</w:t>
      </w:r>
      <w:r w:rsidRPr="006B2A5A">
        <w:t xml:space="preserve"> </w:t>
      </w:r>
      <w:r w:rsidRPr="006B2A5A">
        <w:rPr>
          <w:b/>
          <w:bCs/>
        </w:rPr>
        <w:t>III.iv.4.</w:t>
      </w:r>
      <w:r w:rsidR="00364863">
        <w:rPr>
          <w:b/>
          <w:bCs/>
        </w:rPr>
        <w:t>E.3</w:t>
      </w:r>
      <w:r w:rsidRPr="006B2A5A">
        <w:rPr>
          <w:i/>
        </w:rPr>
        <w:t>; normal CD4/T4 cell count is 800 to 1200 or 500</w:t>
      </w:r>
      <w:r>
        <w:rPr>
          <w:i/>
        </w:rPr>
        <w:t xml:space="preserve"> to 1500; 9301 for dementia, 6899-6845 for PCP</w:t>
      </w:r>
    </w:p>
    <w:p w:rsidR="00D275EA" w:rsidRPr="00DC7E42" w:rsidRDefault="00D275EA" w:rsidP="00D275EA">
      <w:pPr>
        <w:widowControl w:val="0"/>
        <w:numPr>
          <w:ilvl w:val="12"/>
          <w:numId w:val="0"/>
        </w:numPr>
        <w:tabs>
          <w:tab w:val="left" w:pos="630"/>
          <w:tab w:val="left" w:pos="9417"/>
        </w:tabs>
        <w:ind w:left="-45"/>
      </w:pPr>
      <w:r>
        <w:t>6354</w:t>
      </w:r>
      <w:r>
        <w:tab/>
        <w:t xml:space="preserve">Chronic Fatigue Syndrome </w:t>
      </w:r>
      <w:r w:rsidR="009E2330">
        <w:t xml:space="preserve">(CFS) </w:t>
      </w:r>
      <w:r>
        <w:t xml:space="preserve">– </w:t>
      </w:r>
      <w:r w:rsidRPr="004E6359">
        <w:rPr>
          <w:color w:val="E36C0A" w:themeColor="accent6" w:themeShade="BF"/>
        </w:rPr>
        <w:t xml:space="preserve">GW presumptive under </w:t>
      </w:r>
      <w:r w:rsidRPr="00453DE5">
        <w:rPr>
          <w:b/>
        </w:rPr>
        <w:t>3</w:t>
      </w:r>
      <w:r w:rsidRPr="00B459F6">
        <w:rPr>
          <w:b/>
        </w:rPr>
        <w:t>.317</w:t>
      </w:r>
      <w:r w:rsidRPr="00B459F6">
        <w:rPr>
          <w:rStyle w:val="Hyperlink"/>
          <w:u w:val="none"/>
        </w:rPr>
        <w:t xml:space="preserve">; </w:t>
      </w:r>
      <w:r w:rsidRPr="00B459F6">
        <w:rPr>
          <w:b/>
        </w:rPr>
        <w:t>III.iv.4.</w:t>
      </w:r>
      <w:r w:rsidR="00364863">
        <w:rPr>
          <w:b/>
        </w:rPr>
        <w:t>E</w:t>
      </w:r>
      <w:r w:rsidRPr="00B459F6">
        <w:rPr>
          <w:b/>
        </w:rPr>
        <w:t>.4</w:t>
      </w:r>
    </w:p>
    <w:p w:rsidR="00D275EA" w:rsidRDefault="00D275EA" w:rsidP="00D275EA">
      <w:pPr>
        <w:widowControl w:val="0"/>
        <w:numPr>
          <w:ilvl w:val="12"/>
          <w:numId w:val="0"/>
        </w:numPr>
        <w:tabs>
          <w:tab w:val="left" w:pos="630"/>
          <w:tab w:val="left" w:pos="9417"/>
        </w:tabs>
        <w:ind w:left="-45"/>
        <w:rPr>
          <w:b/>
        </w:rPr>
      </w:pPr>
    </w:p>
    <w:tbl>
      <w:tblPr>
        <w:tblW w:w="0" w:type="auto"/>
        <w:tblInd w:w="-45" w:type="dxa"/>
        <w:tblLayout w:type="fixed"/>
        <w:tblCellMar>
          <w:left w:w="30" w:type="dxa"/>
          <w:right w:w="30" w:type="dxa"/>
        </w:tblCellMar>
        <w:tblLook w:val="0000" w:firstRow="0" w:lastRow="0" w:firstColumn="0" w:lastColumn="0" w:noHBand="0" w:noVBand="0"/>
      </w:tblPr>
      <w:tblGrid>
        <w:gridCol w:w="675"/>
        <w:gridCol w:w="10200"/>
      </w:tblGrid>
      <w:tr w:rsidR="00D275EA" w:rsidTr="00C334D1">
        <w:trPr>
          <w:trHeight w:val="275"/>
        </w:trPr>
        <w:tc>
          <w:tcPr>
            <w:tcW w:w="675" w:type="dxa"/>
            <w:tcBorders>
              <w:top w:val="nil"/>
              <w:left w:val="nil"/>
              <w:bottom w:val="nil"/>
              <w:right w:val="nil"/>
            </w:tcBorders>
          </w:tcPr>
          <w:p w:rsidR="00D275EA" w:rsidRDefault="00D275EA" w:rsidP="00C334D1">
            <w:pPr>
              <w:widowControl w:val="0"/>
              <w:numPr>
                <w:ilvl w:val="12"/>
                <w:numId w:val="0"/>
              </w:numPr>
              <w:rPr>
                <w:b/>
              </w:rPr>
            </w:pPr>
            <w:r w:rsidRPr="00453DE5">
              <w:rPr>
                <w:b/>
              </w:rPr>
              <w:t>4.88c</w:t>
            </w:r>
          </w:p>
        </w:tc>
        <w:tc>
          <w:tcPr>
            <w:tcW w:w="10200" w:type="dxa"/>
            <w:tcBorders>
              <w:top w:val="nil"/>
              <w:left w:val="nil"/>
              <w:bottom w:val="nil"/>
              <w:right w:val="nil"/>
            </w:tcBorders>
          </w:tcPr>
          <w:p w:rsidR="00D275EA" w:rsidRDefault="00D275EA" w:rsidP="00C334D1">
            <w:pPr>
              <w:widowControl w:val="0"/>
              <w:numPr>
                <w:ilvl w:val="12"/>
                <w:numId w:val="0"/>
              </w:numPr>
              <w:rPr>
                <w:i/>
              </w:rPr>
            </w:pPr>
            <w:r>
              <w:rPr>
                <w:b/>
              </w:rPr>
              <w:t>Ratings for inactive nonpulmonary tuberculosis initially entitled after August 19, 1968</w:t>
            </w:r>
            <w:r>
              <w:rPr>
                <w:i/>
              </w:rPr>
              <w:t xml:space="preserve"> – rating criteria</w:t>
            </w:r>
          </w:p>
        </w:tc>
      </w:tr>
      <w:tr w:rsidR="00D275EA" w:rsidTr="00C334D1">
        <w:trPr>
          <w:trHeight w:val="293"/>
        </w:trPr>
        <w:tc>
          <w:tcPr>
            <w:tcW w:w="675" w:type="dxa"/>
            <w:tcBorders>
              <w:top w:val="nil"/>
              <w:left w:val="nil"/>
              <w:bottom w:val="nil"/>
              <w:right w:val="nil"/>
            </w:tcBorders>
          </w:tcPr>
          <w:p w:rsidR="00D275EA" w:rsidRDefault="00D275EA" w:rsidP="00C334D1">
            <w:pPr>
              <w:widowControl w:val="0"/>
              <w:numPr>
                <w:ilvl w:val="12"/>
                <w:numId w:val="0"/>
              </w:numPr>
              <w:rPr>
                <w:b/>
              </w:rPr>
            </w:pPr>
            <w:r w:rsidRPr="00453DE5">
              <w:rPr>
                <w:b/>
              </w:rPr>
              <w:t>4.89</w:t>
            </w:r>
          </w:p>
        </w:tc>
        <w:tc>
          <w:tcPr>
            <w:tcW w:w="10200" w:type="dxa"/>
            <w:tcBorders>
              <w:top w:val="nil"/>
              <w:left w:val="nil"/>
              <w:bottom w:val="nil"/>
              <w:right w:val="nil"/>
            </w:tcBorders>
          </w:tcPr>
          <w:p w:rsidR="00D275EA" w:rsidRDefault="00D275EA" w:rsidP="00C334D1">
            <w:pPr>
              <w:widowControl w:val="0"/>
              <w:numPr>
                <w:ilvl w:val="12"/>
                <w:numId w:val="0"/>
              </w:numPr>
              <w:rPr>
                <w:i/>
              </w:rPr>
            </w:pPr>
            <w:r>
              <w:rPr>
                <w:b/>
              </w:rPr>
              <w:t>Ratings for inactive nonpulmonary tuberculosis in effect on August 19, 1968</w:t>
            </w:r>
            <w:r>
              <w:t xml:space="preserve"> – </w:t>
            </w:r>
            <w:r>
              <w:rPr>
                <w:i/>
              </w:rPr>
              <w:t>rating criteria</w:t>
            </w:r>
          </w:p>
        </w:tc>
      </w:tr>
    </w:tbl>
    <w:p w:rsidR="00D275EA" w:rsidRDefault="00D275EA" w:rsidP="00D275EA">
      <w:pPr>
        <w:widowControl w:val="0"/>
        <w:numPr>
          <w:ilvl w:val="12"/>
          <w:numId w:val="0"/>
        </w:numPr>
        <w:pBdr>
          <w:bottom w:val="single" w:sz="4" w:space="1" w:color="auto"/>
        </w:pBdr>
        <w:spacing w:after="240"/>
        <w:rPr>
          <w:b/>
        </w:rPr>
      </w:pPr>
    </w:p>
    <w:p w:rsidR="00D275EA" w:rsidRDefault="00D275EA">
      <w:pPr>
        <w:overflowPunct/>
        <w:autoSpaceDE/>
        <w:autoSpaceDN/>
        <w:adjustRightInd/>
        <w:textAlignment w:val="auto"/>
      </w:pPr>
      <w:r>
        <w:br w:type="page"/>
      </w: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D275EA" w:rsidRPr="005567F4" w:rsidTr="005567F4">
        <w:trPr>
          <w:trHeight w:val="270"/>
        </w:trPr>
        <w:tc>
          <w:tcPr>
            <w:tcW w:w="10875" w:type="dxa"/>
            <w:gridSpan w:val="2"/>
            <w:tcBorders>
              <w:top w:val="single" w:sz="4" w:space="0" w:color="auto"/>
              <w:left w:val="nil"/>
              <w:bottom w:val="nil"/>
              <w:right w:val="nil"/>
            </w:tcBorders>
          </w:tcPr>
          <w:p w:rsidR="00D275EA" w:rsidRPr="005567F4" w:rsidRDefault="00D275EA" w:rsidP="005567F4">
            <w:pPr>
              <w:pStyle w:val="ListParagraph"/>
              <w:widowControl w:val="0"/>
              <w:numPr>
                <w:ilvl w:val="1"/>
                <w:numId w:val="10"/>
              </w:numPr>
              <w:jc w:val="center"/>
              <w:rPr>
                <w:rFonts w:ascii="Arial" w:hAnsi="Arial"/>
                <w:b/>
                <w:i/>
                <w:color w:val="FF0000"/>
                <w:sz w:val="20"/>
                <w:szCs w:val="20"/>
              </w:rPr>
            </w:pPr>
            <w:bookmarkStart w:id="125" w:name="Part4Resp"/>
            <w:r w:rsidRPr="005567F4">
              <w:rPr>
                <w:rFonts w:ascii="Arial" w:hAnsi="Arial"/>
                <w:b/>
                <w:color w:val="FF0000"/>
                <w:sz w:val="20"/>
                <w:szCs w:val="20"/>
              </w:rPr>
              <w:t xml:space="preserve">- 4.97. </w:t>
            </w:r>
            <w:r w:rsidRPr="005567F4">
              <w:rPr>
                <w:rFonts w:ascii="Arial" w:hAnsi="Arial"/>
                <w:b/>
                <w:i/>
                <w:color w:val="FF0000"/>
                <w:sz w:val="20"/>
                <w:szCs w:val="20"/>
              </w:rPr>
              <w:t>The Respiratory System</w:t>
            </w:r>
            <w:bookmarkEnd w:id="125"/>
          </w:p>
          <w:p w:rsidR="005567F4" w:rsidRPr="005567F4" w:rsidRDefault="005567F4" w:rsidP="005567F4">
            <w:pPr>
              <w:pStyle w:val="Heading5"/>
              <w:keepNext w:val="0"/>
              <w:widowControl w:val="0"/>
              <w:pBdr>
                <w:top w:val="none" w:sz="0" w:space="0" w:color="auto"/>
                <w:left w:val="none" w:sz="0" w:space="0" w:color="auto"/>
                <w:bottom w:val="none" w:sz="0" w:space="0" w:color="auto"/>
                <w:right w:val="none" w:sz="0" w:space="0" w:color="auto"/>
              </w:pBdr>
              <w:spacing w:after="120"/>
              <w:ind w:right="274"/>
              <w:rPr>
                <w:sz w:val="20"/>
              </w:rPr>
            </w:pPr>
            <w:r w:rsidRPr="005567F4">
              <w:rPr>
                <w:sz w:val="20"/>
              </w:rPr>
              <w:t>III.iv.4.F</w:t>
            </w:r>
          </w:p>
          <w:p w:rsidR="005567F4" w:rsidRPr="005567F4" w:rsidRDefault="005567F4" w:rsidP="005567F4">
            <w:pPr>
              <w:widowControl w:val="0"/>
              <w:rPr>
                <w:b/>
                <w:color w:val="FF0000"/>
              </w:rPr>
            </w:pPr>
          </w:p>
        </w:tc>
      </w:tr>
      <w:tr w:rsidR="00D275EA" w:rsidRPr="005567F4" w:rsidTr="00C334D1">
        <w:trPr>
          <w:trHeight w:val="288"/>
        </w:trPr>
        <w:tc>
          <w:tcPr>
            <w:tcW w:w="705" w:type="dxa"/>
            <w:tcBorders>
              <w:top w:val="nil"/>
              <w:left w:val="nil"/>
              <w:bottom w:val="nil"/>
              <w:right w:val="nil"/>
            </w:tcBorders>
          </w:tcPr>
          <w:p w:rsidR="00D275EA" w:rsidRPr="005567F4" w:rsidRDefault="00D275EA" w:rsidP="00C334D1">
            <w:pPr>
              <w:widowControl w:val="0"/>
              <w:numPr>
                <w:ilvl w:val="12"/>
                <w:numId w:val="0"/>
              </w:numPr>
              <w:rPr>
                <w:b/>
              </w:rPr>
            </w:pPr>
            <w:r w:rsidRPr="005567F4">
              <w:rPr>
                <w:b/>
              </w:rPr>
              <w:t>4.96</w:t>
            </w:r>
          </w:p>
        </w:tc>
        <w:tc>
          <w:tcPr>
            <w:tcW w:w="10170" w:type="dxa"/>
            <w:tcBorders>
              <w:top w:val="nil"/>
              <w:left w:val="nil"/>
              <w:bottom w:val="nil"/>
              <w:right w:val="nil"/>
            </w:tcBorders>
          </w:tcPr>
          <w:p w:rsidR="008F7BDE" w:rsidRPr="005567F4" w:rsidRDefault="00D275EA" w:rsidP="00C334D1">
            <w:pPr>
              <w:widowControl w:val="0"/>
            </w:pPr>
            <w:r w:rsidRPr="005567F4">
              <w:rPr>
                <w:b/>
              </w:rPr>
              <w:t>Special provisions regarding evaluation of respiratory conditions</w:t>
            </w:r>
            <w:r w:rsidRPr="005567F4">
              <w:t xml:space="preserve"> – </w:t>
            </w:r>
          </w:p>
          <w:p w:rsidR="00D275EA" w:rsidRPr="005567F4" w:rsidRDefault="008F7BDE" w:rsidP="00C334D1">
            <w:pPr>
              <w:widowControl w:val="0"/>
            </w:pPr>
            <w:r w:rsidRPr="005567F4">
              <w:rPr>
                <w:b/>
              </w:rPr>
              <w:t>4.96(a)</w:t>
            </w:r>
            <w:r w:rsidRPr="005567F4">
              <w:t xml:space="preserve"> - </w:t>
            </w:r>
            <w:r w:rsidR="00D275EA" w:rsidRPr="005567F4">
              <w:t xml:space="preserve">DCs 6600 through 6817 and 6822 through 6847 will not be combined with each other. Where there is lung or pleural involvement, DCs 6819 and 6820 will not be combined with each other or with DCs 6600 through 6817 or 6822 through 6847. A single rating will be assigned under the diagnostic code which reflects the predominant disability with elevation to the next higher evaluation where the severity of the overall disability warrants such elevation. </w:t>
            </w:r>
            <w:r w:rsidR="00D275EA" w:rsidRPr="005567F4">
              <w:rPr>
                <w:b/>
                <w:bCs/>
                <w:i/>
                <w:iCs/>
              </w:rPr>
              <w:t>Basically, don’t rate any respiratory conditions separately (except neoplasms which have their own rule, above)!!!</w:t>
            </w:r>
            <w:r w:rsidR="00D275EA" w:rsidRPr="005567F4">
              <w:t xml:space="preserve">  </w:t>
            </w:r>
          </w:p>
          <w:p w:rsidR="008F7BDE" w:rsidRPr="005567F4" w:rsidRDefault="008F7BDE" w:rsidP="00EC02D9">
            <w:pPr>
              <w:widowControl w:val="0"/>
            </w:pPr>
            <w:r w:rsidRPr="005567F4">
              <w:rPr>
                <w:b/>
              </w:rPr>
              <w:t>4.96(d)</w:t>
            </w:r>
            <w:r w:rsidRPr="005567F4">
              <w:t xml:space="preserve"> - DCs 6600 , 6603, 6604, 6825</w:t>
            </w:r>
            <w:r w:rsidR="00EC02D9" w:rsidRPr="005567F4">
              <w:t xml:space="preserve">, 6826, 6827, 6828, 6829, 6830, 6831, 6832, </w:t>
            </w:r>
            <w:r w:rsidRPr="005567F4">
              <w:t>6833</w:t>
            </w:r>
            <w:r w:rsidR="00EC02D9" w:rsidRPr="005567F4">
              <w:t>, 6840, 6841, 6842, 6843, 6844 &amp; 6845</w:t>
            </w:r>
            <w:r w:rsidRPr="005567F4">
              <w:t xml:space="preserve"> require PFTs</w:t>
            </w:r>
            <w:r w:rsidR="00EC02D9" w:rsidRPr="005567F4">
              <w:t xml:space="preserve">; </w:t>
            </w:r>
            <w:r w:rsidR="00EC02D9" w:rsidRPr="005567F4">
              <w:rPr>
                <w:b/>
              </w:rPr>
              <w:t>III.iv.4.F.1.e</w:t>
            </w:r>
            <w:r w:rsidR="00EC02D9" w:rsidRPr="005567F4">
              <w:t xml:space="preserve"> says can also use PFTs for other DCs, like 6602</w:t>
            </w:r>
          </w:p>
        </w:tc>
      </w:tr>
    </w:tbl>
    <w:p w:rsidR="00D275EA" w:rsidRDefault="00D275EA" w:rsidP="00D275EA">
      <w:pPr>
        <w:widowControl w:val="0"/>
        <w:numPr>
          <w:ilvl w:val="12"/>
          <w:numId w:val="0"/>
        </w:numPr>
        <w:tabs>
          <w:tab w:val="left" w:pos="660"/>
          <w:tab w:val="left" w:pos="9415"/>
        </w:tabs>
        <w:ind w:left="-45"/>
        <w:rPr>
          <w:b/>
        </w:rPr>
      </w:pPr>
    </w:p>
    <w:p w:rsidR="00D275EA" w:rsidRDefault="00D275EA" w:rsidP="00D275EA">
      <w:pPr>
        <w:widowControl w:val="0"/>
        <w:numPr>
          <w:ilvl w:val="12"/>
          <w:numId w:val="0"/>
        </w:numPr>
        <w:pBdr>
          <w:top w:val="single" w:sz="4" w:space="1" w:color="auto"/>
        </w:pBdr>
        <w:tabs>
          <w:tab w:val="left" w:pos="660"/>
          <w:tab w:val="left" w:pos="9415"/>
        </w:tabs>
        <w:rPr>
          <w:b/>
          <w:u w:val="single"/>
        </w:rPr>
      </w:pPr>
      <w:r w:rsidRPr="00453DE5">
        <w:rPr>
          <w:b/>
          <w:u w:val="single"/>
        </w:rPr>
        <w:t>4.97</w:t>
      </w:r>
      <w:r>
        <w:rPr>
          <w:b/>
          <w:u w:val="single"/>
        </w:rPr>
        <w:tab/>
        <w:t>Schedule of Ratings—Respiratory System</w:t>
      </w:r>
    </w:p>
    <w:p w:rsidR="00D275EA" w:rsidRDefault="00D275EA" w:rsidP="00D275EA">
      <w:pPr>
        <w:widowControl w:val="0"/>
        <w:numPr>
          <w:ilvl w:val="12"/>
          <w:numId w:val="0"/>
        </w:numPr>
        <w:tabs>
          <w:tab w:val="left" w:pos="660"/>
          <w:tab w:val="left" w:pos="9415"/>
        </w:tabs>
        <w:rPr>
          <w:b/>
          <w:i/>
          <w:u w:val="single"/>
        </w:rPr>
      </w:pPr>
    </w:p>
    <w:p w:rsidR="00D275EA" w:rsidRDefault="00D275EA" w:rsidP="00D275EA">
      <w:pPr>
        <w:widowControl w:val="0"/>
        <w:numPr>
          <w:ilvl w:val="12"/>
          <w:numId w:val="0"/>
        </w:numPr>
        <w:pBdr>
          <w:top w:val="single" w:sz="4" w:space="0" w:color="auto"/>
          <w:left w:val="single" w:sz="4" w:space="0" w:color="auto"/>
          <w:bottom w:val="single" w:sz="4" w:space="0" w:color="auto"/>
          <w:right w:val="single" w:sz="4" w:space="0" w:color="auto"/>
        </w:pBdr>
        <w:rPr>
          <w:i/>
        </w:rPr>
      </w:pPr>
      <w:r>
        <w:rPr>
          <w:i/>
        </w:rPr>
        <w:t>changed 10/7/96 (DCs 6501-6524, 6600-6604, 6701-6732 &amp; 6800-6847; used to have 6501 chronic atrophic rhinitis, replaced w/ 6522, 6523 &amp; 6524)</w:t>
      </w:r>
    </w:p>
    <w:p w:rsidR="00D275EA" w:rsidRDefault="00D275EA" w:rsidP="00D275EA">
      <w:pPr>
        <w:widowControl w:val="0"/>
        <w:numPr>
          <w:ilvl w:val="12"/>
          <w:numId w:val="0"/>
        </w:numPr>
        <w:pBdr>
          <w:top w:val="single" w:sz="4" w:space="0" w:color="auto"/>
          <w:left w:val="single" w:sz="4" w:space="0" w:color="auto"/>
          <w:bottom w:val="single" w:sz="4" w:space="0" w:color="auto"/>
          <w:right w:val="single" w:sz="4" w:space="0" w:color="auto"/>
        </w:pBdr>
        <w:rPr>
          <w:i/>
        </w:rPr>
      </w:pPr>
      <w:r>
        <w:rPr>
          <w:i/>
          <w:sz w:val="18"/>
        </w:rPr>
        <w:t xml:space="preserve">*you can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4.97</w:t>
      </w:r>
      <w:r w:rsidR="00D11C3E">
        <w:rPr>
          <w:bCs/>
          <w:i/>
          <w:iCs/>
          <w:sz w:val="18"/>
        </w:rPr>
        <w:t>; or in CPKM</w:t>
      </w:r>
    </w:p>
    <w:p w:rsidR="00D275EA" w:rsidRDefault="00D275EA" w:rsidP="00D275EA">
      <w:pPr>
        <w:widowControl w:val="0"/>
        <w:numPr>
          <w:ilvl w:val="12"/>
          <w:numId w:val="0"/>
        </w:numPr>
        <w:pBdr>
          <w:top w:val="single" w:sz="4" w:space="0" w:color="auto"/>
          <w:left w:val="single" w:sz="4" w:space="0" w:color="auto"/>
          <w:bottom w:val="single" w:sz="4" w:space="0" w:color="auto"/>
          <w:right w:val="single" w:sz="4" w:space="0" w:color="auto"/>
        </w:pBdr>
        <w:rPr>
          <w:i/>
          <w:sz w:val="16"/>
        </w:rPr>
      </w:pPr>
    </w:p>
    <w:p w:rsidR="00D275EA" w:rsidRDefault="00D275EA" w:rsidP="00D275EA">
      <w:pPr>
        <w:widowControl w:val="0"/>
        <w:numPr>
          <w:ilvl w:val="12"/>
          <w:numId w:val="0"/>
        </w:numPr>
        <w:pBdr>
          <w:top w:val="single" w:sz="4" w:space="0" w:color="auto"/>
          <w:left w:val="single" w:sz="4" w:space="0" w:color="auto"/>
          <w:bottom w:val="single" w:sz="4" w:space="0" w:color="auto"/>
          <w:right w:val="single" w:sz="4" w:space="0" w:color="auto"/>
        </w:pBdr>
        <w:rPr>
          <w:iCs/>
          <w:sz w:val="16"/>
        </w:rPr>
      </w:pPr>
    </w:p>
    <w:p w:rsidR="00D275EA" w:rsidRDefault="00D275EA" w:rsidP="00D275EA">
      <w:pPr>
        <w:widowControl w:val="0"/>
        <w:numPr>
          <w:ilvl w:val="12"/>
          <w:numId w:val="0"/>
        </w:numPr>
        <w:pBdr>
          <w:top w:val="single" w:sz="4" w:space="0" w:color="auto"/>
          <w:left w:val="single" w:sz="4" w:space="0" w:color="auto"/>
          <w:bottom w:val="single" w:sz="4" w:space="0" w:color="auto"/>
          <w:right w:val="single" w:sz="4" w:space="0" w:color="auto"/>
        </w:pBdr>
        <w:rPr>
          <w:iCs/>
          <w:sz w:val="16"/>
        </w:rPr>
      </w:pPr>
      <w:r>
        <w:t xml:space="preserve">Prior to the changes effective on </w:t>
      </w:r>
      <w:r>
        <w:rPr>
          <w:b/>
          <w:bCs/>
        </w:rPr>
        <w:t>October 7, 1996</w:t>
      </w:r>
      <w:r>
        <w:t xml:space="preserve">, the rating schedule was more subjective, basing evaluations on criteria such as:  </w:t>
      </w:r>
      <w:r>
        <w:rPr>
          <w:u w:val="single"/>
        </w:rPr>
        <w:t>“pronounced,” “severe, ” “moderate, ” or “mild.”</w:t>
      </w:r>
      <w:r>
        <w:t xml:space="preserve">  When pulmonary function testing was done, the test report was usually accompanied by a physician’s summary characterizing the results in terms corresponding to these evaluation criteria.  Although the pulmonary function test reports may still include a physician’s summary, the rating criteria now in effect are much more objective based upon numerical results of the pulmonary function test report.</w:t>
      </w:r>
    </w:p>
    <w:p w:rsidR="00D275EA" w:rsidRPr="00A81A28" w:rsidRDefault="00D275EA" w:rsidP="00D275EA">
      <w:pPr>
        <w:widowControl w:val="0"/>
        <w:numPr>
          <w:ilvl w:val="12"/>
          <w:numId w:val="0"/>
        </w:numPr>
        <w:rPr>
          <w:i/>
        </w:rPr>
      </w:pPr>
    </w:p>
    <w:p w:rsidR="00D275EA" w:rsidRPr="00B13B3A" w:rsidRDefault="00D275EA" w:rsidP="00F063AF">
      <w:pPr>
        <w:pStyle w:val="Heading5"/>
        <w:keepNext w:val="0"/>
        <w:widowControl w:val="0"/>
        <w:numPr>
          <w:ilvl w:val="0"/>
          <w:numId w:val="93"/>
        </w:numPr>
        <w:pBdr>
          <w:top w:val="none" w:sz="0" w:space="0" w:color="auto"/>
          <w:left w:val="none" w:sz="0" w:space="0" w:color="auto"/>
          <w:bottom w:val="none" w:sz="0" w:space="0" w:color="auto"/>
          <w:right w:val="none" w:sz="0" w:space="0" w:color="auto"/>
        </w:pBdr>
        <w:tabs>
          <w:tab w:val="clear" w:pos="720"/>
          <w:tab w:val="num" w:pos="300"/>
        </w:tabs>
        <w:ind w:left="302" w:right="274"/>
        <w:rPr>
          <w:b w:val="0"/>
          <w:sz w:val="20"/>
        </w:rPr>
      </w:pPr>
      <w:r w:rsidRPr="0050635A">
        <w:rPr>
          <w:sz w:val="20"/>
        </w:rPr>
        <w:t>III.iv.4.</w:t>
      </w:r>
      <w:r w:rsidR="009E2330">
        <w:rPr>
          <w:sz w:val="20"/>
        </w:rPr>
        <w:t>F.6</w:t>
      </w:r>
      <w:r w:rsidRPr="00BA78B4">
        <w:rPr>
          <w:b w:val="0"/>
          <w:sz w:val="20"/>
        </w:rPr>
        <w:t xml:space="preserve"> – chronic upper respiratory tract infections (chronic rhinitis, chronic sinusitis, chronic tonsillitis &amp; chronic laryngitis); give 100% for total spontaneous pneumothorax, 6843, as of the date of hospital admission, continuing for 3 months from the first day of the month after hospital discharge</w:t>
      </w:r>
      <w:r>
        <w:rPr>
          <w:b w:val="0"/>
          <w:sz w:val="20"/>
        </w:rPr>
        <w:t xml:space="preserve">; </w:t>
      </w:r>
      <w:r w:rsidRPr="00102F5B">
        <w:rPr>
          <w:sz w:val="20"/>
        </w:rPr>
        <w:t>III.iv.4.</w:t>
      </w:r>
      <w:r w:rsidR="009E2330">
        <w:rPr>
          <w:sz w:val="20"/>
        </w:rPr>
        <w:t>F.1.f</w:t>
      </w:r>
      <w:r>
        <w:rPr>
          <w:b w:val="0"/>
          <w:sz w:val="20"/>
        </w:rPr>
        <w:t xml:space="preserve"> – has table for use of PFTs (if not consistent with clinical findings; there is a disparity between FEV-1, FVC, FEV-1/FVC or DLCO=use test examiner says </w:t>
      </w:r>
      <w:r w:rsidRPr="00B13B3A">
        <w:rPr>
          <w:b w:val="0"/>
          <w:sz w:val="20"/>
        </w:rPr>
        <w:t xml:space="preserve">reflects disability; FEV-1 &amp; FVC are greater than 100%=noncompensable; DLCO not done); </w:t>
      </w:r>
      <w:r w:rsidR="009E2330">
        <w:rPr>
          <w:iCs/>
          <w:sz w:val="20"/>
        </w:rPr>
        <w:t>III.iv.4.F</w:t>
      </w:r>
      <w:r w:rsidRPr="00B13B3A">
        <w:rPr>
          <w:iCs/>
          <w:sz w:val="20"/>
        </w:rPr>
        <w:t>.1.</w:t>
      </w:r>
      <w:r w:rsidR="009E2330">
        <w:rPr>
          <w:iCs/>
          <w:sz w:val="20"/>
        </w:rPr>
        <w:t>g</w:t>
      </w:r>
      <w:r w:rsidRPr="00B13B3A">
        <w:rPr>
          <w:iCs/>
          <w:sz w:val="20"/>
        </w:rPr>
        <w:t xml:space="preserve"> - </w:t>
      </w:r>
      <w:r w:rsidRPr="00B13B3A">
        <w:rPr>
          <w:b w:val="0"/>
          <w:iCs/>
          <w:sz w:val="20"/>
        </w:rPr>
        <w:t>use POST unless:</w:t>
      </w:r>
    </w:p>
    <w:p w:rsidR="00D275EA" w:rsidRPr="00B13B3A" w:rsidRDefault="00D275EA" w:rsidP="00F063AF">
      <w:pPr>
        <w:widowControl w:val="0"/>
        <w:numPr>
          <w:ilvl w:val="0"/>
          <w:numId w:val="269"/>
        </w:numPr>
        <w:tabs>
          <w:tab w:val="left" w:pos="0"/>
          <w:tab w:val="left" w:pos="720"/>
        </w:tabs>
        <w:ind w:left="720" w:hanging="360"/>
        <w:rPr>
          <w:iCs/>
        </w:rPr>
      </w:pPr>
      <w:r w:rsidRPr="00B13B3A">
        <w:rPr>
          <w:iCs/>
        </w:rPr>
        <w:t>PRE are normal (then POST won’t be done)</w:t>
      </w:r>
    </w:p>
    <w:p w:rsidR="00D275EA" w:rsidRPr="00B13B3A" w:rsidRDefault="00D275EA" w:rsidP="00F063AF">
      <w:pPr>
        <w:widowControl w:val="0"/>
        <w:numPr>
          <w:ilvl w:val="0"/>
          <w:numId w:val="269"/>
        </w:numPr>
        <w:tabs>
          <w:tab w:val="left" w:pos="0"/>
          <w:tab w:val="left" w:pos="720"/>
        </w:tabs>
        <w:ind w:left="720" w:hanging="360"/>
        <w:rPr>
          <w:iCs/>
        </w:rPr>
      </w:pPr>
      <w:r w:rsidRPr="00B13B3A">
        <w:rPr>
          <w:iCs/>
        </w:rPr>
        <w:t>Examiner says POST should not be done &amp; states why</w:t>
      </w:r>
    </w:p>
    <w:p w:rsidR="00D275EA" w:rsidRPr="00B13B3A" w:rsidRDefault="00D275EA" w:rsidP="00F063AF">
      <w:pPr>
        <w:widowControl w:val="0"/>
        <w:numPr>
          <w:ilvl w:val="0"/>
          <w:numId w:val="269"/>
        </w:numPr>
        <w:tabs>
          <w:tab w:val="left" w:pos="0"/>
          <w:tab w:val="left" w:pos="720"/>
        </w:tabs>
        <w:spacing w:after="120"/>
        <w:ind w:left="720" w:hanging="360"/>
        <w:rPr>
          <w:iCs/>
        </w:rPr>
      </w:pPr>
      <w:r w:rsidRPr="00B13B3A">
        <w:rPr>
          <w:iCs/>
        </w:rPr>
        <w:t>Using the DLCO score</w:t>
      </w:r>
    </w:p>
    <w:p w:rsidR="00D275EA" w:rsidRDefault="00D275EA" w:rsidP="00D275EA">
      <w:pPr>
        <w:widowControl w:val="0"/>
        <w:numPr>
          <w:ilvl w:val="12"/>
          <w:numId w:val="0"/>
        </w:numPr>
      </w:pPr>
    </w:p>
    <w:p w:rsidR="00D275EA" w:rsidRPr="00550DB1" w:rsidRDefault="00D275EA" w:rsidP="00D275EA">
      <w:pPr>
        <w:widowControl w:val="0"/>
        <w:pBdr>
          <w:top w:val="single" w:sz="4" w:space="1" w:color="auto"/>
          <w:left w:val="single" w:sz="4" w:space="4" w:color="auto"/>
          <w:bottom w:val="single" w:sz="4" w:space="1" w:color="auto"/>
          <w:right w:val="single" w:sz="4" w:space="4" w:color="auto"/>
        </w:pBdr>
        <w:rPr>
          <w:bCs/>
          <w:i/>
        </w:rPr>
      </w:pPr>
      <w:r>
        <w:rPr>
          <w:b/>
          <w:bCs/>
          <w:i/>
          <w:iCs/>
          <w:u w:val="single"/>
        </w:rPr>
        <w:t>DO NOT RATE SEPARATELY</w:t>
      </w:r>
      <w:r>
        <w:rPr>
          <w:b/>
          <w:bCs/>
        </w:rPr>
        <w:t xml:space="preserve"> - </w:t>
      </w:r>
      <w:r>
        <w:rPr>
          <w:b/>
          <w:bCs/>
          <w:highlight w:val="cyan"/>
          <w:u w:val="single"/>
        </w:rPr>
        <w:t>6600 to 6817 and 6822 to 6847</w:t>
      </w:r>
      <w:r w:rsidR="00550DB1">
        <w:rPr>
          <w:b/>
          <w:bCs/>
          <w:u w:val="single"/>
        </w:rPr>
        <w:t xml:space="preserve"> </w:t>
      </w:r>
      <w:r w:rsidR="00550DB1">
        <w:rPr>
          <w:bCs/>
        </w:rPr>
        <w:t xml:space="preserve">– </w:t>
      </w:r>
      <w:r w:rsidR="00550DB1" w:rsidRPr="00550DB1">
        <w:rPr>
          <w:bCs/>
          <w:i/>
        </w:rPr>
        <w:t>BEST TO DO THESE IN LEGACY EVALUATION BUILDER (LEB)</w:t>
      </w:r>
    </w:p>
    <w:p w:rsidR="00D275EA" w:rsidRDefault="00D275EA" w:rsidP="00D275EA">
      <w:pPr>
        <w:widowControl w:val="0"/>
        <w:pBdr>
          <w:top w:val="single" w:sz="4" w:space="1" w:color="auto"/>
          <w:left w:val="single" w:sz="4" w:space="4" w:color="auto"/>
          <w:bottom w:val="single" w:sz="4" w:space="1" w:color="auto"/>
          <w:right w:val="single" w:sz="4" w:space="4" w:color="auto"/>
        </w:pBdr>
      </w:pPr>
      <w:r>
        <w:t>Asbestosis (6833)</w:t>
      </w:r>
    </w:p>
    <w:p w:rsidR="00D275EA" w:rsidRDefault="00D275EA" w:rsidP="00D275EA">
      <w:pPr>
        <w:pStyle w:val="HTMLPreformatted"/>
        <w:widowControl w:val="0"/>
        <w:pBdr>
          <w:top w:val="single" w:sz="4" w:space="1" w:color="auto"/>
          <w:left w:val="single" w:sz="4" w:space="4" w:color="auto"/>
          <w:bottom w:val="single" w:sz="4" w:space="1" w:color="auto"/>
          <w:right w:val="single" w:sz="4" w:space="4" w:color="auto"/>
        </w:pBd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rPr>
      </w:pPr>
      <w:r>
        <w:rPr>
          <w:rFonts w:ascii="Arial" w:hAnsi="Arial"/>
        </w:rPr>
        <w:t>Asthma (6602)</w:t>
      </w:r>
    </w:p>
    <w:p w:rsidR="00D275EA" w:rsidRDefault="00D275EA" w:rsidP="00D275EA">
      <w:pPr>
        <w:widowControl w:val="0"/>
        <w:pBdr>
          <w:top w:val="single" w:sz="4" w:space="1" w:color="auto"/>
          <w:left w:val="single" w:sz="4" w:space="4" w:color="auto"/>
          <w:bottom w:val="single" w:sz="4" w:space="1" w:color="auto"/>
          <w:right w:val="single" w:sz="4" w:space="4" w:color="auto"/>
        </w:pBdr>
      </w:pPr>
      <w:r>
        <w:t>Bronchitis (6600)</w:t>
      </w:r>
    </w:p>
    <w:p w:rsidR="00D275EA" w:rsidRDefault="00D275EA" w:rsidP="00D275EA">
      <w:pPr>
        <w:widowControl w:val="0"/>
        <w:pBdr>
          <w:top w:val="single" w:sz="4" w:space="1" w:color="auto"/>
          <w:left w:val="single" w:sz="4" w:space="4" w:color="auto"/>
          <w:bottom w:val="single" w:sz="4" w:space="1" w:color="auto"/>
          <w:right w:val="single" w:sz="4" w:space="4" w:color="auto"/>
        </w:pBdr>
      </w:pPr>
      <w:r>
        <w:t>Bronchiectasis (6601)</w:t>
      </w:r>
    </w:p>
    <w:p w:rsidR="00D275EA" w:rsidRDefault="00D275EA" w:rsidP="00D275EA">
      <w:pPr>
        <w:pStyle w:val="HTMLPreformatted"/>
        <w:widowControl w:val="0"/>
        <w:pBdr>
          <w:top w:val="single" w:sz="4" w:space="1" w:color="auto"/>
          <w:left w:val="single" w:sz="4" w:space="4" w:color="auto"/>
          <w:bottom w:val="single" w:sz="4" w:space="1" w:color="auto"/>
          <w:right w:val="single" w:sz="4" w:space="4" w:color="auto"/>
        </w:pBd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rPr>
      </w:pPr>
      <w:r>
        <w:rPr>
          <w:rFonts w:ascii="Arial" w:hAnsi="Arial"/>
        </w:rPr>
        <w:t>COPD (6604)</w:t>
      </w:r>
    </w:p>
    <w:p w:rsidR="00D275EA" w:rsidRDefault="00D275EA" w:rsidP="00D275EA">
      <w:pPr>
        <w:widowControl w:val="0"/>
        <w:pBdr>
          <w:top w:val="single" w:sz="4" w:space="1" w:color="auto"/>
          <w:left w:val="single" w:sz="4" w:space="4" w:color="auto"/>
          <w:bottom w:val="single" w:sz="4" w:space="1" w:color="auto"/>
          <w:right w:val="single" w:sz="4" w:space="4" w:color="auto"/>
        </w:pBdr>
      </w:pPr>
      <w:r>
        <w:t>Chronic lung abscess (6824)</w:t>
      </w:r>
    </w:p>
    <w:p w:rsidR="00D275EA" w:rsidRDefault="00D275EA" w:rsidP="00D275EA">
      <w:pPr>
        <w:pStyle w:val="HTMLPreformatted"/>
        <w:widowControl w:val="0"/>
        <w:pBdr>
          <w:top w:val="single" w:sz="4" w:space="1" w:color="auto"/>
          <w:left w:val="single" w:sz="4" w:space="4" w:color="auto"/>
          <w:bottom w:val="single" w:sz="4" w:space="1" w:color="auto"/>
          <w:right w:val="single" w:sz="4" w:space="4" w:color="auto"/>
        </w:pBd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rPr>
      </w:pPr>
      <w:r>
        <w:rPr>
          <w:rFonts w:ascii="Arial" w:hAnsi="Arial"/>
        </w:rPr>
        <w:t>Chronic pleural effusion or fibrosis (6845)</w:t>
      </w:r>
    </w:p>
    <w:p w:rsidR="00D275EA" w:rsidRDefault="00D275EA" w:rsidP="00D275EA">
      <w:pPr>
        <w:widowControl w:val="0"/>
        <w:pBdr>
          <w:top w:val="single" w:sz="4" w:space="1" w:color="auto"/>
          <w:left w:val="single" w:sz="4" w:space="4" w:color="auto"/>
          <w:bottom w:val="single" w:sz="4" w:space="1" w:color="auto"/>
          <w:right w:val="single" w:sz="4" w:space="4" w:color="auto"/>
        </w:pBdr>
      </w:pPr>
      <w:r>
        <w:t>Diaphragm, paralysis or paresis (6840)</w:t>
      </w:r>
    </w:p>
    <w:p w:rsidR="00D275EA" w:rsidRDefault="00D275EA" w:rsidP="00D275EA">
      <w:pPr>
        <w:widowControl w:val="0"/>
        <w:pBdr>
          <w:top w:val="single" w:sz="4" w:space="1" w:color="auto"/>
          <w:left w:val="single" w:sz="4" w:space="4" w:color="auto"/>
          <w:bottom w:val="single" w:sz="4" w:space="1" w:color="auto"/>
          <w:right w:val="single" w:sz="4" w:space="4" w:color="auto"/>
        </w:pBdr>
      </w:pPr>
      <w:r>
        <w:t>Emphysema (6603)</w:t>
      </w:r>
    </w:p>
    <w:p w:rsidR="00D275EA" w:rsidRDefault="00D275EA" w:rsidP="00D275EA">
      <w:pPr>
        <w:widowControl w:val="0"/>
        <w:pBdr>
          <w:top w:val="single" w:sz="4" w:space="1" w:color="auto"/>
          <w:left w:val="single" w:sz="4" w:space="4" w:color="auto"/>
          <w:bottom w:val="single" w:sz="4" w:space="1" w:color="auto"/>
          <w:right w:val="single" w:sz="4" w:space="4" w:color="auto"/>
        </w:pBdr>
      </w:pPr>
      <w:r>
        <w:t>Post-surgical (lobectomy, pneumonectomy, etc.) (6844)</w:t>
      </w:r>
    </w:p>
    <w:p w:rsidR="00D275EA" w:rsidRDefault="00D275EA" w:rsidP="00D275EA">
      <w:pPr>
        <w:widowControl w:val="0"/>
        <w:pBdr>
          <w:top w:val="single" w:sz="4" w:space="1" w:color="auto"/>
          <w:left w:val="single" w:sz="4" w:space="4" w:color="auto"/>
          <w:bottom w:val="single" w:sz="4" w:space="1" w:color="auto"/>
          <w:right w:val="single" w:sz="4" w:space="4" w:color="auto"/>
        </w:pBdr>
      </w:pPr>
      <w:r>
        <w:t>Pulmonary vascular disease (6817)</w:t>
      </w:r>
    </w:p>
    <w:p w:rsidR="00D275EA" w:rsidRDefault="00D275EA" w:rsidP="00D275EA">
      <w:pPr>
        <w:widowControl w:val="0"/>
        <w:pBdr>
          <w:top w:val="single" w:sz="4" w:space="1" w:color="auto"/>
          <w:left w:val="single" w:sz="4" w:space="4" w:color="auto"/>
          <w:bottom w:val="single" w:sz="4" w:space="1" w:color="auto"/>
          <w:right w:val="single" w:sz="4" w:space="4" w:color="auto"/>
        </w:pBdr>
      </w:pPr>
      <w:r>
        <w:t>Sleep apnea (6847)</w:t>
      </w:r>
    </w:p>
    <w:p w:rsidR="00D275EA" w:rsidRDefault="00D275EA" w:rsidP="00D275EA">
      <w:pPr>
        <w:widowControl w:val="0"/>
        <w:pBdr>
          <w:top w:val="single" w:sz="4" w:space="1" w:color="auto"/>
          <w:left w:val="single" w:sz="4" w:space="4" w:color="auto"/>
          <w:bottom w:val="single" w:sz="4" w:space="1" w:color="auto"/>
          <w:right w:val="single" w:sz="4" w:space="4" w:color="auto"/>
        </w:pBdr>
      </w:pPr>
      <w:r>
        <w:t>Spinal cord injury with respiratory insufficiency (6841)</w:t>
      </w:r>
    </w:p>
    <w:p w:rsidR="00D275EA" w:rsidRDefault="00D275EA" w:rsidP="00D275EA">
      <w:pPr>
        <w:pStyle w:val="HTMLPreformatted"/>
        <w:widowControl w:val="0"/>
        <w:pBdr>
          <w:top w:val="single" w:sz="4" w:space="1" w:color="auto"/>
          <w:left w:val="single" w:sz="4" w:space="4" w:color="auto"/>
          <w:bottom w:val="single" w:sz="4" w:space="1" w:color="auto"/>
          <w:right w:val="single" w:sz="4" w:space="4" w:color="auto"/>
        </w:pBd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rPr>
      </w:pPr>
      <w:r>
        <w:rPr>
          <w:rFonts w:ascii="Arial" w:hAnsi="Arial"/>
        </w:rPr>
        <w:t>Traumatic chest wall defect, pneumothorax, hernia, etc. (6843)</w:t>
      </w:r>
    </w:p>
    <w:p w:rsidR="00D275EA" w:rsidRDefault="00D275EA" w:rsidP="00D275EA">
      <w:pPr>
        <w:widowControl w:val="0"/>
        <w:pBdr>
          <w:top w:val="single" w:sz="4" w:space="1" w:color="auto"/>
          <w:left w:val="single" w:sz="4" w:space="4" w:color="auto"/>
          <w:bottom w:val="single" w:sz="4" w:space="1" w:color="auto"/>
          <w:right w:val="single" w:sz="4" w:space="4" w:color="auto"/>
        </w:pBdr>
      </w:pPr>
      <w:r>
        <w:t>Tuberculosis; pleurisy (6701, 6702, 6703, 6704, 6721 , 6722, 6723, 6724, 6730, 6731, 6732)</w:t>
      </w:r>
    </w:p>
    <w:p w:rsidR="00D275EA" w:rsidRDefault="00D275EA" w:rsidP="00D275EA">
      <w:pPr>
        <w:widowControl w:val="0"/>
        <w:pBdr>
          <w:top w:val="single" w:sz="4" w:space="1" w:color="auto"/>
          <w:left w:val="single" w:sz="4" w:space="4" w:color="auto"/>
          <w:bottom w:val="single" w:sz="4" w:space="1" w:color="auto"/>
          <w:right w:val="single" w:sz="4" w:space="4" w:color="auto"/>
        </w:pBdr>
      </w:pPr>
      <w:r>
        <w:t xml:space="preserve"> </w:t>
      </w:r>
    </w:p>
    <w:p w:rsidR="00D275EA" w:rsidRDefault="00D275EA" w:rsidP="00D275EA">
      <w:pPr>
        <w:widowControl w:val="0"/>
        <w:pBdr>
          <w:top w:val="single" w:sz="4" w:space="1" w:color="auto"/>
          <w:left w:val="single" w:sz="4" w:space="4" w:color="auto"/>
          <w:bottom w:val="single" w:sz="4" w:space="1" w:color="auto"/>
          <w:right w:val="single" w:sz="4" w:space="4" w:color="auto"/>
        </w:pBdr>
        <w:rPr>
          <w:u w:val="single"/>
        </w:rPr>
      </w:pPr>
      <w:r>
        <w:rPr>
          <w:i/>
          <w:iCs/>
          <w:u w:val="single"/>
        </w:rPr>
        <w:t>Less common conditions</w:t>
      </w:r>
      <w:r>
        <w:rPr>
          <w:u w:val="single"/>
        </w:rPr>
        <w:t>:</w:t>
      </w:r>
    </w:p>
    <w:p w:rsidR="00D275EA" w:rsidRDefault="00D275EA" w:rsidP="00D275EA">
      <w:pPr>
        <w:widowControl w:val="0"/>
        <w:pBdr>
          <w:top w:val="single" w:sz="4" w:space="1" w:color="auto"/>
          <w:left w:val="single" w:sz="4" w:space="4" w:color="auto"/>
          <w:bottom w:val="single" w:sz="4" w:space="1" w:color="auto"/>
          <w:right w:val="single" w:sz="4" w:space="4" w:color="auto"/>
        </w:pBdr>
      </w:pPr>
      <w:r>
        <w:t>Actinomycosis (6822); Aspergillosis (6838); Blastomycosis (6836); Coccidioidomycosis (6835); Cryptococcosis (6837); Diffuse interstitial fibrosis (interstitial pneumonitis, fibrosing alveolitis) (6825); Desquamative interstitial pneumonitis (6826); Drug-induced pulmonary pneumonitis and fibrosis (6829); Eosinophilic granuloma of lung (6828); Histoplasmosis of lung (6834); Hypersensitivity pneumonitis (extrinsic allergic alveolitis) (6831); Kyphoscoliosis, pectus excavatum, pectus carinatum (6842); Mucormycosis (6839); Nocardiosis (6823); Pulmonary alveolar proteinosis (6827); Pneumoconiosis (silicosis, anthracosis, etc.) (6832); Radiation-induced pulmonary pneumonitis and fibrosis (6830); Sarcoidosis (6846)</w:t>
      </w:r>
    </w:p>
    <w:p w:rsidR="00D275EA" w:rsidRDefault="00D275EA" w:rsidP="00D275EA">
      <w:pPr>
        <w:widowControl w:val="0"/>
        <w:numPr>
          <w:ilvl w:val="12"/>
          <w:numId w:val="0"/>
        </w:numPr>
      </w:pPr>
    </w:p>
    <w:p w:rsidR="00D275EA" w:rsidRDefault="00D275EA" w:rsidP="00D275EA">
      <w:pPr>
        <w:pStyle w:val="Heading1"/>
        <w:keepNext w:val="0"/>
        <w:widowControl w:val="0"/>
        <w:pBdr>
          <w:top w:val="single" w:sz="4" w:space="1" w:color="auto"/>
          <w:left w:val="single" w:sz="4" w:space="4" w:color="auto"/>
          <w:bottom w:val="single" w:sz="4" w:space="1" w:color="auto"/>
          <w:right w:val="single" w:sz="4" w:space="4" w:color="auto"/>
        </w:pBdr>
        <w:rPr>
          <w:b/>
          <w:bCs/>
          <w:sz w:val="20"/>
          <w:u w:val="single"/>
        </w:rPr>
      </w:pPr>
      <w:r>
        <w:rPr>
          <w:b/>
          <w:bCs/>
          <w:sz w:val="20"/>
          <w:u w:val="single"/>
        </w:rPr>
        <w:t>CAN RATE SEPARATELY</w:t>
      </w:r>
    </w:p>
    <w:p w:rsidR="00D275EA" w:rsidRDefault="00D275EA" w:rsidP="00D275EA">
      <w:pPr>
        <w:widowControl w:val="0"/>
        <w:pBdr>
          <w:top w:val="single" w:sz="4" w:space="1" w:color="auto"/>
          <w:left w:val="single" w:sz="4" w:space="4" w:color="auto"/>
          <w:bottom w:val="single" w:sz="4" w:space="1" w:color="auto"/>
          <w:right w:val="single" w:sz="4" w:space="4" w:color="auto"/>
        </w:pBdr>
      </w:pPr>
      <w:r>
        <w:t xml:space="preserve">Neoplasms, malignant or benign (6819 &amp; 6820), </w:t>
      </w:r>
      <w:r>
        <w:rPr>
          <w:i/>
          <w:iCs/>
        </w:rPr>
        <w:t>but they will not be combined with each other or with 6600-6817 and 6822-6847 if there is lung or pleural involvement</w:t>
      </w:r>
    </w:p>
    <w:p w:rsidR="00D275EA" w:rsidRDefault="00D275EA" w:rsidP="00D275EA">
      <w:pPr>
        <w:widowControl w:val="0"/>
        <w:numPr>
          <w:ilvl w:val="12"/>
          <w:numId w:val="0"/>
        </w:numPr>
      </w:pPr>
    </w:p>
    <w:p w:rsidR="00D275EA" w:rsidRDefault="00D275EA" w:rsidP="00D275EA">
      <w:pPr>
        <w:pStyle w:val="Heading1"/>
        <w:keepNext w:val="0"/>
        <w:widowControl w:val="0"/>
        <w:numPr>
          <w:ilvl w:val="12"/>
          <w:numId w:val="0"/>
        </w:numPr>
        <w:rPr>
          <w:b/>
          <w:bCs/>
          <w:i w:val="0"/>
          <w:iCs w:val="0"/>
          <w:sz w:val="20"/>
        </w:rPr>
      </w:pPr>
      <w:r>
        <w:rPr>
          <w:b/>
          <w:bCs/>
          <w:i w:val="0"/>
          <w:iCs w:val="0"/>
          <w:sz w:val="20"/>
        </w:rPr>
        <w:t>DISEASES OF THE NOSE AND THROAT</w:t>
      </w:r>
    </w:p>
    <w:p w:rsidR="00D275EA" w:rsidRPr="007B4F52" w:rsidRDefault="00D275EA" w:rsidP="00D275EA">
      <w:pPr>
        <w:widowControl w:val="0"/>
        <w:numPr>
          <w:ilvl w:val="12"/>
          <w:numId w:val="0"/>
        </w:numPr>
        <w:rPr>
          <w:rFonts w:ascii="Verdana" w:hAnsi="Verdana"/>
          <w:sz w:val="18"/>
        </w:rPr>
      </w:pPr>
      <w:r>
        <w:t xml:space="preserve">6502 </w:t>
      </w:r>
      <w:r>
        <w:tab/>
        <w:t xml:space="preserve">Septum, nasal, deviation of – </w:t>
      </w:r>
      <w:r w:rsidRPr="007B4F52">
        <w:rPr>
          <w:b/>
        </w:rPr>
        <w:t>III.iv.4.</w:t>
      </w:r>
      <w:r w:rsidR="009E2330">
        <w:rPr>
          <w:b/>
        </w:rPr>
        <w:t>F</w:t>
      </w:r>
      <w:r w:rsidRPr="007B4F52">
        <w:rPr>
          <w:b/>
        </w:rPr>
        <w:t>.</w:t>
      </w:r>
      <w:r w:rsidR="009E2330">
        <w:rPr>
          <w:b/>
        </w:rPr>
        <w:t>7.a</w:t>
      </w:r>
      <w:r w:rsidRPr="007B4F52">
        <w:t xml:space="preserve"> says </w:t>
      </w:r>
      <w:r w:rsidRPr="007B4F52">
        <w:rPr>
          <w:i/>
        </w:rPr>
        <w:t>only if</w:t>
      </w:r>
      <w:r>
        <w:rPr>
          <w:i/>
        </w:rPr>
        <w:t xml:space="preserve"> a result of trauma, 10% is highest</w:t>
      </w:r>
    </w:p>
    <w:p w:rsidR="00D275EA" w:rsidRDefault="00D275EA" w:rsidP="00D275EA">
      <w:pPr>
        <w:widowControl w:val="0"/>
        <w:numPr>
          <w:ilvl w:val="12"/>
          <w:numId w:val="0"/>
        </w:numPr>
        <w:tabs>
          <w:tab w:val="left" w:pos="720"/>
          <w:tab w:val="left" w:pos="9417"/>
        </w:tabs>
        <w:ind w:left="720" w:hanging="720"/>
      </w:pPr>
      <w:r>
        <w:t xml:space="preserve">6510, 6511, 6512, 6513, 6514 – </w:t>
      </w:r>
      <w:r w:rsidR="009E2330">
        <w:rPr>
          <w:b/>
        </w:rPr>
        <w:t>III.iv.4.F.7.b</w:t>
      </w:r>
      <w:r>
        <w:t xml:space="preserve"> – can give 50% based on 4.7 without radical/repeated surgery if other criteria are met</w:t>
      </w:r>
    </w:p>
    <w:p w:rsidR="00D275EA" w:rsidRDefault="00D275EA" w:rsidP="00D275EA">
      <w:pPr>
        <w:widowControl w:val="0"/>
        <w:numPr>
          <w:ilvl w:val="12"/>
          <w:numId w:val="0"/>
        </w:numPr>
        <w:tabs>
          <w:tab w:val="left" w:pos="720"/>
          <w:tab w:val="left" w:pos="9417"/>
        </w:tabs>
        <w:ind w:left="720" w:hanging="720"/>
        <w:rPr>
          <w:color w:val="FF0000"/>
        </w:rPr>
      </w:pPr>
      <w:r>
        <w:t>6515</w:t>
      </w:r>
      <w:r>
        <w:tab/>
        <w:t>Laryngitis, tuberculosis, active or inactive</w:t>
      </w:r>
    </w:p>
    <w:p w:rsidR="00D275EA" w:rsidRDefault="00D275EA" w:rsidP="00D275EA">
      <w:pPr>
        <w:widowControl w:val="0"/>
        <w:numPr>
          <w:ilvl w:val="12"/>
          <w:numId w:val="0"/>
        </w:numPr>
      </w:pPr>
      <w:r>
        <w:t>6516</w:t>
      </w:r>
      <w:r>
        <w:tab/>
        <w:t xml:space="preserve">Laryngitis, chronic – </w:t>
      </w:r>
      <w:r>
        <w:rPr>
          <w:i/>
          <w:color w:val="008080"/>
        </w:rPr>
        <w:t>Mustard Gas presumptive under 3.316</w:t>
      </w:r>
    </w:p>
    <w:p w:rsidR="00A76FED" w:rsidRDefault="00D275EA" w:rsidP="00D275EA">
      <w:pPr>
        <w:widowControl w:val="0"/>
        <w:spacing w:after="120"/>
        <w:ind w:left="706" w:hanging="706"/>
      </w:pPr>
      <w:r>
        <w:t>6522</w:t>
      </w:r>
      <w:r>
        <w:tab/>
        <w:t>Allergic or vasomotor rhinitis –</w:t>
      </w:r>
      <w:r w:rsidR="00A76FED">
        <w:t xml:space="preserve"> </w:t>
      </w:r>
      <w:r>
        <w:t xml:space="preserve"> was added 10/7/96 </w:t>
      </w:r>
    </w:p>
    <w:p w:rsidR="00A76FED" w:rsidRPr="00A76FED" w:rsidRDefault="00A76FED" w:rsidP="00F063AF">
      <w:pPr>
        <w:pStyle w:val="ListParagraph"/>
        <w:widowControl w:val="0"/>
        <w:numPr>
          <w:ilvl w:val="0"/>
          <w:numId w:val="408"/>
        </w:numPr>
        <w:spacing w:after="120"/>
        <w:ind w:left="1080"/>
        <w:rPr>
          <w:rFonts w:ascii="Arial" w:hAnsi="Arial"/>
          <w:b/>
          <w:sz w:val="18"/>
          <w:szCs w:val="20"/>
        </w:rPr>
      </w:pPr>
      <w:r w:rsidRPr="00A76FED">
        <w:rPr>
          <w:rFonts w:ascii="Arial" w:hAnsi="Arial"/>
          <w:b/>
          <w:sz w:val="20"/>
        </w:rPr>
        <w:t>3.380</w:t>
      </w:r>
    </w:p>
    <w:p w:rsidR="00D275EA" w:rsidRPr="00A76FED" w:rsidRDefault="009E2330" w:rsidP="00F063AF">
      <w:pPr>
        <w:pStyle w:val="ListParagraph"/>
        <w:widowControl w:val="0"/>
        <w:numPr>
          <w:ilvl w:val="0"/>
          <w:numId w:val="408"/>
        </w:numPr>
        <w:spacing w:after="120"/>
        <w:ind w:left="1080"/>
        <w:rPr>
          <w:rFonts w:ascii="Arial" w:hAnsi="Arial"/>
          <w:sz w:val="20"/>
          <w:szCs w:val="20"/>
        </w:rPr>
      </w:pPr>
      <w:r w:rsidRPr="00A76FED">
        <w:rPr>
          <w:rFonts w:ascii="Arial" w:hAnsi="Arial"/>
          <w:b/>
          <w:sz w:val="20"/>
          <w:szCs w:val="20"/>
          <w:lang w:val="en"/>
        </w:rPr>
        <w:t>III.iv.4.F.7.c</w:t>
      </w:r>
      <w:r w:rsidR="00C1445C" w:rsidRPr="00A76FED">
        <w:rPr>
          <w:rFonts w:ascii="Arial" w:hAnsi="Arial"/>
          <w:b/>
          <w:sz w:val="20"/>
          <w:szCs w:val="20"/>
          <w:lang w:val="en"/>
        </w:rPr>
        <w:t xml:space="preserve"> </w:t>
      </w:r>
      <w:r w:rsidR="00C1445C" w:rsidRPr="00A76FED">
        <w:rPr>
          <w:rFonts w:ascii="Arial" w:hAnsi="Arial"/>
          <w:sz w:val="20"/>
          <w:szCs w:val="20"/>
          <w:lang w:val="en"/>
        </w:rPr>
        <w:t>&amp;</w:t>
      </w:r>
      <w:r w:rsidR="00C1445C" w:rsidRPr="00A76FED">
        <w:rPr>
          <w:rFonts w:ascii="Arial" w:hAnsi="Arial"/>
          <w:b/>
          <w:sz w:val="20"/>
          <w:szCs w:val="20"/>
          <w:lang w:val="en"/>
        </w:rPr>
        <w:t xml:space="preserve"> III.iv.6.B.1.c </w:t>
      </w:r>
      <w:r w:rsidR="00D275EA" w:rsidRPr="00A76FED">
        <w:rPr>
          <w:rFonts w:ascii="Arial" w:hAnsi="Arial"/>
          <w:b/>
          <w:sz w:val="20"/>
          <w:szCs w:val="20"/>
          <w:lang w:val="en"/>
        </w:rPr>
        <w:t xml:space="preserve">– </w:t>
      </w:r>
      <w:r w:rsidR="00D275EA" w:rsidRPr="00A76FED">
        <w:rPr>
          <w:rFonts w:ascii="Arial" w:hAnsi="Arial"/>
          <w:sz w:val="20"/>
          <w:szCs w:val="20"/>
          <w:lang w:val="en"/>
        </w:rPr>
        <w:t xml:space="preserve">allergic rhinitis is “within the scope” </w:t>
      </w:r>
      <w:r w:rsidR="00D275EA" w:rsidRPr="00A76FED">
        <w:rPr>
          <w:rFonts w:ascii="Arial" w:hAnsi="Arial"/>
          <w:sz w:val="20"/>
          <w:szCs w:val="20"/>
        </w:rPr>
        <w:t>(formerly “reasonably raised,” formerly “sympathetic”)</w:t>
      </w:r>
      <w:r w:rsidR="00D275EA" w:rsidRPr="00A76FED">
        <w:rPr>
          <w:rFonts w:ascii="Arial" w:hAnsi="Arial"/>
          <w:sz w:val="20"/>
          <w:szCs w:val="20"/>
          <w:lang w:val="en"/>
        </w:rPr>
        <w:t xml:space="preserve"> of sinusitis claim</w:t>
      </w:r>
    </w:p>
    <w:p w:rsidR="00A76FED" w:rsidRPr="00A76FED" w:rsidRDefault="00A76FED" w:rsidP="00F063AF">
      <w:pPr>
        <w:pStyle w:val="ListParagraph"/>
        <w:widowControl w:val="0"/>
        <w:numPr>
          <w:ilvl w:val="0"/>
          <w:numId w:val="408"/>
        </w:numPr>
        <w:spacing w:after="120"/>
        <w:ind w:left="1080"/>
        <w:rPr>
          <w:rFonts w:ascii="Arial" w:hAnsi="Arial"/>
          <w:sz w:val="20"/>
          <w:szCs w:val="20"/>
        </w:rPr>
      </w:pPr>
      <w:r w:rsidRPr="00A76FED">
        <w:rPr>
          <w:rFonts w:ascii="Arial" w:hAnsi="Arial"/>
          <w:b/>
          <w:sz w:val="20"/>
          <w:szCs w:val="20"/>
        </w:rPr>
        <w:t>III.iv.4.F.7.d</w:t>
      </w:r>
    </w:p>
    <w:p w:rsidR="00D275EA" w:rsidRDefault="00D275EA" w:rsidP="00D275EA">
      <w:pPr>
        <w:widowControl w:val="0"/>
        <w:numPr>
          <w:ilvl w:val="12"/>
          <w:numId w:val="0"/>
        </w:numPr>
        <w:rPr>
          <w:i/>
        </w:rPr>
      </w:pPr>
    </w:p>
    <w:p w:rsidR="00D275EA" w:rsidRDefault="00D275EA" w:rsidP="00D275EA">
      <w:pPr>
        <w:widowControl w:val="0"/>
        <w:numPr>
          <w:ilvl w:val="12"/>
          <w:numId w:val="0"/>
        </w:numPr>
        <w:rPr>
          <w:i/>
        </w:rPr>
      </w:pPr>
      <w:r>
        <w:rPr>
          <w:i/>
        </w:rPr>
        <w:t>loss of tongue goes under 7202</w:t>
      </w:r>
      <w:r w:rsidR="00A76FED">
        <w:rPr>
          <w:i/>
        </w:rPr>
        <w:t>,</w:t>
      </w:r>
      <w:r>
        <w:rPr>
          <w:i/>
        </w:rPr>
        <w:t xml:space="preserve"> not 6519</w:t>
      </w:r>
    </w:p>
    <w:p w:rsidR="00D275EA" w:rsidRDefault="00D275EA" w:rsidP="00D275EA">
      <w:pPr>
        <w:widowControl w:val="0"/>
        <w:numPr>
          <w:ilvl w:val="12"/>
          <w:numId w:val="0"/>
        </w:numPr>
        <w:rPr>
          <w:i/>
        </w:rPr>
      </w:pPr>
    </w:p>
    <w:p w:rsidR="00D275EA" w:rsidRDefault="00D275EA" w:rsidP="00D275EA">
      <w:pPr>
        <w:pStyle w:val="Heading1"/>
        <w:keepNext w:val="0"/>
        <w:widowControl w:val="0"/>
        <w:numPr>
          <w:ilvl w:val="12"/>
          <w:numId w:val="0"/>
        </w:numPr>
        <w:spacing w:after="120"/>
        <w:rPr>
          <w:b/>
          <w:bCs/>
          <w:i w:val="0"/>
          <w:iCs w:val="0"/>
          <w:sz w:val="20"/>
        </w:rPr>
      </w:pPr>
      <w:r>
        <w:rPr>
          <w:b/>
          <w:bCs/>
          <w:i w:val="0"/>
          <w:iCs w:val="0"/>
          <w:sz w:val="20"/>
        </w:rPr>
        <w:t>DISEASES OF THE TRACHEA AND BRONCHI</w:t>
      </w:r>
    </w:p>
    <w:p w:rsidR="00D275EA" w:rsidRDefault="00D275EA" w:rsidP="00D275EA">
      <w:pPr>
        <w:widowControl w:val="0"/>
        <w:numPr>
          <w:ilvl w:val="12"/>
          <w:numId w:val="0"/>
        </w:numPr>
        <w:spacing w:after="120"/>
      </w:pPr>
      <w:r>
        <w:t>6600</w:t>
      </w:r>
      <w:r>
        <w:tab/>
        <w:t>Bronchitis, chronic –</w:t>
      </w:r>
      <w:r>
        <w:rPr>
          <w:i/>
          <w:color w:val="008080"/>
        </w:rPr>
        <w:t xml:space="preserve"> Mustard Gas presumptive under 3.316</w:t>
      </w:r>
    </w:p>
    <w:p w:rsidR="00D275EA" w:rsidRDefault="00D275EA" w:rsidP="00D275EA">
      <w:pPr>
        <w:widowControl w:val="0"/>
        <w:numPr>
          <w:ilvl w:val="12"/>
          <w:numId w:val="0"/>
        </w:numPr>
        <w:spacing w:after="120"/>
        <w:rPr>
          <w:i/>
        </w:rPr>
      </w:pPr>
      <w:r>
        <w:rPr>
          <w:color w:val="FF0000"/>
        </w:rPr>
        <w:t>6601</w:t>
      </w:r>
      <w:r>
        <w:rPr>
          <w:color w:val="FF0000"/>
        </w:rPr>
        <w:tab/>
        <w:t>Bronchiectasis</w:t>
      </w:r>
      <w:r>
        <w:t xml:space="preserve"> </w:t>
      </w:r>
      <w:r>
        <w:rPr>
          <w:i/>
        </w:rPr>
        <w:t xml:space="preserve">– </w:t>
      </w:r>
      <w:r>
        <w:rPr>
          <w:i/>
          <w:iCs/>
        </w:rPr>
        <w:t>4.96(d) does not apply to 6601</w:t>
      </w:r>
    </w:p>
    <w:p w:rsidR="00D275EA" w:rsidRDefault="00D275EA" w:rsidP="00D275EA">
      <w:pPr>
        <w:widowControl w:val="0"/>
        <w:numPr>
          <w:ilvl w:val="12"/>
          <w:numId w:val="0"/>
        </w:numPr>
        <w:spacing w:after="120"/>
        <w:rPr>
          <w:i/>
          <w:color w:val="008080"/>
        </w:rPr>
      </w:pPr>
      <w:r>
        <w:t>6602</w:t>
      </w:r>
      <w:r>
        <w:tab/>
        <w:t xml:space="preserve">Asthma, bronchial – </w:t>
      </w:r>
      <w:r>
        <w:rPr>
          <w:i/>
          <w:iCs/>
        </w:rPr>
        <w:t>4.96(d) does not apply to 6602,</w:t>
      </w:r>
      <w:r>
        <w:rPr>
          <w:i/>
          <w:color w:val="008080"/>
        </w:rPr>
        <w:t xml:space="preserve"> Mustard Gas presumptive under 3.316</w:t>
      </w:r>
    </w:p>
    <w:p w:rsidR="00A76FED" w:rsidRPr="00A76FED" w:rsidRDefault="00A76FED" w:rsidP="00F063AF">
      <w:pPr>
        <w:pStyle w:val="ListParagraph"/>
        <w:widowControl w:val="0"/>
        <w:numPr>
          <w:ilvl w:val="0"/>
          <w:numId w:val="408"/>
        </w:numPr>
        <w:spacing w:after="120"/>
        <w:ind w:left="1080"/>
        <w:rPr>
          <w:rFonts w:ascii="Arial" w:hAnsi="Arial"/>
          <w:b/>
          <w:sz w:val="18"/>
          <w:szCs w:val="20"/>
        </w:rPr>
      </w:pPr>
      <w:r w:rsidRPr="00A76FED">
        <w:rPr>
          <w:rFonts w:ascii="Arial" w:hAnsi="Arial"/>
          <w:b/>
          <w:sz w:val="20"/>
        </w:rPr>
        <w:t>3.380</w:t>
      </w:r>
    </w:p>
    <w:p w:rsidR="00D275EA" w:rsidRDefault="00D275EA" w:rsidP="00D275EA">
      <w:pPr>
        <w:widowControl w:val="0"/>
        <w:numPr>
          <w:ilvl w:val="12"/>
          <w:numId w:val="0"/>
        </w:numPr>
        <w:tabs>
          <w:tab w:val="left" w:pos="600"/>
          <w:tab w:val="left" w:pos="700"/>
        </w:tabs>
        <w:spacing w:after="120"/>
        <w:ind w:left="706"/>
        <w:rPr>
          <w:b/>
          <w:u w:val="single"/>
        </w:rPr>
      </w:pPr>
      <w:r>
        <w:rPr>
          <w:b/>
          <w:u w:val="single"/>
        </w:rPr>
        <w:t>COMMON ASTHMA MEDICATIONS</w:t>
      </w:r>
      <w:r w:rsidRPr="00945F16">
        <w:rPr>
          <w:b/>
          <w:bCs/>
        </w:rPr>
        <w:t>:</w:t>
      </w:r>
    </w:p>
    <w:p w:rsidR="00D275EA" w:rsidRPr="00F4570C" w:rsidRDefault="00D275EA" w:rsidP="00D275EA">
      <w:pPr>
        <w:widowControl w:val="0"/>
        <w:spacing w:after="120"/>
        <w:ind w:left="706"/>
        <w:rPr>
          <w:u w:val="single"/>
        </w:rPr>
      </w:pPr>
      <w:r w:rsidRPr="00F4570C">
        <w:rPr>
          <w:i/>
          <w:iCs/>
          <w:u w:val="single"/>
        </w:rPr>
        <w:t>inhalational anti-inflammatory medications (</w:t>
      </w:r>
      <w:r w:rsidRPr="00F4570C">
        <w:rPr>
          <w:i/>
          <w:color w:val="00B050"/>
          <w:u w:val="single"/>
        </w:rPr>
        <w:t xml:space="preserve">My Notes:  </w:t>
      </w:r>
      <w:r w:rsidRPr="00F90671">
        <w:rPr>
          <w:i/>
          <w:iCs/>
          <w:u w:val="single"/>
        </w:rPr>
        <w:t>usually called steroid/corticosteroid</w:t>
      </w:r>
      <w:r w:rsidRPr="00F4570C">
        <w:rPr>
          <w:i/>
          <w:iCs/>
          <w:u w:val="single"/>
        </w:rPr>
        <w:t>) that warrant a 30%:</w:t>
      </w:r>
    </w:p>
    <w:p w:rsidR="00D275EA" w:rsidRPr="00F90671" w:rsidRDefault="00D275EA" w:rsidP="00F063AF">
      <w:pPr>
        <w:pStyle w:val="ListParagraph"/>
        <w:widowControl w:val="0"/>
        <w:numPr>
          <w:ilvl w:val="0"/>
          <w:numId w:val="336"/>
        </w:numPr>
        <w:spacing w:after="0" w:line="240" w:lineRule="auto"/>
        <w:ind w:left="1080"/>
        <w:rPr>
          <w:rFonts w:ascii="Arial" w:hAnsi="Arial"/>
          <w:i/>
          <w:sz w:val="20"/>
        </w:rPr>
      </w:pPr>
      <w:r w:rsidRPr="00F4570C">
        <w:rPr>
          <w:rFonts w:ascii="Arial" w:hAnsi="Arial"/>
          <w:sz w:val="20"/>
        </w:rPr>
        <w:t xml:space="preserve">Advair- inhalation corticosteroid </w:t>
      </w:r>
      <w:r w:rsidRPr="00F4570C">
        <w:rPr>
          <w:rFonts w:ascii="Arial" w:hAnsi="Arial"/>
          <w:i/>
          <w:sz w:val="20"/>
        </w:rPr>
        <w:t>(</w:t>
      </w:r>
      <w:r w:rsidRPr="00F4570C">
        <w:rPr>
          <w:rFonts w:ascii="Arial" w:hAnsi="Arial"/>
          <w:i/>
          <w:color w:val="00B050"/>
          <w:sz w:val="20"/>
        </w:rPr>
        <w:t xml:space="preserve">My Notes:  </w:t>
      </w:r>
      <w:r w:rsidRPr="00F90671">
        <w:rPr>
          <w:rFonts w:ascii="Arial" w:hAnsi="Arial"/>
          <w:i/>
          <w:sz w:val="20"/>
        </w:rPr>
        <w:t>Advair is the brand name for fluticasone combined with salmeterol)</w:t>
      </w:r>
    </w:p>
    <w:p w:rsidR="00D275EA" w:rsidRPr="00F4570C" w:rsidRDefault="00D275EA" w:rsidP="00F063AF">
      <w:pPr>
        <w:pStyle w:val="ListParagraph"/>
        <w:widowControl w:val="0"/>
        <w:numPr>
          <w:ilvl w:val="0"/>
          <w:numId w:val="336"/>
        </w:numPr>
        <w:spacing w:after="0" w:line="240" w:lineRule="auto"/>
        <w:ind w:left="1080"/>
        <w:rPr>
          <w:rFonts w:ascii="Arial" w:hAnsi="Arial"/>
          <w:sz w:val="20"/>
        </w:rPr>
      </w:pPr>
      <w:r w:rsidRPr="00F4570C">
        <w:rPr>
          <w:rFonts w:ascii="Arial" w:hAnsi="Arial"/>
          <w:sz w:val="20"/>
        </w:rPr>
        <w:t>Azmacort- inhalation corticosteroid</w:t>
      </w:r>
    </w:p>
    <w:p w:rsidR="00D275EA" w:rsidRPr="00F90671" w:rsidRDefault="00D275EA" w:rsidP="00F063AF">
      <w:pPr>
        <w:pStyle w:val="ListParagraph"/>
        <w:widowControl w:val="0"/>
        <w:numPr>
          <w:ilvl w:val="0"/>
          <w:numId w:val="336"/>
        </w:numPr>
        <w:spacing w:after="0" w:line="240" w:lineRule="auto"/>
        <w:ind w:left="1080"/>
        <w:rPr>
          <w:rFonts w:ascii="Arial" w:hAnsi="Arial"/>
          <w:i/>
          <w:sz w:val="20"/>
        </w:rPr>
      </w:pPr>
      <w:r w:rsidRPr="00F4570C">
        <w:rPr>
          <w:rFonts w:ascii="Arial" w:hAnsi="Arial"/>
          <w:sz w:val="20"/>
        </w:rPr>
        <w:t xml:space="preserve">Flovent- inhalation corticosteroid </w:t>
      </w:r>
      <w:r w:rsidRPr="00F4570C">
        <w:rPr>
          <w:rFonts w:ascii="Arial" w:hAnsi="Arial"/>
          <w:i/>
          <w:sz w:val="20"/>
        </w:rPr>
        <w:t>(</w:t>
      </w:r>
      <w:r w:rsidRPr="00F4570C">
        <w:rPr>
          <w:rFonts w:ascii="Arial" w:hAnsi="Arial"/>
          <w:i/>
          <w:color w:val="00B050"/>
          <w:sz w:val="20"/>
        </w:rPr>
        <w:t xml:space="preserve">My Notes:  </w:t>
      </w:r>
      <w:r w:rsidRPr="00F90671">
        <w:rPr>
          <w:rFonts w:ascii="Arial" w:hAnsi="Arial"/>
          <w:i/>
          <w:sz w:val="20"/>
        </w:rPr>
        <w:t>fluticasone)</w:t>
      </w:r>
    </w:p>
    <w:p w:rsidR="00D275EA" w:rsidRPr="00F4570C" w:rsidRDefault="00D275EA" w:rsidP="00F063AF">
      <w:pPr>
        <w:pStyle w:val="ListParagraph"/>
        <w:widowControl w:val="0"/>
        <w:numPr>
          <w:ilvl w:val="0"/>
          <w:numId w:val="336"/>
        </w:numPr>
        <w:ind w:left="1080"/>
        <w:rPr>
          <w:rFonts w:ascii="Arial" w:hAnsi="Arial"/>
          <w:sz w:val="20"/>
        </w:rPr>
      </w:pPr>
      <w:r w:rsidRPr="00F4570C">
        <w:rPr>
          <w:rFonts w:ascii="Arial" w:hAnsi="Arial"/>
          <w:sz w:val="20"/>
        </w:rPr>
        <w:t xml:space="preserve">Flunisolide- inhalation corticosteroid </w:t>
      </w:r>
      <w:r w:rsidRPr="00F4570C">
        <w:rPr>
          <w:rFonts w:ascii="Arial" w:hAnsi="Arial"/>
          <w:i/>
          <w:sz w:val="20"/>
        </w:rPr>
        <w:t>(</w:t>
      </w:r>
      <w:r w:rsidRPr="00F4570C">
        <w:rPr>
          <w:rFonts w:ascii="Arial" w:hAnsi="Arial"/>
          <w:i/>
          <w:color w:val="00B050"/>
          <w:sz w:val="20"/>
        </w:rPr>
        <w:t xml:space="preserve">My Notes:  </w:t>
      </w:r>
      <w:r w:rsidRPr="00F90671">
        <w:rPr>
          <w:rFonts w:ascii="Arial" w:hAnsi="Arial"/>
          <w:i/>
          <w:sz w:val="20"/>
        </w:rPr>
        <w:t>brand name Aerospan</w:t>
      </w:r>
      <w:r w:rsidRPr="00F4570C">
        <w:rPr>
          <w:rFonts w:ascii="Arial" w:hAnsi="Arial"/>
          <w:i/>
          <w:sz w:val="20"/>
        </w:rPr>
        <w:t>)</w:t>
      </w:r>
    </w:p>
    <w:p w:rsidR="00D275EA" w:rsidRPr="00F4570C" w:rsidRDefault="00D275EA" w:rsidP="00D275EA">
      <w:pPr>
        <w:widowControl w:val="0"/>
        <w:ind w:left="700"/>
        <w:rPr>
          <w:i/>
          <w:color w:val="00B050"/>
        </w:rPr>
      </w:pPr>
      <w:r w:rsidRPr="00F4570C">
        <w:rPr>
          <w:i/>
          <w:color w:val="00B050"/>
        </w:rPr>
        <w:t xml:space="preserve">My Notes:  </w:t>
      </w:r>
    </w:p>
    <w:p w:rsidR="00D275EA" w:rsidRPr="00116FEA" w:rsidRDefault="00D275EA" w:rsidP="00F063AF">
      <w:pPr>
        <w:pStyle w:val="ListParagraph"/>
        <w:widowControl w:val="0"/>
        <w:numPr>
          <w:ilvl w:val="0"/>
          <w:numId w:val="337"/>
        </w:numPr>
        <w:spacing w:after="0" w:line="240" w:lineRule="auto"/>
        <w:ind w:left="1080"/>
        <w:rPr>
          <w:rFonts w:ascii="Arial" w:hAnsi="Arial"/>
          <w:sz w:val="20"/>
        </w:rPr>
      </w:pPr>
      <w:r w:rsidRPr="00116FEA">
        <w:rPr>
          <w:rFonts w:ascii="Arial" w:hAnsi="Arial"/>
          <w:sz w:val="20"/>
        </w:rPr>
        <w:t>beclomethasone (inhaled corticosteroid, brand name QVAR)</w:t>
      </w:r>
    </w:p>
    <w:p w:rsidR="00D275EA" w:rsidRPr="00116FEA" w:rsidRDefault="00D275EA" w:rsidP="00F063AF">
      <w:pPr>
        <w:pStyle w:val="ListParagraph"/>
        <w:widowControl w:val="0"/>
        <w:numPr>
          <w:ilvl w:val="0"/>
          <w:numId w:val="337"/>
        </w:numPr>
        <w:spacing w:after="0" w:line="240" w:lineRule="auto"/>
        <w:ind w:left="1080"/>
        <w:rPr>
          <w:rFonts w:ascii="Arial" w:hAnsi="Arial"/>
          <w:sz w:val="20"/>
        </w:rPr>
      </w:pPr>
      <w:r w:rsidRPr="00116FEA">
        <w:rPr>
          <w:rFonts w:ascii="Arial" w:hAnsi="Arial"/>
          <w:sz w:val="20"/>
        </w:rPr>
        <w:t>budesonide (inhaled corticosteroid, brand name Pulmicort; Symbicort is the brand name for budesonide combined with with formoterol)</w:t>
      </w:r>
    </w:p>
    <w:p w:rsidR="00D275EA" w:rsidRPr="00116FEA" w:rsidRDefault="00D275EA" w:rsidP="00F063AF">
      <w:pPr>
        <w:pStyle w:val="ListParagraph"/>
        <w:widowControl w:val="0"/>
        <w:numPr>
          <w:ilvl w:val="0"/>
          <w:numId w:val="337"/>
        </w:numPr>
        <w:spacing w:after="0" w:line="240" w:lineRule="auto"/>
        <w:ind w:left="1080"/>
        <w:rPr>
          <w:rFonts w:ascii="Arial" w:hAnsi="Arial"/>
          <w:sz w:val="20"/>
        </w:rPr>
      </w:pPr>
      <w:r w:rsidRPr="00116FEA">
        <w:rPr>
          <w:rFonts w:ascii="Arial" w:hAnsi="Arial"/>
          <w:sz w:val="20"/>
        </w:rPr>
        <w:t>ciclesonide (inhaled corticosteroid, brand name Alvesco)</w:t>
      </w:r>
    </w:p>
    <w:p w:rsidR="00D275EA" w:rsidRPr="00116FEA" w:rsidRDefault="00D275EA" w:rsidP="00F063AF">
      <w:pPr>
        <w:pStyle w:val="ListParagraph"/>
        <w:widowControl w:val="0"/>
        <w:numPr>
          <w:ilvl w:val="0"/>
          <w:numId w:val="337"/>
        </w:numPr>
        <w:spacing w:after="120" w:line="240" w:lineRule="auto"/>
        <w:ind w:left="1080"/>
        <w:rPr>
          <w:rFonts w:ascii="Arial" w:hAnsi="Arial"/>
          <w:sz w:val="20"/>
        </w:rPr>
      </w:pPr>
      <w:r w:rsidRPr="00116FEA">
        <w:rPr>
          <w:rFonts w:ascii="Arial" w:hAnsi="Arial"/>
          <w:sz w:val="20"/>
        </w:rPr>
        <w:t>mometasone furoate (inhaled corticosteroid, brand names Asmanex &amp; Twisthaler; Dulera is the brand name for mometasone combined with fomoterol)</w:t>
      </w:r>
    </w:p>
    <w:p w:rsidR="00D275EA" w:rsidRPr="00F4570C" w:rsidRDefault="00D275EA" w:rsidP="00D275EA">
      <w:pPr>
        <w:widowControl w:val="0"/>
        <w:ind w:left="700"/>
        <w:rPr>
          <w:sz w:val="18"/>
        </w:rPr>
      </w:pPr>
    </w:p>
    <w:p w:rsidR="00D275EA" w:rsidRPr="00F4570C" w:rsidRDefault="00D275EA" w:rsidP="00D275EA">
      <w:pPr>
        <w:widowControl w:val="0"/>
        <w:spacing w:after="120"/>
        <w:ind w:left="706"/>
        <w:rPr>
          <w:i/>
          <w:iCs/>
          <w:u w:val="single"/>
        </w:rPr>
      </w:pPr>
      <w:r w:rsidRPr="00F4570C">
        <w:rPr>
          <w:i/>
          <w:iCs/>
          <w:u w:val="single"/>
        </w:rPr>
        <w:t>inhalational or oral bronchodilator therapy (intermittent use warrants a 10% and daily use warrants a 30%):</w:t>
      </w:r>
    </w:p>
    <w:p w:rsidR="00D275EA" w:rsidRPr="00F4570C" w:rsidRDefault="00D275EA" w:rsidP="00F063AF">
      <w:pPr>
        <w:pStyle w:val="ListParagraph"/>
        <w:widowControl w:val="0"/>
        <w:numPr>
          <w:ilvl w:val="0"/>
          <w:numId w:val="338"/>
        </w:numPr>
        <w:spacing w:after="0" w:line="240" w:lineRule="auto"/>
        <w:ind w:left="1080"/>
        <w:rPr>
          <w:rFonts w:ascii="Arial" w:hAnsi="Arial"/>
          <w:sz w:val="20"/>
        </w:rPr>
      </w:pPr>
      <w:r w:rsidRPr="00F4570C">
        <w:rPr>
          <w:rFonts w:ascii="Arial" w:hAnsi="Arial"/>
          <w:sz w:val="20"/>
        </w:rPr>
        <w:t>Albuterol- bronchodilator</w:t>
      </w:r>
    </w:p>
    <w:p w:rsidR="00D275EA" w:rsidRPr="00F4570C" w:rsidRDefault="00D275EA" w:rsidP="00F063AF">
      <w:pPr>
        <w:pStyle w:val="ListParagraph"/>
        <w:widowControl w:val="0"/>
        <w:numPr>
          <w:ilvl w:val="0"/>
          <w:numId w:val="338"/>
        </w:numPr>
        <w:spacing w:after="0" w:line="240" w:lineRule="auto"/>
        <w:ind w:left="1080"/>
        <w:rPr>
          <w:rFonts w:ascii="Arial" w:hAnsi="Arial"/>
          <w:sz w:val="20"/>
        </w:rPr>
      </w:pPr>
      <w:r w:rsidRPr="00F4570C">
        <w:rPr>
          <w:rFonts w:ascii="Arial" w:hAnsi="Arial"/>
          <w:sz w:val="20"/>
        </w:rPr>
        <w:t>Formoterol Fumarate- bronchodilator</w:t>
      </w:r>
    </w:p>
    <w:p w:rsidR="00D275EA" w:rsidRPr="00F4570C" w:rsidRDefault="00D275EA" w:rsidP="00F063AF">
      <w:pPr>
        <w:pStyle w:val="ListParagraph"/>
        <w:widowControl w:val="0"/>
        <w:numPr>
          <w:ilvl w:val="0"/>
          <w:numId w:val="338"/>
        </w:numPr>
        <w:spacing w:after="0" w:line="240" w:lineRule="auto"/>
        <w:ind w:left="1080"/>
        <w:rPr>
          <w:rFonts w:ascii="Arial" w:hAnsi="Arial"/>
          <w:sz w:val="20"/>
        </w:rPr>
      </w:pPr>
      <w:r w:rsidRPr="00F4570C">
        <w:rPr>
          <w:rFonts w:ascii="Arial" w:hAnsi="Arial"/>
          <w:sz w:val="20"/>
        </w:rPr>
        <w:t>Salmeterol- bronchodilator</w:t>
      </w:r>
    </w:p>
    <w:p w:rsidR="00D275EA" w:rsidRPr="00F4570C" w:rsidRDefault="00D275EA" w:rsidP="00F063AF">
      <w:pPr>
        <w:pStyle w:val="ListParagraph"/>
        <w:widowControl w:val="0"/>
        <w:numPr>
          <w:ilvl w:val="0"/>
          <w:numId w:val="338"/>
        </w:numPr>
        <w:spacing w:after="0" w:line="240" w:lineRule="auto"/>
        <w:ind w:left="1080"/>
        <w:rPr>
          <w:rFonts w:ascii="Arial" w:hAnsi="Arial"/>
          <w:sz w:val="20"/>
        </w:rPr>
      </w:pPr>
      <w:r w:rsidRPr="00F4570C">
        <w:rPr>
          <w:rFonts w:ascii="Arial" w:hAnsi="Arial"/>
          <w:sz w:val="20"/>
        </w:rPr>
        <w:t>Serevent- bronchodilator</w:t>
      </w:r>
    </w:p>
    <w:p w:rsidR="00D275EA" w:rsidRPr="00F4570C" w:rsidRDefault="00D275EA" w:rsidP="00F063AF">
      <w:pPr>
        <w:pStyle w:val="ListParagraph"/>
        <w:widowControl w:val="0"/>
        <w:numPr>
          <w:ilvl w:val="0"/>
          <w:numId w:val="338"/>
        </w:numPr>
        <w:spacing w:after="120" w:line="240" w:lineRule="auto"/>
        <w:ind w:left="1080"/>
        <w:rPr>
          <w:rFonts w:ascii="Arial" w:hAnsi="Arial"/>
          <w:i/>
          <w:sz w:val="20"/>
        </w:rPr>
      </w:pPr>
      <w:r w:rsidRPr="00F4570C">
        <w:rPr>
          <w:rFonts w:ascii="Arial" w:hAnsi="Arial"/>
          <w:sz w:val="20"/>
        </w:rPr>
        <w:t xml:space="preserve">Singulair- leukotriene inhibitor </w:t>
      </w:r>
      <w:r w:rsidRPr="00F4570C">
        <w:rPr>
          <w:rFonts w:ascii="Arial" w:hAnsi="Arial"/>
          <w:i/>
          <w:sz w:val="20"/>
        </w:rPr>
        <w:t>(</w:t>
      </w:r>
      <w:r w:rsidRPr="00F4570C">
        <w:rPr>
          <w:rFonts w:ascii="Arial" w:hAnsi="Arial"/>
          <w:i/>
          <w:color w:val="00B050"/>
          <w:sz w:val="20"/>
        </w:rPr>
        <w:t xml:space="preserve">My Notes:  </w:t>
      </w:r>
      <w:r w:rsidRPr="00F90671">
        <w:rPr>
          <w:rFonts w:ascii="Arial" w:hAnsi="Arial"/>
          <w:i/>
          <w:sz w:val="20"/>
        </w:rPr>
        <w:t>montelukast</w:t>
      </w:r>
      <w:r w:rsidRPr="00F4570C">
        <w:rPr>
          <w:rFonts w:ascii="Arial" w:hAnsi="Arial"/>
          <w:i/>
          <w:sz w:val="20"/>
        </w:rPr>
        <w:t>)</w:t>
      </w:r>
    </w:p>
    <w:p w:rsidR="00D275EA" w:rsidRPr="00F4570C" w:rsidRDefault="00D275EA" w:rsidP="00D275EA">
      <w:pPr>
        <w:widowControl w:val="0"/>
        <w:ind w:left="700"/>
        <w:rPr>
          <w:sz w:val="18"/>
        </w:rPr>
      </w:pPr>
    </w:p>
    <w:p w:rsidR="00D275EA" w:rsidRPr="00F4570C" w:rsidRDefault="00D275EA" w:rsidP="00D275EA">
      <w:pPr>
        <w:widowControl w:val="0"/>
        <w:spacing w:after="120"/>
        <w:ind w:left="706"/>
        <w:rPr>
          <w:i/>
          <w:iCs/>
          <w:u w:val="single"/>
        </w:rPr>
      </w:pPr>
      <w:r w:rsidRPr="00F4570C">
        <w:rPr>
          <w:i/>
          <w:iCs/>
          <w:u w:val="single"/>
        </w:rPr>
        <w:t>systemic (oral or parenteral) corticosteroids (intermittent (at least three per year) courses warrants a 60% and daily use of high dose corticosteroids or immunosuppressive medication warrants a 100%):</w:t>
      </w:r>
    </w:p>
    <w:p w:rsidR="00D275EA" w:rsidRPr="00F4570C" w:rsidRDefault="00D275EA" w:rsidP="00F063AF">
      <w:pPr>
        <w:pStyle w:val="ListParagraph"/>
        <w:widowControl w:val="0"/>
        <w:numPr>
          <w:ilvl w:val="0"/>
          <w:numId w:val="339"/>
        </w:numPr>
        <w:spacing w:after="0" w:line="240" w:lineRule="auto"/>
        <w:ind w:left="1080"/>
        <w:rPr>
          <w:rFonts w:ascii="Arial" w:hAnsi="Arial"/>
          <w:sz w:val="20"/>
        </w:rPr>
      </w:pPr>
      <w:r w:rsidRPr="00F4570C">
        <w:rPr>
          <w:rFonts w:ascii="Arial" w:hAnsi="Arial"/>
          <w:sz w:val="20"/>
        </w:rPr>
        <w:t>Prednisone</w:t>
      </w:r>
    </w:p>
    <w:p w:rsidR="00D275EA" w:rsidRPr="00F4570C" w:rsidRDefault="00D275EA" w:rsidP="00F063AF">
      <w:pPr>
        <w:pStyle w:val="ListParagraph"/>
        <w:widowControl w:val="0"/>
        <w:numPr>
          <w:ilvl w:val="0"/>
          <w:numId w:val="339"/>
        </w:numPr>
        <w:spacing w:after="0" w:line="240" w:lineRule="auto"/>
        <w:ind w:left="1080"/>
        <w:rPr>
          <w:rFonts w:ascii="Arial" w:hAnsi="Arial"/>
          <w:sz w:val="20"/>
        </w:rPr>
      </w:pPr>
      <w:r w:rsidRPr="00F4570C">
        <w:rPr>
          <w:rFonts w:ascii="Arial" w:hAnsi="Arial"/>
          <w:sz w:val="20"/>
        </w:rPr>
        <w:t>Prednisolone</w:t>
      </w:r>
    </w:p>
    <w:p w:rsidR="00D275EA" w:rsidRPr="00F4570C" w:rsidRDefault="00D275EA" w:rsidP="00F063AF">
      <w:pPr>
        <w:pStyle w:val="ListParagraph"/>
        <w:widowControl w:val="0"/>
        <w:numPr>
          <w:ilvl w:val="0"/>
          <w:numId w:val="339"/>
        </w:numPr>
        <w:spacing w:after="0" w:line="240" w:lineRule="auto"/>
        <w:ind w:left="1080"/>
        <w:rPr>
          <w:rFonts w:ascii="Arial" w:hAnsi="Arial"/>
          <w:sz w:val="20"/>
        </w:rPr>
      </w:pPr>
      <w:r w:rsidRPr="00F4570C">
        <w:rPr>
          <w:rFonts w:ascii="Arial" w:hAnsi="Arial"/>
          <w:sz w:val="20"/>
        </w:rPr>
        <w:t>Prelone</w:t>
      </w:r>
    </w:p>
    <w:p w:rsidR="00D275EA" w:rsidRPr="00F4570C" w:rsidRDefault="00D275EA" w:rsidP="00F063AF">
      <w:pPr>
        <w:pStyle w:val="ListParagraph"/>
        <w:widowControl w:val="0"/>
        <w:numPr>
          <w:ilvl w:val="0"/>
          <w:numId w:val="339"/>
        </w:numPr>
        <w:spacing w:after="0" w:line="240" w:lineRule="auto"/>
        <w:ind w:left="1080"/>
        <w:rPr>
          <w:rFonts w:ascii="Arial" w:hAnsi="Arial"/>
          <w:sz w:val="20"/>
        </w:rPr>
      </w:pPr>
      <w:r w:rsidRPr="00F4570C">
        <w:rPr>
          <w:rFonts w:ascii="Arial" w:hAnsi="Arial"/>
          <w:sz w:val="20"/>
        </w:rPr>
        <w:t>Hydrocortisone</w:t>
      </w:r>
    </w:p>
    <w:p w:rsidR="00D275EA" w:rsidRPr="00F4570C" w:rsidRDefault="00D275EA" w:rsidP="00F063AF">
      <w:pPr>
        <w:pStyle w:val="ListParagraph"/>
        <w:widowControl w:val="0"/>
        <w:numPr>
          <w:ilvl w:val="0"/>
          <w:numId w:val="339"/>
        </w:numPr>
        <w:spacing w:after="0" w:line="240" w:lineRule="auto"/>
        <w:ind w:left="1080"/>
        <w:rPr>
          <w:rFonts w:ascii="Arial" w:hAnsi="Arial"/>
          <w:sz w:val="20"/>
        </w:rPr>
      </w:pPr>
      <w:r w:rsidRPr="00F4570C">
        <w:rPr>
          <w:rFonts w:ascii="Arial" w:hAnsi="Arial"/>
          <w:sz w:val="20"/>
        </w:rPr>
        <w:t>Betamethasone</w:t>
      </w:r>
    </w:p>
    <w:p w:rsidR="00D275EA" w:rsidRPr="00F4570C" w:rsidRDefault="00D275EA" w:rsidP="00F063AF">
      <w:pPr>
        <w:pStyle w:val="ListParagraph"/>
        <w:widowControl w:val="0"/>
        <w:numPr>
          <w:ilvl w:val="0"/>
          <w:numId w:val="339"/>
        </w:numPr>
        <w:spacing w:after="0" w:line="240" w:lineRule="auto"/>
        <w:ind w:left="1080"/>
        <w:rPr>
          <w:rFonts w:ascii="Arial" w:hAnsi="Arial"/>
          <w:sz w:val="20"/>
        </w:rPr>
      </w:pPr>
      <w:r w:rsidRPr="00F4570C">
        <w:rPr>
          <w:rFonts w:ascii="Arial" w:hAnsi="Arial"/>
          <w:sz w:val="20"/>
        </w:rPr>
        <w:t>Methylprednisolone</w:t>
      </w:r>
    </w:p>
    <w:p w:rsidR="00D275EA" w:rsidRPr="00F4570C" w:rsidRDefault="00D275EA" w:rsidP="00F063AF">
      <w:pPr>
        <w:pStyle w:val="ListParagraph"/>
        <w:widowControl w:val="0"/>
        <w:numPr>
          <w:ilvl w:val="0"/>
          <w:numId w:val="339"/>
        </w:numPr>
        <w:spacing w:after="0" w:line="240" w:lineRule="auto"/>
        <w:ind w:left="1080"/>
        <w:rPr>
          <w:rFonts w:ascii="Arial" w:hAnsi="Arial"/>
          <w:sz w:val="20"/>
        </w:rPr>
      </w:pPr>
      <w:r w:rsidRPr="00F4570C">
        <w:rPr>
          <w:rFonts w:ascii="Arial" w:hAnsi="Arial"/>
          <w:sz w:val="20"/>
        </w:rPr>
        <w:t>Medrol</w:t>
      </w:r>
    </w:p>
    <w:p w:rsidR="00D275EA" w:rsidRPr="00F4570C" w:rsidRDefault="00D275EA" w:rsidP="00F063AF">
      <w:pPr>
        <w:pStyle w:val="ListParagraph"/>
        <w:widowControl w:val="0"/>
        <w:numPr>
          <w:ilvl w:val="0"/>
          <w:numId w:val="339"/>
        </w:numPr>
        <w:spacing w:after="120" w:line="240" w:lineRule="auto"/>
        <w:ind w:left="1080"/>
        <w:rPr>
          <w:rFonts w:ascii="Arial" w:hAnsi="Arial"/>
          <w:sz w:val="20"/>
        </w:rPr>
      </w:pPr>
      <w:r w:rsidRPr="00F4570C">
        <w:rPr>
          <w:rFonts w:ascii="Arial" w:hAnsi="Arial"/>
          <w:sz w:val="20"/>
        </w:rPr>
        <w:t>Solu-medrol</w:t>
      </w:r>
    </w:p>
    <w:p w:rsidR="00D275EA" w:rsidRDefault="00D275EA" w:rsidP="00D275EA">
      <w:pPr>
        <w:widowControl w:val="0"/>
        <w:numPr>
          <w:ilvl w:val="12"/>
          <w:numId w:val="0"/>
        </w:numPr>
        <w:ind w:left="700"/>
      </w:pPr>
    </w:p>
    <w:p w:rsidR="00D275EA" w:rsidRPr="00A10FDE" w:rsidRDefault="00D275EA" w:rsidP="00F063AF">
      <w:pPr>
        <w:widowControl w:val="0"/>
        <w:numPr>
          <w:ilvl w:val="0"/>
          <w:numId w:val="143"/>
        </w:numPr>
        <w:ind w:left="720"/>
      </w:pPr>
      <w:r w:rsidRPr="006E501E">
        <w:rPr>
          <w:b/>
          <w:i/>
          <w:iCs/>
        </w:rPr>
        <w:t>September 2013 Compensation Service Bulletin (CSB)</w:t>
      </w:r>
      <w:r w:rsidRPr="00931E70">
        <w:rPr>
          <w:bCs/>
          <w:i/>
          <w:iCs/>
        </w:rPr>
        <w:t xml:space="preserve"> –</w:t>
      </w:r>
      <w:r>
        <w:rPr>
          <w:bCs/>
          <w:i/>
          <w:iCs/>
        </w:rPr>
        <w:t xml:space="preserve"> </w:t>
      </w:r>
      <w:r w:rsidRPr="00A10FDE">
        <w:rPr>
          <w:bCs/>
          <w:iCs/>
        </w:rPr>
        <w:t>“Be sure to review and consider medications prescribed to treat bronchial asthma…”</w:t>
      </w:r>
    </w:p>
    <w:p w:rsidR="00D275EA" w:rsidRDefault="00D275EA" w:rsidP="00D275EA">
      <w:pPr>
        <w:widowControl w:val="0"/>
        <w:numPr>
          <w:ilvl w:val="12"/>
          <w:numId w:val="0"/>
        </w:numPr>
        <w:rPr>
          <w:i/>
          <w:color w:val="008080"/>
        </w:rPr>
      </w:pPr>
    </w:p>
    <w:p w:rsidR="00D275EA" w:rsidRDefault="00D275EA" w:rsidP="00D275EA">
      <w:pPr>
        <w:widowControl w:val="0"/>
        <w:numPr>
          <w:ilvl w:val="12"/>
          <w:numId w:val="0"/>
        </w:numPr>
      </w:pPr>
      <w:r>
        <w:t>6604</w:t>
      </w:r>
      <w:r>
        <w:tab/>
        <w:t>Chronic obstructive pulmonary disease –</w:t>
      </w:r>
      <w:r>
        <w:rPr>
          <w:i/>
          <w:color w:val="008080"/>
        </w:rPr>
        <w:t xml:space="preserve"> Mustard Gas presumptive under 3.316</w:t>
      </w:r>
    </w:p>
    <w:p w:rsidR="00D275EA" w:rsidRDefault="00D275EA" w:rsidP="00D275EA">
      <w:pPr>
        <w:widowControl w:val="0"/>
        <w:numPr>
          <w:ilvl w:val="12"/>
          <w:numId w:val="0"/>
        </w:numPr>
        <w:rPr>
          <w:i/>
        </w:rPr>
      </w:pPr>
    </w:p>
    <w:p w:rsidR="00D275EA" w:rsidRDefault="00D275EA" w:rsidP="00D275EA">
      <w:pPr>
        <w:widowControl w:val="0"/>
        <w:numPr>
          <w:ilvl w:val="12"/>
          <w:numId w:val="0"/>
        </w:numPr>
      </w:pPr>
      <w:r>
        <w:rPr>
          <w:b/>
        </w:rPr>
        <w:t>DISEASES OF THE LUNGS AND PLEURA—</w:t>
      </w:r>
      <w:r>
        <w:rPr>
          <w:b/>
          <w:color w:val="FF0000"/>
        </w:rPr>
        <w:t xml:space="preserve">TUBERCULOSIS </w:t>
      </w:r>
      <w:r>
        <w:rPr>
          <w:i/>
          <w:color w:val="FF0000"/>
        </w:rPr>
        <w:t>-3 year pres period</w:t>
      </w:r>
    </w:p>
    <w:p w:rsidR="00D275EA" w:rsidRDefault="00D275EA" w:rsidP="00D275EA">
      <w:pPr>
        <w:pStyle w:val="Heading5"/>
        <w:keepNext w:val="0"/>
        <w:widowControl w:val="0"/>
        <w:numPr>
          <w:ilvl w:val="12"/>
          <w:numId w:val="0"/>
        </w:numPr>
        <w:pBdr>
          <w:top w:val="none" w:sz="0" w:space="0" w:color="auto"/>
          <w:left w:val="none" w:sz="0" w:space="0" w:color="auto"/>
          <w:bottom w:val="none" w:sz="0" w:space="0" w:color="auto"/>
          <w:right w:val="none" w:sz="0" w:space="0" w:color="auto"/>
        </w:pBdr>
        <w:rPr>
          <w:bCs/>
          <w:iCs/>
          <w:sz w:val="20"/>
        </w:rPr>
      </w:pPr>
      <w:r>
        <w:rPr>
          <w:bCs/>
          <w:iCs/>
          <w:sz w:val="20"/>
        </w:rPr>
        <w:t>3.370-3.378</w:t>
      </w:r>
    </w:p>
    <w:p w:rsidR="00D275EA" w:rsidRDefault="00D275EA" w:rsidP="00D275EA">
      <w:pPr>
        <w:pStyle w:val="Heading5"/>
        <w:keepNext w:val="0"/>
        <w:widowControl w:val="0"/>
        <w:numPr>
          <w:ilvl w:val="12"/>
          <w:numId w:val="0"/>
        </w:numPr>
        <w:pBdr>
          <w:top w:val="none" w:sz="0" w:space="0" w:color="auto"/>
          <w:left w:val="none" w:sz="0" w:space="0" w:color="auto"/>
          <w:bottom w:val="none" w:sz="0" w:space="0" w:color="auto"/>
          <w:right w:val="none" w:sz="0" w:space="0" w:color="auto"/>
        </w:pBdr>
        <w:rPr>
          <w:bCs/>
          <w:iCs/>
          <w:sz w:val="20"/>
        </w:rPr>
      </w:pPr>
      <w:r w:rsidRPr="00453DE5">
        <w:rPr>
          <w:bCs/>
          <w:iCs/>
          <w:sz w:val="20"/>
        </w:rPr>
        <w:t>3.959</w:t>
      </w:r>
    </w:p>
    <w:p w:rsidR="00D275EA" w:rsidRDefault="00D275EA" w:rsidP="00D275EA">
      <w:pPr>
        <w:widowControl w:val="0"/>
      </w:pPr>
      <w:r>
        <w:t xml:space="preserve">6701 to 6724 </w:t>
      </w:r>
    </w:p>
    <w:p w:rsidR="00D275EA" w:rsidRDefault="00D275EA" w:rsidP="00D275EA">
      <w:pPr>
        <w:widowControl w:val="0"/>
        <w:rPr>
          <w:i/>
        </w:rPr>
      </w:pPr>
      <w:r>
        <w:rPr>
          <w:rStyle w:val="Strong"/>
          <w:b w:val="0"/>
          <w:bCs w:val="0"/>
        </w:rPr>
        <w:t>6730 to 6732</w:t>
      </w:r>
    </w:p>
    <w:p w:rsidR="00D275EA" w:rsidRDefault="00D275EA" w:rsidP="00D275EA">
      <w:pPr>
        <w:pStyle w:val="Header"/>
        <w:widowControl w:val="0"/>
        <w:numPr>
          <w:ilvl w:val="12"/>
          <w:numId w:val="0"/>
        </w:numPr>
        <w:tabs>
          <w:tab w:val="clear" w:pos="4320"/>
          <w:tab w:val="clear" w:pos="8640"/>
        </w:tabs>
      </w:pPr>
    </w:p>
    <w:p w:rsidR="00D275EA" w:rsidRDefault="00D275EA" w:rsidP="00D275EA">
      <w:pPr>
        <w:pStyle w:val="Heading1"/>
        <w:keepNext w:val="0"/>
        <w:widowControl w:val="0"/>
        <w:numPr>
          <w:ilvl w:val="12"/>
          <w:numId w:val="0"/>
        </w:numPr>
        <w:rPr>
          <w:b/>
          <w:bCs/>
          <w:i w:val="0"/>
          <w:iCs w:val="0"/>
          <w:sz w:val="20"/>
        </w:rPr>
      </w:pPr>
      <w:r>
        <w:rPr>
          <w:b/>
          <w:bCs/>
          <w:i w:val="0"/>
          <w:iCs w:val="0"/>
          <w:sz w:val="20"/>
        </w:rPr>
        <w:t>NONTUBERCULOUS DISEASES</w:t>
      </w:r>
    </w:p>
    <w:p w:rsidR="00D275EA" w:rsidRDefault="00D275EA" w:rsidP="00D275EA">
      <w:pPr>
        <w:widowControl w:val="0"/>
        <w:numPr>
          <w:ilvl w:val="12"/>
          <w:numId w:val="0"/>
        </w:numPr>
        <w:ind w:left="720" w:hanging="720"/>
        <w:rPr>
          <w:i/>
        </w:rPr>
      </w:pPr>
      <w:r>
        <w:rPr>
          <w:color w:val="FF0000"/>
        </w:rPr>
        <w:t>6819</w:t>
      </w:r>
      <w:r>
        <w:rPr>
          <w:color w:val="FF0000"/>
        </w:rPr>
        <w:tab/>
        <w:t>Neoplasms, malignant, any specified part of respiratory system exclusive of skin growths</w:t>
      </w:r>
      <w:r>
        <w:rPr>
          <w:rStyle w:val="Strong"/>
          <w:b w:val="0"/>
          <w:bCs w:val="0"/>
        </w:rPr>
        <w:t>;</w:t>
      </w:r>
      <w:r>
        <w:rPr>
          <w:rStyle w:val="Strong"/>
        </w:rPr>
        <w:t xml:space="preserve"> </w:t>
      </w:r>
      <w:r>
        <w:rPr>
          <w:i/>
          <w:color w:val="FF9900"/>
        </w:rPr>
        <w:t xml:space="preserve">cancer of the lung, bronchus, larynx, or trachea is Agent Orange presumptive under </w:t>
      </w:r>
      <w:r w:rsidRPr="00453DE5">
        <w:rPr>
          <w:b/>
        </w:rPr>
        <w:t>3.309</w:t>
      </w:r>
      <w:r>
        <w:rPr>
          <w:i/>
          <w:color w:val="FF9900"/>
        </w:rPr>
        <w:t>(e)</w:t>
      </w:r>
      <w:r>
        <w:rPr>
          <w:i/>
        </w:rPr>
        <w:t xml:space="preserve"> &amp; </w:t>
      </w:r>
      <w:r>
        <w:rPr>
          <w:i/>
          <w:color w:val="008080"/>
        </w:rPr>
        <w:t xml:space="preserve">cancer of the lung (except mesothelioma), nasopharynx &amp;  larynx is Mustard Gas presumptive under 3.316 </w:t>
      </w:r>
      <w:r>
        <w:rPr>
          <w:i/>
        </w:rPr>
        <w:t xml:space="preserve">&amp; </w:t>
      </w:r>
      <w:r>
        <w:rPr>
          <w:i/>
          <w:color w:val="808080"/>
        </w:rPr>
        <w:t>cancer of the lung, larynx &amp; pharynx are</w:t>
      </w:r>
      <w:r>
        <w:rPr>
          <w:i/>
        </w:rPr>
        <w:t xml:space="preserve"> </w:t>
      </w:r>
      <w:r>
        <w:rPr>
          <w:i/>
          <w:color w:val="808080"/>
        </w:rPr>
        <w:t>associated with Asbestos</w:t>
      </w:r>
    </w:p>
    <w:p w:rsidR="00D275EA" w:rsidRDefault="00D275EA" w:rsidP="00D275EA">
      <w:pPr>
        <w:pStyle w:val="Heading1"/>
        <w:keepNext w:val="0"/>
        <w:widowControl w:val="0"/>
        <w:numPr>
          <w:ilvl w:val="12"/>
          <w:numId w:val="0"/>
        </w:numPr>
        <w:rPr>
          <w:b/>
          <w:bCs/>
          <w:i w:val="0"/>
          <w:iCs w:val="0"/>
          <w:sz w:val="20"/>
        </w:rPr>
      </w:pPr>
      <w:r>
        <w:rPr>
          <w:b/>
          <w:bCs/>
          <w:i w:val="0"/>
          <w:iCs w:val="0"/>
          <w:sz w:val="20"/>
        </w:rPr>
        <w:tab/>
        <w:t>Bacterial Infections of the Lung</w:t>
      </w:r>
    </w:p>
    <w:p w:rsidR="00D275EA" w:rsidRDefault="00D275EA" w:rsidP="00D275EA">
      <w:pPr>
        <w:widowControl w:val="0"/>
        <w:numPr>
          <w:ilvl w:val="12"/>
          <w:numId w:val="0"/>
        </w:numPr>
      </w:pPr>
      <w:r>
        <w:rPr>
          <w:b/>
        </w:rPr>
        <w:tab/>
        <w:t xml:space="preserve">Interstitial Lung Disease </w:t>
      </w:r>
      <w:r>
        <w:t xml:space="preserve">– </w:t>
      </w:r>
      <w:r>
        <w:rPr>
          <w:i/>
          <w:color w:val="808080"/>
          <w:u w:val="single"/>
        </w:rPr>
        <w:t>all</w:t>
      </w:r>
      <w:r>
        <w:rPr>
          <w:i/>
          <w:color w:val="808080"/>
        </w:rPr>
        <w:t xml:space="preserve"> are</w:t>
      </w:r>
      <w:r>
        <w:rPr>
          <w:i/>
          <w:color w:val="C0C0C0"/>
        </w:rPr>
        <w:t xml:space="preserve"> </w:t>
      </w:r>
      <w:r>
        <w:rPr>
          <w:i/>
          <w:color w:val="808080"/>
        </w:rPr>
        <w:t>associated with Asbestos</w:t>
      </w:r>
    </w:p>
    <w:p w:rsidR="00D275EA" w:rsidRDefault="00D275EA" w:rsidP="00D275EA">
      <w:pPr>
        <w:widowControl w:val="0"/>
        <w:numPr>
          <w:ilvl w:val="12"/>
          <w:numId w:val="0"/>
        </w:numPr>
        <w:ind w:left="720" w:firstLine="720"/>
      </w:pPr>
      <w:r>
        <w:t>6825</w:t>
      </w:r>
      <w:r>
        <w:tab/>
        <w:t>Diffuse interstitial fibrosis (interstitial pneumonitis, fibrosing alveolitis)</w:t>
      </w:r>
    </w:p>
    <w:p w:rsidR="00D275EA" w:rsidRDefault="00D275EA" w:rsidP="00D275EA">
      <w:pPr>
        <w:widowControl w:val="0"/>
        <w:numPr>
          <w:ilvl w:val="12"/>
          <w:numId w:val="0"/>
        </w:numPr>
        <w:ind w:left="720" w:firstLine="720"/>
      </w:pPr>
      <w:r>
        <w:t>6826</w:t>
      </w:r>
      <w:r>
        <w:tab/>
        <w:t>Desquamative interstitial pneumonitis</w:t>
      </w:r>
    </w:p>
    <w:p w:rsidR="00D275EA" w:rsidRDefault="00D275EA" w:rsidP="00D275EA">
      <w:pPr>
        <w:widowControl w:val="0"/>
        <w:numPr>
          <w:ilvl w:val="12"/>
          <w:numId w:val="0"/>
        </w:numPr>
        <w:ind w:left="720" w:firstLine="720"/>
      </w:pPr>
      <w:r>
        <w:t>6827</w:t>
      </w:r>
      <w:r>
        <w:tab/>
        <w:t>Pulmonary alveolar proteinosis</w:t>
      </w:r>
    </w:p>
    <w:p w:rsidR="00D275EA" w:rsidRDefault="00D275EA" w:rsidP="00D275EA">
      <w:pPr>
        <w:widowControl w:val="0"/>
        <w:numPr>
          <w:ilvl w:val="12"/>
          <w:numId w:val="0"/>
        </w:numPr>
        <w:ind w:left="720" w:firstLine="720"/>
      </w:pPr>
      <w:r>
        <w:t>6828</w:t>
      </w:r>
      <w:r>
        <w:tab/>
        <w:t>Eosinophilic granuloma of lung</w:t>
      </w:r>
    </w:p>
    <w:p w:rsidR="00D275EA" w:rsidRDefault="00D275EA" w:rsidP="00D275EA">
      <w:pPr>
        <w:widowControl w:val="0"/>
        <w:numPr>
          <w:ilvl w:val="12"/>
          <w:numId w:val="0"/>
        </w:numPr>
        <w:ind w:left="720" w:firstLine="720"/>
      </w:pPr>
      <w:r>
        <w:t>6829</w:t>
      </w:r>
      <w:r>
        <w:tab/>
        <w:t>Drug-induced pulmonary pneumonitis and fibrosis</w:t>
      </w:r>
    </w:p>
    <w:p w:rsidR="00D275EA" w:rsidRDefault="00D275EA" w:rsidP="00D275EA">
      <w:pPr>
        <w:widowControl w:val="0"/>
        <w:numPr>
          <w:ilvl w:val="12"/>
          <w:numId w:val="0"/>
        </w:numPr>
        <w:ind w:left="720" w:firstLine="720"/>
      </w:pPr>
      <w:r>
        <w:t>6830</w:t>
      </w:r>
      <w:r>
        <w:tab/>
        <w:t>Radiation-induced pulmonary pneumonitis and fibrosis</w:t>
      </w:r>
    </w:p>
    <w:p w:rsidR="00D275EA" w:rsidRDefault="00D275EA" w:rsidP="00D275EA">
      <w:pPr>
        <w:widowControl w:val="0"/>
        <w:numPr>
          <w:ilvl w:val="12"/>
          <w:numId w:val="0"/>
        </w:numPr>
        <w:ind w:left="720" w:firstLine="720"/>
      </w:pPr>
      <w:r>
        <w:t>6831</w:t>
      </w:r>
      <w:r>
        <w:tab/>
        <w:t>Hypersensitivity pneumonitis (extrinsic allergic alveolitis)</w:t>
      </w:r>
    </w:p>
    <w:p w:rsidR="00D275EA" w:rsidRDefault="00D275EA" w:rsidP="00D275EA">
      <w:pPr>
        <w:widowControl w:val="0"/>
        <w:numPr>
          <w:ilvl w:val="12"/>
          <w:numId w:val="0"/>
        </w:numPr>
        <w:ind w:left="720" w:firstLine="720"/>
      </w:pPr>
      <w:r>
        <w:t>6832</w:t>
      </w:r>
      <w:r>
        <w:tab/>
        <w:t>Pneumoconiosis (silicosis, anthracosis, etc.)</w:t>
      </w:r>
    </w:p>
    <w:p w:rsidR="00D275EA" w:rsidRDefault="00D275EA" w:rsidP="00D275EA">
      <w:pPr>
        <w:widowControl w:val="0"/>
        <w:numPr>
          <w:ilvl w:val="12"/>
          <w:numId w:val="0"/>
        </w:numPr>
        <w:ind w:left="720" w:firstLine="720"/>
        <w:rPr>
          <w:i/>
        </w:rPr>
      </w:pPr>
      <w:r>
        <w:t>6833</w:t>
      </w:r>
      <w:r>
        <w:tab/>
        <w:t>Asbestosis</w:t>
      </w:r>
      <w:r>
        <w:rPr>
          <w:i/>
        </w:rPr>
        <w:t xml:space="preserve"> – also called interstitial pulmonary fibrosis; </w:t>
      </w:r>
      <w:r>
        <w:rPr>
          <w:i/>
          <w:color w:val="808080"/>
        </w:rPr>
        <w:t>associated with Asbestos</w:t>
      </w:r>
    </w:p>
    <w:p w:rsidR="00D275EA" w:rsidRDefault="00D275EA" w:rsidP="00D275EA">
      <w:pPr>
        <w:pStyle w:val="Heading1"/>
        <w:keepNext w:val="0"/>
        <w:widowControl w:val="0"/>
        <w:numPr>
          <w:ilvl w:val="12"/>
          <w:numId w:val="0"/>
        </w:numPr>
        <w:rPr>
          <w:b/>
          <w:bCs/>
          <w:i w:val="0"/>
          <w:iCs w:val="0"/>
          <w:sz w:val="20"/>
        </w:rPr>
      </w:pPr>
      <w:r>
        <w:rPr>
          <w:b/>
          <w:bCs/>
          <w:i w:val="0"/>
          <w:iCs w:val="0"/>
          <w:sz w:val="20"/>
        </w:rPr>
        <w:tab/>
        <w:t>Mycotic Lung Disease</w:t>
      </w:r>
    </w:p>
    <w:p w:rsidR="00D275EA" w:rsidRDefault="00D275EA" w:rsidP="00D275EA">
      <w:pPr>
        <w:widowControl w:val="0"/>
        <w:numPr>
          <w:ilvl w:val="12"/>
          <w:numId w:val="0"/>
        </w:numPr>
        <w:rPr>
          <w:color w:val="FF0000"/>
        </w:rPr>
      </w:pPr>
      <w:r>
        <w:rPr>
          <w:b/>
          <w:color w:val="FF0000"/>
        </w:rPr>
        <w:tab/>
      </w:r>
      <w:r>
        <w:rPr>
          <w:b/>
          <w:color w:val="FF0000"/>
        </w:rPr>
        <w:tab/>
      </w:r>
      <w:r>
        <w:rPr>
          <w:color w:val="FF0000"/>
        </w:rPr>
        <w:t>6835</w:t>
      </w:r>
      <w:r>
        <w:rPr>
          <w:color w:val="FF0000"/>
        </w:rPr>
        <w:tab/>
        <w:t xml:space="preserve">Coccidioidomycosis </w:t>
      </w:r>
    </w:p>
    <w:p w:rsidR="00D275EA" w:rsidRDefault="00D275EA" w:rsidP="00D275EA">
      <w:pPr>
        <w:pStyle w:val="Heading7"/>
        <w:keepNext w:val="0"/>
        <w:widowControl w:val="0"/>
        <w:numPr>
          <w:ilvl w:val="12"/>
          <w:numId w:val="0"/>
        </w:numPr>
        <w:pBdr>
          <w:top w:val="none" w:sz="0" w:space="0" w:color="auto"/>
          <w:left w:val="none" w:sz="0" w:space="0" w:color="auto"/>
          <w:bottom w:val="none" w:sz="0" w:space="0" w:color="auto"/>
          <w:right w:val="none" w:sz="0" w:space="0" w:color="auto"/>
        </w:pBdr>
        <w:ind w:firstLine="720"/>
      </w:pPr>
      <w:r>
        <w:t>Restrictive Lung Disease</w:t>
      </w:r>
    </w:p>
    <w:p w:rsidR="00D275EA" w:rsidRDefault="00D275EA" w:rsidP="00D275EA">
      <w:pPr>
        <w:widowControl w:val="0"/>
        <w:numPr>
          <w:ilvl w:val="12"/>
          <w:numId w:val="0"/>
        </w:numPr>
        <w:ind w:firstLine="720"/>
        <w:rPr>
          <w:i/>
        </w:rPr>
      </w:pPr>
      <w:r>
        <w:rPr>
          <w:b/>
        </w:rPr>
        <w:tab/>
      </w:r>
      <w:r>
        <w:t>6845</w:t>
      </w:r>
      <w:r>
        <w:tab/>
        <w:t xml:space="preserve">Chronic pleural effusion or fibrosis – </w:t>
      </w:r>
      <w:r>
        <w:rPr>
          <w:i/>
          <w:color w:val="808080"/>
        </w:rPr>
        <w:t>associated with Asbestos</w:t>
      </w:r>
    </w:p>
    <w:p w:rsidR="00D275EA" w:rsidRDefault="00D275EA" w:rsidP="00D275EA">
      <w:pPr>
        <w:widowControl w:val="0"/>
        <w:numPr>
          <w:ilvl w:val="12"/>
          <w:numId w:val="0"/>
        </w:numPr>
        <w:rPr>
          <w:color w:val="FF0000"/>
        </w:rPr>
      </w:pPr>
      <w:r>
        <w:rPr>
          <w:i/>
        </w:rPr>
        <w:tab/>
      </w:r>
      <w:r>
        <w:rPr>
          <w:i/>
        </w:rPr>
        <w:tab/>
      </w:r>
      <w:r w:rsidRPr="006B2A5A">
        <w:rPr>
          <w:color w:val="FF0000"/>
        </w:rPr>
        <w:t>6846</w:t>
      </w:r>
      <w:r w:rsidRPr="006B2A5A">
        <w:rPr>
          <w:color w:val="FF0000"/>
        </w:rPr>
        <w:tab/>
        <w:t>Sarcoidosis</w:t>
      </w:r>
    </w:p>
    <w:p w:rsidR="00D275EA" w:rsidRDefault="00D275EA" w:rsidP="00D275EA">
      <w:pPr>
        <w:widowControl w:val="0"/>
        <w:numPr>
          <w:ilvl w:val="12"/>
          <w:numId w:val="0"/>
        </w:numPr>
        <w:spacing w:after="120"/>
        <w:ind w:left="1397" w:hanging="1397"/>
        <w:rPr>
          <w:i/>
        </w:rPr>
      </w:pPr>
      <w:r>
        <w:tab/>
      </w:r>
      <w:r>
        <w:tab/>
        <w:t>6847</w:t>
      </w:r>
      <w:r>
        <w:tab/>
        <w:t xml:space="preserve">Sleep apnea syndromes (obstructive, central, mixed) – </w:t>
      </w:r>
      <w:r>
        <w:rPr>
          <w:i/>
        </w:rPr>
        <w:t>not presumptive</w:t>
      </w:r>
    </w:p>
    <w:p w:rsidR="00D275EA" w:rsidRPr="00397D88" w:rsidRDefault="009E2330" w:rsidP="00F063AF">
      <w:pPr>
        <w:pStyle w:val="ListParagraph"/>
        <w:widowControl w:val="0"/>
        <w:numPr>
          <w:ilvl w:val="0"/>
          <w:numId w:val="283"/>
        </w:numPr>
        <w:spacing w:after="120" w:line="240" w:lineRule="auto"/>
        <w:rPr>
          <w:rFonts w:ascii="Arial" w:hAnsi="Arial"/>
          <w:iCs/>
          <w:sz w:val="20"/>
        </w:rPr>
      </w:pPr>
      <w:r>
        <w:rPr>
          <w:rFonts w:ascii="Arial" w:hAnsi="Arial"/>
          <w:b/>
          <w:iCs/>
          <w:sz w:val="20"/>
        </w:rPr>
        <w:t>III.iv.4.F.5</w:t>
      </w:r>
    </w:p>
    <w:p w:rsidR="00D275EA" w:rsidRPr="005B22B5" w:rsidRDefault="00C1445C" w:rsidP="00F063AF">
      <w:pPr>
        <w:pStyle w:val="ListParagraph"/>
        <w:widowControl w:val="0"/>
        <w:numPr>
          <w:ilvl w:val="0"/>
          <w:numId w:val="283"/>
        </w:numPr>
        <w:spacing w:after="120" w:line="240" w:lineRule="auto"/>
        <w:rPr>
          <w:rFonts w:ascii="Arial" w:hAnsi="Arial"/>
          <w:iCs/>
          <w:sz w:val="20"/>
        </w:rPr>
      </w:pPr>
      <w:r w:rsidRPr="00C1445C">
        <w:rPr>
          <w:rFonts w:ascii="Arial" w:hAnsi="Arial"/>
          <w:b/>
          <w:iCs/>
          <w:sz w:val="20"/>
        </w:rPr>
        <w:t>III.iv.3.D.4.m</w:t>
      </w:r>
      <w:r w:rsidRPr="00C1445C">
        <w:rPr>
          <w:rFonts w:ascii="Arial" w:hAnsi="Arial"/>
          <w:iCs/>
          <w:sz w:val="18"/>
        </w:rPr>
        <w:t xml:space="preserve"> </w:t>
      </w:r>
      <w:r w:rsidRPr="00C1445C">
        <w:rPr>
          <w:rFonts w:ascii="Arial" w:hAnsi="Arial"/>
          <w:iCs/>
          <w:sz w:val="20"/>
        </w:rPr>
        <w:t>&amp;</w:t>
      </w:r>
      <w:r>
        <w:rPr>
          <w:rFonts w:ascii="Arial" w:hAnsi="Arial"/>
          <w:iCs/>
          <w:sz w:val="20"/>
        </w:rPr>
        <w:t xml:space="preserve"> </w:t>
      </w:r>
      <w:r w:rsidR="009E2330">
        <w:rPr>
          <w:rFonts w:ascii="Arial" w:hAnsi="Arial"/>
          <w:b/>
          <w:iCs/>
          <w:sz w:val="20"/>
        </w:rPr>
        <w:t>III.iv.4.F.5.</w:t>
      </w:r>
      <w:r>
        <w:rPr>
          <w:rFonts w:ascii="Arial" w:hAnsi="Arial"/>
          <w:b/>
          <w:iCs/>
          <w:sz w:val="20"/>
        </w:rPr>
        <w:t xml:space="preserve">f </w:t>
      </w:r>
      <w:r w:rsidR="00D275EA">
        <w:rPr>
          <w:rFonts w:ascii="Arial" w:hAnsi="Arial"/>
          <w:iCs/>
          <w:sz w:val="20"/>
        </w:rPr>
        <w:t>– upper airway resistance syndrome (UARS), in and of itself, is not a disability</w:t>
      </w:r>
    </w:p>
    <w:p w:rsidR="00D275EA" w:rsidRPr="00CE18F8" w:rsidRDefault="00C1445C" w:rsidP="00F063AF">
      <w:pPr>
        <w:pStyle w:val="ListParagraph"/>
        <w:widowControl w:val="0"/>
        <w:numPr>
          <w:ilvl w:val="0"/>
          <w:numId w:val="283"/>
        </w:numPr>
        <w:spacing w:after="120" w:line="240" w:lineRule="auto"/>
        <w:rPr>
          <w:rFonts w:ascii="Arial" w:hAnsi="Arial"/>
          <w:iCs/>
          <w:sz w:val="20"/>
        </w:rPr>
      </w:pPr>
      <w:r>
        <w:rPr>
          <w:rFonts w:ascii="Arial" w:hAnsi="Arial"/>
          <w:b/>
          <w:sz w:val="20"/>
        </w:rPr>
        <w:t>III.iv.4.F.5.c</w:t>
      </w:r>
      <w:r w:rsidR="00D275EA" w:rsidRPr="00397D88">
        <w:rPr>
          <w:rFonts w:ascii="Arial" w:hAnsi="Arial"/>
          <w:sz w:val="20"/>
        </w:rPr>
        <w:t xml:space="preserve"> – also includes APAP, BiPAP, nasopharyngeal appliances (nasal dilators, nasopharyngeal stents), oral appliances (mandibular advancement devices,tongue-retaining mouthpieces), implanted genioglossal nervestimulation devices</w:t>
      </w:r>
      <w:r w:rsidR="00D275EA">
        <w:rPr>
          <w:rFonts w:ascii="Arial" w:hAnsi="Arial"/>
          <w:sz w:val="20"/>
        </w:rPr>
        <w:t>; need medical determination that the device is necessary; can give 50% even if not using it because it is prescribed / medically required</w:t>
      </w:r>
    </w:p>
    <w:p w:rsidR="00D275EA" w:rsidRDefault="00D275EA" w:rsidP="00F063AF">
      <w:pPr>
        <w:pStyle w:val="ListParagraph"/>
        <w:widowControl w:val="0"/>
        <w:numPr>
          <w:ilvl w:val="0"/>
          <w:numId w:val="283"/>
        </w:numPr>
        <w:spacing w:after="120" w:line="240" w:lineRule="auto"/>
        <w:rPr>
          <w:rFonts w:ascii="Arial" w:hAnsi="Arial"/>
          <w:iCs/>
          <w:sz w:val="20"/>
        </w:rPr>
      </w:pPr>
      <w:r w:rsidRPr="00CE18F8">
        <w:rPr>
          <w:rFonts w:ascii="Arial" w:hAnsi="Arial"/>
          <w:sz w:val="20"/>
        </w:rPr>
        <w:t>There is discussion that Cheryl Spinweber</w:t>
      </w:r>
      <w:r>
        <w:rPr>
          <w:rFonts w:ascii="Arial" w:hAnsi="Arial"/>
          <w:sz w:val="20"/>
        </w:rPr>
        <w:t>, PhD</w:t>
      </w:r>
      <w:r w:rsidRPr="00CE18F8">
        <w:rPr>
          <w:rFonts w:ascii="Arial" w:hAnsi="Arial"/>
          <w:sz w:val="20"/>
        </w:rPr>
        <w:t xml:space="preserve"> is not an MD </w:t>
      </w:r>
      <w:r>
        <w:rPr>
          <w:rFonts w:ascii="Arial" w:hAnsi="Arial"/>
          <w:sz w:val="20"/>
        </w:rPr>
        <w:t xml:space="preserve">(she is a Clinical Psychologist) </w:t>
      </w:r>
      <w:r w:rsidRPr="00CE18F8">
        <w:rPr>
          <w:rFonts w:ascii="Arial" w:hAnsi="Arial"/>
          <w:sz w:val="20"/>
        </w:rPr>
        <w:t>&amp; cannot diagnose obstructive sleep apnea (OSA)</w:t>
      </w:r>
      <w:r>
        <w:rPr>
          <w:rFonts w:ascii="Arial" w:hAnsi="Arial"/>
          <w:sz w:val="20"/>
        </w:rPr>
        <w:t xml:space="preserve"> or provide an opinion</w:t>
      </w:r>
      <w:r w:rsidRPr="00CE18F8">
        <w:rPr>
          <w:rFonts w:ascii="Arial" w:hAnsi="Arial"/>
          <w:iCs/>
          <w:sz w:val="20"/>
        </w:rPr>
        <w:t>.</w:t>
      </w:r>
      <w:r>
        <w:rPr>
          <w:rFonts w:ascii="Arial" w:hAnsi="Arial"/>
          <w:iCs/>
          <w:sz w:val="20"/>
        </w:rPr>
        <w:t xml:space="preserve"> However, </w:t>
      </w:r>
      <w:r w:rsidRPr="00D67256">
        <w:rPr>
          <w:rFonts w:ascii="Arial" w:hAnsi="Arial"/>
          <w:b/>
          <w:iCs/>
          <w:sz w:val="20"/>
        </w:rPr>
        <w:t>III.iv.5.</w:t>
      </w:r>
      <w:r>
        <w:rPr>
          <w:rFonts w:ascii="Arial" w:hAnsi="Arial"/>
          <w:b/>
          <w:iCs/>
          <w:sz w:val="20"/>
        </w:rPr>
        <w:t>A.</w:t>
      </w:r>
      <w:r w:rsidRPr="00D67256">
        <w:rPr>
          <w:rFonts w:ascii="Arial" w:hAnsi="Arial"/>
          <w:b/>
          <w:iCs/>
          <w:sz w:val="20"/>
        </w:rPr>
        <w:t>3.e</w:t>
      </w:r>
      <w:r>
        <w:rPr>
          <w:rFonts w:ascii="Arial" w:hAnsi="Arial"/>
          <w:iCs/>
          <w:sz w:val="20"/>
        </w:rPr>
        <w:t xml:space="preserve"> says RVSRs may not rely on their own unsubstantiated medical conclusions to reject expert medical evidence &amp; </w:t>
      </w:r>
      <w:r w:rsidRPr="00D67256">
        <w:rPr>
          <w:rFonts w:ascii="Arial" w:hAnsi="Arial"/>
          <w:b/>
          <w:iCs/>
          <w:sz w:val="20"/>
        </w:rPr>
        <w:t>III.iv.5</w:t>
      </w:r>
      <w:r>
        <w:rPr>
          <w:rFonts w:ascii="Arial" w:hAnsi="Arial"/>
          <w:b/>
          <w:iCs/>
          <w:sz w:val="20"/>
        </w:rPr>
        <w:t>.A</w:t>
      </w:r>
      <w:r w:rsidRPr="00D67256">
        <w:rPr>
          <w:rFonts w:ascii="Arial" w:hAnsi="Arial"/>
          <w:b/>
          <w:iCs/>
          <w:sz w:val="20"/>
        </w:rPr>
        <w:t>.2.e</w:t>
      </w:r>
      <w:r>
        <w:rPr>
          <w:rFonts w:ascii="Arial" w:hAnsi="Arial"/>
          <w:iCs/>
          <w:sz w:val="20"/>
        </w:rPr>
        <w:t xml:space="preserve"> says we need to weigh the probative value of evidence (to include competency [if not competent, no probative value], credibility, thoroughness, precision, relevancy &amp; the date of the evidence; also to include qualifications, knowledge of history, context of evidence, reasoning, specificity, certainty). Per Carlos Rosario, Dr. Spinweber is certified in sleep medicine &amp; the DSMV added OSA as a sleep-wake disorder, so she is competent &amp; qualified to provide opinions in the field of sleep disorders. We need to weigh the probative value of EACH opinion.</w:t>
      </w:r>
      <w:r w:rsidR="0079011D">
        <w:rPr>
          <w:rFonts w:ascii="Arial" w:hAnsi="Arial"/>
          <w:iCs/>
          <w:sz w:val="20"/>
        </w:rPr>
        <w:t xml:space="preserve"> – 4/17 BVA Remand says “</w:t>
      </w:r>
      <w:r w:rsidR="0079011D" w:rsidRPr="0079011D">
        <w:rPr>
          <w:rFonts w:ascii="Arial" w:hAnsi="Arial"/>
          <w:iCs/>
          <w:sz w:val="20"/>
        </w:rPr>
        <w:t>…</w:t>
      </w:r>
      <w:r w:rsidR="0079011D" w:rsidRPr="0079011D">
        <w:rPr>
          <w:rFonts w:ascii="Verdana" w:hAnsi="Verdana"/>
        </w:rPr>
        <w:t>C.</w:t>
      </w:r>
      <w:r w:rsidR="0079011D">
        <w:rPr>
          <w:rFonts w:ascii="Verdana" w:hAnsi="Verdana"/>
        </w:rPr>
        <w:t xml:space="preserve"> Spinweber</w:t>
      </w:r>
      <w:r w:rsidR="0079011D" w:rsidRPr="0079011D">
        <w:rPr>
          <w:rFonts w:ascii="Verdana" w:hAnsi="Verdana"/>
        </w:rPr>
        <w:t>, Ph.D., while a specialist in sleep disorders, is not shown to be a medical doctor or to have any expertise as to the causes, development, diagnosis or treatment of metabolic disorders, including diabetes.</w:t>
      </w:r>
      <w:r w:rsidR="0079011D" w:rsidRPr="0079011D">
        <w:rPr>
          <w:rFonts w:ascii="Arial" w:hAnsi="Arial"/>
          <w:iCs/>
          <w:sz w:val="20"/>
        </w:rPr>
        <w:t>”</w:t>
      </w:r>
      <w:r w:rsidR="00093F7D">
        <w:rPr>
          <w:rFonts w:ascii="Arial" w:hAnsi="Arial"/>
          <w:iCs/>
          <w:sz w:val="20"/>
        </w:rPr>
        <w:t xml:space="preserve"> – so, can question her links to medical disabilities/symptoms, but maybe not to buddy statements of snoring/apneas in service</w:t>
      </w:r>
    </w:p>
    <w:p w:rsidR="008905F3" w:rsidRDefault="008905F3" w:rsidP="00F063AF">
      <w:pPr>
        <w:pStyle w:val="ListParagraph"/>
        <w:widowControl w:val="0"/>
        <w:numPr>
          <w:ilvl w:val="0"/>
          <w:numId w:val="283"/>
        </w:numPr>
        <w:spacing w:after="120" w:line="240" w:lineRule="auto"/>
        <w:rPr>
          <w:rFonts w:ascii="Arial" w:hAnsi="Arial"/>
          <w:iCs/>
          <w:sz w:val="20"/>
        </w:rPr>
      </w:pPr>
      <w:r>
        <w:rPr>
          <w:rFonts w:ascii="Arial" w:hAnsi="Arial"/>
          <w:iCs/>
          <w:sz w:val="20"/>
        </w:rPr>
        <w:t>Sleep apnea/OSA 2</w:t>
      </w:r>
      <w:r w:rsidRPr="008905F3">
        <w:rPr>
          <w:rFonts w:ascii="Arial" w:hAnsi="Arial"/>
          <w:iCs/>
          <w:sz w:val="20"/>
          <w:vertAlign w:val="superscript"/>
        </w:rPr>
        <w:t>nd</w:t>
      </w:r>
      <w:r>
        <w:rPr>
          <w:rFonts w:ascii="Arial" w:hAnsi="Arial"/>
          <w:iCs/>
          <w:sz w:val="20"/>
        </w:rPr>
        <w:t xml:space="preserve"> PTSD on VA Pulse - </w:t>
      </w:r>
      <w:r w:rsidRPr="008905F3">
        <w:rPr>
          <w:rFonts w:ascii="Arial" w:hAnsi="Arial"/>
          <w:i/>
          <w:iCs/>
          <w:sz w:val="20"/>
        </w:rPr>
        <w:t>https://www.vapulse.net/thread/16944</w:t>
      </w:r>
      <w:r>
        <w:rPr>
          <w:rFonts w:ascii="Arial" w:hAnsi="Arial"/>
          <w:iCs/>
          <w:sz w:val="20"/>
        </w:rPr>
        <w:t xml:space="preserve">, </w:t>
      </w:r>
      <w:r w:rsidRPr="008905F3">
        <w:rPr>
          <w:rFonts w:ascii="Arial" w:hAnsi="Arial"/>
          <w:i/>
          <w:iCs/>
          <w:sz w:val="20"/>
        </w:rPr>
        <w:t>https://www.vapulse.net/docs/DOC-4456</w:t>
      </w:r>
    </w:p>
    <w:p w:rsidR="00D275EA" w:rsidRPr="00A430A4" w:rsidRDefault="00D275EA" w:rsidP="00D275EA">
      <w:pPr>
        <w:pStyle w:val="ListParagraph"/>
        <w:widowControl w:val="0"/>
        <w:spacing w:after="120" w:line="240" w:lineRule="auto"/>
        <w:ind w:left="1440"/>
        <w:rPr>
          <w:rFonts w:ascii="Arial" w:hAnsi="Arial"/>
          <w:i/>
          <w:iCs/>
          <w:sz w:val="20"/>
          <w:u w:val="single"/>
        </w:rPr>
      </w:pPr>
      <w:r w:rsidRPr="00A430A4">
        <w:rPr>
          <w:rFonts w:ascii="Arial" w:hAnsi="Arial"/>
          <w:i/>
          <w:iCs/>
          <w:sz w:val="20"/>
          <w:u w:val="single"/>
        </w:rPr>
        <w:t>NEED DBQ WITH DIRECT OPINION ON OSA:</w:t>
      </w:r>
    </w:p>
    <w:p w:rsidR="00D275EA" w:rsidRPr="00A430A4" w:rsidRDefault="00D275EA" w:rsidP="00D275EA">
      <w:pPr>
        <w:pStyle w:val="ListParagraph"/>
        <w:widowControl w:val="0"/>
        <w:tabs>
          <w:tab w:val="left" w:pos="1440"/>
        </w:tabs>
        <w:spacing w:after="120"/>
        <w:ind w:left="1440"/>
        <w:rPr>
          <w:rFonts w:ascii="Arial" w:hAnsi="Arial"/>
          <w:i/>
          <w:iCs/>
          <w:sz w:val="20"/>
        </w:rPr>
      </w:pPr>
      <w:r w:rsidRPr="00A430A4">
        <w:rPr>
          <w:rFonts w:ascii="Arial" w:hAnsi="Arial"/>
          <w:i/>
          <w:iCs/>
          <w:sz w:val="20"/>
        </w:rPr>
        <w:t>for deferral:  We need a DBQ with direct medical opinion for OSA. All 3 Elements are met. *See Claim Note for details.</w:t>
      </w:r>
    </w:p>
    <w:p w:rsidR="00D275EA" w:rsidRPr="00A430A4" w:rsidRDefault="00D275EA" w:rsidP="00D275EA">
      <w:pPr>
        <w:pStyle w:val="ListParagraph"/>
        <w:widowControl w:val="0"/>
        <w:spacing w:after="120" w:line="240" w:lineRule="auto"/>
        <w:ind w:left="1440"/>
        <w:rPr>
          <w:rFonts w:ascii="Arial" w:hAnsi="Arial"/>
          <w:i/>
          <w:iCs/>
          <w:sz w:val="20"/>
        </w:rPr>
      </w:pPr>
      <w:r w:rsidRPr="00A430A4">
        <w:rPr>
          <w:rFonts w:ascii="Arial" w:hAnsi="Arial"/>
          <w:i/>
          <w:iCs/>
          <w:sz w:val="20"/>
        </w:rPr>
        <w:t>for Claim Note:  Claim is not RFD. The veteran is claiming sleep apnea. The P</w:t>
      </w:r>
      <w:r w:rsidR="00C1445C">
        <w:rPr>
          <w:rFonts w:ascii="Arial" w:hAnsi="Arial"/>
          <w:i/>
          <w:iCs/>
          <w:sz w:val="20"/>
        </w:rPr>
        <w:t>T</w:t>
      </w:r>
      <w:r w:rsidRPr="00A430A4">
        <w:rPr>
          <w:rFonts w:ascii="Arial" w:hAnsi="Arial"/>
          <w:i/>
          <w:iCs/>
          <w:sz w:val="20"/>
        </w:rPr>
        <w:t xml:space="preserve">Rs show a diagnosis based on sleep study </w:t>
      </w:r>
      <w:r>
        <w:rPr>
          <w:rFonts w:ascii="Arial" w:hAnsi="Arial"/>
          <w:i/>
          <w:iCs/>
          <w:sz w:val="20"/>
        </w:rPr>
        <w:t xml:space="preserve">in 2009 which meets Element 1. </w:t>
      </w:r>
      <w:r w:rsidRPr="00A430A4">
        <w:rPr>
          <w:rFonts w:ascii="Arial" w:hAnsi="Arial"/>
          <w:i/>
          <w:iCs/>
          <w:sz w:val="20"/>
        </w:rPr>
        <w:t>His wife reported sleep problems started in service (80-91</w:t>
      </w:r>
      <w:r>
        <w:rPr>
          <w:rFonts w:ascii="Arial" w:hAnsi="Arial"/>
          <w:i/>
          <w:iCs/>
          <w:sz w:val="20"/>
        </w:rPr>
        <w:t xml:space="preserve"> period), which meets Element 2</w:t>
      </w:r>
      <w:r w:rsidRPr="00A430A4">
        <w:rPr>
          <w:rFonts w:ascii="Arial" w:hAnsi="Arial"/>
          <w:i/>
          <w:iCs/>
          <w:sz w:val="20"/>
        </w:rPr>
        <w:t xml:space="preserve"> The veteran reports continued s</w:t>
      </w:r>
      <w:r>
        <w:rPr>
          <w:rFonts w:ascii="Arial" w:hAnsi="Arial"/>
          <w:i/>
          <w:iCs/>
          <w:sz w:val="20"/>
        </w:rPr>
        <w:t>ymptoms, which meets Element 3.</w:t>
      </w:r>
      <w:r w:rsidRPr="00A430A4">
        <w:rPr>
          <w:rFonts w:ascii="Arial" w:hAnsi="Arial"/>
          <w:i/>
          <w:iCs/>
          <w:sz w:val="20"/>
        </w:rPr>
        <w:t xml:space="preserve">It's unclear if the veteran </w:t>
      </w:r>
      <w:r w:rsidR="00C1445C">
        <w:rPr>
          <w:rFonts w:ascii="Arial" w:hAnsi="Arial"/>
          <w:i/>
          <w:iCs/>
          <w:sz w:val="20"/>
        </w:rPr>
        <w:t>is still on a CPAP, since the PT</w:t>
      </w:r>
      <w:r w:rsidRPr="00A430A4">
        <w:rPr>
          <w:rFonts w:ascii="Arial" w:hAnsi="Arial"/>
          <w:i/>
          <w:iCs/>
          <w:sz w:val="20"/>
        </w:rPr>
        <w:t>Rs are from 2009, so we need a DBQ &amp; not just an opinion. Deferral done.</w:t>
      </w:r>
    </w:p>
    <w:p w:rsidR="00D275EA" w:rsidRDefault="00D275EA" w:rsidP="00D275EA">
      <w:pPr>
        <w:widowControl w:val="0"/>
        <w:numPr>
          <w:ilvl w:val="12"/>
          <w:numId w:val="0"/>
        </w:numPr>
        <w:rPr>
          <w:i/>
        </w:rPr>
      </w:pPr>
    </w:p>
    <w:p w:rsidR="00D275EA" w:rsidRDefault="00D275EA" w:rsidP="00D275EA">
      <w:pPr>
        <w:widowControl w:val="0"/>
        <w:numPr>
          <w:ilvl w:val="12"/>
          <w:numId w:val="0"/>
        </w:numPr>
        <w:rPr>
          <w:i/>
          <w:color w:val="808080"/>
        </w:rPr>
      </w:pPr>
      <w:r>
        <w:rPr>
          <w:i/>
          <w:color w:val="808080"/>
        </w:rPr>
        <w:t>pleural plaques are associated with Asbestos</w:t>
      </w:r>
    </w:p>
    <w:p w:rsidR="00D275EA" w:rsidRDefault="00D275EA" w:rsidP="00D275EA">
      <w:pPr>
        <w:widowControl w:val="0"/>
        <w:numPr>
          <w:ilvl w:val="12"/>
          <w:numId w:val="0"/>
        </w:numPr>
        <w:rPr>
          <w:i/>
          <w:color w:val="808080"/>
        </w:rPr>
      </w:pPr>
      <w:r>
        <w:rPr>
          <w:i/>
          <w:color w:val="808080"/>
        </w:rPr>
        <w:t>mesotheliomas of pleura and peritoneum are associated with Asbestos</w:t>
      </w:r>
    </w:p>
    <w:p w:rsidR="00D275EA" w:rsidRDefault="00D275EA" w:rsidP="00D275EA">
      <w:pPr>
        <w:widowControl w:val="0"/>
        <w:rPr>
          <w:rFonts w:ascii="Courier New" w:hAnsi="Courier New" w:cs="Courier New"/>
          <w:sz w:val="22"/>
          <w:szCs w:val="16"/>
        </w:rPr>
      </w:pPr>
    </w:p>
    <w:p w:rsidR="00D275EA" w:rsidRDefault="00D275EA" w:rsidP="00D275EA">
      <w:pPr>
        <w:widowControl w:val="0"/>
        <w:pBdr>
          <w:top w:val="single" w:sz="4" w:space="1" w:color="auto"/>
        </w:pBdr>
        <w:ind w:left="-360"/>
        <w:rPr>
          <w:rFonts w:ascii="Courier New" w:hAnsi="Courier New" w:cs="Courier New"/>
          <w:sz w:val="22"/>
          <w:szCs w:val="16"/>
        </w:rPr>
      </w:pPr>
    </w:p>
    <w:p w:rsidR="00D275EA" w:rsidRPr="00C343A9" w:rsidRDefault="00D275EA" w:rsidP="00D275EA">
      <w:pPr>
        <w:widowControl w:val="0"/>
        <w:spacing w:after="120"/>
        <w:ind w:left="-360"/>
        <w:rPr>
          <w:b/>
          <w:szCs w:val="16"/>
          <w:u w:val="single"/>
        </w:rPr>
      </w:pPr>
      <w:r w:rsidRPr="00C343A9">
        <w:rPr>
          <w:b/>
          <w:sz w:val="22"/>
          <w:szCs w:val="16"/>
          <w:u w:val="single"/>
        </w:rPr>
        <w:t>PFTs with DBQs</w:t>
      </w:r>
      <w:r w:rsidRPr="00C343A9">
        <w:rPr>
          <w:b/>
          <w:szCs w:val="16"/>
          <w:u w:val="single"/>
        </w:rPr>
        <w:t>:</w:t>
      </w:r>
    </w:p>
    <w:p w:rsidR="00D275EA" w:rsidRDefault="00D275EA" w:rsidP="00F063AF">
      <w:pPr>
        <w:pStyle w:val="ListParagraph"/>
        <w:widowControl w:val="0"/>
        <w:numPr>
          <w:ilvl w:val="0"/>
          <w:numId w:val="329"/>
        </w:numPr>
        <w:spacing w:after="120" w:line="240" w:lineRule="auto"/>
        <w:rPr>
          <w:rFonts w:ascii="Arial" w:hAnsi="Arial"/>
          <w:b/>
          <w:szCs w:val="16"/>
          <w:highlight w:val="cyan"/>
        </w:rPr>
      </w:pPr>
      <w:r w:rsidRPr="00656A01">
        <w:rPr>
          <w:rFonts w:ascii="Arial" w:hAnsi="Arial"/>
          <w:b/>
          <w:szCs w:val="16"/>
          <w:highlight w:val="cyan"/>
        </w:rPr>
        <w:t>for most respiratory DCs</w:t>
      </w:r>
      <w:r>
        <w:rPr>
          <w:rFonts w:ascii="Arial" w:hAnsi="Arial"/>
          <w:b/>
          <w:szCs w:val="16"/>
          <w:highlight w:val="cyan"/>
        </w:rPr>
        <w:t xml:space="preserve">, </w:t>
      </w:r>
      <w:r w:rsidRPr="00656A01">
        <w:rPr>
          <w:rFonts w:ascii="Arial" w:hAnsi="Arial"/>
          <w:b/>
          <w:szCs w:val="16"/>
          <w:highlight w:val="cyan"/>
        </w:rPr>
        <w:t xml:space="preserve">6600, 6602, 6603, 6604, </w:t>
      </w:r>
      <w:r>
        <w:rPr>
          <w:rFonts w:ascii="Arial" w:hAnsi="Arial"/>
          <w:b/>
          <w:szCs w:val="16"/>
          <w:highlight w:val="cyan"/>
        </w:rPr>
        <w:t>6840, 6841/6842/6843/6844/</w:t>
      </w:r>
      <w:r w:rsidRPr="00656A01">
        <w:rPr>
          <w:rFonts w:ascii="Arial" w:hAnsi="Arial"/>
          <w:b/>
          <w:szCs w:val="16"/>
          <w:highlight w:val="cyan"/>
        </w:rPr>
        <w:t>6845</w:t>
      </w:r>
      <w:r>
        <w:rPr>
          <w:rFonts w:ascii="Arial" w:hAnsi="Arial"/>
          <w:b/>
          <w:szCs w:val="16"/>
          <w:highlight w:val="cyan"/>
        </w:rPr>
        <w:t>,</w:t>
      </w:r>
      <w:r w:rsidRPr="00656A01">
        <w:rPr>
          <w:rFonts w:ascii="Arial" w:hAnsi="Arial"/>
          <w:b/>
          <w:szCs w:val="16"/>
          <w:highlight w:val="cyan"/>
        </w:rPr>
        <w:t xml:space="preserve"> you will </w:t>
      </w:r>
      <w:r>
        <w:rPr>
          <w:rFonts w:ascii="Arial" w:hAnsi="Arial"/>
          <w:b/>
          <w:szCs w:val="16"/>
          <w:highlight w:val="cyan"/>
        </w:rPr>
        <w:t>enter</w:t>
      </w:r>
      <w:r w:rsidRPr="00656A01">
        <w:rPr>
          <w:rFonts w:ascii="Arial" w:hAnsi="Arial"/>
          <w:b/>
          <w:szCs w:val="16"/>
          <w:highlight w:val="cyan"/>
        </w:rPr>
        <w:t xml:space="preserve"> </w:t>
      </w:r>
      <w:r>
        <w:rPr>
          <w:rFonts w:ascii="Arial" w:hAnsi="Arial"/>
          <w:b/>
          <w:szCs w:val="16"/>
          <w:highlight w:val="cyan"/>
        </w:rPr>
        <w:t>% for FEV-1 p</w:t>
      </w:r>
      <w:r w:rsidRPr="00656A01">
        <w:rPr>
          <w:rFonts w:ascii="Arial" w:hAnsi="Arial"/>
          <w:b/>
          <w:szCs w:val="16"/>
          <w:highlight w:val="cyan"/>
        </w:rPr>
        <w:t>redicted</w:t>
      </w:r>
      <w:r>
        <w:rPr>
          <w:rFonts w:ascii="Arial" w:hAnsi="Arial"/>
          <w:b/>
          <w:szCs w:val="16"/>
          <w:highlight w:val="cyan"/>
        </w:rPr>
        <w:t xml:space="preserve"> in “FEV-1 % Predicted” (box 3)</w:t>
      </w:r>
      <w:r w:rsidRPr="00656A01">
        <w:rPr>
          <w:rFonts w:ascii="Arial" w:hAnsi="Arial"/>
          <w:b/>
          <w:szCs w:val="16"/>
          <w:highlight w:val="cyan"/>
        </w:rPr>
        <w:t xml:space="preserve"> &amp; </w:t>
      </w:r>
      <w:r>
        <w:rPr>
          <w:rFonts w:ascii="Arial" w:hAnsi="Arial"/>
          <w:b/>
          <w:szCs w:val="16"/>
          <w:highlight w:val="cyan"/>
        </w:rPr>
        <w:t xml:space="preserve">% for </w:t>
      </w:r>
      <w:r w:rsidRPr="00656A01">
        <w:rPr>
          <w:rFonts w:ascii="Arial" w:hAnsi="Arial"/>
          <w:b/>
          <w:szCs w:val="16"/>
          <w:highlight w:val="cyan"/>
        </w:rPr>
        <w:t>FEV-1/FV</w:t>
      </w:r>
      <w:r>
        <w:rPr>
          <w:rFonts w:ascii="Arial" w:hAnsi="Arial"/>
          <w:b/>
          <w:szCs w:val="16"/>
          <w:highlight w:val="cyan"/>
        </w:rPr>
        <w:t>C in “FEV-1/FVC Ratio” (box 6)</w:t>
      </w:r>
      <w:r w:rsidRPr="006F3544">
        <w:rPr>
          <w:rFonts w:ascii="Arial" w:hAnsi="Arial"/>
          <w:b/>
          <w:i/>
          <w:szCs w:val="16"/>
          <w:highlight w:val="cyan"/>
        </w:rPr>
        <w:t xml:space="preserve"> </w:t>
      </w:r>
      <w:r>
        <w:rPr>
          <w:rFonts w:ascii="Arial" w:hAnsi="Arial"/>
          <w:b/>
          <w:i/>
          <w:szCs w:val="16"/>
          <w:highlight w:val="cyan"/>
        </w:rPr>
        <w:t>***not required for 6833</w:t>
      </w:r>
    </w:p>
    <w:p w:rsidR="00D275EA" w:rsidRPr="00656A01" w:rsidRDefault="00D275EA" w:rsidP="00F063AF">
      <w:pPr>
        <w:pStyle w:val="ListParagraph"/>
        <w:widowControl w:val="0"/>
        <w:numPr>
          <w:ilvl w:val="0"/>
          <w:numId w:val="329"/>
        </w:numPr>
        <w:spacing w:after="120" w:line="240" w:lineRule="auto"/>
        <w:rPr>
          <w:rFonts w:ascii="Arial" w:hAnsi="Arial"/>
          <w:szCs w:val="16"/>
          <w:highlight w:val="cyan"/>
        </w:rPr>
      </w:pPr>
      <w:r>
        <w:rPr>
          <w:rFonts w:ascii="Arial" w:hAnsi="Arial"/>
          <w:b/>
          <w:szCs w:val="16"/>
          <w:highlight w:val="cyan"/>
        </w:rPr>
        <w:t>DLCO</w:t>
      </w:r>
      <w:r w:rsidRPr="00656A01">
        <w:rPr>
          <w:rFonts w:ascii="Arial" w:hAnsi="Arial"/>
          <w:b/>
          <w:szCs w:val="16"/>
          <w:highlight w:val="cyan"/>
        </w:rPr>
        <w:t xml:space="preserve"> </w:t>
      </w:r>
      <w:r>
        <w:rPr>
          <w:rFonts w:ascii="Arial" w:hAnsi="Arial"/>
          <w:b/>
          <w:szCs w:val="16"/>
          <w:highlight w:val="cyan"/>
        </w:rPr>
        <w:t>required for 6600, 6603, 6604, 6833, 6841/6842/6843/6844/</w:t>
      </w:r>
      <w:r w:rsidRPr="00656A01">
        <w:rPr>
          <w:rFonts w:ascii="Arial" w:hAnsi="Arial"/>
          <w:b/>
          <w:szCs w:val="16"/>
          <w:highlight w:val="cyan"/>
        </w:rPr>
        <w:t>6845</w:t>
      </w:r>
      <w:r>
        <w:rPr>
          <w:rFonts w:ascii="Arial" w:hAnsi="Arial"/>
          <w:b/>
          <w:szCs w:val="16"/>
          <w:highlight w:val="cyan"/>
        </w:rPr>
        <w:t xml:space="preserve">, you will </w:t>
      </w:r>
      <w:r w:rsidRPr="00656A01">
        <w:rPr>
          <w:rFonts w:ascii="Arial" w:hAnsi="Arial"/>
          <w:b/>
          <w:szCs w:val="16"/>
          <w:highlight w:val="cyan"/>
        </w:rPr>
        <w:t xml:space="preserve">enter </w:t>
      </w:r>
      <w:r>
        <w:rPr>
          <w:rFonts w:ascii="Arial" w:hAnsi="Arial"/>
          <w:b/>
          <w:szCs w:val="16"/>
          <w:highlight w:val="cyan"/>
        </w:rPr>
        <w:t>DLCO predicted in</w:t>
      </w:r>
      <w:r w:rsidRPr="00656A01">
        <w:rPr>
          <w:rFonts w:ascii="Arial" w:hAnsi="Arial"/>
          <w:b/>
          <w:szCs w:val="16"/>
          <w:highlight w:val="cyan"/>
        </w:rPr>
        <w:t xml:space="preserve"> </w:t>
      </w:r>
      <w:r>
        <w:rPr>
          <w:rFonts w:ascii="Arial" w:hAnsi="Arial"/>
          <w:b/>
          <w:szCs w:val="16"/>
          <w:highlight w:val="cyan"/>
        </w:rPr>
        <w:t>“</w:t>
      </w:r>
      <w:r w:rsidRPr="00656A01">
        <w:rPr>
          <w:rFonts w:ascii="Arial" w:hAnsi="Arial"/>
          <w:b/>
          <w:szCs w:val="16"/>
          <w:highlight w:val="cyan"/>
        </w:rPr>
        <w:t>DLCO (SB) % predicted</w:t>
      </w:r>
      <w:r>
        <w:rPr>
          <w:rFonts w:ascii="Arial" w:hAnsi="Arial"/>
          <w:b/>
          <w:szCs w:val="16"/>
          <w:highlight w:val="cyan"/>
        </w:rPr>
        <w:t>” (box 9</w:t>
      </w:r>
      <w:r w:rsidRPr="00656A01">
        <w:rPr>
          <w:rFonts w:ascii="Arial" w:hAnsi="Arial"/>
          <w:b/>
          <w:szCs w:val="16"/>
          <w:highlight w:val="cyan"/>
        </w:rPr>
        <w:t>)</w:t>
      </w:r>
      <w:r>
        <w:rPr>
          <w:rFonts w:ascii="Arial" w:hAnsi="Arial"/>
          <w:b/>
          <w:szCs w:val="16"/>
          <w:highlight w:val="cyan"/>
        </w:rPr>
        <w:t xml:space="preserve"> </w:t>
      </w:r>
      <w:r w:rsidRPr="006F3544">
        <w:rPr>
          <w:rFonts w:ascii="Arial" w:hAnsi="Arial"/>
          <w:b/>
          <w:i/>
          <w:szCs w:val="16"/>
          <w:highlight w:val="cyan"/>
        </w:rPr>
        <w:t>***not required for 6602</w:t>
      </w:r>
    </w:p>
    <w:p w:rsidR="00D275EA" w:rsidRPr="00656A01" w:rsidRDefault="00D275EA" w:rsidP="00F063AF">
      <w:pPr>
        <w:pStyle w:val="ListParagraph"/>
        <w:widowControl w:val="0"/>
        <w:numPr>
          <w:ilvl w:val="0"/>
          <w:numId w:val="329"/>
        </w:numPr>
        <w:spacing w:after="120" w:line="240" w:lineRule="auto"/>
        <w:rPr>
          <w:rFonts w:ascii="Arial" w:hAnsi="Arial"/>
          <w:b/>
          <w:szCs w:val="16"/>
          <w:highlight w:val="cyan"/>
        </w:rPr>
      </w:pPr>
      <w:r>
        <w:rPr>
          <w:rFonts w:ascii="Arial" w:hAnsi="Arial"/>
          <w:b/>
          <w:szCs w:val="16"/>
          <w:highlight w:val="cyan"/>
        </w:rPr>
        <w:t>***</w:t>
      </w:r>
      <w:r w:rsidRPr="00656A01">
        <w:rPr>
          <w:rFonts w:ascii="Arial" w:hAnsi="Arial"/>
          <w:b/>
          <w:szCs w:val="16"/>
          <w:highlight w:val="cyan"/>
        </w:rPr>
        <w:t>only 6833 uses “FVC % Predicted”</w:t>
      </w:r>
    </w:p>
    <w:p w:rsidR="00D275EA" w:rsidRDefault="00D275EA" w:rsidP="00D275EA">
      <w:pPr>
        <w:widowControl w:val="0"/>
        <w:rPr>
          <w:rFonts w:ascii="Courier New" w:hAnsi="Courier New" w:cs="Courier New"/>
          <w:sz w:val="22"/>
          <w:szCs w:val="16"/>
        </w:rPr>
      </w:pPr>
      <w:r>
        <w:rPr>
          <w:rFonts w:ascii="Courier New" w:hAnsi="Courier New" w:cs="Courier New"/>
          <w:sz w:val="22"/>
          <w:szCs w:val="16"/>
        </w:rPr>
        <w:t xml:space="preserve">    </w:t>
      </w:r>
    </w:p>
    <w:p w:rsidR="00D275EA" w:rsidRDefault="00D275EA" w:rsidP="00D275EA">
      <w:pPr>
        <w:pBdr>
          <w:top w:val="single" w:sz="4" w:space="1" w:color="auto"/>
          <w:left w:val="single" w:sz="4" w:space="4" w:color="auto"/>
          <w:bottom w:val="single" w:sz="4" w:space="0" w:color="auto"/>
          <w:right w:val="single" w:sz="4" w:space="4" w:color="auto"/>
        </w:pBdr>
        <w:rPr>
          <w:rFonts w:asciiTheme="minorHAnsi" w:hAnsiTheme="minorHAnsi"/>
          <w:sz w:val="22"/>
          <w:szCs w:val="22"/>
        </w:rPr>
      </w:pPr>
      <w:r>
        <w:rPr>
          <w:rFonts w:asciiTheme="minorHAnsi" w:hAnsiTheme="minorHAnsi"/>
          <w:sz w:val="22"/>
          <w:szCs w:val="22"/>
        </w:rPr>
        <w:t>6600/bronchitis, 6603/emphysema, 6604/COPD, 6841/6842/6843/6844/6845 – FEV-1, FEV-1/FVC, DLCO</w:t>
      </w:r>
    </w:p>
    <w:p w:rsidR="00D275EA" w:rsidRDefault="00D275EA" w:rsidP="00D275EA">
      <w:pPr>
        <w:pBdr>
          <w:top w:val="single" w:sz="4" w:space="1" w:color="auto"/>
          <w:left w:val="single" w:sz="4" w:space="4" w:color="auto"/>
          <w:bottom w:val="single" w:sz="4" w:space="0" w:color="auto"/>
          <w:right w:val="single" w:sz="4" w:space="4" w:color="auto"/>
        </w:pBdr>
        <w:rPr>
          <w:rFonts w:asciiTheme="minorHAnsi" w:hAnsiTheme="minorHAnsi"/>
          <w:sz w:val="22"/>
          <w:szCs w:val="22"/>
        </w:rPr>
      </w:pPr>
      <w:r>
        <w:rPr>
          <w:rFonts w:asciiTheme="minorHAnsi" w:hAnsiTheme="minorHAnsi"/>
          <w:sz w:val="22"/>
          <w:szCs w:val="22"/>
        </w:rPr>
        <w:t>6602/asthma – FEV-1, FEV-1/FVC</w:t>
      </w:r>
    </w:p>
    <w:p w:rsidR="00D275EA" w:rsidRDefault="00D275EA" w:rsidP="00D275EA">
      <w:pPr>
        <w:pBdr>
          <w:top w:val="single" w:sz="4" w:space="1" w:color="auto"/>
          <w:left w:val="single" w:sz="4" w:space="4" w:color="auto"/>
          <w:bottom w:val="single" w:sz="4" w:space="0" w:color="auto"/>
          <w:right w:val="single" w:sz="4" w:space="4" w:color="auto"/>
        </w:pBdr>
        <w:rPr>
          <w:rFonts w:asciiTheme="minorHAnsi" w:hAnsiTheme="minorHAnsi"/>
          <w:sz w:val="22"/>
          <w:szCs w:val="22"/>
        </w:rPr>
      </w:pPr>
      <w:r>
        <w:rPr>
          <w:rFonts w:asciiTheme="minorHAnsi" w:hAnsiTheme="minorHAnsi"/>
          <w:sz w:val="22"/>
          <w:szCs w:val="22"/>
        </w:rPr>
        <w:t>6833/asbestosis – FVC, DLCO</w:t>
      </w:r>
    </w:p>
    <w:p w:rsidR="00D275EA" w:rsidRDefault="00D275EA" w:rsidP="00D275EA">
      <w:pPr>
        <w:widowControl w:val="0"/>
        <w:rPr>
          <w:rFonts w:ascii="Courier New" w:hAnsi="Courier New" w:cs="Courier New"/>
          <w:sz w:val="22"/>
          <w:szCs w:val="16"/>
        </w:rPr>
      </w:pPr>
    </w:p>
    <w:p w:rsidR="00D275EA" w:rsidRDefault="00D275EA" w:rsidP="00D275EA">
      <w:pPr>
        <w:pBdr>
          <w:top w:val="single" w:sz="4" w:space="1" w:color="auto"/>
          <w:left w:val="single" w:sz="4" w:space="1" w:color="auto"/>
          <w:bottom w:val="single" w:sz="4" w:space="1" w:color="auto"/>
          <w:right w:val="single" w:sz="4" w:space="1" w:color="auto"/>
        </w:pBdr>
        <w:rPr>
          <w:rFonts w:asciiTheme="minorHAnsi" w:hAnsiTheme="minorHAnsi"/>
          <w:b/>
          <w:sz w:val="22"/>
        </w:rPr>
      </w:pPr>
      <w:r>
        <w:rPr>
          <w:rFonts w:asciiTheme="minorHAnsi" w:hAnsiTheme="minorHAnsi"/>
          <w:b/>
          <w:sz w:val="22"/>
        </w:rPr>
        <w:t>6600/</w:t>
      </w:r>
      <w:r w:rsidRPr="00DC23B1">
        <w:rPr>
          <w:rFonts w:asciiTheme="minorHAnsi" w:hAnsiTheme="minorHAnsi"/>
          <w:b/>
          <w:sz w:val="22"/>
        </w:rPr>
        <w:t>BRONCHITIS</w:t>
      </w:r>
      <w:r>
        <w:rPr>
          <w:rFonts w:asciiTheme="minorHAnsi" w:hAnsiTheme="minorHAnsi"/>
          <w:b/>
          <w:sz w:val="22"/>
        </w:rPr>
        <w:t xml:space="preserve">, 6603/EMPHYSEMA, 6604/COPD, </w:t>
      </w:r>
      <w:r w:rsidRPr="004C139C">
        <w:rPr>
          <w:rFonts w:asciiTheme="minorHAnsi" w:hAnsiTheme="minorHAnsi"/>
          <w:b/>
          <w:sz w:val="22"/>
          <w:szCs w:val="22"/>
        </w:rPr>
        <w:t>6841/6842/6843/6844</w:t>
      </w:r>
      <w:r>
        <w:rPr>
          <w:rFonts w:asciiTheme="minorHAnsi" w:hAnsiTheme="minorHAnsi"/>
          <w:b/>
          <w:sz w:val="22"/>
          <w:szCs w:val="22"/>
        </w:rPr>
        <w:t>/6845</w:t>
      </w:r>
      <w:r w:rsidRPr="00DC23B1">
        <w:rPr>
          <w:rFonts w:asciiTheme="minorHAnsi" w:hAnsiTheme="minorHAnsi"/>
          <w:b/>
          <w:sz w:val="22"/>
        </w:rPr>
        <w:t>:</w:t>
      </w:r>
    </w:p>
    <w:p w:rsidR="00D275EA" w:rsidRDefault="00D275EA" w:rsidP="00D275EA">
      <w:pPr>
        <w:pBdr>
          <w:top w:val="single" w:sz="4" w:space="1" w:color="auto"/>
          <w:left w:val="single" w:sz="4" w:space="1" w:color="auto"/>
          <w:bottom w:val="single" w:sz="4" w:space="1" w:color="auto"/>
          <w:right w:val="single" w:sz="4" w:space="1" w:color="auto"/>
        </w:pBdr>
        <w:rPr>
          <w:rFonts w:asciiTheme="minorHAnsi" w:hAnsiTheme="minorHAnsi"/>
          <w:i/>
          <w:sz w:val="22"/>
          <w:szCs w:val="22"/>
        </w:rPr>
      </w:pPr>
      <w:r>
        <w:rPr>
          <w:rFonts w:asciiTheme="minorHAnsi" w:hAnsiTheme="minorHAnsi"/>
          <w:i/>
          <w:sz w:val="22"/>
          <w:szCs w:val="22"/>
        </w:rPr>
        <w:t xml:space="preserve">% for </w:t>
      </w:r>
      <w:r w:rsidRPr="003B4BFD">
        <w:rPr>
          <w:rFonts w:asciiTheme="minorHAnsi" w:hAnsiTheme="minorHAnsi"/>
          <w:i/>
          <w:sz w:val="22"/>
          <w:szCs w:val="22"/>
        </w:rPr>
        <w:t>FEV-1</w:t>
      </w:r>
      <w:r>
        <w:rPr>
          <w:rFonts w:asciiTheme="minorHAnsi" w:hAnsiTheme="minorHAnsi"/>
          <w:i/>
          <w:sz w:val="22"/>
          <w:szCs w:val="22"/>
        </w:rPr>
        <w:t xml:space="preserve"> predicted in “FEV-1 % Predicted” (3</w:t>
      </w:r>
      <w:r w:rsidRPr="008C47BB">
        <w:rPr>
          <w:rFonts w:asciiTheme="minorHAnsi" w:hAnsiTheme="minorHAnsi"/>
          <w:i/>
          <w:sz w:val="22"/>
          <w:szCs w:val="22"/>
          <w:vertAlign w:val="superscript"/>
        </w:rPr>
        <w:t>rd</w:t>
      </w:r>
      <w:r>
        <w:rPr>
          <w:rFonts w:asciiTheme="minorHAnsi" w:hAnsiTheme="minorHAnsi"/>
          <w:i/>
          <w:sz w:val="22"/>
          <w:szCs w:val="22"/>
        </w:rPr>
        <w:t xml:space="preserve"> boxes on the left)</w:t>
      </w:r>
    </w:p>
    <w:p w:rsidR="00D275EA" w:rsidRDefault="00D275EA" w:rsidP="00D275EA">
      <w:pPr>
        <w:pBdr>
          <w:top w:val="single" w:sz="4" w:space="1" w:color="auto"/>
          <w:left w:val="single" w:sz="4" w:space="1" w:color="auto"/>
          <w:bottom w:val="single" w:sz="4" w:space="1" w:color="auto"/>
          <w:right w:val="single" w:sz="4" w:space="1" w:color="auto"/>
        </w:pBdr>
        <w:rPr>
          <w:rFonts w:asciiTheme="minorHAnsi" w:hAnsiTheme="minorHAnsi"/>
          <w:i/>
          <w:sz w:val="22"/>
          <w:szCs w:val="22"/>
        </w:rPr>
      </w:pPr>
      <w:r>
        <w:rPr>
          <w:rFonts w:asciiTheme="minorHAnsi" w:hAnsiTheme="minorHAnsi"/>
          <w:i/>
          <w:sz w:val="22"/>
          <w:szCs w:val="22"/>
        </w:rPr>
        <w:t>% for FEV-1/FVC in “FEV-1/FVC Ratio” (6</w:t>
      </w:r>
      <w:r w:rsidRPr="008C47BB">
        <w:rPr>
          <w:rFonts w:asciiTheme="minorHAnsi" w:hAnsiTheme="minorHAnsi"/>
          <w:i/>
          <w:sz w:val="22"/>
          <w:szCs w:val="22"/>
          <w:vertAlign w:val="superscript"/>
        </w:rPr>
        <w:t>th</w:t>
      </w:r>
      <w:r>
        <w:rPr>
          <w:rFonts w:asciiTheme="minorHAnsi" w:hAnsiTheme="minorHAnsi"/>
          <w:i/>
          <w:sz w:val="22"/>
          <w:szCs w:val="22"/>
        </w:rPr>
        <w:t xml:space="preserve"> boxes on the left)</w:t>
      </w:r>
    </w:p>
    <w:p w:rsidR="00D275EA" w:rsidRPr="003B4BFD" w:rsidRDefault="00D275EA" w:rsidP="00D275EA">
      <w:pPr>
        <w:pBdr>
          <w:top w:val="single" w:sz="4" w:space="1" w:color="auto"/>
          <w:left w:val="single" w:sz="4" w:space="1" w:color="auto"/>
          <w:bottom w:val="single" w:sz="4" w:space="1" w:color="auto"/>
          <w:right w:val="single" w:sz="4" w:space="1" w:color="auto"/>
        </w:pBdr>
        <w:rPr>
          <w:rFonts w:asciiTheme="minorHAnsi" w:hAnsiTheme="minorHAnsi"/>
          <w:i/>
          <w:sz w:val="22"/>
          <w:szCs w:val="22"/>
        </w:rPr>
      </w:pPr>
      <w:r>
        <w:rPr>
          <w:rFonts w:asciiTheme="minorHAnsi" w:hAnsiTheme="minorHAnsi"/>
          <w:i/>
          <w:sz w:val="22"/>
          <w:szCs w:val="22"/>
        </w:rPr>
        <w:t xml:space="preserve">% for </w:t>
      </w:r>
      <w:r w:rsidRPr="003B4BFD">
        <w:rPr>
          <w:rFonts w:asciiTheme="minorHAnsi" w:hAnsiTheme="minorHAnsi"/>
          <w:i/>
          <w:sz w:val="22"/>
          <w:szCs w:val="22"/>
        </w:rPr>
        <w:t>DLCO</w:t>
      </w:r>
      <w:r>
        <w:rPr>
          <w:rFonts w:asciiTheme="minorHAnsi" w:hAnsiTheme="minorHAnsi"/>
          <w:i/>
          <w:sz w:val="22"/>
          <w:szCs w:val="22"/>
        </w:rPr>
        <w:t xml:space="preserve"> predicted in “DLCO (SB) % Predicted” (box 3 on the right)</w:t>
      </w:r>
    </w:p>
    <w:p w:rsidR="00D275EA" w:rsidRDefault="00D275EA" w:rsidP="00D275EA">
      <w:pPr>
        <w:pBdr>
          <w:top w:val="single" w:sz="4" w:space="1" w:color="auto"/>
          <w:left w:val="single" w:sz="4" w:space="1" w:color="auto"/>
          <w:bottom w:val="single" w:sz="4" w:space="1" w:color="auto"/>
          <w:right w:val="single" w:sz="4" w:space="1" w:color="auto"/>
        </w:pBdr>
        <w:rPr>
          <w:rFonts w:asciiTheme="minorHAnsi" w:hAnsiTheme="minorHAnsi"/>
          <w:color w:val="1F497D"/>
          <w:sz w:val="22"/>
        </w:rPr>
      </w:pPr>
    </w:p>
    <w:p w:rsidR="00D275EA" w:rsidRDefault="00D275EA" w:rsidP="00D275EA">
      <w:pPr>
        <w:pBdr>
          <w:top w:val="single" w:sz="4" w:space="1" w:color="auto"/>
          <w:left w:val="single" w:sz="4" w:space="1" w:color="auto"/>
          <w:bottom w:val="single" w:sz="4" w:space="1" w:color="auto"/>
          <w:right w:val="single" w:sz="4" w:space="1" w:color="auto"/>
        </w:pBdr>
        <w:rPr>
          <w:rFonts w:asciiTheme="minorHAnsi" w:hAnsiTheme="minorHAnsi"/>
          <w:color w:val="1F497D"/>
          <w:sz w:val="22"/>
        </w:rPr>
      </w:pPr>
      <w:r>
        <w:rPr>
          <w:noProof/>
        </w:rPr>
        <w:drawing>
          <wp:inline distT="0" distB="0" distL="0" distR="0" wp14:anchorId="22B810A5" wp14:editId="0A635001">
            <wp:extent cx="5943600" cy="3285490"/>
            <wp:effectExtent l="0" t="0" r="0" b="0"/>
            <wp:docPr id="24663" name="Picture 24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8"/>
                    <a:stretch>
                      <a:fillRect/>
                    </a:stretch>
                  </pic:blipFill>
                  <pic:spPr>
                    <a:xfrm>
                      <a:off x="0" y="0"/>
                      <a:ext cx="5943600" cy="3285490"/>
                    </a:xfrm>
                    <a:prstGeom prst="rect">
                      <a:avLst/>
                    </a:prstGeom>
                  </pic:spPr>
                </pic:pic>
              </a:graphicData>
            </a:graphic>
          </wp:inline>
        </w:drawing>
      </w:r>
    </w:p>
    <w:p w:rsidR="00D275EA" w:rsidRDefault="00D275EA" w:rsidP="00D275EA">
      <w:pPr>
        <w:pBdr>
          <w:top w:val="single" w:sz="4" w:space="1" w:color="auto"/>
          <w:left w:val="single" w:sz="4" w:space="1" w:color="auto"/>
          <w:bottom w:val="single" w:sz="4" w:space="1" w:color="auto"/>
          <w:right w:val="single" w:sz="4" w:space="1" w:color="auto"/>
        </w:pBdr>
        <w:rPr>
          <w:rFonts w:asciiTheme="minorHAnsi" w:hAnsiTheme="minorHAnsi"/>
          <w:color w:val="1F497D"/>
          <w:sz w:val="22"/>
        </w:rPr>
      </w:pPr>
    </w:p>
    <w:p w:rsidR="00D275EA" w:rsidRPr="00B90F68" w:rsidRDefault="00D275EA" w:rsidP="00D275EA">
      <w:pPr>
        <w:widowControl w:val="0"/>
        <w:pBdr>
          <w:top w:val="single" w:sz="4" w:space="1" w:color="auto"/>
          <w:left w:val="single" w:sz="4" w:space="1" w:color="auto"/>
          <w:bottom w:val="single" w:sz="4" w:space="1" w:color="auto"/>
          <w:right w:val="single" w:sz="4" w:space="1" w:color="auto"/>
        </w:pBdr>
        <w:rPr>
          <w:b/>
          <w:sz w:val="22"/>
          <w:szCs w:val="22"/>
        </w:rPr>
      </w:pPr>
      <w:r w:rsidRPr="00B90F68">
        <w:rPr>
          <w:b/>
          <w:sz w:val="22"/>
          <w:szCs w:val="16"/>
          <w:highlight w:val="cyan"/>
        </w:rPr>
        <w:t>*</w:t>
      </w:r>
      <w:r>
        <w:rPr>
          <w:b/>
          <w:sz w:val="22"/>
          <w:szCs w:val="16"/>
          <w:highlight w:val="cyan"/>
        </w:rPr>
        <w:t>examples</w:t>
      </w:r>
      <w:r w:rsidRPr="00B90F68">
        <w:rPr>
          <w:b/>
          <w:sz w:val="22"/>
          <w:szCs w:val="16"/>
          <w:highlight w:val="cyan"/>
        </w:rPr>
        <w:t xml:space="preserve"> for </w:t>
      </w:r>
      <w:r w:rsidRPr="008C47BB">
        <w:rPr>
          <w:b/>
          <w:sz w:val="22"/>
          <w:szCs w:val="16"/>
          <w:highlight w:val="cyan"/>
        </w:rPr>
        <w:t xml:space="preserve">6600/bronchitis </w:t>
      </w:r>
      <w:r>
        <w:rPr>
          <w:b/>
          <w:sz w:val="22"/>
          <w:szCs w:val="16"/>
          <w:highlight w:val="yellow"/>
        </w:rPr>
        <w:t>or 6603/emphysema or 6604/COPD</w:t>
      </w:r>
      <w:r w:rsidRPr="00B90F68">
        <w:rPr>
          <w:b/>
          <w:sz w:val="22"/>
          <w:szCs w:val="16"/>
          <w:highlight w:val="yellow"/>
        </w:rPr>
        <w:t xml:space="preserve"> </w:t>
      </w:r>
      <w:r w:rsidRPr="00B90F68">
        <w:rPr>
          <w:b/>
          <w:sz w:val="22"/>
          <w:szCs w:val="16"/>
          <w:highlight w:val="cyan"/>
        </w:rPr>
        <w:t>(</w:t>
      </w:r>
      <w:r w:rsidRPr="00B90F68">
        <w:rPr>
          <w:b/>
          <w:i/>
          <w:sz w:val="22"/>
          <w:szCs w:val="22"/>
          <w:highlight w:val="cyan"/>
        </w:rPr>
        <w:t>FEV-1, FEV-1/FVC</w:t>
      </w:r>
      <w:r w:rsidRPr="00B90F68">
        <w:rPr>
          <w:b/>
          <w:i/>
          <w:sz w:val="22"/>
          <w:szCs w:val="16"/>
          <w:highlight w:val="cyan"/>
        </w:rPr>
        <w:t>, DLCO</w:t>
      </w:r>
      <w:r w:rsidRPr="00B90F68">
        <w:rPr>
          <w:b/>
          <w:sz w:val="22"/>
          <w:szCs w:val="16"/>
          <w:highlight w:val="cyan"/>
        </w:rPr>
        <w:t>):</w:t>
      </w:r>
    </w:p>
    <w:p w:rsidR="00D275EA" w:rsidRDefault="00D275EA" w:rsidP="00D275EA">
      <w:pPr>
        <w:widowControl w:val="0"/>
        <w:pBdr>
          <w:top w:val="single" w:sz="4" w:space="1" w:color="auto"/>
          <w:left w:val="single" w:sz="4" w:space="1" w:color="auto"/>
          <w:bottom w:val="single" w:sz="4" w:space="1" w:color="auto"/>
          <w:right w:val="single" w:sz="4" w:space="1" w:color="auto"/>
        </w:pBdr>
        <w:rPr>
          <w:b/>
          <w:sz w:val="22"/>
          <w:szCs w:val="16"/>
        </w:rPr>
      </w:pPr>
    </w:p>
    <w:p w:rsidR="00D275EA" w:rsidRDefault="00D275EA" w:rsidP="00D275EA">
      <w:pPr>
        <w:widowControl w:val="0"/>
        <w:pBdr>
          <w:top w:val="single" w:sz="4" w:space="1" w:color="auto"/>
          <w:left w:val="single" w:sz="4" w:space="1" w:color="auto"/>
          <w:bottom w:val="single" w:sz="4" w:space="1" w:color="auto"/>
          <w:right w:val="single" w:sz="4" w:space="1" w:color="auto"/>
        </w:pBdr>
        <w:rPr>
          <w:b/>
          <w:sz w:val="22"/>
          <w:szCs w:val="16"/>
        </w:rPr>
      </w:pPr>
      <w:r>
        <w:rPr>
          <w:noProof/>
        </w:rPr>
        <w:drawing>
          <wp:inline distT="0" distB="0" distL="0" distR="0" wp14:anchorId="1F00E379" wp14:editId="002359C6">
            <wp:extent cx="5610225" cy="990600"/>
            <wp:effectExtent l="0" t="0" r="9525" b="0"/>
            <wp:docPr id="24664" name="Picture 24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9"/>
                    <a:stretch>
                      <a:fillRect/>
                    </a:stretch>
                  </pic:blipFill>
                  <pic:spPr>
                    <a:xfrm>
                      <a:off x="0" y="0"/>
                      <a:ext cx="5610225" cy="990600"/>
                    </a:xfrm>
                    <a:prstGeom prst="rect">
                      <a:avLst/>
                    </a:prstGeom>
                  </pic:spPr>
                </pic:pic>
              </a:graphicData>
            </a:graphic>
          </wp:inline>
        </w:drawing>
      </w:r>
    </w:p>
    <w:p w:rsidR="00D275EA" w:rsidRDefault="00D275EA" w:rsidP="00D275EA">
      <w:pPr>
        <w:widowControl w:val="0"/>
        <w:pBdr>
          <w:top w:val="single" w:sz="4" w:space="1" w:color="auto"/>
          <w:left w:val="single" w:sz="4" w:space="1" w:color="auto"/>
          <w:bottom w:val="single" w:sz="4" w:space="1" w:color="auto"/>
          <w:right w:val="single" w:sz="4" w:space="1" w:color="auto"/>
        </w:pBdr>
        <w:rPr>
          <w:b/>
          <w:sz w:val="22"/>
          <w:szCs w:val="16"/>
        </w:rPr>
      </w:pPr>
      <w:r>
        <w:rPr>
          <w:noProof/>
        </w:rPr>
        <w:drawing>
          <wp:inline distT="0" distB="0" distL="0" distR="0" wp14:anchorId="6737B8F9" wp14:editId="5FC02390">
            <wp:extent cx="5715000" cy="1581150"/>
            <wp:effectExtent l="0" t="0" r="0" b="0"/>
            <wp:docPr id="24665" name="Picture 24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0"/>
                    <a:stretch>
                      <a:fillRect/>
                    </a:stretch>
                  </pic:blipFill>
                  <pic:spPr>
                    <a:xfrm>
                      <a:off x="0" y="0"/>
                      <a:ext cx="5715000" cy="1581150"/>
                    </a:xfrm>
                    <a:prstGeom prst="rect">
                      <a:avLst/>
                    </a:prstGeom>
                  </pic:spPr>
                </pic:pic>
              </a:graphicData>
            </a:graphic>
          </wp:inline>
        </w:drawing>
      </w:r>
    </w:p>
    <w:p w:rsidR="00D275EA" w:rsidRDefault="00D275EA" w:rsidP="00D275EA">
      <w:pPr>
        <w:widowControl w:val="0"/>
        <w:pBdr>
          <w:top w:val="single" w:sz="4" w:space="1" w:color="auto"/>
          <w:left w:val="single" w:sz="4" w:space="1" w:color="auto"/>
          <w:bottom w:val="single" w:sz="4" w:space="1" w:color="auto"/>
          <w:right w:val="single" w:sz="4" w:space="1" w:color="auto"/>
        </w:pBdr>
        <w:rPr>
          <w:b/>
          <w:sz w:val="22"/>
          <w:szCs w:val="16"/>
        </w:rPr>
      </w:pPr>
    </w:p>
    <w:p w:rsidR="00D275EA" w:rsidRPr="00B90F68" w:rsidRDefault="00D275EA" w:rsidP="00D275EA">
      <w:pPr>
        <w:widowControl w:val="0"/>
        <w:pBdr>
          <w:top w:val="single" w:sz="4" w:space="1" w:color="auto"/>
          <w:left w:val="single" w:sz="4" w:space="1" w:color="auto"/>
          <w:bottom w:val="single" w:sz="4" w:space="1" w:color="auto"/>
          <w:right w:val="single" w:sz="4" w:space="1" w:color="auto"/>
        </w:pBdr>
        <w:rPr>
          <w:b/>
          <w:sz w:val="22"/>
          <w:szCs w:val="16"/>
        </w:rPr>
      </w:pPr>
      <w:r>
        <w:rPr>
          <w:noProof/>
        </w:rPr>
        <w:drawing>
          <wp:inline distT="0" distB="0" distL="0" distR="0" wp14:anchorId="6921443F" wp14:editId="3C44052C">
            <wp:extent cx="5943600" cy="3401060"/>
            <wp:effectExtent l="0" t="0" r="0" b="8890"/>
            <wp:docPr id="24670" name="Picture 24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1"/>
                    <a:stretch>
                      <a:fillRect/>
                    </a:stretch>
                  </pic:blipFill>
                  <pic:spPr>
                    <a:xfrm>
                      <a:off x="0" y="0"/>
                      <a:ext cx="5943600" cy="3401060"/>
                    </a:xfrm>
                    <a:prstGeom prst="rect">
                      <a:avLst/>
                    </a:prstGeom>
                  </pic:spPr>
                </pic:pic>
              </a:graphicData>
            </a:graphic>
          </wp:inline>
        </w:drawing>
      </w:r>
    </w:p>
    <w:p w:rsidR="00D275EA" w:rsidRDefault="00D275EA" w:rsidP="00D275EA">
      <w:pPr>
        <w:rPr>
          <w:rFonts w:asciiTheme="minorHAnsi" w:hAnsiTheme="minorHAnsi"/>
          <w:b/>
          <w:sz w:val="22"/>
        </w:rPr>
      </w:pPr>
    </w:p>
    <w:p w:rsidR="00D275EA" w:rsidRDefault="00D275EA" w:rsidP="00D275EA">
      <w:pPr>
        <w:pBdr>
          <w:top w:val="single" w:sz="4" w:space="1" w:color="auto"/>
          <w:left w:val="single" w:sz="4" w:space="4" w:color="auto"/>
          <w:bottom w:val="single" w:sz="4" w:space="1" w:color="auto"/>
          <w:right w:val="single" w:sz="4" w:space="4" w:color="auto"/>
        </w:pBdr>
        <w:rPr>
          <w:rFonts w:asciiTheme="minorHAnsi" w:hAnsiTheme="minorHAnsi"/>
          <w:b/>
          <w:sz w:val="22"/>
        </w:rPr>
      </w:pPr>
      <w:r>
        <w:rPr>
          <w:rFonts w:asciiTheme="minorHAnsi" w:hAnsiTheme="minorHAnsi"/>
          <w:b/>
          <w:sz w:val="22"/>
        </w:rPr>
        <w:t>6602/ASTHMA (in same order as above, but only has top 6 entries, no DLCO):</w:t>
      </w:r>
    </w:p>
    <w:p w:rsidR="00D275EA" w:rsidRDefault="00D275EA" w:rsidP="00D275EA">
      <w:pPr>
        <w:pBdr>
          <w:top w:val="single" w:sz="4" w:space="1" w:color="auto"/>
          <w:left w:val="single" w:sz="4" w:space="4" w:color="auto"/>
          <w:bottom w:val="single" w:sz="4" w:space="1" w:color="auto"/>
          <w:right w:val="single" w:sz="4" w:space="4" w:color="auto"/>
        </w:pBdr>
        <w:rPr>
          <w:rFonts w:asciiTheme="minorHAnsi" w:hAnsiTheme="minorHAnsi"/>
          <w:i/>
          <w:sz w:val="22"/>
          <w:szCs w:val="22"/>
        </w:rPr>
      </w:pPr>
      <w:r>
        <w:rPr>
          <w:rFonts w:asciiTheme="minorHAnsi" w:hAnsiTheme="minorHAnsi"/>
          <w:i/>
          <w:sz w:val="22"/>
          <w:szCs w:val="22"/>
        </w:rPr>
        <w:t xml:space="preserve">% for </w:t>
      </w:r>
      <w:r w:rsidRPr="003B4BFD">
        <w:rPr>
          <w:rFonts w:asciiTheme="minorHAnsi" w:hAnsiTheme="minorHAnsi"/>
          <w:i/>
          <w:sz w:val="22"/>
          <w:szCs w:val="22"/>
        </w:rPr>
        <w:t>FEV-1</w:t>
      </w:r>
      <w:r>
        <w:rPr>
          <w:rFonts w:asciiTheme="minorHAnsi" w:hAnsiTheme="minorHAnsi"/>
          <w:i/>
          <w:sz w:val="22"/>
          <w:szCs w:val="22"/>
        </w:rPr>
        <w:t xml:space="preserve"> predicted in “FEV-1 % Predicted” (box 3)</w:t>
      </w:r>
    </w:p>
    <w:p w:rsidR="00D275EA" w:rsidRDefault="00D275EA" w:rsidP="00D275EA">
      <w:pPr>
        <w:pBdr>
          <w:top w:val="single" w:sz="4" w:space="1" w:color="auto"/>
          <w:left w:val="single" w:sz="4" w:space="4" w:color="auto"/>
          <w:bottom w:val="single" w:sz="4" w:space="1" w:color="auto"/>
          <w:right w:val="single" w:sz="4" w:space="4" w:color="auto"/>
        </w:pBdr>
        <w:rPr>
          <w:rFonts w:asciiTheme="minorHAnsi" w:hAnsiTheme="minorHAnsi"/>
          <w:i/>
          <w:sz w:val="22"/>
          <w:szCs w:val="22"/>
        </w:rPr>
      </w:pPr>
      <w:r>
        <w:rPr>
          <w:rFonts w:asciiTheme="minorHAnsi" w:hAnsiTheme="minorHAnsi"/>
          <w:i/>
          <w:sz w:val="22"/>
          <w:szCs w:val="22"/>
        </w:rPr>
        <w:t>% for FEV-1/FVC in “FEV-1/FVC Ratio” (box 6)</w:t>
      </w:r>
    </w:p>
    <w:p w:rsidR="00D275EA" w:rsidRDefault="00D275EA" w:rsidP="00D275EA">
      <w:pPr>
        <w:pBdr>
          <w:top w:val="single" w:sz="4" w:space="1" w:color="auto"/>
          <w:left w:val="single" w:sz="4" w:space="4" w:color="auto"/>
          <w:bottom w:val="single" w:sz="4" w:space="1" w:color="auto"/>
          <w:right w:val="single" w:sz="4" w:space="4" w:color="auto"/>
        </w:pBdr>
        <w:rPr>
          <w:rFonts w:asciiTheme="minorHAnsi" w:hAnsiTheme="minorHAnsi"/>
          <w:color w:val="1F497D"/>
          <w:sz w:val="22"/>
        </w:rPr>
      </w:pPr>
      <w:r>
        <w:rPr>
          <w:noProof/>
        </w:rPr>
        <w:drawing>
          <wp:inline distT="0" distB="0" distL="0" distR="0" wp14:anchorId="18872C1F" wp14:editId="14B47183">
            <wp:extent cx="5486400" cy="1988820"/>
            <wp:effectExtent l="0" t="0" r="0" b="0"/>
            <wp:docPr id="24644" name="Picture 24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2"/>
                    <a:stretch>
                      <a:fillRect/>
                    </a:stretch>
                  </pic:blipFill>
                  <pic:spPr>
                    <a:xfrm>
                      <a:off x="0" y="0"/>
                      <a:ext cx="5486400" cy="1988820"/>
                    </a:xfrm>
                    <a:prstGeom prst="rect">
                      <a:avLst/>
                    </a:prstGeom>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p>
    <w:p w:rsidR="00D275EA" w:rsidRPr="00B90F68" w:rsidRDefault="00D275EA" w:rsidP="00D275EA">
      <w:pPr>
        <w:widowControl w:val="0"/>
        <w:pBdr>
          <w:top w:val="single" w:sz="4" w:space="1" w:color="auto"/>
          <w:left w:val="single" w:sz="4" w:space="4" w:color="auto"/>
          <w:bottom w:val="single" w:sz="4" w:space="1" w:color="auto"/>
          <w:right w:val="single" w:sz="4" w:space="4" w:color="auto"/>
        </w:pBdr>
        <w:rPr>
          <w:b/>
          <w:sz w:val="22"/>
          <w:szCs w:val="16"/>
        </w:rPr>
      </w:pPr>
      <w:r w:rsidRPr="00B90F68">
        <w:rPr>
          <w:b/>
          <w:sz w:val="22"/>
          <w:szCs w:val="16"/>
          <w:highlight w:val="cyan"/>
        </w:rPr>
        <w:t>*examples for 6602/asthma (</w:t>
      </w:r>
      <w:r w:rsidRPr="00B90F68">
        <w:rPr>
          <w:b/>
          <w:i/>
          <w:sz w:val="22"/>
          <w:szCs w:val="22"/>
          <w:highlight w:val="cyan"/>
        </w:rPr>
        <w:t>FEV-1, FEV-1/FVC</w:t>
      </w:r>
      <w:r w:rsidRPr="00B90F68">
        <w:rPr>
          <w:b/>
          <w:i/>
          <w:sz w:val="22"/>
          <w:szCs w:val="16"/>
          <w:highlight w:val="cyan"/>
        </w:rPr>
        <w:t>, NO DLCO</w:t>
      </w:r>
      <w:r w:rsidRPr="00B90F68">
        <w:rPr>
          <w:b/>
          <w:sz w:val="22"/>
          <w:szCs w:val="16"/>
          <w:highlight w:val="cyan"/>
        </w:rPr>
        <w:t>):</w:t>
      </w:r>
    </w:p>
    <w:p w:rsidR="00D275EA" w:rsidRDefault="00D275EA" w:rsidP="00D275EA">
      <w:pPr>
        <w:widowControl w:val="0"/>
        <w:pBdr>
          <w:top w:val="single" w:sz="4" w:space="1" w:color="auto"/>
          <w:left w:val="single" w:sz="4" w:space="4" w:color="auto"/>
          <w:bottom w:val="single" w:sz="4" w:space="1" w:color="auto"/>
          <w:right w:val="single" w:sz="4" w:space="4" w:color="auto"/>
        </w:pBdr>
        <w:rPr>
          <w:b/>
          <w:sz w:val="22"/>
          <w:szCs w:val="16"/>
        </w:rPr>
      </w:pPr>
    </w:p>
    <w:p w:rsidR="00D275EA" w:rsidRDefault="00D275EA" w:rsidP="00D275EA">
      <w:pPr>
        <w:widowControl w:val="0"/>
        <w:pBdr>
          <w:top w:val="single" w:sz="4" w:space="1" w:color="auto"/>
          <w:left w:val="single" w:sz="4" w:space="4" w:color="auto"/>
          <w:bottom w:val="single" w:sz="4" w:space="1" w:color="auto"/>
          <w:right w:val="single" w:sz="4" w:space="4" w:color="auto"/>
        </w:pBdr>
        <w:rPr>
          <w:b/>
          <w:sz w:val="22"/>
          <w:szCs w:val="16"/>
        </w:rPr>
      </w:pPr>
      <w:r>
        <w:rPr>
          <w:b/>
          <w:sz w:val="22"/>
          <w:szCs w:val="16"/>
        </w:rPr>
        <w:t>(1) with post-bronchodilator:</w:t>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r>
        <w:rPr>
          <w:noProof/>
        </w:rPr>
        <w:drawing>
          <wp:inline distT="0" distB="0" distL="0" distR="0" wp14:anchorId="697376AB" wp14:editId="0D9C7449">
            <wp:extent cx="5943600" cy="873125"/>
            <wp:effectExtent l="0" t="0" r="0" b="3175"/>
            <wp:docPr id="24582" name="Picture 24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3"/>
                    <a:stretch>
                      <a:fillRect/>
                    </a:stretch>
                  </pic:blipFill>
                  <pic:spPr>
                    <a:xfrm>
                      <a:off x="0" y="0"/>
                      <a:ext cx="5943600" cy="873125"/>
                    </a:xfrm>
                    <a:prstGeom prst="rect">
                      <a:avLst/>
                    </a:prstGeom>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r>
        <w:rPr>
          <w:noProof/>
        </w:rPr>
        <w:drawing>
          <wp:inline distT="0" distB="0" distL="0" distR="0" wp14:anchorId="4625D927" wp14:editId="350895B2">
            <wp:extent cx="5486400" cy="1805940"/>
            <wp:effectExtent l="0" t="0" r="0" b="3810"/>
            <wp:docPr id="24650" name="Picture 24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4"/>
                    <a:stretch>
                      <a:fillRect/>
                    </a:stretch>
                  </pic:blipFill>
                  <pic:spPr>
                    <a:xfrm>
                      <a:off x="0" y="0"/>
                      <a:ext cx="5486400" cy="1805940"/>
                    </a:xfrm>
                    <a:prstGeom prst="rect">
                      <a:avLst/>
                    </a:prstGeom>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p>
    <w:p w:rsidR="00D275EA" w:rsidRDefault="00D275EA" w:rsidP="00D275EA">
      <w:pPr>
        <w:widowControl w:val="0"/>
        <w:pBdr>
          <w:top w:val="single" w:sz="4" w:space="1" w:color="auto"/>
          <w:left w:val="single" w:sz="4" w:space="4" w:color="auto"/>
          <w:bottom w:val="single" w:sz="4" w:space="1" w:color="auto"/>
          <w:right w:val="single" w:sz="4" w:space="4" w:color="auto"/>
        </w:pBdr>
        <w:rPr>
          <w:b/>
          <w:sz w:val="22"/>
          <w:szCs w:val="16"/>
        </w:rPr>
      </w:pPr>
      <w:r>
        <w:rPr>
          <w:b/>
          <w:sz w:val="22"/>
          <w:szCs w:val="16"/>
        </w:rPr>
        <w:t>(2) with only pre-bronchodilator:</w:t>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r>
        <w:rPr>
          <w:noProof/>
        </w:rPr>
        <w:drawing>
          <wp:inline distT="0" distB="0" distL="0" distR="0" wp14:anchorId="2563900D" wp14:editId="779A1A03">
            <wp:extent cx="4610100" cy="1095375"/>
            <wp:effectExtent l="0" t="0" r="0" b="9525"/>
            <wp:docPr id="24651" name="Picture 24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5"/>
                    <a:stretch>
                      <a:fillRect/>
                    </a:stretch>
                  </pic:blipFill>
                  <pic:spPr>
                    <a:xfrm>
                      <a:off x="0" y="0"/>
                      <a:ext cx="4610100" cy="1095375"/>
                    </a:xfrm>
                    <a:prstGeom prst="rect">
                      <a:avLst/>
                    </a:prstGeom>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r>
        <w:rPr>
          <w:noProof/>
        </w:rPr>
        <w:drawing>
          <wp:inline distT="0" distB="0" distL="0" distR="0" wp14:anchorId="6DE4D661" wp14:editId="7F0139A6">
            <wp:extent cx="5571460" cy="1866265"/>
            <wp:effectExtent l="0" t="0" r="0" b="635"/>
            <wp:docPr id="24652" name="Picture 24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6"/>
                    <a:stretch>
                      <a:fillRect/>
                    </a:stretch>
                  </pic:blipFill>
                  <pic:spPr>
                    <a:xfrm>
                      <a:off x="0" y="0"/>
                      <a:ext cx="5571460" cy="1866265"/>
                    </a:xfrm>
                    <a:prstGeom prst="rect">
                      <a:avLst/>
                    </a:prstGeom>
                  </pic:spPr>
                </pic:pic>
              </a:graphicData>
            </a:graphic>
          </wp:inline>
        </w:drawing>
      </w:r>
    </w:p>
    <w:p w:rsidR="00D275EA" w:rsidRDefault="00D275EA" w:rsidP="00D275EA">
      <w:pPr>
        <w:widowControl w:val="0"/>
        <w:ind w:left="-360"/>
        <w:rPr>
          <w:rFonts w:ascii="Courier New" w:hAnsi="Courier New" w:cs="Courier New"/>
          <w:sz w:val="22"/>
          <w:szCs w:val="16"/>
        </w:rPr>
      </w:pPr>
    </w:p>
    <w:p w:rsidR="00D275EA" w:rsidRDefault="00D275EA" w:rsidP="00D275EA">
      <w:pPr>
        <w:pBdr>
          <w:top w:val="single" w:sz="4" w:space="1" w:color="auto"/>
          <w:left w:val="single" w:sz="4" w:space="4" w:color="auto"/>
          <w:bottom w:val="single" w:sz="4" w:space="1" w:color="auto"/>
          <w:right w:val="single" w:sz="4" w:space="4" w:color="auto"/>
        </w:pBdr>
        <w:rPr>
          <w:rFonts w:asciiTheme="minorHAnsi" w:hAnsiTheme="minorHAnsi"/>
          <w:b/>
          <w:sz w:val="22"/>
        </w:rPr>
      </w:pPr>
      <w:r>
        <w:rPr>
          <w:rFonts w:asciiTheme="minorHAnsi" w:hAnsiTheme="minorHAnsi"/>
          <w:b/>
          <w:sz w:val="22"/>
        </w:rPr>
        <w:t>6833/ASBESTOSIS (different from above):</w:t>
      </w:r>
    </w:p>
    <w:p w:rsidR="00D275EA" w:rsidRDefault="00D275EA" w:rsidP="00D275EA">
      <w:pPr>
        <w:pBdr>
          <w:top w:val="single" w:sz="4" w:space="1" w:color="auto"/>
          <w:left w:val="single" w:sz="4" w:space="4" w:color="auto"/>
          <w:bottom w:val="single" w:sz="4" w:space="1" w:color="auto"/>
          <w:right w:val="single" w:sz="4" w:space="4" w:color="auto"/>
        </w:pBdr>
        <w:rPr>
          <w:rFonts w:asciiTheme="minorHAnsi" w:hAnsiTheme="minorHAnsi"/>
          <w:i/>
          <w:sz w:val="22"/>
          <w:szCs w:val="22"/>
        </w:rPr>
      </w:pPr>
      <w:r>
        <w:rPr>
          <w:rFonts w:asciiTheme="minorHAnsi" w:hAnsiTheme="minorHAnsi"/>
          <w:i/>
          <w:sz w:val="22"/>
          <w:szCs w:val="22"/>
        </w:rPr>
        <w:t xml:space="preserve">% for </w:t>
      </w:r>
      <w:r w:rsidRPr="003B4BFD">
        <w:rPr>
          <w:rFonts w:asciiTheme="minorHAnsi" w:hAnsiTheme="minorHAnsi"/>
          <w:i/>
          <w:sz w:val="22"/>
          <w:szCs w:val="22"/>
        </w:rPr>
        <w:t>F</w:t>
      </w:r>
      <w:r>
        <w:rPr>
          <w:rFonts w:asciiTheme="minorHAnsi" w:hAnsiTheme="minorHAnsi"/>
          <w:i/>
          <w:sz w:val="22"/>
          <w:szCs w:val="22"/>
        </w:rPr>
        <w:t>VC predicted in “FVC % Predicted” (box 3)</w:t>
      </w:r>
    </w:p>
    <w:p w:rsidR="00D275EA" w:rsidRPr="003B4BFD" w:rsidRDefault="00D275EA" w:rsidP="00D275EA">
      <w:pPr>
        <w:pBdr>
          <w:top w:val="single" w:sz="4" w:space="1" w:color="auto"/>
          <w:left w:val="single" w:sz="4" w:space="4" w:color="auto"/>
          <w:bottom w:val="single" w:sz="4" w:space="1" w:color="auto"/>
          <w:right w:val="single" w:sz="4" w:space="4" w:color="auto"/>
        </w:pBdr>
        <w:rPr>
          <w:rFonts w:asciiTheme="minorHAnsi" w:hAnsiTheme="minorHAnsi"/>
          <w:i/>
          <w:sz w:val="22"/>
          <w:szCs w:val="22"/>
        </w:rPr>
      </w:pPr>
      <w:r>
        <w:rPr>
          <w:rFonts w:asciiTheme="minorHAnsi" w:hAnsiTheme="minorHAnsi"/>
          <w:i/>
          <w:sz w:val="22"/>
          <w:szCs w:val="22"/>
        </w:rPr>
        <w:t xml:space="preserve">% for </w:t>
      </w:r>
      <w:r w:rsidRPr="003B4BFD">
        <w:rPr>
          <w:rFonts w:asciiTheme="minorHAnsi" w:hAnsiTheme="minorHAnsi"/>
          <w:i/>
          <w:sz w:val="22"/>
          <w:szCs w:val="22"/>
        </w:rPr>
        <w:t>DLCO</w:t>
      </w:r>
      <w:r>
        <w:rPr>
          <w:rFonts w:asciiTheme="minorHAnsi" w:hAnsiTheme="minorHAnsi"/>
          <w:i/>
          <w:sz w:val="22"/>
          <w:szCs w:val="22"/>
        </w:rPr>
        <w:t xml:space="preserve"> predicted in “DLCO (SB) % Predicted” (box 6)</w:t>
      </w:r>
    </w:p>
    <w:p w:rsidR="00D275EA" w:rsidRDefault="00D275EA" w:rsidP="00D275EA">
      <w:pPr>
        <w:pBdr>
          <w:top w:val="single" w:sz="4" w:space="1" w:color="auto"/>
          <w:left w:val="single" w:sz="4" w:space="4" w:color="auto"/>
          <w:bottom w:val="single" w:sz="4" w:space="1" w:color="auto"/>
          <w:right w:val="single" w:sz="4" w:space="4" w:color="auto"/>
        </w:pBdr>
        <w:rPr>
          <w:rFonts w:asciiTheme="minorHAnsi" w:hAnsiTheme="minorHAnsi"/>
          <w:color w:val="1F497D"/>
          <w:sz w:val="22"/>
        </w:rPr>
      </w:pPr>
      <w:r>
        <w:rPr>
          <w:noProof/>
        </w:rPr>
        <w:drawing>
          <wp:inline distT="0" distB="0" distL="0" distR="0" wp14:anchorId="6D0DA397" wp14:editId="3F49D5A9">
            <wp:extent cx="5486400" cy="1667608"/>
            <wp:effectExtent l="0" t="0" r="0" b="8890"/>
            <wp:docPr id="24653" name="Picture 24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7"/>
                    <a:stretch>
                      <a:fillRect/>
                    </a:stretch>
                  </pic:blipFill>
                  <pic:spPr>
                    <a:xfrm>
                      <a:off x="0" y="0"/>
                      <a:ext cx="5486400" cy="1667608"/>
                    </a:xfrm>
                    <a:prstGeom prst="rect">
                      <a:avLst/>
                    </a:prstGeom>
                  </pic:spPr>
                </pic:pic>
              </a:graphicData>
            </a:graphic>
          </wp:inline>
        </w:drawing>
      </w:r>
    </w:p>
    <w:p w:rsidR="00D275EA" w:rsidRDefault="00D275EA" w:rsidP="00D275EA">
      <w:pPr>
        <w:pBdr>
          <w:top w:val="single" w:sz="4" w:space="1" w:color="auto"/>
          <w:left w:val="single" w:sz="4" w:space="4" w:color="auto"/>
          <w:bottom w:val="single" w:sz="4" w:space="1" w:color="auto"/>
          <w:right w:val="single" w:sz="4" w:space="4" w:color="auto"/>
        </w:pBdr>
        <w:rPr>
          <w:rFonts w:asciiTheme="minorHAnsi" w:hAnsiTheme="minorHAnsi"/>
          <w:color w:val="1F497D"/>
          <w:sz w:val="22"/>
        </w:rPr>
      </w:pPr>
    </w:p>
    <w:p w:rsidR="00D275EA" w:rsidRDefault="00D275EA" w:rsidP="00D275EA">
      <w:pPr>
        <w:widowControl w:val="0"/>
        <w:pBdr>
          <w:top w:val="single" w:sz="4" w:space="1" w:color="auto"/>
          <w:left w:val="single" w:sz="4" w:space="4" w:color="auto"/>
          <w:bottom w:val="single" w:sz="4" w:space="1" w:color="auto"/>
          <w:right w:val="single" w:sz="4" w:space="4" w:color="auto"/>
        </w:pBdr>
        <w:rPr>
          <w:b/>
          <w:sz w:val="22"/>
          <w:szCs w:val="16"/>
        </w:rPr>
      </w:pPr>
      <w:r w:rsidRPr="00656A01">
        <w:rPr>
          <w:b/>
          <w:sz w:val="22"/>
          <w:szCs w:val="16"/>
          <w:highlight w:val="cyan"/>
        </w:rPr>
        <w:t>*</w:t>
      </w:r>
      <w:r>
        <w:rPr>
          <w:b/>
          <w:sz w:val="22"/>
          <w:szCs w:val="16"/>
          <w:highlight w:val="cyan"/>
        </w:rPr>
        <w:t>examples for 6833</w:t>
      </w:r>
      <w:r w:rsidRPr="00656A01">
        <w:rPr>
          <w:b/>
          <w:sz w:val="22"/>
          <w:szCs w:val="16"/>
          <w:highlight w:val="cyan"/>
        </w:rPr>
        <w:t>/</w:t>
      </w:r>
      <w:r w:rsidRPr="00B90F68">
        <w:rPr>
          <w:b/>
          <w:sz w:val="22"/>
          <w:szCs w:val="16"/>
          <w:highlight w:val="cyan"/>
        </w:rPr>
        <w:t>asbestosis (</w:t>
      </w:r>
      <w:r w:rsidRPr="00B90F68">
        <w:rPr>
          <w:b/>
          <w:i/>
          <w:sz w:val="22"/>
          <w:szCs w:val="22"/>
          <w:highlight w:val="cyan"/>
        </w:rPr>
        <w:t>FVC, DLCO</w:t>
      </w:r>
      <w:r w:rsidRPr="00B90F68">
        <w:rPr>
          <w:b/>
          <w:i/>
          <w:sz w:val="22"/>
          <w:szCs w:val="16"/>
          <w:highlight w:val="cyan"/>
        </w:rPr>
        <w:t>, only one that uses FVC</w:t>
      </w:r>
      <w:r>
        <w:rPr>
          <w:b/>
          <w:sz w:val="22"/>
          <w:szCs w:val="16"/>
          <w:highlight w:val="cyan"/>
        </w:rPr>
        <w:t>):</w:t>
      </w:r>
    </w:p>
    <w:p w:rsidR="00D275EA" w:rsidRDefault="00D275EA" w:rsidP="00D275EA">
      <w:pPr>
        <w:widowControl w:val="0"/>
        <w:pBdr>
          <w:top w:val="single" w:sz="4" w:space="1" w:color="auto"/>
          <w:left w:val="single" w:sz="4" w:space="4" w:color="auto"/>
          <w:bottom w:val="single" w:sz="4" w:space="1" w:color="auto"/>
          <w:right w:val="single" w:sz="4" w:space="4" w:color="auto"/>
        </w:pBdr>
        <w:rPr>
          <w:b/>
          <w:sz w:val="22"/>
          <w:szCs w:val="16"/>
        </w:rPr>
      </w:pPr>
    </w:p>
    <w:p w:rsidR="00D275EA" w:rsidRDefault="00D275EA" w:rsidP="00D275EA">
      <w:pPr>
        <w:widowControl w:val="0"/>
        <w:pBdr>
          <w:top w:val="single" w:sz="4" w:space="1" w:color="auto"/>
          <w:left w:val="single" w:sz="4" w:space="4" w:color="auto"/>
          <w:bottom w:val="single" w:sz="4" w:space="1" w:color="auto"/>
          <w:right w:val="single" w:sz="4" w:space="4" w:color="auto"/>
        </w:pBdr>
        <w:rPr>
          <w:b/>
          <w:sz w:val="22"/>
          <w:szCs w:val="16"/>
        </w:rPr>
      </w:pPr>
      <w:r>
        <w:rPr>
          <w:b/>
          <w:sz w:val="22"/>
          <w:szCs w:val="16"/>
        </w:rPr>
        <w:t>(1) with post-bronchodilator:</w:t>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r>
        <w:rPr>
          <w:noProof/>
        </w:rPr>
        <w:drawing>
          <wp:inline distT="0" distB="0" distL="0" distR="0" wp14:anchorId="0E968D56" wp14:editId="40B8E705">
            <wp:extent cx="5943600" cy="96774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8"/>
                    <a:stretch>
                      <a:fillRect/>
                    </a:stretch>
                  </pic:blipFill>
                  <pic:spPr>
                    <a:xfrm>
                      <a:off x="0" y="0"/>
                      <a:ext cx="5943600" cy="967740"/>
                    </a:xfrm>
                    <a:prstGeom prst="rect">
                      <a:avLst/>
                    </a:prstGeom>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r>
        <w:rPr>
          <w:noProof/>
        </w:rPr>
        <w:drawing>
          <wp:inline distT="0" distB="0" distL="0" distR="0" wp14:anchorId="10838F4C" wp14:editId="221D2057">
            <wp:extent cx="5571460" cy="13811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9"/>
                    <a:stretch>
                      <a:fillRect/>
                    </a:stretch>
                  </pic:blipFill>
                  <pic:spPr>
                    <a:xfrm>
                      <a:off x="0" y="0"/>
                      <a:ext cx="5571460" cy="1381125"/>
                    </a:xfrm>
                    <a:prstGeom prst="rect">
                      <a:avLst/>
                    </a:prstGeom>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rPr>
          <w:b/>
          <w:sz w:val="22"/>
          <w:szCs w:val="16"/>
        </w:rPr>
      </w:pPr>
      <w:r>
        <w:rPr>
          <w:b/>
          <w:sz w:val="22"/>
          <w:szCs w:val="16"/>
        </w:rPr>
        <w:t>(2) with only pre-bronchodilator:</w:t>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r>
        <w:rPr>
          <w:noProof/>
        </w:rPr>
        <w:drawing>
          <wp:inline distT="0" distB="0" distL="0" distR="0" wp14:anchorId="526E7941" wp14:editId="732E8FAC">
            <wp:extent cx="5943600" cy="1040765"/>
            <wp:effectExtent l="0" t="0" r="0" b="6985"/>
            <wp:docPr id="24654" name="Picture 2465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60">
                      <a:extLst>
                        <a:ext uri="{28A0092B-C50C-407E-A947-70E740481C1C}">
                          <a14:useLocalDpi xmlns:a14="http://schemas.microsoft.com/office/drawing/2010/main" val="0"/>
                        </a:ext>
                      </a:extLst>
                    </a:blip>
                    <a:srcRect/>
                    <a:stretch>
                      <a:fillRect/>
                    </a:stretch>
                  </pic:blipFill>
                  <pic:spPr bwMode="auto">
                    <a:xfrm>
                      <a:off x="0" y="0"/>
                      <a:ext cx="5943600" cy="1040765"/>
                    </a:xfrm>
                    <a:prstGeom prst="rect">
                      <a:avLst/>
                    </a:prstGeom>
                    <a:noFill/>
                    <a:ln>
                      <a:noFill/>
                    </a:ln>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rPr>
          <w:rFonts w:ascii="Courier New" w:hAnsi="Courier New" w:cs="Courier New"/>
          <w:sz w:val="22"/>
          <w:szCs w:val="16"/>
        </w:rPr>
      </w:pPr>
      <w:r>
        <w:rPr>
          <w:noProof/>
        </w:rPr>
        <w:drawing>
          <wp:inline distT="0" distB="0" distL="0" distR="0" wp14:anchorId="5C4AAA40" wp14:editId="37724154">
            <wp:extent cx="5656521" cy="1335405"/>
            <wp:effectExtent l="0" t="0" r="1905" b="0"/>
            <wp:docPr id="24655" name="Picture 24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1"/>
                    <a:stretch>
                      <a:fillRect/>
                    </a:stretch>
                  </pic:blipFill>
                  <pic:spPr>
                    <a:xfrm>
                      <a:off x="0" y="0"/>
                      <a:ext cx="5656521" cy="1335405"/>
                    </a:xfrm>
                    <a:prstGeom prst="rect">
                      <a:avLst/>
                    </a:prstGeom>
                  </pic:spPr>
                </pic:pic>
              </a:graphicData>
            </a:graphic>
          </wp:inline>
        </w:drawing>
      </w:r>
    </w:p>
    <w:p w:rsidR="00D275EA" w:rsidRDefault="00D275EA" w:rsidP="00D275EA">
      <w:pPr>
        <w:widowControl w:val="0"/>
        <w:ind w:left="-360"/>
        <w:rPr>
          <w:rFonts w:ascii="Courier New" w:hAnsi="Courier New" w:cs="Courier New"/>
          <w:sz w:val="22"/>
          <w:szCs w:val="16"/>
        </w:rPr>
      </w:pPr>
    </w:p>
    <w:p w:rsidR="00D275EA" w:rsidRPr="00E62C66" w:rsidRDefault="00D571C5" w:rsidP="00F063AF">
      <w:pPr>
        <w:pStyle w:val="ListParagraph"/>
        <w:widowControl w:val="0"/>
        <w:numPr>
          <w:ilvl w:val="0"/>
          <w:numId w:val="143"/>
        </w:numPr>
        <w:ind w:left="720"/>
        <w:rPr>
          <w:rFonts w:ascii="Courier New" w:hAnsi="Courier New" w:cs="Courier New"/>
          <w:szCs w:val="16"/>
        </w:rPr>
      </w:pPr>
      <w:hyperlink r:id="rId562" w:history="1">
        <w:r w:rsidR="00D275EA" w:rsidRPr="00506E1F">
          <w:rPr>
            <w:rStyle w:val="Hyperlink"/>
            <w:rFonts w:ascii="Arial" w:hAnsi="Arial"/>
            <w:b/>
            <w:bCs/>
            <w:i/>
            <w:sz w:val="20"/>
            <w:szCs w:val="20"/>
          </w:rPr>
          <w:t>August 2016 Quality Call Notes</w:t>
        </w:r>
      </w:hyperlink>
      <w:r w:rsidR="00D275EA" w:rsidRPr="00506E1F">
        <w:rPr>
          <w:i/>
        </w:rPr>
        <w:t xml:space="preserve"> </w:t>
      </w:r>
      <w:r w:rsidR="00D275EA" w:rsidRPr="00506E1F">
        <w:rPr>
          <w:rFonts w:eastAsiaTheme="minorHAnsi"/>
        </w:rPr>
        <w:t>–</w:t>
      </w:r>
    </w:p>
    <w:p w:rsidR="00D275EA" w:rsidRPr="00F220EC" w:rsidRDefault="00D275EA" w:rsidP="00D275EA">
      <w:pPr>
        <w:pStyle w:val="NoSpacing"/>
        <w:tabs>
          <w:tab w:val="left" w:pos="5760"/>
        </w:tabs>
        <w:ind w:left="720"/>
        <w:rPr>
          <w:color w:val="FFFFFF"/>
          <w:sz w:val="22"/>
          <w:szCs w:val="22"/>
        </w:rPr>
      </w:pPr>
      <w:r w:rsidRPr="006908FD">
        <w:rPr>
          <w:b/>
          <w:color w:val="FF0000"/>
          <w:sz w:val="22"/>
          <w:szCs w:val="22"/>
        </w:rPr>
        <w:t>Example 1:</w:t>
      </w:r>
      <w:r>
        <w:rPr>
          <w:sz w:val="22"/>
          <w:szCs w:val="22"/>
        </w:rPr>
        <w:t xml:space="preserve">  A DBQ provides a diagnosis of bronchitis with </w:t>
      </w:r>
      <w:r w:rsidRPr="00C845E5">
        <w:rPr>
          <w:sz w:val="22"/>
          <w:szCs w:val="22"/>
        </w:rPr>
        <w:t xml:space="preserve">post-bronchodilator results showing an </w:t>
      </w:r>
      <w:r>
        <w:rPr>
          <w:sz w:val="22"/>
          <w:szCs w:val="22"/>
        </w:rPr>
        <w:t>‘</w:t>
      </w:r>
      <w:r w:rsidRPr="00C845E5">
        <w:rPr>
          <w:sz w:val="22"/>
          <w:szCs w:val="22"/>
        </w:rPr>
        <w:t>FVC Percent Predicted</w:t>
      </w:r>
      <w:r>
        <w:rPr>
          <w:sz w:val="22"/>
          <w:szCs w:val="22"/>
        </w:rPr>
        <w:t xml:space="preserve">’ of 55, </w:t>
      </w:r>
      <w:r w:rsidRPr="00C845E5">
        <w:rPr>
          <w:sz w:val="22"/>
          <w:szCs w:val="22"/>
        </w:rPr>
        <w:t xml:space="preserve">an </w:t>
      </w:r>
      <w:r>
        <w:rPr>
          <w:sz w:val="22"/>
          <w:szCs w:val="22"/>
        </w:rPr>
        <w:t>‘</w:t>
      </w:r>
      <w:r w:rsidRPr="00C845E5">
        <w:rPr>
          <w:sz w:val="22"/>
          <w:szCs w:val="22"/>
        </w:rPr>
        <w:t>FEV-1 Percent Predicted</w:t>
      </w:r>
      <w:r>
        <w:rPr>
          <w:sz w:val="22"/>
          <w:szCs w:val="22"/>
        </w:rPr>
        <w:t xml:space="preserve">’ of 65, </w:t>
      </w:r>
      <w:r w:rsidRPr="00C845E5">
        <w:rPr>
          <w:sz w:val="22"/>
          <w:szCs w:val="22"/>
        </w:rPr>
        <w:t xml:space="preserve">the </w:t>
      </w:r>
      <w:r>
        <w:rPr>
          <w:sz w:val="22"/>
          <w:szCs w:val="22"/>
        </w:rPr>
        <w:t>‘</w:t>
      </w:r>
      <w:r w:rsidRPr="00C845E5">
        <w:rPr>
          <w:sz w:val="22"/>
          <w:szCs w:val="22"/>
        </w:rPr>
        <w:t>FEV-1/FVC ratio</w:t>
      </w:r>
      <w:r>
        <w:rPr>
          <w:sz w:val="22"/>
          <w:szCs w:val="22"/>
        </w:rPr>
        <w:t>’</w:t>
      </w:r>
      <w:r w:rsidRPr="00C845E5">
        <w:rPr>
          <w:sz w:val="22"/>
          <w:szCs w:val="22"/>
        </w:rPr>
        <w:t xml:space="preserve"> is 40</w:t>
      </w:r>
      <w:r>
        <w:rPr>
          <w:sz w:val="22"/>
          <w:szCs w:val="22"/>
        </w:rPr>
        <w:t>%, ‘</w:t>
      </w:r>
      <w:r w:rsidRPr="00C845E5">
        <w:rPr>
          <w:sz w:val="22"/>
          <w:szCs w:val="22"/>
        </w:rPr>
        <w:t>DLCO</w:t>
      </w:r>
      <w:r>
        <w:rPr>
          <w:sz w:val="22"/>
          <w:szCs w:val="22"/>
        </w:rPr>
        <w:t>’</w:t>
      </w:r>
      <w:r w:rsidRPr="00C845E5">
        <w:rPr>
          <w:sz w:val="22"/>
          <w:szCs w:val="22"/>
        </w:rPr>
        <w:t xml:space="preserve"> of 60</w:t>
      </w:r>
      <w:r>
        <w:rPr>
          <w:sz w:val="22"/>
          <w:szCs w:val="22"/>
        </w:rPr>
        <w:t>, and ‘MOC’</w:t>
      </w:r>
      <w:r w:rsidRPr="000C437F">
        <w:rPr>
          <w:sz w:val="22"/>
          <w:szCs w:val="22"/>
        </w:rPr>
        <w:t xml:space="preserve"> of 65 milliliters per kilogram per minut</w:t>
      </w:r>
      <w:r>
        <w:rPr>
          <w:sz w:val="22"/>
          <w:szCs w:val="22"/>
        </w:rPr>
        <w:t>e</w:t>
      </w:r>
      <w:r w:rsidRPr="00C845E5">
        <w:rPr>
          <w:sz w:val="22"/>
          <w:szCs w:val="22"/>
        </w:rPr>
        <w:t xml:space="preserve">.  </w:t>
      </w:r>
      <w:r>
        <w:rPr>
          <w:sz w:val="22"/>
          <w:szCs w:val="22"/>
        </w:rPr>
        <w:t>Please remember that the MOC is not always provided, and the diagnosis of bronchitis does not require a ‘FVC Percent Predicted’ value in order to be evaluated (which is why it does not appear in the EB for this disorder).  In this example, t</w:t>
      </w:r>
      <w:r w:rsidRPr="00C845E5">
        <w:rPr>
          <w:sz w:val="22"/>
          <w:szCs w:val="22"/>
        </w:rPr>
        <w:t xml:space="preserve">he user should input values in the corresponding </w:t>
      </w:r>
      <w:r>
        <w:rPr>
          <w:sz w:val="22"/>
          <w:szCs w:val="22"/>
        </w:rPr>
        <w:t>boxes in the EB which will generate an evaluation.</w:t>
      </w:r>
    </w:p>
    <w:p w:rsidR="00D275EA" w:rsidRPr="00F220EC" w:rsidRDefault="00D275EA" w:rsidP="00D275EA">
      <w:pPr>
        <w:pStyle w:val="NoSpacing"/>
        <w:tabs>
          <w:tab w:val="left" w:pos="5760"/>
        </w:tabs>
        <w:rPr>
          <w:color w:val="FFFFFF"/>
          <w:sz w:val="16"/>
          <w:szCs w:val="16"/>
        </w:rPr>
      </w:pPr>
    </w:p>
    <w:p w:rsidR="00D275EA" w:rsidRPr="00980D44" w:rsidRDefault="00D275EA" w:rsidP="00D275EA">
      <w:pPr>
        <w:pStyle w:val="NoSpacing"/>
        <w:tabs>
          <w:tab w:val="left" w:pos="5760"/>
        </w:tabs>
        <w:ind w:left="720"/>
        <w:rPr>
          <w:color w:val="FFFFFF"/>
          <w:sz w:val="22"/>
          <w:szCs w:val="22"/>
        </w:rPr>
      </w:pPr>
      <w:r>
        <w:rPr>
          <w:noProof/>
          <w:sz w:val="22"/>
          <w:szCs w:val="22"/>
        </w:rPr>
        <w:drawing>
          <wp:inline distT="0" distB="0" distL="0" distR="0" wp14:anchorId="3540F275" wp14:editId="17A23C29">
            <wp:extent cx="2661285" cy="1981200"/>
            <wp:effectExtent l="0" t="0" r="5715" b="0"/>
            <wp:docPr id="24646" name="Picture 24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3">
                      <a:extLst>
                        <a:ext uri="{28A0092B-C50C-407E-A947-70E740481C1C}">
                          <a14:useLocalDpi xmlns:a14="http://schemas.microsoft.com/office/drawing/2010/main" val="0"/>
                        </a:ext>
                      </a:extLst>
                    </a:blip>
                    <a:srcRect/>
                    <a:stretch>
                      <a:fillRect/>
                    </a:stretch>
                  </pic:blipFill>
                  <pic:spPr bwMode="auto">
                    <a:xfrm>
                      <a:off x="0" y="0"/>
                      <a:ext cx="2661285" cy="1981200"/>
                    </a:xfrm>
                    <a:prstGeom prst="rect">
                      <a:avLst/>
                    </a:prstGeom>
                    <a:noFill/>
                  </pic:spPr>
                </pic:pic>
              </a:graphicData>
            </a:graphic>
          </wp:inline>
        </w:drawing>
      </w:r>
    </w:p>
    <w:p w:rsidR="00D275EA" w:rsidRPr="00F220EC" w:rsidRDefault="00D275EA" w:rsidP="00D275EA">
      <w:pPr>
        <w:pStyle w:val="NoSpacing"/>
        <w:tabs>
          <w:tab w:val="left" w:pos="5760"/>
        </w:tabs>
        <w:rPr>
          <w:color w:val="FFFFFF"/>
          <w:sz w:val="16"/>
          <w:szCs w:val="16"/>
        </w:rPr>
      </w:pPr>
    </w:p>
    <w:p w:rsidR="00D275EA" w:rsidRDefault="00D275EA" w:rsidP="00D275EA">
      <w:pPr>
        <w:pStyle w:val="ListParagraph"/>
        <w:widowControl w:val="0"/>
        <w:rPr>
          <w:rFonts w:ascii="Courier New" w:hAnsi="Courier New" w:cs="Courier New"/>
          <w:szCs w:val="16"/>
        </w:rPr>
      </w:pPr>
      <w:r>
        <w:rPr>
          <w:noProof/>
        </w:rPr>
        <w:drawing>
          <wp:inline distT="0" distB="0" distL="0" distR="0" wp14:anchorId="45EAB993" wp14:editId="58DE1D95">
            <wp:extent cx="4742180" cy="2073275"/>
            <wp:effectExtent l="0" t="0" r="1270" b="3175"/>
            <wp:docPr id="24645" name="Picture 24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4">
                      <a:extLst>
                        <a:ext uri="{28A0092B-C50C-407E-A947-70E740481C1C}">
                          <a14:useLocalDpi xmlns:a14="http://schemas.microsoft.com/office/drawing/2010/main" val="0"/>
                        </a:ext>
                      </a:extLst>
                    </a:blip>
                    <a:srcRect/>
                    <a:stretch>
                      <a:fillRect/>
                    </a:stretch>
                  </pic:blipFill>
                  <pic:spPr bwMode="auto">
                    <a:xfrm>
                      <a:off x="0" y="0"/>
                      <a:ext cx="4742180" cy="2073275"/>
                    </a:xfrm>
                    <a:prstGeom prst="rect">
                      <a:avLst/>
                    </a:prstGeom>
                    <a:noFill/>
                    <a:ln>
                      <a:noFill/>
                    </a:ln>
                  </pic:spPr>
                </pic:pic>
              </a:graphicData>
            </a:graphic>
          </wp:inline>
        </w:drawing>
      </w:r>
    </w:p>
    <w:p w:rsidR="00D275EA" w:rsidRPr="00F220EC" w:rsidRDefault="00D275EA" w:rsidP="00D275EA">
      <w:pPr>
        <w:pStyle w:val="NoSpacing"/>
        <w:tabs>
          <w:tab w:val="left" w:pos="5760"/>
        </w:tabs>
        <w:ind w:left="720"/>
        <w:rPr>
          <w:color w:val="FFFFFF"/>
          <w:sz w:val="22"/>
          <w:szCs w:val="22"/>
        </w:rPr>
      </w:pPr>
      <w:r w:rsidRPr="006908FD">
        <w:rPr>
          <w:b/>
          <w:color w:val="FF0000"/>
          <w:sz w:val="22"/>
          <w:szCs w:val="22"/>
        </w:rPr>
        <w:t>Example 2:</w:t>
      </w:r>
      <w:r>
        <w:rPr>
          <w:sz w:val="22"/>
          <w:szCs w:val="22"/>
        </w:rPr>
        <w:t xml:space="preserve">  The Veteran failed to report for a VAE; however, a recent respiratory treatment report for c</w:t>
      </w:r>
      <w:r w:rsidRPr="00957996">
        <w:rPr>
          <w:sz w:val="22"/>
          <w:szCs w:val="22"/>
        </w:rPr>
        <w:t>hronic</w:t>
      </w:r>
      <w:r>
        <w:rPr>
          <w:sz w:val="22"/>
          <w:szCs w:val="22"/>
        </w:rPr>
        <w:t xml:space="preserve"> obstructive pulmonary disease (COPD) was submitted with the claim.  The report shows </w:t>
      </w:r>
      <w:r w:rsidRPr="000C437F">
        <w:rPr>
          <w:sz w:val="22"/>
          <w:szCs w:val="22"/>
        </w:rPr>
        <w:t xml:space="preserve">a </w:t>
      </w:r>
      <w:r>
        <w:rPr>
          <w:sz w:val="22"/>
          <w:szCs w:val="22"/>
        </w:rPr>
        <w:t>‘</w:t>
      </w:r>
      <w:r w:rsidRPr="000C437F">
        <w:rPr>
          <w:sz w:val="22"/>
          <w:szCs w:val="22"/>
        </w:rPr>
        <w:t>Predicted FEV-1</w:t>
      </w:r>
      <w:r>
        <w:rPr>
          <w:sz w:val="22"/>
          <w:szCs w:val="22"/>
        </w:rPr>
        <w:t>’</w:t>
      </w:r>
      <w:r w:rsidRPr="000C437F">
        <w:rPr>
          <w:sz w:val="22"/>
          <w:szCs w:val="22"/>
        </w:rPr>
        <w:t xml:space="preserve"> of 3 with an </w:t>
      </w:r>
      <w:r>
        <w:rPr>
          <w:sz w:val="22"/>
          <w:szCs w:val="22"/>
        </w:rPr>
        <w:t>‘</w:t>
      </w:r>
      <w:r w:rsidRPr="000C437F">
        <w:rPr>
          <w:sz w:val="22"/>
          <w:szCs w:val="22"/>
        </w:rPr>
        <w:t>Actual FEV-1</w:t>
      </w:r>
      <w:r>
        <w:rPr>
          <w:sz w:val="22"/>
          <w:szCs w:val="22"/>
        </w:rPr>
        <w:t xml:space="preserve">’ of 2.8, </w:t>
      </w:r>
      <w:r w:rsidRPr="000C437F">
        <w:rPr>
          <w:sz w:val="22"/>
          <w:szCs w:val="22"/>
        </w:rPr>
        <w:t>and</w:t>
      </w:r>
      <w:r>
        <w:rPr>
          <w:sz w:val="22"/>
          <w:szCs w:val="22"/>
        </w:rPr>
        <w:t xml:space="preserve"> a ‘</w:t>
      </w:r>
      <w:r w:rsidRPr="000C437F">
        <w:rPr>
          <w:sz w:val="22"/>
          <w:szCs w:val="22"/>
        </w:rPr>
        <w:t>Predicted FVC</w:t>
      </w:r>
      <w:r>
        <w:rPr>
          <w:sz w:val="22"/>
          <w:szCs w:val="22"/>
        </w:rPr>
        <w:t>’</w:t>
      </w:r>
      <w:r w:rsidRPr="000C437F">
        <w:rPr>
          <w:sz w:val="22"/>
          <w:szCs w:val="22"/>
        </w:rPr>
        <w:t xml:space="preserve"> of 5 with an </w:t>
      </w:r>
      <w:r>
        <w:rPr>
          <w:sz w:val="22"/>
          <w:szCs w:val="22"/>
        </w:rPr>
        <w:t>‘</w:t>
      </w:r>
      <w:r w:rsidRPr="000C437F">
        <w:rPr>
          <w:sz w:val="22"/>
          <w:szCs w:val="22"/>
        </w:rPr>
        <w:t>Actual FVC</w:t>
      </w:r>
      <w:r>
        <w:rPr>
          <w:sz w:val="22"/>
          <w:szCs w:val="22"/>
        </w:rPr>
        <w:t>’</w:t>
      </w:r>
      <w:r w:rsidRPr="000C437F">
        <w:rPr>
          <w:sz w:val="22"/>
          <w:szCs w:val="22"/>
        </w:rPr>
        <w:t xml:space="preserve"> of 4.7. </w:t>
      </w:r>
      <w:r>
        <w:rPr>
          <w:sz w:val="22"/>
          <w:szCs w:val="22"/>
        </w:rPr>
        <w:t xml:space="preserve"> </w:t>
      </w:r>
      <w:r w:rsidRPr="000C437F">
        <w:rPr>
          <w:sz w:val="22"/>
          <w:szCs w:val="22"/>
        </w:rPr>
        <w:t xml:space="preserve">Since </w:t>
      </w:r>
      <w:r>
        <w:rPr>
          <w:sz w:val="22"/>
          <w:szCs w:val="22"/>
        </w:rPr>
        <w:t xml:space="preserve">VA will evaluate claimed disorders based on </w:t>
      </w:r>
      <w:r w:rsidRPr="000C437F">
        <w:rPr>
          <w:sz w:val="22"/>
          <w:szCs w:val="22"/>
        </w:rPr>
        <w:t xml:space="preserve">the evidence of record, the user </w:t>
      </w:r>
      <w:r>
        <w:rPr>
          <w:sz w:val="22"/>
          <w:szCs w:val="22"/>
        </w:rPr>
        <w:t>would</w:t>
      </w:r>
      <w:r w:rsidRPr="000C437F">
        <w:rPr>
          <w:sz w:val="22"/>
          <w:szCs w:val="22"/>
        </w:rPr>
        <w:t xml:space="preserve"> input the available values in the corresponding boxes in the </w:t>
      </w:r>
      <w:r>
        <w:rPr>
          <w:sz w:val="22"/>
          <w:szCs w:val="22"/>
        </w:rPr>
        <w:t>EB.</w:t>
      </w:r>
    </w:p>
    <w:p w:rsidR="00D275EA" w:rsidRPr="00F220EC" w:rsidRDefault="00D275EA" w:rsidP="00F063AF">
      <w:pPr>
        <w:pStyle w:val="NoSpacing"/>
        <w:numPr>
          <w:ilvl w:val="0"/>
          <w:numId w:val="143"/>
        </w:numPr>
        <w:tabs>
          <w:tab w:val="left" w:pos="5760"/>
        </w:tabs>
        <w:rPr>
          <w:color w:val="FFFFFF"/>
          <w:sz w:val="16"/>
          <w:szCs w:val="16"/>
        </w:rPr>
      </w:pPr>
    </w:p>
    <w:p w:rsidR="00D275EA" w:rsidRPr="00F220EC" w:rsidRDefault="00D275EA" w:rsidP="00D275EA">
      <w:pPr>
        <w:pStyle w:val="NoSpacing"/>
        <w:tabs>
          <w:tab w:val="left" w:pos="720"/>
        </w:tabs>
        <w:ind w:left="720"/>
        <w:rPr>
          <w:color w:val="FFFFFF"/>
          <w:sz w:val="22"/>
          <w:szCs w:val="22"/>
        </w:rPr>
      </w:pPr>
      <w:r>
        <w:rPr>
          <w:noProof/>
          <w:sz w:val="22"/>
          <w:szCs w:val="22"/>
        </w:rPr>
        <w:drawing>
          <wp:inline distT="0" distB="0" distL="0" distR="0" wp14:anchorId="5C21CD85" wp14:editId="17D652D7">
            <wp:extent cx="1751330" cy="2390140"/>
            <wp:effectExtent l="0" t="0" r="1270" b="0"/>
            <wp:docPr id="24649" name="Picture 24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5">
                      <a:extLst>
                        <a:ext uri="{28A0092B-C50C-407E-A947-70E740481C1C}">
                          <a14:useLocalDpi xmlns:a14="http://schemas.microsoft.com/office/drawing/2010/main" val="0"/>
                        </a:ext>
                      </a:extLst>
                    </a:blip>
                    <a:srcRect/>
                    <a:stretch>
                      <a:fillRect/>
                    </a:stretch>
                  </pic:blipFill>
                  <pic:spPr bwMode="auto">
                    <a:xfrm>
                      <a:off x="0" y="0"/>
                      <a:ext cx="1751330" cy="2390140"/>
                    </a:xfrm>
                    <a:prstGeom prst="rect">
                      <a:avLst/>
                    </a:prstGeom>
                    <a:noFill/>
                  </pic:spPr>
                </pic:pic>
              </a:graphicData>
            </a:graphic>
          </wp:inline>
        </w:drawing>
      </w:r>
    </w:p>
    <w:p w:rsidR="00D275EA" w:rsidRPr="00F220EC" w:rsidRDefault="00D275EA" w:rsidP="00F063AF">
      <w:pPr>
        <w:pStyle w:val="NoSpacing"/>
        <w:numPr>
          <w:ilvl w:val="0"/>
          <w:numId w:val="143"/>
        </w:numPr>
        <w:tabs>
          <w:tab w:val="left" w:pos="5760"/>
        </w:tabs>
        <w:rPr>
          <w:color w:val="FFFFFF"/>
          <w:sz w:val="16"/>
          <w:szCs w:val="16"/>
        </w:rPr>
      </w:pPr>
    </w:p>
    <w:p w:rsidR="00D275EA" w:rsidRPr="00F220EC" w:rsidRDefault="00D275EA" w:rsidP="00D275EA">
      <w:pPr>
        <w:pStyle w:val="NoSpacing"/>
        <w:tabs>
          <w:tab w:val="left" w:pos="5760"/>
        </w:tabs>
        <w:ind w:left="720"/>
        <w:rPr>
          <w:color w:val="FFFFFF"/>
          <w:sz w:val="22"/>
          <w:szCs w:val="22"/>
        </w:rPr>
      </w:pPr>
      <w:r>
        <w:rPr>
          <w:sz w:val="22"/>
          <w:szCs w:val="22"/>
        </w:rPr>
        <w:t xml:space="preserve">This action will trigger a pop-up box.  In this example, </w:t>
      </w:r>
      <w:r w:rsidRPr="00916F99">
        <w:rPr>
          <w:sz w:val="22"/>
          <w:szCs w:val="22"/>
        </w:rPr>
        <w:t xml:space="preserve">the user should click </w:t>
      </w:r>
      <w:r>
        <w:rPr>
          <w:sz w:val="22"/>
          <w:szCs w:val="22"/>
        </w:rPr>
        <w:t>‘C</w:t>
      </w:r>
      <w:r w:rsidRPr="00916F99">
        <w:rPr>
          <w:sz w:val="22"/>
          <w:szCs w:val="22"/>
        </w:rPr>
        <w:t>ontinue</w:t>
      </w:r>
      <w:r>
        <w:rPr>
          <w:sz w:val="22"/>
          <w:szCs w:val="22"/>
        </w:rPr>
        <w:t>’</w:t>
      </w:r>
      <w:r w:rsidRPr="00916F99">
        <w:rPr>
          <w:sz w:val="22"/>
          <w:szCs w:val="22"/>
        </w:rPr>
        <w:t xml:space="preserve"> and generate an evaluation </w:t>
      </w:r>
      <w:r>
        <w:rPr>
          <w:sz w:val="22"/>
          <w:szCs w:val="22"/>
        </w:rPr>
        <w:t>since a private treatment report is being used.</w:t>
      </w:r>
    </w:p>
    <w:p w:rsidR="00D275EA" w:rsidRPr="00F220EC" w:rsidRDefault="00D275EA" w:rsidP="00F063AF">
      <w:pPr>
        <w:pStyle w:val="NoSpacing"/>
        <w:numPr>
          <w:ilvl w:val="0"/>
          <w:numId w:val="143"/>
        </w:numPr>
        <w:tabs>
          <w:tab w:val="left" w:pos="5760"/>
        </w:tabs>
        <w:rPr>
          <w:color w:val="FFFFFF"/>
          <w:sz w:val="10"/>
          <w:szCs w:val="10"/>
        </w:rPr>
      </w:pPr>
    </w:p>
    <w:p w:rsidR="00D275EA" w:rsidRPr="00F220EC" w:rsidRDefault="00D275EA" w:rsidP="00D275EA">
      <w:pPr>
        <w:pStyle w:val="NoSpacing"/>
        <w:tabs>
          <w:tab w:val="left" w:pos="5760"/>
        </w:tabs>
        <w:ind w:left="720"/>
        <w:rPr>
          <w:color w:val="FFFFFF"/>
          <w:sz w:val="22"/>
          <w:szCs w:val="22"/>
        </w:rPr>
      </w:pPr>
      <w:r>
        <w:rPr>
          <w:noProof/>
        </w:rPr>
        <w:drawing>
          <wp:inline distT="0" distB="0" distL="0" distR="0" wp14:anchorId="1434CEAF" wp14:editId="48E9DB7A">
            <wp:extent cx="2734310" cy="1224915"/>
            <wp:effectExtent l="0" t="0" r="8890" b="0"/>
            <wp:docPr id="24648" name="Picture 24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6">
                      <a:extLst>
                        <a:ext uri="{28A0092B-C50C-407E-A947-70E740481C1C}">
                          <a14:useLocalDpi xmlns:a14="http://schemas.microsoft.com/office/drawing/2010/main" val="0"/>
                        </a:ext>
                      </a:extLst>
                    </a:blip>
                    <a:srcRect/>
                    <a:stretch>
                      <a:fillRect/>
                    </a:stretch>
                  </pic:blipFill>
                  <pic:spPr bwMode="auto">
                    <a:xfrm>
                      <a:off x="0" y="0"/>
                      <a:ext cx="2734310" cy="1224915"/>
                    </a:xfrm>
                    <a:prstGeom prst="rect">
                      <a:avLst/>
                    </a:prstGeom>
                    <a:noFill/>
                    <a:ln>
                      <a:noFill/>
                    </a:ln>
                  </pic:spPr>
                </pic:pic>
              </a:graphicData>
            </a:graphic>
          </wp:inline>
        </w:drawing>
      </w:r>
    </w:p>
    <w:p w:rsidR="00D275EA" w:rsidRPr="00F220EC" w:rsidRDefault="00D275EA" w:rsidP="00F063AF">
      <w:pPr>
        <w:pStyle w:val="NoSpacing"/>
        <w:numPr>
          <w:ilvl w:val="0"/>
          <w:numId w:val="143"/>
        </w:numPr>
        <w:tabs>
          <w:tab w:val="left" w:pos="5760"/>
        </w:tabs>
        <w:rPr>
          <w:color w:val="FFFFFF"/>
          <w:sz w:val="22"/>
          <w:szCs w:val="22"/>
        </w:rPr>
      </w:pPr>
    </w:p>
    <w:p w:rsidR="00D275EA" w:rsidRPr="00F220EC" w:rsidRDefault="00D275EA" w:rsidP="00D275EA">
      <w:pPr>
        <w:pStyle w:val="NoSpacing"/>
        <w:tabs>
          <w:tab w:val="left" w:pos="720"/>
        </w:tabs>
        <w:ind w:left="720"/>
        <w:rPr>
          <w:color w:val="FFFFFF"/>
          <w:sz w:val="22"/>
          <w:szCs w:val="22"/>
        </w:rPr>
      </w:pPr>
      <w:r>
        <w:rPr>
          <w:noProof/>
        </w:rPr>
        <w:drawing>
          <wp:inline distT="0" distB="0" distL="0" distR="0" wp14:anchorId="4E95B13C" wp14:editId="5FBD236F">
            <wp:extent cx="5219065" cy="2312035"/>
            <wp:effectExtent l="0" t="0" r="635" b="0"/>
            <wp:docPr id="24647" name="Picture 24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7">
                      <a:extLst>
                        <a:ext uri="{28A0092B-C50C-407E-A947-70E740481C1C}">
                          <a14:useLocalDpi xmlns:a14="http://schemas.microsoft.com/office/drawing/2010/main" val="0"/>
                        </a:ext>
                      </a:extLst>
                    </a:blip>
                    <a:srcRect/>
                    <a:stretch>
                      <a:fillRect/>
                    </a:stretch>
                  </pic:blipFill>
                  <pic:spPr bwMode="auto">
                    <a:xfrm>
                      <a:off x="0" y="0"/>
                      <a:ext cx="5219065" cy="2312035"/>
                    </a:xfrm>
                    <a:prstGeom prst="rect">
                      <a:avLst/>
                    </a:prstGeom>
                    <a:noFill/>
                    <a:ln>
                      <a:noFill/>
                    </a:ln>
                  </pic:spPr>
                </pic:pic>
              </a:graphicData>
            </a:graphic>
          </wp:inline>
        </w:drawing>
      </w:r>
    </w:p>
    <w:p w:rsidR="00D275EA" w:rsidRPr="00F220EC" w:rsidRDefault="00D275EA" w:rsidP="00F063AF">
      <w:pPr>
        <w:pStyle w:val="NoSpacing"/>
        <w:numPr>
          <w:ilvl w:val="0"/>
          <w:numId w:val="143"/>
        </w:numPr>
        <w:tabs>
          <w:tab w:val="left" w:pos="5760"/>
        </w:tabs>
        <w:rPr>
          <w:color w:val="FFFFFF"/>
          <w:sz w:val="22"/>
          <w:szCs w:val="22"/>
        </w:rPr>
      </w:pPr>
    </w:p>
    <w:p w:rsidR="00D275EA" w:rsidRPr="00506E1F" w:rsidRDefault="00D275EA" w:rsidP="00F063AF">
      <w:pPr>
        <w:pStyle w:val="ListParagraph"/>
        <w:widowControl w:val="0"/>
        <w:numPr>
          <w:ilvl w:val="0"/>
          <w:numId w:val="143"/>
        </w:numPr>
        <w:ind w:left="720"/>
        <w:rPr>
          <w:rFonts w:ascii="Courier New" w:hAnsi="Courier New" w:cs="Courier New"/>
          <w:szCs w:val="16"/>
        </w:rPr>
      </w:pPr>
      <w:r>
        <w:rPr>
          <w:rFonts w:ascii="Courier New" w:hAnsi="Courier New" w:cs="Courier New"/>
          <w:szCs w:val="16"/>
        </w:rPr>
        <w:t>…</w:t>
      </w:r>
    </w:p>
    <w:p w:rsidR="00D275EA" w:rsidRDefault="00D275EA" w:rsidP="00D275EA">
      <w:pPr>
        <w:widowControl w:val="0"/>
        <w:ind w:left="-360"/>
        <w:rPr>
          <w:rFonts w:ascii="Courier New" w:hAnsi="Courier New" w:cs="Courier New"/>
          <w:sz w:val="22"/>
          <w:szCs w:val="16"/>
        </w:rPr>
      </w:pPr>
      <w:r>
        <w:rPr>
          <w:rFonts w:ascii="Courier New" w:hAnsi="Courier New" w:cs="Courier New"/>
          <w:sz w:val="22"/>
          <w:szCs w:val="16"/>
        </w:rPr>
        <w:t xml:space="preserve">               </w:t>
      </w:r>
    </w:p>
    <w:p w:rsidR="00D275EA" w:rsidRDefault="00D275EA" w:rsidP="00D275EA">
      <w:pPr>
        <w:widowControl w:val="0"/>
        <w:numPr>
          <w:ilvl w:val="12"/>
          <w:numId w:val="0"/>
        </w:numPr>
        <w:pBdr>
          <w:top w:val="single" w:sz="4" w:space="1" w:color="auto"/>
        </w:pBdr>
        <w:rPr>
          <w:b/>
          <w:bCs/>
          <w:i/>
        </w:rPr>
      </w:pPr>
    </w:p>
    <w:p w:rsidR="00D275EA" w:rsidRDefault="00D275EA">
      <w:pPr>
        <w:overflowPunct/>
        <w:autoSpaceDE/>
        <w:autoSpaceDN/>
        <w:adjustRightInd/>
        <w:textAlignment w:val="auto"/>
      </w:pPr>
      <w:r>
        <w:br w:type="page"/>
      </w:r>
    </w:p>
    <w:tbl>
      <w:tblPr>
        <w:tblW w:w="10875" w:type="dxa"/>
        <w:tblInd w:w="-45" w:type="dxa"/>
        <w:tblLayout w:type="fixed"/>
        <w:tblCellMar>
          <w:left w:w="30" w:type="dxa"/>
          <w:right w:w="30" w:type="dxa"/>
        </w:tblCellMar>
        <w:tblLook w:val="0000" w:firstRow="0" w:lastRow="0" w:firstColumn="0" w:lastColumn="0" w:noHBand="0" w:noVBand="0"/>
      </w:tblPr>
      <w:tblGrid>
        <w:gridCol w:w="705"/>
        <w:gridCol w:w="10170"/>
      </w:tblGrid>
      <w:tr w:rsidR="00D275EA" w:rsidTr="005567F4">
        <w:trPr>
          <w:trHeight w:val="311"/>
        </w:trPr>
        <w:tc>
          <w:tcPr>
            <w:tcW w:w="10875" w:type="dxa"/>
            <w:gridSpan w:val="2"/>
            <w:tcBorders>
              <w:top w:val="single" w:sz="4" w:space="0" w:color="auto"/>
              <w:left w:val="nil"/>
              <w:bottom w:val="nil"/>
              <w:right w:val="nil"/>
            </w:tcBorders>
          </w:tcPr>
          <w:p w:rsidR="00D275EA" w:rsidRDefault="00D275EA" w:rsidP="00C334D1">
            <w:pPr>
              <w:widowControl w:val="0"/>
              <w:numPr>
                <w:ilvl w:val="12"/>
                <w:numId w:val="0"/>
              </w:numPr>
              <w:jc w:val="center"/>
              <w:rPr>
                <w:b/>
                <w:i/>
                <w:color w:val="FF0000"/>
              </w:rPr>
            </w:pPr>
            <w:r>
              <w:rPr>
                <w:i/>
              </w:rPr>
              <w:br w:type="page"/>
            </w:r>
            <w:bookmarkStart w:id="126" w:name="Part4Cardio"/>
            <w:r>
              <w:rPr>
                <w:b/>
                <w:color w:val="FF0000"/>
              </w:rPr>
              <w:t xml:space="preserve">4.100 - 4.104. </w:t>
            </w:r>
            <w:r>
              <w:rPr>
                <w:b/>
                <w:i/>
                <w:color w:val="FF0000"/>
              </w:rPr>
              <w:t>The Cardiovascular System</w:t>
            </w:r>
            <w:bookmarkEnd w:id="126"/>
          </w:p>
          <w:p w:rsidR="005567F4" w:rsidRDefault="005567F4" w:rsidP="005567F4">
            <w:pPr>
              <w:widowControl w:val="0"/>
              <w:numPr>
                <w:ilvl w:val="12"/>
                <w:numId w:val="0"/>
              </w:numPr>
              <w:rPr>
                <w:b/>
                <w:bCs/>
                <w:iCs/>
              </w:rPr>
            </w:pPr>
            <w:r>
              <w:rPr>
                <w:b/>
                <w:bCs/>
                <w:iCs/>
              </w:rPr>
              <w:t>III.iv.4.G</w:t>
            </w:r>
          </w:p>
          <w:p w:rsidR="005567F4" w:rsidRDefault="005567F4" w:rsidP="005567F4">
            <w:pPr>
              <w:widowControl w:val="0"/>
              <w:numPr>
                <w:ilvl w:val="12"/>
                <w:numId w:val="0"/>
              </w:numPr>
              <w:rPr>
                <w:b/>
                <w:color w:val="FF0000"/>
              </w:rPr>
            </w:pPr>
          </w:p>
        </w:tc>
      </w:tr>
      <w:tr w:rsidR="00D275EA" w:rsidTr="00C334D1">
        <w:trPr>
          <w:trHeight w:val="288"/>
        </w:trPr>
        <w:tc>
          <w:tcPr>
            <w:tcW w:w="705" w:type="dxa"/>
            <w:tcBorders>
              <w:top w:val="nil"/>
              <w:left w:val="nil"/>
              <w:bottom w:val="nil"/>
              <w:right w:val="nil"/>
            </w:tcBorders>
          </w:tcPr>
          <w:p w:rsidR="00D275EA" w:rsidRDefault="00D275EA" w:rsidP="00C334D1">
            <w:pPr>
              <w:widowControl w:val="0"/>
              <w:numPr>
                <w:ilvl w:val="12"/>
                <w:numId w:val="0"/>
              </w:numPr>
              <w:rPr>
                <w:b/>
              </w:rPr>
            </w:pPr>
            <w:r w:rsidRPr="00453DE5">
              <w:rPr>
                <w:b/>
              </w:rPr>
              <w:t>4.100</w:t>
            </w:r>
          </w:p>
        </w:tc>
        <w:tc>
          <w:tcPr>
            <w:tcW w:w="10170" w:type="dxa"/>
            <w:tcBorders>
              <w:top w:val="nil"/>
              <w:left w:val="nil"/>
              <w:bottom w:val="nil"/>
              <w:right w:val="nil"/>
            </w:tcBorders>
          </w:tcPr>
          <w:p w:rsidR="00D275EA" w:rsidRDefault="001F7E5B" w:rsidP="00C334D1">
            <w:pPr>
              <w:pStyle w:val="Footer"/>
              <w:widowControl w:val="0"/>
              <w:numPr>
                <w:ilvl w:val="12"/>
                <w:numId w:val="0"/>
              </w:numPr>
              <w:tabs>
                <w:tab w:val="clear" w:pos="4320"/>
                <w:tab w:val="clear" w:pos="8640"/>
              </w:tabs>
              <w:rPr>
                <w:bCs/>
                <w:i/>
                <w:iCs/>
              </w:rPr>
            </w:pPr>
            <w:r>
              <w:rPr>
                <w:b/>
                <w:bCs/>
                <w:iCs/>
              </w:rPr>
              <w:t>III.iv.4.G</w:t>
            </w:r>
            <w:r w:rsidR="00D275EA">
              <w:rPr>
                <w:b/>
                <w:bCs/>
                <w:iCs/>
              </w:rPr>
              <w:t>.2.b</w:t>
            </w:r>
            <w:r w:rsidR="00D275EA">
              <w:rPr>
                <w:bCs/>
                <w:iCs/>
              </w:rPr>
              <w:t xml:space="preserve"> - </w:t>
            </w:r>
            <w:r w:rsidR="00D275EA">
              <w:rPr>
                <w:bCs/>
                <w:i/>
                <w:iCs/>
              </w:rPr>
              <w:t>For codes 7000-7007, 7011 and 7015-7020- METs required unless medically contraindicated, the EF is 50% or less, there is chronic CHF or more than 1 episode of CHF in last year, or 100% can be granted on other criteria.- eff 10/6/06</w:t>
            </w:r>
          </w:p>
        </w:tc>
      </w:tr>
    </w:tbl>
    <w:p w:rsidR="00D275EA" w:rsidRDefault="00D275EA" w:rsidP="00D275EA">
      <w:pPr>
        <w:widowControl w:val="0"/>
        <w:numPr>
          <w:ilvl w:val="12"/>
          <w:numId w:val="0"/>
        </w:numPr>
        <w:tabs>
          <w:tab w:val="left" w:pos="660"/>
          <w:tab w:val="left" w:pos="9417"/>
        </w:tabs>
        <w:ind w:left="-45"/>
        <w:rPr>
          <w:b/>
          <w:i/>
          <w:u w:val="single"/>
        </w:rPr>
      </w:pPr>
    </w:p>
    <w:p w:rsidR="00D275EA" w:rsidRDefault="00D275EA" w:rsidP="00D275EA">
      <w:pPr>
        <w:widowControl w:val="0"/>
        <w:numPr>
          <w:ilvl w:val="12"/>
          <w:numId w:val="0"/>
        </w:numPr>
        <w:tabs>
          <w:tab w:val="left" w:pos="660"/>
          <w:tab w:val="left" w:pos="9417"/>
        </w:tabs>
        <w:rPr>
          <w:b/>
          <w:u w:val="single"/>
        </w:rPr>
      </w:pPr>
      <w:r w:rsidRPr="00453DE5">
        <w:rPr>
          <w:b/>
          <w:u w:val="single"/>
        </w:rPr>
        <w:t>4.104</w:t>
      </w:r>
      <w:r>
        <w:rPr>
          <w:b/>
          <w:u w:val="single"/>
        </w:rPr>
        <w:tab/>
        <w:t>Schedule of Ratings—Cardiovascular</w:t>
      </w:r>
    </w:p>
    <w:p w:rsidR="00D275EA" w:rsidRDefault="00D275EA" w:rsidP="00D275EA">
      <w:pPr>
        <w:widowControl w:val="0"/>
        <w:numPr>
          <w:ilvl w:val="12"/>
          <w:numId w:val="0"/>
        </w:numPr>
        <w:rPr>
          <w:b/>
        </w:rPr>
      </w:pPr>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i/>
          <w:iCs/>
        </w:rPr>
      </w:pPr>
      <w:r>
        <w:rPr>
          <w:i/>
        </w:rPr>
        <w:t xml:space="preserve">changed 1/12/98 &amp; 8/13/98 (DCs 7100-7122); </w:t>
      </w:r>
      <w:r>
        <w:rPr>
          <w:b/>
          <w:i/>
          <w:u w:val="single"/>
        </w:rPr>
        <w:t>separate each extremity eff 1/12/98</w:t>
      </w:r>
      <w:r>
        <w:rPr>
          <w:bCs/>
          <w:iCs/>
        </w:rPr>
        <w:t xml:space="preserve">, </w:t>
      </w:r>
      <w:r>
        <w:rPr>
          <w:i/>
          <w:iCs/>
        </w:rPr>
        <w:t xml:space="preserve">and more info can be found </w:t>
      </w:r>
      <w:hyperlink r:id="rId568" w:history="1">
        <w:r>
          <w:rPr>
            <w:rStyle w:val="Hyperlink"/>
            <w:i/>
            <w:iCs/>
          </w:rPr>
          <w:t>here</w:t>
        </w:r>
      </w:hyperlink>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b/>
          <w:i/>
          <w:iCs/>
        </w:rPr>
      </w:pPr>
      <w:r>
        <w:rPr>
          <w:i/>
          <w:iCs/>
        </w:rPr>
        <w:t>changed 10/6/06- includes addition of “Note (3):  Evaluate hypertension separately from hypertensive heart disease and other types of heart disease.”</w:t>
      </w:r>
    </w:p>
    <w:p w:rsidR="00D275EA" w:rsidRDefault="00D275EA" w:rsidP="00D275EA">
      <w:pPr>
        <w:pStyle w:val="Heading5"/>
        <w:keepNext w:val="0"/>
        <w:widowControl w:val="0"/>
        <w:pBdr>
          <w:top w:val="none" w:sz="0" w:space="0" w:color="auto"/>
          <w:left w:val="none" w:sz="0" w:space="0" w:color="auto"/>
          <w:bottom w:val="none" w:sz="0" w:space="0" w:color="auto"/>
          <w:right w:val="none" w:sz="0" w:space="0" w:color="auto"/>
        </w:pBdr>
        <w:ind w:left="-60"/>
        <w:rPr>
          <w:b w:val="0"/>
          <w:i/>
          <w:iCs/>
          <w:sz w:val="20"/>
        </w:rPr>
      </w:pP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t xml:space="preserve">NORMAL:  </w:t>
      </w:r>
      <w:r>
        <w:tab/>
        <w:t>&lt; 120 / &lt; 80</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t xml:space="preserve">PRE-HTN:  </w:t>
      </w:r>
      <w:r>
        <w:tab/>
        <w:t>120-139 / 80-89</w:t>
      </w:r>
    </w:p>
    <w:p w:rsidR="00D275EA" w:rsidRDefault="00D275EA" w:rsidP="00D275EA">
      <w:pPr>
        <w:pStyle w:val="Heading7"/>
        <w:keepNext w:val="0"/>
        <w:widowControl w:val="0"/>
      </w:pPr>
      <w:r>
        <w:t>STAGE 1:</w:t>
      </w:r>
      <w:r>
        <w:tab/>
        <w:t>140-159 / 90-99</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b/>
          <w:bCs/>
        </w:rPr>
      </w:pPr>
      <w:r>
        <w:rPr>
          <w:b/>
          <w:bCs/>
        </w:rPr>
        <w:t>STAGE 2:</w:t>
      </w:r>
      <w:r>
        <w:rPr>
          <w:b/>
          <w:bCs/>
        </w:rPr>
        <w:tab/>
        <w:t>&gt;= 160 / &gt;= 100</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rPr>
          <w:b/>
          <w:bCs/>
        </w:rPr>
        <w:t>7101, Note 1</w:t>
      </w:r>
      <w:r>
        <w:t>: Hypertension or isolated systolic hypertension must be confirmed by readings taken two or more times on at least three different days. For purposes of this section, the term hypertension means that the diastolic blood pressure is predominantly 90mm. or greater, and isolated systolic hypertension means that the systolic blood pressure is predominantly 160mm. or greater with a diastolic blood pressure of less than 90mm.</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Pr="00815FB2"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can c</w:t>
      </w:r>
      <w:r w:rsidRPr="00815FB2">
        <w:rPr>
          <w:i/>
        </w:rPr>
        <w:t>heck Vitals tab in CAPRI</w:t>
      </w:r>
      <w:r>
        <w:rPr>
          <w:i/>
        </w:rPr>
        <w:t xml:space="preserve"> for BP readings</w:t>
      </w:r>
    </w:p>
    <w:p w:rsidR="00D275EA" w:rsidRDefault="00D275EA" w:rsidP="00D275EA"/>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t>T</w:t>
      </w:r>
      <w:r w:rsidRPr="00462D66">
        <w:t>here is no evidence of a diagnosis of hypertension confirmed by readings taken two or more times on at least three different days (with diastolic blood pressure predominantly 90mm.or greater; or systolic blood pressure predominantly 160mm or greater with diastolic blood pressure of less than 90mm).</w:t>
      </w:r>
    </w:p>
    <w:p w:rsidR="00D275EA" w:rsidRDefault="00D275EA" w:rsidP="00D275EA"/>
    <w:p w:rsidR="00D275EA" w:rsidRDefault="00D275EA" w:rsidP="00D275EA">
      <w:r>
        <w:t>3 or fewer METS = 100%</w:t>
      </w:r>
    </w:p>
    <w:p w:rsidR="00D275EA" w:rsidRDefault="00D275EA" w:rsidP="00D275EA">
      <w:r>
        <w:t>3.1-5 METS = 60%</w:t>
      </w:r>
    </w:p>
    <w:p w:rsidR="00D275EA" w:rsidRDefault="00D275EA" w:rsidP="00D275EA">
      <w:r>
        <w:t>5.1-7 METS = 30%</w:t>
      </w:r>
    </w:p>
    <w:p w:rsidR="00D275EA" w:rsidRDefault="00D275EA" w:rsidP="00D275EA">
      <w:r>
        <w:t>7.1-10 METS = 10%</w:t>
      </w:r>
    </w:p>
    <w:p w:rsidR="00D275EA" w:rsidRDefault="00D275EA" w:rsidP="00D275EA">
      <w:pPr>
        <w:widowControl w:val="0"/>
        <w:rPr>
          <w:rFonts w:ascii="Verdana" w:hAnsi="Verdana"/>
          <w:b/>
        </w:rPr>
      </w:pPr>
      <w:r>
        <w:rPr>
          <w:rFonts w:ascii="Verdana" w:hAnsi="Verdana"/>
          <w:b/>
          <w:highlight w:val="green"/>
        </w:rPr>
        <w:t>CV1</w:t>
      </w:r>
    </w:p>
    <w:p w:rsidR="00D275EA" w:rsidRDefault="00D275EA" w:rsidP="00D275EA">
      <w:pPr>
        <w:widowControl w:val="0"/>
      </w:pPr>
    </w:p>
    <w:p w:rsidR="00D275EA" w:rsidRDefault="00D275EA" w:rsidP="00F063AF">
      <w:pPr>
        <w:widowControl w:val="0"/>
        <w:numPr>
          <w:ilvl w:val="0"/>
          <w:numId w:val="94"/>
        </w:numPr>
        <w:tabs>
          <w:tab w:val="clear" w:pos="720"/>
          <w:tab w:val="num" w:pos="360"/>
        </w:tabs>
        <w:spacing w:after="120"/>
        <w:ind w:left="360"/>
      </w:pPr>
      <w:r w:rsidRPr="00C2315E">
        <w:rPr>
          <w:b/>
          <w:i/>
        </w:rPr>
        <w:t>Otero-Castro v. Principi</w:t>
      </w:r>
      <w:r>
        <w:rPr>
          <w:b/>
          <w:i/>
        </w:rPr>
        <w:t xml:space="preserve"> </w:t>
      </w:r>
      <w:r>
        <w:rPr>
          <w:bCs/>
          <w:iCs/>
        </w:rPr>
        <w:t>(10/4/02)</w:t>
      </w:r>
      <w:r>
        <w:rPr>
          <w:b/>
          <w:i/>
        </w:rPr>
        <w:t xml:space="preserve"> </w:t>
      </w:r>
      <w:r>
        <w:rPr>
          <w:bCs/>
          <w:iCs/>
        </w:rPr>
        <w:t>-</w:t>
      </w:r>
      <w:r>
        <w:rPr>
          <w:b/>
          <w:i/>
        </w:rPr>
        <w:t xml:space="preserve"> </w:t>
      </w:r>
      <w:r>
        <w:rPr>
          <w:color w:val="000000"/>
        </w:rPr>
        <w:t>Diagnostic codes 7005 and 7007 do not require a separate showing of left-ventricular dysfunction in addition to an ejection fraction (LVEF) of 30 through 50% in order to qualify for a 60% rating.</w:t>
      </w:r>
    </w:p>
    <w:p w:rsidR="00D275EA" w:rsidRPr="00D9035C" w:rsidRDefault="00D275EA" w:rsidP="00F063AF">
      <w:pPr>
        <w:widowControl w:val="0"/>
        <w:numPr>
          <w:ilvl w:val="0"/>
          <w:numId w:val="94"/>
        </w:numPr>
        <w:tabs>
          <w:tab w:val="clear" w:pos="720"/>
          <w:tab w:val="num" w:pos="360"/>
          <w:tab w:val="num" w:pos="500"/>
        </w:tabs>
        <w:spacing w:after="120"/>
        <w:ind w:left="360"/>
        <w:rPr>
          <w:b/>
          <w:i/>
        </w:rPr>
      </w:pPr>
      <w:r w:rsidRPr="006E501E">
        <w:rPr>
          <w:b/>
          <w:bCs/>
          <w:i/>
        </w:rPr>
        <w:t>July 2012 Compensation Service Bulletin (CSB)</w:t>
      </w:r>
      <w:r>
        <w:rPr>
          <w:iCs/>
        </w:rPr>
        <w:t xml:space="preserve"> </w:t>
      </w:r>
      <w:r>
        <w:rPr>
          <w:b/>
          <w:i/>
        </w:rPr>
        <w:t xml:space="preserve">– </w:t>
      </w:r>
      <w:r>
        <w:rPr>
          <w:szCs w:val="24"/>
        </w:rPr>
        <w:t xml:space="preserve">if an examiner finds that the Veteran’s METS level due to cardiovascular limitations cannot be reasonably determined due to the effects of NSC conditions upon the METS level, </w:t>
      </w:r>
      <w:r>
        <w:rPr>
          <w:b/>
          <w:bCs/>
          <w:szCs w:val="24"/>
        </w:rPr>
        <w:t>and</w:t>
      </w:r>
      <w:r>
        <w:rPr>
          <w:szCs w:val="24"/>
        </w:rPr>
        <w:t xml:space="preserve"> provides language to the effect that LVEF testing renders a more accurate finding regarding cardiovascular manifestations alone, then</w:t>
      </w:r>
      <w:r>
        <w:rPr>
          <w:b/>
          <w:szCs w:val="24"/>
        </w:rPr>
        <w:t xml:space="preserve"> </w:t>
      </w:r>
      <w:r>
        <w:rPr>
          <w:szCs w:val="24"/>
        </w:rPr>
        <w:t>only consider the LVEF percentage shown on examination, rather than the METS level, in determining the correct disability evaluation for the SC cardiovascular disability.</w:t>
      </w:r>
      <w:r>
        <w:t xml:space="preserve">  </w:t>
      </w:r>
    </w:p>
    <w:p w:rsidR="00D275EA" w:rsidRDefault="00D275EA" w:rsidP="00F063AF">
      <w:pPr>
        <w:pStyle w:val="Footer"/>
        <w:widowControl w:val="0"/>
        <w:numPr>
          <w:ilvl w:val="0"/>
          <w:numId w:val="94"/>
        </w:numPr>
        <w:tabs>
          <w:tab w:val="clear" w:pos="720"/>
          <w:tab w:val="clear" w:pos="4320"/>
          <w:tab w:val="clear" w:pos="8640"/>
          <w:tab w:val="num" w:pos="360"/>
        </w:tabs>
        <w:ind w:left="360"/>
      </w:pPr>
      <w:r>
        <w:rPr>
          <w:b/>
        </w:rPr>
        <w:t>III.iv.4.</w:t>
      </w:r>
      <w:r w:rsidR="001F7E5B">
        <w:rPr>
          <w:b/>
        </w:rPr>
        <w:t>G</w:t>
      </w:r>
      <w:r>
        <w:rPr>
          <w:b/>
        </w:rPr>
        <w:t>.2.e</w:t>
      </w:r>
      <w:r>
        <w:t xml:space="preserve"> – 7000, 7001, 7002, 7003, 7004, 7005, 7006, 7007, 7011, 7015, 7016, 7017, 7019, 7020 use LVEF. Use this table for records that show a range rather than an exact number:</w:t>
      </w:r>
    </w:p>
    <w:tbl>
      <w:tblPr>
        <w:tblW w:w="7650" w:type="dxa"/>
        <w:tblInd w:w="18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988"/>
        <w:gridCol w:w="4662"/>
      </w:tblGrid>
      <w:tr w:rsidR="00D275EA" w:rsidTr="00C334D1">
        <w:trPr>
          <w:trHeight w:val="615"/>
        </w:trPr>
        <w:tc>
          <w:tcPr>
            <w:tcW w:w="1953" w:type="pct"/>
            <w:tcBorders>
              <w:top w:val="single" w:sz="6" w:space="0" w:color="auto"/>
              <w:left w:val="single" w:sz="6" w:space="0" w:color="auto"/>
              <w:bottom w:val="single" w:sz="6" w:space="0" w:color="auto"/>
              <w:right w:val="single" w:sz="6" w:space="0" w:color="auto"/>
            </w:tcBorders>
            <w:hideMark/>
          </w:tcPr>
          <w:p w:rsidR="00D275EA" w:rsidRPr="008A50A0" w:rsidRDefault="00D275EA" w:rsidP="00C334D1">
            <w:pPr>
              <w:pStyle w:val="TableHeaderText"/>
              <w:jc w:val="left"/>
              <w:rPr>
                <w:rFonts w:ascii="Arial" w:hAnsi="Arial" w:cs="Arial"/>
                <w:sz w:val="22"/>
              </w:rPr>
            </w:pPr>
            <w:r w:rsidRPr="008A50A0">
              <w:rPr>
                <w:rFonts w:ascii="Arial" w:hAnsi="Arial" w:cs="Arial"/>
                <w:sz w:val="22"/>
              </w:rPr>
              <w:t>If the ejection fraction range is...</w:t>
            </w:r>
          </w:p>
        </w:tc>
        <w:tc>
          <w:tcPr>
            <w:tcW w:w="3047" w:type="pct"/>
            <w:tcBorders>
              <w:top w:val="single" w:sz="6" w:space="0" w:color="auto"/>
              <w:left w:val="single" w:sz="6" w:space="0" w:color="auto"/>
              <w:bottom w:val="single" w:sz="6" w:space="0" w:color="auto"/>
              <w:right w:val="single" w:sz="6" w:space="0" w:color="auto"/>
            </w:tcBorders>
            <w:hideMark/>
          </w:tcPr>
          <w:p w:rsidR="00D275EA" w:rsidRPr="008A50A0" w:rsidRDefault="00D275EA" w:rsidP="00C334D1">
            <w:pPr>
              <w:pStyle w:val="TableHeaderText"/>
              <w:jc w:val="left"/>
              <w:rPr>
                <w:rFonts w:ascii="Arial" w:hAnsi="Arial" w:cs="Arial"/>
                <w:sz w:val="22"/>
              </w:rPr>
            </w:pPr>
            <w:r w:rsidRPr="008A50A0">
              <w:rPr>
                <w:rFonts w:ascii="Arial" w:hAnsi="Arial" w:cs="Arial"/>
                <w:sz w:val="22"/>
              </w:rPr>
              <w:t>Then use the following option in the Evaluation Builder …</w:t>
            </w:r>
          </w:p>
        </w:tc>
      </w:tr>
      <w:tr w:rsidR="00D275EA" w:rsidTr="00C334D1">
        <w:tc>
          <w:tcPr>
            <w:tcW w:w="1953" w:type="pct"/>
            <w:tcBorders>
              <w:top w:val="single" w:sz="6" w:space="0" w:color="auto"/>
              <w:left w:val="single" w:sz="6" w:space="0" w:color="auto"/>
              <w:bottom w:val="single" w:sz="6" w:space="0" w:color="auto"/>
              <w:right w:val="single" w:sz="6" w:space="0" w:color="auto"/>
            </w:tcBorders>
            <w:hideMark/>
          </w:tcPr>
          <w:p w:rsidR="00D275EA" w:rsidRPr="008A50A0" w:rsidRDefault="00D275EA" w:rsidP="00C334D1">
            <w:pPr>
              <w:pStyle w:val="TableText"/>
              <w:rPr>
                <w:rFonts w:ascii="Arial" w:hAnsi="Arial" w:cs="Arial"/>
                <w:sz w:val="22"/>
              </w:rPr>
            </w:pPr>
            <w:r w:rsidRPr="008A50A0">
              <w:rPr>
                <w:rFonts w:ascii="Arial" w:hAnsi="Arial" w:cs="Arial"/>
                <w:sz w:val="22"/>
              </w:rPr>
              <w:t>25-30 percent (or lower)</w:t>
            </w:r>
          </w:p>
        </w:tc>
        <w:tc>
          <w:tcPr>
            <w:tcW w:w="3047" w:type="pct"/>
            <w:tcBorders>
              <w:top w:val="single" w:sz="6" w:space="0" w:color="auto"/>
              <w:left w:val="single" w:sz="6" w:space="0" w:color="auto"/>
              <w:bottom w:val="single" w:sz="6" w:space="0" w:color="auto"/>
              <w:right w:val="single" w:sz="6" w:space="0" w:color="auto"/>
            </w:tcBorders>
          </w:tcPr>
          <w:p w:rsidR="00D275EA" w:rsidRPr="008A50A0" w:rsidRDefault="00D275EA" w:rsidP="00C334D1">
            <w:pPr>
              <w:pStyle w:val="TableText"/>
              <w:rPr>
                <w:rFonts w:ascii="Arial" w:hAnsi="Arial" w:cs="Arial"/>
                <w:sz w:val="22"/>
              </w:rPr>
            </w:pPr>
            <w:r w:rsidRPr="008A50A0">
              <w:rPr>
                <w:rFonts w:ascii="Arial" w:hAnsi="Arial" w:cs="Arial"/>
                <w:sz w:val="22"/>
              </w:rPr>
              <w:t xml:space="preserve">“&lt;30” </w:t>
            </w:r>
          </w:p>
          <w:p w:rsidR="00D275EA" w:rsidRPr="008A50A0" w:rsidRDefault="00D275EA" w:rsidP="00C334D1">
            <w:pPr>
              <w:pStyle w:val="TableText"/>
              <w:rPr>
                <w:rFonts w:ascii="Arial" w:hAnsi="Arial" w:cs="Arial"/>
                <w:sz w:val="22"/>
              </w:rPr>
            </w:pPr>
          </w:p>
          <w:p w:rsidR="00D275EA" w:rsidRPr="008A50A0" w:rsidRDefault="00D275EA" w:rsidP="00C334D1">
            <w:pPr>
              <w:pStyle w:val="TableText"/>
              <w:rPr>
                <w:rFonts w:ascii="Arial" w:hAnsi="Arial" w:cs="Arial"/>
                <w:sz w:val="22"/>
              </w:rPr>
            </w:pPr>
            <w:r w:rsidRPr="008A50A0">
              <w:rPr>
                <w:rFonts w:ascii="Arial" w:hAnsi="Arial" w:cs="Arial"/>
                <w:sz w:val="22"/>
              </w:rPr>
              <w:t>The corresponding evaluation will be 100 percent.</w:t>
            </w:r>
          </w:p>
          <w:p w:rsidR="00D275EA" w:rsidRPr="008A50A0" w:rsidRDefault="00D275EA" w:rsidP="00C334D1">
            <w:pPr>
              <w:pStyle w:val="TableText"/>
              <w:rPr>
                <w:rFonts w:ascii="Arial" w:hAnsi="Arial" w:cs="Arial"/>
                <w:sz w:val="22"/>
              </w:rPr>
            </w:pPr>
          </w:p>
          <w:p w:rsidR="00D275EA" w:rsidRPr="008A50A0" w:rsidRDefault="00D275EA" w:rsidP="00C334D1">
            <w:pPr>
              <w:pStyle w:val="TableText"/>
              <w:rPr>
                <w:rFonts w:ascii="Arial" w:hAnsi="Arial" w:cs="Arial"/>
                <w:sz w:val="22"/>
              </w:rPr>
            </w:pPr>
            <w:r w:rsidRPr="008A50A0">
              <w:rPr>
                <w:rFonts w:ascii="Arial" w:hAnsi="Arial" w:cs="Arial"/>
                <w:b/>
                <w:i/>
                <w:sz w:val="22"/>
              </w:rPr>
              <w:t>Explanation</w:t>
            </w:r>
            <w:r w:rsidRPr="008A50A0">
              <w:rPr>
                <w:rFonts w:ascii="Arial" w:hAnsi="Arial" w:cs="Arial"/>
                <w:sz w:val="22"/>
              </w:rPr>
              <w:t xml:space="preserve">:  Under generally accepted medical conventions this range denotes an LVEF of less than 30 percent. </w:t>
            </w:r>
          </w:p>
          <w:p w:rsidR="00D275EA" w:rsidRPr="008A50A0" w:rsidRDefault="00D275EA" w:rsidP="00C334D1">
            <w:pPr>
              <w:pStyle w:val="TableText"/>
              <w:rPr>
                <w:rFonts w:ascii="Arial" w:hAnsi="Arial" w:cs="Arial"/>
                <w:sz w:val="22"/>
              </w:rPr>
            </w:pPr>
          </w:p>
        </w:tc>
      </w:tr>
      <w:tr w:rsidR="00D275EA" w:rsidTr="00C334D1">
        <w:tc>
          <w:tcPr>
            <w:tcW w:w="1953" w:type="pct"/>
            <w:tcBorders>
              <w:top w:val="single" w:sz="6" w:space="0" w:color="auto"/>
              <w:left w:val="single" w:sz="6" w:space="0" w:color="auto"/>
              <w:bottom w:val="single" w:sz="6" w:space="0" w:color="auto"/>
              <w:right w:val="single" w:sz="6" w:space="0" w:color="auto"/>
            </w:tcBorders>
            <w:hideMark/>
          </w:tcPr>
          <w:p w:rsidR="00D275EA" w:rsidRPr="008A50A0" w:rsidRDefault="00D275EA" w:rsidP="00C334D1">
            <w:pPr>
              <w:pStyle w:val="TableText"/>
              <w:rPr>
                <w:rFonts w:ascii="Arial" w:hAnsi="Arial" w:cs="Arial"/>
                <w:sz w:val="22"/>
              </w:rPr>
            </w:pPr>
            <w:r w:rsidRPr="008A50A0">
              <w:rPr>
                <w:rFonts w:ascii="Arial" w:hAnsi="Arial" w:cs="Arial"/>
                <w:sz w:val="22"/>
              </w:rPr>
              <w:t>30-35 percent</w:t>
            </w:r>
          </w:p>
          <w:p w:rsidR="00D275EA" w:rsidRPr="008A50A0" w:rsidRDefault="00D275EA" w:rsidP="00C334D1">
            <w:pPr>
              <w:pStyle w:val="TableText"/>
              <w:rPr>
                <w:rFonts w:ascii="Arial" w:hAnsi="Arial" w:cs="Arial"/>
                <w:sz w:val="22"/>
              </w:rPr>
            </w:pPr>
            <w:r w:rsidRPr="008A50A0">
              <w:rPr>
                <w:rFonts w:ascii="Arial" w:hAnsi="Arial" w:cs="Arial"/>
                <w:sz w:val="22"/>
              </w:rPr>
              <w:t>35-40 percent</w:t>
            </w:r>
          </w:p>
          <w:p w:rsidR="00D275EA" w:rsidRPr="008A50A0" w:rsidRDefault="00D275EA" w:rsidP="00C334D1">
            <w:pPr>
              <w:pStyle w:val="TableText"/>
              <w:rPr>
                <w:rFonts w:ascii="Arial" w:hAnsi="Arial" w:cs="Arial"/>
                <w:sz w:val="22"/>
              </w:rPr>
            </w:pPr>
            <w:r w:rsidRPr="008A50A0">
              <w:rPr>
                <w:rFonts w:ascii="Arial" w:hAnsi="Arial" w:cs="Arial"/>
                <w:sz w:val="22"/>
              </w:rPr>
              <w:t xml:space="preserve">40-45 percent, </w:t>
            </w:r>
            <w:r w:rsidRPr="008A50A0">
              <w:rPr>
                <w:rFonts w:ascii="Arial" w:hAnsi="Arial" w:cs="Arial"/>
                <w:b/>
                <w:i/>
                <w:sz w:val="22"/>
              </w:rPr>
              <w:t>or</w:t>
            </w:r>
          </w:p>
          <w:p w:rsidR="00D275EA" w:rsidRPr="008A50A0" w:rsidRDefault="00D275EA" w:rsidP="00C334D1">
            <w:pPr>
              <w:pStyle w:val="TableText"/>
              <w:rPr>
                <w:rFonts w:ascii="Arial" w:hAnsi="Arial" w:cs="Arial"/>
                <w:sz w:val="22"/>
              </w:rPr>
            </w:pPr>
            <w:r w:rsidRPr="008A50A0">
              <w:rPr>
                <w:rFonts w:ascii="Arial" w:hAnsi="Arial" w:cs="Arial"/>
                <w:sz w:val="22"/>
              </w:rPr>
              <w:t>45-50 percent</w:t>
            </w:r>
          </w:p>
        </w:tc>
        <w:tc>
          <w:tcPr>
            <w:tcW w:w="3047" w:type="pct"/>
            <w:tcBorders>
              <w:top w:val="single" w:sz="6" w:space="0" w:color="auto"/>
              <w:left w:val="single" w:sz="6" w:space="0" w:color="auto"/>
              <w:bottom w:val="single" w:sz="6" w:space="0" w:color="auto"/>
              <w:right w:val="single" w:sz="6" w:space="0" w:color="auto"/>
            </w:tcBorders>
          </w:tcPr>
          <w:p w:rsidR="00D275EA" w:rsidRPr="008A50A0" w:rsidRDefault="00D275EA" w:rsidP="00C334D1">
            <w:pPr>
              <w:pStyle w:val="TableText"/>
              <w:rPr>
                <w:rFonts w:ascii="Arial" w:hAnsi="Arial" w:cs="Arial"/>
                <w:sz w:val="22"/>
              </w:rPr>
            </w:pPr>
            <w:r w:rsidRPr="008A50A0">
              <w:rPr>
                <w:rFonts w:ascii="Arial" w:hAnsi="Arial" w:cs="Arial"/>
                <w:sz w:val="22"/>
              </w:rPr>
              <w:t>“30-50”</w:t>
            </w:r>
          </w:p>
          <w:p w:rsidR="00D275EA" w:rsidRPr="008A50A0" w:rsidRDefault="00D275EA" w:rsidP="00C334D1">
            <w:pPr>
              <w:pStyle w:val="TableText"/>
              <w:rPr>
                <w:rFonts w:ascii="Arial" w:hAnsi="Arial" w:cs="Arial"/>
                <w:sz w:val="22"/>
              </w:rPr>
            </w:pPr>
          </w:p>
          <w:p w:rsidR="00D275EA" w:rsidRPr="008A50A0" w:rsidRDefault="00D275EA" w:rsidP="00C334D1">
            <w:pPr>
              <w:pStyle w:val="TableText"/>
              <w:rPr>
                <w:rFonts w:ascii="Arial" w:hAnsi="Arial" w:cs="Arial"/>
                <w:sz w:val="22"/>
              </w:rPr>
            </w:pPr>
            <w:r w:rsidRPr="008A50A0">
              <w:rPr>
                <w:rFonts w:ascii="Arial" w:hAnsi="Arial" w:cs="Arial"/>
                <w:sz w:val="22"/>
              </w:rPr>
              <w:t>The corresponding evaluation will be 60 percent.</w:t>
            </w:r>
          </w:p>
          <w:p w:rsidR="00D275EA" w:rsidRPr="008A50A0" w:rsidRDefault="00D275EA" w:rsidP="00C334D1">
            <w:pPr>
              <w:pStyle w:val="TableText"/>
              <w:rPr>
                <w:rFonts w:ascii="Arial" w:hAnsi="Arial" w:cs="Arial"/>
                <w:sz w:val="22"/>
              </w:rPr>
            </w:pPr>
          </w:p>
          <w:p w:rsidR="00D275EA" w:rsidRPr="008A50A0" w:rsidRDefault="00D275EA" w:rsidP="00C334D1">
            <w:pPr>
              <w:pStyle w:val="TableText"/>
              <w:rPr>
                <w:rFonts w:ascii="Arial" w:hAnsi="Arial" w:cs="Arial"/>
                <w:sz w:val="22"/>
              </w:rPr>
            </w:pPr>
            <w:r w:rsidRPr="008A50A0">
              <w:rPr>
                <w:rFonts w:ascii="Arial" w:hAnsi="Arial" w:cs="Arial"/>
                <w:b/>
                <w:i/>
                <w:sz w:val="22"/>
              </w:rPr>
              <w:t>Explanation</w:t>
            </w:r>
            <w:r w:rsidRPr="008A50A0">
              <w:rPr>
                <w:rFonts w:ascii="Arial" w:hAnsi="Arial" w:cs="Arial"/>
                <w:sz w:val="22"/>
              </w:rPr>
              <w:t xml:space="preserve">:  Under generally accepted medical conventions none of these ranges denotes an LVEF of less than 30 percent or greater than 50 percent.  </w:t>
            </w:r>
          </w:p>
          <w:p w:rsidR="00D275EA" w:rsidRPr="008A50A0" w:rsidRDefault="00D275EA" w:rsidP="00C334D1">
            <w:pPr>
              <w:pStyle w:val="TableText"/>
              <w:rPr>
                <w:rFonts w:ascii="Arial" w:hAnsi="Arial" w:cs="Arial"/>
                <w:sz w:val="22"/>
              </w:rPr>
            </w:pPr>
          </w:p>
        </w:tc>
      </w:tr>
      <w:tr w:rsidR="00D275EA" w:rsidTr="00C334D1">
        <w:tc>
          <w:tcPr>
            <w:tcW w:w="1953" w:type="pct"/>
            <w:tcBorders>
              <w:top w:val="single" w:sz="6" w:space="0" w:color="auto"/>
              <w:left w:val="single" w:sz="6" w:space="0" w:color="auto"/>
              <w:bottom w:val="single" w:sz="6" w:space="0" w:color="auto"/>
              <w:right w:val="single" w:sz="6" w:space="0" w:color="auto"/>
            </w:tcBorders>
            <w:hideMark/>
          </w:tcPr>
          <w:p w:rsidR="00D275EA" w:rsidRPr="008A50A0" w:rsidRDefault="00D275EA" w:rsidP="00C334D1">
            <w:pPr>
              <w:pStyle w:val="TableText"/>
              <w:tabs>
                <w:tab w:val="center" w:pos="2222"/>
              </w:tabs>
              <w:rPr>
                <w:rFonts w:ascii="Arial" w:hAnsi="Arial" w:cs="Arial"/>
                <w:sz w:val="22"/>
              </w:rPr>
            </w:pPr>
            <w:r w:rsidRPr="008A50A0">
              <w:rPr>
                <w:rFonts w:ascii="Arial" w:hAnsi="Arial" w:cs="Arial"/>
                <w:sz w:val="22"/>
              </w:rPr>
              <w:t>50-55 percent (or higher)</w:t>
            </w:r>
          </w:p>
        </w:tc>
        <w:tc>
          <w:tcPr>
            <w:tcW w:w="3047" w:type="pct"/>
            <w:tcBorders>
              <w:top w:val="single" w:sz="6" w:space="0" w:color="auto"/>
              <w:left w:val="single" w:sz="6" w:space="0" w:color="auto"/>
              <w:bottom w:val="single" w:sz="6" w:space="0" w:color="auto"/>
              <w:right w:val="single" w:sz="6" w:space="0" w:color="auto"/>
            </w:tcBorders>
          </w:tcPr>
          <w:p w:rsidR="00D275EA" w:rsidRPr="008A50A0" w:rsidRDefault="00D275EA" w:rsidP="00C334D1">
            <w:pPr>
              <w:pStyle w:val="TableText"/>
              <w:rPr>
                <w:rFonts w:ascii="Arial" w:hAnsi="Arial" w:cs="Arial"/>
                <w:sz w:val="22"/>
              </w:rPr>
            </w:pPr>
            <w:r w:rsidRPr="008A50A0">
              <w:rPr>
                <w:rFonts w:ascii="Arial" w:hAnsi="Arial" w:cs="Arial"/>
                <w:sz w:val="22"/>
              </w:rPr>
              <w:t>“&gt;50”</w:t>
            </w:r>
          </w:p>
          <w:p w:rsidR="00D275EA" w:rsidRPr="008A50A0" w:rsidRDefault="00D275EA" w:rsidP="00C334D1">
            <w:pPr>
              <w:pStyle w:val="TableText"/>
              <w:rPr>
                <w:rFonts w:ascii="Arial" w:hAnsi="Arial" w:cs="Arial"/>
                <w:sz w:val="22"/>
              </w:rPr>
            </w:pPr>
          </w:p>
          <w:p w:rsidR="00D275EA" w:rsidRPr="008A50A0" w:rsidRDefault="00D275EA" w:rsidP="00C334D1">
            <w:pPr>
              <w:pStyle w:val="TableText"/>
              <w:rPr>
                <w:rFonts w:ascii="Arial" w:hAnsi="Arial" w:cs="Arial"/>
                <w:sz w:val="22"/>
              </w:rPr>
            </w:pPr>
            <w:r w:rsidRPr="008A50A0">
              <w:rPr>
                <w:rFonts w:ascii="Arial" w:hAnsi="Arial" w:cs="Arial"/>
                <w:sz w:val="22"/>
              </w:rPr>
              <w:t xml:space="preserve">The corresponding evaluation will depend on alternate criteria.  </w:t>
            </w:r>
          </w:p>
          <w:p w:rsidR="00D275EA" w:rsidRPr="008A50A0" w:rsidRDefault="00D275EA" w:rsidP="00C334D1">
            <w:pPr>
              <w:pStyle w:val="TableText"/>
              <w:rPr>
                <w:rFonts w:ascii="Arial" w:hAnsi="Arial" w:cs="Arial"/>
                <w:sz w:val="22"/>
              </w:rPr>
            </w:pPr>
          </w:p>
          <w:p w:rsidR="00D275EA" w:rsidRPr="008A50A0" w:rsidRDefault="00D275EA" w:rsidP="00C334D1">
            <w:pPr>
              <w:pStyle w:val="TableText"/>
              <w:rPr>
                <w:rFonts w:ascii="Arial" w:hAnsi="Arial" w:cs="Arial"/>
                <w:sz w:val="22"/>
              </w:rPr>
            </w:pPr>
            <w:r w:rsidRPr="008A50A0">
              <w:rPr>
                <w:rFonts w:ascii="Arial" w:hAnsi="Arial" w:cs="Arial"/>
                <w:b/>
                <w:i/>
                <w:sz w:val="22"/>
              </w:rPr>
              <w:t>Explanation</w:t>
            </w:r>
            <w:r w:rsidRPr="008A50A0">
              <w:rPr>
                <w:rFonts w:ascii="Arial" w:hAnsi="Arial" w:cs="Arial"/>
                <w:sz w:val="22"/>
              </w:rPr>
              <w:t xml:space="preserve">:  Under generally accepted medical conventions this range denotes an LVEF of greater than 50 percent without associated left ventricular dysfunction.  </w:t>
            </w:r>
          </w:p>
          <w:p w:rsidR="00D275EA" w:rsidRPr="008A50A0" w:rsidRDefault="00D275EA" w:rsidP="00C334D1">
            <w:pPr>
              <w:pStyle w:val="TableText"/>
              <w:rPr>
                <w:rFonts w:ascii="Arial" w:hAnsi="Arial" w:cs="Arial"/>
                <w:sz w:val="22"/>
              </w:rPr>
            </w:pPr>
          </w:p>
          <w:p w:rsidR="00D275EA" w:rsidRPr="008A50A0" w:rsidRDefault="00D275EA" w:rsidP="00C334D1">
            <w:pPr>
              <w:pStyle w:val="TableText"/>
              <w:rPr>
                <w:rFonts w:ascii="Arial" w:hAnsi="Arial" w:cs="Arial"/>
                <w:sz w:val="22"/>
              </w:rPr>
            </w:pPr>
            <w:r w:rsidRPr="008A50A0">
              <w:rPr>
                <w:rFonts w:ascii="Arial" w:hAnsi="Arial" w:cs="Arial"/>
                <w:b/>
                <w:i/>
                <w:sz w:val="22"/>
              </w:rPr>
              <w:t>Important</w:t>
            </w:r>
            <w:r w:rsidRPr="008A50A0">
              <w:rPr>
                <w:rFonts w:ascii="Arial" w:hAnsi="Arial" w:cs="Arial"/>
                <w:sz w:val="22"/>
              </w:rPr>
              <w:t xml:space="preserve">:  Do </w:t>
            </w:r>
            <w:r w:rsidRPr="008A50A0">
              <w:rPr>
                <w:rFonts w:ascii="Arial" w:hAnsi="Arial" w:cs="Arial"/>
                <w:i/>
                <w:sz w:val="22"/>
              </w:rPr>
              <w:t>not</w:t>
            </w:r>
            <w:r w:rsidRPr="008A50A0">
              <w:rPr>
                <w:rFonts w:ascii="Arial" w:hAnsi="Arial" w:cs="Arial"/>
                <w:sz w:val="22"/>
              </w:rPr>
              <w:t xml:space="preserve"> assign a 60 percent evaluation </w:t>
            </w:r>
            <w:r w:rsidRPr="008A50A0">
              <w:rPr>
                <w:rFonts w:ascii="Arial" w:hAnsi="Arial" w:cs="Arial"/>
                <w:i/>
                <w:sz w:val="22"/>
              </w:rPr>
              <w:t>solely</w:t>
            </w:r>
            <w:r w:rsidRPr="008A50A0">
              <w:rPr>
                <w:rFonts w:ascii="Arial" w:hAnsi="Arial" w:cs="Arial"/>
                <w:sz w:val="22"/>
              </w:rPr>
              <w:t xml:space="preserve"> on the basis of ejection fraction if this estimated range is provided in a report and the report is the only available evidence of ejection fraction. </w:t>
            </w:r>
          </w:p>
        </w:tc>
      </w:tr>
    </w:tbl>
    <w:p w:rsidR="00D275EA" w:rsidRDefault="00D275EA" w:rsidP="00D275EA">
      <w:pPr>
        <w:pStyle w:val="Footer"/>
        <w:widowControl w:val="0"/>
        <w:tabs>
          <w:tab w:val="clear" w:pos="4320"/>
          <w:tab w:val="clear" w:pos="8640"/>
        </w:tabs>
      </w:pPr>
    </w:p>
    <w:p w:rsidR="00D275EA" w:rsidRDefault="00D275EA" w:rsidP="00D275EA">
      <w:pPr>
        <w:pStyle w:val="Footer"/>
        <w:widowControl w:val="0"/>
        <w:numPr>
          <w:ilvl w:val="12"/>
          <w:numId w:val="0"/>
        </w:numPr>
        <w:tabs>
          <w:tab w:val="clear" w:pos="4320"/>
          <w:tab w:val="clear" w:pos="8640"/>
        </w:tabs>
      </w:pPr>
    </w:p>
    <w:p w:rsidR="00D275EA" w:rsidRDefault="00D275EA" w:rsidP="00D275EA">
      <w:pPr>
        <w:pStyle w:val="Footer"/>
        <w:widowControl w:val="0"/>
        <w:numPr>
          <w:ilvl w:val="12"/>
          <w:numId w:val="0"/>
        </w:numPr>
        <w:tabs>
          <w:tab w:val="clear" w:pos="4320"/>
          <w:tab w:val="clear" w:pos="8640"/>
        </w:tabs>
      </w:pPr>
    </w:p>
    <w:p w:rsidR="00D275EA" w:rsidRDefault="00D275EA" w:rsidP="00D275EA">
      <w:pPr>
        <w:pStyle w:val="Heading1"/>
        <w:keepNext w:val="0"/>
        <w:widowControl w:val="0"/>
        <w:numPr>
          <w:ilvl w:val="12"/>
          <w:numId w:val="0"/>
        </w:numPr>
        <w:rPr>
          <w:b/>
          <w:bCs/>
          <w:i w:val="0"/>
          <w:iCs w:val="0"/>
          <w:sz w:val="20"/>
        </w:rPr>
      </w:pPr>
      <w:r>
        <w:rPr>
          <w:b/>
          <w:bCs/>
          <w:i w:val="0"/>
          <w:iCs w:val="0"/>
          <w:sz w:val="20"/>
        </w:rPr>
        <w:t>DISEASES OF THE HEART</w:t>
      </w:r>
    </w:p>
    <w:p w:rsidR="00D275EA" w:rsidRPr="00B540C4" w:rsidRDefault="001F7E5B" w:rsidP="00F063AF">
      <w:pPr>
        <w:widowControl w:val="0"/>
        <w:numPr>
          <w:ilvl w:val="0"/>
          <w:numId w:val="173"/>
        </w:numPr>
        <w:tabs>
          <w:tab w:val="left" w:pos="1080"/>
        </w:tabs>
        <w:spacing w:after="120"/>
        <w:ind w:left="1080"/>
      </w:pPr>
      <w:r>
        <w:rPr>
          <w:b/>
          <w:bCs/>
          <w:iCs/>
          <w:color w:val="000000"/>
        </w:rPr>
        <w:t>III.iv.4.G</w:t>
      </w:r>
      <w:r w:rsidR="00D275EA" w:rsidRPr="00E35C8E">
        <w:rPr>
          <w:b/>
          <w:bCs/>
          <w:iCs/>
          <w:color w:val="000000"/>
        </w:rPr>
        <w:t>.2.</w:t>
      </w:r>
      <w:r w:rsidR="00D275EA">
        <w:rPr>
          <w:b/>
          <w:bCs/>
          <w:iCs/>
          <w:color w:val="000000"/>
        </w:rPr>
        <w:t xml:space="preserve">f </w:t>
      </w:r>
      <w:r w:rsidR="00D275EA" w:rsidRPr="00B540C4">
        <w:rPr>
          <w:bCs/>
          <w:iCs/>
          <w:color w:val="000000"/>
        </w:rPr>
        <w:t xml:space="preserve">– </w:t>
      </w:r>
      <w:r w:rsidR="00D275EA">
        <w:rPr>
          <w:bCs/>
          <w:iCs/>
          <w:color w:val="000000"/>
        </w:rPr>
        <w:t>must have info on if there is hypertrophy or dilatation &amp; if meds are needed</w:t>
      </w:r>
    </w:p>
    <w:p w:rsidR="00D275EA" w:rsidRPr="00B540C4" w:rsidRDefault="00D275EA" w:rsidP="00F063AF">
      <w:pPr>
        <w:widowControl w:val="0"/>
        <w:numPr>
          <w:ilvl w:val="0"/>
          <w:numId w:val="173"/>
        </w:numPr>
        <w:tabs>
          <w:tab w:val="left" w:pos="1080"/>
        </w:tabs>
        <w:spacing w:after="120"/>
        <w:ind w:left="1080"/>
      </w:pPr>
      <w:r>
        <w:rPr>
          <w:b/>
          <w:i/>
          <w:color w:val="000000"/>
        </w:rPr>
        <w:t>Per OGC guidance</w:t>
      </w:r>
      <w:r>
        <w:rPr>
          <w:bCs/>
          <w:iCs/>
          <w:color w:val="000000"/>
        </w:rPr>
        <w:t xml:space="preserve"> &amp; confirmed by addition of </w:t>
      </w:r>
      <w:r w:rsidR="001F7E5B">
        <w:rPr>
          <w:b/>
          <w:bCs/>
          <w:iCs/>
          <w:color w:val="000000"/>
        </w:rPr>
        <w:t>III.iv.4.G</w:t>
      </w:r>
      <w:r w:rsidRPr="00E35C8E">
        <w:rPr>
          <w:b/>
          <w:bCs/>
          <w:iCs/>
          <w:color w:val="000000"/>
        </w:rPr>
        <w:t>.2.g</w:t>
      </w:r>
      <w:r>
        <w:rPr>
          <w:bCs/>
          <w:iCs/>
          <w:color w:val="000000"/>
        </w:rPr>
        <w:t xml:space="preserve"> on 10/5/16 – if Aspirin is prescribed by a physician as a continuous medication to treat a heart condition, a 10% evaluation is warranted (this does not include supplements such as fish oil)</w:t>
      </w:r>
    </w:p>
    <w:p w:rsidR="00D275EA" w:rsidRDefault="00D275EA" w:rsidP="00D275EA">
      <w:pPr>
        <w:widowControl w:val="0"/>
        <w:numPr>
          <w:ilvl w:val="12"/>
          <w:numId w:val="0"/>
        </w:numPr>
        <w:ind w:left="720" w:hanging="720"/>
      </w:pPr>
      <w:r>
        <w:rPr>
          <w:color w:val="FF0000"/>
        </w:rPr>
        <w:t>7000</w:t>
      </w:r>
      <w:r>
        <w:rPr>
          <w:color w:val="FF0000"/>
        </w:rPr>
        <w:tab/>
        <w:t>Valvular heart disease (including rheumatic heart disease)</w:t>
      </w:r>
    </w:p>
    <w:p w:rsidR="00D275EA" w:rsidRDefault="00D275EA" w:rsidP="00D275EA">
      <w:pPr>
        <w:widowControl w:val="0"/>
        <w:numPr>
          <w:ilvl w:val="12"/>
          <w:numId w:val="0"/>
        </w:numPr>
        <w:ind w:left="720" w:hanging="720"/>
        <w:rPr>
          <w:color w:val="FF0000"/>
        </w:rPr>
      </w:pPr>
      <w:r>
        <w:rPr>
          <w:color w:val="FF0000"/>
        </w:rPr>
        <w:t>7001</w:t>
      </w:r>
      <w:r>
        <w:rPr>
          <w:color w:val="FF0000"/>
        </w:rPr>
        <w:tab/>
        <w:t>Endocarditis</w:t>
      </w:r>
    </w:p>
    <w:p w:rsidR="00D275EA" w:rsidRDefault="00D275EA" w:rsidP="00D275EA">
      <w:pPr>
        <w:widowControl w:val="0"/>
        <w:numPr>
          <w:ilvl w:val="12"/>
          <w:numId w:val="0"/>
        </w:numPr>
        <w:ind w:left="720" w:hanging="720"/>
        <w:rPr>
          <w:color w:val="FF0000"/>
        </w:rPr>
      </w:pPr>
      <w:r>
        <w:rPr>
          <w:color w:val="FF0000"/>
        </w:rPr>
        <w:t>7002</w:t>
      </w:r>
      <w:r>
        <w:rPr>
          <w:color w:val="FF0000"/>
        </w:rPr>
        <w:tab/>
        <w:t>Pericarditis</w:t>
      </w:r>
    </w:p>
    <w:p w:rsidR="00D275EA" w:rsidRDefault="00D275EA" w:rsidP="00D275EA">
      <w:pPr>
        <w:widowControl w:val="0"/>
        <w:numPr>
          <w:ilvl w:val="12"/>
          <w:numId w:val="0"/>
        </w:numPr>
        <w:ind w:left="720" w:hanging="720"/>
        <w:rPr>
          <w:i/>
        </w:rPr>
      </w:pPr>
      <w:r>
        <w:rPr>
          <w:color w:val="FF0000"/>
        </w:rPr>
        <w:t>7005</w:t>
      </w:r>
      <w:r>
        <w:rPr>
          <w:color w:val="FF0000"/>
        </w:rPr>
        <w:tab/>
        <w:t xml:space="preserve">Arteriosclerotic heart disease (also coronary artery disease (CAD) &amp; ischemic heart disease (IHD)) </w:t>
      </w:r>
      <w:r>
        <w:t xml:space="preserve">– </w:t>
      </w:r>
      <w:r>
        <w:rPr>
          <w:i/>
          <w:color w:val="00CCFF"/>
        </w:rPr>
        <w:t xml:space="preserve">POW presumptive under </w:t>
      </w:r>
      <w:r w:rsidRPr="00453DE5">
        <w:rPr>
          <w:b/>
        </w:rPr>
        <w:t>3.309</w:t>
      </w:r>
      <w:r>
        <w:rPr>
          <w:i/>
          <w:color w:val="00CCFF"/>
        </w:rPr>
        <w:t>(c)</w:t>
      </w:r>
      <w:r>
        <w:rPr>
          <w:i/>
        </w:rPr>
        <w:t>; assoc. w/peripheral vascular problems</w:t>
      </w:r>
    </w:p>
    <w:p w:rsidR="00D275EA" w:rsidRDefault="00D275EA" w:rsidP="00F063AF">
      <w:pPr>
        <w:widowControl w:val="0"/>
        <w:numPr>
          <w:ilvl w:val="0"/>
          <w:numId w:val="173"/>
        </w:numPr>
        <w:tabs>
          <w:tab w:val="left" w:pos="1080"/>
        </w:tabs>
        <w:spacing w:after="120"/>
        <w:ind w:left="1080"/>
      </w:pPr>
      <w:r w:rsidRPr="005975FA">
        <w:rPr>
          <w:b/>
          <w:i/>
        </w:rPr>
        <w:t>Otero-Castro v. Principi</w:t>
      </w:r>
      <w:r>
        <w:rPr>
          <w:b/>
          <w:i/>
        </w:rPr>
        <w:t xml:space="preserve"> </w:t>
      </w:r>
      <w:r>
        <w:rPr>
          <w:bCs/>
          <w:iCs/>
        </w:rPr>
        <w:t>(10/4/02)</w:t>
      </w:r>
      <w:r>
        <w:rPr>
          <w:b/>
          <w:i/>
        </w:rPr>
        <w:t xml:space="preserve"> </w:t>
      </w:r>
      <w:r>
        <w:rPr>
          <w:bCs/>
          <w:iCs/>
        </w:rPr>
        <w:t>-</w:t>
      </w:r>
      <w:r>
        <w:rPr>
          <w:b/>
          <w:i/>
        </w:rPr>
        <w:t xml:space="preserve"> </w:t>
      </w:r>
      <w:r>
        <w:t xml:space="preserve">heart disabilities- 7005 and 7007 do not require a separate showing of left-ventricular dysfunction </w:t>
      </w:r>
      <w:r>
        <w:rPr>
          <w:i/>
        </w:rPr>
        <w:t>in addition to</w:t>
      </w:r>
      <w:r>
        <w:t xml:space="preserve"> an ejection fraction of 30 through 50% in order for a claimant to receive a 60% rating</w:t>
      </w:r>
    </w:p>
    <w:p w:rsidR="00D275EA" w:rsidRDefault="001F7E5B" w:rsidP="00F063AF">
      <w:pPr>
        <w:widowControl w:val="0"/>
        <w:numPr>
          <w:ilvl w:val="0"/>
          <w:numId w:val="173"/>
        </w:numPr>
        <w:tabs>
          <w:tab w:val="left" w:pos="1080"/>
        </w:tabs>
        <w:spacing w:after="120"/>
        <w:ind w:left="1080"/>
      </w:pPr>
      <w:r>
        <w:rPr>
          <w:b/>
          <w:color w:val="000000"/>
        </w:rPr>
        <w:t>III.iv.4.G.1.b</w:t>
      </w:r>
      <w:r w:rsidR="00D275EA">
        <w:rPr>
          <w:b/>
          <w:color w:val="000000"/>
        </w:rPr>
        <w:t xml:space="preserve"> – </w:t>
      </w:r>
      <w:r w:rsidR="00D275EA">
        <w:rPr>
          <w:color w:val="000000"/>
        </w:rPr>
        <w:t>has to be documented by objective testing</w:t>
      </w:r>
    </w:p>
    <w:p w:rsidR="00D275EA" w:rsidRDefault="00D275EA" w:rsidP="00D275EA">
      <w:pPr>
        <w:widowControl w:val="0"/>
        <w:numPr>
          <w:ilvl w:val="12"/>
          <w:numId w:val="0"/>
        </w:numPr>
        <w:ind w:left="720" w:hanging="720"/>
        <w:rPr>
          <w:i/>
        </w:rPr>
      </w:pPr>
      <w:r>
        <w:rPr>
          <w:color w:val="FF0000"/>
        </w:rPr>
        <w:t>7006</w:t>
      </w:r>
      <w:r>
        <w:rPr>
          <w:color w:val="FF0000"/>
        </w:rPr>
        <w:tab/>
        <w:t xml:space="preserve">Myocardial infarction </w:t>
      </w:r>
      <w:r>
        <w:t xml:space="preserve">– </w:t>
      </w:r>
      <w:r>
        <w:rPr>
          <w:i/>
          <w:color w:val="00CCFF"/>
        </w:rPr>
        <w:t xml:space="preserve">POW presumptive under </w:t>
      </w:r>
      <w:r w:rsidRPr="00453DE5">
        <w:rPr>
          <w:b/>
        </w:rPr>
        <w:t>3.309</w:t>
      </w:r>
      <w:r>
        <w:rPr>
          <w:i/>
          <w:color w:val="00CCFF"/>
        </w:rPr>
        <w:t>(c)</w:t>
      </w:r>
      <w:r>
        <w:rPr>
          <w:i/>
        </w:rPr>
        <w:t>; old cardio used to call for min 30% after MI</w:t>
      </w:r>
    </w:p>
    <w:p w:rsidR="00D275EA" w:rsidRDefault="00D275EA" w:rsidP="00D275EA">
      <w:pPr>
        <w:widowControl w:val="0"/>
        <w:numPr>
          <w:ilvl w:val="12"/>
          <w:numId w:val="0"/>
        </w:numPr>
        <w:ind w:left="720" w:hanging="720"/>
      </w:pPr>
      <w:r>
        <w:rPr>
          <w:color w:val="FF0000"/>
        </w:rPr>
        <w:t>7007</w:t>
      </w:r>
      <w:r>
        <w:rPr>
          <w:color w:val="FF0000"/>
        </w:rPr>
        <w:tab/>
        <w:t>Hypertensive heart disease</w:t>
      </w:r>
      <w:r>
        <w:t xml:space="preserve"> – </w:t>
      </w:r>
      <w:r>
        <w:rPr>
          <w:i/>
          <w:color w:val="00CCFF"/>
        </w:rPr>
        <w:t xml:space="preserve">POW presumptive under </w:t>
      </w:r>
      <w:r w:rsidRPr="00453DE5">
        <w:rPr>
          <w:b/>
        </w:rPr>
        <w:t>3.309</w:t>
      </w:r>
      <w:r>
        <w:rPr>
          <w:i/>
          <w:color w:val="00CCFF"/>
        </w:rPr>
        <w:t>(c)</w:t>
      </w:r>
    </w:p>
    <w:p w:rsidR="00D275EA" w:rsidRPr="00E87213" w:rsidRDefault="00D275EA" w:rsidP="00D275EA">
      <w:pPr>
        <w:widowControl w:val="0"/>
        <w:numPr>
          <w:ilvl w:val="12"/>
          <w:numId w:val="0"/>
        </w:numPr>
        <w:ind w:left="700" w:hanging="700"/>
      </w:pPr>
      <w:r>
        <w:t>7011</w:t>
      </w:r>
      <w:r>
        <w:tab/>
        <w:t xml:space="preserve">Ventricular arrhythmias (sustained) – </w:t>
      </w:r>
      <w:r>
        <w:rPr>
          <w:i/>
          <w:color w:val="00CCFF"/>
        </w:rPr>
        <w:t xml:space="preserve">POW presumptive under </w:t>
      </w:r>
      <w:r w:rsidRPr="00453DE5">
        <w:rPr>
          <w:b/>
        </w:rPr>
        <w:t>3.309</w:t>
      </w:r>
      <w:r>
        <w:rPr>
          <w:i/>
          <w:color w:val="00CCFF"/>
        </w:rPr>
        <w:t xml:space="preserve">(c); </w:t>
      </w:r>
      <w:r w:rsidRPr="00E87213">
        <w:t>AICD in place = 100%</w:t>
      </w:r>
    </w:p>
    <w:p w:rsidR="00D275EA" w:rsidRDefault="00D275EA" w:rsidP="00D275EA">
      <w:pPr>
        <w:pStyle w:val="Footer"/>
        <w:widowControl w:val="0"/>
        <w:numPr>
          <w:ilvl w:val="12"/>
          <w:numId w:val="0"/>
        </w:numPr>
        <w:tabs>
          <w:tab w:val="clear" w:pos="4320"/>
          <w:tab w:val="clear" w:pos="8640"/>
        </w:tabs>
      </w:pPr>
      <w:r>
        <w:rPr>
          <w:color w:val="FF0000"/>
        </w:rPr>
        <w:t>7017</w:t>
      </w:r>
      <w:r>
        <w:rPr>
          <w:color w:val="FF0000"/>
        </w:rPr>
        <w:tab/>
        <w:t>Coronary bypass surgery</w:t>
      </w:r>
      <w:r>
        <w:t xml:space="preserve"> – </w:t>
      </w:r>
      <w:r>
        <w:rPr>
          <w:i/>
          <w:color w:val="00CCFF"/>
        </w:rPr>
        <w:t xml:space="preserve">POW presumptive under </w:t>
      </w:r>
      <w:r w:rsidRPr="00453DE5">
        <w:rPr>
          <w:b/>
        </w:rPr>
        <w:t>3.309</w:t>
      </w:r>
      <w:r>
        <w:rPr>
          <w:i/>
          <w:color w:val="00CCFF"/>
        </w:rPr>
        <w:t>(c)</w:t>
      </w:r>
      <w:r>
        <w:rPr>
          <w:i/>
        </w:rPr>
        <w:t>;</w:t>
      </w:r>
    </w:p>
    <w:p w:rsidR="00D275EA" w:rsidRDefault="00D275EA" w:rsidP="00D275EA">
      <w:pPr>
        <w:pStyle w:val="Footer"/>
        <w:widowControl w:val="0"/>
        <w:numPr>
          <w:ilvl w:val="12"/>
          <w:numId w:val="0"/>
        </w:numPr>
        <w:tabs>
          <w:tab w:val="clear" w:pos="4320"/>
          <w:tab w:val="clear" w:pos="8640"/>
        </w:tabs>
      </w:pPr>
      <w:r>
        <w:t>7018</w:t>
      </w:r>
      <w:r>
        <w:tab/>
        <w:t xml:space="preserve">Implantable cardiac pacemakers – </w:t>
      </w:r>
      <w:r>
        <w:rPr>
          <w:i/>
          <w:color w:val="00CCFF"/>
        </w:rPr>
        <w:t xml:space="preserve">POW presumptive under </w:t>
      </w:r>
      <w:r w:rsidRPr="00453DE5">
        <w:rPr>
          <w:b/>
        </w:rPr>
        <w:t>3.309</w:t>
      </w:r>
      <w:r>
        <w:rPr>
          <w:i/>
          <w:color w:val="00CCFF"/>
        </w:rPr>
        <w:t>(c)</w:t>
      </w:r>
    </w:p>
    <w:p w:rsidR="00D275EA" w:rsidRDefault="00D275EA" w:rsidP="00D275EA">
      <w:pPr>
        <w:pStyle w:val="Footer"/>
        <w:widowControl w:val="0"/>
        <w:numPr>
          <w:ilvl w:val="12"/>
          <w:numId w:val="0"/>
        </w:numPr>
        <w:tabs>
          <w:tab w:val="clear" w:pos="4320"/>
          <w:tab w:val="clear" w:pos="8640"/>
        </w:tabs>
      </w:pPr>
      <w:r>
        <w:t>7019</w:t>
      </w:r>
      <w:r>
        <w:tab/>
        <w:t xml:space="preserve">Cardiac transplantation - </w:t>
      </w:r>
      <w:r>
        <w:rPr>
          <w:i/>
          <w:color w:val="00CCFF"/>
        </w:rPr>
        <w:t xml:space="preserve">POW presumptive under </w:t>
      </w:r>
      <w:r w:rsidRPr="00453DE5">
        <w:rPr>
          <w:b/>
        </w:rPr>
        <w:t>3.309</w:t>
      </w:r>
      <w:r>
        <w:rPr>
          <w:i/>
          <w:color w:val="00CCFF"/>
        </w:rPr>
        <w:t>(c)</w:t>
      </w:r>
    </w:p>
    <w:p w:rsidR="00D275EA" w:rsidRDefault="00D275EA" w:rsidP="00D275EA">
      <w:pPr>
        <w:pStyle w:val="Footer"/>
        <w:widowControl w:val="0"/>
        <w:numPr>
          <w:ilvl w:val="12"/>
          <w:numId w:val="0"/>
        </w:numPr>
        <w:tabs>
          <w:tab w:val="clear" w:pos="4320"/>
          <w:tab w:val="clear" w:pos="8640"/>
        </w:tabs>
        <w:rPr>
          <w:i/>
          <w:color w:val="0000FF"/>
        </w:rPr>
      </w:pPr>
      <w:r>
        <w:rPr>
          <w:color w:val="FF0000"/>
        </w:rPr>
        <w:t>7020</w:t>
      </w:r>
      <w:r>
        <w:rPr>
          <w:i/>
          <w:color w:val="FF0000"/>
        </w:rPr>
        <w:tab/>
      </w:r>
      <w:r>
        <w:rPr>
          <w:color w:val="FF0000"/>
        </w:rPr>
        <w:t>Cardiomyopathy</w:t>
      </w:r>
      <w:r>
        <w:t xml:space="preserve"> – </w:t>
      </w:r>
      <w:r>
        <w:rPr>
          <w:i/>
          <w:color w:val="00CCFF"/>
        </w:rPr>
        <w:t xml:space="preserve">POW presumptive under </w:t>
      </w:r>
      <w:r w:rsidRPr="00453DE5">
        <w:rPr>
          <w:b/>
        </w:rPr>
        <w:t>3.309</w:t>
      </w:r>
      <w:r>
        <w:rPr>
          <w:i/>
          <w:color w:val="00CCFF"/>
        </w:rPr>
        <w:t>(c)</w:t>
      </w:r>
    </w:p>
    <w:p w:rsidR="00D275EA" w:rsidRDefault="00D275EA" w:rsidP="00D275EA">
      <w:pPr>
        <w:pStyle w:val="Footer"/>
        <w:widowControl w:val="0"/>
        <w:numPr>
          <w:ilvl w:val="12"/>
          <w:numId w:val="0"/>
        </w:numPr>
        <w:tabs>
          <w:tab w:val="clear" w:pos="4320"/>
          <w:tab w:val="clear" w:pos="8640"/>
        </w:tabs>
      </w:pPr>
    </w:p>
    <w:p w:rsidR="00D275EA" w:rsidRDefault="00D275EA" w:rsidP="00D275EA">
      <w:pPr>
        <w:pStyle w:val="Footer"/>
        <w:widowControl w:val="0"/>
        <w:numPr>
          <w:ilvl w:val="12"/>
          <w:numId w:val="0"/>
        </w:numPr>
        <w:tabs>
          <w:tab w:val="clear" w:pos="4320"/>
          <w:tab w:val="clear" w:pos="8640"/>
        </w:tabs>
      </w:pPr>
    </w:p>
    <w:p w:rsidR="00D275EA" w:rsidRDefault="00D275EA" w:rsidP="00D275EA">
      <w:pPr>
        <w:pStyle w:val="Heading1"/>
        <w:keepNext w:val="0"/>
        <w:widowControl w:val="0"/>
        <w:numPr>
          <w:ilvl w:val="12"/>
          <w:numId w:val="0"/>
        </w:numPr>
        <w:rPr>
          <w:b/>
          <w:bCs/>
          <w:i w:val="0"/>
          <w:iCs w:val="0"/>
          <w:sz w:val="20"/>
        </w:rPr>
      </w:pPr>
      <w:r>
        <w:rPr>
          <w:b/>
          <w:bCs/>
          <w:i w:val="0"/>
          <w:iCs w:val="0"/>
          <w:sz w:val="20"/>
        </w:rPr>
        <w:t>DISEASES OF THE ARTERIES AND VEINS</w:t>
      </w:r>
    </w:p>
    <w:p w:rsidR="00D275EA" w:rsidRDefault="00D275EA" w:rsidP="00D275EA">
      <w:pPr>
        <w:widowControl w:val="0"/>
        <w:numPr>
          <w:ilvl w:val="12"/>
          <w:numId w:val="0"/>
        </w:numPr>
        <w:spacing w:after="120"/>
        <w:ind w:left="720" w:hanging="720"/>
        <w:rPr>
          <w:i/>
        </w:rPr>
      </w:pPr>
      <w:r>
        <w:rPr>
          <w:color w:val="FF0000"/>
        </w:rPr>
        <w:t>7101</w:t>
      </w:r>
      <w:r>
        <w:rPr>
          <w:color w:val="FF0000"/>
        </w:rPr>
        <w:tab/>
        <w:t>Hypertensive vascular disease (hypertension and isolated systolic hypertension)</w:t>
      </w:r>
      <w:r>
        <w:t xml:space="preserve"> – </w:t>
      </w:r>
      <w:r>
        <w:rPr>
          <w:i/>
          <w:color w:val="00CCFF"/>
        </w:rPr>
        <w:t xml:space="preserve">POW presumptive under </w:t>
      </w:r>
      <w:r w:rsidRPr="00453DE5">
        <w:rPr>
          <w:b/>
        </w:rPr>
        <w:t>3.309</w:t>
      </w:r>
      <w:r>
        <w:rPr>
          <w:i/>
          <w:color w:val="00CCFF"/>
        </w:rPr>
        <w:t>(c)</w:t>
      </w:r>
      <w:r>
        <w:rPr>
          <w:i/>
        </w:rPr>
        <w:t xml:space="preserve">; </w:t>
      </w:r>
    </w:p>
    <w:p w:rsidR="00D275EA" w:rsidRDefault="00D275EA" w:rsidP="00F063AF">
      <w:pPr>
        <w:pStyle w:val="NormalWeb"/>
        <w:numPr>
          <w:ilvl w:val="0"/>
          <w:numId w:val="107"/>
        </w:numPr>
        <w:tabs>
          <w:tab w:val="clear" w:pos="720"/>
          <w:tab w:val="num" w:pos="1080"/>
        </w:tabs>
        <w:ind w:left="1080"/>
        <w:rPr>
          <w:sz w:val="20"/>
          <w:szCs w:val="20"/>
        </w:rPr>
      </w:pPr>
      <w:r w:rsidRPr="005045B7">
        <w:rPr>
          <w:b/>
          <w:sz w:val="20"/>
          <w:szCs w:val="20"/>
        </w:rPr>
        <w:t>III.iv.4.</w:t>
      </w:r>
      <w:r w:rsidR="001F7E5B">
        <w:rPr>
          <w:b/>
          <w:sz w:val="20"/>
          <w:szCs w:val="20"/>
        </w:rPr>
        <w:t>G.3</w:t>
      </w:r>
      <w:r>
        <w:rPr>
          <w:sz w:val="20"/>
          <w:szCs w:val="20"/>
        </w:rPr>
        <w:t xml:space="preserve"> – </w:t>
      </w:r>
    </w:p>
    <w:p w:rsidR="00D275EA" w:rsidRPr="00CA22E5" w:rsidRDefault="00D275EA" w:rsidP="00F063AF">
      <w:pPr>
        <w:pStyle w:val="NormalWeb"/>
        <w:numPr>
          <w:ilvl w:val="1"/>
          <w:numId w:val="251"/>
        </w:numPr>
        <w:rPr>
          <w:sz w:val="20"/>
          <w:szCs w:val="20"/>
        </w:rPr>
      </w:pPr>
      <w:r w:rsidRPr="00CA22E5">
        <w:rPr>
          <w:sz w:val="20"/>
          <w:szCs w:val="20"/>
        </w:rPr>
        <w:t xml:space="preserve"> “Do not establish service connection for hypertension if the evidence does not contain readings specified in 38 CFR 4.104, Diagnostic Code 7101, Note 1.” per </w:t>
      </w:r>
      <w:r w:rsidRPr="00CA22E5">
        <w:rPr>
          <w:b/>
          <w:sz w:val="20"/>
          <w:szCs w:val="20"/>
        </w:rPr>
        <w:t>III.iv.4.</w:t>
      </w:r>
      <w:r w:rsidR="001F7E5B">
        <w:rPr>
          <w:b/>
          <w:sz w:val="20"/>
          <w:szCs w:val="20"/>
        </w:rPr>
        <w:t>G.3.c</w:t>
      </w:r>
      <w:r w:rsidRPr="00CA22E5">
        <w:rPr>
          <w:sz w:val="20"/>
          <w:szCs w:val="20"/>
        </w:rPr>
        <w:t xml:space="preserve">. BUT </w:t>
      </w:r>
      <w:r w:rsidRPr="00CA22E5">
        <w:rPr>
          <w:b/>
          <w:sz w:val="20"/>
          <w:szCs w:val="20"/>
        </w:rPr>
        <w:t>III.iv.4.</w:t>
      </w:r>
      <w:r w:rsidR="001F7E5B">
        <w:rPr>
          <w:b/>
          <w:sz w:val="20"/>
          <w:szCs w:val="20"/>
        </w:rPr>
        <w:t>G.3.c</w:t>
      </w:r>
      <w:r w:rsidRPr="00CA22E5">
        <w:rPr>
          <w:sz w:val="20"/>
          <w:szCs w:val="20"/>
        </w:rPr>
        <w:t xml:space="preserve"> says “Note 1 in 38 CFR 4.104, DC 7101</w:t>
      </w:r>
      <w:r w:rsidRPr="00CA22E5">
        <w:rPr>
          <w:rStyle w:val="Emphasis"/>
          <w:sz w:val="20"/>
          <w:szCs w:val="20"/>
        </w:rPr>
        <w:t xml:space="preserve"> does not require</w:t>
      </w:r>
      <w:r w:rsidRPr="00CA22E5">
        <w:rPr>
          <w:sz w:val="20"/>
          <w:szCs w:val="20"/>
        </w:rPr>
        <w:t xml:space="preserve"> that a diagnosis of either type of hypertensive vascular disease </w:t>
      </w:r>
      <w:r w:rsidRPr="00CA22E5">
        <w:rPr>
          <w:rStyle w:val="Emphasis"/>
          <w:sz w:val="20"/>
          <w:szCs w:val="20"/>
        </w:rPr>
        <w:t xml:space="preserve">in service treatment records </w:t>
      </w:r>
      <w:r w:rsidRPr="00CA22E5">
        <w:rPr>
          <w:sz w:val="20"/>
          <w:szCs w:val="20"/>
        </w:rPr>
        <w:t>(STRs) have been confirmed by readings taken two or more times on each of three different days.”</w:t>
      </w:r>
      <w:r>
        <w:rPr>
          <w:sz w:val="20"/>
          <w:szCs w:val="20"/>
        </w:rPr>
        <w:t xml:space="preserve"> (</w:t>
      </w:r>
      <w:r w:rsidRPr="001467B6">
        <w:rPr>
          <w:i/>
          <w:color w:val="00B050"/>
          <w:sz w:val="20"/>
          <w:szCs w:val="20"/>
        </w:rPr>
        <w:t>My Notes:</w:t>
      </w:r>
      <w:r w:rsidRPr="001467B6">
        <w:rPr>
          <w:color w:val="00B050"/>
          <w:sz w:val="20"/>
          <w:szCs w:val="20"/>
        </w:rPr>
        <w:t xml:space="preserve">  </w:t>
      </w:r>
      <w:r w:rsidRPr="00F90671">
        <w:rPr>
          <w:i/>
          <w:sz w:val="20"/>
          <w:szCs w:val="20"/>
        </w:rPr>
        <w:t>Note 1 must only be for post-service diagnoses</w:t>
      </w:r>
      <w:r w:rsidRPr="001467B6">
        <w:rPr>
          <w:sz w:val="20"/>
          <w:szCs w:val="20"/>
        </w:rPr>
        <w:t>.</w:t>
      </w:r>
      <w:r>
        <w:rPr>
          <w:sz w:val="20"/>
          <w:szCs w:val="20"/>
        </w:rPr>
        <w:t>)</w:t>
      </w:r>
    </w:p>
    <w:p w:rsidR="00D275EA" w:rsidRPr="00267562" w:rsidRDefault="00D275EA" w:rsidP="00F063AF">
      <w:pPr>
        <w:pStyle w:val="NormalWeb"/>
        <w:numPr>
          <w:ilvl w:val="1"/>
          <w:numId w:val="251"/>
        </w:numPr>
        <w:rPr>
          <w:sz w:val="20"/>
          <w:szCs w:val="20"/>
        </w:rPr>
      </w:pPr>
      <w:r w:rsidRPr="00267562">
        <w:rPr>
          <w:sz w:val="20"/>
          <w:szCs w:val="20"/>
        </w:rPr>
        <w:t xml:space="preserve">Pre-hypertension is not </w:t>
      </w:r>
      <w:r>
        <w:rPr>
          <w:sz w:val="20"/>
          <w:szCs w:val="20"/>
        </w:rPr>
        <w:t>a</w:t>
      </w:r>
      <w:r w:rsidRPr="00267562">
        <w:rPr>
          <w:sz w:val="20"/>
          <w:szCs w:val="20"/>
        </w:rPr>
        <w:t xml:space="preserve"> disability for VA purposes.  </w:t>
      </w:r>
    </w:p>
    <w:p w:rsidR="00D275EA" w:rsidRPr="00FF0858" w:rsidRDefault="00D275EA" w:rsidP="00F063AF">
      <w:pPr>
        <w:pStyle w:val="NormalWeb"/>
        <w:numPr>
          <w:ilvl w:val="1"/>
          <w:numId w:val="251"/>
        </w:numPr>
        <w:rPr>
          <w:rStyle w:val="Hyperlink"/>
          <w:color w:val="auto"/>
          <w:sz w:val="20"/>
          <w:szCs w:val="20"/>
          <w:u w:val="none"/>
        </w:rPr>
      </w:pPr>
      <w:r>
        <w:rPr>
          <w:rStyle w:val="Emphasis"/>
          <w:i w:val="0"/>
          <w:sz w:val="20"/>
          <w:szCs w:val="20"/>
        </w:rPr>
        <w:t>If additional arteriosclerotic manifestations are subsequently diagnosed in a veteran with SC hypertension, g</w:t>
      </w:r>
      <w:r w:rsidRPr="00267562">
        <w:rPr>
          <w:rStyle w:val="Emphasis"/>
          <w:i w:val="0"/>
          <w:sz w:val="20"/>
          <w:szCs w:val="20"/>
        </w:rPr>
        <w:t>rant</w:t>
      </w:r>
      <w:r>
        <w:rPr>
          <w:rStyle w:val="Emphasis"/>
          <w:i w:val="0"/>
          <w:sz w:val="20"/>
          <w:szCs w:val="20"/>
        </w:rPr>
        <w:t xml:space="preserve"> service connection on a secondary basis </w:t>
      </w:r>
      <w:r w:rsidRPr="00267562">
        <w:rPr>
          <w:rStyle w:val="Emphasis"/>
          <w:i w:val="0"/>
          <w:sz w:val="20"/>
          <w:szCs w:val="20"/>
        </w:rPr>
        <w:t xml:space="preserve">to hypertension:  cerebral arteriosclerosis (8046) or thrombosis (8008) with hemiplegia [includes TIA, stroke, CVA, per Carlos Rosario]; nephrosclerosis of the kidneys with impairment of renal function (7507); myocardial damage or coronary occlusion (7006) [does not include IHD/CAD, just MI, per </w:t>
      </w:r>
      <w:r w:rsidR="00B20AF6">
        <w:rPr>
          <w:rStyle w:val="Emphasis"/>
          <w:i w:val="0"/>
          <w:sz w:val="20"/>
          <w:szCs w:val="20"/>
        </w:rPr>
        <w:t>Carlos</w:t>
      </w:r>
      <w:r w:rsidRPr="00267562">
        <w:rPr>
          <w:rStyle w:val="Emphasis"/>
          <w:i w:val="0"/>
          <w:sz w:val="20"/>
          <w:szCs w:val="20"/>
        </w:rPr>
        <w:t xml:space="preserve"> Rosario]; </w:t>
      </w:r>
      <w:r w:rsidRPr="006E501E">
        <w:rPr>
          <w:b/>
          <w:bCs/>
          <w:i/>
          <w:sz w:val="20"/>
          <w:szCs w:val="20"/>
        </w:rPr>
        <w:t>November 2013 Compensation Service Bulletin (CSB)</w:t>
      </w:r>
      <w:r w:rsidRPr="00267562">
        <w:rPr>
          <w:rStyle w:val="Hyperlink"/>
          <w:bCs/>
          <w:sz w:val="20"/>
          <w:szCs w:val="20"/>
          <w:u w:val="none"/>
        </w:rPr>
        <w:t xml:space="preserve"> </w:t>
      </w:r>
      <w:r w:rsidRPr="00267562">
        <w:rPr>
          <w:rStyle w:val="Hyperlink"/>
          <w:bCs/>
          <w:color w:val="auto"/>
          <w:sz w:val="20"/>
          <w:szCs w:val="20"/>
          <w:u w:val="none"/>
        </w:rPr>
        <w:t>– has to be claimed, effective date is date of claim or date entitlement arose, cannot apply 3.157 or 3.400 (it’s not a worsening of hypertension)</w:t>
      </w:r>
    </w:p>
    <w:p w:rsidR="00D275EA" w:rsidRPr="00FF0858" w:rsidRDefault="00D275EA" w:rsidP="00F063AF">
      <w:pPr>
        <w:pStyle w:val="NormalWeb"/>
        <w:numPr>
          <w:ilvl w:val="0"/>
          <w:numId w:val="251"/>
        </w:numPr>
        <w:tabs>
          <w:tab w:val="clear" w:pos="720"/>
          <w:tab w:val="num" w:pos="1080"/>
        </w:tabs>
        <w:ind w:left="1080"/>
        <w:rPr>
          <w:rStyle w:val="Hyperlink"/>
          <w:color w:val="auto"/>
          <w:sz w:val="20"/>
          <w:szCs w:val="20"/>
          <w:u w:val="none"/>
        </w:rPr>
      </w:pPr>
      <w:r w:rsidRPr="00FF0858">
        <w:rPr>
          <w:b/>
          <w:sz w:val="20"/>
          <w:szCs w:val="20"/>
        </w:rPr>
        <w:t>IV.ii.2.A.2</w:t>
      </w:r>
      <w:r>
        <w:rPr>
          <w:b/>
          <w:sz w:val="20"/>
          <w:szCs w:val="20"/>
        </w:rPr>
        <w:t>.a</w:t>
      </w:r>
      <w:r>
        <w:rPr>
          <w:sz w:val="20"/>
          <w:szCs w:val="20"/>
        </w:rPr>
        <w:t xml:space="preserve"> – pre-hypertension is a subthreshold diagnosis</w:t>
      </w:r>
    </w:p>
    <w:p w:rsidR="00D275EA" w:rsidRDefault="00D275EA" w:rsidP="00D275EA">
      <w:pPr>
        <w:pStyle w:val="BodyTextIndent"/>
        <w:widowControl w:val="0"/>
        <w:pBdr>
          <w:top w:val="single" w:sz="4" w:space="1" w:color="auto"/>
          <w:left w:val="single" w:sz="4" w:space="4" w:color="auto"/>
          <w:bottom w:val="single" w:sz="4" w:space="0" w:color="auto"/>
          <w:right w:val="single" w:sz="4" w:space="4" w:color="auto"/>
        </w:pBdr>
        <w:tabs>
          <w:tab w:val="left" w:pos="360"/>
        </w:tabs>
        <w:spacing w:after="120"/>
        <w:ind w:left="720" w:right="144"/>
        <w:rPr>
          <w:sz w:val="20"/>
        </w:rPr>
      </w:pPr>
      <w:r w:rsidRPr="00DF1DCA">
        <w:rPr>
          <w:sz w:val="20"/>
        </w:rPr>
        <w:t xml:space="preserve">Rating Note:  November 2013 </w:t>
      </w:r>
      <w:r>
        <w:rPr>
          <w:sz w:val="20"/>
        </w:rPr>
        <w:t>Compensation Service Bulletin (CSB)</w:t>
      </w:r>
      <w:r w:rsidRPr="00DF1DCA">
        <w:rPr>
          <w:sz w:val="20"/>
        </w:rPr>
        <w:t xml:space="preserve"> says the effective date for conditions listed at </w:t>
      </w:r>
      <w:r w:rsidRPr="001F7E5B">
        <w:rPr>
          <w:sz w:val="20"/>
        </w:rPr>
        <w:t>III.iv.4.</w:t>
      </w:r>
      <w:r w:rsidR="001F7E5B" w:rsidRPr="001F7E5B">
        <w:rPr>
          <w:sz w:val="20"/>
        </w:rPr>
        <w:t>G.3.g</w:t>
      </w:r>
      <w:r w:rsidRPr="00DF1DCA">
        <w:rPr>
          <w:sz w:val="20"/>
        </w:rPr>
        <w:t xml:space="preserve"> is date of claim or date entitlement arose, and you cannot apply 3.157 or 3.400 since it’s not a worsening of hypertension.</w:t>
      </w:r>
    </w:p>
    <w:p w:rsidR="00D275EA" w:rsidRDefault="00D275EA" w:rsidP="00D275EA"/>
    <w:p w:rsidR="00D275EA" w:rsidRPr="00055A6D" w:rsidRDefault="00D275EA" w:rsidP="00D275EA">
      <w:pPr>
        <w:widowControl w:val="0"/>
        <w:tabs>
          <w:tab w:val="left" w:pos="144"/>
          <w:tab w:val="left" w:pos="700"/>
        </w:tabs>
        <w:spacing w:after="120"/>
        <w:ind w:left="706" w:hanging="706"/>
        <w:rPr>
          <w:iCs/>
        </w:rPr>
      </w:pPr>
      <w:r>
        <w:rPr>
          <w:color w:val="FF0000"/>
        </w:rPr>
        <w:t>7114</w:t>
      </w:r>
      <w:r>
        <w:rPr>
          <w:color w:val="FF0000"/>
        </w:rPr>
        <w:tab/>
        <w:t>Arteriosclerosis obliterans</w:t>
      </w:r>
      <w:r>
        <w:t xml:space="preserve"> - </w:t>
      </w:r>
      <w:hyperlink r:id="rId569" w:history="1">
        <w:r w:rsidRPr="00C84C6D">
          <w:rPr>
            <w:rStyle w:val="Hyperlink"/>
            <w:b/>
            <w:i/>
          </w:rPr>
          <w:t>May 2014 Rating Quality Call Notes</w:t>
        </w:r>
      </w:hyperlink>
      <w:r>
        <w:rPr>
          <w:rStyle w:val="Hyperlink"/>
          <w:u w:val="none"/>
        </w:rPr>
        <w:t xml:space="preserve"> </w:t>
      </w:r>
      <w:r>
        <w:rPr>
          <w:color w:val="000000" w:themeColor="text1"/>
        </w:rPr>
        <w:t>- i</w:t>
      </w:r>
      <w:r w:rsidRPr="00C84C6D">
        <w:rPr>
          <w:color w:val="000000" w:themeColor="text1"/>
        </w:rPr>
        <w:t xml:space="preserve">schemic leg pain at rest with any abnormal ankle-brachial index (ABI) </w:t>
      </w:r>
      <w:r>
        <w:rPr>
          <w:color w:val="000000" w:themeColor="text1"/>
        </w:rPr>
        <w:t>=</w:t>
      </w:r>
      <w:r w:rsidRPr="00C84C6D">
        <w:rPr>
          <w:color w:val="000000" w:themeColor="text1"/>
        </w:rPr>
        <w:t xml:space="preserve"> 100</w:t>
      </w:r>
      <w:r>
        <w:rPr>
          <w:color w:val="000000" w:themeColor="text1"/>
        </w:rPr>
        <w:t>% evaluation for that extremity</w:t>
      </w:r>
    </w:p>
    <w:p w:rsidR="00D275EA" w:rsidRDefault="00D275EA" w:rsidP="00D275EA">
      <w:pPr>
        <w:widowControl w:val="0"/>
        <w:numPr>
          <w:ilvl w:val="12"/>
          <w:numId w:val="0"/>
        </w:numPr>
        <w:spacing w:after="120"/>
        <w:rPr>
          <w:color w:val="FF0000"/>
        </w:rPr>
      </w:pPr>
      <w:r>
        <w:rPr>
          <w:color w:val="FF0000"/>
        </w:rPr>
        <w:t>7115</w:t>
      </w:r>
      <w:r>
        <w:rPr>
          <w:color w:val="FF0000"/>
        </w:rPr>
        <w:tab/>
        <w:t>Thrombo-angiitis obliterans (Buerger's disease)</w:t>
      </w:r>
    </w:p>
    <w:p w:rsidR="00D275EA" w:rsidRDefault="00D275EA" w:rsidP="00D275EA">
      <w:pPr>
        <w:widowControl w:val="0"/>
        <w:numPr>
          <w:ilvl w:val="12"/>
          <w:numId w:val="0"/>
        </w:numPr>
        <w:spacing w:after="120"/>
        <w:rPr>
          <w:color w:val="FF0000"/>
        </w:rPr>
      </w:pPr>
      <w:r>
        <w:rPr>
          <w:color w:val="FF0000"/>
        </w:rPr>
        <w:t>7117</w:t>
      </w:r>
      <w:r>
        <w:rPr>
          <w:color w:val="FF0000"/>
        </w:rPr>
        <w:tab/>
        <w:t>Raynaud's syndrome</w:t>
      </w:r>
    </w:p>
    <w:p w:rsidR="00D275EA" w:rsidRDefault="00D275EA" w:rsidP="00D275EA">
      <w:pPr>
        <w:widowControl w:val="0"/>
        <w:numPr>
          <w:ilvl w:val="12"/>
          <w:numId w:val="0"/>
        </w:numPr>
        <w:spacing w:after="120"/>
      </w:pPr>
      <w:r>
        <w:t>7120</w:t>
      </w:r>
      <w:r>
        <w:tab/>
        <w:t>Varicose veins</w:t>
      </w:r>
    </w:p>
    <w:p w:rsidR="00D275EA" w:rsidRDefault="00D275EA" w:rsidP="00D275EA">
      <w:pPr>
        <w:widowControl w:val="0"/>
        <w:numPr>
          <w:ilvl w:val="12"/>
          <w:numId w:val="0"/>
        </w:numPr>
        <w:spacing w:after="120"/>
        <w:ind w:left="720" w:hanging="720"/>
      </w:pPr>
      <w:r>
        <w:t>7122</w:t>
      </w:r>
      <w:r>
        <w:tab/>
        <w:t xml:space="preserve">Cold injury residuals – </w:t>
      </w:r>
      <w:r>
        <w:rPr>
          <w:i/>
          <w:color w:val="00CCFF"/>
        </w:rPr>
        <w:t xml:space="preserve">POW presumptive under </w:t>
      </w:r>
      <w:r w:rsidRPr="00453DE5">
        <w:rPr>
          <w:b/>
        </w:rPr>
        <w:t>3.309</w:t>
      </w:r>
      <w:r>
        <w:rPr>
          <w:i/>
          <w:color w:val="00CCFF"/>
        </w:rPr>
        <w:t>(c)</w:t>
      </w:r>
    </w:p>
    <w:p w:rsidR="00D275EA" w:rsidRPr="0050635A" w:rsidRDefault="00D275EA" w:rsidP="00F063AF">
      <w:pPr>
        <w:pStyle w:val="ListParagraph"/>
        <w:widowControl w:val="0"/>
        <w:numPr>
          <w:ilvl w:val="0"/>
          <w:numId w:val="252"/>
        </w:numPr>
        <w:spacing w:after="120"/>
        <w:ind w:left="1080"/>
        <w:rPr>
          <w:rFonts w:ascii="Arial" w:hAnsi="Arial"/>
          <w:b/>
          <w:bCs/>
          <w:sz w:val="20"/>
          <w:szCs w:val="20"/>
        </w:rPr>
      </w:pPr>
      <w:r w:rsidRPr="0050635A">
        <w:rPr>
          <w:rFonts w:ascii="Arial" w:hAnsi="Arial"/>
          <w:b/>
          <w:bCs/>
          <w:sz w:val="20"/>
          <w:szCs w:val="20"/>
        </w:rPr>
        <w:t>III.iv.4.</w:t>
      </w:r>
      <w:r w:rsidR="001F7E5B">
        <w:rPr>
          <w:rFonts w:ascii="Arial" w:hAnsi="Arial"/>
          <w:b/>
          <w:bCs/>
          <w:sz w:val="20"/>
          <w:szCs w:val="20"/>
        </w:rPr>
        <w:t>G.4</w:t>
      </w:r>
      <w:r>
        <w:rPr>
          <w:rFonts w:ascii="Arial" w:hAnsi="Arial"/>
          <w:b/>
          <w:bCs/>
          <w:sz w:val="20"/>
          <w:szCs w:val="20"/>
        </w:rPr>
        <w:t xml:space="preserve"> – </w:t>
      </w:r>
      <w:r w:rsidRPr="00A343B9">
        <w:rPr>
          <w:rFonts w:ascii="Arial" w:hAnsi="Arial"/>
          <w:bCs/>
          <w:sz w:val="20"/>
          <w:szCs w:val="20"/>
        </w:rPr>
        <w:t>Battle of the Bulge</w:t>
      </w:r>
      <w:r>
        <w:rPr>
          <w:rFonts w:ascii="Arial" w:hAnsi="Arial"/>
          <w:bCs/>
          <w:sz w:val="20"/>
          <w:szCs w:val="20"/>
        </w:rPr>
        <w:t>, Chosin Reservoir</w:t>
      </w:r>
    </w:p>
    <w:p w:rsidR="00D275EA" w:rsidRPr="001E1DFE" w:rsidRDefault="00D275EA" w:rsidP="00F063AF">
      <w:pPr>
        <w:widowControl w:val="0"/>
        <w:numPr>
          <w:ilvl w:val="0"/>
          <w:numId w:val="172"/>
        </w:numPr>
        <w:tabs>
          <w:tab w:val="left" w:pos="351"/>
          <w:tab w:val="left" w:pos="1080"/>
        </w:tabs>
        <w:spacing w:after="120"/>
        <w:ind w:left="1080"/>
        <w:rPr>
          <w:b/>
        </w:rPr>
      </w:pPr>
      <w:r w:rsidRPr="005975FA">
        <w:rPr>
          <w:b/>
          <w:i/>
        </w:rPr>
        <w:t>Esteban v. Brown</w:t>
      </w:r>
      <w:r>
        <w:rPr>
          <w:b/>
          <w:i/>
        </w:rPr>
        <w:t xml:space="preserve"> </w:t>
      </w:r>
      <w:r>
        <w:rPr>
          <w:b/>
        </w:rPr>
        <w:t>(2/25/94)</w:t>
      </w:r>
      <w:r>
        <w:rPr>
          <w:i/>
        </w:rPr>
        <w:t xml:space="preserve"> </w:t>
      </w:r>
      <w:r>
        <w:t>– Pyramiding; can grant for related, but different conditions if not duplicative or overlapping with the symptomatology (i.e. scar disfigurement, scar pain &amp; muscle damage); included cold injury residuals &amp; peripheral neuropathy</w:t>
      </w:r>
    </w:p>
    <w:p w:rsidR="00D275EA" w:rsidRDefault="00D275EA" w:rsidP="00F063AF">
      <w:pPr>
        <w:widowControl w:val="0"/>
        <w:numPr>
          <w:ilvl w:val="0"/>
          <w:numId w:val="172"/>
        </w:numPr>
        <w:tabs>
          <w:tab w:val="left" w:pos="351"/>
          <w:tab w:val="left" w:pos="1080"/>
        </w:tabs>
        <w:spacing w:after="120"/>
        <w:ind w:left="1080"/>
        <w:rPr>
          <w:b/>
        </w:rPr>
      </w:pPr>
      <w:r w:rsidRPr="001E1DFE">
        <w:t>DBQ is</w:t>
      </w:r>
      <w:r>
        <w:t xml:space="preserve"> for internal VA use only, see DBQ at </w:t>
      </w:r>
      <w:r w:rsidRPr="003F3D88">
        <w:rPr>
          <w:i/>
        </w:rPr>
        <w:t>http://vbacodmoint1.vba.va.gov/bl/21/dbq/default.asp</w:t>
      </w:r>
    </w:p>
    <w:p w:rsidR="00D275EA" w:rsidRDefault="00D275EA" w:rsidP="00D275EA">
      <w:pPr>
        <w:widowControl w:val="0"/>
        <w:numPr>
          <w:ilvl w:val="12"/>
          <w:numId w:val="0"/>
        </w:numPr>
        <w:tabs>
          <w:tab w:val="left" w:pos="720"/>
        </w:tabs>
        <w:spacing w:after="120"/>
        <w:ind w:left="720" w:hanging="720"/>
        <w:rPr>
          <w:i/>
          <w:color w:val="800000"/>
        </w:rPr>
      </w:pPr>
      <w:r>
        <w:t>7123</w:t>
      </w:r>
      <w:r>
        <w:tab/>
        <w:t xml:space="preserve">Soft-tissue sarcoma (of vascular origin) – </w:t>
      </w:r>
      <w:r>
        <w:rPr>
          <w:i/>
          <w:color w:val="FF9900"/>
        </w:rPr>
        <w:t xml:space="preserve">soft-tissue sarcoma (other than osteosarcoma, chondrosarcoma, Kaposi’s sarcoma, or mesothelioma) are Agent Orange presumptive under </w:t>
      </w:r>
      <w:r w:rsidRPr="00453DE5">
        <w:rPr>
          <w:b/>
        </w:rPr>
        <w:t>3.309</w:t>
      </w:r>
      <w:r>
        <w:rPr>
          <w:i/>
          <w:color w:val="FF9900"/>
        </w:rPr>
        <w:t>(e) (see reg for inclusions)</w:t>
      </w:r>
    </w:p>
    <w:p w:rsidR="00D275EA" w:rsidRDefault="00D275EA" w:rsidP="00D275EA">
      <w:pPr>
        <w:widowControl w:val="0"/>
        <w:numPr>
          <w:ilvl w:val="12"/>
          <w:numId w:val="0"/>
        </w:numPr>
        <w:pBdr>
          <w:bottom w:val="single" w:sz="4" w:space="1" w:color="auto"/>
        </w:pBdr>
      </w:pPr>
    </w:p>
    <w:p w:rsidR="00D275EA" w:rsidRDefault="00D275EA">
      <w:pPr>
        <w:overflowPunct/>
        <w:autoSpaceDE/>
        <w:autoSpaceDN/>
        <w:adjustRightInd/>
        <w:textAlignment w:val="auto"/>
        <w:rPr>
          <w:color w:val="FF0000"/>
        </w:rPr>
      </w:pPr>
      <w:r>
        <w:rPr>
          <w:color w:val="FF0000"/>
        </w:rPr>
        <w:br w:type="page"/>
      </w: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D275EA" w:rsidTr="005567F4">
        <w:trPr>
          <w:trHeight w:val="265"/>
        </w:trPr>
        <w:tc>
          <w:tcPr>
            <w:tcW w:w="10875" w:type="dxa"/>
            <w:gridSpan w:val="2"/>
            <w:tcBorders>
              <w:top w:val="single" w:sz="4" w:space="0" w:color="auto"/>
              <w:left w:val="nil"/>
              <w:bottom w:val="nil"/>
              <w:right w:val="nil"/>
            </w:tcBorders>
          </w:tcPr>
          <w:p w:rsidR="00D275EA" w:rsidRDefault="00D275EA" w:rsidP="00C334D1">
            <w:pPr>
              <w:widowControl w:val="0"/>
              <w:numPr>
                <w:ilvl w:val="12"/>
                <w:numId w:val="0"/>
              </w:numPr>
              <w:jc w:val="center"/>
              <w:rPr>
                <w:b/>
                <w:i/>
                <w:color w:val="FF0000"/>
              </w:rPr>
            </w:pPr>
            <w:bookmarkStart w:id="127" w:name="Part4Digest"/>
            <w:r>
              <w:rPr>
                <w:b/>
                <w:color w:val="FF0000"/>
              </w:rPr>
              <w:t xml:space="preserve">4.110 - 4.114. </w:t>
            </w:r>
            <w:r>
              <w:rPr>
                <w:b/>
                <w:i/>
                <w:color w:val="FF0000"/>
              </w:rPr>
              <w:t>The Digestive System</w:t>
            </w:r>
            <w:bookmarkEnd w:id="127"/>
          </w:p>
          <w:p w:rsidR="005567F4" w:rsidRDefault="005567F4" w:rsidP="005567F4">
            <w:pPr>
              <w:widowControl w:val="0"/>
              <w:numPr>
                <w:ilvl w:val="12"/>
                <w:numId w:val="0"/>
              </w:numPr>
              <w:rPr>
                <w:b/>
                <w:bCs/>
                <w:iCs/>
              </w:rPr>
            </w:pPr>
            <w:r>
              <w:rPr>
                <w:b/>
                <w:bCs/>
                <w:iCs/>
              </w:rPr>
              <w:t>III.iv.4.H</w:t>
            </w:r>
          </w:p>
          <w:p w:rsidR="005567F4" w:rsidRDefault="005567F4" w:rsidP="005567F4">
            <w:pPr>
              <w:widowControl w:val="0"/>
              <w:numPr>
                <w:ilvl w:val="12"/>
                <w:numId w:val="0"/>
              </w:numPr>
              <w:rPr>
                <w:b/>
                <w:color w:val="FF0000"/>
              </w:rPr>
            </w:pPr>
          </w:p>
        </w:tc>
      </w:tr>
      <w:tr w:rsidR="00D275EA" w:rsidTr="00C334D1">
        <w:trPr>
          <w:trHeight w:val="283"/>
        </w:trPr>
        <w:tc>
          <w:tcPr>
            <w:tcW w:w="705" w:type="dxa"/>
            <w:tcBorders>
              <w:top w:val="nil"/>
              <w:left w:val="nil"/>
              <w:bottom w:val="nil"/>
              <w:right w:val="nil"/>
            </w:tcBorders>
          </w:tcPr>
          <w:p w:rsidR="00D275EA" w:rsidRDefault="00D275EA" w:rsidP="00C334D1">
            <w:pPr>
              <w:widowControl w:val="0"/>
              <w:numPr>
                <w:ilvl w:val="12"/>
                <w:numId w:val="0"/>
              </w:numPr>
              <w:rPr>
                <w:b/>
              </w:rPr>
            </w:pPr>
            <w:r w:rsidRPr="00453DE5">
              <w:rPr>
                <w:b/>
              </w:rPr>
              <w:t>4.110</w:t>
            </w:r>
          </w:p>
        </w:tc>
        <w:tc>
          <w:tcPr>
            <w:tcW w:w="10170" w:type="dxa"/>
            <w:tcBorders>
              <w:top w:val="nil"/>
              <w:left w:val="nil"/>
              <w:bottom w:val="nil"/>
              <w:right w:val="nil"/>
            </w:tcBorders>
          </w:tcPr>
          <w:p w:rsidR="00D275EA" w:rsidRDefault="00D275EA" w:rsidP="00C334D1">
            <w:pPr>
              <w:widowControl w:val="0"/>
              <w:numPr>
                <w:ilvl w:val="12"/>
                <w:numId w:val="0"/>
              </w:numPr>
              <w:rPr>
                <w:i/>
              </w:rPr>
            </w:pPr>
            <w:r>
              <w:rPr>
                <w:b/>
              </w:rPr>
              <w:t>Ulcers</w:t>
            </w:r>
            <w:r>
              <w:t xml:space="preserve"> – “peptic ulcer” is not sufficient; </w:t>
            </w:r>
            <w:r>
              <w:rPr>
                <w:i/>
              </w:rPr>
              <w:t>need “esophageal,” “gastric,” “duodenal” or “marginal”</w:t>
            </w:r>
          </w:p>
        </w:tc>
      </w:tr>
      <w:tr w:rsidR="00D275EA" w:rsidTr="00C334D1">
        <w:trPr>
          <w:trHeight w:val="265"/>
        </w:trPr>
        <w:tc>
          <w:tcPr>
            <w:tcW w:w="705" w:type="dxa"/>
            <w:tcBorders>
              <w:top w:val="nil"/>
              <w:left w:val="nil"/>
              <w:bottom w:val="nil"/>
              <w:right w:val="nil"/>
            </w:tcBorders>
          </w:tcPr>
          <w:p w:rsidR="00D275EA" w:rsidRDefault="00D275EA" w:rsidP="00C334D1">
            <w:pPr>
              <w:widowControl w:val="0"/>
              <w:numPr>
                <w:ilvl w:val="12"/>
                <w:numId w:val="0"/>
              </w:numPr>
              <w:rPr>
                <w:b/>
              </w:rPr>
            </w:pPr>
            <w:r w:rsidRPr="00453DE5">
              <w:rPr>
                <w:b/>
              </w:rPr>
              <w:t>4.111</w:t>
            </w:r>
          </w:p>
        </w:tc>
        <w:tc>
          <w:tcPr>
            <w:tcW w:w="10170" w:type="dxa"/>
            <w:tcBorders>
              <w:top w:val="nil"/>
              <w:left w:val="nil"/>
              <w:bottom w:val="nil"/>
              <w:right w:val="nil"/>
            </w:tcBorders>
          </w:tcPr>
          <w:p w:rsidR="00D275EA" w:rsidRDefault="00D275EA" w:rsidP="00C334D1">
            <w:pPr>
              <w:widowControl w:val="0"/>
              <w:numPr>
                <w:ilvl w:val="12"/>
                <w:numId w:val="0"/>
              </w:numPr>
            </w:pPr>
            <w:r>
              <w:rPr>
                <w:b/>
              </w:rPr>
              <w:t xml:space="preserve">Postgastrectomy syndromes </w:t>
            </w:r>
            <w:r>
              <w:t>– gastrointestinal complaints and symptoms simulating hypoglycemia, “dumping syndrome,” occur during or immediately after eating, while those occurring 1-3 hours after eating show hypoglycemia</w:t>
            </w:r>
          </w:p>
        </w:tc>
      </w:tr>
      <w:tr w:rsidR="00D275EA" w:rsidTr="00C334D1">
        <w:trPr>
          <w:trHeight w:val="283"/>
        </w:trPr>
        <w:tc>
          <w:tcPr>
            <w:tcW w:w="705" w:type="dxa"/>
            <w:tcBorders>
              <w:top w:val="nil"/>
              <w:left w:val="nil"/>
              <w:bottom w:val="nil"/>
              <w:right w:val="nil"/>
            </w:tcBorders>
          </w:tcPr>
          <w:p w:rsidR="00D275EA" w:rsidRDefault="00D275EA" w:rsidP="00C334D1">
            <w:pPr>
              <w:widowControl w:val="0"/>
              <w:numPr>
                <w:ilvl w:val="12"/>
                <w:numId w:val="0"/>
              </w:numPr>
              <w:rPr>
                <w:b/>
              </w:rPr>
            </w:pPr>
            <w:r w:rsidRPr="00453DE5">
              <w:rPr>
                <w:b/>
              </w:rPr>
              <w:t>4.112</w:t>
            </w:r>
          </w:p>
        </w:tc>
        <w:tc>
          <w:tcPr>
            <w:tcW w:w="10170" w:type="dxa"/>
            <w:tcBorders>
              <w:top w:val="nil"/>
              <w:left w:val="nil"/>
              <w:bottom w:val="nil"/>
              <w:right w:val="nil"/>
            </w:tcBorders>
          </w:tcPr>
          <w:p w:rsidR="00D275EA" w:rsidRDefault="00D275EA" w:rsidP="00C334D1">
            <w:pPr>
              <w:widowControl w:val="0"/>
              <w:numPr>
                <w:ilvl w:val="12"/>
                <w:numId w:val="0"/>
              </w:numPr>
            </w:pPr>
            <w:r>
              <w:rPr>
                <w:b/>
              </w:rPr>
              <w:t xml:space="preserve">Weight loss </w:t>
            </w:r>
            <w:r>
              <w:t>– “substantial weight loss” is greater than 20% of baseline weight for 3 months or longer, “minor weight loss” is 10-20% for 3 months or longer, “inability to gain weight” is substantial weight loss with no gain on therapy, “baseline weight” is the average weight for 2-years before the disease</w:t>
            </w:r>
          </w:p>
        </w:tc>
      </w:tr>
      <w:tr w:rsidR="00D275EA" w:rsidTr="00C334D1">
        <w:trPr>
          <w:trHeight w:val="265"/>
        </w:trPr>
        <w:tc>
          <w:tcPr>
            <w:tcW w:w="705" w:type="dxa"/>
            <w:tcBorders>
              <w:top w:val="nil"/>
              <w:left w:val="nil"/>
              <w:bottom w:val="nil"/>
              <w:right w:val="nil"/>
            </w:tcBorders>
          </w:tcPr>
          <w:p w:rsidR="00D275EA" w:rsidRDefault="00D275EA" w:rsidP="00C334D1">
            <w:pPr>
              <w:widowControl w:val="0"/>
              <w:numPr>
                <w:ilvl w:val="12"/>
                <w:numId w:val="0"/>
              </w:numPr>
              <w:rPr>
                <w:b/>
              </w:rPr>
            </w:pPr>
            <w:r w:rsidRPr="00453DE5">
              <w:rPr>
                <w:b/>
              </w:rPr>
              <w:t>4.113</w:t>
            </w:r>
          </w:p>
        </w:tc>
        <w:tc>
          <w:tcPr>
            <w:tcW w:w="10170" w:type="dxa"/>
            <w:tcBorders>
              <w:top w:val="nil"/>
              <w:left w:val="nil"/>
              <w:bottom w:val="nil"/>
              <w:right w:val="nil"/>
            </w:tcBorders>
          </w:tcPr>
          <w:p w:rsidR="00D275EA" w:rsidRDefault="00D275EA" w:rsidP="00C334D1">
            <w:pPr>
              <w:widowControl w:val="0"/>
              <w:numPr>
                <w:ilvl w:val="12"/>
                <w:numId w:val="0"/>
              </w:numPr>
            </w:pPr>
            <w:r>
              <w:rPr>
                <w:b/>
              </w:rPr>
              <w:t>Coexisting abdominal conditions</w:t>
            </w:r>
            <w:r>
              <w:t xml:space="preserve"> – only one evaluation if have common symptoms</w:t>
            </w:r>
          </w:p>
        </w:tc>
      </w:tr>
    </w:tbl>
    <w:p w:rsidR="00D275EA" w:rsidRDefault="00D275EA" w:rsidP="00D275EA">
      <w:pPr>
        <w:widowControl w:val="0"/>
        <w:numPr>
          <w:ilvl w:val="12"/>
          <w:numId w:val="0"/>
        </w:numPr>
        <w:tabs>
          <w:tab w:val="left" w:pos="660"/>
          <w:tab w:val="left" w:pos="9407"/>
        </w:tabs>
        <w:ind w:left="-45"/>
        <w:rPr>
          <w:b/>
        </w:rPr>
      </w:pPr>
    </w:p>
    <w:p w:rsidR="00D275EA" w:rsidRDefault="00D275EA" w:rsidP="00D275EA">
      <w:pPr>
        <w:widowControl w:val="0"/>
        <w:numPr>
          <w:ilvl w:val="12"/>
          <w:numId w:val="0"/>
        </w:numPr>
        <w:tabs>
          <w:tab w:val="left" w:pos="660"/>
          <w:tab w:val="left" w:pos="9407"/>
        </w:tabs>
        <w:rPr>
          <w:b/>
          <w:u w:val="single"/>
        </w:rPr>
      </w:pPr>
      <w:r w:rsidRPr="00453DE5">
        <w:rPr>
          <w:b/>
          <w:u w:val="single"/>
        </w:rPr>
        <w:t>4.114</w:t>
      </w:r>
      <w:r>
        <w:rPr>
          <w:b/>
          <w:u w:val="single"/>
        </w:rPr>
        <w:tab/>
        <w:t>Schedule of Ratings—Digestive System</w:t>
      </w:r>
    </w:p>
    <w:p w:rsidR="00D275EA" w:rsidRDefault="00D275EA" w:rsidP="00D275EA">
      <w:pPr>
        <w:widowControl w:val="0"/>
        <w:numPr>
          <w:ilvl w:val="12"/>
          <w:numId w:val="0"/>
        </w:numPr>
        <w:rPr>
          <w:b/>
        </w:rPr>
      </w:pPr>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changed 7/2/01 (DCs 7311, 7312, 7337-new, 7343, 7344, 7345, 7351-new, 7354-new)</w:t>
      </w:r>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i/>
        </w:rPr>
      </w:pPr>
      <w:r w:rsidRPr="007645C4">
        <w:rPr>
          <w:i/>
          <w:sz w:val="18"/>
        </w:rPr>
        <w:t>*you can find the old schedule</w:t>
      </w:r>
      <w:r w:rsidRPr="007645C4">
        <w:rPr>
          <w:bCs/>
          <w:i/>
          <w:iCs/>
          <w:sz w:val="18"/>
        </w:rPr>
        <w:t xml:space="preserve"> at Regulation Citator at </w:t>
      </w:r>
      <w:r w:rsidRPr="00941592">
        <w:rPr>
          <w:bCs/>
          <w:i/>
          <w:iCs/>
          <w:sz w:val="18"/>
        </w:rPr>
        <w:t>http://vacoappbva2.dva.va.gov</w:t>
      </w:r>
      <w:r>
        <w:rPr>
          <w:bCs/>
          <w:i/>
          <w:iCs/>
          <w:sz w:val="18"/>
        </w:rPr>
        <w:t>, search 4.114</w:t>
      </w:r>
      <w:r w:rsidR="00D11C3E">
        <w:rPr>
          <w:bCs/>
          <w:i/>
          <w:iCs/>
          <w:sz w:val="18"/>
        </w:rPr>
        <w:t>; or in CPKM</w:t>
      </w:r>
    </w:p>
    <w:p w:rsidR="00D275EA" w:rsidRDefault="00D275EA" w:rsidP="00D275EA">
      <w:pPr>
        <w:widowControl w:val="0"/>
        <w:numPr>
          <w:ilvl w:val="12"/>
          <w:numId w:val="0"/>
        </w:numPr>
        <w:rPr>
          <w:i/>
        </w:rPr>
      </w:pPr>
    </w:p>
    <w:p w:rsidR="00D275EA" w:rsidRPr="000D7D75" w:rsidRDefault="00D275EA" w:rsidP="00D275EA">
      <w:pPr>
        <w:widowControl w:val="0"/>
        <w:pBdr>
          <w:top w:val="single" w:sz="4" w:space="1" w:color="auto"/>
          <w:left w:val="single" w:sz="4" w:space="4" w:color="auto"/>
          <w:bottom w:val="single" w:sz="4" w:space="1" w:color="auto"/>
          <w:right w:val="single" w:sz="4" w:space="4" w:color="auto"/>
        </w:pBdr>
        <w:rPr>
          <w:bCs/>
          <w:iCs/>
        </w:rPr>
      </w:pPr>
      <w:r w:rsidRPr="002505D9">
        <w:rPr>
          <w:b/>
          <w:bCs/>
          <w:iCs/>
        </w:rPr>
        <w:t>III.iv.4.</w:t>
      </w:r>
      <w:r w:rsidR="002505D9" w:rsidRPr="002505D9">
        <w:rPr>
          <w:b/>
          <w:bCs/>
          <w:iCs/>
        </w:rPr>
        <w:t>H.1</w:t>
      </w:r>
      <w:r>
        <w:rPr>
          <w:bCs/>
          <w:iCs/>
        </w:rPr>
        <w:t>– table for evaluating (especially if there are non-overlapping symptoms &amp; possible elevation to the next higher evaluation)</w:t>
      </w:r>
    </w:p>
    <w:p w:rsidR="00D275EA" w:rsidRPr="0099637C" w:rsidRDefault="00D275EA" w:rsidP="00D275EA">
      <w:pPr>
        <w:widowControl w:val="0"/>
        <w:pBdr>
          <w:top w:val="single" w:sz="4" w:space="1" w:color="auto"/>
          <w:left w:val="single" w:sz="4" w:space="4" w:color="auto"/>
          <w:bottom w:val="single" w:sz="4" w:space="1" w:color="auto"/>
          <w:right w:val="single" w:sz="4" w:space="4" w:color="auto"/>
        </w:pBdr>
        <w:rPr>
          <w:b/>
          <w:bCs/>
          <w:iCs/>
        </w:rPr>
      </w:pPr>
    </w:p>
    <w:p w:rsidR="00D275EA" w:rsidRPr="00550DB1" w:rsidRDefault="00D275EA" w:rsidP="00D275EA">
      <w:pPr>
        <w:widowControl w:val="0"/>
        <w:pBdr>
          <w:top w:val="single" w:sz="4" w:space="1" w:color="auto"/>
          <w:left w:val="single" w:sz="4" w:space="4" w:color="auto"/>
          <w:bottom w:val="single" w:sz="4" w:space="1" w:color="auto"/>
          <w:right w:val="single" w:sz="4" w:space="4" w:color="auto"/>
        </w:pBdr>
        <w:rPr>
          <w:bCs/>
          <w:i/>
        </w:rPr>
      </w:pPr>
      <w:r>
        <w:rPr>
          <w:b/>
          <w:bCs/>
          <w:i/>
          <w:iCs/>
          <w:u w:val="single"/>
        </w:rPr>
        <w:t>DO NOT RATE SEPARATELY</w:t>
      </w:r>
      <w:r>
        <w:rPr>
          <w:b/>
          <w:bCs/>
        </w:rPr>
        <w:t xml:space="preserve"> - </w:t>
      </w:r>
      <w:r>
        <w:rPr>
          <w:b/>
          <w:bCs/>
          <w:highlight w:val="cyan"/>
          <w:u w:val="single"/>
        </w:rPr>
        <w:t>DC 7301 to 7329, 7331, 7342, and 7345 to 7348</w:t>
      </w:r>
      <w:r w:rsidR="00550DB1">
        <w:rPr>
          <w:bCs/>
        </w:rPr>
        <w:t xml:space="preserve"> – </w:t>
      </w:r>
      <w:r w:rsidR="00550DB1" w:rsidRPr="00550DB1">
        <w:rPr>
          <w:bCs/>
          <w:i/>
        </w:rPr>
        <w:t>BEST TO DO THESE IN LEGACY EVALUATION BUILDER (LEB)</w:t>
      </w:r>
    </w:p>
    <w:p w:rsidR="00D275EA" w:rsidRDefault="00D275EA" w:rsidP="00D275EA">
      <w:pPr>
        <w:widowControl w:val="0"/>
        <w:pBdr>
          <w:top w:val="single" w:sz="4" w:space="1" w:color="auto"/>
          <w:left w:val="single" w:sz="4" w:space="4" w:color="auto"/>
          <w:bottom w:val="single" w:sz="4" w:space="1" w:color="auto"/>
          <w:right w:val="single" w:sz="4" w:space="4" w:color="auto"/>
        </w:pBdr>
      </w:pPr>
      <w:r>
        <w:t>Colitis, ulcerative (7323)</w:t>
      </w:r>
    </w:p>
    <w:p w:rsidR="00D275EA" w:rsidRDefault="00D275EA" w:rsidP="00D275EA">
      <w:pPr>
        <w:pStyle w:val="HTMLPreformatted"/>
        <w:widowControl w:val="0"/>
        <w:pBdr>
          <w:top w:val="single" w:sz="4" w:space="1" w:color="auto"/>
          <w:left w:val="single" w:sz="4" w:space="4" w:color="auto"/>
          <w:bottom w:val="single" w:sz="4" w:space="1" w:color="auto"/>
          <w:right w:val="single" w:sz="4" w:space="4" w:color="auto"/>
        </w:pBd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rPr>
      </w:pPr>
      <w:r>
        <w:rPr>
          <w:rFonts w:ascii="Arial" w:hAnsi="Arial"/>
        </w:rPr>
        <w:t>Diverticulitis (7327)</w:t>
      </w:r>
    </w:p>
    <w:p w:rsidR="00D275EA" w:rsidRDefault="00D275EA" w:rsidP="00D275EA">
      <w:pPr>
        <w:pStyle w:val="HTMLPreformatted"/>
        <w:widowControl w:val="0"/>
        <w:pBdr>
          <w:top w:val="single" w:sz="4" w:space="1" w:color="auto"/>
          <w:left w:val="single" w:sz="4" w:space="4" w:color="auto"/>
          <w:bottom w:val="single" w:sz="4" w:space="1" w:color="auto"/>
          <w:right w:val="single" w:sz="4" w:space="4" w:color="auto"/>
        </w:pBd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rPr>
      </w:pPr>
      <w:r>
        <w:rPr>
          <w:rFonts w:ascii="Arial" w:hAnsi="Arial"/>
        </w:rPr>
        <w:t>Gall bladder, injury or removal (7317 &amp; 7318)</w:t>
      </w:r>
    </w:p>
    <w:p w:rsidR="00D275EA" w:rsidRDefault="00D275EA" w:rsidP="00D275EA">
      <w:pPr>
        <w:pStyle w:val="HTMLPreformatted"/>
        <w:widowControl w:val="0"/>
        <w:pBdr>
          <w:top w:val="single" w:sz="4" w:space="1" w:color="auto"/>
          <w:left w:val="single" w:sz="4" w:space="4" w:color="auto"/>
          <w:bottom w:val="single" w:sz="4" w:space="1" w:color="auto"/>
          <w:right w:val="single" w:sz="4" w:space="4" w:color="auto"/>
        </w:pBd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rPr>
      </w:pPr>
      <w:r>
        <w:rPr>
          <w:rFonts w:ascii="Arial" w:hAnsi="Arial"/>
        </w:rPr>
        <w:t>Gastritis (7307)</w:t>
      </w:r>
    </w:p>
    <w:p w:rsidR="00D275EA" w:rsidRDefault="00D275EA" w:rsidP="00D275EA">
      <w:pPr>
        <w:widowControl w:val="0"/>
        <w:pBdr>
          <w:top w:val="single" w:sz="4" w:space="1" w:color="auto"/>
          <w:left w:val="single" w:sz="4" w:space="4" w:color="auto"/>
          <w:bottom w:val="single" w:sz="4" w:space="1" w:color="auto"/>
          <w:right w:val="single" w:sz="4" w:space="4" w:color="auto"/>
        </w:pBdr>
      </w:pPr>
      <w:r>
        <w:t xml:space="preserve">Hernia hiatal (7346) – </w:t>
      </w:r>
      <w:r w:rsidRPr="00A610B9">
        <w:rPr>
          <w:i/>
        </w:rPr>
        <w:t>Subordinate Issues handout says this is a chronic disability</w:t>
      </w:r>
    </w:p>
    <w:p w:rsidR="00D275EA" w:rsidRDefault="00D275EA" w:rsidP="00D275EA">
      <w:pPr>
        <w:widowControl w:val="0"/>
        <w:pBdr>
          <w:top w:val="single" w:sz="4" w:space="1" w:color="auto"/>
          <w:left w:val="single" w:sz="4" w:space="4" w:color="auto"/>
          <w:bottom w:val="single" w:sz="4" w:space="1" w:color="auto"/>
          <w:right w:val="single" w:sz="4" w:space="4" w:color="auto"/>
        </w:pBdr>
      </w:pPr>
      <w:r>
        <w:t xml:space="preserve">Intestine, resection of (7328 &amp; 7329) [fistula rated </w:t>
      </w:r>
      <w:r>
        <w:rPr>
          <w:u w:val="single"/>
        </w:rPr>
        <w:t>separately</w:t>
      </w:r>
      <w:r>
        <w:t xml:space="preserve"> under 7330]</w:t>
      </w:r>
    </w:p>
    <w:p w:rsidR="00D275EA" w:rsidRDefault="00D275EA" w:rsidP="00D275EA">
      <w:pPr>
        <w:widowControl w:val="0"/>
        <w:pBdr>
          <w:top w:val="single" w:sz="4" w:space="1" w:color="auto"/>
          <w:left w:val="single" w:sz="4" w:space="4" w:color="auto"/>
          <w:bottom w:val="single" w:sz="4" w:space="1" w:color="auto"/>
          <w:right w:val="single" w:sz="4" w:space="4" w:color="auto"/>
        </w:pBdr>
      </w:pPr>
      <w:r>
        <w:t>Irritable colon syndrome (</w:t>
      </w:r>
      <w:r w:rsidRPr="000B6429">
        <w:t>7319</w:t>
      </w:r>
      <w:r>
        <w:t>)</w:t>
      </w:r>
    </w:p>
    <w:p w:rsidR="00D275EA" w:rsidRDefault="00D275EA" w:rsidP="00D275EA">
      <w:pPr>
        <w:widowControl w:val="0"/>
        <w:pBdr>
          <w:top w:val="single" w:sz="4" w:space="1" w:color="auto"/>
          <w:left w:val="single" w:sz="4" w:space="4" w:color="auto"/>
          <w:bottom w:val="single" w:sz="4" w:space="1" w:color="auto"/>
          <w:right w:val="single" w:sz="4" w:space="4" w:color="auto"/>
        </w:pBdr>
      </w:pPr>
      <w:r>
        <w:t xml:space="preserve">Liver, residuals of injury (7311) [may also be </w:t>
      </w:r>
      <w:r>
        <w:rPr>
          <w:u w:val="single"/>
        </w:rPr>
        <w:t>separately</w:t>
      </w:r>
      <w:r>
        <w:t xml:space="preserve"> evaluated, read details under 7311]</w:t>
      </w:r>
    </w:p>
    <w:p w:rsidR="00D275EA" w:rsidRDefault="00D275EA" w:rsidP="00D275EA">
      <w:pPr>
        <w:widowControl w:val="0"/>
        <w:pBdr>
          <w:top w:val="single" w:sz="4" w:space="1" w:color="auto"/>
          <w:left w:val="single" w:sz="4" w:space="4" w:color="auto"/>
          <w:bottom w:val="single" w:sz="4" w:space="1" w:color="auto"/>
          <w:right w:val="single" w:sz="4" w:space="4" w:color="auto"/>
        </w:pBdr>
      </w:pPr>
      <w:r>
        <w:t xml:space="preserve">Liver: cirrhosis of; chronic disease without cirrhosis (includes hepatitis B) (7312 &amp; 7345) [Hepatitis C rated </w:t>
      </w:r>
      <w:r>
        <w:rPr>
          <w:u w:val="single"/>
        </w:rPr>
        <w:t>separately</w:t>
      </w:r>
      <w:r>
        <w:t xml:space="preserve"> under 7354] </w:t>
      </w:r>
    </w:p>
    <w:p w:rsidR="00D275EA" w:rsidRDefault="00D275EA" w:rsidP="00D275EA">
      <w:pPr>
        <w:widowControl w:val="0"/>
        <w:pBdr>
          <w:top w:val="single" w:sz="4" w:space="1" w:color="auto"/>
          <w:left w:val="single" w:sz="4" w:space="4" w:color="auto"/>
          <w:bottom w:val="single" w:sz="4" w:space="1" w:color="auto"/>
          <w:right w:val="single" w:sz="4" w:space="4" w:color="auto"/>
        </w:pBdr>
      </w:pPr>
      <w:r>
        <w:t>Pancreatitis (7347)</w:t>
      </w:r>
    </w:p>
    <w:p w:rsidR="00D275EA" w:rsidRDefault="00D275EA" w:rsidP="00D275EA">
      <w:pPr>
        <w:widowControl w:val="0"/>
        <w:pBdr>
          <w:top w:val="single" w:sz="4" w:space="1" w:color="auto"/>
          <w:left w:val="single" w:sz="4" w:space="4" w:color="auto"/>
          <w:bottom w:val="single" w:sz="4" w:space="1" w:color="auto"/>
          <w:right w:val="single" w:sz="4" w:space="4" w:color="auto"/>
        </w:pBdr>
      </w:pPr>
      <w:r>
        <w:t>Stomach, injury or stenosis of (7309 &amp; 7310)</w:t>
      </w:r>
    </w:p>
    <w:p w:rsidR="00D275EA" w:rsidRDefault="00D275EA" w:rsidP="00D275EA">
      <w:pPr>
        <w:widowControl w:val="0"/>
        <w:pBdr>
          <w:top w:val="single" w:sz="4" w:space="1" w:color="auto"/>
          <w:left w:val="single" w:sz="4" w:space="4" w:color="auto"/>
          <w:bottom w:val="single" w:sz="4" w:space="1" w:color="auto"/>
          <w:right w:val="single" w:sz="4" w:space="4" w:color="auto"/>
        </w:pBdr>
      </w:pPr>
      <w:r>
        <w:t>Ulcers: gastric, duodenal, marginal (7304, 7305 &amp; 7306)</w:t>
      </w:r>
    </w:p>
    <w:p w:rsidR="00D275EA" w:rsidRDefault="00D275EA" w:rsidP="00D275EA">
      <w:pPr>
        <w:pStyle w:val="HTMLPreformatted"/>
        <w:widowControl w:val="0"/>
        <w:pBdr>
          <w:top w:val="single" w:sz="4" w:space="1" w:color="auto"/>
          <w:left w:val="single" w:sz="4" w:space="4" w:color="auto"/>
          <w:bottom w:val="single" w:sz="4" w:space="1" w:color="auto"/>
          <w:right w:val="single" w:sz="4" w:space="4" w:color="auto"/>
        </w:pBd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rPr>
      </w:pPr>
    </w:p>
    <w:p w:rsidR="00D275EA" w:rsidRDefault="00D275EA" w:rsidP="00D275EA">
      <w:pPr>
        <w:widowControl w:val="0"/>
        <w:pBdr>
          <w:top w:val="single" w:sz="4" w:space="1" w:color="auto"/>
          <w:left w:val="single" w:sz="4" w:space="4" w:color="auto"/>
          <w:bottom w:val="single" w:sz="4" w:space="1" w:color="auto"/>
          <w:right w:val="single" w:sz="4" w:space="4" w:color="auto"/>
        </w:pBdr>
      </w:pPr>
      <w:r>
        <w:rPr>
          <w:i/>
          <w:iCs/>
        </w:rPr>
        <w:t>Less common conditions</w:t>
      </w:r>
      <w:r>
        <w:t>:</w:t>
      </w:r>
    </w:p>
    <w:p w:rsidR="00D275EA" w:rsidRDefault="00D275EA" w:rsidP="00D275EA">
      <w:pPr>
        <w:widowControl w:val="0"/>
        <w:pBdr>
          <w:top w:val="single" w:sz="4" w:space="1" w:color="auto"/>
          <w:left w:val="single" w:sz="4" w:space="4" w:color="auto"/>
          <w:bottom w:val="single" w:sz="4" w:space="1" w:color="auto"/>
          <w:right w:val="single" w:sz="4" w:space="4" w:color="auto"/>
        </w:pBdr>
      </w:pPr>
      <w:r>
        <w:t>Amebiasis (7321); Cholecystitis (7314); Cholelithiasis (7315); Cholangitis (7316); Distomiasis, intestinal or hepatic (7324); Dysentery (</w:t>
      </w:r>
      <w:r w:rsidRPr="000B6429">
        <w:t>7322</w:t>
      </w:r>
      <w:r>
        <w:t>); Enteritis (7325); Enterocolitis (7326); Peritoneum, adhesions of (7301); Postgastrectomy syndromes (7308); Peritonitis, tuberculous (7331);Vagotomy with pyloroplasty or gastroenterostomy (7348); Visceroptosis (7342)</w:t>
      </w:r>
    </w:p>
    <w:p w:rsidR="00D275EA" w:rsidRDefault="00D275EA" w:rsidP="00D275EA">
      <w:pPr>
        <w:widowControl w:val="0"/>
      </w:pPr>
    </w:p>
    <w:p w:rsidR="00D275EA" w:rsidRDefault="00D275EA" w:rsidP="00D275EA">
      <w:pPr>
        <w:pStyle w:val="Heading1"/>
        <w:keepNext w:val="0"/>
        <w:widowControl w:val="0"/>
        <w:pBdr>
          <w:top w:val="single" w:sz="4" w:space="1" w:color="auto"/>
          <w:left w:val="single" w:sz="4" w:space="4" w:color="auto"/>
          <w:bottom w:val="single" w:sz="4" w:space="1" w:color="auto"/>
          <w:right w:val="single" w:sz="4" w:space="4" w:color="auto"/>
        </w:pBdr>
        <w:rPr>
          <w:b/>
          <w:bCs/>
          <w:sz w:val="20"/>
          <w:u w:val="single"/>
        </w:rPr>
      </w:pPr>
      <w:r>
        <w:rPr>
          <w:b/>
          <w:bCs/>
          <w:sz w:val="20"/>
          <w:u w:val="single"/>
        </w:rPr>
        <w:t>CAN RATE SEPARATELY</w:t>
      </w:r>
    </w:p>
    <w:p w:rsidR="00D275EA" w:rsidRDefault="00D275EA" w:rsidP="00D275EA">
      <w:pPr>
        <w:widowControl w:val="0"/>
        <w:pBdr>
          <w:top w:val="single" w:sz="4" w:space="1" w:color="auto"/>
          <w:left w:val="single" w:sz="4" w:space="4" w:color="auto"/>
          <w:bottom w:val="single" w:sz="4" w:space="1" w:color="auto"/>
          <w:right w:val="single" w:sz="4" w:space="4" w:color="auto"/>
        </w:pBdr>
      </w:pPr>
      <w:r>
        <w:t>Ano, fistula (7335)</w:t>
      </w:r>
    </w:p>
    <w:p w:rsidR="00D275EA" w:rsidRDefault="00D275EA" w:rsidP="00D275EA">
      <w:pPr>
        <w:widowControl w:val="0"/>
        <w:pBdr>
          <w:top w:val="single" w:sz="4" w:space="1" w:color="auto"/>
          <w:left w:val="single" w:sz="4" w:space="4" w:color="auto"/>
          <w:bottom w:val="single" w:sz="4" w:space="1" w:color="auto"/>
          <w:right w:val="single" w:sz="4" w:space="4" w:color="auto"/>
        </w:pBdr>
      </w:pPr>
      <w:r>
        <w:t>Hemorrhoids, external or internal (7336)</w:t>
      </w:r>
    </w:p>
    <w:p w:rsidR="00D275EA" w:rsidRDefault="00D275EA" w:rsidP="00D275EA">
      <w:pPr>
        <w:pStyle w:val="HTMLPreformatted"/>
        <w:widowControl w:val="0"/>
        <w:pBdr>
          <w:top w:val="single" w:sz="4" w:space="1" w:color="auto"/>
          <w:left w:val="single" w:sz="4" w:space="4" w:color="auto"/>
          <w:bottom w:val="single" w:sz="4" w:space="1" w:color="auto"/>
          <w:right w:val="single" w:sz="4" w:space="4" w:color="auto"/>
        </w:pBd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rPr>
      </w:pPr>
      <w:r>
        <w:rPr>
          <w:rFonts w:ascii="Arial" w:hAnsi="Arial"/>
        </w:rPr>
        <w:t>Hepatitis C (7354)</w:t>
      </w:r>
    </w:p>
    <w:p w:rsidR="00D275EA" w:rsidRDefault="00D275EA" w:rsidP="00D275EA">
      <w:pPr>
        <w:widowControl w:val="0"/>
        <w:pBdr>
          <w:top w:val="single" w:sz="4" w:space="1" w:color="auto"/>
          <w:left w:val="single" w:sz="4" w:space="4" w:color="auto"/>
          <w:bottom w:val="single" w:sz="4" w:space="1" w:color="auto"/>
          <w:right w:val="single" w:sz="4" w:space="4" w:color="auto"/>
        </w:pBdr>
      </w:pPr>
      <w:r>
        <w:t>Hernias: inguinal, ventral, femoral (7338, 7339 &amp; 7340)</w:t>
      </w:r>
    </w:p>
    <w:p w:rsidR="00D275EA" w:rsidRDefault="00D275EA" w:rsidP="00D275EA">
      <w:pPr>
        <w:widowControl w:val="0"/>
        <w:pBdr>
          <w:top w:val="single" w:sz="4" w:space="1" w:color="auto"/>
          <w:left w:val="single" w:sz="4" w:space="4" w:color="auto"/>
          <w:bottom w:val="single" w:sz="4" w:space="1" w:color="auto"/>
          <w:right w:val="single" w:sz="4" w:space="4" w:color="auto"/>
        </w:pBdr>
      </w:pPr>
      <w:r>
        <w:t>Intestine, fistula of (7330)</w:t>
      </w:r>
    </w:p>
    <w:p w:rsidR="00D275EA" w:rsidRDefault="00D275EA" w:rsidP="00D275EA">
      <w:pPr>
        <w:widowControl w:val="0"/>
        <w:pBdr>
          <w:top w:val="single" w:sz="4" w:space="1" w:color="auto"/>
          <w:left w:val="single" w:sz="4" w:space="4" w:color="auto"/>
          <w:bottom w:val="single" w:sz="4" w:space="1" w:color="auto"/>
          <w:right w:val="single" w:sz="4" w:space="4" w:color="auto"/>
        </w:pBdr>
      </w:pPr>
      <w:r>
        <w:t>Liver transplant (7351)</w:t>
      </w:r>
    </w:p>
    <w:p w:rsidR="00D275EA" w:rsidRDefault="00D275EA" w:rsidP="00D275EA">
      <w:pPr>
        <w:widowControl w:val="0"/>
        <w:pBdr>
          <w:top w:val="single" w:sz="4" w:space="1" w:color="auto"/>
          <w:left w:val="single" w:sz="4" w:space="4" w:color="auto"/>
          <w:bottom w:val="single" w:sz="4" w:space="1" w:color="auto"/>
          <w:right w:val="single" w:sz="4" w:space="4" w:color="auto"/>
        </w:pBdr>
      </w:pPr>
      <w:r>
        <w:t>Neoplasms, malignant or benign (7343 &amp; 7344)</w:t>
      </w:r>
    </w:p>
    <w:p w:rsidR="00D275EA" w:rsidRDefault="00D275EA" w:rsidP="00D275EA">
      <w:pPr>
        <w:widowControl w:val="0"/>
        <w:pBdr>
          <w:top w:val="single" w:sz="4" w:space="1" w:color="auto"/>
          <w:left w:val="single" w:sz="4" w:space="4" w:color="auto"/>
          <w:bottom w:val="single" w:sz="4" w:space="1" w:color="auto"/>
          <w:right w:val="single" w:sz="4" w:space="4" w:color="auto"/>
        </w:pBdr>
      </w:pPr>
      <w:r>
        <w:t>Rectum and anus: impairment of sphincter control, stricture of, prolapse (7332, 7333 &amp; 7334)</w:t>
      </w:r>
    </w:p>
    <w:p w:rsidR="00D275EA" w:rsidRDefault="00D275EA" w:rsidP="00D275EA">
      <w:pPr>
        <w:widowControl w:val="0"/>
        <w:pBdr>
          <w:top w:val="single" w:sz="4" w:space="1" w:color="auto"/>
          <w:left w:val="single" w:sz="4" w:space="4" w:color="auto"/>
          <w:bottom w:val="single" w:sz="4" w:space="1" w:color="auto"/>
          <w:right w:val="single" w:sz="4" w:space="4" w:color="auto"/>
        </w:pBdr>
      </w:pPr>
      <w:r>
        <w:t>Pruritus ani (7337)</w:t>
      </w:r>
    </w:p>
    <w:p w:rsidR="00D275EA" w:rsidRDefault="00D275EA" w:rsidP="00D275EA">
      <w:pPr>
        <w:widowControl w:val="0"/>
      </w:pPr>
    </w:p>
    <w:p w:rsidR="00D275EA" w:rsidRDefault="00D275EA" w:rsidP="00D275EA">
      <w:pPr>
        <w:widowControl w:val="0"/>
        <w:numPr>
          <w:ilvl w:val="12"/>
          <w:numId w:val="0"/>
        </w:numPr>
        <w:rPr>
          <w:color w:val="00CCFF"/>
        </w:rPr>
      </w:pPr>
      <w:r>
        <w:rPr>
          <w:color w:val="FF0000"/>
        </w:rPr>
        <w:t>7304</w:t>
      </w:r>
      <w:r>
        <w:rPr>
          <w:color w:val="FF0000"/>
        </w:rPr>
        <w:tab/>
        <w:t xml:space="preserve">Ulcer, gastric </w:t>
      </w:r>
      <w:r>
        <w:t xml:space="preserve">– </w:t>
      </w:r>
      <w:r>
        <w:rPr>
          <w:i/>
          <w:color w:val="00CCFF"/>
        </w:rPr>
        <w:t xml:space="preserve">also POW presumptive under </w:t>
      </w:r>
      <w:r w:rsidRPr="00453DE5">
        <w:rPr>
          <w:b/>
        </w:rPr>
        <w:t>3.309</w:t>
      </w:r>
      <w:r>
        <w:rPr>
          <w:i/>
          <w:color w:val="00CCFF"/>
        </w:rPr>
        <w:t>(c)</w:t>
      </w:r>
    </w:p>
    <w:p w:rsidR="00D275EA" w:rsidRPr="0059408F" w:rsidRDefault="00D275EA" w:rsidP="00D275EA">
      <w:pPr>
        <w:widowControl w:val="0"/>
        <w:numPr>
          <w:ilvl w:val="12"/>
          <w:numId w:val="0"/>
        </w:numPr>
      </w:pPr>
      <w:r>
        <w:rPr>
          <w:color w:val="FF0000"/>
        </w:rPr>
        <w:t>7305</w:t>
      </w:r>
      <w:r>
        <w:rPr>
          <w:color w:val="FF0000"/>
        </w:rPr>
        <w:tab/>
        <w:t xml:space="preserve">Ulcer, duodenal </w:t>
      </w:r>
      <w:r>
        <w:t xml:space="preserve">– </w:t>
      </w:r>
      <w:r>
        <w:rPr>
          <w:i/>
          <w:color w:val="00CCFF"/>
        </w:rPr>
        <w:t xml:space="preserve">also POW presumptive under </w:t>
      </w:r>
      <w:r w:rsidRPr="00453DE5">
        <w:rPr>
          <w:b/>
        </w:rPr>
        <w:t>3.309</w:t>
      </w:r>
      <w:r>
        <w:rPr>
          <w:i/>
          <w:color w:val="00CCFF"/>
        </w:rPr>
        <w:t>(c)</w:t>
      </w:r>
      <w:r>
        <w:t xml:space="preserve"> – known error with VEB, per VA Pulse, </w:t>
      </w:r>
      <w:r w:rsidRPr="005975FA">
        <w:rPr>
          <w:i/>
        </w:rPr>
        <w:t>https://www.vapulse.net/message/18333</w:t>
      </w:r>
    </w:p>
    <w:p w:rsidR="00D275EA" w:rsidRDefault="00D275EA" w:rsidP="00D275EA">
      <w:pPr>
        <w:widowControl w:val="0"/>
        <w:numPr>
          <w:ilvl w:val="12"/>
          <w:numId w:val="0"/>
        </w:numPr>
        <w:rPr>
          <w:i/>
          <w:color w:val="0000FF"/>
        </w:rPr>
      </w:pPr>
      <w:r>
        <w:rPr>
          <w:color w:val="FF0000"/>
        </w:rPr>
        <w:t>7306</w:t>
      </w:r>
      <w:r>
        <w:rPr>
          <w:color w:val="FF0000"/>
        </w:rPr>
        <w:tab/>
        <w:t xml:space="preserve">Ulcer, marginal (gastrojejunal) </w:t>
      </w:r>
      <w:r>
        <w:t xml:space="preserve">– </w:t>
      </w:r>
      <w:r>
        <w:rPr>
          <w:i/>
          <w:color w:val="00CCFF"/>
        </w:rPr>
        <w:t xml:space="preserve">also POW presumptive under </w:t>
      </w:r>
      <w:r w:rsidRPr="00453DE5">
        <w:rPr>
          <w:b/>
        </w:rPr>
        <w:t>3.309</w:t>
      </w:r>
      <w:r>
        <w:rPr>
          <w:i/>
          <w:color w:val="00CCFF"/>
        </w:rPr>
        <w:t>(c)</w:t>
      </w:r>
    </w:p>
    <w:p w:rsidR="00D275EA" w:rsidRDefault="00D275EA" w:rsidP="00D275EA">
      <w:pPr>
        <w:widowControl w:val="0"/>
        <w:numPr>
          <w:ilvl w:val="12"/>
          <w:numId w:val="0"/>
        </w:numPr>
        <w:rPr>
          <w:color w:val="FF0000"/>
        </w:rPr>
      </w:pPr>
      <w:r>
        <w:t>7308</w:t>
      </w:r>
      <w:r>
        <w:tab/>
        <w:t xml:space="preserve">Postgastrectomy syndromes – </w:t>
      </w:r>
      <w:r>
        <w:rPr>
          <w:i/>
          <w:color w:val="00CCFF"/>
        </w:rPr>
        <w:t xml:space="preserve">POW presumptive under </w:t>
      </w:r>
      <w:r w:rsidRPr="00453DE5">
        <w:rPr>
          <w:b/>
        </w:rPr>
        <w:t>3.309</w:t>
      </w:r>
      <w:r>
        <w:rPr>
          <w:i/>
          <w:color w:val="00CCFF"/>
        </w:rPr>
        <w:t>(c)</w:t>
      </w:r>
    </w:p>
    <w:p w:rsidR="00D275EA" w:rsidRDefault="00D275EA" w:rsidP="00D275EA">
      <w:pPr>
        <w:widowControl w:val="0"/>
        <w:numPr>
          <w:ilvl w:val="12"/>
          <w:numId w:val="0"/>
        </w:numPr>
        <w:tabs>
          <w:tab w:val="left" w:pos="720"/>
        </w:tabs>
        <w:ind w:left="720" w:hanging="720"/>
        <w:rPr>
          <w:color w:val="00CCFF"/>
        </w:rPr>
      </w:pPr>
      <w:r>
        <w:rPr>
          <w:color w:val="FF0000"/>
        </w:rPr>
        <w:t>7312</w:t>
      </w:r>
      <w:r>
        <w:rPr>
          <w:color w:val="FF0000"/>
        </w:rPr>
        <w:tab/>
        <w:t xml:space="preserve">Cirrhosis of the liver, primary biliary cirrhosis, or cirrhotic phase of sclerosing cholangitis </w:t>
      </w:r>
      <w:r>
        <w:t xml:space="preserve">– </w:t>
      </w:r>
      <w:r>
        <w:rPr>
          <w:i/>
          <w:color w:val="00CCFF"/>
        </w:rPr>
        <w:t xml:space="preserve">also POW presumptive under </w:t>
      </w:r>
      <w:r w:rsidRPr="00453DE5">
        <w:rPr>
          <w:b/>
        </w:rPr>
        <w:t>3.309</w:t>
      </w:r>
      <w:r>
        <w:rPr>
          <w:i/>
          <w:color w:val="00CCFF"/>
        </w:rPr>
        <w:t>(c)</w:t>
      </w:r>
    </w:p>
    <w:p w:rsidR="00D275EA" w:rsidRDefault="00D275EA" w:rsidP="00D275EA">
      <w:pPr>
        <w:widowControl w:val="0"/>
        <w:numPr>
          <w:ilvl w:val="12"/>
          <w:numId w:val="0"/>
        </w:numPr>
        <w:rPr>
          <w:color w:val="FF0000"/>
        </w:rPr>
      </w:pPr>
      <w:r>
        <w:rPr>
          <w:color w:val="FF0000"/>
        </w:rPr>
        <w:t>7315</w:t>
      </w:r>
      <w:r>
        <w:rPr>
          <w:color w:val="FF0000"/>
        </w:rPr>
        <w:tab/>
        <w:t>Cholelithiasis, chronic</w:t>
      </w:r>
    </w:p>
    <w:p w:rsidR="00D275EA" w:rsidRPr="00F45C71" w:rsidRDefault="00D275EA" w:rsidP="00D275EA">
      <w:pPr>
        <w:widowControl w:val="0"/>
        <w:numPr>
          <w:ilvl w:val="12"/>
          <w:numId w:val="0"/>
        </w:numPr>
        <w:tabs>
          <w:tab w:val="left" w:pos="630"/>
          <w:tab w:val="left" w:pos="720"/>
          <w:tab w:val="left" w:pos="9417"/>
        </w:tabs>
        <w:ind w:left="720" w:hanging="720"/>
        <w:rPr>
          <w:b/>
        </w:rPr>
      </w:pPr>
      <w:r w:rsidRPr="00453DE5">
        <w:t>7319</w:t>
      </w:r>
      <w:r>
        <w:tab/>
        <w:t xml:space="preserve">Irritable colon syndrome (spastic colitis, mucous colitis, etc.) – </w:t>
      </w:r>
      <w:r>
        <w:rPr>
          <w:i/>
          <w:color w:val="00CCFF"/>
        </w:rPr>
        <w:t xml:space="preserve">POW presumptive under </w:t>
      </w:r>
      <w:r w:rsidRPr="00453DE5">
        <w:rPr>
          <w:b/>
        </w:rPr>
        <w:t>3.309</w:t>
      </w:r>
      <w:r>
        <w:rPr>
          <w:i/>
          <w:color w:val="00CCFF"/>
        </w:rPr>
        <w:t xml:space="preserve">(c); </w:t>
      </w:r>
      <w:r w:rsidRPr="004E6359">
        <w:rPr>
          <w:color w:val="E36C0A" w:themeColor="accent6" w:themeShade="BF"/>
        </w:rPr>
        <w:t xml:space="preserve">GW presumptive under </w:t>
      </w:r>
      <w:r w:rsidRPr="00453DE5">
        <w:rPr>
          <w:b/>
        </w:rPr>
        <w:t>3.317</w:t>
      </w:r>
    </w:p>
    <w:p w:rsidR="00D275EA" w:rsidRDefault="00D275EA" w:rsidP="00D275EA">
      <w:pPr>
        <w:widowControl w:val="0"/>
        <w:numPr>
          <w:ilvl w:val="12"/>
          <w:numId w:val="0"/>
        </w:numPr>
        <w:rPr>
          <w:i/>
          <w:color w:val="0000FF"/>
        </w:rPr>
      </w:pPr>
    </w:p>
    <w:p w:rsidR="00D275EA" w:rsidRDefault="00D275EA" w:rsidP="00D275EA">
      <w:pPr>
        <w:widowControl w:val="0"/>
        <w:numPr>
          <w:ilvl w:val="12"/>
          <w:numId w:val="0"/>
        </w:numPr>
        <w:rPr>
          <w:i/>
          <w:color w:val="0000FF"/>
        </w:rPr>
      </w:pPr>
      <w:r w:rsidRPr="00453DE5">
        <w:t>7322</w:t>
      </w:r>
      <w:r>
        <w:tab/>
        <w:t xml:space="preserve">Dysentery, bacillary – </w:t>
      </w:r>
      <w:r>
        <w:rPr>
          <w:i/>
          <w:color w:val="00CCFF"/>
        </w:rPr>
        <w:t xml:space="preserve">POW presumptive under </w:t>
      </w:r>
      <w:r w:rsidRPr="00453DE5">
        <w:rPr>
          <w:b/>
        </w:rPr>
        <w:t>3.309</w:t>
      </w:r>
      <w:r>
        <w:rPr>
          <w:i/>
          <w:color w:val="00CCFF"/>
        </w:rPr>
        <w:t>(c)</w:t>
      </w:r>
    </w:p>
    <w:p w:rsidR="00D275EA" w:rsidRDefault="00D275EA" w:rsidP="00D275EA">
      <w:pPr>
        <w:widowControl w:val="0"/>
        <w:numPr>
          <w:ilvl w:val="12"/>
          <w:numId w:val="0"/>
        </w:numPr>
        <w:spacing w:after="120"/>
      </w:pPr>
      <w:r>
        <w:t>7332 / 7333 / 7334 – Rectum and anus: impairment of sphincter control, stricture of, prolapse</w:t>
      </w:r>
    </w:p>
    <w:p w:rsidR="00D275EA" w:rsidRDefault="00D275EA" w:rsidP="00D275EA">
      <w:pPr>
        <w:widowControl w:val="0"/>
        <w:tabs>
          <w:tab w:val="left" w:pos="0"/>
          <w:tab w:val="left" w:pos="144"/>
        </w:tabs>
        <w:spacing w:after="120"/>
      </w:pPr>
      <w:r>
        <w:rPr>
          <w:highlight w:val="magenta"/>
        </w:rPr>
        <w:t xml:space="preserve">Per </w:t>
      </w:r>
      <w:r>
        <w:rPr>
          <w:b/>
          <w:bCs/>
          <w:highlight w:val="magenta"/>
        </w:rPr>
        <w:t>STAR error</w:t>
      </w:r>
      <w:r>
        <w:rPr>
          <w:highlight w:val="magenta"/>
        </w:rPr>
        <w:t xml:space="preserve"> reported in September 2010</w:t>
      </w:r>
      <w:r>
        <w:t xml:space="preserve"> - The RD granted SC for autonomic neuropathy fecal leakage, and assigned a 10% evaluation based on the Vet's subjective report of fecal leakage.  However, QTC rectal exam findings were normal.  Therefore, a noncompensable evaluation is warranted for this condition.  (38 CFR 4.114 DC 7332)</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t>Rating Note:  Only a noncompensable evaluation for fecal leakage is warranted based on a September 2010 STAR error that said only a noncompensable evaluation is warranted for autonomic neuropathy fecal leakage if the veteran reports fecal leakage but the rectal exam findings are normal.</w:t>
      </w:r>
    </w:p>
    <w:p w:rsidR="00D275EA" w:rsidRDefault="00D275EA" w:rsidP="00D275EA">
      <w:pPr>
        <w:widowControl w:val="0"/>
        <w:numPr>
          <w:ilvl w:val="12"/>
          <w:numId w:val="0"/>
        </w:numPr>
        <w:spacing w:after="120"/>
      </w:pPr>
    </w:p>
    <w:p w:rsidR="00D275EA" w:rsidRDefault="00D275EA" w:rsidP="00D275EA">
      <w:pPr>
        <w:widowControl w:val="0"/>
        <w:numPr>
          <w:ilvl w:val="12"/>
          <w:numId w:val="0"/>
        </w:numPr>
        <w:spacing w:after="120"/>
      </w:pPr>
      <w:r w:rsidRPr="0050635A">
        <w:t>7336</w:t>
      </w:r>
      <w:r w:rsidRPr="0050635A">
        <w:tab/>
        <w:t xml:space="preserve">Hemorrhoids, external or internal </w:t>
      </w:r>
      <w:r w:rsidRPr="0050635A">
        <w:rPr>
          <w:i/>
        </w:rPr>
        <w:t>–</w:t>
      </w:r>
      <w:r w:rsidRPr="0050635A">
        <w:rPr>
          <w:b/>
          <w:i/>
        </w:rPr>
        <w:t xml:space="preserve"> </w:t>
      </w:r>
      <w:r w:rsidR="002505D9" w:rsidRPr="002505D9">
        <w:rPr>
          <w:b/>
        </w:rPr>
        <w:t>III.iv.4.H.3.b</w:t>
      </w:r>
    </w:p>
    <w:p w:rsidR="00D275EA" w:rsidRDefault="00D275EA" w:rsidP="00F063AF">
      <w:pPr>
        <w:pStyle w:val="Header"/>
        <w:widowControl w:val="0"/>
        <w:numPr>
          <w:ilvl w:val="0"/>
          <w:numId w:val="178"/>
        </w:numPr>
        <w:tabs>
          <w:tab w:val="clear" w:pos="4320"/>
          <w:tab w:val="clear" w:pos="8640"/>
        </w:tabs>
        <w:spacing w:after="120"/>
      </w:pPr>
      <w:r w:rsidRPr="006B2A5A">
        <w:rPr>
          <w:b/>
          <w:highlight w:val="cyan"/>
        </w:rPr>
        <w:t>VBA Issue Tracker Response – Issue 591</w:t>
      </w:r>
      <w:r>
        <w:t xml:space="preserve"> says, for hemorrhoids, do not check anemia if the hemoglobin level is normal, regardless of what the examiner checked.</w:t>
      </w:r>
    </w:p>
    <w:p w:rsidR="00D275EA" w:rsidRDefault="00D275EA" w:rsidP="00D275EA">
      <w:pPr>
        <w:spacing w:after="120"/>
        <w:rPr>
          <w:i/>
        </w:rPr>
      </w:pPr>
      <w:r>
        <w:t>7338</w:t>
      </w:r>
      <w:r>
        <w:tab/>
        <w:t xml:space="preserve">Hernia, inguinal – </w:t>
      </w:r>
      <w:r w:rsidR="002505D9" w:rsidRPr="002505D9">
        <w:rPr>
          <w:b/>
        </w:rPr>
        <w:t>III.iv.4.H.3.</w:t>
      </w:r>
      <w:r w:rsidR="002505D9">
        <w:rPr>
          <w:b/>
        </w:rPr>
        <w:t>a</w:t>
      </w:r>
    </w:p>
    <w:p w:rsidR="00D275EA" w:rsidRPr="00582EB1" w:rsidRDefault="00D275EA" w:rsidP="00F063AF">
      <w:pPr>
        <w:widowControl w:val="0"/>
        <w:numPr>
          <w:ilvl w:val="0"/>
          <w:numId w:val="253"/>
        </w:numPr>
        <w:tabs>
          <w:tab w:val="left" w:pos="1080"/>
        </w:tabs>
        <w:spacing w:after="120"/>
        <w:rPr>
          <w:b/>
        </w:rPr>
      </w:pPr>
      <w:r w:rsidRPr="00582EB1">
        <w:rPr>
          <w:b/>
          <w:i/>
        </w:rPr>
        <w:t xml:space="preserve">Fanning v. Brown </w:t>
      </w:r>
      <w:r w:rsidRPr="00A00475">
        <w:t>(2/19/93)</w:t>
      </w:r>
      <w:r w:rsidRPr="00582EB1">
        <w:rPr>
          <w:i/>
        </w:rPr>
        <w:t xml:space="preserve"> – </w:t>
      </w:r>
      <w:r>
        <w:t>cannot give separate, compensable evaluation for a hernia &amp; for the scar</w:t>
      </w:r>
    </w:p>
    <w:p w:rsidR="00D275EA" w:rsidRPr="00CE6954" w:rsidRDefault="00D571C5" w:rsidP="00F063AF">
      <w:pPr>
        <w:widowControl w:val="0"/>
        <w:numPr>
          <w:ilvl w:val="0"/>
          <w:numId w:val="253"/>
        </w:numPr>
        <w:tabs>
          <w:tab w:val="left" w:pos="1080"/>
        </w:tabs>
        <w:spacing w:after="120"/>
        <w:rPr>
          <w:b/>
        </w:rPr>
      </w:pPr>
      <w:hyperlink r:id="rId570" w:history="1">
        <w:r w:rsidR="00D275EA" w:rsidRPr="00582EB1">
          <w:rPr>
            <w:rStyle w:val="Hyperlink"/>
            <w:b/>
            <w:bCs/>
            <w:i/>
            <w:iCs/>
          </w:rPr>
          <w:t>Local Narrative July 2013</w:t>
        </w:r>
      </w:hyperlink>
      <w:r w:rsidR="00D275EA" w:rsidRPr="00582EB1">
        <w:rPr>
          <w:i/>
        </w:rPr>
        <w:t xml:space="preserve"> </w:t>
      </w:r>
      <w:r w:rsidR="00D275EA" w:rsidRPr="00643CAF">
        <w:t>suggests “status post inguinal hernia with residual scar</w:t>
      </w:r>
      <w:r w:rsidR="00D275EA">
        <w:t>,”</w:t>
      </w:r>
      <w:r w:rsidR="00D275EA" w:rsidRPr="00643CAF">
        <w:t xml:space="preserve"> 7805-7338</w:t>
      </w:r>
      <w:r w:rsidR="00D275EA">
        <w:t>; can use “</w:t>
      </w:r>
      <w:r w:rsidR="00D275EA" w:rsidRPr="00582EB1">
        <w:t>A higher evaluation of 10 percent is not warranted unless there is a postoperative recurrent hernia, readily reducible and well supported by truss or belt</w:t>
      </w:r>
      <w:r w:rsidR="00D275EA">
        <w:t xml:space="preserve">. A higher evaluation </w:t>
      </w:r>
      <w:r w:rsidR="00D275EA" w:rsidRPr="00582EB1">
        <w:t>of 10 percent is not warranted unless the scar is considered disabling because of limitation of function of the affected part; or there is at least one scar that is painful or unstable.</w:t>
      </w:r>
      <w:r w:rsidR="00D275EA">
        <w:t>” (</w:t>
      </w:r>
      <w:r w:rsidR="00D275EA" w:rsidRPr="00C820D0">
        <w:rPr>
          <w:i/>
          <w:color w:val="00B050"/>
        </w:rPr>
        <w:t xml:space="preserve">My Notes:  </w:t>
      </w:r>
      <w:r w:rsidR="00D275EA" w:rsidRPr="00F90671">
        <w:rPr>
          <w:i/>
        </w:rPr>
        <w:t>Or if no recurrent hernia, do “surgical scar, status post right/left inguinal hernia repair” under 7338-7805 &amp; add “A higher evaluation of 10 percent for the inguinal hernia is not warranted unless there is a postoperative recurrent hernia, readily reducible and well supported by truss or belt.”)</w:t>
      </w:r>
    </w:p>
    <w:p w:rsidR="00D275EA" w:rsidRPr="00B03095" w:rsidRDefault="00D275EA" w:rsidP="00F063AF">
      <w:pPr>
        <w:widowControl w:val="0"/>
        <w:numPr>
          <w:ilvl w:val="0"/>
          <w:numId w:val="253"/>
        </w:numPr>
        <w:tabs>
          <w:tab w:val="left" w:pos="1080"/>
        </w:tabs>
        <w:spacing w:after="120"/>
        <w:rPr>
          <w:b/>
        </w:rPr>
      </w:pPr>
      <w:r w:rsidRPr="00D23307">
        <w:rPr>
          <w:i/>
        </w:rPr>
        <w:t>Per QRT/Carlos Rosario, 11/17</w:t>
      </w:r>
      <w:r w:rsidRPr="007F6E1D">
        <w:t xml:space="preserve"> - </w:t>
      </w:r>
      <w:r w:rsidRPr="00BD2ECC">
        <w:rPr>
          <w:i/>
        </w:rPr>
        <w:t>The scar and the hernia are two separate body systems and they have two separate evaluation criteria. That is not pyramiding.  Veterans are entitled to an evaluation based on the hernia and a separate compensable evaluation for tender scar.</w:t>
      </w:r>
    </w:p>
    <w:p w:rsidR="00D275EA" w:rsidRDefault="00D275EA" w:rsidP="00D275EA">
      <w:pPr>
        <w:pBdr>
          <w:top w:val="single" w:sz="4" w:space="1" w:color="auto"/>
          <w:left w:val="single" w:sz="4" w:space="4" w:color="auto"/>
          <w:bottom w:val="single" w:sz="4" w:space="2" w:color="auto"/>
          <w:right w:val="single" w:sz="4" w:space="4" w:color="auto"/>
        </w:pBdr>
        <w:overflowPunct/>
        <w:ind w:left="360"/>
        <w:textAlignment w:val="auto"/>
        <w:rPr>
          <w:color w:val="000000"/>
        </w:rPr>
      </w:pPr>
      <w:r w:rsidRPr="00B36A1C">
        <w:rPr>
          <w:color w:val="000000"/>
        </w:rPr>
        <w:t xml:space="preserve">Rating Note: </w:t>
      </w:r>
      <w:r>
        <w:rPr>
          <w:color w:val="000000"/>
        </w:rPr>
        <w:t xml:space="preserve"> </w:t>
      </w:r>
      <w:r w:rsidRPr="00B36A1C">
        <w:rPr>
          <w:color w:val="000000"/>
        </w:rPr>
        <w:t xml:space="preserve">Fanning v. Brown is not relevant </w:t>
      </w:r>
      <w:r>
        <w:rPr>
          <w:color w:val="000000"/>
        </w:rPr>
        <w:t>at this time</w:t>
      </w:r>
      <w:r w:rsidRPr="00B36A1C">
        <w:rPr>
          <w:color w:val="000000"/>
        </w:rPr>
        <w:t>, as the hernia</w:t>
      </w:r>
      <w:r>
        <w:rPr>
          <w:color w:val="000000"/>
        </w:rPr>
        <w:t xml:space="preserve"> and scar</w:t>
      </w:r>
      <w:r w:rsidRPr="00B36A1C">
        <w:rPr>
          <w:color w:val="000000"/>
        </w:rPr>
        <w:t xml:space="preserve"> are noncompensable.</w:t>
      </w:r>
    </w:p>
    <w:p w:rsidR="00D275EA" w:rsidRDefault="00D275EA" w:rsidP="00D275EA">
      <w:pPr>
        <w:pBdr>
          <w:top w:val="single" w:sz="4" w:space="1" w:color="auto"/>
          <w:left w:val="single" w:sz="4" w:space="4" w:color="auto"/>
          <w:bottom w:val="single" w:sz="4" w:space="2" w:color="auto"/>
          <w:right w:val="single" w:sz="4" w:space="4" w:color="auto"/>
        </w:pBdr>
        <w:overflowPunct/>
        <w:ind w:left="360"/>
        <w:textAlignment w:val="auto"/>
        <w:rPr>
          <w:color w:val="000000"/>
        </w:rPr>
      </w:pPr>
    </w:p>
    <w:p w:rsidR="00D275EA" w:rsidRPr="00BD0196" w:rsidRDefault="00D275EA" w:rsidP="00D275EA">
      <w:pPr>
        <w:pBdr>
          <w:top w:val="single" w:sz="4" w:space="1" w:color="auto"/>
          <w:left w:val="single" w:sz="4" w:space="4" w:color="auto"/>
          <w:bottom w:val="single" w:sz="4" w:space="2" w:color="auto"/>
          <w:right w:val="single" w:sz="4" w:space="4" w:color="auto"/>
        </w:pBdr>
        <w:overflowPunct/>
        <w:ind w:left="360"/>
        <w:textAlignment w:val="auto"/>
        <w:rPr>
          <w:i/>
          <w:color w:val="000000"/>
        </w:rPr>
      </w:pPr>
      <w:r w:rsidRPr="00BD0196">
        <w:rPr>
          <w:i/>
          <w:color w:val="000000"/>
        </w:rPr>
        <w:t>If give separate 10% for painful scar, but hernia already SC</w:t>
      </w:r>
      <w:r>
        <w:rPr>
          <w:i/>
          <w:color w:val="000000"/>
        </w:rPr>
        <w:t>, add this to hernia issue just after higher eval discussion</w:t>
      </w:r>
      <w:r w:rsidRPr="00BD0196">
        <w:rPr>
          <w:i/>
          <w:color w:val="000000"/>
        </w:rPr>
        <w:t>:</w:t>
      </w:r>
    </w:p>
    <w:p w:rsidR="00D275EA" w:rsidRDefault="00D275EA" w:rsidP="00D275EA">
      <w:pPr>
        <w:pBdr>
          <w:top w:val="single" w:sz="4" w:space="1" w:color="auto"/>
          <w:left w:val="single" w:sz="4" w:space="4" w:color="auto"/>
          <w:bottom w:val="single" w:sz="4" w:space="2" w:color="auto"/>
          <w:right w:val="single" w:sz="4" w:space="4" w:color="auto"/>
        </w:pBdr>
        <w:overflowPunct/>
        <w:ind w:left="360"/>
        <w:textAlignment w:val="auto"/>
        <w:rPr>
          <w:color w:val="000000"/>
        </w:rPr>
      </w:pPr>
      <w:r>
        <w:rPr>
          <w:color w:val="000000"/>
        </w:rPr>
        <w:t>*Please note that you cannot receive a compensable evaluation for your hernia since you are receiving a compensable evaluation for your painful scar, per Fanning v. Brown.</w:t>
      </w:r>
    </w:p>
    <w:p w:rsidR="00D275EA" w:rsidRDefault="00D275EA" w:rsidP="00D275EA">
      <w:pPr>
        <w:pBdr>
          <w:top w:val="single" w:sz="4" w:space="1" w:color="auto"/>
          <w:left w:val="single" w:sz="4" w:space="4" w:color="auto"/>
          <w:bottom w:val="single" w:sz="4" w:space="2" w:color="auto"/>
          <w:right w:val="single" w:sz="4" w:space="4" w:color="auto"/>
        </w:pBdr>
        <w:overflowPunct/>
        <w:ind w:left="360"/>
        <w:textAlignment w:val="auto"/>
        <w:rPr>
          <w:color w:val="000000"/>
        </w:rPr>
      </w:pPr>
    </w:p>
    <w:p w:rsidR="00D275EA" w:rsidRPr="00B36A1C" w:rsidRDefault="00D275EA" w:rsidP="00D275EA">
      <w:pPr>
        <w:pBdr>
          <w:top w:val="single" w:sz="4" w:space="1" w:color="auto"/>
          <w:left w:val="single" w:sz="4" w:space="4" w:color="auto"/>
          <w:bottom w:val="single" w:sz="4" w:space="2" w:color="auto"/>
          <w:right w:val="single" w:sz="4" w:space="4" w:color="auto"/>
        </w:pBdr>
        <w:overflowPunct/>
        <w:ind w:left="360"/>
        <w:textAlignment w:val="auto"/>
        <w:rPr>
          <w:color w:val="000000"/>
        </w:rPr>
      </w:pPr>
      <w:r w:rsidRPr="00B36A1C">
        <w:rPr>
          <w:color w:val="000000"/>
        </w:rPr>
        <w:t xml:space="preserve">Rating Note: Fanning v. Brown is not relevant </w:t>
      </w:r>
      <w:r>
        <w:rPr>
          <w:color w:val="000000"/>
        </w:rPr>
        <w:t>at this time</w:t>
      </w:r>
      <w:r w:rsidRPr="00B36A1C">
        <w:rPr>
          <w:color w:val="000000"/>
        </w:rPr>
        <w:t>, as the hernia</w:t>
      </w:r>
      <w:r>
        <w:rPr>
          <w:color w:val="000000"/>
        </w:rPr>
        <w:t xml:space="preserve"> is</w:t>
      </w:r>
      <w:r w:rsidRPr="00B36A1C">
        <w:rPr>
          <w:color w:val="000000"/>
        </w:rPr>
        <w:t xml:space="preserve"> noncompensable.</w:t>
      </w:r>
    </w:p>
    <w:p w:rsidR="00D275EA" w:rsidRPr="005B142B" w:rsidRDefault="00D275EA" w:rsidP="00D275EA">
      <w:pPr>
        <w:widowControl w:val="0"/>
        <w:tabs>
          <w:tab w:val="left" w:pos="1080"/>
        </w:tabs>
        <w:spacing w:after="120"/>
        <w:rPr>
          <w:b/>
        </w:rPr>
      </w:pPr>
    </w:p>
    <w:p w:rsidR="00D275EA" w:rsidRDefault="00D275EA" w:rsidP="00D275EA">
      <w:pPr>
        <w:widowControl w:val="0"/>
        <w:numPr>
          <w:ilvl w:val="12"/>
          <w:numId w:val="0"/>
        </w:numPr>
        <w:tabs>
          <w:tab w:val="left" w:pos="720"/>
        </w:tabs>
        <w:spacing w:after="120"/>
        <w:ind w:left="720" w:hanging="720"/>
        <w:rPr>
          <w:i/>
          <w:color w:val="808080"/>
        </w:rPr>
      </w:pPr>
      <w:r>
        <w:rPr>
          <w:color w:val="FF0000"/>
        </w:rPr>
        <w:t>7343</w:t>
      </w:r>
      <w:r>
        <w:rPr>
          <w:color w:val="FF0000"/>
        </w:rPr>
        <w:tab/>
        <w:t>Malignant neoplasms of the digestive system, exclusive of skin growths</w:t>
      </w:r>
      <w:r>
        <w:t xml:space="preserve"> –</w:t>
      </w:r>
      <w:r>
        <w:rPr>
          <w:i/>
        </w:rPr>
        <w:t xml:space="preserve"> </w:t>
      </w:r>
      <w:r>
        <w:rPr>
          <w:i/>
          <w:color w:val="808080"/>
        </w:rPr>
        <w:t>cancers of the gastrointestinal tract are associated with Asbestos</w:t>
      </w:r>
    </w:p>
    <w:p w:rsidR="00D275EA" w:rsidRDefault="00D275EA" w:rsidP="00D275EA">
      <w:pPr>
        <w:pStyle w:val="Default"/>
        <w:spacing w:after="120"/>
        <w:ind w:left="720" w:hanging="720"/>
        <w:rPr>
          <w:bCs/>
          <w:sz w:val="20"/>
        </w:rPr>
      </w:pPr>
      <w:r w:rsidRPr="008F06B1">
        <w:rPr>
          <w:bCs/>
          <w:sz w:val="20"/>
        </w:rPr>
        <w:t>7345</w:t>
      </w:r>
      <w:r w:rsidRPr="008F06B1">
        <w:rPr>
          <w:bCs/>
          <w:sz w:val="20"/>
        </w:rPr>
        <w:tab/>
        <w:t>Chronic liver disease without cirrhosis (including hepatitis B, chronic active hepatitis, autoimmune hepatitis, hemochromatosis, drug-induced hepatitis, etc., but excluding bile duct disorders and hepatitis C)</w:t>
      </w:r>
      <w:r w:rsidRPr="008F06B1">
        <w:rPr>
          <w:bCs/>
          <w:i/>
          <w:sz w:val="20"/>
        </w:rPr>
        <w:t>; Hepatitis B- 1965, 5-10% chronic</w:t>
      </w:r>
    </w:p>
    <w:p w:rsidR="00D275EA" w:rsidRPr="006451E8" w:rsidRDefault="002505D9" w:rsidP="00F063AF">
      <w:pPr>
        <w:widowControl w:val="0"/>
        <w:numPr>
          <w:ilvl w:val="0"/>
          <w:numId w:val="95"/>
        </w:numPr>
        <w:tabs>
          <w:tab w:val="clear" w:pos="1420"/>
          <w:tab w:val="left" w:pos="720"/>
          <w:tab w:val="num" w:pos="810"/>
        </w:tabs>
        <w:spacing w:after="120"/>
        <w:ind w:left="720" w:hanging="270"/>
        <w:rPr>
          <w:b/>
          <w:bCs/>
        </w:rPr>
      </w:pPr>
      <w:r w:rsidRPr="002505D9">
        <w:rPr>
          <w:b/>
        </w:rPr>
        <w:t>III.iv.4.H.</w:t>
      </w:r>
      <w:r>
        <w:rPr>
          <w:b/>
        </w:rPr>
        <w:t>2</w:t>
      </w:r>
      <w:r w:rsidR="00D275EA" w:rsidRPr="00117BAA">
        <w:rPr>
          <w:b/>
          <w:bCs/>
        </w:rPr>
        <w:t xml:space="preserve">.a – </w:t>
      </w:r>
      <w:r w:rsidR="00D275EA" w:rsidRPr="00117BAA">
        <w:rPr>
          <w:bCs/>
        </w:rPr>
        <w:t>need chronic residuals related to hepatitis A infection in order to grant SC</w:t>
      </w:r>
    </w:p>
    <w:p w:rsidR="006451E8" w:rsidRPr="00117BAA" w:rsidRDefault="006451E8" w:rsidP="00F063AF">
      <w:pPr>
        <w:widowControl w:val="0"/>
        <w:numPr>
          <w:ilvl w:val="0"/>
          <w:numId w:val="95"/>
        </w:numPr>
        <w:tabs>
          <w:tab w:val="clear" w:pos="1420"/>
          <w:tab w:val="left" w:pos="720"/>
          <w:tab w:val="num" w:pos="810"/>
        </w:tabs>
        <w:spacing w:after="120"/>
        <w:ind w:left="720" w:hanging="270"/>
        <w:rPr>
          <w:b/>
          <w:bCs/>
        </w:rPr>
      </w:pPr>
      <w:r>
        <w:t xml:space="preserve">need to send additional notice for hepatitis A or B, or a non-specific form of hepatitis, per </w:t>
      </w:r>
      <w:r>
        <w:rPr>
          <w:b/>
        </w:rPr>
        <w:t>III.iv.4.H.2.f</w:t>
      </w:r>
    </w:p>
    <w:p w:rsidR="00D275EA" w:rsidRPr="00117BAA" w:rsidRDefault="00D571C5" w:rsidP="00F063AF">
      <w:pPr>
        <w:widowControl w:val="0"/>
        <w:numPr>
          <w:ilvl w:val="0"/>
          <w:numId w:val="95"/>
        </w:numPr>
        <w:tabs>
          <w:tab w:val="clear" w:pos="1420"/>
          <w:tab w:val="left" w:pos="720"/>
          <w:tab w:val="num" w:pos="810"/>
        </w:tabs>
        <w:spacing w:after="120"/>
        <w:ind w:left="720" w:hanging="270"/>
        <w:rPr>
          <w:b/>
          <w:bCs/>
        </w:rPr>
      </w:pPr>
      <w:hyperlink r:id="rId571" w:history="1">
        <w:r w:rsidR="00D275EA" w:rsidRPr="00117BAA">
          <w:rPr>
            <w:rStyle w:val="Hyperlink"/>
            <w:rFonts w:asciiTheme="minorHAnsi" w:hAnsiTheme="minorHAnsi"/>
            <w:b/>
          </w:rPr>
          <w:t>VBMS Tips &amp; Tricks 10.1</w:t>
        </w:r>
      </w:hyperlink>
      <w:r w:rsidR="00D275EA" w:rsidRPr="00117BAA">
        <w:rPr>
          <w:rStyle w:val="Hyperlink"/>
          <w:rFonts w:asciiTheme="minorHAnsi" w:hAnsiTheme="minorHAnsi"/>
          <w:color w:val="auto"/>
          <w:u w:val="none"/>
        </w:rPr>
        <w:t xml:space="preserve"> - </w:t>
      </w:r>
      <w:r w:rsidR="00D275EA" w:rsidRPr="00117BAA">
        <w:rPr>
          <w:rFonts w:ascii="Calibri" w:hAnsi="Calibri" w:cs="Calibri"/>
        </w:rPr>
        <w:t xml:space="preserve">The diagnosis of chronic liver disease without cirrhosis (including Hepatitis B…) under DC 7345, the calculator under-evaluates for the specific combination of symptoms of hepatomegaly and minor weight loss. Currently, it generates a 10% evaluation; however, when taking 38 CFR 4.7 into consideration, it should </w:t>
      </w:r>
      <w:r w:rsidR="00D275EA" w:rsidRPr="00117BAA">
        <w:rPr>
          <w:rFonts w:asciiTheme="minorHAnsi" w:hAnsiTheme="minorHAnsi" w:cs="Calibri"/>
        </w:rPr>
        <w:t xml:space="preserve">generate 40%. Workaround: End-Users are to override the 10% evaluation and change it to 40% on the </w:t>
      </w:r>
      <w:r w:rsidR="00D275EA" w:rsidRPr="00117BAA">
        <w:rPr>
          <w:rFonts w:asciiTheme="minorHAnsi" w:hAnsiTheme="minorHAnsi"/>
          <w:bCs/>
        </w:rPr>
        <w:t xml:space="preserve">Disability Decision Information (DDI) </w:t>
      </w:r>
      <w:r w:rsidR="00D275EA" w:rsidRPr="00117BAA">
        <w:rPr>
          <w:rFonts w:asciiTheme="minorHAnsi" w:hAnsiTheme="minorHAnsi" w:cs="Calibri"/>
        </w:rPr>
        <w:t xml:space="preserve"> screen. Select the override reason of “Scenario Not Covered” and enter “Digestive EB Defect 308186” in the override reason textbox.</w:t>
      </w:r>
      <w:r w:rsidR="00D275EA" w:rsidRPr="00117BAA">
        <w:rPr>
          <w:rFonts w:ascii="Calibri" w:hAnsi="Calibri" w:cs="Calibri"/>
          <w:sz w:val="22"/>
          <w:szCs w:val="22"/>
        </w:rPr>
        <w:t xml:space="preserve"> </w:t>
      </w:r>
    </w:p>
    <w:p w:rsidR="00D275EA" w:rsidRDefault="00D275EA" w:rsidP="00D275EA">
      <w:pPr>
        <w:widowControl w:val="0"/>
        <w:numPr>
          <w:ilvl w:val="12"/>
          <w:numId w:val="0"/>
        </w:numPr>
        <w:tabs>
          <w:tab w:val="left" w:pos="720"/>
        </w:tabs>
        <w:spacing w:after="120"/>
        <w:ind w:left="720" w:hanging="720"/>
      </w:pPr>
      <w:r w:rsidRPr="006B2A5A">
        <w:t>7354</w:t>
      </w:r>
      <w:r w:rsidRPr="006B2A5A">
        <w:tab/>
        <w:t>Hepatitis C (or non-A, non-B hepatitis)</w:t>
      </w:r>
      <w:r w:rsidR="005B451B">
        <w:t xml:space="preserve">; </w:t>
      </w:r>
      <w:r w:rsidR="005B451B" w:rsidRPr="005B451B">
        <w:rPr>
          <w:i/>
          <w:color w:val="FF0000"/>
        </w:rPr>
        <w:t>Hepatitis C</w:t>
      </w:r>
      <w:r w:rsidR="005B451B">
        <w:t xml:space="preserve"> special Issue in </w:t>
      </w:r>
      <w:r w:rsidR="005B451B">
        <w:rPr>
          <w:rFonts w:ascii="Verdana" w:hAnsi="Verdana"/>
          <w:b/>
          <w:bCs/>
          <w:highlight w:val="green"/>
        </w:rPr>
        <w:t>VBMS-R</w:t>
      </w:r>
      <w:r w:rsidRPr="006B2A5A">
        <w:t xml:space="preserve"> –</w:t>
      </w:r>
      <w:r>
        <w:t xml:space="preserve"> </w:t>
      </w:r>
    </w:p>
    <w:p w:rsidR="00D275EA" w:rsidRPr="00ED5C7F" w:rsidRDefault="00D275EA" w:rsidP="00F063AF">
      <w:pPr>
        <w:pStyle w:val="ListParagraph"/>
        <w:widowControl w:val="0"/>
        <w:numPr>
          <w:ilvl w:val="0"/>
          <w:numId w:val="95"/>
        </w:numPr>
        <w:tabs>
          <w:tab w:val="clear" w:pos="1420"/>
          <w:tab w:val="left" w:pos="400"/>
          <w:tab w:val="num" w:pos="720"/>
        </w:tabs>
        <w:spacing w:after="120" w:line="240" w:lineRule="auto"/>
        <w:ind w:left="720"/>
        <w:rPr>
          <w:rFonts w:ascii="Arial" w:hAnsi="Arial"/>
          <w:b/>
          <w:bCs/>
          <w:sz w:val="20"/>
          <w:szCs w:val="20"/>
        </w:rPr>
      </w:pPr>
      <w:r w:rsidRPr="00ED5C7F">
        <w:rPr>
          <w:rFonts w:ascii="Arial" w:hAnsi="Arial"/>
          <w:b/>
          <w:sz w:val="20"/>
          <w:szCs w:val="20"/>
        </w:rPr>
        <w:t>I.1.B.1.f</w:t>
      </w:r>
      <w:r>
        <w:rPr>
          <w:rFonts w:ascii="Arial" w:hAnsi="Arial"/>
          <w:b/>
          <w:sz w:val="20"/>
          <w:szCs w:val="20"/>
        </w:rPr>
        <w:t xml:space="preserve"> – </w:t>
      </w:r>
      <w:r>
        <w:rPr>
          <w:rFonts w:ascii="Arial" w:hAnsi="Arial"/>
          <w:sz w:val="20"/>
          <w:szCs w:val="20"/>
        </w:rPr>
        <w:t xml:space="preserve">need to send additional notice, per </w:t>
      </w:r>
      <w:r w:rsidR="00417EC5">
        <w:rPr>
          <w:rFonts w:ascii="Arial" w:hAnsi="Arial"/>
          <w:b/>
          <w:sz w:val="20"/>
          <w:szCs w:val="20"/>
        </w:rPr>
        <w:t>III.iv.4.H</w:t>
      </w:r>
      <w:r>
        <w:rPr>
          <w:rFonts w:ascii="Arial" w:hAnsi="Arial"/>
          <w:b/>
          <w:sz w:val="20"/>
          <w:szCs w:val="20"/>
        </w:rPr>
        <w:t>.2.f</w:t>
      </w:r>
    </w:p>
    <w:p w:rsidR="00D275EA" w:rsidRPr="006166BF" w:rsidRDefault="006166BF" w:rsidP="00F063AF">
      <w:pPr>
        <w:widowControl w:val="0"/>
        <w:numPr>
          <w:ilvl w:val="0"/>
          <w:numId w:val="95"/>
        </w:numPr>
        <w:tabs>
          <w:tab w:val="clear" w:pos="1420"/>
          <w:tab w:val="left" w:pos="720"/>
          <w:tab w:val="num" w:pos="810"/>
        </w:tabs>
        <w:spacing w:after="120"/>
        <w:ind w:left="720"/>
        <w:rPr>
          <w:i/>
        </w:rPr>
      </w:pPr>
      <w:r w:rsidRPr="006166BF">
        <w:rPr>
          <w:b/>
          <w:bCs/>
        </w:rPr>
        <w:t>III.iv.4.H.2</w:t>
      </w:r>
    </w:p>
    <w:p w:rsidR="00D275EA" w:rsidRPr="006166BF" w:rsidRDefault="00D275EA" w:rsidP="00F063AF">
      <w:pPr>
        <w:widowControl w:val="0"/>
        <w:numPr>
          <w:ilvl w:val="0"/>
          <w:numId w:val="95"/>
        </w:numPr>
        <w:tabs>
          <w:tab w:val="clear" w:pos="1420"/>
          <w:tab w:val="left" w:pos="720"/>
          <w:tab w:val="num" w:pos="810"/>
        </w:tabs>
        <w:spacing w:after="120"/>
        <w:ind w:left="720"/>
        <w:rPr>
          <w:i/>
        </w:rPr>
      </w:pPr>
      <w:r w:rsidRPr="006166BF">
        <w:rPr>
          <w:b/>
          <w:bCs/>
        </w:rPr>
        <w:t>III.i.3.B.3.d</w:t>
      </w:r>
      <w:r w:rsidRPr="006166BF">
        <w:rPr>
          <w:bCs/>
        </w:rPr>
        <w:t xml:space="preserve"> &amp;</w:t>
      </w:r>
      <w:r w:rsidRPr="006166BF">
        <w:rPr>
          <w:b/>
          <w:bCs/>
        </w:rPr>
        <w:t xml:space="preserve"> III.</w:t>
      </w:r>
      <w:r w:rsidRPr="006166BF">
        <w:rPr>
          <w:b/>
        </w:rPr>
        <w:t>iv.4.</w:t>
      </w:r>
      <w:r w:rsidR="006166BF" w:rsidRPr="006166BF">
        <w:rPr>
          <w:b/>
        </w:rPr>
        <w:t>H</w:t>
      </w:r>
      <w:r w:rsidRPr="006166BF">
        <w:rPr>
          <w:b/>
        </w:rPr>
        <w:t>.2.</w:t>
      </w:r>
      <w:r w:rsidR="006166BF" w:rsidRPr="006166BF">
        <w:rPr>
          <w:b/>
        </w:rPr>
        <w:t>e</w:t>
      </w:r>
      <w:r w:rsidRPr="006166BF">
        <w:t xml:space="preserve"> – need to develop for complete risk factor history, if not provided</w:t>
      </w:r>
    </w:p>
    <w:p w:rsidR="00D275EA" w:rsidRDefault="00D275EA" w:rsidP="00D275EA">
      <w:pPr>
        <w:widowControl w:val="0"/>
        <w:numPr>
          <w:ilvl w:val="12"/>
          <w:numId w:val="0"/>
        </w:numPr>
        <w:rPr>
          <w:b/>
        </w:rPr>
      </w:pPr>
    </w:p>
    <w:p w:rsidR="00D275EA" w:rsidRDefault="00D275EA" w:rsidP="00D275EA">
      <w:pPr>
        <w:pBdr>
          <w:top w:val="single" w:sz="2" w:space="1" w:color="auto"/>
        </w:pBdr>
      </w:pPr>
      <w:r>
        <w:t xml:space="preserve">An </w:t>
      </w:r>
      <w:r>
        <w:rPr>
          <w:b/>
        </w:rPr>
        <w:t>inguinal hernia</w:t>
      </w:r>
      <w:r>
        <w:t xml:space="preserve"> (7338) is when the contents of the abdomen, such as intestine, protrude through into the inguinal canal (in the lower abdomen just above the leg crease, near or adjacent to the pubic area; in the </w:t>
      </w:r>
      <w:r>
        <w:rPr>
          <w:i/>
          <w:iCs/>
        </w:rPr>
        <w:t>groin</w:t>
      </w:r>
      <w:r>
        <w:t xml:space="preserve">).  </w:t>
      </w:r>
    </w:p>
    <w:p w:rsidR="00D275EA" w:rsidRDefault="00D275EA" w:rsidP="00D275EA">
      <w:pPr>
        <w:pStyle w:val="Header"/>
        <w:widowControl w:val="0"/>
        <w:numPr>
          <w:ilvl w:val="12"/>
          <w:numId w:val="0"/>
        </w:numPr>
        <w:tabs>
          <w:tab w:val="clear" w:pos="4320"/>
          <w:tab w:val="clear" w:pos="8640"/>
        </w:tabs>
      </w:pPr>
    </w:p>
    <w:p w:rsidR="00D275EA" w:rsidRDefault="00D275EA" w:rsidP="00D275EA">
      <w:r>
        <w:t xml:space="preserve">A </w:t>
      </w:r>
      <w:r>
        <w:rPr>
          <w:b/>
        </w:rPr>
        <w:t>ventral hernia</w:t>
      </w:r>
      <w:r>
        <w:t xml:space="preserve"> (7339) is a protrusion into the abdominal wall, usually at the site of a previous surgery (also called an incisional hernia &amp; sometimes an umbilical hernia; in the </w:t>
      </w:r>
      <w:r>
        <w:rPr>
          <w:i/>
          <w:iCs/>
        </w:rPr>
        <w:t>abdomen</w:t>
      </w:r>
      <w:r>
        <w:t xml:space="preserve">). </w:t>
      </w:r>
    </w:p>
    <w:p w:rsidR="00D275EA" w:rsidRPr="00643CAF" w:rsidRDefault="00D571C5" w:rsidP="00D275EA">
      <w:hyperlink r:id="rId572" w:history="1">
        <w:r w:rsidR="00D275EA" w:rsidRPr="00643CAF">
          <w:rPr>
            <w:rStyle w:val="Hyperlink"/>
            <w:b/>
            <w:bCs/>
            <w:i/>
            <w:iCs/>
          </w:rPr>
          <w:t>Local Narrative Feb 2013</w:t>
        </w:r>
      </w:hyperlink>
      <w:r w:rsidR="00D275EA" w:rsidRPr="00643CAF">
        <w:rPr>
          <w:i/>
        </w:rPr>
        <w:t xml:space="preserve"> </w:t>
      </w:r>
      <w:r w:rsidR="00D275EA" w:rsidRPr="00643CAF">
        <w:t>equates epigastric hernia with ventral, postoperative hernia, 7339</w:t>
      </w:r>
    </w:p>
    <w:p w:rsidR="00D275EA" w:rsidRDefault="00D275EA" w:rsidP="00D275EA">
      <w:pPr>
        <w:widowControl w:val="0"/>
        <w:numPr>
          <w:ilvl w:val="12"/>
          <w:numId w:val="0"/>
        </w:numPr>
      </w:pPr>
    </w:p>
    <w:p w:rsidR="00D275EA" w:rsidRDefault="00D275EA" w:rsidP="00D275EA">
      <w:pPr>
        <w:widowControl w:val="0"/>
        <w:numPr>
          <w:ilvl w:val="12"/>
          <w:numId w:val="0"/>
        </w:numPr>
      </w:pPr>
      <w:r>
        <w:t xml:space="preserve">A </w:t>
      </w:r>
      <w:r>
        <w:rPr>
          <w:b/>
        </w:rPr>
        <w:t>femoral hernia</w:t>
      </w:r>
      <w:r>
        <w:t xml:space="preserve"> (7340) is a protrusion (of the intestine or other part of the abdominal contents) into the femoral canal (which is next to the point where the blood vessels and nerves pass from the abdomen into the leg; in the </w:t>
      </w:r>
      <w:r>
        <w:rPr>
          <w:i/>
          <w:iCs/>
        </w:rPr>
        <w:t>groin</w:t>
      </w:r>
      <w:r>
        <w:t>).</w:t>
      </w:r>
    </w:p>
    <w:p w:rsidR="00D275EA" w:rsidRDefault="00D275EA" w:rsidP="00D275EA">
      <w:pPr>
        <w:widowControl w:val="0"/>
        <w:numPr>
          <w:ilvl w:val="12"/>
          <w:numId w:val="0"/>
        </w:numPr>
        <w:rPr>
          <w:b/>
        </w:rPr>
      </w:pPr>
    </w:p>
    <w:p w:rsidR="00D275EA" w:rsidRDefault="00D275EA" w:rsidP="00D275EA">
      <w:pPr>
        <w:widowControl w:val="0"/>
        <w:pBdr>
          <w:bottom w:val="single" w:sz="4" w:space="1" w:color="auto"/>
        </w:pBdr>
      </w:pPr>
      <w:r>
        <w:t xml:space="preserve">A </w:t>
      </w:r>
      <w:r>
        <w:rPr>
          <w:b/>
          <w:bCs/>
        </w:rPr>
        <w:t>hiatal hernia</w:t>
      </w:r>
      <w:r>
        <w:t xml:space="preserve"> (7346) occurs when the stomach protrudes through the esophageal opening in the diaphragm into the mediastinum.</w:t>
      </w:r>
    </w:p>
    <w:p w:rsidR="00D275EA" w:rsidRDefault="00D275EA" w:rsidP="00D275EA">
      <w:pPr>
        <w:widowControl w:val="0"/>
        <w:pBdr>
          <w:bottom w:val="single" w:sz="4" w:space="1" w:color="auto"/>
        </w:pBdr>
      </w:pPr>
    </w:p>
    <w:p w:rsidR="00D275EA" w:rsidRDefault="00D275EA" w:rsidP="00D275EA">
      <w:pPr>
        <w:widowControl w:val="0"/>
      </w:pPr>
    </w:p>
    <w:p w:rsidR="00D275EA" w:rsidRDefault="00D275EA">
      <w:pPr>
        <w:overflowPunct/>
        <w:autoSpaceDE/>
        <w:autoSpaceDN/>
        <w:adjustRightInd/>
        <w:textAlignment w:val="auto"/>
      </w:pPr>
      <w:r>
        <w:br w:type="page"/>
      </w: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D275EA" w:rsidTr="005567F4">
        <w:trPr>
          <w:trHeight w:val="310"/>
        </w:trPr>
        <w:tc>
          <w:tcPr>
            <w:tcW w:w="10875" w:type="dxa"/>
            <w:gridSpan w:val="2"/>
            <w:tcBorders>
              <w:top w:val="single" w:sz="4" w:space="0" w:color="auto"/>
              <w:left w:val="nil"/>
              <w:bottom w:val="nil"/>
              <w:right w:val="nil"/>
            </w:tcBorders>
          </w:tcPr>
          <w:p w:rsidR="00D275EA" w:rsidRDefault="00D275EA" w:rsidP="00C334D1">
            <w:pPr>
              <w:widowControl w:val="0"/>
              <w:numPr>
                <w:ilvl w:val="12"/>
                <w:numId w:val="0"/>
              </w:numPr>
              <w:jc w:val="center"/>
              <w:rPr>
                <w:b/>
                <w:i/>
                <w:color w:val="FF0000"/>
              </w:rPr>
            </w:pPr>
            <w:bookmarkStart w:id="128" w:name="Part4GU"/>
            <w:r>
              <w:rPr>
                <w:b/>
                <w:color w:val="FF0000"/>
              </w:rPr>
              <w:t xml:space="preserve">4.115 - 4.115b. </w:t>
            </w:r>
            <w:r>
              <w:rPr>
                <w:b/>
                <w:i/>
                <w:color w:val="FF0000"/>
              </w:rPr>
              <w:t>The Genitourinary System</w:t>
            </w:r>
            <w:bookmarkEnd w:id="128"/>
          </w:p>
          <w:p w:rsidR="005567F4" w:rsidRDefault="005567F4" w:rsidP="005567F4">
            <w:pPr>
              <w:widowControl w:val="0"/>
              <w:numPr>
                <w:ilvl w:val="12"/>
                <w:numId w:val="0"/>
              </w:numPr>
              <w:rPr>
                <w:b/>
                <w:bCs/>
                <w:iCs/>
              </w:rPr>
            </w:pPr>
            <w:r>
              <w:rPr>
                <w:b/>
                <w:bCs/>
                <w:iCs/>
              </w:rPr>
              <w:t>III.iv.4.I</w:t>
            </w:r>
          </w:p>
          <w:p w:rsidR="005567F4" w:rsidRDefault="005567F4" w:rsidP="005567F4">
            <w:pPr>
              <w:widowControl w:val="0"/>
              <w:numPr>
                <w:ilvl w:val="12"/>
                <w:numId w:val="0"/>
              </w:numPr>
              <w:rPr>
                <w:b/>
                <w:color w:val="FF0000"/>
              </w:rPr>
            </w:pPr>
          </w:p>
        </w:tc>
      </w:tr>
      <w:tr w:rsidR="00D275EA" w:rsidTr="00C334D1">
        <w:trPr>
          <w:trHeight w:val="310"/>
        </w:trPr>
        <w:tc>
          <w:tcPr>
            <w:tcW w:w="705" w:type="dxa"/>
            <w:tcBorders>
              <w:top w:val="nil"/>
              <w:left w:val="nil"/>
              <w:bottom w:val="nil"/>
              <w:right w:val="nil"/>
            </w:tcBorders>
          </w:tcPr>
          <w:p w:rsidR="00D275EA" w:rsidRDefault="00D275EA" w:rsidP="00C334D1">
            <w:pPr>
              <w:widowControl w:val="0"/>
              <w:numPr>
                <w:ilvl w:val="12"/>
                <w:numId w:val="0"/>
              </w:numPr>
              <w:rPr>
                <w:b/>
              </w:rPr>
            </w:pPr>
            <w:r w:rsidRPr="00453DE5">
              <w:rPr>
                <w:b/>
              </w:rPr>
              <w:t>4.115</w:t>
            </w:r>
          </w:p>
        </w:tc>
        <w:tc>
          <w:tcPr>
            <w:tcW w:w="10170" w:type="dxa"/>
            <w:tcBorders>
              <w:top w:val="nil"/>
              <w:left w:val="nil"/>
              <w:bottom w:val="nil"/>
              <w:right w:val="nil"/>
            </w:tcBorders>
          </w:tcPr>
          <w:p w:rsidR="00D275EA" w:rsidRPr="009F7D8B" w:rsidRDefault="00D275EA" w:rsidP="00020865">
            <w:pPr>
              <w:widowControl w:val="0"/>
              <w:numPr>
                <w:ilvl w:val="12"/>
                <w:numId w:val="0"/>
              </w:numPr>
              <w:spacing w:after="120"/>
            </w:pPr>
            <w:r>
              <w:rPr>
                <w:b/>
              </w:rPr>
              <w:t xml:space="preserve">Nephritis - </w:t>
            </w:r>
            <w:r w:rsidRPr="00C45AE7">
              <w:rPr>
                <w:b/>
                <w:iCs/>
              </w:rPr>
              <w:t>III.iv.4.</w:t>
            </w:r>
            <w:r w:rsidR="00020865">
              <w:rPr>
                <w:b/>
                <w:iCs/>
              </w:rPr>
              <w:t>I</w:t>
            </w:r>
            <w:r w:rsidRPr="00C45AE7">
              <w:rPr>
                <w:b/>
                <w:iCs/>
              </w:rPr>
              <w:t>.</w:t>
            </w:r>
            <w:r w:rsidR="00020865">
              <w:rPr>
                <w:b/>
                <w:iCs/>
              </w:rPr>
              <w:t>1.e, III.iv.4.I.1.f, III.iv.4.I.1.g, III.iv.4.I.1.h</w:t>
            </w:r>
            <w:r>
              <w:rPr>
                <w:b/>
                <w:iCs/>
              </w:rPr>
              <w:t xml:space="preserve"> </w:t>
            </w:r>
            <w:r>
              <w:t xml:space="preserve">– glomerular nephritis comes suddenly with severe infectious diseases- can clear up or become chronic; nephrosclerotic nephritis comes slowly from hypertension or arteriosclerosis; heart disease and nephritis should be evaluated together unless the only renal condition is absence of a kidney, or there is chronic renal disease with regular dialysis; </w:t>
            </w:r>
            <w:r>
              <w:rPr>
                <w:iCs/>
              </w:rPr>
              <w:t xml:space="preserve">per </w:t>
            </w:r>
            <w:r w:rsidR="00020865">
              <w:rPr>
                <w:b/>
                <w:iCs/>
              </w:rPr>
              <w:t>III.iv.4.I.1.k</w:t>
            </w:r>
            <w:r>
              <w:rPr>
                <w:iCs/>
              </w:rPr>
              <w:t>, nephropathy is not nephritis and 4.115 does not apply</w:t>
            </w:r>
            <w:r w:rsidR="00AE2032">
              <w:rPr>
                <w:iCs/>
              </w:rPr>
              <w:t xml:space="preserve"> (can give heart separate from nephropathy)</w:t>
            </w:r>
          </w:p>
        </w:tc>
      </w:tr>
      <w:tr w:rsidR="00D275EA" w:rsidTr="00C334D1">
        <w:trPr>
          <w:trHeight w:val="291"/>
        </w:trPr>
        <w:tc>
          <w:tcPr>
            <w:tcW w:w="705" w:type="dxa"/>
            <w:tcBorders>
              <w:top w:val="nil"/>
              <w:left w:val="nil"/>
              <w:bottom w:val="nil"/>
              <w:right w:val="nil"/>
            </w:tcBorders>
          </w:tcPr>
          <w:p w:rsidR="00D275EA" w:rsidRDefault="00D275EA" w:rsidP="00C334D1">
            <w:pPr>
              <w:widowControl w:val="0"/>
              <w:numPr>
                <w:ilvl w:val="12"/>
                <w:numId w:val="0"/>
              </w:numPr>
              <w:rPr>
                <w:b/>
              </w:rPr>
            </w:pPr>
            <w:r w:rsidRPr="00453DE5">
              <w:rPr>
                <w:b/>
              </w:rPr>
              <w:t>4.115a</w:t>
            </w:r>
          </w:p>
        </w:tc>
        <w:tc>
          <w:tcPr>
            <w:tcW w:w="10170" w:type="dxa"/>
            <w:tcBorders>
              <w:top w:val="nil"/>
              <w:left w:val="nil"/>
              <w:bottom w:val="nil"/>
              <w:right w:val="nil"/>
            </w:tcBorders>
          </w:tcPr>
          <w:p w:rsidR="00D275EA" w:rsidRDefault="00D275EA" w:rsidP="00C334D1">
            <w:pPr>
              <w:widowControl w:val="0"/>
              <w:numPr>
                <w:ilvl w:val="12"/>
                <w:numId w:val="0"/>
              </w:numPr>
            </w:pPr>
            <w:r>
              <w:rPr>
                <w:b/>
              </w:rPr>
              <w:t>Ratings of the genitourinary system—dysfunction</w:t>
            </w:r>
            <w:r>
              <w:t xml:space="preserve"> – Renal dysfunction, Voiding dysfunction (including urine leakage, frequency, or obstructed voiding), and Urinary tract infection</w:t>
            </w:r>
          </w:p>
        </w:tc>
      </w:tr>
    </w:tbl>
    <w:p w:rsidR="00D275EA" w:rsidRDefault="00D275EA" w:rsidP="00D275EA">
      <w:pPr>
        <w:widowControl w:val="0"/>
        <w:numPr>
          <w:ilvl w:val="12"/>
          <w:numId w:val="0"/>
        </w:numPr>
        <w:tabs>
          <w:tab w:val="left" w:pos="660"/>
          <w:tab w:val="left" w:pos="9417"/>
        </w:tabs>
        <w:ind w:left="-45"/>
        <w:rPr>
          <w:b/>
        </w:rPr>
      </w:pPr>
    </w:p>
    <w:p w:rsidR="00D275EA" w:rsidRDefault="00D275EA" w:rsidP="00D275EA">
      <w:pPr>
        <w:widowControl w:val="0"/>
        <w:numPr>
          <w:ilvl w:val="12"/>
          <w:numId w:val="0"/>
        </w:numPr>
        <w:tabs>
          <w:tab w:val="left" w:pos="660"/>
          <w:tab w:val="left" w:pos="9417"/>
        </w:tabs>
        <w:rPr>
          <w:b/>
          <w:u w:val="single"/>
        </w:rPr>
      </w:pPr>
      <w:r w:rsidRPr="00453DE5">
        <w:rPr>
          <w:b/>
          <w:u w:val="single"/>
        </w:rPr>
        <w:t>4.115b</w:t>
      </w:r>
      <w:r>
        <w:rPr>
          <w:b/>
          <w:u w:val="single"/>
        </w:rPr>
        <w:tab/>
        <w:t>Ratings of the genitourinary system—diagnoses</w:t>
      </w:r>
    </w:p>
    <w:p w:rsidR="00D275EA" w:rsidRDefault="00D275EA" w:rsidP="00D275EA">
      <w:pPr>
        <w:pStyle w:val="Footer"/>
        <w:widowControl w:val="0"/>
        <w:numPr>
          <w:ilvl w:val="12"/>
          <w:numId w:val="0"/>
        </w:numPr>
        <w:tabs>
          <w:tab w:val="clear" w:pos="4320"/>
          <w:tab w:val="clear" w:pos="8640"/>
        </w:tabs>
      </w:pPr>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changed 2/17/94 &amp; 10/8/94 (DCs 7500-7542)</w:t>
      </w:r>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i/>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4.115</w:t>
      </w:r>
      <w:r w:rsidR="00D11C3E">
        <w:rPr>
          <w:bCs/>
          <w:i/>
          <w:iCs/>
          <w:sz w:val="18"/>
        </w:rPr>
        <w:t>; or in CPKM</w:t>
      </w:r>
    </w:p>
    <w:p w:rsidR="00D275EA" w:rsidRDefault="00D275EA" w:rsidP="00D275EA">
      <w:pPr>
        <w:widowControl w:val="0"/>
        <w:numPr>
          <w:ilvl w:val="12"/>
          <w:numId w:val="0"/>
        </w:numPr>
        <w:rPr>
          <w:i/>
        </w:rPr>
      </w:pPr>
    </w:p>
    <w:p w:rsidR="00D275EA" w:rsidRPr="00332C7A" w:rsidRDefault="00D275EA" w:rsidP="00D275EA">
      <w:pPr>
        <w:widowControl w:val="0"/>
        <w:numPr>
          <w:ilvl w:val="0"/>
          <w:numId w:val="43"/>
        </w:numPr>
        <w:spacing w:after="120"/>
        <w:rPr>
          <w:iCs/>
        </w:rPr>
      </w:pPr>
      <w:r w:rsidRPr="00332C7A">
        <w:rPr>
          <w:b/>
          <w:iCs/>
        </w:rPr>
        <w:t>III.iv.4.I.</w:t>
      </w:r>
      <w:r w:rsidR="006166BF">
        <w:rPr>
          <w:b/>
          <w:iCs/>
        </w:rPr>
        <w:t>3</w:t>
      </w:r>
      <w:r w:rsidRPr="00332C7A">
        <w:rPr>
          <w:b/>
          <w:iCs/>
        </w:rPr>
        <w:t>.</w:t>
      </w:r>
      <w:r w:rsidR="006166BF">
        <w:rPr>
          <w:b/>
          <w:iCs/>
        </w:rPr>
        <w:t>b</w:t>
      </w:r>
      <w:r w:rsidRPr="00332C7A">
        <w:rPr>
          <w:iCs/>
        </w:rPr>
        <w:t xml:space="preserve"> –SMC K is still warranted even with use of medication </w:t>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rPr>
          <w:iCs/>
        </w:rPr>
      </w:pPr>
      <w:r>
        <w:rPr>
          <w:iCs/>
        </w:rPr>
        <w:t>Rating Note:  For a period, we did not grant SMC K if the veteran was using successful treatment, like medication or a vacuum pump, but FAQ 12/3/02 clarified that entitlement to SMC K is not precluded by successful use of medication (which we interpreted to include other treatments).  Therefore, under the previous policy, prior Rating Decisions not granting SMC were not CUEs and can be corrected based on policy change.</w:t>
      </w:r>
    </w:p>
    <w:p w:rsidR="00D275EA" w:rsidRDefault="00D275EA" w:rsidP="00D275EA">
      <w:pPr>
        <w:widowControl w:val="0"/>
        <w:numPr>
          <w:ilvl w:val="0"/>
          <w:numId w:val="43"/>
        </w:numPr>
        <w:spacing w:after="120"/>
      </w:pPr>
      <w:r w:rsidRPr="001F7E5B">
        <w:rPr>
          <w:b/>
        </w:rPr>
        <w:t>III.iv.4.I.</w:t>
      </w:r>
      <w:r w:rsidR="001F7E5B" w:rsidRPr="001F7E5B">
        <w:rPr>
          <w:b/>
        </w:rPr>
        <w:t>1</w:t>
      </w:r>
      <w:r w:rsidRPr="001F7E5B">
        <w:rPr>
          <w:b/>
        </w:rPr>
        <w:t>.</w:t>
      </w:r>
      <w:r w:rsidR="001F7E5B" w:rsidRPr="001F7E5B">
        <w:rPr>
          <w:b/>
        </w:rPr>
        <w:t>d</w:t>
      </w:r>
      <w:r w:rsidRPr="001F7E5B">
        <w:t xml:space="preserve"> - creatinine levels above normal (for that particular lab) but less than 4mg% are abnormal &amp; indicate </w:t>
      </w:r>
      <w:r>
        <w:t>decreased renal function that would warrant a 60% evaluation</w:t>
      </w:r>
    </w:p>
    <w:p w:rsidR="00D275EA" w:rsidRDefault="00D275EA" w:rsidP="00D275EA">
      <w:pPr>
        <w:widowControl w:val="0"/>
        <w:numPr>
          <w:ilvl w:val="0"/>
          <w:numId w:val="43"/>
        </w:numPr>
        <w:spacing w:after="120"/>
      </w:pPr>
      <w:r w:rsidRPr="00526485">
        <w:rPr>
          <w:b/>
        </w:rPr>
        <w:t>III.iv.4.I.</w:t>
      </w:r>
      <w:r w:rsidR="00526485" w:rsidRPr="00526485">
        <w:rPr>
          <w:b/>
        </w:rPr>
        <w:t>1.k</w:t>
      </w:r>
      <w:r w:rsidR="00526485">
        <w:rPr>
          <w:b/>
        </w:rPr>
        <w:t xml:space="preserve"> </w:t>
      </w:r>
      <w:r>
        <w:t xml:space="preserve">- no separate evaluations for </w:t>
      </w:r>
      <w:r w:rsidRPr="001C5E99">
        <w:t>renal dysfunction</w:t>
      </w:r>
      <w:r w:rsidR="00AE2032">
        <w:t xml:space="preserve"> assoc w/ nephropathy &amp; hypertension, even at 80% &amp; 100%</w:t>
      </w:r>
    </w:p>
    <w:p w:rsidR="00D275EA" w:rsidRDefault="009474D3" w:rsidP="00D275EA">
      <w:pPr>
        <w:widowControl w:val="0"/>
        <w:numPr>
          <w:ilvl w:val="0"/>
          <w:numId w:val="43"/>
        </w:numPr>
        <w:spacing w:after="120"/>
      </w:pPr>
      <w:r w:rsidRPr="009474D3">
        <w:rPr>
          <w:b/>
        </w:rPr>
        <w:t>III.iv.4.I.1.b</w:t>
      </w:r>
      <w:r w:rsidR="00D275EA" w:rsidRPr="009474D3">
        <w:t xml:space="preserve"> – appliance under voiding dysfunction includes all types of catheters (for leakage, retention, etc), as well</w:t>
      </w:r>
      <w:r w:rsidR="00D275EA">
        <w:t xml:space="preserve"> as any other assistive device for urination</w:t>
      </w:r>
    </w:p>
    <w:p w:rsidR="00D275EA" w:rsidRDefault="00D275EA" w:rsidP="00D275EA">
      <w:pPr>
        <w:widowControl w:val="0"/>
        <w:numPr>
          <w:ilvl w:val="0"/>
          <w:numId w:val="43"/>
        </w:numPr>
        <w:spacing w:after="120"/>
      </w:pPr>
      <w:r w:rsidRPr="009474D3">
        <w:rPr>
          <w:b/>
        </w:rPr>
        <w:t>III.iv.4.I.</w:t>
      </w:r>
      <w:r w:rsidR="009474D3" w:rsidRPr="009474D3">
        <w:rPr>
          <w:b/>
        </w:rPr>
        <w:t>4.c</w:t>
      </w:r>
      <w:r w:rsidRPr="009474D3">
        <w:t xml:space="preserve"> – kidney</w:t>
      </w:r>
      <w:r>
        <w:t xml:space="preserve"> donation &amp; expected residuals are NOT subject to SC since it’s an elective surgery &amp; not a disease/injury coincident with service </w:t>
      </w:r>
      <w:r w:rsidRPr="000A0871">
        <w:rPr>
          <w:b/>
          <w:highlight w:val="green"/>
        </w:rPr>
        <w:t>Elective procedure</w:t>
      </w:r>
    </w:p>
    <w:p w:rsidR="00D275EA" w:rsidRPr="00CE78FC" w:rsidRDefault="00D275EA" w:rsidP="00D275EA">
      <w:pPr>
        <w:widowControl w:val="0"/>
        <w:numPr>
          <w:ilvl w:val="0"/>
          <w:numId w:val="43"/>
        </w:numPr>
        <w:spacing w:after="120"/>
        <w:rPr>
          <w:color w:val="000000"/>
        </w:rPr>
      </w:pPr>
      <w:r w:rsidRPr="00CE78FC">
        <w:rPr>
          <w:b/>
          <w:i/>
        </w:rPr>
        <w:t>July 2014 Compensation Service Bulletin (CSB)</w:t>
      </w:r>
      <w:r w:rsidRPr="00CE78FC">
        <w:rPr>
          <w:rStyle w:val="Hyperlink"/>
          <w:color w:val="auto"/>
          <w:u w:val="none"/>
        </w:rPr>
        <w:t xml:space="preserve"> – </w:t>
      </w:r>
      <w:r w:rsidRPr="00DF54CB">
        <w:t xml:space="preserve">Abnormal BUN levels of less than 40mg%, but still higher than the generally normal BUN levels of 20mg%, may not be used to assign a 60 percent evaluation in assigning a rating under renal dysfunction; as such BUN levels are inadequate to demonstrate “definite decrease in kidney function.”  </w:t>
      </w:r>
      <w:r w:rsidRPr="00CE78FC">
        <w:rPr>
          <w:color w:val="000000"/>
        </w:rPr>
        <w:t>Until the appropriate changes can be made in the calculators, unle</w:t>
      </w:r>
      <w:r w:rsidR="004F25BE">
        <w:rPr>
          <w:color w:val="000000"/>
        </w:rPr>
        <w:t>1</w:t>
      </w:r>
      <w:r w:rsidRPr="00CE78FC">
        <w:rPr>
          <w:color w:val="000000"/>
        </w:rPr>
        <w:t xml:space="preserve">ss the BUN value is 40mg% or more, employees should delete the BUN out of the calculator input screen. </w:t>
      </w:r>
      <w:r w:rsidRPr="009474D3">
        <w:rPr>
          <w:b/>
          <w:color w:val="000000"/>
        </w:rPr>
        <w:t>III.iv.4.I.</w:t>
      </w:r>
      <w:r w:rsidR="006166BF" w:rsidRPr="009474D3">
        <w:rPr>
          <w:b/>
          <w:color w:val="000000"/>
        </w:rPr>
        <w:t>1</w:t>
      </w:r>
      <w:r w:rsidRPr="009474D3">
        <w:rPr>
          <w:b/>
          <w:color w:val="000000"/>
        </w:rPr>
        <w:t>.</w:t>
      </w:r>
      <w:r w:rsidR="006166BF" w:rsidRPr="009474D3">
        <w:rPr>
          <w:b/>
          <w:color w:val="000000"/>
        </w:rPr>
        <w:t>c</w:t>
      </w:r>
    </w:p>
    <w:p w:rsidR="00D275EA" w:rsidRDefault="00D275EA" w:rsidP="00D275EA">
      <w:pPr>
        <w:widowControl w:val="0"/>
        <w:numPr>
          <w:ilvl w:val="12"/>
          <w:numId w:val="0"/>
        </w:numPr>
        <w:rPr>
          <w:color w:val="FF0000"/>
        </w:rPr>
      </w:pPr>
      <w:r>
        <w:rPr>
          <w:color w:val="FF0000"/>
        </w:rPr>
        <w:t>7502</w:t>
      </w:r>
      <w:r>
        <w:rPr>
          <w:color w:val="FF0000"/>
        </w:rPr>
        <w:tab/>
        <w:t>Nephritis, chronic</w:t>
      </w:r>
    </w:p>
    <w:p w:rsidR="00D275EA" w:rsidRDefault="00D275EA" w:rsidP="00D275EA">
      <w:pPr>
        <w:widowControl w:val="0"/>
        <w:numPr>
          <w:ilvl w:val="12"/>
          <w:numId w:val="0"/>
        </w:numPr>
        <w:rPr>
          <w:color w:val="FF0000"/>
        </w:rPr>
      </w:pPr>
      <w:r>
        <w:rPr>
          <w:color w:val="FF0000"/>
        </w:rPr>
        <w:t>7508</w:t>
      </w:r>
      <w:r>
        <w:rPr>
          <w:color w:val="FF0000"/>
        </w:rPr>
        <w:tab/>
        <w:t>Nephrolithiasis</w:t>
      </w:r>
    </w:p>
    <w:p w:rsidR="00D275EA" w:rsidRDefault="00D275EA" w:rsidP="00D275EA">
      <w:pPr>
        <w:widowControl w:val="0"/>
        <w:numPr>
          <w:ilvl w:val="12"/>
          <w:numId w:val="0"/>
        </w:numPr>
        <w:rPr>
          <w:color w:val="FF0000"/>
        </w:rPr>
      </w:pPr>
      <w:r>
        <w:rPr>
          <w:color w:val="FF0000"/>
        </w:rPr>
        <w:t>7515</w:t>
      </w:r>
      <w:r>
        <w:rPr>
          <w:color w:val="FF0000"/>
        </w:rPr>
        <w:tab/>
        <w:t>Bladder, calculus in</w:t>
      </w:r>
    </w:p>
    <w:p w:rsidR="00D275EA" w:rsidRPr="00CF557B" w:rsidRDefault="00D275EA" w:rsidP="00B6163D">
      <w:pPr>
        <w:widowControl w:val="0"/>
        <w:numPr>
          <w:ilvl w:val="12"/>
          <w:numId w:val="0"/>
        </w:numPr>
        <w:tabs>
          <w:tab w:val="left" w:pos="720"/>
        </w:tabs>
        <w:spacing w:after="120"/>
        <w:ind w:left="720" w:hanging="720"/>
        <w:rPr>
          <w:b/>
          <w:bCs/>
        </w:rPr>
      </w:pPr>
      <w:r>
        <w:t>7522</w:t>
      </w:r>
      <w:r>
        <w:tab/>
        <w:t>Penis, deformity</w:t>
      </w:r>
      <w:r w:rsidR="00B6163D">
        <w:t xml:space="preserve">, with loss of erectile power, </w:t>
      </w:r>
      <w:r w:rsidRPr="00CF557B">
        <w:rPr>
          <w:b/>
          <w:bCs/>
        </w:rPr>
        <w:t>III.iv.4.I.</w:t>
      </w:r>
      <w:r w:rsidR="006166BF">
        <w:rPr>
          <w:b/>
          <w:bCs/>
        </w:rPr>
        <w:t>3</w:t>
      </w:r>
    </w:p>
    <w:p w:rsidR="00D275EA" w:rsidRPr="00B6163D" w:rsidRDefault="00D275EA" w:rsidP="00D275EA">
      <w:pPr>
        <w:widowControl w:val="0"/>
        <w:numPr>
          <w:ilvl w:val="12"/>
          <w:numId w:val="0"/>
        </w:numPr>
        <w:spacing w:after="120"/>
        <w:ind w:left="720" w:hanging="720"/>
        <w:rPr>
          <w:b/>
        </w:rPr>
      </w:pPr>
      <w:r>
        <w:t>7527</w:t>
      </w:r>
      <w:r>
        <w:tab/>
        <w:t>Prostate gland injuries, infections, hypertrophy, postoperative residuals</w:t>
      </w:r>
    </w:p>
    <w:p w:rsidR="00D275EA" w:rsidRDefault="00D275EA" w:rsidP="00D275EA">
      <w:pPr>
        <w:widowControl w:val="0"/>
        <w:numPr>
          <w:ilvl w:val="12"/>
          <w:numId w:val="0"/>
        </w:numPr>
        <w:spacing w:after="120"/>
        <w:ind w:left="720" w:hanging="720"/>
      </w:pPr>
      <w:r>
        <w:rPr>
          <w:color w:val="FF0000"/>
        </w:rPr>
        <w:t>7528</w:t>
      </w:r>
      <w:r>
        <w:rPr>
          <w:color w:val="FF0000"/>
        </w:rPr>
        <w:tab/>
        <w:t xml:space="preserve">Malignant neoplasms of the genitourinary system </w:t>
      </w:r>
      <w:r>
        <w:t>–</w:t>
      </w:r>
      <w:r>
        <w:rPr>
          <w:i/>
        </w:rPr>
        <w:t xml:space="preserve"> </w:t>
      </w:r>
      <w:r>
        <w:rPr>
          <w:i/>
          <w:color w:val="FF9900"/>
        </w:rPr>
        <w:t xml:space="preserve">prostate cancer is Agent Orange presumptive under </w:t>
      </w:r>
      <w:r w:rsidRPr="00453DE5">
        <w:rPr>
          <w:b/>
        </w:rPr>
        <w:t>3.309</w:t>
      </w:r>
      <w:r>
        <w:rPr>
          <w:i/>
          <w:color w:val="FF9900"/>
        </w:rPr>
        <w:t>(e)</w:t>
      </w:r>
      <w:r>
        <w:rPr>
          <w:i/>
        </w:rPr>
        <w:t xml:space="preserve"> </w:t>
      </w:r>
      <w:r>
        <w:rPr>
          <w:i/>
          <w:color w:val="808080"/>
        </w:rPr>
        <w:t>urogenital cancers (except prostate) are associated with Asbestos</w:t>
      </w:r>
      <w:r>
        <w:t xml:space="preserve"> </w:t>
      </w:r>
    </w:p>
    <w:p w:rsidR="00D275EA" w:rsidRDefault="00D275EA" w:rsidP="00F063AF">
      <w:pPr>
        <w:pStyle w:val="ListParagraph"/>
        <w:widowControl w:val="0"/>
        <w:numPr>
          <w:ilvl w:val="0"/>
          <w:numId w:val="168"/>
        </w:numPr>
        <w:tabs>
          <w:tab w:val="left" w:pos="720"/>
        </w:tabs>
        <w:spacing w:after="120" w:line="240" w:lineRule="auto"/>
        <w:ind w:left="720"/>
        <w:rPr>
          <w:rFonts w:ascii="Arial" w:hAnsi="Arial"/>
          <w:sz w:val="20"/>
          <w:szCs w:val="20"/>
        </w:rPr>
      </w:pPr>
      <w:r>
        <w:rPr>
          <w:rFonts w:ascii="Arial" w:hAnsi="Arial"/>
          <w:b/>
          <w:sz w:val="20"/>
          <w:szCs w:val="20"/>
        </w:rPr>
        <w:t>III.iv.4.I.</w:t>
      </w:r>
      <w:r w:rsidR="00B6163D">
        <w:rPr>
          <w:rFonts w:ascii="Arial" w:hAnsi="Arial"/>
          <w:b/>
          <w:sz w:val="20"/>
          <w:szCs w:val="20"/>
        </w:rPr>
        <w:t>2.c</w:t>
      </w:r>
      <w:r w:rsidRPr="00613418">
        <w:rPr>
          <w:rFonts w:ascii="Arial" w:hAnsi="Arial"/>
          <w:sz w:val="20"/>
          <w:szCs w:val="20"/>
        </w:rPr>
        <w:t xml:space="preserve"> – chart for prostate cancer treatments</w:t>
      </w:r>
      <w:r>
        <w:rPr>
          <w:rFonts w:ascii="Arial" w:hAnsi="Arial"/>
          <w:sz w:val="20"/>
          <w:szCs w:val="20"/>
        </w:rPr>
        <w:t xml:space="preserve"> &amp; SMC</w:t>
      </w:r>
      <w:r w:rsidR="00B6163D">
        <w:rPr>
          <w:rFonts w:ascii="Arial" w:hAnsi="Arial"/>
          <w:sz w:val="20"/>
          <w:szCs w:val="20"/>
        </w:rPr>
        <w:t xml:space="preserve"> &amp; permanence</w:t>
      </w:r>
    </w:p>
    <w:p w:rsidR="00D275EA" w:rsidRPr="00F9252D" w:rsidRDefault="00D571C5" w:rsidP="00F063AF">
      <w:pPr>
        <w:pStyle w:val="ListParagraph"/>
        <w:widowControl w:val="0"/>
        <w:numPr>
          <w:ilvl w:val="0"/>
          <w:numId w:val="168"/>
        </w:numPr>
        <w:tabs>
          <w:tab w:val="left" w:pos="720"/>
        </w:tabs>
        <w:spacing w:after="120" w:line="240" w:lineRule="auto"/>
        <w:ind w:left="720" w:right="-180"/>
        <w:rPr>
          <w:rFonts w:ascii="Arial" w:hAnsi="Arial"/>
          <w:sz w:val="20"/>
          <w:szCs w:val="20"/>
        </w:rPr>
      </w:pPr>
      <w:hyperlink r:id="rId573" w:history="1">
        <w:r w:rsidR="00D275EA">
          <w:rPr>
            <w:rStyle w:val="Hyperlink"/>
            <w:rFonts w:ascii="Arial" w:hAnsi="Arial"/>
            <w:b/>
            <w:i/>
            <w:sz w:val="20"/>
            <w:szCs w:val="20"/>
          </w:rPr>
          <w:t>July 2015 Quality Call Notes</w:t>
        </w:r>
      </w:hyperlink>
      <w:r w:rsidR="00D275EA" w:rsidRPr="00F9252D">
        <w:rPr>
          <w:rStyle w:val="Hyperlink"/>
          <w:rFonts w:ascii="Arial" w:hAnsi="Arial"/>
          <w:sz w:val="20"/>
          <w:szCs w:val="20"/>
          <w:u w:val="none"/>
        </w:rPr>
        <w:t xml:space="preserve"> </w:t>
      </w:r>
      <w:r w:rsidR="005E2C55" w:rsidRPr="005E2C55">
        <w:rPr>
          <w:rStyle w:val="Hyperlink"/>
          <w:rFonts w:ascii="Arial" w:hAnsi="Arial"/>
          <w:color w:val="auto"/>
          <w:sz w:val="20"/>
          <w:szCs w:val="20"/>
          <w:u w:val="none"/>
        </w:rPr>
        <w:t>(</w:t>
      </w:r>
      <w:r w:rsidR="005E2C55" w:rsidRPr="005E2C55">
        <w:rPr>
          <w:rStyle w:val="Hyperlink"/>
          <w:rFonts w:ascii="Arial" w:hAnsi="Arial"/>
          <w:i/>
          <w:color w:val="auto"/>
          <w:sz w:val="20"/>
          <w:szCs w:val="20"/>
          <w:u w:val="none"/>
        </w:rPr>
        <w:t xml:space="preserve">this </w:t>
      </w:r>
      <w:r w:rsidR="005E2C55">
        <w:rPr>
          <w:rStyle w:val="Hyperlink"/>
          <w:rFonts w:ascii="Arial" w:hAnsi="Arial"/>
          <w:i/>
          <w:color w:val="auto"/>
          <w:sz w:val="20"/>
          <w:szCs w:val="20"/>
          <w:u w:val="none"/>
        </w:rPr>
        <w:t>is</w:t>
      </w:r>
      <w:r w:rsidR="005E2C55" w:rsidRPr="005E2C55">
        <w:rPr>
          <w:rStyle w:val="Hyperlink"/>
          <w:rFonts w:ascii="Arial" w:hAnsi="Arial"/>
          <w:i/>
          <w:color w:val="auto"/>
          <w:sz w:val="20"/>
          <w:szCs w:val="20"/>
          <w:u w:val="none"/>
        </w:rPr>
        <w:t xml:space="preserve"> a staged rating &amp; not a reduction, but they do not mention the RD date</w:t>
      </w:r>
      <w:r w:rsidR="005E2C55" w:rsidRPr="005E2C55">
        <w:rPr>
          <w:rStyle w:val="Hyperlink"/>
          <w:rFonts w:ascii="Arial" w:hAnsi="Arial"/>
          <w:color w:val="auto"/>
          <w:sz w:val="20"/>
          <w:szCs w:val="20"/>
          <w:u w:val="none"/>
        </w:rPr>
        <w:t xml:space="preserve">) </w:t>
      </w:r>
      <w:r w:rsidR="00D275EA" w:rsidRPr="005E2C55">
        <w:rPr>
          <w:rStyle w:val="Hyperlink"/>
          <w:rFonts w:ascii="Arial" w:hAnsi="Arial"/>
          <w:color w:val="auto"/>
          <w:sz w:val="20"/>
          <w:szCs w:val="20"/>
          <w:u w:val="none"/>
        </w:rPr>
        <w:t xml:space="preserve">– </w:t>
      </w:r>
      <w:r w:rsidR="00D275EA" w:rsidRPr="00F9252D">
        <w:rPr>
          <w:rStyle w:val="Hyperlink"/>
          <w:rFonts w:ascii="Arial" w:hAnsi="Arial"/>
          <w:color w:val="auto"/>
          <w:sz w:val="20"/>
          <w:szCs w:val="20"/>
          <w:u w:val="none"/>
        </w:rPr>
        <w:t xml:space="preserve">D1 error on effective date:  </w:t>
      </w:r>
      <w:r w:rsidR="00D275EA" w:rsidRPr="00F9252D">
        <w:rPr>
          <w:rFonts w:ascii="Arial" w:hAnsi="Arial"/>
          <w:sz w:val="20"/>
          <w:szCs w:val="20"/>
        </w:rPr>
        <w:t xml:space="preserve">The Veteran submitted a </w:t>
      </w:r>
      <w:r w:rsidR="00D275EA" w:rsidRPr="0026567B">
        <w:rPr>
          <w:rFonts w:ascii="Arial" w:hAnsi="Arial"/>
          <w:sz w:val="20"/>
          <w:szCs w:val="20"/>
        </w:rPr>
        <w:t>Fully Developed Claim (FDC)</w:t>
      </w:r>
      <w:r w:rsidR="00D275EA" w:rsidRPr="00F9252D">
        <w:rPr>
          <w:rFonts w:ascii="Arial" w:hAnsi="Arial"/>
          <w:sz w:val="20"/>
          <w:szCs w:val="20"/>
        </w:rPr>
        <w:t xml:space="preserve"> for entitlement to service connection (SC) for prostate cancer on September 27, 2013.  As part of its duty to assist the Veteran, the RO requested private records, VA outpatient treatment reports, and a VA examination (VAE).  When this evidence was received and reviewed, it indicated the Veteran completed radiation therapy for his prostate cancer on August 23, 2013.  Additionally, the VAE report dated November 20, 2014, indicated the prostate cancer was in remission with no known residuals. </w:t>
      </w:r>
    </w:p>
    <w:p w:rsidR="00D275EA" w:rsidRPr="00F9252D" w:rsidRDefault="00D275EA" w:rsidP="00D275EA">
      <w:pPr>
        <w:pStyle w:val="NoSpacing"/>
        <w:tabs>
          <w:tab w:val="left" w:pos="630"/>
        </w:tabs>
        <w:spacing w:after="120"/>
        <w:ind w:left="720"/>
        <w:rPr>
          <w:rFonts w:ascii="Arial" w:hAnsi="Arial"/>
          <w:sz w:val="20"/>
          <w:szCs w:val="20"/>
        </w:rPr>
      </w:pPr>
      <w:r w:rsidRPr="00F9252D">
        <w:rPr>
          <w:rFonts w:ascii="Arial" w:hAnsi="Arial"/>
          <w:sz w:val="20"/>
          <w:szCs w:val="20"/>
        </w:rPr>
        <w:t>Based on this evidence, the RO correctly granted entitlement to SC for prostate cancer, and assigned a 100% evaluation effective September 27, 2012, which is one year prior to the date of receipt of the claim.  The 100% evaluation was reduced to 0% effective November 20, 2014, the date of the VAE report, because the evidence showed the prostate cancer was in remission.</w:t>
      </w:r>
    </w:p>
    <w:p w:rsidR="00D275EA" w:rsidRPr="00F9252D" w:rsidRDefault="00D275EA" w:rsidP="00D275EA">
      <w:pPr>
        <w:pStyle w:val="NoSpacing"/>
        <w:tabs>
          <w:tab w:val="left" w:pos="630"/>
        </w:tabs>
        <w:spacing w:after="120"/>
        <w:ind w:left="720" w:right="-180"/>
        <w:rPr>
          <w:rFonts w:ascii="Arial" w:hAnsi="Arial"/>
          <w:sz w:val="20"/>
          <w:szCs w:val="20"/>
        </w:rPr>
      </w:pPr>
      <w:r w:rsidRPr="00F9252D">
        <w:rPr>
          <w:rFonts w:ascii="Arial" w:hAnsi="Arial"/>
          <w:sz w:val="20"/>
          <w:szCs w:val="20"/>
        </w:rPr>
        <w:t>The Quality Assurance Consultant conducted a STAR assessment and cited a D1 effective date error because the RO assigned an incorrect effective date for the 0% evaluation.  The STAR error narrative indicated the proper date of reduction to 0% is March 1, 2014, which is six months following completion of the Veteran’s radiation treatment for his prostate cancer.</w:t>
      </w:r>
    </w:p>
    <w:p w:rsidR="00D275EA" w:rsidRDefault="00D275EA" w:rsidP="00D275EA">
      <w:pPr>
        <w:pStyle w:val="NoSpacing"/>
        <w:tabs>
          <w:tab w:val="left" w:pos="630"/>
        </w:tabs>
        <w:spacing w:after="120"/>
        <w:ind w:left="720" w:right="-180"/>
        <w:rPr>
          <w:rFonts w:ascii="Arial" w:hAnsi="Arial"/>
          <w:sz w:val="20"/>
          <w:szCs w:val="20"/>
        </w:rPr>
      </w:pPr>
      <w:r>
        <w:rPr>
          <w:rFonts w:ascii="Arial" w:hAnsi="Arial"/>
          <w:sz w:val="20"/>
          <w:szCs w:val="20"/>
        </w:rPr>
        <w:t>(RO applied for reconsideration, but it was denied)</w:t>
      </w:r>
      <w:r w:rsidRPr="00F9252D">
        <w:rPr>
          <w:rFonts w:ascii="Arial" w:hAnsi="Arial"/>
          <w:sz w:val="20"/>
          <w:szCs w:val="20"/>
        </w:rPr>
        <w:t>… based on “facts found</w:t>
      </w:r>
      <w:r>
        <w:rPr>
          <w:rFonts w:ascii="Arial" w:hAnsi="Arial"/>
          <w:sz w:val="20"/>
          <w:szCs w:val="20"/>
        </w:rPr>
        <w:t>,”</w:t>
      </w:r>
      <w:r w:rsidRPr="00F9252D">
        <w:rPr>
          <w:rFonts w:ascii="Arial" w:hAnsi="Arial"/>
          <w:sz w:val="20"/>
          <w:szCs w:val="20"/>
        </w:rPr>
        <w:t xml:space="preserve"> the effective date for the reduction from 100% to 0% should be March 1, 2014, not the date of the VA examination, November 20, 2014. The evidence shows the Veteran completed radiation therapy for his service connected prostate cancer on August 23, 2013.  If one were to apply the provisions of the note listed under DC 7528, the 100% evaluation would continue with a mandatory VA examination at the expiration of six months.  However, since the VA examination results indicate the prostate cancer is in remission, and since due process to reduce the evaluation is not required under 38 CFR 3.105(e) per the court case of </w:t>
      </w:r>
      <w:r w:rsidRPr="00F9252D">
        <w:rPr>
          <w:rFonts w:ascii="Arial" w:hAnsi="Arial"/>
          <w:i/>
          <w:sz w:val="20"/>
          <w:szCs w:val="20"/>
        </w:rPr>
        <w:t>Tatum v Shinseki</w:t>
      </w:r>
      <w:r w:rsidRPr="00F9252D">
        <w:rPr>
          <w:rFonts w:ascii="Arial" w:hAnsi="Arial"/>
          <w:sz w:val="20"/>
          <w:szCs w:val="20"/>
        </w:rPr>
        <w:t>, the STAR reviewer correctly stated that the reduced 0% evaluation should be effective March 1, 2014.</w:t>
      </w:r>
    </w:p>
    <w:p w:rsidR="00D275EA" w:rsidRPr="00A430A4" w:rsidRDefault="00D275EA" w:rsidP="00D275EA">
      <w:pPr>
        <w:pStyle w:val="VBABulletLevel1"/>
        <w:numPr>
          <w:ilvl w:val="0"/>
          <w:numId w:val="0"/>
        </w:numPr>
        <w:pBdr>
          <w:top w:val="single" w:sz="4" w:space="1" w:color="auto"/>
          <w:left w:val="single" w:sz="4" w:space="1" w:color="auto"/>
          <w:bottom w:val="single" w:sz="4" w:space="1" w:color="auto"/>
          <w:right w:val="single" w:sz="4" w:space="1" w:color="auto"/>
        </w:pBdr>
        <w:spacing w:after="120"/>
        <w:ind w:left="360"/>
        <w:rPr>
          <w:i/>
          <w:sz w:val="20"/>
          <w:u w:val="single"/>
        </w:rPr>
      </w:pPr>
      <w:r w:rsidRPr="00A430A4">
        <w:rPr>
          <w:i/>
          <w:sz w:val="20"/>
          <w:u w:val="single"/>
        </w:rPr>
        <w:t xml:space="preserve">NEED </w:t>
      </w:r>
      <w:r>
        <w:rPr>
          <w:i/>
          <w:sz w:val="20"/>
          <w:u w:val="single"/>
        </w:rPr>
        <w:t>CLARIFICATION IF ACTIVE &amp; TREATMENT COMPLETED YEARS PRIOR</w:t>
      </w:r>
      <w:r>
        <w:rPr>
          <w:sz w:val="20"/>
        </w:rPr>
        <w:t xml:space="preserve"> (one examiner clarified that have to have no signs/symptoms for 5 years, but also listed decreasing PSA as evidence of active cancer; plus other examiners have checked remission several months after radiation is completed, so it’s VERY unclear):</w:t>
      </w:r>
    </w:p>
    <w:p w:rsidR="00D275EA" w:rsidRPr="00C55A50" w:rsidRDefault="00D275EA" w:rsidP="00D275EA">
      <w:pPr>
        <w:pStyle w:val="VBABulletLevel1"/>
        <w:numPr>
          <w:ilvl w:val="0"/>
          <w:numId w:val="0"/>
        </w:numPr>
        <w:pBdr>
          <w:top w:val="single" w:sz="4" w:space="1" w:color="auto"/>
          <w:left w:val="single" w:sz="4" w:space="1" w:color="auto"/>
          <w:bottom w:val="single" w:sz="4" w:space="1" w:color="auto"/>
          <w:right w:val="single" w:sz="4" w:space="1" w:color="auto"/>
        </w:pBdr>
        <w:spacing w:after="120"/>
        <w:ind w:left="360"/>
        <w:rPr>
          <w:i/>
          <w:sz w:val="20"/>
        </w:rPr>
      </w:pPr>
      <w:r w:rsidRPr="00A430A4">
        <w:rPr>
          <w:i/>
          <w:sz w:val="20"/>
        </w:rPr>
        <w:t xml:space="preserve">for deferral:  </w:t>
      </w:r>
      <w:r w:rsidRPr="00C55A50">
        <w:rPr>
          <w:i/>
          <w:sz w:val="20"/>
        </w:rPr>
        <w:t>We need clarification of the DBQ results. *See Claim Notes for more details.</w:t>
      </w:r>
    </w:p>
    <w:p w:rsidR="00D275EA" w:rsidRDefault="00D275EA" w:rsidP="00D275EA">
      <w:pPr>
        <w:pStyle w:val="VBABulletLevel1"/>
        <w:numPr>
          <w:ilvl w:val="0"/>
          <w:numId w:val="0"/>
        </w:numPr>
        <w:pBdr>
          <w:top w:val="single" w:sz="4" w:space="1" w:color="auto"/>
          <w:left w:val="single" w:sz="4" w:space="1" w:color="auto"/>
          <w:bottom w:val="single" w:sz="4" w:space="1" w:color="auto"/>
          <w:right w:val="single" w:sz="4" w:space="1" w:color="auto"/>
        </w:pBdr>
        <w:spacing w:after="120"/>
        <w:ind w:left="360"/>
        <w:rPr>
          <w:b/>
          <w:u w:val="single"/>
        </w:rPr>
      </w:pPr>
      <w:r w:rsidRPr="00A430A4">
        <w:rPr>
          <w:i/>
          <w:sz w:val="20"/>
        </w:rPr>
        <w:t xml:space="preserve">for Claim Note:  Claim is </w:t>
      </w:r>
      <w:r w:rsidRPr="00C55A50">
        <w:rPr>
          <w:i/>
          <w:sz w:val="20"/>
        </w:rPr>
        <w:t>not RFD. We need clarification of the DBQ results. The examiner indicates the status of the prostate cancer is active, but that radiation was completed {}. There is no evidence of recurrence. The examiner did not review any records. Please clarify if the prostate cancer is active and the basis for that status.</w:t>
      </w:r>
      <w:r>
        <w:rPr>
          <w:sz w:val="20"/>
        </w:rPr>
        <w:t xml:space="preserve"> </w:t>
      </w:r>
      <w:r>
        <w:rPr>
          <w:i/>
          <w:sz w:val="20"/>
        </w:rPr>
        <w:t>Deferral done.</w:t>
      </w:r>
    </w:p>
    <w:p w:rsidR="00D275EA" w:rsidRPr="00F9252D" w:rsidRDefault="00D275EA" w:rsidP="00D275EA">
      <w:pPr>
        <w:pStyle w:val="NoSpacing"/>
        <w:tabs>
          <w:tab w:val="left" w:pos="630"/>
        </w:tabs>
        <w:spacing w:after="120"/>
        <w:ind w:left="720" w:right="-180"/>
        <w:rPr>
          <w:rFonts w:ascii="Arial" w:hAnsi="Arial"/>
          <w:sz w:val="20"/>
          <w:szCs w:val="20"/>
        </w:rPr>
      </w:pPr>
    </w:p>
    <w:p w:rsidR="00D275EA" w:rsidRDefault="00D275EA" w:rsidP="00D275EA">
      <w:pPr>
        <w:widowControl w:val="0"/>
        <w:numPr>
          <w:ilvl w:val="12"/>
          <w:numId w:val="0"/>
        </w:numPr>
        <w:spacing w:after="120"/>
      </w:pPr>
      <w:r>
        <w:t>7530</w:t>
      </w:r>
      <w:r>
        <w:tab/>
        <w:t>Chronic renal disease requiring regular dialysis - always use this code if on DIALYSIS (despite diagnosis)!!!</w:t>
      </w:r>
    </w:p>
    <w:p w:rsidR="00D275EA" w:rsidRDefault="00D275EA" w:rsidP="00D275EA">
      <w:pPr>
        <w:widowControl w:val="0"/>
        <w:numPr>
          <w:ilvl w:val="12"/>
          <w:numId w:val="0"/>
        </w:numPr>
        <w:ind w:left="720" w:hanging="720"/>
        <w:rPr>
          <w:i/>
        </w:rPr>
      </w:pPr>
      <w:r>
        <w:t>7541</w:t>
      </w:r>
      <w:r>
        <w:tab/>
        <w:t xml:space="preserve">Renal involvement in </w:t>
      </w:r>
      <w:r>
        <w:rPr>
          <w:u w:val="single"/>
        </w:rPr>
        <w:t>diabetes mellitus</w:t>
      </w:r>
      <w:r>
        <w:t xml:space="preserve">, sickle cell </w:t>
      </w:r>
      <w:r w:rsidRPr="000808C4">
        <w:t xml:space="preserve">anemia, systemic lupus erythematosus, </w:t>
      </w:r>
      <w:r>
        <w:t xml:space="preserve">vasculitis, or other systemic disease processes – </w:t>
      </w:r>
      <w:r>
        <w:rPr>
          <w:i/>
        </w:rPr>
        <w:t>added 1/19/94</w:t>
      </w:r>
    </w:p>
    <w:p w:rsidR="00D275EA" w:rsidRPr="005643CD" w:rsidRDefault="00D571C5" w:rsidP="00F063AF">
      <w:pPr>
        <w:widowControl w:val="0"/>
        <w:numPr>
          <w:ilvl w:val="0"/>
          <w:numId w:val="107"/>
        </w:numPr>
        <w:tabs>
          <w:tab w:val="clear" w:pos="720"/>
          <w:tab w:val="num" w:pos="1080"/>
          <w:tab w:val="left" w:pos="9413"/>
        </w:tabs>
        <w:spacing w:after="120"/>
        <w:ind w:left="1080"/>
        <w:rPr>
          <w:i/>
          <w:iCs/>
        </w:rPr>
      </w:pPr>
      <w:hyperlink r:id="rId574" w:history="1">
        <w:r w:rsidR="00D275EA">
          <w:rPr>
            <w:rStyle w:val="Hyperlink"/>
            <w:b/>
            <w:bCs/>
            <w:i/>
            <w:iCs/>
          </w:rPr>
          <w:t>FY 2012 Quality Call Training</w:t>
        </w:r>
      </w:hyperlink>
      <w:r w:rsidR="00D275EA" w:rsidRPr="002B1B67">
        <w:rPr>
          <w:b/>
          <w:bCs/>
          <w:i/>
          <w:iCs/>
        </w:rPr>
        <w:t xml:space="preserve"> – </w:t>
      </w:r>
      <w:r w:rsidR="00D275EA" w:rsidRPr="00F3647E">
        <w:rPr>
          <w:b/>
          <w:bCs/>
          <w:iCs/>
        </w:rPr>
        <w:t>National Grant Rate DC 7101 - Hypertension</w:t>
      </w:r>
      <w:r w:rsidR="00D275EA">
        <w:rPr>
          <w:b/>
          <w:iCs/>
        </w:rPr>
        <w:t xml:space="preserve"> – </w:t>
      </w:r>
      <w:r w:rsidR="00D275EA">
        <w:rPr>
          <w:iCs/>
        </w:rPr>
        <w:t>microalbuminuria is an early stage of nephropathy</w:t>
      </w:r>
    </w:p>
    <w:p w:rsidR="00D275EA" w:rsidRPr="00D275EA" w:rsidRDefault="00D275EA" w:rsidP="00F063AF">
      <w:pPr>
        <w:widowControl w:val="0"/>
        <w:numPr>
          <w:ilvl w:val="0"/>
          <w:numId w:val="107"/>
        </w:numPr>
        <w:tabs>
          <w:tab w:val="clear" w:pos="720"/>
          <w:tab w:val="num" w:pos="1080"/>
          <w:tab w:val="left" w:pos="9413"/>
        </w:tabs>
        <w:spacing w:after="120"/>
        <w:ind w:left="1080"/>
        <w:rPr>
          <w:i/>
          <w:iCs/>
        </w:rPr>
      </w:pPr>
      <w:r>
        <w:rPr>
          <w:iCs/>
        </w:rPr>
        <w:t>Persistent albuminuria/proteinuria = 30%</w:t>
      </w:r>
    </w:p>
    <w:p w:rsidR="00D275EA" w:rsidRDefault="00D275EA" w:rsidP="00D275EA">
      <w:pPr>
        <w:widowControl w:val="0"/>
        <w:numPr>
          <w:ilvl w:val="12"/>
          <w:numId w:val="0"/>
        </w:numPr>
        <w:pBdr>
          <w:bottom w:val="single" w:sz="4" w:space="1" w:color="auto"/>
        </w:pBdr>
      </w:pPr>
    </w:p>
    <w:p w:rsidR="00D275EA" w:rsidRDefault="00D275EA">
      <w:pPr>
        <w:overflowPunct/>
        <w:autoSpaceDE/>
        <w:autoSpaceDN/>
        <w:adjustRightInd/>
        <w:textAlignment w:val="auto"/>
      </w:pPr>
      <w:r>
        <w:br w:type="page"/>
      </w:r>
    </w:p>
    <w:p w:rsidR="00D275EA" w:rsidRDefault="00D275EA" w:rsidP="00D275EA">
      <w:pPr>
        <w:widowControl w:val="0"/>
        <w:numPr>
          <w:ilvl w:val="12"/>
          <w:numId w:val="0"/>
        </w:numPr>
      </w:pPr>
    </w:p>
    <w:tbl>
      <w:tblPr>
        <w:tblW w:w="0" w:type="auto"/>
        <w:tblInd w:w="-45" w:type="dxa"/>
        <w:tblLayout w:type="fixed"/>
        <w:tblCellMar>
          <w:left w:w="30" w:type="dxa"/>
          <w:right w:w="30" w:type="dxa"/>
        </w:tblCellMar>
        <w:tblLook w:val="0000" w:firstRow="0" w:lastRow="0" w:firstColumn="0" w:lastColumn="0" w:noHBand="0" w:noVBand="0"/>
      </w:tblPr>
      <w:tblGrid>
        <w:gridCol w:w="10875"/>
      </w:tblGrid>
      <w:tr w:rsidR="00D275EA" w:rsidTr="005567F4">
        <w:trPr>
          <w:trHeight w:val="313"/>
        </w:trPr>
        <w:tc>
          <w:tcPr>
            <w:tcW w:w="10875" w:type="dxa"/>
            <w:tcBorders>
              <w:top w:val="single" w:sz="4" w:space="0" w:color="auto"/>
              <w:left w:val="nil"/>
              <w:bottom w:val="nil"/>
              <w:right w:val="nil"/>
            </w:tcBorders>
          </w:tcPr>
          <w:p w:rsidR="00D275EA" w:rsidRDefault="00D275EA" w:rsidP="00C334D1">
            <w:pPr>
              <w:widowControl w:val="0"/>
              <w:numPr>
                <w:ilvl w:val="12"/>
                <w:numId w:val="0"/>
              </w:numPr>
              <w:jc w:val="center"/>
              <w:rPr>
                <w:b/>
                <w:color w:val="FF0000"/>
              </w:rPr>
            </w:pPr>
            <w:bookmarkStart w:id="129" w:name="Part4Gyn"/>
            <w:r>
              <w:rPr>
                <w:b/>
                <w:color w:val="FF0000"/>
              </w:rPr>
              <w:t xml:space="preserve">4.116. </w:t>
            </w:r>
            <w:r>
              <w:rPr>
                <w:b/>
                <w:i/>
                <w:color w:val="FF0000"/>
              </w:rPr>
              <w:t>Gynecological Conditions and Disorders of the Breast</w:t>
            </w:r>
            <w:bookmarkEnd w:id="129"/>
          </w:p>
        </w:tc>
      </w:tr>
    </w:tbl>
    <w:p w:rsidR="00D275EA" w:rsidRDefault="005567F4" w:rsidP="00D275EA">
      <w:pPr>
        <w:widowControl w:val="0"/>
        <w:numPr>
          <w:ilvl w:val="12"/>
          <w:numId w:val="0"/>
        </w:numPr>
        <w:tabs>
          <w:tab w:val="left" w:pos="660"/>
          <w:tab w:val="left" w:pos="9415"/>
        </w:tabs>
        <w:ind w:left="-45"/>
        <w:rPr>
          <w:b/>
          <w:bCs/>
          <w:iCs/>
        </w:rPr>
      </w:pPr>
      <w:r>
        <w:rPr>
          <w:b/>
          <w:bCs/>
          <w:iCs/>
        </w:rPr>
        <w:t>III.iv.4.J</w:t>
      </w:r>
    </w:p>
    <w:p w:rsidR="005567F4" w:rsidRDefault="005567F4" w:rsidP="00D275EA">
      <w:pPr>
        <w:widowControl w:val="0"/>
        <w:numPr>
          <w:ilvl w:val="12"/>
          <w:numId w:val="0"/>
        </w:numPr>
        <w:tabs>
          <w:tab w:val="left" w:pos="660"/>
          <w:tab w:val="left" w:pos="9415"/>
        </w:tabs>
        <w:ind w:left="-45"/>
        <w:rPr>
          <w:b/>
          <w:u w:val="single"/>
        </w:rPr>
      </w:pPr>
    </w:p>
    <w:p w:rsidR="00D275EA" w:rsidRDefault="00D275EA" w:rsidP="00D275EA">
      <w:pPr>
        <w:widowControl w:val="0"/>
        <w:numPr>
          <w:ilvl w:val="12"/>
          <w:numId w:val="0"/>
        </w:numPr>
        <w:tabs>
          <w:tab w:val="left" w:pos="660"/>
          <w:tab w:val="left" w:pos="9415"/>
        </w:tabs>
        <w:ind w:left="-45"/>
        <w:rPr>
          <w:b/>
          <w:u w:val="single"/>
        </w:rPr>
      </w:pPr>
      <w:r w:rsidRPr="00453DE5">
        <w:rPr>
          <w:b/>
          <w:u w:val="single"/>
        </w:rPr>
        <w:t>4.116</w:t>
      </w:r>
      <w:r>
        <w:rPr>
          <w:b/>
          <w:u w:val="single"/>
        </w:rPr>
        <w:tab/>
        <w:t>Schedule of Ratings—Gynecological Conditions and Disorders of the Breast</w:t>
      </w:r>
    </w:p>
    <w:p w:rsidR="00D275EA" w:rsidRDefault="00D275EA" w:rsidP="00D275EA">
      <w:pPr>
        <w:widowControl w:val="0"/>
        <w:numPr>
          <w:ilvl w:val="12"/>
          <w:numId w:val="0"/>
        </w:numPr>
        <w:tabs>
          <w:tab w:val="left" w:pos="660"/>
          <w:tab w:val="left" w:pos="9415"/>
        </w:tabs>
        <w:ind w:left="-45"/>
        <w:rPr>
          <w:b/>
          <w:u w:val="single"/>
        </w:rPr>
      </w:pPr>
    </w:p>
    <w:p w:rsidR="00D275EA" w:rsidRDefault="00D275EA" w:rsidP="000674FA">
      <w:pPr>
        <w:widowControl w:val="0"/>
        <w:numPr>
          <w:ilvl w:val="12"/>
          <w:numId w:val="0"/>
        </w:numPr>
        <w:pBdr>
          <w:top w:val="single" w:sz="4" w:space="1" w:color="auto"/>
          <w:left w:val="single" w:sz="4" w:space="1" w:color="auto"/>
          <w:bottom w:val="single" w:sz="4" w:space="1" w:color="auto"/>
          <w:right w:val="single" w:sz="4" w:space="1" w:color="auto"/>
        </w:pBdr>
        <w:tabs>
          <w:tab w:val="left" w:pos="660"/>
          <w:tab w:val="left" w:pos="9415"/>
        </w:tabs>
        <w:rPr>
          <w:i/>
        </w:rPr>
      </w:pPr>
      <w:r>
        <w:rPr>
          <w:i/>
        </w:rPr>
        <w:t>changed 5/22/95 (DCs 7610-7629)</w:t>
      </w:r>
    </w:p>
    <w:p w:rsidR="000674FA" w:rsidRDefault="00ED0144" w:rsidP="000674FA">
      <w:pPr>
        <w:widowControl w:val="0"/>
        <w:pBdr>
          <w:top w:val="single" w:sz="4" w:space="1" w:color="auto"/>
          <w:left w:val="single" w:sz="4" w:space="1" w:color="auto"/>
          <w:bottom w:val="single" w:sz="4" w:space="1" w:color="auto"/>
          <w:right w:val="single" w:sz="4" w:space="1" w:color="auto"/>
        </w:pBdr>
        <w:rPr>
          <w:i/>
        </w:rPr>
      </w:pPr>
      <w:r w:rsidRPr="00BF49CF">
        <w:rPr>
          <w:i/>
        </w:rPr>
        <w:t>changed 5/13/18 (</w:t>
      </w:r>
      <w:r w:rsidR="00CA24DF" w:rsidRPr="00CA24DF">
        <w:rPr>
          <w:i/>
        </w:rPr>
        <w:t>https://www.gpo.gov/fdsys/pkg/FR-2018-04-09/pdf/2018-07081.pdf</w:t>
      </w:r>
      <w:r w:rsidR="00CA24DF">
        <w:rPr>
          <w:i/>
        </w:rPr>
        <w:t xml:space="preserve">, </w:t>
      </w:r>
      <w:r w:rsidR="007A0922" w:rsidRPr="00BF49CF">
        <w:rPr>
          <w:i/>
        </w:rPr>
        <w:t>changes name of 7610 to include clitoris</w:t>
      </w:r>
      <w:r w:rsidR="00D446C1" w:rsidRPr="00BF49CF">
        <w:rPr>
          <w:i/>
        </w:rPr>
        <w:t xml:space="preserve">; </w:t>
      </w:r>
      <w:r w:rsidR="007A0922" w:rsidRPr="00BF49CF">
        <w:rPr>
          <w:i/>
        </w:rPr>
        <w:t xml:space="preserve">adds note that 7615 includes dysmenorrhea &amp; </w:t>
      </w:r>
      <w:r w:rsidR="00D446C1" w:rsidRPr="00BF49CF">
        <w:rPr>
          <w:i/>
        </w:rPr>
        <w:t>amenorrhea</w:t>
      </w:r>
      <w:r w:rsidR="007A0922" w:rsidRPr="00BF49CF">
        <w:rPr>
          <w:i/>
        </w:rPr>
        <w:t>; adds note under 7619</w:t>
      </w:r>
      <w:r w:rsidR="00CA24DF">
        <w:rPr>
          <w:i/>
        </w:rPr>
        <w:t xml:space="preserve"> about paired organs</w:t>
      </w:r>
      <w:r w:rsidR="007A0922" w:rsidRPr="00BF49CF">
        <w:rPr>
          <w:i/>
        </w:rPr>
        <w:t>; changes 7621 to pelvic organ prolapse &amp; eval is 10% [can give separate GU, digestive &amp; skin evals</w:t>
      </w:r>
      <w:r w:rsidR="00B4721C">
        <w:rPr>
          <w:i/>
        </w:rPr>
        <w:t>, but cannot give more than one 7621</w:t>
      </w:r>
      <w:r w:rsidR="007A0922" w:rsidRPr="00BF49CF">
        <w:rPr>
          <w:i/>
        </w:rPr>
        <w:t xml:space="preserve">]; </w:t>
      </w:r>
      <w:r w:rsidR="00BF49CF" w:rsidRPr="00BF49CF">
        <w:rPr>
          <w:i/>
        </w:rPr>
        <w:t>changes 7627 &amp; 7628 so doesn’t include breast; adds 7630 &amp; 7631 for breast</w:t>
      </w:r>
      <w:r w:rsidR="00B4721C">
        <w:rPr>
          <w:i/>
        </w:rPr>
        <w:t xml:space="preserve"> (can get separate eval from other GYN cancer</w:t>
      </w:r>
      <w:r w:rsidR="002D7120">
        <w:rPr>
          <w:i/>
        </w:rPr>
        <w:t>; male veterans cannot get SMC for breast cancer</w:t>
      </w:r>
      <w:r w:rsidR="00B4721C">
        <w:rPr>
          <w:i/>
        </w:rPr>
        <w:t>)</w:t>
      </w:r>
      <w:r w:rsidR="00E837D3">
        <w:rPr>
          <w:i/>
        </w:rPr>
        <w:t xml:space="preserve">; adds 7632 for FSAD) </w:t>
      </w:r>
      <w:r w:rsidR="000674FA">
        <w:rPr>
          <w:i/>
        </w:rPr>
        <w:t xml:space="preserve">– </w:t>
      </w:r>
      <w:r w:rsidR="000674FA">
        <w:t xml:space="preserve">NOT LIBERALIZING, </w:t>
      </w:r>
      <w:r w:rsidR="000674FA" w:rsidRPr="000674FA">
        <w:rPr>
          <w:i/>
          <w:color w:val="00B050"/>
        </w:rPr>
        <w:t xml:space="preserve">My Notes:  </w:t>
      </w:r>
      <w:r w:rsidR="000674FA" w:rsidRPr="000674FA">
        <w:rPr>
          <w:i/>
        </w:rPr>
        <w:t>3.114 does not apply</w:t>
      </w:r>
      <w:r w:rsidR="000674FA">
        <w:rPr>
          <w:i/>
        </w:rPr>
        <w:t xml:space="preserve">, so </w:t>
      </w:r>
      <w:r w:rsidR="000674FA" w:rsidRPr="000674FA">
        <w:rPr>
          <w:i/>
        </w:rPr>
        <w:t>can’t grant increase based on new criteria prior to 5/13/18 (if filed before 5/13/18 or within a year of 5/13/18</w:t>
      </w:r>
      <w:r w:rsidR="002628B3">
        <w:rPr>
          <w:i/>
        </w:rPr>
        <w:t>)</w:t>
      </w:r>
      <w:r w:rsidR="000674FA" w:rsidRPr="000674FA">
        <w:rPr>
          <w:i/>
        </w:rPr>
        <w:t xml:space="preserve">, AND </w:t>
      </w:r>
      <w:r w:rsidR="000674FA">
        <w:rPr>
          <w:i/>
        </w:rPr>
        <w:t xml:space="preserve">can’t go one year prior to DOC </w:t>
      </w:r>
      <w:r w:rsidR="002628B3">
        <w:rPr>
          <w:i/>
        </w:rPr>
        <w:t>(</w:t>
      </w:r>
      <w:r w:rsidR="000674FA" w:rsidRPr="000674FA">
        <w:rPr>
          <w:i/>
        </w:rPr>
        <w:t>if file</w:t>
      </w:r>
      <w:r w:rsidR="000674FA">
        <w:rPr>
          <w:i/>
        </w:rPr>
        <w:t>d</w:t>
      </w:r>
      <w:r w:rsidR="000674FA" w:rsidRPr="000674FA">
        <w:rPr>
          <w:i/>
        </w:rPr>
        <w:t xml:space="preserve"> more than a year after 5/13/18, but had evidence of increase on 5/13/18</w:t>
      </w:r>
      <w:r w:rsidR="000674FA">
        <w:rPr>
          <w:i/>
        </w:rPr>
        <w:t>, still have to use DOC</w:t>
      </w:r>
      <w:r w:rsidR="002628B3">
        <w:rPr>
          <w:i/>
        </w:rPr>
        <w:t>)</w:t>
      </w:r>
      <w:r w:rsidR="000674FA">
        <w:rPr>
          <w:i/>
        </w:rPr>
        <w:t>. However, can use medical evidence of increase to take back to 5/13/18, if filed w/i 1 year &amp; medical evidence shows increase warranted on 5/13/18.</w:t>
      </w:r>
    </w:p>
    <w:p w:rsidR="00D275EA" w:rsidRDefault="00D275EA" w:rsidP="000674FA">
      <w:pPr>
        <w:widowControl w:val="0"/>
        <w:numPr>
          <w:ilvl w:val="12"/>
          <w:numId w:val="0"/>
        </w:numPr>
        <w:pBdr>
          <w:top w:val="single" w:sz="4" w:space="1" w:color="auto"/>
          <w:left w:val="single" w:sz="4" w:space="1" w:color="auto"/>
          <w:bottom w:val="single" w:sz="4" w:space="1" w:color="auto"/>
          <w:right w:val="single" w:sz="4" w:space="1" w:color="auto"/>
        </w:pBdr>
        <w:rPr>
          <w:i/>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4.116</w:t>
      </w:r>
      <w:r w:rsidR="00D11C3E">
        <w:rPr>
          <w:bCs/>
          <w:i/>
          <w:iCs/>
          <w:sz w:val="18"/>
        </w:rPr>
        <w:t>; or in CPKM</w:t>
      </w:r>
    </w:p>
    <w:p w:rsidR="00D275EA" w:rsidRDefault="00D275EA" w:rsidP="00D275EA">
      <w:pPr>
        <w:widowControl w:val="0"/>
        <w:numPr>
          <w:ilvl w:val="12"/>
          <w:numId w:val="0"/>
        </w:numPr>
        <w:tabs>
          <w:tab w:val="left" w:pos="660"/>
          <w:tab w:val="left" w:pos="9415"/>
        </w:tabs>
        <w:ind w:left="-45"/>
        <w:rPr>
          <w:b/>
          <w:i/>
        </w:rPr>
      </w:pPr>
    </w:p>
    <w:p w:rsidR="00D275EA" w:rsidRPr="00BB0880" w:rsidRDefault="00D571C5" w:rsidP="00F063AF">
      <w:pPr>
        <w:pStyle w:val="ListParagraph"/>
        <w:numPr>
          <w:ilvl w:val="0"/>
          <w:numId w:val="96"/>
        </w:numPr>
        <w:tabs>
          <w:tab w:val="clear" w:pos="675"/>
        </w:tabs>
        <w:spacing w:after="120" w:line="240" w:lineRule="auto"/>
        <w:ind w:left="360"/>
        <w:rPr>
          <w:rFonts w:asciiTheme="minorHAnsi" w:hAnsiTheme="minorHAnsi"/>
          <w:sz w:val="24"/>
          <w:szCs w:val="24"/>
        </w:rPr>
      </w:pPr>
      <w:hyperlink r:id="rId575" w:history="1">
        <w:r w:rsidR="00D275EA">
          <w:rPr>
            <w:rStyle w:val="Hyperlink"/>
            <w:rFonts w:asciiTheme="minorHAnsi" w:hAnsiTheme="minorHAnsi"/>
            <w:b/>
            <w:i/>
            <w:sz w:val="24"/>
            <w:szCs w:val="24"/>
          </w:rPr>
          <w:t>6/29/12 DBQ Call</w:t>
        </w:r>
      </w:hyperlink>
      <w:r w:rsidR="00D275EA" w:rsidRPr="00A13803">
        <w:rPr>
          <w:rFonts w:asciiTheme="minorHAnsi" w:hAnsiTheme="minorHAnsi"/>
          <w:sz w:val="24"/>
          <w:szCs w:val="24"/>
        </w:rPr>
        <w:t xml:space="preserve"> – </w:t>
      </w:r>
      <w:r w:rsidR="00D275EA" w:rsidRPr="00040476">
        <w:rPr>
          <w:rFonts w:asciiTheme="minorHAnsi" w:hAnsiTheme="minorHAnsi"/>
          <w:sz w:val="24"/>
        </w:rPr>
        <w:t>A hysterectomy means removal of the corpus.  Ovaries are covered separately.  We ask all of the pertinent questions, just not in one place. The Rating Schedule is written poorly.</w:t>
      </w:r>
    </w:p>
    <w:p w:rsidR="00D275EA" w:rsidRPr="008F06B1" w:rsidRDefault="00D275EA" w:rsidP="00F063AF">
      <w:pPr>
        <w:pStyle w:val="ListParagraph"/>
        <w:numPr>
          <w:ilvl w:val="0"/>
          <w:numId w:val="96"/>
        </w:numPr>
        <w:tabs>
          <w:tab w:val="clear" w:pos="675"/>
        </w:tabs>
        <w:spacing w:after="120" w:line="240" w:lineRule="auto"/>
        <w:ind w:left="360"/>
        <w:rPr>
          <w:rFonts w:asciiTheme="minorHAnsi" w:hAnsiTheme="minorHAnsi"/>
          <w:sz w:val="20"/>
          <w:szCs w:val="20"/>
        </w:rPr>
      </w:pPr>
      <w:r w:rsidRPr="006E501E">
        <w:rPr>
          <w:rFonts w:ascii="Arial" w:hAnsi="Arial"/>
          <w:b/>
          <w:i/>
          <w:sz w:val="20"/>
          <w:szCs w:val="20"/>
        </w:rPr>
        <w:t>April 2014 Compensation Service Bulletin (CSB)</w:t>
      </w:r>
      <w:r w:rsidRPr="00BB0880">
        <w:rPr>
          <w:rStyle w:val="Hyperlink"/>
          <w:rFonts w:ascii="Arial" w:hAnsi="Arial"/>
          <w:color w:val="auto"/>
          <w:sz w:val="20"/>
          <w:szCs w:val="20"/>
          <w:u w:val="none"/>
        </w:rPr>
        <w:t xml:space="preserve"> – discussion of Female Sexual Arousal Disorder (FSAD)</w:t>
      </w:r>
      <w:r>
        <w:rPr>
          <w:rStyle w:val="Hyperlink"/>
          <w:rFonts w:ascii="Arial" w:hAnsi="Arial"/>
          <w:color w:val="auto"/>
          <w:sz w:val="20"/>
          <w:szCs w:val="20"/>
          <w:u w:val="none"/>
        </w:rPr>
        <w:t xml:space="preserve">; </w:t>
      </w:r>
      <w:r w:rsidRPr="008F06B1">
        <w:rPr>
          <w:rStyle w:val="Hyperlink"/>
          <w:rFonts w:asciiTheme="minorHAnsi" w:hAnsiTheme="minorHAnsi"/>
          <w:color w:val="auto"/>
          <w:sz w:val="20"/>
          <w:szCs w:val="20"/>
          <w:u w:val="none"/>
        </w:rPr>
        <w:t xml:space="preserve">per VBMS Tips &amp; Tricks - 7699-7611, do not use EB &amp; use </w:t>
      </w:r>
      <w:r w:rsidRPr="008F06B1">
        <w:rPr>
          <w:rFonts w:asciiTheme="minorHAnsi" w:hAnsiTheme="minorHAnsi"/>
          <w:sz w:val="20"/>
          <w:szCs w:val="20"/>
        </w:rPr>
        <w:t xml:space="preserve">“A noncompensable evaluation is assigned for Female Sexual Arousal Disorder (FSAD). This is the maximum evaluation for this disability.” </w:t>
      </w:r>
    </w:p>
    <w:p w:rsidR="00D275EA" w:rsidRDefault="00473D27" w:rsidP="00F063AF">
      <w:pPr>
        <w:pStyle w:val="ListParagraph"/>
        <w:numPr>
          <w:ilvl w:val="0"/>
          <w:numId w:val="96"/>
        </w:numPr>
        <w:tabs>
          <w:tab w:val="clear" w:pos="675"/>
        </w:tabs>
        <w:spacing w:after="120" w:line="240" w:lineRule="auto"/>
        <w:ind w:left="360"/>
        <w:rPr>
          <w:rFonts w:ascii="Arial" w:hAnsi="Arial"/>
          <w:sz w:val="20"/>
          <w:szCs w:val="20"/>
        </w:rPr>
      </w:pPr>
      <w:r>
        <w:rPr>
          <w:rFonts w:ascii="Arial" w:hAnsi="Arial"/>
          <w:b/>
          <w:sz w:val="20"/>
          <w:szCs w:val="20"/>
        </w:rPr>
        <w:t>III.iv.4.J.1</w:t>
      </w:r>
      <w:r w:rsidR="002505D9" w:rsidRPr="002505D9">
        <w:rPr>
          <w:rFonts w:ascii="Arial" w:hAnsi="Arial"/>
          <w:b/>
          <w:sz w:val="20"/>
          <w:szCs w:val="20"/>
        </w:rPr>
        <w:t xml:space="preserve"> </w:t>
      </w:r>
      <w:r w:rsidR="00D275EA" w:rsidRPr="002505D9">
        <w:rPr>
          <w:rFonts w:ascii="Arial" w:hAnsi="Arial"/>
          <w:sz w:val="20"/>
          <w:szCs w:val="20"/>
        </w:rPr>
        <w:t xml:space="preserve">- Evaluate FSAD </w:t>
      </w:r>
      <w:r w:rsidR="00D275EA" w:rsidRPr="00BF49CF">
        <w:rPr>
          <w:rFonts w:ascii="Arial" w:hAnsi="Arial"/>
          <w:sz w:val="20"/>
          <w:szCs w:val="20"/>
          <w:highlight w:val="darkGray"/>
        </w:rPr>
        <w:t>analogously using DC 7699-7611</w:t>
      </w:r>
      <w:r w:rsidR="00BF49CF">
        <w:rPr>
          <w:rFonts w:ascii="Arial" w:hAnsi="Arial"/>
          <w:sz w:val="20"/>
          <w:szCs w:val="20"/>
        </w:rPr>
        <w:t xml:space="preserve"> (7632 as of 5/13/18</w:t>
      </w:r>
      <w:r w:rsidR="002D7120">
        <w:rPr>
          <w:rFonts w:ascii="Arial" w:hAnsi="Arial"/>
          <w:sz w:val="20"/>
          <w:szCs w:val="20"/>
        </w:rPr>
        <w:t xml:space="preserve">, </w:t>
      </w:r>
      <w:r w:rsidR="002D7120" w:rsidRPr="002D7120">
        <w:rPr>
          <w:rFonts w:ascii="Arial" w:hAnsi="Arial"/>
          <w:i/>
          <w:sz w:val="20"/>
        </w:rPr>
        <w:t>we need to update the DC on the codesheet</w:t>
      </w:r>
      <w:r w:rsidR="00BF49CF">
        <w:rPr>
          <w:rFonts w:ascii="Arial" w:hAnsi="Arial"/>
          <w:sz w:val="20"/>
          <w:szCs w:val="20"/>
        </w:rPr>
        <w:t>)</w:t>
      </w:r>
      <w:r w:rsidR="00D275EA" w:rsidRPr="002505D9">
        <w:rPr>
          <w:rFonts w:ascii="Arial" w:hAnsi="Arial"/>
          <w:sz w:val="20"/>
          <w:szCs w:val="20"/>
        </w:rPr>
        <w:t xml:space="preserve"> with a 0 percent</w:t>
      </w:r>
      <w:r w:rsidR="00D275EA" w:rsidRPr="00021A34">
        <w:rPr>
          <w:rFonts w:ascii="Arial" w:hAnsi="Arial"/>
          <w:sz w:val="20"/>
          <w:szCs w:val="20"/>
        </w:rPr>
        <w:t xml:space="preserve"> evaluation.  This is the maximum evaluation available for FSAD. </w:t>
      </w:r>
      <w:r w:rsidR="00D275EA">
        <w:rPr>
          <w:rFonts w:ascii="Arial" w:hAnsi="Arial"/>
          <w:sz w:val="20"/>
          <w:szCs w:val="20"/>
        </w:rPr>
        <w:t xml:space="preserve"> Grant SMC K for LOU.</w:t>
      </w:r>
      <w:r>
        <w:rPr>
          <w:rFonts w:ascii="Arial" w:hAnsi="Arial"/>
          <w:sz w:val="20"/>
          <w:szCs w:val="20"/>
        </w:rPr>
        <w:t xml:space="preserve"> </w:t>
      </w:r>
      <w:r w:rsidR="002D7120">
        <w:rPr>
          <w:rFonts w:ascii="Arial" w:hAnsi="Arial"/>
          <w:sz w:val="20"/>
          <w:szCs w:val="20"/>
        </w:rPr>
        <w:t>FSAD is within the scope of a GYN</w:t>
      </w:r>
      <w:r>
        <w:rPr>
          <w:rFonts w:ascii="Arial" w:hAnsi="Arial"/>
          <w:sz w:val="20"/>
          <w:szCs w:val="20"/>
        </w:rPr>
        <w:t xml:space="preserve"> claim if we have a positive medical opinion.</w:t>
      </w:r>
      <w:r w:rsidR="00E837D3">
        <w:rPr>
          <w:rFonts w:ascii="Arial" w:hAnsi="Arial"/>
          <w:sz w:val="20"/>
          <w:szCs w:val="20"/>
        </w:rPr>
        <w:t xml:space="preserve"> Federal Register &amp; TMS training:  </w:t>
      </w:r>
      <w:r w:rsidR="00E837D3" w:rsidRPr="00E837D3">
        <w:rPr>
          <w:rFonts w:ascii="Arial" w:hAnsi="Arial"/>
          <w:sz w:val="20"/>
        </w:rPr>
        <w:t xml:space="preserve">FSAD under 7632 is separate from a DSM-5 FSAD diagnosis, which should be evaluated under 4.130, FSAD dx by mental examiner cannot be used for SC under 7632; also cannot use </w:t>
      </w:r>
      <w:r w:rsidR="00E837D3">
        <w:rPr>
          <w:rFonts w:ascii="Arial" w:hAnsi="Arial"/>
          <w:sz w:val="20"/>
        </w:rPr>
        <w:t xml:space="preserve">FSAD </w:t>
      </w:r>
      <w:r w:rsidR="00E837D3" w:rsidRPr="00E837D3">
        <w:rPr>
          <w:rFonts w:ascii="Arial" w:hAnsi="Arial"/>
          <w:sz w:val="20"/>
        </w:rPr>
        <w:t>dx in a DM exam, need GYN exam (could use PTRs, if sufficient)</w:t>
      </w:r>
      <w:r w:rsidR="00C316AB">
        <w:rPr>
          <w:rFonts w:ascii="Arial" w:hAnsi="Arial"/>
          <w:sz w:val="20"/>
        </w:rPr>
        <w:t>; “sexual dysfunction” is not a disability if not diagnosed as FSAD</w:t>
      </w:r>
    </w:p>
    <w:p w:rsidR="0086258A" w:rsidRPr="0086258A" w:rsidRDefault="00D571C5" w:rsidP="00F063AF">
      <w:pPr>
        <w:pStyle w:val="ListParagraph"/>
        <w:numPr>
          <w:ilvl w:val="0"/>
          <w:numId w:val="96"/>
        </w:numPr>
        <w:tabs>
          <w:tab w:val="clear" w:pos="675"/>
        </w:tabs>
        <w:spacing w:after="120" w:line="240" w:lineRule="auto"/>
        <w:ind w:left="360"/>
        <w:rPr>
          <w:rFonts w:ascii="Arial" w:hAnsi="Arial"/>
          <w:sz w:val="20"/>
          <w:szCs w:val="20"/>
        </w:rPr>
      </w:pPr>
      <w:hyperlink r:id="rId576" w:history="1">
        <w:r w:rsidR="00D275EA" w:rsidRPr="003F619B">
          <w:rPr>
            <w:rStyle w:val="Hyperlink"/>
            <w:rFonts w:ascii="Arial" w:hAnsi="Arial"/>
            <w:b/>
            <w:bCs/>
            <w:i/>
            <w:sz w:val="20"/>
            <w:szCs w:val="20"/>
          </w:rPr>
          <w:t>August 2016 Quality Call Notes</w:t>
        </w:r>
      </w:hyperlink>
      <w:r w:rsidR="00D275EA" w:rsidRPr="003F619B">
        <w:rPr>
          <w:rFonts w:ascii="Arial" w:hAnsi="Arial"/>
          <w:i/>
          <w:sz w:val="20"/>
          <w:szCs w:val="20"/>
        </w:rPr>
        <w:t xml:space="preserve"> </w:t>
      </w:r>
      <w:r w:rsidR="00D275EA" w:rsidRPr="003F619B">
        <w:rPr>
          <w:rFonts w:ascii="Arial" w:eastAsiaTheme="minorHAnsi" w:hAnsi="Arial"/>
          <w:sz w:val="20"/>
          <w:szCs w:val="20"/>
        </w:rPr>
        <w:t>– cannot do ACE exam for FSAD</w:t>
      </w:r>
      <w:r w:rsidR="00D275EA">
        <w:rPr>
          <w:rFonts w:ascii="Arial" w:eastAsiaTheme="minorHAnsi" w:hAnsi="Arial"/>
          <w:sz w:val="20"/>
          <w:szCs w:val="20"/>
        </w:rPr>
        <w:t>, an in-person exam is required</w:t>
      </w:r>
    </w:p>
    <w:p w:rsidR="0086258A" w:rsidRPr="0086258A" w:rsidRDefault="0086258A" w:rsidP="00F063AF">
      <w:pPr>
        <w:pStyle w:val="ListParagraph"/>
        <w:numPr>
          <w:ilvl w:val="0"/>
          <w:numId w:val="96"/>
        </w:numPr>
        <w:tabs>
          <w:tab w:val="clear" w:pos="675"/>
        </w:tabs>
        <w:spacing w:after="120" w:line="240" w:lineRule="auto"/>
        <w:ind w:left="360"/>
        <w:rPr>
          <w:rFonts w:ascii="Arial" w:hAnsi="Arial"/>
          <w:sz w:val="18"/>
          <w:szCs w:val="20"/>
        </w:rPr>
      </w:pPr>
      <w:r w:rsidRPr="0086258A">
        <w:rPr>
          <w:rFonts w:ascii="Arial" w:eastAsiaTheme="minorHAnsi" w:hAnsi="Arial"/>
          <w:sz w:val="20"/>
          <w:szCs w:val="20"/>
        </w:rPr>
        <w:t>Prior to 4/17 (</w:t>
      </w:r>
      <w:hyperlink r:id="rId577" w:history="1">
        <w:r w:rsidRPr="0086258A">
          <w:rPr>
            <w:rStyle w:val="Hyperlink"/>
            <w:rFonts w:ascii="Arial" w:hAnsi="Arial"/>
            <w:b/>
            <w:bCs/>
            <w:i/>
            <w:sz w:val="20"/>
            <w:szCs w:val="20"/>
          </w:rPr>
          <w:t>April 2017 Quality Call Notes</w:t>
        </w:r>
      </w:hyperlink>
      <w:r w:rsidRPr="0086258A">
        <w:rPr>
          <w:rStyle w:val="Hyperlink"/>
          <w:rFonts w:ascii="Arial" w:hAnsi="Arial"/>
          <w:bCs/>
          <w:color w:val="auto"/>
          <w:sz w:val="20"/>
          <w:szCs w:val="20"/>
          <w:u w:val="none"/>
        </w:rPr>
        <w:t xml:space="preserve">) </w:t>
      </w:r>
      <w:r w:rsidRPr="0086258A">
        <w:rPr>
          <w:rFonts w:ascii="Arial" w:eastAsiaTheme="minorHAnsi" w:hAnsi="Arial"/>
          <w:sz w:val="20"/>
          <w:szCs w:val="20"/>
        </w:rPr>
        <w:t>gynecomastia was</w:t>
      </w:r>
      <w:r>
        <w:rPr>
          <w:rFonts w:ascii="Arial" w:eastAsiaTheme="minorHAnsi" w:hAnsi="Arial"/>
          <w:sz w:val="20"/>
          <w:szCs w:val="20"/>
        </w:rPr>
        <w:t xml:space="preserve"> not an actual disability,</w:t>
      </w:r>
      <w:r w:rsidRPr="0086258A">
        <w:rPr>
          <w:i/>
          <w:iCs/>
        </w:rPr>
        <w:t xml:space="preserve"> </w:t>
      </w:r>
      <w:r w:rsidRPr="0086258A">
        <w:rPr>
          <w:rFonts w:ascii="Arial" w:hAnsi="Arial"/>
          <w:iCs/>
          <w:sz w:val="20"/>
        </w:rPr>
        <w:t xml:space="preserve">and gynecomastia surgery scars </w:t>
      </w:r>
      <w:r w:rsidRPr="0086258A">
        <w:rPr>
          <w:rFonts w:ascii="Arial" w:hAnsi="Arial"/>
          <w:sz w:val="20"/>
        </w:rPr>
        <w:t>without unexpected, disabling residuals, was</w:t>
      </w:r>
      <w:r>
        <w:rPr>
          <w:rFonts w:ascii="Arial" w:hAnsi="Arial"/>
          <w:sz w:val="20"/>
        </w:rPr>
        <w:t xml:space="preserve"> elective surgery; added to </w:t>
      </w:r>
      <w:r>
        <w:rPr>
          <w:rFonts w:ascii="Arial" w:hAnsi="Arial"/>
          <w:b/>
          <w:sz w:val="20"/>
          <w:szCs w:val="20"/>
        </w:rPr>
        <w:t>III.iv.4.J.3.3</w:t>
      </w:r>
      <w:r>
        <w:rPr>
          <w:rFonts w:ascii="Arial" w:hAnsi="Arial"/>
          <w:sz w:val="20"/>
        </w:rPr>
        <w:t xml:space="preserve"> on 5/14/18 – use 7626 (0% max), 7631 or 7804/7805</w:t>
      </w:r>
    </w:p>
    <w:p w:rsidR="00E32E82" w:rsidRPr="00E32E82" w:rsidRDefault="008F1ACE" w:rsidP="00F063AF">
      <w:pPr>
        <w:pStyle w:val="ListParagraph"/>
        <w:numPr>
          <w:ilvl w:val="0"/>
          <w:numId w:val="96"/>
        </w:numPr>
        <w:tabs>
          <w:tab w:val="clear" w:pos="675"/>
          <w:tab w:val="num" w:pos="360"/>
        </w:tabs>
        <w:spacing w:after="120" w:line="240" w:lineRule="auto"/>
        <w:ind w:left="360"/>
        <w:rPr>
          <w:rFonts w:ascii="Arial" w:hAnsi="Arial"/>
          <w:b/>
          <w:bCs/>
          <w:sz w:val="20"/>
          <w:szCs w:val="20"/>
        </w:rPr>
      </w:pPr>
      <w:r w:rsidRPr="00E32E82">
        <w:rPr>
          <w:rFonts w:ascii="Arial" w:hAnsi="Arial"/>
          <w:b/>
          <w:bCs/>
          <w:sz w:val="20"/>
        </w:rPr>
        <w:t>From:</w:t>
      </w:r>
      <w:r w:rsidRPr="008F1ACE">
        <w:rPr>
          <w:rFonts w:ascii="Arial" w:hAnsi="Arial"/>
          <w:sz w:val="20"/>
        </w:rPr>
        <w:t xml:space="preserve"> VAVBASDC/RO/VSC </w:t>
      </w:r>
      <w:r w:rsidRPr="008F1ACE">
        <w:rPr>
          <w:rFonts w:ascii="Arial" w:hAnsi="Arial"/>
          <w:sz w:val="20"/>
        </w:rPr>
        <w:br/>
      </w:r>
      <w:r w:rsidRPr="00E32E82">
        <w:rPr>
          <w:rFonts w:ascii="Arial" w:hAnsi="Arial"/>
          <w:b/>
          <w:bCs/>
          <w:sz w:val="20"/>
        </w:rPr>
        <w:t>Sent:</w:t>
      </w:r>
      <w:r w:rsidRPr="008F1ACE">
        <w:rPr>
          <w:rFonts w:ascii="Arial" w:hAnsi="Arial"/>
          <w:sz w:val="20"/>
        </w:rPr>
        <w:t xml:space="preserve"> Monday, May 14, 2018 1:11 PM</w:t>
      </w:r>
      <w:r w:rsidRPr="008F1ACE">
        <w:rPr>
          <w:rFonts w:ascii="Arial" w:hAnsi="Arial"/>
          <w:sz w:val="20"/>
        </w:rPr>
        <w:br/>
      </w:r>
      <w:r w:rsidRPr="00E32E82">
        <w:rPr>
          <w:rFonts w:ascii="Arial" w:hAnsi="Arial"/>
          <w:b/>
          <w:bCs/>
          <w:sz w:val="20"/>
        </w:rPr>
        <w:t>Subject:</w:t>
      </w:r>
      <w:r w:rsidRPr="008F1ACE">
        <w:rPr>
          <w:rFonts w:ascii="Arial" w:hAnsi="Arial"/>
          <w:sz w:val="20"/>
        </w:rPr>
        <w:t xml:space="preserve"> FW: Q-Tip: Revised Rating Schedule Criteria for Gynecological Conditions &amp; Disord</w:t>
      </w:r>
      <w:r w:rsidR="00E32E82">
        <w:rPr>
          <w:rFonts w:ascii="Arial" w:hAnsi="Arial"/>
          <w:sz w:val="20"/>
        </w:rPr>
        <w:t>ers of the Breast</w:t>
      </w:r>
    </w:p>
    <w:p w:rsidR="008F1ACE" w:rsidRPr="00E32E82" w:rsidRDefault="008F1ACE" w:rsidP="00E32E82">
      <w:pPr>
        <w:tabs>
          <w:tab w:val="num" w:pos="360"/>
        </w:tabs>
        <w:spacing w:after="120"/>
        <w:ind w:left="360"/>
        <w:rPr>
          <w:b/>
          <w:bCs/>
        </w:rPr>
      </w:pPr>
      <w:r w:rsidRPr="00E32E82">
        <w:rPr>
          <w:b/>
          <w:bCs/>
        </w:rPr>
        <w:t>Q-Tip:  Revised Rating Schedule Criteria for Gynecological Conditions and Disorders of the Breast</w:t>
      </w:r>
    </w:p>
    <w:p w:rsidR="008F1ACE" w:rsidRPr="008F1ACE" w:rsidRDefault="008F1ACE" w:rsidP="008F1ACE">
      <w:pPr>
        <w:spacing w:after="120"/>
        <w:ind w:left="360"/>
        <w:rPr>
          <w:b/>
          <w:bCs/>
        </w:rPr>
      </w:pPr>
      <w:r w:rsidRPr="008F1ACE">
        <w:rPr>
          <w:b/>
          <w:bCs/>
        </w:rPr>
        <w:t>Target Audience:  RVSRs and DROs</w:t>
      </w:r>
    </w:p>
    <w:p w:rsidR="008F1ACE" w:rsidRPr="008F1ACE" w:rsidRDefault="008F1ACE" w:rsidP="008F1ACE">
      <w:pPr>
        <w:spacing w:after="120"/>
        <w:ind w:left="360"/>
      </w:pPr>
      <w:r w:rsidRPr="008F1ACE">
        <w:t xml:space="preserve">The Rating Schedule criteria for the Endocrine System, 38 CFR 4.116, was revised </w:t>
      </w:r>
      <w:r w:rsidRPr="008F1ACE">
        <w:rPr>
          <w:b/>
          <w:bCs/>
        </w:rPr>
        <w:t>effective May 13, 2018</w:t>
      </w:r>
      <w:r w:rsidRPr="008F1ACE">
        <w:t>.</w:t>
      </w:r>
    </w:p>
    <w:p w:rsidR="008F1ACE" w:rsidRPr="008F1ACE" w:rsidRDefault="008F1ACE" w:rsidP="008F1ACE">
      <w:pPr>
        <w:spacing w:after="120"/>
        <w:ind w:left="360"/>
      </w:pPr>
      <w:r w:rsidRPr="008F1ACE">
        <w:t xml:space="preserve">The revised evaluation criteria can be viewed </w:t>
      </w:r>
      <w:hyperlink r:id="rId578" w:history="1">
        <w:r w:rsidRPr="008F1ACE">
          <w:rPr>
            <w:rStyle w:val="Hyperlink"/>
          </w:rPr>
          <w:t>here</w:t>
        </w:r>
      </w:hyperlink>
      <w:r w:rsidRPr="008F1ACE">
        <w:t xml:space="preserve"> (pdf version) and soon at </w:t>
      </w:r>
      <w:hyperlink r:id="rId579" w:anchor="se38.1.4_1116" w:history="1">
        <w:r w:rsidRPr="008F1ACE">
          <w:rPr>
            <w:rStyle w:val="Hyperlink"/>
          </w:rPr>
          <w:t>e-CFR</w:t>
        </w:r>
      </w:hyperlink>
      <w:r w:rsidRPr="008F1ACE">
        <w:t xml:space="preserve"> (if not so already).</w:t>
      </w:r>
    </w:p>
    <w:p w:rsidR="008F1ACE" w:rsidRPr="008F1ACE" w:rsidRDefault="008F1ACE" w:rsidP="008F1ACE">
      <w:pPr>
        <w:spacing w:after="120"/>
        <w:ind w:left="360"/>
      </w:pPr>
      <w:r w:rsidRPr="008F1ACE">
        <w:rPr>
          <w:u w:val="single"/>
        </w:rPr>
        <w:t>Overview of Changes</w:t>
      </w:r>
    </w:p>
    <w:p w:rsidR="008F1ACE" w:rsidRPr="008F1ACE" w:rsidRDefault="008F1ACE" w:rsidP="00F063AF">
      <w:pPr>
        <w:pStyle w:val="PlainText"/>
        <w:numPr>
          <w:ilvl w:val="0"/>
          <w:numId w:val="431"/>
        </w:numPr>
        <w:rPr>
          <w:rFonts w:ascii="Arial" w:hAnsi="Arial" w:cs="Arial"/>
          <w:sz w:val="20"/>
          <w:szCs w:val="20"/>
        </w:rPr>
      </w:pPr>
      <w:r w:rsidRPr="008F1ACE">
        <w:rPr>
          <w:rFonts w:ascii="Arial" w:hAnsi="Arial" w:cs="Arial"/>
          <w:sz w:val="20"/>
          <w:szCs w:val="20"/>
        </w:rPr>
        <w:t>Name changes to some diagnostic codes to reflect current medical terminology</w:t>
      </w:r>
    </w:p>
    <w:p w:rsidR="008F1ACE" w:rsidRPr="008F1ACE" w:rsidRDefault="008F1ACE" w:rsidP="00F063AF">
      <w:pPr>
        <w:pStyle w:val="PlainText"/>
        <w:numPr>
          <w:ilvl w:val="0"/>
          <w:numId w:val="431"/>
        </w:numPr>
        <w:rPr>
          <w:rFonts w:ascii="Arial" w:hAnsi="Arial" w:cs="Arial"/>
          <w:sz w:val="20"/>
          <w:szCs w:val="20"/>
        </w:rPr>
      </w:pPr>
      <w:r w:rsidRPr="008F1ACE">
        <w:rPr>
          <w:rFonts w:ascii="Arial" w:hAnsi="Arial" w:cs="Arial"/>
          <w:sz w:val="20"/>
          <w:szCs w:val="20"/>
        </w:rPr>
        <w:t>Added new rating criteria to some diagnostic codes</w:t>
      </w:r>
    </w:p>
    <w:p w:rsidR="008F1ACE" w:rsidRPr="008F1ACE" w:rsidRDefault="008F1ACE" w:rsidP="00F063AF">
      <w:pPr>
        <w:pStyle w:val="PlainText"/>
        <w:numPr>
          <w:ilvl w:val="0"/>
          <w:numId w:val="431"/>
        </w:numPr>
        <w:rPr>
          <w:rFonts w:ascii="Arial" w:hAnsi="Arial" w:cs="Arial"/>
          <w:sz w:val="20"/>
          <w:szCs w:val="20"/>
        </w:rPr>
      </w:pPr>
      <w:r w:rsidRPr="008F1ACE">
        <w:rPr>
          <w:rFonts w:ascii="Arial" w:hAnsi="Arial" w:cs="Arial"/>
          <w:sz w:val="20"/>
          <w:szCs w:val="20"/>
        </w:rPr>
        <w:t>Added notes to some diagnostic codes for further clarification</w:t>
      </w:r>
    </w:p>
    <w:p w:rsidR="008F1ACE" w:rsidRPr="008F1ACE" w:rsidRDefault="008F1ACE" w:rsidP="00F063AF">
      <w:pPr>
        <w:pStyle w:val="PlainText"/>
        <w:numPr>
          <w:ilvl w:val="1"/>
          <w:numId w:val="431"/>
        </w:numPr>
        <w:rPr>
          <w:rFonts w:ascii="Arial" w:hAnsi="Arial" w:cs="Arial"/>
          <w:sz w:val="20"/>
          <w:szCs w:val="20"/>
        </w:rPr>
      </w:pPr>
      <w:r w:rsidRPr="008F1ACE">
        <w:rPr>
          <w:rFonts w:ascii="Arial" w:hAnsi="Arial" w:cs="Arial"/>
          <w:sz w:val="20"/>
          <w:szCs w:val="20"/>
        </w:rPr>
        <w:t>DC 7619 (Ovary, removal of) – In cases of the removal of one ovary as the result of a service-connected injury or disease, with the absence or nonfunctioning of a second ovary unrelated to service, an evaluation of 30 percent will be assigned for the service-connected ovarian loss – Change made to provide parity to male Veterans rated under DC 7524 (Testis, removal)</w:t>
      </w:r>
    </w:p>
    <w:p w:rsidR="008F1ACE" w:rsidRPr="008F1ACE" w:rsidRDefault="008F1ACE" w:rsidP="00F063AF">
      <w:pPr>
        <w:pStyle w:val="PlainText"/>
        <w:numPr>
          <w:ilvl w:val="0"/>
          <w:numId w:val="431"/>
        </w:numPr>
        <w:rPr>
          <w:rFonts w:ascii="Arial" w:hAnsi="Arial" w:cs="Arial"/>
          <w:sz w:val="20"/>
          <w:szCs w:val="20"/>
        </w:rPr>
      </w:pPr>
      <w:r w:rsidRPr="008F1ACE">
        <w:rPr>
          <w:rFonts w:ascii="Arial" w:hAnsi="Arial" w:cs="Arial"/>
          <w:sz w:val="20"/>
          <w:szCs w:val="20"/>
        </w:rPr>
        <w:t>Added three new diagnostic codes</w:t>
      </w:r>
    </w:p>
    <w:p w:rsidR="008F1ACE" w:rsidRPr="008F1ACE" w:rsidRDefault="008F1ACE" w:rsidP="00F063AF">
      <w:pPr>
        <w:pStyle w:val="PlainText"/>
        <w:numPr>
          <w:ilvl w:val="1"/>
          <w:numId w:val="431"/>
        </w:numPr>
        <w:rPr>
          <w:rFonts w:ascii="Arial" w:hAnsi="Arial" w:cs="Arial"/>
          <w:sz w:val="20"/>
          <w:szCs w:val="20"/>
        </w:rPr>
      </w:pPr>
      <w:r w:rsidRPr="008F1ACE">
        <w:rPr>
          <w:rFonts w:ascii="Arial" w:hAnsi="Arial" w:cs="Arial"/>
          <w:sz w:val="20"/>
          <w:szCs w:val="20"/>
        </w:rPr>
        <w:t>7630 – Malignant neoplasms of the breast</w:t>
      </w:r>
    </w:p>
    <w:p w:rsidR="008F1ACE" w:rsidRPr="008F1ACE" w:rsidRDefault="008F1ACE" w:rsidP="00F063AF">
      <w:pPr>
        <w:pStyle w:val="PlainText"/>
        <w:numPr>
          <w:ilvl w:val="2"/>
          <w:numId w:val="431"/>
        </w:numPr>
        <w:rPr>
          <w:rFonts w:ascii="Arial" w:hAnsi="Arial" w:cs="Arial"/>
          <w:sz w:val="20"/>
          <w:szCs w:val="20"/>
        </w:rPr>
      </w:pPr>
      <w:r w:rsidRPr="008F1ACE">
        <w:rPr>
          <w:rFonts w:ascii="Arial" w:hAnsi="Arial" w:cs="Arial"/>
          <w:sz w:val="20"/>
          <w:szCs w:val="20"/>
        </w:rPr>
        <w:t>Previously combined with malignant neoplasms of the gynecological system under DC 7627</w:t>
      </w:r>
    </w:p>
    <w:p w:rsidR="008F1ACE" w:rsidRPr="008F1ACE" w:rsidRDefault="008F1ACE" w:rsidP="00F063AF">
      <w:pPr>
        <w:pStyle w:val="PlainText"/>
        <w:numPr>
          <w:ilvl w:val="1"/>
          <w:numId w:val="431"/>
        </w:numPr>
        <w:rPr>
          <w:rFonts w:ascii="Arial" w:hAnsi="Arial" w:cs="Arial"/>
          <w:sz w:val="20"/>
          <w:szCs w:val="20"/>
        </w:rPr>
      </w:pPr>
      <w:r w:rsidRPr="008F1ACE">
        <w:rPr>
          <w:rFonts w:ascii="Arial" w:hAnsi="Arial" w:cs="Arial"/>
          <w:sz w:val="20"/>
          <w:szCs w:val="20"/>
        </w:rPr>
        <w:t>7631 – Benign neoplasms of the breast</w:t>
      </w:r>
    </w:p>
    <w:p w:rsidR="008F1ACE" w:rsidRPr="008F1ACE" w:rsidRDefault="008F1ACE" w:rsidP="00F063AF">
      <w:pPr>
        <w:pStyle w:val="PlainText"/>
        <w:numPr>
          <w:ilvl w:val="2"/>
          <w:numId w:val="431"/>
        </w:numPr>
        <w:rPr>
          <w:rFonts w:ascii="Arial" w:hAnsi="Arial" w:cs="Arial"/>
          <w:sz w:val="20"/>
          <w:szCs w:val="20"/>
        </w:rPr>
      </w:pPr>
      <w:r w:rsidRPr="008F1ACE">
        <w:rPr>
          <w:rFonts w:ascii="Arial" w:hAnsi="Arial" w:cs="Arial"/>
          <w:sz w:val="20"/>
          <w:szCs w:val="20"/>
        </w:rPr>
        <w:t>Previously combined with malignant neoplasms of the gynecological system under DC 7628</w:t>
      </w:r>
    </w:p>
    <w:p w:rsidR="008F1ACE" w:rsidRPr="008F1ACE" w:rsidRDefault="008F1ACE" w:rsidP="00F063AF">
      <w:pPr>
        <w:pStyle w:val="PlainText"/>
        <w:numPr>
          <w:ilvl w:val="1"/>
          <w:numId w:val="431"/>
        </w:numPr>
        <w:rPr>
          <w:rFonts w:ascii="Arial" w:hAnsi="Arial" w:cs="Arial"/>
          <w:sz w:val="20"/>
          <w:szCs w:val="20"/>
        </w:rPr>
      </w:pPr>
      <w:r w:rsidRPr="008F1ACE">
        <w:rPr>
          <w:rFonts w:ascii="Arial" w:hAnsi="Arial" w:cs="Arial"/>
          <w:sz w:val="20"/>
          <w:szCs w:val="20"/>
        </w:rPr>
        <w:t>7632 – Female sexual arousal disorder (FSAD)</w:t>
      </w:r>
    </w:p>
    <w:p w:rsidR="008F1ACE" w:rsidRPr="008F1ACE" w:rsidRDefault="008F1ACE" w:rsidP="00F063AF">
      <w:pPr>
        <w:pStyle w:val="PlainText"/>
        <w:numPr>
          <w:ilvl w:val="2"/>
          <w:numId w:val="431"/>
        </w:numPr>
        <w:rPr>
          <w:rFonts w:ascii="Arial" w:hAnsi="Arial" w:cs="Arial"/>
          <w:sz w:val="20"/>
          <w:szCs w:val="20"/>
        </w:rPr>
      </w:pPr>
      <w:r w:rsidRPr="008F1ACE">
        <w:rPr>
          <w:rFonts w:ascii="Arial" w:hAnsi="Arial" w:cs="Arial"/>
          <w:sz w:val="20"/>
          <w:szCs w:val="20"/>
        </w:rPr>
        <w:t>Previously rated analogous to disease or injury of the vagina under DC 7611</w:t>
      </w:r>
    </w:p>
    <w:p w:rsidR="008F1ACE" w:rsidRPr="008F1ACE" w:rsidRDefault="008F1ACE" w:rsidP="00F063AF">
      <w:pPr>
        <w:pStyle w:val="PlainText"/>
        <w:numPr>
          <w:ilvl w:val="0"/>
          <w:numId w:val="431"/>
        </w:numPr>
        <w:rPr>
          <w:rFonts w:ascii="Arial" w:hAnsi="Arial" w:cs="Arial"/>
          <w:sz w:val="20"/>
          <w:szCs w:val="20"/>
        </w:rPr>
      </w:pPr>
      <w:r w:rsidRPr="008F1ACE">
        <w:rPr>
          <w:rFonts w:ascii="Arial" w:hAnsi="Arial" w:cs="Arial"/>
          <w:sz w:val="20"/>
          <w:szCs w:val="20"/>
        </w:rPr>
        <w:t>Removed DCs 7622 and 7623 and combined with DC 7621</w:t>
      </w:r>
    </w:p>
    <w:p w:rsidR="008F1ACE" w:rsidRPr="008F1ACE" w:rsidRDefault="008F1ACE" w:rsidP="00F063AF">
      <w:pPr>
        <w:pStyle w:val="PlainText"/>
        <w:numPr>
          <w:ilvl w:val="1"/>
          <w:numId w:val="431"/>
        </w:numPr>
        <w:rPr>
          <w:rFonts w:ascii="Arial" w:hAnsi="Arial" w:cs="Arial"/>
          <w:sz w:val="20"/>
          <w:szCs w:val="20"/>
        </w:rPr>
      </w:pPr>
      <w:r w:rsidRPr="008F1ACE">
        <w:rPr>
          <w:rFonts w:ascii="Arial" w:hAnsi="Arial" w:cs="Arial"/>
          <w:sz w:val="20"/>
          <w:szCs w:val="20"/>
        </w:rPr>
        <w:t>Name changed to “Complete or incomplete pelvic organ prolapse due to injury, disease, or surgical complications of pregnancy”</w:t>
      </w:r>
    </w:p>
    <w:p w:rsidR="008F1ACE" w:rsidRPr="008F1ACE" w:rsidRDefault="008F1ACE" w:rsidP="00F063AF">
      <w:pPr>
        <w:pStyle w:val="PlainText"/>
        <w:numPr>
          <w:ilvl w:val="1"/>
          <w:numId w:val="431"/>
        </w:numPr>
        <w:rPr>
          <w:rFonts w:ascii="Arial" w:hAnsi="Arial" w:cs="Arial"/>
          <w:sz w:val="20"/>
          <w:szCs w:val="20"/>
        </w:rPr>
      </w:pPr>
      <w:r w:rsidRPr="008F1ACE">
        <w:rPr>
          <w:rFonts w:ascii="Arial" w:hAnsi="Arial" w:cs="Arial"/>
          <w:sz w:val="20"/>
          <w:szCs w:val="20"/>
        </w:rPr>
        <w:t>Single 10 percent evaluation for condition</w:t>
      </w:r>
    </w:p>
    <w:p w:rsidR="008F1ACE" w:rsidRPr="008F1ACE" w:rsidRDefault="008F1ACE" w:rsidP="00F063AF">
      <w:pPr>
        <w:pStyle w:val="PlainText"/>
        <w:numPr>
          <w:ilvl w:val="1"/>
          <w:numId w:val="431"/>
        </w:numPr>
        <w:rPr>
          <w:rFonts w:ascii="Arial" w:hAnsi="Arial" w:cs="Arial"/>
          <w:sz w:val="20"/>
          <w:szCs w:val="20"/>
        </w:rPr>
      </w:pPr>
      <w:r w:rsidRPr="008F1ACE">
        <w:rPr>
          <w:rFonts w:ascii="Arial" w:hAnsi="Arial" w:cs="Arial"/>
          <w:sz w:val="20"/>
          <w:szCs w:val="20"/>
        </w:rPr>
        <w:t>Note added to define pelvic organ prolapse, identify symptoms/conditions associated with prolapse, and direct rating personnel to separately evaluate any genitourinary, digestive, or skin symptoms under the appropriate diagnostic code and combine all evaluations with the 10 percent evaluation under DC 7621</w:t>
      </w:r>
    </w:p>
    <w:p w:rsidR="008F1ACE" w:rsidRPr="008F1ACE" w:rsidRDefault="008F1ACE" w:rsidP="008F1ACE">
      <w:pPr>
        <w:pStyle w:val="PlainText"/>
        <w:rPr>
          <w:rFonts w:ascii="Arial" w:hAnsi="Arial" w:cs="Arial"/>
          <w:sz w:val="20"/>
          <w:szCs w:val="20"/>
        </w:rPr>
      </w:pPr>
    </w:p>
    <w:p w:rsidR="008F1ACE" w:rsidRPr="008F1ACE" w:rsidRDefault="008F1ACE" w:rsidP="008F1ACE">
      <w:pPr>
        <w:pStyle w:val="PlainText"/>
        <w:ind w:left="1440"/>
        <w:rPr>
          <w:rFonts w:ascii="Arial" w:hAnsi="Arial" w:cs="Arial"/>
          <w:sz w:val="20"/>
          <w:szCs w:val="20"/>
        </w:rPr>
      </w:pPr>
      <w:r w:rsidRPr="008F1ACE">
        <w:rPr>
          <w:rFonts w:ascii="Arial" w:hAnsi="Arial" w:cs="Arial"/>
          <w:b/>
          <w:bCs/>
          <w:sz w:val="20"/>
          <w:szCs w:val="20"/>
          <w:u w:val="single"/>
        </w:rPr>
        <w:t>Example</w:t>
      </w:r>
      <w:r w:rsidRPr="008F1ACE">
        <w:rPr>
          <w:rFonts w:ascii="Arial" w:hAnsi="Arial" w:cs="Arial"/>
          <w:sz w:val="20"/>
          <w:szCs w:val="20"/>
        </w:rPr>
        <w:t>: A Veteran is service connected for pelvic organ prolapse. Examination shows that, as a result of complete prolapse, the Veteran also experiences urinary incontinence requiring the wearing of absorbent materials which must be changed 2 times per day, impairment of sphincter control resulting in constant slight leakage, and localized dermatitis treated with topical therapy. She may receive the following evaluations for the complete prolapse and each additional chronic residual:</w:t>
      </w:r>
    </w:p>
    <w:p w:rsidR="008F1ACE" w:rsidRPr="008F1ACE" w:rsidRDefault="008F1ACE" w:rsidP="00F063AF">
      <w:pPr>
        <w:pStyle w:val="PlainText"/>
        <w:numPr>
          <w:ilvl w:val="0"/>
          <w:numId w:val="432"/>
        </w:numPr>
        <w:rPr>
          <w:rFonts w:ascii="Arial" w:hAnsi="Arial" w:cs="Arial"/>
          <w:sz w:val="20"/>
          <w:szCs w:val="20"/>
        </w:rPr>
      </w:pPr>
      <w:r w:rsidRPr="008F1ACE">
        <w:rPr>
          <w:rFonts w:ascii="Arial" w:hAnsi="Arial" w:cs="Arial"/>
          <w:sz w:val="20"/>
          <w:szCs w:val="20"/>
        </w:rPr>
        <w:t>7621 - 10% for complete pelvic organ prolapse</w:t>
      </w:r>
    </w:p>
    <w:p w:rsidR="008F1ACE" w:rsidRPr="008F1ACE" w:rsidRDefault="008F1ACE" w:rsidP="00F063AF">
      <w:pPr>
        <w:pStyle w:val="PlainText"/>
        <w:numPr>
          <w:ilvl w:val="0"/>
          <w:numId w:val="432"/>
        </w:numPr>
        <w:rPr>
          <w:rFonts w:ascii="Arial" w:hAnsi="Arial" w:cs="Arial"/>
          <w:sz w:val="20"/>
          <w:szCs w:val="20"/>
        </w:rPr>
      </w:pPr>
      <w:r w:rsidRPr="008F1ACE">
        <w:rPr>
          <w:rFonts w:ascii="Arial" w:hAnsi="Arial" w:cs="Arial"/>
          <w:sz w:val="20"/>
          <w:szCs w:val="20"/>
        </w:rPr>
        <w:t>7517 - 20% for requiring the wearing of absorbent materials which must be changed less than 2 times per day</w:t>
      </w:r>
    </w:p>
    <w:p w:rsidR="008F1ACE" w:rsidRPr="008F1ACE" w:rsidRDefault="008F1ACE" w:rsidP="00F063AF">
      <w:pPr>
        <w:pStyle w:val="PlainText"/>
        <w:numPr>
          <w:ilvl w:val="0"/>
          <w:numId w:val="432"/>
        </w:numPr>
        <w:rPr>
          <w:rFonts w:ascii="Arial" w:hAnsi="Arial" w:cs="Arial"/>
          <w:sz w:val="20"/>
          <w:szCs w:val="20"/>
        </w:rPr>
      </w:pPr>
      <w:r w:rsidRPr="008F1ACE">
        <w:rPr>
          <w:rFonts w:ascii="Arial" w:hAnsi="Arial" w:cs="Arial"/>
          <w:sz w:val="20"/>
          <w:szCs w:val="20"/>
        </w:rPr>
        <w:t>7332 - 10% for constant slight, or occasional moderate leakage</w:t>
      </w:r>
    </w:p>
    <w:p w:rsidR="008F1ACE" w:rsidRPr="008F1ACE" w:rsidRDefault="008F1ACE" w:rsidP="00F063AF">
      <w:pPr>
        <w:pStyle w:val="PlainText"/>
        <w:numPr>
          <w:ilvl w:val="0"/>
          <w:numId w:val="432"/>
        </w:numPr>
        <w:spacing w:after="120"/>
        <w:rPr>
          <w:rFonts w:ascii="Arial" w:hAnsi="Arial" w:cs="Arial"/>
          <w:sz w:val="20"/>
          <w:szCs w:val="20"/>
        </w:rPr>
      </w:pPr>
      <w:r w:rsidRPr="008F1ACE">
        <w:rPr>
          <w:rFonts w:ascii="Arial" w:hAnsi="Arial" w:cs="Arial"/>
          <w:sz w:val="20"/>
          <w:szCs w:val="20"/>
        </w:rPr>
        <w:t>7806 – 0% for no more than topical therapy required, less than 5 percent of exposed skin and less than 5 percent of body affected</w:t>
      </w:r>
    </w:p>
    <w:p w:rsidR="008F1ACE" w:rsidRPr="008F1ACE" w:rsidRDefault="008F1ACE" w:rsidP="00E32E82">
      <w:pPr>
        <w:spacing w:after="120"/>
        <w:ind w:left="360"/>
        <w:rPr>
          <w:color w:val="000000"/>
        </w:rPr>
      </w:pPr>
      <w:r w:rsidRPr="008F1ACE">
        <w:rPr>
          <w:color w:val="000000"/>
        </w:rPr>
        <w:t xml:space="preserve">For a more detailed list of the changes, see the </w:t>
      </w:r>
      <w:hyperlink r:id="rId580" w:history="1">
        <w:r w:rsidRPr="008F1ACE">
          <w:rPr>
            <w:rStyle w:val="Hyperlink"/>
          </w:rPr>
          <w:t>student handout</w:t>
        </w:r>
      </w:hyperlink>
      <w:r w:rsidRPr="008F1ACE">
        <w:rPr>
          <w:color w:val="000000"/>
        </w:rPr>
        <w:t xml:space="preserve"> from the associated TMS training course on this topic.  </w:t>
      </w:r>
    </w:p>
    <w:p w:rsidR="008F1ACE" w:rsidRPr="008F1ACE" w:rsidRDefault="008F1ACE" w:rsidP="00E32E82">
      <w:pPr>
        <w:spacing w:after="120"/>
        <w:ind w:left="360"/>
        <w:rPr>
          <w:u w:val="single"/>
        </w:rPr>
      </w:pPr>
      <w:r w:rsidRPr="008F1ACE">
        <w:rPr>
          <w:u w:val="single"/>
        </w:rPr>
        <w:t>M21-1 Updates</w:t>
      </w:r>
    </w:p>
    <w:p w:rsidR="008F1ACE" w:rsidRPr="008F1ACE" w:rsidRDefault="008F1ACE" w:rsidP="00E32E82">
      <w:pPr>
        <w:spacing w:after="120"/>
        <w:ind w:left="360"/>
      </w:pPr>
      <w:r w:rsidRPr="008F1ACE">
        <w:t xml:space="preserve">The manual was updated at </w:t>
      </w:r>
      <w:r w:rsidRPr="008F1ACE">
        <w:rPr>
          <w:b/>
          <w:bCs/>
          <w:color w:val="000000"/>
        </w:rPr>
        <w:t>M21-III.iv.4.J</w:t>
      </w:r>
      <w:r w:rsidRPr="008F1ACE">
        <w:rPr>
          <w:color w:val="000000"/>
        </w:rPr>
        <w:t xml:space="preserve"> </w:t>
      </w:r>
      <w:r w:rsidRPr="008F1ACE">
        <w:t>on May 14, 2018 to consider these changes, to include:</w:t>
      </w:r>
    </w:p>
    <w:p w:rsidR="008F1ACE" w:rsidRPr="008F1ACE" w:rsidRDefault="008F1ACE" w:rsidP="00F063AF">
      <w:pPr>
        <w:pStyle w:val="PlainText"/>
        <w:numPr>
          <w:ilvl w:val="0"/>
          <w:numId w:val="433"/>
        </w:numPr>
        <w:rPr>
          <w:rFonts w:ascii="Arial" w:hAnsi="Arial" w:cs="Arial"/>
          <w:sz w:val="20"/>
          <w:szCs w:val="20"/>
        </w:rPr>
      </w:pPr>
      <w:r w:rsidRPr="008F1ACE">
        <w:rPr>
          <w:rFonts w:ascii="Arial" w:hAnsi="Arial" w:cs="Arial"/>
          <w:sz w:val="20"/>
          <w:szCs w:val="20"/>
        </w:rPr>
        <w:t>Revising the definition of female sexual arousal disorder (FSAD) for consistency with the regulatory revision to 38 CFR 4.118.</w:t>
      </w:r>
    </w:p>
    <w:p w:rsidR="008F1ACE" w:rsidRPr="008F1ACE" w:rsidRDefault="008F1ACE" w:rsidP="00F063AF">
      <w:pPr>
        <w:pStyle w:val="PlainText"/>
        <w:numPr>
          <w:ilvl w:val="0"/>
          <w:numId w:val="433"/>
        </w:numPr>
        <w:rPr>
          <w:rFonts w:ascii="Arial" w:hAnsi="Arial" w:cs="Arial"/>
          <w:sz w:val="20"/>
          <w:szCs w:val="20"/>
        </w:rPr>
      </w:pPr>
      <w:r w:rsidRPr="008F1ACE">
        <w:rPr>
          <w:rFonts w:ascii="Arial" w:hAnsi="Arial" w:cs="Arial"/>
          <w:sz w:val="20"/>
          <w:szCs w:val="20"/>
        </w:rPr>
        <w:t xml:space="preserve">Revising the guidance on requesting examinations to reflect updates to the </w:t>
      </w:r>
      <w:r w:rsidRPr="008F1ACE">
        <w:rPr>
          <w:rFonts w:ascii="Arial" w:hAnsi="Arial" w:cs="Arial"/>
          <w:i/>
          <w:iCs/>
          <w:sz w:val="20"/>
          <w:szCs w:val="20"/>
        </w:rPr>
        <w:t>Gynecological Conditions Disability Benefits Questionnaire</w:t>
      </w:r>
      <w:r w:rsidRPr="008F1ACE">
        <w:rPr>
          <w:rFonts w:ascii="Arial" w:hAnsi="Arial" w:cs="Arial"/>
          <w:sz w:val="20"/>
          <w:szCs w:val="20"/>
        </w:rPr>
        <w:t>.</w:t>
      </w:r>
    </w:p>
    <w:p w:rsidR="008F1ACE" w:rsidRPr="008F1ACE" w:rsidRDefault="008F1ACE" w:rsidP="00F063AF">
      <w:pPr>
        <w:pStyle w:val="PlainText"/>
        <w:numPr>
          <w:ilvl w:val="0"/>
          <w:numId w:val="433"/>
        </w:numPr>
        <w:rPr>
          <w:rFonts w:ascii="Arial" w:hAnsi="Arial" w:cs="Arial"/>
          <w:sz w:val="20"/>
          <w:szCs w:val="20"/>
        </w:rPr>
      </w:pPr>
      <w:r w:rsidRPr="008F1ACE">
        <w:rPr>
          <w:rFonts w:ascii="Arial" w:hAnsi="Arial" w:cs="Arial"/>
          <w:sz w:val="20"/>
          <w:szCs w:val="20"/>
        </w:rPr>
        <w:t>Adding guidance on within scope determinations for FSAD.</w:t>
      </w:r>
    </w:p>
    <w:p w:rsidR="008F1ACE" w:rsidRPr="008F1ACE" w:rsidRDefault="008F1ACE" w:rsidP="00F063AF">
      <w:pPr>
        <w:pStyle w:val="PlainText"/>
        <w:numPr>
          <w:ilvl w:val="0"/>
          <w:numId w:val="433"/>
        </w:numPr>
        <w:rPr>
          <w:rFonts w:ascii="Arial" w:hAnsi="Arial" w:cs="Arial"/>
          <w:sz w:val="20"/>
          <w:szCs w:val="20"/>
        </w:rPr>
      </w:pPr>
      <w:r w:rsidRPr="008F1ACE">
        <w:rPr>
          <w:rFonts w:ascii="Arial" w:hAnsi="Arial" w:cs="Arial"/>
          <w:sz w:val="20"/>
          <w:szCs w:val="20"/>
        </w:rPr>
        <w:t>Updating guidance on evaluating FSAD.</w:t>
      </w:r>
    </w:p>
    <w:p w:rsidR="008F1ACE" w:rsidRPr="008F1ACE" w:rsidRDefault="008F1ACE" w:rsidP="00F063AF">
      <w:pPr>
        <w:pStyle w:val="PlainText"/>
        <w:numPr>
          <w:ilvl w:val="0"/>
          <w:numId w:val="433"/>
        </w:numPr>
        <w:rPr>
          <w:rFonts w:ascii="Arial" w:hAnsi="Arial" w:cs="Arial"/>
          <w:sz w:val="20"/>
          <w:szCs w:val="20"/>
        </w:rPr>
      </w:pPr>
      <w:r w:rsidRPr="008F1ACE">
        <w:rPr>
          <w:rFonts w:ascii="Arial" w:hAnsi="Arial" w:cs="Arial"/>
          <w:sz w:val="20"/>
          <w:szCs w:val="20"/>
        </w:rPr>
        <w:t>Adding guidance on service connection for disorders of menstruation.</w:t>
      </w:r>
    </w:p>
    <w:p w:rsidR="008F1ACE" w:rsidRPr="008F1ACE" w:rsidRDefault="008F1ACE" w:rsidP="00F063AF">
      <w:pPr>
        <w:pStyle w:val="PlainText"/>
        <w:numPr>
          <w:ilvl w:val="0"/>
          <w:numId w:val="433"/>
        </w:numPr>
        <w:rPr>
          <w:rFonts w:ascii="Arial" w:hAnsi="Arial" w:cs="Arial"/>
          <w:sz w:val="20"/>
          <w:szCs w:val="20"/>
        </w:rPr>
      </w:pPr>
      <w:r w:rsidRPr="008F1ACE">
        <w:rPr>
          <w:rFonts w:ascii="Arial" w:hAnsi="Arial" w:cs="Arial"/>
          <w:sz w:val="20"/>
          <w:szCs w:val="20"/>
        </w:rPr>
        <w:t>Incorporating guidance on policy and procedures for evaluating pelvic organ prolapse.</w:t>
      </w:r>
    </w:p>
    <w:p w:rsidR="008F1ACE" w:rsidRPr="008F1ACE" w:rsidRDefault="008F1ACE" w:rsidP="00F063AF">
      <w:pPr>
        <w:pStyle w:val="PlainText"/>
        <w:numPr>
          <w:ilvl w:val="0"/>
          <w:numId w:val="433"/>
        </w:numPr>
        <w:rPr>
          <w:rFonts w:ascii="Arial" w:hAnsi="Arial" w:cs="Arial"/>
          <w:sz w:val="20"/>
          <w:szCs w:val="20"/>
        </w:rPr>
      </w:pPr>
      <w:r w:rsidRPr="008F1ACE">
        <w:rPr>
          <w:rFonts w:ascii="Arial" w:hAnsi="Arial" w:cs="Arial"/>
          <w:sz w:val="20"/>
          <w:szCs w:val="20"/>
        </w:rPr>
        <w:t>Incorporating guidance on malignant neoplasms of the gynecological system; on handling disfigurement due to benign or malignant neoplasms; on malignant neoplasms of the breast; and on handling disfigurement due to benign or malignant neoplasms of the breast.</w:t>
      </w:r>
    </w:p>
    <w:p w:rsidR="008F1ACE" w:rsidRPr="008F1ACE" w:rsidRDefault="008F1ACE" w:rsidP="00F063AF">
      <w:pPr>
        <w:pStyle w:val="PlainText"/>
        <w:numPr>
          <w:ilvl w:val="0"/>
          <w:numId w:val="433"/>
        </w:numPr>
        <w:rPr>
          <w:rFonts w:ascii="Arial" w:hAnsi="Arial" w:cs="Arial"/>
          <w:sz w:val="20"/>
          <w:szCs w:val="20"/>
        </w:rPr>
      </w:pPr>
      <w:r w:rsidRPr="008F1ACE">
        <w:rPr>
          <w:rFonts w:ascii="Arial" w:hAnsi="Arial" w:cs="Arial"/>
          <w:sz w:val="20"/>
          <w:szCs w:val="20"/>
        </w:rPr>
        <w:t>Incorporating guidance on gynecomastia that was previously published in the April 2017 Quality Call.</w:t>
      </w:r>
    </w:p>
    <w:p w:rsidR="008F1ACE" w:rsidRPr="008F1ACE" w:rsidRDefault="008F1ACE" w:rsidP="008F1ACE">
      <w:pPr>
        <w:pStyle w:val="PlainText"/>
        <w:rPr>
          <w:rFonts w:ascii="Arial" w:hAnsi="Arial" w:cs="Arial"/>
          <w:sz w:val="20"/>
          <w:szCs w:val="20"/>
        </w:rPr>
      </w:pPr>
    </w:p>
    <w:p w:rsidR="008F1ACE" w:rsidRPr="008F1ACE" w:rsidRDefault="008F1ACE" w:rsidP="00E32E82">
      <w:pPr>
        <w:pStyle w:val="PlainText"/>
        <w:spacing w:after="120"/>
        <w:ind w:left="360"/>
        <w:rPr>
          <w:rFonts w:ascii="Arial" w:hAnsi="Arial" w:cs="Arial"/>
          <w:sz w:val="20"/>
          <w:szCs w:val="20"/>
        </w:rPr>
      </w:pPr>
      <w:r w:rsidRPr="008F1ACE">
        <w:rPr>
          <w:rFonts w:ascii="Arial" w:hAnsi="Arial" w:cs="Arial"/>
          <w:sz w:val="20"/>
          <w:szCs w:val="20"/>
        </w:rPr>
        <w:t xml:space="preserve">The updates to 38 CFR 4.116 are </w:t>
      </w:r>
      <w:r w:rsidRPr="008F1ACE">
        <w:rPr>
          <w:rFonts w:ascii="Arial" w:hAnsi="Arial" w:cs="Arial"/>
          <w:b/>
          <w:bCs/>
          <w:sz w:val="20"/>
          <w:szCs w:val="20"/>
          <w:u w:val="single"/>
        </w:rPr>
        <w:t>not</w:t>
      </w:r>
      <w:r w:rsidRPr="008F1ACE">
        <w:rPr>
          <w:rFonts w:ascii="Arial" w:hAnsi="Arial" w:cs="Arial"/>
          <w:sz w:val="20"/>
          <w:szCs w:val="20"/>
        </w:rPr>
        <w:t xml:space="preserve"> liberalizing (M21-1 III.iv.4.J.1.d).</w:t>
      </w:r>
    </w:p>
    <w:p w:rsidR="008F1ACE" w:rsidRPr="008F1ACE" w:rsidRDefault="008F1ACE" w:rsidP="00E32E82">
      <w:pPr>
        <w:spacing w:after="120"/>
        <w:ind w:left="360"/>
      </w:pPr>
      <w:r w:rsidRPr="008F1ACE">
        <w:t xml:space="preserve">If a Veteran’s claim was pending or there was an Intent to File (ITF) notice received by VA at the time of regulation’s effective date (May 13, 2018), then the claim must be considered under both previous and new rating criteria.  For handling claims when there are regulatory changes, see </w:t>
      </w:r>
      <w:r w:rsidRPr="008F1ACE">
        <w:rPr>
          <w:b/>
          <w:bCs/>
        </w:rPr>
        <w:t xml:space="preserve">M21-1 </w:t>
      </w:r>
      <w:r w:rsidRPr="008F1ACE">
        <w:rPr>
          <w:b/>
          <w:bCs/>
          <w:color w:val="000000"/>
        </w:rPr>
        <w:t>III.iv.5.C.7.m</w:t>
      </w:r>
      <w:r w:rsidRPr="008F1ACE">
        <w:t>.</w:t>
      </w:r>
    </w:p>
    <w:p w:rsidR="008F1ACE" w:rsidRPr="008F1ACE" w:rsidRDefault="008F1ACE" w:rsidP="00E32E82">
      <w:pPr>
        <w:spacing w:after="120"/>
        <w:ind w:left="360"/>
        <w:rPr>
          <w:u w:val="single"/>
        </w:rPr>
      </w:pPr>
      <w:r w:rsidRPr="008F1ACE">
        <w:rPr>
          <w:u w:val="single"/>
        </w:rPr>
        <w:t>DBQs</w:t>
      </w:r>
    </w:p>
    <w:p w:rsidR="008F1ACE" w:rsidRPr="008F1ACE" w:rsidRDefault="008F1ACE" w:rsidP="00E32E82">
      <w:pPr>
        <w:spacing w:after="120"/>
        <w:ind w:left="360"/>
        <w:rPr>
          <w:color w:val="000000"/>
        </w:rPr>
      </w:pPr>
      <w:r w:rsidRPr="008F1ACE">
        <w:t>Updated DBQs for “</w:t>
      </w:r>
      <w:r w:rsidRPr="008F1ACE">
        <w:rPr>
          <w:color w:val="000000"/>
        </w:rPr>
        <w:t>Gynecological Conditions</w:t>
      </w:r>
      <w:r w:rsidRPr="008F1ACE">
        <w:t>” and “</w:t>
      </w:r>
      <w:r w:rsidRPr="008F1ACE">
        <w:rPr>
          <w:color w:val="000000"/>
        </w:rPr>
        <w:t>Breast Conditions and Disorders</w:t>
      </w:r>
      <w:r w:rsidRPr="008F1ACE">
        <w:t xml:space="preserve">” were released to VHA Facilities and VBA Contract Vendors on </w:t>
      </w:r>
      <w:r w:rsidRPr="008F1ACE">
        <w:rPr>
          <w:color w:val="000000"/>
        </w:rPr>
        <w:t xml:space="preserve">May 13, 2018 to comply with the Rating Schedule updates.  The new DBQs for Contract and Internal Use can be viewed on the </w:t>
      </w:r>
      <w:hyperlink r:id="rId581" w:history="1">
        <w:r w:rsidRPr="008F1ACE">
          <w:rPr>
            <w:rStyle w:val="Hyperlink"/>
          </w:rPr>
          <w:t>DBQ Switchboard</w:t>
        </w:r>
      </w:hyperlink>
      <w:r w:rsidRPr="008F1ACE">
        <w:rPr>
          <w:color w:val="000000"/>
        </w:rPr>
        <w:t>.  I</w:t>
      </w:r>
      <w:r w:rsidRPr="008F1ACE">
        <w:t xml:space="preserve">n the additional exam remarks field in the Examination Request Builder (ERB), continue to enter the intent to file (ITF) date as this will alert the examiner whether historical DBQ information must be provided.  </w:t>
      </w:r>
    </w:p>
    <w:p w:rsidR="008F1ACE" w:rsidRPr="008F1ACE" w:rsidRDefault="008F1ACE" w:rsidP="00E32E82">
      <w:pPr>
        <w:spacing w:after="120"/>
        <w:ind w:left="360"/>
        <w:rPr>
          <w:u w:val="single"/>
        </w:rPr>
      </w:pPr>
      <w:r w:rsidRPr="008F1ACE">
        <w:rPr>
          <w:u w:val="single"/>
        </w:rPr>
        <w:t>VBMS-R</w:t>
      </w:r>
    </w:p>
    <w:p w:rsidR="008F1ACE" w:rsidRDefault="008F1ACE" w:rsidP="00E32E82">
      <w:pPr>
        <w:spacing w:after="120"/>
        <w:ind w:left="360"/>
        <w:rPr>
          <w:b/>
          <w:bCs/>
          <w:color w:val="000000"/>
        </w:rPr>
      </w:pPr>
      <w:r w:rsidRPr="008F1ACE">
        <w:rPr>
          <w:color w:val="000000"/>
        </w:rPr>
        <w:t xml:space="preserve">VBMS-R was also updated on May 13, 2018 to allow for rating consideration for gynecological and breast conditions across multiple schedules.  </w:t>
      </w:r>
      <w:r w:rsidRPr="008F1ACE">
        <w:rPr>
          <w:b/>
          <w:bCs/>
          <w:color w:val="000000"/>
        </w:rPr>
        <w:t xml:space="preserve">However, some issues have been identified including the next higher criteria text not generating or generating improperly for certain DCs.  </w:t>
      </w:r>
      <w:r w:rsidR="007B6855">
        <w:rPr>
          <w:b/>
          <w:bCs/>
          <w:color w:val="000000"/>
        </w:rPr>
        <w:t xml:space="preserve">Here are the </w:t>
      </w:r>
      <w:r w:rsidR="009E1C61">
        <w:rPr>
          <w:b/>
          <w:bCs/>
          <w:color w:val="000000"/>
        </w:rPr>
        <w:t>w</w:t>
      </w:r>
      <w:r w:rsidRPr="008F1ACE">
        <w:rPr>
          <w:b/>
          <w:bCs/>
          <w:color w:val="000000"/>
        </w:rPr>
        <w:t xml:space="preserve">orkarounds </w:t>
      </w:r>
      <w:r w:rsidR="007B6855">
        <w:rPr>
          <w:b/>
          <w:bCs/>
          <w:color w:val="000000"/>
        </w:rPr>
        <w:t>for</w:t>
      </w:r>
      <w:r w:rsidRPr="008F1ACE">
        <w:rPr>
          <w:b/>
          <w:bCs/>
          <w:color w:val="000000"/>
        </w:rPr>
        <w:t xml:space="preserve"> these problems.  </w:t>
      </w:r>
    </w:p>
    <w:p w:rsidR="00E32E82" w:rsidRDefault="00E32E82" w:rsidP="00E32E82">
      <w:pPr>
        <w:spacing w:after="120"/>
        <w:ind w:left="360"/>
        <w:rPr>
          <w:b/>
          <w:bCs/>
          <w:color w:val="000000"/>
        </w:rPr>
      </w:pPr>
      <w:r>
        <w:rPr>
          <w:noProof/>
        </w:rPr>
        <w:drawing>
          <wp:inline distT="0" distB="0" distL="0" distR="0" wp14:anchorId="531146E2" wp14:editId="1EF2F051">
            <wp:extent cx="4603898" cy="1936135"/>
            <wp:effectExtent l="0" t="0" r="6350" b="6985"/>
            <wp:docPr id="24679" name="Picture 24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2"/>
                    <a:stretch>
                      <a:fillRect/>
                    </a:stretch>
                  </pic:blipFill>
                  <pic:spPr>
                    <a:xfrm>
                      <a:off x="0" y="0"/>
                      <a:ext cx="4613292" cy="1940086"/>
                    </a:xfrm>
                    <a:prstGeom prst="rect">
                      <a:avLst/>
                    </a:prstGeom>
                  </pic:spPr>
                </pic:pic>
              </a:graphicData>
            </a:graphic>
          </wp:inline>
        </w:drawing>
      </w:r>
    </w:p>
    <w:p w:rsidR="00E32E82" w:rsidRDefault="00E32E82" w:rsidP="00E32E82">
      <w:pPr>
        <w:spacing w:after="120"/>
        <w:ind w:left="360"/>
        <w:rPr>
          <w:b/>
          <w:bCs/>
          <w:color w:val="000000"/>
        </w:rPr>
      </w:pPr>
      <w:r>
        <w:rPr>
          <w:noProof/>
        </w:rPr>
        <w:drawing>
          <wp:inline distT="0" distB="0" distL="0" distR="0" wp14:anchorId="5A31369C" wp14:editId="2D08DFC8">
            <wp:extent cx="4914900" cy="647700"/>
            <wp:effectExtent l="0" t="0" r="0" b="0"/>
            <wp:docPr id="24680" name="Picture 24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3"/>
                    <a:stretch>
                      <a:fillRect/>
                    </a:stretch>
                  </pic:blipFill>
                  <pic:spPr>
                    <a:xfrm>
                      <a:off x="0" y="0"/>
                      <a:ext cx="4914900" cy="647700"/>
                    </a:xfrm>
                    <a:prstGeom prst="rect">
                      <a:avLst/>
                    </a:prstGeom>
                  </pic:spPr>
                </pic:pic>
              </a:graphicData>
            </a:graphic>
          </wp:inline>
        </w:drawing>
      </w:r>
    </w:p>
    <w:p w:rsidR="00454A14" w:rsidRPr="008F1ACE" w:rsidRDefault="00454A14" w:rsidP="00E32E82">
      <w:pPr>
        <w:spacing w:after="120"/>
        <w:ind w:left="360"/>
        <w:rPr>
          <w:b/>
          <w:bCs/>
          <w:color w:val="000000"/>
        </w:rPr>
      </w:pPr>
    </w:p>
    <w:p w:rsidR="008F1ACE" w:rsidRPr="008F1ACE" w:rsidRDefault="008F1ACE" w:rsidP="00E32E82">
      <w:pPr>
        <w:spacing w:after="120"/>
        <w:ind w:left="360"/>
        <w:rPr>
          <w:u w:val="single"/>
        </w:rPr>
      </w:pPr>
      <w:r w:rsidRPr="008F1ACE">
        <w:rPr>
          <w:u w:val="single"/>
        </w:rPr>
        <w:t>Training</w:t>
      </w:r>
    </w:p>
    <w:p w:rsidR="008F1ACE" w:rsidRPr="008F1ACE" w:rsidRDefault="008F1ACE" w:rsidP="00E32E82">
      <w:pPr>
        <w:spacing w:after="120"/>
        <w:ind w:left="360"/>
      </w:pPr>
      <w:r w:rsidRPr="008F1ACE">
        <w:t>TMS training on “Introduction to Gynecological &amp; Breast Conditions Rating Schedule Changes” (TMS #4279422) has been added as a required item for RVSRs and DROs with a due date of June 4, 2018.  It is highly recommended that the training be completed as soon as possible for familiarization with the Rating Schedule changes and immediate application.</w:t>
      </w:r>
    </w:p>
    <w:p w:rsidR="008F1ACE" w:rsidRPr="008F1ACE" w:rsidRDefault="008F1ACE" w:rsidP="00E32E82">
      <w:pPr>
        <w:ind w:left="360"/>
      </w:pPr>
    </w:p>
    <w:p w:rsidR="008F1ACE" w:rsidRPr="008F1ACE" w:rsidRDefault="008F1ACE" w:rsidP="00E32E82">
      <w:pPr>
        <w:ind w:left="360"/>
      </w:pPr>
      <w:r w:rsidRPr="008F1ACE">
        <w:t>NOTE: RQRSs will also discuss this topic in upcoming team huddles.</w:t>
      </w:r>
    </w:p>
    <w:p w:rsidR="008F1ACE" w:rsidRPr="008F1ACE" w:rsidRDefault="008F1ACE" w:rsidP="00F063AF">
      <w:pPr>
        <w:numPr>
          <w:ilvl w:val="0"/>
          <w:numId w:val="429"/>
        </w:numPr>
        <w:overflowPunct/>
        <w:autoSpaceDE/>
        <w:autoSpaceDN/>
        <w:adjustRightInd/>
        <w:textAlignment w:val="auto"/>
      </w:pPr>
      <w:r w:rsidRPr="008F1ACE">
        <w:t>Questions on VBMS-R should be referred to your Coach or team Super-User.</w:t>
      </w:r>
    </w:p>
    <w:p w:rsidR="008F1ACE" w:rsidRPr="008F1ACE" w:rsidRDefault="008F1ACE" w:rsidP="00F063AF">
      <w:pPr>
        <w:numPr>
          <w:ilvl w:val="0"/>
          <w:numId w:val="429"/>
        </w:numPr>
        <w:overflowPunct/>
        <w:autoSpaceDE/>
        <w:autoSpaceDN/>
        <w:adjustRightInd/>
        <w:textAlignment w:val="auto"/>
      </w:pPr>
      <w:r w:rsidRPr="008F1ACE">
        <w:t>Questions on the Rating Schedule changes may be referred to your Coach or team SME.</w:t>
      </w:r>
    </w:p>
    <w:p w:rsidR="00D275EA" w:rsidRDefault="00D275EA" w:rsidP="00D275EA">
      <w:pPr>
        <w:widowControl w:val="0"/>
        <w:numPr>
          <w:ilvl w:val="12"/>
          <w:numId w:val="0"/>
        </w:numPr>
        <w:tabs>
          <w:tab w:val="left" w:pos="660"/>
          <w:tab w:val="left" w:pos="9415"/>
        </w:tabs>
        <w:ind w:left="-45"/>
        <w:rPr>
          <w:b/>
          <w:i/>
        </w:rPr>
      </w:pPr>
    </w:p>
    <w:p w:rsidR="00C316AB" w:rsidRDefault="00C316AB" w:rsidP="00D275EA">
      <w:pPr>
        <w:widowControl w:val="0"/>
        <w:numPr>
          <w:ilvl w:val="12"/>
          <w:numId w:val="0"/>
        </w:numPr>
        <w:tabs>
          <w:tab w:val="left" w:pos="660"/>
          <w:tab w:val="left" w:pos="9415"/>
        </w:tabs>
        <w:ind w:left="-45"/>
        <w:rPr>
          <w:i/>
        </w:rPr>
      </w:pPr>
      <w:r w:rsidRPr="00C316AB">
        <w:rPr>
          <w:i/>
          <w:color w:val="00B050"/>
        </w:rPr>
        <w:t xml:space="preserve">My Notes:  </w:t>
      </w:r>
      <w:r w:rsidRPr="00C316AB">
        <w:rPr>
          <w:i/>
        </w:rPr>
        <w:t>The TMS training says if have CFI rec’d 6/22/18 &amp; medical evidence shows does not meet criteria for increased eval as of 7/5/18, but DBQ 7/30/18 shows criteria for increased eval met, eff date is 7/30/18, the date entitl</w:t>
      </w:r>
      <w:r>
        <w:rPr>
          <w:i/>
        </w:rPr>
        <w:t xml:space="preserve">ement arose (cannot use 6/22/18, DOC </w:t>
      </w:r>
      <w:r w:rsidRPr="00C316AB">
        <w:rPr>
          <w:i/>
        </w:rPr>
        <w:t>or 5/13/18</w:t>
      </w:r>
      <w:r>
        <w:rPr>
          <w:i/>
        </w:rPr>
        <w:t>, date of change in law</w:t>
      </w:r>
      <w:r w:rsidRPr="00C316AB">
        <w:rPr>
          <w:i/>
        </w:rPr>
        <w:t>)</w:t>
      </w:r>
      <w:r>
        <w:rPr>
          <w:i/>
        </w:rPr>
        <w:t>.</w:t>
      </w:r>
    </w:p>
    <w:p w:rsidR="009E1C61" w:rsidRPr="00FB3678" w:rsidRDefault="009E1C61" w:rsidP="009E1C61">
      <w:pPr>
        <w:pStyle w:val="ListParagraph"/>
        <w:pBdr>
          <w:top w:val="double" w:sz="4" w:space="1" w:color="auto"/>
          <w:left w:val="double" w:sz="4" w:space="4" w:color="auto"/>
          <w:bottom w:val="double" w:sz="4" w:space="1" w:color="auto"/>
          <w:right w:val="double" w:sz="4" w:space="4" w:color="auto"/>
        </w:pBdr>
        <w:shd w:val="clear" w:color="auto" w:fill="FFC000"/>
        <w:spacing w:before="240" w:after="120" w:line="240" w:lineRule="auto"/>
        <w:ind w:left="360"/>
        <w:rPr>
          <w:rFonts w:ascii="Arial" w:eastAsiaTheme="minorHAnsi" w:hAnsi="Arial"/>
          <w:sz w:val="20"/>
        </w:rPr>
      </w:pPr>
      <w:r>
        <w:rPr>
          <w:rFonts w:ascii="Arial" w:eastAsiaTheme="minorHAnsi" w:hAnsi="Arial"/>
          <w:b/>
          <w:sz w:val="20"/>
        </w:rPr>
        <w:t>R15.0 UAT Workaround for Core_Awards &amp; Rating Final</w:t>
      </w:r>
      <w:r>
        <w:rPr>
          <w:rFonts w:ascii="Arial" w:eastAsiaTheme="minorHAnsi" w:hAnsi="Arial"/>
          <w:sz w:val="20"/>
        </w:rPr>
        <w:t xml:space="preserve"> &amp; </w:t>
      </w:r>
      <w:r>
        <w:rPr>
          <w:rFonts w:ascii="Arial" w:eastAsiaTheme="minorHAnsi" w:hAnsi="Arial"/>
          <w:b/>
          <w:sz w:val="20"/>
        </w:rPr>
        <w:t>R15.0 UAT Release Notes for Core_Awards &amp; Rating Final</w:t>
      </w:r>
      <w:r w:rsidRPr="00FB3678">
        <w:rPr>
          <w:rFonts w:ascii="Arial" w:hAnsi="Arial"/>
          <w:sz w:val="20"/>
        </w:rPr>
        <w:t xml:space="preserve"> </w:t>
      </w:r>
      <w:r>
        <w:rPr>
          <w:rFonts w:ascii="Arial" w:hAnsi="Arial"/>
          <w:sz w:val="20"/>
        </w:rPr>
        <w:t xml:space="preserve">are </w:t>
      </w:r>
      <w:r w:rsidRPr="00FB3678">
        <w:rPr>
          <w:rFonts w:ascii="Arial" w:hAnsi="Arial"/>
          <w:sz w:val="20"/>
        </w:rPr>
        <w:t xml:space="preserve">saved at </w:t>
      </w:r>
      <w:r w:rsidRPr="00FB3678">
        <w:rPr>
          <w:rFonts w:ascii="Arial" w:hAnsi="Arial"/>
          <w:b/>
          <w:bCs/>
          <w:i/>
          <w:iCs/>
          <w:sz w:val="20"/>
        </w:rPr>
        <w:t>H:\VSC\Rating Reference</w:t>
      </w:r>
    </w:p>
    <w:p w:rsidR="008F1ACE" w:rsidRDefault="008F1ACE" w:rsidP="00D275EA">
      <w:pPr>
        <w:widowControl w:val="0"/>
        <w:numPr>
          <w:ilvl w:val="12"/>
          <w:numId w:val="0"/>
        </w:numPr>
        <w:tabs>
          <w:tab w:val="left" w:pos="660"/>
          <w:tab w:val="left" w:pos="9415"/>
        </w:tabs>
        <w:ind w:left="-45"/>
        <w:rPr>
          <w:b/>
          <w:i/>
        </w:rPr>
      </w:pPr>
    </w:p>
    <w:p w:rsidR="00E837D3" w:rsidRDefault="00E837D3" w:rsidP="00D275EA">
      <w:pPr>
        <w:widowControl w:val="0"/>
        <w:numPr>
          <w:ilvl w:val="12"/>
          <w:numId w:val="0"/>
        </w:numPr>
        <w:tabs>
          <w:tab w:val="left" w:pos="660"/>
          <w:tab w:val="left" w:pos="9415"/>
        </w:tabs>
        <w:ind w:left="700" w:hanging="700"/>
      </w:pPr>
      <w:r>
        <w:t>7628-7613 for uterine fibroids</w:t>
      </w:r>
    </w:p>
    <w:p w:rsidR="00243900" w:rsidRDefault="00243900" w:rsidP="00D275EA">
      <w:pPr>
        <w:widowControl w:val="0"/>
        <w:numPr>
          <w:ilvl w:val="12"/>
          <w:numId w:val="0"/>
        </w:numPr>
        <w:tabs>
          <w:tab w:val="left" w:pos="660"/>
          <w:tab w:val="left" w:pos="9415"/>
        </w:tabs>
        <w:ind w:left="700" w:hanging="700"/>
      </w:pPr>
      <w:r>
        <w:t>7615</w:t>
      </w:r>
      <w:r>
        <w:tab/>
        <w:t xml:space="preserve"> Ovary, disease, injury, or adhesions of - as of 5/13/18, now </w:t>
      </w:r>
      <w:r w:rsidRPr="00243900">
        <w:t>includes dysmenorrhea &amp; amenorrhea</w:t>
      </w:r>
    </w:p>
    <w:p w:rsidR="00D275EA" w:rsidRDefault="00D275EA" w:rsidP="00D275EA">
      <w:pPr>
        <w:widowControl w:val="0"/>
        <w:numPr>
          <w:ilvl w:val="12"/>
          <w:numId w:val="0"/>
        </w:numPr>
        <w:tabs>
          <w:tab w:val="left" w:pos="660"/>
          <w:tab w:val="left" w:pos="9415"/>
        </w:tabs>
        <w:ind w:left="700" w:hanging="700"/>
        <w:rPr>
          <w:i/>
        </w:rPr>
      </w:pPr>
      <w:r>
        <w:t>7626</w:t>
      </w:r>
      <w:r>
        <w:tab/>
      </w:r>
      <w:r>
        <w:tab/>
        <w:t xml:space="preserve">Breast, surgery of – </w:t>
      </w:r>
      <w:r>
        <w:rPr>
          <w:i/>
        </w:rPr>
        <w:t>(SMC K for (i) simple/total mastectomy, (ii) modified radical mastectomy &amp; (iii) radical mastectomy)</w:t>
      </w:r>
    </w:p>
    <w:p w:rsidR="00D275EA" w:rsidRDefault="00D275EA" w:rsidP="00D275EA">
      <w:pPr>
        <w:pStyle w:val="Heading1"/>
        <w:keepNext w:val="0"/>
        <w:widowControl w:val="0"/>
        <w:numPr>
          <w:ilvl w:val="12"/>
          <w:numId w:val="0"/>
        </w:numPr>
        <w:ind w:left="720" w:hanging="720"/>
        <w:rPr>
          <w:bCs/>
          <w:i w:val="0"/>
          <w:iCs w:val="0"/>
          <w:sz w:val="20"/>
        </w:rPr>
      </w:pPr>
      <w:r>
        <w:rPr>
          <w:bCs/>
          <w:i w:val="0"/>
          <w:iCs w:val="0"/>
          <w:color w:val="FF0000"/>
          <w:sz w:val="20"/>
        </w:rPr>
        <w:t>7627</w:t>
      </w:r>
      <w:r>
        <w:rPr>
          <w:bCs/>
          <w:i w:val="0"/>
          <w:iCs w:val="0"/>
          <w:color w:val="FF0000"/>
          <w:sz w:val="20"/>
        </w:rPr>
        <w:tab/>
        <w:t>Malignant neoplasms of the gynecological system, or breast</w:t>
      </w:r>
    </w:p>
    <w:p w:rsidR="00D275EA" w:rsidRDefault="00D275EA" w:rsidP="00D275EA">
      <w:pPr>
        <w:widowControl w:val="0"/>
        <w:numPr>
          <w:ilvl w:val="12"/>
          <w:numId w:val="0"/>
        </w:numPr>
        <w:pBdr>
          <w:bottom w:val="single" w:sz="4" w:space="1" w:color="auto"/>
        </w:pBdr>
        <w:rPr>
          <w:b/>
        </w:rPr>
      </w:pPr>
    </w:p>
    <w:p w:rsidR="00D275EA" w:rsidRDefault="00D275EA" w:rsidP="00D275EA">
      <w:pPr>
        <w:widowControl w:val="0"/>
      </w:pPr>
    </w:p>
    <w:p w:rsidR="00D275EA" w:rsidRDefault="00D275EA">
      <w:pPr>
        <w:overflowPunct/>
        <w:autoSpaceDE/>
        <w:autoSpaceDN/>
        <w:adjustRightInd/>
        <w:textAlignment w:val="auto"/>
        <w:rPr>
          <w:color w:val="FF0000"/>
        </w:rPr>
      </w:pPr>
      <w:r>
        <w:rPr>
          <w:color w:val="FF0000"/>
        </w:rPr>
        <w:br w:type="page"/>
      </w:r>
    </w:p>
    <w:tbl>
      <w:tblPr>
        <w:tblW w:w="0" w:type="auto"/>
        <w:tblInd w:w="-45" w:type="dxa"/>
        <w:tblLayout w:type="fixed"/>
        <w:tblCellMar>
          <w:left w:w="30" w:type="dxa"/>
          <w:right w:w="30" w:type="dxa"/>
        </w:tblCellMar>
        <w:tblLook w:val="0000" w:firstRow="0" w:lastRow="0" w:firstColumn="0" w:lastColumn="0" w:noHBand="0" w:noVBand="0"/>
      </w:tblPr>
      <w:tblGrid>
        <w:gridCol w:w="10875"/>
      </w:tblGrid>
      <w:tr w:rsidR="00D275EA" w:rsidTr="005567F4">
        <w:trPr>
          <w:trHeight w:val="297"/>
        </w:trPr>
        <w:tc>
          <w:tcPr>
            <w:tcW w:w="10875" w:type="dxa"/>
            <w:tcBorders>
              <w:top w:val="single" w:sz="4" w:space="0" w:color="auto"/>
              <w:left w:val="nil"/>
              <w:bottom w:val="nil"/>
              <w:right w:val="nil"/>
            </w:tcBorders>
          </w:tcPr>
          <w:p w:rsidR="00D275EA" w:rsidRDefault="00D275EA" w:rsidP="00C334D1">
            <w:pPr>
              <w:widowControl w:val="0"/>
              <w:numPr>
                <w:ilvl w:val="12"/>
                <w:numId w:val="0"/>
              </w:numPr>
              <w:jc w:val="center"/>
              <w:rPr>
                <w:b/>
                <w:color w:val="FF0000"/>
              </w:rPr>
            </w:pPr>
            <w:bookmarkStart w:id="130" w:name="Part4HemicLymph"/>
            <w:r>
              <w:rPr>
                <w:b/>
                <w:color w:val="FF0000"/>
              </w:rPr>
              <w:t xml:space="preserve">4.117. </w:t>
            </w:r>
            <w:r>
              <w:rPr>
                <w:b/>
                <w:i/>
                <w:color w:val="FF0000"/>
              </w:rPr>
              <w:t>The Hemic and Lymphatic Systems</w:t>
            </w:r>
            <w:bookmarkEnd w:id="130"/>
          </w:p>
        </w:tc>
      </w:tr>
    </w:tbl>
    <w:p w:rsidR="005567F4" w:rsidRDefault="005567F4" w:rsidP="005567F4">
      <w:r>
        <w:rPr>
          <w:b/>
        </w:rPr>
        <w:t>III.iv.4.K</w:t>
      </w:r>
    </w:p>
    <w:p w:rsidR="00D275EA" w:rsidRDefault="00D275EA" w:rsidP="00D275EA">
      <w:pPr>
        <w:widowControl w:val="0"/>
        <w:numPr>
          <w:ilvl w:val="12"/>
          <w:numId w:val="0"/>
        </w:numPr>
        <w:tabs>
          <w:tab w:val="left" w:pos="660"/>
          <w:tab w:val="left" w:pos="9411"/>
        </w:tabs>
        <w:ind w:left="-45"/>
        <w:rPr>
          <w:b/>
        </w:rPr>
      </w:pPr>
    </w:p>
    <w:p w:rsidR="00D275EA" w:rsidRDefault="00D275EA" w:rsidP="00D275EA">
      <w:pPr>
        <w:widowControl w:val="0"/>
        <w:numPr>
          <w:ilvl w:val="12"/>
          <w:numId w:val="0"/>
        </w:numPr>
        <w:tabs>
          <w:tab w:val="left" w:pos="660"/>
          <w:tab w:val="left" w:pos="9411"/>
        </w:tabs>
        <w:ind w:left="-45"/>
        <w:rPr>
          <w:b/>
          <w:u w:val="single"/>
        </w:rPr>
      </w:pPr>
      <w:r w:rsidRPr="00453DE5">
        <w:rPr>
          <w:b/>
          <w:u w:val="single"/>
        </w:rPr>
        <w:t>4.117</w:t>
      </w:r>
      <w:r>
        <w:rPr>
          <w:b/>
          <w:u w:val="single"/>
        </w:rPr>
        <w:tab/>
        <w:t>Schedule of Ratings—Hemic and Lymphatic Systems</w:t>
      </w:r>
    </w:p>
    <w:p w:rsidR="00D275EA" w:rsidRDefault="00D275EA" w:rsidP="00D275EA">
      <w:pPr>
        <w:widowControl w:val="0"/>
        <w:numPr>
          <w:ilvl w:val="12"/>
          <w:numId w:val="0"/>
        </w:numPr>
        <w:rPr>
          <w:b/>
        </w:rPr>
      </w:pPr>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changed 10/23/95 (DCs 7700-7716)</w:t>
      </w:r>
    </w:p>
    <w:p w:rsidR="00D275EA" w:rsidRDefault="00D275EA" w:rsidP="00D275EA">
      <w:pPr>
        <w:widowControl w:val="0"/>
        <w:numPr>
          <w:ilvl w:val="12"/>
          <w:numId w:val="0"/>
        </w:numPr>
        <w:pBdr>
          <w:top w:val="single" w:sz="4" w:space="1" w:color="auto"/>
          <w:left w:val="single" w:sz="4" w:space="4" w:color="auto"/>
          <w:bottom w:val="single" w:sz="4" w:space="1" w:color="auto"/>
          <w:right w:val="single" w:sz="4" w:space="4" w:color="auto"/>
        </w:pBdr>
        <w:rPr>
          <w:i/>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4.117</w:t>
      </w:r>
      <w:r w:rsidR="00D11C3E">
        <w:rPr>
          <w:bCs/>
          <w:i/>
          <w:iCs/>
          <w:sz w:val="18"/>
        </w:rPr>
        <w:t>; or in CPKM</w:t>
      </w:r>
    </w:p>
    <w:p w:rsidR="00D275EA" w:rsidRDefault="00D275EA" w:rsidP="00D275EA">
      <w:pPr>
        <w:widowControl w:val="0"/>
        <w:numPr>
          <w:ilvl w:val="12"/>
          <w:numId w:val="0"/>
        </w:numPr>
        <w:rPr>
          <w:i/>
        </w:rPr>
      </w:pPr>
    </w:p>
    <w:p w:rsidR="00D275EA" w:rsidRDefault="00D275EA" w:rsidP="00D275EA">
      <w:pPr>
        <w:widowControl w:val="0"/>
        <w:numPr>
          <w:ilvl w:val="12"/>
          <w:numId w:val="0"/>
        </w:numPr>
        <w:spacing w:after="120"/>
        <w:rPr>
          <w:i/>
        </w:rPr>
      </w:pPr>
      <w:r>
        <w:rPr>
          <w:color w:val="FF0000"/>
        </w:rPr>
        <w:t>7700</w:t>
      </w:r>
      <w:r>
        <w:rPr>
          <w:color w:val="FF0000"/>
        </w:rPr>
        <w:tab/>
        <w:t xml:space="preserve">Anemia, hypochromic-microcytic and megaloblastic, such as iron-deficiency and pernicious anemia, </w:t>
      </w:r>
      <w:hyperlink r:id="rId584" w:history="1">
        <w:r w:rsidRPr="00A15F97">
          <w:rPr>
            <w:rStyle w:val="Hyperlink"/>
            <w:i/>
          </w:rPr>
          <w:t>https://www.vapulse.net/message/52452</w:t>
        </w:r>
      </w:hyperlink>
    </w:p>
    <w:p w:rsidR="00D275EA" w:rsidRDefault="00D571C5" w:rsidP="00F063AF">
      <w:pPr>
        <w:pStyle w:val="Header"/>
        <w:widowControl w:val="0"/>
        <w:numPr>
          <w:ilvl w:val="0"/>
          <w:numId w:val="178"/>
        </w:numPr>
        <w:tabs>
          <w:tab w:val="clear" w:pos="4320"/>
          <w:tab w:val="clear" w:pos="8640"/>
        </w:tabs>
        <w:spacing w:after="120"/>
      </w:pPr>
      <w:hyperlink r:id="rId585" w:history="1">
        <w:r w:rsidR="00D275EA" w:rsidRPr="00D846EF">
          <w:rPr>
            <w:rStyle w:val="Hyperlink"/>
            <w:b/>
            <w:bCs/>
            <w:i/>
          </w:rPr>
          <w:t>March 2016 Quality Call Notes</w:t>
        </w:r>
      </w:hyperlink>
      <w:r w:rsidR="00D275EA" w:rsidRPr="00D846EF">
        <w:rPr>
          <w:bCs/>
        </w:rPr>
        <w:t xml:space="preserve"> – Normal hemoglobin levels are different for men (13.8-17.2) &amp; women (12.1-15); if above 10mg/dL, can SC if below normal for gender; for compensable eval, need below normal hemoglobin &amp; additional symptom</w:t>
      </w:r>
      <w:r w:rsidR="00D275EA">
        <w:rPr>
          <w:bCs/>
        </w:rPr>
        <w:t xml:space="preserve">; symptoms </w:t>
      </w:r>
      <w:r w:rsidR="00D275EA" w:rsidRPr="00F25BD4">
        <w:rPr>
          <w:bCs/>
        </w:rPr>
        <w:t xml:space="preserve">hold more weight than lab values (so if have hemoglobin of 10 &amp; dyspnea at rest or high output CHF, assign100%); </w:t>
      </w:r>
      <w:r w:rsidR="00D275EA" w:rsidRPr="00F25BD4">
        <w:t>if there is a diagnosis of anemia that is supported by abnormally low hemoglobin levels (based upon the NIH standards), but above 10, the EB is coded to assign a 0% evaluation if asymptomatic, but no more than a 10% if symptomatic, regardless of the symptoms</w:t>
      </w:r>
    </w:p>
    <w:p w:rsidR="00637298" w:rsidRPr="00637298" w:rsidRDefault="00637298" w:rsidP="00F063AF">
      <w:pPr>
        <w:pStyle w:val="Header"/>
        <w:widowControl w:val="0"/>
        <w:numPr>
          <w:ilvl w:val="0"/>
          <w:numId w:val="178"/>
        </w:numPr>
        <w:tabs>
          <w:tab w:val="clear" w:pos="4320"/>
          <w:tab w:val="clear" w:pos="8640"/>
        </w:tabs>
        <w:spacing w:after="120"/>
        <w:rPr>
          <w:i/>
        </w:rPr>
      </w:pPr>
      <w:r w:rsidRPr="00637298">
        <w:rPr>
          <w:i/>
          <w:color w:val="00B050"/>
        </w:rPr>
        <w:t xml:space="preserve">My Notes:  </w:t>
      </w:r>
      <w:r w:rsidRPr="00637298">
        <w:rPr>
          <w:i/>
        </w:rPr>
        <w:t xml:space="preserve">It seems the VEB gives a 10% based on hemoglobin levels below those normal #s above </w:t>
      </w:r>
      <w:r w:rsidRPr="00637298">
        <w:rPr>
          <w:bCs/>
          <w:i/>
        </w:rPr>
        <w:t>(13.8-17.2 for men &amp; 12.1-15 for women)</w:t>
      </w:r>
      <w:r w:rsidRPr="00637298">
        <w:rPr>
          <w:i/>
        </w:rPr>
        <w:t>, so low is 13.7 or lower for men &amp; 12.0 or lower for women.</w:t>
      </w:r>
    </w:p>
    <w:p w:rsidR="00D275EA" w:rsidRDefault="00D275EA" w:rsidP="00D275EA">
      <w:pPr>
        <w:widowControl w:val="0"/>
        <w:numPr>
          <w:ilvl w:val="12"/>
          <w:numId w:val="0"/>
        </w:numPr>
        <w:tabs>
          <w:tab w:val="left" w:pos="700"/>
        </w:tabs>
        <w:spacing w:after="120"/>
        <w:ind w:left="706" w:hanging="706"/>
        <w:rPr>
          <w:i/>
          <w:color w:val="008080"/>
        </w:rPr>
      </w:pPr>
      <w:r>
        <w:rPr>
          <w:color w:val="FF0000"/>
        </w:rPr>
        <w:t>7703</w:t>
      </w:r>
      <w:r>
        <w:rPr>
          <w:color w:val="FF0000"/>
        </w:rPr>
        <w:tab/>
        <w:t>Leukemia</w:t>
      </w:r>
      <w:r>
        <w:t xml:space="preserve"> –</w:t>
      </w:r>
      <w:r>
        <w:rPr>
          <w:i/>
        </w:rPr>
        <w:t xml:space="preserve"> </w:t>
      </w:r>
      <w:r>
        <w:rPr>
          <w:i/>
          <w:color w:val="FF9900"/>
        </w:rPr>
        <w:t xml:space="preserve">Chronic Lymphocytic Leukemia (CLL) is Agent Orange presumptive under </w:t>
      </w:r>
      <w:r w:rsidRPr="00453DE5">
        <w:rPr>
          <w:b/>
        </w:rPr>
        <w:t>3.309</w:t>
      </w:r>
      <w:r>
        <w:rPr>
          <w:i/>
          <w:color w:val="FF9900"/>
        </w:rPr>
        <w:t>(e)</w:t>
      </w:r>
      <w:r>
        <w:rPr>
          <w:i/>
        </w:rPr>
        <w:t xml:space="preserve"> &amp;</w:t>
      </w:r>
      <w:r>
        <w:rPr>
          <w:i/>
          <w:color w:val="008080"/>
        </w:rPr>
        <w:t xml:space="preserve"> acute nonlymphocytic leukemia is Mustard Gas presumptive under 3.316</w:t>
      </w:r>
    </w:p>
    <w:p w:rsidR="00D275EA" w:rsidRDefault="0053291F" w:rsidP="00F063AF">
      <w:pPr>
        <w:pStyle w:val="ListParagraph"/>
        <w:widowControl w:val="0"/>
        <w:numPr>
          <w:ilvl w:val="0"/>
          <w:numId w:val="262"/>
        </w:numPr>
        <w:tabs>
          <w:tab w:val="left" w:pos="700"/>
        </w:tabs>
        <w:spacing w:after="120" w:line="240" w:lineRule="auto"/>
        <w:ind w:left="1080"/>
        <w:rPr>
          <w:rFonts w:ascii="Arial" w:hAnsi="Arial"/>
          <w:sz w:val="20"/>
          <w:szCs w:val="20"/>
        </w:rPr>
      </w:pPr>
      <w:r w:rsidRPr="0053291F">
        <w:rPr>
          <w:rFonts w:ascii="Arial" w:hAnsi="Arial"/>
          <w:b/>
          <w:sz w:val="20"/>
        </w:rPr>
        <w:t xml:space="preserve">III.iv.4.K.2.c </w:t>
      </w:r>
      <w:r w:rsidR="00D275EA">
        <w:rPr>
          <w:rFonts w:ascii="Arial" w:hAnsi="Arial"/>
          <w:sz w:val="20"/>
          <w:szCs w:val="20"/>
        </w:rPr>
        <w:t xml:space="preserve">– </w:t>
      </w:r>
      <w:r w:rsidR="00D275EA" w:rsidRPr="005D613E">
        <w:rPr>
          <w:rFonts w:ascii="Arial" w:hAnsi="Arial"/>
          <w:sz w:val="20"/>
        </w:rPr>
        <w:t>CLL should be 100% with NO future</w:t>
      </w:r>
    </w:p>
    <w:p w:rsidR="00D275EA" w:rsidRPr="00B450F0" w:rsidRDefault="0053291F" w:rsidP="00F063AF">
      <w:pPr>
        <w:pStyle w:val="ListParagraph"/>
        <w:widowControl w:val="0"/>
        <w:numPr>
          <w:ilvl w:val="0"/>
          <w:numId w:val="262"/>
        </w:numPr>
        <w:tabs>
          <w:tab w:val="left" w:pos="700"/>
        </w:tabs>
        <w:spacing w:after="120" w:line="240" w:lineRule="auto"/>
        <w:ind w:left="1080"/>
        <w:rPr>
          <w:rFonts w:ascii="Arial" w:hAnsi="Arial"/>
          <w:sz w:val="20"/>
          <w:szCs w:val="20"/>
        </w:rPr>
      </w:pPr>
      <w:r w:rsidRPr="0053291F">
        <w:rPr>
          <w:rFonts w:ascii="Arial" w:hAnsi="Arial"/>
          <w:b/>
          <w:sz w:val="20"/>
          <w:szCs w:val="20"/>
        </w:rPr>
        <w:t xml:space="preserve">III.iv.4.K.2.g </w:t>
      </w:r>
      <w:r w:rsidR="00D275EA" w:rsidRPr="00B450F0">
        <w:rPr>
          <w:rFonts w:ascii="Arial" w:hAnsi="Arial"/>
          <w:sz w:val="20"/>
          <w:szCs w:val="20"/>
        </w:rPr>
        <w:t>– no separate evals for CLL under DC 7703 &amp; NHL under 7715</w:t>
      </w:r>
    </w:p>
    <w:p w:rsidR="00D275EA" w:rsidRPr="00FA24C4" w:rsidRDefault="00D275EA" w:rsidP="00F063AF">
      <w:pPr>
        <w:pStyle w:val="ListParagraph"/>
        <w:widowControl w:val="0"/>
        <w:numPr>
          <w:ilvl w:val="0"/>
          <w:numId w:val="262"/>
        </w:numPr>
        <w:tabs>
          <w:tab w:val="left" w:pos="700"/>
        </w:tabs>
        <w:spacing w:after="120" w:line="240" w:lineRule="auto"/>
        <w:ind w:left="1080"/>
        <w:rPr>
          <w:rFonts w:ascii="Arial" w:hAnsi="Arial"/>
          <w:sz w:val="20"/>
          <w:szCs w:val="20"/>
        </w:rPr>
      </w:pPr>
      <w:r w:rsidRPr="00FA24C4">
        <w:rPr>
          <w:rFonts w:ascii="Arial" w:hAnsi="Arial"/>
          <w:sz w:val="20"/>
          <w:szCs w:val="20"/>
        </w:rPr>
        <w:t>multiple myeloma</w:t>
      </w:r>
      <w:r w:rsidRPr="00FA24C4">
        <w:rPr>
          <w:rFonts w:ascii="Arial" w:hAnsi="Arial"/>
          <w:i/>
          <w:sz w:val="20"/>
          <w:szCs w:val="20"/>
        </w:rPr>
        <w:t xml:space="preserve"> </w:t>
      </w:r>
      <w:r w:rsidRPr="00FA24C4">
        <w:rPr>
          <w:rFonts w:ascii="Arial" w:hAnsi="Arial"/>
          <w:iCs/>
          <w:sz w:val="20"/>
          <w:szCs w:val="20"/>
        </w:rPr>
        <w:t>7799-7703</w:t>
      </w:r>
      <w:r w:rsidRPr="00FA24C4">
        <w:rPr>
          <w:rFonts w:ascii="Arial" w:hAnsi="Arial"/>
          <w:i/>
          <w:sz w:val="20"/>
          <w:szCs w:val="20"/>
        </w:rPr>
        <w:t xml:space="preserve"> is </w:t>
      </w:r>
      <w:r w:rsidRPr="00FA24C4">
        <w:rPr>
          <w:rFonts w:ascii="Arial" w:hAnsi="Arial"/>
          <w:i/>
          <w:color w:val="FF9900"/>
          <w:sz w:val="20"/>
          <w:szCs w:val="20"/>
        </w:rPr>
        <w:t xml:space="preserve">Agent Orange presumptive under </w:t>
      </w:r>
      <w:r w:rsidRPr="00FA24C4">
        <w:rPr>
          <w:rFonts w:ascii="Arial" w:hAnsi="Arial"/>
          <w:b/>
          <w:sz w:val="20"/>
          <w:szCs w:val="20"/>
        </w:rPr>
        <w:t>3.309</w:t>
      </w:r>
      <w:r w:rsidRPr="00FA24C4">
        <w:rPr>
          <w:rFonts w:ascii="Arial" w:hAnsi="Arial"/>
          <w:i/>
          <w:color w:val="FF9900"/>
          <w:sz w:val="20"/>
          <w:szCs w:val="20"/>
        </w:rPr>
        <w:t>(e)</w:t>
      </w:r>
      <w:r w:rsidRPr="00FA24C4">
        <w:rPr>
          <w:rFonts w:ascii="Arial" w:hAnsi="Arial"/>
          <w:sz w:val="20"/>
          <w:szCs w:val="20"/>
        </w:rPr>
        <w:t xml:space="preserve"> – </w:t>
      </w:r>
      <w:r w:rsidR="0053291F" w:rsidRPr="0053291F">
        <w:rPr>
          <w:rFonts w:ascii="Arial" w:hAnsi="Arial"/>
          <w:sz w:val="20"/>
          <w:szCs w:val="20"/>
        </w:rPr>
        <w:t xml:space="preserve">per </w:t>
      </w:r>
      <w:r w:rsidR="0053291F" w:rsidRPr="0053291F">
        <w:rPr>
          <w:rFonts w:ascii="Arial" w:hAnsi="Arial"/>
          <w:b/>
          <w:sz w:val="20"/>
          <w:szCs w:val="20"/>
        </w:rPr>
        <w:t xml:space="preserve">III.iv.4.K.2.a </w:t>
      </w:r>
      <w:r w:rsidRPr="00FA24C4">
        <w:rPr>
          <w:rFonts w:ascii="Arial" w:hAnsi="Arial"/>
          <w:sz w:val="20"/>
          <w:szCs w:val="20"/>
        </w:rPr>
        <w:t>– generally multiple myeloma is 100% P&amp;T</w:t>
      </w:r>
      <w:r>
        <w:rPr>
          <w:rFonts w:ascii="Arial" w:hAnsi="Arial"/>
          <w:sz w:val="20"/>
          <w:szCs w:val="20"/>
        </w:rPr>
        <w:t xml:space="preserve"> (rare exceptions)</w:t>
      </w:r>
    </w:p>
    <w:p w:rsidR="00D275EA" w:rsidRDefault="00D275EA" w:rsidP="00D275EA">
      <w:pPr>
        <w:widowControl w:val="0"/>
        <w:numPr>
          <w:ilvl w:val="12"/>
          <w:numId w:val="0"/>
        </w:numPr>
        <w:ind w:left="700" w:hanging="700"/>
        <w:rPr>
          <w:i/>
        </w:rPr>
      </w:pPr>
      <w:r>
        <w:rPr>
          <w:color w:val="FF0000"/>
        </w:rPr>
        <w:t>7705</w:t>
      </w:r>
      <w:r>
        <w:rPr>
          <w:color w:val="FF0000"/>
        </w:rPr>
        <w:tab/>
        <w:t>Thrombocytopenia, primary, idiopathic or immune</w:t>
      </w:r>
      <w:r>
        <w:rPr>
          <w:i/>
        </w:rPr>
        <w:t xml:space="preserve"> – in </w:t>
      </w:r>
      <w:r w:rsidRPr="00453DE5">
        <w:rPr>
          <w:b/>
        </w:rPr>
        <w:t>3.309</w:t>
      </w:r>
      <w:r>
        <w:rPr>
          <w:i/>
        </w:rPr>
        <w:t>(a) under Purpura idiopathic, hemorrhagic</w:t>
      </w:r>
      <w:r>
        <w:rPr>
          <w:sz w:val="18"/>
        </w:rPr>
        <w:t xml:space="preserve"> </w:t>
      </w:r>
    </w:p>
    <w:p w:rsidR="00D275EA" w:rsidRDefault="00D275EA" w:rsidP="00D275EA">
      <w:pPr>
        <w:widowControl w:val="0"/>
        <w:numPr>
          <w:ilvl w:val="12"/>
          <w:numId w:val="0"/>
        </w:numPr>
        <w:rPr>
          <w:color w:val="FF9900"/>
        </w:rPr>
      </w:pPr>
      <w:r>
        <w:rPr>
          <w:color w:val="FF0000"/>
        </w:rPr>
        <w:t>7709</w:t>
      </w:r>
      <w:r>
        <w:rPr>
          <w:color w:val="FF0000"/>
        </w:rPr>
        <w:tab/>
        <w:t xml:space="preserve">Hodgkin's disease </w:t>
      </w:r>
      <w:r>
        <w:t xml:space="preserve">– </w:t>
      </w:r>
      <w:r>
        <w:rPr>
          <w:i/>
          <w:color w:val="FF9900"/>
        </w:rPr>
        <w:t xml:space="preserve">also Agent Orange presumptive under </w:t>
      </w:r>
      <w:r w:rsidRPr="00453DE5">
        <w:rPr>
          <w:b/>
        </w:rPr>
        <w:t>3.309</w:t>
      </w:r>
      <w:r>
        <w:rPr>
          <w:i/>
          <w:color w:val="FF9900"/>
        </w:rPr>
        <w:t>(e)</w:t>
      </w:r>
    </w:p>
    <w:p w:rsidR="0053291F" w:rsidRPr="00CF557B" w:rsidRDefault="00D275EA" w:rsidP="0053291F">
      <w:pPr>
        <w:widowControl w:val="0"/>
        <w:numPr>
          <w:ilvl w:val="12"/>
          <w:numId w:val="0"/>
        </w:numPr>
        <w:rPr>
          <w:i/>
        </w:rPr>
      </w:pPr>
      <w:r>
        <w:t>7714</w:t>
      </w:r>
      <w:r>
        <w:tab/>
        <w:t xml:space="preserve">Sickle cell anemia </w:t>
      </w:r>
      <w:r>
        <w:rPr>
          <w:i/>
        </w:rPr>
        <w:t xml:space="preserve">– </w:t>
      </w:r>
      <w:r w:rsidR="00282CA6" w:rsidRPr="00282CA6">
        <w:rPr>
          <w:b/>
        </w:rPr>
        <w:t>III.iv.4.K.1</w:t>
      </w:r>
      <w:r w:rsidR="0053291F" w:rsidRPr="0053291F">
        <w:t xml:space="preserve">, </w:t>
      </w:r>
      <w:r w:rsidR="0053291F" w:rsidRPr="00CF557B">
        <w:rPr>
          <w:b/>
          <w:bCs/>
        </w:rPr>
        <w:t>III.ii.4.A</w:t>
      </w:r>
      <w:r w:rsidR="0053291F">
        <w:rPr>
          <w:b/>
          <w:bCs/>
        </w:rPr>
        <w:t>.6</w:t>
      </w:r>
      <w:r w:rsidR="0053291F" w:rsidRPr="00CF557B">
        <w:rPr>
          <w:b/>
          <w:i/>
        </w:rPr>
        <w:t xml:space="preserve"> </w:t>
      </w:r>
      <w:r w:rsidR="0053291F" w:rsidRPr="00CF557B">
        <w:t>- nonretention of records for sickle cell anemia</w:t>
      </w:r>
    </w:p>
    <w:p w:rsidR="00D275EA" w:rsidRPr="00C712AF" w:rsidRDefault="00D275EA" w:rsidP="00D275EA">
      <w:pPr>
        <w:widowControl w:val="0"/>
        <w:numPr>
          <w:ilvl w:val="12"/>
          <w:numId w:val="0"/>
        </w:numPr>
        <w:ind w:left="720" w:hanging="720"/>
        <w:rPr>
          <w:b/>
          <w:sz w:val="18"/>
        </w:rPr>
      </w:pPr>
      <w:r>
        <w:rPr>
          <w:color w:val="FF0000"/>
        </w:rPr>
        <w:t>7715</w:t>
      </w:r>
      <w:r>
        <w:rPr>
          <w:color w:val="FF0000"/>
        </w:rPr>
        <w:tab/>
        <w:t xml:space="preserve">Non-Hodgkin's lymphoma </w:t>
      </w:r>
      <w:r w:rsidR="00EA1CC3" w:rsidRPr="00EA1CC3">
        <w:t xml:space="preserve">(NHL) </w:t>
      </w:r>
      <w:r>
        <w:t xml:space="preserve">– </w:t>
      </w:r>
      <w:r>
        <w:rPr>
          <w:i/>
          <w:color w:val="FF9900"/>
        </w:rPr>
        <w:t xml:space="preserve">also Agent Orange presumptive under </w:t>
      </w:r>
      <w:r w:rsidRPr="00453DE5">
        <w:rPr>
          <w:b/>
        </w:rPr>
        <w:t>3.309</w:t>
      </w:r>
      <w:r>
        <w:rPr>
          <w:i/>
          <w:color w:val="FF9900"/>
        </w:rPr>
        <w:t>(e)</w:t>
      </w:r>
      <w:r>
        <w:rPr>
          <w:i/>
        </w:rPr>
        <w:t xml:space="preserve">; </w:t>
      </w:r>
      <w:r w:rsidRPr="00453DE5">
        <w:rPr>
          <w:b/>
          <w:bCs/>
          <w:iCs/>
        </w:rPr>
        <w:t>3.313</w:t>
      </w:r>
      <w:r>
        <w:rPr>
          <w:i/>
        </w:rPr>
        <w:t>;</w:t>
      </w:r>
      <w:r w:rsidR="0053291F" w:rsidRPr="00282CA6">
        <w:rPr>
          <w:sz w:val="18"/>
        </w:rPr>
        <w:t xml:space="preserve"> </w:t>
      </w:r>
      <w:r w:rsidR="0053291F" w:rsidRPr="0053291F">
        <w:rPr>
          <w:b/>
        </w:rPr>
        <w:t xml:space="preserve">III.iv.4.K.2.f </w:t>
      </w:r>
      <w:r>
        <w:rPr>
          <w:szCs w:val="21"/>
        </w:rPr>
        <w:t xml:space="preserve">– only do review exam if in long-term, stable remission (true for all persistent cancer with a high mortality rate); </w:t>
      </w:r>
      <w:r w:rsidR="0053291F" w:rsidRPr="0053291F">
        <w:rPr>
          <w:b/>
        </w:rPr>
        <w:t>III.iv.4.K.2.</w:t>
      </w:r>
      <w:r w:rsidR="0053291F">
        <w:rPr>
          <w:b/>
        </w:rPr>
        <w:t>e</w:t>
      </w:r>
      <w:r w:rsidR="0053291F" w:rsidRPr="0053291F">
        <w:rPr>
          <w:b/>
        </w:rPr>
        <w:t xml:space="preserve"> </w:t>
      </w:r>
      <w:r w:rsidRPr="00C712AF">
        <w:rPr>
          <w:szCs w:val="21"/>
        </w:rPr>
        <w:t>mycosis fungoides can potentially be evaluated as a skin malignancy under 7715-7818 or NHL under 7715</w:t>
      </w:r>
      <w:r>
        <w:rPr>
          <w:szCs w:val="21"/>
        </w:rPr>
        <w:t xml:space="preserve">; </w:t>
      </w:r>
      <w:r w:rsidRPr="00B450F0">
        <w:rPr>
          <w:b/>
        </w:rPr>
        <w:t>III.iv.4.I.3.</w:t>
      </w:r>
      <w:r>
        <w:rPr>
          <w:b/>
        </w:rPr>
        <w:t>n</w:t>
      </w:r>
      <w:r>
        <w:rPr>
          <w:szCs w:val="21"/>
        </w:rPr>
        <w:t xml:space="preserve"> – no separate evals for CLL under DC 7703 &amp; NHL under 7715</w:t>
      </w:r>
    </w:p>
    <w:p w:rsidR="00D275EA" w:rsidRDefault="00D275EA" w:rsidP="00D275EA">
      <w:pPr>
        <w:widowControl w:val="0"/>
        <w:numPr>
          <w:ilvl w:val="12"/>
          <w:numId w:val="0"/>
        </w:numPr>
        <w:pBdr>
          <w:bottom w:val="single" w:sz="4" w:space="1" w:color="auto"/>
        </w:pBdr>
        <w:rPr>
          <w:b/>
        </w:rPr>
      </w:pPr>
    </w:p>
    <w:p w:rsidR="00D275EA" w:rsidRDefault="00D275EA" w:rsidP="00D275EA">
      <w:pPr>
        <w:widowControl w:val="0"/>
        <w:tabs>
          <w:tab w:val="left" w:pos="0"/>
          <w:tab w:val="left" w:pos="144"/>
        </w:tabs>
        <w:rPr>
          <w:sz w:val="22"/>
        </w:rPr>
      </w:pPr>
    </w:p>
    <w:p w:rsidR="00D275EA" w:rsidRDefault="00D275EA">
      <w:pPr>
        <w:overflowPunct/>
        <w:autoSpaceDE/>
        <w:autoSpaceDN/>
        <w:adjustRightInd/>
        <w:textAlignment w:val="auto"/>
        <w:rPr>
          <w:b/>
          <w:bCs/>
          <w:i/>
          <w:iCs/>
          <w:sz w:val="22"/>
        </w:rPr>
      </w:pPr>
      <w:r>
        <w:rPr>
          <w:b/>
          <w:bCs/>
          <w:i/>
          <w:iCs/>
          <w:sz w:val="22"/>
        </w:rPr>
        <w:br w:type="page"/>
      </w:r>
    </w:p>
    <w:tbl>
      <w:tblPr>
        <w:tblW w:w="10975" w:type="dxa"/>
        <w:tblInd w:w="-45" w:type="dxa"/>
        <w:tblLayout w:type="fixed"/>
        <w:tblCellMar>
          <w:left w:w="30" w:type="dxa"/>
          <w:right w:w="30" w:type="dxa"/>
        </w:tblCellMar>
        <w:tblLook w:val="0000" w:firstRow="0" w:lastRow="0" w:firstColumn="0" w:lastColumn="0" w:noHBand="0" w:noVBand="0"/>
      </w:tblPr>
      <w:tblGrid>
        <w:gridCol w:w="10975"/>
      </w:tblGrid>
      <w:tr w:rsidR="00D275EA" w:rsidTr="0093236F">
        <w:trPr>
          <w:trHeight w:val="370"/>
        </w:trPr>
        <w:tc>
          <w:tcPr>
            <w:tcW w:w="10975" w:type="dxa"/>
            <w:tcBorders>
              <w:top w:val="single" w:sz="4" w:space="0" w:color="auto"/>
              <w:left w:val="nil"/>
              <w:bottom w:val="nil"/>
              <w:right w:val="nil"/>
            </w:tcBorders>
          </w:tcPr>
          <w:p w:rsidR="00D275EA" w:rsidRDefault="00D275EA" w:rsidP="00C334D1">
            <w:pPr>
              <w:widowControl w:val="0"/>
              <w:numPr>
                <w:ilvl w:val="12"/>
                <w:numId w:val="0"/>
              </w:numPr>
              <w:jc w:val="center"/>
              <w:rPr>
                <w:b/>
                <w:color w:val="FF0000"/>
              </w:rPr>
            </w:pPr>
            <w:bookmarkStart w:id="131" w:name="Part4Skin"/>
            <w:r>
              <w:rPr>
                <w:b/>
                <w:color w:val="FF0000"/>
              </w:rPr>
              <w:t xml:space="preserve">4.118. </w:t>
            </w:r>
            <w:r>
              <w:rPr>
                <w:b/>
                <w:i/>
                <w:color w:val="FF0000"/>
              </w:rPr>
              <w:t>The Skin</w:t>
            </w:r>
            <w:bookmarkEnd w:id="131"/>
          </w:p>
        </w:tc>
      </w:tr>
    </w:tbl>
    <w:p w:rsidR="00D275EA" w:rsidRDefault="005D5700" w:rsidP="00D275EA">
      <w:pPr>
        <w:widowControl w:val="0"/>
        <w:numPr>
          <w:ilvl w:val="12"/>
          <w:numId w:val="0"/>
        </w:numPr>
        <w:rPr>
          <w:rStyle w:val="Hyperlink"/>
          <w:b/>
          <w:color w:val="auto"/>
          <w:u w:val="none"/>
        </w:rPr>
      </w:pPr>
      <w:r w:rsidRPr="005D5700">
        <w:rPr>
          <w:rStyle w:val="Hyperlink"/>
          <w:b/>
          <w:color w:val="auto"/>
          <w:u w:val="none"/>
        </w:rPr>
        <w:t>III.iv.4.L</w:t>
      </w:r>
    </w:p>
    <w:p w:rsidR="005567F4" w:rsidRDefault="005567F4" w:rsidP="00D275EA">
      <w:pPr>
        <w:widowControl w:val="0"/>
        <w:numPr>
          <w:ilvl w:val="12"/>
          <w:numId w:val="0"/>
        </w:numPr>
        <w:rPr>
          <w:rStyle w:val="Hyperlink"/>
          <w:b/>
          <w:color w:val="auto"/>
          <w:u w:val="none"/>
        </w:rPr>
      </w:pPr>
    </w:p>
    <w:p w:rsidR="005567F4" w:rsidRDefault="005567F4" w:rsidP="005567F4">
      <w:pPr>
        <w:widowControl w:val="0"/>
        <w:numPr>
          <w:ilvl w:val="12"/>
          <w:numId w:val="0"/>
        </w:numPr>
        <w:tabs>
          <w:tab w:val="left" w:pos="660"/>
          <w:tab w:val="left" w:pos="9410"/>
        </w:tabs>
        <w:ind w:left="-45"/>
        <w:rPr>
          <w:b/>
          <w:u w:val="single"/>
        </w:rPr>
      </w:pPr>
      <w:r w:rsidRPr="007A4B37">
        <w:rPr>
          <w:b/>
          <w:u w:val="single"/>
        </w:rPr>
        <w:t>4.118</w:t>
      </w:r>
      <w:r>
        <w:rPr>
          <w:b/>
          <w:u w:val="single"/>
        </w:rPr>
        <w:tab/>
        <w:t>Schedule of Ratings—Skin</w:t>
      </w:r>
    </w:p>
    <w:p w:rsidR="005D5700" w:rsidRDefault="005D5700" w:rsidP="00D275EA">
      <w:pPr>
        <w:widowControl w:val="0"/>
        <w:numPr>
          <w:ilvl w:val="12"/>
          <w:numId w:val="0"/>
        </w:numPr>
      </w:pPr>
    </w:p>
    <w:p w:rsidR="00BB322E" w:rsidRDefault="00D275EA" w:rsidP="00BB322E">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changed 9/30/02</w:t>
      </w:r>
      <w:r w:rsidR="00BB322E">
        <w:rPr>
          <w:i/>
        </w:rPr>
        <w:t xml:space="preserve"> (DCs 7800-7833, scars &amp; skin)</w:t>
      </w:r>
    </w:p>
    <w:p w:rsidR="00BB322E" w:rsidRDefault="00BB322E" w:rsidP="00BB322E">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w:t>
      </w:r>
      <w:r w:rsidR="00D275EA">
        <w:rPr>
          <w:i/>
        </w:rPr>
        <w:t xml:space="preserve">hanged </w:t>
      </w:r>
      <w:r>
        <w:rPr>
          <w:i/>
        </w:rPr>
        <w:t>10/23/08 (DCs 7800-7805, scars)</w:t>
      </w:r>
    </w:p>
    <w:p w:rsidR="00BB322E" w:rsidRDefault="00BB322E" w:rsidP="00BB322E">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changed 8</w:t>
      </w:r>
      <w:r w:rsidRPr="00CF50AA">
        <w:rPr>
          <w:i/>
        </w:rPr>
        <w:t>/13/18 (</w:t>
      </w:r>
      <w:r w:rsidRPr="00BB322E">
        <w:rPr>
          <w:i/>
        </w:rPr>
        <w:t>https://www.gpo.gov/fdsys/pkg/FR-2018-07-13/pdf/2018-14957.pdf</w:t>
      </w:r>
      <w:r w:rsidR="004959B5">
        <w:rPr>
          <w:i/>
        </w:rPr>
        <w:t>, [scars unchanged]; adds “General Rating Formula for the Skin for DCs 7806, 7809, 7813, 7815, 7816, 7820, 7821, 7822, 7824; revises 7806, 7809, 7813, 7815, 7816, 7817, 7820, 7821, 7822, 7824, 7825, 7826, 7827, 7828, 7829; defines systemic therapy; clarifies that can give separate evals if skin conds involve separate areas of skin</w:t>
      </w:r>
      <w:r>
        <w:rPr>
          <w:i/>
        </w:rPr>
        <w:t>…</w:t>
      </w:r>
      <w:r w:rsidRPr="00BF49CF">
        <w:rPr>
          <w:i/>
        </w:rPr>
        <w:t xml:space="preserve"> </w:t>
      </w:r>
      <w:r>
        <w:rPr>
          <w:i/>
        </w:rPr>
        <w:t xml:space="preserve">– </w:t>
      </w:r>
      <w:r w:rsidRPr="00BB322E">
        <w:rPr>
          <w:highlight w:val="yellow"/>
        </w:rPr>
        <w:t>NOT LIBERALIZING,</w:t>
      </w:r>
      <w:r>
        <w:t xml:space="preserve"> </w:t>
      </w:r>
      <w:r w:rsidRPr="00BB322E">
        <w:rPr>
          <w:i/>
          <w:color w:val="00B050"/>
          <w:highlight w:val="yellow"/>
        </w:rPr>
        <w:t xml:space="preserve">My Notes:  </w:t>
      </w:r>
      <w:r w:rsidRPr="00BB322E">
        <w:rPr>
          <w:i/>
          <w:highlight w:val="yellow"/>
        </w:rPr>
        <w:t>3.114 does not apply, so can’t grant increase based on new criteria prior to 8/13/18 (if filed before 8/13/18 or within a year of 8/13/18), AND can’t go one year prior to DOC (if filed more than a year after 8/13/18, but had evidence of increase on 8/13/18, still have to use DOC). However, can use medical evidence of increase to take back to 8/13/18, if filed w/i 1 year &amp; medical evidence shows increase warranted on 8/13/18</w:t>
      </w:r>
      <w:r>
        <w:rPr>
          <w:i/>
        </w:rPr>
        <w:t>.</w:t>
      </w:r>
    </w:p>
    <w:p w:rsidR="00BB322E" w:rsidRDefault="00D571C5" w:rsidP="00BB322E">
      <w:pPr>
        <w:widowControl w:val="0"/>
        <w:numPr>
          <w:ilvl w:val="12"/>
          <w:numId w:val="0"/>
        </w:numPr>
        <w:pBdr>
          <w:top w:val="single" w:sz="4" w:space="1" w:color="auto"/>
          <w:left w:val="single" w:sz="4" w:space="4" w:color="auto"/>
          <w:bottom w:val="single" w:sz="4" w:space="1" w:color="auto"/>
          <w:right w:val="single" w:sz="4" w:space="4" w:color="auto"/>
        </w:pBdr>
        <w:rPr>
          <w:i/>
          <w:sz w:val="16"/>
        </w:rPr>
      </w:pPr>
      <w:hyperlink r:id="rId586" w:history="1">
        <w:r w:rsidR="00BB322E">
          <w:rPr>
            <w:rStyle w:val="Hyperlink"/>
            <w:i/>
            <w:sz w:val="16"/>
          </w:rPr>
          <w:t>prior to 9/30/02</w:t>
        </w:r>
      </w:hyperlink>
    </w:p>
    <w:p w:rsidR="00BB322E" w:rsidRDefault="00BB322E" w:rsidP="00BB322E">
      <w:pPr>
        <w:widowControl w:val="0"/>
        <w:numPr>
          <w:ilvl w:val="12"/>
          <w:numId w:val="0"/>
        </w:numPr>
        <w:pBdr>
          <w:top w:val="single" w:sz="4" w:space="1" w:color="auto"/>
          <w:left w:val="single" w:sz="4" w:space="4" w:color="auto"/>
          <w:bottom w:val="single" w:sz="4" w:space="1" w:color="auto"/>
          <w:right w:val="single" w:sz="4" w:space="4" w:color="auto"/>
        </w:pBdr>
        <w:rPr>
          <w:i/>
          <w:iCs/>
          <w:sz w:val="16"/>
        </w:rPr>
      </w:pPr>
      <w:r>
        <w:rPr>
          <w:i/>
          <w:iCs/>
          <w:sz w:val="16"/>
        </w:rPr>
        <w:t>see “</w:t>
      </w:r>
      <w:r w:rsidRPr="00EA0611">
        <w:rPr>
          <w:i/>
          <w:iCs/>
          <w:sz w:val="16"/>
        </w:rPr>
        <w:t>Historic Part 4 Sections</w:t>
      </w:r>
      <w:r>
        <w:rPr>
          <w:i/>
          <w:iCs/>
          <w:sz w:val="16"/>
        </w:rPr>
        <w:t>” in Rating References Archive</w:t>
      </w:r>
    </w:p>
    <w:p w:rsidR="00BB322E" w:rsidRPr="00EC3C06" w:rsidRDefault="00BB322E" w:rsidP="00BB322E">
      <w:pPr>
        <w:widowControl w:val="0"/>
        <w:numPr>
          <w:ilvl w:val="12"/>
          <w:numId w:val="0"/>
        </w:numPr>
        <w:pBdr>
          <w:top w:val="single" w:sz="4" w:space="1" w:color="auto"/>
          <w:left w:val="single" w:sz="4" w:space="4" w:color="auto"/>
          <w:bottom w:val="single" w:sz="4" w:space="1" w:color="auto"/>
          <w:right w:val="single" w:sz="4" w:space="4" w:color="auto"/>
        </w:pBdr>
        <w:rPr>
          <w:i/>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4.118; or in CPKM</w:t>
      </w:r>
    </w:p>
    <w:p w:rsidR="00D275EA" w:rsidRDefault="00D275EA" w:rsidP="00D275EA">
      <w:pPr>
        <w:widowControl w:val="0"/>
        <w:numPr>
          <w:ilvl w:val="12"/>
          <w:numId w:val="0"/>
        </w:numPr>
        <w:rPr>
          <w:i/>
        </w:rPr>
      </w:pPr>
    </w:p>
    <w:p w:rsidR="00D275EA" w:rsidRDefault="00D275EA" w:rsidP="00D275EA">
      <w:pPr>
        <w:widowControl w:val="0"/>
        <w:tabs>
          <w:tab w:val="left" w:pos="0"/>
          <w:tab w:val="left" w:pos="144"/>
        </w:tabs>
      </w:pPr>
      <w:r>
        <w:t xml:space="preserve">The rating criteria for </w:t>
      </w:r>
      <w:r>
        <w:rPr>
          <w:b/>
          <w:bCs/>
        </w:rPr>
        <w:t>skin</w:t>
      </w:r>
      <w:r>
        <w:t xml:space="preserve"> was revised effective August 30, 2002.</w:t>
      </w:r>
    </w:p>
    <w:p w:rsidR="00D275EA" w:rsidRDefault="00D275EA" w:rsidP="00D275EA">
      <w:pPr>
        <w:widowControl w:val="0"/>
        <w:tabs>
          <w:tab w:val="left" w:pos="0"/>
          <w:tab w:val="left" w:pos="144"/>
        </w:tabs>
      </w:pPr>
      <w:r>
        <w:t xml:space="preserve">The rating criteria for </w:t>
      </w:r>
      <w:r>
        <w:rPr>
          <w:b/>
          <w:bCs/>
        </w:rPr>
        <w:t xml:space="preserve">scars </w:t>
      </w:r>
      <w:r>
        <w:t xml:space="preserve">was revised effective October 23, 2008. – </w:t>
      </w:r>
      <w:r w:rsidRPr="00A64CC2">
        <w:rPr>
          <w:b/>
        </w:rPr>
        <w:t>III.iv.4.</w:t>
      </w:r>
      <w:r>
        <w:rPr>
          <w:b/>
        </w:rPr>
        <w:t>L</w:t>
      </w:r>
      <w:r w:rsidRPr="00A64CC2">
        <w:rPr>
          <w:b/>
        </w:rPr>
        <w:t>.</w:t>
      </w:r>
      <w:r>
        <w:rPr>
          <w:b/>
        </w:rPr>
        <w:t>2</w:t>
      </w:r>
      <w:r w:rsidRPr="00A64CC2">
        <w:rPr>
          <w:b/>
        </w:rPr>
        <w:t>.d</w:t>
      </w:r>
      <w:r>
        <w:t xml:space="preserve"> - changed 6/22/16, not liberalizing, so do not apply 3.114</w:t>
      </w:r>
    </w:p>
    <w:p w:rsidR="00D275EA" w:rsidRDefault="00D275EA" w:rsidP="00D275EA">
      <w:pPr>
        <w:widowControl w:val="0"/>
        <w:tabs>
          <w:tab w:val="left" w:pos="0"/>
          <w:tab w:val="left" w:pos="144"/>
        </w:tabs>
      </w:pPr>
    </w:p>
    <w:p w:rsidR="00D275EA" w:rsidRDefault="00D275EA" w:rsidP="00D275EA">
      <w:pPr>
        <w:widowControl w:val="0"/>
        <w:tabs>
          <w:tab w:val="left" w:pos="0"/>
          <w:tab w:val="left" w:pos="144"/>
        </w:tabs>
        <w:rPr>
          <w:rFonts w:ascii="Tahoma" w:hAnsi="Tahoma" w:cs="Tahoma"/>
          <w:b/>
          <w:bCs/>
          <w:sz w:val="22"/>
        </w:rPr>
      </w:pPr>
      <w:r>
        <w:rPr>
          <w:rFonts w:ascii="Tahoma" w:hAnsi="Tahoma" w:cs="Tahoma"/>
          <w:b/>
          <w:bCs/>
          <w:sz w:val="22"/>
        </w:rPr>
        <w:t xml:space="preserve">“Rule of Nines” – </w:t>
      </w:r>
    </w:p>
    <w:p w:rsidR="00D275EA" w:rsidRDefault="00D275EA" w:rsidP="00D275EA">
      <w:pPr>
        <w:widowControl w:val="0"/>
        <w:tabs>
          <w:tab w:val="left" w:pos="0"/>
          <w:tab w:val="left" w:pos="144"/>
        </w:tabs>
        <w:rPr>
          <w:rFonts w:ascii="Tahoma" w:hAnsi="Tahoma" w:cs="Tahoma"/>
          <w:sz w:val="22"/>
        </w:rPr>
      </w:pPr>
      <w:r>
        <w:rPr>
          <w:rFonts w:ascii="Tahoma" w:hAnsi="Tahoma" w:cs="Tahoma"/>
          <w:sz w:val="22"/>
        </w:rPr>
        <w:t>entire head and neck = 9%</w:t>
      </w:r>
    </w:p>
    <w:p w:rsidR="00D275EA" w:rsidRDefault="00D275EA" w:rsidP="00D275EA">
      <w:pPr>
        <w:widowControl w:val="0"/>
        <w:tabs>
          <w:tab w:val="left" w:pos="0"/>
          <w:tab w:val="left" w:pos="144"/>
        </w:tabs>
        <w:rPr>
          <w:rFonts w:ascii="Tahoma" w:hAnsi="Tahoma" w:cs="Tahoma"/>
          <w:sz w:val="22"/>
        </w:rPr>
      </w:pPr>
      <w:r>
        <w:rPr>
          <w:rFonts w:ascii="Tahoma" w:hAnsi="Tahoma" w:cs="Tahoma"/>
          <w:sz w:val="22"/>
        </w:rPr>
        <w:t>posterior surface of upper trunk = 9%</w:t>
      </w:r>
    </w:p>
    <w:p w:rsidR="00D275EA" w:rsidRDefault="00D275EA" w:rsidP="00D275EA">
      <w:pPr>
        <w:widowControl w:val="0"/>
        <w:tabs>
          <w:tab w:val="left" w:pos="0"/>
          <w:tab w:val="left" w:pos="144"/>
        </w:tabs>
        <w:rPr>
          <w:rFonts w:ascii="Tahoma" w:hAnsi="Tahoma" w:cs="Tahoma"/>
          <w:sz w:val="22"/>
        </w:rPr>
      </w:pPr>
      <w:r>
        <w:rPr>
          <w:rFonts w:ascii="Tahoma" w:hAnsi="Tahoma" w:cs="Tahoma"/>
          <w:sz w:val="22"/>
        </w:rPr>
        <w:t>anterior surface of upper trunk = 9%</w:t>
      </w:r>
    </w:p>
    <w:p w:rsidR="00D275EA" w:rsidRDefault="00D275EA" w:rsidP="00D275EA">
      <w:pPr>
        <w:widowControl w:val="0"/>
        <w:tabs>
          <w:tab w:val="left" w:pos="0"/>
          <w:tab w:val="left" w:pos="144"/>
        </w:tabs>
        <w:rPr>
          <w:rFonts w:ascii="Tahoma" w:hAnsi="Tahoma" w:cs="Tahoma"/>
          <w:sz w:val="22"/>
        </w:rPr>
      </w:pPr>
      <w:r>
        <w:rPr>
          <w:rFonts w:ascii="Tahoma" w:hAnsi="Tahoma" w:cs="Tahoma"/>
          <w:sz w:val="22"/>
        </w:rPr>
        <w:t>posterior surface of lower trunk = 9%</w:t>
      </w:r>
    </w:p>
    <w:p w:rsidR="00D275EA" w:rsidRDefault="00D275EA" w:rsidP="00D275EA">
      <w:pPr>
        <w:widowControl w:val="0"/>
        <w:tabs>
          <w:tab w:val="left" w:pos="0"/>
          <w:tab w:val="left" w:pos="144"/>
        </w:tabs>
        <w:rPr>
          <w:rFonts w:ascii="Tahoma" w:hAnsi="Tahoma" w:cs="Tahoma"/>
          <w:sz w:val="22"/>
        </w:rPr>
      </w:pPr>
      <w:r>
        <w:rPr>
          <w:rFonts w:ascii="Tahoma" w:hAnsi="Tahoma" w:cs="Tahoma"/>
          <w:sz w:val="22"/>
        </w:rPr>
        <w:t>anterior surface of lower trunk = 9%</w:t>
      </w:r>
    </w:p>
    <w:p w:rsidR="00D275EA" w:rsidRDefault="00D275EA" w:rsidP="00D275EA">
      <w:pPr>
        <w:pStyle w:val="Header"/>
        <w:widowControl w:val="0"/>
        <w:tabs>
          <w:tab w:val="clear" w:pos="4320"/>
          <w:tab w:val="clear" w:pos="8640"/>
          <w:tab w:val="left" w:pos="0"/>
          <w:tab w:val="left" w:pos="144"/>
        </w:tabs>
        <w:rPr>
          <w:rFonts w:ascii="Tahoma" w:hAnsi="Tahoma" w:cs="Tahoma"/>
          <w:sz w:val="22"/>
        </w:rPr>
      </w:pPr>
      <w:r>
        <w:rPr>
          <w:rFonts w:ascii="Tahoma" w:hAnsi="Tahoma" w:cs="Tahoma"/>
          <w:sz w:val="22"/>
        </w:rPr>
        <w:t>each entire arm = 9%</w:t>
      </w:r>
    </w:p>
    <w:p w:rsidR="00D275EA" w:rsidRDefault="00D275EA" w:rsidP="00D275EA">
      <w:pPr>
        <w:widowControl w:val="0"/>
        <w:tabs>
          <w:tab w:val="left" w:pos="0"/>
          <w:tab w:val="left" w:pos="144"/>
        </w:tabs>
        <w:rPr>
          <w:rFonts w:ascii="Tahoma" w:hAnsi="Tahoma" w:cs="Tahoma"/>
          <w:sz w:val="22"/>
        </w:rPr>
      </w:pPr>
      <w:r>
        <w:rPr>
          <w:rFonts w:ascii="Tahoma" w:hAnsi="Tahoma" w:cs="Tahoma"/>
          <w:sz w:val="22"/>
        </w:rPr>
        <w:t>posterior surface of each leg = 9%</w:t>
      </w:r>
    </w:p>
    <w:p w:rsidR="00D275EA" w:rsidRDefault="00D275EA" w:rsidP="00D275EA">
      <w:pPr>
        <w:widowControl w:val="0"/>
        <w:tabs>
          <w:tab w:val="left" w:pos="0"/>
          <w:tab w:val="left" w:pos="144"/>
        </w:tabs>
        <w:rPr>
          <w:rFonts w:ascii="Tahoma" w:hAnsi="Tahoma" w:cs="Tahoma"/>
          <w:sz w:val="22"/>
        </w:rPr>
      </w:pPr>
      <w:r>
        <w:rPr>
          <w:rFonts w:ascii="Tahoma" w:hAnsi="Tahoma" w:cs="Tahoma"/>
          <w:sz w:val="22"/>
        </w:rPr>
        <w:t>anterior surface of each leg = 9%</w:t>
      </w:r>
    </w:p>
    <w:p w:rsidR="00D275EA" w:rsidRDefault="00D275EA" w:rsidP="00D275EA">
      <w:pPr>
        <w:widowControl w:val="0"/>
        <w:tabs>
          <w:tab w:val="left" w:pos="0"/>
          <w:tab w:val="left" w:pos="144"/>
        </w:tabs>
        <w:rPr>
          <w:rFonts w:ascii="Tahoma" w:hAnsi="Tahoma" w:cs="Tahoma"/>
          <w:sz w:val="22"/>
        </w:rPr>
      </w:pPr>
      <w:r>
        <w:rPr>
          <w:rFonts w:ascii="Tahoma" w:hAnsi="Tahoma" w:cs="Tahoma"/>
          <w:sz w:val="22"/>
        </w:rPr>
        <w:t>genital area = 1%</w:t>
      </w:r>
    </w:p>
    <w:p w:rsidR="00D275EA" w:rsidRDefault="00D275EA" w:rsidP="00D275EA">
      <w:pPr>
        <w:widowControl w:val="0"/>
        <w:tabs>
          <w:tab w:val="left" w:pos="0"/>
          <w:tab w:val="left" w:pos="144"/>
        </w:tabs>
        <w:rPr>
          <w:rFonts w:ascii="Tahoma" w:hAnsi="Tahoma" w:cs="Tahoma"/>
          <w:sz w:val="22"/>
        </w:rPr>
      </w:pPr>
    </w:p>
    <w:p w:rsidR="00D275EA" w:rsidRPr="00B1294F" w:rsidRDefault="00D275EA" w:rsidP="00D275EA">
      <w:pPr>
        <w:widowControl w:val="0"/>
        <w:tabs>
          <w:tab w:val="left" w:pos="0"/>
          <w:tab w:val="left" w:pos="144"/>
        </w:tabs>
        <w:spacing w:after="120"/>
      </w:pPr>
      <w:r w:rsidRPr="00B1294F">
        <w:t xml:space="preserve">if TNTC estimated area is given in cm2, ensure you change the unit </w:t>
      </w:r>
      <w:r>
        <w:t xml:space="preserve">selection </w:t>
      </w:r>
      <w:r w:rsidRPr="00B1294F">
        <w:t>to “centimeters”</w:t>
      </w:r>
    </w:p>
    <w:p w:rsidR="00D275EA" w:rsidRDefault="00D275EA" w:rsidP="00D275EA">
      <w:pPr>
        <w:widowControl w:val="0"/>
        <w:numPr>
          <w:ilvl w:val="12"/>
          <w:numId w:val="0"/>
        </w:numPr>
        <w:spacing w:after="120"/>
        <w:rPr>
          <w:i/>
        </w:rPr>
      </w:pPr>
      <w:r>
        <w:rPr>
          <w:i/>
        </w:rPr>
        <w:t>see Eyes for loss of eyebrows &amp; eyelashes (6023 &amp; 6024)</w:t>
      </w:r>
    </w:p>
    <w:p w:rsidR="00D275EA" w:rsidRDefault="00D275EA" w:rsidP="00F063AF">
      <w:pPr>
        <w:widowControl w:val="0"/>
        <w:numPr>
          <w:ilvl w:val="0"/>
          <w:numId w:val="74"/>
        </w:numPr>
        <w:tabs>
          <w:tab w:val="clear" w:pos="720"/>
          <w:tab w:val="num" w:pos="360"/>
        </w:tabs>
        <w:spacing w:after="120"/>
        <w:ind w:left="360"/>
        <w:rPr>
          <w:b/>
          <w:i/>
        </w:rPr>
      </w:pPr>
      <w:r>
        <w:rPr>
          <w:b/>
        </w:rPr>
        <w:t xml:space="preserve">IV.ii.2.B.3.b – </w:t>
      </w:r>
      <w:r>
        <w:t>(add</w:t>
      </w:r>
      <w:r w:rsidRPr="00A64CC2">
        <w:t xml:space="preserve">ed </w:t>
      </w:r>
      <w:r w:rsidRPr="00640DF1">
        <w:t>7/8/15</w:t>
      </w:r>
      <w:r>
        <w:t>) -</w:t>
      </w:r>
      <w:r w:rsidRPr="00640DF1">
        <w:t xml:space="preserve"> If there is any doubt as to whether the scar is a residual of a wound or injury incurred in service, simply describe the scar, without ascribing it to a specific injury such as a “gunshot wound” or “shrapnel wound.”</w:t>
      </w:r>
    </w:p>
    <w:p w:rsidR="00D275EA" w:rsidRDefault="00D275EA" w:rsidP="00F063AF">
      <w:pPr>
        <w:widowControl w:val="0"/>
        <w:numPr>
          <w:ilvl w:val="0"/>
          <w:numId w:val="74"/>
        </w:numPr>
        <w:tabs>
          <w:tab w:val="clear" w:pos="720"/>
          <w:tab w:val="num" w:pos="360"/>
        </w:tabs>
        <w:spacing w:after="120"/>
        <w:ind w:left="360"/>
        <w:rPr>
          <w:b/>
          <w:i/>
        </w:rPr>
      </w:pPr>
      <w:r>
        <w:rPr>
          <w:b/>
          <w:i/>
        </w:rPr>
        <w:t xml:space="preserve">Chelte v. Brown </w:t>
      </w:r>
      <w:r>
        <w:rPr>
          <w:b/>
        </w:rPr>
        <w:t>(1997)</w:t>
      </w:r>
    </w:p>
    <w:p w:rsidR="00D275EA" w:rsidRDefault="00D275EA" w:rsidP="00D275EA">
      <w:pPr>
        <w:widowControl w:val="0"/>
        <w:numPr>
          <w:ilvl w:val="0"/>
          <w:numId w:val="45"/>
        </w:numPr>
        <w:tabs>
          <w:tab w:val="clear" w:pos="720"/>
          <w:tab w:val="num" w:pos="360"/>
        </w:tabs>
        <w:spacing w:after="120"/>
        <w:ind w:left="360"/>
      </w:pPr>
      <w:r w:rsidRPr="002E2D9E">
        <w:rPr>
          <w:b/>
          <w:i/>
        </w:rPr>
        <w:t>June 2012 Compensation Service Bulletin (CSB)</w:t>
      </w:r>
      <w:r>
        <w:rPr>
          <w:bCs/>
          <w:iCs/>
        </w:rPr>
        <w:t xml:space="preserve"> – tenderness is synonymous with painful</w:t>
      </w:r>
    </w:p>
    <w:p w:rsidR="00D275EA" w:rsidRPr="00650BE5" w:rsidRDefault="00D571C5" w:rsidP="00D275EA">
      <w:pPr>
        <w:widowControl w:val="0"/>
        <w:numPr>
          <w:ilvl w:val="0"/>
          <w:numId w:val="45"/>
        </w:numPr>
        <w:tabs>
          <w:tab w:val="clear" w:pos="720"/>
          <w:tab w:val="num" w:pos="360"/>
          <w:tab w:val="left" w:pos="9413"/>
        </w:tabs>
        <w:spacing w:after="120"/>
        <w:ind w:left="360"/>
        <w:rPr>
          <w:i/>
          <w:iCs/>
        </w:rPr>
      </w:pPr>
      <w:hyperlink r:id="rId587" w:history="1">
        <w:r w:rsidR="00D275EA">
          <w:rPr>
            <w:rStyle w:val="Hyperlink"/>
            <w:b/>
            <w:bCs/>
            <w:i/>
            <w:iCs/>
          </w:rPr>
          <w:t>FY 2012 Quality Call Training</w:t>
        </w:r>
      </w:hyperlink>
      <w:r w:rsidR="00D275EA" w:rsidRPr="002B1B67">
        <w:rPr>
          <w:b/>
          <w:bCs/>
          <w:i/>
          <w:iCs/>
        </w:rPr>
        <w:t xml:space="preserve"> – </w:t>
      </w:r>
      <w:r w:rsidR="00D275EA" w:rsidRPr="00E94B83">
        <w:rPr>
          <w:b/>
          <w:bCs/>
          <w:iCs/>
        </w:rPr>
        <w:t>I</w:t>
      </w:r>
      <w:r w:rsidR="00D275EA">
        <w:rPr>
          <w:b/>
          <w:bCs/>
          <w:iCs/>
        </w:rPr>
        <w:t>nter-Rater Reliability (I</w:t>
      </w:r>
      <w:r w:rsidR="00D275EA" w:rsidRPr="00E94B83">
        <w:rPr>
          <w:b/>
          <w:bCs/>
          <w:iCs/>
        </w:rPr>
        <w:t>RR</w:t>
      </w:r>
      <w:r w:rsidR="00D275EA">
        <w:rPr>
          <w:b/>
          <w:bCs/>
          <w:iCs/>
        </w:rPr>
        <w:t>)/IRR Consistency Questionnaire</w:t>
      </w:r>
      <w:r w:rsidR="00D275EA">
        <w:rPr>
          <w:b/>
          <w:iCs/>
        </w:rPr>
        <w:t xml:space="preserve"> – </w:t>
      </w:r>
      <w:r w:rsidR="00D275EA">
        <w:rPr>
          <w:iCs/>
        </w:rPr>
        <w:t>add 10% when one or more scars are both painful and unstable</w:t>
      </w:r>
    </w:p>
    <w:p w:rsidR="00D275EA" w:rsidRPr="00AB0651" w:rsidRDefault="00D571C5" w:rsidP="00F063AF">
      <w:pPr>
        <w:pStyle w:val="Heading1"/>
        <w:numPr>
          <w:ilvl w:val="1"/>
          <w:numId w:val="135"/>
        </w:numPr>
        <w:tabs>
          <w:tab w:val="clear" w:pos="1440"/>
          <w:tab w:val="num" w:pos="360"/>
        </w:tabs>
        <w:spacing w:after="120"/>
        <w:ind w:left="360"/>
        <w:rPr>
          <w:sz w:val="20"/>
        </w:rPr>
      </w:pPr>
      <w:hyperlink r:id="rId588" w:history="1">
        <w:r w:rsidR="00D275EA" w:rsidRPr="00E15289">
          <w:rPr>
            <w:rStyle w:val="Hyperlink"/>
            <w:b/>
            <w:bCs/>
            <w:sz w:val="20"/>
          </w:rPr>
          <w:t>QRT Bulletin April-June 2013</w:t>
        </w:r>
      </w:hyperlink>
      <w:r w:rsidR="00D275EA" w:rsidRPr="00AB0651">
        <w:rPr>
          <w:iCs w:val="0"/>
          <w:sz w:val="20"/>
        </w:rPr>
        <w:t xml:space="preserve"> – </w:t>
      </w:r>
      <w:r w:rsidR="00D275EA" w:rsidRPr="00AB0651">
        <w:rPr>
          <w:b/>
          <w:i w:val="0"/>
          <w:sz w:val="20"/>
        </w:rPr>
        <w:t>Evaluation for multiple S/C skin conditions and the Skin DBQ.</w:t>
      </w:r>
    </w:p>
    <w:p w:rsidR="00D275EA" w:rsidRPr="00AB0651" w:rsidRDefault="00D275EA" w:rsidP="00D275EA">
      <w:pPr>
        <w:spacing w:after="120"/>
        <w:ind w:left="360"/>
        <w:rPr>
          <w:color w:val="000000"/>
        </w:rPr>
      </w:pPr>
      <w:r w:rsidRPr="00AB0651">
        <w:rPr>
          <w:color w:val="000000"/>
        </w:rPr>
        <w:t xml:space="preserve">Discussion: The totality of the evaluated surface area must be known in order to evaluate multiple service connected skin conditions that are based on the total body surface area or exposed areas affected. </w:t>
      </w:r>
    </w:p>
    <w:p w:rsidR="00D275EA" w:rsidRPr="00AB0651" w:rsidRDefault="00D275EA" w:rsidP="00D275EA">
      <w:pPr>
        <w:spacing w:after="120"/>
        <w:ind w:left="360"/>
        <w:rPr>
          <w:color w:val="000000"/>
        </w:rPr>
      </w:pPr>
      <w:r w:rsidRPr="00AB0651">
        <w:rPr>
          <w:color w:val="000000"/>
        </w:rPr>
        <w:t xml:space="preserve">The Skin Disease DBQ asks the VA Examiner to report the percent covered for each condition separately. DBQ Call Meeting Minutes dated 08/17/2012, clarified the reasoning for the DBQ asking the VA Examiner to report the percent covered for each condition separately is that the VA Examiner does not know which of the conditions are or will be service connected.  </w:t>
      </w:r>
    </w:p>
    <w:p w:rsidR="00D275EA" w:rsidRPr="00AB0651" w:rsidRDefault="00D275EA" w:rsidP="00D275EA">
      <w:pPr>
        <w:ind w:left="360"/>
        <w:rPr>
          <w:color w:val="000000"/>
        </w:rPr>
      </w:pPr>
      <w:r w:rsidRPr="00AB0651">
        <w:rPr>
          <w:color w:val="000000"/>
        </w:rPr>
        <w:t>For example, the VAE shows three conditions, and the VA Examiner reports the following:</w:t>
      </w:r>
    </w:p>
    <w:p w:rsidR="00D275EA" w:rsidRPr="00AB0651" w:rsidRDefault="00D275EA" w:rsidP="00F063AF">
      <w:pPr>
        <w:pStyle w:val="ListParagraph"/>
        <w:numPr>
          <w:ilvl w:val="0"/>
          <w:numId w:val="136"/>
        </w:numPr>
        <w:spacing w:after="0" w:line="240" w:lineRule="auto"/>
        <w:rPr>
          <w:rFonts w:ascii="Arial" w:hAnsi="Arial"/>
          <w:color w:val="000000"/>
          <w:sz w:val="20"/>
          <w:szCs w:val="20"/>
        </w:rPr>
      </w:pPr>
      <w:r w:rsidRPr="00AB0651">
        <w:rPr>
          <w:rFonts w:ascii="Arial" w:hAnsi="Arial"/>
          <w:color w:val="000000"/>
          <w:sz w:val="20"/>
          <w:szCs w:val="20"/>
        </w:rPr>
        <w:t>Eczema is less than 5 percent.</w:t>
      </w:r>
    </w:p>
    <w:p w:rsidR="00D275EA" w:rsidRPr="00AB0651" w:rsidRDefault="00D275EA" w:rsidP="00F063AF">
      <w:pPr>
        <w:pStyle w:val="ListParagraph"/>
        <w:numPr>
          <w:ilvl w:val="0"/>
          <w:numId w:val="136"/>
        </w:numPr>
        <w:spacing w:after="0" w:line="240" w:lineRule="auto"/>
        <w:rPr>
          <w:rFonts w:ascii="Arial" w:hAnsi="Arial"/>
          <w:color w:val="000000"/>
          <w:sz w:val="20"/>
          <w:szCs w:val="20"/>
        </w:rPr>
      </w:pPr>
      <w:r w:rsidRPr="00AB0651">
        <w:rPr>
          <w:rFonts w:ascii="Arial" w:hAnsi="Arial"/>
          <w:color w:val="000000"/>
          <w:sz w:val="20"/>
          <w:szCs w:val="20"/>
        </w:rPr>
        <w:t>Dermatitis is less than 5 percent.</w:t>
      </w:r>
    </w:p>
    <w:p w:rsidR="00D275EA" w:rsidRDefault="00D275EA" w:rsidP="00F063AF">
      <w:pPr>
        <w:pStyle w:val="ListParagraph"/>
        <w:numPr>
          <w:ilvl w:val="0"/>
          <w:numId w:val="136"/>
        </w:numPr>
        <w:spacing w:after="120" w:line="240" w:lineRule="auto"/>
        <w:rPr>
          <w:rFonts w:ascii="Arial" w:hAnsi="Arial"/>
          <w:color w:val="000000"/>
          <w:sz w:val="20"/>
          <w:szCs w:val="20"/>
        </w:rPr>
      </w:pPr>
      <w:r w:rsidRPr="00AB0651">
        <w:rPr>
          <w:rFonts w:ascii="Arial" w:hAnsi="Arial"/>
          <w:color w:val="000000"/>
          <w:sz w:val="20"/>
          <w:szCs w:val="20"/>
        </w:rPr>
        <w:t>Psoriasis is less than 5 percent.</w:t>
      </w:r>
    </w:p>
    <w:p w:rsidR="00D275EA" w:rsidRPr="00AB0651" w:rsidRDefault="00D275EA" w:rsidP="00D275EA">
      <w:pPr>
        <w:spacing w:after="120"/>
        <w:ind w:left="360"/>
        <w:rPr>
          <w:color w:val="000000"/>
        </w:rPr>
      </w:pPr>
      <w:r w:rsidRPr="00AB0651">
        <w:rPr>
          <w:color w:val="000000"/>
        </w:rPr>
        <w:t xml:space="preserve">The RVSR makes a decision, and grants S/C for eczema and psoriasis.  S/C for dermatitis is denied.  In this example, the VA Examiner reported eczema is less than 5 percent and psoriasis is less than 5 percent.  Yet, what is the total body surface area or percent of exposed areas affected for eczema and psoriasis? Is it less than 5 percent or at least 5 percent?  Since we do not know the answer, we must defer and ask the VA Examiner.  </w:t>
      </w:r>
    </w:p>
    <w:p w:rsidR="00D275EA" w:rsidRPr="00AB0651" w:rsidRDefault="00D275EA" w:rsidP="00D275EA">
      <w:pPr>
        <w:spacing w:after="120"/>
        <w:ind w:left="360"/>
        <w:rPr>
          <w:color w:val="000000"/>
        </w:rPr>
      </w:pPr>
      <w:r w:rsidRPr="00AB0651">
        <w:rPr>
          <w:color w:val="000000"/>
        </w:rPr>
        <w:t xml:space="preserve">Procedural Guidance: If the VAE is insufficient to evaluate the skin conditions, make an interim RD and grant S/C for the skin conditions with a 0 percent evaluation.  Defer the evaluation and ask the VA Examiner to provide the combined percent of the body and/or the exposed areas affected by the S/C conditions.  A final RD will be required once the total percent of the body and or the exposed areas affected is known.  </w:t>
      </w:r>
    </w:p>
    <w:p w:rsidR="00D275EA" w:rsidRPr="00AB0651" w:rsidRDefault="00D275EA" w:rsidP="00D275EA">
      <w:pPr>
        <w:ind w:left="360"/>
        <w:rPr>
          <w:color w:val="000000"/>
        </w:rPr>
      </w:pPr>
      <w:r w:rsidRPr="00AB0651">
        <w:rPr>
          <w:color w:val="000000"/>
        </w:rPr>
        <w:t>Continuing with the example above:</w:t>
      </w:r>
    </w:p>
    <w:p w:rsidR="00D275EA" w:rsidRPr="00AB0651" w:rsidRDefault="00D275EA" w:rsidP="00F063AF">
      <w:pPr>
        <w:pStyle w:val="ListParagraph"/>
        <w:numPr>
          <w:ilvl w:val="0"/>
          <w:numId w:val="137"/>
        </w:numPr>
        <w:tabs>
          <w:tab w:val="left" w:pos="720"/>
        </w:tabs>
        <w:spacing w:after="0" w:line="240" w:lineRule="auto"/>
        <w:ind w:left="720"/>
        <w:rPr>
          <w:rFonts w:ascii="Arial" w:hAnsi="Arial"/>
          <w:color w:val="000000"/>
          <w:sz w:val="20"/>
          <w:szCs w:val="20"/>
        </w:rPr>
      </w:pPr>
      <w:r w:rsidRPr="00AB0651">
        <w:rPr>
          <w:rFonts w:ascii="Arial" w:hAnsi="Arial"/>
          <w:color w:val="000000"/>
          <w:sz w:val="20"/>
          <w:szCs w:val="20"/>
        </w:rPr>
        <w:t>The VA Examiner reports the total body surface area of the eczema and psoriasis is at least 5 percent but less than 20 percent.  Here, a final RD granting a 10 percent evaluation is warranted.</w:t>
      </w:r>
    </w:p>
    <w:p w:rsidR="00D275EA" w:rsidRPr="00AB0651" w:rsidRDefault="00D275EA" w:rsidP="00F063AF">
      <w:pPr>
        <w:numPr>
          <w:ilvl w:val="0"/>
          <w:numId w:val="137"/>
        </w:numPr>
        <w:tabs>
          <w:tab w:val="left" w:pos="720"/>
        </w:tabs>
        <w:spacing w:after="120"/>
        <w:ind w:left="720"/>
        <w:rPr>
          <w:color w:val="000000"/>
        </w:rPr>
      </w:pPr>
      <w:r w:rsidRPr="00AB0651">
        <w:rPr>
          <w:color w:val="000000"/>
        </w:rPr>
        <w:t>The VA Examiner reports the total body surface area of the eczema and psoriasis is less than 5 percent.  Here, a final RD confirming and continuing the 0 percent evaluation is warranted.</w:t>
      </w:r>
    </w:p>
    <w:p w:rsidR="00D275EA" w:rsidRDefault="00D275EA" w:rsidP="00D275EA">
      <w:pPr>
        <w:ind w:left="360"/>
      </w:pPr>
      <w:r w:rsidRPr="00AB0651">
        <w:t xml:space="preserve">Reference: </w:t>
      </w:r>
      <w:r w:rsidRPr="002E2D9E">
        <w:t>38 CFR 4.118</w:t>
      </w:r>
      <w:r w:rsidRPr="00AB0651">
        <w:t xml:space="preserve">; </w:t>
      </w:r>
      <w:r w:rsidRPr="002E2D9E">
        <w:t>M21-1MR III.iv.5.3.a</w:t>
      </w:r>
      <w:r w:rsidRPr="00AB0651">
        <w:t xml:space="preserve">; </w:t>
      </w:r>
      <w:r w:rsidRPr="002E2D9E">
        <w:t>DBQ Call Meeting Minutes dated 08/17/2012</w:t>
      </w:r>
    </w:p>
    <w:p w:rsidR="00D275EA" w:rsidRDefault="00D275EA" w:rsidP="00D275EA">
      <w:pPr>
        <w:ind w:left="360"/>
      </w:pPr>
    </w:p>
    <w:p w:rsidR="00D275EA" w:rsidRPr="00984D34" w:rsidRDefault="00D275EA" w:rsidP="00D275EA">
      <w:pPr>
        <w:widowControl w:val="0"/>
        <w:numPr>
          <w:ilvl w:val="0"/>
          <w:numId w:val="45"/>
        </w:numPr>
        <w:tabs>
          <w:tab w:val="clear" w:pos="720"/>
          <w:tab w:val="num" w:pos="360"/>
        </w:tabs>
        <w:spacing w:after="120"/>
        <w:ind w:left="360"/>
        <w:rPr>
          <w:b/>
          <w:color w:val="000000"/>
        </w:rPr>
      </w:pPr>
      <w:r w:rsidRPr="00984D34">
        <w:rPr>
          <w:b/>
          <w:color w:val="000000"/>
          <w:u w:val="single"/>
        </w:rPr>
        <w:t>Weekly Q</w:t>
      </w:r>
      <w:r>
        <w:rPr>
          <w:b/>
          <w:color w:val="000000"/>
          <w:u w:val="single"/>
        </w:rPr>
        <w:t>-</w:t>
      </w:r>
      <w:r w:rsidRPr="00984D34">
        <w:rPr>
          <w:b/>
          <w:color w:val="000000"/>
          <w:u w:val="single"/>
        </w:rPr>
        <w:t>Tip</w:t>
      </w:r>
      <w:r w:rsidRPr="00984D34">
        <w:rPr>
          <w:b/>
          <w:color w:val="000000"/>
        </w:rPr>
        <w:t xml:space="preserve"> (10/22/13) – </w:t>
      </w:r>
    </w:p>
    <w:p w:rsidR="00D275EA" w:rsidRPr="008E214F" w:rsidRDefault="00D275EA" w:rsidP="00D275EA">
      <w:pPr>
        <w:pStyle w:val="NormalWeb"/>
        <w:ind w:left="360"/>
        <w:rPr>
          <w:sz w:val="20"/>
          <w:szCs w:val="20"/>
        </w:rPr>
      </w:pPr>
      <w:r w:rsidRPr="008E214F">
        <w:rPr>
          <w:sz w:val="20"/>
          <w:szCs w:val="20"/>
        </w:rPr>
        <w:t>This week’s QRT quality tip is to serve as a reminder to consider service connection for a scar that is shown to be related to the service-connected primary condition or as a result of treatment for that service-connected disability.</w:t>
      </w:r>
    </w:p>
    <w:p w:rsidR="00D275EA" w:rsidRPr="008E214F" w:rsidRDefault="00D275EA" w:rsidP="00D275EA">
      <w:pPr>
        <w:pStyle w:val="NormalWeb"/>
        <w:ind w:left="360"/>
        <w:rPr>
          <w:sz w:val="20"/>
          <w:szCs w:val="20"/>
        </w:rPr>
      </w:pPr>
      <w:r w:rsidRPr="008E214F">
        <w:rPr>
          <w:sz w:val="20"/>
          <w:szCs w:val="20"/>
        </w:rPr>
        <w:t xml:space="preserve">When a claimed condition warrants service connection, and the DBQ shows a scar that is related to that condition or to the treatment of the claimed condition, the scar should be sympathetically read and considered part of the primary condition. </w:t>
      </w:r>
    </w:p>
    <w:p w:rsidR="00D275EA" w:rsidRPr="008E214F" w:rsidRDefault="00D275EA" w:rsidP="00D275EA">
      <w:pPr>
        <w:pStyle w:val="NormalWeb"/>
        <w:ind w:left="360"/>
        <w:rPr>
          <w:sz w:val="20"/>
          <w:szCs w:val="20"/>
        </w:rPr>
      </w:pPr>
      <w:r w:rsidRPr="008E214F">
        <w:rPr>
          <w:sz w:val="20"/>
          <w:szCs w:val="20"/>
        </w:rPr>
        <w:t>A scar is to be sympathetically read and considered part of the claim condition as it is proximately due to, or the result of, the claimed condition. The effective date of the scar shall be the same as the effective date of the original claimed condition if the scar existed on that effective date. Otherwise, the effective date of the scar would be the date entitlement arose.</w:t>
      </w:r>
    </w:p>
    <w:p w:rsidR="00D275EA" w:rsidRPr="005A2BEB" w:rsidRDefault="00D275EA" w:rsidP="00D275EA">
      <w:pPr>
        <w:pStyle w:val="NormalWeb"/>
        <w:ind w:left="360"/>
        <w:rPr>
          <w:rStyle w:val="Hyperlink"/>
          <w:sz w:val="20"/>
          <w:szCs w:val="20"/>
          <w:highlight w:val="darkGray"/>
        </w:rPr>
      </w:pPr>
      <w:r w:rsidRPr="008E214F">
        <w:rPr>
          <w:sz w:val="20"/>
          <w:szCs w:val="20"/>
        </w:rPr>
        <w:t xml:space="preserve">Reference: </w:t>
      </w:r>
      <w:r w:rsidRPr="002E2D9E">
        <w:rPr>
          <w:sz w:val="20"/>
          <w:szCs w:val="20"/>
        </w:rPr>
        <w:t>38 CFR §3.310(a)</w:t>
      </w:r>
      <w:r w:rsidRPr="008E214F">
        <w:rPr>
          <w:color w:val="0000FF"/>
          <w:sz w:val="20"/>
          <w:szCs w:val="20"/>
        </w:rPr>
        <w:t>,</w:t>
      </w:r>
      <w:r w:rsidRPr="008E214F">
        <w:rPr>
          <w:sz w:val="20"/>
          <w:szCs w:val="20"/>
        </w:rPr>
        <w:t xml:space="preserve"> </w:t>
      </w:r>
      <w:r w:rsidRPr="005A2BEB">
        <w:rPr>
          <w:sz w:val="20"/>
          <w:szCs w:val="20"/>
          <w:highlight w:val="darkGray"/>
        </w:rPr>
        <w:t>M21-1MR III.iv.6.B.3.a</w:t>
      </w:r>
      <w:r w:rsidRPr="005A2BEB">
        <w:rPr>
          <w:color w:val="0000FF"/>
          <w:sz w:val="20"/>
          <w:szCs w:val="20"/>
          <w:highlight w:val="darkGray"/>
        </w:rPr>
        <w:t>,</w:t>
      </w:r>
      <w:r w:rsidRPr="005A2BEB">
        <w:rPr>
          <w:sz w:val="20"/>
          <w:szCs w:val="20"/>
          <w:highlight w:val="darkGray"/>
        </w:rPr>
        <w:t xml:space="preserve"> M21-1MR IV.ii.2.B.6.a</w:t>
      </w:r>
      <w:r w:rsidRPr="005A2BEB">
        <w:rPr>
          <w:color w:val="0000FF"/>
          <w:sz w:val="20"/>
          <w:szCs w:val="20"/>
          <w:highlight w:val="darkGray"/>
        </w:rPr>
        <w:t>,</w:t>
      </w:r>
      <w:r w:rsidRPr="005A2BEB">
        <w:rPr>
          <w:sz w:val="20"/>
          <w:szCs w:val="20"/>
          <w:highlight w:val="darkGray"/>
        </w:rPr>
        <w:t xml:space="preserve"> M21-1MR IV.ii.2.B.4.c</w:t>
      </w:r>
    </w:p>
    <w:p w:rsidR="00D275EA" w:rsidRPr="005A2BEB" w:rsidRDefault="00D571C5" w:rsidP="00D275EA">
      <w:pPr>
        <w:pStyle w:val="ListParagraph"/>
        <w:numPr>
          <w:ilvl w:val="0"/>
          <w:numId w:val="45"/>
        </w:numPr>
        <w:tabs>
          <w:tab w:val="clear" w:pos="720"/>
          <w:tab w:val="left" w:pos="360"/>
        </w:tabs>
        <w:spacing w:after="120" w:line="240" w:lineRule="auto"/>
        <w:ind w:left="360"/>
        <w:rPr>
          <w:rFonts w:asciiTheme="minorHAnsi" w:eastAsiaTheme="minorHAnsi" w:hAnsiTheme="minorHAnsi"/>
          <w:sz w:val="20"/>
          <w:szCs w:val="20"/>
          <w:highlight w:val="darkGray"/>
        </w:rPr>
      </w:pPr>
      <w:hyperlink r:id="rId589" w:history="1">
        <w:r w:rsidR="00D275EA" w:rsidRPr="005A2BEB">
          <w:rPr>
            <w:rStyle w:val="Hyperlink"/>
            <w:rFonts w:asciiTheme="minorHAnsi" w:eastAsiaTheme="minorHAnsi" w:hAnsiTheme="minorHAnsi"/>
            <w:b/>
            <w:i/>
            <w:sz w:val="20"/>
            <w:szCs w:val="20"/>
            <w:highlight w:val="darkGray"/>
          </w:rPr>
          <w:t>VBMS Tips &amp; Tricks 6.1</w:t>
        </w:r>
      </w:hyperlink>
      <w:r w:rsidR="00D275EA" w:rsidRPr="005A2BEB">
        <w:rPr>
          <w:rFonts w:asciiTheme="minorHAnsi" w:eastAsiaTheme="minorHAnsi" w:hAnsiTheme="minorHAnsi"/>
          <w:b/>
          <w:i/>
          <w:sz w:val="20"/>
          <w:szCs w:val="20"/>
          <w:highlight w:val="darkGray"/>
          <w:u w:val="single"/>
        </w:rPr>
        <w:t xml:space="preserve"> 4/21/13</w:t>
      </w:r>
      <w:r w:rsidR="00D275EA" w:rsidRPr="005A2BEB">
        <w:rPr>
          <w:rFonts w:asciiTheme="minorHAnsi" w:eastAsiaTheme="minorHAnsi" w:hAnsiTheme="minorHAnsi"/>
          <w:sz w:val="20"/>
          <w:szCs w:val="20"/>
          <w:highlight w:val="darkGray"/>
        </w:rPr>
        <w:t>– for 0% scars based on a non-scar DBQ (surgical scar, etc.), enter 0 mm &amp; add this:</w:t>
      </w:r>
    </w:p>
    <w:p w:rsidR="00D275EA" w:rsidRDefault="00D275EA" w:rsidP="00D275EA">
      <w:pPr>
        <w:tabs>
          <w:tab w:val="left" w:pos="360"/>
        </w:tabs>
        <w:spacing w:after="120"/>
        <w:ind w:left="360"/>
        <w:rPr>
          <w:rFonts w:asciiTheme="minorHAnsi" w:eastAsiaTheme="minorHAnsi" w:hAnsiTheme="minorHAnsi"/>
        </w:rPr>
      </w:pPr>
      <w:r w:rsidRPr="005A2BEB">
        <w:rPr>
          <w:rFonts w:asciiTheme="minorHAnsi" w:eastAsiaTheme="minorHAnsi" w:hAnsiTheme="minorHAnsi"/>
          <w:highlight w:val="darkGray"/>
        </w:rPr>
        <w:t>Please note that the scar measurements provided to not reflect your actual disability. When a scar is found to have non-compensable symptoms, the VA does not require that the examiner provide exact measurements. Instead, your examiner has stated that your scar is not painful or unstable and measures less than 39 square cm (6 sq. inches).</w:t>
      </w:r>
    </w:p>
    <w:p w:rsidR="00D275EA" w:rsidRPr="0095605B" w:rsidRDefault="00D275EA" w:rsidP="00D275EA">
      <w:pPr>
        <w:tabs>
          <w:tab w:val="left" w:pos="360"/>
        </w:tabs>
        <w:spacing w:after="120"/>
        <w:ind w:left="360"/>
        <w:rPr>
          <w:rFonts w:eastAsiaTheme="minorHAnsi"/>
          <w:i/>
        </w:rPr>
      </w:pPr>
      <w:r w:rsidRPr="0095605B">
        <w:rPr>
          <w:rFonts w:eastAsiaTheme="minorHAnsi"/>
          <w:i/>
        </w:rPr>
        <w:t xml:space="preserve">As of 3/17 (or sometime before), VEB now generates this language </w:t>
      </w:r>
      <w:r>
        <w:rPr>
          <w:rFonts w:eastAsiaTheme="minorHAnsi"/>
          <w:i/>
        </w:rPr>
        <w:t xml:space="preserve">for each scar if </w:t>
      </w:r>
      <w:r w:rsidRPr="0095605B">
        <w:rPr>
          <w:rFonts w:eastAsiaTheme="minorHAnsi"/>
          <w:i/>
        </w:rPr>
        <w:t>you enter 0mm x 0mm:</w:t>
      </w:r>
    </w:p>
    <w:p w:rsidR="00D275EA" w:rsidRPr="0095605B" w:rsidRDefault="00D275EA" w:rsidP="00D275EA">
      <w:pPr>
        <w:tabs>
          <w:tab w:val="left" w:pos="360"/>
        </w:tabs>
        <w:spacing w:after="120"/>
        <w:ind w:left="360"/>
        <w:rPr>
          <w:rFonts w:eastAsiaTheme="minorHAnsi"/>
        </w:rPr>
      </w:pPr>
      <w:r w:rsidRPr="0095605B">
        <w:rPr>
          <w:rFonts w:eastAsiaTheme="minorHAnsi"/>
        </w:rPr>
        <w:t>When a scar is found to have non-compensable symptoms, the VA does not require that the examiner provide exact measurements. Instead, the examiner has stated that your scar is not painful or unstable and measures less than 39 square cm (6 sq. inches).</w:t>
      </w:r>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rFonts w:eastAsiaTheme="minorHAnsi"/>
        </w:rPr>
      </w:pPr>
      <w:r w:rsidRPr="00732EE4">
        <w:rPr>
          <w:rFonts w:eastAsiaTheme="minorHAnsi"/>
          <w:i/>
        </w:rPr>
        <w:t>Issue:</w:t>
      </w:r>
      <w:r>
        <w:rPr>
          <w:rFonts w:eastAsiaTheme="minorHAnsi"/>
        </w:rPr>
        <w:t xml:space="preserve">  Entitlement to a separate evaluation for surgical scar,…</w:t>
      </w:r>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rFonts w:eastAsiaTheme="minorHAnsi"/>
        </w:rPr>
      </w:pPr>
      <w:r w:rsidRPr="00732EE4">
        <w:rPr>
          <w:rFonts w:eastAsiaTheme="minorHAnsi"/>
          <w:i/>
        </w:rPr>
        <w:t>Decision:</w:t>
      </w:r>
      <w:r>
        <w:rPr>
          <w:rFonts w:eastAsiaTheme="minorHAnsi"/>
        </w:rPr>
        <w:t xml:space="preserve">  A separate evaluation for surgical scar,… is granted with an evaluation of {} percent effective {}.</w:t>
      </w:r>
    </w:p>
    <w:p w:rsidR="00D275EA" w:rsidRPr="00DE2BD0"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pPr>
      <w:r w:rsidRPr="00732EE4">
        <w:rPr>
          <w:rFonts w:eastAsiaTheme="minorHAnsi"/>
          <w:i/>
        </w:rPr>
        <w:t>Reasons for Decision</w:t>
      </w:r>
      <w:r>
        <w:rPr>
          <w:rFonts w:eastAsiaTheme="minorHAnsi"/>
        </w:rPr>
        <w:t xml:space="preserve">:  A separate evaluation for surgical scar,… has been granted with an evaluation of {} percent from {}, the day VA received your claim. </w:t>
      </w:r>
      <w:r w:rsidRPr="0024008C">
        <w:rPr>
          <w:rFonts w:eastAsiaTheme="minorHAnsi"/>
          <w:highlight w:val="darkGray"/>
        </w:rPr>
        <w:t>OR t</w:t>
      </w:r>
      <w:r w:rsidRPr="0024008C">
        <w:rPr>
          <w:highlight w:val="darkGray"/>
        </w:rPr>
        <w:t>he effective date of the original claimed condition since the sca</w:t>
      </w:r>
      <w:r w:rsidR="00437633">
        <w:rPr>
          <w:highlight w:val="darkGray"/>
        </w:rPr>
        <w:t>r existed on that effective date</w:t>
      </w:r>
      <w:r w:rsidR="00437633" w:rsidRPr="00437633">
        <w:t xml:space="preserve"> </w:t>
      </w:r>
      <w:r w:rsidR="00437633" w:rsidRPr="00437633">
        <w:rPr>
          <w:i/>
        </w:rPr>
        <w:t>(</w:t>
      </w:r>
      <w:r w:rsidR="00437633" w:rsidRPr="00437633">
        <w:rPr>
          <w:i/>
          <w:color w:val="00B050"/>
        </w:rPr>
        <w:t xml:space="preserve">My Notes:  </w:t>
      </w:r>
      <w:r w:rsidR="00437633" w:rsidRPr="00437633">
        <w:rPr>
          <w:i/>
        </w:rPr>
        <w:t>Although initially advised to use the effective date of the original claimed condition, probably shouldn’t since</w:t>
      </w:r>
      <w:r w:rsidR="00437633">
        <w:rPr>
          <w:i/>
        </w:rPr>
        <w:t xml:space="preserve">, </w:t>
      </w:r>
      <w:r w:rsidR="00437633" w:rsidRPr="00437633">
        <w:rPr>
          <w:i/>
        </w:rPr>
        <w:t>although the scars may have been present at that time, it was not policy to consider an unclaimed scar as being within</w:t>
      </w:r>
      <w:r w:rsidR="00437633">
        <w:rPr>
          <w:i/>
        </w:rPr>
        <w:t xml:space="preserve"> the</w:t>
      </w:r>
      <w:r w:rsidR="00437633" w:rsidRPr="00437633">
        <w:rPr>
          <w:i/>
        </w:rPr>
        <w:t xml:space="preserve"> scope of the claim of the underlying condition until </w:t>
      </w:r>
      <w:r w:rsidR="00437633">
        <w:rPr>
          <w:i/>
        </w:rPr>
        <w:t xml:space="preserve">more recently (maybe 2012 or </w:t>
      </w:r>
      <w:r w:rsidR="00437633" w:rsidRPr="00437633">
        <w:rPr>
          <w:i/>
        </w:rPr>
        <w:t>2013</w:t>
      </w:r>
      <w:r w:rsidR="00437633">
        <w:rPr>
          <w:i/>
        </w:rPr>
        <w:t>)</w:t>
      </w:r>
      <w:r w:rsidR="00437633" w:rsidRPr="00437633">
        <w:rPr>
          <w:i/>
        </w:rPr>
        <w:t xml:space="preserve"> &amp; since the prior decision is final, we cannot apply current policy/manual guidance to that claim &amp; since there is no CUE in that decision for not addressing the scars, SC for the scars should be established effective date of receipt of current claim, per III.iv.5.C.1.f</w:t>
      </w:r>
      <w:r w:rsidR="00437633">
        <w:rPr>
          <w:i/>
        </w:rPr>
        <w:t xml:space="preserve">. </w:t>
      </w:r>
      <w:r w:rsidR="00193EE4">
        <w:rPr>
          <w:i/>
        </w:rPr>
        <w:t xml:space="preserve">ALSO, for new surgical scars, </w:t>
      </w:r>
      <w:r w:rsidR="00602FB4" w:rsidRPr="00437633">
        <w:rPr>
          <w:i/>
        </w:rPr>
        <w:t>DOC</w:t>
      </w:r>
      <w:r w:rsidR="00437633" w:rsidRPr="00437633">
        <w:rPr>
          <w:i/>
        </w:rPr>
        <w:t xml:space="preserve"> is</w:t>
      </w:r>
      <w:r w:rsidR="00602FB4" w:rsidRPr="00437633">
        <w:rPr>
          <w:i/>
        </w:rPr>
        <w:t xml:space="preserve"> probably best</w:t>
      </w:r>
      <w:r w:rsidR="008D2A57" w:rsidRPr="00437633">
        <w:rPr>
          <w:i/>
        </w:rPr>
        <w:t xml:space="preserve">, or </w:t>
      </w:r>
      <w:r w:rsidR="00437633">
        <w:rPr>
          <w:i/>
        </w:rPr>
        <w:t>might</w:t>
      </w:r>
      <w:r w:rsidR="008D2A57" w:rsidRPr="00437633">
        <w:rPr>
          <w:i/>
        </w:rPr>
        <w:t xml:space="preserve"> do date of surgery per </w:t>
      </w:r>
      <w:r w:rsidR="008D2A57" w:rsidRPr="008D2A57">
        <w:rPr>
          <w:rStyle w:val="Strong"/>
          <w:bCs w:val="0"/>
          <w:szCs w:val="21"/>
        </w:rPr>
        <w:t>III.iv.5.C.5.i</w:t>
      </w:r>
      <w:r w:rsidR="00437633">
        <w:rPr>
          <w:rStyle w:val="Strong"/>
          <w:b w:val="0"/>
          <w:bCs w:val="0"/>
          <w:szCs w:val="21"/>
        </w:rPr>
        <w:t xml:space="preserve"> &amp; </w:t>
      </w:r>
      <w:r w:rsidR="00437633" w:rsidRPr="00437633">
        <w:rPr>
          <w:rStyle w:val="Strong"/>
          <w:bCs w:val="0"/>
          <w:szCs w:val="21"/>
        </w:rPr>
        <w:t>3.400(o)</w:t>
      </w:r>
      <w:r w:rsidR="00DE2BD0">
        <w:rPr>
          <w:rStyle w:val="Strong"/>
          <w:b w:val="0"/>
          <w:bCs w:val="0"/>
          <w:szCs w:val="21"/>
        </w:rPr>
        <w:t xml:space="preserve">, </w:t>
      </w:r>
      <w:r w:rsidR="00437633">
        <w:rPr>
          <w:rStyle w:val="Strong"/>
          <w:b w:val="0"/>
          <w:bCs w:val="0"/>
          <w:i/>
          <w:szCs w:val="21"/>
        </w:rPr>
        <w:t>it’s unclear.</w:t>
      </w:r>
      <w:r w:rsidR="00437633">
        <w:rPr>
          <w:i/>
        </w:rPr>
        <w:t>)</w:t>
      </w:r>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pPr>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rFonts w:eastAsiaTheme="minorHAnsi"/>
        </w:rPr>
      </w:pPr>
      <w:r w:rsidRPr="005F64DF">
        <w:rPr>
          <w:rFonts w:eastAsiaTheme="minorHAnsi"/>
          <w:b/>
        </w:rPr>
        <w:t>III.iv.6.B.1.c</w:t>
      </w:r>
      <w:r>
        <w:rPr>
          <w:rFonts w:eastAsiaTheme="minorHAnsi"/>
        </w:rPr>
        <w:t xml:space="preserve"> &amp; </w:t>
      </w:r>
      <w:r w:rsidRPr="007002BA">
        <w:rPr>
          <w:rFonts w:eastAsiaTheme="minorHAnsi"/>
          <w:b/>
        </w:rPr>
        <w:t>III.iv.6.B.2.c</w:t>
      </w:r>
      <w:r>
        <w:rPr>
          <w:rFonts w:eastAsiaTheme="minorHAnsi"/>
        </w:rPr>
        <w:t xml:space="preserve"> – scar from surgical intervention is (1) an issue within the scope of the claim / (2) a complication of the claimed issue</w:t>
      </w:r>
    </w:p>
    <w:p w:rsidR="00D275EA" w:rsidRPr="00E13588"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rFonts w:eastAsiaTheme="minorHAnsi"/>
          <w:i/>
        </w:rPr>
      </w:pPr>
      <w:r>
        <w:rPr>
          <w:rFonts w:eastAsiaTheme="minorHAnsi"/>
          <w:i/>
        </w:rPr>
        <w:t>Per QRT</w:t>
      </w:r>
      <w:r w:rsidRPr="00E13588">
        <w:rPr>
          <w:rFonts w:eastAsiaTheme="minorHAnsi"/>
          <w:i/>
        </w:rPr>
        <w:t>/Tom Hendrickson, 6/29/16</w:t>
      </w:r>
      <w:r w:rsidRPr="00E13588">
        <w:rPr>
          <w:rFonts w:eastAsiaTheme="minorHAnsi"/>
          <w:b/>
          <w:i/>
        </w:rPr>
        <w:t xml:space="preserve"> </w:t>
      </w:r>
      <w:r w:rsidRPr="00E13588">
        <w:rPr>
          <w:rFonts w:eastAsiaTheme="minorHAnsi"/>
          <w:i/>
        </w:rPr>
        <w:t xml:space="preserve">- </w:t>
      </w:r>
      <w:r w:rsidRPr="00E13588">
        <w:rPr>
          <w:i/>
        </w:rPr>
        <w:t>it would be appropriate to separate the scars out as long as the condition is at issue, meaning that we are not required to fix the codesheet if we are not evaluating the condition</w:t>
      </w:r>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pPr>
      <w:r w:rsidRPr="005A2BEB">
        <w:rPr>
          <w:b/>
          <w:highlight w:val="darkGray"/>
        </w:rPr>
        <w:t xml:space="preserve">III.iv.4.J.1.e &amp; III.iv.4.J.2.f – </w:t>
      </w:r>
      <w:r w:rsidRPr="005A2BEB">
        <w:rPr>
          <w:highlight w:val="darkGray"/>
        </w:rPr>
        <w:t>changed 8/2/16, address unclaimed scars if they are reasonably raised claims;</w:t>
      </w:r>
      <w:r>
        <w:t xml:space="preserve"> changed to </w:t>
      </w:r>
      <w:r w:rsidRPr="008119CD">
        <w:rPr>
          <w:b/>
        </w:rPr>
        <w:t>III.iv.4.L.2.e</w:t>
      </w:r>
      <w:r>
        <w:rPr>
          <w:b/>
        </w:rPr>
        <w:t xml:space="preserve"> </w:t>
      </w:r>
      <w:r w:rsidRPr="00276A12">
        <w:rPr>
          <w:b/>
          <w:highlight w:val="lightGray"/>
        </w:rPr>
        <w:t>&amp; III.iv.4.L.2.f</w:t>
      </w:r>
      <w:r w:rsidRPr="008119CD">
        <w:rPr>
          <w:b/>
        </w:rPr>
        <w:t xml:space="preserve"> </w:t>
      </w:r>
      <w:r>
        <w:t>on 12/21/17 &amp; now says address unclaimed scar if within scope of the pending claim (</w:t>
      </w:r>
      <w:r w:rsidRPr="006755BA">
        <w:rPr>
          <w:i/>
          <w:color w:val="00B050"/>
        </w:rPr>
        <w:t>My Notes:</w:t>
      </w:r>
      <w:r w:rsidRPr="006755BA">
        <w:rPr>
          <w:color w:val="00B050"/>
        </w:rPr>
        <w:t xml:space="preserve">  </w:t>
      </w:r>
      <w:r w:rsidRPr="00D36CD9">
        <w:rPr>
          <w:i/>
        </w:rPr>
        <w:t>Only discusses head/face/neck scars/disfigurement &amp; painful/unstable scars, does not discuss scars under 7805</w:t>
      </w:r>
      <w:r w:rsidR="00E07DBB">
        <w:rPr>
          <w:i/>
        </w:rPr>
        <w:t>.</w:t>
      </w:r>
      <w:r>
        <w:t>)</w:t>
      </w:r>
    </w:p>
    <w:p w:rsidR="00D275EA" w:rsidRDefault="00D571C5" w:rsidP="00D275EA">
      <w:pPr>
        <w:pBdr>
          <w:top w:val="single" w:sz="2" w:space="0" w:color="auto"/>
          <w:left w:val="single" w:sz="2" w:space="4" w:color="auto"/>
          <w:bottom w:val="single" w:sz="2" w:space="1" w:color="auto"/>
          <w:right w:val="single" w:sz="2" w:space="3" w:color="auto"/>
        </w:pBdr>
        <w:tabs>
          <w:tab w:val="left" w:pos="360"/>
        </w:tabs>
        <w:spacing w:after="120"/>
        <w:ind w:left="360"/>
      </w:pPr>
      <w:hyperlink r:id="rId590" w:history="1">
        <w:r w:rsidR="00D275EA">
          <w:rPr>
            <w:rStyle w:val="Hyperlink"/>
            <w:b/>
            <w:bCs/>
            <w:i/>
          </w:rPr>
          <w:t>March 2017 Quality Call Notes</w:t>
        </w:r>
      </w:hyperlink>
      <w:r w:rsidR="00D275EA">
        <w:rPr>
          <w:bCs/>
        </w:rPr>
        <w:t xml:space="preserve"> </w:t>
      </w:r>
      <w:r w:rsidR="00D275EA">
        <w:t xml:space="preserve"> </w:t>
      </w:r>
      <w:r w:rsidR="00D275EA" w:rsidRPr="001D6A2D">
        <w:t>-</w:t>
      </w:r>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b/>
          <w:color w:val="000000"/>
        </w:rPr>
      </w:pPr>
      <w:r w:rsidRPr="00481673">
        <w:rPr>
          <w:b/>
          <w:color w:val="000000"/>
        </w:rPr>
        <w:t xml:space="preserve">Question:  What </w:t>
      </w:r>
      <w:r>
        <w:rPr>
          <w:b/>
          <w:color w:val="000000"/>
        </w:rPr>
        <w:t>is</w:t>
      </w:r>
      <w:r w:rsidRPr="00481673">
        <w:rPr>
          <w:b/>
          <w:color w:val="000000"/>
        </w:rPr>
        <w:t xml:space="preserve"> the effective date for </w:t>
      </w:r>
      <w:r>
        <w:rPr>
          <w:b/>
          <w:color w:val="000000"/>
        </w:rPr>
        <w:t xml:space="preserve">SC of </w:t>
      </w:r>
      <w:r w:rsidRPr="00481673">
        <w:rPr>
          <w:b/>
          <w:color w:val="000000"/>
        </w:rPr>
        <w:t xml:space="preserve">noncompensable scars when </w:t>
      </w:r>
      <w:r>
        <w:rPr>
          <w:b/>
          <w:color w:val="000000"/>
        </w:rPr>
        <w:t xml:space="preserve">it is </w:t>
      </w:r>
      <w:r w:rsidRPr="00481673">
        <w:rPr>
          <w:b/>
          <w:color w:val="000000"/>
        </w:rPr>
        <w:t>noted on previous exams?  This includes routine future exams, claims for increase</w:t>
      </w:r>
      <w:r>
        <w:rPr>
          <w:b/>
          <w:color w:val="000000"/>
        </w:rPr>
        <w:t>,</w:t>
      </w:r>
      <w:r w:rsidRPr="00481673">
        <w:rPr>
          <w:b/>
          <w:color w:val="000000"/>
        </w:rPr>
        <w:t xml:space="preserve"> and reopened claims.  Should decision makers call a CUE to grant a noncompensable scar that was noted on prior exams and not previously separately evaluated?</w:t>
      </w:r>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color w:val="0000FF"/>
          <w:u w:val="single"/>
        </w:rPr>
      </w:pPr>
      <w:r w:rsidRPr="00481673">
        <w:rPr>
          <w:color w:val="000000"/>
        </w:rPr>
        <w:t xml:space="preserve">Answer:  The scar is considered within the scope of the underlying issue, and generally the effective date rules for the underlying issue (for example a claim for increase or review exam) will guide assignment of the effective date for the scar.  No Clear and Unmistakable Errors (CUEs) should be cited for a change in procedure/ manual guidance only.  </w:t>
      </w:r>
      <w:hyperlink r:id="rId591" w:history="1">
        <w:r w:rsidRPr="00481673">
          <w:rPr>
            <w:color w:val="0000FF"/>
            <w:u w:val="single"/>
          </w:rPr>
          <w:t>M21-1 Part III.iv.2.B.4</w:t>
        </w:r>
      </w:hyperlink>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b/>
          <w:color w:val="000000"/>
        </w:rPr>
      </w:pPr>
      <w:r w:rsidRPr="00481673">
        <w:rPr>
          <w:b/>
          <w:color w:val="000000"/>
        </w:rPr>
        <w:t>Question:  Should a noncompensable scar be inferred if it is noted on the DBQ, but there is no discussion regarding the underlying condition that resulted in the scar?  In what situation should development be undertaken for the scar when the exam does not show a clear relationship to the SC</w:t>
      </w:r>
      <w:r>
        <w:rPr>
          <w:b/>
          <w:color w:val="000000"/>
        </w:rPr>
        <w:t xml:space="preserve"> condition?</w:t>
      </w:r>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b/>
          <w:color w:val="000000"/>
        </w:rPr>
      </w:pPr>
      <w:r w:rsidRPr="00481673">
        <w:rPr>
          <w:color w:val="000000"/>
        </w:rPr>
        <w:t xml:space="preserve">Answer:  Consistent with </w:t>
      </w:r>
      <w:hyperlink r:id="rId592" w:history="1">
        <w:r w:rsidRPr="00481673">
          <w:rPr>
            <w:color w:val="0000FF"/>
            <w:u w:val="single"/>
          </w:rPr>
          <w:t>M21-1 Part III.iv.6.B.2.c</w:t>
        </w:r>
      </w:hyperlink>
      <w:r w:rsidRPr="00481673">
        <w:rPr>
          <w:color w:val="000000"/>
        </w:rPr>
        <w:t>, entitlement to SC for conditions not explicitly claimed should not be put at issue unles</w:t>
      </w:r>
      <w:r>
        <w:rPr>
          <w:color w:val="000000"/>
        </w:rPr>
        <w:t xml:space="preserve">s entitlement is established.  </w:t>
      </w:r>
      <w:r w:rsidRPr="00481673">
        <w:rPr>
          <w:color w:val="000000"/>
        </w:rPr>
        <w:t>Generally we see c</w:t>
      </w:r>
      <w:r>
        <w:rPr>
          <w:color w:val="000000"/>
        </w:rPr>
        <w:t>lear scenarios such as that in E</w:t>
      </w:r>
      <w:r w:rsidRPr="00481673">
        <w:rPr>
          <w:color w:val="000000"/>
        </w:rPr>
        <w:t xml:space="preserve">xample 3 </w:t>
      </w:r>
      <w:r>
        <w:rPr>
          <w:color w:val="000000"/>
        </w:rPr>
        <w:t>at</w:t>
      </w:r>
      <w:r w:rsidRPr="00481673">
        <w:rPr>
          <w:color w:val="000000"/>
        </w:rPr>
        <w:t xml:space="preserve"> </w:t>
      </w:r>
      <w:hyperlink r:id="rId593" w:history="1">
        <w:r w:rsidRPr="00481673">
          <w:rPr>
            <w:color w:val="0000FF"/>
            <w:u w:val="single"/>
          </w:rPr>
          <w:t>M21-1 Part III.iv.6.B.1.c</w:t>
        </w:r>
      </w:hyperlink>
      <w:r w:rsidRPr="00481673">
        <w:rPr>
          <w:color w:val="000000"/>
        </w:rPr>
        <w:t>.  It is acknowledged in rare cases, there may be a potential for SC that requires clarification from the examiner, but in general, SC should not be</w:t>
      </w:r>
      <w:r>
        <w:rPr>
          <w:color w:val="000000"/>
        </w:rPr>
        <w:t xml:space="preserve"> inferred to deny the benefit.</w:t>
      </w:r>
    </w:p>
    <w:p w:rsidR="00D275EA" w:rsidRPr="00D243A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b/>
          <w:color w:val="000000"/>
        </w:rPr>
      </w:pPr>
      <w:r w:rsidRPr="00481673">
        <w:rPr>
          <w:color w:val="000000"/>
        </w:rPr>
        <w:t xml:space="preserve">One clue regarding development for scars is exam sufficiency. </w:t>
      </w:r>
      <w:r>
        <w:rPr>
          <w:color w:val="000000"/>
        </w:rPr>
        <w:t xml:space="preserve"> Most DBQs have a section built-</w:t>
      </w:r>
      <w:r w:rsidRPr="00481673">
        <w:rPr>
          <w:color w:val="000000"/>
        </w:rPr>
        <w:t xml:space="preserve">in that elicits specific scar information and instructs the examiner to complete a separate DBQ if certain scar characteristics are documented.  If a separate Scar DBQ is needed based on these characteristics and not completed, then the DBQ should be returned as insufficient. </w:t>
      </w:r>
      <w:hyperlink r:id="rId594" w:history="1">
        <w:r w:rsidRPr="00481673">
          <w:rPr>
            <w:color w:val="0000FF"/>
            <w:u w:val="single"/>
          </w:rPr>
          <w:t>M21-1 Part III.iv.3.D.3.a</w:t>
        </w:r>
      </w:hyperlink>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b/>
          <w:color w:val="000000"/>
        </w:rPr>
      </w:pPr>
      <w:r w:rsidRPr="00481673">
        <w:rPr>
          <w:b/>
          <w:color w:val="000000"/>
        </w:rPr>
        <w:t xml:space="preserve">Question:  Does the aforementioned guidance only apply to granting SC for a scar for the first time?  Would we consider an increased evaluation for a scar as </w:t>
      </w:r>
      <w:r w:rsidRPr="006F46DC">
        <w:rPr>
          <w:b/>
          <w:i/>
          <w:color w:val="000000"/>
        </w:rPr>
        <w:t>“within the scope”</w:t>
      </w:r>
      <w:r w:rsidRPr="00481673">
        <w:rPr>
          <w:b/>
          <w:color w:val="000000"/>
        </w:rPr>
        <w:t xml:space="preserve"> of the claim if the Veteran claims an increase in the underlying condition?  Or should a Request for Application letter be sent?</w:t>
      </w:r>
    </w:p>
    <w:p w:rsidR="00D275EA"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color w:val="000000"/>
        </w:rPr>
      </w:pPr>
      <w:r w:rsidRPr="00481673">
        <w:rPr>
          <w:color w:val="000000"/>
        </w:rPr>
        <w:t>Answer:  As referenced in the answer above, generally an issue should not be raised with the intent to deny.  Since no benefit is being granted when an evaluation is confirmed and continued, a separately evaluated noncompensable scar that is not explicitly claimed should not routinely be raised if no higher benefit can be granted.</w:t>
      </w:r>
    </w:p>
    <w:p w:rsidR="00D275EA" w:rsidRPr="00BB08E2" w:rsidRDefault="00D275EA" w:rsidP="00D275EA">
      <w:pPr>
        <w:pBdr>
          <w:top w:val="single" w:sz="2" w:space="0" w:color="auto"/>
          <w:left w:val="single" w:sz="2" w:space="4" w:color="auto"/>
          <w:bottom w:val="single" w:sz="2" w:space="1" w:color="auto"/>
          <w:right w:val="single" w:sz="2" w:space="3" w:color="auto"/>
        </w:pBdr>
        <w:tabs>
          <w:tab w:val="left" w:pos="360"/>
        </w:tabs>
        <w:spacing w:after="120"/>
        <w:ind w:left="360"/>
        <w:rPr>
          <w:color w:val="000000"/>
        </w:rPr>
      </w:pPr>
      <w:r w:rsidRPr="00481673">
        <w:rPr>
          <w:color w:val="000000"/>
        </w:rPr>
        <w:t>Similarly, a claim should not be solicited unless there is a good probability that the issue in question can be granted.  Since a scar would be within the scope of the claim if a benefit could be granted, there would be no need to solicit a claim if an increase</w:t>
      </w:r>
      <w:r>
        <w:rPr>
          <w:color w:val="000000"/>
        </w:rPr>
        <w:t>d evaluation could be granted.</w:t>
      </w:r>
    </w:p>
    <w:p w:rsidR="00D275EA" w:rsidRPr="00C94945" w:rsidRDefault="00D275EA" w:rsidP="00D275EA">
      <w:pPr>
        <w:pStyle w:val="ListParagraph"/>
        <w:widowControl w:val="0"/>
        <w:numPr>
          <w:ilvl w:val="0"/>
          <w:numId w:val="45"/>
        </w:numPr>
        <w:tabs>
          <w:tab w:val="clear" w:pos="720"/>
          <w:tab w:val="left" w:pos="360"/>
        </w:tabs>
        <w:spacing w:after="120" w:line="240" w:lineRule="auto"/>
        <w:ind w:left="360"/>
        <w:rPr>
          <w:rStyle w:val="Hyperlink"/>
          <w:rFonts w:ascii="Arial" w:hAnsi="Arial"/>
          <w:i/>
          <w:color w:val="auto"/>
          <w:sz w:val="20"/>
          <w:szCs w:val="20"/>
          <w:u w:val="none"/>
        </w:rPr>
      </w:pPr>
      <w:r w:rsidRPr="002E2D9E">
        <w:rPr>
          <w:rFonts w:ascii="Arial" w:hAnsi="Arial"/>
          <w:b/>
          <w:bCs/>
          <w:i/>
          <w:sz w:val="20"/>
          <w:szCs w:val="20"/>
        </w:rPr>
        <w:t>December 2013 Compensation Service Bulletin (CSB)</w:t>
      </w:r>
      <w:r w:rsidRPr="00AD3897">
        <w:rPr>
          <w:rStyle w:val="Hyperlink"/>
          <w:rFonts w:ascii="Arial" w:hAnsi="Arial"/>
          <w:bCs/>
          <w:sz w:val="20"/>
          <w:szCs w:val="20"/>
          <w:u w:val="none"/>
        </w:rPr>
        <w:t xml:space="preserve"> – </w:t>
      </w:r>
      <w:r w:rsidRPr="00AD3897">
        <w:rPr>
          <w:rStyle w:val="Hyperlink"/>
          <w:rFonts w:ascii="Arial" w:hAnsi="Arial"/>
          <w:bCs/>
          <w:color w:val="auto"/>
          <w:sz w:val="20"/>
          <w:szCs w:val="20"/>
          <w:u w:val="none"/>
        </w:rPr>
        <w:t>can assign 10% for 6023 or 6024 (usually from injury, burn, local disease/infection), plus separate eval for loss of all body hair under 7831 (usually from alopecia areata or other analogous, systemic condition)</w:t>
      </w:r>
    </w:p>
    <w:p w:rsidR="00D275EA" w:rsidRPr="00E83696" w:rsidRDefault="00D275EA" w:rsidP="00F063AF">
      <w:pPr>
        <w:pStyle w:val="ListParagraph"/>
        <w:numPr>
          <w:ilvl w:val="0"/>
          <w:numId w:val="189"/>
        </w:numPr>
        <w:tabs>
          <w:tab w:val="left" w:pos="5760"/>
        </w:tabs>
        <w:spacing w:after="120" w:line="240" w:lineRule="auto"/>
        <w:ind w:left="360"/>
      </w:pPr>
      <w:r w:rsidRPr="002E2D9E">
        <w:rPr>
          <w:rFonts w:ascii="Arial" w:hAnsi="Arial"/>
          <w:b/>
          <w:i/>
          <w:sz w:val="20"/>
          <w:szCs w:val="20"/>
        </w:rPr>
        <w:t>October 2014 Compensation Service Bulletin (CSB)</w:t>
      </w:r>
      <w:r w:rsidRPr="00E83696">
        <w:rPr>
          <w:rStyle w:val="Hyperlink"/>
          <w:rFonts w:ascii="Arial" w:hAnsi="Arial"/>
          <w:sz w:val="20"/>
          <w:szCs w:val="20"/>
          <w:u w:val="none"/>
        </w:rPr>
        <w:t xml:space="preserve"> – </w:t>
      </w:r>
      <w:r w:rsidRPr="00E83696">
        <w:rPr>
          <w:rFonts w:ascii="Arial" w:hAnsi="Arial"/>
          <w:sz w:val="20"/>
          <w:szCs w:val="20"/>
        </w:rPr>
        <w:t xml:space="preserve">Although 7800, Note (1), a scar five inches or more in length may be established by more than one scar, the width of two scars that are narrower than one-quarter inch may not be combined to meet the requirement for a “scar at least one-quarter inch wide at widest part” to satisfy the requirement for a characteristic of disfigurement under Note (1) of DC 7800.  The regulation specifically requires that the scar must be at least one-quarter inch wide at its widest part.  Thus, if no singular scar is one-quarter inch wide at its widest point, the widths of multiple scars cannot be combined to meet the criteria of “at least one-quarter inch wide at widest part.”  </w:t>
      </w:r>
    </w:p>
    <w:p w:rsidR="00D275EA" w:rsidRDefault="00D571C5" w:rsidP="00F063AF">
      <w:pPr>
        <w:pStyle w:val="ListParagraph"/>
        <w:numPr>
          <w:ilvl w:val="0"/>
          <w:numId w:val="189"/>
        </w:numPr>
        <w:tabs>
          <w:tab w:val="left" w:pos="5760"/>
        </w:tabs>
        <w:spacing w:after="120" w:line="240" w:lineRule="auto"/>
        <w:ind w:left="360"/>
        <w:rPr>
          <w:rFonts w:ascii="Arial" w:hAnsi="Arial"/>
          <w:sz w:val="20"/>
          <w:szCs w:val="20"/>
        </w:rPr>
      </w:pPr>
      <w:hyperlink r:id="rId595" w:history="1">
        <w:r w:rsidR="00D275EA">
          <w:rPr>
            <w:rStyle w:val="Hyperlink"/>
            <w:rFonts w:ascii="Arial" w:hAnsi="Arial"/>
            <w:b/>
            <w:i/>
            <w:sz w:val="20"/>
            <w:szCs w:val="20"/>
          </w:rPr>
          <w:t>July 2015 Quality Call Notes</w:t>
        </w:r>
      </w:hyperlink>
      <w:r w:rsidR="00D275EA" w:rsidRPr="00E83696">
        <w:rPr>
          <w:rStyle w:val="Hyperlink"/>
          <w:rFonts w:ascii="Arial" w:hAnsi="Arial"/>
          <w:sz w:val="20"/>
          <w:szCs w:val="20"/>
          <w:u w:val="none"/>
        </w:rPr>
        <w:t xml:space="preserve"> </w:t>
      </w:r>
      <w:r w:rsidR="00D275EA" w:rsidRPr="00E83696">
        <w:rPr>
          <w:rStyle w:val="Hyperlink"/>
          <w:rFonts w:ascii="Arial" w:hAnsi="Arial"/>
          <w:color w:val="auto"/>
          <w:sz w:val="20"/>
          <w:szCs w:val="20"/>
          <w:u w:val="none"/>
        </w:rPr>
        <w:t>–</w:t>
      </w:r>
      <w:r w:rsidR="00D275EA" w:rsidRPr="00E83696">
        <w:rPr>
          <w:rFonts w:ascii="Arial" w:hAnsi="Arial"/>
          <w:sz w:val="20"/>
          <w:szCs w:val="20"/>
        </w:rPr>
        <w:t xml:space="preserve"> </w:t>
      </w:r>
    </w:p>
    <w:p w:rsidR="00D275EA" w:rsidRDefault="00D275EA" w:rsidP="00F063AF">
      <w:pPr>
        <w:pStyle w:val="ListParagraph"/>
        <w:numPr>
          <w:ilvl w:val="1"/>
          <w:numId w:val="272"/>
        </w:numPr>
        <w:tabs>
          <w:tab w:val="left" w:pos="5760"/>
        </w:tabs>
        <w:spacing w:after="120" w:line="240" w:lineRule="auto"/>
        <w:ind w:left="720"/>
        <w:rPr>
          <w:rFonts w:ascii="Arial" w:hAnsi="Arial"/>
          <w:sz w:val="20"/>
          <w:szCs w:val="20"/>
        </w:rPr>
      </w:pPr>
      <w:r w:rsidRPr="00E83696">
        <w:rPr>
          <w:rFonts w:ascii="Arial" w:hAnsi="Arial"/>
          <w:sz w:val="20"/>
          <w:szCs w:val="20"/>
        </w:rPr>
        <w:t xml:space="preserve">There are several skin disorder diagnostic codes (DCs) in </w:t>
      </w:r>
      <w:r w:rsidRPr="002E2D9E">
        <w:rPr>
          <w:rFonts w:ascii="Arial" w:hAnsi="Arial"/>
          <w:sz w:val="20"/>
          <w:szCs w:val="20"/>
        </w:rPr>
        <w:t>38 CFR Part 4.118</w:t>
      </w:r>
      <w:r w:rsidRPr="00E83696">
        <w:rPr>
          <w:rFonts w:ascii="Arial" w:hAnsi="Arial"/>
          <w:sz w:val="20"/>
          <w:szCs w:val="20"/>
        </w:rPr>
        <w:t xml:space="preserve"> that do not have rating criteria.  These codes include 7807, 7808, 7809, 7813, 7820, and 7821.  Because these DCs direct the decision-maker to rate the disorder under a different DC, these six DCs can never be a primary code as the primary code must reflect the code that the disorder is being evaluated under; i.e., the DC with the actual rating criteria that is being used by the decision-maker.  These DCs that direct the decision-maker to another DC must also be a hyphenated code; for example, DC 7813-7806 and DC 7820-7800.  Decision-makers must not use overrides in the Evaluation Builder (EB) calculator to make these six DCs the primary codes, and they should not submit any pyramiding overrides to keep one of these codes separate from another code.  Any override that conflicts with this guidance will be considered invalid.</w:t>
      </w:r>
    </w:p>
    <w:p w:rsidR="00D275EA" w:rsidRPr="00E83696" w:rsidRDefault="00D275EA" w:rsidP="00F063AF">
      <w:pPr>
        <w:pStyle w:val="ListParagraph"/>
        <w:numPr>
          <w:ilvl w:val="1"/>
          <w:numId w:val="272"/>
        </w:numPr>
        <w:tabs>
          <w:tab w:val="left" w:pos="5760"/>
        </w:tabs>
        <w:spacing w:after="120" w:line="240" w:lineRule="auto"/>
        <w:ind w:left="720"/>
        <w:rPr>
          <w:rFonts w:ascii="Arial" w:hAnsi="Arial"/>
          <w:sz w:val="20"/>
          <w:szCs w:val="20"/>
        </w:rPr>
      </w:pPr>
      <w:r>
        <w:rPr>
          <w:rFonts w:ascii="Arial" w:hAnsi="Arial"/>
          <w:sz w:val="20"/>
          <w:szCs w:val="20"/>
        </w:rPr>
        <w:t>Shows (with screen snap-shots) how to evaluate dermatophytosis under 7813-7806 &amp; under 7813-7800</w:t>
      </w:r>
    </w:p>
    <w:p w:rsidR="00D275EA" w:rsidRPr="00B44E74" w:rsidRDefault="00D275EA" w:rsidP="00D275EA">
      <w:pPr>
        <w:pStyle w:val="ListParagraph"/>
        <w:widowControl w:val="0"/>
        <w:numPr>
          <w:ilvl w:val="0"/>
          <w:numId w:val="45"/>
        </w:numPr>
        <w:tabs>
          <w:tab w:val="clear" w:pos="720"/>
          <w:tab w:val="left" w:pos="360"/>
        </w:tabs>
        <w:spacing w:after="120" w:line="240" w:lineRule="auto"/>
        <w:ind w:left="360"/>
        <w:rPr>
          <w:rFonts w:ascii="Arial" w:hAnsi="Arial"/>
          <w:sz w:val="20"/>
          <w:szCs w:val="20"/>
        </w:rPr>
      </w:pPr>
      <w:r w:rsidRPr="00C94945">
        <w:rPr>
          <w:rFonts w:ascii="Arial" w:hAnsi="Arial"/>
          <w:bCs/>
          <w:sz w:val="20"/>
          <w:szCs w:val="20"/>
        </w:rPr>
        <w:t xml:space="preserve">Per VA Pulse, </w:t>
      </w:r>
      <w:r w:rsidRPr="00C94945">
        <w:rPr>
          <w:rFonts w:ascii="Arial" w:hAnsi="Arial"/>
          <w:bCs/>
          <w:i/>
          <w:sz w:val="20"/>
          <w:szCs w:val="20"/>
        </w:rPr>
        <w:t>https://www.vapulse.net/thread/6810</w:t>
      </w:r>
      <w:r w:rsidRPr="00C94945">
        <w:rPr>
          <w:rFonts w:ascii="Arial" w:hAnsi="Arial"/>
          <w:bCs/>
          <w:sz w:val="20"/>
          <w:szCs w:val="20"/>
        </w:rPr>
        <w:t>,</w:t>
      </w:r>
      <w:r w:rsidRPr="00C94945">
        <w:rPr>
          <w:rFonts w:ascii="Helvetica" w:hAnsi="Helvetica"/>
          <w:sz w:val="20"/>
          <w:szCs w:val="20"/>
          <w:lang w:val="en"/>
        </w:rPr>
        <w:t xml:space="preserve"> separate evaluations for each diagnosis are permissible when the evaluation is based on disability due solely to the individual diagnosis … if… the medical evidence clearly indicates that the percentages affected are due solely to each individual diagnosis. As an example, the medical evidence must clearly indicate that skin condition X alone affects 6% of the exposed skin while skin condition Y alone </w:t>
      </w:r>
      <w:r w:rsidRPr="00B44E74">
        <w:rPr>
          <w:rFonts w:ascii="Arial" w:hAnsi="Arial"/>
          <w:sz w:val="20"/>
          <w:szCs w:val="20"/>
          <w:lang w:val="en"/>
        </w:rPr>
        <w:t>affects 12% of the exposed skin. In this scenario, separate evaluations may be assigned</w:t>
      </w:r>
      <w:r w:rsidRPr="00B44E74">
        <w:rPr>
          <w:rFonts w:ascii="Arial" w:hAnsi="Arial"/>
          <w:bCs/>
          <w:sz w:val="20"/>
          <w:szCs w:val="20"/>
        </w:rPr>
        <w:t>.</w:t>
      </w:r>
    </w:p>
    <w:p w:rsidR="00D275EA" w:rsidRDefault="00D275EA" w:rsidP="00D275EA">
      <w:pPr>
        <w:pStyle w:val="ListParagraph"/>
        <w:widowControl w:val="0"/>
        <w:numPr>
          <w:ilvl w:val="0"/>
          <w:numId w:val="45"/>
        </w:numPr>
        <w:tabs>
          <w:tab w:val="clear" w:pos="720"/>
          <w:tab w:val="left" w:pos="360"/>
        </w:tabs>
        <w:spacing w:after="0" w:line="240" w:lineRule="auto"/>
        <w:ind w:left="360"/>
        <w:rPr>
          <w:rFonts w:ascii="Arial" w:hAnsi="Arial"/>
          <w:i/>
          <w:sz w:val="20"/>
          <w:szCs w:val="20"/>
        </w:rPr>
      </w:pPr>
      <w:r>
        <w:rPr>
          <w:rFonts w:ascii="Arial" w:hAnsi="Arial"/>
          <w:b/>
          <w:bCs/>
          <w:sz w:val="20"/>
          <w:szCs w:val="20"/>
        </w:rPr>
        <w:t>III.iv.4.L.1.</w:t>
      </w:r>
      <w:r w:rsidR="00C74D8D">
        <w:rPr>
          <w:rFonts w:ascii="Arial" w:hAnsi="Arial"/>
          <w:b/>
          <w:bCs/>
          <w:sz w:val="20"/>
          <w:szCs w:val="20"/>
        </w:rPr>
        <w:t>f</w:t>
      </w:r>
      <w:r w:rsidRPr="00A64CC2">
        <w:rPr>
          <w:rFonts w:ascii="Arial" w:hAnsi="Arial"/>
          <w:bCs/>
          <w:sz w:val="20"/>
          <w:szCs w:val="20"/>
        </w:rPr>
        <w:t xml:space="preserve"> </w:t>
      </w:r>
      <w:r>
        <w:rPr>
          <w:rFonts w:ascii="Arial" w:hAnsi="Arial"/>
          <w:bCs/>
          <w:sz w:val="20"/>
          <w:szCs w:val="20"/>
        </w:rPr>
        <w:t xml:space="preserve">– as of 10/5/15 </w:t>
      </w:r>
      <w:r w:rsidRPr="00A64CC2">
        <w:rPr>
          <w:rFonts w:ascii="Arial" w:hAnsi="Arial"/>
          <w:bCs/>
          <w:sz w:val="20"/>
          <w:szCs w:val="20"/>
        </w:rPr>
        <w:t xml:space="preserve">- </w:t>
      </w:r>
      <w:r w:rsidRPr="00A64CC2">
        <w:rPr>
          <w:rFonts w:ascii="Arial" w:hAnsi="Arial"/>
          <w:sz w:val="20"/>
          <w:szCs w:val="20"/>
        </w:rPr>
        <w:t>The term “systemic therapy such as corticosteroids or other</w:t>
      </w:r>
      <w:r w:rsidRPr="00B44E74">
        <w:rPr>
          <w:rFonts w:ascii="Arial" w:hAnsi="Arial"/>
          <w:sz w:val="20"/>
          <w:szCs w:val="20"/>
        </w:rPr>
        <w:t xml:space="preserve"> immunosuppressive drugs” that is contained in certain DCs </w:t>
      </w:r>
      <w:r w:rsidRPr="0042139A">
        <w:rPr>
          <w:rFonts w:ascii="Arial" w:hAnsi="Arial"/>
          <w:sz w:val="20"/>
          <w:szCs w:val="20"/>
        </w:rPr>
        <w:t xml:space="preserve">under </w:t>
      </w:r>
      <w:hyperlink r:id="rId596" w:history="1">
        <w:r w:rsidRPr="0042139A">
          <w:rPr>
            <w:rStyle w:val="Hyperlink"/>
            <w:rFonts w:ascii="Arial" w:hAnsi="Arial"/>
            <w:sz w:val="20"/>
            <w:szCs w:val="20"/>
          </w:rPr>
          <w:t>38 CFR 4.118</w:t>
        </w:r>
      </w:hyperlink>
      <w:r w:rsidRPr="0042139A">
        <w:rPr>
          <w:rFonts w:ascii="Arial" w:hAnsi="Arial"/>
          <w:sz w:val="20"/>
          <w:szCs w:val="20"/>
        </w:rPr>
        <w:t xml:space="preserve">, refers to any oral or parenteral medication(s) prescribed by a medical professional to treat the underlying skin disorder.” Example, Dapsone, is an antibiotic. </w:t>
      </w:r>
      <w:r>
        <w:rPr>
          <w:rFonts w:ascii="Arial" w:hAnsi="Arial"/>
          <w:sz w:val="20"/>
          <w:szCs w:val="20"/>
        </w:rPr>
        <w:t xml:space="preserve">Reference (added 12/21/17) says does not include topical corticosteroids. </w:t>
      </w:r>
      <w:r w:rsidRPr="0042139A">
        <w:rPr>
          <w:rFonts w:ascii="Arial" w:hAnsi="Arial"/>
          <w:i/>
          <w:sz w:val="20"/>
          <w:szCs w:val="20"/>
        </w:rPr>
        <w:t xml:space="preserve">In April 2016, Carlos said antivirals, antihistimines are okay, anything </w:t>
      </w:r>
      <w:r w:rsidRPr="0042139A">
        <w:rPr>
          <w:rFonts w:ascii="Arial" w:hAnsi="Arial"/>
          <w:i/>
          <w:sz w:val="20"/>
          <w:szCs w:val="20"/>
          <w:u w:val="single"/>
        </w:rPr>
        <w:t>systemic</w:t>
      </w:r>
      <w:r w:rsidRPr="0042139A">
        <w:rPr>
          <w:rFonts w:ascii="Arial" w:hAnsi="Arial"/>
          <w:i/>
          <w:sz w:val="20"/>
          <w:szCs w:val="20"/>
        </w:rPr>
        <w:t xml:space="preserve">. </w:t>
      </w:r>
    </w:p>
    <w:p w:rsidR="00D275EA" w:rsidRPr="00865B6E" w:rsidRDefault="00D275EA" w:rsidP="00D275EA">
      <w:pPr>
        <w:widowControl w:val="0"/>
        <w:tabs>
          <w:tab w:val="left" w:pos="360"/>
        </w:tabs>
        <w:spacing w:after="120"/>
        <w:ind w:left="360"/>
        <w:rPr>
          <w:i/>
        </w:rPr>
      </w:pPr>
      <w:r w:rsidRPr="00865B6E">
        <w:t xml:space="preserve">*Please note that </w:t>
      </w:r>
      <w:r w:rsidRPr="0093016F">
        <w:rPr>
          <w:bCs/>
          <w:highlight w:val="magenta"/>
        </w:rPr>
        <w:t>this is a change</w:t>
      </w:r>
      <w:r w:rsidRPr="00865B6E">
        <w:t xml:space="preserve"> in policy &amp; previously (in Nov</w:t>
      </w:r>
      <w:r>
        <w:t>ember</w:t>
      </w:r>
      <w:r w:rsidRPr="00865B6E">
        <w:t xml:space="preserve"> 2011 &amp; July 2012</w:t>
      </w:r>
      <w:r>
        <w:t>) policy was that Acyclovir/</w:t>
      </w:r>
      <w:r w:rsidRPr="00865B6E">
        <w:t>Valtrex</w:t>
      </w:r>
      <w:r>
        <w:t xml:space="preserve"> (valacclovir)</w:t>
      </w:r>
      <w:r w:rsidRPr="00865B6E">
        <w:t xml:space="preserve"> were considered anti</w:t>
      </w:r>
      <w:r>
        <w:t>virals, not immunosuppressive, and</w:t>
      </w:r>
      <w:r w:rsidRPr="00865B6E">
        <w:t xml:space="preserve"> did not qualify as “systemic therapy</w:t>
      </w:r>
      <w:r>
        <w:t>.”</w:t>
      </w:r>
      <w:r w:rsidRPr="00865B6E">
        <w:t xml:space="preserve"> </w:t>
      </w:r>
    </w:p>
    <w:p w:rsidR="00D275EA" w:rsidRPr="00A06121" w:rsidRDefault="00D571C5" w:rsidP="00D275EA">
      <w:pPr>
        <w:pStyle w:val="ListParagraph"/>
        <w:widowControl w:val="0"/>
        <w:numPr>
          <w:ilvl w:val="0"/>
          <w:numId w:val="45"/>
        </w:numPr>
        <w:tabs>
          <w:tab w:val="clear" w:pos="720"/>
          <w:tab w:val="left" w:pos="360"/>
        </w:tabs>
        <w:spacing w:after="120" w:line="240" w:lineRule="auto"/>
        <w:ind w:left="360"/>
        <w:rPr>
          <w:rFonts w:ascii="Tahoma" w:hAnsi="Tahoma" w:cs="Tahoma"/>
        </w:rPr>
      </w:pPr>
      <w:hyperlink r:id="rId597" w:history="1">
        <w:r w:rsidR="00D275EA" w:rsidRPr="00A06121">
          <w:rPr>
            <w:rStyle w:val="Hyperlink"/>
            <w:rFonts w:ascii="Arial" w:hAnsi="Arial"/>
            <w:b/>
            <w:bCs/>
            <w:i/>
            <w:sz w:val="20"/>
          </w:rPr>
          <w:t>April 2016 Quality Call Notes</w:t>
        </w:r>
      </w:hyperlink>
      <w:r w:rsidR="00D275EA" w:rsidRPr="00A06121">
        <w:rPr>
          <w:rFonts w:ascii="Arial" w:hAnsi="Arial"/>
          <w:bCs/>
          <w:sz w:val="20"/>
        </w:rPr>
        <w:t xml:space="preserve"> – confims that Cetrizine/Zyrtec (oral antihistime) prescribed by MD (&amp; taken by mouth or injected) = 60%</w:t>
      </w:r>
    </w:p>
    <w:p w:rsidR="00D275EA" w:rsidRPr="00A06121" w:rsidRDefault="00D275EA" w:rsidP="00D275EA">
      <w:pPr>
        <w:pStyle w:val="ListParagraph"/>
        <w:widowControl w:val="0"/>
        <w:numPr>
          <w:ilvl w:val="0"/>
          <w:numId w:val="45"/>
        </w:numPr>
        <w:tabs>
          <w:tab w:val="clear" w:pos="720"/>
          <w:tab w:val="left" w:pos="360"/>
        </w:tabs>
        <w:spacing w:after="120" w:line="240" w:lineRule="auto"/>
        <w:ind w:left="360"/>
        <w:rPr>
          <w:rFonts w:ascii="Arial" w:hAnsi="Arial"/>
          <w:sz w:val="20"/>
          <w:szCs w:val="20"/>
        </w:rPr>
      </w:pPr>
      <w:r w:rsidRPr="00A06121">
        <w:rPr>
          <w:rFonts w:ascii="Arial" w:hAnsi="Arial"/>
          <w:b/>
          <w:bCs/>
          <w:sz w:val="20"/>
          <w:szCs w:val="20"/>
        </w:rPr>
        <w:t>From:</w:t>
      </w:r>
      <w:r w:rsidRPr="00A06121">
        <w:rPr>
          <w:rFonts w:ascii="Arial" w:hAnsi="Arial"/>
          <w:sz w:val="20"/>
          <w:szCs w:val="20"/>
        </w:rPr>
        <w:t xml:space="preserve"> VAVBASDC/RO/VSC </w:t>
      </w:r>
      <w:r w:rsidRPr="00A06121">
        <w:rPr>
          <w:rFonts w:ascii="Arial" w:hAnsi="Arial"/>
          <w:sz w:val="20"/>
          <w:szCs w:val="20"/>
        </w:rPr>
        <w:br/>
      </w:r>
      <w:r w:rsidRPr="00A06121">
        <w:rPr>
          <w:rFonts w:ascii="Arial" w:hAnsi="Arial"/>
          <w:b/>
          <w:bCs/>
          <w:sz w:val="20"/>
          <w:szCs w:val="20"/>
        </w:rPr>
        <w:t>Sent:</w:t>
      </w:r>
      <w:r w:rsidRPr="00A06121">
        <w:rPr>
          <w:rFonts w:ascii="Arial" w:hAnsi="Arial"/>
          <w:sz w:val="20"/>
          <w:szCs w:val="20"/>
        </w:rPr>
        <w:t xml:space="preserve"> Tuesday, June 14, 2016 1:38 PM</w:t>
      </w:r>
      <w:r w:rsidRPr="00A06121">
        <w:rPr>
          <w:rFonts w:ascii="Arial" w:hAnsi="Arial"/>
          <w:sz w:val="20"/>
          <w:szCs w:val="20"/>
        </w:rPr>
        <w:br/>
      </w:r>
      <w:r w:rsidRPr="00A06121">
        <w:rPr>
          <w:rFonts w:ascii="Arial" w:hAnsi="Arial"/>
          <w:b/>
          <w:bCs/>
          <w:sz w:val="20"/>
          <w:szCs w:val="20"/>
        </w:rPr>
        <w:t>Subject:</w:t>
      </w:r>
      <w:r w:rsidRPr="00A06121">
        <w:rPr>
          <w:rFonts w:ascii="Arial" w:hAnsi="Arial"/>
          <w:sz w:val="20"/>
          <w:szCs w:val="20"/>
        </w:rPr>
        <w:t xml:space="preserve"> Q-Tip Inferring Scars from Claimed Primary Condition : Target Audience: RVSRs and DROs</w:t>
      </w:r>
    </w:p>
    <w:p w:rsidR="00D275EA" w:rsidRPr="00A06121" w:rsidRDefault="00D275EA" w:rsidP="00D275EA">
      <w:pPr>
        <w:spacing w:after="120"/>
        <w:ind w:left="360"/>
      </w:pPr>
      <w:r w:rsidRPr="00A06121">
        <w:t>Attention all RVSRs and DROs:</w:t>
      </w:r>
    </w:p>
    <w:p w:rsidR="00D275EA" w:rsidRPr="00A06121" w:rsidRDefault="00D275EA" w:rsidP="00D275EA">
      <w:pPr>
        <w:spacing w:after="120"/>
        <w:ind w:left="360"/>
        <w:rPr>
          <w:b/>
          <w:bCs/>
        </w:rPr>
      </w:pPr>
      <w:r w:rsidRPr="00A06121">
        <w:rPr>
          <w:b/>
          <w:bCs/>
        </w:rPr>
        <w:t>Q-Tip:  Inferring scar from claimed primary condition</w:t>
      </w:r>
    </w:p>
    <w:p w:rsidR="00D275EA" w:rsidRPr="00A06121" w:rsidRDefault="00D275EA" w:rsidP="00D275EA">
      <w:pPr>
        <w:spacing w:after="120"/>
        <w:ind w:left="360"/>
      </w:pPr>
      <w:r w:rsidRPr="00A06121">
        <w:t>The station received a couple of STAR errors in the past couple of months relating to failing to infer and address a scar shown to be associated with a claimed SC disability.  The following Q-Tip is provided on this topic:</w:t>
      </w:r>
    </w:p>
    <w:p w:rsidR="00D275EA" w:rsidRPr="00A06121" w:rsidRDefault="00D275EA" w:rsidP="00D275EA">
      <w:pPr>
        <w:pStyle w:val="NormalWeb"/>
        <w:ind w:left="360"/>
        <w:rPr>
          <w:sz w:val="20"/>
          <w:szCs w:val="20"/>
        </w:rPr>
      </w:pPr>
      <w:r w:rsidRPr="00A06121">
        <w:rPr>
          <w:sz w:val="20"/>
          <w:szCs w:val="20"/>
        </w:rPr>
        <w:t>M21-1 III.iv.6.B.1.a</w:t>
      </w:r>
      <w:r w:rsidRPr="00A06121">
        <w:rPr>
          <w:color w:val="444444"/>
          <w:sz w:val="20"/>
          <w:szCs w:val="20"/>
        </w:rPr>
        <w:t>.</w:t>
      </w:r>
      <w:r w:rsidRPr="00A06121">
        <w:rPr>
          <w:sz w:val="20"/>
          <w:szCs w:val="20"/>
        </w:rPr>
        <w:t> states, “When preparing a rating decision, the decision maker must recognize, develop, clarify, and/or decide all issues and claims, whether they are expressly claimed, reasonably raised, or unclaimed subordinate issues and ancillary benefits.”</w:t>
      </w:r>
    </w:p>
    <w:p w:rsidR="00D275EA" w:rsidRPr="00A06121" w:rsidRDefault="00D275EA" w:rsidP="00D275EA">
      <w:pPr>
        <w:pStyle w:val="NormalWeb"/>
        <w:ind w:left="360"/>
        <w:rPr>
          <w:sz w:val="20"/>
          <w:szCs w:val="20"/>
        </w:rPr>
      </w:pPr>
      <w:r w:rsidRPr="00A06121">
        <w:rPr>
          <w:rStyle w:val="Strong"/>
          <w:b w:val="0"/>
          <w:bCs w:val="0"/>
          <w:sz w:val="20"/>
          <w:szCs w:val="20"/>
        </w:rPr>
        <w:t>M21-1 III.iv.6.B.1.c</w:t>
      </w:r>
      <w:bookmarkStart w:id="132" w:name="1c"/>
      <w:r w:rsidRPr="00A06121">
        <w:rPr>
          <w:rStyle w:val="Strong"/>
          <w:b w:val="0"/>
          <w:bCs w:val="0"/>
          <w:color w:val="444444"/>
          <w:sz w:val="20"/>
          <w:szCs w:val="20"/>
        </w:rPr>
        <w:t>.</w:t>
      </w:r>
      <w:bookmarkEnd w:id="132"/>
      <w:r w:rsidRPr="00A06121">
        <w:rPr>
          <w:rStyle w:val="Strong"/>
          <w:b w:val="0"/>
          <w:bCs w:val="0"/>
          <w:sz w:val="20"/>
          <w:szCs w:val="20"/>
        </w:rPr>
        <w:t> notes that that a reasonably raised claim “</w:t>
      </w:r>
      <w:r w:rsidRPr="00A06121">
        <w:rPr>
          <w:sz w:val="20"/>
          <w:szCs w:val="20"/>
        </w:rPr>
        <w:t>encompasses such things as entitlement to any ancillary benefits that arise as a result of the adjudication decision, and additional benefits for complications of an expressly claimed condition.”  It provides the following example relating to inferring/addressing a residual scar from a claimed primary condition:</w:t>
      </w:r>
    </w:p>
    <w:p w:rsidR="00D275EA" w:rsidRPr="00A06121" w:rsidRDefault="00D275EA" w:rsidP="00D275EA">
      <w:pPr>
        <w:spacing w:after="120"/>
        <w:ind w:left="360"/>
      </w:pPr>
      <w:r w:rsidRPr="00A06121">
        <w:rPr>
          <w:b/>
          <w:bCs/>
          <w:i/>
          <w:iCs/>
        </w:rPr>
        <w:t>Example 3</w:t>
      </w:r>
      <w:r w:rsidRPr="00A06121">
        <w:t>:  The Veteran submits a claim for SC for right knee strain.  The evidence of record, including the resulting examination, shows that SC for the knee strain is warranted.  The examination also reveals a knee scar that resulted from a post-service arthroscopy procedure.  The examination indicates the arthroscopy was associated with the SC right knee strain.  The examination also shows that the scar is not painful or unstable and is less than 6 square inches. </w:t>
      </w:r>
    </w:p>
    <w:p w:rsidR="00D275EA" w:rsidRPr="00A06121" w:rsidRDefault="00D275EA" w:rsidP="00D275EA">
      <w:pPr>
        <w:spacing w:after="120"/>
        <w:ind w:left="360"/>
      </w:pPr>
      <w:r w:rsidRPr="00A06121">
        <w:rPr>
          <w:b/>
          <w:bCs/>
          <w:i/>
          <w:iCs/>
        </w:rPr>
        <w:t>Result</w:t>
      </w:r>
      <w:r w:rsidRPr="00A06121">
        <w:t>:  In the event that the examination is otherwise sufficient for rating purposes, the decision maker awards SC for the knee condition and separate SC for the noncompensable knee scar as within the scope of the claim for SC for right knee strain.</w:t>
      </w:r>
    </w:p>
    <w:p w:rsidR="00D275EA" w:rsidRPr="00A06121" w:rsidRDefault="00D275EA" w:rsidP="00D275EA">
      <w:pPr>
        <w:pStyle w:val="NormalWeb"/>
        <w:ind w:left="360"/>
        <w:rPr>
          <w:sz w:val="20"/>
          <w:szCs w:val="20"/>
        </w:rPr>
      </w:pPr>
      <w:r w:rsidRPr="00A06121">
        <w:rPr>
          <w:sz w:val="20"/>
          <w:szCs w:val="20"/>
        </w:rPr>
        <w:t>The manual was updated on January 11, 2016 to include the above scenario in which raters are required to infer/address an unclaimed scar associated with a SC disability as a reasonably raised claim.</w:t>
      </w:r>
    </w:p>
    <w:p w:rsidR="00D275EA" w:rsidRPr="00A06121" w:rsidRDefault="00D275EA" w:rsidP="00D275EA">
      <w:pPr>
        <w:pStyle w:val="NormalWeb"/>
        <w:ind w:left="360"/>
        <w:rPr>
          <w:b/>
          <w:bCs/>
          <w:sz w:val="20"/>
          <w:szCs w:val="20"/>
        </w:rPr>
      </w:pPr>
      <w:r w:rsidRPr="00A06121">
        <w:rPr>
          <w:sz w:val="20"/>
          <w:szCs w:val="20"/>
        </w:rPr>
        <w:t>If there are any questions relating to this topic, please contact the QRT or your Coach.</w:t>
      </w:r>
    </w:p>
    <w:p w:rsidR="00D275EA" w:rsidRPr="007F1425" w:rsidRDefault="00D275EA" w:rsidP="00D275EA">
      <w:pPr>
        <w:pStyle w:val="ListParagraph"/>
        <w:widowControl w:val="0"/>
        <w:numPr>
          <w:ilvl w:val="0"/>
          <w:numId w:val="45"/>
        </w:numPr>
        <w:tabs>
          <w:tab w:val="clear" w:pos="720"/>
          <w:tab w:val="left" w:pos="360"/>
        </w:tabs>
        <w:spacing w:after="120" w:line="240" w:lineRule="auto"/>
        <w:ind w:left="360"/>
        <w:rPr>
          <w:rFonts w:ascii="Arial" w:hAnsi="Arial"/>
          <w:i/>
          <w:sz w:val="20"/>
          <w:szCs w:val="20"/>
        </w:rPr>
      </w:pPr>
      <w:r>
        <w:rPr>
          <w:rFonts w:ascii="Arial" w:hAnsi="Arial"/>
          <w:b/>
          <w:bCs/>
          <w:sz w:val="20"/>
          <w:szCs w:val="20"/>
        </w:rPr>
        <w:t xml:space="preserve">III.iv.4.L.3.b </w:t>
      </w:r>
      <w:r w:rsidRPr="006166BF">
        <w:rPr>
          <w:rFonts w:ascii="Arial" w:hAnsi="Arial"/>
          <w:bCs/>
          <w:i/>
          <w:sz w:val="20"/>
          <w:szCs w:val="20"/>
        </w:rPr>
        <w:t>(previously III.iv.4.J.2.b)</w:t>
      </w:r>
      <w:r>
        <w:rPr>
          <w:rFonts w:ascii="Arial" w:hAnsi="Arial"/>
          <w:bCs/>
          <w:sz w:val="20"/>
          <w:szCs w:val="20"/>
        </w:rPr>
        <w:t xml:space="preserve"> </w:t>
      </w:r>
      <w:r w:rsidRPr="00A64CC2">
        <w:rPr>
          <w:rFonts w:ascii="Arial" w:hAnsi="Arial"/>
          <w:bCs/>
          <w:sz w:val="20"/>
          <w:szCs w:val="20"/>
        </w:rPr>
        <w:t xml:space="preserve">changed </w:t>
      </w:r>
      <w:r>
        <w:rPr>
          <w:rFonts w:ascii="Arial" w:hAnsi="Arial"/>
          <w:bCs/>
          <w:sz w:val="20"/>
          <w:szCs w:val="20"/>
        </w:rPr>
        <w:t xml:space="preserve">6/22/16, </w:t>
      </w:r>
      <w:r>
        <w:rPr>
          <w:rFonts w:ascii="Arial" w:hAnsi="Arial"/>
          <w:sz w:val="20"/>
          <w:szCs w:val="20"/>
        </w:rPr>
        <w:t>need objective evidence of pain/tenderness to give 10% under 7804; Supposedly scars DBQ updated 9/13/16 to ask if “tender to palpation” and “unstable upon inspection” (version online unchanged &amp; got one from VAMC that also does not show these questions); changed again 9/27/16, examiner has to indicate “tender to palpation” for 10%</w:t>
      </w:r>
    </w:p>
    <w:p w:rsidR="007F1425" w:rsidRDefault="007F1425" w:rsidP="007F1425">
      <w:pPr>
        <w:pStyle w:val="ListParagraph"/>
        <w:widowControl w:val="0"/>
        <w:tabs>
          <w:tab w:val="left" w:pos="360"/>
        </w:tabs>
        <w:spacing w:after="120" w:line="240" w:lineRule="auto"/>
        <w:ind w:left="360"/>
        <w:rPr>
          <w:rFonts w:ascii="Arial" w:hAnsi="Arial"/>
          <w:b/>
          <w:bCs/>
          <w:sz w:val="20"/>
          <w:szCs w:val="20"/>
        </w:rPr>
      </w:pPr>
      <w:r>
        <w:rPr>
          <w:rFonts w:ascii="Arial" w:hAnsi="Arial"/>
          <w:b/>
          <w:bCs/>
          <w:sz w:val="20"/>
          <w:szCs w:val="20"/>
        </w:rPr>
        <w:t>Scars DBQ</w:t>
      </w:r>
      <w:r w:rsidR="00263C6E">
        <w:rPr>
          <w:rFonts w:ascii="Arial" w:hAnsi="Arial"/>
          <w:b/>
          <w:bCs/>
          <w:sz w:val="20"/>
          <w:szCs w:val="20"/>
        </w:rPr>
        <w:t>s</w:t>
      </w:r>
      <w:r>
        <w:rPr>
          <w:rFonts w:ascii="Arial" w:hAnsi="Arial"/>
          <w:b/>
          <w:bCs/>
          <w:sz w:val="20"/>
          <w:szCs w:val="20"/>
        </w:rPr>
        <w:t xml:space="preserve"> </w:t>
      </w:r>
      <w:r w:rsidRPr="00263C6E">
        <w:rPr>
          <w:rFonts w:ascii="Arial" w:hAnsi="Arial"/>
          <w:b/>
          <w:bCs/>
          <w:sz w:val="20"/>
          <w:szCs w:val="20"/>
          <w:u w:val="single"/>
        </w:rPr>
        <w:t>updated 3/22/17</w:t>
      </w:r>
      <w:r w:rsidR="00263C6E">
        <w:rPr>
          <w:rFonts w:ascii="Arial" w:hAnsi="Arial"/>
          <w:b/>
          <w:bCs/>
          <w:sz w:val="20"/>
          <w:szCs w:val="20"/>
          <w:u w:val="single"/>
        </w:rPr>
        <w:t xml:space="preserve"> &amp; 8/13/18 (</w:t>
      </w:r>
      <w:r w:rsidR="00263C6E" w:rsidRPr="00585061">
        <w:rPr>
          <w:rFonts w:ascii="Arial" w:hAnsi="Arial"/>
          <w:b/>
          <w:bCs/>
          <w:i/>
          <w:sz w:val="20"/>
          <w:szCs w:val="20"/>
          <w:u w:val="single"/>
        </w:rPr>
        <w:t>the 8/13/18 one still says “Updated on:  March 22, 2017”</w:t>
      </w:r>
      <w:r w:rsidR="00263C6E">
        <w:rPr>
          <w:rFonts w:ascii="Arial" w:hAnsi="Arial"/>
          <w:b/>
          <w:bCs/>
          <w:sz w:val="20"/>
          <w:szCs w:val="20"/>
          <w:u w:val="single"/>
        </w:rPr>
        <w:t>)</w:t>
      </w:r>
      <w:r w:rsidR="00263C6E">
        <w:rPr>
          <w:rFonts w:ascii="Arial" w:hAnsi="Arial"/>
          <w:b/>
          <w:bCs/>
          <w:sz w:val="20"/>
          <w:szCs w:val="20"/>
        </w:rPr>
        <w:t xml:space="preserve"> have</w:t>
      </w:r>
      <w:r>
        <w:rPr>
          <w:rFonts w:ascii="Arial" w:hAnsi="Arial"/>
          <w:b/>
          <w:bCs/>
          <w:sz w:val="20"/>
          <w:szCs w:val="20"/>
        </w:rPr>
        <w:t xml:space="preserve"> this question under </w:t>
      </w:r>
      <w:r w:rsidR="00263C6E">
        <w:rPr>
          <w:rFonts w:ascii="Arial" w:hAnsi="Arial"/>
          <w:b/>
          <w:bCs/>
          <w:sz w:val="20"/>
          <w:szCs w:val="20"/>
        </w:rPr>
        <w:t xml:space="preserve">each body area (RUE, LUE, RLE, LLE, anterior trunk, posterior trunk) under Section I, “2. Physical Exam for Scars on the Truck and Extremities”: </w:t>
      </w:r>
    </w:p>
    <w:p w:rsidR="00263C6E" w:rsidRDefault="00263C6E" w:rsidP="007F1425">
      <w:pPr>
        <w:pStyle w:val="ListParagraph"/>
        <w:widowControl w:val="0"/>
        <w:tabs>
          <w:tab w:val="left" w:pos="360"/>
        </w:tabs>
        <w:spacing w:after="120" w:line="240" w:lineRule="auto"/>
        <w:ind w:left="360"/>
        <w:rPr>
          <w:rFonts w:ascii="Arial" w:hAnsi="Arial"/>
          <w:i/>
          <w:sz w:val="20"/>
          <w:szCs w:val="20"/>
        </w:rPr>
      </w:pPr>
      <w:r>
        <w:rPr>
          <w:noProof/>
        </w:rPr>
        <w:drawing>
          <wp:inline distT="0" distB="0" distL="0" distR="0" wp14:anchorId="03D9F42F" wp14:editId="2C72469F">
            <wp:extent cx="6457950" cy="554307"/>
            <wp:effectExtent l="0" t="0" r="0" b="0"/>
            <wp:docPr id="24685" name="Picture 24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8"/>
                    <a:stretch>
                      <a:fillRect/>
                    </a:stretch>
                  </pic:blipFill>
                  <pic:spPr>
                    <a:xfrm>
                      <a:off x="0" y="0"/>
                      <a:ext cx="6492029" cy="557232"/>
                    </a:xfrm>
                    <a:prstGeom prst="rect">
                      <a:avLst/>
                    </a:prstGeom>
                  </pic:spPr>
                </pic:pic>
              </a:graphicData>
            </a:graphic>
          </wp:inline>
        </w:drawing>
      </w:r>
    </w:p>
    <w:p w:rsidR="00263C6E" w:rsidRDefault="00263C6E" w:rsidP="00263C6E">
      <w:pPr>
        <w:pStyle w:val="ListParagraph"/>
        <w:widowControl w:val="0"/>
        <w:tabs>
          <w:tab w:val="left" w:pos="360"/>
        </w:tabs>
        <w:spacing w:after="120" w:line="240" w:lineRule="auto"/>
        <w:ind w:left="360"/>
        <w:rPr>
          <w:rFonts w:ascii="Arial" w:hAnsi="Arial"/>
          <w:b/>
          <w:bCs/>
          <w:sz w:val="20"/>
          <w:szCs w:val="20"/>
        </w:rPr>
      </w:pPr>
      <w:r>
        <w:rPr>
          <w:rFonts w:ascii="Arial" w:hAnsi="Arial"/>
          <w:b/>
          <w:bCs/>
          <w:sz w:val="20"/>
          <w:szCs w:val="20"/>
        </w:rPr>
        <w:t>And this question under Section II, “2-1. Details of Scar or Disfigurement for the Head, Face and Neck”:</w:t>
      </w:r>
    </w:p>
    <w:p w:rsidR="00263C6E" w:rsidRPr="0011097B" w:rsidRDefault="00263C6E" w:rsidP="007F1425">
      <w:pPr>
        <w:pStyle w:val="ListParagraph"/>
        <w:widowControl w:val="0"/>
        <w:tabs>
          <w:tab w:val="left" w:pos="360"/>
        </w:tabs>
        <w:spacing w:after="120" w:line="240" w:lineRule="auto"/>
        <w:ind w:left="360"/>
        <w:rPr>
          <w:rFonts w:ascii="Arial" w:hAnsi="Arial"/>
          <w:i/>
          <w:sz w:val="20"/>
          <w:szCs w:val="20"/>
        </w:rPr>
      </w:pPr>
      <w:r>
        <w:rPr>
          <w:noProof/>
        </w:rPr>
        <w:drawing>
          <wp:inline distT="0" distB="0" distL="0" distR="0" wp14:anchorId="2522A0CE" wp14:editId="6EAC7980">
            <wp:extent cx="6515100" cy="472345"/>
            <wp:effectExtent l="0" t="0" r="0" b="4445"/>
            <wp:docPr id="24686" name="Picture 24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9"/>
                    <a:stretch>
                      <a:fillRect/>
                    </a:stretch>
                  </pic:blipFill>
                  <pic:spPr>
                    <a:xfrm>
                      <a:off x="0" y="0"/>
                      <a:ext cx="6598091" cy="478362"/>
                    </a:xfrm>
                    <a:prstGeom prst="rect">
                      <a:avLst/>
                    </a:prstGeom>
                  </pic:spPr>
                </pic:pic>
              </a:graphicData>
            </a:graphic>
          </wp:inline>
        </w:drawing>
      </w:r>
    </w:p>
    <w:p w:rsidR="00D275EA" w:rsidRDefault="00D275EA" w:rsidP="005A2BEB">
      <w:pPr>
        <w:widowControl w:val="0"/>
        <w:pBdr>
          <w:top w:val="single" w:sz="4" w:space="1" w:color="auto"/>
          <w:left w:val="single" w:sz="4" w:space="4" w:color="auto"/>
          <w:bottom w:val="single" w:sz="4" w:space="1" w:color="auto"/>
          <w:right w:val="single" w:sz="4" w:space="4" w:color="auto"/>
        </w:pBdr>
        <w:tabs>
          <w:tab w:val="left" w:pos="360"/>
        </w:tabs>
        <w:ind w:left="360"/>
      </w:pPr>
      <w:r w:rsidRPr="0011097B">
        <w:rPr>
          <w:i/>
        </w:rPr>
        <w:t xml:space="preserve">Add to Reasons for Decision:  </w:t>
      </w:r>
      <w:r w:rsidRPr="0011097B">
        <w:t>Please note that the DBQ shows no objective indication supporting subjective reports of pain.</w:t>
      </w:r>
    </w:p>
    <w:p w:rsidR="00D275EA" w:rsidRPr="002C18F1" w:rsidRDefault="00D275EA" w:rsidP="005E77E8">
      <w:pPr>
        <w:pStyle w:val="ListParagraph"/>
        <w:widowControl w:val="0"/>
        <w:numPr>
          <w:ilvl w:val="0"/>
          <w:numId w:val="45"/>
        </w:numPr>
        <w:tabs>
          <w:tab w:val="clear" w:pos="720"/>
          <w:tab w:val="left" w:pos="360"/>
        </w:tabs>
        <w:spacing w:before="120" w:after="120" w:line="240" w:lineRule="auto"/>
        <w:ind w:left="360"/>
        <w:rPr>
          <w:rFonts w:ascii="Arial" w:hAnsi="Arial"/>
          <w:i/>
          <w:sz w:val="20"/>
          <w:szCs w:val="20"/>
        </w:rPr>
      </w:pPr>
      <w:r w:rsidRPr="00A64CC2">
        <w:rPr>
          <w:rFonts w:ascii="Arial" w:hAnsi="Arial"/>
          <w:b/>
          <w:bCs/>
          <w:sz w:val="20"/>
          <w:szCs w:val="20"/>
        </w:rPr>
        <w:t>II</w:t>
      </w:r>
      <w:r>
        <w:rPr>
          <w:rFonts w:ascii="Arial" w:hAnsi="Arial"/>
          <w:b/>
          <w:bCs/>
          <w:sz w:val="20"/>
          <w:szCs w:val="20"/>
        </w:rPr>
        <w:t>I.iv.4.L.1.a</w:t>
      </w:r>
      <w:r w:rsidRPr="00A64CC2">
        <w:rPr>
          <w:rFonts w:ascii="Arial" w:hAnsi="Arial"/>
          <w:bCs/>
          <w:sz w:val="20"/>
          <w:szCs w:val="20"/>
        </w:rPr>
        <w:t xml:space="preserve"> - </w:t>
      </w:r>
      <w:r>
        <w:rPr>
          <w:rFonts w:ascii="Arial" w:hAnsi="Arial"/>
          <w:sz w:val="20"/>
          <w:szCs w:val="20"/>
        </w:rPr>
        <w:t>do not give a 10% for dermatitis under 7806 with a 0% for scarring under 7800 through 7805, only the 10% for 7806 is warranted</w:t>
      </w:r>
    </w:p>
    <w:p w:rsidR="00D275EA" w:rsidRPr="002C18F1" w:rsidRDefault="00D275EA" w:rsidP="00D275EA">
      <w:pPr>
        <w:pStyle w:val="ListParagraph"/>
        <w:widowControl w:val="0"/>
        <w:numPr>
          <w:ilvl w:val="0"/>
          <w:numId w:val="45"/>
        </w:numPr>
        <w:tabs>
          <w:tab w:val="clear" w:pos="720"/>
          <w:tab w:val="left" w:pos="360"/>
        </w:tabs>
        <w:spacing w:after="120" w:line="240" w:lineRule="auto"/>
        <w:ind w:left="360"/>
        <w:rPr>
          <w:rFonts w:ascii="Arial" w:hAnsi="Arial"/>
          <w:i/>
          <w:sz w:val="20"/>
          <w:szCs w:val="20"/>
        </w:rPr>
      </w:pPr>
      <w:r w:rsidRPr="002C18F1">
        <w:rPr>
          <w:rFonts w:ascii="Arial" w:hAnsi="Arial"/>
          <w:b/>
          <w:bCs/>
          <w:sz w:val="20"/>
          <w:szCs w:val="20"/>
        </w:rPr>
        <w:t>From:</w:t>
      </w:r>
      <w:r w:rsidRPr="002C18F1">
        <w:rPr>
          <w:rFonts w:ascii="Arial" w:hAnsi="Arial"/>
          <w:sz w:val="20"/>
          <w:szCs w:val="20"/>
        </w:rPr>
        <w:t xml:space="preserve"> VAVBASDC/RO/VSC </w:t>
      </w:r>
      <w:r w:rsidRPr="002C18F1">
        <w:rPr>
          <w:rFonts w:ascii="Arial" w:hAnsi="Arial"/>
          <w:sz w:val="20"/>
          <w:szCs w:val="20"/>
        </w:rPr>
        <w:br/>
      </w:r>
      <w:r w:rsidRPr="002C18F1">
        <w:rPr>
          <w:rFonts w:ascii="Arial" w:hAnsi="Arial"/>
          <w:b/>
          <w:bCs/>
          <w:sz w:val="20"/>
          <w:szCs w:val="20"/>
        </w:rPr>
        <w:t>Sent:</w:t>
      </w:r>
      <w:r w:rsidRPr="002C18F1">
        <w:rPr>
          <w:rFonts w:ascii="Arial" w:hAnsi="Arial"/>
          <w:sz w:val="20"/>
          <w:szCs w:val="20"/>
        </w:rPr>
        <w:t xml:space="preserve"> Wednesday, March 01, 2017 8:54 AM</w:t>
      </w:r>
      <w:r w:rsidRPr="002C18F1">
        <w:rPr>
          <w:rFonts w:ascii="Arial" w:hAnsi="Arial"/>
          <w:sz w:val="20"/>
          <w:szCs w:val="20"/>
        </w:rPr>
        <w:br/>
      </w:r>
      <w:r w:rsidRPr="002C18F1">
        <w:rPr>
          <w:rFonts w:ascii="Arial" w:hAnsi="Arial"/>
          <w:b/>
          <w:bCs/>
          <w:sz w:val="20"/>
          <w:szCs w:val="20"/>
        </w:rPr>
        <w:t>Subject:</w:t>
      </w:r>
      <w:r w:rsidRPr="002C18F1">
        <w:rPr>
          <w:rFonts w:ascii="Arial" w:hAnsi="Arial"/>
          <w:sz w:val="20"/>
          <w:szCs w:val="20"/>
        </w:rPr>
        <w:t xml:space="preserve"> FW: Q-Tip Inferring Scars from Claimed Primary Condition - Target Audience: RVSRs and DROs </w:t>
      </w:r>
    </w:p>
    <w:p w:rsidR="00D275EA" w:rsidRPr="002C18F1" w:rsidRDefault="00D275EA" w:rsidP="00D275EA">
      <w:pPr>
        <w:spacing w:after="120"/>
        <w:ind w:left="360"/>
      </w:pPr>
      <w:r w:rsidRPr="002C18F1">
        <w:t>RVSRs and DROs:</w:t>
      </w:r>
    </w:p>
    <w:p w:rsidR="00D275EA" w:rsidRPr="002C18F1" w:rsidRDefault="00D275EA" w:rsidP="00D275EA">
      <w:pPr>
        <w:spacing w:after="120"/>
        <w:ind w:left="360"/>
      </w:pPr>
      <w:r w:rsidRPr="002C18F1">
        <w:t>Due to a recent error trend noted by STAR nationwide, we are re-issuing the Q-Tip below on the requirement to address an unclaimed scar associated with an SC disability.</w:t>
      </w:r>
    </w:p>
    <w:p w:rsidR="00D275EA" w:rsidRPr="002C18F1" w:rsidRDefault="00D275EA" w:rsidP="00D275EA">
      <w:pPr>
        <w:spacing w:after="120"/>
        <w:ind w:left="360"/>
      </w:pPr>
      <w:r w:rsidRPr="002C18F1">
        <w:t>M21-1 III.iv.B.1</w:t>
      </w:r>
      <w:r>
        <w:t xml:space="preserve"> </w:t>
      </w:r>
      <w:r w:rsidRPr="00D36CD9">
        <w:rPr>
          <w:i/>
        </w:rPr>
        <w:t>(</w:t>
      </w:r>
      <w:r w:rsidRPr="00D36CD9">
        <w:rPr>
          <w:i/>
          <w:color w:val="00B050"/>
        </w:rPr>
        <w:t xml:space="preserve">My Notes:  </w:t>
      </w:r>
      <w:r w:rsidRPr="00D36CD9">
        <w:rPr>
          <w:i/>
        </w:rPr>
        <w:t xml:space="preserve">It’s </w:t>
      </w:r>
      <w:r w:rsidRPr="00D36CD9">
        <w:rPr>
          <w:b/>
          <w:i/>
        </w:rPr>
        <w:t>III.iv.6.B.1</w:t>
      </w:r>
      <w:r w:rsidRPr="00D36CD9">
        <w:rPr>
          <w:i/>
        </w:rPr>
        <w:t>)</w:t>
      </w:r>
      <w:r>
        <w:t xml:space="preserve"> </w:t>
      </w:r>
      <w:r w:rsidRPr="002C18F1">
        <w:t xml:space="preserve">now refers to inferred or reasonably raised issues as issues “within the scope” of an expressly claimed issue, such as </w:t>
      </w:r>
    </w:p>
    <w:p w:rsidR="00D275EA" w:rsidRPr="002C18F1" w:rsidRDefault="00D275EA" w:rsidP="00F063AF">
      <w:pPr>
        <w:numPr>
          <w:ilvl w:val="0"/>
          <w:numId w:val="343"/>
        </w:numPr>
        <w:overflowPunct/>
        <w:autoSpaceDE/>
        <w:autoSpaceDN/>
        <w:adjustRightInd/>
        <w:spacing w:after="120"/>
        <w:textAlignment w:val="auto"/>
      </w:pPr>
      <w:r w:rsidRPr="002C18F1">
        <w:t xml:space="preserve">complications of the claimed condition, or </w:t>
      </w:r>
    </w:p>
    <w:p w:rsidR="00D275EA" w:rsidRPr="002C18F1" w:rsidRDefault="00D275EA" w:rsidP="00F063AF">
      <w:pPr>
        <w:numPr>
          <w:ilvl w:val="0"/>
          <w:numId w:val="343"/>
        </w:numPr>
        <w:overflowPunct/>
        <w:autoSpaceDE/>
        <w:autoSpaceDN/>
        <w:adjustRightInd/>
        <w:spacing w:after="120"/>
        <w:textAlignment w:val="auto"/>
      </w:pPr>
      <w:r w:rsidRPr="002C18F1">
        <w:t>unclaimed subordinate issues and ancillary benefits.</w:t>
      </w:r>
    </w:p>
    <w:p w:rsidR="00D275EA" w:rsidRPr="002C18F1" w:rsidRDefault="00D275EA" w:rsidP="00D275EA">
      <w:pPr>
        <w:spacing w:after="120"/>
        <w:ind w:left="360"/>
      </w:pPr>
      <w:r w:rsidRPr="002C18F1">
        <w:t>A scar associated with a claimed primary SC condition continues to be considered an issue with the scope of the claim and must be addressed, per M21-1 III.iv.6.B.1.c.</w:t>
      </w:r>
    </w:p>
    <w:p w:rsidR="00D275EA" w:rsidRPr="002C18F1" w:rsidRDefault="00D275EA" w:rsidP="00D275EA">
      <w:pPr>
        <w:spacing w:after="120"/>
        <w:ind w:left="360"/>
      </w:pPr>
      <w:r w:rsidRPr="002C18F1">
        <w:t>Consideration for complications of an expressly claimed issue is discussed at M21-1 III.iv.B.2.c</w:t>
      </w:r>
      <w:r>
        <w:t xml:space="preserve"> </w:t>
      </w:r>
      <w:r w:rsidRPr="00116FEA">
        <w:rPr>
          <w:i/>
        </w:rPr>
        <w:t>(</w:t>
      </w:r>
      <w:r w:rsidRPr="00935374">
        <w:rPr>
          <w:i/>
          <w:color w:val="00B050"/>
        </w:rPr>
        <w:t xml:space="preserve">My Notes:  </w:t>
      </w:r>
      <w:r w:rsidRPr="00D36CD9">
        <w:rPr>
          <w:i/>
        </w:rPr>
        <w:t xml:space="preserve">It’s </w:t>
      </w:r>
      <w:r w:rsidRPr="00D36CD9">
        <w:rPr>
          <w:b/>
          <w:i/>
        </w:rPr>
        <w:t>III.iv.6.B.2</w:t>
      </w:r>
      <w:r w:rsidRPr="00116FEA">
        <w:rPr>
          <w:i/>
        </w:rPr>
        <w:t>)</w:t>
      </w:r>
      <w:r w:rsidRPr="002C18F1">
        <w:t>.  Complications of a claimed issue include, but is not limited to:</w:t>
      </w:r>
    </w:p>
    <w:p w:rsidR="00D275EA" w:rsidRPr="002C18F1" w:rsidRDefault="00D275EA" w:rsidP="00F063AF">
      <w:pPr>
        <w:numPr>
          <w:ilvl w:val="0"/>
          <w:numId w:val="344"/>
        </w:numPr>
        <w:overflowPunct/>
        <w:autoSpaceDE/>
        <w:autoSpaceDN/>
        <w:adjustRightInd/>
        <w:spacing w:after="120"/>
        <w:textAlignment w:val="auto"/>
      </w:pPr>
      <w:r w:rsidRPr="002C18F1">
        <w:t>complications of diabetes mellitus</w:t>
      </w:r>
    </w:p>
    <w:p w:rsidR="00D275EA" w:rsidRPr="002C18F1" w:rsidRDefault="00D275EA" w:rsidP="00F063AF">
      <w:pPr>
        <w:numPr>
          <w:ilvl w:val="0"/>
          <w:numId w:val="344"/>
        </w:numPr>
        <w:overflowPunct/>
        <w:autoSpaceDE/>
        <w:autoSpaceDN/>
        <w:adjustRightInd/>
        <w:spacing w:after="120"/>
        <w:textAlignment w:val="auto"/>
      </w:pPr>
      <w:r w:rsidRPr="002C18F1">
        <w:t>residuals of cancer</w:t>
      </w:r>
    </w:p>
    <w:p w:rsidR="00D275EA" w:rsidRPr="002C18F1" w:rsidRDefault="00D275EA" w:rsidP="00F063AF">
      <w:pPr>
        <w:numPr>
          <w:ilvl w:val="0"/>
          <w:numId w:val="344"/>
        </w:numPr>
        <w:overflowPunct/>
        <w:autoSpaceDE/>
        <w:autoSpaceDN/>
        <w:adjustRightInd/>
        <w:spacing w:after="120"/>
        <w:textAlignment w:val="auto"/>
      </w:pPr>
      <w:r w:rsidRPr="002C18F1">
        <w:t>scars as the result of surgical intervention for an SC disability</w:t>
      </w:r>
    </w:p>
    <w:p w:rsidR="00D275EA" w:rsidRPr="002C18F1" w:rsidRDefault="00D275EA" w:rsidP="00F063AF">
      <w:pPr>
        <w:numPr>
          <w:ilvl w:val="0"/>
          <w:numId w:val="344"/>
        </w:numPr>
        <w:overflowPunct/>
        <w:autoSpaceDE/>
        <w:autoSpaceDN/>
        <w:adjustRightInd/>
        <w:spacing w:after="120"/>
        <w:textAlignment w:val="auto"/>
      </w:pPr>
      <w:r w:rsidRPr="002C18F1">
        <w:t>neurological disabilities related to the spine</w:t>
      </w:r>
    </w:p>
    <w:p w:rsidR="00D275EA" w:rsidRPr="002C18F1" w:rsidRDefault="00D275EA" w:rsidP="00F063AF">
      <w:pPr>
        <w:numPr>
          <w:ilvl w:val="0"/>
          <w:numId w:val="344"/>
        </w:numPr>
        <w:overflowPunct/>
        <w:autoSpaceDE/>
        <w:autoSpaceDN/>
        <w:adjustRightInd/>
        <w:spacing w:after="120"/>
        <w:textAlignment w:val="auto"/>
      </w:pPr>
      <w:r w:rsidRPr="002C18F1">
        <w:t>complications of progressive disorders, such as</w:t>
      </w:r>
    </w:p>
    <w:p w:rsidR="00D275EA" w:rsidRPr="002C18F1" w:rsidRDefault="00D275EA" w:rsidP="00F063AF">
      <w:pPr>
        <w:numPr>
          <w:ilvl w:val="1"/>
          <w:numId w:val="344"/>
        </w:numPr>
        <w:overflowPunct/>
        <w:autoSpaceDE/>
        <w:autoSpaceDN/>
        <w:adjustRightInd/>
        <w:spacing w:after="120"/>
        <w:textAlignment w:val="auto"/>
      </w:pPr>
      <w:r w:rsidRPr="002C18F1">
        <w:t>ALS, or</w:t>
      </w:r>
    </w:p>
    <w:p w:rsidR="00D275EA" w:rsidRPr="002C18F1" w:rsidRDefault="00D275EA" w:rsidP="00F063AF">
      <w:pPr>
        <w:numPr>
          <w:ilvl w:val="1"/>
          <w:numId w:val="344"/>
        </w:numPr>
        <w:overflowPunct/>
        <w:autoSpaceDE/>
        <w:autoSpaceDN/>
        <w:adjustRightInd/>
        <w:spacing w:after="120"/>
        <w:textAlignment w:val="auto"/>
      </w:pPr>
      <w:r w:rsidRPr="002C18F1">
        <w:t>multiple sclerosis (MS), or</w:t>
      </w:r>
    </w:p>
    <w:p w:rsidR="00D275EA" w:rsidRPr="002C18F1" w:rsidRDefault="00D275EA" w:rsidP="00F063AF">
      <w:pPr>
        <w:numPr>
          <w:ilvl w:val="0"/>
          <w:numId w:val="344"/>
        </w:numPr>
        <w:overflowPunct/>
        <w:autoSpaceDE/>
        <w:autoSpaceDN/>
        <w:adjustRightInd/>
        <w:spacing w:after="120"/>
        <w:textAlignment w:val="auto"/>
      </w:pPr>
      <w:r w:rsidRPr="002C18F1">
        <w:t>constitutional symptoms caused by systemic disorders, such as</w:t>
      </w:r>
    </w:p>
    <w:p w:rsidR="00D275EA" w:rsidRPr="002C18F1" w:rsidRDefault="00D275EA" w:rsidP="00F063AF">
      <w:pPr>
        <w:numPr>
          <w:ilvl w:val="1"/>
          <w:numId w:val="344"/>
        </w:numPr>
        <w:overflowPunct/>
        <w:autoSpaceDE/>
        <w:autoSpaceDN/>
        <w:adjustRightInd/>
        <w:spacing w:after="120"/>
        <w:textAlignment w:val="auto"/>
      </w:pPr>
      <w:r w:rsidRPr="002C18F1">
        <w:t>rheumatoid arthritis, or</w:t>
      </w:r>
    </w:p>
    <w:p w:rsidR="00D275EA" w:rsidRPr="002C18F1" w:rsidRDefault="00D275EA" w:rsidP="00F063AF">
      <w:pPr>
        <w:numPr>
          <w:ilvl w:val="1"/>
          <w:numId w:val="344"/>
        </w:numPr>
        <w:overflowPunct/>
        <w:autoSpaceDE/>
        <w:autoSpaceDN/>
        <w:adjustRightInd/>
        <w:spacing w:after="120"/>
        <w:textAlignment w:val="auto"/>
      </w:pPr>
      <w:r w:rsidRPr="002C18F1">
        <w:t>ankylosing spondylitis.</w:t>
      </w:r>
    </w:p>
    <w:p w:rsidR="005E77E8" w:rsidRPr="005E77E8" w:rsidRDefault="00D571C5" w:rsidP="005E77E8">
      <w:pPr>
        <w:pStyle w:val="ListParagraph"/>
        <w:widowControl w:val="0"/>
        <w:numPr>
          <w:ilvl w:val="0"/>
          <w:numId w:val="45"/>
        </w:numPr>
        <w:tabs>
          <w:tab w:val="clear" w:pos="720"/>
          <w:tab w:val="left" w:pos="360"/>
        </w:tabs>
        <w:spacing w:after="120" w:line="240" w:lineRule="auto"/>
        <w:ind w:left="360"/>
        <w:rPr>
          <w:rFonts w:ascii="Arial" w:hAnsi="Arial"/>
          <w:i/>
          <w:sz w:val="20"/>
          <w:szCs w:val="20"/>
        </w:rPr>
      </w:pPr>
      <w:hyperlink r:id="rId600" w:history="1">
        <w:r w:rsidR="00D275EA">
          <w:rPr>
            <w:rStyle w:val="Hyperlink"/>
            <w:rFonts w:ascii="Arial" w:hAnsi="Arial"/>
            <w:b/>
            <w:bCs/>
            <w:i/>
            <w:sz w:val="20"/>
            <w:szCs w:val="20"/>
          </w:rPr>
          <w:t>Febuary 2017 Quality Call Notes</w:t>
        </w:r>
      </w:hyperlink>
      <w:r w:rsidR="00D275EA" w:rsidRPr="00415F4F">
        <w:rPr>
          <w:rFonts w:ascii="Arial" w:hAnsi="Arial"/>
          <w:i/>
          <w:sz w:val="20"/>
          <w:szCs w:val="20"/>
        </w:rPr>
        <w:t xml:space="preserve"> – </w:t>
      </w:r>
      <w:r w:rsidR="00D275EA" w:rsidRPr="00FB07C1">
        <w:rPr>
          <w:rFonts w:ascii="Arial" w:hAnsi="Arial"/>
          <w:sz w:val="20"/>
        </w:rPr>
        <w:t xml:space="preserve">the first four characteristics of disfigurement under </w:t>
      </w:r>
      <w:hyperlink r:id="rId601" w:history="1">
        <w:r w:rsidR="00D275EA" w:rsidRPr="00FB07C1">
          <w:rPr>
            <w:rStyle w:val="Hyperlink"/>
            <w:rFonts w:ascii="Arial" w:hAnsi="Arial"/>
            <w:sz w:val="20"/>
          </w:rPr>
          <w:t>Diagnostic Code 7800</w:t>
        </w:r>
      </w:hyperlink>
      <w:r w:rsidR="00D275EA" w:rsidRPr="00FB07C1">
        <w:rPr>
          <w:rFonts w:ascii="Arial" w:hAnsi="Arial"/>
          <w:sz w:val="20"/>
        </w:rPr>
        <w:t xml:space="preserve"> can be satisfied by only a scar.  On the contrary, the last four characteristics of disfigurement can be satisfied by either a scar or an area of disfigurement.</w:t>
      </w:r>
    </w:p>
    <w:p w:rsidR="005E77E8" w:rsidRPr="005E77E8" w:rsidRDefault="005E77E8" w:rsidP="005E77E8">
      <w:pPr>
        <w:pStyle w:val="ListParagraph"/>
        <w:widowControl w:val="0"/>
        <w:numPr>
          <w:ilvl w:val="0"/>
          <w:numId w:val="45"/>
        </w:numPr>
        <w:tabs>
          <w:tab w:val="clear" w:pos="720"/>
          <w:tab w:val="left" w:pos="360"/>
        </w:tabs>
        <w:spacing w:after="120" w:line="240" w:lineRule="auto"/>
        <w:ind w:left="360"/>
        <w:rPr>
          <w:rStyle w:val="Hyperlink"/>
          <w:rFonts w:ascii="Arial" w:hAnsi="Arial"/>
          <w:i/>
          <w:color w:val="auto"/>
          <w:sz w:val="18"/>
          <w:szCs w:val="20"/>
          <w:u w:val="none"/>
        </w:rPr>
      </w:pPr>
      <w:r w:rsidRPr="005E77E8">
        <w:rPr>
          <w:rStyle w:val="Hyperlink"/>
          <w:rFonts w:ascii="Arial" w:hAnsi="Arial"/>
          <w:b/>
          <w:color w:val="auto"/>
          <w:sz w:val="20"/>
          <w:u w:val="none"/>
        </w:rPr>
        <w:t xml:space="preserve">III.iv.3.d.4.l </w:t>
      </w:r>
      <w:r w:rsidRPr="005E77E8">
        <w:rPr>
          <w:rStyle w:val="Hyperlink"/>
          <w:rFonts w:ascii="Arial" w:hAnsi="Arial"/>
          <w:color w:val="auto"/>
          <w:sz w:val="20"/>
          <w:u w:val="none"/>
        </w:rPr>
        <w:t>(added 5/14/18)</w:t>
      </w:r>
      <w:r w:rsidRPr="005E77E8">
        <w:rPr>
          <w:rStyle w:val="Hyperlink"/>
          <w:rFonts w:ascii="Arial" w:hAnsi="Arial"/>
          <w:b/>
          <w:color w:val="auto"/>
          <w:sz w:val="20"/>
          <w:u w:val="none"/>
        </w:rPr>
        <w:t xml:space="preserve"> </w:t>
      </w:r>
      <w:r>
        <w:rPr>
          <w:rStyle w:val="Hyperlink"/>
          <w:rFonts w:ascii="Arial" w:hAnsi="Arial"/>
          <w:b/>
          <w:color w:val="auto"/>
          <w:sz w:val="20"/>
          <w:u w:val="none"/>
        </w:rPr>
        <w:t xml:space="preserve">- </w:t>
      </w:r>
      <w:r w:rsidRPr="005E77E8">
        <w:rPr>
          <w:rStyle w:val="Hyperlink"/>
          <w:rFonts w:ascii="Arial" w:hAnsi="Arial"/>
          <w:color w:val="auto"/>
          <w:sz w:val="20"/>
          <w:u w:val="none"/>
        </w:rPr>
        <w:t>sufficiency of exam reports of skin &amp; scars</w:t>
      </w:r>
    </w:p>
    <w:p w:rsidR="005E77E8" w:rsidRPr="000361FB" w:rsidRDefault="000D2EC2" w:rsidP="00D275EA">
      <w:pPr>
        <w:pStyle w:val="ListParagraph"/>
        <w:widowControl w:val="0"/>
        <w:numPr>
          <w:ilvl w:val="0"/>
          <w:numId w:val="45"/>
        </w:numPr>
        <w:tabs>
          <w:tab w:val="clear" w:pos="720"/>
          <w:tab w:val="left" w:pos="360"/>
        </w:tabs>
        <w:spacing w:after="120" w:line="240" w:lineRule="auto"/>
        <w:ind w:left="360"/>
        <w:rPr>
          <w:rFonts w:ascii="Arial" w:hAnsi="Arial"/>
          <w:i/>
          <w:sz w:val="20"/>
          <w:szCs w:val="20"/>
        </w:rPr>
      </w:pPr>
      <w:r>
        <w:rPr>
          <w:rFonts w:ascii="Arial" w:hAnsi="Arial"/>
          <w:sz w:val="20"/>
          <w:szCs w:val="20"/>
        </w:rPr>
        <w:t>…</w:t>
      </w:r>
    </w:p>
    <w:p w:rsidR="00323EBC" w:rsidRDefault="00323EBC" w:rsidP="001D11AA">
      <w:pPr>
        <w:overflowPunct/>
        <w:spacing w:after="120"/>
        <w:ind w:left="720" w:hanging="720"/>
        <w:textAlignment w:val="auto"/>
      </w:pPr>
    </w:p>
    <w:p w:rsidR="00F854A0" w:rsidRPr="00F854A0" w:rsidRDefault="00F854A0" w:rsidP="00F854A0">
      <w:pPr>
        <w:overflowPunct/>
        <w:spacing w:after="120"/>
        <w:ind w:left="720" w:hanging="720"/>
        <w:textAlignment w:val="auto"/>
        <w:rPr>
          <w:i/>
        </w:rPr>
      </w:pPr>
      <w:r>
        <w:t xml:space="preserve">7801 </w:t>
      </w:r>
      <w:r>
        <w:tab/>
        <w:t xml:space="preserve">deep &amp; nonlinear; </w:t>
      </w:r>
      <w:r>
        <w:rPr>
          <w:i/>
          <w:color w:val="00B050"/>
        </w:rPr>
        <w:t>My</w:t>
      </w:r>
      <w:r w:rsidRPr="001D11AA">
        <w:rPr>
          <w:i/>
          <w:color w:val="00B050"/>
        </w:rPr>
        <w:t xml:space="preserve"> Notes:  </w:t>
      </w:r>
      <w:r w:rsidRPr="00F854A0">
        <w:rPr>
          <w:i/>
        </w:rPr>
        <w:t xml:space="preserve">Per Note 2, can assign separate evaluations for each extremity, </w:t>
      </w:r>
      <w:r>
        <w:rPr>
          <w:i/>
        </w:rPr>
        <w:t>an</w:t>
      </w:r>
      <w:r w:rsidRPr="00F854A0">
        <w:rPr>
          <w:i/>
        </w:rPr>
        <w:t>t</w:t>
      </w:r>
      <w:r>
        <w:rPr>
          <w:i/>
        </w:rPr>
        <w:t>er</w:t>
      </w:r>
      <w:r w:rsidRPr="00F854A0">
        <w:rPr>
          <w:i/>
        </w:rPr>
        <w:t>ior trunk &amp; posterior trunk.</w:t>
      </w:r>
    </w:p>
    <w:p w:rsidR="00323EBC" w:rsidRPr="00F854A0" w:rsidRDefault="00323EBC" w:rsidP="001D11AA">
      <w:pPr>
        <w:overflowPunct/>
        <w:spacing w:after="120"/>
        <w:ind w:left="720" w:hanging="720"/>
        <w:textAlignment w:val="auto"/>
        <w:rPr>
          <w:i/>
        </w:rPr>
      </w:pPr>
      <w:r>
        <w:t>7802</w:t>
      </w:r>
      <w:r>
        <w:tab/>
      </w:r>
      <w:r w:rsidR="00F854A0">
        <w:t xml:space="preserve">superficial &amp; nonlinear; </w:t>
      </w:r>
      <w:r w:rsidR="00F854A0">
        <w:rPr>
          <w:i/>
          <w:color w:val="00B050"/>
        </w:rPr>
        <w:t>My</w:t>
      </w:r>
      <w:r w:rsidR="00F854A0" w:rsidRPr="001D11AA">
        <w:rPr>
          <w:i/>
          <w:color w:val="00B050"/>
        </w:rPr>
        <w:t xml:space="preserve"> Notes:  </w:t>
      </w:r>
      <w:r w:rsidR="00F854A0" w:rsidRPr="00F854A0">
        <w:rPr>
          <w:i/>
        </w:rPr>
        <w:t>Per Note 2, c</w:t>
      </w:r>
      <w:r w:rsidRPr="00F854A0">
        <w:rPr>
          <w:i/>
        </w:rPr>
        <w:t xml:space="preserve">an </w:t>
      </w:r>
      <w:r w:rsidR="00F854A0" w:rsidRPr="00F854A0">
        <w:rPr>
          <w:i/>
        </w:rPr>
        <w:t>assign</w:t>
      </w:r>
      <w:r w:rsidRPr="00F854A0">
        <w:rPr>
          <w:i/>
        </w:rPr>
        <w:t xml:space="preserve"> separate evaluations for each extremity, </w:t>
      </w:r>
      <w:r w:rsidR="00F854A0">
        <w:rPr>
          <w:i/>
        </w:rPr>
        <w:t>an</w:t>
      </w:r>
      <w:r w:rsidR="00F854A0" w:rsidRPr="00F854A0">
        <w:rPr>
          <w:i/>
        </w:rPr>
        <w:t>t</w:t>
      </w:r>
      <w:r w:rsidR="00F854A0">
        <w:rPr>
          <w:i/>
        </w:rPr>
        <w:t>er</w:t>
      </w:r>
      <w:r w:rsidR="00F854A0" w:rsidRPr="00F854A0">
        <w:rPr>
          <w:i/>
        </w:rPr>
        <w:t>ior trunk &amp; posterior trunk.</w:t>
      </w:r>
    </w:p>
    <w:p w:rsidR="001D11AA" w:rsidRDefault="001D11AA" w:rsidP="001D11AA">
      <w:pPr>
        <w:overflowPunct/>
        <w:spacing w:after="120"/>
        <w:ind w:left="720" w:hanging="720"/>
        <w:textAlignment w:val="auto"/>
        <w:rPr>
          <w:i/>
        </w:rPr>
      </w:pPr>
      <w:r>
        <w:t>7804</w:t>
      </w:r>
      <w:r>
        <w:tab/>
      </w:r>
      <w:r w:rsidRPr="001D11AA">
        <w:rPr>
          <w:i/>
          <w:color w:val="00B050"/>
        </w:rPr>
        <w:t xml:space="preserve">My Notes:  </w:t>
      </w:r>
      <w:r w:rsidRPr="001D11AA">
        <w:rPr>
          <w:i/>
        </w:rPr>
        <w:t>If an exam is done soon after a surgery &amp; the scar is painful, it’s probably best to do a 0% &amp; get another DBQ in a few months (explain, in the narrative, that it seems the pain is due to the recent surgery, but we will do a RFE to determin</w:t>
      </w:r>
      <w:r w:rsidR="00FF16AB">
        <w:rPr>
          <w:i/>
        </w:rPr>
        <w:t>e</w:t>
      </w:r>
      <w:r w:rsidRPr="001D11AA">
        <w:rPr>
          <w:i/>
        </w:rPr>
        <w:t xml:space="preserve"> if the scar is still painful; if it is still painful, can take the 10% back to the original eff date).</w:t>
      </w:r>
    </w:p>
    <w:p w:rsidR="00585061" w:rsidRDefault="00585061" w:rsidP="00263C6E">
      <w:pPr>
        <w:overflowPunct/>
        <w:spacing w:after="120"/>
        <w:textAlignment w:val="auto"/>
      </w:pPr>
    </w:p>
    <w:p w:rsidR="00263C6E" w:rsidRPr="00263C6E" w:rsidRDefault="00263C6E" w:rsidP="00263C6E">
      <w:pPr>
        <w:overflowPunct/>
        <w:spacing w:after="120"/>
        <w:textAlignment w:val="auto"/>
        <w:rPr>
          <w:bCs/>
        </w:rPr>
      </w:pPr>
      <w:r>
        <w:t xml:space="preserve">Switchboard shows Scars DBQ </w:t>
      </w:r>
      <w:r w:rsidRPr="00263C6E">
        <w:rPr>
          <w:b/>
          <w:u w:val="single"/>
        </w:rPr>
        <w:t>updated</w:t>
      </w:r>
      <w:r w:rsidRPr="00263C6E">
        <w:rPr>
          <w:b/>
          <w:bCs/>
          <w:u w:val="single"/>
        </w:rPr>
        <w:t xml:space="preserve"> 8/13/18</w:t>
      </w:r>
      <w:r w:rsidRPr="00263C6E">
        <w:rPr>
          <w:bCs/>
        </w:rPr>
        <w:t xml:space="preserve"> (</w:t>
      </w:r>
      <w:r w:rsidRPr="00263C6E">
        <w:rPr>
          <w:bCs/>
          <w:i/>
        </w:rPr>
        <w:t>but it still says “Updated on:  March 22, 2017” on the actual PDF</w:t>
      </w:r>
      <w:r w:rsidRPr="00263C6E">
        <w:rPr>
          <w:bCs/>
        </w:rPr>
        <w:t>)</w:t>
      </w:r>
      <w:r>
        <w:rPr>
          <w:bCs/>
        </w:rPr>
        <w:t>. The changes are, for each body area (</w:t>
      </w:r>
      <w:r w:rsidRPr="00263C6E">
        <w:rPr>
          <w:bCs/>
        </w:rPr>
        <w:t>RUE, LUE, RLE, LLE, anterior trunk, posterior trunk), the questions change from:</w:t>
      </w:r>
    </w:p>
    <w:p w:rsidR="00263C6E" w:rsidRDefault="00263C6E" w:rsidP="001D11AA">
      <w:pPr>
        <w:overflowPunct/>
        <w:spacing w:after="120"/>
        <w:ind w:left="720" w:hanging="720"/>
        <w:textAlignment w:val="auto"/>
        <w:rPr>
          <w:b/>
          <w:bCs/>
        </w:rPr>
      </w:pPr>
      <w:r>
        <w:rPr>
          <w:noProof/>
        </w:rPr>
        <w:drawing>
          <wp:inline distT="0" distB="0" distL="0" distR="0" wp14:anchorId="3A3703D3" wp14:editId="651651B7">
            <wp:extent cx="6858000" cy="3493770"/>
            <wp:effectExtent l="0" t="0" r="0" b="0"/>
            <wp:docPr id="24687" name="Picture 24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2"/>
                    <a:stretch>
                      <a:fillRect/>
                    </a:stretch>
                  </pic:blipFill>
                  <pic:spPr>
                    <a:xfrm>
                      <a:off x="0" y="0"/>
                      <a:ext cx="6858000" cy="3493770"/>
                    </a:xfrm>
                    <a:prstGeom prst="rect">
                      <a:avLst/>
                    </a:prstGeom>
                  </pic:spPr>
                </pic:pic>
              </a:graphicData>
            </a:graphic>
          </wp:inline>
        </w:drawing>
      </w:r>
    </w:p>
    <w:p w:rsidR="00263C6E" w:rsidRDefault="00263C6E" w:rsidP="001D11AA">
      <w:pPr>
        <w:overflowPunct/>
        <w:spacing w:after="120"/>
        <w:ind w:left="720" w:hanging="720"/>
        <w:textAlignment w:val="auto"/>
        <w:rPr>
          <w:b/>
          <w:bCs/>
        </w:rPr>
      </w:pPr>
    </w:p>
    <w:p w:rsidR="00263C6E" w:rsidRPr="00263C6E" w:rsidRDefault="00585061" w:rsidP="001D11AA">
      <w:pPr>
        <w:overflowPunct/>
        <w:spacing w:after="120"/>
        <w:ind w:left="720" w:hanging="720"/>
        <w:textAlignment w:val="auto"/>
        <w:rPr>
          <w:bCs/>
        </w:rPr>
      </w:pPr>
      <w:r>
        <w:rPr>
          <w:bCs/>
        </w:rPr>
        <w:t>T</w:t>
      </w:r>
      <w:r w:rsidR="00263C6E" w:rsidRPr="00263C6E">
        <w:rPr>
          <w:bCs/>
        </w:rPr>
        <w:t>o</w:t>
      </w:r>
      <w:r>
        <w:rPr>
          <w:bCs/>
        </w:rPr>
        <w:t xml:space="preserve"> (</w:t>
      </w:r>
      <w:r w:rsidRPr="00585061">
        <w:rPr>
          <w:bCs/>
          <w:i/>
        </w:rPr>
        <w:t>removed separate sections for “linear,” “superficial non-linear,” &amp; “deep non-linear</w:t>
      </w:r>
      <w:r>
        <w:rPr>
          <w:bCs/>
        </w:rPr>
        <w:t>)</w:t>
      </w:r>
      <w:r w:rsidR="00263C6E" w:rsidRPr="00263C6E">
        <w:rPr>
          <w:bCs/>
        </w:rPr>
        <w:t>:</w:t>
      </w:r>
    </w:p>
    <w:p w:rsidR="00263C6E" w:rsidRDefault="00263C6E" w:rsidP="001D11AA">
      <w:pPr>
        <w:overflowPunct/>
        <w:spacing w:after="120"/>
        <w:ind w:left="720" w:hanging="720"/>
        <w:textAlignment w:val="auto"/>
      </w:pPr>
      <w:r>
        <w:rPr>
          <w:noProof/>
        </w:rPr>
        <w:drawing>
          <wp:inline distT="0" distB="0" distL="0" distR="0" wp14:anchorId="102700DE" wp14:editId="292F6ECF">
            <wp:extent cx="6858000" cy="2516505"/>
            <wp:effectExtent l="0" t="0" r="0" b="0"/>
            <wp:docPr id="24688" name="Picture 24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3"/>
                    <a:stretch>
                      <a:fillRect/>
                    </a:stretch>
                  </pic:blipFill>
                  <pic:spPr>
                    <a:xfrm>
                      <a:off x="0" y="0"/>
                      <a:ext cx="6858000" cy="2516505"/>
                    </a:xfrm>
                    <a:prstGeom prst="rect">
                      <a:avLst/>
                    </a:prstGeom>
                  </pic:spPr>
                </pic:pic>
              </a:graphicData>
            </a:graphic>
          </wp:inline>
        </w:drawing>
      </w:r>
    </w:p>
    <w:p w:rsidR="00263C6E" w:rsidRDefault="00263C6E" w:rsidP="001D11AA">
      <w:pPr>
        <w:overflowPunct/>
        <w:spacing w:after="120"/>
        <w:ind w:left="720" w:hanging="720"/>
        <w:textAlignment w:val="auto"/>
      </w:pPr>
    </w:p>
    <w:p w:rsidR="00D275EA" w:rsidRDefault="00D275EA" w:rsidP="00D275EA">
      <w:pPr>
        <w:widowControl w:val="0"/>
        <w:numPr>
          <w:ilvl w:val="12"/>
          <w:numId w:val="0"/>
        </w:numPr>
        <w:spacing w:after="120"/>
        <w:ind w:left="720" w:hanging="720"/>
      </w:pPr>
      <w:r w:rsidRPr="00431D1F">
        <w:t>7806</w:t>
      </w:r>
      <w:r w:rsidRPr="00431D1F">
        <w:tab/>
      </w:r>
      <w:r w:rsidRPr="00431D1F">
        <w:rPr>
          <w:b/>
        </w:rPr>
        <w:t>III.iv.4.</w:t>
      </w:r>
      <w:r>
        <w:rPr>
          <w:b/>
        </w:rPr>
        <w:t>L.1.b</w:t>
      </w:r>
      <w:r>
        <w:t>,</w:t>
      </w:r>
      <w:r w:rsidRPr="00431D1F">
        <w:t xml:space="preserve"> </w:t>
      </w:r>
      <w:r>
        <w:rPr>
          <w:b/>
        </w:rPr>
        <w:t>III.iv.4.L.1.c</w:t>
      </w:r>
      <w:r w:rsidRPr="00431D1F">
        <w:t xml:space="preserve"> </w:t>
      </w:r>
      <w:r>
        <w:t xml:space="preserve">&amp; </w:t>
      </w:r>
      <w:r>
        <w:rPr>
          <w:b/>
        </w:rPr>
        <w:t>III.iv.4.L.1.d</w:t>
      </w:r>
      <w:r>
        <w:t xml:space="preserve"> </w:t>
      </w:r>
      <w:r w:rsidRPr="00431D1F">
        <w:t>- separate evaluations for each diagnosis are permissible when the evaluation is based on disability due solely to the individual diagnosis</w:t>
      </w:r>
      <w:r>
        <w:t xml:space="preserve"> (either on exposed areas, entire body or medication) (</w:t>
      </w:r>
      <w:r w:rsidRPr="0093016F">
        <w:rPr>
          <w:bCs/>
          <w:highlight w:val="magenta"/>
        </w:rPr>
        <w:t>this is a change</w:t>
      </w:r>
      <w:r>
        <w:t>, as we were previously directed that all skin only warrants one evaluation)</w:t>
      </w:r>
    </w:p>
    <w:p w:rsidR="005E77E8" w:rsidRDefault="005E77E8" w:rsidP="005E77E8">
      <w:pPr>
        <w:widowControl w:val="0"/>
        <w:numPr>
          <w:ilvl w:val="12"/>
          <w:numId w:val="0"/>
        </w:numPr>
        <w:spacing w:after="120"/>
        <w:ind w:left="720"/>
      </w:pPr>
      <w:r>
        <w:rPr>
          <w:b/>
        </w:rPr>
        <w:t>III.iv.4.L.1.e</w:t>
      </w:r>
      <w:r>
        <w:t xml:space="preserve"> –</w:t>
      </w:r>
      <w:r w:rsidRPr="00431D1F">
        <w:t xml:space="preserve"> </w:t>
      </w:r>
      <w:r>
        <w:t>a single eval is allowed for separate diagnoses if it gives a higher benefit or if symptoms/area affected can’t be separated</w:t>
      </w:r>
    </w:p>
    <w:p w:rsidR="00D275EA" w:rsidRDefault="00D275EA" w:rsidP="00D275EA">
      <w:pPr>
        <w:pBdr>
          <w:top w:val="single" w:sz="4" w:space="1" w:color="auto"/>
          <w:left w:val="single" w:sz="4" w:space="4" w:color="auto"/>
          <w:bottom w:val="single" w:sz="4" w:space="1" w:color="auto"/>
          <w:right w:val="single" w:sz="4" w:space="4" w:color="auto"/>
        </w:pBdr>
        <w:rPr>
          <w:rFonts w:cstheme="minorBidi"/>
        </w:rPr>
      </w:pPr>
      <w:r w:rsidRPr="00283429">
        <w:rPr>
          <w:rFonts w:cstheme="minorBidi"/>
        </w:rPr>
        <w:t xml:space="preserve">Rating Note:  </w:t>
      </w:r>
      <w:r>
        <w:rPr>
          <w:rFonts w:cstheme="minorBidi"/>
        </w:rPr>
        <w:t>S</w:t>
      </w:r>
      <w:r w:rsidRPr="00283429">
        <w:rPr>
          <w:rFonts w:cstheme="minorBidi"/>
        </w:rPr>
        <w:t>eparate evaluations under 7806 can be assigned</w:t>
      </w:r>
      <w:r>
        <w:rPr>
          <w:rFonts w:cstheme="minorBidi"/>
        </w:rPr>
        <w:t>,</w:t>
      </w:r>
      <w:r w:rsidRPr="00283429">
        <w:rPr>
          <w:rFonts w:cstheme="minorBidi"/>
        </w:rPr>
        <w:t xml:space="preserve"> per </w:t>
      </w:r>
      <w:r w:rsidRPr="00431D1F">
        <w:rPr>
          <w:b/>
        </w:rPr>
        <w:t>III.iv.4.</w:t>
      </w:r>
      <w:r>
        <w:rPr>
          <w:b/>
        </w:rPr>
        <w:t>L.1.b</w:t>
      </w:r>
      <w:r w:rsidRPr="00283429">
        <w:rPr>
          <w:rFonts w:cstheme="minorBidi"/>
        </w:rPr>
        <w:t xml:space="preserve"> (which does not make a distinction for 0% evaluations).</w:t>
      </w:r>
      <w:r>
        <w:rPr>
          <w:rFonts w:cstheme="minorBidi"/>
        </w:rPr>
        <w:t xml:space="preserve"> </w:t>
      </w:r>
    </w:p>
    <w:p w:rsidR="00D275EA" w:rsidRPr="00431D1F" w:rsidRDefault="00D275EA" w:rsidP="00D275EA">
      <w:pPr>
        <w:widowControl w:val="0"/>
        <w:numPr>
          <w:ilvl w:val="12"/>
          <w:numId w:val="0"/>
        </w:numPr>
      </w:pPr>
    </w:p>
    <w:p w:rsidR="00D275EA" w:rsidRDefault="00D275EA" w:rsidP="00D275EA">
      <w:pPr>
        <w:widowControl w:val="0"/>
        <w:numPr>
          <w:ilvl w:val="12"/>
          <w:numId w:val="0"/>
        </w:numPr>
        <w:ind w:left="720" w:hanging="720"/>
        <w:rPr>
          <w:i/>
          <w:color w:val="FF9900"/>
        </w:rPr>
      </w:pPr>
      <w:r>
        <w:t>7815</w:t>
      </w:r>
      <w:r>
        <w:tab/>
        <w:t xml:space="preserve">Bullous disorders (including pemphigus vulgaris, pemphigus foliaceous, bullous pemphigoid, dermatitis herpetiformis, epidermolysis bullosa acquisita, benign chronic familial pemphigus (Hailey-Hailey), and </w:t>
      </w:r>
      <w:r>
        <w:rPr>
          <w:i/>
          <w:color w:val="800000"/>
        </w:rPr>
        <w:t>porphyri cutanea tarda</w:t>
      </w:r>
      <w:r>
        <w:t xml:space="preserve">) – </w:t>
      </w:r>
      <w:r>
        <w:rPr>
          <w:i/>
          <w:color w:val="FF9900"/>
        </w:rPr>
        <w:t xml:space="preserve">Agent Orange presumptive under </w:t>
      </w:r>
      <w:r w:rsidRPr="007A4B37">
        <w:rPr>
          <w:b/>
        </w:rPr>
        <w:t>3.309</w:t>
      </w:r>
      <w:r>
        <w:rPr>
          <w:i/>
          <w:color w:val="FF9900"/>
        </w:rPr>
        <w:t>(e)</w:t>
      </w:r>
    </w:p>
    <w:p w:rsidR="00D275EA" w:rsidRDefault="00D275EA" w:rsidP="00D275EA">
      <w:pPr>
        <w:widowControl w:val="0"/>
        <w:numPr>
          <w:ilvl w:val="12"/>
          <w:numId w:val="0"/>
        </w:numPr>
        <w:ind w:left="720" w:hanging="720"/>
        <w:rPr>
          <w:i/>
          <w:color w:val="008080"/>
        </w:rPr>
      </w:pPr>
      <w:r>
        <w:rPr>
          <w:color w:val="FF0000"/>
        </w:rPr>
        <w:t>7818</w:t>
      </w:r>
      <w:r>
        <w:rPr>
          <w:color w:val="FF0000"/>
        </w:rPr>
        <w:tab/>
        <w:t>Malignant skin neoplasms (other than malignant melanoma)</w:t>
      </w:r>
      <w:r>
        <w:t xml:space="preserve"> –</w:t>
      </w:r>
      <w:r>
        <w:rPr>
          <w:i/>
          <w:color w:val="008080"/>
        </w:rPr>
        <w:t>scar formation &amp; squamous cell carcinoma of the skin are Mustard Gas presumptive under 3.316</w:t>
      </w:r>
    </w:p>
    <w:p w:rsidR="00D275EA" w:rsidRDefault="00D275EA" w:rsidP="00D275EA">
      <w:pPr>
        <w:widowControl w:val="0"/>
        <w:numPr>
          <w:ilvl w:val="12"/>
          <w:numId w:val="0"/>
        </w:numPr>
        <w:ind w:left="720" w:hanging="720"/>
      </w:pPr>
      <w:r>
        <w:rPr>
          <w:color w:val="FF0000"/>
        </w:rPr>
        <w:t>7821</w:t>
      </w:r>
      <w:r>
        <w:tab/>
        <w:t xml:space="preserve">Cutaneous manifestations of collagen-vascular diseases not listed elsewhere (including </w:t>
      </w:r>
      <w:r>
        <w:rPr>
          <w:color w:val="FF0000"/>
        </w:rPr>
        <w:t>scleroderma</w:t>
      </w:r>
      <w:r>
        <w:t>, calcinosis cutis, and dermatomyositis)</w:t>
      </w:r>
    </w:p>
    <w:p w:rsidR="00A76FED" w:rsidRPr="00A76FED" w:rsidRDefault="00A76FED" w:rsidP="00A76FED">
      <w:pPr>
        <w:widowControl w:val="0"/>
        <w:rPr>
          <w:b/>
          <w:sz w:val="18"/>
        </w:rPr>
      </w:pPr>
      <w:r w:rsidRPr="00A76FED">
        <w:t>7825</w:t>
      </w:r>
      <w:r w:rsidRPr="00A76FED">
        <w:tab/>
        <w:t xml:space="preserve">Urticaria, </w:t>
      </w:r>
      <w:r w:rsidRPr="00A76FED">
        <w:rPr>
          <w:b/>
        </w:rPr>
        <w:t>3.380</w:t>
      </w:r>
    </w:p>
    <w:p w:rsidR="00D275EA" w:rsidRDefault="00D275EA" w:rsidP="00D275EA">
      <w:pPr>
        <w:widowControl w:val="0"/>
        <w:numPr>
          <w:ilvl w:val="12"/>
          <w:numId w:val="0"/>
        </w:numPr>
      </w:pPr>
      <w:r>
        <w:rPr>
          <w:color w:val="FF0000"/>
        </w:rPr>
        <w:t>7833</w:t>
      </w:r>
      <w:r>
        <w:rPr>
          <w:color w:val="FF0000"/>
        </w:rPr>
        <w:tab/>
        <w:t>Malignant melanoma</w:t>
      </w:r>
    </w:p>
    <w:p w:rsidR="00D275EA" w:rsidRDefault="00D275EA" w:rsidP="00D275EA">
      <w:pPr>
        <w:widowControl w:val="0"/>
        <w:rPr>
          <w:i/>
          <w:color w:val="FF9900"/>
        </w:rPr>
      </w:pPr>
      <w:r>
        <w:t>7829</w:t>
      </w:r>
      <w:r>
        <w:tab/>
        <w:t xml:space="preserve">Chloracne – </w:t>
      </w:r>
      <w:r>
        <w:rPr>
          <w:i/>
          <w:color w:val="FF9900"/>
        </w:rPr>
        <w:t xml:space="preserve">Agent Orange presumptive under </w:t>
      </w:r>
      <w:r w:rsidRPr="007A4B37">
        <w:rPr>
          <w:b/>
        </w:rPr>
        <w:t>3.309</w:t>
      </w:r>
      <w:r>
        <w:rPr>
          <w:i/>
          <w:color w:val="FF9900"/>
        </w:rPr>
        <w:t>(e)</w:t>
      </w:r>
    </w:p>
    <w:p w:rsidR="00D275EA" w:rsidRDefault="00D275EA" w:rsidP="00D275EA">
      <w:pPr>
        <w:widowControl w:val="0"/>
      </w:pPr>
    </w:p>
    <w:p w:rsidR="00F43BB6" w:rsidRDefault="00F43BB6">
      <w:pPr>
        <w:widowControl w:val="0"/>
        <w:numPr>
          <w:ilvl w:val="12"/>
          <w:numId w:val="0"/>
        </w:numPr>
        <w:pBdr>
          <w:top w:val="single" w:sz="6" w:space="1" w:color="auto"/>
        </w:pBdr>
      </w:pPr>
    </w:p>
    <w:p w:rsidR="00D275EA" w:rsidRDefault="00D275EA">
      <w:pPr>
        <w:overflowPunct/>
        <w:autoSpaceDE/>
        <w:autoSpaceDN/>
        <w:adjustRightInd/>
        <w:textAlignment w:val="auto"/>
      </w:pPr>
      <w:r>
        <w:br w:type="page"/>
      </w:r>
    </w:p>
    <w:tbl>
      <w:tblPr>
        <w:tblW w:w="0" w:type="auto"/>
        <w:tblInd w:w="-45" w:type="dxa"/>
        <w:tblLayout w:type="fixed"/>
        <w:tblCellMar>
          <w:left w:w="30" w:type="dxa"/>
          <w:right w:w="30" w:type="dxa"/>
        </w:tblCellMar>
        <w:tblLook w:val="0000" w:firstRow="0" w:lastRow="0" w:firstColumn="0" w:lastColumn="0" w:noHBand="0" w:noVBand="0"/>
      </w:tblPr>
      <w:tblGrid>
        <w:gridCol w:w="10875"/>
      </w:tblGrid>
      <w:tr w:rsidR="00D275EA" w:rsidTr="0093236F">
        <w:trPr>
          <w:trHeight w:val="296"/>
        </w:trPr>
        <w:tc>
          <w:tcPr>
            <w:tcW w:w="10875" w:type="dxa"/>
            <w:tcBorders>
              <w:top w:val="single" w:sz="4" w:space="0" w:color="auto"/>
              <w:left w:val="nil"/>
              <w:bottom w:val="nil"/>
              <w:right w:val="nil"/>
            </w:tcBorders>
          </w:tcPr>
          <w:p w:rsidR="00D275EA" w:rsidRDefault="00D275EA" w:rsidP="00C334D1">
            <w:pPr>
              <w:widowControl w:val="0"/>
              <w:numPr>
                <w:ilvl w:val="12"/>
                <w:numId w:val="0"/>
              </w:numPr>
              <w:jc w:val="center"/>
              <w:rPr>
                <w:b/>
                <w:color w:val="FF0000"/>
              </w:rPr>
            </w:pPr>
            <w:r>
              <w:rPr>
                <w:b/>
              </w:rPr>
              <w:br w:type="page"/>
            </w:r>
            <w:bookmarkStart w:id="133" w:name="Part4Endocrine"/>
            <w:r>
              <w:rPr>
                <w:b/>
                <w:color w:val="FF0000"/>
              </w:rPr>
              <w:t xml:space="preserve">4.119. </w:t>
            </w:r>
            <w:r>
              <w:rPr>
                <w:b/>
                <w:i/>
                <w:color w:val="FF0000"/>
              </w:rPr>
              <w:t>The Endocrine System</w:t>
            </w:r>
            <w:bookmarkEnd w:id="133"/>
          </w:p>
        </w:tc>
      </w:tr>
    </w:tbl>
    <w:p w:rsidR="005567F4" w:rsidRPr="005567F4" w:rsidRDefault="005567F4" w:rsidP="005567F4">
      <w:pPr>
        <w:widowControl w:val="0"/>
        <w:spacing w:after="120"/>
        <w:rPr>
          <w:b/>
          <w:i/>
        </w:rPr>
      </w:pPr>
      <w:r w:rsidRPr="005567F4">
        <w:rPr>
          <w:b/>
        </w:rPr>
        <w:t>III.iv.4.M</w:t>
      </w:r>
    </w:p>
    <w:p w:rsidR="005567F4" w:rsidRDefault="005567F4" w:rsidP="00D275EA">
      <w:pPr>
        <w:widowControl w:val="0"/>
        <w:numPr>
          <w:ilvl w:val="12"/>
          <w:numId w:val="0"/>
        </w:numPr>
        <w:tabs>
          <w:tab w:val="left" w:pos="660"/>
          <w:tab w:val="left" w:pos="9409"/>
        </w:tabs>
        <w:ind w:left="-45"/>
        <w:rPr>
          <w:b/>
          <w:u w:val="single"/>
        </w:rPr>
      </w:pPr>
    </w:p>
    <w:p w:rsidR="00D275EA" w:rsidRDefault="00D275EA" w:rsidP="00D275EA">
      <w:pPr>
        <w:widowControl w:val="0"/>
        <w:numPr>
          <w:ilvl w:val="12"/>
          <w:numId w:val="0"/>
        </w:numPr>
        <w:tabs>
          <w:tab w:val="left" w:pos="660"/>
          <w:tab w:val="left" w:pos="9409"/>
        </w:tabs>
        <w:ind w:left="-45"/>
        <w:rPr>
          <w:b/>
          <w:u w:val="single"/>
        </w:rPr>
      </w:pPr>
      <w:r w:rsidRPr="00AE0E75">
        <w:rPr>
          <w:b/>
          <w:u w:val="single"/>
        </w:rPr>
        <w:t>4.119</w:t>
      </w:r>
      <w:r>
        <w:rPr>
          <w:b/>
          <w:u w:val="single"/>
        </w:rPr>
        <w:tab/>
        <w:t>Schedule of Ratings—Endocrine System</w:t>
      </w:r>
    </w:p>
    <w:p w:rsidR="00D275EA" w:rsidRDefault="00D275EA" w:rsidP="00D275EA">
      <w:pPr>
        <w:widowControl w:val="0"/>
        <w:numPr>
          <w:ilvl w:val="12"/>
          <w:numId w:val="0"/>
        </w:numPr>
        <w:rPr>
          <w:i/>
        </w:rPr>
      </w:pPr>
    </w:p>
    <w:p w:rsidR="00D275EA" w:rsidRDefault="00D275EA" w:rsidP="000674FA">
      <w:pPr>
        <w:widowControl w:val="0"/>
        <w:numPr>
          <w:ilvl w:val="12"/>
          <w:numId w:val="0"/>
        </w:numPr>
        <w:pBdr>
          <w:top w:val="single" w:sz="4" w:space="1" w:color="auto"/>
          <w:left w:val="single" w:sz="4" w:space="1" w:color="auto"/>
          <w:bottom w:val="single" w:sz="4" w:space="1" w:color="auto"/>
          <w:right w:val="single" w:sz="4" w:space="1" w:color="auto"/>
        </w:pBdr>
        <w:rPr>
          <w:i/>
        </w:rPr>
      </w:pPr>
      <w:r>
        <w:rPr>
          <w:i/>
        </w:rPr>
        <w:t>changed 6/6/96 (DCs 7900-7919, 7910 removed)</w:t>
      </w:r>
    </w:p>
    <w:p w:rsidR="00D275EA" w:rsidRDefault="00D275EA" w:rsidP="000674FA">
      <w:pPr>
        <w:widowControl w:val="0"/>
        <w:numPr>
          <w:ilvl w:val="12"/>
          <w:numId w:val="0"/>
        </w:numPr>
        <w:pBdr>
          <w:top w:val="single" w:sz="4" w:space="1" w:color="auto"/>
          <w:left w:val="single" w:sz="4" w:space="1" w:color="auto"/>
          <w:bottom w:val="single" w:sz="4" w:space="1" w:color="auto"/>
          <w:right w:val="single" w:sz="4" w:space="1" w:color="auto"/>
        </w:pBdr>
        <w:rPr>
          <w:i/>
        </w:rPr>
      </w:pPr>
    </w:p>
    <w:p w:rsidR="000674FA" w:rsidRDefault="00D275EA" w:rsidP="000674FA">
      <w:pPr>
        <w:widowControl w:val="0"/>
        <w:pBdr>
          <w:top w:val="single" w:sz="4" w:space="1" w:color="auto"/>
          <w:left w:val="single" w:sz="4" w:space="1" w:color="auto"/>
          <w:bottom w:val="single" w:sz="4" w:space="1" w:color="auto"/>
          <w:right w:val="single" w:sz="4" w:space="1" w:color="auto"/>
        </w:pBdr>
        <w:rPr>
          <w:i/>
        </w:rPr>
      </w:pPr>
      <w:r>
        <w:rPr>
          <w:i/>
        </w:rPr>
        <w:t xml:space="preserve">changed 12/10/17 (added 7906 for thyroiditis, added new rating criteria &amp; notes to some DCs, name changes to reflect current medical terminology, added clarification regarding injection of insulin to 7913), </w:t>
      </w:r>
      <w:r w:rsidR="000674FA" w:rsidRPr="000674FA">
        <w:rPr>
          <w:i/>
        </w:rPr>
        <w:t>https://www.ecfr.gov/cgi-bin/text-idx?SID=a89bbbfed89969856b699368523f31a1&amp;mc=true&amp;node=20171102y1.3</w:t>
      </w:r>
      <w:r w:rsidR="000674FA">
        <w:t xml:space="preserve"> </w:t>
      </w:r>
      <w:r w:rsidR="000674FA">
        <w:rPr>
          <w:i/>
        </w:rPr>
        <w:t xml:space="preserve">– </w:t>
      </w:r>
      <w:r w:rsidR="000674FA">
        <w:t xml:space="preserve">NOT LIBERALIZING, </w:t>
      </w:r>
      <w:r w:rsidR="000674FA" w:rsidRPr="000674FA">
        <w:rPr>
          <w:i/>
          <w:color w:val="00B050"/>
        </w:rPr>
        <w:t xml:space="preserve">My Notes:  </w:t>
      </w:r>
      <w:r w:rsidR="000674FA" w:rsidRPr="000674FA">
        <w:rPr>
          <w:i/>
        </w:rPr>
        <w:t>3.114 does not apply</w:t>
      </w:r>
      <w:r w:rsidR="000674FA">
        <w:rPr>
          <w:i/>
        </w:rPr>
        <w:t xml:space="preserve">, so </w:t>
      </w:r>
      <w:r w:rsidR="000674FA" w:rsidRPr="000674FA">
        <w:rPr>
          <w:i/>
        </w:rPr>
        <w:t xml:space="preserve">can’t grant increase based on new criteria prior to </w:t>
      </w:r>
      <w:r w:rsidR="000674FA">
        <w:rPr>
          <w:i/>
        </w:rPr>
        <w:t>12/10/17</w:t>
      </w:r>
      <w:r w:rsidR="000674FA" w:rsidRPr="000674FA">
        <w:rPr>
          <w:i/>
        </w:rPr>
        <w:t xml:space="preserve"> (if filed before </w:t>
      </w:r>
      <w:r w:rsidR="000674FA">
        <w:rPr>
          <w:i/>
        </w:rPr>
        <w:t>12/10/17</w:t>
      </w:r>
      <w:r w:rsidR="000674FA" w:rsidRPr="000674FA">
        <w:rPr>
          <w:i/>
        </w:rPr>
        <w:t xml:space="preserve"> or within a year of </w:t>
      </w:r>
      <w:r w:rsidR="000674FA">
        <w:rPr>
          <w:i/>
        </w:rPr>
        <w:t>12/10/17</w:t>
      </w:r>
      <w:r w:rsidR="002628B3">
        <w:rPr>
          <w:i/>
        </w:rPr>
        <w:t>)</w:t>
      </w:r>
      <w:r w:rsidR="000674FA" w:rsidRPr="000674FA">
        <w:rPr>
          <w:i/>
        </w:rPr>
        <w:t xml:space="preserve">, AND </w:t>
      </w:r>
      <w:r w:rsidR="000674FA">
        <w:rPr>
          <w:i/>
        </w:rPr>
        <w:t>can’t go one year prior to DOC</w:t>
      </w:r>
      <w:r w:rsidR="002628B3">
        <w:rPr>
          <w:i/>
        </w:rPr>
        <w:t xml:space="preserve"> (</w:t>
      </w:r>
      <w:r w:rsidR="000674FA" w:rsidRPr="000674FA">
        <w:rPr>
          <w:i/>
        </w:rPr>
        <w:t>if file</w:t>
      </w:r>
      <w:r w:rsidR="000674FA">
        <w:rPr>
          <w:i/>
        </w:rPr>
        <w:t>d</w:t>
      </w:r>
      <w:r w:rsidR="000674FA" w:rsidRPr="000674FA">
        <w:rPr>
          <w:i/>
        </w:rPr>
        <w:t xml:space="preserve"> more than a year after </w:t>
      </w:r>
      <w:r w:rsidR="000674FA">
        <w:rPr>
          <w:i/>
        </w:rPr>
        <w:t>12/10/17</w:t>
      </w:r>
      <w:r w:rsidR="000674FA" w:rsidRPr="000674FA">
        <w:rPr>
          <w:i/>
        </w:rPr>
        <w:t xml:space="preserve">, but had evidence of increase on </w:t>
      </w:r>
      <w:r w:rsidR="000674FA">
        <w:rPr>
          <w:i/>
        </w:rPr>
        <w:t xml:space="preserve">12/10/17, still </w:t>
      </w:r>
      <w:r w:rsidR="002628B3">
        <w:rPr>
          <w:i/>
        </w:rPr>
        <w:t>have to use DOC).</w:t>
      </w:r>
      <w:r w:rsidR="000674FA">
        <w:rPr>
          <w:i/>
        </w:rPr>
        <w:t xml:space="preserve"> However, can use medical evidence of increase to take back to 12/10/17, if filed w/i 1 year &amp; medical evidence shows increase warranted on 12/10/17.</w:t>
      </w:r>
    </w:p>
    <w:p w:rsidR="00D275EA" w:rsidRDefault="00D275EA" w:rsidP="000674FA">
      <w:pPr>
        <w:widowControl w:val="0"/>
        <w:numPr>
          <w:ilvl w:val="12"/>
          <w:numId w:val="0"/>
        </w:numPr>
        <w:pBdr>
          <w:top w:val="single" w:sz="4" w:space="1" w:color="auto"/>
          <w:left w:val="single" w:sz="4" w:space="1" w:color="auto"/>
          <w:bottom w:val="single" w:sz="4" w:space="1" w:color="auto"/>
          <w:right w:val="single" w:sz="4" w:space="1" w:color="auto"/>
        </w:pBdr>
        <w:rPr>
          <w:rStyle w:val="Hyperlink"/>
          <w:color w:val="auto"/>
          <w:u w:val="none"/>
        </w:rPr>
      </w:pPr>
      <w:r w:rsidRPr="00B829D4">
        <w:rPr>
          <w:i/>
        </w:rPr>
        <w:t>https://www.vapulse.net/thread/42668</w:t>
      </w:r>
      <w:r>
        <w:rPr>
          <w:i/>
        </w:rPr>
        <w:t xml:space="preserve"> - </w:t>
      </w:r>
      <w:r w:rsidRPr="00B829D4">
        <w:t>discusses “Rating Period Start” box</w:t>
      </w:r>
      <w:r w:rsidR="003A2439">
        <w:t xml:space="preserve"> (should be date you begin evaluating the issue, i.e. date of claim, date of ITF, date of RFE)</w:t>
      </w:r>
      <w:r>
        <w:t xml:space="preserve">; </w:t>
      </w:r>
      <w:hyperlink r:id="rId604" w:history="1">
        <w:r>
          <w:rPr>
            <w:rStyle w:val="Hyperlink"/>
            <w:b/>
            <w:bCs/>
            <w:i/>
          </w:rPr>
          <w:t>December 2017 Quality Call Notes</w:t>
        </w:r>
      </w:hyperlink>
      <w:r>
        <w:t xml:space="preserve"> </w:t>
      </w:r>
      <w:r>
        <w:rPr>
          <w:rStyle w:val="Hyperlink"/>
          <w:color w:val="auto"/>
          <w:u w:val="none"/>
        </w:rPr>
        <w:t>– removed 10% for continuous medication required for control for 7900, 7903 &amp; 7905; 7913 – insulin requirement is now “one or more daily injection”</w:t>
      </w:r>
    </w:p>
    <w:p w:rsidR="00481BE2" w:rsidRDefault="00481BE2" w:rsidP="000674FA">
      <w:pPr>
        <w:widowControl w:val="0"/>
        <w:numPr>
          <w:ilvl w:val="12"/>
          <w:numId w:val="0"/>
        </w:numPr>
        <w:pBdr>
          <w:top w:val="single" w:sz="4" w:space="1" w:color="auto"/>
          <w:left w:val="single" w:sz="4" w:space="1" w:color="auto"/>
          <w:bottom w:val="single" w:sz="4" w:space="1" w:color="auto"/>
          <w:right w:val="single" w:sz="4" w:space="1" w:color="auto"/>
        </w:pBdr>
        <w:rPr>
          <w:rStyle w:val="Hyperlink"/>
          <w:color w:val="auto"/>
          <w:u w:val="none"/>
        </w:rPr>
      </w:pPr>
    </w:p>
    <w:p w:rsidR="00481BE2" w:rsidRDefault="00481BE2" w:rsidP="000674FA">
      <w:pPr>
        <w:widowControl w:val="0"/>
        <w:numPr>
          <w:ilvl w:val="12"/>
          <w:numId w:val="0"/>
        </w:numPr>
        <w:pBdr>
          <w:top w:val="single" w:sz="4" w:space="1" w:color="auto"/>
          <w:left w:val="single" w:sz="4" w:space="1" w:color="auto"/>
          <w:bottom w:val="single" w:sz="4" w:space="1" w:color="auto"/>
          <w:right w:val="single" w:sz="4" w:space="1" w:color="auto"/>
        </w:pBdr>
        <w:rPr>
          <w:rStyle w:val="Hyperlink"/>
          <w:color w:val="auto"/>
          <w:u w:val="none"/>
        </w:rPr>
      </w:pPr>
      <w:r>
        <w:rPr>
          <w:rStyle w:val="Hyperlink"/>
          <w:color w:val="auto"/>
          <w:u w:val="none"/>
        </w:rPr>
        <w:t>*see below for more info on changes (</w:t>
      </w:r>
      <w:r w:rsidR="00B90EAE">
        <w:rPr>
          <w:rStyle w:val="Hyperlink"/>
          <w:color w:val="auto"/>
          <w:u w:val="none"/>
        </w:rPr>
        <w:t xml:space="preserve">modified </w:t>
      </w:r>
      <w:r>
        <w:rPr>
          <w:rStyle w:val="Hyperlink"/>
          <w:color w:val="auto"/>
          <w:u w:val="none"/>
        </w:rPr>
        <w:t xml:space="preserve">from handout on TMS Training, </w:t>
      </w:r>
      <w:r>
        <w:rPr>
          <w:rStyle w:val="itemtitle1"/>
          <w:color w:val="000000"/>
        </w:rPr>
        <w:t>Introduction to Endocrine Conditions Rating Schedule Changes</w:t>
      </w:r>
      <w:r w:rsidR="00B90EAE">
        <w:rPr>
          <w:rStyle w:val="Hyperlink"/>
          <w:color w:val="auto"/>
          <w:u w:val="none"/>
        </w:rPr>
        <w:t>, that handout had multiple errors, My Notes are in Arial)</w:t>
      </w:r>
    </w:p>
    <w:p w:rsidR="00BE3DF2" w:rsidRPr="00BE3DF2" w:rsidRDefault="00BE3DF2" w:rsidP="000674FA">
      <w:pPr>
        <w:widowControl w:val="0"/>
        <w:pBdr>
          <w:top w:val="single" w:sz="4" w:space="1" w:color="auto"/>
          <w:left w:val="single" w:sz="4" w:space="1" w:color="auto"/>
          <w:bottom w:val="single" w:sz="4" w:space="1" w:color="auto"/>
          <w:right w:val="single" w:sz="4" w:space="1" w:color="auto"/>
        </w:pBdr>
        <w:tabs>
          <w:tab w:val="left" w:pos="660"/>
          <w:tab w:val="left" w:pos="9407"/>
        </w:tabs>
        <w:rPr>
          <w:bCs/>
          <w:i/>
          <w:iCs/>
        </w:rPr>
      </w:pPr>
      <w:r w:rsidRPr="007645C4">
        <w:rPr>
          <w:i/>
          <w:sz w:val="18"/>
        </w:rPr>
        <w:t>*you can find the old schedule</w:t>
      </w:r>
      <w:r w:rsidRPr="007645C4">
        <w:rPr>
          <w:bCs/>
          <w:i/>
          <w:iCs/>
          <w:sz w:val="18"/>
        </w:rPr>
        <w:t xml:space="preserve"> at Regulation Citator at http://vaco</w:t>
      </w:r>
      <w:r>
        <w:rPr>
          <w:bCs/>
          <w:i/>
          <w:iCs/>
          <w:sz w:val="18"/>
        </w:rPr>
        <w:t>appbva2.dva.va.gov, search 4.119</w:t>
      </w:r>
      <w:r w:rsidR="00D11C3E">
        <w:rPr>
          <w:bCs/>
          <w:i/>
          <w:iCs/>
          <w:sz w:val="18"/>
        </w:rPr>
        <w:t>; or in CPKM</w:t>
      </w:r>
    </w:p>
    <w:p w:rsidR="00D275EA" w:rsidRDefault="00D275EA" w:rsidP="00D275EA">
      <w:pPr>
        <w:widowControl w:val="0"/>
        <w:numPr>
          <w:ilvl w:val="12"/>
          <w:numId w:val="0"/>
        </w:numPr>
        <w:rPr>
          <w:b/>
          <w:i/>
        </w:rPr>
      </w:pPr>
    </w:p>
    <w:p w:rsidR="00481BE2" w:rsidRDefault="00481BE2" w:rsidP="00D275EA">
      <w:pPr>
        <w:pStyle w:val="Default"/>
        <w:spacing w:after="120"/>
        <w:rPr>
          <w:rFonts w:asciiTheme="minorHAnsi" w:hAnsiTheme="minorHAnsi"/>
          <w:i/>
          <w:sz w:val="22"/>
          <w:szCs w:val="22"/>
        </w:rPr>
      </w:pPr>
    </w:p>
    <w:tbl>
      <w:tblPr>
        <w:tblStyle w:val="TableGrid"/>
        <w:tblW w:w="10597" w:type="dxa"/>
        <w:tblInd w:w="-5" w:type="dxa"/>
        <w:tblLook w:val="04A0" w:firstRow="1" w:lastRow="0" w:firstColumn="1" w:lastColumn="0" w:noHBand="0" w:noVBand="1"/>
      </w:tblPr>
      <w:tblGrid>
        <w:gridCol w:w="1877"/>
        <w:gridCol w:w="8720"/>
      </w:tblGrid>
      <w:tr w:rsidR="00481BE2" w:rsidRPr="004F12D9" w:rsidTr="00472BA9">
        <w:tc>
          <w:tcPr>
            <w:tcW w:w="1877" w:type="dxa"/>
            <w:shd w:val="clear" w:color="auto" w:fill="BFBFBF" w:themeFill="background1" w:themeFillShade="BF"/>
          </w:tcPr>
          <w:p w:rsidR="00481BE2" w:rsidRPr="004F12D9" w:rsidRDefault="00481BE2" w:rsidP="007C3224">
            <w:pPr>
              <w:rPr>
                <w:rFonts w:ascii="Garamond" w:hAnsi="Garamond" w:cs="Times New Roman"/>
                <w:b/>
                <w:sz w:val="24"/>
                <w:szCs w:val="24"/>
              </w:rPr>
            </w:pPr>
            <w:r w:rsidRPr="004F12D9">
              <w:rPr>
                <w:rFonts w:ascii="Garamond" w:hAnsi="Garamond" w:cs="Times New Roman"/>
                <w:b/>
                <w:sz w:val="24"/>
                <w:szCs w:val="24"/>
              </w:rPr>
              <w:t>Code</w:t>
            </w:r>
          </w:p>
        </w:tc>
        <w:tc>
          <w:tcPr>
            <w:tcW w:w="8720" w:type="dxa"/>
            <w:shd w:val="clear" w:color="auto" w:fill="BFBFBF" w:themeFill="background1" w:themeFillShade="BF"/>
          </w:tcPr>
          <w:p w:rsidR="00481BE2" w:rsidRPr="004F12D9" w:rsidRDefault="00481BE2" w:rsidP="007C3224">
            <w:pPr>
              <w:rPr>
                <w:rFonts w:ascii="Garamond" w:hAnsi="Garamond" w:cs="Times New Roman"/>
                <w:b/>
                <w:sz w:val="24"/>
                <w:szCs w:val="24"/>
              </w:rPr>
            </w:pPr>
            <w:r w:rsidRPr="004F12D9">
              <w:rPr>
                <w:rFonts w:ascii="Garamond" w:hAnsi="Garamond" w:cs="Times New Roman"/>
                <w:b/>
                <w:sz w:val="24"/>
                <w:szCs w:val="24"/>
              </w:rPr>
              <w:t>Change Description</w:t>
            </w:r>
          </w:p>
        </w:tc>
      </w:tr>
      <w:tr w:rsidR="00481BE2" w:rsidRPr="004F12D9" w:rsidTr="00472BA9">
        <w:tc>
          <w:tcPr>
            <w:tcW w:w="1877" w:type="dxa"/>
          </w:tcPr>
          <w:p w:rsidR="00481BE2" w:rsidRDefault="00481BE2" w:rsidP="007C3224">
            <w:pPr>
              <w:rPr>
                <w:rFonts w:ascii="Garamond" w:hAnsi="Garamond" w:cs="Times New Roman"/>
                <w:b/>
                <w:sz w:val="24"/>
                <w:szCs w:val="24"/>
              </w:rPr>
            </w:pPr>
            <w:r w:rsidRPr="004F12D9">
              <w:rPr>
                <w:rFonts w:ascii="Garamond" w:hAnsi="Garamond" w:cs="Times New Roman"/>
                <w:b/>
                <w:sz w:val="24"/>
                <w:szCs w:val="24"/>
              </w:rPr>
              <w:t>7900</w:t>
            </w:r>
          </w:p>
          <w:p w:rsidR="00481BE2" w:rsidRPr="004F12D9" w:rsidRDefault="00481BE2" w:rsidP="007C3224">
            <w:pPr>
              <w:rPr>
                <w:rFonts w:ascii="Garamond" w:hAnsi="Garamond" w:cs="Times New Roman"/>
                <w:b/>
                <w:sz w:val="24"/>
                <w:szCs w:val="24"/>
              </w:rPr>
            </w:pPr>
            <w:r w:rsidRPr="00481BE2">
              <w:rPr>
                <w:sz w:val="18"/>
              </w:rPr>
              <w:t>Hyperthyroidism, including, but not limited to, Graves' disease</w:t>
            </w:r>
          </w:p>
        </w:tc>
        <w:tc>
          <w:tcPr>
            <w:tcW w:w="8720" w:type="dxa"/>
          </w:tcPr>
          <w:p w:rsidR="00481BE2" w:rsidRDefault="00481BE2" w:rsidP="007C3224">
            <w:pPr>
              <w:pStyle w:val="Default"/>
              <w:rPr>
                <w:rFonts w:ascii="Garamond" w:hAnsi="Garamond"/>
              </w:rPr>
            </w:pPr>
            <w:r w:rsidRPr="00DB0BF6">
              <w:rPr>
                <w:rFonts w:ascii="Garamond" w:hAnsi="Garamond" w:cs="Times New Roman"/>
              </w:rPr>
              <w:t xml:space="preserve">Now includes Graves’ disease- evaluation </w:t>
            </w:r>
            <w:r>
              <w:rPr>
                <w:rFonts w:ascii="Garamond" w:hAnsi="Garamond" w:cs="Times New Roman"/>
              </w:rPr>
              <w:t xml:space="preserve">criteria begins with 30% evaluation </w:t>
            </w:r>
            <w:r w:rsidRPr="00DB0BF6">
              <w:rPr>
                <w:rFonts w:ascii="Garamond" w:hAnsi="Garamond" w:cs="Times New Roman"/>
              </w:rPr>
              <w:t>for 6 months</w:t>
            </w:r>
            <w:r>
              <w:rPr>
                <w:rFonts w:ascii="Garamond" w:hAnsi="Garamond" w:cs="Times New Roman"/>
              </w:rPr>
              <w:t>,</w:t>
            </w:r>
            <w:r w:rsidRPr="00DB0BF6">
              <w:rPr>
                <w:rFonts w:ascii="Garamond" w:hAnsi="Garamond" w:cs="Times New Roman"/>
              </w:rPr>
              <w:t xml:space="preserve"> followed by a mandatory evaluation</w:t>
            </w:r>
            <w:r w:rsidRPr="00DB0BF6">
              <w:rPr>
                <w:rFonts w:ascii="Garamond" w:hAnsi="Garamond" w:cs="Times New Roman"/>
                <w:color w:val="FF0000"/>
              </w:rPr>
              <w:t>.</w:t>
            </w:r>
            <w:r w:rsidRPr="00DB0BF6">
              <w:rPr>
                <w:rFonts w:ascii="Garamond" w:hAnsi="Garamond"/>
              </w:rPr>
              <w:t xml:space="preserve"> Rate residuals of disease or complications with the appropriate DC within the appropriate body system.</w:t>
            </w:r>
          </w:p>
          <w:p w:rsidR="00596AAE" w:rsidRPr="00DB0BF6" w:rsidRDefault="00596AAE" w:rsidP="007C3224">
            <w:pPr>
              <w:pStyle w:val="Default"/>
              <w:rPr>
                <w:rFonts w:ascii="Garamond" w:hAnsi="Garamond" w:cs="Times New Roman"/>
                <w:color w:val="FF0000"/>
              </w:rPr>
            </w:pPr>
            <w:r w:rsidRPr="0028185A">
              <w:rPr>
                <w:i/>
                <w:color w:val="00B050"/>
                <w:sz w:val="20"/>
              </w:rPr>
              <w:t xml:space="preserve">My Notes:  </w:t>
            </w:r>
            <w:r w:rsidRPr="0028185A">
              <w:rPr>
                <w:i/>
                <w:sz w:val="20"/>
              </w:rPr>
              <w:t xml:space="preserve">So, </w:t>
            </w:r>
            <w:r w:rsidR="0028185A" w:rsidRPr="0028185A">
              <w:rPr>
                <w:i/>
                <w:sz w:val="20"/>
              </w:rPr>
              <w:t>if residuals are diarrhea &amp; constipation, do 7900-7319, 30%</w:t>
            </w:r>
            <w:r w:rsidR="0028185A">
              <w:rPr>
                <w:i/>
                <w:sz w:val="20"/>
              </w:rPr>
              <w:t>.</w:t>
            </w:r>
            <w:r w:rsidR="00EA263B">
              <w:rPr>
                <w:i/>
                <w:sz w:val="20"/>
              </w:rPr>
              <w:t xml:space="preserve"> 7901 doesn’t say anything about an exam, but we need a RFE 6 months following initial diagnosis.</w:t>
            </w:r>
          </w:p>
        </w:tc>
      </w:tr>
      <w:tr w:rsidR="00B90EAE" w:rsidRPr="00B90EAE" w:rsidTr="00472BA9">
        <w:tc>
          <w:tcPr>
            <w:tcW w:w="1877" w:type="dxa"/>
          </w:tcPr>
          <w:p w:rsidR="00B90EAE" w:rsidRDefault="00B90EAE" w:rsidP="007C3224">
            <w:pPr>
              <w:rPr>
                <w:b/>
                <w:sz w:val="18"/>
              </w:rPr>
            </w:pPr>
            <w:r w:rsidRPr="00B90EAE">
              <w:rPr>
                <w:b/>
                <w:sz w:val="18"/>
              </w:rPr>
              <w:t xml:space="preserve">7901 </w:t>
            </w:r>
          </w:p>
          <w:p w:rsidR="00B90EAE" w:rsidRPr="00B90EAE" w:rsidRDefault="00B90EAE" w:rsidP="007C3224">
            <w:pPr>
              <w:rPr>
                <w:sz w:val="18"/>
                <w:szCs w:val="18"/>
              </w:rPr>
            </w:pPr>
            <w:r w:rsidRPr="00B90EAE">
              <w:rPr>
                <w:sz w:val="18"/>
                <w:szCs w:val="18"/>
              </w:rPr>
              <w:t>Thyroid enlargement, toxic</w:t>
            </w:r>
          </w:p>
          <w:p w:rsidR="00B90EAE" w:rsidRPr="00B90EAE" w:rsidRDefault="00B90EAE" w:rsidP="007C3224">
            <w:pPr>
              <w:rPr>
                <w:sz w:val="18"/>
                <w:szCs w:val="18"/>
              </w:rPr>
            </w:pPr>
            <w:r w:rsidRPr="00B90EAE">
              <w:rPr>
                <w:b/>
                <w:sz w:val="18"/>
              </w:rPr>
              <w:t>&amp; 7902</w:t>
            </w:r>
          </w:p>
          <w:p w:rsidR="00B90EAE" w:rsidRPr="00B90EAE" w:rsidRDefault="00B90EAE" w:rsidP="007C3224">
            <w:pPr>
              <w:rPr>
                <w:b/>
                <w:sz w:val="18"/>
              </w:rPr>
            </w:pPr>
            <w:r w:rsidRPr="00B90EAE">
              <w:rPr>
                <w:sz w:val="18"/>
                <w:szCs w:val="18"/>
              </w:rPr>
              <w:t>Thyroid enlargement, nontoxic</w:t>
            </w:r>
          </w:p>
        </w:tc>
        <w:tc>
          <w:tcPr>
            <w:tcW w:w="8720" w:type="dxa"/>
          </w:tcPr>
          <w:p w:rsidR="00B90EAE" w:rsidRPr="00B90EAE" w:rsidRDefault="00B90EAE" w:rsidP="007C3224">
            <w:pPr>
              <w:contextualSpacing/>
              <w:rPr>
                <w:sz w:val="18"/>
              </w:rPr>
            </w:pPr>
            <w:r w:rsidRPr="00B90EAE">
              <w:rPr>
                <w:sz w:val="18"/>
              </w:rPr>
              <w:t>Name changes only</w:t>
            </w:r>
            <w:r>
              <w:rPr>
                <w:sz w:val="18"/>
              </w:rPr>
              <w:t>, from toxic adenoma to enlargement, toxic and from non-toxic adenoma to enlargement, non-toxic</w:t>
            </w:r>
          </w:p>
        </w:tc>
      </w:tr>
      <w:tr w:rsidR="00481BE2" w:rsidRPr="004F12D9" w:rsidTr="00472BA9">
        <w:tc>
          <w:tcPr>
            <w:tcW w:w="1877" w:type="dxa"/>
          </w:tcPr>
          <w:p w:rsidR="00481BE2" w:rsidRDefault="00481BE2" w:rsidP="007C3224">
            <w:pPr>
              <w:rPr>
                <w:rFonts w:ascii="Garamond" w:hAnsi="Garamond" w:cs="Times New Roman"/>
                <w:b/>
                <w:sz w:val="24"/>
                <w:szCs w:val="24"/>
              </w:rPr>
            </w:pPr>
            <w:r w:rsidRPr="004F12D9">
              <w:rPr>
                <w:rFonts w:ascii="Garamond" w:hAnsi="Garamond" w:cs="Times New Roman"/>
                <w:b/>
                <w:sz w:val="24"/>
                <w:szCs w:val="24"/>
              </w:rPr>
              <w:t>7903</w:t>
            </w:r>
          </w:p>
          <w:p w:rsidR="00481BE2" w:rsidRPr="00481BE2" w:rsidRDefault="00481BE2" w:rsidP="007C3224">
            <w:pPr>
              <w:rPr>
                <w:b/>
                <w:sz w:val="24"/>
                <w:szCs w:val="24"/>
              </w:rPr>
            </w:pPr>
            <w:r w:rsidRPr="00481BE2">
              <w:rPr>
                <w:sz w:val="18"/>
              </w:rPr>
              <w:t>Hypothyroidism</w:t>
            </w:r>
          </w:p>
        </w:tc>
        <w:tc>
          <w:tcPr>
            <w:tcW w:w="8720" w:type="dxa"/>
          </w:tcPr>
          <w:p w:rsidR="00481BE2" w:rsidRPr="004F12D9" w:rsidRDefault="00481BE2" w:rsidP="007C3224">
            <w:pPr>
              <w:contextualSpacing/>
              <w:rPr>
                <w:rFonts w:ascii="Garamond" w:hAnsi="Garamond" w:cs="Times New Roman"/>
                <w:sz w:val="24"/>
                <w:szCs w:val="24"/>
              </w:rPr>
            </w:pPr>
            <w:r w:rsidRPr="004F12D9">
              <w:rPr>
                <w:rFonts w:ascii="Garamond" w:hAnsi="Garamond" w:cs="Times New Roman"/>
                <w:sz w:val="24"/>
                <w:szCs w:val="24"/>
              </w:rPr>
              <w:t xml:space="preserve">Veterans presenting with myxedema are given a 100 percent or without myxedema are given a 30 percent evaluation. Six months following initial diagnosis, a future examination should be conducted to determine residuals, which are rated under the appropriate body system. The 30 percent evaluation is </w:t>
            </w:r>
            <w:r w:rsidRPr="004F12D9">
              <w:rPr>
                <w:rFonts w:ascii="Garamond" w:hAnsi="Garamond" w:cs="Times New Roman"/>
                <w:b/>
                <w:sz w:val="24"/>
                <w:szCs w:val="24"/>
              </w:rPr>
              <w:t>not</w:t>
            </w:r>
            <w:r w:rsidRPr="004F12D9">
              <w:rPr>
                <w:rFonts w:ascii="Garamond" w:hAnsi="Garamond" w:cs="Times New Roman"/>
                <w:sz w:val="24"/>
                <w:szCs w:val="24"/>
              </w:rPr>
              <w:t xml:space="preserve"> a mandatory minimum evaluation. </w:t>
            </w:r>
          </w:p>
        </w:tc>
      </w:tr>
      <w:tr w:rsidR="00481BE2" w:rsidRPr="004F12D9" w:rsidTr="00472BA9">
        <w:tc>
          <w:tcPr>
            <w:tcW w:w="1877" w:type="dxa"/>
          </w:tcPr>
          <w:p w:rsidR="00481BE2" w:rsidRDefault="00481BE2" w:rsidP="007C3224">
            <w:pPr>
              <w:rPr>
                <w:rFonts w:ascii="Garamond" w:hAnsi="Garamond" w:cs="Times New Roman"/>
                <w:b/>
                <w:sz w:val="24"/>
                <w:szCs w:val="24"/>
              </w:rPr>
            </w:pPr>
            <w:r w:rsidRPr="004F12D9">
              <w:rPr>
                <w:rFonts w:ascii="Garamond" w:hAnsi="Garamond" w:cs="Times New Roman"/>
                <w:b/>
                <w:sz w:val="24"/>
                <w:szCs w:val="24"/>
              </w:rPr>
              <w:t>7904</w:t>
            </w:r>
          </w:p>
          <w:p w:rsidR="00481BE2" w:rsidRPr="00481BE2" w:rsidRDefault="00481BE2" w:rsidP="007C3224">
            <w:pPr>
              <w:rPr>
                <w:sz w:val="24"/>
                <w:szCs w:val="24"/>
              </w:rPr>
            </w:pPr>
            <w:r w:rsidRPr="00481BE2">
              <w:rPr>
                <w:sz w:val="18"/>
              </w:rPr>
              <w:t>Hyperparathyroidism</w:t>
            </w:r>
          </w:p>
        </w:tc>
        <w:tc>
          <w:tcPr>
            <w:tcW w:w="8720" w:type="dxa"/>
          </w:tcPr>
          <w:p w:rsidR="00481BE2" w:rsidRPr="004F12D9" w:rsidRDefault="00481BE2" w:rsidP="007C3224">
            <w:pPr>
              <w:rPr>
                <w:rFonts w:ascii="Garamond" w:hAnsi="Garamond" w:cs="Times New Roman"/>
                <w:sz w:val="24"/>
                <w:szCs w:val="24"/>
              </w:rPr>
            </w:pPr>
            <w:r w:rsidRPr="004F12D9">
              <w:rPr>
                <w:rFonts w:ascii="Garamond" w:hAnsi="Garamond" w:cs="Times New Roman"/>
                <w:sz w:val="24"/>
                <w:szCs w:val="24"/>
              </w:rPr>
              <w:t>The 100 percent evaluation is only for application for six months from the date of discharge following surgery.  The 60 percent evaluation is based entirely on objective laboratory values – hypercalcemia. The 10 percent evaluation is largely similar to the old evaluative criteria of continuous medication required for control, but also adds consideration for symptomatic individuals not receiving medication.</w:t>
            </w:r>
          </w:p>
        </w:tc>
      </w:tr>
      <w:tr w:rsidR="00481BE2" w:rsidRPr="004F12D9" w:rsidTr="00472BA9">
        <w:tc>
          <w:tcPr>
            <w:tcW w:w="1877" w:type="dxa"/>
          </w:tcPr>
          <w:p w:rsidR="00B90EAE" w:rsidRDefault="00B90EAE" w:rsidP="007C3224">
            <w:pPr>
              <w:rPr>
                <w:rFonts w:ascii="Garamond" w:hAnsi="Garamond" w:cs="Times New Roman"/>
                <w:b/>
                <w:sz w:val="24"/>
                <w:szCs w:val="24"/>
              </w:rPr>
            </w:pPr>
            <w:r>
              <w:rPr>
                <w:rFonts w:ascii="Garamond" w:hAnsi="Garamond" w:cs="Times New Roman"/>
                <w:b/>
                <w:sz w:val="24"/>
                <w:szCs w:val="24"/>
              </w:rPr>
              <w:t>7905</w:t>
            </w:r>
          </w:p>
          <w:p w:rsidR="00481BE2" w:rsidRPr="00481BE2" w:rsidRDefault="00481BE2" w:rsidP="007C3224">
            <w:pPr>
              <w:rPr>
                <w:sz w:val="18"/>
              </w:rPr>
            </w:pPr>
            <w:r w:rsidRPr="00481BE2">
              <w:rPr>
                <w:sz w:val="18"/>
              </w:rPr>
              <w:t>Hypoparathyroidism</w:t>
            </w:r>
          </w:p>
          <w:p w:rsidR="00481BE2" w:rsidRPr="004F12D9" w:rsidRDefault="00481BE2" w:rsidP="00481BE2">
            <w:pPr>
              <w:rPr>
                <w:rFonts w:ascii="Garamond" w:hAnsi="Garamond" w:cs="Times New Roman"/>
                <w:sz w:val="24"/>
                <w:szCs w:val="24"/>
              </w:rPr>
            </w:pPr>
            <w:r>
              <w:rPr>
                <w:sz w:val="18"/>
              </w:rPr>
              <w:t xml:space="preserve"> </w:t>
            </w:r>
          </w:p>
        </w:tc>
        <w:tc>
          <w:tcPr>
            <w:tcW w:w="8720" w:type="dxa"/>
          </w:tcPr>
          <w:p w:rsidR="00481BE2" w:rsidRPr="004F12D9" w:rsidRDefault="00481BE2" w:rsidP="007C3224">
            <w:pPr>
              <w:rPr>
                <w:rFonts w:ascii="Garamond" w:hAnsi="Garamond" w:cs="Times New Roman"/>
                <w:sz w:val="24"/>
                <w:szCs w:val="24"/>
              </w:rPr>
            </w:pPr>
            <w:r w:rsidRPr="004F12D9">
              <w:rPr>
                <w:rFonts w:ascii="Garamond" w:hAnsi="Garamond" w:cs="Times New Roman"/>
                <w:sz w:val="24"/>
                <w:szCs w:val="24"/>
              </w:rPr>
              <w:t>New evaluation criteria: 100 percent evaluation following initial diagnosis followed by a VA examination</w:t>
            </w:r>
          </w:p>
        </w:tc>
      </w:tr>
      <w:tr w:rsidR="00B90EAE" w:rsidRPr="004F12D9" w:rsidTr="00472BA9">
        <w:tc>
          <w:tcPr>
            <w:tcW w:w="1877" w:type="dxa"/>
          </w:tcPr>
          <w:p w:rsidR="00B90EAE" w:rsidRPr="00B90EAE" w:rsidRDefault="00B90EAE" w:rsidP="00B90EAE">
            <w:pPr>
              <w:rPr>
                <w:b/>
                <w:sz w:val="18"/>
                <w:szCs w:val="18"/>
              </w:rPr>
            </w:pPr>
            <w:r w:rsidRPr="00B90EAE">
              <w:rPr>
                <w:b/>
                <w:sz w:val="18"/>
                <w:szCs w:val="18"/>
              </w:rPr>
              <w:t>7906</w:t>
            </w:r>
            <w:r w:rsidRPr="00B90EAE">
              <w:rPr>
                <w:sz w:val="18"/>
                <w:szCs w:val="18"/>
              </w:rPr>
              <w:t xml:space="preserve"> </w:t>
            </w:r>
          </w:p>
          <w:p w:rsidR="00B90EAE" w:rsidRPr="004F12D9" w:rsidRDefault="00B90EAE" w:rsidP="00B90EAE">
            <w:pPr>
              <w:rPr>
                <w:rFonts w:ascii="Garamond" w:hAnsi="Garamond" w:cs="Times New Roman"/>
                <w:b/>
                <w:sz w:val="24"/>
                <w:szCs w:val="24"/>
              </w:rPr>
            </w:pPr>
            <w:r w:rsidRPr="00B90EAE">
              <w:rPr>
                <w:sz w:val="18"/>
                <w:szCs w:val="18"/>
              </w:rPr>
              <w:t>Thyroiditis</w:t>
            </w:r>
          </w:p>
        </w:tc>
        <w:tc>
          <w:tcPr>
            <w:tcW w:w="8720" w:type="dxa"/>
          </w:tcPr>
          <w:p w:rsidR="00B90EAE" w:rsidRPr="00B90EAE" w:rsidRDefault="00B90EAE" w:rsidP="007C3224">
            <w:pPr>
              <w:pStyle w:val="Default"/>
              <w:rPr>
                <w:sz w:val="18"/>
                <w:szCs w:val="18"/>
              </w:rPr>
            </w:pPr>
            <w:r w:rsidRPr="00B90EAE">
              <w:rPr>
                <w:sz w:val="18"/>
                <w:szCs w:val="18"/>
              </w:rPr>
              <w:t>New code, 0% or use 7900 or 7903</w:t>
            </w:r>
          </w:p>
        </w:tc>
      </w:tr>
      <w:tr w:rsidR="00481BE2" w:rsidRPr="004F12D9" w:rsidTr="00472BA9">
        <w:tc>
          <w:tcPr>
            <w:tcW w:w="1877" w:type="dxa"/>
          </w:tcPr>
          <w:p w:rsidR="00481BE2" w:rsidRDefault="00B90EAE" w:rsidP="007C3224">
            <w:pPr>
              <w:rPr>
                <w:rFonts w:ascii="Garamond" w:hAnsi="Garamond" w:cs="Times New Roman"/>
                <w:b/>
                <w:sz w:val="24"/>
                <w:szCs w:val="24"/>
              </w:rPr>
            </w:pPr>
            <w:r>
              <w:rPr>
                <w:rFonts w:ascii="Garamond" w:hAnsi="Garamond" w:cs="Times New Roman"/>
                <w:b/>
                <w:sz w:val="24"/>
                <w:szCs w:val="24"/>
              </w:rPr>
              <w:t>7907</w:t>
            </w:r>
          </w:p>
          <w:p w:rsidR="00481BE2" w:rsidRPr="00B90EAE" w:rsidRDefault="00481BE2" w:rsidP="007C3224">
            <w:pPr>
              <w:rPr>
                <w:sz w:val="18"/>
              </w:rPr>
            </w:pPr>
            <w:r w:rsidRPr="00481BE2">
              <w:rPr>
                <w:sz w:val="18"/>
              </w:rPr>
              <w:t>Cushing's syndrome</w:t>
            </w:r>
          </w:p>
        </w:tc>
        <w:tc>
          <w:tcPr>
            <w:tcW w:w="8720" w:type="dxa"/>
          </w:tcPr>
          <w:p w:rsidR="00481BE2" w:rsidRPr="004F12D9" w:rsidRDefault="00481BE2" w:rsidP="00481BE2">
            <w:pPr>
              <w:pStyle w:val="Default"/>
              <w:rPr>
                <w:rFonts w:ascii="Garamond" w:hAnsi="Garamond" w:cs="Times New Roman"/>
              </w:rPr>
            </w:pPr>
            <w:r w:rsidRPr="004F12D9">
              <w:rPr>
                <w:rFonts w:ascii="Garamond" w:hAnsi="Garamond" w:cs="Times New Roman"/>
              </w:rPr>
              <w:t xml:space="preserve">new evaluation criteria – the criteria has been clarified to be based on the severity and extent of muscle weakness and comorbidities, and the 60 percent criteria no longer requires enlargement of the adrenal or pituitary gland. Evaluation for 6 months after initial diagnosis followed by a VA examination. Then residuals evaluated under the appropriate body system. </w:t>
            </w:r>
          </w:p>
        </w:tc>
      </w:tr>
      <w:tr w:rsidR="00B90EAE" w:rsidRPr="004F12D9" w:rsidTr="00472BA9">
        <w:tc>
          <w:tcPr>
            <w:tcW w:w="1877" w:type="dxa"/>
          </w:tcPr>
          <w:p w:rsidR="00B90EAE" w:rsidRPr="00B90EAE" w:rsidRDefault="00B90EAE" w:rsidP="00B90EAE">
            <w:pPr>
              <w:rPr>
                <w:b/>
                <w:sz w:val="18"/>
                <w:szCs w:val="18"/>
              </w:rPr>
            </w:pPr>
            <w:r w:rsidRPr="00B90EAE">
              <w:rPr>
                <w:b/>
                <w:sz w:val="18"/>
                <w:szCs w:val="18"/>
              </w:rPr>
              <w:t>7908</w:t>
            </w:r>
          </w:p>
          <w:p w:rsidR="00B90EAE" w:rsidRPr="004F12D9" w:rsidRDefault="00B90EAE" w:rsidP="00B90EAE">
            <w:pPr>
              <w:rPr>
                <w:rFonts w:ascii="Garamond" w:hAnsi="Garamond" w:cs="Times New Roman"/>
                <w:b/>
                <w:sz w:val="24"/>
                <w:szCs w:val="24"/>
              </w:rPr>
            </w:pPr>
            <w:r w:rsidRPr="00B90EAE">
              <w:rPr>
                <w:sz w:val="18"/>
                <w:szCs w:val="18"/>
              </w:rPr>
              <w:t>Acromegaly</w:t>
            </w:r>
          </w:p>
        </w:tc>
        <w:tc>
          <w:tcPr>
            <w:tcW w:w="8720" w:type="dxa"/>
          </w:tcPr>
          <w:p w:rsidR="00822B0A" w:rsidRPr="00B90EAE" w:rsidRDefault="00B90EAE" w:rsidP="00B90EAE">
            <w:pPr>
              <w:rPr>
                <w:sz w:val="18"/>
                <w:szCs w:val="18"/>
              </w:rPr>
            </w:pPr>
            <w:r w:rsidRPr="00B90EAE">
              <w:rPr>
                <w:sz w:val="18"/>
                <w:szCs w:val="18"/>
              </w:rPr>
              <w:t>New c</w:t>
            </w:r>
            <w:r>
              <w:rPr>
                <w:sz w:val="18"/>
                <w:szCs w:val="18"/>
              </w:rPr>
              <w:t>riteria</w:t>
            </w:r>
            <w:r w:rsidRPr="00B90EAE">
              <w:rPr>
                <w:sz w:val="18"/>
                <w:szCs w:val="18"/>
              </w:rPr>
              <w:t xml:space="preserve">, </w:t>
            </w:r>
            <w:r w:rsidR="001266DE" w:rsidRPr="00B90EAE">
              <w:rPr>
                <w:sz w:val="18"/>
                <w:szCs w:val="18"/>
              </w:rPr>
              <w:t>removal of sella turcica symptom requirement for 30 percent evaluation</w:t>
            </w:r>
          </w:p>
          <w:p w:rsidR="00B90EAE" w:rsidRPr="004F12D9" w:rsidRDefault="00B90EAE" w:rsidP="00B90EAE">
            <w:pPr>
              <w:rPr>
                <w:rFonts w:ascii="Garamond" w:hAnsi="Garamond" w:cs="Times New Roman"/>
                <w:sz w:val="24"/>
                <w:szCs w:val="24"/>
              </w:rPr>
            </w:pPr>
          </w:p>
        </w:tc>
      </w:tr>
      <w:tr w:rsidR="00481BE2" w:rsidRPr="004F12D9" w:rsidTr="00472BA9">
        <w:tc>
          <w:tcPr>
            <w:tcW w:w="1877" w:type="dxa"/>
          </w:tcPr>
          <w:p w:rsidR="00481BE2" w:rsidRDefault="00B90EAE" w:rsidP="007C3224">
            <w:pPr>
              <w:rPr>
                <w:rFonts w:ascii="Garamond" w:hAnsi="Garamond" w:cs="Times New Roman"/>
                <w:b/>
                <w:sz w:val="24"/>
                <w:szCs w:val="24"/>
              </w:rPr>
            </w:pPr>
            <w:r>
              <w:rPr>
                <w:rFonts w:ascii="Garamond" w:hAnsi="Garamond" w:cs="Times New Roman"/>
                <w:b/>
                <w:sz w:val="24"/>
                <w:szCs w:val="24"/>
              </w:rPr>
              <w:t>7909</w:t>
            </w:r>
          </w:p>
          <w:p w:rsidR="00481BE2" w:rsidRPr="00B90EAE" w:rsidRDefault="00481BE2" w:rsidP="007C3224">
            <w:pPr>
              <w:rPr>
                <w:sz w:val="18"/>
                <w:szCs w:val="18"/>
              </w:rPr>
            </w:pPr>
            <w:r w:rsidRPr="00481BE2">
              <w:rPr>
                <w:sz w:val="18"/>
                <w:szCs w:val="18"/>
              </w:rPr>
              <w:t>Diabetes insipidus</w:t>
            </w:r>
          </w:p>
        </w:tc>
        <w:tc>
          <w:tcPr>
            <w:tcW w:w="8720" w:type="dxa"/>
          </w:tcPr>
          <w:p w:rsidR="00BE3DF2" w:rsidRPr="00B90EAE" w:rsidRDefault="00481BE2" w:rsidP="00B90EAE">
            <w:pPr>
              <w:rPr>
                <w:rFonts w:ascii="Garamond" w:hAnsi="Garamond" w:cs="Times New Roman"/>
                <w:sz w:val="24"/>
                <w:szCs w:val="24"/>
              </w:rPr>
            </w:pPr>
            <w:r w:rsidRPr="004F12D9">
              <w:rPr>
                <w:rFonts w:ascii="Garamond" w:hAnsi="Garamond" w:cs="Times New Roman"/>
                <w:sz w:val="24"/>
                <w:szCs w:val="24"/>
              </w:rPr>
              <w:t xml:space="preserve">New evaluation criteria based on initial diagnosis for 3 months followed by a VA examination. </w:t>
            </w:r>
          </w:p>
        </w:tc>
      </w:tr>
      <w:tr w:rsidR="00B90EAE" w:rsidRPr="00B90EAE" w:rsidTr="00472BA9">
        <w:tc>
          <w:tcPr>
            <w:tcW w:w="1877" w:type="dxa"/>
          </w:tcPr>
          <w:p w:rsidR="00B90EAE" w:rsidRPr="00B90EAE" w:rsidRDefault="00B90EAE" w:rsidP="007C3224">
            <w:pPr>
              <w:rPr>
                <w:b/>
                <w:sz w:val="18"/>
                <w:szCs w:val="18"/>
              </w:rPr>
            </w:pPr>
            <w:r w:rsidRPr="00B90EAE">
              <w:rPr>
                <w:b/>
                <w:sz w:val="18"/>
                <w:szCs w:val="18"/>
              </w:rPr>
              <w:t>7911</w:t>
            </w:r>
          </w:p>
          <w:p w:rsidR="00B90EAE" w:rsidRPr="00B90EAE" w:rsidRDefault="00B90EAE" w:rsidP="007C3224">
            <w:pPr>
              <w:rPr>
                <w:b/>
                <w:sz w:val="18"/>
                <w:szCs w:val="18"/>
              </w:rPr>
            </w:pPr>
            <w:r w:rsidRPr="00B90EAE">
              <w:rPr>
                <w:sz w:val="18"/>
                <w:szCs w:val="18"/>
              </w:rPr>
              <w:t>Addison's disease (adrenocortical insufficiency):</w:t>
            </w:r>
          </w:p>
        </w:tc>
        <w:tc>
          <w:tcPr>
            <w:tcW w:w="8720" w:type="dxa"/>
          </w:tcPr>
          <w:p w:rsidR="00B90EAE" w:rsidRPr="00B90EAE" w:rsidRDefault="00B90EAE" w:rsidP="00B90EAE">
            <w:pPr>
              <w:rPr>
                <w:sz w:val="18"/>
                <w:szCs w:val="18"/>
              </w:rPr>
            </w:pPr>
            <w:r w:rsidRPr="00B90EAE">
              <w:rPr>
                <w:sz w:val="18"/>
              </w:rPr>
              <w:t>Name change only</w:t>
            </w:r>
          </w:p>
        </w:tc>
      </w:tr>
      <w:tr w:rsidR="00B90EAE" w:rsidRPr="00B90EAE" w:rsidTr="00472BA9">
        <w:tc>
          <w:tcPr>
            <w:tcW w:w="1877" w:type="dxa"/>
          </w:tcPr>
          <w:p w:rsidR="00B90EAE" w:rsidRPr="00B90EAE" w:rsidRDefault="00B90EAE" w:rsidP="007C3224">
            <w:pPr>
              <w:rPr>
                <w:b/>
                <w:sz w:val="18"/>
                <w:szCs w:val="18"/>
              </w:rPr>
            </w:pPr>
            <w:r w:rsidRPr="00B90EAE">
              <w:rPr>
                <w:b/>
                <w:sz w:val="18"/>
                <w:szCs w:val="18"/>
              </w:rPr>
              <w:t>7912</w:t>
            </w:r>
          </w:p>
          <w:p w:rsidR="00B90EAE" w:rsidRPr="00B90EAE" w:rsidRDefault="00B90EAE" w:rsidP="007C3224">
            <w:pPr>
              <w:rPr>
                <w:b/>
                <w:sz w:val="18"/>
                <w:szCs w:val="18"/>
              </w:rPr>
            </w:pPr>
            <w:r w:rsidRPr="00B90EAE">
              <w:rPr>
                <w:sz w:val="18"/>
                <w:szCs w:val="18"/>
              </w:rPr>
              <w:t>Polyglandular syndrome (multiple endocrine neoplasia, autoimmune polyglandular syndrome)</w:t>
            </w:r>
          </w:p>
        </w:tc>
        <w:tc>
          <w:tcPr>
            <w:tcW w:w="8720" w:type="dxa"/>
          </w:tcPr>
          <w:p w:rsidR="00B90EAE" w:rsidRPr="00B90EAE" w:rsidRDefault="00B90EAE" w:rsidP="007C3224">
            <w:pPr>
              <w:rPr>
                <w:sz w:val="18"/>
                <w:szCs w:val="18"/>
              </w:rPr>
            </w:pPr>
            <w:r w:rsidRPr="00B90EAE">
              <w:rPr>
                <w:sz w:val="18"/>
              </w:rPr>
              <w:t>Name change only</w:t>
            </w:r>
          </w:p>
        </w:tc>
      </w:tr>
      <w:tr w:rsidR="00B90EAE" w:rsidRPr="00B90EAE" w:rsidTr="00472BA9">
        <w:tc>
          <w:tcPr>
            <w:tcW w:w="1877" w:type="dxa"/>
          </w:tcPr>
          <w:p w:rsidR="00B90EAE" w:rsidRPr="00B90EAE" w:rsidRDefault="00B90EAE" w:rsidP="007C3224">
            <w:pPr>
              <w:rPr>
                <w:b/>
                <w:sz w:val="18"/>
                <w:szCs w:val="18"/>
              </w:rPr>
            </w:pPr>
            <w:r>
              <w:rPr>
                <w:b/>
                <w:sz w:val="18"/>
                <w:szCs w:val="18"/>
              </w:rPr>
              <w:t>7913</w:t>
            </w:r>
          </w:p>
          <w:p w:rsidR="00B90EAE" w:rsidRPr="00B90EAE" w:rsidRDefault="00B90EAE" w:rsidP="007C3224">
            <w:pPr>
              <w:rPr>
                <w:b/>
                <w:sz w:val="18"/>
                <w:szCs w:val="18"/>
              </w:rPr>
            </w:pPr>
            <w:r>
              <w:rPr>
                <w:sz w:val="18"/>
                <w:szCs w:val="18"/>
              </w:rPr>
              <w:t>Diabetes Mellitus</w:t>
            </w:r>
          </w:p>
        </w:tc>
        <w:tc>
          <w:tcPr>
            <w:tcW w:w="8720" w:type="dxa"/>
          </w:tcPr>
          <w:p w:rsidR="00822B0A" w:rsidRPr="00B90EAE" w:rsidRDefault="00B90EAE" w:rsidP="00B90EAE">
            <w:pPr>
              <w:rPr>
                <w:sz w:val="18"/>
              </w:rPr>
            </w:pPr>
            <w:r>
              <w:rPr>
                <w:sz w:val="18"/>
              </w:rPr>
              <w:t>C</w:t>
            </w:r>
            <w:r w:rsidR="001266DE" w:rsidRPr="00B90EAE">
              <w:rPr>
                <w:sz w:val="18"/>
              </w:rPr>
              <w:t>larification stating one or more daily injection of insulin in the 20, 40, and 60 percent criteria</w:t>
            </w:r>
          </w:p>
          <w:p w:rsidR="00B90EAE" w:rsidRPr="00B90EAE" w:rsidRDefault="00B90EAE" w:rsidP="007C3224">
            <w:pPr>
              <w:rPr>
                <w:sz w:val="18"/>
                <w:szCs w:val="18"/>
              </w:rPr>
            </w:pPr>
          </w:p>
        </w:tc>
      </w:tr>
      <w:tr w:rsidR="00B90EAE" w:rsidRPr="00B90EAE" w:rsidTr="00472BA9">
        <w:tc>
          <w:tcPr>
            <w:tcW w:w="1877" w:type="dxa"/>
          </w:tcPr>
          <w:p w:rsidR="00B90EAE" w:rsidRPr="00B90EAE" w:rsidRDefault="00B90EAE" w:rsidP="007C3224">
            <w:pPr>
              <w:rPr>
                <w:b/>
                <w:sz w:val="18"/>
                <w:szCs w:val="18"/>
              </w:rPr>
            </w:pPr>
            <w:r w:rsidRPr="00B90EAE">
              <w:rPr>
                <w:b/>
                <w:sz w:val="18"/>
                <w:szCs w:val="18"/>
              </w:rPr>
              <w:t>7914</w:t>
            </w:r>
          </w:p>
          <w:p w:rsidR="00B90EAE" w:rsidRPr="00B90EAE" w:rsidRDefault="00B90EAE" w:rsidP="007C3224">
            <w:pPr>
              <w:rPr>
                <w:b/>
                <w:sz w:val="18"/>
                <w:szCs w:val="18"/>
              </w:rPr>
            </w:pPr>
            <w:r w:rsidRPr="00B90EAE">
              <w:rPr>
                <w:sz w:val="18"/>
                <w:szCs w:val="18"/>
              </w:rPr>
              <w:t>Neoplasm, malignant, any specified part of the endocrine system</w:t>
            </w:r>
          </w:p>
          <w:p w:rsidR="00B90EAE" w:rsidRPr="00B90EAE" w:rsidRDefault="00B90EAE" w:rsidP="007C3224">
            <w:pPr>
              <w:rPr>
                <w:b/>
                <w:sz w:val="18"/>
                <w:szCs w:val="18"/>
              </w:rPr>
            </w:pPr>
          </w:p>
        </w:tc>
        <w:tc>
          <w:tcPr>
            <w:tcW w:w="8720" w:type="dxa"/>
          </w:tcPr>
          <w:p w:rsidR="00B90EAE" w:rsidRPr="00B90EAE" w:rsidRDefault="00B90EAE" w:rsidP="007C3224">
            <w:pPr>
              <w:rPr>
                <w:sz w:val="18"/>
                <w:szCs w:val="18"/>
              </w:rPr>
            </w:pPr>
            <w:r>
              <w:rPr>
                <w:sz w:val="18"/>
                <w:szCs w:val="18"/>
              </w:rPr>
              <w:t>No change</w:t>
            </w:r>
          </w:p>
        </w:tc>
      </w:tr>
      <w:tr w:rsidR="00481BE2" w:rsidRPr="004F12D9" w:rsidTr="00472BA9">
        <w:trPr>
          <w:trHeight w:val="2339"/>
        </w:trPr>
        <w:tc>
          <w:tcPr>
            <w:tcW w:w="1877" w:type="dxa"/>
          </w:tcPr>
          <w:p w:rsidR="00481BE2" w:rsidRDefault="00481BE2" w:rsidP="007C3224">
            <w:pPr>
              <w:rPr>
                <w:rFonts w:ascii="Garamond" w:hAnsi="Garamond" w:cs="Times New Roman"/>
                <w:b/>
                <w:sz w:val="24"/>
                <w:szCs w:val="24"/>
              </w:rPr>
            </w:pPr>
            <w:r w:rsidRPr="004F12D9">
              <w:rPr>
                <w:rFonts w:ascii="Garamond" w:hAnsi="Garamond" w:cs="Times New Roman"/>
                <w:b/>
                <w:sz w:val="24"/>
                <w:szCs w:val="24"/>
              </w:rPr>
              <w:t xml:space="preserve">7916 </w:t>
            </w:r>
            <w:r>
              <w:rPr>
                <w:rFonts w:ascii="Garamond" w:hAnsi="Garamond" w:cs="Times New Roman"/>
                <w:b/>
                <w:sz w:val="24"/>
                <w:szCs w:val="24"/>
              </w:rPr>
              <w:t>–</w:t>
            </w:r>
            <w:r w:rsidRPr="004F12D9">
              <w:rPr>
                <w:rFonts w:ascii="Garamond" w:hAnsi="Garamond" w:cs="Times New Roman"/>
                <w:b/>
                <w:sz w:val="24"/>
                <w:szCs w:val="24"/>
              </w:rPr>
              <w:t xml:space="preserve"> 7919</w:t>
            </w:r>
          </w:p>
          <w:p w:rsidR="00481BE2" w:rsidRPr="00481BE2" w:rsidRDefault="00481BE2" w:rsidP="007C3224">
            <w:pPr>
              <w:rPr>
                <w:sz w:val="18"/>
              </w:rPr>
            </w:pPr>
            <w:r w:rsidRPr="00481BE2">
              <w:rPr>
                <w:sz w:val="18"/>
              </w:rPr>
              <w:t>Hyperpituitarism (prolactin secreting pituitary dysfunction)</w:t>
            </w:r>
          </w:p>
          <w:p w:rsidR="00481BE2" w:rsidRPr="00481BE2" w:rsidRDefault="00481BE2" w:rsidP="007C3224">
            <w:pPr>
              <w:rPr>
                <w:sz w:val="18"/>
              </w:rPr>
            </w:pPr>
            <w:r w:rsidRPr="00481BE2">
              <w:rPr>
                <w:sz w:val="18"/>
              </w:rPr>
              <w:t>&amp;</w:t>
            </w:r>
          </w:p>
          <w:p w:rsidR="00481BE2" w:rsidRPr="00481BE2" w:rsidRDefault="00481BE2" w:rsidP="00481BE2">
            <w:pPr>
              <w:rPr>
                <w:sz w:val="18"/>
              </w:rPr>
            </w:pPr>
            <w:r w:rsidRPr="00481BE2">
              <w:rPr>
                <w:sz w:val="18"/>
              </w:rPr>
              <w:t xml:space="preserve">Hyperaldosteronism </w:t>
            </w:r>
          </w:p>
          <w:p w:rsidR="00481BE2" w:rsidRPr="00481BE2" w:rsidRDefault="00481BE2" w:rsidP="00481BE2">
            <w:pPr>
              <w:rPr>
                <w:sz w:val="18"/>
              </w:rPr>
            </w:pPr>
            <w:r w:rsidRPr="00481BE2">
              <w:rPr>
                <w:sz w:val="18"/>
              </w:rPr>
              <w:t>&amp;</w:t>
            </w:r>
          </w:p>
          <w:p w:rsidR="00481BE2" w:rsidRPr="00481BE2" w:rsidRDefault="00481BE2" w:rsidP="00481BE2">
            <w:pPr>
              <w:rPr>
                <w:sz w:val="18"/>
              </w:rPr>
            </w:pPr>
            <w:r w:rsidRPr="00481BE2">
              <w:rPr>
                <w:sz w:val="18"/>
              </w:rPr>
              <w:t>Pheochr</w:t>
            </w:r>
            <w:r>
              <w:rPr>
                <w:sz w:val="18"/>
              </w:rPr>
              <w:t xml:space="preserve">omocytoma </w:t>
            </w:r>
          </w:p>
          <w:p w:rsidR="00481BE2" w:rsidRPr="00481BE2" w:rsidRDefault="00481BE2" w:rsidP="00481BE2">
            <w:pPr>
              <w:rPr>
                <w:sz w:val="18"/>
              </w:rPr>
            </w:pPr>
            <w:r w:rsidRPr="00481BE2">
              <w:rPr>
                <w:sz w:val="18"/>
              </w:rPr>
              <w:t>&amp;</w:t>
            </w:r>
          </w:p>
          <w:p w:rsidR="00481BE2" w:rsidRPr="004F12D9" w:rsidRDefault="00481BE2" w:rsidP="00481BE2">
            <w:pPr>
              <w:rPr>
                <w:rFonts w:ascii="Garamond" w:hAnsi="Garamond" w:cs="Times New Roman"/>
                <w:sz w:val="24"/>
                <w:szCs w:val="24"/>
              </w:rPr>
            </w:pPr>
            <w:r w:rsidRPr="00481BE2">
              <w:rPr>
                <w:sz w:val="18"/>
              </w:rPr>
              <w:t>C-</w:t>
            </w:r>
            <w:r>
              <w:rPr>
                <w:sz w:val="18"/>
              </w:rPr>
              <w:t>cell hyperplasia of the thyroid</w:t>
            </w:r>
          </w:p>
        </w:tc>
        <w:tc>
          <w:tcPr>
            <w:tcW w:w="8720" w:type="dxa"/>
          </w:tcPr>
          <w:p w:rsidR="00481BE2" w:rsidRDefault="00481BE2" w:rsidP="007C3224">
            <w:pPr>
              <w:rPr>
                <w:rFonts w:ascii="Garamond" w:hAnsi="Garamond" w:cs="Times New Roman"/>
                <w:sz w:val="24"/>
                <w:szCs w:val="24"/>
              </w:rPr>
            </w:pPr>
            <w:r w:rsidRPr="004F12D9">
              <w:rPr>
                <w:rFonts w:ascii="Garamond" w:hAnsi="Garamond" w:cs="Times New Roman"/>
                <w:sz w:val="24"/>
                <w:szCs w:val="24"/>
              </w:rPr>
              <w:t>New evaluation criteria. Evaluate as malignant or benign neoplasm</w:t>
            </w:r>
          </w:p>
          <w:p w:rsidR="00B90EAE" w:rsidRDefault="00B90EAE" w:rsidP="007C3224">
            <w:pPr>
              <w:rPr>
                <w:rFonts w:ascii="Garamond" w:hAnsi="Garamond" w:cs="Times New Roman"/>
                <w:sz w:val="24"/>
                <w:szCs w:val="24"/>
              </w:rPr>
            </w:pPr>
          </w:p>
          <w:p w:rsidR="00B90EAE" w:rsidRDefault="00B90EAE" w:rsidP="00B90EAE">
            <w:pPr>
              <w:rPr>
                <w:sz w:val="18"/>
              </w:rPr>
            </w:pPr>
          </w:p>
          <w:p w:rsidR="00B90EAE" w:rsidRDefault="00B90EAE" w:rsidP="00B90EAE">
            <w:pPr>
              <w:rPr>
                <w:sz w:val="18"/>
              </w:rPr>
            </w:pPr>
          </w:p>
          <w:p w:rsidR="00B90EAE" w:rsidRDefault="00B90EAE" w:rsidP="00B90EAE">
            <w:pPr>
              <w:rPr>
                <w:sz w:val="18"/>
              </w:rPr>
            </w:pPr>
          </w:p>
          <w:p w:rsidR="00B90EAE" w:rsidRDefault="00B90EAE" w:rsidP="00B90EAE">
            <w:pPr>
              <w:rPr>
                <w:sz w:val="18"/>
              </w:rPr>
            </w:pPr>
          </w:p>
          <w:p w:rsidR="00B90EAE" w:rsidRDefault="00B90EAE" w:rsidP="00B90EAE">
            <w:pPr>
              <w:rPr>
                <w:sz w:val="18"/>
              </w:rPr>
            </w:pPr>
          </w:p>
          <w:p w:rsidR="00B90EAE" w:rsidRDefault="00B90EAE" w:rsidP="00B90EAE">
            <w:pPr>
              <w:rPr>
                <w:sz w:val="18"/>
              </w:rPr>
            </w:pPr>
          </w:p>
          <w:p w:rsidR="00B90EAE" w:rsidRPr="004F12D9" w:rsidRDefault="00B90EAE" w:rsidP="00B90EAE">
            <w:pPr>
              <w:rPr>
                <w:rFonts w:ascii="Garamond" w:hAnsi="Garamond" w:cs="Times New Roman"/>
                <w:sz w:val="24"/>
                <w:szCs w:val="24"/>
              </w:rPr>
            </w:pPr>
            <w:r w:rsidRPr="00481BE2">
              <w:rPr>
                <w:sz w:val="18"/>
              </w:rPr>
              <w:t>C-</w:t>
            </w:r>
            <w:r>
              <w:rPr>
                <w:sz w:val="18"/>
              </w:rPr>
              <w:t xml:space="preserve">cell hyperplasia of the thyroid - </w:t>
            </w:r>
            <w:r w:rsidR="001266DE" w:rsidRPr="00B90EAE">
              <w:rPr>
                <w:sz w:val="18"/>
              </w:rPr>
              <w:t>evaluate as either malignant neoplasm or hypothyroidism, depending on treatment</w:t>
            </w:r>
          </w:p>
        </w:tc>
      </w:tr>
    </w:tbl>
    <w:p w:rsidR="00481BE2" w:rsidRDefault="00481BE2" w:rsidP="00D275EA">
      <w:pPr>
        <w:pStyle w:val="Default"/>
        <w:spacing w:after="120"/>
        <w:rPr>
          <w:rFonts w:asciiTheme="minorHAnsi" w:hAnsiTheme="minorHAnsi"/>
          <w:i/>
          <w:sz w:val="22"/>
          <w:szCs w:val="22"/>
        </w:rPr>
      </w:pPr>
    </w:p>
    <w:p w:rsidR="00D275EA" w:rsidRPr="00CD5855" w:rsidRDefault="00D275EA" w:rsidP="00D275EA">
      <w:pPr>
        <w:pStyle w:val="Default"/>
        <w:spacing w:after="120"/>
        <w:rPr>
          <w:rFonts w:ascii="Calibri" w:hAnsi="Calibri" w:cs="Calibri"/>
        </w:rPr>
      </w:pPr>
      <w:r w:rsidRPr="00CD5855">
        <w:rPr>
          <w:rFonts w:asciiTheme="minorHAnsi" w:hAnsiTheme="minorHAnsi"/>
          <w:i/>
          <w:sz w:val="22"/>
          <w:szCs w:val="22"/>
        </w:rPr>
        <w:t>Per QRT/GiaBao Nguyen, 12/1/17 -</w:t>
      </w:r>
      <w:r w:rsidRPr="00CD5855">
        <w:rPr>
          <w:rFonts w:asciiTheme="minorHAnsi" w:hAnsiTheme="minorHAnsi"/>
          <w:b/>
          <w:i/>
          <w:sz w:val="22"/>
          <w:szCs w:val="22"/>
        </w:rPr>
        <w:t xml:space="preserve"> </w:t>
      </w:r>
      <w:r w:rsidRPr="00CD5855">
        <w:rPr>
          <w:rFonts w:asciiTheme="minorHAnsi" w:hAnsiTheme="minorHAnsi" w:cs="Calibri"/>
          <w:sz w:val="22"/>
          <w:szCs w:val="22"/>
        </w:rPr>
        <w:t xml:space="preserve">When there is any change in the evaluation criteria for a disability applicable to a pending claim where an otherwise sufficient examination was already completed and the rating was not completed prior to the release of the new VASRD criteria, then an addendum to the examination is needed and if not possible, then a new examination should be requested as the examination of record would be insufficient to evaluate the condition as of the date of the law change. Supporting citations for this stance would include: M21-1 III.iv.3.D.3.a; M21-1 III.iv.3.D.3.b (Barr v. Nicholson); and 38 CFR 3.159(c)(4). </w:t>
      </w:r>
    </w:p>
    <w:p w:rsidR="00D275EA" w:rsidRPr="00CD5855" w:rsidRDefault="00D275EA" w:rsidP="00D275EA">
      <w:pPr>
        <w:overflowPunct/>
        <w:textAlignment w:val="auto"/>
        <w:rPr>
          <w:rFonts w:ascii="Calibri" w:hAnsi="Calibri" w:cs="Calibri"/>
          <w:color w:val="000000"/>
          <w:sz w:val="22"/>
          <w:szCs w:val="23"/>
        </w:rPr>
      </w:pPr>
      <w:r w:rsidRPr="00CD5855">
        <w:rPr>
          <w:rFonts w:ascii="Calibri" w:hAnsi="Calibri" w:cs="Calibri"/>
          <w:color w:val="000000"/>
          <w:sz w:val="22"/>
          <w:szCs w:val="23"/>
        </w:rPr>
        <w:t xml:space="preserve">Since we will be in a period of overlap with the old and new rating criteria, there are many Veterans who have claims pending for Endocrine System conditions that require exams. If a Veteran’s claim was filed or we received their Intent to File before the regulation’s effective date, then the Veteran will be considered under both rating criteria. See M21-1 III.iv.5.C.7.k. If the new provision is more favorable, unless explicitly made retroactive, the new criteria are applicable only as of the effective date of the change of law. </w:t>
      </w:r>
    </w:p>
    <w:p w:rsidR="00D275EA" w:rsidRDefault="00D275EA" w:rsidP="00D275EA">
      <w:pPr>
        <w:pStyle w:val="Default"/>
        <w:rPr>
          <w:rFonts w:asciiTheme="minorHAnsi" w:hAnsiTheme="minorHAnsi" w:cs="Calibri"/>
          <w:sz w:val="22"/>
          <w:szCs w:val="22"/>
        </w:rPr>
      </w:pPr>
    </w:p>
    <w:p w:rsidR="00D275EA" w:rsidRPr="00110DE6" w:rsidRDefault="00D275EA" w:rsidP="00D275EA">
      <w:pPr>
        <w:pStyle w:val="Default"/>
        <w:rPr>
          <w:sz w:val="20"/>
          <w:szCs w:val="22"/>
        </w:rPr>
      </w:pPr>
      <w:r w:rsidRPr="00110DE6">
        <w:rPr>
          <w:b/>
          <w:sz w:val="20"/>
          <w:szCs w:val="22"/>
        </w:rPr>
        <w:t>III.iv.3.D.3.c</w:t>
      </w:r>
      <w:r w:rsidRPr="00110DE6">
        <w:rPr>
          <w:sz w:val="20"/>
          <w:szCs w:val="22"/>
        </w:rPr>
        <w:t xml:space="preserve"> </w:t>
      </w:r>
      <w:r>
        <w:rPr>
          <w:sz w:val="20"/>
          <w:szCs w:val="22"/>
        </w:rPr>
        <w:t>(</w:t>
      </w:r>
      <w:r w:rsidRPr="00110DE6">
        <w:rPr>
          <w:sz w:val="20"/>
          <w:szCs w:val="22"/>
        </w:rPr>
        <w:t>updated 12/12/17</w:t>
      </w:r>
      <w:r>
        <w:rPr>
          <w:sz w:val="20"/>
          <w:szCs w:val="22"/>
        </w:rPr>
        <w:t xml:space="preserve">) </w:t>
      </w:r>
      <w:r w:rsidRPr="00110DE6">
        <w:rPr>
          <w:sz w:val="20"/>
          <w:szCs w:val="22"/>
        </w:rPr>
        <w:t>discusses the above issue of addendums</w:t>
      </w:r>
    </w:p>
    <w:p w:rsidR="00D275EA" w:rsidRPr="00CD5855" w:rsidRDefault="00D275EA" w:rsidP="00D275EA">
      <w:pPr>
        <w:pStyle w:val="Default"/>
        <w:rPr>
          <w:rFonts w:asciiTheme="minorHAnsi" w:hAnsiTheme="minorHAnsi" w:cs="Calibri"/>
          <w:sz w:val="22"/>
          <w:szCs w:val="22"/>
        </w:rPr>
      </w:pPr>
    </w:p>
    <w:p w:rsidR="00D275EA" w:rsidRPr="006732E3" w:rsidRDefault="00D275EA" w:rsidP="00F063AF">
      <w:pPr>
        <w:pStyle w:val="ListParagraph"/>
        <w:widowControl w:val="0"/>
        <w:numPr>
          <w:ilvl w:val="0"/>
          <w:numId w:val="230"/>
        </w:numPr>
        <w:spacing w:after="120" w:line="240" w:lineRule="auto"/>
        <w:ind w:left="360"/>
        <w:rPr>
          <w:rFonts w:ascii="Arial" w:hAnsi="Arial"/>
          <w:b/>
          <w:sz w:val="20"/>
          <w:szCs w:val="20"/>
        </w:rPr>
      </w:pPr>
      <w:r w:rsidRPr="006732E3">
        <w:rPr>
          <w:rFonts w:ascii="Arial" w:hAnsi="Arial"/>
          <w:b/>
          <w:sz w:val="20"/>
          <w:szCs w:val="20"/>
        </w:rPr>
        <w:t>November 2017 Compensation Service Bulletin (CSB)</w:t>
      </w:r>
      <w:r w:rsidRPr="006732E3">
        <w:rPr>
          <w:rFonts w:ascii="Arial" w:hAnsi="Arial"/>
          <w:sz w:val="20"/>
          <w:szCs w:val="20"/>
        </w:rPr>
        <w:t xml:space="preserve"> – If a Veteran’s claim was filed or we received their Intent to File before the regulation’s effective date, then the Veteran will be considered under both rating criteria and we will use the criteria that is most advantageous to the Veteran keeping in mind the provisions of </w:t>
      </w:r>
      <w:r w:rsidRPr="006732E3">
        <w:rPr>
          <w:rFonts w:ascii="Arial" w:hAnsi="Arial"/>
          <w:b/>
          <w:bCs/>
          <w:sz w:val="20"/>
          <w:szCs w:val="20"/>
        </w:rPr>
        <w:t xml:space="preserve">M21-1, Part IV, Subpart ii, 2.K.6.b </w:t>
      </w:r>
      <w:r w:rsidRPr="006732E3">
        <w:rPr>
          <w:rFonts w:ascii="Arial" w:hAnsi="Arial"/>
          <w:sz w:val="20"/>
          <w:szCs w:val="20"/>
        </w:rPr>
        <w:t>which states that “if the new provision is more favorable, unless explicitly made retroactive, the new criteria are applicable only as of the effective date of the change of law.”… When there is any change in the evaluation criteria for a disability applicable to a pending claim where an otherwise sufficient examination was already completed, however, the rating was not completed prior to the release of the new VASRD criteria, then an addendum to the examination is needed and if not possible, then a new examination should be requested as the examination of record would be insufficient to evaluate the condition as of the date of the law change. . Supporting citations for this stance would include: M21-1 III.iv.3.D.3.a; M21-1 III.iv.3.D.3.b (Barr v. Nicholson); and 38 CFR 3.159(c)(4).</w:t>
      </w:r>
    </w:p>
    <w:p w:rsidR="00D275EA" w:rsidRDefault="00D275EA" w:rsidP="00D275EA">
      <w:pPr>
        <w:widowControl w:val="0"/>
        <w:numPr>
          <w:ilvl w:val="12"/>
          <w:numId w:val="0"/>
        </w:numPr>
        <w:spacing w:after="120"/>
        <w:rPr>
          <w:color w:val="FF0000"/>
        </w:rPr>
      </w:pPr>
      <w:r>
        <w:rPr>
          <w:color w:val="FF0000"/>
        </w:rPr>
        <w:t xml:space="preserve">Endocrinopathies are all presumptive under </w:t>
      </w:r>
      <w:r w:rsidRPr="00AE0E75">
        <w:rPr>
          <w:b/>
        </w:rPr>
        <w:t>3.309</w:t>
      </w:r>
      <w:r>
        <w:rPr>
          <w:color w:val="FF0000"/>
        </w:rPr>
        <w:t>(a)!!!</w:t>
      </w:r>
    </w:p>
    <w:p w:rsidR="00D275EA" w:rsidRPr="00BA0D48" w:rsidRDefault="00D275EA" w:rsidP="00D275EA">
      <w:pPr>
        <w:widowControl w:val="0"/>
        <w:numPr>
          <w:ilvl w:val="12"/>
          <w:numId w:val="0"/>
        </w:numPr>
        <w:tabs>
          <w:tab w:val="left" w:pos="720"/>
        </w:tabs>
        <w:spacing w:after="120"/>
        <w:ind w:left="720" w:hanging="720"/>
        <w:rPr>
          <w:b/>
          <w:i/>
        </w:rPr>
      </w:pPr>
      <w:r>
        <w:rPr>
          <w:bCs/>
        </w:rPr>
        <w:t xml:space="preserve">7900 </w:t>
      </w:r>
      <w:r>
        <w:rPr>
          <w:bCs/>
        </w:rPr>
        <w:tab/>
        <w:t xml:space="preserve">Hyperthyroidism – if also has hyperthyroid heart disease or psychiatric manifestations, see </w:t>
      </w:r>
      <w:r w:rsidRPr="006D16BF">
        <w:rPr>
          <w:b/>
          <w:highlight w:val="yellow"/>
        </w:rPr>
        <w:t>III.iv.4.F.3</w:t>
      </w:r>
      <w:r>
        <w:rPr>
          <w:rStyle w:val="Hyperlink"/>
          <w:color w:val="auto"/>
          <w:u w:val="none"/>
        </w:rPr>
        <w:t xml:space="preserve">; Graves disease; </w:t>
      </w:r>
      <w:r>
        <w:rPr>
          <w:iCs/>
        </w:rPr>
        <w:t>per</w:t>
      </w:r>
      <w:r>
        <w:rPr>
          <w:b/>
          <w:iCs/>
        </w:rPr>
        <w:t xml:space="preserve"> </w:t>
      </w:r>
      <w:r w:rsidR="00172D6B" w:rsidRPr="00172D6B">
        <w:rPr>
          <w:b/>
        </w:rPr>
        <w:t>III.iv.4.G.3.</w:t>
      </w:r>
      <w:r w:rsidRPr="00172D6B">
        <w:rPr>
          <w:b/>
        </w:rPr>
        <w:t>i</w:t>
      </w:r>
      <w:r w:rsidRPr="00172D6B">
        <w:t>,</w:t>
      </w:r>
      <w:r>
        <w:t xml:space="preserve"> evaluate hypertension as part of </w:t>
      </w:r>
      <w:r w:rsidR="00172D6B">
        <w:rPr>
          <w:bCs/>
        </w:rPr>
        <w:t>hyperthyroidism</w:t>
      </w:r>
      <w:r w:rsidR="00172D6B">
        <w:t xml:space="preserve"> </w:t>
      </w:r>
      <w:r>
        <w:t xml:space="preserve">if it is the cause, no separate evaluation for hypertension is allowed; </w:t>
      </w:r>
      <w:r w:rsidRPr="008543CB">
        <w:rPr>
          <w:b/>
        </w:rPr>
        <w:t>III.iv.4.M.3</w:t>
      </w:r>
    </w:p>
    <w:p w:rsidR="00D275EA" w:rsidRDefault="00D275EA" w:rsidP="00D275EA">
      <w:pPr>
        <w:widowControl w:val="0"/>
        <w:numPr>
          <w:ilvl w:val="12"/>
          <w:numId w:val="0"/>
        </w:numPr>
        <w:spacing w:after="120"/>
        <w:ind w:left="720" w:hanging="720"/>
      </w:pPr>
      <w:r>
        <w:rPr>
          <w:color w:val="FF0000"/>
        </w:rPr>
        <w:t>7903</w:t>
      </w:r>
      <w:r>
        <w:rPr>
          <w:color w:val="FF0000"/>
        </w:rPr>
        <w:tab/>
        <w:t xml:space="preserve">Hypothyroidism </w:t>
      </w:r>
      <w:r>
        <w:t xml:space="preserve">– </w:t>
      </w:r>
      <w:r w:rsidRPr="002E2D9E">
        <w:rPr>
          <w:b/>
          <w:bCs/>
          <w:i/>
          <w:iCs/>
        </w:rPr>
        <w:t>Tatum v. Shinseki</w:t>
      </w:r>
      <w:r>
        <w:t xml:space="preserve"> (9/28/09) - if have 2 of the 3 symptoms required for the next higher, must consider </w:t>
      </w:r>
      <w:r w:rsidRPr="008477B3">
        <w:rPr>
          <w:b/>
          <w:bCs/>
        </w:rPr>
        <w:t>4.7</w:t>
      </w:r>
      <w:r>
        <w:t xml:space="preserve"> (for all disabilities with successive criteria), plus consider </w:t>
      </w:r>
      <w:r w:rsidRPr="008477B3">
        <w:rPr>
          <w:b/>
          <w:bCs/>
        </w:rPr>
        <w:t>4.13</w:t>
      </w:r>
      <w:r>
        <w:t xml:space="preserve"> if have a separate, related diagnosis with common symptomatology</w:t>
      </w:r>
    </w:p>
    <w:p w:rsidR="00D275EA" w:rsidRPr="007E4E5D" w:rsidRDefault="00D275EA" w:rsidP="00D275EA">
      <w:pPr>
        <w:tabs>
          <w:tab w:val="left" w:pos="720"/>
        </w:tabs>
        <w:ind w:left="720"/>
        <w:outlineLvl w:val="0"/>
        <w:rPr>
          <w:rFonts w:ascii="Tahoma" w:hAnsi="Tahoma" w:cs="Tahoma"/>
          <w:sz w:val="18"/>
        </w:rPr>
      </w:pPr>
      <w:r w:rsidRPr="007E4E5D">
        <w:rPr>
          <w:rFonts w:ascii="Tahoma" w:hAnsi="Tahoma" w:cs="Tahoma"/>
          <w:b/>
          <w:bCs/>
          <w:sz w:val="18"/>
        </w:rPr>
        <w:t>From:</w:t>
      </w:r>
      <w:r w:rsidRPr="007E4E5D">
        <w:rPr>
          <w:rFonts w:ascii="Tahoma" w:hAnsi="Tahoma" w:cs="Tahoma"/>
          <w:sz w:val="18"/>
        </w:rPr>
        <w:t xml:space="preserve"> VAVBASDC/RO/VSC </w:t>
      </w:r>
      <w:r w:rsidRPr="007E4E5D">
        <w:rPr>
          <w:rFonts w:ascii="Tahoma" w:hAnsi="Tahoma" w:cs="Tahoma"/>
          <w:sz w:val="18"/>
        </w:rPr>
        <w:br/>
      </w:r>
      <w:r w:rsidRPr="007E4E5D">
        <w:rPr>
          <w:rFonts w:ascii="Tahoma" w:hAnsi="Tahoma" w:cs="Tahoma"/>
          <w:b/>
          <w:bCs/>
          <w:sz w:val="18"/>
        </w:rPr>
        <w:t>Sent:</w:t>
      </w:r>
      <w:r w:rsidRPr="007E4E5D">
        <w:rPr>
          <w:rFonts w:ascii="Tahoma" w:hAnsi="Tahoma" w:cs="Tahoma"/>
          <w:sz w:val="18"/>
        </w:rPr>
        <w:t xml:space="preserve"> Friday, January 12, 2018 12:09 PM</w:t>
      </w:r>
      <w:r w:rsidRPr="007E4E5D">
        <w:rPr>
          <w:rFonts w:ascii="Tahoma" w:hAnsi="Tahoma" w:cs="Tahoma"/>
          <w:sz w:val="18"/>
        </w:rPr>
        <w:br/>
      </w:r>
      <w:r w:rsidRPr="007E4E5D">
        <w:rPr>
          <w:rFonts w:ascii="Tahoma" w:hAnsi="Tahoma" w:cs="Tahoma"/>
          <w:b/>
          <w:bCs/>
          <w:sz w:val="18"/>
        </w:rPr>
        <w:t>Subject:</w:t>
      </w:r>
      <w:r w:rsidRPr="007E4E5D">
        <w:rPr>
          <w:rFonts w:ascii="Tahoma" w:hAnsi="Tahoma" w:cs="Tahoma"/>
          <w:sz w:val="18"/>
        </w:rPr>
        <w:t xml:space="preserve"> FW: VBMS-R Evaluation Error for Hypothyroidism</w:t>
      </w:r>
    </w:p>
    <w:p w:rsidR="00D275EA" w:rsidRPr="007E4E5D" w:rsidRDefault="00D275EA" w:rsidP="00D275EA">
      <w:pPr>
        <w:tabs>
          <w:tab w:val="left" w:pos="720"/>
        </w:tabs>
        <w:ind w:left="720"/>
        <w:rPr>
          <w:rFonts w:ascii="Calibri" w:hAnsi="Calibri" w:cs="Times New Roman"/>
        </w:rPr>
      </w:pPr>
    </w:p>
    <w:p w:rsidR="00D275EA" w:rsidRPr="007E4E5D" w:rsidRDefault="00D275EA" w:rsidP="00D275EA">
      <w:pPr>
        <w:tabs>
          <w:tab w:val="left" w:pos="720"/>
        </w:tabs>
        <w:ind w:left="720"/>
      </w:pPr>
      <w:r w:rsidRPr="007E4E5D">
        <w:t>VBMS-R evaluation error for hypothyroidism</w:t>
      </w:r>
    </w:p>
    <w:p w:rsidR="00D275EA" w:rsidRPr="007E4E5D" w:rsidRDefault="00D275EA" w:rsidP="00D275EA">
      <w:pPr>
        <w:tabs>
          <w:tab w:val="left" w:pos="720"/>
        </w:tabs>
        <w:ind w:left="720"/>
        <w:rPr>
          <w:b/>
          <w:bCs/>
        </w:rPr>
      </w:pPr>
    </w:p>
    <w:p w:rsidR="00D275EA" w:rsidRPr="007E4E5D" w:rsidRDefault="00D275EA" w:rsidP="00D275EA">
      <w:pPr>
        <w:tabs>
          <w:tab w:val="left" w:pos="720"/>
        </w:tabs>
        <w:ind w:left="720"/>
        <w:rPr>
          <w:b/>
          <w:bCs/>
        </w:rPr>
      </w:pPr>
      <w:r w:rsidRPr="007E4E5D">
        <w:rPr>
          <w:b/>
          <w:bCs/>
        </w:rPr>
        <w:t>Target Audience:  RVSRs and DRos</w:t>
      </w:r>
    </w:p>
    <w:p w:rsidR="00D275EA" w:rsidRPr="007E4E5D" w:rsidRDefault="00D275EA" w:rsidP="00D275EA">
      <w:pPr>
        <w:tabs>
          <w:tab w:val="left" w:pos="720"/>
        </w:tabs>
        <w:ind w:left="720"/>
        <w:rPr>
          <w:b/>
          <w:bCs/>
        </w:rPr>
      </w:pPr>
    </w:p>
    <w:p w:rsidR="00D275EA" w:rsidRPr="007E4E5D" w:rsidRDefault="00D275EA" w:rsidP="00D275EA">
      <w:pPr>
        <w:tabs>
          <w:tab w:val="left" w:pos="720"/>
        </w:tabs>
        <w:ind w:left="720"/>
      </w:pPr>
      <w:r w:rsidRPr="007E4E5D">
        <w:t>The Rating Schedule criteria for the Endocrine System, 38 CFR 4.119, was revised effective December 10, 2017.</w:t>
      </w:r>
    </w:p>
    <w:p w:rsidR="00D275EA" w:rsidRPr="007E4E5D" w:rsidRDefault="00D275EA" w:rsidP="00D275EA">
      <w:pPr>
        <w:tabs>
          <w:tab w:val="left" w:pos="720"/>
        </w:tabs>
        <w:ind w:left="720"/>
      </w:pPr>
    </w:p>
    <w:p w:rsidR="00D275EA" w:rsidRPr="007E4E5D" w:rsidRDefault="00D275EA" w:rsidP="00D275EA">
      <w:pPr>
        <w:tabs>
          <w:tab w:val="left" w:pos="720"/>
        </w:tabs>
        <w:ind w:left="720"/>
      </w:pPr>
      <w:r w:rsidRPr="007E4E5D">
        <w:t xml:space="preserve">VBMS-R is currently generating an incorrect 100% for hypothyroidism, </w:t>
      </w:r>
      <w:r w:rsidRPr="007E4E5D">
        <w:rPr>
          <w:i/>
          <w:iCs/>
        </w:rPr>
        <w:t>without</w:t>
      </w:r>
      <w:r w:rsidRPr="007E4E5D">
        <w:t xml:space="preserve"> myxedema, when “mental disturbance” selected.  </w:t>
      </w:r>
      <w:r w:rsidRPr="007E4E5D">
        <w:rPr>
          <w:u w:val="single"/>
        </w:rPr>
        <w:t>100% is not warranted unless there is myxedema</w:t>
      </w:r>
      <w:r w:rsidRPr="007E4E5D">
        <w:t xml:space="preserve">.  </w:t>
      </w:r>
    </w:p>
    <w:p w:rsidR="00D275EA" w:rsidRPr="007E4E5D" w:rsidRDefault="00D275EA" w:rsidP="00D275EA">
      <w:pPr>
        <w:tabs>
          <w:tab w:val="left" w:pos="720"/>
        </w:tabs>
        <w:ind w:left="720"/>
        <w:contextualSpacing/>
      </w:pPr>
    </w:p>
    <w:p w:rsidR="00D275EA" w:rsidRPr="007E4E5D" w:rsidRDefault="00D275EA" w:rsidP="00D275EA">
      <w:pPr>
        <w:tabs>
          <w:tab w:val="left" w:pos="720"/>
        </w:tabs>
        <w:ind w:left="720"/>
      </w:pPr>
      <w:r w:rsidRPr="007E4E5D">
        <w:rPr>
          <w:noProof/>
        </w:rPr>
        <w:drawing>
          <wp:inline distT="0" distB="0" distL="0" distR="0" wp14:anchorId="760554F4" wp14:editId="4599099B">
            <wp:extent cx="5645785" cy="1786255"/>
            <wp:effectExtent l="0" t="0" r="0" b="4445"/>
            <wp:docPr id="24613" name="Picture 24613" descr="cid:image001.png@01D38ADB.E0CEDA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8ADB.E0CEDA80"/>
                    <pic:cNvPicPr>
                      <a:picLocks noChangeAspect="1" noChangeArrowheads="1"/>
                    </pic:cNvPicPr>
                  </pic:nvPicPr>
                  <pic:blipFill>
                    <a:blip r:embed="rId605" r:link="rId606">
                      <a:extLst>
                        <a:ext uri="{28A0092B-C50C-407E-A947-70E740481C1C}">
                          <a14:useLocalDpi xmlns:a14="http://schemas.microsoft.com/office/drawing/2010/main" val="0"/>
                        </a:ext>
                      </a:extLst>
                    </a:blip>
                    <a:srcRect/>
                    <a:stretch>
                      <a:fillRect/>
                    </a:stretch>
                  </pic:blipFill>
                  <pic:spPr bwMode="auto">
                    <a:xfrm>
                      <a:off x="0" y="0"/>
                      <a:ext cx="5645785" cy="1786255"/>
                    </a:xfrm>
                    <a:prstGeom prst="rect">
                      <a:avLst/>
                    </a:prstGeom>
                    <a:noFill/>
                    <a:ln>
                      <a:noFill/>
                    </a:ln>
                  </pic:spPr>
                </pic:pic>
              </a:graphicData>
            </a:graphic>
          </wp:inline>
        </w:drawing>
      </w:r>
    </w:p>
    <w:p w:rsidR="00D275EA" w:rsidRPr="007E4E5D" w:rsidRDefault="00D275EA" w:rsidP="00D275EA">
      <w:pPr>
        <w:tabs>
          <w:tab w:val="left" w:pos="720"/>
        </w:tabs>
        <w:ind w:left="720"/>
      </w:pPr>
    </w:p>
    <w:p w:rsidR="00D275EA" w:rsidRDefault="00D275EA" w:rsidP="00D275EA">
      <w:pPr>
        <w:tabs>
          <w:tab w:val="left" w:pos="720"/>
        </w:tabs>
        <w:ind w:left="720"/>
      </w:pPr>
      <w:r w:rsidRPr="007E4E5D">
        <w:t xml:space="preserve">The Evaluation Builder will be updated.  Please refer to </w:t>
      </w:r>
      <w:hyperlink r:id="rId607" w:history="1">
        <w:r w:rsidRPr="007E4E5D">
          <w:rPr>
            <w:rStyle w:val="Hyperlink"/>
          </w:rPr>
          <w:t>VBMS Tips and Tricks Release 14.0</w:t>
        </w:r>
      </w:hyperlink>
      <w:r w:rsidR="009E1C61">
        <w:t xml:space="preserve"> for the work</w:t>
      </w:r>
      <w:r w:rsidRPr="007E4E5D">
        <w:t xml:space="preserve">around regarding this issue, which directs end-users to </w:t>
      </w:r>
      <w:r w:rsidRPr="007E4E5D">
        <w:rPr>
          <w:b/>
          <w:bCs/>
        </w:rPr>
        <w:t>not select</w:t>
      </w:r>
      <w:r w:rsidRPr="007E4E5D">
        <w:t xml:space="preserve"> ‘mental disturbance’ as a symptom under hypothyroidism (DC 7903). </w:t>
      </w:r>
    </w:p>
    <w:p w:rsidR="00D275EA" w:rsidRDefault="00D275EA" w:rsidP="00D275EA">
      <w:pPr>
        <w:tabs>
          <w:tab w:val="left" w:pos="720"/>
        </w:tabs>
        <w:ind w:left="720"/>
      </w:pPr>
    </w:p>
    <w:p w:rsidR="00D275EA" w:rsidRDefault="00D571C5" w:rsidP="00D275EA">
      <w:pPr>
        <w:widowControl w:val="0"/>
        <w:numPr>
          <w:ilvl w:val="12"/>
          <w:numId w:val="0"/>
        </w:numPr>
        <w:spacing w:after="120"/>
        <w:ind w:left="720"/>
      </w:pPr>
      <w:hyperlink r:id="rId608" w:history="1">
        <w:r w:rsidR="00D275EA">
          <w:rPr>
            <w:rStyle w:val="Hyperlink"/>
            <w:b/>
            <w:bCs/>
            <w:i/>
          </w:rPr>
          <w:t>January 2018 Quality Call Notes</w:t>
        </w:r>
      </w:hyperlink>
      <w:r w:rsidR="00D275EA">
        <w:t xml:space="preserve"> – reiterates error on hypothyroidism with myxedema (9703)</w:t>
      </w:r>
    </w:p>
    <w:p w:rsidR="00D275EA" w:rsidRDefault="00D275EA" w:rsidP="00D275EA">
      <w:pPr>
        <w:widowControl w:val="0"/>
        <w:numPr>
          <w:ilvl w:val="12"/>
          <w:numId w:val="0"/>
        </w:numPr>
        <w:spacing w:after="120"/>
        <w:ind w:left="720" w:hanging="720"/>
        <w:rPr>
          <w:i/>
          <w:color w:val="FF9900"/>
        </w:rPr>
      </w:pPr>
      <w:r>
        <w:rPr>
          <w:color w:val="FF0000"/>
        </w:rPr>
        <w:t>7913</w:t>
      </w:r>
      <w:r>
        <w:rPr>
          <w:color w:val="FF0000"/>
        </w:rPr>
        <w:tab/>
        <w:t>Diabetes mellitus</w:t>
      </w:r>
      <w:r>
        <w:t xml:space="preserve"> – </w:t>
      </w:r>
      <w:r>
        <w:rPr>
          <w:i/>
          <w:color w:val="FF9900"/>
        </w:rPr>
        <w:t>Type II is</w:t>
      </w:r>
      <w:r>
        <w:rPr>
          <w:color w:val="FF9900"/>
        </w:rPr>
        <w:t xml:space="preserve"> </w:t>
      </w:r>
      <w:r>
        <w:rPr>
          <w:i/>
          <w:color w:val="FF9900"/>
        </w:rPr>
        <w:t xml:space="preserve">also Agent Orange presumptive under </w:t>
      </w:r>
      <w:r w:rsidRPr="00AE0E75">
        <w:rPr>
          <w:b/>
        </w:rPr>
        <w:t>3.309</w:t>
      </w:r>
      <w:r>
        <w:rPr>
          <w:i/>
          <w:color w:val="FF9900"/>
        </w:rPr>
        <w:t>(e)</w:t>
      </w:r>
    </w:p>
    <w:p w:rsidR="00D275EA" w:rsidRPr="00B564E7" w:rsidRDefault="006D16BF" w:rsidP="00F063AF">
      <w:pPr>
        <w:pStyle w:val="ListParagraph"/>
        <w:widowControl w:val="0"/>
        <w:numPr>
          <w:ilvl w:val="0"/>
          <w:numId w:val="230"/>
        </w:numPr>
        <w:spacing w:after="120" w:line="240" w:lineRule="auto"/>
        <w:rPr>
          <w:rFonts w:ascii="Arial" w:hAnsi="Arial"/>
          <w:b/>
          <w:i/>
          <w:sz w:val="20"/>
          <w:szCs w:val="20"/>
        </w:rPr>
      </w:pPr>
      <w:r>
        <w:rPr>
          <w:rFonts w:ascii="Arial" w:hAnsi="Arial"/>
          <w:b/>
          <w:sz w:val="20"/>
          <w:szCs w:val="20"/>
        </w:rPr>
        <w:t>III.iv.4.M</w:t>
      </w:r>
      <w:r w:rsidR="00D275EA">
        <w:rPr>
          <w:rFonts w:ascii="Arial" w:hAnsi="Arial"/>
          <w:b/>
          <w:sz w:val="20"/>
          <w:szCs w:val="20"/>
        </w:rPr>
        <w:t xml:space="preserve">.1.f </w:t>
      </w:r>
      <w:r w:rsidR="00D275EA">
        <w:rPr>
          <w:rFonts w:ascii="Arial" w:hAnsi="Arial"/>
          <w:sz w:val="20"/>
          <w:szCs w:val="20"/>
        </w:rPr>
        <w:t>– complications are within the scope of a claim for DM</w:t>
      </w:r>
    </w:p>
    <w:p w:rsidR="00D275EA" w:rsidRPr="00B564E7" w:rsidRDefault="006D16BF" w:rsidP="00F063AF">
      <w:pPr>
        <w:pStyle w:val="ListParagraph"/>
        <w:widowControl w:val="0"/>
        <w:numPr>
          <w:ilvl w:val="0"/>
          <w:numId w:val="230"/>
        </w:numPr>
        <w:spacing w:after="120" w:line="240" w:lineRule="auto"/>
        <w:rPr>
          <w:rFonts w:ascii="Arial" w:hAnsi="Arial"/>
          <w:b/>
          <w:i/>
          <w:sz w:val="20"/>
          <w:szCs w:val="20"/>
        </w:rPr>
      </w:pPr>
      <w:r>
        <w:rPr>
          <w:rFonts w:ascii="Arial" w:hAnsi="Arial"/>
          <w:b/>
          <w:sz w:val="20"/>
          <w:szCs w:val="20"/>
        </w:rPr>
        <w:t>III.iv.4.M</w:t>
      </w:r>
      <w:r w:rsidR="00D275EA">
        <w:rPr>
          <w:rFonts w:ascii="Arial" w:hAnsi="Arial"/>
          <w:b/>
          <w:sz w:val="20"/>
          <w:szCs w:val="20"/>
        </w:rPr>
        <w:t xml:space="preserve">.1.g </w:t>
      </w:r>
      <w:r w:rsidR="00D275EA">
        <w:rPr>
          <w:rFonts w:ascii="Arial" w:hAnsi="Arial"/>
          <w:sz w:val="20"/>
          <w:szCs w:val="20"/>
        </w:rPr>
        <w:t xml:space="preserve">– </w:t>
      </w:r>
      <w:r w:rsidR="00D275EA" w:rsidRPr="00B564E7">
        <w:rPr>
          <w:rFonts w:ascii="Arial" w:hAnsi="Arial"/>
          <w:sz w:val="20"/>
          <w:szCs w:val="20"/>
        </w:rPr>
        <w:t>table on which DBQs to request with DM &amp; claimed complications; if claiming increase in DM, can also address any new complications or any increase in already SC complications even if not expressly listed</w:t>
      </w:r>
    </w:p>
    <w:p w:rsidR="00D275EA" w:rsidRPr="003D45BB" w:rsidRDefault="00D275EA" w:rsidP="00F063AF">
      <w:pPr>
        <w:pStyle w:val="ListParagraph"/>
        <w:widowControl w:val="0"/>
        <w:numPr>
          <w:ilvl w:val="0"/>
          <w:numId w:val="230"/>
        </w:numPr>
        <w:spacing w:after="120" w:line="240" w:lineRule="auto"/>
        <w:rPr>
          <w:rFonts w:ascii="Arial" w:hAnsi="Arial"/>
          <w:b/>
          <w:i/>
          <w:sz w:val="20"/>
          <w:szCs w:val="20"/>
        </w:rPr>
      </w:pPr>
      <w:r>
        <w:rPr>
          <w:rFonts w:ascii="Arial" w:hAnsi="Arial"/>
          <w:b/>
          <w:sz w:val="20"/>
          <w:szCs w:val="20"/>
        </w:rPr>
        <w:t>III.iv.4.</w:t>
      </w:r>
      <w:r w:rsidR="006D16BF">
        <w:rPr>
          <w:rFonts w:ascii="Arial" w:hAnsi="Arial"/>
          <w:b/>
          <w:sz w:val="20"/>
          <w:szCs w:val="20"/>
        </w:rPr>
        <w:t>M</w:t>
      </w:r>
      <w:r>
        <w:rPr>
          <w:rFonts w:ascii="Arial" w:hAnsi="Arial"/>
          <w:b/>
          <w:sz w:val="20"/>
          <w:szCs w:val="20"/>
        </w:rPr>
        <w:t xml:space="preserve">.1.h </w:t>
      </w:r>
      <w:r>
        <w:rPr>
          <w:rFonts w:ascii="Arial" w:hAnsi="Arial"/>
          <w:sz w:val="20"/>
          <w:szCs w:val="20"/>
        </w:rPr>
        <w:t>– addresses FTRs for DM-related claims (if claims increase in DM &amp; FTR, CCEVAL for DM &amp; all separate complications)</w:t>
      </w:r>
    </w:p>
    <w:p w:rsidR="00D275EA" w:rsidRPr="003D45BB" w:rsidRDefault="00D275EA" w:rsidP="00F063AF">
      <w:pPr>
        <w:pStyle w:val="ListParagraph"/>
        <w:widowControl w:val="0"/>
        <w:numPr>
          <w:ilvl w:val="0"/>
          <w:numId w:val="230"/>
        </w:numPr>
        <w:spacing w:after="120" w:line="240" w:lineRule="auto"/>
        <w:rPr>
          <w:rFonts w:ascii="Arial" w:hAnsi="Arial"/>
          <w:b/>
          <w:sz w:val="20"/>
          <w:szCs w:val="20"/>
        </w:rPr>
      </w:pPr>
      <w:r w:rsidRPr="003D45BB">
        <w:rPr>
          <w:rFonts w:ascii="Arial" w:hAnsi="Arial"/>
          <w:b/>
          <w:sz w:val="20"/>
          <w:szCs w:val="20"/>
        </w:rPr>
        <w:t>III.</w:t>
      </w:r>
      <w:r>
        <w:rPr>
          <w:rFonts w:ascii="Arial" w:hAnsi="Arial"/>
          <w:b/>
          <w:sz w:val="20"/>
          <w:szCs w:val="20"/>
        </w:rPr>
        <w:t>iv.4.</w:t>
      </w:r>
      <w:r w:rsidR="006D16BF">
        <w:rPr>
          <w:rFonts w:ascii="Arial" w:hAnsi="Arial"/>
          <w:b/>
          <w:sz w:val="20"/>
          <w:szCs w:val="20"/>
        </w:rPr>
        <w:t>M</w:t>
      </w:r>
      <w:r>
        <w:rPr>
          <w:rFonts w:ascii="Arial" w:hAnsi="Arial"/>
          <w:b/>
          <w:sz w:val="20"/>
          <w:szCs w:val="20"/>
        </w:rPr>
        <w:t>.2</w:t>
      </w:r>
      <w:r w:rsidRPr="003D45BB">
        <w:rPr>
          <w:rFonts w:ascii="Arial" w:hAnsi="Arial"/>
          <w:b/>
          <w:sz w:val="20"/>
          <w:szCs w:val="20"/>
        </w:rPr>
        <w:t xml:space="preserve"> </w:t>
      </w:r>
      <w:r>
        <w:rPr>
          <w:rFonts w:ascii="Arial" w:hAnsi="Arial"/>
          <w:b/>
          <w:sz w:val="20"/>
          <w:szCs w:val="20"/>
        </w:rPr>
        <w:t>–</w:t>
      </w:r>
      <w:r w:rsidRPr="003D45BB">
        <w:rPr>
          <w:rFonts w:ascii="Arial" w:hAnsi="Arial"/>
          <w:b/>
          <w:sz w:val="20"/>
          <w:szCs w:val="20"/>
        </w:rPr>
        <w:t xml:space="preserve"> </w:t>
      </w:r>
      <w:r>
        <w:rPr>
          <w:rFonts w:ascii="Arial" w:hAnsi="Arial"/>
          <w:sz w:val="20"/>
          <w:szCs w:val="20"/>
        </w:rPr>
        <w:t>complications, incl that they are a worsening/increase claim rather than a secondary claim</w:t>
      </w:r>
    </w:p>
    <w:p w:rsidR="00D275EA" w:rsidRPr="00D23307" w:rsidRDefault="00D571C5" w:rsidP="00F063AF">
      <w:pPr>
        <w:pStyle w:val="ListParagraph"/>
        <w:widowControl w:val="0"/>
        <w:numPr>
          <w:ilvl w:val="0"/>
          <w:numId w:val="230"/>
        </w:numPr>
        <w:spacing w:after="120"/>
        <w:rPr>
          <w:rFonts w:ascii="Arial" w:hAnsi="Arial"/>
          <w:b/>
          <w:i/>
          <w:sz w:val="20"/>
          <w:szCs w:val="20"/>
        </w:rPr>
      </w:pPr>
      <w:hyperlink r:id="rId609" w:history="1">
        <w:r w:rsidR="00D275EA" w:rsidRPr="003C1306">
          <w:rPr>
            <w:rStyle w:val="Hyperlink"/>
            <w:rFonts w:ascii="Arial" w:hAnsi="Arial"/>
            <w:b/>
            <w:bCs/>
            <w:i/>
            <w:sz w:val="20"/>
            <w:szCs w:val="20"/>
          </w:rPr>
          <w:t>March 2016 Quality Call Notes</w:t>
        </w:r>
      </w:hyperlink>
      <w:r w:rsidR="00D275EA" w:rsidRPr="003C1306">
        <w:rPr>
          <w:rFonts w:ascii="Arial" w:hAnsi="Arial"/>
          <w:bCs/>
          <w:sz w:val="20"/>
          <w:szCs w:val="20"/>
        </w:rPr>
        <w:t xml:space="preserve"> clarifies that solicitation of a claim for increase is </w:t>
      </w:r>
      <w:r w:rsidR="00D275EA" w:rsidRPr="003C1306">
        <w:rPr>
          <w:rFonts w:ascii="Arial" w:hAnsi="Arial"/>
          <w:bCs/>
          <w:sz w:val="20"/>
          <w:szCs w:val="20"/>
          <w:u w:val="single"/>
        </w:rPr>
        <w:t>required</w:t>
      </w:r>
      <w:r w:rsidR="00D275EA" w:rsidRPr="003C1306">
        <w:rPr>
          <w:rFonts w:ascii="Arial" w:hAnsi="Arial"/>
          <w:bCs/>
          <w:sz w:val="20"/>
          <w:szCs w:val="20"/>
        </w:rPr>
        <w:t xml:space="preserve"> for diabetes mellitus &amp; it’s complications (if DM &amp;/or that specific complication(s) NOT claimed, but another complication was claimed; </w:t>
      </w:r>
      <w:r w:rsidR="00D275EA">
        <w:rPr>
          <w:rFonts w:ascii="Arial" w:hAnsi="Arial"/>
          <w:bCs/>
          <w:i/>
          <w:sz w:val="20"/>
          <w:szCs w:val="20"/>
        </w:rPr>
        <w:t>M</w:t>
      </w:r>
      <w:r w:rsidR="00D275EA" w:rsidRPr="003C1306">
        <w:rPr>
          <w:rFonts w:ascii="Arial" w:hAnsi="Arial"/>
          <w:bCs/>
          <w:i/>
          <w:sz w:val="20"/>
          <w:szCs w:val="20"/>
        </w:rPr>
        <w:t>y example: eyes claimed,but TRs show nephropathy diagnosed/worsened</w:t>
      </w:r>
      <w:r w:rsidR="00D275EA">
        <w:rPr>
          <w:rFonts w:ascii="Arial" w:hAnsi="Arial"/>
          <w:bCs/>
          <w:i/>
          <w:sz w:val="20"/>
          <w:szCs w:val="20"/>
        </w:rPr>
        <w:t>, DM not claimed, so other complications not within scope</w:t>
      </w:r>
      <w:r w:rsidR="00D275EA" w:rsidRPr="003C1306">
        <w:rPr>
          <w:rFonts w:ascii="Arial" w:hAnsi="Arial"/>
          <w:bCs/>
          <w:sz w:val="20"/>
          <w:szCs w:val="20"/>
        </w:rPr>
        <w:t>)</w:t>
      </w:r>
      <w:r w:rsidR="00D275EA" w:rsidRPr="003C1306">
        <w:rPr>
          <w:rFonts w:ascii="Arial" w:hAnsi="Arial"/>
          <w:b/>
          <w:bCs/>
          <w:sz w:val="20"/>
          <w:szCs w:val="20"/>
        </w:rPr>
        <w:t xml:space="preserve"> </w:t>
      </w:r>
      <w:r w:rsidR="00D275EA" w:rsidRPr="003C1306">
        <w:rPr>
          <w:rFonts w:ascii="Arial" w:hAnsi="Arial"/>
          <w:bCs/>
          <w:sz w:val="20"/>
          <w:szCs w:val="20"/>
        </w:rPr>
        <w:t xml:space="preserve">(also says, in Q&amp;A, if claimed PTSD &amp; increase in DM shown in TRs, </w:t>
      </w:r>
      <w:r w:rsidR="00D275EA" w:rsidRPr="003C1306">
        <w:rPr>
          <w:rFonts w:ascii="Arial" w:hAnsi="Arial"/>
          <w:bCs/>
          <w:sz w:val="20"/>
          <w:szCs w:val="20"/>
          <w:u w:val="single"/>
        </w:rPr>
        <w:t>could consider</w:t>
      </w:r>
      <w:r w:rsidR="00D275EA" w:rsidRPr="003C1306">
        <w:rPr>
          <w:rFonts w:ascii="Arial" w:hAnsi="Arial"/>
          <w:bCs/>
          <w:sz w:val="20"/>
          <w:szCs w:val="20"/>
        </w:rPr>
        <w:t xml:space="preserve"> soliciting CFI, </w:t>
      </w:r>
      <w:r w:rsidR="00D275EA" w:rsidRPr="003C1306">
        <w:rPr>
          <w:rFonts w:ascii="Arial" w:hAnsi="Arial"/>
          <w:bCs/>
          <w:i/>
          <w:sz w:val="20"/>
          <w:szCs w:val="20"/>
        </w:rPr>
        <w:t xml:space="preserve">seems not to be </w:t>
      </w:r>
      <w:r w:rsidR="00D275EA" w:rsidRPr="003C1306">
        <w:rPr>
          <w:rFonts w:ascii="Arial" w:hAnsi="Arial"/>
          <w:bCs/>
          <w:i/>
          <w:sz w:val="20"/>
          <w:szCs w:val="20"/>
          <w:u w:val="single"/>
        </w:rPr>
        <w:t>required</w:t>
      </w:r>
      <w:r w:rsidR="00D275EA" w:rsidRPr="003C1306">
        <w:rPr>
          <w:rFonts w:ascii="Arial" w:hAnsi="Arial"/>
          <w:bCs/>
          <w:i/>
          <w:sz w:val="20"/>
          <w:szCs w:val="20"/>
        </w:rPr>
        <w:t xml:space="preserve"> in this case</w:t>
      </w:r>
      <w:r w:rsidR="00D275EA" w:rsidRPr="003C1306">
        <w:rPr>
          <w:rFonts w:ascii="Arial" w:hAnsi="Arial"/>
          <w:bCs/>
          <w:sz w:val="20"/>
          <w:szCs w:val="20"/>
        </w:rPr>
        <w:t>); AND reiterates that we do not apply 3.157 for complications shown (diagnosed) in TRs after 3/24/15, but can go 1 year prior to DOC; reminder that do not need specific claim</w:t>
      </w:r>
      <w:r w:rsidR="00D275EA">
        <w:rPr>
          <w:rFonts w:ascii="Arial" w:hAnsi="Arial"/>
          <w:bCs/>
          <w:sz w:val="20"/>
          <w:szCs w:val="20"/>
        </w:rPr>
        <w:t xml:space="preserve"> for complications if have claim for primary disability</w:t>
      </w:r>
      <w:r w:rsidR="00D275EA" w:rsidRPr="003C1306">
        <w:rPr>
          <w:rFonts w:ascii="Arial" w:hAnsi="Arial"/>
          <w:bCs/>
          <w:sz w:val="20"/>
          <w:szCs w:val="20"/>
        </w:rPr>
        <w:t xml:space="preserve">, as “reasonably raised” &amp; 3.155(d)(2)’s </w:t>
      </w:r>
      <w:r w:rsidR="00D275EA" w:rsidRPr="003C1306">
        <w:rPr>
          <w:rFonts w:ascii="Arial" w:hAnsi="Arial"/>
          <w:noProof/>
          <w:sz w:val="20"/>
          <w:szCs w:val="20"/>
        </w:rPr>
        <w:t xml:space="preserve">“VA will also consider all lay and medical evidence of record in order to adjudicate entitlement to benefits for the claimed condition as well as entitlement to any additional benefits for complications of the claimed condition, including those identified by the rating criteria for that condition in 38 CFR Part 4, VA Schedule for Rating Disabilities.” </w:t>
      </w:r>
      <w:r w:rsidR="00D275EA" w:rsidRPr="003C1306">
        <w:rPr>
          <w:rFonts w:ascii="Arial" w:hAnsi="Arial"/>
          <w:bCs/>
          <w:i/>
          <w:sz w:val="20"/>
          <w:szCs w:val="20"/>
        </w:rPr>
        <w:t>[per QRT/GiaBao</w:t>
      </w:r>
      <w:r w:rsidR="00D275EA">
        <w:rPr>
          <w:rFonts w:ascii="Arial" w:hAnsi="Arial"/>
          <w:bCs/>
          <w:i/>
          <w:sz w:val="20"/>
          <w:szCs w:val="20"/>
        </w:rPr>
        <w:t xml:space="preserve"> Nguyen</w:t>
      </w:r>
      <w:r w:rsidR="00D275EA" w:rsidRPr="003C1306">
        <w:rPr>
          <w:rFonts w:ascii="Arial" w:hAnsi="Arial"/>
          <w:bCs/>
          <w:i/>
          <w:sz w:val="20"/>
          <w:szCs w:val="20"/>
        </w:rPr>
        <w:t xml:space="preserve">, 5/25/17, if see worsening in SC cond in DBQ, can solicit claim &amp; if claim within one year, can use date of DBQ for </w:t>
      </w:r>
      <w:r w:rsidR="004F315B">
        <w:rPr>
          <w:rFonts w:ascii="Arial" w:hAnsi="Arial"/>
          <w:bCs/>
          <w:i/>
          <w:sz w:val="20"/>
          <w:szCs w:val="20"/>
        </w:rPr>
        <w:t>effective date</w:t>
      </w:r>
      <w:r w:rsidR="00D275EA" w:rsidRPr="003C1306">
        <w:rPr>
          <w:rFonts w:ascii="Arial" w:hAnsi="Arial"/>
          <w:bCs/>
          <w:i/>
          <w:sz w:val="20"/>
          <w:szCs w:val="20"/>
        </w:rPr>
        <w:t>]</w:t>
      </w:r>
    </w:p>
    <w:p w:rsidR="00D23307" w:rsidRPr="00BD2ECC" w:rsidRDefault="00BD2ECC" w:rsidP="00F063AF">
      <w:pPr>
        <w:pStyle w:val="ListParagraph"/>
        <w:widowControl w:val="0"/>
        <w:numPr>
          <w:ilvl w:val="0"/>
          <w:numId w:val="230"/>
        </w:numPr>
        <w:spacing w:after="120"/>
        <w:rPr>
          <w:rFonts w:ascii="Arial" w:hAnsi="Arial"/>
          <w:sz w:val="20"/>
          <w:szCs w:val="20"/>
        </w:rPr>
      </w:pPr>
      <w:r w:rsidRPr="00BD2ECC">
        <w:rPr>
          <w:rFonts w:ascii="Arial" w:hAnsi="Arial"/>
          <w:sz w:val="20"/>
          <w:szCs w:val="20"/>
        </w:rPr>
        <w:t>…</w:t>
      </w:r>
    </w:p>
    <w:p w:rsidR="00D275EA" w:rsidRPr="007661A7" w:rsidRDefault="00D275EA" w:rsidP="00D275EA">
      <w:pPr>
        <w:widowControl w:val="0"/>
        <w:pBdr>
          <w:top w:val="single" w:sz="8" w:space="1" w:color="auto"/>
          <w:left w:val="single" w:sz="8" w:space="4" w:color="auto"/>
          <w:bottom w:val="single" w:sz="8" w:space="1" w:color="auto"/>
          <w:right w:val="single" w:sz="8" w:space="4" w:color="auto"/>
        </w:pBdr>
        <w:rPr>
          <w:i/>
        </w:rPr>
      </w:pPr>
      <w:r w:rsidRPr="007661A7">
        <w:rPr>
          <w:i/>
        </w:rPr>
        <w:t>Can use with borderline diabetes or an unclear diagnosis:</w:t>
      </w:r>
    </w:p>
    <w:p w:rsidR="00D275EA" w:rsidRDefault="00D275EA" w:rsidP="00D275EA">
      <w:pPr>
        <w:widowControl w:val="0"/>
        <w:pBdr>
          <w:top w:val="single" w:sz="8" w:space="1" w:color="auto"/>
          <w:left w:val="single" w:sz="8" w:space="4" w:color="auto"/>
          <w:bottom w:val="single" w:sz="8" w:space="1" w:color="auto"/>
          <w:right w:val="single" w:sz="8" w:space="4" w:color="auto"/>
        </w:pBdr>
      </w:pPr>
      <w:r w:rsidRPr="007661A7">
        <w:t xml:space="preserve">Since you do not have a clear diagnosis of diabetes mellitus type II based on (1) </w:t>
      </w:r>
      <w:r w:rsidR="007024B6">
        <w:t xml:space="preserve">classic </w:t>
      </w:r>
      <w:r w:rsidRPr="007661A7">
        <w:t>symptoms</w:t>
      </w:r>
      <w:r w:rsidR="007024B6">
        <w:t xml:space="preserve"> of hyperglycemia</w:t>
      </w:r>
      <w:r w:rsidRPr="007661A7">
        <w:t xml:space="preserve"> plus a casual</w:t>
      </w:r>
      <w:r w:rsidR="007024B6">
        <w:t>/random</w:t>
      </w:r>
      <w:r w:rsidRPr="007661A7">
        <w:t xml:space="preserve"> plasma glucose greater than</w:t>
      </w:r>
      <w:r w:rsidR="007024B6">
        <w:t>/equal to</w:t>
      </w:r>
      <w:r w:rsidRPr="007661A7">
        <w:t xml:space="preserve"> 200 mg/dL, (2) fasting plasma glucose greater than</w:t>
      </w:r>
      <w:r w:rsidR="007024B6">
        <w:t>/equal to</w:t>
      </w:r>
      <w:r w:rsidRPr="007661A7">
        <w:t xml:space="preserve"> 126 mg/dL</w:t>
      </w:r>
      <w:r w:rsidR="007024B6">
        <w:t xml:space="preserve"> on 2 or more occasions</w:t>
      </w:r>
      <w:r w:rsidRPr="007661A7">
        <w:t xml:space="preserve">, (3) </w:t>
      </w:r>
      <w:r w:rsidRPr="007024B6">
        <w:rPr>
          <w:highlight w:val="lightGray"/>
        </w:rPr>
        <w:t>glucose greater than 200 mg/dL after 75 g glucose load</w:t>
      </w:r>
      <w:r w:rsidR="007024B6">
        <w:t xml:space="preserve"> OR 2 hour plasma glucose of greater than/equal to 200 mg/dL on glucose tolerance test, or (4) A1C of 6.5 percent or greater on 2 or more occasions</w:t>
      </w:r>
      <w:r w:rsidRPr="007661A7">
        <w:t>, we cannot establish service connection for diabetes mellitus type II.</w:t>
      </w:r>
    </w:p>
    <w:p w:rsidR="00D275EA" w:rsidRDefault="007024B6" w:rsidP="00D275EA">
      <w:pPr>
        <w:widowControl w:val="0"/>
        <w:rPr>
          <w:sz w:val="22"/>
          <w:szCs w:val="22"/>
        </w:rPr>
      </w:pPr>
      <w:r>
        <w:rPr>
          <w:noProof/>
        </w:rPr>
        <w:drawing>
          <wp:inline distT="0" distB="0" distL="0" distR="0" wp14:anchorId="2BBB293D" wp14:editId="50BBF433">
            <wp:extent cx="6858000" cy="1087755"/>
            <wp:effectExtent l="0" t="0" r="0" b="0"/>
            <wp:docPr id="24683" name="Picture 24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0"/>
                    <a:stretch>
                      <a:fillRect/>
                    </a:stretch>
                  </pic:blipFill>
                  <pic:spPr>
                    <a:xfrm>
                      <a:off x="0" y="0"/>
                      <a:ext cx="6858000" cy="1087755"/>
                    </a:xfrm>
                    <a:prstGeom prst="rect">
                      <a:avLst/>
                    </a:prstGeom>
                  </pic:spPr>
                </pic:pic>
              </a:graphicData>
            </a:graphic>
          </wp:inline>
        </w:drawing>
      </w:r>
    </w:p>
    <w:p w:rsidR="00D275EA" w:rsidRPr="007661A7" w:rsidRDefault="00D275EA" w:rsidP="00D275EA">
      <w:pPr>
        <w:widowControl w:val="0"/>
        <w:rPr>
          <w:sz w:val="22"/>
          <w:szCs w:val="22"/>
        </w:rPr>
      </w:pP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t>regulation of activities:</w:t>
      </w:r>
    </w:p>
    <w:p w:rsidR="00D275EA" w:rsidRPr="00307D0B"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b/>
          <w:i/>
        </w:rPr>
      </w:pPr>
      <w:r w:rsidRPr="00307D0B">
        <w:rPr>
          <w:b/>
        </w:rPr>
        <w:t>III.iv.4.</w:t>
      </w:r>
      <w:r w:rsidR="006D16BF">
        <w:rPr>
          <w:b/>
        </w:rPr>
        <w:t>M</w:t>
      </w:r>
      <w:r>
        <w:rPr>
          <w:b/>
        </w:rPr>
        <w:t>.1.e</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b/>
          <w:bCs/>
        </w:rPr>
      </w:pPr>
      <w:r w:rsidRPr="00ED1509">
        <w:rPr>
          <w:b/>
          <w:bCs/>
        </w:rPr>
        <w:t>*have to have INSULIN &amp; regulation of activities to get 40%</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b/>
          <w:bCs/>
        </w:rPr>
      </w:pPr>
    </w:p>
    <w:p w:rsidR="00D275EA" w:rsidRPr="006530A5"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b/>
          <w:bCs/>
        </w:rPr>
      </w:pPr>
      <w:r>
        <w:rPr>
          <w:rFonts w:ascii="Verdana" w:hAnsi="Verdana"/>
          <w:b/>
          <w:bCs/>
          <w:highlight w:val="green"/>
        </w:rPr>
        <w:t>DM2</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Pr="00F84543" w:rsidRDefault="00D275EA" w:rsidP="00D275EA">
      <w:pPr>
        <w:widowControl w:val="0"/>
        <w:pBdr>
          <w:top w:val="single" w:sz="4" w:space="1" w:color="auto"/>
          <w:left w:val="single" w:sz="4" w:space="4" w:color="auto"/>
          <w:bottom w:val="single" w:sz="4" w:space="1" w:color="auto"/>
          <w:right w:val="single" w:sz="4" w:space="4" w:color="auto"/>
        </w:pBdr>
        <w:rPr>
          <w:i/>
        </w:rPr>
      </w:pPr>
      <w:r w:rsidRPr="00F84543">
        <w:rPr>
          <w:i/>
        </w:rPr>
        <w:t>Add this, if needed:</w:t>
      </w:r>
    </w:p>
    <w:p w:rsidR="00D275EA" w:rsidRDefault="00D275EA" w:rsidP="00D275EA">
      <w:pPr>
        <w:widowControl w:val="0"/>
        <w:pBdr>
          <w:top w:val="single" w:sz="4" w:space="1" w:color="auto"/>
          <w:left w:val="single" w:sz="4" w:space="4" w:color="auto"/>
          <w:bottom w:val="single" w:sz="4" w:space="1" w:color="auto"/>
          <w:right w:val="single" w:sz="4" w:space="4" w:color="auto"/>
        </w:pBdr>
        <w:rPr>
          <w:b/>
          <w:bCs/>
        </w:rPr>
      </w:pPr>
      <w:r>
        <w:t>The DBQ</w:t>
      </w:r>
      <w:r w:rsidRPr="006623F7">
        <w:t xml:space="preserve"> shows </w:t>
      </w:r>
      <w:r>
        <w:t>you require regulation of activities as part of medical management of diabetes mellitus (DM), but the example of how you regulate your activities does not meet the criteria for regulation of activities, and there is no competent medical evidence that you are required to avoid strenuous occupational and recreational activities due to problems with glucose control.</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color w:val="000000"/>
          <w:szCs w:val="18"/>
        </w:rPr>
      </w:pPr>
      <w:r>
        <w:t>Please note that although the DBQ</w:t>
      </w:r>
      <w:r w:rsidRPr="006623F7">
        <w:t xml:space="preserve"> shows </w:t>
      </w:r>
      <w:r>
        <w:t xml:space="preserve">you are restricted in your ability to perform strenuous activities / you should avoid strenuous activity to prevent hypoglycemic reaction, [it was noted to be because you tire easily and not due to medical necessity; OR the statement was based on your subjective reports only; OR it is a general statement put in most VA contracted examinations], and there is no competent medical evidence that you are required to </w:t>
      </w:r>
      <w:r>
        <w:rPr>
          <w:color w:val="000000"/>
          <w:szCs w:val="18"/>
        </w:rPr>
        <w:t xml:space="preserve">avoid strenuous occupational and recreational activities </w:t>
      </w:r>
      <w:r>
        <w:t>due to problems with glucose control</w:t>
      </w:r>
      <w:r>
        <w:rPr>
          <w:color w:val="000000"/>
          <w:szCs w:val="18"/>
        </w:rPr>
        <w:t>.</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color w:val="000000"/>
          <w:szCs w:val="18"/>
        </w:rPr>
      </w:pPr>
    </w:p>
    <w:p w:rsidR="00D275EA" w:rsidRPr="00F84543"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color w:val="000000"/>
          <w:szCs w:val="18"/>
        </w:rPr>
      </w:pPr>
      <w:r w:rsidRPr="00EE12E8">
        <w:rPr>
          <w:color w:val="000000"/>
          <w:szCs w:val="18"/>
        </w:rPr>
        <w:t xml:space="preserve">The DBQ you provided shows you require regulation of activities as part of medical management of diabetes mellitus (DM), but no example was </w:t>
      </w:r>
      <w:r>
        <w:rPr>
          <w:color w:val="000000"/>
          <w:szCs w:val="18"/>
        </w:rPr>
        <w:t>provided of how you must regulate</w:t>
      </w:r>
      <w:r w:rsidRPr="00EE12E8">
        <w:rPr>
          <w:color w:val="000000"/>
          <w:szCs w:val="18"/>
        </w:rPr>
        <w:t xml:space="preserve"> your activities, and the treatment records show no competent medical evidence that you are required to avoid strenuous occupational and recreational activities due to problems with glucose control.</w:t>
      </w:r>
    </w:p>
    <w:p w:rsidR="00D275EA" w:rsidRDefault="00D275EA" w:rsidP="00D275EA">
      <w:pPr>
        <w:widowControl w:val="0"/>
        <w:tabs>
          <w:tab w:val="left" w:pos="0"/>
          <w:tab w:val="left" w:pos="144"/>
        </w:tabs>
        <w:rPr>
          <w:sz w:val="22"/>
        </w:rPr>
      </w:pPr>
    </w:p>
    <w:p w:rsidR="00D275EA" w:rsidRDefault="00D275EA" w:rsidP="00D275EA">
      <w:pPr>
        <w:pStyle w:val="Title"/>
        <w:widowControl w:val="0"/>
        <w:pBdr>
          <w:top w:val="double" w:sz="4" w:space="1" w:color="auto"/>
        </w:pBdr>
        <w:rPr>
          <w:b w:val="0"/>
          <w:bCs w:val="0"/>
          <w:color w:val="auto"/>
          <w:sz w:val="22"/>
          <w:szCs w:val="20"/>
          <w:u w:val="none"/>
        </w:rPr>
      </w:pPr>
    </w:p>
    <w:p w:rsidR="00D275EA" w:rsidRPr="00DB0A44" w:rsidRDefault="00D275EA" w:rsidP="00D275EA">
      <w:pPr>
        <w:pStyle w:val="Title"/>
        <w:widowControl w:val="0"/>
        <w:pBdr>
          <w:top w:val="double" w:sz="4" w:space="1" w:color="auto"/>
        </w:pBdr>
        <w:jc w:val="left"/>
        <w:rPr>
          <w:b w:val="0"/>
          <w:bCs w:val="0"/>
          <w:i/>
          <w:color w:val="auto"/>
          <w:sz w:val="22"/>
          <w:szCs w:val="20"/>
          <w:u w:val="none"/>
        </w:rPr>
      </w:pPr>
      <w:r w:rsidRPr="00DB0A44">
        <w:rPr>
          <w:b w:val="0"/>
          <w:bCs w:val="0"/>
          <w:i/>
          <w:color w:val="auto"/>
          <w:sz w:val="22"/>
          <w:szCs w:val="20"/>
          <w:u w:val="none"/>
        </w:rPr>
        <w:t>DBQ lists these recognized complications:</w:t>
      </w:r>
    </w:p>
    <w:p w:rsidR="00D275EA" w:rsidRPr="00837617"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 xml:space="preserve">Diabetic peripheral neuropathy </w:t>
      </w:r>
      <w:r>
        <w:rPr>
          <w:b w:val="0"/>
          <w:sz w:val="18"/>
          <w:szCs w:val="18"/>
          <w:u w:val="none"/>
        </w:rPr>
        <w:t>(</w:t>
      </w:r>
      <w:r w:rsidRPr="00F45C71">
        <w:rPr>
          <w:b w:val="0"/>
          <w:sz w:val="18"/>
          <w:szCs w:val="18"/>
          <w:u w:val="none"/>
        </w:rPr>
        <w:t>per DBQs, diabetic peripheral neuropathy evaluated under musculospiral (radial) (</w:t>
      </w:r>
      <w:r w:rsidRPr="00F45C71">
        <w:rPr>
          <w:b w:val="0"/>
          <w:sz w:val="18"/>
          <w:szCs w:val="18"/>
          <w:highlight w:val="green"/>
          <w:u w:val="none"/>
        </w:rPr>
        <w:t>8514</w:t>
      </w:r>
      <w:r w:rsidRPr="00F45C71">
        <w:rPr>
          <w:b w:val="0"/>
          <w:sz w:val="18"/>
          <w:szCs w:val="18"/>
          <w:u w:val="none"/>
        </w:rPr>
        <w:t xml:space="preserve">/8614/8714), median (8515/8615/8715), ulnar (8516/8616/8716); sciatic (8520/8620/8720), anterior crural/femoral (8526/8626/8726); </w:t>
      </w:r>
      <w:r>
        <w:rPr>
          <w:b w:val="0"/>
          <w:sz w:val="18"/>
          <w:szCs w:val="18"/>
          <w:u w:val="none"/>
        </w:rPr>
        <w:t>V</w:t>
      </w:r>
      <w:r w:rsidRPr="00F45C71">
        <w:rPr>
          <w:b w:val="0"/>
          <w:sz w:val="18"/>
          <w:szCs w:val="18"/>
          <w:u w:val="none"/>
        </w:rPr>
        <w:t xml:space="preserve">EB does </w:t>
      </w:r>
      <w:r w:rsidRPr="009E2F62">
        <w:rPr>
          <w:b w:val="0"/>
          <w:sz w:val="18"/>
          <w:szCs w:val="18"/>
          <w:highlight w:val="darkGray"/>
          <w:u w:val="none"/>
        </w:rPr>
        <w:t>sciatic (8520/8620/8720)</w:t>
      </w:r>
      <w:r w:rsidRPr="00F45C71">
        <w:rPr>
          <w:b w:val="0"/>
          <w:sz w:val="18"/>
          <w:szCs w:val="18"/>
          <w:u w:val="none"/>
        </w:rPr>
        <w:t xml:space="preserve"> </w:t>
      </w:r>
      <w:r>
        <w:rPr>
          <w:b w:val="0"/>
          <w:sz w:val="18"/>
          <w:szCs w:val="18"/>
          <w:u w:val="none"/>
        </w:rPr>
        <w:t xml:space="preserve">as of sometime before 12/17, changed to </w:t>
      </w:r>
      <w:r w:rsidRPr="00837617">
        <w:rPr>
          <w:b w:val="0"/>
          <w:sz w:val="18"/>
          <w:szCs w:val="18"/>
          <w:u w:val="none"/>
        </w:rPr>
        <w:t xml:space="preserve">external popliteal nerve (common peroneal) </w:t>
      </w:r>
      <w:r>
        <w:rPr>
          <w:b w:val="0"/>
          <w:sz w:val="18"/>
          <w:szCs w:val="18"/>
          <w:highlight w:val="green"/>
          <w:u w:val="none"/>
        </w:rPr>
        <w:t>(8521)</w:t>
      </w:r>
      <w:r>
        <w:rPr>
          <w:b w:val="0"/>
          <w:sz w:val="18"/>
          <w:szCs w:val="18"/>
          <w:u w:val="none"/>
        </w:rPr>
        <w:t xml:space="preserve"> </w:t>
      </w:r>
      <w:r w:rsidRPr="00F45C71">
        <w:rPr>
          <w:b w:val="0"/>
          <w:sz w:val="18"/>
          <w:szCs w:val="18"/>
          <w:u w:val="none"/>
        </w:rPr>
        <w:t>if you choose peripheral neuropathy, lower extremity; radial (</w:t>
      </w:r>
      <w:r w:rsidRPr="00F45C71">
        <w:rPr>
          <w:b w:val="0"/>
          <w:sz w:val="18"/>
          <w:szCs w:val="18"/>
          <w:highlight w:val="green"/>
          <w:u w:val="none"/>
        </w:rPr>
        <w:t>8514</w:t>
      </w:r>
      <w:r w:rsidRPr="00F45C71">
        <w:rPr>
          <w:b w:val="0"/>
          <w:sz w:val="18"/>
          <w:szCs w:val="18"/>
          <w:u w:val="none"/>
        </w:rPr>
        <w:t xml:space="preserve">/8614/8714) if you choose peripheral neuropathy, </w:t>
      </w:r>
      <w:r>
        <w:rPr>
          <w:b w:val="0"/>
          <w:sz w:val="18"/>
          <w:szCs w:val="18"/>
          <w:u w:val="none"/>
        </w:rPr>
        <w:t>upper extremity; *</w:t>
      </w:r>
      <w:r w:rsidR="00526485">
        <w:rPr>
          <w:b w:val="0"/>
          <w:sz w:val="18"/>
          <w:szCs w:val="18"/>
          <w:u w:val="none"/>
        </w:rPr>
        <w:t>III.iv.4.N</w:t>
      </w:r>
      <w:r>
        <w:rPr>
          <w:b w:val="0"/>
          <w:sz w:val="18"/>
          <w:szCs w:val="18"/>
          <w:u w:val="none"/>
        </w:rPr>
        <w:t>.4.g</w:t>
      </w:r>
      <w:r w:rsidRPr="00F45C71">
        <w:rPr>
          <w:b w:val="0"/>
          <w:sz w:val="18"/>
          <w:szCs w:val="18"/>
          <w:u w:val="none"/>
        </w:rPr>
        <w:t xml:space="preserve"> says use </w:t>
      </w:r>
      <w:r w:rsidRPr="00F45C71">
        <w:rPr>
          <w:b w:val="0"/>
          <w:sz w:val="18"/>
          <w:szCs w:val="18"/>
          <w:highlight w:val="green"/>
          <w:u w:val="none"/>
        </w:rPr>
        <w:t>8514</w:t>
      </w:r>
      <w:r>
        <w:rPr>
          <w:b w:val="0"/>
          <w:sz w:val="18"/>
          <w:szCs w:val="18"/>
          <w:highlight w:val="green"/>
          <w:u w:val="none"/>
        </w:rPr>
        <w:t xml:space="preserve"> </w:t>
      </w:r>
      <w:r w:rsidRPr="00F45C71">
        <w:rPr>
          <w:b w:val="0"/>
          <w:sz w:val="18"/>
          <w:szCs w:val="18"/>
          <w:highlight w:val="green"/>
          <w:u w:val="none"/>
        </w:rPr>
        <w:t>&amp; 852</w:t>
      </w:r>
      <w:r>
        <w:rPr>
          <w:b w:val="0"/>
          <w:sz w:val="18"/>
          <w:szCs w:val="18"/>
          <w:highlight w:val="green"/>
          <w:u w:val="none"/>
        </w:rPr>
        <w:t>1</w:t>
      </w:r>
      <w:r w:rsidRPr="00F45C71">
        <w:rPr>
          <w:b w:val="0"/>
          <w:sz w:val="18"/>
          <w:szCs w:val="18"/>
          <w:u w:val="none"/>
        </w:rPr>
        <w:t xml:space="preserve"> if </w:t>
      </w:r>
      <w:r>
        <w:rPr>
          <w:b w:val="0"/>
          <w:sz w:val="18"/>
          <w:szCs w:val="18"/>
          <w:u w:val="none"/>
        </w:rPr>
        <w:t xml:space="preserve">the </w:t>
      </w:r>
      <w:r w:rsidRPr="00F45C71">
        <w:rPr>
          <w:b w:val="0"/>
          <w:sz w:val="18"/>
          <w:szCs w:val="18"/>
          <w:u w:val="none"/>
        </w:rPr>
        <w:t>examiner is unable to specify the affected nerve(s) &amp; there is no other evidence adequately</w:t>
      </w:r>
      <w:r>
        <w:rPr>
          <w:b w:val="0"/>
          <w:sz w:val="18"/>
          <w:szCs w:val="18"/>
          <w:u w:val="none"/>
        </w:rPr>
        <w:t xml:space="preserve"> documenting the affected nerve</w:t>
      </w:r>
    </w:p>
    <w:p w:rsidR="00D275EA" w:rsidRPr="00837617" w:rsidRDefault="00D275EA" w:rsidP="00D275EA">
      <w:pPr>
        <w:pStyle w:val="Title"/>
        <w:widowControl w:val="0"/>
        <w:pBdr>
          <w:top w:val="single" w:sz="4" w:space="1" w:color="auto"/>
          <w:left w:val="single" w:sz="4" w:space="4" w:color="auto"/>
          <w:bottom w:val="single" w:sz="4" w:space="1" w:color="auto"/>
          <w:right w:val="single" w:sz="4" w:space="4" w:color="auto"/>
        </w:pBdr>
        <w:ind w:left="720"/>
        <w:jc w:val="left"/>
        <w:rPr>
          <w:b w:val="0"/>
          <w:bCs w:val="0"/>
          <w:color w:val="auto"/>
          <w:sz w:val="18"/>
          <w:szCs w:val="20"/>
          <w:u w:val="none"/>
        </w:rPr>
      </w:pPr>
      <w:r w:rsidRPr="00837617">
        <w:rPr>
          <w:b w:val="0"/>
          <w:bCs w:val="0"/>
          <w:color w:val="auto"/>
          <w:sz w:val="18"/>
          <w:szCs w:val="20"/>
          <w:u w:val="none"/>
        </w:rPr>
        <w:t xml:space="preserve">Rating Note:  </w:t>
      </w:r>
      <w:r w:rsidR="00526485">
        <w:rPr>
          <w:b w:val="0"/>
          <w:bCs w:val="0"/>
          <w:color w:val="auto"/>
          <w:sz w:val="18"/>
          <w:szCs w:val="20"/>
          <w:u w:val="none"/>
        </w:rPr>
        <w:t>III.iv.4.N</w:t>
      </w:r>
      <w:r w:rsidRPr="00837617">
        <w:rPr>
          <w:b w:val="0"/>
          <w:bCs w:val="0"/>
          <w:color w:val="auto"/>
          <w:sz w:val="18"/>
          <w:szCs w:val="20"/>
          <w:u w:val="none"/>
        </w:rPr>
        <w:t>.4.g says use 8521 if the examiner is unabl</w:t>
      </w:r>
      <w:r>
        <w:rPr>
          <w:b w:val="0"/>
          <w:bCs w:val="0"/>
          <w:color w:val="auto"/>
          <w:sz w:val="18"/>
          <w:szCs w:val="20"/>
          <w:u w:val="none"/>
        </w:rPr>
        <w:t>e to specify the affected nerve</w:t>
      </w:r>
      <w:r w:rsidRPr="00837617">
        <w:rPr>
          <w:b w:val="0"/>
          <w:bCs w:val="0"/>
          <w:color w:val="auto"/>
          <w:sz w:val="18"/>
          <w:szCs w:val="20"/>
          <w:u w:val="none"/>
        </w:rPr>
        <w:t xml:space="preserve"> &amp; there is no other evidence adequately documenting the affected nerve. VEB also uses 8521 when you choose "peripheral neuropathy, lower extremity."</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 xml:space="preserve">Diabetic nephropathy/renal dysfunction (caused by DM) </w:t>
      </w:r>
      <w:r w:rsidRPr="007661A7">
        <w:rPr>
          <w:b w:val="0"/>
          <w:bCs w:val="0"/>
          <w:color w:val="auto"/>
          <w:sz w:val="18"/>
          <w:szCs w:val="18"/>
          <w:u w:val="none"/>
        </w:rPr>
        <w:t>(</w:t>
      </w:r>
      <w:r w:rsidRPr="007661A7">
        <w:rPr>
          <w:b w:val="0"/>
          <w:sz w:val="18"/>
          <w:szCs w:val="18"/>
          <w:u w:val="none"/>
        </w:rPr>
        <w:t>7541)</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 xml:space="preserve">Diabetic retinopathy </w:t>
      </w:r>
      <w:r w:rsidRPr="007661A7">
        <w:rPr>
          <w:b w:val="0"/>
          <w:bCs w:val="0"/>
          <w:color w:val="auto"/>
          <w:sz w:val="18"/>
          <w:szCs w:val="18"/>
          <w:u w:val="none"/>
        </w:rPr>
        <w:t>(</w:t>
      </w:r>
      <w:r>
        <w:rPr>
          <w:b w:val="0"/>
          <w:sz w:val="18"/>
          <w:szCs w:val="18"/>
          <w:u w:val="none"/>
        </w:rPr>
        <w:t>60</w:t>
      </w:r>
      <w:r w:rsidR="0031650D">
        <w:rPr>
          <w:b w:val="0"/>
          <w:sz w:val="18"/>
          <w:szCs w:val="18"/>
          <w:u w:val="none"/>
        </w:rPr>
        <w:t>40, previously 6006</w:t>
      </w:r>
      <w:r w:rsidRPr="007661A7">
        <w:rPr>
          <w:b w:val="0"/>
          <w:sz w:val="18"/>
          <w:szCs w:val="18"/>
          <w:u w:val="none"/>
        </w:rPr>
        <w:t>)</w:t>
      </w:r>
    </w:p>
    <w:p w:rsidR="00D275EA" w:rsidRDefault="00D275EA" w:rsidP="00D275EA">
      <w:pPr>
        <w:pStyle w:val="Title"/>
        <w:widowControl w:val="0"/>
        <w:jc w:val="left"/>
        <w:rPr>
          <w:b w:val="0"/>
          <w:bCs w:val="0"/>
          <w:color w:val="auto"/>
          <w:sz w:val="22"/>
          <w:szCs w:val="20"/>
          <w:u w:val="none"/>
        </w:rPr>
      </w:pPr>
    </w:p>
    <w:p w:rsidR="00D275EA" w:rsidRPr="00DB0A44" w:rsidRDefault="00D275EA" w:rsidP="00D275EA">
      <w:pPr>
        <w:pStyle w:val="Title"/>
        <w:widowControl w:val="0"/>
        <w:jc w:val="left"/>
        <w:rPr>
          <w:b w:val="0"/>
          <w:bCs w:val="0"/>
          <w:i/>
          <w:color w:val="auto"/>
          <w:sz w:val="22"/>
          <w:szCs w:val="20"/>
          <w:u w:val="none"/>
        </w:rPr>
      </w:pPr>
      <w:r w:rsidRPr="00DB0A44">
        <w:rPr>
          <w:b w:val="0"/>
          <w:bCs w:val="0"/>
          <w:i/>
          <w:color w:val="auto"/>
          <w:sz w:val="22"/>
          <w:szCs w:val="20"/>
          <w:u w:val="none"/>
        </w:rPr>
        <w:t xml:space="preserve">DBQ lists these </w:t>
      </w:r>
      <w:r>
        <w:rPr>
          <w:b w:val="0"/>
          <w:bCs w:val="0"/>
          <w:i/>
          <w:color w:val="auto"/>
          <w:sz w:val="22"/>
          <w:szCs w:val="20"/>
          <w:u w:val="none"/>
        </w:rPr>
        <w:t>conditions as choices due to DM</w:t>
      </w:r>
      <w:r w:rsidRPr="00DB0A44">
        <w:rPr>
          <w:b w:val="0"/>
          <w:bCs w:val="0"/>
          <w:i/>
          <w:color w:val="auto"/>
          <w:sz w:val="22"/>
          <w:szCs w:val="20"/>
          <w:u w:val="none"/>
        </w:rPr>
        <w:t>:</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Erectile dysfunction</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 xml:space="preserve">Cardiac condition(s) </w:t>
      </w:r>
      <w:r w:rsidRPr="007661A7">
        <w:rPr>
          <w:b w:val="0"/>
          <w:bCs w:val="0"/>
          <w:color w:val="auto"/>
          <w:sz w:val="18"/>
          <w:szCs w:val="18"/>
          <w:u w:val="none"/>
        </w:rPr>
        <w:t>(</w:t>
      </w:r>
      <w:r w:rsidRPr="007661A7">
        <w:rPr>
          <w:b w:val="0"/>
          <w:sz w:val="18"/>
          <w:szCs w:val="18"/>
          <w:u w:val="none"/>
        </w:rPr>
        <w:t>7</w:t>
      </w:r>
      <w:r>
        <w:rPr>
          <w:b w:val="0"/>
          <w:sz w:val="18"/>
          <w:szCs w:val="18"/>
          <w:u w:val="none"/>
        </w:rPr>
        <w:t>005</w:t>
      </w:r>
      <w:r w:rsidRPr="007661A7">
        <w:rPr>
          <w:b w:val="0"/>
          <w:sz w:val="18"/>
          <w:szCs w:val="18"/>
          <w:u w:val="none"/>
        </w:rPr>
        <w:t>)</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Hypertension (in the presence of diabetic renal disease)</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 xml:space="preserve">Peripheral vascular disease </w:t>
      </w:r>
      <w:r w:rsidRPr="007661A7">
        <w:rPr>
          <w:b w:val="0"/>
          <w:bCs w:val="0"/>
          <w:color w:val="auto"/>
          <w:sz w:val="18"/>
          <w:szCs w:val="18"/>
          <w:u w:val="none"/>
        </w:rPr>
        <w:t>(</w:t>
      </w:r>
      <w:r>
        <w:rPr>
          <w:b w:val="0"/>
          <w:sz w:val="18"/>
          <w:szCs w:val="18"/>
          <w:u w:val="none"/>
        </w:rPr>
        <w:t>7114, ulcers 7121</w:t>
      </w:r>
      <w:r w:rsidRPr="007661A7">
        <w:rPr>
          <w:b w:val="0"/>
          <w:sz w:val="18"/>
          <w:szCs w:val="18"/>
          <w:u w:val="none"/>
        </w:rPr>
        <w:t>)</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Stroke</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Skin condition(s)</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Eye condition(s) other than diabetic retinopathy</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Other</w:t>
      </w:r>
    </w:p>
    <w:p w:rsidR="00D275EA" w:rsidRDefault="00D275EA" w:rsidP="00D275EA">
      <w:pPr>
        <w:pStyle w:val="Title"/>
        <w:widowControl w:val="0"/>
        <w:jc w:val="left"/>
        <w:rPr>
          <w:b w:val="0"/>
          <w:bCs w:val="0"/>
          <w:color w:val="auto"/>
          <w:sz w:val="22"/>
          <w:szCs w:val="20"/>
          <w:u w:val="none"/>
        </w:rPr>
      </w:pPr>
    </w:p>
    <w:p w:rsidR="00D275EA" w:rsidRPr="00DB0A44" w:rsidRDefault="00D275EA" w:rsidP="00D275EA">
      <w:pPr>
        <w:pStyle w:val="Title"/>
        <w:widowControl w:val="0"/>
        <w:jc w:val="left"/>
        <w:rPr>
          <w:b w:val="0"/>
          <w:bCs w:val="0"/>
          <w:i/>
          <w:color w:val="auto"/>
          <w:sz w:val="22"/>
          <w:szCs w:val="20"/>
          <w:u w:val="none"/>
        </w:rPr>
      </w:pPr>
      <w:r w:rsidRPr="00DB0A44">
        <w:rPr>
          <w:b w:val="0"/>
          <w:bCs w:val="0"/>
          <w:i/>
          <w:color w:val="auto"/>
          <w:sz w:val="22"/>
          <w:szCs w:val="20"/>
          <w:u w:val="none"/>
        </w:rPr>
        <w:t xml:space="preserve">DBQ lists these </w:t>
      </w:r>
      <w:r>
        <w:rPr>
          <w:b w:val="0"/>
          <w:bCs w:val="0"/>
          <w:i/>
          <w:color w:val="auto"/>
          <w:sz w:val="22"/>
          <w:szCs w:val="20"/>
          <w:u w:val="none"/>
        </w:rPr>
        <w:t>conditions as choices aggravated by DM</w:t>
      </w:r>
      <w:r w:rsidRPr="00DB0A44">
        <w:rPr>
          <w:b w:val="0"/>
          <w:bCs w:val="0"/>
          <w:i/>
          <w:color w:val="auto"/>
          <w:sz w:val="22"/>
          <w:szCs w:val="20"/>
          <w:u w:val="none"/>
        </w:rPr>
        <w:t>:</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Cardiac condition(s)</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 xml:space="preserve">Hypertension </w:t>
      </w:r>
      <w:r w:rsidRPr="007661A7">
        <w:rPr>
          <w:b w:val="0"/>
          <w:bCs w:val="0"/>
          <w:color w:val="auto"/>
          <w:sz w:val="18"/>
          <w:szCs w:val="18"/>
          <w:u w:val="none"/>
        </w:rPr>
        <w:t>(</w:t>
      </w:r>
      <w:r w:rsidRPr="007661A7">
        <w:rPr>
          <w:b w:val="0"/>
          <w:sz w:val="18"/>
          <w:szCs w:val="18"/>
          <w:u w:val="none"/>
        </w:rPr>
        <w:t>7</w:t>
      </w:r>
      <w:r>
        <w:rPr>
          <w:b w:val="0"/>
          <w:sz w:val="18"/>
          <w:szCs w:val="18"/>
          <w:u w:val="none"/>
        </w:rPr>
        <w:t>101</w:t>
      </w:r>
      <w:r w:rsidRPr="007661A7">
        <w:rPr>
          <w:b w:val="0"/>
          <w:sz w:val="18"/>
          <w:szCs w:val="18"/>
          <w:u w:val="none"/>
        </w:rPr>
        <w:t>)</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 xml:space="preserve">Renal disease </w:t>
      </w:r>
      <w:r w:rsidRPr="007661A7">
        <w:rPr>
          <w:b w:val="0"/>
          <w:bCs w:val="0"/>
          <w:color w:val="auto"/>
          <w:sz w:val="18"/>
          <w:szCs w:val="18"/>
          <w:u w:val="none"/>
        </w:rPr>
        <w:t>(</w:t>
      </w:r>
      <w:r w:rsidRPr="007661A7">
        <w:rPr>
          <w:b w:val="0"/>
          <w:sz w:val="18"/>
          <w:szCs w:val="18"/>
          <w:u w:val="none"/>
        </w:rPr>
        <w:t>7541)</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 xml:space="preserve">Peripheral vascular disease </w:t>
      </w:r>
      <w:r w:rsidRPr="007661A7">
        <w:rPr>
          <w:b w:val="0"/>
          <w:bCs w:val="0"/>
          <w:color w:val="auto"/>
          <w:sz w:val="18"/>
          <w:szCs w:val="18"/>
          <w:u w:val="none"/>
        </w:rPr>
        <w:t>(</w:t>
      </w:r>
      <w:r>
        <w:rPr>
          <w:b w:val="0"/>
          <w:sz w:val="18"/>
          <w:szCs w:val="18"/>
          <w:u w:val="none"/>
        </w:rPr>
        <w:t>7114, ulcers 7121</w:t>
      </w:r>
      <w:r w:rsidRPr="007661A7">
        <w:rPr>
          <w:b w:val="0"/>
          <w:sz w:val="18"/>
          <w:szCs w:val="18"/>
          <w:u w:val="none"/>
        </w:rPr>
        <w:t>)</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Eye condition(s) other than diabetic retinopathy</w:t>
      </w:r>
    </w:p>
    <w:p w:rsidR="00D275EA" w:rsidRDefault="00D275EA" w:rsidP="00F063AF">
      <w:pPr>
        <w:pStyle w:val="Title"/>
        <w:widowControl w:val="0"/>
        <w:numPr>
          <w:ilvl w:val="0"/>
          <w:numId w:val="234"/>
        </w:numPr>
        <w:jc w:val="left"/>
        <w:rPr>
          <w:b w:val="0"/>
          <w:bCs w:val="0"/>
          <w:color w:val="auto"/>
          <w:sz w:val="22"/>
          <w:szCs w:val="20"/>
          <w:u w:val="none"/>
        </w:rPr>
      </w:pPr>
      <w:r>
        <w:rPr>
          <w:b w:val="0"/>
          <w:bCs w:val="0"/>
          <w:color w:val="auto"/>
          <w:sz w:val="22"/>
          <w:szCs w:val="20"/>
          <w:u w:val="none"/>
        </w:rPr>
        <w:t>Other</w:t>
      </w:r>
    </w:p>
    <w:p w:rsidR="00D275EA" w:rsidRDefault="00D275EA" w:rsidP="00D275EA">
      <w:pPr>
        <w:pStyle w:val="Title"/>
        <w:widowControl w:val="0"/>
        <w:jc w:val="left"/>
        <w:rPr>
          <w:b w:val="0"/>
          <w:bCs w:val="0"/>
          <w:color w:val="auto"/>
          <w:sz w:val="22"/>
          <w:szCs w:val="20"/>
          <w:u w:val="none"/>
        </w:rPr>
      </w:pPr>
    </w:p>
    <w:p w:rsidR="00D275EA" w:rsidRDefault="00D571C5" w:rsidP="00D275EA">
      <w:pPr>
        <w:spacing w:after="120"/>
      </w:pPr>
      <w:hyperlink r:id="rId611" w:history="1">
        <w:r w:rsidR="00D275EA" w:rsidRPr="005A03EA">
          <w:rPr>
            <w:rStyle w:val="Hyperlink"/>
            <w:b/>
            <w:bCs/>
            <w:i/>
          </w:rPr>
          <w:t>March 2016 Quality Call Notes</w:t>
        </w:r>
      </w:hyperlink>
      <w:r w:rsidR="00D275EA" w:rsidRPr="005A03EA">
        <w:rPr>
          <w:bCs/>
        </w:rPr>
        <w:t xml:space="preserve"> –</w:t>
      </w:r>
      <w:r w:rsidR="00D275EA">
        <w:rPr>
          <w:bCs/>
        </w:rPr>
        <w:t xml:space="preserve"> Distinguishes arteriosclerotic manifestations </w:t>
      </w:r>
      <w:r w:rsidR="00D275EA" w:rsidRPr="00A65DB6">
        <w:rPr>
          <w:bCs/>
          <w:u w:val="single"/>
        </w:rPr>
        <w:t>secondary</w:t>
      </w:r>
      <w:r w:rsidR="00D275EA">
        <w:rPr>
          <w:bCs/>
        </w:rPr>
        <w:t xml:space="preserve"> to hypertension (&amp; depression </w:t>
      </w:r>
      <w:r w:rsidR="00D275EA" w:rsidRPr="00A65DB6">
        <w:rPr>
          <w:bCs/>
          <w:u w:val="single"/>
        </w:rPr>
        <w:t>secondary</w:t>
      </w:r>
      <w:r w:rsidR="00D275EA">
        <w:rPr>
          <w:bCs/>
        </w:rPr>
        <w:t xml:space="preserve"> to hearing loss) from diabetic neuropathy as a </w:t>
      </w:r>
      <w:r w:rsidR="00D275EA" w:rsidRPr="00A65DB6">
        <w:rPr>
          <w:bCs/>
          <w:u w:val="single"/>
        </w:rPr>
        <w:t>natural progression</w:t>
      </w:r>
      <w:r w:rsidR="00D275EA">
        <w:rPr>
          <w:bCs/>
        </w:rPr>
        <w:t xml:space="preserve"> of the complicated metabolic disorder of diabetes. 3.157 does not apply to secondary disabilities.</w:t>
      </w:r>
    </w:p>
    <w:p w:rsidR="00D275EA" w:rsidRDefault="00D275EA" w:rsidP="00D275EA">
      <w:pPr>
        <w:pStyle w:val="Title"/>
        <w:widowControl w:val="0"/>
        <w:jc w:val="left"/>
        <w:rPr>
          <w:b w:val="0"/>
          <w:bCs w:val="0"/>
          <w:color w:val="auto"/>
          <w:sz w:val="22"/>
          <w:szCs w:val="20"/>
          <w:u w:val="none"/>
        </w:rPr>
      </w:pPr>
    </w:p>
    <w:p w:rsidR="00D275EA" w:rsidRDefault="00D275EA" w:rsidP="00D275EA">
      <w:pPr>
        <w:pStyle w:val="Title"/>
        <w:widowControl w:val="0"/>
        <w:jc w:val="left"/>
        <w:rPr>
          <w:sz w:val="20"/>
        </w:rPr>
      </w:pPr>
      <w:r>
        <w:rPr>
          <w:sz w:val="20"/>
        </w:rPr>
        <w:t>Diabetes mellitus, diabetic nephropathy and hypertension</w:t>
      </w:r>
    </w:p>
    <w:p w:rsidR="00D275EA" w:rsidRDefault="00D275EA" w:rsidP="00D275EA">
      <w:pPr>
        <w:widowControl w:val="0"/>
        <w:tabs>
          <w:tab w:val="left" w:pos="0"/>
          <w:tab w:val="left" w:pos="144"/>
        </w:tabs>
        <w:rPr>
          <w:i/>
          <w:iCs/>
        </w:rPr>
      </w:pPr>
    </w:p>
    <w:p w:rsidR="00D275EA" w:rsidRDefault="00D275EA" w:rsidP="00D275EA">
      <w:pPr>
        <w:widowControl w:val="0"/>
        <w:tabs>
          <w:tab w:val="left" w:pos="0"/>
          <w:tab w:val="left" w:pos="144"/>
        </w:tabs>
        <w:rPr>
          <w:b/>
        </w:rPr>
      </w:pPr>
      <w:r w:rsidRPr="003272B6">
        <w:rPr>
          <w:b/>
        </w:rPr>
        <w:t>III.iv.6.B.2.b</w:t>
      </w:r>
    </w:p>
    <w:p w:rsidR="00D275EA" w:rsidRDefault="00D275EA" w:rsidP="00D275EA">
      <w:pPr>
        <w:widowControl w:val="0"/>
        <w:tabs>
          <w:tab w:val="left" w:pos="0"/>
          <w:tab w:val="left" w:pos="144"/>
        </w:tabs>
        <w:rPr>
          <w:b/>
        </w:rPr>
      </w:pPr>
    </w:p>
    <w:p w:rsidR="00D275EA" w:rsidRDefault="00D275EA" w:rsidP="00D275EA">
      <w:pPr>
        <w:widowControl w:val="0"/>
        <w:tabs>
          <w:tab w:val="left" w:pos="0"/>
          <w:tab w:val="left" w:pos="144"/>
        </w:tabs>
        <w:rPr>
          <w:i/>
          <w:iCs/>
        </w:rPr>
      </w:pPr>
      <w:r>
        <w:rPr>
          <w:b/>
        </w:rPr>
        <w:t>III.iv.4.</w:t>
      </w:r>
      <w:r w:rsidR="006D16BF">
        <w:rPr>
          <w:b/>
        </w:rPr>
        <w:t>M</w:t>
      </w:r>
      <w:r>
        <w:rPr>
          <w:b/>
        </w:rPr>
        <w:t>.2.e</w:t>
      </w:r>
      <w:r w:rsidR="006D16BF">
        <w:rPr>
          <w:b/>
        </w:rPr>
        <w:t>, III.iv.4.M.2.f, III.iv.4.M.2.</w:t>
      </w:r>
      <w:r>
        <w:rPr>
          <w:b/>
        </w:rPr>
        <w:t>g</w:t>
      </w:r>
    </w:p>
    <w:p w:rsidR="00D275EA" w:rsidRDefault="00D275EA" w:rsidP="00D275EA"/>
    <w:p w:rsidR="00D275EA" w:rsidRPr="006B1049" w:rsidRDefault="00D275EA" w:rsidP="00D275EA">
      <w:pPr>
        <w:pBdr>
          <w:top w:val="single" w:sz="4" w:space="1" w:color="auto"/>
          <w:left w:val="single" w:sz="4" w:space="4" w:color="auto"/>
          <w:bottom w:val="single" w:sz="4" w:space="1" w:color="auto"/>
          <w:right w:val="single" w:sz="4" w:space="4" w:color="auto"/>
        </w:pBdr>
        <w:rPr>
          <w:i/>
        </w:rPr>
      </w:pPr>
      <w:r w:rsidRPr="006B1049">
        <w:rPr>
          <w:i/>
        </w:rPr>
        <w:t>If not claimed, but diagnosed AFTER dx of DM w/diabetic nephropathy &amp; there is an increase in BP readings (or change in treatment) &amp; you are doing a partial grant:</w:t>
      </w:r>
    </w:p>
    <w:p w:rsidR="00D275EA" w:rsidRDefault="00D275EA" w:rsidP="00D275EA">
      <w:pPr>
        <w:pBdr>
          <w:top w:val="single" w:sz="4" w:space="1" w:color="auto"/>
          <w:left w:val="single" w:sz="4" w:space="4" w:color="auto"/>
          <w:bottom w:val="single" w:sz="4" w:space="1" w:color="auto"/>
          <w:right w:val="single" w:sz="4" w:space="4" w:color="auto"/>
        </w:pBdr>
      </w:pPr>
      <w:r>
        <w:t xml:space="preserve">*Select At Once exam under diabetic nephropathy (if it is separated from DM; if diabetic nephropathy is 0% &amp; not separated, do the At Once exam under DM). Add this note to the issue:  </w:t>
      </w:r>
      <w:r w:rsidRPr="004E3D61">
        <w:t>We are requesting a Disability Benefits Questionnaire to confirm your current level of disability.</w:t>
      </w:r>
    </w:p>
    <w:p w:rsidR="00D275EA" w:rsidRDefault="00D275EA" w:rsidP="00D275EA">
      <w:pPr>
        <w:pBdr>
          <w:top w:val="single" w:sz="4" w:space="1" w:color="auto"/>
          <w:left w:val="single" w:sz="4" w:space="4" w:color="auto"/>
          <w:bottom w:val="single" w:sz="4" w:space="1" w:color="auto"/>
          <w:right w:val="single" w:sz="4" w:space="4" w:color="auto"/>
        </w:pBdr>
      </w:pPr>
      <w:r>
        <w:t>*Do NOT defer the issue of hypertension on the rating, as it was not claimed &amp; it’s possible we’ll get a negative aggravation opinion.</w:t>
      </w:r>
    </w:p>
    <w:p w:rsidR="00D275EA" w:rsidRDefault="00D275EA" w:rsidP="00D275EA">
      <w:pPr>
        <w:pBdr>
          <w:top w:val="single" w:sz="4" w:space="1" w:color="auto"/>
          <w:left w:val="single" w:sz="4" w:space="4" w:color="auto"/>
          <w:bottom w:val="single" w:sz="4" w:space="1" w:color="auto"/>
          <w:right w:val="single" w:sz="4" w:space="4" w:color="auto"/>
        </w:pBdr>
      </w:pPr>
      <w:r>
        <w:t>*If the opinion is positive, evaluate diabetic nephropathy (or DM, if applicable) &amp; include hypertension.</w:t>
      </w:r>
    </w:p>
    <w:p w:rsidR="00D275EA" w:rsidRDefault="00D275EA" w:rsidP="00D275EA">
      <w:pPr>
        <w:pBdr>
          <w:top w:val="single" w:sz="4" w:space="1" w:color="auto"/>
          <w:left w:val="single" w:sz="4" w:space="4" w:color="auto"/>
          <w:bottom w:val="single" w:sz="4" w:space="1" w:color="auto"/>
          <w:right w:val="single" w:sz="4" w:space="4" w:color="auto"/>
        </w:pBdr>
      </w:pPr>
      <w:r>
        <w:t>*If the opinion is negative, C&amp;C the diabetic nephropathy evaluation (or the DM evaluation, if applicable).</w:t>
      </w:r>
    </w:p>
    <w:p w:rsidR="00D275EA" w:rsidRPr="0023168D" w:rsidRDefault="00D275EA" w:rsidP="00D275EA"/>
    <w:p w:rsidR="00D275EA" w:rsidRDefault="00D571C5" w:rsidP="00D275EA">
      <w:pPr>
        <w:widowControl w:val="0"/>
        <w:spacing w:after="120"/>
        <w:rPr>
          <w:szCs w:val="16"/>
        </w:rPr>
      </w:pPr>
      <w:hyperlink r:id="rId612" w:history="1">
        <w:r w:rsidR="00D275EA">
          <w:rPr>
            <w:rStyle w:val="Hyperlink"/>
            <w:b/>
            <w:bCs/>
            <w:i/>
            <w:iCs/>
          </w:rPr>
          <w:t>http://epss.vba.va.gov/mepss/</w:t>
        </w:r>
      </w:hyperlink>
      <w:r w:rsidR="00D275EA">
        <w:t xml:space="preserve"> - MEPSS has discussion of diabetes and hypertension</w:t>
      </w:r>
    </w:p>
    <w:p w:rsidR="00D275EA" w:rsidRDefault="00D275EA" w:rsidP="00D275EA">
      <w:pPr>
        <w:widowControl w:val="0"/>
        <w:ind w:right="540"/>
      </w:pPr>
    </w:p>
    <w:p w:rsidR="00D275EA" w:rsidRDefault="00D275EA" w:rsidP="00D275EA">
      <w:pPr>
        <w:widowControl w:val="0"/>
        <w:numPr>
          <w:ilvl w:val="12"/>
          <w:numId w:val="0"/>
        </w:numPr>
        <w:ind w:left="720" w:hanging="720"/>
      </w:pPr>
      <w:r>
        <w:rPr>
          <w:color w:val="FF0000"/>
        </w:rPr>
        <w:t>7914</w:t>
      </w:r>
      <w:r>
        <w:rPr>
          <w:color w:val="FF0000"/>
        </w:rPr>
        <w:tab/>
        <w:t>Neoplasm, malignant, any specified part of the endocrine system</w:t>
      </w:r>
      <w:r>
        <w:t xml:space="preserve"> </w:t>
      </w:r>
    </w:p>
    <w:p w:rsidR="00D275EA" w:rsidRDefault="00D275EA" w:rsidP="00D275EA">
      <w:pPr>
        <w:widowControl w:val="0"/>
        <w:numPr>
          <w:ilvl w:val="12"/>
          <w:numId w:val="0"/>
        </w:numPr>
        <w:ind w:left="720" w:hanging="720"/>
      </w:pPr>
      <w:r>
        <w:t>7915</w:t>
      </w:r>
      <w:r>
        <w:tab/>
        <w:t>Neoplasm, benign, any specified part of the endocrine system</w:t>
      </w:r>
    </w:p>
    <w:p w:rsidR="00D275EA" w:rsidRDefault="00D275EA" w:rsidP="00D275EA">
      <w:pPr>
        <w:widowControl w:val="0"/>
        <w:ind w:right="540"/>
      </w:pPr>
    </w:p>
    <w:p w:rsidR="00D275EA" w:rsidRPr="00E91F9A" w:rsidRDefault="00D275EA" w:rsidP="00D275EA">
      <w:pPr>
        <w:rPr>
          <w:rFonts w:ascii="Tahoma" w:hAnsi="Tahoma" w:cs="Tahoma"/>
        </w:rPr>
      </w:pPr>
      <w:r w:rsidRPr="00E91F9A">
        <w:rPr>
          <w:rFonts w:ascii="Tahoma" w:hAnsi="Tahoma" w:cs="Tahoma"/>
          <w:b/>
          <w:bCs/>
        </w:rPr>
        <w:t>From:</w:t>
      </w:r>
      <w:r w:rsidRPr="00E91F9A">
        <w:rPr>
          <w:rFonts w:ascii="Tahoma" w:hAnsi="Tahoma" w:cs="Tahoma"/>
        </w:rPr>
        <w:t xml:space="preserve"> VAVBASDC/RO/VSC </w:t>
      </w:r>
      <w:r w:rsidRPr="00E91F9A">
        <w:rPr>
          <w:rFonts w:ascii="Tahoma" w:hAnsi="Tahoma" w:cs="Tahoma"/>
        </w:rPr>
        <w:br/>
      </w:r>
      <w:r w:rsidRPr="00E91F9A">
        <w:rPr>
          <w:rFonts w:ascii="Tahoma" w:hAnsi="Tahoma" w:cs="Tahoma"/>
          <w:b/>
          <w:bCs/>
        </w:rPr>
        <w:t>Sent:</w:t>
      </w:r>
      <w:r w:rsidRPr="00E91F9A">
        <w:rPr>
          <w:rFonts w:ascii="Tahoma" w:hAnsi="Tahoma" w:cs="Tahoma"/>
        </w:rPr>
        <w:t xml:space="preserve"> Monday, December 11, 2017 2:32 PM</w:t>
      </w:r>
      <w:r w:rsidRPr="00E91F9A">
        <w:rPr>
          <w:rFonts w:ascii="Tahoma" w:hAnsi="Tahoma" w:cs="Tahoma"/>
        </w:rPr>
        <w:br/>
      </w:r>
      <w:r w:rsidRPr="00E91F9A">
        <w:rPr>
          <w:rFonts w:ascii="Tahoma" w:hAnsi="Tahoma" w:cs="Tahoma"/>
          <w:b/>
          <w:bCs/>
        </w:rPr>
        <w:t>Subject:</w:t>
      </w:r>
      <w:r w:rsidRPr="00E91F9A">
        <w:rPr>
          <w:rFonts w:ascii="Tahoma" w:hAnsi="Tahoma" w:cs="Tahoma"/>
        </w:rPr>
        <w:t xml:space="preserve"> Q-Tip: Revised Rating Schedule Criteria for the Endocrine System</w:t>
      </w:r>
    </w:p>
    <w:p w:rsidR="00D275EA" w:rsidRPr="00E91F9A" w:rsidRDefault="00D275EA" w:rsidP="00D275EA">
      <w:pPr>
        <w:rPr>
          <w:rFonts w:ascii="Calibri" w:eastAsiaTheme="minorHAnsi" w:hAnsi="Calibri" w:cs="Times New Roman"/>
        </w:rPr>
      </w:pPr>
    </w:p>
    <w:p w:rsidR="00D275EA" w:rsidRPr="00E91F9A" w:rsidRDefault="00D275EA" w:rsidP="00D275EA">
      <w:r w:rsidRPr="00E91F9A">
        <w:t>Good afternoon VSC,</w:t>
      </w:r>
    </w:p>
    <w:p w:rsidR="00D275EA" w:rsidRPr="00E91F9A" w:rsidRDefault="00D275EA" w:rsidP="00D275EA"/>
    <w:p w:rsidR="00D275EA" w:rsidRPr="00E91F9A" w:rsidRDefault="00D275EA" w:rsidP="00D275EA">
      <w:r w:rsidRPr="00E91F9A">
        <w:t xml:space="preserve">The Rating Schedule criteria for the Endocrine System, 38 CFR 4.119, was revised </w:t>
      </w:r>
      <w:r w:rsidRPr="00E91F9A">
        <w:rPr>
          <w:b/>
          <w:bCs/>
        </w:rPr>
        <w:t>effective December 10, 2017</w:t>
      </w:r>
      <w:r w:rsidRPr="00E91F9A">
        <w:t>.</w:t>
      </w:r>
    </w:p>
    <w:p w:rsidR="00D275EA" w:rsidRPr="00E91F9A" w:rsidRDefault="00D275EA" w:rsidP="00D275EA"/>
    <w:p w:rsidR="00D275EA" w:rsidRPr="00E91F9A" w:rsidRDefault="00D275EA" w:rsidP="00D275EA">
      <w:r w:rsidRPr="00E91F9A">
        <w:rPr>
          <w:u w:val="single"/>
        </w:rPr>
        <w:t>Overview of Changes</w:t>
      </w:r>
    </w:p>
    <w:p w:rsidR="00D275EA" w:rsidRPr="00E91F9A" w:rsidRDefault="00D275EA" w:rsidP="00D275EA"/>
    <w:p w:rsidR="00D275EA" w:rsidRPr="00E91F9A" w:rsidRDefault="00D275EA" w:rsidP="00F063AF">
      <w:pPr>
        <w:numPr>
          <w:ilvl w:val="0"/>
          <w:numId w:val="398"/>
        </w:numPr>
        <w:overflowPunct/>
        <w:autoSpaceDE/>
        <w:autoSpaceDN/>
        <w:adjustRightInd/>
        <w:textAlignment w:val="auto"/>
      </w:pPr>
      <w:r w:rsidRPr="00E91F9A">
        <w:t xml:space="preserve">Added one new diagnostic code (7906) for thyroiditis </w:t>
      </w:r>
    </w:p>
    <w:p w:rsidR="00D275EA" w:rsidRPr="00E91F9A" w:rsidRDefault="00D275EA" w:rsidP="00F063AF">
      <w:pPr>
        <w:numPr>
          <w:ilvl w:val="0"/>
          <w:numId w:val="398"/>
        </w:numPr>
        <w:overflowPunct/>
        <w:autoSpaceDE/>
        <w:autoSpaceDN/>
        <w:adjustRightInd/>
        <w:textAlignment w:val="auto"/>
      </w:pPr>
      <w:r w:rsidRPr="00E91F9A">
        <w:t>Added new rating criteria to diagnostic codes</w:t>
      </w:r>
    </w:p>
    <w:p w:rsidR="00D275EA" w:rsidRPr="00E91F9A" w:rsidRDefault="00D275EA" w:rsidP="00F063AF">
      <w:pPr>
        <w:numPr>
          <w:ilvl w:val="1"/>
          <w:numId w:val="399"/>
        </w:numPr>
        <w:overflowPunct/>
        <w:autoSpaceDE/>
        <w:autoSpaceDN/>
        <w:adjustRightInd/>
        <w:textAlignment w:val="auto"/>
        <w:rPr>
          <w:rFonts w:eastAsiaTheme="minorHAnsi"/>
        </w:rPr>
      </w:pPr>
      <w:r w:rsidRPr="00E91F9A">
        <w:t>Hyperthyroidism, including, but not limited to, Graves’ disease</w:t>
      </w:r>
    </w:p>
    <w:p w:rsidR="00D275EA" w:rsidRPr="00E91F9A" w:rsidRDefault="00D275EA" w:rsidP="00F063AF">
      <w:pPr>
        <w:numPr>
          <w:ilvl w:val="1"/>
          <w:numId w:val="399"/>
        </w:numPr>
        <w:overflowPunct/>
        <w:autoSpaceDE/>
        <w:autoSpaceDN/>
        <w:adjustRightInd/>
        <w:textAlignment w:val="auto"/>
      </w:pPr>
      <w:r w:rsidRPr="00E91F9A">
        <w:t>Thyroid enlargement, toxic</w:t>
      </w:r>
    </w:p>
    <w:p w:rsidR="00D275EA" w:rsidRPr="00E91F9A" w:rsidRDefault="00D275EA" w:rsidP="00F063AF">
      <w:pPr>
        <w:numPr>
          <w:ilvl w:val="1"/>
          <w:numId w:val="399"/>
        </w:numPr>
        <w:overflowPunct/>
        <w:autoSpaceDE/>
        <w:autoSpaceDN/>
        <w:adjustRightInd/>
        <w:textAlignment w:val="auto"/>
      </w:pPr>
      <w:r w:rsidRPr="00E91F9A">
        <w:t>Thyroid enlargement, non-toxic</w:t>
      </w:r>
    </w:p>
    <w:p w:rsidR="00D275EA" w:rsidRPr="00E91F9A" w:rsidRDefault="00D275EA" w:rsidP="00F063AF">
      <w:pPr>
        <w:numPr>
          <w:ilvl w:val="1"/>
          <w:numId w:val="399"/>
        </w:numPr>
        <w:overflowPunct/>
        <w:autoSpaceDE/>
        <w:autoSpaceDN/>
        <w:adjustRightInd/>
        <w:textAlignment w:val="auto"/>
      </w:pPr>
      <w:r w:rsidRPr="00E91F9A">
        <w:t>Hypothyroidism</w:t>
      </w:r>
    </w:p>
    <w:p w:rsidR="00D275EA" w:rsidRPr="00E91F9A" w:rsidRDefault="00D275EA" w:rsidP="00F063AF">
      <w:pPr>
        <w:numPr>
          <w:ilvl w:val="1"/>
          <w:numId w:val="399"/>
        </w:numPr>
        <w:overflowPunct/>
        <w:autoSpaceDE/>
        <w:autoSpaceDN/>
        <w:adjustRightInd/>
        <w:textAlignment w:val="auto"/>
      </w:pPr>
      <w:r w:rsidRPr="00E91F9A">
        <w:t>Hyperparathyroidism</w:t>
      </w:r>
    </w:p>
    <w:p w:rsidR="00D275EA" w:rsidRPr="00E91F9A" w:rsidRDefault="00D275EA" w:rsidP="00F063AF">
      <w:pPr>
        <w:numPr>
          <w:ilvl w:val="1"/>
          <w:numId w:val="399"/>
        </w:numPr>
        <w:overflowPunct/>
        <w:autoSpaceDE/>
        <w:autoSpaceDN/>
        <w:adjustRightInd/>
        <w:textAlignment w:val="auto"/>
      </w:pPr>
      <w:r w:rsidRPr="00E91F9A">
        <w:t>Hypoparathyroidism</w:t>
      </w:r>
    </w:p>
    <w:p w:rsidR="00D275EA" w:rsidRPr="00E91F9A" w:rsidRDefault="00D275EA" w:rsidP="00F063AF">
      <w:pPr>
        <w:numPr>
          <w:ilvl w:val="1"/>
          <w:numId w:val="399"/>
        </w:numPr>
        <w:overflowPunct/>
        <w:autoSpaceDE/>
        <w:autoSpaceDN/>
        <w:adjustRightInd/>
        <w:textAlignment w:val="auto"/>
      </w:pPr>
      <w:r w:rsidRPr="00E91F9A">
        <w:t>Cushing’s Syndrome</w:t>
      </w:r>
    </w:p>
    <w:p w:rsidR="00D275EA" w:rsidRPr="00E91F9A" w:rsidRDefault="00D275EA" w:rsidP="00F063AF">
      <w:pPr>
        <w:numPr>
          <w:ilvl w:val="1"/>
          <w:numId w:val="399"/>
        </w:numPr>
        <w:overflowPunct/>
        <w:autoSpaceDE/>
        <w:autoSpaceDN/>
        <w:adjustRightInd/>
        <w:textAlignment w:val="auto"/>
      </w:pPr>
      <w:r w:rsidRPr="00E91F9A">
        <w:t>Acromegaly</w:t>
      </w:r>
    </w:p>
    <w:p w:rsidR="00D275EA" w:rsidRPr="00E91F9A" w:rsidRDefault="00D275EA" w:rsidP="00F063AF">
      <w:pPr>
        <w:numPr>
          <w:ilvl w:val="1"/>
          <w:numId w:val="399"/>
        </w:numPr>
        <w:overflowPunct/>
        <w:autoSpaceDE/>
        <w:autoSpaceDN/>
        <w:adjustRightInd/>
        <w:textAlignment w:val="auto"/>
      </w:pPr>
      <w:r w:rsidRPr="00E91F9A">
        <w:t>Diabetes Insipidus</w:t>
      </w:r>
    </w:p>
    <w:p w:rsidR="00D275EA" w:rsidRPr="00E91F9A" w:rsidRDefault="00D275EA" w:rsidP="00F063AF">
      <w:pPr>
        <w:numPr>
          <w:ilvl w:val="0"/>
          <w:numId w:val="398"/>
        </w:numPr>
        <w:overflowPunct/>
        <w:autoSpaceDE/>
        <w:autoSpaceDN/>
        <w:adjustRightInd/>
        <w:textAlignment w:val="auto"/>
      </w:pPr>
      <w:r w:rsidRPr="00E91F9A">
        <w:t>Added notes to diagnostic codes for further clarification</w:t>
      </w:r>
    </w:p>
    <w:p w:rsidR="00D275EA" w:rsidRPr="00E91F9A" w:rsidRDefault="00D275EA" w:rsidP="00F063AF">
      <w:pPr>
        <w:numPr>
          <w:ilvl w:val="0"/>
          <w:numId w:val="398"/>
        </w:numPr>
        <w:overflowPunct/>
        <w:autoSpaceDE/>
        <w:autoSpaceDN/>
        <w:adjustRightInd/>
        <w:textAlignment w:val="auto"/>
      </w:pPr>
      <w:r w:rsidRPr="00E91F9A">
        <w:t>Name changes to several diagnostic codes to reflect current medical terminology</w:t>
      </w:r>
    </w:p>
    <w:p w:rsidR="00D275EA" w:rsidRPr="00E91F9A" w:rsidRDefault="00D275EA" w:rsidP="00F063AF">
      <w:pPr>
        <w:numPr>
          <w:ilvl w:val="1"/>
          <w:numId w:val="400"/>
        </w:numPr>
        <w:overflowPunct/>
        <w:autoSpaceDE/>
        <w:autoSpaceDN/>
        <w:adjustRightInd/>
        <w:textAlignment w:val="auto"/>
        <w:rPr>
          <w:rFonts w:eastAsiaTheme="minorHAnsi"/>
        </w:rPr>
      </w:pPr>
      <w:r w:rsidRPr="00E91F9A">
        <w:t>Hyperthyroidism changed to Hyperthyroidism, including, but not limited to, Graves’ disease</w:t>
      </w:r>
    </w:p>
    <w:p w:rsidR="00D275EA" w:rsidRPr="00E91F9A" w:rsidRDefault="00D275EA" w:rsidP="00F063AF">
      <w:pPr>
        <w:numPr>
          <w:ilvl w:val="1"/>
          <w:numId w:val="400"/>
        </w:numPr>
        <w:overflowPunct/>
        <w:autoSpaceDE/>
        <w:autoSpaceDN/>
        <w:adjustRightInd/>
        <w:textAlignment w:val="auto"/>
      </w:pPr>
      <w:r w:rsidRPr="00E91F9A">
        <w:t>Thyroid gland, toxic adenoma of changed to Thyroid enlargement, toxic</w:t>
      </w:r>
    </w:p>
    <w:p w:rsidR="00D275EA" w:rsidRPr="00E91F9A" w:rsidRDefault="00D275EA" w:rsidP="00F063AF">
      <w:pPr>
        <w:numPr>
          <w:ilvl w:val="1"/>
          <w:numId w:val="400"/>
        </w:numPr>
        <w:overflowPunct/>
        <w:autoSpaceDE/>
        <w:autoSpaceDN/>
        <w:adjustRightInd/>
        <w:textAlignment w:val="auto"/>
      </w:pPr>
      <w:r w:rsidRPr="00E91F9A">
        <w:t>Thyroid gland, non-toxic adenoma of changed to Thyroid enlargement, non-toxic</w:t>
      </w:r>
    </w:p>
    <w:p w:rsidR="00D275EA" w:rsidRPr="00E91F9A" w:rsidRDefault="00D275EA" w:rsidP="00F063AF">
      <w:pPr>
        <w:numPr>
          <w:ilvl w:val="1"/>
          <w:numId w:val="400"/>
        </w:numPr>
        <w:overflowPunct/>
        <w:autoSpaceDE/>
        <w:autoSpaceDN/>
        <w:adjustRightInd/>
        <w:textAlignment w:val="auto"/>
      </w:pPr>
      <w:r w:rsidRPr="00E91F9A">
        <w:t>Addison’s disease (Adrenal Cortical Hypofunction) changed to Addison’s disease (adrenocortical insufficiency)</w:t>
      </w:r>
    </w:p>
    <w:p w:rsidR="00D275EA" w:rsidRPr="00E91F9A" w:rsidRDefault="00D275EA" w:rsidP="00F063AF">
      <w:pPr>
        <w:numPr>
          <w:ilvl w:val="1"/>
          <w:numId w:val="400"/>
        </w:numPr>
        <w:overflowPunct/>
        <w:autoSpaceDE/>
        <w:autoSpaceDN/>
        <w:adjustRightInd/>
        <w:textAlignment w:val="auto"/>
      </w:pPr>
      <w:r w:rsidRPr="00E91F9A">
        <w:t xml:space="preserve">Polyglandular syndrome changed to Polyglandular syndrome (multiple endocrine neoplasia, autoimmune polyglandular syndrome) </w:t>
      </w:r>
    </w:p>
    <w:p w:rsidR="00D275EA" w:rsidRPr="00E91F9A" w:rsidRDefault="00D275EA" w:rsidP="00F063AF">
      <w:pPr>
        <w:numPr>
          <w:ilvl w:val="0"/>
          <w:numId w:val="398"/>
        </w:numPr>
        <w:overflowPunct/>
        <w:autoSpaceDE/>
        <w:autoSpaceDN/>
        <w:adjustRightInd/>
        <w:textAlignment w:val="auto"/>
      </w:pPr>
      <w:r w:rsidRPr="00E91F9A">
        <w:t xml:space="preserve">Added clarification regarding injection of insulin (from “Requiring insulin” to “Requiring one or more daily injection of insulin”) to diagnostic code 7913 Diabetes Mellitus (this did not require a change to the Diabetes Mellitus DBQ) </w:t>
      </w:r>
    </w:p>
    <w:p w:rsidR="00D275EA" w:rsidRPr="00E91F9A" w:rsidRDefault="00D275EA" w:rsidP="00D275EA">
      <w:pPr>
        <w:rPr>
          <w:rFonts w:eastAsiaTheme="minorHAnsi"/>
        </w:rPr>
      </w:pPr>
    </w:p>
    <w:p w:rsidR="00D275EA" w:rsidRPr="00E91F9A" w:rsidRDefault="00D275EA" w:rsidP="00D275EA">
      <w:r w:rsidRPr="00E91F9A">
        <w:t xml:space="preserve">The revised evaluation criteria can be viewed </w:t>
      </w:r>
      <w:hyperlink r:id="rId613" w:history="1">
        <w:r w:rsidRPr="00E91F9A">
          <w:rPr>
            <w:rStyle w:val="Hyperlink"/>
          </w:rPr>
          <w:t>here</w:t>
        </w:r>
      </w:hyperlink>
      <w:r w:rsidRPr="00E91F9A">
        <w:t xml:space="preserve"> (pdf version) and soon at </w:t>
      </w:r>
      <w:hyperlink r:id="rId614" w:history="1">
        <w:r w:rsidRPr="00E91F9A">
          <w:rPr>
            <w:rStyle w:val="Hyperlink"/>
          </w:rPr>
          <w:t>e-CFR</w:t>
        </w:r>
      </w:hyperlink>
      <w:r w:rsidRPr="00E91F9A">
        <w:t xml:space="preserve"> (if not so already).</w:t>
      </w:r>
    </w:p>
    <w:p w:rsidR="00D275EA" w:rsidRPr="00E91F9A" w:rsidRDefault="00D275EA" w:rsidP="00D275EA"/>
    <w:p w:rsidR="00D275EA" w:rsidRPr="00E91F9A" w:rsidRDefault="00D275EA" w:rsidP="00D275EA">
      <w:pPr>
        <w:rPr>
          <w:u w:val="single"/>
        </w:rPr>
      </w:pPr>
      <w:r w:rsidRPr="00E91F9A">
        <w:rPr>
          <w:u w:val="single"/>
        </w:rPr>
        <w:t>M21-1 Updates</w:t>
      </w:r>
    </w:p>
    <w:p w:rsidR="00D275EA" w:rsidRPr="00E91F9A" w:rsidRDefault="00D275EA" w:rsidP="00D275EA"/>
    <w:p w:rsidR="00D275EA" w:rsidRPr="00E91F9A" w:rsidRDefault="00D275EA" w:rsidP="00D275EA">
      <w:r w:rsidRPr="00E91F9A">
        <w:t xml:space="preserve">The manual was updated at </w:t>
      </w:r>
      <w:r w:rsidRPr="00E91F9A">
        <w:rPr>
          <w:b/>
          <w:bCs/>
          <w:color w:val="000000"/>
        </w:rPr>
        <w:t>M21-III.iv.4.M</w:t>
      </w:r>
      <w:r w:rsidRPr="00E91F9A">
        <w:rPr>
          <w:color w:val="000000"/>
        </w:rPr>
        <w:t xml:space="preserve"> </w:t>
      </w:r>
      <w:r w:rsidRPr="00E91F9A">
        <w:t>on December 11, 2017 to consider these changes, to include:</w:t>
      </w:r>
    </w:p>
    <w:p w:rsidR="00D275EA" w:rsidRPr="00E91F9A" w:rsidRDefault="00D275EA" w:rsidP="00D275EA"/>
    <w:p w:rsidR="00D275EA" w:rsidRPr="00E91F9A" w:rsidRDefault="00D275EA" w:rsidP="00F063AF">
      <w:pPr>
        <w:numPr>
          <w:ilvl w:val="0"/>
          <w:numId w:val="401"/>
        </w:numPr>
        <w:overflowPunct/>
        <w:autoSpaceDE/>
        <w:autoSpaceDN/>
        <w:adjustRightInd/>
        <w:textAlignment w:val="auto"/>
      </w:pPr>
      <w:r w:rsidRPr="00E91F9A">
        <w:t>Updated diabetes mellitus criterion</w:t>
      </w:r>
    </w:p>
    <w:p w:rsidR="00D275EA" w:rsidRPr="00E91F9A" w:rsidRDefault="00D275EA" w:rsidP="00F063AF">
      <w:pPr>
        <w:numPr>
          <w:ilvl w:val="0"/>
          <w:numId w:val="401"/>
        </w:numPr>
        <w:overflowPunct/>
        <w:autoSpaceDE/>
        <w:autoSpaceDN/>
        <w:adjustRightInd/>
        <w:textAlignment w:val="auto"/>
      </w:pPr>
      <w:r w:rsidRPr="00E91F9A">
        <w:t>Updated the definition of hyperthyroidism</w:t>
      </w:r>
    </w:p>
    <w:p w:rsidR="00D275EA" w:rsidRPr="00E91F9A" w:rsidRDefault="00D275EA" w:rsidP="00F063AF">
      <w:pPr>
        <w:numPr>
          <w:ilvl w:val="0"/>
          <w:numId w:val="401"/>
        </w:numPr>
        <w:overflowPunct/>
        <w:autoSpaceDE/>
        <w:autoSpaceDN/>
        <w:adjustRightInd/>
        <w:textAlignment w:val="auto"/>
      </w:pPr>
      <w:r w:rsidRPr="00E91F9A">
        <w:t>Added a definition for hypothyroidism</w:t>
      </w:r>
    </w:p>
    <w:p w:rsidR="00D275EA" w:rsidRPr="00E91F9A" w:rsidRDefault="00D275EA" w:rsidP="00F063AF">
      <w:pPr>
        <w:numPr>
          <w:ilvl w:val="0"/>
          <w:numId w:val="401"/>
        </w:numPr>
        <w:overflowPunct/>
        <w:autoSpaceDE/>
        <w:autoSpaceDN/>
        <w:adjustRightInd/>
        <w:textAlignment w:val="auto"/>
      </w:pPr>
      <w:r w:rsidRPr="00E91F9A">
        <w:t>Added a new block with guidance on evaluating thyroid disabilities</w:t>
      </w:r>
    </w:p>
    <w:p w:rsidR="00D275EA" w:rsidRPr="00E91F9A" w:rsidRDefault="00D275EA" w:rsidP="00F063AF">
      <w:pPr>
        <w:numPr>
          <w:ilvl w:val="0"/>
          <w:numId w:val="401"/>
        </w:numPr>
        <w:overflowPunct/>
        <w:autoSpaceDE/>
        <w:autoSpaceDN/>
        <w:adjustRightInd/>
        <w:textAlignment w:val="auto"/>
      </w:pPr>
      <w:r w:rsidRPr="00E91F9A">
        <w:t>Updated guidance on rating nontoxic thyroid enlargement</w:t>
      </w:r>
    </w:p>
    <w:p w:rsidR="00D275EA" w:rsidRPr="00E91F9A" w:rsidRDefault="00D275EA" w:rsidP="00F063AF">
      <w:pPr>
        <w:numPr>
          <w:ilvl w:val="0"/>
          <w:numId w:val="401"/>
        </w:numPr>
        <w:overflowPunct/>
        <w:autoSpaceDE/>
        <w:autoSpaceDN/>
        <w:adjustRightInd/>
        <w:textAlignment w:val="auto"/>
      </w:pPr>
      <w:r w:rsidRPr="00E91F9A">
        <w:t>Added a new block with a definition for myxedema</w:t>
      </w:r>
    </w:p>
    <w:p w:rsidR="00D275EA" w:rsidRPr="00E91F9A" w:rsidRDefault="00D275EA" w:rsidP="00F063AF">
      <w:pPr>
        <w:numPr>
          <w:ilvl w:val="0"/>
          <w:numId w:val="401"/>
        </w:numPr>
        <w:overflowPunct/>
        <w:autoSpaceDE/>
        <w:autoSpaceDN/>
        <w:adjustRightInd/>
        <w:textAlignment w:val="auto"/>
      </w:pPr>
      <w:r w:rsidRPr="00E91F9A">
        <w:t xml:space="preserve">Added a new block with guidance on disability evaluations and changes in the endocrine rating schedule, to include a note that the new rating schedule changes are </w:t>
      </w:r>
      <w:r w:rsidRPr="00E91F9A">
        <w:rPr>
          <w:b/>
          <w:bCs/>
          <w:u w:val="single"/>
        </w:rPr>
        <w:t>not</w:t>
      </w:r>
      <w:r w:rsidRPr="00E91F9A">
        <w:t xml:space="preserve"> considered liberalizing</w:t>
      </w:r>
    </w:p>
    <w:p w:rsidR="00D275EA" w:rsidRPr="00E91F9A" w:rsidRDefault="00D275EA" w:rsidP="00D275EA">
      <w:pPr>
        <w:rPr>
          <w:rFonts w:eastAsiaTheme="minorHAnsi"/>
        </w:rPr>
      </w:pPr>
    </w:p>
    <w:p w:rsidR="00D275EA" w:rsidRPr="00E91F9A" w:rsidRDefault="00D275EA" w:rsidP="00D275EA">
      <w:r w:rsidRPr="00E91F9A">
        <w:t xml:space="preserve">If a Veteran’s claim was pending or there was an Intent to File (ITF) notice received by VA at the time of regulation’s effective date (December 10, 2017), then the claim must be considered under both previous and new rating criteria.  For handling claims when there are regulatory changes, see </w:t>
      </w:r>
      <w:r w:rsidRPr="00E91F9A">
        <w:rPr>
          <w:b/>
          <w:bCs/>
        </w:rPr>
        <w:t xml:space="preserve">M21-1 </w:t>
      </w:r>
      <w:r w:rsidRPr="00E91F9A">
        <w:rPr>
          <w:b/>
          <w:bCs/>
          <w:color w:val="000000"/>
        </w:rPr>
        <w:t>III.iv.5.C.7.k</w:t>
      </w:r>
      <w:r w:rsidRPr="00E91F9A">
        <w:t>.</w:t>
      </w:r>
    </w:p>
    <w:p w:rsidR="00D275EA" w:rsidRPr="00E91F9A" w:rsidRDefault="00D275EA" w:rsidP="00D275EA"/>
    <w:p w:rsidR="00D275EA" w:rsidRPr="00E91F9A" w:rsidRDefault="00D275EA" w:rsidP="00D275EA">
      <w:pPr>
        <w:rPr>
          <w:u w:val="single"/>
        </w:rPr>
      </w:pPr>
      <w:r w:rsidRPr="00E91F9A">
        <w:rPr>
          <w:u w:val="single"/>
        </w:rPr>
        <w:t>DBQs</w:t>
      </w:r>
    </w:p>
    <w:p w:rsidR="00D275EA" w:rsidRPr="00E91F9A" w:rsidRDefault="00D275EA" w:rsidP="00D275EA"/>
    <w:p w:rsidR="00D275EA" w:rsidRPr="00E91F9A" w:rsidRDefault="00D275EA" w:rsidP="00D275EA">
      <w:pPr>
        <w:rPr>
          <w:color w:val="000000"/>
        </w:rPr>
      </w:pPr>
      <w:r w:rsidRPr="00E91F9A">
        <w:t>Updated DBQs for “</w:t>
      </w:r>
      <w:r w:rsidRPr="00E91F9A">
        <w:rPr>
          <w:color w:val="000000"/>
        </w:rPr>
        <w:t>ENDO Endocrine Miscellaneous</w:t>
      </w:r>
      <w:r w:rsidRPr="00E91F9A">
        <w:t>” and “</w:t>
      </w:r>
      <w:r w:rsidRPr="00E91F9A">
        <w:rPr>
          <w:color w:val="000000"/>
        </w:rPr>
        <w:t>ENDO Thyroid &amp; Parathyroid</w:t>
      </w:r>
      <w:r w:rsidRPr="00E91F9A">
        <w:t xml:space="preserve">” were scheduled to be pushed to VHA C&amp;P sites on </w:t>
      </w:r>
      <w:r w:rsidRPr="00E91F9A">
        <w:rPr>
          <w:color w:val="000000"/>
        </w:rPr>
        <w:t xml:space="preserve">December 10, 2017.  The new DBQs for Contract and Internal Use can be viewed on the </w:t>
      </w:r>
      <w:hyperlink r:id="rId615" w:history="1">
        <w:r w:rsidRPr="00E91F9A">
          <w:rPr>
            <w:rStyle w:val="Hyperlink"/>
          </w:rPr>
          <w:t>DBQ Switchboard</w:t>
        </w:r>
      </w:hyperlink>
      <w:r w:rsidRPr="00E91F9A">
        <w:rPr>
          <w:color w:val="000000"/>
        </w:rPr>
        <w:t>.  I</w:t>
      </w:r>
      <w:r w:rsidRPr="00E91F9A">
        <w:t xml:space="preserve">n the additional exam remarks field in the Examination Request Builder (ERB), continue to enter the intent to file (ITF) date as this will alert the examiner whether historical DBQ information must be provided.  </w:t>
      </w:r>
    </w:p>
    <w:p w:rsidR="00D275EA" w:rsidRPr="00E91F9A" w:rsidRDefault="00D275EA" w:rsidP="00D275EA"/>
    <w:p w:rsidR="00D275EA" w:rsidRPr="00E91F9A" w:rsidRDefault="00D275EA" w:rsidP="00D275EA">
      <w:pPr>
        <w:rPr>
          <w:u w:val="single"/>
        </w:rPr>
      </w:pPr>
      <w:r w:rsidRPr="00E91F9A">
        <w:rPr>
          <w:u w:val="single"/>
        </w:rPr>
        <w:t>VBMS-R</w:t>
      </w:r>
    </w:p>
    <w:p w:rsidR="00D275EA" w:rsidRPr="00E91F9A" w:rsidRDefault="00D275EA" w:rsidP="00D275EA"/>
    <w:p w:rsidR="00D275EA" w:rsidRPr="00E91F9A" w:rsidRDefault="00D275EA" w:rsidP="00D275EA">
      <w:pPr>
        <w:rPr>
          <w:color w:val="000000"/>
        </w:rPr>
      </w:pPr>
      <w:r w:rsidRPr="00E91F9A">
        <w:rPr>
          <w:color w:val="000000"/>
        </w:rPr>
        <w:t xml:space="preserve">VBMS-R was also updated on December 10, 2017 to allow for rating consideration for endocrine conditions across multiple schedules.  See slides 2-5 of the </w:t>
      </w:r>
      <w:hyperlink r:id="rId616" w:history="1">
        <w:r w:rsidRPr="00E91F9A">
          <w:rPr>
            <w:rStyle w:val="Hyperlink"/>
          </w:rPr>
          <w:t>training deck</w:t>
        </w:r>
      </w:hyperlink>
      <w:r w:rsidRPr="00E91F9A">
        <w:rPr>
          <w:color w:val="000000"/>
        </w:rPr>
        <w:t xml:space="preserve">. </w:t>
      </w:r>
    </w:p>
    <w:p w:rsidR="00D275EA" w:rsidRPr="00E91F9A" w:rsidRDefault="00D275EA" w:rsidP="00D275EA"/>
    <w:p w:rsidR="00D275EA" w:rsidRPr="00E91F9A" w:rsidRDefault="00D275EA" w:rsidP="00D275EA">
      <w:r w:rsidRPr="00E91F9A">
        <w:t>Please note: RQRSs will also discuss this topic in upcoming team huddles.</w:t>
      </w:r>
    </w:p>
    <w:p w:rsidR="00D275EA" w:rsidRPr="00E91F9A" w:rsidRDefault="00D275EA" w:rsidP="00F063AF">
      <w:pPr>
        <w:numPr>
          <w:ilvl w:val="0"/>
          <w:numId w:val="402"/>
        </w:numPr>
        <w:overflowPunct/>
        <w:autoSpaceDE/>
        <w:autoSpaceDN/>
        <w:adjustRightInd/>
        <w:textAlignment w:val="auto"/>
      </w:pPr>
      <w:r w:rsidRPr="00E91F9A">
        <w:t>Questions on VBMS-R should be referred to your Coach or team Super-User.</w:t>
      </w:r>
    </w:p>
    <w:p w:rsidR="00D275EA" w:rsidRPr="00E91F9A" w:rsidRDefault="00D275EA" w:rsidP="00F063AF">
      <w:pPr>
        <w:numPr>
          <w:ilvl w:val="0"/>
          <w:numId w:val="402"/>
        </w:numPr>
        <w:overflowPunct/>
        <w:autoSpaceDE/>
        <w:autoSpaceDN/>
        <w:adjustRightInd/>
        <w:textAlignment w:val="auto"/>
      </w:pPr>
      <w:r w:rsidRPr="00E91F9A">
        <w:t>Questions on the Rating Schedule changes may be referred to your Coach or SME.</w:t>
      </w:r>
    </w:p>
    <w:p w:rsidR="00D275EA" w:rsidRDefault="00D275EA" w:rsidP="00D275EA">
      <w:pPr>
        <w:widowControl w:val="0"/>
        <w:pBdr>
          <w:bottom w:val="single" w:sz="4" w:space="1" w:color="auto"/>
        </w:pBdr>
        <w:ind w:right="540"/>
      </w:pPr>
    </w:p>
    <w:p w:rsidR="00D275EA" w:rsidRDefault="00D275EA">
      <w:pPr>
        <w:overflowPunct/>
        <w:autoSpaceDE/>
        <w:autoSpaceDN/>
        <w:adjustRightInd/>
        <w:textAlignment w:val="auto"/>
      </w:pPr>
    </w:p>
    <w:p w:rsidR="00D275EA" w:rsidRDefault="00D275EA">
      <w:pPr>
        <w:overflowPunct/>
        <w:autoSpaceDE/>
        <w:autoSpaceDN/>
        <w:adjustRightInd/>
        <w:textAlignment w:val="auto"/>
      </w:pPr>
      <w:r>
        <w:br w:type="page"/>
      </w:r>
    </w:p>
    <w:p w:rsidR="00D275EA" w:rsidRDefault="00D275EA"/>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rsidTr="0093236F">
        <w:trPr>
          <w:trHeight w:val="284"/>
        </w:trPr>
        <w:tc>
          <w:tcPr>
            <w:tcW w:w="10975" w:type="dxa"/>
            <w:gridSpan w:val="2"/>
            <w:tcBorders>
              <w:top w:val="single" w:sz="4" w:space="0" w:color="auto"/>
              <w:left w:val="nil"/>
              <w:bottom w:val="nil"/>
              <w:right w:val="nil"/>
            </w:tcBorders>
          </w:tcPr>
          <w:p w:rsidR="00013EB8" w:rsidRDefault="00013EB8">
            <w:pPr>
              <w:widowControl w:val="0"/>
              <w:numPr>
                <w:ilvl w:val="12"/>
                <w:numId w:val="0"/>
              </w:numPr>
              <w:jc w:val="center"/>
              <w:rPr>
                <w:b/>
                <w:i/>
                <w:color w:val="FF0000"/>
              </w:rPr>
            </w:pPr>
            <w:bookmarkStart w:id="134" w:name="Part4Neuro"/>
            <w:r>
              <w:rPr>
                <w:b/>
              </w:rPr>
              <w:br w:type="page"/>
            </w:r>
            <w:r>
              <w:rPr>
                <w:b/>
                <w:color w:val="FF0000"/>
              </w:rPr>
              <w:t xml:space="preserve">4.120 - 4.124a. </w:t>
            </w:r>
            <w:r>
              <w:rPr>
                <w:b/>
                <w:i/>
                <w:color w:val="FF0000"/>
              </w:rPr>
              <w:t>Neurological Conditions and Convulsive Disorders</w:t>
            </w:r>
          </w:p>
          <w:p w:rsidR="0093236F" w:rsidRPr="007E7D3D" w:rsidRDefault="0093236F" w:rsidP="0093236F">
            <w:pPr>
              <w:pStyle w:val="Heading8"/>
              <w:keepNext w:val="0"/>
              <w:widowControl w:val="0"/>
              <w:numPr>
                <w:ilvl w:val="12"/>
                <w:numId w:val="0"/>
              </w:numPr>
              <w:rPr>
                <w:b/>
                <w:bCs/>
                <w:i w:val="0"/>
                <w:iCs w:val="0"/>
                <w:sz w:val="20"/>
              </w:rPr>
            </w:pPr>
            <w:r>
              <w:rPr>
                <w:b/>
                <w:bCs/>
                <w:i w:val="0"/>
                <w:iCs w:val="0"/>
                <w:sz w:val="20"/>
              </w:rPr>
              <w:t>III.iv.4.N</w:t>
            </w:r>
          </w:p>
          <w:p w:rsidR="0093236F" w:rsidRDefault="0093236F">
            <w:pPr>
              <w:widowControl w:val="0"/>
              <w:numPr>
                <w:ilvl w:val="12"/>
                <w:numId w:val="0"/>
              </w:numPr>
              <w:jc w:val="center"/>
              <w:rPr>
                <w:b/>
                <w:color w:val="FF0000"/>
              </w:rPr>
            </w:pPr>
          </w:p>
        </w:tc>
      </w:tr>
      <w:bookmarkEnd w:id="134"/>
      <w:tr w:rsidR="00013EB8">
        <w:trPr>
          <w:trHeight w:val="266"/>
        </w:trPr>
        <w:tc>
          <w:tcPr>
            <w:tcW w:w="705" w:type="dxa"/>
            <w:tcBorders>
              <w:top w:val="nil"/>
              <w:left w:val="nil"/>
              <w:bottom w:val="nil"/>
              <w:right w:val="nil"/>
            </w:tcBorders>
          </w:tcPr>
          <w:p w:rsidR="00013EB8" w:rsidRDefault="00013EB8">
            <w:pPr>
              <w:widowControl w:val="0"/>
              <w:numPr>
                <w:ilvl w:val="12"/>
                <w:numId w:val="0"/>
              </w:numPr>
              <w:rPr>
                <w:b/>
                <w:iCs/>
              </w:rPr>
            </w:pPr>
            <w:r w:rsidRPr="007A4B37">
              <w:rPr>
                <w:b/>
                <w:iCs/>
              </w:rPr>
              <w:t>4.120</w:t>
            </w:r>
          </w:p>
        </w:tc>
        <w:tc>
          <w:tcPr>
            <w:tcW w:w="10270" w:type="dxa"/>
            <w:tcBorders>
              <w:top w:val="nil"/>
              <w:left w:val="nil"/>
              <w:bottom w:val="nil"/>
              <w:right w:val="nil"/>
            </w:tcBorders>
          </w:tcPr>
          <w:p w:rsidR="00013EB8" w:rsidRDefault="00013EB8">
            <w:pPr>
              <w:widowControl w:val="0"/>
              <w:numPr>
                <w:ilvl w:val="12"/>
                <w:numId w:val="0"/>
              </w:numPr>
            </w:pPr>
            <w:r>
              <w:rPr>
                <w:b/>
              </w:rPr>
              <w:t xml:space="preserve">Evaluations by comparison </w:t>
            </w:r>
            <w:r>
              <w:t>– rate in proportion to motor, sensory or mental impairment</w:t>
            </w:r>
          </w:p>
        </w:tc>
      </w:tr>
      <w:tr w:rsidR="00013EB8">
        <w:trPr>
          <w:trHeight w:val="284"/>
        </w:trPr>
        <w:tc>
          <w:tcPr>
            <w:tcW w:w="705" w:type="dxa"/>
            <w:tcBorders>
              <w:top w:val="nil"/>
              <w:left w:val="nil"/>
              <w:bottom w:val="nil"/>
              <w:right w:val="nil"/>
            </w:tcBorders>
          </w:tcPr>
          <w:p w:rsidR="00013EB8" w:rsidRDefault="00013EB8">
            <w:pPr>
              <w:widowControl w:val="0"/>
              <w:numPr>
                <w:ilvl w:val="12"/>
                <w:numId w:val="0"/>
              </w:numPr>
              <w:rPr>
                <w:b/>
              </w:rPr>
            </w:pPr>
            <w:r w:rsidRPr="007A4B37">
              <w:rPr>
                <w:b/>
                <w:iCs/>
              </w:rPr>
              <w:t>4.121</w:t>
            </w:r>
          </w:p>
        </w:tc>
        <w:tc>
          <w:tcPr>
            <w:tcW w:w="10270" w:type="dxa"/>
            <w:tcBorders>
              <w:top w:val="nil"/>
              <w:left w:val="nil"/>
              <w:bottom w:val="nil"/>
              <w:right w:val="nil"/>
            </w:tcBorders>
          </w:tcPr>
          <w:p w:rsidR="00013EB8" w:rsidRDefault="00013EB8">
            <w:pPr>
              <w:widowControl w:val="0"/>
              <w:numPr>
                <w:ilvl w:val="12"/>
                <w:numId w:val="0"/>
              </w:numPr>
            </w:pPr>
            <w:r>
              <w:rPr>
                <w:b/>
              </w:rPr>
              <w:t>Identification of epilepsy</w:t>
            </w:r>
            <w:r>
              <w:t xml:space="preserve"> – need neurological observation in hospital if there is doubt to the nature, seizure needs to be witnessed or verified by a Physician</w:t>
            </w:r>
            <w:r w:rsidR="000A31FF">
              <w:t xml:space="preserve">, </w:t>
            </w:r>
            <w:r w:rsidR="00526485">
              <w:rPr>
                <w:b/>
              </w:rPr>
              <w:t>III.iv.4.N</w:t>
            </w:r>
          </w:p>
        </w:tc>
      </w:tr>
      <w:tr w:rsidR="00013EB8">
        <w:trPr>
          <w:trHeight w:val="266"/>
        </w:trPr>
        <w:tc>
          <w:tcPr>
            <w:tcW w:w="705" w:type="dxa"/>
            <w:tcBorders>
              <w:top w:val="nil"/>
              <w:left w:val="nil"/>
              <w:bottom w:val="nil"/>
              <w:right w:val="nil"/>
            </w:tcBorders>
          </w:tcPr>
          <w:p w:rsidR="00013EB8" w:rsidRDefault="00013EB8">
            <w:pPr>
              <w:widowControl w:val="0"/>
              <w:numPr>
                <w:ilvl w:val="12"/>
                <w:numId w:val="0"/>
              </w:numPr>
              <w:rPr>
                <w:b/>
              </w:rPr>
            </w:pPr>
            <w:r w:rsidRPr="007A4B37">
              <w:rPr>
                <w:b/>
                <w:iCs/>
              </w:rPr>
              <w:t>4.122</w:t>
            </w:r>
          </w:p>
        </w:tc>
        <w:tc>
          <w:tcPr>
            <w:tcW w:w="10270" w:type="dxa"/>
            <w:tcBorders>
              <w:top w:val="nil"/>
              <w:left w:val="nil"/>
              <w:bottom w:val="nil"/>
              <w:right w:val="nil"/>
            </w:tcBorders>
          </w:tcPr>
          <w:p w:rsidR="00013EB8" w:rsidRDefault="00013EB8">
            <w:pPr>
              <w:widowControl w:val="0"/>
              <w:numPr>
                <w:ilvl w:val="12"/>
                <w:numId w:val="0"/>
              </w:numPr>
            </w:pPr>
            <w:r>
              <w:rPr>
                <w:b/>
              </w:rPr>
              <w:t xml:space="preserve">Psychomotor epilepsy </w:t>
            </w:r>
            <w:r>
              <w:t>– seizures and chronic psychiatric disturbance</w:t>
            </w:r>
          </w:p>
        </w:tc>
      </w:tr>
      <w:tr w:rsidR="00013EB8">
        <w:trPr>
          <w:trHeight w:val="284"/>
        </w:trPr>
        <w:tc>
          <w:tcPr>
            <w:tcW w:w="705" w:type="dxa"/>
            <w:tcBorders>
              <w:top w:val="nil"/>
              <w:left w:val="nil"/>
              <w:bottom w:val="nil"/>
              <w:right w:val="nil"/>
            </w:tcBorders>
          </w:tcPr>
          <w:p w:rsidR="00013EB8" w:rsidRDefault="00013EB8">
            <w:pPr>
              <w:widowControl w:val="0"/>
              <w:numPr>
                <w:ilvl w:val="12"/>
                <w:numId w:val="0"/>
              </w:numPr>
              <w:rPr>
                <w:b/>
              </w:rPr>
            </w:pPr>
            <w:r w:rsidRPr="007A4B37">
              <w:rPr>
                <w:b/>
                <w:iCs/>
              </w:rPr>
              <w:t>4.123</w:t>
            </w:r>
          </w:p>
        </w:tc>
        <w:tc>
          <w:tcPr>
            <w:tcW w:w="10270" w:type="dxa"/>
            <w:tcBorders>
              <w:top w:val="nil"/>
              <w:left w:val="nil"/>
              <w:bottom w:val="nil"/>
              <w:right w:val="nil"/>
            </w:tcBorders>
          </w:tcPr>
          <w:p w:rsidR="00013EB8" w:rsidRDefault="00013EB8">
            <w:pPr>
              <w:widowControl w:val="0"/>
              <w:numPr>
                <w:ilvl w:val="12"/>
                <w:numId w:val="0"/>
              </w:numPr>
            </w:pPr>
            <w:r>
              <w:rPr>
                <w:b/>
              </w:rPr>
              <w:t>Neuritis, cranial or peripheral</w:t>
            </w:r>
            <w:r>
              <w:t xml:space="preserve"> – loss of reflexes, muscle atrophy, sensory disturbances, and constant pain, maximum rating is </w:t>
            </w:r>
            <w:r>
              <w:rPr>
                <w:u w:val="single"/>
              </w:rPr>
              <w:t>SEVERE</w:t>
            </w:r>
            <w:r>
              <w:t xml:space="preserve">; if no organic changes then maximum rating is </w:t>
            </w:r>
            <w:r>
              <w:rPr>
                <w:u w:val="single"/>
              </w:rPr>
              <w:t>MODERATE</w:t>
            </w:r>
            <w:r>
              <w:t xml:space="preserve">, or </w:t>
            </w:r>
            <w:r>
              <w:rPr>
                <w:u w:val="single"/>
              </w:rPr>
              <w:t>MODERATELY SEVERE</w:t>
            </w:r>
            <w:r>
              <w:t xml:space="preserve"> if sciatic</w:t>
            </w:r>
          </w:p>
        </w:tc>
      </w:tr>
      <w:tr w:rsidR="00013EB8">
        <w:trPr>
          <w:trHeight w:val="266"/>
        </w:trPr>
        <w:tc>
          <w:tcPr>
            <w:tcW w:w="705" w:type="dxa"/>
            <w:tcBorders>
              <w:top w:val="nil"/>
              <w:left w:val="nil"/>
              <w:bottom w:val="nil"/>
              <w:right w:val="nil"/>
            </w:tcBorders>
          </w:tcPr>
          <w:p w:rsidR="00013EB8" w:rsidRDefault="00013EB8">
            <w:pPr>
              <w:widowControl w:val="0"/>
              <w:numPr>
                <w:ilvl w:val="12"/>
                <w:numId w:val="0"/>
              </w:numPr>
              <w:rPr>
                <w:b/>
              </w:rPr>
            </w:pPr>
            <w:r w:rsidRPr="007A4B37">
              <w:rPr>
                <w:b/>
                <w:iCs/>
              </w:rPr>
              <w:t>4.124</w:t>
            </w:r>
          </w:p>
        </w:tc>
        <w:tc>
          <w:tcPr>
            <w:tcW w:w="10270" w:type="dxa"/>
            <w:tcBorders>
              <w:top w:val="nil"/>
              <w:left w:val="nil"/>
              <w:bottom w:val="nil"/>
              <w:right w:val="nil"/>
            </w:tcBorders>
          </w:tcPr>
          <w:p w:rsidR="00013EB8" w:rsidRDefault="00013EB8">
            <w:pPr>
              <w:widowControl w:val="0"/>
              <w:numPr>
                <w:ilvl w:val="12"/>
                <w:numId w:val="0"/>
              </w:numPr>
            </w:pPr>
            <w:r>
              <w:rPr>
                <w:b/>
              </w:rPr>
              <w:t>Neuralgia, cranial or peripheral</w:t>
            </w:r>
            <w:r>
              <w:t xml:space="preserve"> – dull and intermittent pain, maximum rating is </w:t>
            </w:r>
            <w:r>
              <w:rPr>
                <w:u w:val="single"/>
              </w:rPr>
              <w:t>MODERATE</w:t>
            </w:r>
          </w:p>
        </w:tc>
      </w:tr>
    </w:tbl>
    <w:p w:rsidR="00013EB8" w:rsidRDefault="00013EB8">
      <w:pPr>
        <w:widowControl w:val="0"/>
        <w:numPr>
          <w:ilvl w:val="12"/>
          <w:numId w:val="0"/>
        </w:numPr>
        <w:tabs>
          <w:tab w:val="left" w:pos="660"/>
          <w:tab w:val="left" w:pos="9408"/>
        </w:tabs>
        <w:ind w:left="-45"/>
        <w:rPr>
          <w:b/>
        </w:rPr>
      </w:pPr>
    </w:p>
    <w:p w:rsidR="00013EB8" w:rsidRDefault="00013EB8">
      <w:pPr>
        <w:widowControl w:val="0"/>
        <w:numPr>
          <w:ilvl w:val="12"/>
          <w:numId w:val="0"/>
        </w:numPr>
        <w:tabs>
          <w:tab w:val="left" w:pos="660"/>
          <w:tab w:val="left" w:pos="9408"/>
        </w:tabs>
        <w:rPr>
          <w:b/>
          <w:u w:val="single"/>
        </w:rPr>
      </w:pPr>
      <w:r w:rsidRPr="007A4B37">
        <w:rPr>
          <w:b/>
          <w:u w:val="single"/>
        </w:rPr>
        <w:t>4.124a</w:t>
      </w:r>
      <w:r>
        <w:rPr>
          <w:b/>
          <w:u w:val="single"/>
        </w:rPr>
        <w:tab/>
        <w:t>Schedule of Ratings—Neurological Conditions and Convulsive Disorders</w:t>
      </w:r>
    </w:p>
    <w:p w:rsidR="00013EB8" w:rsidRDefault="00013EB8">
      <w:pPr>
        <w:widowControl w:val="0"/>
        <w:numPr>
          <w:ilvl w:val="12"/>
          <w:numId w:val="0"/>
        </w:numPr>
        <w:tabs>
          <w:tab w:val="left" w:pos="660"/>
          <w:tab w:val="left" w:pos="9408"/>
        </w:tabs>
      </w:pP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tabs>
          <w:tab w:val="left" w:pos="660"/>
          <w:tab w:val="left" w:pos="9408"/>
        </w:tabs>
        <w:rPr>
          <w:i/>
          <w:iCs/>
          <w:sz w:val="16"/>
        </w:rPr>
      </w:pPr>
      <w:r>
        <w:rPr>
          <w:i/>
          <w:iCs/>
        </w:rPr>
        <w:t xml:space="preserve">changed 10/23/08 (DC 8045), </w:t>
      </w:r>
      <w:r>
        <w:rPr>
          <w:i/>
          <w:iCs/>
          <w:sz w:val="16"/>
        </w:rPr>
        <w:t>see “</w:t>
      </w:r>
      <w:r w:rsidRPr="00EA0611">
        <w:rPr>
          <w:i/>
          <w:iCs/>
          <w:sz w:val="16"/>
        </w:rPr>
        <w:t>Historic Part 4 Sections</w:t>
      </w:r>
      <w:r>
        <w:rPr>
          <w:i/>
          <w:iCs/>
          <w:sz w:val="16"/>
        </w:rPr>
        <w:t>”</w:t>
      </w:r>
      <w:r w:rsidR="00707F9F">
        <w:rPr>
          <w:i/>
          <w:iCs/>
          <w:sz w:val="16"/>
        </w:rPr>
        <w:t xml:space="preserve"> in Rating Reference</w:t>
      </w:r>
      <w:r w:rsidR="005F5D1E">
        <w:rPr>
          <w:i/>
          <w:iCs/>
          <w:sz w:val="16"/>
        </w:rPr>
        <w:t>s</w:t>
      </w:r>
      <w:r w:rsidR="00707F9F">
        <w:rPr>
          <w:i/>
          <w:iCs/>
          <w:sz w:val="16"/>
        </w:rPr>
        <w:t xml:space="preserve"> Archive</w:t>
      </w:r>
    </w:p>
    <w:p w:rsidR="00EC3C06" w:rsidRPr="00EC3C06" w:rsidRDefault="00EC3C06" w:rsidP="00EC3C06">
      <w:pPr>
        <w:widowControl w:val="0"/>
        <w:numPr>
          <w:ilvl w:val="12"/>
          <w:numId w:val="0"/>
        </w:numPr>
        <w:pBdr>
          <w:top w:val="single" w:sz="4" w:space="1" w:color="auto"/>
          <w:left w:val="single" w:sz="4" w:space="4" w:color="auto"/>
          <w:bottom w:val="single" w:sz="4" w:space="1" w:color="auto"/>
          <w:right w:val="single" w:sz="4" w:space="4" w:color="auto"/>
        </w:pBdr>
        <w:rPr>
          <w:i/>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4.124</w:t>
      </w:r>
      <w:r w:rsidR="00D11C3E">
        <w:rPr>
          <w:bCs/>
          <w:i/>
          <w:iCs/>
          <w:sz w:val="18"/>
        </w:rPr>
        <w:t>; or in CPKM</w:t>
      </w:r>
    </w:p>
    <w:p w:rsidR="00275AD3" w:rsidRDefault="00275AD3">
      <w:pPr>
        <w:pStyle w:val="Heading8"/>
        <w:keepNext w:val="0"/>
        <w:widowControl w:val="0"/>
        <w:numPr>
          <w:ilvl w:val="12"/>
          <w:numId w:val="0"/>
        </w:numPr>
        <w:rPr>
          <w:b/>
          <w:bCs/>
          <w:i w:val="0"/>
          <w:iCs w:val="0"/>
          <w:sz w:val="20"/>
        </w:rPr>
      </w:pPr>
    </w:p>
    <w:p w:rsidR="00013EB8" w:rsidRDefault="00013EB8">
      <w:pPr>
        <w:pStyle w:val="Heading9"/>
        <w:keepNext w:val="0"/>
        <w:widowControl w:val="0"/>
        <w:numPr>
          <w:ilvl w:val="12"/>
          <w:numId w:val="0"/>
        </w:numPr>
        <w:pBdr>
          <w:top w:val="none" w:sz="0" w:space="0" w:color="auto"/>
          <w:left w:val="none" w:sz="0" w:space="0" w:color="auto"/>
          <w:bottom w:val="none" w:sz="0" w:space="0" w:color="auto"/>
          <w:right w:val="none" w:sz="0" w:space="0" w:color="auto"/>
        </w:pBdr>
        <w:rPr>
          <w:b/>
          <w:bCs/>
          <w:i w:val="0"/>
          <w:iCs w:val="0"/>
          <w:color w:val="FF0000"/>
          <w:sz w:val="20"/>
        </w:rPr>
      </w:pPr>
      <w:r>
        <w:rPr>
          <w:b/>
          <w:bCs/>
          <w:i w:val="0"/>
          <w:iCs w:val="0"/>
          <w:color w:val="FF0000"/>
          <w:sz w:val="20"/>
        </w:rPr>
        <w:t>ORGANIC DISEASES OF THE CENTRAL NERVOUS SYSTEM</w:t>
      </w:r>
    </w:p>
    <w:p w:rsidR="00013EB8" w:rsidRDefault="00013EB8">
      <w:pPr>
        <w:widowControl w:val="0"/>
        <w:numPr>
          <w:ilvl w:val="12"/>
          <w:numId w:val="0"/>
        </w:numPr>
        <w:tabs>
          <w:tab w:val="left" w:pos="720"/>
          <w:tab w:val="left" w:pos="9408"/>
        </w:tabs>
        <w:rPr>
          <w:color w:val="FF0000"/>
        </w:rPr>
      </w:pPr>
      <w:r>
        <w:rPr>
          <w:color w:val="FF0000"/>
        </w:rPr>
        <w:t>8000</w:t>
      </w:r>
      <w:r>
        <w:rPr>
          <w:color w:val="FF0000"/>
        </w:rPr>
        <w:tab/>
        <w:t>Encephalitis, epidemic, chronic</w:t>
      </w:r>
    </w:p>
    <w:p w:rsidR="00013EB8" w:rsidRDefault="00013EB8">
      <w:pPr>
        <w:widowControl w:val="0"/>
        <w:numPr>
          <w:ilvl w:val="12"/>
          <w:numId w:val="0"/>
        </w:numPr>
        <w:ind w:left="720" w:hanging="720"/>
        <w:rPr>
          <w:color w:val="FF0000"/>
        </w:rPr>
      </w:pPr>
      <w:r>
        <w:rPr>
          <w:color w:val="FF0000"/>
        </w:rPr>
        <w:t>8002</w:t>
      </w:r>
      <w:r>
        <w:rPr>
          <w:color w:val="FF0000"/>
        </w:rPr>
        <w:tab/>
        <w:t>Brain, new growth of, Malignant</w:t>
      </w:r>
      <w:r w:rsidR="0057478A">
        <w:t>, RFE is 2 years (not 6 months)</w:t>
      </w:r>
    </w:p>
    <w:p w:rsidR="00013EB8" w:rsidRDefault="00013EB8">
      <w:pPr>
        <w:widowControl w:val="0"/>
        <w:numPr>
          <w:ilvl w:val="12"/>
          <w:numId w:val="0"/>
        </w:numPr>
        <w:ind w:left="720" w:hanging="720"/>
        <w:rPr>
          <w:i/>
          <w:color w:val="FF00FF"/>
        </w:rPr>
      </w:pPr>
      <w:r>
        <w:rPr>
          <w:color w:val="FF0000"/>
        </w:rPr>
        <w:t>8003</w:t>
      </w:r>
      <w:r>
        <w:rPr>
          <w:color w:val="FF0000"/>
        </w:rPr>
        <w:tab/>
        <w:t>Brain, new growth of, Benign</w:t>
      </w:r>
    </w:p>
    <w:p w:rsidR="00013EB8" w:rsidRDefault="00D571C5">
      <w:pPr>
        <w:widowControl w:val="0"/>
        <w:numPr>
          <w:ilvl w:val="12"/>
          <w:numId w:val="0"/>
        </w:numPr>
        <w:rPr>
          <w:i/>
        </w:rPr>
      </w:pPr>
      <w:hyperlink r:id="rId617" w:anchor="8004" w:history="1">
        <w:r w:rsidR="00013EB8">
          <w:rPr>
            <w:rStyle w:val="Hyperlink"/>
            <w:color w:val="FF0000"/>
          </w:rPr>
          <w:t>8004</w:t>
        </w:r>
      </w:hyperlink>
      <w:r w:rsidR="00013EB8">
        <w:rPr>
          <w:color w:val="FF0000"/>
        </w:rPr>
        <w:tab/>
        <w:t xml:space="preserve">Paralysis agitans; </w:t>
      </w:r>
      <w:r w:rsidR="00013EB8">
        <w:rPr>
          <w:i/>
          <w:sz w:val="16"/>
        </w:rPr>
        <w:t>Parkinson’s disease - bradykinesia is slowness of motion, dyskinesia is diminished voluntary movements with involuntary movement</w:t>
      </w:r>
    </w:p>
    <w:p w:rsidR="00F91B8B" w:rsidRDefault="00F91B8B">
      <w:pPr>
        <w:widowControl w:val="0"/>
        <w:ind w:left="700"/>
        <w:rPr>
          <w:b/>
          <w:bCs/>
          <w:sz w:val="16"/>
        </w:rPr>
      </w:pPr>
    </w:p>
    <w:p w:rsidR="00F91B8B" w:rsidRDefault="00F91B8B">
      <w:pPr>
        <w:widowControl w:val="0"/>
        <w:ind w:left="700"/>
        <w:rPr>
          <w:b/>
          <w:bCs/>
          <w:sz w:val="16"/>
        </w:rPr>
      </w:pPr>
      <w:r>
        <w:rPr>
          <w:b/>
          <w:bCs/>
          <w:sz w:val="16"/>
        </w:rPr>
        <w:t>III.iv.6.E.2.d</w:t>
      </w:r>
    </w:p>
    <w:p w:rsidR="00F91B8B" w:rsidRDefault="00F91B8B">
      <w:pPr>
        <w:widowControl w:val="0"/>
        <w:ind w:left="700"/>
        <w:rPr>
          <w:b/>
          <w:bCs/>
          <w:sz w:val="16"/>
        </w:rPr>
      </w:pPr>
    </w:p>
    <w:p w:rsidR="00013EB8" w:rsidRDefault="00013EB8">
      <w:pPr>
        <w:widowControl w:val="0"/>
        <w:ind w:left="700"/>
        <w:rPr>
          <w:b/>
          <w:bCs/>
          <w:sz w:val="16"/>
        </w:rPr>
      </w:pPr>
      <w:r>
        <w:rPr>
          <w:b/>
          <w:bCs/>
          <w:sz w:val="16"/>
        </w:rPr>
        <w:t>Example of how to code, the most disabling effect is first &amp; is “Presumptive</w:t>
      </w:r>
      <w:r w:rsidR="001946CC">
        <w:rPr>
          <w:b/>
          <w:bCs/>
          <w:sz w:val="16"/>
        </w:rPr>
        <w:t>,”</w:t>
      </w:r>
      <w:r>
        <w:rPr>
          <w:b/>
          <w:bCs/>
          <w:sz w:val="16"/>
        </w:rPr>
        <w:t xml:space="preserve"> subsequent are coded as “Secondary” to the first:</w:t>
      </w:r>
    </w:p>
    <w:p w:rsidR="00013EB8" w:rsidRDefault="00013EB8">
      <w:pPr>
        <w:widowControl w:val="0"/>
        <w:ind w:left="700"/>
        <w:rPr>
          <w:sz w:val="16"/>
        </w:rPr>
      </w:pPr>
      <w:r>
        <w:rPr>
          <w:sz w:val="16"/>
        </w:rPr>
        <w:t>8004-7542 Parkinson’s disease with incontinence</w:t>
      </w:r>
    </w:p>
    <w:p w:rsidR="00013EB8" w:rsidRDefault="00BB64C0">
      <w:pPr>
        <w:widowControl w:val="0"/>
        <w:ind w:left="700"/>
        <w:rPr>
          <w:sz w:val="16"/>
        </w:rPr>
      </w:pPr>
      <w:r>
        <w:rPr>
          <w:sz w:val="16"/>
        </w:rPr>
        <w:t>7399-</w:t>
      </w:r>
      <w:r w:rsidR="00013EB8">
        <w:rPr>
          <w:sz w:val="16"/>
        </w:rPr>
        <w:t>7319 constipation</w:t>
      </w:r>
    </w:p>
    <w:p w:rsidR="00013EB8" w:rsidRPr="005047F4" w:rsidRDefault="00013EB8">
      <w:pPr>
        <w:widowControl w:val="0"/>
        <w:ind w:left="700"/>
        <w:rPr>
          <w:b/>
          <w:bCs/>
          <w:i/>
          <w:sz w:val="16"/>
        </w:rPr>
      </w:pPr>
      <w:r>
        <w:rPr>
          <w:sz w:val="16"/>
        </w:rPr>
        <w:t>8</w:t>
      </w:r>
      <w:r w:rsidR="00BB64C0">
        <w:rPr>
          <w:sz w:val="16"/>
        </w:rPr>
        <w:t>5</w:t>
      </w:r>
      <w:r>
        <w:rPr>
          <w:sz w:val="16"/>
        </w:rPr>
        <w:t>16 right upper extremity tremor, bradykinesia/slowed motion, muscle rigidity/stiffness and loss of automatic movements</w:t>
      </w:r>
      <w:r w:rsidR="005047F4">
        <w:rPr>
          <w:sz w:val="16"/>
        </w:rPr>
        <w:t xml:space="preserve"> </w:t>
      </w:r>
      <w:r w:rsidR="005047F4" w:rsidRPr="005047F4">
        <w:rPr>
          <w:i/>
          <w:sz w:val="16"/>
        </w:rPr>
        <w:t>[Audrey Reid uses 8510]</w:t>
      </w:r>
    </w:p>
    <w:p w:rsidR="00013EB8" w:rsidRPr="005047F4" w:rsidRDefault="00BB64C0">
      <w:pPr>
        <w:widowControl w:val="0"/>
        <w:ind w:left="700"/>
        <w:rPr>
          <w:i/>
          <w:sz w:val="16"/>
        </w:rPr>
      </w:pPr>
      <w:r>
        <w:rPr>
          <w:sz w:val="16"/>
        </w:rPr>
        <w:t>85</w:t>
      </w:r>
      <w:r w:rsidR="00013EB8">
        <w:rPr>
          <w:sz w:val="16"/>
        </w:rPr>
        <w:t>16 left upper extremity tremor, bradykinesia/slowed motion, muscle rigidity/stiffness and loss of automatic movements</w:t>
      </w:r>
      <w:r w:rsidR="005047F4">
        <w:rPr>
          <w:sz w:val="16"/>
        </w:rPr>
        <w:t xml:space="preserve"> </w:t>
      </w:r>
      <w:r w:rsidR="005047F4" w:rsidRPr="005047F4">
        <w:rPr>
          <w:i/>
          <w:sz w:val="16"/>
        </w:rPr>
        <w:t>[Audrey Reid uses 8510]</w:t>
      </w:r>
    </w:p>
    <w:p w:rsidR="00013EB8" w:rsidRPr="005047F4" w:rsidRDefault="007425DF">
      <w:pPr>
        <w:widowControl w:val="0"/>
        <w:ind w:left="700"/>
        <w:rPr>
          <w:i/>
          <w:sz w:val="16"/>
        </w:rPr>
      </w:pPr>
      <w:r>
        <w:rPr>
          <w:sz w:val="16"/>
        </w:rPr>
        <w:t>85</w:t>
      </w:r>
      <w:r w:rsidR="00013EB8">
        <w:rPr>
          <w:sz w:val="16"/>
        </w:rPr>
        <w:t>21 right lower extremity tremor, bradykinesia/slowed motion, muscle rigidity/stiffness and loss of automatic movements</w:t>
      </w:r>
      <w:r w:rsidR="005047F4">
        <w:rPr>
          <w:sz w:val="16"/>
        </w:rPr>
        <w:t xml:space="preserve"> </w:t>
      </w:r>
      <w:r>
        <w:rPr>
          <w:i/>
          <w:sz w:val="16"/>
        </w:rPr>
        <w:t>[</w:t>
      </w:r>
      <w:r w:rsidR="005047F4" w:rsidRPr="005047F4">
        <w:rPr>
          <w:i/>
          <w:sz w:val="16"/>
        </w:rPr>
        <w:t>Camp Lejeune training uses 8520]</w:t>
      </w:r>
    </w:p>
    <w:p w:rsidR="00013EB8" w:rsidRPr="005047F4" w:rsidRDefault="007425DF">
      <w:pPr>
        <w:widowControl w:val="0"/>
        <w:ind w:left="700"/>
        <w:rPr>
          <w:i/>
          <w:sz w:val="16"/>
        </w:rPr>
      </w:pPr>
      <w:r>
        <w:rPr>
          <w:sz w:val="16"/>
        </w:rPr>
        <w:t>85</w:t>
      </w:r>
      <w:r w:rsidR="00013EB8">
        <w:rPr>
          <w:sz w:val="16"/>
        </w:rPr>
        <w:t>21 left lower extremity tremor, bradykinesia/slowed motion, muscle rigidity/stiffness and loss of automatic movements</w:t>
      </w:r>
      <w:r w:rsidR="005047F4">
        <w:rPr>
          <w:sz w:val="16"/>
        </w:rPr>
        <w:t xml:space="preserve"> </w:t>
      </w:r>
      <w:r w:rsidR="005047F4" w:rsidRPr="005047F4">
        <w:rPr>
          <w:i/>
          <w:sz w:val="16"/>
        </w:rPr>
        <w:t>[Camp Lejeune training uses 8520]</w:t>
      </w:r>
    </w:p>
    <w:p w:rsidR="00013EB8" w:rsidRDefault="00013EB8">
      <w:pPr>
        <w:widowControl w:val="0"/>
        <w:ind w:left="700"/>
        <w:rPr>
          <w:sz w:val="16"/>
        </w:rPr>
      </w:pPr>
      <w:r>
        <w:rPr>
          <w:sz w:val="16"/>
        </w:rPr>
        <w:t>8212 speech changes</w:t>
      </w:r>
    </w:p>
    <w:p w:rsidR="00013EB8" w:rsidRDefault="00013EB8">
      <w:pPr>
        <w:widowControl w:val="0"/>
        <w:numPr>
          <w:ilvl w:val="12"/>
          <w:numId w:val="0"/>
        </w:numPr>
        <w:ind w:left="700"/>
        <w:rPr>
          <w:sz w:val="16"/>
        </w:rPr>
      </w:pPr>
      <w:r>
        <w:rPr>
          <w:sz w:val="16"/>
        </w:rPr>
        <w:t xml:space="preserve">7299-7203 difficulty chewing/swallowing </w:t>
      </w:r>
    </w:p>
    <w:p w:rsidR="00013EB8" w:rsidRDefault="00013EB8">
      <w:pPr>
        <w:widowControl w:val="0"/>
        <w:numPr>
          <w:ilvl w:val="12"/>
          <w:numId w:val="0"/>
        </w:numPr>
        <w:ind w:left="700"/>
        <w:rPr>
          <w:sz w:val="16"/>
        </w:rPr>
      </w:pPr>
      <w:r>
        <w:rPr>
          <w:sz w:val="16"/>
        </w:rPr>
        <w:t>6275 loss of sense of smell</w:t>
      </w:r>
    </w:p>
    <w:p w:rsidR="00013EB8" w:rsidRDefault="00013EB8">
      <w:pPr>
        <w:widowControl w:val="0"/>
        <w:numPr>
          <w:ilvl w:val="12"/>
          <w:numId w:val="0"/>
        </w:numPr>
        <w:ind w:left="700"/>
        <w:rPr>
          <w:sz w:val="16"/>
        </w:rPr>
      </w:pPr>
    </w:p>
    <w:p w:rsidR="00013EB8" w:rsidRDefault="00013EB8">
      <w:pPr>
        <w:widowControl w:val="0"/>
        <w:numPr>
          <w:ilvl w:val="12"/>
          <w:numId w:val="0"/>
        </w:numPr>
        <w:rPr>
          <w:color w:val="FF0000"/>
        </w:rPr>
      </w:pPr>
      <w:r>
        <w:rPr>
          <w:color w:val="FF0000"/>
        </w:rPr>
        <w:t>8005</w:t>
      </w:r>
      <w:r>
        <w:rPr>
          <w:color w:val="FF0000"/>
        </w:rPr>
        <w:tab/>
        <w:t>Bulbar palsy</w:t>
      </w:r>
    </w:p>
    <w:p w:rsidR="00013EB8" w:rsidRDefault="00013EB8">
      <w:pPr>
        <w:widowControl w:val="0"/>
        <w:numPr>
          <w:ilvl w:val="12"/>
          <w:numId w:val="0"/>
        </w:numPr>
        <w:rPr>
          <w:color w:val="FF0000"/>
        </w:rPr>
      </w:pPr>
      <w:r>
        <w:rPr>
          <w:color w:val="FF0000"/>
        </w:rPr>
        <w:t>8007</w:t>
      </w:r>
      <w:r>
        <w:rPr>
          <w:color w:val="FF0000"/>
        </w:rPr>
        <w:tab/>
        <w:t>Brain, vessels, embolism of</w:t>
      </w:r>
    </w:p>
    <w:p w:rsidR="00013EB8" w:rsidRDefault="00013EB8">
      <w:pPr>
        <w:widowControl w:val="0"/>
        <w:numPr>
          <w:ilvl w:val="12"/>
          <w:numId w:val="0"/>
        </w:numPr>
        <w:rPr>
          <w:color w:val="FF0000"/>
        </w:rPr>
      </w:pPr>
      <w:r>
        <w:rPr>
          <w:color w:val="FF0000"/>
        </w:rPr>
        <w:t>8008</w:t>
      </w:r>
      <w:r>
        <w:rPr>
          <w:color w:val="FF0000"/>
        </w:rPr>
        <w:tab/>
        <w:t xml:space="preserve">Brain, vessels, thrombosis of </w:t>
      </w:r>
      <w:r>
        <w:t xml:space="preserve">– </w:t>
      </w:r>
      <w:r>
        <w:rPr>
          <w:i/>
          <w:color w:val="00CCFF"/>
        </w:rPr>
        <w:t xml:space="preserve">POW presumptive under </w:t>
      </w:r>
      <w:r w:rsidRPr="007A4B37">
        <w:rPr>
          <w:b/>
        </w:rPr>
        <w:t>3.309</w:t>
      </w:r>
      <w:r>
        <w:rPr>
          <w:i/>
          <w:color w:val="00CCFF"/>
        </w:rPr>
        <w:t>(c)</w:t>
      </w:r>
    </w:p>
    <w:p w:rsidR="00013EB8" w:rsidRDefault="00013EB8">
      <w:pPr>
        <w:widowControl w:val="0"/>
        <w:numPr>
          <w:ilvl w:val="12"/>
          <w:numId w:val="0"/>
        </w:numPr>
        <w:rPr>
          <w:color w:val="FF0000"/>
        </w:rPr>
      </w:pPr>
      <w:r>
        <w:rPr>
          <w:color w:val="FF0000"/>
        </w:rPr>
        <w:t>8009</w:t>
      </w:r>
      <w:r>
        <w:rPr>
          <w:color w:val="FF0000"/>
        </w:rPr>
        <w:tab/>
        <w:t xml:space="preserve">Brain, vessels, hemorrhage from </w:t>
      </w:r>
      <w:r>
        <w:t xml:space="preserve">– </w:t>
      </w:r>
      <w:r>
        <w:rPr>
          <w:i/>
          <w:color w:val="00CCFF"/>
        </w:rPr>
        <w:t xml:space="preserve">POW presumptive under </w:t>
      </w:r>
      <w:r w:rsidRPr="007A4B37">
        <w:rPr>
          <w:b/>
        </w:rPr>
        <w:t>3.309</w:t>
      </w:r>
      <w:r>
        <w:rPr>
          <w:i/>
          <w:color w:val="00CCFF"/>
        </w:rPr>
        <w:t>(c)</w:t>
      </w:r>
    </w:p>
    <w:p w:rsidR="00013EB8" w:rsidRDefault="00013EB8">
      <w:pPr>
        <w:widowControl w:val="0"/>
        <w:numPr>
          <w:ilvl w:val="12"/>
          <w:numId w:val="0"/>
        </w:numPr>
        <w:rPr>
          <w:color w:val="FF0000"/>
        </w:rPr>
      </w:pPr>
      <w:r>
        <w:rPr>
          <w:color w:val="FF0000"/>
        </w:rPr>
        <w:t>8010</w:t>
      </w:r>
      <w:r>
        <w:rPr>
          <w:color w:val="FF0000"/>
        </w:rPr>
        <w:tab/>
        <w:t>Myelitis</w:t>
      </w:r>
    </w:p>
    <w:p w:rsidR="00013EB8" w:rsidRDefault="00013EB8">
      <w:pPr>
        <w:widowControl w:val="0"/>
        <w:numPr>
          <w:ilvl w:val="12"/>
          <w:numId w:val="0"/>
        </w:numPr>
        <w:rPr>
          <w:color w:val="FF0000"/>
        </w:rPr>
      </w:pPr>
      <w:r>
        <w:rPr>
          <w:color w:val="FF0000"/>
        </w:rPr>
        <w:t>8011</w:t>
      </w:r>
      <w:r>
        <w:rPr>
          <w:color w:val="FF0000"/>
        </w:rPr>
        <w:tab/>
        <w:t>Poliomyelitis, anterior</w:t>
      </w:r>
    </w:p>
    <w:p w:rsidR="00013EB8" w:rsidRDefault="00013EB8">
      <w:pPr>
        <w:widowControl w:val="0"/>
        <w:numPr>
          <w:ilvl w:val="12"/>
          <w:numId w:val="0"/>
        </w:numPr>
        <w:rPr>
          <w:color w:val="FF0000"/>
        </w:rPr>
      </w:pPr>
      <w:r>
        <w:rPr>
          <w:color w:val="FF0000"/>
        </w:rPr>
        <w:t>8012</w:t>
      </w:r>
      <w:r>
        <w:rPr>
          <w:color w:val="FF0000"/>
        </w:rPr>
        <w:tab/>
        <w:t>Hematomyelia</w:t>
      </w:r>
    </w:p>
    <w:p w:rsidR="00013EB8" w:rsidRDefault="00013EB8">
      <w:pPr>
        <w:widowControl w:val="0"/>
        <w:numPr>
          <w:ilvl w:val="12"/>
          <w:numId w:val="0"/>
        </w:numPr>
        <w:rPr>
          <w:color w:val="FF0000"/>
        </w:rPr>
      </w:pPr>
      <w:r>
        <w:rPr>
          <w:color w:val="FF0000"/>
        </w:rPr>
        <w:t>8013</w:t>
      </w:r>
      <w:r>
        <w:rPr>
          <w:color w:val="FF0000"/>
        </w:rPr>
        <w:tab/>
        <w:t>Syphilis, cerebrospinal</w:t>
      </w:r>
    </w:p>
    <w:p w:rsidR="00013EB8" w:rsidRDefault="00013EB8">
      <w:pPr>
        <w:widowControl w:val="0"/>
        <w:numPr>
          <w:ilvl w:val="12"/>
          <w:numId w:val="0"/>
        </w:numPr>
        <w:rPr>
          <w:color w:val="FF0000"/>
        </w:rPr>
      </w:pPr>
      <w:r>
        <w:rPr>
          <w:color w:val="FF0000"/>
        </w:rPr>
        <w:t>8014</w:t>
      </w:r>
      <w:r>
        <w:rPr>
          <w:color w:val="FF0000"/>
        </w:rPr>
        <w:tab/>
        <w:t>Syphilis, meningovascular</w:t>
      </w:r>
    </w:p>
    <w:p w:rsidR="00013EB8" w:rsidRDefault="00013EB8">
      <w:pPr>
        <w:widowControl w:val="0"/>
        <w:numPr>
          <w:ilvl w:val="12"/>
          <w:numId w:val="0"/>
        </w:numPr>
        <w:rPr>
          <w:color w:val="FF0000"/>
        </w:rPr>
      </w:pPr>
      <w:r>
        <w:rPr>
          <w:color w:val="FF0000"/>
        </w:rPr>
        <w:t>8015</w:t>
      </w:r>
      <w:r>
        <w:rPr>
          <w:color w:val="FF0000"/>
        </w:rPr>
        <w:tab/>
        <w:t>Tabes dorsalis</w:t>
      </w:r>
    </w:p>
    <w:p w:rsidR="000A31FF" w:rsidRDefault="00013EB8">
      <w:pPr>
        <w:widowControl w:val="0"/>
        <w:numPr>
          <w:ilvl w:val="12"/>
          <w:numId w:val="0"/>
        </w:numPr>
        <w:rPr>
          <w:i/>
          <w:iCs/>
          <w:color w:val="FF0000"/>
        </w:rPr>
      </w:pPr>
      <w:r>
        <w:rPr>
          <w:color w:val="FF0000"/>
        </w:rPr>
        <w:t>8017</w:t>
      </w:r>
      <w:r>
        <w:rPr>
          <w:color w:val="FF0000"/>
        </w:rPr>
        <w:tab/>
        <w:t xml:space="preserve">Amyotrophic lateral sclerosis – </w:t>
      </w:r>
      <w:r>
        <w:rPr>
          <w:i/>
          <w:iCs/>
          <w:color w:val="FF0000"/>
        </w:rPr>
        <w:t>eff 9/23/08 anytime after service</w:t>
      </w:r>
      <w:r w:rsidR="00F275C8">
        <w:rPr>
          <w:i/>
          <w:iCs/>
          <w:color w:val="FF0000"/>
        </w:rPr>
        <w:t xml:space="preserve"> if had at least 90 days of service</w:t>
      </w:r>
      <w:r w:rsidR="000A31FF">
        <w:rPr>
          <w:i/>
          <w:iCs/>
          <w:color w:val="FF0000"/>
        </w:rPr>
        <w:t>, 100% minimum, consider SMC</w:t>
      </w:r>
      <w:r w:rsidR="00F275C8">
        <w:rPr>
          <w:i/>
          <w:iCs/>
          <w:color w:val="FF0000"/>
        </w:rPr>
        <w:t>, 3.114 applies</w:t>
      </w:r>
    </w:p>
    <w:p w:rsidR="00013EB8" w:rsidRPr="00AE2032" w:rsidRDefault="00526485" w:rsidP="00F063AF">
      <w:pPr>
        <w:pStyle w:val="ListParagraph"/>
        <w:widowControl w:val="0"/>
        <w:numPr>
          <w:ilvl w:val="0"/>
          <w:numId w:val="200"/>
        </w:numPr>
        <w:spacing w:after="0" w:line="240" w:lineRule="auto"/>
        <w:rPr>
          <w:rFonts w:ascii="Arial" w:hAnsi="Arial"/>
          <w:b/>
          <w:iCs/>
          <w:color w:val="FF0000"/>
          <w:sz w:val="20"/>
          <w:szCs w:val="20"/>
        </w:rPr>
      </w:pPr>
      <w:r w:rsidRPr="00AE2032">
        <w:rPr>
          <w:rFonts w:ascii="Arial" w:hAnsi="Arial"/>
          <w:b/>
          <w:iCs/>
          <w:sz w:val="20"/>
          <w:szCs w:val="20"/>
        </w:rPr>
        <w:t>III.iv.4.N</w:t>
      </w:r>
      <w:r w:rsidR="007E7D3D" w:rsidRPr="00AE2032">
        <w:rPr>
          <w:rFonts w:ascii="Arial" w:hAnsi="Arial"/>
          <w:b/>
          <w:iCs/>
          <w:sz w:val="20"/>
          <w:szCs w:val="20"/>
        </w:rPr>
        <w:t>.6</w:t>
      </w:r>
    </w:p>
    <w:p w:rsidR="00013EB8" w:rsidRPr="00AE2032" w:rsidRDefault="00013EB8" w:rsidP="00333C92">
      <w:pPr>
        <w:pStyle w:val="Heading1"/>
        <w:keepNext w:val="0"/>
        <w:widowControl w:val="0"/>
        <w:numPr>
          <w:ilvl w:val="0"/>
          <w:numId w:val="52"/>
        </w:numPr>
        <w:rPr>
          <w:b/>
          <w:bCs/>
          <w:i w:val="0"/>
          <w:iCs w:val="0"/>
          <w:sz w:val="20"/>
        </w:rPr>
      </w:pPr>
      <w:r w:rsidRPr="00AE2032">
        <w:rPr>
          <w:b/>
          <w:bCs/>
          <w:i w:val="0"/>
          <w:iCs w:val="0"/>
          <w:sz w:val="20"/>
        </w:rPr>
        <w:t>3.318</w:t>
      </w:r>
    </w:p>
    <w:p w:rsidR="00AE2032" w:rsidRPr="00AE2032" w:rsidRDefault="00D571C5" w:rsidP="00AE2032">
      <w:pPr>
        <w:pStyle w:val="ListParagraph"/>
        <w:widowControl w:val="0"/>
        <w:numPr>
          <w:ilvl w:val="0"/>
          <w:numId w:val="52"/>
        </w:numPr>
        <w:rPr>
          <w:rStyle w:val="Hyperlink"/>
          <w:rFonts w:ascii="Arial" w:hAnsi="Arial"/>
          <w:b/>
          <w:bCs/>
          <w:i/>
          <w:sz w:val="20"/>
          <w:szCs w:val="20"/>
        </w:rPr>
      </w:pPr>
      <w:hyperlink r:id="rId618" w:history="1">
        <w:r w:rsidR="00AE2032">
          <w:rPr>
            <w:rStyle w:val="Hyperlink"/>
            <w:rFonts w:ascii="Arial" w:hAnsi="Arial"/>
            <w:b/>
            <w:bCs/>
            <w:i/>
            <w:sz w:val="20"/>
            <w:szCs w:val="20"/>
          </w:rPr>
          <w:t>February 2018 Quality Call Notes</w:t>
        </w:r>
      </w:hyperlink>
    </w:p>
    <w:p w:rsidR="00013EB8" w:rsidRDefault="00D571C5">
      <w:pPr>
        <w:widowControl w:val="0"/>
        <w:numPr>
          <w:ilvl w:val="12"/>
          <w:numId w:val="0"/>
        </w:numPr>
        <w:rPr>
          <w:i/>
        </w:rPr>
      </w:pPr>
      <w:hyperlink r:id="rId619" w:anchor="8018" w:history="1">
        <w:r w:rsidR="00013EB8">
          <w:rPr>
            <w:rStyle w:val="Hyperlink"/>
            <w:color w:val="FF0000"/>
            <w:u w:val="none"/>
          </w:rPr>
          <w:t>8018</w:t>
        </w:r>
      </w:hyperlink>
      <w:r w:rsidR="00013EB8">
        <w:rPr>
          <w:color w:val="FF0000"/>
        </w:rPr>
        <w:tab/>
        <w:t xml:space="preserve">Multiple sclerosis </w:t>
      </w:r>
      <w:r w:rsidR="00013EB8">
        <w:rPr>
          <w:i/>
          <w:color w:val="FF0000"/>
        </w:rPr>
        <w:t xml:space="preserve">– 7 year </w:t>
      </w:r>
      <w:r w:rsidR="00013EB8" w:rsidRPr="00525152">
        <w:rPr>
          <w:i/>
          <w:color w:val="FF0000"/>
        </w:rPr>
        <w:t>pres period</w:t>
      </w:r>
      <w:r w:rsidR="00013EB8" w:rsidRPr="00525152">
        <w:rPr>
          <w:i/>
        </w:rPr>
        <w:t xml:space="preserve">; </w:t>
      </w:r>
      <w:r w:rsidR="00526485">
        <w:rPr>
          <w:b/>
          <w:bCs/>
        </w:rPr>
        <w:t>III.iv.4.N</w:t>
      </w:r>
      <w:r w:rsidR="007E7D3D" w:rsidRPr="00525152">
        <w:rPr>
          <w:b/>
          <w:bCs/>
        </w:rPr>
        <w:t>.5</w:t>
      </w:r>
    </w:p>
    <w:p w:rsidR="00013EB8" w:rsidRDefault="00013EB8">
      <w:pPr>
        <w:widowControl w:val="0"/>
        <w:numPr>
          <w:ilvl w:val="12"/>
          <w:numId w:val="0"/>
        </w:numPr>
        <w:rPr>
          <w:color w:val="FF0000"/>
        </w:rPr>
      </w:pPr>
      <w:r>
        <w:rPr>
          <w:color w:val="FF0000"/>
        </w:rPr>
        <w:t>8019</w:t>
      </w:r>
      <w:r>
        <w:rPr>
          <w:color w:val="FF0000"/>
        </w:rPr>
        <w:tab/>
        <w:t>Meningitis, cerebrospinal, epidemic</w:t>
      </w:r>
    </w:p>
    <w:p w:rsidR="00013EB8" w:rsidRDefault="00013EB8">
      <w:pPr>
        <w:widowControl w:val="0"/>
        <w:numPr>
          <w:ilvl w:val="12"/>
          <w:numId w:val="0"/>
        </w:numPr>
        <w:rPr>
          <w:color w:val="FF0000"/>
        </w:rPr>
      </w:pPr>
      <w:r>
        <w:rPr>
          <w:color w:val="FF0000"/>
        </w:rPr>
        <w:t>8020</w:t>
      </w:r>
      <w:r>
        <w:rPr>
          <w:color w:val="FF0000"/>
        </w:rPr>
        <w:tab/>
        <w:t>Brain, abscess of</w:t>
      </w:r>
    </w:p>
    <w:p w:rsidR="00013EB8" w:rsidRDefault="00013EB8">
      <w:pPr>
        <w:widowControl w:val="0"/>
        <w:numPr>
          <w:ilvl w:val="12"/>
          <w:numId w:val="0"/>
        </w:numPr>
        <w:rPr>
          <w:color w:val="FF0000"/>
        </w:rPr>
      </w:pPr>
      <w:r>
        <w:rPr>
          <w:color w:val="FF0000"/>
        </w:rPr>
        <w:t>8021</w:t>
      </w:r>
      <w:r>
        <w:rPr>
          <w:color w:val="FF0000"/>
        </w:rPr>
        <w:tab/>
        <w:t>Spinal cord, new growths, Malignant</w:t>
      </w:r>
    </w:p>
    <w:p w:rsidR="00013EB8" w:rsidRDefault="00013EB8">
      <w:pPr>
        <w:widowControl w:val="0"/>
        <w:numPr>
          <w:ilvl w:val="12"/>
          <w:numId w:val="0"/>
        </w:numPr>
      </w:pPr>
      <w:r>
        <w:rPr>
          <w:color w:val="FF0000"/>
        </w:rPr>
        <w:t>8022</w:t>
      </w:r>
      <w:r>
        <w:rPr>
          <w:color w:val="FF0000"/>
        </w:rPr>
        <w:tab/>
        <w:t>Spinal cord, new growths, Benign</w:t>
      </w:r>
    </w:p>
    <w:p w:rsidR="00013EB8" w:rsidRDefault="00013EB8">
      <w:pPr>
        <w:widowControl w:val="0"/>
        <w:numPr>
          <w:ilvl w:val="12"/>
          <w:numId w:val="0"/>
        </w:numPr>
      </w:pPr>
      <w:r>
        <w:rPr>
          <w:color w:val="FF0000"/>
        </w:rPr>
        <w:t>8023</w:t>
      </w:r>
      <w:r>
        <w:rPr>
          <w:color w:val="FF0000"/>
        </w:rPr>
        <w:tab/>
        <w:t>Progressive muscular atrophy</w:t>
      </w:r>
      <w:r>
        <w:t xml:space="preserve"> </w:t>
      </w:r>
      <w:r>
        <w:rPr>
          <w:i/>
        </w:rPr>
        <w:t xml:space="preserve">– </w:t>
      </w:r>
      <w:r w:rsidR="00526485">
        <w:rPr>
          <w:b/>
          <w:bCs/>
        </w:rPr>
        <w:t>III.iv.4.N</w:t>
      </w:r>
    </w:p>
    <w:p w:rsidR="00013EB8" w:rsidRDefault="00013EB8">
      <w:pPr>
        <w:widowControl w:val="0"/>
        <w:numPr>
          <w:ilvl w:val="12"/>
          <w:numId w:val="0"/>
        </w:numPr>
        <w:rPr>
          <w:color w:val="FF0000"/>
        </w:rPr>
      </w:pPr>
      <w:r w:rsidRPr="00AB1DEB">
        <w:rPr>
          <w:color w:val="FF0000"/>
        </w:rPr>
        <w:t>8024</w:t>
      </w:r>
      <w:r>
        <w:rPr>
          <w:color w:val="FF0000"/>
        </w:rPr>
        <w:tab/>
        <w:t>Syringomyelia</w:t>
      </w:r>
    </w:p>
    <w:p w:rsidR="00013EB8" w:rsidRDefault="00013EB8">
      <w:pPr>
        <w:widowControl w:val="0"/>
        <w:numPr>
          <w:ilvl w:val="12"/>
          <w:numId w:val="0"/>
        </w:numPr>
        <w:rPr>
          <w:color w:val="FF0000"/>
        </w:rPr>
      </w:pPr>
      <w:r>
        <w:rPr>
          <w:color w:val="FF0000"/>
        </w:rPr>
        <w:t>8025</w:t>
      </w:r>
      <w:r>
        <w:rPr>
          <w:color w:val="FF0000"/>
        </w:rPr>
        <w:tab/>
        <w:t>Myasthenia gravis</w:t>
      </w:r>
    </w:p>
    <w:p w:rsidR="00F90BEA" w:rsidRDefault="00013EB8">
      <w:pPr>
        <w:widowControl w:val="0"/>
        <w:numPr>
          <w:ilvl w:val="12"/>
          <w:numId w:val="0"/>
        </w:numPr>
        <w:spacing w:after="120"/>
        <w:rPr>
          <w:color w:val="FF0000"/>
        </w:rPr>
      </w:pPr>
      <w:bookmarkStart w:id="135" w:name="TBI"/>
      <w:r>
        <w:rPr>
          <w:color w:val="FF0000"/>
        </w:rPr>
        <w:t>8045</w:t>
      </w:r>
      <w:r>
        <w:rPr>
          <w:color w:val="FF0000"/>
        </w:rPr>
        <w:tab/>
        <w:t>Residuals of traumatic brain injury (TBI)</w:t>
      </w:r>
      <w:r w:rsidR="00FE6559">
        <w:rPr>
          <w:color w:val="FF0000"/>
        </w:rPr>
        <w:t xml:space="preserve"> </w:t>
      </w:r>
      <w:r>
        <w:rPr>
          <w:color w:val="FF0000"/>
        </w:rPr>
        <w:t xml:space="preserve">– includes traumatic </w:t>
      </w:r>
      <w:r w:rsidRPr="00525152">
        <w:rPr>
          <w:color w:val="FF0000"/>
        </w:rPr>
        <w:t>encephalopathy</w:t>
      </w:r>
      <w:r w:rsidR="000A31FF" w:rsidRPr="00525152">
        <w:rPr>
          <w:color w:val="FF0000"/>
        </w:rPr>
        <w:t xml:space="preserve"> – </w:t>
      </w:r>
    </w:p>
    <w:p w:rsidR="00F90BEA" w:rsidRDefault="00F90BEA">
      <w:pPr>
        <w:widowControl w:val="0"/>
        <w:numPr>
          <w:ilvl w:val="12"/>
          <w:numId w:val="0"/>
        </w:numPr>
        <w:spacing w:after="120"/>
        <w:rPr>
          <w:b/>
        </w:rPr>
      </w:pPr>
      <w:r>
        <w:rPr>
          <w:b/>
        </w:rPr>
        <w:t>3.310(d)</w:t>
      </w:r>
      <w:r>
        <w:t xml:space="preserve"> has TBI severity table</w:t>
      </w:r>
    </w:p>
    <w:bookmarkEnd w:id="135"/>
    <w:p w:rsidR="001E1DFE" w:rsidRDefault="001E1DFE" w:rsidP="001E1DFE">
      <w:pPr>
        <w:widowControl w:val="0"/>
        <w:numPr>
          <w:ilvl w:val="0"/>
          <w:numId w:val="44"/>
        </w:numPr>
        <w:tabs>
          <w:tab w:val="left" w:pos="1080"/>
        </w:tabs>
        <w:spacing w:after="120"/>
        <w:rPr>
          <w:b/>
        </w:rPr>
      </w:pPr>
      <w:r w:rsidRPr="001E1DFE">
        <w:t>DBQ</w:t>
      </w:r>
      <w:r>
        <w:t>s</w:t>
      </w:r>
      <w:r w:rsidRPr="001E1DFE">
        <w:t xml:space="preserve"> </w:t>
      </w:r>
      <w:r>
        <w:t>are for internal VA use only</w:t>
      </w:r>
      <w:r w:rsidR="003F3D88">
        <w:t xml:space="preserve">, see DBQ at </w:t>
      </w:r>
      <w:r w:rsidR="003F3D88" w:rsidRPr="003F3D88">
        <w:rPr>
          <w:i/>
        </w:rPr>
        <w:t>http://vbacodmoint1.vba.va.gov/bl/21/dbq/default.asp</w:t>
      </w:r>
    </w:p>
    <w:p w:rsidR="0029403B" w:rsidRPr="00F2029D" w:rsidRDefault="006F0E8A" w:rsidP="00691877">
      <w:pPr>
        <w:widowControl w:val="0"/>
        <w:numPr>
          <w:ilvl w:val="0"/>
          <w:numId w:val="44"/>
        </w:numPr>
        <w:spacing w:after="120"/>
        <w:rPr>
          <w:rFonts w:ascii="Verdana" w:hAnsi="Verdana"/>
          <w:i/>
          <w:sz w:val="18"/>
        </w:rPr>
      </w:pPr>
      <w:r w:rsidRPr="006F0E8A">
        <w:rPr>
          <w:b/>
        </w:rPr>
        <w:t>III.iv.4.</w:t>
      </w:r>
      <w:r w:rsidR="006414F0">
        <w:rPr>
          <w:b/>
        </w:rPr>
        <w:t>D.4</w:t>
      </w:r>
      <w:r w:rsidR="00603ECE">
        <w:rPr>
          <w:b/>
        </w:rPr>
        <w:t>,</w:t>
      </w:r>
      <w:r>
        <w:rPr>
          <w:b/>
        </w:rPr>
        <w:t xml:space="preserve"> </w:t>
      </w:r>
      <w:r w:rsidR="00526485">
        <w:rPr>
          <w:b/>
          <w:szCs w:val="24"/>
        </w:rPr>
        <w:t>III.iv.4.N</w:t>
      </w:r>
      <w:r w:rsidR="00D16FCF" w:rsidRPr="0029403B">
        <w:rPr>
          <w:b/>
          <w:szCs w:val="24"/>
        </w:rPr>
        <w:t>.1.e</w:t>
      </w:r>
      <w:r w:rsidR="0074195D">
        <w:rPr>
          <w:szCs w:val="24"/>
        </w:rPr>
        <w:t xml:space="preserve">, </w:t>
      </w:r>
      <w:r w:rsidR="0074195D">
        <w:rPr>
          <w:b/>
        </w:rPr>
        <w:t xml:space="preserve">III.iv.4.N.2.i </w:t>
      </w:r>
      <w:r w:rsidR="0029403B" w:rsidRPr="0029403B">
        <w:rPr>
          <w:szCs w:val="24"/>
        </w:rPr>
        <w:t>–</w:t>
      </w:r>
      <w:r w:rsidR="008C4DED">
        <w:rPr>
          <w:szCs w:val="24"/>
        </w:rPr>
        <w:t xml:space="preserve"> vertigo</w:t>
      </w:r>
    </w:p>
    <w:p w:rsidR="00F2029D" w:rsidRDefault="00526485" w:rsidP="00F2029D">
      <w:pPr>
        <w:pStyle w:val="ListParagraph"/>
        <w:numPr>
          <w:ilvl w:val="0"/>
          <w:numId w:val="44"/>
        </w:numPr>
        <w:spacing w:after="120" w:line="240" w:lineRule="auto"/>
        <w:rPr>
          <w:rFonts w:ascii="Arial" w:hAnsi="Arial"/>
          <w:sz w:val="20"/>
          <w:szCs w:val="20"/>
        </w:rPr>
      </w:pPr>
      <w:r>
        <w:rPr>
          <w:rFonts w:ascii="Arial" w:hAnsi="Arial"/>
          <w:b/>
          <w:sz w:val="20"/>
          <w:szCs w:val="20"/>
        </w:rPr>
        <w:t>III.iv.4.N</w:t>
      </w:r>
      <w:r w:rsidR="00F2029D" w:rsidRPr="00F90BEA">
        <w:rPr>
          <w:rFonts w:ascii="Arial" w:hAnsi="Arial"/>
          <w:b/>
          <w:sz w:val="20"/>
          <w:szCs w:val="20"/>
        </w:rPr>
        <w:t>.2.f</w:t>
      </w:r>
      <w:r w:rsidR="00F2029D" w:rsidRPr="00F90BEA">
        <w:rPr>
          <w:rFonts w:ascii="Arial" w:hAnsi="Arial"/>
          <w:sz w:val="20"/>
          <w:szCs w:val="20"/>
        </w:rPr>
        <w:t xml:space="preserve"> seems to imply that we only need an opinion if “medical evidence of record </w:t>
      </w:r>
      <w:r w:rsidR="00F2029D" w:rsidRPr="00F90BEA">
        <w:rPr>
          <w:rStyle w:val="Emphasis"/>
          <w:rFonts w:ascii="Arial" w:hAnsi="Arial"/>
          <w:sz w:val="20"/>
          <w:szCs w:val="20"/>
        </w:rPr>
        <w:t>does not</w:t>
      </w:r>
      <w:r w:rsidR="00F2029D" w:rsidRPr="00F90BEA">
        <w:rPr>
          <w:rFonts w:ascii="Arial" w:hAnsi="Arial"/>
          <w:sz w:val="20"/>
          <w:szCs w:val="20"/>
        </w:rPr>
        <w:t xml:space="preserve"> show a clear-cut etiology for a sign or symptom claimed as a delayed effect</w:t>
      </w:r>
      <w:r w:rsidR="001946CC">
        <w:rPr>
          <w:rFonts w:ascii="Arial" w:hAnsi="Arial"/>
          <w:sz w:val="20"/>
          <w:szCs w:val="20"/>
        </w:rPr>
        <w:t>,”</w:t>
      </w:r>
      <w:r w:rsidR="00F2029D" w:rsidRPr="00F90BEA">
        <w:rPr>
          <w:rFonts w:ascii="Arial" w:hAnsi="Arial"/>
          <w:sz w:val="20"/>
          <w:szCs w:val="20"/>
        </w:rPr>
        <w:t xml:space="preserve"> but Geoff Sauer said direct medical opinions are needed to grant SC.</w:t>
      </w:r>
    </w:p>
    <w:p w:rsidR="00F2029D" w:rsidRPr="004C7AE7" w:rsidRDefault="00526485" w:rsidP="00F2029D">
      <w:pPr>
        <w:widowControl w:val="0"/>
        <w:numPr>
          <w:ilvl w:val="0"/>
          <w:numId w:val="44"/>
        </w:numPr>
        <w:spacing w:after="120"/>
        <w:rPr>
          <w:rFonts w:ascii="Verdana" w:hAnsi="Verdana"/>
          <w:i/>
          <w:sz w:val="18"/>
        </w:rPr>
      </w:pPr>
      <w:r w:rsidRPr="004C7AE7">
        <w:rPr>
          <w:b/>
          <w:szCs w:val="24"/>
        </w:rPr>
        <w:t>III.iv.4.N</w:t>
      </w:r>
      <w:r w:rsidR="00F2029D" w:rsidRPr="004C7AE7">
        <w:rPr>
          <w:b/>
          <w:szCs w:val="24"/>
        </w:rPr>
        <w:t>.2.h</w:t>
      </w:r>
      <w:r w:rsidR="00F2029D" w:rsidRPr="004C7AE7">
        <w:rPr>
          <w:szCs w:val="24"/>
        </w:rPr>
        <w:t xml:space="preserve"> </w:t>
      </w:r>
      <w:r w:rsidR="00F2029D" w:rsidRPr="004C7AE7">
        <w:rPr>
          <w:i/>
        </w:rPr>
        <w:t>–</w:t>
      </w:r>
      <w:r w:rsidR="00F2029D" w:rsidRPr="004C7AE7">
        <w:t xml:space="preserve"> table for manifestations, separate eval if distinct dx </w:t>
      </w:r>
    </w:p>
    <w:p w:rsidR="0074195D" w:rsidRPr="004C7AE7" w:rsidRDefault="0074195D" w:rsidP="00F2029D">
      <w:pPr>
        <w:widowControl w:val="0"/>
        <w:numPr>
          <w:ilvl w:val="0"/>
          <w:numId w:val="44"/>
        </w:numPr>
        <w:spacing w:after="120"/>
        <w:rPr>
          <w:rFonts w:ascii="Verdana" w:hAnsi="Verdana"/>
          <w:i/>
          <w:sz w:val="18"/>
        </w:rPr>
      </w:pPr>
      <w:r w:rsidRPr="004C7AE7">
        <w:rPr>
          <w:b/>
        </w:rPr>
        <w:t xml:space="preserve">III.iv.4.N.2.i </w:t>
      </w:r>
      <w:r w:rsidRPr="004C7AE7">
        <w:rPr>
          <w:i/>
        </w:rPr>
        <w:t xml:space="preserve">– </w:t>
      </w:r>
      <w:r w:rsidRPr="004C7AE7">
        <w:t>table for evaluating co-morbid symptoms/conditions, incl headaches, tinnitus, vertigo, cognitive/behavioral/emotional residuals</w:t>
      </w:r>
    </w:p>
    <w:p w:rsidR="004C7AE7" w:rsidRPr="004C7AE7" w:rsidRDefault="004C7AE7" w:rsidP="004C7AE7">
      <w:pPr>
        <w:widowControl w:val="0"/>
        <w:numPr>
          <w:ilvl w:val="0"/>
          <w:numId w:val="44"/>
        </w:numPr>
        <w:spacing w:after="120"/>
        <w:rPr>
          <w:rFonts w:ascii="Verdana" w:hAnsi="Verdana"/>
          <w:i/>
          <w:sz w:val="18"/>
        </w:rPr>
      </w:pPr>
      <w:r w:rsidRPr="004C7AE7">
        <w:rPr>
          <w:b/>
        </w:rPr>
        <w:t>III.iv.4.N.2.</w:t>
      </w:r>
      <w:r>
        <w:rPr>
          <w:b/>
        </w:rPr>
        <w:t>j</w:t>
      </w:r>
      <w:r w:rsidRPr="004C7AE7">
        <w:rPr>
          <w:b/>
        </w:rPr>
        <w:t xml:space="preserve"> </w:t>
      </w:r>
      <w:r w:rsidRPr="004C7AE7">
        <w:rPr>
          <w:i/>
        </w:rPr>
        <w:t xml:space="preserve">– </w:t>
      </w:r>
      <w:r>
        <w:t xml:space="preserve">if have TBI &amp; mental dx, with sx that cannot be delineated, plus have physical TBI sx w/o distinct physical dx, give mental under 93## &amp; physical under 8045 </w:t>
      </w:r>
    </w:p>
    <w:p w:rsidR="00F90BEA" w:rsidRPr="00F90BEA" w:rsidRDefault="00526485" w:rsidP="00691877">
      <w:pPr>
        <w:widowControl w:val="0"/>
        <w:numPr>
          <w:ilvl w:val="0"/>
          <w:numId w:val="44"/>
        </w:numPr>
        <w:spacing w:after="120"/>
        <w:rPr>
          <w:i/>
        </w:rPr>
      </w:pPr>
      <w:r>
        <w:rPr>
          <w:b/>
        </w:rPr>
        <w:t>III.iv.4.N</w:t>
      </w:r>
      <w:r w:rsidR="00F90BEA">
        <w:rPr>
          <w:b/>
        </w:rPr>
        <w:t>.</w:t>
      </w:r>
      <w:r w:rsidR="00F2029D">
        <w:rPr>
          <w:b/>
        </w:rPr>
        <w:t>2</w:t>
      </w:r>
      <w:r w:rsidR="00F90BEA">
        <w:rPr>
          <w:b/>
        </w:rPr>
        <w:t>.</w:t>
      </w:r>
      <w:r w:rsidR="0074195D">
        <w:rPr>
          <w:b/>
        </w:rPr>
        <w:t>k</w:t>
      </w:r>
      <w:r w:rsidR="00F90BEA">
        <w:rPr>
          <w:b/>
        </w:rPr>
        <w:t xml:space="preserve"> </w:t>
      </w:r>
      <w:r w:rsidR="00F90BEA" w:rsidRPr="008C4DED">
        <w:rPr>
          <w:i/>
        </w:rPr>
        <w:t>–</w:t>
      </w:r>
      <w:r w:rsidR="00F90BEA">
        <w:t xml:space="preserve"> need medical opinion evidence on whether TBI and mental disorder are distinct and can be separately evaluated (from either TBI or mental examiner); </w:t>
      </w:r>
      <w:r w:rsidR="00F90BEA" w:rsidRPr="00F90BEA">
        <w:rPr>
          <w:i/>
        </w:rPr>
        <w:t>per Suzanne Burkett, 9/2/16, if SC for PTSD &amp; claims TBI, so only get TBI exam, can ask TBI examiner to differentiate</w:t>
      </w:r>
    </w:p>
    <w:p w:rsidR="00F90BEA" w:rsidRPr="00F90BEA" w:rsidRDefault="00526485" w:rsidP="00691877">
      <w:pPr>
        <w:pStyle w:val="ListParagraph"/>
        <w:numPr>
          <w:ilvl w:val="0"/>
          <w:numId w:val="44"/>
        </w:numPr>
        <w:spacing w:after="120" w:line="240" w:lineRule="auto"/>
        <w:rPr>
          <w:rFonts w:ascii="Arial" w:hAnsi="Arial"/>
          <w:sz w:val="20"/>
          <w:szCs w:val="20"/>
        </w:rPr>
      </w:pPr>
      <w:r>
        <w:rPr>
          <w:rFonts w:ascii="Arial" w:hAnsi="Arial"/>
          <w:b/>
          <w:sz w:val="20"/>
          <w:szCs w:val="20"/>
        </w:rPr>
        <w:t>III.iv.4.N</w:t>
      </w:r>
      <w:r w:rsidR="00F90BEA" w:rsidRPr="00F90BEA">
        <w:rPr>
          <w:rFonts w:ascii="Arial" w:hAnsi="Arial"/>
          <w:b/>
          <w:sz w:val="20"/>
          <w:szCs w:val="20"/>
        </w:rPr>
        <w:t>.2.</w:t>
      </w:r>
      <w:r w:rsidR="006F334F">
        <w:rPr>
          <w:rFonts w:ascii="Arial" w:hAnsi="Arial"/>
          <w:b/>
          <w:sz w:val="20"/>
          <w:szCs w:val="20"/>
        </w:rPr>
        <w:t>q</w:t>
      </w:r>
      <w:r w:rsidR="00F90BEA" w:rsidRPr="00F90BEA">
        <w:rPr>
          <w:rFonts w:ascii="Arial" w:hAnsi="Arial"/>
          <w:sz w:val="20"/>
          <w:szCs w:val="20"/>
        </w:rPr>
        <w:t xml:space="preserve"> - need TBI corporate flash for all TBI claims (added through SHARE, includes sympathetic claims (i.e. head injury, concussion)</w:t>
      </w:r>
      <w:r w:rsidR="006F334F">
        <w:rPr>
          <w:rFonts w:ascii="Arial" w:hAnsi="Arial"/>
          <w:sz w:val="20"/>
          <w:szCs w:val="20"/>
        </w:rPr>
        <w:t xml:space="preserve"> per </w:t>
      </w:r>
      <w:r w:rsidR="006F334F" w:rsidRPr="006F334F">
        <w:rPr>
          <w:rStyle w:val="Strong"/>
          <w:rFonts w:ascii="Arial" w:hAnsi="Arial"/>
          <w:bCs w:val="0"/>
          <w:sz w:val="20"/>
          <w:szCs w:val="21"/>
        </w:rPr>
        <w:t>III.iv.4.N.2.e</w:t>
      </w:r>
      <w:r w:rsidR="00F90BEA" w:rsidRPr="00F90BEA">
        <w:rPr>
          <w:rFonts w:ascii="Arial" w:hAnsi="Arial"/>
          <w:sz w:val="20"/>
          <w:szCs w:val="20"/>
        </w:rPr>
        <w:t>); keep if TBI is granted, remove if TBI is denied</w:t>
      </w:r>
    </w:p>
    <w:p w:rsidR="008C4DED" w:rsidRPr="00F90BEA" w:rsidRDefault="00526485" w:rsidP="00691877">
      <w:pPr>
        <w:widowControl w:val="0"/>
        <w:numPr>
          <w:ilvl w:val="0"/>
          <w:numId w:val="44"/>
        </w:numPr>
        <w:spacing w:after="120"/>
        <w:rPr>
          <w:i/>
        </w:rPr>
      </w:pPr>
      <w:r>
        <w:rPr>
          <w:b/>
        </w:rPr>
        <w:t>III.iv.4.N</w:t>
      </w:r>
      <w:r w:rsidR="008C4DED" w:rsidRPr="00F90BEA">
        <w:rPr>
          <w:b/>
        </w:rPr>
        <w:t>.3.g,h&amp;i</w:t>
      </w:r>
      <w:r w:rsidR="008C4DED" w:rsidRPr="00F90BEA">
        <w:t xml:space="preserve"> – five diagnosable illnesses secondary to TBI , per 3.310(d) 12/17/13; 1) Parkinsonism/Parkinson’s disease, (2) unprovoked seizures, (3) dementias (presenile dementia of the Alzheimer’s type, frontotemporal dementia, and dementia with Lewy bodies), (4) depression (w/i 3 years of mod/sev or 12 mos of mild), (5) disease of hormone deficiency that result from hypothalamo-pituitary changes (w/i 12 mos) associated with mod/sev (determined by initial severity) TBIs, eff 1/16/14, 3.114 applies</w:t>
      </w:r>
    </w:p>
    <w:p w:rsidR="00013EB8" w:rsidRPr="0029403B" w:rsidRDefault="00013EB8" w:rsidP="00691877">
      <w:pPr>
        <w:widowControl w:val="0"/>
        <w:numPr>
          <w:ilvl w:val="0"/>
          <w:numId w:val="44"/>
        </w:numPr>
        <w:spacing w:after="120"/>
        <w:rPr>
          <w:rFonts w:ascii="Verdana" w:hAnsi="Verdana"/>
          <w:i/>
          <w:sz w:val="18"/>
        </w:rPr>
      </w:pPr>
      <w:r w:rsidRPr="0029403B">
        <w:rPr>
          <w:b/>
          <w:bCs/>
          <w:i/>
          <w:iCs/>
          <w:szCs w:val="24"/>
          <w:u w:val="single"/>
        </w:rPr>
        <w:t>April 2012 TBI training</w:t>
      </w:r>
      <w:r w:rsidRPr="0029403B">
        <w:rPr>
          <w:szCs w:val="24"/>
        </w:rPr>
        <w:t xml:space="preserve"> – migraines and tension headaches qualify for separate evaluations; tinnitus only qualifies for separate evaluation if diagnosed at audio exam; delete information on each facet that does not apply to veteran; heterotopic ossification is myositis ossificans 5023 (rate based on 5003 or LOM of joint); cognitive impairment or post-concussive syndrome diagnoses are under TBI (8045) NOT mental unless examiner says cannot determine, then can do with mental if needed</w:t>
      </w:r>
    </w:p>
    <w:p w:rsidR="006E25B4" w:rsidRDefault="006E25B4" w:rsidP="00F063AF">
      <w:pPr>
        <w:pStyle w:val="ListParagraph"/>
        <w:widowControl w:val="0"/>
        <w:numPr>
          <w:ilvl w:val="0"/>
          <w:numId w:val="177"/>
        </w:numPr>
        <w:tabs>
          <w:tab w:val="left" w:pos="0"/>
          <w:tab w:val="left" w:pos="330"/>
        </w:tabs>
        <w:spacing w:after="120" w:line="240" w:lineRule="auto"/>
        <w:ind w:left="360"/>
        <w:rPr>
          <w:rFonts w:ascii="Arial" w:hAnsi="Arial"/>
          <w:sz w:val="20"/>
          <w:szCs w:val="20"/>
        </w:rPr>
      </w:pPr>
      <w:r w:rsidRPr="00206978">
        <w:rPr>
          <w:rFonts w:ascii="Arial" w:hAnsi="Arial"/>
          <w:bCs/>
          <w:sz w:val="20"/>
          <w:szCs w:val="20"/>
        </w:rPr>
        <w:t xml:space="preserve">Notes from </w:t>
      </w:r>
      <w:r>
        <w:rPr>
          <w:rFonts w:ascii="Arial" w:hAnsi="Arial"/>
          <w:b/>
          <w:bCs/>
          <w:i/>
          <w:iCs/>
          <w:sz w:val="20"/>
          <w:szCs w:val="20"/>
          <w:u w:val="single"/>
        </w:rPr>
        <w:t>January 2016</w:t>
      </w:r>
      <w:r w:rsidRPr="001421FA">
        <w:rPr>
          <w:rFonts w:ascii="Arial" w:hAnsi="Arial"/>
          <w:b/>
          <w:bCs/>
          <w:i/>
          <w:iCs/>
          <w:sz w:val="20"/>
          <w:szCs w:val="20"/>
          <w:u w:val="single"/>
        </w:rPr>
        <w:t xml:space="preserve"> TBI Training</w:t>
      </w:r>
      <w:r>
        <w:rPr>
          <w:rFonts w:ascii="Arial" w:hAnsi="Arial"/>
          <w:bCs/>
          <w:iCs/>
          <w:sz w:val="20"/>
          <w:szCs w:val="20"/>
        </w:rPr>
        <w:t xml:space="preserve"> (Carlos Rosario &amp; John Trunick)</w:t>
      </w:r>
      <w:r w:rsidRPr="00206978">
        <w:rPr>
          <w:rFonts w:ascii="Arial" w:hAnsi="Arial"/>
          <w:sz w:val="20"/>
          <w:szCs w:val="20"/>
        </w:rPr>
        <w:t>:</w:t>
      </w:r>
    </w:p>
    <w:p w:rsidR="006E25B4" w:rsidRDefault="006E25B4"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sidRPr="006E25B4">
        <w:rPr>
          <w:rFonts w:ascii="Arial" w:hAnsi="Arial"/>
          <w:sz w:val="20"/>
          <w:szCs w:val="20"/>
        </w:rPr>
        <w:t xml:space="preserve">mental symptoms without diagnosis, under 8045; but mental diagnosis – need to know if symptoms </w:t>
      </w:r>
      <w:r>
        <w:rPr>
          <w:rFonts w:ascii="Arial" w:hAnsi="Arial"/>
          <w:sz w:val="20"/>
          <w:szCs w:val="20"/>
        </w:rPr>
        <w:t xml:space="preserve">can </w:t>
      </w:r>
      <w:r w:rsidR="00224B35">
        <w:rPr>
          <w:rFonts w:ascii="Arial" w:hAnsi="Arial"/>
          <w:sz w:val="20"/>
          <w:szCs w:val="20"/>
        </w:rPr>
        <w:t>be differentiated (if unclear, request</w:t>
      </w:r>
      <w:r>
        <w:rPr>
          <w:rFonts w:ascii="Arial" w:hAnsi="Arial"/>
          <w:sz w:val="20"/>
          <w:szCs w:val="20"/>
        </w:rPr>
        <w:t xml:space="preserve"> clarification); if cannot differentiate , need reason</w:t>
      </w:r>
      <w:r w:rsidR="006514A2">
        <w:rPr>
          <w:rFonts w:ascii="Arial" w:hAnsi="Arial"/>
          <w:sz w:val="20"/>
          <w:szCs w:val="20"/>
        </w:rPr>
        <w:t xml:space="preserve">; </w:t>
      </w:r>
      <w:r w:rsidR="00526485">
        <w:rPr>
          <w:rFonts w:ascii="Arial" w:hAnsi="Arial"/>
          <w:b/>
          <w:sz w:val="20"/>
          <w:szCs w:val="20"/>
        </w:rPr>
        <w:t>III.iv.4.N</w:t>
      </w:r>
      <w:r w:rsidR="006514A2" w:rsidRPr="006514A2">
        <w:rPr>
          <w:rFonts w:ascii="Arial" w:hAnsi="Arial"/>
          <w:b/>
          <w:sz w:val="20"/>
          <w:szCs w:val="20"/>
        </w:rPr>
        <w:t>.2.i</w:t>
      </w:r>
    </w:p>
    <w:p w:rsidR="00B12596" w:rsidRDefault="00B12596"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sz w:val="20"/>
          <w:szCs w:val="20"/>
        </w:rPr>
        <w:t xml:space="preserve">if mental examiner can differentiate symptoms, </w:t>
      </w:r>
      <w:r w:rsidR="001472B0">
        <w:rPr>
          <w:rFonts w:ascii="Arial" w:hAnsi="Arial"/>
          <w:sz w:val="20"/>
          <w:szCs w:val="20"/>
        </w:rPr>
        <w:t>but not occupational impairment (or vice versa),</w:t>
      </w:r>
      <w:r>
        <w:rPr>
          <w:rFonts w:ascii="Arial" w:hAnsi="Arial"/>
          <w:sz w:val="20"/>
          <w:szCs w:val="20"/>
        </w:rPr>
        <w:t xml:space="preserve"> </w:t>
      </w:r>
      <w:r w:rsidR="00526485">
        <w:rPr>
          <w:rFonts w:ascii="Arial" w:hAnsi="Arial"/>
          <w:b/>
          <w:sz w:val="20"/>
          <w:szCs w:val="20"/>
        </w:rPr>
        <w:t>III.iv.4.N</w:t>
      </w:r>
      <w:r w:rsidRPr="003E3DF4">
        <w:rPr>
          <w:rFonts w:ascii="Arial" w:hAnsi="Arial"/>
          <w:b/>
          <w:sz w:val="20"/>
          <w:szCs w:val="20"/>
        </w:rPr>
        <w:t xml:space="preserve">.2.h </w:t>
      </w:r>
      <w:r>
        <w:rPr>
          <w:rFonts w:ascii="Arial" w:hAnsi="Arial"/>
          <w:sz w:val="20"/>
          <w:szCs w:val="20"/>
        </w:rPr>
        <w:t>says do one evaluation (under 8045 or a mental DC, whichever is higher) since “manifestation</w:t>
      </w:r>
      <w:r w:rsidR="0069663E">
        <w:rPr>
          <w:rFonts w:ascii="Arial" w:hAnsi="Arial"/>
          <w:sz w:val="20"/>
          <w:szCs w:val="20"/>
        </w:rPr>
        <w:t>s” cannot be clearly separated</w:t>
      </w:r>
      <w:r w:rsidR="0069663E" w:rsidRPr="00116FEA">
        <w:rPr>
          <w:rFonts w:ascii="Arial" w:hAnsi="Arial"/>
          <w:i/>
          <w:sz w:val="20"/>
          <w:szCs w:val="20"/>
        </w:rPr>
        <w:t xml:space="preserve"> (</w:t>
      </w:r>
      <w:r w:rsidR="0069663E" w:rsidRPr="00D36CD9">
        <w:rPr>
          <w:rFonts w:ascii="Arial" w:hAnsi="Arial"/>
          <w:i/>
          <w:color w:val="00B050"/>
          <w:sz w:val="20"/>
          <w:szCs w:val="20"/>
        </w:rPr>
        <w:t xml:space="preserve">My Notes:  </w:t>
      </w:r>
      <w:r w:rsidR="0069663E" w:rsidRPr="00D36CD9">
        <w:rPr>
          <w:rFonts w:ascii="Arial" w:hAnsi="Arial"/>
          <w:i/>
          <w:sz w:val="20"/>
          <w:szCs w:val="20"/>
        </w:rPr>
        <w:t>P</w:t>
      </w:r>
      <w:r w:rsidRPr="00D36CD9">
        <w:rPr>
          <w:rFonts w:ascii="Arial" w:hAnsi="Arial"/>
          <w:i/>
          <w:sz w:val="20"/>
          <w:szCs w:val="20"/>
        </w:rPr>
        <w:t>rior Quality Call said have to be able to separate symptoms &amp; impairment for separate evals</w:t>
      </w:r>
      <w:r w:rsidR="0069663E" w:rsidRPr="00D36CD9">
        <w:rPr>
          <w:rFonts w:ascii="Arial" w:hAnsi="Arial"/>
          <w:i/>
          <w:sz w:val="20"/>
          <w:szCs w:val="20"/>
        </w:rPr>
        <w:t xml:space="preserve">, </w:t>
      </w:r>
      <w:r w:rsidR="001472B0" w:rsidRPr="00D36CD9">
        <w:rPr>
          <w:rFonts w:ascii="Arial" w:hAnsi="Arial"/>
          <w:i/>
          <w:sz w:val="20"/>
          <w:szCs w:val="20"/>
        </w:rPr>
        <w:t>confirmed by 9/29/16 update</w:t>
      </w:r>
      <w:r w:rsidR="0069663E" w:rsidRPr="00D36CD9">
        <w:rPr>
          <w:rFonts w:ascii="Arial" w:hAnsi="Arial"/>
          <w:i/>
          <w:sz w:val="20"/>
          <w:szCs w:val="20"/>
        </w:rPr>
        <w:t>.)</w:t>
      </w:r>
    </w:p>
    <w:p w:rsidR="006E25B4" w:rsidRPr="006E25B4" w:rsidRDefault="006E25B4"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sidRPr="006E25B4">
        <w:rPr>
          <w:rFonts w:ascii="Arial" w:hAnsi="Arial"/>
          <w:sz w:val="20"/>
          <w:szCs w:val="20"/>
        </w:rPr>
        <w:t xml:space="preserve">physical issues likely under separate evaluation, </w:t>
      </w:r>
      <w:r w:rsidR="00526485">
        <w:rPr>
          <w:rFonts w:ascii="Arial" w:hAnsi="Arial"/>
          <w:b/>
          <w:sz w:val="20"/>
          <w:szCs w:val="20"/>
        </w:rPr>
        <w:t>III.iv.4.N</w:t>
      </w:r>
      <w:r w:rsidRPr="006E25B4">
        <w:rPr>
          <w:rFonts w:ascii="Arial" w:hAnsi="Arial"/>
          <w:b/>
          <w:sz w:val="20"/>
          <w:szCs w:val="20"/>
        </w:rPr>
        <w:t>.2.d</w:t>
      </w:r>
      <w:r w:rsidRPr="006E25B4">
        <w:rPr>
          <w:rFonts w:ascii="Arial" w:hAnsi="Arial"/>
          <w:sz w:val="20"/>
          <w:szCs w:val="20"/>
        </w:rPr>
        <w:t>; apraxia – disconnect between brain &amp; motor function</w:t>
      </w:r>
    </w:p>
    <w:p w:rsidR="006E25B4" w:rsidRDefault="006E25B4"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sz w:val="20"/>
          <w:szCs w:val="20"/>
        </w:rPr>
        <w:t>if have diagnosis, rate separat</w:t>
      </w:r>
      <w:r w:rsidR="00B12596">
        <w:rPr>
          <w:rFonts w:ascii="Arial" w:hAnsi="Arial"/>
          <w:sz w:val="20"/>
          <w:szCs w:val="20"/>
        </w:rPr>
        <w:t>ely (i.e. migraines, tinnitus (</w:t>
      </w:r>
      <w:r w:rsidR="00B12596" w:rsidRPr="00D36CD9">
        <w:rPr>
          <w:rFonts w:ascii="Arial" w:hAnsi="Arial"/>
          <w:i/>
          <w:color w:val="00B050"/>
          <w:sz w:val="20"/>
          <w:szCs w:val="20"/>
        </w:rPr>
        <w:t>My Notes</w:t>
      </w:r>
      <w:r w:rsidR="00B12596" w:rsidRPr="00D36CD9">
        <w:rPr>
          <w:rFonts w:ascii="Arial" w:hAnsi="Arial"/>
          <w:i/>
          <w:sz w:val="20"/>
          <w:szCs w:val="20"/>
        </w:rPr>
        <w:t>:  I guess they mean it’s reported on a HL/tinnitus DBQ since</w:t>
      </w:r>
      <w:r w:rsidRPr="00D36CD9">
        <w:rPr>
          <w:rFonts w:ascii="Arial" w:hAnsi="Arial"/>
          <w:i/>
          <w:sz w:val="20"/>
          <w:szCs w:val="20"/>
        </w:rPr>
        <w:t xml:space="preserve"> tinnitus isn’</w:t>
      </w:r>
      <w:r w:rsidR="00B12596" w:rsidRPr="00D36CD9">
        <w:rPr>
          <w:rFonts w:ascii="Arial" w:hAnsi="Arial"/>
          <w:i/>
          <w:sz w:val="20"/>
          <w:szCs w:val="20"/>
        </w:rPr>
        <w:t>t diagnosed on DBQs</w:t>
      </w:r>
      <w:r w:rsidR="00116FEA" w:rsidRPr="00D36CD9">
        <w:rPr>
          <w:rFonts w:ascii="Arial" w:hAnsi="Arial"/>
          <w:i/>
          <w:sz w:val="20"/>
          <w:szCs w:val="20"/>
        </w:rPr>
        <w:t>.</w:t>
      </w:r>
      <w:r w:rsidRPr="00D36CD9">
        <w:rPr>
          <w:rFonts w:ascii="Arial" w:hAnsi="Arial"/>
          <w:sz w:val="20"/>
          <w:szCs w:val="20"/>
        </w:rPr>
        <w:t>)</w:t>
      </w:r>
      <w:r w:rsidR="006514A2" w:rsidRPr="00D36CD9">
        <w:rPr>
          <w:rFonts w:ascii="Arial" w:hAnsi="Arial"/>
          <w:sz w:val="20"/>
          <w:szCs w:val="20"/>
        </w:rPr>
        <w:t xml:space="preserve">, </w:t>
      </w:r>
      <w:r w:rsidR="00526485">
        <w:rPr>
          <w:rFonts w:ascii="Arial" w:hAnsi="Arial"/>
          <w:b/>
          <w:sz w:val="20"/>
          <w:szCs w:val="20"/>
        </w:rPr>
        <w:t>III.iv.4.N</w:t>
      </w:r>
      <w:r w:rsidR="006514A2" w:rsidRPr="00B12596">
        <w:rPr>
          <w:rFonts w:ascii="Arial" w:hAnsi="Arial"/>
          <w:b/>
          <w:sz w:val="20"/>
          <w:szCs w:val="20"/>
        </w:rPr>
        <w:t>.2.h</w:t>
      </w:r>
      <w:r w:rsidR="006514A2" w:rsidRPr="00B12596">
        <w:rPr>
          <w:rFonts w:ascii="Arial" w:hAnsi="Arial"/>
          <w:sz w:val="20"/>
          <w:szCs w:val="20"/>
        </w:rPr>
        <w:t xml:space="preserve"> says tinnitus can be physical or subjective, but do separately as physical unless gives high</w:t>
      </w:r>
      <w:r w:rsidR="006514A2">
        <w:rPr>
          <w:rFonts w:ascii="Arial" w:hAnsi="Arial"/>
          <w:sz w:val="20"/>
          <w:szCs w:val="20"/>
        </w:rPr>
        <w:t>er combined eval if do under subjective</w:t>
      </w:r>
    </w:p>
    <w:p w:rsidR="006E25B4" w:rsidRDefault="006E25B4"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sz w:val="20"/>
          <w:szCs w:val="20"/>
        </w:rPr>
        <w:t>heterotopic ossification is due to blast, bone issue where doesn’t belong, 5023 myositis ossificans</w:t>
      </w:r>
    </w:p>
    <w:p w:rsidR="006E25B4" w:rsidRDefault="006E25B4"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sz w:val="20"/>
          <w:szCs w:val="20"/>
        </w:rPr>
        <w:t xml:space="preserve">dizziness &amp; vertigo – always under 8045, subjective (unless diagnosed in service, as separate from TBI); if already separate, leave it &amp; can even increase; </w:t>
      </w:r>
      <w:r w:rsidR="00526485">
        <w:rPr>
          <w:rFonts w:ascii="Arial" w:hAnsi="Arial"/>
          <w:b/>
          <w:sz w:val="20"/>
          <w:szCs w:val="20"/>
        </w:rPr>
        <w:t>III.iv.4.N</w:t>
      </w:r>
      <w:r w:rsidRPr="006E25B4">
        <w:rPr>
          <w:rFonts w:ascii="Arial" w:hAnsi="Arial"/>
          <w:b/>
          <w:sz w:val="20"/>
          <w:szCs w:val="20"/>
        </w:rPr>
        <w:t>.1.e</w:t>
      </w:r>
      <w:r w:rsidR="007E7830">
        <w:rPr>
          <w:rFonts w:ascii="Arial" w:hAnsi="Arial"/>
          <w:b/>
          <w:sz w:val="20"/>
          <w:szCs w:val="20"/>
        </w:rPr>
        <w:t xml:space="preserve">, </w:t>
      </w:r>
      <w:r w:rsidR="00526485">
        <w:rPr>
          <w:rFonts w:ascii="Arial" w:hAnsi="Arial"/>
          <w:b/>
          <w:sz w:val="20"/>
          <w:szCs w:val="21"/>
        </w:rPr>
        <w:t>III.iv.4.N</w:t>
      </w:r>
      <w:r w:rsidR="007E7830" w:rsidRPr="007E7830">
        <w:rPr>
          <w:rFonts w:ascii="Arial" w:hAnsi="Arial"/>
          <w:b/>
          <w:sz w:val="20"/>
          <w:szCs w:val="21"/>
        </w:rPr>
        <w:t>.2.h</w:t>
      </w:r>
    </w:p>
    <w:p w:rsidR="006E25B4" w:rsidRPr="002843B5" w:rsidRDefault="006E25B4"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sidRPr="002843B5">
        <w:rPr>
          <w:rFonts w:ascii="Arial" w:hAnsi="Arial"/>
          <w:sz w:val="20"/>
          <w:szCs w:val="20"/>
        </w:rPr>
        <w:t>even if diagnosed, can rate under 804</w:t>
      </w:r>
      <w:r w:rsidR="006514A2" w:rsidRPr="002843B5">
        <w:rPr>
          <w:rFonts w:ascii="Arial" w:hAnsi="Arial"/>
          <w:sz w:val="20"/>
          <w:szCs w:val="20"/>
        </w:rPr>
        <w:t>5</w:t>
      </w:r>
      <w:r w:rsidRPr="002843B5">
        <w:rPr>
          <w:rFonts w:ascii="Arial" w:hAnsi="Arial"/>
          <w:sz w:val="20"/>
          <w:szCs w:val="20"/>
        </w:rPr>
        <w:t xml:space="preserve"> ifgives veteran a higher evaluation</w:t>
      </w:r>
      <w:r w:rsidR="00871528">
        <w:rPr>
          <w:rFonts w:ascii="Arial" w:hAnsi="Arial"/>
          <w:sz w:val="20"/>
          <w:szCs w:val="20"/>
        </w:rPr>
        <w:t xml:space="preserve"> </w:t>
      </w:r>
      <w:r w:rsidRPr="002843B5">
        <w:rPr>
          <w:rFonts w:ascii="Arial" w:hAnsi="Arial"/>
          <w:sz w:val="20"/>
          <w:szCs w:val="20"/>
        </w:rPr>
        <w:t>(</w:t>
      </w:r>
      <w:r w:rsidR="00B12596" w:rsidRPr="00C820D0">
        <w:rPr>
          <w:rFonts w:ascii="Arial" w:hAnsi="Arial"/>
          <w:i/>
          <w:color w:val="00B050"/>
          <w:sz w:val="20"/>
          <w:szCs w:val="20"/>
        </w:rPr>
        <w:t xml:space="preserve">My Notes:  </w:t>
      </w:r>
      <w:r w:rsidR="00B12596" w:rsidRPr="00D36CD9">
        <w:rPr>
          <w:rFonts w:ascii="Arial" w:hAnsi="Arial"/>
          <w:i/>
          <w:sz w:val="20"/>
          <w:szCs w:val="20"/>
        </w:rPr>
        <w:t>I do not see this</w:t>
      </w:r>
      <w:r w:rsidR="002843B5" w:rsidRPr="00D36CD9">
        <w:rPr>
          <w:rFonts w:ascii="Arial" w:hAnsi="Arial"/>
          <w:i/>
          <w:sz w:val="20"/>
          <w:szCs w:val="20"/>
        </w:rPr>
        <w:t xml:space="preserve"> in the Live Manual</w:t>
      </w:r>
      <w:r w:rsidR="007D33C4" w:rsidRPr="00D36CD9">
        <w:rPr>
          <w:rFonts w:ascii="Arial" w:hAnsi="Arial"/>
          <w:i/>
          <w:sz w:val="20"/>
          <w:szCs w:val="20"/>
        </w:rPr>
        <w:t>, but the example in the hand-out confirms.</w:t>
      </w:r>
      <w:r w:rsidRPr="002843B5">
        <w:rPr>
          <w:rFonts w:ascii="Arial" w:hAnsi="Arial"/>
          <w:sz w:val="20"/>
          <w:szCs w:val="20"/>
        </w:rPr>
        <w:t>)</w:t>
      </w:r>
    </w:p>
    <w:p w:rsidR="006514A2" w:rsidRDefault="006514A2"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sz w:val="20"/>
          <w:szCs w:val="20"/>
        </w:rPr>
        <w:t>cognitive &amp; behavioral/emotional signs/symptoms – might overlap with any mental diagnoses</w:t>
      </w:r>
    </w:p>
    <w:p w:rsidR="006514A2" w:rsidRDefault="00526485"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b/>
          <w:sz w:val="20"/>
          <w:szCs w:val="20"/>
        </w:rPr>
        <w:t>III.iv.4.N</w:t>
      </w:r>
      <w:r w:rsidR="006514A2" w:rsidRPr="006514A2">
        <w:rPr>
          <w:rFonts w:ascii="Arial" w:hAnsi="Arial"/>
          <w:b/>
          <w:sz w:val="20"/>
          <w:szCs w:val="20"/>
        </w:rPr>
        <w:t>.3.a</w:t>
      </w:r>
      <w:r w:rsidR="006514A2">
        <w:rPr>
          <w:rFonts w:ascii="Arial" w:hAnsi="Arial"/>
          <w:sz w:val="20"/>
          <w:szCs w:val="20"/>
        </w:rPr>
        <w:t>, 3.114 applies, eff 1/16/14 – 5 diagnoses automatically secondary to TBI depending on</w:t>
      </w:r>
      <w:r w:rsidR="002B2849">
        <w:rPr>
          <w:rFonts w:ascii="Arial" w:hAnsi="Arial"/>
          <w:sz w:val="20"/>
          <w:szCs w:val="20"/>
        </w:rPr>
        <w:t xml:space="preserve"> initial</w:t>
      </w:r>
      <w:r w:rsidR="006514A2">
        <w:rPr>
          <w:rFonts w:ascii="Arial" w:hAnsi="Arial"/>
          <w:sz w:val="20"/>
          <w:szCs w:val="20"/>
        </w:rPr>
        <w:t xml:space="preserve"> severity of TBI</w:t>
      </w:r>
      <w:r w:rsidR="002B2849">
        <w:rPr>
          <w:rFonts w:ascii="Arial" w:hAnsi="Arial"/>
          <w:sz w:val="20"/>
          <w:szCs w:val="20"/>
        </w:rPr>
        <w:t xml:space="preserve">; RVSR determines initial severity per </w:t>
      </w:r>
      <w:r>
        <w:rPr>
          <w:rFonts w:ascii="Arial" w:hAnsi="Arial"/>
          <w:b/>
          <w:sz w:val="20"/>
          <w:szCs w:val="20"/>
        </w:rPr>
        <w:t>III.iv.4.N</w:t>
      </w:r>
      <w:r w:rsidR="002B2849" w:rsidRPr="002B2849">
        <w:rPr>
          <w:rFonts w:ascii="Arial" w:hAnsi="Arial"/>
          <w:b/>
          <w:sz w:val="20"/>
          <w:szCs w:val="20"/>
        </w:rPr>
        <w:t>.3.b</w:t>
      </w:r>
      <w:r w:rsidR="002B2849">
        <w:rPr>
          <w:rFonts w:ascii="Arial" w:hAnsi="Arial"/>
          <w:b/>
          <w:sz w:val="20"/>
          <w:szCs w:val="20"/>
        </w:rPr>
        <w:t>&amp;c&amp;d</w:t>
      </w:r>
      <w:r w:rsidR="002B2849">
        <w:rPr>
          <w:rFonts w:ascii="Arial" w:hAnsi="Arial"/>
          <w:sz w:val="20"/>
          <w:szCs w:val="20"/>
        </w:rPr>
        <w:t xml:space="preserve">; </w:t>
      </w:r>
      <w:r w:rsidR="006514A2">
        <w:rPr>
          <w:rFonts w:ascii="Arial" w:hAnsi="Arial"/>
          <w:sz w:val="20"/>
          <w:szCs w:val="20"/>
        </w:rPr>
        <w:t xml:space="preserve">unless have contradicting evidence, no </w:t>
      </w:r>
      <w:r w:rsidR="002B2849">
        <w:rPr>
          <w:rFonts w:ascii="Arial" w:hAnsi="Arial"/>
          <w:sz w:val="20"/>
          <w:szCs w:val="20"/>
        </w:rPr>
        <w:t xml:space="preserve">secondary </w:t>
      </w:r>
      <w:r w:rsidR="006514A2">
        <w:rPr>
          <w:rFonts w:ascii="Arial" w:hAnsi="Arial"/>
          <w:sz w:val="20"/>
          <w:szCs w:val="20"/>
        </w:rPr>
        <w:t>o</w:t>
      </w:r>
      <w:r w:rsidR="002B2849">
        <w:rPr>
          <w:rFonts w:ascii="Arial" w:hAnsi="Arial"/>
          <w:sz w:val="20"/>
          <w:szCs w:val="20"/>
        </w:rPr>
        <w:t>pinion is needed; if not specifically claimed &amp; TBI is not at issue in claim, invite if found</w:t>
      </w:r>
    </w:p>
    <w:p w:rsidR="006514A2" w:rsidRDefault="006514A2" w:rsidP="00F063AF">
      <w:pPr>
        <w:pStyle w:val="ListParagraph"/>
        <w:widowControl w:val="0"/>
        <w:numPr>
          <w:ilvl w:val="2"/>
          <w:numId w:val="177"/>
        </w:numPr>
        <w:tabs>
          <w:tab w:val="left" w:pos="0"/>
          <w:tab w:val="left" w:pos="330"/>
        </w:tabs>
        <w:spacing w:after="120" w:line="240" w:lineRule="auto"/>
        <w:ind w:left="1080"/>
        <w:rPr>
          <w:rFonts w:ascii="Arial" w:hAnsi="Arial"/>
          <w:sz w:val="20"/>
          <w:szCs w:val="20"/>
        </w:rPr>
      </w:pPr>
      <w:r>
        <w:rPr>
          <w:rFonts w:ascii="Arial" w:hAnsi="Arial"/>
          <w:sz w:val="20"/>
          <w:szCs w:val="20"/>
        </w:rPr>
        <w:t>Parkinsonism (mod or sev)</w:t>
      </w:r>
    </w:p>
    <w:p w:rsidR="006514A2" w:rsidRDefault="002B2849" w:rsidP="00F063AF">
      <w:pPr>
        <w:pStyle w:val="ListParagraph"/>
        <w:widowControl w:val="0"/>
        <w:numPr>
          <w:ilvl w:val="2"/>
          <w:numId w:val="177"/>
        </w:numPr>
        <w:tabs>
          <w:tab w:val="left" w:pos="0"/>
          <w:tab w:val="left" w:pos="330"/>
        </w:tabs>
        <w:spacing w:after="120" w:line="240" w:lineRule="auto"/>
        <w:ind w:left="1080"/>
        <w:rPr>
          <w:rFonts w:ascii="Arial" w:hAnsi="Arial"/>
          <w:sz w:val="20"/>
          <w:szCs w:val="20"/>
        </w:rPr>
      </w:pPr>
      <w:r>
        <w:rPr>
          <w:rFonts w:ascii="Arial" w:hAnsi="Arial"/>
          <w:sz w:val="20"/>
          <w:szCs w:val="20"/>
        </w:rPr>
        <w:t>u</w:t>
      </w:r>
      <w:r w:rsidR="006514A2">
        <w:rPr>
          <w:rFonts w:ascii="Arial" w:hAnsi="Arial"/>
          <w:sz w:val="20"/>
          <w:szCs w:val="20"/>
        </w:rPr>
        <w:t>nprovoked seizures (mod or sev)</w:t>
      </w:r>
    </w:p>
    <w:p w:rsidR="006514A2" w:rsidRDefault="002B2849" w:rsidP="00F063AF">
      <w:pPr>
        <w:pStyle w:val="ListParagraph"/>
        <w:widowControl w:val="0"/>
        <w:numPr>
          <w:ilvl w:val="2"/>
          <w:numId w:val="177"/>
        </w:numPr>
        <w:tabs>
          <w:tab w:val="left" w:pos="0"/>
          <w:tab w:val="left" w:pos="330"/>
        </w:tabs>
        <w:spacing w:after="120" w:line="240" w:lineRule="auto"/>
        <w:ind w:left="1080"/>
        <w:rPr>
          <w:rFonts w:ascii="Arial" w:hAnsi="Arial"/>
          <w:sz w:val="20"/>
          <w:szCs w:val="20"/>
        </w:rPr>
      </w:pPr>
      <w:r>
        <w:rPr>
          <w:rFonts w:ascii="Arial" w:hAnsi="Arial"/>
          <w:sz w:val="20"/>
          <w:szCs w:val="20"/>
        </w:rPr>
        <w:t>d</w:t>
      </w:r>
      <w:r w:rsidR="006514A2">
        <w:rPr>
          <w:rFonts w:ascii="Arial" w:hAnsi="Arial"/>
          <w:sz w:val="20"/>
          <w:szCs w:val="20"/>
        </w:rPr>
        <w:t>ementias (w/i 15 years of mod or sev)</w:t>
      </w:r>
    </w:p>
    <w:p w:rsidR="006514A2" w:rsidRDefault="002B2849" w:rsidP="00F063AF">
      <w:pPr>
        <w:pStyle w:val="ListParagraph"/>
        <w:widowControl w:val="0"/>
        <w:numPr>
          <w:ilvl w:val="2"/>
          <w:numId w:val="177"/>
        </w:numPr>
        <w:tabs>
          <w:tab w:val="left" w:pos="0"/>
          <w:tab w:val="left" w:pos="330"/>
        </w:tabs>
        <w:spacing w:after="120" w:line="240" w:lineRule="auto"/>
        <w:ind w:left="1080"/>
        <w:rPr>
          <w:rFonts w:ascii="Arial" w:hAnsi="Arial"/>
          <w:sz w:val="20"/>
          <w:szCs w:val="20"/>
        </w:rPr>
      </w:pPr>
      <w:r>
        <w:rPr>
          <w:rFonts w:ascii="Arial" w:hAnsi="Arial"/>
          <w:sz w:val="20"/>
          <w:szCs w:val="20"/>
        </w:rPr>
        <w:t>d</w:t>
      </w:r>
      <w:r w:rsidR="006514A2">
        <w:rPr>
          <w:rFonts w:ascii="Arial" w:hAnsi="Arial"/>
          <w:sz w:val="20"/>
          <w:szCs w:val="20"/>
        </w:rPr>
        <w:t>epression (w/i 3 years of mod or sev or w/i 1 year of mild)</w:t>
      </w:r>
    </w:p>
    <w:p w:rsidR="006514A2" w:rsidRPr="002B2849" w:rsidRDefault="002B2849" w:rsidP="00F063AF">
      <w:pPr>
        <w:pStyle w:val="ListParagraph"/>
        <w:widowControl w:val="0"/>
        <w:numPr>
          <w:ilvl w:val="2"/>
          <w:numId w:val="177"/>
        </w:numPr>
        <w:tabs>
          <w:tab w:val="left" w:pos="0"/>
          <w:tab w:val="left" w:pos="330"/>
        </w:tabs>
        <w:spacing w:after="120" w:line="240" w:lineRule="auto"/>
        <w:ind w:left="1080"/>
        <w:rPr>
          <w:rFonts w:ascii="Arial" w:hAnsi="Arial"/>
          <w:sz w:val="20"/>
          <w:szCs w:val="20"/>
        </w:rPr>
      </w:pPr>
      <w:r>
        <w:rPr>
          <w:rFonts w:ascii="Arial" w:hAnsi="Arial"/>
          <w:sz w:val="20"/>
          <w:szCs w:val="20"/>
        </w:rPr>
        <w:t>d</w:t>
      </w:r>
      <w:r w:rsidR="006514A2">
        <w:rPr>
          <w:rFonts w:ascii="Arial" w:hAnsi="Arial"/>
          <w:sz w:val="20"/>
          <w:szCs w:val="20"/>
        </w:rPr>
        <w:t>isease</w:t>
      </w:r>
      <w:r>
        <w:rPr>
          <w:rFonts w:ascii="Arial" w:hAnsi="Arial"/>
          <w:sz w:val="20"/>
          <w:szCs w:val="20"/>
        </w:rPr>
        <w:t>s</w:t>
      </w:r>
      <w:r w:rsidR="006514A2">
        <w:rPr>
          <w:rFonts w:ascii="Arial" w:hAnsi="Arial"/>
          <w:sz w:val="20"/>
          <w:szCs w:val="20"/>
        </w:rPr>
        <w:t xml:space="preserve"> of hormone deficiency from hypothalamo-pituitary changes (w/i 1 year of mod or sev)</w:t>
      </w:r>
    </w:p>
    <w:p w:rsidR="006514A2" w:rsidRDefault="006F51B1"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sz w:val="20"/>
          <w:szCs w:val="20"/>
        </w:rPr>
        <w:t>must have in-service event</w:t>
      </w:r>
    </w:p>
    <w:p w:rsidR="006F51B1" w:rsidRDefault="006F51B1"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sz w:val="20"/>
          <w:szCs w:val="20"/>
        </w:rPr>
        <w:t xml:space="preserve">SMC T (if at 100% for TBI &amp; at L for A&amp;A for TBI, then if need higher level of </w:t>
      </w:r>
      <w:r w:rsidRPr="005C29C2">
        <w:rPr>
          <w:rFonts w:ascii="Arial" w:hAnsi="Arial"/>
          <w:sz w:val="20"/>
          <w:szCs w:val="20"/>
        </w:rPr>
        <w:t>care &amp; would need nursing/hospital care, pays at R2 level), only</w:t>
      </w:r>
      <w:r w:rsidR="00023BAD" w:rsidRPr="005C29C2">
        <w:rPr>
          <w:rFonts w:ascii="Arial" w:hAnsi="Arial"/>
          <w:sz w:val="20"/>
          <w:szCs w:val="20"/>
        </w:rPr>
        <w:t xml:space="preserve"> </w:t>
      </w:r>
      <w:r w:rsidRPr="005C29C2">
        <w:rPr>
          <w:rFonts w:ascii="Arial" w:hAnsi="Arial"/>
          <w:sz w:val="20"/>
          <w:szCs w:val="20"/>
        </w:rPr>
        <w:t xml:space="preserve">need paragraphs for L &amp; R2, add note on codesheet:  </w:t>
      </w:r>
      <w:r w:rsidRPr="005C29C2">
        <w:rPr>
          <w:rStyle w:val="Emphasis"/>
          <w:rFonts w:ascii="Arial" w:hAnsi="Arial"/>
          <w:i w:val="0"/>
          <w:sz w:val="20"/>
          <w:szCs w:val="20"/>
        </w:rPr>
        <w:t>SMC(t) = (r)(2)</w:t>
      </w:r>
      <w:r w:rsidRPr="005C29C2">
        <w:rPr>
          <w:rFonts w:ascii="Arial" w:hAnsi="Arial"/>
          <w:sz w:val="20"/>
          <w:szCs w:val="20"/>
        </w:rPr>
        <w:t xml:space="preserve">; </w:t>
      </w:r>
      <w:r w:rsidRPr="005C29C2">
        <w:rPr>
          <w:rFonts w:ascii="Arial" w:hAnsi="Arial"/>
          <w:b/>
          <w:sz w:val="20"/>
          <w:szCs w:val="20"/>
        </w:rPr>
        <w:t>IV.ii.2.H.11</w:t>
      </w:r>
      <w:r w:rsidR="000A206A">
        <w:rPr>
          <w:rFonts w:ascii="Arial" w:hAnsi="Arial"/>
          <w:sz w:val="20"/>
          <w:szCs w:val="20"/>
        </w:rPr>
        <w:t>, 3.350 updated 5/8/18 with new paragraph (j), 3.352 updated 5/8/18 with new paragraph (b)(2)</w:t>
      </w:r>
    </w:p>
    <w:p w:rsidR="006F51B1" w:rsidRPr="00C33C75" w:rsidRDefault="006F51B1" w:rsidP="00F063AF">
      <w:pPr>
        <w:pStyle w:val="ListParagraph"/>
        <w:widowControl w:val="0"/>
        <w:numPr>
          <w:ilvl w:val="1"/>
          <w:numId w:val="177"/>
        </w:numPr>
        <w:tabs>
          <w:tab w:val="left" w:pos="0"/>
          <w:tab w:val="left" w:pos="330"/>
        </w:tabs>
        <w:spacing w:after="120" w:line="240" w:lineRule="auto"/>
        <w:ind w:left="720"/>
        <w:rPr>
          <w:rFonts w:ascii="Arial" w:hAnsi="Arial"/>
          <w:b/>
          <w:i/>
          <w:sz w:val="20"/>
          <w:szCs w:val="20"/>
        </w:rPr>
      </w:pPr>
      <w:r>
        <w:rPr>
          <w:rFonts w:ascii="Arial" w:hAnsi="Arial"/>
          <w:sz w:val="20"/>
          <w:szCs w:val="20"/>
        </w:rPr>
        <w:t xml:space="preserve">be careful with effective dates when changing from TBI w/PTSD with one evaluation, to separate evaluations (and </w:t>
      </w:r>
      <w:r w:rsidRPr="00BE34D1">
        <w:rPr>
          <w:rFonts w:ascii="Arial" w:hAnsi="Arial"/>
          <w:sz w:val="20"/>
          <w:szCs w:val="20"/>
        </w:rPr>
        <w:t>vice versa)</w:t>
      </w:r>
    </w:p>
    <w:p w:rsidR="00C33C75" w:rsidRDefault="00C33C75" w:rsidP="00F063AF">
      <w:pPr>
        <w:pStyle w:val="ListParagraph"/>
        <w:widowControl w:val="0"/>
        <w:numPr>
          <w:ilvl w:val="0"/>
          <w:numId w:val="177"/>
        </w:numPr>
        <w:tabs>
          <w:tab w:val="left" w:pos="0"/>
          <w:tab w:val="left" w:pos="330"/>
        </w:tabs>
        <w:spacing w:after="120" w:line="240" w:lineRule="auto"/>
        <w:ind w:left="360"/>
        <w:rPr>
          <w:rFonts w:ascii="Arial" w:hAnsi="Arial"/>
          <w:sz w:val="20"/>
          <w:szCs w:val="20"/>
        </w:rPr>
      </w:pPr>
      <w:r w:rsidRPr="00C33C75">
        <w:rPr>
          <w:rFonts w:ascii="Arial" w:hAnsi="Arial"/>
          <w:b/>
          <w:bCs/>
          <w:i/>
          <w:sz w:val="20"/>
          <w:szCs w:val="20"/>
        </w:rPr>
        <w:t>Policy Letter 21-16-13 – Review of Traumatic Brain Injury (TBI) Claims</w:t>
      </w:r>
      <w:r>
        <w:rPr>
          <w:rFonts w:ascii="Arial" w:hAnsi="Arial"/>
          <w:bCs/>
          <w:sz w:val="20"/>
          <w:szCs w:val="20"/>
        </w:rPr>
        <w:t xml:space="preserve"> / TBI Equitable Relief Review </w:t>
      </w:r>
      <w:r w:rsidRPr="00B76DA1">
        <w:rPr>
          <w:rFonts w:ascii="Arial" w:hAnsi="Arial"/>
          <w:bCs/>
          <w:i/>
          <w:sz w:val="20"/>
          <w:szCs w:val="20"/>
        </w:rPr>
        <w:t>(veteran flash)</w:t>
      </w:r>
      <w:r>
        <w:rPr>
          <w:rFonts w:ascii="Arial" w:hAnsi="Arial"/>
          <w:bCs/>
          <w:sz w:val="20"/>
          <w:szCs w:val="20"/>
        </w:rPr>
        <w:t xml:space="preserve"> / TBI Exam Review </w:t>
      </w:r>
      <w:r w:rsidRPr="00B76DA1">
        <w:rPr>
          <w:rFonts w:ascii="Arial" w:hAnsi="Arial"/>
          <w:bCs/>
          <w:i/>
          <w:sz w:val="20"/>
          <w:szCs w:val="20"/>
        </w:rPr>
        <w:t>(claim-specific special issue indicator</w:t>
      </w:r>
      <w:r w:rsidR="00B76DA1">
        <w:rPr>
          <w:rFonts w:ascii="Arial" w:hAnsi="Arial"/>
          <w:bCs/>
          <w:i/>
          <w:sz w:val="20"/>
          <w:szCs w:val="20"/>
        </w:rPr>
        <w:t xml:space="preserve"> on TBI issue/contention</w:t>
      </w:r>
      <w:r w:rsidRPr="00B76DA1">
        <w:rPr>
          <w:rFonts w:ascii="Arial" w:hAnsi="Arial"/>
          <w:bCs/>
          <w:i/>
          <w:sz w:val="20"/>
          <w:szCs w:val="20"/>
        </w:rPr>
        <w:t>)</w:t>
      </w:r>
      <w:r>
        <w:rPr>
          <w:rFonts w:ascii="Arial" w:hAnsi="Arial"/>
          <w:bCs/>
          <w:sz w:val="20"/>
          <w:szCs w:val="20"/>
        </w:rPr>
        <w:t xml:space="preserve"> -</w:t>
      </w:r>
    </w:p>
    <w:p w:rsidR="00B76DA1" w:rsidRPr="004F5CD4" w:rsidRDefault="00C33C75"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sidRPr="004F5CD4">
        <w:rPr>
          <w:rFonts w:ascii="Arial" w:hAnsi="Arial"/>
          <w:sz w:val="20"/>
          <w:szCs w:val="20"/>
        </w:rPr>
        <w:t>Per letter, need Initial TBI exam conducted by psysiatrist, psychiatrist, neurosurgeon or neurologist</w:t>
      </w:r>
      <w:r w:rsidR="004F5CD4" w:rsidRPr="004F5CD4">
        <w:rPr>
          <w:rFonts w:ascii="Arial" w:hAnsi="Arial"/>
          <w:sz w:val="20"/>
          <w:szCs w:val="20"/>
        </w:rPr>
        <w:t>;</w:t>
      </w:r>
      <w:r w:rsidR="00B76DA1" w:rsidRPr="004F5CD4">
        <w:rPr>
          <w:rFonts w:ascii="Arial" w:hAnsi="Arial"/>
          <w:sz w:val="20"/>
          <w:szCs w:val="20"/>
        </w:rPr>
        <w:t xml:space="preserve"> only developed, rated &amp; authorized by Togus, Nashville, St. Paul, San Diego and Muskogee</w:t>
      </w:r>
      <w:r w:rsidR="004F5CD4">
        <w:rPr>
          <w:rFonts w:ascii="Arial" w:hAnsi="Arial"/>
          <w:sz w:val="20"/>
          <w:szCs w:val="20"/>
        </w:rPr>
        <w:t>; veteran has one year from 5/3/16 letter to request a new exam</w:t>
      </w:r>
    </w:p>
    <w:p w:rsidR="00C33C75" w:rsidRPr="00BE34D1" w:rsidRDefault="00C33C75" w:rsidP="00F063AF">
      <w:pPr>
        <w:pStyle w:val="ListParagraph"/>
        <w:widowControl w:val="0"/>
        <w:numPr>
          <w:ilvl w:val="1"/>
          <w:numId w:val="177"/>
        </w:numPr>
        <w:tabs>
          <w:tab w:val="left" w:pos="0"/>
          <w:tab w:val="left" w:pos="330"/>
        </w:tabs>
        <w:spacing w:after="120" w:line="240" w:lineRule="auto"/>
        <w:ind w:left="720"/>
        <w:rPr>
          <w:rFonts w:ascii="Arial" w:hAnsi="Arial"/>
          <w:sz w:val="20"/>
          <w:szCs w:val="20"/>
        </w:rPr>
      </w:pPr>
      <w:r>
        <w:rPr>
          <w:rFonts w:ascii="Arial" w:hAnsi="Arial"/>
          <w:sz w:val="20"/>
          <w:szCs w:val="20"/>
        </w:rPr>
        <w:t xml:space="preserve">Per Beth, 8/30/16, </w:t>
      </w:r>
      <w:r w:rsidR="004F5CD4">
        <w:rPr>
          <w:rFonts w:ascii="Arial" w:hAnsi="Arial"/>
          <w:sz w:val="20"/>
          <w:szCs w:val="20"/>
        </w:rPr>
        <w:t xml:space="preserve">all </w:t>
      </w:r>
      <w:r>
        <w:rPr>
          <w:rFonts w:ascii="Arial" w:hAnsi="Arial"/>
          <w:sz w:val="20"/>
          <w:szCs w:val="20"/>
        </w:rPr>
        <w:t>should go to a prior SpecOps RVSR</w:t>
      </w:r>
      <w:r w:rsidR="0031206D">
        <w:rPr>
          <w:rFonts w:ascii="Arial" w:hAnsi="Arial"/>
          <w:sz w:val="20"/>
          <w:szCs w:val="20"/>
        </w:rPr>
        <w:t xml:space="preserve"> to rate (email Beth if get one to rate, or one where exam is warranted)</w:t>
      </w:r>
      <w:r w:rsidR="00C237D5">
        <w:rPr>
          <w:rFonts w:ascii="Arial" w:hAnsi="Arial"/>
          <w:sz w:val="20"/>
          <w:szCs w:val="20"/>
        </w:rPr>
        <w:t>; as of 10/16, also email Sally</w:t>
      </w:r>
    </w:p>
    <w:p w:rsidR="002F5977" w:rsidRPr="006A469C" w:rsidRDefault="002F5977" w:rsidP="002F5977">
      <w:pPr>
        <w:pStyle w:val="ListParagraph"/>
        <w:pBdr>
          <w:top w:val="double" w:sz="4" w:space="1" w:color="auto"/>
          <w:left w:val="double" w:sz="4" w:space="4" w:color="auto"/>
          <w:bottom w:val="double" w:sz="4" w:space="1" w:color="auto"/>
          <w:right w:val="double" w:sz="4" w:space="4" w:color="auto"/>
        </w:pBdr>
        <w:shd w:val="clear" w:color="auto" w:fill="FFC000"/>
        <w:tabs>
          <w:tab w:val="left" w:pos="360"/>
        </w:tabs>
        <w:spacing w:after="120"/>
        <w:ind w:left="0"/>
        <w:rPr>
          <w:rFonts w:ascii="Arial" w:hAnsi="Arial"/>
          <w:sz w:val="20"/>
          <w:szCs w:val="20"/>
        </w:rPr>
      </w:pPr>
      <w:r w:rsidRPr="006A469C">
        <w:rPr>
          <w:rFonts w:ascii="Arial" w:eastAsiaTheme="minorHAnsi" w:hAnsi="Arial"/>
          <w:b/>
          <w:sz w:val="20"/>
          <w:szCs w:val="20"/>
        </w:rPr>
        <w:t>Determining Evaluation Criteria for Rating Residuals of Traumatic Brain Injury (TBI) [RVSR Job Aid]</w:t>
      </w:r>
      <w:r w:rsidR="00BE34D1" w:rsidRPr="006A469C">
        <w:rPr>
          <w:rFonts w:ascii="Arial" w:hAnsi="Arial"/>
          <w:sz w:val="20"/>
          <w:szCs w:val="20"/>
        </w:rPr>
        <w:t xml:space="preserve">, </w:t>
      </w:r>
      <w:r w:rsidR="00BE34D1" w:rsidRPr="006A469C">
        <w:rPr>
          <w:rFonts w:ascii="Arial" w:eastAsiaTheme="minorHAnsi" w:hAnsi="Arial"/>
          <w:b/>
          <w:sz w:val="20"/>
          <w:szCs w:val="20"/>
        </w:rPr>
        <w:t>TBI, Case Law and Nehmer Timeline [spreadsheet with 8045 TBI Facets &amp; Info]</w:t>
      </w:r>
      <w:r w:rsidR="00BE34D1" w:rsidRPr="006A469C">
        <w:rPr>
          <w:rFonts w:ascii="Arial" w:eastAsiaTheme="minorHAnsi" w:hAnsi="Arial"/>
          <w:sz w:val="20"/>
          <w:szCs w:val="20"/>
        </w:rPr>
        <w:t xml:space="preserve"> </w:t>
      </w:r>
      <w:r w:rsidR="00BE34D1" w:rsidRPr="006A469C">
        <w:rPr>
          <w:rFonts w:ascii="Arial" w:hAnsi="Arial"/>
          <w:sz w:val="20"/>
          <w:szCs w:val="20"/>
        </w:rPr>
        <w:t xml:space="preserve">&amp; </w:t>
      </w:r>
      <w:r w:rsidR="00BE34D1" w:rsidRPr="006A469C">
        <w:rPr>
          <w:rFonts w:ascii="Arial" w:hAnsi="Arial"/>
          <w:b/>
          <w:sz w:val="20"/>
          <w:szCs w:val="20"/>
        </w:rPr>
        <w:t>TBI_Policy_Letter_21-16-03.pdf</w:t>
      </w:r>
      <w:r w:rsidR="00BE34D1" w:rsidRPr="006A469C">
        <w:rPr>
          <w:rFonts w:ascii="Arial" w:hAnsi="Arial"/>
          <w:sz w:val="20"/>
          <w:szCs w:val="20"/>
        </w:rPr>
        <w:t xml:space="preserve"> are</w:t>
      </w:r>
      <w:r w:rsidRPr="006A469C">
        <w:rPr>
          <w:rFonts w:ascii="Arial" w:hAnsi="Arial"/>
          <w:sz w:val="20"/>
          <w:szCs w:val="20"/>
        </w:rPr>
        <w:t xml:space="preserve"> saved at </w:t>
      </w:r>
      <w:r w:rsidRPr="006A469C">
        <w:rPr>
          <w:rFonts w:ascii="Arial" w:hAnsi="Arial"/>
          <w:b/>
          <w:bCs/>
          <w:i/>
          <w:iCs/>
          <w:sz w:val="20"/>
          <w:szCs w:val="20"/>
        </w:rPr>
        <w:t>H:\VSC\Rating Reference</w:t>
      </w:r>
    </w:p>
    <w:p w:rsidR="003D3E58" w:rsidRDefault="003D3E58" w:rsidP="00F063AF">
      <w:pPr>
        <w:pStyle w:val="ListParagraph"/>
        <w:widowControl w:val="0"/>
        <w:numPr>
          <w:ilvl w:val="0"/>
          <w:numId w:val="177"/>
        </w:numPr>
        <w:tabs>
          <w:tab w:val="left" w:pos="0"/>
          <w:tab w:val="left" w:pos="330"/>
        </w:tabs>
        <w:spacing w:after="120" w:line="240" w:lineRule="auto"/>
        <w:ind w:left="360"/>
        <w:rPr>
          <w:rFonts w:ascii="Arial" w:hAnsi="Arial"/>
          <w:sz w:val="20"/>
          <w:szCs w:val="20"/>
        </w:rPr>
      </w:pPr>
      <w:r w:rsidRPr="003D3E58">
        <w:rPr>
          <w:rFonts w:ascii="Arial" w:hAnsi="Arial"/>
          <w:b/>
          <w:bCs/>
          <w:i/>
          <w:sz w:val="20"/>
          <w:szCs w:val="20"/>
        </w:rPr>
        <w:t>October 2017 Consistency Study</w:t>
      </w:r>
      <w:r>
        <w:rPr>
          <w:rFonts w:ascii="Arial" w:hAnsi="Arial"/>
          <w:bCs/>
          <w:sz w:val="20"/>
          <w:szCs w:val="20"/>
        </w:rPr>
        <w:t xml:space="preserve"> said can give separate 10% for tinnitus even i</w:t>
      </w:r>
      <w:r w:rsidR="00E07DBB">
        <w:rPr>
          <w:rFonts w:ascii="Arial" w:hAnsi="Arial"/>
          <w:bCs/>
          <w:sz w:val="20"/>
          <w:szCs w:val="20"/>
        </w:rPr>
        <w:t>f not on audio exam</w:t>
      </w:r>
    </w:p>
    <w:p w:rsidR="006E25B4" w:rsidRDefault="006E25B4">
      <w:pPr>
        <w:widowControl w:val="0"/>
        <w:numPr>
          <w:ilvl w:val="12"/>
          <w:numId w:val="0"/>
        </w:numPr>
        <w:rPr>
          <w:color w:val="FF0000"/>
        </w:rPr>
      </w:pPr>
    </w:p>
    <w:p w:rsidR="00F90BEA" w:rsidRDefault="00F90BEA" w:rsidP="00F90BEA">
      <w:pPr>
        <w:pStyle w:val="Header"/>
        <w:widowControl w:val="0"/>
        <w:pBdr>
          <w:top w:val="single" w:sz="4" w:space="1" w:color="auto"/>
          <w:left w:val="single" w:sz="4" w:space="4" w:color="auto"/>
          <w:bottom w:val="single" w:sz="4" w:space="3" w:color="auto"/>
          <w:right w:val="single" w:sz="4" w:space="4" w:color="auto"/>
        </w:pBdr>
        <w:rPr>
          <w:bCs/>
          <w:i/>
        </w:rPr>
      </w:pPr>
      <w:r w:rsidRPr="007A4EEB">
        <w:rPr>
          <w:b/>
          <w:bCs/>
        </w:rPr>
        <w:t>TBI denial</w:t>
      </w:r>
      <w:r>
        <w:rPr>
          <w:bCs/>
          <w:i/>
        </w:rPr>
        <w:t xml:space="preserve"> </w:t>
      </w:r>
      <w:r w:rsidRPr="007A4EEB">
        <w:rPr>
          <w:bCs/>
          <w:i/>
        </w:rPr>
        <w:t xml:space="preserve">(need Long Form Narrative, per </w:t>
      </w:r>
      <w:r w:rsidRPr="007A4EEB">
        <w:rPr>
          <w:b/>
          <w:bCs/>
        </w:rPr>
        <w:t>III.iv.6.C.7.a</w:t>
      </w:r>
      <w:r w:rsidRPr="007A4EEB">
        <w:rPr>
          <w:bCs/>
          <w:i/>
        </w:rPr>
        <w:t>):</w:t>
      </w:r>
    </w:p>
    <w:p w:rsidR="00F90BEA" w:rsidRDefault="00F90BEA" w:rsidP="00F90BEA">
      <w:pPr>
        <w:pStyle w:val="Header"/>
        <w:widowControl w:val="0"/>
        <w:pBdr>
          <w:top w:val="single" w:sz="4" w:space="1" w:color="auto"/>
          <w:left w:val="single" w:sz="4" w:space="4" w:color="auto"/>
          <w:bottom w:val="single" w:sz="4" w:space="3" w:color="auto"/>
          <w:right w:val="single" w:sz="4" w:space="4" w:color="auto"/>
        </w:pBdr>
        <w:rPr>
          <w:bCs/>
          <w:i/>
        </w:rPr>
      </w:pPr>
    </w:p>
    <w:p w:rsidR="00F90BEA" w:rsidRDefault="00F90BEA" w:rsidP="00F90BEA">
      <w:pPr>
        <w:pStyle w:val="Header"/>
        <w:widowControl w:val="0"/>
        <w:pBdr>
          <w:top w:val="single" w:sz="4" w:space="1" w:color="auto"/>
          <w:left w:val="single" w:sz="4" w:space="4" w:color="auto"/>
          <w:bottom w:val="single" w:sz="4" w:space="3" w:color="auto"/>
          <w:right w:val="single" w:sz="4" w:space="4" w:color="auto"/>
        </w:pBdr>
      </w:pPr>
      <w:r>
        <w:t>Service connection for traumatic brain injury may be granted when there is evidence establishing a clear diagnosis of the condition, credible supporting evidence that the traumatic brain injury actually occurred, and a nexus or link established by medical evidence, between symptomatology and the in-service traumatic brain injury. Occurrence of a traumatic brain injury in service is indicated by new onset or worsening of at least one of the following clinical signs immediately following the event: any period of loss of or a decreased level of consciousness; any loss of memory for events immediately before or after the injury; any alteration in mental state at the time of injury (confusion, disorientation, slowed thinking, etc); neurological deficits (weakness, loss of balance, change in vision, praxis, paresis/plegia, sensory loss, aphagia, etc.) that may or may not be transient; or intracranial lesion.</w:t>
      </w:r>
    </w:p>
    <w:p w:rsidR="00F90BEA" w:rsidRDefault="00F90BEA" w:rsidP="00F90BEA">
      <w:pPr>
        <w:pStyle w:val="Header"/>
        <w:widowControl w:val="0"/>
        <w:pBdr>
          <w:top w:val="single" w:sz="4" w:space="1" w:color="auto"/>
          <w:left w:val="single" w:sz="4" w:space="4" w:color="auto"/>
          <w:bottom w:val="single" w:sz="4" w:space="3" w:color="auto"/>
          <w:right w:val="single" w:sz="4" w:space="4" w:color="auto"/>
        </w:pBdr>
      </w:pPr>
    </w:p>
    <w:p w:rsidR="00F90BEA" w:rsidRDefault="00F90BEA" w:rsidP="00F90BEA">
      <w:pPr>
        <w:pStyle w:val="Header"/>
        <w:widowControl w:val="0"/>
        <w:pBdr>
          <w:top w:val="single" w:sz="4" w:space="1" w:color="auto"/>
          <w:left w:val="single" w:sz="4" w:space="4" w:color="auto"/>
          <w:bottom w:val="single" w:sz="4" w:space="3" w:color="auto"/>
          <w:right w:val="single" w:sz="4" w:space="4" w:color="auto"/>
        </w:pBdr>
      </w:pPr>
      <w:r>
        <w:rPr>
          <w:rFonts w:ascii="Verdana" w:hAnsi="Verdana"/>
          <w:b/>
          <w:bCs/>
          <w:highlight w:val="green"/>
        </w:rPr>
        <w:t>NIS</w:t>
      </w:r>
      <w:r w:rsidRPr="00315F62">
        <w:t xml:space="preserve"> </w:t>
      </w:r>
      <w:r>
        <w:rPr>
          <w:rFonts w:ascii="Verdana" w:hAnsi="Verdana"/>
          <w:b/>
          <w:bCs/>
          <w:highlight w:val="green"/>
        </w:rPr>
        <w:t>STRs</w:t>
      </w:r>
      <w:r>
        <w:t xml:space="preserve"> You denied any head injury, memory loss or amnesia, as well as a period of unconsciousness or concussion, on your {} separation examination and the clinical evaluation showed normal neurological findings. / Your neurological findings were noted to be normal on the clinical evaluation of your {} separation examination.  </w:t>
      </w:r>
    </w:p>
    <w:p w:rsidR="00F90BEA" w:rsidRDefault="00F90BEA" w:rsidP="00F90BEA">
      <w:pPr>
        <w:pStyle w:val="Header"/>
        <w:widowControl w:val="0"/>
        <w:pBdr>
          <w:top w:val="single" w:sz="4" w:space="1" w:color="auto"/>
          <w:left w:val="single" w:sz="4" w:space="4" w:color="auto"/>
          <w:bottom w:val="single" w:sz="4" w:space="3" w:color="auto"/>
          <w:right w:val="single" w:sz="4" w:space="4" w:color="auto"/>
        </w:pBdr>
      </w:pPr>
    </w:p>
    <w:p w:rsidR="00F90BEA" w:rsidRDefault="00F90BEA" w:rsidP="00F90BEA">
      <w:pPr>
        <w:pStyle w:val="Header"/>
        <w:widowControl w:val="0"/>
        <w:pBdr>
          <w:top w:val="single" w:sz="4" w:space="1" w:color="auto"/>
          <w:left w:val="single" w:sz="4" w:space="4" w:color="auto"/>
          <w:bottom w:val="single" w:sz="4" w:space="3" w:color="auto"/>
          <w:right w:val="single" w:sz="4" w:space="4" w:color="auto"/>
        </w:pBdr>
      </w:pPr>
      <w:r>
        <w:rPr>
          <w:rFonts w:ascii="Verdana" w:hAnsi="Verdana"/>
          <w:b/>
          <w:bCs/>
          <w:highlight w:val="green"/>
        </w:rPr>
        <w:t>ACK_SX</w:t>
      </w:r>
      <w:r>
        <w:t xml:space="preserve"> The treatment records show evidence of {}.  </w:t>
      </w:r>
    </w:p>
    <w:p w:rsidR="00F90BEA" w:rsidRDefault="00F90BEA" w:rsidP="00F90BEA">
      <w:pPr>
        <w:pStyle w:val="Header"/>
        <w:widowControl w:val="0"/>
        <w:pBdr>
          <w:top w:val="single" w:sz="4" w:space="1" w:color="auto"/>
          <w:left w:val="single" w:sz="4" w:space="4" w:color="auto"/>
          <w:bottom w:val="single" w:sz="4" w:space="3" w:color="auto"/>
          <w:right w:val="single" w:sz="4" w:space="4" w:color="auto"/>
        </w:pBdr>
      </w:pPr>
      <w:r>
        <w:t xml:space="preserve">OR </w:t>
      </w:r>
    </w:p>
    <w:p w:rsidR="00F90BEA" w:rsidRDefault="00F90BEA" w:rsidP="00F90BEA">
      <w:pPr>
        <w:pStyle w:val="Header"/>
        <w:widowControl w:val="0"/>
        <w:pBdr>
          <w:top w:val="single" w:sz="4" w:space="1" w:color="auto"/>
          <w:left w:val="single" w:sz="4" w:space="4" w:color="auto"/>
          <w:bottom w:val="single" w:sz="4" w:space="3" w:color="auto"/>
          <w:right w:val="single" w:sz="4" w:space="4" w:color="auto"/>
        </w:pBdr>
      </w:pPr>
      <w:r>
        <w:rPr>
          <w:rFonts w:ascii="Verdana" w:hAnsi="Verdana"/>
          <w:b/>
          <w:bCs/>
          <w:highlight w:val="green"/>
        </w:rPr>
        <w:t>NODX</w:t>
      </w:r>
      <w:r>
        <w:t xml:space="preserve"> The treatment records show no current medical evidence of {}. / There is no current medical evidence of {}. </w:t>
      </w:r>
    </w:p>
    <w:p w:rsidR="00F90BEA" w:rsidRDefault="00F90BEA">
      <w:pPr>
        <w:widowControl w:val="0"/>
        <w:numPr>
          <w:ilvl w:val="12"/>
          <w:numId w:val="0"/>
        </w:numPr>
        <w:rPr>
          <w:color w:val="FF0000"/>
        </w:rPr>
      </w:pPr>
    </w:p>
    <w:p w:rsidR="00013EB8" w:rsidRPr="00D97CFF" w:rsidRDefault="00013EB8">
      <w:pPr>
        <w:widowControl w:val="0"/>
        <w:numPr>
          <w:ilvl w:val="12"/>
          <w:numId w:val="0"/>
        </w:numPr>
      </w:pPr>
      <w:r>
        <w:rPr>
          <w:color w:val="FF0000"/>
        </w:rPr>
        <w:t>8046</w:t>
      </w:r>
      <w:r>
        <w:rPr>
          <w:color w:val="FF0000"/>
        </w:rPr>
        <w:tab/>
        <w:t>Cerebral arteriosclerosis</w:t>
      </w:r>
      <w:r w:rsidR="00D97CFF">
        <w:t xml:space="preserve"> (rate vasovagal syndrome analogous, 8099-8046; Dr. Corey at C&amp;P at VAMC San Diego said to use a CNS DBQ)</w:t>
      </w:r>
    </w:p>
    <w:p w:rsidR="00013EB8" w:rsidRDefault="00013EB8">
      <w:pPr>
        <w:widowControl w:val="0"/>
        <w:numPr>
          <w:ilvl w:val="12"/>
          <w:numId w:val="0"/>
        </w:numPr>
        <w:rPr>
          <w:b/>
        </w:rPr>
      </w:pPr>
    </w:p>
    <w:p w:rsidR="00013EB8" w:rsidRDefault="00013EB8">
      <w:pPr>
        <w:widowControl w:val="0"/>
        <w:rPr>
          <w:bCs/>
          <w:i/>
          <w:iCs/>
        </w:rPr>
      </w:pPr>
    </w:p>
    <w:p w:rsidR="00013EB8" w:rsidRDefault="00013EB8">
      <w:pPr>
        <w:pStyle w:val="Heading1"/>
        <w:keepNext w:val="0"/>
        <w:widowControl w:val="0"/>
        <w:numPr>
          <w:ilvl w:val="12"/>
          <w:numId w:val="0"/>
        </w:numPr>
        <w:rPr>
          <w:b/>
          <w:bCs/>
          <w:i w:val="0"/>
          <w:iCs w:val="0"/>
          <w:sz w:val="20"/>
        </w:rPr>
      </w:pPr>
      <w:r>
        <w:rPr>
          <w:b/>
          <w:bCs/>
          <w:i w:val="0"/>
          <w:iCs w:val="0"/>
          <w:sz w:val="20"/>
        </w:rPr>
        <w:t>MISCELLANEOUS DISEASES</w:t>
      </w:r>
    </w:p>
    <w:p w:rsidR="0088709C" w:rsidRDefault="00013EB8" w:rsidP="00A2548F">
      <w:pPr>
        <w:widowControl w:val="0"/>
        <w:numPr>
          <w:ilvl w:val="12"/>
          <w:numId w:val="0"/>
        </w:numPr>
      </w:pPr>
      <w:r w:rsidRPr="002A6CB7">
        <w:rPr>
          <w:color w:val="FF0000"/>
        </w:rPr>
        <w:t>8100</w:t>
      </w:r>
      <w:r w:rsidRPr="002A6CB7">
        <w:rPr>
          <w:color w:val="FF0000"/>
        </w:rPr>
        <w:tab/>
        <w:t xml:space="preserve">Migraine </w:t>
      </w:r>
      <w:r>
        <w:t xml:space="preserve">– </w:t>
      </w:r>
      <w:r w:rsidR="00526485">
        <w:rPr>
          <w:b/>
        </w:rPr>
        <w:t>III.iv.4.N</w:t>
      </w:r>
      <w:r w:rsidR="0099637C" w:rsidRPr="0099637C">
        <w:rPr>
          <w:b/>
        </w:rPr>
        <w:t>.7</w:t>
      </w:r>
      <w:r w:rsidR="00614D9B">
        <w:rPr>
          <w:b/>
        </w:rPr>
        <w:t xml:space="preserve">, </w:t>
      </w:r>
      <w:r w:rsidR="00526485">
        <w:rPr>
          <w:b/>
        </w:rPr>
        <w:t>III.iv.4.N</w:t>
      </w:r>
      <w:r w:rsidR="00614D9B">
        <w:rPr>
          <w:b/>
        </w:rPr>
        <w:t xml:space="preserve">.7.f – </w:t>
      </w:r>
      <w:r w:rsidR="00614D9B">
        <w:t xml:space="preserve">very frequent </w:t>
      </w:r>
      <w:r w:rsidR="0009599C">
        <w:t xml:space="preserve"> completely prostrating </w:t>
      </w:r>
      <w:r w:rsidR="00614D9B">
        <w:t>= 50%</w:t>
      </w:r>
    </w:p>
    <w:p w:rsidR="00A2548F" w:rsidRPr="00614D9B" w:rsidRDefault="00A2548F" w:rsidP="0088709C">
      <w:pPr>
        <w:widowControl w:val="0"/>
        <w:numPr>
          <w:ilvl w:val="12"/>
          <w:numId w:val="0"/>
        </w:numPr>
        <w:spacing w:after="120"/>
      </w:pPr>
      <w:r w:rsidRPr="008906F1">
        <w:rPr>
          <w:i/>
          <w:color w:val="00B050"/>
        </w:rPr>
        <w:t>My Notes:</w:t>
      </w:r>
      <w:r w:rsidRPr="008906F1">
        <w:rPr>
          <w:color w:val="00B050"/>
        </w:rPr>
        <w:t xml:space="preserve">  </w:t>
      </w:r>
      <w:r w:rsidRPr="00D36CD9">
        <w:rPr>
          <w:i/>
        </w:rPr>
        <w:t>8100 says “very frequent completely prostrating and prolonged attacks</w:t>
      </w:r>
      <w:r w:rsidR="001946CC">
        <w:rPr>
          <w:i/>
        </w:rPr>
        <w:t>,”</w:t>
      </w:r>
      <w:r w:rsidRPr="00D36CD9">
        <w:rPr>
          <w:i/>
        </w:rPr>
        <w:t xml:space="preserve"> DBQ says “very frequent prostrating and prolonged attacks”</w:t>
      </w:r>
    </w:p>
    <w:p w:rsidR="002E6D61" w:rsidRDefault="00F40E5B" w:rsidP="002E6D61">
      <w:pPr>
        <w:widowControl w:val="0"/>
        <w:spacing w:after="120"/>
        <w:rPr>
          <w:rFonts w:ascii="Verdana" w:hAnsi="Verdana"/>
          <w:i/>
          <w:iCs/>
        </w:rPr>
      </w:pPr>
      <w:r>
        <w:rPr>
          <w:rFonts w:ascii="Verdana" w:hAnsi="Verdana"/>
          <w:b/>
          <w:bCs/>
          <w:highlight w:val="green"/>
        </w:rPr>
        <w:t>HA1</w:t>
      </w:r>
    </w:p>
    <w:p w:rsidR="00013EB8" w:rsidRDefault="00013EB8">
      <w:pPr>
        <w:widowControl w:val="0"/>
        <w:numPr>
          <w:ilvl w:val="12"/>
          <w:numId w:val="0"/>
        </w:numPr>
        <w:rPr>
          <w:b/>
        </w:rPr>
      </w:pPr>
    </w:p>
    <w:p w:rsidR="00013EB8" w:rsidRDefault="00013EB8">
      <w:pPr>
        <w:widowControl w:val="0"/>
        <w:numPr>
          <w:ilvl w:val="12"/>
          <w:numId w:val="0"/>
        </w:numPr>
      </w:pPr>
      <w:r>
        <w:rPr>
          <w:b/>
        </w:rPr>
        <w:t>THE CRANIAL NERVES</w:t>
      </w:r>
    </w:p>
    <w:p w:rsidR="00013EB8" w:rsidRDefault="00013EB8">
      <w:pPr>
        <w:pStyle w:val="NormalWeb"/>
        <w:widowControl w:val="0"/>
        <w:spacing w:after="0"/>
        <w:rPr>
          <w:sz w:val="20"/>
        </w:rPr>
        <w:sectPr w:rsidR="00013EB8" w:rsidSect="008140DA">
          <w:footerReference w:type="default" r:id="rId620"/>
          <w:footnotePr>
            <w:numRestart w:val="eachSect"/>
          </w:footnotePr>
          <w:type w:val="continuous"/>
          <w:pgSz w:w="12240" w:h="15840" w:code="1"/>
          <w:pgMar w:top="720" w:right="720" w:bottom="720" w:left="720" w:header="720" w:footer="720" w:gutter="0"/>
          <w:cols w:space="720"/>
        </w:sectPr>
      </w:pPr>
    </w:p>
    <w:p w:rsidR="00013EB8" w:rsidRPr="001C44E8" w:rsidRDefault="00013EB8">
      <w:pPr>
        <w:pStyle w:val="NormalWeb"/>
        <w:widowControl w:val="0"/>
        <w:spacing w:after="0"/>
        <w:rPr>
          <w:color w:val="FF0000"/>
          <w:sz w:val="20"/>
        </w:rPr>
      </w:pPr>
      <w:r w:rsidRPr="001C44E8">
        <w:rPr>
          <w:color w:val="FF0000"/>
          <w:sz w:val="20"/>
        </w:rPr>
        <w:t xml:space="preserve">8205    Fifth (trigeminal), paralysis. </w:t>
      </w:r>
    </w:p>
    <w:p w:rsidR="00013EB8" w:rsidRPr="001C44E8" w:rsidRDefault="00013EB8">
      <w:pPr>
        <w:pStyle w:val="NormalWeb"/>
        <w:widowControl w:val="0"/>
        <w:spacing w:after="0"/>
        <w:rPr>
          <w:color w:val="FF0000"/>
          <w:sz w:val="20"/>
        </w:rPr>
      </w:pPr>
      <w:r w:rsidRPr="001C44E8">
        <w:rPr>
          <w:color w:val="FF0000"/>
          <w:sz w:val="20"/>
        </w:rPr>
        <w:t xml:space="preserve">8207    Seventh (facial), paralysis. </w:t>
      </w:r>
    </w:p>
    <w:p w:rsidR="00013EB8" w:rsidRPr="001C44E8" w:rsidRDefault="00013EB8">
      <w:pPr>
        <w:pStyle w:val="NormalWeb"/>
        <w:widowControl w:val="0"/>
        <w:spacing w:after="0"/>
        <w:rPr>
          <w:color w:val="FF0000"/>
          <w:sz w:val="20"/>
        </w:rPr>
      </w:pPr>
      <w:r w:rsidRPr="001C44E8">
        <w:rPr>
          <w:color w:val="FF0000"/>
          <w:sz w:val="20"/>
        </w:rPr>
        <w:t xml:space="preserve">8209    Ninth (glossopharyngeal), paralysis. </w:t>
      </w:r>
    </w:p>
    <w:p w:rsidR="00013EB8" w:rsidRPr="001C44E8" w:rsidRDefault="00013EB8">
      <w:pPr>
        <w:pStyle w:val="NormalWeb"/>
        <w:widowControl w:val="0"/>
        <w:spacing w:after="0"/>
        <w:rPr>
          <w:color w:val="FF0000"/>
          <w:sz w:val="20"/>
        </w:rPr>
      </w:pPr>
      <w:r w:rsidRPr="001C44E8">
        <w:rPr>
          <w:color w:val="FF0000"/>
          <w:sz w:val="20"/>
        </w:rPr>
        <w:t xml:space="preserve">8210    Tenth (pneumogastric, vagus), paralysis. </w:t>
      </w:r>
    </w:p>
    <w:p w:rsidR="00013EB8" w:rsidRPr="001C44E8" w:rsidRDefault="00013EB8">
      <w:pPr>
        <w:pStyle w:val="NormalWeb"/>
        <w:widowControl w:val="0"/>
        <w:spacing w:after="0"/>
        <w:rPr>
          <w:color w:val="FF0000"/>
          <w:sz w:val="20"/>
        </w:rPr>
      </w:pPr>
      <w:r w:rsidRPr="001C44E8">
        <w:rPr>
          <w:color w:val="FF0000"/>
          <w:sz w:val="20"/>
        </w:rPr>
        <w:t xml:space="preserve">8211    Eleventh (spinal accessory, external branch), paralysis. </w:t>
      </w:r>
    </w:p>
    <w:p w:rsidR="00013EB8" w:rsidRPr="001C44E8" w:rsidRDefault="00013EB8">
      <w:pPr>
        <w:pStyle w:val="NormalWeb"/>
        <w:widowControl w:val="0"/>
        <w:spacing w:after="0"/>
        <w:rPr>
          <w:color w:val="FF0000"/>
          <w:sz w:val="20"/>
        </w:rPr>
      </w:pPr>
      <w:r w:rsidRPr="001C44E8">
        <w:rPr>
          <w:color w:val="FF0000"/>
          <w:sz w:val="20"/>
        </w:rPr>
        <w:t xml:space="preserve">8212    Twelfth (hypoglossal), paralysis. </w:t>
      </w:r>
    </w:p>
    <w:p w:rsidR="00013EB8" w:rsidRPr="001C44E8" w:rsidRDefault="00013EB8">
      <w:pPr>
        <w:pStyle w:val="NormalWeb"/>
        <w:widowControl w:val="0"/>
        <w:spacing w:after="0"/>
        <w:rPr>
          <w:color w:val="FF0000"/>
          <w:sz w:val="20"/>
        </w:rPr>
      </w:pPr>
      <w:r w:rsidRPr="001C44E8">
        <w:rPr>
          <w:color w:val="FF0000"/>
          <w:sz w:val="20"/>
        </w:rPr>
        <w:t xml:space="preserve">8305    Neuritis, fifth cranial nerve. </w:t>
      </w:r>
    </w:p>
    <w:p w:rsidR="00013EB8" w:rsidRPr="001C44E8" w:rsidRDefault="00013EB8">
      <w:pPr>
        <w:pStyle w:val="NormalWeb"/>
        <w:widowControl w:val="0"/>
        <w:spacing w:after="0"/>
        <w:rPr>
          <w:color w:val="FF0000"/>
          <w:sz w:val="20"/>
        </w:rPr>
      </w:pPr>
      <w:r w:rsidRPr="001C44E8">
        <w:rPr>
          <w:color w:val="FF0000"/>
          <w:sz w:val="20"/>
        </w:rPr>
        <w:t xml:space="preserve">8307    Neuritis, seventh cranial nerve. </w:t>
      </w:r>
    </w:p>
    <w:p w:rsidR="00013EB8" w:rsidRPr="001C44E8" w:rsidRDefault="00013EB8">
      <w:pPr>
        <w:pStyle w:val="NormalWeb"/>
        <w:widowControl w:val="0"/>
        <w:spacing w:after="0"/>
        <w:rPr>
          <w:color w:val="FF0000"/>
          <w:sz w:val="20"/>
        </w:rPr>
      </w:pPr>
      <w:r w:rsidRPr="001C44E8">
        <w:rPr>
          <w:color w:val="FF0000"/>
          <w:sz w:val="20"/>
        </w:rPr>
        <w:t xml:space="preserve">8309    Neuritis, ninth cranial nerve. </w:t>
      </w:r>
    </w:p>
    <w:p w:rsidR="00013EB8" w:rsidRPr="001C44E8" w:rsidRDefault="00013EB8">
      <w:pPr>
        <w:pStyle w:val="NormalWeb"/>
        <w:widowControl w:val="0"/>
        <w:spacing w:after="0"/>
        <w:rPr>
          <w:color w:val="FF0000"/>
          <w:sz w:val="20"/>
        </w:rPr>
      </w:pPr>
      <w:r w:rsidRPr="001C44E8">
        <w:rPr>
          <w:color w:val="FF0000"/>
          <w:sz w:val="20"/>
        </w:rPr>
        <w:t xml:space="preserve">8310    Neuritis, tenth cranial nerve. </w:t>
      </w:r>
    </w:p>
    <w:p w:rsidR="00013EB8" w:rsidRPr="001C44E8" w:rsidRDefault="00013EB8">
      <w:pPr>
        <w:pStyle w:val="NormalWeb"/>
        <w:widowControl w:val="0"/>
        <w:spacing w:after="0"/>
        <w:rPr>
          <w:color w:val="FF0000"/>
          <w:sz w:val="20"/>
        </w:rPr>
      </w:pPr>
      <w:r w:rsidRPr="001C44E8">
        <w:rPr>
          <w:color w:val="FF0000"/>
          <w:sz w:val="20"/>
        </w:rPr>
        <w:t xml:space="preserve">8311    Neuritis, eleventh cranial nerve. </w:t>
      </w:r>
    </w:p>
    <w:p w:rsidR="00013EB8" w:rsidRPr="001C44E8" w:rsidRDefault="00013EB8">
      <w:pPr>
        <w:pStyle w:val="NormalWeb"/>
        <w:widowControl w:val="0"/>
        <w:spacing w:after="0"/>
        <w:rPr>
          <w:color w:val="FF0000"/>
          <w:sz w:val="20"/>
        </w:rPr>
      </w:pPr>
      <w:r w:rsidRPr="001C44E8">
        <w:rPr>
          <w:color w:val="FF0000"/>
          <w:sz w:val="20"/>
        </w:rPr>
        <w:t xml:space="preserve">8312    Neuritis, twelfth cranial nerve. </w:t>
      </w:r>
    </w:p>
    <w:p w:rsidR="00013EB8" w:rsidRPr="001C44E8" w:rsidRDefault="00013EB8">
      <w:pPr>
        <w:pStyle w:val="NormalWeb"/>
        <w:widowControl w:val="0"/>
        <w:spacing w:after="0"/>
        <w:rPr>
          <w:color w:val="FF0000"/>
          <w:sz w:val="20"/>
        </w:rPr>
      </w:pPr>
      <w:r w:rsidRPr="001C44E8">
        <w:rPr>
          <w:color w:val="FF0000"/>
          <w:sz w:val="20"/>
        </w:rPr>
        <w:t xml:space="preserve">8405    Neuralgia, fifth cranial nerve. </w:t>
      </w:r>
    </w:p>
    <w:p w:rsidR="00013EB8" w:rsidRPr="001C44E8" w:rsidRDefault="00013EB8">
      <w:pPr>
        <w:pStyle w:val="NormalWeb"/>
        <w:widowControl w:val="0"/>
        <w:spacing w:after="0"/>
        <w:rPr>
          <w:color w:val="FF0000"/>
          <w:sz w:val="20"/>
        </w:rPr>
      </w:pPr>
      <w:r w:rsidRPr="001C44E8">
        <w:rPr>
          <w:color w:val="FF0000"/>
          <w:sz w:val="20"/>
        </w:rPr>
        <w:t xml:space="preserve">8407    Neuralgia, seventh cranial nerve. </w:t>
      </w:r>
    </w:p>
    <w:p w:rsidR="00013EB8" w:rsidRPr="001C44E8" w:rsidRDefault="00013EB8">
      <w:pPr>
        <w:pStyle w:val="NormalWeb"/>
        <w:widowControl w:val="0"/>
        <w:spacing w:after="0"/>
        <w:rPr>
          <w:color w:val="FF0000"/>
          <w:sz w:val="20"/>
        </w:rPr>
      </w:pPr>
      <w:r w:rsidRPr="001C44E8">
        <w:rPr>
          <w:color w:val="FF0000"/>
          <w:sz w:val="20"/>
        </w:rPr>
        <w:t xml:space="preserve">8409    Neuralgia, ninth cranial nerve. </w:t>
      </w:r>
    </w:p>
    <w:p w:rsidR="00013EB8" w:rsidRPr="001C44E8" w:rsidRDefault="00013EB8">
      <w:pPr>
        <w:pStyle w:val="NormalWeb"/>
        <w:widowControl w:val="0"/>
        <w:spacing w:after="0"/>
        <w:rPr>
          <w:color w:val="FF0000"/>
          <w:sz w:val="20"/>
        </w:rPr>
      </w:pPr>
      <w:r w:rsidRPr="001C44E8">
        <w:rPr>
          <w:color w:val="FF0000"/>
          <w:sz w:val="20"/>
        </w:rPr>
        <w:t xml:space="preserve">8410    Neuralgia, tenth cranial nerve. </w:t>
      </w:r>
    </w:p>
    <w:p w:rsidR="00013EB8" w:rsidRPr="001C44E8" w:rsidRDefault="00013EB8">
      <w:pPr>
        <w:pStyle w:val="NormalWeb"/>
        <w:widowControl w:val="0"/>
        <w:spacing w:after="0"/>
        <w:rPr>
          <w:color w:val="FF0000"/>
          <w:sz w:val="20"/>
        </w:rPr>
      </w:pPr>
      <w:r w:rsidRPr="001C44E8">
        <w:rPr>
          <w:color w:val="FF0000"/>
          <w:sz w:val="20"/>
        </w:rPr>
        <w:t xml:space="preserve">8411    Neuralgia, eleventh cranial nerve. </w:t>
      </w:r>
    </w:p>
    <w:p w:rsidR="00013EB8" w:rsidRPr="001C44E8" w:rsidRDefault="00013EB8">
      <w:pPr>
        <w:widowControl w:val="0"/>
        <w:numPr>
          <w:ilvl w:val="12"/>
          <w:numId w:val="0"/>
        </w:numPr>
        <w:rPr>
          <w:color w:val="FF0000"/>
        </w:rPr>
        <w:sectPr w:rsidR="00013EB8" w:rsidRPr="001C44E8" w:rsidSect="008140DA">
          <w:footnotePr>
            <w:numRestart w:val="eachSect"/>
          </w:footnotePr>
          <w:type w:val="continuous"/>
          <w:pgSz w:w="12240" w:h="15840" w:code="1"/>
          <w:pgMar w:top="720" w:right="720" w:bottom="720" w:left="720" w:header="720" w:footer="720" w:gutter="0"/>
          <w:cols w:num="2" w:space="720" w:equalWidth="0">
            <w:col w:w="5040" w:space="720"/>
            <w:col w:w="5040"/>
          </w:cols>
        </w:sectPr>
      </w:pPr>
      <w:r w:rsidRPr="001C44E8">
        <w:rPr>
          <w:color w:val="FF0000"/>
        </w:rPr>
        <w:t>8412    Neuralgia, twelfth cranial nerve.</w:t>
      </w:r>
    </w:p>
    <w:p w:rsidR="00013EB8" w:rsidRDefault="00013EB8">
      <w:pPr>
        <w:widowControl w:val="0"/>
        <w:numPr>
          <w:ilvl w:val="12"/>
          <w:numId w:val="0"/>
        </w:numPr>
        <w:rPr>
          <w:b/>
        </w:rPr>
      </w:pPr>
    </w:p>
    <w:p w:rsidR="00FD1B91" w:rsidRDefault="00013EB8">
      <w:pPr>
        <w:widowControl w:val="0"/>
        <w:numPr>
          <w:ilvl w:val="12"/>
          <w:numId w:val="0"/>
        </w:numPr>
      </w:pPr>
      <w:r>
        <w:rPr>
          <w:b/>
        </w:rPr>
        <w:t xml:space="preserve">THE PERIPHERAL NERVES </w:t>
      </w:r>
      <w:r>
        <w:t xml:space="preserve">– </w:t>
      </w:r>
    </w:p>
    <w:p w:rsidR="00681EB1" w:rsidRPr="003E3140" w:rsidRDefault="003E3140">
      <w:pPr>
        <w:widowControl w:val="0"/>
        <w:numPr>
          <w:ilvl w:val="12"/>
          <w:numId w:val="0"/>
        </w:numPr>
        <w:rPr>
          <w:i/>
        </w:rPr>
      </w:pPr>
      <w:r w:rsidRPr="003E3140">
        <w:rPr>
          <w:i/>
        </w:rPr>
        <w:t>Per QRT/GiaBao Nguyen</w:t>
      </w:r>
      <w:r w:rsidR="00681EB1" w:rsidRPr="003E3140">
        <w:rPr>
          <w:i/>
        </w:rPr>
        <w:t>, 9/8/17, policy on giving 10% based on subjective complaints came out in mid/late September 2013 &amp; prior to that RVSRs would combine the sciatica/radiculopathy with the back (if there were only subjective complaints for the extremities) based on this note at the beginning of the spine rating criteria, “With or without symptoms such as pain (whether or not it radiates), stiffness, or aching in the area of the spine affected by residuals of injury or disease</w:t>
      </w:r>
      <w:r w:rsidR="001946CC">
        <w:rPr>
          <w:i/>
        </w:rPr>
        <w:t>.”</w:t>
      </w:r>
      <w:r w:rsidR="00681EB1" w:rsidRPr="003E3140">
        <w:rPr>
          <w:i/>
        </w:rPr>
        <w:t xml:space="preserve"> </w:t>
      </w:r>
      <w:r w:rsidR="001C1154" w:rsidRPr="003E3140">
        <w:rPr>
          <w:i/>
        </w:rPr>
        <w:t>It</w:t>
      </w:r>
      <w:r w:rsidR="00681EB1" w:rsidRPr="003E3140">
        <w:rPr>
          <w:i/>
        </w:rPr>
        <w:t xml:space="preserve"> is not a CUE.</w:t>
      </w:r>
    </w:p>
    <w:p w:rsidR="00681EB1" w:rsidRDefault="00681EB1">
      <w:pPr>
        <w:widowControl w:val="0"/>
        <w:numPr>
          <w:ilvl w:val="12"/>
          <w:numId w:val="0"/>
        </w:numPr>
      </w:pPr>
    </w:p>
    <w:p w:rsidR="00FD1B91" w:rsidRDefault="00526485">
      <w:pPr>
        <w:widowControl w:val="0"/>
        <w:numPr>
          <w:ilvl w:val="12"/>
          <w:numId w:val="0"/>
        </w:numPr>
        <w:rPr>
          <w:rStyle w:val="Strong"/>
          <w:bCs w:val="0"/>
        </w:rPr>
      </w:pPr>
      <w:r>
        <w:rPr>
          <w:rStyle w:val="Strong"/>
          <w:bCs w:val="0"/>
        </w:rPr>
        <w:t>III.iv.4.N</w:t>
      </w:r>
      <w:r w:rsidR="00FD1B91">
        <w:rPr>
          <w:rStyle w:val="Strong"/>
          <w:bCs w:val="0"/>
        </w:rPr>
        <w:t>.4.a</w:t>
      </w:r>
    </w:p>
    <w:p w:rsidR="00382B68" w:rsidRPr="00382B68" w:rsidRDefault="00526485" w:rsidP="00382B68">
      <w:pPr>
        <w:tabs>
          <w:tab w:val="left" w:pos="360"/>
        </w:tabs>
        <w:spacing w:after="120"/>
      </w:pPr>
      <w:r>
        <w:rPr>
          <w:b/>
        </w:rPr>
        <w:t>III.iv.4.N</w:t>
      </w:r>
      <w:r w:rsidR="00382B68" w:rsidRPr="00382B68">
        <w:rPr>
          <w:b/>
        </w:rPr>
        <w:t>.4.b</w:t>
      </w:r>
      <w:r w:rsidR="00382B68" w:rsidRPr="00382B68">
        <w:t xml:space="preserve"> – </w:t>
      </w:r>
      <w:r w:rsidR="00DC4B97">
        <w:t xml:space="preserve">if only sensory, use mild </w:t>
      </w:r>
      <w:r w:rsidR="00DC4B97" w:rsidRPr="00DC4B97">
        <w:rPr>
          <w:b/>
          <w:i/>
        </w:rPr>
        <w:t>or at most</w:t>
      </w:r>
      <w:r w:rsidR="00DC4B97">
        <w:t xml:space="preserve"> moderate</w:t>
      </w:r>
    </w:p>
    <w:p w:rsidR="00382B68" w:rsidRDefault="00382B68" w:rsidP="00F063AF">
      <w:pPr>
        <w:pStyle w:val="ListParagraph"/>
        <w:numPr>
          <w:ilvl w:val="1"/>
          <w:numId w:val="177"/>
        </w:numPr>
        <w:tabs>
          <w:tab w:val="left" w:pos="360"/>
        </w:tabs>
        <w:spacing w:after="120"/>
        <w:ind w:left="720"/>
        <w:rPr>
          <w:rFonts w:ascii="Arial" w:hAnsi="Arial"/>
          <w:sz w:val="20"/>
          <w:szCs w:val="20"/>
        </w:rPr>
      </w:pPr>
      <w:r>
        <w:rPr>
          <w:rFonts w:ascii="Arial" w:hAnsi="Arial"/>
          <w:sz w:val="20"/>
          <w:szCs w:val="20"/>
        </w:rPr>
        <w:t>use mild if sensory symptoms are (1) recurrent but not continuous, (2) assigned a lower medical gr</w:t>
      </w:r>
      <w:r w:rsidR="00DC4B97">
        <w:rPr>
          <w:rFonts w:ascii="Arial" w:hAnsi="Arial"/>
          <w:sz w:val="20"/>
          <w:szCs w:val="20"/>
        </w:rPr>
        <w:t>ade reflecting less impairment</w:t>
      </w:r>
      <w:r>
        <w:rPr>
          <w:rFonts w:ascii="Arial" w:hAnsi="Arial"/>
          <w:sz w:val="20"/>
          <w:szCs w:val="20"/>
        </w:rPr>
        <w:t>, (3) affecting a smaller area in the nerve distribution</w:t>
      </w:r>
    </w:p>
    <w:p w:rsidR="00382B68" w:rsidRDefault="00382B68" w:rsidP="00F063AF">
      <w:pPr>
        <w:pStyle w:val="ListParagraph"/>
        <w:numPr>
          <w:ilvl w:val="1"/>
          <w:numId w:val="177"/>
        </w:numPr>
        <w:tabs>
          <w:tab w:val="left" w:pos="360"/>
        </w:tabs>
        <w:spacing w:after="120"/>
        <w:ind w:left="720"/>
        <w:rPr>
          <w:rFonts w:ascii="Arial" w:hAnsi="Arial"/>
          <w:sz w:val="20"/>
          <w:szCs w:val="20"/>
        </w:rPr>
      </w:pPr>
      <w:r>
        <w:rPr>
          <w:rFonts w:ascii="Arial" w:hAnsi="Arial"/>
          <w:sz w:val="20"/>
          <w:szCs w:val="20"/>
        </w:rPr>
        <w:t>use moderate if sensory symptoms are (1) continuous, (2) assigned a higher medical gr</w:t>
      </w:r>
      <w:r w:rsidR="000150A9">
        <w:rPr>
          <w:rFonts w:ascii="Arial" w:hAnsi="Arial"/>
          <w:sz w:val="20"/>
          <w:szCs w:val="20"/>
        </w:rPr>
        <w:t>ade reflecting greater</w:t>
      </w:r>
      <w:r w:rsidR="00DC4B97">
        <w:rPr>
          <w:rFonts w:ascii="Arial" w:hAnsi="Arial"/>
          <w:sz w:val="20"/>
          <w:szCs w:val="20"/>
        </w:rPr>
        <w:t xml:space="preserve"> impairment,</w:t>
      </w:r>
      <w:r>
        <w:rPr>
          <w:rFonts w:ascii="Arial" w:hAnsi="Arial"/>
          <w:sz w:val="20"/>
          <w:szCs w:val="20"/>
        </w:rPr>
        <w:t xml:space="preserve"> (3) affecting a larger area in the nerve distribution</w:t>
      </w:r>
    </w:p>
    <w:p w:rsidR="00382B68" w:rsidRDefault="00526485" w:rsidP="00382B68">
      <w:pPr>
        <w:widowControl w:val="0"/>
        <w:numPr>
          <w:ilvl w:val="12"/>
          <w:numId w:val="0"/>
        </w:numPr>
        <w:rPr>
          <w:rStyle w:val="Strong"/>
          <w:bCs w:val="0"/>
        </w:rPr>
      </w:pPr>
      <w:r>
        <w:rPr>
          <w:b/>
        </w:rPr>
        <w:t>III.iv.4.N</w:t>
      </w:r>
      <w:r w:rsidR="00382B68" w:rsidRPr="005651C8">
        <w:rPr>
          <w:b/>
        </w:rPr>
        <w:t>.4.c</w:t>
      </w:r>
      <w:r w:rsidR="00382B68">
        <w:t xml:space="preserve"> – mild, moderate, moderately severe, severe</w:t>
      </w:r>
    </w:p>
    <w:p w:rsidR="00367435" w:rsidRDefault="00526485">
      <w:pPr>
        <w:widowControl w:val="0"/>
        <w:numPr>
          <w:ilvl w:val="12"/>
          <w:numId w:val="0"/>
        </w:numPr>
      </w:pPr>
      <w:r>
        <w:rPr>
          <w:rStyle w:val="Strong"/>
          <w:bCs w:val="0"/>
        </w:rPr>
        <w:t>III.iv.4.N</w:t>
      </w:r>
      <w:r w:rsidR="00FD1B91" w:rsidRPr="00FD1B91">
        <w:rPr>
          <w:rStyle w:val="Strong"/>
          <w:bCs w:val="0"/>
        </w:rPr>
        <w:t>.4</w:t>
      </w:r>
      <w:r w:rsidR="00FD1B91" w:rsidRPr="00382B68">
        <w:rPr>
          <w:rStyle w:val="Strong"/>
          <w:b w:val="0"/>
          <w:bCs w:val="0"/>
        </w:rPr>
        <w:t>.</w:t>
      </w:r>
      <w:r w:rsidR="00FD1B91" w:rsidRPr="00382B68">
        <w:rPr>
          <w:b/>
        </w:rPr>
        <w:t>e</w:t>
      </w:r>
      <w:r w:rsidR="00FD1B91" w:rsidRPr="00FD1B91">
        <w:t xml:space="preserve"> – LEs allowed separated evals for different nerve </w:t>
      </w:r>
      <w:r w:rsidR="00FD1B91" w:rsidRPr="00111298">
        <w:t>branches</w:t>
      </w:r>
      <w:r w:rsidR="00367435" w:rsidRPr="00111298">
        <w:rPr>
          <w:i/>
        </w:rPr>
        <w:t xml:space="preserve"> </w:t>
      </w:r>
      <w:r w:rsidR="00111298" w:rsidRPr="00111298">
        <w:rPr>
          <w:i/>
        </w:rPr>
        <w:t>(also see boxes below</w:t>
      </w:r>
      <w:r w:rsidR="00111298">
        <w:rPr>
          <w:i/>
        </w:rPr>
        <w:t xml:space="preserve"> for the five groups</w:t>
      </w:r>
      <w:r w:rsidR="00111298" w:rsidRPr="00111298">
        <w:rPr>
          <w:i/>
        </w:rPr>
        <w:t>)</w:t>
      </w:r>
    </w:p>
    <w:p w:rsidR="00367435" w:rsidRPr="00367435" w:rsidRDefault="00367435" w:rsidP="00F063AF">
      <w:pPr>
        <w:pStyle w:val="ListParagraph"/>
        <w:widowControl w:val="0"/>
        <w:numPr>
          <w:ilvl w:val="0"/>
          <w:numId w:val="321"/>
        </w:numPr>
        <w:spacing w:after="0" w:line="240" w:lineRule="auto"/>
        <w:rPr>
          <w:rFonts w:ascii="Arial" w:hAnsi="Arial"/>
          <w:sz w:val="20"/>
          <w:szCs w:val="20"/>
        </w:rPr>
      </w:pPr>
      <w:r w:rsidRPr="00367435">
        <w:rPr>
          <w:rFonts w:ascii="Arial" w:hAnsi="Arial"/>
          <w:sz w:val="20"/>
          <w:szCs w:val="20"/>
        </w:rPr>
        <w:t>SCIATIC (includes sciatic</w:t>
      </w:r>
      <w:r w:rsidR="007228F6">
        <w:rPr>
          <w:rFonts w:ascii="Arial" w:hAnsi="Arial"/>
          <w:sz w:val="20"/>
          <w:szCs w:val="20"/>
        </w:rPr>
        <w:t xml:space="preserve"> [8520]</w:t>
      </w:r>
      <w:r w:rsidRPr="00367435">
        <w:rPr>
          <w:rFonts w:ascii="Arial" w:hAnsi="Arial"/>
          <w:sz w:val="20"/>
          <w:szCs w:val="20"/>
        </w:rPr>
        <w:t>, external popliteal/common peroneal</w:t>
      </w:r>
      <w:r w:rsidR="007228F6">
        <w:rPr>
          <w:rFonts w:ascii="Arial" w:hAnsi="Arial"/>
          <w:sz w:val="20"/>
          <w:szCs w:val="20"/>
        </w:rPr>
        <w:t xml:space="preserve"> [8521]</w:t>
      </w:r>
      <w:r w:rsidRPr="00367435">
        <w:rPr>
          <w:rFonts w:ascii="Arial" w:hAnsi="Arial"/>
          <w:sz w:val="20"/>
          <w:szCs w:val="20"/>
        </w:rPr>
        <w:t>, musculocutaneous/superficial peroneal</w:t>
      </w:r>
      <w:r w:rsidR="007228F6">
        <w:rPr>
          <w:rFonts w:ascii="Arial" w:hAnsi="Arial"/>
          <w:sz w:val="20"/>
          <w:szCs w:val="20"/>
        </w:rPr>
        <w:t xml:space="preserve"> [8522]</w:t>
      </w:r>
      <w:r w:rsidRPr="00367435">
        <w:rPr>
          <w:rFonts w:ascii="Arial" w:hAnsi="Arial"/>
          <w:sz w:val="20"/>
          <w:szCs w:val="20"/>
        </w:rPr>
        <w:t>, anterior</w:t>
      </w:r>
      <w:r>
        <w:rPr>
          <w:rFonts w:ascii="Arial" w:hAnsi="Arial"/>
          <w:sz w:val="20"/>
          <w:szCs w:val="20"/>
        </w:rPr>
        <w:t xml:space="preserve"> </w:t>
      </w:r>
      <w:r w:rsidRPr="00367435">
        <w:rPr>
          <w:rFonts w:ascii="Arial" w:hAnsi="Arial"/>
          <w:sz w:val="20"/>
          <w:szCs w:val="20"/>
        </w:rPr>
        <w:t>tibial/deep peroneal</w:t>
      </w:r>
      <w:r w:rsidR="007228F6">
        <w:rPr>
          <w:rFonts w:ascii="Arial" w:hAnsi="Arial"/>
          <w:sz w:val="20"/>
          <w:szCs w:val="20"/>
        </w:rPr>
        <w:t xml:space="preserve"> [8523]</w:t>
      </w:r>
      <w:r w:rsidRPr="00367435">
        <w:rPr>
          <w:rFonts w:ascii="Arial" w:hAnsi="Arial"/>
          <w:sz w:val="20"/>
          <w:szCs w:val="20"/>
        </w:rPr>
        <w:t>, internal popliteal/tibial</w:t>
      </w:r>
      <w:r w:rsidR="007228F6">
        <w:rPr>
          <w:rFonts w:ascii="Arial" w:hAnsi="Arial"/>
          <w:sz w:val="20"/>
          <w:szCs w:val="20"/>
        </w:rPr>
        <w:t xml:space="preserve"> [8524]</w:t>
      </w:r>
      <w:r w:rsidRPr="00367435">
        <w:rPr>
          <w:rFonts w:ascii="Arial" w:hAnsi="Arial"/>
          <w:sz w:val="20"/>
          <w:szCs w:val="20"/>
        </w:rPr>
        <w:t>, posterior tibial</w:t>
      </w:r>
      <w:r w:rsidR="007228F6">
        <w:rPr>
          <w:rFonts w:ascii="Arial" w:hAnsi="Arial"/>
          <w:sz w:val="20"/>
          <w:szCs w:val="20"/>
        </w:rPr>
        <w:t xml:space="preserve"> [8525]</w:t>
      </w:r>
      <w:r w:rsidRPr="00367435">
        <w:rPr>
          <w:rFonts w:ascii="Arial" w:hAnsi="Arial"/>
          <w:sz w:val="20"/>
          <w:szCs w:val="20"/>
        </w:rPr>
        <w:t>)</w:t>
      </w:r>
    </w:p>
    <w:p w:rsidR="00367435" w:rsidRPr="00367435" w:rsidRDefault="00367435" w:rsidP="00F063AF">
      <w:pPr>
        <w:pStyle w:val="ListParagraph"/>
        <w:widowControl w:val="0"/>
        <w:numPr>
          <w:ilvl w:val="0"/>
          <w:numId w:val="321"/>
        </w:numPr>
        <w:spacing w:after="0" w:line="240" w:lineRule="auto"/>
        <w:rPr>
          <w:rFonts w:ascii="Arial" w:hAnsi="Arial"/>
          <w:sz w:val="20"/>
          <w:szCs w:val="20"/>
        </w:rPr>
      </w:pPr>
      <w:r w:rsidRPr="00367435">
        <w:rPr>
          <w:rFonts w:ascii="Arial" w:hAnsi="Arial"/>
          <w:sz w:val="20"/>
          <w:szCs w:val="20"/>
        </w:rPr>
        <w:t>FEMORAL (includes anterior crural/femoral</w:t>
      </w:r>
      <w:r w:rsidR="007228F6">
        <w:rPr>
          <w:rFonts w:ascii="Arial" w:hAnsi="Arial"/>
          <w:sz w:val="20"/>
          <w:szCs w:val="20"/>
        </w:rPr>
        <w:t xml:space="preserve"> [8526]</w:t>
      </w:r>
      <w:r w:rsidRPr="00367435">
        <w:rPr>
          <w:rFonts w:ascii="Arial" w:hAnsi="Arial"/>
          <w:sz w:val="20"/>
          <w:szCs w:val="20"/>
        </w:rPr>
        <w:t>, internal saphenous</w:t>
      </w:r>
      <w:r w:rsidR="007228F6">
        <w:rPr>
          <w:rFonts w:ascii="Arial" w:hAnsi="Arial"/>
          <w:sz w:val="20"/>
          <w:szCs w:val="20"/>
        </w:rPr>
        <w:t xml:space="preserve"> [8527]</w:t>
      </w:r>
      <w:r w:rsidRPr="00367435">
        <w:rPr>
          <w:rFonts w:ascii="Arial" w:hAnsi="Arial"/>
          <w:sz w:val="20"/>
          <w:szCs w:val="20"/>
        </w:rPr>
        <w:t>)</w:t>
      </w:r>
    </w:p>
    <w:p w:rsidR="00367435" w:rsidRPr="00367435" w:rsidRDefault="00367435" w:rsidP="00F063AF">
      <w:pPr>
        <w:pStyle w:val="ListParagraph"/>
        <w:widowControl w:val="0"/>
        <w:numPr>
          <w:ilvl w:val="0"/>
          <w:numId w:val="321"/>
        </w:numPr>
        <w:spacing w:after="0" w:line="240" w:lineRule="auto"/>
        <w:rPr>
          <w:rFonts w:ascii="Arial" w:hAnsi="Arial"/>
          <w:sz w:val="20"/>
          <w:szCs w:val="20"/>
        </w:rPr>
      </w:pPr>
      <w:r w:rsidRPr="00367435">
        <w:rPr>
          <w:rFonts w:ascii="Arial" w:hAnsi="Arial"/>
          <w:sz w:val="20"/>
          <w:szCs w:val="20"/>
        </w:rPr>
        <w:t>OBTURATOR</w:t>
      </w:r>
      <w:r w:rsidR="007228F6">
        <w:rPr>
          <w:rFonts w:ascii="Arial" w:hAnsi="Arial"/>
          <w:sz w:val="20"/>
          <w:szCs w:val="20"/>
        </w:rPr>
        <w:t xml:space="preserve"> [8528]</w:t>
      </w:r>
    </w:p>
    <w:p w:rsidR="00367435" w:rsidRPr="00367435" w:rsidRDefault="00367435" w:rsidP="00F063AF">
      <w:pPr>
        <w:pStyle w:val="ListParagraph"/>
        <w:widowControl w:val="0"/>
        <w:numPr>
          <w:ilvl w:val="0"/>
          <w:numId w:val="321"/>
        </w:numPr>
        <w:spacing w:after="0" w:line="240" w:lineRule="auto"/>
        <w:rPr>
          <w:rFonts w:ascii="Arial" w:hAnsi="Arial"/>
          <w:sz w:val="20"/>
          <w:szCs w:val="20"/>
        </w:rPr>
      </w:pPr>
      <w:r w:rsidRPr="00367435">
        <w:rPr>
          <w:rFonts w:ascii="Arial" w:hAnsi="Arial"/>
          <w:sz w:val="20"/>
          <w:szCs w:val="20"/>
        </w:rPr>
        <w:t>EXTERNA</w:t>
      </w:r>
      <w:r>
        <w:rPr>
          <w:rFonts w:ascii="Arial" w:hAnsi="Arial"/>
          <w:sz w:val="20"/>
          <w:szCs w:val="20"/>
        </w:rPr>
        <w:t>L CUTANEOUS</w:t>
      </w:r>
      <w:r w:rsidR="007228F6">
        <w:rPr>
          <w:rFonts w:ascii="Arial" w:hAnsi="Arial"/>
          <w:sz w:val="20"/>
          <w:szCs w:val="20"/>
        </w:rPr>
        <w:t xml:space="preserve"> [8529]</w:t>
      </w:r>
    </w:p>
    <w:p w:rsidR="00FD1B91" w:rsidRPr="00367435" w:rsidRDefault="00367435" w:rsidP="00F063AF">
      <w:pPr>
        <w:pStyle w:val="ListParagraph"/>
        <w:widowControl w:val="0"/>
        <w:numPr>
          <w:ilvl w:val="0"/>
          <w:numId w:val="321"/>
        </w:numPr>
        <w:spacing w:after="120" w:line="240" w:lineRule="auto"/>
        <w:rPr>
          <w:rFonts w:ascii="Arial" w:hAnsi="Arial"/>
          <w:sz w:val="20"/>
          <w:szCs w:val="20"/>
        </w:rPr>
      </w:pPr>
      <w:r w:rsidRPr="00367435">
        <w:rPr>
          <w:rFonts w:ascii="Arial" w:hAnsi="Arial"/>
          <w:sz w:val="20"/>
          <w:szCs w:val="20"/>
        </w:rPr>
        <w:t>ILLIO-INGUINAL</w:t>
      </w:r>
      <w:r w:rsidR="007228F6">
        <w:rPr>
          <w:rFonts w:ascii="Arial" w:hAnsi="Arial"/>
          <w:sz w:val="20"/>
          <w:szCs w:val="20"/>
        </w:rPr>
        <w:t xml:space="preserve"> [8530]</w:t>
      </w:r>
    </w:p>
    <w:p w:rsidR="00013EB8" w:rsidRDefault="00013EB8">
      <w:pPr>
        <w:widowControl w:val="0"/>
        <w:numPr>
          <w:ilvl w:val="12"/>
          <w:numId w:val="0"/>
        </w:numPr>
        <w:rPr>
          <w:i/>
          <w:color w:val="008000"/>
        </w:rPr>
      </w:pPr>
      <w:r>
        <w:rPr>
          <w:i/>
          <w:color w:val="00CCFF"/>
        </w:rPr>
        <w:t xml:space="preserve">POW presumptive under </w:t>
      </w:r>
      <w:r w:rsidRPr="007A4B37">
        <w:rPr>
          <w:b/>
        </w:rPr>
        <w:t>3.309</w:t>
      </w:r>
      <w:r>
        <w:rPr>
          <w:i/>
          <w:color w:val="00CCFF"/>
        </w:rPr>
        <w:t>(c)</w:t>
      </w:r>
    </w:p>
    <w:p w:rsidR="00FD1B91" w:rsidRDefault="00013EB8">
      <w:pPr>
        <w:widowControl w:val="0"/>
        <w:numPr>
          <w:ilvl w:val="12"/>
          <w:numId w:val="0"/>
        </w:numPr>
        <w:rPr>
          <w:i/>
        </w:rPr>
      </w:pPr>
      <w:r w:rsidRPr="002A6CB7">
        <w:rPr>
          <w:i/>
          <w:color w:val="FF0000"/>
        </w:rPr>
        <w:t xml:space="preserve">8515/8615/8715 </w:t>
      </w:r>
      <w:r>
        <w:rPr>
          <w:i/>
        </w:rPr>
        <w:t>-</w:t>
      </w:r>
      <w:r>
        <w:rPr>
          <w:i/>
          <w:color w:val="FF0000"/>
        </w:rPr>
        <w:t xml:space="preserve"> </w:t>
      </w:r>
      <w:r w:rsidR="001C44E8">
        <w:rPr>
          <w:i/>
          <w:color w:val="FF0000"/>
        </w:rPr>
        <w:t>c</w:t>
      </w:r>
      <w:r>
        <w:rPr>
          <w:i/>
          <w:color w:val="FF0000"/>
        </w:rPr>
        <w:t>arpal tunnel syndrome</w:t>
      </w:r>
    </w:p>
    <w:p w:rsidR="00013EB8" w:rsidRDefault="001D1C6D">
      <w:pPr>
        <w:widowControl w:val="0"/>
        <w:numPr>
          <w:ilvl w:val="12"/>
          <w:numId w:val="0"/>
        </w:numPr>
        <w:rPr>
          <w:i/>
          <w:color w:val="FF9900"/>
        </w:rPr>
      </w:pPr>
      <w:r>
        <w:rPr>
          <w:i/>
          <w:color w:val="FF9900"/>
        </w:rPr>
        <w:t>Early-onset</w:t>
      </w:r>
      <w:r w:rsidR="00013EB8">
        <w:rPr>
          <w:i/>
          <w:color w:val="FF9900"/>
        </w:rPr>
        <w:t xml:space="preserve"> peripheral neuropathy is Agent Orange presumptive under </w:t>
      </w:r>
      <w:r w:rsidR="00013EB8" w:rsidRPr="007A4B37">
        <w:rPr>
          <w:b/>
        </w:rPr>
        <w:t>3.309</w:t>
      </w:r>
      <w:r w:rsidR="00013EB8">
        <w:rPr>
          <w:i/>
          <w:color w:val="FF9900"/>
        </w:rPr>
        <w:t>(e)</w:t>
      </w:r>
    </w:p>
    <w:p w:rsidR="00013EB8" w:rsidRPr="001C44E8" w:rsidRDefault="00013EB8">
      <w:pPr>
        <w:pStyle w:val="NormalWeb"/>
        <w:widowControl w:val="0"/>
        <w:spacing w:after="0"/>
        <w:rPr>
          <w:color w:val="FF0000"/>
          <w:sz w:val="20"/>
        </w:rPr>
        <w:sectPr w:rsidR="00013EB8" w:rsidRPr="001C44E8" w:rsidSect="008140DA">
          <w:footnotePr>
            <w:numRestart w:val="eachSect"/>
          </w:footnotePr>
          <w:type w:val="continuous"/>
          <w:pgSz w:w="12240" w:h="15840" w:code="1"/>
          <w:pgMar w:top="720" w:right="720" w:bottom="720" w:left="720" w:header="720" w:footer="720" w:gutter="0"/>
          <w:cols w:space="720"/>
        </w:sectPr>
      </w:pPr>
    </w:p>
    <w:p w:rsidR="00013EB8" w:rsidRPr="001C44E8" w:rsidRDefault="00013EB8">
      <w:pPr>
        <w:pStyle w:val="NormalWeb"/>
        <w:widowControl w:val="0"/>
        <w:spacing w:after="0"/>
        <w:rPr>
          <w:color w:val="FF0000"/>
          <w:sz w:val="20"/>
        </w:rPr>
      </w:pPr>
      <w:r w:rsidRPr="001C44E8">
        <w:rPr>
          <w:color w:val="FF0000"/>
          <w:sz w:val="20"/>
        </w:rPr>
        <w:t xml:space="preserve">8510    Upper radicular group, paralysis. </w:t>
      </w:r>
    </w:p>
    <w:p w:rsidR="00013EB8" w:rsidRPr="001C44E8" w:rsidRDefault="00013EB8">
      <w:pPr>
        <w:pStyle w:val="NormalWeb"/>
        <w:widowControl w:val="0"/>
        <w:spacing w:after="0"/>
        <w:rPr>
          <w:color w:val="FF0000"/>
          <w:sz w:val="20"/>
        </w:rPr>
      </w:pPr>
      <w:r w:rsidRPr="001C44E8">
        <w:rPr>
          <w:color w:val="FF0000"/>
          <w:sz w:val="20"/>
        </w:rPr>
        <w:t xml:space="preserve">8511    Middle radicular group, paralysis. </w:t>
      </w:r>
    </w:p>
    <w:p w:rsidR="00013EB8" w:rsidRPr="001C44E8" w:rsidRDefault="00013EB8">
      <w:pPr>
        <w:pStyle w:val="NormalWeb"/>
        <w:widowControl w:val="0"/>
        <w:spacing w:after="0"/>
        <w:rPr>
          <w:color w:val="FF0000"/>
          <w:sz w:val="20"/>
        </w:rPr>
      </w:pPr>
      <w:r w:rsidRPr="001C44E8">
        <w:rPr>
          <w:color w:val="FF0000"/>
          <w:sz w:val="20"/>
        </w:rPr>
        <w:t xml:space="preserve">8512    Lower radicular group, paralysis. </w:t>
      </w:r>
    </w:p>
    <w:p w:rsidR="00013EB8" w:rsidRPr="001C44E8" w:rsidRDefault="00013EB8">
      <w:pPr>
        <w:pStyle w:val="NormalWeb"/>
        <w:widowControl w:val="0"/>
        <w:spacing w:after="0"/>
        <w:rPr>
          <w:color w:val="FF0000"/>
          <w:sz w:val="20"/>
        </w:rPr>
      </w:pPr>
      <w:r w:rsidRPr="001C44E8">
        <w:rPr>
          <w:color w:val="FF0000"/>
          <w:sz w:val="20"/>
        </w:rPr>
        <w:t xml:space="preserve">8513    All radicular groups, paralysis. </w:t>
      </w:r>
    </w:p>
    <w:p w:rsidR="00013EB8" w:rsidRPr="001C44E8" w:rsidRDefault="00013EB8">
      <w:pPr>
        <w:pStyle w:val="NormalWeb"/>
        <w:widowControl w:val="0"/>
        <w:spacing w:after="0"/>
        <w:rPr>
          <w:color w:val="FF0000"/>
          <w:sz w:val="20"/>
        </w:rPr>
      </w:pPr>
      <w:r w:rsidRPr="001C44E8">
        <w:rPr>
          <w:color w:val="FF0000"/>
          <w:sz w:val="20"/>
        </w:rPr>
        <w:t xml:space="preserve">8514    Musculospiral nerve (radial), paralysis. </w:t>
      </w:r>
    </w:p>
    <w:p w:rsidR="00013EB8" w:rsidRPr="001C44E8" w:rsidRDefault="00013EB8">
      <w:pPr>
        <w:pStyle w:val="NormalWeb"/>
        <w:widowControl w:val="0"/>
        <w:spacing w:after="0"/>
        <w:rPr>
          <w:color w:val="FF0000"/>
          <w:sz w:val="20"/>
        </w:rPr>
      </w:pPr>
      <w:r w:rsidRPr="001C44E8">
        <w:rPr>
          <w:color w:val="FF0000"/>
          <w:sz w:val="20"/>
        </w:rPr>
        <w:t xml:space="preserve">8515    Median nerve, paralysis. </w:t>
      </w:r>
    </w:p>
    <w:p w:rsidR="00013EB8" w:rsidRPr="001C44E8" w:rsidRDefault="00013EB8">
      <w:pPr>
        <w:pStyle w:val="NormalWeb"/>
        <w:widowControl w:val="0"/>
        <w:spacing w:after="0"/>
        <w:rPr>
          <w:color w:val="FF0000"/>
          <w:sz w:val="20"/>
        </w:rPr>
      </w:pPr>
      <w:r w:rsidRPr="001C44E8">
        <w:rPr>
          <w:color w:val="FF0000"/>
          <w:sz w:val="20"/>
        </w:rPr>
        <w:t xml:space="preserve">8516    Ulnar nerve, paralysis. </w:t>
      </w:r>
    </w:p>
    <w:p w:rsidR="00013EB8" w:rsidRPr="001C44E8" w:rsidRDefault="00013EB8">
      <w:pPr>
        <w:pStyle w:val="NormalWeb"/>
        <w:widowControl w:val="0"/>
        <w:spacing w:after="0"/>
        <w:rPr>
          <w:color w:val="FF0000"/>
          <w:sz w:val="20"/>
        </w:rPr>
      </w:pPr>
      <w:r w:rsidRPr="001C44E8">
        <w:rPr>
          <w:color w:val="FF0000"/>
          <w:sz w:val="20"/>
        </w:rPr>
        <w:t xml:space="preserve">8517    Musculocutaneous nerve, paralysis. </w:t>
      </w:r>
    </w:p>
    <w:p w:rsidR="00013EB8" w:rsidRPr="001C44E8" w:rsidRDefault="00013EB8">
      <w:pPr>
        <w:pStyle w:val="NormalWeb"/>
        <w:widowControl w:val="0"/>
        <w:spacing w:after="0"/>
        <w:rPr>
          <w:color w:val="FF0000"/>
          <w:sz w:val="20"/>
        </w:rPr>
      </w:pPr>
      <w:r w:rsidRPr="001C44E8">
        <w:rPr>
          <w:color w:val="FF0000"/>
          <w:sz w:val="20"/>
        </w:rPr>
        <w:t xml:space="preserve">8518    Circumflex nerve, paralysis. </w:t>
      </w:r>
    </w:p>
    <w:p w:rsidR="00013EB8" w:rsidRDefault="00013EB8">
      <w:pPr>
        <w:pStyle w:val="NormalWeb"/>
        <w:widowControl w:val="0"/>
        <w:spacing w:after="0"/>
        <w:rPr>
          <w:color w:val="FF0000"/>
          <w:sz w:val="20"/>
        </w:rPr>
      </w:pPr>
      <w:r w:rsidRPr="001C44E8">
        <w:rPr>
          <w:color w:val="FF0000"/>
          <w:sz w:val="20"/>
        </w:rPr>
        <w:t xml:space="preserve">8519    Long thoracic nerve, paralysis. </w:t>
      </w:r>
    </w:p>
    <w:p w:rsidR="00EF2684" w:rsidRPr="001C44E8" w:rsidRDefault="00EF2684">
      <w:pPr>
        <w:pStyle w:val="NormalWeb"/>
        <w:widowControl w:val="0"/>
        <w:spacing w:after="0"/>
        <w:rPr>
          <w:color w:val="FF0000"/>
          <w:sz w:val="20"/>
        </w:rPr>
      </w:pPr>
    </w:p>
    <w:p w:rsidR="00013EB8" w:rsidRPr="001C44E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 xml:space="preserve">8520    Sciatic nerve, paralysis. </w:t>
      </w:r>
    </w:p>
    <w:p w:rsidR="00013EB8" w:rsidRPr="001C44E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 xml:space="preserve">8521    External popliteal nerve (common peroneal), paralysis. </w:t>
      </w:r>
    </w:p>
    <w:p w:rsidR="00013EB8" w:rsidRPr="001C44E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 xml:space="preserve">8522    Musculocutaneous nerve (superficial peroneal), paralysis. </w:t>
      </w:r>
    </w:p>
    <w:p w:rsidR="00013EB8" w:rsidRPr="001C44E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 xml:space="preserve">8523    Anterior tibial nerve (deep peroneal), paralysis. </w:t>
      </w:r>
    </w:p>
    <w:p w:rsidR="00013EB8" w:rsidRPr="001C44E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 xml:space="preserve">8524    Internal popliteal nerve (tibial), paralysis. </w:t>
      </w:r>
    </w:p>
    <w:p w:rsidR="00013EB8" w:rsidRPr="001C44E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 xml:space="preserve">8525    Posterior tibial nerve, paralysis. </w:t>
      </w:r>
    </w:p>
    <w:p w:rsidR="00EF2684" w:rsidRDefault="00EF2684">
      <w:pPr>
        <w:pStyle w:val="NormalWeb"/>
        <w:widowControl w:val="0"/>
        <w:spacing w:after="0"/>
        <w:rPr>
          <w:color w:val="FF0000"/>
          <w:sz w:val="20"/>
        </w:rPr>
      </w:pPr>
    </w:p>
    <w:p w:rsidR="00013EB8" w:rsidRPr="001C44E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 xml:space="preserve">8526    Anterior crural nerve (femoral), paralysis. </w:t>
      </w:r>
    </w:p>
    <w:p w:rsidR="00013EB8" w:rsidRPr="001C44E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8527    Internal saphenous nerve, paralysis.</w:t>
      </w:r>
    </w:p>
    <w:p w:rsidR="00EF2684" w:rsidRDefault="00EF2684">
      <w:pPr>
        <w:pStyle w:val="NormalWeb"/>
        <w:widowControl w:val="0"/>
        <w:spacing w:after="0"/>
        <w:rPr>
          <w:color w:val="FF0000"/>
          <w:sz w:val="20"/>
        </w:rPr>
      </w:pPr>
    </w:p>
    <w:p w:rsidR="00EF2684" w:rsidRDefault="00EF2684"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85</w:t>
      </w:r>
      <w:r>
        <w:rPr>
          <w:color w:val="FF0000"/>
          <w:sz w:val="20"/>
        </w:rPr>
        <w:t>28</w:t>
      </w:r>
      <w:r w:rsidRPr="001C44E8">
        <w:rPr>
          <w:color w:val="FF0000"/>
          <w:sz w:val="20"/>
        </w:rPr>
        <w:t>    </w:t>
      </w:r>
      <w:r>
        <w:rPr>
          <w:color w:val="FF0000"/>
          <w:sz w:val="20"/>
        </w:rPr>
        <w:t>Obturator</w:t>
      </w:r>
      <w:r w:rsidRPr="001C44E8">
        <w:rPr>
          <w:color w:val="FF0000"/>
          <w:sz w:val="20"/>
        </w:rPr>
        <w:t xml:space="preserve"> nerve, paralysis. </w:t>
      </w:r>
    </w:p>
    <w:p w:rsidR="00EF2684" w:rsidRPr="001C44E8" w:rsidRDefault="00EF2684">
      <w:pPr>
        <w:pStyle w:val="NormalWeb"/>
        <w:widowControl w:val="0"/>
        <w:spacing w:after="0"/>
        <w:rPr>
          <w:color w:val="FF0000"/>
          <w:sz w:val="20"/>
        </w:rPr>
      </w:pPr>
    </w:p>
    <w:p w:rsidR="00013EB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 xml:space="preserve">8529    External cutaneous nerve of thigh, paralysis. </w:t>
      </w:r>
    </w:p>
    <w:p w:rsidR="00EF2684" w:rsidRPr="001C44E8" w:rsidRDefault="00EF2684">
      <w:pPr>
        <w:pStyle w:val="NormalWeb"/>
        <w:widowControl w:val="0"/>
        <w:spacing w:after="0"/>
        <w:rPr>
          <w:color w:val="FF0000"/>
          <w:sz w:val="20"/>
        </w:rPr>
      </w:pPr>
    </w:p>
    <w:p w:rsidR="00013EB8" w:rsidRDefault="00013EB8" w:rsidP="00EF2684">
      <w:pPr>
        <w:pStyle w:val="NormalWeb"/>
        <w:widowControl w:val="0"/>
        <w:pBdr>
          <w:top w:val="single" w:sz="4" w:space="1" w:color="auto"/>
          <w:left w:val="single" w:sz="4" w:space="4" w:color="auto"/>
          <w:bottom w:val="single" w:sz="4" w:space="1" w:color="auto"/>
          <w:right w:val="single" w:sz="4" w:space="4" w:color="auto"/>
        </w:pBdr>
        <w:spacing w:after="0"/>
        <w:rPr>
          <w:color w:val="FF0000"/>
          <w:sz w:val="20"/>
        </w:rPr>
      </w:pPr>
      <w:r w:rsidRPr="001C44E8">
        <w:rPr>
          <w:color w:val="FF0000"/>
          <w:sz w:val="20"/>
        </w:rPr>
        <w:t xml:space="preserve">8530    Ilio-inguinal nerve, paralysis. </w:t>
      </w:r>
    </w:p>
    <w:p w:rsidR="00EF2684" w:rsidRPr="001C44E8" w:rsidRDefault="00EF2684">
      <w:pPr>
        <w:pStyle w:val="NormalWeb"/>
        <w:widowControl w:val="0"/>
        <w:spacing w:after="0"/>
        <w:rPr>
          <w:color w:val="FF0000"/>
          <w:sz w:val="20"/>
        </w:rPr>
      </w:pPr>
    </w:p>
    <w:p w:rsidR="00013EB8" w:rsidRPr="001C44E8" w:rsidRDefault="00013EB8">
      <w:pPr>
        <w:pStyle w:val="NormalWeb"/>
        <w:widowControl w:val="0"/>
        <w:spacing w:after="0"/>
        <w:rPr>
          <w:color w:val="FF0000"/>
          <w:sz w:val="20"/>
        </w:rPr>
      </w:pPr>
      <w:r w:rsidRPr="001C44E8">
        <w:rPr>
          <w:color w:val="FF0000"/>
          <w:sz w:val="20"/>
        </w:rPr>
        <w:t xml:space="preserve">8540    Soft-tissue sarcoma (Neurogenic origin). </w:t>
      </w:r>
    </w:p>
    <w:p w:rsidR="00013EB8" w:rsidRPr="001C44E8" w:rsidRDefault="00013EB8">
      <w:pPr>
        <w:pStyle w:val="NormalWeb"/>
        <w:widowControl w:val="0"/>
        <w:spacing w:after="0"/>
        <w:rPr>
          <w:color w:val="FF0000"/>
          <w:sz w:val="20"/>
        </w:rPr>
      </w:pPr>
      <w:r w:rsidRPr="001C44E8">
        <w:rPr>
          <w:color w:val="FF0000"/>
          <w:sz w:val="20"/>
        </w:rPr>
        <w:t xml:space="preserve">8610    Neuritis, upper radicular group. </w:t>
      </w:r>
    </w:p>
    <w:p w:rsidR="00013EB8" w:rsidRPr="001C44E8" w:rsidRDefault="00013EB8">
      <w:pPr>
        <w:pStyle w:val="NormalWeb"/>
        <w:widowControl w:val="0"/>
        <w:spacing w:after="0"/>
        <w:rPr>
          <w:color w:val="FF0000"/>
          <w:sz w:val="20"/>
        </w:rPr>
      </w:pPr>
      <w:r w:rsidRPr="001C44E8">
        <w:rPr>
          <w:color w:val="FF0000"/>
          <w:sz w:val="20"/>
        </w:rPr>
        <w:t xml:space="preserve">8611    Neuritis, middle radicular group. </w:t>
      </w:r>
    </w:p>
    <w:p w:rsidR="00013EB8" w:rsidRPr="001C44E8" w:rsidRDefault="00013EB8">
      <w:pPr>
        <w:pStyle w:val="NormalWeb"/>
        <w:widowControl w:val="0"/>
        <w:spacing w:after="0"/>
        <w:rPr>
          <w:color w:val="FF0000"/>
          <w:sz w:val="20"/>
        </w:rPr>
      </w:pPr>
      <w:r w:rsidRPr="001C44E8">
        <w:rPr>
          <w:color w:val="FF0000"/>
          <w:sz w:val="20"/>
        </w:rPr>
        <w:t xml:space="preserve">8612    Neuritis, lower radicular group. </w:t>
      </w:r>
    </w:p>
    <w:p w:rsidR="00013EB8" w:rsidRPr="001C44E8" w:rsidRDefault="00013EB8">
      <w:pPr>
        <w:pStyle w:val="NormalWeb"/>
        <w:widowControl w:val="0"/>
        <w:spacing w:after="0"/>
        <w:rPr>
          <w:color w:val="FF0000"/>
          <w:sz w:val="20"/>
        </w:rPr>
      </w:pPr>
      <w:r w:rsidRPr="001C44E8">
        <w:rPr>
          <w:color w:val="FF0000"/>
          <w:sz w:val="20"/>
        </w:rPr>
        <w:t xml:space="preserve">8613    Neuritis, all radicular groups. </w:t>
      </w:r>
    </w:p>
    <w:p w:rsidR="00013EB8" w:rsidRPr="001C44E8" w:rsidRDefault="00013EB8">
      <w:pPr>
        <w:pStyle w:val="NormalWeb"/>
        <w:widowControl w:val="0"/>
        <w:spacing w:after="0"/>
        <w:rPr>
          <w:color w:val="FF0000"/>
          <w:sz w:val="20"/>
        </w:rPr>
      </w:pPr>
      <w:r w:rsidRPr="001C44E8">
        <w:rPr>
          <w:color w:val="FF0000"/>
          <w:sz w:val="20"/>
        </w:rPr>
        <w:t xml:space="preserve">8614    Neuritis, musculospiral (radial) nerve. </w:t>
      </w:r>
    </w:p>
    <w:p w:rsidR="00013EB8" w:rsidRPr="001C44E8" w:rsidRDefault="00013EB8">
      <w:pPr>
        <w:pStyle w:val="NormalWeb"/>
        <w:widowControl w:val="0"/>
        <w:spacing w:after="0"/>
        <w:rPr>
          <w:color w:val="FF0000"/>
          <w:sz w:val="20"/>
        </w:rPr>
      </w:pPr>
      <w:r w:rsidRPr="001C44E8">
        <w:rPr>
          <w:color w:val="FF0000"/>
          <w:sz w:val="20"/>
        </w:rPr>
        <w:t xml:space="preserve">8615    Neuritis, median nerve. </w:t>
      </w:r>
    </w:p>
    <w:p w:rsidR="00013EB8" w:rsidRPr="001C44E8" w:rsidRDefault="00013EB8">
      <w:pPr>
        <w:pStyle w:val="NormalWeb"/>
        <w:widowControl w:val="0"/>
        <w:spacing w:after="0"/>
        <w:rPr>
          <w:color w:val="FF0000"/>
          <w:sz w:val="20"/>
        </w:rPr>
      </w:pPr>
      <w:r w:rsidRPr="001C44E8">
        <w:rPr>
          <w:color w:val="FF0000"/>
          <w:sz w:val="20"/>
        </w:rPr>
        <w:t xml:space="preserve">8616    Neuritis, ulnar nerve. </w:t>
      </w:r>
    </w:p>
    <w:p w:rsidR="00013EB8" w:rsidRPr="001C44E8" w:rsidRDefault="00013EB8">
      <w:pPr>
        <w:pStyle w:val="NormalWeb"/>
        <w:widowControl w:val="0"/>
        <w:spacing w:after="0"/>
        <w:rPr>
          <w:color w:val="FF0000"/>
          <w:sz w:val="20"/>
        </w:rPr>
      </w:pPr>
      <w:r w:rsidRPr="001C44E8">
        <w:rPr>
          <w:color w:val="FF0000"/>
          <w:sz w:val="20"/>
        </w:rPr>
        <w:t xml:space="preserve">8617    Neuritis, musculocutaneous nerve. </w:t>
      </w:r>
    </w:p>
    <w:p w:rsidR="00013EB8" w:rsidRPr="001C44E8" w:rsidRDefault="00013EB8">
      <w:pPr>
        <w:pStyle w:val="NormalWeb"/>
        <w:widowControl w:val="0"/>
        <w:spacing w:after="0"/>
        <w:rPr>
          <w:color w:val="FF0000"/>
          <w:sz w:val="20"/>
        </w:rPr>
      </w:pPr>
      <w:r w:rsidRPr="001C44E8">
        <w:rPr>
          <w:color w:val="FF0000"/>
          <w:sz w:val="20"/>
        </w:rPr>
        <w:t xml:space="preserve">8618    Neuritis, circumflex nerve. </w:t>
      </w:r>
    </w:p>
    <w:p w:rsidR="00013EB8" w:rsidRPr="001C44E8" w:rsidRDefault="00013EB8">
      <w:pPr>
        <w:pStyle w:val="NormalWeb"/>
        <w:widowControl w:val="0"/>
        <w:spacing w:after="0"/>
        <w:rPr>
          <w:color w:val="FF0000"/>
          <w:sz w:val="20"/>
        </w:rPr>
      </w:pPr>
      <w:r w:rsidRPr="001C44E8">
        <w:rPr>
          <w:color w:val="FF0000"/>
          <w:sz w:val="20"/>
        </w:rPr>
        <w:t xml:space="preserve">8619    Neuritis, long thoracic nerve. </w:t>
      </w:r>
    </w:p>
    <w:p w:rsidR="00013EB8" w:rsidRPr="001C44E8" w:rsidRDefault="00013EB8">
      <w:pPr>
        <w:pStyle w:val="NormalWeb"/>
        <w:widowControl w:val="0"/>
        <w:spacing w:after="0"/>
        <w:rPr>
          <w:color w:val="FF0000"/>
          <w:sz w:val="20"/>
        </w:rPr>
      </w:pPr>
      <w:r w:rsidRPr="001C44E8">
        <w:rPr>
          <w:color w:val="FF0000"/>
          <w:sz w:val="20"/>
        </w:rPr>
        <w:t xml:space="preserve">8620    Neuritis, sciatic nerve. </w:t>
      </w:r>
    </w:p>
    <w:p w:rsidR="00013EB8" w:rsidRPr="001C44E8" w:rsidRDefault="00013EB8">
      <w:pPr>
        <w:pStyle w:val="NormalWeb"/>
        <w:widowControl w:val="0"/>
        <w:spacing w:after="0"/>
        <w:rPr>
          <w:color w:val="FF0000"/>
          <w:sz w:val="20"/>
        </w:rPr>
      </w:pPr>
      <w:r w:rsidRPr="001C44E8">
        <w:rPr>
          <w:color w:val="FF0000"/>
          <w:sz w:val="20"/>
        </w:rPr>
        <w:t xml:space="preserve">8621    Neuritis, external popliteal (common peroneal) nerve. </w:t>
      </w:r>
    </w:p>
    <w:p w:rsidR="00013EB8" w:rsidRPr="001C44E8" w:rsidRDefault="00013EB8">
      <w:pPr>
        <w:pStyle w:val="NormalWeb"/>
        <w:widowControl w:val="0"/>
        <w:spacing w:after="0"/>
        <w:rPr>
          <w:color w:val="FF0000"/>
          <w:sz w:val="20"/>
        </w:rPr>
      </w:pPr>
      <w:r w:rsidRPr="001C44E8">
        <w:rPr>
          <w:color w:val="FF0000"/>
          <w:sz w:val="20"/>
        </w:rPr>
        <w:t xml:space="preserve">8622    Neuritis, musculocutaneous (superficial peroneal) nerve. </w:t>
      </w:r>
    </w:p>
    <w:p w:rsidR="00013EB8" w:rsidRPr="001C44E8" w:rsidRDefault="00013EB8">
      <w:pPr>
        <w:pStyle w:val="NormalWeb"/>
        <w:widowControl w:val="0"/>
        <w:spacing w:after="0"/>
        <w:rPr>
          <w:color w:val="FF0000"/>
          <w:sz w:val="20"/>
        </w:rPr>
      </w:pPr>
      <w:r w:rsidRPr="001C44E8">
        <w:rPr>
          <w:color w:val="FF0000"/>
          <w:sz w:val="20"/>
        </w:rPr>
        <w:t xml:space="preserve">8623    Neuritis, anterior tibial (deep peroneal), nerve. </w:t>
      </w:r>
    </w:p>
    <w:p w:rsidR="00013EB8" w:rsidRPr="001C44E8" w:rsidRDefault="00013EB8">
      <w:pPr>
        <w:pStyle w:val="NormalWeb"/>
        <w:widowControl w:val="0"/>
        <w:spacing w:after="0"/>
        <w:rPr>
          <w:color w:val="FF0000"/>
          <w:sz w:val="20"/>
        </w:rPr>
      </w:pPr>
      <w:r w:rsidRPr="001C44E8">
        <w:rPr>
          <w:color w:val="FF0000"/>
          <w:sz w:val="20"/>
        </w:rPr>
        <w:t xml:space="preserve">8624    Neuritis, internal popliteal (tibial) nerve. </w:t>
      </w:r>
    </w:p>
    <w:p w:rsidR="00013EB8" w:rsidRPr="001C44E8" w:rsidRDefault="00013EB8">
      <w:pPr>
        <w:pStyle w:val="NormalWeb"/>
        <w:widowControl w:val="0"/>
        <w:spacing w:after="0"/>
        <w:rPr>
          <w:color w:val="FF0000"/>
          <w:sz w:val="20"/>
        </w:rPr>
      </w:pPr>
      <w:r w:rsidRPr="001C44E8">
        <w:rPr>
          <w:color w:val="FF0000"/>
          <w:sz w:val="20"/>
        </w:rPr>
        <w:t xml:space="preserve">8625    Neuritis, posterior tibial nerve. </w:t>
      </w:r>
    </w:p>
    <w:p w:rsidR="00013EB8" w:rsidRPr="001C44E8" w:rsidRDefault="00013EB8">
      <w:pPr>
        <w:pStyle w:val="NormalWeb"/>
        <w:widowControl w:val="0"/>
        <w:spacing w:after="0"/>
        <w:rPr>
          <w:color w:val="FF0000"/>
          <w:sz w:val="20"/>
        </w:rPr>
      </w:pPr>
      <w:r w:rsidRPr="001C44E8">
        <w:rPr>
          <w:color w:val="FF0000"/>
          <w:sz w:val="20"/>
        </w:rPr>
        <w:t xml:space="preserve">8626    Neuritis, anterior crural (femoral) nerve. </w:t>
      </w:r>
    </w:p>
    <w:p w:rsidR="00013EB8" w:rsidRPr="001C44E8" w:rsidRDefault="00013EB8">
      <w:pPr>
        <w:pStyle w:val="NormalWeb"/>
        <w:widowControl w:val="0"/>
        <w:spacing w:after="0"/>
        <w:rPr>
          <w:color w:val="FF0000"/>
          <w:sz w:val="20"/>
        </w:rPr>
      </w:pPr>
      <w:r w:rsidRPr="001C44E8">
        <w:rPr>
          <w:color w:val="FF0000"/>
          <w:sz w:val="20"/>
        </w:rPr>
        <w:t xml:space="preserve">8627    Neuritis, internal saphenous nerve. </w:t>
      </w:r>
    </w:p>
    <w:p w:rsidR="00013EB8" w:rsidRPr="001C44E8" w:rsidRDefault="00013EB8">
      <w:pPr>
        <w:pStyle w:val="NormalWeb"/>
        <w:widowControl w:val="0"/>
        <w:spacing w:after="0"/>
        <w:rPr>
          <w:color w:val="FF0000"/>
          <w:sz w:val="20"/>
        </w:rPr>
      </w:pPr>
      <w:r w:rsidRPr="001C44E8">
        <w:rPr>
          <w:color w:val="FF0000"/>
          <w:sz w:val="20"/>
        </w:rPr>
        <w:t xml:space="preserve">8628    Neuritis, obturator nerve. </w:t>
      </w:r>
    </w:p>
    <w:p w:rsidR="00013EB8" w:rsidRPr="001C44E8" w:rsidRDefault="00013EB8">
      <w:pPr>
        <w:pStyle w:val="NormalWeb"/>
        <w:widowControl w:val="0"/>
        <w:spacing w:after="0"/>
        <w:rPr>
          <w:color w:val="FF0000"/>
          <w:sz w:val="20"/>
        </w:rPr>
      </w:pPr>
      <w:r w:rsidRPr="001C44E8">
        <w:rPr>
          <w:color w:val="FF0000"/>
          <w:sz w:val="20"/>
        </w:rPr>
        <w:t xml:space="preserve">8629    Neuritis, external cutaneous nerve of thigh. </w:t>
      </w:r>
    </w:p>
    <w:p w:rsidR="00013EB8" w:rsidRPr="001C44E8" w:rsidRDefault="00013EB8">
      <w:pPr>
        <w:pStyle w:val="NormalWeb"/>
        <w:widowControl w:val="0"/>
        <w:spacing w:after="0"/>
        <w:rPr>
          <w:color w:val="FF0000"/>
          <w:sz w:val="20"/>
        </w:rPr>
      </w:pPr>
      <w:r w:rsidRPr="001C44E8">
        <w:rPr>
          <w:color w:val="FF0000"/>
          <w:sz w:val="20"/>
        </w:rPr>
        <w:t xml:space="preserve">8630    Neuritis, ilio-inguinal nerve. </w:t>
      </w:r>
    </w:p>
    <w:p w:rsidR="00013EB8" w:rsidRPr="001C44E8" w:rsidRDefault="00013EB8">
      <w:pPr>
        <w:pStyle w:val="NormalWeb"/>
        <w:widowControl w:val="0"/>
        <w:spacing w:after="0"/>
        <w:rPr>
          <w:color w:val="FF0000"/>
          <w:sz w:val="20"/>
        </w:rPr>
      </w:pPr>
      <w:r w:rsidRPr="001C44E8">
        <w:rPr>
          <w:color w:val="FF0000"/>
          <w:sz w:val="20"/>
        </w:rPr>
        <w:t xml:space="preserve">8710    Neuralgia, upper radicular group. </w:t>
      </w:r>
    </w:p>
    <w:p w:rsidR="00013EB8" w:rsidRPr="001C44E8" w:rsidRDefault="00013EB8">
      <w:pPr>
        <w:pStyle w:val="NormalWeb"/>
        <w:widowControl w:val="0"/>
        <w:spacing w:after="0"/>
        <w:rPr>
          <w:color w:val="FF0000"/>
          <w:sz w:val="20"/>
        </w:rPr>
      </w:pPr>
      <w:r w:rsidRPr="001C44E8">
        <w:rPr>
          <w:color w:val="FF0000"/>
          <w:sz w:val="20"/>
        </w:rPr>
        <w:t xml:space="preserve">8711    Neuralgia, middle radicular group. </w:t>
      </w:r>
    </w:p>
    <w:p w:rsidR="00013EB8" w:rsidRPr="001C44E8" w:rsidRDefault="00013EB8">
      <w:pPr>
        <w:pStyle w:val="NormalWeb"/>
        <w:widowControl w:val="0"/>
        <w:spacing w:after="0"/>
        <w:rPr>
          <w:color w:val="FF0000"/>
          <w:sz w:val="20"/>
        </w:rPr>
      </w:pPr>
      <w:r w:rsidRPr="001C44E8">
        <w:rPr>
          <w:color w:val="FF0000"/>
          <w:sz w:val="20"/>
        </w:rPr>
        <w:t xml:space="preserve">8712    Neuralgia, lower radicular group. </w:t>
      </w:r>
    </w:p>
    <w:p w:rsidR="00013EB8" w:rsidRPr="001C44E8" w:rsidRDefault="00013EB8">
      <w:pPr>
        <w:pStyle w:val="NormalWeb"/>
        <w:widowControl w:val="0"/>
        <w:spacing w:after="0"/>
        <w:rPr>
          <w:color w:val="FF0000"/>
          <w:sz w:val="20"/>
        </w:rPr>
      </w:pPr>
      <w:r w:rsidRPr="001C44E8">
        <w:rPr>
          <w:color w:val="FF0000"/>
          <w:sz w:val="20"/>
        </w:rPr>
        <w:t xml:space="preserve">8713    Neuralgia, all radicular groups. </w:t>
      </w:r>
    </w:p>
    <w:p w:rsidR="00013EB8" w:rsidRPr="001C44E8" w:rsidRDefault="00013EB8">
      <w:pPr>
        <w:pStyle w:val="NormalWeb"/>
        <w:widowControl w:val="0"/>
        <w:spacing w:after="0"/>
        <w:rPr>
          <w:color w:val="FF0000"/>
          <w:sz w:val="20"/>
        </w:rPr>
      </w:pPr>
      <w:r w:rsidRPr="001C44E8">
        <w:rPr>
          <w:color w:val="FF0000"/>
          <w:sz w:val="20"/>
        </w:rPr>
        <w:t xml:space="preserve">8714    Neuralgia, musculospiral nerve (radial). </w:t>
      </w:r>
    </w:p>
    <w:p w:rsidR="00013EB8" w:rsidRPr="001C44E8" w:rsidRDefault="00013EB8">
      <w:pPr>
        <w:pStyle w:val="NormalWeb"/>
        <w:widowControl w:val="0"/>
        <w:spacing w:after="0"/>
        <w:rPr>
          <w:color w:val="FF0000"/>
          <w:sz w:val="20"/>
        </w:rPr>
      </w:pPr>
      <w:r w:rsidRPr="001C44E8">
        <w:rPr>
          <w:color w:val="FF0000"/>
          <w:sz w:val="20"/>
        </w:rPr>
        <w:t xml:space="preserve">8715    Neuralgia, median nerve. </w:t>
      </w:r>
    </w:p>
    <w:p w:rsidR="00013EB8" w:rsidRPr="001C44E8" w:rsidRDefault="00013EB8">
      <w:pPr>
        <w:pStyle w:val="NormalWeb"/>
        <w:widowControl w:val="0"/>
        <w:spacing w:after="0"/>
        <w:rPr>
          <w:color w:val="FF0000"/>
          <w:sz w:val="20"/>
        </w:rPr>
      </w:pPr>
      <w:r w:rsidRPr="001C44E8">
        <w:rPr>
          <w:color w:val="FF0000"/>
          <w:sz w:val="20"/>
        </w:rPr>
        <w:t xml:space="preserve">8716    Neuralgia, ulnar nerve. </w:t>
      </w:r>
    </w:p>
    <w:p w:rsidR="00013EB8" w:rsidRPr="001C44E8" w:rsidRDefault="00013EB8">
      <w:pPr>
        <w:pStyle w:val="NormalWeb"/>
        <w:widowControl w:val="0"/>
        <w:spacing w:after="0"/>
        <w:rPr>
          <w:color w:val="FF0000"/>
          <w:sz w:val="20"/>
        </w:rPr>
      </w:pPr>
      <w:r w:rsidRPr="001C44E8">
        <w:rPr>
          <w:color w:val="FF0000"/>
          <w:sz w:val="20"/>
        </w:rPr>
        <w:t xml:space="preserve">8717    Neuralgia, musculocutaneous nerve. </w:t>
      </w:r>
    </w:p>
    <w:p w:rsidR="00013EB8" w:rsidRPr="001C44E8" w:rsidRDefault="00013EB8">
      <w:pPr>
        <w:pStyle w:val="NormalWeb"/>
        <w:widowControl w:val="0"/>
        <w:spacing w:after="0"/>
        <w:rPr>
          <w:color w:val="FF0000"/>
          <w:sz w:val="20"/>
        </w:rPr>
      </w:pPr>
      <w:r w:rsidRPr="001C44E8">
        <w:rPr>
          <w:color w:val="FF0000"/>
          <w:sz w:val="20"/>
        </w:rPr>
        <w:t xml:space="preserve">8718    Neuralgia, circumflex nerve. </w:t>
      </w:r>
    </w:p>
    <w:p w:rsidR="00013EB8" w:rsidRPr="001C44E8" w:rsidRDefault="00013EB8">
      <w:pPr>
        <w:pStyle w:val="NormalWeb"/>
        <w:widowControl w:val="0"/>
        <w:spacing w:after="0"/>
        <w:rPr>
          <w:color w:val="FF0000"/>
          <w:sz w:val="20"/>
        </w:rPr>
      </w:pPr>
      <w:r w:rsidRPr="001C44E8">
        <w:rPr>
          <w:color w:val="FF0000"/>
          <w:sz w:val="20"/>
        </w:rPr>
        <w:t xml:space="preserve">8719    Neuralgia, long thoracic nerve. </w:t>
      </w:r>
    </w:p>
    <w:p w:rsidR="00013EB8" w:rsidRPr="001C44E8" w:rsidRDefault="00013EB8">
      <w:pPr>
        <w:pStyle w:val="NormalWeb"/>
        <w:widowControl w:val="0"/>
        <w:spacing w:after="0"/>
        <w:rPr>
          <w:color w:val="FF0000"/>
          <w:sz w:val="20"/>
        </w:rPr>
      </w:pPr>
      <w:r w:rsidRPr="001C44E8">
        <w:rPr>
          <w:color w:val="FF0000"/>
          <w:sz w:val="20"/>
        </w:rPr>
        <w:t xml:space="preserve">8720    Neuralgia, sciatic nerve. </w:t>
      </w:r>
    </w:p>
    <w:p w:rsidR="00013EB8" w:rsidRPr="001C44E8" w:rsidRDefault="00013EB8">
      <w:pPr>
        <w:pStyle w:val="NormalWeb"/>
        <w:widowControl w:val="0"/>
        <w:spacing w:after="0"/>
        <w:rPr>
          <w:color w:val="FF0000"/>
          <w:sz w:val="20"/>
        </w:rPr>
      </w:pPr>
      <w:r w:rsidRPr="001C44E8">
        <w:rPr>
          <w:color w:val="FF0000"/>
          <w:sz w:val="20"/>
        </w:rPr>
        <w:t xml:space="preserve">8721    Neuralgia, external popliteal nerve (common peroneal). </w:t>
      </w:r>
    </w:p>
    <w:p w:rsidR="00013EB8" w:rsidRPr="001C44E8" w:rsidRDefault="00013EB8">
      <w:pPr>
        <w:pStyle w:val="NormalWeb"/>
        <w:widowControl w:val="0"/>
        <w:spacing w:after="0"/>
        <w:rPr>
          <w:color w:val="FF0000"/>
          <w:sz w:val="20"/>
        </w:rPr>
      </w:pPr>
      <w:r w:rsidRPr="001C44E8">
        <w:rPr>
          <w:color w:val="FF0000"/>
          <w:sz w:val="20"/>
        </w:rPr>
        <w:t xml:space="preserve">8722    Neuralgia, musculocutaneous nerve (superficial peroneal). </w:t>
      </w:r>
    </w:p>
    <w:p w:rsidR="00013EB8" w:rsidRPr="001C44E8" w:rsidRDefault="00013EB8">
      <w:pPr>
        <w:pStyle w:val="NormalWeb"/>
        <w:widowControl w:val="0"/>
        <w:spacing w:after="0"/>
        <w:rPr>
          <w:color w:val="FF0000"/>
          <w:sz w:val="20"/>
        </w:rPr>
      </w:pPr>
      <w:r w:rsidRPr="001C44E8">
        <w:rPr>
          <w:color w:val="FF0000"/>
          <w:sz w:val="20"/>
        </w:rPr>
        <w:t xml:space="preserve">8723    Neuralgia, anterior tibial nerve (deep peroneal). </w:t>
      </w:r>
    </w:p>
    <w:p w:rsidR="00013EB8" w:rsidRPr="001C44E8" w:rsidRDefault="00013EB8">
      <w:pPr>
        <w:pStyle w:val="NormalWeb"/>
        <w:widowControl w:val="0"/>
        <w:spacing w:after="0"/>
        <w:rPr>
          <w:color w:val="FF0000"/>
          <w:sz w:val="20"/>
        </w:rPr>
      </w:pPr>
      <w:r w:rsidRPr="001C44E8">
        <w:rPr>
          <w:color w:val="FF0000"/>
          <w:sz w:val="20"/>
        </w:rPr>
        <w:t xml:space="preserve">8724    Neuralgia, internal popliteal nerve (tibial). </w:t>
      </w:r>
    </w:p>
    <w:p w:rsidR="00013EB8" w:rsidRPr="001C44E8" w:rsidRDefault="00013EB8">
      <w:pPr>
        <w:pStyle w:val="NormalWeb"/>
        <w:widowControl w:val="0"/>
        <w:spacing w:after="0"/>
        <w:rPr>
          <w:color w:val="FF0000"/>
          <w:sz w:val="20"/>
        </w:rPr>
      </w:pPr>
      <w:r w:rsidRPr="001C44E8">
        <w:rPr>
          <w:color w:val="FF0000"/>
          <w:sz w:val="20"/>
        </w:rPr>
        <w:t xml:space="preserve">8725    Neuralgia, posterior tibial nerve. </w:t>
      </w:r>
    </w:p>
    <w:p w:rsidR="00013EB8" w:rsidRPr="001C44E8" w:rsidRDefault="00013EB8">
      <w:pPr>
        <w:pStyle w:val="NormalWeb"/>
        <w:widowControl w:val="0"/>
        <w:spacing w:after="0"/>
        <w:rPr>
          <w:color w:val="FF0000"/>
          <w:sz w:val="20"/>
        </w:rPr>
      </w:pPr>
      <w:r w:rsidRPr="001C44E8">
        <w:rPr>
          <w:color w:val="FF0000"/>
          <w:sz w:val="20"/>
        </w:rPr>
        <w:t xml:space="preserve">8726    Neuralgia, anterior crural nerve (femoral). </w:t>
      </w:r>
    </w:p>
    <w:p w:rsidR="00013EB8" w:rsidRPr="001C44E8" w:rsidRDefault="00013EB8">
      <w:pPr>
        <w:pStyle w:val="NormalWeb"/>
        <w:widowControl w:val="0"/>
        <w:spacing w:after="0"/>
        <w:rPr>
          <w:color w:val="FF0000"/>
          <w:sz w:val="20"/>
        </w:rPr>
      </w:pPr>
      <w:r w:rsidRPr="001C44E8">
        <w:rPr>
          <w:color w:val="FF0000"/>
          <w:sz w:val="20"/>
        </w:rPr>
        <w:t xml:space="preserve">8727    Neuralgia, internal saphenous nerve. </w:t>
      </w:r>
    </w:p>
    <w:p w:rsidR="00013EB8" w:rsidRPr="001C44E8" w:rsidRDefault="00013EB8">
      <w:pPr>
        <w:pStyle w:val="NormalWeb"/>
        <w:widowControl w:val="0"/>
        <w:spacing w:after="0"/>
        <w:rPr>
          <w:color w:val="FF0000"/>
          <w:sz w:val="20"/>
        </w:rPr>
      </w:pPr>
      <w:r w:rsidRPr="001C44E8">
        <w:rPr>
          <w:color w:val="FF0000"/>
          <w:sz w:val="20"/>
        </w:rPr>
        <w:t xml:space="preserve">8728    Neuralgia, obturator nerve. </w:t>
      </w:r>
    </w:p>
    <w:p w:rsidR="00013EB8" w:rsidRPr="001C44E8" w:rsidRDefault="00013EB8">
      <w:pPr>
        <w:pStyle w:val="NormalWeb"/>
        <w:widowControl w:val="0"/>
        <w:spacing w:after="0"/>
        <w:rPr>
          <w:color w:val="FF0000"/>
          <w:sz w:val="20"/>
        </w:rPr>
      </w:pPr>
      <w:r w:rsidRPr="001C44E8">
        <w:rPr>
          <w:color w:val="FF0000"/>
          <w:sz w:val="20"/>
        </w:rPr>
        <w:t xml:space="preserve">8729    Neuralgia, external cutaneous nerve of thigh. </w:t>
      </w:r>
    </w:p>
    <w:p w:rsidR="00013EB8" w:rsidRPr="001C44E8" w:rsidRDefault="00013EB8">
      <w:pPr>
        <w:widowControl w:val="0"/>
        <w:tabs>
          <w:tab w:val="left" w:pos="0"/>
          <w:tab w:val="left" w:pos="144"/>
        </w:tabs>
        <w:rPr>
          <w:color w:val="FF0000"/>
        </w:rPr>
        <w:sectPr w:rsidR="00013EB8" w:rsidRPr="001C44E8" w:rsidSect="008140DA">
          <w:footnotePr>
            <w:numRestart w:val="eachSect"/>
          </w:footnotePr>
          <w:type w:val="continuous"/>
          <w:pgSz w:w="12240" w:h="15840" w:code="1"/>
          <w:pgMar w:top="720" w:right="720" w:bottom="720" w:left="720" w:header="720" w:footer="720" w:gutter="0"/>
          <w:cols w:num="2" w:space="720" w:equalWidth="0">
            <w:col w:w="5040" w:space="720"/>
            <w:col w:w="5040"/>
          </w:cols>
        </w:sectPr>
      </w:pPr>
      <w:r w:rsidRPr="001C44E8">
        <w:rPr>
          <w:color w:val="FF0000"/>
        </w:rPr>
        <w:t>8730    Neuralgia, ilio-inguinal nerve.</w:t>
      </w:r>
    </w:p>
    <w:p w:rsidR="00013EB8" w:rsidRDefault="00013EB8">
      <w:pPr>
        <w:widowControl w:val="0"/>
        <w:tabs>
          <w:tab w:val="left" w:pos="0"/>
          <w:tab w:val="left" w:pos="144"/>
        </w:tabs>
      </w:pPr>
    </w:p>
    <w:p w:rsidR="00013EB8" w:rsidRDefault="00013EB8">
      <w:pPr>
        <w:widowControl w:val="0"/>
        <w:pBdr>
          <w:top w:val="single" w:sz="4" w:space="0" w:color="auto"/>
          <w:left w:val="single" w:sz="4" w:space="4" w:color="auto"/>
          <w:bottom w:val="single" w:sz="4" w:space="1" w:color="auto"/>
          <w:right w:val="single" w:sz="4" w:space="4" w:color="auto"/>
        </w:pBdr>
        <w:overflowPunct/>
        <w:autoSpaceDE/>
        <w:autoSpaceDN/>
        <w:adjustRightInd/>
        <w:textAlignment w:val="auto"/>
        <w:rPr>
          <w:i/>
          <w:iCs/>
        </w:rPr>
      </w:pPr>
      <w:r>
        <w:rPr>
          <w:i/>
          <w:iCs/>
        </w:rPr>
        <w:t xml:space="preserve">from </w:t>
      </w:r>
      <w:hyperlink r:id="rId621" w:tooltip="http://www.neuroexam.com/content.php?p=29" w:history="1">
        <w:r>
          <w:rPr>
            <w:rStyle w:val="Hyperlink"/>
            <w:i/>
            <w:iCs/>
          </w:rPr>
          <w:t>http://www.neuroexam.com/content.php?p=29</w:t>
        </w:r>
      </w:hyperlink>
      <w:r>
        <w:rPr>
          <w:i/>
          <w:iCs/>
        </w:rPr>
        <w:t xml:space="preserve"> </w:t>
      </w:r>
    </w:p>
    <w:p w:rsidR="00013EB8" w:rsidRDefault="00013EB8">
      <w:pPr>
        <w:widowControl w:val="0"/>
        <w:pBdr>
          <w:top w:val="single" w:sz="4" w:space="0" w:color="auto"/>
          <w:left w:val="single" w:sz="4" w:space="4" w:color="auto"/>
          <w:bottom w:val="single" w:sz="4" w:space="1" w:color="auto"/>
          <w:right w:val="single" w:sz="4" w:space="4" w:color="auto"/>
        </w:pBdr>
        <w:overflowPunct/>
        <w:autoSpaceDE/>
        <w:autoSpaceDN/>
        <w:adjustRightInd/>
        <w:textAlignment w:val="auto"/>
        <w:rPr>
          <w:rFonts w:eastAsia="Arial Unicode MS"/>
          <w:sz w:val="24"/>
          <w:szCs w:val="24"/>
        </w:rPr>
      </w:pPr>
    </w:p>
    <w:p w:rsidR="00013EB8" w:rsidRDefault="00013EB8">
      <w:pPr>
        <w:pStyle w:val="Heading7"/>
        <w:keepNext w:val="0"/>
        <w:widowControl w:val="0"/>
        <w:pBdr>
          <w:top w:val="single" w:sz="4" w:space="0" w:color="auto"/>
        </w:pBdr>
        <w:tabs>
          <w:tab w:val="clear" w:pos="0"/>
          <w:tab w:val="clear" w:pos="144"/>
        </w:tabs>
        <w:overflowPunct/>
        <w:autoSpaceDE/>
        <w:autoSpaceDN/>
        <w:adjustRightInd/>
        <w:textAlignment w:val="auto"/>
        <w:rPr>
          <w:rFonts w:eastAsia="Arial Unicode MS"/>
          <w:szCs w:val="24"/>
        </w:rPr>
      </w:pPr>
      <w:r>
        <w:rPr>
          <w:rFonts w:eastAsia="Arial Unicode MS"/>
          <w:szCs w:val="24"/>
        </w:rPr>
        <w:t>Muscle Strength</w:t>
      </w:r>
    </w:p>
    <w:p w:rsidR="00013EB8" w:rsidRDefault="00013EB8">
      <w:pPr>
        <w:widowControl w:val="0"/>
        <w:pBdr>
          <w:top w:val="single" w:sz="4" w:space="0" w:color="auto"/>
          <w:left w:val="single" w:sz="4" w:space="4" w:color="auto"/>
          <w:bottom w:val="single" w:sz="4" w:space="1" w:color="auto"/>
          <w:right w:val="single" w:sz="4" w:space="4" w:color="auto"/>
        </w:pBdr>
      </w:pPr>
      <w:r>
        <w:t xml:space="preserve">0/5: no contraction </w:t>
      </w:r>
    </w:p>
    <w:p w:rsidR="00013EB8" w:rsidRDefault="00013EB8">
      <w:pPr>
        <w:pStyle w:val="Header"/>
        <w:widowControl w:val="0"/>
        <w:pBdr>
          <w:top w:val="single" w:sz="4" w:space="0" w:color="auto"/>
          <w:left w:val="single" w:sz="4" w:space="4" w:color="auto"/>
          <w:bottom w:val="single" w:sz="4" w:space="1" w:color="auto"/>
          <w:right w:val="single" w:sz="4" w:space="4" w:color="auto"/>
        </w:pBdr>
        <w:tabs>
          <w:tab w:val="clear" w:pos="4320"/>
          <w:tab w:val="clear" w:pos="8640"/>
        </w:tabs>
      </w:pPr>
      <w:r>
        <w:t xml:space="preserve">1/5: muscle flicker, but no movement </w:t>
      </w:r>
    </w:p>
    <w:p w:rsidR="00013EB8" w:rsidRDefault="00013EB8">
      <w:pPr>
        <w:widowControl w:val="0"/>
        <w:pBdr>
          <w:top w:val="single" w:sz="4" w:space="0" w:color="auto"/>
          <w:left w:val="single" w:sz="4" w:space="4" w:color="auto"/>
          <w:bottom w:val="single" w:sz="4" w:space="1" w:color="auto"/>
          <w:right w:val="single" w:sz="4" w:space="4" w:color="auto"/>
        </w:pBdr>
        <w:rPr>
          <w:i/>
          <w:iCs/>
        </w:rPr>
      </w:pPr>
      <w:r>
        <w:t xml:space="preserve">2/5: movement possible, but not against gravity (test the joint in its horizontal plane) </w:t>
      </w:r>
      <w:r>
        <w:rPr>
          <w:i/>
          <w:iCs/>
        </w:rPr>
        <w:t>[SEVERELY DECREASED STRENGTH]</w:t>
      </w:r>
    </w:p>
    <w:p w:rsidR="00013EB8" w:rsidRDefault="00013EB8">
      <w:pPr>
        <w:widowControl w:val="0"/>
        <w:pBdr>
          <w:top w:val="single" w:sz="4" w:space="0" w:color="auto"/>
          <w:left w:val="single" w:sz="4" w:space="4" w:color="auto"/>
          <w:bottom w:val="single" w:sz="4" w:space="1" w:color="auto"/>
          <w:right w:val="single" w:sz="4" w:space="4" w:color="auto"/>
        </w:pBdr>
        <w:rPr>
          <w:i/>
          <w:iCs/>
        </w:rPr>
      </w:pPr>
      <w:r>
        <w:t xml:space="preserve">3/5: movement possible against gravity, but not against resistance by the examiner </w:t>
      </w:r>
      <w:r>
        <w:rPr>
          <w:i/>
          <w:iCs/>
        </w:rPr>
        <w:t>[MODERATELY DECREASED STRENGTH]</w:t>
      </w:r>
    </w:p>
    <w:p w:rsidR="00013EB8" w:rsidRDefault="00013EB8">
      <w:pPr>
        <w:widowControl w:val="0"/>
        <w:pBdr>
          <w:top w:val="single" w:sz="4" w:space="0" w:color="auto"/>
          <w:left w:val="single" w:sz="4" w:space="4" w:color="auto"/>
          <w:bottom w:val="single" w:sz="4" w:space="1" w:color="auto"/>
          <w:right w:val="single" w:sz="4" w:space="4" w:color="auto"/>
        </w:pBdr>
      </w:pPr>
      <w:r>
        <w:t>4/5: movement possible against some resistance by the examiner (sometimes this category is subdivided further into 4</w:t>
      </w:r>
      <w:r>
        <w:rPr>
          <w:vertAlign w:val="superscript"/>
        </w:rPr>
        <w:t>–</w:t>
      </w:r>
      <w:r>
        <w:t>/5, 4/5, and 4</w:t>
      </w:r>
      <w:r>
        <w:rPr>
          <w:vertAlign w:val="superscript"/>
        </w:rPr>
        <w:t>+</w:t>
      </w:r>
      <w:r>
        <w:t xml:space="preserve">/5) </w:t>
      </w:r>
      <w:r>
        <w:rPr>
          <w:i/>
          <w:iCs/>
        </w:rPr>
        <w:t>[SLIGHTLY DECREASED STRENGTH]</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r>
        <w:t>5/5: normal strength</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p>
    <w:p w:rsidR="00013EB8" w:rsidRDefault="00013EB8">
      <w:pPr>
        <w:pStyle w:val="Heading7"/>
        <w:keepNext w:val="0"/>
        <w:widowControl w:val="0"/>
        <w:pBdr>
          <w:top w:val="single" w:sz="4" w:space="0" w:color="auto"/>
        </w:pBdr>
      </w:pPr>
      <w:r>
        <w:t>Deep Tendon Reflexes</w:t>
      </w:r>
    </w:p>
    <w:p w:rsidR="00013EB8" w:rsidRDefault="00013EB8">
      <w:pPr>
        <w:widowControl w:val="0"/>
        <w:pBdr>
          <w:top w:val="single" w:sz="4" w:space="0" w:color="auto"/>
          <w:left w:val="single" w:sz="4" w:space="4" w:color="auto"/>
          <w:bottom w:val="single" w:sz="4" w:space="1" w:color="auto"/>
          <w:right w:val="single" w:sz="4" w:space="4" w:color="auto"/>
        </w:pBdr>
      </w:pPr>
      <w:r>
        <w:t>0: absent reflex</w:t>
      </w:r>
    </w:p>
    <w:p w:rsidR="00013EB8" w:rsidRDefault="00013EB8">
      <w:pPr>
        <w:widowControl w:val="0"/>
        <w:pBdr>
          <w:top w:val="single" w:sz="4" w:space="0" w:color="auto"/>
          <w:left w:val="single" w:sz="4" w:space="4" w:color="auto"/>
          <w:bottom w:val="single" w:sz="4" w:space="1" w:color="auto"/>
          <w:right w:val="single" w:sz="4" w:space="4" w:color="auto"/>
        </w:pBdr>
      </w:pPr>
      <w:r>
        <w:t>1</w:t>
      </w:r>
      <w:r>
        <w:rPr>
          <w:vertAlign w:val="superscript"/>
        </w:rPr>
        <w:t>+</w:t>
      </w:r>
      <w:r>
        <w:t xml:space="preserve">: trace, or seen only with reinforcement </w:t>
      </w:r>
      <w:r>
        <w:rPr>
          <w:i/>
          <w:iCs/>
        </w:rPr>
        <w:t>[also called hypoactive]</w:t>
      </w:r>
    </w:p>
    <w:p w:rsidR="00013EB8" w:rsidRDefault="00013EB8">
      <w:pPr>
        <w:widowControl w:val="0"/>
        <w:pBdr>
          <w:top w:val="single" w:sz="4" w:space="0" w:color="auto"/>
          <w:left w:val="single" w:sz="4" w:space="4" w:color="auto"/>
          <w:bottom w:val="single" w:sz="4" w:space="1" w:color="auto"/>
          <w:right w:val="single" w:sz="4" w:space="4" w:color="auto"/>
        </w:pBdr>
      </w:pPr>
      <w:r>
        <w:t>2</w:t>
      </w:r>
      <w:r>
        <w:rPr>
          <w:vertAlign w:val="superscript"/>
        </w:rPr>
        <w:t>+</w:t>
      </w:r>
      <w:r>
        <w:t xml:space="preserve">: normal </w:t>
      </w:r>
    </w:p>
    <w:p w:rsidR="00013EB8" w:rsidRDefault="00013EB8">
      <w:pPr>
        <w:widowControl w:val="0"/>
        <w:pBdr>
          <w:top w:val="single" w:sz="4" w:space="0" w:color="auto"/>
          <w:left w:val="single" w:sz="4" w:space="4" w:color="auto"/>
          <w:bottom w:val="single" w:sz="4" w:space="1" w:color="auto"/>
          <w:right w:val="single" w:sz="4" w:space="4" w:color="auto"/>
        </w:pBdr>
      </w:pPr>
      <w:r>
        <w:t>3</w:t>
      </w:r>
      <w:r>
        <w:rPr>
          <w:vertAlign w:val="superscript"/>
        </w:rPr>
        <w:t>+</w:t>
      </w:r>
      <w:r>
        <w:t xml:space="preserve">: brisk </w:t>
      </w:r>
      <w:r>
        <w:rPr>
          <w:i/>
          <w:iCs/>
        </w:rPr>
        <w:t>[also called hyperactive without clonus]</w:t>
      </w:r>
    </w:p>
    <w:p w:rsidR="00013EB8" w:rsidRDefault="00013EB8">
      <w:pPr>
        <w:widowControl w:val="0"/>
        <w:pBdr>
          <w:top w:val="single" w:sz="4" w:space="0" w:color="auto"/>
          <w:left w:val="single" w:sz="4" w:space="4" w:color="auto"/>
          <w:bottom w:val="single" w:sz="4" w:space="1" w:color="auto"/>
          <w:right w:val="single" w:sz="4" w:space="4" w:color="auto"/>
        </w:pBdr>
      </w:pPr>
      <w:r>
        <w:t>4</w:t>
      </w:r>
      <w:r>
        <w:rPr>
          <w:vertAlign w:val="superscript"/>
        </w:rPr>
        <w:t>+</w:t>
      </w:r>
      <w:r>
        <w:t xml:space="preserve">: nonsustained clonus (i.e., repetitive vibratory movements) </w:t>
      </w:r>
      <w:r>
        <w:rPr>
          <w:i/>
          <w:iCs/>
        </w:rPr>
        <w:t>[also called hyperactive with clonus]</w:t>
      </w:r>
    </w:p>
    <w:p w:rsidR="00013EB8" w:rsidRDefault="00013EB8">
      <w:pPr>
        <w:widowControl w:val="0"/>
        <w:pBdr>
          <w:top w:val="single" w:sz="4" w:space="0" w:color="auto"/>
          <w:left w:val="single" w:sz="4" w:space="4" w:color="auto"/>
          <w:bottom w:val="single" w:sz="4" w:space="1" w:color="auto"/>
          <w:right w:val="single" w:sz="4" w:space="4" w:color="auto"/>
        </w:pBdr>
      </w:pPr>
      <w:r>
        <w:t>5</w:t>
      </w:r>
      <w:r>
        <w:rPr>
          <w:vertAlign w:val="superscript"/>
        </w:rPr>
        <w:t>+</w:t>
      </w:r>
      <w:r>
        <w:t xml:space="preserve">: sustained clonus </w:t>
      </w:r>
    </w:p>
    <w:p w:rsidR="00013EB8" w:rsidRDefault="00013EB8">
      <w:pPr>
        <w:widowControl w:val="0"/>
        <w:numPr>
          <w:ilvl w:val="12"/>
          <w:numId w:val="0"/>
        </w:numPr>
        <w:rPr>
          <w:i/>
          <w:color w:val="FF9900"/>
        </w:rPr>
      </w:pPr>
    </w:p>
    <w:p w:rsidR="00013EB8" w:rsidRDefault="00013EB8" w:rsidP="00691877">
      <w:pPr>
        <w:widowControl w:val="0"/>
        <w:numPr>
          <w:ilvl w:val="0"/>
          <w:numId w:val="9"/>
        </w:numPr>
        <w:tabs>
          <w:tab w:val="clear" w:pos="720"/>
          <w:tab w:val="num" w:pos="360"/>
        </w:tabs>
        <w:ind w:left="360"/>
        <w:rPr>
          <w:bCs/>
          <w:i/>
          <w:iCs/>
        </w:rPr>
      </w:pPr>
      <w:r>
        <w:rPr>
          <w:bCs/>
          <w:i/>
          <w:iCs/>
        </w:rPr>
        <w:t xml:space="preserve">per 4.124 (also noted above) - for </w:t>
      </w:r>
      <w:r>
        <w:rPr>
          <w:b/>
          <w:i/>
          <w:iCs/>
        </w:rPr>
        <w:t>neuralgia</w:t>
      </w:r>
      <w:r>
        <w:rPr>
          <w:bCs/>
          <w:i/>
          <w:iCs/>
        </w:rPr>
        <w:t xml:space="preserve"> (dull and intermittent pain) - the maximum rating is moderate</w:t>
      </w:r>
    </w:p>
    <w:p w:rsidR="00013EB8" w:rsidRDefault="00013EB8" w:rsidP="00691877">
      <w:pPr>
        <w:widowControl w:val="0"/>
        <w:numPr>
          <w:ilvl w:val="0"/>
          <w:numId w:val="9"/>
        </w:numPr>
        <w:tabs>
          <w:tab w:val="clear" w:pos="720"/>
          <w:tab w:val="num" w:pos="360"/>
        </w:tabs>
        <w:ind w:left="360"/>
        <w:rPr>
          <w:b/>
        </w:rPr>
      </w:pPr>
      <w:r>
        <w:rPr>
          <w:bCs/>
          <w:i/>
          <w:iCs/>
        </w:rPr>
        <w:t xml:space="preserve">per 4.123 (also noted above) - for </w:t>
      </w:r>
      <w:r>
        <w:rPr>
          <w:b/>
          <w:i/>
          <w:iCs/>
        </w:rPr>
        <w:t>neuritis</w:t>
      </w:r>
      <w:r>
        <w:rPr>
          <w:bCs/>
          <w:i/>
          <w:iCs/>
        </w:rPr>
        <w:t xml:space="preserve"> (loss of reflexes, muscle atrophy, sensory disturbances, and constant pain) – the maximum rating is </w:t>
      </w:r>
      <w:r>
        <w:rPr>
          <w:bCs/>
          <w:i/>
          <w:iCs/>
          <w:u w:val="single"/>
        </w:rPr>
        <w:t>SEVERE</w:t>
      </w:r>
      <w:r>
        <w:rPr>
          <w:bCs/>
          <w:i/>
          <w:iCs/>
        </w:rPr>
        <w:t xml:space="preserve">, and if there are no organic changes, the maximum rating is </w:t>
      </w:r>
      <w:r>
        <w:rPr>
          <w:bCs/>
          <w:i/>
          <w:iCs/>
          <w:u w:val="single"/>
        </w:rPr>
        <w:t>MODERATE</w:t>
      </w:r>
      <w:r>
        <w:rPr>
          <w:bCs/>
          <w:i/>
          <w:iCs/>
        </w:rPr>
        <w:t xml:space="preserve"> (or </w:t>
      </w:r>
      <w:r>
        <w:rPr>
          <w:bCs/>
          <w:i/>
          <w:iCs/>
          <w:u w:val="single"/>
        </w:rPr>
        <w:t>MODERATELY SEVERE</w:t>
      </w:r>
      <w:r>
        <w:rPr>
          <w:bCs/>
          <w:i/>
          <w:iCs/>
        </w:rPr>
        <w:t xml:space="preserve"> if sciatic)</w:t>
      </w:r>
    </w:p>
    <w:p w:rsidR="00013EB8" w:rsidRDefault="00013EB8">
      <w:pPr>
        <w:widowControl w:val="0"/>
        <w:numPr>
          <w:ilvl w:val="12"/>
          <w:numId w:val="0"/>
        </w:numPr>
        <w:rPr>
          <w:b/>
        </w:rPr>
      </w:pPr>
    </w:p>
    <w:p w:rsidR="00013EB8" w:rsidRDefault="00013EB8">
      <w:pPr>
        <w:widowControl w:val="0"/>
        <w:numPr>
          <w:ilvl w:val="12"/>
          <w:numId w:val="0"/>
        </w:numPr>
        <w:rPr>
          <w:i/>
          <w:iCs/>
        </w:rPr>
      </w:pPr>
      <w:r>
        <w:rPr>
          <w:b/>
          <w:bCs/>
          <w:i/>
          <w:iCs/>
        </w:rPr>
        <w:t>Please note:</w:t>
      </w:r>
      <w:r>
        <w:rPr>
          <w:i/>
          <w:iCs/>
        </w:rPr>
        <w:t xml:space="preserve">  Musculocutaneous (superficial peroneal, lower), Anterior tibial (deep peroneal), Internal saphenous, Obturator, External cutaneous nerve of thigh, and Ilio-inguinal, all start with 0% for MILD</w:t>
      </w:r>
    </w:p>
    <w:p w:rsidR="00013EB8" w:rsidRDefault="00013EB8">
      <w:pPr>
        <w:widowControl w:val="0"/>
        <w:numPr>
          <w:ilvl w:val="12"/>
          <w:numId w:val="0"/>
        </w:numPr>
      </w:pPr>
    </w:p>
    <w:p w:rsidR="00193980" w:rsidRDefault="00EA53B8" w:rsidP="00AE74F9">
      <w:pPr>
        <w:widowControl w:val="0"/>
        <w:pBdr>
          <w:top w:val="single" w:sz="4" w:space="1" w:color="auto"/>
          <w:left w:val="single" w:sz="4" w:space="4" w:color="auto"/>
          <w:bottom w:val="single" w:sz="4" w:space="1" w:color="auto"/>
          <w:right w:val="single" w:sz="4" w:space="4" w:color="auto"/>
        </w:pBdr>
      </w:pPr>
      <w:r>
        <w:t>Rating Note:  T</w:t>
      </w:r>
      <w:r w:rsidR="008E3C3B">
        <w:t>he DBQ</w:t>
      </w:r>
      <w:r w:rsidR="00193980" w:rsidRPr="00193980">
        <w:t xml:space="preserve"> shows </w:t>
      </w:r>
      <w:r>
        <w:t xml:space="preserve">moderate involvement of the </w:t>
      </w:r>
      <w:r w:rsidR="00C5595B">
        <w:t>{}</w:t>
      </w:r>
      <w:r>
        <w:t xml:space="preserve"> nerve, but muscle </w:t>
      </w:r>
      <w:r w:rsidR="00193980">
        <w:t>streng</w:t>
      </w:r>
      <w:r w:rsidR="00193980" w:rsidRPr="00193980">
        <w:t>th and reflexes were normal, and sensation was only decreased (not absent</w:t>
      </w:r>
      <w:r w:rsidR="008A0F6A">
        <w:t>, and not significantly disabling or affecting a large area</w:t>
      </w:r>
      <w:r w:rsidR="00193980" w:rsidRPr="00193980">
        <w:t xml:space="preserve">), </w:t>
      </w:r>
      <w:r w:rsidR="00193980">
        <w:t xml:space="preserve">so </w:t>
      </w:r>
      <w:r w:rsidR="00193980" w:rsidRPr="00193980">
        <w:t>m</w:t>
      </w:r>
      <w:r w:rsidR="00193980">
        <w:t>ild</w:t>
      </w:r>
      <w:r w:rsidR="00193980" w:rsidRPr="00193980">
        <w:t xml:space="preserve"> i</w:t>
      </w:r>
      <w:r>
        <w:t>nvolvement</w:t>
      </w:r>
      <w:r w:rsidR="00193980" w:rsidRPr="00193980">
        <w:t xml:space="preserve"> </w:t>
      </w:r>
      <w:r>
        <w:t>most</w:t>
      </w:r>
      <w:r w:rsidR="00193980">
        <w:t xml:space="preserve"> accurately r</w:t>
      </w:r>
      <w:r w:rsidR="00A933BF">
        <w:t>eflects the level of disability</w:t>
      </w:r>
      <w:r w:rsidR="00F6587C" w:rsidRPr="00F6587C">
        <w:t xml:space="preserve"> based on only subjective complaints</w:t>
      </w:r>
      <w:r w:rsidR="00F6587C">
        <w:t xml:space="preserve"> and sensory findings</w:t>
      </w:r>
      <w:r w:rsidR="00193980" w:rsidRPr="00193980">
        <w:t>.</w:t>
      </w:r>
    </w:p>
    <w:p w:rsidR="00C5595B" w:rsidRDefault="00C5595B" w:rsidP="00AE74F9">
      <w:pPr>
        <w:widowControl w:val="0"/>
        <w:pBdr>
          <w:top w:val="single" w:sz="4" w:space="1" w:color="auto"/>
          <w:left w:val="single" w:sz="4" w:space="4" w:color="auto"/>
          <w:bottom w:val="single" w:sz="4" w:space="1" w:color="auto"/>
          <w:right w:val="single" w:sz="4" w:space="4" w:color="auto"/>
        </w:pBdr>
      </w:pPr>
    </w:p>
    <w:p w:rsidR="00C5595B" w:rsidRDefault="00C5595B" w:rsidP="00AE74F9">
      <w:pPr>
        <w:widowControl w:val="0"/>
        <w:pBdr>
          <w:top w:val="single" w:sz="4" w:space="1" w:color="auto"/>
          <w:left w:val="single" w:sz="4" w:space="4" w:color="auto"/>
          <w:bottom w:val="single" w:sz="4" w:space="1" w:color="auto"/>
          <w:right w:val="single" w:sz="4" w:space="4" w:color="auto"/>
        </w:pBdr>
      </w:pPr>
      <w:r>
        <w:t>Rating Note:  The DBQ</w:t>
      </w:r>
      <w:r w:rsidRPr="00193980">
        <w:t xml:space="preserve"> shows </w:t>
      </w:r>
      <w:r>
        <w:t>moderate involvement of the {} nerve, but muscle streng</w:t>
      </w:r>
      <w:r w:rsidRPr="00193980">
        <w:t>th</w:t>
      </w:r>
      <w:r>
        <w:t>,</w:t>
      </w:r>
      <w:r w:rsidRPr="00193980">
        <w:t xml:space="preserve"> reflexes </w:t>
      </w:r>
      <w:r>
        <w:t xml:space="preserve">and sensation </w:t>
      </w:r>
      <w:r w:rsidRPr="00193980">
        <w:t>were</w:t>
      </w:r>
      <w:r>
        <w:t xml:space="preserve"> all normal</w:t>
      </w:r>
      <w:r w:rsidRPr="00193980">
        <w:t xml:space="preserve">, </w:t>
      </w:r>
      <w:r>
        <w:t xml:space="preserve">so </w:t>
      </w:r>
      <w:r w:rsidRPr="00193980">
        <w:t>m</w:t>
      </w:r>
      <w:r>
        <w:t>ild</w:t>
      </w:r>
      <w:r w:rsidRPr="00193980">
        <w:t xml:space="preserve"> i</w:t>
      </w:r>
      <w:r>
        <w:t>nvolvement</w:t>
      </w:r>
      <w:r w:rsidRPr="00193980">
        <w:t xml:space="preserve"> </w:t>
      </w:r>
      <w:r>
        <w:t>most accurately reflects the level of disability based on only subjective complaints.</w:t>
      </w:r>
    </w:p>
    <w:p w:rsidR="004F0D9F" w:rsidRDefault="004F0D9F" w:rsidP="00AE74F9">
      <w:pPr>
        <w:widowControl w:val="0"/>
        <w:pBdr>
          <w:top w:val="single" w:sz="4" w:space="1" w:color="auto"/>
          <w:left w:val="single" w:sz="4" w:space="4" w:color="auto"/>
          <w:bottom w:val="single" w:sz="4" w:space="1" w:color="auto"/>
          <w:right w:val="single" w:sz="4" w:space="4" w:color="auto"/>
        </w:pBdr>
      </w:pPr>
    </w:p>
    <w:p w:rsidR="004F0D9F" w:rsidRDefault="004F0D9F" w:rsidP="00AE74F9">
      <w:pPr>
        <w:widowControl w:val="0"/>
        <w:pBdr>
          <w:top w:val="single" w:sz="4" w:space="1" w:color="auto"/>
          <w:left w:val="single" w:sz="4" w:space="4" w:color="auto"/>
          <w:bottom w:val="single" w:sz="4" w:space="1" w:color="auto"/>
          <w:right w:val="single" w:sz="4" w:space="4" w:color="auto"/>
        </w:pBdr>
      </w:pPr>
      <w:r w:rsidRPr="004F0D9F">
        <w:t>Rating Note:  Although the VA examiner did not indicate the severity of the peripheral neuropathy under 5b</w:t>
      </w:r>
      <w:r w:rsidR="00E13A55">
        <w:t xml:space="preserve"> {</w:t>
      </w:r>
      <w:r w:rsidR="00E13A55" w:rsidRPr="00E13A55">
        <w:t xml:space="preserve"> </w:t>
      </w:r>
      <w:r w:rsidR="00E13A55">
        <w:t>Although the DBQ shows mild involvement}</w:t>
      </w:r>
      <w:r w:rsidRPr="004F0D9F">
        <w:t xml:space="preserve">, </w:t>
      </w:r>
      <w:r w:rsidR="005225E4">
        <w:t>there is</w:t>
      </w:r>
      <w:r w:rsidR="00E13A55">
        <w:t xml:space="preserve"> </w:t>
      </w:r>
      <w:r w:rsidRPr="004F0D9F">
        <w:t xml:space="preserve">4/5 strength on the right, 5/5 strength on the left, decreased and absent reflexes, and some decreased (not absent) sensation, </w:t>
      </w:r>
      <w:r w:rsidR="00054BF3">
        <w:t>all of which generally indicate</w:t>
      </w:r>
      <w:r w:rsidRPr="004F0D9F">
        <w:t xml:space="preserve"> the severity is m</w:t>
      </w:r>
      <w:r w:rsidR="00EA53B8">
        <w:t>oderate.</w:t>
      </w:r>
    </w:p>
    <w:p w:rsidR="00AE74F9" w:rsidRDefault="00AE74F9" w:rsidP="00AE74F9">
      <w:pPr>
        <w:widowControl w:val="0"/>
        <w:pBdr>
          <w:top w:val="single" w:sz="4" w:space="1" w:color="auto"/>
          <w:left w:val="single" w:sz="4" w:space="4" w:color="auto"/>
          <w:bottom w:val="single" w:sz="4" w:space="1" w:color="auto"/>
          <w:right w:val="single" w:sz="4" w:space="4" w:color="auto"/>
        </w:pBdr>
      </w:pPr>
    </w:p>
    <w:p w:rsidR="00AE74F9" w:rsidRDefault="00AE74F9" w:rsidP="00AE74F9">
      <w:pPr>
        <w:pBdr>
          <w:top w:val="single" w:sz="4" w:space="1" w:color="auto"/>
          <w:left w:val="single" w:sz="4" w:space="4" w:color="auto"/>
          <w:bottom w:val="single" w:sz="4" w:space="1" w:color="auto"/>
          <w:right w:val="single" w:sz="4" w:space="4" w:color="auto"/>
        </w:pBdr>
        <w:overflowPunct/>
        <w:textAlignment w:val="auto"/>
        <w:rPr>
          <w:color w:val="000000"/>
        </w:rPr>
      </w:pPr>
      <w:r w:rsidRPr="00AE74F9">
        <w:t xml:space="preserve">Rating Note:  </w:t>
      </w:r>
      <w:r w:rsidRPr="00AE74F9">
        <w:rPr>
          <w:color w:val="000000"/>
        </w:rPr>
        <w:t>Although the DBQ shows severe involvement of the sciatic nerve, 8520 says "Severe, with marked muscular</w:t>
      </w:r>
      <w:r w:rsidR="002B4E00">
        <w:rPr>
          <w:color w:val="000000"/>
        </w:rPr>
        <w:t xml:space="preserve"> </w:t>
      </w:r>
      <w:r w:rsidRPr="00AE74F9">
        <w:rPr>
          <w:color w:val="000000"/>
        </w:rPr>
        <w:t>atrophy" and the DBQ shows no muscle atrophy, normal muscle strength and normal reflexes, with the only</w:t>
      </w:r>
      <w:r>
        <w:rPr>
          <w:color w:val="000000"/>
        </w:rPr>
        <w:t xml:space="preserve"> </w:t>
      </w:r>
      <w:r w:rsidRPr="00AE74F9">
        <w:rPr>
          <w:color w:val="000000"/>
        </w:rPr>
        <w:t>objective finding being decreased sensation to light touch in the lower leg/ankle and foot/toes, plus subjective</w:t>
      </w:r>
      <w:r>
        <w:rPr>
          <w:color w:val="000000"/>
        </w:rPr>
        <w:t xml:space="preserve"> </w:t>
      </w:r>
      <w:r w:rsidRPr="00AE74F9">
        <w:rPr>
          <w:color w:val="000000"/>
        </w:rPr>
        <w:t>complaints (severe constant pain, paresthesias/dysesthesias and numbness). It seems the "severe" is indicated based</w:t>
      </w:r>
      <w:r>
        <w:rPr>
          <w:color w:val="000000"/>
        </w:rPr>
        <w:t xml:space="preserve"> </w:t>
      </w:r>
      <w:r w:rsidRPr="00AE74F9">
        <w:rPr>
          <w:color w:val="000000"/>
        </w:rPr>
        <w:t>on the subjective complaints, but mild most accurately reflects the level of disability since the only objective finding</w:t>
      </w:r>
      <w:r>
        <w:rPr>
          <w:color w:val="000000"/>
        </w:rPr>
        <w:t xml:space="preserve"> </w:t>
      </w:r>
      <w:r w:rsidRPr="00AE74F9">
        <w:rPr>
          <w:color w:val="000000"/>
        </w:rPr>
        <w:t>is decreased sensation.</w:t>
      </w:r>
    </w:p>
    <w:p w:rsidR="00573B6F" w:rsidRDefault="00573B6F" w:rsidP="00AE74F9">
      <w:pPr>
        <w:pBdr>
          <w:top w:val="single" w:sz="4" w:space="1" w:color="auto"/>
          <w:left w:val="single" w:sz="4" w:space="4" w:color="auto"/>
          <w:bottom w:val="single" w:sz="4" w:space="1" w:color="auto"/>
          <w:right w:val="single" w:sz="4" w:space="4" w:color="auto"/>
        </w:pBdr>
        <w:overflowPunct/>
        <w:textAlignment w:val="auto"/>
        <w:rPr>
          <w:color w:val="000000"/>
        </w:rPr>
      </w:pPr>
    </w:p>
    <w:p w:rsidR="00573B6F" w:rsidRPr="00573B6F" w:rsidRDefault="00E92F1A" w:rsidP="00382B68">
      <w:pPr>
        <w:pBdr>
          <w:top w:val="single" w:sz="4" w:space="1" w:color="auto"/>
          <w:left w:val="single" w:sz="4" w:space="4" w:color="auto"/>
          <w:bottom w:val="single" w:sz="4" w:space="1" w:color="auto"/>
          <w:right w:val="single" w:sz="4" w:space="4" w:color="auto"/>
        </w:pBdr>
        <w:shd w:val="clear" w:color="auto" w:fill="FFC000"/>
        <w:tabs>
          <w:tab w:val="left" w:pos="360"/>
        </w:tabs>
        <w:spacing w:after="120"/>
        <w:rPr>
          <w:bCs/>
          <w:iCs/>
        </w:rPr>
      </w:pPr>
      <w:r>
        <w:t xml:space="preserve">Check </w:t>
      </w:r>
      <w:r w:rsidR="001C6A0C">
        <w:rPr>
          <w:b/>
        </w:rPr>
        <w:t>Peripheral</w:t>
      </w:r>
      <w:r>
        <w:rPr>
          <w:b/>
        </w:rPr>
        <w:t xml:space="preserve"> </w:t>
      </w:r>
      <w:r w:rsidRPr="007F4897">
        <w:rPr>
          <w:b/>
        </w:rPr>
        <w:t xml:space="preserve">Nerve Evaluation </w:t>
      </w:r>
      <w:r w:rsidRPr="00707DD6">
        <w:rPr>
          <w:b/>
        </w:rPr>
        <w:t>Matrix</w:t>
      </w:r>
      <w:r w:rsidR="00B803B2">
        <w:rPr>
          <w:bCs/>
          <w:iCs/>
        </w:rPr>
        <w:t xml:space="preserve"> on </w:t>
      </w:r>
      <w:hyperlink r:id="rId622" w:history="1">
        <w:r w:rsidR="001C6A0C">
          <w:rPr>
            <w:rStyle w:val="Hyperlink"/>
            <w:b/>
            <w:bCs/>
            <w:i/>
            <w:iCs/>
          </w:rPr>
          <w:t>Rating Job Aids</w:t>
        </w:r>
      </w:hyperlink>
      <w:r w:rsidR="001C6A0C">
        <w:rPr>
          <w:b/>
          <w:bCs/>
          <w:i/>
          <w:iCs/>
        </w:rPr>
        <w:t xml:space="preserve"> </w:t>
      </w:r>
      <w:r w:rsidR="001C6A0C" w:rsidRPr="001C6A0C">
        <w:rPr>
          <w:bCs/>
          <w:iCs/>
        </w:rPr>
        <w:t>page</w:t>
      </w:r>
    </w:p>
    <w:p w:rsidR="00382B68" w:rsidRDefault="00382B68">
      <w:pPr>
        <w:widowControl w:val="0"/>
        <w:numPr>
          <w:ilvl w:val="12"/>
          <w:numId w:val="0"/>
        </w:numPr>
        <w:rPr>
          <w:b/>
          <w:color w:val="FF0000"/>
        </w:rPr>
      </w:pPr>
    </w:p>
    <w:p w:rsidR="00861F76" w:rsidRPr="00861F76" w:rsidRDefault="00861F76" w:rsidP="00F063AF">
      <w:pPr>
        <w:pStyle w:val="ListParagraph"/>
        <w:widowControl w:val="0"/>
        <w:numPr>
          <w:ilvl w:val="0"/>
          <w:numId w:val="412"/>
        </w:numPr>
        <w:spacing w:after="120"/>
        <w:ind w:left="360" w:right="60"/>
        <w:rPr>
          <w:rFonts w:ascii="Arial" w:hAnsi="Arial"/>
          <w:bCs/>
          <w:iCs/>
          <w:sz w:val="20"/>
          <w:szCs w:val="20"/>
        </w:rPr>
      </w:pPr>
      <w:r w:rsidRPr="00861F76">
        <w:rPr>
          <w:rFonts w:ascii="Arial" w:hAnsi="Arial"/>
          <w:bCs/>
          <w:sz w:val="20"/>
          <w:szCs w:val="20"/>
        </w:rPr>
        <w:t xml:space="preserve">Notes from </w:t>
      </w:r>
      <w:r w:rsidRPr="00861F76">
        <w:rPr>
          <w:rFonts w:ascii="Arial" w:hAnsi="Arial"/>
          <w:b/>
          <w:i/>
          <w:sz w:val="20"/>
          <w:szCs w:val="20"/>
          <w:u w:val="single"/>
        </w:rPr>
        <w:t>March 2018 Training Provided by Central Office by Andrew Grey (Site Visit Training) on Peripheral Nerves</w:t>
      </w:r>
      <w:r w:rsidRPr="00861F76">
        <w:rPr>
          <w:rFonts w:ascii="Arial" w:hAnsi="Arial"/>
          <w:b/>
          <w:i/>
          <w:sz w:val="20"/>
          <w:szCs w:val="20"/>
        </w:rPr>
        <w:t>:</w:t>
      </w:r>
    </w:p>
    <w:p w:rsidR="00861F76" w:rsidRPr="00861F76" w:rsidRDefault="00861F76" w:rsidP="00861F76">
      <w:pPr>
        <w:widowControl w:val="0"/>
        <w:spacing w:after="120"/>
        <w:ind w:left="330" w:right="60"/>
        <w:rPr>
          <w:bCs/>
          <w:iCs/>
        </w:rPr>
      </w:pPr>
      <w:r w:rsidRPr="00861F76">
        <w:rPr>
          <w:bCs/>
          <w:iCs/>
        </w:rPr>
        <w:t xml:space="preserve">use answers to all questions prior to </w:t>
      </w:r>
      <w:r w:rsidR="009B1740">
        <w:rPr>
          <w:bCs/>
          <w:iCs/>
        </w:rPr>
        <w:t>examiner</w:t>
      </w:r>
      <w:r w:rsidRPr="00861F76">
        <w:rPr>
          <w:bCs/>
          <w:iCs/>
        </w:rPr>
        <w:t>’s assessment (</w:t>
      </w:r>
      <w:r w:rsidRPr="009B1740">
        <w:rPr>
          <w:bCs/>
          <w:i/>
          <w:iCs/>
        </w:rPr>
        <w:t>subjective symptoms, muscle strength testing, reflex exam, sensory exam</w:t>
      </w:r>
      <w:r w:rsidRPr="00861F76">
        <w:rPr>
          <w:bCs/>
          <w:iCs/>
        </w:rPr>
        <w:t>), rather than</w:t>
      </w:r>
      <w:r w:rsidR="009B1740">
        <w:rPr>
          <w:bCs/>
          <w:iCs/>
        </w:rPr>
        <w:t xml:space="preserve"> solely</w:t>
      </w:r>
      <w:r w:rsidRPr="00861F76">
        <w:rPr>
          <w:bCs/>
          <w:iCs/>
        </w:rPr>
        <w:t xml:space="preserve"> using the assessment of the severity (</w:t>
      </w:r>
      <w:r w:rsidR="009B1740">
        <w:rPr>
          <w:bCs/>
          <w:i/>
          <w:iCs/>
        </w:rPr>
        <w:t>as the examiner</w:t>
      </w:r>
      <w:r w:rsidRPr="00861F76">
        <w:rPr>
          <w:bCs/>
          <w:i/>
          <w:iCs/>
        </w:rPr>
        <w:t>’s assessment does not apply the law</w:t>
      </w:r>
      <w:r w:rsidRPr="00861F76">
        <w:rPr>
          <w:bCs/>
          <w:iCs/>
        </w:rPr>
        <w:t>)</w:t>
      </w:r>
    </w:p>
    <w:p w:rsidR="00861F76" w:rsidRDefault="00861F76" w:rsidP="00861F76">
      <w:pPr>
        <w:widowControl w:val="0"/>
        <w:spacing w:after="120"/>
        <w:ind w:left="330" w:right="60"/>
        <w:rPr>
          <w:bCs/>
          <w:iCs/>
        </w:rPr>
      </w:pPr>
      <w:r w:rsidRPr="00861F76">
        <w:rPr>
          <w:bCs/>
          <w:iCs/>
        </w:rPr>
        <w:t>Sensory only = mild (possibly moderate)</w:t>
      </w:r>
    </w:p>
    <w:p w:rsidR="00A468CC" w:rsidRPr="00A468CC" w:rsidRDefault="00A468CC" w:rsidP="00A468CC">
      <w:pPr>
        <w:pStyle w:val="ListParagraph"/>
        <w:spacing w:after="120" w:line="240" w:lineRule="auto"/>
        <w:ind w:left="360"/>
        <w:rPr>
          <w:rFonts w:ascii="Segoe UI" w:hAnsi="Segoe UI" w:cs="Segoe UI"/>
          <w:color w:val="000000"/>
          <w:sz w:val="20"/>
          <w:szCs w:val="24"/>
        </w:rPr>
      </w:pPr>
      <w:r w:rsidRPr="00A468CC">
        <w:rPr>
          <w:rFonts w:ascii="Segoe UI" w:hAnsi="Segoe UI" w:cs="Segoe UI"/>
          <w:color w:val="000000"/>
          <w:sz w:val="20"/>
          <w:szCs w:val="24"/>
        </w:rPr>
        <w:t>Question from the room at the end of the training was about the amputation rule with neuropathy and foot drop associated with neuropathy.</w:t>
      </w:r>
    </w:p>
    <w:p w:rsidR="00A468CC" w:rsidRPr="00A468CC" w:rsidRDefault="00A468CC" w:rsidP="00A468CC">
      <w:pPr>
        <w:tabs>
          <w:tab w:val="left" w:pos="360"/>
        </w:tabs>
        <w:ind w:left="360"/>
        <w:rPr>
          <w:rFonts w:ascii="Segoe UI" w:hAnsi="Segoe UI" w:cs="Segoe UI"/>
          <w:b/>
          <w:bCs/>
          <w:color w:val="000000"/>
          <w:szCs w:val="24"/>
        </w:rPr>
      </w:pPr>
      <w:r w:rsidRPr="00A468CC">
        <w:rPr>
          <w:rFonts w:ascii="Segoe UI" w:hAnsi="Segoe UI" w:cs="Segoe UI"/>
          <w:b/>
          <w:bCs/>
          <w:color w:val="000000"/>
          <w:szCs w:val="24"/>
        </w:rPr>
        <w:t xml:space="preserve">Answer: When determining whether the amputation rule applies to a neurological condition, you must determine the etiology of the neurological condition. When peripheral nerve disabilities are not associated with a musculoskeletal injury, such as diabetic neuropathy, the amputation rule does not apply. However, if the peripheral nerve disability is associated with a musculoskeletal injury or amputation, the provisions of 38 CFR 4.68 and </w:t>
      </w:r>
      <w:r w:rsidRPr="00A468CC">
        <w:rPr>
          <w:rFonts w:ascii="Segoe UI" w:hAnsi="Segoe UI" w:cs="Segoe UI"/>
          <w:b/>
          <w:bCs/>
          <w:szCs w:val="24"/>
        </w:rPr>
        <w:t xml:space="preserve">M21-1 </w:t>
      </w:r>
      <w:r w:rsidRPr="008A2FE5">
        <w:rPr>
          <w:rFonts w:ascii="Segoe UI" w:hAnsi="Segoe UI" w:cs="Segoe UI"/>
          <w:b/>
          <w:bCs/>
          <w:szCs w:val="24"/>
          <w:highlight w:val="yellow"/>
        </w:rPr>
        <w:t>III.iv.4.A.13.d</w:t>
      </w:r>
      <w:r w:rsidRPr="00A468CC">
        <w:rPr>
          <w:rFonts w:ascii="Segoe UI" w:hAnsi="Segoe UI" w:cs="Segoe UI"/>
          <w:b/>
          <w:bCs/>
          <w:color w:val="000000"/>
          <w:szCs w:val="24"/>
        </w:rPr>
        <w:t xml:space="preserve"> </w:t>
      </w:r>
      <w:r w:rsidR="008A2FE5" w:rsidRPr="008A2FE5">
        <w:rPr>
          <w:bCs/>
          <w:i/>
          <w:color w:val="00B050"/>
          <w:szCs w:val="24"/>
        </w:rPr>
        <w:t xml:space="preserve">(My Notes:  as of 4/13/18, it’s </w:t>
      </w:r>
      <w:r w:rsidR="008A2FE5" w:rsidRPr="008A2FE5">
        <w:rPr>
          <w:b/>
          <w:bCs/>
          <w:i/>
          <w:color w:val="00B050"/>
          <w:szCs w:val="24"/>
        </w:rPr>
        <w:t>III.iv.4.A.8.e</w:t>
      </w:r>
      <w:r w:rsidR="008A2FE5" w:rsidRPr="008A2FE5">
        <w:rPr>
          <w:bCs/>
          <w:i/>
          <w:color w:val="00B050"/>
          <w:szCs w:val="24"/>
        </w:rPr>
        <w:t>)</w:t>
      </w:r>
      <w:r w:rsidR="008A2FE5" w:rsidRPr="008A2FE5">
        <w:rPr>
          <w:rFonts w:ascii="Segoe UI" w:hAnsi="Segoe UI" w:cs="Segoe UI"/>
          <w:b/>
          <w:bCs/>
          <w:color w:val="00B050"/>
          <w:szCs w:val="24"/>
        </w:rPr>
        <w:t xml:space="preserve"> </w:t>
      </w:r>
      <w:r w:rsidRPr="00A468CC">
        <w:rPr>
          <w:rFonts w:ascii="Segoe UI" w:hAnsi="Segoe UI" w:cs="Segoe UI"/>
          <w:b/>
          <w:bCs/>
          <w:color w:val="000000"/>
          <w:szCs w:val="24"/>
        </w:rPr>
        <w:t>would apply. If the foot drop is caused by the neuropathy, the amputation rule would not apply as the etiology is neurological in nature, not musculoskeletal.</w:t>
      </w:r>
    </w:p>
    <w:p w:rsidR="00A468CC" w:rsidRPr="00861F76" w:rsidRDefault="00A468CC" w:rsidP="00861F76">
      <w:pPr>
        <w:widowControl w:val="0"/>
        <w:spacing w:after="120"/>
        <w:ind w:left="330" w:right="60"/>
        <w:rPr>
          <w:bCs/>
          <w:iCs/>
        </w:rPr>
      </w:pPr>
    </w:p>
    <w:p w:rsidR="00861F76" w:rsidRPr="00D10240" w:rsidRDefault="00861F76" w:rsidP="00861F76">
      <w:pPr>
        <w:pBdr>
          <w:top w:val="double" w:sz="4" w:space="1" w:color="auto"/>
          <w:left w:val="double" w:sz="4" w:space="4" w:color="auto"/>
          <w:bottom w:val="double" w:sz="4" w:space="1" w:color="auto"/>
          <w:right w:val="double" w:sz="4" w:space="4" w:color="auto"/>
        </w:pBdr>
        <w:shd w:val="clear" w:color="auto" w:fill="FFC000"/>
        <w:ind w:left="330" w:right="60"/>
        <w:jc w:val="center"/>
        <w:rPr>
          <w:rFonts w:eastAsiaTheme="minorHAnsi"/>
        </w:rPr>
      </w:pPr>
      <w:r>
        <w:rPr>
          <w:rFonts w:eastAsiaTheme="minorHAnsi"/>
          <w:b/>
        </w:rPr>
        <w:t>San Diego RVSR Training (Version 2).pptx, recorded training &amp; email message with answers to questions</w:t>
      </w:r>
      <w:r>
        <w:rPr>
          <w:rFonts w:eastAsiaTheme="minorHAnsi"/>
        </w:rPr>
        <w:t xml:space="preserve"> are</w:t>
      </w:r>
      <w:r w:rsidRPr="0036376C">
        <w:t xml:space="preserve"> saved at </w:t>
      </w:r>
      <w:r w:rsidRPr="001453C4">
        <w:rPr>
          <w:b/>
          <w:bCs/>
          <w:i/>
          <w:iCs/>
        </w:rPr>
        <w:t>H:\VSC\</w:t>
      </w:r>
      <w:r>
        <w:rPr>
          <w:b/>
          <w:bCs/>
          <w:i/>
          <w:iCs/>
        </w:rPr>
        <w:t>FY2013 LANES\Training\NTC Training Recordings\FY18\2018 Site Visit Training</w:t>
      </w:r>
    </w:p>
    <w:p w:rsidR="00861F76" w:rsidRDefault="00861F76">
      <w:pPr>
        <w:widowControl w:val="0"/>
        <w:numPr>
          <w:ilvl w:val="12"/>
          <w:numId w:val="0"/>
        </w:numPr>
        <w:rPr>
          <w:b/>
          <w:color w:val="FF0000"/>
        </w:rPr>
      </w:pPr>
    </w:p>
    <w:p w:rsidR="00861F76" w:rsidRDefault="00861F76">
      <w:pPr>
        <w:widowControl w:val="0"/>
        <w:numPr>
          <w:ilvl w:val="12"/>
          <w:numId w:val="0"/>
        </w:numPr>
        <w:rPr>
          <w:b/>
          <w:color w:val="FF0000"/>
        </w:rPr>
      </w:pPr>
    </w:p>
    <w:p w:rsidR="00013EB8" w:rsidRDefault="00013EB8">
      <w:pPr>
        <w:widowControl w:val="0"/>
        <w:numPr>
          <w:ilvl w:val="12"/>
          <w:numId w:val="0"/>
        </w:numPr>
        <w:rPr>
          <w:color w:val="FF0000"/>
        </w:rPr>
      </w:pPr>
      <w:r>
        <w:rPr>
          <w:b/>
          <w:color w:val="FF0000"/>
        </w:rPr>
        <w:t>THE EPILEPSIES</w:t>
      </w:r>
    </w:p>
    <w:p w:rsidR="00013EB8" w:rsidRPr="007E7D3D" w:rsidRDefault="00526485">
      <w:pPr>
        <w:widowControl w:val="0"/>
        <w:numPr>
          <w:ilvl w:val="12"/>
          <w:numId w:val="0"/>
        </w:numPr>
        <w:rPr>
          <w:b/>
          <w:bCs/>
        </w:rPr>
      </w:pPr>
      <w:r>
        <w:rPr>
          <w:b/>
          <w:bCs/>
        </w:rPr>
        <w:t>III.iv.4.N</w:t>
      </w:r>
    </w:p>
    <w:p w:rsidR="00013EB8" w:rsidRDefault="00013EB8">
      <w:pPr>
        <w:widowControl w:val="0"/>
      </w:pPr>
    </w:p>
    <w:p w:rsidR="00013EB8" w:rsidRDefault="00013EB8">
      <w:pPr>
        <w:widowControl w:val="0"/>
        <w:pBdr>
          <w:top w:val="single" w:sz="4" w:space="1" w:color="auto"/>
        </w:pBdr>
        <w:rPr>
          <w:b/>
          <w:bCs/>
          <w:i/>
          <w:iCs/>
          <w:sz w:val="22"/>
        </w:rPr>
      </w:pPr>
    </w:p>
    <w:p w:rsidR="0093236F" w:rsidRDefault="0093236F">
      <w:pPr>
        <w:overflowPunct/>
        <w:autoSpaceDE/>
        <w:autoSpaceDN/>
        <w:adjustRightInd/>
        <w:textAlignment w:val="auto"/>
        <w:rPr>
          <w:b/>
          <w:bCs/>
          <w:i/>
          <w:iCs/>
          <w:sz w:val="22"/>
        </w:rPr>
      </w:pPr>
      <w:bookmarkStart w:id="136" w:name="Mental"/>
      <w:r>
        <w:rPr>
          <w:b/>
          <w:bCs/>
          <w:i/>
          <w:iCs/>
          <w:sz w:val="22"/>
        </w:rPr>
        <w:br w:type="page"/>
      </w: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rPr>
          <w:trHeight w:val="266"/>
        </w:trPr>
        <w:tc>
          <w:tcPr>
            <w:tcW w:w="10975" w:type="dxa"/>
            <w:gridSpan w:val="2"/>
            <w:tcBorders>
              <w:top w:val="nil"/>
              <w:left w:val="nil"/>
              <w:bottom w:val="nil"/>
              <w:right w:val="nil"/>
            </w:tcBorders>
          </w:tcPr>
          <w:p w:rsidR="00013EB8" w:rsidRDefault="00013EB8">
            <w:pPr>
              <w:widowControl w:val="0"/>
              <w:numPr>
                <w:ilvl w:val="12"/>
                <w:numId w:val="0"/>
              </w:numPr>
              <w:jc w:val="center"/>
              <w:rPr>
                <w:b/>
                <w:i/>
                <w:color w:val="FF0000"/>
              </w:rPr>
            </w:pPr>
            <w:bookmarkStart w:id="137" w:name="Part4Mental"/>
            <w:bookmarkEnd w:id="136"/>
            <w:r>
              <w:rPr>
                <w:b/>
                <w:color w:val="FF0000"/>
              </w:rPr>
              <w:t xml:space="preserve">4.125 - 4.130. </w:t>
            </w:r>
            <w:r>
              <w:rPr>
                <w:b/>
                <w:i/>
                <w:color w:val="FF0000"/>
              </w:rPr>
              <w:t>Mental Disorders</w:t>
            </w:r>
          </w:p>
          <w:bookmarkEnd w:id="137"/>
          <w:p w:rsidR="0093236F" w:rsidRDefault="0093236F">
            <w:pPr>
              <w:widowControl w:val="0"/>
              <w:numPr>
                <w:ilvl w:val="12"/>
                <w:numId w:val="0"/>
              </w:numPr>
              <w:jc w:val="center"/>
              <w:rPr>
                <w:b/>
                <w:i/>
                <w:color w:val="FF0000"/>
              </w:rPr>
            </w:pPr>
          </w:p>
          <w:p w:rsidR="0093236F" w:rsidRPr="0093236F" w:rsidRDefault="0093236F" w:rsidP="0093236F">
            <w:pPr>
              <w:widowControl w:val="0"/>
              <w:spacing w:after="120"/>
              <w:rPr>
                <w:b/>
                <w:bCs/>
              </w:rPr>
            </w:pPr>
            <w:r w:rsidRPr="0093236F">
              <w:rPr>
                <w:b/>
                <w:bCs/>
              </w:rPr>
              <w:t>III.iv.4.O</w:t>
            </w:r>
          </w:p>
          <w:p w:rsidR="0093236F" w:rsidRDefault="0093236F" w:rsidP="0093236F">
            <w:pPr>
              <w:widowControl w:val="0"/>
              <w:spacing w:after="120"/>
              <w:rPr>
                <w:rFonts w:ascii="Verdana" w:hAnsi="Verdana"/>
                <w:i/>
                <w:iCs/>
              </w:rPr>
            </w:pPr>
            <w:r w:rsidRPr="001D615F">
              <w:rPr>
                <w:bCs/>
              </w:rPr>
              <w:t>also see</w:t>
            </w:r>
            <w:r>
              <w:rPr>
                <w:bCs/>
              </w:rPr>
              <w:t xml:space="preserve"> </w:t>
            </w:r>
            <w:r>
              <w:rPr>
                <w:rFonts w:ascii="Verdana" w:hAnsi="Verdana"/>
                <w:b/>
                <w:bCs/>
                <w:highlight w:val="green"/>
              </w:rPr>
              <w:t>MD1</w:t>
            </w:r>
            <w:r w:rsidRPr="00494A88">
              <w:rPr>
                <w:bCs/>
              </w:rPr>
              <w:t xml:space="preserve"> &amp;</w:t>
            </w:r>
            <w:r w:rsidRPr="00494A88">
              <w:rPr>
                <w:rFonts w:ascii="Verdana" w:hAnsi="Verdana"/>
                <w:b/>
                <w:bCs/>
              </w:rPr>
              <w:t xml:space="preserve"> </w:t>
            </w:r>
            <w:r>
              <w:rPr>
                <w:rFonts w:ascii="Verdana" w:hAnsi="Verdana"/>
                <w:b/>
                <w:bCs/>
                <w:highlight w:val="green"/>
              </w:rPr>
              <w:t>MD2</w:t>
            </w:r>
          </w:p>
          <w:p w:rsidR="0093236F" w:rsidRDefault="0093236F">
            <w:pPr>
              <w:widowControl w:val="0"/>
              <w:numPr>
                <w:ilvl w:val="12"/>
                <w:numId w:val="0"/>
              </w:numPr>
              <w:jc w:val="center"/>
              <w:rPr>
                <w:b/>
                <w:color w:val="FF0000"/>
              </w:rPr>
            </w:pPr>
          </w:p>
        </w:tc>
      </w:tr>
      <w:tr w:rsidR="00013EB8">
        <w:trPr>
          <w:trHeight w:val="284"/>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4.125</w:t>
            </w:r>
          </w:p>
        </w:tc>
        <w:tc>
          <w:tcPr>
            <w:tcW w:w="10270" w:type="dxa"/>
            <w:tcBorders>
              <w:top w:val="nil"/>
              <w:left w:val="nil"/>
              <w:bottom w:val="nil"/>
              <w:right w:val="nil"/>
            </w:tcBorders>
          </w:tcPr>
          <w:p w:rsidR="00013EB8" w:rsidRDefault="00013EB8" w:rsidP="00A46B02">
            <w:pPr>
              <w:widowControl w:val="0"/>
              <w:numPr>
                <w:ilvl w:val="12"/>
                <w:numId w:val="0"/>
              </w:numPr>
            </w:pPr>
            <w:r>
              <w:rPr>
                <w:b/>
              </w:rPr>
              <w:t>Diagnosis of mental disorders</w:t>
            </w:r>
            <w:r>
              <w:t xml:space="preserve"> – diagnosis has to conform to DSM-IV and be supported by findings, if diagnosis has changed, need to </w:t>
            </w:r>
            <w:r w:rsidR="00A46B02">
              <w:t>determine</w:t>
            </w:r>
            <w:r>
              <w:t xml:space="preserve"> </w:t>
            </w:r>
            <w:r w:rsidR="00A46B02">
              <w:t xml:space="preserve">(or ask) </w:t>
            </w:r>
            <w:r>
              <w:t>if progression, correction of error or development of new and separate condition</w:t>
            </w:r>
          </w:p>
        </w:tc>
      </w:tr>
      <w:tr w:rsidR="00013EB8">
        <w:trPr>
          <w:trHeight w:val="284"/>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4.126</w:t>
            </w:r>
          </w:p>
        </w:tc>
        <w:tc>
          <w:tcPr>
            <w:tcW w:w="10270" w:type="dxa"/>
            <w:tcBorders>
              <w:top w:val="nil"/>
              <w:left w:val="nil"/>
              <w:bottom w:val="nil"/>
              <w:right w:val="nil"/>
            </w:tcBorders>
          </w:tcPr>
          <w:p w:rsidR="00013EB8" w:rsidRDefault="00013EB8">
            <w:pPr>
              <w:widowControl w:val="0"/>
              <w:numPr>
                <w:ilvl w:val="12"/>
                <w:numId w:val="0"/>
              </w:numPr>
            </w:pPr>
            <w:r>
              <w:rPr>
                <w:b/>
              </w:rPr>
              <w:t>Evaluation of disability from mental disorders</w:t>
            </w:r>
            <w:r>
              <w:t xml:space="preserve"> – consider frequency, severity and duration, as well as length of remissions and ability to adjust during remission, consider both social and occupational impairment</w:t>
            </w:r>
          </w:p>
        </w:tc>
      </w:tr>
      <w:tr w:rsidR="00013EB8">
        <w:trPr>
          <w:trHeight w:val="266"/>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4.127</w:t>
            </w:r>
          </w:p>
        </w:tc>
        <w:tc>
          <w:tcPr>
            <w:tcW w:w="10270" w:type="dxa"/>
            <w:tcBorders>
              <w:top w:val="nil"/>
              <w:left w:val="nil"/>
              <w:bottom w:val="nil"/>
              <w:right w:val="nil"/>
            </w:tcBorders>
          </w:tcPr>
          <w:p w:rsidR="00013EB8" w:rsidRDefault="00013EB8">
            <w:pPr>
              <w:widowControl w:val="0"/>
              <w:numPr>
                <w:ilvl w:val="12"/>
                <w:numId w:val="0"/>
              </w:numPr>
            </w:pPr>
            <w:r>
              <w:rPr>
                <w:b/>
              </w:rPr>
              <w:t>Mental retardation and personality disorders</w:t>
            </w:r>
            <w:r>
              <w:t xml:space="preserve"> – no service connection for mental retardation or personality disorders</w:t>
            </w:r>
          </w:p>
        </w:tc>
      </w:tr>
      <w:tr w:rsidR="00013EB8">
        <w:trPr>
          <w:trHeight w:val="284"/>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4.128</w:t>
            </w:r>
          </w:p>
        </w:tc>
        <w:tc>
          <w:tcPr>
            <w:tcW w:w="10270" w:type="dxa"/>
            <w:tcBorders>
              <w:top w:val="nil"/>
              <w:left w:val="nil"/>
              <w:bottom w:val="nil"/>
              <w:right w:val="nil"/>
            </w:tcBorders>
          </w:tcPr>
          <w:p w:rsidR="00013EB8" w:rsidRDefault="00013EB8">
            <w:pPr>
              <w:widowControl w:val="0"/>
              <w:numPr>
                <w:ilvl w:val="12"/>
                <w:numId w:val="0"/>
              </w:numPr>
            </w:pPr>
            <w:r>
              <w:rPr>
                <w:b/>
              </w:rPr>
              <w:t>Convalescence ratings following extended hospitalization</w:t>
            </w:r>
            <w:r>
              <w:t xml:space="preserve"> – if at 100% for hospitalization of 6 months or more, give a total 100% and schedule a examination 6 months after discharge, if decrease- give due process</w:t>
            </w:r>
          </w:p>
        </w:tc>
      </w:tr>
      <w:tr w:rsidR="00013EB8" w:rsidTr="007C3EA9">
        <w:trPr>
          <w:trHeight w:val="360"/>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4.129</w:t>
            </w:r>
          </w:p>
        </w:tc>
        <w:tc>
          <w:tcPr>
            <w:tcW w:w="10270" w:type="dxa"/>
            <w:tcBorders>
              <w:top w:val="nil"/>
              <w:left w:val="nil"/>
              <w:bottom w:val="nil"/>
              <w:right w:val="nil"/>
            </w:tcBorders>
          </w:tcPr>
          <w:p w:rsidR="00013EB8" w:rsidRDefault="00013EB8" w:rsidP="003859B5">
            <w:pPr>
              <w:widowControl w:val="0"/>
              <w:numPr>
                <w:ilvl w:val="12"/>
                <w:numId w:val="0"/>
              </w:numPr>
            </w:pPr>
            <w:r>
              <w:rPr>
                <w:b/>
              </w:rPr>
              <w:t xml:space="preserve">Mental disorders due to traumatic stress </w:t>
            </w:r>
            <w:r>
              <w:t>– if discharged for mental condition, give 50% or more and schedule examination within 6 months of discharge</w:t>
            </w:r>
            <w:r w:rsidR="007C3EA9">
              <w:t xml:space="preserve">, </w:t>
            </w:r>
            <w:hyperlink r:id="rId623" w:history="1">
              <w:r w:rsidR="009E4918">
                <w:rPr>
                  <w:b/>
                </w:rPr>
                <w:t>III.iv.4.O</w:t>
              </w:r>
              <w:r w:rsidR="00FD504C" w:rsidRPr="00DC7E42">
                <w:rPr>
                  <w:b/>
                </w:rPr>
                <w:t>.1.h</w:t>
              </w:r>
            </w:hyperlink>
          </w:p>
        </w:tc>
      </w:tr>
    </w:tbl>
    <w:p w:rsidR="00013EB8" w:rsidRDefault="00013EB8">
      <w:pPr>
        <w:widowControl w:val="0"/>
        <w:numPr>
          <w:ilvl w:val="12"/>
          <w:numId w:val="0"/>
        </w:numPr>
        <w:tabs>
          <w:tab w:val="left" w:pos="660"/>
          <w:tab w:val="left" w:pos="9415"/>
        </w:tabs>
        <w:ind w:left="-45"/>
        <w:rPr>
          <w:b/>
        </w:rPr>
      </w:pPr>
    </w:p>
    <w:p w:rsidR="00013EB8" w:rsidRDefault="00013EB8">
      <w:pPr>
        <w:widowControl w:val="0"/>
        <w:numPr>
          <w:ilvl w:val="12"/>
          <w:numId w:val="0"/>
        </w:numPr>
        <w:tabs>
          <w:tab w:val="left" w:pos="660"/>
          <w:tab w:val="left" w:pos="9415"/>
        </w:tabs>
        <w:ind w:left="-45"/>
        <w:rPr>
          <w:b/>
          <w:u w:val="single"/>
        </w:rPr>
      </w:pPr>
      <w:r w:rsidRPr="007A4B37">
        <w:rPr>
          <w:b/>
          <w:u w:val="single"/>
        </w:rPr>
        <w:t>4.130</w:t>
      </w:r>
      <w:r>
        <w:rPr>
          <w:b/>
          <w:u w:val="single"/>
        </w:rPr>
        <w:tab/>
        <w:t>Schedule of Ratings—Mental Disorders</w:t>
      </w:r>
    </w:p>
    <w:p w:rsidR="00013EB8" w:rsidRDefault="00013EB8">
      <w:pPr>
        <w:widowControl w:val="0"/>
        <w:numPr>
          <w:ilvl w:val="12"/>
          <w:numId w:val="0"/>
        </w:numPr>
      </w:pP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rPr>
          <w:i/>
        </w:rPr>
      </w:pPr>
      <w:r>
        <w:rPr>
          <w:i/>
        </w:rPr>
        <w:t>changed 11/7/96 (DCs 9201-9211, 9300-9327, 9400-9413, 9416-9417, 9421-9425, 9431-9435, 9440, 9520 &amp; 9521)</w:t>
      </w:r>
    </w:p>
    <w:p w:rsidR="00EC3C06" w:rsidRDefault="00EC3C06">
      <w:pPr>
        <w:widowControl w:val="0"/>
        <w:numPr>
          <w:ilvl w:val="12"/>
          <w:numId w:val="0"/>
        </w:numPr>
        <w:pBdr>
          <w:top w:val="single" w:sz="4" w:space="1" w:color="auto"/>
          <w:left w:val="single" w:sz="4" w:space="4" w:color="auto"/>
          <w:bottom w:val="single" w:sz="4" w:space="1" w:color="auto"/>
          <w:right w:val="single" w:sz="4" w:space="4" w:color="auto"/>
        </w:pBdr>
        <w:rPr>
          <w:i/>
        </w:rPr>
      </w:pPr>
      <w:r w:rsidRPr="007645C4">
        <w:rPr>
          <w:i/>
          <w:sz w:val="18"/>
        </w:rPr>
        <w:t xml:space="preserve">*you can </w:t>
      </w:r>
      <w:r>
        <w:rPr>
          <w:i/>
          <w:sz w:val="18"/>
        </w:rPr>
        <w:t xml:space="preserve">also </w:t>
      </w:r>
      <w:r w:rsidRPr="007645C4">
        <w:rPr>
          <w:i/>
          <w:sz w:val="18"/>
        </w:rPr>
        <w:t>find the old schedule</w:t>
      </w:r>
      <w:r w:rsidRPr="007645C4">
        <w:rPr>
          <w:bCs/>
          <w:i/>
          <w:iCs/>
          <w:sz w:val="18"/>
        </w:rPr>
        <w:t xml:space="preserve"> at Regulation Citator at </w:t>
      </w:r>
      <w:r w:rsidRPr="00941592">
        <w:rPr>
          <w:bCs/>
          <w:i/>
          <w:iCs/>
          <w:sz w:val="18"/>
        </w:rPr>
        <w:t>http://vacoappbva2.dva.va.gov</w:t>
      </w:r>
      <w:r>
        <w:rPr>
          <w:bCs/>
          <w:i/>
          <w:iCs/>
          <w:sz w:val="18"/>
        </w:rPr>
        <w:t>, search 4.130</w:t>
      </w:r>
      <w:r w:rsidR="00D11C3E">
        <w:rPr>
          <w:bCs/>
          <w:i/>
          <w:iCs/>
          <w:sz w:val="18"/>
        </w:rPr>
        <w:t>; or in CPKM</w:t>
      </w:r>
    </w:p>
    <w:p w:rsidR="00013EB8" w:rsidRDefault="00013EB8">
      <w:pPr>
        <w:widowControl w:val="0"/>
        <w:numPr>
          <w:ilvl w:val="12"/>
          <w:numId w:val="0"/>
        </w:numPr>
        <w:rPr>
          <w:i/>
        </w:rPr>
      </w:pPr>
    </w:p>
    <w:p w:rsidR="00EF1FA3" w:rsidRDefault="00EF1FA3" w:rsidP="001453C4">
      <w:pPr>
        <w:widowControl w:val="0"/>
        <w:numPr>
          <w:ilvl w:val="12"/>
          <w:numId w:val="0"/>
        </w:numPr>
        <w:pBdr>
          <w:top w:val="double" w:sz="4" w:space="1" w:color="auto"/>
          <w:left w:val="double" w:sz="4" w:space="4" w:color="auto"/>
          <w:bottom w:val="double" w:sz="4" w:space="4" w:color="auto"/>
          <w:right w:val="double" w:sz="4" w:space="4" w:color="auto"/>
        </w:pBdr>
        <w:shd w:val="clear" w:color="auto" w:fill="FFC000"/>
        <w:rPr>
          <w:i/>
        </w:rPr>
      </w:pPr>
      <w:r w:rsidRPr="0059725E">
        <w:rPr>
          <w:i/>
        </w:rPr>
        <w:t>Training documents are under “</w:t>
      </w:r>
      <w:r>
        <w:rPr>
          <w:i/>
        </w:rPr>
        <w:t>PTSD / Other Psychiatric Conditions”</w:t>
      </w:r>
      <w:r w:rsidR="001453C4">
        <w:rPr>
          <w:i/>
        </w:rPr>
        <w:t xml:space="preserve"> at </w:t>
      </w:r>
      <w:r w:rsidR="001453C4" w:rsidRPr="001453C4">
        <w:rPr>
          <w:b/>
          <w:i/>
        </w:rPr>
        <w:t>http://hvnc.gdit.com/lc/</w:t>
      </w:r>
    </w:p>
    <w:p w:rsidR="00EF1FA3" w:rsidRDefault="00EF1FA3">
      <w:pPr>
        <w:widowControl w:val="0"/>
        <w:numPr>
          <w:ilvl w:val="12"/>
          <w:numId w:val="0"/>
        </w:numPr>
        <w:rPr>
          <w:i/>
        </w:rPr>
      </w:pPr>
    </w:p>
    <w:p w:rsidR="00013EB8" w:rsidRPr="007C3EA9" w:rsidRDefault="00260BE3" w:rsidP="00F063AF">
      <w:pPr>
        <w:widowControl w:val="0"/>
        <w:numPr>
          <w:ilvl w:val="0"/>
          <w:numId w:val="81"/>
        </w:numPr>
        <w:tabs>
          <w:tab w:val="clear" w:pos="720"/>
          <w:tab w:val="num" w:pos="360"/>
        </w:tabs>
        <w:spacing w:after="120"/>
        <w:ind w:left="360"/>
        <w:rPr>
          <w:rStyle w:val="Hyperlink"/>
          <w:b/>
          <w:bCs/>
          <w:i/>
          <w:color w:val="auto"/>
          <w:u w:val="none"/>
        </w:rPr>
      </w:pPr>
      <w:r>
        <w:rPr>
          <w:b/>
          <w:bCs/>
          <w:iCs/>
        </w:rPr>
        <w:t>III.iv.3.A.8.b</w:t>
      </w:r>
      <w:r w:rsidR="00013EB8">
        <w:rPr>
          <w:b/>
          <w:bCs/>
          <w:iCs/>
        </w:rPr>
        <w:t xml:space="preserve"> </w:t>
      </w:r>
      <w:r w:rsidR="00013EB8">
        <w:rPr>
          <w:i/>
          <w:iCs/>
        </w:rPr>
        <w:t>send the</w:t>
      </w:r>
      <w:r w:rsidR="009D6313">
        <w:rPr>
          <w:i/>
          <w:iCs/>
        </w:rPr>
        <w:t xml:space="preserve"> claims folder for review for "</w:t>
      </w:r>
      <w:r w:rsidR="00013EB8">
        <w:rPr>
          <w:i/>
          <w:iCs/>
        </w:rPr>
        <w:t xml:space="preserve">mental </w:t>
      </w:r>
      <w:r w:rsidR="009D6313">
        <w:rPr>
          <w:i/>
          <w:iCs/>
        </w:rPr>
        <w:t xml:space="preserve">health </w:t>
      </w:r>
      <w:r w:rsidR="00013EB8">
        <w:rPr>
          <w:i/>
          <w:iCs/>
        </w:rPr>
        <w:t>exam</w:t>
      </w:r>
      <w:r w:rsidR="009D6313">
        <w:rPr>
          <w:i/>
          <w:iCs/>
        </w:rPr>
        <w:t>s</w:t>
      </w:r>
      <w:r w:rsidR="00013EB8">
        <w:rPr>
          <w:i/>
          <w:iCs/>
        </w:rPr>
        <w:t xml:space="preserve">" – </w:t>
      </w:r>
      <w:r w:rsidR="00013EB8">
        <w:t>“</w:t>
      </w:r>
      <w:r w:rsidR="00013EB8">
        <w:rPr>
          <w:b/>
          <w:bCs/>
        </w:rPr>
        <w:t>any</w:t>
      </w:r>
      <w:r w:rsidR="00013EB8">
        <w:t xml:space="preserve"> case involving a request for mental disorders examination” reiterated by</w:t>
      </w:r>
      <w:r w:rsidR="00013EB8">
        <w:rPr>
          <w:i/>
          <w:iCs/>
        </w:rPr>
        <w:t xml:space="preserve"> </w:t>
      </w:r>
      <w:r w:rsidR="00013EB8" w:rsidRPr="00EA0611">
        <w:rPr>
          <w:b/>
          <w:bCs/>
          <w:i/>
          <w:iCs/>
        </w:rPr>
        <w:t xml:space="preserve">December 2012 </w:t>
      </w:r>
      <w:r w:rsidR="00EB6F0B" w:rsidRPr="00EA0611">
        <w:rPr>
          <w:b/>
          <w:bCs/>
          <w:i/>
          <w:iCs/>
        </w:rPr>
        <w:t>Compensation Service Bulletin (CSB)</w:t>
      </w:r>
    </w:p>
    <w:p w:rsidR="007C3EA9" w:rsidRDefault="007C3EA9" w:rsidP="00F063AF">
      <w:pPr>
        <w:widowControl w:val="0"/>
        <w:numPr>
          <w:ilvl w:val="0"/>
          <w:numId w:val="81"/>
        </w:numPr>
        <w:tabs>
          <w:tab w:val="clear" w:pos="720"/>
          <w:tab w:val="num" w:pos="360"/>
        </w:tabs>
        <w:spacing w:after="120"/>
        <w:ind w:left="360"/>
        <w:rPr>
          <w:i/>
        </w:rPr>
      </w:pPr>
      <w:r w:rsidRPr="00525152">
        <w:rPr>
          <w:b/>
          <w:bCs/>
        </w:rPr>
        <w:t>III.ii.4.A.</w:t>
      </w:r>
      <w:r w:rsidR="00525152" w:rsidRPr="00525152">
        <w:rPr>
          <w:b/>
          <w:bCs/>
        </w:rPr>
        <w:t>6</w:t>
      </w:r>
      <w:r>
        <w:rPr>
          <w:b/>
          <w:i/>
        </w:rPr>
        <w:t xml:space="preserve"> </w:t>
      </w:r>
      <w:r w:rsidR="00CF557B">
        <w:rPr>
          <w:i/>
        </w:rPr>
        <w:t xml:space="preserve">- </w:t>
      </w:r>
      <w:r w:rsidR="00CF557B" w:rsidRPr="00CF557B">
        <w:t>n</w:t>
      </w:r>
      <w:r w:rsidRPr="00CF557B">
        <w:t>onretention of records for alcohol or drug abuse</w:t>
      </w:r>
    </w:p>
    <w:p w:rsidR="007C3EA9" w:rsidRDefault="005A05E1" w:rsidP="00F063AF">
      <w:pPr>
        <w:widowControl w:val="0"/>
        <w:numPr>
          <w:ilvl w:val="0"/>
          <w:numId w:val="81"/>
        </w:numPr>
        <w:tabs>
          <w:tab w:val="clear" w:pos="720"/>
          <w:tab w:val="num" w:pos="360"/>
        </w:tabs>
        <w:spacing w:after="120"/>
        <w:ind w:left="360"/>
      </w:pPr>
      <w:r w:rsidRPr="00A60F30">
        <w:rPr>
          <w:b/>
          <w:bCs/>
        </w:rPr>
        <w:t>III.</w:t>
      </w:r>
      <w:r w:rsidR="00A60F30">
        <w:rPr>
          <w:b/>
          <w:bCs/>
        </w:rPr>
        <w:t>iii.2.A</w:t>
      </w:r>
      <w:r w:rsidR="00E46042">
        <w:rPr>
          <w:b/>
          <w:bCs/>
        </w:rPr>
        <w:t>.1.b</w:t>
      </w:r>
      <w:r w:rsidR="0094205E">
        <w:rPr>
          <w:b/>
          <w:bCs/>
        </w:rPr>
        <w:t xml:space="preserve"> &amp; IV.ii.1.D.2.a</w:t>
      </w:r>
      <w:r w:rsidR="007C3EA9">
        <w:t xml:space="preserve"> - Note says clinical</w:t>
      </w:r>
      <w:r w:rsidR="00E46546">
        <w:t xml:space="preserve"> records </w:t>
      </w:r>
      <w:r w:rsidR="007C3EA9">
        <w:t>/</w:t>
      </w:r>
      <w:r w:rsidR="0094205E">
        <w:t xml:space="preserve"> </w:t>
      </w:r>
      <w:r w:rsidR="007C3EA9">
        <w:t xml:space="preserve">mental health records </w:t>
      </w:r>
      <w:r w:rsidR="00E46042">
        <w:t>are not in STRs &amp; are</w:t>
      </w:r>
      <w:r w:rsidR="007C3EA9">
        <w:t xml:space="preserve"> destroyed after 5 years of inactivity</w:t>
      </w:r>
      <w:r w:rsidR="00190E48">
        <w:t xml:space="preserve">; </w:t>
      </w:r>
      <w:r w:rsidR="00190E48" w:rsidRPr="00190E48">
        <w:rPr>
          <w:b/>
        </w:rPr>
        <w:t>III.iii.2.A.2.b</w:t>
      </w:r>
      <w:r w:rsidR="00190E48">
        <w:t xml:space="preserve"> has table for storage of clinical records</w:t>
      </w:r>
    </w:p>
    <w:p w:rsidR="00013EB8" w:rsidRPr="007C3EA9" w:rsidRDefault="007C3EA9" w:rsidP="00F063AF">
      <w:pPr>
        <w:widowControl w:val="0"/>
        <w:numPr>
          <w:ilvl w:val="0"/>
          <w:numId w:val="81"/>
        </w:numPr>
        <w:tabs>
          <w:tab w:val="clear" w:pos="720"/>
          <w:tab w:val="left" w:pos="0"/>
          <w:tab w:val="num" w:pos="360"/>
        </w:tabs>
        <w:spacing w:after="120"/>
        <w:ind w:left="360"/>
        <w:rPr>
          <w:rStyle w:val="Hyperlink"/>
          <w:b/>
          <w:i/>
          <w:color w:val="auto"/>
          <w:u w:val="none"/>
        </w:rPr>
      </w:pPr>
      <w:r>
        <w:rPr>
          <w:b/>
          <w:bCs/>
        </w:rPr>
        <w:fldChar w:fldCharType="begin"/>
      </w:r>
      <w:r w:rsidR="006B3E4C">
        <w:rPr>
          <w:b/>
          <w:bCs/>
        </w:rPr>
        <w:instrText>HYPERLINK "http://vbaw.vba.va.gov/bl/21/advisory/DADS/2009dads/FedCirc/Robinson.doc"</w:instrText>
      </w:r>
      <w:r>
        <w:rPr>
          <w:b/>
          <w:bCs/>
        </w:rPr>
        <w:fldChar w:fldCharType="separate"/>
      </w:r>
      <w:hyperlink r:id="rId624" w:history="1">
        <w:r w:rsidR="009E4918">
          <w:rPr>
            <w:b/>
          </w:rPr>
          <w:t>III.iv.4.O</w:t>
        </w:r>
      </w:hyperlink>
      <w:r w:rsidR="00FD504C">
        <w:rPr>
          <w:bCs/>
        </w:rPr>
        <w:t xml:space="preserve"> </w:t>
      </w:r>
      <w:r w:rsidR="006B3E4C">
        <w:rPr>
          <w:rStyle w:val="Hyperlink"/>
          <w:bCs/>
          <w:u w:val="none"/>
        </w:rPr>
        <w:t>–</w:t>
      </w:r>
      <w:r w:rsidR="006B3E4C" w:rsidRPr="006B3E4C">
        <w:rPr>
          <w:rStyle w:val="Hyperlink"/>
          <w:b/>
          <w:bCs/>
          <w:u w:val="none"/>
        </w:rPr>
        <w:t xml:space="preserve"> </w:t>
      </w:r>
      <w:r w:rsidR="009E4918">
        <w:rPr>
          <w:rStyle w:val="Hyperlink"/>
          <w:b/>
          <w:bCs/>
          <w:color w:val="auto"/>
          <w:u w:val="none"/>
        </w:rPr>
        <w:t>III.iv.4.O</w:t>
      </w:r>
      <w:r w:rsidR="006B3E4C" w:rsidRPr="006B3E4C">
        <w:rPr>
          <w:rStyle w:val="Hyperlink"/>
          <w:b/>
          <w:bCs/>
          <w:color w:val="auto"/>
          <w:u w:val="none"/>
        </w:rPr>
        <w:t>.1.a</w:t>
      </w:r>
      <w:r w:rsidR="006B3E4C">
        <w:rPr>
          <w:rStyle w:val="Hyperlink"/>
          <w:b/>
          <w:bCs/>
          <w:color w:val="auto"/>
          <w:u w:val="none"/>
        </w:rPr>
        <w:t>&amp;b</w:t>
      </w:r>
      <w:r w:rsidR="006B3E4C" w:rsidRPr="006B3E4C">
        <w:rPr>
          <w:rStyle w:val="Hyperlink"/>
          <w:bCs/>
          <w:color w:val="auto"/>
          <w:u w:val="none"/>
        </w:rPr>
        <w:t xml:space="preserve"> – sympathetic reading of mental claims</w:t>
      </w:r>
      <w:r w:rsidR="006B3E4C">
        <w:rPr>
          <w:rStyle w:val="Hyperlink"/>
          <w:bCs/>
          <w:color w:val="auto"/>
          <w:u w:val="none"/>
        </w:rPr>
        <w:t xml:space="preserve"> (per Robinson v. Shinseki (2/25/09) &amp; Clemons)</w:t>
      </w:r>
      <w:r w:rsidR="006B3E4C" w:rsidRPr="006B3E4C">
        <w:rPr>
          <w:rStyle w:val="Hyperlink"/>
          <w:bCs/>
          <w:color w:val="auto"/>
          <w:u w:val="none"/>
        </w:rPr>
        <w:t>;</w:t>
      </w:r>
      <w:r w:rsidRPr="006B3E4C">
        <w:rPr>
          <w:rStyle w:val="Hyperlink"/>
          <w:bCs/>
          <w:color w:val="auto"/>
          <w:u w:val="none"/>
        </w:rPr>
        <w:t xml:space="preserve"> </w:t>
      </w:r>
      <w:r w:rsidR="009E4918">
        <w:rPr>
          <w:b/>
        </w:rPr>
        <w:t>III.iv.4.O</w:t>
      </w:r>
      <w:r w:rsidR="00FD504C" w:rsidRPr="00DC7E42">
        <w:rPr>
          <w:b/>
        </w:rPr>
        <w:t>.5.a</w:t>
      </w:r>
      <w:r>
        <w:rPr>
          <w:bCs/>
          <w:iCs/>
        </w:rPr>
        <w:t xml:space="preserve"> – must send file for examiner to review</w:t>
      </w:r>
      <w:r w:rsidR="00260BE3">
        <w:rPr>
          <w:bCs/>
          <w:iCs/>
        </w:rPr>
        <w:t xml:space="preserve"> for PTSD</w:t>
      </w:r>
    </w:p>
    <w:p w:rsidR="007C3EA9" w:rsidRPr="00082113" w:rsidRDefault="007C3EA9" w:rsidP="00F063AF">
      <w:pPr>
        <w:widowControl w:val="0"/>
        <w:numPr>
          <w:ilvl w:val="0"/>
          <w:numId w:val="81"/>
        </w:numPr>
        <w:tabs>
          <w:tab w:val="clear" w:pos="720"/>
          <w:tab w:val="num" w:pos="360"/>
        </w:tabs>
        <w:spacing w:after="120"/>
        <w:ind w:left="360"/>
        <w:rPr>
          <w:i/>
        </w:rPr>
      </w:pPr>
      <w:r>
        <w:rPr>
          <w:b/>
          <w:bCs/>
        </w:rPr>
        <w:fldChar w:fldCharType="end"/>
      </w:r>
      <w:r w:rsidR="009E4918">
        <w:rPr>
          <w:b/>
        </w:rPr>
        <w:t>III.iv.4.O</w:t>
      </w:r>
      <w:r w:rsidR="00FD504C" w:rsidRPr="00DC7E42">
        <w:rPr>
          <w:b/>
        </w:rPr>
        <w:t>.1.e</w:t>
      </w:r>
      <w:r w:rsidR="005E3C34">
        <w:t xml:space="preserve"> - consider</w:t>
      </w:r>
      <w:r w:rsidR="00013EB8" w:rsidRPr="005E3C34">
        <w:t xml:space="preserve"> incremental reductions for proposals</w:t>
      </w:r>
      <w:r w:rsidR="005E3C34">
        <w:t xml:space="preserve"> (</w:t>
      </w:r>
      <w:r w:rsidR="00013EB8" w:rsidRPr="005E3C34">
        <w:t>except if FTR</w:t>
      </w:r>
      <w:r w:rsidR="005E3C34">
        <w:t xml:space="preserve"> for RFE </w:t>
      </w:r>
      <w:r w:rsidR="00013EB8" w:rsidRPr="005E3C34">
        <w:t>- then can reduce to 0%</w:t>
      </w:r>
      <w:r w:rsidR="005E3C34">
        <w:t xml:space="preserve">, per </w:t>
      </w:r>
      <w:r w:rsidR="005E3C34" w:rsidRPr="005E3C34">
        <w:rPr>
          <w:rStyle w:val="Strong"/>
          <w:bCs w:val="0"/>
        </w:rPr>
        <w:t>IV.ii.3.B.1.a</w:t>
      </w:r>
      <w:r w:rsidR="005E3C34" w:rsidRPr="005E3C34">
        <w:t>)</w:t>
      </w:r>
    </w:p>
    <w:p w:rsidR="008441C6" w:rsidRPr="008441C6" w:rsidRDefault="008441C6" w:rsidP="00F063AF">
      <w:pPr>
        <w:widowControl w:val="0"/>
        <w:numPr>
          <w:ilvl w:val="0"/>
          <w:numId w:val="81"/>
        </w:numPr>
        <w:tabs>
          <w:tab w:val="clear" w:pos="720"/>
          <w:tab w:val="num" w:pos="360"/>
        </w:tabs>
        <w:spacing w:after="120"/>
        <w:ind w:left="360"/>
        <w:rPr>
          <w:i/>
        </w:rPr>
      </w:pPr>
      <w:r>
        <w:rPr>
          <w:b/>
          <w:bCs/>
        </w:rPr>
        <w:t>III</w:t>
      </w:r>
      <w:r w:rsidRPr="00082113">
        <w:rPr>
          <w:b/>
        </w:rPr>
        <w:t>.</w:t>
      </w:r>
      <w:r>
        <w:rPr>
          <w:b/>
        </w:rPr>
        <w:t>iv.4.O.1.i</w:t>
      </w:r>
      <w:r>
        <w:rPr>
          <w:i/>
        </w:rPr>
        <w:t xml:space="preserve"> </w:t>
      </w:r>
      <w:r>
        <w:t>(?added 6/14/18) – somatic symptom disorder</w:t>
      </w:r>
    </w:p>
    <w:p w:rsidR="00082113" w:rsidRPr="00CE5BA9" w:rsidRDefault="00082113" w:rsidP="00F063AF">
      <w:pPr>
        <w:widowControl w:val="0"/>
        <w:numPr>
          <w:ilvl w:val="0"/>
          <w:numId w:val="81"/>
        </w:numPr>
        <w:tabs>
          <w:tab w:val="clear" w:pos="720"/>
          <w:tab w:val="num" w:pos="360"/>
        </w:tabs>
        <w:spacing w:after="120"/>
        <w:ind w:left="360"/>
        <w:rPr>
          <w:i/>
        </w:rPr>
      </w:pPr>
      <w:r>
        <w:rPr>
          <w:b/>
          <w:bCs/>
        </w:rPr>
        <w:t>III</w:t>
      </w:r>
      <w:r w:rsidRPr="00082113">
        <w:rPr>
          <w:b/>
        </w:rPr>
        <w:t>.iv.4.O.1.k</w:t>
      </w:r>
      <w:r>
        <w:rPr>
          <w:i/>
        </w:rPr>
        <w:t xml:space="preserve"> </w:t>
      </w:r>
      <w:r>
        <w:t xml:space="preserve">(added 6/14/18) </w:t>
      </w:r>
      <w:r w:rsidRPr="00082113">
        <w:t>– neurodevelopmental disorders (ie.e ADD, ADHD, Autism Spectrum Disorder, Specified Learning Disorder, Tic Disorder</w:t>
      </w:r>
      <w:r>
        <w:t>, Child-Onset Fluency Disorder/Stuttering, Intellectual Disability/Intellectual Developmental Disorder)</w:t>
      </w:r>
      <w:r w:rsidR="00CE5BA9">
        <w:t xml:space="preserve"> are not diseases/injuries under 3.303(c) &amp; are not generally subject to direct SC unless (1) developed as a result of an in-service injury like TBI, or (2) there is progression at an abnormally high rate during service as discussed in IV.ii.2.B.4&amp;6, then consider aggravation</w:t>
      </w:r>
    </w:p>
    <w:p w:rsidR="00CE5BA9" w:rsidRPr="007C3EA9" w:rsidRDefault="00CE5BA9" w:rsidP="00F063AF">
      <w:pPr>
        <w:widowControl w:val="0"/>
        <w:numPr>
          <w:ilvl w:val="0"/>
          <w:numId w:val="81"/>
        </w:numPr>
        <w:tabs>
          <w:tab w:val="clear" w:pos="720"/>
          <w:tab w:val="num" w:pos="360"/>
        </w:tabs>
        <w:spacing w:after="120"/>
        <w:ind w:left="360"/>
        <w:rPr>
          <w:i/>
        </w:rPr>
      </w:pPr>
      <w:r>
        <w:rPr>
          <w:b/>
          <w:bCs/>
        </w:rPr>
        <w:t>III</w:t>
      </w:r>
      <w:r w:rsidRPr="00082113">
        <w:rPr>
          <w:b/>
        </w:rPr>
        <w:t>.iv.4.O.1.</w:t>
      </w:r>
      <w:r>
        <w:rPr>
          <w:b/>
        </w:rPr>
        <w:t>l</w:t>
      </w:r>
      <w:r>
        <w:rPr>
          <w:i/>
        </w:rPr>
        <w:t xml:space="preserve"> </w:t>
      </w:r>
      <w:r>
        <w:t>(added 6/14/18) – SC for primary insomnia is allowed if there is no other underlying etiology/disease/injury/mental disorder &amp; there is an event in service (i.e. diagnosis of primary insomnia), a current dx of primary insomnia &amp; a nexus</w:t>
      </w:r>
    </w:p>
    <w:p w:rsidR="00013EB8" w:rsidRDefault="00853C4D" w:rsidP="00F063AF">
      <w:pPr>
        <w:widowControl w:val="0"/>
        <w:numPr>
          <w:ilvl w:val="0"/>
          <w:numId w:val="81"/>
        </w:numPr>
        <w:tabs>
          <w:tab w:val="clear" w:pos="720"/>
          <w:tab w:val="num" w:pos="360"/>
        </w:tabs>
        <w:spacing w:after="120"/>
        <w:ind w:left="360"/>
        <w:rPr>
          <w:i/>
        </w:rPr>
      </w:pPr>
      <w:r>
        <w:rPr>
          <w:b/>
          <w:bCs/>
        </w:rPr>
        <w:t xml:space="preserve">IV.ii.2.K </w:t>
      </w:r>
      <w:r w:rsidR="00013EB8">
        <w:rPr>
          <w:i/>
        </w:rPr>
        <w:t xml:space="preserve">- </w:t>
      </w:r>
      <w:r w:rsidR="00013EB8" w:rsidRPr="005E3C34">
        <w:t xml:space="preserve">alcohol </w:t>
      </w:r>
      <w:r w:rsidR="00013EB8">
        <w:rPr>
          <w:i/>
        </w:rPr>
        <w:t xml:space="preserve">(also </w:t>
      </w:r>
      <w:r w:rsidR="00013EB8">
        <w:rPr>
          <w:b/>
          <w:i/>
        </w:rPr>
        <w:t xml:space="preserve">3.301, </w:t>
      </w:r>
      <w:r w:rsidR="00013EB8" w:rsidRPr="00AB1DEB">
        <w:rPr>
          <w:b/>
          <w:i/>
          <w:iCs/>
        </w:rPr>
        <w:t>3.310</w:t>
      </w:r>
      <w:r w:rsidR="00013EB8">
        <w:rPr>
          <w:b/>
          <w:i/>
        </w:rPr>
        <w:t>,</w:t>
      </w:r>
      <w:r w:rsidR="00013EB8">
        <w:rPr>
          <w:i/>
        </w:rPr>
        <w:t xml:space="preserve"> </w:t>
      </w:r>
      <w:r w:rsidR="00013EB8" w:rsidRPr="00EA0611">
        <w:rPr>
          <w:b/>
          <w:i/>
        </w:rPr>
        <w:t>Allen v. Principi</w:t>
      </w:r>
      <w:r w:rsidR="00013EB8">
        <w:rPr>
          <w:i/>
        </w:rPr>
        <w:t xml:space="preserve"> </w:t>
      </w:r>
      <w:r w:rsidR="001558DF" w:rsidRPr="001558DF">
        <w:t>(2/2/01)</w:t>
      </w:r>
      <w:r w:rsidR="005E3C34">
        <w:t>)</w:t>
      </w:r>
    </w:p>
    <w:p w:rsidR="00013EB8" w:rsidRDefault="00013EB8" w:rsidP="00F063AF">
      <w:pPr>
        <w:widowControl w:val="0"/>
        <w:numPr>
          <w:ilvl w:val="0"/>
          <w:numId w:val="81"/>
        </w:numPr>
        <w:tabs>
          <w:tab w:val="clear" w:pos="720"/>
          <w:tab w:val="num" w:pos="360"/>
        </w:tabs>
        <w:spacing w:after="120"/>
        <w:ind w:left="360"/>
      </w:pPr>
      <w:r>
        <w:rPr>
          <w:b/>
        </w:rPr>
        <w:t xml:space="preserve">Mauerhan, 16/436 - </w:t>
      </w:r>
      <w:r>
        <w:t>NP rating criteria symptoms are no exhaustive list - “such as”</w:t>
      </w:r>
    </w:p>
    <w:p w:rsidR="00013EB8" w:rsidRDefault="00013EB8" w:rsidP="00F063AF">
      <w:pPr>
        <w:widowControl w:val="0"/>
        <w:numPr>
          <w:ilvl w:val="0"/>
          <w:numId w:val="81"/>
        </w:numPr>
        <w:tabs>
          <w:tab w:val="clear" w:pos="720"/>
          <w:tab w:val="num" w:pos="360"/>
        </w:tabs>
        <w:spacing w:after="120"/>
        <w:ind w:left="360"/>
      </w:pPr>
      <w:r>
        <w:rPr>
          <w:b/>
          <w:i/>
        </w:rPr>
        <w:t>Moore v. Derwinski,</w:t>
      </w:r>
      <w:r>
        <w:rPr>
          <w:b/>
        </w:rPr>
        <w:t xml:space="preserve"> 1 Vet.App. 356, 358 (1991)</w:t>
      </w:r>
      <w:r>
        <w:t xml:space="preserve"> -GAF scores @ 15</w:t>
      </w:r>
    </w:p>
    <w:p w:rsidR="000D5FE3" w:rsidRPr="006E1C70" w:rsidRDefault="000D5FE3" w:rsidP="00F063AF">
      <w:pPr>
        <w:widowControl w:val="0"/>
        <w:numPr>
          <w:ilvl w:val="0"/>
          <w:numId w:val="81"/>
        </w:numPr>
        <w:tabs>
          <w:tab w:val="clear" w:pos="720"/>
          <w:tab w:val="num" w:pos="360"/>
        </w:tabs>
        <w:spacing w:after="120"/>
        <w:ind w:left="360"/>
      </w:pPr>
      <w:r w:rsidRPr="00EA0611">
        <w:rPr>
          <w:b/>
          <w:i/>
          <w:szCs w:val="18"/>
        </w:rPr>
        <w:t>Jandreau v. Nicholson</w:t>
      </w:r>
      <w:r>
        <w:rPr>
          <w:color w:val="000000"/>
          <w:szCs w:val="18"/>
        </w:rPr>
        <w:t xml:space="preserve"> (7/3/07) – “lay evidence can be competent and sufficient to establish a diagnosis of a condition when (1) a layperson is competent to identify the medical condition, (2) the layperson is reporting a contemporaneous medical diagnosis, or (3) lay testimony describing symptoms at the time supports a later diagnosis by a medical professional.”</w:t>
      </w:r>
    </w:p>
    <w:p w:rsidR="009A4E94" w:rsidRPr="009A4E94" w:rsidRDefault="00011011" w:rsidP="00F063AF">
      <w:pPr>
        <w:widowControl w:val="0"/>
        <w:numPr>
          <w:ilvl w:val="0"/>
          <w:numId w:val="81"/>
        </w:numPr>
        <w:tabs>
          <w:tab w:val="clear" w:pos="720"/>
          <w:tab w:val="num" w:pos="360"/>
        </w:tabs>
        <w:spacing w:after="120"/>
        <w:ind w:left="360"/>
      </w:pPr>
      <w:r w:rsidRPr="00EA0611">
        <w:rPr>
          <w:b/>
          <w:i/>
        </w:rPr>
        <w:t>Clemons v. Shinseki</w:t>
      </w:r>
      <w:r>
        <w:t xml:space="preserve"> (2/17/09) – “</w:t>
      </w:r>
      <w:r w:rsidRPr="00162691">
        <w:t>a service connection claim that only identifies post traumatic stress disorder (PTSD) cannot only be limited to that diagnosis, but must be considered a claim for any mental disability that may be reasonably raised by several factors, to include the veteran’s description of the claim and/or symptoms and any information and evidence submitted by the veteran or obtained by VA.</w:t>
      </w:r>
      <w:r>
        <w:t xml:space="preserve"> The Court explained that because a veteran was reasonably requesting benefits for symptoms of a mental condition that he was not competent to medically identify, the adjudication of the claim does not end in the face of currently diagnosed mental conditions that are different from his lay hypothesis on the claim form.  The Court noted that it is generally within the province of medical professionals to diagnose or label a mental condition, not the claimant. “ says will update </w:t>
      </w:r>
      <w:r w:rsidR="009E4918">
        <w:t>III.iv.4.O</w:t>
      </w:r>
      <w:r>
        <w:t>.32.j (</w:t>
      </w:r>
      <w:r w:rsidR="00E37952">
        <w:t xml:space="preserve">now </w:t>
      </w:r>
      <w:hyperlink r:id="rId625" w:history="1">
        <w:r w:rsidR="009E4918">
          <w:rPr>
            <w:b/>
          </w:rPr>
          <w:t>III.iv.4.O</w:t>
        </w:r>
      </w:hyperlink>
      <w:r w:rsidR="00E37952">
        <w:rPr>
          <w:b/>
        </w:rPr>
        <w:t>.6</w:t>
      </w:r>
      <w:r w:rsidR="00E37952">
        <w:t xml:space="preserve"> &amp; it says “If a VA medical examination fails to establish a diagnosis of PTS</w:t>
      </w:r>
      <w:r w:rsidR="00BD35B4">
        <w:t>D</w:t>
      </w:r>
      <w:r w:rsidR="00E37952">
        <w:t xml:space="preserve"> and no other mental diagnosis is made, deny the claim on that basis. Note: If the existence of a stressor has not been determined, do not include the discussion of the alleged stressor in the rating decision.</w:t>
      </w:r>
      <w:r w:rsidR="00756B24">
        <w:t>”</w:t>
      </w:r>
      <w:r w:rsidR="00E37952">
        <w:rPr>
          <w:bCs/>
        </w:rPr>
        <w:t>)</w:t>
      </w:r>
      <w:r>
        <w:rPr>
          <w:i/>
        </w:rPr>
        <w:t xml:space="preserve"> </w:t>
      </w:r>
      <w:r w:rsidR="00DD7E8C">
        <w:rPr>
          <w:i/>
        </w:rPr>
        <w:t xml:space="preserve"> see </w:t>
      </w:r>
      <w:r w:rsidR="00DD7E8C" w:rsidRPr="00B41D49">
        <w:rPr>
          <w:b/>
          <w:i/>
          <w:u w:val="single"/>
        </w:rPr>
        <w:t>July 2015 PTSD Training</w:t>
      </w:r>
      <w:r w:rsidR="00DD7E8C">
        <w:rPr>
          <w:i/>
        </w:rPr>
        <w:t xml:space="preserve"> under PTSD section for more notes</w:t>
      </w:r>
    </w:p>
    <w:p w:rsidR="00F14AEF" w:rsidRDefault="00013EB8" w:rsidP="00F063AF">
      <w:pPr>
        <w:widowControl w:val="0"/>
        <w:numPr>
          <w:ilvl w:val="0"/>
          <w:numId w:val="81"/>
        </w:numPr>
        <w:tabs>
          <w:tab w:val="clear" w:pos="720"/>
          <w:tab w:val="num" w:pos="360"/>
        </w:tabs>
        <w:spacing w:after="120"/>
        <w:ind w:left="360"/>
        <w:rPr>
          <w:i/>
        </w:rPr>
      </w:pPr>
      <w:r w:rsidRPr="00AA04CD">
        <w:rPr>
          <w:highlight w:val="magenta"/>
        </w:rPr>
        <w:t xml:space="preserve">Per </w:t>
      </w:r>
      <w:r w:rsidRPr="00AA04CD">
        <w:rPr>
          <w:b/>
          <w:bCs/>
          <w:highlight w:val="magenta"/>
        </w:rPr>
        <w:t>STAR error</w:t>
      </w:r>
      <w:r w:rsidRPr="00AA04CD">
        <w:rPr>
          <w:highlight w:val="magenta"/>
        </w:rPr>
        <w:t xml:space="preserve"> reported in November 2010</w:t>
      </w:r>
      <w:r w:rsidRPr="00AA04CD">
        <w:t xml:space="preserve"> - D1 Error.  Vet was granted SC for depression and anxiety with an effective date based on the date of his VAE.  The case is based on the Vet claiming PTSD 4 months earlier.  The effective date should have been the date of claim for PTSD and not the date of the VAE.  While the Vet was not dx with PTSD at the VAE, the VAE dx depression and anxiety and opined that the conditions started in service.  ---Veterans are not required to dx themselves.  Our take-away should be that when a Vet claims a mental health condition, it’s essentially a claim for any possible mental health condition. (</w:t>
      </w:r>
      <w:r w:rsidRPr="00AA04CD">
        <w:rPr>
          <w:u w:val="single"/>
        </w:rPr>
        <w:t>NOTE:  PTSD was denied separately.</w:t>
      </w:r>
      <w:r w:rsidRPr="00AA04CD">
        <w:t>)</w:t>
      </w:r>
      <w:r w:rsidR="00F279D3">
        <w:t xml:space="preserve"> </w:t>
      </w:r>
    </w:p>
    <w:p w:rsidR="009A4E94" w:rsidRPr="007E278B" w:rsidRDefault="00D571C5" w:rsidP="00F063AF">
      <w:pPr>
        <w:widowControl w:val="0"/>
        <w:numPr>
          <w:ilvl w:val="1"/>
          <w:numId w:val="81"/>
        </w:numPr>
        <w:tabs>
          <w:tab w:val="clear" w:pos="1440"/>
          <w:tab w:val="left" w:pos="360"/>
        </w:tabs>
        <w:spacing w:after="120"/>
        <w:ind w:left="360"/>
        <w:rPr>
          <w:i/>
        </w:rPr>
      </w:pPr>
      <w:hyperlink r:id="rId626" w:history="1">
        <w:r w:rsidR="009A4E94">
          <w:rPr>
            <w:rStyle w:val="Hyperlink"/>
            <w:b/>
            <w:i/>
          </w:rPr>
          <w:t>March 2015 Quality Call Notes</w:t>
        </w:r>
      </w:hyperlink>
      <w:r w:rsidR="009A4E94" w:rsidRPr="00713070">
        <w:rPr>
          <w:rStyle w:val="Hyperlink"/>
          <w:u w:val="none"/>
        </w:rPr>
        <w:t xml:space="preserve"> </w:t>
      </w:r>
      <w:r w:rsidR="009A4E94">
        <w:rPr>
          <w:rStyle w:val="Hyperlink"/>
          <w:color w:val="auto"/>
          <w:u w:val="none"/>
        </w:rPr>
        <w:t xml:space="preserve">– discusses case where PTSD, anxiety &amp; depression were all claimed, but only PTSD was denied. Anxiety &amp; depression were not addressed at all. Confirms that also need to separately address anxiety &amp; depression [unless they are claimed as </w:t>
      </w:r>
      <w:r w:rsidR="009A4E94" w:rsidRPr="003B7FC1">
        <w:rPr>
          <w:rStyle w:val="Hyperlink"/>
          <w:color w:val="auto"/>
          <w:u w:val="none"/>
        </w:rPr>
        <w:t>symptoms, then can use “(also claimed as anxiety and depression)”];</w:t>
      </w:r>
      <w:r w:rsidR="009A4E94">
        <w:rPr>
          <w:rStyle w:val="Hyperlink"/>
          <w:color w:val="auto"/>
          <w:u w:val="none"/>
        </w:rPr>
        <w:t xml:space="preserve"> additional Q&amp;A says: </w:t>
      </w:r>
      <w:r w:rsidR="009A4E94" w:rsidRPr="003B7FC1">
        <w:rPr>
          <w:rStyle w:val="Hyperlink"/>
          <w:color w:val="auto"/>
          <w:u w:val="none"/>
        </w:rPr>
        <w:t xml:space="preserve"> “</w:t>
      </w:r>
      <w:r w:rsidR="009A4E94" w:rsidRPr="003B7FC1">
        <w:t>In the scenario presented in this question, if anxiety and depression were listed on the “decision line” or in the “Reasons for Decision</w:t>
      </w:r>
      <w:r w:rsidR="001946CC">
        <w:t>,”</w:t>
      </w:r>
      <w:r w:rsidR="009A4E94" w:rsidRPr="003B7FC1">
        <w:t xml:space="preserve"> a STAR A1 error most likely would not have been cited since the specifically claimed issues would have been “addressed</w:t>
      </w:r>
      <w:r w:rsidR="001946CC">
        <w:t>.”</w:t>
      </w:r>
      <w:r w:rsidR="009A4E94" w:rsidRPr="003B7FC1">
        <w:t>”</w:t>
      </w:r>
    </w:p>
    <w:p w:rsidR="000D21A6" w:rsidRPr="00DD4EF6" w:rsidRDefault="004B4403" w:rsidP="00F063AF">
      <w:pPr>
        <w:pStyle w:val="ListParagraph"/>
        <w:widowControl w:val="0"/>
        <w:numPr>
          <w:ilvl w:val="0"/>
          <w:numId w:val="81"/>
        </w:numPr>
        <w:tabs>
          <w:tab w:val="clear" w:pos="720"/>
          <w:tab w:val="num" w:pos="360"/>
        </w:tabs>
        <w:spacing w:after="120"/>
        <w:ind w:left="360"/>
      </w:pPr>
      <w:r w:rsidRPr="00EA0611">
        <w:rPr>
          <w:rFonts w:ascii="Arial" w:hAnsi="Arial"/>
          <w:b/>
          <w:i/>
          <w:sz w:val="20"/>
          <w:szCs w:val="20"/>
        </w:rPr>
        <w:t xml:space="preserve">May 2015 </w:t>
      </w:r>
      <w:r w:rsidR="00EB6F0B" w:rsidRPr="00EA0611">
        <w:rPr>
          <w:rFonts w:ascii="Arial" w:hAnsi="Arial"/>
          <w:b/>
          <w:i/>
          <w:sz w:val="20"/>
          <w:szCs w:val="20"/>
        </w:rPr>
        <w:t>Compensation Service Bulletin (CSB)</w:t>
      </w:r>
      <w:r w:rsidRPr="00D34B5A">
        <w:rPr>
          <w:rStyle w:val="Hyperlink"/>
          <w:rFonts w:ascii="Arial" w:hAnsi="Arial"/>
          <w:color w:val="auto"/>
          <w:sz w:val="20"/>
          <w:szCs w:val="20"/>
          <w:u w:val="none"/>
        </w:rPr>
        <w:t xml:space="preserve"> –</w:t>
      </w:r>
      <w:r>
        <w:rPr>
          <w:rStyle w:val="Hyperlink"/>
          <w:rFonts w:ascii="Arial" w:hAnsi="Arial"/>
          <w:color w:val="auto"/>
          <w:sz w:val="20"/>
          <w:szCs w:val="20"/>
          <w:u w:val="none"/>
        </w:rPr>
        <w:t xml:space="preserve"> Final Rule – Schedule for Rating Disabilities – Mental Disorders and Definition of Psychosis for Certain VA Purposes; based on DSM-5 nomenclature, but does not change how mental disorders are evaluated; effective March 19, 2015; see </w:t>
      </w:r>
      <w:r w:rsidRPr="005772B6">
        <w:rPr>
          <w:rFonts w:ascii="Arial" w:hAnsi="Arial"/>
          <w:sz w:val="20"/>
          <w:szCs w:val="20"/>
        </w:rPr>
        <w:t>III.iv.3.A.8.e</w:t>
      </w:r>
      <w:r w:rsidRPr="005772B6">
        <w:rPr>
          <w:rStyle w:val="Hyperlink"/>
          <w:rFonts w:ascii="Arial" w:hAnsi="Arial"/>
          <w:color w:val="auto"/>
          <w:sz w:val="20"/>
          <w:szCs w:val="20"/>
          <w:u w:val="none"/>
        </w:rPr>
        <w:t xml:space="preserve"> </w:t>
      </w:r>
      <w:r>
        <w:rPr>
          <w:rStyle w:val="Hyperlink"/>
          <w:rFonts w:ascii="Arial" w:hAnsi="Arial"/>
          <w:color w:val="auto"/>
          <w:sz w:val="20"/>
          <w:szCs w:val="20"/>
          <w:u w:val="none"/>
        </w:rPr>
        <w:t>(</w:t>
      </w:r>
      <w:r w:rsidR="005772B6">
        <w:rPr>
          <w:rStyle w:val="Hyperlink"/>
          <w:rFonts w:ascii="Arial" w:hAnsi="Arial"/>
          <w:color w:val="auto"/>
          <w:sz w:val="20"/>
          <w:szCs w:val="20"/>
          <w:u w:val="none"/>
        </w:rPr>
        <w:t xml:space="preserve">now </w:t>
      </w:r>
      <w:r w:rsidR="005772B6" w:rsidRPr="005772B6">
        <w:rPr>
          <w:rStyle w:val="Hyperlink"/>
          <w:rFonts w:ascii="Arial" w:hAnsi="Arial"/>
          <w:b/>
          <w:color w:val="auto"/>
          <w:sz w:val="20"/>
          <w:szCs w:val="20"/>
          <w:u w:val="none"/>
        </w:rPr>
        <w:t>III.iv.3.A.6</w:t>
      </w:r>
      <w:r>
        <w:rPr>
          <w:rStyle w:val="Hyperlink"/>
          <w:rFonts w:ascii="Arial" w:hAnsi="Arial"/>
          <w:color w:val="auto"/>
          <w:sz w:val="20"/>
          <w:szCs w:val="20"/>
          <w:u w:val="none"/>
        </w:rPr>
        <w:t xml:space="preserve">) &amp; </w:t>
      </w:r>
      <w:r w:rsidR="009E4918">
        <w:rPr>
          <w:rFonts w:ascii="Arial" w:hAnsi="Arial"/>
          <w:b/>
          <w:sz w:val="20"/>
          <w:szCs w:val="20"/>
        </w:rPr>
        <w:t>III.iv.4.O</w:t>
      </w:r>
    </w:p>
    <w:p w:rsidR="00DD4EF6" w:rsidRPr="009A4E94" w:rsidRDefault="00DD4EF6" w:rsidP="00F063AF">
      <w:pPr>
        <w:pStyle w:val="ListParagraph"/>
        <w:widowControl w:val="0"/>
        <w:numPr>
          <w:ilvl w:val="0"/>
          <w:numId w:val="81"/>
        </w:numPr>
        <w:tabs>
          <w:tab w:val="clear" w:pos="720"/>
          <w:tab w:val="num" w:pos="360"/>
        </w:tabs>
        <w:spacing w:after="120"/>
        <w:ind w:left="360"/>
      </w:pPr>
      <w:r w:rsidRPr="00DD4EF6">
        <w:t>https://mhreference.org/dsm-codes/dsm-category/</w:t>
      </w:r>
    </w:p>
    <w:p w:rsidR="009A4E94" w:rsidRPr="007E278B" w:rsidRDefault="009A4E94" w:rsidP="00F063AF">
      <w:pPr>
        <w:widowControl w:val="0"/>
        <w:numPr>
          <w:ilvl w:val="1"/>
          <w:numId w:val="81"/>
        </w:numPr>
        <w:tabs>
          <w:tab w:val="clear" w:pos="1440"/>
          <w:tab w:val="left" w:pos="360"/>
        </w:tabs>
        <w:spacing w:after="120"/>
        <w:ind w:left="360"/>
        <w:rPr>
          <w:i/>
        </w:rPr>
      </w:pPr>
      <w:r w:rsidRPr="00157C6C">
        <w:rPr>
          <w:b/>
          <w:color w:val="000000"/>
          <w:u w:val="single"/>
        </w:rPr>
        <w:t>Weekly Q</w:t>
      </w:r>
      <w:r>
        <w:rPr>
          <w:b/>
          <w:color w:val="000000"/>
          <w:u w:val="single"/>
        </w:rPr>
        <w:t>-</w:t>
      </w:r>
      <w:r w:rsidRPr="00157C6C">
        <w:rPr>
          <w:b/>
          <w:color w:val="000000"/>
          <w:u w:val="single"/>
        </w:rPr>
        <w:t>Tip</w:t>
      </w:r>
      <w:r>
        <w:rPr>
          <w:b/>
          <w:color w:val="000000"/>
        </w:rPr>
        <w:t xml:space="preserve"> (6/12</w:t>
      </w:r>
      <w:r w:rsidRPr="00157C6C">
        <w:rPr>
          <w:b/>
          <w:color w:val="000000"/>
        </w:rPr>
        <w:t>/1</w:t>
      </w:r>
      <w:r>
        <w:rPr>
          <w:b/>
          <w:color w:val="000000"/>
        </w:rPr>
        <w:t>5</w:t>
      </w:r>
      <w:r w:rsidRPr="00157C6C">
        <w:rPr>
          <w:b/>
          <w:color w:val="000000"/>
        </w:rPr>
        <w:t xml:space="preserve">) – </w:t>
      </w:r>
      <w:r>
        <w:t>T</w:t>
      </w:r>
      <w:r w:rsidRPr="007E278B">
        <w:rPr>
          <w:color w:val="000000"/>
        </w:rPr>
        <w:t>his week’s Quality Tip involves best practices for rating mental conditions.</w:t>
      </w:r>
      <w:r>
        <w:t xml:space="preserve"> Please review the following rating scenarios and best practices for properly disposing of claims for service connection for various mental conditions. For all scenarios below, assume service connection is warranted and all development actions completed.</w:t>
      </w:r>
    </w:p>
    <w:p w:rsidR="009A4E94" w:rsidRPr="007E278B" w:rsidRDefault="009A4E94" w:rsidP="009A4E94">
      <w:pPr>
        <w:pStyle w:val="NormalWeb"/>
        <w:ind w:left="360"/>
        <w:rPr>
          <w:sz w:val="20"/>
          <w:szCs w:val="20"/>
        </w:rPr>
      </w:pPr>
      <w:r w:rsidRPr="007E278B">
        <w:rPr>
          <w:sz w:val="20"/>
          <w:szCs w:val="20"/>
          <w:u w:val="single"/>
        </w:rPr>
        <w:t xml:space="preserve">Example #1: </w:t>
      </w:r>
    </w:p>
    <w:p w:rsidR="009A4E94" w:rsidRPr="007E278B" w:rsidRDefault="009A4E94" w:rsidP="009A4E94">
      <w:pPr>
        <w:pStyle w:val="NormalWeb"/>
        <w:ind w:left="360"/>
        <w:rPr>
          <w:sz w:val="20"/>
          <w:szCs w:val="20"/>
        </w:rPr>
      </w:pPr>
      <w:r w:rsidRPr="007E278B">
        <w:rPr>
          <w:sz w:val="20"/>
          <w:szCs w:val="20"/>
        </w:rPr>
        <w:t>Veteran claimed service connection for PTSD, depression and anxiety.  VA exam diagnosed PTSD and checked boxes indicating symptoms of depressed mood and anxiety.</w:t>
      </w:r>
    </w:p>
    <w:p w:rsidR="009A4E94" w:rsidRPr="007E278B" w:rsidRDefault="009A4E94" w:rsidP="009A4E94">
      <w:pPr>
        <w:pStyle w:val="NormalWeb"/>
        <w:ind w:left="360"/>
        <w:rPr>
          <w:sz w:val="20"/>
          <w:szCs w:val="20"/>
        </w:rPr>
      </w:pPr>
      <w:r w:rsidRPr="007E278B">
        <w:rPr>
          <w:sz w:val="20"/>
          <w:szCs w:val="20"/>
        </w:rPr>
        <w:t>Best Practice:  Grant service connection for “PTSD (also claimed as/with depression and anxiety).” Do not deny depression and anxiety, as these are symptoms of PTSD.</w:t>
      </w:r>
    </w:p>
    <w:p w:rsidR="009A4E94" w:rsidRPr="007E278B" w:rsidRDefault="009A4E94" w:rsidP="009A4E94">
      <w:pPr>
        <w:pStyle w:val="NormalWeb"/>
        <w:ind w:left="360"/>
        <w:rPr>
          <w:sz w:val="20"/>
          <w:szCs w:val="20"/>
        </w:rPr>
      </w:pPr>
      <w:r w:rsidRPr="007E278B">
        <w:rPr>
          <w:sz w:val="20"/>
          <w:szCs w:val="20"/>
        </w:rPr>
        <w:t>Acceptable practice:  Grant service connection for PTSD while ensuring evaluation builder-generated texts reflects symptoms of depressed mood and anxiety.  [NOTE: Be sure to address all claimed contentions in one way or another.]</w:t>
      </w:r>
    </w:p>
    <w:p w:rsidR="009A4E94" w:rsidRPr="007E278B" w:rsidRDefault="009A4E94" w:rsidP="009A4E94">
      <w:pPr>
        <w:pStyle w:val="NormalWeb"/>
        <w:ind w:left="360"/>
        <w:rPr>
          <w:sz w:val="20"/>
          <w:szCs w:val="20"/>
        </w:rPr>
      </w:pPr>
      <w:r w:rsidRPr="007E278B">
        <w:rPr>
          <w:sz w:val="20"/>
          <w:szCs w:val="20"/>
          <w:u w:val="single"/>
        </w:rPr>
        <w:t>Example #2:</w:t>
      </w:r>
    </w:p>
    <w:p w:rsidR="009A4E94" w:rsidRPr="007E278B" w:rsidRDefault="009A4E94" w:rsidP="009A4E94">
      <w:pPr>
        <w:pStyle w:val="NormalWeb"/>
        <w:ind w:left="360"/>
        <w:rPr>
          <w:sz w:val="20"/>
          <w:szCs w:val="20"/>
        </w:rPr>
      </w:pPr>
      <w:r w:rsidRPr="007E278B">
        <w:rPr>
          <w:sz w:val="20"/>
          <w:szCs w:val="20"/>
        </w:rPr>
        <w:t>Veteran claimed service connection for PTSD, depression and anxiety.  VA exam diagnosed PTSD and</w:t>
      </w:r>
      <w:r w:rsidRPr="007E278B">
        <w:rPr>
          <w:b/>
          <w:bCs/>
          <w:i/>
          <w:iCs/>
          <w:sz w:val="20"/>
          <w:szCs w:val="20"/>
        </w:rPr>
        <w:t xml:space="preserve"> did not</w:t>
      </w:r>
      <w:r w:rsidRPr="007E278B">
        <w:rPr>
          <w:sz w:val="20"/>
          <w:szCs w:val="20"/>
        </w:rPr>
        <w:t xml:space="preserve"> check boxes for symptoms of depressed mood and anxiety.</w:t>
      </w:r>
    </w:p>
    <w:p w:rsidR="009A4E94" w:rsidRPr="007E278B" w:rsidRDefault="009A4E94" w:rsidP="009A4E94">
      <w:pPr>
        <w:pStyle w:val="NormalWeb"/>
        <w:ind w:left="360"/>
        <w:rPr>
          <w:sz w:val="20"/>
          <w:szCs w:val="20"/>
        </w:rPr>
      </w:pPr>
      <w:r w:rsidRPr="007E278B">
        <w:rPr>
          <w:sz w:val="20"/>
          <w:szCs w:val="20"/>
        </w:rPr>
        <w:t xml:space="preserve">Best Practice:  Grant service connection for PTSD and separately deny service connection for depression and anxiety citing reason of no diagnosis.  </w:t>
      </w:r>
    </w:p>
    <w:p w:rsidR="009A4E94" w:rsidRPr="007E278B" w:rsidRDefault="009A4E94" w:rsidP="009A4E94">
      <w:pPr>
        <w:pStyle w:val="NormalWeb"/>
        <w:ind w:left="360"/>
        <w:rPr>
          <w:sz w:val="20"/>
          <w:szCs w:val="20"/>
        </w:rPr>
      </w:pPr>
      <w:r w:rsidRPr="007E278B">
        <w:rPr>
          <w:sz w:val="20"/>
          <w:szCs w:val="20"/>
        </w:rPr>
        <w:t>NOTE: Be sure to address all claimed contentions in one way or another.</w:t>
      </w:r>
    </w:p>
    <w:p w:rsidR="009A4E94" w:rsidRPr="007E278B" w:rsidRDefault="009A4E94" w:rsidP="009A4E94">
      <w:pPr>
        <w:pStyle w:val="NormalWeb"/>
        <w:ind w:left="360"/>
        <w:rPr>
          <w:sz w:val="20"/>
          <w:szCs w:val="20"/>
        </w:rPr>
      </w:pPr>
      <w:r w:rsidRPr="007E278B">
        <w:rPr>
          <w:sz w:val="20"/>
          <w:szCs w:val="20"/>
          <w:u w:val="single"/>
        </w:rPr>
        <w:t>Example #3:</w:t>
      </w:r>
    </w:p>
    <w:p w:rsidR="009A4E94" w:rsidRPr="007E278B" w:rsidRDefault="009A4E94" w:rsidP="009A4E94">
      <w:pPr>
        <w:pStyle w:val="NormalWeb"/>
        <w:ind w:left="360"/>
        <w:rPr>
          <w:sz w:val="20"/>
          <w:szCs w:val="20"/>
        </w:rPr>
      </w:pPr>
      <w:r w:rsidRPr="007E278B">
        <w:rPr>
          <w:sz w:val="20"/>
          <w:szCs w:val="20"/>
        </w:rPr>
        <w:t>Veteran claimed service connection for PTSD, depression and anxiety.  VA exam diagnosed Major Depressive Disorder and checked boxes for symptoms of depressed mood and anxiety.</w:t>
      </w:r>
    </w:p>
    <w:p w:rsidR="009A4E94" w:rsidRPr="007E278B" w:rsidRDefault="009A4E94" w:rsidP="009A4E94">
      <w:pPr>
        <w:pStyle w:val="NormalWeb"/>
        <w:ind w:left="360"/>
        <w:rPr>
          <w:sz w:val="20"/>
          <w:szCs w:val="20"/>
        </w:rPr>
      </w:pPr>
      <w:r w:rsidRPr="003B01E5">
        <w:rPr>
          <w:sz w:val="20"/>
          <w:szCs w:val="20"/>
          <w:highlight w:val="red"/>
        </w:rPr>
        <w:t>Best Practice:  Grant service connection for “Major Depressive Disorder (also claimed as/with anxiety)”; and, separately deny service connection for PTSD.</w:t>
      </w:r>
    </w:p>
    <w:p w:rsidR="009A4E94" w:rsidRPr="007E278B" w:rsidRDefault="009A4E94" w:rsidP="009A4E94">
      <w:pPr>
        <w:pStyle w:val="NormalWeb"/>
        <w:ind w:left="360"/>
        <w:rPr>
          <w:sz w:val="20"/>
          <w:szCs w:val="20"/>
        </w:rPr>
      </w:pPr>
      <w:r w:rsidRPr="007E278B">
        <w:rPr>
          <w:sz w:val="20"/>
          <w:szCs w:val="20"/>
          <w:u w:val="single"/>
        </w:rPr>
        <w:t>Example #4:</w:t>
      </w:r>
    </w:p>
    <w:p w:rsidR="009A4E94" w:rsidRPr="007E278B" w:rsidRDefault="009A4E94" w:rsidP="009A4E94">
      <w:pPr>
        <w:pStyle w:val="NormalWeb"/>
        <w:ind w:left="360"/>
        <w:rPr>
          <w:sz w:val="20"/>
          <w:szCs w:val="20"/>
        </w:rPr>
      </w:pPr>
      <w:r w:rsidRPr="007E278B">
        <w:rPr>
          <w:sz w:val="20"/>
          <w:szCs w:val="20"/>
        </w:rPr>
        <w:t>Veteran claimed service connection for PTSD, depression and anxiety.  VA exam revealed no diagnosis.</w:t>
      </w:r>
    </w:p>
    <w:p w:rsidR="009A4E94" w:rsidRPr="007E278B" w:rsidRDefault="009A4E94" w:rsidP="009A4E94">
      <w:pPr>
        <w:pStyle w:val="NormalWeb"/>
        <w:ind w:left="360"/>
        <w:rPr>
          <w:sz w:val="20"/>
          <w:szCs w:val="20"/>
        </w:rPr>
      </w:pPr>
      <w:r w:rsidRPr="007E278B">
        <w:rPr>
          <w:sz w:val="20"/>
          <w:szCs w:val="20"/>
        </w:rPr>
        <w:t>Best Practice:  Separately deny service connection for PTSD, depression and anxiety.</w:t>
      </w:r>
    </w:p>
    <w:p w:rsidR="009A4E94" w:rsidRPr="007E278B" w:rsidRDefault="009A4E94" w:rsidP="009A4E94">
      <w:pPr>
        <w:pStyle w:val="NormalWeb"/>
        <w:ind w:left="360"/>
        <w:rPr>
          <w:sz w:val="20"/>
          <w:szCs w:val="20"/>
        </w:rPr>
      </w:pPr>
      <w:r w:rsidRPr="007E278B">
        <w:rPr>
          <w:sz w:val="20"/>
          <w:szCs w:val="20"/>
        </w:rPr>
        <w:t>Acceptable practice: Deny them all as a single decision.</w:t>
      </w:r>
    </w:p>
    <w:p w:rsidR="009A4E94" w:rsidRPr="007E278B" w:rsidRDefault="009A4E94" w:rsidP="009A4E94">
      <w:pPr>
        <w:pStyle w:val="NormalWeb"/>
        <w:ind w:left="360"/>
        <w:rPr>
          <w:sz w:val="20"/>
          <w:szCs w:val="20"/>
        </w:rPr>
      </w:pPr>
      <w:r w:rsidRPr="007E278B">
        <w:rPr>
          <w:sz w:val="20"/>
          <w:szCs w:val="20"/>
        </w:rPr>
        <w:t>NOTE: Be sure to address all claim contentions in one way or another.</w:t>
      </w:r>
    </w:p>
    <w:p w:rsidR="009A4E94" w:rsidRPr="007E278B" w:rsidRDefault="009A4E94" w:rsidP="009A4E94">
      <w:pPr>
        <w:pStyle w:val="NormalWeb"/>
        <w:ind w:left="360"/>
        <w:rPr>
          <w:sz w:val="20"/>
          <w:szCs w:val="20"/>
        </w:rPr>
      </w:pPr>
      <w:r w:rsidRPr="007E278B">
        <w:rPr>
          <w:b/>
          <w:bCs/>
          <w:sz w:val="20"/>
          <w:szCs w:val="20"/>
        </w:rPr>
        <w:t>TAKE AWAY NOTE:</w:t>
      </w:r>
      <w:r w:rsidRPr="007E278B">
        <w:rPr>
          <w:sz w:val="20"/>
          <w:szCs w:val="20"/>
        </w:rPr>
        <w:t xml:space="preserve">  Ensure that all claimed contentions are reflected in the Rating Decision.  If claimed contentions are attributed to the service-connected Axis I diagnosis as symptoms, separate denials of service connection are improper as the symptoms are, in effect, service-connected. </w:t>
      </w:r>
    </w:p>
    <w:p w:rsidR="009A4E94" w:rsidRPr="007E278B" w:rsidRDefault="009A4E94" w:rsidP="00964D52">
      <w:pPr>
        <w:pStyle w:val="NormalWeb"/>
        <w:spacing w:after="0"/>
        <w:ind w:left="360"/>
        <w:rPr>
          <w:sz w:val="20"/>
          <w:szCs w:val="20"/>
        </w:rPr>
      </w:pPr>
      <w:r w:rsidRPr="007E278B">
        <w:rPr>
          <w:b/>
          <w:bCs/>
          <w:i/>
          <w:iCs/>
          <w:sz w:val="20"/>
          <w:szCs w:val="20"/>
          <w:u w:val="single"/>
        </w:rPr>
        <w:t xml:space="preserve">References: </w:t>
      </w:r>
    </w:p>
    <w:p w:rsidR="009A4E94" w:rsidRPr="007E278B" w:rsidRDefault="009A4E94" w:rsidP="00964D52">
      <w:pPr>
        <w:pStyle w:val="NormalWeb"/>
        <w:spacing w:after="0"/>
        <w:ind w:left="360"/>
        <w:rPr>
          <w:sz w:val="20"/>
          <w:szCs w:val="20"/>
        </w:rPr>
      </w:pPr>
      <w:r w:rsidRPr="007E278B">
        <w:rPr>
          <w:sz w:val="20"/>
          <w:szCs w:val="20"/>
        </w:rPr>
        <w:t>March 2015 Quality Call Notes</w:t>
      </w:r>
    </w:p>
    <w:p w:rsidR="009A4E94" w:rsidRDefault="009A4E94" w:rsidP="009A4E94">
      <w:pPr>
        <w:pStyle w:val="NormalWeb"/>
        <w:ind w:left="360"/>
        <w:rPr>
          <w:sz w:val="20"/>
          <w:szCs w:val="20"/>
        </w:rPr>
      </w:pPr>
      <w:r w:rsidRPr="007E278B">
        <w:rPr>
          <w:sz w:val="20"/>
          <w:szCs w:val="20"/>
        </w:rPr>
        <w:t>38 CFR 3.304(f)</w:t>
      </w:r>
    </w:p>
    <w:p w:rsidR="00964D52" w:rsidRPr="00017884" w:rsidRDefault="00964D52" w:rsidP="00964D52">
      <w:pPr>
        <w:widowControl w:val="0"/>
        <w:spacing w:after="120"/>
        <w:ind w:left="360"/>
        <w:rPr>
          <w:i/>
          <w:color w:val="00B050"/>
        </w:rPr>
      </w:pPr>
      <w:r w:rsidRPr="00017884">
        <w:rPr>
          <w:i/>
          <w:color w:val="00B050"/>
        </w:rPr>
        <w:t xml:space="preserve">My Notes (thoughts):  </w:t>
      </w:r>
    </w:p>
    <w:p w:rsidR="00964D52" w:rsidRDefault="00964D52" w:rsidP="00964D52">
      <w:pPr>
        <w:widowControl w:val="0"/>
        <w:spacing w:after="120"/>
        <w:ind w:left="720"/>
        <w:rPr>
          <w:i/>
        </w:rPr>
      </w:pPr>
      <w:r w:rsidRPr="00F279D3">
        <w:rPr>
          <w:i/>
        </w:rPr>
        <w:t xml:space="preserve">A veteran claims PTSD, anxiety </w:t>
      </w:r>
      <w:r>
        <w:rPr>
          <w:i/>
        </w:rPr>
        <w:t xml:space="preserve">&amp; </w:t>
      </w:r>
      <w:r w:rsidRPr="00F279D3">
        <w:rPr>
          <w:i/>
        </w:rPr>
        <w:t xml:space="preserve">depression; PTSD is the only diagnosis </w:t>
      </w:r>
      <w:r>
        <w:rPr>
          <w:i/>
        </w:rPr>
        <w:t xml:space="preserve">&amp; service-connectable disability but </w:t>
      </w:r>
      <w:r w:rsidRPr="00F279D3">
        <w:rPr>
          <w:i/>
        </w:rPr>
        <w:t>sympto</w:t>
      </w:r>
      <w:r>
        <w:rPr>
          <w:i/>
        </w:rPr>
        <w:t>ms include anxiety &amp; depression. G</w:t>
      </w:r>
      <w:r w:rsidRPr="00F279D3">
        <w:rPr>
          <w:i/>
        </w:rPr>
        <w:t>ran</w:t>
      </w:r>
      <w:r>
        <w:rPr>
          <w:i/>
        </w:rPr>
        <w:t>t PTSD &amp; add</w:t>
      </w:r>
      <w:r w:rsidRPr="00F279D3">
        <w:rPr>
          <w:i/>
        </w:rPr>
        <w:t xml:space="preserve"> “(also claimed as anxiety and depression)</w:t>
      </w:r>
      <w:r>
        <w:rPr>
          <w:i/>
        </w:rPr>
        <w:t xml:space="preserve">” to the decision line. Correct per </w:t>
      </w:r>
      <w:r w:rsidRPr="00157C6C">
        <w:rPr>
          <w:b/>
          <w:color w:val="000000"/>
          <w:u w:val="single"/>
        </w:rPr>
        <w:t>Weekly Q</w:t>
      </w:r>
      <w:r>
        <w:rPr>
          <w:b/>
          <w:color w:val="000000"/>
          <w:u w:val="single"/>
        </w:rPr>
        <w:t>-</w:t>
      </w:r>
      <w:r w:rsidRPr="00157C6C">
        <w:rPr>
          <w:b/>
          <w:color w:val="000000"/>
          <w:u w:val="single"/>
        </w:rPr>
        <w:t>Tip</w:t>
      </w:r>
      <w:r>
        <w:rPr>
          <w:b/>
          <w:color w:val="000000"/>
        </w:rPr>
        <w:t xml:space="preserve"> (6/12</w:t>
      </w:r>
      <w:r w:rsidRPr="00157C6C">
        <w:rPr>
          <w:b/>
          <w:color w:val="000000"/>
        </w:rPr>
        <w:t>/1</w:t>
      </w:r>
      <w:r>
        <w:rPr>
          <w:b/>
          <w:color w:val="000000"/>
        </w:rPr>
        <w:t>5)</w:t>
      </w:r>
      <w:r>
        <w:rPr>
          <w:i/>
        </w:rPr>
        <w:t xml:space="preserve">. </w:t>
      </w:r>
    </w:p>
    <w:p w:rsidR="00964D52" w:rsidRDefault="00964D52" w:rsidP="00964D52">
      <w:pPr>
        <w:widowControl w:val="0"/>
        <w:spacing w:after="120"/>
        <w:ind w:left="720"/>
        <w:rPr>
          <w:b/>
          <w:color w:val="000000"/>
        </w:rPr>
      </w:pPr>
      <w:r w:rsidRPr="00F279D3">
        <w:rPr>
          <w:i/>
        </w:rPr>
        <w:t xml:space="preserve">A veteran claims PTSD, anxiety and depression; PTSD is the only diagnosis </w:t>
      </w:r>
      <w:r>
        <w:rPr>
          <w:i/>
        </w:rPr>
        <w:t xml:space="preserve">&amp; service-connectable disability &amp;  </w:t>
      </w:r>
      <w:r w:rsidRPr="00F279D3">
        <w:rPr>
          <w:i/>
        </w:rPr>
        <w:t>symptoms</w:t>
      </w:r>
      <w:r>
        <w:rPr>
          <w:i/>
        </w:rPr>
        <w:t xml:space="preserve"> DO NOT</w:t>
      </w:r>
      <w:r w:rsidRPr="00F279D3">
        <w:rPr>
          <w:i/>
        </w:rPr>
        <w:t xml:space="preserve"> include a</w:t>
      </w:r>
      <w:r>
        <w:rPr>
          <w:i/>
        </w:rPr>
        <w:t xml:space="preserve">nxiety &amp; depression. Grant PTSD; deny anxiety &amp; depression SEPARATELY for no diagnosis. Ref:  </w:t>
      </w:r>
      <w:r w:rsidRPr="00157C6C">
        <w:rPr>
          <w:b/>
          <w:color w:val="000000"/>
          <w:u w:val="single"/>
        </w:rPr>
        <w:t>Weekly Q</w:t>
      </w:r>
      <w:r>
        <w:rPr>
          <w:b/>
          <w:color w:val="000000"/>
          <w:u w:val="single"/>
        </w:rPr>
        <w:t>-</w:t>
      </w:r>
      <w:r w:rsidRPr="00157C6C">
        <w:rPr>
          <w:b/>
          <w:color w:val="000000"/>
          <w:u w:val="single"/>
        </w:rPr>
        <w:t>Tip</w:t>
      </w:r>
      <w:r>
        <w:rPr>
          <w:b/>
          <w:color w:val="000000"/>
        </w:rPr>
        <w:t xml:space="preserve"> (6/12</w:t>
      </w:r>
      <w:r w:rsidRPr="00157C6C">
        <w:rPr>
          <w:b/>
          <w:color w:val="000000"/>
        </w:rPr>
        <w:t>/1</w:t>
      </w:r>
      <w:r>
        <w:rPr>
          <w:b/>
          <w:color w:val="000000"/>
        </w:rPr>
        <w:t>5)</w:t>
      </w:r>
    </w:p>
    <w:p w:rsidR="00964D52" w:rsidRPr="00964D52" w:rsidRDefault="00964D52" w:rsidP="00964D52">
      <w:pPr>
        <w:widowControl w:val="0"/>
        <w:spacing w:after="120"/>
        <w:ind w:left="720"/>
        <w:rPr>
          <w:color w:val="000000"/>
        </w:rPr>
      </w:pPr>
      <w:r w:rsidRPr="00F279D3">
        <w:rPr>
          <w:i/>
        </w:rPr>
        <w:t xml:space="preserve">A veteran claims PTSD, anxiety and depression; </w:t>
      </w:r>
      <w:r>
        <w:rPr>
          <w:i/>
        </w:rPr>
        <w:t>MDD is diagnosed &amp; service-connectable w/</w:t>
      </w:r>
      <w:r w:rsidRPr="00F279D3">
        <w:rPr>
          <w:i/>
        </w:rPr>
        <w:t>symptoms</w:t>
      </w:r>
      <w:r>
        <w:rPr>
          <w:i/>
        </w:rPr>
        <w:t xml:space="preserve"> of</w:t>
      </w:r>
      <w:r w:rsidRPr="00F279D3">
        <w:rPr>
          <w:i/>
        </w:rPr>
        <w:t xml:space="preserve"> a</w:t>
      </w:r>
      <w:r>
        <w:rPr>
          <w:i/>
        </w:rPr>
        <w:t xml:space="preserve">nxiety &amp; depression. Grant MDD </w:t>
      </w:r>
      <w:r w:rsidRPr="00F279D3">
        <w:rPr>
          <w:i/>
        </w:rPr>
        <w:t>&amp; do “(also claimed as anxiety and depression)”</w:t>
      </w:r>
      <w:r>
        <w:rPr>
          <w:i/>
        </w:rPr>
        <w:t xml:space="preserve">; deny PTSD SEPARATELY for no diagnosis. Ref:  </w:t>
      </w:r>
      <w:r w:rsidRPr="00157C6C">
        <w:rPr>
          <w:b/>
          <w:color w:val="000000"/>
          <w:u w:val="single"/>
        </w:rPr>
        <w:t>Weekly Q</w:t>
      </w:r>
      <w:r>
        <w:rPr>
          <w:b/>
          <w:color w:val="000000"/>
          <w:u w:val="single"/>
        </w:rPr>
        <w:t>-</w:t>
      </w:r>
      <w:r w:rsidRPr="00157C6C">
        <w:rPr>
          <w:b/>
          <w:color w:val="000000"/>
          <w:u w:val="single"/>
        </w:rPr>
        <w:t>Tip</w:t>
      </w:r>
      <w:r>
        <w:rPr>
          <w:b/>
          <w:color w:val="000000"/>
        </w:rPr>
        <w:t xml:space="preserve"> (6/12</w:t>
      </w:r>
      <w:r w:rsidRPr="00157C6C">
        <w:rPr>
          <w:b/>
          <w:color w:val="000000"/>
        </w:rPr>
        <w:t>/1</w:t>
      </w:r>
      <w:r>
        <w:rPr>
          <w:b/>
          <w:color w:val="000000"/>
        </w:rPr>
        <w:t>5)</w:t>
      </w:r>
      <w:r>
        <w:rPr>
          <w:color w:val="000000"/>
        </w:rPr>
        <w:t xml:space="preserve"> </w:t>
      </w:r>
      <w:r w:rsidRPr="00964D52">
        <w:rPr>
          <w:b/>
          <w:i/>
          <w:color w:val="000000"/>
          <w:u w:val="single"/>
        </w:rPr>
        <w:t>OR</w:t>
      </w:r>
      <w:r w:rsidRPr="00964D52">
        <w:rPr>
          <w:i/>
          <w:color w:val="000000"/>
        </w:rPr>
        <w:t>,</w:t>
      </w:r>
      <w:r>
        <w:rPr>
          <w:color w:val="000000"/>
        </w:rPr>
        <w:t xml:space="preserve"> </w:t>
      </w:r>
      <w:r w:rsidRPr="00B20AF6">
        <w:rPr>
          <w:i/>
        </w:rPr>
        <w:t>address</w:t>
      </w:r>
      <w:r>
        <w:rPr>
          <w:i/>
        </w:rPr>
        <w:t xml:space="preserve"> PTSD in t</w:t>
      </w:r>
      <w:r w:rsidRPr="00B20AF6">
        <w:rPr>
          <w:i/>
        </w:rPr>
        <w:t xml:space="preserve">he </w:t>
      </w:r>
      <w:r>
        <w:rPr>
          <w:i/>
        </w:rPr>
        <w:t>MDD</w:t>
      </w:r>
      <w:r w:rsidRPr="00B20AF6">
        <w:rPr>
          <w:i/>
        </w:rPr>
        <w:t xml:space="preserve"> issue</w:t>
      </w:r>
      <w:r>
        <w:rPr>
          <w:i/>
        </w:rPr>
        <w:t xml:space="preserve"> narrative</w:t>
      </w:r>
      <w:r w:rsidRPr="00B20AF6">
        <w:rPr>
          <w:i/>
        </w:rPr>
        <w:t>, indicating that it cannot be granted.</w:t>
      </w:r>
      <w:r>
        <w:rPr>
          <w:i/>
        </w:rPr>
        <w:t xml:space="preserve"> It is not an error to deny it separately, but addressing it within the MDD issue </w:t>
      </w:r>
      <w:r w:rsidRPr="00964D52">
        <w:rPr>
          <w:i/>
          <w:u w:val="single"/>
        </w:rPr>
        <w:t>is most appropriate</w:t>
      </w:r>
      <w:r>
        <w:rPr>
          <w:i/>
        </w:rPr>
        <w:t>.</w:t>
      </w:r>
    </w:p>
    <w:p w:rsidR="00964D52" w:rsidRDefault="00964D52" w:rsidP="00964D52">
      <w:pPr>
        <w:widowControl w:val="0"/>
        <w:spacing w:after="120"/>
        <w:ind w:left="720"/>
        <w:rPr>
          <w:i/>
        </w:rPr>
      </w:pPr>
      <w:r w:rsidRPr="00F279D3">
        <w:rPr>
          <w:i/>
        </w:rPr>
        <w:t xml:space="preserve">A veteran claims PTSD, anxiety and depression; </w:t>
      </w:r>
      <w:r>
        <w:rPr>
          <w:i/>
        </w:rPr>
        <w:t xml:space="preserve">no mental disability is diagnosed. Deny PTSD, anxiety &amp; depression SEPARATELY for no diagnosis. Correct per </w:t>
      </w:r>
      <w:r w:rsidRPr="00157C6C">
        <w:rPr>
          <w:b/>
          <w:color w:val="000000"/>
          <w:u w:val="single"/>
        </w:rPr>
        <w:t>Weekly Q</w:t>
      </w:r>
      <w:r>
        <w:rPr>
          <w:b/>
          <w:color w:val="000000"/>
          <w:u w:val="single"/>
        </w:rPr>
        <w:t>-</w:t>
      </w:r>
      <w:r w:rsidRPr="00157C6C">
        <w:rPr>
          <w:b/>
          <w:color w:val="000000"/>
          <w:u w:val="single"/>
        </w:rPr>
        <w:t>Tip</w:t>
      </w:r>
      <w:r>
        <w:rPr>
          <w:b/>
          <w:color w:val="000000"/>
        </w:rPr>
        <w:t xml:space="preserve"> (6/12</w:t>
      </w:r>
      <w:r w:rsidRPr="00157C6C">
        <w:rPr>
          <w:b/>
          <w:color w:val="000000"/>
        </w:rPr>
        <w:t>/1</w:t>
      </w:r>
      <w:r>
        <w:rPr>
          <w:b/>
          <w:color w:val="000000"/>
        </w:rPr>
        <w:t>5)</w:t>
      </w:r>
      <w:r>
        <w:rPr>
          <w:i/>
        </w:rPr>
        <w:t xml:space="preserve">. </w:t>
      </w:r>
    </w:p>
    <w:p w:rsidR="00964D52" w:rsidRDefault="00964D52" w:rsidP="00964D52">
      <w:pPr>
        <w:widowControl w:val="0"/>
        <w:spacing w:after="120"/>
        <w:ind w:left="720"/>
        <w:rPr>
          <w:i/>
        </w:rPr>
      </w:pPr>
      <w:r>
        <w:rPr>
          <w:i/>
        </w:rPr>
        <w:t xml:space="preserve">A </w:t>
      </w:r>
      <w:r w:rsidRPr="00F279D3">
        <w:rPr>
          <w:i/>
        </w:rPr>
        <w:t xml:space="preserve">veteran claims PTSD &amp; bipolar disorder; PTSD is the only diagnosis &amp; service-connectable disability; grant PTSD &amp; deny bipolar disorder </w:t>
      </w:r>
      <w:r>
        <w:rPr>
          <w:i/>
        </w:rPr>
        <w:t>SEPARATELY (</w:t>
      </w:r>
      <w:r w:rsidRPr="00F279D3">
        <w:rPr>
          <w:i/>
        </w:rPr>
        <w:t xml:space="preserve">since </w:t>
      </w:r>
      <w:r>
        <w:rPr>
          <w:i/>
        </w:rPr>
        <w:t>bipolar disorder is a disability &amp; cannot be interpreted as merely symptoms of the SC disability</w:t>
      </w:r>
      <w:r w:rsidRPr="00F279D3">
        <w:rPr>
          <w:i/>
        </w:rPr>
        <w:t>)</w:t>
      </w:r>
      <w:r>
        <w:rPr>
          <w:i/>
        </w:rPr>
        <w:t>.</w:t>
      </w:r>
    </w:p>
    <w:p w:rsidR="00964D52" w:rsidRPr="007E278B" w:rsidRDefault="00964D52" w:rsidP="00964D52">
      <w:pPr>
        <w:widowControl w:val="0"/>
        <w:pBdr>
          <w:top w:val="single" w:sz="4" w:space="1" w:color="auto"/>
          <w:left w:val="single" w:sz="4" w:space="4" w:color="auto"/>
          <w:bottom w:val="single" w:sz="4" w:space="1" w:color="auto"/>
          <w:right w:val="single" w:sz="4" w:space="4" w:color="auto"/>
        </w:pBdr>
        <w:spacing w:after="120"/>
        <w:ind w:left="720"/>
      </w:pPr>
      <w:r w:rsidRPr="00985172">
        <w:t xml:space="preserve">Rating Note:  Bipolar disorder was separately denied since it is a diagnosable disability &amp; cannot be interpreted as </w:t>
      </w:r>
      <w:r>
        <w:t xml:space="preserve">a </w:t>
      </w:r>
      <w:r w:rsidRPr="00985172">
        <w:t xml:space="preserve">symptom of the SC </w:t>
      </w:r>
      <w:r>
        <w:t>PTSD/</w:t>
      </w:r>
      <w:r w:rsidRPr="00985172">
        <w:t>mental disability</w:t>
      </w:r>
      <w:r>
        <w:t>.</w:t>
      </w:r>
    </w:p>
    <w:p w:rsidR="00800535" w:rsidRDefault="00800535" w:rsidP="000D03D8">
      <w:pPr>
        <w:pStyle w:val="ListParagraph"/>
        <w:widowControl w:val="0"/>
        <w:numPr>
          <w:ilvl w:val="0"/>
          <w:numId w:val="81"/>
        </w:numPr>
        <w:tabs>
          <w:tab w:val="clear" w:pos="720"/>
          <w:tab w:val="num" w:pos="360"/>
        </w:tabs>
        <w:spacing w:after="120"/>
        <w:ind w:left="360"/>
      </w:pPr>
      <w:r w:rsidRPr="00800535">
        <w:rPr>
          <w:rFonts w:ascii="Verdana" w:hAnsi="Verdana"/>
          <w:b/>
          <w:bCs/>
          <w:color w:val="000000"/>
          <w:sz w:val="18"/>
          <w:szCs w:val="18"/>
        </w:rPr>
        <w:t>Mental Disorders, Initial PTSD and Review PTSD DBQs Revised</w:t>
      </w:r>
      <w:r w:rsidRPr="00800535">
        <w:rPr>
          <w:rFonts w:ascii="Verdana" w:hAnsi="Verdana"/>
          <w:color w:val="000000"/>
          <w:sz w:val="18"/>
          <w:szCs w:val="18"/>
        </w:rPr>
        <w:t xml:space="preserve"> </w:t>
      </w:r>
      <w:r w:rsidRPr="00800535">
        <w:rPr>
          <w:rFonts w:ascii="Verdana" w:hAnsi="Verdana"/>
          <w:i/>
          <w:iCs/>
          <w:color w:val="000000"/>
          <w:sz w:val="18"/>
          <w:szCs w:val="18"/>
        </w:rPr>
        <w:t>(5/24/2018)</w:t>
      </w:r>
      <w:r w:rsidRPr="00800535">
        <w:rPr>
          <w:rFonts w:ascii="Verdana" w:hAnsi="Verdana"/>
          <w:color w:val="000000"/>
          <w:sz w:val="18"/>
          <w:szCs w:val="18"/>
        </w:rPr>
        <w:t xml:space="preserve"> On May 24, 2018, three revised Disability Benefits Questionnaires (DBQs) were released to VHA Facilities and VBA Contract Vendors. The Initial PTSD, Review PTSD, and Mental Disorders DBQs required examiners to differentiate the portion of occupational and social impairment attributable to each diagnosis when more than one mental disorder is diagnosed or when TBI is also diagnosed, and also to differentiate the portion of symptoms attributable to each diagnosis when more than one mental disorder is diagnosed or when TBI is also diagnosed. The term “portion” was having the unintended result of C&amp;P examiners providing percentages and it has been noted that some exam requests are specifically requiring examiners to provide a percentage in response to those questions. Accordingly, the affected questions in these DBQs were re-worded (and the word portion was removed). On the Mental Disorders DBQ, the changes affect 2b and 2d, 3b and 3c. On the Initial PTSD and the PTSD Review DBQs, the changes affect 3b and 3d and 4b and 4c. </w:t>
      </w:r>
      <w:r w:rsidRPr="00800535">
        <w:rPr>
          <w:rFonts w:ascii="Verdana" w:hAnsi="Verdana"/>
          <w:color w:val="000000"/>
          <w:sz w:val="18"/>
          <w:szCs w:val="18"/>
        </w:rPr>
        <w:br/>
      </w:r>
      <w:r w:rsidRPr="00800535">
        <w:rPr>
          <w:rFonts w:ascii="Verdana" w:hAnsi="Verdana"/>
          <w:color w:val="000000"/>
          <w:sz w:val="18"/>
          <w:szCs w:val="18"/>
        </w:rPr>
        <w:br/>
        <w:t>Also, in the Initial PTSD DBQ, the following note was added to Section 2, Part 2. HISTORY as follows:</w:t>
      </w:r>
      <w:r w:rsidRPr="00800535">
        <w:rPr>
          <w:rFonts w:ascii="Verdana" w:hAnsi="Verdana"/>
          <w:color w:val="000000"/>
          <w:sz w:val="18"/>
          <w:szCs w:val="18"/>
        </w:rPr>
        <w:br/>
      </w:r>
      <w:r w:rsidRPr="00800535">
        <w:rPr>
          <w:rFonts w:ascii="Verdana" w:hAnsi="Verdana"/>
          <w:color w:val="000000"/>
          <w:sz w:val="18"/>
          <w:szCs w:val="18"/>
        </w:rPr>
        <w:br/>
        <w:t>NOTE: Initial examinations require pre-military, military, and post-military history. If this is a review examination, only indicate any relevant history since prior exam.</w:t>
      </w:r>
      <w:r>
        <w:t xml:space="preserve"> </w:t>
      </w:r>
    </w:p>
    <w:p w:rsidR="001624D0" w:rsidRDefault="001624D0" w:rsidP="001624D0">
      <w:pPr>
        <w:widowControl w:val="0"/>
        <w:tabs>
          <w:tab w:val="left" w:pos="270"/>
          <w:tab w:val="num" w:pos="360"/>
        </w:tabs>
        <w:spacing w:after="120"/>
        <w:ind w:left="360"/>
      </w:pPr>
      <w:r>
        <w:rPr>
          <w:noProof/>
        </w:rPr>
        <w:drawing>
          <wp:inline distT="0" distB="0" distL="0" distR="0" wp14:anchorId="1F063275" wp14:editId="0750ADDB">
            <wp:extent cx="6858000" cy="1580515"/>
            <wp:effectExtent l="0" t="0" r="0" b="635"/>
            <wp:docPr id="24689" name="Picture 24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7"/>
                    <a:stretch>
                      <a:fillRect/>
                    </a:stretch>
                  </pic:blipFill>
                  <pic:spPr>
                    <a:xfrm>
                      <a:off x="0" y="0"/>
                      <a:ext cx="6858000" cy="1580515"/>
                    </a:xfrm>
                    <a:prstGeom prst="rect">
                      <a:avLst/>
                    </a:prstGeom>
                  </pic:spPr>
                </pic:pic>
              </a:graphicData>
            </a:graphic>
          </wp:inline>
        </w:drawing>
      </w:r>
    </w:p>
    <w:p w:rsidR="001624D0" w:rsidRDefault="001624D0" w:rsidP="001624D0">
      <w:pPr>
        <w:widowControl w:val="0"/>
        <w:tabs>
          <w:tab w:val="left" w:pos="270"/>
          <w:tab w:val="num" w:pos="360"/>
        </w:tabs>
        <w:spacing w:after="120"/>
        <w:ind w:left="360"/>
      </w:pPr>
      <w:r>
        <w:rPr>
          <w:noProof/>
        </w:rPr>
        <w:drawing>
          <wp:inline distT="0" distB="0" distL="0" distR="0" wp14:anchorId="3B39AA84" wp14:editId="4AEEB3DB">
            <wp:extent cx="6858000" cy="1288415"/>
            <wp:effectExtent l="0" t="0" r="0" b="6985"/>
            <wp:docPr id="24691" name="Picture 24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8"/>
                    <a:stretch>
                      <a:fillRect/>
                    </a:stretch>
                  </pic:blipFill>
                  <pic:spPr>
                    <a:xfrm>
                      <a:off x="0" y="0"/>
                      <a:ext cx="6858000" cy="1288415"/>
                    </a:xfrm>
                    <a:prstGeom prst="rect">
                      <a:avLst/>
                    </a:prstGeom>
                  </pic:spPr>
                </pic:pic>
              </a:graphicData>
            </a:graphic>
          </wp:inline>
        </w:drawing>
      </w:r>
    </w:p>
    <w:p w:rsidR="001624D0" w:rsidRDefault="001624D0" w:rsidP="001624D0">
      <w:pPr>
        <w:widowControl w:val="0"/>
        <w:tabs>
          <w:tab w:val="left" w:pos="270"/>
          <w:tab w:val="num" w:pos="360"/>
        </w:tabs>
        <w:spacing w:after="120"/>
        <w:ind w:left="360"/>
      </w:pPr>
      <w:r>
        <w:rPr>
          <w:noProof/>
        </w:rPr>
        <w:drawing>
          <wp:inline distT="0" distB="0" distL="0" distR="0" wp14:anchorId="560AC2CA" wp14:editId="0619C35C">
            <wp:extent cx="6858000" cy="1376680"/>
            <wp:effectExtent l="0" t="0" r="0" b="0"/>
            <wp:docPr id="24692" name="Picture 24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9"/>
                    <a:stretch>
                      <a:fillRect/>
                    </a:stretch>
                  </pic:blipFill>
                  <pic:spPr>
                    <a:xfrm>
                      <a:off x="0" y="0"/>
                      <a:ext cx="6858000" cy="1376680"/>
                    </a:xfrm>
                    <a:prstGeom prst="rect">
                      <a:avLst/>
                    </a:prstGeom>
                  </pic:spPr>
                </pic:pic>
              </a:graphicData>
            </a:graphic>
          </wp:inline>
        </w:drawing>
      </w:r>
    </w:p>
    <w:p w:rsidR="001624D0" w:rsidRDefault="001624D0" w:rsidP="001624D0">
      <w:pPr>
        <w:widowControl w:val="0"/>
        <w:tabs>
          <w:tab w:val="left" w:pos="270"/>
          <w:tab w:val="num" w:pos="360"/>
        </w:tabs>
        <w:spacing w:after="120"/>
        <w:ind w:left="360"/>
      </w:pPr>
      <w:r>
        <w:rPr>
          <w:noProof/>
        </w:rPr>
        <w:drawing>
          <wp:inline distT="0" distB="0" distL="0" distR="0" wp14:anchorId="1DC2F11B" wp14:editId="49144F0C">
            <wp:extent cx="6858000" cy="1228090"/>
            <wp:effectExtent l="0" t="0" r="0" b="0"/>
            <wp:docPr id="24693" name="Picture 2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0"/>
                    <a:stretch>
                      <a:fillRect/>
                    </a:stretch>
                  </pic:blipFill>
                  <pic:spPr>
                    <a:xfrm>
                      <a:off x="0" y="0"/>
                      <a:ext cx="6858000" cy="1228090"/>
                    </a:xfrm>
                    <a:prstGeom prst="rect">
                      <a:avLst/>
                    </a:prstGeom>
                  </pic:spPr>
                </pic:pic>
              </a:graphicData>
            </a:graphic>
          </wp:inline>
        </w:drawing>
      </w:r>
    </w:p>
    <w:p w:rsidR="00800535" w:rsidRDefault="00800535" w:rsidP="000D03D8">
      <w:pPr>
        <w:pStyle w:val="ListParagraph"/>
        <w:widowControl w:val="0"/>
        <w:numPr>
          <w:ilvl w:val="0"/>
          <w:numId w:val="81"/>
        </w:numPr>
        <w:tabs>
          <w:tab w:val="clear" w:pos="720"/>
          <w:tab w:val="num" w:pos="360"/>
        </w:tabs>
        <w:spacing w:after="120"/>
        <w:ind w:left="360"/>
      </w:pPr>
      <w:r>
        <w:rPr>
          <w:rFonts w:ascii="Verdana" w:hAnsi="Verdana"/>
          <w:b/>
          <w:bCs/>
          <w:color w:val="000000"/>
          <w:sz w:val="18"/>
          <w:szCs w:val="18"/>
        </w:rPr>
        <w:t>…</w:t>
      </w:r>
    </w:p>
    <w:p w:rsidR="00013EB8" w:rsidRDefault="00013EB8">
      <w:pPr>
        <w:pStyle w:val="Footer"/>
        <w:widowControl w:val="0"/>
        <w:pBdr>
          <w:top w:val="single" w:sz="4" w:space="1" w:color="auto"/>
        </w:pBdr>
        <w:tabs>
          <w:tab w:val="clear" w:pos="4320"/>
          <w:tab w:val="clear" w:pos="8640"/>
        </w:tabs>
      </w:pPr>
    </w:p>
    <w:p w:rsidR="00013EB8" w:rsidRDefault="00013EB8">
      <w:pPr>
        <w:pStyle w:val="Heading1"/>
        <w:keepNext w:val="0"/>
        <w:widowControl w:val="0"/>
        <w:numPr>
          <w:ilvl w:val="12"/>
          <w:numId w:val="0"/>
        </w:numPr>
        <w:rPr>
          <w:i w:val="0"/>
          <w:iCs w:val="0"/>
          <w:color w:val="FF0000"/>
          <w:sz w:val="20"/>
        </w:rPr>
      </w:pPr>
      <w:r>
        <w:rPr>
          <w:b/>
          <w:bCs/>
          <w:i w:val="0"/>
          <w:iCs w:val="0"/>
          <w:color w:val="FF0000"/>
          <w:sz w:val="20"/>
        </w:rPr>
        <w:t>SCHIZOPHRENIA AND OTHER PSYCHOTIC DISORDERS</w:t>
      </w:r>
      <w:r>
        <w:rPr>
          <w:i w:val="0"/>
          <w:iCs w:val="0"/>
          <w:color w:val="FF0000"/>
          <w:sz w:val="20"/>
        </w:rPr>
        <w:t xml:space="preserve"> </w:t>
      </w:r>
      <w:r>
        <w:rPr>
          <w:i w:val="0"/>
          <w:iCs w:val="0"/>
          <w:sz w:val="20"/>
        </w:rPr>
        <w:t>–</w:t>
      </w:r>
      <w:r>
        <w:rPr>
          <w:i w:val="0"/>
          <w:iCs w:val="0"/>
          <w:color w:val="FF0000"/>
          <w:sz w:val="20"/>
        </w:rPr>
        <w:t xml:space="preserve"> </w:t>
      </w:r>
    </w:p>
    <w:p w:rsidR="00013EB8" w:rsidRDefault="00013EB8">
      <w:pPr>
        <w:pStyle w:val="Heading1"/>
        <w:keepNext w:val="0"/>
        <w:widowControl w:val="0"/>
        <w:numPr>
          <w:ilvl w:val="12"/>
          <w:numId w:val="0"/>
        </w:numPr>
        <w:rPr>
          <w:sz w:val="20"/>
        </w:rPr>
      </w:pPr>
      <w:r w:rsidRPr="007A4B37">
        <w:rPr>
          <w:b/>
          <w:bCs/>
          <w:i w:val="0"/>
          <w:iCs w:val="0"/>
          <w:sz w:val="20"/>
        </w:rPr>
        <w:t>3.384</w:t>
      </w:r>
    </w:p>
    <w:p w:rsidR="00013EB8" w:rsidRDefault="00013EB8">
      <w:pPr>
        <w:pStyle w:val="Heading1"/>
        <w:keepNext w:val="0"/>
        <w:widowControl w:val="0"/>
        <w:numPr>
          <w:ilvl w:val="12"/>
          <w:numId w:val="0"/>
        </w:numPr>
        <w:rPr>
          <w:color w:val="00CCFF"/>
          <w:sz w:val="20"/>
        </w:rPr>
      </w:pPr>
      <w:r>
        <w:rPr>
          <w:color w:val="00CCFF"/>
          <w:sz w:val="20"/>
        </w:rPr>
        <w:t xml:space="preserve">POW presumptive under </w:t>
      </w:r>
      <w:r w:rsidRPr="007A4B37">
        <w:rPr>
          <w:b/>
          <w:i w:val="0"/>
          <w:iCs w:val="0"/>
          <w:sz w:val="20"/>
        </w:rPr>
        <w:t>3.309</w:t>
      </w:r>
      <w:r>
        <w:rPr>
          <w:color w:val="00CCFF"/>
          <w:sz w:val="20"/>
        </w:rPr>
        <w:t>(c)</w:t>
      </w:r>
    </w:p>
    <w:p w:rsidR="00013EB8" w:rsidRDefault="00525152">
      <w:pPr>
        <w:pStyle w:val="Heading1"/>
        <w:keepNext w:val="0"/>
        <w:widowControl w:val="0"/>
        <w:numPr>
          <w:ilvl w:val="12"/>
          <w:numId w:val="0"/>
        </w:numPr>
        <w:rPr>
          <w:i w:val="0"/>
          <w:iCs w:val="0"/>
          <w:sz w:val="20"/>
        </w:rPr>
      </w:pPr>
      <w:r w:rsidRPr="00525152">
        <w:rPr>
          <w:b/>
          <w:bCs/>
          <w:i w:val="0"/>
          <w:iCs w:val="0"/>
          <w:sz w:val="20"/>
        </w:rPr>
        <w:t>III.iv.6.B</w:t>
      </w:r>
      <w:r w:rsidR="00B801F6" w:rsidRPr="00B801F6">
        <w:rPr>
          <w:rStyle w:val="id-mask"/>
          <w:sz w:val="20"/>
        </w:rPr>
        <w:t xml:space="preserve"> </w:t>
      </w:r>
      <w:r w:rsidR="00013EB8">
        <w:rPr>
          <w:sz w:val="20"/>
        </w:rPr>
        <w:t>– consider SC for treatment only if deny psychosis as related to wartime service</w:t>
      </w:r>
    </w:p>
    <w:p w:rsidR="00013EB8" w:rsidRDefault="00013EB8">
      <w:pPr>
        <w:widowControl w:val="0"/>
        <w:numPr>
          <w:ilvl w:val="12"/>
          <w:numId w:val="0"/>
        </w:numPr>
        <w:rPr>
          <w:b/>
        </w:rPr>
      </w:pPr>
    </w:p>
    <w:p w:rsidR="00013EB8" w:rsidRDefault="00013EB8">
      <w:pPr>
        <w:widowControl w:val="0"/>
        <w:numPr>
          <w:ilvl w:val="12"/>
          <w:numId w:val="0"/>
        </w:numPr>
        <w:pBdr>
          <w:top w:val="dashed" w:sz="4" w:space="1" w:color="auto"/>
        </w:pBdr>
        <w:rPr>
          <w:b/>
        </w:rPr>
      </w:pPr>
    </w:p>
    <w:p w:rsidR="00013EB8" w:rsidRDefault="00013EB8">
      <w:pPr>
        <w:widowControl w:val="0"/>
        <w:numPr>
          <w:ilvl w:val="12"/>
          <w:numId w:val="0"/>
        </w:numPr>
        <w:rPr>
          <w:b/>
        </w:rPr>
      </w:pPr>
      <w:r>
        <w:rPr>
          <w:b/>
        </w:rPr>
        <w:t>DELIRIUM, DEMENTIA, AND AMNESTIC AND OTHER COGNITIVE DISORDERS</w:t>
      </w:r>
    </w:p>
    <w:p w:rsidR="00013EB8" w:rsidRDefault="00013EB8">
      <w:pPr>
        <w:widowControl w:val="0"/>
        <w:numPr>
          <w:ilvl w:val="12"/>
          <w:numId w:val="0"/>
        </w:numPr>
        <w:rPr>
          <w:b/>
        </w:rPr>
      </w:pPr>
    </w:p>
    <w:p w:rsidR="00013EB8" w:rsidRDefault="00013EB8">
      <w:pPr>
        <w:widowControl w:val="0"/>
        <w:numPr>
          <w:ilvl w:val="12"/>
          <w:numId w:val="0"/>
        </w:numPr>
        <w:pBdr>
          <w:top w:val="dashed" w:sz="4" w:space="1" w:color="auto"/>
        </w:pBdr>
        <w:rPr>
          <w:b/>
        </w:rPr>
      </w:pPr>
    </w:p>
    <w:p w:rsidR="00013EB8" w:rsidRDefault="00013EB8">
      <w:pPr>
        <w:pStyle w:val="Heading1"/>
        <w:keepNext w:val="0"/>
        <w:widowControl w:val="0"/>
        <w:numPr>
          <w:ilvl w:val="12"/>
          <w:numId w:val="0"/>
        </w:numPr>
        <w:rPr>
          <w:b/>
          <w:bCs/>
          <w:i w:val="0"/>
          <w:iCs w:val="0"/>
          <w:color w:val="FF0000"/>
          <w:sz w:val="20"/>
        </w:rPr>
      </w:pPr>
      <w:r>
        <w:rPr>
          <w:b/>
          <w:bCs/>
          <w:i w:val="0"/>
          <w:iCs w:val="0"/>
          <w:sz w:val="20"/>
        </w:rPr>
        <w:t>ANXIETY DISORDERS</w:t>
      </w:r>
      <w:r>
        <w:rPr>
          <w:b/>
          <w:bCs/>
          <w:i w:val="0"/>
          <w:iCs w:val="0"/>
          <w:color w:val="FF0000"/>
          <w:sz w:val="20"/>
        </w:rPr>
        <w:t xml:space="preserve"> </w:t>
      </w:r>
      <w:r>
        <w:rPr>
          <w:b/>
          <w:bCs/>
          <w:i w:val="0"/>
          <w:iCs w:val="0"/>
          <w:sz w:val="20"/>
        </w:rPr>
        <w:t>–</w:t>
      </w:r>
      <w:r>
        <w:rPr>
          <w:b/>
          <w:bCs/>
          <w:i w:val="0"/>
          <w:iCs w:val="0"/>
          <w:color w:val="FF0000"/>
          <w:sz w:val="20"/>
        </w:rPr>
        <w:t xml:space="preserve"> </w:t>
      </w:r>
      <w:r>
        <w:rPr>
          <w:color w:val="00CCFF"/>
          <w:sz w:val="20"/>
        </w:rPr>
        <w:t xml:space="preserve">POW presumptive under </w:t>
      </w:r>
      <w:r w:rsidRPr="007A4B37">
        <w:rPr>
          <w:b/>
          <w:i w:val="0"/>
          <w:iCs w:val="0"/>
          <w:sz w:val="20"/>
        </w:rPr>
        <w:t>3.309</w:t>
      </w:r>
      <w:r>
        <w:rPr>
          <w:color w:val="00CCFF"/>
          <w:sz w:val="20"/>
        </w:rPr>
        <w:t>(c)</w:t>
      </w:r>
    </w:p>
    <w:p w:rsidR="00013EB8" w:rsidRDefault="00013EB8">
      <w:pPr>
        <w:widowControl w:val="0"/>
        <w:rPr>
          <w:b/>
        </w:rPr>
      </w:pPr>
    </w:p>
    <w:p w:rsidR="00013EB8" w:rsidRDefault="00013EB8">
      <w:pPr>
        <w:widowControl w:val="0"/>
        <w:pBdr>
          <w:top w:val="dashed" w:sz="4" w:space="1" w:color="auto"/>
        </w:pBdr>
        <w:rPr>
          <w:b/>
        </w:rPr>
      </w:pPr>
    </w:p>
    <w:p w:rsidR="00013EB8" w:rsidRDefault="00013EB8">
      <w:pPr>
        <w:pStyle w:val="Heading1"/>
        <w:keepNext w:val="0"/>
        <w:widowControl w:val="0"/>
        <w:rPr>
          <w:b/>
          <w:bCs/>
          <w:i w:val="0"/>
          <w:iCs w:val="0"/>
          <w:sz w:val="20"/>
        </w:rPr>
      </w:pPr>
      <w:r>
        <w:rPr>
          <w:b/>
          <w:bCs/>
          <w:i w:val="0"/>
          <w:iCs w:val="0"/>
          <w:sz w:val="20"/>
        </w:rPr>
        <w:t>DISSOCIATIVE DISORDERS</w:t>
      </w:r>
    </w:p>
    <w:p w:rsidR="00013EB8" w:rsidRDefault="00013EB8">
      <w:pPr>
        <w:widowControl w:val="0"/>
        <w:rPr>
          <w:b/>
        </w:rPr>
      </w:pPr>
    </w:p>
    <w:p w:rsidR="00013EB8" w:rsidRDefault="00013EB8">
      <w:pPr>
        <w:widowControl w:val="0"/>
        <w:pBdr>
          <w:top w:val="dashed" w:sz="4" w:space="1" w:color="auto"/>
        </w:pBdr>
        <w:rPr>
          <w:b/>
        </w:rPr>
      </w:pPr>
    </w:p>
    <w:p w:rsidR="00013EB8" w:rsidRDefault="00013EB8">
      <w:pPr>
        <w:widowControl w:val="0"/>
        <w:rPr>
          <w:b/>
        </w:rPr>
      </w:pPr>
      <w:r>
        <w:rPr>
          <w:b/>
        </w:rPr>
        <w:t xml:space="preserve">SOMATOFORM DISORDERS: </w:t>
      </w:r>
    </w:p>
    <w:p w:rsidR="00013EB8" w:rsidRDefault="00013EB8">
      <w:pPr>
        <w:widowControl w:val="0"/>
        <w:rPr>
          <w:lang w:val="en"/>
        </w:rPr>
      </w:pPr>
      <w:r>
        <w:rPr>
          <w:bCs/>
        </w:rPr>
        <w:t>9421-</w:t>
      </w:r>
      <w:r>
        <w:rPr>
          <w:b/>
        </w:rPr>
        <w:t xml:space="preserve"> </w:t>
      </w:r>
      <w:r>
        <w:rPr>
          <w:bCs/>
        </w:rPr>
        <w:t>“</w:t>
      </w:r>
      <w:r>
        <w:rPr>
          <w:b/>
          <w:bCs/>
          <w:lang w:val="en"/>
        </w:rPr>
        <w:t>Somatization disorder</w:t>
      </w:r>
      <w:r>
        <w:rPr>
          <w:lang w:val="en"/>
        </w:rPr>
        <w:t xml:space="preserve"> is a chronic condition in which there are numerous physical complaints. These complaints can last for years, and result in substantial impairment. The physical symptoms are caused by psychological problems, and no underlying physical problem can be identified.”- Medline Plus</w:t>
      </w:r>
    </w:p>
    <w:p w:rsidR="00013EB8" w:rsidRDefault="00013EB8">
      <w:pPr>
        <w:widowControl w:val="0"/>
        <w:rPr>
          <w:lang w:val="en"/>
        </w:rPr>
      </w:pPr>
      <w:r>
        <w:t>“</w:t>
      </w:r>
      <w:r>
        <w:rPr>
          <w:b/>
          <w:bCs/>
        </w:rPr>
        <w:t>Somatization Disorder</w:t>
      </w:r>
      <w:r>
        <w:t xml:space="preserve"> was formerly called hysteria. Primarily affecting women, it generally has its onset in adolescence or early adulthood and lasts for years. Its symptoms usually include a combination of pain, pseudoneurological, digestive and sexual complaints.”- PlanetPsych.com</w:t>
      </w:r>
    </w:p>
    <w:p w:rsidR="00013EB8" w:rsidRDefault="00013EB8">
      <w:pPr>
        <w:widowControl w:val="0"/>
        <w:rPr>
          <w:lang w:val="en"/>
        </w:rPr>
      </w:pPr>
      <w:r>
        <w:rPr>
          <w:lang w:val="en"/>
        </w:rPr>
        <w:t>9422- “</w:t>
      </w:r>
      <w:r>
        <w:rPr>
          <w:b/>
          <w:bCs/>
          <w:lang w:val="en"/>
        </w:rPr>
        <w:t>Pain disorder</w:t>
      </w:r>
      <w:r>
        <w:rPr>
          <w:lang w:val="en"/>
        </w:rPr>
        <w:t xml:space="preserve"> is persistent and chronic pain at one or more sites in which psychological factors are thought to play a role.”- Medline Plus</w:t>
      </w:r>
    </w:p>
    <w:p w:rsidR="00013EB8" w:rsidRDefault="00013EB8">
      <w:pPr>
        <w:widowControl w:val="0"/>
        <w:rPr>
          <w:lang w:val="en"/>
        </w:rPr>
      </w:pPr>
      <w:r>
        <w:t>“</w:t>
      </w:r>
      <w:r>
        <w:rPr>
          <w:b/>
          <w:bCs/>
        </w:rPr>
        <w:t>Pain Disorder</w:t>
      </w:r>
      <w:r>
        <w:t xml:space="preserve"> is diagnosed when the primary symptom is pain and psychological factors are presumed to be important in the etiology, maintenance or exacerbation of the condition.”- PlanetPsych.com</w:t>
      </w:r>
      <w:r>
        <w:rPr>
          <w:lang w:val="en"/>
        </w:rPr>
        <w:t xml:space="preserve"> </w:t>
      </w:r>
    </w:p>
    <w:p w:rsidR="00013EB8" w:rsidRDefault="00013EB8">
      <w:pPr>
        <w:widowControl w:val="0"/>
      </w:pPr>
      <w:r>
        <w:rPr>
          <w:lang w:val="en"/>
        </w:rPr>
        <w:t>9423- “</w:t>
      </w:r>
      <w:r>
        <w:rPr>
          <w:b/>
          <w:bCs/>
        </w:rPr>
        <w:t>Undifferentiated Somatoform Disorder</w:t>
      </w:r>
      <w:r>
        <w:t xml:space="preserve"> is a milder form of Somatization Disorder lasting at least six months.”- PlanetPsych.com</w:t>
      </w:r>
    </w:p>
    <w:p w:rsidR="00013EB8" w:rsidRDefault="00013EB8">
      <w:pPr>
        <w:pStyle w:val="NormalWeb"/>
        <w:widowControl w:val="0"/>
        <w:spacing w:after="0"/>
        <w:rPr>
          <w:sz w:val="20"/>
        </w:rPr>
      </w:pPr>
      <w:r>
        <w:rPr>
          <w:sz w:val="20"/>
        </w:rPr>
        <w:t>9424- “</w:t>
      </w:r>
      <w:r>
        <w:rPr>
          <w:b/>
          <w:bCs/>
          <w:sz w:val="20"/>
        </w:rPr>
        <w:t>Conversion Disorder</w:t>
      </w:r>
      <w:r>
        <w:rPr>
          <w:sz w:val="20"/>
        </w:rPr>
        <w:t xml:space="preserve"> is characterized by unexplained sensory motor deficits which are judged to be psychogenic.”- PlanetPsych.com</w:t>
      </w:r>
      <w:r w:rsidR="00AA0D00">
        <w:rPr>
          <w:sz w:val="20"/>
        </w:rPr>
        <w:t xml:space="preserve"> </w:t>
      </w:r>
      <w:r w:rsidR="00AA0D00" w:rsidRPr="00AA0D00">
        <w:rPr>
          <w:i/>
          <w:sz w:val="20"/>
        </w:rPr>
        <w:t>[if manifests with paralysis/loss of use of legs, cannot get separate 100% under 5110, just one 100% und</w:t>
      </w:r>
      <w:r w:rsidR="001E0E8E">
        <w:rPr>
          <w:i/>
          <w:sz w:val="20"/>
        </w:rPr>
        <w:t>er 5110-9424</w:t>
      </w:r>
    </w:p>
    <w:p w:rsidR="00013EB8" w:rsidRDefault="00013EB8">
      <w:pPr>
        <w:pStyle w:val="NormalWeb"/>
        <w:widowControl w:val="0"/>
        <w:spacing w:after="0"/>
        <w:rPr>
          <w:sz w:val="20"/>
        </w:rPr>
      </w:pPr>
      <w:r>
        <w:rPr>
          <w:sz w:val="20"/>
        </w:rPr>
        <w:t>9425- “</w:t>
      </w:r>
      <w:r>
        <w:rPr>
          <w:b/>
          <w:bCs/>
          <w:sz w:val="20"/>
        </w:rPr>
        <w:t>Hypochondriasis</w:t>
      </w:r>
      <w:r>
        <w:rPr>
          <w:color w:val="000000"/>
          <w:sz w:val="20"/>
        </w:rPr>
        <w:t xml:space="preserve"> is the fear illness in the absence thereof or exaggeration of symptoms or bodily sensations into serious illness</w:t>
      </w:r>
      <w:r>
        <w:rPr>
          <w:sz w:val="20"/>
        </w:rPr>
        <w:t>.”- PlanetPsych.com</w:t>
      </w:r>
    </w:p>
    <w:p w:rsidR="00013EB8" w:rsidRDefault="00013EB8">
      <w:pPr>
        <w:pStyle w:val="NormalWeb"/>
        <w:widowControl w:val="0"/>
        <w:spacing w:after="0"/>
        <w:rPr>
          <w:b/>
        </w:rPr>
      </w:pPr>
    </w:p>
    <w:p w:rsidR="00013EB8" w:rsidRDefault="00013EB8">
      <w:pPr>
        <w:pStyle w:val="NormalWeb"/>
        <w:widowControl w:val="0"/>
        <w:pBdr>
          <w:top w:val="dashed" w:sz="4" w:space="1" w:color="auto"/>
        </w:pBdr>
        <w:spacing w:after="0"/>
        <w:rPr>
          <w:b/>
        </w:rPr>
      </w:pPr>
    </w:p>
    <w:p w:rsidR="00013EB8" w:rsidRDefault="00013EB8">
      <w:pPr>
        <w:widowControl w:val="0"/>
        <w:rPr>
          <w:b/>
          <w:color w:val="FF0000"/>
        </w:rPr>
      </w:pPr>
      <w:r>
        <w:rPr>
          <w:b/>
        </w:rPr>
        <w:t>MOOD DISORDERS</w:t>
      </w:r>
      <w:r>
        <w:rPr>
          <w:b/>
          <w:color w:val="FF0000"/>
        </w:rPr>
        <w:t xml:space="preserve"> </w:t>
      </w:r>
      <w:r>
        <w:rPr>
          <w:b/>
        </w:rPr>
        <w:t>–</w:t>
      </w:r>
      <w:r>
        <w:rPr>
          <w:b/>
          <w:color w:val="FF0000"/>
        </w:rPr>
        <w:t xml:space="preserve"> </w:t>
      </w:r>
      <w:r>
        <w:rPr>
          <w:i/>
          <w:color w:val="00CCFF"/>
        </w:rPr>
        <w:t xml:space="preserve">POW presumptive under </w:t>
      </w:r>
      <w:r w:rsidRPr="007A4B37">
        <w:rPr>
          <w:b/>
        </w:rPr>
        <w:t>3.309</w:t>
      </w:r>
      <w:r>
        <w:rPr>
          <w:i/>
          <w:color w:val="00CCFF"/>
        </w:rPr>
        <w:t>(c)</w:t>
      </w:r>
    </w:p>
    <w:p w:rsidR="00013EB8" w:rsidRDefault="00013EB8">
      <w:pPr>
        <w:widowControl w:val="0"/>
      </w:pPr>
    </w:p>
    <w:p w:rsidR="00013EB8" w:rsidRDefault="00013EB8">
      <w:pPr>
        <w:widowControl w:val="0"/>
        <w:pBdr>
          <w:top w:val="dashed" w:sz="4" w:space="1" w:color="auto"/>
        </w:pBdr>
      </w:pPr>
    </w:p>
    <w:p w:rsidR="00013EB8" w:rsidRDefault="00013EB8">
      <w:pPr>
        <w:widowControl w:val="0"/>
        <w:rPr>
          <w:b/>
        </w:rPr>
      </w:pPr>
      <w:r>
        <w:rPr>
          <w:b/>
        </w:rPr>
        <w:t>CHRONIC ADJUSTMENT DISORDER</w:t>
      </w:r>
    </w:p>
    <w:p w:rsidR="00013EB8" w:rsidRDefault="00013EB8">
      <w:pPr>
        <w:widowControl w:val="0"/>
        <w:rPr>
          <w:b/>
        </w:rPr>
      </w:pPr>
    </w:p>
    <w:p w:rsidR="00013EB8" w:rsidRDefault="00013EB8">
      <w:pPr>
        <w:widowControl w:val="0"/>
        <w:pBdr>
          <w:top w:val="dashed" w:sz="4" w:space="1" w:color="auto"/>
        </w:pBdr>
        <w:rPr>
          <w:b/>
        </w:rPr>
      </w:pPr>
    </w:p>
    <w:p w:rsidR="00013EB8" w:rsidRDefault="00013EB8">
      <w:pPr>
        <w:widowControl w:val="0"/>
        <w:rPr>
          <w:bCs/>
        </w:rPr>
      </w:pPr>
      <w:r>
        <w:rPr>
          <w:b/>
        </w:rPr>
        <w:t>EATING DISORDERS –</w:t>
      </w:r>
      <w:r>
        <w:rPr>
          <w:bCs/>
          <w:i/>
          <w:iCs/>
        </w:rPr>
        <w:t xml:space="preserve"> </w:t>
      </w:r>
      <w:r w:rsidR="005A2BEB" w:rsidRPr="00BD2ECC">
        <w:rPr>
          <w:bCs/>
          <w:i/>
        </w:rPr>
        <w:t xml:space="preserve">Per QRT, </w:t>
      </w:r>
      <w:r w:rsidRPr="00BD2ECC">
        <w:rPr>
          <w:bCs/>
          <w:i/>
        </w:rPr>
        <w:t>rate separately</w:t>
      </w:r>
      <w:r w:rsidR="005A51F0">
        <w:rPr>
          <w:bCs/>
        </w:rPr>
        <w:t xml:space="preserve">, confirmed per VA Pulse, </w:t>
      </w:r>
      <w:r w:rsidR="005A51F0" w:rsidRPr="0013419D">
        <w:rPr>
          <w:bCs/>
          <w:i/>
        </w:rPr>
        <w:t>https://www.vapulse.net/message/122384</w:t>
      </w:r>
    </w:p>
    <w:p w:rsidR="00013EB8" w:rsidRDefault="00013EB8">
      <w:pPr>
        <w:widowControl w:val="0"/>
      </w:pPr>
    </w:p>
    <w:p w:rsidR="00D275EA" w:rsidRDefault="00D275EA" w:rsidP="00D275EA">
      <w:pPr>
        <w:widowControl w:val="0"/>
        <w:pBdr>
          <w:top w:val="single" w:sz="4" w:space="1" w:color="auto"/>
        </w:pBdr>
        <w:tabs>
          <w:tab w:val="left" w:pos="0"/>
          <w:tab w:val="left" w:pos="144"/>
        </w:tabs>
        <w:outlineLvl w:val="0"/>
        <w:rPr>
          <w:b/>
          <w:i/>
          <w:sz w:val="22"/>
        </w:rPr>
      </w:pPr>
      <w:bookmarkStart w:id="138" w:name="PTSD"/>
    </w:p>
    <w:p w:rsidR="00D275EA" w:rsidRDefault="00D275EA" w:rsidP="00D275EA">
      <w:pPr>
        <w:widowControl w:val="0"/>
        <w:tabs>
          <w:tab w:val="left" w:pos="0"/>
          <w:tab w:val="left" w:pos="144"/>
        </w:tabs>
        <w:outlineLvl w:val="0"/>
        <w:rPr>
          <w:b/>
          <w:i/>
          <w:sz w:val="22"/>
        </w:rPr>
      </w:pPr>
      <w:r>
        <w:rPr>
          <w:b/>
          <w:i/>
          <w:sz w:val="22"/>
        </w:rPr>
        <w:t>Post Traumatic Stress Disorder -</w:t>
      </w:r>
    </w:p>
    <w:bookmarkEnd w:id="138"/>
    <w:p w:rsidR="00D275EA" w:rsidRDefault="00D275EA" w:rsidP="00D275EA">
      <w:pPr>
        <w:widowControl w:val="0"/>
        <w:tabs>
          <w:tab w:val="left" w:pos="0"/>
          <w:tab w:val="left" w:pos="144"/>
        </w:tabs>
        <w:outlineLvl w:val="0"/>
        <w:rPr>
          <w:b/>
          <w:i/>
          <w:sz w:val="22"/>
        </w:rPr>
      </w:pPr>
    </w:p>
    <w:p w:rsidR="00D275EA" w:rsidRDefault="00D275EA" w:rsidP="00D275EA">
      <w:pPr>
        <w:widowControl w:val="0"/>
        <w:numPr>
          <w:ilvl w:val="12"/>
          <w:numId w:val="0"/>
        </w:numPr>
        <w:rPr>
          <w:i/>
        </w:rPr>
      </w:pPr>
      <w:bookmarkStart w:id="139" w:name="PTSDPart3"/>
      <w:r w:rsidRPr="00F673C9">
        <w:rPr>
          <w:b/>
          <w:u w:val="single"/>
        </w:rPr>
        <w:t>3.304</w:t>
      </w:r>
      <w:r>
        <w:rPr>
          <w:b/>
          <w:u w:val="single"/>
        </w:rPr>
        <w:t>(f) Post-Traumatic Stress Disorder</w:t>
      </w:r>
      <w:r>
        <w:t xml:space="preserve"> – (PTSD)</w:t>
      </w:r>
    </w:p>
    <w:p w:rsidR="00D275EA" w:rsidRDefault="00D275EA" w:rsidP="00D275EA">
      <w:pPr>
        <w:widowControl w:val="0"/>
        <w:numPr>
          <w:ilvl w:val="12"/>
          <w:numId w:val="0"/>
        </w:numPr>
        <w:spacing w:after="120"/>
        <w:rPr>
          <w:i/>
        </w:rPr>
      </w:pPr>
      <w:r>
        <w:rPr>
          <w:highlight w:val="cyan"/>
        </w:rPr>
        <w:t>9411</w:t>
      </w:r>
      <w:r>
        <w:rPr>
          <w:highlight w:val="cyan"/>
        </w:rPr>
        <w:tab/>
        <w:t>Post-traumatic stress disorder</w:t>
      </w:r>
      <w:r>
        <w:t xml:space="preserve"> – </w:t>
      </w:r>
      <w:r>
        <w:rPr>
          <w:i/>
        </w:rPr>
        <w:t>added 4/11/80</w:t>
      </w:r>
    </w:p>
    <w:p w:rsidR="00D275EA" w:rsidRPr="0047110A" w:rsidRDefault="00D275EA" w:rsidP="00F063AF">
      <w:pPr>
        <w:widowControl w:val="0"/>
        <w:numPr>
          <w:ilvl w:val="0"/>
          <w:numId w:val="172"/>
        </w:numPr>
        <w:tabs>
          <w:tab w:val="left" w:pos="360"/>
        </w:tabs>
        <w:spacing w:after="120"/>
        <w:ind w:left="360"/>
        <w:rPr>
          <w:b/>
        </w:rPr>
      </w:pPr>
      <w:r>
        <w:t xml:space="preserve">Initial PTSD </w:t>
      </w:r>
      <w:r w:rsidRPr="001E1DFE">
        <w:t>DBQ is</w:t>
      </w:r>
      <w:r>
        <w:t xml:space="preserve"> for internal VA use only, see DBQ at </w:t>
      </w:r>
      <w:r w:rsidRPr="003F3D88">
        <w:rPr>
          <w:i/>
        </w:rPr>
        <w:t>http://vbacodmoint1.vba.va.gov/bl/21/dbq/default.asp</w:t>
      </w:r>
    </w:p>
    <w:p w:rsidR="00D275EA" w:rsidRDefault="00D275EA" w:rsidP="00D275EA">
      <w:pPr>
        <w:widowControl w:val="0"/>
        <w:numPr>
          <w:ilvl w:val="12"/>
          <w:numId w:val="0"/>
        </w:numPr>
        <w:pBdr>
          <w:top w:val="double" w:sz="4" w:space="1" w:color="auto"/>
          <w:left w:val="double" w:sz="4" w:space="4" w:color="auto"/>
          <w:bottom w:val="double" w:sz="4" w:space="1" w:color="auto"/>
          <w:right w:val="double" w:sz="4" w:space="4" w:color="auto"/>
        </w:pBdr>
        <w:shd w:val="clear" w:color="auto" w:fill="FFC000"/>
        <w:rPr>
          <w:i/>
        </w:rPr>
      </w:pPr>
      <w:r w:rsidRPr="0059725E">
        <w:rPr>
          <w:i/>
        </w:rPr>
        <w:t>Training documents are under “</w:t>
      </w:r>
      <w:r>
        <w:rPr>
          <w:i/>
        </w:rPr>
        <w:t xml:space="preserve">PTSD / Other Psychiatric Conditions” (&amp; more, search “PTSD” and/or “MST”) at </w:t>
      </w:r>
      <w:r w:rsidRPr="001453C4">
        <w:rPr>
          <w:b/>
          <w:i/>
        </w:rPr>
        <w:t>http://hvnc.gdit.com/lc/</w:t>
      </w:r>
    </w:p>
    <w:p w:rsidR="00D275EA" w:rsidRDefault="00D275EA" w:rsidP="00D275EA">
      <w:pPr>
        <w:widowControl w:val="0"/>
        <w:numPr>
          <w:ilvl w:val="12"/>
          <w:numId w:val="0"/>
        </w:numPr>
        <w:rPr>
          <w:i/>
        </w:rPr>
      </w:pPr>
    </w:p>
    <w:p w:rsidR="00D275EA" w:rsidRPr="00D10240" w:rsidRDefault="00D275EA" w:rsidP="00D275EA">
      <w:pPr>
        <w:pBdr>
          <w:top w:val="double" w:sz="4" w:space="1" w:color="auto"/>
          <w:left w:val="double" w:sz="4" w:space="4" w:color="auto"/>
          <w:bottom w:val="double" w:sz="4" w:space="1" w:color="auto"/>
          <w:right w:val="double" w:sz="4" w:space="4" w:color="auto"/>
        </w:pBdr>
        <w:shd w:val="clear" w:color="auto" w:fill="FFC000"/>
        <w:spacing w:before="240"/>
        <w:rPr>
          <w:rFonts w:eastAsiaTheme="minorHAnsi"/>
        </w:rPr>
      </w:pPr>
      <w:r>
        <w:rPr>
          <w:rFonts w:eastAsiaTheme="minorHAnsi"/>
          <w:b/>
        </w:rPr>
        <w:t xml:space="preserve">PTSD Knowledge Aid </w:t>
      </w:r>
      <w:r>
        <w:rPr>
          <w:rFonts w:eastAsiaTheme="minorHAnsi"/>
        </w:rPr>
        <w:t>(from 2014) is</w:t>
      </w:r>
      <w:r w:rsidRPr="0036376C">
        <w:t xml:space="preserve"> saved at </w:t>
      </w:r>
      <w:r w:rsidRPr="001453C4">
        <w:rPr>
          <w:b/>
          <w:bCs/>
          <w:i/>
          <w:iCs/>
        </w:rPr>
        <w:t>H:\VSC\Rating Reference</w:t>
      </w:r>
    </w:p>
    <w:p w:rsidR="00D275EA" w:rsidRDefault="00D275EA" w:rsidP="00D275EA">
      <w:pPr>
        <w:widowControl w:val="0"/>
        <w:numPr>
          <w:ilvl w:val="12"/>
          <w:numId w:val="0"/>
        </w:numPr>
        <w:rPr>
          <w:i/>
        </w:rPr>
      </w:pPr>
    </w:p>
    <w:p w:rsidR="00D275EA" w:rsidRDefault="00D275EA" w:rsidP="00D275EA">
      <w:pPr>
        <w:widowControl w:val="0"/>
        <w:numPr>
          <w:ilvl w:val="12"/>
          <w:numId w:val="0"/>
        </w:numPr>
        <w:spacing w:after="120"/>
        <w:rPr>
          <w:b/>
          <w:i/>
          <w:u w:val="single"/>
        </w:rPr>
      </w:pPr>
      <w:r>
        <w:rPr>
          <w:b/>
          <w:i/>
          <w:u w:val="single"/>
        </w:rPr>
        <w:t>Manual References:</w:t>
      </w:r>
    </w:p>
    <w:bookmarkEnd w:id="139"/>
    <w:p w:rsidR="00D275EA" w:rsidRPr="0098268D" w:rsidRDefault="00D275EA" w:rsidP="00D275EA">
      <w:pPr>
        <w:widowControl w:val="0"/>
        <w:numPr>
          <w:ilvl w:val="0"/>
          <w:numId w:val="63"/>
        </w:numPr>
        <w:spacing w:after="120"/>
        <w:rPr>
          <w:b/>
          <w:bCs/>
        </w:rPr>
      </w:pPr>
      <w:r>
        <w:rPr>
          <w:b/>
          <w:bCs/>
        </w:rPr>
        <w:fldChar w:fldCharType="begin"/>
      </w:r>
      <w:r>
        <w:rPr>
          <w:b/>
          <w:bCs/>
        </w:rPr>
        <w:instrText>HYPERLINK "http://www.benefits.va.gov/WARMS/docs/admin21/m21_1/mr/part3/subptiv/ch04/M21-1MRIII_iv_4_SecH.doc"</w:instrText>
      </w:r>
      <w:r>
        <w:rPr>
          <w:b/>
          <w:bCs/>
        </w:rPr>
        <w:fldChar w:fldCharType="separate"/>
      </w:r>
      <w:r>
        <w:rPr>
          <w:b/>
        </w:rPr>
        <w:t>III.iv.4.O</w:t>
      </w:r>
      <w:r>
        <w:rPr>
          <w:b/>
          <w:bCs/>
        </w:rPr>
        <w:fldChar w:fldCharType="end"/>
      </w:r>
      <w:r>
        <w:rPr>
          <w:bCs/>
        </w:rPr>
        <w:t xml:space="preserve"> – </w:t>
      </w:r>
    </w:p>
    <w:p w:rsidR="00CE5BA9" w:rsidRPr="00CE5BA9" w:rsidRDefault="00CE5BA9" w:rsidP="00D275EA">
      <w:pPr>
        <w:pStyle w:val="ListParagraph"/>
        <w:numPr>
          <w:ilvl w:val="1"/>
          <w:numId w:val="63"/>
        </w:numPr>
        <w:tabs>
          <w:tab w:val="clear" w:pos="1440"/>
          <w:tab w:val="num" w:pos="720"/>
        </w:tabs>
        <w:spacing w:after="120" w:line="240" w:lineRule="auto"/>
        <w:ind w:left="720"/>
        <w:rPr>
          <w:rFonts w:ascii="Arial" w:hAnsi="Arial"/>
          <w:sz w:val="20"/>
          <w:szCs w:val="20"/>
        </w:rPr>
      </w:pPr>
      <w:r>
        <w:rPr>
          <w:rFonts w:ascii="Arial" w:hAnsi="Arial"/>
          <w:b/>
          <w:sz w:val="20"/>
          <w:szCs w:val="20"/>
        </w:rPr>
        <w:t>III.iv.4.O.3</w:t>
      </w:r>
      <w:r w:rsidRPr="00CE5BA9">
        <w:rPr>
          <w:rFonts w:ascii="Arial" w:hAnsi="Arial"/>
          <w:b/>
          <w:sz w:val="20"/>
          <w:szCs w:val="20"/>
        </w:rPr>
        <w:t xml:space="preserve"> &amp; IV.ii.1.D.5</w:t>
      </w:r>
      <w:r>
        <w:rPr>
          <w:rFonts w:ascii="Arial" w:hAnsi="Arial"/>
          <w:sz w:val="20"/>
          <w:szCs w:val="20"/>
        </w:rPr>
        <w:t xml:space="preserve"> – personal </w:t>
      </w:r>
      <w:r w:rsidR="008441C6">
        <w:rPr>
          <w:rFonts w:ascii="Arial" w:hAnsi="Arial"/>
          <w:sz w:val="20"/>
          <w:szCs w:val="20"/>
        </w:rPr>
        <w:t>trauma</w:t>
      </w:r>
    </w:p>
    <w:p w:rsidR="00606A3D" w:rsidRPr="00606A3D" w:rsidRDefault="00606A3D" w:rsidP="00606A3D">
      <w:pPr>
        <w:widowControl w:val="0"/>
        <w:numPr>
          <w:ilvl w:val="1"/>
          <w:numId w:val="63"/>
        </w:numPr>
        <w:tabs>
          <w:tab w:val="clear" w:pos="1440"/>
        </w:tabs>
        <w:spacing w:after="120"/>
        <w:ind w:left="720"/>
        <w:rPr>
          <w:bCs/>
        </w:rPr>
      </w:pPr>
      <w:r>
        <w:rPr>
          <w:b/>
          <w:bCs/>
        </w:rPr>
        <w:t>III.iv.4.O.4</w:t>
      </w:r>
      <w:r w:rsidRPr="004016CA">
        <w:rPr>
          <w:b/>
          <w:bCs/>
        </w:rPr>
        <w:t>.b</w:t>
      </w:r>
      <w:r w:rsidRPr="0098268D">
        <w:rPr>
          <w:bCs/>
        </w:rPr>
        <w:t xml:space="preserve"> </w:t>
      </w:r>
      <w:r>
        <w:rPr>
          <w:bCs/>
        </w:rPr>
        <w:t>-</w:t>
      </w:r>
      <w:r w:rsidRPr="0098268D">
        <w:rPr>
          <w:bCs/>
        </w:rPr>
        <w:t xml:space="preserve"> “</w:t>
      </w:r>
      <w:r w:rsidRPr="0098268D">
        <w:t>In order to conclude that a Veteran “engaged in combat with the enemy,” the evidence must establish that the Veteran was present during an encounter with a military foe either as a combatant or as a service member performing duty in support of combatants.”</w:t>
      </w:r>
    </w:p>
    <w:p w:rsidR="00D275EA" w:rsidRPr="00D25F06" w:rsidRDefault="00D275EA" w:rsidP="00806A50">
      <w:pPr>
        <w:pStyle w:val="BlockText"/>
      </w:pPr>
      <w:r>
        <w:rPr>
          <w:b/>
        </w:rPr>
        <w:t>III.iv.4.O</w:t>
      </w:r>
      <w:r w:rsidR="00CE5BA9">
        <w:rPr>
          <w:b/>
        </w:rPr>
        <w:t>.4.d</w:t>
      </w:r>
      <w:r>
        <w:t xml:space="preserve"> – </w:t>
      </w:r>
      <w:r w:rsidR="00806A50">
        <w:t>“</w:t>
      </w:r>
      <w:r w:rsidR="00806A50" w:rsidRPr="00CB1CE9">
        <w:t xml:space="preserve">Primary evidence, such as the Veteran’s </w:t>
      </w:r>
      <w:r w:rsidR="00806A50" w:rsidRPr="00CB1CE9">
        <w:rPr>
          <w:i/>
        </w:rPr>
        <w:t>DD Form 214, Certificate of Release or Discharge From Active Duty</w:t>
      </w:r>
      <w:r w:rsidR="00806A50" w:rsidRPr="00CB1CE9">
        <w:t xml:space="preserve">, and other service records showing deployments, relevant awards or decorations, receipt of </w:t>
      </w:r>
      <w:r w:rsidR="00806A50" w:rsidRPr="00CB1CE9">
        <w:rPr>
          <w:rStyle w:val="Emphasis"/>
        </w:rPr>
        <w:t>Combat/ Imminent Danger/ Hostile Fire Pay</w:t>
      </w:r>
      <w:r w:rsidR="00806A50" w:rsidRPr="00CB1CE9">
        <w:t xml:space="preserve">, and other conditions of service, will </w:t>
      </w:r>
      <w:r w:rsidR="00806A50" w:rsidRPr="00806A50">
        <w:t xml:space="preserve">be key to proving service in an area of potential or actual hostile military or terrorist activity.” Used to say,  </w:t>
      </w:r>
      <w:r w:rsidRPr="00806A50">
        <w:rPr>
          <w:highlight w:val="darkGray"/>
        </w:rPr>
        <w:t>“While confirmation of receipt of Combat/Imminent Danger/Hostile Fire Pay through the VIS alone does not constitute verification of a combat-related stressor, it may, in combination with other evidence, "tip the scales" in favor of the Veteran's assertion of his/her involvement in combat.”</w:t>
      </w:r>
    </w:p>
    <w:p w:rsidR="00D275EA" w:rsidRPr="0098268D" w:rsidRDefault="00D275EA" w:rsidP="00F063AF">
      <w:pPr>
        <w:widowControl w:val="0"/>
        <w:numPr>
          <w:ilvl w:val="0"/>
          <w:numId w:val="271"/>
        </w:numPr>
        <w:spacing w:after="120"/>
        <w:rPr>
          <w:b/>
          <w:bCs/>
        </w:rPr>
      </w:pPr>
      <w:r w:rsidRPr="004A3E03">
        <w:rPr>
          <w:b/>
          <w:bCs/>
        </w:rPr>
        <w:t>IV.ii.1.D</w:t>
      </w:r>
      <w:r>
        <w:rPr>
          <w:bCs/>
        </w:rPr>
        <w:t xml:space="preserve"> – </w:t>
      </w:r>
    </w:p>
    <w:p w:rsidR="00D275EA" w:rsidRPr="00A5465E" w:rsidRDefault="00D275EA" w:rsidP="00F063AF">
      <w:pPr>
        <w:pStyle w:val="ListParagraph"/>
        <w:numPr>
          <w:ilvl w:val="0"/>
          <w:numId w:val="384"/>
        </w:numPr>
        <w:spacing w:after="120" w:line="240" w:lineRule="auto"/>
        <w:rPr>
          <w:rStyle w:val="referencecode1"/>
          <w:rFonts w:ascii="Arial" w:hAnsi="Arial"/>
          <w:sz w:val="20"/>
          <w:szCs w:val="20"/>
        </w:rPr>
      </w:pPr>
      <w:r w:rsidRPr="00A5465E">
        <w:rPr>
          <w:rStyle w:val="referencecode1"/>
          <w:rFonts w:ascii="Arial" w:hAnsi="Arial"/>
          <w:sz w:val="20"/>
          <w:szCs w:val="20"/>
        </w:rPr>
        <w:t xml:space="preserve">as of 10/17/17, formal finding </w:t>
      </w:r>
      <w:r w:rsidR="00135AF1">
        <w:rPr>
          <w:rStyle w:val="referencecode1"/>
          <w:rFonts w:ascii="Arial" w:hAnsi="Arial"/>
          <w:sz w:val="20"/>
          <w:szCs w:val="20"/>
        </w:rPr>
        <w:t xml:space="preserve">/ PTSD memo </w:t>
      </w:r>
      <w:r w:rsidRPr="00A5465E">
        <w:rPr>
          <w:rStyle w:val="referencecode1"/>
          <w:rFonts w:ascii="Arial" w:hAnsi="Arial"/>
          <w:sz w:val="20"/>
          <w:szCs w:val="20"/>
        </w:rPr>
        <w:t>is no longer needed</w:t>
      </w:r>
    </w:p>
    <w:p w:rsidR="00D275EA" w:rsidRPr="00C30F9A" w:rsidRDefault="00D275EA" w:rsidP="00F063AF">
      <w:pPr>
        <w:pStyle w:val="ListParagraph"/>
        <w:numPr>
          <w:ilvl w:val="0"/>
          <w:numId w:val="384"/>
        </w:numPr>
        <w:spacing w:after="120" w:line="240" w:lineRule="auto"/>
        <w:rPr>
          <w:rFonts w:ascii="Arial" w:hAnsi="Arial"/>
          <w:sz w:val="18"/>
          <w:szCs w:val="20"/>
        </w:rPr>
      </w:pPr>
      <w:bookmarkStart w:id="140" w:name="_Hlk519837425"/>
      <w:r w:rsidRPr="00683C19">
        <w:rPr>
          <w:rFonts w:ascii="Arial" w:hAnsi="Arial"/>
          <w:b/>
          <w:bCs/>
          <w:sz w:val="20"/>
        </w:rPr>
        <w:t>IV.ii.1.D.1.</w:t>
      </w:r>
      <w:r w:rsidR="00806A50">
        <w:rPr>
          <w:rFonts w:ascii="Arial" w:hAnsi="Arial"/>
          <w:b/>
          <w:bCs/>
          <w:sz w:val="20"/>
        </w:rPr>
        <w:t>f</w:t>
      </w:r>
      <w:r w:rsidRPr="00683C19">
        <w:rPr>
          <w:rFonts w:ascii="Arial" w:hAnsi="Arial"/>
          <w:bCs/>
          <w:sz w:val="20"/>
        </w:rPr>
        <w:t xml:space="preserve"> </w:t>
      </w:r>
      <w:bookmarkEnd w:id="140"/>
      <w:r w:rsidRPr="00683C19">
        <w:rPr>
          <w:rFonts w:ascii="Arial" w:hAnsi="Arial"/>
          <w:bCs/>
          <w:sz w:val="20"/>
        </w:rPr>
        <w:t>– (added 10/17/17</w:t>
      </w:r>
      <w:r w:rsidR="008441C6">
        <w:rPr>
          <w:rFonts w:ascii="Arial" w:hAnsi="Arial"/>
          <w:bCs/>
          <w:sz w:val="20"/>
        </w:rPr>
        <w:t>, modified 6/14/18</w:t>
      </w:r>
      <w:r w:rsidRPr="00683C19">
        <w:rPr>
          <w:rFonts w:ascii="Arial" w:hAnsi="Arial"/>
          <w:bCs/>
          <w:sz w:val="20"/>
        </w:rPr>
        <w:t>) if have sufficient evidence to corroborate a claimed stressor, mark subject line with “[</w:t>
      </w:r>
      <w:r w:rsidR="00806A50">
        <w:rPr>
          <w:rFonts w:ascii="Arial" w:hAnsi="Arial"/>
          <w:bCs/>
          <w:sz w:val="20"/>
        </w:rPr>
        <w:t>Nature of stressor</w:t>
      </w:r>
      <w:r w:rsidRPr="00683C19">
        <w:rPr>
          <w:rFonts w:ascii="Arial" w:hAnsi="Arial"/>
          <w:bCs/>
          <w:sz w:val="20"/>
        </w:rPr>
        <w:t>], pg</w:t>
      </w:r>
      <w:r w:rsidR="008441C6">
        <w:rPr>
          <w:rFonts w:ascii="Arial" w:hAnsi="Arial"/>
          <w:bCs/>
          <w:sz w:val="20"/>
        </w:rPr>
        <w:t>.</w:t>
      </w:r>
      <w:r w:rsidRPr="00683C19">
        <w:rPr>
          <w:rFonts w:ascii="Arial" w:hAnsi="Arial"/>
          <w:bCs/>
          <w:sz w:val="20"/>
        </w:rPr>
        <w:t xml:space="preserve"> [#]” </w:t>
      </w:r>
    </w:p>
    <w:p w:rsidR="00C30F9A" w:rsidRPr="004A1B1B" w:rsidRDefault="00C30F9A" w:rsidP="00F063AF">
      <w:pPr>
        <w:pStyle w:val="ListParagraph"/>
        <w:numPr>
          <w:ilvl w:val="0"/>
          <w:numId w:val="384"/>
        </w:numPr>
        <w:spacing w:after="120" w:line="240" w:lineRule="auto"/>
        <w:rPr>
          <w:rFonts w:ascii="Arial" w:hAnsi="Arial"/>
          <w:sz w:val="20"/>
          <w:szCs w:val="20"/>
        </w:rPr>
      </w:pPr>
      <w:r>
        <w:rPr>
          <w:rFonts w:ascii="Arial" w:hAnsi="Arial"/>
          <w:b/>
          <w:sz w:val="20"/>
          <w:szCs w:val="20"/>
        </w:rPr>
        <w:t>IV.ii.1.D.2</w:t>
      </w:r>
      <w:r w:rsidRPr="004A1B1B">
        <w:rPr>
          <w:rFonts w:ascii="Arial" w:hAnsi="Arial"/>
          <w:b/>
          <w:sz w:val="20"/>
          <w:szCs w:val="20"/>
        </w:rPr>
        <w:t>.</w:t>
      </w:r>
      <w:r>
        <w:rPr>
          <w:rFonts w:ascii="Arial" w:hAnsi="Arial"/>
          <w:b/>
          <w:sz w:val="20"/>
          <w:szCs w:val="20"/>
        </w:rPr>
        <w:t>i</w:t>
      </w:r>
      <w:r w:rsidRPr="004A1B1B">
        <w:rPr>
          <w:rFonts w:ascii="Arial" w:hAnsi="Arial"/>
          <w:sz w:val="20"/>
          <w:szCs w:val="20"/>
        </w:rPr>
        <w:t xml:space="preserve"> says to send “PTSD-Need stressor details/med evid personal trauma incdnt” which is this paragraph:</w:t>
      </w:r>
    </w:p>
    <w:p w:rsidR="00C30F9A" w:rsidRPr="004A1B1B" w:rsidRDefault="00C30F9A" w:rsidP="00C30F9A">
      <w:pPr>
        <w:tabs>
          <w:tab w:val="left" w:pos="720"/>
        </w:tabs>
        <w:spacing w:after="120"/>
        <w:ind w:left="720"/>
      </w:pPr>
      <w:r w:rsidRPr="004A1B1B">
        <w:t>We need specific details of the personal trauma incident(s) that resulted in post-traumatic stress disorder (PTSD). It is important that you read the following information and respond to our request within 30 days from the date of this letter. If you do not respond, VA may deny your claim. Complete and return the enclosed questionnaire. We realize that this may be a difficult subject for you to discuss, but the information will be safeguarded and used only in support of your claim. If you are not able to provide the exact date of the incident, please indicate the location and approximate time (a 2-month specific date range) of the stressful event(s) in question. Give us reports of private physicians, if any, who have treated you for this condition since discharge. The reports should include clinical findings and diagnosis. If you have been treated for this condition at a VA medical facility, furnish the date(s) and place(s). We will obtain the report(s). If you have been treated in the Vet Center, tell us the dates of treatment and the address of the Vet Center. We will request the records. Identify any possible sources of information and evidence such as police reports or medical treatment records for assault or rape. Send us supporting statements from any individuals with whom you may have discussed the incident. Furnish copies of correspondence you may have sent to close friends or relatives in which you related information about the incident. If you did not discuss the incident with anyone, send us supporting statements from service persons, friends, family or clergy who may have observed any changes in your behavior as it may have related to the incident.</w:t>
      </w:r>
    </w:p>
    <w:p w:rsidR="00C30F9A" w:rsidRPr="004A1B1B" w:rsidRDefault="00C30F9A" w:rsidP="00C30F9A">
      <w:pPr>
        <w:tabs>
          <w:tab w:val="left" w:pos="720"/>
        </w:tabs>
        <w:spacing w:after="120"/>
        <w:ind w:left="720"/>
      </w:pPr>
      <w:r w:rsidRPr="004A1B1B">
        <w:t>Should also include “PTSD Notice-free treatment for PTSD personal assault”:</w:t>
      </w:r>
    </w:p>
    <w:p w:rsidR="00C30F9A" w:rsidRDefault="00C30F9A" w:rsidP="00C30F9A">
      <w:pPr>
        <w:spacing w:after="120"/>
        <w:ind w:left="720"/>
      </w:pPr>
      <w:r w:rsidRPr="004A1B1B">
        <w:t>You may be able to receive free counseling and medical care for problems associated with personal assault whether or not you are receiving compensation. If you want information about counseling and treatment or you want to discuss these services before deciding, please contact the nearest VA medical facility or community based outpatient clinic (CBOC) or Vet Center. Also, the counselors at these facilities will be helpful to you in documenting the details of the stressful event that can be used to support your claim.</w:t>
      </w:r>
    </w:p>
    <w:p w:rsidR="00D275EA" w:rsidRPr="00806A50" w:rsidRDefault="00806A50" w:rsidP="00F063AF">
      <w:pPr>
        <w:widowControl w:val="0"/>
        <w:numPr>
          <w:ilvl w:val="0"/>
          <w:numId w:val="384"/>
        </w:numPr>
        <w:spacing w:after="120"/>
        <w:rPr>
          <w:highlight w:val="darkGray"/>
        </w:rPr>
      </w:pPr>
      <w:r w:rsidRPr="00806A50">
        <w:rPr>
          <w:b/>
          <w:bCs/>
          <w:iCs/>
          <w:highlight w:val="darkGray"/>
        </w:rPr>
        <w:t>IV.ii.1.D.3</w:t>
      </w:r>
      <w:r w:rsidR="00D275EA" w:rsidRPr="00806A50">
        <w:rPr>
          <w:b/>
          <w:bCs/>
          <w:iCs/>
          <w:highlight w:val="darkGray"/>
        </w:rPr>
        <w:t>.</w:t>
      </w:r>
      <w:r w:rsidRPr="00806A50">
        <w:rPr>
          <w:b/>
          <w:bCs/>
          <w:iCs/>
          <w:highlight w:val="darkGray"/>
        </w:rPr>
        <w:t>c</w:t>
      </w:r>
      <w:r w:rsidR="00D275EA" w:rsidRPr="00806A50">
        <w:rPr>
          <w:bCs/>
          <w:iCs/>
          <w:highlight w:val="darkGray"/>
        </w:rPr>
        <w:t xml:space="preserve"> (added 2/3/16, updated 1/30/17) – have to make permanent note in VBMS called “Stressor Verification” (including whether stressor is verified, why it is or is not verified, list of sources reviewed)</w:t>
      </w:r>
    </w:p>
    <w:p w:rsidR="00806A50" w:rsidRPr="00683C19" w:rsidRDefault="00806A50" w:rsidP="00F063AF">
      <w:pPr>
        <w:pStyle w:val="ListParagraph"/>
        <w:numPr>
          <w:ilvl w:val="0"/>
          <w:numId w:val="384"/>
        </w:numPr>
        <w:spacing w:after="120" w:line="240" w:lineRule="auto"/>
        <w:rPr>
          <w:rStyle w:val="referencecode1"/>
          <w:rFonts w:ascii="Arial" w:hAnsi="Arial"/>
          <w:sz w:val="18"/>
          <w:szCs w:val="20"/>
        </w:rPr>
      </w:pPr>
      <w:r w:rsidRPr="00683C19">
        <w:rPr>
          <w:rFonts w:ascii="Arial" w:hAnsi="Arial"/>
          <w:b/>
          <w:bCs/>
          <w:sz w:val="20"/>
        </w:rPr>
        <w:t>I</w:t>
      </w:r>
      <w:r>
        <w:rPr>
          <w:rFonts w:ascii="Arial" w:hAnsi="Arial"/>
          <w:b/>
          <w:bCs/>
          <w:sz w:val="20"/>
          <w:szCs w:val="20"/>
        </w:rPr>
        <w:t>V.ii.1.D.3</w:t>
      </w:r>
      <w:r w:rsidRPr="009E63C6">
        <w:rPr>
          <w:rFonts w:ascii="Arial" w:hAnsi="Arial"/>
          <w:b/>
          <w:bCs/>
          <w:sz w:val="20"/>
          <w:szCs w:val="20"/>
        </w:rPr>
        <w:t>.</w:t>
      </w:r>
      <w:r>
        <w:rPr>
          <w:rFonts w:ascii="Arial" w:hAnsi="Arial"/>
          <w:b/>
          <w:bCs/>
          <w:sz w:val="20"/>
          <w:szCs w:val="20"/>
        </w:rPr>
        <w:t>g</w:t>
      </w:r>
      <w:r w:rsidRPr="009E63C6">
        <w:rPr>
          <w:rFonts w:ascii="Arial" w:hAnsi="Arial"/>
          <w:bCs/>
          <w:sz w:val="20"/>
          <w:szCs w:val="20"/>
        </w:rPr>
        <w:t xml:space="preserve"> – </w:t>
      </w:r>
      <w:r w:rsidRPr="00806A50">
        <w:rPr>
          <w:rStyle w:val="Strong"/>
          <w:rFonts w:ascii="Arial" w:hAnsi="Arial"/>
          <w:b w:val="0"/>
          <w:bCs w:val="0"/>
          <w:sz w:val="20"/>
          <w:szCs w:val="20"/>
        </w:rPr>
        <w:t>Examples of Service in Areas of Hostile Military or Terrorist Activity</w:t>
      </w:r>
      <w:r w:rsidRPr="009E63C6">
        <w:rPr>
          <w:rStyle w:val="Strong"/>
          <w:rFonts w:ascii="Arial" w:hAnsi="Arial"/>
          <w:b w:val="0"/>
          <w:bCs w:val="0"/>
          <w:sz w:val="20"/>
          <w:szCs w:val="20"/>
        </w:rPr>
        <w:t xml:space="preserve"> – Korean DMZ since 1953; ship in “blue waters” of Vietnam or in Thailand with VSM or VCM</w:t>
      </w:r>
    </w:p>
    <w:p w:rsidR="00D275EA" w:rsidRPr="00606A3D" w:rsidRDefault="00806A50" w:rsidP="00F063AF">
      <w:pPr>
        <w:widowControl w:val="0"/>
        <w:numPr>
          <w:ilvl w:val="0"/>
          <w:numId w:val="384"/>
        </w:numPr>
        <w:spacing w:after="120"/>
      </w:pPr>
      <w:r>
        <w:rPr>
          <w:b/>
          <w:bCs/>
        </w:rPr>
        <w:t>IV.ii.1.D.3</w:t>
      </w:r>
      <w:r w:rsidR="00D275EA" w:rsidRPr="00683C19">
        <w:rPr>
          <w:b/>
          <w:bCs/>
        </w:rPr>
        <w:t>.</w:t>
      </w:r>
      <w:r>
        <w:rPr>
          <w:b/>
          <w:bCs/>
        </w:rPr>
        <w:t>m</w:t>
      </w:r>
      <w:r w:rsidR="00D275EA" w:rsidRPr="00683C19">
        <w:rPr>
          <w:bCs/>
        </w:rPr>
        <w:t xml:space="preserve"> – Stressors That Cannot Be Verified</w:t>
      </w:r>
    </w:p>
    <w:p w:rsidR="00606A3D" w:rsidRPr="00F40E5B" w:rsidRDefault="00606A3D" w:rsidP="00F063AF">
      <w:pPr>
        <w:widowControl w:val="0"/>
        <w:numPr>
          <w:ilvl w:val="0"/>
          <w:numId w:val="384"/>
        </w:numPr>
        <w:spacing w:after="120"/>
      </w:pPr>
      <w:r w:rsidRPr="00606A3D">
        <w:rPr>
          <w:b/>
          <w:lang w:val="en"/>
        </w:rPr>
        <w:t>IV.ii.1.D.6.b</w:t>
      </w:r>
      <w:r>
        <w:rPr>
          <w:lang w:val="en"/>
        </w:rPr>
        <w:t xml:space="preserve"> </w:t>
      </w:r>
      <w:r w:rsidRPr="009A1BDB">
        <w:rPr>
          <w:lang w:val="en"/>
        </w:rPr>
        <w:t>- “</w:t>
      </w:r>
      <w:r w:rsidRPr="00926184">
        <w:t xml:space="preserve">When evidence of exposure to stressors related to combat, experience as a POW, or a fear of hostile military or terrorist activity is established by a Veteran’s individual decoration(s) or other military records, include a statement to that effect in the </w:t>
      </w:r>
      <w:r w:rsidRPr="009A1BDB">
        <w:rPr>
          <w:i/>
        </w:rPr>
        <w:t>Remarks</w:t>
      </w:r>
      <w:r w:rsidRPr="00926184">
        <w:t xml:space="preserve"> secti</w:t>
      </w:r>
      <w:r>
        <w:t xml:space="preserve">on of the examination request. This evidence allows VA (including the examiner) to accept the Veteran’s own description of the specific events without further corroboration.” </w:t>
      </w:r>
      <w:r w:rsidRPr="009A1BDB">
        <w:rPr>
          <w:b/>
          <w:lang w:val="en"/>
        </w:rPr>
        <w:t>III.iv.4.O.5.b</w:t>
      </w:r>
      <w:r w:rsidRPr="009A1BDB">
        <w:rPr>
          <w:lang w:val="en"/>
        </w:rPr>
        <w:t xml:space="preserve"> </w:t>
      </w:r>
      <w:r>
        <w:rPr>
          <w:i/>
        </w:rPr>
        <w:t>u</w:t>
      </w:r>
      <w:r w:rsidRPr="009A1BDB">
        <w:rPr>
          <w:i/>
        </w:rPr>
        <w:t>sed to say:</w:t>
      </w:r>
      <w:r>
        <w:t xml:space="preserve">  </w:t>
      </w:r>
      <w:r w:rsidRPr="009E2F62">
        <w:rPr>
          <w:highlight w:val="darkGray"/>
          <w:lang w:val="en"/>
        </w:rPr>
        <w:t>“</w:t>
      </w:r>
      <w:r w:rsidRPr="009E2F62">
        <w:rPr>
          <w:highlight w:val="darkGray"/>
        </w:rPr>
        <w:t xml:space="preserve">If the claimed stressor is related to a fear of hostile military or terrorist activity, add the following language to the examination request:  </w:t>
      </w:r>
      <w:r w:rsidRPr="009E2F62">
        <w:rPr>
          <w:i/>
          <w:iCs/>
          <w:highlight w:val="darkGray"/>
        </w:rPr>
        <w:t>Examiner, In addition to the other information provided in the examination report, please specifically state whether or not the claimed stressor is related to the Veteran’s fear of hostile military or terrorist activity.</w:t>
      </w:r>
      <w:r w:rsidRPr="009A1BDB">
        <w:rPr>
          <w:i/>
          <w:iCs/>
        </w:rPr>
        <w:t xml:space="preserve"> </w:t>
      </w:r>
    </w:p>
    <w:p w:rsidR="00D275EA" w:rsidRDefault="00D275EA" w:rsidP="00F063AF">
      <w:pPr>
        <w:widowControl w:val="0"/>
        <w:numPr>
          <w:ilvl w:val="0"/>
          <w:numId w:val="384"/>
        </w:numPr>
        <w:spacing w:after="120"/>
      </w:pPr>
      <w:r w:rsidRPr="00040AD4">
        <w:t xml:space="preserve">“event” - Per </w:t>
      </w:r>
      <w:r w:rsidRPr="0093236F">
        <w:rPr>
          <w:b/>
        </w:rPr>
        <w:t>3.303</w:t>
      </w:r>
      <w:r w:rsidR="0093236F" w:rsidRPr="0093236F">
        <w:rPr>
          <w:b/>
        </w:rPr>
        <w:t xml:space="preserve"> &amp; III.iv.4.O.4.k</w:t>
      </w:r>
      <w:r w:rsidRPr="00040AD4">
        <w:t>, we need to attempt to verify the reported event(s), as we have a non-PTSD diagnosis.</w:t>
      </w:r>
    </w:p>
    <w:p w:rsidR="00606A3D" w:rsidRDefault="00D275EA" w:rsidP="00606A3D">
      <w:pPr>
        <w:widowControl w:val="0"/>
        <w:pBdr>
          <w:top w:val="single" w:sz="4" w:space="3" w:color="auto"/>
          <w:left w:val="single" w:sz="4" w:space="4" w:color="auto"/>
          <w:bottom w:val="single" w:sz="4" w:space="1" w:color="auto"/>
          <w:right w:val="single" w:sz="4" w:space="4" w:color="auto"/>
        </w:pBdr>
        <w:spacing w:after="120"/>
        <w:ind w:left="810" w:right="90"/>
        <w:rPr>
          <w:i/>
        </w:rPr>
      </w:pPr>
      <w:r>
        <w:rPr>
          <w:i/>
        </w:rPr>
        <w:t>for d</w:t>
      </w:r>
      <w:r w:rsidRPr="00276F36">
        <w:rPr>
          <w:i/>
        </w:rPr>
        <w:t>eferral:   We need to attem</w:t>
      </w:r>
      <w:r>
        <w:rPr>
          <w:i/>
        </w:rPr>
        <w:t>pt to verify the reported event(s)</w:t>
      </w:r>
      <w:r w:rsidRPr="00276F36">
        <w:rPr>
          <w:i/>
        </w:rPr>
        <w:t>/stresso</w:t>
      </w:r>
      <w:r>
        <w:rPr>
          <w:i/>
        </w:rPr>
        <w:t>r(s)</w:t>
      </w:r>
      <w:r w:rsidRPr="00276F36">
        <w:rPr>
          <w:i/>
        </w:rPr>
        <w:t xml:space="preserve"> on the 0781</w:t>
      </w:r>
      <w:r>
        <w:rPr>
          <w:i/>
        </w:rPr>
        <w:t>(</w:t>
      </w:r>
      <w:r w:rsidRPr="00276F36">
        <w:rPr>
          <w:i/>
        </w:rPr>
        <w:t>s</w:t>
      </w:r>
      <w:r>
        <w:rPr>
          <w:i/>
        </w:rPr>
        <w:t>)/DBQ</w:t>
      </w:r>
      <w:r w:rsidRPr="00276F36">
        <w:rPr>
          <w:i/>
        </w:rPr>
        <w:t>. *See Claim Notes</w:t>
      </w:r>
      <w:r>
        <w:rPr>
          <w:i/>
        </w:rPr>
        <w:t xml:space="preserve"> for more details</w:t>
      </w:r>
      <w:r w:rsidRPr="00276F36">
        <w:rPr>
          <w:i/>
        </w:rPr>
        <w:t>.</w:t>
      </w:r>
    </w:p>
    <w:p w:rsidR="0047161A" w:rsidRPr="00606A3D" w:rsidRDefault="00D275EA" w:rsidP="00606A3D">
      <w:pPr>
        <w:widowControl w:val="0"/>
        <w:pBdr>
          <w:top w:val="single" w:sz="4" w:space="3" w:color="auto"/>
          <w:left w:val="single" w:sz="4" w:space="4" w:color="auto"/>
          <w:bottom w:val="single" w:sz="4" w:space="1" w:color="auto"/>
          <w:right w:val="single" w:sz="4" w:space="4" w:color="auto"/>
        </w:pBdr>
        <w:spacing w:after="120"/>
        <w:ind w:left="810" w:right="90"/>
        <w:rPr>
          <w:i/>
        </w:rPr>
      </w:pPr>
      <w:r>
        <w:rPr>
          <w:i/>
        </w:rPr>
        <w:t>for C</w:t>
      </w:r>
      <w:r w:rsidRPr="00276F36">
        <w:rPr>
          <w:i/>
        </w:rPr>
        <w:t>laim Note:  Claim is not RFD. The Initial PTSD DBQ shows a diagnosis of unspecified anxiety disorder linked to Stressor #1. We cannot grant</w:t>
      </w:r>
      <w:r>
        <w:rPr>
          <w:i/>
        </w:rPr>
        <w:t xml:space="preserve"> SC for </w:t>
      </w:r>
      <w:r w:rsidRPr="00276F36">
        <w:rPr>
          <w:i/>
        </w:rPr>
        <w:t>unspecified anxiety disorder based on fear under 3.304(f)(3), but must use 3.303, which requires a verified event. We need to attem</w:t>
      </w:r>
      <w:r>
        <w:rPr>
          <w:i/>
        </w:rPr>
        <w:t>pt to verify the reported event(s)</w:t>
      </w:r>
      <w:r w:rsidRPr="00276F36">
        <w:rPr>
          <w:i/>
        </w:rPr>
        <w:t>/stresso</w:t>
      </w:r>
      <w:r>
        <w:rPr>
          <w:i/>
        </w:rPr>
        <w:t>r(s)</w:t>
      </w:r>
      <w:r w:rsidRPr="00276F36">
        <w:rPr>
          <w:i/>
        </w:rPr>
        <w:t xml:space="preserve"> on the 0781</w:t>
      </w:r>
      <w:r>
        <w:rPr>
          <w:i/>
        </w:rPr>
        <w:t>(</w:t>
      </w:r>
      <w:r w:rsidRPr="00276F36">
        <w:rPr>
          <w:i/>
        </w:rPr>
        <w:t>s</w:t>
      </w:r>
      <w:r>
        <w:rPr>
          <w:i/>
        </w:rPr>
        <w:t>)/DBQ</w:t>
      </w:r>
      <w:r w:rsidR="0093236F">
        <w:rPr>
          <w:i/>
        </w:rPr>
        <w:t xml:space="preserve">. </w:t>
      </w:r>
      <w:r w:rsidR="0093236F" w:rsidRPr="0093236F">
        <w:rPr>
          <w:i/>
        </w:rPr>
        <w:t>III.iv.4.O.4.k</w:t>
      </w:r>
      <w:r w:rsidR="00606A3D">
        <w:rPr>
          <w:i/>
        </w:rPr>
        <w:t>. Deferral done.</w:t>
      </w:r>
    </w:p>
    <w:p w:rsidR="00D275EA" w:rsidRPr="004C675F" w:rsidRDefault="00D275EA" w:rsidP="00F063AF">
      <w:pPr>
        <w:pStyle w:val="ListParagraph"/>
        <w:numPr>
          <w:ilvl w:val="0"/>
          <w:numId w:val="138"/>
        </w:numPr>
        <w:ind w:left="360"/>
        <w:rPr>
          <w:rFonts w:ascii="Tahoma" w:hAnsi="Tahoma" w:cs="Tahoma"/>
          <w:sz w:val="20"/>
        </w:rPr>
      </w:pPr>
      <w:r w:rsidRPr="00637BF0">
        <w:rPr>
          <w:rFonts w:ascii="Tahoma" w:hAnsi="Tahoma" w:cs="Tahoma"/>
          <w:b/>
          <w:bCs/>
          <w:sz w:val="20"/>
        </w:rPr>
        <w:t>From:</w:t>
      </w:r>
      <w:r w:rsidRPr="00637BF0">
        <w:rPr>
          <w:rFonts w:ascii="Tahoma" w:hAnsi="Tahoma" w:cs="Tahoma"/>
          <w:sz w:val="20"/>
        </w:rPr>
        <w:t xml:space="preserve"> VAVBASDC/RO/VSC </w:t>
      </w:r>
      <w:r w:rsidRPr="00637BF0">
        <w:rPr>
          <w:rFonts w:ascii="Tahoma" w:hAnsi="Tahoma" w:cs="Tahoma"/>
          <w:sz w:val="20"/>
        </w:rPr>
        <w:br/>
      </w:r>
      <w:r w:rsidRPr="00637BF0">
        <w:rPr>
          <w:rFonts w:ascii="Tahoma" w:hAnsi="Tahoma" w:cs="Tahoma"/>
          <w:b/>
          <w:bCs/>
          <w:sz w:val="20"/>
        </w:rPr>
        <w:t>Sent:</w:t>
      </w:r>
      <w:r w:rsidRPr="00637BF0">
        <w:rPr>
          <w:rFonts w:ascii="Tahoma" w:hAnsi="Tahoma" w:cs="Tahoma"/>
          <w:sz w:val="20"/>
        </w:rPr>
        <w:t xml:space="preserve"> Monday, March 13, 2017 10:48 AM</w:t>
      </w:r>
      <w:r w:rsidRPr="00637BF0">
        <w:rPr>
          <w:rFonts w:ascii="Tahoma" w:hAnsi="Tahoma" w:cs="Tahoma"/>
          <w:sz w:val="20"/>
        </w:rPr>
        <w:br/>
      </w:r>
      <w:r w:rsidRPr="00637BF0">
        <w:rPr>
          <w:rFonts w:ascii="Tahoma" w:hAnsi="Tahoma" w:cs="Tahoma"/>
          <w:b/>
          <w:bCs/>
          <w:sz w:val="20"/>
        </w:rPr>
        <w:t>To:</w:t>
      </w:r>
      <w:r w:rsidRPr="00637BF0">
        <w:rPr>
          <w:rFonts w:ascii="Tahoma" w:hAnsi="Tahoma" w:cs="Tahoma"/>
          <w:sz w:val="20"/>
        </w:rPr>
        <w:t xml:space="preserve"> VBASDC_VSC Employees</w:t>
      </w:r>
      <w:r w:rsidRPr="00637BF0">
        <w:rPr>
          <w:rFonts w:ascii="Tahoma" w:hAnsi="Tahoma" w:cs="Tahoma"/>
          <w:sz w:val="20"/>
        </w:rPr>
        <w:br/>
      </w:r>
      <w:r w:rsidRPr="00637BF0">
        <w:rPr>
          <w:rFonts w:ascii="Tahoma" w:hAnsi="Tahoma" w:cs="Tahoma"/>
          <w:b/>
          <w:bCs/>
          <w:sz w:val="20"/>
        </w:rPr>
        <w:t>Subject:</w:t>
      </w:r>
      <w:r w:rsidRPr="00637BF0">
        <w:rPr>
          <w:rFonts w:ascii="Tahoma" w:hAnsi="Tahoma" w:cs="Tahoma"/>
          <w:sz w:val="20"/>
        </w:rPr>
        <w:t xml:space="preserve"> Q-Tip PTSD Stressor Development</w:t>
      </w:r>
      <w:r w:rsidRPr="009E2F62">
        <w:rPr>
          <w:rFonts w:ascii="Tahoma" w:hAnsi="Tahoma" w:cs="Tahoma"/>
          <w:sz w:val="20"/>
          <w:highlight w:val="darkGray"/>
        </w:rPr>
        <w:t>/VA Form 21-0845 process</w:t>
      </w:r>
      <w:r w:rsidRPr="00637BF0">
        <w:rPr>
          <w:rFonts w:ascii="Tahoma" w:hAnsi="Tahoma" w:cs="Tahoma"/>
          <w:sz w:val="20"/>
        </w:rPr>
        <w:t xml:space="preserve"> Attn: VSRs</w:t>
      </w:r>
    </w:p>
    <w:p w:rsidR="00D275EA" w:rsidRPr="00637BF0" w:rsidRDefault="00D275EA" w:rsidP="00D275EA">
      <w:pPr>
        <w:ind w:left="360"/>
        <w:rPr>
          <w:rFonts w:eastAsiaTheme="minorHAnsi"/>
          <w:b/>
          <w:bCs/>
          <w:szCs w:val="24"/>
        </w:rPr>
      </w:pPr>
      <w:r w:rsidRPr="00637BF0">
        <w:rPr>
          <w:b/>
          <w:bCs/>
          <w:szCs w:val="24"/>
        </w:rPr>
        <w:t>Question: How do VSRs properly document PTSD stressor development in VBMS?</w:t>
      </w:r>
    </w:p>
    <w:p w:rsidR="00D275EA" w:rsidRPr="00637BF0" w:rsidRDefault="00D275EA" w:rsidP="00F063AF">
      <w:pPr>
        <w:pStyle w:val="ListParagraph"/>
        <w:numPr>
          <w:ilvl w:val="0"/>
          <w:numId w:val="352"/>
        </w:numPr>
        <w:spacing w:after="0" w:line="240" w:lineRule="auto"/>
        <w:rPr>
          <w:rFonts w:ascii="Arial" w:hAnsi="Arial"/>
          <w:sz w:val="20"/>
          <w:szCs w:val="24"/>
        </w:rPr>
      </w:pPr>
      <w:r w:rsidRPr="00637BF0">
        <w:rPr>
          <w:rFonts w:ascii="Arial" w:hAnsi="Arial"/>
          <w:sz w:val="20"/>
          <w:szCs w:val="24"/>
        </w:rPr>
        <w:t xml:space="preserve">M21-1 IV.ii.1.D.1 General Information on Developing Claims for SC for PTSD </w:t>
      </w:r>
    </w:p>
    <w:p w:rsidR="00D275EA" w:rsidRPr="00637BF0" w:rsidRDefault="00D275EA" w:rsidP="00D275EA">
      <w:pPr>
        <w:ind w:left="720"/>
        <w:rPr>
          <w:szCs w:val="24"/>
        </w:rPr>
      </w:pPr>
      <w:r w:rsidRPr="00637BF0">
        <w:rPr>
          <w:szCs w:val="24"/>
        </w:rPr>
        <w:t>-then-</w:t>
      </w:r>
    </w:p>
    <w:p w:rsidR="00D275EA" w:rsidRPr="00637BF0" w:rsidRDefault="00D275EA" w:rsidP="00F063AF">
      <w:pPr>
        <w:pStyle w:val="ListParagraph"/>
        <w:numPr>
          <w:ilvl w:val="0"/>
          <w:numId w:val="352"/>
        </w:numPr>
        <w:spacing w:after="120" w:line="240" w:lineRule="auto"/>
        <w:rPr>
          <w:rFonts w:ascii="Arial" w:hAnsi="Arial"/>
          <w:sz w:val="20"/>
          <w:szCs w:val="24"/>
        </w:rPr>
      </w:pPr>
      <w:r w:rsidRPr="00637BF0">
        <w:rPr>
          <w:rFonts w:ascii="Arial" w:hAnsi="Arial"/>
          <w:sz w:val="20"/>
          <w:szCs w:val="24"/>
        </w:rPr>
        <w:t>M21-1 IV.ii.1.D.1.n. Documentation of Stressor Development</w:t>
      </w:r>
    </w:p>
    <w:p w:rsidR="00D275EA" w:rsidRPr="00637BF0" w:rsidRDefault="00D275EA" w:rsidP="00D275EA">
      <w:pPr>
        <w:spacing w:after="120"/>
        <w:ind w:left="360"/>
        <w:rPr>
          <w:b/>
          <w:bCs/>
          <w:szCs w:val="24"/>
          <w:u w:val="single"/>
        </w:rPr>
      </w:pPr>
      <w:r w:rsidRPr="00A11863">
        <w:rPr>
          <w:b/>
          <w:bCs/>
          <w:szCs w:val="24"/>
          <w:u w:val="single"/>
        </w:rPr>
        <w:t>Change Date January 30, 2017</w:t>
      </w:r>
    </w:p>
    <w:p w:rsidR="00D275EA" w:rsidRDefault="00D275EA" w:rsidP="00D275EA">
      <w:pPr>
        <w:spacing w:after="120"/>
        <w:ind w:left="360"/>
        <w:rPr>
          <w:szCs w:val="24"/>
        </w:rPr>
      </w:pPr>
      <w:r w:rsidRPr="00637BF0">
        <w:rPr>
          <w:szCs w:val="24"/>
        </w:rPr>
        <w:t>Fully document all sources of evidence obtained for purposes of stressor verification in the claims folder.</w:t>
      </w:r>
    </w:p>
    <w:p w:rsidR="00D275EA" w:rsidRPr="00637BF0" w:rsidRDefault="00D275EA" w:rsidP="00D275EA">
      <w:pPr>
        <w:spacing w:after="120"/>
        <w:ind w:left="360"/>
        <w:rPr>
          <w:szCs w:val="24"/>
        </w:rPr>
      </w:pPr>
      <w:r w:rsidRPr="00637BF0">
        <w:rPr>
          <w:szCs w:val="24"/>
        </w:rPr>
        <w:t xml:space="preserve">At the time of initial claims folder review, insert a permanent claim-level note in the Veterans Benefits Management System (VBMS), entering </w:t>
      </w:r>
      <w:r w:rsidRPr="00637BF0">
        <w:rPr>
          <w:i/>
          <w:iCs/>
          <w:szCs w:val="24"/>
        </w:rPr>
        <w:t xml:space="preserve">Stressor Verification </w:t>
      </w:r>
      <w:r w:rsidRPr="00637BF0">
        <w:rPr>
          <w:szCs w:val="24"/>
        </w:rPr>
        <w:t>in the first line of the note, and include the following information:</w:t>
      </w:r>
    </w:p>
    <w:p w:rsidR="00D275EA" w:rsidRPr="00637BF0" w:rsidRDefault="00D275EA" w:rsidP="00F063AF">
      <w:pPr>
        <w:numPr>
          <w:ilvl w:val="0"/>
          <w:numId w:val="353"/>
        </w:numPr>
        <w:tabs>
          <w:tab w:val="clear" w:pos="720"/>
          <w:tab w:val="num" w:pos="990"/>
        </w:tabs>
        <w:overflowPunct/>
        <w:autoSpaceDE/>
        <w:autoSpaceDN/>
        <w:adjustRightInd/>
        <w:ind w:left="806"/>
        <w:textAlignment w:val="auto"/>
        <w:rPr>
          <w:szCs w:val="24"/>
        </w:rPr>
      </w:pPr>
      <w:r w:rsidRPr="00637BF0">
        <w:rPr>
          <w:szCs w:val="24"/>
        </w:rPr>
        <w:t>whether stressor can be verified at this stage</w:t>
      </w:r>
    </w:p>
    <w:p w:rsidR="00D275EA" w:rsidRPr="00637BF0" w:rsidRDefault="00D275EA" w:rsidP="00F063AF">
      <w:pPr>
        <w:numPr>
          <w:ilvl w:val="0"/>
          <w:numId w:val="353"/>
        </w:numPr>
        <w:tabs>
          <w:tab w:val="clear" w:pos="720"/>
          <w:tab w:val="num" w:pos="990"/>
        </w:tabs>
        <w:overflowPunct/>
        <w:autoSpaceDE/>
        <w:autoSpaceDN/>
        <w:adjustRightInd/>
        <w:spacing w:before="100" w:beforeAutospacing="1" w:after="100" w:afterAutospacing="1"/>
        <w:ind w:left="810"/>
        <w:textAlignment w:val="auto"/>
        <w:rPr>
          <w:szCs w:val="24"/>
        </w:rPr>
      </w:pPr>
      <w:r w:rsidRPr="00637BF0">
        <w:rPr>
          <w:szCs w:val="24"/>
        </w:rPr>
        <w:t>an explanation of why stressor is or is not considered verified, and</w:t>
      </w:r>
    </w:p>
    <w:p w:rsidR="00D275EA" w:rsidRPr="00637BF0" w:rsidRDefault="00D275EA" w:rsidP="00F063AF">
      <w:pPr>
        <w:numPr>
          <w:ilvl w:val="0"/>
          <w:numId w:val="353"/>
        </w:numPr>
        <w:tabs>
          <w:tab w:val="clear" w:pos="720"/>
          <w:tab w:val="num" w:pos="990"/>
        </w:tabs>
        <w:overflowPunct/>
        <w:autoSpaceDE/>
        <w:autoSpaceDN/>
        <w:adjustRightInd/>
        <w:spacing w:after="120"/>
        <w:ind w:left="806"/>
        <w:textAlignment w:val="auto"/>
        <w:rPr>
          <w:szCs w:val="24"/>
        </w:rPr>
      </w:pPr>
      <w:r w:rsidRPr="00637BF0">
        <w:rPr>
          <w:szCs w:val="24"/>
        </w:rPr>
        <w:t>a listing of the sources reviewed to include, but not limited to, personnel records, lay statements, medals or citations, and web sites.</w:t>
      </w:r>
    </w:p>
    <w:p w:rsidR="00D275EA" w:rsidRPr="00637BF0" w:rsidRDefault="00D275EA" w:rsidP="00D275EA">
      <w:pPr>
        <w:spacing w:after="120"/>
        <w:ind w:left="360"/>
        <w:rPr>
          <w:rFonts w:eastAsiaTheme="minorHAnsi"/>
          <w:szCs w:val="24"/>
        </w:rPr>
      </w:pPr>
      <w:r w:rsidRPr="00637BF0">
        <w:rPr>
          <w:szCs w:val="24"/>
        </w:rPr>
        <w:t xml:space="preserve">When the stressor is not verified at the time of initial claims folder review but is subsequently verified during the development process, insert a permanent claim-level note in VBMS, entering </w:t>
      </w:r>
      <w:r w:rsidRPr="00637BF0">
        <w:rPr>
          <w:i/>
          <w:iCs/>
          <w:szCs w:val="24"/>
        </w:rPr>
        <w:t>Stressor Verification</w:t>
      </w:r>
      <w:r w:rsidRPr="00637BF0">
        <w:rPr>
          <w:szCs w:val="24"/>
        </w:rPr>
        <w:t xml:space="preserve"> in the first line of the note, and include the following information:</w:t>
      </w:r>
    </w:p>
    <w:p w:rsidR="00D275EA" w:rsidRPr="00637BF0" w:rsidRDefault="00D275EA" w:rsidP="00F063AF">
      <w:pPr>
        <w:numPr>
          <w:ilvl w:val="0"/>
          <w:numId w:val="354"/>
        </w:numPr>
        <w:tabs>
          <w:tab w:val="clear" w:pos="720"/>
          <w:tab w:val="left" w:pos="810"/>
          <w:tab w:val="num" w:pos="900"/>
        </w:tabs>
        <w:overflowPunct/>
        <w:autoSpaceDE/>
        <w:autoSpaceDN/>
        <w:adjustRightInd/>
        <w:ind w:left="806"/>
        <w:textAlignment w:val="auto"/>
        <w:rPr>
          <w:szCs w:val="24"/>
        </w:rPr>
      </w:pPr>
      <w:r w:rsidRPr="00637BF0">
        <w:rPr>
          <w:szCs w:val="24"/>
        </w:rPr>
        <w:t>an explanation of why the stressor is considered verified, and</w:t>
      </w:r>
    </w:p>
    <w:p w:rsidR="00D275EA" w:rsidRPr="00637BF0" w:rsidRDefault="00D275EA" w:rsidP="00F063AF">
      <w:pPr>
        <w:numPr>
          <w:ilvl w:val="0"/>
          <w:numId w:val="354"/>
        </w:numPr>
        <w:tabs>
          <w:tab w:val="clear" w:pos="720"/>
          <w:tab w:val="left" w:pos="810"/>
        </w:tabs>
        <w:overflowPunct/>
        <w:autoSpaceDE/>
        <w:autoSpaceDN/>
        <w:adjustRightInd/>
        <w:spacing w:after="120"/>
        <w:ind w:left="806"/>
        <w:textAlignment w:val="auto"/>
        <w:rPr>
          <w:szCs w:val="24"/>
        </w:rPr>
      </w:pPr>
      <w:r w:rsidRPr="00637BF0">
        <w:rPr>
          <w:szCs w:val="24"/>
        </w:rPr>
        <w:t>a listing of the source of evidence for verification of the stressor.</w:t>
      </w:r>
    </w:p>
    <w:p w:rsidR="00D275EA" w:rsidRPr="00637BF0" w:rsidRDefault="00D275EA" w:rsidP="00D275EA">
      <w:pPr>
        <w:spacing w:after="120"/>
        <w:ind w:left="360"/>
        <w:rPr>
          <w:rFonts w:eastAsiaTheme="minorHAnsi"/>
          <w:szCs w:val="24"/>
        </w:rPr>
      </w:pPr>
      <w:r w:rsidRPr="00637BF0">
        <w:rPr>
          <w:b/>
          <w:bCs/>
          <w:i/>
          <w:iCs/>
          <w:szCs w:val="24"/>
        </w:rPr>
        <w:t>References</w:t>
      </w:r>
      <w:r w:rsidRPr="00637BF0">
        <w:rPr>
          <w:szCs w:val="24"/>
        </w:rPr>
        <w:t>:  For more information on</w:t>
      </w:r>
    </w:p>
    <w:p w:rsidR="00D275EA" w:rsidRPr="00637BF0" w:rsidRDefault="00D275EA" w:rsidP="00F063AF">
      <w:pPr>
        <w:numPr>
          <w:ilvl w:val="0"/>
          <w:numId w:val="355"/>
        </w:numPr>
        <w:tabs>
          <w:tab w:val="clear" w:pos="720"/>
          <w:tab w:val="num" w:pos="810"/>
        </w:tabs>
        <w:overflowPunct/>
        <w:autoSpaceDE/>
        <w:autoSpaceDN/>
        <w:adjustRightInd/>
        <w:ind w:left="806"/>
        <w:textAlignment w:val="auto"/>
        <w:rPr>
          <w:szCs w:val="24"/>
        </w:rPr>
      </w:pPr>
      <w:r w:rsidRPr="00637BF0">
        <w:rPr>
          <w:szCs w:val="24"/>
        </w:rPr>
        <w:t>development to the Veteran for stressor information and development for evidence of in-service mental health treatment, see M21-1 IV.ii.1.D.2</w:t>
      </w:r>
    </w:p>
    <w:p w:rsidR="00D275EA" w:rsidRPr="00637BF0" w:rsidRDefault="00D275EA" w:rsidP="00F063AF">
      <w:pPr>
        <w:numPr>
          <w:ilvl w:val="0"/>
          <w:numId w:val="355"/>
        </w:numPr>
        <w:tabs>
          <w:tab w:val="clear" w:pos="720"/>
          <w:tab w:val="num" w:pos="810"/>
        </w:tabs>
        <w:overflowPunct/>
        <w:autoSpaceDE/>
        <w:autoSpaceDN/>
        <w:adjustRightInd/>
        <w:spacing w:before="100" w:beforeAutospacing="1" w:after="100" w:afterAutospacing="1"/>
        <w:ind w:left="810"/>
        <w:textAlignment w:val="auto"/>
        <w:rPr>
          <w:szCs w:val="24"/>
        </w:rPr>
      </w:pPr>
      <w:r w:rsidRPr="00637BF0">
        <w:rPr>
          <w:szCs w:val="24"/>
        </w:rPr>
        <w:t xml:space="preserve">requesting corroboration of an in-service stressor, see M21-1 IV.ii.1.D.3 and, </w:t>
      </w:r>
    </w:p>
    <w:p w:rsidR="00D275EA" w:rsidRPr="00135AF1" w:rsidRDefault="00D275EA" w:rsidP="00F063AF">
      <w:pPr>
        <w:numPr>
          <w:ilvl w:val="0"/>
          <w:numId w:val="355"/>
        </w:numPr>
        <w:tabs>
          <w:tab w:val="clear" w:pos="720"/>
          <w:tab w:val="num" w:pos="810"/>
        </w:tabs>
        <w:overflowPunct/>
        <w:autoSpaceDE/>
        <w:autoSpaceDN/>
        <w:adjustRightInd/>
        <w:spacing w:before="100" w:beforeAutospacing="1" w:after="100" w:afterAutospacing="1"/>
        <w:ind w:left="810"/>
        <w:textAlignment w:val="auto"/>
        <w:rPr>
          <w:rStyle w:val="referencecode1"/>
          <w:sz w:val="20"/>
          <w:highlight w:val="darkGray"/>
        </w:rPr>
      </w:pPr>
      <w:r w:rsidRPr="00135AF1">
        <w:rPr>
          <w:szCs w:val="24"/>
          <w:highlight w:val="darkGray"/>
        </w:rPr>
        <w:t xml:space="preserve">completion of a formal finding of a lack of information required to document the claimed stressor(s), see M21-1 IV.ii.1.D.4 </w:t>
      </w:r>
    </w:p>
    <w:p w:rsidR="00D275EA" w:rsidRPr="00F35B19" w:rsidRDefault="00D275EA" w:rsidP="00D275EA">
      <w:pPr>
        <w:widowControl w:val="0"/>
        <w:spacing w:after="120"/>
        <w:rPr>
          <w:iCs/>
        </w:rPr>
      </w:pPr>
      <w:r>
        <w:rPr>
          <w:iCs/>
        </w:rPr>
        <w:t xml:space="preserve">PTSD Rating Job Aids - </w:t>
      </w:r>
      <w:hyperlink r:id="rId631" w:history="1">
        <w:r w:rsidRPr="0098268D">
          <w:rPr>
            <w:rStyle w:val="Hyperlink"/>
            <w:b/>
            <w:bCs/>
            <w:i/>
            <w:iCs/>
          </w:rPr>
          <w:t>http://vbaw.vba.va.gov/bl/21/rating/rat06.htm</w:t>
        </w:r>
      </w:hyperlink>
      <w:r>
        <w:rPr>
          <w:rStyle w:val="Hyperlink"/>
          <w:bCs/>
          <w:iCs/>
          <w:u w:val="none"/>
        </w:rPr>
        <w:t xml:space="preserve">; </w:t>
      </w:r>
      <w:r w:rsidRPr="00F35B19">
        <w:rPr>
          <w:rStyle w:val="Hyperlink"/>
          <w:bCs/>
          <w:iCs/>
          <w:color w:val="auto"/>
          <w:u w:val="none"/>
        </w:rPr>
        <w:t>VA-sanctioned websites are under “Helpful Website Links”</w:t>
      </w:r>
    </w:p>
    <w:p w:rsidR="00D275EA" w:rsidRDefault="00D275EA" w:rsidP="00D275EA">
      <w:pPr>
        <w:widowControl w:val="0"/>
        <w:spacing w:after="120"/>
        <w:rPr>
          <w:b/>
          <w:i/>
          <w:color w:val="0000FF"/>
          <w:u w:val="single"/>
        </w:rPr>
      </w:pPr>
      <w:r>
        <w:t>Stressor Verification Database on C&amp;P Website -</w:t>
      </w:r>
      <w:r w:rsidRPr="00871EB5">
        <w:t xml:space="preserve"> </w:t>
      </w:r>
      <w:hyperlink r:id="rId632" w:history="1">
        <w:r w:rsidRPr="0098268D">
          <w:rPr>
            <w:b/>
            <w:i/>
            <w:color w:val="0000FF"/>
            <w:u w:val="single"/>
          </w:rPr>
          <w:t>http://vbaw.vba.va.gov/bl/21/rating/stressor/general.htm</w:t>
        </w:r>
      </w:hyperlink>
    </w:p>
    <w:p w:rsidR="00D275EA" w:rsidRDefault="00D275EA" w:rsidP="00D275EA">
      <w:pPr>
        <w:widowControl w:val="0"/>
        <w:spacing w:after="120"/>
      </w:pPr>
      <w:r w:rsidRPr="009174DA">
        <w:t xml:space="preserve">In VA Pulse, </w:t>
      </w:r>
      <w:r w:rsidRPr="006A627B">
        <w:rPr>
          <w:b/>
          <w:i/>
        </w:rPr>
        <w:t>https://www.vapulse.net/groups/jsrrc</w:t>
      </w:r>
      <w:r>
        <w:rPr>
          <w:color w:val="0000FF"/>
        </w:rPr>
        <w:t xml:space="preserve">, </w:t>
      </w:r>
      <w:r w:rsidRPr="009174DA">
        <w:t>JSRRC – Central Clearing House, with:</w:t>
      </w:r>
    </w:p>
    <w:p w:rsidR="00D275EA" w:rsidRPr="009174DA" w:rsidRDefault="00D275EA" w:rsidP="00F063AF">
      <w:pPr>
        <w:pStyle w:val="ListParagraph"/>
        <w:widowControl w:val="0"/>
        <w:numPr>
          <w:ilvl w:val="0"/>
          <w:numId w:val="232"/>
        </w:numPr>
        <w:spacing w:after="120" w:line="240" w:lineRule="auto"/>
        <w:rPr>
          <w:rFonts w:ascii="Arial" w:hAnsi="Arial"/>
          <w:sz w:val="20"/>
          <w:szCs w:val="20"/>
        </w:rPr>
      </w:pPr>
      <w:r w:rsidRPr="00D90920">
        <w:rPr>
          <w:rFonts w:ascii="Arial" w:hAnsi="Arial"/>
          <w:i/>
          <w:sz w:val="20"/>
          <w:szCs w:val="20"/>
        </w:rPr>
        <w:t>https://www.vapulse.net/docs/DOC-13968</w:t>
      </w:r>
      <w:r>
        <w:rPr>
          <w:rFonts w:ascii="Arial" w:hAnsi="Arial"/>
          <w:sz w:val="20"/>
          <w:szCs w:val="20"/>
        </w:rPr>
        <w:t xml:space="preserve">, </w:t>
      </w:r>
      <w:r w:rsidRPr="009174DA">
        <w:rPr>
          <w:rFonts w:ascii="Arial" w:hAnsi="Arial"/>
          <w:sz w:val="20"/>
          <w:szCs w:val="20"/>
        </w:rPr>
        <w:t>document on How to Search Deck Logs on the NARA website</w:t>
      </w:r>
    </w:p>
    <w:p w:rsidR="00D275EA" w:rsidRPr="009174DA" w:rsidRDefault="00D275EA" w:rsidP="00F063AF">
      <w:pPr>
        <w:pStyle w:val="ListParagraph"/>
        <w:widowControl w:val="0"/>
        <w:numPr>
          <w:ilvl w:val="0"/>
          <w:numId w:val="232"/>
        </w:numPr>
        <w:tabs>
          <w:tab w:val="left" w:pos="0"/>
          <w:tab w:val="left" w:pos="144"/>
        </w:tabs>
        <w:spacing w:after="120" w:line="240" w:lineRule="auto"/>
        <w:outlineLvl w:val="0"/>
        <w:rPr>
          <w:rFonts w:ascii="Arial" w:hAnsi="Arial"/>
          <w:sz w:val="20"/>
          <w:szCs w:val="20"/>
        </w:rPr>
      </w:pPr>
      <w:r w:rsidRPr="00D90920">
        <w:rPr>
          <w:rFonts w:ascii="Arial" w:hAnsi="Arial"/>
          <w:i/>
          <w:sz w:val="20"/>
          <w:szCs w:val="20"/>
        </w:rPr>
        <w:t>https://www.vapulse.net/docs/DOC-13974</w:t>
      </w:r>
      <w:r w:rsidRPr="009174DA">
        <w:rPr>
          <w:rFonts w:ascii="Arial" w:hAnsi="Arial"/>
          <w:sz w:val="20"/>
          <w:szCs w:val="20"/>
        </w:rPr>
        <w:t>, document with excerpts from the official report of the C-5 Galaxy crash at Ramstein Air Base (Germany) 29 Aug 1990</w:t>
      </w:r>
    </w:p>
    <w:p w:rsidR="00D275EA" w:rsidRPr="009174DA" w:rsidRDefault="00D275EA" w:rsidP="00F063AF">
      <w:pPr>
        <w:pStyle w:val="ListParagraph"/>
        <w:widowControl w:val="0"/>
        <w:numPr>
          <w:ilvl w:val="0"/>
          <w:numId w:val="232"/>
        </w:numPr>
        <w:spacing w:after="120" w:line="240" w:lineRule="auto"/>
        <w:rPr>
          <w:rFonts w:ascii="Arial" w:hAnsi="Arial"/>
          <w:sz w:val="20"/>
          <w:szCs w:val="20"/>
        </w:rPr>
      </w:pPr>
      <w:r w:rsidRPr="00D90920">
        <w:rPr>
          <w:rFonts w:ascii="Arial" w:hAnsi="Arial"/>
          <w:i/>
          <w:sz w:val="20"/>
          <w:szCs w:val="20"/>
        </w:rPr>
        <w:t>https://www.vapulse.net/docs/DOC-13973</w:t>
      </w:r>
      <w:r>
        <w:rPr>
          <w:rFonts w:ascii="Arial" w:hAnsi="Arial"/>
          <w:color w:val="0000FF"/>
          <w:sz w:val="20"/>
          <w:szCs w:val="20"/>
        </w:rPr>
        <w:t xml:space="preserve">, </w:t>
      </w:r>
      <w:r w:rsidRPr="009174DA">
        <w:rPr>
          <w:rFonts w:ascii="Arial" w:hAnsi="Arial"/>
          <w:sz w:val="20"/>
          <w:szCs w:val="20"/>
        </w:rPr>
        <w:t>Navy SeaBee Museum contact</w:t>
      </w:r>
    </w:p>
    <w:p w:rsidR="00D275EA" w:rsidRPr="009174DA" w:rsidRDefault="00D275EA" w:rsidP="00F063AF">
      <w:pPr>
        <w:pStyle w:val="ListParagraph"/>
        <w:widowControl w:val="0"/>
        <w:numPr>
          <w:ilvl w:val="0"/>
          <w:numId w:val="232"/>
        </w:numPr>
        <w:spacing w:after="120" w:line="240" w:lineRule="auto"/>
        <w:rPr>
          <w:rFonts w:ascii="Arial" w:hAnsi="Arial"/>
          <w:sz w:val="20"/>
          <w:szCs w:val="20"/>
        </w:rPr>
      </w:pPr>
      <w:r w:rsidRPr="009174DA">
        <w:rPr>
          <w:rFonts w:ascii="Arial" w:hAnsi="Arial"/>
          <w:sz w:val="20"/>
          <w:szCs w:val="20"/>
        </w:rPr>
        <w:t>&amp; more…</w:t>
      </w:r>
    </w:p>
    <w:p w:rsidR="00D275EA" w:rsidRDefault="00D275EA" w:rsidP="00D275EA">
      <w:pPr>
        <w:widowControl w:val="0"/>
        <w:rPr>
          <w:rStyle w:val="referencecode1"/>
          <w:sz w:val="20"/>
        </w:rPr>
      </w:pPr>
    </w:p>
    <w:p w:rsidR="00D275EA" w:rsidRPr="008E14A3" w:rsidRDefault="00D275EA" w:rsidP="00D275EA">
      <w:pPr>
        <w:pStyle w:val="BodyText"/>
        <w:widowControl w:val="0"/>
        <w:numPr>
          <w:ilvl w:val="12"/>
          <w:numId w:val="0"/>
        </w:numPr>
        <w:rPr>
          <w:sz w:val="20"/>
        </w:rPr>
      </w:pPr>
      <w:r w:rsidRPr="008E14A3">
        <w:rPr>
          <w:sz w:val="20"/>
        </w:rPr>
        <w:t xml:space="preserve">Receipt of any of the following decorations will be considered evidence of participation in </w:t>
      </w:r>
      <w:r w:rsidR="00A11863">
        <w:rPr>
          <w:sz w:val="20"/>
        </w:rPr>
        <w:t>a stressful episode/combat (per</w:t>
      </w:r>
      <w:r>
        <w:rPr>
          <w:sz w:val="20"/>
        </w:rPr>
        <w:t xml:space="preserve"> </w:t>
      </w:r>
      <w:r>
        <w:rPr>
          <w:b/>
          <w:sz w:val="20"/>
        </w:rPr>
        <w:t>IV.ii.1.D.1.e</w:t>
      </w:r>
      <w:r w:rsidRPr="008E14A3">
        <w:rPr>
          <w:sz w:val="20"/>
        </w:rPr>
        <w:t>):</w:t>
      </w:r>
    </w:p>
    <w:p w:rsidR="00D275EA" w:rsidRDefault="00D275EA" w:rsidP="00D275EA">
      <w:pPr>
        <w:widowControl w:val="0"/>
        <w:numPr>
          <w:ilvl w:val="12"/>
          <w:numId w:val="0"/>
        </w:numPr>
        <w:ind w:left="720"/>
        <w:rPr>
          <w:sz w:val="18"/>
        </w:rPr>
      </w:pPr>
      <w:r>
        <w:rPr>
          <w:sz w:val="18"/>
        </w:rPr>
        <w:t>Air Force Achievement Medal with “V” Device</w:t>
      </w:r>
    </w:p>
    <w:p w:rsidR="00D275EA" w:rsidRDefault="00D275EA" w:rsidP="00D275EA">
      <w:pPr>
        <w:widowControl w:val="0"/>
        <w:numPr>
          <w:ilvl w:val="12"/>
          <w:numId w:val="0"/>
        </w:numPr>
        <w:ind w:left="720"/>
        <w:rPr>
          <w:sz w:val="18"/>
        </w:rPr>
      </w:pPr>
      <w:r>
        <w:rPr>
          <w:sz w:val="18"/>
        </w:rPr>
        <w:t>Air Force Combat Action Medal</w:t>
      </w:r>
    </w:p>
    <w:p w:rsidR="00D275EA" w:rsidRDefault="00D275EA" w:rsidP="00D275EA">
      <w:pPr>
        <w:widowControl w:val="0"/>
        <w:numPr>
          <w:ilvl w:val="12"/>
          <w:numId w:val="0"/>
        </w:numPr>
        <w:ind w:left="720"/>
        <w:rPr>
          <w:sz w:val="18"/>
        </w:rPr>
      </w:pPr>
      <w:r>
        <w:rPr>
          <w:sz w:val="18"/>
        </w:rPr>
        <w:t>Air Force Commendation Medal</w:t>
      </w:r>
      <w:r>
        <w:rPr>
          <w:sz w:val="16"/>
        </w:rPr>
        <w:t xml:space="preserve"> </w:t>
      </w:r>
      <w:r>
        <w:rPr>
          <w:sz w:val="18"/>
        </w:rPr>
        <w:t>with “V” device</w:t>
      </w:r>
    </w:p>
    <w:p w:rsidR="00D275EA" w:rsidRDefault="00D275EA" w:rsidP="00D275EA">
      <w:pPr>
        <w:widowControl w:val="0"/>
        <w:numPr>
          <w:ilvl w:val="12"/>
          <w:numId w:val="0"/>
        </w:numPr>
        <w:ind w:left="720"/>
        <w:rPr>
          <w:sz w:val="18"/>
        </w:rPr>
      </w:pPr>
      <w:r>
        <w:rPr>
          <w:sz w:val="18"/>
        </w:rPr>
        <w:t>Air Force Cross</w:t>
      </w:r>
    </w:p>
    <w:p w:rsidR="00D275EA" w:rsidRDefault="00D275EA" w:rsidP="00D275EA">
      <w:pPr>
        <w:widowControl w:val="0"/>
        <w:numPr>
          <w:ilvl w:val="12"/>
          <w:numId w:val="0"/>
        </w:numPr>
        <w:ind w:left="720"/>
        <w:rPr>
          <w:sz w:val="16"/>
        </w:rPr>
      </w:pPr>
      <w:r>
        <w:rPr>
          <w:sz w:val="18"/>
        </w:rPr>
        <w:t>Air Medal with “V” device</w:t>
      </w:r>
    </w:p>
    <w:p w:rsidR="00D275EA" w:rsidRDefault="00D275EA" w:rsidP="00D275EA">
      <w:pPr>
        <w:widowControl w:val="0"/>
        <w:numPr>
          <w:ilvl w:val="12"/>
          <w:numId w:val="0"/>
        </w:numPr>
        <w:ind w:left="720"/>
        <w:rPr>
          <w:sz w:val="18"/>
        </w:rPr>
      </w:pPr>
      <w:r>
        <w:rPr>
          <w:sz w:val="18"/>
        </w:rPr>
        <w:t>Army Commendation Medal</w:t>
      </w:r>
      <w:r>
        <w:rPr>
          <w:sz w:val="16"/>
        </w:rPr>
        <w:t xml:space="preserve"> </w:t>
      </w:r>
      <w:r>
        <w:rPr>
          <w:sz w:val="18"/>
        </w:rPr>
        <w:t xml:space="preserve">with “V” device </w:t>
      </w:r>
    </w:p>
    <w:p w:rsidR="00D275EA" w:rsidRDefault="00D275EA" w:rsidP="00D275EA">
      <w:pPr>
        <w:widowControl w:val="0"/>
        <w:numPr>
          <w:ilvl w:val="12"/>
          <w:numId w:val="0"/>
        </w:numPr>
        <w:ind w:left="720"/>
        <w:rPr>
          <w:sz w:val="18"/>
        </w:rPr>
      </w:pPr>
      <w:r>
        <w:rPr>
          <w:sz w:val="18"/>
        </w:rPr>
        <w:t>Bronze Star Medal with “V” device</w:t>
      </w:r>
    </w:p>
    <w:p w:rsidR="00D275EA" w:rsidRPr="00683C19" w:rsidRDefault="00D275EA" w:rsidP="00D275EA">
      <w:pPr>
        <w:widowControl w:val="0"/>
        <w:numPr>
          <w:ilvl w:val="12"/>
          <w:numId w:val="0"/>
        </w:numPr>
        <w:ind w:left="720"/>
        <w:rPr>
          <w:sz w:val="16"/>
        </w:rPr>
      </w:pPr>
      <w:r>
        <w:rPr>
          <w:sz w:val="18"/>
        </w:rPr>
        <w:t xml:space="preserve">“C” device, denoting combat conditions, when affixed to other awards for meritorious service or achievement </w:t>
      </w:r>
      <w:r w:rsidRPr="00683C19">
        <w:rPr>
          <w:sz w:val="16"/>
        </w:rPr>
        <w:t>(as of 10/17/17)</w:t>
      </w:r>
    </w:p>
    <w:p w:rsidR="00D275EA" w:rsidRDefault="00D275EA" w:rsidP="00D275EA">
      <w:pPr>
        <w:widowControl w:val="0"/>
        <w:numPr>
          <w:ilvl w:val="12"/>
          <w:numId w:val="0"/>
        </w:numPr>
        <w:ind w:left="720"/>
        <w:rPr>
          <w:i/>
          <w:sz w:val="16"/>
        </w:rPr>
      </w:pPr>
      <w:r>
        <w:rPr>
          <w:sz w:val="18"/>
        </w:rPr>
        <w:t xml:space="preserve">Combat Action Badge (CAB) </w:t>
      </w:r>
    </w:p>
    <w:p w:rsidR="00D275EA" w:rsidRPr="00206805" w:rsidRDefault="00D275EA" w:rsidP="00D275EA">
      <w:pPr>
        <w:widowControl w:val="0"/>
        <w:numPr>
          <w:ilvl w:val="12"/>
          <w:numId w:val="0"/>
        </w:numPr>
        <w:ind w:left="720"/>
        <w:rPr>
          <w:sz w:val="18"/>
          <w:szCs w:val="18"/>
        </w:rPr>
      </w:pPr>
      <w:r w:rsidRPr="00206805">
        <w:rPr>
          <w:sz w:val="18"/>
          <w:szCs w:val="18"/>
        </w:rPr>
        <w:t>Combat Action Ribbon (CAR) (</w:t>
      </w:r>
      <w:r w:rsidRPr="00206805">
        <w:rPr>
          <w:rStyle w:val="Emphasis"/>
          <w:b/>
          <w:bCs/>
          <w:sz w:val="18"/>
          <w:szCs w:val="18"/>
        </w:rPr>
        <w:t>Note</w:t>
      </w:r>
      <w:r w:rsidRPr="00206805">
        <w:rPr>
          <w:sz w:val="18"/>
          <w:szCs w:val="18"/>
        </w:rPr>
        <w:t>: Prior to February 1969, the Navy Achievement Medal with “V” Device was awarded.)</w:t>
      </w:r>
    </w:p>
    <w:p w:rsidR="00D275EA" w:rsidRDefault="00D275EA" w:rsidP="00D275EA">
      <w:pPr>
        <w:widowControl w:val="0"/>
        <w:numPr>
          <w:ilvl w:val="12"/>
          <w:numId w:val="0"/>
        </w:numPr>
        <w:ind w:left="720"/>
        <w:rPr>
          <w:sz w:val="18"/>
        </w:rPr>
      </w:pPr>
      <w:r>
        <w:rPr>
          <w:sz w:val="18"/>
        </w:rPr>
        <w:t xml:space="preserve">Combat Aircrew Insignia </w:t>
      </w:r>
      <w:r>
        <w:rPr>
          <w:sz w:val="16"/>
        </w:rPr>
        <w:t>(as of 3/04)</w:t>
      </w:r>
    </w:p>
    <w:p w:rsidR="00D275EA" w:rsidRDefault="00D275EA" w:rsidP="00D275EA">
      <w:pPr>
        <w:widowControl w:val="0"/>
        <w:numPr>
          <w:ilvl w:val="12"/>
          <w:numId w:val="0"/>
        </w:numPr>
        <w:ind w:left="720"/>
        <w:rPr>
          <w:sz w:val="18"/>
        </w:rPr>
      </w:pPr>
      <w:r>
        <w:rPr>
          <w:sz w:val="18"/>
        </w:rPr>
        <w:t>Combat Infantry/Infantryman Badge (CIB)</w:t>
      </w:r>
    </w:p>
    <w:p w:rsidR="00D275EA" w:rsidRDefault="00D275EA" w:rsidP="00D275EA">
      <w:pPr>
        <w:widowControl w:val="0"/>
        <w:numPr>
          <w:ilvl w:val="12"/>
          <w:numId w:val="0"/>
        </w:numPr>
        <w:ind w:left="720"/>
        <w:rPr>
          <w:sz w:val="18"/>
        </w:rPr>
      </w:pPr>
      <w:r>
        <w:rPr>
          <w:sz w:val="18"/>
        </w:rPr>
        <w:t>Combat Medical Badge</w:t>
      </w:r>
    </w:p>
    <w:p w:rsidR="00D275EA" w:rsidRDefault="00D275EA" w:rsidP="00D275EA">
      <w:pPr>
        <w:widowControl w:val="0"/>
        <w:numPr>
          <w:ilvl w:val="12"/>
          <w:numId w:val="0"/>
        </w:numPr>
        <w:ind w:left="720"/>
        <w:rPr>
          <w:sz w:val="16"/>
        </w:rPr>
      </w:pPr>
      <w:r>
        <w:rPr>
          <w:sz w:val="18"/>
        </w:rPr>
        <w:t>Distinguished Flying Cross</w:t>
      </w:r>
    </w:p>
    <w:p w:rsidR="00D275EA" w:rsidRDefault="00D275EA" w:rsidP="00D275EA">
      <w:pPr>
        <w:widowControl w:val="0"/>
        <w:numPr>
          <w:ilvl w:val="12"/>
          <w:numId w:val="0"/>
        </w:numPr>
        <w:ind w:left="720"/>
        <w:rPr>
          <w:sz w:val="18"/>
        </w:rPr>
      </w:pPr>
      <w:r>
        <w:rPr>
          <w:sz w:val="18"/>
        </w:rPr>
        <w:t>Distinguished Service Cross</w:t>
      </w:r>
    </w:p>
    <w:p w:rsidR="00D275EA" w:rsidRDefault="00D275EA" w:rsidP="00D275EA">
      <w:pPr>
        <w:widowControl w:val="0"/>
        <w:numPr>
          <w:ilvl w:val="12"/>
          <w:numId w:val="0"/>
        </w:numPr>
        <w:ind w:left="720"/>
        <w:rPr>
          <w:sz w:val="18"/>
        </w:rPr>
      </w:pPr>
      <w:r>
        <w:rPr>
          <w:sz w:val="18"/>
        </w:rPr>
        <w:t>Fleet Marine Force (FMF) Combat Operations Insignia</w:t>
      </w:r>
    </w:p>
    <w:p w:rsidR="00D275EA" w:rsidRDefault="00D275EA" w:rsidP="00D275EA">
      <w:pPr>
        <w:widowControl w:val="0"/>
        <w:numPr>
          <w:ilvl w:val="12"/>
          <w:numId w:val="0"/>
        </w:numPr>
        <w:ind w:left="720"/>
        <w:rPr>
          <w:sz w:val="16"/>
        </w:rPr>
      </w:pPr>
      <w:r>
        <w:rPr>
          <w:sz w:val="18"/>
        </w:rPr>
        <w:t>Joint Service Commendation Medal</w:t>
      </w:r>
      <w:r>
        <w:rPr>
          <w:sz w:val="16"/>
        </w:rPr>
        <w:t xml:space="preserve"> </w:t>
      </w:r>
      <w:r>
        <w:rPr>
          <w:sz w:val="18"/>
        </w:rPr>
        <w:t>with “V” device</w:t>
      </w:r>
    </w:p>
    <w:p w:rsidR="00D275EA" w:rsidRDefault="00D275EA" w:rsidP="00D275EA">
      <w:pPr>
        <w:widowControl w:val="0"/>
        <w:numPr>
          <w:ilvl w:val="12"/>
          <w:numId w:val="0"/>
        </w:numPr>
        <w:ind w:left="720"/>
        <w:rPr>
          <w:sz w:val="18"/>
        </w:rPr>
      </w:pPr>
      <w:r>
        <w:rPr>
          <w:sz w:val="18"/>
        </w:rPr>
        <w:t>Medal of Honor</w:t>
      </w:r>
    </w:p>
    <w:p w:rsidR="00D275EA" w:rsidRDefault="00D275EA" w:rsidP="00D275EA">
      <w:pPr>
        <w:widowControl w:val="0"/>
        <w:numPr>
          <w:ilvl w:val="12"/>
          <w:numId w:val="0"/>
        </w:numPr>
        <w:ind w:left="720"/>
        <w:rPr>
          <w:sz w:val="16"/>
        </w:rPr>
      </w:pPr>
      <w:r>
        <w:rPr>
          <w:sz w:val="18"/>
        </w:rPr>
        <w:t>Navy Commendation Medal</w:t>
      </w:r>
      <w:r>
        <w:rPr>
          <w:sz w:val="16"/>
        </w:rPr>
        <w:t xml:space="preserve"> </w:t>
      </w:r>
      <w:r>
        <w:rPr>
          <w:sz w:val="18"/>
        </w:rPr>
        <w:t>with “V” device</w:t>
      </w:r>
    </w:p>
    <w:p w:rsidR="00D275EA" w:rsidRDefault="00D275EA" w:rsidP="00D275EA">
      <w:pPr>
        <w:widowControl w:val="0"/>
        <w:numPr>
          <w:ilvl w:val="12"/>
          <w:numId w:val="0"/>
        </w:numPr>
        <w:ind w:left="720"/>
        <w:rPr>
          <w:sz w:val="18"/>
        </w:rPr>
      </w:pPr>
      <w:r>
        <w:rPr>
          <w:sz w:val="18"/>
        </w:rPr>
        <w:t>Navy Cross</w:t>
      </w:r>
    </w:p>
    <w:p w:rsidR="00D275EA" w:rsidRDefault="00D275EA" w:rsidP="00D275EA">
      <w:pPr>
        <w:widowControl w:val="0"/>
        <w:numPr>
          <w:ilvl w:val="12"/>
          <w:numId w:val="0"/>
        </w:numPr>
        <w:ind w:left="720"/>
        <w:rPr>
          <w:sz w:val="18"/>
        </w:rPr>
      </w:pPr>
      <w:r>
        <w:rPr>
          <w:sz w:val="18"/>
        </w:rPr>
        <w:t xml:space="preserve">Purple Heart </w:t>
      </w:r>
      <w:r>
        <w:rPr>
          <w:i/>
          <w:sz w:val="16"/>
        </w:rPr>
        <w:t>(HECPurpleHeartTeam@med.va.gov -Purple Heart Registry</w:t>
      </w:r>
      <w:r>
        <w:rPr>
          <w:sz w:val="18"/>
        </w:rPr>
        <w:t>)</w:t>
      </w:r>
    </w:p>
    <w:p w:rsidR="00D275EA" w:rsidRDefault="00D275EA" w:rsidP="00D275EA">
      <w:pPr>
        <w:widowControl w:val="0"/>
        <w:numPr>
          <w:ilvl w:val="12"/>
          <w:numId w:val="0"/>
        </w:numPr>
        <w:ind w:left="720"/>
        <w:rPr>
          <w:sz w:val="18"/>
        </w:rPr>
      </w:pPr>
      <w:r>
        <w:rPr>
          <w:sz w:val="18"/>
        </w:rPr>
        <w:t>Silver Star</w:t>
      </w:r>
    </w:p>
    <w:p w:rsidR="00D275EA" w:rsidRDefault="00D275EA" w:rsidP="00D275EA">
      <w:pPr>
        <w:widowControl w:val="0"/>
        <w:numPr>
          <w:ilvl w:val="12"/>
          <w:numId w:val="0"/>
        </w:numPr>
        <w:ind w:left="720"/>
        <w:rPr>
          <w:sz w:val="18"/>
        </w:rPr>
      </w:pPr>
    </w:p>
    <w:p w:rsidR="00D275EA" w:rsidRDefault="00D275EA" w:rsidP="00D275EA">
      <w:pPr>
        <w:widowControl w:val="0"/>
        <w:numPr>
          <w:ilvl w:val="12"/>
          <w:numId w:val="0"/>
        </w:numPr>
        <w:ind w:left="720" w:hanging="720"/>
        <w:rPr>
          <w:i/>
          <w:sz w:val="18"/>
        </w:rPr>
      </w:pPr>
      <w:r>
        <w:rPr>
          <w:i/>
          <w:sz w:val="18"/>
        </w:rPr>
        <w:tab/>
      </w:r>
      <w:r>
        <w:rPr>
          <w:b/>
          <w:i/>
          <w:color w:val="FF0000"/>
          <w:sz w:val="18"/>
          <w:u w:val="single"/>
        </w:rPr>
        <w:t>Verified</w:t>
      </w:r>
      <w:r>
        <w:rPr>
          <w:i/>
          <w:sz w:val="18"/>
        </w:rPr>
        <w:t xml:space="preserve"> </w:t>
      </w:r>
      <w:r>
        <w:rPr>
          <w:i/>
          <w:color w:val="FF0000"/>
          <w:sz w:val="18"/>
          <w:u w:val="single"/>
        </w:rPr>
        <w:t>combat veterans</w:t>
      </w:r>
      <w:r>
        <w:rPr>
          <w:color w:val="FF0000"/>
          <w:sz w:val="18"/>
        </w:rPr>
        <w:t xml:space="preserve"> </w:t>
      </w:r>
      <w:r>
        <w:rPr>
          <w:i/>
          <w:sz w:val="18"/>
        </w:rPr>
        <w:t>(i.e. has one of the decorations above)- word is truth with regard to stressor or injuries incurred in combat!!!</w:t>
      </w:r>
    </w:p>
    <w:p w:rsidR="00D275EA" w:rsidRDefault="00D275EA" w:rsidP="00D275EA">
      <w:pPr>
        <w:pStyle w:val="BulletText1"/>
        <w:widowControl w:val="0"/>
        <w:numPr>
          <w:ilvl w:val="12"/>
          <w:numId w:val="0"/>
        </w:numPr>
        <w:tabs>
          <w:tab w:val="clear" w:pos="360"/>
        </w:tabs>
        <w:rPr>
          <w:b/>
          <w:bCs/>
          <w:i/>
          <w:iCs/>
          <w:sz w:val="18"/>
        </w:rPr>
      </w:pPr>
    </w:p>
    <w:p w:rsidR="00D275EA" w:rsidRDefault="00D275EA" w:rsidP="00D275EA">
      <w:pPr>
        <w:pStyle w:val="BulletText1"/>
        <w:widowControl w:val="0"/>
        <w:numPr>
          <w:ilvl w:val="12"/>
          <w:numId w:val="0"/>
        </w:numPr>
        <w:tabs>
          <w:tab w:val="clear" w:pos="360"/>
        </w:tabs>
        <w:rPr>
          <w:sz w:val="18"/>
        </w:rPr>
      </w:pPr>
      <w:r>
        <w:rPr>
          <w:b/>
          <w:bCs/>
          <w:i/>
          <w:iCs/>
          <w:sz w:val="18"/>
        </w:rPr>
        <w:t>JSRRC Stressor Verification Guide</w:t>
      </w:r>
      <w:r>
        <w:rPr>
          <w:sz w:val="18"/>
        </w:rPr>
        <w:t xml:space="preserve"> shows the Air Force Combat Action Medal as evidence of participation in combat</w:t>
      </w:r>
    </w:p>
    <w:p w:rsidR="00D275EA" w:rsidRDefault="00D275EA" w:rsidP="00D275EA">
      <w:pPr>
        <w:pStyle w:val="BulletText1"/>
        <w:widowControl w:val="0"/>
        <w:numPr>
          <w:ilvl w:val="12"/>
          <w:numId w:val="0"/>
        </w:numPr>
        <w:tabs>
          <w:tab w:val="clear" w:pos="360"/>
        </w:tabs>
        <w:rPr>
          <w:sz w:val="18"/>
        </w:rPr>
      </w:pPr>
    </w:p>
    <w:p w:rsidR="00D275EA" w:rsidRPr="00FD504C" w:rsidRDefault="00D571C5" w:rsidP="00D275EA">
      <w:pPr>
        <w:pStyle w:val="Header"/>
        <w:widowControl w:val="0"/>
        <w:tabs>
          <w:tab w:val="clear" w:pos="4320"/>
          <w:tab w:val="clear" w:pos="8640"/>
        </w:tabs>
        <w:rPr>
          <w:b/>
          <w:bCs/>
          <w:sz w:val="18"/>
          <w:szCs w:val="18"/>
        </w:rPr>
      </w:pPr>
      <w:hyperlink r:id="rId633" w:history="1">
        <w:r w:rsidR="00D275EA">
          <w:rPr>
            <w:b/>
            <w:sz w:val="18"/>
            <w:szCs w:val="18"/>
          </w:rPr>
          <w:t>III.iv.4.O</w:t>
        </w:r>
        <w:r w:rsidR="00D275EA" w:rsidRPr="00DC7E42">
          <w:rPr>
            <w:b/>
            <w:sz w:val="18"/>
            <w:szCs w:val="18"/>
          </w:rPr>
          <w:t>.3.d</w:t>
        </w:r>
      </w:hyperlink>
      <w:r w:rsidR="00D275EA" w:rsidRPr="00FD504C">
        <w:rPr>
          <w:b/>
          <w:bCs/>
          <w:sz w:val="18"/>
          <w:szCs w:val="18"/>
        </w:rPr>
        <w:t xml:space="preserve"> – </w:t>
      </w:r>
    </w:p>
    <w:p w:rsidR="00D275EA" w:rsidRPr="00FD504C" w:rsidRDefault="00D275EA" w:rsidP="00F063AF">
      <w:pPr>
        <w:pStyle w:val="BulletText1"/>
        <w:numPr>
          <w:ilvl w:val="0"/>
          <w:numId w:val="215"/>
        </w:numPr>
        <w:tabs>
          <w:tab w:val="clear" w:pos="360"/>
        </w:tabs>
        <w:overflowPunct/>
        <w:autoSpaceDE/>
        <w:autoSpaceDN/>
        <w:adjustRightInd/>
        <w:textAlignment w:val="auto"/>
        <w:rPr>
          <w:sz w:val="18"/>
          <w:szCs w:val="18"/>
        </w:rPr>
      </w:pPr>
      <w:r w:rsidRPr="00FD504C">
        <w:rPr>
          <w:sz w:val="18"/>
          <w:szCs w:val="18"/>
        </w:rPr>
        <w:t xml:space="preserve">The receipt of military awards such as, but not limited to, the </w:t>
      </w:r>
      <w:r w:rsidRPr="00FD504C">
        <w:rPr>
          <w:b/>
          <w:sz w:val="18"/>
          <w:szCs w:val="18"/>
        </w:rPr>
        <w:t>Vietnam Service or Campaign Medal, Kuwait Liberation Medal, Iraq Campaign Medal, and Afghanistan Campaign Medal</w:t>
      </w:r>
      <w:r w:rsidRPr="00FD504C">
        <w:rPr>
          <w:sz w:val="18"/>
          <w:szCs w:val="18"/>
        </w:rPr>
        <w:t xml:space="preserve"> is generally considered evidence of service in an area of potential hostile military or terrorist activity.    </w:t>
      </w:r>
    </w:p>
    <w:p w:rsidR="00D275EA" w:rsidRPr="00FD504C" w:rsidRDefault="00D275EA" w:rsidP="00F063AF">
      <w:pPr>
        <w:pStyle w:val="BulletText1"/>
        <w:numPr>
          <w:ilvl w:val="0"/>
          <w:numId w:val="215"/>
        </w:numPr>
        <w:tabs>
          <w:tab w:val="clear" w:pos="360"/>
        </w:tabs>
        <w:overflowPunct/>
        <w:autoSpaceDE/>
        <w:autoSpaceDN/>
        <w:adjustRightInd/>
        <w:textAlignment w:val="auto"/>
        <w:rPr>
          <w:sz w:val="18"/>
          <w:szCs w:val="18"/>
        </w:rPr>
      </w:pPr>
      <w:r w:rsidRPr="00FD504C">
        <w:rPr>
          <w:sz w:val="18"/>
          <w:szCs w:val="18"/>
        </w:rPr>
        <w:t xml:space="preserve">The receipt of service medals such as the </w:t>
      </w:r>
      <w:r w:rsidRPr="00FD504C">
        <w:rPr>
          <w:b/>
          <w:sz w:val="18"/>
          <w:szCs w:val="18"/>
        </w:rPr>
        <w:t>National Defense, Armed Forces, and Global War on Terrorism (GWOT) Service Medals</w:t>
      </w:r>
      <w:r w:rsidRPr="00FD504C">
        <w:rPr>
          <w:sz w:val="18"/>
          <w:szCs w:val="18"/>
        </w:rPr>
        <w:t xml:space="preserve"> does not indicate service in locations that involve exposure to hostile military or terrorist activity, because these are general medals that do not denote service in a particular area or campaign.  If the Veteran served in an area of potential hostile military or terrorist activity, he/she would have received a more specific medal for such service.</w:t>
      </w:r>
    </w:p>
    <w:p w:rsidR="00D275EA" w:rsidRDefault="00D275EA" w:rsidP="00D275EA">
      <w:pPr>
        <w:pStyle w:val="Header"/>
        <w:widowControl w:val="0"/>
        <w:tabs>
          <w:tab w:val="clear" w:pos="4320"/>
          <w:tab w:val="clear" w:pos="8640"/>
        </w:tabs>
        <w:rPr>
          <w:rStyle w:val="referencecode1"/>
          <w:sz w:val="20"/>
        </w:rPr>
      </w:pPr>
    </w:p>
    <w:p w:rsidR="00D275EA" w:rsidRDefault="00D275EA" w:rsidP="00D275EA">
      <w:pPr>
        <w:pStyle w:val="Header"/>
        <w:widowControl w:val="0"/>
        <w:pBdr>
          <w:top w:val="single" w:sz="4" w:space="1" w:color="auto"/>
        </w:pBdr>
        <w:tabs>
          <w:tab w:val="clear" w:pos="4320"/>
          <w:tab w:val="clear" w:pos="8640"/>
        </w:tabs>
        <w:rPr>
          <w:rStyle w:val="referencecode1"/>
          <w:sz w:val="20"/>
        </w:rPr>
      </w:pPr>
    </w:p>
    <w:p w:rsidR="00D275EA" w:rsidRPr="00246CC6" w:rsidRDefault="00D275EA" w:rsidP="00D275EA">
      <w:pPr>
        <w:widowControl w:val="0"/>
        <w:spacing w:after="120"/>
        <w:ind w:left="360" w:right="150"/>
        <w:rPr>
          <w:i/>
          <w:u w:val="single"/>
        </w:rPr>
      </w:pPr>
      <w:r>
        <w:rPr>
          <w:i/>
          <w:u w:val="single"/>
        </w:rPr>
        <w:t>NEED PTSD DBQ</w:t>
      </w:r>
      <w:r w:rsidRPr="00246CC6">
        <w:rPr>
          <w:i/>
          <w:u w:val="single"/>
        </w:rPr>
        <w:t>:</w:t>
      </w:r>
    </w:p>
    <w:p w:rsidR="003C579B" w:rsidRDefault="00D275EA" w:rsidP="00D275EA">
      <w:pPr>
        <w:widowControl w:val="0"/>
        <w:spacing w:after="120"/>
        <w:ind w:left="360"/>
        <w:rPr>
          <w:bCs/>
          <w:i/>
        </w:rPr>
      </w:pPr>
      <w:r w:rsidRPr="00246CC6">
        <w:rPr>
          <w:bCs/>
          <w:i/>
        </w:rPr>
        <w:t xml:space="preserve">for deferral:  </w:t>
      </w:r>
      <w:r w:rsidR="003C579B" w:rsidRPr="00246CC6">
        <w:rPr>
          <w:bCs/>
          <w:i/>
        </w:rPr>
        <w:t>An Initial PTSD DBQ is warranted.</w:t>
      </w:r>
      <w:r w:rsidR="003C579B">
        <w:rPr>
          <w:bCs/>
          <w:i/>
        </w:rPr>
        <w:t xml:space="preserve"> *See Claim Notes for details.</w:t>
      </w:r>
    </w:p>
    <w:p w:rsidR="00D275EA" w:rsidRDefault="00D275EA" w:rsidP="003C579B">
      <w:pPr>
        <w:widowControl w:val="0"/>
        <w:spacing w:after="120"/>
        <w:ind w:left="360"/>
        <w:rPr>
          <w:bCs/>
          <w:i/>
        </w:rPr>
      </w:pPr>
      <w:r w:rsidRPr="00246CC6">
        <w:rPr>
          <w:bCs/>
          <w:i/>
        </w:rPr>
        <w:t xml:space="preserve">for Claim Note:  </w:t>
      </w:r>
      <w:r w:rsidR="003C579B">
        <w:rPr>
          <w:bCs/>
          <w:i/>
        </w:rPr>
        <w:t>Claim is no</w:t>
      </w:r>
      <w:r w:rsidRPr="00246CC6">
        <w:rPr>
          <w:bCs/>
          <w:i/>
        </w:rPr>
        <w:t xml:space="preserve">t RFD. </w:t>
      </w:r>
      <w:r w:rsidR="003C579B" w:rsidRPr="00246CC6">
        <w:rPr>
          <w:bCs/>
          <w:i/>
        </w:rPr>
        <w:t>The veteran served in the Army in Vietnam, indicating he was in a location that would involve “hostile military or terrorist activity</w:t>
      </w:r>
      <w:r w:rsidR="003C579B">
        <w:rPr>
          <w:bCs/>
          <w:i/>
        </w:rPr>
        <w:t>.”</w:t>
      </w:r>
      <w:r w:rsidR="003C579B" w:rsidRPr="00246CC6">
        <w:rPr>
          <w:bCs/>
          <w:i/>
        </w:rPr>
        <w:t xml:space="preserve"> An Initial PTSD DBQ is warranted.</w:t>
      </w:r>
      <w:r w:rsidR="003C579B">
        <w:rPr>
          <w:bCs/>
          <w:i/>
        </w:rPr>
        <w:t xml:space="preserve"> 3.304(f)(3), </w:t>
      </w:r>
      <w:r w:rsidR="003C579B" w:rsidRPr="009A1BDB">
        <w:rPr>
          <w:i/>
          <w:szCs w:val="21"/>
        </w:rPr>
        <w:t>III.iv.4.O.3.d</w:t>
      </w:r>
      <w:r w:rsidRPr="00246CC6">
        <w:rPr>
          <w:bCs/>
          <w:i/>
        </w:rPr>
        <w:t>.</w:t>
      </w:r>
      <w:r>
        <w:rPr>
          <w:bCs/>
          <w:i/>
        </w:rPr>
        <w:t xml:space="preserve"> </w:t>
      </w:r>
      <w:r w:rsidRPr="00246CC6">
        <w:rPr>
          <w:bCs/>
          <w:i/>
        </w:rPr>
        <w:t>Defe</w:t>
      </w:r>
      <w:r>
        <w:rPr>
          <w:bCs/>
          <w:i/>
        </w:rPr>
        <w:t>rral done.</w:t>
      </w:r>
    </w:p>
    <w:p w:rsidR="00D275EA" w:rsidRPr="00246CC6" w:rsidRDefault="00D275EA" w:rsidP="00D275EA">
      <w:pPr>
        <w:widowControl w:val="0"/>
        <w:spacing w:after="120"/>
        <w:rPr>
          <w:bCs/>
          <w:i/>
        </w:rPr>
      </w:pPr>
    </w:p>
    <w:p w:rsidR="00D275EA" w:rsidRPr="00B40082" w:rsidRDefault="00D275EA" w:rsidP="00D275EA">
      <w:pPr>
        <w:widowControl w:val="0"/>
        <w:pBdr>
          <w:top w:val="single" w:sz="4" w:space="1" w:color="auto"/>
          <w:left w:val="single" w:sz="4" w:space="4" w:color="auto"/>
          <w:bottom w:val="single" w:sz="4" w:space="1" w:color="auto"/>
          <w:right w:val="single" w:sz="4" w:space="4" w:color="auto"/>
        </w:pBdr>
        <w:spacing w:after="120"/>
        <w:ind w:left="360"/>
        <w:rPr>
          <w:b/>
        </w:rPr>
      </w:pPr>
      <w:r w:rsidRPr="00B40082">
        <w:rPr>
          <w:b/>
        </w:rPr>
        <w:t>How to enter in</w:t>
      </w:r>
      <w:r>
        <w:rPr>
          <w:b/>
        </w:rPr>
        <w:t xml:space="preserve"> </w:t>
      </w:r>
      <w:hyperlink r:id="rId634" w:history="1">
        <w:r w:rsidRPr="00AF3E66">
          <w:rPr>
            <w:rStyle w:val="Hyperlink"/>
            <w:b/>
            <w:i/>
          </w:rPr>
          <w:t>Exam Request Builder (ERB)</w:t>
        </w:r>
      </w:hyperlink>
      <w:r w:rsidRPr="00B40082">
        <w:rPr>
          <w:b/>
        </w:rPr>
        <w:t>:</w:t>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pPr>
      <w:r>
        <w:t xml:space="preserve">In description box, put veteran’s reports, plus </w:t>
      </w:r>
      <w:r w:rsidRPr="00610FC8">
        <w:rPr>
          <w:color w:val="943634" w:themeColor="accent2" w:themeShade="BF"/>
        </w:rPr>
        <w:t>*</w:t>
      </w:r>
      <w:r>
        <w:rPr>
          <w:color w:val="943634" w:themeColor="accent2" w:themeShade="BF"/>
        </w:rPr>
        <w:t>one of the below statements</w:t>
      </w:r>
      <w:r>
        <w:t>:</w:t>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pPr>
      <w:r>
        <w:rPr>
          <w:noProof/>
        </w:rPr>
        <w:drawing>
          <wp:inline distT="0" distB="0" distL="0" distR="0" wp14:anchorId="1B12479E" wp14:editId="275236BE">
            <wp:extent cx="5410200" cy="2305050"/>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35"/>
                    <a:stretch>
                      <a:fillRect/>
                    </a:stretch>
                  </pic:blipFill>
                  <pic:spPr>
                    <a:xfrm>
                      <a:off x="0" y="0"/>
                      <a:ext cx="5410200" cy="2305050"/>
                    </a:xfrm>
                    <a:prstGeom prst="rect">
                      <a:avLst/>
                    </a:prstGeom>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pP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pPr>
      <w:r>
        <w:t>Select “Service connection w/o MO”:</w:t>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pPr>
      <w:r>
        <w:rPr>
          <w:noProof/>
        </w:rPr>
        <w:drawing>
          <wp:inline distT="0" distB="0" distL="0" distR="0" wp14:anchorId="180ACF4C" wp14:editId="71BF59E4">
            <wp:extent cx="4514850" cy="1628775"/>
            <wp:effectExtent l="0" t="0" r="0" b="9525"/>
            <wp:docPr id="10" name="Picture 10"/>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36"/>
                    <a:stretch>
                      <a:fillRect/>
                    </a:stretch>
                  </pic:blipFill>
                  <pic:spPr>
                    <a:xfrm>
                      <a:off x="0" y="0"/>
                      <a:ext cx="4514850" cy="1628775"/>
                    </a:xfrm>
                    <a:prstGeom prst="rect">
                      <a:avLst/>
                    </a:prstGeom>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pP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pPr>
      <w:r>
        <w:t xml:space="preserve">We do </w:t>
      </w:r>
      <w:r w:rsidRPr="00B40082">
        <w:rPr>
          <w:b/>
          <w:u w:val="single"/>
        </w:rPr>
        <w:t>NOT</w:t>
      </w:r>
      <w:r>
        <w:t xml:space="preserve"> need a medical opinion (do </w:t>
      </w:r>
      <w:r w:rsidRPr="00B40082">
        <w:rPr>
          <w:b/>
          <w:u w:val="single"/>
        </w:rPr>
        <w:t>NOT</w:t>
      </w:r>
      <w:r>
        <w:t xml:space="preserve"> select  “Direct MO”), as the link is addressed in the DBQ</w:t>
      </w:r>
      <w:r w:rsidR="007524F5">
        <w:t xml:space="preserve"> (usually under #4 / Criterion I)</w:t>
      </w:r>
      <w:r>
        <w:t>:</w:t>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pPr>
      <w:r>
        <w:rPr>
          <w:noProof/>
        </w:rPr>
        <w:drawing>
          <wp:inline distT="0" distB="0" distL="0" distR="0" wp14:anchorId="54E88460" wp14:editId="772B3D26">
            <wp:extent cx="5467350" cy="8001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7"/>
                    <a:stretch>
                      <a:fillRect/>
                    </a:stretch>
                  </pic:blipFill>
                  <pic:spPr>
                    <a:xfrm>
                      <a:off x="0" y="0"/>
                      <a:ext cx="5467350" cy="800100"/>
                    </a:xfrm>
                    <a:prstGeom prst="rect">
                      <a:avLst/>
                    </a:prstGeom>
                  </pic:spPr>
                </pic:pic>
              </a:graphicData>
            </a:graphic>
          </wp:inline>
        </w:drawing>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pPr>
    </w:p>
    <w:p w:rsidR="00D275EA" w:rsidRDefault="00D571C5" w:rsidP="00D275EA">
      <w:pPr>
        <w:widowControl w:val="0"/>
        <w:pBdr>
          <w:top w:val="single" w:sz="4" w:space="1" w:color="auto"/>
          <w:left w:val="single" w:sz="4" w:space="4" w:color="auto"/>
          <w:bottom w:val="single" w:sz="4" w:space="1" w:color="auto"/>
          <w:right w:val="single" w:sz="4" w:space="4" w:color="auto"/>
        </w:pBdr>
        <w:spacing w:after="120"/>
        <w:ind w:left="360"/>
      </w:pPr>
      <w:hyperlink r:id="rId638" w:history="1">
        <w:r w:rsidR="00D275EA" w:rsidRPr="00AF3E66">
          <w:rPr>
            <w:rStyle w:val="Hyperlink"/>
            <w:b/>
            <w:i/>
          </w:rPr>
          <w:t>Exam Request Builder (ERB)</w:t>
        </w:r>
      </w:hyperlink>
      <w:r w:rsidR="00D275EA" w:rsidRPr="00504414">
        <w:rPr>
          <w:rStyle w:val="Hyperlink"/>
          <w:color w:val="auto"/>
          <w:u w:val="none"/>
        </w:rPr>
        <w:t xml:space="preserve"> </w:t>
      </w:r>
      <w:r w:rsidR="00D275EA">
        <w:t>will generate:</w:t>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rPr>
          <w:sz w:val="22"/>
        </w:rPr>
      </w:pPr>
      <w:r w:rsidRPr="00610FC8">
        <w:rPr>
          <w:sz w:val="22"/>
        </w:rPr>
        <w:t xml:space="preserve">The Veteran is claiming service connection for PTSD due to the claimed stressor of </w:t>
      </w:r>
      <w:r w:rsidRPr="00ED65F3">
        <w:t>{add</w:t>
      </w:r>
      <w:r>
        <w:t xml:space="preserve"> veteran’s</w:t>
      </w:r>
      <w:r w:rsidRPr="00ED65F3">
        <w:t xml:space="preserve"> reports here</w:t>
      </w:r>
      <w:r>
        <w:t xml:space="preserve"> PLUS </w:t>
      </w:r>
      <w:r w:rsidRPr="00610FC8">
        <w:rPr>
          <w:color w:val="943634" w:themeColor="accent2" w:themeShade="BF"/>
        </w:rPr>
        <w:t>*</w:t>
      </w:r>
      <w:r>
        <w:rPr>
          <w:color w:val="943634" w:themeColor="accent2" w:themeShade="BF"/>
        </w:rPr>
        <w:t>one of the below statements</w:t>
      </w:r>
      <w:r w:rsidRPr="00ED65F3">
        <w:t>}</w:t>
      </w:r>
      <w:r w:rsidRPr="00ED65F3">
        <w:rPr>
          <w:bCs/>
          <w:color w:val="000000"/>
        </w:rPr>
        <w:t xml:space="preserve">. </w:t>
      </w:r>
      <w:r w:rsidRPr="00610FC8">
        <w:rPr>
          <w:sz w:val="22"/>
        </w:rPr>
        <w:t xml:space="preserve">Please examine the Veteran for a chronic disability related to his or her claimed condition and indicate the current level of severity. </w:t>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rPr>
          <w:sz w:val="22"/>
        </w:rPr>
      </w:pPr>
      <w:r>
        <w:rPr>
          <w:sz w:val="22"/>
        </w:rPr>
        <w:t>If more than one mental disorder is diagnosed please comment on their relationship to one another and, if possible, please state which symptoms are attributed to each disorder.</w:t>
      </w:r>
    </w:p>
    <w:p w:rsidR="00D275EA" w:rsidRDefault="00D275EA" w:rsidP="00D275EA">
      <w:pPr>
        <w:widowControl w:val="0"/>
        <w:pBdr>
          <w:top w:val="single" w:sz="4" w:space="1" w:color="auto"/>
          <w:left w:val="single" w:sz="4" w:space="4" w:color="auto"/>
          <w:bottom w:val="single" w:sz="4" w:space="1" w:color="auto"/>
          <w:right w:val="single" w:sz="4" w:space="4" w:color="auto"/>
        </w:pBdr>
        <w:spacing w:after="120"/>
        <w:ind w:left="360"/>
        <w:rPr>
          <w:sz w:val="22"/>
        </w:rPr>
      </w:pPr>
      <w:r>
        <w:rPr>
          <w:sz w:val="22"/>
        </w:rPr>
        <w:t>If your examination determines that the Veteran does not have diagnosis of PTSD and you diagnose another mental disorder, please provide an opinion as to whether it is at least as likely as not that the Veteran's diagnosed mental disorder is a result of an in-service stressor related event.</w:t>
      </w:r>
    </w:p>
    <w:p w:rsidR="00D275EA" w:rsidRPr="00ED65F3" w:rsidRDefault="00D275EA" w:rsidP="00D275EA">
      <w:pPr>
        <w:widowControl w:val="0"/>
        <w:pBdr>
          <w:top w:val="single" w:sz="4" w:space="1" w:color="auto"/>
          <w:left w:val="single" w:sz="4" w:space="4" w:color="auto"/>
          <w:bottom w:val="single" w:sz="4" w:space="1" w:color="auto"/>
          <w:right w:val="single" w:sz="4" w:space="4" w:color="auto"/>
        </w:pBdr>
        <w:spacing w:after="120"/>
        <w:ind w:left="360"/>
        <w:rPr>
          <w:i/>
          <w:iCs/>
        </w:rPr>
      </w:pPr>
    </w:p>
    <w:p w:rsidR="00D275EA" w:rsidRPr="00610FC8" w:rsidRDefault="00D275EA" w:rsidP="00D275EA">
      <w:pPr>
        <w:widowControl w:val="0"/>
        <w:pBdr>
          <w:top w:val="single" w:sz="4" w:space="1" w:color="auto"/>
          <w:left w:val="single" w:sz="4" w:space="4" w:color="auto"/>
          <w:bottom w:val="single" w:sz="4" w:space="1" w:color="auto"/>
          <w:right w:val="single" w:sz="4" w:space="4" w:color="auto"/>
        </w:pBdr>
        <w:spacing w:after="120"/>
        <w:ind w:left="360"/>
        <w:rPr>
          <w:bCs/>
          <w:color w:val="943634" w:themeColor="accent2" w:themeShade="BF"/>
        </w:rPr>
      </w:pPr>
      <w:r w:rsidRPr="00610FC8">
        <w:rPr>
          <w:color w:val="943634" w:themeColor="accent2" w:themeShade="BF"/>
        </w:rPr>
        <w:t>*The veteran is in receipt of a Vietnam Service Medal</w:t>
      </w:r>
      <w:r w:rsidRPr="00610FC8">
        <w:rPr>
          <w:bCs/>
          <w:color w:val="943634" w:themeColor="accent2" w:themeShade="BF"/>
        </w:rPr>
        <w:t>, indicating he was in a location that would involve “hostile military or terrorist activity</w:t>
      </w:r>
      <w:r>
        <w:rPr>
          <w:bCs/>
          <w:color w:val="943634" w:themeColor="accent2" w:themeShade="BF"/>
        </w:rPr>
        <w:t>.”</w:t>
      </w:r>
    </w:p>
    <w:p w:rsidR="00D275EA" w:rsidRPr="00610FC8" w:rsidRDefault="00D275EA" w:rsidP="00D275EA">
      <w:pPr>
        <w:widowControl w:val="0"/>
        <w:pBdr>
          <w:top w:val="single" w:sz="4" w:space="1" w:color="auto"/>
          <w:left w:val="single" w:sz="4" w:space="4" w:color="auto"/>
          <w:bottom w:val="single" w:sz="4" w:space="1" w:color="auto"/>
          <w:right w:val="single" w:sz="4" w:space="4" w:color="auto"/>
        </w:pBdr>
        <w:spacing w:after="120"/>
        <w:ind w:left="360"/>
        <w:rPr>
          <w:color w:val="943634" w:themeColor="accent2" w:themeShade="BF"/>
        </w:rPr>
      </w:pPr>
      <w:r w:rsidRPr="00610FC8">
        <w:rPr>
          <w:color w:val="943634" w:themeColor="accent2" w:themeShade="BF"/>
        </w:rPr>
        <w:t>*The veteran served in the Army/Marines in Vietnam</w:t>
      </w:r>
      <w:r w:rsidRPr="00610FC8">
        <w:rPr>
          <w:bCs/>
          <w:color w:val="943634" w:themeColor="accent2" w:themeShade="BF"/>
        </w:rPr>
        <w:t>, indicating he was in a location that would involve “hostile military or terrorist activity</w:t>
      </w:r>
      <w:r>
        <w:rPr>
          <w:bCs/>
          <w:color w:val="943634" w:themeColor="accent2" w:themeShade="BF"/>
        </w:rPr>
        <w:t>.”</w:t>
      </w:r>
    </w:p>
    <w:p w:rsidR="00C83B2C" w:rsidRDefault="00D275EA" w:rsidP="00C83B2C">
      <w:pPr>
        <w:widowControl w:val="0"/>
        <w:pBdr>
          <w:top w:val="single" w:sz="4" w:space="1" w:color="auto"/>
          <w:left w:val="single" w:sz="4" w:space="4" w:color="auto"/>
          <w:bottom w:val="single" w:sz="4" w:space="1" w:color="auto"/>
          <w:right w:val="single" w:sz="4" w:space="4" w:color="auto"/>
        </w:pBdr>
        <w:spacing w:after="120"/>
        <w:ind w:left="360"/>
        <w:rPr>
          <w:bCs/>
          <w:color w:val="943634" w:themeColor="accent2" w:themeShade="BF"/>
        </w:rPr>
      </w:pPr>
      <w:r w:rsidRPr="00610FC8">
        <w:rPr>
          <w:bCs/>
          <w:color w:val="943634" w:themeColor="accent2" w:themeShade="BF"/>
        </w:rPr>
        <w:t>*The veteran is a combat veteran, in receipt of a Combat Action Ribbon.</w:t>
      </w:r>
    </w:p>
    <w:p w:rsidR="00C83B2C" w:rsidRDefault="00D275EA" w:rsidP="00C83B2C">
      <w:pPr>
        <w:widowControl w:val="0"/>
        <w:pBdr>
          <w:top w:val="single" w:sz="4" w:space="1" w:color="auto"/>
          <w:left w:val="single" w:sz="4" w:space="4" w:color="auto"/>
          <w:bottom w:val="single" w:sz="4" w:space="1" w:color="auto"/>
          <w:right w:val="single" w:sz="4" w:space="4" w:color="auto"/>
        </w:pBdr>
        <w:spacing w:after="120"/>
        <w:ind w:left="360"/>
        <w:rPr>
          <w:bCs/>
          <w:color w:val="943634" w:themeColor="accent2" w:themeShade="BF"/>
        </w:rPr>
      </w:pPr>
      <w:r w:rsidRPr="00610FC8">
        <w:rPr>
          <w:color w:val="943634" w:themeColor="accent2" w:themeShade="BF"/>
        </w:rPr>
        <w:t>*The veteran’s service in Kwuait and Iraq in 2003 is verified</w:t>
      </w:r>
      <w:r w:rsidRPr="00610FC8">
        <w:rPr>
          <w:bCs/>
          <w:color w:val="943634" w:themeColor="accent2" w:themeShade="BF"/>
        </w:rPr>
        <w:t>, indicating he was in a location that would involve “hostile military or terrorist activity</w:t>
      </w:r>
      <w:r>
        <w:rPr>
          <w:bCs/>
          <w:color w:val="943634" w:themeColor="accent2" w:themeShade="BF"/>
        </w:rPr>
        <w:t>.”</w:t>
      </w:r>
    </w:p>
    <w:p w:rsidR="00C83B2C" w:rsidRDefault="00D275EA" w:rsidP="00C83B2C">
      <w:pPr>
        <w:widowControl w:val="0"/>
        <w:pBdr>
          <w:top w:val="single" w:sz="4" w:space="1" w:color="auto"/>
          <w:left w:val="single" w:sz="4" w:space="4" w:color="auto"/>
          <w:bottom w:val="single" w:sz="4" w:space="1" w:color="auto"/>
          <w:right w:val="single" w:sz="4" w:space="4" w:color="auto"/>
        </w:pBdr>
        <w:spacing w:after="120"/>
        <w:ind w:left="360"/>
        <w:rPr>
          <w:color w:val="943634" w:themeColor="accent2" w:themeShade="BF"/>
          <w:lang w:val="en"/>
        </w:rPr>
      </w:pPr>
      <w:r w:rsidRPr="00610FC8">
        <w:rPr>
          <w:color w:val="943634" w:themeColor="accent2" w:themeShade="BF"/>
          <w:lang w:val="en"/>
        </w:rPr>
        <w:t>*The veteran's involvement in the evacuation in Lebanon in June 1976 is verified.</w:t>
      </w:r>
    </w:p>
    <w:p w:rsidR="00D275EA" w:rsidRDefault="00D275EA" w:rsidP="00C83B2C">
      <w:pPr>
        <w:widowControl w:val="0"/>
        <w:pBdr>
          <w:top w:val="single" w:sz="4" w:space="1" w:color="auto"/>
          <w:left w:val="single" w:sz="4" w:space="4" w:color="auto"/>
          <w:bottom w:val="single" w:sz="4" w:space="1" w:color="auto"/>
          <w:right w:val="single" w:sz="4" w:space="4" w:color="auto"/>
        </w:pBdr>
        <w:spacing w:after="120"/>
        <w:ind w:left="360"/>
        <w:rPr>
          <w:bCs/>
        </w:rPr>
      </w:pPr>
      <w:r w:rsidRPr="00610FC8">
        <w:rPr>
          <w:bCs/>
          <w:color w:val="943634" w:themeColor="accent2" w:themeShade="BF"/>
        </w:rPr>
        <w:t xml:space="preserve">*The veteran’s involvement in the December 2004 Indian Ocean/South Asia/Indonesian tsunami rescue efforts is verified. </w:t>
      </w:r>
      <w:r w:rsidRPr="00ED65F3">
        <w:rPr>
          <w:bCs/>
        </w:rPr>
        <w:t>– Indonesia, Sri Lanka, India, Thailand, Maldives, Somalia, Malasia, Myanmar</w:t>
      </w:r>
    </w:p>
    <w:p w:rsidR="00D275EA" w:rsidRPr="001B3463" w:rsidRDefault="00D275EA" w:rsidP="00D275EA">
      <w:pPr>
        <w:widowControl w:val="0"/>
        <w:pBdr>
          <w:top w:val="single" w:sz="4" w:space="1" w:color="auto"/>
          <w:left w:val="single" w:sz="4" w:space="4" w:color="auto"/>
          <w:bottom w:val="single" w:sz="4" w:space="0" w:color="auto"/>
          <w:right w:val="single" w:sz="4" w:space="4" w:color="auto"/>
        </w:pBdr>
        <w:spacing w:after="120"/>
        <w:ind w:left="360"/>
        <w:rPr>
          <w:bCs/>
          <w:highlight w:val="yellow"/>
        </w:rPr>
      </w:pPr>
      <w:r w:rsidRPr="001B3463">
        <w:rPr>
          <w:bCs/>
          <w:highlight w:val="yellow"/>
        </w:rPr>
        <w:t xml:space="preserve">Operation Restore Hope, Mogadishu, Somalia 12/8/92 to March 1993; </w:t>
      </w:r>
      <w:hyperlink r:id="rId639" w:history="1">
        <w:r w:rsidRPr="001B3463">
          <w:rPr>
            <w:rStyle w:val="Hyperlink"/>
            <w:bCs/>
            <w:highlight w:val="yellow"/>
          </w:rPr>
          <w:t>http://www.history.army.mil/html/documents/somalia/SomaliaAAR.pdf</w:t>
        </w:r>
      </w:hyperlink>
      <w:r w:rsidRPr="001B3463">
        <w:rPr>
          <w:bCs/>
          <w:highlight w:val="yellow"/>
        </w:rPr>
        <w:t>, p5-8</w:t>
      </w:r>
    </w:p>
    <w:p w:rsidR="00D275EA" w:rsidRPr="00683C19" w:rsidRDefault="00D275EA" w:rsidP="00D275EA">
      <w:pPr>
        <w:widowControl w:val="0"/>
        <w:pBdr>
          <w:top w:val="single" w:sz="4" w:space="1" w:color="auto"/>
          <w:left w:val="single" w:sz="4" w:space="4" w:color="auto"/>
          <w:bottom w:val="single" w:sz="4" w:space="0" w:color="auto"/>
          <w:right w:val="single" w:sz="4" w:space="4" w:color="auto"/>
        </w:pBdr>
        <w:spacing w:after="120"/>
        <w:ind w:left="360"/>
        <w:rPr>
          <w:rStyle w:val="referencecode1"/>
          <w:bCs/>
          <w:sz w:val="20"/>
          <w:szCs w:val="20"/>
        </w:rPr>
      </w:pPr>
      <w:r w:rsidRPr="001B3463">
        <w:rPr>
          <w:bCs/>
          <w:highlight w:val="yellow"/>
        </w:rPr>
        <w:t>Operation Continue Hope 3/93-3/94, p8-14</w:t>
      </w:r>
    </w:p>
    <w:p w:rsidR="00D275EA" w:rsidRDefault="00D275EA" w:rsidP="00D275EA">
      <w:pPr>
        <w:pStyle w:val="Header"/>
        <w:widowControl w:val="0"/>
        <w:tabs>
          <w:tab w:val="clear" w:pos="4320"/>
          <w:tab w:val="clear" w:pos="8640"/>
        </w:tabs>
        <w:rPr>
          <w:rStyle w:val="referencecode1"/>
          <w:sz w:val="20"/>
        </w:rPr>
      </w:pPr>
    </w:p>
    <w:p w:rsidR="00D275EA" w:rsidRDefault="00D275EA" w:rsidP="00D275EA">
      <w:pPr>
        <w:widowControl w:val="0"/>
        <w:pBdr>
          <w:top w:val="single" w:sz="4" w:space="1" w:color="auto"/>
        </w:pBdr>
        <w:tabs>
          <w:tab w:val="left" w:pos="0"/>
          <w:tab w:val="left" w:pos="144"/>
        </w:tabs>
        <w:outlineLvl w:val="0"/>
        <w:rPr>
          <w:rStyle w:val="referencecode1"/>
          <w:b/>
          <w:bCs/>
          <w:sz w:val="20"/>
        </w:rPr>
      </w:pPr>
      <w:r>
        <w:rPr>
          <w:b/>
          <w:bCs/>
          <w:szCs w:val="24"/>
        </w:rPr>
        <w:t>III.iv.3.D.2.h</w:t>
      </w:r>
      <w:r>
        <w:rPr>
          <w:rStyle w:val="referencecode1"/>
          <w:b/>
          <w:bCs/>
          <w:sz w:val="20"/>
        </w:rPr>
        <w:t>.</w:t>
      </w:r>
    </w:p>
    <w:tbl>
      <w:tblPr>
        <w:tblW w:w="0" w:type="auto"/>
        <w:tblCellMar>
          <w:left w:w="0" w:type="dxa"/>
          <w:right w:w="0" w:type="dxa"/>
        </w:tblCellMar>
        <w:tblLook w:val="04A0" w:firstRow="1" w:lastRow="0" w:firstColumn="1" w:lastColumn="0" w:noHBand="0" w:noVBand="1"/>
      </w:tblPr>
      <w:tblGrid>
        <w:gridCol w:w="225"/>
        <w:gridCol w:w="10035"/>
      </w:tblGrid>
      <w:tr w:rsidR="00D275EA" w:rsidTr="00C334D1">
        <w:trPr>
          <w:trHeight w:val="120"/>
        </w:trPr>
        <w:tc>
          <w:tcPr>
            <w:tcW w:w="225" w:type="dxa"/>
            <w:vAlign w:val="bottom"/>
            <w:hideMark/>
          </w:tcPr>
          <w:p w:rsidR="00D275EA" w:rsidRDefault="00D275EA" w:rsidP="00C334D1">
            <w:pPr>
              <w:rPr>
                <w:sz w:val="12"/>
                <w:szCs w:val="15"/>
              </w:rPr>
            </w:pPr>
          </w:p>
        </w:tc>
        <w:tc>
          <w:tcPr>
            <w:tcW w:w="10035" w:type="dxa"/>
            <w:vAlign w:val="bottom"/>
            <w:hideMark/>
          </w:tcPr>
          <w:p w:rsidR="00D275EA" w:rsidRPr="004F5228" w:rsidRDefault="00D275EA" w:rsidP="00C334D1">
            <w:pPr>
              <w:pStyle w:val="NormalWeb"/>
              <w:rPr>
                <w:sz w:val="20"/>
                <w:szCs w:val="20"/>
              </w:rPr>
            </w:pPr>
            <w:r w:rsidRPr="004F5228">
              <w:rPr>
                <w:sz w:val="20"/>
                <w:szCs w:val="20"/>
              </w:rPr>
              <w:t xml:space="preserve">The following credentialed mental health professionals are qualified to perform </w:t>
            </w:r>
            <w:r w:rsidRPr="004F5228">
              <w:rPr>
                <w:rStyle w:val="Emphasis"/>
                <w:sz w:val="20"/>
                <w:szCs w:val="20"/>
              </w:rPr>
              <w:t>initial</w:t>
            </w:r>
            <w:r w:rsidRPr="004F5228">
              <w:rPr>
                <w:sz w:val="20"/>
                <w:szCs w:val="20"/>
              </w:rPr>
              <w:t xml:space="preserve"> C&amp;P mental disorder examinations:</w:t>
            </w:r>
          </w:p>
          <w:p w:rsidR="00D275EA" w:rsidRPr="004F5228" w:rsidRDefault="00D275EA" w:rsidP="00F063AF">
            <w:pPr>
              <w:numPr>
                <w:ilvl w:val="0"/>
                <w:numId w:val="293"/>
              </w:numPr>
              <w:overflowPunct/>
              <w:autoSpaceDE/>
              <w:autoSpaceDN/>
              <w:adjustRightInd/>
              <w:spacing w:before="100" w:beforeAutospacing="1" w:after="100" w:afterAutospacing="1"/>
              <w:textAlignment w:val="auto"/>
            </w:pPr>
            <w:r w:rsidRPr="004F5228">
              <w:t>board-certified or board-eligible psychiatrists</w:t>
            </w:r>
          </w:p>
          <w:p w:rsidR="00D275EA" w:rsidRPr="004F5228" w:rsidRDefault="00D275EA" w:rsidP="00F063AF">
            <w:pPr>
              <w:numPr>
                <w:ilvl w:val="0"/>
                <w:numId w:val="293"/>
              </w:numPr>
              <w:overflowPunct/>
              <w:autoSpaceDE/>
              <w:autoSpaceDN/>
              <w:adjustRightInd/>
              <w:spacing w:before="100" w:beforeAutospacing="1" w:after="100" w:afterAutospacing="1"/>
              <w:textAlignment w:val="auto"/>
            </w:pPr>
            <w:r w:rsidRPr="004F5228">
              <w:t>licensed doctorate-level psychologists, or</w:t>
            </w:r>
          </w:p>
          <w:p w:rsidR="00D275EA" w:rsidRPr="004F5228" w:rsidRDefault="00D275EA" w:rsidP="00F063AF">
            <w:pPr>
              <w:numPr>
                <w:ilvl w:val="0"/>
                <w:numId w:val="293"/>
              </w:numPr>
              <w:overflowPunct/>
              <w:autoSpaceDE/>
              <w:autoSpaceDN/>
              <w:adjustRightInd/>
              <w:spacing w:before="100" w:beforeAutospacing="1" w:after="100" w:afterAutospacing="1"/>
              <w:textAlignment w:val="auto"/>
            </w:pPr>
            <w:r w:rsidRPr="004F5228">
              <w:t xml:space="preserve">the following other mental health professionals, under the close supervision of a board-certified or board-eligible psychiatrist or licensed doctorate-level psychologist: </w:t>
            </w:r>
          </w:p>
          <w:p w:rsidR="00D275EA" w:rsidRPr="004F5228" w:rsidRDefault="00D275EA" w:rsidP="00F063AF">
            <w:pPr>
              <w:numPr>
                <w:ilvl w:val="1"/>
                <w:numId w:val="293"/>
              </w:numPr>
              <w:overflowPunct/>
              <w:autoSpaceDE/>
              <w:autoSpaceDN/>
              <w:adjustRightInd/>
              <w:spacing w:before="100" w:beforeAutospacing="1" w:after="100" w:afterAutospacing="1"/>
              <w:textAlignment w:val="auto"/>
            </w:pPr>
            <w:r w:rsidRPr="004F5228">
              <w:t>doctorate-level mental health providers</w:t>
            </w:r>
          </w:p>
          <w:p w:rsidR="00D275EA" w:rsidRPr="004F5228" w:rsidRDefault="00D275EA" w:rsidP="00F063AF">
            <w:pPr>
              <w:numPr>
                <w:ilvl w:val="1"/>
                <w:numId w:val="293"/>
              </w:numPr>
              <w:overflowPunct/>
              <w:autoSpaceDE/>
              <w:autoSpaceDN/>
              <w:adjustRightInd/>
              <w:spacing w:before="100" w:beforeAutospacing="1" w:after="100" w:afterAutospacing="1"/>
              <w:textAlignment w:val="auto"/>
            </w:pPr>
            <w:r w:rsidRPr="004F5228">
              <w:t>psychiatry residents, and</w:t>
            </w:r>
          </w:p>
          <w:p w:rsidR="00D275EA" w:rsidRPr="004F5228" w:rsidRDefault="00D275EA" w:rsidP="00F063AF">
            <w:pPr>
              <w:numPr>
                <w:ilvl w:val="1"/>
                <w:numId w:val="293"/>
              </w:numPr>
              <w:overflowPunct/>
              <w:autoSpaceDE/>
              <w:autoSpaceDN/>
              <w:adjustRightInd/>
              <w:spacing w:before="100" w:beforeAutospacing="1" w:after="100" w:afterAutospacing="1"/>
              <w:textAlignment w:val="auto"/>
            </w:pPr>
            <w:r w:rsidRPr="004F5228">
              <w:t>clinical or counseling psychologists completing a one-year internship or residency.</w:t>
            </w:r>
          </w:p>
          <w:p w:rsidR="00D275EA" w:rsidRPr="004F5228" w:rsidRDefault="00D275EA" w:rsidP="00C334D1">
            <w:pPr>
              <w:pStyle w:val="NormalWeb"/>
              <w:rPr>
                <w:sz w:val="20"/>
                <w:szCs w:val="20"/>
              </w:rPr>
            </w:pPr>
            <w:r w:rsidRPr="004F5228">
              <w:rPr>
                <w:rStyle w:val="Emphasis"/>
                <w:b/>
                <w:bCs/>
                <w:sz w:val="20"/>
                <w:szCs w:val="20"/>
              </w:rPr>
              <w:t>Note</w:t>
            </w:r>
            <w:r w:rsidRPr="004F5228">
              <w:rPr>
                <w:sz w:val="20"/>
                <w:szCs w:val="20"/>
              </w:rPr>
              <w:t>:  “Close supervision” means that the supervising psychiatrist or psychologist met with the Veteran and conferred with the examining mental health professional in providing the diagnosis and the final assessment.  The supervising psychiatrist or psychologist must co-sign the examination report. </w:t>
            </w:r>
          </w:p>
          <w:p w:rsidR="00D275EA" w:rsidRPr="004F5228" w:rsidRDefault="00D275EA" w:rsidP="00C334D1">
            <w:pPr>
              <w:pStyle w:val="NormalWeb"/>
              <w:rPr>
                <w:sz w:val="20"/>
                <w:szCs w:val="20"/>
              </w:rPr>
            </w:pPr>
            <w:r w:rsidRPr="004F5228">
              <w:rPr>
                <w:rStyle w:val="Emphasis"/>
                <w:b/>
                <w:bCs/>
                <w:sz w:val="20"/>
                <w:szCs w:val="20"/>
              </w:rPr>
              <w:t>Important</w:t>
            </w:r>
            <w:r w:rsidRPr="004F5228">
              <w:rPr>
                <w:sz w:val="20"/>
                <w:szCs w:val="20"/>
              </w:rPr>
              <w:t xml:space="preserve">:  For a claim for posttraumatic stress disorder (PTSD) based upon a stressor related to the Veteran’s fear of hostile military or terrorist activity, </w:t>
            </w:r>
            <w:hyperlink r:id="rId640" w:tgtFrame="_blank" w:history="1">
              <w:r w:rsidRPr="004F5228">
                <w:rPr>
                  <w:rStyle w:val="Hyperlink"/>
                  <w:sz w:val="20"/>
                  <w:szCs w:val="20"/>
                </w:rPr>
                <w:t>38 CFR 3.304(f)(3)</w:t>
              </w:r>
            </w:hyperlink>
            <w:r w:rsidRPr="004F5228">
              <w:rPr>
                <w:sz w:val="20"/>
                <w:szCs w:val="20"/>
              </w:rPr>
              <w:t xml:space="preserve"> directs that the examination must be conducted by a VA psychiatrist or psychologist, or a psychiatrist or psychologist with whom VA has contracted.</w:t>
            </w:r>
          </w:p>
          <w:p w:rsidR="00D275EA" w:rsidRDefault="00D275EA" w:rsidP="00C334D1">
            <w:pPr>
              <w:pStyle w:val="NormalWeb"/>
              <w:spacing w:after="0"/>
              <w:rPr>
                <w:sz w:val="15"/>
                <w:szCs w:val="15"/>
              </w:rPr>
            </w:pPr>
            <w:r w:rsidRPr="004F5228">
              <w:rPr>
                <w:rStyle w:val="Emphasis"/>
                <w:b/>
                <w:bCs/>
                <w:sz w:val="20"/>
                <w:szCs w:val="20"/>
              </w:rPr>
              <w:t>Reference</w:t>
            </w:r>
            <w:r w:rsidRPr="004F5228">
              <w:rPr>
                <w:sz w:val="20"/>
                <w:szCs w:val="20"/>
              </w:rPr>
              <w:t xml:space="preserve">:  For more information on the qualifications of examiners for specific examinations, to include initial mental disorders examinations, PTSD, and eating disorders, see </w:t>
            </w:r>
            <w:hyperlink r:id="rId641" w:tgtFrame="_blank" w:history="1">
              <w:r w:rsidRPr="004F5228">
                <w:rPr>
                  <w:rStyle w:val="Hyperlink"/>
                  <w:i/>
                  <w:iCs/>
                  <w:sz w:val="20"/>
                  <w:szCs w:val="20"/>
                </w:rPr>
                <w:t>DBQ Switchboard</w:t>
              </w:r>
            </w:hyperlink>
            <w:r w:rsidRPr="004F5228">
              <w:rPr>
                <w:sz w:val="20"/>
                <w:szCs w:val="20"/>
              </w:rPr>
              <w:t>.</w:t>
            </w:r>
          </w:p>
        </w:tc>
      </w:tr>
    </w:tbl>
    <w:p w:rsidR="00D275EA" w:rsidRPr="002B6056" w:rsidRDefault="00D275EA" w:rsidP="00D275EA">
      <w:pPr>
        <w:pBdr>
          <w:top w:val="single" w:sz="4" w:space="1" w:color="auto"/>
          <w:left w:val="single" w:sz="4" w:space="4" w:color="auto"/>
          <w:bottom w:val="single" w:sz="4" w:space="1" w:color="auto"/>
          <w:right w:val="single" w:sz="4" w:space="4" w:color="auto"/>
        </w:pBdr>
        <w:spacing w:before="100" w:beforeAutospacing="1" w:after="100" w:afterAutospacing="1"/>
        <w:rPr>
          <w:szCs w:val="21"/>
        </w:rPr>
      </w:pPr>
      <w:r w:rsidRPr="002B6056">
        <w:rPr>
          <w:szCs w:val="21"/>
        </w:rPr>
        <w:t xml:space="preserve">VA policy says the following credentialed mental health professionals are qualified to perform </w:t>
      </w:r>
      <w:r w:rsidRPr="002B6056">
        <w:rPr>
          <w:i/>
          <w:iCs/>
          <w:szCs w:val="21"/>
        </w:rPr>
        <w:t>initial</w:t>
      </w:r>
      <w:r w:rsidRPr="002B6056">
        <w:rPr>
          <w:szCs w:val="21"/>
        </w:rPr>
        <w:t xml:space="preserve"> mental disorder examinations:  board-certified or board-eligible psychiatrists; licensed doctorate-level psychologists; doctorate-level mental health providers, psychiatry residents and clinical or counseling psychologists completing a one-year internship or residency under the close supervision of a board-certified or board-eligible psychiatrist or licensed doctorate-level psychologist.</w:t>
      </w:r>
    </w:p>
    <w:p w:rsidR="00D275EA" w:rsidRDefault="00D275EA" w:rsidP="00D275EA">
      <w:pPr>
        <w:widowControl w:val="0"/>
        <w:tabs>
          <w:tab w:val="left" w:pos="0"/>
          <w:tab w:val="left" w:pos="144"/>
        </w:tabs>
        <w:outlineLvl w:val="0"/>
        <w:rPr>
          <w:rStyle w:val="referencecode1"/>
          <w:b/>
          <w:bCs/>
          <w:sz w:val="20"/>
        </w:rPr>
      </w:pPr>
      <w:r>
        <w:rPr>
          <w:b/>
          <w:bCs/>
          <w:szCs w:val="24"/>
        </w:rPr>
        <w:t>III.iv.3.D.2.i</w:t>
      </w:r>
      <w:r>
        <w:rPr>
          <w:rStyle w:val="referencecode1"/>
          <w:b/>
          <w:bCs/>
          <w:sz w:val="20"/>
        </w:rPr>
        <w:t>.</w:t>
      </w:r>
    </w:p>
    <w:p w:rsidR="00D275EA" w:rsidRPr="004F5228" w:rsidRDefault="00D275EA" w:rsidP="00D275EA">
      <w:pPr>
        <w:pStyle w:val="NormalWeb"/>
        <w:rPr>
          <w:sz w:val="13"/>
          <w:szCs w:val="15"/>
        </w:rPr>
      </w:pPr>
      <w:r w:rsidRPr="004F5228">
        <w:rPr>
          <w:sz w:val="20"/>
          <w:szCs w:val="21"/>
        </w:rPr>
        <w:t>The following credentialed mental health professionals are qualified to perform C&amp;P mental disorder review examinations or examinations in claims for increased evaluations of service-connected (SC) mental disorders:</w:t>
      </w:r>
    </w:p>
    <w:p w:rsidR="00D275EA" w:rsidRPr="004F5228" w:rsidRDefault="00D275EA" w:rsidP="00F063AF">
      <w:pPr>
        <w:numPr>
          <w:ilvl w:val="0"/>
          <w:numId w:val="294"/>
        </w:numPr>
        <w:overflowPunct/>
        <w:autoSpaceDE/>
        <w:autoSpaceDN/>
        <w:adjustRightInd/>
        <w:spacing w:before="100" w:beforeAutospacing="1" w:after="100" w:afterAutospacing="1"/>
        <w:textAlignment w:val="auto"/>
        <w:rPr>
          <w:sz w:val="13"/>
          <w:szCs w:val="15"/>
        </w:rPr>
      </w:pPr>
      <w:r w:rsidRPr="004F5228">
        <w:rPr>
          <w:szCs w:val="21"/>
        </w:rPr>
        <w:t xml:space="preserve">mental health professionals qualified to perform initial mental disorder examinations per </w:t>
      </w:r>
      <w:hyperlink r:id="rId642" w:anchor="2f" w:history="1">
        <w:r w:rsidRPr="004F5228">
          <w:rPr>
            <w:rStyle w:val="Hyperlink"/>
            <w:szCs w:val="21"/>
          </w:rPr>
          <w:t>M21-1, Part III, Subpart iv, 3.D.2.h</w:t>
        </w:r>
      </w:hyperlink>
      <w:r w:rsidRPr="004F5228">
        <w:rPr>
          <w:szCs w:val="21"/>
        </w:rPr>
        <w:t>, or</w:t>
      </w:r>
    </w:p>
    <w:p w:rsidR="00D275EA" w:rsidRPr="004F5228" w:rsidRDefault="00D275EA" w:rsidP="00F063AF">
      <w:pPr>
        <w:numPr>
          <w:ilvl w:val="0"/>
          <w:numId w:val="294"/>
        </w:numPr>
        <w:overflowPunct/>
        <w:autoSpaceDE/>
        <w:autoSpaceDN/>
        <w:adjustRightInd/>
        <w:spacing w:before="100" w:beforeAutospacing="1" w:after="100" w:afterAutospacing="1"/>
        <w:textAlignment w:val="auto"/>
        <w:rPr>
          <w:sz w:val="13"/>
          <w:szCs w:val="15"/>
        </w:rPr>
      </w:pPr>
      <w:r w:rsidRPr="004F5228">
        <w:rPr>
          <w:szCs w:val="21"/>
        </w:rPr>
        <w:t>other mental health professional under the close supervision of a board-certified or board-eligible psychiatrist or licensed doctorate-level psychologist, including</w:t>
      </w:r>
      <w:r w:rsidRPr="004F5228">
        <w:rPr>
          <w:sz w:val="13"/>
          <w:szCs w:val="15"/>
        </w:rPr>
        <w:t xml:space="preserve"> </w:t>
      </w:r>
    </w:p>
    <w:p w:rsidR="00D275EA" w:rsidRPr="004F5228" w:rsidRDefault="00D275EA" w:rsidP="00F063AF">
      <w:pPr>
        <w:numPr>
          <w:ilvl w:val="1"/>
          <w:numId w:val="294"/>
        </w:numPr>
        <w:overflowPunct/>
        <w:autoSpaceDE/>
        <w:autoSpaceDN/>
        <w:adjustRightInd/>
        <w:spacing w:before="100" w:beforeAutospacing="1" w:after="100" w:afterAutospacing="1"/>
        <w:textAlignment w:val="auto"/>
        <w:rPr>
          <w:sz w:val="13"/>
          <w:szCs w:val="15"/>
        </w:rPr>
      </w:pPr>
      <w:r w:rsidRPr="004F5228">
        <w:rPr>
          <w:szCs w:val="21"/>
        </w:rPr>
        <w:t>licensed clinical social workers</w:t>
      </w:r>
    </w:p>
    <w:p w:rsidR="00D275EA" w:rsidRPr="004F5228" w:rsidRDefault="00D275EA" w:rsidP="00F063AF">
      <w:pPr>
        <w:numPr>
          <w:ilvl w:val="1"/>
          <w:numId w:val="294"/>
        </w:numPr>
        <w:overflowPunct/>
        <w:autoSpaceDE/>
        <w:autoSpaceDN/>
        <w:adjustRightInd/>
        <w:spacing w:before="100" w:beforeAutospacing="1" w:after="100" w:afterAutospacing="1"/>
        <w:textAlignment w:val="auto"/>
        <w:rPr>
          <w:sz w:val="13"/>
          <w:szCs w:val="15"/>
        </w:rPr>
      </w:pPr>
      <w:r w:rsidRPr="004F5228">
        <w:rPr>
          <w:szCs w:val="21"/>
        </w:rPr>
        <w:t>nurse practitioners</w:t>
      </w:r>
    </w:p>
    <w:p w:rsidR="00D275EA" w:rsidRPr="004F5228" w:rsidRDefault="00D275EA" w:rsidP="00F063AF">
      <w:pPr>
        <w:numPr>
          <w:ilvl w:val="1"/>
          <w:numId w:val="294"/>
        </w:numPr>
        <w:overflowPunct/>
        <w:autoSpaceDE/>
        <w:autoSpaceDN/>
        <w:adjustRightInd/>
        <w:spacing w:before="100" w:beforeAutospacing="1" w:after="100" w:afterAutospacing="1"/>
        <w:textAlignment w:val="auto"/>
        <w:rPr>
          <w:sz w:val="13"/>
          <w:szCs w:val="15"/>
        </w:rPr>
      </w:pPr>
      <w:r w:rsidRPr="004F5228">
        <w:rPr>
          <w:szCs w:val="21"/>
        </w:rPr>
        <w:t>clinical nurse specialists, and</w:t>
      </w:r>
    </w:p>
    <w:p w:rsidR="00D275EA" w:rsidRPr="004F5228" w:rsidRDefault="00D275EA" w:rsidP="00F063AF">
      <w:pPr>
        <w:numPr>
          <w:ilvl w:val="1"/>
          <w:numId w:val="294"/>
        </w:numPr>
        <w:overflowPunct/>
        <w:autoSpaceDE/>
        <w:autoSpaceDN/>
        <w:adjustRightInd/>
        <w:spacing w:before="100" w:beforeAutospacing="1" w:after="100" w:afterAutospacing="1"/>
        <w:textAlignment w:val="auto"/>
        <w:rPr>
          <w:sz w:val="13"/>
          <w:szCs w:val="15"/>
        </w:rPr>
      </w:pPr>
      <w:r w:rsidRPr="004F5228">
        <w:rPr>
          <w:szCs w:val="21"/>
        </w:rPr>
        <w:t>physician assistants.</w:t>
      </w:r>
    </w:p>
    <w:p w:rsidR="00D275EA" w:rsidRDefault="00D275EA" w:rsidP="00D275EA">
      <w:pPr>
        <w:pStyle w:val="NormalWeb"/>
      </w:pPr>
      <w:r w:rsidRPr="004F5228">
        <w:rPr>
          <w:rStyle w:val="Emphasis"/>
          <w:b/>
          <w:bCs/>
          <w:sz w:val="20"/>
          <w:szCs w:val="21"/>
        </w:rPr>
        <w:t>Reference</w:t>
      </w:r>
      <w:r w:rsidRPr="004F5228">
        <w:rPr>
          <w:sz w:val="20"/>
          <w:szCs w:val="21"/>
        </w:rPr>
        <w:t xml:space="preserve">:  For more information on the qualifications of examiners for review examinations for PTSD, see the </w:t>
      </w:r>
      <w:r w:rsidRPr="004F5228">
        <w:rPr>
          <w:rStyle w:val="Emphasis"/>
          <w:sz w:val="20"/>
          <w:szCs w:val="21"/>
        </w:rPr>
        <w:t>PTSD DBQ</w:t>
      </w:r>
      <w:r w:rsidRPr="004F5228">
        <w:rPr>
          <w:sz w:val="20"/>
          <w:szCs w:val="21"/>
        </w:rPr>
        <w:t xml:space="preserve"> in the </w:t>
      </w:r>
      <w:hyperlink r:id="rId643" w:tgtFrame="_blank" w:history="1">
        <w:r w:rsidRPr="004F5228">
          <w:rPr>
            <w:rStyle w:val="Emphasis"/>
            <w:color w:val="444444"/>
            <w:sz w:val="20"/>
            <w:szCs w:val="21"/>
          </w:rPr>
          <w:t>DBQ Switchboard</w:t>
        </w:r>
      </w:hyperlink>
      <w:r w:rsidRPr="004F5228">
        <w:rPr>
          <w:sz w:val="20"/>
          <w:szCs w:val="21"/>
        </w:rPr>
        <w:t>.</w:t>
      </w:r>
    </w:p>
    <w:p w:rsidR="00D275EA" w:rsidRPr="00EF17A1" w:rsidRDefault="00D275EA" w:rsidP="00D275EA">
      <w:pPr>
        <w:pBdr>
          <w:top w:val="single" w:sz="4" w:space="1" w:color="auto"/>
          <w:left w:val="single" w:sz="4" w:space="4" w:color="auto"/>
          <w:bottom w:val="single" w:sz="4" w:space="1" w:color="auto"/>
          <w:right w:val="single" w:sz="4" w:space="4" w:color="auto"/>
        </w:pBdr>
        <w:spacing w:before="100" w:beforeAutospacing="1" w:after="100" w:afterAutospacing="1"/>
        <w:rPr>
          <w:rStyle w:val="referencecode1"/>
          <w:sz w:val="13"/>
          <w:szCs w:val="15"/>
        </w:rPr>
      </w:pPr>
      <w:r w:rsidRPr="00EF17A1">
        <w:rPr>
          <w:szCs w:val="21"/>
        </w:rPr>
        <w:t xml:space="preserve">VA policy says the following credentialed mental health professionals are qualified to perform </w:t>
      </w:r>
      <w:r w:rsidRPr="00EF17A1">
        <w:rPr>
          <w:i/>
          <w:iCs/>
          <w:szCs w:val="21"/>
        </w:rPr>
        <w:t>review</w:t>
      </w:r>
      <w:r w:rsidRPr="00EF17A1">
        <w:rPr>
          <w:szCs w:val="21"/>
        </w:rPr>
        <w:t xml:space="preserve">  mental disorder examinations:  board-certified or board-eligible psychiatrists; licensed doctorate-level psychologists; doctorate-level mental health providers, psychiatry residents, clinical or counseling psychologists completing a one-year internship or residency, licensed clinical social workers, nurse practitioners, clinical nurse specialists, and physician assistants under the close supervision of a board-certified or board-eligible psychiatrist or licensed doctorate-level psychologist.</w:t>
      </w:r>
    </w:p>
    <w:p w:rsidR="00D275EA" w:rsidRDefault="00D275EA" w:rsidP="00D275EA">
      <w:pPr>
        <w:pStyle w:val="Header"/>
        <w:widowControl w:val="0"/>
        <w:tabs>
          <w:tab w:val="clear" w:pos="4320"/>
          <w:tab w:val="clear" w:pos="8640"/>
        </w:tabs>
        <w:rPr>
          <w:rStyle w:val="referencecode1"/>
          <w:sz w:val="20"/>
        </w:rPr>
      </w:pPr>
    </w:p>
    <w:p w:rsidR="00D275EA" w:rsidRDefault="00D275EA" w:rsidP="00D275EA">
      <w:pPr>
        <w:widowControl w:val="0"/>
        <w:pBdr>
          <w:top w:val="single" w:sz="4" w:space="1" w:color="auto"/>
        </w:pBdr>
        <w:rPr>
          <w:iCs/>
        </w:rPr>
      </w:pPr>
    </w:p>
    <w:p w:rsidR="00D275EA" w:rsidRDefault="00D275EA" w:rsidP="00D275EA">
      <w:pPr>
        <w:widowControl w:val="0"/>
        <w:numPr>
          <w:ilvl w:val="12"/>
          <w:numId w:val="0"/>
        </w:numPr>
        <w:spacing w:after="120"/>
        <w:rPr>
          <w:b/>
          <w:i/>
          <w:u w:val="single"/>
        </w:rPr>
      </w:pPr>
      <w:r>
        <w:rPr>
          <w:b/>
          <w:i/>
          <w:u w:val="single"/>
        </w:rPr>
        <w:t>Older References:</w:t>
      </w:r>
    </w:p>
    <w:p w:rsidR="00D275EA" w:rsidRDefault="00D275EA" w:rsidP="00F063AF">
      <w:pPr>
        <w:widowControl w:val="0"/>
        <w:numPr>
          <w:ilvl w:val="0"/>
          <w:numId w:val="233"/>
        </w:numPr>
        <w:tabs>
          <w:tab w:val="left" w:pos="360"/>
        </w:tabs>
        <w:spacing w:after="120"/>
        <w:ind w:left="360"/>
      </w:pPr>
      <w:r>
        <w:rPr>
          <w:b/>
        </w:rPr>
        <w:t xml:space="preserve">Mauerhan, 16/436 - </w:t>
      </w:r>
      <w:r>
        <w:t>NP rating criteria symptoms are not exhaustive list - “such as”</w:t>
      </w:r>
    </w:p>
    <w:p w:rsidR="00D275EA" w:rsidRDefault="00D275EA" w:rsidP="00F063AF">
      <w:pPr>
        <w:widowControl w:val="0"/>
        <w:numPr>
          <w:ilvl w:val="0"/>
          <w:numId w:val="233"/>
        </w:numPr>
        <w:tabs>
          <w:tab w:val="left" w:pos="360"/>
        </w:tabs>
        <w:spacing w:after="120"/>
        <w:ind w:left="360"/>
      </w:pPr>
      <w:r>
        <w:rPr>
          <w:b/>
          <w:i/>
        </w:rPr>
        <w:t>Moore v. Derwinski,</w:t>
      </w:r>
      <w:r>
        <w:rPr>
          <w:b/>
        </w:rPr>
        <w:t xml:space="preserve"> 1 Vet.App. 356, 358 (1991)</w:t>
      </w:r>
      <w:r>
        <w:t xml:space="preserve"> -GAF scores @ 15</w:t>
      </w:r>
    </w:p>
    <w:p w:rsidR="00D275EA" w:rsidRDefault="00D275EA" w:rsidP="00F063AF">
      <w:pPr>
        <w:widowControl w:val="0"/>
        <w:numPr>
          <w:ilvl w:val="0"/>
          <w:numId w:val="233"/>
        </w:numPr>
        <w:tabs>
          <w:tab w:val="left" w:pos="360"/>
        </w:tabs>
        <w:spacing w:after="120"/>
        <w:ind w:left="360"/>
      </w:pPr>
      <w:r w:rsidRPr="00D90920">
        <w:rPr>
          <w:b/>
          <w:i/>
        </w:rPr>
        <w:t>Moreau v. Brown</w:t>
      </w:r>
      <w:r>
        <w:rPr>
          <w:bCs/>
          <w:iCs/>
        </w:rPr>
        <w:t xml:space="preserve"> (9/12/96) - PTSD examiner cannot rely on vet's stmt to establish the occurrence of the stressor.  Vet's own statement is NOT "credible supportive evidence" (must be independent evid to be 'supportive').  Vet's stmt does not become credible because Examiner repeats it.</w:t>
      </w:r>
    </w:p>
    <w:p w:rsidR="00D275EA" w:rsidRDefault="00D275EA" w:rsidP="00F063AF">
      <w:pPr>
        <w:widowControl w:val="0"/>
        <w:numPr>
          <w:ilvl w:val="0"/>
          <w:numId w:val="233"/>
        </w:numPr>
        <w:tabs>
          <w:tab w:val="left" w:pos="360"/>
        </w:tabs>
        <w:spacing w:after="120"/>
        <w:ind w:left="360"/>
      </w:pPr>
      <w:r>
        <w:rPr>
          <w:b/>
          <w:i/>
        </w:rPr>
        <w:t>Gaines v</w:t>
      </w:r>
      <w:r>
        <w:t xml:space="preserve">. </w:t>
      </w:r>
      <w:r>
        <w:rPr>
          <w:b/>
          <w:i/>
        </w:rPr>
        <w:t xml:space="preserve">West </w:t>
      </w:r>
      <w:r>
        <w:rPr>
          <w:bCs/>
        </w:rPr>
        <w:t>(8/6/98)</w:t>
      </w:r>
      <w:r>
        <w:rPr>
          <w:b/>
        </w:rPr>
        <w:t xml:space="preserve"> </w:t>
      </w:r>
      <w:r>
        <w:t>– combat v. non-combat MOS</w:t>
      </w:r>
    </w:p>
    <w:p w:rsidR="00D275EA" w:rsidRDefault="00D275EA" w:rsidP="00D275EA">
      <w:pPr>
        <w:widowControl w:val="0"/>
        <w:numPr>
          <w:ilvl w:val="0"/>
          <w:numId w:val="1"/>
        </w:numPr>
        <w:tabs>
          <w:tab w:val="left" w:pos="360"/>
        </w:tabs>
        <w:spacing w:after="120"/>
      </w:pPr>
      <w:r>
        <w:rPr>
          <w:b/>
          <w:i/>
        </w:rPr>
        <w:t>Fossie v. West</w:t>
      </w:r>
      <w:r>
        <w:rPr>
          <w:b/>
        </w:rPr>
        <w:t xml:space="preserve"> </w:t>
      </w:r>
      <w:r>
        <w:rPr>
          <w:bCs/>
        </w:rPr>
        <w:t>(10/30/98)</w:t>
      </w:r>
      <w:r>
        <w:rPr>
          <w:b/>
        </w:rPr>
        <w:t xml:space="preserve"> </w:t>
      </w:r>
      <w:r>
        <w:t>- stressors for non combat veteran are too vague to send to ESG</w:t>
      </w:r>
    </w:p>
    <w:p w:rsidR="009E2F62" w:rsidRDefault="00D275EA" w:rsidP="009E2F62">
      <w:pPr>
        <w:widowControl w:val="0"/>
        <w:numPr>
          <w:ilvl w:val="0"/>
          <w:numId w:val="1"/>
        </w:numPr>
        <w:tabs>
          <w:tab w:val="left" w:pos="360"/>
        </w:tabs>
        <w:spacing w:after="120"/>
        <w:rPr>
          <w:szCs w:val="24"/>
        </w:rPr>
      </w:pPr>
      <w:r>
        <w:rPr>
          <w:b/>
          <w:i/>
        </w:rPr>
        <w:t>Pentecost v. Principi</w:t>
      </w:r>
      <w:r>
        <w:rPr>
          <w:b/>
        </w:rPr>
        <w:t xml:space="preserve"> 16/124 </w:t>
      </w:r>
      <w:r>
        <w:rPr>
          <w:bCs/>
        </w:rPr>
        <w:t>(2002)</w:t>
      </w:r>
      <w:r>
        <w:rPr>
          <w:b/>
        </w:rPr>
        <w:t xml:space="preserve"> </w:t>
      </w:r>
      <w:r>
        <w:t>- stressor is corroborated by a preponderance of the evidence; if veteran was at Danang when it was documented there had been rocket attacks, it is not necessary to document the veterans proximity to the point of attack</w:t>
      </w:r>
    </w:p>
    <w:p w:rsidR="00D275EA" w:rsidRDefault="00D275EA" w:rsidP="00D275EA">
      <w:pPr>
        <w:widowControl w:val="0"/>
        <w:numPr>
          <w:ilvl w:val="0"/>
          <w:numId w:val="1"/>
        </w:numPr>
        <w:tabs>
          <w:tab w:val="left" w:pos="360"/>
        </w:tabs>
        <w:spacing w:after="120"/>
      </w:pPr>
      <w:r>
        <w:rPr>
          <w:b/>
          <w:bCs/>
        </w:rPr>
        <w:t xml:space="preserve">10/29/08 change to </w:t>
      </w:r>
      <w:r w:rsidRPr="00055F2D">
        <w:rPr>
          <w:b/>
          <w:bCs/>
        </w:rPr>
        <w:t>3.304</w:t>
      </w:r>
      <w:r>
        <w:rPr>
          <w:b/>
          <w:bCs/>
        </w:rPr>
        <w:t>(f)</w:t>
      </w:r>
      <w:r>
        <w:rPr>
          <w:b/>
          <w:bCs/>
          <w:i/>
          <w:iCs/>
        </w:rPr>
        <w:t xml:space="preserve"> -</w:t>
      </w:r>
      <w:r>
        <w:t xml:space="preserve"> if the evidence shows that the veteran's PTSD was diagnosed during service and the claimed stressor is related to that service, in the absence of clear and convincing evidence to the contrary, and provided that the claimed stressor is consistent with the circumstances, conditions, or hardships of the veteran's service, the veteran's lay testimony alone may establish the occurrence of the claimed in-service stressor.  </w:t>
      </w:r>
    </w:p>
    <w:p w:rsidR="00D275EA" w:rsidRPr="00D6630D" w:rsidRDefault="00D275EA" w:rsidP="00D275EA">
      <w:pPr>
        <w:widowControl w:val="0"/>
        <w:numPr>
          <w:ilvl w:val="0"/>
          <w:numId w:val="1"/>
        </w:numPr>
        <w:spacing w:after="120"/>
        <w:rPr>
          <w:rStyle w:val="Hyperlink"/>
          <w:i/>
          <w:color w:val="auto"/>
          <w:u w:val="none"/>
        </w:rPr>
      </w:pPr>
      <w:r w:rsidRPr="00055F2D">
        <w:rPr>
          <w:b/>
          <w:bCs/>
          <w:i/>
        </w:rPr>
        <w:t>November 2008 Compensation Service Bulletin (CSB)</w:t>
      </w:r>
      <w:r>
        <w:rPr>
          <w:rStyle w:val="Hyperlink"/>
          <w:bCs/>
          <w:u w:val="none"/>
        </w:rPr>
        <w:t xml:space="preserve"> – </w:t>
      </w:r>
      <w:r w:rsidRPr="00D6630D">
        <w:rPr>
          <w:rStyle w:val="Hyperlink"/>
          <w:bCs/>
          <w:color w:val="auto"/>
          <w:u w:val="none"/>
        </w:rPr>
        <w:t>reiterates elimination of requirement for evidence corroborating the occurrence of a claimed in-service stressor if PTSD is diagnosed in service, new 3.304(f)</w:t>
      </w:r>
    </w:p>
    <w:p w:rsidR="00D275EA" w:rsidRDefault="00D275EA" w:rsidP="00D275EA">
      <w:pPr>
        <w:pStyle w:val="BulletText1"/>
        <w:widowControl w:val="0"/>
        <w:tabs>
          <w:tab w:val="clear" w:pos="187"/>
        </w:tabs>
        <w:rPr>
          <w:sz w:val="18"/>
        </w:rPr>
      </w:pPr>
    </w:p>
    <w:p w:rsidR="00D275EA" w:rsidRDefault="00D275EA" w:rsidP="00D275EA">
      <w:pPr>
        <w:pStyle w:val="BulletText1"/>
        <w:widowControl w:val="0"/>
        <w:pBdr>
          <w:top w:val="single" w:sz="4" w:space="1" w:color="auto"/>
        </w:pBdr>
        <w:tabs>
          <w:tab w:val="clear" w:pos="187"/>
        </w:tabs>
        <w:rPr>
          <w:b/>
          <w:bCs/>
          <w:i/>
          <w:iCs/>
          <w:sz w:val="20"/>
          <w:u w:val="single"/>
        </w:rPr>
      </w:pPr>
    </w:p>
    <w:p w:rsidR="00D275EA" w:rsidRDefault="00D275EA" w:rsidP="00D275EA">
      <w:pPr>
        <w:pStyle w:val="BulletText1"/>
        <w:widowControl w:val="0"/>
        <w:pBdr>
          <w:top w:val="single" w:sz="4" w:space="1" w:color="auto"/>
        </w:pBdr>
        <w:tabs>
          <w:tab w:val="clear" w:pos="187"/>
        </w:tabs>
        <w:spacing w:after="120"/>
      </w:pPr>
      <w:r>
        <w:rPr>
          <w:b/>
          <w:bCs/>
          <w:i/>
          <w:iCs/>
          <w:sz w:val="20"/>
          <w:u w:val="single"/>
        </w:rPr>
        <w:t>More Recent References:</w:t>
      </w:r>
      <w:r>
        <w:rPr>
          <w:sz w:val="18"/>
        </w:rPr>
        <w:t>:</w:t>
      </w:r>
    </w:p>
    <w:p w:rsidR="00D275EA" w:rsidRDefault="00D275EA" w:rsidP="00D275EA">
      <w:pPr>
        <w:pStyle w:val="Heading1"/>
        <w:keepNext w:val="0"/>
        <w:widowControl w:val="0"/>
        <w:numPr>
          <w:ilvl w:val="0"/>
          <w:numId w:val="64"/>
        </w:numPr>
        <w:spacing w:after="120"/>
        <w:rPr>
          <w:b/>
          <w:bCs/>
          <w:sz w:val="20"/>
        </w:rPr>
      </w:pPr>
      <w:r w:rsidRPr="00055F2D">
        <w:rPr>
          <w:b/>
          <w:bCs/>
          <w:sz w:val="20"/>
        </w:rPr>
        <w:t>March 2010 Compensation Service Bulletin (CSB)</w:t>
      </w:r>
      <w:r>
        <w:rPr>
          <w:b/>
          <w:bCs/>
          <w:sz w:val="20"/>
        </w:rPr>
        <w:t xml:space="preserve"> – </w:t>
      </w:r>
    </w:p>
    <w:p w:rsidR="00D275EA" w:rsidRDefault="00D275EA" w:rsidP="00D275EA">
      <w:pPr>
        <w:pStyle w:val="Heading1"/>
        <w:keepNext w:val="0"/>
        <w:widowControl w:val="0"/>
        <w:ind w:left="403"/>
        <w:rPr>
          <w:i w:val="0"/>
          <w:iCs w:val="0"/>
          <w:sz w:val="20"/>
        </w:rPr>
      </w:pPr>
      <w:r>
        <w:rPr>
          <w:b/>
          <w:bCs/>
          <w:i w:val="0"/>
          <w:iCs w:val="0"/>
          <w:sz w:val="20"/>
          <w:u w:val="single"/>
        </w:rPr>
        <w:t>“V” Device Combat Awards in PTSD Cases</w:t>
      </w:r>
    </w:p>
    <w:p w:rsidR="00D275EA" w:rsidRDefault="00D275EA" w:rsidP="00D275EA">
      <w:pPr>
        <w:pStyle w:val="Heading1"/>
        <w:keepNext w:val="0"/>
        <w:widowControl w:val="0"/>
        <w:spacing w:after="120"/>
        <w:ind w:left="400"/>
      </w:pPr>
      <w:r>
        <w:rPr>
          <w:i w:val="0"/>
          <w:iCs w:val="0"/>
          <w:sz w:val="20"/>
        </w:rPr>
        <w:t>In claims for posttraumatic stress disorder, per 38 CFR 3.304(f)(2), sufficient evidence that the Veteran  “engaged in combat with the enemy” can establish the occurrence of a stressor related to that combat with the Veteran’s lay statement alone.  Combat participation may be established when the Veteran has received a combat decoration or award, such as those listed in M21-1 Manual Rewrite (MR) IV.ii.1.D.13.d.  When a “V” device for valor is attached to an individual award, it is generally accepted as proof of the Veteran’s combat participation.  However, when the “V” device is attached to a unit award, such as the Air Force Outstanding Unit Award, it does not necessarily indicate combat participation by an individual member of that unit.  In addition, this award may go to a unit that supported combat activity rather than participated in combat activity.  Therefore, although a unit award with “V” device may be credible evidence supporting a Veteran’s claimed stressor, it is not, by itself, sufficient to establish combat participation.</w:t>
      </w:r>
    </w:p>
    <w:p w:rsidR="00D275EA" w:rsidRDefault="00D275EA" w:rsidP="00D275EA">
      <w:pPr>
        <w:pStyle w:val="Heading1"/>
        <w:keepNext w:val="0"/>
        <w:widowControl w:val="0"/>
        <w:ind w:left="403"/>
        <w:rPr>
          <w:b/>
          <w:bCs/>
          <w:i w:val="0"/>
          <w:iCs w:val="0"/>
          <w:sz w:val="20"/>
          <w:szCs w:val="24"/>
        </w:rPr>
      </w:pPr>
      <w:r>
        <w:rPr>
          <w:b/>
          <w:bCs/>
          <w:i w:val="0"/>
          <w:iCs w:val="0"/>
          <w:sz w:val="20"/>
          <w:szCs w:val="24"/>
          <w:u w:val="single"/>
        </w:rPr>
        <w:t>Lionesses – Women in Combat</w:t>
      </w:r>
      <w:r>
        <w:rPr>
          <w:b/>
          <w:bCs/>
          <w:i w:val="0"/>
          <w:iCs w:val="0"/>
          <w:sz w:val="20"/>
          <w:szCs w:val="24"/>
        </w:rPr>
        <w:t xml:space="preserve"> - </w:t>
      </w:r>
    </w:p>
    <w:p w:rsidR="00D275EA" w:rsidRDefault="00D275EA" w:rsidP="00D275EA">
      <w:pPr>
        <w:widowControl w:val="0"/>
        <w:spacing w:after="120"/>
        <w:ind w:left="400"/>
        <w:rPr>
          <w:szCs w:val="24"/>
        </w:rPr>
      </w:pPr>
      <w:r>
        <w:rPr>
          <w:szCs w:val="24"/>
        </w:rPr>
        <w:t>The Team Lioness program refers to women who serve in combat support missions.  These Veterans have encountered difficulty receiving proper recognition for their combat support when seeking disability benefits or health care from the VA because of the lack of documentation on the DD Form 214 and other records.  They have had to rely on an outside organization to provide the witnesses and documentation needed to establish their combat experience.</w:t>
      </w:r>
    </w:p>
    <w:p w:rsidR="00D275EA" w:rsidRDefault="00D275EA" w:rsidP="00D275EA">
      <w:pPr>
        <w:widowControl w:val="0"/>
        <w:spacing w:after="120"/>
        <w:ind w:left="400"/>
        <w:rPr>
          <w:color w:val="000000"/>
          <w:szCs w:val="24"/>
        </w:rPr>
      </w:pPr>
      <w:r>
        <w:rPr>
          <w:szCs w:val="24"/>
        </w:rPr>
        <w:t>In August, the DoD issued instructions for uniform documentation of a member’s participation in contingency operations in Block 18a on DD Form 214s.  This should provide VA with adequate information for development of claims involving combat and support of combat mission members.  However, all women who have supported combat missions prior to these instructions need VA to help verify their combat service.  Be aware that t</w:t>
      </w:r>
      <w:r>
        <w:rPr>
          <w:color w:val="000000"/>
          <w:szCs w:val="24"/>
        </w:rPr>
        <w:t xml:space="preserve">here are no limitations as to the type of evidence that may be accepted to confirm engagement in combat.  Any evidence that is probative of (serves to establish the fact at issue) combat participation may be used to support a determination that a Veteran engaged in combat.  </w:t>
      </w:r>
    </w:p>
    <w:p w:rsidR="00D275EA" w:rsidRDefault="00D275EA" w:rsidP="00D275EA">
      <w:pPr>
        <w:widowControl w:val="0"/>
        <w:spacing w:after="120"/>
        <w:ind w:left="400"/>
        <w:rPr>
          <w:sz w:val="18"/>
        </w:rPr>
      </w:pPr>
      <w:r>
        <w:rPr>
          <w:color w:val="000000"/>
        </w:rPr>
        <w:t>For more information see M21-1</w:t>
      </w:r>
      <w:r>
        <w:t>MR III.iv.4.O.29.b and IV.ii.1.D.13.c for a definition of "engaging in combat."  Also, see M21-1MR III.iv.4.O.29 and IV.ii.1.D.13 on verifying combat service based on primary and secondary sources of evidence.  For more information about the “Lionesses,” visit</w:t>
      </w:r>
      <w:r>
        <w:rPr>
          <w:color w:val="0000FF"/>
        </w:rPr>
        <w:t xml:space="preserve"> </w:t>
      </w:r>
      <w:hyperlink r:id="rId644" w:history="1">
        <w:r>
          <w:rPr>
            <w:rStyle w:val="Emphasis"/>
            <w:szCs w:val="24"/>
          </w:rPr>
          <w:t>http://www.lionessthefilm.com</w:t>
        </w:r>
      </w:hyperlink>
      <w:r>
        <w:t>.</w:t>
      </w:r>
    </w:p>
    <w:p w:rsidR="00D275EA" w:rsidRDefault="00D275EA" w:rsidP="00D275EA">
      <w:pPr>
        <w:widowControl w:val="0"/>
        <w:numPr>
          <w:ilvl w:val="0"/>
          <w:numId w:val="65"/>
        </w:numPr>
        <w:tabs>
          <w:tab w:val="clear" w:pos="720"/>
          <w:tab w:val="num" w:pos="400"/>
        </w:tabs>
        <w:spacing w:after="120"/>
        <w:ind w:left="403"/>
        <w:rPr>
          <w:bCs/>
          <w:iCs/>
        </w:rPr>
      </w:pPr>
      <w:r w:rsidRPr="00AC753C">
        <w:rPr>
          <w:b/>
          <w:iCs/>
        </w:rPr>
        <w:t>3.304</w:t>
      </w:r>
      <w:r>
        <w:rPr>
          <w:b/>
          <w:iCs/>
        </w:rPr>
        <w:t xml:space="preserve">(f)(3) change eff 7/13/10, per </w:t>
      </w:r>
      <w:r w:rsidRPr="00055F2D">
        <w:rPr>
          <w:b/>
          <w:bCs/>
          <w:i/>
          <w:iCs/>
        </w:rPr>
        <w:t>July 2010 Compensation Service Bulletin (CSB)</w:t>
      </w:r>
    </w:p>
    <w:p w:rsidR="00D275EA" w:rsidRDefault="00D275EA" w:rsidP="00D275EA">
      <w:pPr>
        <w:widowControl w:val="0"/>
        <w:numPr>
          <w:ilvl w:val="0"/>
          <w:numId w:val="67"/>
        </w:numPr>
        <w:tabs>
          <w:tab w:val="clear" w:pos="1080"/>
          <w:tab w:val="left" w:pos="720"/>
        </w:tabs>
        <w:spacing w:after="120"/>
        <w:ind w:left="720"/>
        <w:rPr>
          <w:szCs w:val="24"/>
        </w:rPr>
      </w:pPr>
      <w:r>
        <w:rPr>
          <w:szCs w:val="24"/>
        </w:rPr>
        <w:t>States that a Veteran’s lay statement alone may establish stressor occurrence when the stressor:  (1) relates to a fear of hostile military or terrorist activity; (2) is consistent with the places, types, and circumstances of the Veteran’s service; and (3) is</w:t>
      </w:r>
      <w:r>
        <w:t xml:space="preserve"> </w:t>
      </w:r>
      <w:r>
        <w:rPr>
          <w:szCs w:val="24"/>
        </w:rPr>
        <w:t xml:space="preserve">determined by a VA psychiatrist or psychologist to be the cause of the Veteran’s current PTSD symptoms.  </w:t>
      </w:r>
    </w:p>
    <w:p w:rsidR="00D275EA" w:rsidRDefault="00D275EA" w:rsidP="00D275EA">
      <w:pPr>
        <w:widowControl w:val="0"/>
        <w:numPr>
          <w:ilvl w:val="0"/>
          <w:numId w:val="67"/>
        </w:numPr>
        <w:tabs>
          <w:tab w:val="clear" w:pos="1080"/>
          <w:tab w:val="left" w:pos="720"/>
        </w:tabs>
        <w:spacing w:after="120"/>
        <w:ind w:left="720"/>
        <w:rPr>
          <w:szCs w:val="24"/>
        </w:rPr>
      </w:pPr>
      <w:r>
        <w:rPr>
          <w:szCs w:val="24"/>
        </w:rPr>
        <w:t xml:space="preserve">Applies to all claims received from the effective date of publication forward and all claims that were pending before the VA on the date of publication.  Additionally it applies to Veterans of any period of service, not just the current conflicts in Iraq and Afghanistan.  </w:t>
      </w:r>
    </w:p>
    <w:p w:rsidR="00D275EA" w:rsidRDefault="00D275EA" w:rsidP="00D275EA">
      <w:pPr>
        <w:widowControl w:val="0"/>
        <w:numPr>
          <w:ilvl w:val="0"/>
          <w:numId w:val="67"/>
        </w:numPr>
        <w:tabs>
          <w:tab w:val="clear" w:pos="1080"/>
          <w:tab w:val="left" w:pos="720"/>
        </w:tabs>
        <w:spacing w:after="120"/>
        <w:ind w:left="720"/>
        <w:rPr>
          <w:szCs w:val="24"/>
        </w:rPr>
      </w:pPr>
      <w:r>
        <w:rPr>
          <w:szCs w:val="24"/>
        </w:rPr>
        <w:t xml:space="preserve">Regional Office (RO) personnel must still determine whether the Veteran’s service is consistent with the places, types, and circumstances of hostile military or terrorist activity. This criterion could be met by service records showing service in any past or present area of hostile military or terrorist activity.  </w:t>
      </w:r>
    </w:p>
    <w:p w:rsidR="00D275EA" w:rsidRDefault="00D275EA" w:rsidP="00D275EA">
      <w:pPr>
        <w:widowControl w:val="0"/>
        <w:numPr>
          <w:ilvl w:val="0"/>
          <w:numId w:val="67"/>
        </w:numPr>
        <w:tabs>
          <w:tab w:val="clear" w:pos="1080"/>
          <w:tab w:val="left" w:pos="720"/>
        </w:tabs>
        <w:spacing w:after="120"/>
        <w:ind w:left="720"/>
        <w:rPr>
          <w:sz w:val="24"/>
          <w:szCs w:val="24"/>
        </w:rPr>
      </w:pPr>
      <w:r>
        <w:rPr>
          <w:szCs w:val="24"/>
        </w:rPr>
        <w:t>Once this is established, a VA PTSD examination should be scheduled.  In these cases, there is no longer a requirement to establish the occurrence of the stressor before scheduling an examination as the threshold for scheduling is low.  It will be up to VA examiners to determine whether the claimed stressor is the cause of the current symptoms and relates to a fear of hostile military or terrorist activity.  Rating decisions will be based on the results of the PTSD examination report.</w:t>
      </w:r>
    </w:p>
    <w:p w:rsidR="00D275EA" w:rsidRDefault="00D275EA" w:rsidP="00D275EA">
      <w:pPr>
        <w:widowControl w:val="0"/>
        <w:numPr>
          <w:ilvl w:val="0"/>
          <w:numId w:val="67"/>
        </w:numPr>
        <w:tabs>
          <w:tab w:val="clear" w:pos="1080"/>
          <w:tab w:val="left" w:pos="720"/>
        </w:tabs>
        <w:spacing w:after="120"/>
        <w:ind w:left="720"/>
        <w:rPr>
          <w:rStyle w:val="referencecode1"/>
          <w:i/>
          <w:iCs/>
          <w:sz w:val="20"/>
        </w:rPr>
      </w:pPr>
      <w:r>
        <w:rPr>
          <w:i/>
          <w:iCs/>
          <w:szCs w:val="24"/>
        </w:rPr>
        <w:t>This new regulation applies only when the specified criteria are met.  Other parts of § 3.304(f) will apply in PTSD claims based on combat status, former prisoner-of-war status, in-service diagnosis of PTSD, personal assault, or any other stressor unrelated to hostile military or terrorist activity.  C&amp;P Service has developed a training letter that will explain in detail this new regulation and its effect on PTSD claims.</w:t>
      </w:r>
    </w:p>
    <w:p w:rsidR="00D275EA" w:rsidRDefault="00D275EA" w:rsidP="00D275EA">
      <w:pPr>
        <w:pStyle w:val="BulletText1"/>
        <w:widowControl w:val="0"/>
        <w:tabs>
          <w:tab w:val="clear" w:pos="187"/>
        </w:tabs>
        <w:spacing w:after="120"/>
        <w:ind w:left="403" w:firstLine="0"/>
        <w:rPr>
          <w:sz w:val="18"/>
        </w:rPr>
      </w:pPr>
      <w:r>
        <w:rPr>
          <w:i/>
          <w:iCs/>
          <w:sz w:val="20"/>
        </w:rPr>
        <w:t>We can use the date of claim for the effective date on any claim pending on 7/13/10.  We must use the new date of claim for any claim received on or after 7/13/10 (including those previously denied and final, as well as those previously denied but not yet final).</w:t>
      </w:r>
    </w:p>
    <w:p w:rsidR="00D275EA" w:rsidRDefault="00D275EA" w:rsidP="00D275EA">
      <w:pPr>
        <w:pStyle w:val="BulletText1"/>
        <w:widowControl w:val="0"/>
        <w:numPr>
          <w:ilvl w:val="0"/>
          <w:numId w:val="66"/>
        </w:numPr>
        <w:tabs>
          <w:tab w:val="clear" w:pos="187"/>
          <w:tab w:val="clear" w:pos="360"/>
          <w:tab w:val="clear" w:pos="720"/>
          <w:tab w:val="left" w:pos="400"/>
        </w:tabs>
        <w:spacing w:after="120"/>
        <w:ind w:left="403"/>
        <w:rPr>
          <w:i/>
          <w:iCs/>
        </w:rPr>
      </w:pPr>
      <w:r w:rsidRPr="00055F2D">
        <w:rPr>
          <w:b/>
          <w:bCs/>
          <w:i/>
          <w:iCs/>
          <w:sz w:val="20"/>
        </w:rPr>
        <w:t>April 2011 Compensation Service Bulletin (CSB)</w:t>
      </w:r>
      <w:r>
        <w:rPr>
          <w:sz w:val="20"/>
        </w:rPr>
        <w:t xml:space="preserve"> – discussion of PTSD examinations in cases based on the new “fear” stressor regulation, VSM and/or VCM sufficient even for service aboard a ship offshore, or for service in Thailand</w:t>
      </w:r>
    </w:p>
    <w:p w:rsidR="00D275EA" w:rsidRDefault="00D275EA" w:rsidP="00D275EA">
      <w:pPr>
        <w:pStyle w:val="BulletText1"/>
        <w:widowControl w:val="0"/>
        <w:numPr>
          <w:ilvl w:val="0"/>
          <w:numId w:val="66"/>
        </w:numPr>
        <w:tabs>
          <w:tab w:val="clear" w:pos="187"/>
          <w:tab w:val="clear" w:pos="360"/>
          <w:tab w:val="clear" w:pos="720"/>
          <w:tab w:val="left" w:pos="400"/>
        </w:tabs>
        <w:spacing w:after="120"/>
        <w:ind w:left="403"/>
        <w:rPr>
          <w:i/>
          <w:iCs/>
        </w:rPr>
      </w:pPr>
      <w:r>
        <w:rPr>
          <w:b/>
          <w:bCs/>
          <w:i/>
          <w:iCs/>
          <w:sz w:val="20"/>
          <w:u w:val="single"/>
        </w:rPr>
        <w:t>don’t use</w:t>
      </w:r>
      <w:r>
        <w:rPr>
          <w:i/>
          <w:iCs/>
          <w:sz w:val="20"/>
        </w:rPr>
        <w:t xml:space="preserve"> “PTSD-Combat – Fear-Easing Standard” or “PTSD-Non-Combat – Other Stressor Verification” </w:t>
      </w:r>
    </w:p>
    <w:p w:rsidR="00D275EA" w:rsidRDefault="00D275EA" w:rsidP="00D275EA">
      <w:pPr>
        <w:pStyle w:val="BulletText1"/>
        <w:widowControl w:val="0"/>
        <w:tabs>
          <w:tab w:val="clear" w:pos="187"/>
          <w:tab w:val="clear" w:pos="360"/>
          <w:tab w:val="left" w:pos="720"/>
        </w:tabs>
        <w:spacing w:after="120"/>
        <w:ind w:left="720" w:hanging="360"/>
        <w:rPr>
          <w:i/>
          <w:iCs/>
          <w:sz w:val="20"/>
        </w:rPr>
      </w:pPr>
      <w:r>
        <w:rPr>
          <w:b/>
          <w:bCs/>
          <w:i/>
          <w:iCs/>
          <w:sz w:val="20"/>
          <w:u w:val="single"/>
        </w:rPr>
        <w:t>Can use</w:t>
      </w:r>
      <w:r>
        <w:rPr>
          <w:i/>
          <w:iCs/>
          <w:sz w:val="20"/>
        </w:rPr>
        <w:t>:</w:t>
      </w:r>
    </w:p>
    <w:p w:rsidR="00D275EA" w:rsidRDefault="00D275EA" w:rsidP="00F063AF">
      <w:pPr>
        <w:pStyle w:val="BulletText1"/>
        <w:widowControl w:val="0"/>
        <w:numPr>
          <w:ilvl w:val="1"/>
          <w:numId w:val="227"/>
        </w:numPr>
        <w:tabs>
          <w:tab w:val="clear" w:pos="187"/>
          <w:tab w:val="clear" w:pos="360"/>
          <w:tab w:val="clear" w:pos="1440"/>
          <w:tab w:val="left" w:pos="720"/>
        </w:tabs>
        <w:spacing w:after="120"/>
        <w:ind w:left="720"/>
        <w:rPr>
          <w:i/>
          <w:iCs/>
        </w:rPr>
      </w:pPr>
      <w:r>
        <w:rPr>
          <w:sz w:val="20"/>
        </w:rPr>
        <w:t xml:space="preserve">PTSD – Combat  </w:t>
      </w:r>
      <w:r>
        <w:rPr>
          <w:sz w:val="20"/>
        </w:rPr>
        <w:sym w:font="Wingdings" w:char="F0E0"/>
      </w:r>
      <w:r>
        <w:rPr>
          <w:sz w:val="20"/>
        </w:rPr>
        <w:t xml:space="preserve"> Combat Medal </w:t>
      </w:r>
      <w:r>
        <w:rPr>
          <w:i/>
          <w:iCs/>
          <w:sz w:val="20"/>
        </w:rPr>
        <w:t>or</w:t>
      </w:r>
      <w:r>
        <w:rPr>
          <w:sz w:val="20"/>
        </w:rPr>
        <w:t xml:space="preserve"> Other Stressor Verification</w:t>
      </w:r>
    </w:p>
    <w:p w:rsidR="00D275EA" w:rsidRDefault="00D275EA" w:rsidP="00F063AF">
      <w:pPr>
        <w:pStyle w:val="BulletText1"/>
        <w:widowControl w:val="0"/>
        <w:numPr>
          <w:ilvl w:val="1"/>
          <w:numId w:val="227"/>
        </w:numPr>
        <w:tabs>
          <w:tab w:val="clear" w:pos="187"/>
          <w:tab w:val="clear" w:pos="360"/>
          <w:tab w:val="clear" w:pos="1440"/>
          <w:tab w:val="left" w:pos="720"/>
        </w:tabs>
        <w:spacing w:after="120"/>
        <w:ind w:left="720"/>
        <w:rPr>
          <w:i/>
          <w:iCs/>
        </w:rPr>
      </w:pPr>
      <w:r>
        <w:rPr>
          <w:sz w:val="20"/>
        </w:rPr>
        <w:t xml:space="preserve">PTSD – Non-Combat  </w:t>
      </w:r>
      <w:r>
        <w:rPr>
          <w:sz w:val="20"/>
        </w:rPr>
        <w:sym w:font="Wingdings" w:char="F0E0"/>
      </w:r>
      <w:r>
        <w:rPr>
          <w:sz w:val="20"/>
        </w:rPr>
        <w:t xml:space="preserve"> Fear-Easing Standard</w:t>
      </w:r>
      <w:r>
        <w:rPr>
          <w:i/>
          <w:iCs/>
          <w:sz w:val="20"/>
        </w:rPr>
        <w:t xml:space="preserve"> or </w:t>
      </w:r>
      <w:r>
        <w:rPr>
          <w:sz w:val="20"/>
        </w:rPr>
        <w:t>Stressful Event</w:t>
      </w:r>
    </w:p>
    <w:p w:rsidR="00D275EA" w:rsidRDefault="00D275EA" w:rsidP="00D275EA">
      <w:pPr>
        <w:pStyle w:val="BulletText1"/>
        <w:widowControl w:val="0"/>
        <w:numPr>
          <w:ilvl w:val="0"/>
          <w:numId w:val="66"/>
        </w:numPr>
        <w:tabs>
          <w:tab w:val="clear" w:pos="187"/>
          <w:tab w:val="clear" w:pos="360"/>
          <w:tab w:val="clear" w:pos="720"/>
          <w:tab w:val="left" w:pos="400"/>
        </w:tabs>
        <w:spacing w:after="120"/>
        <w:ind w:left="403"/>
        <w:rPr>
          <w:rFonts w:eastAsia="Arial Unicode MS"/>
          <w:sz w:val="20"/>
        </w:rPr>
      </w:pPr>
      <w:r>
        <w:rPr>
          <w:bCs/>
          <w:iCs/>
          <w:sz w:val="20"/>
        </w:rPr>
        <w:t xml:space="preserve">From Geoff Sauer, 3/13/12 (reference is “straight from the TOP”) – </w:t>
      </w:r>
    </w:p>
    <w:p w:rsidR="00D275EA" w:rsidRDefault="00D275EA" w:rsidP="00D275EA">
      <w:pPr>
        <w:pStyle w:val="BulletText1"/>
        <w:widowControl w:val="0"/>
        <w:tabs>
          <w:tab w:val="clear" w:pos="187"/>
          <w:tab w:val="clear" w:pos="360"/>
          <w:tab w:val="left" w:pos="400"/>
        </w:tabs>
        <w:spacing w:after="120"/>
        <w:ind w:left="400" w:firstLine="0"/>
        <w:rPr>
          <w:rFonts w:eastAsia="Arial Unicode MS"/>
          <w:sz w:val="20"/>
        </w:rPr>
      </w:pPr>
      <w:r>
        <w:rPr>
          <w:sz w:val="20"/>
        </w:rPr>
        <w:t xml:space="preserve">Question (1) : If the Veteran only states PTSD without associating the PTSD to fear of hostile military or terrorist activity, but is in receipt of the Campaign Medal or Vietnam Service Medal, are we required to wait for the veteran to provide a stressor statement (or VA Form 21-0781), or should we proceed with scheduling an exam? </w:t>
      </w:r>
    </w:p>
    <w:p w:rsidR="00D275EA" w:rsidRDefault="00D275EA" w:rsidP="00D275EA">
      <w:pPr>
        <w:pStyle w:val="NormalWeb"/>
        <w:widowControl w:val="0"/>
        <w:ind w:left="400"/>
        <w:rPr>
          <w:i/>
          <w:iCs/>
          <w:sz w:val="20"/>
        </w:rPr>
      </w:pPr>
      <w:r>
        <w:rPr>
          <w:color w:val="0000FF"/>
          <w:sz w:val="20"/>
        </w:rPr>
        <w:t>Answer: In the above question the Veterans' claim would follow the traditional development path for development of an in-service stressor. We would not schedule an exam without the verified stressor. M21-1MR IV.ii.D.13</w:t>
      </w:r>
      <w:r>
        <w:rPr>
          <w:sz w:val="20"/>
        </w:rPr>
        <w:t xml:space="preserve"> (</w:t>
      </w:r>
      <w:r w:rsidRPr="00C820D0">
        <w:rPr>
          <w:i/>
          <w:iCs/>
          <w:color w:val="00B050"/>
          <w:sz w:val="20"/>
        </w:rPr>
        <w:t xml:space="preserve">My Notes:  </w:t>
      </w:r>
      <w:r w:rsidRPr="00D36CD9">
        <w:rPr>
          <w:i/>
          <w:iCs/>
          <w:sz w:val="20"/>
        </w:rPr>
        <w:t xml:space="preserve">I believe the reference is </w:t>
      </w:r>
      <w:r w:rsidRPr="00D36CD9">
        <w:rPr>
          <w:b/>
          <w:bCs/>
          <w:i/>
          <w:iCs/>
          <w:sz w:val="20"/>
        </w:rPr>
        <w:t>IV.ii.1.D.13</w:t>
      </w:r>
      <w:r>
        <w:rPr>
          <w:iCs/>
          <w:sz w:val="20"/>
        </w:rPr>
        <w:t>)</w:t>
      </w:r>
    </w:p>
    <w:p w:rsidR="00D275EA" w:rsidRDefault="00D275EA" w:rsidP="00D275EA">
      <w:pPr>
        <w:pStyle w:val="NormalWeb"/>
        <w:widowControl w:val="0"/>
        <w:ind w:left="400"/>
        <w:rPr>
          <w:sz w:val="20"/>
        </w:rPr>
      </w:pPr>
      <w:r>
        <w:rPr>
          <w:sz w:val="20"/>
        </w:rPr>
        <w:t xml:space="preserve">Question (2): If the Veteran provides a statement indicating he was "in fear of hostile military terrorist activity" but provides no further elaboration (or VA Form 21-0781), but is in receipt of the Campaign Medal or Vietnam Service Medal, should we proceed with scheduling an exam? </w:t>
      </w:r>
    </w:p>
    <w:p w:rsidR="00D275EA" w:rsidRDefault="00D275EA" w:rsidP="00D275EA">
      <w:pPr>
        <w:pStyle w:val="NormalWeb"/>
        <w:widowControl w:val="0"/>
        <w:ind w:left="400"/>
        <w:rPr>
          <w:color w:val="0000FF"/>
          <w:sz w:val="20"/>
        </w:rPr>
      </w:pPr>
      <w:r>
        <w:rPr>
          <w:color w:val="0000FF"/>
          <w:sz w:val="20"/>
        </w:rPr>
        <w:t>Answer: Yes, the veterans statement and receipt of the Campaign Medal and/or Vietnam Service Medal is sufficient for us to order an exam. TL-10-5, M21-1MR IV.ii.1.D.13.g, Compensation Service Bulletin April 2011.</w:t>
      </w:r>
    </w:p>
    <w:p w:rsidR="00D275EA" w:rsidRDefault="00D275EA" w:rsidP="00D275EA">
      <w:pPr>
        <w:pStyle w:val="BulletText1"/>
        <w:widowControl w:val="0"/>
        <w:numPr>
          <w:ilvl w:val="0"/>
          <w:numId w:val="66"/>
        </w:numPr>
        <w:tabs>
          <w:tab w:val="clear" w:pos="187"/>
          <w:tab w:val="clear" w:pos="360"/>
          <w:tab w:val="clear" w:pos="720"/>
          <w:tab w:val="left" w:pos="400"/>
        </w:tabs>
        <w:spacing w:after="120"/>
        <w:ind w:left="403"/>
        <w:rPr>
          <w:rFonts w:eastAsia="Arial Unicode MS"/>
          <w:sz w:val="20"/>
        </w:rPr>
      </w:pPr>
      <w:r>
        <w:rPr>
          <w:rFonts w:eastAsia="Arial Unicode MS"/>
          <w:sz w:val="20"/>
        </w:rPr>
        <w:t xml:space="preserve">Per </w:t>
      </w:r>
      <w:r w:rsidRPr="00055F2D">
        <w:rPr>
          <w:b/>
          <w:bCs/>
          <w:i/>
          <w:sz w:val="20"/>
        </w:rPr>
        <w:t>March 2012 Compensation Service Bulletin (CSB)</w:t>
      </w:r>
      <w:r>
        <w:rPr>
          <w:iCs/>
          <w:sz w:val="20"/>
        </w:rPr>
        <w:t xml:space="preserve"> &amp; </w:t>
      </w:r>
      <w:hyperlink r:id="rId645" w:history="1">
        <w:r>
          <w:rPr>
            <w:rStyle w:val="Hyperlink"/>
            <w:b/>
            <w:bCs/>
            <w:i/>
            <w:sz w:val="20"/>
          </w:rPr>
          <w:t>QRT Bulletin March 2012</w:t>
        </w:r>
      </w:hyperlink>
      <w:r>
        <w:rPr>
          <w:iCs/>
          <w:sz w:val="20"/>
        </w:rPr>
        <w:t xml:space="preserve"> </w:t>
      </w:r>
      <w:r>
        <w:rPr>
          <w:rFonts w:eastAsia="Arial Unicode MS"/>
          <w:sz w:val="20"/>
        </w:rPr>
        <w:t>- Non-PTSD mental disorders cannot be service-connected under 3.304(f), but need to use 3.303 and need to have the condition or proof of an “event” in service, plus a medical nexus between the diagnosis and the in-service condition/event  [3.304(f) requires fear-related “stressor” not fear-related “event”].</w:t>
      </w:r>
    </w:p>
    <w:p w:rsidR="00D275EA" w:rsidRPr="00C84C6D" w:rsidRDefault="004160E3" w:rsidP="00D275EA">
      <w:pPr>
        <w:widowControl w:val="0"/>
        <w:numPr>
          <w:ilvl w:val="0"/>
          <w:numId w:val="63"/>
        </w:numPr>
        <w:spacing w:after="120"/>
        <w:rPr>
          <w:sz w:val="24"/>
          <w:szCs w:val="24"/>
        </w:rPr>
      </w:pPr>
      <w:r>
        <w:rPr>
          <w:rStyle w:val="referencecode1"/>
          <w:b/>
          <w:bCs/>
          <w:i/>
          <w:iCs/>
          <w:sz w:val="20"/>
          <w:u w:val="single"/>
        </w:rPr>
        <w:t>July 2012 military sexual trauma</w:t>
      </w:r>
      <w:r w:rsidR="00D275EA">
        <w:rPr>
          <w:rStyle w:val="referencecode1"/>
          <w:b/>
          <w:bCs/>
          <w:i/>
          <w:iCs/>
          <w:sz w:val="20"/>
          <w:u w:val="single"/>
        </w:rPr>
        <w:t xml:space="preserve"> </w:t>
      </w:r>
      <w:r>
        <w:rPr>
          <w:rStyle w:val="referencecode1"/>
          <w:b/>
          <w:bCs/>
          <w:i/>
          <w:iCs/>
          <w:sz w:val="20"/>
          <w:u w:val="single"/>
        </w:rPr>
        <w:t xml:space="preserve">(MST) </w:t>
      </w:r>
      <w:r w:rsidR="00D275EA">
        <w:rPr>
          <w:rStyle w:val="referencecode1"/>
          <w:b/>
          <w:bCs/>
          <w:i/>
          <w:iCs/>
          <w:sz w:val="20"/>
          <w:u w:val="single"/>
        </w:rPr>
        <w:t>T</w:t>
      </w:r>
      <w:r w:rsidR="00D275EA" w:rsidRPr="00A70B7D">
        <w:rPr>
          <w:rStyle w:val="referencecode1"/>
          <w:b/>
          <w:bCs/>
          <w:i/>
          <w:iCs/>
          <w:sz w:val="20"/>
          <w:u w:val="single"/>
        </w:rPr>
        <w:t>raining</w:t>
      </w:r>
      <w:r w:rsidR="00D275EA">
        <w:rPr>
          <w:rStyle w:val="referencecode1"/>
          <w:sz w:val="20"/>
        </w:rPr>
        <w:t xml:space="preserve"> - threshold for examination is LOW (&amp; </w:t>
      </w:r>
      <w:hyperlink r:id="rId646" w:history="1">
        <w:r w:rsidR="00D275EA">
          <w:rPr>
            <w:b/>
          </w:rPr>
          <w:t>III.iv.4.O</w:t>
        </w:r>
      </w:hyperlink>
      <w:r w:rsidR="00D275EA">
        <w:t>)</w:t>
      </w:r>
      <w:r w:rsidR="00D275EA">
        <w:rPr>
          <w:rStyle w:val="referencecode1"/>
          <w:sz w:val="20"/>
        </w:rPr>
        <w:t xml:space="preserve">; </w:t>
      </w:r>
      <w:r w:rsidR="00D275EA" w:rsidRPr="00055F2D">
        <w:rPr>
          <w:b/>
          <w:i/>
          <w:iCs/>
          <w:szCs w:val="24"/>
        </w:rPr>
        <w:t>McLendon v. Nicholson, 20 Vet.App. 79</w:t>
      </w:r>
      <w:r w:rsidR="00D275EA">
        <w:rPr>
          <w:rStyle w:val="Hyperlink"/>
          <w:iCs/>
          <w:color w:val="auto"/>
          <w:szCs w:val="24"/>
          <w:u w:val="none"/>
        </w:rPr>
        <w:t xml:space="preserve"> (2006) </w:t>
      </w:r>
      <w:r w:rsidR="00D275EA">
        <w:rPr>
          <w:rStyle w:val="referencecode1"/>
          <w:sz w:val="20"/>
        </w:rPr>
        <w:t xml:space="preserve">- liberal approach to scheduling VA exam; Patton v. West, 1999 – served as basis for current personal assault regulations, two markers identified, says we don’t need an actual event in service, just marker/credible supporting evidence, many markers are possible and should not be viewed as normal behavior, but rather in the context of supporting the claim; always notify the veteran about alternative sources; includes active duty for training and drill weekends (per an unnamed FAQ); as of March 2012, according to the Privacy Act of 1974, we can request the “alleged” perpetrator’s or a buddy’s records (service personnel records or CAPRI records) in an attempt to corroborate the incident to adjudicate a claim for benefits; if veteran has diagnosis of another mental disorder (besides PTSD, cannot use markers, need an event </w:t>
      </w:r>
      <w:r w:rsidR="00D275EA">
        <w:rPr>
          <w:rStyle w:val="referencecode1"/>
          <w:i/>
          <w:iCs/>
          <w:sz w:val="20"/>
        </w:rPr>
        <w:t>(see above March references)</w:t>
      </w:r>
      <w:r w:rsidR="00D275EA">
        <w:rPr>
          <w:rStyle w:val="referencecode1"/>
          <w:sz w:val="20"/>
        </w:rPr>
        <w:t xml:space="preserve">; </w:t>
      </w:r>
      <w:r w:rsidR="00D275EA" w:rsidRPr="00135AF1">
        <w:rPr>
          <w:rStyle w:val="referencecode1"/>
          <w:sz w:val="20"/>
          <w:highlight w:val="darkGray"/>
        </w:rPr>
        <w:t xml:space="preserve">never do a formal finding of lack of information required to corroborate stressor in personal trauma cases [can do a </w:t>
      </w:r>
      <w:r w:rsidR="00D275EA" w:rsidRPr="00135AF1">
        <w:rPr>
          <w:highlight w:val="darkGray"/>
        </w:rPr>
        <w:t>formal finding of Federal record unavailability if Federal records could not be obtained, but this should not mention the event/stressor/markers/etc]</w:t>
      </w:r>
    </w:p>
    <w:p w:rsidR="00D275EA" w:rsidRDefault="00D275EA" w:rsidP="00D275EA">
      <w:pPr>
        <w:widowControl w:val="0"/>
        <w:numPr>
          <w:ilvl w:val="0"/>
          <w:numId w:val="63"/>
        </w:numPr>
        <w:spacing w:after="120"/>
        <w:rPr>
          <w:szCs w:val="24"/>
        </w:rPr>
      </w:pPr>
      <w:r w:rsidRPr="00055F2D">
        <w:rPr>
          <w:b/>
          <w:bCs/>
          <w:i/>
        </w:rPr>
        <w:t>April 2013 Compensation Service Bulletin (CSB)</w:t>
      </w:r>
      <w:r>
        <w:rPr>
          <w:rFonts w:eastAsia="Arial Unicode MS"/>
        </w:rPr>
        <w:t xml:space="preserve"> – The </w:t>
      </w:r>
      <w:r>
        <w:rPr>
          <w:szCs w:val="24"/>
        </w:rPr>
        <w:t xml:space="preserve">Veterans Benefits Administration (VBA) will amend </w:t>
      </w:r>
      <w:r w:rsidRPr="00055F2D">
        <w:rPr>
          <w:szCs w:val="24"/>
        </w:rPr>
        <w:t>38 C.F.R. § 3.304(f)</w:t>
      </w:r>
      <w:r>
        <w:rPr>
          <w:szCs w:val="24"/>
        </w:rPr>
        <w:t xml:space="preserve"> to clarify that service connection may be granted for PTSD when first manifesting in service and is related to a </w:t>
      </w:r>
      <w:r>
        <w:rPr>
          <w:i/>
          <w:iCs/>
          <w:szCs w:val="24"/>
        </w:rPr>
        <w:t>pre-service stressor.</w:t>
      </w:r>
      <w:r>
        <w:rPr>
          <w:szCs w:val="24"/>
        </w:rPr>
        <w:t xml:space="preserve"> </w:t>
      </w:r>
    </w:p>
    <w:p w:rsidR="00D275EA" w:rsidRDefault="00D275EA" w:rsidP="00D275EA">
      <w:pPr>
        <w:widowControl w:val="0"/>
        <w:spacing w:after="120"/>
        <w:ind w:left="400"/>
        <w:rPr>
          <w:szCs w:val="24"/>
        </w:rPr>
      </w:pPr>
      <w:r>
        <w:rPr>
          <w:szCs w:val="24"/>
        </w:rPr>
        <w:t xml:space="preserve">Regional offices (ROs) may grant service connection for PTSD when first manifesting in service and related to a pre-service stressor under the </w:t>
      </w:r>
      <w:hyperlink r:id="rId647" w:history="1">
        <w:r>
          <w:rPr>
            <w:rStyle w:val="Hyperlink"/>
            <w:szCs w:val="24"/>
          </w:rPr>
          <w:t>38 U.S.C. § 1110,</w:t>
        </w:r>
      </w:hyperlink>
      <w:r>
        <w:rPr>
          <w:szCs w:val="24"/>
        </w:rPr>
        <w:t xml:space="preserve"> which is the statute containing the general criteria for establishing service connection for a chronic disability.  </w:t>
      </w:r>
    </w:p>
    <w:p w:rsidR="00D275EA" w:rsidRDefault="00D275EA" w:rsidP="00D275EA">
      <w:pPr>
        <w:widowControl w:val="0"/>
        <w:spacing w:after="120"/>
        <w:ind w:left="400"/>
        <w:rPr>
          <w:szCs w:val="24"/>
        </w:rPr>
      </w:pPr>
      <w:r>
        <w:rPr>
          <w:szCs w:val="24"/>
        </w:rPr>
        <w:t>When PTSD first manifests in service as the result of a pre-service stressor, do not cite 38 C.F.R. § 3.304(f) , as the current language of the regulation clearly limits establishing</w:t>
      </w:r>
      <w:r>
        <w:t xml:space="preserve"> </w:t>
      </w:r>
      <w:r>
        <w:rPr>
          <w:szCs w:val="24"/>
        </w:rPr>
        <w:t xml:space="preserve">service connection for PTSD to an </w:t>
      </w:r>
      <w:r>
        <w:rPr>
          <w:i/>
          <w:iCs/>
          <w:szCs w:val="24"/>
        </w:rPr>
        <w:t>in-service</w:t>
      </w:r>
      <w:r>
        <w:rPr>
          <w:szCs w:val="24"/>
        </w:rPr>
        <w:t xml:space="preserve"> stressor.  </w:t>
      </w:r>
      <w:r>
        <w:rPr>
          <w:i/>
          <w:iCs/>
          <w:szCs w:val="24"/>
        </w:rPr>
        <w:t>See Arzio v. Shinseki,</w:t>
      </w:r>
      <w:r>
        <w:rPr>
          <w:szCs w:val="24"/>
        </w:rPr>
        <w:t xml:space="preserve"> 602 F.3d 1343 (Fed. Cir. 2010).  Also, reference to </w:t>
      </w:r>
      <w:r w:rsidRPr="00055F2D">
        <w:rPr>
          <w:szCs w:val="24"/>
        </w:rPr>
        <w:t>38 C.F.R. § 3.303(a)</w:t>
      </w:r>
      <w:r>
        <w:rPr>
          <w:szCs w:val="24"/>
        </w:rPr>
        <w:t xml:space="preserve"> should not be made in pre-service stressor PTSD claims.  Accordingly, we are rescinding </w:t>
      </w:r>
      <w:r w:rsidRPr="00055F2D">
        <w:rPr>
          <w:szCs w:val="24"/>
        </w:rPr>
        <w:t>Fast Letter (FL) 99-85</w:t>
      </w:r>
      <w:r>
        <w:rPr>
          <w:szCs w:val="24"/>
        </w:rPr>
        <w:t xml:space="preserve">, </w:t>
      </w:r>
      <w:r>
        <w:rPr>
          <w:i/>
          <w:iCs/>
          <w:color w:val="000000"/>
          <w:szCs w:val="24"/>
        </w:rPr>
        <w:t>Service Connection for Posttraumatic Stress Disorder (PTSD) diagnosed In-Service</w:t>
      </w:r>
      <w:r>
        <w:rPr>
          <w:color w:val="000000"/>
          <w:szCs w:val="24"/>
        </w:rPr>
        <w:t xml:space="preserve">, </w:t>
      </w:r>
      <w:r>
        <w:rPr>
          <w:szCs w:val="24"/>
        </w:rPr>
        <w:t xml:space="preserve">which contains such instructions.  </w:t>
      </w:r>
    </w:p>
    <w:p w:rsidR="00D275EA" w:rsidRDefault="00D275EA" w:rsidP="00D275EA">
      <w:pPr>
        <w:widowControl w:val="0"/>
        <w:spacing w:after="120"/>
        <w:ind w:left="400"/>
        <w:rPr>
          <w:szCs w:val="24"/>
        </w:rPr>
      </w:pPr>
      <w:r>
        <w:rPr>
          <w:szCs w:val="24"/>
        </w:rPr>
        <w:t xml:space="preserve">The existence of a pre-service stressor does not rebut the presumption of soundness under </w:t>
      </w:r>
      <w:hyperlink r:id="rId648" w:history="1">
        <w:r>
          <w:rPr>
            <w:rStyle w:val="Hyperlink"/>
            <w:szCs w:val="24"/>
          </w:rPr>
          <w:t>38 U.S.C. § 1111</w:t>
        </w:r>
      </w:hyperlink>
      <w:r>
        <w:rPr>
          <w:szCs w:val="24"/>
        </w:rPr>
        <w:t xml:space="preserve"> for a claim involving an in-service diagnosis of PTSD.  The mere existence of a pre-service stressor is insufficient to clearly and unmistakably establish that PTSD existed prior to service and was not aggravated by such service.</w:t>
      </w:r>
    </w:p>
    <w:p w:rsidR="00D275EA" w:rsidRPr="003E7940" w:rsidRDefault="00D275EA" w:rsidP="00D275EA">
      <w:pPr>
        <w:pStyle w:val="ListParagraph"/>
        <w:widowControl w:val="0"/>
        <w:numPr>
          <w:ilvl w:val="0"/>
          <w:numId w:val="66"/>
        </w:numPr>
        <w:tabs>
          <w:tab w:val="clear" w:pos="720"/>
          <w:tab w:val="num" w:pos="360"/>
        </w:tabs>
        <w:spacing w:after="0"/>
        <w:ind w:left="360"/>
        <w:rPr>
          <w:color w:val="000000"/>
          <w:szCs w:val="20"/>
        </w:rPr>
      </w:pPr>
      <w:r w:rsidRPr="00DC7E42">
        <w:rPr>
          <w:rFonts w:ascii="Arial" w:hAnsi="Arial"/>
          <w:b/>
          <w:bCs/>
          <w:sz w:val="20"/>
          <w:szCs w:val="20"/>
        </w:rPr>
        <w:t>IV.ii.1.D.1.g</w:t>
      </w:r>
      <w:r>
        <w:rPr>
          <w:rFonts w:ascii="Arial" w:hAnsi="Arial"/>
          <w:b/>
          <w:bCs/>
          <w:sz w:val="20"/>
          <w:szCs w:val="20"/>
        </w:rPr>
        <w:t xml:space="preserve"> </w:t>
      </w:r>
      <w:r w:rsidRPr="003E7940">
        <w:rPr>
          <w:rStyle w:val="referencecode1"/>
          <w:rFonts w:ascii="Arial" w:hAnsi="Arial"/>
          <w:sz w:val="20"/>
        </w:rPr>
        <w:t>–</w:t>
      </w:r>
      <w:r w:rsidRPr="003E7940">
        <w:rPr>
          <w:color w:val="000000"/>
          <w:szCs w:val="20"/>
        </w:rPr>
        <w:t xml:space="preserve"> </w:t>
      </w:r>
    </w:p>
    <w:p w:rsidR="00D275EA" w:rsidRPr="0071306A" w:rsidRDefault="00D275EA" w:rsidP="00D275EA">
      <w:pPr>
        <w:pStyle w:val="BlockText"/>
        <w:ind w:left="360"/>
      </w:pPr>
      <w:r w:rsidRPr="0071306A">
        <w:t xml:space="preserve">Schedule an examination if there is evidence of a PTSD diagnosis or symptoms, </w:t>
      </w:r>
      <w:r w:rsidRPr="0071306A">
        <w:rPr>
          <w:i/>
        </w:rPr>
        <w:t>and</w:t>
      </w:r>
      <w:r w:rsidRPr="0071306A">
        <w:t xml:space="preserve"> the Veteran’s </w:t>
      </w:r>
      <w:r w:rsidRPr="0071306A">
        <w:rPr>
          <w:i/>
        </w:rPr>
        <w:t>DD Form 214, Certificate of Release or Discharge From Active Duty</w:t>
      </w:r>
      <w:r w:rsidRPr="0071306A">
        <w:t xml:space="preserve">, or other service records, shows service in an area of potential hostile military or terrorist activity.  </w:t>
      </w:r>
    </w:p>
    <w:p w:rsidR="00D275EA" w:rsidRPr="003E7940" w:rsidRDefault="00D275EA" w:rsidP="00F063AF">
      <w:pPr>
        <w:numPr>
          <w:ilvl w:val="0"/>
          <w:numId w:val="190"/>
        </w:numPr>
        <w:overflowPunct/>
        <w:autoSpaceDE/>
        <w:autoSpaceDN/>
        <w:adjustRightInd/>
        <w:spacing w:after="120"/>
        <w:textAlignment w:val="auto"/>
        <w:rPr>
          <w:color w:val="000000"/>
        </w:rPr>
      </w:pPr>
      <w:r w:rsidRPr="003E7940">
        <w:rPr>
          <w:color w:val="000000"/>
        </w:rPr>
        <w:t xml:space="preserve">The receipt of military awards such as, but not limited to, the Vietnam Service or Campaign Medal, Kuwait Liberation Medal, Iraq Campaign Medal, and Afghanistan Campaign Medal is generally considered evidence of service in an area of potential hostile military or terrorist activity. </w:t>
      </w:r>
    </w:p>
    <w:p w:rsidR="00D275EA" w:rsidRDefault="00D275EA" w:rsidP="00F063AF">
      <w:pPr>
        <w:numPr>
          <w:ilvl w:val="0"/>
          <w:numId w:val="190"/>
        </w:numPr>
        <w:overflowPunct/>
        <w:autoSpaceDE/>
        <w:autoSpaceDN/>
        <w:adjustRightInd/>
        <w:spacing w:after="120"/>
        <w:textAlignment w:val="auto"/>
        <w:rPr>
          <w:color w:val="000000"/>
        </w:rPr>
      </w:pPr>
      <w:r w:rsidRPr="003E7940">
        <w:rPr>
          <w:color w:val="000000"/>
        </w:rPr>
        <w:t xml:space="preserve">The receipt of military awards such as the National Defense Service Medal, Armed Forces Service Medal, and Global War on Terrorism (GWOT) Service Medal generally does not indicate service in locations that involve exposure to hostile military or terrorist activity, because these are general medals that do not denote service in a particular area or campaign. If the Veteran served in an area of potential hostile military or terrorist activity, he/she would have received a more specific medal for such service. </w:t>
      </w:r>
    </w:p>
    <w:p w:rsidR="00D275EA" w:rsidRPr="00C84C6D" w:rsidRDefault="00D571C5" w:rsidP="00F063AF">
      <w:pPr>
        <w:widowControl w:val="0"/>
        <w:numPr>
          <w:ilvl w:val="0"/>
          <w:numId w:val="153"/>
        </w:numPr>
        <w:tabs>
          <w:tab w:val="clear" w:pos="720"/>
          <w:tab w:val="num" w:pos="360"/>
        </w:tabs>
        <w:spacing w:after="120"/>
        <w:ind w:left="360"/>
        <w:rPr>
          <w:sz w:val="24"/>
          <w:szCs w:val="24"/>
        </w:rPr>
      </w:pPr>
      <w:hyperlink r:id="rId649" w:history="1">
        <w:r w:rsidR="00D275EA" w:rsidRPr="004F5F6E">
          <w:rPr>
            <w:rStyle w:val="Hyperlink"/>
            <w:b/>
            <w:i/>
          </w:rPr>
          <w:t xml:space="preserve">May 2014 Rating </w:t>
        </w:r>
        <w:r w:rsidR="00D275EA">
          <w:rPr>
            <w:rStyle w:val="Hyperlink"/>
            <w:b/>
            <w:i/>
          </w:rPr>
          <w:t>Quality Call Notes</w:t>
        </w:r>
      </w:hyperlink>
      <w:r w:rsidR="00D275EA" w:rsidRPr="004F5F6E">
        <w:t xml:space="preserve"> &amp; </w:t>
      </w:r>
      <w:hyperlink r:id="rId650" w:history="1">
        <w:r w:rsidR="00D275EA" w:rsidRPr="004F5F6E">
          <w:rPr>
            <w:rStyle w:val="Hyperlink"/>
            <w:b/>
            <w:i/>
          </w:rPr>
          <w:t xml:space="preserve">July 2014 Rating </w:t>
        </w:r>
        <w:r w:rsidR="00D275EA">
          <w:rPr>
            <w:rStyle w:val="Hyperlink"/>
            <w:b/>
            <w:i/>
          </w:rPr>
          <w:t>Quality Call Notes</w:t>
        </w:r>
      </w:hyperlink>
      <w:r w:rsidR="00D275EA" w:rsidRPr="004F5F6E">
        <w:t xml:space="preserve">– </w:t>
      </w:r>
      <w:r w:rsidR="00D275EA" w:rsidRPr="00055F2D">
        <w:t>38 CFR 3.304(f)</w:t>
      </w:r>
      <w:r w:rsidR="00D275EA" w:rsidRPr="004F5F6E">
        <w:t xml:space="preserve"> applies only to a true diagnosis of post-traumatic stress disorder (see </w:t>
      </w:r>
      <w:r w:rsidR="00D275EA" w:rsidRPr="00055F2D">
        <w:rPr>
          <w:i/>
        </w:rPr>
        <w:t>Arzio v Shinseki</w:t>
      </w:r>
      <w:r w:rsidR="00D275EA" w:rsidRPr="004F5F6E">
        <w:t xml:space="preserve">).  Any other mental disorder diagnosis, including subtypes of PTSD, is only adjudicated under </w:t>
      </w:r>
      <w:r w:rsidR="00D275EA" w:rsidRPr="00055F2D">
        <w:t>38 CFR 3.303</w:t>
      </w:r>
      <w:r w:rsidR="00D275EA" w:rsidRPr="004F5F6E">
        <w:t>.  For example, a DSM-5 diagnosis of “Other stress-related disorder” that has been attributed to “fear of hostile military and terrorist activity” is adjudicated under 38 CFR 3.303.</w:t>
      </w:r>
    </w:p>
    <w:p w:rsidR="00D275EA" w:rsidRPr="002F5977" w:rsidRDefault="00D571C5" w:rsidP="00F063AF">
      <w:pPr>
        <w:pStyle w:val="ListParagraph"/>
        <w:numPr>
          <w:ilvl w:val="1"/>
          <w:numId w:val="153"/>
        </w:numPr>
        <w:tabs>
          <w:tab w:val="clear" w:pos="1440"/>
          <w:tab w:val="num" w:pos="360"/>
        </w:tabs>
        <w:spacing w:after="120" w:line="240" w:lineRule="auto"/>
        <w:ind w:left="360"/>
        <w:rPr>
          <w:rFonts w:ascii="Arial" w:hAnsi="Arial"/>
          <w:b/>
          <w:i/>
          <w:sz w:val="20"/>
          <w:szCs w:val="20"/>
        </w:rPr>
      </w:pPr>
      <w:hyperlink r:id="rId651" w:history="1">
        <w:r w:rsidR="00D275EA" w:rsidRPr="00C84C6D">
          <w:rPr>
            <w:rStyle w:val="Hyperlink"/>
            <w:rFonts w:ascii="Arial" w:hAnsi="Arial"/>
            <w:b/>
            <w:i/>
            <w:sz w:val="20"/>
            <w:szCs w:val="20"/>
          </w:rPr>
          <w:t>May 2014 Rating Quality Call Notes</w:t>
        </w:r>
      </w:hyperlink>
      <w:r w:rsidR="00D275EA" w:rsidRPr="00C84C6D">
        <w:rPr>
          <w:rFonts w:ascii="Arial" w:hAnsi="Arial"/>
          <w:sz w:val="20"/>
          <w:szCs w:val="20"/>
        </w:rPr>
        <w:t xml:space="preserve"> – </w:t>
      </w:r>
      <w:r w:rsidR="00D275EA" w:rsidRPr="00C84C6D">
        <w:rPr>
          <w:rFonts w:ascii="Arial" w:hAnsi="Arial"/>
          <w:color w:val="000000" w:themeColor="text1"/>
          <w:sz w:val="20"/>
          <w:szCs w:val="20"/>
        </w:rPr>
        <w:t xml:space="preserve">Per the </w:t>
      </w:r>
      <w:r w:rsidR="00D275EA" w:rsidRPr="00055F2D">
        <w:rPr>
          <w:rFonts w:ascii="Arial" w:hAnsi="Arial"/>
          <w:i/>
          <w:sz w:val="20"/>
          <w:szCs w:val="20"/>
        </w:rPr>
        <w:t>Arzio</w:t>
      </w:r>
      <w:r w:rsidR="00D275EA" w:rsidRPr="00055F2D">
        <w:rPr>
          <w:rFonts w:ascii="Arial" w:hAnsi="Arial"/>
          <w:sz w:val="20"/>
          <w:szCs w:val="20"/>
        </w:rPr>
        <w:t xml:space="preserve"> court decision</w:t>
      </w:r>
      <w:r w:rsidR="00D275EA" w:rsidRPr="00C84C6D">
        <w:rPr>
          <w:rFonts w:ascii="Arial" w:hAnsi="Arial"/>
          <w:color w:val="000000" w:themeColor="text1"/>
          <w:sz w:val="20"/>
          <w:szCs w:val="20"/>
        </w:rPr>
        <w:t xml:space="preserve">, </w:t>
      </w:r>
      <w:r w:rsidR="00D275EA" w:rsidRPr="00055F2D">
        <w:rPr>
          <w:rFonts w:ascii="Arial" w:hAnsi="Arial"/>
          <w:sz w:val="20"/>
          <w:szCs w:val="20"/>
        </w:rPr>
        <w:t>38 CFR 3.304(f)</w:t>
      </w:r>
      <w:r w:rsidR="00D275EA" w:rsidRPr="00C84C6D">
        <w:rPr>
          <w:rFonts w:ascii="Arial" w:hAnsi="Arial"/>
          <w:color w:val="000000" w:themeColor="text1"/>
          <w:sz w:val="20"/>
          <w:szCs w:val="20"/>
        </w:rPr>
        <w:t xml:space="preserve"> applies only to Axis I diagnoses of PTSD.  Any other Axis I mental disorder diagnosed is adjudicated under </w:t>
      </w:r>
      <w:r w:rsidR="00D275EA" w:rsidRPr="00055F2D">
        <w:rPr>
          <w:rFonts w:ascii="Arial" w:hAnsi="Arial"/>
          <w:sz w:val="20"/>
          <w:szCs w:val="20"/>
        </w:rPr>
        <w:t>38 CFR 3.303</w:t>
      </w:r>
      <w:r w:rsidR="00D275EA" w:rsidRPr="00C84C6D">
        <w:rPr>
          <w:rFonts w:ascii="Arial" w:hAnsi="Arial"/>
          <w:color w:val="000000" w:themeColor="text1"/>
          <w:sz w:val="20"/>
          <w:szCs w:val="20"/>
        </w:rPr>
        <w:t>. “Other stress-related disorder” is not PTSD.</w:t>
      </w:r>
    </w:p>
    <w:p w:rsidR="00D275EA" w:rsidRDefault="00D275EA" w:rsidP="00D275EA">
      <w:pPr>
        <w:pBdr>
          <w:top w:val="double" w:sz="4" w:space="1" w:color="auto"/>
          <w:left w:val="double" w:sz="4" w:space="4" w:color="auto"/>
          <w:bottom w:val="double" w:sz="4" w:space="1" w:color="auto"/>
          <w:right w:val="double" w:sz="4" w:space="4" w:color="auto"/>
        </w:pBdr>
        <w:shd w:val="clear" w:color="auto" w:fill="FFC000"/>
        <w:tabs>
          <w:tab w:val="left" w:pos="360"/>
        </w:tabs>
        <w:spacing w:after="120"/>
        <w:ind w:left="360"/>
        <w:rPr>
          <w:b/>
          <w:bCs/>
          <w:i/>
          <w:iCs/>
        </w:rPr>
      </w:pPr>
      <w:r>
        <w:rPr>
          <w:rFonts w:eastAsiaTheme="minorHAnsi"/>
          <w:b/>
        </w:rPr>
        <w:t>Trauma and Stress-Related Disorders in DSM-5</w:t>
      </w:r>
      <w:r>
        <w:t xml:space="preserve"> is</w:t>
      </w:r>
      <w:r w:rsidRPr="0036376C">
        <w:t xml:space="preserve"> saved at </w:t>
      </w:r>
      <w:r w:rsidRPr="002F5977">
        <w:rPr>
          <w:b/>
          <w:bCs/>
          <w:i/>
          <w:iCs/>
        </w:rPr>
        <w:t>H:\VSC\Rating Reference</w:t>
      </w:r>
      <w:r>
        <w:rPr>
          <w:b/>
          <w:bCs/>
          <w:i/>
          <w:iCs/>
        </w:rPr>
        <w:t xml:space="preserve"> </w:t>
      </w:r>
      <w:r>
        <w:rPr>
          <w:i/>
          <w:iCs/>
        </w:rPr>
        <w:t>(</w:t>
      </w:r>
      <w:r w:rsidRPr="00C820D0">
        <w:rPr>
          <w:i/>
          <w:iCs/>
          <w:color w:val="00B050"/>
        </w:rPr>
        <w:t xml:space="preserve">My Notes: </w:t>
      </w:r>
      <w:r w:rsidRPr="00C820D0">
        <w:rPr>
          <w:iCs/>
          <w:color w:val="00B050"/>
        </w:rPr>
        <w:t xml:space="preserve"> </w:t>
      </w:r>
      <w:r w:rsidRPr="00D36CD9">
        <w:rPr>
          <w:i/>
          <w:iCs/>
        </w:rPr>
        <w:t>Use 9499-9440</w:t>
      </w:r>
      <w:r w:rsidR="00924431">
        <w:rPr>
          <w:i/>
          <w:iCs/>
        </w:rPr>
        <w:t xml:space="preserve"> or 9499-9410</w:t>
      </w:r>
      <w:r>
        <w:rPr>
          <w:i/>
          <w:iCs/>
        </w:rPr>
        <w:t>)</w:t>
      </w:r>
    </w:p>
    <w:p w:rsidR="00D275EA" w:rsidRPr="00A777A6" w:rsidRDefault="00D275EA" w:rsidP="00D275EA">
      <w:pPr>
        <w:pBdr>
          <w:top w:val="double" w:sz="4" w:space="1" w:color="auto"/>
          <w:left w:val="double" w:sz="4" w:space="4" w:color="auto"/>
          <w:bottom w:val="double" w:sz="4" w:space="1" w:color="auto"/>
          <w:right w:val="double" w:sz="4" w:space="4" w:color="auto"/>
        </w:pBdr>
        <w:shd w:val="clear" w:color="auto" w:fill="FFC000"/>
        <w:tabs>
          <w:tab w:val="left" w:pos="360"/>
        </w:tabs>
        <w:spacing w:after="120"/>
        <w:ind w:left="360"/>
        <w:rPr>
          <w:i/>
        </w:rPr>
      </w:pPr>
      <w:r w:rsidRPr="00A777A6">
        <w:rPr>
          <w:i/>
        </w:rPr>
        <w:t>other specified trauma/stressor-related disorder</w:t>
      </w:r>
    </w:p>
    <w:p w:rsidR="00D275EA" w:rsidRPr="00A777A6" w:rsidRDefault="00D275EA" w:rsidP="00D275EA">
      <w:pPr>
        <w:pBdr>
          <w:top w:val="double" w:sz="4" w:space="1" w:color="auto"/>
          <w:left w:val="double" w:sz="4" w:space="4" w:color="auto"/>
          <w:bottom w:val="double" w:sz="4" w:space="1" w:color="auto"/>
          <w:right w:val="double" w:sz="4" w:space="4" w:color="auto"/>
        </w:pBdr>
        <w:shd w:val="clear" w:color="auto" w:fill="FFC000"/>
        <w:tabs>
          <w:tab w:val="left" w:pos="360"/>
        </w:tabs>
        <w:spacing w:after="120"/>
        <w:ind w:left="360"/>
        <w:rPr>
          <w:i/>
        </w:rPr>
      </w:pPr>
      <w:r w:rsidRPr="00A777A6">
        <w:rPr>
          <w:i/>
        </w:rPr>
        <w:t>other specified trauma-related disorder</w:t>
      </w:r>
    </w:p>
    <w:p w:rsidR="00D275EA" w:rsidRPr="00A777A6" w:rsidRDefault="00D275EA" w:rsidP="00D275EA">
      <w:pPr>
        <w:pBdr>
          <w:top w:val="double" w:sz="4" w:space="1" w:color="auto"/>
          <w:left w:val="double" w:sz="4" w:space="4" w:color="auto"/>
          <w:bottom w:val="double" w:sz="4" w:space="1" w:color="auto"/>
          <w:right w:val="double" w:sz="4" w:space="4" w:color="auto"/>
        </w:pBdr>
        <w:shd w:val="clear" w:color="auto" w:fill="FFC000"/>
        <w:tabs>
          <w:tab w:val="left" w:pos="360"/>
        </w:tabs>
        <w:spacing w:after="120"/>
        <w:ind w:left="360"/>
        <w:rPr>
          <w:i/>
        </w:rPr>
      </w:pPr>
      <w:r w:rsidRPr="00A777A6">
        <w:rPr>
          <w:i/>
        </w:rPr>
        <w:t>other specified stressor-related disorder</w:t>
      </w:r>
    </w:p>
    <w:p w:rsidR="00D275EA" w:rsidRPr="00A777A6" w:rsidRDefault="00D275EA" w:rsidP="00D275EA">
      <w:pPr>
        <w:pBdr>
          <w:top w:val="double" w:sz="4" w:space="1" w:color="auto"/>
          <w:left w:val="double" w:sz="4" w:space="4" w:color="auto"/>
          <w:bottom w:val="double" w:sz="4" w:space="1" w:color="auto"/>
          <w:right w:val="double" w:sz="4" w:space="4" w:color="auto"/>
        </w:pBdr>
        <w:shd w:val="clear" w:color="auto" w:fill="FFC000"/>
        <w:tabs>
          <w:tab w:val="left" w:pos="360"/>
        </w:tabs>
        <w:spacing w:after="120"/>
        <w:ind w:left="360"/>
        <w:rPr>
          <w:i/>
        </w:rPr>
      </w:pPr>
      <w:r w:rsidRPr="00A777A6">
        <w:rPr>
          <w:i/>
        </w:rPr>
        <w:t>other trauma-related disorder / other trauma related disorder</w:t>
      </w:r>
    </w:p>
    <w:p w:rsidR="00D275EA" w:rsidRPr="00A777A6" w:rsidRDefault="00D275EA" w:rsidP="00924431">
      <w:pPr>
        <w:pBdr>
          <w:top w:val="double" w:sz="4" w:space="1" w:color="auto"/>
          <w:left w:val="double" w:sz="4" w:space="4" w:color="auto"/>
          <w:bottom w:val="double" w:sz="4" w:space="1" w:color="auto"/>
          <w:right w:val="double" w:sz="4" w:space="4" w:color="auto"/>
        </w:pBdr>
        <w:shd w:val="clear" w:color="auto" w:fill="FFC000"/>
        <w:tabs>
          <w:tab w:val="left" w:pos="360"/>
        </w:tabs>
        <w:spacing w:after="120"/>
        <w:ind w:left="360"/>
        <w:rPr>
          <w:i/>
        </w:rPr>
      </w:pPr>
      <w:r w:rsidRPr="00A777A6">
        <w:rPr>
          <w:i/>
        </w:rPr>
        <w:t xml:space="preserve">other stress-related disorder </w:t>
      </w:r>
      <w:r w:rsidR="00924431">
        <w:rPr>
          <w:i/>
        </w:rPr>
        <w:t>/ other stress related disorder</w:t>
      </w:r>
    </w:p>
    <w:p w:rsidR="00D275EA" w:rsidRPr="001453C4" w:rsidRDefault="00D275EA" w:rsidP="00D275EA">
      <w:pPr>
        <w:pStyle w:val="NormalWeb"/>
        <w:widowControl w:val="0"/>
        <w:numPr>
          <w:ilvl w:val="0"/>
          <w:numId w:val="66"/>
        </w:numPr>
        <w:tabs>
          <w:tab w:val="clear" w:pos="720"/>
          <w:tab w:val="num" w:pos="360"/>
        </w:tabs>
        <w:ind w:left="360"/>
        <w:rPr>
          <w:i/>
          <w:sz w:val="20"/>
          <w:szCs w:val="20"/>
        </w:rPr>
      </w:pPr>
      <w:r w:rsidRPr="00EB3513">
        <w:rPr>
          <w:b/>
          <w:i/>
          <w:sz w:val="20"/>
          <w:szCs w:val="20"/>
          <w:u w:val="single"/>
        </w:rPr>
        <w:t>July 2015 PTSD Training</w:t>
      </w:r>
      <w:r w:rsidRPr="00EB3513">
        <w:rPr>
          <w:sz w:val="20"/>
          <w:szCs w:val="20"/>
        </w:rPr>
        <w:t xml:space="preserve"> (John T</w:t>
      </w:r>
      <w:r>
        <w:rPr>
          <w:sz w:val="20"/>
          <w:szCs w:val="20"/>
        </w:rPr>
        <w:t>runick</w:t>
      </w:r>
      <w:r w:rsidRPr="00EB3513">
        <w:rPr>
          <w:sz w:val="20"/>
          <w:szCs w:val="20"/>
        </w:rPr>
        <w:t>) –</w:t>
      </w:r>
    </w:p>
    <w:p w:rsidR="00D275EA" w:rsidRPr="00EB3513" w:rsidRDefault="00D275EA" w:rsidP="00D275EA">
      <w:pPr>
        <w:pStyle w:val="NormalWeb"/>
        <w:widowControl w:val="0"/>
        <w:pBdr>
          <w:top w:val="double" w:sz="4" w:space="5" w:color="auto"/>
          <w:left w:val="double" w:sz="4" w:space="4" w:color="auto"/>
          <w:bottom w:val="double" w:sz="4" w:space="1" w:color="auto"/>
          <w:right w:val="double" w:sz="4" w:space="4" w:color="auto"/>
        </w:pBdr>
        <w:shd w:val="clear" w:color="auto" w:fill="FFC000"/>
        <w:ind w:left="360"/>
        <w:rPr>
          <w:i/>
          <w:sz w:val="20"/>
          <w:szCs w:val="20"/>
        </w:rPr>
      </w:pPr>
      <w:r w:rsidRPr="00EB3513">
        <w:rPr>
          <w:i/>
          <w:sz w:val="20"/>
          <w:szCs w:val="20"/>
        </w:rPr>
        <w:t xml:space="preserve">Training documents are under  </w:t>
      </w:r>
      <w:r w:rsidRPr="001453C4">
        <w:rPr>
          <w:b/>
          <w:i/>
          <w:sz w:val="20"/>
          <w:szCs w:val="20"/>
        </w:rPr>
        <w:t>H:\VSC\Training\NTC Class Material\PTSD RVSR_DRO_RQRS July 2015</w:t>
      </w:r>
    </w:p>
    <w:p w:rsidR="00D275EA" w:rsidRDefault="00D275EA" w:rsidP="00F063AF">
      <w:pPr>
        <w:pStyle w:val="NormalWeb"/>
        <w:numPr>
          <w:ilvl w:val="1"/>
          <w:numId w:val="434"/>
        </w:numPr>
        <w:ind w:left="720"/>
        <w:rPr>
          <w:b/>
          <w:sz w:val="20"/>
          <w:szCs w:val="20"/>
        </w:rPr>
      </w:pPr>
      <w:r>
        <w:rPr>
          <w:b/>
          <w:sz w:val="20"/>
          <w:szCs w:val="20"/>
        </w:rPr>
        <w:t>III.iv.4.O – Mental Disorders</w:t>
      </w:r>
    </w:p>
    <w:p w:rsidR="00D275EA" w:rsidRDefault="00D275EA" w:rsidP="00F063AF">
      <w:pPr>
        <w:pStyle w:val="NormalWeb"/>
        <w:numPr>
          <w:ilvl w:val="1"/>
          <w:numId w:val="434"/>
        </w:numPr>
        <w:ind w:left="720"/>
        <w:rPr>
          <w:sz w:val="20"/>
          <w:szCs w:val="20"/>
        </w:rPr>
      </w:pPr>
      <w:r w:rsidRPr="00055F2D">
        <w:rPr>
          <w:b/>
          <w:i/>
          <w:sz w:val="20"/>
          <w:szCs w:val="20"/>
        </w:rPr>
        <w:t>Mittleider v. West</w:t>
      </w:r>
      <w:r>
        <w:rPr>
          <w:sz w:val="20"/>
          <w:szCs w:val="20"/>
        </w:rPr>
        <w:t xml:space="preserve"> (1998) </w:t>
      </w:r>
      <w:r w:rsidRPr="00EB3513">
        <w:rPr>
          <w:sz w:val="20"/>
          <w:szCs w:val="20"/>
        </w:rPr>
        <w:t>- if it is not possible to differentiate the veteran’s symptoms between a service-connected and NSC disability, the symptoms should be deemed related to the service-connected disability and rated accordingly</w:t>
      </w:r>
    </w:p>
    <w:p w:rsidR="00D275EA" w:rsidRPr="001558DF" w:rsidRDefault="00D275EA" w:rsidP="00F063AF">
      <w:pPr>
        <w:pStyle w:val="NormalWeb"/>
        <w:numPr>
          <w:ilvl w:val="1"/>
          <w:numId w:val="434"/>
        </w:numPr>
        <w:ind w:left="720"/>
        <w:rPr>
          <w:sz w:val="20"/>
          <w:szCs w:val="20"/>
        </w:rPr>
      </w:pPr>
      <w:r w:rsidRPr="00055F2D">
        <w:rPr>
          <w:b/>
          <w:i/>
          <w:sz w:val="20"/>
          <w:szCs w:val="20"/>
        </w:rPr>
        <w:t>Allen v. Principi</w:t>
      </w:r>
      <w:r w:rsidRPr="001558DF">
        <w:rPr>
          <w:i/>
          <w:sz w:val="20"/>
          <w:szCs w:val="20"/>
        </w:rPr>
        <w:t xml:space="preserve"> </w:t>
      </w:r>
      <w:r w:rsidRPr="001558DF">
        <w:rPr>
          <w:sz w:val="20"/>
          <w:szCs w:val="20"/>
        </w:rPr>
        <w:t>(2/2/01)</w:t>
      </w:r>
      <w:r>
        <w:rPr>
          <w:sz w:val="20"/>
          <w:szCs w:val="20"/>
        </w:rPr>
        <w:t xml:space="preserve"> – substance abuse can be secondary to or caused by (or a symptom of) a SC cond [&amp; can grant diseases secondary to substance abuse (because the disease is really related to PTSD)]</w:t>
      </w:r>
    </w:p>
    <w:p w:rsidR="00D275EA" w:rsidRDefault="00D275EA" w:rsidP="00F063AF">
      <w:pPr>
        <w:pStyle w:val="NormalWeb"/>
        <w:numPr>
          <w:ilvl w:val="1"/>
          <w:numId w:val="434"/>
        </w:numPr>
        <w:ind w:left="720"/>
        <w:rPr>
          <w:sz w:val="20"/>
          <w:szCs w:val="20"/>
        </w:rPr>
      </w:pPr>
      <w:r w:rsidRPr="00055F2D">
        <w:rPr>
          <w:b/>
          <w:i/>
          <w:sz w:val="20"/>
          <w:szCs w:val="20"/>
        </w:rPr>
        <w:t>Forcier v. Nicholson</w:t>
      </w:r>
      <w:r>
        <w:rPr>
          <w:sz w:val="20"/>
          <w:szCs w:val="20"/>
        </w:rPr>
        <w:t xml:space="preserve"> (1/25/06) – veteran did not have a diagnosis of PTSD, so there was no reasonable possibility that any further assistance in verifying the alleged in-service stressor (personal assault case) would aid in substantiating the claim; Court did criticize BVA’s speculations about misconduct and lack of aptitude</w:t>
      </w:r>
    </w:p>
    <w:p w:rsidR="00D275EA" w:rsidRDefault="00D275EA" w:rsidP="00F063AF">
      <w:pPr>
        <w:pStyle w:val="NormalWeb"/>
        <w:numPr>
          <w:ilvl w:val="1"/>
          <w:numId w:val="434"/>
        </w:numPr>
        <w:ind w:left="720"/>
        <w:rPr>
          <w:sz w:val="20"/>
          <w:szCs w:val="20"/>
        </w:rPr>
      </w:pPr>
      <w:r w:rsidRPr="00055F2D">
        <w:rPr>
          <w:b/>
          <w:i/>
          <w:sz w:val="20"/>
          <w:szCs w:val="20"/>
        </w:rPr>
        <w:t>Buchanan v. Nicholson</w:t>
      </w:r>
      <w:r>
        <w:rPr>
          <w:sz w:val="20"/>
          <w:szCs w:val="20"/>
        </w:rPr>
        <w:t xml:space="preserve"> (6/14/06) – even if there is no treatment in service, buddy statements are credible &amp; competent, they cannot be rejected unless biased, there is conflicting evidence, etc.; buddy statements should be weighed against the </w:t>
      </w:r>
      <w:r w:rsidR="00A279A0">
        <w:rPr>
          <w:sz w:val="20"/>
          <w:szCs w:val="20"/>
        </w:rPr>
        <w:t>absence of medical records</w:t>
      </w:r>
    </w:p>
    <w:p w:rsidR="00D275EA" w:rsidRDefault="00D275EA" w:rsidP="00F063AF">
      <w:pPr>
        <w:pStyle w:val="NormalWeb"/>
        <w:numPr>
          <w:ilvl w:val="1"/>
          <w:numId w:val="434"/>
        </w:numPr>
        <w:ind w:left="720"/>
        <w:rPr>
          <w:sz w:val="20"/>
          <w:szCs w:val="20"/>
        </w:rPr>
      </w:pPr>
      <w:r w:rsidRPr="00055F2D">
        <w:rPr>
          <w:b/>
          <w:i/>
          <w:sz w:val="20"/>
          <w:szCs w:val="20"/>
        </w:rPr>
        <w:t>McClain v. Nicholson</w:t>
      </w:r>
      <w:r>
        <w:rPr>
          <w:sz w:val="20"/>
          <w:szCs w:val="20"/>
        </w:rPr>
        <w:t xml:space="preserve"> (6/21/07) – even if diagnosis resolves by the time we make a decision, the Court said SC is warranted as long as it existed when a claim was pending</w:t>
      </w:r>
    </w:p>
    <w:p w:rsidR="00D275EA" w:rsidRDefault="00D275EA" w:rsidP="00F063AF">
      <w:pPr>
        <w:pStyle w:val="NormalWeb"/>
        <w:numPr>
          <w:ilvl w:val="1"/>
          <w:numId w:val="434"/>
        </w:numPr>
        <w:ind w:left="720"/>
        <w:rPr>
          <w:sz w:val="20"/>
          <w:szCs w:val="20"/>
        </w:rPr>
      </w:pPr>
      <w:r w:rsidRPr="00055F2D">
        <w:rPr>
          <w:b/>
          <w:i/>
          <w:sz w:val="20"/>
          <w:szCs w:val="20"/>
        </w:rPr>
        <w:t>Clemons v. Shinseki</w:t>
      </w:r>
      <w:r w:rsidRPr="00F14AEF">
        <w:rPr>
          <w:sz w:val="20"/>
          <w:szCs w:val="20"/>
        </w:rPr>
        <w:t xml:space="preserve"> (2/17/09) – </w:t>
      </w:r>
      <w:r>
        <w:rPr>
          <w:i/>
          <w:sz w:val="20"/>
          <w:szCs w:val="20"/>
        </w:rPr>
        <w:t>also s</w:t>
      </w:r>
      <w:r w:rsidRPr="00F14AEF">
        <w:rPr>
          <w:i/>
          <w:sz w:val="20"/>
          <w:szCs w:val="20"/>
        </w:rPr>
        <w:t>ee discussion of case under Mental section</w:t>
      </w:r>
    </w:p>
    <w:p w:rsidR="00D275EA" w:rsidRDefault="00D275EA" w:rsidP="00F063AF">
      <w:pPr>
        <w:pStyle w:val="NormalWeb"/>
        <w:numPr>
          <w:ilvl w:val="1"/>
          <w:numId w:val="434"/>
        </w:numPr>
        <w:ind w:left="720"/>
        <w:rPr>
          <w:sz w:val="20"/>
          <w:szCs w:val="20"/>
        </w:rPr>
      </w:pPr>
      <w:r w:rsidRPr="00055F2D">
        <w:rPr>
          <w:b/>
          <w:i/>
          <w:sz w:val="20"/>
          <w:szCs w:val="20"/>
        </w:rPr>
        <w:t>Arzio v. Shinseki</w:t>
      </w:r>
      <w:r>
        <w:rPr>
          <w:sz w:val="20"/>
          <w:szCs w:val="20"/>
        </w:rPr>
        <w:t xml:space="preserve"> (4/19/10) – The specifics of 3.304(f) take precedence over the general rule of 3.303 [if 3.304 is not met, then can’t meet 3.303]</w:t>
      </w:r>
    </w:p>
    <w:p w:rsidR="00D275EA" w:rsidRDefault="00D275EA" w:rsidP="00F063AF">
      <w:pPr>
        <w:pStyle w:val="NormalWeb"/>
        <w:numPr>
          <w:ilvl w:val="1"/>
          <w:numId w:val="434"/>
        </w:numPr>
        <w:ind w:left="720"/>
        <w:rPr>
          <w:sz w:val="20"/>
          <w:szCs w:val="20"/>
        </w:rPr>
      </w:pPr>
      <w:r w:rsidRPr="00F14AEF">
        <w:rPr>
          <w:i/>
          <w:sz w:val="20"/>
          <w:szCs w:val="20"/>
        </w:rPr>
        <w:t xml:space="preserve">also see </w:t>
      </w:r>
      <w:r w:rsidRPr="00F14AEF">
        <w:rPr>
          <w:b/>
          <w:bCs/>
          <w:sz w:val="20"/>
          <w:szCs w:val="20"/>
          <w:highlight w:val="magenta"/>
        </w:rPr>
        <w:t>STAR error</w:t>
      </w:r>
      <w:r w:rsidRPr="00F14AEF">
        <w:rPr>
          <w:sz w:val="20"/>
          <w:szCs w:val="20"/>
          <w:highlight w:val="magenta"/>
        </w:rPr>
        <w:t xml:space="preserve"> reported in November 2010</w:t>
      </w:r>
      <w:r w:rsidRPr="00F14AEF">
        <w:rPr>
          <w:sz w:val="20"/>
          <w:szCs w:val="20"/>
        </w:rPr>
        <w:t xml:space="preserve"> </w:t>
      </w:r>
      <w:r w:rsidRPr="00F14AEF">
        <w:rPr>
          <w:i/>
          <w:sz w:val="20"/>
          <w:szCs w:val="20"/>
        </w:rPr>
        <w:t xml:space="preserve">&amp; </w:t>
      </w:r>
      <w:r w:rsidRPr="00F14AEF">
        <w:rPr>
          <w:b/>
          <w:color w:val="000000"/>
          <w:sz w:val="20"/>
          <w:szCs w:val="20"/>
          <w:u w:val="single"/>
        </w:rPr>
        <w:t>Weekly Q-Tip</w:t>
      </w:r>
      <w:r w:rsidRPr="00F14AEF">
        <w:rPr>
          <w:b/>
          <w:color w:val="000000"/>
          <w:sz w:val="20"/>
          <w:szCs w:val="20"/>
        </w:rPr>
        <w:t xml:space="preserve"> (6/12/15)</w:t>
      </w:r>
      <w:r w:rsidRPr="00F14AEF">
        <w:rPr>
          <w:i/>
          <w:sz w:val="20"/>
          <w:szCs w:val="20"/>
        </w:rPr>
        <w:t xml:space="preserve"> for details/thoughts on disabilities vs. symptoms</w:t>
      </w:r>
      <w:r w:rsidRPr="00F14AEF">
        <w:rPr>
          <w:sz w:val="20"/>
          <w:szCs w:val="20"/>
        </w:rPr>
        <w:t xml:space="preserve">; </w:t>
      </w:r>
      <w:r w:rsidRPr="00E1139F">
        <w:rPr>
          <w:sz w:val="20"/>
          <w:szCs w:val="20"/>
          <w:u w:val="single"/>
        </w:rPr>
        <w:t>but</w:t>
      </w:r>
      <w:r w:rsidRPr="00F14AEF">
        <w:rPr>
          <w:sz w:val="20"/>
          <w:szCs w:val="20"/>
        </w:rPr>
        <w:t xml:space="preserve"> PowerPoint showed</w:t>
      </w:r>
      <w:r>
        <w:rPr>
          <w:sz w:val="20"/>
          <w:szCs w:val="20"/>
        </w:rPr>
        <w:t>:</w:t>
      </w:r>
    </w:p>
    <w:p w:rsidR="00D275EA" w:rsidRDefault="00D275EA" w:rsidP="00D275EA">
      <w:pPr>
        <w:widowControl w:val="0"/>
        <w:spacing w:after="120"/>
        <w:ind w:left="720"/>
      </w:pPr>
      <w:r w:rsidRPr="00011011">
        <w:t xml:space="preserve">(1) </w:t>
      </w:r>
      <w:r>
        <w:t>FAQ, p54 - Regarding Clemons v. Shinseki &amp; Arzio v. Shinseki, i</w:t>
      </w:r>
      <w:r w:rsidRPr="00011011">
        <w:t>f a PTSD claim is pending and we receive an exam and can grant SC for anxiety disorder, PTSD</w:t>
      </w:r>
      <w:r>
        <w:t xml:space="preserve"> does NOT</w:t>
      </w:r>
      <w:r w:rsidRPr="00011011">
        <w:t xml:space="preserve"> have to be separately denied</w:t>
      </w:r>
      <w:r>
        <w:t>. Grant “</w:t>
      </w:r>
      <w:r w:rsidRPr="00011011">
        <w:t>anxiety disorder (claimed as PTSD)</w:t>
      </w:r>
      <w:r w:rsidR="001E0E8E">
        <w:t xml:space="preserve">.” </w:t>
      </w:r>
    </w:p>
    <w:p w:rsidR="00D275EA" w:rsidRDefault="00D275EA" w:rsidP="00D275EA">
      <w:pPr>
        <w:spacing w:after="120"/>
        <w:ind w:left="720"/>
      </w:pPr>
      <w:r>
        <w:t>(2) FAQ, p55 - Per Mittleider v. West, if a veteran is 30% for PTSD, the exam shows new diagnoses &amp; the examiner says they are not related to the PTSD, but it is not possible to separate the symptoms, use all the symptoms to evaluate PTSD but</w:t>
      </w:r>
      <w:r w:rsidR="001E0E8E">
        <w:t xml:space="preserve"> do not code the others as SC.</w:t>
      </w:r>
    </w:p>
    <w:p w:rsidR="00D275EA" w:rsidRPr="00DB5FF2" w:rsidRDefault="00D275EA" w:rsidP="00D275EA">
      <w:pPr>
        <w:pBdr>
          <w:top w:val="single" w:sz="4" w:space="1" w:color="auto"/>
          <w:left w:val="single" w:sz="4" w:space="4" w:color="auto"/>
          <w:bottom w:val="single" w:sz="4" w:space="1" w:color="auto"/>
          <w:right w:val="single" w:sz="4" w:space="4" w:color="auto"/>
        </w:pBdr>
        <w:tabs>
          <w:tab w:val="left" w:pos="720"/>
        </w:tabs>
        <w:ind w:left="720"/>
      </w:pPr>
      <w:r w:rsidRPr="00DB5FF2">
        <w:t>ERB has “If more than one mental disorder is diagnosed please comment on their relationship to one another and, if possible, please state which symptoms are attributed to each disorder.”</w:t>
      </w:r>
    </w:p>
    <w:p w:rsidR="00D275EA" w:rsidRPr="00991805" w:rsidRDefault="00D275EA" w:rsidP="00D275EA">
      <w:pPr>
        <w:rPr>
          <w:sz w:val="22"/>
        </w:rPr>
      </w:pPr>
    </w:p>
    <w:p w:rsidR="00D275EA" w:rsidRDefault="00D275EA" w:rsidP="00D275EA">
      <w:pPr>
        <w:widowControl w:val="0"/>
        <w:spacing w:after="120"/>
        <w:ind w:left="720"/>
      </w:pPr>
      <w:r>
        <w:t xml:space="preserve">(3) If the examiner provides multiple diagnoses &amp; links them to PTSD, grant all (i.e. “PTSD with depression and alcohol abuse”). </w:t>
      </w:r>
    </w:p>
    <w:p w:rsidR="00D275EA" w:rsidRDefault="00D275EA" w:rsidP="00D275EA">
      <w:pPr>
        <w:widowControl w:val="0"/>
        <w:spacing w:after="120"/>
        <w:ind w:left="720"/>
      </w:pPr>
      <w:r>
        <w:t>(4) If the examiner provides multiple diagnoses, but there is no discussion or delineation of symptoms, DEFER &amp; ask the examiner to discuss the relationship between mental conditions.</w:t>
      </w:r>
    </w:p>
    <w:p w:rsidR="00D275EA" w:rsidRPr="00B20AF6" w:rsidRDefault="00D275EA" w:rsidP="00D275EA">
      <w:pPr>
        <w:widowControl w:val="0"/>
        <w:spacing w:after="120"/>
        <w:ind w:left="720"/>
        <w:rPr>
          <w:i/>
          <w:color w:val="00B050"/>
        </w:rPr>
      </w:pPr>
      <w:r w:rsidRPr="00B20AF6">
        <w:rPr>
          <w:i/>
          <w:color w:val="00B050"/>
        </w:rPr>
        <w:t xml:space="preserve">My </w:t>
      </w:r>
      <w:r w:rsidR="00B20AF6" w:rsidRPr="00B20AF6">
        <w:rPr>
          <w:i/>
          <w:color w:val="00B050"/>
        </w:rPr>
        <w:t>Notes (</w:t>
      </w:r>
      <w:r w:rsidRPr="00B20AF6">
        <w:rPr>
          <w:i/>
          <w:color w:val="00B050"/>
        </w:rPr>
        <w:t>thoughts</w:t>
      </w:r>
      <w:r w:rsidR="00B20AF6" w:rsidRPr="00B20AF6">
        <w:rPr>
          <w:i/>
          <w:color w:val="00B050"/>
        </w:rPr>
        <w:t>)</w:t>
      </w:r>
      <w:r w:rsidRPr="00B20AF6">
        <w:rPr>
          <w:i/>
          <w:color w:val="00B050"/>
        </w:rPr>
        <w:t xml:space="preserve"> on Clemons: </w:t>
      </w:r>
    </w:p>
    <w:p w:rsidR="00D275EA" w:rsidRPr="00B20AF6" w:rsidRDefault="00D275EA" w:rsidP="00B20AF6">
      <w:pPr>
        <w:pStyle w:val="ListParagraph"/>
        <w:numPr>
          <w:ilvl w:val="1"/>
          <w:numId w:val="66"/>
        </w:numPr>
        <w:tabs>
          <w:tab w:val="clear" w:pos="1440"/>
          <w:tab w:val="num" w:pos="1080"/>
        </w:tabs>
        <w:spacing w:after="120"/>
        <w:ind w:left="1080"/>
        <w:rPr>
          <w:rFonts w:ascii="Arial" w:hAnsi="Arial"/>
          <w:i/>
          <w:sz w:val="20"/>
        </w:rPr>
      </w:pPr>
      <w:r w:rsidRPr="00B20AF6">
        <w:rPr>
          <w:rFonts w:ascii="Arial" w:hAnsi="Arial"/>
          <w:i/>
          <w:sz w:val="20"/>
        </w:rPr>
        <w:t xml:space="preserve">Veteran claims PTSD d/t fear. Diagnosis is </w:t>
      </w:r>
      <w:r w:rsidR="005F3CEB">
        <w:rPr>
          <w:rFonts w:ascii="Arial" w:hAnsi="Arial"/>
          <w:i/>
          <w:sz w:val="20"/>
        </w:rPr>
        <w:t xml:space="preserve">generalized </w:t>
      </w:r>
      <w:r w:rsidRPr="00B20AF6">
        <w:rPr>
          <w:rFonts w:ascii="Arial" w:hAnsi="Arial"/>
          <w:i/>
          <w:sz w:val="20"/>
        </w:rPr>
        <w:t xml:space="preserve">anxiety disorder (or any non-PTSD dx). Per Clemons, have claim for BOTH. Nothing in STRs &amp; event cannot be verified. Need denial of both PTSD (no diagnosis) &amp; </w:t>
      </w:r>
      <w:r w:rsidR="00D4151F" w:rsidRPr="00B20AF6">
        <w:rPr>
          <w:rFonts w:ascii="Arial" w:hAnsi="Arial"/>
          <w:i/>
          <w:sz w:val="20"/>
        </w:rPr>
        <w:t xml:space="preserve">generalized </w:t>
      </w:r>
      <w:r w:rsidRPr="00B20AF6">
        <w:rPr>
          <w:rFonts w:ascii="Arial" w:hAnsi="Arial"/>
          <w:i/>
          <w:sz w:val="20"/>
        </w:rPr>
        <w:t>anxiety disorder (“reasonably raised from claim for PTSD,” nothing in-service).</w:t>
      </w:r>
      <w:r w:rsidR="00B20AF6" w:rsidRPr="00B20AF6">
        <w:rPr>
          <w:rFonts w:ascii="Arial" w:hAnsi="Arial"/>
          <w:i/>
          <w:sz w:val="20"/>
        </w:rPr>
        <w:t xml:space="preserve"> </w:t>
      </w:r>
      <w:r w:rsidRPr="00B20AF6">
        <w:rPr>
          <w:rFonts w:ascii="Arial" w:hAnsi="Arial"/>
          <w:i/>
          <w:sz w:val="20"/>
        </w:rPr>
        <w:t>A</w:t>
      </w:r>
      <w:r w:rsidR="00B20AF6" w:rsidRPr="00B20AF6">
        <w:rPr>
          <w:rFonts w:ascii="Arial" w:hAnsi="Arial"/>
          <w:i/>
          <w:sz w:val="20"/>
        </w:rPr>
        <w:t>nd a</w:t>
      </w:r>
      <w:r w:rsidRPr="00B20AF6">
        <w:rPr>
          <w:rFonts w:ascii="Arial" w:hAnsi="Arial"/>
          <w:i/>
          <w:sz w:val="20"/>
        </w:rPr>
        <w:t>dd</w:t>
      </w:r>
      <w:r w:rsidR="00B20AF6" w:rsidRPr="00B20AF6">
        <w:rPr>
          <w:rFonts w:ascii="Arial" w:hAnsi="Arial"/>
          <w:i/>
          <w:sz w:val="20"/>
        </w:rPr>
        <w:t xml:space="preserve"> one of these notes</w:t>
      </w:r>
      <w:r w:rsidRPr="00B20AF6">
        <w:rPr>
          <w:rFonts w:ascii="Arial" w:hAnsi="Arial"/>
          <w:i/>
          <w:sz w:val="20"/>
        </w:rPr>
        <w:t xml:space="preserve">: </w:t>
      </w:r>
    </w:p>
    <w:p w:rsidR="00D275EA" w:rsidRDefault="00D275EA" w:rsidP="00A11863">
      <w:pPr>
        <w:pBdr>
          <w:top w:val="single" w:sz="4" w:space="0" w:color="auto"/>
          <w:left w:val="single" w:sz="4" w:space="4" w:color="auto"/>
          <w:bottom w:val="single" w:sz="4" w:space="2" w:color="auto"/>
          <w:right w:val="single" w:sz="4" w:space="4" w:color="auto"/>
        </w:pBdr>
        <w:spacing w:after="120"/>
        <w:ind w:left="1080"/>
      </w:pPr>
      <w:r w:rsidRPr="00EE7D34">
        <w:t>Rating Note:</w:t>
      </w:r>
      <w:r w:rsidRPr="00985172">
        <w:t xml:space="preserve">  </w:t>
      </w:r>
      <w:r>
        <w:t>{</w:t>
      </w:r>
      <w:r w:rsidRPr="00BB23C2">
        <w:t>Generalized anxiety disorder</w:t>
      </w:r>
      <w:r>
        <w:t>}</w:t>
      </w:r>
      <w:r w:rsidRPr="00BB23C2">
        <w:t xml:space="preserve"> is reasonably raised, per Clemons</w:t>
      </w:r>
      <w:r w:rsidRPr="00985172">
        <w:t xml:space="preserve">. </w:t>
      </w:r>
      <w:r>
        <w:t>T</w:t>
      </w:r>
      <w:r w:rsidRPr="00985172">
        <w:t xml:space="preserve">here is no evidence of treatment for or complaints of mental symptoms in service and SC cannot be granted for </w:t>
      </w:r>
      <w:r>
        <w:t xml:space="preserve">{generalized </w:t>
      </w:r>
      <w:r w:rsidRPr="00985172">
        <w:t>anxiety disorder</w:t>
      </w:r>
      <w:r>
        <w:t>}</w:t>
      </w:r>
      <w:r w:rsidRPr="00985172">
        <w:t xml:space="preserve"> based on 3.304(f), but rather has to be considered under 3.303. The reported “event” is not verified</w:t>
      </w:r>
      <w:r>
        <w:t xml:space="preserve"> or verifiable</w:t>
      </w:r>
      <w:r w:rsidRPr="00985172">
        <w:t xml:space="preserve">. </w:t>
      </w:r>
    </w:p>
    <w:p w:rsidR="00D275EA" w:rsidRDefault="00D275EA" w:rsidP="00A11863">
      <w:pPr>
        <w:pBdr>
          <w:top w:val="single" w:sz="4" w:space="0" w:color="auto"/>
          <w:left w:val="single" w:sz="4" w:space="4" w:color="auto"/>
          <w:bottom w:val="single" w:sz="4" w:space="2" w:color="auto"/>
          <w:right w:val="single" w:sz="4" w:space="4" w:color="auto"/>
        </w:pBdr>
        <w:spacing w:after="120"/>
        <w:ind w:left="1080"/>
      </w:pPr>
      <w:r w:rsidRPr="00985172">
        <w:t>OR</w:t>
      </w:r>
    </w:p>
    <w:p w:rsidR="00D275EA" w:rsidRDefault="00D275EA" w:rsidP="00A11863">
      <w:pPr>
        <w:pBdr>
          <w:top w:val="single" w:sz="4" w:space="0" w:color="auto"/>
          <w:left w:val="single" w:sz="4" w:space="4" w:color="auto"/>
          <w:bottom w:val="single" w:sz="4" w:space="2" w:color="auto"/>
          <w:right w:val="single" w:sz="4" w:space="4" w:color="auto"/>
        </w:pBdr>
        <w:spacing w:after="120"/>
        <w:ind w:left="1080"/>
      </w:pPr>
      <w:r w:rsidRPr="00EE7D34">
        <w:t xml:space="preserve">Rating Note:  </w:t>
      </w:r>
      <w:r>
        <w:t>{</w:t>
      </w:r>
      <w:r w:rsidRPr="00BB23C2">
        <w:t>Generalized anxiety disorder</w:t>
      </w:r>
      <w:r>
        <w:t>}</w:t>
      </w:r>
      <w:r w:rsidRPr="00BB23C2">
        <w:t xml:space="preserve"> is reasonably raised, per Clemons</w:t>
      </w:r>
      <w:r w:rsidRPr="00EE7D34">
        <w:t xml:space="preserve">. </w:t>
      </w:r>
      <w:r>
        <w:t>T</w:t>
      </w:r>
      <w:r w:rsidRPr="00EE7D34">
        <w:t xml:space="preserve">here is no evidence of treatment for or complaints of mental symptoms in service and SC cannot be granted for </w:t>
      </w:r>
      <w:r>
        <w:t>{</w:t>
      </w:r>
      <w:r w:rsidRPr="00EE7D34">
        <w:t>generalized anxiety disorder</w:t>
      </w:r>
      <w:r>
        <w:t>}</w:t>
      </w:r>
      <w:r w:rsidRPr="00EE7D34">
        <w:t xml:space="preserve"> based on 3.304(f), but rather has to be considered under 3.303. </w:t>
      </w:r>
      <w:r w:rsidRPr="00BB23C2">
        <w:t xml:space="preserve">No further development is needed since </w:t>
      </w:r>
      <w:r>
        <w:t>{</w:t>
      </w:r>
      <w:r w:rsidRPr="00BB23C2">
        <w:t>generalized anxiety disorder</w:t>
      </w:r>
      <w:r>
        <w:t>}</w:t>
      </w:r>
      <w:r w:rsidRPr="00BB23C2">
        <w:t xml:space="preserve"> was not linked to the reported str</w:t>
      </w:r>
      <w:r>
        <w:t>essor (i.e. "event" per 3.303) and</w:t>
      </w:r>
      <w:r w:rsidRPr="00BB23C2">
        <w:t xml:space="preserve"> the reported stressor is insuf</w:t>
      </w:r>
      <w:r>
        <w:t>ficient for a diagnosis of PTSD.</w:t>
      </w:r>
    </w:p>
    <w:p w:rsidR="00D275EA" w:rsidRDefault="00D275EA" w:rsidP="00A11863">
      <w:pPr>
        <w:pBdr>
          <w:top w:val="single" w:sz="4" w:space="0" w:color="auto"/>
          <w:left w:val="single" w:sz="4" w:space="4" w:color="auto"/>
          <w:bottom w:val="single" w:sz="4" w:space="2" w:color="auto"/>
          <w:right w:val="single" w:sz="4" w:space="4" w:color="auto"/>
        </w:pBdr>
        <w:spacing w:after="120"/>
        <w:ind w:left="1080"/>
      </w:pPr>
      <w:r>
        <w:t>OR</w:t>
      </w:r>
    </w:p>
    <w:p w:rsidR="00D275EA" w:rsidRDefault="00D275EA" w:rsidP="00A11863">
      <w:pPr>
        <w:pBdr>
          <w:top w:val="single" w:sz="4" w:space="0" w:color="auto"/>
          <w:left w:val="single" w:sz="4" w:space="4" w:color="auto"/>
          <w:bottom w:val="single" w:sz="4" w:space="2" w:color="auto"/>
          <w:right w:val="single" w:sz="4" w:space="4" w:color="auto"/>
        </w:pBdr>
        <w:ind w:left="1080"/>
      </w:pPr>
      <w:r w:rsidRPr="00BB23C2">
        <w:t xml:space="preserve">Rating Note:  </w:t>
      </w:r>
      <w:r w:rsidR="00D4151F">
        <w:t>{</w:t>
      </w:r>
      <w:r w:rsidRPr="00BB23C2">
        <w:t>Generalized anxiety disorder</w:t>
      </w:r>
      <w:r w:rsidR="00D4151F">
        <w:t>}</w:t>
      </w:r>
      <w:r w:rsidRPr="00BB23C2">
        <w:t xml:space="preserve"> is reasonably raised, per Clemons, but is not being deferred since it was not specifically claimed. No further development is needed since </w:t>
      </w:r>
      <w:r w:rsidR="00D4151F">
        <w:t>{</w:t>
      </w:r>
      <w:r w:rsidRPr="00BB23C2">
        <w:t>generalized anxiety disorder</w:t>
      </w:r>
      <w:r w:rsidR="00D4151F">
        <w:t>}</w:t>
      </w:r>
      <w:r w:rsidRPr="00BB23C2">
        <w:t xml:space="preserve"> was not linked to the reported stressor (i.e. "event" per 3.303) &amp; the reported stressor is insufficient for a diagnosis of PTSD.</w:t>
      </w:r>
    </w:p>
    <w:p w:rsidR="00D275EA" w:rsidRPr="00B20AF6" w:rsidRDefault="00D275EA" w:rsidP="00B20AF6">
      <w:pPr>
        <w:pStyle w:val="ListParagraph"/>
        <w:numPr>
          <w:ilvl w:val="1"/>
          <w:numId w:val="66"/>
        </w:numPr>
        <w:tabs>
          <w:tab w:val="clear" w:pos="1440"/>
        </w:tabs>
        <w:spacing w:before="120" w:after="120"/>
        <w:ind w:left="1080"/>
        <w:rPr>
          <w:rFonts w:ascii="Arial" w:hAnsi="Arial"/>
          <w:i/>
          <w:sz w:val="20"/>
          <w:szCs w:val="20"/>
        </w:rPr>
      </w:pPr>
      <w:r w:rsidRPr="00B20AF6">
        <w:rPr>
          <w:rFonts w:ascii="Arial" w:hAnsi="Arial"/>
          <w:i/>
          <w:sz w:val="20"/>
          <w:szCs w:val="20"/>
        </w:rPr>
        <w:t xml:space="preserve">Veteran claims PTSD d/t fear. Diagnosis is anxiety disorder (or any non-PTSD dx). Event IS verified. Grant of anxiety disorder (claimed as PTSD). Ref:  PowerPoint for July 2015 PTSD training, per Clemons &amp; Arzio &amp; </w:t>
      </w:r>
      <w:r w:rsidRPr="00B20AF6">
        <w:rPr>
          <w:rFonts w:ascii="Arial" w:hAnsi="Arial"/>
          <w:b/>
          <w:bCs/>
          <w:i/>
          <w:iCs/>
          <w:sz w:val="20"/>
          <w:szCs w:val="20"/>
        </w:rPr>
        <w:t>April 2011 Compensation Service Bulletin (CSB)</w:t>
      </w:r>
      <w:r w:rsidRPr="00B20AF6">
        <w:rPr>
          <w:rStyle w:val="Hyperlink"/>
          <w:rFonts w:ascii="Arial" w:hAnsi="Arial"/>
          <w:bCs/>
          <w:iCs/>
          <w:sz w:val="20"/>
          <w:szCs w:val="20"/>
          <w:u w:val="none"/>
        </w:rPr>
        <w:t xml:space="preserve"> </w:t>
      </w:r>
      <w:r w:rsidRPr="00B20AF6">
        <w:rPr>
          <w:rFonts w:ascii="Arial" w:hAnsi="Arial"/>
          <w:i/>
          <w:sz w:val="20"/>
          <w:szCs w:val="20"/>
        </w:rPr>
        <w:t xml:space="preserve">*For combat veterans or those with a verified stressor, just need the opinion to link the non-PTSD diagnosis to the combat event or verified event in order to grant under 3.303. </w:t>
      </w:r>
      <w:r w:rsidRPr="00B20AF6">
        <w:rPr>
          <w:rFonts w:ascii="Arial" w:hAnsi="Arial"/>
          <w:sz w:val="20"/>
          <w:szCs w:val="20"/>
        </w:rPr>
        <w:t>[see</w:t>
      </w:r>
      <w:r w:rsidRPr="00B20AF6">
        <w:rPr>
          <w:rFonts w:ascii="Arial" w:hAnsi="Arial"/>
          <w:i/>
          <w:sz w:val="20"/>
          <w:szCs w:val="20"/>
        </w:rPr>
        <w:t xml:space="preserve"> “</w:t>
      </w:r>
      <w:r w:rsidRPr="00B20AF6">
        <w:rPr>
          <w:rFonts w:ascii="Arial" w:hAnsi="Arial"/>
          <w:color w:val="000000"/>
          <w:sz w:val="20"/>
          <w:szCs w:val="20"/>
        </w:rPr>
        <w:t>Non-PTSD diagnosis &amp; verified event” and “Non-PTSD diagnosis &amp; verified combat veteran” under Free Text]</w:t>
      </w:r>
    </w:p>
    <w:p w:rsidR="00D275EA" w:rsidRDefault="00D275EA" w:rsidP="00B20AF6">
      <w:pPr>
        <w:pStyle w:val="ListParagraph"/>
        <w:numPr>
          <w:ilvl w:val="1"/>
          <w:numId w:val="66"/>
        </w:numPr>
        <w:tabs>
          <w:tab w:val="clear" w:pos="1440"/>
          <w:tab w:val="num" w:pos="1080"/>
        </w:tabs>
        <w:spacing w:after="120"/>
        <w:ind w:left="1080"/>
        <w:rPr>
          <w:rFonts w:ascii="Arial" w:hAnsi="Arial"/>
          <w:i/>
          <w:sz w:val="20"/>
          <w:szCs w:val="20"/>
        </w:rPr>
      </w:pPr>
      <w:r w:rsidRPr="00B20AF6">
        <w:rPr>
          <w:rFonts w:ascii="Arial" w:hAnsi="Arial"/>
          <w:i/>
          <w:sz w:val="20"/>
          <w:szCs w:val="20"/>
        </w:rPr>
        <w:t xml:space="preserve">Veteran claims PTSD d/t fear. No mental diagnosis is provided by the DBQ. Deny PTSD for no diagnosis &amp; do not discuss alleged stressor. Ref:  </w:t>
      </w:r>
      <w:r w:rsidRPr="00B20AF6">
        <w:rPr>
          <w:rFonts w:ascii="Arial" w:hAnsi="Arial"/>
          <w:b/>
          <w:i/>
          <w:sz w:val="20"/>
          <w:szCs w:val="20"/>
        </w:rPr>
        <w:t>III.iv.4.O.6.i</w:t>
      </w:r>
    </w:p>
    <w:p w:rsidR="00B20AF6" w:rsidRPr="005F3CEB" w:rsidRDefault="00B20AF6" w:rsidP="00B20AF6">
      <w:pPr>
        <w:pStyle w:val="ListParagraph"/>
        <w:numPr>
          <w:ilvl w:val="1"/>
          <w:numId w:val="66"/>
        </w:numPr>
        <w:tabs>
          <w:tab w:val="clear" w:pos="1440"/>
          <w:tab w:val="num" w:pos="1080"/>
        </w:tabs>
        <w:spacing w:after="120"/>
        <w:ind w:left="1080"/>
        <w:rPr>
          <w:rFonts w:ascii="Arial" w:hAnsi="Arial"/>
          <w:i/>
          <w:sz w:val="20"/>
          <w:szCs w:val="20"/>
        </w:rPr>
      </w:pPr>
      <w:r w:rsidRPr="00B20AF6">
        <w:rPr>
          <w:rFonts w:ascii="Arial" w:hAnsi="Arial"/>
          <w:i/>
          <w:sz w:val="20"/>
        </w:rPr>
        <w:t>Vetera</w:t>
      </w:r>
      <w:r w:rsidR="005F3CEB">
        <w:rPr>
          <w:rFonts w:ascii="Arial" w:hAnsi="Arial"/>
          <w:i/>
          <w:sz w:val="20"/>
        </w:rPr>
        <w:t>n claims PTSD d/t fear. Diagnose</w:t>
      </w:r>
      <w:r w:rsidRPr="00B20AF6">
        <w:rPr>
          <w:rFonts w:ascii="Arial" w:hAnsi="Arial"/>
          <w:i/>
          <w:sz w:val="20"/>
        </w:rPr>
        <w:t>s</w:t>
      </w:r>
      <w:r w:rsidR="005F3CEB">
        <w:rPr>
          <w:rFonts w:ascii="Arial" w:hAnsi="Arial"/>
          <w:i/>
          <w:sz w:val="20"/>
        </w:rPr>
        <w:t xml:space="preserve"> are PTSD &amp; </w:t>
      </w:r>
      <w:r w:rsidR="005F3CEB" w:rsidRPr="00B20AF6">
        <w:rPr>
          <w:rFonts w:ascii="Arial" w:hAnsi="Arial"/>
          <w:i/>
          <w:sz w:val="20"/>
        </w:rPr>
        <w:t>generalized anxiety disorder</w:t>
      </w:r>
      <w:r w:rsidRPr="00B20AF6">
        <w:rPr>
          <w:rFonts w:ascii="Arial" w:hAnsi="Arial"/>
          <w:i/>
          <w:sz w:val="20"/>
        </w:rPr>
        <w:t xml:space="preserve">. Per Clemons, have claim for BOTH. </w:t>
      </w:r>
      <w:r w:rsidR="005F3CEB">
        <w:rPr>
          <w:rFonts w:ascii="Arial" w:hAnsi="Arial"/>
          <w:i/>
          <w:sz w:val="20"/>
        </w:rPr>
        <w:t xml:space="preserve">PTSD can be granted, but </w:t>
      </w:r>
      <w:r w:rsidR="005F3CEB" w:rsidRPr="00B20AF6">
        <w:rPr>
          <w:rFonts w:ascii="Arial" w:hAnsi="Arial"/>
          <w:i/>
          <w:sz w:val="20"/>
        </w:rPr>
        <w:t>generalized anxiety disorder</w:t>
      </w:r>
      <w:r w:rsidR="005F3CEB">
        <w:rPr>
          <w:rFonts w:ascii="Arial" w:hAnsi="Arial"/>
          <w:i/>
          <w:sz w:val="20"/>
        </w:rPr>
        <w:t xml:space="preserve"> was indicated to be separate from PTSD. It’s best to </w:t>
      </w:r>
      <w:r w:rsidRPr="00B20AF6">
        <w:rPr>
          <w:rFonts w:ascii="Arial" w:hAnsi="Arial"/>
          <w:i/>
          <w:sz w:val="20"/>
        </w:rPr>
        <w:t>address generalized anxiety disorder in the PTSD issue</w:t>
      </w:r>
      <w:r w:rsidR="005F3CEB">
        <w:rPr>
          <w:rFonts w:ascii="Arial" w:hAnsi="Arial"/>
          <w:i/>
          <w:sz w:val="20"/>
        </w:rPr>
        <w:t xml:space="preserve"> narrative</w:t>
      </w:r>
      <w:r w:rsidRPr="00B20AF6">
        <w:rPr>
          <w:rFonts w:ascii="Arial" w:hAnsi="Arial"/>
          <w:i/>
          <w:sz w:val="20"/>
        </w:rPr>
        <w:t>, indicating that it cannot be granted.</w:t>
      </w:r>
      <w:r w:rsidR="005F3CEB">
        <w:rPr>
          <w:rFonts w:ascii="Arial" w:hAnsi="Arial"/>
          <w:i/>
          <w:sz w:val="20"/>
        </w:rPr>
        <w:t xml:space="preserve"> It is not an error to deny it separately, but addressing it within the PTSD issue is most appropriate. If don’t deny separately, add a variation of one of these notes:</w:t>
      </w:r>
    </w:p>
    <w:p w:rsidR="005F3CEB" w:rsidRDefault="005F3CEB" w:rsidP="005F3CEB">
      <w:pPr>
        <w:pStyle w:val="ListParagraph"/>
        <w:pBdr>
          <w:top w:val="single" w:sz="4" w:space="1" w:color="auto"/>
          <w:left w:val="single" w:sz="4" w:space="4" w:color="auto"/>
          <w:bottom w:val="single" w:sz="4" w:space="1" w:color="auto"/>
          <w:right w:val="single" w:sz="4" w:space="4" w:color="auto"/>
        </w:pBdr>
        <w:spacing w:after="0" w:line="240" w:lineRule="auto"/>
        <w:ind w:left="1080"/>
        <w:rPr>
          <w:rFonts w:ascii="Arial" w:hAnsi="Arial"/>
          <w:sz w:val="20"/>
        </w:rPr>
      </w:pPr>
      <w:r w:rsidRPr="005F3CEB">
        <w:rPr>
          <w:rFonts w:ascii="Arial" w:hAnsi="Arial"/>
          <w:i/>
          <w:sz w:val="20"/>
        </w:rPr>
        <w:t>use this if symptoms were also differentiated</w:t>
      </w:r>
      <w:r>
        <w:rPr>
          <w:rFonts w:ascii="Arial" w:hAnsi="Arial"/>
          <w:sz w:val="20"/>
        </w:rPr>
        <w:t>:</w:t>
      </w:r>
    </w:p>
    <w:p w:rsidR="005F3CEB" w:rsidRDefault="005F3CEB" w:rsidP="005F3CEB">
      <w:pPr>
        <w:pStyle w:val="ListParagraph"/>
        <w:pBdr>
          <w:top w:val="single" w:sz="4" w:space="1" w:color="auto"/>
          <w:left w:val="single" w:sz="4" w:space="4" w:color="auto"/>
          <w:bottom w:val="single" w:sz="4" w:space="1" w:color="auto"/>
          <w:right w:val="single" w:sz="4" w:space="4" w:color="auto"/>
        </w:pBdr>
        <w:spacing w:after="120"/>
        <w:ind w:left="1080"/>
        <w:rPr>
          <w:rFonts w:ascii="Arial" w:hAnsi="Arial"/>
          <w:sz w:val="20"/>
        </w:rPr>
      </w:pPr>
      <w:r w:rsidRPr="005F3CEB">
        <w:rPr>
          <w:rFonts w:ascii="Arial" w:hAnsi="Arial"/>
          <w:sz w:val="20"/>
        </w:rPr>
        <w:t>Rating Note:  {} is/are not included in the PTSD evaluation, as the DBQ indicates those symptoms are related to {}, but {} is not linked to PTSD. Since PTSD is being granted, {} is not being inferred to be denied.</w:t>
      </w:r>
    </w:p>
    <w:p w:rsidR="005F3CEB" w:rsidRDefault="005F3CEB" w:rsidP="005F3CEB">
      <w:pPr>
        <w:pStyle w:val="ListParagraph"/>
        <w:pBdr>
          <w:top w:val="single" w:sz="4" w:space="1" w:color="auto"/>
          <w:left w:val="single" w:sz="4" w:space="4" w:color="auto"/>
          <w:bottom w:val="single" w:sz="4" w:space="1" w:color="auto"/>
          <w:right w:val="single" w:sz="4" w:space="4" w:color="auto"/>
        </w:pBdr>
        <w:spacing w:after="0" w:line="240" w:lineRule="auto"/>
        <w:ind w:left="1080"/>
        <w:rPr>
          <w:rFonts w:ascii="Arial" w:hAnsi="Arial"/>
          <w:sz w:val="20"/>
        </w:rPr>
      </w:pPr>
      <w:r w:rsidRPr="005F3CEB">
        <w:rPr>
          <w:rFonts w:ascii="Arial" w:hAnsi="Arial"/>
          <w:i/>
          <w:sz w:val="20"/>
        </w:rPr>
        <w:t xml:space="preserve">use this if symptoms were </w:t>
      </w:r>
      <w:r>
        <w:rPr>
          <w:rFonts w:ascii="Arial" w:hAnsi="Arial"/>
          <w:i/>
          <w:sz w:val="20"/>
        </w:rPr>
        <w:t>not differentiated:</w:t>
      </w:r>
    </w:p>
    <w:p w:rsidR="005F3CEB" w:rsidRDefault="005F3CEB" w:rsidP="005F3CEB">
      <w:pPr>
        <w:pStyle w:val="ListParagraph"/>
        <w:pBdr>
          <w:top w:val="single" w:sz="4" w:space="1" w:color="auto"/>
          <w:left w:val="single" w:sz="4" w:space="4" w:color="auto"/>
          <w:bottom w:val="single" w:sz="4" w:space="1" w:color="auto"/>
          <w:right w:val="single" w:sz="4" w:space="4" w:color="auto"/>
        </w:pBdr>
        <w:spacing w:after="120"/>
        <w:ind w:left="1080"/>
        <w:rPr>
          <w:rFonts w:ascii="Arial" w:hAnsi="Arial"/>
          <w:sz w:val="20"/>
        </w:rPr>
      </w:pPr>
      <w:r w:rsidRPr="005F3CEB">
        <w:rPr>
          <w:rFonts w:ascii="Arial" w:hAnsi="Arial"/>
          <w:sz w:val="20"/>
        </w:rPr>
        <w:t>Rating Note:  Since PTSD is being granted, {} is not being inferred to be denied.</w:t>
      </w:r>
    </w:p>
    <w:p w:rsidR="005F3CEB" w:rsidRPr="005F3CEB" w:rsidRDefault="005F3CEB" w:rsidP="005F3CEB">
      <w:pPr>
        <w:pStyle w:val="ListParagraph"/>
        <w:pBdr>
          <w:top w:val="single" w:sz="4" w:space="1" w:color="auto"/>
          <w:left w:val="single" w:sz="4" w:space="4" w:color="auto"/>
          <w:bottom w:val="single" w:sz="4" w:space="1" w:color="auto"/>
          <w:right w:val="single" w:sz="4" w:space="4" w:color="auto"/>
        </w:pBdr>
        <w:spacing w:after="120"/>
        <w:ind w:left="1080"/>
        <w:rPr>
          <w:rFonts w:ascii="Arial" w:hAnsi="Arial"/>
          <w:sz w:val="20"/>
        </w:rPr>
      </w:pPr>
      <w:r>
        <w:rPr>
          <w:rFonts w:ascii="Arial" w:hAnsi="Arial"/>
          <w:i/>
          <w:sz w:val="20"/>
        </w:rPr>
        <w:t>*or see below for more notes…</w:t>
      </w:r>
    </w:p>
    <w:p w:rsidR="00D275EA" w:rsidRPr="00417AD9" w:rsidRDefault="00D275EA" w:rsidP="00D275EA">
      <w:pPr>
        <w:widowControl w:val="0"/>
        <w:spacing w:after="120"/>
        <w:ind w:left="720"/>
        <w:rPr>
          <w:i/>
        </w:rPr>
      </w:pPr>
      <w:r w:rsidRPr="00B20AF6">
        <w:rPr>
          <w:i/>
          <w:color w:val="00B050"/>
        </w:rPr>
        <w:t>My</w:t>
      </w:r>
      <w:r w:rsidR="00B20AF6" w:rsidRPr="00B20AF6">
        <w:rPr>
          <w:i/>
          <w:color w:val="00B050"/>
        </w:rPr>
        <w:t xml:space="preserve"> Notes (</w:t>
      </w:r>
      <w:r w:rsidRPr="00B20AF6">
        <w:rPr>
          <w:i/>
          <w:color w:val="00B050"/>
        </w:rPr>
        <w:t>thoughts</w:t>
      </w:r>
      <w:r w:rsidR="00B20AF6" w:rsidRPr="00B20AF6">
        <w:rPr>
          <w:i/>
          <w:color w:val="00B050"/>
        </w:rPr>
        <w:t>)</w:t>
      </w:r>
      <w:r w:rsidRPr="00B20AF6">
        <w:rPr>
          <w:i/>
          <w:color w:val="00B050"/>
        </w:rPr>
        <w:t xml:space="preserve"> on disabilities vs. symptoms </w:t>
      </w:r>
      <w:r w:rsidRPr="000242AE">
        <w:rPr>
          <w:i/>
        </w:rPr>
        <w:t>(John Trunick agrees):  If symptoms &amp; impairment CAN be differentiated, don’t include the new diagnoses (or non</w:t>
      </w:r>
      <w:r>
        <w:rPr>
          <w:i/>
        </w:rPr>
        <w:t xml:space="preserve">-PTSD dx) w/PTSD unless the examiner independently says they’re related. And if the examiner CANNOT differentiate, include at least the symptoms, maybe also the diagnoses </w:t>
      </w:r>
      <w:r w:rsidRPr="00417AD9">
        <w:rPr>
          <w:i/>
        </w:rPr>
        <w:t xml:space="preserve">unless the examiner independently says they’re NOT related: </w:t>
      </w:r>
    </w:p>
    <w:p w:rsidR="00D275EA" w:rsidRDefault="00D275EA" w:rsidP="00F063AF">
      <w:pPr>
        <w:pStyle w:val="ListParagraph"/>
        <w:widowControl w:val="0"/>
        <w:numPr>
          <w:ilvl w:val="0"/>
          <w:numId w:val="435"/>
        </w:numPr>
        <w:spacing w:after="120"/>
        <w:ind w:left="1080"/>
        <w:rPr>
          <w:rFonts w:ascii="Arial" w:hAnsi="Arial"/>
          <w:i/>
          <w:sz w:val="20"/>
          <w:szCs w:val="20"/>
        </w:rPr>
      </w:pPr>
      <w:r w:rsidRPr="00417AD9">
        <w:rPr>
          <w:rFonts w:ascii="Arial" w:hAnsi="Arial"/>
          <w:i/>
          <w:sz w:val="20"/>
          <w:szCs w:val="20"/>
        </w:rPr>
        <w:t>Veteran is SC for PTSD &amp; now has additional mental diagnoses, but the examiner says they are not related to PTSD (would have to be an independent statement from the examiner, as this is not actually included in the DBQ…), but CANNOT differentiate symptoms. Use all symptoms in PTSD eval (do not list additional mental diagnoses in name of disability). Ref:  PowerPoint for July 2015 PTSD training, per Mittleider.</w:t>
      </w:r>
    </w:p>
    <w:p w:rsidR="00D275EA" w:rsidRPr="00A504F2" w:rsidRDefault="00D275EA" w:rsidP="00F063AF">
      <w:pPr>
        <w:pStyle w:val="ListParagraph"/>
        <w:numPr>
          <w:ilvl w:val="0"/>
          <w:numId w:val="435"/>
        </w:numPr>
        <w:spacing w:after="120"/>
        <w:ind w:left="1080"/>
        <w:rPr>
          <w:rFonts w:ascii="Arial" w:hAnsi="Arial"/>
          <w:i/>
          <w:sz w:val="20"/>
          <w:szCs w:val="20"/>
        </w:rPr>
      </w:pPr>
      <w:r w:rsidRPr="00417AD9">
        <w:rPr>
          <w:rFonts w:ascii="Arial" w:hAnsi="Arial"/>
          <w:i/>
          <w:sz w:val="20"/>
          <w:szCs w:val="20"/>
        </w:rPr>
        <w:t>Veteran is SC for PTSD &amp; now has additional mental diagnoses, but the examiner does NOT say whether or not they are related to PTSD &amp; CANNOT differentiate symptoms. Use all symptoms in PTSD eval (do not list additional mental diagnoses</w:t>
      </w:r>
      <w:r w:rsidR="001E0E8E">
        <w:rPr>
          <w:rFonts w:ascii="Arial" w:hAnsi="Arial"/>
          <w:i/>
          <w:sz w:val="20"/>
          <w:szCs w:val="20"/>
        </w:rPr>
        <w:t xml:space="preserve"> in name of disability).</w:t>
      </w:r>
      <w:r w:rsidR="005F3CEB">
        <w:rPr>
          <w:rFonts w:ascii="Arial" w:hAnsi="Arial"/>
          <w:i/>
          <w:sz w:val="20"/>
          <w:szCs w:val="20"/>
        </w:rPr>
        <w:t>And add this note:</w:t>
      </w:r>
    </w:p>
    <w:p w:rsidR="00D275EA" w:rsidRPr="00A504F2" w:rsidRDefault="00D275EA" w:rsidP="003F548B">
      <w:pPr>
        <w:widowControl w:val="0"/>
        <w:pBdr>
          <w:top w:val="single" w:sz="4" w:space="1" w:color="auto"/>
          <w:left w:val="single" w:sz="4" w:space="4" w:color="auto"/>
          <w:bottom w:val="single" w:sz="4" w:space="1" w:color="auto"/>
          <w:right w:val="single" w:sz="4" w:space="4" w:color="auto"/>
        </w:pBdr>
        <w:spacing w:after="120"/>
        <w:ind w:left="1080"/>
      </w:pPr>
      <w:r w:rsidRPr="00A504F2">
        <w:t>Rating Note:  The examiner states the symptoms and impairment cannot be differentiated</w:t>
      </w:r>
      <w:r>
        <w:t xml:space="preserve"> </w:t>
      </w:r>
      <w:r w:rsidRPr="00A504F2">
        <w:t xml:space="preserve">because the symptoms overlap, but does not indicate if the mental diagnoses are related, so all mental symptoms are included in the PTSD evaluation, but the diagnosis of </w:t>
      </w:r>
      <w:r w:rsidR="005F3CEB">
        <w:t>{generalized anxiety</w:t>
      </w:r>
      <w:r w:rsidRPr="00A504F2">
        <w:t xml:space="preserve"> disorder</w:t>
      </w:r>
      <w:r w:rsidR="005F3CEB">
        <w:t>}</w:t>
      </w:r>
      <w:r w:rsidRPr="00A504F2">
        <w:t xml:space="preserve"> is not included in the disability name.</w:t>
      </w:r>
    </w:p>
    <w:p w:rsidR="00D275EA" w:rsidRPr="00417AD9" w:rsidRDefault="00D275EA" w:rsidP="00F063AF">
      <w:pPr>
        <w:pStyle w:val="ListParagraph"/>
        <w:numPr>
          <w:ilvl w:val="0"/>
          <w:numId w:val="436"/>
        </w:numPr>
        <w:spacing w:after="120"/>
        <w:ind w:left="1080"/>
        <w:rPr>
          <w:rFonts w:ascii="Arial" w:hAnsi="Arial"/>
          <w:i/>
          <w:sz w:val="20"/>
          <w:szCs w:val="20"/>
        </w:rPr>
      </w:pPr>
      <w:r w:rsidRPr="00417AD9">
        <w:rPr>
          <w:rFonts w:ascii="Arial" w:hAnsi="Arial"/>
          <w:i/>
          <w:sz w:val="20"/>
          <w:szCs w:val="20"/>
        </w:rPr>
        <w:t xml:space="preserve">Veteran is SC for PTSD &amp; now has additional mental diagnoses, but the examiner does NOT say whether or not they are related to PTSD &amp; DIFFERENTIATES the symptoms. Use only the </w:t>
      </w:r>
      <w:r w:rsidR="00B20AF6">
        <w:rPr>
          <w:rFonts w:ascii="Arial" w:hAnsi="Arial"/>
          <w:i/>
          <w:sz w:val="20"/>
          <w:szCs w:val="20"/>
        </w:rPr>
        <w:t>PTSD symptoms in the PTSD eval.</w:t>
      </w:r>
      <w:r w:rsidR="005F3CEB">
        <w:rPr>
          <w:rFonts w:ascii="Arial" w:hAnsi="Arial"/>
          <w:i/>
          <w:sz w:val="20"/>
          <w:szCs w:val="20"/>
        </w:rPr>
        <w:t xml:space="preserve"> And add this note:</w:t>
      </w:r>
    </w:p>
    <w:p w:rsidR="00D275EA" w:rsidRDefault="00D275EA" w:rsidP="00D275EA">
      <w:pPr>
        <w:pBdr>
          <w:top w:val="single" w:sz="4" w:space="1" w:color="auto"/>
          <w:left w:val="single" w:sz="4" w:space="4" w:color="auto"/>
          <w:bottom w:val="single" w:sz="4" w:space="1" w:color="auto"/>
          <w:right w:val="single" w:sz="4" w:space="4" w:color="auto"/>
        </w:pBdr>
        <w:spacing w:after="120"/>
        <w:ind w:left="1080"/>
      </w:pPr>
      <w:r w:rsidRPr="00417AD9">
        <w:t>Rating Note:  {} is/are not included in the PTSD evaluation, as the DBQ indicates those symptoms are related to {},</w:t>
      </w:r>
      <w:r>
        <w:t xml:space="preserve"> but {} is not linked to PTSD. Since PTSD is being granted, {} is not being inferred to be denied.</w:t>
      </w:r>
    </w:p>
    <w:p w:rsidR="00D275EA" w:rsidRDefault="00D275EA" w:rsidP="00D275EA">
      <w:pPr>
        <w:pBdr>
          <w:top w:val="single" w:sz="4" w:space="1" w:color="auto"/>
          <w:left w:val="single" w:sz="4" w:space="4" w:color="auto"/>
          <w:bottom w:val="single" w:sz="4" w:space="1" w:color="auto"/>
          <w:right w:val="single" w:sz="4" w:space="4" w:color="auto"/>
        </w:pBdr>
        <w:ind w:left="1080"/>
      </w:pPr>
      <w:r w:rsidRPr="00847E46">
        <w:t xml:space="preserve">Rating Note:  The DBQ also shows a diagnosis of </w:t>
      </w:r>
      <w:r>
        <w:t>{}</w:t>
      </w:r>
      <w:r w:rsidRPr="00847E46">
        <w:t xml:space="preserve"> with symptoms of </w:t>
      </w:r>
      <w:r>
        <w:t>{}</w:t>
      </w:r>
      <w:r w:rsidRPr="00847E46">
        <w:t xml:space="preserve">, which are differentiated from the symptoms of PTSD, and are not listed under </w:t>
      </w:r>
      <w:r>
        <w:t>“</w:t>
      </w:r>
      <w:r w:rsidRPr="00847E46">
        <w:t>5. Symptoms</w:t>
      </w:r>
      <w:r>
        <w:t>.”</w:t>
      </w:r>
      <w:r w:rsidRPr="00847E46">
        <w:t xml:space="preserve"> </w:t>
      </w:r>
      <w:r>
        <w:t>{}</w:t>
      </w:r>
      <w:r w:rsidRPr="00847E46">
        <w:t xml:space="preserve"> is not linked to PTSD, and since PTSD is being granted, </w:t>
      </w:r>
      <w:r>
        <w:t>{}</w:t>
      </w:r>
      <w:r w:rsidRPr="00847E46">
        <w:t xml:space="preserve"> is not being inferred to be denied.</w:t>
      </w:r>
    </w:p>
    <w:p w:rsidR="00D275EA" w:rsidRDefault="00D275EA" w:rsidP="00D275EA">
      <w:pPr>
        <w:pBdr>
          <w:top w:val="single" w:sz="4" w:space="1" w:color="auto"/>
          <w:left w:val="single" w:sz="4" w:space="4" w:color="auto"/>
          <w:bottom w:val="single" w:sz="4" w:space="1" w:color="auto"/>
          <w:right w:val="single" w:sz="4" w:space="4" w:color="auto"/>
        </w:pBdr>
        <w:spacing w:after="120"/>
        <w:ind w:left="1080"/>
        <w:rPr>
          <w:i/>
        </w:rPr>
      </w:pPr>
      <w:r w:rsidRPr="008100C2">
        <w:rPr>
          <w:i/>
        </w:rPr>
        <w:t>*It appears Clemons is mostly concerned with if we’re denying the claimed mental disorder.</w:t>
      </w:r>
      <w:r>
        <w:rPr>
          <w:i/>
        </w:rPr>
        <w:t xml:space="preserve"> If we’re granting the claimed mental disorder, seems we do not need to infer to deny the other, unrelated diagnosis (but can do “claimed as…” if needed …</w:t>
      </w:r>
    </w:p>
    <w:p w:rsidR="00D275EA" w:rsidRPr="00716EFA" w:rsidRDefault="00D275EA" w:rsidP="00D275EA">
      <w:pPr>
        <w:pBdr>
          <w:top w:val="single" w:sz="4" w:space="1" w:color="auto"/>
          <w:left w:val="single" w:sz="4" w:space="4" w:color="auto"/>
          <w:bottom w:val="single" w:sz="4" w:space="1" w:color="auto"/>
          <w:right w:val="single" w:sz="4" w:space="4" w:color="auto"/>
        </w:pBdr>
        <w:spacing w:after="120"/>
        <w:ind w:left="1080"/>
      </w:pPr>
      <w:r>
        <w:t>***</w:t>
      </w:r>
      <w:r w:rsidRPr="00716EFA">
        <w:t xml:space="preserve">See </w:t>
      </w:r>
      <w:r>
        <w:rPr>
          <w:b/>
        </w:rPr>
        <w:t>III.iv.4.O</w:t>
      </w:r>
      <w:r w:rsidRPr="00716EFA">
        <w:rPr>
          <w:b/>
        </w:rPr>
        <w:t>.1</w:t>
      </w:r>
    </w:p>
    <w:p w:rsidR="00D275EA" w:rsidRPr="00417AD9" w:rsidRDefault="00D275EA" w:rsidP="00F063AF">
      <w:pPr>
        <w:pStyle w:val="ListParagraph"/>
        <w:numPr>
          <w:ilvl w:val="0"/>
          <w:numId w:val="437"/>
        </w:numPr>
        <w:tabs>
          <w:tab w:val="left" w:pos="1080"/>
        </w:tabs>
        <w:spacing w:after="120"/>
        <w:ind w:left="1080"/>
        <w:rPr>
          <w:rFonts w:ascii="Arial" w:hAnsi="Arial"/>
          <w:i/>
          <w:sz w:val="20"/>
          <w:szCs w:val="20"/>
        </w:rPr>
      </w:pPr>
      <w:r w:rsidRPr="00417AD9">
        <w:rPr>
          <w:rFonts w:ascii="Arial" w:hAnsi="Arial"/>
          <w:i/>
          <w:sz w:val="20"/>
          <w:szCs w:val="20"/>
        </w:rPr>
        <w:t>Veteran is SC for PTSD &amp; now has additional mental diagnoses, which the examiner says are related to PTSD. Use all symptoms &amp; add the diagnoses to the disability name. Ref:  PowerPoint for July 2015 PTSD training.</w:t>
      </w:r>
    </w:p>
    <w:p w:rsidR="00D275EA" w:rsidRPr="00417AD9" w:rsidRDefault="00D275EA" w:rsidP="00F063AF">
      <w:pPr>
        <w:pStyle w:val="ListParagraph"/>
        <w:numPr>
          <w:ilvl w:val="0"/>
          <w:numId w:val="437"/>
        </w:numPr>
        <w:tabs>
          <w:tab w:val="left" w:pos="1080"/>
        </w:tabs>
        <w:spacing w:after="120"/>
        <w:ind w:left="1080"/>
        <w:rPr>
          <w:rFonts w:ascii="Arial" w:hAnsi="Arial"/>
          <w:i/>
          <w:sz w:val="20"/>
          <w:szCs w:val="20"/>
        </w:rPr>
      </w:pPr>
      <w:r w:rsidRPr="00417AD9">
        <w:rPr>
          <w:rFonts w:ascii="Arial" w:hAnsi="Arial"/>
          <w:i/>
          <w:sz w:val="20"/>
          <w:szCs w:val="20"/>
        </w:rPr>
        <w:t>Veteran is SC for PTSD &amp; now has additional mental diagnoses, but the examiner does NOT say whether or not they are related to PTSD &amp; does NOT differentiate the symptoms. Defer for discussion of relationship between mental conditions (really the DBQ only asks for differentiation of symptoms under #3b and differentiation of impairment under #4b). Ref:  PowerPoint for July 2015 PTSD training</w:t>
      </w:r>
    </w:p>
    <w:p w:rsidR="00D275EA" w:rsidRPr="00417AD9" w:rsidRDefault="00D275EA" w:rsidP="00F063AF">
      <w:pPr>
        <w:pStyle w:val="ListParagraph"/>
        <w:numPr>
          <w:ilvl w:val="0"/>
          <w:numId w:val="437"/>
        </w:numPr>
        <w:spacing w:after="120"/>
        <w:ind w:left="1080"/>
        <w:rPr>
          <w:rFonts w:ascii="Arial" w:hAnsi="Arial"/>
          <w:i/>
          <w:sz w:val="20"/>
          <w:szCs w:val="20"/>
        </w:rPr>
      </w:pPr>
      <w:r w:rsidRPr="00417AD9">
        <w:rPr>
          <w:rFonts w:ascii="Arial" w:hAnsi="Arial"/>
          <w:i/>
          <w:sz w:val="20"/>
          <w:szCs w:val="20"/>
        </w:rPr>
        <w:t>If other diagnosis is Alcohol Use Disorder &amp; the DBQ provides no link, but differentiate</w:t>
      </w:r>
      <w:r>
        <w:rPr>
          <w:rFonts w:ascii="Arial" w:hAnsi="Arial"/>
          <w:i/>
          <w:sz w:val="20"/>
          <w:szCs w:val="20"/>
        </w:rPr>
        <w:t>s symptoms &amp; impairment, use below Rating Note:</w:t>
      </w:r>
    </w:p>
    <w:p w:rsidR="00D275EA" w:rsidRPr="00417AD9" w:rsidRDefault="00D275EA" w:rsidP="00D275EA">
      <w:pPr>
        <w:pBdr>
          <w:top w:val="single" w:sz="4" w:space="1" w:color="auto"/>
          <w:left w:val="single" w:sz="4" w:space="4" w:color="auto"/>
          <w:bottom w:val="single" w:sz="4" w:space="1" w:color="auto"/>
          <w:right w:val="single" w:sz="4" w:space="4" w:color="auto"/>
        </w:pBdr>
        <w:spacing w:after="120"/>
        <w:ind w:left="1080"/>
      </w:pPr>
      <w:r w:rsidRPr="00417AD9">
        <w:t>Rating Note:  Alcohol Use Disorder is not included with PTSD, as the DBQ does not link Alcohol Use Disorder to PTSD PTSD &amp; the DBQ differentiates the symptoms &amp; impairment.</w:t>
      </w:r>
    </w:p>
    <w:p w:rsidR="00D275EA" w:rsidRDefault="00D275EA" w:rsidP="00D275EA">
      <w:pPr>
        <w:pStyle w:val="Default"/>
        <w:pBdr>
          <w:top w:val="single" w:sz="4" w:space="1" w:color="auto"/>
          <w:left w:val="single" w:sz="4" w:space="4" w:color="auto"/>
          <w:bottom w:val="single" w:sz="4" w:space="1" w:color="auto"/>
          <w:right w:val="single" w:sz="4" w:space="4" w:color="auto"/>
        </w:pBdr>
        <w:ind w:left="1080"/>
        <w:rPr>
          <w:sz w:val="20"/>
          <w:szCs w:val="20"/>
        </w:rPr>
      </w:pPr>
      <w:r>
        <w:rPr>
          <w:sz w:val="20"/>
          <w:szCs w:val="20"/>
        </w:rPr>
        <w:t>Rating Note: The veteran claimed depression/major depression. The DBQ shows diagnoses of Unspecified Depressive Disorder and Social Anxiety Disorder. The examiner noted that the onset of the Social Anxiety Disorder was childhood. However, no mental symptoms/disabilities are listed on the 2/02 entrance / enlistment exam. The examiner differentiated the symptoms attributable to each diagnosis (depressed mood, anxiety, sense of failure and insomnia/chronic sleep impairment linked to Unspecified Depressive Disorder; fear of rejection and criticism and relationship issues/difficulty in establishing and maintaining effective work at social relationships to Social Anxiety Disorder), but could not differentiate what portion of the level of occupational and social impairment is attributable to each diagnosis without resorting to speculation. The medical opinion clearly links just the "mood changes" (i.e. depression) to service. Per Clemons, “any co-existing mental condition identified by the evidence(must) be considered and a determination of service connection be made.” Because (1) the examiner could not differentiate the level of occupational and social impairment, (2) there is no mention of social anxiety disorder on the 2/02 entrance / enlistment exam, (3) the VATRs show the veteran's reports that depression and anxiety began 8 years prior, and (4) the VATRs show some of the insomnia is reportedly linked to anxiety, Unspecified Depressive Disorder and Social Anxiety Disorder and considered intertwined.</w:t>
      </w:r>
    </w:p>
    <w:p w:rsidR="00D275EA" w:rsidRDefault="00D275EA" w:rsidP="00D275EA">
      <w:pPr>
        <w:spacing w:after="120"/>
        <w:ind w:left="1080"/>
        <w:rPr>
          <w:i/>
        </w:rPr>
      </w:pPr>
    </w:p>
    <w:p w:rsidR="00D275EA" w:rsidRPr="006D3C36" w:rsidRDefault="00D275EA" w:rsidP="00D275EA">
      <w:pPr>
        <w:pBdr>
          <w:top w:val="single" w:sz="4" w:space="1" w:color="auto"/>
          <w:left w:val="single" w:sz="4" w:space="4" w:color="auto"/>
          <w:bottom w:val="single" w:sz="4" w:space="1" w:color="auto"/>
          <w:right w:val="single" w:sz="4" w:space="4" w:color="auto"/>
        </w:pBdr>
        <w:spacing w:after="120"/>
        <w:ind w:left="1080"/>
        <w:rPr>
          <w:i/>
        </w:rPr>
      </w:pPr>
      <w:r w:rsidRPr="006D3C36">
        <w:rPr>
          <w:i/>
        </w:rPr>
        <w:t>Good for exam request:</w:t>
      </w:r>
      <w:r>
        <w:rPr>
          <w:i/>
        </w:rPr>
        <w:t xml:space="preserve">  </w:t>
      </w:r>
      <w:r w:rsidRPr="006D3C36">
        <w:t>If more than one mental disorder is diagnosed please comment on their relationship to one another and, if possible, please state which symptoms are attributed to each disorder.</w:t>
      </w:r>
    </w:p>
    <w:p w:rsidR="00D275EA" w:rsidRPr="00553959" w:rsidRDefault="00D275EA" w:rsidP="00D275EA">
      <w:pPr>
        <w:spacing w:after="120"/>
        <w:ind w:left="1080"/>
        <w:rPr>
          <w:i/>
        </w:rPr>
      </w:pPr>
    </w:p>
    <w:p w:rsidR="00D275EA" w:rsidRPr="00C20A14" w:rsidRDefault="00D275EA" w:rsidP="00D275EA">
      <w:pPr>
        <w:pStyle w:val="NormalWeb"/>
        <w:numPr>
          <w:ilvl w:val="1"/>
          <w:numId w:val="66"/>
        </w:numPr>
        <w:tabs>
          <w:tab w:val="clear" w:pos="1440"/>
          <w:tab w:val="num" w:pos="720"/>
        </w:tabs>
        <w:ind w:left="720"/>
        <w:rPr>
          <w:sz w:val="20"/>
          <w:szCs w:val="20"/>
        </w:rPr>
      </w:pPr>
      <w:r w:rsidRPr="00C20A14">
        <w:rPr>
          <w:sz w:val="20"/>
          <w:szCs w:val="20"/>
        </w:rPr>
        <w:t>In-Service – 3.304(f)(1)</w:t>
      </w:r>
      <w:r>
        <w:rPr>
          <w:sz w:val="20"/>
          <w:szCs w:val="20"/>
        </w:rPr>
        <w:t xml:space="preserve">, </w:t>
      </w:r>
      <w:r>
        <w:rPr>
          <w:b/>
          <w:sz w:val="20"/>
          <w:szCs w:val="20"/>
        </w:rPr>
        <w:t>III.iv.4.O.2</w:t>
      </w:r>
      <w:r w:rsidRPr="00C20A14">
        <w:rPr>
          <w:sz w:val="20"/>
          <w:szCs w:val="20"/>
        </w:rPr>
        <w:t xml:space="preserve">, </w:t>
      </w:r>
      <w:r w:rsidRPr="00055F2D">
        <w:rPr>
          <w:b/>
          <w:bCs/>
          <w:i/>
          <w:sz w:val="20"/>
          <w:szCs w:val="20"/>
        </w:rPr>
        <w:t>November 2008 Compensation Service Bulletin (CSB)</w:t>
      </w:r>
      <w:r w:rsidRPr="00C20A14">
        <w:rPr>
          <w:rStyle w:val="Hyperlink"/>
          <w:bCs/>
          <w:sz w:val="20"/>
          <w:szCs w:val="20"/>
          <w:u w:val="none"/>
        </w:rPr>
        <w:t xml:space="preserve">, </w:t>
      </w:r>
      <w:r w:rsidRPr="00055F2D">
        <w:rPr>
          <w:b/>
          <w:bCs/>
          <w:i/>
          <w:iCs/>
          <w:sz w:val="20"/>
          <w:szCs w:val="20"/>
        </w:rPr>
        <w:t>April 2013 Compensation Service Bulletin (CSB)</w:t>
      </w:r>
    </w:p>
    <w:p w:rsidR="00D275EA" w:rsidRDefault="00D275EA" w:rsidP="00D275EA">
      <w:pPr>
        <w:pStyle w:val="NormalWeb"/>
        <w:numPr>
          <w:ilvl w:val="1"/>
          <w:numId w:val="66"/>
        </w:numPr>
        <w:tabs>
          <w:tab w:val="clear" w:pos="1440"/>
          <w:tab w:val="num" w:pos="720"/>
        </w:tabs>
        <w:ind w:left="720"/>
        <w:rPr>
          <w:sz w:val="20"/>
          <w:szCs w:val="20"/>
        </w:rPr>
      </w:pPr>
      <w:r>
        <w:rPr>
          <w:sz w:val="20"/>
          <w:szCs w:val="20"/>
        </w:rPr>
        <w:t>Combat – 3.304(f)(2)</w:t>
      </w:r>
    </w:p>
    <w:p w:rsidR="00D275EA" w:rsidRDefault="00D275EA" w:rsidP="00F063AF">
      <w:pPr>
        <w:pStyle w:val="NormalWeb"/>
        <w:numPr>
          <w:ilvl w:val="2"/>
          <w:numId w:val="244"/>
        </w:numPr>
        <w:tabs>
          <w:tab w:val="clear" w:pos="2160"/>
          <w:tab w:val="num" w:pos="1440"/>
        </w:tabs>
        <w:ind w:left="1080"/>
        <w:rPr>
          <w:sz w:val="20"/>
          <w:szCs w:val="20"/>
        </w:rPr>
      </w:pPr>
      <w:r>
        <w:rPr>
          <w:b/>
          <w:sz w:val="20"/>
          <w:szCs w:val="20"/>
        </w:rPr>
        <w:t>III.iv.4.O.3.b</w:t>
      </w:r>
      <w:r w:rsidRPr="00640DF1">
        <w:rPr>
          <w:b/>
          <w:sz w:val="20"/>
          <w:szCs w:val="20"/>
        </w:rPr>
        <w:t xml:space="preserve"> </w:t>
      </w:r>
      <w:r>
        <w:rPr>
          <w:b/>
          <w:sz w:val="20"/>
          <w:szCs w:val="20"/>
        </w:rPr>
        <w:t xml:space="preserve">– </w:t>
      </w:r>
      <w:r w:rsidRPr="00BB3B8D">
        <w:rPr>
          <w:sz w:val="20"/>
          <w:szCs w:val="20"/>
        </w:rPr>
        <w:t>“</w:t>
      </w:r>
      <w:r w:rsidRPr="00F70488">
        <w:rPr>
          <w:rStyle w:val="Emphasis"/>
          <w:b/>
          <w:bCs/>
          <w:sz w:val="20"/>
          <w:szCs w:val="20"/>
        </w:rPr>
        <w:t>Engaging in combat</w:t>
      </w:r>
      <w:r w:rsidRPr="00F70488">
        <w:rPr>
          <w:sz w:val="20"/>
          <w:szCs w:val="20"/>
        </w:rPr>
        <w:t xml:space="preserve"> </w:t>
      </w:r>
      <w:r w:rsidRPr="00F70488">
        <w:rPr>
          <w:rStyle w:val="Emphasis"/>
          <w:b/>
          <w:bCs/>
          <w:sz w:val="20"/>
          <w:szCs w:val="20"/>
        </w:rPr>
        <w:t>with the enemy</w:t>
      </w:r>
      <w:r w:rsidRPr="00F70488">
        <w:rPr>
          <w:sz w:val="20"/>
          <w:szCs w:val="20"/>
        </w:rPr>
        <w:t xml:space="preserve"> means personal participation in events constituting an actual fight or encounter with a military foe or hostile unit or instrumentality. It includes presence during such events either as a combatant, or service member performing duty in support of combatants, such as providing medical care to the wounded.</w:t>
      </w:r>
      <w:r>
        <w:rPr>
          <w:sz w:val="20"/>
          <w:szCs w:val="20"/>
        </w:rPr>
        <w:t>”</w:t>
      </w:r>
    </w:p>
    <w:p w:rsidR="00D275EA" w:rsidRDefault="00D275EA" w:rsidP="00F063AF">
      <w:pPr>
        <w:pStyle w:val="NormalWeb"/>
        <w:numPr>
          <w:ilvl w:val="2"/>
          <w:numId w:val="244"/>
        </w:numPr>
        <w:tabs>
          <w:tab w:val="clear" w:pos="2160"/>
          <w:tab w:val="num" w:pos="1440"/>
        </w:tabs>
        <w:ind w:left="1080"/>
        <w:rPr>
          <w:sz w:val="20"/>
          <w:szCs w:val="20"/>
        </w:rPr>
      </w:pPr>
      <w:r w:rsidRPr="00206805">
        <w:rPr>
          <w:sz w:val="20"/>
          <w:szCs w:val="20"/>
        </w:rPr>
        <w:t>Drone aircraft crew members</w:t>
      </w:r>
      <w:r>
        <w:rPr>
          <w:i/>
          <w:sz w:val="20"/>
          <w:szCs w:val="20"/>
        </w:rPr>
        <w:t xml:space="preserve"> - </w:t>
      </w:r>
      <w:r>
        <w:rPr>
          <w:b/>
          <w:sz w:val="20"/>
          <w:szCs w:val="20"/>
        </w:rPr>
        <w:t xml:space="preserve">III.iv.4.O.3.a, III.iv.4.O.3.e, </w:t>
      </w:r>
      <w:r w:rsidRPr="00055F2D">
        <w:rPr>
          <w:b/>
          <w:i/>
          <w:sz w:val="20"/>
          <w:szCs w:val="20"/>
        </w:rPr>
        <w:t>October 2014 Compensation Service Bulletin (CSB)</w:t>
      </w:r>
      <w:r>
        <w:rPr>
          <w:rStyle w:val="Hyperlink"/>
          <w:sz w:val="20"/>
          <w:szCs w:val="20"/>
          <w:u w:val="none"/>
        </w:rPr>
        <w:t xml:space="preserve"> </w:t>
      </w:r>
      <w:r w:rsidRPr="00F70488">
        <w:rPr>
          <w:rStyle w:val="Hyperlink"/>
          <w:color w:val="auto"/>
          <w:sz w:val="20"/>
          <w:szCs w:val="20"/>
          <w:u w:val="none"/>
        </w:rPr>
        <w:t xml:space="preserve">says </w:t>
      </w:r>
      <w:r w:rsidRPr="00206805">
        <w:rPr>
          <w:rStyle w:val="Hyperlink"/>
          <w:color w:val="auto"/>
          <w:sz w:val="20"/>
          <w:szCs w:val="20"/>
          <w:u w:val="none"/>
        </w:rPr>
        <w:t>they’ve seen “e</w:t>
      </w:r>
      <w:r w:rsidRPr="00206805">
        <w:rPr>
          <w:sz w:val="20"/>
          <w:szCs w:val="20"/>
        </w:rPr>
        <w:t>xtensive combat action”</w:t>
      </w:r>
    </w:p>
    <w:p w:rsidR="00D275EA" w:rsidRPr="00BE3EB3" w:rsidRDefault="00D275EA" w:rsidP="00F063AF">
      <w:pPr>
        <w:pStyle w:val="NormalWeb"/>
        <w:numPr>
          <w:ilvl w:val="2"/>
          <w:numId w:val="244"/>
        </w:numPr>
        <w:tabs>
          <w:tab w:val="clear" w:pos="2160"/>
          <w:tab w:val="left" w:pos="1080"/>
          <w:tab w:val="num" w:pos="1440"/>
        </w:tabs>
        <w:ind w:left="1080"/>
        <w:rPr>
          <w:b/>
          <w:sz w:val="20"/>
          <w:szCs w:val="20"/>
        </w:rPr>
      </w:pPr>
      <w:r w:rsidRPr="00BE3EB3">
        <w:rPr>
          <w:b/>
          <w:sz w:val="20"/>
          <w:szCs w:val="20"/>
        </w:rPr>
        <w:t>IV.ii.2.B.3.d</w:t>
      </w:r>
      <w:r>
        <w:rPr>
          <w:b/>
          <w:sz w:val="20"/>
          <w:szCs w:val="20"/>
        </w:rPr>
        <w:t xml:space="preserve"> – </w:t>
      </w:r>
      <w:r w:rsidRPr="00BE3EB3">
        <w:rPr>
          <w:sz w:val="20"/>
          <w:szCs w:val="20"/>
        </w:rPr>
        <w:t>combat-related disabil</w:t>
      </w:r>
      <w:r>
        <w:rPr>
          <w:sz w:val="20"/>
          <w:szCs w:val="20"/>
        </w:rPr>
        <w:t>i</w:t>
      </w:r>
      <w:r w:rsidRPr="00BE3EB3">
        <w:rPr>
          <w:sz w:val="20"/>
          <w:szCs w:val="20"/>
        </w:rPr>
        <w:t>ties</w:t>
      </w:r>
    </w:p>
    <w:p w:rsidR="00D275EA" w:rsidRDefault="00D275EA" w:rsidP="00D275EA">
      <w:pPr>
        <w:pStyle w:val="NormalWeb"/>
        <w:numPr>
          <w:ilvl w:val="1"/>
          <w:numId w:val="66"/>
        </w:numPr>
        <w:tabs>
          <w:tab w:val="clear" w:pos="1440"/>
          <w:tab w:val="num" w:pos="720"/>
        </w:tabs>
        <w:ind w:left="720"/>
        <w:rPr>
          <w:sz w:val="20"/>
          <w:szCs w:val="20"/>
        </w:rPr>
      </w:pPr>
      <w:r>
        <w:rPr>
          <w:sz w:val="20"/>
          <w:szCs w:val="20"/>
        </w:rPr>
        <w:t>Fear – 3.304(f)(3)</w:t>
      </w:r>
    </w:p>
    <w:p w:rsidR="00D275EA" w:rsidRDefault="00D275EA" w:rsidP="00D275EA">
      <w:pPr>
        <w:pStyle w:val="NormalWeb"/>
        <w:numPr>
          <w:ilvl w:val="1"/>
          <w:numId w:val="66"/>
        </w:numPr>
        <w:tabs>
          <w:tab w:val="clear" w:pos="1440"/>
          <w:tab w:val="num" w:pos="720"/>
        </w:tabs>
        <w:ind w:left="720"/>
        <w:rPr>
          <w:sz w:val="20"/>
          <w:szCs w:val="20"/>
        </w:rPr>
      </w:pPr>
      <w:r>
        <w:rPr>
          <w:sz w:val="20"/>
          <w:szCs w:val="20"/>
        </w:rPr>
        <w:t>POW – 3.304(f)(4)</w:t>
      </w:r>
    </w:p>
    <w:p w:rsidR="00D275EA" w:rsidRDefault="00D275EA" w:rsidP="00D275EA">
      <w:pPr>
        <w:pStyle w:val="NormalWeb"/>
        <w:numPr>
          <w:ilvl w:val="1"/>
          <w:numId w:val="66"/>
        </w:numPr>
        <w:tabs>
          <w:tab w:val="clear" w:pos="1440"/>
          <w:tab w:val="num" w:pos="720"/>
        </w:tabs>
        <w:ind w:left="720"/>
        <w:rPr>
          <w:sz w:val="20"/>
          <w:szCs w:val="20"/>
        </w:rPr>
      </w:pPr>
      <w:bookmarkStart w:id="141" w:name="_Hlk519594282"/>
      <w:r>
        <w:rPr>
          <w:sz w:val="20"/>
          <w:szCs w:val="20"/>
        </w:rPr>
        <w:t xml:space="preserve">Personal Assault – 3.304(f)(5) – </w:t>
      </w:r>
      <w:r w:rsidR="00C228B3">
        <w:rPr>
          <w:sz w:val="20"/>
          <w:szCs w:val="20"/>
        </w:rPr>
        <w:t xml:space="preserve">per </w:t>
      </w:r>
      <w:r>
        <w:rPr>
          <w:sz w:val="20"/>
          <w:szCs w:val="20"/>
        </w:rPr>
        <w:t>MUST notify the veteran about alternate sources of evidence (</w:t>
      </w:r>
      <w:r>
        <w:rPr>
          <w:b/>
          <w:sz w:val="20"/>
          <w:szCs w:val="20"/>
        </w:rPr>
        <w:t>III.iv.4.O</w:t>
      </w:r>
      <w:r w:rsidR="00476588">
        <w:rPr>
          <w:b/>
          <w:sz w:val="20"/>
          <w:szCs w:val="20"/>
        </w:rPr>
        <w:t>.3</w:t>
      </w:r>
      <w:r>
        <w:rPr>
          <w:sz w:val="20"/>
          <w:szCs w:val="20"/>
        </w:rPr>
        <w:t xml:space="preserve"> says Personal Trauma), only need “marker,” not verification of event; need to list marker on exam request w/this sentence:  </w:t>
      </w:r>
      <w:r w:rsidRPr="00BD35B4">
        <w:rPr>
          <w:iCs/>
          <w:sz w:val="20"/>
          <w:szCs w:val="20"/>
        </w:rPr>
        <w:t>Please provide an opinion as to whether the marker can be associated with occurrence of a stressor</w:t>
      </w:r>
      <w:r w:rsidRPr="00BD35B4">
        <w:rPr>
          <w:i/>
          <w:iCs/>
          <w:sz w:val="20"/>
          <w:szCs w:val="20"/>
        </w:rPr>
        <w:t xml:space="preserve"> </w:t>
      </w:r>
      <w:r w:rsidRPr="00BD35B4">
        <w:rPr>
          <w:sz w:val="20"/>
          <w:szCs w:val="20"/>
        </w:rPr>
        <w:t>and, if so, whether current PTSD symptoms are related to that in-service stressor</w:t>
      </w:r>
      <w:r>
        <w:rPr>
          <w:sz w:val="20"/>
          <w:szCs w:val="20"/>
        </w:rPr>
        <w:t>. (</w:t>
      </w:r>
      <w:r w:rsidRPr="00346FBE">
        <w:rPr>
          <w:i/>
          <w:color w:val="00B050"/>
          <w:sz w:val="20"/>
          <w:szCs w:val="20"/>
        </w:rPr>
        <w:t>My Notes:</w:t>
      </w:r>
      <w:r w:rsidRPr="00346FBE">
        <w:rPr>
          <w:color w:val="00B050"/>
          <w:sz w:val="20"/>
          <w:szCs w:val="20"/>
        </w:rPr>
        <w:t xml:space="preserve">  </w:t>
      </w:r>
      <w:r>
        <w:rPr>
          <w:b/>
          <w:i/>
          <w:sz w:val="20"/>
          <w:szCs w:val="20"/>
        </w:rPr>
        <w:t>III.iv.4.O</w:t>
      </w:r>
      <w:r w:rsidRPr="00D36CD9">
        <w:rPr>
          <w:b/>
          <w:i/>
          <w:sz w:val="20"/>
          <w:szCs w:val="20"/>
        </w:rPr>
        <w:t>.5.a</w:t>
      </w:r>
      <w:r w:rsidRPr="00D36CD9">
        <w:rPr>
          <w:i/>
          <w:sz w:val="20"/>
          <w:szCs w:val="20"/>
        </w:rPr>
        <w:t xml:space="preserve"> says request opinion, but does not have that specific statement.</w:t>
      </w:r>
      <w:r w:rsidRPr="00D36CD9">
        <w:rPr>
          <w:sz w:val="20"/>
          <w:szCs w:val="20"/>
        </w:rPr>
        <w:t>)</w:t>
      </w:r>
    </w:p>
    <w:bookmarkEnd w:id="141"/>
    <w:p w:rsidR="00D275EA" w:rsidRDefault="00D275EA" w:rsidP="00D275EA">
      <w:pPr>
        <w:pStyle w:val="NormalWeb"/>
        <w:numPr>
          <w:ilvl w:val="1"/>
          <w:numId w:val="66"/>
        </w:numPr>
        <w:tabs>
          <w:tab w:val="clear" w:pos="1440"/>
          <w:tab w:val="num" w:pos="720"/>
        </w:tabs>
        <w:ind w:left="720"/>
        <w:rPr>
          <w:sz w:val="20"/>
          <w:szCs w:val="20"/>
        </w:rPr>
      </w:pPr>
      <w:r>
        <w:rPr>
          <w:sz w:val="20"/>
          <w:szCs w:val="20"/>
        </w:rPr>
        <w:t>Non-Combat – many types, need more than veteran’s statement or repeating of veteran’s statement by MD or other person</w:t>
      </w:r>
    </w:p>
    <w:p w:rsidR="00D275EA" w:rsidRDefault="00D275EA" w:rsidP="00D275EA">
      <w:pPr>
        <w:pStyle w:val="NormalWeb"/>
        <w:numPr>
          <w:ilvl w:val="1"/>
          <w:numId w:val="66"/>
        </w:numPr>
        <w:tabs>
          <w:tab w:val="clear" w:pos="1440"/>
          <w:tab w:val="num" w:pos="720"/>
        </w:tabs>
        <w:ind w:left="720"/>
        <w:rPr>
          <w:sz w:val="20"/>
          <w:szCs w:val="20"/>
        </w:rPr>
      </w:pPr>
      <w:r>
        <w:rPr>
          <w:sz w:val="20"/>
          <w:szCs w:val="20"/>
        </w:rPr>
        <w:t xml:space="preserve">Can’t use fear under 3.304(f)(3) for any non-PTSD diagnosis, but per </w:t>
      </w:r>
      <w:r w:rsidRPr="00055F2D">
        <w:rPr>
          <w:b/>
          <w:i/>
          <w:sz w:val="20"/>
          <w:szCs w:val="20"/>
        </w:rPr>
        <w:t>Clemons v. Shinseki</w:t>
      </w:r>
      <w:r w:rsidRPr="00E37952">
        <w:rPr>
          <w:sz w:val="20"/>
          <w:szCs w:val="20"/>
        </w:rPr>
        <w:t xml:space="preserve"> (2/17/09)</w:t>
      </w:r>
      <w:r>
        <w:rPr>
          <w:sz w:val="20"/>
          <w:szCs w:val="20"/>
        </w:rPr>
        <w:t xml:space="preserve"> any “acquired psychiatric disability” = ALL MENTAL, so you have to address the other diagnosis somehow</w:t>
      </w:r>
    </w:p>
    <w:p w:rsidR="00D275EA" w:rsidRPr="00E10D8B" w:rsidRDefault="00D275EA" w:rsidP="00D275EA">
      <w:pPr>
        <w:pStyle w:val="NormalWeb"/>
        <w:ind w:left="360"/>
        <w:rPr>
          <w:i/>
          <w:sz w:val="20"/>
          <w:szCs w:val="20"/>
        </w:rPr>
      </w:pPr>
      <w:r w:rsidRPr="00E10D8B">
        <w:rPr>
          <w:i/>
          <w:sz w:val="20"/>
          <w:szCs w:val="20"/>
        </w:rPr>
        <w:t xml:space="preserve">My comments:  </w:t>
      </w:r>
    </w:p>
    <w:p w:rsidR="00D275EA" w:rsidRDefault="00D275EA" w:rsidP="00D275EA">
      <w:pPr>
        <w:pStyle w:val="NormalWeb"/>
        <w:ind w:left="360"/>
        <w:rPr>
          <w:i/>
          <w:sz w:val="20"/>
          <w:szCs w:val="20"/>
        </w:rPr>
      </w:pPr>
      <w:r w:rsidRPr="00E10D8B">
        <w:rPr>
          <w:i/>
          <w:sz w:val="20"/>
          <w:szCs w:val="20"/>
        </w:rPr>
        <w:t>VA needs to make a distinction between "non-combat/perso</w:t>
      </w:r>
      <w:r>
        <w:rPr>
          <w:i/>
          <w:sz w:val="20"/>
          <w:szCs w:val="20"/>
        </w:rPr>
        <w:t>nal trauma" &amp; "personal assault or military sexual trauma (</w:t>
      </w:r>
      <w:r w:rsidRPr="00E10D8B">
        <w:rPr>
          <w:i/>
          <w:sz w:val="20"/>
          <w:szCs w:val="20"/>
        </w:rPr>
        <w:t>MST</w:t>
      </w:r>
      <w:r>
        <w:rPr>
          <w:i/>
          <w:sz w:val="20"/>
          <w:szCs w:val="20"/>
        </w:rPr>
        <w:t>).”</w:t>
      </w:r>
      <w:r w:rsidRPr="00E10D8B">
        <w:rPr>
          <w:i/>
          <w:sz w:val="20"/>
          <w:szCs w:val="20"/>
        </w:rPr>
        <w:t xml:space="preserve"> Using "personal trauma" for both </w:t>
      </w:r>
      <w:r>
        <w:rPr>
          <w:i/>
          <w:sz w:val="20"/>
          <w:szCs w:val="20"/>
        </w:rPr>
        <w:t xml:space="preserve">(although the Manual does not do this, the training did) </w:t>
      </w:r>
      <w:r w:rsidRPr="00E10D8B">
        <w:rPr>
          <w:i/>
          <w:sz w:val="20"/>
          <w:szCs w:val="20"/>
        </w:rPr>
        <w:t xml:space="preserve">blurs the line. </w:t>
      </w:r>
    </w:p>
    <w:p w:rsidR="00D275EA" w:rsidRPr="00E10D8B" w:rsidRDefault="00D275EA" w:rsidP="00D275EA">
      <w:pPr>
        <w:pStyle w:val="NormalWeb"/>
        <w:ind w:left="360"/>
        <w:rPr>
          <w:i/>
          <w:sz w:val="20"/>
          <w:szCs w:val="20"/>
        </w:rPr>
      </w:pPr>
      <w:r w:rsidRPr="00E10D8B">
        <w:rPr>
          <w:i/>
          <w:sz w:val="20"/>
          <w:szCs w:val="20"/>
        </w:rPr>
        <w:t>We also should use "stressor" only for PTSD. If we're talking about a non-PTSD diagnosis, then we should use "event" rather than "stressor</w:t>
      </w:r>
      <w:r>
        <w:rPr>
          <w:i/>
          <w:sz w:val="20"/>
          <w:szCs w:val="20"/>
        </w:rPr>
        <w:t>.”</w:t>
      </w:r>
    </w:p>
    <w:p w:rsidR="00D275EA" w:rsidRDefault="00D275EA" w:rsidP="00D275EA">
      <w:pPr>
        <w:pStyle w:val="NormalWeb"/>
        <w:ind w:left="360"/>
        <w:rPr>
          <w:i/>
          <w:sz w:val="20"/>
          <w:szCs w:val="20"/>
        </w:rPr>
      </w:pPr>
      <w:r w:rsidRPr="00E10D8B">
        <w:rPr>
          <w:i/>
          <w:sz w:val="20"/>
          <w:szCs w:val="20"/>
        </w:rPr>
        <w:t>VSRs rarely list stressors on exam requests.</w:t>
      </w:r>
    </w:p>
    <w:p w:rsidR="00D275EA" w:rsidRDefault="00D275EA" w:rsidP="00D275EA">
      <w:pPr>
        <w:pStyle w:val="NormalWeb"/>
        <w:ind w:left="360"/>
        <w:rPr>
          <w:i/>
          <w:sz w:val="20"/>
          <w:szCs w:val="20"/>
        </w:rPr>
      </w:pPr>
      <w:r>
        <w:rPr>
          <w:i/>
          <w:sz w:val="20"/>
          <w:szCs w:val="20"/>
        </w:rPr>
        <w:t>Was John’s ariel photograph example non-combat or fear?</w:t>
      </w:r>
    </w:p>
    <w:p w:rsidR="00D275EA" w:rsidRDefault="00D275EA" w:rsidP="00D275EA">
      <w:pPr>
        <w:pStyle w:val="NormalWeb"/>
        <w:ind w:left="360"/>
        <w:rPr>
          <w:i/>
          <w:sz w:val="20"/>
          <w:szCs w:val="20"/>
        </w:rPr>
      </w:pPr>
      <w:r>
        <w:rPr>
          <w:i/>
          <w:sz w:val="20"/>
          <w:szCs w:val="20"/>
        </w:rPr>
        <w:t>John says you may be able to grant PTSD due to death of a family member, is this non-combat? [can’t do fear based on learning of the death of another person when such death occurred remote from the veteran, see PowerPoint]</w:t>
      </w:r>
    </w:p>
    <w:p w:rsidR="00D275EA" w:rsidRPr="00214928" w:rsidRDefault="00D275EA" w:rsidP="00F063AF">
      <w:pPr>
        <w:pStyle w:val="NormalWeb"/>
        <w:numPr>
          <w:ilvl w:val="0"/>
          <w:numId w:val="235"/>
        </w:numPr>
        <w:tabs>
          <w:tab w:val="left" w:pos="360"/>
        </w:tabs>
        <w:ind w:left="360"/>
        <w:rPr>
          <w:i/>
          <w:sz w:val="20"/>
          <w:szCs w:val="20"/>
        </w:rPr>
      </w:pPr>
      <w:r w:rsidRPr="00D83D2E">
        <w:rPr>
          <w:sz w:val="20"/>
          <w:szCs w:val="20"/>
        </w:rPr>
        <w:t>VA Pulse,</w:t>
      </w:r>
      <w:r>
        <w:rPr>
          <w:i/>
          <w:sz w:val="20"/>
          <w:szCs w:val="20"/>
        </w:rPr>
        <w:t xml:space="preserve"> </w:t>
      </w:r>
      <w:r w:rsidRPr="00055F2D">
        <w:rPr>
          <w:i/>
          <w:sz w:val="20"/>
          <w:szCs w:val="20"/>
        </w:rPr>
        <w:t>https://www.vapulse.net/thread/7776</w:t>
      </w:r>
      <w:r>
        <w:rPr>
          <w:i/>
          <w:sz w:val="20"/>
          <w:szCs w:val="20"/>
        </w:rPr>
        <w:t xml:space="preserve">, </w:t>
      </w:r>
      <w:r w:rsidRPr="00D83D2E">
        <w:rPr>
          <w:sz w:val="20"/>
          <w:szCs w:val="20"/>
        </w:rPr>
        <w:t xml:space="preserve">supports Clemons instead of </w:t>
      </w:r>
      <w:r>
        <w:rPr>
          <w:sz w:val="20"/>
          <w:szCs w:val="20"/>
        </w:rPr>
        <w:t>Request for Application (</w:t>
      </w:r>
      <w:r w:rsidRPr="00D83D2E">
        <w:rPr>
          <w:sz w:val="20"/>
          <w:szCs w:val="20"/>
        </w:rPr>
        <w:t>RFA</w:t>
      </w:r>
      <w:r>
        <w:rPr>
          <w:sz w:val="20"/>
          <w:szCs w:val="20"/>
        </w:rPr>
        <w:t>)</w:t>
      </w:r>
      <w:r w:rsidRPr="00D83D2E">
        <w:rPr>
          <w:sz w:val="20"/>
          <w:szCs w:val="20"/>
        </w:rPr>
        <w:t xml:space="preserve"> if claim &amp; diagnosis are different mental diagnoses, plu</w:t>
      </w:r>
      <w:r>
        <w:rPr>
          <w:sz w:val="20"/>
          <w:szCs w:val="20"/>
        </w:rPr>
        <w:t xml:space="preserve">s need to develop for stressor </w:t>
      </w:r>
      <w:r w:rsidRPr="00D83D2E">
        <w:rPr>
          <w:sz w:val="20"/>
          <w:szCs w:val="20"/>
        </w:rPr>
        <w:t>(probably should have said “event”) with non-PTSD diagnosis</w:t>
      </w:r>
    </w:p>
    <w:p w:rsidR="00D275EA" w:rsidRDefault="00D275EA" w:rsidP="00D275EA">
      <w:pPr>
        <w:pBdr>
          <w:top w:val="single" w:sz="4" w:space="1" w:color="auto"/>
          <w:left w:val="single" w:sz="4" w:space="4" w:color="auto"/>
          <w:bottom w:val="single" w:sz="4" w:space="1" w:color="auto"/>
          <w:right w:val="single" w:sz="4" w:space="4" w:color="auto"/>
        </w:pBdr>
        <w:tabs>
          <w:tab w:val="left" w:pos="720"/>
        </w:tabs>
      </w:pPr>
      <w:r>
        <w:t>P</w:t>
      </w:r>
      <w:r w:rsidRPr="00CD6FB1">
        <w:t>er Clemons, “any co-existing mental condition identified by the evidence (must) be considered and a determination of service connection be made</w:t>
      </w:r>
      <w:r>
        <w:t>.”</w:t>
      </w:r>
    </w:p>
    <w:p w:rsidR="00D275EA" w:rsidRPr="008100C2" w:rsidRDefault="00D275EA" w:rsidP="00D275EA">
      <w:pPr>
        <w:pBdr>
          <w:top w:val="single" w:sz="4" w:space="1" w:color="auto"/>
          <w:left w:val="single" w:sz="4" w:space="4" w:color="auto"/>
          <w:bottom w:val="single" w:sz="4" w:space="1" w:color="auto"/>
          <w:right w:val="single" w:sz="4" w:space="4" w:color="auto"/>
        </w:pBdr>
        <w:spacing w:after="120"/>
        <w:rPr>
          <w:i/>
        </w:rPr>
      </w:pPr>
      <w:r w:rsidRPr="008100C2">
        <w:rPr>
          <w:i/>
        </w:rPr>
        <w:t>*It appears Clemons is mostly concerned with if we’re denying the claimed mental disorder.</w:t>
      </w:r>
      <w:r>
        <w:rPr>
          <w:i/>
        </w:rPr>
        <w:t xml:space="preserve"> If we’re granting the claimed mental disorder, seems we do not need to infer to deny the other, unrelated diagnosis…</w:t>
      </w:r>
    </w:p>
    <w:p w:rsidR="005052C8" w:rsidRPr="005052C8" w:rsidRDefault="005052C8" w:rsidP="005052C8">
      <w:pPr>
        <w:pStyle w:val="NormalWeb"/>
        <w:widowControl w:val="0"/>
        <w:numPr>
          <w:ilvl w:val="0"/>
          <w:numId w:val="66"/>
        </w:numPr>
        <w:tabs>
          <w:tab w:val="clear" w:pos="720"/>
          <w:tab w:val="num" w:pos="360"/>
        </w:tabs>
        <w:ind w:left="360"/>
        <w:rPr>
          <w:sz w:val="20"/>
          <w:szCs w:val="20"/>
        </w:rPr>
      </w:pPr>
      <w:r w:rsidRPr="005052C8">
        <w:rPr>
          <w:rFonts w:ascii="Tahoma" w:hAnsi="Tahoma" w:cs="Tahoma"/>
          <w:b/>
          <w:bCs/>
          <w:sz w:val="18"/>
        </w:rPr>
        <w:t>From:</w:t>
      </w:r>
      <w:r w:rsidRPr="005052C8">
        <w:rPr>
          <w:rFonts w:ascii="Tahoma" w:hAnsi="Tahoma" w:cs="Tahoma"/>
          <w:sz w:val="18"/>
        </w:rPr>
        <w:t xml:space="preserve"> VAVBASDC/RO/VSC </w:t>
      </w:r>
      <w:r w:rsidRPr="005052C8">
        <w:rPr>
          <w:rFonts w:ascii="Tahoma" w:hAnsi="Tahoma" w:cs="Tahoma"/>
          <w:sz w:val="18"/>
        </w:rPr>
        <w:br/>
      </w:r>
      <w:r w:rsidRPr="005052C8">
        <w:rPr>
          <w:rFonts w:ascii="Tahoma" w:hAnsi="Tahoma" w:cs="Tahoma"/>
          <w:b/>
          <w:bCs/>
          <w:sz w:val="18"/>
        </w:rPr>
        <w:t>Sent:</w:t>
      </w:r>
      <w:r w:rsidRPr="005052C8">
        <w:rPr>
          <w:rFonts w:ascii="Tahoma" w:hAnsi="Tahoma" w:cs="Tahoma"/>
          <w:sz w:val="18"/>
        </w:rPr>
        <w:t xml:space="preserve"> Friday, March 10, 2017 2:49 PM</w:t>
      </w:r>
      <w:r w:rsidRPr="005052C8">
        <w:rPr>
          <w:rFonts w:ascii="Tahoma" w:hAnsi="Tahoma" w:cs="Tahoma"/>
          <w:sz w:val="18"/>
        </w:rPr>
        <w:br/>
      </w:r>
      <w:r w:rsidRPr="005052C8">
        <w:rPr>
          <w:rFonts w:ascii="Tahoma" w:hAnsi="Tahoma" w:cs="Tahoma"/>
          <w:b/>
          <w:bCs/>
          <w:sz w:val="18"/>
        </w:rPr>
        <w:t>Subject:</w:t>
      </w:r>
      <w:r w:rsidRPr="005052C8">
        <w:rPr>
          <w:rFonts w:ascii="Tahoma" w:hAnsi="Tahoma" w:cs="Tahoma"/>
          <w:sz w:val="18"/>
        </w:rPr>
        <w:t xml:space="preserve"> FW: SD MST Coordinators</w:t>
      </w:r>
    </w:p>
    <w:p w:rsidR="005052C8" w:rsidRPr="00C12491" w:rsidRDefault="005052C8" w:rsidP="005052C8">
      <w:pPr>
        <w:ind w:left="360"/>
        <w:rPr>
          <w:szCs w:val="24"/>
        </w:rPr>
      </w:pPr>
      <w:r w:rsidRPr="00C12491">
        <w:rPr>
          <w:szCs w:val="24"/>
        </w:rPr>
        <w:t>Good Afternoon VSC,</w:t>
      </w:r>
    </w:p>
    <w:p w:rsidR="005052C8" w:rsidRPr="00C12491" w:rsidRDefault="005052C8" w:rsidP="005052C8">
      <w:pPr>
        <w:ind w:left="360"/>
        <w:rPr>
          <w:szCs w:val="24"/>
        </w:rPr>
      </w:pPr>
      <w:r w:rsidRPr="00C12491">
        <w:rPr>
          <w:szCs w:val="24"/>
        </w:rPr>
        <w:t>The following employees are assisting our office with MST claims.  We are providing the email for situational and operational awareness.</w:t>
      </w:r>
    </w:p>
    <w:p w:rsidR="005052C8" w:rsidRPr="00C12491" w:rsidRDefault="005052C8" w:rsidP="00F063AF">
      <w:pPr>
        <w:pStyle w:val="ListParagraph"/>
        <w:numPr>
          <w:ilvl w:val="0"/>
          <w:numId w:val="404"/>
        </w:numPr>
        <w:spacing w:after="0" w:line="240" w:lineRule="auto"/>
        <w:ind w:left="360" w:firstLine="0"/>
        <w:rPr>
          <w:rFonts w:ascii="Arial" w:hAnsi="Arial"/>
          <w:sz w:val="20"/>
          <w:szCs w:val="24"/>
        </w:rPr>
      </w:pPr>
      <w:r w:rsidRPr="00C12491">
        <w:rPr>
          <w:rFonts w:ascii="Arial" w:hAnsi="Arial"/>
          <w:sz w:val="20"/>
          <w:szCs w:val="24"/>
        </w:rPr>
        <w:t xml:space="preserve">Alishea Flores is the primary MST coordinator for the San Diego RO.  </w:t>
      </w:r>
    </w:p>
    <w:p w:rsidR="005052C8" w:rsidRPr="00C12491" w:rsidRDefault="005052C8" w:rsidP="00F063AF">
      <w:pPr>
        <w:pStyle w:val="ListParagraph"/>
        <w:numPr>
          <w:ilvl w:val="0"/>
          <w:numId w:val="404"/>
        </w:numPr>
        <w:spacing w:after="0" w:line="240" w:lineRule="auto"/>
        <w:ind w:left="360" w:firstLine="0"/>
        <w:rPr>
          <w:rFonts w:ascii="Arial" w:hAnsi="Arial"/>
          <w:sz w:val="20"/>
          <w:szCs w:val="24"/>
        </w:rPr>
      </w:pPr>
      <w:r w:rsidRPr="00C12491">
        <w:rPr>
          <w:rFonts w:ascii="Arial" w:hAnsi="Arial"/>
          <w:sz w:val="20"/>
          <w:szCs w:val="24"/>
        </w:rPr>
        <w:t>Ms. Jacque Hartz is now the alternate MST coordinator.</w:t>
      </w:r>
    </w:p>
    <w:p w:rsidR="005052C8" w:rsidRPr="00C12491" w:rsidRDefault="005052C8" w:rsidP="005052C8">
      <w:pPr>
        <w:ind w:left="360"/>
        <w:rPr>
          <w:szCs w:val="24"/>
        </w:rPr>
      </w:pPr>
      <w:r w:rsidRPr="00C12491">
        <w:rPr>
          <w:szCs w:val="24"/>
        </w:rPr>
        <w:t>The following VSRs are also assisting in the adjudication of MST claims:</w:t>
      </w:r>
    </w:p>
    <w:p w:rsidR="005052C8" w:rsidRPr="00C12491" w:rsidRDefault="005052C8" w:rsidP="005052C8">
      <w:pPr>
        <w:ind w:left="360"/>
        <w:rPr>
          <w:szCs w:val="24"/>
        </w:rPr>
      </w:pPr>
      <w:r w:rsidRPr="00C12491">
        <w:rPr>
          <w:szCs w:val="24"/>
        </w:rPr>
        <w:t>1. Nicolette Dominguez</w:t>
      </w:r>
    </w:p>
    <w:p w:rsidR="005052C8" w:rsidRPr="00C12491" w:rsidRDefault="005052C8" w:rsidP="005052C8">
      <w:pPr>
        <w:ind w:left="360"/>
        <w:rPr>
          <w:szCs w:val="24"/>
        </w:rPr>
      </w:pPr>
      <w:r w:rsidRPr="00C12491">
        <w:rPr>
          <w:szCs w:val="24"/>
        </w:rPr>
        <w:t>2. Karla Marmolejo</w:t>
      </w:r>
    </w:p>
    <w:p w:rsidR="005052C8" w:rsidRPr="00C12491" w:rsidRDefault="005052C8" w:rsidP="005052C8">
      <w:pPr>
        <w:ind w:left="360"/>
        <w:rPr>
          <w:szCs w:val="24"/>
        </w:rPr>
      </w:pPr>
      <w:r w:rsidRPr="00C12491">
        <w:rPr>
          <w:szCs w:val="24"/>
        </w:rPr>
        <w:t>3. Albert Arguilla (Male MST claims)</w:t>
      </w:r>
    </w:p>
    <w:p w:rsidR="005052C8" w:rsidRPr="00C12491" w:rsidRDefault="005052C8" w:rsidP="005052C8">
      <w:pPr>
        <w:ind w:left="360"/>
        <w:rPr>
          <w:szCs w:val="24"/>
        </w:rPr>
      </w:pPr>
      <w:r w:rsidRPr="00C12491">
        <w:rPr>
          <w:szCs w:val="24"/>
        </w:rPr>
        <w:t>4. Ann Newcomb (Pre-Discharge MST claims)</w:t>
      </w:r>
    </w:p>
    <w:p w:rsidR="005052C8" w:rsidRPr="00C12491" w:rsidRDefault="005052C8" w:rsidP="005052C8">
      <w:pPr>
        <w:ind w:left="360"/>
        <w:rPr>
          <w:szCs w:val="24"/>
        </w:rPr>
      </w:pPr>
      <w:r w:rsidRPr="00C12491">
        <w:rPr>
          <w:szCs w:val="24"/>
        </w:rPr>
        <w:t>Thanks</w:t>
      </w:r>
    </w:p>
    <w:p w:rsidR="005052C8" w:rsidRDefault="005052C8" w:rsidP="005052C8">
      <w:pPr>
        <w:spacing w:after="120"/>
        <w:ind w:left="360"/>
        <w:rPr>
          <w:szCs w:val="24"/>
        </w:rPr>
      </w:pPr>
      <w:r w:rsidRPr="00C12491">
        <w:rPr>
          <w:szCs w:val="24"/>
        </w:rPr>
        <w:t>VSC Front Office</w:t>
      </w:r>
    </w:p>
    <w:p w:rsidR="00F95AA4" w:rsidRPr="00F95AA4" w:rsidRDefault="00F95AA4" w:rsidP="00F063AF">
      <w:pPr>
        <w:pStyle w:val="ListParagraph"/>
        <w:numPr>
          <w:ilvl w:val="0"/>
          <w:numId w:val="411"/>
        </w:numPr>
        <w:spacing w:after="0" w:line="240" w:lineRule="auto"/>
        <w:ind w:left="360"/>
        <w:outlineLvl w:val="0"/>
        <w:rPr>
          <w:rFonts w:ascii="Arial" w:hAnsi="Arial"/>
          <w:sz w:val="20"/>
          <w:szCs w:val="20"/>
        </w:rPr>
      </w:pPr>
      <w:r w:rsidRPr="00F95AA4">
        <w:rPr>
          <w:rFonts w:ascii="Tahoma" w:hAnsi="Tahoma" w:cs="Tahoma"/>
          <w:b/>
          <w:bCs/>
          <w:sz w:val="18"/>
          <w:szCs w:val="20"/>
        </w:rPr>
        <w:t>From:</w:t>
      </w:r>
      <w:r w:rsidRPr="00F95AA4">
        <w:rPr>
          <w:rFonts w:ascii="Tahoma" w:hAnsi="Tahoma" w:cs="Tahoma"/>
          <w:sz w:val="18"/>
          <w:szCs w:val="20"/>
        </w:rPr>
        <w:t xml:space="preserve"> VAVBASDC/RO/VSC </w:t>
      </w:r>
      <w:r w:rsidRPr="00F95AA4">
        <w:rPr>
          <w:rFonts w:ascii="Tahoma" w:hAnsi="Tahoma" w:cs="Tahoma"/>
          <w:sz w:val="18"/>
          <w:szCs w:val="20"/>
        </w:rPr>
        <w:br/>
      </w:r>
      <w:r w:rsidRPr="00F95AA4">
        <w:rPr>
          <w:rFonts w:ascii="Tahoma" w:hAnsi="Tahoma" w:cs="Tahoma"/>
          <w:b/>
          <w:bCs/>
          <w:sz w:val="18"/>
          <w:szCs w:val="20"/>
        </w:rPr>
        <w:t>Sent:</w:t>
      </w:r>
      <w:r w:rsidRPr="00F95AA4">
        <w:rPr>
          <w:rFonts w:ascii="Tahoma" w:hAnsi="Tahoma" w:cs="Tahoma"/>
          <w:sz w:val="18"/>
          <w:szCs w:val="20"/>
        </w:rPr>
        <w:t xml:space="preserve"> Thursday, June 29, 2017 8:19 AM</w:t>
      </w:r>
      <w:r w:rsidRPr="00F95AA4">
        <w:rPr>
          <w:rFonts w:ascii="Tahoma" w:hAnsi="Tahoma" w:cs="Tahoma"/>
          <w:sz w:val="18"/>
          <w:szCs w:val="20"/>
        </w:rPr>
        <w:br/>
      </w:r>
      <w:r w:rsidRPr="00F95AA4">
        <w:rPr>
          <w:rFonts w:ascii="Tahoma" w:hAnsi="Tahoma" w:cs="Tahoma"/>
          <w:b/>
          <w:bCs/>
          <w:sz w:val="18"/>
          <w:szCs w:val="20"/>
        </w:rPr>
        <w:t>Subject:</w:t>
      </w:r>
      <w:r w:rsidRPr="00F95AA4">
        <w:rPr>
          <w:rFonts w:ascii="Tahoma" w:hAnsi="Tahoma" w:cs="Tahoma"/>
          <w:sz w:val="18"/>
          <w:szCs w:val="20"/>
        </w:rPr>
        <w:t xml:space="preserve"> FW: Proper Procedures for Routing Claims Related to Military Sexual Trauma (Monthly Reminder)</w:t>
      </w:r>
      <w:r w:rsidRPr="00F95AA4">
        <w:rPr>
          <w:rFonts w:ascii="Tahoma" w:hAnsi="Tahoma" w:cs="Tahoma"/>
          <w:sz w:val="18"/>
          <w:szCs w:val="20"/>
        </w:rPr>
        <w:br/>
      </w:r>
      <w:r w:rsidRPr="00F95AA4">
        <w:rPr>
          <w:rFonts w:ascii="Arial" w:hAnsi="Arial"/>
          <w:sz w:val="20"/>
          <w:szCs w:val="20"/>
        </w:rPr>
        <w:t>Good day,</w:t>
      </w:r>
    </w:p>
    <w:p w:rsidR="00F95AA4" w:rsidRPr="00F95AA4" w:rsidRDefault="00F95AA4" w:rsidP="00F95AA4">
      <w:pPr>
        <w:ind w:left="360"/>
      </w:pPr>
      <w:r w:rsidRPr="00F95AA4">
        <w:t xml:space="preserve">As a reminder if you identify an assigned claim as MST related, you should discontinue processing, and forward the claim information to your Coach for routing to the appropriate party.  </w:t>
      </w:r>
    </w:p>
    <w:p w:rsidR="00F95AA4" w:rsidRPr="00F95AA4" w:rsidRDefault="00F95AA4" w:rsidP="00F95AA4">
      <w:pPr>
        <w:ind w:left="360"/>
      </w:pPr>
      <w:r w:rsidRPr="00F95AA4">
        <w:rPr>
          <w:b/>
          <w:bCs/>
        </w:rPr>
        <w:t>*You should not update the pending claim in any manner (avoid adding tracked item(s), updating Claim Status or Suspense Date, etc.),</w:t>
      </w:r>
      <w:r w:rsidRPr="00F95AA4">
        <w:t xml:space="preserve"> </w:t>
      </w:r>
      <w:r w:rsidRPr="00F95AA4">
        <w:rPr>
          <w:b/>
          <w:bCs/>
        </w:rPr>
        <w:t>nor should you process any non-MST related contentions,</w:t>
      </w:r>
      <w:r w:rsidRPr="00F95AA4">
        <w:t xml:space="preserve"> as this may result in the claim being recalled to NWQ, without appropriate action being taken.  It is of the utmost importance that these highly sensitive claims are processed according to prescribed law.  If you have any questions on this matter, please contact your immediate supervisor.</w:t>
      </w:r>
    </w:p>
    <w:p w:rsidR="00F95AA4" w:rsidRPr="00F95AA4" w:rsidRDefault="00F95AA4" w:rsidP="00F95AA4">
      <w:pPr>
        <w:ind w:left="360"/>
      </w:pPr>
      <w:r w:rsidRPr="00F95AA4">
        <w:t>As a reminder, the San Diego Women’s Veteran Coordinator is Alishea Flores, CORE PRE Team 3, and the Male Veteran point of contact is Albert Arguilla, CORE PRE Team 2.</w:t>
      </w:r>
    </w:p>
    <w:p w:rsidR="00F95AA4" w:rsidRPr="00F95AA4" w:rsidRDefault="00F95AA4" w:rsidP="00F95AA4">
      <w:pPr>
        <w:ind w:left="360"/>
        <w:rPr>
          <w:color w:val="1F497D"/>
        </w:rPr>
      </w:pPr>
      <w:r w:rsidRPr="00F95AA4">
        <w:rPr>
          <w:highlight w:val="red"/>
        </w:rPr>
        <w:t>*unclear if this is just for development, or for rating too.</w:t>
      </w:r>
    </w:p>
    <w:p w:rsidR="00F95AA4" w:rsidRDefault="00F95AA4" w:rsidP="005052C8">
      <w:pPr>
        <w:spacing w:after="120"/>
        <w:ind w:left="360"/>
        <w:rPr>
          <w:szCs w:val="24"/>
        </w:rPr>
      </w:pPr>
    </w:p>
    <w:p w:rsidR="00B44F84" w:rsidRPr="00B44F84" w:rsidRDefault="00D571C5" w:rsidP="00B44F84">
      <w:pPr>
        <w:pStyle w:val="NormalWeb"/>
        <w:widowControl w:val="0"/>
        <w:numPr>
          <w:ilvl w:val="0"/>
          <w:numId w:val="66"/>
        </w:numPr>
        <w:tabs>
          <w:tab w:val="clear" w:pos="720"/>
          <w:tab w:val="num" w:pos="360"/>
        </w:tabs>
        <w:ind w:left="360"/>
        <w:rPr>
          <w:sz w:val="20"/>
          <w:szCs w:val="20"/>
        </w:rPr>
      </w:pPr>
      <w:hyperlink r:id="rId652" w:history="1">
        <w:r w:rsidR="00B44F84" w:rsidRPr="00B44F84">
          <w:rPr>
            <w:rStyle w:val="Hyperlink"/>
            <w:b/>
            <w:bCs/>
            <w:i/>
            <w:sz w:val="20"/>
            <w:szCs w:val="20"/>
          </w:rPr>
          <w:t>February 2018 Quality Call Notes</w:t>
        </w:r>
      </w:hyperlink>
      <w:r w:rsidR="00B44F84" w:rsidRPr="00B44F84">
        <w:rPr>
          <w:b/>
          <w:sz w:val="20"/>
          <w:szCs w:val="20"/>
        </w:rPr>
        <w:t xml:space="preserve"> - </w:t>
      </w:r>
    </w:p>
    <w:p w:rsidR="00B44F84" w:rsidRPr="00B44F84" w:rsidRDefault="00B44F84" w:rsidP="00B44F84">
      <w:pPr>
        <w:spacing w:after="120"/>
        <w:ind w:left="360" w:right="-33"/>
        <w:rPr>
          <w:rFonts w:eastAsia="Calibri"/>
          <w:b/>
          <w:color w:val="000000" w:themeColor="text1"/>
        </w:rPr>
      </w:pPr>
      <w:r w:rsidRPr="00B44F84">
        <w:rPr>
          <w:rFonts w:eastAsia="Calibri"/>
          <w:b/>
          <w:color w:val="00B050"/>
        </w:rPr>
        <w:t>Q # 1:</w:t>
      </w:r>
      <w:r w:rsidRPr="00B44F84">
        <w:rPr>
          <w:rFonts w:eastAsia="Calibri"/>
          <w:b/>
          <w:color w:val="000000" w:themeColor="text1"/>
        </w:rPr>
        <w:t xml:space="preserve">  Please clarify whether a virtual MST team is still a requirement or is the expectation that any RVSR who has had PTSD-MST training can rate the claim?</w:t>
      </w:r>
    </w:p>
    <w:p w:rsidR="00B44F84" w:rsidRPr="00B44F84" w:rsidRDefault="00B44F84" w:rsidP="00B44F84">
      <w:pPr>
        <w:spacing w:after="120"/>
        <w:ind w:left="360" w:right="-33"/>
        <w:rPr>
          <w:rFonts w:eastAsia="Calibri"/>
          <w:color w:val="000000" w:themeColor="text1"/>
        </w:rPr>
      </w:pPr>
      <w:r w:rsidRPr="00B44F84">
        <w:rPr>
          <w:rFonts w:eastAsia="Calibri"/>
          <w:b/>
          <w:color w:val="00B050"/>
        </w:rPr>
        <w:t>A:</w:t>
      </w:r>
      <w:r w:rsidRPr="00B44F84">
        <w:rPr>
          <w:rFonts w:eastAsia="Calibri"/>
          <w:color w:val="000000" w:themeColor="text1"/>
        </w:rPr>
        <w:t xml:space="preserve">  ROs should establish VBMS assignment rules to ensure that MST claims are not routed to employees who have not yet completed the requisite MST training.  ROs should ensure MST claims are routed to employees that have completed the PTSD-MST training.</w:t>
      </w:r>
    </w:p>
    <w:p w:rsidR="00B44F84" w:rsidRPr="00B44F84" w:rsidRDefault="00B44F84" w:rsidP="00B44F84">
      <w:pPr>
        <w:spacing w:after="120"/>
        <w:ind w:left="360" w:right="-33"/>
        <w:rPr>
          <w:rFonts w:eastAsia="Calibri"/>
          <w:b/>
          <w:color w:val="000000" w:themeColor="text1"/>
        </w:rPr>
      </w:pPr>
      <w:r w:rsidRPr="00B44F84">
        <w:rPr>
          <w:rFonts w:eastAsia="Calibri"/>
          <w:b/>
          <w:color w:val="00B050"/>
        </w:rPr>
        <w:t>Q # 2:</w:t>
      </w:r>
      <w:r w:rsidRPr="00B44F84">
        <w:rPr>
          <w:rFonts w:eastAsia="Calibri"/>
          <w:b/>
          <w:color w:val="000000" w:themeColor="text1"/>
        </w:rPr>
        <w:t xml:space="preserve">  Please clarify if markers can be used as alternative evidence in personal trauma claims not related to MST, as suggested by IV.ii.1.D.4.m - </w:t>
      </w:r>
      <w:r w:rsidRPr="00B44F84">
        <w:rPr>
          <w:rFonts w:eastAsia="Calibri"/>
          <w:b/>
          <w:i/>
          <w:color w:val="000000" w:themeColor="text1"/>
        </w:rPr>
        <w:t>Problems Associated With Development in Claims Based on Personal Trauma</w:t>
      </w:r>
      <w:r w:rsidRPr="00B44F84">
        <w:rPr>
          <w:rFonts w:eastAsia="Calibri"/>
          <w:b/>
          <w:color w:val="000000" w:themeColor="text1"/>
        </w:rPr>
        <w:t>.</w:t>
      </w:r>
    </w:p>
    <w:p w:rsidR="00B44F84" w:rsidRPr="00B44F84" w:rsidRDefault="00B44F84" w:rsidP="00B44F84">
      <w:pPr>
        <w:spacing w:after="120"/>
        <w:ind w:left="360" w:right="-33"/>
        <w:rPr>
          <w:rFonts w:eastAsia="Calibri"/>
          <w:color w:val="000000" w:themeColor="text1"/>
        </w:rPr>
      </w:pPr>
      <w:r w:rsidRPr="00B44F84">
        <w:rPr>
          <w:rFonts w:eastAsia="Calibri"/>
          <w:b/>
          <w:color w:val="00B050"/>
        </w:rPr>
        <w:t>A:</w:t>
      </w:r>
      <w:r w:rsidRPr="00B44F84">
        <w:rPr>
          <w:rFonts w:eastAsia="Calibri"/>
          <w:color w:val="000000" w:themeColor="text1"/>
        </w:rPr>
        <w:t xml:space="preserve">  Yes that section of the manual is referring to personal trauma to include MST.</w:t>
      </w:r>
    </w:p>
    <w:p w:rsidR="00B44F84" w:rsidRPr="00B44F84" w:rsidRDefault="00B44F84" w:rsidP="00B44F84">
      <w:pPr>
        <w:spacing w:after="120"/>
        <w:ind w:left="360" w:right="-33"/>
        <w:rPr>
          <w:rFonts w:eastAsia="Calibri"/>
          <w:b/>
          <w:color w:val="000000" w:themeColor="text1"/>
        </w:rPr>
      </w:pPr>
      <w:r w:rsidRPr="00B44F84">
        <w:rPr>
          <w:rFonts w:eastAsia="Calibri"/>
          <w:b/>
          <w:color w:val="00B050"/>
        </w:rPr>
        <w:t>Q # 3:</w:t>
      </w:r>
      <w:r w:rsidRPr="00B44F84">
        <w:rPr>
          <w:rFonts w:eastAsia="Calibri"/>
          <w:b/>
          <w:color w:val="000000" w:themeColor="text1"/>
        </w:rPr>
        <w:t xml:space="preserve">  Please clarify what constitutes a </w:t>
      </w:r>
      <w:r w:rsidRPr="00B44F84">
        <w:rPr>
          <w:rFonts w:eastAsia="Calibri"/>
          <w:b/>
          <w:i/>
          <w:color w:val="000000" w:themeColor="text1"/>
        </w:rPr>
        <w:t>“military setting.”</w:t>
      </w:r>
      <w:r w:rsidRPr="00B44F84">
        <w:rPr>
          <w:rFonts w:eastAsia="Calibri"/>
          <w:b/>
          <w:color w:val="000000" w:themeColor="text1"/>
        </w:rPr>
        <w:t xml:space="preserve">  Does the fact that the Veteran is in the military suffice?  For example, if a military service member is walking down the street and is sexually assaulted by civilians, does this constitute as MST? (M21-1 IV.ii.1.D.4.a - </w:t>
      </w:r>
      <w:r w:rsidRPr="00B44F84">
        <w:rPr>
          <w:rFonts w:eastAsia="Calibri"/>
          <w:b/>
          <w:i/>
          <w:color w:val="000000" w:themeColor="text1"/>
        </w:rPr>
        <w:t>General Information on Personal Trauma</w:t>
      </w:r>
      <w:r w:rsidRPr="00B44F84">
        <w:rPr>
          <w:rFonts w:eastAsia="Calibri"/>
          <w:b/>
          <w:color w:val="000000" w:themeColor="text1"/>
        </w:rPr>
        <w:t>)</w:t>
      </w:r>
    </w:p>
    <w:p w:rsidR="00B44F84" w:rsidRPr="00B44F84" w:rsidRDefault="00B44F84" w:rsidP="00B44F84">
      <w:pPr>
        <w:spacing w:after="120"/>
        <w:ind w:left="360" w:right="-33"/>
        <w:rPr>
          <w:rFonts w:eastAsia="Calibri"/>
          <w:color w:val="000000" w:themeColor="text1"/>
        </w:rPr>
      </w:pPr>
      <w:r w:rsidRPr="00B44F84">
        <w:rPr>
          <w:rFonts w:eastAsia="Calibri"/>
          <w:b/>
          <w:color w:val="00B050"/>
        </w:rPr>
        <w:t>A:</w:t>
      </w:r>
      <w:r w:rsidRPr="00B44F84">
        <w:rPr>
          <w:rFonts w:eastAsia="Calibri"/>
          <w:color w:val="000000" w:themeColor="text1"/>
        </w:rPr>
        <w:t xml:space="preserve">  If the Veteran is on active duty, it does not matter if he/she is off duty when the assault occurs.  It would still constitute MST because the event occurred during active duty.</w:t>
      </w:r>
    </w:p>
    <w:p w:rsidR="00D275EA" w:rsidRPr="00214928" w:rsidRDefault="00D275EA" w:rsidP="00D275EA">
      <w:pPr>
        <w:tabs>
          <w:tab w:val="left" w:pos="720"/>
        </w:tabs>
        <w:rPr>
          <w:sz w:val="22"/>
          <w:szCs w:val="22"/>
        </w:rPr>
      </w:pPr>
    </w:p>
    <w:p w:rsidR="00D275EA" w:rsidRDefault="00D275EA" w:rsidP="00D275EA">
      <w:pPr>
        <w:widowControl w:val="0"/>
        <w:pBdr>
          <w:top w:val="single" w:sz="4" w:space="1" w:color="auto"/>
        </w:pBdr>
        <w:ind w:left="270" w:hanging="270"/>
        <w:rPr>
          <w:b/>
          <w:bCs/>
          <w:sz w:val="18"/>
          <w:u w:val="single"/>
        </w:rPr>
      </w:pPr>
    </w:p>
    <w:p w:rsidR="00D275EA" w:rsidRDefault="00D275EA" w:rsidP="00D275EA">
      <w:pPr>
        <w:widowControl w:val="0"/>
        <w:pBdr>
          <w:top w:val="single" w:sz="4" w:space="1" w:color="auto"/>
        </w:pBdr>
        <w:ind w:left="270" w:hanging="270"/>
        <w:rPr>
          <w:b/>
          <w:bCs/>
          <w:sz w:val="18"/>
          <w:u w:val="single"/>
        </w:rPr>
      </w:pPr>
      <w:r>
        <w:rPr>
          <w:b/>
          <w:bCs/>
          <w:sz w:val="18"/>
          <w:u w:val="single"/>
        </w:rPr>
        <w:t>Useful websites for PTSD claims:</w:t>
      </w:r>
    </w:p>
    <w:p w:rsidR="00D275EA" w:rsidRDefault="00D275EA" w:rsidP="00D275EA">
      <w:pPr>
        <w:widowControl w:val="0"/>
        <w:ind w:left="270" w:hanging="270"/>
        <w:rPr>
          <w:b/>
          <w:bCs/>
          <w:sz w:val="18"/>
          <w:u w:val="single"/>
        </w:rPr>
      </w:pPr>
    </w:p>
    <w:p w:rsidR="00D275EA" w:rsidRDefault="00D275EA" w:rsidP="00D275EA">
      <w:pPr>
        <w:widowControl w:val="0"/>
        <w:ind w:left="270" w:hanging="270"/>
        <w:rPr>
          <w:sz w:val="18"/>
          <w:u w:val="single"/>
        </w:rPr>
      </w:pPr>
      <w:r>
        <w:rPr>
          <w:b/>
          <w:bCs/>
          <w:sz w:val="18"/>
        </w:rPr>
        <w:t xml:space="preserve">Combat Action Ribbon Recipients:  </w:t>
      </w:r>
      <w:hyperlink r:id="rId653" w:tooltip="https://www.manpower.usmc.mil/pls/apex/f?p=102:1:3777234332515950" w:history="1">
        <w:r>
          <w:rPr>
            <w:rStyle w:val="Hyperlink"/>
            <w:sz w:val="18"/>
          </w:rPr>
          <w:t>https://www.manpower.usmc.mil/pls/apex/f?p=102:1:3777234332515950</w:t>
        </w:r>
      </w:hyperlink>
    </w:p>
    <w:p w:rsidR="00D275EA" w:rsidRDefault="00D275EA" w:rsidP="00D275EA">
      <w:pPr>
        <w:widowControl w:val="0"/>
        <w:ind w:left="270" w:hanging="270"/>
        <w:rPr>
          <w:sz w:val="18"/>
        </w:rPr>
      </w:pPr>
    </w:p>
    <w:p w:rsidR="00D275EA" w:rsidRDefault="00D275EA" w:rsidP="00D275EA">
      <w:pPr>
        <w:widowControl w:val="0"/>
        <w:overflowPunct/>
        <w:textAlignment w:val="auto"/>
        <w:rPr>
          <w:sz w:val="18"/>
        </w:rPr>
      </w:pPr>
      <w:r>
        <w:rPr>
          <w:sz w:val="18"/>
        </w:rPr>
        <w:t xml:space="preserve">Here is the direct site for casualties from Korea &amp; Vietnam from the </w:t>
      </w:r>
      <w:r>
        <w:rPr>
          <w:b/>
          <w:bCs/>
          <w:sz w:val="18"/>
        </w:rPr>
        <w:t>NARA website.</w:t>
      </w:r>
      <w:r>
        <w:rPr>
          <w:sz w:val="18"/>
        </w:rPr>
        <w:t xml:space="preserve">  You can search by state, home of record, alphabetically by name, etc.:</w:t>
      </w:r>
    </w:p>
    <w:p w:rsidR="00D275EA" w:rsidRDefault="00D571C5" w:rsidP="00D275EA">
      <w:pPr>
        <w:widowControl w:val="0"/>
        <w:overflowPunct/>
        <w:textAlignment w:val="auto"/>
        <w:rPr>
          <w:color w:val="0000FF"/>
          <w:sz w:val="18"/>
        </w:rPr>
      </w:pPr>
      <w:hyperlink r:id="rId654" w:history="1">
        <w:r w:rsidR="00D275EA">
          <w:rPr>
            <w:rStyle w:val="Hyperlink"/>
            <w:sz w:val="18"/>
          </w:rPr>
          <w:t>http://www.archives.gov/research_room/research_topics/korea_&amp;_vietnam_casualties.html</w:t>
        </w:r>
      </w:hyperlink>
    </w:p>
    <w:p w:rsidR="00D275EA" w:rsidRDefault="00D275EA" w:rsidP="00D275EA">
      <w:pPr>
        <w:widowControl w:val="0"/>
        <w:overflowPunct/>
        <w:textAlignment w:val="auto"/>
        <w:rPr>
          <w:color w:val="0000FF"/>
          <w:sz w:val="18"/>
        </w:rPr>
      </w:pPr>
    </w:p>
    <w:p w:rsidR="00D275EA" w:rsidRDefault="00D275EA" w:rsidP="00D275EA">
      <w:pPr>
        <w:widowControl w:val="0"/>
        <w:rPr>
          <w:sz w:val="18"/>
        </w:rPr>
      </w:pPr>
      <w:r>
        <w:rPr>
          <w:b/>
          <w:bCs/>
          <w:sz w:val="18"/>
        </w:rPr>
        <w:t>Air Force casualty</w:t>
      </w:r>
      <w:r>
        <w:rPr>
          <w:sz w:val="18"/>
        </w:rPr>
        <w:t xml:space="preserve"> information can be found at:</w:t>
      </w:r>
    </w:p>
    <w:p w:rsidR="00D275EA" w:rsidRDefault="00D275EA" w:rsidP="00D275EA">
      <w:pPr>
        <w:widowControl w:val="0"/>
        <w:rPr>
          <w:rStyle w:val="Hyperlink"/>
          <w:sz w:val="18"/>
        </w:rPr>
      </w:pPr>
      <w:r>
        <w:rPr>
          <w:sz w:val="18"/>
        </w:rPr>
        <w:fldChar w:fldCharType="begin"/>
      </w:r>
      <w:r>
        <w:rPr>
          <w:sz w:val="18"/>
        </w:rPr>
        <w:instrText xml:space="preserve"> HYPERLINK "http://www.afpc.randolph.af.mil/sascasstats/search_for_deceased.asp" </w:instrText>
      </w:r>
      <w:r>
        <w:rPr>
          <w:sz w:val="18"/>
        </w:rPr>
        <w:fldChar w:fldCharType="separate"/>
      </w:r>
      <w:r>
        <w:rPr>
          <w:rStyle w:val="Hyperlink"/>
          <w:sz w:val="18"/>
        </w:rPr>
        <w:t>http://www.afpc.r&amp;olph.af.mil/sascasstats/search_for_deceased.asp</w:t>
      </w:r>
    </w:p>
    <w:p w:rsidR="00D275EA" w:rsidRDefault="00D275EA" w:rsidP="00D275EA">
      <w:pPr>
        <w:widowControl w:val="0"/>
        <w:rPr>
          <w:sz w:val="18"/>
        </w:rPr>
      </w:pPr>
      <w:r>
        <w:rPr>
          <w:sz w:val="18"/>
        </w:rPr>
        <w:fldChar w:fldCharType="end"/>
      </w:r>
    </w:p>
    <w:p w:rsidR="00D275EA" w:rsidRDefault="00D275EA" w:rsidP="00D275EA">
      <w:pPr>
        <w:widowControl w:val="0"/>
        <w:rPr>
          <w:sz w:val="18"/>
        </w:rPr>
      </w:pPr>
      <w:r>
        <w:rPr>
          <w:sz w:val="18"/>
        </w:rPr>
        <w:t xml:space="preserve">The Army publishes this list with links to cover </w:t>
      </w:r>
      <w:r>
        <w:rPr>
          <w:b/>
          <w:bCs/>
          <w:sz w:val="18"/>
        </w:rPr>
        <w:t>every war period</w:t>
      </w:r>
      <w:r>
        <w:rPr>
          <w:sz w:val="18"/>
        </w:rPr>
        <w:t xml:space="preserve"> &amp; many of the incidents where </w:t>
      </w:r>
      <w:r>
        <w:rPr>
          <w:b/>
          <w:bCs/>
          <w:sz w:val="18"/>
        </w:rPr>
        <w:t>troops were deployed</w:t>
      </w:r>
      <w:r>
        <w:rPr>
          <w:sz w:val="18"/>
        </w:rPr>
        <w:t>:</w:t>
      </w:r>
    </w:p>
    <w:p w:rsidR="00D275EA" w:rsidRDefault="00D571C5" w:rsidP="00D275EA">
      <w:pPr>
        <w:widowControl w:val="0"/>
        <w:overflowPunct/>
        <w:textAlignment w:val="auto"/>
        <w:rPr>
          <w:sz w:val="18"/>
        </w:rPr>
      </w:pPr>
      <w:hyperlink r:id="rId655" w:history="1">
        <w:r w:rsidR="00D275EA">
          <w:rPr>
            <w:rStyle w:val="Hyperlink"/>
            <w:sz w:val="18"/>
          </w:rPr>
          <w:t>http://www.cs.amedd.army.mil/history/battles.html</w:t>
        </w:r>
      </w:hyperlink>
    </w:p>
    <w:p w:rsidR="00D275EA" w:rsidRDefault="00D275EA" w:rsidP="00D275EA">
      <w:pPr>
        <w:widowControl w:val="0"/>
        <w:overflowPunct/>
        <w:textAlignment w:val="auto"/>
        <w:rPr>
          <w:sz w:val="18"/>
        </w:rPr>
      </w:pPr>
    </w:p>
    <w:p w:rsidR="00D275EA" w:rsidRDefault="00D275EA" w:rsidP="00D275EA">
      <w:pPr>
        <w:widowControl w:val="0"/>
        <w:overflowPunct/>
        <w:textAlignment w:val="auto"/>
        <w:rPr>
          <w:sz w:val="18"/>
        </w:rPr>
      </w:pPr>
      <w:r>
        <w:rPr>
          <w:sz w:val="18"/>
        </w:rPr>
        <w:t xml:space="preserve">Verifying stressors aboard ship for Navy or even USMC is a challenge &amp; the </w:t>
      </w:r>
      <w:r>
        <w:rPr>
          <w:b/>
          <w:bCs/>
          <w:sz w:val="18"/>
        </w:rPr>
        <w:t>Naval Historical Center website</w:t>
      </w:r>
      <w:r>
        <w:rPr>
          <w:sz w:val="18"/>
        </w:rPr>
        <w:t xml:space="preserve"> can provide Ship’s Deck Logs to verify particular events.  Providing a narrow time frame is good because some Logs can be lengthy--like if you wanted an entire months worth.  This site is good to just print out &amp; keep as a </w:t>
      </w:r>
      <w:r>
        <w:rPr>
          <w:color w:val="000000"/>
          <w:sz w:val="18"/>
        </w:rPr>
        <w:t>reference.  A written request is required &amp; can take as long as a CURR request</w:t>
      </w:r>
      <w:r>
        <w:rPr>
          <w:i/>
          <w:iCs/>
          <w:color w:val="000000"/>
          <w:sz w:val="18"/>
        </w:rPr>
        <w:t xml:space="preserve"> (please see Agent Orange for who has deck logs):</w:t>
      </w:r>
    </w:p>
    <w:p w:rsidR="00D275EA" w:rsidRDefault="00D571C5" w:rsidP="00D275EA">
      <w:pPr>
        <w:widowControl w:val="0"/>
        <w:overflowPunct/>
        <w:textAlignment w:val="auto"/>
        <w:rPr>
          <w:sz w:val="18"/>
        </w:rPr>
      </w:pPr>
      <w:hyperlink r:id="rId656" w:history="1">
        <w:r w:rsidR="00D275EA">
          <w:rPr>
            <w:rStyle w:val="Hyperlink"/>
            <w:sz w:val="18"/>
          </w:rPr>
          <w:t>http://www.history.navy.mil/faqs/faq73-1.htm</w:t>
        </w:r>
      </w:hyperlink>
    </w:p>
    <w:p w:rsidR="00D275EA" w:rsidRPr="00B564E7" w:rsidRDefault="00D275EA" w:rsidP="00D275EA">
      <w:pPr>
        <w:widowControl w:val="0"/>
        <w:overflowPunct/>
        <w:textAlignment w:val="auto"/>
        <w:rPr>
          <w:b/>
        </w:rPr>
      </w:pPr>
      <w:r w:rsidRPr="00B564E7">
        <w:rPr>
          <w:b/>
        </w:rPr>
        <w:t>IV.ii.1.H.2.j</w:t>
      </w:r>
    </w:p>
    <w:p w:rsidR="00D275EA" w:rsidRDefault="00D275EA" w:rsidP="00D275EA">
      <w:pPr>
        <w:widowControl w:val="0"/>
        <w:overflowPunct/>
        <w:textAlignment w:val="auto"/>
        <w:rPr>
          <w:sz w:val="18"/>
        </w:rPr>
      </w:pPr>
    </w:p>
    <w:p w:rsidR="00D275EA" w:rsidRDefault="00D275EA" w:rsidP="00D275EA">
      <w:pPr>
        <w:widowControl w:val="0"/>
        <w:overflowPunct/>
        <w:textAlignment w:val="auto"/>
        <w:rPr>
          <w:sz w:val="18"/>
        </w:rPr>
      </w:pPr>
      <w:r>
        <w:rPr>
          <w:sz w:val="18"/>
        </w:rPr>
        <w:t xml:space="preserve">There is another site </w:t>
      </w:r>
      <w:r>
        <w:rPr>
          <w:i/>
          <w:iCs/>
          <w:sz w:val="18"/>
        </w:rPr>
        <w:t>that is not a government site</w:t>
      </w:r>
      <w:r>
        <w:rPr>
          <w:sz w:val="18"/>
        </w:rPr>
        <w:t>.  It provides a quick way to find Vietnam casualties with, sometimes detailed information, involving the veteran’s death:</w:t>
      </w:r>
    </w:p>
    <w:p w:rsidR="00D275EA" w:rsidRDefault="00D571C5" w:rsidP="00D275EA">
      <w:pPr>
        <w:widowControl w:val="0"/>
        <w:tabs>
          <w:tab w:val="left" w:pos="0"/>
          <w:tab w:val="left" w:pos="144"/>
        </w:tabs>
        <w:outlineLvl w:val="0"/>
        <w:rPr>
          <w:rStyle w:val="Hyperlink"/>
          <w:sz w:val="18"/>
        </w:rPr>
      </w:pPr>
      <w:hyperlink r:id="rId657" w:history="1">
        <w:r w:rsidR="00D275EA">
          <w:rPr>
            <w:rStyle w:val="Hyperlink"/>
            <w:sz w:val="18"/>
          </w:rPr>
          <w:t>http://www.thewall-usa.com/</w:t>
        </w:r>
      </w:hyperlink>
    </w:p>
    <w:p w:rsidR="00D275EA" w:rsidRDefault="00D275EA" w:rsidP="00D275EA">
      <w:pPr>
        <w:widowControl w:val="0"/>
        <w:tabs>
          <w:tab w:val="left" w:pos="0"/>
          <w:tab w:val="left" w:pos="144"/>
        </w:tabs>
        <w:outlineLvl w:val="0"/>
        <w:rPr>
          <w:rStyle w:val="Hyperlink"/>
          <w:sz w:val="18"/>
        </w:rPr>
      </w:pPr>
    </w:p>
    <w:p w:rsidR="00D275EA" w:rsidRDefault="00D275EA" w:rsidP="00D275EA">
      <w:pPr>
        <w:widowControl w:val="0"/>
        <w:tabs>
          <w:tab w:val="left" w:pos="0"/>
          <w:tab w:val="left" w:pos="144"/>
        </w:tabs>
        <w:outlineLvl w:val="0"/>
        <w:rPr>
          <w:sz w:val="18"/>
        </w:rPr>
      </w:pPr>
    </w:p>
    <w:p w:rsidR="00D275EA" w:rsidRDefault="00D275EA" w:rsidP="00D275EA">
      <w:pPr>
        <w:widowControl w:val="0"/>
        <w:pBdr>
          <w:top w:val="single" w:sz="4" w:space="1" w:color="auto"/>
        </w:pBdr>
        <w:tabs>
          <w:tab w:val="left" w:pos="0"/>
          <w:tab w:val="left" w:pos="144"/>
        </w:tabs>
        <w:outlineLvl w:val="0"/>
        <w:rPr>
          <w:sz w:val="18"/>
        </w:rPr>
      </w:pPr>
    </w:p>
    <w:p w:rsidR="00D275EA" w:rsidRDefault="00D275EA" w:rsidP="00D275EA">
      <w:pPr>
        <w:widowControl w:val="0"/>
        <w:spacing w:after="120"/>
        <w:rPr>
          <w:rFonts w:ascii="Verdana" w:hAnsi="Verdana"/>
          <w:b/>
          <w:szCs w:val="22"/>
        </w:rPr>
      </w:pPr>
      <w:r>
        <w:rPr>
          <w:rFonts w:ascii="Verdana" w:hAnsi="Verdana"/>
          <w:b/>
          <w:szCs w:val="22"/>
          <w:highlight w:val="green"/>
        </w:rPr>
        <w:t>VBMS-R System-Generated Text</w:t>
      </w:r>
    </w:p>
    <w:p w:rsidR="00D275EA" w:rsidRPr="00787CB5" w:rsidRDefault="00D275EA" w:rsidP="00D275EA">
      <w:pPr>
        <w:spacing w:after="120"/>
        <w:rPr>
          <w:i/>
          <w:sz w:val="22"/>
          <w:szCs w:val="22"/>
        </w:rPr>
      </w:pPr>
      <w:r>
        <w:rPr>
          <w:sz w:val="22"/>
          <w:szCs w:val="22"/>
        </w:rPr>
        <w:t xml:space="preserve">All 3 choices below have these 2 paragraphs, plus </w:t>
      </w:r>
      <w:r>
        <w:rPr>
          <w:i/>
          <w:color w:val="FF0000"/>
          <w:sz w:val="22"/>
          <w:szCs w:val="22"/>
        </w:rPr>
        <w:t>No Diagnosis (PTSD)</w:t>
      </w:r>
      <w:r>
        <w:rPr>
          <w:i/>
          <w:sz w:val="22"/>
          <w:szCs w:val="22"/>
        </w:rPr>
        <w:t xml:space="preserve"> </w:t>
      </w:r>
      <w:r>
        <w:rPr>
          <w:sz w:val="22"/>
          <w:szCs w:val="22"/>
        </w:rPr>
        <w:t xml:space="preserve">and </w:t>
      </w:r>
      <w:r>
        <w:rPr>
          <w:i/>
          <w:color w:val="FF0000"/>
          <w:sz w:val="22"/>
          <w:szCs w:val="22"/>
        </w:rPr>
        <w:t>No Link (PTSD)</w:t>
      </w:r>
      <w:r>
        <w:rPr>
          <w:i/>
          <w:sz w:val="22"/>
          <w:szCs w:val="22"/>
        </w:rPr>
        <w:t xml:space="preserve"> </w:t>
      </w:r>
      <w:r>
        <w:rPr>
          <w:sz w:val="22"/>
          <w:szCs w:val="22"/>
        </w:rPr>
        <w:t>have additional reasons</w:t>
      </w:r>
    </w:p>
    <w:p w:rsidR="00D275EA" w:rsidRPr="00787CB5" w:rsidRDefault="00D275EA" w:rsidP="00D275EA">
      <w:pPr>
        <w:widowControl w:val="0"/>
        <w:spacing w:after="120"/>
        <w:ind w:left="810"/>
        <w:rPr>
          <w:rFonts w:ascii="Helvetica" w:hAnsi="Helvetica" w:cs="Helvetica"/>
          <w:color w:val="808080"/>
          <w:sz w:val="22"/>
          <w:szCs w:val="22"/>
        </w:rPr>
      </w:pPr>
      <w:r w:rsidRPr="00787CB5">
        <w:rPr>
          <w:rFonts w:ascii="Helvetica" w:hAnsi="Helvetica" w:cs="Helvetica"/>
          <w:color w:val="808080"/>
          <w:sz w:val="22"/>
          <w:szCs w:val="22"/>
        </w:rPr>
        <w:t>Service connection for posttraumatic stress disorder requires medical evidence diagnosing the condition in accordance with 38 CFR 4.125(a); a link, established by medical evidence, between current symptoms and an in-service stressor; and credible supporting evidence that the claimed in-service stressor occurred.</w:t>
      </w:r>
    </w:p>
    <w:p w:rsidR="00D275EA" w:rsidRDefault="00D275EA" w:rsidP="00D275EA">
      <w:pPr>
        <w:widowControl w:val="0"/>
        <w:spacing w:after="120"/>
        <w:ind w:left="810"/>
        <w:rPr>
          <w:rFonts w:ascii="Helvetica" w:hAnsi="Helvetica" w:cs="Helvetica"/>
          <w:color w:val="808080"/>
          <w:sz w:val="22"/>
          <w:szCs w:val="22"/>
        </w:rPr>
      </w:pPr>
      <w:r w:rsidRPr="00787CB5">
        <w:rPr>
          <w:rFonts w:ascii="Helvetica" w:hAnsi="Helvetica" w:cs="Helvetica"/>
          <w:color w:val="808080"/>
          <w:sz w:val="22"/>
          <w:szCs w:val="22"/>
        </w:rPr>
        <w:t>If the veteran engaged in combat with the enemy and the claimed stressor is related to that combat, the Veteran's lay statement alone may establish the occurrence of the stressor. The available evidence is not sufficient to confirm that the Veteran actually engaged in combat with the enemy. Receipt of an award or medal related to combat or other documentation of combat has not been established. When determining whether to grant service connection for PTSD, VA considers all potential in-service stressors reported by the Veteran or raised by the evidence. The stressors can include combat, non-combat, fear of hostile military or terrorist activity, or personal assault. VA was unable to corroborate combat or any other in-service stressor.</w:t>
      </w:r>
    </w:p>
    <w:p w:rsidR="00D275EA" w:rsidRPr="00787CB5" w:rsidRDefault="00D275EA" w:rsidP="00D275EA">
      <w:pPr>
        <w:spacing w:after="120"/>
        <w:rPr>
          <w:sz w:val="22"/>
          <w:szCs w:val="22"/>
        </w:rPr>
      </w:pPr>
      <w:r w:rsidRPr="0010111B">
        <w:rPr>
          <w:i/>
          <w:color w:val="FF0000"/>
          <w:sz w:val="22"/>
          <w:szCs w:val="22"/>
        </w:rPr>
        <w:t>No</w:t>
      </w:r>
      <w:r>
        <w:rPr>
          <w:i/>
          <w:color w:val="FF0000"/>
          <w:sz w:val="22"/>
          <w:szCs w:val="22"/>
        </w:rPr>
        <w:t xml:space="preserve"> Combat Stressor (PTSD)</w:t>
      </w:r>
      <w:r>
        <w:rPr>
          <w:sz w:val="22"/>
          <w:szCs w:val="22"/>
        </w:rPr>
        <w:t xml:space="preserve"> - nothing additional</w:t>
      </w:r>
    </w:p>
    <w:p w:rsidR="00D275EA" w:rsidRPr="0010111B" w:rsidRDefault="00D275EA" w:rsidP="00D275EA">
      <w:pPr>
        <w:spacing w:after="120"/>
        <w:rPr>
          <w:i/>
          <w:sz w:val="22"/>
          <w:szCs w:val="22"/>
        </w:rPr>
      </w:pPr>
      <w:r>
        <w:rPr>
          <w:i/>
          <w:color w:val="FF0000"/>
          <w:sz w:val="22"/>
          <w:szCs w:val="22"/>
        </w:rPr>
        <w:t>No Diagnosis (PTSD)</w:t>
      </w:r>
    </w:p>
    <w:p w:rsidR="00D275EA" w:rsidRDefault="00D275EA" w:rsidP="00D275EA">
      <w:pPr>
        <w:widowControl w:val="0"/>
        <w:spacing w:after="120"/>
        <w:ind w:left="810"/>
        <w:rPr>
          <w:rFonts w:ascii="Helvetica" w:hAnsi="Helvetica" w:cs="Helvetica"/>
          <w:color w:val="808080"/>
          <w:sz w:val="22"/>
          <w:szCs w:val="22"/>
        </w:rPr>
      </w:pPr>
      <w:r w:rsidRPr="00787CB5">
        <w:rPr>
          <w:rFonts w:ascii="Helvetica" w:hAnsi="Helvetica" w:cs="Helvetica"/>
          <w:color w:val="808080"/>
          <w:sz w:val="22"/>
          <w:szCs w:val="22"/>
        </w:rPr>
        <w:t>A diagnosis of posttraumatic stress disorder must meet all diagnostic criteria as stated in the Diagnostic and Statistical Manual of Mental Disorders published by the American Psychiatric Association. The evidence does not show a confirmed diagnosis of posttraumatic stress disorder which would permit a finding of service connection.</w:t>
      </w:r>
    </w:p>
    <w:p w:rsidR="00D275EA" w:rsidRPr="0010111B" w:rsidRDefault="00D275EA" w:rsidP="00D275EA">
      <w:pPr>
        <w:spacing w:after="120"/>
        <w:rPr>
          <w:i/>
          <w:sz w:val="22"/>
          <w:szCs w:val="22"/>
        </w:rPr>
      </w:pPr>
      <w:r>
        <w:rPr>
          <w:i/>
          <w:color w:val="FF0000"/>
          <w:sz w:val="22"/>
          <w:szCs w:val="22"/>
        </w:rPr>
        <w:t>No Link (PTSD)</w:t>
      </w:r>
    </w:p>
    <w:p w:rsidR="00D275EA" w:rsidRDefault="00D275EA" w:rsidP="00A11863">
      <w:pPr>
        <w:widowControl w:val="0"/>
        <w:spacing w:after="120"/>
        <w:ind w:left="810"/>
        <w:rPr>
          <w:rFonts w:ascii="Helvetica" w:hAnsi="Helvetica" w:cs="Helvetica"/>
          <w:color w:val="808080"/>
          <w:sz w:val="22"/>
          <w:szCs w:val="22"/>
        </w:rPr>
      </w:pPr>
      <w:r w:rsidRPr="00787CB5">
        <w:rPr>
          <w:rFonts w:ascii="Helvetica" w:hAnsi="Helvetica" w:cs="Helvetica"/>
          <w:color w:val="808080"/>
          <w:sz w:val="22"/>
          <w:szCs w:val="22"/>
        </w:rPr>
        <w:t>The available medical evidence is insufficient to confirm a link between current symptoms and an in-service stressor.</w:t>
      </w:r>
    </w:p>
    <w:p w:rsidR="00D275EA" w:rsidRDefault="00D275EA" w:rsidP="00D275EA">
      <w:pPr>
        <w:widowControl w:val="0"/>
        <w:spacing w:after="120"/>
        <w:rPr>
          <w:rFonts w:ascii="Verdana" w:hAnsi="Verdana"/>
          <w:b/>
          <w:bCs/>
        </w:rPr>
      </w:pPr>
      <w:r w:rsidRPr="001D615F">
        <w:rPr>
          <w:bCs/>
        </w:rPr>
        <w:t>also see</w:t>
      </w:r>
      <w:r>
        <w:rPr>
          <w:bCs/>
        </w:rPr>
        <w:t xml:space="preserve"> </w:t>
      </w:r>
      <w:r>
        <w:rPr>
          <w:rFonts w:ascii="Verdana" w:hAnsi="Verdana"/>
          <w:b/>
          <w:bCs/>
          <w:highlight w:val="green"/>
        </w:rPr>
        <w:t>MD3</w:t>
      </w:r>
    </w:p>
    <w:p w:rsidR="00D275EA" w:rsidRPr="00A66915" w:rsidRDefault="00D275EA" w:rsidP="00D275EA">
      <w:pPr>
        <w:widowControl w:val="0"/>
        <w:pBdr>
          <w:top w:val="single" w:sz="4" w:space="1" w:color="auto"/>
          <w:left w:val="single" w:sz="4" w:space="4" w:color="auto"/>
          <w:bottom w:val="single" w:sz="4" w:space="1" w:color="auto"/>
          <w:right w:val="single" w:sz="4" w:space="4" w:color="auto"/>
        </w:pBdr>
        <w:rPr>
          <w:b/>
          <w:bCs/>
        </w:rPr>
      </w:pPr>
      <w:r w:rsidRPr="00A66915">
        <w:rPr>
          <w:b/>
          <w:bCs/>
        </w:rPr>
        <w:t>fear of hostile military or terrorist activity, July 13, 2010</w:t>
      </w:r>
    </w:p>
    <w:p w:rsidR="00D275EA" w:rsidRPr="00A66915" w:rsidRDefault="00D275EA" w:rsidP="00D275EA">
      <w:pPr>
        <w:widowControl w:val="0"/>
        <w:pBdr>
          <w:top w:val="single" w:sz="4" w:space="1" w:color="auto"/>
          <w:left w:val="single" w:sz="4" w:space="4" w:color="auto"/>
          <w:bottom w:val="single" w:sz="4" w:space="1" w:color="auto"/>
          <w:right w:val="single" w:sz="4" w:space="4" w:color="auto"/>
        </w:pBdr>
        <w:rPr>
          <w:i/>
          <w:iCs/>
        </w:rPr>
      </w:pPr>
    </w:p>
    <w:p w:rsidR="00D275EA" w:rsidRPr="00A66915" w:rsidRDefault="00D275EA" w:rsidP="00D275EA">
      <w:pPr>
        <w:widowControl w:val="0"/>
        <w:pBdr>
          <w:top w:val="single" w:sz="4" w:space="1" w:color="auto"/>
          <w:left w:val="single" w:sz="4" w:space="4" w:color="auto"/>
          <w:bottom w:val="single" w:sz="4" w:space="1" w:color="auto"/>
          <w:right w:val="single" w:sz="4" w:space="4" w:color="auto"/>
        </w:pBdr>
        <w:rPr>
          <w:i/>
          <w:iCs/>
        </w:rPr>
      </w:pPr>
      <w:r w:rsidRPr="00A66915">
        <w:rPr>
          <w:i/>
          <w:iCs/>
        </w:rPr>
        <w:t xml:space="preserve">denyptsdfear </w:t>
      </w:r>
      <w:r w:rsidRPr="00A66915">
        <w:rPr>
          <w:bCs/>
          <w:i/>
        </w:rPr>
        <w:t xml:space="preserve">(need Long Form Narrative, per </w:t>
      </w:r>
      <w:r w:rsidRPr="00A66915">
        <w:rPr>
          <w:b/>
          <w:bCs/>
        </w:rPr>
        <w:t>III.iv.6.C.7.a</w:t>
      </w:r>
      <w:r w:rsidRPr="00A66915">
        <w:rPr>
          <w:bCs/>
          <w:i/>
        </w:rPr>
        <w:t>)</w:t>
      </w:r>
      <w:r w:rsidRPr="00A66915">
        <w:rPr>
          <w:i/>
          <w:iCs/>
        </w:rPr>
        <w:t>:</w:t>
      </w:r>
    </w:p>
    <w:p w:rsidR="00D275EA" w:rsidRPr="00A66915" w:rsidRDefault="00D275EA" w:rsidP="00D275EA">
      <w:pPr>
        <w:pStyle w:val="NormalWeb"/>
        <w:widowControl w:val="0"/>
        <w:pBdr>
          <w:top w:val="single" w:sz="4" w:space="1" w:color="auto"/>
          <w:left w:val="single" w:sz="4" w:space="4" w:color="auto"/>
          <w:bottom w:val="single" w:sz="4" w:space="1" w:color="auto"/>
          <w:right w:val="single" w:sz="4" w:space="4" w:color="auto"/>
        </w:pBdr>
        <w:spacing w:after="0"/>
        <w:rPr>
          <w:sz w:val="20"/>
          <w:szCs w:val="20"/>
        </w:rPr>
      </w:pPr>
      <w:r w:rsidRPr="00A66915">
        <w:rPr>
          <w:sz w:val="20"/>
          <w:szCs w:val="20"/>
        </w:rPr>
        <w:br/>
      </w:r>
      <w:r w:rsidRPr="00A66915">
        <w:rPr>
          <w:i/>
          <w:iCs/>
          <w:sz w:val="20"/>
          <w:szCs w:val="20"/>
        </w:rPr>
        <w:t>lay testimony stressor conceded &amp; had VAE, but no dx (choose</w:t>
      </w:r>
      <w:r>
        <w:rPr>
          <w:i/>
          <w:iCs/>
          <w:sz w:val="20"/>
          <w:szCs w:val="20"/>
        </w:rPr>
        <w:t xml:space="preserve"> </w:t>
      </w:r>
      <w:r w:rsidRPr="0010111B">
        <w:rPr>
          <w:i/>
          <w:color w:val="FF0000"/>
          <w:sz w:val="22"/>
          <w:szCs w:val="22"/>
        </w:rPr>
        <w:t>No Diagnosis</w:t>
      </w:r>
      <w:r w:rsidRPr="002F7DD0">
        <w:rPr>
          <w:i/>
          <w:sz w:val="22"/>
          <w:szCs w:val="22"/>
        </w:rPr>
        <w:t xml:space="preserve"> and </w:t>
      </w:r>
      <w:r>
        <w:rPr>
          <w:i/>
          <w:color w:val="FF0000"/>
          <w:sz w:val="22"/>
          <w:szCs w:val="22"/>
        </w:rPr>
        <w:t>No Diagnosis (PTSD)</w:t>
      </w:r>
      <w:r w:rsidRPr="00A66915">
        <w:rPr>
          <w:i/>
          <w:iCs/>
          <w:sz w:val="20"/>
          <w:szCs w:val="20"/>
        </w:rPr>
        <w:t>)-</w:t>
      </w:r>
      <w:r w:rsidRPr="00A66915">
        <w:rPr>
          <w:sz w:val="20"/>
          <w:szCs w:val="20"/>
        </w:rPr>
        <w:t xml:space="preserve"> </w:t>
      </w:r>
      <w:r w:rsidRPr="00A66915">
        <w:rPr>
          <w:sz w:val="20"/>
          <w:szCs w:val="20"/>
        </w:rPr>
        <w:br/>
      </w:r>
      <w:r w:rsidRPr="00A66915">
        <w:rPr>
          <w:rFonts w:ascii="Verdana" w:hAnsi="Verdana"/>
          <w:b/>
          <w:bCs/>
          <w:sz w:val="20"/>
          <w:szCs w:val="20"/>
          <w:highlight w:val="green"/>
        </w:rPr>
        <w:t>STRs</w:t>
      </w:r>
      <w:r w:rsidRPr="00A66915">
        <w:rPr>
          <w:bCs/>
          <w:iCs/>
          <w:sz w:val="20"/>
          <w:szCs w:val="20"/>
        </w:rPr>
        <w:t xml:space="preserve"> </w:t>
      </w:r>
      <w:r w:rsidRPr="00A66915">
        <w:rPr>
          <w:rFonts w:ascii="Verdana" w:hAnsi="Verdana"/>
          <w:b/>
          <w:bCs/>
          <w:sz w:val="20"/>
          <w:szCs w:val="20"/>
          <w:highlight w:val="green"/>
        </w:rPr>
        <w:t>PTSD_C</w:t>
      </w:r>
      <w:r>
        <w:rPr>
          <w:rFonts w:ascii="Verdana" w:hAnsi="Verdana"/>
          <w:b/>
          <w:bCs/>
        </w:rPr>
        <w:t xml:space="preserve"> </w:t>
      </w:r>
      <w:r w:rsidRPr="00A66915">
        <w:rPr>
          <w:sz w:val="20"/>
          <w:szCs w:val="20"/>
        </w:rPr>
        <w:t>You have reported {}/multiple stressors in {}/fear while serving in {}. Your lay testimony is adequate to establish occurrence of the claimed stressor. The claimed stressor is consistent with the places, types and circumstances of service in which fear of hostile military or terrorist activities is ongoing. The SPRs show {service in an area of hostile military or terrorist activity/you were in Bagdad, Iraq on this date.} OR Your DD214 verifies service in an area of hostile military or terrorist activity, as evidenced by your Iraq Campaign Medal/Afghanistan Campaign Medal/Vietnam Service Medal. </w:t>
      </w:r>
      <w:r w:rsidRPr="00A66915">
        <w:rPr>
          <w:rFonts w:ascii="Verdana" w:hAnsi="Verdana"/>
          <w:b/>
          <w:bCs/>
          <w:sz w:val="20"/>
          <w:szCs w:val="20"/>
          <w:highlight w:val="green"/>
        </w:rPr>
        <w:t>NODX</w:t>
      </w:r>
      <w:r w:rsidRPr="00A66915">
        <w:rPr>
          <w:bCs/>
          <w:iCs/>
          <w:sz w:val="20"/>
          <w:szCs w:val="20"/>
        </w:rPr>
        <w:t xml:space="preserve"> </w:t>
      </w:r>
      <w:r w:rsidRPr="00A66915">
        <w:rPr>
          <w:sz w:val="20"/>
          <w:szCs w:val="20"/>
        </w:rPr>
        <w:t xml:space="preserve">The VA examiner has not provided a current Axis I psychiatric diagnosis of </w:t>
      </w:r>
      <w:r>
        <w:rPr>
          <w:sz w:val="20"/>
          <w:szCs w:val="20"/>
        </w:rPr>
        <w:t>PTSD</w:t>
      </w:r>
      <w:r w:rsidRPr="00A66915">
        <w:rPr>
          <w:sz w:val="20"/>
          <w:szCs w:val="20"/>
        </w:rPr>
        <w:t xml:space="preserve"> that is directly related to {fear of hostile military or terrorist activity/this incident}. The VA examiner indicated that you do not have a diagnosis of PTSD that conforms to DSM-5 criteria, as your symptoms do not meet the diagnostic criteria for PTSD under DSM-5 criteria.</w:t>
      </w:r>
    </w:p>
    <w:p w:rsidR="00D275EA" w:rsidRPr="00A66915" w:rsidRDefault="00D275EA" w:rsidP="00D275EA">
      <w:pPr>
        <w:pStyle w:val="NormalWeb"/>
        <w:widowControl w:val="0"/>
        <w:pBdr>
          <w:top w:val="single" w:sz="4" w:space="1" w:color="auto"/>
          <w:left w:val="single" w:sz="4" w:space="4" w:color="auto"/>
          <w:bottom w:val="single" w:sz="4" w:space="1" w:color="auto"/>
          <w:right w:val="single" w:sz="4" w:space="4" w:color="auto"/>
        </w:pBdr>
        <w:spacing w:after="0"/>
        <w:rPr>
          <w:sz w:val="20"/>
          <w:szCs w:val="20"/>
        </w:rPr>
      </w:pPr>
      <w:r w:rsidRPr="00A66915">
        <w:rPr>
          <w:sz w:val="20"/>
          <w:szCs w:val="20"/>
        </w:rPr>
        <w:br/>
      </w:r>
      <w:r w:rsidRPr="00A66915">
        <w:rPr>
          <w:i/>
          <w:iCs/>
          <w:sz w:val="20"/>
          <w:szCs w:val="20"/>
        </w:rPr>
        <w:t>not consistent with service, no dx &amp; no link-</w:t>
      </w:r>
      <w:r w:rsidRPr="00A66915">
        <w:rPr>
          <w:sz w:val="20"/>
          <w:szCs w:val="20"/>
        </w:rPr>
        <w:t xml:space="preserve"> </w:t>
      </w:r>
      <w:r w:rsidRPr="00A66915">
        <w:rPr>
          <w:sz w:val="20"/>
          <w:szCs w:val="20"/>
        </w:rPr>
        <w:br/>
      </w:r>
      <w:r w:rsidRPr="00A66915">
        <w:rPr>
          <w:rFonts w:ascii="Verdana" w:hAnsi="Verdana"/>
          <w:b/>
          <w:bCs/>
          <w:sz w:val="20"/>
          <w:szCs w:val="20"/>
          <w:highlight w:val="green"/>
        </w:rPr>
        <w:t>NIS</w:t>
      </w:r>
      <w:r w:rsidRPr="00A66915">
        <w:rPr>
          <w:bCs/>
          <w:iCs/>
          <w:sz w:val="20"/>
          <w:szCs w:val="20"/>
        </w:rPr>
        <w:t xml:space="preserve"> </w:t>
      </w:r>
      <w:r w:rsidRPr="00A66915">
        <w:rPr>
          <w:rFonts w:ascii="Verdana" w:hAnsi="Verdana"/>
          <w:b/>
          <w:bCs/>
          <w:sz w:val="20"/>
          <w:szCs w:val="20"/>
          <w:highlight w:val="green"/>
        </w:rPr>
        <w:t>STRs</w:t>
      </w:r>
      <w:r w:rsidRPr="00A66915">
        <w:rPr>
          <w:bCs/>
          <w:iCs/>
          <w:sz w:val="20"/>
          <w:szCs w:val="20"/>
        </w:rPr>
        <w:t xml:space="preserve"> </w:t>
      </w:r>
      <w:r w:rsidRPr="00A66915">
        <w:rPr>
          <w:rFonts w:ascii="Verdana" w:hAnsi="Verdana"/>
          <w:b/>
          <w:bCs/>
          <w:sz w:val="20"/>
          <w:szCs w:val="20"/>
          <w:highlight w:val="green"/>
        </w:rPr>
        <w:t>PTSD_NC</w:t>
      </w:r>
      <w:r w:rsidRPr="00A66915">
        <w:rPr>
          <w:bCs/>
          <w:iCs/>
          <w:sz w:val="20"/>
          <w:szCs w:val="20"/>
        </w:rPr>
        <w:t xml:space="preserve"> </w:t>
      </w:r>
      <w:r w:rsidRPr="00A66915">
        <w:rPr>
          <w:sz w:val="20"/>
          <w:szCs w:val="20"/>
        </w:rPr>
        <w:t xml:space="preserve">You have reported {}. The STRs, SPRs and DD214 do not show any in-service stressor. We do not have evidence {that you are a combat veteran or} that you served in an area in which fear of hostile military or terrorist activities is ongoing. </w:t>
      </w:r>
      <w:r w:rsidR="00726B3E">
        <w:rPr>
          <w:sz w:val="20"/>
          <w:szCs w:val="20"/>
        </w:rPr>
        <w:t>{</w:t>
      </w:r>
      <w:r w:rsidRPr="00A66915">
        <w:rPr>
          <w:sz w:val="20"/>
          <w:szCs w:val="20"/>
        </w:rPr>
        <w:t>You did not return the PTSD questionnaire with the details we requested</w:t>
      </w:r>
      <w:r w:rsidR="00726B3E">
        <w:rPr>
          <w:sz w:val="20"/>
          <w:szCs w:val="20"/>
        </w:rPr>
        <w:t>. OR</w:t>
      </w:r>
      <w:r w:rsidRPr="00A66915">
        <w:rPr>
          <w:sz w:val="20"/>
          <w:szCs w:val="20"/>
        </w:rPr>
        <w:t> Your lay testimony is not consistent with the places, types and circumstances of your service.</w:t>
      </w:r>
      <w:r w:rsidR="00726B3E">
        <w:rPr>
          <w:sz w:val="20"/>
          <w:szCs w:val="20"/>
        </w:rPr>
        <w:t>}</w:t>
      </w:r>
      <w:r w:rsidRPr="00A66915">
        <w:rPr>
          <w:sz w:val="20"/>
          <w:szCs w:val="20"/>
        </w:rPr>
        <w:t xml:space="preserve"> {The treatment records show multiple reported stressors, including pre-service and post-service stressors.} </w:t>
      </w:r>
      <w:r w:rsidRPr="00A66915">
        <w:rPr>
          <w:rFonts w:ascii="Verdana" w:hAnsi="Verdana"/>
          <w:b/>
          <w:bCs/>
          <w:sz w:val="20"/>
          <w:szCs w:val="20"/>
          <w:highlight w:val="green"/>
        </w:rPr>
        <w:t>NODX</w:t>
      </w:r>
      <w:r w:rsidRPr="00A66915">
        <w:rPr>
          <w:sz w:val="20"/>
          <w:szCs w:val="20"/>
        </w:rPr>
        <w:t> </w:t>
      </w:r>
      <w:r w:rsidRPr="00984B39">
        <w:rPr>
          <w:rFonts w:ascii="Verdana" w:hAnsi="Verdana"/>
          <w:b/>
          <w:bCs/>
          <w:sz w:val="20"/>
          <w:highlight w:val="green"/>
        </w:rPr>
        <w:t>NONEX</w:t>
      </w:r>
      <w:r w:rsidRPr="00984B39">
        <w:rPr>
          <w:sz w:val="16"/>
          <w:szCs w:val="20"/>
        </w:rPr>
        <w:t xml:space="preserve"> </w:t>
      </w:r>
      <w:r w:rsidRPr="00A66915">
        <w:rPr>
          <w:sz w:val="20"/>
          <w:szCs w:val="20"/>
        </w:rPr>
        <w:t>There is no confirmed diagnosis of post traumatic stress disorder with a link to a consistent in-service stressor.</w:t>
      </w:r>
    </w:p>
    <w:p w:rsidR="00D275EA" w:rsidRPr="00A66915" w:rsidRDefault="00D275EA" w:rsidP="00D275EA">
      <w:pPr>
        <w:widowControl w:val="0"/>
        <w:tabs>
          <w:tab w:val="left" w:pos="0"/>
          <w:tab w:val="left" w:pos="144"/>
        </w:tabs>
        <w:outlineLvl w:val="0"/>
        <w:rPr>
          <w:b/>
          <w:i/>
        </w:rPr>
      </w:pP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outlineLvl w:val="0"/>
      </w:pPr>
      <w:r w:rsidRPr="00A66915">
        <w:rPr>
          <w:i/>
          <w:iCs/>
        </w:rPr>
        <w:t>combat veteran</w:t>
      </w:r>
      <w:r>
        <w:rPr>
          <w:i/>
          <w:iCs/>
        </w:rPr>
        <w:t xml:space="preserve">, but no dx (choose </w:t>
      </w:r>
      <w:r w:rsidRPr="0010111B">
        <w:rPr>
          <w:i/>
          <w:color w:val="FF0000"/>
          <w:sz w:val="22"/>
          <w:szCs w:val="22"/>
        </w:rPr>
        <w:t>No Diagnosis</w:t>
      </w:r>
      <w:r w:rsidRPr="002F7DD0">
        <w:rPr>
          <w:i/>
          <w:sz w:val="22"/>
          <w:szCs w:val="22"/>
        </w:rPr>
        <w:t xml:space="preserve"> and </w:t>
      </w:r>
      <w:r>
        <w:rPr>
          <w:i/>
          <w:color w:val="FF0000"/>
          <w:sz w:val="22"/>
          <w:szCs w:val="22"/>
        </w:rPr>
        <w:t>No Diagnosis (PTSD)</w:t>
      </w:r>
      <w:r w:rsidRPr="00A66915">
        <w:rPr>
          <w:i/>
          <w:iCs/>
        </w:rPr>
        <w:t>)-</w:t>
      </w:r>
      <w:r w:rsidRPr="00A66915">
        <w:t xml:space="preserve"> </w:t>
      </w:r>
    </w:p>
    <w:p w:rsidR="00D275EA" w:rsidRPr="00A66915"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outlineLvl w:val="0"/>
      </w:pPr>
      <w:r w:rsidRPr="00A66915">
        <w:rPr>
          <w:rFonts w:ascii="Verdana" w:hAnsi="Verdana"/>
          <w:b/>
          <w:bCs/>
          <w:highlight w:val="green"/>
        </w:rPr>
        <w:t>STRs</w:t>
      </w:r>
      <w:r w:rsidRPr="00A66915">
        <w:t xml:space="preserve"> </w:t>
      </w:r>
      <w:r w:rsidRPr="00A66915">
        <w:rPr>
          <w:rFonts w:ascii="Verdana" w:hAnsi="Verdana"/>
          <w:b/>
          <w:bCs/>
          <w:highlight w:val="green"/>
        </w:rPr>
        <w:t>PTSD_C</w:t>
      </w:r>
      <w:r w:rsidRPr="00A66915">
        <w:t xml:space="preserve"> You are a combat veteran in receipt of a {}. </w:t>
      </w:r>
      <w:r w:rsidRPr="00A66915">
        <w:rPr>
          <w:rFonts w:ascii="Verdana" w:hAnsi="Verdana"/>
          <w:b/>
          <w:bCs/>
          <w:highlight w:val="green"/>
        </w:rPr>
        <w:t>NODX</w:t>
      </w:r>
      <w:r w:rsidRPr="00A66915">
        <w:t xml:space="preserve"> The VA examiner has not provided a current Axis I psychiatric diagnosis of post traumatic stress disorder that is directly related to your combat service. The VA examiner indicated that you do not have a diagnosis of PTSD that conforms to DSM-5 criteria, as your symptoms do not meet the diagnostic criteria for PTSD under DSM-5 criteria.</w:t>
      </w:r>
    </w:p>
    <w:p w:rsidR="00D275EA" w:rsidRPr="00A66915" w:rsidRDefault="00D275EA" w:rsidP="00D275EA">
      <w:pPr>
        <w:widowControl w:val="0"/>
        <w:tabs>
          <w:tab w:val="left" w:pos="0"/>
          <w:tab w:val="left" w:pos="144"/>
        </w:tabs>
        <w:outlineLvl w:val="0"/>
        <w:rPr>
          <w:b/>
          <w:i/>
        </w:rPr>
      </w:pPr>
    </w:p>
    <w:p w:rsidR="00D275EA" w:rsidRPr="00A66915" w:rsidRDefault="00D275EA" w:rsidP="00A11863">
      <w:pPr>
        <w:widowControl w:val="0"/>
        <w:pBdr>
          <w:top w:val="single" w:sz="4" w:space="1" w:color="auto"/>
          <w:left w:val="single" w:sz="4" w:space="4" w:color="auto"/>
          <w:bottom w:val="single" w:sz="4" w:space="1" w:color="auto"/>
          <w:right w:val="single" w:sz="4" w:space="4" w:color="auto"/>
        </w:pBdr>
        <w:tabs>
          <w:tab w:val="left" w:pos="0"/>
          <w:tab w:val="left" w:pos="144"/>
        </w:tabs>
        <w:outlineLvl w:val="0"/>
        <w:rPr>
          <w:i/>
        </w:rPr>
      </w:pPr>
      <w:r w:rsidRPr="00A66915">
        <w:rPr>
          <w:i/>
        </w:rPr>
        <w:t>denyptsd (can also use for fear, if have vague stressor</w:t>
      </w:r>
      <w:r w:rsidR="00A11863">
        <w:rPr>
          <w:i/>
        </w:rPr>
        <w:t>)-</w:t>
      </w:r>
    </w:p>
    <w:p w:rsidR="00D275EA" w:rsidRPr="00A66915"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outlineLvl w:val="0"/>
        <w:rPr>
          <w:i/>
        </w:rPr>
      </w:pPr>
    </w:p>
    <w:p w:rsidR="00D275EA" w:rsidRPr="00A66915"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outlineLvl w:val="0"/>
        <w:rPr>
          <w:i/>
        </w:rPr>
      </w:pPr>
      <w:r w:rsidRPr="00A66915">
        <w:rPr>
          <w:i/>
        </w:rPr>
        <w:t xml:space="preserve">unknown stressor - no details from veteran/no medal/peacetime veteran, </w:t>
      </w:r>
      <w:r w:rsidRPr="00A66915">
        <w:rPr>
          <w:i/>
          <w:iCs/>
        </w:rPr>
        <w:t>nothing in STRs or 201, no dx &amp; no link</w:t>
      </w:r>
      <w:r w:rsidRPr="00A66915">
        <w:rPr>
          <w:i/>
        </w:rPr>
        <w:t>:</w:t>
      </w:r>
    </w:p>
    <w:p w:rsidR="00D275EA" w:rsidRPr="00A66915"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outlineLvl w:val="0"/>
      </w:pPr>
      <w:r w:rsidRPr="00A66915">
        <w:rPr>
          <w:rFonts w:ascii="Verdana" w:hAnsi="Verdana"/>
          <w:b/>
          <w:bCs/>
          <w:highlight w:val="green"/>
        </w:rPr>
        <w:t>NIS</w:t>
      </w:r>
      <w:r w:rsidRPr="00A66915">
        <w:rPr>
          <w:bCs/>
          <w:iCs/>
        </w:rPr>
        <w:t xml:space="preserve"> </w:t>
      </w:r>
      <w:r w:rsidRPr="00A66915">
        <w:rPr>
          <w:rFonts w:ascii="Verdana" w:hAnsi="Verdana"/>
          <w:b/>
          <w:bCs/>
          <w:highlight w:val="green"/>
        </w:rPr>
        <w:t>STRs</w:t>
      </w:r>
      <w:r w:rsidRPr="00A66915">
        <w:rPr>
          <w:bCs/>
          <w:iCs/>
        </w:rPr>
        <w:t xml:space="preserve"> </w:t>
      </w:r>
      <w:r w:rsidRPr="00A66915">
        <w:rPr>
          <w:rFonts w:ascii="Verdana" w:hAnsi="Verdana"/>
          <w:b/>
          <w:bCs/>
          <w:highlight w:val="green"/>
        </w:rPr>
        <w:t>PTSD_NC</w:t>
      </w:r>
      <w:r w:rsidRPr="00A66915">
        <w:t xml:space="preserve"> The STRs, SPRs and DD214 do not show any in-service stressor. You did not return the PTSD questionnaire or provide any lay testimony to establish occurrence of an in-service stressor. </w:t>
      </w:r>
      <w:r w:rsidRPr="00A66915">
        <w:rPr>
          <w:rFonts w:ascii="Verdana" w:hAnsi="Verdana"/>
          <w:b/>
          <w:bCs/>
          <w:highlight w:val="green"/>
        </w:rPr>
        <w:t>NODX</w:t>
      </w:r>
      <w:r w:rsidRPr="00A66915">
        <w:t xml:space="preserve"> </w:t>
      </w:r>
      <w:r w:rsidR="00726B3E" w:rsidRPr="00984B39">
        <w:rPr>
          <w:rFonts w:ascii="Verdana" w:hAnsi="Verdana"/>
          <w:b/>
          <w:bCs/>
          <w:highlight w:val="green"/>
        </w:rPr>
        <w:t>NONEX</w:t>
      </w:r>
      <w:r w:rsidR="00726B3E" w:rsidRPr="00A66915">
        <w:t xml:space="preserve"> </w:t>
      </w:r>
      <w:r w:rsidRPr="00A66915">
        <w:t>There is no confirmed diagnosis of post traumatic stress disorder with a link to a consistent in-service stressor.</w:t>
      </w:r>
    </w:p>
    <w:p w:rsidR="00D275EA" w:rsidRDefault="00D275EA" w:rsidP="00D275EA">
      <w:pPr>
        <w:widowControl w:val="0"/>
        <w:tabs>
          <w:tab w:val="left" w:pos="0"/>
          <w:tab w:val="left" w:pos="144"/>
        </w:tabs>
        <w:outlineLvl w:val="0"/>
        <w:rPr>
          <w:b/>
          <w:i/>
          <w:sz w:val="22"/>
        </w:rPr>
      </w:pP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r>
        <w:rPr>
          <w:b/>
          <w:iCs/>
        </w:rPr>
        <w:t xml:space="preserve">MST </w:t>
      </w:r>
      <w:r>
        <w:rPr>
          <w:i/>
          <w:iCs/>
        </w:rPr>
        <w:t>(no need for Memo)</w:t>
      </w:r>
      <w:r w:rsidRPr="00A66915">
        <w:rPr>
          <w:bCs/>
          <w:i/>
        </w:rPr>
        <w:t xml:space="preserve"> </w:t>
      </w:r>
      <w:r w:rsidRPr="007A4EEB">
        <w:rPr>
          <w:bCs/>
          <w:i/>
        </w:rPr>
        <w:t xml:space="preserve">(need Long Form Narrative, per </w:t>
      </w:r>
      <w:r w:rsidRPr="007A4EEB">
        <w:rPr>
          <w:b/>
          <w:bCs/>
        </w:rPr>
        <w:t>III.iv.6.C.7.a</w:t>
      </w:r>
      <w:r>
        <w:rPr>
          <w:bCs/>
        </w:rPr>
        <w:t>, does not say need for other personal trauma denials, just MST</w:t>
      </w:r>
      <w:r w:rsidRPr="007A4EEB">
        <w:rPr>
          <w:bCs/>
          <w:i/>
        </w:rPr>
        <w:t>):</w:t>
      </w:r>
      <w:r>
        <w:rPr>
          <w:i/>
          <w:iCs/>
        </w:rPr>
        <w:t xml:space="preserve"> </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Pr="00214C1F"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rPr>
          <w:bCs/>
          <w:iCs/>
        </w:rPr>
      </w:pPr>
      <w:r w:rsidRPr="00214C1F">
        <w:t xml:space="preserve">Service connection for PTSD requires medical evidence diagnosing the condition in accordance with 38 CFR 4.125(a); a link, established by medical evidence, between current symptoms and an in-service stressor; and credible supporting evidence that the claimed in-service stressor occurred. </w:t>
      </w:r>
      <w:r w:rsidRPr="00214C1F">
        <w:rPr>
          <w:bCs/>
          <w:iCs/>
        </w:rPr>
        <w:t xml:space="preserve">The evidence does not show an event, disease or injury in service. </w:t>
      </w:r>
      <w:r w:rsidRPr="00214C1F">
        <w:t>Your service treatment records do not contain complaints, treatment, or diagnosis for this condition.</w:t>
      </w:r>
      <w:r w:rsidRPr="00214C1F">
        <w:rPr>
          <w:bCs/>
          <w:iCs/>
        </w:rPr>
        <w:t xml:space="preserve"> </w:t>
      </w:r>
    </w:p>
    <w:p w:rsidR="00D275EA" w:rsidRPr="00214C1F"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Pr="00A66915" w:rsidRDefault="00D275EA" w:rsidP="00D275EA">
      <w:pPr>
        <w:pStyle w:val="NormalWeb"/>
        <w:widowControl w:val="0"/>
        <w:pBdr>
          <w:top w:val="single" w:sz="4" w:space="1" w:color="auto"/>
          <w:left w:val="single" w:sz="4" w:space="4" w:color="auto"/>
          <w:bottom w:val="single" w:sz="4" w:space="1" w:color="auto"/>
          <w:right w:val="single" w:sz="4" w:space="4" w:color="auto"/>
        </w:pBdr>
        <w:spacing w:after="0"/>
        <w:rPr>
          <w:sz w:val="20"/>
          <w:szCs w:val="20"/>
        </w:rPr>
      </w:pPr>
      <w:r w:rsidRPr="00A66915">
        <w:rPr>
          <w:rFonts w:ascii="Verdana" w:hAnsi="Verdana"/>
          <w:b/>
          <w:bCs/>
          <w:sz w:val="20"/>
          <w:szCs w:val="20"/>
          <w:highlight w:val="green"/>
        </w:rPr>
        <w:t>NIS</w:t>
      </w:r>
      <w:r w:rsidRPr="00A66915">
        <w:rPr>
          <w:bCs/>
          <w:iCs/>
          <w:sz w:val="20"/>
          <w:szCs w:val="20"/>
        </w:rPr>
        <w:t xml:space="preserve"> </w:t>
      </w:r>
      <w:r w:rsidRPr="00A66915">
        <w:rPr>
          <w:rFonts w:ascii="Verdana" w:hAnsi="Verdana"/>
          <w:b/>
          <w:bCs/>
          <w:sz w:val="20"/>
          <w:szCs w:val="20"/>
          <w:highlight w:val="green"/>
        </w:rPr>
        <w:t>STRs</w:t>
      </w:r>
      <w:r w:rsidRPr="00A66915">
        <w:rPr>
          <w:bCs/>
          <w:iCs/>
          <w:sz w:val="20"/>
          <w:szCs w:val="20"/>
        </w:rPr>
        <w:t xml:space="preserve"> </w:t>
      </w:r>
      <w:r w:rsidRPr="00E95CC1">
        <w:rPr>
          <w:sz w:val="20"/>
        </w:rPr>
        <w:t xml:space="preserve">You did not return the PTSD questionnaire. The STRs and SPRs show no credible supporting evidence that would establish reasonable doubt and allow us to concede that you were, in fact, assaulted. {The SPRs only shows that you were repeatedly disciplined throughout your military service}. There is no confirmed diagnosis of post traumatic stress disorder with a link to a confirmed in-service stressor.  </w:t>
      </w:r>
      <w:r w:rsidRPr="00A66915">
        <w:rPr>
          <w:rFonts w:ascii="Verdana" w:hAnsi="Verdana"/>
          <w:b/>
          <w:bCs/>
          <w:sz w:val="20"/>
          <w:szCs w:val="20"/>
          <w:highlight w:val="green"/>
        </w:rPr>
        <w:t>NODX</w:t>
      </w:r>
      <w:r w:rsidRPr="00A66915">
        <w:rPr>
          <w:bCs/>
          <w:iCs/>
          <w:sz w:val="20"/>
          <w:szCs w:val="20"/>
        </w:rPr>
        <w:t xml:space="preserve"> </w:t>
      </w:r>
      <w:r w:rsidRPr="00A66915">
        <w:rPr>
          <w:sz w:val="20"/>
          <w:szCs w:val="20"/>
        </w:rPr>
        <w:t xml:space="preserve">The VA examiner has not provided a current Axis I psychiatric diagnosis of </w:t>
      </w:r>
      <w:r>
        <w:rPr>
          <w:sz w:val="20"/>
          <w:szCs w:val="20"/>
        </w:rPr>
        <w:t>PTSD</w:t>
      </w:r>
      <w:r w:rsidRPr="00A66915">
        <w:rPr>
          <w:sz w:val="20"/>
          <w:szCs w:val="20"/>
        </w:rPr>
        <w:t xml:space="preserve"> that is directly related to {fear of hostile military or terrorist activity/this incident}. The VA examiner indicated that you do not have a diagnosis of PTSD that conforms to DSM-5 criteria, as your symptoms do not meet the diagnostic criteria for PTSD under DSM-5 criteria.</w:t>
      </w:r>
    </w:p>
    <w:p w:rsidR="00D275EA" w:rsidRPr="00214C1F"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Pr="00214C1F"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rsidRPr="004E16AB">
        <w:rPr>
          <w:rFonts w:ascii="Verdana" w:hAnsi="Verdana"/>
          <w:b/>
          <w:highlight w:val="green"/>
        </w:rPr>
        <w:t xml:space="preserve">USE </w:t>
      </w:r>
      <w:r>
        <w:rPr>
          <w:rFonts w:ascii="Verdana" w:hAnsi="Verdana"/>
          <w:b/>
          <w:highlight w:val="green"/>
        </w:rPr>
        <w:t>VBMS-R System-Generated Text or</w:t>
      </w:r>
      <w:r>
        <w:rPr>
          <w:rFonts w:ascii="Verdana" w:hAnsi="Verdana"/>
          <w:b/>
        </w:rPr>
        <w:t>:</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rsidRPr="00214C1F">
        <w:t xml:space="preserve">"Credible supporting evidence that the claimed in-service stressor occurred" means that there is a legal standard that must be met and that the veteran's report of the incident must be supported by service or civilian documentation of the incident, or if that is not available, there must be other evidence that would lead to the reasonable conclusion that the incident occurred.  Such other evidence would generally include military or civilian documentation of behavioral changes after the incident which could reasonably be expected from a person who had undergone a personal assault.  Such changes include, but are not limited to:  sudden requests for other duty assignments without justification, obsessive behavior (such as over, or under, eating), increased disrespect for military or civilian authority etc.  </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t>MST w/</w:t>
      </w:r>
      <w:r w:rsidRPr="00E75090">
        <w:rPr>
          <w:u w:val="single"/>
        </w:rPr>
        <w:t>non-PTSD</w:t>
      </w:r>
      <w:r>
        <w:rPr>
          <w:u w:val="single"/>
        </w:rPr>
        <w:t xml:space="preserve"> diagnosis</w:t>
      </w:r>
      <w:r>
        <w:t xml:space="preserve">, choose no credible stressor, keep </w:t>
      </w:r>
      <w:r>
        <w:rPr>
          <w:rFonts w:ascii="Verdana" w:hAnsi="Verdana"/>
          <w:b/>
          <w:highlight w:val="green"/>
        </w:rPr>
        <w:t>VBMS-R System-Generated Text</w:t>
      </w:r>
      <w:r>
        <w:t>, then add:</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t>However, service connection for a non-PTSD diagnosis, like {diagnosis on DBQ}, is different than service connection for PTSD, as it requires a verified in</w:t>
      </w:r>
      <w:r w:rsidR="00FE619B">
        <w:t>-</w:t>
      </w:r>
      <w:r>
        <w:t xml:space="preserve">service event. </w:t>
      </w:r>
    </w:p>
    <w:p w:rsidR="00D275EA"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p>
    <w:p w:rsidR="00D275EA" w:rsidRPr="00E75090" w:rsidRDefault="00D275EA" w:rsidP="00D275EA">
      <w:pPr>
        <w:widowControl w:val="0"/>
        <w:pBdr>
          <w:top w:val="single" w:sz="4" w:space="1" w:color="auto"/>
          <w:left w:val="single" w:sz="4" w:space="4" w:color="auto"/>
          <w:bottom w:val="single" w:sz="4" w:space="1" w:color="auto"/>
          <w:right w:val="single" w:sz="4" w:space="4" w:color="auto"/>
        </w:pBdr>
        <w:tabs>
          <w:tab w:val="left" w:pos="0"/>
          <w:tab w:val="left" w:pos="144"/>
        </w:tabs>
      </w:pPr>
      <w:r w:rsidRPr="00A66915">
        <w:rPr>
          <w:rFonts w:ascii="Verdana" w:hAnsi="Verdana"/>
          <w:b/>
          <w:bCs/>
          <w:highlight w:val="green"/>
        </w:rPr>
        <w:t>NIS</w:t>
      </w:r>
      <w:r w:rsidRPr="00A66915">
        <w:rPr>
          <w:bCs/>
          <w:iCs/>
        </w:rPr>
        <w:t xml:space="preserve"> </w:t>
      </w:r>
      <w:r w:rsidRPr="00A66915">
        <w:rPr>
          <w:rFonts w:ascii="Verdana" w:hAnsi="Verdana"/>
          <w:b/>
          <w:bCs/>
          <w:highlight w:val="green"/>
        </w:rPr>
        <w:t>STRs</w:t>
      </w:r>
      <w:r w:rsidRPr="00A66915">
        <w:rPr>
          <w:bCs/>
          <w:iCs/>
        </w:rPr>
        <w:t xml:space="preserve"> </w:t>
      </w:r>
      <w:r>
        <w:t>There is no confirmed diagnosis of post traumatic stress disorder with a link to a confirmed in-service stressor. The Initial PTSD DBQ does not show an Axis I psychiatric diagnosis of PTSD, but rather shows a diagnosis of {diagnosis on DBQ}. The STRs and SPRs show no verification of the reported event.</w:t>
      </w:r>
    </w:p>
    <w:p w:rsidR="00D275EA" w:rsidRDefault="00D275EA" w:rsidP="00D275EA">
      <w:pPr>
        <w:widowControl w:val="0"/>
        <w:tabs>
          <w:tab w:val="left" w:pos="0"/>
          <w:tab w:val="left" w:pos="144"/>
        </w:tabs>
        <w:rPr>
          <w:b/>
          <w:bCs/>
          <w:i/>
          <w:iCs/>
          <w:sz w:val="22"/>
        </w:rPr>
      </w:pPr>
    </w:p>
    <w:p w:rsidR="00013EB8" w:rsidRDefault="00013EB8">
      <w:pPr>
        <w:pStyle w:val="Header"/>
        <w:widowControl w:val="0"/>
        <w:tabs>
          <w:tab w:val="clear" w:pos="4320"/>
          <w:tab w:val="clear" w:pos="8640"/>
        </w:tabs>
      </w:pPr>
    </w:p>
    <w:p w:rsidR="008F6AD8" w:rsidRDefault="008F6AD8">
      <w:pPr>
        <w:overflowPunct/>
        <w:autoSpaceDE/>
        <w:autoSpaceDN/>
        <w:adjustRightInd/>
        <w:textAlignment w:val="auto"/>
        <w:rPr>
          <w:b/>
          <w:bCs/>
          <w:i/>
          <w:iCs/>
          <w:sz w:val="22"/>
        </w:rPr>
      </w:pPr>
      <w:r>
        <w:rPr>
          <w:b/>
          <w:bCs/>
          <w:i/>
          <w:iCs/>
          <w:sz w:val="22"/>
        </w:rPr>
        <w:br w:type="page"/>
      </w:r>
    </w:p>
    <w:tbl>
      <w:tblPr>
        <w:tblpPr w:leftFromText="180" w:rightFromText="180" w:vertAnchor="page" w:horzAnchor="margin" w:tblpY="1056"/>
        <w:tblW w:w="10098" w:type="dxa"/>
        <w:tblLayout w:type="fixed"/>
        <w:tblLook w:val="0000" w:firstRow="0" w:lastRow="0" w:firstColumn="0" w:lastColumn="0" w:noHBand="0" w:noVBand="0"/>
      </w:tblPr>
      <w:tblGrid>
        <w:gridCol w:w="5148"/>
        <w:gridCol w:w="4950"/>
      </w:tblGrid>
      <w:tr w:rsidR="008F6AD8" w:rsidTr="008F6AD8">
        <w:tc>
          <w:tcPr>
            <w:tcW w:w="5148" w:type="dxa"/>
            <w:tcBorders>
              <w:top w:val="single" w:sz="6" w:space="0" w:color="auto"/>
              <w:left w:val="single" w:sz="6" w:space="0" w:color="auto"/>
              <w:bottom w:val="nil"/>
              <w:right w:val="single" w:sz="6" w:space="0" w:color="auto"/>
            </w:tcBorders>
          </w:tcPr>
          <w:p w:rsidR="008F6AD8" w:rsidRDefault="008F6AD8" w:rsidP="008F6AD8">
            <w:pPr>
              <w:widowControl w:val="0"/>
              <w:tabs>
                <w:tab w:val="left" w:pos="7200"/>
              </w:tabs>
              <w:jc w:val="center"/>
            </w:pPr>
            <w:bookmarkStart w:id="142" w:name="GAFtoEval"/>
            <w:r>
              <w:rPr>
                <w:b/>
                <w:u w:val="single"/>
              </w:rPr>
              <w:t>GAF</w:t>
            </w:r>
            <w:bookmarkEnd w:id="142"/>
          </w:p>
        </w:tc>
        <w:tc>
          <w:tcPr>
            <w:tcW w:w="4950" w:type="dxa"/>
            <w:tcBorders>
              <w:top w:val="single" w:sz="6" w:space="0" w:color="auto"/>
              <w:left w:val="single" w:sz="6" w:space="0" w:color="auto"/>
              <w:bottom w:val="nil"/>
              <w:right w:val="single" w:sz="6" w:space="0" w:color="auto"/>
            </w:tcBorders>
          </w:tcPr>
          <w:p w:rsidR="008F6AD8" w:rsidRDefault="008F6AD8" w:rsidP="008F6AD8">
            <w:pPr>
              <w:widowControl w:val="0"/>
              <w:tabs>
                <w:tab w:val="left" w:pos="7200"/>
              </w:tabs>
              <w:jc w:val="center"/>
            </w:pPr>
            <w:r>
              <w:rPr>
                <w:b/>
                <w:u w:val="single"/>
              </w:rPr>
              <w:t>RATING SCHEDULE</w:t>
            </w:r>
          </w:p>
          <w:p w:rsidR="008F6AD8" w:rsidRDefault="008F6AD8" w:rsidP="008F6AD8">
            <w:pPr>
              <w:widowControl w:val="0"/>
              <w:tabs>
                <w:tab w:val="left" w:pos="7200"/>
              </w:tabs>
              <w:jc w:val="center"/>
            </w:pPr>
          </w:p>
        </w:tc>
      </w:tr>
      <w:tr w:rsidR="008F6AD8" w:rsidTr="008F6AD8">
        <w:tc>
          <w:tcPr>
            <w:tcW w:w="5148" w:type="dxa"/>
            <w:tcBorders>
              <w:top w:val="nil"/>
              <w:left w:val="single" w:sz="6" w:space="0" w:color="auto"/>
              <w:bottom w:val="nil"/>
              <w:right w:val="single" w:sz="6" w:space="0" w:color="auto"/>
            </w:tcBorders>
          </w:tcPr>
          <w:p w:rsidR="008F6AD8" w:rsidRDefault="008F6AD8" w:rsidP="008F6AD8">
            <w:pPr>
              <w:widowControl w:val="0"/>
              <w:tabs>
                <w:tab w:val="left" w:pos="7200"/>
              </w:tabs>
              <w:rPr>
                <w:sz w:val="18"/>
              </w:rPr>
            </w:pPr>
            <w:r>
              <w:rPr>
                <w:b/>
                <w:sz w:val="18"/>
              </w:rPr>
              <w:t>0-10</w:t>
            </w:r>
            <w:r>
              <w:rPr>
                <w:sz w:val="18"/>
              </w:rPr>
              <w:t xml:space="preserve"> - Persistent danger of severely hurting self or others (e.g., recurrent violence) OR persistent inability to maintain minimal personal hygiene OR serious suicidal act with clear expectation of death.</w:t>
            </w:r>
          </w:p>
          <w:p w:rsidR="008F6AD8" w:rsidRDefault="008F6AD8" w:rsidP="008F6AD8">
            <w:pPr>
              <w:widowControl w:val="0"/>
              <w:tabs>
                <w:tab w:val="left" w:pos="7200"/>
              </w:tabs>
              <w:rPr>
                <w:sz w:val="18"/>
              </w:rPr>
            </w:pPr>
          </w:p>
        </w:tc>
        <w:tc>
          <w:tcPr>
            <w:tcW w:w="4950" w:type="dxa"/>
            <w:tcBorders>
              <w:top w:val="nil"/>
              <w:left w:val="single" w:sz="6" w:space="0" w:color="auto"/>
              <w:bottom w:val="nil"/>
              <w:right w:val="single" w:sz="6" w:space="0" w:color="auto"/>
            </w:tcBorders>
          </w:tcPr>
          <w:p w:rsidR="008F6AD8" w:rsidRDefault="008F6AD8" w:rsidP="008F6AD8">
            <w:pPr>
              <w:widowControl w:val="0"/>
              <w:tabs>
                <w:tab w:val="left" w:pos="7200"/>
              </w:tabs>
              <w:rPr>
                <w:sz w:val="18"/>
              </w:rPr>
            </w:pPr>
          </w:p>
        </w:tc>
      </w:tr>
      <w:tr w:rsidR="008F6AD8" w:rsidTr="008F6AD8">
        <w:tc>
          <w:tcPr>
            <w:tcW w:w="5148" w:type="dxa"/>
            <w:tcBorders>
              <w:top w:val="nil"/>
              <w:left w:val="single" w:sz="6" w:space="0" w:color="auto"/>
              <w:bottom w:val="nil"/>
              <w:right w:val="single" w:sz="6" w:space="0" w:color="auto"/>
            </w:tcBorders>
          </w:tcPr>
          <w:p w:rsidR="008F6AD8" w:rsidRDefault="008F6AD8" w:rsidP="008F6AD8">
            <w:pPr>
              <w:widowControl w:val="0"/>
              <w:tabs>
                <w:tab w:val="left" w:pos="7200"/>
              </w:tabs>
              <w:rPr>
                <w:sz w:val="18"/>
              </w:rPr>
            </w:pPr>
            <w:r>
              <w:rPr>
                <w:sz w:val="18"/>
              </w:rPr>
              <w:br w:type="page"/>
            </w:r>
            <w:r>
              <w:rPr>
                <w:b/>
                <w:sz w:val="18"/>
              </w:rPr>
              <w:t>11-20</w:t>
            </w:r>
            <w:r>
              <w:rPr>
                <w:sz w:val="18"/>
              </w:rPr>
              <w:t xml:space="preserve"> - Some danger of hurting self or others (e.g., suicide attempts without clear expectation of death; frequently violent; manic excitement) OR occasionally fails to maintain minimal personal hygiene (e.g., smears feces) OR </w:t>
            </w:r>
            <w:r>
              <w:rPr>
                <w:b/>
                <w:sz w:val="18"/>
              </w:rPr>
              <w:t>gross impairment</w:t>
            </w:r>
            <w:r>
              <w:rPr>
                <w:sz w:val="18"/>
              </w:rPr>
              <w:t xml:space="preserve"> in communication (e.g., largely incoherent or mute).</w:t>
            </w:r>
          </w:p>
          <w:p w:rsidR="008F6AD8" w:rsidRDefault="008F6AD8" w:rsidP="008F6AD8">
            <w:pPr>
              <w:widowControl w:val="0"/>
              <w:tabs>
                <w:tab w:val="left" w:pos="7200"/>
              </w:tabs>
              <w:rPr>
                <w:sz w:val="18"/>
              </w:rPr>
            </w:pPr>
          </w:p>
        </w:tc>
        <w:tc>
          <w:tcPr>
            <w:tcW w:w="4950" w:type="dxa"/>
            <w:tcBorders>
              <w:top w:val="nil"/>
              <w:left w:val="single" w:sz="6" w:space="0" w:color="auto"/>
              <w:bottom w:val="nil"/>
              <w:right w:val="single" w:sz="6" w:space="0" w:color="auto"/>
            </w:tcBorders>
          </w:tcPr>
          <w:p w:rsidR="008F6AD8" w:rsidRDefault="008F6AD8" w:rsidP="008F6AD8">
            <w:pPr>
              <w:widowControl w:val="0"/>
              <w:tabs>
                <w:tab w:val="left" w:pos="7200"/>
              </w:tabs>
              <w:rPr>
                <w:sz w:val="18"/>
              </w:rPr>
            </w:pPr>
          </w:p>
        </w:tc>
      </w:tr>
      <w:tr w:rsidR="008F6AD8" w:rsidTr="008F6AD8">
        <w:tc>
          <w:tcPr>
            <w:tcW w:w="5148" w:type="dxa"/>
            <w:tcBorders>
              <w:top w:val="nil"/>
              <w:left w:val="single" w:sz="6" w:space="0" w:color="auto"/>
              <w:bottom w:val="single" w:sz="6" w:space="0" w:color="auto"/>
              <w:right w:val="single" w:sz="6" w:space="0" w:color="auto"/>
            </w:tcBorders>
          </w:tcPr>
          <w:p w:rsidR="008F6AD8" w:rsidRDefault="008F6AD8" w:rsidP="008F6AD8">
            <w:pPr>
              <w:widowControl w:val="0"/>
              <w:tabs>
                <w:tab w:val="left" w:pos="7200"/>
              </w:tabs>
              <w:rPr>
                <w:sz w:val="18"/>
              </w:rPr>
            </w:pPr>
            <w:r>
              <w:rPr>
                <w:b/>
                <w:sz w:val="18"/>
              </w:rPr>
              <w:t>21-30</w:t>
            </w:r>
            <w:r>
              <w:rPr>
                <w:sz w:val="18"/>
              </w:rPr>
              <w:t xml:space="preserve"> - Behavior is considerable influenced by delusions or hallucinations OR </w:t>
            </w:r>
            <w:r>
              <w:rPr>
                <w:b/>
                <w:sz w:val="18"/>
              </w:rPr>
              <w:t>serious impairment</w:t>
            </w:r>
            <w:r>
              <w:rPr>
                <w:sz w:val="18"/>
              </w:rPr>
              <w:t xml:space="preserve"> in communication of judgment (e.g. sometimes incoherent, acts grossly inappropriately, suicidal preoccupation) OR </w:t>
            </w:r>
            <w:r>
              <w:rPr>
                <w:b/>
                <w:sz w:val="18"/>
              </w:rPr>
              <w:t>inability to function in almost all areas</w:t>
            </w:r>
            <w:r>
              <w:rPr>
                <w:sz w:val="18"/>
              </w:rPr>
              <w:t xml:space="preserve"> (e.g., stays in bed all day; no job, home, or friends).</w:t>
            </w:r>
          </w:p>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r>
              <w:rPr>
                <w:b/>
                <w:sz w:val="18"/>
              </w:rPr>
              <w:t>31-40</w:t>
            </w:r>
            <w:r>
              <w:rPr>
                <w:sz w:val="18"/>
              </w:rPr>
              <w:t xml:space="preserve"> - Some impairment in reality testing or communication ( e.g., speech is at times illogical, obscure, or irrelevant) OR</w:t>
            </w:r>
            <w:r>
              <w:rPr>
                <w:b/>
                <w:sz w:val="18"/>
              </w:rPr>
              <w:t xml:space="preserve"> major impairment</w:t>
            </w:r>
            <w:r>
              <w:rPr>
                <w:sz w:val="18"/>
              </w:rPr>
              <w:t xml:space="preserve"> in several areas, such as work or school, family, relations, judgment thinking, or mood (e.g., depressed man avoids friends, neglects family, and is unable to work, child frequently beats up younger children, is defiant home and is failing at school.</w:t>
            </w:r>
          </w:p>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r>
              <w:rPr>
                <w:b/>
                <w:sz w:val="18"/>
              </w:rPr>
              <w:t>41-50</w:t>
            </w:r>
            <w:r>
              <w:rPr>
                <w:sz w:val="18"/>
              </w:rPr>
              <w:t xml:space="preserve"> - </w:t>
            </w:r>
            <w:r>
              <w:rPr>
                <w:b/>
                <w:sz w:val="18"/>
              </w:rPr>
              <w:t>Serious symptoms</w:t>
            </w:r>
            <w:r>
              <w:rPr>
                <w:sz w:val="18"/>
              </w:rPr>
              <w:t xml:space="preserve"> (e.g. suicidal ideation, severe obsessional rituals, frequent shoplifting) OR any </w:t>
            </w:r>
            <w:r>
              <w:rPr>
                <w:b/>
                <w:sz w:val="18"/>
              </w:rPr>
              <w:t>serious impairment</w:t>
            </w:r>
            <w:r>
              <w:rPr>
                <w:sz w:val="18"/>
              </w:rPr>
              <w:t xml:space="preserve"> in social, occupational, or school functioning (e.g., no friends, unable to keep a job.)</w:t>
            </w:r>
          </w:p>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r>
              <w:rPr>
                <w:b/>
                <w:sz w:val="18"/>
              </w:rPr>
              <w:t>51-60</w:t>
            </w:r>
            <w:r>
              <w:rPr>
                <w:sz w:val="18"/>
              </w:rPr>
              <w:t xml:space="preserve"> - </w:t>
            </w:r>
            <w:r>
              <w:rPr>
                <w:b/>
                <w:sz w:val="18"/>
              </w:rPr>
              <w:t>Moderate symptoms</w:t>
            </w:r>
            <w:r>
              <w:rPr>
                <w:sz w:val="18"/>
              </w:rPr>
              <w:t xml:space="preserve"> (e.g., flat affect and circumstantial speech, occasional panic attacks) OR </w:t>
            </w:r>
            <w:r>
              <w:rPr>
                <w:b/>
                <w:sz w:val="18"/>
              </w:rPr>
              <w:t>moderate difficulty</w:t>
            </w:r>
            <w:r>
              <w:rPr>
                <w:sz w:val="18"/>
              </w:rPr>
              <w:t xml:space="preserve"> in social, occupational, or school functioning (e.g., few friends, conflicts with peers or co-workers).</w:t>
            </w:r>
          </w:p>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r>
              <w:rPr>
                <w:b/>
                <w:sz w:val="18"/>
              </w:rPr>
              <w:t>61-70</w:t>
            </w:r>
            <w:r>
              <w:rPr>
                <w:sz w:val="18"/>
              </w:rPr>
              <w:t xml:space="preserve"> - Some </w:t>
            </w:r>
            <w:r>
              <w:rPr>
                <w:b/>
                <w:sz w:val="18"/>
              </w:rPr>
              <w:t>mild symptoms</w:t>
            </w:r>
            <w:r>
              <w:rPr>
                <w:sz w:val="18"/>
              </w:rPr>
              <w:t xml:space="preserve"> (e.g., depressed mood and mild insomnia) OR </w:t>
            </w:r>
            <w:r>
              <w:rPr>
                <w:b/>
                <w:sz w:val="18"/>
              </w:rPr>
              <w:t>some difficulty</w:t>
            </w:r>
            <w:r>
              <w:rPr>
                <w:sz w:val="18"/>
              </w:rPr>
              <w:t xml:space="preserve"> in social occupation, school functioning (e.g., occasional truancy, or theft with the household), but </w:t>
            </w:r>
            <w:r>
              <w:rPr>
                <w:b/>
                <w:sz w:val="18"/>
              </w:rPr>
              <w:t>generally functioning pretty well</w:t>
            </w:r>
            <w:r>
              <w:rPr>
                <w:sz w:val="18"/>
              </w:rPr>
              <w:t>, has some meaningful interpersonal relationships.</w:t>
            </w:r>
          </w:p>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r>
              <w:rPr>
                <w:b/>
                <w:sz w:val="18"/>
              </w:rPr>
              <w:t>71-80</w:t>
            </w:r>
            <w:r>
              <w:rPr>
                <w:sz w:val="18"/>
              </w:rPr>
              <w:t xml:space="preserve"> - If symptoms are present, they are </w:t>
            </w:r>
            <w:r>
              <w:rPr>
                <w:b/>
                <w:sz w:val="18"/>
              </w:rPr>
              <w:t>transient and expectable reaction to psychosocial stressor</w:t>
            </w:r>
            <w:r>
              <w:rPr>
                <w:sz w:val="18"/>
              </w:rPr>
              <w:t xml:space="preserve">, (e.g., difficulty concentrating after family argument); no more than </w:t>
            </w:r>
            <w:r>
              <w:rPr>
                <w:b/>
                <w:sz w:val="18"/>
              </w:rPr>
              <w:t>slight impairment</w:t>
            </w:r>
            <w:r>
              <w:rPr>
                <w:sz w:val="18"/>
              </w:rPr>
              <w:t xml:space="preserve"> in social, occupational, or school functioning (e.g., temporarily falling behind in schoolwork).</w:t>
            </w:r>
          </w:p>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r>
              <w:rPr>
                <w:b/>
                <w:sz w:val="18"/>
              </w:rPr>
              <w:t>81-90</w:t>
            </w:r>
            <w:r>
              <w:rPr>
                <w:sz w:val="18"/>
              </w:rPr>
              <w:t xml:space="preserve"> - </w:t>
            </w:r>
            <w:r>
              <w:rPr>
                <w:b/>
                <w:sz w:val="18"/>
              </w:rPr>
              <w:t>Absent or minimal symptoms</w:t>
            </w:r>
            <w:r>
              <w:rPr>
                <w:sz w:val="18"/>
              </w:rPr>
              <w:t xml:space="preserve"> (e.g., mild anxiety before and exam), good functioning in all areas, interested and involved in a wide range of activities, socially effective, generally satisfied with life, no more than everyday problems or concerns (e.g., an occasional argument with family members).</w:t>
            </w:r>
          </w:p>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r>
              <w:rPr>
                <w:b/>
                <w:sz w:val="18"/>
              </w:rPr>
              <w:t>91-100</w:t>
            </w:r>
            <w:r>
              <w:rPr>
                <w:sz w:val="18"/>
              </w:rPr>
              <w:t xml:space="preserve"> - </w:t>
            </w:r>
            <w:r>
              <w:rPr>
                <w:b/>
                <w:sz w:val="18"/>
              </w:rPr>
              <w:t>Superior functioning</w:t>
            </w:r>
            <w:r>
              <w:rPr>
                <w:sz w:val="18"/>
              </w:rPr>
              <w:t xml:space="preserve"> in a wide range of activities, life’s problems never seem to get out of hand, is sought out by others because of his or hers many positive qualities.  </w:t>
            </w:r>
            <w:r>
              <w:rPr>
                <w:b/>
                <w:sz w:val="18"/>
              </w:rPr>
              <w:t>No symptoms</w:t>
            </w:r>
            <w:r>
              <w:rPr>
                <w:sz w:val="18"/>
              </w:rPr>
              <w:t xml:space="preserve">. </w:t>
            </w:r>
          </w:p>
        </w:tc>
        <w:tc>
          <w:tcPr>
            <w:tcW w:w="4950" w:type="dxa"/>
            <w:tcBorders>
              <w:top w:val="nil"/>
              <w:left w:val="single" w:sz="6" w:space="0" w:color="auto"/>
              <w:bottom w:val="single" w:sz="6" w:space="0" w:color="auto"/>
              <w:right w:val="single" w:sz="6" w:space="0" w:color="auto"/>
            </w:tcBorders>
          </w:tcPr>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sz w:val="18"/>
              </w:rPr>
            </w:pPr>
            <w:r>
              <w:rPr>
                <w:b/>
                <w:sz w:val="18"/>
              </w:rPr>
              <w:t>Total occupational and social impairment</w:t>
            </w:r>
            <w:r>
              <w:rPr>
                <w:sz w:val="18"/>
              </w:rPr>
              <w:t>...100</w:t>
            </w:r>
          </w:p>
          <w:p w:rsidR="008F6AD8" w:rsidRDefault="008F6AD8" w:rsidP="008F6AD8">
            <w:pPr>
              <w:widowControl w:val="0"/>
              <w:tabs>
                <w:tab w:val="left" w:pos="7200"/>
              </w:tabs>
              <w:rPr>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sz w:val="18"/>
              </w:rPr>
            </w:pPr>
            <w:r>
              <w:rPr>
                <w:b/>
                <w:sz w:val="18"/>
              </w:rPr>
              <w:t>Occupational and social impairment, with deficiencies in most areas, such as work, school, family relations, judgment, thinking, or mood</w:t>
            </w:r>
            <w:r>
              <w:rPr>
                <w:sz w:val="18"/>
              </w:rPr>
              <w:t>...70</w:t>
            </w:r>
          </w:p>
          <w:p w:rsidR="008F6AD8" w:rsidRDefault="008F6AD8" w:rsidP="008F6AD8">
            <w:pPr>
              <w:widowControl w:val="0"/>
              <w:tabs>
                <w:tab w:val="left" w:pos="7200"/>
              </w:tabs>
              <w:rPr>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sz w:val="18"/>
              </w:rPr>
            </w:pPr>
            <w:r>
              <w:rPr>
                <w:b/>
                <w:sz w:val="18"/>
              </w:rPr>
              <w:t>Occupational and social impairment with reduced reliability and productivity</w:t>
            </w:r>
            <w:r>
              <w:rPr>
                <w:sz w:val="18"/>
              </w:rPr>
              <w:t>...50</w:t>
            </w:r>
          </w:p>
          <w:p w:rsidR="008F6AD8" w:rsidRDefault="008F6AD8" w:rsidP="008F6AD8">
            <w:pPr>
              <w:widowControl w:val="0"/>
              <w:tabs>
                <w:tab w:val="left" w:pos="7200"/>
              </w:tabs>
              <w:rPr>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sz w:val="18"/>
              </w:rPr>
            </w:pPr>
            <w:r>
              <w:rPr>
                <w:b/>
                <w:bCs/>
                <w:sz w:val="18"/>
              </w:rPr>
              <w:t>Occupational and social impairment with occasional decrease in work efficiency and intermittent periods of inability to perform occupational tasks (although generally functioning satisfactorily, with routine behavior, self-care, and conversation normal)</w:t>
            </w:r>
            <w:r>
              <w:rPr>
                <w:sz w:val="18"/>
              </w:rPr>
              <w:t>…30</w:t>
            </w:r>
          </w:p>
          <w:p w:rsidR="008F6AD8" w:rsidRDefault="008F6AD8" w:rsidP="008F6AD8">
            <w:pPr>
              <w:widowControl w:val="0"/>
              <w:tabs>
                <w:tab w:val="left" w:pos="7200"/>
              </w:tabs>
              <w:rPr>
                <w:sz w:val="18"/>
              </w:rPr>
            </w:pPr>
          </w:p>
          <w:p w:rsidR="008F6AD8" w:rsidRDefault="008F6AD8" w:rsidP="008F6AD8">
            <w:pPr>
              <w:widowControl w:val="0"/>
              <w:tabs>
                <w:tab w:val="left" w:pos="7200"/>
              </w:tabs>
              <w:rPr>
                <w:sz w:val="18"/>
              </w:rPr>
            </w:pPr>
            <w:r>
              <w:rPr>
                <w:b/>
                <w:sz w:val="18"/>
              </w:rPr>
              <w:t>Occupational and social impairment due to mild or transient symptoms which decrease work efficiency and ability to perform occupational tasks only during periods of significant stress, or; symptoms controlled by continuous medication</w:t>
            </w:r>
            <w:r>
              <w:rPr>
                <w:sz w:val="18"/>
              </w:rPr>
              <w:t>...10</w:t>
            </w:r>
          </w:p>
          <w:p w:rsidR="008F6AD8" w:rsidRDefault="008F6AD8" w:rsidP="008F6AD8">
            <w:pPr>
              <w:widowControl w:val="0"/>
              <w:tabs>
                <w:tab w:val="left" w:pos="7200"/>
              </w:tabs>
              <w:rPr>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b/>
                <w:sz w:val="18"/>
              </w:rPr>
            </w:pPr>
          </w:p>
          <w:p w:rsidR="008F6AD8" w:rsidRDefault="008F6AD8" w:rsidP="008F6AD8">
            <w:pPr>
              <w:widowControl w:val="0"/>
              <w:tabs>
                <w:tab w:val="left" w:pos="7200"/>
              </w:tabs>
              <w:rPr>
                <w:sz w:val="18"/>
              </w:rPr>
            </w:pPr>
            <w:r>
              <w:rPr>
                <w:b/>
                <w:sz w:val="18"/>
              </w:rPr>
              <w:t>A mental condition has been formally diagnosed, but symptoms are not severe enough either to interfere with occupational and social functioning or to require continuous medication</w:t>
            </w:r>
            <w:r>
              <w:rPr>
                <w:sz w:val="18"/>
              </w:rPr>
              <w:t xml:space="preserve">...0 </w:t>
            </w:r>
          </w:p>
        </w:tc>
      </w:tr>
    </w:tbl>
    <w:p w:rsidR="0066276C" w:rsidRDefault="0066276C">
      <w:pPr>
        <w:overflowPunct/>
        <w:autoSpaceDE/>
        <w:autoSpaceDN/>
        <w:adjustRightInd/>
        <w:textAlignment w:val="auto"/>
        <w:rPr>
          <w:b/>
          <w:bCs/>
          <w:i/>
          <w:iCs/>
          <w:color w:val="000000"/>
          <w:szCs w:val="18"/>
        </w:rPr>
      </w:pPr>
      <w:r>
        <w:rPr>
          <w:b/>
          <w:bCs/>
          <w:i/>
          <w:iCs/>
          <w:color w:val="000000"/>
          <w:szCs w:val="18"/>
        </w:rPr>
        <w:br w:type="page"/>
      </w:r>
    </w:p>
    <w:p w:rsidR="00013EB8" w:rsidRDefault="00013EB8" w:rsidP="000B73BC">
      <w:pPr>
        <w:widowControl w:val="0"/>
        <w:numPr>
          <w:ilvl w:val="12"/>
          <w:numId w:val="0"/>
        </w:numPr>
        <w:pBdr>
          <w:top w:val="single" w:sz="24" w:space="1" w:color="auto"/>
          <w:left w:val="single" w:sz="24" w:space="1" w:color="auto"/>
          <w:bottom w:val="single" w:sz="24" w:space="1" w:color="auto"/>
          <w:right w:val="single" w:sz="24" w:space="1" w:color="auto"/>
        </w:pBdr>
        <w:rPr>
          <w:b/>
          <w:bCs/>
          <w:i/>
          <w:iCs/>
          <w:color w:val="000000"/>
          <w:szCs w:val="18"/>
        </w:rPr>
      </w:pPr>
      <w:r>
        <w:rPr>
          <w:b/>
          <w:bCs/>
          <w:i/>
          <w:iCs/>
          <w:color w:val="000000"/>
          <w:szCs w:val="18"/>
        </w:rPr>
        <w:t>1702</w:t>
      </w:r>
    </w:p>
    <w:p w:rsidR="00013EB8" w:rsidRDefault="00013EB8" w:rsidP="000B73BC">
      <w:pPr>
        <w:widowControl w:val="0"/>
        <w:numPr>
          <w:ilvl w:val="12"/>
          <w:numId w:val="0"/>
        </w:numPr>
        <w:pBdr>
          <w:top w:val="single" w:sz="24" w:space="1" w:color="auto"/>
          <w:left w:val="single" w:sz="24" w:space="1" w:color="auto"/>
          <w:bottom w:val="single" w:sz="24" w:space="1" w:color="auto"/>
          <w:right w:val="single" w:sz="24" w:space="1" w:color="auto"/>
        </w:pBdr>
        <w:rPr>
          <w:b/>
          <w:bCs/>
          <w:i/>
          <w:iCs/>
          <w:color w:val="000000"/>
          <w:szCs w:val="18"/>
        </w:rPr>
      </w:pPr>
    </w:p>
    <w:p w:rsidR="00013EB8" w:rsidRPr="0030434B" w:rsidRDefault="00013EB8" w:rsidP="00F063AF">
      <w:pPr>
        <w:pStyle w:val="Footer"/>
        <w:widowControl w:val="0"/>
        <w:numPr>
          <w:ilvl w:val="0"/>
          <w:numId w:val="114"/>
        </w:numPr>
        <w:pBdr>
          <w:top w:val="single" w:sz="24" w:space="1" w:color="auto"/>
          <w:left w:val="single" w:sz="24" w:space="1" w:color="auto"/>
          <w:bottom w:val="single" w:sz="24" w:space="1" w:color="auto"/>
          <w:right w:val="single" w:sz="24" w:space="1" w:color="auto"/>
        </w:pBdr>
        <w:tabs>
          <w:tab w:val="clear" w:pos="720"/>
          <w:tab w:val="clear" w:pos="4320"/>
          <w:tab w:val="clear" w:pos="8640"/>
          <w:tab w:val="num" w:pos="300"/>
        </w:tabs>
        <w:spacing w:after="120"/>
        <w:ind w:left="302" w:hanging="302"/>
        <w:rPr>
          <w:b/>
          <w:bCs/>
        </w:rPr>
      </w:pPr>
      <w:r w:rsidRPr="0030434B">
        <w:rPr>
          <w:b/>
          <w:bCs/>
        </w:rPr>
        <w:t>IX.ii.2.5</w:t>
      </w:r>
    </w:p>
    <w:p w:rsidR="00013EB8" w:rsidRDefault="00013EB8" w:rsidP="00F063AF">
      <w:pPr>
        <w:pStyle w:val="Footer"/>
        <w:widowControl w:val="0"/>
        <w:numPr>
          <w:ilvl w:val="0"/>
          <w:numId w:val="114"/>
        </w:numPr>
        <w:pBdr>
          <w:top w:val="single" w:sz="24" w:space="1" w:color="auto"/>
          <w:left w:val="single" w:sz="24" w:space="1" w:color="auto"/>
          <w:bottom w:val="single" w:sz="24" w:space="1" w:color="auto"/>
          <w:right w:val="single" w:sz="24" w:space="1" w:color="auto"/>
        </w:pBdr>
        <w:tabs>
          <w:tab w:val="clear" w:pos="720"/>
          <w:tab w:val="clear" w:pos="4320"/>
          <w:tab w:val="clear" w:pos="8640"/>
          <w:tab w:val="num" w:pos="300"/>
        </w:tabs>
        <w:spacing w:after="120"/>
        <w:ind w:left="302" w:hanging="302"/>
        <w:rPr>
          <w:i/>
          <w:iCs/>
        </w:rPr>
      </w:pPr>
      <w:r w:rsidRPr="007A4B37">
        <w:rPr>
          <w:b/>
          <w:bCs/>
        </w:rPr>
        <w:t>3.384</w:t>
      </w:r>
      <w:r>
        <w:t xml:space="preserve"> – Psychosis</w:t>
      </w:r>
    </w:p>
    <w:p w:rsidR="00013EB8" w:rsidRPr="00837B5E" w:rsidRDefault="00013EB8" w:rsidP="00837B5E">
      <w:pPr>
        <w:pStyle w:val="Footer"/>
        <w:widowControl w:val="0"/>
        <w:numPr>
          <w:ilvl w:val="0"/>
          <w:numId w:val="114"/>
        </w:numPr>
        <w:pBdr>
          <w:top w:val="single" w:sz="24" w:space="1" w:color="auto"/>
          <w:left w:val="single" w:sz="24" w:space="1" w:color="auto"/>
          <w:bottom w:val="single" w:sz="24" w:space="1" w:color="auto"/>
          <w:right w:val="single" w:sz="24" w:space="1" w:color="auto"/>
        </w:pBdr>
        <w:tabs>
          <w:tab w:val="clear" w:pos="720"/>
          <w:tab w:val="clear" w:pos="4320"/>
          <w:tab w:val="clear" w:pos="8640"/>
          <w:tab w:val="num" w:pos="300"/>
        </w:tabs>
        <w:spacing w:after="120"/>
        <w:ind w:left="302" w:hanging="302"/>
        <w:rPr>
          <w:b/>
          <w:bCs/>
        </w:rPr>
      </w:pPr>
      <w:r>
        <w:rPr>
          <w:b/>
          <w:bCs/>
          <w:i/>
          <w:iCs/>
        </w:rPr>
        <w:t>Note:</w:t>
      </w:r>
      <w:r>
        <w:rPr>
          <w:i/>
          <w:iCs/>
        </w:rPr>
        <w:t xml:space="preserve">  We should not grant treatment under 1702 for personality disorders</w:t>
      </w:r>
      <w:r w:rsidRPr="00A40B87">
        <w:rPr>
          <w:i/>
          <w:iCs/>
          <w:highlight w:val="darkGray"/>
        </w:rPr>
        <w:t>, or willful misconduct such as alcohol abuse or drug/cannabis abuse.</w:t>
      </w:r>
      <w:r w:rsidR="00837B5E">
        <w:rPr>
          <w:iCs/>
        </w:rPr>
        <w:t xml:space="preserve"> </w:t>
      </w:r>
      <w:r w:rsidR="00837B5E" w:rsidRPr="00837B5E">
        <w:rPr>
          <w:bCs/>
        </w:rPr>
        <w:t>Note</w:t>
      </w:r>
      <w:r w:rsidR="00E939F2">
        <w:rPr>
          <w:bCs/>
        </w:rPr>
        <w:t xml:space="preserve"> added to </w:t>
      </w:r>
      <w:r w:rsidR="00E939F2" w:rsidRPr="0030434B">
        <w:rPr>
          <w:b/>
          <w:bCs/>
        </w:rPr>
        <w:t>IX.ii.2.5</w:t>
      </w:r>
      <w:r w:rsidR="00E939F2">
        <w:rPr>
          <w:b/>
          <w:bCs/>
        </w:rPr>
        <w:t>.c</w:t>
      </w:r>
      <w:r w:rsidR="00E939F2">
        <w:rPr>
          <w:bCs/>
        </w:rPr>
        <w:t xml:space="preserve"> on 2/18/18</w:t>
      </w:r>
      <w:r w:rsidR="00837B5E" w:rsidRPr="00837B5E">
        <w:rPr>
          <w:bCs/>
        </w:rPr>
        <w:t xml:space="preserve"> says</w:t>
      </w:r>
      <w:r w:rsidR="00837B5E">
        <w:rPr>
          <w:b/>
          <w:bCs/>
        </w:rPr>
        <w:t xml:space="preserve"> “</w:t>
      </w:r>
      <w:r w:rsidR="00837B5E">
        <w:rPr>
          <w:sz w:val="21"/>
          <w:szCs w:val="21"/>
        </w:rPr>
        <w:t xml:space="preserve">Gulf War Veterans who manifest primary diagnoses of substance abuse disorders within the applicable timeframes described above will be entitled to mental health treatment for those disorders under </w:t>
      </w:r>
      <w:hyperlink r:id="rId658" w:tgtFrame="_blank" w:history="1">
        <w:r w:rsidR="00837B5E">
          <w:rPr>
            <w:rStyle w:val="Hyperlink"/>
            <w:sz w:val="21"/>
            <w:szCs w:val="21"/>
          </w:rPr>
          <w:t>38 U.S.C. 1702</w:t>
        </w:r>
      </w:hyperlink>
      <w:r w:rsidR="00837B5E">
        <w:rPr>
          <w:sz w:val="21"/>
          <w:szCs w:val="21"/>
        </w:rPr>
        <w:t xml:space="preserve"> even though the laws administered by VA prohibit awards of monetary benefits for conditions of misconduct etiology.”</w:t>
      </w:r>
    </w:p>
    <w:p w:rsidR="00013EB8" w:rsidRDefault="00013EB8" w:rsidP="00F063AF">
      <w:pPr>
        <w:pStyle w:val="Footer"/>
        <w:widowControl w:val="0"/>
        <w:numPr>
          <w:ilvl w:val="0"/>
          <w:numId w:val="114"/>
        </w:numPr>
        <w:pBdr>
          <w:top w:val="single" w:sz="24" w:space="1" w:color="auto"/>
          <w:left w:val="single" w:sz="24" w:space="1" w:color="auto"/>
          <w:bottom w:val="single" w:sz="24" w:space="1" w:color="auto"/>
          <w:right w:val="single" w:sz="24" w:space="1" w:color="auto"/>
        </w:pBdr>
        <w:tabs>
          <w:tab w:val="clear" w:pos="720"/>
          <w:tab w:val="clear" w:pos="4320"/>
          <w:tab w:val="clear" w:pos="8640"/>
          <w:tab w:val="num" w:pos="300"/>
        </w:tabs>
        <w:spacing w:after="120"/>
        <w:ind w:left="302" w:hanging="302"/>
      </w:pPr>
      <w:r>
        <w:rPr>
          <w:i/>
          <w:iCs/>
        </w:rPr>
        <w:t xml:space="preserve">Don’t consider 1702 for personality disorder, as it is not subject to service connection, even if given an Axis I diagnosis (see </w:t>
      </w:r>
      <w:r w:rsidRPr="00B73089">
        <w:rPr>
          <w:i/>
          <w:iCs/>
        </w:rPr>
        <w:t>3.303(c)</w:t>
      </w:r>
      <w:r>
        <w:rPr>
          <w:i/>
          <w:iCs/>
        </w:rPr>
        <w:t xml:space="preserve"> &amp; </w:t>
      </w:r>
      <w:r w:rsidRPr="00B73089">
        <w:rPr>
          <w:i/>
          <w:iCs/>
        </w:rPr>
        <w:t>4.9</w:t>
      </w:r>
      <w:r>
        <w:rPr>
          <w:i/>
          <w:iCs/>
        </w:rPr>
        <w:t xml:space="preserve"> &amp; </w:t>
      </w:r>
      <w:r w:rsidRPr="00B73089">
        <w:rPr>
          <w:i/>
          <w:iCs/>
        </w:rPr>
        <w:t>4.127</w:t>
      </w:r>
      <w:r>
        <w:rPr>
          <w:i/>
          <w:iCs/>
        </w:rPr>
        <w:t xml:space="preserve"> - personality disorder is not a disease for compensation purposes)</w:t>
      </w:r>
    </w:p>
    <w:p w:rsidR="00013EB8" w:rsidRDefault="00D571C5" w:rsidP="00F063AF">
      <w:pPr>
        <w:pStyle w:val="Footer"/>
        <w:widowControl w:val="0"/>
        <w:numPr>
          <w:ilvl w:val="0"/>
          <w:numId w:val="114"/>
        </w:numPr>
        <w:pBdr>
          <w:top w:val="single" w:sz="24" w:space="1" w:color="auto"/>
          <w:left w:val="single" w:sz="24" w:space="1" w:color="auto"/>
          <w:bottom w:val="single" w:sz="24" w:space="1" w:color="auto"/>
          <w:right w:val="single" w:sz="24" w:space="1" w:color="auto"/>
        </w:pBdr>
        <w:tabs>
          <w:tab w:val="clear" w:pos="720"/>
          <w:tab w:val="clear" w:pos="4320"/>
          <w:tab w:val="clear" w:pos="8640"/>
          <w:tab w:val="num" w:pos="300"/>
        </w:tabs>
        <w:spacing w:after="120"/>
        <w:ind w:left="302" w:hanging="302"/>
      </w:pPr>
      <w:hyperlink r:id="rId659" w:history="1">
        <w:r w:rsidR="00013EB8">
          <w:rPr>
            <w:rStyle w:val="Hyperlink"/>
            <w:b/>
            <w:i/>
          </w:rPr>
          <w:t>QRT Bulletin August 2012 &amp; Q&amp;A Session</w:t>
        </w:r>
      </w:hyperlink>
      <w:r w:rsidR="00013EB8">
        <w:t xml:space="preserve"> emphasized that it says “within two years </w:t>
      </w:r>
      <w:r w:rsidR="00013EB8">
        <w:rPr>
          <w:u w:val="single"/>
        </w:rPr>
        <w:t>after</w:t>
      </w:r>
      <w:r w:rsidR="00013EB8">
        <w:t xml:space="preserve"> discharge or release from military service”</w:t>
      </w:r>
    </w:p>
    <w:p w:rsidR="0088709C" w:rsidRPr="000B15B1" w:rsidRDefault="00013EB8" w:rsidP="00F063AF">
      <w:pPr>
        <w:widowControl w:val="0"/>
        <w:numPr>
          <w:ilvl w:val="0"/>
          <w:numId w:val="122"/>
        </w:numPr>
        <w:pBdr>
          <w:top w:val="single" w:sz="24" w:space="1" w:color="auto"/>
          <w:left w:val="single" w:sz="24" w:space="1" w:color="auto"/>
          <w:bottom w:val="single" w:sz="24" w:space="1" w:color="auto"/>
          <w:right w:val="single" w:sz="24" w:space="1" w:color="auto"/>
        </w:pBdr>
        <w:tabs>
          <w:tab w:val="clear" w:pos="720"/>
          <w:tab w:val="num" w:pos="300"/>
        </w:tabs>
        <w:ind w:left="300" w:hanging="300"/>
        <w:rPr>
          <w:b/>
          <w:bCs/>
          <w:i/>
          <w:iCs/>
          <w:sz w:val="22"/>
        </w:rPr>
      </w:pPr>
      <w:r w:rsidRPr="00B73089">
        <w:rPr>
          <w:b/>
          <w:bCs/>
          <w:i/>
          <w:iCs/>
        </w:rPr>
        <w:t xml:space="preserve">December 2012 </w:t>
      </w:r>
      <w:r w:rsidR="00EB6F0B" w:rsidRPr="00B73089">
        <w:rPr>
          <w:b/>
          <w:bCs/>
          <w:i/>
          <w:iCs/>
        </w:rPr>
        <w:t>Compensation Service Bulletin (CSB)</w:t>
      </w:r>
      <w:r>
        <w:t xml:space="preserve"> – NO LONGER INFER TO DENY (need to ensure previous decisions did not miss an entitlement grant; grant only needs to be addressed once)</w:t>
      </w:r>
    </w:p>
    <w:p w:rsidR="000B15B1" w:rsidRPr="000B15B1" w:rsidRDefault="000B15B1" w:rsidP="000B15B1">
      <w:pPr>
        <w:widowControl w:val="0"/>
        <w:pBdr>
          <w:top w:val="single" w:sz="24" w:space="1" w:color="auto"/>
          <w:left w:val="single" w:sz="24" w:space="1" w:color="auto"/>
          <w:bottom w:val="single" w:sz="24" w:space="1" w:color="auto"/>
          <w:right w:val="single" w:sz="24" w:space="1" w:color="auto"/>
        </w:pBdr>
        <w:rPr>
          <w:b/>
          <w:bCs/>
          <w:i/>
          <w:iCs/>
          <w:sz w:val="22"/>
        </w:rPr>
      </w:pPr>
    </w:p>
    <w:p w:rsidR="000B15B1" w:rsidRPr="0088709C" w:rsidRDefault="00472785" w:rsidP="000B15B1">
      <w:pPr>
        <w:widowControl w:val="0"/>
        <w:pBdr>
          <w:top w:val="single" w:sz="24" w:space="1" w:color="auto"/>
          <w:left w:val="single" w:sz="24" w:space="1" w:color="auto"/>
          <w:bottom w:val="single" w:sz="24" w:space="1" w:color="auto"/>
          <w:right w:val="single" w:sz="24" w:space="1" w:color="auto"/>
        </w:pBdr>
        <w:rPr>
          <w:b/>
          <w:bCs/>
          <w:i/>
          <w:iCs/>
          <w:sz w:val="22"/>
        </w:rPr>
      </w:pPr>
      <w:r>
        <w:rPr>
          <w:rFonts w:ascii="Verdana" w:hAnsi="Verdana"/>
          <w:b/>
          <w:bCs/>
          <w:highlight w:val="green"/>
        </w:rPr>
        <w:t>TR1</w:t>
      </w:r>
      <w:r w:rsidR="000B15B1" w:rsidRPr="00F40E5B">
        <w:rPr>
          <w:bCs/>
        </w:rPr>
        <w:t xml:space="preserve"> &amp;</w:t>
      </w:r>
      <w:r w:rsidR="000B15B1" w:rsidRPr="00F40E5B">
        <w:rPr>
          <w:rFonts w:ascii="Verdana" w:hAnsi="Verdana"/>
          <w:b/>
          <w:bCs/>
        </w:rPr>
        <w:t xml:space="preserve"> </w:t>
      </w:r>
      <w:r w:rsidR="000B15B1">
        <w:rPr>
          <w:rFonts w:ascii="Verdana" w:hAnsi="Verdana"/>
          <w:b/>
          <w:bCs/>
          <w:highlight w:val="green"/>
        </w:rPr>
        <w:t>1702</w:t>
      </w:r>
      <w:r w:rsidR="00F40E5B">
        <w:rPr>
          <w:rFonts w:ascii="Verdana" w:hAnsi="Verdana"/>
          <w:b/>
          <w:bCs/>
        </w:rPr>
        <w:t>?</w:t>
      </w:r>
    </w:p>
    <w:p w:rsidR="00F43BB6" w:rsidRDefault="00F43BB6" w:rsidP="00F43BB6">
      <w:pPr>
        <w:widowControl w:val="0"/>
        <w:tabs>
          <w:tab w:val="left" w:pos="0"/>
          <w:tab w:val="left" w:pos="144"/>
        </w:tabs>
        <w:rPr>
          <w:sz w:val="22"/>
        </w:rPr>
      </w:pPr>
    </w:p>
    <w:p w:rsidR="00F43BB6" w:rsidRDefault="00F43BB6" w:rsidP="005740C9">
      <w:pPr>
        <w:widowControl w:val="0"/>
        <w:tabs>
          <w:tab w:val="left" w:pos="0"/>
          <w:tab w:val="left" w:pos="144"/>
        </w:tabs>
        <w:rPr>
          <w:sz w:val="22"/>
        </w:rPr>
      </w:pPr>
    </w:p>
    <w:p w:rsidR="005740C9" w:rsidRDefault="005740C9" w:rsidP="00ED541E">
      <w:pPr>
        <w:widowControl w:val="0"/>
        <w:pBdr>
          <w:top w:val="single" w:sz="4" w:space="1" w:color="auto"/>
        </w:pBdr>
        <w:tabs>
          <w:tab w:val="left" w:pos="0"/>
          <w:tab w:val="left" w:pos="144"/>
        </w:tabs>
        <w:rPr>
          <w:b/>
          <w:bCs/>
          <w:i/>
          <w:iCs/>
          <w:sz w:val="22"/>
        </w:rPr>
      </w:pPr>
      <w:bookmarkStart w:id="143" w:name="Part4Changes"/>
      <w:r>
        <w:rPr>
          <w:b/>
          <w:bCs/>
          <w:i/>
          <w:iCs/>
          <w:sz w:val="22"/>
        </w:rPr>
        <w:t>HISTORIC PART 4 SECTIONS can be found in Rating References ARCHIVE</w:t>
      </w:r>
      <w:bookmarkEnd w:id="143"/>
    </w:p>
    <w:p w:rsidR="005740C9" w:rsidRDefault="005740C9" w:rsidP="00ED541E">
      <w:pPr>
        <w:widowControl w:val="0"/>
        <w:pBdr>
          <w:bottom w:val="single" w:sz="4" w:space="1" w:color="auto"/>
        </w:pBdr>
        <w:tabs>
          <w:tab w:val="left" w:pos="0"/>
          <w:tab w:val="left" w:pos="144"/>
        </w:tabs>
        <w:rPr>
          <w:bCs/>
          <w:i/>
          <w:iCs/>
          <w:sz w:val="22"/>
        </w:rPr>
      </w:pPr>
      <w:r w:rsidRPr="007645C4">
        <w:rPr>
          <w:bCs/>
          <w:i/>
          <w:iCs/>
          <w:sz w:val="22"/>
        </w:rPr>
        <w:t>or at Regulation Citator</w:t>
      </w:r>
      <w:r>
        <w:rPr>
          <w:bCs/>
          <w:i/>
          <w:iCs/>
          <w:sz w:val="22"/>
        </w:rPr>
        <w:t xml:space="preserve"> at</w:t>
      </w:r>
      <w:r w:rsidRPr="007645C4">
        <w:rPr>
          <w:bCs/>
          <w:i/>
          <w:iCs/>
          <w:sz w:val="22"/>
        </w:rPr>
        <w:t xml:space="preserve"> </w:t>
      </w:r>
      <w:r w:rsidRPr="005740C9">
        <w:rPr>
          <w:bCs/>
          <w:i/>
          <w:iCs/>
          <w:sz w:val="22"/>
        </w:rPr>
        <w:t>http://vacoappbva2.dva.va.gov</w:t>
      </w:r>
      <w:r w:rsidR="00D11C3E">
        <w:rPr>
          <w:bCs/>
          <w:i/>
          <w:iCs/>
          <w:sz w:val="18"/>
        </w:rPr>
        <w:t>; or in CPKM</w:t>
      </w:r>
    </w:p>
    <w:p w:rsidR="005740C9" w:rsidRPr="007645C4" w:rsidRDefault="005740C9" w:rsidP="005740C9">
      <w:pPr>
        <w:widowControl w:val="0"/>
        <w:tabs>
          <w:tab w:val="left" w:pos="0"/>
          <w:tab w:val="left" w:pos="144"/>
        </w:tabs>
        <w:rPr>
          <w:bCs/>
          <w:i/>
          <w:iCs/>
          <w:sz w:val="22"/>
        </w:rPr>
      </w:pPr>
    </w:p>
    <w:p w:rsidR="00ED541E" w:rsidRDefault="00ED541E">
      <w:pPr>
        <w:overflowPunct/>
        <w:autoSpaceDE/>
        <w:autoSpaceDN/>
        <w:adjustRightInd/>
        <w:textAlignment w:val="auto"/>
        <w:rPr>
          <w:b/>
          <w:bCs/>
          <w:i/>
          <w:iCs/>
          <w:sz w:val="22"/>
        </w:rPr>
      </w:pPr>
      <w:r>
        <w:rPr>
          <w:b/>
          <w:bCs/>
          <w:i/>
          <w:iCs/>
          <w:sz w:val="22"/>
        </w:rPr>
        <w:br w:type="page"/>
      </w:r>
    </w:p>
    <w:p w:rsidR="00ED541E" w:rsidRDefault="00ED541E" w:rsidP="00ED541E">
      <w:pPr>
        <w:widowControl w:val="0"/>
        <w:pBdr>
          <w:top w:val="single" w:sz="4" w:space="1" w:color="auto"/>
        </w:pBdr>
        <w:tabs>
          <w:tab w:val="left" w:pos="0"/>
          <w:tab w:val="left" w:pos="144"/>
        </w:tabs>
        <w:rPr>
          <w:b/>
          <w:bCs/>
          <w:i/>
          <w:iCs/>
          <w:sz w:val="22"/>
        </w:rPr>
      </w:pPr>
      <w:bookmarkStart w:id="144" w:name="ImproveAndFutures"/>
      <w:r>
        <w:rPr>
          <w:b/>
          <w:bCs/>
          <w:i/>
          <w:iCs/>
          <w:sz w:val="22"/>
        </w:rPr>
        <w:t>Improvement, Future Examinations (Routine Future Examination / RFE) and Reductions –</w:t>
      </w:r>
    </w:p>
    <w:bookmarkEnd w:id="144"/>
    <w:p w:rsidR="00ED541E" w:rsidRDefault="00ED541E" w:rsidP="00ED541E">
      <w:pPr>
        <w:widowControl w:val="0"/>
        <w:tabs>
          <w:tab w:val="left" w:pos="0"/>
          <w:tab w:val="left" w:pos="144"/>
        </w:tabs>
        <w:rPr>
          <w:sz w:val="22"/>
        </w:rPr>
      </w:pPr>
    </w:p>
    <w:p w:rsidR="00ED541E" w:rsidRDefault="00ED541E" w:rsidP="00ED541E">
      <w:pPr>
        <w:widowControl w:val="0"/>
        <w:spacing w:after="120"/>
        <w:rPr>
          <w:rFonts w:ascii="Verdana" w:hAnsi="Verdana"/>
          <w:i/>
          <w:iCs/>
        </w:rPr>
      </w:pPr>
      <w:r>
        <w:rPr>
          <w:rFonts w:ascii="Verdana" w:hAnsi="Verdana"/>
          <w:b/>
          <w:bCs/>
          <w:highlight w:val="green"/>
        </w:rPr>
        <w:t>VE2</w:t>
      </w:r>
    </w:p>
    <w:p w:rsidR="00ED541E" w:rsidRDefault="00ED541E" w:rsidP="00ED541E">
      <w:pPr>
        <w:widowControl w:val="0"/>
        <w:tabs>
          <w:tab w:val="left" w:pos="0"/>
          <w:tab w:val="left" w:pos="144"/>
        </w:tabs>
        <w:rPr>
          <w:sz w:val="22"/>
        </w:rPr>
      </w:pPr>
    </w:p>
    <w:tbl>
      <w:tblPr>
        <w:tblW w:w="11055" w:type="dxa"/>
        <w:tblInd w:w="-45" w:type="dxa"/>
        <w:tblLayout w:type="fixed"/>
        <w:tblCellMar>
          <w:left w:w="30" w:type="dxa"/>
          <w:right w:w="30" w:type="dxa"/>
        </w:tblCellMar>
        <w:tblLook w:val="0000" w:firstRow="0" w:lastRow="0" w:firstColumn="0" w:lastColumn="0" w:noHBand="0" w:noVBand="0"/>
      </w:tblPr>
      <w:tblGrid>
        <w:gridCol w:w="705"/>
        <w:gridCol w:w="10350"/>
      </w:tblGrid>
      <w:tr w:rsidR="00ED541E" w:rsidTr="00C334D1">
        <w:trPr>
          <w:trHeight w:val="953"/>
        </w:trPr>
        <w:tc>
          <w:tcPr>
            <w:tcW w:w="705" w:type="dxa"/>
            <w:tcBorders>
              <w:top w:val="nil"/>
              <w:left w:val="nil"/>
              <w:bottom w:val="nil"/>
              <w:right w:val="nil"/>
            </w:tcBorders>
          </w:tcPr>
          <w:p w:rsidR="00ED541E" w:rsidRDefault="00ED541E" w:rsidP="00C334D1">
            <w:pPr>
              <w:widowControl w:val="0"/>
              <w:numPr>
                <w:ilvl w:val="12"/>
                <w:numId w:val="0"/>
              </w:numPr>
              <w:rPr>
                <w:b/>
              </w:rPr>
            </w:pPr>
            <w:r w:rsidRPr="00AE0E75">
              <w:rPr>
                <w:b/>
              </w:rPr>
              <w:t>3.327</w:t>
            </w:r>
          </w:p>
        </w:tc>
        <w:tc>
          <w:tcPr>
            <w:tcW w:w="10350" w:type="dxa"/>
            <w:tcBorders>
              <w:top w:val="nil"/>
              <w:left w:val="nil"/>
              <w:bottom w:val="nil"/>
              <w:right w:val="nil"/>
            </w:tcBorders>
            <w:shd w:val="clear" w:color="auto" w:fill="auto"/>
          </w:tcPr>
          <w:p w:rsidR="00ED541E" w:rsidRDefault="00ED541E" w:rsidP="00C334D1">
            <w:pPr>
              <w:widowControl w:val="0"/>
              <w:numPr>
                <w:ilvl w:val="12"/>
                <w:numId w:val="0"/>
              </w:numPr>
            </w:pPr>
            <w:r>
              <w:rPr>
                <w:b/>
              </w:rPr>
              <w:t>Reexaminations</w:t>
            </w:r>
            <w:r>
              <w:t xml:space="preserve"> – </w:t>
            </w:r>
          </w:p>
          <w:p w:rsidR="00ED541E" w:rsidRDefault="00ED541E" w:rsidP="00C334D1">
            <w:pPr>
              <w:pStyle w:val="NormalWeb"/>
              <w:widowControl w:val="0"/>
              <w:spacing w:after="0"/>
              <w:rPr>
                <w:rFonts w:ascii="Tahoma" w:hAnsi="Tahoma" w:cs="Tahoma"/>
                <w:sz w:val="20"/>
              </w:rPr>
            </w:pPr>
            <w:r>
              <w:rPr>
                <w:sz w:val="20"/>
              </w:rPr>
              <w:t xml:space="preserve">3.327(b)(2) Do </w:t>
            </w:r>
            <w:r>
              <w:rPr>
                <w:i/>
                <w:iCs/>
                <w:sz w:val="20"/>
              </w:rPr>
              <w:t>not</w:t>
            </w:r>
            <w:r>
              <w:rPr>
                <w:sz w:val="20"/>
              </w:rPr>
              <w:t xml:space="preserve"> request reexaminations in cases when:</w:t>
            </w:r>
          </w:p>
          <w:p w:rsidR="00ED541E" w:rsidRPr="00A77BD8" w:rsidRDefault="00ED541E" w:rsidP="00C334D1">
            <w:pPr>
              <w:pStyle w:val="NormalWeb"/>
              <w:widowControl w:val="0"/>
              <w:numPr>
                <w:ilvl w:val="0"/>
                <w:numId w:val="73"/>
              </w:numPr>
              <w:tabs>
                <w:tab w:val="clear" w:pos="720"/>
                <w:tab w:val="num" w:pos="420"/>
              </w:tabs>
              <w:spacing w:after="0"/>
              <w:ind w:left="420"/>
              <w:rPr>
                <w:rFonts w:ascii="Tahoma" w:hAnsi="Tahoma" w:cs="Tahoma"/>
                <w:sz w:val="20"/>
                <w:szCs w:val="20"/>
              </w:rPr>
            </w:pPr>
            <w:r w:rsidRPr="00A77BD8">
              <w:rPr>
                <w:sz w:val="20"/>
                <w:szCs w:val="20"/>
              </w:rPr>
              <w:t>the disability is static</w:t>
            </w:r>
          </w:p>
          <w:p w:rsidR="00ED541E" w:rsidRPr="00A77BD8" w:rsidRDefault="00ED541E" w:rsidP="00C334D1">
            <w:pPr>
              <w:pStyle w:val="NormalWeb"/>
              <w:widowControl w:val="0"/>
              <w:numPr>
                <w:ilvl w:val="0"/>
                <w:numId w:val="73"/>
              </w:numPr>
              <w:tabs>
                <w:tab w:val="clear" w:pos="720"/>
                <w:tab w:val="num" w:pos="420"/>
              </w:tabs>
              <w:spacing w:after="0"/>
              <w:ind w:left="420"/>
              <w:rPr>
                <w:rFonts w:ascii="Tahoma" w:hAnsi="Tahoma" w:cs="Tahoma"/>
                <w:sz w:val="20"/>
                <w:szCs w:val="20"/>
              </w:rPr>
            </w:pPr>
            <w:r w:rsidRPr="00A77BD8">
              <w:rPr>
                <w:sz w:val="20"/>
                <w:szCs w:val="20"/>
              </w:rPr>
              <w:t>there is no material improvement for five+ years</w:t>
            </w:r>
          </w:p>
          <w:p w:rsidR="00ED541E" w:rsidRPr="00A77BD8" w:rsidRDefault="00ED541E" w:rsidP="00C334D1">
            <w:pPr>
              <w:pStyle w:val="NormalWeb"/>
              <w:widowControl w:val="0"/>
              <w:numPr>
                <w:ilvl w:val="0"/>
                <w:numId w:val="73"/>
              </w:numPr>
              <w:tabs>
                <w:tab w:val="clear" w:pos="720"/>
                <w:tab w:val="num" w:pos="420"/>
              </w:tabs>
              <w:spacing w:after="0"/>
              <w:ind w:left="420"/>
              <w:rPr>
                <w:rFonts w:ascii="Tahoma" w:hAnsi="Tahoma" w:cs="Tahoma"/>
                <w:sz w:val="20"/>
                <w:szCs w:val="20"/>
              </w:rPr>
            </w:pPr>
            <w:r w:rsidRPr="00A77BD8">
              <w:rPr>
                <w:sz w:val="20"/>
                <w:szCs w:val="20"/>
              </w:rPr>
              <w:t>disability is permanent, without likelihood of imrprovement</w:t>
            </w:r>
          </w:p>
          <w:p w:rsidR="00ED541E" w:rsidRPr="00A77BD8" w:rsidRDefault="00ED541E" w:rsidP="00C334D1">
            <w:pPr>
              <w:pStyle w:val="NormalWeb"/>
              <w:widowControl w:val="0"/>
              <w:numPr>
                <w:ilvl w:val="0"/>
                <w:numId w:val="73"/>
              </w:numPr>
              <w:tabs>
                <w:tab w:val="clear" w:pos="720"/>
                <w:tab w:val="num" w:pos="420"/>
              </w:tabs>
              <w:spacing w:after="0"/>
              <w:ind w:left="420"/>
              <w:rPr>
                <w:rFonts w:ascii="Tahoma" w:hAnsi="Tahoma" w:cs="Tahoma"/>
                <w:sz w:val="20"/>
                <w:szCs w:val="20"/>
              </w:rPr>
            </w:pPr>
            <w:r w:rsidRPr="00A77BD8">
              <w:rPr>
                <w:sz w:val="20"/>
                <w:szCs w:val="20"/>
              </w:rPr>
              <w:t>the veteran is over 55 years of age (except in unusual circumstances)</w:t>
            </w:r>
            <w:r>
              <w:rPr>
                <w:sz w:val="20"/>
                <w:szCs w:val="20"/>
              </w:rPr>
              <w:t xml:space="preserve"> – per </w:t>
            </w:r>
            <w:r w:rsidRPr="00A51C8E">
              <w:rPr>
                <w:b/>
                <w:sz w:val="20"/>
                <w:szCs w:val="20"/>
              </w:rPr>
              <w:t>III.iv.3.B.2.d</w:t>
            </w:r>
            <w:r>
              <w:rPr>
                <w:sz w:val="20"/>
                <w:szCs w:val="20"/>
              </w:rPr>
              <w:t>, changed 12/19/17, need to explain unusual facts found in the Special Notation box (or as a VBMS note, if no rating is being prepared)</w:t>
            </w:r>
          </w:p>
          <w:p w:rsidR="00ED541E" w:rsidRPr="00A77BD8" w:rsidRDefault="00ED541E" w:rsidP="00C334D1">
            <w:pPr>
              <w:pStyle w:val="NormalWeb"/>
              <w:widowControl w:val="0"/>
              <w:numPr>
                <w:ilvl w:val="0"/>
                <w:numId w:val="73"/>
              </w:numPr>
              <w:tabs>
                <w:tab w:val="clear" w:pos="720"/>
                <w:tab w:val="num" w:pos="420"/>
              </w:tabs>
              <w:spacing w:after="0"/>
              <w:ind w:left="420"/>
              <w:rPr>
                <w:sz w:val="20"/>
                <w:szCs w:val="20"/>
              </w:rPr>
            </w:pPr>
            <w:r w:rsidRPr="00C343A9">
              <w:rPr>
                <w:sz w:val="20"/>
                <w:szCs w:val="20"/>
              </w:rPr>
              <w:t xml:space="preserve">the evaluation is the prescribed schedular minimum </w:t>
            </w:r>
            <w:r w:rsidRPr="00D36CD9">
              <w:rPr>
                <w:rFonts w:eastAsia="Calibri"/>
                <w:sz w:val="20"/>
                <w:szCs w:val="20"/>
              </w:rPr>
              <w:t>(</w:t>
            </w:r>
            <w:r w:rsidRPr="00C343A9">
              <w:rPr>
                <w:bCs/>
                <w:i/>
                <w:color w:val="00B050"/>
                <w:sz w:val="20"/>
                <w:szCs w:val="20"/>
              </w:rPr>
              <w:t>My Notes</w:t>
            </w:r>
            <w:r w:rsidRPr="00C343A9">
              <w:rPr>
                <w:bCs/>
                <w:i/>
                <w:color w:val="000000"/>
                <w:sz w:val="20"/>
                <w:szCs w:val="20"/>
              </w:rPr>
              <w:t xml:space="preserve">:  </w:t>
            </w:r>
            <w:r w:rsidRPr="00D36CD9">
              <w:rPr>
                <w:rFonts w:eastAsia="Calibri"/>
                <w:i/>
                <w:sz w:val="20"/>
                <w:szCs w:val="20"/>
              </w:rPr>
              <w:t>This refers t</w:t>
            </w:r>
            <w:bookmarkStart w:id="145" w:name="_Hlk517881646"/>
            <w:r w:rsidRPr="00D36CD9">
              <w:rPr>
                <w:rFonts w:eastAsia="Calibri"/>
                <w:i/>
                <w:sz w:val="20"/>
                <w:szCs w:val="20"/>
              </w:rPr>
              <w:t>o DCs that have “Minimum” or “Minimum rating” listed, like 5054, 5055, 6029, 7018,</w:t>
            </w:r>
            <w:bookmarkEnd w:id="145"/>
            <w:r w:rsidRPr="00D36CD9">
              <w:rPr>
                <w:rFonts w:eastAsia="Calibri"/>
                <w:i/>
                <w:sz w:val="20"/>
                <w:szCs w:val="20"/>
              </w:rPr>
              <w:t xml:space="preserve"> see </w:t>
            </w:r>
            <w:r w:rsidRPr="00D36CD9">
              <w:rPr>
                <w:bCs/>
                <w:i/>
                <w:color w:val="00B050"/>
                <w:sz w:val="20"/>
                <w:szCs w:val="20"/>
              </w:rPr>
              <w:t>My Notes</w:t>
            </w:r>
            <w:r w:rsidRPr="00D36CD9">
              <w:rPr>
                <w:rFonts w:eastAsia="Calibri"/>
                <w:i/>
                <w:sz w:val="20"/>
                <w:szCs w:val="20"/>
              </w:rPr>
              <w:t xml:space="preserve"> on next page for entire list.</w:t>
            </w:r>
            <w:r w:rsidRPr="00D36CD9">
              <w:rPr>
                <w:rFonts w:eastAsia="Calibri"/>
                <w:sz w:val="20"/>
                <w:szCs w:val="20"/>
              </w:rPr>
              <w:t>)</w:t>
            </w:r>
          </w:p>
          <w:p w:rsidR="00ED541E" w:rsidRPr="00A77BD8" w:rsidRDefault="00ED541E" w:rsidP="00C334D1">
            <w:pPr>
              <w:pStyle w:val="NormalWeb"/>
              <w:widowControl w:val="0"/>
              <w:numPr>
                <w:ilvl w:val="0"/>
                <w:numId w:val="73"/>
              </w:numPr>
              <w:tabs>
                <w:tab w:val="clear" w:pos="720"/>
                <w:tab w:val="num" w:pos="420"/>
              </w:tabs>
              <w:ind w:left="420"/>
              <w:rPr>
                <w:sz w:val="20"/>
                <w:szCs w:val="20"/>
              </w:rPr>
            </w:pPr>
            <w:r w:rsidRPr="00A77BD8">
              <w:rPr>
                <w:sz w:val="20"/>
                <w:szCs w:val="20"/>
              </w:rPr>
              <w:t>the combined evaluation would not change even if the reexamination resulted in a reduced evaluati</w:t>
            </w:r>
            <w:r>
              <w:rPr>
                <w:sz w:val="20"/>
                <w:szCs w:val="20"/>
              </w:rPr>
              <w:t>on for one or more disabilities</w:t>
            </w:r>
          </w:p>
          <w:p w:rsidR="00673330" w:rsidRDefault="00ED541E" w:rsidP="00C334D1">
            <w:pPr>
              <w:widowControl w:val="0"/>
              <w:numPr>
                <w:ilvl w:val="0"/>
                <w:numId w:val="73"/>
              </w:numPr>
              <w:tabs>
                <w:tab w:val="clear" w:pos="720"/>
                <w:tab w:val="num" w:pos="420"/>
              </w:tabs>
              <w:spacing w:after="120"/>
              <w:ind w:left="420"/>
              <w:rPr>
                <w:b/>
                <w:bCs/>
              </w:rPr>
            </w:pPr>
            <w:r>
              <w:rPr>
                <w:b/>
                <w:bCs/>
              </w:rPr>
              <w:t>III.iv.3.B.2.b</w:t>
            </w:r>
            <w:r w:rsidR="00673330">
              <w:rPr>
                <w:bCs/>
              </w:rPr>
              <w:t xml:space="preserve"> – RFEs ONLY when absolutely necessary (if it’s an acute exacerbation, still recuperating following hospitalization and/or improvement/recovery can be anticipated)</w:t>
            </w:r>
          </w:p>
          <w:p w:rsidR="00ED541E" w:rsidRPr="000C2155" w:rsidRDefault="00ED541E" w:rsidP="00C334D1">
            <w:pPr>
              <w:widowControl w:val="0"/>
              <w:numPr>
                <w:ilvl w:val="0"/>
                <w:numId w:val="73"/>
              </w:numPr>
              <w:tabs>
                <w:tab w:val="clear" w:pos="720"/>
                <w:tab w:val="num" w:pos="420"/>
              </w:tabs>
              <w:spacing w:after="120"/>
              <w:ind w:left="420"/>
              <w:rPr>
                <w:b/>
                <w:bCs/>
              </w:rPr>
            </w:pPr>
            <w:r>
              <w:rPr>
                <w:b/>
                <w:bCs/>
              </w:rPr>
              <w:t xml:space="preserve">III.iv.3.B.2.c - </w:t>
            </w:r>
            <w:r>
              <w:rPr>
                <w:bCs/>
              </w:rPr>
              <w:t xml:space="preserve">RFE – </w:t>
            </w:r>
            <w:r>
              <w:rPr>
                <w:bCs/>
                <w:strike/>
                <w:highlight w:val="darkGray"/>
              </w:rPr>
              <w:t>5</w:t>
            </w:r>
            <w:r>
              <w:rPr>
                <w:bCs/>
              </w:rPr>
              <w:t xml:space="preserve"> 3 years </w:t>
            </w:r>
            <w:r w:rsidRPr="00B21C75">
              <w:rPr>
                <w:bCs/>
              </w:rPr>
              <w:t xml:space="preserve">from date of rating; </w:t>
            </w:r>
            <w:r w:rsidRPr="00B21C75">
              <w:rPr>
                <w:rStyle w:val="Strong"/>
                <w:b w:val="0"/>
                <w:bCs w:val="0"/>
              </w:rPr>
              <w:t xml:space="preserve">then if improvement is shown, another future </w:t>
            </w:r>
            <w:r w:rsidRPr="00B21C75">
              <w:t>18, 24, or 30 months from the date of the new rating;</w:t>
            </w:r>
            <w:r>
              <w:t xml:space="preserve"> (5</w:t>
            </w:r>
            <w:r w:rsidRPr="00430F52">
              <w:t>/</w:t>
            </w:r>
            <w:r>
              <w:t>5</w:t>
            </w:r>
            <w:r w:rsidRPr="00430F52">
              <w:t xml:space="preserve">/17, </w:t>
            </w:r>
            <w:r w:rsidRPr="00430F52">
              <w:rPr>
                <w:highlight w:val="magenta"/>
              </w:rPr>
              <w:t>this is a change</w:t>
            </w:r>
            <w:r w:rsidRPr="00430F52">
              <w:t>)</w:t>
            </w:r>
            <w:r>
              <w:t xml:space="preserve"> – 3 years for anticipated improvement (</w:t>
            </w:r>
            <w:r w:rsidRPr="00663371">
              <w:rPr>
                <w:b/>
              </w:rPr>
              <w:t>III.iv.3.B.2.i</w:t>
            </w:r>
            <w:r>
              <w:t xml:space="preserve"> says we need to correct dates on codesheet/Master Record even if reviewing unrelated claim); 18, 24 or 30 months to monitor for sustained improvement; 6-12 months for 4.28; within 6 months for 4.129; 6 months after treatment for malignancy stops (5012 – 1 year, 8002 or 8021 – 2 years); mandatory as established by regs</w:t>
            </w:r>
          </w:p>
          <w:p w:rsidR="00ED541E" w:rsidRPr="00A77BD8" w:rsidRDefault="00ED541E" w:rsidP="00C334D1">
            <w:pPr>
              <w:widowControl w:val="0"/>
              <w:numPr>
                <w:ilvl w:val="0"/>
                <w:numId w:val="73"/>
              </w:numPr>
              <w:tabs>
                <w:tab w:val="clear" w:pos="720"/>
                <w:tab w:val="num" w:pos="420"/>
              </w:tabs>
              <w:ind w:left="420"/>
              <w:rPr>
                <w:rFonts w:eastAsia="Calibri"/>
                <w:szCs w:val="24"/>
              </w:rPr>
            </w:pPr>
            <w:bookmarkStart w:id="146" w:name="_Hlk517882297"/>
            <w:r>
              <w:rPr>
                <w:b/>
                <w:bCs/>
              </w:rPr>
              <w:t>III.iv.3.B.2.d</w:t>
            </w:r>
            <w:r w:rsidRPr="000C2155">
              <w:rPr>
                <w:bCs/>
              </w:rPr>
              <w:t xml:space="preserve"> </w:t>
            </w:r>
            <w:bookmarkEnd w:id="146"/>
            <w:r w:rsidRPr="000C2155">
              <w:rPr>
                <w:bCs/>
              </w:rPr>
              <w:t>– NO RFEs</w:t>
            </w:r>
            <w:r>
              <w:rPr>
                <w:bCs/>
              </w:rPr>
              <w:t xml:space="preserve"> when:</w:t>
            </w:r>
          </w:p>
          <w:p w:rsidR="00ED541E" w:rsidRDefault="00ED541E" w:rsidP="00C334D1">
            <w:pPr>
              <w:widowControl w:val="0"/>
              <w:numPr>
                <w:ilvl w:val="1"/>
                <w:numId w:val="73"/>
              </w:numPr>
              <w:tabs>
                <w:tab w:val="clear" w:pos="1440"/>
                <w:tab w:val="num" w:pos="870"/>
              </w:tabs>
              <w:ind w:left="780"/>
              <w:rPr>
                <w:rFonts w:eastAsia="Calibri"/>
                <w:szCs w:val="24"/>
              </w:rPr>
            </w:pPr>
            <w:r>
              <w:rPr>
                <w:rFonts w:eastAsia="Calibri"/>
                <w:szCs w:val="24"/>
              </w:rPr>
              <w:t xml:space="preserve">the disability is static, without material improvement over 5 years </w:t>
            </w:r>
            <w:r w:rsidRPr="00A77BD8">
              <w:rPr>
                <w:rFonts w:eastAsia="Calibri"/>
                <w:i/>
                <w:szCs w:val="24"/>
              </w:rPr>
              <w:t>(this combines I &amp; ii from 3.327(b)(2))</w:t>
            </w:r>
          </w:p>
          <w:p w:rsidR="00ED541E" w:rsidRDefault="00ED541E" w:rsidP="00C334D1">
            <w:pPr>
              <w:widowControl w:val="0"/>
              <w:numPr>
                <w:ilvl w:val="1"/>
                <w:numId w:val="73"/>
              </w:numPr>
              <w:tabs>
                <w:tab w:val="clear" w:pos="1440"/>
                <w:tab w:val="num" w:pos="870"/>
              </w:tabs>
              <w:ind w:left="780"/>
              <w:rPr>
                <w:rFonts w:eastAsia="Calibri"/>
                <w:szCs w:val="24"/>
              </w:rPr>
            </w:pPr>
            <w:r>
              <w:rPr>
                <w:rFonts w:eastAsia="Calibri"/>
                <w:szCs w:val="24"/>
              </w:rPr>
              <w:t>the disability is permanent in character and of such nature that there is no likelihood of improvement</w:t>
            </w:r>
          </w:p>
          <w:p w:rsidR="00ED541E" w:rsidRDefault="00ED541E" w:rsidP="00C334D1">
            <w:pPr>
              <w:widowControl w:val="0"/>
              <w:numPr>
                <w:ilvl w:val="1"/>
                <w:numId w:val="73"/>
              </w:numPr>
              <w:tabs>
                <w:tab w:val="clear" w:pos="1440"/>
                <w:tab w:val="num" w:pos="870"/>
              </w:tabs>
              <w:ind w:left="780"/>
              <w:rPr>
                <w:rFonts w:eastAsia="Calibri"/>
                <w:szCs w:val="24"/>
              </w:rPr>
            </w:pPr>
            <w:r>
              <w:rPr>
                <w:rFonts w:eastAsia="Calibri"/>
                <w:szCs w:val="24"/>
              </w:rPr>
              <w:t xml:space="preserve">the veteran is over 55 years of age </w:t>
            </w:r>
            <w:r w:rsidRPr="00A51C8E">
              <w:rPr>
                <w:rFonts w:eastAsia="Calibri"/>
                <w:szCs w:val="24"/>
                <w:highlight w:val="lightGray"/>
              </w:rPr>
              <w:t>(except under circumstances that are required by regulation, such as convalcence after surgery)</w:t>
            </w:r>
            <w:r>
              <w:rPr>
                <w:rFonts w:eastAsia="Calibri"/>
                <w:szCs w:val="24"/>
              </w:rPr>
              <w:t>, changed 12/19/17 to say - (except under unusual circumstances or where required by regulation)</w:t>
            </w:r>
          </w:p>
          <w:p w:rsidR="00ED541E" w:rsidRPr="00116FEA" w:rsidRDefault="00ED541E" w:rsidP="00C334D1">
            <w:pPr>
              <w:widowControl w:val="0"/>
              <w:numPr>
                <w:ilvl w:val="1"/>
                <w:numId w:val="73"/>
              </w:numPr>
              <w:tabs>
                <w:tab w:val="clear" w:pos="1440"/>
                <w:tab w:val="num" w:pos="870"/>
              </w:tabs>
              <w:ind w:left="780"/>
              <w:rPr>
                <w:rFonts w:eastAsia="Calibri"/>
                <w:szCs w:val="24"/>
              </w:rPr>
            </w:pPr>
            <w:r>
              <w:rPr>
                <w:rFonts w:eastAsia="Calibri"/>
                <w:szCs w:val="24"/>
              </w:rPr>
              <w:t>the evaluation is the prescribed schedular minimum within its diagnostic code</w:t>
            </w:r>
            <w:r w:rsidRPr="00D36CD9">
              <w:rPr>
                <w:rFonts w:eastAsia="Calibri"/>
                <w:i/>
                <w:szCs w:val="24"/>
              </w:rPr>
              <w:t xml:space="preserve"> </w:t>
            </w:r>
            <w:r w:rsidRPr="00D36CD9">
              <w:rPr>
                <w:rFonts w:eastAsia="Calibri"/>
              </w:rPr>
              <w:t>(</w:t>
            </w:r>
            <w:r w:rsidRPr="00D36CD9">
              <w:rPr>
                <w:bCs/>
                <w:i/>
                <w:color w:val="00B050"/>
              </w:rPr>
              <w:t>My Notes</w:t>
            </w:r>
            <w:r w:rsidRPr="00D36CD9">
              <w:rPr>
                <w:bCs/>
                <w:i/>
                <w:color w:val="000000"/>
              </w:rPr>
              <w:t xml:space="preserve">:  </w:t>
            </w:r>
            <w:r w:rsidRPr="00D36CD9">
              <w:rPr>
                <w:rFonts w:eastAsia="Calibri"/>
                <w:i/>
              </w:rPr>
              <w:t>This refers to DCs that have “Minimum” or “Minimum rating” listed, like 5054, 5055, 6029, 7018</w:t>
            </w:r>
            <w:r w:rsidR="0033055B">
              <w:rPr>
                <w:rFonts w:eastAsia="Calibri"/>
                <w:i/>
              </w:rPr>
              <w:t>, 8002</w:t>
            </w:r>
            <w:r w:rsidR="001843A2">
              <w:rPr>
                <w:rFonts w:eastAsia="Calibri"/>
                <w:i/>
              </w:rPr>
              <w:t>, 8017, 8018</w:t>
            </w:r>
            <w:r w:rsidRPr="00D36CD9">
              <w:rPr>
                <w:rFonts w:eastAsia="Calibri"/>
                <w:i/>
              </w:rPr>
              <w:t xml:space="preserve">, see </w:t>
            </w:r>
            <w:r w:rsidRPr="00D36CD9">
              <w:rPr>
                <w:bCs/>
                <w:i/>
                <w:color w:val="00B050"/>
              </w:rPr>
              <w:t>My Notes</w:t>
            </w:r>
            <w:r w:rsidRPr="00D36CD9">
              <w:rPr>
                <w:rFonts w:eastAsia="Calibri"/>
                <w:i/>
              </w:rPr>
              <w:t xml:space="preserve"> on next page for entire list.</w:t>
            </w:r>
            <w:r w:rsidRPr="00D36CD9">
              <w:rPr>
                <w:rFonts w:eastAsia="Calibri"/>
              </w:rPr>
              <w:t>)</w:t>
            </w:r>
          </w:p>
          <w:p w:rsidR="00ED541E" w:rsidRPr="00116FEA" w:rsidRDefault="00ED541E" w:rsidP="00C334D1">
            <w:pPr>
              <w:widowControl w:val="0"/>
              <w:numPr>
                <w:ilvl w:val="1"/>
                <w:numId w:val="73"/>
              </w:numPr>
              <w:tabs>
                <w:tab w:val="clear" w:pos="1440"/>
                <w:tab w:val="num" w:pos="870"/>
              </w:tabs>
              <w:ind w:left="780"/>
              <w:rPr>
                <w:rFonts w:eastAsia="Calibri"/>
                <w:szCs w:val="24"/>
              </w:rPr>
            </w:pPr>
            <w:r>
              <w:rPr>
                <w:rFonts w:eastAsia="Calibri"/>
                <w:szCs w:val="24"/>
              </w:rPr>
              <w:t xml:space="preserve">the evaluation is 10 percent or less </w:t>
            </w:r>
            <w:r w:rsidRPr="00D36CD9">
              <w:rPr>
                <w:rFonts w:eastAsia="Calibri"/>
                <w:szCs w:val="24"/>
              </w:rPr>
              <w:t>(</w:t>
            </w:r>
            <w:r w:rsidRPr="00D36CD9">
              <w:rPr>
                <w:bCs/>
                <w:i/>
                <w:color w:val="00B050"/>
              </w:rPr>
              <w:t>My Notes</w:t>
            </w:r>
            <w:r w:rsidRPr="00D36CD9">
              <w:rPr>
                <w:bCs/>
                <w:i/>
                <w:color w:val="000000"/>
              </w:rPr>
              <w:t xml:space="preserve">:  </w:t>
            </w:r>
            <w:r w:rsidRPr="00D36CD9">
              <w:rPr>
                <w:rFonts w:eastAsia="Calibri"/>
                <w:i/>
                <w:szCs w:val="24"/>
              </w:rPr>
              <w:t>This is not listed under 3.327(b)(2)</w:t>
            </w:r>
            <w:r w:rsidRPr="00D36CD9">
              <w:rPr>
                <w:rFonts w:eastAsia="Calibri"/>
                <w:szCs w:val="24"/>
              </w:rPr>
              <w:t>)</w:t>
            </w:r>
          </w:p>
          <w:p w:rsidR="00ED541E" w:rsidRDefault="00ED541E" w:rsidP="00C334D1">
            <w:pPr>
              <w:widowControl w:val="0"/>
              <w:numPr>
                <w:ilvl w:val="1"/>
                <w:numId w:val="73"/>
              </w:numPr>
              <w:tabs>
                <w:tab w:val="clear" w:pos="1440"/>
                <w:tab w:val="num" w:pos="870"/>
              </w:tabs>
              <w:spacing w:after="120"/>
              <w:ind w:left="780"/>
              <w:rPr>
                <w:rFonts w:eastAsia="Calibri"/>
                <w:szCs w:val="24"/>
              </w:rPr>
            </w:pPr>
            <w:r>
              <w:rPr>
                <w:rFonts w:eastAsia="Calibri"/>
                <w:szCs w:val="24"/>
              </w:rPr>
              <w:t>the combined evaluation would not change even if the reexamination resulted in a reduced evaluation for one or more disabilities</w:t>
            </w:r>
          </w:p>
          <w:p w:rsidR="00ED541E" w:rsidRPr="004F5277" w:rsidRDefault="00ED541E" w:rsidP="00302052">
            <w:pPr>
              <w:pBdr>
                <w:top w:val="single" w:sz="4" w:space="1" w:color="auto"/>
                <w:left w:val="single" w:sz="4" w:space="4" w:color="auto"/>
                <w:bottom w:val="single" w:sz="4" w:space="1" w:color="auto"/>
                <w:right w:val="single" w:sz="4" w:space="4" w:color="auto"/>
              </w:pBdr>
              <w:spacing w:after="120"/>
              <w:ind w:left="418" w:right="245"/>
            </w:pPr>
            <w:r>
              <w:t>Rating Note:  The {date} RFE has been cancelled for {disability}</w:t>
            </w:r>
            <w:r w:rsidRPr="004F5277">
              <w:t xml:space="preserve"> because </w:t>
            </w:r>
            <w:r w:rsidRPr="004F5277">
              <w:rPr>
                <w:b/>
                <w:bCs/>
              </w:rPr>
              <w:t>III.iv.3.B.2.d</w:t>
            </w:r>
            <w:r w:rsidRPr="004F5277">
              <w:rPr>
                <w:bCs/>
              </w:rPr>
              <w:t xml:space="preserve"> </w:t>
            </w:r>
            <w:r w:rsidRPr="004F5277">
              <w:t>says we are not to do RFEs if the evaluation is 10 percent or less.</w:t>
            </w:r>
          </w:p>
          <w:p w:rsidR="00ED541E" w:rsidRPr="004B2DFF" w:rsidRDefault="00ED541E" w:rsidP="00C334D1">
            <w:pPr>
              <w:widowControl w:val="0"/>
              <w:numPr>
                <w:ilvl w:val="0"/>
                <w:numId w:val="73"/>
              </w:numPr>
              <w:tabs>
                <w:tab w:val="clear" w:pos="720"/>
                <w:tab w:val="num" w:pos="420"/>
              </w:tabs>
              <w:spacing w:after="120"/>
              <w:ind w:left="420"/>
              <w:rPr>
                <w:rFonts w:eastAsia="Calibri"/>
                <w:szCs w:val="24"/>
              </w:rPr>
            </w:pPr>
            <w:r>
              <w:rPr>
                <w:b/>
                <w:bCs/>
              </w:rPr>
              <w:t>III.iv.3.B.2.e</w:t>
            </w:r>
            <w:r w:rsidRPr="000C2155">
              <w:rPr>
                <w:bCs/>
              </w:rPr>
              <w:t xml:space="preserve"> – </w:t>
            </w:r>
            <w:r>
              <w:rPr>
                <w:bCs/>
              </w:rPr>
              <w:t xml:space="preserve">table on if </w:t>
            </w:r>
            <w:r w:rsidRPr="00A77BD8">
              <w:t>over 55 years of age</w:t>
            </w:r>
            <w:r>
              <w:t xml:space="preserve"> (consider age at time of RFE, do not schedule RFE if 55 when 810 expires, delete RFE from codesheet/Master Record eve</w:t>
            </w:r>
            <w:r w:rsidR="00E07DBB">
              <w:t>n if reviewing unrelated claim</w:t>
            </w:r>
            <w:r w:rsidR="00302052">
              <w:t xml:space="preserve">; </w:t>
            </w:r>
            <w:r w:rsidR="00302052">
              <w:rPr>
                <w:i/>
              </w:rPr>
              <w:t>per CO, g</w:t>
            </w:r>
            <w:r w:rsidR="00302052" w:rsidRPr="00302052">
              <w:rPr>
                <w:i/>
              </w:rPr>
              <w:t>rant Ch35/DEA, if applicable, effective the date of review, based on difference of opinion</w:t>
            </w:r>
            <w:r w:rsidR="00302052">
              <w:t>)</w:t>
            </w:r>
          </w:p>
          <w:p w:rsidR="00ED541E" w:rsidRPr="004B2DFF" w:rsidRDefault="00ED541E" w:rsidP="00C334D1">
            <w:pPr>
              <w:widowControl w:val="0"/>
              <w:pBdr>
                <w:top w:val="single" w:sz="4" w:space="1" w:color="auto"/>
                <w:left w:val="single" w:sz="4" w:space="4" w:color="auto"/>
                <w:bottom w:val="single" w:sz="4" w:space="1" w:color="auto"/>
                <w:right w:val="single" w:sz="4" w:space="4" w:color="auto"/>
              </w:pBdr>
              <w:tabs>
                <w:tab w:val="left" w:pos="10050"/>
              </w:tabs>
              <w:spacing w:after="120"/>
              <w:ind w:left="420" w:right="250"/>
              <w:rPr>
                <w:rFonts w:eastAsia="Calibri"/>
                <w:szCs w:val="24"/>
              </w:rPr>
            </w:pPr>
            <w:r>
              <w:t xml:space="preserve">Rating Note:  </w:t>
            </w:r>
            <w:r w:rsidRPr="004B2DFF">
              <w:rPr>
                <w:rFonts w:eastAsia="Calibri"/>
                <w:szCs w:val="24"/>
              </w:rPr>
              <w:t>The {date} RFE for {disability} has been cancelled, per III.iv.3.B.2.</w:t>
            </w:r>
            <w:r>
              <w:rPr>
                <w:rFonts w:eastAsia="Calibri"/>
                <w:szCs w:val="24"/>
              </w:rPr>
              <w:t>e, because the veteran {is age 55 or older / will be age 55 or older by the time the RFE is conducted} and there are no specific regulations requiring an RFE, nor any unusual circumstances involved in this case.</w:t>
            </w:r>
          </w:p>
          <w:p w:rsidR="00ED541E" w:rsidRDefault="00ED541E" w:rsidP="00C334D1">
            <w:pPr>
              <w:widowControl w:val="0"/>
              <w:numPr>
                <w:ilvl w:val="0"/>
                <w:numId w:val="73"/>
              </w:numPr>
              <w:tabs>
                <w:tab w:val="clear" w:pos="720"/>
                <w:tab w:val="num" w:pos="420"/>
              </w:tabs>
              <w:spacing w:after="120"/>
              <w:ind w:left="420"/>
              <w:rPr>
                <w:rFonts w:eastAsia="Calibri"/>
                <w:szCs w:val="24"/>
              </w:rPr>
            </w:pPr>
            <w:r w:rsidRPr="004B2DFF">
              <w:rPr>
                <w:rFonts w:eastAsia="Calibri"/>
                <w:b/>
                <w:szCs w:val="24"/>
              </w:rPr>
              <w:t>III.iv.3.B.2.i</w:t>
            </w:r>
            <w:r>
              <w:rPr>
                <w:rFonts w:eastAsia="Calibri"/>
                <w:szCs w:val="24"/>
              </w:rPr>
              <w:t xml:space="preserve"> – changing RFEs from 5 years to 3 years, or cancelling them</w:t>
            </w:r>
          </w:p>
          <w:p w:rsidR="00ED541E" w:rsidRDefault="00ED541E" w:rsidP="00C334D1">
            <w:pPr>
              <w:widowControl w:val="0"/>
              <w:pBdr>
                <w:top w:val="single" w:sz="4" w:space="1" w:color="auto"/>
                <w:left w:val="single" w:sz="4" w:space="4" w:color="auto"/>
                <w:bottom w:val="single" w:sz="4" w:space="1" w:color="auto"/>
                <w:right w:val="single" w:sz="4" w:space="4" w:color="auto"/>
              </w:pBdr>
              <w:spacing w:after="120"/>
              <w:ind w:left="420" w:right="150"/>
              <w:rPr>
                <w:rFonts w:eastAsia="Calibri"/>
                <w:szCs w:val="24"/>
              </w:rPr>
            </w:pPr>
            <w:r>
              <w:t xml:space="preserve">Rating Note:  </w:t>
            </w:r>
            <w:r w:rsidRPr="004B2DFF">
              <w:rPr>
                <w:rFonts w:eastAsia="Calibri"/>
                <w:szCs w:val="24"/>
              </w:rPr>
              <w:t xml:space="preserve">The {date} RFE for {disability} has been {changed to {}, per III.iv.3.B.2.i / cancelled, per </w:t>
            </w:r>
            <w:r>
              <w:rPr>
                <w:rFonts w:eastAsia="Calibri"/>
                <w:szCs w:val="24"/>
              </w:rPr>
              <w:t>III.iv.3.B.2.i, because it was not warranted per III.iv.3.B.2.a &amp; III.iv.3.B.2.b</w:t>
            </w:r>
            <w:r w:rsidRPr="004B2DFF">
              <w:rPr>
                <w:rFonts w:eastAsia="Calibri"/>
                <w:szCs w:val="24"/>
              </w:rPr>
              <w:t>}.</w:t>
            </w:r>
          </w:p>
          <w:p w:rsidR="00ED541E" w:rsidRDefault="00ED541E" w:rsidP="00C334D1">
            <w:pPr>
              <w:widowControl w:val="0"/>
              <w:pBdr>
                <w:top w:val="single" w:sz="4" w:space="1" w:color="auto"/>
                <w:left w:val="single" w:sz="4" w:space="4" w:color="auto"/>
                <w:bottom w:val="single" w:sz="4" w:space="1" w:color="auto"/>
                <w:right w:val="single" w:sz="4" w:space="4" w:color="auto"/>
              </w:pBdr>
              <w:spacing w:after="120"/>
              <w:ind w:left="420" w:right="150"/>
              <w:rPr>
                <w:rFonts w:eastAsia="Calibri"/>
                <w:szCs w:val="24"/>
              </w:rPr>
            </w:pPr>
            <w:r>
              <w:t xml:space="preserve">Rating Note:  </w:t>
            </w:r>
            <w:r w:rsidRPr="004B2DFF">
              <w:rPr>
                <w:rFonts w:eastAsia="Calibri"/>
                <w:szCs w:val="24"/>
              </w:rPr>
              <w:t xml:space="preserve">The {date} RFE for {disability} has been </w:t>
            </w:r>
            <w:r>
              <w:rPr>
                <w:rFonts w:eastAsia="Calibri"/>
                <w:szCs w:val="24"/>
              </w:rPr>
              <w:t>cancelled because the combined evaluation would no longer change even if the reexamination resulted in a reduced evaluation, per III.iv.3.B.2.d</w:t>
            </w:r>
            <w:r w:rsidRPr="004B2DFF">
              <w:rPr>
                <w:rFonts w:eastAsia="Calibri"/>
                <w:szCs w:val="24"/>
              </w:rPr>
              <w:t>.</w:t>
            </w:r>
          </w:p>
          <w:p w:rsidR="00ED541E" w:rsidRPr="004B2DFF" w:rsidRDefault="00ED541E" w:rsidP="00C334D1">
            <w:pPr>
              <w:widowControl w:val="0"/>
              <w:pBdr>
                <w:top w:val="single" w:sz="4" w:space="1" w:color="auto"/>
                <w:left w:val="single" w:sz="4" w:space="4" w:color="auto"/>
                <w:bottom w:val="single" w:sz="4" w:space="1" w:color="auto"/>
                <w:right w:val="single" w:sz="4" w:space="4" w:color="auto"/>
              </w:pBdr>
              <w:spacing w:after="120"/>
              <w:ind w:left="420" w:right="150"/>
              <w:rPr>
                <w:rFonts w:eastAsia="Calibri"/>
                <w:szCs w:val="24"/>
              </w:rPr>
            </w:pPr>
            <w:r>
              <w:t xml:space="preserve">Rating Note:  </w:t>
            </w:r>
            <w:r>
              <w:rPr>
                <w:rFonts w:eastAsia="Calibri"/>
                <w:szCs w:val="24"/>
              </w:rPr>
              <w:t>The {</w:t>
            </w:r>
            <w:r w:rsidRPr="004B2DFF">
              <w:rPr>
                <w:rFonts w:eastAsia="Calibri"/>
                <w:szCs w:val="24"/>
              </w:rPr>
              <w:t xml:space="preserve">date} RFE for {disability} has been </w:t>
            </w:r>
            <w:r>
              <w:rPr>
                <w:rFonts w:eastAsia="Calibri"/>
                <w:szCs w:val="24"/>
              </w:rPr>
              <w:t>changed to an At Once exam</w:t>
            </w:r>
            <w:r w:rsidRPr="004B2DFF">
              <w:rPr>
                <w:rFonts w:eastAsia="Calibri"/>
                <w:szCs w:val="24"/>
              </w:rPr>
              <w:t>, per III.iv.3.B.2.i</w:t>
            </w:r>
            <w:r>
              <w:rPr>
                <w:rFonts w:eastAsia="Calibri"/>
                <w:szCs w:val="24"/>
              </w:rPr>
              <w:t>, as the prior RD is more than three years old and the RFE needs to be conducted now.</w:t>
            </w:r>
          </w:p>
          <w:p w:rsidR="00ED541E" w:rsidRPr="000F483F" w:rsidRDefault="00ED541E" w:rsidP="00C334D1">
            <w:pPr>
              <w:widowControl w:val="0"/>
              <w:numPr>
                <w:ilvl w:val="0"/>
                <w:numId w:val="73"/>
              </w:numPr>
              <w:tabs>
                <w:tab w:val="clear" w:pos="720"/>
                <w:tab w:val="num" w:pos="420"/>
              </w:tabs>
              <w:spacing w:after="120"/>
              <w:ind w:left="420"/>
              <w:rPr>
                <w:rFonts w:eastAsia="Calibri"/>
                <w:szCs w:val="24"/>
              </w:rPr>
            </w:pPr>
            <w:r>
              <w:rPr>
                <w:rFonts w:eastAsia="Calibri"/>
                <w:b/>
                <w:szCs w:val="24"/>
              </w:rPr>
              <w:t>III.iv.3.B.2.l</w:t>
            </w:r>
            <w:r w:rsidRPr="000C2155">
              <w:rPr>
                <w:rFonts w:eastAsia="Calibri"/>
                <w:szCs w:val="24"/>
              </w:rPr>
              <w:t xml:space="preserve"> </w:t>
            </w:r>
            <w:r w:rsidRPr="009E2F62">
              <w:rPr>
                <w:rFonts w:eastAsia="Calibri"/>
                <w:szCs w:val="24"/>
                <w:highlight w:val="darkGray"/>
              </w:rPr>
              <w:t>as of 3/18/16, says “</w:t>
            </w:r>
            <w:r w:rsidRPr="009E2F62">
              <w:rPr>
                <w:highlight w:val="darkGray"/>
              </w:rPr>
              <w:t xml:space="preserve">If it is determined that a future examination should be canceled and … the disability for which the review examination was requested is </w:t>
            </w:r>
            <w:r w:rsidRPr="009E2F62">
              <w:rPr>
                <w:i/>
                <w:highlight w:val="darkGray"/>
              </w:rPr>
              <w:t xml:space="preserve">not </w:t>
            </w:r>
            <w:r w:rsidRPr="009E2F62">
              <w:rPr>
                <w:highlight w:val="darkGray"/>
              </w:rPr>
              <w:t>totally disabling, prepare a rating decision establishing permanence”;</w:t>
            </w:r>
            <w:r>
              <w:t xml:space="preserve"> as of 12/19/17</w:t>
            </w:r>
            <w:r w:rsidRPr="000C2155">
              <w:rPr>
                <w:rFonts w:eastAsia="Calibri"/>
                <w:szCs w:val="24"/>
              </w:rPr>
              <w:t>, says</w:t>
            </w:r>
            <w:r>
              <w:rPr>
                <w:rFonts w:eastAsia="Calibri"/>
                <w:szCs w:val="24"/>
              </w:rPr>
              <w:t xml:space="preserve"> </w:t>
            </w:r>
            <w:r w:rsidRPr="000C2155">
              <w:rPr>
                <w:rFonts w:eastAsia="Calibri"/>
                <w:szCs w:val="24"/>
              </w:rPr>
              <w:t>“</w:t>
            </w:r>
            <w:r w:rsidRPr="000C54A1">
              <w:t>If it is determined that a future examination should be canceled and</w:t>
            </w:r>
            <w:r>
              <w:t xml:space="preserve"> the Veteran’s combined evaluation reflects total disability (100% schedular or IU), then </w:t>
            </w:r>
            <w:r w:rsidRPr="000C54A1">
              <w:t>prepare a rating decision establishing permanence</w:t>
            </w:r>
            <w:r>
              <w:t xml:space="preserve"> by awarding (DEA/Ch35)</w:t>
            </w:r>
            <w:r w:rsidRPr="000C54A1">
              <w:t>.”</w:t>
            </w:r>
            <w:r>
              <w:t xml:space="preserve">  AND </w:t>
            </w:r>
            <w:r w:rsidRPr="000C2155">
              <w:rPr>
                <w:rFonts w:eastAsia="Calibri"/>
                <w:szCs w:val="24"/>
              </w:rPr>
              <w:t>“</w:t>
            </w:r>
            <w:r w:rsidRPr="000C54A1">
              <w:t>If it is determined that a future examination should be canceled and</w:t>
            </w:r>
            <w:r>
              <w:t xml:space="preserve"> the Veteran’s combined evaluation does </w:t>
            </w:r>
            <w:r w:rsidRPr="00A51C8E">
              <w:rPr>
                <w:i/>
              </w:rPr>
              <w:t>not</w:t>
            </w:r>
            <w:r>
              <w:t xml:space="preserve"> reflect total disability, then </w:t>
            </w:r>
            <w:r w:rsidRPr="000C54A1">
              <w:t>prepare a rating decision establishing permanence</w:t>
            </w:r>
            <w:r>
              <w:t xml:space="preserve"> by confirming and continuing the existing evaluation of any disability for which review examination was originally scheduled, and identifying the disability(ies) as static, warting no additional or future examination</w:t>
            </w:r>
            <w:r w:rsidRPr="000C54A1">
              <w:t>.”</w:t>
            </w:r>
          </w:p>
          <w:p w:rsidR="00ED541E" w:rsidRDefault="00ED541E" w:rsidP="00C334D1">
            <w:pPr>
              <w:widowControl w:val="0"/>
              <w:numPr>
                <w:ilvl w:val="0"/>
                <w:numId w:val="73"/>
              </w:numPr>
              <w:tabs>
                <w:tab w:val="clear" w:pos="720"/>
                <w:tab w:val="num" w:pos="420"/>
              </w:tabs>
              <w:spacing w:after="120"/>
              <w:ind w:left="420"/>
              <w:rPr>
                <w:b/>
                <w:bCs/>
              </w:rPr>
            </w:pPr>
            <w:r>
              <w:rPr>
                <w:b/>
                <w:bCs/>
              </w:rPr>
              <w:t>III.iv.3.D.5.a</w:t>
            </w:r>
            <w:r>
              <w:rPr>
                <w:bCs/>
              </w:rPr>
              <w:t xml:space="preserve"> – if an RFE shows worsening, increase from date of exam</w:t>
            </w:r>
          </w:p>
          <w:p w:rsidR="00ED541E" w:rsidRPr="00072EE4" w:rsidRDefault="00ED541E" w:rsidP="00C334D1">
            <w:pPr>
              <w:widowControl w:val="0"/>
              <w:numPr>
                <w:ilvl w:val="0"/>
                <w:numId w:val="73"/>
              </w:numPr>
              <w:tabs>
                <w:tab w:val="clear" w:pos="720"/>
                <w:tab w:val="num" w:pos="420"/>
              </w:tabs>
              <w:spacing w:after="120"/>
              <w:ind w:left="420"/>
              <w:rPr>
                <w:b/>
                <w:bCs/>
              </w:rPr>
            </w:pPr>
            <w:r>
              <w:rPr>
                <w:b/>
                <w:bCs/>
              </w:rPr>
              <w:t xml:space="preserve">III.iv.3.D.5.b </w:t>
            </w:r>
            <w:r>
              <w:rPr>
                <w:bCs/>
              </w:rPr>
              <w:t>– if an RFE shows additional residual / complication / secondary disabilities (per Part 4 or other official guidance) or surgical scar, grant SC from date of exam; if medical evidence says it’s related but it’s not a common complication / residual / secondary disability (per Part 4 or other official guidance), solicit claim [but if veteran says they want SC at the exam, it’s an RFA]</w:t>
            </w:r>
          </w:p>
          <w:p w:rsidR="00ED541E" w:rsidRPr="00D66F32" w:rsidRDefault="00ED541E" w:rsidP="00C334D1">
            <w:pPr>
              <w:pStyle w:val="Header"/>
              <w:widowControl w:val="0"/>
              <w:numPr>
                <w:ilvl w:val="0"/>
                <w:numId w:val="73"/>
              </w:numPr>
              <w:tabs>
                <w:tab w:val="clear" w:pos="720"/>
                <w:tab w:val="clear" w:pos="4320"/>
                <w:tab w:val="clear" w:pos="8640"/>
                <w:tab w:val="num" w:pos="420"/>
                <w:tab w:val="num" w:pos="780"/>
              </w:tabs>
              <w:spacing w:after="120"/>
              <w:ind w:left="420"/>
            </w:pPr>
            <w:r>
              <w:rPr>
                <w:b/>
              </w:rPr>
              <w:t xml:space="preserve">III.iv.5.B.3 </w:t>
            </w:r>
          </w:p>
          <w:p w:rsidR="00ED541E" w:rsidRPr="00072EE4" w:rsidRDefault="00ED541E" w:rsidP="00C334D1">
            <w:pPr>
              <w:pStyle w:val="Header"/>
              <w:widowControl w:val="0"/>
              <w:numPr>
                <w:ilvl w:val="0"/>
                <w:numId w:val="73"/>
              </w:numPr>
              <w:tabs>
                <w:tab w:val="clear" w:pos="720"/>
                <w:tab w:val="clear" w:pos="4320"/>
                <w:tab w:val="clear" w:pos="8640"/>
                <w:tab w:val="num" w:pos="420"/>
                <w:tab w:val="num" w:pos="780"/>
              </w:tabs>
              <w:spacing w:after="120"/>
              <w:ind w:left="420"/>
            </w:pPr>
            <w:r w:rsidRPr="00B304A4">
              <w:rPr>
                <w:b/>
              </w:rPr>
              <w:t>IV.ii.</w:t>
            </w:r>
            <w:r>
              <w:rPr>
                <w:b/>
              </w:rPr>
              <w:t>8.D.</w:t>
            </w:r>
            <w:r w:rsidRPr="00B304A4">
              <w:rPr>
                <w:b/>
              </w:rPr>
              <w:t>1</w:t>
            </w:r>
          </w:p>
          <w:p w:rsidR="00ED541E" w:rsidRDefault="00ED541E" w:rsidP="00C334D1">
            <w:pPr>
              <w:widowControl w:val="0"/>
              <w:numPr>
                <w:ilvl w:val="0"/>
                <w:numId w:val="73"/>
              </w:numPr>
              <w:tabs>
                <w:tab w:val="clear" w:pos="720"/>
                <w:tab w:val="num" w:pos="420"/>
                <w:tab w:val="num" w:pos="780"/>
              </w:tabs>
              <w:spacing w:after="120"/>
              <w:ind w:left="420"/>
              <w:rPr>
                <w:rStyle w:val="Strong"/>
              </w:rPr>
            </w:pPr>
            <w:r>
              <w:rPr>
                <w:rStyle w:val="Strong"/>
                <w:u w:val="single"/>
              </w:rPr>
              <w:t>Mandatory Routine Future Exams by Diagnostic Code</w:t>
            </w:r>
            <w:r>
              <w:rPr>
                <w:rStyle w:val="Strong"/>
              </w:rPr>
              <w:t xml:space="preserve"> </w:t>
            </w:r>
          </w:p>
          <w:tbl>
            <w:tblPr>
              <w:tblStyle w:val="TableGrid"/>
              <w:tblW w:w="0" w:type="auto"/>
              <w:tblInd w:w="484" w:type="dxa"/>
              <w:tblLayout w:type="fixed"/>
              <w:tblLook w:val="04A0" w:firstRow="1" w:lastRow="0" w:firstColumn="1" w:lastColumn="0" w:noHBand="0" w:noVBand="1"/>
            </w:tblPr>
            <w:tblGrid>
              <w:gridCol w:w="1368"/>
              <w:gridCol w:w="1296"/>
              <w:gridCol w:w="1494"/>
            </w:tblGrid>
            <w:tr w:rsidR="00ED541E" w:rsidTr="00C334D1">
              <w:tc>
                <w:tcPr>
                  <w:tcW w:w="1368" w:type="dxa"/>
                </w:tcPr>
                <w:p w:rsidR="00ED541E" w:rsidRDefault="00ED541E" w:rsidP="00C334D1">
                  <w:pPr>
                    <w:rPr>
                      <w:b/>
                      <w:bCs/>
                      <w:u w:val="single"/>
                    </w:rPr>
                  </w:pPr>
                  <w:r>
                    <w:rPr>
                      <w:b/>
                      <w:bCs/>
                      <w:u w:val="single"/>
                    </w:rPr>
                    <w:t>RFE in 2yrs</w:t>
                  </w:r>
                </w:p>
                <w:p w:rsidR="00ED541E" w:rsidRDefault="00ED541E" w:rsidP="00C334D1">
                  <w:pPr>
                    <w:rPr>
                      <w:bCs/>
                    </w:rPr>
                  </w:pPr>
                  <w:r>
                    <w:rPr>
                      <w:bCs/>
                    </w:rPr>
                    <w:t>6701</w:t>
                  </w:r>
                </w:p>
                <w:p w:rsidR="00ED541E" w:rsidRDefault="00ED541E" w:rsidP="00C334D1">
                  <w:pPr>
                    <w:rPr>
                      <w:bCs/>
                    </w:rPr>
                  </w:pPr>
                  <w:r>
                    <w:rPr>
                      <w:bCs/>
                    </w:rPr>
                    <w:t>6702</w:t>
                  </w:r>
                </w:p>
                <w:p w:rsidR="00ED541E" w:rsidRDefault="00ED541E" w:rsidP="00C334D1">
                  <w:pPr>
                    <w:rPr>
                      <w:bCs/>
                    </w:rPr>
                  </w:pPr>
                  <w:r>
                    <w:rPr>
                      <w:bCs/>
                    </w:rPr>
                    <w:t>6703</w:t>
                  </w:r>
                </w:p>
                <w:p w:rsidR="00ED541E" w:rsidRDefault="00ED541E" w:rsidP="00C334D1">
                  <w:pPr>
                    <w:rPr>
                      <w:bCs/>
                    </w:rPr>
                  </w:pPr>
                  <w:r>
                    <w:rPr>
                      <w:bCs/>
                    </w:rPr>
                    <w:t>6704</w:t>
                  </w:r>
                </w:p>
                <w:p w:rsidR="00ED541E" w:rsidRDefault="00ED541E" w:rsidP="00C334D1">
                  <w:pPr>
                    <w:rPr>
                      <w:bCs/>
                    </w:rPr>
                  </w:pPr>
                  <w:r>
                    <w:rPr>
                      <w:bCs/>
                    </w:rPr>
                    <w:t>6721</w:t>
                  </w:r>
                </w:p>
                <w:p w:rsidR="00ED541E" w:rsidRDefault="00ED541E" w:rsidP="00C334D1">
                  <w:pPr>
                    <w:rPr>
                      <w:bCs/>
                    </w:rPr>
                  </w:pPr>
                  <w:r>
                    <w:rPr>
                      <w:bCs/>
                    </w:rPr>
                    <w:t>6722</w:t>
                  </w:r>
                </w:p>
                <w:p w:rsidR="00ED541E" w:rsidRDefault="00ED541E" w:rsidP="00C334D1">
                  <w:pPr>
                    <w:rPr>
                      <w:bCs/>
                    </w:rPr>
                  </w:pPr>
                  <w:r>
                    <w:rPr>
                      <w:bCs/>
                    </w:rPr>
                    <w:t>6723</w:t>
                  </w:r>
                </w:p>
                <w:p w:rsidR="00ED541E" w:rsidRDefault="00ED541E" w:rsidP="00C334D1">
                  <w:pPr>
                    <w:rPr>
                      <w:bCs/>
                    </w:rPr>
                  </w:pPr>
                  <w:r>
                    <w:rPr>
                      <w:bCs/>
                    </w:rPr>
                    <w:t>6724</w:t>
                  </w:r>
                </w:p>
                <w:p w:rsidR="00ED541E" w:rsidRDefault="00ED541E" w:rsidP="00C334D1">
                  <w:pPr>
                    <w:rPr>
                      <w:bCs/>
                    </w:rPr>
                  </w:pPr>
                  <w:r>
                    <w:rPr>
                      <w:bCs/>
                    </w:rPr>
                    <w:t>8002</w:t>
                  </w:r>
                </w:p>
                <w:p w:rsidR="00ED541E" w:rsidRDefault="00ED541E" w:rsidP="00C334D1">
                  <w:pPr>
                    <w:rPr>
                      <w:bCs/>
                    </w:rPr>
                  </w:pPr>
                  <w:r>
                    <w:rPr>
                      <w:bCs/>
                    </w:rPr>
                    <w:t>8021</w:t>
                  </w:r>
                </w:p>
                <w:p w:rsidR="00ED541E" w:rsidRDefault="00ED541E" w:rsidP="00C334D1">
                  <w:pPr>
                    <w:rPr>
                      <w:bCs/>
                    </w:rPr>
                  </w:pPr>
                </w:p>
              </w:tc>
              <w:tc>
                <w:tcPr>
                  <w:tcW w:w="1296" w:type="dxa"/>
                </w:tcPr>
                <w:p w:rsidR="00ED541E" w:rsidRDefault="00ED541E" w:rsidP="00C334D1">
                  <w:pPr>
                    <w:rPr>
                      <w:b/>
                      <w:bCs/>
                      <w:u w:val="single"/>
                    </w:rPr>
                  </w:pPr>
                  <w:r>
                    <w:rPr>
                      <w:b/>
                      <w:bCs/>
                      <w:u w:val="single"/>
                    </w:rPr>
                    <w:t>RFE in 1yr</w:t>
                  </w:r>
                </w:p>
                <w:p w:rsidR="00ED541E" w:rsidRDefault="00ED541E" w:rsidP="00C334D1">
                  <w:pPr>
                    <w:rPr>
                      <w:bCs/>
                    </w:rPr>
                  </w:pPr>
                  <w:r>
                    <w:rPr>
                      <w:bCs/>
                    </w:rPr>
                    <w:t>5001</w:t>
                  </w:r>
                </w:p>
                <w:p w:rsidR="00ED541E" w:rsidRDefault="00ED541E" w:rsidP="00C334D1">
                  <w:pPr>
                    <w:rPr>
                      <w:bCs/>
                    </w:rPr>
                  </w:pPr>
                  <w:r>
                    <w:rPr>
                      <w:bCs/>
                    </w:rPr>
                    <w:t>5012</w:t>
                  </w:r>
                </w:p>
                <w:p w:rsidR="00ED541E" w:rsidRDefault="00ED541E" w:rsidP="00C334D1">
                  <w:pPr>
                    <w:rPr>
                      <w:bCs/>
                    </w:rPr>
                  </w:pPr>
                  <w:r>
                    <w:rPr>
                      <w:bCs/>
                    </w:rPr>
                    <w:t>6010</w:t>
                  </w:r>
                </w:p>
                <w:p w:rsidR="00ED541E" w:rsidRDefault="00ED541E" w:rsidP="00C334D1">
                  <w:pPr>
                    <w:rPr>
                      <w:bCs/>
                    </w:rPr>
                  </w:pPr>
                  <w:r>
                    <w:rPr>
                      <w:bCs/>
                    </w:rPr>
                    <w:t>6304</w:t>
                  </w:r>
                </w:p>
                <w:p w:rsidR="00ED541E" w:rsidRDefault="00ED541E" w:rsidP="00C334D1">
                  <w:pPr>
                    <w:rPr>
                      <w:bCs/>
                    </w:rPr>
                  </w:pPr>
                  <w:r>
                    <w:rPr>
                      <w:bCs/>
                    </w:rPr>
                    <w:t>6311</w:t>
                  </w:r>
                </w:p>
                <w:p w:rsidR="00ED541E" w:rsidRDefault="00ED541E" w:rsidP="00C334D1">
                  <w:pPr>
                    <w:rPr>
                      <w:bCs/>
                    </w:rPr>
                  </w:pPr>
                  <w:r>
                    <w:rPr>
                      <w:bCs/>
                    </w:rPr>
                    <w:t>6515</w:t>
                  </w:r>
                </w:p>
                <w:p w:rsidR="00ED541E" w:rsidRDefault="00ED541E" w:rsidP="00C334D1">
                  <w:pPr>
                    <w:rPr>
                      <w:bCs/>
                    </w:rPr>
                  </w:pPr>
                  <w:r>
                    <w:rPr>
                      <w:bCs/>
                    </w:rPr>
                    <w:t>6730</w:t>
                  </w:r>
                </w:p>
                <w:p w:rsidR="00ED541E" w:rsidRDefault="00ED541E" w:rsidP="00C334D1">
                  <w:pPr>
                    <w:rPr>
                      <w:bCs/>
                    </w:rPr>
                  </w:pPr>
                  <w:r>
                    <w:rPr>
                      <w:bCs/>
                    </w:rPr>
                    <w:t>6731</w:t>
                  </w:r>
                </w:p>
                <w:p w:rsidR="00ED541E" w:rsidRDefault="00ED541E" w:rsidP="00C334D1">
                  <w:pPr>
                    <w:rPr>
                      <w:bCs/>
                    </w:rPr>
                  </w:pPr>
                  <w:r>
                    <w:rPr>
                      <w:bCs/>
                    </w:rPr>
                    <w:t>6732</w:t>
                  </w:r>
                </w:p>
                <w:p w:rsidR="00ED541E" w:rsidRDefault="00ED541E" w:rsidP="00C334D1">
                  <w:pPr>
                    <w:rPr>
                      <w:bCs/>
                    </w:rPr>
                  </w:pPr>
                  <w:r>
                    <w:rPr>
                      <w:bCs/>
                    </w:rPr>
                    <w:t>7019</w:t>
                  </w:r>
                </w:p>
                <w:p w:rsidR="00ED541E" w:rsidRDefault="00ED541E" w:rsidP="00C334D1">
                  <w:pPr>
                    <w:rPr>
                      <w:bCs/>
                    </w:rPr>
                  </w:pPr>
                  <w:r>
                    <w:rPr>
                      <w:bCs/>
                    </w:rPr>
                    <w:t>7331</w:t>
                  </w:r>
                </w:p>
                <w:p w:rsidR="00ED541E" w:rsidRDefault="00ED541E" w:rsidP="00C334D1">
                  <w:pPr>
                    <w:rPr>
                      <w:bCs/>
                    </w:rPr>
                  </w:pPr>
                  <w:r>
                    <w:rPr>
                      <w:bCs/>
                    </w:rPr>
                    <w:t>7351</w:t>
                  </w:r>
                </w:p>
                <w:p w:rsidR="00ED541E" w:rsidRDefault="00ED541E" w:rsidP="00C334D1">
                  <w:pPr>
                    <w:rPr>
                      <w:bCs/>
                    </w:rPr>
                  </w:pPr>
                  <w:r>
                    <w:rPr>
                      <w:bCs/>
                    </w:rPr>
                    <w:t>7505</w:t>
                  </w:r>
                </w:p>
                <w:p w:rsidR="00ED541E" w:rsidRDefault="00ED541E" w:rsidP="00C334D1">
                  <w:pPr>
                    <w:rPr>
                      <w:bCs/>
                    </w:rPr>
                  </w:pPr>
                  <w:r>
                    <w:rPr>
                      <w:bCs/>
                    </w:rPr>
                    <w:t>7525</w:t>
                  </w:r>
                </w:p>
                <w:p w:rsidR="00ED541E" w:rsidRDefault="00ED541E" w:rsidP="00C334D1">
                  <w:pPr>
                    <w:rPr>
                      <w:bCs/>
                    </w:rPr>
                  </w:pPr>
                  <w:r>
                    <w:rPr>
                      <w:bCs/>
                    </w:rPr>
                    <w:t>7531</w:t>
                  </w:r>
                </w:p>
                <w:p w:rsidR="00ED541E" w:rsidRDefault="00ED541E" w:rsidP="00C334D1">
                  <w:pPr>
                    <w:rPr>
                      <w:bCs/>
                    </w:rPr>
                  </w:pPr>
                  <w:r>
                    <w:rPr>
                      <w:bCs/>
                    </w:rPr>
                    <w:t>7710</w:t>
                  </w:r>
                </w:p>
                <w:p w:rsidR="00ED541E" w:rsidRDefault="00ED541E" w:rsidP="00C334D1">
                  <w:pPr>
                    <w:rPr>
                      <w:bCs/>
                    </w:rPr>
                  </w:pPr>
                  <w:r>
                    <w:rPr>
                      <w:bCs/>
                    </w:rPr>
                    <w:t>7811</w:t>
                  </w:r>
                </w:p>
                <w:p w:rsidR="00ED541E" w:rsidRDefault="00ED541E" w:rsidP="00C334D1">
                  <w:pPr>
                    <w:rPr>
                      <w:bCs/>
                    </w:rPr>
                  </w:pPr>
                </w:p>
              </w:tc>
              <w:tc>
                <w:tcPr>
                  <w:tcW w:w="1494" w:type="dxa"/>
                </w:tcPr>
                <w:p w:rsidR="00ED541E" w:rsidRPr="00B753EF" w:rsidRDefault="00ED541E" w:rsidP="00C334D1">
                  <w:pPr>
                    <w:rPr>
                      <w:b/>
                      <w:bCs/>
                      <w:u w:val="single"/>
                    </w:rPr>
                  </w:pPr>
                  <w:r>
                    <w:rPr>
                      <w:b/>
                      <w:bCs/>
                      <w:u w:val="single"/>
                    </w:rPr>
                    <w:t>RFE in 6mos</w:t>
                  </w:r>
                </w:p>
                <w:p w:rsidR="00ED541E" w:rsidRDefault="00ED541E" w:rsidP="00C334D1">
                  <w:pPr>
                    <w:rPr>
                      <w:bCs/>
                    </w:rPr>
                  </w:pPr>
                  <w:r>
                    <w:rPr>
                      <w:bCs/>
                    </w:rPr>
                    <w:t>5327</w:t>
                  </w:r>
                </w:p>
                <w:p w:rsidR="00ED541E" w:rsidRDefault="00ED541E" w:rsidP="00C334D1">
                  <w:pPr>
                    <w:rPr>
                      <w:bCs/>
                    </w:rPr>
                  </w:pPr>
                  <w:r>
                    <w:rPr>
                      <w:bCs/>
                    </w:rPr>
                    <w:t>5329</w:t>
                  </w:r>
                </w:p>
                <w:p w:rsidR="00ED541E" w:rsidRDefault="00ED541E" w:rsidP="00C334D1">
                  <w:pPr>
                    <w:rPr>
                      <w:bCs/>
                    </w:rPr>
                  </w:pPr>
                  <w:r>
                    <w:rPr>
                      <w:bCs/>
                    </w:rPr>
                    <w:t>6014</w:t>
                  </w:r>
                </w:p>
                <w:p w:rsidR="00ED541E" w:rsidRDefault="00ED541E" w:rsidP="00C334D1">
                  <w:pPr>
                    <w:rPr>
                      <w:bCs/>
                    </w:rPr>
                  </w:pPr>
                  <w:r>
                    <w:rPr>
                      <w:bCs/>
                    </w:rPr>
                    <w:t>6208</w:t>
                  </w:r>
                </w:p>
                <w:p w:rsidR="00ED541E" w:rsidRDefault="00ED541E" w:rsidP="00C334D1">
                  <w:pPr>
                    <w:rPr>
                      <w:bCs/>
                    </w:rPr>
                  </w:pPr>
                  <w:r>
                    <w:rPr>
                      <w:bCs/>
                    </w:rPr>
                    <w:t>6300</w:t>
                  </w:r>
                </w:p>
                <w:p w:rsidR="00ED541E" w:rsidRDefault="00ED541E" w:rsidP="00C334D1">
                  <w:pPr>
                    <w:rPr>
                      <w:bCs/>
                    </w:rPr>
                  </w:pPr>
                  <w:r>
                    <w:rPr>
                      <w:bCs/>
                    </w:rPr>
                    <w:t>6301</w:t>
                  </w:r>
                </w:p>
                <w:p w:rsidR="00ED541E" w:rsidRDefault="00ED541E" w:rsidP="00C334D1">
                  <w:pPr>
                    <w:rPr>
                      <w:bCs/>
                    </w:rPr>
                  </w:pPr>
                  <w:r>
                    <w:rPr>
                      <w:bCs/>
                    </w:rPr>
                    <w:t>6302</w:t>
                  </w:r>
                </w:p>
                <w:p w:rsidR="00ED541E" w:rsidRDefault="00ED541E" w:rsidP="00C334D1">
                  <w:pPr>
                    <w:rPr>
                      <w:bCs/>
                    </w:rPr>
                  </w:pPr>
                  <w:r>
                    <w:rPr>
                      <w:bCs/>
                    </w:rPr>
                    <w:t>6304</w:t>
                  </w:r>
                </w:p>
                <w:p w:rsidR="00ED541E" w:rsidRDefault="00ED541E" w:rsidP="00C334D1">
                  <w:pPr>
                    <w:rPr>
                      <w:bCs/>
                    </w:rPr>
                  </w:pPr>
                  <w:r>
                    <w:rPr>
                      <w:bCs/>
                    </w:rPr>
                    <w:t>6305</w:t>
                  </w:r>
                </w:p>
                <w:p w:rsidR="00ED541E" w:rsidRDefault="00ED541E" w:rsidP="00C334D1">
                  <w:pPr>
                    <w:rPr>
                      <w:bCs/>
                    </w:rPr>
                  </w:pPr>
                  <w:r>
                    <w:rPr>
                      <w:bCs/>
                    </w:rPr>
                    <w:t>6306</w:t>
                  </w:r>
                </w:p>
                <w:p w:rsidR="00ED541E" w:rsidRDefault="00ED541E" w:rsidP="00C334D1">
                  <w:pPr>
                    <w:rPr>
                      <w:bCs/>
                    </w:rPr>
                  </w:pPr>
                  <w:r>
                    <w:rPr>
                      <w:bCs/>
                    </w:rPr>
                    <w:t>6307</w:t>
                  </w:r>
                </w:p>
                <w:p w:rsidR="00ED541E" w:rsidRDefault="00ED541E" w:rsidP="00C334D1">
                  <w:pPr>
                    <w:rPr>
                      <w:bCs/>
                    </w:rPr>
                  </w:pPr>
                  <w:r>
                    <w:rPr>
                      <w:bCs/>
                    </w:rPr>
                    <w:t>6308</w:t>
                  </w:r>
                </w:p>
                <w:p w:rsidR="00ED541E" w:rsidRDefault="00ED541E" w:rsidP="00C334D1">
                  <w:pPr>
                    <w:rPr>
                      <w:bCs/>
                    </w:rPr>
                  </w:pPr>
                  <w:r>
                    <w:rPr>
                      <w:bCs/>
                    </w:rPr>
                    <w:t>6317</w:t>
                  </w:r>
                </w:p>
                <w:p w:rsidR="00ED541E" w:rsidRDefault="00ED541E" w:rsidP="00C334D1">
                  <w:pPr>
                    <w:rPr>
                      <w:bCs/>
                    </w:rPr>
                  </w:pPr>
                  <w:r>
                    <w:rPr>
                      <w:bCs/>
                    </w:rPr>
                    <w:t>6819</w:t>
                  </w:r>
                </w:p>
                <w:p w:rsidR="00ED541E" w:rsidRDefault="00ED541E" w:rsidP="00C334D1">
                  <w:pPr>
                    <w:rPr>
                      <w:bCs/>
                    </w:rPr>
                  </w:pPr>
                  <w:r>
                    <w:rPr>
                      <w:bCs/>
                    </w:rPr>
                    <w:t>7011</w:t>
                  </w:r>
                </w:p>
                <w:p w:rsidR="00ED541E" w:rsidRDefault="00ED541E" w:rsidP="00C334D1">
                  <w:pPr>
                    <w:rPr>
                      <w:bCs/>
                    </w:rPr>
                  </w:pPr>
                  <w:r>
                    <w:rPr>
                      <w:bCs/>
                    </w:rPr>
                    <w:t>7016</w:t>
                  </w:r>
                </w:p>
                <w:p w:rsidR="00ED541E" w:rsidRDefault="00ED541E" w:rsidP="00C334D1">
                  <w:pPr>
                    <w:rPr>
                      <w:bCs/>
                    </w:rPr>
                  </w:pPr>
                  <w:r>
                    <w:rPr>
                      <w:bCs/>
                    </w:rPr>
                    <w:t>7110</w:t>
                  </w:r>
                </w:p>
                <w:p w:rsidR="00ED541E" w:rsidRDefault="00ED541E" w:rsidP="00C334D1">
                  <w:pPr>
                    <w:rPr>
                      <w:bCs/>
                    </w:rPr>
                  </w:pPr>
                  <w:r>
                    <w:rPr>
                      <w:bCs/>
                    </w:rPr>
                    <w:t>7111</w:t>
                  </w:r>
                </w:p>
                <w:p w:rsidR="00ED541E" w:rsidRDefault="00ED541E" w:rsidP="00C334D1">
                  <w:pPr>
                    <w:rPr>
                      <w:bCs/>
                    </w:rPr>
                  </w:pPr>
                  <w:r>
                    <w:rPr>
                      <w:bCs/>
                    </w:rPr>
                    <w:t>7123</w:t>
                  </w:r>
                </w:p>
                <w:p w:rsidR="00ED541E" w:rsidRDefault="00ED541E" w:rsidP="00C334D1">
                  <w:pPr>
                    <w:rPr>
                      <w:bCs/>
                    </w:rPr>
                  </w:pPr>
                  <w:r>
                    <w:rPr>
                      <w:bCs/>
                    </w:rPr>
                    <w:t>7343</w:t>
                  </w:r>
                </w:p>
                <w:p w:rsidR="00ED541E" w:rsidRDefault="00ED541E" w:rsidP="00C334D1">
                  <w:pPr>
                    <w:rPr>
                      <w:bCs/>
                    </w:rPr>
                  </w:pPr>
                  <w:r>
                    <w:rPr>
                      <w:bCs/>
                    </w:rPr>
                    <w:t>7528</w:t>
                  </w:r>
                </w:p>
                <w:p w:rsidR="00ED541E" w:rsidRDefault="00ED541E" w:rsidP="00C334D1">
                  <w:pPr>
                    <w:rPr>
                      <w:bCs/>
                    </w:rPr>
                  </w:pPr>
                  <w:r>
                    <w:rPr>
                      <w:bCs/>
                    </w:rPr>
                    <w:t>7627</w:t>
                  </w:r>
                </w:p>
                <w:p w:rsidR="00ED541E" w:rsidRDefault="00ED541E" w:rsidP="00C334D1">
                  <w:pPr>
                    <w:rPr>
                      <w:bCs/>
                    </w:rPr>
                  </w:pPr>
                  <w:r>
                    <w:rPr>
                      <w:bCs/>
                    </w:rPr>
                    <w:t>7702</w:t>
                  </w:r>
                </w:p>
                <w:p w:rsidR="00ED541E" w:rsidRDefault="00ED541E" w:rsidP="00C334D1">
                  <w:pPr>
                    <w:rPr>
                      <w:bCs/>
                    </w:rPr>
                  </w:pPr>
                  <w:r>
                    <w:rPr>
                      <w:bCs/>
                    </w:rPr>
                    <w:t>7703</w:t>
                  </w:r>
                </w:p>
                <w:p w:rsidR="00ED541E" w:rsidRDefault="00ED541E" w:rsidP="00C334D1">
                  <w:pPr>
                    <w:rPr>
                      <w:bCs/>
                    </w:rPr>
                  </w:pPr>
                  <w:r>
                    <w:rPr>
                      <w:bCs/>
                    </w:rPr>
                    <w:t>7709</w:t>
                  </w:r>
                </w:p>
                <w:p w:rsidR="00ED541E" w:rsidRDefault="00ED541E" w:rsidP="00C334D1">
                  <w:pPr>
                    <w:rPr>
                      <w:bCs/>
                    </w:rPr>
                  </w:pPr>
                  <w:r>
                    <w:rPr>
                      <w:bCs/>
                    </w:rPr>
                    <w:t>7715</w:t>
                  </w:r>
                </w:p>
                <w:p w:rsidR="00ED541E" w:rsidRDefault="00ED541E" w:rsidP="00C334D1">
                  <w:pPr>
                    <w:rPr>
                      <w:bCs/>
                    </w:rPr>
                  </w:pPr>
                  <w:r>
                    <w:rPr>
                      <w:bCs/>
                    </w:rPr>
                    <w:t>7716</w:t>
                  </w:r>
                </w:p>
                <w:p w:rsidR="00ED541E" w:rsidRDefault="00ED541E" w:rsidP="00C334D1">
                  <w:pPr>
                    <w:rPr>
                      <w:bCs/>
                    </w:rPr>
                  </w:pPr>
                  <w:r>
                    <w:rPr>
                      <w:bCs/>
                    </w:rPr>
                    <w:t>7818</w:t>
                  </w:r>
                </w:p>
                <w:p w:rsidR="00ED541E" w:rsidRDefault="00ED541E" w:rsidP="00C334D1">
                  <w:pPr>
                    <w:rPr>
                      <w:bCs/>
                    </w:rPr>
                  </w:pPr>
                  <w:r>
                    <w:rPr>
                      <w:bCs/>
                    </w:rPr>
                    <w:t>7833</w:t>
                  </w:r>
                </w:p>
                <w:p w:rsidR="00ED541E" w:rsidRDefault="00ED541E" w:rsidP="00C334D1">
                  <w:pPr>
                    <w:rPr>
                      <w:bCs/>
                    </w:rPr>
                  </w:pPr>
                  <w:r>
                    <w:rPr>
                      <w:bCs/>
                    </w:rPr>
                    <w:t>7914</w:t>
                  </w:r>
                </w:p>
                <w:p w:rsidR="00ED541E" w:rsidRDefault="00ED541E" w:rsidP="00C334D1">
                  <w:pPr>
                    <w:rPr>
                      <w:bCs/>
                    </w:rPr>
                  </w:pPr>
                  <w:r>
                    <w:rPr>
                      <w:bCs/>
                    </w:rPr>
                    <w:t>7919</w:t>
                  </w:r>
                </w:p>
                <w:p w:rsidR="00ED541E" w:rsidRDefault="00ED541E" w:rsidP="00C334D1">
                  <w:pPr>
                    <w:rPr>
                      <w:bCs/>
                    </w:rPr>
                  </w:pPr>
                  <w:r>
                    <w:rPr>
                      <w:bCs/>
                    </w:rPr>
                    <w:t>8000</w:t>
                  </w:r>
                </w:p>
                <w:p w:rsidR="00ED541E" w:rsidRDefault="00ED541E" w:rsidP="00C334D1">
                  <w:pPr>
                    <w:rPr>
                      <w:bCs/>
                    </w:rPr>
                  </w:pPr>
                  <w:r>
                    <w:rPr>
                      <w:bCs/>
                    </w:rPr>
                    <w:t>8007</w:t>
                  </w:r>
                </w:p>
                <w:p w:rsidR="00ED541E" w:rsidRDefault="00ED541E" w:rsidP="00C334D1">
                  <w:pPr>
                    <w:rPr>
                      <w:bCs/>
                    </w:rPr>
                  </w:pPr>
                  <w:r>
                    <w:rPr>
                      <w:bCs/>
                    </w:rPr>
                    <w:t>8008</w:t>
                  </w:r>
                </w:p>
                <w:p w:rsidR="00ED541E" w:rsidRDefault="00ED541E" w:rsidP="00C334D1">
                  <w:pPr>
                    <w:rPr>
                      <w:bCs/>
                    </w:rPr>
                  </w:pPr>
                  <w:r>
                    <w:rPr>
                      <w:bCs/>
                    </w:rPr>
                    <w:t>8009</w:t>
                  </w:r>
                </w:p>
                <w:p w:rsidR="00ED541E" w:rsidRDefault="00ED541E" w:rsidP="00C334D1">
                  <w:pPr>
                    <w:rPr>
                      <w:bCs/>
                    </w:rPr>
                  </w:pPr>
                  <w:r>
                    <w:rPr>
                      <w:bCs/>
                    </w:rPr>
                    <w:t>8011</w:t>
                  </w:r>
                </w:p>
                <w:p w:rsidR="00ED541E" w:rsidRDefault="00ED541E" w:rsidP="00C334D1">
                  <w:pPr>
                    <w:rPr>
                      <w:bCs/>
                    </w:rPr>
                  </w:pPr>
                  <w:r>
                    <w:rPr>
                      <w:bCs/>
                    </w:rPr>
                    <w:t>8012</w:t>
                  </w:r>
                </w:p>
                <w:p w:rsidR="00ED541E" w:rsidRDefault="00ED541E" w:rsidP="00C334D1">
                  <w:pPr>
                    <w:rPr>
                      <w:bCs/>
                    </w:rPr>
                  </w:pPr>
                  <w:r>
                    <w:rPr>
                      <w:bCs/>
                    </w:rPr>
                    <w:t>8019</w:t>
                  </w:r>
                </w:p>
                <w:p w:rsidR="00ED541E" w:rsidRDefault="00ED541E" w:rsidP="00C334D1">
                  <w:pPr>
                    <w:rPr>
                      <w:bCs/>
                    </w:rPr>
                  </w:pPr>
                  <w:r>
                    <w:rPr>
                      <w:bCs/>
                    </w:rPr>
                    <w:t>8020</w:t>
                  </w:r>
                </w:p>
                <w:p w:rsidR="00ED541E" w:rsidRDefault="00ED541E" w:rsidP="00C334D1">
                  <w:pPr>
                    <w:rPr>
                      <w:bCs/>
                    </w:rPr>
                  </w:pPr>
                  <w:r>
                    <w:rPr>
                      <w:bCs/>
                    </w:rPr>
                    <w:t>8540</w:t>
                  </w:r>
                </w:p>
              </w:tc>
            </w:tr>
          </w:tbl>
          <w:p w:rsidR="00ED541E" w:rsidRDefault="00ED541E" w:rsidP="00C334D1">
            <w:pPr>
              <w:pStyle w:val="Header"/>
              <w:widowControl w:val="0"/>
              <w:tabs>
                <w:tab w:val="clear" w:pos="4320"/>
                <w:tab w:val="clear" w:pos="8640"/>
              </w:tabs>
            </w:pPr>
          </w:p>
          <w:p w:rsidR="00ED541E" w:rsidRPr="00C820D0" w:rsidRDefault="00ED541E" w:rsidP="00C334D1">
            <w:pPr>
              <w:pStyle w:val="Header"/>
              <w:widowControl w:val="0"/>
              <w:tabs>
                <w:tab w:val="clear" w:pos="4320"/>
                <w:tab w:val="clear" w:pos="8640"/>
              </w:tabs>
              <w:ind w:left="330"/>
              <w:rPr>
                <w:bCs/>
                <w:i/>
                <w:color w:val="00B050"/>
              </w:rPr>
            </w:pPr>
            <w:r w:rsidRPr="00C820D0">
              <w:rPr>
                <w:bCs/>
                <w:i/>
                <w:color w:val="00B050"/>
              </w:rPr>
              <w:t>My Notes:</w:t>
            </w:r>
          </w:p>
          <w:p w:rsidR="00ED541E" w:rsidRPr="00116FEA" w:rsidRDefault="00ED541E" w:rsidP="00C334D1">
            <w:pPr>
              <w:pStyle w:val="NormalWeb"/>
              <w:widowControl w:val="0"/>
              <w:ind w:left="330"/>
            </w:pPr>
            <w:r w:rsidRPr="00116FEA">
              <w:rPr>
                <w:sz w:val="20"/>
                <w:szCs w:val="20"/>
              </w:rPr>
              <w:t>Under 3.327(b)(2), the phrase "the evaluation is the prescribed schedular minimum"</w:t>
            </w:r>
            <w:r w:rsidRPr="00116FEA">
              <w:t xml:space="preserve"> </w:t>
            </w:r>
            <w:r w:rsidRPr="00116FEA">
              <w:rPr>
                <w:sz w:val="20"/>
                <w:szCs w:val="20"/>
              </w:rPr>
              <w:t>refers to the "Minimum rating" under:</w:t>
            </w:r>
            <w:r w:rsidRPr="00116FEA">
              <w:t xml:space="preserve"> </w:t>
            </w:r>
          </w:p>
          <w:p w:rsidR="00ED541E" w:rsidRPr="00116FEA" w:rsidRDefault="00ED541E" w:rsidP="00F063AF">
            <w:pPr>
              <w:pStyle w:val="NormalWeb"/>
              <w:widowControl w:val="0"/>
              <w:numPr>
                <w:ilvl w:val="0"/>
                <w:numId w:val="369"/>
              </w:numPr>
              <w:spacing w:after="0"/>
            </w:pPr>
            <w:r w:rsidRPr="00116FEA">
              <w:rPr>
                <w:sz w:val="20"/>
                <w:szCs w:val="20"/>
              </w:rPr>
              <w:t>5051 to 5056, ALL prosthetic implants - 20% or 30%</w:t>
            </w:r>
          </w:p>
          <w:p w:rsidR="00ED541E" w:rsidRPr="00116FEA" w:rsidRDefault="00ED541E" w:rsidP="00F063AF">
            <w:pPr>
              <w:pStyle w:val="NormalWeb"/>
              <w:widowControl w:val="0"/>
              <w:numPr>
                <w:ilvl w:val="0"/>
                <w:numId w:val="369"/>
              </w:numPr>
              <w:spacing w:after="0"/>
              <w:rPr>
                <w:sz w:val="20"/>
                <w:szCs w:val="20"/>
              </w:rPr>
            </w:pPr>
            <w:r w:rsidRPr="00116FEA">
              <w:rPr>
                <w:sz w:val="20"/>
                <w:szCs w:val="20"/>
              </w:rPr>
              <w:t>6029, aphakia - 30%</w:t>
            </w:r>
            <w:r w:rsidRPr="00116FEA">
              <w:t xml:space="preserve"> </w:t>
            </w:r>
          </w:p>
          <w:p w:rsidR="00ED541E" w:rsidRPr="00116FEA" w:rsidRDefault="00ED541E" w:rsidP="00F063AF">
            <w:pPr>
              <w:pStyle w:val="NormalWeb"/>
              <w:widowControl w:val="0"/>
              <w:numPr>
                <w:ilvl w:val="0"/>
                <w:numId w:val="369"/>
              </w:numPr>
              <w:spacing w:after="0"/>
            </w:pPr>
            <w:r w:rsidRPr="00116FEA">
              <w:rPr>
                <w:sz w:val="20"/>
                <w:szCs w:val="20"/>
              </w:rPr>
              <w:t>7018, implantable cardiac pacemakers - 10%</w:t>
            </w:r>
            <w:r w:rsidRPr="00116FEA">
              <w:t xml:space="preserve"> </w:t>
            </w:r>
          </w:p>
          <w:p w:rsidR="00ED541E" w:rsidRPr="00116FEA" w:rsidRDefault="00ED541E" w:rsidP="00F063AF">
            <w:pPr>
              <w:pStyle w:val="NormalWeb"/>
              <w:widowControl w:val="0"/>
              <w:numPr>
                <w:ilvl w:val="0"/>
                <w:numId w:val="369"/>
              </w:numPr>
              <w:spacing w:after="0"/>
            </w:pPr>
            <w:r w:rsidRPr="00116FEA">
              <w:rPr>
                <w:sz w:val="20"/>
                <w:szCs w:val="20"/>
              </w:rPr>
              <w:t>7019, cardiac transplantation - 30%</w:t>
            </w:r>
            <w:r w:rsidRPr="00116FEA">
              <w:t xml:space="preserve"> </w:t>
            </w:r>
            <w:r w:rsidRPr="00116FEA">
              <w:rPr>
                <w:iCs/>
                <w:sz w:val="20"/>
                <w:szCs w:val="20"/>
              </w:rPr>
              <w:t>*Note that under the old cardiac regulations (prior to 1998), 30% was the minimum rating after a heart attack.</w:t>
            </w:r>
            <w:r w:rsidRPr="00116FEA">
              <w:t xml:space="preserve"> </w:t>
            </w:r>
          </w:p>
          <w:p w:rsidR="00ED541E" w:rsidRPr="00116FEA" w:rsidRDefault="00ED541E" w:rsidP="00F063AF">
            <w:pPr>
              <w:pStyle w:val="NormalWeb"/>
              <w:widowControl w:val="0"/>
              <w:numPr>
                <w:ilvl w:val="0"/>
                <w:numId w:val="369"/>
              </w:numPr>
              <w:spacing w:after="0"/>
            </w:pPr>
            <w:r w:rsidRPr="00116FEA">
              <w:rPr>
                <w:sz w:val="20"/>
                <w:szCs w:val="20"/>
              </w:rPr>
              <w:t xml:space="preserve">7500, removal of one kidney - 30% </w:t>
            </w:r>
            <w:r w:rsidRPr="00116FEA">
              <w:rPr>
                <w:iCs/>
                <w:sz w:val="20"/>
                <w:szCs w:val="20"/>
              </w:rPr>
              <w:t>*If there is nephritis, infection or pathology of the other kidney, rate as renal dysfunction, but the minimum is still 30%.</w:t>
            </w:r>
          </w:p>
          <w:p w:rsidR="00ED541E" w:rsidRPr="00116FEA" w:rsidRDefault="00ED541E" w:rsidP="00F063AF">
            <w:pPr>
              <w:pStyle w:val="NormalWeb"/>
              <w:widowControl w:val="0"/>
              <w:numPr>
                <w:ilvl w:val="0"/>
                <w:numId w:val="369"/>
              </w:numPr>
              <w:spacing w:after="0"/>
              <w:rPr>
                <w:rStyle w:val="Emphasis"/>
                <w:i w:val="0"/>
                <w:iCs w:val="0"/>
              </w:rPr>
            </w:pPr>
            <w:r w:rsidRPr="00116FEA">
              <w:rPr>
                <w:sz w:val="20"/>
                <w:szCs w:val="20"/>
              </w:rPr>
              <w:t xml:space="preserve">8000, chronic epidemic encephalitis </w:t>
            </w:r>
            <w:r w:rsidRPr="00116FEA">
              <w:rPr>
                <w:rStyle w:val="Emphasis"/>
                <w:i w:val="0"/>
                <w:sz w:val="20"/>
                <w:szCs w:val="20"/>
              </w:rPr>
              <w:t>(10% if there are ascertainable residuals)</w:t>
            </w:r>
            <w:r w:rsidRPr="00116FEA">
              <w:rPr>
                <w:rStyle w:val="Emphasis"/>
                <w:i w:val="0"/>
              </w:rPr>
              <w:t xml:space="preserve"> </w:t>
            </w:r>
          </w:p>
          <w:p w:rsidR="00ED541E" w:rsidRPr="00116FEA" w:rsidRDefault="00ED541E" w:rsidP="00F063AF">
            <w:pPr>
              <w:pStyle w:val="NormalWeb"/>
              <w:widowControl w:val="0"/>
              <w:numPr>
                <w:ilvl w:val="0"/>
                <w:numId w:val="369"/>
              </w:numPr>
              <w:spacing w:after="0"/>
            </w:pPr>
            <w:r w:rsidRPr="00116FEA">
              <w:rPr>
                <w:sz w:val="20"/>
                <w:szCs w:val="20"/>
              </w:rPr>
              <w:t>8002, malignant brain growths - 30%</w:t>
            </w:r>
            <w:r w:rsidRPr="00116FEA">
              <w:t xml:space="preserve"> </w:t>
            </w:r>
          </w:p>
          <w:p w:rsidR="00ED541E" w:rsidRPr="00116FEA" w:rsidRDefault="00ED541E" w:rsidP="00F063AF">
            <w:pPr>
              <w:pStyle w:val="NormalWeb"/>
              <w:widowControl w:val="0"/>
              <w:numPr>
                <w:ilvl w:val="0"/>
                <w:numId w:val="369"/>
              </w:numPr>
              <w:spacing w:after="0"/>
              <w:rPr>
                <w:rStyle w:val="Emphasis"/>
                <w:i w:val="0"/>
                <w:iCs w:val="0"/>
              </w:rPr>
            </w:pPr>
            <w:r w:rsidRPr="00116FEA">
              <w:rPr>
                <w:sz w:val="20"/>
                <w:szCs w:val="20"/>
              </w:rPr>
              <w:t xml:space="preserve">8003, benign brain growths </w:t>
            </w:r>
            <w:r w:rsidRPr="00116FEA">
              <w:rPr>
                <w:rStyle w:val="Emphasis"/>
                <w:i w:val="0"/>
                <w:sz w:val="20"/>
                <w:szCs w:val="20"/>
              </w:rPr>
              <w:t>(10% if there are ascertainable residuals)</w:t>
            </w:r>
            <w:r w:rsidRPr="00116FEA">
              <w:rPr>
                <w:rStyle w:val="Emphasis"/>
                <w:i w:val="0"/>
              </w:rPr>
              <w:t xml:space="preserve"> </w:t>
            </w:r>
          </w:p>
          <w:p w:rsidR="00ED541E" w:rsidRPr="00116FEA" w:rsidRDefault="00ED541E" w:rsidP="00F063AF">
            <w:pPr>
              <w:pStyle w:val="NormalWeb"/>
              <w:widowControl w:val="0"/>
              <w:numPr>
                <w:ilvl w:val="0"/>
                <w:numId w:val="369"/>
              </w:numPr>
              <w:spacing w:after="0"/>
            </w:pPr>
            <w:r w:rsidRPr="00116FEA">
              <w:rPr>
                <w:sz w:val="20"/>
              </w:rPr>
              <w:t>8004</w:t>
            </w:r>
            <w:r w:rsidRPr="00116FEA">
              <w:rPr>
                <w:sz w:val="20"/>
                <w:szCs w:val="20"/>
              </w:rPr>
              <w:t>, paralysis agitans - 30%</w:t>
            </w:r>
            <w:r w:rsidRPr="00116FEA">
              <w:t xml:space="preserve"> </w:t>
            </w:r>
          </w:p>
          <w:p w:rsidR="00ED541E" w:rsidRPr="00116FEA" w:rsidRDefault="00ED541E" w:rsidP="00F063AF">
            <w:pPr>
              <w:pStyle w:val="NormalWeb"/>
              <w:widowControl w:val="0"/>
              <w:numPr>
                <w:ilvl w:val="0"/>
                <w:numId w:val="369"/>
              </w:numPr>
              <w:spacing w:after="0"/>
              <w:rPr>
                <w:rStyle w:val="Emphasis"/>
                <w:i w:val="0"/>
                <w:iCs w:val="0"/>
              </w:rPr>
            </w:pPr>
            <w:r w:rsidRPr="00116FEA">
              <w:rPr>
                <w:sz w:val="20"/>
                <w:szCs w:val="20"/>
              </w:rPr>
              <w:t xml:space="preserve">8007 to 8009, strokes </w:t>
            </w:r>
            <w:r w:rsidRPr="00116FEA">
              <w:rPr>
                <w:rStyle w:val="Emphasis"/>
                <w:i w:val="0"/>
                <w:sz w:val="20"/>
                <w:szCs w:val="20"/>
              </w:rPr>
              <w:t>(10% if there are ascertainable residuals)</w:t>
            </w:r>
            <w:r w:rsidRPr="00116FEA">
              <w:rPr>
                <w:rStyle w:val="Emphasis"/>
                <w:i w:val="0"/>
              </w:rPr>
              <w:t xml:space="preserve"> </w:t>
            </w:r>
          </w:p>
          <w:p w:rsidR="00ED541E" w:rsidRPr="00116FEA" w:rsidRDefault="00ED541E" w:rsidP="00F063AF">
            <w:pPr>
              <w:pStyle w:val="NormalWeb"/>
              <w:widowControl w:val="0"/>
              <w:numPr>
                <w:ilvl w:val="0"/>
                <w:numId w:val="369"/>
              </w:numPr>
              <w:spacing w:after="0"/>
            </w:pPr>
            <w:r w:rsidRPr="00116FEA">
              <w:rPr>
                <w:sz w:val="20"/>
                <w:szCs w:val="20"/>
              </w:rPr>
              <w:t>8010, myelitis - 10%</w:t>
            </w:r>
            <w:r w:rsidRPr="00116FEA">
              <w:t xml:space="preserve"> </w:t>
            </w:r>
          </w:p>
          <w:p w:rsidR="00ED541E" w:rsidRPr="00116FEA" w:rsidRDefault="00ED541E" w:rsidP="00F063AF">
            <w:pPr>
              <w:pStyle w:val="NormalWeb"/>
              <w:widowControl w:val="0"/>
              <w:numPr>
                <w:ilvl w:val="0"/>
                <w:numId w:val="369"/>
              </w:numPr>
              <w:spacing w:after="0"/>
              <w:rPr>
                <w:rStyle w:val="Emphasis"/>
                <w:i w:val="0"/>
                <w:iCs w:val="0"/>
              </w:rPr>
            </w:pPr>
            <w:r w:rsidRPr="00116FEA">
              <w:rPr>
                <w:sz w:val="20"/>
                <w:szCs w:val="20"/>
              </w:rPr>
              <w:t xml:space="preserve">8011, anterior poliomyelitis </w:t>
            </w:r>
            <w:r w:rsidRPr="00116FEA">
              <w:rPr>
                <w:rStyle w:val="Emphasis"/>
                <w:i w:val="0"/>
                <w:sz w:val="20"/>
                <w:szCs w:val="20"/>
              </w:rPr>
              <w:t>(10% if there are ascertainable residuals)</w:t>
            </w:r>
            <w:r w:rsidRPr="00116FEA">
              <w:rPr>
                <w:rStyle w:val="Emphasis"/>
                <w:i w:val="0"/>
              </w:rPr>
              <w:t xml:space="preserve"> </w:t>
            </w:r>
          </w:p>
          <w:p w:rsidR="00ED541E" w:rsidRPr="00116FEA" w:rsidRDefault="00ED541E" w:rsidP="00F063AF">
            <w:pPr>
              <w:pStyle w:val="NormalWeb"/>
              <w:widowControl w:val="0"/>
              <w:numPr>
                <w:ilvl w:val="0"/>
                <w:numId w:val="369"/>
              </w:numPr>
              <w:spacing w:after="0"/>
              <w:rPr>
                <w:rStyle w:val="Emphasis"/>
                <w:i w:val="0"/>
                <w:iCs w:val="0"/>
              </w:rPr>
            </w:pPr>
            <w:r w:rsidRPr="00116FEA">
              <w:rPr>
                <w:sz w:val="20"/>
                <w:szCs w:val="20"/>
              </w:rPr>
              <w:t xml:space="preserve">8012, hematomyelia </w:t>
            </w:r>
            <w:r w:rsidRPr="00116FEA">
              <w:rPr>
                <w:rStyle w:val="Emphasis"/>
                <w:i w:val="0"/>
                <w:sz w:val="20"/>
                <w:szCs w:val="20"/>
              </w:rPr>
              <w:t>(10% if there are ascertainable residuals)</w:t>
            </w:r>
            <w:r w:rsidRPr="00116FEA">
              <w:rPr>
                <w:rStyle w:val="Emphasis"/>
                <w:i w:val="0"/>
              </w:rPr>
              <w:t xml:space="preserve"> </w:t>
            </w:r>
          </w:p>
          <w:p w:rsidR="00ED541E" w:rsidRPr="00116FEA" w:rsidRDefault="00ED541E" w:rsidP="00F063AF">
            <w:pPr>
              <w:pStyle w:val="NormalWeb"/>
              <w:widowControl w:val="0"/>
              <w:numPr>
                <w:ilvl w:val="0"/>
                <w:numId w:val="369"/>
              </w:numPr>
              <w:spacing w:after="0"/>
            </w:pPr>
            <w:r w:rsidRPr="00116FEA">
              <w:rPr>
                <w:sz w:val="20"/>
                <w:szCs w:val="20"/>
              </w:rPr>
              <w:t>8017, ALS - 100%</w:t>
            </w:r>
            <w:r w:rsidRPr="00116FEA">
              <w:t xml:space="preserve"> </w:t>
            </w:r>
          </w:p>
          <w:p w:rsidR="00ED541E" w:rsidRPr="00116FEA" w:rsidRDefault="00ED541E" w:rsidP="00F063AF">
            <w:pPr>
              <w:pStyle w:val="NormalWeb"/>
              <w:widowControl w:val="0"/>
              <w:numPr>
                <w:ilvl w:val="0"/>
                <w:numId w:val="369"/>
              </w:numPr>
              <w:spacing w:after="0"/>
            </w:pPr>
            <w:r w:rsidRPr="00116FEA">
              <w:rPr>
                <w:sz w:val="20"/>
              </w:rPr>
              <w:t>8018</w:t>
            </w:r>
            <w:r w:rsidRPr="00116FEA">
              <w:rPr>
                <w:sz w:val="20"/>
                <w:szCs w:val="20"/>
              </w:rPr>
              <w:t>, MS - 30%</w:t>
            </w:r>
            <w:r w:rsidRPr="00116FEA">
              <w:t xml:space="preserve"> </w:t>
            </w:r>
          </w:p>
          <w:p w:rsidR="00ED541E" w:rsidRPr="00116FEA" w:rsidRDefault="00ED541E" w:rsidP="00F063AF">
            <w:pPr>
              <w:pStyle w:val="NormalWeb"/>
              <w:widowControl w:val="0"/>
              <w:numPr>
                <w:ilvl w:val="0"/>
                <w:numId w:val="369"/>
              </w:numPr>
              <w:spacing w:after="0"/>
              <w:rPr>
                <w:rStyle w:val="Emphasis"/>
                <w:i w:val="0"/>
                <w:iCs w:val="0"/>
              </w:rPr>
            </w:pPr>
            <w:r w:rsidRPr="00116FEA">
              <w:rPr>
                <w:sz w:val="20"/>
                <w:szCs w:val="20"/>
              </w:rPr>
              <w:t xml:space="preserve">8019, epidemic cerebrospinal meningitis </w:t>
            </w:r>
            <w:r w:rsidRPr="00116FEA">
              <w:rPr>
                <w:rStyle w:val="Emphasis"/>
                <w:i w:val="0"/>
                <w:sz w:val="20"/>
                <w:szCs w:val="20"/>
              </w:rPr>
              <w:t>(10% if there are ascertainable residuals)</w:t>
            </w:r>
          </w:p>
          <w:p w:rsidR="00ED541E" w:rsidRPr="00116FEA" w:rsidRDefault="00ED541E" w:rsidP="00F063AF">
            <w:pPr>
              <w:pStyle w:val="NormalWeb"/>
              <w:widowControl w:val="0"/>
              <w:numPr>
                <w:ilvl w:val="0"/>
                <w:numId w:val="369"/>
              </w:numPr>
              <w:spacing w:after="0"/>
              <w:rPr>
                <w:rStyle w:val="Emphasis"/>
                <w:i w:val="0"/>
                <w:iCs w:val="0"/>
              </w:rPr>
            </w:pPr>
            <w:r w:rsidRPr="00116FEA">
              <w:rPr>
                <w:sz w:val="20"/>
                <w:szCs w:val="20"/>
              </w:rPr>
              <w:t xml:space="preserve">8020, brain abscess </w:t>
            </w:r>
            <w:r w:rsidRPr="00116FEA">
              <w:rPr>
                <w:rStyle w:val="Emphasis"/>
                <w:i w:val="0"/>
                <w:sz w:val="20"/>
                <w:szCs w:val="20"/>
              </w:rPr>
              <w:t>(10% if there are ascertainable residuals)</w:t>
            </w:r>
            <w:r w:rsidRPr="00116FEA">
              <w:rPr>
                <w:rStyle w:val="Emphasis"/>
                <w:i w:val="0"/>
              </w:rPr>
              <w:t xml:space="preserve"> </w:t>
            </w:r>
          </w:p>
          <w:p w:rsidR="00ED541E" w:rsidRPr="00116FEA" w:rsidRDefault="00ED541E" w:rsidP="00F063AF">
            <w:pPr>
              <w:pStyle w:val="NormalWeb"/>
              <w:widowControl w:val="0"/>
              <w:numPr>
                <w:ilvl w:val="0"/>
                <w:numId w:val="369"/>
              </w:numPr>
              <w:spacing w:after="0"/>
            </w:pPr>
            <w:r w:rsidRPr="00116FEA">
              <w:rPr>
                <w:sz w:val="20"/>
                <w:szCs w:val="20"/>
              </w:rPr>
              <w:t>8021, malignant spinal cord growths - 30%</w:t>
            </w:r>
            <w:r w:rsidRPr="00116FEA">
              <w:t xml:space="preserve"> </w:t>
            </w:r>
          </w:p>
          <w:p w:rsidR="00ED541E" w:rsidRPr="00116FEA" w:rsidRDefault="00ED541E" w:rsidP="00F063AF">
            <w:pPr>
              <w:pStyle w:val="NormalWeb"/>
              <w:widowControl w:val="0"/>
              <w:numPr>
                <w:ilvl w:val="0"/>
                <w:numId w:val="369"/>
              </w:numPr>
              <w:spacing w:after="0"/>
              <w:rPr>
                <w:rStyle w:val="Emphasis"/>
                <w:i w:val="0"/>
                <w:iCs w:val="0"/>
              </w:rPr>
            </w:pPr>
            <w:r w:rsidRPr="00116FEA">
              <w:rPr>
                <w:sz w:val="20"/>
                <w:szCs w:val="20"/>
              </w:rPr>
              <w:t xml:space="preserve">8022, benign spinal cord growths </w:t>
            </w:r>
            <w:r w:rsidRPr="00116FEA">
              <w:rPr>
                <w:rStyle w:val="Emphasis"/>
                <w:i w:val="0"/>
                <w:sz w:val="20"/>
                <w:szCs w:val="20"/>
              </w:rPr>
              <w:t>(10% if there are ascertainable residuals)</w:t>
            </w:r>
            <w:r w:rsidRPr="00116FEA">
              <w:rPr>
                <w:rStyle w:val="Emphasis"/>
                <w:i w:val="0"/>
              </w:rPr>
              <w:t xml:space="preserve"> </w:t>
            </w:r>
          </w:p>
          <w:p w:rsidR="00ED541E" w:rsidRPr="00116FEA" w:rsidRDefault="00ED541E" w:rsidP="00F063AF">
            <w:pPr>
              <w:pStyle w:val="NormalWeb"/>
              <w:widowControl w:val="0"/>
              <w:numPr>
                <w:ilvl w:val="0"/>
                <w:numId w:val="369"/>
              </w:numPr>
              <w:spacing w:after="0"/>
            </w:pPr>
            <w:r w:rsidRPr="00116FEA">
              <w:rPr>
                <w:sz w:val="20"/>
                <w:szCs w:val="20"/>
              </w:rPr>
              <w:t>8023, progressive muscular atrophy - 30%</w:t>
            </w:r>
            <w:r w:rsidRPr="00116FEA">
              <w:t xml:space="preserve"> </w:t>
            </w:r>
          </w:p>
          <w:p w:rsidR="00ED541E" w:rsidRPr="00116FEA" w:rsidRDefault="00ED541E" w:rsidP="00F063AF">
            <w:pPr>
              <w:pStyle w:val="NormalWeb"/>
              <w:widowControl w:val="0"/>
              <w:numPr>
                <w:ilvl w:val="0"/>
                <w:numId w:val="369"/>
              </w:numPr>
              <w:spacing w:after="0"/>
            </w:pPr>
            <w:r w:rsidRPr="00116FEA">
              <w:rPr>
                <w:sz w:val="20"/>
                <w:szCs w:val="20"/>
              </w:rPr>
              <w:t>8024, syringomyelia - 30%</w:t>
            </w:r>
            <w:r w:rsidRPr="00116FEA">
              <w:t xml:space="preserve"> </w:t>
            </w:r>
          </w:p>
          <w:p w:rsidR="00ED541E" w:rsidRPr="00116FEA" w:rsidRDefault="00ED541E" w:rsidP="00F063AF">
            <w:pPr>
              <w:pStyle w:val="NormalWeb"/>
              <w:widowControl w:val="0"/>
              <w:numPr>
                <w:ilvl w:val="0"/>
                <w:numId w:val="369"/>
              </w:numPr>
            </w:pPr>
            <w:r w:rsidRPr="00116FEA">
              <w:rPr>
                <w:sz w:val="20"/>
                <w:szCs w:val="20"/>
              </w:rPr>
              <w:t>8025, myasthenia gravis - 30%</w:t>
            </w:r>
            <w:r w:rsidRPr="00116FEA">
              <w:t xml:space="preserve"> </w:t>
            </w:r>
          </w:p>
          <w:p w:rsidR="00ED541E" w:rsidRPr="002843B5" w:rsidRDefault="00ED541E" w:rsidP="00C334D1">
            <w:pPr>
              <w:pStyle w:val="NormalWeb"/>
              <w:widowControl w:val="0"/>
              <w:ind w:left="346"/>
              <w:rPr>
                <w:i/>
                <w:sz w:val="20"/>
                <w:szCs w:val="20"/>
              </w:rPr>
            </w:pPr>
            <w:r w:rsidRPr="002843B5">
              <w:rPr>
                <w:rStyle w:val="Emphasis"/>
                <w:sz w:val="20"/>
                <w:szCs w:val="20"/>
              </w:rPr>
              <w:t>Please note that the 10% evaluations under some of the organic disease of the nervous system are only allowed if there are ascertainable residuals.</w:t>
            </w:r>
            <w:r w:rsidRPr="002843B5">
              <w:rPr>
                <w:i/>
                <w:sz w:val="20"/>
                <w:szCs w:val="20"/>
              </w:rPr>
              <w:t xml:space="preserve">  </w:t>
            </w:r>
          </w:p>
          <w:p w:rsidR="00ED541E" w:rsidRPr="002843B5" w:rsidRDefault="00ED541E" w:rsidP="00C334D1">
            <w:pPr>
              <w:pStyle w:val="Header"/>
              <w:widowControl w:val="0"/>
              <w:tabs>
                <w:tab w:val="clear" w:pos="4320"/>
                <w:tab w:val="clear" w:pos="8640"/>
              </w:tabs>
              <w:spacing w:after="120"/>
              <w:ind w:left="331"/>
              <w:rPr>
                <w:i/>
              </w:rPr>
            </w:pPr>
            <w:r w:rsidRPr="002843B5">
              <w:rPr>
                <w:i/>
              </w:rPr>
              <w:t>These prescribed schedular minimums should never have a</w:t>
            </w:r>
            <w:r>
              <w:rPr>
                <w:i/>
              </w:rPr>
              <w:t xml:space="preserve"> routine </w:t>
            </w:r>
            <w:r w:rsidRPr="002843B5">
              <w:rPr>
                <w:i/>
              </w:rPr>
              <w:t xml:space="preserve"> future examination</w:t>
            </w:r>
            <w:r>
              <w:rPr>
                <w:i/>
              </w:rPr>
              <w:t xml:space="preserve"> / RFE</w:t>
            </w:r>
            <w:r w:rsidRPr="002843B5">
              <w:rPr>
                <w:i/>
              </w:rPr>
              <w:t>, as we would never reduce.</w:t>
            </w:r>
          </w:p>
          <w:p w:rsidR="00ED541E" w:rsidRDefault="00ED541E" w:rsidP="00C334D1">
            <w:pPr>
              <w:pStyle w:val="Header"/>
              <w:widowControl w:val="0"/>
              <w:numPr>
                <w:ilvl w:val="0"/>
                <w:numId w:val="73"/>
              </w:numPr>
              <w:tabs>
                <w:tab w:val="clear" w:pos="720"/>
                <w:tab w:val="clear" w:pos="4320"/>
                <w:tab w:val="clear" w:pos="8640"/>
                <w:tab w:val="num" w:pos="330"/>
              </w:tabs>
              <w:ind w:left="330"/>
            </w:pPr>
            <w:r w:rsidRPr="008D4DE7">
              <w:rPr>
                <w:b/>
                <w:i/>
                <w:u w:val="single"/>
              </w:rPr>
              <w:t>September 2014, Rich Osborne (Comp Service Qu</w:t>
            </w:r>
            <w:r>
              <w:rPr>
                <w:b/>
                <w:i/>
                <w:u w:val="single"/>
              </w:rPr>
              <w:t>ality Review &amp; ConsistencyTeam)</w:t>
            </w:r>
            <w:r w:rsidRPr="00520240">
              <w:rPr>
                <w:b/>
                <w:i/>
              </w:rPr>
              <w:t xml:space="preserve">: </w:t>
            </w:r>
          </w:p>
          <w:p w:rsidR="00ED541E" w:rsidRDefault="00ED541E" w:rsidP="00C334D1">
            <w:pPr>
              <w:pStyle w:val="Header"/>
              <w:widowControl w:val="0"/>
              <w:tabs>
                <w:tab w:val="clear" w:pos="4320"/>
                <w:tab w:val="clear" w:pos="8640"/>
              </w:tabs>
              <w:ind w:left="330"/>
            </w:pPr>
            <w:r>
              <w:t xml:space="preserve">Routine future exams / RFEs – </w:t>
            </w:r>
          </w:p>
          <w:p w:rsidR="00ED541E" w:rsidRDefault="00ED541E" w:rsidP="00C334D1">
            <w:pPr>
              <w:pStyle w:val="Header"/>
              <w:widowControl w:val="0"/>
              <w:numPr>
                <w:ilvl w:val="1"/>
                <w:numId w:val="73"/>
              </w:numPr>
              <w:tabs>
                <w:tab w:val="clear" w:pos="1440"/>
                <w:tab w:val="clear" w:pos="4320"/>
                <w:tab w:val="clear" w:pos="8640"/>
                <w:tab w:val="num" w:pos="690"/>
              </w:tabs>
              <w:ind w:left="690"/>
            </w:pPr>
            <w:r>
              <w:t>Age (specifically youth) is not a factor</w:t>
            </w:r>
          </w:p>
          <w:p w:rsidR="00ED541E" w:rsidRDefault="00ED541E" w:rsidP="00C334D1">
            <w:pPr>
              <w:pStyle w:val="Header"/>
              <w:widowControl w:val="0"/>
              <w:numPr>
                <w:ilvl w:val="1"/>
                <w:numId w:val="73"/>
              </w:numPr>
              <w:tabs>
                <w:tab w:val="clear" w:pos="1440"/>
                <w:tab w:val="clear" w:pos="4320"/>
                <w:tab w:val="clear" w:pos="8640"/>
                <w:tab w:val="num" w:pos="690"/>
              </w:tabs>
              <w:ind w:left="690"/>
            </w:pPr>
            <w:r>
              <w:t>We should only be doing futures if we evidence the disability might improve or evidence of improvement</w:t>
            </w:r>
          </w:p>
          <w:p w:rsidR="00ED541E" w:rsidRPr="00520240" w:rsidRDefault="00ED541E" w:rsidP="00C334D1">
            <w:pPr>
              <w:pStyle w:val="Header"/>
              <w:widowControl w:val="0"/>
              <w:numPr>
                <w:ilvl w:val="1"/>
                <w:numId w:val="73"/>
              </w:numPr>
              <w:tabs>
                <w:tab w:val="clear" w:pos="1440"/>
                <w:tab w:val="clear" w:pos="4320"/>
                <w:tab w:val="clear" w:pos="8640"/>
                <w:tab w:val="num" w:pos="690"/>
              </w:tabs>
              <w:spacing w:after="120"/>
              <w:ind w:left="690"/>
            </w:pPr>
            <w:r>
              <w:t>We will almost always get routine future exams / RFEs for prostate cancer (6 months to 1 year out) unless they’ve been doing no treatment/watchful waiting for an extended period, or they are on hormones and do not plan to do surgery, then might be able to make them permanent.</w:t>
            </w:r>
          </w:p>
          <w:p w:rsidR="00ED541E" w:rsidRPr="00E81732" w:rsidRDefault="00ED541E" w:rsidP="00C334D1">
            <w:pPr>
              <w:pStyle w:val="Header"/>
              <w:widowControl w:val="0"/>
              <w:numPr>
                <w:ilvl w:val="0"/>
                <w:numId w:val="73"/>
              </w:numPr>
              <w:tabs>
                <w:tab w:val="clear" w:pos="720"/>
                <w:tab w:val="clear" w:pos="4320"/>
                <w:tab w:val="clear" w:pos="8640"/>
                <w:tab w:val="num" w:pos="330"/>
              </w:tabs>
              <w:ind w:left="330"/>
            </w:pPr>
            <w:r w:rsidRPr="00E81732">
              <w:t>“</w:t>
            </w:r>
            <w:r w:rsidRPr="007F0C04">
              <w:rPr>
                <w:b/>
                <w:i/>
              </w:rPr>
              <w:t>L2: Restore Disability Ratings Following Hospitalization/Convalescence: T1: Rate Claims Following Hospitalization/Convalescence</w:t>
            </w:r>
            <w:r w:rsidRPr="00E81732">
              <w:t>” training in TMS</w:t>
            </w:r>
            <w:r>
              <w:t xml:space="preserve"> says</w:t>
            </w:r>
            <w:r w:rsidRPr="00E81732">
              <w:t>:</w:t>
            </w:r>
          </w:p>
          <w:p w:rsidR="00ED541E" w:rsidRPr="00E81732" w:rsidRDefault="00ED541E" w:rsidP="00C334D1">
            <w:pPr>
              <w:shd w:val="clear" w:color="auto" w:fill="F4F9FE"/>
              <w:spacing w:line="360" w:lineRule="atLeast"/>
              <w:ind w:left="330" w:right="300"/>
              <w:rPr>
                <w:b/>
                <w:bCs/>
              </w:rPr>
            </w:pPr>
            <w:r w:rsidRPr="00E81732">
              <w:rPr>
                <w:b/>
                <w:bCs/>
              </w:rPr>
              <w:t>Less Than Five Years</w:t>
            </w:r>
            <w:r>
              <w:rPr>
                <w:b/>
                <w:bCs/>
              </w:rPr>
              <w:t xml:space="preserve"> - </w:t>
            </w:r>
          </w:p>
          <w:p w:rsidR="00ED541E" w:rsidRPr="00E81732" w:rsidRDefault="00ED541E" w:rsidP="00C334D1">
            <w:pPr>
              <w:shd w:val="clear" w:color="auto" w:fill="F4F9FE"/>
              <w:spacing w:line="270" w:lineRule="atLeast"/>
              <w:ind w:left="330"/>
            </w:pPr>
            <w:r w:rsidRPr="00E81732">
              <w:t>Decreases to disability evaluations when an evaluation has been in effect for less than five years may be done provided there is sufficient medical evidence demonstrating improvement of the condition warranting the decrease.</w:t>
            </w:r>
            <w:r>
              <w:t xml:space="preserve"> </w:t>
            </w:r>
            <w:r w:rsidRPr="00E81732">
              <w:t>Review 38 CFR 3.327(b)(1) for additional information.</w:t>
            </w:r>
          </w:p>
          <w:p w:rsidR="00ED541E" w:rsidRPr="00E81732" w:rsidRDefault="00ED541E" w:rsidP="00C334D1">
            <w:pPr>
              <w:shd w:val="clear" w:color="auto" w:fill="F4F9FE"/>
              <w:spacing w:line="360" w:lineRule="atLeast"/>
              <w:ind w:left="330" w:right="300"/>
              <w:rPr>
                <w:b/>
                <w:bCs/>
              </w:rPr>
            </w:pPr>
            <w:r w:rsidRPr="00E81732">
              <w:rPr>
                <w:b/>
                <w:bCs/>
              </w:rPr>
              <w:t>Between Five and Twenty Years</w:t>
            </w:r>
          </w:p>
          <w:p w:rsidR="00ED541E" w:rsidRPr="00E81732" w:rsidRDefault="00ED541E" w:rsidP="00C334D1">
            <w:pPr>
              <w:shd w:val="clear" w:color="auto" w:fill="F4F9FE"/>
              <w:spacing w:line="270" w:lineRule="atLeast"/>
              <w:ind w:left="330"/>
            </w:pPr>
            <w:r w:rsidRPr="00E81732">
              <w:t>If a disability evaluation has been in effect more than five years, but less than twenty years, you may decrease the evaluation if improvement is sustained. However, you may not reduce based on the medical evidence from one exam.</w:t>
            </w:r>
            <w:r>
              <w:t xml:space="preserve"> </w:t>
            </w:r>
            <w:r w:rsidRPr="00E81732">
              <w:t>In these situations, you must continue the evaluation regardless of the examination results and schedule a future exam in 18, 24, or 30 months to determine if improvement is sustained. At this point, if the medical evidence still supports the decrease, you may take action to reduce.</w:t>
            </w:r>
            <w:r>
              <w:t xml:space="preserve"> </w:t>
            </w:r>
            <w:r w:rsidRPr="00E81732">
              <w:t>Review 38 CFR 3.327(b)(2)(ii) and 38 CFR 3.344 for additional information.</w:t>
            </w:r>
          </w:p>
          <w:p w:rsidR="00ED541E" w:rsidRPr="00E81732" w:rsidRDefault="00ED541E" w:rsidP="00C334D1">
            <w:pPr>
              <w:shd w:val="clear" w:color="auto" w:fill="F4F9FE"/>
              <w:spacing w:line="360" w:lineRule="atLeast"/>
              <w:ind w:left="330" w:right="300"/>
              <w:rPr>
                <w:b/>
                <w:bCs/>
              </w:rPr>
            </w:pPr>
            <w:r w:rsidRPr="00E81732">
              <w:rPr>
                <w:b/>
                <w:bCs/>
              </w:rPr>
              <w:t>Beyond Twenty Years</w:t>
            </w:r>
          </w:p>
          <w:p w:rsidR="00ED541E" w:rsidRPr="00E81732" w:rsidRDefault="00ED541E" w:rsidP="00C334D1">
            <w:pPr>
              <w:shd w:val="clear" w:color="auto" w:fill="F4F9FE"/>
              <w:spacing w:line="270" w:lineRule="atLeast"/>
              <w:ind w:left="330"/>
            </w:pPr>
            <w:r w:rsidRPr="00E81732">
              <w:t>Disability evaluations that have remained unchanged for over twenty years are considered "protected" and cannot be decreased regardless of medical evidence provided, unless there is evidence of fraud.</w:t>
            </w:r>
            <w:r>
              <w:t xml:space="preserve"> </w:t>
            </w:r>
            <w:r w:rsidRPr="00E81732">
              <w:t>Note that if a protected disability evaluation is increased after twenty years, only the lower disability evaluation remains protected against decreases in evaluation.</w:t>
            </w:r>
            <w:r>
              <w:t xml:space="preserve"> </w:t>
            </w:r>
            <w:r w:rsidRPr="00E81732">
              <w:t>Review 38 CFR 3.951(b) for additional information.</w:t>
            </w:r>
          </w:p>
          <w:p w:rsidR="00ED541E" w:rsidRPr="00E81732" w:rsidRDefault="00ED541E" w:rsidP="00C334D1">
            <w:pPr>
              <w:shd w:val="clear" w:color="auto" w:fill="F4F9FE"/>
              <w:spacing w:line="360" w:lineRule="atLeast"/>
              <w:ind w:left="330" w:right="300"/>
              <w:rPr>
                <w:b/>
                <w:bCs/>
              </w:rPr>
            </w:pPr>
            <w:r w:rsidRPr="00E81732">
              <w:rPr>
                <w:b/>
                <w:bCs/>
              </w:rPr>
              <w:t>Other Considerations</w:t>
            </w:r>
          </w:p>
          <w:p w:rsidR="00ED541E" w:rsidRDefault="00ED541E" w:rsidP="00C334D1">
            <w:pPr>
              <w:shd w:val="clear" w:color="auto" w:fill="F4F9FE"/>
              <w:spacing w:after="120"/>
              <w:ind w:left="331"/>
            </w:pPr>
            <w:r w:rsidRPr="00E81732">
              <w:t>You should not make drastic (i.e., more than one rating percentage increment) reductions in rating evaluations at any given time for Posttraumatic Stress Disorder (PTSD) and other mental health disabilities, if a reduction to an intermediate rate is more in agreement with the degree of disability.</w:t>
            </w:r>
            <w:r>
              <w:t xml:space="preserve"> </w:t>
            </w:r>
            <w:r w:rsidRPr="00E81732">
              <w:t>For example, a Veteran that is 70% service-connected for PTSD could not be reduced beyond one increment (50%) regardless of the medical evidence provided.</w:t>
            </w:r>
            <w:r>
              <w:t xml:space="preserve"> </w:t>
            </w:r>
            <w:r w:rsidRPr="00E81732">
              <w:t>Review M21-1MR, Part III, Subpart IV, Chapter 4, Section H, 27(b) for additional information.</w:t>
            </w:r>
          </w:p>
          <w:p w:rsidR="00ED541E" w:rsidRPr="005A6BE4" w:rsidRDefault="00D571C5" w:rsidP="00C334D1">
            <w:pPr>
              <w:pStyle w:val="ListParagraph"/>
              <w:widowControl w:val="0"/>
              <w:numPr>
                <w:ilvl w:val="0"/>
                <w:numId w:val="73"/>
              </w:numPr>
              <w:tabs>
                <w:tab w:val="clear" w:pos="720"/>
              </w:tabs>
              <w:spacing w:after="120" w:line="240" w:lineRule="auto"/>
              <w:ind w:left="330"/>
              <w:rPr>
                <w:rFonts w:ascii="Tahoma" w:hAnsi="Tahoma" w:cs="Tahoma"/>
                <w:sz w:val="20"/>
                <w:szCs w:val="20"/>
              </w:rPr>
            </w:pPr>
            <w:hyperlink r:id="rId660" w:history="1">
              <w:r w:rsidR="00ED541E" w:rsidRPr="005A6BE4">
                <w:rPr>
                  <w:rStyle w:val="Hyperlink"/>
                  <w:rFonts w:ascii="Arial" w:hAnsi="Arial"/>
                  <w:b/>
                  <w:bCs/>
                  <w:i/>
                  <w:sz w:val="20"/>
                </w:rPr>
                <w:t>March 2016 Quality Call Notes</w:t>
              </w:r>
            </w:hyperlink>
            <w:r w:rsidR="00ED541E" w:rsidRPr="005A6BE4">
              <w:rPr>
                <w:rFonts w:ascii="Arial" w:hAnsi="Arial"/>
                <w:bCs/>
                <w:sz w:val="20"/>
              </w:rPr>
              <w:t xml:space="preserve"> – If routine future was not done on cancer, but remission shown in TRs, get DBQ &amp; rate on residuals</w:t>
            </w:r>
          </w:p>
          <w:p w:rsidR="00ED541E" w:rsidRPr="00BE4D45" w:rsidRDefault="00ED541E" w:rsidP="00C334D1">
            <w:pPr>
              <w:pStyle w:val="ListParagraph"/>
              <w:widowControl w:val="0"/>
              <w:numPr>
                <w:ilvl w:val="0"/>
                <w:numId w:val="73"/>
              </w:numPr>
              <w:tabs>
                <w:tab w:val="clear" w:pos="720"/>
              </w:tabs>
              <w:spacing w:after="120" w:line="240" w:lineRule="auto"/>
              <w:ind w:left="330"/>
              <w:rPr>
                <w:rFonts w:ascii="Arial" w:hAnsi="Arial"/>
                <w:sz w:val="20"/>
                <w:szCs w:val="20"/>
              </w:rPr>
            </w:pPr>
            <w:r w:rsidRPr="003E3140">
              <w:rPr>
                <w:rFonts w:ascii="Arial" w:hAnsi="Arial"/>
                <w:bCs/>
                <w:i/>
                <w:sz w:val="20"/>
                <w:szCs w:val="20"/>
              </w:rPr>
              <w:t>Per QRT/Melvin Moore, 7/27/16 – can remove inappropriate routine future exams / RFEs (even if not rating that issue) [also said if at eval for 5 years &amp; exam shows improvement, we aren’t required to schedule another exam</w:t>
            </w:r>
            <w:r w:rsidR="001E0E8E">
              <w:rPr>
                <w:rFonts w:ascii="Arial" w:hAnsi="Arial"/>
                <w:bCs/>
                <w:sz w:val="20"/>
                <w:szCs w:val="20"/>
              </w:rPr>
              <w:t>;</w:t>
            </w:r>
            <w:r>
              <w:rPr>
                <w:rFonts w:ascii="Arial" w:hAnsi="Arial"/>
                <w:bCs/>
                <w:sz w:val="20"/>
                <w:szCs w:val="20"/>
              </w:rPr>
              <w:t xml:space="preserve"> see </w:t>
            </w:r>
            <w:r w:rsidRPr="00D55128">
              <w:rPr>
                <w:rFonts w:ascii="Arial" w:hAnsi="Arial"/>
                <w:b/>
                <w:bCs/>
                <w:sz w:val="20"/>
                <w:szCs w:val="20"/>
              </w:rPr>
              <w:t>III.iv.3.B.2.</w:t>
            </w:r>
            <w:r>
              <w:rPr>
                <w:rFonts w:ascii="Arial" w:hAnsi="Arial"/>
                <w:b/>
                <w:bCs/>
                <w:sz w:val="20"/>
                <w:szCs w:val="20"/>
              </w:rPr>
              <w:t>l</w:t>
            </w:r>
            <w:r>
              <w:rPr>
                <w:rFonts w:ascii="Arial" w:hAnsi="Arial"/>
                <w:bCs/>
                <w:sz w:val="20"/>
                <w:szCs w:val="20"/>
              </w:rPr>
              <w:t xml:space="preserve"> for actions needed</w:t>
            </w:r>
          </w:p>
          <w:p w:rsidR="00ED541E" w:rsidRPr="003E3140" w:rsidRDefault="00ED541E" w:rsidP="00C334D1">
            <w:pPr>
              <w:pStyle w:val="ListParagraph"/>
              <w:widowControl w:val="0"/>
              <w:numPr>
                <w:ilvl w:val="0"/>
                <w:numId w:val="73"/>
              </w:numPr>
              <w:tabs>
                <w:tab w:val="clear" w:pos="720"/>
              </w:tabs>
              <w:spacing w:after="120" w:line="240" w:lineRule="auto"/>
              <w:ind w:left="330"/>
              <w:rPr>
                <w:rFonts w:ascii="Arial" w:hAnsi="Arial"/>
                <w:i/>
                <w:sz w:val="20"/>
                <w:szCs w:val="20"/>
              </w:rPr>
            </w:pPr>
            <w:r w:rsidRPr="003E3140">
              <w:rPr>
                <w:rFonts w:ascii="Arial" w:hAnsi="Arial"/>
                <w:bCs/>
                <w:i/>
                <w:sz w:val="20"/>
                <w:szCs w:val="20"/>
              </w:rPr>
              <w:t>Per QRT/Carlos Rosario, 8/24/16 – if 810 diary incorrect, 310 established incorrectly &amp; RFE requested incorrectly (veteran already P&amp;T w/Ch. 35 granted), can cancel the 310 (even with exam results on file) [inside the 310, click on “Go to Work Item”; under Actions drop-down, choose Complete Work Item; Claim State:  CANCELLED; Reason:  Established in error; make a Permanent Note that:</w:t>
            </w:r>
          </w:p>
          <w:p w:rsidR="00ED541E" w:rsidRPr="006A2275" w:rsidRDefault="00ED541E" w:rsidP="00C334D1">
            <w:pPr>
              <w:widowControl w:val="0"/>
              <w:pBdr>
                <w:top w:val="single" w:sz="4" w:space="1" w:color="auto"/>
                <w:left w:val="single" w:sz="4" w:space="4" w:color="auto"/>
                <w:bottom w:val="single" w:sz="4" w:space="1" w:color="auto"/>
                <w:right w:val="single" w:sz="4" w:space="4" w:color="auto"/>
              </w:pBdr>
              <w:spacing w:after="120"/>
              <w:ind w:left="330" w:right="160"/>
            </w:pPr>
            <w:r w:rsidRPr="006A2275">
              <w:rPr>
                <w:bCs/>
              </w:rPr>
              <w:t>The 810 diary sho</w:t>
            </w:r>
            <w:r>
              <w:rPr>
                <w:bCs/>
              </w:rPr>
              <w:t xml:space="preserve">uld have been cleared when the {} </w:t>
            </w:r>
            <w:r w:rsidRPr="006A2275">
              <w:rPr>
                <w:bCs/>
              </w:rPr>
              <w:t>RD removed the future exam and granted Ch. 35.</w:t>
            </w:r>
            <w:r>
              <w:rPr>
                <w:bCs/>
              </w:rPr>
              <w:t xml:space="preserve"> The 310 was established &amp; RFE requested in error. No action needed, per QRT, even though we have the RFE results on file.</w:t>
            </w:r>
          </w:p>
          <w:p w:rsidR="00ED541E" w:rsidRDefault="00D571C5" w:rsidP="00C334D1">
            <w:pPr>
              <w:pStyle w:val="ListParagraph"/>
              <w:numPr>
                <w:ilvl w:val="0"/>
                <w:numId w:val="73"/>
              </w:numPr>
              <w:tabs>
                <w:tab w:val="clear" w:pos="720"/>
                <w:tab w:val="num" w:pos="330"/>
              </w:tabs>
              <w:spacing w:after="120" w:line="240" w:lineRule="auto"/>
              <w:ind w:left="330"/>
            </w:pPr>
            <w:hyperlink r:id="rId661" w:history="1">
              <w:r w:rsidR="00ED541E" w:rsidRPr="00076309">
                <w:rPr>
                  <w:rStyle w:val="Hyperlink"/>
                  <w:rFonts w:ascii="Arial" w:hAnsi="Arial"/>
                  <w:b/>
                  <w:i/>
                  <w:sz w:val="20"/>
                </w:rPr>
                <w:t>May 2017 Quality Call Notes</w:t>
              </w:r>
            </w:hyperlink>
            <w:r w:rsidR="00ED541E">
              <w:t xml:space="preserve"> – </w:t>
            </w:r>
          </w:p>
          <w:p w:rsidR="00ED541E" w:rsidRPr="0063373F" w:rsidRDefault="00ED541E" w:rsidP="00C334D1">
            <w:pPr>
              <w:pStyle w:val="NoSpacing"/>
              <w:spacing w:after="120"/>
              <w:ind w:left="331"/>
              <w:rPr>
                <w:rStyle w:val="Hyperlink"/>
                <w:rFonts w:ascii="Arial" w:hAnsi="Arial"/>
                <w:b/>
                <w:color w:val="000000"/>
                <w:sz w:val="20"/>
                <w:szCs w:val="20"/>
              </w:rPr>
            </w:pPr>
            <w:r w:rsidRPr="0063373F">
              <w:rPr>
                <w:rStyle w:val="Hyperlink"/>
                <w:rFonts w:ascii="Arial" w:hAnsi="Arial"/>
                <w:b/>
                <w:color w:val="000000"/>
                <w:sz w:val="20"/>
                <w:szCs w:val="20"/>
              </w:rPr>
              <w:t>Questions:  If a RFE was conducted and shows improvement, but the evaluation is in effect for more than 5 years, and the Veteran is over 55 years old, are we required to schedule another RFE (under 3.344b) or not (under 3.327b)?</w:t>
            </w:r>
          </w:p>
          <w:p w:rsidR="00ED541E" w:rsidRPr="0063373F" w:rsidRDefault="00ED541E" w:rsidP="00C334D1">
            <w:pPr>
              <w:pStyle w:val="NoSpacing"/>
              <w:spacing w:after="120"/>
              <w:ind w:left="331"/>
              <w:rPr>
                <w:rStyle w:val="Hyperlink"/>
                <w:rFonts w:ascii="Arial" w:hAnsi="Arial"/>
                <w:b/>
                <w:color w:val="000000"/>
                <w:sz w:val="20"/>
                <w:szCs w:val="20"/>
              </w:rPr>
            </w:pPr>
            <w:r w:rsidRPr="0063373F">
              <w:rPr>
                <w:rStyle w:val="Hyperlink"/>
                <w:rFonts w:ascii="Arial" w:hAnsi="Arial"/>
                <w:b/>
                <w:color w:val="000000"/>
                <w:sz w:val="20"/>
                <w:szCs w:val="20"/>
              </w:rPr>
              <w:t>Veteran submitted a claim for increase for a condition, and the examination shows improvement.  The evaluation has been in effect over 5 years.  3.327 indicates to not reexam if Veteran is over 55 or if the combined evaluation does not change, while 3.344 notes to schedule another RFE.  Which CFR applies?</w:t>
            </w:r>
          </w:p>
          <w:p w:rsidR="00ED541E" w:rsidRPr="0063373F" w:rsidRDefault="00ED541E" w:rsidP="00C334D1">
            <w:pPr>
              <w:pStyle w:val="NoSpacing"/>
              <w:spacing w:after="120"/>
              <w:ind w:left="331"/>
              <w:rPr>
                <w:rStyle w:val="Hyperlink"/>
                <w:rFonts w:ascii="Arial" w:hAnsi="Arial"/>
                <w:b/>
                <w:color w:val="000000"/>
                <w:sz w:val="20"/>
                <w:szCs w:val="20"/>
              </w:rPr>
            </w:pPr>
            <w:r w:rsidRPr="0063373F">
              <w:rPr>
                <w:rStyle w:val="Hyperlink"/>
                <w:rFonts w:ascii="Arial" w:hAnsi="Arial"/>
                <w:b/>
                <w:color w:val="000000"/>
                <w:sz w:val="20"/>
                <w:szCs w:val="20"/>
              </w:rPr>
              <w:t>An evaluation has been in effect more than 5 years.  We receive a review exam which shows improvement.  Veteran will be 55 years old in one year.  Should or shouldn’t we schedule another examination in 18/24/30 months?  Just let the improvement go without action since the Veteran will be 55 by time we get another exam?</w:t>
            </w:r>
          </w:p>
          <w:p w:rsidR="00ED541E" w:rsidRDefault="00D571C5" w:rsidP="00C334D1">
            <w:pPr>
              <w:spacing w:after="120"/>
              <w:ind w:left="330"/>
              <w:rPr>
                <w:color w:val="000000"/>
              </w:rPr>
            </w:pPr>
            <w:hyperlink r:id="rId662" w:history="1">
              <w:r w:rsidR="00ED541E" w:rsidRPr="00076309">
                <w:rPr>
                  <w:rStyle w:val="Hyperlink"/>
                  <w:szCs w:val="22"/>
                </w:rPr>
                <w:t>38 CFR 3.327</w:t>
              </w:r>
            </w:hyperlink>
            <w:r w:rsidR="00ED541E" w:rsidRPr="00076309">
              <w:rPr>
                <w:color w:val="000000"/>
              </w:rPr>
              <w:t xml:space="preserve"> provides the general regulatory standard for determining whether further reexamination is or is not appropriate, whereas </w:t>
            </w:r>
            <w:hyperlink r:id="rId663" w:history="1">
              <w:r w:rsidR="00ED541E" w:rsidRPr="00076309">
                <w:rPr>
                  <w:rStyle w:val="Hyperlink"/>
                  <w:szCs w:val="22"/>
                </w:rPr>
                <w:t>38 CFR 3.344</w:t>
              </w:r>
            </w:hyperlink>
            <w:r w:rsidR="00ED541E" w:rsidRPr="00076309">
              <w:rPr>
                <w:color w:val="000000"/>
              </w:rPr>
              <w:t xml:space="preserve"> addresses factors associated with disability evaluation stabilization, including the potential need for multiple examinations to ensure improvement in certain situations.  The former reference indicates that periodic reexaminations should not, under normal circumstances, be requested in cases of Veterans over 55 years of age; it makes no effort to differentiate between initial routine future examinations and reexaminations requested in the interest of substantiating sustained improvement.  Therefore, in instances where one examination portrays improvement in the evaluation of a Veteran who has reached age 55 (or </w:t>
            </w:r>
            <w:r w:rsidR="00ED541E" w:rsidRPr="00076309">
              <w:rPr>
                <w:i/>
                <w:iCs/>
                <w:color w:val="000000"/>
              </w:rPr>
              <w:t xml:space="preserve">will have </w:t>
            </w:r>
            <w:r w:rsidR="00ED541E" w:rsidRPr="00076309">
              <w:rPr>
                <w:color w:val="000000"/>
              </w:rPr>
              <w:t>reached age 55 by the time a prospective reexamination is carried out), notwithstanding any other specific requirement in the VASRD, reexamination should not be conducted.</w:t>
            </w:r>
          </w:p>
          <w:p w:rsidR="00ED541E" w:rsidRPr="00076309" w:rsidRDefault="00ED541E" w:rsidP="00E1001E">
            <w:pPr>
              <w:pStyle w:val="NoSpacing"/>
              <w:spacing w:after="120"/>
              <w:ind w:left="330"/>
              <w:rPr>
                <w:rFonts w:ascii="Arial" w:hAnsi="Arial"/>
                <w:b/>
                <w:color w:val="000000"/>
                <w:sz w:val="20"/>
                <w:szCs w:val="22"/>
              </w:rPr>
            </w:pPr>
            <w:r w:rsidRPr="00076309">
              <w:rPr>
                <w:rFonts w:ascii="Arial" w:hAnsi="Arial"/>
                <w:b/>
                <w:color w:val="000000"/>
                <w:sz w:val="20"/>
                <w:szCs w:val="22"/>
              </w:rPr>
              <w:t>Question:  In instances where the initial RFE is requested prematurely (before the 3 years, or previously 5 years standard) and the examination shows improvement, should a reduction still be adjudicated although it was requested too soon?</w:t>
            </w:r>
          </w:p>
          <w:p w:rsidR="00ED541E" w:rsidRPr="00076309" w:rsidRDefault="00ED541E" w:rsidP="00C334D1">
            <w:pPr>
              <w:pStyle w:val="NoSpacing"/>
              <w:spacing w:after="120"/>
              <w:ind w:left="330"/>
              <w:rPr>
                <w:rFonts w:ascii="Arial" w:hAnsi="Arial"/>
                <w:color w:val="000000"/>
                <w:sz w:val="20"/>
                <w:szCs w:val="22"/>
              </w:rPr>
            </w:pPr>
            <w:r w:rsidRPr="00076309">
              <w:rPr>
                <w:rFonts w:ascii="Arial" w:hAnsi="Arial"/>
                <w:color w:val="000000"/>
                <w:sz w:val="20"/>
                <w:szCs w:val="22"/>
              </w:rPr>
              <w:t xml:space="preserve">Answer:  The fact that a reexamination was ill-timed or prematurely scheduled bears no impact on the corresponding report’s evidentiary or probative value.  Once an examination is conducted and demonstrates improvement in a service-connected disability, it becomes an indelible entry in the evidentiary record and must be considered in the context of </w:t>
            </w:r>
            <w:hyperlink r:id="rId664" w:anchor="agent/portal/554400000001034/article/554400000014214/M21-1-Part-III-Subpart-iv-Chapter-8" w:history="1">
              <w:r w:rsidRPr="00076309">
                <w:rPr>
                  <w:rStyle w:val="Hyperlink"/>
                  <w:rFonts w:ascii="Arial" w:hAnsi="Arial"/>
                  <w:sz w:val="20"/>
                  <w:szCs w:val="22"/>
                </w:rPr>
                <w:t>M21-1, Part III, Subpart iv, 8.D.1.b</w:t>
              </w:r>
            </w:hyperlink>
            <w:r w:rsidRPr="00076309">
              <w:rPr>
                <w:rFonts w:ascii="Arial" w:hAnsi="Arial"/>
                <w:color w:val="000000"/>
                <w:sz w:val="20"/>
                <w:szCs w:val="22"/>
              </w:rPr>
              <w:t xml:space="preserve"> and </w:t>
            </w:r>
            <w:hyperlink r:id="rId665" w:history="1">
              <w:r w:rsidRPr="00076309">
                <w:rPr>
                  <w:rStyle w:val="Hyperlink"/>
                  <w:rFonts w:ascii="Arial" w:hAnsi="Arial"/>
                  <w:sz w:val="20"/>
                  <w:szCs w:val="22"/>
                </w:rPr>
                <w:t>38 CFR 3.344(c)</w:t>
              </w:r>
            </w:hyperlink>
            <w:r w:rsidRPr="00076309">
              <w:rPr>
                <w:rFonts w:ascii="Arial" w:hAnsi="Arial"/>
                <w:color w:val="000000"/>
                <w:sz w:val="20"/>
                <w:szCs w:val="22"/>
              </w:rPr>
              <w:t>.  If a reduced evaluation is in order, rating action s</w:t>
            </w:r>
            <w:r>
              <w:rPr>
                <w:rFonts w:ascii="Arial" w:hAnsi="Arial"/>
                <w:color w:val="000000"/>
                <w:sz w:val="20"/>
                <w:szCs w:val="22"/>
              </w:rPr>
              <w:t>hould be taken to implement it.</w:t>
            </w:r>
          </w:p>
          <w:p w:rsidR="00ED541E" w:rsidRPr="0085268B" w:rsidRDefault="00ED541E" w:rsidP="00C334D1">
            <w:pPr>
              <w:pStyle w:val="NoSpacing"/>
              <w:numPr>
                <w:ilvl w:val="0"/>
                <w:numId w:val="73"/>
              </w:numPr>
              <w:tabs>
                <w:tab w:val="clear" w:pos="720"/>
                <w:tab w:val="num" w:pos="330"/>
              </w:tabs>
              <w:spacing w:after="120"/>
              <w:ind w:left="330"/>
              <w:rPr>
                <w:rFonts w:ascii="Arial" w:hAnsi="Arial"/>
                <w:sz w:val="20"/>
                <w:szCs w:val="20"/>
              </w:rPr>
            </w:pPr>
            <w:r w:rsidRPr="0030434B">
              <w:rPr>
                <w:rFonts w:ascii="Arial" w:hAnsi="Arial"/>
                <w:b/>
                <w:sz w:val="20"/>
                <w:szCs w:val="20"/>
              </w:rPr>
              <w:t>I</w:t>
            </w:r>
            <w:r>
              <w:rPr>
                <w:rFonts w:ascii="Arial" w:hAnsi="Arial"/>
                <w:b/>
                <w:sz w:val="20"/>
                <w:szCs w:val="20"/>
              </w:rPr>
              <w:t>X.ii.2.1.m</w:t>
            </w:r>
            <w:r>
              <w:rPr>
                <w:rFonts w:ascii="Arial" w:hAnsi="Arial"/>
                <w:sz w:val="20"/>
                <w:szCs w:val="20"/>
              </w:rPr>
              <w:t xml:space="preserve"> &amp;</w:t>
            </w:r>
            <w:r w:rsidRPr="0085268B">
              <w:rPr>
                <w:rFonts w:ascii="Arial" w:hAnsi="Arial"/>
                <w:b/>
                <w:sz w:val="20"/>
                <w:szCs w:val="20"/>
              </w:rPr>
              <w:t xml:space="preserve"> IX.ii.2.1.n</w:t>
            </w:r>
            <w:r>
              <w:rPr>
                <w:rFonts w:ascii="Arial" w:hAnsi="Arial"/>
                <w:sz w:val="20"/>
                <w:szCs w:val="20"/>
              </w:rPr>
              <w:t xml:space="preserve"> – </w:t>
            </w:r>
            <w:r w:rsidR="004F315B">
              <w:rPr>
                <w:rFonts w:ascii="Arial" w:hAnsi="Arial"/>
                <w:sz w:val="20"/>
                <w:szCs w:val="20"/>
              </w:rPr>
              <w:t>effective date</w:t>
            </w:r>
            <w:r>
              <w:rPr>
                <w:rFonts w:ascii="Arial" w:hAnsi="Arial"/>
                <w:sz w:val="20"/>
                <w:szCs w:val="20"/>
              </w:rPr>
              <w:t xml:space="preserve"> is date of exam establishing permanency (i.e. no routine future exam / RFE was ordered), or date new evidence warranting cancellation of routine future exam / RFE, </w:t>
            </w:r>
            <w:r w:rsidRPr="001E0AA2">
              <w:rPr>
                <w:rFonts w:ascii="Arial" w:hAnsi="Arial"/>
                <w:sz w:val="20"/>
                <w:szCs w:val="20"/>
              </w:rPr>
              <w:t>or date of review when a routine future exam / RFE was cancelled</w:t>
            </w:r>
            <w:r w:rsidR="001E0AA2">
              <w:rPr>
                <w:rFonts w:ascii="Arial" w:hAnsi="Arial"/>
                <w:sz w:val="20"/>
                <w:szCs w:val="20"/>
              </w:rPr>
              <w:t xml:space="preserve">, or </w:t>
            </w:r>
          </w:p>
          <w:p w:rsidR="00ED541E" w:rsidRDefault="00ED541E" w:rsidP="00C334D1">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330" w:right="150"/>
            </w:pPr>
            <w:r w:rsidRPr="0085268B">
              <w:t>Rating Note:  Per IX.ii.2.1.n, the e</w:t>
            </w:r>
            <w:r>
              <w:t xml:space="preserve">xamination control was </w:t>
            </w:r>
            <w:r w:rsidRPr="0085268B">
              <w:t xml:space="preserve">set up in error </w:t>
            </w:r>
            <w:r>
              <w:t>(veteran was over 55 years of age at the time of the prior RD, and there we</w:t>
            </w:r>
            <w:r w:rsidRPr="00445837">
              <w:t>re no unusual circumstances involved in the case),</w:t>
            </w:r>
            <w:r>
              <w:t xml:space="preserve"> </w:t>
            </w:r>
            <w:r w:rsidRPr="0085268B">
              <w:t>so the date of P&amp;T disability is as if the future examination control was never established.</w:t>
            </w:r>
          </w:p>
          <w:p w:rsidR="00ED541E" w:rsidRDefault="00ED541E" w:rsidP="00C334D1">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330" w:right="150"/>
            </w:pPr>
          </w:p>
          <w:p w:rsidR="00ED541E" w:rsidRDefault="00ED541E" w:rsidP="00C334D1">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330" w:right="150"/>
            </w:pPr>
            <w:r w:rsidRPr="0085268B">
              <w:t>Rating Note:  Per IX.ii.2.1.n, the</w:t>
            </w:r>
            <w:r>
              <w:t>re is a difference in judgment in the</w:t>
            </w:r>
            <w:r w:rsidRPr="0085268B">
              <w:t xml:space="preserve"> e</w:t>
            </w:r>
            <w:r>
              <w:t>xamination control</w:t>
            </w:r>
            <w:r w:rsidRPr="00445837">
              <w:t>,</w:t>
            </w:r>
            <w:r>
              <w:t xml:space="preserve"> </w:t>
            </w:r>
            <w:r w:rsidRPr="0085268B">
              <w:t xml:space="preserve">so the date of P&amp;T disability is </w:t>
            </w:r>
            <w:r>
              <w:t xml:space="preserve">the </w:t>
            </w:r>
            <w:r w:rsidRPr="00945491">
              <w:t>date of review (i.e. the date of this rating).</w:t>
            </w:r>
          </w:p>
          <w:p w:rsidR="00ED541E" w:rsidRDefault="00ED541E" w:rsidP="00C334D1">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330" w:right="150"/>
            </w:pPr>
          </w:p>
          <w:p w:rsidR="00ED541E" w:rsidRDefault="00ED541E" w:rsidP="00C334D1">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ind w:left="330" w:right="150"/>
            </w:pPr>
            <w:r w:rsidRPr="0085268B">
              <w:t>Rating Note:  Per IX.ii.2.1.n, the</w:t>
            </w:r>
            <w:r>
              <w:t>re is new evidence that changes the prior assessment</w:t>
            </w:r>
            <w:r w:rsidRPr="00445837">
              <w:t>,</w:t>
            </w:r>
            <w:r>
              <w:t xml:space="preserve"> </w:t>
            </w:r>
            <w:r w:rsidRPr="0085268B">
              <w:t xml:space="preserve">so the date of P&amp;T disability is </w:t>
            </w:r>
            <w:r>
              <w:t>the date the new evidence was received</w:t>
            </w:r>
            <w:r w:rsidRPr="0085268B">
              <w:t>.</w:t>
            </w:r>
          </w:p>
          <w:p w:rsidR="00ED541E" w:rsidRDefault="00ED541E" w:rsidP="00C334D1">
            <w:pPr>
              <w:pStyle w:val="Header"/>
              <w:widowControl w:val="0"/>
              <w:tabs>
                <w:tab w:val="clear" w:pos="4320"/>
                <w:tab w:val="clear" w:pos="8640"/>
              </w:tabs>
            </w:pPr>
          </w:p>
          <w:p w:rsidR="0073074E" w:rsidRPr="0073074E" w:rsidRDefault="0073074E" w:rsidP="0073074E">
            <w:pPr>
              <w:pStyle w:val="ListParagraph"/>
              <w:numPr>
                <w:ilvl w:val="0"/>
                <w:numId w:val="73"/>
              </w:numPr>
              <w:tabs>
                <w:tab w:val="clear" w:pos="720"/>
                <w:tab w:val="num" w:pos="360"/>
              </w:tabs>
              <w:ind w:left="330"/>
              <w:rPr>
                <w:rFonts w:ascii="Arial" w:hAnsi="Arial"/>
                <w:sz w:val="20"/>
              </w:rPr>
            </w:pPr>
            <w:r w:rsidRPr="0073074E">
              <w:rPr>
                <w:rFonts w:ascii="Arial" w:hAnsi="Arial"/>
                <w:b/>
                <w:bCs/>
                <w:sz w:val="20"/>
              </w:rPr>
              <w:t>From:</w:t>
            </w:r>
            <w:r w:rsidRPr="0073074E">
              <w:rPr>
                <w:rFonts w:ascii="Arial" w:hAnsi="Arial"/>
                <w:sz w:val="20"/>
              </w:rPr>
              <w:t xml:space="preserve"> VAVBASDC/RO/VSC </w:t>
            </w:r>
            <w:r w:rsidRPr="0073074E">
              <w:rPr>
                <w:rFonts w:ascii="Arial" w:hAnsi="Arial"/>
                <w:sz w:val="20"/>
              </w:rPr>
              <w:br/>
            </w:r>
            <w:r w:rsidRPr="0073074E">
              <w:rPr>
                <w:rFonts w:ascii="Arial" w:hAnsi="Arial"/>
                <w:b/>
                <w:bCs/>
                <w:sz w:val="20"/>
              </w:rPr>
              <w:t>Sent:</w:t>
            </w:r>
            <w:r w:rsidRPr="0073074E">
              <w:rPr>
                <w:rFonts w:ascii="Arial" w:hAnsi="Arial"/>
                <w:sz w:val="20"/>
              </w:rPr>
              <w:t xml:space="preserve"> Monday, June 11, 2018 11:09 AM</w:t>
            </w:r>
            <w:r w:rsidRPr="0073074E">
              <w:rPr>
                <w:rFonts w:ascii="Arial" w:hAnsi="Arial"/>
                <w:sz w:val="20"/>
              </w:rPr>
              <w:br/>
            </w:r>
            <w:r w:rsidRPr="0073074E">
              <w:rPr>
                <w:rFonts w:ascii="Arial" w:hAnsi="Arial"/>
                <w:b/>
                <w:bCs/>
                <w:sz w:val="20"/>
              </w:rPr>
              <w:t>Subject:</w:t>
            </w:r>
            <w:r w:rsidRPr="0073074E">
              <w:rPr>
                <w:rFonts w:ascii="Arial" w:hAnsi="Arial"/>
                <w:sz w:val="20"/>
              </w:rPr>
              <w:t xml:space="preserve"> FW: Q-Tip: Determining the Need for Review Examinations</w:t>
            </w:r>
          </w:p>
          <w:p w:rsidR="0073074E" w:rsidRPr="0073074E" w:rsidRDefault="0073074E" w:rsidP="0073074E">
            <w:pPr>
              <w:spacing w:after="120"/>
              <w:ind w:left="331"/>
            </w:pPr>
            <w:r w:rsidRPr="0073074E">
              <w:t>Attention all DROs/RVSRs:</w:t>
            </w:r>
          </w:p>
          <w:p w:rsidR="0073074E" w:rsidRPr="0073074E" w:rsidRDefault="0073074E" w:rsidP="0073074E">
            <w:pPr>
              <w:spacing w:after="120"/>
              <w:ind w:left="331"/>
            </w:pPr>
            <w:r w:rsidRPr="0073074E">
              <w:t xml:space="preserve">Please review the attached synopsis for determining the need for review examinations.  </w:t>
            </w:r>
          </w:p>
          <w:p w:rsidR="0073074E" w:rsidRPr="0073074E" w:rsidRDefault="0073074E" w:rsidP="0073074E">
            <w:pPr>
              <w:spacing w:after="120"/>
              <w:ind w:left="331"/>
            </w:pPr>
            <w:r w:rsidRPr="0073074E">
              <w:rPr>
                <w:b/>
                <w:bCs/>
              </w:rPr>
              <w:t>Question</w:t>
            </w:r>
            <w:r w:rsidRPr="0073074E">
              <w:t xml:space="preserve">: Is a future/review examination required or necessary when granting or evaluating the service-connected condition? </w:t>
            </w:r>
          </w:p>
          <w:p w:rsidR="0073074E" w:rsidRPr="0073074E" w:rsidRDefault="0073074E" w:rsidP="0073074E">
            <w:pPr>
              <w:spacing w:after="120"/>
              <w:ind w:left="331"/>
            </w:pPr>
            <w:r w:rsidRPr="0073074E">
              <w:rPr>
                <w:b/>
                <w:bCs/>
              </w:rPr>
              <w:t>Answer</w:t>
            </w:r>
            <w:r w:rsidRPr="0073074E">
              <w:t xml:space="preserve">: Central Office has concerns with the amount of future examinations created by San Diego VA Regional Office (along with other offices across the country). During Central Office last visit to San Diego, they emphasized to schedule future/routine examinations </w:t>
            </w:r>
            <w:r w:rsidRPr="0073074E">
              <w:rPr>
                <w:b/>
                <w:u w:val="single"/>
              </w:rPr>
              <w:t>only</w:t>
            </w:r>
            <w:r w:rsidRPr="0073074E">
              <w:t xml:space="preserve"> when necessary. </w:t>
            </w:r>
          </w:p>
          <w:p w:rsidR="0073074E" w:rsidRPr="0073074E" w:rsidRDefault="0073074E" w:rsidP="0073074E">
            <w:pPr>
              <w:spacing w:after="120"/>
              <w:ind w:left="331"/>
            </w:pPr>
            <w:r w:rsidRPr="0073074E">
              <w:t xml:space="preserve">Recent Trend Analysis show San Diego RO continues to schedule a large number of unnecessary future/review examinations. </w:t>
            </w:r>
          </w:p>
          <w:p w:rsidR="0073074E" w:rsidRPr="0073074E" w:rsidRDefault="0073074E" w:rsidP="0073074E">
            <w:pPr>
              <w:ind w:left="331"/>
            </w:pPr>
            <w:r w:rsidRPr="0073074E">
              <w:t>M21-1 III.iv.3.B.2.a. state to request a review examination whenever:</w:t>
            </w:r>
          </w:p>
          <w:p w:rsidR="0073074E" w:rsidRPr="0073074E" w:rsidRDefault="0073074E" w:rsidP="00F063AF">
            <w:pPr>
              <w:numPr>
                <w:ilvl w:val="0"/>
                <w:numId w:val="438"/>
              </w:numPr>
              <w:overflowPunct/>
              <w:autoSpaceDE/>
              <w:autoSpaceDN/>
              <w:adjustRightInd/>
              <w:textAlignment w:val="auto"/>
            </w:pPr>
            <w:r w:rsidRPr="0073074E">
              <w:t>there is a need to verify either the continued existence or the current severity of a disability</w:t>
            </w:r>
          </w:p>
          <w:p w:rsidR="0073074E" w:rsidRPr="0073074E" w:rsidRDefault="0073074E" w:rsidP="00F063AF">
            <w:pPr>
              <w:numPr>
                <w:ilvl w:val="0"/>
                <w:numId w:val="438"/>
              </w:numPr>
              <w:overflowPunct/>
              <w:autoSpaceDE/>
              <w:autoSpaceDN/>
              <w:adjustRightInd/>
              <w:textAlignment w:val="auto"/>
            </w:pPr>
            <w:r w:rsidRPr="0073074E">
              <w:t>it is likely that a disability has improved</w:t>
            </w:r>
          </w:p>
          <w:p w:rsidR="0073074E" w:rsidRPr="0073074E" w:rsidRDefault="0073074E" w:rsidP="00F063AF">
            <w:pPr>
              <w:numPr>
                <w:ilvl w:val="0"/>
                <w:numId w:val="438"/>
              </w:numPr>
              <w:overflowPunct/>
              <w:autoSpaceDE/>
              <w:autoSpaceDN/>
              <w:adjustRightInd/>
              <w:textAlignment w:val="auto"/>
            </w:pPr>
            <w:r w:rsidRPr="0073074E">
              <w:t>evidence indicates there has been a material change in a disability</w:t>
            </w:r>
          </w:p>
          <w:p w:rsidR="0073074E" w:rsidRPr="0073074E" w:rsidRDefault="0073074E" w:rsidP="00F063AF">
            <w:pPr>
              <w:numPr>
                <w:ilvl w:val="0"/>
                <w:numId w:val="438"/>
              </w:numPr>
              <w:overflowPunct/>
              <w:autoSpaceDE/>
              <w:autoSpaceDN/>
              <w:adjustRightInd/>
              <w:textAlignment w:val="auto"/>
            </w:pPr>
            <w:r w:rsidRPr="0073074E">
              <w:t>the current rating may be incorrect, or</w:t>
            </w:r>
          </w:p>
          <w:p w:rsidR="0073074E" w:rsidRPr="0073074E" w:rsidRDefault="0073074E" w:rsidP="00F063AF">
            <w:pPr>
              <w:numPr>
                <w:ilvl w:val="0"/>
                <w:numId w:val="438"/>
              </w:numPr>
              <w:overflowPunct/>
              <w:autoSpaceDE/>
              <w:autoSpaceDN/>
              <w:adjustRightInd/>
              <w:textAlignment w:val="auto"/>
            </w:pPr>
            <w:r w:rsidRPr="0073074E">
              <w:t>it is otherwise required by the regulation or diagnostic code (DC) under which the Veteran is service connected.</w:t>
            </w:r>
          </w:p>
          <w:p w:rsidR="0073074E" w:rsidRPr="0073074E" w:rsidRDefault="0073074E" w:rsidP="0073074E">
            <w:pPr>
              <w:spacing w:after="120"/>
              <w:ind w:left="331"/>
            </w:pPr>
            <w:r w:rsidRPr="0073074E">
              <w:rPr>
                <w:b/>
              </w:rPr>
              <w:t>Note:</w:t>
            </w:r>
            <w:r w:rsidRPr="0073074E">
              <w:t xml:space="preserve">  Do </w:t>
            </w:r>
            <w:r w:rsidRPr="0073074E">
              <w:rPr>
                <w:i/>
              </w:rPr>
              <w:t>not</w:t>
            </w:r>
            <w:r w:rsidRPr="0073074E">
              <w:t xml:space="preserve"> request a review examination solely to confirm evidence listed in 38 CFR 3.326(b) and (c) that is otherwise adequate for rating.</w:t>
            </w:r>
          </w:p>
          <w:p w:rsidR="0073074E" w:rsidRPr="0073074E" w:rsidRDefault="0073074E" w:rsidP="0073074E">
            <w:pPr>
              <w:ind w:left="330"/>
            </w:pPr>
            <w:r w:rsidRPr="0073074E">
              <w:t>M21-1 III.iv.3.B.2.b. states:</w:t>
            </w:r>
          </w:p>
          <w:p w:rsidR="0073074E" w:rsidRPr="0073074E" w:rsidRDefault="0073074E" w:rsidP="0073074E">
            <w:pPr>
              <w:ind w:left="330"/>
            </w:pPr>
            <w:r w:rsidRPr="0073074E">
              <w:t xml:space="preserve">Exercise prudent judgment and refer to 38 CFR 3.327(b) in determining the need for review examination.  It is the policy of VBA to request future examinations </w:t>
            </w:r>
            <w:r w:rsidRPr="0073074E">
              <w:rPr>
                <w:b/>
              </w:rPr>
              <w:t>only</w:t>
            </w:r>
            <w:r w:rsidRPr="0073074E">
              <w:t xml:space="preserve"> when </w:t>
            </w:r>
            <w:r w:rsidRPr="0073074E">
              <w:rPr>
                <w:u w:val="single"/>
              </w:rPr>
              <w:t>absolutely necessary</w:t>
            </w:r>
            <w:r w:rsidRPr="0073074E">
              <w:t xml:space="preserve">, and every effort should be made to limit cases where future examinations are requested.  Consider whether:  </w:t>
            </w:r>
          </w:p>
          <w:p w:rsidR="0073074E" w:rsidRPr="0073074E" w:rsidRDefault="0073074E" w:rsidP="00F063AF">
            <w:pPr>
              <w:numPr>
                <w:ilvl w:val="0"/>
                <w:numId w:val="439"/>
              </w:numPr>
              <w:overflowPunct/>
              <w:autoSpaceDE/>
              <w:autoSpaceDN/>
              <w:adjustRightInd/>
              <w:textAlignment w:val="auto"/>
            </w:pPr>
            <w:r w:rsidRPr="0073074E">
              <w:t>the Veteran’s current condition is an acute exacerbation</w:t>
            </w:r>
          </w:p>
          <w:p w:rsidR="0073074E" w:rsidRPr="0073074E" w:rsidRDefault="0073074E" w:rsidP="00F063AF">
            <w:pPr>
              <w:numPr>
                <w:ilvl w:val="0"/>
                <w:numId w:val="439"/>
              </w:numPr>
              <w:overflowPunct/>
              <w:autoSpaceDE/>
              <w:autoSpaceDN/>
              <w:adjustRightInd/>
              <w:spacing w:before="100" w:beforeAutospacing="1" w:after="100" w:afterAutospacing="1"/>
              <w:textAlignment w:val="auto"/>
            </w:pPr>
            <w:r w:rsidRPr="0073074E">
              <w:t>the Veteran is still recuperating following hospitalization, and</w:t>
            </w:r>
          </w:p>
          <w:p w:rsidR="0073074E" w:rsidRPr="0073074E" w:rsidRDefault="0073074E" w:rsidP="00F063AF">
            <w:pPr>
              <w:numPr>
                <w:ilvl w:val="0"/>
                <w:numId w:val="439"/>
              </w:numPr>
              <w:overflowPunct/>
              <w:autoSpaceDE/>
              <w:autoSpaceDN/>
              <w:adjustRightInd/>
              <w:spacing w:after="120"/>
              <w:textAlignment w:val="auto"/>
            </w:pPr>
            <w:r w:rsidRPr="0073074E">
              <w:t>improvement or recovery can be anticipated.</w:t>
            </w:r>
          </w:p>
          <w:p w:rsidR="0073074E" w:rsidRPr="0073074E" w:rsidRDefault="0073074E" w:rsidP="0073074E">
            <w:pPr>
              <w:ind w:left="330"/>
            </w:pPr>
            <w:r w:rsidRPr="0073074E">
              <w:t>M21-1 III.iv.3.B.2.c. provides examples of when a routine future examination is appropriate:</w:t>
            </w:r>
          </w:p>
          <w:p w:rsidR="0073074E" w:rsidRPr="0073074E" w:rsidRDefault="0073074E" w:rsidP="00F063AF">
            <w:pPr>
              <w:pStyle w:val="ListParagraph"/>
              <w:numPr>
                <w:ilvl w:val="0"/>
                <w:numId w:val="441"/>
              </w:numPr>
              <w:spacing w:after="0" w:line="240" w:lineRule="auto"/>
              <w:rPr>
                <w:rFonts w:ascii="Arial" w:hAnsi="Arial"/>
                <w:sz w:val="20"/>
                <w:szCs w:val="20"/>
              </w:rPr>
            </w:pPr>
            <w:r w:rsidRPr="0073074E">
              <w:rPr>
                <w:rFonts w:ascii="Arial" w:hAnsi="Arial"/>
                <w:sz w:val="20"/>
                <w:szCs w:val="20"/>
              </w:rPr>
              <w:t>monitor for anticipated improvement in an SC disability (in 3 years)</w:t>
            </w:r>
          </w:p>
          <w:p w:rsidR="0073074E" w:rsidRPr="0073074E" w:rsidRDefault="0073074E" w:rsidP="00F063AF">
            <w:pPr>
              <w:pStyle w:val="ListParagraph"/>
              <w:numPr>
                <w:ilvl w:val="0"/>
                <w:numId w:val="441"/>
              </w:numPr>
              <w:spacing w:after="0" w:line="240" w:lineRule="auto"/>
              <w:contextualSpacing/>
              <w:rPr>
                <w:rFonts w:ascii="Arial" w:hAnsi="Arial"/>
                <w:sz w:val="20"/>
                <w:szCs w:val="20"/>
              </w:rPr>
            </w:pPr>
            <w:r w:rsidRPr="0073074E">
              <w:rPr>
                <w:rFonts w:ascii="Arial" w:hAnsi="Arial"/>
                <w:sz w:val="20"/>
                <w:szCs w:val="20"/>
              </w:rPr>
              <w:t>monitor for evidence of sustained improvement (in 18, 24, or 30 months)</w:t>
            </w:r>
          </w:p>
          <w:p w:rsidR="0073074E" w:rsidRPr="0073074E" w:rsidRDefault="0073074E" w:rsidP="00F063AF">
            <w:pPr>
              <w:pStyle w:val="ListParagraph"/>
              <w:numPr>
                <w:ilvl w:val="0"/>
                <w:numId w:val="441"/>
              </w:numPr>
              <w:spacing w:after="0" w:line="240" w:lineRule="auto"/>
              <w:contextualSpacing/>
              <w:rPr>
                <w:rFonts w:ascii="Arial" w:hAnsi="Arial"/>
                <w:sz w:val="20"/>
                <w:szCs w:val="20"/>
              </w:rPr>
            </w:pPr>
            <w:r w:rsidRPr="0073074E">
              <w:rPr>
                <w:rFonts w:ascii="Arial" w:hAnsi="Arial"/>
                <w:sz w:val="20"/>
                <w:szCs w:val="20"/>
              </w:rPr>
              <w:t>reevaluation of pre-stabilization ratings under 4.28 (6-12 months)</w:t>
            </w:r>
          </w:p>
          <w:p w:rsidR="0073074E" w:rsidRPr="0073074E" w:rsidRDefault="0073074E" w:rsidP="00F063AF">
            <w:pPr>
              <w:pStyle w:val="ListParagraph"/>
              <w:numPr>
                <w:ilvl w:val="0"/>
                <w:numId w:val="441"/>
              </w:numPr>
              <w:spacing w:after="120" w:line="240" w:lineRule="auto"/>
              <w:contextualSpacing/>
              <w:rPr>
                <w:rFonts w:ascii="Arial" w:hAnsi="Arial"/>
                <w:sz w:val="20"/>
                <w:szCs w:val="20"/>
              </w:rPr>
            </w:pPr>
            <w:r w:rsidRPr="0073074E">
              <w:rPr>
                <w:rFonts w:ascii="Arial" w:hAnsi="Arial"/>
                <w:sz w:val="20"/>
                <w:szCs w:val="20"/>
              </w:rPr>
              <w:t>evaluate post-therapeutic residuals of malignancies (6 months following cessation of treatment – ** there are exceptions which would warrant a date of more than 6 months)</w:t>
            </w:r>
          </w:p>
          <w:p w:rsidR="0073074E" w:rsidRPr="0073074E" w:rsidRDefault="0073074E" w:rsidP="0073074E">
            <w:pPr>
              <w:ind w:left="330"/>
            </w:pPr>
            <w:r w:rsidRPr="0073074E">
              <w:t xml:space="preserve">M21-1 III.iv.3.2.d. </w:t>
            </w:r>
            <w:r w:rsidR="007962EC">
              <w:t>(</w:t>
            </w:r>
            <w:r w:rsidR="007962EC" w:rsidRPr="007962EC">
              <w:rPr>
                <w:i/>
                <w:color w:val="00B050"/>
              </w:rPr>
              <w:t xml:space="preserve">My Notes:  </w:t>
            </w:r>
            <w:r w:rsidR="007962EC" w:rsidRPr="007962EC">
              <w:rPr>
                <w:i/>
              </w:rPr>
              <w:t xml:space="preserve">It’s </w:t>
            </w:r>
            <w:r w:rsidR="007962EC" w:rsidRPr="007962EC">
              <w:rPr>
                <w:b/>
                <w:bCs/>
                <w:i/>
              </w:rPr>
              <w:t>III.iv.3.B.2.d</w:t>
            </w:r>
            <w:r w:rsidR="007962EC">
              <w:rPr>
                <w:bCs/>
              </w:rPr>
              <w:t xml:space="preserve">) </w:t>
            </w:r>
            <w:r w:rsidRPr="0073074E">
              <w:t xml:space="preserve">states </w:t>
            </w:r>
            <w:r w:rsidRPr="0073074E">
              <w:rPr>
                <w:u w:val="single"/>
              </w:rPr>
              <w:t>not</w:t>
            </w:r>
            <w:r w:rsidRPr="0073074E">
              <w:t xml:space="preserve"> to request future reexaminations in cases when:</w:t>
            </w:r>
          </w:p>
          <w:p w:rsidR="0073074E" w:rsidRPr="0073074E" w:rsidRDefault="0073074E" w:rsidP="00F063AF">
            <w:pPr>
              <w:numPr>
                <w:ilvl w:val="0"/>
                <w:numId w:val="440"/>
              </w:numPr>
              <w:overflowPunct/>
              <w:autoSpaceDE/>
              <w:autoSpaceDN/>
              <w:adjustRightInd/>
              <w:textAlignment w:val="auto"/>
            </w:pPr>
            <w:r w:rsidRPr="0073074E">
              <w:t>the disability is static, without material improvement over five years</w:t>
            </w:r>
          </w:p>
          <w:p w:rsidR="0073074E" w:rsidRPr="0073074E" w:rsidRDefault="0073074E" w:rsidP="00F063AF">
            <w:pPr>
              <w:numPr>
                <w:ilvl w:val="0"/>
                <w:numId w:val="440"/>
              </w:numPr>
              <w:overflowPunct/>
              <w:autoSpaceDE/>
              <w:autoSpaceDN/>
              <w:adjustRightInd/>
              <w:spacing w:before="100" w:beforeAutospacing="1" w:after="100" w:afterAutospacing="1"/>
              <w:textAlignment w:val="auto"/>
            </w:pPr>
            <w:r w:rsidRPr="0073074E">
              <w:t>the disability is permanent in character and of such nature that there is no likelihood of improvement</w:t>
            </w:r>
          </w:p>
          <w:p w:rsidR="0073074E" w:rsidRPr="0073074E" w:rsidRDefault="0073074E" w:rsidP="00F063AF">
            <w:pPr>
              <w:numPr>
                <w:ilvl w:val="0"/>
                <w:numId w:val="440"/>
              </w:numPr>
              <w:overflowPunct/>
              <w:autoSpaceDE/>
              <w:autoSpaceDN/>
              <w:adjustRightInd/>
              <w:spacing w:before="100" w:beforeAutospacing="1" w:after="100" w:afterAutospacing="1"/>
              <w:textAlignment w:val="auto"/>
            </w:pPr>
            <w:r w:rsidRPr="0073074E">
              <w:t>the Veteran is over 55 years of age (except under circumstances where required by regulation, such as convalescence after surgery.)</w:t>
            </w:r>
          </w:p>
          <w:p w:rsidR="0073074E" w:rsidRPr="0073074E" w:rsidRDefault="0073074E" w:rsidP="00F063AF">
            <w:pPr>
              <w:numPr>
                <w:ilvl w:val="0"/>
                <w:numId w:val="440"/>
              </w:numPr>
              <w:overflowPunct/>
              <w:autoSpaceDE/>
              <w:autoSpaceDN/>
              <w:adjustRightInd/>
              <w:spacing w:before="100" w:beforeAutospacing="1" w:after="100" w:afterAutospacing="1"/>
              <w:textAlignment w:val="auto"/>
            </w:pPr>
            <w:r w:rsidRPr="0073074E">
              <w:t>the evaluation is the prescribed schedular minimum within its diagnostic code</w:t>
            </w:r>
          </w:p>
          <w:p w:rsidR="0073074E" w:rsidRPr="0073074E" w:rsidRDefault="0073074E" w:rsidP="00F063AF">
            <w:pPr>
              <w:numPr>
                <w:ilvl w:val="0"/>
                <w:numId w:val="440"/>
              </w:numPr>
              <w:overflowPunct/>
              <w:autoSpaceDE/>
              <w:autoSpaceDN/>
              <w:adjustRightInd/>
              <w:spacing w:before="100" w:beforeAutospacing="1" w:after="100" w:afterAutospacing="1"/>
              <w:textAlignment w:val="auto"/>
            </w:pPr>
            <w:r w:rsidRPr="0073074E">
              <w:t>the evaluation is 10 percent or less, or</w:t>
            </w:r>
          </w:p>
          <w:p w:rsidR="0073074E" w:rsidRPr="0073074E" w:rsidRDefault="0073074E" w:rsidP="00F063AF">
            <w:pPr>
              <w:numPr>
                <w:ilvl w:val="0"/>
                <w:numId w:val="440"/>
              </w:numPr>
              <w:overflowPunct/>
              <w:autoSpaceDE/>
              <w:autoSpaceDN/>
              <w:adjustRightInd/>
              <w:spacing w:after="120"/>
              <w:textAlignment w:val="auto"/>
            </w:pPr>
            <w:r w:rsidRPr="0073074E">
              <w:t>the combined evaluation would not change even if the reexamination resulted in a reduced evaluation for one or more disabilities.</w:t>
            </w:r>
          </w:p>
          <w:p w:rsidR="0073074E" w:rsidRPr="0073074E" w:rsidRDefault="0073074E" w:rsidP="0073074E">
            <w:pPr>
              <w:spacing w:after="120"/>
              <w:ind w:left="330"/>
            </w:pPr>
            <w:r w:rsidRPr="0073074E">
              <w:rPr>
                <w:b/>
                <w:bCs/>
                <w:i/>
                <w:iCs/>
              </w:rPr>
              <w:t>Important</w:t>
            </w:r>
            <w:r w:rsidRPr="0073074E">
              <w:t xml:space="preserve">:  </w:t>
            </w:r>
            <w:r w:rsidRPr="0073074E">
              <w:rPr>
                <w:u w:val="single"/>
              </w:rPr>
              <w:t xml:space="preserve">When deciding if a disability is static or not, only order a future examination if there is </w:t>
            </w:r>
            <w:r w:rsidRPr="0073074E">
              <w:rPr>
                <w:b/>
                <w:u w:val="single"/>
              </w:rPr>
              <w:t>objective</w:t>
            </w:r>
            <w:r w:rsidRPr="0073074E">
              <w:rPr>
                <w:u w:val="single"/>
              </w:rPr>
              <w:t xml:space="preserve"> </w:t>
            </w:r>
            <w:r w:rsidRPr="0073074E">
              <w:rPr>
                <w:b/>
                <w:u w:val="single"/>
              </w:rPr>
              <w:t>evidence stating clearly</w:t>
            </w:r>
            <w:r w:rsidRPr="0073074E">
              <w:rPr>
                <w:u w:val="single"/>
              </w:rPr>
              <w:t xml:space="preserve"> a disability is likely to improve.</w:t>
            </w:r>
          </w:p>
          <w:p w:rsidR="0073074E" w:rsidRPr="0073074E" w:rsidRDefault="0073074E" w:rsidP="0073074E">
            <w:pPr>
              <w:spacing w:after="120"/>
              <w:ind w:left="330"/>
            </w:pPr>
            <w:r w:rsidRPr="0073074E">
              <w:t>Ref: 38 CFR 3.327 and M21-1 III.iv.3.B.2.a-d.</w:t>
            </w:r>
          </w:p>
          <w:p w:rsidR="0073074E" w:rsidRDefault="0073074E" w:rsidP="00C334D1">
            <w:pPr>
              <w:pStyle w:val="Header"/>
              <w:widowControl w:val="0"/>
              <w:tabs>
                <w:tab w:val="clear" w:pos="4320"/>
                <w:tab w:val="clear" w:pos="8640"/>
              </w:tabs>
            </w:pPr>
          </w:p>
          <w:p w:rsidR="004F047A" w:rsidRPr="00A2651D" w:rsidRDefault="004F047A" w:rsidP="00C334D1">
            <w:pPr>
              <w:pStyle w:val="Header"/>
              <w:widowControl w:val="0"/>
              <w:tabs>
                <w:tab w:val="clear" w:pos="4320"/>
                <w:tab w:val="clear" w:pos="8640"/>
              </w:tabs>
            </w:pPr>
          </w:p>
        </w:tc>
      </w:tr>
      <w:tr w:rsidR="00ED541E" w:rsidTr="00C334D1">
        <w:trPr>
          <w:trHeight w:val="470"/>
        </w:trPr>
        <w:tc>
          <w:tcPr>
            <w:tcW w:w="705" w:type="dxa"/>
            <w:tcBorders>
              <w:top w:val="nil"/>
              <w:left w:val="nil"/>
              <w:bottom w:val="nil"/>
              <w:right w:val="nil"/>
            </w:tcBorders>
          </w:tcPr>
          <w:p w:rsidR="00ED541E" w:rsidRDefault="00ED541E" w:rsidP="00C334D1">
            <w:pPr>
              <w:widowControl w:val="0"/>
              <w:numPr>
                <w:ilvl w:val="12"/>
                <w:numId w:val="0"/>
              </w:numPr>
              <w:rPr>
                <w:b/>
              </w:rPr>
            </w:pPr>
            <w:r w:rsidRPr="007A4B37">
              <w:rPr>
                <w:b/>
              </w:rPr>
              <w:t>3.330</w:t>
            </w:r>
          </w:p>
        </w:tc>
        <w:tc>
          <w:tcPr>
            <w:tcW w:w="10350" w:type="dxa"/>
            <w:tcBorders>
              <w:top w:val="nil"/>
              <w:left w:val="nil"/>
              <w:bottom w:val="nil"/>
              <w:right w:val="nil"/>
            </w:tcBorders>
          </w:tcPr>
          <w:p w:rsidR="00ED541E" w:rsidRDefault="00ED541E" w:rsidP="00C334D1">
            <w:pPr>
              <w:widowControl w:val="0"/>
              <w:numPr>
                <w:ilvl w:val="12"/>
                <w:numId w:val="0"/>
              </w:numPr>
              <w:rPr>
                <w:b/>
              </w:rPr>
            </w:pPr>
            <w:r>
              <w:rPr>
                <w:b/>
              </w:rPr>
              <w:t>Resumption of rating when veteran subsequently reports for Department of Veterans Affairs examination</w:t>
            </w:r>
          </w:p>
        </w:tc>
      </w:tr>
      <w:tr w:rsidR="00ED541E" w:rsidTr="00C334D1">
        <w:trPr>
          <w:trHeight w:val="243"/>
        </w:trPr>
        <w:tc>
          <w:tcPr>
            <w:tcW w:w="705" w:type="dxa"/>
            <w:tcBorders>
              <w:top w:val="nil"/>
              <w:left w:val="nil"/>
              <w:bottom w:val="nil"/>
              <w:right w:val="nil"/>
            </w:tcBorders>
          </w:tcPr>
          <w:p w:rsidR="00ED541E" w:rsidRDefault="00ED541E" w:rsidP="00C334D1">
            <w:pPr>
              <w:widowControl w:val="0"/>
              <w:numPr>
                <w:ilvl w:val="12"/>
                <w:numId w:val="0"/>
              </w:numPr>
              <w:rPr>
                <w:b/>
              </w:rPr>
            </w:pPr>
            <w:r w:rsidRPr="007A4B37">
              <w:rPr>
                <w:b/>
              </w:rPr>
              <w:t>3.344</w:t>
            </w:r>
          </w:p>
        </w:tc>
        <w:tc>
          <w:tcPr>
            <w:tcW w:w="10350" w:type="dxa"/>
            <w:tcBorders>
              <w:top w:val="nil"/>
              <w:left w:val="nil"/>
              <w:bottom w:val="nil"/>
              <w:right w:val="nil"/>
            </w:tcBorders>
          </w:tcPr>
          <w:p w:rsidR="00ED541E" w:rsidRDefault="00ED541E" w:rsidP="00C334D1">
            <w:pPr>
              <w:widowControl w:val="0"/>
              <w:numPr>
                <w:ilvl w:val="12"/>
                <w:numId w:val="0"/>
              </w:numPr>
              <w:spacing w:after="120"/>
            </w:pPr>
            <w:r>
              <w:rPr>
                <w:b/>
              </w:rPr>
              <w:t>Stabilization of disability evaluations</w:t>
            </w:r>
            <w:r>
              <w:t xml:space="preserve"> – </w:t>
            </w:r>
            <w:r>
              <w:rPr>
                <w:b/>
                <w:bCs/>
              </w:rPr>
              <w:t>III.iv.3.B &amp; III.iv.8.D</w:t>
            </w:r>
          </w:p>
          <w:p w:rsidR="00ED541E" w:rsidRDefault="00ED541E" w:rsidP="00C334D1">
            <w:pPr>
              <w:spacing w:after="120"/>
            </w:pPr>
            <w:r>
              <w:t xml:space="preserve">(c) says “paragraphs (a) and (b)… apply to ratings which have continued for long periods at the same level (5 years or more). They </w:t>
            </w:r>
            <w:r w:rsidRPr="0003280A">
              <w:rPr>
                <w:u w:val="single"/>
              </w:rPr>
              <w:t>do not</w:t>
            </w:r>
            <w:r>
              <w:t xml:space="preserve"> apply to disabilities which have not become stabilized and are likely to improve. </w:t>
            </w:r>
            <w:r w:rsidRPr="0003280A">
              <w:t>Reexaminations disclosing improvement, physical or mental, in these disabilities will warrant reduction in rating.”</w:t>
            </w:r>
          </w:p>
          <w:p w:rsidR="00ED541E" w:rsidRPr="00597F79" w:rsidRDefault="00ED541E" w:rsidP="00C334D1">
            <w:pPr>
              <w:pBdr>
                <w:top w:val="single" w:sz="4" w:space="1" w:color="auto"/>
                <w:left w:val="single" w:sz="4" w:space="4" w:color="auto"/>
                <w:bottom w:val="single" w:sz="4" w:space="1" w:color="auto"/>
                <w:right w:val="single" w:sz="4" w:space="4" w:color="auto"/>
              </w:pBdr>
              <w:overflowPunct/>
              <w:autoSpaceDE/>
              <w:autoSpaceDN/>
              <w:adjustRightInd/>
              <w:spacing w:after="120"/>
              <w:ind w:left="144" w:right="158"/>
              <w:textAlignment w:val="auto"/>
              <w:rPr>
                <w:sz w:val="24"/>
                <w:szCs w:val="24"/>
              </w:rPr>
            </w:pPr>
            <w:r w:rsidRPr="00597F79">
              <w:rPr>
                <w:color w:val="000000"/>
              </w:rPr>
              <w:t>Rating Note:  3.344c says disabilities which have not become stablized &amp; are likely to improve (not at level for 5 years) warrant reduction in rating if reexam shows improvement.</w:t>
            </w:r>
          </w:p>
          <w:p w:rsidR="00ED541E" w:rsidRDefault="00ED541E" w:rsidP="00C334D1">
            <w:pPr>
              <w:spacing w:after="120"/>
            </w:pPr>
            <w:r>
              <w:t xml:space="preserve">(a) </w:t>
            </w:r>
            <w:r>
              <w:rPr>
                <w:i/>
                <w:iCs/>
              </w:rPr>
              <w:t>[as above, only applies to ratings 5+ years]</w:t>
            </w:r>
            <w:r>
              <w:t xml:space="preserve"> says be careful that the exam is full/complete/sufficient and improvement will be maintained under the ordinary conds of life; and do not reduce on one exam if (1) disease is subject to temporary/episodic improvement (bipolar, psychosis, epilepsy, ASHD, asthma, ulcer, skin, etc), or (2) disease improves with rest (phlebitis, ASHD, etc)</w:t>
            </w:r>
          </w:p>
          <w:p w:rsidR="00ED541E" w:rsidRDefault="00ED541E" w:rsidP="00C334D1">
            <w:pPr>
              <w:spacing w:after="120"/>
            </w:pPr>
            <w:r>
              <w:t xml:space="preserve">(b) </w:t>
            </w:r>
            <w:r>
              <w:rPr>
                <w:i/>
                <w:iCs/>
              </w:rPr>
              <w:t>[as above, only applies to ratings 5+ years]</w:t>
            </w:r>
            <w:r>
              <w:t xml:space="preserve"> says if doubt remains, reexamine in 18, 24 or 30 months</w:t>
            </w:r>
          </w:p>
          <w:p w:rsidR="00ED541E" w:rsidRDefault="00ED541E" w:rsidP="00C334D1">
            <w:pPr>
              <w:widowControl w:val="0"/>
              <w:numPr>
                <w:ilvl w:val="0"/>
                <w:numId w:val="40"/>
              </w:numPr>
              <w:spacing w:after="120"/>
              <w:rPr>
                <w:b/>
                <w:szCs w:val="24"/>
              </w:rPr>
            </w:pPr>
            <w:r>
              <w:rPr>
                <w:b/>
                <w:i/>
                <w:szCs w:val="24"/>
              </w:rPr>
              <w:t>Schafrath v. Derwinski</w:t>
            </w:r>
            <w:r>
              <w:rPr>
                <w:b/>
                <w:szCs w:val="24"/>
              </w:rPr>
              <w:t xml:space="preserve">, 1 Vet. App. 589 </w:t>
            </w:r>
            <w:r w:rsidRPr="00DA433D">
              <w:rPr>
                <w:szCs w:val="24"/>
              </w:rPr>
              <w:t>(1991)</w:t>
            </w:r>
            <w:r>
              <w:rPr>
                <w:bCs/>
                <w:szCs w:val="24"/>
              </w:rPr>
              <w:t xml:space="preserve"> – </w:t>
            </w:r>
            <w:r>
              <w:rPr>
                <w:szCs w:val="24"/>
              </w:rPr>
              <w:t>reductions must be based upon review of the entire history of the veteran’s disability.</w:t>
            </w:r>
          </w:p>
          <w:p w:rsidR="00ED541E" w:rsidRDefault="00ED541E" w:rsidP="00F063AF">
            <w:pPr>
              <w:widowControl w:val="0"/>
              <w:numPr>
                <w:ilvl w:val="0"/>
                <w:numId w:val="233"/>
              </w:numPr>
              <w:tabs>
                <w:tab w:val="left" w:pos="360"/>
              </w:tabs>
              <w:spacing w:after="120"/>
              <w:ind w:left="330"/>
              <w:rPr>
                <w:b/>
                <w:szCs w:val="24"/>
              </w:rPr>
            </w:pPr>
            <w:r>
              <w:rPr>
                <w:b/>
                <w:i/>
                <w:szCs w:val="24"/>
              </w:rPr>
              <w:t>Lehman v. Derwinski</w:t>
            </w:r>
            <w:r>
              <w:rPr>
                <w:b/>
                <w:szCs w:val="24"/>
              </w:rPr>
              <w:t xml:space="preserve">, 1 Vet. App. 339 </w:t>
            </w:r>
            <w:r w:rsidRPr="00DA433D">
              <w:rPr>
                <w:szCs w:val="24"/>
              </w:rPr>
              <w:t>(1991)</w:t>
            </w:r>
            <w:r w:rsidRPr="00DA433D">
              <w:rPr>
                <w:bCs/>
                <w:szCs w:val="24"/>
              </w:rPr>
              <w:t xml:space="preserve"> -</w:t>
            </w:r>
            <w:r>
              <w:rPr>
                <w:bCs/>
                <w:szCs w:val="24"/>
              </w:rPr>
              <w:t xml:space="preserve"> </w:t>
            </w:r>
            <w:r>
              <w:rPr>
                <w:szCs w:val="24"/>
              </w:rPr>
              <w:t>unless all the evidence of record establishes that a claimant's condition has undergone sustained material improvement, a total disability rating that has existed for five years or more may not be reduced on any one examination (the 5-year requirement is a guideline)</w:t>
            </w:r>
          </w:p>
          <w:p w:rsidR="00ED541E" w:rsidRDefault="00ED541E" w:rsidP="00F063AF">
            <w:pPr>
              <w:widowControl w:val="0"/>
              <w:numPr>
                <w:ilvl w:val="0"/>
                <w:numId w:val="233"/>
              </w:numPr>
              <w:tabs>
                <w:tab w:val="left" w:pos="360"/>
              </w:tabs>
              <w:spacing w:after="120"/>
              <w:ind w:left="330"/>
              <w:rPr>
                <w:b/>
                <w:szCs w:val="24"/>
              </w:rPr>
            </w:pPr>
            <w:r>
              <w:rPr>
                <w:b/>
                <w:i/>
                <w:szCs w:val="24"/>
              </w:rPr>
              <w:t>Hohol v. Derwinski</w:t>
            </w:r>
            <w:r>
              <w:rPr>
                <w:b/>
                <w:szCs w:val="24"/>
              </w:rPr>
              <w:t>, 2 Vet. App. 169</w:t>
            </w:r>
            <w:r w:rsidRPr="00DA433D">
              <w:rPr>
                <w:szCs w:val="24"/>
              </w:rPr>
              <w:t xml:space="preserve"> (1992) </w:t>
            </w:r>
            <w:r>
              <w:rPr>
                <w:bCs/>
                <w:szCs w:val="24"/>
              </w:rPr>
              <w:t xml:space="preserve">- </w:t>
            </w:r>
            <w:r>
              <w:rPr>
                <w:szCs w:val="24"/>
              </w:rPr>
              <w:t>If the symptoms improved because of rest, and not under the ordinary conditions of life... a veteran's total disability cannot be reduced until “reexamination after a period of employment (3 to 6 months).”</w:t>
            </w:r>
            <w:r>
              <w:rPr>
                <w:sz w:val="24"/>
                <w:szCs w:val="24"/>
              </w:rPr>
              <w:t xml:space="preserve">  </w:t>
            </w:r>
          </w:p>
          <w:p w:rsidR="00ED541E" w:rsidRDefault="00ED541E" w:rsidP="00F063AF">
            <w:pPr>
              <w:widowControl w:val="0"/>
              <w:numPr>
                <w:ilvl w:val="0"/>
                <w:numId w:val="233"/>
              </w:numPr>
              <w:tabs>
                <w:tab w:val="left" w:pos="360"/>
              </w:tabs>
              <w:spacing w:after="120"/>
              <w:ind w:left="330"/>
              <w:rPr>
                <w:b/>
                <w:szCs w:val="24"/>
              </w:rPr>
            </w:pPr>
            <w:r>
              <w:rPr>
                <w:b/>
                <w:i/>
                <w:szCs w:val="24"/>
              </w:rPr>
              <w:t xml:space="preserve">Dofflemyer v. Derwinski </w:t>
            </w:r>
            <w:r>
              <w:rPr>
                <w:b/>
                <w:szCs w:val="24"/>
              </w:rPr>
              <w:t xml:space="preserve">2 Vet. App. 277 </w:t>
            </w:r>
            <w:r w:rsidRPr="00DA433D">
              <w:rPr>
                <w:szCs w:val="24"/>
              </w:rPr>
              <w:t>(1992)</w:t>
            </w:r>
            <w:r w:rsidRPr="00DA433D">
              <w:rPr>
                <w:bCs/>
                <w:szCs w:val="24"/>
              </w:rPr>
              <w:t xml:space="preserve"> </w:t>
            </w:r>
            <w:r>
              <w:rPr>
                <w:bCs/>
                <w:szCs w:val="24"/>
              </w:rPr>
              <w:t>– similar to Hohol above</w:t>
            </w:r>
          </w:p>
          <w:p w:rsidR="00ED541E" w:rsidRDefault="00ED541E" w:rsidP="00F063AF">
            <w:pPr>
              <w:widowControl w:val="0"/>
              <w:numPr>
                <w:ilvl w:val="0"/>
                <w:numId w:val="233"/>
              </w:numPr>
              <w:tabs>
                <w:tab w:val="left" w:pos="360"/>
              </w:tabs>
              <w:spacing w:after="120"/>
              <w:ind w:left="330"/>
              <w:rPr>
                <w:b/>
                <w:szCs w:val="24"/>
              </w:rPr>
            </w:pPr>
            <w:r>
              <w:rPr>
                <w:b/>
                <w:i/>
                <w:szCs w:val="24"/>
              </w:rPr>
              <w:t>Rossiello v. Principi</w:t>
            </w:r>
            <w:r>
              <w:rPr>
                <w:b/>
                <w:szCs w:val="24"/>
              </w:rPr>
              <w:t>, 3 Vet. App. 430</w:t>
            </w:r>
            <w:r w:rsidRPr="00DA433D">
              <w:rPr>
                <w:szCs w:val="24"/>
              </w:rPr>
              <w:t xml:space="preserve"> (1992) </w:t>
            </w:r>
            <w:r w:rsidRPr="00DA433D">
              <w:rPr>
                <w:bCs/>
                <w:szCs w:val="24"/>
              </w:rPr>
              <w:t>-</w:t>
            </w:r>
            <w:r>
              <w:rPr>
                <w:bCs/>
                <w:szCs w:val="24"/>
              </w:rPr>
              <w:t xml:space="preserve"> </w:t>
            </w:r>
            <w:r>
              <w:rPr>
                <w:szCs w:val="24"/>
              </w:rPr>
              <w:t>rating reductions in general (3.343 and/or 3.344), are not applicable where the reduction is mandated by expiration of a time period set forth in the rating schedule</w:t>
            </w:r>
          </w:p>
          <w:p w:rsidR="00ED541E" w:rsidRDefault="00ED541E" w:rsidP="00F063AF">
            <w:pPr>
              <w:widowControl w:val="0"/>
              <w:numPr>
                <w:ilvl w:val="0"/>
                <w:numId w:val="233"/>
              </w:numPr>
              <w:tabs>
                <w:tab w:val="left" w:pos="360"/>
              </w:tabs>
              <w:spacing w:after="120"/>
              <w:ind w:left="330"/>
            </w:pPr>
            <w:r>
              <w:rPr>
                <w:b/>
                <w:i/>
              </w:rPr>
              <w:t>Murincsak v. Derwinski</w:t>
            </w:r>
            <w:r>
              <w:rPr>
                <w:b/>
              </w:rPr>
              <w:t xml:space="preserve"> </w:t>
            </w:r>
            <w:r w:rsidRPr="00DA433D">
              <w:t xml:space="preserve">(4/24/92) </w:t>
            </w:r>
            <w:r>
              <w:t>- reductions in 100% evaluation under 3.344 and 3.343</w:t>
            </w:r>
          </w:p>
          <w:p w:rsidR="00ED541E" w:rsidRDefault="00ED541E" w:rsidP="00F063AF">
            <w:pPr>
              <w:widowControl w:val="0"/>
              <w:numPr>
                <w:ilvl w:val="0"/>
                <w:numId w:val="233"/>
              </w:numPr>
              <w:tabs>
                <w:tab w:val="left" w:pos="360"/>
              </w:tabs>
              <w:spacing w:after="120"/>
              <w:ind w:left="330"/>
            </w:pPr>
            <w:r>
              <w:rPr>
                <w:b/>
                <w:i/>
                <w:iCs/>
                <w:szCs w:val="24"/>
              </w:rPr>
              <w:t>Brown v. Brown,</w:t>
            </w:r>
            <w:r>
              <w:rPr>
                <w:b/>
                <w:szCs w:val="24"/>
              </w:rPr>
              <w:t xml:space="preserve"> 5 Vet.App. 413, 421 </w:t>
            </w:r>
            <w:r w:rsidRPr="00DA433D">
              <w:rPr>
                <w:szCs w:val="24"/>
              </w:rPr>
              <w:t>(1993)</w:t>
            </w:r>
            <w:r>
              <w:rPr>
                <w:szCs w:val="24"/>
              </w:rPr>
              <w:t xml:space="preserve"> - a rating reduction cannot be made effective for a minimum of 120 days after it is proposed in writing to the veteran, and also reiterates need for review of the entire record</w:t>
            </w:r>
          </w:p>
          <w:p w:rsidR="00ED541E" w:rsidRDefault="00ED541E" w:rsidP="00F063AF">
            <w:pPr>
              <w:widowControl w:val="0"/>
              <w:numPr>
                <w:ilvl w:val="0"/>
                <w:numId w:val="233"/>
              </w:numPr>
              <w:tabs>
                <w:tab w:val="left" w:pos="360"/>
              </w:tabs>
              <w:spacing w:after="120"/>
              <w:ind w:left="330"/>
              <w:rPr>
                <w:szCs w:val="24"/>
              </w:rPr>
            </w:pPr>
            <w:r>
              <w:rPr>
                <w:b/>
                <w:i/>
                <w:iCs/>
                <w:szCs w:val="24"/>
              </w:rPr>
              <w:t>Olson v. Brown,</w:t>
            </w:r>
            <w:r>
              <w:rPr>
                <w:b/>
                <w:szCs w:val="24"/>
              </w:rPr>
              <w:t xml:space="preserve"> 5 Vet.App. 430 </w:t>
            </w:r>
            <w:r w:rsidRPr="00DA433D">
              <w:rPr>
                <w:szCs w:val="24"/>
              </w:rPr>
              <w:t>(1993)</w:t>
            </w:r>
            <w:r w:rsidRPr="00DA433D">
              <w:rPr>
                <w:bCs/>
                <w:szCs w:val="24"/>
              </w:rPr>
              <w:t xml:space="preserve"> -</w:t>
            </w:r>
            <w:r>
              <w:rPr>
                <w:bCs/>
                <w:szCs w:val="24"/>
              </w:rPr>
              <w:t xml:space="preserve"> </w:t>
            </w:r>
            <w:r>
              <w:t>failure to apply 3.344 equals CUE</w:t>
            </w:r>
          </w:p>
          <w:p w:rsidR="00ED541E" w:rsidRDefault="00ED541E" w:rsidP="00F063AF">
            <w:pPr>
              <w:widowControl w:val="0"/>
              <w:numPr>
                <w:ilvl w:val="0"/>
                <w:numId w:val="233"/>
              </w:numPr>
              <w:tabs>
                <w:tab w:val="left" w:pos="360"/>
              </w:tabs>
              <w:spacing w:after="120"/>
              <w:ind w:left="330"/>
              <w:rPr>
                <w:szCs w:val="24"/>
              </w:rPr>
            </w:pPr>
            <w:r>
              <w:rPr>
                <w:b/>
                <w:i/>
                <w:iCs/>
                <w:szCs w:val="24"/>
              </w:rPr>
              <w:t>Ternus v. Brown,</w:t>
            </w:r>
            <w:r>
              <w:rPr>
                <w:b/>
                <w:szCs w:val="24"/>
              </w:rPr>
              <w:t xml:space="preserve"> 6 Vet.App. 370, 376 </w:t>
            </w:r>
            <w:r w:rsidRPr="00DA433D">
              <w:rPr>
                <w:szCs w:val="24"/>
              </w:rPr>
              <w:t>(1994) -</w:t>
            </w:r>
            <w:r>
              <w:rPr>
                <w:b/>
                <w:szCs w:val="24"/>
              </w:rPr>
              <w:t xml:space="preserve"> </w:t>
            </w:r>
            <w:r>
              <w:t>failure to apply 3.344 equals CUE</w:t>
            </w:r>
          </w:p>
          <w:p w:rsidR="00ED541E" w:rsidRDefault="00ED541E" w:rsidP="00F063AF">
            <w:pPr>
              <w:widowControl w:val="0"/>
              <w:numPr>
                <w:ilvl w:val="0"/>
                <w:numId w:val="233"/>
              </w:numPr>
              <w:tabs>
                <w:tab w:val="left" w:pos="360"/>
              </w:tabs>
              <w:spacing w:after="120"/>
              <w:ind w:left="330"/>
              <w:rPr>
                <w:szCs w:val="24"/>
              </w:rPr>
            </w:pPr>
            <w:r>
              <w:rPr>
                <w:b/>
                <w:i/>
                <w:iCs/>
                <w:szCs w:val="24"/>
              </w:rPr>
              <w:t>Kitchens v. Brown,</w:t>
            </w:r>
            <w:r>
              <w:rPr>
                <w:b/>
                <w:szCs w:val="24"/>
              </w:rPr>
              <w:t xml:space="preserve"> 7 Vet.App. 320, 325 </w:t>
            </w:r>
            <w:r w:rsidRPr="00DA433D">
              <w:t>(1/19/95)</w:t>
            </w:r>
            <w:r>
              <w:rPr>
                <w:b/>
              </w:rPr>
              <w:t xml:space="preserve"> </w:t>
            </w:r>
            <w:r>
              <w:t xml:space="preserve">- a reduction that is not in accordance with 3.344 is a CUE, and </w:t>
            </w:r>
            <w:r>
              <w:rPr>
                <w:szCs w:val="24"/>
              </w:rPr>
              <w:t>where there is doubt of whether a veteran’s condition has materially improved, the rating should be continued pending reexamination</w:t>
            </w:r>
          </w:p>
          <w:p w:rsidR="00ED541E" w:rsidRDefault="00ED541E" w:rsidP="00F063AF">
            <w:pPr>
              <w:widowControl w:val="0"/>
              <w:numPr>
                <w:ilvl w:val="0"/>
                <w:numId w:val="233"/>
              </w:numPr>
              <w:tabs>
                <w:tab w:val="left" w:pos="360"/>
              </w:tabs>
              <w:spacing w:after="120"/>
              <w:ind w:left="330"/>
              <w:rPr>
                <w:szCs w:val="24"/>
              </w:rPr>
            </w:pPr>
            <w:r>
              <w:rPr>
                <w:b/>
                <w:i/>
                <w:iCs/>
                <w:szCs w:val="24"/>
              </w:rPr>
              <w:t xml:space="preserve">Hayes v. Brown </w:t>
            </w:r>
            <w:r w:rsidRPr="00FB688B">
              <w:rPr>
                <w:b/>
                <w:iCs/>
                <w:szCs w:val="24"/>
              </w:rPr>
              <w:t>(1996)</w:t>
            </w:r>
            <w:r>
              <w:rPr>
                <w:b/>
                <w:i/>
                <w:iCs/>
                <w:szCs w:val="24"/>
              </w:rPr>
              <w:t xml:space="preserve"> </w:t>
            </w:r>
            <w:r w:rsidRPr="00FB688B">
              <w:rPr>
                <w:iCs/>
                <w:szCs w:val="24"/>
              </w:rPr>
              <w:t>– VA bears the burden of proof in reduction cases</w:t>
            </w:r>
            <w:r>
              <w:rPr>
                <w:iCs/>
                <w:szCs w:val="24"/>
              </w:rPr>
              <w:t>, if there is any doubt, continue the rating &amp; reexamine in 18, 24 or 30 months</w:t>
            </w:r>
          </w:p>
          <w:p w:rsidR="00ED541E" w:rsidRDefault="00ED541E" w:rsidP="00F063AF">
            <w:pPr>
              <w:widowControl w:val="0"/>
              <w:numPr>
                <w:ilvl w:val="0"/>
                <w:numId w:val="233"/>
              </w:numPr>
              <w:tabs>
                <w:tab w:val="left" w:pos="360"/>
              </w:tabs>
              <w:spacing w:after="120"/>
              <w:ind w:left="330"/>
            </w:pPr>
            <w:r w:rsidRPr="002E2D9E">
              <w:rPr>
                <w:b/>
                <w:i/>
              </w:rPr>
              <w:t>Faust v. West</w:t>
            </w:r>
            <w:r>
              <w:rPr>
                <w:b/>
                <w:szCs w:val="24"/>
              </w:rPr>
              <w:t xml:space="preserve">, 13 Vet. App. 342 </w:t>
            </w:r>
            <w:r w:rsidRPr="00DA433D">
              <w:rPr>
                <w:szCs w:val="24"/>
              </w:rPr>
              <w:t>(2000)</w:t>
            </w:r>
            <w:r>
              <w:rPr>
                <w:bCs/>
                <w:szCs w:val="24"/>
              </w:rPr>
              <w:t xml:space="preserve"> - can use nonmedical evidence for reductions, so </w:t>
            </w:r>
            <w:r>
              <w:rPr>
                <w:szCs w:val="24"/>
              </w:rPr>
              <w:t xml:space="preserve">if a veteran is getting IU and an examiner only notes increased income, but does not see any changes in the veteran’s condition, that is sufficient to support a rating reduction.  However, need to show “actual employability,” not just actual employment (substantially gainful employment), see </w:t>
            </w:r>
            <w:r w:rsidRPr="007A4B37">
              <w:rPr>
                <w:b/>
              </w:rPr>
              <w:t>3.343</w:t>
            </w:r>
          </w:p>
          <w:p w:rsidR="00ED541E" w:rsidRDefault="00ED541E" w:rsidP="00F063AF">
            <w:pPr>
              <w:widowControl w:val="0"/>
              <w:numPr>
                <w:ilvl w:val="0"/>
                <w:numId w:val="233"/>
              </w:numPr>
              <w:tabs>
                <w:tab w:val="left" w:pos="360"/>
              </w:tabs>
              <w:spacing w:after="120"/>
              <w:ind w:left="330"/>
              <w:rPr>
                <w:b/>
                <w:szCs w:val="24"/>
              </w:rPr>
            </w:pPr>
            <w:r>
              <w:rPr>
                <w:b/>
                <w:i/>
                <w:szCs w:val="24"/>
              </w:rPr>
              <w:t>Sorakubo v. Principi</w:t>
            </w:r>
            <w:r>
              <w:rPr>
                <w:b/>
                <w:szCs w:val="24"/>
              </w:rPr>
              <w:t xml:space="preserve">, 16 Vet. App. 120 </w:t>
            </w:r>
            <w:r w:rsidRPr="00DA433D">
              <w:rPr>
                <w:szCs w:val="24"/>
              </w:rPr>
              <w:t xml:space="preserve">(2002) </w:t>
            </w:r>
            <w:r w:rsidRPr="00DA433D">
              <w:t>-</w:t>
            </w:r>
            <w:r>
              <w:t xml:space="preserve"> failure to apply 3.344 equals CUE</w:t>
            </w:r>
          </w:p>
          <w:p w:rsidR="00ED541E" w:rsidRDefault="00ED541E" w:rsidP="00F063AF">
            <w:pPr>
              <w:widowControl w:val="0"/>
              <w:numPr>
                <w:ilvl w:val="0"/>
                <w:numId w:val="233"/>
              </w:numPr>
              <w:tabs>
                <w:tab w:val="left" w:pos="360"/>
              </w:tabs>
              <w:spacing w:after="120"/>
              <w:ind w:left="330"/>
            </w:pPr>
            <w:r>
              <w:rPr>
                <w:b/>
                <w:i/>
                <w:szCs w:val="24"/>
              </w:rPr>
              <w:t>O’Connell v. Nicholson</w:t>
            </w:r>
            <w:r>
              <w:rPr>
                <w:b/>
                <w:szCs w:val="24"/>
              </w:rPr>
              <w:t xml:space="preserve">, 21 Vet. App. 89 </w:t>
            </w:r>
            <w:r w:rsidRPr="00DA433D">
              <w:rPr>
                <w:szCs w:val="24"/>
              </w:rPr>
              <w:t>(2007)</w:t>
            </w:r>
            <w:r w:rsidRPr="00DA433D">
              <w:rPr>
                <w:bCs/>
                <w:szCs w:val="24"/>
              </w:rPr>
              <w:t xml:space="preserve"> -</w:t>
            </w:r>
            <w:r>
              <w:rPr>
                <w:bCs/>
                <w:szCs w:val="24"/>
              </w:rPr>
              <w:t xml:space="preserve"> </w:t>
            </w:r>
            <w:r>
              <w:rPr>
                <w:szCs w:val="24"/>
              </w:rPr>
              <w:t>3.105(e) does not apply in the context of the assignment of a staged rating where the veteran’s disability rating is not reduced, for any period of time, to a level below what was in effect previously, as not considered a reduction in evaluation</w:t>
            </w:r>
          </w:p>
          <w:p w:rsidR="00ED541E" w:rsidRDefault="00ED541E" w:rsidP="00F063AF">
            <w:pPr>
              <w:widowControl w:val="0"/>
              <w:numPr>
                <w:ilvl w:val="0"/>
                <w:numId w:val="233"/>
              </w:numPr>
              <w:tabs>
                <w:tab w:val="left" w:pos="360"/>
              </w:tabs>
              <w:spacing w:after="120"/>
              <w:ind w:left="330"/>
              <w:rPr>
                <w:b/>
                <w:bCs/>
                <w:szCs w:val="24"/>
              </w:rPr>
            </w:pPr>
            <w:r>
              <w:rPr>
                <w:b/>
                <w:i/>
                <w:szCs w:val="24"/>
              </w:rPr>
              <w:t>Stelzel v. Mansfield</w:t>
            </w:r>
            <w:r>
              <w:rPr>
                <w:b/>
                <w:szCs w:val="24"/>
              </w:rPr>
              <w:t xml:space="preserve">, 508 F.3d 1345 </w:t>
            </w:r>
            <w:r w:rsidRPr="00DA433D">
              <w:rPr>
                <w:szCs w:val="24"/>
              </w:rPr>
              <w:t>(2007)</w:t>
            </w:r>
            <w:r>
              <w:rPr>
                <w:bCs/>
                <w:szCs w:val="24"/>
              </w:rPr>
              <w:t xml:space="preserve"> – no need to propose if compensation not reduced</w:t>
            </w:r>
          </w:p>
          <w:p w:rsidR="00ED541E" w:rsidRPr="00FE40EA" w:rsidRDefault="00ED541E" w:rsidP="00F063AF">
            <w:pPr>
              <w:widowControl w:val="0"/>
              <w:numPr>
                <w:ilvl w:val="0"/>
                <w:numId w:val="233"/>
              </w:numPr>
              <w:tabs>
                <w:tab w:val="left" w:pos="360"/>
              </w:tabs>
              <w:spacing w:after="120"/>
              <w:ind w:left="330"/>
            </w:pPr>
            <w:r>
              <w:rPr>
                <w:rStyle w:val="groupheading5"/>
                <w:rFonts w:ascii="Arial" w:hAnsi="Arial"/>
                <w:bCs w:val="0"/>
                <w:i/>
                <w:sz w:val="20"/>
                <w:szCs w:val="24"/>
              </w:rPr>
              <w:t>Reizenstein v. Peake</w:t>
            </w:r>
            <w:r>
              <w:rPr>
                <w:rStyle w:val="groupheading5"/>
                <w:rFonts w:ascii="Arial" w:hAnsi="Arial"/>
                <w:bCs w:val="0"/>
                <w:sz w:val="20"/>
                <w:szCs w:val="24"/>
              </w:rPr>
              <w:t>,</w:t>
            </w:r>
            <w:r>
              <w:rPr>
                <w:rStyle w:val="groupheading5"/>
                <w:rFonts w:ascii="Arial" w:hAnsi="Arial"/>
                <w:b w:val="0"/>
                <w:bCs w:val="0"/>
                <w:sz w:val="20"/>
                <w:szCs w:val="24"/>
              </w:rPr>
              <w:t xml:space="preserve"> </w:t>
            </w:r>
            <w:r>
              <w:rPr>
                <w:rStyle w:val="informationalsmall3"/>
                <w:rFonts w:ascii="Arial" w:hAnsi="Arial"/>
                <w:b/>
                <w:bCs/>
                <w:sz w:val="20"/>
                <w:szCs w:val="24"/>
              </w:rPr>
              <w:t xml:space="preserve">22 Vet.App. 202 </w:t>
            </w:r>
            <w:r w:rsidRPr="00DA433D">
              <w:rPr>
                <w:rStyle w:val="informationalsmall3"/>
                <w:rFonts w:ascii="Arial" w:hAnsi="Arial"/>
                <w:bCs/>
                <w:sz w:val="20"/>
                <w:szCs w:val="24"/>
              </w:rPr>
              <w:t>(2008)</w:t>
            </w:r>
            <w:r w:rsidRPr="00DA433D">
              <w:rPr>
                <w:rStyle w:val="informationalsmall3"/>
                <w:rFonts w:ascii="Arial" w:hAnsi="Arial"/>
                <w:sz w:val="20"/>
                <w:szCs w:val="24"/>
              </w:rPr>
              <w:t xml:space="preserve"> </w:t>
            </w:r>
            <w:r>
              <w:rPr>
                <w:rStyle w:val="informationalsmall3"/>
                <w:rFonts w:ascii="Arial" w:hAnsi="Arial"/>
                <w:sz w:val="20"/>
                <w:szCs w:val="24"/>
              </w:rPr>
              <w:t xml:space="preserve">– staged ratings do not need an </w:t>
            </w:r>
            <w:r>
              <w:rPr>
                <w:szCs w:val="24"/>
              </w:rPr>
              <w:t>examination showing material improvement</w:t>
            </w:r>
          </w:p>
          <w:p w:rsidR="00ED541E" w:rsidRPr="00FE40EA" w:rsidRDefault="00ED541E" w:rsidP="00F063AF">
            <w:pPr>
              <w:widowControl w:val="0"/>
              <w:numPr>
                <w:ilvl w:val="0"/>
                <w:numId w:val="233"/>
              </w:numPr>
              <w:tabs>
                <w:tab w:val="left" w:pos="360"/>
              </w:tabs>
              <w:spacing w:after="120"/>
              <w:ind w:left="330"/>
              <w:rPr>
                <w:rStyle w:val="groupheading5"/>
                <w:rFonts w:ascii="Arial" w:hAnsi="Arial"/>
                <w:b w:val="0"/>
                <w:bCs w:val="0"/>
                <w:sz w:val="20"/>
                <w:szCs w:val="20"/>
              </w:rPr>
            </w:pPr>
            <w:r>
              <w:rPr>
                <w:rStyle w:val="groupheading5"/>
                <w:rFonts w:ascii="Arial" w:hAnsi="Arial"/>
                <w:bCs w:val="0"/>
                <w:sz w:val="20"/>
                <w:szCs w:val="24"/>
              </w:rPr>
              <w:t>III.iv.8.D.1.</w:t>
            </w:r>
            <w:r w:rsidR="006A2F3A">
              <w:rPr>
                <w:rStyle w:val="groupheading5"/>
                <w:rFonts w:ascii="Arial" w:hAnsi="Arial"/>
                <w:bCs w:val="0"/>
                <w:sz w:val="20"/>
                <w:szCs w:val="24"/>
              </w:rPr>
              <w:t>e</w:t>
            </w:r>
            <w:r>
              <w:rPr>
                <w:rStyle w:val="groupheading5"/>
                <w:rFonts w:ascii="Arial" w:hAnsi="Arial"/>
                <w:bCs w:val="0"/>
                <w:sz w:val="20"/>
                <w:szCs w:val="24"/>
              </w:rPr>
              <w:t xml:space="preserve"> </w:t>
            </w:r>
            <w:r>
              <w:rPr>
                <w:rStyle w:val="groupheading5"/>
                <w:rFonts w:ascii="Arial" w:hAnsi="Arial"/>
                <w:b w:val="0"/>
                <w:bCs w:val="0"/>
                <w:sz w:val="20"/>
                <w:szCs w:val="24"/>
              </w:rPr>
              <w:t xml:space="preserve">– do not need to propose to reduce under 3.105(e) on initial staged ratings </w:t>
            </w:r>
            <w:r w:rsidR="006A2F3A">
              <w:rPr>
                <w:rStyle w:val="groupheading5"/>
                <w:rFonts w:ascii="Arial" w:hAnsi="Arial"/>
                <w:b w:val="0"/>
                <w:bCs w:val="0"/>
                <w:sz w:val="20"/>
                <w:szCs w:val="24"/>
              </w:rPr>
              <w:t xml:space="preserve">(example is </w:t>
            </w:r>
            <w:r>
              <w:rPr>
                <w:rStyle w:val="groupheading5"/>
                <w:rFonts w:ascii="Arial" w:hAnsi="Arial"/>
                <w:b w:val="0"/>
                <w:bCs w:val="0"/>
                <w:sz w:val="20"/>
                <w:szCs w:val="24"/>
              </w:rPr>
              <w:t>cancer in remission</w:t>
            </w:r>
            <w:r w:rsidR="006A2F3A">
              <w:rPr>
                <w:rStyle w:val="groupheading5"/>
                <w:rFonts w:ascii="Arial" w:hAnsi="Arial"/>
                <w:b w:val="0"/>
                <w:bCs w:val="0"/>
                <w:sz w:val="20"/>
                <w:szCs w:val="24"/>
              </w:rPr>
              <w:t>)</w:t>
            </w:r>
          </w:p>
          <w:p w:rsidR="00ED541E" w:rsidRPr="003D2014" w:rsidRDefault="00ED541E" w:rsidP="00F063AF">
            <w:pPr>
              <w:widowControl w:val="0"/>
              <w:numPr>
                <w:ilvl w:val="0"/>
                <w:numId w:val="233"/>
              </w:numPr>
              <w:tabs>
                <w:tab w:val="left" w:pos="360"/>
              </w:tabs>
              <w:spacing w:after="120"/>
              <w:ind w:left="330"/>
            </w:pPr>
            <w:r>
              <w:rPr>
                <w:rStyle w:val="groupheading5"/>
                <w:rFonts w:ascii="Arial" w:hAnsi="Arial"/>
                <w:bCs w:val="0"/>
                <w:sz w:val="20"/>
                <w:szCs w:val="24"/>
              </w:rPr>
              <w:t>III.iv.8.D.1.</w:t>
            </w:r>
            <w:r w:rsidR="00935DCC">
              <w:rPr>
                <w:rStyle w:val="groupheading5"/>
                <w:rFonts w:ascii="Arial" w:hAnsi="Arial"/>
                <w:bCs w:val="0"/>
                <w:sz w:val="20"/>
                <w:szCs w:val="24"/>
              </w:rPr>
              <w:t>f</w:t>
            </w:r>
            <w:r>
              <w:rPr>
                <w:rStyle w:val="groupheading5"/>
                <w:rFonts w:ascii="Arial" w:hAnsi="Arial"/>
                <w:bCs w:val="0"/>
                <w:sz w:val="20"/>
                <w:szCs w:val="24"/>
              </w:rPr>
              <w:t xml:space="preserve"> </w:t>
            </w:r>
            <w:r>
              <w:rPr>
                <w:rStyle w:val="groupheading5"/>
                <w:rFonts w:ascii="Arial" w:hAnsi="Arial"/>
                <w:b w:val="0"/>
                <w:bCs w:val="0"/>
                <w:sz w:val="20"/>
                <w:szCs w:val="24"/>
              </w:rPr>
              <w:t>– example of reduction not affecting combined evaluation, so do not need to propose to reduce</w:t>
            </w:r>
          </w:p>
        </w:tc>
      </w:tr>
    </w:tbl>
    <w:p w:rsidR="00ED541E" w:rsidRDefault="00ED541E" w:rsidP="00ED541E">
      <w:pPr>
        <w:widowControl w:val="0"/>
        <w:numPr>
          <w:ilvl w:val="12"/>
          <w:numId w:val="0"/>
        </w:numPr>
        <w:tabs>
          <w:tab w:val="left" w:pos="0"/>
        </w:tabs>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ED541E" w:rsidTr="000D03D8">
        <w:trPr>
          <w:trHeight w:val="3240"/>
        </w:trPr>
        <w:tc>
          <w:tcPr>
            <w:tcW w:w="705" w:type="dxa"/>
            <w:tcBorders>
              <w:top w:val="nil"/>
              <w:left w:val="nil"/>
              <w:bottom w:val="nil"/>
              <w:right w:val="nil"/>
            </w:tcBorders>
          </w:tcPr>
          <w:p w:rsidR="00ED541E" w:rsidRDefault="00ED541E" w:rsidP="00C334D1">
            <w:pPr>
              <w:widowControl w:val="0"/>
              <w:numPr>
                <w:ilvl w:val="12"/>
                <w:numId w:val="0"/>
              </w:numPr>
              <w:rPr>
                <w:b/>
              </w:rPr>
            </w:pPr>
            <w:r w:rsidRPr="007A4B37">
              <w:rPr>
                <w:b/>
              </w:rPr>
              <w:t>3.655</w:t>
            </w:r>
          </w:p>
        </w:tc>
        <w:tc>
          <w:tcPr>
            <w:tcW w:w="10270" w:type="dxa"/>
            <w:tcBorders>
              <w:top w:val="nil"/>
              <w:left w:val="nil"/>
              <w:bottom w:val="nil"/>
              <w:right w:val="nil"/>
            </w:tcBorders>
          </w:tcPr>
          <w:p w:rsidR="00ED541E" w:rsidRDefault="00ED541E" w:rsidP="00C334D1">
            <w:pPr>
              <w:widowControl w:val="0"/>
              <w:spacing w:after="120"/>
              <w:rPr>
                <w:bCs/>
              </w:rPr>
            </w:pPr>
            <w:r>
              <w:rPr>
                <w:b/>
              </w:rPr>
              <w:t>Failure to report for Department of Veterans Affairs examination</w:t>
            </w:r>
            <w:r>
              <w:t xml:space="preserve"> – FTR for RFE - Examples of </w:t>
            </w:r>
            <w:r w:rsidRPr="00E33224">
              <w:rPr>
                <w:bCs/>
              </w:rPr>
              <w:t>good cau</w:t>
            </w:r>
            <w:r>
              <w:rPr>
                <w:bCs/>
              </w:rPr>
              <w:t>se include</w:t>
            </w:r>
            <w:r w:rsidRPr="00E33224">
              <w:rPr>
                <w:bCs/>
              </w:rPr>
              <w:t>, but</w:t>
            </w:r>
            <w:r>
              <w:rPr>
                <w:bCs/>
              </w:rPr>
              <w:t xml:space="preserve"> are</w:t>
            </w:r>
            <w:r w:rsidRPr="00E33224">
              <w:rPr>
                <w:bCs/>
              </w:rPr>
              <w:t xml:space="preserve"> not limited to</w:t>
            </w:r>
            <w:r>
              <w:rPr>
                <w:bCs/>
              </w:rPr>
              <w:t xml:space="preserve">, the illness or </w:t>
            </w:r>
            <w:r w:rsidRPr="00E33224">
              <w:rPr>
                <w:bCs/>
              </w:rPr>
              <w:t>hospitalization of the claimant, death of a</w:t>
            </w:r>
            <w:r>
              <w:rPr>
                <w:bCs/>
              </w:rPr>
              <w:t>n immediate family member, etc.</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rPr>
            </w:pPr>
            <w:r w:rsidRPr="007A4B37">
              <w:rPr>
                <w:i/>
              </w:rPr>
              <w:t xml:space="preserve">proposereduc - </w:t>
            </w:r>
            <w:r>
              <w:rPr>
                <w:i/>
              </w:rPr>
              <w:t>proposed reduction</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rPr>
            </w:pPr>
          </w:p>
          <w:p w:rsidR="003124BE" w:rsidRP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rPr>
            </w:pPr>
            <w:r>
              <w:rPr>
                <w:b/>
              </w:rPr>
              <w:t xml:space="preserve">3.655 / </w:t>
            </w:r>
            <w:r w:rsidRPr="001679D9">
              <w:rPr>
                <w:b/>
                <w:iCs/>
              </w:rPr>
              <w:t>FTR for reexamination</w:t>
            </w:r>
            <w:r>
              <w:rPr>
                <w:b/>
              </w:rPr>
              <w:t xml:space="preserve"> / FTR for RFE </w:t>
            </w:r>
            <w:r>
              <w:t xml:space="preserve">– please note that this is different than </w:t>
            </w:r>
            <w:r w:rsidRPr="008134DE">
              <w:rPr>
                <w:b/>
              </w:rPr>
              <w:t>3.</w:t>
            </w:r>
            <w:r>
              <w:rPr>
                <w:b/>
              </w:rPr>
              <w:t>105(e)</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rPr>
            </w:pPr>
            <w:r>
              <w:rPr>
                <w:i/>
              </w:rPr>
              <w:t xml:space="preserve">Go straight to the </w:t>
            </w:r>
            <w:r w:rsidRPr="004F6948">
              <w:rPr>
                <w:bCs/>
                <w:i/>
              </w:rPr>
              <w:t>Disability Decision Information</w:t>
            </w:r>
            <w:r>
              <w:rPr>
                <w:bCs/>
                <w:i/>
              </w:rPr>
              <w:t xml:space="preserve"> (DDI) – manual entry screen, choose “Stage,” choose “Decrease Issue,” add new percentage (with no date) &amp; choose “Proposed Reduction under 38 CFR 3.655(c)(2),” then probably select “Static Disability (No Exam)”</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b/>
                <w:bCs/>
              </w:rPr>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rsidRPr="007D12EF">
              <w:rPr>
                <w:b/>
                <w:bCs/>
              </w:rPr>
              <w:t>III</w:t>
            </w:r>
            <w:r w:rsidRPr="007D12EF">
              <w:rPr>
                <w:b/>
              </w:rPr>
              <w:t>.iv.8.E</w:t>
            </w:r>
            <w:r>
              <w:rPr>
                <w:b/>
              </w:rPr>
              <w:t>.1.c</w:t>
            </w:r>
            <w:r>
              <w:t xml:space="preserve"> – RD must address lack of good cause or lack of reason for FTR </w:t>
            </w:r>
            <w:r w:rsidRPr="0071589F">
              <w:rPr>
                <w:i/>
              </w:rPr>
              <w:t>(</w:t>
            </w:r>
            <w:r w:rsidRPr="0071589F">
              <w:rPr>
                <w:i/>
                <w:color w:val="00B050"/>
              </w:rPr>
              <w:t xml:space="preserve">My Notes:  </w:t>
            </w:r>
            <w:r w:rsidRPr="0071589F">
              <w:rPr>
                <w:b/>
                <w:bCs/>
                <w:i/>
              </w:rPr>
              <w:t>III.iv.8.E.16</w:t>
            </w:r>
            <w:r w:rsidRPr="0071589F">
              <w:rPr>
                <w:bCs/>
                <w:i/>
              </w:rPr>
              <w:t xml:space="preserve"> used to say good cause includes, but is not limited to:  illness or hospitalization of the claimant, serious illness or death of an immediate family member, weather related impediments, or a previously scheduled/paid for commitment such as a vacation</w:t>
            </w:r>
            <w:r w:rsidRPr="0071589F">
              <w:rPr>
                <w:i/>
              </w:rPr>
              <w:t>)</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b/>
                <w:bCs/>
              </w:rPr>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bCs/>
              </w:rPr>
            </w:pPr>
            <w:r w:rsidRPr="00E33224">
              <w:rPr>
                <w:b/>
                <w:bCs/>
              </w:rPr>
              <w:t>IV.ii.3.B</w:t>
            </w:r>
            <w:r>
              <w:rPr>
                <w:b/>
                <w:bCs/>
              </w:rPr>
              <w:t xml:space="preserve"> / IV.ii.3.B.1</w:t>
            </w:r>
            <w:r>
              <w:rPr>
                <w:bCs/>
              </w:rPr>
              <w:t xml:space="preserve"> – </w:t>
            </w:r>
            <w:r w:rsidRPr="005B33D4">
              <w:rPr>
                <w:b/>
                <w:bCs/>
              </w:rPr>
              <w:t>3.655</w:t>
            </w:r>
            <w:r>
              <w:rPr>
                <w:bCs/>
              </w:rPr>
              <w:t xml:space="preserve"> – Failure to report for </w:t>
            </w:r>
            <w:r w:rsidRPr="007D12EF">
              <w:rPr>
                <w:bCs/>
                <w:u w:val="single"/>
              </w:rPr>
              <w:t>Review</w:t>
            </w:r>
            <w:r>
              <w:rPr>
                <w:bCs/>
              </w:rPr>
              <w:t xml:space="preserve"> Examination </w:t>
            </w:r>
            <w:r w:rsidRPr="00E33224">
              <w:rPr>
                <w:bCs/>
              </w:rPr>
              <w:t>– good cause includes, but is not limited to:  illness or hospitalization of the claimant, death of a</w:t>
            </w:r>
            <w:r>
              <w:rPr>
                <w:bCs/>
              </w:rPr>
              <w:t xml:space="preserve"> family member</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rFonts w:ascii="Helvetica" w:hAnsi="Helvetica"/>
                <w:lang w:val="en"/>
              </w:rPr>
            </w:pPr>
            <w:r>
              <w:rPr>
                <w:rFonts w:ascii="Helvetica" w:hAnsi="Helvetica"/>
                <w:b/>
                <w:lang w:val="en"/>
              </w:rPr>
              <w:t>I</w:t>
            </w:r>
            <w:r w:rsidRPr="00AF2B46">
              <w:rPr>
                <w:rFonts w:ascii="Helvetica" w:hAnsi="Helvetica"/>
                <w:b/>
                <w:lang w:val="en"/>
              </w:rPr>
              <w:t>V.ii.3.B.2</w:t>
            </w:r>
            <w:r w:rsidRPr="00AF2B46">
              <w:rPr>
                <w:rFonts w:ascii="Helvetica" w:hAnsi="Helvetica"/>
                <w:lang w:val="en"/>
              </w:rPr>
              <w:t xml:space="preserve"> </w:t>
            </w:r>
            <w:r>
              <w:rPr>
                <w:rFonts w:ascii="Helvetica" w:hAnsi="Helvetica"/>
                <w:lang w:val="en"/>
              </w:rPr>
              <w:t>–</w:t>
            </w:r>
            <w:r w:rsidRPr="00AF2B46">
              <w:rPr>
                <w:rFonts w:ascii="Helvetica" w:hAnsi="Helvetica"/>
                <w:lang w:val="en"/>
              </w:rPr>
              <w:t xml:space="preserve"> RSVP</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Cs/>
              </w:rPr>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Cs/>
              </w:rPr>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iCs/>
              </w:rPr>
            </w:pPr>
            <w:r>
              <w:rPr>
                <w:i/>
                <w:iCs/>
              </w:rPr>
              <w:t>if FTRSVP for RFE:</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iCs/>
              </w:rPr>
            </w:pPr>
            <w:r>
              <w:rPr>
                <w:i/>
                <w:iCs/>
              </w:rPr>
              <w:t>maybe use Special Determination Requested &amp; date rating is completed</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rPr>
                <w:i/>
              </w:rPr>
              <w:t>f</w:t>
            </w:r>
            <w:r w:rsidRPr="00B0547E">
              <w:rPr>
                <w:i/>
              </w:rPr>
              <w:t>or Evidence:</w:t>
            </w:r>
            <w:r>
              <w:rPr>
                <w:i/>
              </w:rPr>
              <w:t xml:space="preserve">  </w:t>
            </w:r>
            <w:r w:rsidRPr="00B0547E">
              <w:t xml:space="preserve">Report of </w:t>
            </w:r>
            <w:r>
              <w:t>inability to contact you to schedule VA examination (RSVP), received {}</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Cs/>
              </w:rPr>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Cs/>
              </w:rPr>
            </w:pPr>
            <w:r w:rsidRPr="001679D9">
              <w:rPr>
                <w:i/>
                <w:iCs/>
              </w:rPr>
              <w:t>Intro:</w:t>
            </w:r>
            <w:r>
              <w:rPr>
                <w:iCs/>
              </w:rPr>
              <w:t xml:space="preserve">  We have received notice that you failed to report for a reexamination scheduled for {}.</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Cs/>
              </w:rPr>
            </w:pPr>
          </w:p>
          <w:p w:rsidR="003124BE" w:rsidRPr="00FF70FA"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rPr>
            </w:pPr>
            <w:r w:rsidRPr="00FF70FA">
              <w:rPr>
                <w:i/>
              </w:rPr>
              <w:t>Reasons for Decision:</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rsidRPr="001679D9">
              <w:rPr>
                <w:i/>
              </w:rPr>
              <w:t>use</w:t>
            </w:r>
            <w:r w:rsidRPr="001679D9">
              <w:t xml:space="preserve"> </w:t>
            </w:r>
            <w:r>
              <w:rPr>
                <w:b/>
                <w:szCs w:val="22"/>
                <w:highlight w:val="green"/>
              </w:rPr>
              <w:t>VBMS-R System-Generated Text</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rsidRPr="00CD4491">
              <w:rPr>
                <w:b/>
                <w:bCs/>
                <w:highlight w:val="green"/>
              </w:rPr>
              <w:t>FTR</w:t>
            </w:r>
          </w:p>
          <w:p w:rsidR="003124BE" w:rsidRPr="009919D2"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iCs/>
              </w:rPr>
            </w:pPr>
            <w:r>
              <w:t xml:space="preserve">OR </w:t>
            </w:r>
            <w:r>
              <w:rPr>
                <w:i/>
                <w:iCs/>
              </w:rPr>
              <w:t xml:space="preserve">if FTRSVP for RFE:  </w:t>
            </w:r>
            <w:r w:rsidRPr="00954228">
              <w:t>We h</w:t>
            </w:r>
            <w:r>
              <w:t xml:space="preserve">ave been informed that you did not respond to attempts to schedule a VA examination </w:t>
            </w:r>
            <w:r w:rsidRPr="00954228">
              <w:t xml:space="preserve">in support of your claim. </w:t>
            </w:r>
            <w:r>
              <w:t xml:space="preserve"> </w:t>
            </w:r>
            <w:r w:rsidRPr="00954228">
              <w:t>As a result, medical evidence that could have been used to support your claim was not available to us. Please notify us when you are ready to report for an examination, or you may submit a DBQ which must be completed and signed by a physician.</w:t>
            </w:r>
          </w:p>
          <w:p w:rsidR="003124BE" w:rsidRPr="007A4B37"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t xml:space="preserve">A continued </w:t>
            </w:r>
            <w:r w:rsidRPr="007A4B37">
              <w:t xml:space="preserve">evaluation of </w:t>
            </w:r>
            <w:r>
              <w:t xml:space="preserve">{} </w:t>
            </w:r>
            <w:r w:rsidRPr="007A4B37">
              <w:t xml:space="preserve">percent is not warranted because the </w:t>
            </w:r>
            <w:r>
              <w:t>evidence</w:t>
            </w:r>
            <w:r w:rsidRPr="007A4B37">
              <w:t xml:space="preserve"> </w:t>
            </w:r>
            <w:r>
              <w:t>does not show:</w:t>
            </w:r>
          </w:p>
          <w:p w:rsidR="003124BE" w:rsidRPr="007A4B37"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t>[add Eval Builder info for current evaluation]</w:t>
            </w:r>
          </w:p>
          <w:p w:rsidR="003124BE" w:rsidRPr="007A4B37"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bookmarkStart w:id="147" w:name="_Hlk520120667"/>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rsidRPr="007A4B37">
              <w:t>If the proposed reduction takes effect, your combined evaluation will be {} percent.</w:t>
            </w:r>
          </w:p>
          <w:bookmarkEnd w:id="147"/>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rPr>
                <w:i/>
              </w:rPr>
              <w:t>I</w:t>
            </w:r>
            <w:r w:rsidRPr="00D16760">
              <w:rPr>
                <w:i/>
              </w:rPr>
              <w:t>f</w:t>
            </w:r>
            <w:r>
              <w:rPr>
                <w:i/>
              </w:rPr>
              <w:t xml:space="preserve"> proposing to reduce </w:t>
            </w:r>
            <w:r w:rsidRPr="00D16760">
              <w:rPr>
                <w:i/>
              </w:rPr>
              <w:t>multiple issues:</w:t>
            </w:r>
            <w:r>
              <w:t xml:space="preserve">  </w:t>
            </w:r>
            <w:r w:rsidRPr="007A4B37">
              <w:t>If the proposed reduction</w:t>
            </w:r>
            <w:r>
              <w:t>s take</w:t>
            </w:r>
            <w:r w:rsidRPr="007A4B37">
              <w:t xml:space="preserve"> effect, your combined evaluation will be {} percent.</w:t>
            </w:r>
          </w:p>
          <w:p w:rsidR="003124BE" w:rsidRPr="00BF35C5"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p>
          <w:p w:rsidR="003124BE" w:rsidRPr="00BF35C5"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rsidRPr="00BF35C5">
              <w:rPr>
                <w:b/>
              </w:rPr>
              <w:t>IV.ii.3.B.3.c</w:t>
            </w:r>
            <w:r w:rsidRPr="00BF35C5">
              <w:t xml:space="preserve"> </w:t>
            </w:r>
            <w:r w:rsidRPr="00BF35C5">
              <w:rPr>
                <w:i/>
              </w:rPr>
              <w:t>says notification must include when discontinued/reduced payment will be effective, so probably best to include this in narrative</w:t>
            </w:r>
            <w:r>
              <w:t>:</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iCs/>
                <w:szCs w:val="22"/>
              </w:rPr>
            </w:pPr>
            <w:r w:rsidRPr="00613722">
              <w:rPr>
                <w:iCs/>
                <w:szCs w:val="22"/>
              </w:rPr>
              <w:t>As this is a proposed action, you will have 60-days from the date of this notification letter to provide additional evidence to support why this action should not be taken or request a hearing. If we do not receive a request for a hearing or additional evidence supporting the continued evaluation or entitlement to service connection for this condition, a new rating will be sent finalizing this proposed rating. The effective date assigned will be the first of the month following 60-days from the date of th</w:t>
            </w:r>
            <w:r>
              <w:rPr>
                <w:iCs/>
                <w:szCs w:val="22"/>
              </w:rPr>
              <w:t>e proposed action notification letter</w:t>
            </w:r>
            <w:r w:rsidRPr="00542630">
              <w:rPr>
                <w:i/>
                <w:iCs/>
                <w:szCs w:val="22"/>
              </w:rPr>
              <w:t>, or the date of last payment, whichever is later.</w:t>
            </w:r>
          </w:p>
          <w:p w:rsidR="003124BE" w:rsidRPr="00BF35C5"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
                <w:iCs/>
                <w:szCs w:val="22"/>
              </w:rPr>
            </w:pPr>
            <w:r>
              <w:rPr>
                <w:i/>
                <w:iCs/>
                <w:szCs w:val="22"/>
              </w:rPr>
              <w:t>*verbiage in italics added from paragraph above for 3.105(e)</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p>
          <w:p w:rsidR="003124BE" w:rsidRPr="00294C3F" w:rsidRDefault="00D571C5"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hyperlink r:id="rId666" w:history="1">
              <w:r w:rsidR="003124BE">
                <w:rPr>
                  <w:rStyle w:val="Hyperlink"/>
                  <w:b/>
                  <w:bCs/>
                  <w:i/>
                </w:rPr>
                <w:t>November 2017 Quality Call Notes</w:t>
              </w:r>
            </w:hyperlink>
            <w:r w:rsidR="003124BE">
              <w:rPr>
                <w:bCs/>
              </w:rPr>
              <w:t xml:space="preserve"> </w:t>
            </w:r>
            <w:r w:rsidR="003124BE">
              <w:t xml:space="preserve"> </w:t>
            </w:r>
            <w:r w:rsidR="003124BE" w:rsidRPr="001D6A2D">
              <w:t>-</w:t>
            </w:r>
            <w:r w:rsidR="003124BE">
              <w:t xml:space="preserve"> When proposing a reduction/discontinuance under </w:t>
            </w:r>
            <w:hyperlink r:id="rId667" w:anchor="se38.1.3_1655" w:history="1">
              <w:r w:rsidR="003124BE" w:rsidRPr="006003DF">
                <w:rPr>
                  <w:rStyle w:val="Hyperlink"/>
                </w:rPr>
                <w:t>38 CFR 3.655</w:t>
              </w:r>
            </w:hyperlink>
            <w:r w:rsidR="003124BE">
              <w:t xml:space="preserve">, for Failure to Report (FTR) for a Routine Future Exam (RFE), the notification letter should provide a proposed effective date of reduction which is the first of the month following 60 days from the letter. For example, if sending the notification letter on 11/1/17, the proposed effective date should be 2/1/18.  If the Veteran does not respond, the final rating assigns an effective date which is the </w:t>
            </w:r>
            <w:r w:rsidR="003124BE" w:rsidRPr="00732747">
              <w:rPr>
                <w:i/>
              </w:rPr>
              <w:t>date of last payment</w:t>
            </w:r>
            <w:r w:rsidR="003124BE">
              <w:t xml:space="preserve"> (or the date communicated in the predetermination notice, whichever is later).  See </w:t>
            </w:r>
            <w:hyperlink r:id="rId668" w:history="1">
              <w:r w:rsidR="003124BE" w:rsidRPr="00C80C09">
                <w:rPr>
                  <w:rStyle w:val="Hyperlink"/>
                </w:rPr>
                <w:t>M21-1 Part III.iv.8.E.1</w:t>
              </w:r>
            </w:hyperlink>
            <w:r w:rsidR="003124BE">
              <w:t xml:space="preserve"> and </w:t>
            </w:r>
            <w:hyperlink r:id="rId669" w:history="1">
              <w:r w:rsidR="003124BE" w:rsidRPr="00C80C09">
                <w:rPr>
                  <w:rStyle w:val="Hyperlink"/>
                </w:rPr>
                <w:t>M21-1 Part IV.ii.3.B</w:t>
              </w:r>
            </w:hyperlink>
            <w:r w:rsidR="003124BE">
              <w:t>.</w:t>
            </w:r>
          </w:p>
          <w:p w:rsidR="003124BE" w:rsidRPr="00294C3F"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iCs/>
                <w:szCs w:val="22"/>
              </w:rPr>
            </w:pPr>
            <w:r>
              <w:rPr>
                <w:iCs/>
                <w:szCs w:val="22"/>
              </w:rPr>
              <w:t xml:space="preserve">VSR:  This is a proposed reduction under 3.655. Per III.iv.8.E.1, IV.ii.3.B &amp; November 2017 Quality Call Notes, </w:t>
            </w:r>
            <w:r>
              <w:t>the notification letter should provide a proposed effective date of reduction which is the first of the month following 60 days from the letter.</w:t>
            </w:r>
          </w:p>
          <w:p w:rsidR="003124B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rPr>
                <w:b/>
                <w:iCs/>
                <w:szCs w:val="22"/>
              </w:rPr>
            </w:pPr>
          </w:p>
          <w:p w:rsidR="00ED541E" w:rsidRDefault="003124BE" w:rsidP="003124BE">
            <w:pPr>
              <w:widowControl w:val="0"/>
              <w:pBdr>
                <w:top w:val="single" w:sz="4" w:space="1" w:color="auto"/>
                <w:left w:val="single" w:sz="4" w:space="4" w:color="auto"/>
                <w:bottom w:val="single" w:sz="4" w:space="1" w:color="auto"/>
                <w:right w:val="single" w:sz="4" w:space="4" w:color="auto"/>
              </w:pBdr>
              <w:tabs>
                <w:tab w:val="left" w:pos="144"/>
                <w:tab w:val="left" w:pos="720"/>
              </w:tabs>
              <w:ind w:left="150" w:right="165"/>
            </w:pPr>
            <w:r w:rsidRPr="003D45BB">
              <w:rPr>
                <w:b/>
                <w:iCs/>
                <w:szCs w:val="22"/>
              </w:rPr>
              <w:t>III.iv.8.D.4.a</w:t>
            </w:r>
            <w:r>
              <w:rPr>
                <w:iCs/>
                <w:szCs w:val="22"/>
              </w:rPr>
              <w:t xml:space="preserve"> – procedures for </w:t>
            </w:r>
            <w:r>
              <w:t>addressing individual unemployability when a schedular 100-percent evaluation is proposed to be reduced</w:t>
            </w:r>
          </w:p>
        </w:tc>
      </w:tr>
    </w:tbl>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rPr>
          <w:bCs/>
          <w:i/>
        </w:rPr>
      </w:pPr>
      <w:r>
        <w:rPr>
          <w:b/>
          <w:bCs/>
        </w:rPr>
        <w:t xml:space="preserve">Reductions </w:t>
      </w:r>
      <w:r w:rsidRPr="007A4EEB">
        <w:rPr>
          <w:bCs/>
          <w:i/>
        </w:rPr>
        <w:t xml:space="preserve">(need Long Form Narrative, per </w:t>
      </w:r>
      <w:r w:rsidRPr="007A4EEB">
        <w:rPr>
          <w:b/>
          <w:bCs/>
        </w:rPr>
        <w:t>III.iv.6.C.7.a</w:t>
      </w:r>
      <w:r>
        <w:rPr>
          <w:bCs/>
          <w:i/>
        </w:rPr>
        <w:t>; also, ensure correct proposal was done, either 3.105(e) or 3.655):</w:t>
      </w:r>
    </w:p>
    <w:p w:rsidR="00542630"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rPr>
          <w:b/>
        </w:rPr>
      </w:pPr>
      <w:r>
        <w:rPr>
          <w:b/>
        </w:rPr>
        <w:t>III.iv.8.D</w:t>
      </w:r>
    </w:p>
    <w:p w:rsidR="00542630" w:rsidRDefault="00542630" w:rsidP="003124BE">
      <w:pPr>
        <w:widowControl w:val="0"/>
        <w:pBdr>
          <w:top w:val="single" w:sz="4" w:space="0" w:color="auto"/>
          <w:left w:val="single" w:sz="4" w:space="1" w:color="auto"/>
          <w:bottom w:val="single" w:sz="4" w:space="1" w:color="auto"/>
          <w:right w:val="single" w:sz="4" w:space="1" w:color="auto"/>
        </w:pBdr>
        <w:tabs>
          <w:tab w:val="left" w:pos="720"/>
        </w:tabs>
        <w:ind w:left="720"/>
        <w:rPr>
          <w:b/>
        </w:rPr>
      </w:pPr>
    </w:p>
    <w:p w:rsidR="00542630" w:rsidRPr="00542630" w:rsidRDefault="00542630" w:rsidP="003124BE">
      <w:pPr>
        <w:widowControl w:val="0"/>
        <w:pBdr>
          <w:top w:val="single" w:sz="4" w:space="0" w:color="auto"/>
          <w:left w:val="single" w:sz="4" w:space="1" w:color="auto"/>
          <w:bottom w:val="single" w:sz="4" w:space="1" w:color="auto"/>
          <w:right w:val="single" w:sz="4" w:space="1" w:color="auto"/>
        </w:pBdr>
        <w:tabs>
          <w:tab w:val="left" w:pos="720"/>
        </w:tabs>
        <w:ind w:left="720"/>
        <w:rPr>
          <w:b/>
        </w:rPr>
      </w:pPr>
      <w:r>
        <w:rPr>
          <w:b/>
        </w:rPr>
        <w:t xml:space="preserve">3.655 / </w:t>
      </w:r>
      <w:r w:rsidRPr="001679D9">
        <w:rPr>
          <w:b/>
          <w:iCs/>
        </w:rPr>
        <w:t>FTR for reexamination</w:t>
      </w:r>
      <w:r>
        <w:rPr>
          <w:b/>
        </w:rPr>
        <w:t xml:space="preserve"> / FTR for RFE </w:t>
      </w:r>
      <w:r w:rsidRPr="00330E23">
        <w:rPr>
          <w:bCs/>
          <w:i/>
        </w:rPr>
        <w:t xml:space="preserve">- final reduction is </w:t>
      </w:r>
      <w:r w:rsidR="009D304B">
        <w:rPr>
          <w:bCs/>
          <w:i/>
        </w:rPr>
        <w:t xml:space="preserve">60 days after proposal letter or </w:t>
      </w:r>
      <w:r>
        <w:rPr>
          <w:bCs/>
          <w:i/>
        </w:rPr>
        <w:t>date last paid (</w:t>
      </w:r>
      <w:r w:rsidRPr="00330E23">
        <w:rPr>
          <w:bCs/>
          <w:i/>
        </w:rPr>
        <w:t>DLP</w:t>
      </w:r>
      <w:r>
        <w:rPr>
          <w:bCs/>
          <w:i/>
        </w:rPr>
        <w:t xml:space="preserve">), </w:t>
      </w:r>
      <w:r w:rsidRPr="007D12EF">
        <w:rPr>
          <w:b/>
          <w:bCs/>
        </w:rPr>
        <w:t>III</w:t>
      </w:r>
      <w:r w:rsidRPr="007D12EF">
        <w:rPr>
          <w:b/>
        </w:rPr>
        <w:t>.iv.8.E</w:t>
      </w:r>
      <w:r>
        <w:rPr>
          <w:b/>
        </w:rPr>
        <w:t>.1.g</w:t>
      </w:r>
      <w:r>
        <w:t xml:space="preserve"> says DLP or the date indicated in the notice</w:t>
      </w:r>
    </w:p>
    <w:p w:rsidR="00542630" w:rsidRDefault="00542630" w:rsidP="003124BE">
      <w:pPr>
        <w:widowControl w:val="0"/>
        <w:pBdr>
          <w:top w:val="single" w:sz="4" w:space="0" w:color="auto"/>
          <w:left w:val="single" w:sz="4" w:space="1" w:color="auto"/>
          <w:bottom w:val="single" w:sz="4" w:space="1" w:color="auto"/>
          <w:right w:val="single" w:sz="4" w:space="1" w:color="auto"/>
        </w:pBdr>
        <w:tabs>
          <w:tab w:val="left" w:pos="720"/>
        </w:tabs>
        <w:ind w:left="720"/>
        <w:rPr>
          <w:b/>
        </w:rPr>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rPr>
          <w:i/>
          <w:iCs/>
        </w:rPr>
        <w:t>Evidence</w:t>
      </w:r>
      <w:r>
        <w:t>:</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rsidRPr="006A1919">
        <w:t>Rating Decision, and all evidence contained therein</w:t>
      </w:r>
      <w:r>
        <w:t>, dated {}, and notification letter to you dated {}</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rPr>
          <w:i/>
          <w:iCs/>
        </w:rPr>
        <w:t xml:space="preserve">Issue:  </w:t>
      </w:r>
      <w:r>
        <w:t>Evaluation of {} currently evaluated as {} percent disabling.</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rPr>
          <w:i/>
          <w:iCs/>
        </w:rPr>
        <w:t xml:space="preserve">Decision:  </w:t>
      </w:r>
      <w:r>
        <w:t>Evaluation of {}, which is currently evaluated {} percent disabling, is decreased to {} percent effective {}.</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rPr>
          <w:i/>
          <w:iCs/>
        </w:rPr>
      </w:pPr>
      <w:r>
        <w:rPr>
          <w:i/>
          <w:iCs/>
        </w:rPr>
        <w:t>Reasons for Decision:</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144"/>
          <w:tab w:val="left" w:pos="720"/>
        </w:tabs>
        <w:ind w:left="720"/>
      </w:pPr>
      <w:r>
        <w:t>The evaluation of {} is decreased to {} percent effective {}, the first of the month following the 60-day period after notification of this decision.</w:t>
      </w:r>
      <w:r w:rsidR="00542630">
        <w:t xml:space="preserve"> // </w:t>
      </w:r>
      <w:r w:rsidR="00542630">
        <w:rPr>
          <w:i/>
        </w:rPr>
        <w:t>OR</w:t>
      </w:r>
      <w:r w:rsidR="00542630" w:rsidRPr="00542630">
        <w:rPr>
          <w:i/>
        </w:rPr>
        <w:t xml:space="preserve"> if</w:t>
      </w:r>
      <w:r w:rsidR="00542630" w:rsidRPr="00542630">
        <w:rPr>
          <w:b/>
        </w:rPr>
        <w:t xml:space="preserve"> 3.655</w:t>
      </w:r>
      <w:r w:rsidR="00542630" w:rsidRPr="00542630">
        <w:rPr>
          <w:i/>
        </w:rPr>
        <w:t>, you need to check the notification letter for the</w:t>
      </w:r>
      <w:r w:rsidR="00542630">
        <w:rPr>
          <w:i/>
        </w:rPr>
        <w:t xml:space="preserve"> date used &amp; indicate that date, </w:t>
      </w:r>
      <w:r w:rsidR="00542630" w:rsidRPr="00542630">
        <w:rPr>
          <w:i/>
        </w:rPr>
        <w:t>or DLP</w:t>
      </w:r>
      <w:r w:rsidR="00542630">
        <w:rPr>
          <w:i/>
        </w:rPr>
        <w:t>, whichever is later</w:t>
      </w:r>
      <w:r w:rsidR="00542630" w:rsidRPr="00542630">
        <w:rPr>
          <w:b/>
        </w:rPr>
        <w:t xml:space="preserve"> </w:t>
      </w:r>
      <w:r w:rsidR="00542630" w:rsidRPr="00542630">
        <w:t>-</w:t>
      </w:r>
      <w:r w:rsidR="00542630">
        <w:t xml:space="preserve"> The evaluation of {} is decreased to {} percent effective {}, {the first of the month following the 60-day period after notification of the proposed action OR the date of the last payment}.</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144"/>
          <w:tab w:val="left" w:pos="720"/>
        </w:tabs>
        <w:ind w:left="720"/>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t>The previously considered evidence shows…improvement OR that you failed to report to two requested review examinations. There is no current objective medical evidence to support the continuation of the {} percent evaluation. The {} percent evaluation is based on:</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t>…</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Pr="00100683"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t>Your new combined evaluation will be {} percent.</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Pr="00162D48"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rPr>
          <w:i/>
        </w:rPr>
      </w:pPr>
      <w:r w:rsidRPr="00162D48">
        <w:rPr>
          <w:i/>
        </w:rPr>
        <w:t>OR (if improvement within 5 years</w:t>
      </w:r>
      <w:r>
        <w:rPr>
          <w:i/>
        </w:rPr>
        <w:t xml:space="preserve"> &amp; reduction does not affect combined</w:t>
      </w:r>
      <w:r w:rsidRPr="00162D48">
        <w:rPr>
          <w:i/>
        </w:rPr>
        <w:t>):</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t xml:space="preserve">The evaluation of {} is decreased to {} percent from {}, the date of the DBQ showing improvement. </w:t>
      </w:r>
      <w:r w:rsidRPr="00162D48">
        <w:t>You have been evaluated at</w:t>
      </w:r>
      <w:r>
        <w:t xml:space="preserve"> {}</w:t>
      </w:r>
      <w:r w:rsidRPr="00162D48">
        <w:t xml:space="preserve"> percent for fewer than 5 years, the </w:t>
      </w:r>
      <w:r>
        <w:t>DBQ</w:t>
      </w:r>
      <w:r w:rsidRPr="00162D48">
        <w:t xml:space="preserve"> shows improvement, and there is </w:t>
      </w:r>
      <w:r>
        <w:t>no other evidence to support a {}</w:t>
      </w:r>
      <w:r w:rsidRPr="00162D48">
        <w:t xml:space="preserve"> percent evaluation.</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t>This reduction does not reduce your combined evaluation.</w:t>
      </w: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rPr>
          <w:i/>
          <w:iCs/>
        </w:rPr>
      </w:pPr>
    </w:p>
    <w:p w:rsidR="00ED541E" w:rsidRDefault="00ED541E" w:rsidP="003124BE">
      <w:pPr>
        <w:widowControl w:val="0"/>
        <w:pBdr>
          <w:top w:val="single" w:sz="4" w:space="0" w:color="auto"/>
          <w:left w:val="single" w:sz="4" w:space="1" w:color="auto"/>
          <w:bottom w:val="single" w:sz="4" w:space="1" w:color="auto"/>
          <w:right w:val="single" w:sz="4" w:space="1" w:color="auto"/>
        </w:pBdr>
        <w:tabs>
          <w:tab w:val="left" w:pos="720"/>
        </w:tabs>
        <w:ind w:left="720"/>
      </w:pPr>
      <w:r w:rsidRPr="002E2D9E">
        <w:rPr>
          <w:b/>
          <w:i/>
        </w:rPr>
        <w:t>March 2014 Compensation Service Bulletin (CSB)</w:t>
      </w:r>
      <w:r w:rsidRPr="00E3533B">
        <w:t xml:space="preserve"> –</w:t>
      </w:r>
      <w:r>
        <w:t xml:space="preserve"> if sever or reduce to 0%, check the Share corporate record for an active Ch 31 flash &amp; notify VSR (in a note on the codesheet) if there is a flash – VSR:  Please notify VR&amp;E that SC has been severed/the evaluation has been reduced to 0%.</w:t>
      </w:r>
    </w:p>
    <w:p w:rsidR="00ED541E" w:rsidRDefault="00ED541E" w:rsidP="00ED541E">
      <w:pPr>
        <w:widowControl w:val="0"/>
        <w:tabs>
          <w:tab w:val="left" w:pos="720"/>
        </w:tabs>
        <w:ind w:left="630"/>
      </w:pPr>
    </w:p>
    <w:p w:rsidR="00B730A6" w:rsidRDefault="00B730A6" w:rsidP="00B730A6">
      <w:pPr>
        <w:ind w:left="630"/>
      </w:pPr>
      <w:r>
        <w:rPr>
          <w:b/>
          <w:bCs/>
        </w:rPr>
        <w:t>From:</w:t>
      </w:r>
      <w:r>
        <w:t xml:space="preserve"> VAVBASDC/RO/VSC </w:t>
      </w:r>
      <w:r>
        <w:br/>
      </w:r>
      <w:r>
        <w:rPr>
          <w:b/>
          <w:bCs/>
        </w:rPr>
        <w:t>Sent:</w:t>
      </w:r>
      <w:r>
        <w:t xml:space="preserve"> Friday, June 15, 2018 10:35 AM</w:t>
      </w:r>
      <w:r>
        <w:br/>
      </w:r>
      <w:r>
        <w:rPr>
          <w:b/>
          <w:bCs/>
        </w:rPr>
        <w:t>Subject:</w:t>
      </w:r>
      <w:r>
        <w:t xml:space="preserve"> FW: Reminder to Utilize GAO for Reduced Evaluations</w:t>
      </w:r>
    </w:p>
    <w:p w:rsidR="00B730A6" w:rsidRDefault="00B730A6" w:rsidP="00B730A6">
      <w:pPr>
        <w:ind w:left="630"/>
        <w:rPr>
          <w:rFonts w:eastAsiaTheme="minorHAnsi"/>
        </w:rPr>
      </w:pPr>
    </w:p>
    <w:p w:rsidR="00B730A6" w:rsidRPr="00B730A6" w:rsidRDefault="00B730A6" w:rsidP="00B730A6">
      <w:pPr>
        <w:ind w:left="630"/>
        <w:rPr>
          <w:szCs w:val="24"/>
        </w:rPr>
      </w:pPr>
      <w:r w:rsidRPr="00B730A6">
        <w:rPr>
          <w:szCs w:val="24"/>
        </w:rPr>
        <w:t>VSC employees,</w:t>
      </w:r>
    </w:p>
    <w:p w:rsidR="00B730A6" w:rsidRPr="00B730A6" w:rsidRDefault="00B730A6" w:rsidP="00B730A6">
      <w:pPr>
        <w:ind w:left="630"/>
        <w:rPr>
          <w:szCs w:val="24"/>
        </w:rPr>
      </w:pPr>
    </w:p>
    <w:p w:rsidR="00B730A6" w:rsidRPr="00B730A6" w:rsidRDefault="00B730A6" w:rsidP="00B730A6">
      <w:pPr>
        <w:ind w:left="630"/>
        <w:rPr>
          <w:szCs w:val="24"/>
        </w:rPr>
      </w:pPr>
      <w:r w:rsidRPr="00B730A6">
        <w:rPr>
          <w:szCs w:val="24"/>
        </w:rPr>
        <w:t>As a reminder to all Regional Offices, ratings that sever or reduce service connection may require an override in the Awards application.</w:t>
      </w:r>
    </w:p>
    <w:p w:rsidR="00B730A6" w:rsidRPr="00B730A6" w:rsidRDefault="00B730A6" w:rsidP="00B730A6">
      <w:pPr>
        <w:ind w:left="630"/>
        <w:rPr>
          <w:szCs w:val="24"/>
        </w:rPr>
      </w:pPr>
    </w:p>
    <w:p w:rsidR="00B730A6" w:rsidRPr="00B730A6" w:rsidRDefault="00B730A6" w:rsidP="00B730A6">
      <w:pPr>
        <w:ind w:left="630"/>
        <w:rPr>
          <w:szCs w:val="24"/>
        </w:rPr>
      </w:pPr>
      <w:r w:rsidRPr="00B730A6">
        <w:rPr>
          <w:szCs w:val="24"/>
        </w:rPr>
        <w:t>VETSNET and VBMS Awards do not apply Omnibus correctly when processing ratings that sever or reduce service connected disabilities.  RVSRs should not adjust the rating effective date to resolve this issue as a workaround.  When an inappropriate effective date is generated in VETSNET or VBMS Awards for a rating reduction or termination, the VSR should use the Generate Award Override (GAO) function in the Awards application to apply the proper date for the reduced evaluation.</w:t>
      </w:r>
    </w:p>
    <w:p w:rsidR="003A4E7E" w:rsidRPr="00B730A6" w:rsidRDefault="00B730A6" w:rsidP="00B730A6">
      <w:pPr>
        <w:ind w:left="630"/>
        <w:rPr>
          <w:szCs w:val="24"/>
        </w:rPr>
      </w:pPr>
      <w:r w:rsidRPr="00B730A6">
        <w:rPr>
          <w:szCs w:val="24"/>
        </w:rPr>
        <w:br/>
        <w:t xml:space="preserve">If you have any questions, please reach out to your Coach/Assistant Coach. </w:t>
      </w:r>
    </w:p>
    <w:p w:rsidR="003A4E7E" w:rsidRDefault="003A4E7E" w:rsidP="00ED541E">
      <w:pPr>
        <w:widowControl w:val="0"/>
        <w:tabs>
          <w:tab w:val="left" w:pos="720"/>
        </w:tabs>
        <w:ind w:left="630"/>
      </w:pP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pPr>
      <w:r>
        <w:t xml:space="preserve">Modified </w:t>
      </w:r>
      <w:hyperlink r:id="rId670" w:history="1">
        <w:r>
          <w:rPr>
            <w:rFonts w:ascii="Verdana" w:hAnsi="Verdana"/>
            <w:b/>
            <w:bCs/>
            <w:highlight w:val="green"/>
          </w:rPr>
          <w:t>RE1</w:t>
        </w:r>
      </w:hyperlink>
      <w:r w:rsidRPr="00EA44DF">
        <w:rPr>
          <w:i/>
        </w:rPr>
        <w:t xml:space="preserve"> (if still at 100% combined, but no longer 100%+60%</w:t>
      </w:r>
      <w:r>
        <w:rPr>
          <w:i/>
        </w:rPr>
        <w:t xml:space="preserve">; </w:t>
      </w:r>
      <w:r w:rsidRPr="00EA44DF">
        <w:rPr>
          <w:i/>
          <w:color w:val="00B050"/>
        </w:rPr>
        <w:t xml:space="preserve">My Notes:  </w:t>
      </w:r>
      <w:r>
        <w:rPr>
          <w:i/>
        </w:rPr>
        <w:t>VBMS-R does not allow you to do a proposed change for SMC without entering a date (which is incorrect), so I guess just address the SMC within the Reasons for Decision for the disability (have to propose to reduce the disability even if it doesn’t affect the combined since it affects the SMC level) &amp; maybe add the below line to the Decision line</w:t>
      </w:r>
      <w:r w:rsidRPr="00EA44DF">
        <w:rPr>
          <w:i/>
        </w:rPr>
        <w:t>)</w:t>
      </w:r>
      <w:r>
        <w:t>:</w:t>
      </w: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pPr>
      <w:r>
        <w:t>If the proposed reduction takes effect, your combined evaluation will be unaffected, but you will no longer be entitled to special monthly compensation at the housebound rate, and will only be entitled to special monthly compensation based on the loss of use of a creative organ.</w:t>
      </w: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pP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pPr>
      <w:r w:rsidRPr="00964EE0">
        <w:rPr>
          <w:i/>
        </w:rPr>
        <w:t>Decision:</w:t>
      </w:r>
      <w:r>
        <w:t xml:space="preserve">  The assignment of special monthly compensation is proposed to be decreased to the loss of use level.</w:t>
      </w: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pP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pPr>
      <w:r>
        <w:t>OR do the issue as Free Text</w:t>
      </w: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pP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pPr>
      <w:r>
        <w:t xml:space="preserve">OR try this, from VA Pulse, </w:t>
      </w:r>
      <w:r w:rsidRPr="00552B25">
        <w:rPr>
          <w:i/>
        </w:rPr>
        <w:t>https://www.vapulse.net/thread/36790</w:t>
      </w:r>
      <w:r>
        <w:t>:</w:t>
      </w:r>
    </w:p>
    <w:p w:rsidR="00ED541E" w:rsidRPr="00552B25" w:rsidRDefault="00ED541E" w:rsidP="00ED541E">
      <w:pPr>
        <w:pBdr>
          <w:top w:val="single" w:sz="4" w:space="1" w:color="auto"/>
          <w:left w:val="single" w:sz="4" w:space="1" w:color="auto"/>
          <w:bottom w:val="single" w:sz="4" w:space="1" w:color="auto"/>
          <w:right w:val="single" w:sz="4" w:space="1" w:color="auto"/>
        </w:pBdr>
        <w:tabs>
          <w:tab w:val="left" w:pos="720"/>
        </w:tabs>
        <w:ind w:left="630"/>
      </w:pPr>
      <w:r>
        <w:rPr>
          <w:rFonts w:ascii="AvantGarde" w:hAnsi="AvantGarde" w:cs="Helvetica"/>
          <w:color w:val="3D3D3D"/>
          <w:sz w:val="21"/>
          <w:szCs w:val="21"/>
          <w:lang w:val="en"/>
        </w:rPr>
        <w:t>make SMC an issue in the issue management tab.  Once entering the decision in the paragraph section, edit one of the SMC paragraphs but change nothing and accept.  Then go to the code tab and edit the most recent code line and choose proposed reduction/discontinuance in the supplementary drop down.  If you don't edit a paragraph first, it usually says that a corresponding paragraph was not entered or something to that affect. </w:t>
      </w: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pPr>
    </w:p>
    <w:p w:rsidR="00ED541E" w:rsidRDefault="00ED541E" w:rsidP="00ED541E">
      <w:pPr>
        <w:pBdr>
          <w:top w:val="single" w:sz="4" w:space="1" w:color="auto"/>
          <w:left w:val="single" w:sz="4" w:space="1" w:color="auto"/>
          <w:bottom w:val="single" w:sz="4" w:space="1" w:color="auto"/>
          <w:right w:val="single" w:sz="4" w:space="1" w:color="auto"/>
        </w:pBdr>
        <w:tabs>
          <w:tab w:val="left" w:pos="720"/>
        </w:tabs>
        <w:ind w:left="630"/>
        <w:rPr>
          <w:i/>
          <w:iCs/>
        </w:rPr>
      </w:pPr>
    </w:p>
    <w:p w:rsidR="00ED541E" w:rsidRDefault="00ED541E" w:rsidP="00ED541E">
      <w:pPr>
        <w:widowControl w:val="0"/>
        <w:pBdr>
          <w:top w:val="single" w:sz="4" w:space="1" w:color="auto"/>
          <w:left w:val="single" w:sz="4" w:space="1" w:color="auto"/>
          <w:bottom w:val="single" w:sz="4" w:space="1" w:color="auto"/>
          <w:right w:val="single" w:sz="4" w:space="1" w:color="auto"/>
        </w:pBdr>
        <w:tabs>
          <w:tab w:val="left" w:pos="720"/>
        </w:tabs>
        <w:ind w:left="630"/>
        <w:rPr>
          <w:i/>
          <w:iCs/>
        </w:rPr>
      </w:pPr>
    </w:p>
    <w:p w:rsidR="00ED541E" w:rsidRDefault="00ED541E" w:rsidP="00ED541E">
      <w:pPr>
        <w:widowControl w:val="0"/>
        <w:pBdr>
          <w:top w:val="single" w:sz="4" w:space="1" w:color="auto"/>
          <w:left w:val="single" w:sz="4" w:space="1" w:color="auto"/>
          <w:bottom w:val="single" w:sz="4" w:space="1" w:color="auto"/>
          <w:right w:val="single" w:sz="4" w:space="1" w:color="auto"/>
        </w:pBdr>
        <w:tabs>
          <w:tab w:val="left" w:pos="720"/>
        </w:tabs>
        <w:ind w:left="630"/>
        <w:rPr>
          <w:i/>
          <w:iCs/>
        </w:rPr>
      </w:pPr>
      <w:r>
        <w:rPr>
          <w:i/>
          <w:iCs/>
        </w:rPr>
        <w:t>reduction from housebound to loss of use of creative organ only:</w:t>
      </w:r>
    </w:p>
    <w:p w:rsidR="00ED541E" w:rsidRDefault="00ED541E" w:rsidP="00ED541E">
      <w:pPr>
        <w:widowControl w:val="0"/>
        <w:pBdr>
          <w:top w:val="single" w:sz="4" w:space="1" w:color="auto"/>
          <w:left w:val="single" w:sz="4" w:space="1" w:color="auto"/>
          <w:bottom w:val="single" w:sz="4" w:space="1" w:color="auto"/>
          <w:right w:val="single" w:sz="4" w:space="1" w:color="auto"/>
        </w:pBdr>
        <w:tabs>
          <w:tab w:val="left" w:pos="720"/>
        </w:tabs>
        <w:ind w:left="630"/>
      </w:pPr>
      <w:r>
        <w:t>Entitlement to the current level of special monthly compensation is no longer shown because you no longer have a single service-connected disability rated 100 percent and a separate service-connected disability or disabilities independently rated 60 percent or more. A lower level of special monthly compensation based on loss of use of a creative organ is established from {}.</w:t>
      </w:r>
    </w:p>
    <w:p w:rsidR="00ED541E" w:rsidRPr="005557CE" w:rsidRDefault="00ED541E" w:rsidP="00F063AF">
      <w:pPr>
        <w:pStyle w:val="ListParagraph"/>
        <w:numPr>
          <w:ilvl w:val="0"/>
          <w:numId w:val="144"/>
        </w:numPr>
        <w:spacing w:before="100" w:beforeAutospacing="1" w:after="120" w:line="240" w:lineRule="auto"/>
        <w:rPr>
          <w:rFonts w:ascii="Arial" w:hAnsi="Arial"/>
          <w:sz w:val="20"/>
          <w:szCs w:val="20"/>
        </w:rPr>
      </w:pPr>
      <w:r w:rsidRPr="005557CE">
        <w:rPr>
          <w:rFonts w:ascii="Arial" w:hAnsi="Arial"/>
          <w:b/>
          <w:bCs/>
          <w:sz w:val="20"/>
          <w:szCs w:val="20"/>
          <w:u w:val="single"/>
        </w:rPr>
        <w:t>RVSR Q</w:t>
      </w:r>
      <w:r>
        <w:rPr>
          <w:rFonts w:ascii="Arial" w:hAnsi="Arial"/>
          <w:b/>
          <w:bCs/>
          <w:sz w:val="20"/>
          <w:szCs w:val="20"/>
          <w:u w:val="single"/>
        </w:rPr>
        <w:t>-</w:t>
      </w:r>
      <w:r w:rsidRPr="005557CE">
        <w:rPr>
          <w:rFonts w:ascii="Arial" w:hAnsi="Arial"/>
          <w:b/>
          <w:bCs/>
          <w:sz w:val="20"/>
          <w:szCs w:val="20"/>
          <w:u w:val="single"/>
        </w:rPr>
        <w:t>Tip:</w:t>
      </w:r>
      <w:r>
        <w:rPr>
          <w:rFonts w:ascii="Arial" w:hAnsi="Arial"/>
          <w:b/>
          <w:bCs/>
          <w:sz w:val="20"/>
          <w:szCs w:val="20"/>
          <w:u w:val="single"/>
        </w:rPr>
        <w:t xml:space="preserve"> Final Reduction Effective Date</w:t>
      </w:r>
      <w:r>
        <w:rPr>
          <w:rFonts w:ascii="Arial" w:hAnsi="Arial"/>
          <w:bCs/>
          <w:sz w:val="20"/>
          <w:szCs w:val="20"/>
        </w:rPr>
        <w:t xml:space="preserve"> </w:t>
      </w:r>
      <w:r w:rsidRPr="005557CE">
        <w:rPr>
          <w:rFonts w:ascii="Arial" w:hAnsi="Arial"/>
          <w:bCs/>
          <w:i/>
          <w:sz w:val="20"/>
          <w:szCs w:val="20"/>
        </w:rPr>
        <w:t>(provided to at least one team on 3/26/15)</w:t>
      </w:r>
    </w:p>
    <w:p w:rsidR="00ED541E" w:rsidRPr="005557CE" w:rsidRDefault="00ED541E" w:rsidP="00ED541E">
      <w:pPr>
        <w:spacing w:after="120"/>
        <w:ind w:left="720"/>
      </w:pPr>
      <w:r w:rsidRPr="005557CE">
        <w:t xml:space="preserve">When taking a final reduction in evaluation, follow the guidelines under 3.105(e): </w:t>
      </w:r>
    </w:p>
    <w:p w:rsidR="00ED541E" w:rsidRDefault="00ED541E" w:rsidP="00ED541E">
      <w:pPr>
        <w:spacing w:after="120"/>
        <w:ind w:left="720"/>
        <w:rPr>
          <w:i/>
          <w:iCs/>
        </w:rPr>
      </w:pPr>
      <w:r w:rsidRPr="005557CE">
        <w:rPr>
          <w:i/>
          <w:iCs/>
        </w:rPr>
        <w:t xml:space="preserve">The beneficiary will be notified at his or her latest address of record of the contemplated action and furnished detailed reasons therefore, and will be given 60 days for the presentation of additional evidence to show that compensation payments should be continued at their present level. If additional evidence is not received within that period, final rating action will be taken and the award will be reduced or discontinued effective the last day of the month in which a </w:t>
      </w:r>
      <w:r w:rsidRPr="005557CE">
        <w:rPr>
          <w:b/>
          <w:bCs/>
          <w:i/>
          <w:iCs/>
        </w:rPr>
        <w:t>60-day period from the date of notice to the beneficiary of the final rating action expires</w:t>
      </w:r>
      <w:r w:rsidRPr="005557CE">
        <w:rPr>
          <w:i/>
          <w:iCs/>
        </w:rPr>
        <w:t>.</w:t>
      </w:r>
    </w:p>
    <w:p w:rsidR="00ED541E" w:rsidRDefault="00ED541E" w:rsidP="00ED541E">
      <w:pPr>
        <w:spacing w:after="120"/>
        <w:ind w:left="720"/>
      </w:pPr>
      <w:r w:rsidRPr="005557CE">
        <w:t>For reductions in evaluations, the rule is 60 + 60.  We allow 60 days for due process when we propose to reduce, then allow an additional 60 days before the final reduction takes place.</w:t>
      </w:r>
    </w:p>
    <w:p w:rsidR="00ED541E" w:rsidRDefault="00ED541E" w:rsidP="00ED541E">
      <w:pPr>
        <w:spacing w:after="120"/>
        <w:ind w:left="720"/>
      </w:pPr>
      <w:r w:rsidRPr="005557CE">
        <w:t>Please Note: This rule does not apply to other due process issues such as failure to return VAF 4140 or incompetency rating.</w:t>
      </w:r>
    </w:p>
    <w:p w:rsidR="00ED541E" w:rsidRDefault="00ED541E" w:rsidP="00ED541E">
      <w:pPr>
        <w:spacing w:after="120"/>
        <w:ind w:left="720"/>
      </w:pPr>
      <w:r w:rsidRPr="005557CE">
        <w:rPr>
          <w:b/>
          <w:bCs/>
        </w:rPr>
        <w:t>Example:</w:t>
      </w:r>
      <w:r w:rsidRPr="005557CE">
        <w:t xml:space="preserve"> The Veteran is service-connected with a combined evaluation of 70 percent. A 60 percent evaluation is assigned for chronic obstructive pulmonary disease and a 30 percent evaluation is assigned for gall bladder removal. The current evidence supports a 10 percent evaluation for the gall bladder removal. You are required to prepare a proposal rating because a reduction decision will reduce the combined evaluation from 70 to 60 percent (the monthly payment will be reduced). On January 9, 2015, you prepare and send a proposal rating and a notification letter on the same date, giving the Veteran 60 days to reply.  On March 18, 2015 you review the claim folder. As no additional evidence was submitted, you prepare and send a final rating and a notification letter on the same date, reducing the gall bladder evaluation to 10 percent effective and the combined evaluation to 60 percent.</w:t>
      </w:r>
    </w:p>
    <w:p w:rsidR="00ED541E" w:rsidRPr="005557CE" w:rsidRDefault="00ED541E" w:rsidP="00ED541E">
      <w:pPr>
        <w:spacing w:after="120"/>
        <w:ind w:left="720"/>
      </w:pPr>
      <w:r w:rsidRPr="005557CE">
        <w:rPr>
          <w:b/>
          <w:bCs/>
          <w:u w:val="single"/>
        </w:rPr>
        <w:t>Answer</w:t>
      </w:r>
      <w:r w:rsidRPr="005557CE">
        <w:t>: June 1, 2015, the date of reduction of evaluations. This effective date is based on the assumption that the award will be processed in March 201</w:t>
      </w:r>
      <w:r w:rsidRPr="005557CE">
        <w:rPr>
          <w:color w:val="000000"/>
        </w:rPr>
        <w:t>5</w:t>
      </w:r>
      <w:r w:rsidRPr="005557CE">
        <w:t xml:space="preserve"> and the notification letter will be sent the same month.</w:t>
      </w:r>
    </w:p>
    <w:p w:rsidR="00ED541E" w:rsidRDefault="00ED541E" w:rsidP="00ED541E">
      <w:pPr>
        <w:pBdr>
          <w:bottom w:val="single" w:sz="4" w:space="1" w:color="auto"/>
        </w:pBdr>
        <w:spacing w:after="120"/>
        <w:ind w:left="720"/>
      </w:pPr>
      <w:r w:rsidRPr="005557CE">
        <w:rPr>
          <w:b/>
          <w:bCs/>
          <w:i/>
          <w:iCs/>
        </w:rPr>
        <w:t xml:space="preserve">References:  </w:t>
      </w:r>
      <w:r w:rsidRPr="002E2D9E">
        <w:t>38 CFR §3.105(e) Revision of decisions; Reduction in evaluation-compensation</w:t>
      </w:r>
      <w:bookmarkStart w:id="148" w:name="_MailEndCompose"/>
      <w:bookmarkEnd w:id="148"/>
    </w:p>
    <w:p w:rsidR="00ED541E" w:rsidRPr="005557CE" w:rsidRDefault="00ED541E" w:rsidP="00ED541E">
      <w:pPr>
        <w:pBdr>
          <w:bottom w:val="single" w:sz="4" w:space="1" w:color="auto"/>
        </w:pBdr>
        <w:spacing w:after="120"/>
        <w:ind w:left="720"/>
        <w:rPr>
          <w:color w:val="000000"/>
        </w:rPr>
      </w:pPr>
    </w:p>
    <w:p w:rsidR="005740C9" w:rsidRDefault="005740C9" w:rsidP="00ED541E">
      <w:pPr>
        <w:pBdr>
          <w:bottom w:val="single" w:sz="4" w:space="1" w:color="auto"/>
        </w:pBdr>
        <w:overflowPunct/>
        <w:autoSpaceDE/>
        <w:autoSpaceDN/>
        <w:adjustRightInd/>
        <w:textAlignment w:val="auto"/>
        <w:rPr>
          <w:b/>
          <w:bCs/>
          <w:i/>
          <w:iCs/>
          <w:sz w:val="22"/>
        </w:rPr>
      </w:pPr>
      <w:r>
        <w:rPr>
          <w:b/>
          <w:bCs/>
          <w:i/>
          <w:iCs/>
          <w:sz w:val="22"/>
        </w:rPr>
        <w:br w:type="page"/>
      </w:r>
    </w:p>
    <w:p w:rsidR="005740C9" w:rsidRDefault="005740C9">
      <w:pPr>
        <w:widowControl w:val="0"/>
        <w:pBdr>
          <w:top w:val="double" w:sz="4" w:space="1" w:color="auto"/>
        </w:pBdr>
        <w:tabs>
          <w:tab w:val="left" w:pos="0"/>
          <w:tab w:val="left" w:pos="144"/>
        </w:tabs>
        <w:rPr>
          <w:b/>
          <w:bCs/>
          <w:i/>
          <w:iCs/>
          <w:sz w:val="22"/>
        </w:rPr>
      </w:pPr>
    </w:p>
    <w:p w:rsidR="004D429B" w:rsidRDefault="004D429B" w:rsidP="004D429B">
      <w:pPr>
        <w:widowControl w:val="0"/>
        <w:pBdr>
          <w:top w:val="double" w:sz="4" w:space="1" w:color="auto"/>
        </w:pBdr>
        <w:tabs>
          <w:tab w:val="left" w:pos="0"/>
          <w:tab w:val="left" w:pos="144"/>
        </w:tabs>
        <w:rPr>
          <w:b/>
          <w:bCs/>
          <w:i/>
          <w:iCs/>
          <w:sz w:val="22"/>
        </w:rPr>
      </w:pPr>
      <w:bookmarkStart w:id="149" w:name="Other"/>
    </w:p>
    <w:p w:rsidR="00013EB8" w:rsidRDefault="00013EB8">
      <w:pPr>
        <w:widowControl w:val="0"/>
        <w:tabs>
          <w:tab w:val="left" w:pos="0"/>
          <w:tab w:val="left" w:pos="144"/>
        </w:tabs>
        <w:rPr>
          <w:b/>
          <w:bCs/>
          <w:i/>
          <w:iCs/>
          <w:sz w:val="22"/>
        </w:rPr>
      </w:pPr>
      <w:r>
        <w:rPr>
          <w:b/>
          <w:bCs/>
          <w:i/>
          <w:iCs/>
          <w:sz w:val="22"/>
        </w:rPr>
        <w:t>OTHER DECISIONS –</w:t>
      </w:r>
    </w:p>
    <w:bookmarkEnd w:id="149"/>
    <w:p w:rsidR="00013EB8" w:rsidRDefault="00013EB8">
      <w:pPr>
        <w:widowControl w:val="0"/>
        <w:rPr>
          <w:b/>
          <w:bCs/>
          <w:i/>
          <w:iCs/>
          <w:sz w:val="22"/>
        </w:rPr>
      </w:pPr>
    </w:p>
    <w:p w:rsidR="00013EB8" w:rsidRDefault="00013EB8">
      <w:pPr>
        <w:widowControl w:val="0"/>
        <w:pBdr>
          <w:top w:val="single" w:sz="4" w:space="1" w:color="auto"/>
        </w:pBdr>
        <w:rPr>
          <w:b/>
          <w:bCs/>
          <w:i/>
          <w:iCs/>
          <w:sz w:val="22"/>
        </w:rPr>
      </w:pPr>
    </w:p>
    <w:p w:rsidR="00013EB8" w:rsidRDefault="00013EB8">
      <w:pPr>
        <w:widowControl w:val="0"/>
        <w:rPr>
          <w:b/>
          <w:bCs/>
          <w:i/>
          <w:iCs/>
          <w:sz w:val="22"/>
        </w:rPr>
      </w:pPr>
      <w:bookmarkStart w:id="150" w:name="IU"/>
      <w:r>
        <w:rPr>
          <w:b/>
          <w:bCs/>
          <w:i/>
          <w:iCs/>
          <w:sz w:val="22"/>
        </w:rPr>
        <w:t>Individual Unemployability (IU) –</w:t>
      </w:r>
    </w:p>
    <w:bookmarkEnd w:id="150"/>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rsidTr="00996310">
        <w:trPr>
          <w:trHeight w:val="7290"/>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3.340</w:t>
            </w:r>
          </w:p>
        </w:tc>
        <w:tc>
          <w:tcPr>
            <w:tcW w:w="10270" w:type="dxa"/>
            <w:tcBorders>
              <w:top w:val="nil"/>
              <w:left w:val="nil"/>
              <w:bottom w:val="nil"/>
              <w:right w:val="nil"/>
            </w:tcBorders>
          </w:tcPr>
          <w:p w:rsidR="00013EB8" w:rsidRDefault="00013EB8">
            <w:pPr>
              <w:widowControl w:val="0"/>
              <w:numPr>
                <w:ilvl w:val="12"/>
                <w:numId w:val="0"/>
              </w:numPr>
              <w:tabs>
                <w:tab w:val="left" w:pos="0"/>
              </w:tabs>
              <w:spacing w:after="120"/>
              <w:rPr>
                <w:i/>
              </w:rPr>
            </w:pPr>
            <w:r>
              <w:rPr>
                <w:b/>
              </w:rPr>
              <w:t>Total and permanent total ratings and unemployability</w:t>
            </w:r>
            <w:r>
              <w:t xml:space="preserve"> –</w:t>
            </w:r>
          </w:p>
          <w:p w:rsidR="00F41556" w:rsidRPr="00F41556" w:rsidRDefault="00F41556" w:rsidP="00691877">
            <w:pPr>
              <w:pStyle w:val="BodyText"/>
              <w:widowControl w:val="0"/>
              <w:numPr>
                <w:ilvl w:val="0"/>
                <w:numId w:val="42"/>
              </w:numPr>
              <w:spacing w:after="120"/>
              <w:rPr>
                <w:sz w:val="16"/>
              </w:rPr>
            </w:pPr>
            <w:r w:rsidRPr="00F41556">
              <w:rPr>
                <w:b/>
                <w:sz w:val="20"/>
              </w:rPr>
              <w:t>III.iv.5.C.5</w:t>
            </w:r>
            <w:r>
              <w:rPr>
                <w:b/>
                <w:sz w:val="20"/>
              </w:rPr>
              <w:t>.c &amp; III.iv.5.C.5.d</w:t>
            </w:r>
            <w:r>
              <w:rPr>
                <w:sz w:val="20"/>
              </w:rPr>
              <w:t xml:space="preserve"> – effective dates for IU under 3.400(o)(2)</w:t>
            </w:r>
          </w:p>
          <w:p w:rsidR="000B73BC" w:rsidRPr="008F132E" w:rsidRDefault="000B73BC" w:rsidP="00691877">
            <w:pPr>
              <w:pStyle w:val="BodyText"/>
              <w:widowControl w:val="0"/>
              <w:numPr>
                <w:ilvl w:val="0"/>
                <w:numId w:val="42"/>
              </w:numPr>
              <w:spacing w:after="120"/>
              <w:rPr>
                <w:sz w:val="20"/>
              </w:rPr>
            </w:pPr>
            <w:r w:rsidRPr="00DC7E42">
              <w:rPr>
                <w:b/>
                <w:iCs/>
                <w:sz w:val="20"/>
              </w:rPr>
              <w:t>III.iv.6.B</w:t>
            </w:r>
            <w:r w:rsidRPr="000B73BC">
              <w:rPr>
                <w:sz w:val="20"/>
              </w:rPr>
              <w:t xml:space="preserve"> – inferred issues, </w:t>
            </w:r>
            <w:r w:rsidR="00A10388">
              <w:rPr>
                <w:i/>
                <w:sz w:val="20"/>
              </w:rPr>
              <w:t>do not infer to deny</w:t>
            </w:r>
          </w:p>
          <w:p w:rsidR="008F132E" w:rsidRPr="008F132E" w:rsidRDefault="008F132E" w:rsidP="00691877">
            <w:pPr>
              <w:pStyle w:val="BodyText"/>
              <w:widowControl w:val="0"/>
              <w:numPr>
                <w:ilvl w:val="0"/>
                <w:numId w:val="42"/>
              </w:numPr>
              <w:spacing w:after="120"/>
              <w:rPr>
                <w:sz w:val="20"/>
              </w:rPr>
            </w:pPr>
            <w:r>
              <w:rPr>
                <w:b/>
                <w:iCs/>
                <w:sz w:val="20"/>
              </w:rPr>
              <w:t>III.v.8.A.2.b</w:t>
            </w:r>
            <w:r>
              <w:rPr>
                <w:iCs/>
                <w:sz w:val="20"/>
              </w:rPr>
              <w:t xml:space="preserve"> – IU &amp; incarceration (deny if would first become effective will incarcerated for felony)</w:t>
            </w:r>
          </w:p>
          <w:p w:rsidR="00C47C86" w:rsidRPr="00F7214B" w:rsidRDefault="001F5E16"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F7214B">
              <w:rPr>
                <w:b/>
                <w:bCs/>
              </w:rPr>
              <w:t>IV.ii.2.F</w:t>
            </w:r>
            <w:r w:rsidR="0092028B" w:rsidRPr="00F7214B">
              <w:rPr>
                <w:rStyle w:val="Hyperlink"/>
                <w:bCs/>
                <w:color w:val="auto"/>
                <w:u w:val="none"/>
              </w:rPr>
              <w:t xml:space="preserve"> </w:t>
            </w:r>
            <w:r w:rsidR="0092028B" w:rsidRPr="00F7214B">
              <w:rPr>
                <w:iCs/>
              </w:rPr>
              <w:t xml:space="preserve">- </w:t>
            </w:r>
          </w:p>
          <w:p w:rsidR="007C3224" w:rsidRPr="007C3224" w:rsidRDefault="007C3224" w:rsidP="00C47C86">
            <w:pPr>
              <w:pStyle w:val="BodyTextIndent3"/>
              <w:widowControl w:val="0"/>
              <w:numPr>
                <w:ilvl w:val="1"/>
                <w:numId w:val="42"/>
              </w:numPr>
              <w:pBdr>
                <w:top w:val="none" w:sz="0" w:space="0" w:color="auto"/>
                <w:left w:val="none" w:sz="0" w:space="0" w:color="auto"/>
                <w:bottom w:val="none" w:sz="0" w:space="0" w:color="auto"/>
                <w:right w:val="none" w:sz="0" w:space="0" w:color="auto"/>
              </w:pBdr>
              <w:tabs>
                <w:tab w:val="clear" w:pos="1440"/>
                <w:tab w:val="num" w:pos="780"/>
              </w:tabs>
              <w:spacing w:after="120"/>
              <w:ind w:left="780"/>
            </w:pPr>
            <w:r w:rsidRPr="007C3224">
              <w:rPr>
                <w:b/>
              </w:rPr>
              <w:t>IV.ii.2.F.1.d</w:t>
            </w:r>
            <w:r w:rsidR="00EC02D9" w:rsidRPr="00EC02D9">
              <w:t xml:space="preserve"> &amp;</w:t>
            </w:r>
            <w:r w:rsidR="00EC02D9">
              <w:rPr>
                <w:b/>
              </w:rPr>
              <w:t xml:space="preserve"> IV.ii.2.F.1.e</w:t>
            </w:r>
            <w:r>
              <w:t xml:space="preserve"> – marginal employment</w:t>
            </w:r>
          </w:p>
          <w:p w:rsidR="006B6E8B" w:rsidRPr="00F7214B" w:rsidRDefault="006B6E8B" w:rsidP="00C47C86">
            <w:pPr>
              <w:pStyle w:val="BodyTextIndent3"/>
              <w:widowControl w:val="0"/>
              <w:numPr>
                <w:ilvl w:val="1"/>
                <w:numId w:val="42"/>
              </w:numPr>
              <w:pBdr>
                <w:top w:val="none" w:sz="0" w:space="0" w:color="auto"/>
                <w:left w:val="none" w:sz="0" w:space="0" w:color="auto"/>
                <w:bottom w:val="none" w:sz="0" w:space="0" w:color="auto"/>
                <w:right w:val="none" w:sz="0" w:space="0" w:color="auto"/>
              </w:pBdr>
              <w:tabs>
                <w:tab w:val="clear" w:pos="1440"/>
                <w:tab w:val="num" w:pos="780"/>
              </w:tabs>
              <w:spacing w:after="120"/>
              <w:ind w:left="780"/>
            </w:pPr>
            <w:r w:rsidRPr="00F7214B">
              <w:rPr>
                <w:b/>
              </w:rPr>
              <w:t>IV.ii.2.F.2.e</w:t>
            </w:r>
            <w:r w:rsidRPr="00F7214B">
              <w:t xml:space="preserve"> – still have to rate evaluations &amp; IU even without work history</w:t>
            </w:r>
          </w:p>
          <w:p w:rsidR="00C47C86" w:rsidRPr="00F7214B" w:rsidRDefault="00C47C86" w:rsidP="00C47C86">
            <w:pPr>
              <w:pStyle w:val="BodyTextIndent3"/>
              <w:widowControl w:val="0"/>
              <w:numPr>
                <w:ilvl w:val="1"/>
                <w:numId w:val="42"/>
              </w:numPr>
              <w:pBdr>
                <w:top w:val="none" w:sz="0" w:space="0" w:color="auto"/>
                <w:left w:val="none" w:sz="0" w:space="0" w:color="auto"/>
                <w:bottom w:val="none" w:sz="0" w:space="0" w:color="auto"/>
                <w:right w:val="none" w:sz="0" w:space="0" w:color="auto"/>
              </w:pBdr>
              <w:tabs>
                <w:tab w:val="clear" w:pos="1440"/>
                <w:tab w:val="num" w:pos="780"/>
              </w:tabs>
              <w:spacing w:after="120"/>
              <w:ind w:left="780"/>
            </w:pPr>
            <w:r w:rsidRPr="00F7214B">
              <w:rPr>
                <w:b/>
              </w:rPr>
              <w:t>IV.ii.2.F.2.f</w:t>
            </w:r>
            <w:r w:rsidRPr="00F7214B">
              <w:t xml:space="preserve"> - if there is an entry that covers fewer than 5 years, assume it is the entire work history unless inconsistent with other evidence (if inconsistent, call to clarify)</w:t>
            </w:r>
          </w:p>
          <w:p w:rsidR="0092028B" w:rsidRPr="00F7214B" w:rsidRDefault="00C47C86" w:rsidP="00C47C86">
            <w:pPr>
              <w:pStyle w:val="BodyTextIndent3"/>
              <w:widowControl w:val="0"/>
              <w:numPr>
                <w:ilvl w:val="1"/>
                <w:numId w:val="42"/>
              </w:numPr>
              <w:pBdr>
                <w:top w:val="none" w:sz="0" w:space="0" w:color="auto"/>
                <w:left w:val="none" w:sz="0" w:space="0" w:color="auto"/>
                <w:bottom w:val="none" w:sz="0" w:space="0" w:color="auto"/>
                <w:right w:val="none" w:sz="0" w:space="0" w:color="auto"/>
              </w:pBdr>
              <w:tabs>
                <w:tab w:val="clear" w:pos="1440"/>
                <w:tab w:val="num" w:pos="780"/>
              </w:tabs>
              <w:spacing w:after="120"/>
              <w:ind w:left="780"/>
              <w:rPr>
                <w:rStyle w:val="Hyperlink"/>
                <w:color w:val="auto"/>
                <w:u w:val="none"/>
              </w:rPr>
            </w:pPr>
            <w:r w:rsidRPr="00F7214B">
              <w:rPr>
                <w:b/>
              </w:rPr>
              <w:t>IV.ii.2.F.2.g</w:t>
            </w:r>
            <w:r w:rsidRPr="00F7214B">
              <w:t xml:space="preserve"> - </w:t>
            </w:r>
            <w:r w:rsidR="0092028B" w:rsidRPr="00F7214B">
              <w:rPr>
                <w:iCs/>
              </w:rPr>
              <w:t>send 21-4192 to employer</w:t>
            </w:r>
            <w:r w:rsidR="00EE3625" w:rsidRPr="00F7214B">
              <w:rPr>
                <w:iCs/>
              </w:rPr>
              <w:t xml:space="preserve">(s) during </w:t>
            </w:r>
            <w:r w:rsidR="00EE3625" w:rsidRPr="00F7214B">
              <w:rPr>
                <w:iCs/>
                <w:u w:val="single"/>
              </w:rPr>
              <w:t>last year</w:t>
            </w:r>
            <w:r w:rsidR="00EE3625" w:rsidRPr="00F7214B">
              <w:rPr>
                <w:iCs/>
              </w:rPr>
              <w:t xml:space="preserve"> of employment</w:t>
            </w:r>
            <w:r w:rsidR="00190E48" w:rsidRPr="00F7214B">
              <w:rPr>
                <w:iCs/>
              </w:rPr>
              <w:t xml:space="preserve"> (no need to send 4192 if veteran says they are no longer in business)</w:t>
            </w:r>
            <w:r w:rsidR="00115AB8" w:rsidRPr="00F7214B">
              <w:rPr>
                <w:iCs/>
              </w:rPr>
              <w:t xml:space="preserve">, also says </w:t>
            </w:r>
            <w:r w:rsidR="00115AB8" w:rsidRPr="00F7214B">
              <w:rPr>
                <w:iCs/>
                <w:highlight w:val="cyan"/>
              </w:rPr>
              <w:t>follow up if returned form says veteran</w:t>
            </w:r>
            <w:r w:rsidR="009807C5" w:rsidRPr="00F7214B">
              <w:rPr>
                <w:iCs/>
                <w:highlight w:val="cyan"/>
              </w:rPr>
              <w:t xml:space="preserve"> </w:t>
            </w:r>
            <w:r w:rsidR="009807C5" w:rsidRPr="00F7214B">
              <w:rPr>
                <w:b/>
                <w:iCs/>
                <w:highlight w:val="cyan"/>
              </w:rPr>
              <w:t>RETIRED</w:t>
            </w:r>
            <w:r w:rsidR="009807C5" w:rsidRPr="00F7214B">
              <w:rPr>
                <w:iCs/>
                <w:highlight w:val="cyan"/>
              </w:rPr>
              <w:t xml:space="preserve"> </w:t>
            </w:r>
            <w:r w:rsidR="00B44E74" w:rsidRPr="00F7214B">
              <w:rPr>
                <w:iCs/>
                <w:highlight w:val="cyan"/>
              </w:rPr>
              <w:t xml:space="preserve">(ask if retired by reason of disability &amp; if so, </w:t>
            </w:r>
            <w:r w:rsidR="009D1309" w:rsidRPr="00F7214B">
              <w:rPr>
                <w:iCs/>
                <w:highlight w:val="cyan"/>
              </w:rPr>
              <w:t>a</w:t>
            </w:r>
            <w:r w:rsidR="009807C5" w:rsidRPr="00F7214B">
              <w:rPr>
                <w:iCs/>
                <w:highlight w:val="cyan"/>
              </w:rPr>
              <w:t>sk to identify nature of disability)</w:t>
            </w:r>
            <w:r w:rsidR="00EE3625" w:rsidRPr="00F7214B">
              <w:rPr>
                <w:iCs/>
              </w:rPr>
              <w:t xml:space="preserve">; </w:t>
            </w:r>
            <w:r w:rsidR="0092028B" w:rsidRPr="00F7214B">
              <w:t>unemployable if stop working from disability &amp; unable to secure further employment, even if tried &amp; was unsuccessful</w:t>
            </w:r>
            <w:r w:rsidR="007F0F33" w:rsidRPr="00F7214B">
              <w:t>;</w:t>
            </w:r>
            <w:r w:rsidR="003D60A0" w:rsidRPr="00F7214B">
              <w:t xml:space="preserve"> </w:t>
            </w:r>
            <w:r w:rsidR="003D60A0" w:rsidRPr="00AC7CBF">
              <w:rPr>
                <w:u w:val="single"/>
              </w:rPr>
              <w:t>1</w:t>
            </w:r>
            <w:r w:rsidR="003D60A0" w:rsidRPr="00F7214B">
              <w:rPr>
                <w:u w:val="single"/>
              </w:rPr>
              <w:t>5 days for initial &amp; 15 for follow-up</w:t>
            </w:r>
            <w:r w:rsidR="00E2489D" w:rsidRPr="00F7214B">
              <w:rPr>
                <w:rFonts w:ascii="Helvetica" w:hAnsi="Helvetica"/>
                <w:lang w:val="en"/>
              </w:rPr>
              <w:t xml:space="preserve">; appeals with IU / intertwined, </w:t>
            </w:r>
            <w:hyperlink r:id="rId671" w:history="1">
              <w:r w:rsidR="007E2A81" w:rsidRPr="00F7214B">
                <w:rPr>
                  <w:rStyle w:val="Hyperlink"/>
                  <w:rFonts w:ascii="Helvetica" w:hAnsi="Helvetica"/>
                  <w:i/>
                  <w:color w:val="auto"/>
                  <w:lang w:val="en"/>
                </w:rPr>
                <w:t>https://www.vapulse.net/message/34973</w:t>
              </w:r>
            </w:hyperlink>
            <w:r w:rsidR="007F2B02">
              <w:rPr>
                <w:rStyle w:val="Hyperlink"/>
                <w:rFonts w:ascii="Helvetica" w:hAnsi="Helvetica"/>
                <w:color w:val="auto"/>
                <w:u w:val="none"/>
                <w:lang w:val="en"/>
              </w:rPr>
              <w:t xml:space="preserve"> (also see </w:t>
            </w:r>
            <w:r w:rsidR="007F2B02" w:rsidRPr="00430EBF">
              <w:rPr>
                <w:rStyle w:val="Hyperlink"/>
                <w:b/>
                <w:color w:val="auto"/>
                <w:u w:val="none"/>
              </w:rPr>
              <w:t>IV.ii.2.F</w:t>
            </w:r>
            <w:r w:rsidR="007F2B02">
              <w:rPr>
                <w:rStyle w:val="Hyperlink"/>
                <w:rFonts w:ascii="Helvetica" w:hAnsi="Helvetica"/>
                <w:color w:val="auto"/>
                <w:u w:val="none"/>
                <w:lang w:val="en"/>
              </w:rPr>
              <w:t xml:space="preserve"> &amp; notes under “Appeals References”)</w:t>
            </w:r>
          </w:p>
          <w:p w:rsidR="00C47C86" w:rsidRPr="00F7214B" w:rsidRDefault="00C47C86" w:rsidP="00C47C86">
            <w:pPr>
              <w:pStyle w:val="BodyTextIndent3"/>
              <w:widowControl w:val="0"/>
              <w:numPr>
                <w:ilvl w:val="1"/>
                <w:numId w:val="42"/>
              </w:numPr>
              <w:pBdr>
                <w:top w:val="none" w:sz="0" w:space="0" w:color="auto"/>
                <w:left w:val="none" w:sz="0" w:space="0" w:color="auto"/>
                <w:bottom w:val="none" w:sz="0" w:space="0" w:color="auto"/>
                <w:right w:val="none" w:sz="0" w:space="0" w:color="auto"/>
              </w:pBdr>
              <w:tabs>
                <w:tab w:val="clear" w:pos="1440"/>
                <w:tab w:val="num" w:pos="780"/>
              </w:tabs>
              <w:spacing w:after="120"/>
              <w:ind w:left="780"/>
            </w:pPr>
            <w:r w:rsidRPr="00F7214B">
              <w:rPr>
                <w:b/>
                <w:iCs/>
              </w:rPr>
              <w:t>IV.ii.2.F.2.h</w:t>
            </w:r>
            <w:r w:rsidRPr="00F7214B">
              <w:rPr>
                <w:iCs/>
              </w:rPr>
              <w:t xml:space="preserve"> – if just says “ALL SC disabilities</w:t>
            </w:r>
            <w:r w:rsidR="001946CC">
              <w:rPr>
                <w:iCs/>
              </w:rPr>
              <w:t>,”</w:t>
            </w:r>
            <w:r w:rsidRPr="00F7214B">
              <w:rPr>
                <w:iCs/>
              </w:rPr>
              <w:t xml:space="preserve"> address all or call to clarify</w:t>
            </w:r>
            <w:r w:rsidR="00790F84">
              <w:rPr>
                <w:iCs/>
              </w:rPr>
              <w:t xml:space="preserve">; </w:t>
            </w:r>
            <w:r w:rsidR="00790F84">
              <w:t xml:space="preserve">NSC issues listed on 8940 are a Request for Application (RFA), then updated </w:t>
            </w:r>
            <w:r w:rsidR="00790F84" w:rsidRPr="00F96445">
              <w:t>1/17/17</w:t>
            </w:r>
            <w:r w:rsidR="00790F84">
              <w:t xml:space="preserve"> &amp; 8/1/17 treat as reconsideration if notified of denial within last year (different if filed before 3/24/15, see chart)</w:t>
            </w:r>
          </w:p>
          <w:p w:rsidR="00060ED5" w:rsidRPr="00BB184F" w:rsidRDefault="00060ED5" w:rsidP="00C47C86">
            <w:pPr>
              <w:pStyle w:val="BodyTextIndent3"/>
              <w:widowControl w:val="0"/>
              <w:numPr>
                <w:ilvl w:val="1"/>
                <w:numId w:val="42"/>
              </w:numPr>
              <w:pBdr>
                <w:top w:val="none" w:sz="0" w:space="0" w:color="auto"/>
                <w:left w:val="none" w:sz="0" w:space="0" w:color="auto"/>
                <w:bottom w:val="none" w:sz="0" w:space="0" w:color="auto"/>
                <w:right w:val="none" w:sz="0" w:space="0" w:color="auto"/>
              </w:pBdr>
              <w:tabs>
                <w:tab w:val="clear" w:pos="1440"/>
                <w:tab w:val="num" w:pos="780"/>
              </w:tabs>
              <w:spacing w:after="120"/>
              <w:ind w:left="780"/>
            </w:pPr>
            <w:r w:rsidRPr="00F7214B">
              <w:rPr>
                <w:b/>
                <w:iCs/>
              </w:rPr>
              <w:t xml:space="preserve">IV.ii.2.F.2.j </w:t>
            </w:r>
            <w:r w:rsidRPr="00F7214B">
              <w:rPr>
                <w:iCs/>
              </w:rPr>
              <w:t>– need to get VR&amp;E records</w:t>
            </w:r>
            <w:r w:rsidR="00BB184F">
              <w:rPr>
                <w:iCs/>
              </w:rPr>
              <w:t xml:space="preserve"> (unless veteran does not return 8940)</w:t>
            </w:r>
          </w:p>
          <w:p w:rsidR="00BB184F" w:rsidRPr="00BB184F" w:rsidRDefault="001457F6" w:rsidP="00BB184F">
            <w:pPr>
              <w:pStyle w:val="BodyTextIndent3"/>
              <w:widowControl w:val="0"/>
              <w:numPr>
                <w:ilvl w:val="1"/>
                <w:numId w:val="42"/>
              </w:numPr>
              <w:pBdr>
                <w:top w:val="none" w:sz="0" w:space="0" w:color="auto"/>
                <w:left w:val="none" w:sz="0" w:space="0" w:color="auto"/>
                <w:bottom w:val="none" w:sz="0" w:space="0" w:color="auto"/>
                <w:right w:val="none" w:sz="0" w:space="0" w:color="auto"/>
              </w:pBdr>
              <w:tabs>
                <w:tab w:val="clear" w:pos="1440"/>
                <w:tab w:val="left" w:pos="0"/>
                <w:tab w:val="left" w:pos="144"/>
                <w:tab w:val="num" w:pos="780"/>
              </w:tabs>
              <w:spacing w:after="120"/>
              <w:ind w:left="780"/>
            </w:pPr>
            <w:r>
              <w:rPr>
                <w:b/>
                <w:iCs/>
              </w:rPr>
              <w:t>IV.ii.2.F.4</w:t>
            </w:r>
            <w:r w:rsidR="00BB184F" w:rsidRPr="00BB184F">
              <w:rPr>
                <w:b/>
                <w:iCs/>
              </w:rPr>
              <w:t xml:space="preserve">.i </w:t>
            </w:r>
            <w:r w:rsidR="00BB184F" w:rsidRPr="00BB184F">
              <w:rPr>
                <w:iCs/>
              </w:rPr>
              <w:t>– temporary or permanent 100% evals with IU (don’t close-out IU unless discontinuance warranted under 3.343, which is only if they have gainful employment)</w:t>
            </w:r>
          </w:p>
          <w:p w:rsidR="00BB184F" w:rsidRPr="00F7214B" w:rsidRDefault="001457F6" w:rsidP="00BB184F">
            <w:pPr>
              <w:pStyle w:val="BodyTextIndent3"/>
              <w:widowControl w:val="0"/>
              <w:numPr>
                <w:ilvl w:val="1"/>
                <w:numId w:val="42"/>
              </w:numPr>
              <w:pBdr>
                <w:top w:val="none" w:sz="0" w:space="0" w:color="auto"/>
                <w:left w:val="none" w:sz="0" w:space="0" w:color="auto"/>
                <w:bottom w:val="none" w:sz="0" w:space="0" w:color="auto"/>
                <w:right w:val="none" w:sz="0" w:space="0" w:color="auto"/>
              </w:pBdr>
              <w:tabs>
                <w:tab w:val="clear" w:pos="1440"/>
                <w:tab w:val="left" w:pos="0"/>
                <w:tab w:val="left" w:pos="144"/>
                <w:tab w:val="num" w:pos="780"/>
              </w:tabs>
              <w:spacing w:after="120"/>
              <w:ind w:left="780"/>
            </w:pPr>
            <w:r>
              <w:rPr>
                <w:b/>
              </w:rPr>
              <w:t>IV.ii.2.F</w:t>
            </w:r>
            <w:r w:rsidR="00BB184F" w:rsidRPr="00BB184F">
              <w:rPr>
                <w:b/>
              </w:rPr>
              <w:t>.9.b</w:t>
            </w:r>
            <w:r w:rsidR="00BB184F">
              <w:t xml:space="preserve"> – poverty thresholds</w:t>
            </w:r>
          </w:p>
          <w:p w:rsidR="007E2A81" w:rsidRPr="00054181" w:rsidRDefault="007E2A81" w:rsidP="007E2A81">
            <w:pPr>
              <w:pBdr>
                <w:top w:val="single" w:sz="4" w:space="1" w:color="auto"/>
                <w:left w:val="single" w:sz="4" w:space="4" w:color="auto"/>
                <w:bottom w:val="single" w:sz="4" w:space="1" w:color="auto"/>
                <w:right w:val="single" w:sz="4" w:space="4" w:color="auto"/>
              </w:pBdr>
              <w:tabs>
                <w:tab w:val="left" w:pos="720"/>
              </w:tabs>
              <w:ind w:left="240" w:right="160"/>
            </w:pPr>
            <w:r w:rsidRPr="00054181">
              <w:rPr>
                <w:bCs/>
              </w:rPr>
              <w:t xml:space="preserve">The veteran reported self-employment from </w:t>
            </w:r>
            <w:r>
              <w:rPr>
                <w:bCs/>
              </w:rPr>
              <w:t>{}</w:t>
            </w:r>
            <w:r w:rsidRPr="00054181">
              <w:rPr>
                <w:bCs/>
              </w:rPr>
              <w:t xml:space="preserve">. We </w:t>
            </w:r>
            <w:r>
              <w:rPr>
                <w:bCs/>
              </w:rPr>
              <w:t>need to</w:t>
            </w:r>
            <w:r w:rsidRPr="00054181">
              <w:rPr>
                <w:bCs/>
              </w:rPr>
              <w:t xml:space="preserve"> request his self-employment information, per IV.ii.2.F.3.a.</w:t>
            </w:r>
          </w:p>
          <w:p w:rsidR="007E2A81" w:rsidRPr="00DE01EB" w:rsidRDefault="007E2A81" w:rsidP="007E2A81">
            <w:pPr>
              <w:pStyle w:val="BodyTextIndent3"/>
              <w:widowControl w:val="0"/>
              <w:pBdr>
                <w:top w:val="none" w:sz="0" w:space="0" w:color="auto"/>
                <w:left w:val="none" w:sz="0" w:space="0" w:color="auto"/>
                <w:bottom w:val="none" w:sz="0" w:space="0" w:color="auto"/>
                <w:right w:val="none" w:sz="0" w:space="0" w:color="auto"/>
              </w:pBdr>
              <w:spacing w:after="120"/>
              <w:ind w:left="360" w:firstLine="0"/>
              <w:rPr>
                <w:color w:val="FF0000"/>
              </w:rPr>
            </w:pPr>
          </w:p>
          <w:p w:rsidR="00224E7B" w:rsidRPr="0092028B"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rPr>
                <w:i/>
              </w:rPr>
            </w:pPr>
            <w:r w:rsidRPr="00B73089">
              <w:rPr>
                <w:b/>
                <w:i/>
                <w:iCs/>
              </w:rPr>
              <w:t>Moore v. Derwinski</w:t>
            </w:r>
            <w:r w:rsidRPr="00224E7B">
              <w:t xml:space="preserve"> (1991) - The term “substantially gainful occupation” refers to, at a minimum, the ability to earn a living wage.</w:t>
            </w:r>
          </w:p>
          <w:p w:rsidR="00224E7B" w:rsidRPr="00224E7B"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rPr>
                <w:iCs/>
              </w:rPr>
            </w:pPr>
            <w:r w:rsidRPr="00B73089">
              <w:rPr>
                <w:b/>
                <w:i/>
                <w:iCs/>
              </w:rPr>
              <w:t>Wood (Clarence) v. Derwinsk</w:t>
            </w:r>
            <w:r w:rsidRPr="00B73089">
              <w:rPr>
                <w:i/>
                <w:iCs/>
              </w:rPr>
              <w:t>i</w:t>
            </w:r>
            <w:r w:rsidRPr="00224E7B">
              <w:t xml:space="preserve"> (1991) - An application for unemployability compensation is an application for increased compensation within the meaning of 38 U.S.C. § 5110(b)(2).  </w:t>
            </w:r>
          </w:p>
          <w:p w:rsidR="00224E7B" w:rsidRPr="00224E7B"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B73089">
              <w:rPr>
                <w:b/>
                <w:i/>
              </w:rPr>
              <w:t>Blackburn v. Brown</w:t>
            </w:r>
            <w:r w:rsidRPr="00F63C96">
              <w:rPr>
                <w:b/>
                <w:iCs/>
              </w:rPr>
              <w:t xml:space="preserve"> </w:t>
            </w:r>
            <w:r w:rsidRPr="00224E7B">
              <w:rPr>
                <w:iCs/>
              </w:rPr>
              <w:t xml:space="preserve">(1993) - Entitlement to TDIU compensation must be established solely on the basis of impairment arising from service-connected disabilities.  </w:t>
            </w:r>
          </w:p>
          <w:p w:rsidR="00224E7B"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B73089">
              <w:rPr>
                <w:b/>
                <w:i/>
              </w:rPr>
              <w:t>Hattlestad v. Brown</w:t>
            </w:r>
            <w:r w:rsidRPr="00224E7B">
              <w:t xml:space="preserve"> (1993) - In determining entitlement to TDIU evaluations, a clear explanation requires analysis of the current degree of unemployability attributable to the service-connected condition as compared to the degree of unemployability attributable to the non-service connected condition.</w:t>
            </w:r>
          </w:p>
          <w:p w:rsidR="00A90853" w:rsidRPr="00224E7B" w:rsidRDefault="00A90853"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B73089">
              <w:rPr>
                <w:b/>
                <w:i/>
              </w:rPr>
              <w:t>Parker v. Brown</w:t>
            </w:r>
            <w:r>
              <w:t xml:space="preserve"> (1994</w:t>
            </w:r>
            <w:r w:rsidRPr="00224E7B">
              <w:t xml:space="preserve">) </w:t>
            </w:r>
            <w:r>
              <w:t>–</w:t>
            </w:r>
            <w:r w:rsidRPr="00224E7B">
              <w:t xml:space="preserve"> </w:t>
            </w:r>
            <w:r>
              <w:t>“…determination of the veteran’s entitlement to TDIU is</w:t>
            </w:r>
            <w:r w:rsidR="00C63C84">
              <w:t xml:space="preserve"> considered in the contex</w:t>
            </w:r>
            <w:r>
              <w:t>t of the individual veteran’s capabilities regardless of whether an average person would be rendered unemployable under the same circumstances</w:t>
            </w:r>
            <w:r w:rsidR="001946CC">
              <w:t>.”</w:t>
            </w:r>
          </w:p>
          <w:p w:rsidR="00224E7B"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B73089">
              <w:rPr>
                <w:b/>
                <w:i/>
              </w:rPr>
              <w:t>Norris v. West</w:t>
            </w:r>
            <w:r w:rsidRPr="00634F6C">
              <w:rPr>
                <w:i/>
              </w:rPr>
              <w:t xml:space="preserve"> </w:t>
            </w:r>
            <w:r w:rsidRPr="00634F6C">
              <w:t>(6/9/99)</w:t>
            </w:r>
            <w:r w:rsidRPr="00224E7B">
              <w:t xml:space="preserve"> –  When VA is considering a rating increase claim from a claimant whose schedular rating meets the minimum criteria of § 4.16(a) and there is evidence of current service-connected unemployability in the claims file or under VA control, evaluation of that rating increase must also include an evaluation of a re</w:t>
            </w:r>
            <w:r w:rsidR="00F004D0">
              <w:t>asonably raised claim for TDIU.</w:t>
            </w:r>
          </w:p>
          <w:p w:rsidR="00FB09C0" w:rsidRDefault="004619E8" w:rsidP="00691877">
            <w:pPr>
              <w:pStyle w:val="ListParagraph"/>
              <w:widowControl w:val="0"/>
              <w:numPr>
                <w:ilvl w:val="0"/>
                <w:numId w:val="42"/>
              </w:numPr>
              <w:spacing w:after="120"/>
            </w:pPr>
            <w:r w:rsidRPr="004619E8">
              <w:rPr>
                <w:rFonts w:ascii="Arial" w:hAnsi="Arial"/>
                <w:b/>
                <w:i/>
                <w:sz w:val="20"/>
                <w:szCs w:val="20"/>
              </w:rPr>
              <w:t>Faust v. West</w:t>
            </w:r>
            <w:r w:rsidRPr="004619E8">
              <w:rPr>
                <w:rFonts w:ascii="Arial" w:hAnsi="Arial"/>
                <w:i/>
                <w:sz w:val="20"/>
                <w:szCs w:val="20"/>
              </w:rPr>
              <w:t xml:space="preserve"> </w:t>
            </w:r>
            <w:r w:rsidRPr="004619E8">
              <w:rPr>
                <w:rFonts w:ascii="Arial" w:hAnsi="Arial"/>
                <w:sz w:val="20"/>
                <w:szCs w:val="20"/>
              </w:rPr>
              <w:t xml:space="preserve">(2000) - The Court held that the definition of a substantially gainful occupation is as follows.  One that provides annual income that exceeds the poverty threshold for one person, irrespective of the number of hours or days that the veteran actually works and without regard to the veteran’s earned annual income prior to his having been awarded a 100% rating based on individual unemployability.  The Court held that such employment constitutes, as a matter of law, a substantially gainful occupation and thus “actual employability” for the purposes of 38 C.F.R. § 3.343(c)(1). </w:t>
            </w:r>
            <w:r w:rsidR="00224E7B" w:rsidRPr="004619E8">
              <w:rPr>
                <w:rFonts w:ascii="Arial" w:hAnsi="Arial"/>
                <w:sz w:val="20"/>
                <w:szCs w:val="20"/>
              </w:rPr>
              <w:t>In determining entitlement to a TDIU rating, VA must consider the amount established by the U.S. Department of Commerce, Bureau of the Census, as the poverty threshold for one person.  A determination of whether a person is capable of engaging in a substantially gainful occupation must consider both that person’s abilities and employment history.</w:t>
            </w:r>
            <w:r w:rsidR="00CA6019" w:rsidRPr="004619E8">
              <w:rPr>
                <w:rFonts w:ascii="Arial" w:hAnsi="Arial"/>
                <w:sz w:val="20"/>
                <w:szCs w:val="20"/>
              </w:rPr>
              <w:t xml:space="preserve"> </w:t>
            </w:r>
          </w:p>
          <w:p w:rsidR="00224E7B" w:rsidRPr="00224E7B"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B73089">
              <w:rPr>
                <w:b/>
                <w:i/>
              </w:rPr>
              <w:t>Hurd v. West</w:t>
            </w:r>
            <w:r w:rsidRPr="00224E7B">
              <w:rPr>
                <w:i/>
              </w:rPr>
              <w:t xml:space="preserve"> </w:t>
            </w:r>
            <w:r w:rsidRPr="00224E7B">
              <w:rPr>
                <w:iCs/>
              </w:rPr>
              <w:t>(2000) - A TDIU claim is a claim for increased compensation, and the effective date rules for increased compensation apply to a TDIU claim.</w:t>
            </w:r>
          </w:p>
          <w:p w:rsidR="00224E7B"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B73089">
              <w:rPr>
                <w:b/>
                <w:i/>
              </w:rPr>
              <w:t>Roberson v. Principi</w:t>
            </w:r>
            <w:r w:rsidRPr="00224E7B">
              <w:t xml:space="preserve"> (2001) - Once a Veteran submits evidence of a medical disability, makes a claim for the highest rating possible, and submits evidence of unemployability, the requirement in 38 C.F.R. § 3.155(a) that an informal claim “identify the benefit sought” has been satisfied and VA must consider whether the Veteran is entitled to TDIU.  </w:t>
            </w:r>
          </w:p>
          <w:p w:rsidR="00315887" w:rsidRDefault="00315887" w:rsidP="00691877">
            <w:pPr>
              <w:widowControl w:val="0"/>
              <w:numPr>
                <w:ilvl w:val="0"/>
                <w:numId w:val="42"/>
              </w:numPr>
              <w:tabs>
                <w:tab w:val="left" w:pos="0"/>
              </w:tabs>
              <w:spacing w:after="120"/>
              <w:rPr>
                <w:rFonts w:ascii="Verdana" w:hAnsi="Verdana"/>
                <w:b/>
                <w:i/>
                <w:sz w:val="18"/>
              </w:rPr>
            </w:pPr>
            <w:r w:rsidRPr="00B73089">
              <w:rPr>
                <w:b/>
                <w:i/>
              </w:rPr>
              <w:t>Bowling v. Principi</w:t>
            </w:r>
            <w:r w:rsidRPr="00315887">
              <w:rPr>
                <w:i/>
              </w:rPr>
              <w:t xml:space="preserve"> </w:t>
            </w:r>
            <w:r w:rsidRPr="00315887">
              <w:t>(5/8/01)</w:t>
            </w:r>
            <w:r>
              <w:rPr>
                <w:b/>
              </w:rPr>
              <w:t xml:space="preserve"> </w:t>
            </w:r>
            <w:r>
              <w:t>- Court noted that "The term 'substantially gainful occupation' is not defined by VA regulation; however, the Court has held that the term refers to, at a minimum, the ability to earn 'a living wage'.</w:t>
            </w:r>
          </w:p>
          <w:p w:rsidR="00224E7B" w:rsidRPr="00315887"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rPr>
                <w:color w:val="0000FF"/>
              </w:rPr>
            </w:pPr>
            <w:r w:rsidRPr="00224E7B">
              <w:rPr>
                <w:b/>
                <w:i/>
              </w:rPr>
              <w:t xml:space="preserve">VAOPGCPREC 12-2001 </w:t>
            </w:r>
            <w:r w:rsidRPr="00224E7B">
              <w:rPr>
                <w:bCs/>
                <w:iCs/>
              </w:rPr>
              <w:t>(7/6/01) -</w:t>
            </w:r>
            <w:r w:rsidRPr="00224E7B">
              <w:t xml:space="preserve"> Roberson v. Principi held that once a veteran submits evidence of a medical disability, makes a claim for the highest rating possible and submits evidence of unemployability, the requirement in 38 CFR 3.155(a) that an informal claim “identify the benefit sought” has been satisfied and VA must consider whether the veteran is entitled to total disability based upon individual unemployability (TDIU); and a veteran is not required to submit proof that he or she is 100% unemployable in order to establish an inability to maintain a substantially gainful occupation, as required for a TDIU award pursuant to 38 CFR 3. 340(a).</w:t>
            </w:r>
          </w:p>
          <w:p w:rsidR="00224E7B" w:rsidRPr="00224E7B"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B73089">
              <w:rPr>
                <w:b/>
                <w:i/>
                <w:iCs/>
              </w:rPr>
              <w:t>Bradley v. Peake</w:t>
            </w:r>
            <w:r w:rsidRPr="00224E7B">
              <w:t xml:space="preserve"> </w:t>
            </w:r>
            <w:r w:rsidR="0016172E">
              <w:rPr>
                <w:bCs/>
              </w:rPr>
              <w:t xml:space="preserve">(11/26/08) </w:t>
            </w:r>
            <w:r w:rsidRPr="00224E7B">
              <w:t xml:space="preserve">- The provisions of 38 U.S.C. § 1114(s) do not limit a “service-connected disability rated as total” to only a schedular 100-percent rating.  A TDIU rating may serve as the “total” service-connected disability, if the TDIU entitlement was solely predicated upon a single disability for the purpose of considering entitlement to SMC at the (s) rate. </w:t>
            </w:r>
            <w:r w:rsidRPr="00F173A7">
              <w:rPr>
                <w:i/>
                <w:szCs w:val="22"/>
              </w:rPr>
              <w:t xml:space="preserve">SMC S based on IU if IU is based on a single disability and the veteran is housebound due to that disability, or has additional SC disabilities that combine to 60% or more. 4.16 does </w:t>
            </w:r>
            <w:r w:rsidRPr="00F173A7">
              <w:rPr>
                <w:i/>
                <w:szCs w:val="22"/>
                <w:u w:val="single"/>
              </w:rPr>
              <w:t>not</w:t>
            </w:r>
            <w:r w:rsidRPr="00F173A7">
              <w:rPr>
                <w:i/>
                <w:szCs w:val="22"/>
              </w:rPr>
              <w:t xml:space="preserve"> apply for the IU based on a single disability (it truly has to be a single disability).  </w:t>
            </w:r>
          </w:p>
          <w:p w:rsidR="00224E7B" w:rsidRPr="00224E7B"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B73089">
              <w:rPr>
                <w:b/>
                <w:i/>
                <w:iCs/>
              </w:rPr>
              <w:t>Comer v. Peake</w:t>
            </w:r>
            <w:r w:rsidRPr="00224E7B">
              <w:t xml:space="preserve"> </w:t>
            </w:r>
            <w:r w:rsidRPr="00224E7B">
              <w:rPr>
                <w:szCs w:val="15"/>
              </w:rPr>
              <w:t>(Fed. Cir. 2009)  - A</w:t>
            </w:r>
            <w:r w:rsidRPr="00224E7B">
              <w:t xml:space="preserve"> claim for a total disability evaluation due to individual unemployability (TDIU) is implicitly raised whenever a pro se Veteran (unrepresented), who presents cogent evidence of unemployability, seeks to obtain a higher disability rating, regardless of whether the Veteran specifically states that he is seeking TDIU benefits.  </w:t>
            </w:r>
          </w:p>
          <w:p w:rsidR="00013EB8" w:rsidRDefault="00224E7B"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rPr>
                <w:i/>
                <w:iCs/>
              </w:rPr>
            </w:pPr>
            <w:r w:rsidRPr="00B73089">
              <w:rPr>
                <w:b/>
                <w:bCs/>
                <w:i/>
              </w:rPr>
              <w:t>Rice v. Shinsek</w:t>
            </w:r>
            <w:r w:rsidRPr="00224E7B">
              <w:rPr>
                <w:iCs/>
              </w:rPr>
              <w:t xml:space="preserve"> (5/6/09) – </w:t>
            </w:r>
            <w:r w:rsidRPr="00224E7B">
              <w:t xml:space="preserve">A request for a total disability evaluation on the basis of individual unemployability (TDIU), whether expressly raised by the Veteran or reasonably raised by the record, is not a separate claim for benefits, but involves an attempt to obtain an appropriate rating for a disability or disabilities, either as part of the initial adjudication of a claim or as part of a claim for increased compensation, if entitlement to the disability upon which TDIU is based has already been found to be service connected.  </w:t>
            </w:r>
            <w:r w:rsidRPr="00F173A7">
              <w:rPr>
                <w:i/>
              </w:rPr>
              <w:t>There is no freestanding TDIU claim.</w:t>
            </w:r>
            <w:r w:rsidRPr="00F173A7">
              <w:rPr>
                <w:i/>
                <w:sz w:val="28"/>
              </w:rPr>
              <w:t xml:space="preserve"> </w:t>
            </w:r>
            <w:r w:rsidR="00013EB8" w:rsidRPr="00F173A7">
              <w:rPr>
                <w:i/>
                <w:iCs/>
              </w:rPr>
              <w:t>IU is not a separate or freestanding claim, but is part of the initial adjudication of a claim or part of a claim for increased compensation</w:t>
            </w:r>
            <w:r w:rsidR="00F173A7">
              <w:rPr>
                <w:i/>
                <w:iCs/>
              </w:rPr>
              <w:t>.</w:t>
            </w:r>
          </w:p>
          <w:p w:rsidR="00315887" w:rsidRDefault="00315887" w:rsidP="00691877">
            <w:pPr>
              <w:widowControl w:val="0"/>
              <w:numPr>
                <w:ilvl w:val="0"/>
                <w:numId w:val="42"/>
              </w:numPr>
              <w:tabs>
                <w:tab w:val="left" w:pos="0"/>
              </w:tabs>
              <w:spacing w:after="120"/>
              <w:rPr>
                <w:b/>
              </w:rPr>
            </w:pPr>
            <w:r>
              <w:t xml:space="preserve">The effective date for IU &amp; Ch. 35 should be the date the increase was granted if the claim for IU was received w/in 1 yr. of the notification of the RD granting the increase (&amp; when the schedular criteria were met for IU) if the veteran was not working on the date of the increase. </w:t>
            </w:r>
            <w:r>
              <w:rPr>
                <w:highlight w:val="magenta"/>
              </w:rPr>
              <w:t>(</w:t>
            </w:r>
            <w:r w:rsidRPr="003D044A">
              <w:rPr>
                <w:bCs/>
                <w:highlight w:val="magenta"/>
              </w:rPr>
              <w:t>Two June 2009</w:t>
            </w:r>
            <w:r>
              <w:rPr>
                <w:highlight w:val="magenta"/>
              </w:rPr>
              <w:t xml:space="preserve"> </w:t>
            </w:r>
            <w:r>
              <w:rPr>
                <w:b/>
                <w:bCs/>
                <w:highlight w:val="magenta"/>
              </w:rPr>
              <w:t>STAR Errors</w:t>
            </w:r>
            <w:r>
              <w:rPr>
                <w:highlight w:val="magenta"/>
              </w:rPr>
              <w:t>)</w:t>
            </w:r>
            <w:r>
              <w:t xml:space="preserve">, only reference is </w:t>
            </w:r>
            <w:r w:rsidRPr="007A4B37">
              <w:rPr>
                <w:b/>
                <w:bCs/>
              </w:rPr>
              <w:t>3.400</w:t>
            </w:r>
            <w:r>
              <w:t>(o)(2))</w:t>
            </w:r>
          </w:p>
          <w:p w:rsidR="0008057F" w:rsidRPr="0008057F" w:rsidRDefault="0008057F"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pPr>
            <w:r w:rsidRPr="00B73089">
              <w:rPr>
                <w:b/>
                <w:i/>
              </w:rPr>
              <w:t>Buie v. Shinseki</w:t>
            </w:r>
            <w:r w:rsidRPr="0008057F">
              <w:rPr>
                <w:color w:val="000000"/>
              </w:rPr>
              <w:t xml:space="preserve"> (</w:t>
            </w:r>
            <w:r>
              <w:rPr>
                <w:color w:val="000000"/>
              </w:rPr>
              <w:t>3/23/</w:t>
            </w:r>
            <w:r w:rsidRPr="0008057F">
              <w:rPr>
                <w:color w:val="000000"/>
              </w:rPr>
              <w:t>10)</w:t>
            </w:r>
            <w:r>
              <w:rPr>
                <w:color w:val="000000"/>
              </w:rPr>
              <w:t xml:space="preserve"> - </w:t>
            </w:r>
            <w:r w:rsidRPr="0008057F">
              <w:t>a total disability rating due to individual unemployability (TDIU) that is based on more than one underlying disability does not satisfy the first requirement of 38 U.S.C. § 1114(s) that a veteran have “a service-connected disability rated as total” for the purpose of establishing entitlement to special monthly compensation (SMC) a</w:t>
            </w:r>
            <w:r>
              <w:t>t the (s) rate. VA must assess the SC disabilities to see if any combo allows for SMC S.</w:t>
            </w:r>
          </w:p>
          <w:p w:rsidR="00315887" w:rsidRDefault="00D571C5" w:rsidP="00691877">
            <w:pPr>
              <w:widowControl w:val="0"/>
              <w:numPr>
                <w:ilvl w:val="0"/>
                <w:numId w:val="42"/>
              </w:numPr>
              <w:tabs>
                <w:tab w:val="left" w:pos="0"/>
              </w:tabs>
              <w:spacing w:after="120"/>
              <w:rPr>
                <w:b/>
                <w:bCs/>
                <w:iCs/>
              </w:rPr>
            </w:pPr>
            <w:hyperlink r:id="rId672" w:history="1">
              <w:r w:rsidR="00315887">
                <w:rPr>
                  <w:rStyle w:val="Hyperlink"/>
                  <w:b/>
                  <w:i/>
                </w:rPr>
                <w:t>QRT Bulletin August 2012 &amp; Q&amp;A Session</w:t>
              </w:r>
            </w:hyperlink>
            <w:r w:rsidR="00315887">
              <w:rPr>
                <w:bCs/>
                <w:iCs/>
              </w:rPr>
              <w:t xml:space="preserve"> </w:t>
            </w:r>
            <w:r w:rsidR="00315887">
              <w:rPr>
                <w:b/>
                <w:iCs/>
              </w:rPr>
              <w:t>&amp;</w:t>
            </w:r>
            <w:r w:rsidR="00315887">
              <w:rPr>
                <w:b/>
                <w:bCs/>
                <w:iCs/>
              </w:rPr>
              <w:t xml:space="preserve"> 8/3/12 – Procedural Guidance: Identifying and Processing Reasonably Raised Claims for Individual Unemployability</w:t>
            </w:r>
          </w:p>
          <w:p w:rsidR="00315887" w:rsidRDefault="00315887" w:rsidP="00315887">
            <w:pPr>
              <w:widowControl w:val="0"/>
              <w:overflowPunct/>
              <w:autoSpaceDE/>
              <w:autoSpaceDN/>
              <w:adjustRightInd/>
              <w:ind w:left="361"/>
              <w:textAlignment w:val="auto"/>
              <w:rPr>
                <w:rFonts w:eastAsia="Arial Unicode MS"/>
                <w:szCs w:val="24"/>
              </w:rPr>
            </w:pPr>
            <w:r>
              <w:rPr>
                <w:rStyle w:val="Strong"/>
              </w:rPr>
              <w:t>Issue:</w:t>
            </w:r>
            <w:r>
              <w:t xml:space="preserve"> To ensure consistency on identifying and processing reasonably raised claims for IU, we are providing the following guidance.</w:t>
            </w:r>
            <w:r>
              <w:br/>
            </w:r>
            <w:r>
              <w:br/>
            </w:r>
            <w:r>
              <w:rPr>
                <w:b/>
                <w:bCs/>
              </w:rPr>
              <w:t>Discussion:</w:t>
            </w:r>
            <w:r>
              <w:t xml:space="preserve"> M21-1 MR IV.ii.2.F.25.h and M21-1 MR IV.ii.2.F.25.i provide our references for how to identify a reasonably raised claim of IU and how to process them when applicable. A properly identified claim may be observed either with an original claim or an increased claim if these two criteria are met:</w:t>
            </w:r>
          </w:p>
          <w:p w:rsidR="00315887" w:rsidRDefault="00315887" w:rsidP="00315887">
            <w:pPr>
              <w:pStyle w:val="NormalWeb"/>
              <w:widowControl w:val="0"/>
              <w:ind w:left="361"/>
              <w:rPr>
                <w:sz w:val="20"/>
              </w:rPr>
            </w:pPr>
            <w:r>
              <w:rPr>
                <w:sz w:val="20"/>
              </w:rPr>
              <w:t>1. The veteran meets the minimum schedular criteria under 38 CFR 4.16(a),</w:t>
            </w:r>
            <w:r>
              <w:rPr>
                <w:b/>
                <w:bCs/>
                <w:i/>
                <w:iCs/>
                <w:sz w:val="20"/>
              </w:rPr>
              <w:t xml:space="preserve"> and</w:t>
            </w:r>
            <w:r>
              <w:rPr>
                <w:sz w:val="20"/>
              </w:rPr>
              <w:t xml:space="preserve"> </w:t>
            </w:r>
            <w:r>
              <w:rPr>
                <w:sz w:val="20"/>
              </w:rPr>
              <w:br/>
              <w:t xml:space="preserve">2. there is evidence of current s/c unemployability in the Veteran's claims folder or under VA control </w:t>
            </w:r>
          </w:p>
          <w:p w:rsidR="00315887" w:rsidRDefault="00315887" w:rsidP="00315887">
            <w:pPr>
              <w:pStyle w:val="NormalWeb"/>
              <w:widowControl w:val="0"/>
              <w:tabs>
                <w:tab w:val="num" w:pos="400"/>
              </w:tabs>
              <w:ind w:left="361"/>
              <w:rPr>
                <w:sz w:val="20"/>
              </w:rPr>
            </w:pPr>
            <w:r>
              <w:rPr>
                <w:sz w:val="20"/>
              </w:rPr>
              <w:t>Cases should</w:t>
            </w:r>
            <w:r>
              <w:rPr>
                <w:b/>
                <w:bCs/>
                <w:sz w:val="20"/>
              </w:rPr>
              <w:t xml:space="preserve"> only</w:t>
            </w:r>
            <w:r>
              <w:rPr>
                <w:sz w:val="20"/>
              </w:rPr>
              <w:t xml:space="preserve"> be placed at issue if they only meet</w:t>
            </w:r>
            <w:r>
              <w:rPr>
                <w:b/>
                <w:bCs/>
                <w:sz w:val="20"/>
              </w:rPr>
              <w:t xml:space="preserve"> both</w:t>
            </w:r>
            <w:r>
              <w:rPr>
                <w:sz w:val="20"/>
              </w:rPr>
              <w:t xml:space="preserve"> requirements above. The manual specifically provides that we are not to consider IU a reasonably raised claim, </w:t>
            </w:r>
            <w:r>
              <w:rPr>
                <w:color w:val="000000"/>
                <w:sz w:val="20"/>
              </w:rPr>
              <w:t>or</w:t>
            </w:r>
            <w:r>
              <w:rPr>
                <w:color w:val="0000FF"/>
                <w:sz w:val="20"/>
              </w:rPr>
              <w:t xml:space="preserve"> </w:t>
            </w:r>
            <w:r>
              <w:rPr>
                <w:sz w:val="20"/>
              </w:rPr>
              <w:t>defer entitlement, </w:t>
            </w:r>
            <w:r>
              <w:rPr>
                <w:color w:val="000000"/>
                <w:sz w:val="20"/>
              </w:rPr>
              <w:t>or</w:t>
            </w:r>
            <w:r>
              <w:rPr>
                <w:color w:val="0000FF"/>
                <w:sz w:val="20"/>
              </w:rPr>
              <w:t xml:space="preserve"> </w:t>
            </w:r>
            <w:r>
              <w:rPr>
                <w:sz w:val="20"/>
              </w:rPr>
              <w:t xml:space="preserve">send the vet an 8940 if there is no evidence of s/c unemployability. </w:t>
            </w:r>
          </w:p>
          <w:p w:rsidR="00315887" w:rsidRDefault="00315887" w:rsidP="00691877">
            <w:pPr>
              <w:pStyle w:val="NormalWeb"/>
              <w:widowControl w:val="0"/>
              <w:numPr>
                <w:ilvl w:val="1"/>
                <w:numId w:val="42"/>
              </w:numPr>
              <w:tabs>
                <w:tab w:val="clear" w:pos="1440"/>
                <w:tab w:val="num" w:pos="690"/>
              </w:tabs>
              <w:ind w:left="690"/>
              <w:rPr>
                <w:sz w:val="20"/>
              </w:rPr>
            </w:pPr>
            <w:r>
              <w:rPr>
                <w:sz w:val="20"/>
              </w:rPr>
              <w:t xml:space="preserve">If the Veteran meets the minimum schedular criteria under 38 CFR 4.16(a), but there is no evidence of current s/c unemployability in the Veterans claims folder or under VA control, RVSRs should put the following note on the codesheet: "Note to File: The Veteran meets the minimum schedular criteria under 38 CFR 4.16(a), however there is no evidence the Veteran is unemployable due to S/C conditions at this time. Therefore, IU is not being put at issue." </w:t>
            </w:r>
          </w:p>
          <w:p w:rsidR="00315887" w:rsidRDefault="00315887" w:rsidP="00691877">
            <w:pPr>
              <w:pStyle w:val="NormalWeb"/>
              <w:widowControl w:val="0"/>
              <w:numPr>
                <w:ilvl w:val="1"/>
                <w:numId w:val="42"/>
              </w:numPr>
              <w:tabs>
                <w:tab w:val="clear" w:pos="1440"/>
                <w:tab w:val="num" w:pos="690"/>
              </w:tabs>
              <w:ind w:left="690"/>
              <w:rPr>
                <w:sz w:val="20"/>
              </w:rPr>
            </w:pPr>
            <w:r>
              <w:rPr>
                <w:sz w:val="20"/>
              </w:rPr>
              <w:t xml:space="preserve">If the Veteran meets </w:t>
            </w:r>
            <w:r>
              <w:rPr>
                <w:rStyle w:val="Strong"/>
                <w:sz w:val="20"/>
              </w:rPr>
              <w:t>both</w:t>
            </w:r>
            <w:r>
              <w:rPr>
                <w:sz w:val="20"/>
              </w:rPr>
              <w:t xml:space="preserve"> criteria outlined above, and the RVSR does not have enough evidence to grant on the current rating decision, the RVSR must infer the IU issue and defer for further development. This means the RVSR must place IU as an issue on the rating decision, identify the issue as deferred and instruct the VSR what development is needed for the IU issue. From this point forward, if the case is called for a quality review and the issue of IU is not properly inferred and deferred on the rating decision, it will be considered an A2 critical error for missing the inferred issue. </w:t>
            </w:r>
          </w:p>
          <w:p w:rsidR="00315887" w:rsidRDefault="00315887" w:rsidP="00691877">
            <w:pPr>
              <w:widowControl w:val="0"/>
              <w:numPr>
                <w:ilvl w:val="1"/>
                <w:numId w:val="42"/>
              </w:numPr>
              <w:tabs>
                <w:tab w:val="clear" w:pos="1440"/>
                <w:tab w:val="left" w:pos="0"/>
                <w:tab w:val="num" w:pos="690"/>
              </w:tabs>
              <w:spacing w:after="120"/>
              <w:ind w:left="690"/>
              <w:rPr>
                <w:b/>
              </w:rPr>
            </w:pPr>
            <w:r>
              <w:t xml:space="preserve">Development for Reasonably Raised IU: IU is not considered a freestanding claim. Therefore, if the issue of IU is reasonably raised on a rating decision, a separate VCAA development letter is </w:t>
            </w:r>
            <w:r>
              <w:rPr>
                <w:rStyle w:val="Strong"/>
                <w:u w:val="single"/>
              </w:rPr>
              <w:t>not</w:t>
            </w:r>
            <w:r>
              <w:t xml:space="preserve"> required and sending the WTEMS is </w:t>
            </w:r>
            <w:r>
              <w:rPr>
                <w:rStyle w:val="Strong"/>
                <w:u w:val="single"/>
              </w:rPr>
              <w:t>not</w:t>
            </w:r>
            <w:r>
              <w:t xml:space="preserve"> required. The Post VSR will complete whatever development is needed (i.e. send the Veteran 21-8940). According to 38 USC 5103 (Duty to Notify) and 38 USC 5103A (Duty to Assist), our duty to notify/assist is only enacted when we have received a claim. A inferred issue of IU has not been claimed by the Veteran, but reasonably raised by the evidence of record by the RVSR and therefore does not require VCAA development or WTEMS.</w:t>
            </w:r>
          </w:p>
          <w:p w:rsidR="00315887" w:rsidRPr="00691F21" w:rsidRDefault="00315887" w:rsidP="00691877">
            <w:pPr>
              <w:widowControl w:val="0"/>
              <w:numPr>
                <w:ilvl w:val="0"/>
                <w:numId w:val="42"/>
              </w:numPr>
              <w:tabs>
                <w:tab w:val="left" w:pos="330"/>
                <w:tab w:val="left" w:pos="420"/>
              </w:tabs>
              <w:spacing w:after="120"/>
            </w:pPr>
            <w:r w:rsidRPr="00A50C60">
              <w:rPr>
                <w:b/>
                <w:bCs/>
                <w:i/>
                <w:iCs/>
              </w:rPr>
              <w:t xml:space="preserve">September 2012 </w:t>
            </w:r>
            <w:r w:rsidR="00EB6F0B" w:rsidRPr="00A50C60">
              <w:rPr>
                <w:b/>
                <w:bCs/>
                <w:i/>
                <w:iCs/>
              </w:rPr>
              <w:t>Compensation Service Bulletin (CSB)</w:t>
            </w:r>
            <w:r w:rsidRPr="00A50C60">
              <w:rPr>
                <w:b/>
                <w:bCs/>
                <w:i/>
                <w:iCs/>
              </w:rPr>
              <w:t xml:space="preserve"> </w:t>
            </w:r>
            <w:r w:rsidRPr="00A50C60">
              <w:t>– info on follow-up when employer only gives</w:t>
            </w:r>
            <w:r w:rsidRPr="00A50C60">
              <w:rPr>
                <w:b/>
                <w:bCs/>
                <w:i/>
                <w:iCs/>
              </w:rPr>
              <w:t xml:space="preserve"> </w:t>
            </w:r>
            <w:r w:rsidRPr="00A50C60">
              <w:rPr>
                <w:szCs w:val="24"/>
              </w:rPr>
              <w:t xml:space="preserve">statement that the Veteran’s employment can be verified through </w:t>
            </w:r>
            <w:hyperlink r:id="rId673" w:history="1">
              <w:r w:rsidRPr="00A50C60">
                <w:rPr>
                  <w:rStyle w:val="Hyperlink"/>
                  <w:szCs w:val="24"/>
                </w:rPr>
                <w:t>www.theworknumber.com/socialservices</w:t>
              </w:r>
            </w:hyperlink>
            <w:r w:rsidRPr="00A50C60">
              <w:rPr>
                <w:szCs w:val="24"/>
              </w:rPr>
              <w:t xml:space="preserve"> or other related websites.</w:t>
            </w:r>
            <w:r w:rsidR="00691F21" w:rsidRPr="00691F21">
              <w:t xml:space="preserve"> – </w:t>
            </w:r>
            <w:r w:rsidR="00A50C60">
              <w:t xml:space="preserve">see </w:t>
            </w:r>
            <w:r w:rsidR="00A50C60" w:rsidRPr="00A50C60">
              <w:rPr>
                <w:b/>
                <w:szCs w:val="21"/>
              </w:rPr>
              <w:t>IV.ii.2.F.2.g</w:t>
            </w:r>
          </w:p>
          <w:p w:rsidR="00CA36BC" w:rsidRPr="0076005C" w:rsidRDefault="00CA36BC" w:rsidP="00691877">
            <w:pPr>
              <w:pStyle w:val="BodyTextIndent3"/>
              <w:widowControl w:val="0"/>
              <w:numPr>
                <w:ilvl w:val="0"/>
                <w:numId w:val="42"/>
              </w:numPr>
              <w:pBdr>
                <w:top w:val="none" w:sz="0" w:space="0" w:color="auto"/>
                <w:left w:val="none" w:sz="0" w:space="0" w:color="auto"/>
                <w:bottom w:val="none" w:sz="0" w:space="0" w:color="auto"/>
                <w:right w:val="none" w:sz="0" w:space="0" w:color="auto"/>
              </w:pBdr>
              <w:spacing w:after="120"/>
              <w:rPr>
                <w:szCs w:val="24"/>
              </w:rPr>
            </w:pPr>
            <w:r w:rsidRPr="00B73089">
              <w:rPr>
                <w:b/>
                <w:bCs/>
                <w:i/>
                <w:iCs/>
              </w:rPr>
              <w:t xml:space="preserve">May 2013 </w:t>
            </w:r>
            <w:r w:rsidR="00EB6F0B" w:rsidRPr="00B73089">
              <w:rPr>
                <w:b/>
                <w:bCs/>
                <w:i/>
                <w:iCs/>
              </w:rPr>
              <w:t>Compensation Service Bulletin (CSB)</w:t>
            </w:r>
            <w:r w:rsidRPr="00CA36BC">
              <w:rPr>
                <w:rStyle w:val="Hyperlink"/>
                <w:bCs/>
                <w:iCs/>
                <w:u w:val="none"/>
              </w:rPr>
              <w:t xml:space="preserve"> - </w:t>
            </w:r>
            <w:r w:rsidRPr="00CA36BC">
              <w:t xml:space="preserve">The responsibility for deciding whether or not service-connected disabilities render a Veteran unable to secure and follow gainful employment is </w:t>
            </w:r>
            <w:r w:rsidRPr="00CA36BC">
              <w:rPr>
                <w:b/>
              </w:rPr>
              <w:t>not</w:t>
            </w:r>
            <w:r w:rsidRPr="00CA36BC">
              <w:t xml:space="preserve"> within the realm of the examining physician, but is an adjudicative issue that  rests solely with the rating activity (see </w:t>
            </w:r>
            <w:r w:rsidRPr="00B73089">
              <w:t>38 CFR 4.16(a)</w:t>
            </w:r>
            <w:r w:rsidRPr="00CA36BC">
              <w:t xml:space="preserve">).  If the facts of the case require VA to examine the Veteran, do </w:t>
            </w:r>
            <w:r w:rsidRPr="00CA36BC">
              <w:rPr>
                <w:b/>
              </w:rPr>
              <w:t>not</w:t>
            </w:r>
            <w:r w:rsidRPr="00CA36BC">
              <w:t xml:space="preserve"> ask the examiner to opine as to whether or not the Veteran is unemployable due to his service-connected disabilities, but simply request that the examiner comment instead on the functional impairment caused solely by the service-connected disabilities subject to examination.  This guidance will soon be implemented with the release of the new FL.  </w:t>
            </w:r>
          </w:p>
          <w:p w:rsidR="000A1B03" w:rsidRPr="00014685" w:rsidRDefault="00315887" w:rsidP="00691877">
            <w:pPr>
              <w:pStyle w:val="Title"/>
              <w:numPr>
                <w:ilvl w:val="0"/>
                <w:numId w:val="42"/>
              </w:numPr>
              <w:tabs>
                <w:tab w:val="left" w:pos="330"/>
              </w:tabs>
              <w:jc w:val="left"/>
              <w:rPr>
                <w:sz w:val="20"/>
                <w:szCs w:val="20"/>
              </w:rPr>
            </w:pPr>
            <w:r w:rsidRPr="00014685">
              <w:rPr>
                <w:sz w:val="20"/>
                <w:szCs w:val="20"/>
              </w:rPr>
              <w:t>V</w:t>
            </w:r>
            <w:r w:rsidR="000A1B03" w:rsidRPr="00014685">
              <w:rPr>
                <w:sz w:val="20"/>
                <w:szCs w:val="20"/>
              </w:rPr>
              <w:t>ETSNET Awards Super User Call July 16, 2013</w:t>
            </w:r>
          </w:p>
          <w:p w:rsidR="000A1B03" w:rsidRDefault="000A1B03" w:rsidP="0090141F">
            <w:pPr>
              <w:ind w:left="420"/>
            </w:pPr>
            <w:r>
              <w:t>The correction to FL</w:t>
            </w:r>
            <w:r w:rsidR="00220FA8">
              <w:t xml:space="preserve"> </w:t>
            </w:r>
            <w:r>
              <w:t>13-13 is still pending.</w:t>
            </w:r>
            <w:r w:rsidR="00315887">
              <w:t xml:space="preserve"> </w:t>
            </w:r>
            <w:r>
              <w:t xml:space="preserve">In the interim, please do not follow step 1 on page 3 where the instructions are to complete a Benefit Eligibility Decision using the reason “Failure to Furnish Requested Evidence” </w:t>
            </w:r>
            <w:r>
              <w:rPr>
                <w:b/>
                <w:i/>
              </w:rPr>
              <w:t>unless</w:t>
            </w:r>
            <w:r>
              <w:t xml:space="preserve"> you intend to remove all eligibility for the Veteran retroactively to the first date of entitlement.</w:t>
            </w:r>
          </w:p>
          <w:p w:rsidR="000A1B03" w:rsidRDefault="000A1B03" w:rsidP="00CF31DB">
            <w:pPr>
              <w:ind w:left="690" w:hanging="270"/>
            </w:pPr>
            <w:r>
              <w:t>The two options available at this time are:</w:t>
            </w:r>
          </w:p>
          <w:p w:rsidR="000A1B03" w:rsidRDefault="000A1B03" w:rsidP="000A615C">
            <w:pPr>
              <w:numPr>
                <w:ilvl w:val="0"/>
                <w:numId w:val="42"/>
              </w:numPr>
              <w:overflowPunct/>
              <w:autoSpaceDE/>
              <w:autoSpaceDN/>
              <w:adjustRightInd/>
              <w:ind w:left="690"/>
              <w:textAlignment w:val="auto"/>
            </w:pPr>
            <w:r>
              <w:t>The RVSR can complete a rating to deny IU for failure to furnish requested evidence.</w:t>
            </w:r>
          </w:p>
          <w:p w:rsidR="000A1B03" w:rsidRDefault="000A1B03" w:rsidP="000A615C">
            <w:pPr>
              <w:numPr>
                <w:ilvl w:val="0"/>
                <w:numId w:val="42"/>
              </w:numPr>
              <w:overflowPunct/>
              <w:autoSpaceDE/>
              <w:autoSpaceDN/>
              <w:adjustRightInd/>
              <w:spacing w:after="120"/>
              <w:ind w:left="690"/>
              <w:textAlignment w:val="auto"/>
            </w:pPr>
            <w:r>
              <w:t>The VSR can administratively deny via award letter.</w:t>
            </w:r>
          </w:p>
          <w:p w:rsidR="00315887" w:rsidRPr="00AD3897" w:rsidRDefault="00315887" w:rsidP="00691877">
            <w:pPr>
              <w:widowControl w:val="0"/>
              <w:numPr>
                <w:ilvl w:val="0"/>
                <w:numId w:val="42"/>
              </w:numPr>
              <w:tabs>
                <w:tab w:val="left" w:pos="330"/>
                <w:tab w:val="left" w:pos="420"/>
              </w:tabs>
              <w:spacing w:after="120"/>
              <w:rPr>
                <w:szCs w:val="24"/>
              </w:rPr>
            </w:pPr>
            <w:r w:rsidRPr="00B73089">
              <w:rPr>
                <w:b/>
                <w:i/>
                <w:iCs/>
              </w:rPr>
              <w:t xml:space="preserve">September 2013 </w:t>
            </w:r>
            <w:r w:rsidR="00EB6F0B" w:rsidRPr="00B73089">
              <w:rPr>
                <w:b/>
                <w:i/>
                <w:iCs/>
              </w:rPr>
              <w:t>Compensation Service Bulletin (CSB)</w:t>
            </w:r>
            <w:r w:rsidRPr="00315887">
              <w:rPr>
                <w:bCs/>
                <w:i/>
                <w:iCs/>
              </w:rPr>
              <w:t xml:space="preserve"> – </w:t>
            </w:r>
            <w:r w:rsidRPr="00315887">
              <w:rPr>
                <w:bCs/>
                <w:iCs/>
              </w:rPr>
              <w:t>Volunteer work alone is not sufficient basis to warrant reduction of TDIU evaluation unless it demonstrates the veteran is capable of employment.</w:t>
            </w:r>
            <w:r w:rsidRPr="00315887">
              <w:rPr>
                <w:i/>
                <w:sz w:val="24"/>
                <w:szCs w:val="24"/>
              </w:rPr>
              <w:t xml:space="preserve"> </w:t>
            </w:r>
            <w:r w:rsidRPr="00315887">
              <w:rPr>
                <w:i/>
              </w:rPr>
              <w:t>Faust v. West,</w:t>
            </w:r>
            <w:r w:rsidRPr="00315887">
              <w:t xml:space="preserve"> 13 Vet.App. 342 (2000), provided guidance in defining employability in holding that employment in a substantially gainful occupation that showed actual employability is as follows:  “One that provides annual income that exceeds the poverty threshold for one person, irrespective of the number of hours or days that the veteran actually works and without regard to the veteran’s earned annual income prior to his having been awarded a 100 percent rating based on individual unemployability.”</w:t>
            </w:r>
            <w:r w:rsidR="003405A2">
              <w:t xml:space="preserve"> </w:t>
            </w:r>
          </w:p>
          <w:p w:rsidR="00A50C60" w:rsidRPr="00A50C60" w:rsidRDefault="00AD3897" w:rsidP="00691877">
            <w:pPr>
              <w:widowControl w:val="0"/>
              <w:numPr>
                <w:ilvl w:val="0"/>
                <w:numId w:val="42"/>
              </w:numPr>
              <w:tabs>
                <w:tab w:val="left" w:pos="330"/>
                <w:tab w:val="left" w:pos="420"/>
              </w:tabs>
              <w:spacing w:after="120"/>
            </w:pPr>
            <w:r w:rsidRPr="00A50C60">
              <w:rPr>
                <w:b/>
                <w:bCs/>
                <w:i/>
              </w:rPr>
              <w:t xml:space="preserve">December 2013 </w:t>
            </w:r>
            <w:r w:rsidR="00EB6F0B" w:rsidRPr="00A50C60">
              <w:rPr>
                <w:b/>
                <w:bCs/>
                <w:i/>
              </w:rPr>
              <w:t>Compensation Service Bulletin (CSB)</w:t>
            </w:r>
            <w:r w:rsidRPr="00A50C60">
              <w:rPr>
                <w:rStyle w:val="Hyperlink"/>
                <w:bCs/>
                <w:u w:val="none"/>
              </w:rPr>
              <w:t xml:space="preserve"> – </w:t>
            </w:r>
            <w:r w:rsidRPr="00A50C60">
              <w:rPr>
                <w:rStyle w:val="Hyperlink"/>
                <w:bCs/>
                <w:color w:val="auto"/>
                <w:u w:val="none"/>
              </w:rPr>
              <w:t xml:space="preserve">if the employer refers us to </w:t>
            </w:r>
            <w:hyperlink r:id="rId674" w:history="1">
              <w:r w:rsidRPr="00A50C60">
                <w:rPr>
                  <w:rStyle w:val="Hyperlink"/>
                </w:rPr>
                <w:t>www.theworknumber.com/socialservices</w:t>
              </w:r>
            </w:hyperlink>
            <w:r w:rsidRPr="00A50C60">
              <w:t xml:space="preserve"> or another related website, it is the equivalent of returning the VA Form 21-4192 with necessary information omitted and we must follow-up with the employer and again request that the form be completed, allowing an additional 10 days for response. Also notify the veteran.</w:t>
            </w:r>
            <w:r w:rsidR="00691F21" w:rsidRPr="00A50C60">
              <w:t xml:space="preserve"> </w:t>
            </w:r>
            <w:r w:rsidR="00A50C60" w:rsidRPr="00A50C60">
              <w:t>–</w:t>
            </w:r>
            <w:r w:rsidR="00A50C60" w:rsidRPr="00691F21">
              <w:t xml:space="preserve"> </w:t>
            </w:r>
            <w:r w:rsidR="00A50C60">
              <w:t xml:space="preserve">see </w:t>
            </w:r>
            <w:r w:rsidR="00A50C60" w:rsidRPr="00A50C60">
              <w:rPr>
                <w:b/>
                <w:szCs w:val="21"/>
              </w:rPr>
              <w:t>IV.ii.2.F.2.g</w:t>
            </w:r>
          </w:p>
          <w:p w:rsidR="00984D34" w:rsidRPr="00984D34" w:rsidRDefault="00984D34" w:rsidP="00691877">
            <w:pPr>
              <w:widowControl w:val="0"/>
              <w:numPr>
                <w:ilvl w:val="0"/>
                <w:numId w:val="42"/>
              </w:numPr>
              <w:tabs>
                <w:tab w:val="left" w:pos="330"/>
                <w:tab w:val="left" w:pos="420"/>
              </w:tabs>
              <w:spacing w:after="120"/>
            </w:pPr>
            <w:r w:rsidRPr="00984D34">
              <w:rPr>
                <w:b/>
                <w:color w:val="000000"/>
                <w:u w:val="single"/>
              </w:rPr>
              <w:t>Weekly Q</w:t>
            </w:r>
            <w:r w:rsidR="00303C97">
              <w:rPr>
                <w:b/>
                <w:color w:val="000000"/>
                <w:u w:val="single"/>
              </w:rPr>
              <w:t>-</w:t>
            </w:r>
            <w:r w:rsidRPr="007C5B5A">
              <w:rPr>
                <w:b/>
                <w:color w:val="000000"/>
                <w:u w:val="single"/>
              </w:rPr>
              <w:t>Tip</w:t>
            </w:r>
            <w:r w:rsidRPr="007C5B5A">
              <w:rPr>
                <w:b/>
                <w:color w:val="000000"/>
              </w:rPr>
              <w:t xml:space="preserve"> (1/24/14)</w:t>
            </w:r>
            <w:r w:rsidRPr="00984D34">
              <w:rPr>
                <w:color w:val="000000"/>
              </w:rPr>
              <w:t xml:space="preserve"> – </w:t>
            </w:r>
            <w:r>
              <w:t xml:space="preserve">Based on a trend noted throughout FY2013, the following reminder regarding </w:t>
            </w:r>
            <w:r w:rsidRPr="00984D34">
              <w:t>properly disposing of IU as an issue is disseminated.</w:t>
            </w:r>
          </w:p>
          <w:p w:rsidR="00984D34" w:rsidRPr="00984D34" w:rsidRDefault="00984D34" w:rsidP="00984D34">
            <w:pPr>
              <w:pStyle w:val="NormalWeb"/>
              <w:ind w:left="420"/>
              <w:rPr>
                <w:sz w:val="20"/>
                <w:szCs w:val="20"/>
              </w:rPr>
            </w:pPr>
            <w:r w:rsidRPr="00984D34">
              <w:rPr>
                <w:sz w:val="20"/>
                <w:szCs w:val="20"/>
              </w:rPr>
              <w:t>TDIU, whether expressly raised by a veteran or reasonably raised by the record, is not a separate claim for benefits, but rather involves an attempt to obtain an appropriate rating for a disability or disabilities, either as part of the initial adjudication of a claim or, if a disability upon which entitlement to TDIU is based has already been found to be service connected, as part of a claim for increased compensation.</w:t>
            </w:r>
          </w:p>
          <w:p w:rsidR="00984D34" w:rsidRPr="00984D34" w:rsidRDefault="00984D34" w:rsidP="00984D34">
            <w:pPr>
              <w:pStyle w:val="NormalWeb"/>
              <w:ind w:left="420"/>
              <w:rPr>
                <w:sz w:val="20"/>
                <w:szCs w:val="20"/>
              </w:rPr>
            </w:pPr>
            <w:r w:rsidRPr="00984D34">
              <w:rPr>
                <w:sz w:val="20"/>
                <w:szCs w:val="20"/>
              </w:rPr>
              <w:t xml:space="preserve">The rater is required to consider evidence of unemployability as far back as one year prior to the date of the underlying claim. The effective date is governed by 38 CFR 3.400(o)(2).  Since this is a claim for increase, staged rating applies to the IU also. </w:t>
            </w:r>
          </w:p>
          <w:p w:rsidR="00984D34" w:rsidRPr="00984D34" w:rsidRDefault="00984D34" w:rsidP="00984D34">
            <w:pPr>
              <w:pStyle w:val="NormalWeb"/>
              <w:ind w:left="420"/>
              <w:rPr>
                <w:sz w:val="20"/>
                <w:szCs w:val="20"/>
              </w:rPr>
            </w:pPr>
            <w:r w:rsidRPr="00984D34">
              <w:rPr>
                <w:sz w:val="20"/>
                <w:szCs w:val="20"/>
              </w:rPr>
              <w:t>In other words, the Rater must address the entitlement to IU for the entire period of eligibility.</w:t>
            </w:r>
          </w:p>
          <w:p w:rsidR="00984D34" w:rsidRPr="00984D34" w:rsidRDefault="00984D34" w:rsidP="00984D34">
            <w:pPr>
              <w:pStyle w:val="NormalWeb"/>
              <w:ind w:left="420"/>
              <w:rPr>
                <w:sz w:val="20"/>
                <w:szCs w:val="20"/>
              </w:rPr>
            </w:pPr>
            <w:r w:rsidRPr="00984D34">
              <w:rPr>
                <w:sz w:val="20"/>
                <w:szCs w:val="20"/>
              </w:rPr>
              <w:t>Specifically, if the Veteran is awarded a schedular 100 percent evaluation, entitlement to IU must be addressed for the period between the date of claim for IU (or the date the IU claim is reasonably inferred), and prior to the effective date of the schedular 100 percent.  If a Vet’s claim for IU is received within one year from their last date of employment and entitlement is shown, the effective date for IU can predate the date of receipt of claim.  As such, there are several scenarios in which IU will need to be addressed for the period prior to the effective date of the schedular 100 percent evaluation.  If entitlement is not shown for any period after the date of claim and prior to date of the schedular 100 percent, it must be properly denied, and not merely “vacated” or deemed moot due to the grant of the schedular 100%.</w:t>
            </w:r>
          </w:p>
          <w:p w:rsidR="00984D34" w:rsidRPr="00984D34" w:rsidRDefault="00984D34" w:rsidP="00984D34">
            <w:pPr>
              <w:pStyle w:val="NormalWeb"/>
              <w:ind w:left="420"/>
              <w:rPr>
                <w:sz w:val="20"/>
                <w:szCs w:val="20"/>
              </w:rPr>
            </w:pPr>
            <w:r w:rsidRPr="00984D34">
              <w:rPr>
                <w:b/>
                <w:bCs/>
                <w:sz w:val="20"/>
                <w:szCs w:val="20"/>
                <w:u w:val="single"/>
              </w:rPr>
              <w:t>Example</w:t>
            </w:r>
            <w:r w:rsidRPr="00984D34">
              <w:rPr>
                <w:sz w:val="20"/>
                <w:szCs w:val="20"/>
              </w:rPr>
              <w:t>: Vet is s/c for migraines at 50% from 2/7/2004, anxiety at 30% from 2/7/2004 and tinnitus at 10% from 4/10/2010.  Vet submitted VA Form 21-8940 that was received on 11/1/2013.  On VAF 8940, Vet reported last date of employment was 7/1/2013.  Upon VA examination, Vet warranted a schedular 100% for s/c anxiety.  There is no evidence of record (no CAPRI tx recs, private treatment records, etc) to warrant an increased evaluation under 38 CFR 3.157.  Vet’s previous employer returned VAF 4192 and indicated that Vet’s employment was terminated due to inability to work with others due to social anxiety.  How do you rate this case?</w:t>
            </w:r>
          </w:p>
          <w:p w:rsidR="00984D34" w:rsidRPr="00984D34" w:rsidRDefault="00984D34" w:rsidP="00984D34">
            <w:pPr>
              <w:pStyle w:val="NormalWeb"/>
              <w:ind w:left="420"/>
              <w:rPr>
                <w:sz w:val="20"/>
                <w:szCs w:val="20"/>
              </w:rPr>
            </w:pPr>
            <w:r w:rsidRPr="00984D34">
              <w:rPr>
                <w:b/>
                <w:bCs/>
                <w:sz w:val="20"/>
                <w:szCs w:val="20"/>
              </w:rPr>
              <w:t>Answer:</w:t>
            </w:r>
            <w:r w:rsidRPr="00984D34">
              <w:rPr>
                <w:sz w:val="20"/>
                <w:szCs w:val="20"/>
              </w:rPr>
              <w:t xml:space="preserve"> Grant IU from 7/2/2013, the day following last date of employment. IU should be discontinued as of date of effective date of schedular 100%, which is 11/1/2013, date of receipt of claim.  Address entitlement to ancillary benefits and competency. </w:t>
            </w:r>
          </w:p>
          <w:p w:rsidR="00984D34" w:rsidRPr="00984D34" w:rsidRDefault="00984D34" w:rsidP="00984D34">
            <w:pPr>
              <w:pStyle w:val="NormalWeb"/>
              <w:spacing w:after="0"/>
              <w:ind w:left="418"/>
              <w:rPr>
                <w:sz w:val="20"/>
                <w:szCs w:val="20"/>
              </w:rPr>
            </w:pPr>
            <w:r w:rsidRPr="00984D34">
              <w:rPr>
                <w:b/>
                <w:bCs/>
                <w:i/>
                <w:iCs/>
                <w:sz w:val="20"/>
                <w:szCs w:val="20"/>
              </w:rPr>
              <w:t xml:space="preserve">References: </w:t>
            </w:r>
          </w:p>
          <w:p w:rsidR="00984D34" w:rsidRPr="00984D34" w:rsidRDefault="00984D34" w:rsidP="00984D34">
            <w:pPr>
              <w:pStyle w:val="NormalWeb"/>
              <w:spacing w:after="0"/>
              <w:ind w:left="418"/>
              <w:rPr>
                <w:sz w:val="20"/>
                <w:szCs w:val="20"/>
              </w:rPr>
            </w:pPr>
            <w:r w:rsidRPr="00984D34">
              <w:rPr>
                <w:sz w:val="20"/>
                <w:szCs w:val="20"/>
              </w:rPr>
              <w:t xml:space="preserve">·       </w:t>
            </w:r>
            <w:r w:rsidRPr="00B73089">
              <w:rPr>
                <w:sz w:val="20"/>
                <w:szCs w:val="20"/>
              </w:rPr>
              <w:t>FL 13-13:</w:t>
            </w:r>
            <w:r w:rsidRPr="00B73089">
              <w:rPr>
                <w:i/>
                <w:iCs/>
                <w:sz w:val="20"/>
                <w:szCs w:val="20"/>
              </w:rPr>
              <w:t xml:space="preserve"> Claims for Total Disability Based on Individual Unemployability (TDIU)</w:t>
            </w:r>
            <w:r w:rsidRPr="00B73089">
              <w:rPr>
                <w:sz w:val="20"/>
                <w:szCs w:val="20"/>
              </w:rPr>
              <w:t xml:space="preserve"> (effectively rescinds TL 10-07)</w:t>
            </w:r>
          </w:p>
          <w:p w:rsidR="00984D34" w:rsidRPr="00984D34" w:rsidRDefault="00984D34" w:rsidP="00984D34">
            <w:pPr>
              <w:pStyle w:val="NormalWeb"/>
              <w:spacing w:after="0"/>
              <w:ind w:left="418"/>
              <w:rPr>
                <w:sz w:val="20"/>
                <w:szCs w:val="20"/>
              </w:rPr>
            </w:pPr>
            <w:r w:rsidRPr="00984D34">
              <w:rPr>
                <w:sz w:val="20"/>
                <w:szCs w:val="20"/>
              </w:rPr>
              <w:t xml:space="preserve">·       </w:t>
            </w:r>
            <w:r w:rsidRPr="00B73089">
              <w:rPr>
                <w:sz w:val="20"/>
                <w:szCs w:val="20"/>
              </w:rPr>
              <w:t>38 CFR 3.157(b)</w:t>
            </w:r>
            <w:r w:rsidRPr="00B73089">
              <w:rPr>
                <w:i/>
                <w:iCs/>
                <w:sz w:val="20"/>
                <w:szCs w:val="20"/>
              </w:rPr>
              <w:t xml:space="preserve"> Report of examination or hospitalization as claim for increase or to reopen</w:t>
            </w:r>
          </w:p>
          <w:p w:rsidR="00984D34" w:rsidRPr="00984D34" w:rsidRDefault="00984D34" w:rsidP="00984D34">
            <w:pPr>
              <w:pStyle w:val="NormalWeb"/>
              <w:spacing w:after="0"/>
              <w:ind w:left="418"/>
              <w:rPr>
                <w:sz w:val="20"/>
                <w:szCs w:val="20"/>
              </w:rPr>
            </w:pPr>
            <w:r w:rsidRPr="00984D34">
              <w:rPr>
                <w:sz w:val="20"/>
                <w:szCs w:val="20"/>
              </w:rPr>
              <w:t xml:space="preserve">·       </w:t>
            </w:r>
            <w:r w:rsidRPr="00B73089">
              <w:rPr>
                <w:sz w:val="20"/>
                <w:szCs w:val="20"/>
              </w:rPr>
              <w:t>38 CF3.400(o)(2) </w:t>
            </w:r>
            <w:r w:rsidRPr="00B73089">
              <w:rPr>
                <w:i/>
                <w:iCs/>
                <w:sz w:val="20"/>
                <w:szCs w:val="20"/>
              </w:rPr>
              <w:t xml:space="preserve"> Effective dates; Increases</w:t>
            </w:r>
          </w:p>
          <w:p w:rsidR="00984D34" w:rsidRPr="00984D34" w:rsidRDefault="00984D34" w:rsidP="00984D34">
            <w:pPr>
              <w:pStyle w:val="NormalWeb"/>
              <w:spacing w:after="0"/>
              <w:ind w:left="418"/>
              <w:rPr>
                <w:sz w:val="20"/>
                <w:szCs w:val="20"/>
              </w:rPr>
            </w:pPr>
            <w:r w:rsidRPr="00984D34">
              <w:rPr>
                <w:sz w:val="20"/>
                <w:szCs w:val="20"/>
              </w:rPr>
              <w:t xml:space="preserve">·       </w:t>
            </w:r>
            <w:r w:rsidRPr="00B73089">
              <w:rPr>
                <w:sz w:val="20"/>
                <w:szCs w:val="20"/>
              </w:rPr>
              <w:t>Mayhue v. Shinseki, Application of 38 CFR 3.156 (c)</w:t>
            </w:r>
            <w:r w:rsidRPr="00984D34">
              <w:rPr>
                <w:sz w:val="20"/>
                <w:szCs w:val="20"/>
              </w:rPr>
              <w:t xml:space="preserve"> </w:t>
            </w:r>
          </w:p>
          <w:p w:rsidR="00984D34" w:rsidRPr="00984D34" w:rsidRDefault="00984D34" w:rsidP="00984D34">
            <w:pPr>
              <w:pStyle w:val="NormalWeb"/>
              <w:ind w:left="418"/>
              <w:rPr>
                <w:sz w:val="20"/>
                <w:szCs w:val="20"/>
              </w:rPr>
            </w:pPr>
            <w:r w:rsidRPr="00984D34">
              <w:rPr>
                <w:sz w:val="20"/>
                <w:szCs w:val="20"/>
              </w:rPr>
              <w:t xml:space="preserve">·       </w:t>
            </w:r>
            <w:r w:rsidRPr="00B73089">
              <w:rPr>
                <w:sz w:val="20"/>
                <w:szCs w:val="20"/>
              </w:rPr>
              <w:t>Hart v Mansfield, Staged Ratings</w:t>
            </w:r>
          </w:p>
          <w:p w:rsidR="00E3533B" w:rsidRDefault="00E3533B" w:rsidP="00691877">
            <w:pPr>
              <w:pStyle w:val="ListParagraph"/>
              <w:numPr>
                <w:ilvl w:val="0"/>
                <w:numId w:val="42"/>
              </w:numPr>
              <w:spacing w:after="120" w:line="240" w:lineRule="auto"/>
              <w:rPr>
                <w:rFonts w:ascii="Arial" w:eastAsiaTheme="minorHAnsi" w:hAnsi="Arial"/>
                <w:sz w:val="20"/>
                <w:szCs w:val="20"/>
              </w:rPr>
            </w:pPr>
            <w:r w:rsidRPr="00B73089">
              <w:rPr>
                <w:rFonts w:ascii="Arial" w:hAnsi="Arial"/>
                <w:b/>
                <w:i/>
                <w:sz w:val="20"/>
                <w:szCs w:val="20"/>
              </w:rPr>
              <w:t xml:space="preserve">March 2014 </w:t>
            </w:r>
            <w:r w:rsidR="00EB6F0B" w:rsidRPr="00B73089">
              <w:rPr>
                <w:rFonts w:ascii="Arial" w:hAnsi="Arial"/>
                <w:b/>
                <w:i/>
                <w:sz w:val="20"/>
                <w:szCs w:val="20"/>
              </w:rPr>
              <w:t>Compensation Service Bulletin (CSB)</w:t>
            </w:r>
            <w:r w:rsidRPr="00E3533B">
              <w:rPr>
                <w:rFonts w:ascii="Arial" w:hAnsi="Arial"/>
                <w:sz w:val="20"/>
                <w:szCs w:val="20"/>
              </w:rPr>
              <w:t xml:space="preserve"> – W</w:t>
            </w:r>
            <w:r w:rsidRPr="00E3533B">
              <w:rPr>
                <w:rFonts w:ascii="Arial" w:eastAsiaTheme="minorHAnsi" w:hAnsi="Arial"/>
                <w:sz w:val="20"/>
                <w:szCs w:val="20"/>
              </w:rPr>
              <w:t>hen the Veteran’s record shows that he/she has been awarded disability benefits by SSA and a VA Form 21-8940 is of record, ROs should obtain the SSD records. However, ROs are not required to request SSD request when a Veteran fails to return VA Form 21-8940. In those cases, the claim is not substantially complete and no further development action is needed.</w:t>
            </w:r>
          </w:p>
          <w:p w:rsidR="00174027" w:rsidRPr="005D694D" w:rsidRDefault="00D571C5" w:rsidP="00691877">
            <w:pPr>
              <w:pStyle w:val="ListParagraph"/>
              <w:numPr>
                <w:ilvl w:val="0"/>
                <w:numId w:val="42"/>
              </w:numPr>
              <w:spacing w:after="120" w:line="240" w:lineRule="auto"/>
              <w:rPr>
                <w:rFonts w:ascii="Arial" w:eastAsiaTheme="minorHAnsi" w:hAnsi="Arial"/>
                <w:sz w:val="20"/>
                <w:szCs w:val="20"/>
              </w:rPr>
            </w:pPr>
            <w:hyperlink r:id="rId675" w:history="1">
              <w:r w:rsidR="00174027" w:rsidRPr="005D694D">
                <w:rPr>
                  <w:rStyle w:val="Hyperlink"/>
                  <w:rFonts w:ascii="Arial" w:eastAsiaTheme="minorHAnsi" w:hAnsi="Arial"/>
                  <w:b/>
                  <w:i/>
                  <w:sz w:val="20"/>
                  <w:szCs w:val="20"/>
                </w:rPr>
                <w:t>ADL SOP March 2014</w:t>
              </w:r>
            </w:hyperlink>
            <w:r w:rsidR="00174027" w:rsidRPr="005D694D">
              <w:rPr>
                <w:rFonts w:ascii="Arial" w:eastAsiaTheme="minorHAnsi" w:hAnsi="Arial"/>
                <w:b/>
                <w:i/>
                <w:sz w:val="20"/>
                <w:szCs w:val="20"/>
                <w:u w:val="single"/>
              </w:rPr>
              <w:t xml:space="preserve"> </w:t>
            </w:r>
            <w:r w:rsidR="00174027" w:rsidRPr="005D694D">
              <w:rPr>
                <w:rFonts w:ascii="Arial" w:eastAsiaTheme="minorHAnsi" w:hAnsi="Arial"/>
                <w:sz w:val="20"/>
                <w:szCs w:val="20"/>
              </w:rPr>
              <w:t>– IU When There Is No Complete VA Form 21-8940</w:t>
            </w:r>
            <w:r w:rsidR="00AB1DEB">
              <w:rPr>
                <w:rFonts w:ascii="Arial" w:eastAsiaTheme="minorHAnsi" w:hAnsi="Arial"/>
                <w:sz w:val="20"/>
                <w:szCs w:val="20"/>
              </w:rPr>
              <w:t xml:space="preserve"> – see details under VBMS-R Free Text section of this same title</w:t>
            </w:r>
          </w:p>
          <w:p w:rsidR="006C44E7" w:rsidRPr="00AB1DEB" w:rsidRDefault="006C44E7" w:rsidP="00691877">
            <w:pPr>
              <w:pStyle w:val="ListParagraph"/>
              <w:numPr>
                <w:ilvl w:val="0"/>
                <w:numId w:val="42"/>
              </w:numPr>
              <w:spacing w:after="120"/>
              <w:rPr>
                <w:rFonts w:ascii="Arial" w:hAnsi="Arial"/>
                <w:sz w:val="20"/>
                <w:szCs w:val="20"/>
              </w:rPr>
            </w:pPr>
            <w:r w:rsidRPr="00AB1DEB">
              <w:rPr>
                <w:rFonts w:ascii="Arial" w:hAnsi="Arial"/>
                <w:b/>
                <w:bCs/>
                <w:sz w:val="20"/>
                <w:szCs w:val="20"/>
              </w:rPr>
              <w:t>From:</w:t>
            </w:r>
            <w:r w:rsidRPr="00AB1DEB">
              <w:rPr>
                <w:rFonts w:ascii="Arial" w:hAnsi="Arial"/>
                <w:sz w:val="20"/>
                <w:szCs w:val="20"/>
              </w:rPr>
              <w:t xml:space="preserve"> VAVBASDC/RO/VSC </w:t>
            </w:r>
            <w:r w:rsidRPr="00AB1DEB">
              <w:rPr>
                <w:rFonts w:ascii="Arial" w:hAnsi="Arial"/>
                <w:sz w:val="20"/>
                <w:szCs w:val="20"/>
              </w:rPr>
              <w:br/>
            </w:r>
            <w:r w:rsidRPr="00AB1DEB">
              <w:rPr>
                <w:rFonts w:ascii="Arial" w:hAnsi="Arial"/>
                <w:b/>
                <w:bCs/>
                <w:sz w:val="20"/>
                <w:szCs w:val="20"/>
              </w:rPr>
              <w:t>Sent:</w:t>
            </w:r>
            <w:r w:rsidRPr="00AB1DEB">
              <w:rPr>
                <w:rFonts w:ascii="Arial" w:hAnsi="Arial"/>
                <w:sz w:val="20"/>
                <w:szCs w:val="20"/>
              </w:rPr>
              <w:t xml:space="preserve"> Tuesday, June 24, 2014 1:22 PM</w:t>
            </w:r>
            <w:r w:rsidRPr="00AB1DEB">
              <w:rPr>
                <w:rFonts w:ascii="Arial" w:hAnsi="Arial"/>
                <w:sz w:val="20"/>
                <w:szCs w:val="20"/>
              </w:rPr>
              <w:br/>
            </w:r>
            <w:r w:rsidRPr="00AB1DEB">
              <w:rPr>
                <w:rFonts w:ascii="Arial" w:hAnsi="Arial"/>
                <w:b/>
                <w:bCs/>
                <w:sz w:val="20"/>
                <w:szCs w:val="20"/>
              </w:rPr>
              <w:t>Subject:</w:t>
            </w:r>
            <w:r w:rsidRPr="00AB1DEB">
              <w:rPr>
                <w:rFonts w:ascii="Arial" w:hAnsi="Arial"/>
                <w:sz w:val="20"/>
                <w:szCs w:val="20"/>
              </w:rPr>
              <w:t xml:space="preserve"> FW: TDIU as an inferred issue</w:t>
            </w:r>
          </w:p>
          <w:p w:rsidR="006C44E7" w:rsidRPr="00AB1DEB" w:rsidRDefault="006C44E7" w:rsidP="00452E99">
            <w:pPr>
              <w:tabs>
                <w:tab w:val="num" w:pos="330"/>
              </w:tabs>
              <w:spacing w:after="120"/>
              <w:ind w:left="331"/>
            </w:pPr>
            <w:r w:rsidRPr="00AB1DEB">
              <w:t xml:space="preserve">Employees, please be reminded of the following guidance regarding claims for Total Disability Individual Unemployability (TDIU).  </w:t>
            </w:r>
          </w:p>
          <w:p w:rsidR="006C44E7" w:rsidRPr="00AB1DEB" w:rsidRDefault="006C44E7" w:rsidP="00452E99">
            <w:pPr>
              <w:tabs>
                <w:tab w:val="num" w:pos="330"/>
              </w:tabs>
              <w:spacing w:after="120"/>
              <w:ind w:left="331"/>
            </w:pPr>
            <w:r w:rsidRPr="00AB1DEB">
              <w:t>Fast Letter 13-13 states that “if the evidence reasonable raises the issue of TDIU, the RVSR will infer and defer the issue on the Rating decision.  In these cases, authorize but continue the end product (EP).  The TDIU claim must be worked as part of the EP pending when the RVSR inferred the issue . . . at that point, send the Veteran a TDIU-specific Section 5103 notice for all TDIU claims.  Include any disability the Veteran specifies causes I.U. in the notice as the claim for increase</w:t>
            </w:r>
            <w:r w:rsidR="001946CC">
              <w:t>.”</w:t>
            </w:r>
            <w:r w:rsidRPr="00AB1DEB">
              <w:t xml:space="preserve"> </w:t>
            </w:r>
          </w:p>
          <w:p w:rsidR="006C44E7" w:rsidRPr="00AB1DEB" w:rsidRDefault="006C44E7" w:rsidP="00452E99">
            <w:pPr>
              <w:tabs>
                <w:tab w:val="num" w:pos="330"/>
              </w:tabs>
              <w:spacing w:after="120"/>
              <w:ind w:left="331"/>
            </w:pPr>
            <w:r w:rsidRPr="00AB1DEB">
              <w:t xml:space="preserve">An EP 930 is not warranted for the scenario above, nor is it efficient to reassign the deferred issue to a Pre VSR on the Team to send a separate 5103 notice to the Veteran for TDIU.  The preferred method is for the Post VSR to include the TDIU 5103 notice in the Award letter, add a tracked item for return of the 21-8940, and suspense the pending EP for an additional 30 days.  If there are multiple deferred issues, to include TDIU, the claim should be forwarded to a Pre VSR for action needed.    All deferred ratings should receive priority handling.   No suspense date beyond 15 days should be assigned to a deferred rating. </w:t>
            </w:r>
          </w:p>
          <w:p w:rsidR="00FA4CDD" w:rsidRPr="00E6700E" w:rsidRDefault="00FA4CDD" w:rsidP="00691877">
            <w:pPr>
              <w:pStyle w:val="ListParagraph"/>
              <w:numPr>
                <w:ilvl w:val="0"/>
                <w:numId w:val="42"/>
              </w:numPr>
              <w:rPr>
                <w:rFonts w:ascii="Arial" w:hAnsi="Arial"/>
                <w:sz w:val="20"/>
                <w:szCs w:val="20"/>
              </w:rPr>
            </w:pPr>
            <w:r w:rsidRPr="00B73089">
              <w:rPr>
                <w:rFonts w:ascii="Arial" w:hAnsi="Arial"/>
                <w:b/>
                <w:i/>
                <w:sz w:val="20"/>
                <w:szCs w:val="20"/>
              </w:rPr>
              <w:t xml:space="preserve">July 2014 </w:t>
            </w:r>
            <w:r w:rsidR="00EB6F0B" w:rsidRPr="00B73089">
              <w:rPr>
                <w:rFonts w:ascii="Arial" w:hAnsi="Arial"/>
                <w:b/>
                <w:i/>
                <w:sz w:val="20"/>
                <w:szCs w:val="20"/>
              </w:rPr>
              <w:t>Compensation Service Bulletin (CSB)</w:t>
            </w:r>
            <w:r w:rsidRPr="00EA1680">
              <w:rPr>
                <w:rStyle w:val="Hyperlink"/>
                <w:rFonts w:ascii="Arial" w:hAnsi="Arial"/>
                <w:color w:val="auto"/>
                <w:sz w:val="20"/>
                <w:szCs w:val="20"/>
                <w:u w:val="none"/>
              </w:rPr>
              <w:t xml:space="preserve"> –</w:t>
            </w:r>
            <w:r w:rsidRPr="00EA1680">
              <w:rPr>
                <w:rFonts w:ascii="Arial" w:hAnsi="Arial"/>
                <w:sz w:val="20"/>
                <w:szCs w:val="20"/>
              </w:rPr>
              <w:t xml:space="preserve"> The 8940 and 4192 are being updated to obtain necessary information from Veteran claimants still serving in the National Guard or Reserves who are unable to perform their duties due to a service-connected condition(s). While the forms are being updated, VSRs, RVSRs and DROs should continue paying close attention to any information indicating that a Veteran is unable to perform his/her guard or reserve duties due to a service-connected condition. </w:t>
            </w:r>
            <w:r w:rsidR="00EA1680" w:rsidRPr="00EA1680">
              <w:rPr>
                <w:rFonts w:ascii="Arial" w:hAnsi="Arial"/>
                <w:i/>
                <w:sz w:val="20"/>
                <w:szCs w:val="20"/>
              </w:rPr>
              <w:t>Read Bulletin for further details…</w:t>
            </w:r>
          </w:p>
          <w:p w:rsidR="00E6700E" w:rsidRPr="00AB1DEB" w:rsidRDefault="00E6700E" w:rsidP="00691877">
            <w:pPr>
              <w:pStyle w:val="ListParagraph"/>
              <w:numPr>
                <w:ilvl w:val="0"/>
                <w:numId w:val="42"/>
              </w:numPr>
              <w:rPr>
                <w:rFonts w:ascii="Arial" w:hAnsi="Arial"/>
                <w:sz w:val="20"/>
                <w:szCs w:val="20"/>
              </w:rPr>
            </w:pPr>
            <w:r w:rsidRPr="00AB1DEB">
              <w:rPr>
                <w:rFonts w:ascii="Arial" w:hAnsi="Arial"/>
                <w:b/>
                <w:bCs/>
                <w:sz w:val="20"/>
                <w:szCs w:val="20"/>
              </w:rPr>
              <w:t>From:</w:t>
            </w:r>
            <w:r w:rsidRPr="00AB1DEB">
              <w:rPr>
                <w:rFonts w:ascii="Arial" w:hAnsi="Arial"/>
                <w:sz w:val="20"/>
                <w:szCs w:val="20"/>
              </w:rPr>
              <w:t xml:space="preserve"> VAVBASDC/RO/VSC </w:t>
            </w:r>
            <w:r w:rsidRPr="00AB1DEB">
              <w:rPr>
                <w:rFonts w:ascii="Arial" w:hAnsi="Arial"/>
                <w:sz w:val="20"/>
                <w:szCs w:val="20"/>
              </w:rPr>
              <w:br/>
            </w:r>
            <w:r w:rsidRPr="00AB1DEB">
              <w:rPr>
                <w:rFonts w:ascii="Arial" w:hAnsi="Arial"/>
                <w:b/>
                <w:bCs/>
                <w:sz w:val="20"/>
                <w:szCs w:val="20"/>
              </w:rPr>
              <w:t>Sent:</w:t>
            </w:r>
            <w:r w:rsidRPr="00AB1DEB">
              <w:rPr>
                <w:rFonts w:ascii="Arial" w:hAnsi="Arial"/>
                <w:sz w:val="20"/>
                <w:szCs w:val="20"/>
              </w:rPr>
              <w:t xml:space="preserve"> Monday, September 08, 2014 4:10 PM</w:t>
            </w:r>
            <w:r w:rsidRPr="00AB1DEB">
              <w:rPr>
                <w:rFonts w:ascii="Arial" w:hAnsi="Arial"/>
                <w:sz w:val="20"/>
                <w:szCs w:val="20"/>
              </w:rPr>
              <w:br/>
            </w:r>
            <w:r w:rsidRPr="00AB1DEB">
              <w:rPr>
                <w:rFonts w:ascii="Arial" w:hAnsi="Arial"/>
                <w:b/>
                <w:bCs/>
                <w:sz w:val="20"/>
                <w:szCs w:val="20"/>
              </w:rPr>
              <w:t>Subject:</w:t>
            </w:r>
            <w:r w:rsidRPr="00AB1DEB">
              <w:rPr>
                <w:rFonts w:ascii="Arial" w:hAnsi="Arial"/>
                <w:sz w:val="20"/>
                <w:szCs w:val="20"/>
              </w:rPr>
              <w:t xml:space="preserve"> FW: Effective dates for I.U.</w:t>
            </w:r>
          </w:p>
          <w:p w:rsidR="00E6700E" w:rsidRPr="00AB1DEB" w:rsidRDefault="00E6700E" w:rsidP="00452E99">
            <w:pPr>
              <w:spacing w:after="120"/>
              <w:ind w:left="331"/>
              <w:rPr>
                <w:color w:val="0000FF"/>
              </w:rPr>
            </w:pPr>
            <w:r w:rsidRPr="00AB1DEB">
              <w:t xml:space="preserve">Please see attached </w:t>
            </w:r>
            <w:hyperlink r:id="rId676" w:history="1">
              <w:r w:rsidRPr="00AB1DEB">
                <w:rPr>
                  <w:rStyle w:val="Hyperlink"/>
                </w:rPr>
                <w:t>Effective dates for IU</w:t>
              </w:r>
            </w:hyperlink>
            <w:r w:rsidRPr="00AB1DEB">
              <w:rPr>
                <w:color w:val="0000FF"/>
              </w:rPr>
              <w:t xml:space="preserve"> </w:t>
            </w:r>
            <w:r w:rsidRPr="00AB1DEB">
              <w:t>which can be used to assist in assigning the effective date for grants of I.U.   </w:t>
            </w:r>
          </w:p>
          <w:p w:rsidR="00E6700E" w:rsidRPr="00E6700E" w:rsidRDefault="00E6700E" w:rsidP="00E6700E">
            <w:pPr>
              <w:pStyle w:val="BodyText"/>
              <w:pBdr>
                <w:top w:val="single" w:sz="4" w:space="1" w:color="auto"/>
                <w:left w:val="single" w:sz="4" w:space="4" w:color="auto"/>
                <w:bottom w:val="single" w:sz="4" w:space="1" w:color="auto"/>
                <w:right w:val="single" w:sz="4" w:space="4" w:color="auto"/>
              </w:pBdr>
              <w:tabs>
                <w:tab w:val="left" w:pos="7887"/>
                <w:tab w:val="left" w:pos="8210"/>
              </w:tabs>
              <w:spacing w:before="40"/>
              <w:ind w:left="240" w:right="250"/>
              <w:rPr>
                <w:rFonts w:eastAsia="Arial"/>
                <w:b/>
                <w:sz w:val="20"/>
              </w:rPr>
            </w:pPr>
            <w:r w:rsidRPr="00E6700E">
              <w:rPr>
                <w:b/>
                <w:w w:val="105"/>
                <w:sz w:val="20"/>
              </w:rPr>
              <w:t>Effective</w:t>
            </w:r>
            <w:r w:rsidRPr="00E6700E">
              <w:rPr>
                <w:b/>
                <w:spacing w:val="-17"/>
                <w:w w:val="105"/>
                <w:sz w:val="20"/>
              </w:rPr>
              <w:t xml:space="preserve"> </w:t>
            </w:r>
            <w:r w:rsidRPr="00E6700E">
              <w:rPr>
                <w:b/>
                <w:w w:val="105"/>
                <w:sz w:val="20"/>
              </w:rPr>
              <w:t>dates</w:t>
            </w:r>
            <w:r w:rsidRPr="00E6700E">
              <w:rPr>
                <w:b/>
                <w:spacing w:val="-24"/>
                <w:w w:val="105"/>
                <w:sz w:val="20"/>
              </w:rPr>
              <w:t xml:space="preserve"> </w:t>
            </w:r>
            <w:r w:rsidRPr="00E6700E">
              <w:rPr>
                <w:b/>
                <w:w w:val="105"/>
                <w:sz w:val="20"/>
              </w:rPr>
              <w:t>for</w:t>
            </w:r>
            <w:r w:rsidRPr="00E6700E">
              <w:rPr>
                <w:b/>
                <w:spacing w:val="-24"/>
                <w:w w:val="105"/>
                <w:sz w:val="20"/>
              </w:rPr>
              <w:t xml:space="preserve"> </w:t>
            </w:r>
            <w:r w:rsidRPr="00E6700E">
              <w:rPr>
                <w:b/>
                <w:w w:val="105"/>
                <w:sz w:val="20"/>
              </w:rPr>
              <w:t>claims</w:t>
            </w:r>
            <w:r w:rsidRPr="00E6700E">
              <w:rPr>
                <w:b/>
                <w:spacing w:val="-22"/>
                <w:w w:val="105"/>
                <w:sz w:val="20"/>
              </w:rPr>
              <w:t xml:space="preserve"> </w:t>
            </w:r>
            <w:r w:rsidRPr="00E6700E">
              <w:rPr>
                <w:b/>
                <w:w w:val="105"/>
                <w:sz w:val="20"/>
              </w:rPr>
              <w:t xml:space="preserve">for </w:t>
            </w:r>
            <w:r w:rsidRPr="00E6700E">
              <w:rPr>
                <w:b/>
                <w:spacing w:val="-30"/>
                <w:w w:val="105"/>
                <w:sz w:val="20"/>
              </w:rPr>
              <w:t xml:space="preserve"> </w:t>
            </w:r>
            <w:r w:rsidRPr="00E6700E">
              <w:rPr>
                <w:b/>
                <w:w w:val="105"/>
                <w:sz w:val="20"/>
              </w:rPr>
              <w:t>IU</w:t>
            </w:r>
          </w:p>
          <w:p w:rsidR="00E6700E" w:rsidRPr="00E6700E" w:rsidRDefault="00E6700E" w:rsidP="00E6700E">
            <w:pPr>
              <w:pBdr>
                <w:top w:val="single" w:sz="4" w:space="1" w:color="auto"/>
                <w:left w:val="single" w:sz="4" w:space="4" w:color="auto"/>
                <w:bottom w:val="single" w:sz="4" w:space="1" w:color="auto"/>
                <w:right w:val="single" w:sz="4" w:space="4" w:color="auto"/>
              </w:pBdr>
              <w:spacing w:before="9"/>
              <w:ind w:left="240" w:right="250"/>
              <w:rPr>
                <w:rFonts w:eastAsia="Arial"/>
              </w:rPr>
            </w:pPr>
          </w:p>
          <w:p w:rsidR="00E6700E" w:rsidRP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sz w:val="20"/>
              </w:rPr>
            </w:pPr>
            <w:r>
              <w:rPr>
                <w:spacing w:val="2"/>
                <w:w w:val="105"/>
                <w:sz w:val="20"/>
              </w:rPr>
              <w:t xml:space="preserve">#1. Veteran </w:t>
            </w:r>
            <w:r w:rsidRPr="00E6700E">
              <w:rPr>
                <w:w w:val="105"/>
                <w:sz w:val="20"/>
              </w:rPr>
              <w:t>60%</w:t>
            </w:r>
            <w:r w:rsidRPr="00E6700E">
              <w:rPr>
                <w:spacing w:val="-3"/>
                <w:w w:val="105"/>
                <w:sz w:val="20"/>
              </w:rPr>
              <w:t xml:space="preserve"> </w:t>
            </w:r>
            <w:r w:rsidRPr="00E6700E">
              <w:rPr>
                <w:w w:val="105"/>
                <w:sz w:val="20"/>
              </w:rPr>
              <w:t>SC</w:t>
            </w:r>
            <w:r w:rsidRPr="00E6700E">
              <w:rPr>
                <w:spacing w:val="-24"/>
                <w:w w:val="105"/>
                <w:sz w:val="20"/>
              </w:rPr>
              <w:t xml:space="preserve"> </w:t>
            </w:r>
            <w:r w:rsidRPr="00E6700E">
              <w:rPr>
                <w:w w:val="105"/>
                <w:sz w:val="20"/>
              </w:rPr>
              <w:t>for</w:t>
            </w:r>
            <w:r w:rsidRPr="00E6700E">
              <w:rPr>
                <w:spacing w:val="-11"/>
                <w:w w:val="105"/>
                <w:sz w:val="20"/>
              </w:rPr>
              <w:t xml:space="preserve"> </w:t>
            </w:r>
            <w:r w:rsidRPr="00E6700E">
              <w:rPr>
                <w:w w:val="105"/>
                <w:sz w:val="20"/>
              </w:rPr>
              <w:t>heart</w:t>
            </w:r>
            <w:r w:rsidRPr="00E6700E">
              <w:rPr>
                <w:spacing w:val="2"/>
                <w:w w:val="105"/>
                <w:sz w:val="20"/>
              </w:rPr>
              <w:t xml:space="preserve"> </w:t>
            </w:r>
            <w:r w:rsidRPr="00E6700E">
              <w:rPr>
                <w:w w:val="105"/>
                <w:sz w:val="20"/>
              </w:rPr>
              <w:t>condition</w:t>
            </w:r>
            <w:r w:rsidRPr="00E6700E">
              <w:rPr>
                <w:spacing w:val="8"/>
                <w:w w:val="105"/>
                <w:sz w:val="20"/>
              </w:rPr>
              <w:t xml:space="preserve"> </w:t>
            </w:r>
            <w:r w:rsidRPr="00E6700E">
              <w:rPr>
                <w:w w:val="105"/>
                <w:sz w:val="20"/>
              </w:rPr>
              <w:t>since</w:t>
            </w:r>
            <w:r w:rsidRPr="00E6700E">
              <w:rPr>
                <w:spacing w:val="-5"/>
                <w:w w:val="105"/>
                <w:sz w:val="20"/>
              </w:rPr>
              <w:t xml:space="preserve"> </w:t>
            </w:r>
            <w:r>
              <w:rPr>
                <w:spacing w:val="-5"/>
                <w:w w:val="105"/>
                <w:sz w:val="20"/>
              </w:rPr>
              <w:t>1994</w:t>
            </w:r>
            <w:r w:rsidRPr="00E6700E">
              <w:rPr>
                <w:w w:val="105"/>
                <w:sz w:val="20"/>
              </w:rPr>
              <w:t>.</w:t>
            </w:r>
            <w:r w:rsidRPr="00E6700E">
              <w:rPr>
                <w:spacing w:val="-12"/>
                <w:w w:val="105"/>
                <w:sz w:val="20"/>
              </w:rPr>
              <w:t xml:space="preserve"> </w:t>
            </w:r>
            <w:r w:rsidRPr="00E6700E">
              <w:rPr>
                <w:w w:val="105"/>
                <w:sz w:val="20"/>
              </w:rPr>
              <w:t>Stops</w:t>
            </w:r>
            <w:r w:rsidRPr="00E6700E">
              <w:rPr>
                <w:spacing w:val="-20"/>
                <w:w w:val="105"/>
                <w:sz w:val="20"/>
              </w:rPr>
              <w:t xml:space="preserve"> </w:t>
            </w:r>
            <w:r w:rsidRPr="00E6700E">
              <w:rPr>
                <w:w w:val="105"/>
                <w:sz w:val="20"/>
              </w:rPr>
              <w:t>working</w:t>
            </w:r>
            <w:r>
              <w:rPr>
                <w:w w:val="105"/>
                <w:sz w:val="20"/>
              </w:rPr>
              <w:t xml:space="preserve"> 12-15-97, files 21-8940 </w:t>
            </w:r>
            <w:r w:rsidRPr="00E6700E">
              <w:rPr>
                <w:w w:val="105"/>
                <w:sz w:val="20"/>
              </w:rPr>
              <w:t>4-2-9</w:t>
            </w:r>
            <w:r w:rsidRPr="00E6700E">
              <w:rPr>
                <w:spacing w:val="7"/>
                <w:w w:val="105"/>
                <w:sz w:val="20"/>
              </w:rPr>
              <w:t>8</w:t>
            </w:r>
            <w:r w:rsidRPr="00E6700E">
              <w:rPr>
                <w:w w:val="105"/>
                <w:sz w:val="20"/>
              </w:rPr>
              <w:t>.</w:t>
            </w:r>
          </w:p>
          <w:p w:rsid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w w:val="105"/>
                <w:sz w:val="20"/>
              </w:rPr>
            </w:pPr>
            <w:r w:rsidRPr="00E6700E">
              <w:rPr>
                <w:w w:val="105"/>
                <w:sz w:val="20"/>
              </w:rPr>
              <w:t>Effective</w:t>
            </w:r>
            <w:r w:rsidRPr="00E6700E">
              <w:rPr>
                <w:spacing w:val="-2"/>
                <w:w w:val="105"/>
                <w:sz w:val="20"/>
              </w:rPr>
              <w:t xml:space="preserve"> </w:t>
            </w:r>
            <w:r w:rsidRPr="00E6700E">
              <w:rPr>
                <w:w w:val="105"/>
                <w:sz w:val="20"/>
              </w:rPr>
              <w:t>date</w:t>
            </w:r>
            <w:r w:rsidRPr="00E6700E">
              <w:rPr>
                <w:spacing w:val="-20"/>
                <w:w w:val="105"/>
                <w:sz w:val="20"/>
              </w:rPr>
              <w:t xml:space="preserve"> </w:t>
            </w:r>
            <w:r w:rsidRPr="00E6700E">
              <w:rPr>
                <w:w w:val="105"/>
                <w:sz w:val="20"/>
              </w:rPr>
              <w:t>would</w:t>
            </w:r>
            <w:r w:rsidRPr="00E6700E">
              <w:rPr>
                <w:spacing w:val="12"/>
                <w:w w:val="105"/>
                <w:sz w:val="20"/>
              </w:rPr>
              <w:t xml:space="preserve"> </w:t>
            </w:r>
            <w:r w:rsidRPr="00E6700E">
              <w:rPr>
                <w:w w:val="105"/>
                <w:sz w:val="20"/>
              </w:rPr>
              <w:t>be</w:t>
            </w:r>
            <w:r>
              <w:rPr>
                <w:w w:val="105"/>
                <w:sz w:val="20"/>
              </w:rPr>
              <w:t xml:space="preserve"> 12-16-97</w:t>
            </w:r>
            <w:r w:rsidRPr="00E6700E">
              <w:rPr>
                <w:spacing w:val="1"/>
                <w:w w:val="105"/>
                <w:sz w:val="20"/>
              </w:rPr>
              <w:t>.</w:t>
            </w:r>
            <w:r>
              <w:rPr>
                <w:spacing w:val="1"/>
                <w:w w:val="105"/>
                <w:sz w:val="20"/>
              </w:rPr>
              <w:t xml:space="preserve"> </w:t>
            </w:r>
            <w:r w:rsidRPr="00E6700E">
              <w:rPr>
                <w:w w:val="105"/>
                <w:sz w:val="20"/>
              </w:rPr>
              <w:t>Because</w:t>
            </w:r>
            <w:r w:rsidRPr="00E6700E">
              <w:rPr>
                <w:spacing w:val="-7"/>
                <w:w w:val="105"/>
                <w:sz w:val="20"/>
              </w:rPr>
              <w:t xml:space="preserve"> </w:t>
            </w:r>
            <w:r w:rsidRPr="00E6700E">
              <w:rPr>
                <w:w w:val="105"/>
                <w:sz w:val="20"/>
              </w:rPr>
              <w:t>be</w:t>
            </w:r>
            <w:r>
              <w:rPr>
                <w:w w:val="105"/>
                <w:sz w:val="20"/>
              </w:rPr>
              <w:t xml:space="preserve"> filed</w:t>
            </w:r>
            <w:r w:rsidRPr="00E6700E">
              <w:rPr>
                <w:spacing w:val="1"/>
                <w:w w:val="105"/>
                <w:sz w:val="20"/>
              </w:rPr>
              <w:t xml:space="preserve"> </w:t>
            </w:r>
            <w:r w:rsidRPr="00E6700E">
              <w:rPr>
                <w:w w:val="105"/>
                <w:sz w:val="20"/>
              </w:rPr>
              <w:t>the</w:t>
            </w:r>
            <w:r w:rsidRPr="00E6700E">
              <w:rPr>
                <w:spacing w:val="-14"/>
                <w:w w:val="105"/>
                <w:sz w:val="20"/>
              </w:rPr>
              <w:t xml:space="preserve"> </w:t>
            </w:r>
            <w:r w:rsidRPr="00E6700E">
              <w:rPr>
                <w:w w:val="105"/>
                <w:sz w:val="20"/>
              </w:rPr>
              <w:t>claim</w:t>
            </w:r>
            <w:r w:rsidRPr="00E6700E">
              <w:rPr>
                <w:spacing w:val="-7"/>
                <w:w w:val="105"/>
                <w:sz w:val="20"/>
              </w:rPr>
              <w:t xml:space="preserve"> </w:t>
            </w:r>
            <w:r w:rsidRPr="00E6700E">
              <w:rPr>
                <w:w w:val="105"/>
                <w:sz w:val="20"/>
              </w:rPr>
              <w:t>for</w:t>
            </w:r>
            <w:r w:rsidRPr="00E6700E">
              <w:rPr>
                <w:spacing w:val="-17"/>
                <w:w w:val="105"/>
                <w:sz w:val="20"/>
              </w:rPr>
              <w:t xml:space="preserve"> </w:t>
            </w:r>
            <w:r w:rsidRPr="00E6700E">
              <w:rPr>
                <w:w w:val="105"/>
                <w:sz w:val="20"/>
              </w:rPr>
              <w:t>IU</w:t>
            </w:r>
            <w:r w:rsidRPr="00E6700E">
              <w:rPr>
                <w:spacing w:val="-19"/>
                <w:w w:val="105"/>
                <w:sz w:val="20"/>
              </w:rPr>
              <w:t xml:space="preserve"> </w:t>
            </w:r>
            <w:r w:rsidRPr="00E6700E">
              <w:rPr>
                <w:w w:val="105"/>
                <w:sz w:val="20"/>
              </w:rPr>
              <w:t xml:space="preserve">within </w:t>
            </w:r>
            <w:r>
              <w:rPr>
                <w:w w:val="105"/>
                <w:sz w:val="20"/>
              </w:rPr>
              <w:t xml:space="preserve">1 </w:t>
            </w:r>
            <w:r w:rsidRPr="00E6700E">
              <w:rPr>
                <w:w w:val="105"/>
                <w:sz w:val="20"/>
              </w:rPr>
              <w:t>year</w:t>
            </w:r>
            <w:r w:rsidRPr="00E6700E">
              <w:rPr>
                <w:spacing w:val="-7"/>
                <w:w w:val="105"/>
                <w:sz w:val="20"/>
              </w:rPr>
              <w:t xml:space="preserve"> </w:t>
            </w:r>
            <w:r w:rsidRPr="00E6700E">
              <w:rPr>
                <w:w w:val="105"/>
                <w:sz w:val="20"/>
              </w:rPr>
              <w:t>of</w:t>
            </w:r>
            <w:r w:rsidRPr="00E6700E">
              <w:rPr>
                <w:w w:val="97"/>
                <w:sz w:val="20"/>
              </w:rPr>
              <w:t xml:space="preserve"> </w:t>
            </w:r>
            <w:r w:rsidRPr="00E6700E">
              <w:rPr>
                <w:w w:val="105"/>
                <w:sz w:val="20"/>
              </w:rPr>
              <w:t>leaving</w:t>
            </w:r>
            <w:r w:rsidRPr="00E6700E">
              <w:rPr>
                <w:spacing w:val="-18"/>
                <w:w w:val="105"/>
                <w:sz w:val="20"/>
              </w:rPr>
              <w:t xml:space="preserve"> </w:t>
            </w:r>
            <w:r w:rsidRPr="00E6700E">
              <w:rPr>
                <w:w w:val="105"/>
                <w:sz w:val="20"/>
              </w:rPr>
              <w:t>the</w:t>
            </w:r>
            <w:r w:rsidRPr="00E6700E">
              <w:rPr>
                <w:spacing w:val="-42"/>
                <w:w w:val="105"/>
                <w:sz w:val="20"/>
              </w:rPr>
              <w:t xml:space="preserve"> </w:t>
            </w:r>
            <w:r w:rsidRPr="00E6700E">
              <w:rPr>
                <w:w w:val="105"/>
                <w:sz w:val="20"/>
              </w:rPr>
              <w:t>job.</w:t>
            </w:r>
          </w:p>
          <w:p w:rsidR="00E6700E" w:rsidRP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sz w:val="20"/>
              </w:rPr>
            </w:pPr>
          </w:p>
          <w:p w:rsidR="00E6700E" w:rsidRP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sz w:val="20"/>
              </w:rPr>
            </w:pPr>
            <w:r w:rsidRPr="00E6700E">
              <w:rPr>
                <w:w w:val="105"/>
                <w:sz w:val="20"/>
              </w:rPr>
              <w:t>#2.</w:t>
            </w:r>
            <w:r w:rsidRPr="00E6700E">
              <w:rPr>
                <w:spacing w:val="37"/>
                <w:w w:val="105"/>
                <w:sz w:val="20"/>
              </w:rPr>
              <w:t xml:space="preserve"> </w:t>
            </w:r>
            <w:r w:rsidRPr="00E6700E">
              <w:rPr>
                <w:w w:val="105"/>
                <w:sz w:val="20"/>
              </w:rPr>
              <w:t>Veteran</w:t>
            </w:r>
            <w:r w:rsidRPr="00E6700E">
              <w:rPr>
                <w:spacing w:val="3"/>
                <w:w w:val="105"/>
                <w:sz w:val="20"/>
              </w:rPr>
              <w:t xml:space="preserve"> </w:t>
            </w:r>
            <w:r w:rsidRPr="00E6700E">
              <w:rPr>
                <w:w w:val="105"/>
                <w:sz w:val="20"/>
              </w:rPr>
              <w:t>60%</w:t>
            </w:r>
            <w:r w:rsidRPr="00E6700E">
              <w:rPr>
                <w:spacing w:val="-7"/>
                <w:w w:val="105"/>
                <w:sz w:val="20"/>
              </w:rPr>
              <w:t xml:space="preserve"> </w:t>
            </w:r>
            <w:r w:rsidRPr="00E6700E">
              <w:rPr>
                <w:w w:val="105"/>
                <w:sz w:val="20"/>
              </w:rPr>
              <w:t>SC</w:t>
            </w:r>
            <w:r w:rsidRPr="00E6700E">
              <w:rPr>
                <w:spacing w:val="-33"/>
                <w:w w:val="105"/>
                <w:sz w:val="20"/>
              </w:rPr>
              <w:t xml:space="preserve"> </w:t>
            </w:r>
            <w:r w:rsidRPr="00E6700E">
              <w:rPr>
                <w:w w:val="105"/>
                <w:sz w:val="20"/>
              </w:rPr>
              <w:t>for</w:t>
            </w:r>
            <w:r w:rsidRPr="00E6700E">
              <w:rPr>
                <w:spacing w:val="-14"/>
                <w:w w:val="105"/>
                <w:sz w:val="20"/>
              </w:rPr>
              <w:t xml:space="preserve"> </w:t>
            </w:r>
            <w:r w:rsidRPr="00E6700E">
              <w:rPr>
                <w:w w:val="105"/>
                <w:sz w:val="20"/>
              </w:rPr>
              <w:t>heart</w:t>
            </w:r>
            <w:r w:rsidRPr="00E6700E">
              <w:rPr>
                <w:spacing w:val="-4"/>
                <w:w w:val="105"/>
                <w:sz w:val="20"/>
              </w:rPr>
              <w:t xml:space="preserve"> </w:t>
            </w:r>
            <w:r w:rsidRPr="00E6700E">
              <w:rPr>
                <w:w w:val="105"/>
                <w:sz w:val="20"/>
              </w:rPr>
              <w:t>condition</w:t>
            </w:r>
            <w:r w:rsidRPr="00E6700E">
              <w:rPr>
                <w:spacing w:val="-1"/>
                <w:w w:val="105"/>
                <w:sz w:val="20"/>
              </w:rPr>
              <w:t xml:space="preserve"> </w:t>
            </w:r>
            <w:r w:rsidRPr="00E6700E">
              <w:rPr>
                <w:w w:val="105"/>
                <w:sz w:val="20"/>
              </w:rPr>
              <w:t>since</w:t>
            </w:r>
            <w:r>
              <w:rPr>
                <w:w w:val="105"/>
                <w:sz w:val="20"/>
              </w:rPr>
              <w:t xml:space="preserve"> 1994. S</w:t>
            </w:r>
            <w:r w:rsidRPr="00E6700E">
              <w:rPr>
                <w:w w:val="105"/>
                <w:sz w:val="20"/>
              </w:rPr>
              <w:t>tops</w:t>
            </w:r>
            <w:r w:rsidRPr="00E6700E">
              <w:rPr>
                <w:spacing w:val="-22"/>
                <w:w w:val="105"/>
                <w:sz w:val="20"/>
              </w:rPr>
              <w:t xml:space="preserve"> </w:t>
            </w:r>
            <w:r w:rsidRPr="00E6700E">
              <w:rPr>
                <w:w w:val="105"/>
                <w:sz w:val="20"/>
              </w:rPr>
              <w:t>working</w:t>
            </w:r>
            <w:r w:rsidRPr="00E6700E">
              <w:rPr>
                <w:spacing w:val="1"/>
                <w:w w:val="105"/>
                <w:sz w:val="20"/>
              </w:rPr>
              <w:t xml:space="preserve"> </w:t>
            </w:r>
            <w:r>
              <w:rPr>
                <w:w w:val="105"/>
                <w:sz w:val="20"/>
              </w:rPr>
              <w:t>4-1-96.</w:t>
            </w:r>
            <w:r w:rsidRPr="00E6700E">
              <w:rPr>
                <w:spacing w:val="-20"/>
                <w:w w:val="105"/>
                <w:sz w:val="20"/>
              </w:rPr>
              <w:t xml:space="preserve"> </w:t>
            </w:r>
            <w:r w:rsidRPr="00E6700E">
              <w:rPr>
                <w:w w:val="105"/>
                <w:sz w:val="20"/>
              </w:rPr>
              <w:t>Files</w:t>
            </w:r>
            <w:r>
              <w:rPr>
                <w:w w:val="105"/>
                <w:sz w:val="20"/>
              </w:rPr>
              <w:t xml:space="preserve"> </w:t>
            </w:r>
            <w:r w:rsidRPr="00E6700E">
              <w:rPr>
                <w:w w:val="105"/>
                <w:sz w:val="20"/>
              </w:rPr>
              <w:t>claim</w:t>
            </w:r>
            <w:r w:rsidRPr="00E6700E">
              <w:rPr>
                <w:spacing w:val="-9"/>
                <w:w w:val="105"/>
                <w:sz w:val="20"/>
              </w:rPr>
              <w:t xml:space="preserve"> </w:t>
            </w:r>
            <w:r w:rsidRPr="00E6700E">
              <w:rPr>
                <w:spacing w:val="-3"/>
                <w:w w:val="105"/>
                <w:sz w:val="20"/>
              </w:rPr>
              <w:t>4-2-98</w:t>
            </w:r>
            <w:r w:rsidRPr="00E6700E">
              <w:rPr>
                <w:spacing w:val="-2"/>
                <w:w w:val="105"/>
                <w:sz w:val="20"/>
              </w:rPr>
              <w:t>.</w:t>
            </w:r>
          </w:p>
          <w:p w:rsidR="00E6700E" w:rsidRP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sz w:val="20"/>
              </w:rPr>
            </w:pPr>
            <w:r w:rsidRPr="00E6700E">
              <w:rPr>
                <w:sz w:val="20"/>
              </w:rPr>
              <w:t>Effective</w:t>
            </w:r>
            <w:r w:rsidRPr="00E6700E">
              <w:rPr>
                <w:spacing w:val="18"/>
                <w:sz w:val="20"/>
              </w:rPr>
              <w:t xml:space="preserve"> </w:t>
            </w:r>
            <w:r w:rsidRPr="00E6700E">
              <w:rPr>
                <w:sz w:val="20"/>
              </w:rPr>
              <w:t>date</w:t>
            </w:r>
            <w:r w:rsidRPr="00E6700E">
              <w:rPr>
                <w:spacing w:val="-10"/>
                <w:sz w:val="20"/>
              </w:rPr>
              <w:t xml:space="preserve"> </w:t>
            </w:r>
            <w:r w:rsidRPr="00E6700E">
              <w:rPr>
                <w:sz w:val="20"/>
              </w:rPr>
              <w:t>would</w:t>
            </w:r>
            <w:r w:rsidRPr="00E6700E">
              <w:rPr>
                <w:spacing w:val="37"/>
                <w:sz w:val="20"/>
              </w:rPr>
              <w:t xml:space="preserve"> </w:t>
            </w:r>
            <w:r w:rsidRPr="00E6700E">
              <w:rPr>
                <w:sz w:val="20"/>
              </w:rPr>
              <w:t>be</w:t>
            </w:r>
            <w:r w:rsidRPr="00E6700E">
              <w:rPr>
                <w:spacing w:val="10"/>
                <w:sz w:val="20"/>
              </w:rPr>
              <w:t xml:space="preserve"> </w:t>
            </w:r>
            <w:r w:rsidRPr="00E6700E">
              <w:rPr>
                <w:sz w:val="20"/>
              </w:rPr>
              <w:t>4-2-98</w:t>
            </w:r>
            <w:r w:rsidRPr="00E6700E">
              <w:rPr>
                <w:spacing w:val="12"/>
                <w:sz w:val="20"/>
              </w:rPr>
              <w:t xml:space="preserve"> </w:t>
            </w:r>
            <w:r w:rsidRPr="00E6700E">
              <w:rPr>
                <w:sz w:val="20"/>
              </w:rPr>
              <w:t>since</w:t>
            </w:r>
            <w:r w:rsidRPr="00E6700E">
              <w:rPr>
                <w:spacing w:val="1"/>
                <w:sz w:val="20"/>
              </w:rPr>
              <w:t xml:space="preserve"> </w:t>
            </w:r>
            <w:r w:rsidRPr="00E6700E">
              <w:rPr>
                <w:sz w:val="20"/>
              </w:rPr>
              <w:t>waited</w:t>
            </w:r>
            <w:r w:rsidRPr="00E6700E">
              <w:rPr>
                <w:spacing w:val="38"/>
                <w:sz w:val="20"/>
              </w:rPr>
              <w:t xml:space="preserve"> </w:t>
            </w:r>
            <w:r w:rsidRPr="00E6700E">
              <w:rPr>
                <w:sz w:val="20"/>
              </w:rPr>
              <w:t>more</w:t>
            </w:r>
            <w:r w:rsidRPr="00E6700E">
              <w:rPr>
                <w:spacing w:val="6"/>
                <w:sz w:val="20"/>
              </w:rPr>
              <w:t xml:space="preserve"> </w:t>
            </w:r>
            <w:r w:rsidRPr="00E6700E">
              <w:rPr>
                <w:sz w:val="20"/>
              </w:rPr>
              <w:t>tha</w:t>
            </w:r>
            <w:r w:rsidR="009E7DD0">
              <w:rPr>
                <w:sz w:val="20"/>
              </w:rPr>
              <w:t>n</w:t>
            </w:r>
            <w:r w:rsidRPr="00E6700E">
              <w:rPr>
                <w:spacing w:val="19"/>
                <w:sz w:val="20"/>
              </w:rPr>
              <w:t xml:space="preserve"> </w:t>
            </w:r>
            <w:r w:rsidRPr="00E6700E">
              <w:rPr>
                <w:sz w:val="20"/>
              </w:rPr>
              <w:t>one</w:t>
            </w:r>
            <w:r w:rsidRPr="00E6700E">
              <w:rPr>
                <w:spacing w:val="-3"/>
                <w:sz w:val="20"/>
              </w:rPr>
              <w:t xml:space="preserve"> </w:t>
            </w:r>
            <w:r w:rsidRPr="00E6700E">
              <w:rPr>
                <w:sz w:val="20"/>
              </w:rPr>
              <w:t>year</w:t>
            </w:r>
            <w:r w:rsidRPr="00E6700E">
              <w:rPr>
                <w:spacing w:val="17"/>
                <w:sz w:val="20"/>
              </w:rPr>
              <w:t xml:space="preserve"> </w:t>
            </w:r>
            <w:r w:rsidRPr="00E6700E">
              <w:rPr>
                <w:sz w:val="20"/>
              </w:rPr>
              <w:t>after</w:t>
            </w:r>
            <w:r w:rsidRPr="00E6700E">
              <w:rPr>
                <w:spacing w:val="-1"/>
                <w:sz w:val="20"/>
              </w:rPr>
              <w:t xml:space="preserve"> </w:t>
            </w:r>
            <w:r w:rsidRPr="00E6700E">
              <w:rPr>
                <w:sz w:val="20"/>
              </w:rPr>
              <w:t>leaving</w:t>
            </w:r>
            <w:r>
              <w:rPr>
                <w:sz w:val="20"/>
              </w:rPr>
              <w:t xml:space="preserve"> </w:t>
            </w:r>
            <w:r w:rsidRPr="00E6700E">
              <w:rPr>
                <w:w w:val="105"/>
                <w:sz w:val="20"/>
              </w:rPr>
              <w:t>job</w:t>
            </w:r>
            <w:r w:rsidRPr="00E6700E">
              <w:rPr>
                <w:spacing w:val="7"/>
                <w:w w:val="105"/>
                <w:sz w:val="20"/>
              </w:rPr>
              <w:t xml:space="preserve"> </w:t>
            </w:r>
            <w:r w:rsidRPr="00E6700E">
              <w:rPr>
                <w:w w:val="105"/>
                <w:sz w:val="20"/>
              </w:rPr>
              <w:t>to</w:t>
            </w:r>
            <w:r w:rsidRPr="00E6700E">
              <w:rPr>
                <w:spacing w:val="-12"/>
                <w:w w:val="105"/>
                <w:sz w:val="20"/>
              </w:rPr>
              <w:t xml:space="preserve"> </w:t>
            </w:r>
            <w:r w:rsidRPr="00E6700E">
              <w:rPr>
                <w:w w:val="105"/>
                <w:sz w:val="20"/>
              </w:rPr>
              <w:t>file</w:t>
            </w:r>
            <w:r w:rsidRPr="00E6700E">
              <w:rPr>
                <w:spacing w:val="-22"/>
                <w:w w:val="105"/>
                <w:sz w:val="20"/>
              </w:rPr>
              <w:t xml:space="preserve"> </w:t>
            </w:r>
            <w:r w:rsidRPr="00E6700E">
              <w:rPr>
                <w:w w:val="105"/>
                <w:sz w:val="20"/>
              </w:rPr>
              <w:t>the</w:t>
            </w:r>
            <w:r w:rsidRPr="00E6700E">
              <w:rPr>
                <w:spacing w:val="-12"/>
                <w:w w:val="105"/>
                <w:sz w:val="20"/>
              </w:rPr>
              <w:t xml:space="preserve"> </w:t>
            </w:r>
            <w:r w:rsidRPr="00E6700E">
              <w:rPr>
                <w:w w:val="105"/>
                <w:sz w:val="20"/>
              </w:rPr>
              <w:t>claim.</w:t>
            </w:r>
          </w:p>
          <w:p w:rsid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w w:val="105"/>
                <w:sz w:val="20"/>
              </w:rPr>
            </w:pPr>
            <w:r w:rsidRPr="00E6700E">
              <w:rPr>
                <w:i/>
                <w:w w:val="105"/>
                <w:sz w:val="20"/>
              </w:rPr>
              <w:t>If</w:t>
            </w:r>
            <w:r w:rsidRPr="00E6700E">
              <w:rPr>
                <w:i/>
                <w:spacing w:val="-16"/>
                <w:w w:val="105"/>
                <w:sz w:val="20"/>
              </w:rPr>
              <w:t xml:space="preserve"> </w:t>
            </w:r>
            <w:r w:rsidRPr="00E6700E">
              <w:rPr>
                <w:i/>
                <w:w w:val="105"/>
                <w:sz w:val="20"/>
              </w:rPr>
              <w:t>VAMC</w:t>
            </w:r>
            <w:r w:rsidRPr="00E6700E">
              <w:rPr>
                <w:i/>
                <w:spacing w:val="-13"/>
                <w:w w:val="105"/>
                <w:sz w:val="20"/>
              </w:rPr>
              <w:t xml:space="preserve"> </w:t>
            </w:r>
            <w:r w:rsidRPr="00E6700E">
              <w:rPr>
                <w:i/>
                <w:w w:val="105"/>
                <w:sz w:val="20"/>
              </w:rPr>
              <w:t>or</w:t>
            </w:r>
            <w:r w:rsidRPr="00E6700E">
              <w:rPr>
                <w:i/>
                <w:spacing w:val="-18"/>
                <w:w w:val="105"/>
                <w:sz w:val="20"/>
              </w:rPr>
              <w:t xml:space="preserve"> </w:t>
            </w:r>
            <w:r w:rsidRPr="00E6700E">
              <w:rPr>
                <w:i/>
                <w:w w:val="105"/>
                <w:sz w:val="20"/>
              </w:rPr>
              <w:t>military</w:t>
            </w:r>
            <w:r w:rsidRPr="00E6700E">
              <w:rPr>
                <w:i/>
                <w:spacing w:val="-9"/>
                <w:w w:val="105"/>
                <w:sz w:val="20"/>
              </w:rPr>
              <w:t xml:space="preserve"> </w:t>
            </w:r>
            <w:r w:rsidRPr="00E6700E">
              <w:rPr>
                <w:i/>
                <w:w w:val="105"/>
                <w:sz w:val="20"/>
              </w:rPr>
              <w:t>facility</w:t>
            </w:r>
            <w:r w:rsidRPr="00E6700E">
              <w:rPr>
                <w:i/>
                <w:spacing w:val="-13"/>
                <w:w w:val="105"/>
                <w:sz w:val="20"/>
              </w:rPr>
              <w:t xml:space="preserve"> </w:t>
            </w:r>
            <w:r w:rsidRPr="00E6700E">
              <w:rPr>
                <w:i/>
                <w:w w:val="105"/>
                <w:sz w:val="20"/>
              </w:rPr>
              <w:t>showed</w:t>
            </w:r>
            <w:r w:rsidRPr="00E6700E">
              <w:rPr>
                <w:i/>
                <w:spacing w:val="-12"/>
                <w:w w:val="105"/>
                <w:sz w:val="20"/>
              </w:rPr>
              <w:t xml:space="preserve"> </w:t>
            </w:r>
            <w:r w:rsidRPr="00E6700E">
              <w:rPr>
                <w:i/>
                <w:w w:val="105"/>
                <w:sz w:val="20"/>
              </w:rPr>
              <w:t>last</w:t>
            </w:r>
            <w:r w:rsidRPr="00E6700E">
              <w:rPr>
                <w:i/>
                <w:spacing w:val="-24"/>
                <w:w w:val="105"/>
                <w:sz w:val="20"/>
              </w:rPr>
              <w:t xml:space="preserve"> </w:t>
            </w:r>
            <w:r w:rsidRPr="00E6700E">
              <w:rPr>
                <w:i/>
                <w:w w:val="105"/>
                <w:sz w:val="20"/>
              </w:rPr>
              <w:t>worked 4-1-96,</w:t>
            </w:r>
            <w:r w:rsidRPr="00E6700E">
              <w:rPr>
                <w:i/>
                <w:spacing w:val="-24"/>
                <w:w w:val="105"/>
                <w:sz w:val="20"/>
              </w:rPr>
              <w:t xml:space="preserve"> </w:t>
            </w:r>
            <w:r w:rsidRPr="00E6700E">
              <w:rPr>
                <w:i/>
                <w:w w:val="105"/>
                <w:sz w:val="20"/>
              </w:rPr>
              <w:t>could</w:t>
            </w:r>
            <w:r w:rsidRPr="00E6700E">
              <w:rPr>
                <w:i/>
                <w:spacing w:val="-3"/>
                <w:w w:val="105"/>
                <w:sz w:val="20"/>
              </w:rPr>
              <w:t xml:space="preserve"> </w:t>
            </w:r>
            <w:r w:rsidRPr="00E6700E">
              <w:rPr>
                <w:i/>
                <w:w w:val="105"/>
                <w:sz w:val="20"/>
              </w:rPr>
              <w:t>grant</w:t>
            </w:r>
            <w:r w:rsidRPr="00E6700E">
              <w:rPr>
                <w:i/>
                <w:spacing w:val="-13"/>
                <w:w w:val="105"/>
                <w:sz w:val="20"/>
              </w:rPr>
              <w:t xml:space="preserve"> </w:t>
            </w:r>
            <w:r w:rsidRPr="00E6700E">
              <w:rPr>
                <w:i/>
                <w:w w:val="105"/>
                <w:sz w:val="20"/>
              </w:rPr>
              <w:t>I</w:t>
            </w:r>
            <w:r w:rsidRPr="00E6700E">
              <w:rPr>
                <w:i/>
                <w:spacing w:val="12"/>
                <w:w w:val="105"/>
                <w:sz w:val="20"/>
              </w:rPr>
              <w:t>U</w:t>
            </w:r>
            <w:r w:rsidR="009E7DD0">
              <w:rPr>
                <w:i/>
                <w:spacing w:val="12"/>
                <w:w w:val="105"/>
                <w:sz w:val="20"/>
              </w:rPr>
              <w:t xml:space="preserve"> </w:t>
            </w:r>
            <w:r w:rsidRPr="00E6700E">
              <w:rPr>
                <w:i/>
                <w:w w:val="105"/>
                <w:sz w:val="20"/>
              </w:rPr>
              <w:t>from</w:t>
            </w:r>
            <w:r w:rsidRPr="00E6700E">
              <w:rPr>
                <w:i/>
                <w:spacing w:val="-12"/>
                <w:w w:val="105"/>
                <w:sz w:val="20"/>
              </w:rPr>
              <w:t xml:space="preserve"> </w:t>
            </w:r>
            <w:r w:rsidR="001B4418">
              <w:rPr>
                <w:i/>
                <w:w w:val="105"/>
                <w:sz w:val="20"/>
              </w:rPr>
              <w:t>4-2-96</w:t>
            </w:r>
          </w:p>
          <w:p w:rsidR="001E0E8E" w:rsidRPr="00E6700E" w:rsidRDefault="001E0E8E" w:rsidP="00E6700E">
            <w:pPr>
              <w:pStyle w:val="BodyText"/>
              <w:pBdr>
                <w:top w:val="single" w:sz="4" w:space="1" w:color="auto"/>
                <w:left w:val="single" w:sz="4" w:space="4" w:color="auto"/>
                <w:bottom w:val="single" w:sz="4" w:space="1" w:color="auto"/>
                <w:right w:val="single" w:sz="4" w:space="4" w:color="auto"/>
              </w:pBdr>
              <w:ind w:left="240" w:right="250"/>
              <w:rPr>
                <w:i/>
                <w:sz w:val="20"/>
              </w:rPr>
            </w:pPr>
          </w:p>
          <w:p w:rsidR="00E6700E" w:rsidRP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sz w:val="20"/>
              </w:rPr>
            </w:pPr>
            <w:r w:rsidRPr="00E6700E">
              <w:rPr>
                <w:w w:val="105"/>
                <w:sz w:val="20"/>
              </w:rPr>
              <w:t>#</w:t>
            </w:r>
            <w:r w:rsidRPr="00E6700E">
              <w:rPr>
                <w:spacing w:val="-13"/>
                <w:w w:val="105"/>
                <w:sz w:val="20"/>
              </w:rPr>
              <w:t>3</w:t>
            </w:r>
            <w:r w:rsidRPr="00E6700E">
              <w:rPr>
                <w:w w:val="105"/>
                <w:sz w:val="20"/>
              </w:rPr>
              <w:t>.</w:t>
            </w:r>
            <w:r w:rsidRPr="00E6700E">
              <w:rPr>
                <w:spacing w:val="8"/>
                <w:w w:val="105"/>
                <w:sz w:val="20"/>
              </w:rPr>
              <w:t xml:space="preserve"> </w:t>
            </w:r>
            <w:r w:rsidRPr="00E6700E">
              <w:rPr>
                <w:w w:val="105"/>
                <w:sz w:val="20"/>
              </w:rPr>
              <w:t>Rating</w:t>
            </w:r>
            <w:r w:rsidRPr="00E6700E">
              <w:rPr>
                <w:spacing w:val="2"/>
                <w:w w:val="105"/>
                <w:sz w:val="20"/>
              </w:rPr>
              <w:t xml:space="preserve"> </w:t>
            </w:r>
            <w:r w:rsidRPr="00E6700E">
              <w:rPr>
                <w:w w:val="105"/>
                <w:sz w:val="20"/>
              </w:rPr>
              <w:t>dated</w:t>
            </w:r>
            <w:r w:rsidRPr="00E6700E">
              <w:rPr>
                <w:spacing w:val="9"/>
                <w:w w:val="105"/>
                <w:sz w:val="20"/>
              </w:rPr>
              <w:t xml:space="preserve"> </w:t>
            </w:r>
            <w:r w:rsidRPr="00E6700E">
              <w:rPr>
                <w:w w:val="105"/>
                <w:sz w:val="20"/>
              </w:rPr>
              <w:t>4-2-98</w:t>
            </w:r>
            <w:r w:rsidRPr="00E6700E">
              <w:rPr>
                <w:spacing w:val="-2"/>
                <w:w w:val="105"/>
                <w:sz w:val="20"/>
              </w:rPr>
              <w:t xml:space="preserve"> </w:t>
            </w:r>
            <w:r w:rsidRPr="00E6700E">
              <w:rPr>
                <w:w w:val="105"/>
                <w:sz w:val="20"/>
              </w:rPr>
              <w:t>granted</w:t>
            </w:r>
            <w:r w:rsidRPr="00E6700E">
              <w:rPr>
                <w:spacing w:val="15"/>
                <w:w w:val="105"/>
                <w:sz w:val="20"/>
              </w:rPr>
              <w:t xml:space="preserve"> </w:t>
            </w:r>
            <w:r w:rsidRPr="00E6700E">
              <w:rPr>
                <w:w w:val="105"/>
                <w:sz w:val="20"/>
              </w:rPr>
              <w:t>60%</w:t>
            </w:r>
            <w:r w:rsidRPr="00E6700E">
              <w:rPr>
                <w:spacing w:val="-7"/>
                <w:w w:val="105"/>
                <w:sz w:val="20"/>
              </w:rPr>
              <w:t xml:space="preserve"> </w:t>
            </w:r>
            <w:r w:rsidRPr="00E6700E">
              <w:rPr>
                <w:w w:val="105"/>
                <w:sz w:val="20"/>
              </w:rPr>
              <w:t>for</w:t>
            </w:r>
            <w:r w:rsidRPr="00E6700E">
              <w:rPr>
                <w:spacing w:val="-7"/>
                <w:w w:val="105"/>
                <w:sz w:val="20"/>
              </w:rPr>
              <w:t xml:space="preserve"> </w:t>
            </w:r>
            <w:r w:rsidRPr="00E6700E">
              <w:rPr>
                <w:w w:val="105"/>
                <w:sz w:val="20"/>
              </w:rPr>
              <w:t>heart</w:t>
            </w:r>
            <w:r w:rsidRPr="00E6700E">
              <w:rPr>
                <w:spacing w:val="4"/>
                <w:w w:val="105"/>
                <w:sz w:val="20"/>
              </w:rPr>
              <w:t xml:space="preserve"> </w:t>
            </w:r>
            <w:r w:rsidRPr="00E6700E">
              <w:rPr>
                <w:w w:val="105"/>
                <w:sz w:val="20"/>
              </w:rPr>
              <w:t>from</w:t>
            </w:r>
            <w:r>
              <w:rPr>
                <w:w w:val="105"/>
                <w:sz w:val="20"/>
              </w:rPr>
              <w:t xml:space="preserve"> 3-19-95</w:t>
            </w:r>
            <w:r w:rsidRPr="00E6700E">
              <w:rPr>
                <w:spacing w:val="-10"/>
                <w:w w:val="105"/>
                <w:sz w:val="20"/>
              </w:rPr>
              <w:t xml:space="preserve"> </w:t>
            </w:r>
            <w:r w:rsidRPr="00E6700E">
              <w:rPr>
                <w:w w:val="105"/>
                <w:sz w:val="20"/>
              </w:rPr>
              <w:t>and</w:t>
            </w:r>
            <w:r w:rsidRPr="00E6700E">
              <w:rPr>
                <w:spacing w:val="13"/>
                <w:w w:val="105"/>
                <w:sz w:val="20"/>
              </w:rPr>
              <w:t xml:space="preserve"> </w:t>
            </w:r>
            <w:r w:rsidRPr="00E6700E">
              <w:rPr>
                <w:w w:val="105"/>
                <w:sz w:val="20"/>
              </w:rPr>
              <w:t>invited</w:t>
            </w:r>
            <w:r w:rsidRPr="00E6700E">
              <w:rPr>
                <w:spacing w:val="15"/>
                <w:w w:val="105"/>
                <w:sz w:val="20"/>
              </w:rPr>
              <w:t xml:space="preserve"> </w:t>
            </w:r>
            <w:r w:rsidRPr="00E6700E">
              <w:rPr>
                <w:w w:val="105"/>
                <w:sz w:val="20"/>
              </w:rPr>
              <w:t>a</w:t>
            </w:r>
            <w:r w:rsidRPr="00E6700E">
              <w:rPr>
                <w:spacing w:val="-4"/>
                <w:w w:val="105"/>
                <w:sz w:val="20"/>
              </w:rPr>
              <w:t xml:space="preserve"> </w:t>
            </w:r>
            <w:r w:rsidRPr="00E6700E">
              <w:rPr>
                <w:w w:val="105"/>
                <w:sz w:val="20"/>
              </w:rPr>
              <w:t>claim</w:t>
            </w:r>
            <w:r w:rsidRPr="00E6700E">
              <w:rPr>
                <w:spacing w:val="3"/>
                <w:w w:val="105"/>
                <w:sz w:val="20"/>
              </w:rPr>
              <w:t xml:space="preserve"> </w:t>
            </w:r>
            <w:r w:rsidRPr="00E6700E">
              <w:rPr>
                <w:w w:val="105"/>
                <w:sz w:val="20"/>
              </w:rPr>
              <w:t>for</w:t>
            </w:r>
            <w:r w:rsidRPr="00E6700E">
              <w:rPr>
                <w:w w:val="106"/>
                <w:sz w:val="20"/>
              </w:rPr>
              <w:t xml:space="preserve"> </w:t>
            </w:r>
            <w:r w:rsidRPr="00E6700E">
              <w:rPr>
                <w:w w:val="105"/>
                <w:sz w:val="20"/>
              </w:rPr>
              <w:t>IU.</w:t>
            </w:r>
            <w:r>
              <w:rPr>
                <w:w w:val="105"/>
                <w:sz w:val="20"/>
              </w:rPr>
              <w:t xml:space="preserve"> </w:t>
            </w:r>
            <w:r w:rsidRPr="00E6700E">
              <w:rPr>
                <w:w w:val="105"/>
                <w:sz w:val="20"/>
              </w:rPr>
              <w:t>The</w:t>
            </w:r>
            <w:r w:rsidRPr="00E6700E">
              <w:rPr>
                <w:spacing w:val="-16"/>
                <w:w w:val="105"/>
                <w:sz w:val="20"/>
              </w:rPr>
              <w:t xml:space="preserve"> </w:t>
            </w:r>
            <w:r w:rsidRPr="00E6700E">
              <w:rPr>
                <w:w w:val="105"/>
                <w:sz w:val="20"/>
              </w:rPr>
              <w:t>2</w:t>
            </w:r>
            <w:r w:rsidRPr="00E6700E">
              <w:rPr>
                <w:spacing w:val="-19"/>
                <w:w w:val="105"/>
                <w:sz w:val="20"/>
              </w:rPr>
              <w:t>1</w:t>
            </w:r>
            <w:r w:rsidRPr="00E6700E">
              <w:rPr>
                <w:w w:val="105"/>
                <w:sz w:val="20"/>
              </w:rPr>
              <w:t>-8940</w:t>
            </w:r>
            <w:r w:rsidRPr="00E6700E">
              <w:rPr>
                <w:spacing w:val="-11"/>
                <w:w w:val="105"/>
                <w:sz w:val="20"/>
              </w:rPr>
              <w:t xml:space="preserve"> </w:t>
            </w:r>
            <w:r w:rsidRPr="00E6700E">
              <w:rPr>
                <w:w w:val="105"/>
                <w:sz w:val="20"/>
              </w:rPr>
              <w:t>was</w:t>
            </w:r>
            <w:r w:rsidRPr="00E6700E">
              <w:rPr>
                <w:spacing w:val="-5"/>
                <w:w w:val="105"/>
                <w:sz w:val="20"/>
              </w:rPr>
              <w:t xml:space="preserve"> </w:t>
            </w:r>
            <w:r w:rsidRPr="00E6700E">
              <w:rPr>
                <w:w w:val="105"/>
                <w:sz w:val="20"/>
              </w:rPr>
              <w:t>sent</w:t>
            </w:r>
            <w:r w:rsidRPr="00E6700E">
              <w:rPr>
                <w:spacing w:val="-7"/>
                <w:w w:val="105"/>
                <w:sz w:val="20"/>
              </w:rPr>
              <w:t xml:space="preserve"> </w:t>
            </w:r>
            <w:r w:rsidRPr="00E6700E">
              <w:rPr>
                <w:w w:val="105"/>
                <w:sz w:val="20"/>
              </w:rPr>
              <w:t>out</w:t>
            </w:r>
            <w:r>
              <w:rPr>
                <w:w w:val="105"/>
                <w:sz w:val="20"/>
              </w:rPr>
              <w:t xml:space="preserve"> 4-3-98</w:t>
            </w:r>
            <w:r w:rsidRPr="00E6700E">
              <w:rPr>
                <w:spacing w:val="-17"/>
                <w:w w:val="105"/>
                <w:sz w:val="20"/>
              </w:rPr>
              <w:t xml:space="preserve"> </w:t>
            </w:r>
            <w:r w:rsidRPr="00E6700E">
              <w:rPr>
                <w:w w:val="105"/>
                <w:sz w:val="20"/>
              </w:rPr>
              <w:t>and</w:t>
            </w:r>
            <w:r w:rsidRPr="00E6700E">
              <w:rPr>
                <w:spacing w:val="-6"/>
                <w:w w:val="105"/>
                <w:sz w:val="20"/>
              </w:rPr>
              <w:t xml:space="preserve"> </w:t>
            </w:r>
            <w:r w:rsidRPr="00E6700E">
              <w:rPr>
                <w:w w:val="105"/>
                <w:sz w:val="20"/>
              </w:rPr>
              <w:t>the</w:t>
            </w:r>
            <w:r w:rsidRPr="00E6700E">
              <w:rPr>
                <w:spacing w:val="-17"/>
                <w:w w:val="105"/>
                <w:sz w:val="20"/>
              </w:rPr>
              <w:t xml:space="preserve"> </w:t>
            </w:r>
            <w:r w:rsidRPr="00E6700E">
              <w:rPr>
                <w:w w:val="105"/>
                <w:sz w:val="20"/>
              </w:rPr>
              <w:t>veteran</w:t>
            </w:r>
            <w:r w:rsidRPr="00E6700E">
              <w:rPr>
                <w:spacing w:val="8"/>
                <w:w w:val="105"/>
                <w:sz w:val="20"/>
              </w:rPr>
              <w:t xml:space="preserve"> </w:t>
            </w:r>
            <w:r w:rsidR="005019E8">
              <w:rPr>
                <w:w w:val="105"/>
                <w:sz w:val="20"/>
              </w:rPr>
              <w:t>returne</w:t>
            </w:r>
            <w:r w:rsidRPr="00E6700E">
              <w:rPr>
                <w:w w:val="105"/>
                <w:sz w:val="20"/>
              </w:rPr>
              <w:t>d</w:t>
            </w:r>
            <w:r w:rsidRPr="00E6700E">
              <w:rPr>
                <w:spacing w:val="16"/>
                <w:w w:val="105"/>
                <w:sz w:val="20"/>
              </w:rPr>
              <w:t xml:space="preserve"> </w:t>
            </w:r>
            <w:r w:rsidRPr="00E6700E">
              <w:rPr>
                <w:w w:val="105"/>
                <w:sz w:val="20"/>
              </w:rPr>
              <w:t>it</w:t>
            </w:r>
            <w:r w:rsidRPr="00E6700E">
              <w:rPr>
                <w:spacing w:val="-8"/>
                <w:w w:val="105"/>
                <w:sz w:val="20"/>
              </w:rPr>
              <w:t xml:space="preserve"> </w:t>
            </w:r>
            <w:r>
              <w:rPr>
                <w:spacing w:val="-8"/>
                <w:w w:val="105"/>
                <w:sz w:val="20"/>
              </w:rPr>
              <w:t>4-15-98</w:t>
            </w:r>
            <w:r w:rsidRPr="00E6700E">
              <w:rPr>
                <w:spacing w:val="-20"/>
                <w:w w:val="105"/>
                <w:sz w:val="20"/>
              </w:rPr>
              <w:t xml:space="preserve"> </w:t>
            </w:r>
            <w:r w:rsidRPr="00E6700E">
              <w:rPr>
                <w:w w:val="105"/>
                <w:sz w:val="20"/>
              </w:rPr>
              <w:t>showing</w:t>
            </w:r>
            <w:r w:rsidRPr="00E6700E">
              <w:rPr>
                <w:sz w:val="20"/>
              </w:rPr>
              <w:t xml:space="preserve"> </w:t>
            </w:r>
            <w:r w:rsidRPr="00E6700E">
              <w:rPr>
                <w:w w:val="105"/>
                <w:sz w:val="20"/>
              </w:rPr>
              <w:t>that</w:t>
            </w:r>
            <w:r w:rsidRPr="00E6700E">
              <w:rPr>
                <w:spacing w:val="17"/>
                <w:w w:val="105"/>
                <w:sz w:val="20"/>
              </w:rPr>
              <w:t xml:space="preserve"> </w:t>
            </w:r>
            <w:r w:rsidRPr="00E6700E">
              <w:rPr>
                <w:w w:val="105"/>
                <w:sz w:val="20"/>
              </w:rPr>
              <w:t>be</w:t>
            </w:r>
            <w:r w:rsidRPr="00E6700E">
              <w:rPr>
                <w:spacing w:val="6"/>
                <w:w w:val="105"/>
                <w:sz w:val="20"/>
              </w:rPr>
              <w:t xml:space="preserve"> </w:t>
            </w:r>
            <w:r w:rsidRPr="00E6700E">
              <w:rPr>
                <w:w w:val="105"/>
                <w:sz w:val="20"/>
              </w:rPr>
              <w:t>had</w:t>
            </w:r>
            <w:r w:rsidRPr="00E6700E">
              <w:rPr>
                <w:spacing w:val="18"/>
                <w:w w:val="105"/>
                <w:sz w:val="20"/>
              </w:rPr>
              <w:t xml:space="preserve"> </w:t>
            </w:r>
            <w:r w:rsidRPr="00E6700E">
              <w:rPr>
                <w:w w:val="105"/>
                <w:sz w:val="20"/>
              </w:rPr>
              <w:t>last</w:t>
            </w:r>
            <w:r w:rsidRPr="00E6700E">
              <w:rPr>
                <w:spacing w:val="-1"/>
                <w:w w:val="105"/>
                <w:sz w:val="20"/>
              </w:rPr>
              <w:t xml:space="preserve"> </w:t>
            </w:r>
            <w:r w:rsidRPr="00E6700E">
              <w:rPr>
                <w:w w:val="105"/>
                <w:sz w:val="20"/>
              </w:rPr>
              <w:t>worked</w:t>
            </w:r>
            <w:r>
              <w:rPr>
                <w:w w:val="105"/>
                <w:sz w:val="20"/>
              </w:rPr>
              <w:t xml:space="preserve"> 3-19-95</w:t>
            </w:r>
            <w:r w:rsidRPr="00E6700E">
              <w:rPr>
                <w:w w:val="105"/>
                <w:sz w:val="20"/>
              </w:rPr>
              <w:t>.</w:t>
            </w:r>
          </w:p>
          <w:p w:rsid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w w:val="105"/>
                <w:sz w:val="20"/>
              </w:rPr>
            </w:pPr>
            <w:r w:rsidRPr="00E6700E">
              <w:rPr>
                <w:w w:val="105"/>
                <w:sz w:val="20"/>
              </w:rPr>
              <w:t>Effective</w:t>
            </w:r>
            <w:r w:rsidRPr="00E6700E">
              <w:rPr>
                <w:spacing w:val="-10"/>
                <w:w w:val="105"/>
                <w:sz w:val="20"/>
              </w:rPr>
              <w:t xml:space="preserve"> </w:t>
            </w:r>
            <w:r w:rsidRPr="00E6700E">
              <w:rPr>
                <w:w w:val="105"/>
                <w:sz w:val="20"/>
              </w:rPr>
              <w:t>date</w:t>
            </w:r>
            <w:r w:rsidRPr="00E6700E">
              <w:rPr>
                <w:spacing w:val="-26"/>
                <w:w w:val="105"/>
                <w:sz w:val="20"/>
              </w:rPr>
              <w:t xml:space="preserve"> </w:t>
            </w:r>
            <w:r w:rsidRPr="00E6700E">
              <w:rPr>
                <w:w w:val="105"/>
                <w:sz w:val="20"/>
              </w:rPr>
              <w:t>would</w:t>
            </w:r>
            <w:r w:rsidRPr="00E6700E">
              <w:rPr>
                <w:spacing w:val="2"/>
                <w:w w:val="105"/>
                <w:sz w:val="20"/>
              </w:rPr>
              <w:t xml:space="preserve"> </w:t>
            </w:r>
            <w:r w:rsidRPr="00E6700E">
              <w:rPr>
                <w:w w:val="105"/>
                <w:sz w:val="20"/>
              </w:rPr>
              <w:t>be</w:t>
            </w:r>
            <w:r>
              <w:rPr>
                <w:w w:val="105"/>
                <w:sz w:val="20"/>
              </w:rPr>
              <w:t xml:space="preserve"> 3-20-95</w:t>
            </w:r>
            <w:r w:rsidRPr="00E6700E">
              <w:rPr>
                <w:spacing w:val="-25"/>
                <w:w w:val="105"/>
                <w:sz w:val="20"/>
              </w:rPr>
              <w:t xml:space="preserve"> </w:t>
            </w:r>
            <w:r w:rsidRPr="00E6700E">
              <w:rPr>
                <w:w w:val="105"/>
                <w:sz w:val="20"/>
              </w:rPr>
              <w:t>since</w:t>
            </w:r>
            <w:r w:rsidRPr="00E6700E">
              <w:rPr>
                <w:spacing w:val="-33"/>
                <w:w w:val="105"/>
                <w:sz w:val="20"/>
              </w:rPr>
              <w:t xml:space="preserve"> </w:t>
            </w:r>
            <w:r w:rsidR="005019E8">
              <w:rPr>
                <w:w w:val="105"/>
                <w:sz w:val="20"/>
              </w:rPr>
              <w:t>veteran returned</w:t>
            </w:r>
            <w:r w:rsidRPr="00E6700E">
              <w:rPr>
                <w:spacing w:val="-1"/>
                <w:w w:val="105"/>
                <w:sz w:val="20"/>
              </w:rPr>
              <w:t xml:space="preserve"> </w:t>
            </w:r>
            <w:r w:rsidRPr="00E6700E">
              <w:rPr>
                <w:w w:val="105"/>
                <w:sz w:val="20"/>
              </w:rPr>
              <w:t>2</w:t>
            </w:r>
            <w:r w:rsidRPr="00E6700E">
              <w:rPr>
                <w:spacing w:val="-20"/>
                <w:w w:val="105"/>
                <w:sz w:val="20"/>
              </w:rPr>
              <w:t>1</w:t>
            </w:r>
            <w:r w:rsidRPr="00E6700E">
              <w:rPr>
                <w:spacing w:val="-15"/>
                <w:w w:val="105"/>
                <w:sz w:val="20"/>
              </w:rPr>
              <w:t>-</w:t>
            </w:r>
            <w:r w:rsidRPr="00E6700E">
              <w:rPr>
                <w:w w:val="105"/>
                <w:sz w:val="20"/>
              </w:rPr>
              <w:t>8940</w:t>
            </w:r>
            <w:r w:rsidRPr="00E6700E">
              <w:rPr>
                <w:spacing w:val="-25"/>
                <w:w w:val="105"/>
                <w:sz w:val="20"/>
              </w:rPr>
              <w:t xml:space="preserve"> </w:t>
            </w:r>
            <w:r w:rsidRPr="00E6700E">
              <w:rPr>
                <w:w w:val="105"/>
                <w:sz w:val="20"/>
              </w:rPr>
              <w:t>within</w:t>
            </w:r>
            <w:r w:rsidRPr="00E6700E">
              <w:rPr>
                <w:spacing w:val="-3"/>
                <w:w w:val="105"/>
                <w:sz w:val="20"/>
              </w:rPr>
              <w:t xml:space="preserve"> </w:t>
            </w:r>
            <w:r w:rsidRPr="00E6700E">
              <w:rPr>
                <w:w w:val="105"/>
                <w:sz w:val="20"/>
              </w:rPr>
              <w:t>one</w:t>
            </w:r>
            <w:r w:rsidRPr="00E6700E">
              <w:rPr>
                <w:spacing w:val="-29"/>
                <w:w w:val="105"/>
                <w:sz w:val="20"/>
              </w:rPr>
              <w:t xml:space="preserve"> </w:t>
            </w:r>
            <w:r w:rsidRPr="00E6700E">
              <w:rPr>
                <w:w w:val="105"/>
                <w:sz w:val="20"/>
              </w:rPr>
              <w:t>year</w:t>
            </w:r>
            <w:r w:rsidRPr="00E6700E">
              <w:rPr>
                <w:spacing w:val="-12"/>
                <w:w w:val="105"/>
                <w:sz w:val="20"/>
              </w:rPr>
              <w:t xml:space="preserve"> </w:t>
            </w:r>
            <w:r w:rsidRPr="00E6700E">
              <w:rPr>
                <w:w w:val="105"/>
                <w:sz w:val="20"/>
              </w:rPr>
              <w:t>of</w:t>
            </w:r>
            <w:r w:rsidRPr="00E6700E">
              <w:rPr>
                <w:w w:val="94"/>
                <w:sz w:val="20"/>
              </w:rPr>
              <w:t xml:space="preserve"> </w:t>
            </w:r>
            <w:r w:rsidRPr="00E6700E">
              <w:rPr>
                <w:w w:val="105"/>
                <w:sz w:val="20"/>
              </w:rPr>
              <w:t>the</w:t>
            </w:r>
            <w:r w:rsidRPr="00E6700E">
              <w:rPr>
                <w:spacing w:val="-2"/>
                <w:w w:val="105"/>
                <w:sz w:val="20"/>
              </w:rPr>
              <w:t xml:space="preserve"> </w:t>
            </w:r>
            <w:r w:rsidRPr="00E6700E">
              <w:rPr>
                <w:w w:val="105"/>
                <w:sz w:val="20"/>
              </w:rPr>
              <w:t>request.</w:t>
            </w:r>
          </w:p>
          <w:p w:rsidR="00E6700E" w:rsidRP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sz w:val="20"/>
              </w:rPr>
            </w:pPr>
          </w:p>
          <w:p w:rsid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w w:val="115"/>
                <w:sz w:val="20"/>
              </w:rPr>
            </w:pPr>
            <w:r w:rsidRPr="00E6700E">
              <w:rPr>
                <w:w w:val="105"/>
                <w:sz w:val="20"/>
              </w:rPr>
              <w:t>#4.</w:t>
            </w:r>
            <w:r w:rsidRPr="00E6700E">
              <w:rPr>
                <w:spacing w:val="57"/>
                <w:w w:val="105"/>
                <w:sz w:val="20"/>
              </w:rPr>
              <w:t xml:space="preserve"> </w:t>
            </w:r>
            <w:r w:rsidRPr="00E6700E">
              <w:rPr>
                <w:w w:val="105"/>
                <w:sz w:val="20"/>
              </w:rPr>
              <w:t>Rating</w:t>
            </w:r>
            <w:r w:rsidRPr="00E6700E">
              <w:rPr>
                <w:spacing w:val="3"/>
                <w:w w:val="105"/>
                <w:sz w:val="20"/>
              </w:rPr>
              <w:t xml:space="preserve"> </w:t>
            </w:r>
            <w:r w:rsidRPr="00E6700E">
              <w:rPr>
                <w:w w:val="105"/>
                <w:sz w:val="20"/>
              </w:rPr>
              <w:t>dated</w:t>
            </w:r>
            <w:r>
              <w:rPr>
                <w:w w:val="105"/>
                <w:sz w:val="20"/>
              </w:rPr>
              <w:t xml:space="preserve"> 1-2-96</w:t>
            </w:r>
            <w:r w:rsidRPr="00E6700E">
              <w:rPr>
                <w:spacing w:val="-7"/>
                <w:w w:val="105"/>
                <w:sz w:val="20"/>
              </w:rPr>
              <w:t xml:space="preserve"> </w:t>
            </w:r>
            <w:r w:rsidRPr="00E6700E">
              <w:rPr>
                <w:w w:val="105"/>
                <w:sz w:val="20"/>
              </w:rPr>
              <w:t>granted</w:t>
            </w:r>
            <w:r w:rsidRPr="00E6700E">
              <w:rPr>
                <w:spacing w:val="15"/>
                <w:w w:val="105"/>
                <w:sz w:val="20"/>
              </w:rPr>
              <w:t xml:space="preserve"> </w:t>
            </w:r>
            <w:r w:rsidRPr="00E6700E">
              <w:rPr>
                <w:w w:val="105"/>
                <w:sz w:val="20"/>
              </w:rPr>
              <w:t>60%</w:t>
            </w:r>
            <w:r w:rsidRPr="00E6700E">
              <w:rPr>
                <w:spacing w:val="-10"/>
                <w:w w:val="105"/>
                <w:sz w:val="20"/>
              </w:rPr>
              <w:t xml:space="preserve"> </w:t>
            </w:r>
            <w:r w:rsidRPr="00E6700E">
              <w:rPr>
                <w:w w:val="105"/>
                <w:sz w:val="20"/>
              </w:rPr>
              <w:t>for</w:t>
            </w:r>
            <w:r w:rsidRPr="00E6700E">
              <w:rPr>
                <w:spacing w:val="-13"/>
                <w:w w:val="105"/>
                <w:sz w:val="20"/>
              </w:rPr>
              <w:t xml:space="preserve"> </w:t>
            </w:r>
            <w:r w:rsidRPr="00E6700E">
              <w:rPr>
                <w:w w:val="105"/>
                <w:sz w:val="20"/>
              </w:rPr>
              <w:t>heart</w:t>
            </w:r>
            <w:r w:rsidRPr="00E6700E">
              <w:rPr>
                <w:spacing w:val="4"/>
                <w:w w:val="105"/>
                <w:sz w:val="20"/>
              </w:rPr>
              <w:t xml:space="preserve"> </w:t>
            </w:r>
            <w:r w:rsidRPr="00E6700E">
              <w:rPr>
                <w:w w:val="105"/>
                <w:sz w:val="20"/>
              </w:rPr>
              <w:t>from</w:t>
            </w:r>
            <w:r>
              <w:rPr>
                <w:w w:val="105"/>
                <w:sz w:val="20"/>
              </w:rPr>
              <w:t xml:space="preserve"> 11-1-95</w:t>
            </w:r>
            <w:r w:rsidRPr="00E6700E">
              <w:rPr>
                <w:spacing w:val="-18"/>
                <w:w w:val="105"/>
                <w:sz w:val="20"/>
              </w:rPr>
              <w:t xml:space="preserve"> </w:t>
            </w:r>
            <w:r w:rsidRPr="00E6700E">
              <w:rPr>
                <w:w w:val="105"/>
                <w:sz w:val="20"/>
              </w:rPr>
              <w:t>and</w:t>
            </w:r>
            <w:r w:rsidRPr="00E6700E">
              <w:rPr>
                <w:spacing w:val="10"/>
                <w:w w:val="105"/>
                <w:sz w:val="20"/>
              </w:rPr>
              <w:t xml:space="preserve"> </w:t>
            </w:r>
            <w:r w:rsidRPr="00E6700E">
              <w:rPr>
                <w:w w:val="105"/>
                <w:sz w:val="20"/>
              </w:rPr>
              <w:t>invited</w:t>
            </w:r>
            <w:r w:rsidRPr="00E6700E">
              <w:rPr>
                <w:spacing w:val="12"/>
                <w:w w:val="105"/>
                <w:sz w:val="20"/>
              </w:rPr>
              <w:t xml:space="preserve"> </w:t>
            </w:r>
            <w:r w:rsidRPr="00E6700E">
              <w:rPr>
                <w:w w:val="105"/>
                <w:sz w:val="20"/>
              </w:rPr>
              <w:t>a</w:t>
            </w:r>
            <w:r w:rsidRPr="00E6700E">
              <w:rPr>
                <w:spacing w:val="-1"/>
                <w:w w:val="105"/>
                <w:sz w:val="20"/>
              </w:rPr>
              <w:t xml:space="preserve"> </w:t>
            </w:r>
            <w:r w:rsidRPr="00E6700E">
              <w:rPr>
                <w:w w:val="105"/>
                <w:sz w:val="20"/>
              </w:rPr>
              <w:t>claim</w:t>
            </w:r>
            <w:r w:rsidRPr="00E6700E">
              <w:rPr>
                <w:spacing w:val="9"/>
                <w:w w:val="105"/>
                <w:sz w:val="20"/>
              </w:rPr>
              <w:t xml:space="preserve"> </w:t>
            </w:r>
            <w:r w:rsidRPr="00E6700E">
              <w:rPr>
                <w:w w:val="105"/>
                <w:sz w:val="20"/>
              </w:rPr>
              <w:t>for</w:t>
            </w:r>
            <w:r>
              <w:rPr>
                <w:w w:val="105"/>
                <w:sz w:val="20"/>
              </w:rPr>
              <w:t xml:space="preserve"> </w:t>
            </w:r>
            <w:r w:rsidRPr="00E6700E">
              <w:rPr>
                <w:w w:val="105"/>
                <w:sz w:val="20"/>
              </w:rPr>
              <w:t>IU.</w:t>
            </w:r>
            <w:r w:rsidRPr="00E6700E">
              <w:rPr>
                <w:spacing w:val="-21"/>
                <w:w w:val="105"/>
                <w:sz w:val="20"/>
              </w:rPr>
              <w:t xml:space="preserve"> </w:t>
            </w:r>
            <w:r w:rsidRPr="00E6700E">
              <w:rPr>
                <w:w w:val="105"/>
                <w:sz w:val="20"/>
              </w:rPr>
              <w:t>2</w:t>
            </w:r>
            <w:r w:rsidRPr="00E6700E">
              <w:rPr>
                <w:spacing w:val="-22"/>
                <w:w w:val="105"/>
                <w:sz w:val="20"/>
              </w:rPr>
              <w:t>1</w:t>
            </w:r>
            <w:r w:rsidRPr="00E6700E">
              <w:rPr>
                <w:w w:val="105"/>
                <w:sz w:val="20"/>
              </w:rPr>
              <w:t>-8940</w:t>
            </w:r>
            <w:r w:rsidRPr="00E6700E">
              <w:rPr>
                <w:spacing w:val="-16"/>
                <w:w w:val="105"/>
                <w:sz w:val="20"/>
              </w:rPr>
              <w:t xml:space="preserve"> </w:t>
            </w:r>
            <w:r w:rsidRPr="00E6700E">
              <w:rPr>
                <w:w w:val="105"/>
                <w:sz w:val="20"/>
              </w:rPr>
              <w:t>sent</w:t>
            </w:r>
            <w:r w:rsidRPr="00E6700E">
              <w:rPr>
                <w:spacing w:val="-15"/>
                <w:w w:val="105"/>
                <w:sz w:val="20"/>
              </w:rPr>
              <w:t xml:space="preserve"> </w:t>
            </w:r>
            <w:r w:rsidRPr="00E6700E">
              <w:rPr>
                <w:w w:val="105"/>
                <w:sz w:val="20"/>
              </w:rPr>
              <w:t>out</w:t>
            </w:r>
            <w:r>
              <w:rPr>
                <w:spacing w:val="-13"/>
                <w:w w:val="105"/>
                <w:sz w:val="20"/>
              </w:rPr>
              <w:t xml:space="preserve"> 2-1-96</w:t>
            </w:r>
            <w:r w:rsidRPr="00E6700E">
              <w:rPr>
                <w:w w:val="105"/>
                <w:sz w:val="20"/>
              </w:rPr>
              <w:t>.</w:t>
            </w:r>
            <w:r w:rsidRPr="00E6700E">
              <w:rPr>
                <w:spacing w:val="1"/>
                <w:w w:val="105"/>
                <w:sz w:val="20"/>
              </w:rPr>
              <w:t xml:space="preserve"> </w:t>
            </w:r>
            <w:r w:rsidRPr="00E6700E">
              <w:rPr>
                <w:w w:val="105"/>
                <w:sz w:val="20"/>
              </w:rPr>
              <w:t>Veteran</w:t>
            </w:r>
            <w:r w:rsidRPr="00E6700E">
              <w:rPr>
                <w:spacing w:val="4"/>
                <w:w w:val="105"/>
                <w:sz w:val="20"/>
              </w:rPr>
              <w:t xml:space="preserve"> </w:t>
            </w:r>
            <w:r w:rsidRPr="00E6700E">
              <w:rPr>
                <w:w w:val="105"/>
                <w:sz w:val="20"/>
              </w:rPr>
              <w:t>submitted</w:t>
            </w:r>
            <w:r w:rsidRPr="00E6700E">
              <w:rPr>
                <w:spacing w:val="4"/>
                <w:w w:val="105"/>
                <w:sz w:val="20"/>
              </w:rPr>
              <w:t xml:space="preserve"> </w:t>
            </w:r>
            <w:r w:rsidRPr="00E6700E">
              <w:rPr>
                <w:w w:val="105"/>
                <w:sz w:val="20"/>
              </w:rPr>
              <w:t>2</w:t>
            </w:r>
            <w:r w:rsidRPr="00E6700E">
              <w:rPr>
                <w:spacing w:val="-22"/>
                <w:w w:val="105"/>
                <w:sz w:val="20"/>
              </w:rPr>
              <w:t>1</w:t>
            </w:r>
            <w:r w:rsidRPr="00E6700E">
              <w:rPr>
                <w:w w:val="105"/>
                <w:sz w:val="20"/>
              </w:rPr>
              <w:t>-8940</w:t>
            </w:r>
            <w:r w:rsidRPr="00E6700E">
              <w:rPr>
                <w:spacing w:val="-16"/>
                <w:w w:val="105"/>
                <w:sz w:val="20"/>
              </w:rPr>
              <w:t xml:space="preserve"> </w:t>
            </w:r>
            <w:r w:rsidRPr="00E6700E">
              <w:rPr>
                <w:w w:val="105"/>
                <w:sz w:val="20"/>
              </w:rPr>
              <w:t>on</w:t>
            </w:r>
            <w:r w:rsidRPr="00E6700E">
              <w:rPr>
                <w:spacing w:val="-13"/>
                <w:w w:val="105"/>
                <w:sz w:val="20"/>
              </w:rPr>
              <w:t xml:space="preserve"> </w:t>
            </w:r>
            <w:r w:rsidRPr="00E6700E">
              <w:rPr>
                <w:w w:val="105"/>
                <w:sz w:val="20"/>
              </w:rPr>
              <w:t>4-2-97</w:t>
            </w:r>
            <w:r w:rsidRPr="00E6700E">
              <w:rPr>
                <w:spacing w:val="-6"/>
                <w:w w:val="105"/>
                <w:sz w:val="20"/>
              </w:rPr>
              <w:t xml:space="preserve"> </w:t>
            </w:r>
            <w:r w:rsidRPr="00E6700E">
              <w:rPr>
                <w:w w:val="105"/>
                <w:sz w:val="20"/>
              </w:rPr>
              <w:t>showing</w:t>
            </w:r>
            <w:r w:rsidRPr="00E6700E">
              <w:rPr>
                <w:spacing w:val="-9"/>
                <w:w w:val="105"/>
                <w:sz w:val="20"/>
              </w:rPr>
              <w:t xml:space="preserve"> </w:t>
            </w:r>
            <w:r w:rsidRPr="00E6700E">
              <w:rPr>
                <w:w w:val="105"/>
                <w:sz w:val="20"/>
              </w:rPr>
              <w:t>last</w:t>
            </w:r>
            <w:r>
              <w:rPr>
                <w:w w:val="105"/>
                <w:sz w:val="20"/>
              </w:rPr>
              <w:t xml:space="preserve"> </w:t>
            </w:r>
            <w:r w:rsidRPr="00E6700E">
              <w:rPr>
                <w:w w:val="115"/>
                <w:sz w:val="20"/>
              </w:rPr>
              <w:t>worked</w:t>
            </w:r>
            <w:r w:rsidRPr="00E6700E">
              <w:rPr>
                <w:spacing w:val="-23"/>
                <w:w w:val="115"/>
                <w:sz w:val="20"/>
              </w:rPr>
              <w:t xml:space="preserve"> </w:t>
            </w:r>
            <w:r>
              <w:rPr>
                <w:w w:val="105"/>
                <w:sz w:val="20"/>
              </w:rPr>
              <w:t>11-1-95</w:t>
            </w:r>
            <w:r w:rsidRPr="00E6700E">
              <w:rPr>
                <w:w w:val="115"/>
                <w:sz w:val="20"/>
              </w:rPr>
              <w:t>.</w:t>
            </w:r>
          </w:p>
          <w:p w:rsidR="00E6700E" w:rsidRP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sz w:val="20"/>
              </w:rPr>
            </w:pPr>
            <w:r w:rsidRPr="00E6700E">
              <w:rPr>
                <w:sz w:val="20"/>
              </w:rPr>
              <w:t>Effective</w:t>
            </w:r>
            <w:r w:rsidRPr="00E6700E">
              <w:rPr>
                <w:spacing w:val="21"/>
                <w:sz w:val="20"/>
              </w:rPr>
              <w:t xml:space="preserve"> </w:t>
            </w:r>
            <w:r w:rsidRPr="00E6700E">
              <w:rPr>
                <w:sz w:val="20"/>
              </w:rPr>
              <w:t>date</w:t>
            </w:r>
            <w:r w:rsidRPr="00E6700E">
              <w:rPr>
                <w:spacing w:val="-3"/>
                <w:sz w:val="20"/>
              </w:rPr>
              <w:t xml:space="preserve"> </w:t>
            </w:r>
            <w:r w:rsidRPr="00E6700E">
              <w:rPr>
                <w:sz w:val="20"/>
              </w:rPr>
              <w:t>would</w:t>
            </w:r>
            <w:r w:rsidRPr="00E6700E">
              <w:rPr>
                <w:spacing w:val="39"/>
                <w:sz w:val="20"/>
              </w:rPr>
              <w:t xml:space="preserve"> </w:t>
            </w:r>
            <w:r w:rsidRPr="00E6700E">
              <w:rPr>
                <w:sz w:val="20"/>
              </w:rPr>
              <w:t>be</w:t>
            </w:r>
            <w:r w:rsidRPr="00E6700E">
              <w:rPr>
                <w:spacing w:val="12"/>
                <w:sz w:val="20"/>
              </w:rPr>
              <w:t xml:space="preserve"> </w:t>
            </w:r>
            <w:r w:rsidRPr="00E6700E">
              <w:rPr>
                <w:sz w:val="20"/>
              </w:rPr>
              <w:t>4-2-97</w:t>
            </w:r>
            <w:r w:rsidRPr="00E6700E">
              <w:rPr>
                <w:spacing w:val="11"/>
                <w:sz w:val="20"/>
              </w:rPr>
              <w:t xml:space="preserve"> </w:t>
            </w:r>
            <w:r w:rsidRPr="00E6700E">
              <w:rPr>
                <w:sz w:val="20"/>
              </w:rPr>
              <w:t>since</w:t>
            </w:r>
            <w:r w:rsidRPr="00E6700E">
              <w:rPr>
                <w:spacing w:val="-8"/>
                <w:sz w:val="20"/>
              </w:rPr>
              <w:t xml:space="preserve"> </w:t>
            </w:r>
            <w:r w:rsidRPr="00E6700E">
              <w:rPr>
                <w:sz w:val="20"/>
              </w:rPr>
              <w:t>veteran</w:t>
            </w:r>
            <w:r w:rsidRPr="00E6700E">
              <w:rPr>
                <w:spacing w:val="27"/>
                <w:sz w:val="20"/>
              </w:rPr>
              <w:t xml:space="preserve"> </w:t>
            </w:r>
            <w:r w:rsidRPr="00E6700E">
              <w:rPr>
                <w:sz w:val="20"/>
              </w:rPr>
              <w:t>waited</w:t>
            </w:r>
            <w:r w:rsidRPr="00E6700E">
              <w:rPr>
                <w:spacing w:val="38"/>
                <w:sz w:val="20"/>
              </w:rPr>
              <w:t xml:space="preserve"> </w:t>
            </w:r>
            <w:r w:rsidRPr="00E6700E">
              <w:rPr>
                <w:sz w:val="20"/>
              </w:rPr>
              <w:t>more</w:t>
            </w:r>
            <w:r w:rsidRPr="00E6700E">
              <w:rPr>
                <w:spacing w:val="12"/>
                <w:sz w:val="20"/>
              </w:rPr>
              <w:t xml:space="preserve"> </w:t>
            </w:r>
            <w:r w:rsidRPr="00E6700E">
              <w:rPr>
                <w:sz w:val="20"/>
              </w:rPr>
              <w:t>than</w:t>
            </w:r>
            <w:r w:rsidRPr="00E6700E">
              <w:rPr>
                <w:spacing w:val="31"/>
                <w:sz w:val="20"/>
              </w:rPr>
              <w:t xml:space="preserve"> </w:t>
            </w:r>
            <w:r w:rsidRPr="00E6700E">
              <w:rPr>
                <w:sz w:val="20"/>
              </w:rPr>
              <w:t>one</w:t>
            </w:r>
            <w:r w:rsidRPr="00E6700E">
              <w:rPr>
                <w:spacing w:val="-4"/>
                <w:sz w:val="20"/>
              </w:rPr>
              <w:t xml:space="preserve"> </w:t>
            </w:r>
            <w:r w:rsidRPr="00E6700E">
              <w:rPr>
                <w:sz w:val="20"/>
              </w:rPr>
              <w:t>year</w:t>
            </w:r>
            <w:r w:rsidRPr="00E6700E">
              <w:rPr>
                <w:spacing w:val="14"/>
                <w:sz w:val="20"/>
              </w:rPr>
              <w:t xml:space="preserve"> </w:t>
            </w:r>
            <w:r w:rsidRPr="00E6700E">
              <w:rPr>
                <w:sz w:val="20"/>
              </w:rPr>
              <w:t>to</w:t>
            </w:r>
            <w:r w:rsidRPr="00E6700E">
              <w:rPr>
                <w:spacing w:val="8"/>
                <w:sz w:val="20"/>
              </w:rPr>
              <w:t xml:space="preserve"> </w:t>
            </w:r>
            <w:r w:rsidRPr="00E6700E">
              <w:rPr>
                <w:sz w:val="20"/>
              </w:rPr>
              <w:t>submit</w:t>
            </w:r>
            <w:r w:rsidRPr="00E6700E">
              <w:rPr>
                <w:w w:val="104"/>
                <w:sz w:val="20"/>
              </w:rPr>
              <w:t xml:space="preserve"> </w:t>
            </w:r>
            <w:r w:rsidRPr="00E6700E">
              <w:rPr>
                <w:sz w:val="20"/>
              </w:rPr>
              <w:t>the</w:t>
            </w:r>
            <w:r w:rsidRPr="00E6700E">
              <w:rPr>
                <w:spacing w:val="19"/>
                <w:sz w:val="20"/>
              </w:rPr>
              <w:t xml:space="preserve"> </w:t>
            </w:r>
            <w:r w:rsidRPr="00E6700E">
              <w:rPr>
                <w:spacing w:val="-2"/>
                <w:sz w:val="20"/>
              </w:rPr>
              <w:t>21-8940.</w:t>
            </w:r>
          </w:p>
          <w:p w:rsid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i/>
                <w:w w:val="105"/>
                <w:sz w:val="20"/>
              </w:rPr>
            </w:pPr>
            <w:r w:rsidRPr="00E6700E">
              <w:rPr>
                <w:i/>
                <w:w w:val="105"/>
                <w:sz w:val="20"/>
              </w:rPr>
              <w:t>If</w:t>
            </w:r>
            <w:r w:rsidRPr="00E6700E">
              <w:rPr>
                <w:i/>
                <w:spacing w:val="-13"/>
                <w:w w:val="105"/>
                <w:sz w:val="20"/>
              </w:rPr>
              <w:t xml:space="preserve"> </w:t>
            </w:r>
            <w:r w:rsidRPr="00E6700E">
              <w:rPr>
                <w:i/>
                <w:w w:val="105"/>
                <w:sz w:val="20"/>
              </w:rPr>
              <w:t>VAMC</w:t>
            </w:r>
            <w:r w:rsidRPr="00E6700E">
              <w:rPr>
                <w:i/>
                <w:spacing w:val="-11"/>
                <w:w w:val="105"/>
                <w:sz w:val="20"/>
              </w:rPr>
              <w:t xml:space="preserve"> </w:t>
            </w:r>
            <w:r w:rsidRPr="00E6700E">
              <w:rPr>
                <w:i/>
                <w:w w:val="105"/>
                <w:sz w:val="20"/>
              </w:rPr>
              <w:t>or</w:t>
            </w:r>
            <w:r w:rsidRPr="00E6700E">
              <w:rPr>
                <w:i/>
                <w:spacing w:val="-17"/>
                <w:w w:val="105"/>
                <w:sz w:val="20"/>
              </w:rPr>
              <w:t xml:space="preserve"> </w:t>
            </w:r>
            <w:r w:rsidRPr="00E6700E">
              <w:rPr>
                <w:i/>
                <w:w w:val="105"/>
                <w:sz w:val="20"/>
              </w:rPr>
              <w:t>military</w:t>
            </w:r>
            <w:r w:rsidRPr="00E6700E">
              <w:rPr>
                <w:i/>
                <w:spacing w:val="-3"/>
                <w:w w:val="105"/>
                <w:sz w:val="20"/>
              </w:rPr>
              <w:t xml:space="preserve"> </w:t>
            </w:r>
            <w:r w:rsidRPr="00E6700E">
              <w:rPr>
                <w:i/>
                <w:w w:val="105"/>
                <w:sz w:val="20"/>
              </w:rPr>
              <w:t>facility</w:t>
            </w:r>
            <w:r w:rsidRPr="00E6700E">
              <w:rPr>
                <w:i/>
                <w:spacing w:val="-14"/>
                <w:w w:val="105"/>
                <w:sz w:val="20"/>
              </w:rPr>
              <w:t xml:space="preserve"> </w:t>
            </w:r>
            <w:r w:rsidRPr="00E6700E">
              <w:rPr>
                <w:i/>
                <w:w w:val="105"/>
                <w:sz w:val="20"/>
              </w:rPr>
              <w:t>records</w:t>
            </w:r>
            <w:r w:rsidRPr="00E6700E">
              <w:rPr>
                <w:i/>
                <w:spacing w:val="-11"/>
                <w:w w:val="105"/>
                <w:sz w:val="20"/>
              </w:rPr>
              <w:t xml:space="preserve"> </w:t>
            </w:r>
            <w:r w:rsidRPr="00E6700E">
              <w:rPr>
                <w:i/>
                <w:w w:val="105"/>
                <w:sz w:val="20"/>
              </w:rPr>
              <w:t>showed</w:t>
            </w:r>
            <w:r w:rsidRPr="00E6700E">
              <w:rPr>
                <w:i/>
                <w:spacing w:val="-6"/>
                <w:w w:val="105"/>
                <w:sz w:val="20"/>
              </w:rPr>
              <w:t xml:space="preserve"> </w:t>
            </w:r>
            <w:r w:rsidRPr="00E6700E">
              <w:rPr>
                <w:i/>
                <w:w w:val="105"/>
                <w:sz w:val="20"/>
              </w:rPr>
              <w:t>last</w:t>
            </w:r>
            <w:r w:rsidRPr="00E6700E">
              <w:rPr>
                <w:i/>
                <w:spacing w:val="-19"/>
                <w:w w:val="105"/>
                <w:sz w:val="20"/>
              </w:rPr>
              <w:t xml:space="preserve"> </w:t>
            </w:r>
            <w:r w:rsidRPr="00E6700E">
              <w:rPr>
                <w:i/>
                <w:w w:val="105"/>
                <w:sz w:val="20"/>
              </w:rPr>
              <w:t>worked</w:t>
            </w:r>
            <w:r w:rsidRPr="00E6700E">
              <w:rPr>
                <w:i/>
                <w:spacing w:val="11"/>
                <w:w w:val="105"/>
                <w:sz w:val="20"/>
              </w:rPr>
              <w:t xml:space="preserve"> </w:t>
            </w:r>
            <w:r w:rsidRPr="00E6700E">
              <w:rPr>
                <w:i/>
                <w:w w:val="105"/>
                <w:sz w:val="20"/>
              </w:rPr>
              <w:t>11-1-95</w:t>
            </w:r>
            <w:r w:rsidRPr="00E6700E">
              <w:rPr>
                <w:i/>
                <w:spacing w:val="-18"/>
                <w:w w:val="105"/>
                <w:sz w:val="20"/>
              </w:rPr>
              <w:t xml:space="preserve"> </w:t>
            </w:r>
            <w:r w:rsidRPr="00E6700E">
              <w:rPr>
                <w:i/>
                <w:w w:val="105"/>
                <w:sz w:val="20"/>
              </w:rPr>
              <w:t>could</w:t>
            </w:r>
            <w:r w:rsidRPr="00E6700E">
              <w:rPr>
                <w:i/>
                <w:spacing w:val="-5"/>
                <w:w w:val="105"/>
                <w:sz w:val="20"/>
              </w:rPr>
              <w:t xml:space="preserve"> </w:t>
            </w:r>
            <w:r w:rsidRPr="00E6700E">
              <w:rPr>
                <w:i/>
                <w:w w:val="105"/>
                <w:sz w:val="20"/>
              </w:rPr>
              <w:t>grant</w:t>
            </w:r>
            <w:r w:rsidRPr="00E6700E">
              <w:rPr>
                <w:i/>
                <w:spacing w:val="-16"/>
                <w:w w:val="105"/>
                <w:sz w:val="20"/>
              </w:rPr>
              <w:t xml:space="preserve"> </w:t>
            </w:r>
            <w:r w:rsidRPr="00E6700E">
              <w:rPr>
                <w:i/>
                <w:w w:val="105"/>
                <w:sz w:val="20"/>
              </w:rPr>
              <w:t>IU</w:t>
            </w:r>
            <w:r w:rsidRPr="00E6700E">
              <w:rPr>
                <w:i/>
                <w:w w:val="102"/>
                <w:sz w:val="20"/>
              </w:rPr>
              <w:t xml:space="preserve"> </w:t>
            </w:r>
            <w:r w:rsidRPr="00E6700E">
              <w:rPr>
                <w:i/>
                <w:w w:val="105"/>
                <w:sz w:val="20"/>
              </w:rPr>
              <w:t>from</w:t>
            </w:r>
            <w:r w:rsidRPr="00E6700E">
              <w:rPr>
                <w:i/>
                <w:spacing w:val="24"/>
                <w:w w:val="105"/>
                <w:sz w:val="20"/>
              </w:rPr>
              <w:t xml:space="preserve"> </w:t>
            </w:r>
            <w:r w:rsidRPr="00E6700E">
              <w:rPr>
                <w:i/>
                <w:w w:val="105"/>
                <w:sz w:val="20"/>
              </w:rPr>
              <w:t>11-2-95.</w:t>
            </w:r>
          </w:p>
          <w:p w:rsidR="00E6700E" w:rsidRP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i/>
                <w:sz w:val="20"/>
              </w:rPr>
            </w:pPr>
          </w:p>
          <w:p w:rsidR="00E6700E" w:rsidRDefault="00E6700E" w:rsidP="00E6700E">
            <w:pPr>
              <w:pStyle w:val="BodyText"/>
              <w:pBdr>
                <w:top w:val="single" w:sz="4" w:space="1" w:color="auto"/>
                <w:left w:val="single" w:sz="4" w:space="4" w:color="auto"/>
                <w:bottom w:val="single" w:sz="4" w:space="1" w:color="auto"/>
                <w:right w:val="single" w:sz="4" w:space="4" w:color="auto"/>
              </w:pBdr>
              <w:ind w:left="240" w:right="250"/>
              <w:rPr>
                <w:w w:val="105"/>
                <w:sz w:val="20"/>
              </w:rPr>
            </w:pPr>
            <w:r w:rsidRPr="00E6700E">
              <w:rPr>
                <w:w w:val="105"/>
                <w:sz w:val="20"/>
              </w:rPr>
              <w:t>Consider</w:t>
            </w:r>
            <w:r w:rsidRPr="00E6700E">
              <w:rPr>
                <w:spacing w:val="-2"/>
                <w:w w:val="105"/>
                <w:sz w:val="20"/>
              </w:rPr>
              <w:t xml:space="preserve"> </w:t>
            </w:r>
            <w:r w:rsidRPr="00E6700E">
              <w:rPr>
                <w:w w:val="105"/>
                <w:sz w:val="20"/>
              </w:rPr>
              <w:t>a</w:t>
            </w:r>
            <w:r w:rsidRPr="00E6700E">
              <w:rPr>
                <w:spacing w:val="-2"/>
                <w:w w:val="105"/>
                <w:sz w:val="20"/>
              </w:rPr>
              <w:t xml:space="preserve"> </w:t>
            </w:r>
            <w:r w:rsidRPr="00E6700E">
              <w:rPr>
                <w:w w:val="105"/>
                <w:sz w:val="20"/>
              </w:rPr>
              <w:t>claim</w:t>
            </w:r>
            <w:r w:rsidRPr="00E6700E">
              <w:rPr>
                <w:spacing w:val="6"/>
                <w:w w:val="105"/>
                <w:sz w:val="20"/>
              </w:rPr>
              <w:t xml:space="preserve"> </w:t>
            </w:r>
            <w:r w:rsidRPr="00E6700E">
              <w:rPr>
                <w:w w:val="105"/>
                <w:sz w:val="20"/>
              </w:rPr>
              <w:t>for</w:t>
            </w:r>
            <w:r w:rsidRPr="00E6700E">
              <w:rPr>
                <w:spacing w:val="-14"/>
                <w:w w:val="105"/>
                <w:sz w:val="20"/>
              </w:rPr>
              <w:t xml:space="preserve"> </w:t>
            </w:r>
            <w:r w:rsidRPr="00E6700E">
              <w:rPr>
                <w:w w:val="105"/>
                <w:sz w:val="20"/>
              </w:rPr>
              <w:t>IU</w:t>
            </w:r>
            <w:r w:rsidRPr="00E6700E">
              <w:rPr>
                <w:spacing w:val="-3"/>
                <w:w w:val="105"/>
                <w:sz w:val="20"/>
              </w:rPr>
              <w:t xml:space="preserve"> </w:t>
            </w:r>
            <w:r w:rsidRPr="00E6700E">
              <w:rPr>
                <w:w w:val="105"/>
                <w:sz w:val="20"/>
              </w:rPr>
              <w:t>as</w:t>
            </w:r>
            <w:r w:rsidRPr="00E6700E">
              <w:rPr>
                <w:spacing w:val="-7"/>
                <w:w w:val="105"/>
                <w:sz w:val="20"/>
              </w:rPr>
              <w:t xml:space="preserve"> </w:t>
            </w:r>
            <w:r w:rsidRPr="00E6700E">
              <w:rPr>
                <w:w w:val="105"/>
                <w:sz w:val="20"/>
              </w:rPr>
              <w:t>a</w:t>
            </w:r>
            <w:r w:rsidRPr="00E6700E">
              <w:rPr>
                <w:spacing w:val="-2"/>
                <w:w w:val="105"/>
                <w:sz w:val="20"/>
              </w:rPr>
              <w:t xml:space="preserve"> </w:t>
            </w:r>
            <w:r w:rsidRPr="00E6700E">
              <w:rPr>
                <w:w w:val="105"/>
                <w:sz w:val="20"/>
              </w:rPr>
              <w:t>claim</w:t>
            </w:r>
            <w:r w:rsidRPr="00E6700E">
              <w:rPr>
                <w:spacing w:val="-2"/>
                <w:w w:val="105"/>
                <w:sz w:val="20"/>
              </w:rPr>
              <w:t xml:space="preserve"> </w:t>
            </w:r>
            <w:r w:rsidRPr="00E6700E">
              <w:rPr>
                <w:w w:val="105"/>
                <w:sz w:val="20"/>
              </w:rPr>
              <w:t>for</w:t>
            </w:r>
            <w:r w:rsidRPr="00E6700E">
              <w:rPr>
                <w:spacing w:val="-10"/>
                <w:w w:val="105"/>
                <w:sz w:val="20"/>
              </w:rPr>
              <w:t xml:space="preserve"> </w:t>
            </w:r>
            <w:r w:rsidRPr="00E6700E">
              <w:rPr>
                <w:w w:val="105"/>
                <w:sz w:val="20"/>
              </w:rPr>
              <w:t>increase</w:t>
            </w:r>
            <w:r w:rsidRPr="00E6700E">
              <w:rPr>
                <w:spacing w:val="-4"/>
                <w:w w:val="105"/>
                <w:sz w:val="20"/>
              </w:rPr>
              <w:t xml:space="preserve"> </w:t>
            </w:r>
            <w:r w:rsidRPr="00E6700E">
              <w:rPr>
                <w:w w:val="105"/>
                <w:sz w:val="20"/>
              </w:rPr>
              <w:t>and</w:t>
            </w:r>
            <w:r w:rsidRPr="00E6700E">
              <w:rPr>
                <w:spacing w:val="7"/>
                <w:w w:val="105"/>
                <w:sz w:val="20"/>
              </w:rPr>
              <w:t xml:space="preserve"> </w:t>
            </w:r>
            <w:r w:rsidRPr="00E6700E">
              <w:rPr>
                <w:w w:val="105"/>
                <w:sz w:val="20"/>
              </w:rPr>
              <w:t>apply</w:t>
            </w:r>
            <w:r w:rsidRPr="00E6700E">
              <w:rPr>
                <w:spacing w:val="-6"/>
                <w:w w:val="105"/>
                <w:sz w:val="20"/>
              </w:rPr>
              <w:t xml:space="preserve"> </w:t>
            </w:r>
            <w:r w:rsidRPr="00E6700E">
              <w:rPr>
                <w:spacing w:val="-23"/>
                <w:w w:val="105"/>
                <w:sz w:val="20"/>
              </w:rPr>
              <w:t>3</w:t>
            </w:r>
            <w:r w:rsidRPr="00E6700E">
              <w:rPr>
                <w:w w:val="105"/>
                <w:sz w:val="20"/>
              </w:rPr>
              <w:t>8</w:t>
            </w:r>
            <w:r w:rsidRPr="00E6700E">
              <w:rPr>
                <w:spacing w:val="-24"/>
                <w:w w:val="105"/>
                <w:sz w:val="20"/>
              </w:rPr>
              <w:t xml:space="preserve"> </w:t>
            </w:r>
            <w:r w:rsidRPr="00E6700E">
              <w:rPr>
                <w:w w:val="105"/>
                <w:sz w:val="20"/>
              </w:rPr>
              <w:t>CFR</w:t>
            </w:r>
            <w:r w:rsidRPr="00E6700E">
              <w:rPr>
                <w:spacing w:val="-5"/>
                <w:w w:val="105"/>
                <w:sz w:val="20"/>
              </w:rPr>
              <w:t xml:space="preserve"> </w:t>
            </w:r>
            <w:r w:rsidRPr="00E6700E">
              <w:rPr>
                <w:spacing w:val="-22"/>
                <w:w w:val="105"/>
                <w:sz w:val="20"/>
              </w:rPr>
              <w:t>3</w:t>
            </w:r>
            <w:r w:rsidRPr="00E6700E">
              <w:rPr>
                <w:spacing w:val="-29"/>
                <w:w w:val="105"/>
                <w:sz w:val="20"/>
              </w:rPr>
              <w:t>.</w:t>
            </w:r>
            <w:r>
              <w:rPr>
                <w:w w:val="105"/>
                <w:sz w:val="20"/>
              </w:rPr>
              <w:t xml:space="preserve">400(o)2 or </w:t>
            </w:r>
            <w:r w:rsidRPr="00E6700E">
              <w:rPr>
                <w:spacing w:val="-22"/>
                <w:w w:val="105"/>
                <w:sz w:val="20"/>
              </w:rPr>
              <w:t>3</w:t>
            </w:r>
            <w:r w:rsidRPr="00E6700E">
              <w:rPr>
                <w:w w:val="105"/>
                <w:sz w:val="20"/>
              </w:rPr>
              <w:t>8</w:t>
            </w:r>
            <w:r w:rsidRPr="00E6700E">
              <w:rPr>
                <w:w w:val="107"/>
                <w:sz w:val="20"/>
              </w:rPr>
              <w:t xml:space="preserve"> </w:t>
            </w:r>
            <w:r w:rsidRPr="00E6700E">
              <w:rPr>
                <w:w w:val="105"/>
                <w:sz w:val="20"/>
              </w:rPr>
              <w:t>CFR</w:t>
            </w:r>
            <w:r>
              <w:rPr>
                <w:w w:val="105"/>
                <w:sz w:val="20"/>
              </w:rPr>
              <w:t xml:space="preserve"> 3.157</w:t>
            </w:r>
            <w:r w:rsidRPr="00E6700E">
              <w:rPr>
                <w:spacing w:val="-21"/>
                <w:w w:val="105"/>
                <w:sz w:val="20"/>
              </w:rPr>
              <w:t xml:space="preserve"> </w:t>
            </w:r>
            <w:r w:rsidRPr="00E6700E">
              <w:rPr>
                <w:w w:val="105"/>
                <w:sz w:val="20"/>
              </w:rPr>
              <w:t>(if</w:t>
            </w:r>
            <w:r w:rsidRPr="00E6700E">
              <w:rPr>
                <w:spacing w:val="-14"/>
                <w:w w:val="105"/>
                <w:sz w:val="20"/>
              </w:rPr>
              <w:t xml:space="preserve"> </w:t>
            </w:r>
            <w:r w:rsidRPr="00E6700E">
              <w:rPr>
                <w:w w:val="105"/>
                <w:sz w:val="20"/>
              </w:rPr>
              <w:t>applicable)</w:t>
            </w:r>
            <w:r w:rsidRPr="00E6700E">
              <w:rPr>
                <w:spacing w:val="-2"/>
                <w:w w:val="105"/>
                <w:sz w:val="20"/>
              </w:rPr>
              <w:t xml:space="preserve"> </w:t>
            </w:r>
            <w:r w:rsidRPr="00E6700E">
              <w:rPr>
                <w:w w:val="105"/>
                <w:sz w:val="20"/>
              </w:rPr>
              <w:t>to</w:t>
            </w:r>
            <w:r w:rsidRPr="00E6700E">
              <w:rPr>
                <w:spacing w:val="-12"/>
                <w:w w:val="105"/>
                <w:sz w:val="20"/>
              </w:rPr>
              <w:t xml:space="preserve"> </w:t>
            </w:r>
            <w:r w:rsidRPr="00E6700E">
              <w:rPr>
                <w:w w:val="105"/>
                <w:sz w:val="20"/>
              </w:rPr>
              <w:t>figure</w:t>
            </w:r>
            <w:r w:rsidRPr="00E6700E">
              <w:rPr>
                <w:spacing w:val="-21"/>
                <w:w w:val="105"/>
                <w:sz w:val="20"/>
              </w:rPr>
              <w:t xml:space="preserve"> </w:t>
            </w:r>
            <w:r w:rsidRPr="00E6700E">
              <w:rPr>
                <w:w w:val="105"/>
                <w:sz w:val="20"/>
              </w:rPr>
              <w:t>out</w:t>
            </w:r>
            <w:r w:rsidRPr="00E6700E">
              <w:rPr>
                <w:spacing w:val="-16"/>
                <w:w w:val="105"/>
                <w:sz w:val="20"/>
              </w:rPr>
              <w:t xml:space="preserve"> </w:t>
            </w:r>
            <w:r w:rsidRPr="00E6700E">
              <w:rPr>
                <w:w w:val="105"/>
                <w:sz w:val="20"/>
              </w:rPr>
              <w:t>the</w:t>
            </w:r>
            <w:r w:rsidRPr="00E6700E">
              <w:rPr>
                <w:spacing w:val="-11"/>
                <w:w w:val="105"/>
                <w:sz w:val="20"/>
              </w:rPr>
              <w:t xml:space="preserve"> </w:t>
            </w:r>
            <w:r w:rsidRPr="00E6700E">
              <w:rPr>
                <w:w w:val="105"/>
                <w:sz w:val="20"/>
              </w:rPr>
              <w:t>effective</w:t>
            </w:r>
            <w:r w:rsidRPr="00E6700E">
              <w:rPr>
                <w:spacing w:val="-8"/>
                <w:w w:val="105"/>
                <w:sz w:val="20"/>
              </w:rPr>
              <w:t xml:space="preserve"> </w:t>
            </w:r>
            <w:r w:rsidRPr="00E6700E">
              <w:rPr>
                <w:w w:val="105"/>
                <w:sz w:val="20"/>
              </w:rPr>
              <w:t>date.</w:t>
            </w:r>
          </w:p>
          <w:p w:rsidR="0028565F" w:rsidRDefault="0028565F" w:rsidP="00E6700E">
            <w:pPr>
              <w:pStyle w:val="BodyText"/>
              <w:pBdr>
                <w:top w:val="single" w:sz="4" w:space="1" w:color="auto"/>
                <w:left w:val="single" w:sz="4" w:space="4" w:color="auto"/>
                <w:bottom w:val="single" w:sz="4" w:space="1" w:color="auto"/>
                <w:right w:val="single" w:sz="4" w:space="4" w:color="auto"/>
              </w:pBdr>
              <w:ind w:left="240" w:right="250"/>
              <w:rPr>
                <w:w w:val="105"/>
                <w:sz w:val="20"/>
              </w:rPr>
            </w:pPr>
          </w:p>
          <w:p w:rsidR="0028565F" w:rsidRPr="00E6700E" w:rsidRDefault="0028565F" w:rsidP="0028565F">
            <w:pPr>
              <w:pStyle w:val="BodyText"/>
              <w:pBdr>
                <w:top w:val="single" w:sz="4" w:space="1" w:color="auto"/>
                <w:left w:val="single" w:sz="4" w:space="4" w:color="auto"/>
                <w:bottom w:val="single" w:sz="4" w:space="1" w:color="auto"/>
                <w:right w:val="single" w:sz="4" w:space="4" w:color="auto"/>
              </w:pBdr>
              <w:ind w:left="240" w:right="250"/>
              <w:rPr>
                <w:sz w:val="20"/>
              </w:rPr>
            </w:pPr>
            <w:r>
              <w:rPr>
                <w:w w:val="105"/>
                <w:sz w:val="20"/>
              </w:rPr>
              <w:t xml:space="preserve">Also see </w:t>
            </w:r>
            <w:r w:rsidR="002103BF">
              <w:rPr>
                <w:b/>
                <w:sz w:val="20"/>
              </w:rPr>
              <w:t>III.iv.5.C.5</w:t>
            </w:r>
          </w:p>
        </w:tc>
      </w:tr>
      <w:tr w:rsidR="005D694D" w:rsidRPr="00971D1C">
        <w:trPr>
          <w:trHeight w:val="80"/>
        </w:trPr>
        <w:tc>
          <w:tcPr>
            <w:tcW w:w="705" w:type="dxa"/>
            <w:tcBorders>
              <w:top w:val="nil"/>
              <w:left w:val="nil"/>
              <w:bottom w:val="nil"/>
              <w:right w:val="nil"/>
            </w:tcBorders>
          </w:tcPr>
          <w:p w:rsidR="005D694D" w:rsidRPr="00971D1C" w:rsidRDefault="005D694D">
            <w:pPr>
              <w:widowControl w:val="0"/>
              <w:numPr>
                <w:ilvl w:val="12"/>
                <w:numId w:val="0"/>
              </w:numPr>
            </w:pPr>
          </w:p>
        </w:tc>
        <w:tc>
          <w:tcPr>
            <w:tcW w:w="10270" w:type="dxa"/>
            <w:tcBorders>
              <w:top w:val="nil"/>
              <w:left w:val="nil"/>
              <w:bottom w:val="nil"/>
              <w:right w:val="nil"/>
            </w:tcBorders>
          </w:tcPr>
          <w:p w:rsidR="005D694D" w:rsidRPr="00971D1C" w:rsidRDefault="005D694D" w:rsidP="00971D1C">
            <w:pPr>
              <w:widowControl w:val="0"/>
              <w:numPr>
                <w:ilvl w:val="12"/>
                <w:numId w:val="0"/>
              </w:numPr>
              <w:tabs>
                <w:tab w:val="left" w:pos="0"/>
              </w:tabs>
              <w:rPr>
                <w:b/>
              </w:rPr>
            </w:pPr>
          </w:p>
          <w:p w:rsidR="00122C06" w:rsidRPr="00122C06" w:rsidRDefault="001421FA" w:rsidP="00F063AF">
            <w:pPr>
              <w:pStyle w:val="ListParagraph"/>
              <w:widowControl w:val="0"/>
              <w:numPr>
                <w:ilvl w:val="0"/>
                <w:numId w:val="122"/>
              </w:numPr>
              <w:tabs>
                <w:tab w:val="clear" w:pos="720"/>
                <w:tab w:val="left" w:pos="0"/>
                <w:tab w:val="num" w:pos="330"/>
              </w:tabs>
              <w:spacing w:after="120"/>
              <w:ind w:left="330"/>
              <w:rPr>
                <w:rFonts w:ascii="Arial" w:hAnsi="Arial"/>
                <w:b/>
                <w:sz w:val="20"/>
                <w:szCs w:val="20"/>
              </w:rPr>
            </w:pPr>
            <w:r w:rsidRPr="001421FA">
              <w:rPr>
                <w:rFonts w:ascii="Arial" w:hAnsi="Arial"/>
                <w:bCs/>
                <w:sz w:val="20"/>
                <w:szCs w:val="20"/>
              </w:rPr>
              <w:t>Notes from</w:t>
            </w:r>
            <w:r w:rsidRPr="00BC03F7">
              <w:rPr>
                <w:bCs/>
              </w:rPr>
              <w:t xml:space="preserve"> </w:t>
            </w:r>
            <w:r w:rsidR="00971D1C" w:rsidRPr="001421FA">
              <w:rPr>
                <w:rFonts w:ascii="Arial" w:hAnsi="Arial"/>
                <w:b/>
                <w:i/>
                <w:sz w:val="20"/>
                <w:szCs w:val="20"/>
                <w:u w:val="single"/>
              </w:rPr>
              <w:t xml:space="preserve">October 2014 IU </w:t>
            </w:r>
            <w:r w:rsidRPr="001421FA">
              <w:rPr>
                <w:rFonts w:ascii="Arial" w:hAnsi="Arial"/>
                <w:b/>
                <w:i/>
                <w:sz w:val="20"/>
                <w:szCs w:val="20"/>
                <w:u w:val="single"/>
              </w:rPr>
              <w:t>T</w:t>
            </w:r>
            <w:r w:rsidR="00971D1C" w:rsidRPr="001421FA">
              <w:rPr>
                <w:rFonts w:ascii="Arial" w:hAnsi="Arial"/>
                <w:b/>
                <w:i/>
                <w:sz w:val="20"/>
                <w:szCs w:val="20"/>
                <w:u w:val="single"/>
              </w:rPr>
              <w:t>raining</w:t>
            </w:r>
            <w:r w:rsidR="00971D1C" w:rsidRPr="00122C06">
              <w:rPr>
                <w:rFonts w:ascii="Arial" w:hAnsi="Arial"/>
                <w:sz w:val="20"/>
                <w:szCs w:val="20"/>
              </w:rPr>
              <w:t xml:space="preserve"> (Anthony</w:t>
            </w:r>
            <w:r w:rsidR="00CD0826">
              <w:rPr>
                <w:rFonts w:ascii="Arial" w:hAnsi="Arial"/>
                <w:sz w:val="20"/>
                <w:szCs w:val="20"/>
              </w:rPr>
              <w:t xml:space="preserve"> Galloway</w:t>
            </w:r>
            <w:r w:rsidR="00971D1C" w:rsidRPr="00122C06">
              <w:rPr>
                <w:rFonts w:ascii="Arial" w:hAnsi="Arial"/>
                <w:sz w:val="20"/>
                <w:szCs w:val="20"/>
              </w:rPr>
              <w:t xml:space="preserve"> &amp; Carlos</w:t>
            </w:r>
            <w:r w:rsidR="00CD0826">
              <w:rPr>
                <w:rFonts w:ascii="Arial" w:hAnsi="Arial"/>
                <w:sz w:val="20"/>
                <w:szCs w:val="20"/>
              </w:rPr>
              <w:t xml:space="preserve"> Rosario</w:t>
            </w:r>
            <w:r w:rsidR="00971D1C" w:rsidRPr="00122C06">
              <w:rPr>
                <w:rFonts w:ascii="Arial" w:hAnsi="Arial"/>
                <w:sz w:val="20"/>
                <w:szCs w:val="20"/>
              </w:rPr>
              <w:t xml:space="preserve">) – </w:t>
            </w:r>
          </w:p>
          <w:p w:rsidR="0008057F" w:rsidRPr="00122C06" w:rsidRDefault="0008057F" w:rsidP="00F063AF">
            <w:pPr>
              <w:pStyle w:val="ListParagraph"/>
              <w:widowControl w:val="0"/>
              <w:numPr>
                <w:ilvl w:val="0"/>
                <w:numId w:val="191"/>
              </w:numPr>
              <w:tabs>
                <w:tab w:val="clear" w:pos="720"/>
                <w:tab w:val="left" w:pos="0"/>
                <w:tab w:val="num" w:pos="690"/>
              </w:tabs>
              <w:spacing w:after="120"/>
              <w:ind w:left="690"/>
              <w:rPr>
                <w:rFonts w:ascii="Arial" w:hAnsi="Arial"/>
                <w:b/>
                <w:sz w:val="20"/>
                <w:szCs w:val="20"/>
              </w:rPr>
            </w:pPr>
            <w:r w:rsidRPr="00122C06">
              <w:rPr>
                <w:rFonts w:ascii="Arial" w:hAnsi="Arial"/>
                <w:sz w:val="20"/>
                <w:szCs w:val="20"/>
              </w:rPr>
              <w:t xml:space="preserve">PowerPoint says that 4.16 says “unable to secure or follow a substantially gainful occupation </w:t>
            </w:r>
            <w:r w:rsidRPr="00122C06">
              <w:rPr>
                <w:rFonts w:ascii="Arial" w:hAnsi="Arial"/>
                <w:sz w:val="20"/>
                <w:szCs w:val="20"/>
                <w:u w:val="single"/>
              </w:rPr>
              <w:t>solely</w:t>
            </w:r>
            <w:r w:rsidR="00D90297">
              <w:rPr>
                <w:rFonts w:ascii="Arial" w:hAnsi="Arial"/>
                <w:sz w:val="20"/>
                <w:szCs w:val="20"/>
                <w:u w:val="single"/>
              </w:rPr>
              <w:t xml:space="preserve"> </w:t>
            </w:r>
            <w:r w:rsidRPr="00122C06">
              <w:rPr>
                <w:rFonts w:ascii="Arial" w:hAnsi="Arial"/>
                <w:sz w:val="20"/>
                <w:szCs w:val="20"/>
              </w:rPr>
              <w:t>due to service connected disabilities.”</w:t>
            </w:r>
            <w:r w:rsidR="00053DDB">
              <w:rPr>
                <w:rFonts w:ascii="Arial" w:hAnsi="Arial"/>
                <w:sz w:val="20"/>
                <w:szCs w:val="20"/>
              </w:rPr>
              <w:t xml:space="preserve"> – contradicted by </w:t>
            </w:r>
            <w:r w:rsidR="00053DDB">
              <w:rPr>
                <w:rFonts w:ascii="Arial" w:hAnsi="Arial"/>
                <w:b/>
                <w:bCs/>
                <w:sz w:val="20"/>
                <w:szCs w:val="20"/>
              </w:rPr>
              <w:t>August 2016 Consistency Study</w:t>
            </w:r>
          </w:p>
          <w:p w:rsidR="0008057F" w:rsidRPr="00122C06" w:rsidRDefault="0008057F" w:rsidP="00F063AF">
            <w:pPr>
              <w:pStyle w:val="ListParagraph"/>
              <w:widowControl w:val="0"/>
              <w:numPr>
                <w:ilvl w:val="0"/>
                <w:numId w:val="191"/>
              </w:numPr>
              <w:tabs>
                <w:tab w:val="clear" w:pos="720"/>
                <w:tab w:val="left" w:pos="0"/>
                <w:tab w:val="num" w:pos="690"/>
              </w:tabs>
              <w:spacing w:after="120"/>
              <w:ind w:left="690"/>
              <w:rPr>
                <w:rFonts w:ascii="Arial" w:hAnsi="Arial"/>
                <w:b/>
                <w:sz w:val="20"/>
                <w:szCs w:val="20"/>
              </w:rPr>
            </w:pPr>
            <w:r w:rsidRPr="00122C06">
              <w:rPr>
                <w:rFonts w:ascii="Arial" w:hAnsi="Arial"/>
                <w:sz w:val="20"/>
                <w:szCs w:val="20"/>
              </w:rPr>
              <w:t>Infer IU is examiner says prevents/precludes or seriously impairs ability to work</w:t>
            </w:r>
            <w:r w:rsidR="00922AAD">
              <w:rPr>
                <w:rFonts w:ascii="Arial" w:hAnsi="Arial"/>
                <w:sz w:val="20"/>
                <w:szCs w:val="20"/>
              </w:rPr>
              <w:t>. Otherwise, the functional impact question is geared toward 3.324 and 3.321(b), not 4.16.</w:t>
            </w:r>
          </w:p>
          <w:p w:rsidR="00122C06" w:rsidRPr="00122C06" w:rsidRDefault="00122C06" w:rsidP="00F063AF">
            <w:pPr>
              <w:pStyle w:val="ListParagraph"/>
              <w:widowControl w:val="0"/>
              <w:numPr>
                <w:ilvl w:val="0"/>
                <w:numId w:val="191"/>
              </w:numPr>
              <w:tabs>
                <w:tab w:val="clear" w:pos="720"/>
                <w:tab w:val="left" w:pos="0"/>
                <w:tab w:val="num" w:pos="690"/>
              </w:tabs>
              <w:spacing w:after="120"/>
              <w:ind w:left="690"/>
              <w:rPr>
                <w:rFonts w:ascii="Arial" w:hAnsi="Arial"/>
                <w:b/>
                <w:sz w:val="20"/>
                <w:szCs w:val="20"/>
              </w:rPr>
            </w:pPr>
            <w:r w:rsidRPr="00122C06">
              <w:rPr>
                <w:rFonts w:ascii="Arial" w:hAnsi="Arial"/>
                <w:sz w:val="20"/>
                <w:szCs w:val="20"/>
              </w:rPr>
              <w:t>For mental issues, consider the whole record, plus the examiner’s answer on occupational and social functioning. Can go back &amp; ask, if needed.</w:t>
            </w:r>
          </w:p>
          <w:p w:rsidR="00122C06" w:rsidRPr="00122C06" w:rsidRDefault="00122C06" w:rsidP="00F063AF">
            <w:pPr>
              <w:pStyle w:val="ListParagraph"/>
              <w:widowControl w:val="0"/>
              <w:numPr>
                <w:ilvl w:val="0"/>
                <w:numId w:val="191"/>
              </w:numPr>
              <w:tabs>
                <w:tab w:val="clear" w:pos="720"/>
                <w:tab w:val="left" w:pos="0"/>
                <w:tab w:val="num" w:pos="690"/>
              </w:tabs>
              <w:spacing w:after="120"/>
              <w:ind w:left="690"/>
              <w:rPr>
                <w:rFonts w:ascii="Arial" w:hAnsi="Arial"/>
                <w:b/>
              </w:rPr>
            </w:pPr>
            <w:r w:rsidRPr="00122C06">
              <w:rPr>
                <w:rFonts w:ascii="Arial" w:hAnsi="Arial"/>
                <w:sz w:val="20"/>
                <w:szCs w:val="20"/>
              </w:rPr>
              <w:t>No new exam needed if infer, exam is within one year, and exam and TRs are sufficient/complete</w:t>
            </w:r>
            <w:r w:rsidR="00540623">
              <w:rPr>
                <w:rFonts w:ascii="Arial" w:hAnsi="Arial"/>
                <w:sz w:val="20"/>
                <w:szCs w:val="20"/>
              </w:rPr>
              <w:t xml:space="preserve">. No need for Gen Med, just specific issues, if not already on file. If must deny &amp; evidence is </w:t>
            </w:r>
            <w:r w:rsidR="0036104D">
              <w:rPr>
                <w:rFonts w:ascii="Arial" w:hAnsi="Arial"/>
                <w:sz w:val="20"/>
                <w:szCs w:val="20"/>
              </w:rPr>
              <w:t>o</w:t>
            </w:r>
            <w:r w:rsidR="00540623">
              <w:rPr>
                <w:rFonts w:ascii="Arial" w:hAnsi="Arial"/>
                <w:sz w:val="20"/>
                <w:szCs w:val="20"/>
              </w:rPr>
              <w:t>ld/incomplete/inconsistent, get exam &amp; opinion.</w:t>
            </w:r>
          </w:p>
          <w:p w:rsidR="00122C06" w:rsidRPr="00DA433D" w:rsidRDefault="00122C06" w:rsidP="00F063AF">
            <w:pPr>
              <w:pStyle w:val="ListParagraph"/>
              <w:widowControl w:val="0"/>
              <w:numPr>
                <w:ilvl w:val="0"/>
                <w:numId w:val="191"/>
              </w:numPr>
              <w:tabs>
                <w:tab w:val="clear" w:pos="720"/>
                <w:tab w:val="left" w:pos="0"/>
                <w:tab w:val="num" w:pos="690"/>
              </w:tabs>
              <w:spacing w:after="120"/>
              <w:ind w:left="690"/>
              <w:rPr>
                <w:rFonts w:ascii="Arial" w:hAnsi="Arial"/>
                <w:b/>
                <w:sz w:val="20"/>
                <w:szCs w:val="20"/>
              </w:rPr>
            </w:pPr>
            <w:r w:rsidRPr="00DA433D">
              <w:rPr>
                <w:rFonts w:ascii="Arial" w:hAnsi="Arial"/>
                <w:sz w:val="20"/>
                <w:szCs w:val="20"/>
              </w:rPr>
              <w:t>SSA records are not required if you can grant.</w:t>
            </w:r>
            <w:r w:rsidR="00922AAD" w:rsidRPr="00DA433D">
              <w:rPr>
                <w:rFonts w:ascii="Arial" w:hAnsi="Arial"/>
                <w:sz w:val="20"/>
                <w:szCs w:val="20"/>
              </w:rPr>
              <w:t xml:space="preserve"> BUT, must request if evidence shows in receipt of SS. (</w:t>
            </w:r>
            <w:r w:rsidR="00DA433D" w:rsidRPr="00951F38">
              <w:rPr>
                <w:rFonts w:ascii="Arial" w:hAnsi="Arial"/>
                <w:b/>
                <w:i/>
                <w:sz w:val="20"/>
                <w:szCs w:val="20"/>
              </w:rPr>
              <w:t>Golz v. Shinseki</w:t>
            </w:r>
            <w:r w:rsidR="00DA433D" w:rsidRPr="00DA433D">
              <w:rPr>
                <w:rFonts w:ascii="Arial" w:hAnsi="Arial"/>
                <w:sz w:val="20"/>
                <w:szCs w:val="20"/>
              </w:rPr>
              <w:t xml:space="preserve"> (1/4/10) &amp; </w:t>
            </w:r>
            <w:r w:rsidR="00DA433D" w:rsidRPr="00DA433D">
              <w:rPr>
                <w:rFonts w:ascii="Arial" w:hAnsi="Arial"/>
                <w:b/>
                <w:i/>
                <w:sz w:val="20"/>
                <w:szCs w:val="20"/>
              </w:rPr>
              <w:t xml:space="preserve">Murincsak v. Derwinski </w:t>
            </w:r>
            <w:r w:rsidR="00DA433D" w:rsidRPr="00DA433D">
              <w:rPr>
                <w:rFonts w:ascii="Arial" w:hAnsi="Arial"/>
                <w:sz w:val="20"/>
                <w:szCs w:val="20"/>
              </w:rPr>
              <w:t>(4/24/92)</w:t>
            </w:r>
            <w:r w:rsidR="00922AAD" w:rsidRPr="00DA433D">
              <w:rPr>
                <w:rFonts w:ascii="Arial" w:hAnsi="Arial"/>
                <w:sz w:val="20"/>
                <w:szCs w:val="20"/>
              </w:rPr>
              <w:t>)</w:t>
            </w:r>
          </w:p>
          <w:p w:rsidR="00122C06" w:rsidRPr="00922AAD" w:rsidRDefault="00122C06" w:rsidP="00F063AF">
            <w:pPr>
              <w:pStyle w:val="ListParagraph"/>
              <w:widowControl w:val="0"/>
              <w:numPr>
                <w:ilvl w:val="0"/>
                <w:numId w:val="191"/>
              </w:numPr>
              <w:tabs>
                <w:tab w:val="clear" w:pos="720"/>
                <w:tab w:val="left" w:pos="0"/>
                <w:tab w:val="num" w:pos="690"/>
              </w:tabs>
              <w:spacing w:after="120"/>
              <w:ind w:left="690"/>
              <w:rPr>
                <w:rFonts w:ascii="Arial" w:hAnsi="Arial"/>
                <w:b/>
              </w:rPr>
            </w:pPr>
            <w:r>
              <w:rPr>
                <w:rFonts w:ascii="Arial" w:hAnsi="Arial"/>
                <w:sz w:val="20"/>
                <w:szCs w:val="20"/>
              </w:rPr>
              <w:t>Voc Rehab – M28R, IV.8.2 (2.13 specifically)</w:t>
            </w:r>
          </w:p>
          <w:p w:rsidR="00540623" w:rsidRPr="00540623" w:rsidRDefault="00922AAD" w:rsidP="00F063AF">
            <w:pPr>
              <w:pStyle w:val="ListParagraph"/>
              <w:widowControl w:val="0"/>
              <w:numPr>
                <w:ilvl w:val="0"/>
                <w:numId w:val="191"/>
              </w:numPr>
              <w:tabs>
                <w:tab w:val="clear" w:pos="720"/>
                <w:tab w:val="left" w:pos="0"/>
                <w:tab w:val="num" w:pos="690"/>
              </w:tabs>
              <w:spacing w:after="120"/>
              <w:ind w:left="690"/>
              <w:rPr>
                <w:rFonts w:ascii="Arial" w:hAnsi="Arial"/>
                <w:b/>
              </w:rPr>
            </w:pPr>
            <w:r>
              <w:rPr>
                <w:rFonts w:ascii="Arial" w:hAnsi="Arial"/>
                <w:sz w:val="20"/>
                <w:szCs w:val="20"/>
              </w:rPr>
              <w:t>A veteran that is just unemployed does not automatically meet “reasonably raised” &amp; just meeting 4.16 doesn’t “reasonably raise” the issue of IU.</w:t>
            </w:r>
          </w:p>
          <w:p w:rsidR="00922AAD" w:rsidRDefault="00922AAD" w:rsidP="00F063AF">
            <w:pPr>
              <w:pStyle w:val="ListParagraph"/>
              <w:widowControl w:val="0"/>
              <w:numPr>
                <w:ilvl w:val="0"/>
                <w:numId w:val="191"/>
              </w:numPr>
              <w:tabs>
                <w:tab w:val="clear" w:pos="720"/>
                <w:tab w:val="left" w:pos="0"/>
                <w:tab w:val="num" w:pos="690"/>
              </w:tabs>
              <w:spacing w:after="120"/>
              <w:ind w:left="690"/>
              <w:rPr>
                <w:rFonts w:ascii="Arial" w:hAnsi="Arial"/>
                <w:b/>
                <w:sz w:val="20"/>
                <w:szCs w:val="20"/>
              </w:rPr>
            </w:pPr>
            <w:r w:rsidRPr="00B73089">
              <w:rPr>
                <w:rFonts w:ascii="Arial" w:hAnsi="Arial"/>
                <w:b/>
                <w:i/>
                <w:sz w:val="20"/>
                <w:szCs w:val="20"/>
              </w:rPr>
              <w:t>Faust v. West</w:t>
            </w:r>
            <w:r w:rsidRPr="00922AAD">
              <w:rPr>
                <w:rFonts w:ascii="Arial" w:hAnsi="Arial"/>
                <w:i/>
                <w:sz w:val="20"/>
                <w:szCs w:val="20"/>
              </w:rPr>
              <w:t xml:space="preserve"> </w:t>
            </w:r>
            <w:r w:rsidRPr="00922AAD">
              <w:rPr>
                <w:rFonts w:ascii="Arial" w:hAnsi="Arial"/>
                <w:sz w:val="20"/>
                <w:szCs w:val="20"/>
              </w:rPr>
              <w:t xml:space="preserve">(2000) - </w:t>
            </w:r>
            <w:hyperlink r:id="rId677" w:history="1">
              <w:r w:rsidRPr="00922AAD">
                <w:rPr>
                  <w:rStyle w:val="Hyperlink"/>
                  <w:rFonts w:ascii="Arial" w:hAnsi="Arial"/>
                  <w:b/>
                  <w:sz w:val="20"/>
                  <w:szCs w:val="20"/>
                </w:rPr>
                <w:t>http://www.census.gov/hhes/www/poverty/data/threshld/index.html</w:t>
              </w:r>
            </w:hyperlink>
          </w:p>
          <w:p w:rsidR="00540623" w:rsidRDefault="00540623" w:rsidP="00F063AF">
            <w:pPr>
              <w:pStyle w:val="ListParagraph"/>
              <w:widowControl w:val="0"/>
              <w:numPr>
                <w:ilvl w:val="0"/>
                <w:numId w:val="191"/>
              </w:numPr>
              <w:tabs>
                <w:tab w:val="clear" w:pos="720"/>
                <w:tab w:val="left" w:pos="0"/>
                <w:tab w:val="num" w:pos="690"/>
              </w:tabs>
              <w:spacing w:after="120"/>
              <w:ind w:left="690"/>
              <w:rPr>
                <w:rFonts w:ascii="Arial" w:hAnsi="Arial"/>
                <w:sz w:val="20"/>
                <w:szCs w:val="20"/>
              </w:rPr>
            </w:pPr>
            <w:r w:rsidRPr="00540623">
              <w:rPr>
                <w:rFonts w:ascii="Arial" w:hAnsi="Arial"/>
                <w:sz w:val="20"/>
                <w:szCs w:val="20"/>
              </w:rPr>
              <w:t xml:space="preserve">Effective Dates – if filed within 1 year of last RD – base </w:t>
            </w:r>
            <w:r w:rsidR="004F315B">
              <w:rPr>
                <w:rFonts w:ascii="Arial" w:hAnsi="Arial"/>
                <w:sz w:val="20"/>
                <w:szCs w:val="20"/>
              </w:rPr>
              <w:t>effective date</w:t>
            </w:r>
            <w:r w:rsidRPr="00540623">
              <w:rPr>
                <w:rFonts w:ascii="Arial" w:hAnsi="Arial"/>
                <w:sz w:val="20"/>
                <w:szCs w:val="20"/>
              </w:rPr>
              <w:t xml:space="preserve"> on that decision</w:t>
            </w:r>
            <w:r>
              <w:rPr>
                <w:rFonts w:ascii="Arial" w:hAnsi="Arial"/>
                <w:sz w:val="20"/>
                <w:szCs w:val="20"/>
              </w:rPr>
              <w:t xml:space="preserve"> (70% for 1 issue granted eff 1/21/06 by RD 12/15/06, 8940 rec’d 6/9/07 (whether inferred or not) shows not worked since 1/5/04 d/t 70% disability; grant IU 1/21/06); if filed OVER 1 year from last RD – it’s the DOC.</w:t>
            </w:r>
          </w:p>
          <w:p w:rsidR="00540623" w:rsidRPr="00083D88" w:rsidRDefault="00540623" w:rsidP="00F063AF">
            <w:pPr>
              <w:pStyle w:val="ListParagraph"/>
              <w:widowControl w:val="0"/>
              <w:numPr>
                <w:ilvl w:val="0"/>
                <w:numId w:val="191"/>
              </w:numPr>
              <w:tabs>
                <w:tab w:val="clear" w:pos="720"/>
                <w:tab w:val="left" w:pos="0"/>
                <w:tab w:val="num" w:pos="690"/>
              </w:tabs>
              <w:spacing w:after="120"/>
              <w:ind w:left="690"/>
              <w:rPr>
                <w:rFonts w:ascii="Arial" w:hAnsi="Arial"/>
                <w:sz w:val="20"/>
                <w:szCs w:val="20"/>
              </w:rPr>
            </w:pPr>
            <w:r w:rsidRPr="00B73089">
              <w:rPr>
                <w:rFonts w:ascii="Arial" w:hAnsi="Arial"/>
                <w:b/>
                <w:i/>
                <w:iCs/>
                <w:sz w:val="20"/>
                <w:szCs w:val="20"/>
              </w:rPr>
              <w:t>Bradley v. Peake</w:t>
            </w:r>
            <w:r w:rsidRPr="00540623">
              <w:rPr>
                <w:rStyle w:val="Hyperlink"/>
                <w:rFonts w:ascii="Arial" w:hAnsi="Arial"/>
                <w:iCs/>
                <w:sz w:val="20"/>
                <w:szCs w:val="20"/>
                <w:u w:val="none"/>
              </w:rPr>
              <w:t xml:space="preserve"> </w:t>
            </w:r>
            <w:r w:rsidRPr="00540623">
              <w:rPr>
                <w:rStyle w:val="Hyperlink"/>
                <w:rFonts w:ascii="Arial" w:hAnsi="Arial"/>
                <w:iCs/>
                <w:color w:val="auto"/>
                <w:sz w:val="20"/>
                <w:szCs w:val="20"/>
                <w:u w:val="none"/>
              </w:rPr>
              <w:t xml:space="preserve">– can’t go retroactive, but can reconsider IU to see if S is warranted; preserve S if increase to 100% (per </w:t>
            </w:r>
            <w:r w:rsidRPr="00B73089">
              <w:rPr>
                <w:rFonts w:ascii="Arial" w:hAnsi="Arial"/>
                <w:b/>
                <w:i/>
                <w:sz w:val="20"/>
                <w:szCs w:val="20"/>
              </w:rPr>
              <w:t>Buie v. Shinseki</w:t>
            </w:r>
            <w:r w:rsidRPr="00540623">
              <w:rPr>
                <w:rFonts w:ascii="Arial" w:hAnsi="Arial"/>
                <w:color w:val="000000"/>
                <w:sz w:val="20"/>
                <w:szCs w:val="20"/>
              </w:rPr>
              <w:t xml:space="preserve"> (3/23/10))</w:t>
            </w:r>
          </w:p>
          <w:p w:rsidR="00287A19" w:rsidRDefault="00D571C5" w:rsidP="00F063AF">
            <w:pPr>
              <w:pStyle w:val="ListParagraph"/>
              <w:numPr>
                <w:ilvl w:val="0"/>
                <w:numId w:val="192"/>
              </w:numPr>
              <w:tabs>
                <w:tab w:val="left" w:pos="330"/>
              </w:tabs>
              <w:spacing w:after="120"/>
              <w:ind w:left="330"/>
              <w:rPr>
                <w:rFonts w:ascii="Arial" w:hAnsi="Arial"/>
                <w:sz w:val="20"/>
                <w:szCs w:val="20"/>
              </w:rPr>
            </w:pPr>
            <w:hyperlink r:id="rId678" w:history="1">
              <w:r w:rsidR="00083D88">
                <w:rPr>
                  <w:rStyle w:val="Hyperlink"/>
                  <w:rFonts w:ascii="Arial" w:hAnsi="Arial"/>
                  <w:b/>
                  <w:i/>
                  <w:sz w:val="20"/>
                  <w:szCs w:val="20"/>
                </w:rPr>
                <w:t xml:space="preserve">October 2014 Rating </w:t>
              </w:r>
              <w:r w:rsidR="00FF4E63">
                <w:rPr>
                  <w:rStyle w:val="Hyperlink"/>
                  <w:rFonts w:ascii="Arial" w:hAnsi="Arial"/>
                  <w:b/>
                  <w:i/>
                  <w:sz w:val="20"/>
                  <w:szCs w:val="20"/>
                </w:rPr>
                <w:t>Quality Call Notes</w:t>
              </w:r>
            </w:hyperlink>
            <w:r w:rsidR="00083D88" w:rsidRPr="00083D88">
              <w:rPr>
                <w:rFonts w:ascii="Arial" w:hAnsi="Arial"/>
                <w:sz w:val="20"/>
                <w:szCs w:val="20"/>
              </w:rPr>
              <w:t xml:space="preserve"> – </w:t>
            </w:r>
          </w:p>
          <w:p w:rsidR="00083D88" w:rsidRDefault="00083D88" w:rsidP="00F063AF">
            <w:pPr>
              <w:pStyle w:val="ListParagraph"/>
              <w:numPr>
                <w:ilvl w:val="0"/>
                <w:numId w:val="194"/>
              </w:numPr>
              <w:tabs>
                <w:tab w:val="left" w:pos="690"/>
              </w:tabs>
              <w:spacing w:after="120"/>
              <w:rPr>
                <w:rFonts w:ascii="Arial" w:hAnsi="Arial"/>
                <w:sz w:val="20"/>
                <w:szCs w:val="20"/>
              </w:rPr>
            </w:pPr>
            <w:r>
              <w:rPr>
                <w:rFonts w:ascii="Arial" w:hAnsi="Arial"/>
                <w:sz w:val="20"/>
                <w:szCs w:val="20"/>
              </w:rPr>
              <w:t>IU needs to be rating &amp; should not be administratively denied</w:t>
            </w:r>
            <w:r w:rsidR="00287A19">
              <w:rPr>
                <w:rFonts w:ascii="Arial" w:hAnsi="Arial"/>
                <w:sz w:val="20"/>
                <w:szCs w:val="20"/>
              </w:rPr>
              <w:t>.</w:t>
            </w:r>
          </w:p>
          <w:p w:rsidR="00287A19" w:rsidRPr="00083D88" w:rsidRDefault="00287A19" w:rsidP="00F063AF">
            <w:pPr>
              <w:pStyle w:val="ListParagraph"/>
              <w:numPr>
                <w:ilvl w:val="0"/>
                <w:numId w:val="194"/>
              </w:numPr>
              <w:tabs>
                <w:tab w:val="left" w:pos="690"/>
              </w:tabs>
              <w:spacing w:after="120"/>
              <w:rPr>
                <w:rFonts w:ascii="Arial" w:hAnsi="Arial"/>
                <w:sz w:val="20"/>
                <w:szCs w:val="20"/>
              </w:rPr>
            </w:pPr>
            <w:r>
              <w:rPr>
                <w:rFonts w:ascii="Arial" w:hAnsi="Arial"/>
                <w:sz w:val="20"/>
                <w:szCs w:val="20"/>
              </w:rPr>
              <w:t xml:space="preserve">A veteran can write “all” in the block for specific disabilities. </w:t>
            </w:r>
          </w:p>
          <w:p w:rsidR="00083D88" w:rsidRPr="00E0341B" w:rsidRDefault="00FB2DAC" w:rsidP="00F063AF">
            <w:pPr>
              <w:pStyle w:val="ListParagraph"/>
              <w:widowControl w:val="0"/>
              <w:numPr>
                <w:ilvl w:val="0"/>
                <w:numId w:val="192"/>
              </w:numPr>
              <w:tabs>
                <w:tab w:val="left" w:pos="0"/>
              </w:tabs>
              <w:spacing w:after="120"/>
              <w:ind w:left="330"/>
            </w:pPr>
            <w:r w:rsidRPr="00B73089">
              <w:rPr>
                <w:rFonts w:ascii="Arial" w:hAnsi="Arial"/>
                <w:b/>
                <w:i/>
                <w:sz w:val="20"/>
                <w:szCs w:val="20"/>
              </w:rPr>
              <w:t xml:space="preserve">July 2015 </w:t>
            </w:r>
            <w:r w:rsidR="00EB6F0B" w:rsidRPr="00B73089">
              <w:rPr>
                <w:rFonts w:ascii="Arial" w:hAnsi="Arial"/>
                <w:b/>
                <w:i/>
                <w:sz w:val="20"/>
                <w:szCs w:val="20"/>
              </w:rPr>
              <w:t>Compensation Service Bulletin (CSB)</w:t>
            </w:r>
            <w:r>
              <w:rPr>
                <w:rFonts w:ascii="Arial" w:hAnsi="Arial"/>
                <w:sz w:val="20"/>
                <w:szCs w:val="20"/>
              </w:rPr>
              <w:t xml:space="preserve"> – updated 8940 &amp; 4192, </w:t>
            </w:r>
            <w:r w:rsidRPr="00FB2DAC">
              <w:rPr>
                <w:rFonts w:ascii="Arial" w:hAnsi="Arial"/>
                <w:b/>
                <w:sz w:val="20"/>
                <w:szCs w:val="20"/>
              </w:rPr>
              <w:t>IV.ii.2.F</w:t>
            </w:r>
          </w:p>
          <w:p w:rsidR="00E0341B" w:rsidRPr="00951F38" w:rsidRDefault="00E0341B" w:rsidP="00F063AF">
            <w:pPr>
              <w:pStyle w:val="ListParagraph"/>
              <w:widowControl w:val="0"/>
              <w:numPr>
                <w:ilvl w:val="0"/>
                <w:numId w:val="192"/>
              </w:numPr>
              <w:tabs>
                <w:tab w:val="left" w:pos="0"/>
              </w:tabs>
              <w:spacing w:after="120"/>
              <w:ind w:left="330"/>
            </w:pPr>
            <w:r>
              <w:rPr>
                <w:rFonts w:ascii="Arial" w:hAnsi="Arial"/>
                <w:sz w:val="20"/>
                <w:szCs w:val="20"/>
              </w:rPr>
              <w:t>Per VA Pulse,</w:t>
            </w:r>
            <w:r w:rsidRPr="0036104D">
              <w:rPr>
                <w:rFonts w:ascii="Arial" w:hAnsi="Arial"/>
                <w:i/>
                <w:sz w:val="20"/>
                <w:szCs w:val="20"/>
              </w:rPr>
              <w:t xml:space="preserve"> </w:t>
            </w:r>
            <w:r w:rsidRPr="00B73089">
              <w:rPr>
                <w:rFonts w:ascii="Arial" w:hAnsi="Arial"/>
                <w:i/>
                <w:sz w:val="20"/>
                <w:szCs w:val="20"/>
              </w:rPr>
              <w:t>https://www.vapulse.net/message/26718</w:t>
            </w:r>
            <w:r>
              <w:rPr>
                <w:rFonts w:ascii="Arial" w:hAnsi="Arial"/>
                <w:sz w:val="20"/>
                <w:szCs w:val="20"/>
              </w:rPr>
              <w:t>, if 5-year work history on 8940 is missing, the form is incomplete, return to veteran for completion &amp; give 30 days; if have info on last year of employment, send 4192 employer &amp; veteran [no need to ask for more]</w:t>
            </w:r>
          </w:p>
          <w:p w:rsidR="00951F38" w:rsidRPr="00C63C84" w:rsidRDefault="00951F38" w:rsidP="00F063AF">
            <w:pPr>
              <w:pStyle w:val="ListParagraph"/>
              <w:widowControl w:val="0"/>
              <w:numPr>
                <w:ilvl w:val="0"/>
                <w:numId w:val="192"/>
              </w:numPr>
              <w:tabs>
                <w:tab w:val="left" w:pos="0"/>
              </w:tabs>
              <w:spacing w:after="120" w:line="240" w:lineRule="auto"/>
              <w:ind w:left="331"/>
              <w:rPr>
                <w:rFonts w:ascii="Arial" w:hAnsi="Arial"/>
                <w:sz w:val="20"/>
                <w:szCs w:val="20"/>
              </w:rPr>
            </w:pPr>
            <w:r w:rsidRPr="00C63C84">
              <w:rPr>
                <w:rFonts w:ascii="Arial" w:hAnsi="Arial"/>
                <w:sz w:val="20"/>
                <w:szCs w:val="20"/>
              </w:rPr>
              <w:t xml:space="preserve">Notes from </w:t>
            </w:r>
            <w:r w:rsidRPr="00C63C84">
              <w:rPr>
                <w:rFonts w:ascii="Arial" w:hAnsi="Arial"/>
                <w:b/>
                <w:i/>
                <w:sz w:val="20"/>
                <w:szCs w:val="20"/>
                <w:u w:val="single"/>
              </w:rPr>
              <w:t>December 2015 IU Training</w:t>
            </w:r>
            <w:r w:rsidR="00CD0826">
              <w:rPr>
                <w:rFonts w:ascii="Arial" w:hAnsi="Arial"/>
                <w:sz w:val="20"/>
                <w:szCs w:val="20"/>
              </w:rPr>
              <w:t xml:space="preserve"> (John Trunick)</w:t>
            </w:r>
            <w:r w:rsidRPr="00C63C84">
              <w:rPr>
                <w:rFonts w:ascii="Arial" w:hAnsi="Arial"/>
                <w:sz w:val="20"/>
                <w:szCs w:val="20"/>
              </w:rPr>
              <w:t xml:space="preserve"> –</w:t>
            </w:r>
          </w:p>
          <w:p w:rsidR="00951F38" w:rsidRDefault="00C63C84" w:rsidP="00F063AF">
            <w:pPr>
              <w:pStyle w:val="ListParagraph"/>
              <w:widowControl w:val="0"/>
              <w:numPr>
                <w:ilvl w:val="0"/>
                <w:numId w:val="270"/>
              </w:numPr>
              <w:tabs>
                <w:tab w:val="left" w:pos="0"/>
              </w:tabs>
              <w:spacing w:after="120" w:line="240" w:lineRule="auto"/>
              <w:rPr>
                <w:rFonts w:ascii="Arial" w:hAnsi="Arial"/>
                <w:sz w:val="20"/>
                <w:szCs w:val="20"/>
              </w:rPr>
            </w:pPr>
            <w:r w:rsidRPr="00C63C84">
              <w:rPr>
                <w:rFonts w:ascii="Arial" w:hAnsi="Arial"/>
                <w:sz w:val="20"/>
                <w:szCs w:val="20"/>
              </w:rPr>
              <w:t>Per Carlos</w:t>
            </w:r>
            <w:r w:rsidR="00CD0826">
              <w:rPr>
                <w:rFonts w:ascii="Arial" w:hAnsi="Arial"/>
                <w:sz w:val="20"/>
                <w:szCs w:val="20"/>
              </w:rPr>
              <w:t xml:space="preserve"> Rosario</w:t>
            </w:r>
            <w:r w:rsidRPr="00C63C84">
              <w:rPr>
                <w:rFonts w:ascii="Arial" w:hAnsi="Arial"/>
                <w:sz w:val="20"/>
                <w:szCs w:val="20"/>
              </w:rPr>
              <w:t xml:space="preserve">, </w:t>
            </w:r>
            <w:r>
              <w:rPr>
                <w:rFonts w:ascii="Arial" w:hAnsi="Arial"/>
                <w:sz w:val="20"/>
                <w:szCs w:val="20"/>
              </w:rPr>
              <w:t xml:space="preserve">if infer IU, don’t need to get 4192 since you’re not inferring unless the veteran is unemployed </w:t>
            </w:r>
          </w:p>
          <w:p w:rsidR="00C63C84" w:rsidRDefault="00C63C84" w:rsidP="00F063AF">
            <w:pPr>
              <w:pStyle w:val="ListParagraph"/>
              <w:widowControl w:val="0"/>
              <w:numPr>
                <w:ilvl w:val="0"/>
                <w:numId w:val="270"/>
              </w:numPr>
              <w:tabs>
                <w:tab w:val="left" w:pos="0"/>
              </w:tabs>
              <w:spacing w:after="120" w:line="240" w:lineRule="auto"/>
              <w:rPr>
                <w:rFonts w:ascii="Arial" w:hAnsi="Arial"/>
                <w:sz w:val="20"/>
                <w:szCs w:val="20"/>
              </w:rPr>
            </w:pPr>
            <w:r>
              <w:rPr>
                <w:rFonts w:ascii="Arial" w:hAnsi="Arial"/>
                <w:sz w:val="20"/>
                <w:szCs w:val="20"/>
              </w:rPr>
              <w:t xml:space="preserve">For </w:t>
            </w:r>
            <w:r w:rsidRPr="00C63C84">
              <w:rPr>
                <w:rFonts w:ascii="Arial" w:hAnsi="Arial"/>
                <w:b/>
                <w:i/>
                <w:sz w:val="20"/>
                <w:szCs w:val="20"/>
              </w:rPr>
              <w:t>Bradley v. Peake</w:t>
            </w:r>
            <w:r>
              <w:rPr>
                <w:rFonts w:ascii="Arial" w:hAnsi="Arial"/>
                <w:sz w:val="20"/>
                <w:szCs w:val="20"/>
              </w:rPr>
              <w:t>, continue IU &amp; S on codesheet even if later combined is increased to 100%.</w:t>
            </w:r>
          </w:p>
          <w:p w:rsidR="00C63C84" w:rsidRDefault="00C63C84" w:rsidP="00F063AF">
            <w:pPr>
              <w:pStyle w:val="ListParagraph"/>
              <w:widowControl w:val="0"/>
              <w:numPr>
                <w:ilvl w:val="0"/>
                <w:numId w:val="270"/>
              </w:numPr>
              <w:tabs>
                <w:tab w:val="left" w:pos="0"/>
              </w:tabs>
              <w:spacing w:after="120" w:line="240" w:lineRule="auto"/>
              <w:rPr>
                <w:rFonts w:ascii="Arial" w:hAnsi="Arial"/>
                <w:sz w:val="20"/>
                <w:szCs w:val="20"/>
              </w:rPr>
            </w:pPr>
            <w:r>
              <w:rPr>
                <w:rFonts w:ascii="Arial" w:hAnsi="Arial"/>
                <w:sz w:val="20"/>
                <w:szCs w:val="20"/>
              </w:rPr>
              <w:t>Have to request SSA records, but can grant before they arrive if have sufficient evidence.</w:t>
            </w:r>
          </w:p>
          <w:p w:rsidR="00C63C84" w:rsidRDefault="00C63C84" w:rsidP="00F063AF">
            <w:pPr>
              <w:pStyle w:val="ListParagraph"/>
              <w:widowControl w:val="0"/>
              <w:numPr>
                <w:ilvl w:val="0"/>
                <w:numId w:val="270"/>
              </w:numPr>
              <w:tabs>
                <w:tab w:val="left" w:pos="0"/>
              </w:tabs>
              <w:spacing w:after="120" w:line="240" w:lineRule="auto"/>
              <w:rPr>
                <w:rFonts w:ascii="Arial" w:hAnsi="Arial"/>
                <w:sz w:val="20"/>
                <w:szCs w:val="20"/>
              </w:rPr>
            </w:pPr>
            <w:r>
              <w:rPr>
                <w:rFonts w:ascii="Arial" w:hAnsi="Arial"/>
                <w:sz w:val="20"/>
                <w:szCs w:val="20"/>
              </w:rPr>
              <w:t>Gen Med not automatic, but can request.</w:t>
            </w:r>
          </w:p>
          <w:p w:rsidR="00C63C84" w:rsidRDefault="00C63C84" w:rsidP="00F063AF">
            <w:pPr>
              <w:pStyle w:val="ListParagraph"/>
              <w:widowControl w:val="0"/>
              <w:numPr>
                <w:ilvl w:val="0"/>
                <w:numId w:val="270"/>
              </w:numPr>
              <w:tabs>
                <w:tab w:val="left" w:pos="0"/>
              </w:tabs>
              <w:spacing w:after="120" w:line="240" w:lineRule="auto"/>
              <w:rPr>
                <w:rFonts w:ascii="Arial" w:hAnsi="Arial"/>
                <w:sz w:val="20"/>
                <w:szCs w:val="20"/>
              </w:rPr>
            </w:pPr>
            <w:r>
              <w:rPr>
                <w:rFonts w:ascii="Arial" w:hAnsi="Arial"/>
                <w:sz w:val="20"/>
                <w:szCs w:val="20"/>
              </w:rPr>
              <w:t>If have 8940 over a year-old, probably should get a new one.</w:t>
            </w:r>
          </w:p>
          <w:p w:rsidR="00C63C84" w:rsidRDefault="00C63C84" w:rsidP="00F063AF">
            <w:pPr>
              <w:pStyle w:val="ListParagraph"/>
              <w:widowControl w:val="0"/>
              <w:numPr>
                <w:ilvl w:val="0"/>
                <w:numId w:val="270"/>
              </w:numPr>
              <w:tabs>
                <w:tab w:val="left" w:pos="0"/>
              </w:tabs>
              <w:spacing w:after="120" w:line="240" w:lineRule="auto"/>
              <w:rPr>
                <w:rFonts w:ascii="Arial" w:hAnsi="Arial"/>
                <w:sz w:val="20"/>
                <w:szCs w:val="20"/>
              </w:rPr>
            </w:pPr>
            <w:r>
              <w:rPr>
                <w:rFonts w:ascii="Arial" w:hAnsi="Arial"/>
                <w:sz w:val="20"/>
                <w:szCs w:val="20"/>
              </w:rPr>
              <w:t>No need for 4192 if evidence is sufficient to grant.</w:t>
            </w:r>
          </w:p>
          <w:p w:rsidR="00C63C84" w:rsidRDefault="00C63C84" w:rsidP="00F063AF">
            <w:pPr>
              <w:pStyle w:val="ListParagraph"/>
              <w:widowControl w:val="0"/>
              <w:numPr>
                <w:ilvl w:val="0"/>
                <w:numId w:val="270"/>
              </w:numPr>
              <w:tabs>
                <w:tab w:val="left" w:pos="0"/>
              </w:tabs>
              <w:spacing w:after="120" w:line="240" w:lineRule="auto"/>
              <w:rPr>
                <w:rFonts w:ascii="Arial" w:hAnsi="Arial"/>
                <w:sz w:val="20"/>
                <w:szCs w:val="20"/>
              </w:rPr>
            </w:pPr>
            <w:r>
              <w:rPr>
                <w:rFonts w:ascii="Arial" w:hAnsi="Arial"/>
                <w:sz w:val="20"/>
                <w:szCs w:val="20"/>
              </w:rPr>
              <w:t>If retired, need to know if it was due to disability &amp; which disability.</w:t>
            </w:r>
          </w:p>
          <w:p w:rsidR="00C63C84" w:rsidRDefault="00C63C84" w:rsidP="00F063AF">
            <w:pPr>
              <w:pStyle w:val="ListParagraph"/>
              <w:widowControl w:val="0"/>
              <w:numPr>
                <w:ilvl w:val="0"/>
                <w:numId w:val="270"/>
              </w:numPr>
              <w:tabs>
                <w:tab w:val="left" w:pos="0"/>
              </w:tabs>
              <w:spacing w:after="120" w:line="240" w:lineRule="auto"/>
              <w:rPr>
                <w:rFonts w:ascii="Arial" w:hAnsi="Arial"/>
                <w:sz w:val="20"/>
                <w:szCs w:val="20"/>
              </w:rPr>
            </w:pPr>
            <w:r>
              <w:rPr>
                <w:rFonts w:ascii="Arial" w:hAnsi="Arial"/>
                <w:sz w:val="20"/>
                <w:szCs w:val="20"/>
              </w:rPr>
              <w:t>Intertwined Appeals: (1) NOD on evaluation of disab, claim for IU w/disab on Appeal is listed in Box 7; if IU denied, IU is now on Appeal; (2) NOD on IU, c</w:t>
            </w:r>
            <w:r w:rsidR="00613FDD">
              <w:rPr>
                <w:rFonts w:ascii="Arial" w:hAnsi="Arial"/>
                <w:sz w:val="20"/>
                <w:szCs w:val="20"/>
              </w:rPr>
              <w:t>laim for increase on issue not on Appeal; if increase denied, evaluation is now on Appeal.</w:t>
            </w:r>
          </w:p>
          <w:p w:rsidR="00613FDD" w:rsidRPr="00F03735" w:rsidRDefault="00613FDD" w:rsidP="00F063AF">
            <w:pPr>
              <w:pStyle w:val="ListParagraph"/>
              <w:widowControl w:val="0"/>
              <w:numPr>
                <w:ilvl w:val="0"/>
                <w:numId w:val="270"/>
              </w:numPr>
              <w:tabs>
                <w:tab w:val="left" w:pos="0"/>
              </w:tabs>
              <w:spacing w:after="120" w:line="240" w:lineRule="auto"/>
              <w:rPr>
                <w:rFonts w:ascii="Arial" w:hAnsi="Arial"/>
                <w:sz w:val="20"/>
                <w:szCs w:val="20"/>
              </w:rPr>
            </w:pPr>
            <w:r>
              <w:rPr>
                <w:rFonts w:ascii="Arial" w:hAnsi="Arial"/>
                <w:sz w:val="20"/>
                <w:szCs w:val="20"/>
              </w:rPr>
              <w:t xml:space="preserve">Per </w:t>
            </w:r>
            <w:r w:rsidRPr="003E52BE">
              <w:rPr>
                <w:rFonts w:ascii="Arial" w:hAnsi="Arial"/>
                <w:b/>
                <w:i/>
                <w:sz w:val="20"/>
                <w:szCs w:val="20"/>
              </w:rPr>
              <w:t>Rice v. Shinseki</w:t>
            </w:r>
            <w:r>
              <w:rPr>
                <w:rFonts w:ascii="Arial" w:hAnsi="Arial"/>
                <w:sz w:val="20"/>
                <w:szCs w:val="20"/>
              </w:rPr>
              <w:t xml:space="preserve">, IU is linked to underlying condition(s), so prior grant of SC or increase (w/i 1 year), can be used for effective date (not always </w:t>
            </w:r>
            <w:r w:rsidRPr="00F03735">
              <w:rPr>
                <w:rFonts w:ascii="Arial" w:hAnsi="Arial"/>
                <w:sz w:val="20"/>
                <w:szCs w:val="20"/>
              </w:rPr>
              <w:t>date rec’d 8940)</w:t>
            </w:r>
            <w:r w:rsidR="003E52BE" w:rsidRPr="00F03735">
              <w:rPr>
                <w:rFonts w:ascii="Arial" w:hAnsi="Arial"/>
                <w:sz w:val="20"/>
                <w:szCs w:val="20"/>
              </w:rPr>
              <w:t>.</w:t>
            </w:r>
          </w:p>
          <w:p w:rsidR="00F03735" w:rsidRPr="00053DDB" w:rsidRDefault="00D571C5" w:rsidP="00F063AF">
            <w:pPr>
              <w:pStyle w:val="ListParagraph"/>
              <w:widowControl w:val="0"/>
              <w:numPr>
                <w:ilvl w:val="0"/>
                <w:numId w:val="277"/>
              </w:numPr>
              <w:tabs>
                <w:tab w:val="left" w:pos="0"/>
              </w:tabs>
              <w:spacing w:after="120"/>
              <w:ind w:left="330" w:hanging="330"/>
              <w:rPr>
                <w:rFonts w:ascii="Arial" w:hAnsi="Arial"/>
                <w:sz w:val="20"/>
                <w:szCs w:val="20"/>
              </w:rPr>
            </w:pPr>
            <w:hyperlink r:id="rId679" w:history="1">
              <w:r w:rsidR="00F03735" w:rsidRPr="00F03735">
                <w:rPr>
                  <w:rStyle w:val="Hyperlink"/>
                  <w:rFonts w:ascii="Arial" w:hAnsi="Arial"/>
                  <w:b/>
                  <w:bCs/>
                  <w:i/>
                  <w:sz w:val="20"/>
                  <w:szCs w:val="20"/>
                </w:rPr>
                <w:t>March 2016 Quality Call Notes</w:t>
              </w:r>
            </w:hyperlink>
            <w:r w:rsidR="00F03735" w:rsidRPr="00F03735">
              <w:rPr>
                <w:rFonts w:ascii="Arial" w:hAnsi="Arial"/>
                <w:bCs/>
                <w:sz w:val="20"/>
                <w:szCs w:val="20"/>
              </w:rPr>
              <w:t xml:space="preserve"> – Reminder</w:t>
            </w:r>
            <w:r w:rsidR="00F03735">
              <w:rPr>
                <w:rFonts w:ascii="Arial" w:hAnsi="Arial"/>
                <w:bCs/>
                <w:sz w:val="20"/>
                <w:szCs w:val="20"/>
              </w:rPr>
              <w:t xml:space="preserve">s on IU &amp; Bradley v. Peake &amp; Buie v. Shinseki (discusses effective dates &amp; gives verbiage for if changing IU to be based solely on one disability), </w:t>
            </w:r>
            <w:r w:rsidR="00F03735" w:rsidRPr="00F03735">
              <w:rPr>
                <w:rFonts w:ascii="Arial" w:hAnsi="Arial"/>
                <w:b/>
                <w:bCs/>
                <w:sz w:val="20"/>
                <w:szCs w:val="20"/>
              </w:rPr>
              <w:t>IV.ii.2.F.4.g</w:t>
            </w:r>
          </w:p>
          <w:p w:rsidR="00053DDB" w:rsidRPr="00AD6CBB" w:rsidRDefault="00053DDB" w:rsidP="00F063AF">
            <w:pPr>
              <w:pStyle w:val="ListParagraph"/>
              <w:widowControl w:val="0"/>
              <w:numPr>
                <w:ilvl w:val="0"/>
                <w:numId w:val="277"/>
              </w:numPr>
              <w:tabs>
                <w:tab w:val="left" w:pos="0"/>
              </w:tabs>
              <w:spacing w:after="120"/>
              <w:ind w:left="330" w:hanging="330"/>
              <w:rPr>
                <w:rFonts w:ascii="Arial" w:hAnsi="Arial"/>
                <w:sz w:val="20"/>
                <w:szCs w:val="20"/>
              </w:rPr>
            </w:pPr>
            <w:r>
              <w:rPr>
                <w:rFonts w:ascii="Arial" w:hAnsi="Arial"/>
                <w:b/>
                <w:bCs/>
                <w:sz w:val="20"/>
                <w:szCs w:val="20"/>
              </w:rPr>
              <w:t xml:space="preserve">August 2016 Consistency Study </w:t>
            </w:r>
            <w:r w:rsidRPr="00053DDB">
              <w:rPr>
                <w:rFonts w:ascii="Arial" w:hAnsi="Arial"/>
                <w:bCs/>
                <w:sz w:val="20"/>
                <w:szCs w:val="20"/>
              </w:rPr>
              <w:t>contradicts October 2014 training &amp; says</w:t>
            </w:r>
            <w:r>
              <w:rPr>
                <w:rFonts w:ascii="Arial" w:hAnsi="Arial"/>
                <w:b/>
                <w:bCs/>
                <w:sz w:val="20"/>
                <w:szCs w:val="20"/>
              </w:rPr>
              <w:t xml:space="preserve"> “</w:t>
            </w:r>
            <w:r>
              <w:rPr>
                <w:rFonts w:ascii="Tahoma" w:hAnsi="Tahoma" w:cs="Tahoma"/>
              </w:rPr>
              <w:t>NSC disabilities or injuries occurring after military service have no bearing on a determination of whether SC disability renders a Veteran unemployable.”</w:t>
            </w:r>
          </w:p>
          <w:p w:rsidR="00AD6CBB" w:rsidRPr="0063422E" w:rsidRDefault="00AD6CBB" w:rsidP="00F063AF">
            <w:pPr>
              <w:pStyle w:val="ListParagraph"/>
              <w:widowControl w:val="0"/>
              <w:numPr>
                <w:ilvl w:val="0"/>
                <w:numId w:val="277"/>
              </w:numPr>
              <w:tabs>
                <w:tab w:val="left" w:pos="0"/>
              </w:tabs>
              <w:spacing w:after="120"/>
              <w:ind w:left="330" w:hanging="330"/>
              <w:rPr>
                <w:rFonts w:ascii="Arial" w:hAnsi="Arial"/>
                <w:i/>
                <w:sz w:val="20"/>
                <w:szCs w:val="20"/>
              </w:rPr>
            </w:pPr>
            <w:r w:rsidRPr="0063422E">
              <w:rPr>
                <w:rFonts w:ascii="Arial" w:hAnsi="Arial"/>
                <w:bCs/>
                <w:i/>
                <w:color w:val="00B050"/>
                <w:sz w:val="20"/>
                <w:szCs w:val="20"/>
              </w:rPr>
              <w:t xml:space="preserve">My Notes:  </w:t>
            </w:r>
            <w:r w:rsidRPr="0063422E">
              <w:rPr>
                <w:rFonts w:ascii="Arial" w:hAnsi="Arial"/>
                <w:bCs/>
                <w:i/>
                <w:sz w:val="20"/>
                <w:szCs w:val="20"/>
              </w:rPr>
              <w:t>Only SC disabilities l</w:t>
            </w:r>
            <w:r w:rsidR="0063422E" w:rsidRPr="0063422E">
              <w:rPr>
                <w:rFonts w:ascii="Arial" w:hAnsi="Arial"/>
                <w:bCs/>
                <w:i/>
                <w:sz w:val="20"/>
                <w:szCs w:val="20"/>
              </w:rPr>
              <w:t>isted in box 7 are claims. Anything listed in box 9 is not a claim.</w:t>
            </w:r>
          </w:p>
          <w:p w:rsidR="00707DD6" w:rsidRPr="00D10240" w:rsidRDefault="00707DD6" w:rsidP="009327C0">
            <w:pPr>
              <w:pBdr>
                <w:top w:val="double" w:sz="4" w:space="1" w:color="auto"/>
                <w:left w:val="double" w:sz="4" w:space="4" w:color="auto"/>
                <w:bottom w:val="double" w:sz="4" w:space="1" w:color="auto"/>
                <w:right w:val="double" w:sz="4" w:space="4" w:color="auto"/>
              </w:pBdr>
              <w:shd w:val="clear" w:color="auto" w:fill="FFC000"/>
              <w:spacing w:before="240" w:after="120"/>
              <w:ind w:left="245" w:right="158"/>
              <w:rPr>
                <w:rFonts w:eastAsiaTheme="minorHAnsi"/>
              </w:rPr>
            </w:pPr>
            <w:r w:rsidRPr="00104FA3">
              <w:rPr>
                <w:rFonts w:eastAsiaTheme="minorHAnsi"/>
                <w:b/>
              </w:rPr>
              <w:t>IU flowchart</w:t>
            </w:r>
            <w:r w:rsidRPr="00104FA3">
              <w:rPr>
                <w:rFonts w:eastAsiaTheme="minorHAnsi"/>
              </w:rPr>
              <w:t xml:space="preserve"> </w:t>
            </w:r>
            <w:r w:rsidR="00104FA3" w:rsidRPr="00104FA3">
              <w:rPr>
                <w:rFonts w:eastAsiaTheme="minorHAnsi"/>
                <w:i/>
              </w:rPr>
              <w:t>(from 2013)</w:t>
            </w:r>
            <w:r w:rsidR="00104FA3">
              <w:rPr>
                <w:rFonts w:eastAsiaTheme="minorHAnsi"/>
              </w:rPr>
              <w:t xml:space="preserve"> </w:t>
            </w:r>
            <w:r>
              <w:rPr>
                <w:rFonts w:eastAsiaTheme="minorHAnsi"/>
              </w:rPr>
              <w:t>is</w:t>
            </w:r>
            <w:r w:rsidRPr="0036376C">
              <w:t xml:space="preserve"> saved at </w:t>
            </w:r>
            <w:r w:rsidRPr="001453C4">
              <w:rPr>
                <w:b/>
                <w:bCs/>
                <w:i/>
                <w:iCs/>
              </w:rPr>
              <w:t>H:\VSC\Rating Reference</w:t>
            </w:r>
          </w:p>
          <w:p w:rsidR="00FB2DAC" w:rsidRPr="00083D88" w:rsidRDefault="00FB2DAC" w:rsidP="00083D88">
            <w:pPr>
              <w:widowControl w:val="0"/>
              <w:tabs>
                <w:tab w:val="left" w:pos="0"/>
              </w:tabs>
              <w:spacing w:after="120"/>
            </w:pPr>
          </w:p>
        </w:tc>
      </w:tr>
      <w:tr w:rsidR="00013EB8">
        <w:trPr>
          <w:trHeight w:val="227"/>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3.341</w:t>
            </w:r>
          </w:p>
        </w:tc>
        <w:tc>
          <w:tcPr>
            <w:tcW w:w="10270" w:type="dxa"/>
            <w:tcBorders>
              <w:top w:val="nil"/>
              <w:left w:val="nil"/>
              <w:bottom w:val="nil"/>
              <w:right w:val="nil"/>
            </w:tcBorders>
          </w:tcPr>
          <w:p w:rsidR="00013EB8" w:rsidRDefault="00013EB8">
            <w:pPr>
              <w:widowControl w:val="0"/>
              <w:numPr>
                <w:ilvl w:val="12"/>
                <w:numId w:val="0"/>
              </w:numPr>
              <w:rPr>
                <w:b/>
              </w:rPr>
            </w:pPr>
            <w:r>
              <w:rPr>
                <w:b/>
              </w:rPr>
              <w:t>Total disability ratings for compensation purposes</w:t>
            </w:r>
          </w:p>
        </w:tc>
      </w:tr>
    </w:tbl>
    <w:p w:rsidR="00013EB8" w:rsidRDefault="00013EB8">
      <w:pPr>
        <w:widowControl w:val="0"/>
        <w:numPr>
          <w:ilvl w:val="12"/>
          <w:numId w:val="0"/>
        </w:numPr>
        <w:tabs>
          <w:tab w:val="left" w:pos="0"/>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rsidTr="00B26BB8">
        <w:trPr>
          <w:trHeight w:val="1953"/>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3.343</w:t>
            </w:r>
          </w:p>
        </w:tc>
        <w:tc>
          <w:tcPr>
            <w:tcW w:w="10270" w:type="dxa"/>
            <w:tcBorders>
              <w:top w:val="nil"/>
              <w:left w:val="nil"/>
              <w:bottom w:val="nil"/>
              <w:right w:val="nil"/>
            </w:tcBorders>
          </w:tcPr>
          <w:p w:rsidR="00013EB8" w:rsidRPr="009E1585" w:rsidRDefault="00013EB8">
            <w:pPr>
              <w:widowControl w:val="0"/>
              <w:numPr>
                <w:ilvl w:val="12"/>
                <w:numId w:val="0"/>
              </w:numPr>
              <w:spacing w:after="120"/>
              <w:rPr>
                <w:color w:val="0000FF"/>
              </w:rPr>
            </w:pPr>
            <w:r w:rsidRPr="009E1585">
              <w:rPr>
                <w:b/>
              </w:rPr>
              <w:t>Continuance of total disability ratings</w:t>
            </w:r>
            <w:r w:rsidRPr="009E1585">
              <w:t xml:space="preserve"> </w:t>
            </w:r>
            <w:r w:rsidRPr="009E1585">
              <w:rPr>
                <w:color w:val="0000FF"/>
              </w:rPr>
              <w:t xml:space="preserve">– </w:t>
            </w:r>
            <w:r w:rsidRPr="009E1585">
              <w:rPr>
                <w:i/>
              </w:rPr>
              <w:t>can’t just be better because resting</w:t>
            </w:r>
          </w:p>
          <w:p w:rsidR="00013EB8" w:rsidRPr="00B26BB8" w:rsidRDefault="00013EB8" w:rsidP="00F063AF">
            <w:pPr>
              <w:widowControl w:val="0"/>
              <w:numPr>
                <w:ilvl w:val="0"/>
                <w:numId w:val="82"/>
              </w:numPr>
              <w:tabs>
                <w:tab w:val="clear" w:pos="720"/>
                <w:tab w:val="num" w:pos="340"/>
              </w:tabs>
              <w:spacing w:after="120"/>
              <w:ind w:left="346"/>
              <w:rPr>
                <w:i/>
              </w:rPr>
            </w:pPr>
            <w:r w:rsidRPr="009E1585">
              <w:rPr>
                <w:b/>
                <w:bCs/>
              </w:rPr>
              <w:t>III.iv.8</w:t>
            </w:r>
          </w:p>
        </w:tc>
      </w:tr>
    </w:tbl>
    <w:p w:rsidR="00013EB8" w:rsidRDefault="00013EB8">
      <w:pPr>
        <w:widowControl w:val="0"/>
        <w:numPr>
          <w:ilvl w:val="12"/>
          <w:numId w:val="0"/>
        </w:numPr>
        <w:tabs>
          <w:tab w:val="left" w:pos="0"/>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684"/>
        <w:gridCol w:w="10291"/>
      </w:tblGrid>
      <w:tr w:rsidR="00013EB8">
        <w:trPr>
          <w:trHeight w:val="225"/>
        </w:trPr>
        <w:tc>
          <w:tcPr>
            <w:tcW w:w="684" w:type="dxa"/>
            <w:tcBorders>
              <w:top w:val="nil"/>
              <w:left w:val="nil"/>
              <w:bottom w:val="nil"/>
              <w:right w:val="nil"/>
            </w:tcBorders>
          </w:tcPr>
          <w:p w:rsidR="00013EB8" w:rsidRDefault="00013EB8">
            <w:pPr>
              <w:widowControl w:val="0"/>
              <w:numPr>
                <w:ilvl w:val="12"/>
                <w:numId w:val="0"/>
              </w:numPr>
              <w:rPr>
                <w:b/>
              </w:rPr>
            </w:pPr>
            <w:r w:rsidRPr="007A4B37">
              <w:rPr>
                <w:b/>
                <w:iCs/>
              </w:rPr>
              <w:t>4.16</w:t>
            </w:r>
          </w:p>
        </w:tc>
        <w:tc>
          <w:tcPr>
            <w:tcW w:w="10291" w:type="dxa"/>
            <w:tcBorders>
              <w:top w:val="nil"/>
              <w:left w:val="nil"/>
              <w:bottom w:val="nil"/>
              <w:right w:val="nil"/>
            </w:tcBorders>
          </w:tcPr>
          <w:p w:rsidR="00013EB8" w:rsidRDefault="00013EB8">
            <w:pPr>
              <w:widowControl w:val="0"/>
              <w:numPr>
                <w:ilvl w:val="12"/>
                <w:numId w:val="0"/>
              </w:numPr>
              <w:tabs>
                <w:tab w:val="left" w:pos="0"/>
              </w:tabs>
              <w:spacing w:after="120"/>
              <w:rPr>
                <w:i/>
              </w:rPr>
            </w:pPr>
            <w:r>
              <w:rPr>
                <w:b/>
              </w:rPr>
              <w:t xml:space="preserve">Total disability ratings for compensation based on unemployability of the individual </w:t>
            </w:r>
            <w:r>
              <w:t>–</w:t>
            </w:r>
            <w:r w:rsidR="00B26BB8">
              <w:t xml:space="preserve"> </w:t>
            </w:r>
            <w:r>
              <w:t>1 @ 60% or 70% w/1 @ 40%, one disability is one or both upper/lower extremities, common etiology or a single accident, single body system, OR multiple injuries incurred in action or as a POW</w:t>
            </w:r>
            <w:r w:rsidR="00B030E0">
              <w:t>; Marginal employment shall not be considered s</w:t>
            </w:r>
            <w:r w:rsidR="00227E1C">
              <w:t>ubstantially gainful employment</w:t>
            </w:r>
          </w:p>
          <w:p w:rsidR="0076213C" w:rsidRDefault="0076213C" w:rsidP="00F063AF">
            <w:pPr>
              <w:widowControl w:val="0"/>
              <w:numPr>
                <w:ilvl w:val="0"/>
                <w:numId w:val="83"/>
              </w:numPr>
              <w:spacing w:after="120"/>
              <w:rPr>
                <w:rFonts w:ascii="Verdana" w:hAnsi="Verdana"/>
                <w:i/>
                <w:iCs/>
              </w:rPr>
            </w:pPr>
            <w:r>
              <w:rPr>
                <w:b/>
              </w:rPr>
              <w:t>4.16(b) - III.iv.6.B.4.d</w:t>
            </w:r>
            <w:r>
              <w:t xml:space="preserve"> shows how to submit claims to Compensation Service for extra-schedular consideration</w:t>
            </w:r>
          </w:p>
          <w:p w:rsidR="00060ED5" w:rsidRPr="00060ED5" w:rsidRDefault="00060ED5" w:rsidP="00F063AF">
            <w:pPr>
              <w:widowControl w:val="0"/>
              <w:numPr>
                <w:ilvl w:val="0"/>
                <w:numId w:val="83"/>
              </w:numPr>
              <w:tabs>
                <w:tab w:val="left" w:pos="0"/>
              </w:tabs>
              <w:spacing w:after="120"/>
              <w:rPr>
                <w:i/>
              </w:rPr>
            </w:pPr>
            <w:r w:rsidRPr="000F168A">
              <w:rPr>
                <w:b/>
              </w:rPr>
              <w:t>IV.ii.2.F.4.</w:t>
            </w:r>
            <w:r>
              <w:rPr>
                <w:b/>
              </w:rPr>
              <w:t>d</w:t>
            </w:r>
            <w:r>
              <w:t xml:space="preserve"> – can grant IU temporarily</w:t>
            </w:r>
          </w:p>
          <w:p w:rsidR="000F168A" w:rsidRPr="000F168A" w:rsidRDefault="00C47C86" w:rsidP="00F063AF">
            <w:pPr>
              <w:widowControl w:val="0"/>
              <w:numPr>
                <w:ilvl w:val="0"/>
                <w:numId w:val="83"/>
              </w:numPr>
              <w:tabs>
                <w:tab w:val="left" w:pos="0"/>
              </w:tabs>
              <w:spacing w:after="120"/>
              <w:rPr>
                <w:i/>
              </w:rPr>
            </w:pPr>
            <w:r w:rsidRPr="000F168A">
              <w:rPr>
                <w:b/>
              </w:rPr>
              <w:t>IV.ii.2.F.4.e</w:t>
            </w:r>
            <w:r>
              <w:t xml:space="preserve"> – 4.16 can also be applied to disabilities from same type of exposure event (i.e. herbicide, undiagnosed illnesses), musculoskeletal falls under single body system, GSWs fall under combat</w:t>
            </w:r>
          </w:p>
          <w:p w:rsidR="000F168A" w:rsidRPr="000F168A" w:rsidRDefault="000F168A" w:rsidP="00F063AF">
            <w:pPr>
              <w:widowControl w:val="0"/>
              <w:numPr>
                <w:ilvl w:val="0"/>
                <w:numId w:val="83"/>
              </w:numPr>
              <w:tabs>
                <w:tab w:val="left" w:pos="0"/>
              </w:tabs>
              <w:spacing w:after="120"/>
              <w:rPr>
                <w:i/>
              </w:rPr>
            </w:pPr>
            <w:r w:rsidRPr="000F168A">
              <w:rPr>
                <w:b/>
              </w:rPr>
              <w:t>IV.ii.2.F.4.</w:t>
            </w:r>
            <w:r>
              <w:rPr>
                <w:b/>
              </w:rPr>
              <w:t>f</w:t>
            </w:r>
            <w:r>
              <w:t xml:space="preserve"> – for HB under Bradley, the single disability for the IU grant has to be at least 60% (also under </w:t>
            </w:r>
            <w:r w:rsidRPr="000F168A">
              <w:rPr>
                <w:b/>
              </w:rPr>
              <w:t xml:space="preserve">IV.ii.2.H.10.b </w:t>
            </w:r>
            <w:r>
              <w:t xml:space="preserve">&amp; </w:t>
            </w:r>
            <w:r w:rsidRPr="000F168A">
              <w:rPr>
                <w:b/>
              </w:rPr>
              <w:t>IV.ii.2.H.10.c</w:t>
            </w:r>
            <w:r>
              <w:t>)</w:t>
            </w:r>
          </w:p>
          <w:p w:rsidR="00540623" w:rsidRPr="000F168A" w:rsidRDefault="00013EB8" w:rsidP="00F063AF">
            <w:pPr>
              <w:widowControl w:val="0"/>
              <w:numPr>
                <w:ilvl w:val="0"/>
                <w:numId w:val="83"/>
              </w:numPr>
              <w:tabs>
                <w:tab w:val="left" w:pos="0"/>
              </w:tabs>
              <w:spacing w:after="120"/>
              <w:rPr>
                <w:i/>
              </w:rPr>
            </w:pPr>
            <w:r w:rsidRPr="000F168A">
              <w:rPr>
                <w:b/>
                <w:i/>
              </w:rPr>
              <w:t xml:space="preserve">Floyd v. Brown </w:t>
            </w:r>
            <w:r w:rsidRPr="000F168A">
              <w:rPr>
                <w:b/>
              </w:rPr>
              <w:t>(4/17/96)</w:t>
            </w:r>
            <w:r>
              <w:t xml:space="preserve"> </w:t>
            </w:r>
            <w:r w:rsidRPr="000F168A">
              <w:rPr>
                <w:b/>
                <w:i/>
              </w:rPr>
              <w:t xml:space="preserve">&amp; Bagwell v. Brown </w:t>
            </w:r>
            <w:r w:rsidRPr="000F168A">
              <w:rPr>
                <w:b/>
              </w:rPr>
              <w:t xml:space="preserve">(7/3/96) </w:t>
            </w:r>
            <w:r>
              <w:t xml:space="preserve">–consider IU if claimed or meets requirements &amp; may be unable to secure or follow substantially gainful employment; also </w:t>
            </w:r>
            <w:r w:rsidRPr="000F168A">
              <w:rPr>
                <w:b/>
                <w:i/>
              </w:rPr>
              <w:t>GC Opinion 6-96 (8/16/96)</w:t>
            </w:r>
            <w:r w:rsidR="00540623" w:rsidRPr="000F168A">
              <w:rPr>
                <w:iCs/>
              </w:rPr>
              <w:t xml:space="preserve"> </w:t>
            </w:r>
          </w:p>
          <w:p w:rsidR="00AA4C0C" w:rsidRPr="00AA4C0C" w:rsidRDefault="00D571C5" w:rsidP="00F063AF">
            <w:pPr>
              <w:widowControl w:val="0"/>
              <w:numPr>
                <w:ilvl w:val="0"/>
                <w:numId w:val="83"/>
              </w:numPr>
              <w:tabs>
                <w:tab w:val="left" w:pos="0"/>
              </w:tabs>
              <w:spacing w:after="120"/>
              <w:rPr>
                <w:i/>
              </w:rPr>
            </w:pPr>
            <w:hyperlink r:id="rId680" w:history="1">
              <w:r w:rsidR="00AA4C0C" w:rsidRPr="00D846EF">
                <w:rPr>
                  <w:rStyle w:val="Hyperlink"/>
                  <w:b/>
                  <w:bCs/>
                  <w:i/>
                </w:rPr>
                <w:t>March 2016 Quality Call Notes</w:t>
              </w:r>
            </w:hyperlink>
            <w:r w:rsidR="00AA4C0C" w:rsidRPr="00D846EF">
              <w:rPr>
                <w:bCs/>
              </w:rPr>
              <w:t xml:space="preserve"> –</w:t>
            </w:r>
            <w:r w:rsidR="00AA4C0C">
              <w:rPr>
                <w:bCs/>
              </w:rPr>
              <w:t xml:space="preserve"> </w:t>
            </w:r>
          </w:p>
          <w:p w:rsidR="00AA4C0C" w:rsidRPr="00AA4C0C" w:rsidRDefault="00AA4C0C" w:rsidP="00AA4C0C">
            <w:pPr>
              <w:overflowPunct/>
              <w:autoSpaceDE/>
              <w:autoSpaceDN/>
              <w:adjustRightInd/>
              <w:spacing w:after="120"/>
              <w:ind w:left="351"/>
              <w:textAlignment w:val="auto"/>
              <w:rPr>
                <w:color w:val="000000"/>
                <w:szCs w:val="22"/>
              </w:rPr>
            </w:pPr>
            <w:r w:rsidRPr="00AA4C0C">
              <w:rPr>
                <w:color w:val="000000"/>
                <w:szCs w:val="22"/>
              </w:rPr>
              <w:t>In </w:t>
            </w:r>
            <w:r w:rsidRPr="00AA4C0C">
              <w:rPr>
                <w:i/>
                <w:iCs/>
                <w:color w:val="000000"/>
                <w:szCs w:val="22"/>
              </w:rPr>
              <w:t>Bradley v. Peake</w:t>
            </w:r>
            <w:r w:rsidRPr="00AA4C0C">
              <w:rPr>
                <w:color w:val="000000"/>
                <w:szCs w:val="22"/>
              </w:rPr>
              <w:t>, the Court held that section 1114(s) does not limit the requirement for a “</w:t>
            </w:r>
            <w:r w:rsidRPr="00AA4C0C">
              <w:rPr>
                <w:i/>
                <w:iCs/>
                <w:color w:val="000000"/>
                <w:szCs w:val="22"/>
              </w:rPr>
              <w:t>service-connected disability rated as total</w:t>
            </w:r>
            <w:r w:rsidRPr="00AA4C0C">
              <w:rPr>
                <w:color w:val="000000"/>
                <w:szCs w:val="22"/>
              </w:rPr>
              <w:t>” to only a schedular rating of 100%, but may be satisfied by a Total Disability Individual Unemployability (TDIU) rating based on a single disability.</w:t>
            </w:r>
          </w:p>
          <w:p w:rsidR="00AA4C0C" w:rsidRDefault="00AA4C0C" w:rsidP="00B26BB8">
            <w:pPr>
              <w:overflowPunct/>
              <w:autoSpaceDE/>
              <w:autoSpaceDN/>
              <w:adjustRightInd/>
              <w:spacing w:after="120"/>
              <w:ind w:left="351"/>
              <w:textAlignment w:val="auto"/>
              <w:rPr>
                <w:color w:val="FF0000"/>
                <w:szCs w:val="22"/>
                <w:bdr w:val="none" w:sz="0" w:space="0" w:color="auto" w:frame="1"/>
              </w:rPr>
            </w:pPr>
            <w:r w:rsidRPr="00AA4C0C">
              <w:rPr>
                <w:color w:val="000000"/>
                <w:szCs w:val="22"/>
              </w:rPr>
              <w:t>It must be determined if TDIU entitlement was based upon a single disability for the purpose of considering entitlement to SMC at the (s) rate.  </w:t>
            </w:r>
            <w:r w:rsidRPr="00AA4C0C">
              <w:rPr>
                <w:color w:val="FF0000"/>
                <w:szCs w:val="22"/>
                <w:bdr w:val="none" w:sz="0" w:space="0" w:color="auto" w:frame="1"/>
              </w:rPr>
              <w:t>The single disability has to be rated between 60% and 90% in order to count as a single “</w:t>
            </w:r>
            <w:r w:rsidRPr="00AA4C0C">
              <w:rPr>
                <w:i/>
                <w:iCs/>
                <w:color w:val="FF0000"/>
                <w:szCs w:val="22"/>
                <w:bdr w:val="none" w:sz="0" w:space="0" w:color="auto" w:frame="1"/>
              </w:rPr>
              <w:t>total</w:t>
            </w:r>
            <w:r w:rsidRPr="00AA4C0C">
              <w:rPr>
                <w:color w:val="FF0000"/>
                <w:szCs w:val="22"/>
                <w:bdr w:val="none" w:sz="0" w:space="0" w:color="auto" w:frame="1"/>
              </w:rPr>
              <w:t>” (100%) disability.</w:t>
            </w:r>
          </w:p>
          <w:p w:rsidR="00770D91" w:rsidRPr="00B26BB8" w:rsidRDefault="00770D91" w:rsidP="00770D91">
            <w:pPr>
              <w:overflowPunct/>
              <w:autoSpaceDE/>
              <w:autoSpaceDN/>
              <w:adjustRightInd/>
              <w:spacing w:after="120"/>
              <w:ind w:left="351"/>
              <w:textAlignment w:val="auto"/>
              <w:rPr>
                <w:color w:val="000000"/>
                <w:szCs w:val="22"/>
              </w:rPr>
            </w:pPr>
            <w:r w:rsidRPr="00770D91">
              <w:rPr>
                <w:bdr w:val="single" w:sz="4" w:space="0" w:color="auto"/>
              </w:rPr>
              <w:t>Rating Note:  Bradley does not apply, as IU was not based on a single disability at 60% or more.</w:t>
            </w:r>
            <w:r>
              <w:t xml:space="preserve"> </w:t>
            </w:r>
          </w:p>
        </w:tc>
      </w:tr>
      <w:tr w:rsidR="00013EB8">
        <w:trPr>
          <w:trHeight w:val="240"/>
        </w:trPr>
        <w:tc>
          <w:tcPr>
            <w:tcW w:w="684" w:type="dxa"/>
            <w:tcBorders>
              <w:top w:val="nil"/>
              <w:left w:val="nil"/>
              <w:bottom w:val="nil"/>
              <w:right w:val="nil"/>
            </w:tcBorders>
          </w:tcPr>
          <w:p w:rsidR="00013EB8" w:rsidRDefault="00013EB8">
            <w:pPr>
              <w:widowControl w:val="0"/>
              <w:numPr>
                <w:ilvl w:val="12"/>
                <w:numId w:val="0"/>
              </w:numPr>
              <w:rPr>
                <w:b/>
              </w:rPr>
            </w:pPr>
            <w:r w:rsidRPr="007A4B37">
              <w:rPr>
                <w:b/>
              </w:rPr>
              <w:t>4.18</w:t>
            </w:r>
          </w:p>
        </w:tc>
        <w:tc>
          <w:tcPr>
            <w:tcW w:w="10291" w:type="dxa"/>
            <w:tcBorders>
              <w:top w:val="nil"/>
              <w:left w:val="nil"/>
              <w:bottom w:val="nil"/>
              <w:right w:val="nil"/>
            </w:tcBorders>
          </w:tcPr>
          <w:p w:rsidR="00013EB8" w:rsidRDefault="0092028B" w:rsidP="00F23544">
            <w:pPr>
              <w:widowControl w:val="0"/>
              <w:numPr>
                <w:ilvl w:val="12"/>
                <w:numId w:val="0"/>
              </w:numPr>
              <w:spacing w:after="120"/>
              <w:rPr>
                <w:b/>
              </w:rPr>
            </w:pPr>
            <w:r>
              <w:rPr>
                <w:b/>
              </w:rPr>
              <w:t>Unemployability</w:t>
            </w:r>
          </w:p>
        </w:tc>
      </w:tr>
      <w:tr w:rsidR="00013EB8">
        <w:trPr>
          <w:trHeight w:val="225"/>
        </w:trPr>
        <w:tc>
          <w:tcPr>
            <w:tcW w:w="684" w:type="dxa"/>
            <w:tcBorders>
              <w:top w:val="nil"/>
              <w:left w:val="nil"/>
              <w:bottom w:val="nil"/>
              <w:right w:val="nil"/>
            </w:tcBorders>
          </w:tcPr>
          <w:p w:rsidR="00013EB8" w:rsidRDefault="00013EB8" w:rsidP="00F23544">
            <w:pPr>
              <w:widowControl w:val="0"/>
              <w:numPr>
                <w:ilvl w:val="12"/>
                <w:numId w:val="0"/>
              </w:numPr>
              <w:spacing w:after="120"/>
              <w:rPr>
                <w:b/>
              </w:rPr>
            </w:pPr>
            <w:r w:rsidRPr="007A4B37">
              <w:rPr>
                <w:b/>
              </w:rPr>
              <w:t>4.19</w:t>
            </w:r>
          </w:p>
        </w:tc>
        <w:tc>
          <w:tcPr>
            <w:tcW w:w="10291" w:type="dxa"/>
            <w:tcBorders>
              <w:top w:val="nil"/>
              <w:left w:val="nil"/>
              <w:bottom w:val="nil"/>
              <w:right w:val="nil"/>
            </w:tcBorders>
          </w:tcPr>
          <w:p w:rsidR="00013EB8" w:rsidRDefault="00013EB8">
            <w:pPr>
              <w:widowControl w:val="0"/>
              <w:numPr>
                <w:ilvl w:val="12"/>
                <w:numId w:val="0"/>
              </w:numPr>
              <w:ind w:firstLine="9"/>
              <w:rPr>
                <w:b/>
              </w:rPr>
            </w:pPr>
            <w:r>
              <w:rPr>
                <w:b/>
              </w:rPr>
              <w:t xml:space="preserve">Age in service-connected claims </w:t>
            </w:r>
            <w:r>
              <w:t>– cannot consider age for compensation or unemployability (only for pension)</w:t>
            </w:r>
          </w:p>
        </w:tc>
      </w:tr>
    </w:tbl>
    <w:p w:rsidR="00013EB8" w:rsidRDefault="00013EB8" w:rsidP="00F23544">
      <w:pPr>
        <w:pStyle w:val="Header"/>
        <w:widowControl w:val="0"/>
        <w:tabs>
          <w:tab w:val="clear" w:pos="4320"/>
          <w:tab w:val="clear" w:pos="8640"/>
          <w:tab w:val="left" w:pos="0"/>
          <w:tab w:val="left" w:pos="144"/>
        </w:tabs>
        <w:spacing w:after="120"/>
        <w:rPr>
          <w:b/>
          <w:bCs/>
        </w:rPr>
      </w:pPr>
      <w:r w:rsidRPr="006B2A5A">
        <w:rPr>
          <w:b/>
          <w:bCs/>
          <w:highlight w:val="cyan"/>
        </w:rPr>
        <w:t>Consider Ch. 35 with grants!!!</w:t>
      </w: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r>
        <w:rPr>
          <w:i/>
          <w:iCs/>
        </w:rPr>
        <w:t>If don’t return VA Form 21-4140, Employment Questionnaire:</w:t>
      </w: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rPr>
          <w:i/>
          <w:iCs/>
        </w:rPr>
        <w:t>use Special Determination Requested &amp; date rating is completed</w:t>
      </w: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pP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rPr>
          <w:i/>
          <w:iCs/>
        </w:rPr>
        <w:t>Evidence:</w:t>
      </w:r>
      <w:r>
        <w:t xml:space="preserve">  </w:t>
      </w:r>
    </w:p>
    <w:p w:rsidR="005B73E5"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t xml:space="preserve">A letter was recently sent to you </w:t>
      </w:r>
      <w:r w:rsidR="00567FF2">
        <w:t xml:space="preserve">on {date} </w:t>
      </w:r>
      <w:r>
        <w:t>requesting that you complete and return VA Form 21-4140, Employment Questionnair</w:t>
      </w:r>
      <w:r w:rsidR="00256A90">
        <w:t>e,</w:t>
      </w:r>
      <w:r w:rsidR="005B73E5">
        <w:t xml:space="preserve"> but no response was received</w:t>
      </w:r>
    </w:p>
    <w:p w:rsidR="005B73E5" w:rsidRDefault="005B73E5"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t xml:space="preserve">OR </w:t>
      </w:r>
    </w:p>
    <w:p w:rsidR="00256A90" w:rsidRDefault="00256A90"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t>VA Form 21-4140, Employment Questionnaire,</w:t>
      </w:r>
      <w:r w:rsidR="00A76131">
        <w:t xml:space="preserve"> mailed</w:t>
      </w:r>
      <w:r>
        <w:t xml:space="preserve"> to you on {date}, but not returned</w:t>
      </w:r>
    </w:p>
    <w:p w:rsidR="005B73E5" w:rsidRDefault="005B73E5" w:rsidP="009D304B">
      <w:pPr>
        <w:widowControl w:val="0"/>
        <w:pBdr>
          <w:top w:val="single" w:sz="4" w:space="1" w:color="auto"/>
          <w:left w:val="single" w:sz="4" w:space="4" w:color="auto"/>
          <w:bottom w:val="single" w:sz="4" w:space="1" w:color="auto"/>
          <w:right w:val="single" w:sz="4" w:space="4" w:color="auto"/>
        </w:pBdr>
        <w:tabs>
          <w:tab w:val="left" w:pos="0"/>
          <w:tab w:val="left" w:pos="144"/>
        </w:tabs>
        <w:rPr>
          <w:b/>
          <w:iCs/>
        </w:rPr>
      </w:pPr>
    </w:p>
    <w:p w:rsidR="006B6E8B" w:rsidRPr="006B6E8B" w:rsidRDefault="006B6E8B"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rsidRPr="003C3CCB">
        <w:rPr>
          <w:b/>
          <w:iCs/>
        </w:rPr>
        <w:t>IV.ii.2.F.5.</w:t>
      </w:r>
      <w:r>
        <w:rPr>
          <w:b/>
          <w:iCs/>
        </w:rPr>
        <w:t xml:space="preserve">f </w:t>
      </w:r>
      <w:r w:rsidRPr="006B6E8B">
        <w:rPr>
          <w:iCs/>
        </w:rPr>
        <w:t xml:space="preserve">– we can call for missing info/clarification if </w:t>
      </w:r>
      <w:r>
        <w:rPr>
          <w:iCs/>
        </w:rPr>
        <w:t xml:space="preserve">4140 is </w:t>
      </w:r>
      <w:r w:rsidRPr="006B6E8B">
        <w:rPr>
          <w:iCs/>
        </w:rPr>
        <w:t>signed</w:t>
      </w:r>
    </w:p>
    <w:p w:rsidR="003C3CCB" w:rsidRDefault="003C3CCB" w:rsidP="009D304B">
      <w:pPr>
        <w:widowControl w:val="0"/>
        <w:pBdr>
          <w:top w:val="single" w:sz="4" w:space="1" w:color="auto"/>
          <w:left w:val="single" w:sz="4" w:space="4" w:color="auto"/>
          <w:bottom w:val="single" w:sz="4" w:space="1" w:color="auto"/>
          <w:right w:val="single" w:sz="4" w:space="4" w:color="auto"/>
        </w:pBdr>
        <w:tabs>
          <w:tab w:val="left" w:pos="0"/>
          <w:tab w:val="left" w:pos="144"/>
        </w:tabs>
        <w:rPr>
          <w:iCs/>
        </w:rPr>
      </w:pPr>
      <w:r w:rsidRPr="003C3CCB">
        <w:rPr>
          <w:b/>
          <w:iCs/>
        </w:rPr>
        <w:t>IV.ii.2.F.5.i</w:t>
      </w:r>
      <w:r w:rsidR="006B6E8B">
        <w:rPr>
          <w:iCs/>
        </w:rPr>
        <w:t xml:space="preserve"> – </w:t>
      </w:r>
      <w:r>
        <w:rPr>
          <w:iCs/>
        </w:rPr>
        <w:t>we cannot substitute a phone call for a signed 4140</w:t>
      </w:r>
    </w:p>
    <w:p w:rsidR="005B73E5" w:rsidRDefault="005B73E5"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t>VA Form 21-0820, Report of General Information, dated {}</w:t>
      </w:r>
    </w:p>
    <w:p w:rsidR="003C3CCB" w:rsidRDefault="003C3CCB" w:rsidP="009D304B">
      <w:pPr>
        <w:widowControl w:val="0"/>
        <w:pBdr>
          <w:top w:val="single" w:sz="4" w:space="1" w:color="auto"/>
          <w:left w:val="single" w:sz="4" w:space="4" w:color="auto"/>
          <w:bottom w:val="single" w:sz="4" w:space="1" w:color="auto"/>
          <w:right w:val="single" w:sz="4" w:space="4" w:color="auto"/>
        </w:pBdr>
        <w:tabs>
          <w:tab w:val="left" w:pos="0"/>
          <w:tab w:val="left" w:pos="144"/>
        </w:tabs>
      </w:pPr>
    </w:p>
    <w:p w:rsidR="00013EB8" w:rsidRDefault="00DE2686" w:rsidP="009D304B">
      <w:pPr>
        <w:widowControl w:val="0"/>
        <w:pBdr>
          <w:top w:val="single" w:sz="4" w:space="1" w:color="auto"/>
          <w:left w:val="single" w:sz="4" w:space="4" w:color="auto"/>
          <w:bottom w:val="single" w:sz="4" w:space="1" w:color="auto"/>
          <w:right w:val="single" w:sz="4" w:space="4" w:color="auto"/>
        </w:pBdr>
        <w:tabs>
          <w:tab w:val="left" w:pos="0"/>
          <w:tab w:val="left" w:pos="144"/>
        </w:tabs>
        <w:rPr>
          <w:b/>
        </w:rPr>
      </w:pPr>
      <w:r>
        <w:rPr>
          <w:b/>
        </w:rPr>
        <w:t>check address!!</w:t>
      </w:r>
    </w:p>
    <w:p w:rsidR="00DE2686" w:rsidRPr="000920B3" w:rsidRDefault="00DE2686" w:rsidP="009D304B">
      <w:pPr>
        <w:widowControl w:val="0"/>
        <w:pBdr>
          <w:top w:val="single" w:sz="4" w:space="1" w:color="auto"/>
          <w:left w:val="single" w:sz="4" w:space="4" w:color="auto"/>
          <w:bottom w:val="single" w:sz="4" w:space="1" w:color="auto"/>
          <w:right w:val="single" w:sz="4" w:space="4" w:color="auto"/>
        </w:pBdr>
        <w:tabs>
          <w:tab w:val="left" w:pos="0"/>
          <w:tab w:val="left" w:pos="144"/>
        </w:tabs>
        <w:rPr>
          <w:b/>
        </w:rPr>
      </w:pPr>
    </w:p>
    <w:p w:rsidR="00B17678" w:rsidRPr="00B17678" w:rsidRDefault="00B1767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rPr>
      </w:pPr>
      <w:r w:rsidRPr="00B17678">
        <w:rPr>
          <w:rFonts w:ascii="Verdana" w:hAnsi="Verdana"/>
          <w:b/>
          <w:highlight w:val="green"/>
        </w:rPr>
        <w:t xml:space="preserve">In VBMS-R, </w:t>
      </w:r>
      <w:r w:rsidR="005B73E5">
        <w:rPr>
          <w:rFonts w:ascii="Verdana" w:hAnsi="Verdana"/>
          <w:b/>
          <w:highlight w:val="green"/>
        </w:rPr>
        <w:t>Edit</w:t>
      </w:r>
      <w:r w:rsidRPr="00B17678">
        <w:rPr>
          <w:rFonts w:ascii="Verdana" w:hAnsi="Verdana"/>
          <w:b/>
          <w:highlight w:val="green"/>
        </w:rPr>
        <w:t xml:space="preserve"> “Individual Unemployability Granted”</w:t>
      </w:r>
      <w:r w:rsidR="00953625">
        <w:rPr>
          <w:rFonts w:ascii="Verdana" w:hAnsi="Verdana"/>
          <w:b/>
          <w:highlight w:val="green"/>
        </w:rPr>
        <w:t xml:space="preserve"> Decision</w:t>
      </w:r>
      <w:r w:rsidRPr="00B17678">
        <w:rPr>
          <w:rFonts w:ascii="Verdana" w:hAnsi="Verdana"/>
          <w:b/>
          <w:highlight w:val="green"/>
        </w:rPr>
        <w:t xml:space="preserve">, then </w:t>
      </w:r>
      <w:r w:rsidR="00953625">
        <w:rPr>
          <w:rFonts w:ascii="Verdana" w:hAnsi="Verdana"/>
          <w:b/>
          <w:highlight w:val="green"/>
        </w:rPr>
        <w:t>select S</w:t>
      </w:r>
      <w:r w:rsidRPr="00B17678">
        <w:rPr>
          <w:rFonts w:ascii="Verdana" w:hAnsi="Verdana"/>
          <w:b/>
          <w:highlight w:val="green"/>
        </w:rPr>
        <w:t xml:space="preserve">upplementary </w:t>
      </w:r>
      <w:r w:rsidR="00953625">
        <w:rPr>
          <w:rFonts w:ascii="Verdana" w:hAnsi="Verdana"/>
          <w:b/>
          <w:highlight w:val="green"/>
        </w:rPr>
        <w:t>D</w:t>
      </w:r>
      <w:r w:rsidRPr="00B17678">
        <w:rPr>
          <w:rFonts w:ascii="Verdana" w:hAnsi="Verdana"/>
          <w:b/>
          <w:highlight w:val="green"/>
        </w:rPr>
        <w:t>ecision “Proposed Change</w:t>
      </w:r>
      <w:r w:rsidR="00DE2686">
        <w:rPr>
          <w:rFonts w:ascii="Verdana" w:hAnsi="Verdana"/>
          <w:b/>
          <w:highlight w:val="green"/>
        </w:rPr>
        <w:t>,</w:t>
      </w:r>
      <w:r w:rsidRPr="00B17678">
        <w:rPr>
          <w:rFonts w:ascii="Verdana" w:hAnsi="Verdana"/>
          <w:b/>
          <w:highlight w:val="green"/>
        </w:rPr>
        <w:t>”</w:t>
      </w:r>
      <w:r w:rsidR="00DE2686">
        <w:rPr>
          <w:rFonts w:ascii="Verdana" w:hAnsi="Verdana"/>
          <w:b/>
          <w:highlight w:val="green"/>
        </w:rPr>
        <w:t xml:space="preserve"> then OK</w:t>
      </w:r>
      <w:r w:rsidRPr="00B17678">
        <w:rPr>
          <w:rFonts w:ascii="Verdana" w:hAnsi="Verdana"/>
          <w:b/>
          <w:highlight w:val="green"/>
        </w:rPr>
        <w:t xml:space="preserve">, </w:t>
      </w:r>
      <w:r w:rsidR="00953625">
        <w:rPr>
          <w:rFonts w:ascii="Verdana" w:hAnsi="Verdana"/>
          <w:b/>
          <w:highlight w:val="green"/>
        </w:rPr>
        <w:t>then choose</w:t>
      </w:r>
      <w:r w:rsidRPr="00B17678">
        <w:rPr>
          <w:rFonts w:ascii="Verdana" w:hAnsi="Verdana"/>
          <w:b/>
          <w:highlight w:val="green"/>
        </w:rPr>
        <w:t xml:space="preserve"> “IU – Propose to Terminate (VA Form 21-4140)”</w:t>
      </w:r>
    </w:p>
    <w:p w:rsidR="00D94044" w:rsidRDefault="00B1767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rPr>
      </w:pPr>
      <w:r w:rsidRPr="00B17678">
        <w:rPr>
          <w:rFonts w:ascii="Verdana" w:hAnsi="Verdana"/>
          <w:b/>
          <w:highlight w:val="green"/>
        </w:rPr>
        <w:t>*Use generated text</w:t>
      </w:r>
      <w:r w:rsidR="00BD14BB">
        <w:rPr>
          <w:rFonts w:ascii="Verdana" w:hAnsi="Verdana"/>
          <w:b/>
        </w:rPr>
        <w:t xml:space="preserve"> </w:t>
      </w:r>
    </w:p>
    <w:p w:rsidR="00D94044" w:rsidRDefault="00D94044" w:rsidP="009D304B">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rPr>
      </w:pPr>
    </w:p>
    <w:p w:rsidR="00B17678" w:rsidRPr="00D94044" w:rsidRDefault="00256A90" w:rsidP="009D304B">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VBMS-R automatically proposes to discontinue Ch35</w:t>
      </w:r>
    </w:p>
    <w:p w:rsidR="00B17678" w:rsidRDefault="00B17678" w:rsidP="009D304B">
      <w:pPr>
        <w:widowControl w:val="0"/>
        <w:pBdr>
          <w:top w:val="single" w:sz="4" w:space="1" w:color="auto"/>
          <w:left w:val="single" w:sz="4" w:space="4" w:color="auto"/>
          <w:bottom w:val="single" w:sz="4" w:space="1" w:color="auto"/>
          <w:right w:val="single" w:sz="4" w:space="4" w:color="auto"/>
        </w:pBdr>
        <w:tabs>
          <w:tab w:val="left" w:pos="0"/>
          <w:tab w:val="left" w:pos="144"/>
        </w:tabs>
      </w:pP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r>
        <w:rPr>
          <w:i/>
          <w:iCs/>
        </w:rPr>
        <w:t>check to see if SMC is affected</w:t>
      </w: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pPr>
    </w:p>
    <w:p w:rsidR="009D304B" w:rsidRDefault="009D304B" w:rsidP="009D304B">
      <w:pPr>
        <w:widowControl w:val="0"/>
        <w:pBdr>
          <w:top w:val="single" w:sz="4" w:space="1" w:color="auto"/>
          <w:left w:val="single" w:sz="4" w:space="4" w:color="auto"/>
          <w:bottom w:val="single" w:sz="4" w:space="1" w:color="auto"/>
          <w:right w:val="single" w:sz="4" w:space="4" w:color="auto"/>
        </w:pBdr>
        <w:tabs>
          <w:tab w:val="left" w:pos="0"/>
          <w:tab w:val="left" w:pos="144"/>
        </w:tabs>
      </w:pPr>
    </w:p>
    <w:p w:rsidR="00B17678" w:rsidRPr="00B17678" w:rsidRDefault="00B1767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rPr>
      </w:pPr>
      <w:r>
        <w:t>If</w:t>
      </w:r>
      <w:r w:rsidR="005B73E5">
        <w:t xml:space="preserve"> still</w:t>
      </w:r>
      <w:r>
        <w:t xml:space="preserve"> not returned, </w:t>
      </w:r>
      <w:r w:rsidRPr="00B17678">
        <w:rPr>
          <w:rFonts w:ascii="Verdana" w:hAnsi="Verdana"/>
          <w:b/>
          <w:highlight w:val="green"/>
        </w:rPr>
        <w:t xml:space="preserve">In VBMS-R, </w:t>
      </w:r>
      <w:r w:rsidR="00953625">
        <w:rPr>
          <w:rFonts w:ascii="Verdana" w:hAnsi="Verdana"/>
          <w:b/>
          <w:highlight w:val="green"/>
        </w:rPr>
        <w:t>Edit</w:t>
      </w:r>
      <w:r w:rsidRPr="00B17678">
        <w:rPr>
          <w:rFonts w:ascii="Verdana" w:hAnsi="Verdana"/>
          <w:b/>
          <w:highlight w:val="green"/>
        </w:rPr>
        <w:t xml:space="preserve"> “Individual Unemployability Granted</w:t>
      </w:r>
      <w:r w:rsidR="001946CC">
        <w:rPr>
          <w:rFonts w:ascii="Verdana" w:hAnsi="Verdana"/>
          <w:b/>
          <w:highlight w:val="green"/>
        </w:rPr>
        <w:t>,”</w:t>
      </w:r>
      <w:r w:rsidRPr="00B17678">
        <w:rPr>
          <w:rFonts w:ascii="Verdana" w:hAnsi="Verdana"/>
          <w:b/>
          <w:highlight w:val="green"/>
        </w:rPr>
        <w:t xml:space="preserve"> then</w:t>
      </w:r>
      <w:r w:rsidR="00953625">
        <w:rPr>
          <w:rFonts w:ascii="Verdana" w:hAnsi="Verdana"/>
          <w:b/>
          <w:highlight w:val="green"/>
        </w:rPr>
        <w:t xml:space="preserve"> select Supplementary D</w:t>
      </w:r>
      <w:r w:rsidRPr="00B17678">
        <w:rPr>
          <w:rFonts w:ascii="Verdana" w:hAnsi="Verdana"/>
          <w:b/>
          <w:highlight w:val="green"/>
        </w:rPr>
        <w:t>ecision “</w:t>
      </w:r>
      <w:r>
        <w:rPr>
          <w:rFonts w:ascii="Verdana" w:hAnsi="Verdana"/>
          <w:b/>
          <w:highlight w:val="green"/>
        </w:rPr>
        <w:t>Reduction/Discontinuance</w:t>
      </w:r>
      <w:r w:rsidR="001946CC">
        <w:rPr>
          <w:rFonts w:ascii="Verdana" w:hAnsi="Verdana"/>
          <w:b/>
          <w:highlight w:val="green"/>
        </w:rPr>
        <w:t>,”</w:t>
      </w:r>
      <w:r w:rsidRPr="00B17678">
        <w:rPr>
          <w:rFonts w:ascii="Verdana" w:hAnsi="Verdana"/>
          <w:b/>
          <w:highlight w:val="green"/>
        </w:rPr>
        <w:t xml:space="preserve"> </w:t>
      </w:r>
      <w:r w:rsidR="00953625">
        <w:rPr>
          <w:rFonts w:ascii="Verdana" w:hAnsi="Verdana"/>
          <w:b/>
          <w:highlight w:val="green"/>
        </w:rPr>
        <w:t>then choose</w:t>
      </w:r>
      <w:r w:rsidRPr="00B17678">
        <w:rPr>
          <w:rFonts w:ascii="Verdana" w:hAnsi="Verdana"/>
          <w:b/>
          <w:highlight w:val="green"/>
        </w:rPr>
        <w:t xml:space="preserve"> “IU </w:t>
      </w:r>
      <w:r>
        <w:rPr>
          <w:rFonts w:ascii="Verdana" w:hAnsi="Verdana"/>
          <w:b/>
          <w:highlight w:val="green"/>
        </w:rPr>
        <w:t xml:space="preserve">Discontinued </w:t>
      </w:r>
      <w:r w:rsidRPr="00B17678">
        <w:rPr>
          <w:rFonts w:ascii="Verdana" w:hAnsi="Verdana"/>
          <w:b/>
          <w:highlight w:val="green"/>
        </w:rPr>
        <w:t xml:space="preserve">– </w:t>
      </w:r>
      <w:r>
        <w:rPr>
          <w:rFonts w:ascii="Verdana" w:hAnsi="Verdana"/>
          <w:b/>
          <w:highlight w:val="green"/>
        </w:rPr>
        <w:t xml:space="preserve">Failure to Return </w:t>
      </w:r>
      <w:r w:rsidRPr="00B17678">
        <w:rPr>
          <w:rFonts w:ascii="Verdana" w:hAnsi="Verdana"/>
          <w:b/>
          <w:highlight w:val="green"/>
        </w:rPr>
        <w:t>VA Form 21-4140”</w:t>
      </w:r>
    </w:p>
    <w:p w:rsidR="009D304B" w:rsidRDefault="00B1767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rPr>
      </w:pPr>
      <w:r w:rsidRPr="00B17678">
        <w:rPr>
          <w:rFonts w:ascii="Verdana" w:hAnsi="Verdana"/>
          <w:b/>
          <w:highlight w:val="green"/>
        </w:rPr>
        <w:t>*Use generated text</w:t>
      </w:r>
      <w:r w:rsidR="00BD14BB">
        <w:rPr>
          <w:rFonts w:ascii="Verdana" w:hAnsi="Verdana"/>
          <w:b/>
        </w:rPr>
        <w:t xml:space="preserve"> </w:t>
      </w:r>
    </w:p>
    <w:p w:rsidR="009D304B" w:rsidRPr="00216C14" w:rsidRDefault="009D304B" w:rsidP="009D304B">
      <w:pPr>
        <w:widowControl w:val="0"/>
        <w:pBdr>
          <w:top w:val="single" w:sz="4" w:space="1" w:color="auto"/>
          <w:left w:val="single" w:sz="4" w:space="4" w:color="auto"/>
          <w:bottom w:val="single" w:sz="4" w:space="1" w:color="auto"/>
          <w:right w:val="single" w:sz="4" w:space="4" w:color="auto"/>
        </w:pBdr>
        <w:tabs>
          <w:tab w:val="left" w:pos="0"/>
          <w:tab w:val="left" w:pos="144"/>
        </w:tabs>
        <w:rPr>
          <w:bCs/>
          <w:u w:val="single"/>
        </w:rPr>
      </w:pPr>
      <w:r w:rsidRPr="005B3604">
        <w:rPr>
          <w:b/>
          <w:szCs w:val="21"/>
        </w:rPr>
        <w:t>IV.ii.2.F.5.i</w:t>
      </w:r>
      <w:r w:rsidRPr="00330E23">
        <w:rPr>
          <w:bCs/>
          <w:i/>
        </w:rPr>
        <w:t xml:space="preserve"> </w:t>
      </w:r>
      <w:r>
        <w:rPr>
          <w:bCs/>
          <w:i/>
        </w:rPr>
        <w:t xml:space="preserve">- </w:t>
      </w:r>
      <w:r w:rsidRPr="009D304B">
        <w:rPr>
          <w:bCs/>
        </w:rPr>
        <w:t>final reduction is date last paid (DLP)</w:t>
      </w:r>
      <w:r>
        <w:t xml:space="preserve"> or the date indicated in the notice</w:t>
      </w:r>
      <w:r w:rsidR="00837F9A">
        <w:rPr>
          <w:bCs/>
          <w:i/>
        </w:rPr>
        <w:t xml:space="preserve">, </w:t>
      </w:r>
      <w:r w:rsidR="00837F9A" w:rsidRPr="00837F9A">
        <w:rPr>
          <w:bCs/>
        </w:rPr>
        <w:t>whichever is later</w:t>
      </w:r>
    </w:p>
    <w:p w:rsidR="009D304B" w:rsidRDefault="009D304B" w:rsidP="009D304B">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rPr>
      </w:pPr>
    </w:p>
    <w:p w:rsidR="00330E23" w:rsidRDefault="00330E23" w:rsidP="009D304B">
      <w:pPr>
        <w:widowControl w:val="0"/>
        <w:pBdr>
          <w:top w:val="single" w:sz="4" w:space="1" w:color="auto"/>
          <w:left w:val="single" w:sz="4" w:space="4" w:color="auto"/>
          <w:bottom w:val="single" w:sz="4" w:space="1" w:color="auto"/>
          <w:right w:val="single" w:sz="4" w:space="4" w:color="auto"/>
        </w:pBdr>
        <w:tabs>
          <w:tab w:val="left" w:pos="0"/>
          <w:tab w:val="left" w:pos="144"/>
        </w:tabs>
      </w:pPr>
    </w:p>
    <w:p w:rsidR="00330E23" w:rsidRDefault="00330E23"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t>*********************</w:t>
      </w:r>
    </w:p>
    <w:p w:rsidR="00330E23" w:rsidRDefault="00330E23" w:rsidP="009D304B">
      <w:pPr>
        <w:widowControl w:val="0"/>
        <w:pBdr>
          <w:top w:val="single" w:sz="4" w:space="1" w:color="auto"/>
          <w:left w:val="single" w:sz="4" w:space="4" w:color="auto"/>
          <w:bottom w:val="single" w:sz="4" w:space="1" w:color="auto"/>
          <w:right w:val="single" w:sz="4" w:space="4" w:color="auto"/>
        </w:pBdr>
        <w:tabs>
          <w:tab w:val="left" w:pos="0"/>
          <w:tab w:val="left" w:pos="144"/>
        </w:tabs>
        <w:rPr>
          <w:i/>
        </w:rPr>
      </w:pPr>
    </w:p>
    <w:p w:rsidR="00B17678" w:rsidRPr="00B17678" w:rsidRDefault="005B3604" w:rsidP="009D304B">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rPr>
      </w:pPr>
      <w:r>
        <w:rPr>
          <w:b/>
          <w:szCs w:val="21"/>
        </w:rPr>
        <w:t>3.501</w:t>
      </w:r>
      <w:r w:rsidRPr="005B3604">
        <w:t xml:space="preserve"> </w:t>
      </w:r>
      <w:r>
        <w:t xml:space="preserve">(f) </w:t>
      </w:r>
      <w:r>
        <w:rPr>
          <w:i/>
          <w:iCs/>
        </w:rPr>
        <w:t>Employment questionnaire, failure to return.</w:t>
      </w:r>
      <w:r>
        <w:t xml:space="preserve"> Reduce award to the amount payable for the schedular evaluation shown in the current rating as of the day following the date of last payment.</w:t>
      </w:r>
    </w:p>
    <w:p w:rsidR="00B17678" w:rsidRDefault="00B17678" w:rsidP="009D304B">
      <w:pPr>
        <w:widowControl w:val="0"/>
        <w:pBdr>
          <w:top w:val="single" w:sz="4" w:space="1" w:color="auto"/>
          <w:left w:val="single" w:sz="4" w:space="4" w:color="auto"/>
          <w:bottom w:val="single" w:sz="4" w:space="1" w:color="auto"/>
          <w:right w:val="single" w:sz="4" w:space="4" w:color="auto"/>
        </w:pBdr>
        <w:tabs>
          <w:tab w:val="left" w:pos="0"/>
          <w:tab w:val="left" w:pos="144"/>
        </w:tabs>
      </w:pP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t>*********************</w:t>
      </w: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r>
        <w:rPr>
          <w:i/>
          <w:iCs/>
        </w:rPr>
        <w:t xml:space="preserve">If do return VA Form 21-4140 </w:t>
      </w:r>
      <w:r w:rsidR="00CD2A4E">
        <w:rPr>
          <w:i/>
          <w:iCs/>
        </w:rPr>
        <w:t xml:space="preserve">after IU proposed to be discontinued </w:t>
      </w:r>
      <w:r>
        <w:rPr>
          <w:i/>
          <w:iCs/>
        </w:rPr>
        <w:t>(use Authorized Review Requested &amp; DOC):</w:t>
      </w: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p>
    <w:p w:rsidR="00B17678" w:rsidRPr="00B17678" w:rsidRDefault="00B1767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rPr>
      </w:pPr>
      <w:r w:rsidRPr="00B17678">
        <w:rPr>
          <w:rFonts w:ascii="Verdana" w:hAnsi="Verdana"/>
          <w:b/>
          <w:highlight w:val="green"/>
        </w:rPr>
        <w:t xml:space="preserve"> </w:t>
      </w:r>
      <w:r>
        <w:rPr>
          <w:rFonts w:ascii="Verdana" w:hAnsi="Verdana"/>
          <w:b/>
          <w:highlight w:val="green"/>
        </w:rPr>
        <w:t>In V</w:t>
      </w:r>
      <w:r w:rsidRPr="00B17678">
        <w:rPr>
          <w:rFonts w:ascii="Verdana" w:hAnsi="Verdana"/>
          <w:b/>
          <w:highlight w:val="green"/>
        </w:rPr>
        <w:t>BMS-R, select “Individual Unemployability Granted</w:t>
      </w:r>
      <w:r w:rsidR="001946CC">
        <w:rPr>
          <w:rFonts w:ascii="Verdana" w:hAnsi="Verdana"/>
          <w:b/>
          <w:highlight w:val="green"/>
        </w:rPr>
        <w:t>,”</w:t>
      </w:r>
      <w:r w:rsidRPr="00B17678">
        <w:rPr>
          <w:rFonts w:ascii="Verdana" w:hAnsi="Verdana"/>
          <w:b/>
          <w:highlight w:val="green"/>
        </w:rPr>
        <w:t xml:space="preserve"> then supplementary decision “</w:t>
      </w:r>
      <w:r>
        <w:rPr>
          <w:rFonts w:ascii="Verdana" w:hAnsi="Verdana"/>
          <w:b/>
          <w:highlight w:val="green"/>
        </w:rPr>
        <w:t>Confirmed and Continued Decision</w:t>
      </w:r>
      <w:r w:rsidR="001946CC">
        <w:rPr>
          <w:rFonts w:ascii="Verdana" w:hAnsi="Verdana"/>
          <w:b/>
          <w:highlight w:val="green"/>
        </w:rPr>
        <w:t>,”</w:t>
      </w:r>
      <w:r w:rsidRPr="00B17678">
        <w:rPr>
          <w:rFonts w:ascii="Verdana" w:hAnsi="Verdana"/>
          <w:b/>
          <w:highlight w:val="green"/>
        </w:rPr>
        <w:t xml:space="preserve"> option will be “</w:t>
      </w:r>
      <w:r>
        <w:rPr>
          <w:rFonts w:ascii="Verdana" w:hAnsi="Verdana"/>
          <w:b/>
          <w:highlight w:val="green"/>
        </w:rPr>
        <w:t>IU C&amp;C</w:t>
      </w:r>
      <w:r w:rsidRPr="00B17678">
        <w:rPr>
          <w:rFonts w:ascii="Verdana" w:hAnsi="Verdana"/>
          <w:b/>
          <w:highlight w:val="green"/>
        </w:rPr>
        <w:t>” or “C&amp;C (21-4140</w:t>
      </w:r>
      <w:r w:rsidR="0034781A">
        <w:rPr>
          <w:rFonts w:ascii="Verdana" w:hAnsi="Verdana"/>
          <w:b/>
          <w:highlight w:val="green"/>
        </w:rPr>
        <w:t>)”</w:t>
      </w:r>
    </w:p>
    <w:p w:rsidR="00B17678" w:rsidRPr="00B17678" w:rsidRDefault="00B1767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rPr>
      </w:pPr>
      <w:r w:rsidRPr="00B17678">
        <w:rPr>
          <w:rFonts w:ascii="Verdana" w:hAnsi="Verdana"/>
          <w:b/>
          <w:highlight w:val="green"/>
        </w:rPr>
        <w:t>*Use generated text</w:t>
      </w:r>
    </w:p>
    <w:p w:rsidR="00B17678" w:rsidRDefault="00B17678" w:rsidP="009D304B">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p>
    <w:p w:rsidR="00013EB8" w:rsidRDefault="00013EB8" w:rsidP="009D304B">
      <w:pPr>
        <w:widowControl w:val="0"/>
        <w:pBdr>
          <w:top w:val="single" w:sz="4" w:space="1" w:color="auto"/>
          <w:left w:val="single" w:sz="4" w:space="4" w:color="auto"/>
          <w:bottom w:val="single" w:sz="4" w:space="1" w:color="auto"/>
          <w:right w:val="single" w:sz="4" w:space="4" w:color="auto"/>
        </w:pBdr>
        <w:tabs>
          <w:tab w:val="left" w:pos="0"/>
          <w:tab w:val="left" w:pos="144"/>
        </w:tabs>
      </w:pPr>
      <w:r>
        <w:rPr>
          <w:i/>
          <w:iCs/>
        </w:rPr>
        <w:t>Evidence:</w:t>
      </w:r>
      <w:r>
        <w:t xml:space="preserve">  VA Form 21-4140, Employment Questionnaire, received </w:t>
      </w:r>
      <w:r w:rsidR="00A46221">
        <w:t>{}</w:t>
      </w:r>
    </w:p>
    <w:p w:rsidR="00D36A45" w:rsidRDefault="00D36A45" w:rsidP="009D304B">
      <w:pPr>
        <w:widowControl w:val="0"/>
        <w:pBdr>
          <w:top w:val="single" w:sz="4" w:space="1" w:color="auto"/>
          <w:left w:val="single" w:sz="4" w:space="4" w:color="auto"/>
          <w:bottom w:val="single" w:sz="4" w:space="1" w:color="auto"/>
          <w:right w:val="single" w:sz="4" w:space="4" w:color="auto"/>
        </w:pBdr>
        <w:tabs>
          <w:tab w:val="left" w:pos="0"/>
          <w:tab w:val="left" w:pos="144"/>
        </w:tabs>
      </w:pPr>
    </w:p>
    <w:p w:rsidR="00D36A45" w:rsidRDefault="00D36A45" w:rsidP="009D304B">
      <w:pPr>
        <w:widowControl w:val="0"/>
        <w:pBdr>
          <w:top w:val="single" w:sz="4" w:space="1" w:color="auto"/>
          <w:left w:val="single" w:sz="4" w:space="4" w:color="auto"/>
          <w:bottom w:val="single" w:sz="4" w:space="1" w:color="auto"/>
          <w:right w:val="single" w:sz="4" w:space="4" w:color="auto"/>
        </w:pBdr>
        <w:tabs>
          <w:tab w:val="left" w:pos="0"/>
          <w:tab w:val="left" w:pos="144"/>
        </w:tabs>
      </w:pPr>
    </w:p>
    <w:p w:rsidR="00D36A45" w:rsidRDefault="00D36A45" w:rsidP="009D304B">
      <w:pPr>
        <w:widowControl w:val="0"/>
        <w:pBdr>
          <w:top w:val="single" w:sz="4" w:space="1" w:color="auto"/>
          <w:left w:val="single" w:sz="4" w:space="4" w:color="auto"/>
          <w:bottom w:val="single" w:sz="4" w:space="1" w:color="auto"/>
          <w:right w:val="single" w:sz="4" w:space="4" w:color="auto"/>
        </w:pBdr>
        <w:tabs>
          <w:tab w:val="left" w:pos="0"/>
          <w:tab w:val="left" w:pos="144"/>
        </w:tabs>
        <w:spacing w:after="120"/>
      </w:pPr>
      <w:r w:rsidRPr="00D36A45">
        <w:rPr>
          <w:b/>
          <w:bCs/>
          <w:color w:val="333333"/>
          <w:szCs w:val="21"/>
        </w:rPr>
        <w:t>IV.ii.2.F.5.f</w:t>
      </w:r>
      <w:r w:rsidRPr="00D36A45">
        <w:rPr>
          <w:bCs/>
          <w:color w:val="333333"/>
          <w:szCs w:val="21"/>
        </w:rPr>
        <w:t>,</w:t>
      </w:r>
      <w:r>
        <w:rPr>
          <w:b/>
          <w:bCs/>
          <w:color w:val="333333"/>
          <w:szCs w:val="21"/>
        </w:rPr>
        <w:t xml:space="preserve"> </w:t>
      </w:r>
      <w:r>
        <w:t>if 21-4140 is on file, but VSR incorrectly sends case RFD, defer it back to them</w:t>
      </w:r>
      <w:r w:rsidR="00683659">
        <w:t xml:space="preserve"> &amp;</w:t>
      </w:r>
      <w:r>
        <w:t xml:space="preserve"> tell them:</w:t>
      </w:r>
    </w:p>
    <w:p w:rsidR="00D36A45" w:rsidRPr="00D36A45" w:rsidRDefault="00D36A45" w:rsidP="009D304B">
      <w:pPr>
        <w:widowControl w:val="0"/>
        <w:pBdr>
          <w:top w:val="single" w:sz="4" w:space="1" w:color="auto"/>
          <w:left w:val="single" w:sz="4" w:space="4" w:color="auto"/>
          <w:bottom w:val="single" w:sz="4" w:space="1" w:color="auto"/>
          <w:right w:val="single" w:sz="4" w:space="4" w:color="auto"/>
        </w:pBdr>
        <w:tabs>
          <w:tab w:val="left" w:pos="0"/>
          <w:tab w:val="left" w:pos="144"/>
        </w:tabs>
        <w:spacing w:after="120"/>
        <w:rPr>
          <w:bCs/>
          <w:i/>
          <w:color w:val="333333"/>
          <w:szCs w:val="21"/>
        </w:rPr>
      </w:pPr>
      <w:r w:rsidRPr="00D36A45">
        <w:rPr>
          <w:bCs/>
          <w:i/>
          <w:color w:val="333333"/>
          <w:szCs w:val="21"/>
        </w:rPr>
        <w:t>for deferral:   The 4140 was returned on {date} (with box 3 checked NO; uploaded {date}) &amp; no rating is needed as there was no prior proposal to discontinue IU, per IV.ii.2.F.5.f.</w:t>
      </w:r>
    </w:p>
    <w:p w:rsidR="00013EB8" w:rsidRPr="00D36A45" w:rsidRDefault="00D36A45" w:rsidP="009D304B">
      <w:pPr>
        <w:widowControl w:val="0"/>
        <w:pBdr>
          <w:top w:val="single" w:sz="4" w:space="1" w:color="auto"/>
          <w:left w:val="single" w:sz="4" w:space="4" w:color="auto"/>
          <w:bottom w:val="single" w:sz="4" w:space="1" w:color="auto"/>
          <w:right w:val="single" w:sz="4" w:space="4" w:color="auto"/>
        </w:pBdr>
        <w:tabs>
          <w:tab w:val="left" w:pos="0"/>
          <w:tab w:val="left" w:pos="144"/>
        </w:tabs>
        <w:rPr>
          <w:bCs/>
          <w:i/>
          <w:color w:val="333333"/>
          <w:szCs w:val="21"/>
        </w:rPr>
      </w:pPr>
      <w:r w:rsidRPr="00D36A45">
        <w:rPr>
          <w:bCs/>
          <w:i/>
          <w:color w:val="333333"/>
          <w:szCs w:val="21"/>
        </w:rPr>
        <w:t>for Claim Note:  Not a rating issue per IV.ii.2.F.5.f. The 4140 was returned on on {date} (with box 3 checked NO; uploaded {date}) &amp; no rating is needed as there was no prior proposal to discontinue IU. Deferral done.</w:t>
      </w:r>
    </w:p>
    <w:p w:rsidR="00D36A45" w:rsidRDefault="00D36A45" w:rsidP="00D36A45">
      <w:pPr>
        <w:widowControl w:val="0"/>
        <w:overflowPunct/>
        <w:textAlignment w:val="auto"/>
        <w:rPr>
          <w:b/>
          <w:sz w:val="22"/>
        </w:rPr>
      </w:pP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rPr>
          <w:i/>
          <w:iCs/>
          <w:szCs w:val="24"/>
        </w:rPr>
      </w:pPr>
      <w:r w:rsidRPr="00A66915">
        <w:rPr>
          <w:b/>
          <w:iCs/>
          <w:szCs w:val="24"/>
        </w:rPr>
        <w:t>Sever IU</w:t>
      </w:r>
      <w:r w:rsidR="00A66915">
        <w:rPr>
          <w:i/>
          <w:iCs/>
          <w:szCs w:val="24"/>
        </w:rPr>
        <w:t xml:space="preserve"> </w:t>
      </w:r>
      <w:r w:rsidR="00A66915" w:rsidRPr="007A4EEB">
        <w:rPr>
          <w:bCs/>
          <w:i/>
        </w:rPr>
        <w:t xml:space="preserve">(need Long Form Narrative, per </w:t>
      </w:r>
      <w:r w:rsidR="00A66915" w:rsidRPr="007A4EEB">
        <w:rPr>
          <w:b/>
          <w:bCs/>
        </w:rPr>
        <w:t>III.iv.6.C.7.a</w:t>
      </w:r>
      <w:r w:rsidR="00A66915" w:rsidRPr="007A4EEB">
        <w:rPr>
          <w:bCs/>
          <w:i/>
        </w:rPr>
        <w:t>):</w:t>
      </w:r>
    </w:p>
    <w:p w:rsidR="008C7F53" w:rsidRDefault="008C7F53">
      <w:pPr>
        <w:widowControl w:val="0"/>
        <w:pBdr>
          <w:top w:val="single" w:sz="4" w:space="1" w:color="auto"/>
          <w:left w:val="single" w:sz="4" w:space="4" w:color="auto"/>
          <w:bottom w:val="single" w:sz="4" w:space="1" w:color="auto"/>
          <w:right w:val="single" w:sz="4" w:space="4" w:color="auto"/>
        </w:pBdr>
        <w:overflowPunct/>
        <w:textAlignment w:val="auto"/>
        <w:rPr>
          <w:i/>
          <w:iCs/>
          <w:szCs w:val="24"/>
        </w:rPr>
      </w:pP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rPr>
          <w:szCs w:val="24"/>
        </w:rPr>
      </w:pPr>
      <w:r>
        <w:rPr>
          <w:i/>
          <w:iCs/>
          <w:szCs w:val="24"/>
        </w:rPr>
        <w:t>Evidence:</w:t>
      </w:r>
      <w:r>
        <w:rPr>
          <w:szCs w:val="24"/>
        </w:rPr>
        <w:t xml:space="preserve">  </w:t>
      </w: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rPr>
          <w:szCs w:val="24"/>
        </w:rPr>
      </w:pPr>
      <w:r>
        <w:rPr>
          <w:szCs w:val="24"/>
        </w:rPr>
        <w:t xml:space="preserve">Rating Decision with proposal to sever the total disability evaluation based on individual unemployability dated </w:t>
      </w:r>
      <w:r w:rsidR="00A46221">
        <w:rPr>
          <w:szCs w:val="24"/>
        </w:rPr>
        <w:t>{}</w:t>
      </w: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rPr>
          <w:szCs w:val="24"/>
        </w:rPr>
      </w:pPr>
      <w:r>
        <w:rPr>
          <w:szCs w:val="24"/>
        </w:rPr>
        <w:t xml:space="preserve">Notification letter to you regarding proposal to sever individual unemployability dated </w:t>
      </w:r>
      <w:r w:rsidR="00A46221">
        <w:rPr>
          <w:szCs w:val="24"/>
        </w:rPr>
        <w:t>{}</w:t>
      </w:r>
      <w:r>
        <w:rPr>
          <w:szCs w:val="24"/>
        </w:rPr>
        <w:t>, with no response received</w:t>
      </w: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rPr>
          <w:szCs w:val="24"/>
        </w:rPr>
      </w:pPr>
      <w:r>
        <w:t xml:space="preserve">VA Form 21-0820, Report of General Information, dated </w:t>
      </w:r>
      <w:r w:rsidR="00A46221">
        <w:t>{}</w:t>
      </w: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rPr>
          <w:szCs w:val="24"/>
        </w:rPr>
      </w:pP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pPr>
      <w:r>
        <w:t xml:space="preserve">Continued entitlement to individual unemployability. </w:t>
      </w:r>
      <w:r>
        <w:rPr>
          <w:szCs w:val="24"/>
        </w:rPr>
        <w:t xml:space="preserve">Continued entitlement to Dependents' Educational Assistance under 38 U.S.C. chapter 35. </w:t>
      </w: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pP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pPr>
      <w:r>
        <w:t xml:space="preserve">Entitlement to individual unemployability is discontinued effective </w:t>
      </w:r>
      <w:r w:rsidR="00A46221">
        <w:t>{}</w:t>
      </w:r>
      <w:r>
        <w:t xml:space="preserve">. </w:t>
      </w:r>
      <w:r>
        <w:rPr>
          <w:szCs w:val="24"/>
        </w:rPr>
        <w:t xml:space="preserve">Entitlement to Dependents' Educational Assistance under 38 U.S.C. chapter 35 is also discontinued effective </w:t>
      </w:r>
      <w:r w:rsidR="00A46221">
        <w:rPr>
          <w:szCs w:val="24"/>
        </w:rPr>
        <w:t>{}</w:t>
      </w:r>
      <w:r>
        <w:rPr>
          <w:szCs w:val="24"/>
        </w:rPr>
        <w:t>.</w:t>
      </w:r>
    </w:p>
    <w:p w:rsidR="00013EB8" w:rsidRDefault="00013EB8">
      <w:pPr>
        <w:widowControl w:val="0"/>
        <w:pBdr>
          <w:top w:val="single" w:sz="4" w:space="1" w:color="auto"/>
          <w:left w:val="single" w:sz="4" w:space="4" w:color="auto"/>
          <w:bottom w:val="single" w:sz="4" w:space="1" w:color="auto"/>
          <w:right w:val="single" w:sz="4" w:space="4" w:color="auto"/>
        </w:pBdr>
        <w:overflowPunct/>
        <w:textAlignment w:val="auto"/>
        <w:rPr>
          <w:szCs w:val="24"/>
        </w:rPr>
      </w:pPr>
    </w:p>
    <w:p w:rsidR="0071589F" w:rsidRDefault="00013EB8" w:rsidP="0071589F">
      <w:pPr>
        <w:widowControl w:val="0"/>
        <w:numPr>
          <w:ilvl w:val="12"/>
          <w:numId w:val="0"/>
        </w:numPr>
        <w:pBdr>
          <w:top w:val="single" w:sz="4" w:space="1" w:color="auto"/>
          <w:left w:val="single" w:sz="4" w:space="4" w:color="auto"/>
          <w:bottom w:val="single" w:sz="4" w:space="1" w:color="auto"/>
          <w:right w:val="single" w:sz="4" w:space="4" w:color="auto"/>
        </w:pBdr>
        <w:tabs>
          <w:tab w:val="left" w:pos="0"/>
        </w:tabs>
      </w:pPr>
      <w:r>
        <w:rPr>
          <w:i/>
          <w:iCs/>
        </w:rPr>
        <w:t>Reasons for Decision:</w:t>
      </w:r>
      <w:r>
        <w:t xml:space="preserve">  </w:t>
      </w:r>
    </w:p>
    <w:p w:rsidR="00013EB8" w:rsidRPr="0071589F" w:rsidRDefault="00013EB8" w:rsidP="0071589F">
      <w:pPr>
        <w:widowControl w:val="0"/>
        <w:numPr>
          <w:ilvl w:val="12"/>
          <w:numId w:val="0"/>
        </w:numPr>
        <w:pBdr>
          <w:top w:val="single" w:sz="4" w:space="1" w:color="auto"/>
          <w:left w:val="single" w:sz="4" w:space="4" w:color="auto"/>
          <w:bottom w:val="single" w:sz="4" w:space="1" w:color="auto"/>
          <w:right w:val="single" w:sz="4" w:space="4" w:color="auto"/>
        </w:pBdr>
        <w:tabs>
          <w:tab w:val="left" w:pos="0"/>
        </w:tabs>
        <w:rPr>
          <w:bCs/>
        </w:rPr>
      </w:pPr>
      <w:r>
        <w:rPr>
          <w:szCs w:val="24"/>
        </w:rPr>
        <w:t xml:space="preserve">We have severed the total disability evaluation based on individual unemployability, effective </w:t>
      </w:r>
      <w:r w:rsidR="00A46221">
        <w:rPr>
          <w:szCs w:val="24"/>
        </w:rPr>
        <w:t>{}</w:t>
      </w:r>
      <w:r>
        <w:rPr>
          <w:szCs w:val="24"/>
        </w:rPr>
        <w:t xml:space="preserve">, </w:t>
      </w:r>
      <w:r w:rsidRPr="002546E5">
        <w:rPr>
          <w:highlight w:val="darkGray"/>
        </w:rPr>
        <w:t>the first of the month following the 60-day period after notification of this decision</w:t>
      </w:r>
      <w:r w:rsidR="00330E23">
        <w:t xml:space="preserve"> (</w:t>
      </w:r>
      <w:r w:rsidR="00330E23" w:rsidRPr="00330E23">
        <w:rPr>
          <w:bCs/>
          <w:i/>
        </w:rPr>
        <w:t xml:space="preserve">per QRT/GiaBao Nguyen 5/15/17 - final reduction is </w:t>
      </w:r>
      <w:r w:rsidR="00330E23">
        <w:rPr>
          <w:bCs/>
          <w:i/>
        </w:rPr>
        <w:t>date last paid (</w:t>
      </w:r>
      <w:r w:rsidR="00330E23" w:rsidRPr="00330E23">
        <w:rPr>
          <w:bCs/>
          <w:i/>
        </w:rPr>
        <w:t>DLP</w:t>
      </w:r>
      <w:r w:rsidR="00330E23">
        <w:rPr>
          <w:bCs/>
          <w:i/>
        </w:rPr>
        <w:t>)</w:t>
      </w:r>
      <w:r w:rsidR="00330E23">
        <w:rPr>
          <w:bCs/>
        </w:rPr>
        <w:t>)</w:t>
      </w:r>
      <w:r>
        <w:t xml:space="preserve">, </w:t>
      </w:r>
      <w:r>
        <w:rPr>
          <w:szCs w:val="24"/>
        </w:rPr>
        <w:t xml:space="preserve">because …you did not return the VA Form 21-4140, telling us your current employment status {OR the evidence shows receipt of earned income from </w:t>
      </w:r>
      <w:r w:rsidR="00A46221">
        <w:rPr>
          <w:szCs w:val="24"/>
        </w:rPr>
        <w:t>{}</w:t>
      </w:r>
      <w:r>
        <w:rPr>
          <w:szCs w:val="24"/>
        </w:rPr>
        <w:t xml:space="preserve"> to </w:t>
      </w:r>
      <w:r w:rsidR="00A46221">
        <w:rPr>
          <w:szCs w:val="24"/>
        </w:rPr>
        <w:t>{}</w:t>
      </w:r>
      <w:r>
        <w:rPr>
          <w:szCs w:val="24"/>
        </w:rPr>
        <w:t xml:space="preserve">}. </w:t>
      </w:r>
      <w:r>
        <w:t xml:space="preserve">VA regulations provide that a total disability rating for compensation purposes based on individual unemployability can be reduced if the evidence shows you are engaging in substantially gainful occupation, with maintenance of the occupation for a period of 12 consecutive months. {We received notification of earned income from </w:t>
      </w:r>
      <w:r w:rsidR="00A46221">
        <w:t>{}</w:t>
      </w:r>
      <w:r>
        <w:t xml:space="preserve">}. Rating Decision dated </w:t>
      </w:r>
      <w:r w:rsidR="00A46221">
        <w:t>{}</w:t>
      </w:r>
      <w:r>
        <w:t xml:space="preserve"> proposed to sever your entitlement to a total disability evaluation based on Individual Unemployability. A notification letter was sent to you on </w:t>
      </w:r>
      <w:r w:rsidR="00A46221">
        <w:t>{}</w:t>
      </w:r>
      <w:r>
        <w:t xml:space="preserve"> advising you of this proposal, with a request for any medical or other evidence, but no response was received. Additionally, the Report of General Information shows we also attempted to call you on </w:t>
      </w:r>
      <w:r w:rsidR="00A46221">
        <w:t>{}</w:t>
      </w:r>
      <w:r>
        <w:t xml:space="preserve">, but {there was no answer and we left a voicemail asking for the form and a phone call back}. </w:t>
      </w:r>
      <w:r>
        <w:rPr>
          <w:szCs w:val="24"/>
        </w:rPr>
        <w:t xml:space="preserve">This Rating Decision will not affect your entitlement to treatment for service-connected disabilities. Your overall combined evaluation will be </w:t>
      </w:r>
      <w:r w:rsidR="00A46221">
        <w:rPr>
          <w:szCs w:val="24"/>
        </w:rPr>
        <w:t>{}</w:t>
      </w:r>
      <w:r>
        <w:rPr>
          <w:szCs w:val="24"/>
        </w:rPr>
        <w:t xml:space="preserve"> percent.</w:t>
      </w: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tabs>
          <w:tab w:val="left" w:pos="0"/>
        </w:tabs>
        <w:rPr>
          <w:szCs w:val="24"/>
        </w:rPr>
      </w:pP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tabs>
          <w:tab w:val="left" w:pos="0"/>
        </w:tabs>
        <w:rPr>
          <w:szCs w:val="24"/>
        </w:rPr>
      </w:pPr>
      <w:r>
        <w:rPr>
          <w:szCs w:val="24"/>
        </w:rPr>
        <w:t xml:space="preserve">Since we have severed the total disability evaluation based on individual unemployability, you are no longer </w:t>
      </w:r>
      <w:r>
        <w:t>entitled to the 100 percent rate, and therefore we have also severed entitlement to</w:t>
      </w:r>
      <w:r>
        <w:rPr>
          <w:szCs w:val="24"/>
        </w:rPr>
        <w:t xml:space="preserve"> Dependents' Educational Assistance under 38 U.S.C. chapter 35.</w:t>
      </w:r>
    </w:p>
    <w:p w:rsidR="00013EB8" w:rsidRDefault="00013EB8">
      <w:pPr>
        <w:widowControl w:val="0"/>
        <w:numPr>
          <w:ilvl w:val="12"/>
          <w:numId w:val="0"/>
        </w:numPr>
        <w:pBdr>
          <w:top w:val="single" w:sz="4" w:space="1" w:color="auto"/>
          <w:left w:val="single" w:sz="4" w:space="4" w:color="auto"/>
          <w:bottom w:val="single" w:sz="4" w:space="1" w:color="auto"/>
          <w:right w:val="single" w:sz="4" w:space="4" w:color="auto"/>
        </w:pBdr>
        <w:tabs>
          <w:tab w:val="left" w:pos="0"/>
        </w:tabs>
        <w:rPr>
          <w:szCs w:val="24"/>
        </w:rPr>
      </w:pPr>
    </w:p>
    <w:p w:rsidR="00013EB8" w:rsidRDefault="00CF6C2B">
      <w:pPr>
        <w:widowControl w:val="0"/>
        <w:numPr>
          <w:ilvl w:val="12"/>
          <w:numId w:val="0"/>
        </w:numPr>
        <w:pBdr>
          <w:top w:val="single" w:sz="4" w:space="1" w:color="auto"/>
          <w:left w:val="single" w:sz="4" w:space="4" w:color="auto"/>
          <w:bottom w:val="single" w:sz="4" w:space="1" w:color="auto"/>
          <w:right w:val="single" w:sz="4" w:space="4" w:color="auto"/>
        </w:pBdr>
        <w:tabs>
          <w:tab w:val="left" w:pos="0"/>
        </w:tabs>
        <w:rPr>
          <w:i/>
          <w:iCs/>
          <w:szCs w:val="24"/>
        </w:rPr>
      </w:pPr>
      <w:r>
        <w:rPr>
          <w:i/>
          <w:iCs/>
          <w:szCs w:val="24"/>
        </w:rPr>
        <w:t>b</w:t>
      </w:r>
      <w:r w:rsidR="00013EB8">
        <w:rPr>
          <w:i/>
          <w:iCs/>
          <w:szCs w:val="24"/>
        </w:rPr>
        <w:t>ackfill the “To Date” in the Master Record for IU &amp; Ch. 35</w:t>
      </w:r>
    </w:p>
    <w:p w:rsidR="00013EB8" w:rsidRDefault="00013EB8">
      <w:pPr>
        <w:widowControl w:val="0"/>
        <w:tabs>
          <w:tab w:val="left" w:pos="0"/>
          <w:tab w:val="left" w:pos="144"/>
        </w:tabs>
        <w:rPr>
          <w:sz w:val="22"/>
        </w:rPr>
      </w:pPr>
    </w:p>
    <w:p w:rsidR="00013EB8" w:rsidRDefault="00013EB8">
      <w:pPr>
        <w:widowControl w:val="0"/>
        <w:numPr>
          <w:ilvl w:val="12"/>
          <w:numId w:val="0"/>
        </w:numPr>
        <w:pBdr>
          <w:top w:val="single" w:sz="4" w:space="1" w:color="auto"/>
        </w:pBdr>
        <w:tabs>
          <w:tab w:val="left" w:pos="0"/>
        </w:tabs>
        <w:rPr>
          <w:sz w:val="22"/>
        </w:rPr>
      </w:pPr>
    </w:p>
    <w:p w:rsidR="00517098" w:rsidRDefault="00517098">
      <w:pPr>
        <w:widowControl w:val="0"/>
        <w:numPr>
          <w:ilvl w:val="12"/>
          <w:numId w:val="0"/>
        </w:numPr>
        <w:tabs>
          <w:tab w:val="left" w:pos="0"/>
        </w:tabs>
        <w:rPr>
          <w:b/>
          <w:bCs/>
          <w:i/>
          <w:iCs/>
          <w:sz w:val="22"/>
        </w:rPr>
      </w:pPr>
      <w:bookmarkStart w:id="151" w:name="Pension"/>
      <w:r>
        <w:rPr>
          <w:b/>
          <w:bCs/>
          <w:i/>
          <w:iCs/>
          <w:sz w:val="22"/>
        </w:rPr>
        <w:t>Pension/Permanent and Total –</w:t>
      </w:r>
    </w:p>
    <w:bookmarkEnd w:id="151"/>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rPr>
          <w:trHeight w:val="239"/>
        </w:trPr>
        <w:tc>
          <w:tcPr>
            <w:tcW w:w="705" w:type="dxa"/>
            <w:tcBorders>
              <w:top w:val="nil"/>
              <w:left w:val="nil"/>
              <w:bottom w:val="nil"/>
              <w:right w:val="nil"/>
            </w:tcBorders>
          </w:tcPr>
          <w:p w:rsidR="00013EB8" w:rsidRDefault="00013EB8">
            <w:pPr>
              <w:widowControl w:val="0"/>
              <w:rPr>
                <w:b/>
              </w:rPr>
            </w:pPr>
            <w:r w:rsidRPr="007A4B37">
              <w:rPr>
                <w:b/>
              </w:rPr>
              <w:t>3.2</w:t>
            </w:r>
          </w:p>
        </w:tc>
        <w:tc>
          <w:tcPr>
            <w:tcW w:w="10270" w:type="dxa"/>
            <w:tcBorders>
              <w:top w:val="nil"/>
              <w:left w:val="nil"/>
              <w:bottom w:val="nil"/>
              <w:right w:val="nil"/>
            </w:tcBorders>
          </w:tcPr>
          <w:p w:rsidR="00013EB8" w:rsidRDefault="00013EB8">
            <w:pPr>
              <w:widowControl w:val="0"/>
            </w:pPr>
            <w:r>
              <w:rPr>
                <w:b/>
              </w:rPr>
              <w:t xml:space="preserve">Periods of war </w:t>
            </w:r>
            <w:r>
              <w:t xml:space="preserve">– </w:t>
            </w:r>
          </w:p>
          <w:p w:rsidR="00013EB8" w:rsidRDefault="00013EB8" w:rsidP="00691877">
            <w:pPr>
              <w:widowControl w:val="0"/>
              <w:numPr>
                <w:ilvl w:val="0"/>
                <w:numId w:val="35"/>
              </w:numPr>
              <w:tabs>
                <w:tab w:val="clear" w:pos="720"/>
                <w:tab w:val="num" w:pos="340"/>
              </w:tabs>
              <w:ind w:left="340"/>
            </w:pPr>
            <w:r>
              <w:t>WWI: 4/16/17-11/11/18, Russia- 4/1/20</w:t>
            </w:r>
          </w:p>
          <w:p w:rsidR="00013EB8" w:rsidRDefault="00013EB8" w:rsidP="00691877">
            <w:pPr>
              <w:widowControl w:val="0"/>
              <w:numPr>
                <w:ilvl w:val="0"/>
                <w:numId w:val="35"/>
              </w:numPr>
              <w:tabs>
                <w:tab w:val="clear" w:pos="720"/>
                <w:tab w:val="num" w:pos="340"/>
              </w:tabs>
              <w:ind w:left="340"/>
            </w:pPr>
            <w:r>
              <w:t xml:space="preserve">WWII: 12/7/41-12/31/46 </w:t>
            </w:r>
            <w:r>
              <w:rPr>
                <w:i/>
              </w:rPr>
              <w:t>[Bataan fell 4/9/42, Death March (to Camp O’Donnell) until 4/24/42, Corregidor fell 5/5/42; Battle of the Bulge was in Bastogne, Belgium from 12/15/44-1/28/45 (also called Ardennes Offensive)</w:t>
            </w:r>
            <w:r w:rsidR="00202FD9">
              <w:rPr>
                <w:i/>
              </w:rPr>
              <w:t>, Battle of Iwo Jima 2/19/45-3/26/45, atomic bombing of Hiroshima 8/6/45, atomic bombing of Nagasaki 8/9/45</w:t>
            </w:r>
            <w:r>
              <w:rPr>
                <w:i/>
              </w:rPr>
              <w:t>]</w:t>
            </w:r>
          </w:p>
          <w:p w:rsidR="00013EB8" w:rsidRDefault="00013EB8" w:rsidP="00691877">
            <w:pPr>
              <w:widowControl w:val="0"/>
              <w:numPr>
                <w:ilvl w:val="0"/>
                <w:numId w:val="35"/>
              </w:numPr>
              <w:tabs>
                <w:tab w:val="clear" w:pos="720"/>
                <w:tab w:val="num" w:pos="340"/>
              </w:tabs>
              <w:ind w:left="340"/>
            </w:pPr>
            <w:r>
              <w:t>Korean War: 6/27/50-1/31/55</w:t>
            </w:r>
            <w:r>
              <w:rPr>
                <w:i/>
              </w:rPr>
              <w:t xml:space="preserve"> [Chosin Reservoir Campaign 11/50-12/50]</w:t>
            </w:r>
          </w:p>
          <w:p w:rsidR="00013EB8" w:rsidRDefault="00013EB8" w:rsidP="00691877">
            <w:pPr>
              <w:widowControl w:val="0"/>
              <w:numPr>
                <w:ilvl w:val="0"/>
                <w:numId w:val="35"/>
              </w:numPr>
              <w:tabs>
                <w:tab w:val="clear" w:pos="720"/>
                <w:tab w:val="num" w:pos="340"/>
              </w:tabs>
              <w:ind w:left="340"/>
            </w:pPr>
            <w:r>
              <w:t>Vietnam War: 2/28/61-5/7/75 if in Vietnam, 8/5/64-5/7/75 if not in Vietnam</w:t>
            </w:r>
            <w:r>
              <w:rPr>
                <w:i/>
              </w:rPr>
              <w:t xml:space="preserve"> [USS Pueblo held by North Korea from 1/23/68-12/23/68 in Wonsan &amp; Pyong Yang prisons] [Tet Offensive 1/31/68 to 2/68 &amp; “mini-Tet” in May &amp; August]</w:t>
            </w:r>
          </w:p>
          <w:p w:rsidR="00013EB8" w:rsidRDefault="00013EB8" w:rsidP="00691877">
            <w:pPr>
              <w:widowControl w:val="0"/>
              <w:numPr>
                <w:ilvl w:val="0"/>
                <w:numId w:val="35"/>
              </w:numPr>
              <w:tabs>
                <w:tab w:val="clear" w:pos="720"/>
                <w:tab w:val="num" w:pos="340"/>
              </w:tabs>
              <w:ind w:left="340"/>
            </w:pPr>
            <w:r>
              <w:t>Gulf War: 8/2/90 to present</w:t>
            </w:r>
          </w:p>
        </w:tc>
      </w:tr>
    </w:tbl>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684"/>
        <w:gridCol w:w="21"/>
        <w:gridCol w:w="10270"/>
      </w:tblGrid>
      <w:tr w:rsidR="00013EB8">
        <w:trPr>
          <w:trHeight w:val="224"/>
        </w:trPr>
        <w:tc>
          <w:tcPr>
            <w:tcW w:w="705" w:type="dxa"/>
            <w:gridSpan w:val="2"/>
            <w:tcBorders>
              <w:top w:val="nil"/>
              <w:left w:val="nil"/>
              <w:bottom w:val="nil"/>
              <w:right w:val="nil"/>
            </w:tcBorders>
          </w:tcPr>
          <w:p w:rsidR="00013EB8" w:rsidRDefault="00013EB8">
            <w:pPr>
              <w:widowControl w:val="0"/>
              <w:rPr>
                <w:b/>
              </w:rPr>
            </w:pPr>
            <w:r w:rsidRPr="007A4B37">
              <w:rPr>
                <w:b/>
              </w:rPr>
              <w:t>3.3</w:t>
            </w:r>
          </w:p>
        </w:tc>
        <w:tc>
          <w:tcPr>
            <w:tcW w:w="10270" w:type="dxa"/>
            <w:tcBorders>
              <w:top w:val="nil"/>
              <w:left w:val="nil"/>
              <w:bottom w:val="nil"/>
              <w:right w:val="nil"/>
            </w:tcBorders>
          </w:tcPr>
          <w:p w:rsidR="00013EB8" w:rsidRDefault="00013EB8">
            <w:pPr>
              <w:widowControl w:val="0"/>
              <w:tabs>
                <w:tab w:val="num" w:pos="340"/>
              </w:tabs>
              <w:spacing w:after="120"/>
              <w:rPr>
                <w:bCs/>
                <w:iCs/>
              </w:rPr>
            </w:pPr>
            <w:r>
              <w:rPr>
                <w:b/>
              </w:rPr>
              <w:t xml:space="preserve">Pension </w:t>
            </w:r>
            <w:r>
              <w:t>– need 90 days or more, with 1 day during a period of war, is “permanently and totally disabled from nonservice-connected disability not due to the veteran’s own willful misconduct</w:t>
            </w:r>
            <w:r w:rsidR="001946CC">
              <w:t>,”</w:t>
            </w:r>
            <w:r>
              <w:t xml:space="preserve"> and meets income and net worth requirements; </w:t>
            </w:r>
            <w:r>
              <w:rPr>
                <w:i/>
              </w:rPr>
              <w:t xml:space="preserve">pension okay for old Philippine Scouts (enlisted prior to 10/45), but not for Philippine Commonwealth Army, USAFFE, new Philippine Scouts, or Recognized Guerilla Members- also see </w:t>
            </w:r>
            <w:r>
              <w:rPr>
                <w:b/>
                <w:i/>
              </w:rPr>
              <w:t>3.40</w:t>
            </w:r>
            <w:r>
              <w:rPr>
                <w:i/>
              </w:rPr>
              <w:t xml:space="preserve"> &amp; </w:t>
            </w:r>
            <w:r>
              <w:rPr>
                <w:b/>
                <w:i/>
              </w:rPr>
              <w:t>3.41</w:t>
            </w:r>
          </w:p>
          <w:p w:rsidR="00013EB8" w:rsidRDefault="00013EB8" w:rsidP="00F063AF">
            <w:pPr>
              <w:widowControl w:val="0"/>
              <w:numPr>
                <w:ilvl w:val="0"/>
                <w:numId w:val="84"/>
              </w:numPr>
              <w:tabs>
                <w:tab w:val="clear" w:pos="720"/>
              </w:tabs>
              <w:spacing w:after="120"/>
              <w:ind w:left="330"/>
              <w:rPr>
                <w:iCs/>
              </w:rPr>
            </w:pPr>
            <w:r w:rsidRPr="007A4B37">
              <w:rPr>
                <w:b/>
                <w:bCs/>
                <w:iCs/>
              </w:rPr>
              <w:t>3.400</w:t>
            </w:r>
            <w:r>
              <w:rPr>
                <w:b/>
                <w:i/>
              </w:rPr>
              <w:t>(</w:t>
            </w:r>
            <w:r>
              <w:rPr>
                <w:b/>
                <w:iCs/>
              </w:rPr>
              <w:t>b)(1)</w:t>
            </w:r>
            <w:r>
              <w:rPr>
                <w:iCs/>
              </w:rPr>
              <w:t xml:space="preserve"> </w:t>
            </w:r>
          </w:p>
          <w:p w:rsidR="00952CE6" w:rsidRPr="00952CE6" w:rsidRDefault="00952CE6" w:rsidP="00F063AF">
            <w:pPr>
              <w:widowControl w:val="0"/>
              <w:numPr>
                <w:ilvl w:val="0"/>
                <w:numId w:val="84"/>
              </w:numPr>
              <w:tabs>
                <w:tab w:val="clear" w:pos="720"/>
              </w:tabs>
              <w:spacing w:after="120"/>
              <w:ind w:left="330"/>
            </w:pPr>
            <w:r w:rsidRPr="00952CE6">
              <w:rPr>
                <w:b/>
              </w:rPr>
              <w:t>I.1.C.3.b</w:t>
            </w:r>
            <w:r>
              <w:t xml:space="preserve"> &amp; </w:t>
            </w:r>
            <w:r w:rsidRPr="00952CE6">
              <w:rPr>
                <w:b/>
              </w:rPr>
              <w:t>III.iv.3.A.5.a</w:t>
            </w:r>
            <w:r>
              <w:t xml:space="preserve"> – get Gen Med DBQ if don’t have sufficient medical evidence</w:t>
            </w:r>
          </w:p>
          <w:p w:rsidR="00C27B06" w:rsidRPr="00732A37" w:rsidRDefault="00C27B06" w:rsidP="00F063AF">
            <w:pPr>
              <w:widowControl w:val="0"/>
              <w:numPr>
                <w:ilvl w:val="0"/>
                <w:numId w:val="84"/>
              </w:numPr>
              <w:tabs>
                <w:tab w:val="clear" w:pos="720"/>
              </w:tabs>
              <w:spacing w:after="120"/>
              <w:ind w:left="330"/>
            </w:pPr>
            <w:r w:rsidRPr="00CF557B">
              <w:rPr>
                <w:b/>
                <w:bCs/>
              </w:rPr>
              <w:t>III.iv.6.B</w:t>
            </w:r>
            <w:r w:rsidR="00DC7E42" w:rsidRPr="00CF557B">
              <w:t xml:space="preserve"> </w:t>
            </w:r>
            <w:r w:rsidRPr="00CF557B">
              <w:t xml:space="preserve">– inferred issues, </w:t>
            </w:r>
            <w:r w:rsidRPr="00CF557B">
              <w:rPr>
                <w:i/>
              </w:rPr>
              <w:t>do not infer to deny</w:t>
            </w:r>
            <w:r w:rsidRPr="00CF557B">
              <w:t xml:space="preserve">, </w:t>
            </w:r>
            <w:r w:rsidRPr="00CF557B">
              <w:rPr>
                <w:i/>
              </w:rPr>
              <w:t>retroactive pension</w:t>
            </w:r>
            <w:r w:rsidR="00736478" w:rsidRPr="00CF557B">
              <w:rPr>
                <w:i/>
              </w:rPr>
              <w:t xml:space="preserve"> </w:t>
            </w:r>
            <w:r w:rsidR="00736478" w:rsidRPr="00CF557B">
              <w:rPr>
                <w:b/>
                <w:bCs/>
              </w:rPr>
              <w:t>V.ii.1.B</w:t>
            </w:r>
          </w:p>
          <w:p w:rsidR="00732A37" w:rsidRPr="00CF557B" w:rsidRDefault="00732A37" w:rsidP="00F063AF">
            <w:pPr>
              <w:widowControl w:val="0"/>
              <w:numPr>
                <w:ilvl w:val="0"/>
                <w:numId w:val="84"/>
              </w:numPr>
              <w:tabs>
                <w:tab w:val="clear" w:pos="720"/>
              </w:tabs>
              <w:spacing w:after="120"/>
              <w:ind w:left="330"/>
              <w:rPr>
                <w:i/>
              </w:rPr>
            </w:pPr>
            <w:r>
              <w:rPr>
                <w:b/>
                <w:bCs/>
              </w:rPr>
              <w:t>III.iv.6.D</w:t>
            </w:r>
            <w:r w:rsidRPr="00CF557B">
              <w:t xml:space="preserve"> </w:t>
            </w:r>
            <w:r w:rsidRPr="00CF557B">
              <w:rPr>
                <w:i/>
              </w:rPr>
              <w:t>for codes</w:t>
            </w:r>
          </w:p>
          <w:p w:rsidR="00013EB8" w:rsidRDefault="00D806E6" w:rsidP="00F063AF">
            <w:pPr>
              <w:widowControl w:val="0"/>
              <w:numPr>
                <w:ilvl w:val="0"/>
                <w:numId w:val="84"/>
              </w:numPr>
              <w:tabs>
                <w:tab w:val="clear" w:pos="720"/>
              </w:tabs>
              <w:spacing w:after="120"/>
              <w:ind w:left="330"/>
              <w:rPr>
                <w:i/>
              </w:rPr>
            </w:pPr>
            <w:r w:rsidRPr="00CF557B">
              <w:rPr>
                <w:b/>
                <w:bCs/>
              </w:rPr>
              <w:t>III.iv.6.E</w:t>
            </w:r>
            <w:r w:rsidR="00F91B8B" w:rsidRPr="00CF557B">
              <w:rPr>
                <w:b/>
                <w:bCs/>
              </w:rPr>
              <w:t>.3.b</w:t>
            </w:r>
            <w:r w:rsidR="00013EB8" w:rsidRPr="00CF557B">
              <w:rPr>
                <w:b/>
                <w:bCs/>
                <w:color w:val="0000FF"/>
              </w:rPr>
              <w:t xml:space="preserve"> </w:t>
            </w:r>
            <w:r w:rsidR="00F91B8B" w:rsidRPr="00CF557B">
              <w:rPr>
                <w:i/>
              </w:rPr>
              <w:t>- all disabilities need an evaluation / % if pension is involved</w:t>
            </w:r>
          </w:p>
          <w:p w:rsidR="007803AF" w:rsidRPr="007803AF" w:rsidRDefault="007803AF" w:rsidP="007803AF">
            <w:pPr>
              <w:widowControl w:val="0"/>
              <w:pBdr>
                <w:top w:val="single" w:sz="2" w:space="1" w:color="auto"/>
                <w:left w:val="single" w:sz="2" w:space="4" w:color="auto"/>
                <w:bottom w:val="single" w:sz="2" w:space="1" w:color="auto"/>
                <w:right w:val="single" w:sz="2" w:space="4" w:color="auto"/>
              </w:pBdr>
              <w:spacing w:after="120"/>
              <w:ind w:left="330" w:right="160"/>
            </w:pPr>
            <w:r>
              <w:t xml:space="preserve">Note to File:  Technically </w:t>
            </w:r>
            <w:r w:rsidRPr="00CF557B">
              <w:rPr>
                <w:b/>
                <w:bCs/>
              </w:rPr>
              <w:t>III.iv.6.E.3.b</w:t>
            </w:r>
            <w:r>
              <w:t xml:space="preserve"> says only need evaluations for NSC disabilities if “rating a claim” for pension only, or for compensation and pension, but historically we also added evaluations to subsequent ratings, so evaluations are added to all</w:t>
            </w:r>
            <w:r w:rsidR="0058606C">
              <w:t>/new</w:t>
            </w:r>
            <w:r>
              <w:t xml:space="preserve"> NSC disabilities.</w:t>
            </w:r>
          </w:p>
          <w:p w:rsidR="003B2233" w:rsidRDefault="003B2233" w:rsidP="00F063AF">
            <w:pPr>
              <w:widowControl w:val="0"/>
              <w:numPr>
                <w:ilvl w:val="0"/>
                <w:numId w:val="84"/>
              </w:numPr>
              <w:tabs>
                <w:tab w:val="clear" w:pos="720"/>
              </w:tabs>
              <w:spacing w:after="120"/>
              <w:ind w:left="330"/>
              <w:rPr>
                <w:b/>
              </w:rPr>
            </w:pPr>
            <w:r w:rsidRPr="00732A37">
              <w:rPr>
                <w:b/>
              </w:rPr>
              <w:t>III.v.2.A.3.</w:t>
            </w:r>
            <w:r w:rsidR="00732A37" w:rsidRPr="00732A37">
              <w:rPr>
                <w:b/>
              </w:rPr>
              <w:t>b</w:t>
            </w:r>
            <w:r w:rsidR="00732A37">
              <w:rPr>
                <w:b/>
              </w:rPr>
              <w:t xml:space="preserve"> &amp; c</w:t>
            </w:r>
          </w:p>
          <w:p w:rsidR="00094D68" w:rsidRPr="00732A37" w:rsidRDefault="00094D68" w:rsidP="00F063AF">
            <w:pPr>
              <w:widowControl w:val="0"/>
              <w:numPr>
                <w:ilvl w:val="0"/>
                <w:numId w:val="84"/>
              </w:numPr>
              <w:tabs>
                <w:tab w:val="clear" w:pos="720"/>
              </w:tabs>
              <w:spacing w:after="120"/>
              <w:ind w:left="330"/>
              <w:rPr>
                <w:b/>
              </w:rPr>
            </w:pPr>
            <w:r>
              <w:rPr>
                <w:b/>
              </w:rPr>
              <w:t xml:space="preserve">V.i.1.2.d </w:t>
            </w:r>
            <w:r>
              <w:t xml:space="preserve">– </w:t>
            </w:r>
            <w:r w:rsidRPr="00400020">
              <w:t>the</w:t>
            </w:r>
            <w:r>
              <w:t xml:space="preserve"> </w:t>
            </w:r>
            <w:r w:rsidRPr="00094D68">
              <w:t>wartime service requirement must be met during the minimum active duty</w:t>
            </w:r>
          </w:p>
          <w:p w:rsidR="006250F5" w:rsidRPr="005B0ECF" w:rsidRDefault="006250F5" w:rsidP="00F063AF">
            <w:pPr>
              <w:widowControl w:val="0"/>
              <w:numPr>
                <w:ilvl w:val="0"/>
                <w:numId w:val="84"/>
              </w:numPr>
              <w:tabs>
                <w:tab w:val="clear" w:pos="720"/>
              </w:tabs>
              <w:spacing w:after="120"/>
              <w:ind w:left="330"/>
              <w:rPr>
                <w:rStyle w:val="Hyperlink"/>
                <w:color w:val="auto"/>
                <w:u w:val="none"/>
              </w:rPr>
            </w:pPr>
            <w:r w:rsidRPr="005B0ECF">
              <w:rPr>
                <w:b/>
                <w:bCs/>
              </w:rPr>
              <w:t>V.i.2</w:t>
            </w:r>
            <w:r w:rsidR="00952CE6">
              <w:rPr>
                <w:b/>
                <w:bCs/>
              </w:rPr>
              <w:t xml:space="preserve"> </w:t>
            </w:r>
            <w:r w:rsidR="00952CE6">
              <w:t>– lots of info, incl that we should get Gen Med DBQ if don’t have sufficient medical evidence</w:t>
            </w:r>
          </w:p>
          <w:p w:rsidR="006250F5" w:rsidRPr="005B0ECF" w:rsidRDefault="006250F5" w:rsidP="00F063AF">
            <w:pPr>
              <w:widowControl w:val="0"/>
              <w:numPr>
                <w:ilvl w:val="0"/>
                <w:numId w:val="84"/>
              </w:numPr>
              <w:tabs>
                <w:tab w:val="clear" w:pos="720"/>
              </w:tabs>
              <w:spacing w:after="120"/>
              <w:ind w:left="330"/>
              <w:rPr>
                <w:i/>
              </w:rPr>
            </w:pPr>
            <w:r w:rsidRPr="005B0ECF">
              <w:rPr>
                <w:rStyle w:val="Hyperlink"/>
                <w:b/>
                <w:bCs/>
                <w:color w:val="auto"/>
                <w:u w:val="none"/>
              </w:rPr>
              <w:t>V.ii.1.A</w:t>
            </w:r>
          </w:p>
          <w:p w:rsidR="006707AD" w:rsidRPr="006707AD" w:rsidRDefault="00013EB8" w:rsidP="00F063AF">
            <w:pPr>
              <w:widowControl w:val="0"/>
              <w:numPr>
                <w:ilvl w:val="0"/>
                <w:numId w:val="84"/>
              </w:numPr>
              <w:tabs>
                <w:tab w:val="clear" w:pos="720"/>
              </w:tabs>
              <w:spacing w:after="120"/>
              <w:ind w:left="330"/>
              <w:rPr>
                <w:rFonts w:ascii="Verdana" w:hAnsi="Verdana"/>
                <w:sz w:val="18"/>
              </w:rPr>
            </w:pPr>
            <w:r>
              <w:rPr>
                <w:b/>
                <w:bCs/>
                <w:i/>
              </w:rPr>
              <w:t xml:space="preserve">PL </w:t>
            </w:r>
            <w:r>
              <w:rPr>
                <w:b/>
                <w:i/>
              </w:rPr>
              <w:t>107-103</w:t>
            </w:r>
            <w:r>
              <w:rPr>
                <w:i/>
              </w:rPr>
              <w:t xml:space="preserve"> says P&amp;T for pension if 65 yrs old, or in nursing home, or SS disabled (SSDI and SSI) &amp; meet service, income &amp; net worth requirements, ef</w:t>
            </w:r>
            <w:r w:rsidR="00F23544">
              <w:rPr>
                <w:i/>
              </w:rPr>
              <w:t xml:space="preserve">f 9/17/01 </w:t>
            </w:r>
            <w:r>
              <w:rPr>
                <w:i/>
              </w:rPr>
              <w:t>[</w:t>
            </w:r>
            <w:r>
              <w:rPr>
                <w:i/>
                <w:u w:val="single"/>
              </w:rPr>
              <w:t>SSDI</w:t>
            </w:r>
            <w:r>
              <w:rPr>
                <w:i/>
              </w:rPr>
              <w:t xml:space="preserve"> is Social Security Disability Insurance (also called Title II) paid to blind/disabled </w:t>
            </w:r>
            <w:r>
              <w:rPr>
                <w:b/>
                <w:bCs/>
                <w:i/>
              </w:rPr>
              <w:t>workers</w:t>
            </w:r>
            <w:r>
              <w:rPr>
                <w:i/>
              </w:rPr>
              <w:t xml:space="preserve">, their children, widow(er)s and adults disabled since childhood, and is based on earnings record of the insured worker; </w:t>
            </w:r>
            <w:r>
              <w:rPr>
                <w:i/>
                <w:u w:val="single"/>
              </w:rPr>
              <w:t>SSI</w:t>
            </w:r>
            <w:r>
              <w:rPr>
                <w:i/>
              </w:rPr>
              <w:t xml:space="preserve"> is Supplemental Security Income (also called Title XVI</w:t>
            </w:r>
            <w:r w:rsidR="00E21FA7">
              <w:rPr>
                <w:i/>
              </w:rPr>
              <w:t xml:space="preserve">, </w:t>
            </w:r>
            <w:r w:rsidR="00E21FA7" w:rsidRPr="00E21FA7">
              <w:rPr>
                <w:b/>
              </w:rPr>
              <w:t>V.i.2.2.g</w:t>
            </w:r>
            <w:r w:rsidR="00E21FA7" w:rsidRPr="00E21FA7">
              <w:t xml:space="preserve"> says a “Y” under XVI indicates SSA data is available &amp; you should view the “SSI basic Info” tab &amp; the “SSA Basic Info” tab to review the “disability onset date</w:t>
            </w:r>
            <w:r w:rsidR="001946CC">
              <w:t>,”</w:t>
            </w:r>
            <w:r w:rsidR="00E21FA7" w:rsidRPr="00E21FA7">
              <w:t xml:space="preserve"> if getting SSI, that meets the disability requirement for VA pe</w:t>
            </w:r>
            <w:r w:rsidR="001B01CD">
              <w:t>n</w:t>
            </w:r>
            <w:r w:rsidR="00E21FA7" w:rsidRPr="00E21FA7">
              <w:t>sion</w:t>
            </w:r>
            <w:r>
              <w:rPr>
                <w:i/>
              </w:rPr>
              <w:t xml:space="preserve">) and is paid to those 65+, blind/disabled adults and blind/disabled children with </w:t>
            </w:r>
            <w:r>
              <w:rPr>
                <w:b/>
                <w:bCs/>
                <w:i/>
              </w:rPr>
              <w:t>limited income/resources</w:t>
            </w:r>
            <w:r w:rsidR="0090552E">
              <w:rPr>
                <w:i/>
              </w:rPr>
              <w:t xml:space="preserve">]  </w:t>
            </w:r>
          </w:p>
          <w:p w:rsidR="00D06B05" w:rsidRPr="00E07DBB" w:rsidRDefault="00EE760E" w:rsidP="00E07DBB">
            <w:pPr>
              <w:widowControl w:val="0"/>
              <w:pBdr>
                <w:top w:val="single" w:sz="4" w:space="1" w:color="auto"/>
                <w:left w:val="single" w:sz="4" w:space="4" w:color="auto"/>
                <w:bottom w:val="single" w:sz="4" w:space="1" w:color="auto"/>
                <w:right w:val="single" w:sz="4" w:space="4" w:color="auto"/>
              </w:pBdr>
              <w:spacing w:after="120"/>
              <w:ind w:left="240" w:right="250"/>
            </w:pPr>
            <w:r>
              <w:t xml:space="preserve">Rating Note:  There </w:t>
            </w:r>
            <w:r w:rsidR="0090552E" w:rsidRPr="0090552E">
              <w:t>is no “Disability Onset Date</w:t>
            </w:r>
            <w:r w:rsidR="001946CC">
              <w:t>,”</w:t>
            </w:r>
            <w:r w:rsidR="0090552E" w:rsidRPr="0090552E">
              <w:t xml:space="preserve"> </w:t>
            </w:r>
            <w:r>
              <w:t xml:space="preserve">so </w:t>
            </w:r>
            <w:r w:rsidR="0090552E" w:rsidRPr="0090552E">
              <w:t>the veteran is no</w:t>
            </w:r>
            <w:r w:rsidR="00F909B2">
              <w:t>t</w:t>
            </w:r>
            <w:r w:rsidR="0090552E" w:rsidRPr="0090552E">
              <w:t xml:space="preserve"> in receipt of S</w:t>
            </w:r>
            <w:r>
              <w:t xml:space="preserve">ocial </w:t>
            </w:r>
            <w:r w:rsidR="0090552E" w:rsidRPr="0090552E">
              <w:t>S</w:t>
            </w:r>
            <w:r>
              <w:t>ecurity D</w:t>
            </w:r>
            <w:r w:rsidR="0090552E" w:rsidRPr="0090552E">
              <w:t xml:space="preserve">isability, </w:t>
            </w:r>
            <w:r>
              <w:t>and</w:t>
            </w:r>
            <w:r w:rsidR="0090552E" w:rsidRPr="0090552E">
              <w:t xml:space="preserve"> SSA records are not needed</w:t>
            </w:r>
            <w:r>
              <w:t xml:space="preserve"> or </w:t>
            </w:r>
            <w:r w:rsidR="0090552E" w:rsidRPr="0090552E">
              <w:t>being requested.</w:t>
            </w:r>
          </w:p>
          <w:p w:rsidR="00013EB8" w:rsidRPr="001D2218" w:rsidRDefault="00D571C5" w:rsidP="00F063AF">
            <w:pPr>
              <w:widowControl w:val="0"/>
              <w:numPr>
                <w:ilvl w:val="0"/>
                <w:numId w:val="84"/>
              </w:numPr>
              <w:tabs>
                <w:tab w:val="clear" w:pos="720"/>
                <w:tab w:val="num" w:pos="330"/>
              </w:tabs>
              <w:spacing w:after="120"/>
              <w:ind w:left="330"/>
              <w:rPr>
                <w:bCs/>
                <w:iCs/>
              </w:rPr>
            </w:pPr>
            <w:hyperlink r:id="rId681" w:history="1">
              <w:r w:rsidR="00013EB8" w:rsidRPr="00CF557B">
                <w:rPr>
                  <w:rStyle w:val="Hyperlink"/>
                  <w:b/>
                  <w:i/>
                </w:rPr>
                <w:t>PENSION RATE TABLES</w:t>
              </w:r>
            </w:hyperlink>
          </w:p>
        </w:tc>
      </w:tr>
      <w:tr w:rsidR="00013EB8" w:rsidTr="0076213C">
        <w:trPr>
          <w:trHeight w:val="765"/>
        </w:trPr>
        <w:tc>
          <w:tcPr>
            <w:tcW w:w="705" w:type="dxa"/>
            <w:gridSpan w:val="2"/>
            <w:tcBorders>
              <w:top w:val="nil"/>
              <w:left w:val="nil"/>
              <w:bottom w:val="nil"/>
              <w:right w:val="nil"/>
            </w:tcBorders>
          </w:tcPr>
          <w:p w:rsidR="00013EB8" w:rsidRDefault="00013EB8">
            <w:pPr>
              <w:widowControl w:val="0"/>
              <w:numPr>
                <w:ilvl w:val="12"/>
                <w:numId w:val="0"/>
              </w:numPr>
              <w:rPr>
                <w:b/>
              </w:rPr>
            </w:pPr>
            <w:r w:rsidRPr="007A4B37">
              <w:rPr>
                <w:b/>
              </w:rPr>
              <w:t>3.342</w:t>
            </w:r>
          </w:p>
        </w:tc>
        <w:tc>
          <w:tcPr>
            <w:tcW w:w="10270" w:type="dxa"/>
            <w:tcBorders>
              <w:top w:val="nil"/>
              <w:left w:val="nil"/>
              <w:bottom w:val="nil"/>
              <w:right w:val="nil"/>
            </w:tcBorders>
          </w:tcPr>
          <w:p w:rsidR="00C27B06" w:rsidRDefault="00013EB8" w:rsidP="006250F5">
            <w:pPr>
              <w:widowControl w:val="0"/>
              <w:numPr>
                <w:ilvl w:val="12"/>
                <w:numId w:val="0"/>
              </w:numPr>
              <w:spacing w:after="120"/>
            </w:pPr>
            <w:r>
              <w:rPr>
                <w:b/>
              </w:rPr>
              <w:t>Permanent and total disability ratings for pension purposes</w:t>
            </w:r>
            <w:r>
              <w:t xml:space="preserve"> – </w:t>
            </w:r>
            <w:r>
              <w:rPr>
                <w:i/>
              </w:rPr>
              <w:t>can grant pension for residuals of alcoholism/substance abuse</w:t>
            </w:r>
          </w:p>
        </w:tc>
      </w:tr>
      <w:tr w:rsidR="00013EB8">
        <w:trPr>
          <w:trHeight w:val="483"/>
        </w:trPr>
        <w:tc>
          <w:tcPr>
            <w:tcW w:w="705" w:type="dxa"/>
            <w:gridSpan w:val="2"/>
            <w:tcBorders>
              <w:top w:val="nil"/>
              <w:left w:val="nil"/>
              <w:bottom w:val="nil"/>
              <w:right w:val="nil"/>
            </w:tcBorders>
          </w:tcPr>
          <w:p w:rsidR="00013EB8" w:rsidRDefault="00013EB8">
            <w:pPr>
              <w:widowControl w:val="0"/>
              <w:numPr>
                <w:ilvl w:val="12"/>
                <w:numId w:val="0"/>
              </w:numPr>
              <w:rPr>
                <w:b/>
              </w:rPr>
            </w:pPr>
            <w:r w:rsidRPr="007A4B37">
              <w:rPr>
                <w:b/>
              </w:rPr>
              <w:t>3.321</w:t>
            </w:r>
          </w:p>
        </w:tc>
        <w:tc>
          <w:tcPr>
            <w:tcW w:w="10270" w:type="dxa"/>
            <w:tcBorders>
              <w:top w:val="nil"/>
              <w:left w:val="nil"/>
              <w:bottom w:val="nil"/>
              <w:right w:val="nil"/>
            </w:tcBorders>
          </w:tcPr>
          <w:p w:rsidR="00013EB8" w:rsidRDefault="00013EB8" w:rsidP="00C802D8">
            <w:pPr>
              <w:widowControl w:val="0"/>
              <w:numPr>
                <w:ilvl w:val="12"/>
                <w:numId w:val="0"/>
              </w:numPr>
              <w:spacing w:after="120"/>
              <w:rPr>
                <w:b/>
              </w:rPr>
            </w:pPr>
            <w:r>
              <w:rPr>
                <w:b/>
              </w:rPr>
              <w:t>General rating considerations</w:t>
            </w:r>
            <w:r w:rsidR="00C802D8" w:rsidRPr="00C802D8">
              <w:t xml:space="preserve">, </w:t>
            </w:r>
            <w:r w:rsidR="00C802D8">
              <w:rPr>
                <w:b/>
              </w:rPr>
              <w:t>III.iv.5.B.2.</w:t>
            </w:r>
            <w:r w:rsidR="00645488">
              <w:rPr>
                <w:b/>
              </w:rPr>
              <w:t>h</w:t>
            </w:r>
          </w:p>
          <w:p w:rsidR="0076213C" w:rsidRPr="0076213C" w:rsidRDefault="0076213C" w:rsidP="00F063AF">
            <w:pPr>
              <w:widowControl w:val="0"/>
              <w:numPr>
                <w:ilvl w:val="0"/>
                <w:numId w:val="83"/>
              </w:numPr>
              <w:spacing w:after="120"/>
              <w:rPr>
                <w:rFonts w:ascii="Verdana" w:hAnsi="Verdana"/>
                <w:i/>
                <w:iCs/>
              </w:rPr>
            </w:pPr>
            <w:r w:rsidRPr="00452E99">
              <w:rPr>
                <w:b/>
                <w:iCs/>
              </w:rPr>
              <w:t>3.321</w:t>
            </w:r>
            <w:r>
              <w:rPr>
                <w:b/>
                <w:iCs/>
              </w:rPr>
              <w:t xml:space="preserve">(b)(1) - </w:t>
            </w:r>
            <w:r>
              <w:rPr>
                <w:rFonts w:ascii="Verdana" w:hAnsi="Verdana"/>
                <w:b/>
                <w:bCs/>
                <w:highlight w:val="green"/>
              </w:rPr>
              <w:t>ES1</w:t>
            </w:r>
            <w:r>
              <w:rPr>
                <w:rFonts w:ascii="Verdana" w:hAnsi="Verdana"/>
                <w:i/>
                <w:iCs/>
              </w:rPr>
              <w:t xml:space="preserve">, </w:t>
            </w:r>
            <w:r w:rsidRPr="0076213C">
              <w:rPr>
                <w:b/>
              </w:rPr>
              <w:t>III.iv.6.B.4.d</w:t>
            </w:r>
            <w:r>
              <w:t xml:space="preserve"> shows how to submit claims to Compensation Service for extra-schedular consideration</w:t>
            </w:r>
          </w:p>
        </w:tc>
      </w:tr>
      <w:tr w:rsidR="00013EB8">
        <w:trPr>
          <w:trHeight w:val="240"/>
        </w:trPr>
        <w:tc>
          <w:tcPr>
            <w:tcW w:w="684" w:type="dxa"/>
            <w:tcBorders>
              <w:top w:val="nil"/>
              <w:left w:val="nil"/>
              <w:bottom w:val="nil"/>
              <w:right w:val="nil"/>
            </w:tcBorders>
          </w:tcPr>
          <w:p w:rsidR="00013EB8" w:rsidRDefault="00013EB8">
            <w:pPr>
              <w:widowControl w:val="0"/>
              <w:numPr>
                <w:ilvl w:val="12"/>
                <w:numId w:val="0"/>
              </w:numPr>
              <w:rPr>
                <w:b/>
              </w:rPr>
            </w:pPr>
            <w:r w:rsidRPr="007A4B37">
              <w:rPr>
                <w:b/>
                <w:iCs/>
              </w:rPr>
              <w:t>4.17</w:t>
            </w:r>
          </w:p>
        </w:tc>
        <w:tc>
          <w:tcPr>
            <w:tcW w:w="10291" w:type="dxa"/>
            <w:gridSpan w:val="2"/>
            <w:tcBorders>
              <w:top w:val="nil"/>
              <w:left w:val="nil"/>
              <w:bottom w:val="nil"/>
              <w:right w:val="nil"/>
            </w:tcBorders>
          </w:tcPr>
          <w:p w:rsidR="00013EB8" w:rsidRPr="001D2218" w:rsidRDefault="00013EB8" w:rsidP="001D2218">
            <w:pPr>
              <w:widowControl w:val="0"/>
              <w:numPr>
                <w:ilvl w:val="12"/>
                <w:numId w:val="0"/>
              </w:numPr>
            </w:pPr>
            <w:r>
              <w:rPr>
                <w:b/>
              </w:rPr>
              <w:t>Total disability ratings for pension based on unemployab</w:t>
            </w:r>
            <w:r w:rsidR="001D2218">
              <w:rPr>
                <w:b/>
              </w:rPr>
              <w:t>ility and age of the individual</w:t>
            </w:r>
          </w:p>
        </w:tc>
      </w:tr>
    </w:tbl>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rPr>
          <w:trHeight w:val="224"/>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3.12a</w:t>
            </w:r>
          </w:p>
        </w:tc>
        <w:tc>
          <w:tcPr>
            <w:tcW w:w="10270" w:type="dxa"/>
            <w:tcBorders>
              <w:top w:val="nil"/>
              <w:left w:val="nil"/>
              <w:bottom w:val="nil"/>
              <w:right w:val="nil"/>
            </w:tcBorders>
          </w:tcPr>
          <w:p w:rsidR="00544D92" w:rsidRPr="00C34BAF" w:rsidRDefault="00013EB8" w:rsidP="00544D92">
            <w:pPr>
              <w:rPr>
                <w:bCs/>
              </w:rPr>
            </w:pPr>
            <w:r>
              <w:rPr>
                <w:b/>
              </w:rPr>
              <w:t xml:space="preserve">Minimum active-duty service requirement </w:t>
            </w:r>
            <w:r>
              <w:t xml:space="preserve">– 24 months or the full period for which called/ordered to active duty if entered at an enlisted grade after 9/7/80; or, if otherwise entered after 10/16/81 with an enlisted or officer grade; </w:t>
            </w:r>
            <w:r w:rsidR="00FD3556">
              <w:rPr>
                <w:b/>
                <w:bCs/>
              </w:rPr>
              <w:t>III.ii.6</w:t>
            </w:r>
            <w:r w:rsidR="00C34BAF">
              <w:rPr>
                <w:bCs/>
              </w:rPr>
              <w:t xml:space="preserve">; </w:t>
            </w:r>
            <w:r w:rsidR="00BC6996">
              <w:rPr>
                <w:rFonts w:ascii="Verdana" w:hAnsi="Verdana"/>
                <w:b/>
                <w:bCs/>
                <w:highlight w:val="green"/>
              </w:rPr>
              <w:t>see notes/references under SE1 and SE2</w:t>
            </w:r>
          </w:p>
          <w:p w:rsidR="00013EB8" w:rsidRPr="00F2233D" w:rsidRDefault="00013EB8" w:rsidP="00544D92">
            <w:pPr>
              <w:widowControl w:val="0"/>
            </w:pPr>
          </w:p>
        </w:tc>
      </w:tr>
    </w:tbl>
    <w:p w:rsidR="00013EB8" w:rsidRDefault="00013EB8">
      <w:pPr>
        <w:widowControl w:val="0"/>
        <w:tabs>
          <w:tab w:val="left" w:pos="0"/>
          <w:tab w:val="left" w:pos="144"/>
        </w:tabs>
        <w:rPr>
          <w:sz w:val="22"/>
        </w:rPr>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sz w:val="22"/>
        </w:rPr>
      </w:pPr>
      <w:r>
        <w:rPr>
          <w:b/>
          <w:bCs/>
          <w:i/>
          <w:iCs/>
        </w:rPr>
        <w:t>From 1/13/11 Rating Team POD:</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Cs/>
          <w:sz w:val="22"/>
        </w:rPr>
      </w:pPr>
      <w:r>
        <w:rPr>
          <w:iCs/>
        </w:rPr>
        <w:t>If a LOD shows willful misconduct, the veteran is not eligible for NSC pension for the injury found to be not LOD. </w:t>
      </w:r>
    </w:p>
    <w:p w:rsidR="00013EB8" w:rsidRDefault="00013EB8">
      <w:pPr>
        <w:widowControl w:val="0"/>
        <w:tabs>
          <w:tab w:val="left" w:pos="0"/>
          <w:tab w:val="left" w:pos="144"/>
        </w:tabs>
        <w:rPr>
          <w:sz w:val="22"/>
        </w:rPr>
      </w:pPr>
    </w:p>
    <w:p w:rsidR="00950263" w:rsidRPr="00FD6E82" w:rsidRDefault="00950263" w:rsidP="001D2218">
      <w:pPr>
        <w:widowControl w:val="0"/>
        <w:pBdr>
          <w:top w:val="single" w:sz="4" w:space="1" w:color="auto"/>
          <w:left w:val="single" w:sz="4" w:space="4" w:color="auto"/>
          <w:bottom w:val="single" w:sz="4" w:space="1" w:color="auto"/>
          <w:right w:val="single" w:sz="4" w:space="4" w:color="auto"/>
        </w:pBdr>
        <w:tabs>
          <w:tab w:val="left" w:pos="0"/>
          <w:tab w:val="left" w:pos="144"/>
        </w:tabs>
        <w:rPr>
          <w:i/>
          <w:sz w:val="18"/>
        </w:rPr>
      </w:pPr>
      <w:r w:rsidRPr="00FD6E82">
        <w:rPr>
          <w:b/>
        </w:rPr>
        <w:t>Pension grant / grantp&amp;t</w:t>
      </w:r>
      <w:r w:rsidRPr="00FD6E82">
        <w:rPr>
          <w:i/>
        </w:rPr>
        <w:t xml:space="preserve"> </w:t>
      </w:r>
      <w:r>
        <w:rPr>
          <w:i/>
        </w:rPr>
        <w:t>(</w:t>
      </w:r>
      <w:r>
        <w:rPr>
          <w:bCs/>
          <w:i/>
        </w:rPr>
        <w:t xml:space="preserve">Pension decisions </w:t>
      </w:r>
      <w:r w:rsidRPr="007A4EEB">
        <w:rPr>
          <w:bCs/>
          <w:i/>
        </w:rPr>
        <w:t xml:space="preserve">need Long Form Narrative, per </w:t>
      </w:r>
      <w:r w:rsidRPr="007A4EEB">
        <w:rPr>
          <w:b/>
          <w:bCs/>
        </w:rPr>
        <w:t>III.iv.6.C.7.a</w:t>
      </w:r>
      <w:r>
        <w:rPr>
          <w:i/>
        </w:rPr>
        <w:t>):</w:t>
      </w:r>
    </w:p>
    <w:p w:rsidR="00C82E78" w:rsidRPr="00FD6E82" w:rsidRDefault="00C82E78" w:rsidP="001D2218">
      <w:pPr>
        <w:widowControl w:val="0"/>
        <w:pBdr>
          <w:top w:val="single" w:sz="4" w:space="1" w:color="auto"/>
          <w:left w:val="single" w:sz="4" w:space="4" w:color="auto"/>
          <w:bottom w:val="single" w:sz="4" w:space="1" w:color="auto"/>
          <w:right w:val="single" w:sz="4" w:space="4" w:color="auto"/>
        </w:pBdr>
        <w:tabs>
          <w:tab w:val="left" w:pos="0"/>
          <w:tab w:val="left" w:pos="144"/>
        </w:tabs>
      </w:pPr>
    </w:p>
    <w:p w:rsidR="008A680C" w:rsidRPr="00FD6E82" w:rsidRDefault="00C551BE" w:rsidP="008A680C">
      <w:pPr>
        <w:widowControl w:val="0"/>
        <w:pBdr>
          <w:top w:val="single" w:sz="4" w:space="1" w:color="auto"/>
          <w:left w:val="single" w:sz="4" w:space="4" w:color="auto"/>
          <w:bottom w:val="single" w:sz="4" w:space="1" w:color="auto"/>
          <w:right w:val="single" w:sz="4" w:space="4" w:color="auto"/>
        </w:pBdr>
        <w:tabs>
          <w:tab w:val="left" w:pos="0"/>
          <w:tab w:val="left" w:pos="144"/>
        </w:tabs>
        <w:rPr>
          <w:b/>
          <w:sz w:val="18"/>
        </w:rPr>
      </w:pPr>
      <w:r w:rsidRPr="00A11863">
        <w:rPr>
          <w:rFonts w:ascii="Verdana" w:hAnsi="Verdana"/>
          <w:b/>
          <w:szCs w:val="22"/>
          <w:highlight w:val="green"/>
        </w:rPr>
        <w:t>VBMS-R System-Generated Text</w:t>
      </w:r>
      <w:r w:rsidR="008A680C" w:rsidRPr="00FD6E82">
        <w:rPr>
          <w:rFonts w:ascii="Verdana" w:hAnsi="Verdana"/>
          <w:b/>
          <w:sz w:val="18"/>
          <w:szCs w:val="22"/>
        </w:rPr>
        <w:t>:</w:t>
      </w:r>
      <w:r w:rsidR="008A680C" w:rsidRPr="00FD6E82">
        <w:rPr>
          <w:b/>
          <w:sz w:val="18"/>
        </w:rPr>
        <w:t xml:space="preserve"> </w:t>
      </w:r>
    </w:p>
    <w:p w:rsidR="008A680C" w:rsidRPr="008A680C" w:rsidRDefault="008A680C" w:rsidP="008A680C">
      <w:pPr>
        <w:widowControl w:val="0"/>
        <w:pBdr>
          <w:top w:val="single" w:sz="4" w:space="1" w:color="auto"/>
          <w:left w:val="single" w:sz="4" w:space="4" w:color="auto"/>
          <w:bottom w:val="single" w:sz="4" w:space="1" w:color="auto"/>
          <w:right w:val="single" w:sz="4" w:space="4" w:color="auto"/>
        </w:pBdr>
        <w:tabs>
          <w:tab w:val="left" w:pos="0"/>
          <w:tab w:val="left" w:pos="144"/>
        </w:tabs>
      </w:pPr>
      <w:r w:rsidRPr="008A680C">
        <w:t>Entitlement to non-service-connected pension will be granted to Veterans who are basically eligible and who are unable to secure and follow a substantially gainful occupation by reason of disability, which is likely to be permanent.</w:t>
      </w:r>
    </w:p>
    <w:p w:rsidR="008A680C" w:rsidRPr="008A680C" w:rsidRDefault="008A680C" w:rsidP="008A680C">
      <w:pPr>
        <w:widowControl w:val="0"/>
        <w:pBdr>
          <w:top w:val="single" w:sz="4" w:space="1" w:color="auto"/>
          <w:left w:val="single" w:sz="4" w:space="4" w:color="auto"/>
          <w:bottom w:val="single" w:sz="4" w:space="1" w:color="auto"/>
          <w:right w:val="single" w:sz="4" w:space="4" w:color="auto"/>
        </w:pBdr>
        <w:tabs>
          <w:tab w:val="left" w:pos="0"/>
          <w:tab w:val="left" w:pos="144"/>
        </w:tabs>
      </w:pPr>
    </w:p>
    <w:p w:rsidR="008A680C" w:rsidRPr="008A680C" w:rsidRDefault="008A680C" w:rsidP="008A680C">
      <w:pPr>
        <w:widowControl w:val="0"/>
        <w:pBdr>
          <w:top w:val="single" w:sz="4" w:space="1" w:color="auto"/>
          <w:left w:val="single" w:sz="4" w:space="4" w:color="auto"/>
          <w:bottom w:val="single" w:sz="4" w:space="1" w:color="auto"/>
          <w:right w:val="single" w:sz="4" w:space="4" w:color="auto"/>
        </w:pBdr>
        <w:tabs>
          <w:tab w:val="left" w:pos="0"/>
          <w:tab w:val="left" w:pos="144"/>
        </w:tabs>
      </w:pPr>
      <w:r w:rsidRPr="008A680C">
        <w:t xml:space="preserve">The evidence shows that you are disabled due to </w:t>
      </w:r>
      <w:r>
        <w:t>{}</w:t>
      </w:r>
      <w:r w:rsidRPr="008A680C">
        <w:t xml:space="preserve">. Therefore, entitlement to non-service-connected pension benefits is established effective </w:t>
      </w:r>
      <w:r>
        <w:t>{}</w:t>
      </w:r>
      <w:r w:rsidRPr="008A680C">
        <w:t>.</w:t>
      </w:r>
    </w:p>
    <w:p w:rsidR="008A680C" w:rsidRDefault="008A680C" w:rsidP="001D2218">
      <w:pPr>
        <w:widowControl w:val="0"/>
        <w:pBdr>
          <w:top w:val="single" w:sz="4" w:space="1" w:color="auto"/>
          <w:left w:val="single" w:sz="4" w:space="4" w:color="auto"/>
          <w:bottom w:val="single" w:sz="4" w:space="1" w:color="auto"/>
          <w:right w:val="single" w:sz="4" w:space="4" w:color="auto"/>
        </w:pBdr>
        <w:tabs>
          <w:tab w:val="left" w:pos="0"/>
          <w:tab w:val="left" w:pos="144"/>
        </w:tabs>
        <w:rPr>
          <w:sz w:val="22"/>
        </w:rPr>
      </w:pPr>
    </w:p>
    <w:p w:rsidR="00C82E78" w:rsidRPr="008A680C" w:rsidRDefault="008A680C" w:rsidP="001D2218">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sidRPr="008A680C">
        <w:rPr>
          <w:i/>
        </w:rPr>
        <w:t>Possible additional paragraph for Long Form Narrative:</w:t>
      </w:r>
    </w:p>
    <w:p w:rsidR="006F641A" w:rsidRPr="00FD6E82" w:rsidRDefault="00013EB8" w:rsidP="001D2218">
      <w:pPr>
        <w:widowControl w:val="0"/>
        <w:pBdr>
          <w:top w:val="single" w:sz="4" w:space="1" w:color="auto"/>
          <w:left w:val="single" w:sz="4" w:space="4" w:color="auto"/>
          <w:bottom w:val="single" w:sz="4" w:space="1" w:color="auto"/>
          <w:right w:val="single" w:sz="4" w:space="4" w:color="auto"/>
        </w:pBdr>
        <w:tabs>
          <w:tab w:val="left" w:pos="0"/>
          <w:tab w:val="left" w:pos="144"/>
        </w:tabs>
      </w:pPr>
      <w:r w:rsidRPr="00FD6E82">
        <w:t>We have granted entitlement to a nonservice connected permanent and total evaluation as the evidence shows that you are unable to secure and follow a substantially gainful</w:t>
      </w:r>
      <w:r w:rsidR="00C70D9F">
        <w:t xml:space="preserve"> occupation due to disability. The evidence shows y</w:t>
      </w:r>
      <w:r w:rsidRPr="00FD6E82">
        <w:t>ou a</w:t>
      </w:r>
      <w:r w:rsidR="00E0388B" w:rsidRPr="00FD6E82">
        <w:t xml:space="preserve">re </w:t>
      </w:r>
      <w:r w:rsidR="00A46221" w:rsidRPr="00FD6E82">
        <w:t>{}</w:t>
      </w:r>
      <w:r w:rsidR="00C70D9F">
        <w:t xml:space="preserve"> years old and</w:t>
      </w:r>
      <w:r w:rsidR="00E0388B" w:rsidRPr="00FD6E82">
        <w:t xml:space="preserve"> you last worke</w:t>
      </w:r>
      <w:r w:rsidRPr="00FD6E82">
        <w:t>d</w:t>
      </w:r>
      <w:r w:rsidR="00E0388B" w:rsidRPr="00FD6E82">
        <w:t xml:space="preserve"> </w:t>
      </w:r>
      <w:r w:rsidRPr="00FD6E82">
        <w:t xml:space="preserve">in </w:t>
      </w:r>
      <w:r w:rsidR="00A46221" w:rsidRPr="00FD6E82">
        <w:t>{}</w:t>
      </w:r>
      <w:r w:rsidR="00A965FE">
        <w:t xml:space="preserve"> as a {}</w:t>
      </w:r>
      <w:r w:rsidR="00C70D9F">
        <w:t>. T</w:t>
      </w:r>
      <w:r w:rsidRPr="00FD6E82">
        <w:t xml:space="preserve">he {treatment records} show you are permanently disabled due to </w:t>
      </w:r>
      <w:r w:rsidR="00A46221" w:rsidRPr="00FD6E82">
        <w:t>{}</w:t>
      </w:r>
      <w:r w:rsidR="006F641A" w:rsidRPr="00FD6E82">
        <w:t>.</w:t>
      </w:r>
      <w:r w:rsidR="00A965FE">
        <w:t xml:space="preserve"> </w:t>
      </w:r>
      <w:r w:rsidR="00A965FE" w:rsidRPr="00A965FE">
        <w:t xml:space="preserve">You are entitled to pension effective </w:t>
      </w:r>
      <w:r w:rsidR="00A965FE">
        <w:t>{}</w:t>
      </w:r>
      <w:r w:rsidR="00A965FE" w:rsidRPr="00A965FE">
        <w:t>, the day VA received your claim for pension.</w:t>
      </w:r>
    </w:p>
    <w:p w:rsidR="006F641A" w:rsidRDefault="006F641A" w:rsidP="001D2218">
      <w:pPr>
        <w:widowControl w:val="0"/>
        <w:pBdr>
          <w:top w:val="single" w:sz="4" w:space="1" w:color="auto"/>
          <w:left w:val="single" w:sz="4" w:space="4" w:color="auto"/>
          <w:bottom w:val="single" w:sz="4" w:space="1" w:color="auto"/>
          <w:right w:val="single" w:sz="4" w:space="4" w:color="auto"/>
        </w:pBdr>
        <w:tabs>
          <w:tab w:val="left" w:pos="0"/>
          <w:tab w:val="left" w:pos="144"/>
        </w:tabs>
        <w:rPr>
          <w:sz w:val="22"/>
        </w:rPr>
      </w:pPr>
    </w:p>
    <w:p w:rsidR="006F641A" w:rsidRPr="006F641A" w:rsidRDefault="00472785" w:rsidP="001D2218">
      <w:pPr>
        <w:widowControl w:val="0"/>
        <w:pBdr>
          <w:top w:val="single" w:sz="4" w:space="1" w:color="auto"/>
          <w:left w:val="single" w:sz="4" w:space="4" w:color="auto"/>
          <w:bottom w:val="single" w:sz="4" w:space="1" w:color="auto"/>
          <w:right w:val="single" w:sz="4" w:space="4" w:color="auto"/>
        </w:pBdr>
        <w:tabs>
          <w:tab w:val="left" w:pos="0"/>
          <w:tab w:val="left" w:pos="144"/>
        </w:tabs>
        <w:rPr>
          <w:sz w:val="22"/>
        </w:rPr>
      </w:pPr>
      <w:r>
        <w:rPr>
          <w:rFonts w:ascii="Verdana" w:hAnsi="Verdana"/>
          <w:b/>
          <w:bCs/>
          <w:highlight w:val="green"/>
        </w:rPr>
        <w:t>EXAMG</w:t>
      </w:r>
      <w:r w:rsidRPr="001D615F">
        <w:rPr>
          <w:bCs/>
        </w:rPr>
        <w:t xml:space="preserve"> &amp;</w:t>
      </w:r>
      <w:r w:rsidRPr="001D615F">
        <w:rPr>
          <w:rFonts w:ascii="Verdana" w:hAnsi="Verdana"/>
          <w:b/>
          <w:bCs/>
        </w:rPr>
        <w:t xml:space="preserve"> </w:t>
      </w:r>
      <w:r>
        <w:rPr>
          <w:rFonts w:ascii="Verdana" w:hAnsi="Verdana"/>
          <w:b/>
          <w:bCs/>
          <w:highlight w:val="green"/>
        </w:rPr>
        <w:t>PT-65</w:t>
      </w:r>
      <w:r w:rsidRPr="001D615F">
        <w:rPr>
          <w:bCs/>
        </w:rPr>
        <w:t xml:space="preserve"> &amp;</w:t>
      </w:r>
      <w:r w:rsidRPr="001D615F">
        <w:rPr>
          <w:rFonts w:ascii="Verdana" w:hAnsi="Verdana"/>
          <w:b/>
          <w:bCs/>
        </w:rPr>
        <w:t xml:space="preserve"> </w:t>
      </w:r>
      <w:r>
        <w:rPr>
          <w:rFonts w:ascii="Verdana" w:hAnsi="Verdana"/>
          <w:b/>
          <w:bCs/>
          <w:highlight w:val="green"/>
        </w:rPr>
        <w:t xml:space="preserve">PT-EX </w:t>
      </w:r>
      <w:r w:rsidRPr="00494A88">
        <w:rPr>
          <w:bCs/>
        </w:rPr>
        <w:t xml:space="preserve"> &amp;</w:t>
      </w:r>
      <w:r w:rsidRPr="00494A88">
        <w:rPr>
          <w:rFonts w:ascii="Verdana" w:hAnsi="Verdana"/>
          <w:b/>
          <w:bCs/>
        </w:rPr>
        <w:t xml:space="preserve"> </w:t>
      </w:r>
      <w:r>
        <w:rPr>
          <w:rFonts w:ascii="Verdana" w:hAnsi="Verdana"/>
          <w:b/>
          <w:bCs/>
          <w:highlight w:val="green"/>
        </w:rPr>
        <w:t>PT-MED</w:t>
      </w:r>
    </w:p>
    <w:p w:rsidR="006F641A" w:rsidRDefault="006F641A" w:rsidP="001D2218">
      <w:pPr>
        <w:widowControl w:val="0"/>
        <w:pBdr>
          <w:top w:val="single" w:sz="4" w:space="1" w:color="auto"/>
          <w:left w:val="single" w:sz="4" w:space="4" w:color="auto"/>
          <w:bottom w:val="single" w:sz="4" w:space="1" w:color="auto"/>
          <w:right w:val="single" w:sz="4" w:space="4" w:color="auto"/>
        </w:pBdr>
        <w:tabs>
          <w:tab w:val="left" w:pos="0"/>
          <w:tab w:val="left" w:pos="144"/>
        </w:tabs>
        <w:rPr>
          <w:i/>
          <w:sz w:val="22"/>
        </w:rPr>
      </w:pPr>
    </w:p>
    <w:p w:rsidR="00013EB8" w:rsidRPr="00FD6E82" w:rsidRDefault="00013EB8" w:rsidP="001D2218">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sidRPr="00FD6E82">
        <w:rPr>
          <w:i/>
        </w:rPr>
        <w:t>add, if needed:</w:t>
      </w:r>
    </w:p>
    <w:p w:rsidR="00013EB8" w:rsidRPr="00FD6E82" w:rsidRDefault="00013EB8" w:rsidP="001D2218">
      <w:pPr>
        <w:widowControl w:val="0"/>
        <w:pBdr>
          <w:top w:val="single" w:sz="4" w:space="1" w:color="auto"/>
          <w:left w:val="single" w:sz="4" w:space="4" w:color="auto"/>
          <w:bottom w:val="single" w:sz="4" w:space="1" w:color="auto"/>
          <w:right w:val="single" w:sz="4" w:space="4" w:color="auto"/>
        </w:pBdr>
        <w:tabs>
          <w:tab w:val="left" w:pos="0"/>
          <w:tab w:val="left" w:pos="144"/>
        </w:tabs>
      </w:pPr>
      <w:r w:rsidRPr="00FD6E82">
        <w:t>Although you do not meet the schedular requirements of a single disability ratable at 60 percent or more, or two or more disabilities combining to 70 percent with at least one ratable at 40 percent, considering the level of disability and other factors, such as your age, education and occupational background, an extraschedular permanent and total disability rating is authorized subject to approval by the Adjudication Officer.</w:t>
      </w:r>
    </w:p>
    <w:p w:rsidR="00013EB8" w:rsidRPr="00FD6E82" w:rsidRDefault="00013EB8" w:rsidP="001D2218">
      <w:pPr>
        <w:widowControl w:val="0"/>
        <w:pBdr>
          <w:top w:val="single" w:sz="4" w:space="1" w:color="auto"/>
          <w:left w:val="single" w:sz="4" w:space="4" w:color="auto"/>
          <w:bottom w:val="single" w:sz="4" w:space="1" w:color="auto"/>
          <w:right w:val="single" w:sz="4" w:space="4" w:color="auto"/>
        </w:pBdr>
        <w:tabs>
          <w:tab w:val="left" w:pos="0"/>
          <w:tab w:val="left" w:pos="144"/>
        </w:tabs>
        <w:outlineLvl w:val="0"/>
      </w:pPr>
      <w:r w:rsidRPr="00FD6E82">
        <w:t>Or</w:t>
      </w:r>
    </w:p>
    <w:p w:rsidR="00013EB8" w:rsidRPr="00FD6E82" w:rsidRDefault="00013EB8" w:rsidP="001D2218">
      <w:pPr>
        <w:widowControl w:val="0"/>
        <w:pBdr>
          <w:top w:val="single" w:sz="4" w:space="1" w:color="auto"/>
          <w:left w:val="single" w:sz="4" w:space="4" w:color="auto"/>
          <w:bottom w:val="single" w:sz="4" w:space="1" w:color="auto"/>
          <w:right w:val="single" w:sz="4" w:space="4" w:color="auto"/>
        </w:pBdr>
        <w:tabs>
          <w:tab w:val="left" w:pos="0"/>
          <w:tab w:val="left" w:pos="144"/>
        </w:tabs>
        <w:outlineLvl w:val="0"/>
      </w:pPr>
      <w:r w:rsidRPr="00FD6E82">
        <w:t>Although you do not meet the schedular requirements of a single disability ratable at 60 percent or more, or two or more disabilities combining to 70 percent with at least one ratable at 40 percent, you have multiple disabilities from {a common etiology, a single body system, multiple injuries incurred in action, multiple disabilities incurred as a prisoner of war, or disabilities of one or both of the upper or lower extremities} {that combine to 60 percent or that combine to 40 percent with additional disabilities bringing the combined evaluation to 70 percent}, so entitlement to pension benefits is granted.</w:t>
      </w:r>
    </w:p>
    <w:p w:rsidR="00013EB8" w:rsidRPr="00FD6E82" w:rsidRDefault="00013EB8">
      <w:pPr>
        <w:widowControl w:val="0"/>
        <w:tabs>
          <w:tab w:val="left" w:pos="0"/>
          <w:tab w:val="left" w:pos="144"/>
        </w:tabs>
        <w:rPr>
          <w:i/>
        </w:rPr>
      </w:pPr>
    </w:p>
    <w:p w:rsidR="00950263" w:rsidRDefault="00950263" w:rsidP="00950263">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sidRPr="00FD6E82">
        <w:rPr>
          <w:b/>
        </w:rPr>
        <w:t xml:space="preserve">Pension denial / </w:t>
      </w:r>
      <w:r w:rsidR="00013EB8" w:rsidRPr="00FD6E82">
        <w:rPr>
          <w:b/>
        </w:rPr>
        <w:t>denyp&amp;t</w:t>
      </w:r>
      <w:r w:rsidR="00013EB8" w:rsidRPr="00FD6E82">
        <w:rPr>
          <w:i/>
        </w:rPr>
        <w:t xml:space="preserve"> </w:t>
      </w:r>
      <w:r>
        <w:rPr>
          <w:i/>
        </w:rPr>
        <w:t>(</w:t>
      </w:r>
      <w:r>
        <w:rPr>
          <w:bCs/>
          <w:i/>
        </w:rPr>
        <w:t xml:space="preserve">Pension decisions </w:t>
      </w:r>
      <w:r w:rsidRPr="007A4EEB">
        <w:rPr>
          <w:bCs/>
          <w:i/>
        </w:rPr>
        <w:t xml:space="preserve">need Long Form Narrative, per </w:t>
      </w:r>
      <w:r w:rsidRPr="007A4EEB">
        <w:rPr>
          <w:b/>
          <w:bCs/>
        </w:rPr>
        <w:t>III.iv.6.C.7.a</w:t>
      </w:r>
      <w:r>
        <w:rPr>
          <w:i/>
        </w:rPr>
        <w:t>):</w:t>
      </w:r>
    </w:p>
    <w:p w:rsidR="00013EB8"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rPr>
          <w:i/>
          <w:sz w:val="22"/>
        </w:rPr>
      </w:pP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sidRPr="00FD6E82">
        <w:rPr>
          <w:i/>
        </w:rPr>
        <w:t>*usually only deny if failed to report &amp; have no treatment records, or if young &amp; have few disabilities (as of March</w:t>
      </w:r>
      <w:r w:rsidR="00B242E3" w:rsidRPr="00FD6E82">
        <w:rPr>
          <w:i/>
        </w:rPr>
        <w:t xml:space="preserve"> 2012, per VSCM)</w:t>
      </w: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pPr>
      <w:r w:rsidRPr="00FD6E82">
        <w:t xml:space="preserve">We have considered but not established an evaluation of permanent and total disability for entitlement to nonservice-connected disability pension. We will assign a rating of permanent and total disability to veterans who are basically eligible and who are unable to secure and follow a substantially gainful occupation by reason of disability which is likely to be permanent. Permanent and total disability for pension purposes is held to exist when a veteran is, in the judgment of the rating agency, unable to secure or follow a substantially gainful occupation as the result of such disability(ies). </w:t>
      </w: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pP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pPr>
      <w:r w:rsidRPr="00FD6E82">
        <w:t xml:space="preserve">Permanent and total disability for pension purposes is held to exist when there is a single disability ratable at 60 percent or more, or where there are two or more disabilities with a combined evaluation of 70 percent or more, with at least one of the disabilities rated at least 40 percent, and the veteran is, in the judgment of the rating agency, unable to secure or follow a substantially gainful occupation as the result of such disability(ies). </w:t>
      </w: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pP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pPr>
      <w:r w:rsidRPr="00FD6E82">
        <w:t xml:space="preserve">You have disabilities which combine to a total evaluation of </w:t>
      </w:r>
      <w:r w:rsidR="00A46221" w:rsidRPr="00FD6E82">
        <w:t>{}</w:t>
      </w:r>
      <w:r w:rsidRPr="00FD6E82">
        <w:t xml:space="preserve"> percent and do not meet the above requirements. The combined evaluation is not the result of simply adding the individual disability evaluations. It is computed based on a table designed to measure the overall efficiency of the average person as affected first by the most disabling condition, then by other, less disabling conditions, in the order of severity. </w:t>
      </w: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pP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pPr>
      <w:r w:rsidRPr="00FD6E82">
        <w:t xml:space="preserve">Where the evidence fails to establish the basic disability percentage requirements, consideration will be given to extraschedular entitlement to nonservice-connected pension based on such factors as the degree and nature of the disability, the veteran's age, educational and occupational background or other factors pertinent to the individual case.  </w:t>
      </w: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pPr>
    </w:p>
    <w:p w:rsidR="00013EB8" w:rsidRPr="00FD6E82" w:rsidRDefault="00013EB8" w:rsidP="00950263">
      <w:pPr>
        <w:widowControl w:val="0"/>
        <w:pBdr>
          <w:top w:val="single" w:sz="4" w:space="1" w:color="auto"/>
          <w:left w:val="single" w:sz="4" w:space="4" w:color="auto"/>
          <w:bottom w:val="single" w:sz="4" w:space="1" w:color="auto"/>
          <w:right w:val="single" w:sz="4" w:space="4" w:color="auto"/>
        </w:pBdr>
        <w:tabs>
          <w:tab w:val="left" w:pos="0"/>
          <w:tab w:val="left" w:pos="144"/>
        </w:tabs>
      </w:pPr>
      <w:r w:rsidRPr="00FD6E82">
        <w:t xml:space="preserve">The evidence of record shows that you are </w:t>
      </w:r>
      <w:r w:rsidR="00A46221" w:rsidRPr="00FD6E82">
        <w:t>{}</w:t>
      </w:r>
      <w:r w:rsidRPr="00FD6E82">
        <w:t xml:space="preserve"> years of age, have a level of education reported as </w:t>
      </w:r>
      <w:r w:rsidR="00A46221" w:rsidRPr="00FD6E82">
        <w:t>{}</w:t>
      </w:r>
      <w:r w:rsidRPr="00FD6E82">
        <w:t xml:space="preserve"> years of </w:t>
      </w:r>
      <w:r w:rsidR="00A46221" w:rsidRPr="00FD6E82">
        <w:t>{}</w:t>
      </w:r>
      <w:r w:rsidRPr="00FD6E82">
        <w:t xml:space="preserve">, and you last </w:t>
      </w:r>
      <w:r w:rsidRPr="00FD6E82">
        <w:rPr>
          <w:szCs w:val="22"/>
        </w:rPr>
        <w:t xml:space="preserve">worked in </w:t>
      </w:r>
      <w:r w:rsidR="00A46221" w:rsidRPr="00FD6E82">
        <w:rPr>
          <w:szCs w:val="22"/>
        </w:rPr>
        <w:t>{}</w:t>
      </w:r>
      <w:r w:rsidRPr="00FD6E82">
        <w:rPr>
          <w:szCs w:val="22"/>
        </w:rPr>
        <w:t xml:space="preserve"> as a </w:t>
      </w:r>
      <w:r w:rsidR="00A46221" w:rsidRPr="00FD6E82">
        <w:rPr>
          <w:szCs w:val="22"/>
        </w:rPr>
        <w:t>{}</w:t>
      </w:r>
      <w:r w:rsidR="003959E5">
        <w:rPr>
          <w:szCs w:val="22"/>
        </w:rPr>
        <w:t>. T</w:t>
      </w:r>
      <w:r w:rsidRPr="00FD6E82">
        <w:rPr>
          <w:szCs w:val="22"/>
        </w:rPr>
        <w:t>he {evidence</w:t>
      </w:r>
      <w:r w:rsidR="00B242E3" w:rsidRPr="00FD6E82">
        <w:rPr>
          <w:szCs w:val="22"/>
        </w:rPr>
        <w:t xml:space="preserve"> </w:t>
      </w:r>
      <w:r w:rsidRPr="00FD6E82">
        <w:rPr>
          <w:szCs w:val="22"/>
        </w:rPr>
        <w:t>/</w:t>
      </w:r>
      <w:r w:rsidR="00F50892" w:rsidRPr="00FD6E82">
        <w:rPr>
          <w:szCs w:val="22"/>
        </w:rPr>
        <w:t xml:space="preserve"> </w:t>
      </w:r>
      <w:r w:rsidR="00AC28AF">
        <w:rPr>
          <w:szCs w:val="22"/>
        </w:rPr>
        <w:t>DBQ</w:t>
      </w:r>
      <w:r w:rsidR="00F50892" w:rsidRPr="00FD6E82">
        <w:rPr>
          <w:szCs w:val="22"/>
        </w:rPr>
        <w:t xml:space="preserve"> </w:t>
      </w:r>
      <w:r w:rsidRPr="00FD6E82">
        <w:rPr>
          <w:szCs w:val="22"/>
        </w:rPr>
        <w:t>/</w:t>
      </w:r>
      <w:r w:rsidR="00B242E3" w:rsidRPr="00FD6E82">
        <w:rPr>
          <w:szCs w:val="22"/>
        </w:rPr>
        <w:t xml:space="preserve"> </w:t>
      </w:r>
      <w:r w:rsidRPr="00FD6E82">
        <w:rPr>
          <w:szCs w:val="22"/>
        </w:rPr>
        <w:t>treatment records} fail(s) to demonstrate that you are unable to secure or follow a substantially gainful occupation as the result of</w:t>
      </w:r>
      <w:r w:rsidRPr="00FD6E82">
        <w:t xml:space="preserve"> disability, so we cannot establish entitlement to nonservice-connected disability pension.</w:t>
      </w:r>
    </w:p>
    <w:p w:rsidR="009723A9" w:rsidRDefault="009723A9" w:rsidP="00950263">
      <w:pPr>
        <w:widowControl w:val="0"/>
        <w:pBdr>
          <w:top w:val="single" w:sz="4" w:space="1" w:color="auto"/>
          <w:left w:val="single" w:sz="4" w:space="4" w:color="auto"/>
          <w:bottom w:val="single" w:sz="4" w:space="1" w:color="auto"/>
          <w:right w:val="single" w:sz="4" w:space="4" w:color="auto"/>
        </w:pBdr>
        <w:tabs>
          <w:tab w:val="left" w:pos="0"/>
          <w:tab w:val="left" w:pos="144"/>
        </w:tabs>
        <w:rPr>
          <w:sz w:val="22"/>
        </w:rPr>
      </w:pPr>
    </w:p>
    <w:p w:rsidR="009723A9" w:rsidRDefault="001D615F" w:rsidP="00950263">
      <w:pPr>
        <w:widowControl w:val="0"/>
        <w:pBdr>
          <w:top w:val="single" w:sz="4" w:space="1" w:color="auto"/>
          <w:left w:val="single" w:sz="4" w:space="4" w:color="auto"/>
          <w:bottom w:val="single" w:sz="4" w:space="1" w:color="auto"/>
          <w:right w:val="single" w:sz="4" w:space="4" w:color="auto"/>
        </w:pBdr>
        <w:tabs>
          <w:tab w:val="left" w:pos="0"/>
          <w:tab w:val="left" w:pos="144"/>
        </w:tabs>
        <w:rPr>
          <w:sz w:val="22"/>
        </w:rPr>
      </w:pPr>
      <w:r w:rsidRPr="001D615F">
        <w:rPr>
          <w:bCs/>
        </w:rPr>
        <w:t>also see</w:t>
      </w:r>
      <w:r>
        <w:rPr>
          <w:bCs/>
        </w:rPr>
        <w:t xml:space="preserve"> </w:t>
      </w:r>
      <w:r w:rsidR="009723A9">
        <w:rPr>
          <w:rFonts w:ascii="Verdana" w:hAnsi="Verdana"/>
          <w:b/>
          <w:bCs/>
          <w:highlight w:val="green"/>
        </w:rPr>
        <w:t>PT-D</w:t>
      </w:r>
    </w:p>
    <w:p w:rsidR="00013EB8" w:rsidRDefault="00013EB8">
      <w:pPr>
        <w:widowControl w:val="0"/>
        <w:tabs>
          <w:tab w:val="left" w:pos="0"/>
          <w:tab w:val="left" w:pos="144"/>
        </w:tabs>
        <w:rPr>
          <w:sz w:val="22"/>
        </w:rPr>
      </w:pPr>
    </w:p>
    <w:p w:rsidR="00013EB8" w:rsidRDefault="00013EB8">
      <w:pPr>
        <w:widowControl w:val="0"/>
        <w:numPr>
          <w:ilvl w:val="12"/>
          <w:numId w:val="0"/>
        </w:numPr>
        <w:pBdr>
          <w:top w:val="single" w:sz="4" w:space="1" w:color="auto"/>
        </w:pBdr>
        <w:tabs>
          <w:tab w:val="left" w:pos="0"/>
        </w:tabs>
        <w:rPr>
          <w:b/>
          <w:bCs/>
          <w:i/>
          <w:iCs/>
          <w:sz w:val="22"/>
        </w:rPr>
      </w:pPr>
    </w:p>
    <w:p w:rsidR="00013EB8" w:rsidRDefault="00013EB8">
      <w:pPr>
        <w:widowControl w:val="0"/>
        <w:numPr>
          <w:ilvl w:val="12"/>
          <w:numId w:val="0"/>
        </w:numPr>
        <w:tabs>
          <w:tab w:val="left" w:pos="0"/>
        </w:tabs>
        <w:rPr>
          <w:b/>
          <w:bCs/>
          <w:i/>
          <w:iCs/>
          <w:sz w:val="22"/>
        </w:rPr>
      </w:pPr>
      <w:bookmarkStart w:id="152" w:name="SMP"/>
      <w:r>
        <w:rPr>
          <w:b/>
          <w:bCs/>
          <w:i/>
          <w:iCs/>
          <w:sz w:val="22"/>
        </w:rPr>
        <w:t xml:space="preserve">Special Monthly Pension (SMP) </w:t>
      </w:r>
      <w:bookmarkEnd w:id="152"/>
      <w:r>
        <w:rPr>
          <w:b/>
          <w:bCs/>
          <w:i/>
          <w:iCs/>
          <w:sz w:val="22"/>
        </w:rPr>
        <w:t>-</w:t>
      </w:r>
    </w:p>
    <w:p w:rsidR="00013EB8" w:rsidRDefault="00013EB8">
      <w:pPr>
        <w:widowControl w:val="0"/>
        <w:tabs>
          <w:tab w:val="left" w:pos="0"/>
          <w:tab w:val="left" w:pos="144"/>
        </w:tabs>
        <w:rPr>
          <w:sz w:val="22"/>
        </w:rPr>
      </w:pPr>
    </w:p>
    <w:p w:rsidR="00013EB8" w:rsidRDefault="00013EB8" w:rsidP="00F063AF">
      <w:pPr>
        <w:widowControl w:val="0"/>
        <w:numPr>
          <w:ilvl w:val="0"/>
          <w:numId w:val="120"/>
        </w:numPr>
        <w:tabs>
          <w:tab w:val="clear" w:pos="720"/>
          <w:tab w:val="left" w:pos="400"/>
          <w:tab w:val="left" w:pos="500"/>
        </w:tabs>
        <w:spacing w:after="120"/>
        <w:ind w:left="400"/>
        <w:rPr>
          <w:b/>
          <w:bCs/>
          <w:i/>
          <w:iCs/>
        </w:rPr>
      </w:pPr>
      <w:r w:rsidRPr="005B0ECF">
        <w:rPr>
          <w:b/>
          <w:bCs/>
        </w:rPr>
        <w:t>V.ii.3.1</w:t>
      </w:r>
      <w:r>
        <w:rPr>
          <w:b/>
          <w:bCs/>
        </w:rPr>
        <w:t xml:space="preserve"> – A&amp;A -</w:t>
      </w:r>
      <w:r>
        <w:t xml:space="preserve"> </w:t>
      </w:r>
      <w:r w:rsidR="00394924">
        <w:t>as of 11/20/15</w:t>
      </w:r>
      <w:r w:rsidR="00EE6BBC">
        <w:t xml:space="preserve"> -</w:t>
      </w:r>
      <w:r w:rsidR="00394924">
        <w:t xml:space="preserve"> there is no need for a 100% </w:t>
      </w:r>
      <w:r w:rsidR="00394924" w:rsidRPr="00906ADE">
        <w:t>disability</w:t>
      </w:r>
      <w:r w:rsidRPr="00906ADE">
        <w:t>; t</w:t>
      </w:r>
      <w:r>
        <w:t xml:space="preserve">he need for A&amp;A does not have to be permanent; no rating is needed for the issue of A&amp;A when the veteran is a patient in a nursing home </w:t>
      </w:r>
      <w:r>
        <w:rPr>
          <w:i/>
          <w:iCs/>
        </w:rPr>
        <w:t>(cannot be an assisted living facility)</w:t>
      </w:r>
      <w:r w:rsidR="00B3030B">
        <w:rPr>
          <w:iCs/>
        </w:rPr>
        <w:t xml:space="preserve">; </w:t>
      </w:r>
      <w:r w:rsidR="00814596" w:rsidRPr="00814596">
        <w:rPr>
          <w:i/>
          <w:iCs/>
          <w:color w:val="00B050"/>
        </w:rPr>
        <w:t xml:space="preserve">My Notes:  </w:t>
      </w:r>
      <w:r w:rsidR="00814596">
        <w:rPr>
          <w:i/>
          <w:iCs/>
        </w:rPr>
        <w:t>In some situations, it</w:t>
      </w:r>
      <w:r w:rsidR="00B3030B" w:rsidRPr="00814596">
        <w:rPr>
          <w:i/>
          <w:iCs/>
        </w:rPr>
        <w:t xml:space="preserve"> seems that you can tell the VSR to do an administrative grant of pension, then just do a rating for SMP A&amp;A</w:t>
      </w:r>
      <w:r w:rsidR="00814596" w:rsidRPr="00814596">
        <w:rPr>
          <w:i/>
          <w:iCs/>
        </w:rPr>
        <w:t xml:space="preserve"> (it’s not explicit in the manual</w:t>
      </w:r>
      <w:r w:rsidR="009404E4">
        <w:rPr>
          <w:i/>
          <w:iCs/>
        </w:rPr>
        <w:t xml:space="preserve"> &amp; </w:t>
      </w:r>
      <w:r w:rsidR="009404E4" w:rsidRPr="009404E4">
        <w:rPr>
          <w:b/>
          <w:szCs w:val="21"/>
        </w:rPr>
        <w:t>V.ii.3.1.c</w:t>
      </w:r>
      <w:r w:rsidR="009404E4" w:rsidRPr="009404E4">
        <w:rPr>
          <w:szCs w:val="21"/>
        </w:rPr>
        <w:t xml:space="preserve"> </w:t>
      </w:r>
      <w:r w:rsidR="009404E4">
        <w:rPr>
          <w:i/>
          <w:iCs/>
        </w:rPr>
        <w:t>says to code disabilities &amp; show evaluations</w:t>
      </w:r>
      <w:r w:rsidR="00814596" w:rsidRPr="00814596">
        <w:rPr>
          <w:i/>
          <w:iCs/>
        </w:rPr>
        <w:t>, but RVSRs are doing it</w:t>
      </w:r>
      <w:r w:rsidR="009404E4">
        <w:rPr>
          <w:i/>
          <w:iCs/>
        </w:rPr>
        <w:t xml:space="preserve"> in certain situations</w:t>
      </w:r>
      <w:r w:rsidR="00814596" w:rsidRPr="00814596">
        <w:rPr>
          <w:i/>
          <w:iCs/>
        </w:rPr>
        <w:t>).</w:t>
      </w:r>
    </w:p>
    <w:p w:rsidR="00013EB8" w:rsidRDefault="00013EB8" w:rsidP="00F063AF">
      <w:pPr>
        <w:widowControl w:val="0"/>
        <w:numPr>
          <w:ilvl w:val="0"/>
          <w:numId w:val="120"/>
        </w:numPr>
        <w:tabs>
          <w:tab w:val="clear" w:pos="720"/>
          <w:tab w:val="left" w:pos="400"/>
          <w:tab w:val="left" w:pos="500"/>
        </w:tabs>
        <w:spacing w:after="120"/>
        <w:ind w:left="400"/>
        <w:rPr>
          <w:sz w:val="22"/>
        </w:rPr>
      </w:pPr>
      <w:r w:rsidRPr="005B0ECF">
        <w:rPr>
          <w:b/>
          <w:bCs/>
        </w:rPr>
        <w:t>V.ii.3.2</w:t>
      </w:r>
      <w:r>
        <w:rPr>
          <w:b/>
          <w:bCs/>
        </w:rPr>
        <w:t xml:space="preserve"> – HB -</w:t>
      </w:r>
      <w:r>
        <w:t xml:space="preserve"> Master Record has to show a permanent disability at 100% (4.16 applies, but unemployability under 4.17 does not apply; u</w:t>
      </w:r>
      <w:r w:rsidR="0016172E">
        <w:t xml:space="preserve">pheld by </w:t>
      </w:r>
      <w:r w:rsidR="0016172E" w:rsidRPr="0016172E">
        <w:rPr>
          <w:b/>
          <w:i/>
        </w:rPr>
        <w:t>Chandler v. Shiseki</w:t>
      </w:r>
      <w:r w:rsidR="001D2218">
        <w:t>); always need a rating</w:t>
      </w:r>
    </w:p>
    <w:p w:rsidR="00013EB8" w:rsidRDefault="00013EB8">
      <w:pPr>
        <w:widowControl w:val="0"/>
        <w:tabs>
          <w:tab w:val="left" w:pos="0"/>
          <w:tab w:val="left" w:pos="144"/>
        </w:tabs>
        <w:rPr>
          <w:sz w:val="22"/>
        </w:rPr>
      </w:pPr>
    </w:p>
    <w:p w:rsidR="00510E18" w:rsidRPr="000444CC" w:rsidRDefault="00510E18" w:rsidP="00510E18">
      <w:pPr>
        <w:widowControl w:val="0"/>
        <w:pBdr>
          <w:top w:val="single" w:sz="4" w:space="1" w:color="auto"/>
          <w:left w:val="single" w:sz="4" w:space="4" w:color="auto"/>
          <w:bottom w:val="single" w:sz="4" w:space="1" w:color="auto"/>
          <w:right w:val="single" w:sz="4" w:space="4" w:color="auto"/>
        </w:pBdr>
        <w:tabs>
          <w:tab w:val="left" w:pos="1080"/>
          <w:tab w:val="left" w:pos="1872"/>
        </w:tabs>
        <w:rPr>
          <w:i/>
        </w:rPr>
      </w:pPr>
      <w:r w:rsidRPr="000444CC">
        <w:rPr>
          <w:i/>
        </w:rPr>
        <w:t>denysmp:</w:t>
      </w:r>
    </w:p>
    <w:p w:rsidR="00510E18" w:rsidRPr="004A7CF9" w:rsidRDefault="00510E18" w:rsidP="00510E18">
      <w:pPr>
        <w:widowControl w:val="0"/>
        <w:pBdr>
          <w:top w:val="single" w:sz="4" w:space="1" w:color="auto"/>
          <w:left w:val="single" w:sz="4" w:space="4" w:color="auto"/>
          <w:bottom w:val="single" w:sz="4" w:space="1" w:color="auto"/>
          <w:right w:val="single" w:sz="4" w:space="4" w:color="auto"/>
        </w:pBdr>
        <w:tabs>
          <w:tab w:val="left" w:pos="1080"/>
          <w:tab w:val="left" w:pos="1872"/>
        </w:tabs>
        <w:rPr>
          <w:b/>
          <w:i/>
          <w:sz w:val="22"/>
        </w:rPr>
      </w:pPr>
      <w:r w:rsidRPr="004A7CF9">
        <w:rPr>
          <w:rFonts w:ascii="Verdana" w:hAnsi="Verdana"/>
          <w:b/>
          <w:szCs w:val="22"/>
          <w:highlight w:val="green"/>
        </w:rPr>
        <w:t xml:space="preserve">USE </w:t>
      </w:r>
      <w:r w:rsidR="00C551BE">
        <w:rPr>
          <w:rFonts w:ascii="Verdana" w:hAnsi="Verdana"/>
          <w:b/>
          <w:szCs w:val="22"/>
          <w:highlight w:val="green"/>
        </w:rPr>
        <w:t>VBMS-R System-Generated Text</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sz w:val="22"/>
        </w:rPr>
      </w:pPr>
      <w:r>
        <w:rPr>
          <w:sz w:val="22"/>
        </w:rPr>
        <w:t>___________________</w:t>
      </w:r>
    </w:p>
    <w:p w:rsidR="00013EB8" w:rsidRDefault="00013EB8">
      <w:pPr>
        <w:pStyle w:val="Heading7"/>
        <w:keepNext w:val="0"/>
        <w:widowControl w:val="0"/>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pPr>
      <w:r>
        <w:t xml:space="preserve">The veteran must have one disability evaluated at 100 percent disabling.  Although the </w:t>
      </w:r>
      <w:r w:rsidR="00A46221">
        <w:t>{}</w:t>
      </w:r>
      <w:r>
        <w:t xml:space="preserve"> shows that you need aid and attendance due to </w:t>
      </w:r>
      <w:r w:rsidR="00A46221">
        <w:t>{}</w:t>
      </w:r>
      <w:r>
        <w:t>, since you do not have one disability evaluated at 100 percent disabling, we cannot establish entitlement to special monthly pension based on aid and attendance.</w:t>
      </w:r>
    </w:p>
    <w:p w:rsidR="00C501B7" w:rsidRDefault="001D615F">
      <w:pPr>
        <w:widowControl w:val="0"/>
        <w:pBdr>
          <w:top w:val="single" w:sz="4" w:space="1" w:color="auto"/>
          <w:left w:val="single" w:sz="4" w:space="4" w:color="auto"/>
          <w:bottom w:val="single" w:sz="4" w:space="1" w:color="auto"/>
          <w:right w:val="single" w:sz="4" w:space="4" w:color="auto"/>
        </w:pBdr>
        <w:tabs>
          <w:tab w:val="left" w:pos="0"/>
          <w:tab w:val="left" w:pos="144"/>
        </w:tabs>
      </w:pPr>
      <w:r w:rsidRPr="001D615F">
        <w:rPr>
          <w:bCs/>
        </w:rPr>
        <w:t>also see</w:t>
      </w:r>
      <w:r>
        <w:rPr>
          <w:bCs/>
        </w:rPr>
        <w:t xml:space="preserve"> </w:t>
      </w:r>
      <w:r w:rsidR="00C501B7">
        <w:rPr>
          <w:rFonts w:ascii="Verdana" w:hAnsi="Verdana"/>
          <w:b/>
          <w:bCs/>
          <w:highlight w:val="green"/>
        </w:rPr>
        <w:t>PMC-</w:t>
      </w:r>
      <w:r w:rsidR="00C501B7" w:rsidRPr="00CC1867">
        <w:rPr>
          <w:rFonts w:ascii="Verdana" w:hAnsi="Verdana"/>
          <w:b/>
          <w:bCs/>
          <w:highlight w:val="green"/>
        </w:rPr>
        <w:t>AAD</w:t>
      </w:r>
      <w:r w:rsidR="00494A88" w:rsidRPr="00494A88">
        <w:rPr>
          <w:bCs/>
        </w:rPr>
        <w:t xml:space="preserve"> &amp;</w:t>
      </w:r>
      <w:r w:rsidR="00494A88" w:rsidRPr="00494A88">
        <w:rPr>
          <w:rFonts w:ascii="Verdana" w:hAnsi="Verdana"/>
          <w:b/>
          <w:bCs/>
        </w:rPr>
        <w:t xml:space="preserve"> </w:t>
      </w:r>
      <w:r w:rsidR="00CC1867" w:rsidRPr="00CC1867">
        <w:rPr>
          <w:rFonts w:ascii="Verdana" w:hAnsi="Verdana"/>
          <w:b/>
          <w:bCs/>
          <w:highlight w:val="green"/>
        </w:rPr>
        <w:t>PMC-SMPD</w:t>
      </w:r>
    </w:p>
    <w:p w:rsidR="00013EB8" w:rsidRDefault="00013EB8">
      <w:pPr>
        <w:widowControl w:val="0"/>
        <w:tabs>
          <w:tab w:val="left" w:pos="0"/>
          <w:tab w:val="left" w:pos="144"/>
        </w:tabs>
        <w:rPr>
          <w:sz w:val="22"/>
        </w:rPr>
      </w:pPr>
    </w:p>
    <w:p w:rsidR="00013EB8" w:rsidRDefault="00013EB8">
      <w:pPr>
        <w:widowControl w:val="0"/>
        <w:pBdr>
          <w:top w:val="single" w:sz="4" w:space="1" w:color="auto"/>
        </w:pBdr>
        <w:tabs>
          <w:tab w:val="left" w:pos="0"/>
          <w:tab w:val="left" w:pos="144"/>
        </w:tabs>
        <w:rPr>
          <w:b/>
          <w:bCs/>
          <w:i/>
          <w:iCs/>
          <w:sz w:val="22"/>
        </w:rPr>
      </w:pPr>
      <w:bookmarkStart w:id="153" w:name="SpecialProvisions"/>
    </w:p>
    <w:p w:rsidR="00013EB8" w:rsidRDefault="00013EB8">
      <w:pPr>
        <w:widowControl w:val="0"/>
        <w:pBdr>
          <w:top w:val="single" w:sz="4" w:space="1" w:color="auto"/>
        </w:pBdr>
        <w:tabs>
          <w:tab w:val="left" w:pos="0"/>
          <w:tab w:val="left" w:pos="144"/>
        </w:tabs>
        <w:rPr>
          <w:b/>
          <w:bCs/>
          <w:i/>
          <w:iCs/>
          <w:sz w:val="22"/>
        </w:rPr>
      </w:pPr>
      <w:r>
        <w:rPr>
          <w:b/>
          <w:bCs/>
          <w:i/>
          <w:iCs/>
          <w:sz w:val="22"/>
        </w:rPr>
        <w:t xml:space="preserve">Special Provision Determinations </w:t>
      </w:r>
      <w:bookmarkEnd w:id="153"/>
      <w:r>
        <w:rPr>
          <w:b/>
          <w:bCs/>
          <w:i/>
          <w:iCs/>
          <w:sz w:val="22"/>
        </w:rPr>
        <w:t>-</w:t>
      </w:r>
    </w:p>
    <w:p w:rsidR="00013EB8" w:rsidRDefault="00013EB8">
      <w:pPr>
        <w:widowControl w:val="0"/>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rPr>
          <w:trHeight w:val="470"/>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3.324</w:t>
            </w:r>
          </w:p>
        </w:tc>
        <w:tc>
          <w:tcPr>
            <w:tcW w:w="10270" w:type="dxa"/>
            <w:tcBorders>
              <w:top w:val="nil"/>
              <w:left w:val="nil"/>
              <w:bottom w:val="nil"/>
              <w:right w:val="nil"/>
            </w:tcBorders>
          </w:tcPr>
          <w:p w:rsidR="00013EB8" w:rsidRDefault="00013EB8">
            <w:pPr>
              <w:widowControl w:val="0"/>
              <w:spacing w:after="120"/>
            </w:pPr>
            <w:r>
              <w:rPr>
                <w:b/>
              </w:rPr>
              <w:t>Multiple noncompensable service-connected disabilities</w:t>
            </w:r>
            <w:r>
              <w:t xml:space="preserve"> – grant if two ore more permanent SC disabilities “interfere with normal employability”</w:t>
            </w:r>
          </w:p>
          <w:p w:rsidR="00645488" w:rsidRPr="00645488" w:rsidRDefault="00645488" w:rsidP="00F063AF">
            <w:pPr>
              <w:pStyle w:val="BodyText"/>
              <w:widowControl w:val="0"/>
              <w:numPr>
                <w:ilvl w:val="0"/>
                <w:numId w:val="85"/>
              </w:numPr>
              <w:tabs>
                <w:tab w:val="clear" w:pos="720"/>
                <w:tab w:val="num" w:pos="330"/>
              </w:tabs>
              <w:spacing w:after="120"/>
              <w:ind w:left="330"/>
              <w:rPr>
                <w:sz w:val="16"/>
              </w:rPr>
            </w:pPr>
            <w:r w:rsidRPr="00645488">
              <w:rPr>
                <w:b/>
                <w:bCs/>
                <w:sz w:val="20"/>
              </w:rPr>
              <w:t>III.iv.5.B.2.g</w:t>
            </w:r>
          </w:p>
          <w:p w:rsidR="00013EB8" w:rsidRPr="00645488" w:rsidRDefault="00CF557B" w:rsidP="00F063AF">
            <w:pPr>
              <w:pStyle w:val="BodyText"/>
              <w:widowControl w:val="0"/>
              <w:numPr>
                <w:ilvl w:val="0"/>
                <w:numId w:val="85"/>
              </w:numPr>
              <w:tabs>
                <w:tab w:val="clear" w:pos="720"/>
                <w:tab w:val="num" w:pos="330"/>
              </w:tabs>
              <w:spacing w:after="120"/>
              <w:ind w:left="330"/>
              <w:rPr>
                <w:sz w:val="20"/>
              </w:rPr>
            </w:pPr>
            <w:r>
              <w:rPr>
                <w:b/>
                <w:iCs/>
                <w:sz w:val="20"/>
              </w:rPr>
              <w:t>III.iv.6.B</w:t>
            </w:r>
            <w:r w:rsidR="00DC7E42">
              <w:rPr>
                <w:sz w:val="20"/>
              </w:rPr>
              <w:t xml:space="preserve"> </w:t>
            </w:r>
            <w:r w:rsidR="000B73BC" w:rsidRPr="000B73BC">
              <w:rPr>
                <w:sz w:val="20"/>
              </w:rPr>
              <w:t xml:space="preserve">– inferred issues, </w:t>
            </w:r>
            <w:r w:rsidR="000B73BC" w:rsidRPr="000B73BC">
              <w:rPr>
                <w:i/>
                <w:sz w:val="20"/>
              </w:rPr>
              <w:t>infer even if infer to deny</w:t>
            </w:r>
            <w:r w:rsidR="009807C5">
              <w:rPr>
                <w:sz w:val="20"/>
              </w:rPr>
              <w:t xml:space="preserve">; </w:t>
            </w:r>
            <w:r w:rsidR="009807C5" w:rsidRPr="003272B6">
              <w:rPr>
                <w:b/>
                <w:sz w:val="20"/>
              </w:rPr>
              <w:t>III.iv.6.B.2.b</w:t>
            </w:r>
            <w:r w:rsidR="009807C5">
              <w:rPr>
                <w:sz w:val="20"/>
              </w:rPr>
              <w:t xml:space="preserve"> – must consider in all applicable ratings, including confirmed ratings (with multiple 0%s), even if deny</w:t>
            </w:r>
          </w:p>
        </w:tc>
      </w:tr>
    </w:tbl>
    <w:p w:rsidR="004E4958" w:rsidRDefault="004E4958">
      <w:pPr>
        <w:widowControl w:val="0"/>
        <w:tabs>
          <w:tab w:val="left" w:pos="0"/>
          <w:tab w:val="left" w:pos="144"/>
        </w:tabs>
        <w:rPr>
          <w:sz w:val="22"/>
        </w:rPr>
      </w:pPr>
    </w:p>
    <w:p w:rsidR="00013EB8" w:rsidRDefault="00013EB8">
      <w:pPr>
        <w:widowControl w:val="0"/>
        <w:pBdr>
          <w:top w:val="single" w:sz="4" w:space="1" w:color="auto"/>
        </w:pBdr>
        <w:tabs>
          <w:tab w:val="left" w:pos="0"/>
          <w:tab w:val="left" w:pos="144"/>
        </w:tabs>
        <w:rPr>
          <w:sz w:val="22"/>
        </w:rPr>
      </w:pPr>
    </w:p>
    <w:p w:rsidR="00013EB8" w:rsidRDefault="00013EB8">
      <w:pPr>
        <w:widowControl w:val="0"/>
        <w:numPr>
          <w:ilvl w:val="12"/>
          <w:numId w:val="0"/>
        </w:numPr>
        <w:tabs>
          <w:tab w:val="left" w:pos="0"/>
        </w:tabs>
        <w:rPr>
          <w:b/>
          <w:bCs/>
          <w:i/>
          <w:color w:val="FF0000"/>
          <w:sz w:val="22"/>
        </w:rPr>
      </w:pPr>
      <w:bookmarkStart w:id="154" w:name="Competency"/>
      <w:r>
        <w:rPr>
          <w:b/>
          <w:bCs/>
          <w:i/>
          <w:iCs/>
          <w:sz w:val="22"/>
        </w:rPr>
        <w:t>Competency</w:t>
      </w:r>
      <w:bookmarkEnd w:id="154"/>
      <w:r>
        <w:rPr>
          <w:b/>
          <w:bCs/>
          <w:i/>
          <w:iCs/>
          <w:sz w:val="22"/>
        </w:rPr>
        <w:t xml:space="preserve"> –</w:t>
      </w:r>
    </w:p>
    <w:p w:rsidR="00013EB8" w:rsidRDefault="00013EB8">
      <w:pPr>
        <w:widowControl w:val="0"/>
        <w:numPr>
          <w:ilvl w:val="12"/>
          <w:numId w:val="0"/>
        </w:numPr>
        <w:tabs>
          <w:tab w:val="left" w:pos="0"/>
        </w:tabs>
        <w:rPr>
          <w:b/>
          <w:bCs/>
          <w:i/>
          <w:iCs/>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7A4B37">
              <w:rPr>
                <w:b/>
              </w:rPr>
              <w:t>3.353</w:t>
            </w:r>
          </w:p>
        </w:tc>
        <w:tc>
          <w:tcPr>
            <w:tcW w:w="10270" w:type="dxa"/>
            <w:tcBorders>
              <w:top w:val="nil"/>
              <w:left w:val="nil"/>
              <w:bottom w:val="nil"/>
              <w:right w:val="nil"/>
            </w:tcBorders>
          </w:tcPr>
          <w:p w:rsidR="00013EB8" w:rsidRDefault="00013EB8">
            <w:pPr>
              <w:widowControl w:val="0"/>
              <w:numPr>
                <w:ilvl w:val="12"/>
                <w:numId w:val="0"/>
              </w:numPr>
              <w:spacing w:after="120"/>
            </w:pPr>
            <w:r>
              <w:rPr>
                <w:b/>
              </w:rPr>
              <w:t>Determinations of incompetency and competency</w:t>
            </w:r>
            <w:r>
              <w:t xml:space="preserve"> – </w:t>
            </w:r>
            <w:r>
              <w:rPr>
                <w:i/>
              </w:rPr>
              <w:t xml:space="preserve">consider whenever have mental at 100% or if there is a question about managing affairs; </w:t>
            </w:r>
            <w:r w:rsidR="004F315B">
              <w:rPr>
                <w:i/>
              </w:rPr>
              <w:t>effective date</w:t>
            </w:r>
            <w:r>
              <w:rPr>
                <w:i/>
              </w:rPr>
              <w:t xml:space="preserve"> of incompetency is the date of the rating making the person incompetent, </w:t>
            </w:r>
            <w:r w:rsidR="004F315B">
              <w:rPr>
                <w:i/>
              </w:rPr>
              <w:t>effective date</w:t>
            </w:r>
            <w:r>
              <w:rPr>
                <w:i/>
              </w:rPr>
              <w:t xml:space="preserve"> of competency is date shown by evidence; </w:t>
            </w:r>
            <w:r>
              <w:t>due process is not necessary if the beneficiary has been declared incompetent by a court of competent jurisdiction or if a guardian has been appointed for the beneficiary based upon a court finding of incompetency</w:t>
            </w:r>
          </w:p>
          <w:p w:rsidR="00013EB8" w:rsidRDefault="00013EB8" w:rsidP="00F063AF">
            <w:pPr>
              <w:widowControl w:val="0"/>
              <w:numPr>
                <w:ilvl w:val="0"/>
                <w:numId w:val="84"/>
              </w:numPr>
              <w:tabs>
                <w:tab w:val="clear" w:pos="720"/>
                <w:tab w:val="num" w:pos="330"/>
              </w:tabs>
              <w:spacing w:after="120"/>
              <w:ind w:left="330"/>
              <w:rPr>
                <w:b/>
                <w:i/>
              </w:rPr>
            </w:pPr>
            <w:r w:rsidRPr="00452E99">
              <w:rPr>
                <w:b/>
                <w:bCs/>
                <w:iCs/>
              </w:rPr>
              <w:t>3.400</w:t>
            </w:r>
            <w:r>
              <w:rPr>
                <w:b/>
                <w:iCs/>
              </w:rPr>
              <w:t>(x) &amp; (y)</w:t>
            </w:r>
            <w:r>
              <w:rPr>
                <w:b/>
                <w:i/>
              </w:rPr>
              <w:t xml:space="preserve"> </w:t>
            </w:r>
          </w:p>
          <w:p w:rsidR="00013EB8" w:rsidRPr="00D43CAE" w:rsidRDefault="00013EB8" w:rsidP="00F063AF">
            <w:pPr>
              <w:widowControl w:val="0"/>
              <w:numPr>
                <w:ilvl w:val="0"/>
                <w:numId w:val="84"/>
              </w:numPr>
              <w:tabs>
                <w:tab w:val="clear" w:pos="720"/>
                <w:tab w:val="num" w:pos="330"/>
              </w:tabs>
              <w:spacing w:after="120"/>
              <w:ind w:left="330"/>
            </w:pPr>
            <w:r w:rsidRPr="009E1585">
              <w:rPr>
                <w:b/>
                <w:bCs/>
              </w:rPr>
              <w:t>III.iv.8.A</w:t>
            </w:r>
            <w:r w:rsidR="00664C6D" w:rsidRPr="009E1585">
              <w:rPr>
                <w:bCs/>
              </w:rPr>
              <w:t xml:space="preserve"> – evidence must clearly and convincingly show that the person is incapable of managing the VA benefit without limitation</w:t>
            </w:r>
          </w:p>
          <w:p w:rsidR="00A256DA" w:rsidRPr="003F3A88" w:rsidRDefault="00D43CAE" w:rsidP="00F063AF">
            <w:pPr>
              <w:widowControl w:val="0"/>
              <w:numPr>
                <w:ilvl w:val="0"/>
                <w:numId w:val="84"/>
              </w:numPr>
              <w:tabs>
                <w:tab w:val="clear" w:pos="720"/>
                <w:tab w:val="num" w:pos="330"/>
              </w:tabs>
              <w:spacing w:after="120"/>
              <w:ind w:left="330"/>
              <w:rPr>
                <w:b/>
              </w:rPr>
            </w:pPr>
            <w:r w:rsidRPr="00D43CAE">
              <w:rPr>
                <w:b/>
                <w:bCs/>
              </w:rPr>
              <w:t>III</w:t>
            </w:r>
            <w:r w:rsidRPr="00D43CAE">
              <w:rPr>
                <w:b/>
              </w:rPr>
              <w:t>.</w:t>
            </w:r>
            <w:r>
              <w:rPr>
                <w:b/>
              </w:rPr>
              <w:t>v.9.B</w:t>
            </w:r>
          </w:p>
          <w:p w:rsidR="003F3A88" w:rsidRPr="00A11863" w:rsidRDefault="003F3A88" w:rsidP="00F063AF">
            <w:pPr>
              <w:widowControl w:val="0"/>
              <w:numPr>
                <w:ilvl w:val="0"/>
                <w:numId w:val="84"/>
              </w:numPr>
              <w:tabs>
                <w:tab w:val="clear" w:pos="720"/>
                <w:tab w:val="num" w:pos="330"/>
              </w:tabs>
              <w:spacing w:after="120"/>
              <w:ind w:left="330"/>
              <w:rPr>
                <w:b/>
              </w:rPr>
            </w:pPr>
            <w:r>
              <w:t xml:space="preserve">Per VA Pulse, </w:t>
            </w:r>
            <w:r w:rsidRPr="003F3A88">
              <w:rPr>
                <w:i/>
              </w:rPr>
              <w:t>https://www.vapulse.net/message/41033</w:t>
            </w:r>
            <w:r>
              <w:t>, must be a mental disability (not physical), and “</w:t>
            </w:r>
            <w:r>
              <w:rPr>
                <w:rFonts w:ascii="Helvetica" w:hAnsi="Helvetica" w:cs="Helvetica"/>
                <w:color w:val="3D3D3D"/>
                <w:sz w:val="21"/>
                <w:szCs w:val="21"/>
                <w:lang w:val="en"/>
              </w:rPr>
              <w:t>It was noted that just because the Veteran chooses allow someone else to manage or assist in management of their funds, it does not mean that they are incompetent to do so.  On a more serious note, to play upon what David mentioned regarding drug and alcohol abuse, it was also noted that just because a Veteran is not managing their benefits wisely, does not mean that they are incompetent to do so.</w:t>
            </w:r>
            <w:r>
              <w:t>”</w:t>
            </w:r>
          </w:p>
        </w:tc>
      </w:tr>
    </w:tbl>
    <w:p w:rsidR="00013EB8" w:rsidRDefault="00950263" w:rsidP="00913442">
      <w:pPr>
        <w:widowControl w:val="0"/>
        <w:pBdr>
          <w:top w:val="single" w:sz="2" w:space="1" w:color="auto"/>
          <w:left w:val="single" w:sz="2" w:space="4" w:color="auto"/>
          <w:bottom w:val="single" w:sz="2" w:space="1" w:color="auto"/>
          <w:right w:val="single" w:sz="2" w:space="4" w:color="auto"/>
        </w:pBdr>
        <w:tabs>
          <w:tab w:val="left" w:pos="0"/>
          <w:tab w:val="left" w:pos="144"/>
        </w:tabs>
        <w:rPr>
          <w:i/>
        </w:rPr>
      </w:pPr>
      <w:r w:rsidRPr="00950263">
        <w:rPr>
          <w:b/>
        </w:rPr>
        <w:t>Incompetency proposal / p</w:t>
      </w:r>
      <w:r w:rsidR="00013EB8" w:rsidRPr="00950263">
        <w:rPr>
          <w:b/>
        </w:rPr>
        <w:t>roposeincomp</w:t>
      </w:r>
      <w:r w:rsidR="00A66915">
        <w:rPr>
          <w:i/>
        </w:rPr>
        <w:t xml:space="preserve"> (</w:t>
      </w:r>
      <w:r w:rsidR="00A66915">
        <w:rPr>
          <w:bCs/>
          <w:i/>
        </w:rPr>
        <w:t xml:space="preserve">Proposals &amp; Final incompetency decisions </w:t>
      </w:r>
      <w:r w:rsidR="00A66915" w:rsidRPr="007A4EEB">
        <w:rPr>
          <w:bCs/>
          <w:i/>
        </w:rPr>
        <w:t xml:space="preserve">need Long Form Narrative, per </w:t>
      </w:r>
      <w:r w:rsidR="00A66915" w:rsidRPr="007A4EEB">
        <w:rPr>
          <w:b/>
          <w:bCs/>
        </w:rPr>
        <w:t>III.iv.6.C.7.a</w:t>
      </w:r>
      <w:r w:rsidR="00A66915">
        <w:rPr>
          <w:i/>
        </w:rPr>
        <w:t>):</w:t>
      </w:r>
    </w:p>
    <w:p w:rsidR="00950263" w:rsidRPr="00373DCB" w:rsidRDefault="00950263" w:rsidP="00913442">
      <w:pPr>
        <w:widowControl w:val="0"/>
        <w:pBdr>
          <w:top w:val="single" w:sz="2" w:space="1" w:color="auto"/>
          <w:left w:val="single" w:sz="2" w:space="4" w:color="auto"/>
          <w:bottom w:val="single" w:sz="2" w:space="1" w:color="auto"/>
          <w:right w:val="single" w:sz="2" w:space="4" w:color="auto"/>
        </w:pBdr>
        <w:tabs>
          <w:tab w:val="left" w:pos="0"/>
          <w:tab w:val="left" w:pos="144"/>
        </w:tabs>
        <w:rPr>
          <w:i/>
        </w:rPr>
      </w:pPr>
    </w:p>
    <w:p w:rsidR="00013EB8" w:rsidRPr="00373DCB" w:rsidRDefault="00013EB8" w:rsidP="00913442">
      <w:pPr>
        <w:widowControl w:val="0"/>
        <w:pBdr>
          <w:top w:val="single" w:sz="2" w:space="1" w:color="auto"/>
          <w:left w:val="single" w:sz="2" w:space="4" w:color="auto"/>
          <w:bottom w:val="single" w:sz="2" w:space="1" w:color="auto"/>
          <w:right w:val="single" w:sz="2" w:space="4" w:color="auto"/>
        </w:pBdr>
        <w:tabs>
          <w:tab w:val="left" w:pos="0"/>
          <w:tab w:val="left" w:pos="144"/>
        </w:tabs>
      </w:pPr>
      <w:r w:rsidRPr="00373DCB">
        <w:t xml:space="preserve">We are proposing to make a determination of incompetency for VA purposes. A mentally incompetent person is defined as one who, because of injury or disease, lacks the mental capacity to control or manage his or her own affairs, including disbursements of funds without limitation. Since the </w:t>
      </w:r>
      <w:r w:rsidR="00A46221" w:rsidRPr="00373DCB">
        <w:t>{}</w:t>
      </w:r>
      <w:r w:rsidRPr="00373DCB">
        <w:t xml:space="preserve"> shows incompetency and an inability to manage personal affairs to include disbursement of funds, we are proposing to make a determination of incompetency for VA purposes.</w:t>
      </w:r>
    </w:p>
    <w:p w:rsidR="00013EB8" w:rsidRPr="00373DCB" w:rsidRDefault="00013EB8" w:rsidP="00913442">
      <w:pPr>
        <w:pStyle w:val="Heading3"/>
        <w:widowControl w:val="0"/>
        <w:pBdr>
          <w:top w:val="single" w:sz="2" w:space="1" w:color="auto"/>
          <w:left w:val="single" w:sz="2" w:space="4" w:color="auto"/>
          <w:bottom w:val="single" w:sz="2" w:space="1" w:color="auto"/>
          <w:right w:val="single" w:sz="2" w:space="4" w:color="auto"/>
        </w:pBdr>
        <w:rPr>
          <w:rFonts w:ascii="Verdana" w:hAnsi="Verdana"/>
          <w:sz w:val="20"/>
        </w:rPr>
      </w:pPr>
      <w:r w:rsidRPr="00373DCB">
        <w:rPr>
          <w:rFonts w:ascii="Verdana" w:hAnsi="Verdana"/>
          <w:sz w:val="20"/>
          <w:highlight w:val="green"/>
        </w:rPr>
        <w:t xml:space="preserve">OR USE </w:t>
      </w:r>
      <w:r w:rsidR="00C551BE">
        <w:rPr>
          <w:rFonts w:ascii="Verdana" w:hAnsi="Verdana"/>
          <w:sz w:val="20"/>
          <w:highlight w:val="green"/>
        </w:rPr>
        <w:t>VBMS-R System-Generated Text</w:t>
      </w:r>
      <w:r w:rsidR="00373DCB" w:rsidRPr="00373DCB">
        <w:rPr>
          <w:rFonts w:ascii="Verdana" w:hAnsi="Verdana"/>
          <w:sz w:val="20"/>
        </w:rPr>
        <w:t xml:space="preserve">; </w:t>
      </w:r>
      <w:r w:rsidR="001D615F" w:rsidRPr="001D615F">
        <w:rPr>
          <w:bCs w:val="0"/>
        </w:rPr>
        <w:t>also see</w:t>
      </w:r>
      <w:r w:rsidR="001D615F">
        <w:rPr>
          <w:bCs w:val="0"/>
        </w:rPr>
        <w:t xml:space="preserve"> </w:t>
      </w:r>
      <w:r w:rsidR="00C501B7" w:rsidRPr="00373DCB">
        <w:rPr>
          <w:rFonts w:ascii="Verdana" w:hAnsi="Verdana"/>
          <w:sz w:val="20"/>
          <w:highlight w:val="green"/>
        </w:rPr>
        <w:t>PM</w:t>
      </w:r>
      <w:r w:rsidR="001D615F">
        <w:rPr>
          <w:rFonts w:ascii="Verdana" w:hAnsi="Verdana"/>
          <w:sz w:val="20"/>
          <w:highlight w:val="green"/>
        </w:rPr>
        <w:t>C-INCCC</w:t>
      </w:r>
      <w:r w:rsidR="00494A88" w:rsidRPr="00494A88">
        <w:rPr>
          <w:bCs w:val="0"/>
        </w:rPr>
        <w:t xml:space="preserve"> &amp;</w:t>
      </w:r>
      <w:r w:rsidR="00494A88" w:rsidRPr="00494A88">
        <w:rPr>
          <w:rFonts w:ascii="Verdana" w:hAnsi="Verdana"/>
          <w:b w:val="0"/>
          <w:bCs w:val="0"/>
        </w:rPr>
        <w:t xml:space="preserve"> </w:t>
      </w:r>
      <w:r w:rsidR="001D615F">
        <w:rPr>
          <w:rFonts w:ascii="Verdana" w:hAnsi="Verdana"/>
          <w:sz w:val="20"/>
          <w:highlight w:val="green"/>
        </w:rPr>
        <w:t>PMC-INCDEF</w:t>
      </w:r>
    </w:p>
    <w:p w:rsidR="00913442" w:rsidRPr="00373DCB" w:rsidRDefault="00913442" w:rsidP="00A716E6">
      <w:pPr>
        <w:widowControl w:val="0"/>
        <w:tabs>
          <w:tab w:val="left" w:pos="0"/>
          <w:tab w:val="left" w:pos="144"/>
        </w:tabs>
        <w:rPr>
          <w:i/>
          <w:iCs/>
        </w:rPr>
      </w:pPr>
    </w:p>
    <w:p w:rsidR="00950263" w:rsidRDefault="00013EB8" w:rsidP="00950263">
      <w:pPr>
        <w:widowControl w:val="0"/>
        <w:pBdr>
          <w:top w:val="single" w:sz="2" w:space="1" w:color="auto"/>
          <w:left w:val="single" w:sz="2" w:space="4" w:color="auto"/>
          <w:bottom w:val="single" w:sz="2" w:space="1" w:color="auto"/>
          <w:right w:val="single" w:sz="2" w:space="4" w:color="auto"/>
        </w:pBdr>
        <w:tabs>
          <w:tab w:val="left" w:pos="0"/>
          <w:tab w:val="left" w:pos="144"/>
        </w:tabs>
        <w:rPr>
          <w:i/>
        </w:rPr>
      </w:pPr>
      <w:r w:rsidRPr="00950263">
        <w:rPr>
          <w:b/>
          <w:iCs/>
        </w:rPr>
        <w:t>Incompetent</w:t>
      </w:r>
      <w:r w:rsidRPr="00373DCB">
        <w:rPr>
          <w:i/>
          <w:iCs/>
        </w:rPr>
        <w:t xml:space="preserve"> (</w:t>
      </w:r>
      <w:r w:rsidR="004F315B">
        <w:rPr>
          <w:i/>
          <w:iCs/>
        </w:rPr>
        <w:t>effective date</w:t>
      </w:r>
      <w:r w:rsidRPr="00373DCB">
        <w:rPr>
          <w:i/>
          <w:iCs/>
        </w:rPr>
        <w:t xml:space="preserve"> is date of rating!)</w:t>
      </w:r>
      <w:r w:rsidR="00950263" w:rsidRPr="00950263">
        <w:rPr>
          <w:i/>
        </w:rPr>
        <w:t xml:space="preserve"> </w:t>
      </w:r>
      <w:r w:rsidR="00950263">
        <w:rPr>
          <w:i/>
        </w:rPr>
        <w:t>(</w:t>
      </w:r>
      <w:r w:rsidR="00950263">
        <w:rPr>
          <w:bCs/>
          <w:i/>
        </w:rPr>
        <w:t xml:space="preserve">Proposals &amp; Final incompetency decisions </w:t>
      </w:r>
      <w:r w:rsidR="00950263" w:rsidRPr="007A4EEB">
        <w:rPr>
          <w:bCs/>
          <w:i/>
        </w:rPr>
        <w:t xml:space="preserve">need Long Form Narrative, per </w:t>
      </w:r>
      <w:r w:rsidR="00950263" w:rsidRPr="007A4EEB">
        <w:rPr>
          <w:b/>
          <w:bCs/>
        </w:rPr>
        <w:t>III.iv.6.C.7.a</w:t>
      </w:r>
      <w:r w:rsidR="00950263">
        <w:rPr>
          <w:i/>
        </w:rPr>
        <w:t>):</w:t>
      </w:r>
    </w:p>
    <w:p w:rsidR="00013EB8" w:rsidRPr="00373DCB" w:rsidRDefault="00013EB8" w:rsidP="00913442">
      <w:pPr>
        <w:widowControl w:val="0"/>
        <w:pBdr>
          <w:top w:val="single" w:sz="2" w:space="1" w:color="auto"/>
          <w:left w:val="single" w:sz="2" w:space="4" w:color="auto"/>
          <w:bottom w:val="single" w:sz="2" w:space="1" w:color="auto"/>
          <w:right w:val="single" w:sz="2" w:space="4" w:color="auto"/>
        </w:pBdr>
        <w:tabs>
          <w:tab w:val="left" w:pos="0"/>
          <w:tab w:val="left" w:pos="144"/>
        </w:tabs>
        <w:rPr>
          <w:b/>
          <w:bCs/>
        </w:rPr>
      </w:pPr>
    </w:p>
    <w:p w:rsidR="00013EB8" w:rsidRPr="00373DCB" w:rsidRDefault="00013EB8" w:rsidP="00C501B7">
      <w:pPr>
        <w:pStyle w:val="Heading3"/>
        <w:widowControl w:val="0"/>
        <w:pBdr>
          <w:top w:val="single" w:sz="2" w:space="1" w:color="auto"/>
          <w:left w:val="single" w:sz="2" w:space="4" w:color="auto"/>
          <w:bottom w:val="single" w:sz="2" w:space="1" w:color="auto"/>
          <w:right w:val="single" w:sz="2" w:space="4" w:color="auto"/>
        </w:pBdr>
        <w:rPr>
          <w:b w:val="0"/>
          <w:bCs w:val="0"/>
          <w:i/>
          <w:iCs/>
          <w:sz w:val="20"/>
        </w:rPr>
      </w:pPr>
      <w:r w:rsidRPr="00373DCB">
        <w:rPr>
          <w:b w:val="0"/>
          <w:sz w:val="20"/>
        </w:rPr>
        <w:t xml:space="preserve">We have determined you are incompetent for purposes of managing VA payments. A mentally incompetent person is defined as one who, because of injury or disease, lacks the mental capacity to control or manage his or her own affairs, including disbursements of funds without limitation. Where there is a doubt as to whether the beneficiary is capable of administering his or her funds, such doubt will be resolved in favor of competency.  Since the </w:t>
      </w:r>
      <w:r w:rsidR="00A46221" w:rsidRPr="00373DCB">
        <w:rPr>
          <w:b w:val="0"/>
          <w:sz w:val="20"/>
        </w:rPr>
        <w:t>{}</w:t>
      </w:r>
      <w:r w:rsidRPr="00373DCB">
        <w:rPr>
          <w:b w:val="0"/>
          <w:sz w:val="20"/>
        </w:rPr>
        <w:t xml:space="preserve"> shows incompetency, and an inability to manage personal affairs to include disbursement of funds, we have determined you are incompetent for purposes of managing VA payments.</w:t>
      </w:r>
      <w:r w:rsidR="00C501B7" w:rsidRPr="00373DCB">
        <w:rPr>
          <w:sz w:val="20"/>
        </w:rPr>
        <w:t xml:space="preserve"> </w:t>
      </w:r>
      <w:r w:rsidR="00C501B7" w:rsidRPr="00373DCB">
        <w:rPr>
          <w:rFonts w:ascii="Verdana" w:hAnsi="Verdana"/>
          <w:sz w:val="20"/>
          <w:highlight w:val="green"/>
        </w:rPr>
        <w:t>lots of VBMS-R Glossaries</w:t>
      </w:r>
    </w:p>
    <w:p w:rsidR="00013EB8" w:rsidRPr="00373DCB" w:rsidRDefault="00013EB8">
      <w:pPr>
        <w:widowControl w:val="0"/>
        <w:numPr>
          <w:ilvl w:val="12"/>
          <w:numId w:val="0"/>
        </w:numPr>
        <w:tabs>
          <w:tab w:val="left" w:pos="0"/>
        </w:tabs>
        <w:rPr>
          <w:b/>
          <w:bCs/>
          <w:i/>
          <w:iCs/>
        </w:rPr>
      </w:pPr>
    </w:p>
    <w:p w:rsidR="008A1739" w:rsidRPr="00373DCB" w:rsidRDefault="008A1739" w:rsidP="00B312C7">
      <w:pPr>
        <w:widowControl w:val="0"/>
        <w:numPr>
          <w:ilvl w:val="12"/>
          <w:numId w:val="0"/>
        </w:numPr>
        <w:pBdr>
          <w:top w:val="single" w:sz="4" w:space="1" w:color="auto"/>
          <w:left w:val="single" w:sz="4" w:space="4" w:color="auto"/>
          <w:bottom w:val="single" w:sz="4" w:space="1" w:color="auto"/>
          <w:right w:val="single" w:sz="4" w:space="4" w:color="auto"/>
        </w:pBdr>
        <w:tabs>
          <w:tab w:val="left" w:pos="0"/>
        </w:tabs>
        <w:rPr>
          <w:bCs/>
          <w:iCs/>
        </w:rPr>
      </w:pPr>
      <w:r w:rsidRPr="00373DCB">
        <w:rPr>
          <w:bCs/>
          <w:iCs/>
        </w:rPr>
        <w:t>Rating Note:  Since there is a doubt as to whether the veteran is incapable of administering his funds</w:t>
      </w:r>
      <w:r w:rsidR="00E47CA7">
        <w:rPr>
          <w:bCs/>
          <w:iCs/>
        </w:rPr>
        <w:t xml:space="preserve"> </w:t>
      </w:r>
      <w:r w:rsidRPr="00373DCB">
        <w:rPr>
          <w:bCs/>
          <w:iCs/>
        </w:rPr>
        <w:t xml:space="preserve"> and there is no definitive finding of incompetency</w:t>
      </w:r>
      <w:r w:rsidR="00E47CA7">
        <w:rPr>
          <w:bCs/>
          <w:iCs/>
        </w:rPr>
        <w:t xml:space="preserve"> due to a mental disability</w:t>
      </w:r>
      <w:r w:rsidRPr="00373DCB">
        <w:rPr>
          <w:bCs/>
          <w:iCs/>
        </w:rPr>
        <w:t>, the doubt is resolved in favor of competency</w:t>
      </w:r>
      <w:r w:rsidR="00E47CA7">
        <w:rPr>
          <w:bCs/>
          <w:iCs/>
        </w:rPr>
        <w:t>, per 3.353(d).</w:t>
      </w:r>
      <w:r w:rsidRPr="00373DCB">
        <w:rPr>
          <w:bCs/>
          <w:iCs/>
        </w:rPr>
        <w:t xml:space="preserve">  </w:t>
      </w:r>
    </w:p>
    <w:p w:rsidR="008A1739" w:rsidRDefault="008A1739">
      <w:pPr>
        <w:widowControl w:val="0"/>
        <w:numPr>
          <w:ilvl w:val="12"/>
          <w:numId w:val="0"/>
        </w:numPr>
        <w:tabs>
          <w:tab w:val="left" w:pos="0"/>
        </w:tabs>
        <w:rPr>
          <w:b/>
          <w:bCs/>
          <w:i/>
          <w:iCs/>
          <w:sz w:val="22"/>
        </w:rPr>
      </w:pPr>
    </w:p>
    <w:p w:rsidR="00013EB8" w:rsidRDefault="00013EB8">
      <w:pPr>
        <w:widowControl w:val="0"/>
        <w:pBdr>
          <w:top w:val="single" w:sz="4" w:space="1" w:color="auto"/>
        </w:pBdr>
        <w:tabs>
          <w:tab w:val="left" w:pos="0"/>
          <w:tab w:val="left" w:pos="144"/>
        </w:tabs>
        <w:rPr>
          <w:b/>
          <w:bCs/>
          <w:i/>
          <w:iCs/>
          <w:sz w:val="22"/>
        </w:rPr>
      </w:pPr>
    </w:p>
    <w:p w:rsidR="00013EB8" w:rsidRDefault="00013EB8">
      <w:pPr>
        <w:widowControl w:val="0"/>
        <w:tabs>
          <w:tab w:val="left" w:pos="0"/>
          <w:tab w:val="left" w:pos="144"/>
        </w:tabs>
        <w:rPr>
          <w:b/>
          <w:bCs/>
          <w:i/>
          <w:iCs/>
          <w:sz w:val="22"/>
        </w:rPr>
      </w:pPr>
      <w:r>
        <w:rPr>
          <w:b/>
          <w:bCs/>
          <w:i/>
          <w:iCs/>
          <w:sz w:val="22"/>
        </w:rPr>
        <w:br w:type="page"/>
      </w:r>
      <w:bookmarkStart w:id="155" w:name="Ancillary"/>
      <w:r w:rsidR="00517098">
        <w:rPr>
          <w:b/>
          <w:bCs/>
          <w:i/>
          <w:iCs/>
          <w:sz w:val="22"/>
        </w:rPr>
        <w:t>Ancillary Decisions –</w:t>
      </w:r>
    </w:p>
    <w:bookmarkEnd w:id="155"/>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rsidTr="00CF557B">
        <w:tc>
          <w:tcPr>
            <w:tcW w:w="705" w:type="dxa"/>
            <w:tcBorders>
              <w:top w:val="nil"/>
              <w:left w:val="nil"/>
              <w:bottom w:val="nil"/>
              <w:right w:val="nil"/>
            </w:tcBorders>
            <w:shd w:val="clear" w:color="auto" w:fill="auto"/>
          </w:tcPr>
          <w:p w:rsidR="00013EB8" w:rsidRDefault="00013EB8">
            <w:pPr>
              <w:widowControl w:val="0"/>
              <w:numPr>
                <w:ilvl w:val="12"/>
                <w:numId w:val="0"/>
              </w:numPr>
              <w:rPr>
                <w:b/>
              </w:rPr>
            </w:pPr>
            <w:r w:rsidRPr="007A4B37">
              <w:rPr>
                <w:b/>
              </w:rPr>
              <w:t>3.707</w:t>
            </w:r>
          </w:p>
        </w:tc>
        <w:tc>
          <w:tcPr>
            <w:tcW w:w="10270" w:type="dxa"/>
            <w:tcBorders>
              <w:top w:val="nil"/>
              <w:left w:val="nil"/>
              <w:bottom w:val="nil"/>
              <w:right w:val="nil"/>
            </w:tcBorders>
            <w:shd w:val="clear" w:color="auto" w:fill="auto"/>
          </w:tcPr>
          <w:p w:rsidR="00013EB8" w:rsidRDefault="00013EB8">
            <w:pPr>
              <w:widowControl w:val="0"/>
              <w:numPr>
                <w:ilvl w:val="12"/>
                <w:numId w:val="0"/>
              </w:numPr>
              <w:spacing w:after="120"/>
            </w:pPr>
            <w:r>
              <w:rPr>
                <w:b/>
              </w:rPr>
              <w:t>Dependents’ educational assistance</w:t>
            </w:r>
            <w:r w:rsidR="006F66F6">
              <w:t xml:space="preserve"> – DEA, Ch. 35</w:t>
            </w:r>
          </w:p>
          <w:p w:rsidR="00B73089" w:rsidRPr="00B73089" w:rsidRDefault="00B73089" w:rsidP="00F063AF">
            <w:pPr>
              <w:widowControl w:val="0"/>
              <w:numPr>
                <w:ilvl w:val="0"/>
                <w:numId w:val="86"/>
              </w:numPr>
              <w:tabs>
                <w:tab w:val="clear" w:pos="720"/>
                <w:tab w:val="num" w:pos="340"/>
              </w:tabs>
              <w:spacing w:after="120"/>
              <w:ind w:left="340"/>
              <w:rPr>
                <w:i/>
              </w:rPr>
            </w:pPr>
            <w:r w:rsidRPr="00B73089">
              <w:rPr>
                <w:b/>
              </w:rPr>
              <w:t>III.iv.6.B</w:t>
            </w:r>
            <w:r>
              <w:t xml:space="preserve"> – inferred issues, </w:t>
            </w:r>
            <w:r w:rsidRPr="00B73089">
              <w:rPr>
                <w:i/>
              </w:rPr>
              <w:t>do not infer to deny</w:t>
            </w:r>
          </w:p>
          <w:p w:rsidR="00013EB8" w:rsidRPr="00C160B2" w:rsidRDefault="00013EB8" w:rsidP="00F063AF">
            <w:pPr>
              <w:widowControl w:val="0"/>
              <w:numPr>
                <w:ilvl w:val="0"/>
                <w:numId w:val="86"/>
              </w:numPr>
              <w:tabs>
                <w:tab w:val="clear" w:pos="720"/>
                <w:tab w:val="num" w:pos="340"/>
              </w:tabs>
              <w:spacing w:after="120"/>
              <w:ind w:left="340"/>
              <w:rPr>
                <w:i/>
              </w:rPr>
            </w:pPr>
            <w:r w:rsidRPr="00037A17">
              <w:rPr>
                <w:b/>
                <w:bCs/>
              </w:rPr>
              <w:t>IX.ii.2.1</w:t>
            </w:r>
          </w:p>
        </w:tc>
      </w:tr>
    </w:tbl>
    <w:p w:rsidR="00013EB8" w:rsidRDefault="00013EB8">
      <w:pPr>
        <w:widowControl w:val="0"/>
        <w:tabs>
          <w:tab w:val="left" w:pos="0"/>
          <w:tab w:val="left" w:pos="144"/>
        </w:tabs>
        <w:rPr>
          <w:sz w:val="22"/>
        </w:rPr>
      </w:pPr>
    </w:p>
    <w:p w:rsidR="00013EB8" w:rsidRPr="00965B34"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sidRPr="00965B34">
        <w:rPr>
          <w:i/>
        </w:rPr>
        <w:t>denych35</w:t>
      </w:r>
      <w:r w:rsidR="0049231D">
        <w:rPr>
          <w:i/>
        </w:rPr>
        <w:t xml:space="preserve"> / Ch. 35</w:t>
      </w:r>
      <w:r w:rsidR="00FE0241">
        <w:rPr>
          <w:i/>
        </w:rPr>
        <w:t xml:space="preserve"> / DEA</w:t>
      </w:r>
      <w:r w:rsidRPr="00965B34">
        <w:rPr>
          <w:i/>
        </w:rPr>
        <w:t>:</w:t>
      </w:r>
    </w:p>
    <w:p w:rsidR="00013EB8" w:rsidRPr="00965B34"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pPr>
      <w:r w:rsidRPr="00965B34">
        <w:t>We have considered but denied eligibility to Dependents' Educational Assistance.  We will establish eligibility when a veteran was discharged under other than dishonorable conditions and has a permanent and total service-connected disability; or has a permanent and total disability in existence at the time of death; or died as a result of a service-connected disability.  Since the evidence does not show {(L) you have a permanent and total service-connected disability {as you only had a temporary total evaluation based on your convalescence following surgery, OR as your total evaluation was not permanent}; (D) or the veteran had a service-connected permanent and total disability at the time of death; or died as a result of a service-connected disability}, we cannot establish eligibility to Dependents' Educational Assistance.</w:t>
      </w:r>
    </w:p>
    <w:p w:rsidR="00013EB8" w:rsidRDefault="00013EB8">
      <w:pPr>
        <w:widowControl w:val="0"/>
        <w:tabs>
          <w:tab w:val="left" w:pos="0"/>
          <w:tab w:val="left" w:pos="144"/>
        </w:tabs>
        <w:rPr>
          <w:sz w:val="22"/>
        </w:rPr>
      </w:pPr>
    </w:p>
    <w:p w:rsidR="00013EB8" w:rsidRDefault="00013EB8">
      <w:pPr>
        <w:widowControl w:val="0"/>
        <w:pBdr>
          <w:top w:val="dashed" w:sz="4" w:space="1" w:color="auto"/>
        </w:pBdr>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7A4B37">
              <w:rPr>
                <w:b/>
              </w:rPr>
              <w:t>3.808</w:t>
            </w:r>
          </w:p>
        </w:tc>
        <w:tc>
          <w:tcPr>
            <w:tcW w:w="10270" w:type="dxa"/>
            <w:tcBorders>
              <w:top w:val="nil"/>
              <w:left w:val="nil"/>
              <w:bottom w:val="nil"/>
              <w:right w:val="nil"/>
            </w:tcBorders>
          </w:tcPr>
          <w:p w:rsidR="00013EB8" w:rsidRPr="00AB3D6F" w:rsidRDefault="00013EB8">
            <w:pPr>
              <w:widowControl w:val="0"/>
              <w:numPr>
                <w:ilvl w:val="12"/>
                <w:numId w:val="0"/>
              </w:numPr>
              <w:spacing w:after="120"/>
            </w:pPr>
            <w:r>
              <w:rPr>
                <w:b/>
              </w:rPr>
              <w:t>Automobiles or other conveyances; certification</w:t>
            </w:r>
            <w:r>
              <w:t xml:space="preserve"> –</w:t>
            </w:r>
            <w:r>
              <w:rPr>
                <w:i/>
              </w:rPr>
              <w:t xml:space="preserve"> </w:t>
            </w:r>
            <w:r w:rsidR="00AB3D6F">
              <w:t xml:space="preserve">(i) </w:t>
            </w:r>
            <w:r w:rsidR="00BB25DA">
              <w:t>1 or both feet,</w:t>
            </w:r>
            <w:r w:rsidR="00AB3D6F">
              <w:t xml:space="preserve"> (ii)</w:t>
            </w:r>
            <w:r w:rsidR="00BB25DA">
              <w:t xml:space="preserve"> 1 or both hands,</w:t>
            </w:r>
            <w:r w:rsidR="00AB3D6F">
              <w:t xml:space="preserve"> (iii)</w:t>
            </w:r>
            <w:r>
              <w:t xml:space="preserve"> bilateral impairment of vision (see reg for details)</w:t>
            </w:r>
            <w:r w:rsidR="00BB25DA">
              <w:t>,</w:t>
            </w:r>
            <w:r w:rsidR="00AB3D6F">
              <w:t xml:space="preserve"> (iv)</w:t>
            </w:r>
            <w:r w:rsidR="00BB25DA">
              <w:t xml:space="preserve"> severe burn, </w:t>
            </w:r>
            <w:r w:rsidR="00AB3D6F">
              <w:t xml:space="preserve">(v) </w:t>
            </w:r>
            <w:r w:rsidR="00BB25DA">
              <w:t xml:space="preserve">ALS; </w:t>
            </w:r>
            <w:r>
              <w:t>adaptive equip only- ankylosis of 1 or both knees or hips</w:t>
            </w:r>
            <w:r w:rsidR="00BB25DA">
              <w:t xml:space="preserve"> (SC or 1151)</w:t>
            </w:r>
            <w:r>
              <w:rPr>
                <w:i/>
              </w:rPr>
              <w:t>; $11,000 eff 12/16/03</w:t>
            </w:r>
            <w:r w:rsidR="00743272">
              <w:rPr>
                <w:i/>
              </w:rPr>
              <w:t>; $18K in 2013</w:t>
            </w:r>
            <w:r w:rsidR="00664A13">
              <w:rPr>
                <w:i/>
              </w:rPr>
              <w:t>, $20,114.34 eff 10/1/14</w:t>
            </w:r>
            <w:r w:rsidR="00AB3D6F">
              <w:t>; as of 3/24/15, auto forms (21-4502 &amp; 10-1394) are not claim for increase, so only address auto, but can use 21-526 for auto too</w:t>
            </w:r>
          </w:p>
          <w:p w:rsidR="000B73BC" w:rsidRPr="000B73BC" w:rsidRDefault="00CF557B" w:rsidP="00F063AF">
            <w:pPr>
              <w:pStyle w:val="BodyText"/>
              <w:widowControl w:val="0"/>
              <w:numPr>
                <w:ilvl w:val="0"/>
                <w:numId w:val="87"/>
              </w:numPr>
              <w:tabs>
                <w:tab w:val="clear" w:pos="720"/>
                <w:tab w:val="num" w:pos="330"/>
              </w:tabs>
              <w:spacing w:after="120"/>
              <w:ind w:left="330"/>
              <w:rPr>
                <w:sz w:val="20"/>
              </w:rPr>
            </w:pPr>
            <w:r w:rsidRPr="005B0ECF">
              <w:rPr>
                <w:b/>
                <w:iCs/>
                <w:sz w:val="20"/>
              </w:rPr>
              <w:t>III.iv.6.B</w:t>
            </w:r>
            <w:r w:rsidR="00DC7E42" w:rsidRPr="00DC7E42">
              <w:rPr>
                <w:rStyle w:val="Hyperlink"/>
                <w:iCs/>
                <w:sz w:val="20"/>
                <w:u w:val="none"/>
              </w:rPr>
              <w:t xml:space="preserve"> </w:t>
            </w:r>
            <w:r w:rsidR="000B73BC" w:rsidRPr="000B73BC">
              <w:rPr>
                <w:sz w:val="20"/>
              </w:rPr>
              <w:t xml:space="preserve">– inferred issues, </w:t>
            </w:r>
            <w:r w:rsidR="00A10388">
              <w:rPr>
                <w:i/>
                <w:sz w:val="20"/>
              </w:rPr>
              <w:t>do not infer to deny</w:t>
            </w:r>
          </w:p>
          <w:p w:rsidR="00013EB8" w:rsidRPr="005B0ECF" w:rsidRDefault="00013EB8" w:rsidP="00F063AF">
            <w:pPr>
              <w:widowControl w:val="0"/>
              <w:numPr>
                <w:ilvl w:val="0"/>
                <w:numId w:val="87"/>
              </w:numPr>
              <w:tabs>
                <w:tab w:val="clear" w:pos="720"/>
                <w:tab w:val="num" w:pos="330"/>
              </w:tabs>
              <w:spacing w:after="120"/>
              <w:ind w:left="330"/>
              <w:rPr>
                <w:b/>
                <w:bCs/>
                <w:i/>
              </w:rPr>
            </w:pPr>
            <w:r w:rsidRPr="005B0ECF">
              <w:rPr>
                <w:b/>
                <w:bCs/>
              </w:rPr>
              <w:t>I</w:t>
            </w:r>
            <w:r w:rsidR="00CC4A20" w:rsidRPr="005B0ECF">
              <w:rPr>
                <w:b/>
                <w:bCs/>
              </w:rPr>
              <w:t>X.i.2</w:t>
            </w:r>
            <w:r w:rsidR="00976A34" w:rsidRPr="005B0ECF">
              <w:rPr>
                <w:bCs/>
              </w:rPr>
              <w:t xml:space="preserve"> – </w:t>
            </w:r>
            <w:r w:rsidR="008470A1" w:rsidRPr="005B0ECF">
              <w:rPr>
                <w:bCs/>
              </w:rPr>
              <w:t>i</w:t>
            </w:r>
            <w:r w:rsidR="00976A34" w:rsidRPr="005B0ECF">
              <w:rPr>
                <w:bCs/>
              </w:rPr>
              <w:t>ncludes severe burn injury as of 9/16/14</w:t>
            </w:r>
            <w:r w:rsidR="008470A1" w:rsidRPr="005B0ECF">
              <w:rPr>
                <w:bCs/>
              </w:rPr>
              <w:t>; includes ALS as of 2/25/15</w:t>
            </w:r>
            <w:r w:rsidR="00F67D18">
              <w:rPr>
                <w:bCs/>
              </w:rPr>
              <w:t>; can get second allow</w:t>
            </w:r>
            <w:r w:rsidR="00BB25DA">
              <w:rPr>
                <w:bCs/>
              </w:rPr>
              <w:t>ance</w:t>
            </w:r>
            <w:r w:rsidR="00AB3D6F">
              <w:rPr>
                <w:bCs/>
              </w:rPr>
              <w:t xml:space="preserve"> under certain circumstances (i</w:t>
            </w:r>
            <w:r w:rsidR="00BB25DA">
              <w:rPr>
                <w:bCs/>
              </w:rPr>
              <w:t>.e</w:t>
            </w:r>
            <w:r w:rsidR="00AB3D6F">
              <w:rPr>
                <w:bCs/>
              </w:rPr>
              <w:t>.</w:t>
            </w:r>
            <w:r w:rsidR="00BB25DA">
              <w:rPr>
                <w:bCs/>
              </w:rPr>
              <w:t xml:space="preserve"> natural disaster w/no insurance); can get adaptive equipment multiple times</w:t>
            </w:r>
          </w:p>
          <w:p w:rsidR="00013EB8" w:rsidRDefault="00013EB8" w:rsidP="00F063AF">
            <w:pPr>
              <w:widowControl w:val="0"/>
              <w:numPr>
                <w:ilvl w:val="0"/>
                <w:numId w:val="87"/>
              </w:numPr>
              <w:tabs>
                <w:tab w:val="clear" w:pos="720"/>
                <w:tab w:val="num" w:pos="330"/>
              </w:tabs>
              <w:spacing w:after="120"/>
              <w:ind w:left="330"/>
            </w:pPr>
            <w:r>
              <w:rPr>
                <w:b/>
                <w:i/>
              </w:rPr>
              <w:t xml:space="preserve">VAOPGCPREC 3-2004 </w:t>
            </w:r>
            <w:r w:rsidRPr="00F863FB">
              <w:t>(3/9/04)</w:t>
            </w:r>
            <w:r>
              <w:rPr>
                <w:b/>
                <w:i/>
              </w:rPr>
              <w:t xml:space="preserve"> </w:t>
            </w:r>
            <w:r>
              <w:t>- A veteran's entitlement under section 1151(a) to compensation for a disability “as if” service connected does not satisfy 38 U.S.C. 3901(1)(A)'s requirement, for eligibility for automobile benefits under chapter 39 of title 38, United States Code, of entitlement to compensation under chapter 11 for a disability that “is the result of an injury incurred or disease contracted in or aggravated by active military, naval, or air service.”</w:t>
            </w:r>
          </w:p>
          <w:p w:rsidR="00A10FDE" w:rsidRPr="00816FDF" w:rsidRDefault="00A10FDE" w:rsidP="00F063AF">
            <w:pPr>
              <w:widowControl w:val="0"/>
              <w:numPr>
                <w:ilvl w:val="0"/>
                <w:numId w:val="87"/>
              </w:numPr>
              <w:tabs>
                <w:tab w:val="clear" w:pos="720"/>
                <w:tab w:val="num" w:pos="330"/>
              </w:tabs>
              <w:spacing w:after="120"/>
              <w:ind w:left="330"/>
            </w:pPr>
            <w:r w:rsidRPr="00B73089">
              <w:rPr>
                <w:b/>
                <w:i/>
                <w:iCs/>
              </w:rPr>
              <w:t xml:space="preserve">September 2013 </w:t>
            </w:r>
            <w:r w:rsidR="00EB6F0B" w:rsidRPr="00B73089">
              <w:rPr>
                <w:b/>
                <w:i/>
                <w:iCs/>
              </w:rPr>
              <w:t>Compensation Service Bulletin (CSB)</w:t>
            </w:r>
            <w:r w:rsidRPr="00931E70">
              <w:rPr>
                <w:bCs/>
                <w:i/>
                <w:iCs/>
              </w:rPr>
              <w:t xml:space="preserve"> –</w:t>
            </w:r>
            <w:r>
              <w:rPr>
                <w:bCs/>
                <w:iCs/>
              </w:rPr>
              <w:t xml:space="preserve"> A new regulation will codify the provision of section 803 of Public Law 111-275 and adds “severe burn injury” to the disabilities listed under 3.308(b). “Severe burn injury” is “deep partial thickness or full thickness burns resulting in scar formation that cause contracturesand limit motion of one or more extremities or the trunk and preclude operation of an </w:t>
            </w:r>
            <w:r w:rsidR="00743272">
              <w:rPr>
                <w:bCs/>
                <w:iCs/>
              </w:rPr>
              <w:t>automobile</w:t>
            </w:r>
            <w:r w:rsidR="001946CC">
              <w:rPr>
                <w:bCs/>
                <w:iCs/>
              </w:rPr>
              <w:t>.”</w:t>
            </w:r>
            <w:r w:rsidR="00743272">
              <w:rPr>
                <w:bCs/>
                <w:iCs/>
              </w:rPr>
              <w:t xml:space="preserve"> Effective 10/1/11 </w:t>
            </w:r>
            <w:r>
              <w:rPr>
                <w:bCs/>
                <w:iCs/>
              </w:rPr>
              <w:t>- applies to claims receive on or after 10/1/11, and any claims pending on 10/1/11.</w:t>
            </w:r>
          </w:p>
          <w:p w:rsidR="004B4279" w:rsidRPr="00D408C1" w:rsidRDefault="004B4279" w:rsidP="00F063AF">
            <w:pPr>
              <w:pStyle w:val="ListParagraph"/>
              <w:widowControl w:val="0"/>
              <w:numPr>
                <w:ilvl w:val="1"/>
                <w:numId w:val="87"/>
              </w:numPr>
              <w:tabs>
                <w:tab w:val="num" w:pos="330"/>
              </w:tabs>
              <w:spacing w:after="120"/>
              <w:ind w:left="330"/>
              <w:rPr>
                <w:rStyle w:val="Hyperlink"/>
                <w:rFonts w:ascii="Arial" w:hAnsi="Arial"/>
                <w:color w:val="auto"/>
                <w:sz w:val="20"/>
                <w:szCs w:val="20"/>
                <w:u w:val="none"/>
              </w:rPr>
            </w:pPr>
            <w:r w:rsidRPr="00B73089">
              <w:rPr>
                <w:rFonts w:ascii="Arial" w:hAnsi="Arial"/>
                <w:b/>
                <w:i/>
                <w:sz w:val="20"/>
                <w:szCs w:val="20"/>
              </w:rPr>
              <w:t xml:space="preserve">March 2015 </w:t>
            </w:r>
            <w:r w:rsidR="00EB6F0B" w:rsidRPr="00B73089">
              <w:rPr>
                <w:rFonts w:ascii="Arial" w:hAnsi="Arial"/>
                <w:b/>
                <w:i/>
                <w:sz w:val="20"/>
                <w:szCs w:val="20"/>
              </w:rPr>
              <w:t>Compensation Service Bulletin (CSB)</w:t>
            </w:r>
            <w:r>
              <w:rPr>
                <w:rFonts w:ascii="Arial" w:hAnsi="Arial"/>
                <w:sz w:val="20"/>
                <w:szCs w:val="20"/>
              </w:rPr>
              <w:t xml:space="preserve"> – ALS qualifies for auto allowance, </w:t>
            </w:r>
            <w:r w:rsidRPr="005B0ECF">
              <w:rPr>
                <w:rFonts w:ascii="Arial" w:hAnsi="Arial"/>
                <w:b/>
                <w:sz w:val="20"/>
                <w:szCs w:val="20"/>
              </w:rPr>
              <w:t>IX.i.2</w:t>
            </w:r>
          </w:p>
          <w:p w:rsidR="00BB25DA" w:rsidRPr="00BB25DA" w:rsidRDefault="00D408C1" w:rsidP="00F063AF">
            <w:pPr>
              <w:pStyle w:val="ListParagraph"/>
              <w:widowControl w:val="0"/>
              <w:numPr>
                <w:ilvl w:val="1"/>
                <w:numId w:val="87"/>
              </w:numPr>
              <w:tabs>
                <w:tab w:val="num" w:pos="330"/>
              </w:tabs>
              <w:spacing w:after="120"/>
              <w:ind w:left="330"/>
              <w:rPr>
                <w:rFonts w:ascii="Arial" w:hAnsi="Arial"/>
                <w:sz w:val="20"/>
                <w:szCs w:val="20"/>
              </w:rPr>
            </w:pPr>
            <w:r w:rsidRPr="00B73089">
              <w:rPr>
                <w:rFonts w:ascii="Arial" w:hAnsi="Arial"/>
                <w:b/>
                <w:i/>
                <w:sz w:val="20"/>
                <w:szCs w:val="20"/>
              </w:rPr>
              <w:t xml:space="preserve">July 2015 </w:t>
            </w:r>
            <w:r w:rsidR="00EB6F0B" w:rsidRPr="00B73089">
              <w:rPr>
                <w:rFonts w:ascii="Arial" w:hAnsi="Arial"/>
                <w:b/>
                <w:i/>
                <w:sz w:val="20"/>
                <w:szCs w:val="20"/>
              </w:rPr>
              <w:t>Compensation Service Bulletin (CSB)</w:t>
            </w:r>
            <w:r>
              <w:rPr>
                <w:rFonts w:ascii="Arial" w:hAnsi="Arial"/>
                <w:sz w:val="20"/>
                <w:szCs w:val="20"/>
              </w:rPr>
              <w:t xml:space="preserve"> –</w:t>
            </w:r>
            <w:r w:rsidR="00D00733">
              <w:rPr>
                <w:rFonts w:ascii="Arial" w:hAnsi="Arial"/>
                <w:sz w:val="20"/>
                <w:szCs w:val="20"/>
              </w:rPr>
              <w:t xml:space="preserve"> </w:t>
            </w:r>
            <w:r w:rsidR="00D821CA">
              <w:rPr>
                <w:rFonts w:ascii="Arial" w:hAnsi="Arial"/>
                <w:sz w:val="20"/>
                <w:szCs w:val="20"/>
              </w:rPr>
              <w:t>can get second allowance due to natural or other disasters</w:t>
            </w:r>
          </w:p>
        </w:tc>
      </w:tr>
    </w:tbl>
    <w:p w:rsidR="00013EB8" w:rsidRPr="00BE26A3"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sidRPr="00BE26A3">
        <w:rPr>
          <w:i/>
        </w:rPr>
        <w:t>grantauto:</w:t>
      </w:r>
    </w:p>
    <w:p w:rsidR="00013EB8" w:rsidRPr="00BE26A3"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pPr>
      <w:r w:rsidRPr="00BE26A3">
        <w:t>We have established entitlement to automobile and adaptive equipment because you have service-connected {anatomical loss/permanent loss of use} of {one foot/both feet/one hand/both hands}</w:t>
      </w:r>
      <w:r w:rsidR="00B51315" w:rsidRPr="00BE26A3">
        <w:t>/{ permanent impairment of vision of both eyes with central visual acuity of 20/200 or less in the better eye with corrective glasses, or central visual acuity of more than 20/200 if there is a field defect in which the peripheral field has contracted to such an extent that the widest diameter of visual field subtends an angular distance no greater than 20 degrees in the better eye}</w:t>
      </w:r>
      <w:r w:rsidR="00743272" w:rsidRPr="00BE26A3">
        <w:t>/{severe burn injury with deep partial thickness or full thickness burns resulting in scar formation that cause contractures and limit motion of one or more extremities or the trunk and preclude effective operation of an automobile – eff 10/1/11}</w:t>
      </w:r>
      <w:r w:rsidR="00AB3D6F" w:rsidRPr="00BE26A3">
        <w:t>/ALS.</w:t>
      </w:r>
      <w:r w:rsidRPr="00BE26A3">
        <w:t xml:space="preserve"> This entitles you </w:t>
      </w:r>
      <w:r w:rsidR="00B51315" w:rsidRPr="00BE26A3">
        <w:t>to a certificate of eligibility</w:t>
      </w:r>
      <w:r w:rsidRPr="00BE26A3">
        <w:t>for financial assistance in the purchase of one automobile or other conveyance, and necessary adaptive equipment.</w:t>
      </w:r>
    </w:p>
    <w:p w:rsidR="00013EB8" w:rsidRPr="00BE26A3" w:rsidRDefault="00013EB8">
      <w:pPr>
        <w:widowControl w:val="0"/>
        <w:tabs>
          <w:tab w:val="left" w:pos="0"/>
          <w:tab w:val="left" w:pos="144"/>
        </w:tabs>
      </w:pPr>
    </w:p>
    <w:p w:rsidR="00013EB8" w:rsidRPr="00BE26A3"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pPr>
      <w:r w:rsidRPr="00BE26A3">
        <w:rPr>
          <w:i/>
        </w:rPr>
        <w:t>denyauto:</w:t>
      </w:r>
    </w:p>
    <w:p w:rsidR="00013EB8" w:rsidRPr="00BE26A3" w:rsidRDefault="00FB4FA3">
      <w:pPr>
        <w:widowControl w:val="0"/>
        <w:pBdr>
          <w:top w:val="single" w:sz="4" w:space="1" w:color="auto"/>
          <w:left w:val="single" w:sz="4" w:space="4" w:color="auto"/>
          <w:bottom w:val="single" w:sz="4" w:space="1" w:color="auto"/>
          <w:right w:val="single" w:sz="4" w:space="4" w:color="auto"/>
        </w:pBdr>
        <w:tabs>
          <w:tab w:val="left" w:pos="0"/>
          <w:tab w:val="left" w:pos="144"/>
        </w:tabs>
      </w:pPr>
      <w:r w:rsidRPr="00BE26A3">
        <w:t>T</w:t>
      </w:r>
      <w:r w:rsidR="00013EB8" w:rsidRPr="00BE26A3">
        <w:t>he evidence does not show that you have any of the above</w:t>
      </w:r>
      <w:r w:rsidRPr="00BE26A3">
        <w:t xml:space="preserve"> service-connected</w:t>
      </w:r>
      <w:r w:rsidR="00013EB8" w:rsidRPr="00BE26A3">
        <w:t xml:space="preserve"> conditions.</w:t>
      </w:r>
    </w:p>
    <w:p w:rsidR="00013EB8" w:rsidRDefault="00013EB8">
      <w:pPr>
        <w:widowControl w:val="0"/>
        <w:tabs>
          <w:tab w:val="left" w:pos="0"/>
          <w:tab w:val="left" w:pos="144"/>
        </w:tabs>
        <w:rPr>
          <w:sz w:val="22"/>
        </w:rPr>
      </w:pPr>
    </w:p>
    <w:p w:rsidR="00013EB8" w:rsidRDefault="00013EB8">
      <w:pPr>
        <w:widowControl w:val="0"/>
        <w:pBdr>
          <w:top w:val="dashed" w:sz="4" w:space="1" w:color="auto"/>
        </w:pBdr>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rPr>
          <w:trHeight w:val="1088"/>
        </w:trPr>
        <w:tc>
          <w:tcPr>
            <w:tcW w:w="705" w:type="dxa"/>
            <w:tcBorders>
              <w:top w:val="nil"/>
              <w:left w:val="nil"/>
              <w:bottom w:val="nil"/>
              <w:right w:val="nil"/>
            </w:tcBorders>
          </w:tcPr>
          <w:p w:rsidR="00013EB8" w:rsidRDefault="00013EB8">
            <w:pPr>
              <w:widowControl w:val="0"/>
              <w:numPr>
                <w:ilvl w:val="12"/>
                <w:numId w:val="0"/>
              </w:numPr>
              <w:rPr>
                <w:b/>
              </w:rPr>
            </w:pPr>
            <w:r w:rsidRPr="007A4B37">
              <w:rPr>
                <w:b/>
              </w:rPr>
              <w:t>3.809</w:t>
            </w:r>
          </w:p>
        </w:tc>
        <w:tc>
          <w:tcPr>
            <w:tcW w:w="10270" w:type="dxa"/>
            <w:tcBorders>
              <w:top w:val="nil"/>
              <w:left w:val="nil"/>
              <w:bottom w:val="nil"/>
              <w:right w:val="nil"/>
            </w:tcBorders>
          </w:tcPr>
          <w:p w:rsidR="00013EB8" w:rsidRPr="00AB3D6F" w:rsidRDefault="00013EB8">
            <w:pPr>
              <w:widowControl w:val="0"/>
              <w:numPr>
                <w:ilvl w:val="12"/>
                <w:numId w:val="0"/>
              </w:numPr>
              <w:spacing w:after="120"/>
            </w:pPr>
            <w:r>
              <w:rPr>
                <w:b/>
              </w:rPr>
              <w:t xml:space="preserve">Specially adapted housing under 38 U.S.C. 801(a) </w:t>
            </w:r>
            <w:r>
              <w:t>– (SAH) (i) both LE, such as to preclude locomotion without the aid of braces, crutches, canes, or a wheelchair, (ii) bilateral blindness w/LPO, plus 1 LE, (iii) 1</w:t>
            </w:r>
            <w:r w:rsidR="00AB3D6F">
              <w:t xml:space="preserve"> </w:t>
            </w:r>
            <w:r>
              <w:t>LE, plus residuals of organic disease or injury which so affect the functions of balance or propulsion as to preclude locomotion without the aid of braces, crutc</w:t>
            </w:r>
            <w:r w:rsidR="00AB3D6F">
              <w:t xml:space="preserve">hes, canes, or a wheelchair, </w:t>
            </w:r>
            <w:r>
              <w:t>(iv) 1</w:t>
            </w:r>
            <w:r w:rsidR="00AB3D6F">
              <w:t xml:space="preserve"> </w:t>
            </w:r>
            <w:r>
              <w:t>LE, plus 1 UE which so affect the functions of balance or propulsion as to preclude locomotion without the aid of braces, crutches, canes, or a wheelchair</w:t>
            </w:r>
            <w:r w:rsidR="00AB3D6F">
              <w:t>, (v) burns, (vi) ALS</w:t>
            </w:r>
            <w:r>
              <w:t xml:space="preserve">; </w:t>
            </w:r>
            <w:r w:rsidR="00AB3D6F">
              <w:rPr>
                <w:i/>
              </w:rPr>
              <w:t xml:space="preserve">actual adjustmenets to house, hallways, doorways; </w:t>
            </w:r>
            <w:r>
              <w:rPr>
                <w:i/>
              </w:rPr>
              <w:t>cannot get this &amp; SHAG at same time, if this is granted, cannot grant SHAG also; but can get SHAG prior to this, then get difference between the 2 when this is granted; this is the greater benefit of the two</w:t>
            </w:r>
            <w:r w:rsidR="00AB3D6F">
              <w:t>; different for GWOT (9/11/01, eff 10/1/11-9/30/16)</w:t>
            </w:r>
          </w:p>
          <w:p w:rsidR="000B73BC" w:rsidRPr="000B73BC" w:rsidRDefault="000B73BC" w:rsidP="00F063AF">
            <w:pPr>
              <w:pStyle w:val="BodyText"/>
              <w:widowControl w:val="0"/>
              <w:numPr>
                <w:ilvl w:val="0"/>
                <w:numId w:val="121"/>
              </w:numPr>
              <w:tabs>
                <w:tab w:val="clear" w:pos="720"/>
                <w:tab w:val="num" w:pos="330"/>
              </w:tabs>
              <w:spacing w:after="120"/>
              <w:ind w:left="330" w:hanging="270"/>
              <w:rPr>
                <w:sz w:val="20"/>
              </w:rPr>
            </w:pPr>
            <w:r w:rsidRPr="00CF557B">
              <w:rPr>
                <w:b/>
                <w:iCs/>
                <w:sz w:val="20"/>
              </w:rPr>
              <w:t>III.iv.6.B</w:t>
            </w:r>
            <w:r w:rsidRPr="00CF557B">
              <w:rPr>
                <w:sz w:val="20"/>
              </w:rPr>
              <w:t xml:space="preserve"> –</w:t>
            </w:r>
            <w:r w:rsidRPr="000B73BC">
              <w:rPr>
                <w:sz w:val="20"/>
              </w:rPr>
              <w:t xml:space="preserve"> inferred issues, </w:t>
            </w:r>
            <w:r w:rsidR="00A10388">
              <w:rPr>
                <w:i/>
                <w:sz w:val="20"/>
              </w:rPr>
              <w:t>do not infer</w:t>
            </w:r>
            <w:r w:rsidRPr="000B73BC">
              <w:rPr>
                <w:i/>
                <w:sz w:val="20"/>
              </w:rPr>
              <w:t xml:space="preserve"> to deny</w:t>
            </w:r>
          </w:p>
          <w:p w:rsidR="00013EB8" w:rsidRDefault="00013EB8" w:rsidP="00F063AF">
            <w:pPr>
              <w:widowControl w:val="0"/>
              <w:numPr>
                <w:ilvl w:val="0"/>
                <w:numId w:val="121"/>
              </w:numPr>
              <w:tabs>
                <w:tab w:val="clear" w:pos="720"/>
                <w:tab w:val="num" w:pos="330"/>
              </w:tabs>
              <w:spacing w:after="120"/>
              <w:ind w:left="330" w:hanging="270"/>
              <w:rPr>
                <w:i/>
              </w:rPr>
            </w:pPr>
            <w:r w:rsidRPr="005B0ECF">
              <w:rPr>
                <w:b/>
                <w:bCs/>
              </w:rPr>
              <w:t>IX.i.3</w:t>
            </w:r>
          </w:p>
          <w:p w:rsidR="00013EB8" w:rsidRDefault="00013EB8" w:rsidP="00F063AF">
            <w:pPr>
              <w:numPr>
                <w:ilvl w:val="0"/>
                <w:numId w:val="121"/>
              </w:numPr>
              <w:tabs>
                <w:tab w:val="clear" w:pos="720"/>
                <w:tab w:val="num" w:pos="330"/>
              </w:tabs>
              <w:spacing w:after="120"/>
              <w:ind w:left="330" w:hanging="270"/>
              <w:rPr>
                <w:szCs w:val="24"/>
              </w:rPr>
            </w:pPr>
            <w:r w:rsidRPr="00B73089">
              <w:rPr>
                <w:b/>
                <w:bCs/>
                <w:i/>
                <w:iCs/>
              </w:rPr>
              <w:t xml:space="preserve">December 2012 </w:t>
            </w:r>
            <w:r w:rsidR="00EB6F0B" w:rsidRPr="00B73089">
              <w:rPr>
                <w:b/>
                <w:bCs/>
                <w:i/>
                <w:iCs/>
              </w:rPr>
              <w:t>Compensation Service Bulletin (CSB)</w:t>
            </w:r>
            <w:r>
              <w:rPr>
                <w:b/>
                <w:bCs/>
                <w:i/>
                <w:iCs/>
              </w:rPr>
              <w:t xml:space="preserve"> – </w:t>
            </w:r>
            <w:r>
              <w:rPr>
                <w:szCs w:val="24"/>
              </w:rPr>
              <w:t xml:space="preserve">Section 202 of </w:t>
            </w:r>
            <w:hyperlink r:id="rId682" w:history="1">
              <w:r>
                <w:rPr>
                  <w:color w:val="0000FF"/>
                  <w:szCs w:val="24"/>
                  <w:u w:val="single"/>
                </w:rPr>
                <w:t>Public Law 112-154</w:t>
              </w:r>
            </w:hyperlink>
            <w:r>
              <w:rPr>
                <w:szCs w:val="24"/>
              </w:rPr>
              <w:t xml:space="preserve"> provides that in addition to those Veterans currently eligible for SAH under </w:t>
            </w:r>
            <w:hyperlink r:id="rId683" w:history="1">
              <w:r>
                <w:rPr>
                  <w:color w:val="0000FF"/>
                  <w:szCs w:val="24"/>
                  <w:u w:val="single"/>
                </w:rPr>
                <w:t>38 U.S.C. § 2101(a)</w:t>
              </w:r>
            </w:hyperlink>
            <w:r>
              <w:rPr>
                <w:szCs w:val="24"/>
              </w:rPr>
              <w:t xml:space="preserve"> (</w:t>
            </w:r>
            <w:r w:rsidRPr="00B73089">
              <w:rPr>
                <w:szCs w:val="24"/>
              </w:rPr>
              <w:t xml:space="preserve">see </w:t>
            </w:r>
            <w:r w:rsidRPr="00B73089">
              <w:rPr>
                <w:szCs w:val="24"/>
                <w:u w:val="single"/>
              </w:rPr>
              <w:t>38 C.F.R. § 3.809</w:t>
            </w:r>
            <w:r w:rsidRPr="00B73089">
              <w:rPr>
                <w:szCs w:val="24"/>
              </w:rPr>
              <w:t xml:space="preserve">), </w:t>
            </w:r>
            <w:r>
              <w:rPr>
                <w:szCs w:val="24"/>
              </w:rPr>
              <w:t xml:space="preserve">Veterans who served on or after September 11, 2001, and incurred a permanent, but not necessarily total, disability that is “due to the loss or loss of use of one or more lower extremities which so affects the functions of balance or propulsion as to preclude ambulating without the aid of braces, crutches, canes, or a wheelchair” are eligible for the SAH benefit.  The amendment is temporary, and provides that the SAH benefit may be awarded </w:t>
            </w:r>
            <w:r w:rsidRPr="00B73089">
              <w:rPr>
                <w:szCs w:val="24"/>
              </w:rPr>
              <w:t xml:space="preserve">for claims pending on or after October 1, 2012, as long as the application is approved on or before September 30, 2013.  Unless Congress extends or makes this benefit permanent, we will not amend the regulation, </w:t>
            </w:r>
            <w:r w:rsidRPr="00B73089">
              <w:rPr>
                <w:szCs w:val="24"/>
                <w:u w:val="single"/>
              </w:rPr>
              <w:t>38 C.F.R. § 3.809</w:t>
            </w:r>
            <w:r w:rsidRPr="00B73089">
              <w:rPr>
                <w:szCs w:val="24"/>
              </w:rPr>
              <w:t xml:space="preserve">.    </w:t>
            </w:r>
          </w:p>
          <w:p w:rsidR="00013EB8" w:rsidRDefault="00013EB8" w:rsidP="00C160B2">
            <w:pPr>
              <w:tabs>
                <w:tab w:val="num" w:pos="330"/>
              </w:tabs>
              <w:spacing w:after="120"/>
              <w:ind w:left="330"/>
              <w:rPr>
                <w:szCs w:val="24"/>
              </w:rPr>
            </w:pPr>
            <w:r>
              <w:rPr>
                <w:szCs w:val="24"/>
              </w:rPr>
              <w:t xml:space="preserve">Decision makers should be aware that this new provision is </w:t>
            </w:r>
            <w:r>
              <w:rPr>
                <w:b/>
                <w:szCs w:val="24"/>
              </w:rPr>
              <w:t>only</w:t>
            </w:r>
            <w:r>
              <w:rPr>
                <w:szCs w:val="24"/>
              </w:rPr>
              <w:t xml:space="preserve"> available to Global War on Terror (GWOT) Veterans and, in addition, differs from prior SAH </w:t>
            </w:r>
            <w:r w:rsidR="00AF32DD">
              <w:rPr>
                <w:szCs w:val="24"/>
              </w:rPr>
              <w:t>benefits in the following ways:</w:t>
            </w:r>
          </w:p>
          <w:p w:rsidR="00013EB8" w:rsidRDefault="00013EB8" w:rsidP="00F063AF">
            <w:pPr>
              <w:numPr>
                <w:ilvl w:val="0"/>
                <w:numId w:val="121"/>
              </w:numPr>
              <w:tabs>
                <w:tab w:val="clear" w:pos="720"/>
                <w:tab w:val="num" w:pos="690"/>
                <w:tab w:val="num" w:pos="1050"/>
              </w:tabs>
              <w:spacing w:after="120"/>
              <w:ind w:left="690"/>
              <w:rPr>
                <w:szCs w:val="24"/>
              </w:rPr>
            </w:pPr>
            <w:r>
              <w:rPr>
                <w:szCs w:val="24"/>
              </w:rPr>
              <w:t xml:space="preserve">There must be loss or loss of use (LOU) of a minimum of one leg, rather than both.  </w:t>
            </w:r>
          </w:p>
          <w:p w:rsidR="00013EB8" w:rsidRDefault="00013EB8" w:rsidP="00F063AF">
            <w:pPr>
              <w:numPr>
                <w:ilvl w:val="0"/>
                <w:numId w:val="121"/>
              </w:numPr>
              <w:tabs>
                <w:tab w:val="clear" w:pos="720"/>
                <w:tab w:val="num" w:pos="690"/>
                <w:tab w:val="num" w:pos="1050"/>
              </w:tabs>
              <w:spacing w:after="120"/>
              <w:ind w:left="690"/>
              <w:rPr>
                <w:szCs w:val="24"/>
              </w:rPr>
            </w:pPr>
            <w:r>
              <w:rPr>
                <w:szCs w:val="24"/>
              </w:rPr>
              <w:t xml:space="preserve">The loss or LOU must be permanent but need not be totally disabling.  </w:t>
            </w:r>
          </w:p>
          <w:p w:rsidR="00013EB8" w:rsidRDefault="00013EB8" w:rsidP="00F063AF">
            <w:pPr>
              <w:numPr>
                <w:ilvl w:val="0"/>
                <w:numId w:val="121"/>
              </w:numPr>
              <w:tabs>
                <w:tab w:val="clear" w:pos="720"/>
                <w:tab w:val="num" w:pos="690"/>
                <w:tab w:val="num" w:pos="1050"/>
              </w:tabs>
              <w:spacing w:after="120"/>
              <w:ind w:left="690"/>
              <w:rPr>
                <w:szCs w:val="24"/>
              </w:rPr>
            </w:pPr>
            <w:r>
              <w:rPr>
                <w:szCs w:val="24"/>
              </w:rPr>
              <w:t xml:space="preserve">The loss or LOU must prevent ambulation (walking) without the use of braces, crutches, canes or a wheelchair.  Former SAH provisions provided that the disability must preclude locomotion, which may be interpreted as precluding movement rather than specifically precluding walking/ambulation.  As a result, if a competent medical opinion shows that due to the loss or LOU of at least one lower extremity, the GWOT Veteran cannot walk without the use of braces, crutches, canes or a wheelchair, which are used for the purpose of balance or propulsion, award the SAH benefit to the Veteran.  </w:t>
            </w:r>
          </w:p>
          <w:p w:rsidR="00013EB8" w:rsidRDefault="00013EB8" w:rsidP="00C160B2">
            <w:pPr>
              <w:tabs>
                <w:tab w:val="num" w:pos="330"/>
              </w:tabs>
              <w:spacing w:after="120"/>
              <w:ind w:left="330"/>
              <w:rPr>
                <w:szCs w:val="24"/>
              </w:rPr>
            </w:pPr>
            <w:r>
              <w:rPr>
                <w:szCs w:val="24"/>
              </w:rPr>
              <w:t xml:space="preserve">This new SAH benefit </w:t>
            </w:r>
            <w:r>
              <w:rPr>
                <w:b/>
                <w:szCs w:val="24"/>
              </w:rPr>
              <w:t>does not</w:t>
            </w:r>
            <w:r>
              <w:rPr>
                <w:szCs w:val="24"/>
              </w:rPr>
              <w:t xml:space="preserve"> change existing SAH procedures.  Since Rating Board Automation (RBA) 2000 does not contain text regarding the law that provides this new benefit, decision makers who award this benefit </w:t>
            </w:r>
            <w:r>
              <w:rPr>
                <w:color w:val="000000"/>
                <w:szCs w:val="24"/>
              </w:rPr>
              <w:t xml:space="preserve">should insert the following text in addition to the generated text in the </w:t>
            </w:r>
            <w:r>
              <w:rPr>
                <w:b/>
                <w:bCs/>
                <w:i/>
                <w:iCs/>
                <w:color w:val="000000"/>
                <w:szCs w:val="24"/>
              </w:rPr>
              <w:t xml:space="preserve">Reasons for Decision </w:t>
            </w:r>
            <w:r>
              <w:rPr>
                <w:color w:val="000000"/>
                <w:szCs w:val="24"/>
              </w:rPr>
              <w:t xml:space="preserve">block:     </w:t>
            </w:r>
          </w:p>
          <w:p w:rsidR="00013EB8" w:rsidRDefault="00013EB8" w:rsidP="00245A7A">
            <w:pPr>
              <w:widowControl w:val="0"/>
              <w:tabs>
                <w:tab w:val="num" w:pos="330"/>
              </w:tabs>
              <w:spacing w:after="120"/>
              <w:ind w:left="330"/>
              <w:rPr>
                <w:i/>
                <w:szCs w:val="24"/>
              </w:rPr>
            </w:pPr>
            <w:r>
              <w:rPr>
                <w:i/>
                <w:szCs w:val="24"/>
              </w:rPr>
              <w:t>Section 202 of Public Law 112-154 provides that in addition to those Veterans currently eligible for Specially Adaptive Housing</w:t>
            </w:r>
            <w:r w:rsidR="00245A7A">
              <w:rPr>
                <w:i/>
                <w:szCs w:val="24"/>
              </w:rPr>
              <w:t xml:space="preserve"> (</w:t>
            </w:r>
            <w:r w:rsidR="00245A7A" w:rsidRPr="00245A7A">
              <w:rPr>
                <w:rFonts w:ascii="Helvetica" w:hAnsi="Helvetica" w:cs="Helvetica"/>
                <w:i/>
                <w:color w:val="00B050"/>
              </w:rPr>
              <w:t xml:space="preserve">My Notes:  </w:t>
            </w:r>
            <w:r w:rsidR="00245A7A" w:rsidRPr="00245A7A">
              <w:rPr>
                <w:rFonts w:ascii="Helvetica" w:hAnsi="Helvetica" w:cs="Helvetica"/>
                <w:i/>
              </w:rPr>
              <w:t xml:space="preserve">It’s actually called </w:t>
            </w:r>
            <w:r w:rsidR="00245A7A" w:rsidRPr="00245A7A">
              <w:rPr>
                <w:i/>
              </w:rPr>
              <w:t>Specially Adapt</w:t>
            </w:r>
            <w:r w:rsidR="00245A7A" w:rsidRPr="00245A7A">
              <w:rPr>
                <w:b/>
                <w:i/>
                <w:u w:val="single"/>
              </w:rPr>
              <w:t>ed</w:t>
            </w:r>
            <w:r w:rsidR="00245A7A" w:rsidRPr="00245A7A">
              <w:rPr>
                <w:i/>
              </w:rPr>
              <w:t xml:space="preserve"> Housing</w:t>
            </w:r>
            <w:r w:rsidR="00245A7A">
              <w:rPr>
                <w:i/>
              </w:rPr>
              <w:t xml:space="preserve">.) </w:t>
            </w:r>
            <w:r>
              <w:rPr>
                <w:i/>
                <w:szCs w:val="24"/>
              </w:rPr>
              <w:t>under 38 U.S.C. § 2101(a), Veterans who served on or after September 11, 2001, and incurred a permanent disability that is “due to the loss or loss of use of one or more lower extremities which so affects the functions of balance or propulsion as to preclude ambulating without the aid of braces, crutches, canes, or a wheelchair” are eligible for the SAH benefit.  The amendment, which is temporary, provides that the SAH benefit may be awarded for claims pending on or after October 1, 2012, as long as the application is approved on or before September 30, 2013.</w:t>
            </w:r>
          </w:p>
          <w:p w:rsidR="00013EB8" w:rsidRDefault="00013EB8" w:rsidP="00C160B2">
            <w:pPr>
              <w:widowControl w:val="0"/>
              <w:tabs>
                <w:tab w:val="num" w:pos="330"/>
              </w:tabs>
              <w:spacing w:after="120"/>
              <w:ind w:left="330"/>
              <w:rPr>
                <w:color w:val="000000"/>
                <w:szCs w:val="24"/>
              </w:rPr>
            </w:pPr>
            <w:r>
              <w:rPr>
                <w:color w:val="000000"/>
                <w:szCs w:val="24"/>
              </w:rPr>
              <w:t xml:space="preserve">NOTE:  VBMS-R users should insert the standard glossary text entitled “SAH_GWOT” in addition to the generated text in the </w:t>
            </w:r>
            <w:r>
              <w:rPr>
                <w:b/>
                <w:bCs/>
                <w:i/>
                <w:iCs/>
                <w:color w:val="000000"/>
                <w:szCs w:val="24"/>
              </w:rPr>
              <w:t xml:space="preserve">Reasons for Decision </w:t>
            </w:r>
            <w:r>
              <w:rPr>
                <w:color w:val="000000"/>
                <w:szCs w:val="24"/>
              </w:rPr>
              <w:t>block.</w:t>
            </w:r>
          </w:p>
          <w:p w:rsidR="00AA16BB" w:rsidRDefault="00472785" w:rsidP="00C160B2">
            <w:pPr>
              <w:widowControl w:val="0"/>
              <w:tabs>
                <w:tab w:val="num" w:pos="330"/>
              </w:tabs>
              <w:spacing w:after="120"/>
              <w:ind w:left="330"/>
              <w:rPr>
                <w:rFonts w:ascii="Verdana" w:hAnsi="Verdana"/>
                <w:b/>
                <w:bCs/>
              </w:rPr>
            </w:pPr>
            <w:r>
              <w:rPr>
                <w:rFonts w:ascii="Verdana" w:hAnsi="Verdana"/>
                <w:b/>
                <w:bCs/>
                <w:highlight w:val="green"/>
              </w:rPr>
              <w:t>SAH_GWOT</w:t>
            </w:r>
          </w:p>
          <w:p w:rsidR="004E1BA5" w:rsidRPr="00AA16BB" w:rsidRDefault="004E1BA5" w:rsidP="00F063AF">
            <w:pPr>
              <w:pStyle w:val="ListParagraph"/>
              <w:widowControl w:val="0"/>
              <w:numPr>
                <w:ilvl w:val="0"/>
                <w:numId w:val="303"/>
              </w:numPr>
              <w:tabs>
                <w:tab w:val="num" w:pos="330"/>
              </w:tabs>
              <w:spacing w:after="120"/>
              <w:ind w:left="330"/>
              <w:rPr>
                <w:rStyle w:val="Hyperlink"/>
                <w:rFonts w:ascii="Arial" w:hAnsi="Arial"/>
                <w:color w:val="auto"/>
                <w:sz w:val="20"/>
                <w:szCs w:val="20"/>
                <w:u w:val="none"/>
              </w:rPr>
            </w:pPr>
            <w:r w:rsidRPr="00AA16BB">
              <w:rPr>
                <w:rFonts w:ascii="Arial" w:hAnsi="Arial"/>
                <w:b/>
                <w:bCs/>
                <w:i/>
                <w:sz w:val="20"/>
                <w:szCs w:val="20"/>
              </w:rPr>
              <w:t xml:space="preserve">December 2013 </w:t>
            </w:r>
            <w:r w:rsidR="00EB6F0B" w:rsidRPr="00AA16BB">
              <w:rPr>
                <w:rFonts w:ascii="Arial" w:hAnsi="Arial"/>
                <w:b/>
                <w:bCs/>
                <w:i/>
                <w:sz w:val="20"/>
                <w:szCs w:val="20"/>
              </w:rPr>
              <w:t>Compensation Service Bulletin (CSB)</w:t>
            </w:r>
            <w:r w:rsidRPr="00AA16BB">
              <w:rPr>
                <w:rFonts w:ascii="Arial" w:hAnsi="Arial"/>
                <w:b/>
                <w:bCs/>
                <w:i/>
                <w:sz w:val="20"/>
                <w:szCs w:val="20"/>
              </w:rPr>
              <w:t xml:space="preserve"> Addendum</w:t>
            </w:r>
            <w:r w:rsidRPr="00AA16BB">
              <w:rPr>
                <w:rStyle w:val="Hyperlink"/>
                <w:rFonts w:ascii="Arial" w:hAnsi="Arial"/>
                <w:bCs/>
                <w:sz w:val="20"/>
                <w:szCs w:val="20"/>
                <w:u w:val="none"/>
              </w:rPr>
              <w:t xml:space="preserve"> </w:t>
            </w:r>
            <w:r w:rsidRPr="00AA16BB">
              <w:rPr>
                <w:rStyle w:val="Hyperlink"/>
                <w:rFonts w:ascii="Arial" w:hAnsi="Arial"/>
                <w:bCs/>
                <w:color w:val="auto"/>
                <w:sz w:val="20"/>
                <w:szCs w:val="20"/>
                <w:u w:val="none"/>
              </w:rPr>
              <w:t>–SAH provisions of PL 113-37 and 112-154 to 9/30/14; adds ALS as qualifying condition; need to use WTEMS from addendum &amp; add this text to Ratings:</w:t>
            </w:r>
          </w:p>
          <w:p w:rsidR="00BB25DA" w:rsidRDefault="00BB25DA" w:rsidP="00F063AF">
            <w:pPr>
              <w:numPr>
                <w:ilvl w:val="1"/>
                <w:numId w:val="121"/>
              </w:numPr>
              <w:tabs>
                <w:tab w:val="clear" w:pos="1440"/>
                <w:tab w:val="num" w:pos="780"/>
              </w:tabs>
              <w:overflowPunct/>
              <w:autoSpaceDE/>
              <w:autoSpaceDN/>
              <w:adjustRightInd/>
              <w:spacing w:after="120"/>
              <w:ind w:left="780"/>
              <w:contextualSpacing/>
              <w:textAlignment w:val="auto"/>
              <w:rPr>
                <w:i/>
                <w:iCs/>
              </w:rPr>
            </w:pPr>
            <w:r w:rsidRPr="0003376F">
              <w:rPr>
                <w:i/>
                <w:iCs/>
              </w:rPr>
              <w:t>Temporary provisions of 38 U.S.C. §2101(a) provide that Veterans who served on or after September 11, 2001, and incurred a permanent disability that is “due to the loss or loss of use of one or more lower extremities which so affects the functions of balance or propulsion as to preclude ambulation without the aid of braces, crutches, canes, or a wheelchair” may be awarded SAH. The temporary provisions apply to claims pending on or after October 1, 2012 and approved by the Secretary on or before September 30, 2014.</w:t>
            </w:r>
          </w:p>
          <w:p w:rsidR="00BB25DA" w:rsidRDefault="00BB25DA" w:rsidP="00F063AF">
            <w:pPr>
              <w:numPr>
                <w:ilvl w:val="1"/>
                <w:numId w:val="121"/>
              </w:numPr>
              <w:tabs>
                <w:tab w:val="clear" w:pos="1440"/>
                <w:tab w:val="num" w:pos="780"/>
              </w:tabs>
              <w:overflowPunct/>
              <w:autoSpaceDE/>
              <w:autoSpaceDN/>
              <w:adjustRightInd/>
              <w:spacing w:after="120"/>
              <w:ind w:left="780"/>
              <w:contextualSpacing/>
              <w:textAlignment w:val="auto"/>
              <w:rPr>
                <w:i/>
                <w:iCs/>
              </w:rPr>
            </w:pPr>
            <w:r>
              <w:rPr>
                <w:i/>
                <w:iCs/>
              </w:rPr>
              <w:t>A</w:t>
            </w:r>
            <w:r w:rsidRPr="0003376F">
              <w:rPr>
                <w:i/>
                <w:iCs/>
              </w:rPr>
              <w:t xml:space="preserve">LS is a qualifying permanent and total disability for the purpose of specially adapted housing. </w:t>
            </w:r>
          </w:p>
          <w:p w:rsidR="00AA16BB" w:rsidRPr="00AA16BB" w:rsidRDefault="00AA16BB" w:rsidP="00F063AF">
            <w:pPr>
              <w:pStyle w:val="ListParagraph"/>
              <w:widowControl w:val="0"/>
              <w:numPr>
                <w:ilvl w:val="0"/>
                <w:numId w:val="303"/>
              </w:numPr>
              <w:spacing w:after="120"/>
              <w:ind w:left="330" w:hanging="270"/>
              <w:rPr>
                <w:rFonts w:ascii="Verdana" w:hAnsi="Verdana"/>
                <w:b/>
                <w:bCs/>
                <w:szCs w:val="20"/>
              </w:rPr>
            </w:pPr>
            <w:r w:rsidRPr="00AA16BB">
              <w:rPr>
                <w:rFonts w:ascii="Arial" w:hAnsi="Arial"/>
                <w:bCs/>
                <w:sz w:val="20"/>
              </w:rPr>
              <w:t>Per</w:t>
            </w:r>
            <w:r w:rsidRPr="00AA16BB">
              <w:rPr>
                <w:bCs/>
              </w:rPr>
              <w:t xml:space="preserve"> </w:t>
            </w:r>
            <w:r w:rsidR="00472785" w:rsidRPr="00EE0E5B">
              <w:rPr>
                <w:rFonts w:ascii="Verdana" w:hAnsi="Verdana"/>
                <w:b/>
                <w:bCs/>
                <w:sz w:val="20"/>
                <w:highlight w:val="green"/>
              </w:rPr>
              <w:t>SAH_GWOT</w:t>
            </w:r>
            <w:r w:rsidRPr="00AA16BB">
              <w:rPr>
                <w:bCs/>
              </w:rPr>
              <w:t xml:space="preserve">, </w:t>
            </w:r>
            <w:r w:rsidRPr="00AA16BB">
              <w:rPr>
                <w:rFonts w:ascii="Arial" w:hAnsi="Arial"/>
                <w:sz w:val="20"/>
                <w:szCs w:val="20"/>
              </w:rPr>
              <w:t>Public Law 113-175 extended this provision for claims pending for the same period as long as the application is approved on or before September 30, 2015.</w:t>
            </w:r>
          </w:p>
          <w:p w:rsidR="00FF5260" w:rsidRDefault="00FF5260" w:rsidP="00F063AF">
            <w:pPr>
              <w:widowControl w:val="0"/>
              <w:numPr>
                <w:ilvl w:val="0"/>
                <w:numId w:val="121"/>
              </w:numPr>
              <w:spacing w:after="120"/>
              <w:ind w:left="330" w:hanging="270"/>
              <w:rPr>
                <w:i/>
              </w:rPr>
            </w:pPr>
            <w:r w:rsidRPr="005B0ECF">
              <w:rPr>
                <w:b/>
                <w:bCs/>
              </w:rPr>
              <w:t>IX.i.3</w:t>
            </w:r>
            <w:r>
              <w:rPr>
                <w:b/>
                <w:bCs/>
              </w:rPr>
              <w:t xml:space="preserve">.1.f </w:t>
            </w:r>
            <w:r>
              <w:rPr>
                <w:bCs/>
              </w:rPr>
              <w:t xml:space="preserve"> says extend to 9/30/1</w:t>
            </w:r>
            <w:r w:rsidR="00B3473B">
              <w:rPr>
                <w:bCs/>
              </w:rPr>
              <w:t>8</w:t>
            </w:r>
            <w:r>
              <w:rPr>
                <w:bCs/>
              </w:rPr>
              <w:t xml:space="preserve"> by PL 114-58</w:t>
            </w:r>
          </w:p>
          <w:p w:rsidR="00AA16BB" w:rsidRPr="00AA16BB" w:rsidRDefault="00FF5260" w:rsidP="00F063AF">
            <w:pPr>
              <w:numPr>
                <w:ilvl w:val="0"/>
                <w:numId w:val="121"/>
              </w:numPr>
              <w:overflowPunct/>
              <w:autoSpaceDE/>
              <w:autoSpaceDN/>
              <w:adjustRightInd/>
              <w:spacing w:after="120"/>
              <w:ind w:left="330" w:hanging="270"/>
              <w:contextualSpacing/>
              <w:textAlignment w:val="auto"/>
              <w:rPr>
                <w:iCs/>
              </w:rPr>
            </w:pPr>
            <w:r>
              <w:rPr>
                <w:iCs/>
              </w:rPr>
              <w:t>...</w:t>
            </w:r>
          </w:p>
        </w:tc>
      </w:tr>
    </w:tbl>
    <w:p w:rsidR="00EE0E5B" w:rsidRDefault="00EE0E5B" w:rsidP="00EE0E5B">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specially adapted housing (SAH):</w:t>
      </w:r>
    </w:p>
    <w:p w:rsidR="00EE0E5B" w:rsidRDefault="00EE0E5B" w:rsidP="00EE0E5B">
      <w:pPr>
        <w:widowControl w:val="0"/>
        <w:pBdr>
          <w:top w:val="single" w:sz="4" w:space="1" w:color="auto"/>
          <w:left w:val="single" w:sz="4" w:space="4" w:color="auto"/>
          <w:bottom w:val="single" w:sz="4" w:space="1" w:color="auto"/>
          <w:right w:val="single" w:sz="4" w:space="4" w:color="auto"/>
        </w:pBdr>
        <w:tabs>
          <w:tab w:val="left" w:pos="0"/>
          <w:tab w:val="left" w:pos="144"/>
        </w:tabs>
      </w:pPr>
      <w:r>
        <w:t>We have established entitlement to special</w:t>
      </w:r>
      <w:r w:rsidR="00522DD5">
        <w:t>ly</w:t>
      </w:r>
      <w:r>
        <w:t xml:space="preserve"> adapted housing assistance because you have service-connected {loss/permanent loss of use of both lower extremities}, and need to use {braces, crutches, canes, or a wheelchair} for locomotion / </w:t>
      </w:r>
      <w:r w:rsidRPr="00952AB7">
        <w:t xml:space="preserve"> </w:t>
      </w:r>
      <w:r>
        <w:t xml:space="preserve">blindness in both eyes, having only light perception, plus the {anatomical loss/permanent loss of use} of one lower extremity / {loss/permanent loss of use} of one lower extremity together with residuals of organic disease or injury which so affect the functions of balance or propulsion so that you need to use {braces, crutches, canes, or a wheelchair} for locomotion /  loss/permanent loss of use of one lower extremity together with the loss of use of one upper extremity which so affect the functions of balance or propulsion so that you need to use {braces, crutches, canes, or a wheelchair} for locomotion /  {loss/permanent loss of use} of both upper extremities such as to preclude use of the arms at or above the elbow / full thickness or subdermal burns that have resulted in contractures with limitation of motion of two or more extremities or of at least one extremity and the trunk. </w:t>
      </w:r>
      <w:r w:rsidRPr="001D615F">
        <w:rPr>
          <w:bCs/>
        </w:rPr>
        <w:t>also see</w:t>
      </w:r>
      <w:r>
        <w:rPr>
          <w:bCs/>
        </w:rPr>
        <w:t xml:space="preserve"> </w:t>
      </w:r>
      <w:r>
        <w:rPr>
          <w:rFonts w:ascii="Verdana" w:hAnsi="Verdana"/>
          <w:b/>
          <w:bCs/>
          <w:highlight w:val="green"/>
        </w:rPr>
        <w:t>SHA_GWOT</w:t>
      </w:r>
    </w:p>
    <w:p w:rsidR="00A741CE" w:rsidRDefault="00A741CE">
      <w:pPr>
        <w:widowControl w:val="0"/>
        <w:tabs>
          <w:tab w:val="left" w:pos="0"/>
          <w:tab w:val="left" w:pos="144"/>
        </w:tabs>
        <w:rPr>
          <w:sz w:val="22"/>
        </w:rPr>
      </w:pPr>
    </w:p>
    <w:p w:rsidR="00EE0E5B" w:rsidRDefault="00EE0E5B">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Pr>
                <w:b/>
              </w:rPr>
              <w:t>3.809a</w:t>
            </w:r>
          </w:p>
        </w:tc>
        <w:tc>
          <w:tcPr>
            <w:tcW w:w="10270" w:type="dxa"/>
            <w:tcBorders>
              <w:top w:val="nil"/>
              <w:left w:val="nil"/>
              <w:bottom w:val="nil"/>
              <w:right w:val="nil"/>
            </w:tcBorders>
          </w:tcPr>
          <w:p w:rsidR="00013EB8" w:rsidRPr="00CF557B" w:rsidRDefault="00013EB8">
            <w:pPr>
              <w:widowControl w:val="0"/>
              <w:numPr>
                <w:ilvl w:val="12"/>
                <w:numId w:val="0"/>
              </w:numPr>
              <w:spacing w:after="120"/>
              <w:rPr>
                <w:i/>
              </w:rPr>
            </w:pPr>
            <w:r>
              <w:rPr>
                <w:b/>
              </w:rPr>
              <w:t>Special home adaptation grants under 38 U.S.C. 801(b)</w:t>
            </w:r>
            <w:r>
              <w:t xml:space="preserve"> – (SHA/SHAG) (i) bilateral blindness w/ </w:t>
            </w:r>
            <w:r w:rsidR="00AB3D6F">
              <w:t xml:space="preserve">20/200 or less, </w:t>
            </w:r>
            <w:r>
              <w:t>(ii) both hands</w:t>
            </w:r>
            <w:r w:rsidR="00AB3D6F">
              <w:t>, (iii) burn, (iv) inhalation</w:t>
            </w:r>
            <w:r>
              <w:rPr>
                <w:i/>
              </w:rPr>
              <w:t xml:space="preserve">; can do this first, &amp; when entitled to SAH later, get the difference between the 2; this is the lesser </w:t>
            </w:r>
            <w:r w:rsidRPr="00CF557B">
              <w:rPr>
                <w:i/>
              </w:rPr>
              <w:t>benefit of the two</w:t>
            </w:r>
          </w:p>
          <w:p w:rsidR="00A10388" w:rsidRPr="000B73BC" w:rsidRDefault="00CF557B" w:rsidP="00F063AF">
            <w:pPr>
              <w:pStyle w:val="BodyText"/>
              <w:widowControl w:val="0"/>
              <w:numPr>
                <w:ilvl w:val="0"/>
                <w:numId w:val="88"/>
              </w:numPr>
              <w:tabs>
                <w:tab w:val="clear" w:pos="720"/>
                <w:tab w:val="num" w:pos="330"/>
              </w:tabs>
              <w:spacing w:after="120"/>
              <w:ind w:left="330" w:hanging="270"/>
              <w:rPr>
                <w:sz w:val="20"/>
              </w:rPr>
            </w:pPr>
            <w:r w:rsidRPr="00CF557B">
              <w:rPr>
                <w:b/>
                <w:iCs/>
                <w:sz w:val="20"/>
              </w:rPr>
              <w:t>III.iv.6.B</w:t>
            </w:r>
            <w:r w:rsidR="00A10388" w:rsidRPr="00CF557B">
              <w:rPr>
                <w:sz w:val="20"/>
              </w:rPr>
              <w:t xml:space="preserve"> –</w:t>
            </w:r>
            <w:r w:rsidR="00A10388" w:rsidRPr="000B73BC">
              <w:rPr>
                <w:sz w:val="20"/>
              </w:rPr>
              <w:t xml:space="preserve"> inferred </w:t>
            </w:r>
            <w:r w:rsidR="00A10388" w:rsidRPr="00A10388">
              <w:rPr>
                <w:sz w:val="20"/>
              </w:rPr>
              <w:t xml:space="preserve">issues, </w:t>
            </w:r>
            <w:r w:rsidR="00A10388" w:rsidRPr="00A10388">
              <w:rPr>
                <w:i/>
                <w:sz w:val="20"/>
              </w:rPr>
              <w:t>do not infer to deny</w:t>
            </w:r>
          </w:p>
          <w:p w:rsidR="00013EB8" w:rsidRDefault="005B0ECF" w:rsidP="00F063AF">
            <w:pPr>
              <w:widowControl w:val="0"/>
              <w:numPr>
                <w:ilvl w:val="0"/>
                <w:numId w:val="88"/>
              </w:numPr>
              <w:tabs>
                <w:tab w:val="clear" w:pos="720"/>
                <w:tab w:val="num" w:pos="330"/>
              </w:tabs>
              <w:spacing w:after="120"/>
              <w:ind w:left="330" w:hanging="270"/>
            </w:pPr>
            <w:r w:rsidRPr="005B0ECF">
              <w:rPr>
                <w:b/>
                <w:bCs/>
              </w:rPr>
              <w:t>IX.i.3</w:t>
            </w:r>
          </w:p>
          <w:p w:rsidR="00013EB8" w:rsidRDefault="00013EB8" w:rsidP="00F063AF">
            <w:pPr>
              <w:numPr>
                <w:ilvl w:val="0"/>
                <w:numId w:val="88"/>
              </w:numPr>
              <w:tabs>
                <w:tab w:val="clear" w:pos="720"/>
                <w:tab w:val="num" w:pos="330"/>
              </w:tabs>
              <w:spacing w:after="120"/>
              <w:ind w:left="330" w:hanging="270"/>
              <w:rPr>
                <w:color w:val="000000"/>
                <w:szCs w:val="24"/>
              </w:rPr>
            </w:pPr>
            <w:r w:rsidRPr="00B73089">
              <w:rPr>
                <w:b/>
                <w:bCs/>
                <w:i/>
                <w:iCs/>
              </w:rPr>
              <w:t xml:space="preserve">December 2012 </w:t>
            </w:r>
            <w:r w:rsidR="00EB6F0B" w:rsidRPr="00B73089">
              <w:rPr>
                <w:b/>
                <w:bCs/>
                <w:i/>
                <w:iCs/>
              </w:rPr>
              <w:t>Compensation Service Bulletin (CSB)</w:t>
            </w:r>
            <w:r>
              <w:rPr>
                <w:b/>
                <w:bCs/>
                <w:i/>
                <w:iCs/>
              </w:rPr>
              <w:t xml:space="preserve"> – </w:t>
            </w:r>
            <w:r>
              <w:rPr>
                <w:szCs w:val="24"/>
              </w:rPr>
              <w:t xml:space="preserve">Section 203 of </w:t>
            </w:r>
            <w:hyperlink r:id="rId684" w:history="1">
              <w:r>
                <w:rPr>
                  <w:color w:val="0000FF"/>
                  <w:szCs w:val="24"/>
                  <w:u w:val="single"/>
                </w:rPr>
                <w:t>Public Law 112-154</w:t>
              </w:r>
            </w:hyperlink>
            <w:r>
              <w:rPr>
                <w:szCs w:val="24"/>
              </w:rPr>
              <w:t xml:space="preserve"> changes are codified at and amend </w:t>
            </w:r>
            <w:r w:rsidRPr="00B73089">
              <w:rPr>
                <w:szCs w:val="24"/>
                <w:u w:val="single"/>
              </w:rPr>
              <w:t>38 CFR § 3.809A</w:t>
            </w:r>
            <w:r w:rsidRPr="00B73089">
              <w:rPr>
                <w:szCs w:val="24"/>
              </w:rPr>
              <w:t xml:space="preserve">, </w:t>
            </w:r>
            <w:r>
              <w:rPr>
                <w:szCs w:val="24"/>
              </w:rPr>
              <w:t xml:space="preserve">and </w:t>
            </w:r>
            <w:hyperlink r:id="rId685" w:history="1">
              <w:r>
                <w:rPr>
                  <w:color w:val="0000FF"/>
                  <w:szCs w:val="24"/>
                  <w:u w:val="single"/>
                </w:rPr>
                <w:t>38 USC § 2101(b)(2)</w:t>
              </w:r>
            </w:hyperlink>
            <w:r>
              <w:rPr>
                <w:szCs w:val="24"/>
              </w:rPr>
              <w:t xml:space="preserve"> (note that (b) is entitled “Adaptations to Residence of Veteran</w:t>
            </w:r>
            <w:r w:rsidR="001946CC">
              <w:rPr>
                <w:szCs w:val="24"/>
              </w:rPr>
              <w:t>.”</w:t>
            </w:r>
            <w:r>
              <w:rPr>
                <w:szCs w:val="24"/>
              </w:rPr>
              <w:t xml:space="preserve">  The public law amends the definition of blindness and deletes the term "permanent and total" from the description of blindness.  As noted in the September 2012 VSCM call, Section 203 changes the requirement to central acuity of 20/200 or less in the better eye with the use of a standard correcting lens.  An eye with a limitation in the field of vision such that the widest diameter of the visual field subtends an angle no greater than 20 degrees shall be considered as having a central visual acuity of 20/200 or less.  </w:t>
            </w:r>
          </w:p>
          <w:p w:rsidR="00013EB8" w:rsidRDefault="00013EB8" w:rsidP="00AF32DD">
            <w:pPr>
              <w:spacing w:after="120"/>
              <w:ind w:left="346"/>
              <w:rPr>
                <w:color w:val="000000"/>
                <w:szCs w:val="24"/>
              </w:rPr>
            </w:pPr>
            <w:r>
              <w:rPr>
                <w:color w:val="000000"/>
                <w:szCs w:val="24"/>
              </w:rPr>
              <w:t xml:space="preserve">The following text should be inserted into RBA, if there is an award of the SHA grant based upon the enhanced definition of blindness, until it can be amended:  </w:t>
            </w:r>
          </w:p>
          <w:p w:rsidR="00013EB8" w:rsidRDefault="00013EB8" w:rsidP="00AF32DD">
            <w:pPr>
              <w:pStyle w:val="BylineCompany-Professional"/>
              <w:ind w:left="346"/>
              <w:rPr>
                <w:b/>
                <w:sz w:val="20"/>
                <w:szCs w:val="28"/>
              </w:rPr>
            </w:pPr>
            <w:r>
              <w:rPr>
                <w:rFonts w:eastAsia="Calibri"/>
                <w:i/>
                <w:sz w:val="20"/>
                <w:szCs w:val="24"/>
              </w:rPr>
              <w:t xml:space="preserve">Section 203 of P.L. 112-154 amends section 2101(b)(2) to provide special home adaptations to Veterans who have central acuity of 20/200 or less in the better eye with the use of a standard correcting lens.  An eye with a limitation in the fields of vision such that the widest diameter of the visual field subtends an angle no greater than 20 degrees shall be considered as having a central visual acuity of 20/200 or less.  </w:t>
            </w:r>
          </w:p>
          <w:p w:rsidR="00013EB8" w:rsidRDefault="00013EB8">
            <w:pPr>
              <w:widowControl w:val="0"/>
              <w:spacing w:after="120"/>
              <w:ind w:left="340"/>
            </w:pPr>
            <w:r>
              <w:t xml:space="preserve">NOTE:  VBMS-R users should insert the standard glossary text entitled “SHA_GWOT” in addition to the generated text in the </w:t>
            </w:r>
            <w:r>
              <w:rPr>
                <w:b/>
                <w:bCs/>
                <w:i/>
                <w:iCs/>
              </w:rPr>
              <w:t>Reasons for Decision</w:t>
            </w:r>
            <w:r>
              <w:rPr>
                <w:i/>
                <w:iCs/>
              </w:rPr>
              <w:t xml:space="preserve"> </w:t>
            </w:r>
            <w:r>
              <w:t>block.</w:t>
            </w:r>
          </w:p>
          <w:p w:rsidR="00013EB8" w:rsidRPr="000C09CE" w:rsidRDefault="00013EB8" w:rsidP="00F063AF">
            <w:pPr>
              <w:widowControl w:val="0"/>
              <w:numPr>
                <w:ilvl w:val="0"/>
                <w:numId w:val="88"/>
              </w:numPr>
              <w:tabs>
                <w:tab w:val="clear" w:pos="720"/>
                <w:tab w:val="num" w:pos="330"/>
              </w:tabs>
              <w:spacing w:after="120"/>
              <w:ind w:left="330"/>
            </w:pPr>
            <w:r w:rsidRPr="00B73089">
              <w:rPr>
                <w:b/>
                <w:bCs/>
                <w:i/>
                <w:iCs/>
              </w:rPr>
              <w:t xml:space="preserve">April 2013 </w:t>
            </w:r>
            <w:r w:rsidR="00EB6F0B" w:rsidRPr="00B73089">
              <w:rPr>
                <w:b/>
                <w:bCs/>
                <w:i/>
                <w:iCs/>
              </w:rPr>
              <w:t>Compensation Service Bulletin (CSB)</w:t>
            </w:r>
            <w:r>
              <w:rPr>
                <w:i/>
                <w:iCs/>
              </w:rPr>
              <w:t xml:space="preserve"> </w:t>
            </w:r>
            <w:r>
              <w:t xml:space="preserve">– Do not return an otherwise sufficiently completed DBQ for a specific examiner statement using the “subtends” language (the statutory amendment provides the following new visual field equivalent </w:t>
            </w:r>
            <w:r>
              <w:rPr>
                <w:szCs w:val="24"/>
              </w:rPr>
              <w:t>of central visual acuity of 20/200: “the widest diameter of the visual field subtends an angle no greater than 20 degrees.”). Contraction of the visual field to 20 degrees or less is synonymous with the statutory standard. A grant of SHA based on blindness requires no better than the specified visual acuity or the equivalent field loss in either eye. Therefore the examiner should have checked “yes” to item 4.e or 10.e. on the DBQ indicating legal or statutory blindness based on visual acuity or visual field loss.</w:t>
            </w:r>
          </w:p>
          <w:p w:rsidR="00CF6E9E" w:rsidRDefault="000C09CE" w:rsidP="00F063AF">
            <w:pPr>
              <w:numPr>
                <w:ilvl w:val="0"/>
                <w:numId w:val="88"/>
              </w:numPr>
              <w:tabs>
                <w:tab w:val="clear" w:pos="720"/>
                <w:tab w:val="num" w:pos="330"/>
              </w:tabs>
              <w:ind w:left="330"/>
            </w:pPr>
            <w:r w:rsidRPr="00B73089">
              <w:rPr>
                <w:b/>
                <w:i/>
                <w:iCs/>
              </w:rPr>
              <w:t xml:space="preserve">October 2013 </w:t>
            </w:r>
            <w:r w:rsidR="00EB6F0B" w:rsidRPr="00B73089">
              <w:rPr>
                <w:b/>
                <w:i/>
                <w:iCs/>
              </w:rPr>
              <w:t>Compensation Service Bulletin (CSB)</w:t>
            </w:r>
            <w:r w:rsidRPr="000C09CE">
              <w:rPr>
                <w:bCs/>
                <w:i/>
                <w:iCs/>
              </w:rPr>
              <w:t xml:space="preserve"> –</w:t>
            </w:r>
            <w:r w:rsidRPr="000C09CE">
              <w:rPr>
                <w:bCs/>
                <w:iCs/>
              </w:rPr>
              <w:t xml:space="preserve"> </w:t>
            </w:r>
            <w:r w:rsidRPr="000C09CE">
              <w:t xml:space="preserve">an inhalational injury is characterized as due to breathing steam or toxic inhalants such as fumes, gases, and mists present in a fire environment (examples of toxic inhalants are acrolein, chlorine, phosgene, and nitrogen dioxide). A respiratory disability rated permanently and totally disabling must result from an inhalational injury consistent with the definition provided in the Federal Register to warrant entitlement to a SHA grant under § 3.809a. The mere existence of a respiratory disability is not synonymous with an inhalational injury.  In the absence of such inhalational injury, the SHA grant will not be authorized.  </w:t>
            </w:r>
          </w:p>
          <w:p w:rsidR="00CF6E9E" w:rsidRPr="00CF6E9E" w:rsidRDefault="00CF6E9E" w:rsidP="00CF6E9E">
            <w:pPr>
              <w:ind w:left="330"/>
            </w:pPr>
          </w:p>
          <w:p w:rsidR="00CF6E9E" w:rsidRPr="00CF6E9E" w:rsidRDefault="001D615F" w:rsidP="001D615F">
            <w:pPr>
              <w:widowControl w:val="0"/>
              <w:spacing w:after="120"/>
              <w:ind w:left="340"/>
              <w:rPr>
                <w:color w:val="000000"/>
                <w:szCs w:val="24"/>
              </w:rPr>
            </w:pPr>
            <w:r w:rsidRPr="00836506">
              <w:rPr>
                <w:bCs/>
                <w:i/>
              </w:rPr>
              <w:t>also see</w:t>
            </w:r>
            <w:r>
              <w:rPr>
                <w:bCs/>
              </w:rPr>
              <w:t xml:space="preserve"> </w:t>
            </w:r>
            <w:r w:rsidR="00CF6E9E">
              <w:rPr>
                <w:rFonts w:ascii="Verdana" w:hAnsi="Verdana"/>
                <w:b/>
                <w:bCs/>
                <w:highlight w:val="green"/>
              </w:rPr>
              <w:t>SHA_GWOT</w:t>
            </w:r>
          </w:p>
        </w:tc>
      </w:tr>
    </w:tbl>
    <w:p w:rsidR="00EE0E5B" w:rsidRDefault="00EE0E5B" w:rsidP="00EE0E5B">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special home adaptation grant (SHA/SHAG):</w:t>
      </w:r>
    </w:p>
    <w:p w:rsidR="00EE0E5B" w:rsidRPr="00CF6E9E" w:rsidRDefault="00EE0E5B" w:rsidP="00EE0E5B">
      <w:pPr>
        <w:widowControl w:val="0"/>
        <w:pBdr>
          <w:top w:val="single" w:sz="4" w:space="1" w:color="auto"/>
          <w:left w:val="single" w:sz="4" w:space="4" w:color="auto"/>
          <w:bottom w:val="single" w:sz="4" w:space="1" w:color="auto"/>
          <w:right w:val="single" w:sz="4" w:space="4" w:color="auto"/>
        </w:pBdr>
        <w:tabs>
          <w:tab w:val="left" w:pos="0"/>
          <w:tab w:val="left" w:pos="144"/>
        </w:tabs>
      </w:pPr>
      <w:r>
        <w:t xml:space="preserve">We have established entitlement to special home adaptation grant because you have service-connected {blindness in both eyes with 20/200 visual acuity or less / {loss/permanent loss of use} of both hands / </w:t>
      </w:r>
      <w:r>
        <w:rPr>
          <w:bCs/>
          <w:color w:val="000000"/>
          <w:szCs w:val="18"/>
        </w:rPr>
        <w:t>deep partial thickness burns that have resulted in contractures with limitation of motion of two or more extremities or of at least one extremity and the trunk / full thickness or subdermal burns that have resulted in contractures with limitation of motion of two or more extremities/at least one extremity and the trunk / residuals of an inhalation injury (including, but not limited to, pulmonary fibrosis, asthma and chronic pulmonary disease</w:t>
      </w:r>
      <w:r>
        <w:t xml:space="preserve">}. </w:t>
      </w:r>
      <w:r w:rsidRPr="001D615F">
        <w:rPr>
          <w:bCs/>
        </w:rPr>
        <w:t>also see</w:t>
      </w:r>
      <w:r>
        <w:rPr>
          <w:bCs/>
        </w:rPr>
        <w:t xml:space="preserve"> </w:t>
      </w:r>
      <w:r>
        <w:rPr>
          <w:rFonts w:ascii="Verdana" w:hAnsi="Verdana"/>
          <w:b/>
          <w:bCs/>
          <w:highlight w:val="green"/>
        </w:rPr>
        <w:t>SHA_GWOT</w:t>
      </w:r>
    </w:p>
    <w:p w:rsidR="00013EB8" w:rsidRDefault="00013EB8">
      <w:pPr>
        <w:widowControl w:val="0"/>
        <w:tabs>
          <w:tab w:val="left" w:pos="0"/>
          <w:tab w:val="left" w:pos="144"/>
        </w:tabs>
        <w:rPr>
          <w:sz w:val="22"/>
        </w:rPr>
      </w:pPr>
    </w:p>
    <w:p w:rsidR="00EE0E5B" w:rsidRDefault="00EE0E5B">
      <w:pPr>
        <w:widowControl w:val="0"/>
        <w:tabs>
          <w:tab w:val="left" w:pos="0"/>
          <w:tab w:val="left" w:pos="144"/>
        </w:tabs>
        <w:rPr>
          <w:sz w:val="22"/>
        </w:rPr>
      </w:pPr>
    </w:p>
    <w:p w:rsidR="00013EB8" w:rsidRDefault="00952AB7">
      <w:pPr>
        <w:widowControl w:val="0"/>
        <w:pBdr>
          <w:top w:val="single" w:sz="4" w:space="1" w:color="auto"/>
          <w:left w:val="single" w:sz="4" w:space="4" w:color="auto"/>
          <w:bottom w:val="single" w:sz="4" w:space="1" w:color="auto"/>
          <w:right w:val="single" w:sz="4" w:space="4" w:color="auto"/>
        </w:pBdr>
        <w:tabs>
          <w:tab w:val="left" w:pos="0"/>
        </w:tabs>
        <w:rPr>
          <w:i/>
        </w:rPr>
      </w:pPr>
      <w:r>
        <w:rPr>
          <w:i/>
        </w:rPr>
        <w:t>s</w:t>
      </w:r>
      <w:r w:rsidR="00013EB8">
        <w:rPr>
          <w:i/>
        </w:rPr>
        <w:t>pecially adapted housing (SAH):</w:t>
      </w:r>
    </w:p>
    <w:p w:rsidR="00B62DDA" w:rsidRDefault="00B62DDA" w:rsidP="00B62DDA">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szCs w:val="22"/>
        </w:rPr>
      </w:pPr>
      <w:r w:rsidRPr="004E16AB">
        <w:rPr>
          <w:rFonts w:ascii="Verdana" w:hAnsi="Verdana"/>
          <w:b/>
          <w:highlight w:val="green"/>
        </w:rPr>
        <w:t xml:space="preserve">USE </w:t>
      </w:r>
      <w:r w:rsidRPr="00C551BE">
        <w:rPr>
          <w:rFonts w:ascii="Verdana" w:hAnsi="Verdana"/>
          <w:b/>
          <w:szCs w:val="22"/>
          <w:highlight w:val="green"/>
        </w:rPr>
        <w:t>VBMS-R System-Generated</w:t>
      </w:r>
      <w:r>
        <w:rPr>
          <w:rFonts w:ascii="Verdana" w:hAnsi="Verdana"/>
          <w:b/>
          <w:szCs w:val="22"/>
        </w:rPr>
        <w:t xml:space="preserve"> </w:t>
      </w:r>
    </w:p>
    <w:p w:rsidR="00B62DDA" w:rsidRPr="00B62DDA" w:rsidRDefault="00B62DDA" w:rsidP="00B62DDA">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sidRPr="00B62DDA">
        <w:rPr>
          <w:rFonts w:ascii="Verdana" w:hAnsi="Verdana"/>
          <w:szCs w:val="22"/>
        </w:rPr>
        <w:t>OR:</w:t>
      </w:r>
    </w:p>
    <w:p w:rsidR="003C556A" w:rsidRDefault="00013EB8" w:rsidP="003C556A">
      <w:pPr>
        <w:widowControl w:val="0"/>
        <w:pBdr>
          <w:top w:val="single" w:sz="4" w:space="1" w:color="auto"/>
          <w:left w:val="single" w:sz="4" w:space="4" w:color="auto"/>
          <w:bottom w:val="single" w:sz="4" w:space="1" w:color="auto"/>
          <w:right w:val="single" w:sz="4" w:space="4" w:color="auto"/>
        </w:pBdr>
        <w:tabs>
          <w:tab w:val="left" w:pos="0"/>
        </w:tabs>
        <w:rPr>
          <w:color w:val="000000"/>
          <w:szCs w:val="24"/>
        </w:rPr>
      </w:pPr>
      <w:r>
        <w:t xml:space="preserve">We have considered but denied entitlement to specially adapted housing assistance. We will issue a certificate of eligibility for assistance in acquiring specially adapted housing when a veteran is permanently disabled from one of the following conditions which is the result of injury or disease incurred in or aggravated during active military service:  the loss, or loss of use, of both lower extremities, such as to preclude locomotion without the aid of braces, crutches, canes, or a wheelchair; blindness in both eyes, having only light perception, plus the anatomical loss or loss of use of one lower extremity; the loss or loss of use of one lower extremity together with residuals of organic disease or injury which so affect the functions of balance or propulsion as to preclude locomotion without the aid of braces, crutches, canes, or a wheelchair; the loss or loss of use of one lower extremity together with the loss of use of one upper extremity which so affect the functions of balance or propulsion as to preclude locomotion without the aid of braces, crutches, canes, or a wheelchair; the loss or loss of use of both upper extremities such as to preclude use of the arms at or above the elbow; or full thickness or subdermal burns that have resulted in contractures with limitation of motion of two or more extremities or of at least one extremity and the trunk. </w:t>
      </w:r>
      <w:r w:rsidR="007C7FCC">
        <w:t>{</w:t>
      </w:r>
      <w:r>
        <w:t xml:space="preserve">Additionally, there is a temporarily expanded eligibility (through September 30, 2013) for veterans who served and became permanently disabled on or after September 11, 2001 due to the </w:t>
      </w:r>
      <w:r>
        <w:rPr>
          <w:szCs w:val="24"/>
        </w:rPr>
        <w:t>loss or loss</w:t>
      </w:r>
      <w:r w:rsidR="004B5658">
        <w:rPr>
          <w:szCs w:val="24"/>
        </w:rPr>
        <w:t xml:space="preserve"> </w:t>
      </w:r>
      <w:r>
        <w:rPr>
          <w:szCs w:val="24"/>
        </w:rPr>
        <w:t>of use of one lower extremity, severely affecting the functions of balance or propulsion</w:t>
      </w:r>
      <w:r>
        <w:rPr>
          <w:sz w:val="24"/>
          <w:szCs w:val="24"/>
        </w:rPr>
        <w:t>.</w:t>
      </w:r>
      <w:r w:rsidR="007C7FCC">
        <w:t xml:space="preserve">} </w:t>
      </w:r>
      <w:r>
        <w:t>Since a qualifying disability is not shown, we cannot establish entitlement to specially adapted housing assistance.</w:t>
      </w:r>
      <w:r w:rsidR="003C556A">
        <w:t xml:space="preserve"> </w:t>
      </w:r>
      <w:r w:rsidR="00494A88" w:rsidRPr="00836506">
        <w:rPr>
          <w:bCs/>
          <w:i/>
        </w:rPr>
        <w:t>also see</w:t>
      </w:r>
      <w:r w:rsidR="00494A88">
        <w:rPr>
          <w:bCs/>
        </w:rPr>
        <w:t xml:space="preserve"> </w:t>
      </w:r>
      <w:r w:rsidR="00494A88">
        <w:rPr>
          <w:rFonts w:ascii="Verdana" w:hAnsi="Verdana"/>
          <w:b/>
          <w:bCs/>
          <w:highlight w:val="green"/>
        </w:rPr>
        <w:t>SHA_GWOT</w:t>
      </w:r>
    </w:p>
    <w:p w:rsidR="003C556A" w:rsidRDefault="003C556A">
      <w:pPr>
        <w:widowControl w:val="0"/>
        <w:pBdr>
          <w:top w:val="single" w:sz="4" w:space="1" w:color="auto"/>
          <w:left w:val="single" w:sz="4" w:space="4" w:color="auto"/>
          <w:bottom w:val="single" w:sz="4" w:space="1" w:color="auto"/>
          <w:right w:val="single" w:sz="4" w:space="4" w:color="auto"/>
        </w:pBdr>
        <w:tabs>
          <w:tab w:val="left" w:pos="0"/>
        </w:tabs>
      </w:pPr>
    </w:p>
    <w:p w:rsidR="00836506" w:rsidRDefault="00836506">
      <w:pPr>
        <w:widowControl w:val="0"/>
        <w:pBdr>
          <w:top w:val="single" w:sz="4" w:space="1" w:color="auto"/>
          <w:left w:val="single" w:sz="4" w:space="4" w:color="auto"/>
          <w:bottom w:val="single" w:sz="4" w:space="1" w:color="auto"/>
          <w:right w:val="single" w:sz="4" w:space="4" w:color="auto"/>
        </w:pBdr>
        <w:tabs>
          <w:tab w:val="left" w:pos="0"/>
        </w:tabs>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s>
        <w:rPr>
          <w:i/>
        </w:rPr>
      </w:pPr>
      <w:r>
        <w:rPr>
          <w:i/>
        </w:rPr>
        <w:t>Special home adaptation grant (SHA/SHAG):</w:t>
      </w:r>
    </w:p>
    <w:p w:rsidR="00B62DDA" w:rsidRDefault="00B62DDA" w:rsidP="00B62DDA">
      <w:pPr>
        <w:widowControl w:val="0"/>
        <w:pBdr>
          <w:top w:val="single" w:sz="4" w:space="1" w:color="auto"/>
          <w:left w:val="single" w:sz="4" w:space="4" w:color="auto"/>
          <w:bottom w:val="single" w:sz="4" w:space="1" w:color="auto"/>
          <w:right w:val="single" w:sz="4" w:space="4" w:color="auto"/>
        </w:pBdr>
        <w:tabs>
          <w:tab w:val="left" w:pos="0"/>
          <w:tab w:val="left" w:pos="144"/>
        </w:tabs>
        <w:rPr>
          <w:rFonts w:ascii="Verdana" w:hAnsi="Verdana"/>
          <w:b/>
          <w:szCs w:val="22"/>
        </w:rPr>
      </w:pPr>
      <w:r w:rsidRPr="004E16AB">
        <w:rPr>
          <w:rFonts w:ascii="Verdana" w:hAnsi="Verdana"/>
          <w:b/>
          <w:highlight w:val="green"/>
        </w:rPr>
        <w:t xml:space="preserve">USE </w:t>
      </w:r>
      <w:r w:rsidRPr="00C551BE">
        <w:rPr>
          <w:rFonts w:ascii="Verdana" w:hAnsi="Verdana"/>
          <w:b/>
          <w:szCs w:val="22"/>
          <w:highlight w:val="green"/>
        </w:rPr>
        <w:t>VBMS-R System-Generated</w:t>
      </w:r>
      <w:r>
        <w:rPr>
          <w:rFonts w:ascii="Verdana" w:hAnsi="Verdana"/>
          <w:b/>
          <w:szCs w:val="22"/>
        </w:rPr>
        <w:t xml:space="preserve"> </w:t>
      </w:r>
    </w:p>
    <w:p w:rsidR="00B62DDA" w:rsidRPr="00B62DDA" w:rsidRDefault="00B62DDA" w:rsidP="00B62DDA">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sidRPr="00B62DDA">
        <w:rPr>
          <w:rFonts w:ascii="Verdana" w:hAnsi="Verdana"/>
          <w:szCs w:val="22"/>
        </w:rPr>
        <w:t>OR:</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s>
      </w:pPr>
      <w:r>
        <w:t xml:space="preserve">We have considered but denied entitlement to special home adaptation grant. We will issue a certificate of eligibility for assistance in acquiring necessary special home adaptations when a veteran has a service-connected condition which is due to blindness in both eyes with 20/200 visual acuity or less; or loss or permanent loss of use of both hands; or </w:t>
      </w:r>
      <w:r>
        <w:rPr>
          <w:bCs/>
          <w:color w:val="000000"/>
          <w:szCs w:val="18"/>
        </w:rPr>
        <w:t>deep partial thickness burns that have resulted in contractures with limitation of motion of two or more extremities or of at least one extremity and the trunk; or full thickness or subdermal burns that have resulted in contractures with limitation of motion of two or</w:t>
      </w:r>
      <w:r w:rsidR="00952AB7">
        <w:rPr>
          <w:bCs/>
          <w:color w:val="000000"/>
          <w:szCs w:val="18"/>
        </w:rPr>
        <w:t xml:space="preserve"> more extremities or of at least </w:t>
      </w:r>
      <w:r>
        <w:rPr>
          <w:bCs/>
          <w:color w:val="000000"/>
          <w:szCs w:val="18"/>
        </w:rPr>
        <w:t>one extremity and the trunk; or residuals of an inhalation injury (including, but not limited to, pulmonary fibrosis, asthma and chronic pulmonary disease)</w:t>
      </w:r>
      <w:r>
        <w:t>. Since a qualifying disability is not shown, we cannot establish entitlement to special home adaptation grant.</w:t>
      </w:r>
      <w:r w:rsidR="00CF6E9E">
        <w:t xml:space="preserve"> </w:t>
      </w:r>
      <w:r w:rsidR="00494A88" w:rsidRPr="00836506">
        <w:rPr>
          <w:bCs/>
          <w:i/>
        </w:rPr>
        <w:t>also see</w:t>
      </w:r>
      <w:r w:rsidR="00494A88">
        <w:rPr>
          <w:bCs/>
        </w:rPr>
        <w:t xml:space="preserve"> </w:t>
      </w:r>
      <w:r w:rsidR="00494A88">
        <w:rPr>
          <w:rFonts w:ascii="Verdana" w:hAnsi="Verdana"/>
          <w:b/>
          <w:bCs/>
          <w:highlight w:val="green"/>
        </w:rPr>
        <w:t>SHA_GWOT</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s>
      </w:pPr>
    </w:p>
    <w:p w:rsidR="00836506" w:rsidRDefault="00836506">
      <w:pPr>
        <w:widowControl w:val="0"/>
        <w:pBdr>
          <w:top w:val="single" w:sz="4" w:space="1" w:color="auto"/>
          <w:left w:val="single" w:sz="4" w:space="4" w:color="auto"/>
          <w:bottom w:val="single" w:sz="4" w:space="1" w:color="auto"/>
          <w:right w:val="single" w:sz="4" w:space="4" w:color="auto"/>
        </w:pBdr>
        <w:tabs>
          <w:tab w:val="left" w:pos="0"/>
        </w:tabs>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s>
        <w:rPr>
          <w:i/>
          <w:sz w:val="22"/>
        </w:rPr>
      </w:pPr>
      <w:r>
        <w:rPr>
          <w:i/>
        </w:rPr>
        <w:t>If deny specially adapted housing &amp; special home adaptation because conds are NSC, add the following:</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s>
      </w:pPr>
      <w:r>
        <w:t>NOTE:  Please contact the VA Medical Center concerning possible eligibility for home improvement and structural alteration (HISA) benefits.</w:t>
      </w:r>
    </w:p>
    <w:p w:rsidR="00013EB8" w:rsidRDefault="00013EB8">
      <w:pPr>
        <w:widowControl w:val="0"/>
        <w:tabs>
          <w:tab w:val="left" w:pos="0"/>
          <w:tab w:val="left" w:pos="144"/>
        </w:tabs>
        <w:rPr>
          <w:sz w:val="22"/>
        </w:rPr>
      </w:pPr>
    </w:p>
    <w:p w:rsidR="00013EB8" w:rsidRDefault="00013EB8">
      <w:pPr>
        <w:widowControl w:val="0"/>
        <w:pBdr>
          <w:top w:val="dashed" w:sz="4" w:space="1" w:color="auto"/>
        </w:pBdr>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Pr>
                <w:b/>
              </w:rPr>
              <w:t>3.810</w:t>
            </w:r>
          </w:p>
        </w:tc>
        <w:tc>
          <w:tcPr>
            <w:tcW w:w="10270" w:type="dxa"/>
            <w:tcBorders>
              <w:top w:val="nil"/>
              <w:left w:val="nil"/>
              <w:bottom w:val="nil"/>
              <w:right w:val="nil"/>
            </w:tcBorders>
          </w:tcPr>
          <w:p w:rsidR="00013EB8" w:rsidRDefault="00013EB8" w:rsidP="00643CAF">
            <w:pPr>
              <w:widowControl w:val="0"/>
              <w:numPr>
                <w:ilvl w:val="12"/>
                <w:numId w:val="0"/>
              </w:numPr>
            </w:pPr>
            <w:r>
              <w:rPr>
                <w:b/>
              </w:rPr>
              <w:t>Clothing allowance</w:t>
            </w:r>
            <w:r>
              <w:t xml:space="preserve"> – </w:t>
            </w:r>
            <w:r>
              <w:rPr>
                <w:i/>
              </w:rPr>
              <w:t>Authorization issue only, no rating done</w:t>
            </w:r>
            <w:r w:rsidR="00643CAF">
              <w:rPr>
                <w:i/>
              </w:rPr>
              <w:t xml:space="preserve"> - </w:t>
            </w:r>
            <w:r w:rsidR="00643CAF" w:rsidRPr="00643CAF">
              <w:t>annual cl</w:t>
            </w:r>
            <w:r w:rsidR="00643CAF">
              <w:t xml:space="preserve">othing allowance payment (ACAP) requests should </w:t>
            </w:r>
            <w:r w:rsidR="00643CAF" w:rsidRPr="00643CAF">
              <w:t xml:space="preserve">be forwarded to the appropriate VAMC or Outpatient Clinic of jurisdiction, and veteran should be notified accordingly.  </w:t>
            </w:r>
            <w:r w:rsidR="00643CAF" w:rsidRPr="005B0ECF">
              <w:rPr>
                <w:b/>
              </w:rPr>
              <w:t>IX.i.7.1.b</w:t>
            </w:r>
          </w:p>
        </w:tc>
      </w:tr>
    </w:tbl>
    <w:p w:rsidR="00013EB8" w:rsidRDefault="00013EB8">
      <w:pPr>
        <w:widowControl w:val="0"/>
        <w:pBdr>
          <w:bottom w:val="single" w:sz="4" w:space="1" w:color="auto"/>
        </w:pBdr>
        <w:tabs>
          <w:tab w:val="left" w:pos="0"/>
          <w:tab w:val="left" w:pos="144"/>
        </w:tabs>
        <w:rPr>
          <w:sz w:val="22"/>
        </w:rPr>
      </w:pPr>
    </w:p>
    <w:p w:rsidR="00013EB8" w:rsidRDefault="00013EB8">
      <w:pPr>
        <w:widowControl w:val="0"/>
        <w:tabs>
          <w:tab w:val="left" w:pos="0"/>
          <w:tab w:val="left" w:pos="144"/>
        </w:tabs>
        <w:rPr>
          <w:sz w:val="22"/>
        </w:rPr>
      </w:pPr>
    </w:p>
    <w:p w:rsidR="00013EB8" w:rsidRDefault="00013EB8">
      <w:pPr>
        <w:widowControl w:val="0"/>
        <w:pBdr>
          <w:top w:val="double" w:sz="4" w:space="1" w:color="auto"/>
        </w:pBdr>
        <w:tabs>
          <w:tab w:val="left" w:pos="0"/>
          <w:tab w:val="left" w:pos="144"/>
        </w:tabs>
        <w:rPr>
          <w:b/>
          <w:bCs/>
          <w:i/>
          <w:sz w:val="22"/>
        </w:rPr>
      </w:pPr>
      <w:r>
        <w:rPr>
          <w:b/>
          <w:bCs/>
          <w:i/>
          <w:sz w:val="22"/>
        </w:rPr>
        <w:br w:type="page"/>
      </w:r>
    </w:p>
    <w:p w:rsidR="004D429B" w:rsidRDefault="004D429B" w:rsidP="004D429B">
      <w:pPr>
        <w:widowControl w:val="0"/>
        <w:pBdr>
          <w:top w:val="double" w:sz="4" w:space="1" w:color="auto"/>
        </w:pBdr>
        <w:tabs>
          <w:tab w:val="left" w:pos="0"/>
          <w:tab w:val="left" w:pos="144"/>
        </w:tabs>
        <w:rPr>
          <w:b/>
          <w:bCs/>
          <w:i/>
          <w:sz w:val="22"/>
        </w:rPr>
      </w:pPr>
      <w:bookmarkStart w:id="156" w:name="SMC"/>
    </w:p>
    <w:p w:rsidR="00013EB8" w:rsidRDefault="00013EB8">
      <w:pPr>
        <w:widowControl w:val="0"/>
        <w:tabs>
          <w:tab w:val="left" w:pos="0"/>
          <w:tab w:val="left" w:pos="144"/>
        </w:tabs>
        <w:rPr>
          <w:b/>
          <w:bCs/>
          <w:i/>
          <w:sz w:val="22"/>
        </w:rPr>
      </w:pPr>
      <w:r>
        <w:rPr>
          <w:b/>
          <w:bCs/>
          <w:i/>
          <w:sz w:val="22"/>
        </w:rPr>
        <w:t>SPECIAL MONTHLY COMPENSATION (SMC) –</w:t>
      </w:r>
    </w:p>
    <w:p w:rsidR="00517098" w:rsidRDefault="00517098">
      <w:pPr>
        <w:widowControl w:val="0"/>
        <w:tabs>
          <w:tab w:val="left" w:pos="0"/>
          <w:tab w:val="left" w:pos="144"/>
        </w:tabs>
        <w:rPr>
          <w:b/>
          <w:bCs/>
          <w:color w:val="FF0000"/>
          <w:sz w:val="22"/>
        </w:rPr>
      </w:pPr>
    </w:p>
    <w:bookmarkEnd w:id="156"/>
    <w:p w:rsidR="00013EB8" w:rsidRPr="00AF3E66" w:rsidRDefault="00013EB8" w:rsidP="00691877">
      <w:pPr>
        <w:widowControl w:val="0"/>
        <w:numPr>
          <w:ilvl w:val="0"/>
          <w:numId w:val="41"/>
        </w:numPr>
        <w:tabs>
          <w:tab w:val="clear" w:pos="360"/>
          <w:tab w:val="left" w:pos="300"/>
        </w:tabs>
        <w:spacing w:after="120"/>
        <w:ind w:left="302" w:hanging="302"/>
        <w:rPr>
          <w:iCs/>
          <w:szCs w:val="24"/>
        </w:rPr>
      </w:pPr>
      <w:r>
        <w:rPr>
          <w:szCs w:val="24"/>
        </w:rPr>
        <w:t xml:space="preserve">The SMC Reference Tool is available </w:t>
      </w:r>
      <w:hyperlink r:id="rId686" w:history="1">
        <w:r>
          <w:rPr>
            <w:b/>
            <w:bCs/>
            <w:color w:val="0000FF"/>
            <w:szCs w:val="24"/>
            <w:u w:val="single"/>
          </w:rPr>
          <w:t>here</w:t>
        </w:r>
      </w:hyperlink>
      <w:r>
        <w:rPr>
          <w:b/>
          <w:bCs/>
          <w:szCs w:val="24"/>
        </w:rPr>
        <w:t xml:space="preserve"> </w:t>
      </w:r>
      <w:r>
        <w:rPr>
          <w:szCs w:val="24"/>
        </w:rPr>
        <w:t>(or go to START – Run and enter:  \\vbasdcnss1\Instructor Folder\DRO &amp; RVSR References Tool and find “SMC Reference Tool.xls”)</w:t>
      </w:r>
    </w:p>
    <w:p w:rsidR="00AF3E66" w:rsidRPr="00B829D4" w:rsidRDefault="00D571C5" w:rsidP="00691877">
      <w:pPr>
        <w:widowControl w:val="0"/>
        <w:numPr>
          <w:ilvl w:val="0"/>
          <w:numId w:val="41"/>
        </w:numPr>
        <w:spacing w:after="120"/>
        <w:rPr>
          <w:i/>
          <w:iCs/>
        </w:rPr>
      </w:pPr>
      <w:hyperlink r:id="rId687" w:history="1">
        <w:r w:rsidR="00AF3E66" w:rsidRPr="002546E5">
          <w:rPr>
            <w:rStyle w:val="Hyperlink"/>
            <w:b/>
            <w:bCs/>
            <w:i/>
            <w:highlight w:val="darkGray"/>
          </w:rPr>
          <w:t>SMC Calculator</w:t>
        </w:r>
      </w:hyperlink>
      <w:r w:rsidR="00AF3E66" w:rsidRPr="00A11DAE">
        <w:rPr>
          <w:b/>
          <w:bCs/>
        </w:rPr>
        <w:t xml:space="preserve"> </w:t>
      </w:r>
      <w:r w:rsidR="00AF3E66" w:rsidRPr="00A11DAE">
        <w:rPr>
          <w:i/>
        </w:rPr>
        <w:t xml:space="preserve">[and it’s </w:t>
      </w:r>
      <w:r w:rsidR="00AF3E66" w:rsidRPr="00A11DAE">
        <w:rPr>
          <w:b/>
          <w:bCs/>
          <w:i/>
        </w:rPr>
        <w:t>User Guide</w:t>
      </w:r>
      <w:r w:rsidR="00AF3E66" w:rsidRPr="00A11DAE">
        <w:rPr>
          <w:i/>
        </w:rPr>
        <w:t xml:space="preserve">] </w:t>
      </w:r>
      <w:r w:rsidR="00AF3E66">
        <w:rPr>
          <w:i/>
        </w:rPr>
        <w:t>–</w:t>
      </w:r>
      <w:r w:rsidR="00B829D4">
        <w:rPr>
          <w:i/>
        </w:rPr>
        <w:t xml:space="preserve"> </w:t>
      </w:r>
      <w:r w:rsidR="00AF3E66" w:rsidRPr="00063A5C">
        <w:rPr>
          <w:b/>
          <w:iCs/>
        </w:rPr>
        <w:t>IV.ii.2.H.1.h</w:t>
      </w:r>
      <w:r w:rsidR="00AF3E66">
        <w:rPr>
          <w:iCs/>
        </w:rPr>
        <w:t xml:space="preserve"> -</w:t>
      </w:r>
      <w:r w:rsidR="00AF3E66" w:rsidRPr="00063A5C">
        <w:rPr>
          <w:iCs/>
        </w:rPr>
        <w:t xml:space="preserve"> calculator required for ALL SMC &amp; must upload SMC calculator sheet</w:t>
      </w:r>
      <w:r w:rsidR="00B829D4">
        <w:rPr>
          <w:iCs/>
        </w:rPr>
        <w:t xml:space="preserve">; </w:t>
      </w:r>
      <w:r w:rsidR="00B829D4" w:rsidRPr="00B829D4">
        <w:rPr>
          <w:iCs/>
          <w:color w:val="00B0F0"/>
        </w:rPr>
        <w:t>as of 9/17, SMC Calculator in VBMS-R</w:t>
      </w:r>
      <w:r w:rsidR="00AF3E66" w:rsidRPr="00B829D4">
        <w:rPr>
          <w:bCs/>
          <w:color w:val="00B0F0"/>
        </w:rPr>
        <w:t xml:space="preserve"> </w:t>
      </w:r>
      <w:r w:rsidR="00AF3E66" w:rsidRPr="00063A5C">
        <w:rPr>
          <w:bCs/>
        </w:rPr>
        <w:t>-</w:t>
      </w:r>
    </w:p>
    <w:p w:rsidR="00B829D4" w:rsidRPr="00B829D4" w:rsidRDefault="00B829D4" w:rsidP="00B829D4">
      <w:pPr>
        <w:pStyle w:val="ListParagraph"/>
        <w:spacing w:after="120"/>
        <w:ind w:left="360"/>
        <w:rPr>
          <w:rFonts w:ascii="Arial" w:hAnsi="Arial"/>
          <w:sz w:val="20"/>
        </w:rPr>
      </w:pPr>
      <w:r w:rsidRPr="00B829D4">
        <w:rPr>
          <w:rFonts w:ascii="Arial" w:hAnsi="Arial"/>
          <w:i/>
          <w:sz w:val="20"/>
        </w:rPr>
        <w:t>https://www.vapulse.net/message/171092</w:t>
      </w:r>
      <w:r w:rsidRPr="00B829D4">
        <w:rPr>
          <w:rFonts w:ascii="Arial" w:hAnsi="Arial"/>
          <w:sz w:val="20"/>
        </w:rPr>
        <w:t xml:space="preserve"> (as of 9/20/17) says we need to </w:t>
      </w:r>
      <w:r w:rsidRPr="00B829D4">
        <w:rPr>
          <w:rFonts w:ascii="Arial" w:hAnsi="Arial"/>
          <w:sz w:val="20"/>
          <w:lang w:val="en"/>
        </w:rPr>
        <w:t xml:space="preserve">screen print the </w:t>
      </w:r>
      <w:r w:rsidRPr="00B829D4">
        <w:rPr>
          <w:rFonts w:ascii="Arial" w:hAnsi="Arial"/>
          <w:i/>
          <w:iCs/>
          <w:sz w:val="20"/>
          <w:lang w:val="en"/>
        </w:rPr>
        <w:t>SMC Input Results</w:t>
      </w:r>
      <w:r w:rsidRPr="00B829D4">
        <w:rPr>
          <w:rFonts w:ascii="Arial" w:hAnsi="Arial"/>
          <w:sz w:val="20"/>
          <w:lang w:val="en"/>
        </w:rPr>
        <w:t xml:space="preserve"> screen and upload to the claims folder</w:t>
      </w:r>
      <w:r w:rsidR="00F929A7">
        <w:rPr>
          <w:rFonts w:ascii="Arial" w:hAnsi="Arial"/>
          <w:sz w:val="20"/>
          <w:lang w:val="en"/>
        </w:rPr>
        <w:t xml:space="preserve"> (also says “as long as both calculators are available, either one may be used”)</w:t>
      </w:r>
      <w:r>
        <w:rPr>
          <w:rFonts w:ascii="Arial" w:hAnsi="Arial"/>
          <w:sz w:val="20"/>
          <w:lang w:val="en"/>
        </w:rPr>
        <w:t xml:space="preserve">; </w:t>
      </w:r>
      <w:r w:rsidRPr="00B829D4">
        <w:rPr>
          <w:rFonts w:ascii="Arial" w:hAnsi="Arial"/>
          <w:i/>
          <w:sz w:val="20"/>
        </w:rPr>
        <w:t>http://vbaw.vba.va.gov/VBMS/docs/VBMS_Tips_and_Tricks_13_1.pdf</w:t>
      </w:r>
      <w:r w:rsidRPr="00B829D4">
        <w:rPr>
          <w:rFonts w:ascii="Arial" w:hAnsi="Arial"/>
          <w:sz w:val="20"/>
        </w:rPr>
        <w:t xml:space="preserve">  - solution for the embedded SMC Calculator finalization error is: “Edit” each system generated SMC paragraph &amp; code line (do paragraph first, then codes)</w:t>
      </w:r>
    </w:p>
    <w:p w:rsidR="00AF3E66" w:rsidRPr="00063A5C" w:rsidRDefault="00AF3E66" w:rsidP="00AF3E66">
      <w:pPr>
        <w:widowControl w:val="0"/>
        <w:ind w:left="360"/>
        <w:rPr>
          <w:rFonts w:ascii="Verdana" w:hAnsi="Verdana"/>
          <w:i/>
          <w:iCs/>
        </w:rPr>
      </w:pPr>
      <w:r w:rsidRPr="00063A5C">
        <w:rPr>
          <w:rFonts w:ascii="Verdana" w:hAnsi="Verdana"/>
          <w:b/>
          <w:bCs/>
          <w:highlight w:val="green"/>
        </w:rPr>
        <w:t>Subject:</w:t>
      </w:r>
      <w:r w:rsidRPr="00063A5C">
        <w:rPr>
          <w:rFonts w:ascii="Verdana" w:hAnsi="Verdana"/>
        </w:rPr>
        <w:t xml:space="preserve"> </w:t>
      </w:r>
      <w:r w:rsidRPr="00063A5C">
        <w:rPr>
          <w:rFonts w:ascii="Verdana" w:hAnsi="Verdana"/>
          <w:iCs/>
        </w:rPr>
        <w:t>SMC Calculator Worksheet</w:t>
      </w:r>
      <w:r w:rsidRPr="00063A5C">
        <w:rPr>
          <w:rFonts w:ascii="Verdana" w:hAnsi="Verdana"/>
          <w:i/>
          <w:iCs/>
        </w:rPr>
        <w:t xml:space="preserve"> </w:t>
      </w:r>
    </w:p>
    <w:p w:rsidR="00AF3E66" w:rsidRPr="00063A5C" w:rsidRDefault="00AF3E66" w:rsidP="00AF3E66">
      <w:pPr>
        <w:widowControl w:val="0"/>
        <w:ind w:left="360"/>
        <w:rPr>
          <w:rFonts w:ascii="Verdana" w:hAnsi="Verdana"/>
        </w:rPr>
      </w:pPr>
      <w:r w:rsidRPr="00063A5C">
        <w:rPr>
          <w:rFonts w:ascii="Verdana" w:hAnsi="Verdana"/>
          <w:b/>
          <w:bCs/>
          <w:highlight w:val="green"/>
        </w:rPr>
        <w:t>VBMS Document Category-Type:</w:t>
      </w:r>
      <w:r w:rsidRPr="00063A5C">
        <w:rPr>
          <w:rFonts w:ascii="Verdana" w:hAnsi="Verdana"/>
        </w:rPr>
        <w:t xml:space="preserve"> </w:t>
      </w:r>
      <w:r w:rsidRPr="00063A5C">
        <w:rPr>
          <w:rFonts w:ascii="Verdana" w:hAnsi="Verdana"/>
          <w:iCs/>
        </w:rPr>
        <w:t>Worksheet: Rating Calculator Worksheets</w:t>
      </w:r>
    </w:p>
    <w:p w:rsidR="00AF3E66" w:rsidRDefault="00AF3E66" w:rsidP="00AF3E66">
      <w:pPr>
        <w:widowControl w:val="0"/>
        <w:spacing w:after="120"/>
        <w:ind w:left="360"/>
        <w:rPr>
          <w:rFonts w:ascii="Verdana" w:hAnsi="Verdana"/>
        </w:rPr>
      </w:pPr>
      <w:r w:rsidRPr="00063A5C">
        <w:rPr>
          <w:rFonts w:ascii="Verdana" w:hAnsi="Verdana"/>
          <w:b/>
          <w:bCs/>
          <w:highlight w:val="green"/>
        </w:rPr>
        <w:t>Source:</w:t>
      </w:r>
      <w:r w:rsidRPr="00063A5C">
        <w:rPr>
          <w:rFonts w:ascii="Verdana" w:hAnsi="Verdana"/>
        </w:rPr>
        <w:t xml:space="preserve"> VBMS</w:t>
      </w:r>
      <w:r w:rsidR="00A33971">
        <w:rPr>
          <w:rFonts w:ascii="Verdana" w:hAnsi="Verdana"/>
        </w:rPr>
        <w:t xml:space="preserve"> </w:t>
      </w:r>
      <w:r w:rsidR="00A33971" w:rsidRPr="00A33971">
        <w:rPr>
          <w:highlight w:val="red"/>
        </w:rPr>
        <w:t>(shouldn</w:t>
      </w:r>
      <w:r w:rsidR="00A33971">
        <w:rPr>
          <w:highlight w:val="red"/>
        </w:rPr>
        <w:t xml:space="preserve">’t source </w:t>
      </w:r>
      <w:r w:rsidR="00A33971" w:rsidRPr="00A33971">
        <w:rPr>
          <w:highlight w:val="red"/>
        </w:rPr>
        <w:t xml:space="preserve">be </w:t>
      </w:r>
      <w:r w:rsidR="00A33971">
        <w:rPr>
          <w:highlight w:val="red"/>
        </w:rPr>
        <w:t xml:space="preserve">“VBMS-R” </w:t>
      </w:r>
      <w:r w:rsidR="00A33971" w:rsidRPr="00A33971">
        <w:rPr>
          <w:highlight w:val="red"/>
        </w:rPr>
        <w:t>now that it is an option?)</w:t>
      </w:r>
    </w:p>
    <w:p w:rsidR="00416DD9" w:rsidRPr="00063A5C" w:rsidRDefault="00416DD9" w:rsidP="00AF3E66">
      <w:pPr>
        <w:widowControl w:val="0"/>
        <w:spacing w:after="120"/>
        <w:ind w:left="360"/>
        <w:rPr>
          <w:rFonts w:ascii="Verdana" w:hAnsi="Verdana"/>
          <w:b/>
          <w:bCs/>
        </w:rPr>
      </w:pPr>
    </w:p>
    <w:p w:rsidR="00270104" w:rsidRDefault="00270104" w:rsidP="00691877">
      <w:pPr>
        <w:widowControl w:val="0"/>
        <w:numPr>
          <w:ilvl w:val="12"/>
          <w:numId w:val="41"/>
        </w:numPr>
        <w:pBdr>
          <w:top w:val="double" w:sz="4" w:space="1" w:color="auto"/>
          <w:left w:val="double" w:sz="4" w:space="4" w:color="auto"/>
          <w:bottom w:val="double" w:sz="4" w:space="1" w:color="auto"/>
          <w:right w:val="double" w:sz="4" w:space="4" w:color="auto"/>
        </w:pBdr>
        <w:shd w:val="clear" w:color="auto" w:fill="FFC000"/>
        <w:tabs>
          <w:tab w:val="left" w:pos="0"/>
        </w:tabs>
        <w:rPr>
          <w:i/>
        </w:rPr>
      </w:pPr>
      <w:r w:rsidRPr="0059725E">
        <w:rPr>
          <w:i/>
        </w:rPr>
        <w:t>Training documents are under “</w:t>
      </w:r>
      <w:r>
        <w:rPr>
          <w:i/>
        </w:rPr>
        <w:t>Higher Level Special Monthly Compensation”</w:t>
      </w:r>
      <w:r w:rsidR="001453C4" w:rsidRPr="001453C4">
        <w:rPr>
          <w:i/>
        </w:rPr>
        <w:t xml:space="preserve"> </w:t>
      </w:r>
      <w:r w:rsidR="001453C4">
        <w:rPr>
          <w:i/>
        </w:rPr>
        <w:t xml:space="preserve">at </w:t>
      </w:r>
      <w:r w:rsidR="001453C4" w:rsidRPr="001453C4">
        <w:rPr>
          <w:b/>
          <w:i/>
        </w:rPr>
        <w:t>http://hvnc.gdit.com/lc/</w:t>
      </w:r>
    </w:p>
    <w:p w:rsidR="00270104" w:rsidRDefault="00270104">
      <w:pPr>
        <w:widowControl w:val="0"/>
        <w:tabs>
          <w:tab w:val="left" w:pos="1080"/>
          <w:tab w:val="left" w:pos="1872"/>
        </w:tabs>
        <w:rPr>
          <w:sz w:val="22"/>
        </w:rPr>
      </w:pPr>
    </w:p>
    <w:p w:rsidR="005F5D1E" w:rsidRPr="00D10240" w:rsidRDefault="005F5D1E" w:rsidP="009327C0">
      <w:pPr>
        <w:pBdr>
          <w:top w:val="double" w:sz="4" w:space="1" w:color="auto"/>
          <w:left w:val="double" w:sz="4" w:space="4" w:color="auto"/>
          <w:bottom w:val="double" w:sz="4" w:space="1" w:color="auto"/>
          <w:right w:val="double" w:sz="4" w:space="4" w:color="auto"/>
        </w:pBdr>
        <w:shd w:val="clear" w:color="auto" w:fill="FFC000"/>
        <w:spacing w:before="240" w:after="120"/>
        <w:rPr>
          <w:rFonts w:eastAsiaTheme="minorHAnsi"/>
        </w:rPr>
      </w:pPr>
      <w:r>
        <w:rPr>
          <w:rFonts w:eastAsiaTheme="minorHAnsi"/>
          <w:b/>
        </w:rPr>
        <w:t>SMC_Info [spreadsheet]</w:t>
      </w:r>
      <w:r>
        <w:rPr>
          <w:rFonts w:eastAsiaTheme="minorHAnsi"/>
        </w:rPr>
        <w:t xml:space="preserve"> </w:t>
      </w:r>
      <w:r w:rsidR="00043546">
        <w:rPr>
          <w:rFonts w:eastAsiaTheme="minorHAnsi"/>
        </w:rPr>
        <w:t xml:space="preserve">(from 2015) </w:t>
      </w:r>
      <w:r>
        <w:rPr>
          <w:rFonts w:eastAsiaTheme="minorHAnsi"/>
        </w:rPr>
        <w:t>is</w:t>
      </w:r>
      <w:r w:rsidRPr="0036376C">
        <w:t xml:space="preserve"> saved at </w:t>
      </w:r>
      <w:r w:rsidRPr="001453C4">
        <w:rPr>
          <w:b/>
          <w:bCs/>
          <w:i/>
          <w:iCs/>
        </w:rPr>
        <w:t>H:\VSC\Rating Reference</w:t>
      </w:r>
    </w:p>
    <w:p w:rsidR="005F5D1E" w:rsidRDefault="005F5D1E">
      <w:pPr>
        <w:widowControl w:val="0"/>
        <w:tabs>
          <w:tab w:val="left" w:pos="1080"/>
          <w:tab w:val="left" w:pos="1872"/>
        </w:tabs>
        <w:rPr>
          <w:sz w:val="22"/>
        </w:rPr>
      </w:pPr>
    </w:p>
    <w:p w:rsidR="005F5D1E" w:rsidRDefault="005F5D1E">
      <w:pPr>
        <w:widowControl w:val="0"/>
        <w:tabs>
          <w:tab w:val="left" w:pos="1080"/>
          <w:tab w:val="left" w:pos="1872"/>
        </w:tabs>
        <w:rPr>
          <w:sz w:val="22"/>
        </w:rPr>
      </w:pPr>
    </w:p>
    <w:tbl>
      <w:tblPr>
        <w:tblW w:w="10785" w:type="dxa"/>
        <w:tblInd w:w="-45" w:type="dxa"/>
        <w:tblLayout w:type="fixed"/>
        <w:tblCellMar>
          <w:left w:w="30" w:type="dxa"/>
          <w:right w:w="30" w:type="dxa"/>
        </w:tblCellMar>
        <w:tblLook w:val="0000" w:firstRow="0" w:lastRow="0" w:firstColumn="0" w:lastColumn="0" w:noHBand="0" w:noVBand="0"/>
      </w:tblPr>
      <w:tblGrid>
        <w:gridCol w:w="705"/>
        <w:gridCol w:w="10080"/>
      </w:tblGrid>
      <w:tr w:rsidR="00013EB8" w:rsidTr="001453C4">
        <w:tc>
          <w:tcPr>
            <w:tcW w:w="705" w:type="dxa"/>
            <w:tcBorders>
              <w:top w:val="nil"/>
              <w:left w:val="nil"/>
              <w:bottom w:val="nil"/>
              <w:right w:val="nil"/>
            </w:tcBorders>
          </w:tcPr>
          <w:p w:rsidR="00013EB8" w:rsidRPr="00922AAD" w:rsidRDefault="00013EB8">
            <w:pPr>
              <w:widowControl w:val="0"/>
              <w:numPr>
                <w:ilvl w:val="12"/>
                <w:numId w:val="0"/>
              </w:numPr>
              <w:rPr>
                <w:b/>
              </w:rPr>
            </w:pPr>
            <w:bookmarkStart w:id="157" w:name="Part3SMC"/>
            <w:r w:rsidRPr="007A4B37">
              <w:rPr>
                <w:b/>
              </w:rPr>
              <w:t>3.350</w:t>
            </w:r>
            <w:bookmarkEnd w:id="157"/>
          </w:p>
        </w:tc>
        <w:tc>
          <w:tcPr>
            <w:tcW w:w="10080" w:type="dxa"/>
            <w:tcBorders>
              <w:top w:val="nil"/>
              <w:left w:val="nil"/>
              <w:bottom w:val="nil"/>
              <w:right w:val="nil"/>
            </w:tcBorders>
          </w:tcPr>
          <w:p w:rsidR="00013EB8" w:rsidRPr="00922AAD" w:rsidRDefault="00013EB8">
            <w:pPr>
              <w:widowControl w:val="0"/>
              <w:numPr>
                <w:ilvl w:val="12"/>
                <w:numId w:val="0"/>
              </w:numPr>
              <w:spacing w:after="120"/>
              <w:rPr>
                <w:i/>
                <w:iCs/>
              </w:rPr>
            </w:pPr>
            <w:r w:rsidRPr="00922AAD">
              <w:rPr>
                <w:b/>
              </w:rPr>
              <w:t xml:space="preserve">Special monthly compensation ratings – </w:t>
            </w:r>
            <w:r w:rsidR="005B0ECF">
              <w:t>(SMC)</w:t>
            </w:r>
          </w:p>
          <w:p w:rsidR="00013EB8" w:rsidRPr="00922AAD" w:rsidRDefault="00013EB8" w:rsidP="00FE5436">
            <w:pPr>
              <w:widowControl w:val="0"/>
              <w:numPr>
                <w:ilvl w:val="0"/>
                <w:numId w:val="54"/>
              </w:numPr>
              <w:spacing w:after="120"/>
              <w:rPr>
                <w:b/>
                <w:iCs/>
              </w:rPr>
            </w:pPr>
            <w:r w:rsidRPr="007A4B37">
              <w:rPr>
                <w:b/>
                <w:iCs/>
              </w:rPr>
              <w:t>3.401</w:t>
            </w:r>
            <w:r w:rsidRPr="00922AAD">
              <w:rPr>
                <w:b/>
                <w:iCs/>
              </w:rPr>
              <w:t>(a)</w:t>
            </w:r>
          </w:p>
          <w:p w:rsidR="00013EB8" w:rsidRPr="00922AAD" w:rsidRDefault="00013EB8" w:rsidP="00FE5436">
            <w:pPr>
              <w:widowControl w:val="0"/>
              <w:numPr>
                <w:ilvl w:val="0"/>
                <w:numId w:val="54"/>
              </w:numPr>
              <w:spacing w:after="120"/>
              <w:rPr>
                <w:b/>
                <w:iCs/>
              </w:rPr>
            </w:pPr>
            <w:r w:rsidRPr="007A4B37">
              <w:rPr>
                <w:b/>
                <w:iCs/>
              </w:rPr>
              <w:t>4.63</w:t>
            </w:r>
          </w:p>
          <w:p w:rsidR="00013EB8" w:rsidRPr="000E7BFD" w:rsidRDefault="00013EB8" w:rsidP="00FE5436">
            <w:pPr>
              <w:widowControl w:val="0"/>
              <w:numPr>
                <w:ilvl w:val="0"/>
                <w:numId w:val="54"/>
              </w:numPr>
              <w:spacing w:after="120"/>
              <w:rPr>
                <w:b/>
                <w:iCs/>
              </w:rPr>
            </w:pPr>
            <w:r w:rsidRPr="000E7BFD">
              <w:rPr>
                <w:b/>
                <w:iCs/>
              </w:rPr>
              <w:t>4.64</w:t>
            </w:r>
          </w:p>
          <w:p w:rsidR="00013EB8" w:rsidRPr="00A7439F" w:rsidRDefault="00013EB8" w:rsidP="00FE5436">
            <w:pPr>
              <w:widowControl w:val="0"/>
              <w:numPr>
                <w:ilvl w:val="0"/>
                <w:numId w:val="54"/>
              </w:numPr>
              <w:spacing w:after="120"/>
              <w:rPr>
                <w:b/>
                <w:bCs/>
              </w:rPr>
            </w:pPr>
            <w:r w:rsidRPr="00CF557B">
              <w:rPr>
                <w:b/>
                <w:bCs/>
              </w:rPr>
              <w:t>III.iv.6.B</w:t>
            </w:r>
            <w:r w:rsidR="000806C8" w:rsidRPr="00DC7E42">
              <w:rPr>
                <w:b/>
                <w:bCs/>
              </w:rPr>
              <w:t xml:space="preserve"> </w:t>
            </w:r>
            <w:r w:rsidRPr="00922AAD">
              <w:t xml:space="preserve">– inferred issues, </w:t>
            </w:r>
            <w:r w:rsidRPr="000806C8">
              <w:rPr>
                <w:i/>
              </w:rPr>
              <w:t>do not infer to deny</w:t>
            </w:r>
          </w:p>
          <w:p w:rsidR="00A7439F" w:rsidRDefault="000E1F23" w:rsidP="00FE5436">
            <w:pPr>
              <w:widowControl w:val="0"/>
              <w:numPr>
                <w:ilvl w:val="0"/>
                <w:numId w:val="54"/>
              </w:numPr>
              <w:spacing w:after="120"/>
              <w:rPr>
                <w:b/>
                <w:bCs/>
              </w:rPr>
            </w:pPr>
            <w:r>
              <w:rPr>
                <w:b/>
                <w:bCs/>
              </w:rPr>
              <w:t>IV.ii.2.H</w:t>
            </w:r>
          </w:p>
          <w:p w:rsidR="000E1F23" w:rsidRPr="00430FAB" w:rsidRDefault="000E1F23" w:rsidP="00FE5436">
            <w:pPr>
              <w:widowControl w:val="0"/>
              <w:numPr>
                <w:ilvl w:val="0"/>
                <w:numId w:val="54"/>
              </w:numPr>
              <w:spacing w:after="120"/>
              <w:rPr>
                <w:b/>
                <w:bCs/>
              </w:rPr>
            </w:pPr>
            <w:r>
              <w:rPr>
                <w:b/>
                <w:bCs/>
              </w:rPr>
              <w:t>V.iii.2.A</w:t>
            </w:r>
            <w:r w:rsidR="003F2A45">
              <w:rPr>
                <w:bCs/>
              </w:rPr>
              <w:t xml:space="preserve"> – A&amp;A for </w:t>
            </w:r>
            <w:r w:rsidR="00043B7E">
              <w:rPr>
                <w:bCs/>
              </w:rPr>
              <w:t>spouse (DIC)</w:t>
            </w:r>
          </w:p>
          <w:p w:rsidR="00BB3B37" w:rsidRPr="00F26444" w:rsidRDefault="00BB3B37" w:rsidP="001453C4">
            <w:pPr>
              <w:pStyle w:val="ListParagraph"/>
              <w:pBdr>
                <w:top w:val="double" w:sz="4" w:space="1" w:color="auto"/>
                <w:left w:val="double" w:sz="4" w:space="4" w:color="auto"/>
                <w:bottom w:val="double" w:sz="4" w:space="1" w:color="auto"/>
                <w:right w:val="double" w:sz="4" w:space="4" w:color="auto"/>
              </w:pBdr>
              <w:shd w:val="clear" w:color="auto" w:fill="FFC000"/>
              <w:ind w:left="150" w:right="240"/>
              <w:rPr>
                <w:rFonts w:ascii="Arial" w:hAnsi="Arial"/>
                <w:b/>
                <w:i/>
                <w:sz w:val="20"/>
                <w:szCs w:val="20"/>
              </w:rPr>
            </w:pPr>
            <w:r w:rsidRPr="001453C4">
              <w:rPr>
                <w:rFonts w:ascii="Arial" w:hAnsi="Arial"/>
                <w:b/>
                <w:i/>
                <w:sz w:val="20"/>
                <w:szCs w:val="20"/>
              </w:rPr>
              <w:t>H:\VSC\Training\NTC Class Material\Intro &amp; Higher Level SMC 1-8-15</w:t>
            </w:r>
          </w:p>
          <w:p w:rsidR="00013EB8" w:rsidRPr="00922AAD" w:rsidRDefault="00013EB8">
            <w:pPr>
              <w:widowControl w:val="0"/>
              <w:rPr>
                <w:b/>
              </w:rPr>
            </w:pPr>
            <w:r w:rsidRPr="00922AAD">
              <w:rPr>
                <w:b/>
              </w:rPr>
              <w:t>(a) K – anatomical loss/loss of use of:</w:t>
            </w:r>
          </w:p>
          <w:tbl>
            <w:tblPr>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35"/>
              <w:gridCol w:w="1800"/>
            </w:tblGrid>
            <w:tr w:rsidR="00013EB8" w:rsidRPr="00922AAD">
              <w:tc>
                <w:tcPr>
                  <w:tcW w:w="8235" w:type="dxa"/>
                </w:tcPr>
                <w:p w:rsidR="00013EB8" w:rsidRPr="00922AAD" w:rsidRDefault="00013EB8">
                  <w:pPr>
                    <w:widowControl w:val="0"/>
                  </w:pPr>
                </w:p>
              </w:tc>
              <w:tc>
                <w:tcPr>
                  <w:tcW w:w="1800" w:type="dxa"/>
                </w:tcPr>
                <w:p w:rsidR="00013EB8" w:rsidRPr="00922AAD" w:rsidRDefault="00013EB8">
                  <w:pPr>
                    <w:widowControl w:val="0"/>
                    <w:rPr>
                      <w:b/>
                      <w:bCs/>
                    </w:rPr>
                  </w:pPr>
                  <w:r w:rsidRPr="00922AAD">
                    <w:rPr>
                      <w:b/>
                      <w:bCs/>
                    </w:rPr>
                    <w:t>DCs</w:t>
                  </w:r>
                </w:p>
              </w:tc>
            </w:tr>
            <w:tr w:rsidR="00013EB8" w:rsidRPr="00922AAD">
              <w:tc>
                <w:tcPr>
                  <w:tcW w:w="8235" w:type="dxa"/>
                </w:tcPr>
                <w:p w:rsidR="00013EB8" w:rsidRPr="00922AAD" w:rsidRDefault="00013EB8">
                  <w:pPr>
                    <w:widowControl w:val="0"/>
                    <w:spacing w:after="120"/>
                    <w:rPr>
                      <w:i/>
                      <w:iCs/>
                    </w:rPr>
                  </w:pPr>
                  <w:r w:rsidRPr="00922AAD">
                    <w:t xml:space="preserve">one or more creative organs </w:t>
                  </w:r>
                  <w:r w:rsidRPr="00922AAD">
                    <w:rPr>
                      <w:i/>
                      <w:iCs/>
                    </w:rPr>
                    <w:t xml:space="preserve">(only </w:t>
                  </w:r>
                  <w:r w:rsidRPr="00922AAD">
                    <w:rPr>
                      <w:i/>
                      <w:iCs/>
                      <w:u w:val="single"/>
                    </w:rPr>
                    <w:t>one</w:t>
                  </w:r>
                  <w:r w:rsidRPr="00922AAD">
                    <w:rPr>
                      <w:i/>
                      <w:iCs/>
                    </w:rPr>
                    <w:t xml:space="preserve"> K allowed for creative organs)</w:t>
                  </w:r>
                </w:p>
                <w:p w:rsidR="00F419C0" w:rsidRPr="00F419C0" w:rsidRDefault="00DB19D5" w:rsidP="00F063AF">
                  <w:pPr>
                    <w:widowControl w:val="0"/>
                    <w:numPr>
                      <w:ilvl w:val="0"/>
                      <w:numId w:val="281"/>
                    </w:numPr>
                    <w:tabs>
                      <w:tab w:val="clear" w:pos="720"/>
                      <w:tab w:val="num" w:pos="487"/>
                    </w:tabs>
                    <w:overflowPunct/>
                    <w:autoSpaceDE/>
                    <w:autoSpaceDN/>
                    <w:adjustRightInd/>
                    <w:spacing w:after="120"/>
                    <w:ind w:left="487" w:hanging="357"/>
                    <w:textAlignment w:val="auto"/>
                    <w:rPr>
                      <w:sz w:val="15"/>
                      <w:szCs w:val="15"/>
                    </w:rPr>
                  </w:pPr>
                  <w:r w:rsidRPr="00332C7A">
                    <w:rPr>
                      <w:b/>
                      <w:iCs/>
                    </w:rPr>
                    <w:t>III.iv.4.I.</w:t>
                  </w:r>
                  <w:r>
                    <w:rPr>
                      <w:b/>
                      <w:iCs/>
                    </w:rPr>
                    <w:t>3</w:t>
                  </w:r>
                  <w:r w:rsidRPr="00332C7A">
                    <w:rPr>
                      <w:b/>
                      <w:iCs/>
                    </w:rPr>
                    <w:t>.</w:t>
                  </w:r>
                  <w:r>
                    <w:rPr>
                      <w:b/>
                      <w:iCs/>
                    </w:rPr>
                    <w:t>b</w:t>
                  </w:r>
                  <w:r w:rsidR="00B651EC">
                    <w:rPr>
                      <w:iCs/>
                    </w:rPr>
                    <w:t xml:space="preserve"> </w:t>
                  </w:r>
                  <w:r w:rsidR="008119CD">
                    <w:rPr>
                      <w:iCs/>
                    </w:rPr>
                    <w:t xml:space="preserve">– </w:t>
                  </w:r>
                  <w:r w:rsidR="0039265E" w:rsidRPr="0039265E">
                    <w:rPr>
                      <w:iCs/>
                    </w:rPr>
                    <w:t xml:space="preserve">changed </w:t>
                  </w:r>
                  <w:r w:rsidR="007604C5">
                    <w:rPr>
                      <w:iCs/>
                    </w:rPr>
                    <w:t>8/17</w:t>
                  </w:r>
                  <w:r w:rsidR="008119CD">
                    <w:rPr>
                      <w:iCs/>
                    </w:rPr>
                    <w:t xml:space="preserve">/16, </w:t>
                  </w:r>
                  <w:r w:rsidR="00F419C0" w:rsidRPr="00F419C0">
                    <w:t xml:space="preserve">When the evidence shows LOU of a creative organ due to an SC condition, entitlement to SMC (k) will be awarded even though the Veteran can achieve erection and penetration </w:t>
                  </w:r>
                  <w:r w:rsidR="00F419C0" w:rsidRPr="00F419C0">
                    <w:rPr>
                      <w:b/>
                      <w:i/>
                      <w:sz w:val="24"/>
                      <w:u w:val="single"/>
                    </w:rPr>
                    <w:t>with the use of medication</w:t>
                  </w:r>
                </w:p>
                <w:p w:rsidR="00F419C0" w:rsidRPr="00F419C0" w:rsidRDefault="003F0C17" w:rsidP="00F063AF">
                  <w:pPr>
                    <w:widowControl w:val="0"/>
                    <w:numPr>
                      <w:ilvl w:val="0"/>
                      <w:numId w:val="281"/>
                    </w:numPr>
                    <w:tabs>
                      <w:tab w:val="clear" w:pos="720"/>
                      <w:tab w:val="num" w:pos="487"/>
                    </w:tabs>
                    <w:overflowPunct/>
                    <w:autoSpaceDE/>
                    <w:autoSpaceDN/>
                    <w:adjustRightInd/>
                    <w:spacing w:after="120"/>
                    <w:ind w:left="487" w:hanging="357"/>
                    <w:textAlignment w:val="auto"/>
                    <w:rPr>
                      <w:sz w:val="15"/>
                      <w:szCs w:val="15"/>
                    </w:rPr>
                  </w:pPr>
                  <w:r w:rsidRPr="00F419C0">
                    <w:rPr>
                      <w:b/>
                      <w:iCs/>
                    </w:rPr>
                    <w:t>IV.ii.2.H.4.b</w:t>
                  </w:r>
                </w:p>
                <w:p w:rsidR="00013EB8" w:rsidRPr="00F419C0" w:rsidRDefault="00013EB8" w:rsidP="00691877">
                  <w:pPr>
                    <w:widowControl w:val="0"/>
                    <w:numPr>
                      <w:ilvl w:val="0"/>
                      <w:numId w:val="34"/>
                    </w:numPr>
                    <w:tabs>
                      <w:tab w:val="clear" w:pos="720"/>
                      <w:tab w:val="num" w:pos="487"/>
                    </w:tabs>
                    <w:spacing w:after="120"/>
                    <w:ind w:left="487" w:hanging="357"/>
                    <w:rPr>
                      <w:iCs/>
                    </w:rPr>
                  </w:pPr>
                  <w:r w:rsidRPr="00F419C0">
                    <w:rPr>
                      <w:i/>
                    </w:rPr>
                    <w:t>LOU include</w:t>
                  </w:r>
                  <w:r w:rsidR="002C4ED9">
                    <w:rPr>
                      <w:i/>
                    </w:rPr>
                    <w:t>s partial erectile dysfunction</w:t>
                  </w:r>
                  <w:r w:rsidRPr="00F419C0">
                    <w:rPr>
                      <w:i/>
                    </w:rPr>
                    <w:t xml:space="preserve"> &amp; retrograde ejaculation, also includes loss of use of one testicle if there is atrophy of a testicle resulting from mumps followed by orchitis)</w:t>
                  </w:r>
                  <w:r w:rsidR="00744248" w:rsidRPr="00F419C0">
                    <w:t xml:space="preserve">, </w:t>
                  </w:r>
                  <w:r w:rsidR="000D7D75">
                    <w:rPr>
                      <w:b/>
                    </w:rPr>
                    <w:t>III.iv.4.I.3.h</w:t>
                  </w:r>
                  <w:r w:rsidR="0039453B" w:rsidRPr="00F419C0">
                    <w:rPr>
                      <w:b/>
                    </w:rPr>
                    <w:t xml:space="preserve"> &amp; III.iv.4.I.3.</w:t>
                  </w:r>
                  <w:r w:rsidR="000D7D75">
                    <w:rPr>
                      <w:b/>
                    </w:rPr>
                    <w:t>i</w:t>
                  </w:r>
                  <w:r w:rsidR="00744248" w:rsidRPr="00F419C0">
                    <w:t xml:space="preserve"> – in all cases of radical prostatectomy, award SMC K for loss of use of a creative organ &amp; consider SC for ED based on facts-found</w:t>
                  </w:r>
                </w:p>
                <w:p w:rsidR="004A7341" w:rsidRPr="001C2D86" w:rsidRDefault="00D571C5" w:rsidP="00691877">
                  <w:pPr>
                    <w:widowControl w:val="0"/>
                    <w:numPr>
                      <w:ilvl w:val="0"/>
                      <w:numId w:val="34"/>
                    </w:numPr>
                    <w:tabs>
                      <w:tab w:val="clear" w:pos="720"/>
                      <w:tab w:val="num" w:pos="427"/>
                    </w:tabs>
                    <w:spacing w:after="120"/>
                    <w:ind w:left="427"/>
                  </w:pPr>
                  <w:hyperlink r:id="rId688" w:history="1">
                    <w:r w:rsidR="00361AA8">
                      <w:rPr>
                        <w:rStyle w:val="Hyperlink"/>
                        <w:b/>
                        <w:bCs/>
                        <w:i/>
                      </w:rPr>
                      <w:t>May 2016 Quality Call Notes</w:t>
                    </w:r>
                  </w:hyperlink>
                  <w:r w:rsidR="00361AA8" w:rsidRPr="006D5D47">
                    <w:rPr>
                      <w:bCs/>
                    </w:rPr>
                    <w:t xml:space="preserve"> </w:t>
                  </w:r>
                  <w:r w:rsidR="004A7341">
                    <w:rPr>
                      <w:bCs/>
                    </w:rPr>
                    <w:t xml:space="preserve">&amp; </w:t>
                  </w:r>
                  <w:r w:rsidR="004A7341">
                    <w:rPr>
                      <w:b/>
                      <w:bCs/>
                      <w:i/>
                    </w:rPr>
                    <w:t xml:space="preserve">May </w:t>
                  </w:r>
                  <w:r w:rsidR="004A7341" w:rsidRPr="00632D62">
                    <w:rPr>
                      <w:b/>
                      <w:bCs/>
                      <w:i/>
                    </w:rPr>
                    <w:t xml:space="preserve">2016 </w:t>
                  </w:r>
                  <w:r w:rsidR="004A7341" w:rsidRPr="00632D62">
                    <w:rPr>
                      <w:b/>
                      <w:i/>
                    </w:rPr>
                    <w:t>Compensation Service Bulletin (CSB)</w:t>
                  </w:r>
                  <w:r w:rsidR="004A7341">
                    <w:rPr>
                      <w:b/>
                      <w:i/>
                    </w:rPr>
                    <w:t xml:space="preserve"> </w:t>
                  </w:r>
                  <w:r w:rsidR="00361AA8" w:rsidRPr="006D5D47">
                    <w:rPr>
                      <w:bCs/>
                    </w:rPr>
                    <w:t>–</w:t>
                  </w:r>
                  <w:r w:rsidR="00361AA8">
                    <w:rPr>
                      <w:bCs/>
                    </w:rPr>
                    <w:t xml:space="preserve"> does not matter if can penetrate &amp; ejaculate without the use of medication (5C), give SMC K if have Yes in </w:t>
                  </w:r>
                  <w:r w:rsidR="00361AA8" w:rsidRPr="001A11C8">
                    <w:rPr>
                      <w:bCs/>
                    </w:rPr>
                    <w:t>5A (</w:t>
                  </w:r>
                  <w:r w:rsidR="00361AA8" w:rsidRPr="00361AA8">
                    <w:rPr>
                      <w:bCs/>
                      <w:highlight w:val="magenta"/>
                    </w:rPr>
                    <w:t>this is a change</w:t>
                  </w:r>
                  <w:r w:rsidR="00361AA8" w:rsidRPr="001A11C8">
                    <w:rPr>
                      <w:bCs/>
                    </w:rPr>
                    <w:t>)</w:t>
                  </w:r>
                  <w:r w:rsidR="0002677A">
                    <w:rPr>
                      <w:bCs/>
                    </w:rPr>
                    <w:t xml:space="preserve"> </w:t>
                  </w:r>
                  <w:r w:rsidR="0002677A" w:rsidRPr="00C820D0">
                    <w:rPr>
                      <w:bCs/>
                      <w:i/>
                      <w:color w:val="00B050"/>
                    </w:rPr>
                    <w:t xml:space="preserve">My Notes:  </w:t>
                  </w:r>
                  <w:r w:rsidR="0002677A" w:rsidRPr="00D36CD9">
                    <w:rPr>
                      <w:bCs/>
                      <w:i/>
                    </w:rPr>
                    <w:t>On some DBQs, it’s 4A.</w:t>
                  </w:r>
                  <w:r w:rsidR="0002677A">
                    <w:rPr>
                      <w:bCs/>
                    </w:rPr>
                    <w:t xml:space="preserve"> </w:t>
                  </w:r>
                </w:p>
                <w:p w:rsidR="001C2D86" w:rsidRPr="001C2D86" w:rsidRDefault="001C2D86" w:rsidP="001C2D86">
                  <w:pPr>
                    <w:widowControl w:val="0"/>
                    <w:spacing w:after="120"/>
                    <w:ind w:left="487"/>
                    <w:rPr>
                      <w:i/>
                    </w:rPr>
                  </w:pPr>
                  <w:r w:rsidRPr="001C2D86">
                    <w:rPr>
                      <w:bCs/>
                      <w:i/>
                    </w:rPr>
                    <w:t>*</w:t>
                  </w:r>
                  <w:r w:rsidRPr="00C820D0">
                    <w:rPr>
                      <w:bCs/>
                      <w:i/>
                      <w:color w:val="00B050"/>
                    </w:rPr>
                    <w:t xml:space="preserve"> My Notes:  </w:t>
                  </w:r>
                  <w:r w:rsidRPr="001C2D86">
                    <w:rPr>
                      <w:bCs/>
                      <w:i/>
                    </w:rPr>
                    <w:t>Prior to this change, policy was that SMC was not warranted if medication was effective.</w:t>
                  </w:r>
                  <w:r>
                    <w:rPr>
                      <w:bCs/>
                      <w:i/>
                    </w:rPr>
                    <w:t xml:space="preserve"> So, if not granted, it is not a CUE. Unclear if you can grant for claims prior to 5/16.</w:t>
                  </w:r>
                </w:p>
              </w:tc>
              <w:tc>
                <w:tcPr>
                  <w:tcW w:w="1800" w:type="dxa"/>
                </w:tcPr>
                <w:p w:rsidR="00013EB8" w:rsidRPr="00922AAD" w:rsidRDefault="00013EB8">
                  <w:pPr>
                    <w:pStyle w:val="Header"/>
                    <w:widowControl w:val="0"/>
                    <w:tabs>
                      <w:tab w:val="clear" w:pos="4320"/>
                      <w:tab w:val="clear" w:pos="8640"/>
                    </w:tabs>
                  </w:pPr>
                  <w:r w:rsidRPr="00922AAD">
                    <w:t>7520, 7521, 7522, 7523, 7524</w:t>
                  </w:r>
                </w:p>
                <w:p w:rsidR="00013EB8" w:rsidRPr="00922AAD" w:rsidRDefault="00013EB8">
                  <w:pPr>
                    <w:pStyle w:val="Header"/>
                    <w:widowControl w:val="0"/>
                    <w:tabs>
                      <w:tab w:val="clear" w:pos="4320"/>
                      <w:tab w:val="clear" w:pos="8640"/>
                    </w:tabs>
                  </w:pPr>
                </w:p>
                <w:p w:rsidR="00013EB8" w:rsidRPr="00922AAD" w:rsidRDefault="00013EB8">
                  <w:pPr>
                    <w:widowControl w:val="0"/>
                  </w:pPr>
                  <w:r w:rsidRPr="00922AAD">
                    <w:t>7617, 7618, 7619, 7620</w:t>
                  </w:r>
                </w:p>
                <w:p w:rsidR="00013EB8" w:rsidRPr="00922AAD" w:rsidRDefault="00013EB8">
                  <w:pPr>
                    <w:widowControl w:val="0"/>
                  </w:pPr>
                </w:p>
                <w:p w:rsidR="00013EB8" w:rsidRPr="00922AAD" w:rsidRDefault="00013EB8">
                  <w:pPr>
                    <w:pStyle w:val="Header"/>
                    <w:widowControl w:val="0"/>
                    <w:tabs>
                      <w:tab w:val="clear" w:pos="4320"/>
                      <w:tab w:val="clear" w:pos="8640"/>
                    </w:tabs>
                  </w:pPr>
                </w:p>
              </w:tc>
            </w:tr>
            <w:tr w:rsidR="00013EB8" w:rsidRPr="00922AAD">
              <w:trPr>
                <w:trHeight w:val="70"/>
              </w:trPr>
              <w:tc>
                <w:tcPr>
                  <w:tcW w:w="8235" w:type="dxa"/>
                </w:tcPr>
                <w:p w:rsidR="00013EB8" w:rsidRPr="00922AAD" w:rsidRDefault="00013EB8">
                  <w:pPr>
                    <w:widowControl w:val="0"/>
                  </w:pPr>
                  <w:r w:rsidRPr="00922AAD">
                    <w:t xml:space="preserve">one hand </w:t>
                  </w:r>
                </w:p>
                <w:p w:rsidR="00013EB8" w:rsidRPr="00922AAD" w:rsidRDefault="00013EB8">
                  <w:pPr>
                    <w:widowControl w:val="0"/>
                  </w:pPr>
                  <w:r w:rsidRPr="00922AAD">
                    <w:rPr>
                      <w:i/>
                      <w:iCs/>
                    </w:rPr>
                    <w:t>(per Jeff Myers 11/09 training, if there is no thumb loss, you can do LOU, if appropriate, but not anatomical loss)</w:t>
                  </w:r>
                </w:p>
              </w:tc>
              <w:tc>
                <w:tcPr>
                  <w:tcW w:w="1800" w:type="dxa"/>
                </w:tcPr>
                <w:p w:rsidR="00013EB8" w:rsidRPr="00922AAD" w:rsidRDefault="00013EB8">
                  <w:pPr>
                    <w:widowControl w:val="0"/>
                    <w:rPr>
                      <w:i/>
                      <w:iCs/>
                    </w:rPr>
                  </w:pPr>
                  <w:r w:rsidRPr="00922AAD">
                    <w:t xml:space="preserve">5125, 5126, 5127, 5128, 5129, 5130, </w:t>
                  </w:r>
                  <w:r w:rsidRPr="00922AAD">
                    <w:rPr>
                      <w:i/>
                      <w:iCs/>
                    </w:rPr>
                    <w:t>(5131)</w:t>
                  </w:r>
                </w:p>
              </w:tc>
            </w:tr>
            <w:tr w:rsidR="00013EB8" w:rsidRPr="00922AAD">
              <w:tc>
                <w:tcPr>
                  <w:tcW w:w="8235" w:type="dxa"/>
                </w:tcPr>
                <w:p w:rsidR="00013EB8" w:rsidRPr="00922AAD" w:rsidRDefault="00013EB8">
                  <w:pPr>
                    <w:pStyle w:val="Header"/>
                    <w:widowControl w:val="0"/>
                    <w:tabs>
                      <w:tab w:val="clear" w:pos="4320"/>
                      <w:tab w:val="clear" w:pos="8640"/>
                    </w:tabs>
                  </w:pPr>
                  <w:r w:rsidRPr="00922AAD">
                    <w:t>one foot</w:t>
                  </w:r>
                </w:p>
              </w:tc>
              <w:tc>
                <w:tcPr>
                  <w:tcW w:w="1800" w:type="dxa"/>
                </w:tcPr>
                <w:p w:rsidR="00013EB8" w:rsidRPr="00922AAD" w:rsidRDefault="00013EB8">
                  <w:pPr>
                    <w:widowControl w:val="0"/>
                  </w:pPr>
                  <w:r w:rsidRPr="00922AAD">
                    <w:t>5167, 5166, 5165, 5164, 5163, 5162, 5161, 5160</w:t>
                  </w:r>
                </w:p>
              </w:tc>
            </w:tr>
            <w:tr w:rsidR="00013EB8" w:rsidRPr="00922AAD">
              <w:tc>
                <w:tcPr>
                  <w:tcW w:w="8235" w:type="dxa"/>
                </w:tcPr>
                <w:p w:rsidR="00013EB8" w:rsidRPr="00922AAD" w:rsidRDefault="00013EB8">
                  <w:pPr>
                    <w:pStyle w:val="Header"/>
                    <w:widowControl w:val="0"/>
                    <w:tabs>
                      <w:tab w:val="clear" w:pos="4320"/>
                      <w:tab w:val="clear" w:pos="8640"/>
                    </w:tabs>
                    <w:rPr>
                      <w:i/>
                      <w:iCs/>
                    </w:rPr>
                  </w:pPr>
                  <w:r w:rsidRPr="00922AAD">
                    <w:t xml:space="preserve">both buttocks </w:t>
                  </w:r>
                  <w:r w:rsidRPr="00922AAD">
                    <w:rPr>
                      <w:i/>
                      <w:iCs/>
                    </w:rPr>
                    <w:t>(MG XVII, bilateral)</w:t>
                  </w:r>
                </w:p>
                <w:p w:rsidR="00013EB8" w:rsidRPr="00922AAD" w:rsidRDefault="00013EB8">
                  <w:pPr>
                    <w:pStyle w:val="Header"/>
                    <w:widowControl w:val="0"/>
                    <w:tabs>
                      <w:tab w:val="clear" w:pos="4320"/>
                      <w:tab w:val="clear" w:pos="8640"/>
                    </w:tabs>
                  </w:pPr>
                  <w:r w:rsidRPr="00922AAD">
                    <w:rPr>
                      <w:i/>
                      <w:iCs/>
                    </w:rPr>
                    <w:t>(per Jeff Myers 11/09 training, can do L+K, if appropriate)</w:t>
                  </w:r>
                </w:p>
              </w:tc>
              <w:tc>
                <w:tcPr>
                  <w:tcW w:w="1800" w:type="dxa"/>
                </w:tcPr>
                <w:p w:rsidR="00013EB8" w:rsidRPr="00922AAD" w:rsidRDefault="00013EB8">
                  <w:pPr>
                    <w:pStyle w:val="Header"/>
                    <w:widowControl w:val="0"/>
                    <w:tabs>
                      <w:tab w:val="clear" w:pos="4320"/>
                      <w:tab w:val="clear" w:pos="8640"/>
                    </w:tabs>
                  </w:pPr>
                  <w:r w:rsidRPr="00922AAD">
                    <w:t>5317</w:t>
                  </w:r>
                </w:p>
              </w:tc>
            </w:tr>
            <w:tr w:rsidR="00013EB8" w:rsidRPr="00922AAD">
              <w:tc>
                <w:tcPr>
                  <w:tcW w:w="8235" w:type="dxa"/>
                </w:tcPr>
                <w:p w:rsidR="00013EB8" w:rsidRPr="00922AAD" w:rsidRDefault="00013EB8">
                  <w:pPr>
                    <w:pStyle w:val="Header"/>
                    <w:widowControl w:val="0"/>
                    <w:tabs>
                      <w:tab w:val="clear" w:pos="4320"/>
                      <w:tab w:val="clear" w:pos="8640"/>
                    </w:tabs>
                  </w:pPr>
                  <w:r w:rsidRPr="00922AAD">
                    <w:t xml:space="preserve">blindness of 1 eye w/LPO </w:t>
                  </w:r>
                </w:p>
                <w:p w:rsidR="00013EB8" w:rsidRPr="00922AAD" w:rsidRDefault="00013EB8">
                  <w:pPr>
                    <w:pStyle w:val="Header"/>
                    <w:widowControl w:val="0"/>
                    <w:tabs>
                      <w:tab w:val="clear" w:pos="4320"/>
                      <w:tab w:val="clear" w:pos="8640"/>
                    </w:tabs>
                  </w:pPr>
                  <w:r w:rsidRPr="00922AAD">
                    <w:rPr>
                      <w:i/>
                      <w:iCs/>
                    </w:rPr>
                    <w:t>(includes enucleation/anatomical loss of an eye, NLP and LPO)</w:t>
                  </w:r>
                </w:p>
              </w:tc>
              <w:tc>
                <w:tcPr>
                  <w:tcW w:w="1800" w:type="dxa"/>
                </w:tcPr>
                <w:p w:rsidR="00013EB8" w:rsidRPr="00922AAD" w:rsidRDefault="00013EB8">
                  <w:pPr>
                    <w:widowControl w:val="0"/>
                  </w:pPr>
                  <w:r w:rsidRPr="00922AAD">
                    <w:t>6063, 6064</w:t>
                  </w:r>
                </w:p>
              </w:tc>
            </w:tr>
            <w:tr w:rsidR="00013EB8" w:rsidRPr="00922AAD">
              <w:tc>
                <w:tcPr>
                  <w:tcW w:w="8235" w:type="dxa"/>
                </w:tcPr>
                <w:p w:rsidR="00013EB8" w:rsidRPr="00922AAD" w:rsidRDefault="00360643">
                  <w:pPr>
                    <w:pStyle w:val="Header"/>
                    <w:widowControl w:val="0"/>
                    <w:tabs>
                      <w:tab w:val="clear" w:pos="4320"/>
                      <w:tab w:val="clear" w:pos="8640"/>
                    </w:tabs>
                  </w:pPr>
                  <w:r w:rsidRPr="00922AAD">
                    <w:t>bilateral deafness with absence of air and</w:t>
                  </w:r>
                  <w:r w:rsidR="00013EB8" w:rsidRPr="00922AAD">
                    <w:t xml:space="preserve"> bone conduction </w:t>
                  </w:r>
                  <w:r w:rsidR="00013EB8" w:rsidRPr="00922AAD">
                    <w:rPr>
                      <w:i/>
                      <w:iCs/>
                    </w:rPr>
                    <w:t>(both at XI or absence of air &amp; bone conduction = 100%)</w:t>
                  </w:r>
                </w:p>
              </w:tc>
              <w:tc>
                <w:tcPr>
                  <w:tcW w:w="1800" w:type="dxa"/>
                </w:tcPr>
                <w:p w:rsidR="00013EB8" w:rsidRPr="00922AAD" w:rsidRDefault="00013EB8">
                  <w:pPr>
                    <w:widowControl w:val="0"/>
                  </w:pPr>
                  <w:r w:rsidRPr="00922AAD">
                    <w:t>6100</w:t>
                  </w:r>
                </w:p>
              </w:tc>
            </w:tr>
            <w:tr w:rsidR="00013EB8" w:rsidRPr="00922AAD">
              <w:tc>
                <w:tcPr>
                  <w:tcW w:w="8235" w:type="dxa"/>
                </w:tcPr>
                <w:p w:rsidR="00013EB8" w:rsidRDefault="00013EB8">
                  <w:pPr>
                    <w:pStyle w:val="Header"/>
                    <w:widowControl w:val="0"/>
                    <w:tabs>
                      <w:tab w:val="clear" w:pos="4320"/>
                      <w:tab w:val="clear" w:pos="8640"/>
                    </w:tabs>
                    <w:rPr>
                      <w:i/>
                      <w:iCs/>
                    </w:rPr>
                  </w:pPr>
                  <w:r w:rsidRPr="00922AAD">
                    <w:t xml:space="preserve">complete organic aphonia </w:t>
                  </w:r>
                  <w:r w:rsidRPr="00922AAD">
                    <w:rPr>
                      <w:i/>
                      <w:iCs/>
                    </w:rPr>
                    <w:t xml:space="preserve">(includes organs of speech, but not </w:t>
                  </w:r>
                  <w:r w:rsidRPr="00922AAD">
                    <w:t>aphasia</w:t>
                  </w:r>
                  <w:r w:rsidRPr="00922AAD">
                    <w:rPr>
                      <w:i/>
                      <w:iCs/>
                    </w:rPr>
                    <w:t xml:space="preserve"> from stroke)</w:t>
                  </w:r>
                </w:p>
                <w:p w:rsidR="00E55E1E" w:rsidRPr="00E55E1E" w:rsidRDefault="00E55E1E">
                  <w:pPr>
                    <w:pStyle w:val="Header"/>
                    <w:widowControl w:val="0"/>
                    <w:tabs>
                      <w:tab w:val="clear" w:pos="4320"/>
                      <w:tab w:val="clear" w:pos="8640"/>
                    </w:tabs>
                  </w:pPr>
                  <w:r w:rsidRPr="00E55E1E">
                    <w:rPr>
                      <w:rStyle w:val="Strong"/>
                      <w:bCs w:val="0"/>
                      <w:szCs w:val="21"/>
                    </w:rPr>
                    <w:t>IV.ii.2.H.4.i</w:t>
                  </w:r>
                </w:p>
              </w:tc>
              <w:tc>
                <w:tcPr>
                  <w:tcW w:w="1800" w:type="dxa"/>
                </w:tcPr>
                <w:p w:rsidR="00013EB8" w:rsidRPr="00922AAD" w:rsidRDefault="00013EB8">
                  <w:pPr>
                    <w:widowControl w:val="0"/>
                  </w:pPr>
                  <w:r w:rsidRPr="00922AAD">
                    <w:t>6518, 6159, 7202</w:t>
                  </w:r>
                </w:p>
              </w:tc>
            </w:tr>
            <w:tr w:rsidR="00013EB8" w:rsidRPr="00922AAD">
              <w:tc>
                <w:tcPr>
                  <w:tcW w:w="8235" w:type="dxa"/>
                </w:tcPr>
                <w:p w:rsidR="00013EB8" w:rsidRPr="00922AAD" w:rsidRDefault="00013EB8">
                  <w:pPr>
                    <w:pStyle w:val="Header"/>
                    <w:widowControl w:val="0"/>
                    <w:tabs>
                      <w:tab w:val="clear" w:pos="4320"/>
                      <w:tab w:val="clear" w:pos="8640"/>
                    </w:tabs>
                    <w:spacing w:after="120"/>
                  </w:pPr>
                  <w:r w:rsidRPr="00922AAD">
                    <w:t>1 or both breasts (</w:t>
                  </w:r>
                  <w:r w:rsidRPr="00B53305">
                    <w:rPr>
                      <w:b/>
                      <w:u w:val="single"/>
                    </w:rPr>
                    <w:t>Women only</w:t>
                  </w:r>
                  <w:r w:rsidRPr="00B53305">
                    <w:t>)</w:t>
                  </w:r>
                </w:p>
                <w:p w:rsidR="00ED7CB0" w:rsidRPr="00ED7CB0" w:rsidRDefault="00ED7CB0" w:rsidP="00691877">
                  <w:pPr>
                    <w:pStyle w:val="Header"/>
                    <w:widowControl w:val="0"/>
                    <w:numPr>
                      <w:ilvl w:val="1"/>
                      <w:numId w:val="33"/>
                    </w:numPr>
                    <w:tabs>
                      <w:tab w:val="clear" w:pos="1440"/>
                      <w:tab w:val="clear" w:pos="4320"/>
                      <w:tab w:val="clear" w:pos="8640"/>
                      <w:tab w:val="num" w:pos="427"/>
                    </w:tabs>
                    <w:spacing w:after="120"/>
                    <w:ind w:left="427"/>
                    <w:rPr>
                      <w:b/>
                    </w:rPr>
                  </w:pPr>
                  <w:r w:rsidRPr="00ED7CB0">
                    <w:rPr>
                      <w:b/>
                    </w:rPr>
                    <w:t>IV.ii.2.H.4.k</w:t>
                  </w:r>
                </w:p>
                <w:p w:rsidR="00013EB8" w:rsidRPr="00922AAD" w:rsidRDefault="00013EB8" w:rsidP="00691877">
                  <w:pPr>
                    <w:pStyle w:val="Header"/>
                    <w:widowControl w:val="0"/>
                    <w:numPr>
                      <w:ilvl w:val="1"/>
                      <w:numId w:val="33"/>
                    </w:numPr>
                    <w:tabs>
                      <w:tab w:val="clear" w:pos="1440"/>
                      <w:tab w:val="clear" w:pos="4320"/>
                      <w:tab w:val="clear" w:pos="8640"/>
                      <w:tab w:val="num" w:pos="427"/>
                    </w:tabs>
                    <w:spacing w:after="120"/>
                    <w:ind w:left="427"/>
                  </w:pPr>
                  <w:r w:rsidRPr="00922AAD">
                    <w:t>distinct from creative organ &amp; can have one K for each</w:t>
                  </w:r>
                  <w:r w:rsidR="002C4ED9">
                    <w:t xml:space="preserve"> (creative organ &amp; breast(s)</w:t>
                  </w:r>
                </w:p>
                <w:p w:rsidR="00013EB8" w:rsidRPr="00922AAD" w:rsidRDefault="00013EB8" w:rsidP="00691877">
                  <w:pPr>
                    <w:pStyle w:val="Header"/>
                    <w:widowControl w:val="0"/>
                    <w:numPr>
                      <w:ilvl w:val="1"/>
                      <w:numId w:val="33"/>
                    </w:numPr>
                    <w:tabs>
                      <w:tab w:val="clear" w:pos="1440"/>
                      <w:tab w:val="clear" w:pos="4320"/>
                      <w:tab w:val="clear" w:pos="8640"/>
                      <w:tab w:val="num" w:pos="427"/>
                    </w:tabs>
                    <w:spacing w:after="120"/>
                    <w:ind w:left="427"/>
                  </w:pPr>
                  <w:r w:rsidRPr="00922AAD">
                    <w:t>eff 11/1/00 for loss of one or both breasts, including loss by mastectomy</w:t>
                  </w:r>
                </w:p>
                <w:p w:rsidR="00013EB8" w:rsidRPr="00922AAD" w:rsidRDefault="00013EB8" w:rsidP="00691877">
                  <w:pPr>
                    <w:pStyle w:val="Header"/>
                    <w:widowControl w:val="0"/>
                    <w:numPr>
                      <w:ilvl w:val="1"/>
                      <w:numId w:val="33"/>
                    </w:numPr>
                    <w:tabs>
                      <w:tab w:val="clear" w:pos="1440"/>
                      <w:tab w:val="clear" w:pos="4320"/>
                      <w:tab w:val="clear" w:pos="8640"/>
                      <w:tab w:val="num" w:pos="427"/>
                    </w:tabs>
                    <w:spacing w:after="120"/>
                    <w:ind w:left="427"/>
                  </w:pPr>
                  <w:r w:rsidRPr="00922AAD">
                    <w:t xml:space="preserve">eff 12/6/02 for loss of 25% or more from a single breast or both breasts, including loss by mastectomy, partial mastectomy or </w:t>
                  </w:r>
                  <w:r w:rsidRPr="00023BAD">
                    <w:rPr>
                      <w:highlight w:val="cyan"/>
                    </w:rPr>
                    <w:t>radiation treatment</w:t>
                  </w:r>
                  <w:r w:rsidRPr="00922AAD">
                    <w:t xml:space="preserve"> of the breast(s) </w:t>
                  </w:r>
                  <w:r w:rsidRPr="00922AAD">
                    <w:rPr>
                      <w:i/>
                      <w:iCs/>
                    </w:rPr>
                    <w:t>(per Jeff Myers 11/09 training, do not need to show loss of tissue with radiation, as radiation affects/destroys normal function)</w:t>
                  </w:r>
                </w:p>
              </w:tc>
              <w:tc>
                <w:tcPr>
                  <w:tcW w:w="1800" w:type="dxa"/>
                </w:tcPr>
                <w:p w:rsidR="00013EB8" w:rsidRPr="00922AAD" w:rsidRDefault="00013EB8">
                  <w:pPr>
                    <w:pStyle w:val="Header"/>
                    <w:widowControl w:val="0"/>
                    <w:tabs>
                      <w:tab w:val="clear" w:pos="4320"/>
                      <w:tab w:val="clear" w:pos="8640"/>
                    </w:tabs>
                  </w:pPr>
                  <w:r w:rsidRPr="00922AAD">
                    <w:t>7626</w:t>
                  </w:r>
                </w:p>
              </w:tc>
            </w:tr>
          </w:tbl>
          <w:p w:rsidR="00013EB8" w:rsidRPr="00922AAD" w:rsidRDefault="00013EB8">
            <w:pPr>
              <w:widowControl w:val="0"/>
              <w:rPr>
                <w:i/>
                <w:iCs/>
              </w:rPr>
            </w:pPr>
            <w:r w:rsidRPr="00922AAD">
              <w:rPr>
                <w:i/>
                <w:iCs/>
              </w:rPr>
              <w:t>$ cannot exceed rate at L if combine with “a” thru “j” &amp; “s”</w:t>
            </w:r>
          </w:p>
          <w:p w:rsidR="00013EB8" w:rsidRPr="00922AAD" w:rsidRDefault="00013EB8">
            <w:pPr>
              <w:widowControl w:val="0"/>
              <w:rPr>
                <w:i/>
                <w:iCs/>
              </w:rPr>
            </w:pPr>
            <w:r w:rsidRPr="00922AAD">
              <w:rPr>
                <w:i/>
                <w:iCs/>
              </w:rPr>
              <w:t>$ cannot exceed rate at O if combine with “l” thru “n” or “p”</w:t>
            </w:r>
          </w:p>
          <w:p w:rsidR="00013EB8" w:rsidRPr="00922AAD" w:rsidRDefault="00013EB8">
            <w:pPr>
              <w:widowControl w:val="0"/>
              <w:ind w:left="330"/>
              <w:rPr>
                <w:i/>
                <w:iCs/>
              </w:rPr>
            </w:pPr>
          </w:p>
          <w:p w:rsidR="00013EB8" w:rsidRPr="00922AAD" w:rsidRDefault="00013EB8">
            <w:pPr>
              <w:widowControl w:val="0"/>
              <w:rPr>
                <w:b/>
              </w:rPr>
            </w:pPr>
            <w:r w:rsidRPr="00922AAD">
              <w:rPr>
                <w:b/>
              </w:rPr>
              <w:t>(b) L – anatomical loss/loss of use of:</w:t>
            </w:r>
          </w:p>
          <w:tbl>
            <w:tblPr>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5"/>
              <w:gridCol w:w="2300"/>
              <w:gridCol w:w="800"/>
              <w:gridCol w:w="1200"/>
            </w:tblGrid>
            <w:tr w:rsidR="00013EB8" w:rsidRPr="00922AAD">
              <w:tc>
                <w:tcPr>
                  <w:tcW w:w="5735" w:type="dxa"/>
                </w:tcPr>
                <w:p w:rsidR="00013EB8" w:rsidRPr="0064753A" w:rsidRDefault="00013EB8">
                  <w:pPr>
                    <w:widowControl w:val="0"/>
                    <w:rPr>
                      <w:i/>
                    </w:rPr>
                  </w:pPr>
                </w:p>
              </w:tc>
              <w:tc>
                <w:tcPr>
                  <w:tcW w:w="2300" w:type="dxa"/>
                </w:tcPr>
                <w:p w:rsidR="00013EB8" w:rsidRPr="00922AAD" w:rsidRDefault="00013EB8">
                  <w:pPr>
                    <w:widowControl w:val="0"/>
                    <w:rPr>
                      <w:b/>
                      <w:bCs/>
                    </w:rPr>
                  </w:pPr>
                  <w:r w:rsidRPr="00922AAD">
                    <w:rPr>
                      <w:b/>
                      <w:bCs/>
                    </w:rPr>
                    <w:t>DCs</w:t>
                  </w:r>
                </w:p>
              </w:tc>
              <w:tc>
                <w:tcPr>
                  <w:tcW w:w="800" w:type="dxa"/>
                </w:tcPr>
                <w:p w:rsidR="00013EB8" w:rsidRPr="00922AAD" w:rsidRDefault="00013EB8">
                  <w:pPr>
                    <w:widowControl w:val="0"/>
                    <w:rPr>
                      <w:b/>
                      <w:bCs/>
                    </w:rPr>
                  </w:pPr>
                  <w:r w:rsidRPr="00922AAD">
                    <w:rPr>
                      <w:b/>
                      <w:bCs/>
                    </w:rPr>
                    <w:t>Code</w:t>
                  </w:r>
                </w:p>
              </w:tc>
              <w:tc>
                <w:tcPr>
                  <w:tcW w:w="1200" w:type="dxa"/>
                </w:tcPr>
                <w:p w:rsidR="00013EB8" w:rsidRPr="00922AAD" w:rsidRDefault="00013EB8">
                  <w:pPr>
                    <w:widowControl w:val="0"/>
                    <w:rPr>
                      <w:b/>
                      <w:bCs/>
                    </w:rPr>
                  </w:pPr>
                  <w:r w:rsidRPr="00922AAD">
                    <w:rPr>
                      <w:b/>
                      <w:bCs/>
                    </w:rPr>
                    <w:t>Paragraph</w:t>
                  </w:r>
                </w:p>
              </w:tc>
            </w:tr>
            <w:tr w:rsidR="00013EB8" w:rsidRPr="00922AAD">
              <w:tc>
                <w:tcPr>
                  <w:tcW w:w="5735" w:type="dxa"/>
                </w:tcPr>
                <w:p w:rsidR="00013EB8" w:rsidRPr="00922AAD" w:rsidRDefault="00013EB8">
                  <w:pPr>
                    <w:widowControl w:val="0"/>
                  </w:pPr>
                  <w:r w:rsidRPr="00922AAD">
                    <w:t>both feet</w:t>
                  </w:r>
                </w:p>
              </w:tc>
              <w:tc>
                <w:tcPr>
                  <w:tcW w:w="2300" w:type="dxa"/>
                </w:tcPr>
                <w:p w:rsidR="00013EB8" w:rsidRPr="00922AAD" w:rsidRDefault="00013EB8">
                  <w:pPr>
                    <w:widowControl w:val="0"/>
                  </w:pPr>
                  <w:r w:rsidRPr="007A4B37">
                    <w:t>5107</w:t>
                  </w:r>
                  <w:r w:rsidRPr="00922AAD">
                    <w:t xml:space="preserve">, </w:t>
                  </w:r>
                  <w:r w:rsidRPr="007A4B37">
                    <w:t>5110</w:t>
                  </w:r>
                </w:p>
              </w:tc>
              <w:tc>
                <w:tcPr>
                  <w:tcW w:w="800" w:type="dxa"/>
                </w:tcPr>
                <w:p w:rsidR="00013EB8" w:rsidRPr="00922AAD" w:rsidRDefault="00013EB8">
                  <w:pPr>
                    <w:widowControl w:val="0"/>
                  </w:pPr>
                  <w:r w:rsidRPr="00922AAD">
                    <w:t>03</w:t>
                  </w:r>
                </w:p>
              </w:tc>
              <w:tc>
                <w:tcPr>
                  <w:tcW w:w="1200" w:type="dxa"/>
                </w:tcPr>
                <w:p w:rsidR="00013EB8" w:rsidRPr="00922AAD" w:rsidRDefault="005604B8">
                  <w:pPr>
                    <w:widowControl w:val="0"/>
                  </w:pPr>
                  <w:r>
                    <w:t>L</w:t>
                  </w:r>
                  <w:r w:rsidR="00013EB8" w:rsidRPr="00922AAD">
                    <w:t>1</w:t>
                  </w:r>
                </w:p>
              </w:tc>
            </w:tr>
            <w:tr w:rsidR="00013EB8" w:rsidRPr="00922AAD">
              <w:tc>
                <w:tcPr>
                  <w:tcW w:w="5735" w:type="dxa"/>
                </w:tcPr>
                <w:p w:rsidR="00013EB8" w:rsidRPr="00922AAD" w:rsidRDefault="00013EB8">
                  <w:pPr>
                    <w:pStyle w:val="Header"/>
                    <w:widowControl w:val="0"/>
                    <w:tabs>
                      <w:tab w:val="clear" w:pos="4320"/>
                      <w:tab w:val="clear" w:pos="8640"/>
                    </w:tabs>
                  </w:pPr>
                  <w:r w:rsidRPr="00922AAD">
                    <w:t>one hand &amp; one foot</w:t>
                  </w:r>
                </w:p>
              </w:tc>
              <w:tc>
                <w:tcPr>
                  <w:tcW w:w="2300" w:type="dxa"/>
                </w:tcPr>
                <w:p w:rsidR="00013EB8" w:rsidRPr="00922AAD" w:rsidRDefault="00013EB8">
                  <w:pPr>
                    <w:widowControl w:val="0"/>
                  </w:pPr>
                  <w:r w:rsidRPr="007A4B37">
                    <w:t>5104</w:t>
                  </w:r>
                  <w:r w:rsidRPr="00922AAD">
                    <w:t xml:space="preserve">, </w:t>
                  </w:r>
                  <w:r w:rsidRPr="007A4B37">
                    <w:t>5105</w:t>
                  </w:r>
                  <w:r w:rsidRPr="00922AAD">
                    <w:t xml:space="preserve">, </w:t>
                  </w:r>
                  <w:r w:rsidRPr="007A4B37">
                    <w:t>5108</w:t>
                  </w:r>
                  <w:r w:rsidRPr="00922AAD">
                    <w:t xml:space="preserve">, </w:t>
                  </w:r>
                  <w:r w:rsidRPr="007A4B37">
                    <w:t>5111</w:t>
                  </w:r>
                </w:p>
              </w:tc>
              <w:tc>
                <w:tcPr>
                  <w:tcW w:w="800" w:type="dxa"/>
                </w:tcPr>
                <w:p w:rsidR="00013EB8" w:rsidRPr="00922AAD" w:rsidRDefault="00013EB8">
                  <w:pPr>
                    <w:widowControl w:val="0"/>
                  </w:pPr>
                  <w:r w:rsidRPr="00922AAD">
                    <w:t>03</w:t>
                  </w:r>
                </w:p>
              </w:tc>
              <w:tc>
                <w:tcPr>
                  <w:tcW w:w="1200" w:type="dxa"/>
                </w:tcPr>
                <w:p w:rsidR="00013EB8" w:rsidRPr="00922AAD" w:rsidRDefault="00013EB8" w:rsidP="005604B8">
                  <w:pPr>
                    <w:widowControl w:val="0"/>
                  </w:pPr>
                  <w:r w:rsidRPr="00922AAD">
                    <w:t>L1</w:t>
                  </w:r>
                </w:p>
              </w:tc>
            </w:tr>
            <w:tr w:rsidR="00013EB8" w:rsidRPr="00922AAD">
              <w:tc>
                <w:tcPr>
                  <w:tcW w:w="5735" w:type="dxa"/>
                </w:tcPr>
                <w:p w:rsidR="00013EB8" w:rsidRPr="00922AAD" w:rsidRDefault="00013EB8">
                  <w:pPr>
                    <w:widowControl w:val="0"/>
                  </w:pPr>
                  <w:r w:rsidRPr="00922AAD">
                    <w:t xml:space="preserve">both eyes at </w:t>
                  </w:r>
                  <w:r w:rsidRPr="0064753A">
                    <w:rPr>
                      <w:u w:val="single"/>
                    </w:rPr>
                    <w:t>5/200 or less</w:t>
                  </w:r>
                </w:p>
                <w:p w:rsidR="00013EB8" w:rsidRPr="00922AAD" w:rsidRDefault="00013EB8">
                  <w:pPr>
                    <w:widowControl w:val="0"/>
                    <w:rPr>
                      <w:i/>
                      <w:iCs/>
                    </w:rPr>
                  </w:pPr>
                  <w:r w:rsidRPr="00922AAD">
                    <w:rPr>
                      <w:i/>
                      <w:iCs/>
                    </w:rPr>
                    <w:t>(includes concentric contraction of the filed of vision to 5 degrees or fewer) (excludes worse than 10/200 but better than 5/200)</w:t>
                  </w:r>
                </w:p>
              </w:tc>
              <w:tc>
                <w:tcPr>
                  <w:tcW w:w="2300" w:type="dxa"/>
                </w:tcPr>
                <w:p w:rsidR="00013EB8" w:rsidRPr="00922AAD" w:rsidRDefault="00013EB8">
                  <w:pPr>
                    <w:widowControl w:val="0"/>
                    <w:rPr>
                      <w:i/>
                      <w:iCs/>
                    </w:rPr>
                  </w:pPr>
                  <w:r w:rsidRPr="00922AAD">
                    <w:t xml:space="preserve">6061, 6062, 6063, 6064, 6065, </w:t>
                  </w:r>
                  <w:r w:rsidRPr="00922AAD">
                    <w:rPr>
                      <w:i/>
                      <w:iCs/>
                    </w:rPr>
                    <w:t>6080</w:t>
                  </w:r>
                </w:p>
              </w:tc>
              <w:tc>
                <w:tcPr>
                  <w:tcW w:w="800" w:type="dxa"/>
                </w:tcPr>
                <w:p w:rsidR="00013EB8" w:rsidRPr="00922AAD" w:rsidRDefault="00013EB8">
                  <w:pPr>
                    <w:widowControl w:val="0"/>
                  </w:pPr>
                  <w:r w:rsidRPr="00922AAD">
                    <w:t>03</w:t>
                  </w:r>
                </w:p>
              </w:tc>
              <w:tc>
                <w:tcPr>
                  <w:tcW w:w="1200" w:type="dxa"/>
                </w:tcPr>
                <w:p w:rsidR="00013EB8" w:rsidRPr="00922AAD" w:rsidRDefault="00013EB8" w:rsidP="005604B8">
                  <w:pPr>
                    <w:widowControl w:val="0"/>
                  </w:pPr>
                  <w:r w:rsidRPr="00922AAD">
                    <w:t>LB1</w:t>
                  </w:r>
                </w:p>
              </w:tc>
            </w:tr>
            <w:tr w:rsidR="00013EB8" w:rsidRPr="00922AAD">
              <w:tc>
                <w:tcPr>
                  <w:tcW w:w="5735" w:type="dxa"/>
                </w:tcPr>
                <w:p w:rsidR="00013EB8" w:rsidRPr="00922AAD" w:rsidRDefault="0000409E">
                  <w:pPr>
                    <w:widowControl w:val="0"/>
                  </w:pPr>
                  <w:r>
                    <w:t>permanently b</w:t>
                  </w:r>
                  <w:r w:rsidR="00013EB8" w:rsidRPr="00922AAD">
                    <w:t xml:space="preserve">edridden </w:t>
                  </w:r>
                  <w:r w:rsidR="00013EB8" w:rsidRPr="00922AAD">
                    <w:rPr>
                      <w:i/>
                    </w:rPr>
                    <w:t>(no reduction when at government expense, so this is a higher benefit)</w:t>
                  </w:r>
                  <w:r w:rsidR="00504581">
                    <w:rPr>
                      <w:i/>
                    </w:rPr>
                    <w:t xml:space="preserve"> - </w:t>
                  </w:r>
                  <w:r w:rsidR="00504581" w:rsidRPr="00922AAD">
                    <w:rPr>
                      <w:bCs/>
                      <w:iCs/>
                    </w:rPr>
                    <w:t>need 1 disability at 100%</w:t>
                  </w:r>
                </w:p>
              </w:tc>
              <w:tc>
                <w:tcPr>
                  <w:tcW w:w="2300" w:type="dxa"/>
                </w:tcPr>
                <w:p w:rsidR="00013EB8" w:rsidRPr="00922AAD" w:rsidRDefault="00013EB8">
                  <w:pPr>
                    <w:widowControl w:val="0"/>
                  </w:pPr>
                </w:p>
              </w:tc>
              <w:tc>
                <w:tcPr>
                  <w:tcW w:w="800" w:type="dxa"/>
                </w:tcPr>
                <w:p w:rsidR="00013EB8" w:rsidRPr="00922AAD" w:rsidRDefault="00013EB8">
                  <w:pPr>
                    <w:widowControl w:val="0"/>
                  </w:pPr>
                  <w:r w:rsidRPr="00922AAD">
                    <w:t>03</w:t>
                  </w:r>
                </w:p>
              </w:tc>
              <w:tc>
                <w:tcPr>
                  <w:tcW w:w="1200" w:type="dxa"/>
                </w:tcPr>
                <w:p w:rsidR="00013EB8" w:rsidRPr="00922AAD" w:rsidRDefault="005604B8">
                  <w:pPr>
                    <w:widowControl w:val="0"/>
                  </w:pPr>
                  <w:r>
                    <w:t>L</w:t>
                  </w:r>
                  <w:r w:rsidR="00013EB8" w:rsidRPr="00922AAD">
                    <w:t>1</w:t>
                  </w:r>
                </w:p>
              </w:tc>
            </w:tr>
            <w:tr w:rsidR="00013EB8" w:rsidRPr="00922AAD">
              <w:tc>
                <w:tcPr>
                  <w:tcW w:w="5735" w:type="dxa"/>
                </w:tcPr>
                <w:p w:rsidR="00013EB8" w:rsidRPr="00922AAD" w:rsidRDefault="00013EB8">
                  <w:pPr>
                    <w:widowControl w:val="0"/>
                    <w:spacing w:after="120"/>
                  </w:pPr>
                  <w:r w:rsidRPr="00922AAD">
                    <w:t xml:space="preserve">A&amp;A </w:t>
                  </w:r>
                </w:p>
                <w:p w:rsidR="00013EB8" w:rsidRPr="00A157C1" w:rsidRDefault="00645E67" w:rsidP="00691877">
                  <w:pPr>
                    <w:widowControl w:val="0"/>
                    <w:numPr>
                      <w:ilvl w:val="0"/>
                      <w:numId w:val="36"/>
                    </w:numPr>
                    <w:tabs>
                      <w:tab w:val="clear" w:pos="720"/>
                      <w:tab w:val="num" w:pos="487"/>
                    </w:tabs>
                    <w:spacing w:after="120"/>
                    <w:ind w:left="487" w:hanging="450"/>
                    <w:rPr>
                      <w:bCs/>
                      <w:iCs/>
                    </w:rPr>
                  </w:pPr>
                  <w:r>
                    <w:rPr>
                      <w:b/>
                      <w:iCs/>
                    </w:rPr>
                    <w:t>IV.ii.2.H.8</w:t>
                  </w:r>
                  <w:r w:rsidR="00931F56">
                    <w:rPr>
                      <w:b/>
                      <w:iCs/>
                    </w:rPr>
                    <w:t>.b</w:t>
                  </w:r>
                  <w:r w:rsidR="00013EB8" w:rsidRPr="00922AAD">
                    <w:rPr>
                      <w:bCs/>
                      <w:iCs/>
                    </w:rPr>
                    <w:t xml:space="preserve"> - need 1 disability at 100%</w:t>
                  </w:r>
                  <w:r w:rsidR="00AE506A">
                    <w:rPr>
                      <w:bCs/>
                      <w:iCs/>
                    </w:rPr>
                    <w:t xml:space="preserve"> which is the sole or partial cause of the need for A&amp;A</w:t>
                  </w:r>
                  <w:r w:rsidR="0078040A">
                    <w:rPr>
                      <w:bCs/>
                      <w:iCs/>
                    </w:rPr>
                    <w:t xml:space="preserve"> (but can use combined for MS, Parkinson’s, DM, etc)</w:t>
                  </w:r>
                  <w:r w:rsidR="00AE506A">
                    <w:rPr>
                      <w:bCs/>
                      <w:iCs/>
                    </w:rPr>
                    <w:t>,</w:t>
                  </w:r>
                  <w:r w:rsidR="00013EB8" w:rsidRPr="00922AAD">
                    <w:rPr>
                      <w:bCs/>
                      <w:iCs/>
                    </w:rPr>
                    <w:t xml:space="preserve"> </w:t>
                  </w:r>
                  <w:r w:rsidR="00013EB8" w:rsidRPr="00922AAD">
                    <w:rPr>
                      <w:b/>
                      <w:iCs/>
                    </w:rPr>
                    <w:t>4.16</w:t>
                  </w:r>
                  <w:r w:rsidR="00430FAB">
                    <w:rPr>
                      <w:b/>
                      <w:iCs/>
                    </w:rPr>
                    <w:t xml:space="preserve"> does NOT</w:t>
                  </w:r>
                  <w:r w:rsidR="00013EB8" w:rsidRPr="00922AAD">
                    <w:rPr>
                      <w:b/>
                      <w:iCs/>
                    </w:rPr>
                    <w:t xml:space="preserve"> appl</w:t>
                  </w:r>
                  <w:r w:rsidR="00430FAB">
                    <w:rPr>
                      <w:b/>
                      <w:iCs/>
                    </w:rPr>
                    <w:t>y</w:t>
                  </w:r>
                  <w:r w:rsidR="00AE506A">
                    <w:rPr>
                      <w:iCs/>
                    </w:rPr>
                    <w:t xml:space="preserve">, but 4.16 does apply for A&amp;A for TBI to get to SMC T [if A&amp;A granted </w:t>
                  </w:r>
                  <w:r w:rsidR="00AE506A" w:rsidRPr="00AE506A">
                    <w:rPr>
                      <w:iCs/>
                    </w:rPr>
                    <w:t xml:space="preserve">based on </w:t>
                  </w:r>
                  <w:r w:rsidR="00AE506A" w:rsidRPr="00AE506A">
                    <w:rPr>
                      <w:b/>
                      <w:i/>
                    </w:rPr>
                    <w:t>October 2014 Compensation Service Bulletin (CSB)</w:t>
                  </w:r>
                  <w:r w:rsidR="00AE506A">
                    <w:t xml:space="preserve"> (in effect 10/14 to 1/5/16), do not change]</w:t>
                  </w:r>
                </w:p>
                <w:p w:rsidR="00A157C1" w:rsidRPr="00922AAD" w:rsidRDefault="00A157C1" w:rsidP="00691877">
                  <w:pPr>
                    <w:widowControl w:val="0"/>
                    <w:numPr>
                      <w:ilvl w:val="0"/>
                      <w:numId w:val="36"/>
                    </w:numPr>
                    <w:tabs>
                      <w:tab w:val="clear" w:pos="720"/>
                      <w:tab w:val="num" w:pos="487"/>
                    </w:tabs>
                    <w:spacing w:after="120"/>
                    <w:ind w:left="487" w:hanging="450"/>
                    <w:rPr>
                      <w:bCs/>
                      <w:iCs/>
                    </w:rPr>
                  </w:pPr>
                  <w:r>
                    <w:rPr>
                      <w:b/>
                      <w:iCs/>
                    </w:rPr>
                    <w:t>IV</w:t>
                  </w:r>
                  <w:r w:rsidRPr="00A157C1">
                    <w:rPr>
                      <w:b/>
                      <w:bCs/>
                      <w:iCs/>
                    </w:rPr>
                    <w:t>.ii.2.H.8.c</w:t>
                  </w:r>
                  <w:r>
                    <w:rPr>
                      <w:bCs/>
                      <w:iCs/>
                    </w:rPr>
                    <w:t xml:space="preserve"> – get exam if disability not at 100% but there is indication of worsening</w:t>
                  </w:r>
                </w:p>
                <w:p w:rsidR="00E71248" w:rsidRPr="00312BC9" w:rsidRDefault="00013EB8" w:rsidP="00691877">
                  <w:pPr>
                    <w:widowControl w:val="0"/>
                    <w:numPr>
                      <w:ilvl w:val="0"/>
                      <w:numId w:val="36"/>
                    </w:numPr>
                    <w:tabs>
                      <w:tab w:val="clear" w:pos="720"/>
                      <w:tab w:val="num" w:pos="487"/>
                    </w:tabs>
                    <w:spacing w:after="120"/>
                    <w:ind w:left="487" w:hanging="450"/>
                    <w:rPr>
                      <w:iCs/>
                    </w:rPr>
                  </w:pPr>
                  <w:r w:rsidRPr="00922AAD">
                    <w:rPr>
                      <w:bCs/>
                      <w:iCs/>
                    </w:rPr>
                    <w:t>A&amp;A</w:t>
                  </w:r>
                  <w:r w:rsidRPr="00922AAD">
                    <w:rPr>
                      <w:iCs/>
                    </w:rPr>
                    <w:t xml:space="preserve"> cannot be for something already getting “L” for, i.e. loss of feet, 1 hand &amp; 1 foot, or both eyes</w:t>
                  </w:r>
                  <w:r w:rsidR="00E71248" w:rsidRPr="00AE506A">
                    <w:t xml:space="preserve"> </w:t>
                  </w:r>
                  <w:r w:rsidR="00023BAD">
                    <w:t>[can’t use same disab for 100% A&amp;A &amp; 100% P OR 100% A&amp;A &amp; 100% LOU</w:t>
                  </w:r>
                  <w:r w:rsidR="008322E1">
                    <w:t>, to get to R1, need 3 at 100%</w:t>
                  </w:r>
                  <w:r w:rsidR="00023BAD">
                    <w:t>]</w:t>
                  </w:r>
                </w:p>
                <w:p w:rsidR="00312BC9" w:rsidRPr="00AE506A" w:rsidRDefault="00312BC9" w:rsidP="00691877">
                  <w:pPr>
                    <w:widowControl w:val="0"/>
                    <w:numPr>
                      <w:ilvl w:val="0"/>
                      <w:numId w:val="36"/>
                    </w:numPr>
                    <w:tabs>
                      <w:tab w:val="clear" w:pos="720"/>
                      <w:tab w:val="num" w:pos="487"/>
                    </w:tabs>
                    <w:spacing w:after="120"/>
                    <w:ind w:left="487" w:hanging="450"/>
                    <w:rPr>
                      <w:iCs/>
                    </w:rPr>
                  </w:pPr>
                  <w:r w:rsidRPr="00312BC9">
                    <w:rPr>
                      <w:b/>
                    </w:rPr>
                    <w:t>IV.ii.2.H.8.d</w:t>
                  </w:r>
                  <w:r>
                    <w:t xml:space="preserve"> – says the need for A&amp;A does not have to be permanent </w:t>
                  </w:r>
                  <w:r w:rsidRPr="00D36CD9">
                    <w:rPr>
                      <w:i/>
                    </w:rPr>
                    <w:t>(</w:t>
                  </w:r>
                  <w:r w:rsidRPr="00D36CD9">
                    <w:rPr>
                      <w:i/>
                      <w:color w:val="00B050"/>
                    </w:rPr>
                    <w:t xml:space="preserve">My Notes:  </w:t>
                  </w:r>
                  <w:r w:rsidR="0000409E">
                    <w:rPr>
                      <w:i/>
                    </w:rPr>
                    <w:t>It seems t</w:t>
                  </w:r>
                  <w:r w:rsidRPr="00D36CD9">
                    <w:rPr>
                      <w:i/>
                    </w:rPr>
                    <w:t xml:space="preserve">he 100% disability </w:t>
                  </w:r>
                  <w:r w:rsidR="0000409E">
                    <w:rPr>
                      <w:i/>
                    </w:rPr>
                    <w:t>still has to be permanent, but that’s not explicit anywhere in the manual or regs</w:t>
                  </w:r>
                  <w:r w:rsidRPr="00D36CD9">
                    <w:rPr>
                      <w:i/>
                    </w:rPr>
                    <w:t>.)</w:t>
                  </w:r>
                </w:p>
              </w:tc>
              <w:tc>
                <w:tcPr>
                  <w:tcW w:w="2300" w:type="dxa"/>
                </w:tcPr>
                <w:p w:rsidR="00013EB8" w:rsidRPr="00922AAD" w:rsidRDefault="00013EB8">
                  <w:pPr>
                    <w:widowControl w:val="0"/>
                  </w:pPr>
                </w:p>
              </w:tc>
              <w:tc>
                <w:tcPr>
                  <w:tcW w:w="800" w:type="dxa"/>
                </w:tcPr>
                <w:p w:rsidR="00013EB8" w:rsidRPr="00922AAD" w:rsidRDefault="00013EB8">
                  <w:pPr>
                    <w:widowControl w:val="0"/>
                  </w:pPr>
                  <w:r w:rsidRPr="00922AAD">
                    <w:t>03</w:t>
                  </w:r>
                </w:p>
              </w:tc>
              <w:tc>
                <w:tcPr>
                  <w:tcW w:w="1200" w:type="dxa"/>
                </w:tcPr>
                <w:p w:rsidR="00013EB8" w:rsidRPr="00922AAD" w:rsidRDefault="00013EB8" w:rsidP="005604B8">
                  <w:pPr>
                    <w:widowControl w:val="0"/>
                  </w:pPr>
                  <w:r w:rsidRPr="00922AAD">
                    <w:t>L1</w:t>
                  </w:r>
                </w:p>
              </w:tc>
            </w:tr>
          </w:tbl>
          <w:p w:rsidR="00013EB8" w:rsidRPr="00922AAD" w:rsidRDefault="00013EB8">
            <w:pPr>
              <w:widowControl w:val="0"/>
              <w:ind w:left="140"/>
              <w:rPr>
                <w:i/>
              </w:rPr>
            </w:pPr>
            <w:r w:rsidRPr="00922AAD">
              <w:rPr>
                <w:i/>
              </w:rPr>
              <w:t>2L’s=O3</w:t>
            </w:r>
          </w:p>
          <w:p w:rsidR="00013EB8" w:rsidRPr="00922AAD" w:rsidRDefault="00013EB8">
            <w:pPr>
              <w:widowControl w:val="0"/>
              <w:ind w:left="330"/>
            </w:pPr>
          </w:p>
          <w:p w:rsidR="00013EB8" w:rsidRPr="00922AAD" w:rsidRDefault="00013EB8">
            <w:pPr>
              <w:widowControl w:val="0"/>
              <w:ind w:left="-30"/>
              <w:rPr>
                <w:b/>
              </w:rPr>
            </w:pPr>
            <w:r w:rsidRPr="00922AAD">
              <w:rPr>
                <w:b/>
              </w:rPr>
              <w:t>(c) M – anatomical loss/loss of use of:</w:t>
            </w:r>
          </w:p>
          <w:tbl>
            <w:tblPr>
              <w:tblW w:w="9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5"/>
              <w:gridCol w:w="2700"/>
              <w:gridCol w:w="1500"/>
            </w:tblGrid>
            <w:tr w:rsidR="00013EB8" w:rsidRPr="00922AAD">
              <w:tc>
                <w:tcPr>
                  <w:tcW w:w="5735" w:type="dxa"/>
                </w:tcPr>
                <w:p w:rsidR="00013EB8" w:rsidRPr="0064753A" w:rsidRDefault="0064753A">
                  <w:pPr>
                    <w:widowControl w:val="0"/>
                    <w:rPr>
                      <w:i/>
                    </w:rPr>
                  </w:pPr>
                  <w:r>
                    <w:rPr>
                      <w:i/>
                      <w:iCs/>
                    </w:rPr>
                    <w:t>*</w:t>
                  </w:r>
                  <w:r w:rsidRPr="0064753A">
                    <w:rPr>
                      <w:i/>
                      <w:iCs/>
                    </w:rPr>
                    <w:t xml:space="preserve">disability must be </w:t>
                  </w:r>
                  <w:r w:rsidR="006B2A5A" w:rsidRPr="006B2A5A">
                    <w:rPr>
                      <w:b/>
                      <w:i/>
                      <w:iCs/>
                      <w:highlight w:val="cyan"/>
                    </w:rPr>
                    <w:t>PERMANENT</w:t>
                  </w:r>
                </w:p>
              </w:tc>
              <w:tc>
                <w:tcPr>
                  <w:tcW w:w="2700" w:type="dxa"/>
                </w:tcPr>
                <w:p w:rsidR="00013EB8" w:rsidRPr="00922AAD" w:rsidRDefault="00013EB8">
                  <w:pPr>
                    <w:widowControl w:val="0"/>
                    <w:rPr>
                      <w:b/>
                      <w:bCs/>
                    </w:rPr>
                  </w:pPr>
                  <w:r w:rsidRPr="00922AAD">
                    <w:rPr>
                      <w:b/>
                      <w:bCs/>
                    </w:rPr>
                    <w:t>DCs</w:t>
                  </w:r>
                </w:p>
              </w:tc>
              <w:tc>
                <w:tcPr>
                  <w:tcW w:w="1500" w:type="dxa"/>
                </w:tcPr>
                <w:p w:rsidR="00013EB8" w:rsidRPr="00922AAD" w:rsidRDefault="00013EB8">
                  <w:pPr>
                    <w:widowControl w:val="0"/>
                    <w:rPr>
                      <w:b/>
                      <w:bCs/>
                    </w:rPr>
                  </w:pPr>
                  <w:r w:rsidRPr="00922AAD">
                    <w:rPr>
                      <w:b/>
                      <w:bCs/>
                    </w:rPr>
                    <w:t>Paragraph</w:t>
                  </w:r>
                </w:p>
              </w:tc>
            </w:tr>
            <w:tr w:rsidR="00013EB8" w:rsidRPr="00922AAD">
              <w:tc>
                <w:tcPr>
                  <w:tcW w:w="5735" w:type="dxa"/>
                </w:tcPr>
                <w:p w:rsidR="00013EB8" w:rsidRPr="00922AAD" w:rsidRDefault="00013EB8">
                  <w:pPr>
                    <w:widowControl w:val="0"/>
                  </w:pPr>
                  <w:r w:rsidRPr="00922AAD">
                    <w:t>both hands</w:t>
                  </w:r>
                </w:p>
              </w:tc>
              <w:tc>
                <w:tcPr>
                  <w:tcW w:w="2700" w:type="dxa"/>
                </w:tcPr>
                <w:p w:rsidR="00013EB8" w:rsidRPr="00922AAD" w:rsidRDefault="00013EB8">
                  <w:pPr>
                    <w:widowControl w:val="0"/>
                  </w:pPr>
                  <w:r w:rsidRPr="00922AAD">
                    <w:t>5106, 5109</w:t>
                  </w:r>
                </w:p>
              </w:tc>
              <w:tc>
                <w:tcPr>
                  <w:tcW w:w="1500" w:type="dxa"/>
                </w:tcPr>
                <w:p w:rsidR="00013EB8" w:rsidRPr="00922AAD" w:rsidRDefault="00013EB8" w:rsidP="005604B8">
                  <w:pPr>
                    <w:widowControl w:val="0"/>
                  </w:pPr>
                  <w:r w:rsidRPr="00922AAD">
                    <w:t>M1</w:t>
                  </w:r>
                </w:p>
              </w:tc>
            </w:tr>
            <w:tr w:rsidR="00013EB8" w:rsidRPr="00922AAD">
              <w:tc>
                <w:tcPr>
                  <w:tcW w:w="5735" w:type="dxa"/>
                </w:tcPr>
                <w:p w:rsidR="00013EB8" w:rsidRPr="00922AAD" w:rsidRDefault="00013EB8">
                  <w:pPr>
                    <w:pStyle w:val="Header"/>
                    <w:widowControl w:val="0"/>
                    <w:tabs>
                      <w:tab w:val="clear" w:pos="4320"/>
                      <w:tab w:val="clear" w:pos="8640"/>
                    </w:tabs>
                  </w:pPr>
                  <w:r w:rsidRPr="00922AAD">
                    <w:t>both knees w/o action w/prosthesis</w:t>
                  </w:r>
                  <w:r w:rsidR="00FC09EA">
                    <w:t xml:space="preserve"> </w:t>
                  </w:r>
                  <w:r w:rsidR="00FC09EA" w:rsidRPr="00FC09EA">
                    <w:rPr>
                      <w:i/>
                    </w:rPr>
                    <w:t>(My Notes: Prosthesis could be brace that doesn’t allow the joint to bend.)</w:t>
                  </w:r>
                </w:p>
              </w:tc>
              <w:tc>
                <w:tcPr>
                  <w:tcW w:w="2700" w:type="dxa"/>
                </w:tcPr>
                <w:p w:rsidR="00013EB8" w:rsidRPr="00922AAD" w:rsidRDefault="00013EB8">
                  <w:pPr>
                    <w:widowControl w:val="0"/>
                  </w:pPr>
                  <w:r w:rsidRPr="00922AAD">
                    <w:t>5107, 5110</w:t>
                  </w:r>
                </w:p>
              </w:tc>
              <w:tc>
                <w:tcPr>
                  <w:tcW w:w="1500" w:type="dxa"/>
                </w:tcPr>
                <w:p w:rsidR="00013EB8" w:rsidRPr="00922AAD" w:rsidRDefault="00013EB8" w:rsidP="005604B8">
                  <w:pPr>
                    <w:widowControl w:val="0"/>
                  </w:pPr>
                  <w:r w:rsidRPr="00922AAD">
                    <w:t>M2</w:t>
                  </w:r>
                </w:p>
              </w:tc>
            </w:tr>
            <w:tr w:rsidR="00013EB8" w:rsidRPr="00922AAD">
              <w:tc>
                <w:tcPr>
                  <w:tcW w:w="5735" w:type="dxa"/>
                </w:tcPr>
                <w:p w:rsidR="00013EB8" w:rsidRPr="00922AAD" w:rsidRDefault="00013EB8">
                  <w:pPr>
                    <w:widowControl w:val="0"/>
                  </w:pPr>
                  <w:r w:rsidRPr="00922AAD">
                    <w:t>one elbow w/o action w/prosthesis &amp; one knee w/o action w/prosthesis</w:t>
                  </w:r>
                </w:p>
              </w:tc>
              <w:tc>
                <w:tcPr>
                  <w:tcW w:w="2700" w:type="dxa"/>
                </w:tcPr>
                <w:p w:rsidR="00013EB8" w:rsidRPr="00922AAD" w:rsidRDefault="00013EB8">
                  <w:pPr>
                    <w:widowControl w:val="0"/>
                  </w:pPr>
                  <w:r w:rsidRPr="00922AAD">
                    <w:t>5104, 5105, 5108, 5111</w:t>
                  </w:r>
                </w:p>
              </w:tc>
              <w:tc>
                <w:tcPr>
                  <w:tcW w:w="1500" w:type="dxa"/>
                </w:tcPr>
                <w:p w:rsidR="00013EB8" w:rsidRPr="00922AAD" w:rsidRDefault="00013EB8" w:rsidP="005604B8">
                  <w:pPr>
                    <w:widowControl w:val="0"/>
                  </w:pPr>
                  <w:r w:rsidRPr="00922AAD">
                    <w:t>M2</w:t>
                  </w:r>
                </w:p>
              </w:tc>
            </w:tr>
          </w:tbl>
          <w:p w:rsidR="00013EB8" w:rsidRPr="00922AAD" w:rsidRDefault="00013EB8">
            <w:pPr>
              <w:widowControl w:val="0"/>
              <w:ind w:left="330"/>
            </w:pPr>
            <w:r w:rsidRPr="00922AAD">
              <w:t>AND</w:t>
            </w:r>
          </w:p>
          <w:tbl>
            <w:tblPr>
              <w:tblW w:w="9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5"/>
              <w:gridCol w:w="2700"/>
              <w:gridCol w:w="1500"/>
            </w:tblGrid>
            <w:tr w:rsidR="00013EB8" w:rsidRPr="00922AAD">
              <w:tc>
                <w:tcPr>
                  <w:tcW w:w="5735" w:type="dxa"/>
                </w:tcPr>
                <w:p w:rsidR="00013EB8" w:rsidRPr="00922AAD" w:rsidRDefault="00013EB8">
                  <w:pPr>
                    <w:widowControl w:val="0"/>
                  </w:pPr>
                  <w:r w:rsidRPr="00922AAD">
                    <w:t>blindness in both eyes w/</w:t>
                  </w:r>
                  <w:r w:rsidRPr="0064753A">
                    <w:rPr>
                      <w:u w:val="single"/>
                    </w:rPr>
                    <w:t>LPO</w:t>
                  </w:r>
                </w:p>
              </w:tc>
              <w:tc>
                <w:tcPr>
                  <w:tcW w:w="2700" w:type="dxa"/>
                </w:tcPr>
                <w:p w:rsidR="00013EB8" w:rsidRPr="00922AAD" w:rsidRDefault="00013EB8">
                  <w:pPr>
                    <w:widowControl w:val="0"/>
                  </w:pPr>
                  <w:r w:rsidRPr="00922AAD">
                    <w:t>6062</w:t>
                  </w:r>
                </w:p>
              </w:tc>
              <w:tc>
                <w:tcPr>
                  <w:tcW w:w="1500" w:type="dxa"/>
                </w:tcPr>
                <w:p w:rsidR="00013EB8" w:rsidRPr="00922AAD" w:rsidRDefault="00013EB8" w:rsidP="005604B8">
                  <w:pPr>
                    <w:widowControl w:val="0"/>
                  </w:pPr>
                  <w:r w:rsidRPr="00922AAD">
                    <w:t>MB1</w:t>
                  </w:r>
                </w:p>
              </w:tc>
            </w:tr>
            <w:tr w:rsidR="00013EB8" w:rsidRPr="00922AAD">
              <w:tc>
                <w:tcPr>
                  <w:tcW w:w="5735" w:type="dxa"/>
                </w:tcPr>
                <w:p w:rsidR="00013EB8" w:rsidRPr="00922AAD" w:rsidRDefault="00013EB8">
                  <w:pPr>
                    <w:pStyle w:val="Header"/>
                    <w:widowControl w:val="0"/>
                    <w:tabs>
                      <w:tab w:val="clear" w:pos="4320"/>
                      <w:tab w:val="clear" w:pos="8640"/>
                    </w:tabs>
                  </w:pPr>
                  <w:r w:rsidRPr="00922AAD">
                    <w:t xml:space="preserve">blindness in both eyes </w:t>
                  </w:r>
                  <w:r w:rsidR="0064753A">
                    <w:t xml:space="preserve">(i.e. 5/200 or less) </w:t>
                  </w:r>
                  <w:r w:rsidRPr="00922AAD">
                    <w:t>needing A&amp;A</w:t>
                  </w:r>
                </w:p>
              </w:tc>
              <w:tc>
                <w:tcPr>
                  <w:tcW w:w="2700" w:type="dxa"/>
                </w:tcPr>
                <w:p w:rsidR="00013EB8" w:rsidRPr="00922AAD" w:rsidRDefault="00013EB8">
                  <w:pPr>
                    <w:widowControl w:val="0"/>
                  </w:pPr>
                  <w:r w:rsidRPr="00922AAD">
                    <w:t xml:space="preserve">6061, 6062, 6063, 6064, 6065, </w:t>
                  </w:r>
                  <w:r w:rsidRPr="00922AAD">
                    <w:rPr>
                      <w:i/>
                      <w:iCs/>
                    </w:rPr>
                    <w:t>6080</w:t>
                  </w:r>
                </w:p>
              </w:tc>
              <w:tc>
                <w:tcPr>
                  <w:tcW w:w="1500" w:type="dxa"/>
                </w:tcPr>
                <w:p w:rsidR="00013EB8" w:rsidRPr="00922AAD" w:rsidRDefault="00013EB8" w:rsidP="005604B8">
                  <w:pPr>
                    <w:widowControl w:val="0"/>
                  </w:pPr>
                  <w:r w:rsidRPr="00922AAD">
                    <w:t>MB1</w:t>
                  </w:r>
                </w:p>
              </w:tc>
            </w:tr>
          </w:tbl>
          <w:p w:rsidR="00013EB8" w:rsidRPr="00922AAD" w:rsidRDefault="00013EB8">
            <w:pPr>
              <w:pStyle w:val="Header"/>
              <w:widowControl w:val="0"/>
              <w:tabs>
                <w:tab w:val="clear" w:pos="4320"/>
                <w:tab w:val="clear" w:pos="8640"/>
              </w:tabs>
            </w:pPr>
          </w:p>
          <w:p w:rsidR="00013EB8" w:rsidRPr="00922AAD" w:rsidRDefault="00013EB8">
            <w:pPr>
              <w:widowControl w:val="0"/>
              <w:ind w:left="-30"/>
            </w:pPr>
            <w:r w:rsidRPr="00922AAD">
              <w:rPr>
                <w:bCs/>
              </w:rPr>
              <w:t>(</w:t>
            </w:r>
            <w:r w:rsidRPr="00922AAD">
              <w:rPr>
                <w:b/>
              </w:rPr>
              <w:t>d) N – anatomical loss/loss of use of:</w:t>
            </w:r>
          </w:p>
          <w:tbl>
            <w:tblPr>
              <w:tblW w:w="9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5"/>
              <w:gridCol w:w="2700"/>
              <w:gridCol w:w="1500"/>
            </w:tblGrid>
            <w:tr w:rsidR="00013EB8" w:rsidRPr="00922AAD">
              <w:tc>
                <w:tcPr>
                  <w:tcW w:w="5735" w:type="dxa"/>
                </w:tcPr>
                <w:p w:rsidR="00013EB8" w:rsidRPr="0064753A" w:rsidRDefault="0064753A">
                  <w:pPr>
                    <w:widowControl w:val="0"/>
                    <w:rPr>
                      <w:i/>
                    </w:rPr>
                  </w:pPr>
                  <w:r>
                    <w:rPr>
                      <w:i/>
                      <w:iCs/>
                    </w:rPr>
                    <w:t>*</w:t>
                  </w:r>
                  <w:r w:rsidRPr="0064753A">
                    <w:rPr>
                      <w:i/>
                      <w:iCs/>
                    </w:rPr>
                    <w:t xml:space="preserve">disability must be </w:t>
                  </w:r>
                  <w:r w:rsidR="006B2A5A" w:rsidRPr="006B2A5A">
                    <w:rPr>
                      <w:b/>
                      <w:i/>
                      <w:iCs/>
                      <w:highlight w:val="cyan"/>
                    </w:rPr>
                    <w:t>PERMANENT</w:t>
                  </w:r>
                </w:p>
              </w:tc>
              <w:tc>
                <w:tcPr>
                  <w:tcW w:w="2700" w:type="dxa"/>
                </w:tcPr>
                <w:p w:rsidR="00013EB8" w:rsidRPr="00922AAD" w:rsidRDefault="00013EB8">
                  <w:pPr>
                    <w:widowControl w:val="0"/>
                    <w:rPr>
                      <w:b/>
                      <w:bCs/>
                    </w:rPr>
                  </w:pPr>
                  <w:r w:rsidRPr="00922AAD">
                    <w:rPr>
                      <w:b/>
                      <w:bCs/>
                    </w:rPr>
                    <w:t>DCs</w:t>
                  </w:r>
                </w:p>
              </w:tc>
              <w:tc>
                <w:tcPr>
                  <w:tcW w:w="1500" w:type="dxa"/>
                </w:tcPr>
                <w:p w:rsidR="00013EB8" w:rsidRPr="00922AAD" w:rsidRDefault="00013EB8">
                  <w:pPr>
                    <w:widowControl w:val="0"/>
                    <w:rPr>
                      <w:b/>
                      <w:bCs/>
                    </w:rPr>
                  </w:pPr>
                  <w:r w:rsidRPr="00922AAD">
                    <w:rPr>
                      <w:b/>
                      <w:bCs/>
                    </w:rPr>
                    <w:t>Paragraph</w:t>
                  </w:r>
                </w:p>
              </w:tc>
            </w:tr>
            <w:tr w:rsidR="00013EB8" w:rsidRPr="00922AAD">
              <w:tc>
                <w:tcPr>
                  <w:tcW w:w="5735" w:type="dxa"/>
                </w:tcPr>
                <w:p w:rsidR="00013EB8" w:rsidRPr="00922AAD" w:rsidRDefault="00013EB8">
                  <w:pPr>
                    <w:widowControl w:val="0"/>
                  </w:pPr>
                  <w:r w:rsidRPr="00922AAD">
                    <w:t>both elbows w/o action w/prosthesis</w:t>
                  </w:r>
                </w:p>
              </w:tc>
              <w:tc>
                <w:tcPr>
                  <w:tcW w:w="2700" w:type="dxa"/>
                </w:tcPr>
                <w:p w:rsidR="00013EB8" w:rsidRPr="00922AAD" w:rsidRDefault="00013EB8">
                  <w:pPr>
                    <w:widowControl w:val="0"/>
                  </w:pPr>
                  <w:r w:rsidRPr="00922AAD">
                    <w:t>5106, 5109</w:t>
                  </w:r>
                </w:p>
              </w:tc>
              <w:tc>
                <w:tcPr>
                  <w:tcW w:w="1500" w:type="dxa"/>
                </w:tcPr>
                <w:p w:rsidR="00013EB8" w:rsidRPr="00922AAD" w:rsidRDefault="005604B8">
                  <w:pPr>
                    <w:widowControl w:val="0"/>
                  </w:pPr>
                  <w:r>
                    <w:t>N</w:t>
                  </w:r>
                  <w:r w:rsidR="00013EB8" w:rsidRPr="00922AAD">
                    <w:t>1</w:t>
                  </w:r>
                </w:p>
              </w:tc>
            </w:tr>
            <w:tr w:rsidR="00013EB8" w:rsidRPr="00922AAD">
              <w:tc>
                <w:tcPr>
                  <w:tcW w:w="5735" w:type="dxa"/>
                </w:tcPr>
                <w:p w:rsidR="00013EB8" w:rsidRPr="00922AAD" w:rsidRDefault="009737F9">
                  <w:pPr>
                    <w:pStyle w:val="Header"/>
                    <w:widowControl w:val="0"/>
                    <w:tabs>
                      <w:tab w:val="clear" w:pos="4320"/>
                      <w:tab w:val="clear" w:pos="8640"/>
                    </w:tabs>
                  </w:pPr>
                  <w:r>
                    <w:t xml:space="preserve">anatomical loss of </w:t>
                  </w:r>
                  <w:r w:rsidR="00013EB8" w:rsidRPr="00922AAD">
                    <w:t>both hips so cannot use prosthesis</w:t>
                  </w:r>
                </w:p>
              </w:tc>
              <w:tc>
                <w:tcPr>
                  <w:tcW w:w="2700" w:type="dxa"/>
                </w:tcPr>
                <w:p w:rsidR="00013EB8" w:rsidRPr="00922AAD" w:rsidRDefault="00013EB8">
                  <w:pPr>
                    <w:pStyle w:val="Header"/>
                    <w:widowControl w:val="0"/>
                    <w:tabs>
                      <w:tab w:val="clear" w:pos="4320"/>
                      <w:tab w:val="clear" w:pos="8640"/>
                    </w:tabs>
                  </w:pPr>
                  <w:r w:rsidRPr="00922AAD">
                    <w:t>5107, 5110</w:t>
                  </w:r>
                </w:p>
              </w:tc>
              <w:tc>
                <w:tcPr>
                  <w:tcW w:w="1500" w:type="dxa"/>
                </w:tcPr>
                <w:p w:rsidR="00013EB8" w:rsidRPr="00922AAD" w:rsidRDefault="00013EB8" w:rsidP="005604B8">
                  <w:pPr>
                    <w:widowControl w:val="0"/>
                  </w:pPr>
                  <w:r w:rsidRPr="00922AAD">
                    <w:t>N2</w:t>
                  </w:r>
                </w:p>
              </w:tc>
            </w:tr>
            <w:tr w:rsidR="00013EB8" w:rsidRPr="00922AAD">
              <w:tc>
                <w:tcPr>
                  <w:tcW w:w="5735" w:type="dxa"/>
                </w:tcPr>
                <w:p w:rsidR="00013EB8" w:rsidRPr="00922AAD" w:rsidRDefault="00013EB8">
                  <w:pPr>
                    <w:widowControl w:val="0"/>
                  </w:pPr>
                  <w:r w:rsidRPr="00922AAD">
                    <w:t>one shoulder so cannot use prosthesis &amp; one hip so cannot use prosthesis</w:t>
                  </w:r>
                </w:p>
              </w:tc>
              <w:tc>
                <w:tcPr>
                  <w:tcW w:w="2700" w:type="dxa"/>
                </w:tcPr>
                <w:p w:rsidR="00013EB8" w:rsidRPr="00922AAD" w:rsidRDefault="00013EB8">
                  <w:pPr>
                    <w:widowControl w:val="0"/>
                  </w:pPr>
                  <w:r w:rsidRPr="00922AAD">
                    <w:t>5104, 5105, 5108, 5111</w:t>
                  </w:r>
                </w:p>
              </w:tc>
              <w:tc>
                <w:tcPr>
                  <w:tcW w:w="1500" w:type="dxa"/>
                </w:tcPr>
                <w:p w:rsidR="00013EB8" w:rsidRPr="00922AAD" w:rsidRDefault="00013EB8" w:rsidP="005604B8">
                  <w:pPr>
                    <w:widowControl w:val="0"/>
                  </w:pPr>
                  <w:r w:rsidRPr="00922AAD">
                    <w:t>N2</w:t>
                  </w:r>
                </w:p>
              </w:tc>
            </w:tr>
            <w:tr w:rsidR="00013EB8" w:rsidRPr="00922AAD">
              <w:tc>
                <w:tcPr>
                  <w:tcW w:w="5735" w:type="dxa"/>
                </w:tcPr>
                <w:p w:rsidR="00013EB8" w:rsidRPr="00922AAD" w:rsidRDefault="00013EB8">
                  <w:pPr>
                    <w:widowControl w:val="0"/>
                  </w:pPr>
                  <w:r w:rsidRPr="00922AAD">
                    <w:t>anatomical loss of both eyes or blindness w/</w:t>
                  </w:r>
                  <w:r w:rsidRPr="0064753A">
                    <w:rPr>
                      <w:u w:val="single"/>
                    </w:rPr>
                    <w:t>NLP</w:t>
                  </w:r>
                </w:p>
              </w:tc>
              <w:tc>
                <w:tcPr>
                  <w:tcW w:w="2700" w:type="dxa"/>
                </w:tcPr>
                <w:p w:rsidR="00013EB8" w:rsidRPr="00922AAD" w:rsidRDefault="00013EB8">
                  <w:pPr>
                    <w:widowControl w:val="0"/>
                  </w:pPr>
                  <w:r w:rsidRPr="00922AAD">
                    <w:t>6061, 6062</w:t>
                  </w:r>
                </w:p>
              </w:tc>
              <w:tc>
                <w:tcPr>
                  <w:tcW w:w="1500" w:type="dxa"/>
                </w:tcPr>
                <w:p w:rsidR="00013EB8" w:rsidRPr="00922AAD" w:rsidRDefault="005604B8">
                  <w:pPr>
                    <w:widowControl w:val="0"/>
                  </w:pPr>
                  <w:r>
                    <w:t>NB</w:t>
                  </w:r>
                  <w:r w:rsidR="00013EB8" w:rsidRPr="00922AAD">
                    <w:t>1</w:t>
                  </w:r>
                </w:p>
              </w:tc>
            </w:tr>
          </w:tbl>
          <w:p w:rsidR="00013EB8" w:rsidRPr="00922AAD" w:rsidRDefault="00013EB8">
            <w:pPr>
              <w:pStyle w:val="Header"/>
              <w:widowControl w:val="0"/>
              <w:tabs>
                <w:tab w:val="clear" w:pos="4320"/>
                <w:tab w:val="clear" w:pos="8640"/>
              </w:tabs>
            </w:pPr>
          </w:p>
          <w:p w:rsidR="00013EB8" w:rsidRPr="00922AAD" w:rsidRDefault="00013EB8">
            <w:pPr>
              <w:widowControl w:val="0"/>
              <w:ind w:left="-30"/>
              <w:rPr>
                <w:b/>
              </w:rPr>
            </w:pPr>
            <w:r w:rsidRPr="00922AAD">
              <w:rPr>
                <w:b/>
              </w:rPr>
              <w:t xml:space="preserve">(e) O – </w:t>
            </w:r>
          </w:p>
          <w:tbl>
            <w:tblPr>
              <w:tblW w:w="9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5"/>
              <w:gridCol w:w="1900"/>
              <w:gridCol w:w="1500"/>
            </w:tblGrid>
            <w:tr w:rsidR="00013EB8" w:rsidRPr="00922AAD">
              <w:tc>
                <w:tcPr>
                  <w:tcW w:w="6535" w:type="dxa"/>
                </w:tcPr>
                <w:p w:rsidR="00013EB8" w:rsidRPr="00922AAD" w:rsidRDefault="0064753A">
                  <w:pPr>
                    <w:widowControl w:val="0"/>
                  </w:pPr>
                  <w:r>
                    <w:rPr>
                      <w:i/>
                      <w:iCs/>
                    </w:rPr>
                    <w:t>*</w:t>
                  </w:r>
                  <w:r w:rsidRPr="0064753A">
                    <w:rPr>
                      <w:i/>
                      <w:iCs/>
                    </w:rPr>
                    <w:t xml:space="preserve">disability must be </w:t>
                  </w:r>
                  <w:r w:rsidR="006B2A5A" w:rsidRPr="006B2A5A">
                    <w:rPr>
                      <w:b/>
                      <w:i/>
                      <w:iCs/>
                      <w:highlight w:val="cyan"/>
                    </w:rPr>
                    <w:t>PERMANENT</w:t>
                  </w:r>
                </w:p>
              </w:tc>
              <w:tc>
                <w:tcPr>
                  <w:tcW w:w="1900" w:type="dxa"/>
                </w:tcPr>
                <w:p w:rsidR="00013EB8" w:rsidRPr="00922AAD" w:rsidRDefault="00013EB8">
                  <w:pPr>
                    <w:widowControl w:val="0"/>
                    <w:rPr>
                      <w:b/>
                      <w:bCs/>
                    </w:rPr>
                  </w:pPr>
                  <w:r w:rsidRPr="00922AAD">
                    <w:rPr>
                      <w:b/>
                      <w:bCs/>
                    </w:rPr>
                    <w:t>DCs</w:t>
                  </w:r>
                </w:p>
              </w:tc>
              <w:tc>
                <w:tcPr>
                  <w:tcW w:w="1500" w:type="dxa"/>
                </w:tcPr>
                <w:p w:rsidR="00013EB8" w:rsidRPr="00922AAD" w:rsidRDefault="00013EB8">
                  <w:pPr>
                    <w:widowControl w:val="0"/>
                    <w:rPr>
                      <w:b/>
                      <w:bCs/>
                    </w:rPr>
                  </w:pPr>
                  <w:r w:rsidRPr="00922AAD">
                    <w:rPr>
                      <w:b/>
                      <w:bCs/>
                    </w:rPr>
                    <w:t>Paragraph</w:t>
                  </w:r>
                </w:p>
              </w:tc>
            </w:tr>
            <w:tr w:rsidR="00013EB8" w:rsidRPr="00922AAD">
              <w:tc>
                <w:tcPr>
                  <w:tcW w:w="6535" w:type="dxa"/>
                </w:tcPr>
                <w:p w:rsidR="00013EB8" w:rsidRPr="00922AAD" w:rsidRDefault="00013EB8">
                  <w:pPr>
                    <w:widowControl w:val="0"/>
                  </w:pPr>
                  <w:r w:rsidRPr="00922AAD">
                    <w:t>anatomical loss/loss of use of both shoulders so cannot use prosthesis</w:t>
                  </w:r>
                </w:p>
              </w:tc>
              <w:tc>
                <w:tcPr>
                  <w:tcW w:w="1900" w:type="dxa"/>
                </w:tcPr>
                <w:p w:rsidR="00013EB8" w:rsidRPr="00922AAD" w:rsidRDefault="00013EB8">
                  <w:pPr>
                    <w:widowControl w:val="0"/>
                  </w:pPr>
                  <w:r w:rsidRPr="00922AAD">
                    <w:t>5106, 5109</w:t>
                  </w:r>
                </w:p>
              </w:tc>
              <w:tc>
                <w:tcPr>
                  <w:tcW w:w="1500" w:type="dxa"/>
                </w:tcPr>
                <w:p w:rsidR="00013EB8" w:rsidRPr="00922AAD" w:rsidRDefault="005604B8">
                  <w:pPr>
                    <w:widowControl w:val="0"/>
                  </w:pPr>
                  <w:r>
                    <w:t>O</w:t>
                  </w:r>
                  <w:r w:rsidR="00013EB8" w:rsidRPr="00922AAD">
                    <w:t>1</w:t>
                  </w:r>
                </w:p>
              </w:tc>
            </w:tr>
            <w:tr w:rsidR="00013EB8" w:rsidRPr="00922AAD">
              <w:tc>
                <w:tcPr>
                  <w:tcW w:w="6535" w:type="dxa"/>
                </w:tcPr>
                <w:p w:rsidR="00013EB8" w:rsidRPr="00922AAD" w:rsidRDefault="00013EB8">
                  <w:pPr>
                    <w:pStyle w:val="Header"/>
                    <w:widowControl w:val="0"/>
                    <w:tabs>
                      <w:tab w:val="clear" w:pos="4320"/>
                      <w:tab w:val="clear" w:pos="8640"/>
                    </w:tabs>
                  </w:pPr>
                  <w:r w:rsidRPr="00922AAD">
                    <w:t>two or more of L-N</w:t>
                  </w:r>
                </w:p>
              </w:tc>
              <w:tc>
                <w:tcPr>
                  <w:tcW w:w="1900" w:type="dxa"/>
                </w:tcPr>
                <w:p w:rsidR="00013EB8" w:rsidRPr="00922AAD" w:rsidRDefault="00013EB8">
                  <w:pPr>
                    <w:widowControl w:val="0"/>
                  </w:pPr>
                </w:p>
              </w:tc>
              <w:tc>
                <w:tcPr>
                  <w:tcW w:w="1500" w:type="dxa"/>
                </w:tcPr>
                <w:p w:rsidR="00013EB8" w:rsidRPr="00922AAD" w:rsidRDefault="00013EB8" w:rsidP="005604B8">
                  <w:pPr>
                    <w:widowControl w:val="0"/>
                  </w:pPr>
                  <w:r w:rsidRPr="00922AAD">
                    <w:t>O3</w:t>
                  </w:r>
                </w:p>
              </w:tc>
            </w:tr>
            <w:tr w:rsidR="00013EB8" w:rsidRPr="00922AAD">
              <w:tc>
                <w:tcPr>
                  <w:tcW w:w="6535" w:type="dxa"/>
                </w:tcPr>
                <w:p w:rsidR="00013EB8" w:rsidRPr="00922AAD" w:rsidRDefault="00013EB8" w:rsidP="006C7157">
                  <w:pPr>
                    <w:pStyle w:val="Header"/>
                    <w:widowControl w:val="0"/>
                    <w:tabs>
                      <w:tab w:val="clear" w:pos="4320"/>
                      <w:tab w:val="clear" w:pos="8640"/>
                    </w:tabs>
                  </w:pPr>
                  <w:r w:rsidRPr="00922AAD">
                    <w:t xml:space="preserve">bilateral deafness at 60% (only one ear has to be SC) </w:t>
                  </w:r>
                  <w:r w:rsidRPr="00922AAD">
                    <w:rPr>
                      <w:b/>
                      <w:bCs/>
                    </w:rPr>
                    <w:t>&amp;</w:t>
                  </w:r>
                  <w:r w:rsidRPr="00922AAD">
                    <w:t xml:space="preserve"> bilateral blindness at 20/200 (formerly 5/200) or less, </w:t>
                  </w:r>
                  <w:r w:rsidRPr="00922AAD">
                    <w:rPr>
                      <w:i/>
                      <w:iCs/>
                    </w:rPr>
                    <w:t>eff 12/26/07</w:t>
                  </w:r>
                </w:p>
              </w:tc>
              <w:tc>
                <w:tcPr>
                  <w:tcW w:w="1900" w:type="dxa"/>
                </w:tcPr>
                <w:p w:rsidR="00013EB8" w:rsidRPr="00922AAD" w:rsidRDefault="00013EB8">
                  <w:pPr>
                    <w:widowControl w:val="0"/>
                  </w:pPr>
                  <w:r w:rsidRPr="00922AAD">
                    <w:t xml:space="preserve">6100 </w:t>
                  </w:r>
                  <w:r w:rsidRPr="00922AAD">
                    <w:rPr>
                      <w:b/>
                      <w:bCs/>
                    </w:rPr>
                    <w:t>&amp;</w:t>
                  </w:r>
                  <w:r w:rsidRPr="00922AAD">
                    <w:t xml:space="preserve"> 6061, 6062, 6063, 6064, 6065, 6066 </w:t>
                  </w:r>
                  <w:r w:rsidRPr="00922AAD">
                    <w:rPr>
                      <w:i/>
                      <w:iCs/>
                      <w:sz w:val="16"/>
                    </w:rPr>
                    <w:t>(70% or greater)</w:t>
                  </w:r>
                </w:p>
              </w:tc>
              <w:tc>
                <w:tcPr>
                  <w:tcW w:w="1500" w:type="dxa"/>
                </w:tcPr>
                <w:p w:rsidR="00013EB8" w:rsidRPr="00922AAD" w:rsidRDefault="00013EB8" w:rsidP="005604B8">
                  <w:pPr>
                    <w:pStyle w:val="Header"/>
                    <w:widowControl w:val="0"/>
                    <w:tabs>
                      <w:tab w:val="clear" w:pos="4320"/>
                      <w:tab w:val="clear" w:pos="8640"/>
                    </w:tabs>
                  </w:pPr>
                  <w:r w:rsidRPr="00922AAD">
                    <w:t>OB1</w:t>
                  </w:r>
                </w:p>
              </w:tc>
            </w:tr>
            <w:tr w:rsidR="00013EB8" w:rsidRPr="00922AAD">
              <w:tc>
                <w:tcPr>
                  <w:tcW w:w="6535" w:type="dxa"/>
                </w:tcPr>
                <w:p w:rsidR="00013EB8" w:rsidRPr="00922AAD" w:rsidRDefault="00013EB8">
                  <w:pPr>
                    <w:pStyle w:val="Header"/>
                    <w:widowControl w:val="0"/>
                    <w:tabs>
                      <w:tab w:val="clear" w:pos="4320"/>
                      <w:tab w:val="clear" w:pos="8640"/>
                    </w:tabs>
                  </w:pPr>
                  <w:r w:rsidRPr="00922AAD">
                    <w:t xml:space="preserve">total deafness in one ear or bilateral deafness at 40% (only one ear has to be SC) </w:t>
                  </w:r>
                  <w:r w:rsidRPr="00922AAD">
                    <w:rPr>
                      <w:b/>
                      <w:bCs/>
                    </w:rPr>
                    <w:t>&amp;</w:t>
                  </w:r>
                  <w:r w:rsidRPr="00922AAD">
                    <w:t xml:space="preserve"> bilateral blindness w/LPO or less</w:t>
                  </w:r>
                </w:p>
              </w:tc>
              <w:tc>
                <w:tcPr>
                  <w:tcW w:w="1900" w:type="dxa"/>
                </w:tcPr>
                <w:p w:rsidR="00013EB8" w:rsidRPr="00922AAD" w:rsidRDefault="00013EB8">
                  <w:pPr>
                    <w:pStyle w:val="Header"/>
                    <w:widowControl w:val="0"/>
                    <w:tabs>
                      <w:tab w:val="clear" w:pos="4320"/>
                      <w:tab w:val="clear" w:pos="8640"/>
                    </w:tabs>
                  </w:pPr>
                  <w:r w:rsidRPr="00922AAD">
                    <w:t xml:space="preserve">6100 </w:t>
                  </w:r>
                  <w:r w:rsidRPr="00922AAD">
                    <w:rPr>
                      <w:b/>
                      <w:bCs/>
                    </w:rPr>
                    <w:t>&amp;</w:t>
                  </w:r>
                  <w:r w:rsidRPr="00922AAD">
                    <w:t xml:space="preserve"> 6061, 6062</w:t>
                  </w:r>
                </w:p>
              </w:tc>
              <w:tc>
                <w:tcPr>
                  <w:tcW w:w="1500" w:type="dxa"/>
                </w:tcPr>
                <w:p w:rsidR="00013EB8" w:rsidRPr="00922AAD" w:rsidRDefault="00013EB8" w:rsidP="005604B8">
                  <w:pPr>
                    <w:widowControl w:val="0"/>
                  </w:pPr>
                  <w:r w:rsidRPr="00922AAD">
                    <w:t>OB2</w:t>
                  </w:r>
                </w:p>
              </w:tc>
            </w:tr>
            <w:tr w:rsidR="00013EB8" w:rsidRPr="00922AAD">
              <w:tc>
                <w:tcPr>
                  <w:tcW w:w="6535" w:type="dxa"/>
                </w:tcPr>
                <w:p w:rsidR="00013EB8" w:rsidRPr="00922AAD" w:rsidRDefault="00013EB8">
                  <w:pPr>
                    <w:widowControl w:val="0"/>
                  </w:pPr>
                  <w:r w:rsidRPr="00922AAD">
                    <w:t xml:space="preserve">paraplegia w/loss of anal &amp; bladder sphincter control </w:t>
                  </w:r>
                  <w:r w:rsidRPr="00922AAD">
                    <w:rPr>
                      <w:i/>
                      <w:iCs/>
                    </w:rPr>
                    <w:t>(will be at max O due to loss of use of both legs &amp; helplessness)</w:t>
                  </w:r>
                </w:p>
              </w:tc>
              <w:tc>
                <w:tcPr>
                  <w:tcW w:w="1900" w:type="dxa"/>
                </w:tcPr>
                <w:p w:rsidR="00013EB8" w:rsidRPr="00922AAD" w:rsidRDefault="00013EB8">
                  <w:pPr>
                    <w:pStyle w:val="Header"/>
                    <w:widowControl w:val="0"/>
                    <w:tabs>
                      <w:tab w:val="clear" w:pos="4320"/>
                      <w:tab w:val="clear" w:pos="8640"/>
                    </w:tabs>
                  </w:pPr>
                  <w:r w:rsidRPr="00922AAD">
                    <w:t xml:space="preserve">5110, 7332 </w:t>
                  </w:r>
                  <w:r w:rsidRPr="00922AAD">
                    <w:rPr>
                      <w:b/>
                      <w:bCs/>
                    </w:rPr>
                    <w:t xml:space="preserve">&amp; </w:t>
                  </w:r>
                  <w:r w:rsidRPr="00922AAD">
                    <w:t>7542</w:t>
                  </w:r>
                </w:p>
              </w:tc>
              <w:tc>
                <w:tcPr>
                  <w:tcW w:w="1500" w:type="dxa"/>
                </w:tcPr>
                <w:p w:rsidR="00013EB8" w:rsidRPr="00922AAD" w:rsidRDefault="00013EB8" w:rsidP="005604B8">
                  <w:pPr>
                    <w:widowControl w:val="0"/>
                  </w:pPr>
                  <w:r w:rsidRPr="00922AAD">
                    <w:t>O2</w:t>
                  </w:r>
                </w:p>
              </w:tc>
            </w:tr>
          </w:tbl>
          <w:p w:rsidR="00013EB8" w:rsidRPr="00922AAD" w:rsidRDefault="00013EB8">
            <w:pPr>
              <w:widowControl w:val="0"/>
              <w:rPr>
                <w:i/>
                <w:iCs/>
              </w:rPr>
            </w:pPr>
            <w:r w:rsidRPr="00922AAD">
              <w:rPr>
                <w:i/>
                <w:iCs/>
              </w:rPr>
              <w:t>cannot give A&amp;A for LOU of bilateral lower extremities as already at “L” for the latter, need separate pathology for the A&amp;A, also cannot give bedridden &amp; A&amp;A for same LOU</w:t>
            </w:r>
            <w:r w:rsidRPr="00922AAD">
              <w:t xml:space="preserve"> </w:t>
            </w:r>
          </w:p>
          <w:p w:rsidR="00013EB8" w:rsidRPr="00922AAD" w:rsidRDefault="00013EB8">
            <w:pPr>
              <w:widowControl w:val="0"/>
              <w:ind w:left="330"/>
              <w:rPr>
                <w:i/>
                <w:iCs/>
              </w:rPr>
            </w:pPr>
          </w:p>
          <w:p w:rsidR="00013EB8" w:rsidRPr="00922AAD" w:rsidRDefault="00013EB8">
            <w:pPr>
              <w:widowControl w:val="0"/>
              <w:ind w:left="-30"/>
              <w:rPr>
                <w:b/>
              </w:rPr>
            </w:pPr>
            <w:r w:rsidRPr="00922AAD">
              <w:rPr>
                <w:b/>
              </w:rPr>
              <w:t>(f) P – anatomical loss/loss of use of:</w:t>
            </w:r>
          </w:p>
          <w:tbl>
            <w:tblPr>
              <w:tblW w:w="9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5"/>
              <w:gridCol w:w="1900"/>
              <w:gridCol w:w="1500"/>
            </w:tblGrid>
            <w:tr w:rsidR="00013EB8" w:rsidRPr="00922AAD">
              <w:tc>
                <w:tcPr>
                  <w:tcW w:w="6535" w:type="dxa"/>
                </w:tcPr>
                <w:p w:rsidR="00013EB8" w:rsidRPr="00922AAD" w:rsidRDefault="0064753A">
                  <w:pPr>
                    <w:widowControl w:val="0"/>
                  </w:pPr>
                  <w:r>
                    <w:rPr>
                      <w:i/>
                      <w:iCs/>
                    </w:rPr>
                    <w:t>*</w:t>
                  </w:r>
                  <w:r w:rsidRPr="0064753A">
                    <w:rPr>
                      <w:i/>
                      <w:iCs/>
                    </w:rPr>
                    <w:t xml:space="preserve">disability must be </w:t>
                  </w:r>
                  <w:r w:rsidR="006B2A5A" w:rsidRPr="006B2A5A">
                    <w:rPr>
                      <w:b/>
                      <w:i/>
                      <w:iCs/>
                      <w:highlight w:val="cyan"/>
                    </w:rPr>
                    <w:t>PERMANENT</w:t>
                  </w:r>
                  <w:r w:rsidR="005604B8">
                    <w:rPr>
                      <w:i/>
                      <w:iCs/>
                    </w:rPr>
                    <w:t>, can do P twice if involves triple loss, and can keep the K</w:t>
                  </w:r>
                </w:p>
              </w:tc>
              <w:tc>
                <w:tcPr>
                  <w:tcW w:w="1900" w:type="dxa"/>
                </w:tcPr>
                <w:p w:rsidR="00013EB8" w:rsidRPr="00922AAD" w:rsidRDefault="00013EB8">
                  <w:pPr>
                    <w:widowControl w:val="0"/>
                    <w:rPr>
                      <w:b/>
                      <w:bCs/>
                    </w:rPr>
                  </w:pPr>
                  <w:r w:rsidRPr="00922AAD">
                    <w:rPr>
                      <w:b/>
                      <w:bCs/>
                    </w:rPr>
                    <w:t>DCs</w:t>
                  </w:r>
                </w:p>
              </w:tc>
              <w:tc>
                <w:tcPr>
                  <w:tcW w:w="1500" w:type="dxa"/>
                </w:tcPr>
                <w:p w:rsidR="00013EB8" w:rsidRPr="00922AAD" w:rsidRDefault="00013EB8">
                  <w:pPr>
                    <w:widowControl w:val="0"/>
                    <w:rPr>
                      <w:b/>
                      <w:bCs/>
                    </w:rPr>
                  </w:pPr>
                  <w:r w:rsidRPr="00922AAD">
                    <w:rPr>
                      <w:b/>
                      <w:bCs/>
                    </w:rPr>
                    <w:t>Paragraph</w:t>
                  </w:r>
                </w:p>
              </w:tc>
            </w:tr>
            <w:tr w:rsidR="00013EB8" w:rsidRPr="00922AAD">
              <w:trPr>
                <w:trHeight w:val="70"/>
              </w:trPr>
              <w:tc>
                <w:tcPr>
                  <w:tcW w:w="6535" w:type="dxa"/>
                </w:tcPr>
                <w:p w:rsidR="00013EB8" w:rsidRPr="00922AAD" w:rsidRDefault="00013EB8">
                  <w:pPr>
                    <w:widowControl w:val="0"/>
                  </w:pPr>
                  <w:r w:rsidRPr="00922AAD">
                    <w:t>one foot &amp; one knee w/o action w/prosthesis = L½</w:t>
                  </w:r>
                </w:p>
              </w:tc>
              <w:tc>
                <w:tcPr>
                  <w:tcW w:w="1900" w:type="dxa"/>
                </w:tcPr>
                <w:p w:rsidR="00013EB8" w:rsidRPr="00922AAD" w:rsidRDefault="00013EB8">
                  <w:pPr>
                    <w:widowControl w:val="0"/>
                  </w:pPr>
                  <w:r w:rsidRPr="00922AAD">
                    <w:t>5107, 5110</w:t>
                  </w:r>
                </w:p>
              </w:tc>
              <w:tc>
                <w:tcPr>
                  <w:tcW w:w="1500" w:type="dxa"/>
                </w:tcPr>
                <w:p w:rsidR="00013EB8" w:rsidRPr="00922AAD" w:rsidRDefault="005604B8">
                  <w:pPr>
                    <w:pStyle w:val="Header"/>
                    <w:widowControl w:val="0"/>
                    <w:tabs>
                      <w:tab w:val="clear" w:pos="4320"/>
                      <w:tab w:val="clear" w:pos="8640"/>
                    </w:tabs>
                    <w:rPr>
                      <w:iCs/>
                    </w:rPr>
                  </w:pPr>
                  <w:r>
                    <w:rPr>
                      <w:iCs/>
                    </w:rPr>
                    <w:t>L</w:t>
                  </w:r>
                  <w:r w:rsidR="00013EB8" w:rsidRPr="00922AAD">
                    <w:rPr>
                      <w:iCs/>
                    </w:rPr>
                    <w:t>2</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foot &amp; one hip so cannot use prosthesis = M</w:t>
                  </w:r>
                </w:p>
              </w:tc>
              <w:tc>
                <w:tcPr>
                  <w:tcW w:w="1900" w:type="dxa"/>
                </w:tcPr>
                <w:p w:rsidR="00013EB8" w:rsidRPr="00922AAD" w:rsidRDefault="00013EB8">
                  <w:pPr>
                    <w:widowControl w:val="0"/>
                  </w:pPr>
                  <w:r w:rsidRPr="00922AAD">
                    <w:t>5107, 5110</w:t>
                  </w:r>
                </w:p>
              </w:tc>
              <w:tc>
                <w:tcPr>
                  <w:tcW w:w="1500" w:type="dxa"/>
                </w:tcPr>
                <w:p w:rsidR="00013EB8" w:rsidRPr="00922AAD" w:rsidRDefault="00013EB8" w:rsidP="005604B8">
                  <w:pPr>
                    <w:widowControl w:val="0"/>
                  </w:pPr>
                  <w:r w:rsidRPr="00922AAD">
                    <w:t>M3</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foot &amp; one elbow w/o action w/prosthesis = L½</w:t>
                  </w:r>
                </w:p>
              </w:tc>
              <w:tc>
                <w:tcPr>
                  <w:tcW w:w="1900" w:type="dxa"/>
                </w:tcPr>
                <w:p w:rsidR="00013EB8" w:rsidRPr="00922AAD" w:rsidRDefault="00013EB8">
                  <w:pPr>
                    <w:widowControl w:val="0"/>
                  </w:pPr>
                  <w:r w:rsidRPr="00922AAD">
                    <w:t>5104, 5105, 5108, 5111</w:t>
                  </w:r>
                </w:p>
              </w:tc>
              <w:tc>
                <w:tcPr>
                  <w:tcW w:w="1500" w:type="dxa"/>
                </w:tcPr>
                <w:p w:rsidR="00013EB8" w:rsidRPr="00922AAD" w:rsidRDefault="005604B8">
                  <w:pPr>
                    <w:widowControl w:val="0"/>
                  </w:pPr>
                  <w:r>
                    <w:t>L</w:t>
                  </w:r>
                  <w:r w:rsidR="00013EB8" w:rsidRPr="00922AAD">
                    <w:t>2</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foot &amp; one shoulder so cannot use prosthesis = M</w:t>
                  </w:r>
                </w:p>
              </w:tc>
              <w:tc>
                <w:tcPr>
                  <w:tcW w:w="1900" w:type="dxa"/>
                </w:tcPr>
                <w:p w:rsidR="00013EB8" w:rsidRPr="00922AAD" w:rsidRDefault="00013EB8">
                  <w:pPr>
                    <w:widowControl w:val="0"/>
                  </w:pPr>
                  <w:r w:rsidRPr="00922AAD">
                    <w:t>5104, 5105, 5108, 5111</w:t>
                  </w:r>
                </w:p>
              </w:tc>
              <w:tc>
                <w:tcPr>
                  <w:tcW w:w="1500" w:type="dxa"/>
                </w:tcPr>
                <w:p w:rsidR="00013EB8" w:rsidRPr="00922AAD" w:rsidRDefault="00013EB8" w:rsidP="005604B8">
                  <w:pPr>
                    <w:widowControl w:val="0"/>
                  </w:pPr>
                  <w:r w:rsidRPr="00922AAD">
                    <w:t>M3</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knee w/o action w/prosthesis &amp; one hip so cannot use prosthesis = M½</w:t>
                  </w:r>
                </w:p>
              </w:tc>
              <w:tc>
                <w:tcPr>
                  <w:tcW w:w="1900" w:type="dxa"/>
                </w:tcPr>
                <w:p w:rsidR="00013EB8" w:rsidRPr="00922AAD" w:rsidRDefault="00013EB8">
                  <w:pPr>
                    <w:widowControl w:val="0"/>
                  </w:pPr>
                  <w:r w:rsidRPr="00922AAD">
                    <w:t>5107, 5110</w:t>
                  </w:r>
                </w:p>
              </w:tc>
              <w:tc>
                <w:tcPr>
                  <w:tcW w:w="1500" w:type="dxa"/>
                </w:tcPr>
                <w:p w:rsidR="00013EB8" w:rsidRPr="00922AAD" w:rsidRDefault="00013EB8" w:rsidP="005604B8">
                  <w:pPr>
                    <w:widowControl w:val="0"/>
                  </w:pPr>
                  <w:r w:rsidRPr="00922AAD">
                    <w:t>M4</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knee w/o action w/ prosthesis &amp; one hand</w:t>
                  </w:r>
                  <w:r w:rsidRPr="00922AAD">
                    <w:rPr>
                      <w:i/>
                    </w:rPr>
                    <w:t xml:space="preserve"> </w:t>
                  </w:r>
                  <w:r w:rsidRPr="00922AAD">
                    <w:t>= L½</w:t>
                  </w:r>
                </w:p>
              </w:tc>
              <w:tc>
                <w:tcPr>
                  <w:tcW w:w="1900" w:type="dxa"/>
                </w:tcPr>
                <w:p w:rsidR="00013EB8" w:rsidRPr="00922AAD" w:rsidRDefault="00013EB8">
                  <w:pPr>
                    <w:widowControl w:val="0"/>
                  </w:pPr>
                  <w:r w:rsidRPr="00922AAD">
                    <w:t>5104, 5105, 5108, 5111</w:t>
                  </w:r>
                </w:p>
              </w:tc>
              <w:tc>
                <w:tcPr>
                  <w:tcW w:w="1500" w:type="dxa"/>
                </w:tcPr>
                <w:p w:rsidR="00013EB8" w:rsidRPr="00922AAD" w:rsidRDefault="005604B8">
                  <w:pPr>
                    <w:widowControl w:val="0"/>
                  </w:pPr>
                  <w:r>
                    <w:t>L</w:t>
                  </w:r>
                  <w:r w:rsidR="00013EB8" w:rsidRPr="00922AAD">
                    <w:t>2</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knee w/o action w/prosthesis &amp; one shoulder so cannot use prosthesis = M½</w:t>
                  </w:r>
                </w:p>
              </w:tc>
              <w:tc>
                <w:tcPr>
                  <w:tcW w:w="1900" w:type="dxa"/>
                </w:tcPr>
                <w:p w:rsidR="00013EB8" w:rsidRPr="00922AAD" w:rsidRDefault="00013EB8">
                  <w:pPr>
                    <w:widowControl w:val="0"/>
                  </w:pPr>
                  <w:r w:rsidRPr="00922AAD">
                    <w:t>5104, 5105, 5108, 5111</w:t>
                  </w:r>
                </w:p>
              </w:tc>
              <w:tc>
                <w:tcPr>
                  <w:tcW w:w="1500" w:type="dxa"/>
                </w:tcPr>
                <w:p w:rsidR="00013EB8" w:rsidRPr="00922AAD" w:rsidRDefault="00013EB8" w:rsidP="005604B8">
                  <w:pPr>
                    <w:widowControl w:val="0"/>
                  </w:pPr>
                  <w:r w:rsidRPr="00922AAD">
                    <w:t>M4</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hip so cannot use prosthesis &amp; one hand = M</w:t>
                  </w:r>
                </w:p>
              </w:tc>
              <w:tc>
                <w:tcPr>
                  <w:tcW w:w="1900" w:type="dxa"/>
                </w:tcPr>
                <w:p w:rsidR="00013EB8" w:rsidRPr="00922AAD" w:rsidRDefault="00013EB8">
                  <w:pPr>
                    <w:widowControl w:val="0"/>
                  </w:pPr>
                  <w:r w:rsidRPr="00922AAD">
                    <w:t>5104, 5105, 5108, 5111</w:t>
                  </w:r>
                </w:p>
              </w:tc>
              <w:tc>
                <w:tcPr>
                  <w:tcW w:w="1500" w:type="dxa"/>
                </w:tcPr>
                <w:p w:rsidR="00013EB8" w:rsidRPr="00922AAD" w:rsidRDefault="00013EB8" w:rsidP="005604B8">
                  <w:pPr>
                    <w:widowControl w:val="0"/>
                  </w:pPr>
                  <w:r w:rsidRPr="00922AAD">
                    <w:t>M3</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hip so cannot use prosthesis &amp; one elbow w/o action w/prosthesis = M½</w:t>
                  </w:r>
                </w:p>
              </w:tc>
              <w:tc>
                <w:tcPr>
                  <w:tcW w:w="1900" w:type="dxa"/>
                </w:tcPr>
                <w:p w:rsidR="00013EB8" w:rsidRPr="00922AAD" w:rsidRDefault="00013EB8">
                  <w:pPr>
                    <w:widowControl w:val="0"/>
                  </w:pPr>
                  <w:r w:rsidRPr="00922AAD">
                    <w:t>5104, 5105, 5108, 5111</w:t>
                  </w:r>
                </w:p>
              </w:tc>
              <w:tc>
                <w:tcPr>
                  <w:tcW w:w="1500" w:type="dxa"/>
                </w:tcPr>
                <w:p w:rsidR="00013EB8" w:rsidRPr="00922AAD" w:rsidRDefault="00013EB8" w:rsidP="005604B8">
                  <w:pPr>
                    <w:widowControl w:val="0"/>
                  </w:pPr>
                  <w:r w:rsidRPr="00922AAD">
                    <w:t>M4</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hand &amp; one elbow w/o action w/prosthesis = M½</w:t>
                  </w:r>
                </w:p>
              </w:tc>
              <w:tc>
                <w:tcPr>
                  <w:tcW w:w="1900" w:type="dxa"/>
                </w:tcPr>
                <w:p w:rsidR="00013EB8" w:rsidRPr="00922AAD" w:rsidRDefault="00013EB8">
                  <w:pPr>
                    <w:widowControl w:val="0"/>
                  </w:pPr>
                  <w:r w:rsidRPr="00922AAD">
                    <w:t>5106, 5109</w:t>
                  </w:r>
                </w:p>
              </w:tc>
              <w:tc>
                <w:tcPr>
                  <w:tcW w:w="1500" w:type="dxa"/>
                </w:tcPr>
                <w:p w:rsidR="00013EB8" w:rsidRPr="00922AAD" w:rsidRDefault="00013EB8" w:rsidP="005604B8">
                  <w:pPr>
                    <w:widowControl w:val="0"/>
                  </w:pPr>
                  <w:r w:rsidRPr="00922AAD">
                    <w:t>M5</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hand &amp; one shoulder so cannot use prosthesis = N</w:t>
                  </w:r>
                </w:p>
              </w:tc>
              <w:tc>
                <w:tcPr>
                  <w:tcW w:w="1900" w:type="dxa"/>
                </w:tcPr>
                <w:p w:rsidR="00013EB8" w:rsidRPr="00922AAD" w:rsidRDefault="00013EB8">
                  <w:pPr>
                    <w:widowControl w:val="0"/>
                  </w:pPr>
                  <w:r w:rsidRPr="00922AAD">
                    <w:t>5106, 5109</w:t>
                  </w:r>
                </w:p>
              </w:tc>
              <w:tc>
                <w:tcPr>
                  <w:tcW w:w="1500" w:type="dxa"/>
                </w:tcPr>
                <w:p w:rsidR="00013EB8" w:rsidRPr="00922AAD" w:rsidRDefault="00013EB8" w:rsidP="005604B8">
                  <w:pPr>
                    <w:widowControl w:val="0"/>
                  </w:pPr>
                  <w:r w:rsidRPr="00922AAD">
                    <w:t>N3</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elbow w/o action w/prosthesis &amp; one shoulder so cannot use prosthesis = N½</w:t>
                  </w:r>
                </w:p>
              </w:tc>
              <w:tc>
                <w:tcPr>
                  <w:tcW w:w="1900" w:type="dxa"/>
                </w:tcPr>
                <w:p w:rsidR="00013EB8" w:rsidRPr="00922AAD" w:rsidRDefault="00013EB8">
                  <w:pPr>
                    <w:widowControl w:val="0"/>
                  </w:pPr>
                  <w:r w:rsidRPr="00922AAD">
                    <w:t>5106, 5109</w:t>
                  </w:r>
                </w:p>
              </w:tc>
              <w:tc>
                <w:tcPr>
                  <w:tcW w:w="1500" w:type="dxa"/>
                </w:tcPr>
                <w:p w:rsidR="00013EB8" w:rsidRPr="00922AAD" w:rsidRDefault="00013EB8" w:rsidP="005604B8">
                  <w:pPr>
                    <w:widowControl w:val="0"/>
                  </w:pPr>
                  <w:r w:rsidRPr="00922AAD">
                    <w:t>N4</w:t>
                  </w:r>
                </w:p>
              </w:tc>
            </w:tr>
          </w:tbl>
          <w:p w:rsidR="00013EB8" w:rsidRPr="00922AAD" w:rsidRDefault="00013EB8">
            <w:pPr>
              <w:widowControl w:val="0"/>
              <w:ind w:left="340"/>
            </w:pPr>
            <w:r w:rsidRPr="00922AAD">
              <w:t>AND</w:t>
            </w:r>
          </w:p>
          <w:tbl>
            <w:tblPr>
              <w:tblW w:w="9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5"/>
              <w:gridCol w:w="1900"/>
              <w:gridCol w:w="1500"/>
            </w:tblGrid>
            <w:tr w:rsidR="00013EB8" w:rsidRPr="00922AAD">
              <w:tc>
                <w:tcPr>
                  <w:tcW w:w="6535" w:type="dxa"/>
                </w:tcPr>
                <w:p w:rsidR="00013EB8" w:rsidRPr="00922AAD" w:rsidRDefault="00013EB8">
                  <w:pPr>
                    <w:pStyle w:val="Header"/>
                    <w:widowControl w:val="0"/>
                    <w:tabs>
                      <w:tab w:val="clear" w:pos="4320"/>
                      <w:tab w:val="clear" w:pos="8640"/>
                    </w:tabs>
                  </w:pPr>
                  <w:r w:rsidRPr="00922AAD">
                    <w:t>one eye at 5/200 &amp; blindness w/LPO in other = L½</w:t>
                  </w:r>
                </w:p>
              </w:tc>
              <w:tc>
                <w:tcPr>
                  <w:tcW w:w="1900" w:type="dxa"/>
                </w:tcPr>
                <w:p w:rsidR="00013EB8" w:rsidRPr="00922AAD" w:rsidRDefault="00013EB8">
                  <w:pPr>
                    <w:widowControl w:val="0"/>
                  </w:pPr>
                  <w:r w:rsidRPr="00922AAD">
                    <w:t>6064</w:t>
                  </w:r>
                </w:p>
              </w:tc>
              <w:tc>
                <w:tcPr>
                  <w:tcW w:w="1500" w:type="dxa"/>
                </w:tcPr>
                <w:p w:rsidR="00013EB8" w:rsidRPr="00922AAD" w:rsidRDefault="005604B8">
                  <w:pPr>
                    <w:widowControl w:val="0"/>
                  </w:pPr>
                  <w:r>
                    <w:t>LB</w:t>
                  </w:r>
                  <w:r w:rsidR="00013EB8" w:rsidRPr="00922AAD">
                    <w:t>2</w:t>
                  </w:r>
                </w:p>
              </w:tc>
            </w:tr>
            <w:tr w:rsidR="00013EB8" w:rsidRPr="00922AAD">
              <w:tc>
                <w:tcPr>
                  <w:tcW w:w="6535" w:type="dxa"/>
                </w:tcPr>
                <w:p w:rsidR="00013EB8" w:rsidRPr="00922AAD" w:rsidRDefault="00013EB8">
                  <w:pPr>
                    <w:pStyle w:val="Header"/>
                    <w:widowControl w:val="0"/>
                    <w:tabs>
                      <w:tab w:val="clear" w:pos="4320"/>
                      <w:tab w:val="clear" w:pos="8640"/>
                    </w:tabs>
                  </w:pPr>
                  <w:r w:rsidRPr="00922AAD">
                    <w:t>one eye at 5/200 &amp; anatomical loss or blindness w/NLP in other = M</w:t>
                  </w:r>
                </w:p>
              </w:tc>
              <w:tc>
                <w:tcPr>
                  <w:tcW w:w="1900" w:type="dxa"/>
                </w:tcPr>
                <w:p w:rsidR="00013EB8" w:rsidRPr="00922AAD" w:rsidRDefault="00013EB8">
                  <w:pPr>
                    <w:widowControl w:val="0"/>
                  </w:pPr>
                  <w:r w:rsidRPr="00922AAD">
                    <w:t>6063, 6064</w:t>
                  </w:r>
                </w:p>
              </w:tc>
              <w:tc>
                <w:tcPr>
                  <w:tcW w:w="1500" w:type="dxa"/>
                </w:tcPr>
                <w:p w:rsidR="00013EB8" w:rsidRPr="00922AAD" w:rsidRDefault="00013EB8" w:rsidP="005604B8">
                  <w:pPr>
                    <w:widowControl w:val="0"/>
                  </w:pPr>
                  <w:r w:rsidRPr="00922AAD">
                    <w:t>MB2</w:t>
                  </w:r>
                </w:p>
              </w:tc>
            </w:tr>
            <w:tr w:rsidR="00013EB8" w:rsidRPr="00922AAD">
              <w:tc>
                <w:tcPr>
                  <w:tcW w:w="6535" w:type="dxa"/>
                </w:tcPr>
                <w:p w:rsidR="00013EB8" w:rsidRPr="00922AAD" w:rsidRDefault="00013EB8">
                  <w:pPr>
                    <w:pStyle w:val="Header"/>
                    <w:widowControl w:val="0"/>
                    <w:tabs>
                      <w:tab w:val="clear" w:pos="4320"/>
                      <w:tab w:val="clear" w:pos="8640"/>
                    </w:tabs>
                  </w:pPr>
                  <w:r w:rsidRPr="00922AAD">
                    <w:t>blindness w/LPO &amp; anatomical loss or blindness w/NLP = M½</w:t>
                  </w:r>
                </w:p>
              </w:tc>
              <w:tc>
                <w:tcPr>
                  <w:tcW w:w="1900" w:type="dxa"/>
                </w:tcPr>
                <w:p w:rsidR="00013EB8" w:rsidRPr="00922AAD" w:rsidRDefault="00013EB8">
                  <w:pPr>
                    <w:widowControl w:val="0"/>
                  </w:pPr>
                  <w:r w:rsidRPr="00922AAD">
                    <w:t>6062</w:t>
                  </w:r>
                </w:p>
              </w:tc>
              <w:tc>
                <w:tcPr>
                  <w:tcW w:w="1500" w:type="dxa"/>
                </w:tcPr>
                <w:p w:rsidR="00013EB8" w:rsidRPr="00922AAD" w:rsidRDefault="00013EB8" w:rsidP="005604B8">
                  <w:pPr>
                    <w:widowControl w:val="0"/>
                  </w:pPr>
                  <w:r w:rsidRPr="00922AAD">
                    <w:t>MB3</w:t>
                  </w:r>
                </w:p>
              </w:tc>
            </w:tr>
            <w:tr w:rsidR="00013EB8" w:rsidRPr="00922AAD">
              <w:tc>
                <w:tcPr>
                  <w:tcW w:w="6535" w:type="dxa"/>
                </w:tcPr>
                <w:p w:rsidR="00013EB8" w:rsidRPr="00922AAD" w:rsidRDefault="00013EB8">
                  <w:pPr>
                    <w:pStyle w:val="Header"/>
                    <w:widowControl w:val="0"/>
                    <w:tabs>
                      <w:tab w:val="clear" w:pos="4320"/>
                      <w:tab w:val="clear" w:pos="8640"/>
                    </w:tabs>
                  </w:pPr>
                  <w:r w:rsidRPr="00922AAD">
                    <w:t xml:space="preserve">both eyes at 5/200, </w:t>
                  </w:r>
                  <w:r w:rsidRPr="00922AAD">
                    <w:rPr>
                      <w:u w:val="single"/>
                    </w:rPr>
                    <w:t>OR</w:t>
                  </w:r>
                  <w:r w:rsidRPr="00922AAD">
                    <w:t xml:space="preserve"> one at 5/200 &amp; one w/LPO, </w:t>
                  </w:r>
                  <w:r w:rsidRPr="00922AAD">
                    <w:rPr>
                      <w:u w:val="single"/>
                    </w:rPr>
                    <w:t>OR</w:t>
                  </w:r>
                  <w:r w:rsidRPr="00922AAD">
                    <w:t xml:space="preserve"> one at 5/200 &amp; one w/NLP, </w:t>
                  </w:r>
                  <w:r w:rsidRPr="00922AAD">
                    <w:rPr>
                      <w:b/>
                    </w:rPr>
                    <w:t>&amp;</w:t>
                  </w:r>
                  <w:r w:rsidRPr="00922AAD">
                    <w:t xml:space="preserve"> total deafness in one ear = next higher, but no higher than O</w:t>
                  </w:r>
                </w:p>
              </w:tc>
              <w:tc>
                <w:tcPr>
                  <w:tcW w:w="1900" w:type="dxa"/>
                </w:tcPr>
                <w:p w:rsidR="00013EB8" w:rsidRPr="00922AAD" w:rsidRDefault="00013EB8">
                  <w:pPr>
                    <w:widowControl w:val="0"/>
                    <w:rPr>
                      <w:bCs/>
                    </w:rPr>
                  </w:pPr>
                  <w:r w:rsidRPr="00922AAD">
                    <w:t xml:space="preserve">6064, 6065 </w:t>
                  </w:r>
                  <w:r w:rsidRPr="00922AAD">
                    <w:rPr>
                      <w:b/>
                    </w:rPr>
                    <w:t>&amp;</w:t>
                  </w:r>
                  <w:r w:rsidRPr="00922AAD">
                    <w:rPr>
                      <w:bCs/>
                    </w:rPr>
                    <w:t xml:space="preserve"> 6100</w:t>
                  </w:r>
                </w:p>
              </w:tc>
              <w:tc>
                <w:tcPr>
                  <w:tcW w:w="1500" w:type="dxa"/>
                </w:tcPr>
                <w:p w:rsidR="00013EB8" w:rsidRPr="00922AAD" w:rsidRDefault="005604B8" w:rsidP="005604B8">
                  <w:pPr>
                    <w:widowControl w:val="0"/>
                  </w:pPr>
                  <w:r>
                    <w:t>PB1</w:t>
                  </w:r>
                </w:p>
              </w:tc>
            </w:tr>
            <w:tr w:rsidR="00013EB8" w:rsidRPr="00922AAD">
              <w:tc>
                <w:tcPr>
                  <w:tcW w:w="6535" w:type="dxa"/>
                </w:tcPr>
                <w:p w:rsidR="00013EB8" w:rsidRPr="00922AAD" w:rsidRDefault="00013EB8">
                  <w:pPr>
                    <w:pStyle w:val="Header"/>
                    <w:widowControl w:val="0"/>
                    <w:tabs>
                      <w:tab w:val="clear" w:pos="4320"/>
                      <w:tab w:val="clear" w:pos="8640"/>
                    </w:tabs>
                  </w:pPr>
                  <w:r w:rsidRPr="00922AAD">
                    <w:t xml:space="preserve">bilateral blindness w/LPO </w:t>
                  </w:r>
                  <w:r w:rsidRPr="00922AAD">
                    <w:rPr>
                      <w:u w:val="single"/>
                    </w:rPr>
                    <w:t>OR</w:t>
                  </w:r>
                  <w:r w:rsidRPr="00922AAD">
                    <w:t xml:space="preserve"> one w/LPO &amp; one w/NLP, </w:t>
                  </w:r>
                  <w:r w:rsidRPr="00922AAD">
                    <w:rPr>
                      <w:b/>
                    </w:rPr>
                    <w:t>&amp;</w:t>
                  </w:r>
                  <w:r w:rsidRPr="00922AAD">
                    <w:t xml:space="preserve"> bilateral deafness at 10 or 20% (only one ear has to be SC) = next higher, but no higher than O</w:t>
                  </w:r>
                </w:p>
              </w:tc>
              <w:tc>
                <w:tcPr>
                  <w:tcW w:w="1900" w:type="dxa"/>
                </w:tcPr>
                <w:p w:rsidR="00013EB8" w:rsidRPr="00922AAD" w:rsidRDefault="00013EB8">
                  <w:pPr>
                    <w:widowControl w:val="0"/>
                  </w:pPr>
                  <w:r w:rsidRPr="00922AAD">
                    <w:t xml:space="preserve">6062 </w:t>
                  </w:r>
                  <w:r w:rsidRPr="00922AAD">
                    <w:rPr>
                      <w:b/>
                    </w:rPr>
                    <w:t>&amp;</w:t>
                  </w:r>
                  <w:r w:rsidRPr="00922AAD">
                    <w:rPr>
                      <w:bCs/>
                    </w:rPr>
                    <w:t xml:space="preserve"> 6100</w:t>
                  </w:r>
                </w:p>
              </w:tc>
              <w:tc>
                <w:tcPr>
                  <w:tcW w:w="1500" w:type="dxa"/>
                </w:tcPr>
                <w:p w:rsidR="00013EB8" w:rsidRPr="00922AAD" w:rsidRDefault="00013EB8" w:rsidP="005604B8">
                  <w:pPr>
                    <w:widowControl w:val="0"/>
                  </w:pPr>
                  <w:r w:rsidRPr="00922AAD">
                    <w:t>PB2</w:t>
                  </w:r>
                </w:p>
              </w:tc>
            </w:tr>
            <w:tr w:rsidR="00013EB8" w:rsidRPr="00922AAD">
              <w:tc>
                <w:tcPr>
                  <w:tcW w:w="6535" w:type="dxa"/>
                </w:tcPr>
                <w:p w:rsidR="00013EB8" w:rsidRPr="00922AAD" w:rsidRDefault="00013EB8">
                  <w:pPr>
                    <w:pStyle w:val="Header"/>
                    <w:widowControl w:val="0"/>
                    <w:tabs>
                      <w:tab w:val="clear" w:pos="4320"/>
                      <w:tab w:val="clear" w:pos="8640"/>
                    </w:tabs>
                  </w:pPr>
                  <w:r w:rsidRPr="00922AAD">
                    <w:t xml:space="preserve">bilateral blindness under L, M, N, </w:t>
                  </w:r>
                  <w:r w:rsidRPr="00922AAD">
                    <w:rPr>
                      <w:u w:val="single"/>
                    </w:rPr>
                    <w:t>OR</w:t>
                  </w:r>
                  <w:r w:rsidRPr="00922AAD">
                    <w:t xml:space="preserve"> one at 5/200 &amp; one w/LPO, </w:t>
                  </w:r>
                  <w:r w:rsidRPr="00922AAD">
                    <w:rPr>
                      <w:u w:val="single"/>
                    </w:rPr>
                    <w:t>OR</w:t>
                  </w:r>
                  <w:r w:rsidRPr="00922AAD">
                    <w:t xml:space="preserve"> one at 5/200 &amp; one w/NLP, </w:t>
                  </w:r>
                  <w:r w:rsidRPr="00922AAD">
                    <w:rPr>
                      <w:u w:val="single"/>
                    </w:rPr>
                    <w:t>OR</w:t>
                  </w:r>
                  <w:r w:rsidRPr="00922AAD">
                    <w:t xml:space="preserve"> one w/LPO &amp; one w/NLP, </w:t>
                  </w:r>
                  <w:r w:rsidRPr="00922AAD">
                    <w:rPr>
                      <w:b/>
                    </w:rPr>
                    <w:t>&amp;</w:t>
                  </w:r>
                  <w:r w:rsidRPr="00922AAD">
                    <w:t xml:space="preserve"> bilateral deafness at 30% (only one ear has to be SC) = next higher, but no higher than O</w:t>
                  </w:r>
                </w:p>
              </w:tc>
              <w:tc>
                <w:tcPr>
                  <w:tcW w:w="1900" w:type="dxa"/>
                </w:tcPr>
                <w:p w:rsidR="00013EB8" w:rsidRPr="00922AAD" w:rsidRDefault="00013EB8">
                  <w:pPr>
                    <w:widowControl w:val="0"/>
                  </w:pPr>
                  <w:r w:rsidRPr="00922AAD">
                    <w:t xml:space="preserve">6061, 6062, 6063, 6064, 6065, </w:t>
                  </w:r>
                  <w:r w:rsidRPr="00922AAD">
                    <w:rPr>
                      <w:i/>
                      <w:iCs/>
                    </w:rPr>
                    <w:t>6080</w:t>
                  </w:r>
                  <w:r w:rsidRPr="00922AAD">
                    <w:t xml:space="preserve"> </w:t>
                  </w:r>
                  <w:r w:rsidRPr="00922AAD">
                    <w:rPr>
                      <w:b/>
                    </w:rPr>
                    <w:t>&amp;</w:t>
                  </w:r>
                  <w:r w:rsidRPr="00922AAD">
                    <w:rPr>
                      <w:bCs/>
                    </w:rPr>
                    <w:t xml:space="preserve"> 6100</w:t>
                  </w:r>
                </w:p>
              </w:tc>
              <w:tc>
                <w:tcPr>
                  <w:tcW w:w="1500" w:type="dxa"/>
                </w:tcPr>
                <w:p w:rsidR="00013EB8" w:rsidRPr="00922AAD" w:rsidRDefault="00013EB8" w:rsidP="005604B8">
                  <w:pPr>
                    <w:widowControl w:val="0"/>
                  </w:pPr>
                  <w:r w:rsidRPr="00922AAD">
                    <w:t>PB3</w:t>
                  </w:r>
                </w:p>
              </w:tc>
            </w:tr>
            <w:tr w:rsidR="00013EB8" w:rsidRPr="00922AAD">
              <w:tc>
                <w:tcPr>
                  <w:tcW w:w="6535" w:type="dxa"/>
                </w:tcPr>
                <w:p w:rsidR="00013EB8" w:rsidRPr="00922AAD" w:rsidRDefault="00013EB8">
                  <w:pPr>
                    <w:pStyle w:val="Header"/>
                    <w:widowControl w:val="0"/>
                    <w:tabs>
                      <w:tab w:val="clear" w:pos="4320"/>
                      <w:tab w:val="clear" w:pos="8640"/>
                    </w:tabs>
                  </w:pPr>
                  <w:r w:rsidRPr="00922AAD">
                    <w:t>bilateral blindness under L, M, N</w:t>
                  </w:r>
                  <w:r w:rsidRPr="00922AAD">
                    <w:rPr>
                      <w:u w:val="single"/>
                    </w:rPr>
                    <w:t xml:space="preserve"> OR</w:t>
                  </w:r>
                  <w:r w:rsidRPr="00922AAD">
                    <w:t xml:space="preserve"> one at 5/200 &amp; one w/LPO, </w:t>
                  </w:r>
                  <w:r w:rsidRPr="00922AAD">
                    <w:rPr>
                      <w:u w:val="single"/>
                    </w:rPr>
                    <w:t>OR</w:t>
                  </w:r>
                  <w:r w:rsidRPr="00922AAD">
                    <w:t xml:space="preserve"> one at 5/200 &amp; one w/NLP, </w:t>
                  </w:r>
                  <w:r w:rsidRPr="00922AAD">
                    <w:rPr>
                      <w:u w:val="single"/>
                    </w:rPr>
                    <w:t>OR</w:t>
                  </w:r>
                  <w:r w:rsidRPr="00922AAD">
                    <w:t xml:space="preserve"> one w/LPO &amp; one w/NLP, </w:t>
                  </w:r>
                  <w:r w:rsidRPr="00922AAD">
                    <w:rPr>
                      <w:b/>
                    </w:rPr>
                    <w:t>PLUS</w:t>
                  </w:r>
                  <w:r w:rsidRPr="00922AAD">
                    <w:t xml:space="preserve"> one hand</w:t>
                  </w:r>
                  <w:r w:rsidRPr="00922AAD">
                    <w:rPr>
                      <w:i/>
                    </w:rPr>
                    <w:t xml:space="preserve">, </w:t>
                  </w:r>
                  <w:r w:rsidRPr="00922AAD">
                    <w:rPr>
                      <w:u w:val="single"/>
                    </w:rPr>
                    <w:t>OR</w:t>
                  </w:r>
                  <w:r w:rsidRPr="00922AAD">
                    <w:t xml:space="preserve"> </w:t>
                  </w:r>
                  <w:r w:rsidRPr="00922AAD">
                    <w:rPr>
                      <w:b/>
                    </w:rPr>
                    <w:t>PLUS</w:t>
                  </w:r>
                  <w:r w:rsidRPr="00922AAD">
                    <w:t xml:space="preserve"> one foot (w/combined to 50%), </w:t>
                  </w:r>
                  <w:r w:rsidRPr="00922AAD">
                    <w:rPr>
                      <w:u w:val="single"/>
                    </w:rPr>
                    <w:t>OR</w:t>
                  </w:r>
                  <w:r w:rsidRPr="00922AAD">
                    <w:t xml:space="preserve"> </w:t>
                  </w:r>
                  <w:r w:rsidRPr="00922AAD">
                    <w:rPr>
                      <w:b/>
                    </w:rPr>
                    <w:t>PLUS</w:t>
                  </w:r>
                  <w:r w:rsidRPr="00922AAD">
                    <w:t xml:space="preserve"> one foot at &lt;50% = next higher, but no higher than O</w:t>
                  </w:r>
                </w:p>
              </w:tc>
              <w:tc>
                <w:tcPr>
                  <w:tcW w:w="1900" w:type="dxa"/>
                </w:tcPr>
                <w:p w:rsidR="00013EB8" w:rsidRPr="00922AAD" w:rsidRDefault="00013EB8">
                  <w:pPr>
                    <w:widowControl w:val="0"/>
                  </w:pPr>
                  <w:r w:rsidRPr="00922AAD">
                    <w:t xml:space="preserve">6061, 6062, 6063, 6064, 6065, </w:t>
                  </w:r>
                  <w:r w:rsidRPr="00922AAD">
                    <w:rPr>
                      <w:i/>
                      <w:iCs/>
                    </w:rPr>
                    <w:t>6080</w:t>
                  </w:r>
                  <w:r w:rsidRPr="00922AAD">
                    <w:t xml:space="preserve">, </w:t>
                  </w:r>
                  <w:r w:rsidRPr="00922AAD">
                    <w:rPr>
                      <w:b/>
                    </w:rPr>
                    <w:t>&amp;</w:t>
                  </w:r>
                  <w:r w:rsidRPr="00922AAD">
                    <w:rPr>
                      <w:bCs/>
                    </w:rPr>
                    <w:t xml:space="preserve"> </w:t>
                  </w:r>
                  <w:r w:rsidRPr="00922AAD">
                    <w:t xml:space="preserve">5125, 5126, 5127, 5128, 5129, 5130, </w:t>
                  </w:r>
                  <w:r w:rsidRPr="00922AAD">
                    <w:rPr>
                      <w:i/>
                      <w:iCs/>
                    </w:rPr>
                    <w:t>(5131)</w:t>
                  </w:r>
                  <w:r w:rsidRPr="00922AAD">
                    <w:t xml:space="preserve"> </w:t>
                  </w:r>
                  <w:r w:rsidRPr="00922AAD">
                    <w:rPr>
                      <w:b/>
                      <w:bCs/>
                    </w:rPr>
                    <w:t>OR</w:t>
                  </w:r>
                  <w:r w:rsidRPr="00922AAD">
                    <w:t xml:space="preserve"> 5166, 5167</w:t>
                  </w:r>
                </w:p>
              </w:tc>
              <w:tc>
                <w:tcPr>
                  <w:tcW w:w="1500" w:type="dxa"/>
                </w:tcPr>
                <w:p w:rsidR="00013EB8" w:rsidRPr="00922AAD" w:rsidRDefault="00013EB8" w:rsidP="005604B8">
                  <w:pPr>
                    <w:widowControl w:val="0"/>
                  </w:pPr>
                  <w:r w:rsidRPr="00922AAD">
                    <w:t>PB4 (hand) PB5 (foot &amp; at 50%) or P3 (foot at &lt;50%)</w:t>
                  </w:r>
                </w:p>
              </w:tc>
            </w:tr>
          </w:tbl>
          <w:p w:rsidR="00013EB8" w:rsidRPr="00922AAD" w:rsidRDefault="00013EB8">
            <w:pPr>
              <w:widowControl w:val="0"/>
              <w:ind w:left="340"/>
            </w:pPr>
            <w:r w:rsidRPr="00922AAD">
              <w:t>AND</w:t>
            </w:r>
          </w:p>
          <w:tbl>
            <w:tblPr>
              <w:tblW w:w="9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5"/>
              <w:gridCol w:w="1900"/>
              <w:gridCol w:w="1500"/>
            </w:tblGrid>
            <w:tr w:rsidR="00013EB8" w:rsidRPr="00922AAD">
              <w:tc>
                <w:tcPr>
                  <w:tcW w:w="6535" w:type="dxa"/>
                </w:tcPr>
                <w:p w:rsidR="00013EB8" w:rsidRPr="00A256DA" w:rsidRDefault="00013EB8" w:rsidP="00587BA0">
                  <w:pPr>
                    <w:pStyle w:val="Header"/>
                    <w:widowControl w:val="0"/>
                    <w:tabs>
                      <w:tab w:val="clear" w:pos="4320"/>
                      <w:tab w:val="clear" w:pos="8640"/>
                    </w:tabs>
                  </w:pPr>
                  <w:r w:rsidRPr="00922AAD">
                    <w:t xml:space="preserve">additional 50% = </w:t>
                  </w:r>
                  <w:r w:rsidR="00587BA0" w:rsidRPr="00922AAD">
                    <w:t>half step</w:t>
                  </w:r>
                  <w:r w:rsidRPr="00922AAD">
                    <w:t xml:space="preserve">, but no higher than O </w:t>
                  </w:r>
                  <w:r w:rsidRPr="00922AAD">
                    <w:rPr>
                      <w:i/>
                      <w:iCs/>
                    </w:rPr>
                    <w:t>(can only use 50% or 100%, not both)</w:t>
                  </w:r>
                  <w:r w:rsidR="00A256DA">
                    <w:rPr>
                      <w:iCs/>
                    </w:rPr>
                    <w:t xml:space="preserve"> – </w:t>
                  </w:r>
                  <w:r w:rsidR="0064753A">
                    <w:rPr>
                      <w:iCs/>
                    </w:rPr>
                    <w:t>*</w:t>
                  </w:r>
                  <w:r w:rsidR="00A256DA" w:rsidRPr="0064753A">
                    <w:rPr>
                      <w:i/>
                      <w:iCs/>
                    </w:rPr>
                    <w:t>add</w:t>
                  </w:r>
                  <w:r w:rsidR="00965B34" w:rsidRPr="0064753A">
                    <w:rPr>
                      <w:i/>
                      <w:iCs/>
                    </w:rPr>
                    <w:t>itional</w:t>
                  </w:r>
                  <w:r w:rsidR="00A256DA" w:rsidRPr="0064753A">
                    <w:rPr>
                      <w:i/>
                      <w:iCs/>
                    </w:rPr>
                    <w:t xml:space="preserve"> 50</w:t>
                  </w:r>
                  <w:r w:rsidR="0064753A" w:rsidRPr="0064753A">
                    <w:rPr>
                      <w:i/>
                      <w:iCs/>
                    </w:rPr>
                    <w:t xml:space="preserve">% disability must be </w:t>
                  </w:r>
                  <w:r w:rsidR="006B2A5A" w:rsidRPr="006B2A5A">
                    <w:rPr>
                      <w:b/>
                      <w:i/>
                      <w:iCs/>
                      <w:highlight w:val="cyan"/>
                    </w:rPr>
                    <w:t>PERMANENT</w:t>
                  </w:r>
                  <w:r w:rsidR="005604B8">
                    <w:rPr>
                      <w:i/>
                      <w:iCs/>
                    </w:rPr>
                    <w:t>, disability has to be separate &amp; distinct from L+ disabilities, but can be the same as the K disability</w:t>
                  </w:r>
                  <w:r w:rsidR="00C0129F">
                    <w:rPr>
                      <w:i/>
                      <w:iCs/>
                    </w:rPr>
                    <w:t>; 3.350</w:t>
                  </w:r>
                  <w:r w:rsidR="00451EB3">
                    <w:rPr>
                      <w:i/>
                      <w:iCs/>
                    </w:rPr>
                    <w:t xml:space="preserve">(f)(3), </w:t>
                  </w:r>
                  <w:r w:rsidR="00956B14">
                    <w:rPr>
                      <w:b/>
                      <w:iCs/>
                    </w:rPr>
                    <w:t>IV.ii.2.H.6</w:t>
                  </w:r>
                </w:p>
              </w:tc>
              <w:tc>
                <w:tcPr>
                  <w:tcW w:w="1900" w:type="dxa"/>
                </w:tcPr>
                <w:p w:rsidR="00013EB8" w:rsidRPr="00922AAD" w:rsidRDefault="00013EB8">
                  <w:pPr>
                    <w:widowControl w:val="0"/>
                  </w:pPr>
                </w:p>
              </w:tc>
              <w:tc>
                <w:tcPr>
                  <w:tcW w:w="1500" w:type="dxa"/>
                </w:tcPr>
                <w:p w:rsidR="00013EB8" w:rsidRPr="00922AAD" w:rsidRDefault="005604B8">
                  <w:pPr>
                    <w:widowControl w:val="0"/>
                  </w:pPr>
                  <w:r>
                    <w:t>P</w:t>
                  </w:r>
                  <w:r w:rsidR="00013EB8" w:rsidRPr="00922AAD">
                    <w:t>1</w:t>
                  </w:r>
                </w:p>
              </w:tc>
            </w:tr>
            <w:tr w:rsidR="00013EB8" w:rsidRPr="00922AAD" w:rsidTr="00123C7C">
              <w:trPr>
                <w:trHeight w:val="593"/>
              </w:trPr>
              <w:tc>
                <w:tcPr>
                  <w:tcW w:w="6535" w:type="dxa"/>
                </w:tcPr>
                <w:p w:rsidR="00013EB8" w:rsidRPr="00922AAD" w:rsidRDefault="00013EB8">
                  <w:pPr>
                    <w:pStyle w:val="Header"/>
                    <w:widowControl w:val="0"/>
                    <w:tabs>
                      <w:tab w:val="clear" w:pos="4320"/>
                      <w:tab w:val="clear" w:pos="8640"/>
                    </w:tabs>
                  </w:pPr>
                  <w:r w:rsidRPr="00922AAD">
                    <w:t>additional 100% = next higher, but no higher than O</w:t>
                  </w:r>
                </w:p>
                <w:p w:rsidR="00013EB8" w:rsidRPr="00A256DA" w:rsidRDefault="00013EB8">
                  <w:pPr>
                    <w:pStyle w:val="Header"/>
                    <w:widowControl w:val="0"/>
                    <w:tabs>
                      <w:tab w:val="clear" w:pos="4320"/>
                      <w:tab w:val="clear" w:pos="8640"/>
                    </w:tabs>
                    <w:rPr>
                      <w:iCs/>
                    </w:rPr>
                  </w:pPr>
                  <w:r w:rsidRPr="00922AAD">
                    <w:rPr>
                      <w:i/>
                      <w:iCs/>
                    </w:rPr>
                    <w:t>(4.16 applies; cannot use with temporary 100% under paragraph 30) (can only use 50% or 100%, not both)</w:t>
                  </w:r>
                  <w:r w:rsidR="00A256DA">
                    <w:rPr>
                      <w:iCs/>
                    </w:rPr>
                    <w:t xml:space="preserve"> – </w:t>
                  </w:r>
                  <w:r w:rsidR="0064753A">
                    <w:rPr>
                      <w:iCs/>
                    </w:rPr>
                    <w:t>*</w:t>
                  </w:r>
                  <w:r w:rsidR="00A256DA" w:rsidRPr="0064753A">
                    <w:rPr>
                      <w:i/>
                      <w:iCs/>
                    </w:rPr>
                    <w:t>add</w:t>
                  </w:r>
                  <w:r w:rsidR="00965B34" w:rsidRPr="0064753A">
                    <w:rPr>
                      <w:i/>
                      <w:iCs/>
                    </w:rPr>
                    <w:t>itional</w:t>
                  </w:r>
                  <w:r w:rsidR="00A256DA" w:rsidRPr="0064753A">
                    <w:rPr>
                      <w:i/>
                      <w:iCs/>
                    </w:rPr>
                    <w:t xml:space="preserve"> 100%</w:t>
                  </w:r>
                  <w:r w:rsidR="00A256DA">
                    <w:rPr>
                      <w:iCs/>
                    </w:rPr>
                    <w:t xml:space="preserve"> </w:t>
                  </w:r>
                  <w:r w:rsidR="0064753A" w:rsidRPr="0064753A">
                    <w:rPr>
                      <w:i/>
                      <w:iCs/>
                    </w:rPr>
                    <w:t xml:space="preserve">disability must be </w:t>
                  </w:r>
                  <w:r w:rsidR="006B2A5A" w:rsidRPr="006B2A5A">
                    <w:rPr>
                      <w:b/>
                      <w:i/>
                      <w:iCs/>
                      <w:highlight w:val="cyan"/>
                    </w:rPr>
                    <w:t>PERMANENT</w:t>
                  </w:r>
                  <w:r w:rsidR="005604B8">
                    <w:rPr>
                      <w:i/>
                      <w:iCs/>
                    </w:rPr>
                    <w:t>, disability has to be separate &amp; distinct from L+ disabilities, but can be the same as the K disability</w:t>
                  </w:r>
                  <w:r w:rsidR="00451EB3">
                    <w:rPr>
                      <w:i/>
                      <w:iCs/>
                    </w:rPr>
                    <w:t xml:space="preserve">; 3.350(f)(4), </w:t>
                  </w:r>
                  <w:r w:rsidR="00956B14">
                    <w:rPr>
                      <w:b/>
                      <w:iCs/>
                    </w:rPr>
                    <w:t>IV.ii.2.H.6</w:t>
                  </w:r>
                </w:p>
              </w:tc>
              <w:tc>
                <w:tcPr>
                  <w:tcW w:w="1900" w:type="dxa"/>
                </w:tcPr>
                <w:p w:rsidR="00013EB8" w:rsidRPr="00922AAD" w:rsidRDefault="00013EB8">
                  <w:pPr>
                    <w:widowControl w:val="0"/>
                  </w:pPr>
                </w:p>
              </w:tc>
              <w:tc>
                <w:tcPr>
                  <w:tcW w:w="1500" w:type="dxa"/>
                </w:tcPr>
                <w:p w:rsidR="00013EB8" w:rsidRPr="00922AAD" w:rsidRDefault="00013EB8" w:rsidP="005604B8">
                  <w:pPr>
                    <w:widowControl w:val="0"/>
                  </w:pPr>
                  <w:r w:rsidRPr="00922AAD">
                    <w:t>P2</w:t>
                  </w:r>
                </w:p>
              </w:tc>
            </w:tr>
            <w:tr w:rsidR="00013EB8" w:rsidRPr="00922AAD">
              <w:tc>
                <w:tcPr>
                  <w:tcW w:w="6535" w:type="dxa"/>
                </w:tcPr>
                <w:p w:rsidR="00013EB8" w:rsidRPr="00922AAD" w:rsidRDefault="00013EB8">
                  <w:pPr>
                    <w:pStyle w:val="Header"/>
                    <w:widowControl w:val="0"/>
                    <w:tabs>
                      <w:tab w:val="clear" w:pos="4320"/>
                      <w:tab w:val="clear" w:pos="8640"/>
                    </w:tabs>
                  </w:pPr>
                  <w:r w:rsidRPr="00922AAD">
                    <w:t>3 extremities = next higher, but no more than what is stated in P</w:t>
                  </w:r>
                </w:p>
              </w:tc>
              <w:tc>
                <w:tcPr>
                  <w:tcW w:w="1900" w:type="dxa"/>
                </w:tcPr>
                <w:p w:rsidR="00013EB8" w:rsidRPr="00922AAD" w:rsidRDefault="00013EB8">
                  <w:pPr>
                    <w:widowControl w:val="0"/>
                  </w:pPr>
                </w:p>
              </w:tc>
              <w:tc>
                <w:tcPr>
                  <w:tcW w:w="1500" w:type="dxa"/>
                </w:tcPr>
                <w:p w:rsidR="00013EB8" w:rsidRPr="00922AAD" w:rsidRDefault="00013EB8" w:rsidP="005604B8">
                  <w:pPr>
                    <w:widowControl w:val="0"/>
                  </w:pPr>
                  <w:r w:rsidRPr="00922AAD">
                    <w:t>P3</w:t>
                  </w:r>
                </w:p>
              </w:tc>
            </w:tr>
          </w:tbl>
          <w:p w:rsidR="00013EB8" w:rsidRDefault="00013EB8" w:rsidP="00F26B65">
            <w:pPr>
              <w:widowControl w:val="0"/>
              <w:spacing w:after="120"/>
              <w:ind w:left="-30"/>
              <w:rPr>
                <w:bCs/>
              </w:rPr>
            </w:pPr>
          </w:p>
          <w:p w:rsidR="00F26B65" w:rsidRPr="00F26B65" w:rsidRDefault="00D571C5" w:rsidP="00FE5436">
            <w:pPr>
              <w:pStyle w:val="NoSpacing"/>
              <w:numPr>
                <w:ilvl w:val="0"/>
                <w:numId w:val="54"/>
              </w:numPr>
              <w:rPr>
                <w:rFonts w:ascii="Arial" w:hAnsi="Arial"/>
                <w:color w:val="000000"/>
                <w:sz w:val="20"/>
                <w:szCs w:val="20"/>
              </w:rPr>
            </w:pPr>
            <w:hyperlink r:id="rId689" w:history="1">
              <w:r w:rsidR="00F26B65" w:rsidRPr="00F26B65">
                <w:rPr>
                  <w:rStyle w:val="Hyperlink"/>
                  <w:rFonts w:ascii="Arial" w:hAnsi="Arial"/>
                  <w:b/>
                  <w:i/>
                  <w:sz w:val="20"/>
                  <w:szCs w:val="20"/>
                </w:rPr>
                <w:t xml:space="preserve">November 2014 Rating </w:t>
              </w:r>
              <w:r w:rsidR="00FF4E63">
                <w:rPr>
                  <w:rStyle w:val="Hyperlink"/>
                  <w:rFonts w:ascii="Arial" w:hAnsi="Arial"/>
                  <w:b/>
                  <w:i/>
                  <w:sz w:val="20"/>
                  <w:szCs w:val="20"/>
                </w:rPr>
                <w:t>Quality Call Notes</w:t>
              </w:r>
            </w:hyperlink>
            <w:r w:rsidR="00F26B65" w:rsidRPr="00F26B65">
              <w:rPr>
                <w:rStyle w:val="Hyperlink"/>
                <w:rFonts w:ascii="Arial" w:hAnsi="Arial"/>
                <w:sz w:val="20"/>
                <w:szCs w:val="20"/>
                <w:u w:val="none"/>
              </w:rPr>
              <w:t xml:space="preserve"> </w:t>
            </w:r>
            <w:r w:rsidR="00F26B65" w:rsidRPr="00F26B65">
              <w:rPr>
                <w:rFonts w:ascii="Arial" w:hAnsi="Arial"/>
                <w:sz w:val="20"/>
                <w:szCs w:val="20"/>
              </w:rPr>
              <w:t xml:space="preserve">– </w:t>
            </w:r>
            <w:r w:rsidR="00F26B65" w:rsidRPr="00F26B65">
              <w:rPr>
                <w:rFonts w:ascii="Arial" w:hAnsi="Arial"/>
                <w:color w:val="000000"/>
                <w:sz w:val="20"/>
                <w:szCs w:val="20"/>
              </w:rPr>
              <w:t>Failure to grant SMC P1 is still a common error.  The criteria per 38 CFR 3.350(f)(3) requires:</w:t>
            </w:r>
          </w:p>
          <w:p w:rsidR="00F26B65" w:rsidRPr="00F26B65" w:rsidRDefault="00F26B65" w:rsidP="00411618">
            <w:pPr>
              <w:pStyle w:val="NoSpacing"/>
              <w:numPr>
                <w:ilvl w:val="1"/>
                <w:numId w:val="54"/>
              </w:numPr>
              <w:rPr>
                <w:rFonts w:ascii="Arial" w:hAnsi="Arial"/>
                <w:color w:val="000000"/>
                <w:sz w:val="20"/>
                <w:szCs w:val="20"/>
              </w:rPr>
            </w:pPr>
            <w:r w:rsidRPr="00F26B65">
              <w:rPr>
                <w:rFonts w:ascii="Arial" w:hAnsi="Arial"/>
                <w:color w:val="000000"/>
                <w:sz w:val="20"/>
                <w:szCs w:val="20"/>
              </w:rPr>
              <w:t>Additional independent 50% disabilities</w:t>
            </w:r>
          </w:p>
          <w:p w:rsidR="00F26B65" w:rsidRPr="00F26B65" w:rsidRDefault="00F26B65" w:rsidP="00411618">
            <w:pPr>
              <w:pStyle w:val="NoSpacing"/>
              <w:numPr>
                <w:ilvl w:val="1"/>
                <w:numId w:val="54"/>
              </w:numPr>
              <w:rPr>
                <w:rFonts w:ascii="Arial" w:hAnsi="Arial"/>
                <w:color w:val="000000"/>
                <w:sz w:val="20"/>
                <w:szCs w:val="20"/>
              </w:rPr>
            </w:pPr>
            <w:r w:rsidRPr="00F26B65">
              <w:rPr>
                <w:rFonts w:ascii="Arial" w:hAnsi="Arial"/>
                <w:color w:val="000000"/>
                <w:sz w:val="20"/>
                <w:szCs w:val="20"/>
              </w:rPr>
              <w:t>Disabilities must be separate and distinct from disabilities compensated SMC L – N ½</w:t>
            </w:r>
          </w:p>
          <w:p w:rsidR="00F26B65" w:rsidRPr="00F26B65" w:rsidRDefault="00F26B65" w:rsidP="00411618">
            <w:pPr>
              <w:pStyle w:val="NoSpacing"/>
              <w:numPr>
                <w:ilvl w:val="1"/>
                <w:numId w:val="54"/>
              </w:numPr>
              <w:rPr>
                <w:rFonts w:ascii="Arial" w:hAnsi="Arial"/>
                <w:color w:val="000000"/>
                <w:sz w:val="20"/>
                <w:szCs w:val="20"/>
              </w:rPr>
            </w:pPr>
            <w:r w:rsidRPr="00F26B65">
              <w:rPr>
                <w:rFonts w:ascii="Arial" w:hAnsi="Arial"/>
                <w:color w:val="000000"/>
                <w:sz w:val="20"/>
                <w:szCs w:val="20"/>
              </w:rPr>
              <w:t>SMC K disabilities may be considered</w:t>
            </w:r>
          </w:p>
          <w:p w:rsidR="00F26B65" w:rsidRPr="00F26B65" w:rsidRDefault="00F26B65" w:rsidP="00411618">
            <w:pPr>
              <w:pStyle w:val="NoSpacing"/>
              <w:numPr>
                <w:ilvl w:val="1"/>
                <w:numId w:val="54"/>
              </w:numPr>
              <w:spacing w:after="120"/>
              <w:rPr>
                <w:rFonts w:ascii="Arial" w:hAnsi="Arial"/>
                <w:color w:val="000000"/>
                <w:sz w:val="20"/>
                <w:szCs w:val="20"/>
              </w:rPr>
            </w:pPr>
            <w:r w:rsidRPr="00F26B65">
              <w:rPr>
                <w:rFonts w:ascii="Arial" w:hAnsi="Arial"/>
                <w:color w:val="000000"/>
                <w:sz w:val="20"/>
                <w:szCs w:val="20"/>
              </w:rPr>
              <w:t xml:space="preserve">Is only granted </w:t>
            </w:r>
            <w:r w:rsidRPr="00F26B65">
              <w:rPr>
                <w:rFonts w:ascii="Arial" w:hAnsi="Arial"/>
                <w:b/>
                <w:color w:val="000000"/>
                <w:sz w:val="20"/>
                <w:szCs w:val="20"/>
              </w:rPr>
              <w:t>once</w:t>
            </w:r>
            <w:r w:rsidRPr="00F26B65">
              <w:rPr>
                <w:rFonts w:ascii="Arial" w:hAnsi="Arial"/>
                <w:color w:val="000000"/>
                <w:sz w:val="20"/>
                <w:szCs w:val="20"/>
              </w:rPr>
              <w:t xml:space="preserve"> (per date) and </w:t>
            </w:r>
            <w:r w:rsidRPr="00F26B65">
              <w:rPr>
                <w:rFonts w:ascii="Arial" w:hAnsi="Arial"/>
                <w:b/>
                <w:color w:val="000000"/>
                <w:sz w:val="20"/>
                <w:szCs w:val="20"/>
              </w:rPr>
              <w:t>never</w:t>
            </w:r>
            <w:r w:rsidRPr="00F26B65">
              <w:rPr>
                <w:rFonts w:ascii="Arial" w:hAnsi="Arial"/>
                <w:color w:val="000000"/>
                <w:sz w:val="20"/>
                <w:szCs w:val="20"/>
              </w:rPr>
              <w:t xml:space="preserve"> with P2</w:t>
            </w:r>
          </w:p>
          <w:p w:rsidR="00F26B65" w:rsidRPr="00F26B65" w:rsidRDefault="00F26B65" w:rsidP="00C2315E">
            <w:pPr>
              <w:pStyle w:val="NoSpacing"/>
              <w:spacing w:after="120"/>
              <w:ind w:left="690"/>
              <w:rPr>
                <w:rFonts w:ascii="Arial" w:hAnsi="Arial"/>
                <w:color w:val="000000"/>
                <w:sz w:val="20"/>
                <w:szCs w:val="20"/>
              </w:rPr>
            </w:pPr>
            <w:r w:rsidRPr="00F26B65">
              <w:rPr>
                <w:rFonts w:ascii="Arial" w:hAnsi="Arial"/>
                <w:color w:val="000000"/>
                <w:sz w:val="20"/>
                <w:szCs w:val="20"/>
              </w:rPr>
              <w:t>There have been concerns in the past regarding whether or not the SMC calculator is at fault for the P1 errors.  However, the calculator functions properly as long as the data is input correctly.</w:t>
            </w:r>
          </w:p>
          <w:p w:rsidR="00F26B65" w:rsidRPr="00F26B65" w:rsidRDefault="00F26B65" w:rsidP="00C2315E">
            <w:pPr>
              <w:pStyle w:val="NoSpacing"/>
              <w:spacing w:after="120"/>
              <w:ind w:left="690" w:right="-180"/>
              <w:rPr>
                <w:rFonts w:ascii="Arial" w:hAnsi="Arial"/>
                <w:color w:val="000000"/>
                <w:sz w:val="20"/>
                <w:szCs w:val="20"/>
              </w:rPr>
            </w:pPr>
            <w:r w:rsidRPr="00F26B65">
              <w:rPr>
                <w:rFonts w:ascii="Arial" w:hAnsi="Arial"/>
                <w:color w:val="000000"/>
                <w:sz w:val="20"/>
                <w:szCs w:val="20"/>
              </w:rPr>
              <w:t>So, decision makers need to spend a little extra time reviewing the codesheet when SMC L or higher has been awarded.  If there are additional disabilities combining to 50% or higher, and it has not already been applied, the data should be correctly input into the SMC calculator, and the codesheet should be reviewed to ensure the data was correctly input.</w:t>
            </w:r>
          </w:p>
          <w:p w:rsidR="00A256DA" w:rsidRPr="00F26B65" w:rsidRDefault="00B27146" w:rsidP="00FE5436">
            <w:pPr>
              <w:pStyle w:val="ListParagraph"/>
              <w:numPr>
                <w:ilvl w:val="0"/>
                <w:numId w:val="54"/>
              </w:numPr>
              <w:spacing w:after="120"/>
              <w:rPr>
                <w:rFonts w:ascii="Arial" w:hAnsi="Arial"/>
                <w:sz w:val="20"/>
                <w:szCs w:val="20"/>
              </w:rPr>
            </w:pPr>
            <w:r w:rsidRPr="00F26B65">
              <w:rPr>
                <w:rFonts w:ascii="Arial" w:hAnsi="Arial"/>
                <w:i/>
                <w:iCs/>
                <w:sz w:val="20"/>
                <w:szCs w:val="20"/>
              </w:rPr>
              <w:t>from Carlos Rosario 12/1/14</w:t>
            </w:r>
            <w:r w:rsidRPr="00F26B65">
              <w:rPr>
                <w:rFonts w:ascii="Arial" w:hAnsi="Arial"/>
                <w:sz w:val="20"/>
                <w:szCs w:val="20"/>
              </w:rPr>
              <w:t xml:space="preserve"> -</w:t>
            </w:r>
          </w:p>
          <w:p w:rsidR="00A256DA" w:rsidRPr="00F26B65" w:rsidRDefault="00A256DA" w:rsidP="00C2315E">
            <w:pPr>
              <w:spacing w:after="120"/>
              <w:ind w:left="690"/>
            </w:pPr>
            <w:r w:rsidRPr="00F26B65">
              <w:t>In reference to SMC L and above, 38 CFR 3.350(f)(3) and (f)(4) allow us to can grant a half step or a full step for additional independent disabilities 50 percent or more, and for an additional independent disability evaluated at 100 percent. However, the disabilities must be permanent.</w:t>
            </w:r>
          </w:p>
          <w:p w:rsidR="00A256DA" w:rsidRPr="00F26B65" w:rsidRDefault="00A256DA" w:rsidP="00C2315E">
            <w:pPr>
              <w:spacing w:after="120"/>
              <w:ind w:left="690"/>
            </w:pPr>
            <w:r w:rsidRPr="00F26B65">
              <w:t>For example:</w:t>
            </w:r>
          </w:p>
          <w:p w:rsidR="00A256DA" w:rsidRPr="00F26B65" w:rsidRDefault="00A256DA" w:rsidP="00C2315E">
            <w:pPr>
              <w:ind w:left="690"/>
            </w:pPr>
            <w:r w:rsidRPr="00F26B65">
              <w:t>1. The veteran has LOU of both feet and there is a separate single 100% for prostate cancer.  The prostate cancer has a future exam.</w:t>
            </w:r>
          </w:p>
          <w:p w:rsidR="00A256DA" w:rsidRPr="00AF5C12" w:rsidRDefault="00A256DA" w:rsidP="00C2315E">
            <w:pPr>
              <w:spacing w:after="120"/>
              <w:ind w:left="690"/>
              <w:rPr>
                <w:i/>
              </w:rPr>
            </w:pPr>
            <w:r w:rsidRPr="00AF5C12">
              <w:rPr>
                <w:i/>
              </w:rPr>
              <w:t xml:space="preserve">In this scenario you will assign SMC L for the LOU both feet but you cannot give a full step using the 100% for the prostate cancer because the evaluation for prostate cancer is not permanent. </w:t>
            </w:r>
          </w:p>
          <w:p w:rsidR="00A256DA" w:rsidRPr="00F26B65" w:rsidRDefault="00A256DA" w:rsidP="00C2315E">
            <w:pPr>
              <w:ind w:left="690"/>
            </w:pPr>
            <w:r w:rsidRPr="00F26B65">
              <w:t>2. The veteran has LOU of both feet and there is a separate single 60% for COPD. There is no future examination for COPD.</w:t>
            </w:r>
          </w:p>
          <w:p w:rsidR="00A256DA" w:rsidRPr="00AF5C12" w:rsidRDefault="00A256DA" w:rsidP="00C2315E">
            <w:pPr>
              <w:spacing w:after="120"/>
              <w:ind w:left="690"/>
              <w:rPr>
                <w:i/>
              </w:rPr>
            </w:pPr>
            <w:r w:rsidRPr="00AF5C12">
              <w:rPr>
                <w:i/>
              </w:rPr>
              <w:t>In this scenario you will assign SMC L1/2 for the LOU both feet and a ½ step increase because of the permanent evaluation for COPD which is more than 50%. SMC (L+P1) = L1/2</w:t>
            </w:r>
          </w:p>
          <w:p w:rsidR="00A256DA" w:rsidRPr="00F26B65" w:rsidRDefault="00A256DA" w:rsidP="00C2315E">
            <w:pPr>
              <w:ind w:left="690"/>
            </w:pPr>
            <w:r w:rsidRPr="00F26B65">
              <w:t xml:space="preserve">3. The veteran has LOU of both feet and there is a separate single 100% for CAD. There is no future examination for CAD. </w:t>
            </w:r>
          </w:p>
          <w:p w:rsidR="00A256DA" w:rsidRPr="00AF5C12" w:rsidRDefault="00B27146" w:rsidP="00C2315E">
            <w:pPr>
              <w:spacing w:after="120"/>
              <w:ind w:left="690"/>
              <w:rPr>
                <w:i/>
              </w:rPr>
            </w:pPr>
            <w:r w:rsidRPr="00AF5C12">
              <w:rPr>
                <w:i/>
              </w:rPr>
              <w:t>I</w:t>
            </w:r>
            <w:r w:rsidR="00A256DA" w:rsidRPr="00AF5C12">
              <w:rPr>
                <w:i/>
              </w:rPr>
              <w:t>n this scenario you will assign SMC M for the LOU of both feet and the full step increase because the permanen</w:t>
            </w:r>
            <w:r w:rsidR="002D0754">
              <w:rPr>
                <w:i/>
              </w:rPr>
              <w:t>t 100% CAD evaluation. SMC (L+P</w:t>
            </w:r>
            <w:r w:rsidR="00A256DA" w:rsidRPr="00AF5C12">
              <w:rPr>
                <w:i/>
              </w:rPr>
              <w:t>2) = M</w:t>
            </w:r>
          </w:p>
          <w:p w:rsidR="00A256DA" w:rsidRDefault="00A256DA">
            <w:pPr>
              <w:widowControl w:val="0"/>
              <w:ind w:left="-30"/>
              <w:rPr>
                <w:bCs/>
              </w:rPr>
            </w:pPr>
          </w:p>
          <w:p w:rsidR="000A7731" w:rsidRDefault="000A7731" w:rsidP="00043B7E">
            <w:pPr>
              <w:widowControl w:val="0"/>
              <w:pBdr>
                <w:top w:val="single" w:sz="4" w:space="1" w:color="auto"/>
                <w:left w:val="single" w:sz="4" w:space="4" w:color="auto"/>
                <w:bottom w:val="single" w:sz="4" w:space="1" w:color="auto"/>
                <w:right w:val="single" w:sz="4" w:space="4" w:color="auto"/>
              </w:pBdr>
              <w:ind w:left="150" w:right="240"/>
              <w:rPr>
                <w:bCs/>
              </w:rPr>
            </w:pPr>
            <w:r>
              <w:rPr>
                <w:bCs/>
              </w:rPr>
              <w:t>Rating Note:  Cannot apply P since 3.350(f)(3) says “</w:t>
            </w:r>
            <w:r>
              <w:t xml:space="preserve">the disability or disabilities independently ratable at 50 percent or more must be separate and distinct and involve different anatomical segments or bodily systems from the conditions establishing entitlement under 38 U.S.C. 1114 (l) through (n)” </w:t>
            </w:r>
            <w:r>
              <w:rPr>
                <w:bCs/>
              </w:rPr>
              <w:t>/ 3.350(f)(4) says “</w:t>
            </w:r>
            <w:r>
              <w:t>the single permanent disability independently ratable at 100 percent must be separate and distinct and involve different anatomical segments or bodily systems from the conditions establishing entitlement under 38 U.S.C. 1114 (l) through (n)</w:t>
            </w:r>
            <w:r w:rsidR="001946CC">
              <w:t>,”</w:t>
            </w:r>
            <w:r>
              <w:t xml:space="preserve"> and {} is not separate and distinct, involving different anatomical segments or bodily systems from {} / </w:t>
            </w:r>
            <w:r w:rsidRPr="00FE6148">
              <w:t>and none of the veteran’s disabilities are separate and distinct since they are all DM-related.</w:t>
            </w:r>
          </w:p>
          <w:p w:rsidR="000A7731" w:rsidRDefault="000A7731">
            <w:pPr>
              <w:widowControl w:val="0"/>
              <w:ind w:left="-30"/>
              <w:rPr>
                <w:bCs/>
              </w:rPr>
            </w:pPr>
          </w:p>
          <w:p w:rsidR="00AF18B1" w:rsidRPr="00AF18B1" w:rsidRDefault="00AF18B1">
            <w:pPr>
              <w:widowControl w:val="0"/>
              <w:ind w:left="-30"/>
              <w:rPr>
                <w:b/>
                <w:bCs/>
                <w:i/>
              </w:rPr>
            </w:pPr>
            <w:r w:rsidRPr="00AF18B1">
              <w:rPr>
                <w:b/>
                <w:bCs/>
                <w:i/>
              </w:rPr>
              <w:t>SMC Calculator questions translations:</w:t>
            </w:r>
          </w:p>
          <w:p w:rsidR="00AF18B1" w:rsidRDefault="00AF18B1">
            <w:pPr>
              <w:widowControl w:val="0"/>
              <w:ind w:left="-30"/>
              <w:rPr>
                <w:bCs/>
              </w:rPr>
            </w:pPr>
          </w:p>
          <w:p w:rsidR="00AF18B1" w:rsidRDefault="00AF18B1" w:rsidP="00AF18B1">
            <w:pPr>
              <w:rPr>
                <w:rFonts w:ascii="Calibri" w:hAnsi="Calibri"/>
              </w:rPr>
            </w:pPr>
            <w:r>
              <w:rPr>
                <w:noProof/>
              </w:rPr>
              <w:drawing>
                <wp:inline distT="0" distB="0" distL="0" distR="0" wp14:anchorId="4B88FA7D" wp14:editId="60FE7722">
                  <wp:extent cx="6562725" cy="19812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0">
                            <a:extLst>
                              <a:ext uri="{28A0092B-C50C-407E-A947-70E740481C1C}">
                                <a14:useLocalDpi xmlns:a14="http://schemas.microsoft.com/office/drawing/2010/main" val="0"/>
                              </a:ext>
                            </a:extLst>
                          </a:blip>
                          <a:srcRect/>
                          <a:stretch>
                            <a:fillRect/>
                          </a:stretch>
                        </pic:blipFill>
                        <pic:spPr bwMode="auto">
                          <a:xfrm>
                            <a:off x="0" y="0"/>
                            <a:ext cx="6562725" cy="1981200"/>
                          </a:xfrm>
                          <a:prstGeom prst="rect">
                            <a:avLst/>
                          </a:prstGeom>
                          <a:noFill/>
                          <a:ln>
                            <a:noFill/>
                          </a:ln>
                        </pic:spPr>
                      </pic:pic>
                    </a:graphicData>
                  </a:graphic>
                </wp:inline>
              </w:drawing>
            </w:r>
          </w:p>
          <w:p w:rsidR="00AF18B1" w:rsidRPr="00AF18B1" w:rsidRDefault="00AF18B1" w:rsidP="00AF18B1">
            <w:r w:rsidRPr="00AF18B1">
              <w:t>i.e. - Is P warranted at a full step for additional, permanent, separate &amp; distinct 100%?</w:t>
            </w:r>
          </w:p>
          <w:p w:rsidR="00AF18B1" w:rsidRDefault="00AF18B1" w:rsidP="00AF18B1">
            <w:pPr>
              <w:rPr>
                <w:rFonts w:ascii="Calibri" w:hAnsi="Calibri"/>
              </w:rPr>
            </w:pPr>
          </w:p>
          <w:p w:rsidR="00AF18B1" w:rsidRDefault="00AF18B1" w:rsidP="00AF18B1">
            <w:pPr>
              <w:rPr>
                <w:rFonts w:ascii="Calibri" w:hAnsi="Calibri"/>
              </w:rPr>
            </w:pPr>
            <w:r>
              <w:rPr>
                <w:noProof/>
              </w:rPr>
              <w:drawing>
                <wp:inline distT="0" distB="0" distL="0" distR="0" wp14:anchorId="1D2D3882" wp14:editId="6ADD8EF1">
                  <wp:extent cx="6772275" cy="18288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1">
                            <a:extLst>
                              <a:ext uri="{28A0092B-C50C-407E-A947-70E740481C1C}">
                                <a14:useLocalDpi xmlns:a14="http://schemas.microsoft.com/office/drawing/2010/main" val="0"/>
                              </a:ext>
                            </a:extLst>
                          </a:blip>
                          <a:srcRect/>
                          <a:stretch>
                            <a:fillRect/>
                          </a:stretch>
                        </pic:blipFill>
                        <pic:spPr bwMode="auto">
                          <a:xfrm>
                            <a:off x="0" y="0"/>
                            <a:ext cx="6772275" cy="1828800"/>
                          </a:xfrm>
                          <a:prstGeom prst="rect">
                            <a:avLst/>
                          </a:prstGeom>
                          <a:noFill/>
                          <a:ln>
                            <a:noFill/>
                          </a:ln>
                        </pic:spPr>
                      </pic:pic>
                    </a:graphicData>
                  </a:graphic>
                </wp:inline>
              </w:drawing>
            </w:r>
          </w:p>
          <w:p w:rsidR="00AF18B1" w:rsidRPr="00AF18B1" w:rsidRDefault="00AF18B1" w:rsidP="00AF18B1">
            <w:r>
              <w:rPr>
                <w:rFonts w:ascii="Calibri" w:hAnsi="Calibri"/>
              </w:rPr>
              <w:t>i.e. - Is P warranted at a half step for additional, permanent, separate &amp; distinct 50%?</w:t>
            </w:r>
          </w:p>
          <w:p w:rsidR="00AF18B1" w:rsidRDefault="00AF18B1">
            <w:pPr>
              <w:widowControl w:val="0"/>
              <w:ind w:left="-30"/>
              <w:rPr>
                <w:bCs/>
              </w:rPr>
            </w:pPr>
          </w:p>
          <w:p w:rsidR="00AF18B1" w:rsidRPr="00922AAD" w:rsidRDefault="00AF18B1">
            <w:pPr>
              <w:widowControl w:val="0"/>
              <w:ind w:left="-30"/>
              <w:rPr>
                <w:bCs/>
              </w:rPr>
            </w:pPr>
          </w:p>
          <w:p w:rsidR="00013EB8" w:rsidRPr="00922AAD" w:rsidRDefault="00013EB8">
            <w:pPr>
              <w:widowControl w:val="0"/>
              <w:ind w:left="-30"/>
            </w:pPr>
            <w:r w:rsidRPr="00922AAD">
              <w:rPr>
                <w:bCs/>
              </w:rPr>
              <w:t xml:space="preserve">(g) </w:t>
            </w:r>
            <w:r w:rsidRPr="00922AAD">
              <w:rPr>
                <w:b/>
              </w:rPr>
              <w:t xml:space="preserve">Q </w:t>
            </w:r>
            <w:r w:rsidRPr="00922AAD">
              <w:t>should be</w:t>
            </w:r>
            <w:r w:rsidR="005604B8">
              <w:t xml:space="preserve"> closed out if granting $ (Q1 or Q</w:t>
            </w:r>
            <w:r w:rsidRPr="00922AAD">
              <w:t>2)</w:t>
            </w:r>
          </w:p>
          <w:p w:rsidR="00013EB8" w:rsidRPr="00922AAD" w:rsidRDefault="00013EB8">
            <w:pPr>
              <w:pStyle w:val="Header"/>
              <w:widowControl w:val="0"/>
              <w:tabs>
                <w:tab w:val="clear" w:pos="4320"/>
                <w:tab w:val="clear" w:pos="8640"/>
              </w:tabs>
            </w:pPr>
          </w:p>
          <w:p w:rsidR="00013EB8" w:rsidRDefault="00013EB8" w:rsidP="00EE6BBC">
            <w:pPr>
              <w:widowControl w:val="0"/>
              <w:spacing w:after="120"/>
              <w:ind w:left="-30"/>
              <w:rPr>
                <w:i/>
              </w:rPr>
            </w:pPr>
            <w:r w:rsidRPr="00922AAD">
              <w:rPr>
                <w:bCs/>
              </w:rPr>
              <w:t xml:space="preserve">(h) </w:t>
            </w:r>
            <w:r w:rsidRPr="00922AAD">
              <w:rPr>
                <w:b/>
              </w:rPr>
              <w:t>R</w:t>
            </w:r>
            <w:r w:rsidRPr="00922AAD">
              <w:t xml:space="preserve"> for A&amp;A with N ½ + K, O or P </w:t>
            </w:r>
            <w:r w:rsidRPr="00922AAD">
              <w:rPr>
                <w:iCs/>
              </w:rPr>
              <w:t>(R1)</w:t>
            </w:r>
            <w:r w:rsidRPr="00922AAD">
              <w:rPr>
                <w:i/>
              </w:rPr>
              <w:t xml:space="preserve"> </w:t>
            </w:r>
            <w:r w:rsidRPr="00922AAD">
              <w:t xml:space="preserve">&amp; A&amp;A w/higher level of care w/ N ½ + K, O or P </w:t>
            </w:r>
            <w:r w:rsidRPr="00922AAD">
              <w:rPr>
                <w:iCs/>
              </w:rPr>
              <w:t>(R2)</w:t>
            </w:r>
            <w:r w:rsidRPr="00922AAD">
              <w:rPr>
                <w:i/>
              </w:rPr>
              <w:t xml:space="preserve"> </w:t>
            </w:r>
          </w:p>
          <w:p w:rsidR="005604B8" w:rsidRDefault="005604B8" w:rsidP="00EE6BBC">
            <w:pPr>
              <w:widowControl w:val="0"/>
              <w:spacing w:after="120"/>
              <w:ind w:left="330"/>
            </w:pPr>
            <w:r>
              <w:t xml:space="preserve">R1 </w:t>
            </w:r>
            <w:r w:rsidR="00EE6BBC">
              <w:t>- can use same disability twice</w:t>
            </w:r>
          </w:p>
          <w:p w:rsidR="005604B8" w:rsidRPr="00922AAD" w:rsidRDefault="005604B8" w:rsidP="005604B8">
            <w:pPr>
              <w:widowControl w:val="0"/>
              <w:ind w:left="330"/>
              <w:rPr>
                <w:i/>
              </w:rPr>
            </w:pPr>
            <w:r>
              <w:t xml:space="preserve">R2 </w:t>
            </w:r>
            <w:r w:rsidR="00EE3BCB">
              <w:t>–</w:t>
            </w:r>
            <w:r>
              <w:t xml:space="preserve"> </w:t>
            </w:r>
            <w:r w:rsidR="00EE3BCB">
              <w:t xml:space="preserve">need evidence (as of 1/5/16, no longer needs to be from </w:t>
            </w:r>
            <w:r w:rsidR="00CA1312">
              <w:t>treating or supervising licensed health care professional)</w:t>
            </w:r>
            <w:r w:rsidR="00EE3BCB">
              <w:t xml:space="preserve"> that veteran needs “ongoing daily skilled care &amp; in the absence of such care, would require care in a facility</w:t>
            </w:r>
            <w:r w:rsidR="00B621AA">
              <w:t>”</w:t>
            </w:r>
            <w:r w:rsidR="00EE3BCB">
              <w:t xml:space="preserve">; </w:t>
            </w:r>
            <w:r>
              <w:t>can be provided by family members if supervised by MD; if have no statement, need exam</w:t>
            </w:r>
            <w:r w:rsidR="00EE3BCB">
              <w:t xml:space="preserve">, </w:t>
            </w:r>
            <w:r w:rsidR="00EE3BCB" w:rsidRPr="00EE3BCB">
              <w:rPr>
                <w:b/>
              </w:rPr>
              <w:t>IV.ii.2.H.9.d</w:t>
            </w:r>
          </w:p>
          <w:p w:rsidR="00013EB8" w:rsidRPr="00922AAD" w:rsidRDefault="00013EB8">
            <w:pPr>
              <w:widowControl w:val="0"/>
              <w:rPr>
                <w:i/>
              </w:rPr>
            </w:pPr>
          </w:p>
          <w:p w:rsidR="00013EB8" w:rsidRPr="00922AAD" w:rsidRDefault="00013EB8" w:rsidP="00C2315E">
            <w:pPr>
              <w:widowControl w:val="0"/>
              <w:spacing w:after="120"/>
              <w:ind w:left="-29"/>
            </w:pPr>
            <w:r w:rsidRPr="00922AAD">
              <w:rPr>
                <w:bCs/>
              </w:rPr>
              <w:t xml:space="preserve">(i) </w:t>
            </w:r>
            <w:r w:rsidRPr="00922AAD">
              <w:rPr>
                <w:b/>
                <w:bCs/>
              </w:rPr>
              <w:t>S</w:t>
            </w:r>
            <w:r w:rsidRPr="00922AAD">
              <w:t xml:space="preserve"> for 10</w:t>
            </w:r>
            <w:r w:rsidR="005604B8">
              <w:t>0% + 60% (S1)</w:t>
            </w:r>
            <w:r w:rsidR="00CC7694">
              <w:t xml:space="preserve"> [per 3.350(i)(1) the additional 60% have to be separate &amp; distinct, involving different anatomical segments/body systems]</w:t>
            </w:r>
            <w:r w:rsidR="005604B8">
              <w:t>, or 100% + HB (S</w:t>
            </w:r>
            <w:r w:rsidRPr="00922AAD">
              <w:t xml:space="preserve">2) </w:t>
            </w:r>
          </w:p>
          <w:p w:rsidR="00E65F5A" w:rsidRPr="00645E67" w:rsidRDefault="00E65F5A" w:rsidP="00FE5436">
            <w:pPr>
              <w:pStyle w:val="BodyText"/>
              <w:widowControl w:val="0"/>
              <w:numPr>
                <w:ilvl w:val="0"/>
                <w:numId w:val="54"/>
              </w:numPr>
              <w:spacing w:after="120"/>
              <w:rPr>
                <w:sz w:val="20"/>
              </w:rPr>
            </w:pPr>
            <w:r w:rsidRPr="00DC7E42">
              <w:rPr>
                <w:b/>
                <w:iCs/>
                <w:sz w:val="20"/>
              </w:rPr>
              <w:t>III.iv.6.B.3.d</w:t>
            </w:r>
            <w:r w:rsidRPr="000B73BC">
              <w:rPr>
                <w:sz w:val="20"/>
              </w:rPr>
              <w:t xml:space="preserve"> – inferred </w:t>
            </w:r>
            <w:r w:rsidRPr="00A10388">
              <w:rPr>
                <w:sz w:val="20"/>
              </w:rPr>
              <w:t xml:space="preserve">issues, </w:t>
            </w:r>
            <w:r w:rsidRPr="00A10388">
              <w:rPr>
                <w:i/>
                <w:sz w:val="20"/>
              </w:rPr>
              <w:t>do not infer to deny</w:t>
            </w:r>
          </w:p>
          <w:p w:rsidR="008A7B29" w:rsidRPr="00645E67" w:rsidRDefault="008A7B29" w:rsidP="008A7B29">
            <w:pPr>
              <w:pStyle w:val="BodyText"/>
              <w:widowControl w:val="0"/>
              <w:numPr>
                <w:ilvl w:val="0"/>
                <w:numId w:val="54"/>
              </w:numPr>
              <w:spacing w:after="120"/>
              <w:rPr>
                <w:sz w:val="20"/>
              </w:rPr>
            </w:pPr>
            <w:r>
              <w:rPr>
                <w:b/>
                <w:iCs/>
                <w:sz w:val="20"/>
              </w:rPr>
              <w:t>III.iv.6.B.6.e</w:t>
            </w:r>
            <w:r w:rsidRPr="000B73BC">
              <w:rPr>
                <w:sz w:val="20"/>
              </w:rPr>
              <w:t xml:space="preserve"> – </w:t>
            </w:r>
            <w:r>
              <w:rPr>
                <w:sz w:val="20"/>
              </w:rPr>
              <w:t>defines anatomical segment per 3.350(f)(3) &amp; (4), it’s different from anatomical region in 4.55(b)</w:t>
            </w:r>
          </w:p>
          <w:p w:rsidR="00013EB8" w:rsidRPr="00922AAD" w:rsidRDefault="00013EB8" w:rsidP="00FE5436">
            <w:pPr>
              <w:widowControl w:val="0"/>
              <w:numPr>
                <w:ilvl w:val="0"/>
                <w:numId w:val="54"/>
              </w:numPr>
              <w:spacing w:after="120"/>
            </w:pPr>
            <w:r w:rsidRPr="00922AAD">
              <w:rPr>
                <w:b/>
                <w:bCs/>
                <w:i/>
                <w:iCs/>
              </w:rPr>
              <w:t>Howell v. Nicholson</w:t>
            </w:r>
            <w:r w:rsidRPr="00922AAD">
              <w:rPr>
                <w:i/>
                <w:iCs/>
              </w:rPr>
              <w:t xml:space="preserve"> </w:t>
            </w:r>
            <w:r w:rsidRPr="00922AAD">
              <w:t>(3/23/06)</w:t>
            </w:r>
            <w:r w:rsidRPr="00922AAD">
              <w:rPr>
                <w:i/>
                <w:iCs/>
              </w:rPr>
              <w:t xml:space="preserve"> </w:t>
            </w:r>
            <w:r w:rsidRPr="00922AAD">
              <w:t>- leaving one’s house for medical purposes does not preclude entitlement to SMC housebound benefits</w:t>
            </w:r>
          </w:p>
          <w:p w:rsidR="00013EB8" w:rsidRPr="00DA433D" w:rsidRDefault="00013EB8" w:rsidP="00FE5436">
            <w:pPr>
              <w:widowControl w:val="0"/>
              <w:numPr>
                <w:ilvl w:val="0"/>
                <w:numId w:val="54"/>
              </w:numPr>
              <w:spacing w:after="120"/>
              <w:rPr>
                <w:bCs/>
                <w:iCs/>
              </w:rPr>
            </w:pPr>
            <w:r w:rsidRPr="00C2315E">
              <w:rPr>
                <w:b/>
                <w:i/>
                <w:iCs/>
              </w:rPr>
              <w:t>Bradley v. Peake</w:t>
            </w:r>
            <w:r w:rsidRPr="00922AAD">
              <w:rPr>
                <w:b/>
              </w:rPr>
              <w:t xml:space="preserve"> </w:t>
            </w:r>
            <w:r w:rsidR="008E39DF" w:rsidRPr="00922AAD">
              <w:rPr>
                <w:bCs/>
              </w:rPr>
              <w:t>(11/</w:t>
            </w:r>
            <w:r w:rsidRPr="00922AAD">
              <w:rPr>
                <w:bCs/>
              </w:rPr>
              <w:t>26/08)</w:t>
            </w:r>
            <w:r w:rsidR="00D863AC" w:rsidRPr="00922AAD">
              <w:rPr>
                <w:bCs/>
              </w:rPr>
              <w:t xml:space="preserve"> </w:t>
            </w:r>
            <w:r w:rsidRPr="00922AAD">
              <w:rPr>
                <w:bCs/>
              </w:rPr>
              <w:t>&amp;</w:t>
            </w:r>
            <w:r w:rsidRPr="00922AAD">
              <w:rPr>
                <w:bCs/>
                <w:iCs/>
              </w:rPr>
              <w:t xml:space="preserve"> </w:t>
            </w:r>
            <w:r w:rsidRPr="00922AAD">
              <w:rPr>
                <w:b/>
              </w:rPr>
              <w:t xml:space="preserve">- </w:t>
            </w:r>
            <w:r w:rsidRPr="00922AAD">
              <w:rPr>
                <w:szCs w:val="22"/>
              </w:rPr>
              <w:t>S</w:t>
            </w:r>
            <w:r w:rsidR="00794220">
              <w:rPr>
                <w:szCs w:val="22"/>
              </w:rPr>
              <w:t xml:space="preserve">MC </w:t>
            </w:r>
            <w:r w:rsidRPr="00922AAD">
              <w:rPr>
                <w:szCs w:val="22"/>
              </w:rPr>
              <w:t xml:space="preserve">S based on IU if IU is based on a single disability and the veteran is housebound due to that disability, or has additional SC disabilities that combine to 60% or more.  4.16 does </w:t>
            </w:r>
            <w:r w:rsidRPr="00922AAD">
              <w:rPr>
                <w:szCs w:val="22"/>
                <w:u w:val="single"/>
              </w:rPr>
              <w:t>not</w:t>
            </w:r>
            <w:r w:rsidRPr="00922AAD">
              <w:rPr>
                <w:szCs w:val="22"/>
              </w:rPr>
              <w:t xml:space="preserve"> apply for the IU based on a single disability (it truly has to be a single disability).</w:t>
            </w:r>
            <w:r w:rsidR="00E65F5A">
              <w:rPr>
                <w:szCs w:val="22"/>
              </w:rPr>
              <w:t xml:space="preserve"> </w:t>
            </w:r>
            <w:r w:rsidR="00386772" w:rsidRPr="000F168A">
              <w:rPr>
                <w:b/>
              </w:rPr>
              <w:t>IV.ii.2.F.4.</w:t>
            </w:r>
            <w:r w:rsidR="00386772">
              <w:rPr>
                <w:b/>
              </w:rPr>
              <w:t xml:space="preserve">f &amp; </w:t>
            </w:r>
            <w:r w:rsidR="00386772">
              <w:rPr>
                <w:b/>
                <w:szCs w:val="22"/>
              </w:rPr>
              <w:t>IV.ii.2.H.10</w:t>
            </w:r>
          </w:p>
          <w:p w:rsidR="00013EB8" w:rsidRPr="00922AAD" w:rsidRDefault="00013EB8" w:rsidP="00FE5436">
            <w:pPr>
              <w:pStyle w:val="BodyTextIndent3"/>
              <w:widowControl w:val="0"/>
              <w:numPr>
                <w:ilvl w:val="0"/>
                <w:numId w:val="54"/>
              </w:numPr>
              <w:pBdr>
                <w:top w:val="none" w:sz="0" w:space="0" w:color="auto"/>
                <w:left w:val="none" w:sz="0" w:space="0" w:color="auto"/>
                <w:bottom w:val="none" w:sz="0" w:space="0" w:color="auto"/>
                <w:right w:val="none" w:sz="0" w:space="0" w:color="auto"/>
              </w:pBdr>
              <w:spacing w:after="120"/>
            </w:pPr>
            <w:r w:rsidRPr="00C2315E">
              <w:rPr>
                <w:b/>
                <w:bCs/>
                <w:i/>
                <w:iCs/>
              </w:rPr>
              <w:t xml:space="preserve">January 2011 </w:t>
            </w:r>
            <w:r w:rsidR="00EB6F0B" w:rsidRPr="00C2315E">
              <w:rPr>
                <w:b/>
                <w:bCs/>
                <w:i/>
                <w:iCs/>
              </w:rPr>
              <w:t>Compensation Service Bulletin (CSB)</w:t>
            </w:r>
            <w:r w:rsidRPr="00922AAD">
              <w:rPr>
                <w:i/>
                <w:iCs/>
              </w:rPr>
              <w:t xml:space="preserve"> - </w:t>
            </w:r>
            <w:r w:rsidRPr="00922AAD">
              <w:rPr>
                <w:b/>
                <w:bCs/>
                <w:u w:val="single"/>
              </w:rPr>
              <w:t>Special Monthly Compensation (SMC) under 38 U.S.C. § 1114(s) (Statutory Housebound) and a Total Rating Based Upon Individual Unemployability (TDIU)</w:t>
            </w:r>
          </w:p>
          <w:p w:rsidR="00013EB8" w:rsidRPr="00922AAD" w:rsidRDefault="00013EB8" w:rsidP="0064753A">
            <w:pPr>
              <w:widowControl w:val="0"/>
              <w:spacing w:after="120"/>
              <w:ind w:left="690"/>
              <w:rPr>
                <w:szCs w:val="24"/>
              </w:rPr>
            </w:pPr>
            <w:r w:rsidRPr="00922AAD">
              <w:rPr>
                <w:bCs/>
                <w:szCs w:val="24"/>
              </w:rPr>
              <w:t xml:space="preserve">The United States Court of Appeals for Veterans Claims (Court) held in Bradley v. Peake, 22 Vet. App. 280 (2008), that for purposes of SMC at the (s) rate, the statute does not limit a service-connected disability rated as total to only a schedular 100-percent rating.  The regulation permits a TDIU rating based on a single disability to satisfy the statutory requirements of a total rating.  </w:t>
            </w:r>
            <w:r w:rsidRPr="00922AAD">
              <w:rPr>
                <w:szCs w:val="24"/>
              </w:rPr>
              <w:t xml:space="preserve">For example, a Veteran who is in receipt of a TDIU rating based on a single disability, but is also service connected for other disabilities totaling 60 percent or more, is entitled to SMC housebound at the (s) rate – or “statutory housebound” – under the </w:t>
            </w:r>
            <w:r w:rsidRPr="00922AAD">
              <w:rPr>
                <w:i/>
                <w:iCs/>
                <w:szCs w:val="24"/>
              </w:rPr>
              <w:t xml:space="preserve">Bradley </w:t>
            </w:r>
            <w:r w:rsidRPr="00922AAD">
              <w:rPr>
                <w:szCs w:val="24"/>
              </w:rPr>
              <w:t xml:space="preserve">decision.  If, subsequently, the Veteran files a claim for an increased evaluation and is increased to a schedular 100 percent evaluation, there is a question whether the Veteran continues to meet the entitlement criteria under </w:t>
            </w:r>
            <w:r w:rsidRPr="00922AAD">
              <w:rPr>
                <w:i/>
                <w:iCs/>
                <w:szCs w:val="24"/>
              </w:rPr>
              <w:t>Bradley</w:t>
            </w:r>
            <w:r w:rsidRPr="00922AAD">
              <w:rPr>
                <w:szCs w:val="24"/>
              </w:rPr>
              <w:t xml:space="preserve"> for entitlement to SMC at the (s) rate.  </w:t>
            </w:r>
          </w:p>
          <w:p w:rsidR="00DA433D" w:rsidRDefault="00013EB8" w:rsidP="0064753A">
            <w:pPr>
              <w:widowControl w:val="0"/>
              <w:spacing w:after="120"/>
              <w:ind w:left="690"/>
              <w:rPr>
                <w:szCs w:val="24"/>
              </w:rPr>
            </w:pPr>
            <w:r w:rsidRPr="00922AAD">
              <w:rPr>
                <w:szCs w:val="24"/>
              </w:rPr>
              <w:t xml:space="preserve">The Court was clear that VA is obligated to maximize the benefits granted.  In </w:t>
            </w:r>
            <w:r w:rsidRPr="00922AAD">
              <w:rPr>
                <w:i/>
                <w:iCs/>
                <w:szCs w:val="24"/>
              </w:rPr>
              <w:t>Bradley,</w:t>
            </w:r>
            <w:r w:rsidRPr="00922AAD">
              <w:rPr>
                <w:szCs w:val="24"/>
              </w:rPr>
              <w:t xml:space="preserve"> the Court explained that in a case where an increase to a 100-percent schedular rating would subsume the TDIU rating and the Veteran would no longer be entitled to SMC at the (s) rate, VA decision makers are to assess whether the Veteran still meets the criteria for TDIU based on a single disability before substituting a combined total schedular rating for the TDIU.  As a result, in cases where a single service-connected condition supports a TDIU rating and the Veteran has other service-connected conditions entitling him or her to statutory housebound, the TDIU evaluation should be retained if the Veteran would otherwise lose the SMC rate. </w:t>
            </w:r>
          </w:p>
          <w:p w:rsidR="00DA433D" w:rsidRPr="00922AAD" w:rsidRDefault="00DA433D" w:rsidP="00FE5436">
            <w:pPr>
              <w:widowControl w:val="0"/>
              <w:numPr>
                <w:ilvl w:val="0"/>
                <w:numId w:val="54"/>
              </w:numPr>
              <w:spacing w:after="120"/>
              <w:rPr>
                <w:bCs/>
                <w:iCs/>
              </w:rPr>
            </w:pPr>
            <w:r w:rsidRPr="00C2315E">
              <w:rPr>
                <w:b/>
                <w:i/>
              </w:rPr>
              <w:t>Guerra v. Shinseki</w:t>
            </w:r>
            <w:r w:rsidRPr="00DA433D">
              <w:rPr>
                <w:b/>
                <w:i/>
                <w:iCs/>
              </w:rPr>
              <w:t xml:space="preserve"> </w:t>
            </w:r>
            <w:r w:rsidRPr="00DA433D">
              <w:rPr>
                <w:iCs/>
              </w:rPr>
              <w:t>(4</w:t>
            </w:r>
            <w:r>
              <w:rPr>
                <w:iCs/>
              </w:rPr>
              <w:t xml:space="preserve">/29/11) </w:t>
            </w:r>
            <w:r>
              <w:rPr>
                <w:color w:val="000000"/>
              </w:rPr>
              <w:t xml:space="preserve">38 </w:t>
            </w:r>
            <w:r w:rsidRPr="00C2779C">
              <w:rPr>
                <w:color w:val="000000"/>
              </w:rPr>
              <w:t xml:space="preserve">CFR 4.16(a) </w:t>
            </w:r>
            <w:r>
              <w:rPr>
                <w:color w:val="000000"/>
              </w:rPr>
              <w:t xml:space="preserve">cannot be applied </w:t>
            </w:r>
            <w:r w:rsidRPr="00C2779C">
              <w:rPr>
                <w:color w:val="000000"/>
              </w:rPr>
              <w:t xml:space="preserve">for the grant of </w:t>
            </w:r>
            <w:r>
              <w:rPr>
                <w:color w:val="000000"/>
              </w:rPr>
              <w:t xml:space="preserve">IU and then grant housebound. </w:t>
            </w:r>
            <w:r>
              <w:rPr>
                <w:iCs/>
              </w:rPr>
              <w:t xml:space="preserve"> </w:t>
            </w:r>
            <w:r w:rsidRPr="00540623">
              <w:rPr>
                <w:iCs/>
              </w:rPr>
              <w:t>The Federal Circuit stated that the regulation’s reference to a “single service-connected disability rated as 100 percent” resolves any ambiguity in the statute and makes it clear that SMC S (3.350(i) is only payable if the veteran has a single disability that is rated 100 percent</w:t>
            </w:r>
            <w:r>
              <w:rPr>
                <w:iCs/>
              </w:rPr>
              <w:t>.</w:t>
            </w:r>
          </w:p>
          <w:p w:rsidR="00013EB8" w:rsidRPr="00922AAD" w:rsidRDefault="00013EB8" w:rsidP="00FE5436">
            <w:pPr>
              <w:numPr>
                <w:ilvl w:val="0"/>
                <w:numId w:val="54"/>
              </w:numPr>
              <w:spacing w:after="120"/>
              <w:rPr>
                <w:sz w:val="24"/>
                <w:szCs w:val="24"/>
              </w:rPr>
            </w:pPr>
            <w:r w:rsidRPr="00C2315E">
              <w:rPr>
                <w:b/>
                <w:bCs/>
                <w:i/>
                <w:iCs/>
              </w:rPr>
              <w:t xml:space="preserve">January 2013 </w:t>
            </w:r>
            <w:r w:rsidR="00EB6F0B" w:rsidRPr="00C2315E">
              <w:rPr>
                <w:b/>
                <w:bCs/>
                <w:i/>
                <w:iCs/>
              </w:rPr>
              <w:t>Compensation Service Bulletin (CSB)</w:t>
            </w:r>
            <w:r w:rsidRPr="00922AAD">
              <w:rPr>
                <w:bCs/>
                <w:iCs/>
              </w:rPr>
              <w:t xml:space="preserve"> – i</w:t>
            </w:r>
            <w:r w:rsidRPr="00922AAD">
              <w:rPr>
                <w:szCs w:val="24"/>
              </w:rPr>
              <w:t xml:space="preserve">f a Veteran has a 100 percent combined schedular evaluation as the result of a single disease entity, such as multiple sclerosis, Parkinson’s disease, or diabetes mellitus, which is manifested by multiple disabilities, and the evidence shows that the Veteran requires A&amp;A due to the disabilities related to the disease, SMC at the (l) rate may be granted.  Multiple disabilities resulting from a single disease process is significantly different from any of the combinations identified under section 4.16(a).  For example, a Veteran is service connected (SC) for Parkinson’s disease and has multiple disabilities related to the disease that result in a combined 100-percent schedular evaluation.  If the evidence shows that the disabilities related to the disease are so severe that the Veteran requires A&amp;A, entitlement to SMC at the (l) should be granted.  </w:t>
            </w:r>
          </w:p>
          <w:p w:rsidR="00013EB8" w:rsidRPr="00BC0B0B" w:rsidRDefault="00E15289" w:rsidP="00FE5436">
            <w:pPr>
              <w:widowControl w:val="0"/>
              <w:numPr>
                <w:ilvl w:val="0"/>
                <w:numId w:val="54"/>
              </w:numPr>
              <w:spacing w:after="120"/>
              <w:rPr>
                <w:bCs/>
                <w:iCs/>
              </w:rPr>
            </w:pPr>
            <w:r w:rsidRPr="00C2315E">
              <w:rPr>
                <w:b/>
                <w:bCs/>
                <w:i/>
                <w:iCs/>
              </w:rPr>
              <w:t xml:space="preserve">July 2013 </w:t>
            </w:r>
            <w:r w:rsidR="00EB6F0B" w:rsidRPr="00C2315E">
              <w:rPr>
                <w:b/>
                <w:bCs/>
                <w:i/>
                <w:iCs/>
              </w:rPr>
              <w:t>Compensation Service Bulletin (CSB)</w:t>
            </w:r>
            <w:r w:rsidRPr="00922AAD">
              <w:rPr>
                <w:rStyle w:val="Hyperlink"/>
                <w:bCs/>
                <w:iCs/>
                <w:u w:val="none"/>
              </w:rPr>
              <w:t xml:space="preserve"> – </w:t>
            </w:r>
            <w:r w:rsidRPr="00922AAD">
              <w:rPr>
                <w:rStyle w:val="Hyperlink"/>
                <w:bCs/>
                <w:iCs/>
                <w:color w:val="auto"/>
                <w:u w:val="none"/>
              </w:rPr>
              <w:t xml:space="preserve">continuing from above, </w:t>
            </w:r>
            <w:r w:rsidRPr="00922AAD">
              <w:t>if entitlement to SMC (l) due to A&amp;A has already been established as the result of multiple disabilities due to single disease entity, the subsequent grant of service connection for loss of use (LOU) of the upper or lower extremities would establish a second (l) rate, which would warrant a grant of SMC at the (o) rate on the basis of two separate (l) entitlements, if no condition is being considered twice.</w:t>
            </w:r>
            <w:r w:rsidRPr="00922AAD">
              <w:rPr>
                <w:sz w:val="24"/>
                <w:szCs w:val="24"/>
              </w:rPr>
              <w:t xml:space="preserve">  </w:t>
            </w:r>
          </w:p>
          <w:p w:rsidR="00BC0B0B" w:rsidRPr="00BC0B0B" w:rsidRDefault="00BC0B0B" w:rsidP="00FE5436">
            <w:pPr>
              <w:widowControl w:val="0"/>
              <w:numPr>
                <w:ilvl w:val="0"/>
                <w:numId w:val="54"/>
              </w:numPr>
              <w:spacing w:after="120"/>
              <w:rPr>
                <w:bCs/>
                <w:iCs/>
              </w:rPr>
            </w:pPr>
            <w:r>
              <w:rPr>
                <w:bCs/>
                <w:iCs/>
              </w:rPr>
              <w:t xml:space="preserve">Example where </w:t>
            </w:r>
            <w:r w:rsidR="00D94044" w:rsidRPr="004E16AB">
              <w:rPr>
                <w:rFonts w:ascii="Verdana" w:hAnsi="Verdana"/>
                <w:b/>
                <w:highlight w:val="green"/>
              </w:rPr>
              <w:t>VBMS-R</w:t>
            </w:r>
            <w:r>
              <w:rPr>
                <w:bCs/>
                <w:iCs/>
              </w:rPr>
              <w:t xml:space="preserve"> says to do </w:t>
            </w:r>
            <w:r w:rsidR="00AF18B1">
              <w:rPr>
                <w:bCs/>
                <w:iCs/>
              </w:rPr>
              <w:t xml:space="preserve">temporary </w:t>
            </w:r>
            <w:r>
              <w:rPr>
                <w:bCs/>
                <w:iCs/>
              </w:rPr>
              <w:t>SMC S 6/20/16-6/30/17, but the SMC Calculator says to stop the SMC S on 7/1/17</w:t>
            </w:r>
            <w:r w:rsidR="006B7B50">
              <w:rPr>
                <w:bCs/>
                <w:iCs/>
              </w:rPr>
              <w:t xml:space="preserve"> (use 6/30/17 for Decision &amp; Reasons for Decision lines)</w:t>
            </w:r>
          </w:p>
          <w:p w:rsidR="00BC0B0B" w:rsidRDefault="00BC0B0B" w:rsidP="00BC0B0B">
            <w:pPr>
              <w:widowControl w:val="0"/>
              <w:spacing w:after="120"/>
              <w:rPr>
                <w:bCs/>
                <w:iCs/>
              </w:rPr>
            </w:pPr>
            <w:r>
              <w:rPr>
                <w:noProof/>
              </w:rPr>
              <w:drawing>
                <wp:inline distT="0" distB="0" distL="0" distR="0" wp14:anchorId="50C1AAD6" wp14:editId="30C3B42D">
                  <wp:extent cx="5943600" cy="19780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2"/>
                          <a:stretch>
                            <a:fillRect/>
                          </a:stretch>
                        </pic:blipFill>
                        <pic:spPr>
                          <a:xfrm>
                            <a:off x="0" y="0"/>
                            <a:ext cx="5943600" cy="1978025"/>
                          </a:xfrm>
                          <a:prstGeom prst="rect">
                            <a:avLst/>
                          </a:prstGeom>
                        </pic:spPr>
                      </pic:pic>
                    </a:graphicData>
                  </a:graphic>
                </wp:inline>
              </w:drawing>
            </w:r>
          </w:p>
          <w:p w:rsidR="00FE5436" w:rsidRDefault="00FE5436" w:rsidP="00FE5436">
            <w:pPr>
              <w:pStyle w:val="ListParagraph"/>
              <w:numPr>
                <w:ilvl w:val="0"/>
                <w:numId w:val="54"/>
              </w:numPr>
              <w:spacing w:after="120" w:line="240" w:lineRule="auto"/>
              <w:ind w:left="691"/>
              <w:rPr>
                <w:rFonts w:ascii="Arial" w:hAnsi="Arial"/>
                <w:sz w:val="20"/>
              </w:rPr>
            </w:pPr>
            <w:r w:rsidRPr="00FE5436">
              <w:rPr>
                <w:rFonts w:ascii="Arial" w:hAnsi="Arial"/>
                <w:i/>
                <w:color w:val="00B050"/>
                <w:sz w:val="20"/>
              </w:rPr>
              <w:t>My Notes:</w:t>
            </w:r>
            <w:r w:rsidRPr="00FE5436">
              <w:rPr>
                <w:rFonts w:ascii="Arial" w:hAnsi="Arial"/>
                <w:color w:val="00B050"/>
                <w:sz w:val="20"/>
              </w:rPr>
              <w:t xml:space="preserve">  </w:t>
            </w:r>
            <w:r w:rsidRPr="00FE5436">
              <w:rPr>
                <w:rFonts w:ascii="Arial" w:hAnsi="Arial"/>
                <w:sz w:val="20"/>
              </w:rPr>
              <w:t xml:space="preserve">VBMS-R forces reviews of SMC S when there is one disability at 100% (or 70%+IU), but there are no separate disabilities that combine to 60% &amp; there is no option for that specific </w:t>
            </w:r>
            <w:r>
              <w:rPr>
                <w:rFonts w:ascii="Arial" w:hAnsi="Arial"/>
                <w:sz w:val="20"/>
              </w:rPr>
              <w:t>“reason” for not granting SMC S, so I choose:</w:t>
            </w:r>
          </w:p>
          <w:p w:rsidR="00FE5436" w:rsidRDefault="00FE5436" w:rsidP="00FE5436">
            <w:pPr>
              <w:spacing w:after="120"/>
              <w:ind w:left="690"/>
            </w:pPr>
            <w:r>
              <w:rPr>
                <w:noProof/>
              </w:rPr>
              <w:drawing>
                <wp:inline distT="0" distB="0" distL="0" distR="0" wp14:anchorId="5EE3F36B" wp14:editId="69FE3E3D">
                  <wp:extent cx="5943600" cy="123825"/>
                  <wp:effectExtent l="0" t="0" r="0" b="9525"/>
                  <wp:docPr id="24590" name="Picture 24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3"/>
                          <a:stretch>
                            <a:fillRect/>
                          </a:stretch>
                        </pic:blipFill>
                        <pic:spPr>
                          <a:xfrm>
                            <a:off x="0" y="0"/>
                            <a:ext cx="5943600" cy="123825"/>
                          </a:xfrm>
                          <a:prstGeom prst="rect">
                            <a:avLst/>
                          </a:prstGeom>
                        </pic:spPr>
                      </pic:pic>
                    </a:graphicData>
                  </a:graphic>
                </wp:inline>
              </w:drawing>
            </w:r>
          </w:p>
          <w:p w:rsidR="00FE5436" w:rsidRPr="00FE5436" w:rsidRDefault="00FE5436" w:rsidP="00FE5436">
            <w:pPr>
              <w:pBdr>
                <w:top w:val="single" w:sz="4" w:space="1" w:color="auto"/>
                <w:left w:val="single" w:sz="4" w:space="4" w:color="auto"/>
                <w:bottom w:val="single" w:sz="4" w:space="1" w:color="auto"/>
                <w:right w:val="single" w:sz="4" w:space="4" w:color="auto"/>
              </w:pBdr>
              <w:spacing w:after="120"/>
              <w:ind w:left="690" w:right="150"/>
            </w:pPr>
            <w:r>
              <w:t xml:space="preserve">Rating Note:  VBMS-R indicates the SMC S may be warranted, but the veteran does not have separate </w:t>
            </w:r>
            <w:r w:rsidRPr="00FE5436">
              <w:t xml:space="preserve">disabilities that combine to 60% &amp; there is no option for that specific </w:t>
            </w:r>
            <w:r>
              <w:t>“reason” for not granting SMC S, so I chose the closest reason.</w:t>
            </w:r>
          </w:p>
          <w:p w:rsidR="00FE5436" w:rsidRPr="00BC0B0B" w:rsidRDefault="00FE5436" w:rsidP="00BC0B0B">
            <w:pPr>
              <w:widowControl w:val="0"/>
              <w:spacing w:after="120"/>
              <w:rPr>
                <w:bCs/>
                <w:iCs/>
              </w:rPr>
            </w:pPr>
          </w:p>
        </w:tc>
      </w:tr>
      <w:tr w:rsidR="00013EB8" w:rsidTr="001453C4">
        <w:tc>
          <w:tcPr>
            <w:tcW w:w="705" w:type="dxa"/>
            <w:tcBorders>
              <w:top w:val="nil"/>
              <w:left w:val="nil"/>
              <w:bottom w:val="nil"/>
              <w:right w:val="nil"/>
            </w:tcBorders>
          </w:tcPr>
          <w:p w:rsidR="00013EB8" w:rsidRDefault="00013EB8">
            <w:pPr>
              <w:widowControl w:val="0"/>
              <w:numPr>
                <w:ilvl w:val="12"/>
                <w:numId w:val="0"/>
              </w:numPr>
              <w:rPr>
                <w:b/>
              </w:rPr>
            </w:pPr>
          </w:p>
        </w:tc>
        <w:tc>
          <w:tcPr>
            <w:tcW w:w="10080" w:type="dxa"/>
            <w:tcBorders>
              <w:top w:val="nil"/>
              <w:left w:val="nil"/>
              <w:bottom w:val="nil"/>
              <w:right w:val="nil"/>
            </w:tcBorders>
          </w:tcPr>
          <w:p w:rsidR="00013EB8" w:rsidRDefault="00013EB8">
            <w:pPr>
              <w:widowControl w:val="0"/>
              <w:numPr>
                <w:ilvl w:val="12"/>
                <w:numId w:val="0"/>
              </w:numPr>
              <w:rPr>
                <w:b/>
              </w:rPr>
            </w:pPr>
          </w:p>
        </w:tc>
      </w:tr>
      <w:tr w:rsidR="00013EB8" w:rsidTr="001453C4">
        <w:trPr>
          <w:trHeight w:val="99"/>
        </w:trPr>
        <w:tc>
          <w:tcPr>
            <w:tcW w:w="705" w:type="dxa"/>
            <w:tcBorders>
              <w:top w:val="nil"/>
              <w:left w:val="nil"/>
              <w:bottom w:val="nil"/>
              <w:right w:val="nil"/>
            </w:tcBorders>
          </w:tcPr>
          <w:p w:rsidR="00013EB8" w:rsidRDefault="00013EB8">
            <w:pPr>
              <w:widowControl w:val="0"/>
              <w:numPr>
                <w:ilvl w:val="12"/>
                <w:numId w:val="0"/>
              </w:numPr>
              <w:rPr>
                <w:b/>
              </w:rPr>
            </w:pPr>
            <w:r w:rsidRPr="00453DE5">
              <w:rPr>
                <w:b/>
              </w:rPr>
              <w:t>3.352</w:t>
            </w:r>
          </w:p>
        </w:tc>
        <w:tc>
          <w:tcPr>
            <w:tcW w:w="10080" w:type="dxa"/>
            <w:tcBorders>
              <w:top w:val="nil"/>
              <w:left w:val="nil"/>
              <w:bottom w:val="nil"/>
              <w:right w:val="nil"/>
            </w:tcBorders>
          </w:tcPr>
          <w:p w:rsidR="00013EB8" w:rsidRDefault="00013EB8">
            <w:pPr>
              <w:widowControl w:val="0"/>
              <w:numPr>
                <w:ilvl w:val="12"/>
                <w:numId w:val="0"/>
              </w:numPr>
            </w:pPr>
            <w:r>
              <w:rPr>
                <w:b/>
              </w:rPr>
              <w:t>Criteria for determining need for aid and attendance and "permanently bedridden"</w:t>
            </w:r>
          </w:p>
        </w:tc>
      </w:tr>
    </w:tbl>
    <w:p w:rsidR="00013EB8" w:rsidRDefault="00013EB8">
      <w:pPr>
        <w:widowControl w:val="0"/>
        <w:tabs>
          <w:tab w:val="left" w:pos="0"/>
          <w:tab w:val="left" w:pos="144"/>
        </w:tabs>
        <w:rPr>
          <w:b/>
          <w:bCs/>
          <w:i/>
          <w:iCs/>
          <w:sz w:val="22"/>
        </w:rPr>
      </w:pPr>
    </w:p>
    <w:p w:rsidR="00013EB8" w:rsidRDefault="00013EB8">
      <w:pPr>
        <w:pStyle w:val="Title"/>
        <w:widowControl w:val="0"/>
        <w:pBdr>
          <w:top w:val="single" w:sz="4" w:space="1" w:color="auto"/>
        </w:pBdr>
        <w:rPr>
          <w:sz w:val="20"/>
        </w:rPr>
      </w:pPr>
    </w:p>
    <w:p w:rsidR="00013EB8" w:rsidRDefault="00013EB8">
      <w:pPr>
        <w:pStyle w:val="Subtitle"/>
        <w:widowControl w:val="0"/>
        <w:ind w:left="720" w:hanging="720"/>
        <w:rPr>
          <w:b/>
          <w:bCs/>
          <w:sz w:val="20"/>
        </w:rPr>
      </w:pPr>
      <w:r>
        <w:rPr>
          <w:b/>
          <w:bCs/>
          <w:sz w:val="20"/>
        </w:rPr>
        <w:t>Summary</w:t>
      </w:r>
    </w:p>
    <w:p w:rsidR="00013EB8" w:rsidRDefault="00013EB8">
      <w:pPr>
        <w:pStyle w:val="Subtitle"/>
        <w:widowControl w:val="0"/>
        <w:ind w:left="720" w:hanging="720"/>
        <w:rPr>
          <w:sz w:val="20"/>
        </w:rPr>
      </w:pPr>
      <w:r>
        <w:rPr>
          <w:b/>
          <w:bCs/>
          <w:sz w:val="20"/>
        </w:rPr>
        <w:t>K:</w:t>
      </w:r>
      <w:r>
        <w:rPr>
          <w:sz w:val="20"/>
        </w:rPr>
        <w:tab/>
        <w:t>One hand/one foot/both buttocks/one eye LPO or anatomical loss/creative organ/bilateral deafness/complete organic aphonia/one or both breasts</w:t>
      </w:r>
    </w:p>
    <w:p w:rsidR="00013EB8" w:rsidRDefault="00013EB8">
      <w:pPr>
        <w:pStyle w:val="Subtitle"/>
        <w:widowControl w:val="0"/>
        <w:rPr>
          <w:sz w:val="20"/>
        </w:rPr>
      </w:pPr>
    </w:p>
    <w:p w:rsidR="00013EB8" w:rsidRDefault="00013EB8">
      <w:pPr>
        <w:pStyle w:val="Subtitle"/>
        <w:widowControl w:val="0"/>
        <w:rPr>
          <w:sz w:val="20"/>
        </w:rPr>
      </w:pPr>
      <w:r>
        <w:rPr>
          <w:b/>
          <w:bCs/>
          <w:sz w:val="20"/>
        </w:rPr>
        <w:t>L:</w:t>
      </w:r>
      <w:r>
        <w:rPr>
          <w:sz w:val="20"/>
        </w:rPr>
        <w:t xml:space="preserve">  </w:t>
      </w:r>
      <w:r>
        <w:rPr>
          <w:sz w:val="20"/>
        </w:rPr>
        <w:tab/>
        <w:t>Both feet</w:t>
      </w:r>
    </w:p>
    <w:p w:rsidR="00013EB8" w:rsidRDefault="00013EB8">
      <w:pPr>
        <w:pStyle w:val="Heading1"/>
        <w:keepNext w:val="0"/>
        <w:widowControl w:val="0"/>
        <w:rPr>
          <w:i w:val="0"/>
          <w:iCs w:val="0"/>
          <w:sz w:val="20"/>
        </w:rPr>
      </w:pPr>
      <w:r>
        <w:rPr>
          <w:i w:val="0"/>
          <w:iCs w:val="0"/>
          <w:sz w:val="20"/>
        </w:rPr>
        <w:tab/>
        <w:t>Hand and foot</w:t>
      </w:r>
    </w:p>
    <w:p w:rsidR="00013EB8" w:rsidRDefault="00013EB8">
      <w:pPr>
        <w:widowControl w:val="0"/>
      </w:pPr>
      <w:r>
        <w:tab/>
        <w:t>A&amp;A (need one disability at 100%, reduce hospital rate unless bedridden)</w:t>
      </w:r>
    </w:p>
    <w:p w:rsidR="00013EB8" w:rsidRDefault="00013EB8">
      <w:pPr>
        <w:widowControl w:val="0"/>
      </w:pPr>
      <w:r>
        <w:tab/>
        <w:t>Both eyes 5/200</w:t>
      </w:r>
    </w:p>
    <w:p w:rsidR="00013EB8" w:rsidRDefault="00013EB8">
      <w:pPr>
        <w:widowControl w:val="0"/>
      </w:pPr>
    </w:p>
    <w:p w:rsidR="00013EB8" w:rsidRDefault="00013EB8">
      <w:pPr>
        <w:widowControl w:val="0"/>
      </w:pPr>
      <w:r>
        <w:rPr>
          <w:b/>
          <w:bCs/>
        </w:rPr>
        <w:t>L½:</w:t>
      </w:r>
      <w:r>
        <w:tab/>
        <w:t>Foot and other knee</w:t>
      </w:r>
    </w:p>
    <w:p w:rsidR="00013EB8" w:rsidRDefault="00013EB8">
      <w:pPr>
        <w:widowControl w:val="0"/>
      </w:pPr>
      <w:r>
        <w:tab/>
        <w:t>Elbow and foot</w:t>
      </w:r>
    </w:p>
    <w:p w:rsidR="00013EB8" w:rsidRDefault="00013EB8">
      <w:pPr>
        <w:widowControl w:val="0"/>
      </w:pPr>
    </w:p>
    <w:p w:rsidR="00013EB8" w:rsidRDefault="00013EB8">
      <w:pPr>
        <w:widowControl w:val="0"/>
      </w:pPr>
      <w:r>
        <w:rPr>
          <w:b/>
          <w:bCs/>
        </w:rPr>
        <w:t>M:</w:t>
      </w:r>
      <w:r>
        <w:tab/>
        <w:t>Both hands or knees</w:t>
      </w:r>
    </w:p>
    <w:p w:rsidR="00013EB8" w:rsidRDefault="00013EB8">
      <w:pPr>
        <w:widowControl w:val="0"/>
      </w:pPr>
      <w:r>
        <w:tab/>
        <w:t>Hand and hip</w:t>
      </w:r>
    </w:p>
    <w:p w:rsidR="00013EB8" w:rsidRDefault="00013EB8">
      <w:pPr>
        <w:widowControl w:val="0"/>
        <w:ind w:firstLine="720"/>
      </w:pPr>
      <w:r>
        <w:t>Elbow and knee</w:t>
      </w:r>
    </w:p>
    <w:p w:rsidR="00013EB8" w:rsidRDefault="00013EB8">
      <w:pPr>
        <w:widowControl w:val="0"/>
      </w:pPr>
      <w:r>
        <w:tab/>
        <w:t>Shoulder and foot</w:t>
      </w:r>
    </w:p>
    <w:p w:rsidR="00013EB8" w:rsidRDefault="00013EB8">
      <w:pPr>
        <w:widowControl w:val="0"/>
      </w:pPr>
      <w:r>
        <w:tab/>
        <w:t>Both eyes LPO</w:t>
      </w:r>
    </w:p>
    <w:p w:rsidR="00013EB8" w:rsidRDefault="00013EB8">
      <w:pPr>
        <w:widowControl w:val="0"/>
        <w:ind w:firstLine="720"/>
      </w:pPr>
      <w:r>
        <w:t>Both eyes 5/200 plus A&amp;A due to blindness</w:t>
      </w:r>
    </w:p>
    <w:p w:rsidR="00013EB8" w:rsidRDefault="00013EB8">
      <w:pPr>
        <w:widowControl w:val="0"/>
      </w:pPr>
    </w:p>
    <w:p w:rsidR="00013EB8" w:rsidRDefault="00013EB8">
      <w:pPr>
        <w:widowControl w:val="0"/>
      </w:pPr>
      <w:r>
        <w:rPr>
          <w:b/>
          <w:bCs/>
        </w:rPr>
        <w:t>M½:</w:t>
      </w:r>
      <w:r>
        <w:tab/>
        <w:t>Hand and other elbow</w:t>
      </w:r>
    </w:p>
    <w:p w:rsidR="00013EB8" w:rsidRDefault="00013EB8">
      <w:pPr>
        <w:widowControl w:val="0"/>
      </w:pPr>
      <w:r>
        <w:tab/>
        <w:t>Elbow and hip</w:t>
      </w:r>
    </w:p>
    <w:p w:rsidR="00013EB8" w:rsidRDefault="00013EB8">
      <w:pPr>
        <w:widowControl w:val="0"/>
      </w:pPr>
      <w:r>
        <w:tab/>
        <w:t>Knee and other hip</w:t>
      </w:r>
    </w:p>
    <w:p w:rsidR="00013EB8" w:rsidRDefault="00013EB8">
      <w:pPr>
        <w:widowControl w:val="0"/>
      </w:pPr>
      <w:r>
        <w:tab/>
      </w:r>
    </w:p>
    <w:p w:rsidR="00013EB8" w:rsidRDefault="00013EB8">
      <w:pPr>
        <w:widowControl w:val="0"/>
      </w:pPr>
      <w:r>
        <w:rPr>
          <w:b/>
          <w:bCs/>
        </w:rPr>
        <w:t>N:</w:t>
      </w:r>
      <w:r>
        <w:tab/>
        <w:t>Both elbows or hips (highest level for lower extremities)</w:t>
      </w:r>
    </w:p>
    <w:p w:rsidR="00013EB8" w:rsidRDefault="00013EB8">
      <w:pPr>
        <w:pStyle w:val="Heading1"/>
        <w:keepNext w:val="0"/>
        <w:widowControl w:val="0"/>
        <w:rPr>
          <w:i w:val="0"/>
          <w:iCs w:val="0"/>
          <w:sz w:val="20"/>
        </w:rPr>
      </w:pPr>
      <w:r>
        <w:rPr>
          <w:i w:val="0"/>
          <w:iCs w:val="0"/>
          <w:sz w:val="20"/>
        </w:rPr>
        <w:tab/>
        <w:t>Hand and other shoulder</w:t>
      </w:r>
    </w:p>
    <w:p w:rsidR="00013EB8" w:rsidRDefault="00013EB8">
      <w:pPr>
        <w:widowControl w:val="0"/>
      </w:pPr>
      <w:r>
        <w:tab/>
        <w:t>Shoulder and hip</w:t>
      </w:r>
    </w:p>
    <w:p w:rsidR="00013EB8" w:rsidRDefault="00013EB8">
      <w:pPr>
        <w:widowControl w:val="0"/>
      </w:pPr>
      <w:r>
        <w:tab/>
        <w:t>Both eyes NLP/anatomical loss</w:t>
      </w:r>
    </w:p>
    <w:p w:rsidR="00013EB8" w:rsidRDefault="00013EB8">
      <w:pPr>
        <w:widowControl w:val="0"/>
      </w:pPr>
    </w:p>
    <w:p w:rsidR="00013EB8" w:rsidRDefault="00013EB8">
      <w:pPr>
        <w:widowControl w:val="0"/>
      </w:pPr>
      <w:r>
        <w:rPr>
          <w:b/>
          <w:bCs/>
        </w:rPr>
        <w:t>N½:</w:t>
      </w:r>
      <w:r>
        <w:tab/>
        <w:t>Elbow and other shoulder</w:t>
      </w:r>
    </w:p>
    <w:p w:rsidR="00013EB8" w:rsidRDefault="00013EB8">
      <w:pPr>
        <w:widowControl w:val="0"/>
      </w:pPr>
    </w:p>
    <w:p w:rsidR="00013EB8" w:rsidRDefault="00013EB8">
      <w:pPr>
        <w:widowControl w:val="0"/>
      </w:pPr>
      <w:r>
        <w:rPr>
          <w:b/>
          <w:bCs/>
        </w:rPr>
        <w:t>O:</w:t>
      </w:r>
      <w:r>
        <w:tab/>
        <w:t>Both shoulders</w:t>
      </w:r>
    </w:p>
    <w:p w:rsidR="00013EB8" w:rsidRDefault="00013EB8">
      <w:pPr>
        <w:widowControl w:val="0"/>
      </w:pPr>
      <w:r>
        <w:tab/>
        <w:t>Paraplegia (i.e. both feet) with loss of bowel and bladder (no hospital reduction)</w:t>
      </w:r>
    </w:p>
    <w:p w:rsidR="00013EB8" w:rsidRDefault="00013EB8">
      <w:pPr>
        <w:widowControl w:val="0"/>
      </w:pPr>
      <w:r>
        <w:tab/>
        <w:t>Both hands and both feet</w:t>
      </w:r>
    </w:p>
    <w:p w:rsidR="00013EB8" w:rsidRDefault="00013EB8">
      <w:pPr>
        <w:widowControl w:val="0"/>
      </w:pPr>
      <w:r>
        <w:tab/>
        <w:t>Two of “L” through “N”</w:t>
      </w:r>
    </w:p>
    <w:p w:rsidR="00013EB8" w:rsidRDefault="00013EB8">
      <w:pPr>
        <w:widowControl w:val="0"/>
        <w:ind w:firstLine="720"/>
      </w:pPr>
      <w:r>
        <w:t>Bilateral deafness at 60% or more and bilateral vision 5/200 or less</w:t>
      </w:r>
    </w:p>
    <w:p w:rsidR="00013EB8" w:rsidRDefault="00013EB8">
      <w:pPr>
        <w:pStyle w:val="BodyTextIndent"/>
        <w:widowControl w:val="0"/>
        <w:ind w:left="0"/>
        <w:rPr>
          <w:sz w:val="20"/>
        </w:rPr>
      </w:pPr>
      <w:r>
        <w:rPr>
          <w:sz w:val="20"/>
        </w:rPr>
        <w:tab/>
        <w:t>Total deafness in one ear or bilateral deafness at 40% and bilateral blindness (LPO or less)</w:t>
      </w:r>
    </w:p>
    <w:p w:rsidR="00013EB8" w:rsidRDefault="00013EB8">
      <w:pPr>
        <w:widowControl w:val="0"/>
      </w:pPr>
    </w:p>
    <w:p w:rsidR="00013EB8" w:rsidRDefault="00013EB8">
      <w:pPr>
        <w:widowControl w:val="0"/>
      </w:pPr>
      <w:r>
        <w:rPr>
          <w:b/>
          <w:bCs/>
        </w:rPr>
        <w:t>P:</w:t>
      </w:r>
      <w:r>
        <w:tab/>
        <w:t xml:space="preserve">Blindness and loss of hand or foot </w:t>
      </w:r>
      <w:r>
        <w:rPr>
          <w:i/>
          <w:iCs/>
        </w:rPr>
        <w:t>(keep elevations for 50% and 100%)</w:t>
      </w:r>
    </w:p>
    <w:p w:rsidR="00013EB8" w:rsidRDefault="00013EB8">
      <w:pPr>
        <w:widowControl w:val="0"/>
      </w:pPr>
      <w:r>
        <w:tab/>
        <w:t>Plus ½ step for 50% (can be combined)</w:t>
      </w:r>
    </w:p>
    <w:p w:rsidR="00013EB8" w:rsidRDefault="00013EB8">
      <w:pPr>
        <w:widowControl w:val="0"/>
        <w:ind w:firstLine="720"/>
      </w:pPr>
      <w:r>
        <w:t>Plus 1 step for 100% (single disability, but can use 4.16)</w:t>
      </w:r>
    </w:p>
    <w:p w:rsidR="00013EB8" w:rsidRDefault="00013EB8">
      <w:pPr>
        <w:widowControl w:val="0"/>
        <w:ind w:firstLine="720"/>
        <w:rPr>
          <w:i/>
          <w:iCs/>
        </w:rPr>
      </w:pPr>
      <w:r>
        <w:rPr>
          <w:i/>
          <w:iCs/>
        </w:rPr>
        <w:t>Can only use 50% or 100% once</w:t>
      </w:r>
      <w:r w:rsidR="001A5F84">
        <w:rPr>
          <w:i/>
          <w:iCs/>
        </w:rPr>
        <w:t xml:space="preserve"> per effective date</w:t>
      </w:r>
      <w:r>
        <w:rPr>
          <w:i/>
          <w:iCs/>
        </w:rPr>
        <w:t>!</w:t>
      </w:r>
    </w:p>
    <w:p w:rsidR="00013EB8" w:rsidRDefault="00013EB8">
      <w:pPr>
        <w:widowControl w:val="0"/>
      </w:pPr>
    </w:p>
    <w:p w:rsidR="00013EB8" w:rsidRDefault="00013EB8" w:rsidP="005604B8">
      <w:pPr>
        <w:widowControl w:val="0"/>
        <w:ind w:left="720" w:hanging="720"/>
      </w:pPr>
      <w:r>
        <w:rPr>
          <w:b/>
          <w:bCs/>
        </w:rPr>
        <w:t>R1:</w:t>
      </w:r>
      <w:r>
        <w:tab/>
        <w:t>At max under “O” or “P” and needs A&amp;A (always reduced during hospitalization, max of “O”)</w:t>
      </w:r>
    </w:p>
    <w:p w:rsidR="00013EB8" w:rsidRDefault="00013EB8">
      <w:pPr>
        <w:widowControl w:val="0"/>
      </w:pPr>
    </w:p>
    <w:p w:rsidR="00013EB8" w:rsidRDefault="00013EB8">
      <w:pPr>
        <w:widowControl w:val="0"/>
      </w:pPr>
      <w:r>
        <w:rPr>
          <w:b/>
          <w:bCs/>
        </w:rPr>
        <w:t>R2:</w:t>
      </w:r>
      <w:r>
        <w:tab/>
        <w:t>At max under “O” or “P” and needs HLC (always reduced during hospitalization, max of “O”)</w:t>
      </w:r>
    </w:p>
    <w:p w:rsidR="00013EB8" w:rsidRDefault="00013EB8">
      <w:pPr>
        <w:widowControl w:val="0"/>
      </w:pPr>
    </w:p>
    <w:p w:rsidR="00013EB8" w:rsidRDefault="00013EB8">
      <w:pPr>
        <w:pStyle w:val="Heading2"/>
        <w:keepNext w:val="0"/>
        <w:widowControl w:val="0"/>
        <w:rPr>
          <w:sz w:val="20"/>
        </w:rPr>
      </w:pPr>
      <w:r>
        <w:rPr>
          <w:sz w:val="20"/>
        </w:rPr>
        <w:t>TRIPLE EXTREMITY- add ½ step plus K</w:t>
      </w:r>
    </w:p>
    <w:p w:rsidR="00013EB8" w:rsidRDefault="00013EB8">
      <w:pPr>
        <w:widowControl w:val="0"/>
      </w:pPr>
      <w:r>
        <w:rPr>
          <w:b/>
          <w:bCs/>
        </w:rPr>
        <w:t>M+K:</w:t>
      </w:r>
      <w:r>
        <w:tab/>
      </w:r>
      <w:r>
        <w:tab/>
        <w:t>Both feet (L) and one hand (1/2 for 50%, 1/2 for 3</w:t>
      </w:r>
      <w:r>
        <w:rPr>
          <w:vertAlign w:val="superscript"/>
        </w:rPr>
        <w:t>rd</w:t>
      </w:r>
      <w:r>
        <w:t xml:space="preserve"> extremity, K)</w:t>
      </w:r>
    </w:p>
    <w:p w:rsidR="00013EB8" w:rsidRDefault="00013EB8">
      <w:pPr>
        <w:widowControl w:val="0"/>
      </w:pPr>
      <w:r>
        <w:rPr>
          <w:b/>
          <w:bCs/>
        </w:rPr>
        <w:t>M½+K:</w:t>
      </w:r>
      <w:r>
        <w:rPr>
          <w:b/>
          <w:bCs/>
        </w:rPr>
        <w:tab/>
      </w:r>
      <w:r>
        <w:rPr>
          <w:b/>
          <w:bCs/>
        </w:rPr>
        <w:tab/>
      </w:r>
      <w:r>
        <w:t>Both hands (M) and one foot (1/2 for 3</w:t>
      </w:r>
      <w:r>
        <w:rPr>
          <w:vertAlign w:val="superscript"/>
        </w:rPr>
        <w:t>rd</w:t>
      </w:r>
      <w:r>
        <w:t xml:space="preserve"> extremity, K)</w:t>
      </w:r>
    </w:p>
    <w:p w:rsidR="00013EB8" w:rsidRDefault="00013EB8">
      <w:pPr>
        <w:widowControl w:val="0"/>
      </w:pPr>
      <w:r>
        <w:rPr>
          <w:b/>
          <w:bCs/>
        </w:rPr>
        <w:t>N+K:</w:t>
      </w:r>
      <w:r>
        <w:tab/>
      </w:r>
      <w:r>
        <w:tab/>
        <w:t>Both hands (M), one foot (1/2 for 3</w:t>
      </w:r>
      <w:r>
        <w:rPr>
          <w:vertAlign w:val="superscript"/>
        </w:rPr>
        <w:t>rd</w:t>
      </w:r>
      <w:r>
        <w:t xml:space="preserve"> extremity, K) and % to get to 50% (1/2 for 50%)</w:t>
      </w:r>
    </w:p>
    <w:p w:rsidR="00013EB8" w:rsidRDefault="00013EB8">
      <w:pPr>
        <w:widowControl w:val="0"/>
      </w:pPr>
    </w:p>
    <w:p w:rsidR="00013EB8" w:rsidRDefault="00013EB8">
      <w:pPr>
        <w:widowControl w:val="0"/>
        <w:pBdr>
          <w:top w:val="single" w:sz="4" w:space="1" w:color="auto"/>
        </w:pBdr>
      </w:pPr>
    </w:p>
    <w:p w:rsidR="00013EB8" w:rsidRDefault="00D94044">
      <w:pPr>
        <w:pStyle w:val="Title"/>
        <w:widowControl w:val="0"/>
        <w:jc w:val="left"/>
        <w:rPr>
          <w:sz w:val="20"/>
        </w:rPr>
      </w:pPr>
      <w:bookmarkStart w:id="158" w:name="SMCParagraphCodes"/>
      <w:r w:rsidRPr="00D94044">
        <w:rPr>
          <w:rFonts w:ascii="Verdana" w:hAnsi="Verdana"/>
          <w:sz w:val="20"/>
          <w:highlight w:val="green"/>
        </w:rPr>
        <w:t>VBMS-R</w:t>
      </w:r>
      <w:r w:rsidR="00013EB8" w:rsidRPr="00D94044">
        <w:rPr>
          <w:sz w:val="16"/>
        </w:rPr>
        <w:t xml:space="preserve"> </w:t>
      </w:r>
      <w:r w:rsidR="00013EB8">
        <w:rPr>
          <w:sz w:val="20"/>
        </w:rPr>
        <w:t>SMC Paragraph Codes</w:t>
      </w:r>
      <w:bookmarkEnd w:id="158"/>
    </w:p>
    <w:p w:rsidR="00013EB8" w:rsidRDefault="00013EB8">
      <w:pPr>
        <w:widowControl w:val="0"/>
        <w:rPr>
          <w:b/>
          <w:highlight w:val="yellow"/>
          <w:u w:val="single"/>
        </w:rPr>
      </w:pPr>
    </w:p>
    <w:p w:rsidR="00013EB8" w:rsidRDefault="00013EB8">
      <w:pPr>
        <w:widowControl w:val="0"/>
        <w:pBdr>
          <w:top w:val="single" w:sz="6" w:space="1" w:color="auto"/>
          <w:left w:val="single" w:sz="6" w:space="4" w:color="auto"/>
          <w:bottom w:val="single" w:sz="6" w:space="1" w:color="auto"/>
          <w:right w:val="single" w:sz="6" w:space="4" w:color="auto"/>
        </w:pBdr>
      </w:pPr>
      <w:r>
        <w:rPr>
          <w:b/>
        </w:rPr>
        <w:t>K1</w:t>
      </w:r>
      <w:r>
        <w:t xml:space="preserve"> = </w:t>
      </w:r>
      <w:r>
        <w:tab/>
        <w:t>anatomical loss/loss of use of a creative organ</w:t>
      </w:r>
    </w:p>
    <w:p w:rsidR="00013EB8" w:rsidRDefault="00013EB8">
      <w:pPr>
        <w:widowControl w:val="0"/>
        <w:pBdr>
          <w:top w:val="single" w:sz="6" w:space="1" w:color="auto"/>
          <w:left w:val="single" w:sz="6" w:space="4" w:color="auto"/>
          <w:bottom w:val="single" w:sz="6" w:space="1" w:color="auto"/>
          <w:right w:val="single" w:sz="6" w:space="4" w:color="auto"/>
        </w:pBdr>
        <w:ind w:firstLine="720"/>
      </w:pPr>
      <w:r>
        <w:t>anatomical loss/loss of use of both buttocks</w:t>
      </w:r>
    </w:p>
    <w:p w:rsidR="00013EB8" w:rsidRDefault="00013EB8">
      <w:pPr>
        <w:widowControl w:val="0"/>
        <w:pBdr>
          <w:top w:val="single" w:sz="6" w:space="1" w:color="auto"/>
          <w:left w:val="single" w:sz="6" w:space="4" w:color="auto"/>
          <w:bottom w:val="single" w:sz="6" w:space="1" w:color="auto"/>
          <w:right w:val="single" w:sz="6" w:space="4" w:color="auto"/>
        </w:pBdr>
      </w:pPr>
      <w:r>
        <w:tab/>
        <w:t>anatomical loss of one eye/loss of use of one eye having only light perception</w:t>
      </w:r>
    </w:p>
    <w:p w:rsidR="00013EB8" w:rsidRDefault="00013EB8">
      <w:pPr>
        <w:widowControl w:val="0"/>
        <w:pBdr>
          <w:top w:val="single" w:sz="6" w:space="1" w:color="auto"/>
          <w:left w:val="single" w:sz="6" w:space="4" w:color="auto"/>
          <w:bottom w:val="single" w:sz="6" w:space="1" w:color="auto"/>
          <w:right w:val="single" w:sz="6" w:space="4" w:color="auto"/>
        </w:pBdr>
      </w:pPr>
      <w:r>
        <w:tab/>
        <w:t>anatomical loss/loss of use of one foot</w:t>
      </w:r>
    </w:p>
    <w:p w:rsidR="00013EB8" w:rsidRDefault="00013EB8">
      <w:pPr>
        <w:widowControl w:val="0"/>
        <w:pBdr>
          <w:top w:val="single" w:sz="6" w:space="1" w:color="auto"/>
          <w:left w:val="single" w:sz="6" w:space="4" w:color="auto"/>
          <w:bottom w:val="single" w:sz="6" w:space="1" w:color="auto"/>
          <w:right w:val="single" w:sz="6" w:space="4" w:color="auto"/>
        </w:pBdr>
        <w:ind w:firstLine="720"/>
      </w:pPr>
      <w:r>
        <w:t>anatomical loss/loss of use of one hand</w:t>
      </w:r>
    </w:p>
    <w:p w:rsidR="00013EB8" w:rsidRDefault="00013EB8">
      <w:pPr>
        <w:widowControl w:val="0"/>
        <w:pBdr>
          <w:top w:val="single" w:sz="6" w:space="1" w:color="auto"/>
          <w:left w:val="single" w:sz="6" w:space="4" w:color="auto"/>
          <w:bottom w:val="single" w:sz="6" w:space="1" w:color="auto"/>
          <w:right w:val="single" w:sz="6" w:space="4" w:color="auto"/>
        </w:pBdr>
        <w:ind w:firstLine="720"/>
      </w:pPr>
      <w:r>
        <w:t>anatomical loss of one or both breasts (including loss by mastectomy)</w:t>
      </w:r>
    </w:p>
    <w:p w:rsidR="00013EB8" w:rsidRDefault="00013EB8">
      <w:pPr>
        <w:widowControl w:val="0"/>
        <w:pBdr>
          <w:top w:val="single" w:sz="6" w:space="1" w:color="auto"/>
          <w:left w:val="single" w:sz="6" w:space="4" w:color="auto"/>
          <w:bottom w:val="single" w:sz="6" w:space="1" w:color="auto"/>
          <w:right w:val="single" w:sz="6" w:space="4" w:color="auto"/>
        </w:pBdr>
        <w:ind w:firstLine="720"/>
      </w:pPr>
      <w:r>
        <w:t>complete organic aphonia with constant inability to communicate by speech</w:t>
      </w:r>
    </w:p>
    <w:p w:rsidR="00013EB8" w:rsidRDefault="00013EB8">
      <w:pPr>
        <w:widowControl w:val="0"/>
        <w:pBdr>
          <w:top w:val="single" w:sz="6" w:space="1" w:color="auto"/>
          <w:left w:val="single" w:sz="6" w:space="4" w:color="auto"/>
          <w:bottom w:val="single" w:sz="6" w:space="1" w:color="auto"/>
          <w:right w:val="single" w:sz="6" w:space="4" w:color="auto"/>
        </w:pBdr>
        <w:ind w:firstLine="720"/>
        <w:rPr>
          <w:i/>
          <w:iCs/>
        </w:rPr>
      </w:pPr>
      <w:r>
        <w:t xml:space="preserve">deafness of both ears, having absence of air &amp; bone conduction </w:t>
      </w:r>
      <w:r>
        <w:rPr>
          <w:i/>
          <w:iCs/>
          <w:sz w:val="18"/>
        </w:rPr>
        <w:t>(both at XI, 100%)</w:t>
      </w:r>
    </w:p>
    <w:p w:rsidR="00013EB8" w:rsidRDefault="00013EB8">
      <w:pPr>
        <w:widowControl w:val="0"/>
        <w:pBdr>
          <w:top w:val="single" w:sz="6" w:space="1" w:color="auto"/>
          <w:left w:val="single" w:sz="6" w:space="4" w:color="auto"/>
          <w:bottom w:val="single" w:sz="6" w:space="1" w:color="auto"/>
          <w:right w:val="single" w:sz="6" w:space="4" w:color="auto"/>
        </w:pBdr>
        <w:rPr>
          <w:i/>
          <w:iCs/>
          <w:sz w:val="18"/>
        </w:rPr>
      </w:pPr>
      <w:r>
        <w:rPr>
          <w:i/>
          <w:iCs/>
          <w:sz w:val="18"/>
        </w:rPr>
        <w:t>*there is an optional sentence which says “Not payable concurrently with SMC under subsection (l))”</w:t>
      </w:r>
    </w:p>
    <w:p w:rsidR="0064753A" w:rsidRDefault="0064753A" w:rsidP="0064753A">
      <w:pPr>
        <w:widowControl w:val="0"/>
      </w:pPr>
    </w:p>
    <w:p w:rsidR="0064753A" w:rsidRPr="00504581" w:rsidRDefault="0064753A" w:rsidP="0064753A">
      <w:pPr>
        <w:widowControl w:val="0"/>
        <w:tabs>
          <w:tab w:val="left" w:pos="0"/>
        </w:tabs>
        <w:rPr>
          <w:i/>
        </w:rPr>
      </w:pPr>
      <w:r w:rsidRPr="00504581">
        <w:rPr>
          <w:i/>
          <w:iCs/>
        </w:rPr>
        <w:t>*</w:t>
      </w:r>
      <w:r w:rsidRPr="0064753A">
        <w:rPr>
          <w:i/>
          <w:iCs/>
        </w:rPr>
        <w:t xml:space="preserve">disability must be </w:t>
      </w:r>
      <w:r w:rsidR="006B2A5A" w:rsidRPr="006B2A5A">
        <w:rPr>
          <w:b/>
          <w:i/>
          <w:iCs/>
          <w:highlight w:val="cyan"/>
        </w:rPr>
        <w:t>PERMANENT</w:t>
      </w:r>
    </w:p>
    <w:p w:rsidR="00013EB8" w:rsidRDefault="005604B8">
      <w:pPr>
        <w:widowControl w:val="0"/>
        <w:pBdr>
          <w:top w:val="single" w:sz="6" w:space="1" w:color="auto"/>
          <w:left w:val="single" w:sz="6" w:space="4" w:color="auto"/>
          <w:bottom w:val="single" w:sz="6" w:space="1" w:color="auto"/>
          <w:right w:val="single" w:sz="6" w:space="4" w:color="auto"/>
        </w:pBdr>
      </w:pPr>
      <w:r>
        <w:rPr>
          <w:b/>
        </w:rPr>
        <w:t>L</w:t>
      </w:r>
      <w:r w:rsidR="00013EB8">
        <w:rPr>
          <w:b/>
        </w:rPr>
        <w:t>1</w:t>
      </w:r>
      <w:r w:rsidR="00013EB8">
        <w:t xml:space="preserve"> = </w:t>
      </w:r>
      <w:r w:rsidR="00013EB8">
        <w:tab/>
        <w:t xml:space="preserve">anatomical loss/loss of use of both feet </w:t>
      </w:r>
      <w:r w:rsidR="00013EB8">
        <w:rPr>
          <w:i/>
          <w:iCs/>
          <w:sz w:val="18"/>
        </w:rPr>
        <w:t>(various combinations)</w:t>
      </w:r>
    </w:p>
    <w:p w:rsidR="00013EB8" w:rsidRDefault="00013EB8">
      <w:pPr>
        <w:widowControl w:val="0"/>
        <w:pBdr>
          <w:top w:val="single" w:sz="6" w:space="1" w:color="auto"/>
          <w:left w:val="single" w:sz="6" w:space="4" w:color="auto"/>
          <w:bottom w:val="single" w:sz="6" w:space="1" w:color="auto"/>
          <w:right w:val="single" w:sz="6" w:space="4" w:color="auto"/>
        </w:pBdr>
        <w:tabs>
          <w:tab w:val="left" w:pos="0"/>
        </w:tabs>
      </w:pPr>
      <w:r>
        <w:tab/>
        <w:t xml:space="preserve">anatomical loss/loss of use of one hand and one foot </w:t>
      </w:r>
      <w:r>
        <w:rPr>
          <w:i/>
          <w:iCs/>
          <w:sz w:val="18"/>
        </w:rPr>
        <w:t>(various combinations)</w:t>
      </w:r>
    </w:p>
    <w:p w:rsidR="00013EB8" w:rsidRDefault="00013EB8">
      <w:pPr>
        <w:widowControl w:val="0"/>
        <w:pBdr>
          <w:top w:val="single" w:sz="6" w:space="1" w:color="auto"/>
          <w:left w:val="single" w:sz="6" w:space="4" w:color="auto"/>
          <w:bottom w:val="single" w:sz="6" w:space="1" w:color="auto"/>
          <w:right w:val="single" w:sz="6" w:space="4" w:color="auto"/>
        </w:pBdr>
        <w:tabs>
          <w:tab w:val="left" w:pos="0"/>
        </w:tabs>
      </w:pPr>
      <w:r>
        <w:tab/>
        <w:t>being permanently bedridden</w:t>
      </w:r>
    </w:p>
    <w:p w:rsidR="00013EB8" w:rsidRDefault="00013EB8">
      <w:pPr>
        <w:widowControl w:val="0"/>
        <w:pBdr>
          <w:top w:val="single" w:sz="6" w:space="1" w:color="auto"/>
          <w:left w:val="single" w:sz="6" w:space="4" w:color="auto"/>
          <w:bottom w:val="single" w:sz="6" w:space="1" w:color="auto"/>
          <w:right w:val="single" w:sz="6" w:space="4" w:color="auto"/>
        </w:pBdr>
        <w:tabs>
          <w:tab w:val="left" w:pos="0"/>
        </w:tabs>
      </w:pPr>
      <w:r>
        <w:tab/>
        <w:t>being so helpless as to be in need of regular aid and attendance</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00" w:hanging="700"/>
        <w:rPr>
          <w:sz w:val="18"/>
        </w:rPr>
      </w:pPr>
      <w:r>
        <w:rPr>
          <w:b/>
        </w:rPr>
        <w:t>L</w:t>
      </w:r>
      <w:r w:rsidR="00013EB8">
        <w:rPr>
          <w:b/>
        </w:rPr>
        <w:t>2</w:t>
      </w:r>
      <w:r w:rsidR="00013EB8">
        <w:t xml:space="preserve"> = </w:t>
      </w:r>
      <w:r w:rsidR="00013EB8">
        <w:tab/>
        <w:t xml:space="preserve">anatomical loss/loss of use of one foot/hand with the anatomical loss/loss of use of one arm/leg at a level or with complications preventing natural elbow/knee action with prosthesis = L½ </w:t>
      </w:r>
      <w:r w:rsidR="00013EB8">
        <w:rPr>
          <w:i/>
          <w:sz w:val="18"/>
        </w:rPr>
        <w:t>(from P)</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pPr>
      <w:r>
        <w:rPr>
          <w:b/>
        </w:rPr>
        <w:t>LB</w:t>
      </w:r>
      <w:r w:rsidR="00013EB8">
        <w:rPr>
          <w:b/>
        </w:rPr>
        <w:t>1</w:t>
      </w:r>
      <w:r w:rsidR="00013EB8">
        <w:t xml:space="preserve"> = </w:t>
      </w:r>
      <w:r w:rsidR="00013EB8">
        <w:tab/>
        <w:t>blindness in both eyes at 5/200 or less</w:t>
      </w:r>
    </w:p>
    <w:p w:rsidR="00013EB8" w:rsidRDefault="00013EB8">
      <w:pPr>
        <w:widowControl w:val="0"/>
        <w:pBdr>
          <w:top w:val="single" w:sz="6" w:space="1" w:color="auto"/>
          <w:left w:val="single" w:sz="6" w:space="4" w:color="auto"/>
          <w:bottom w:val="single" w:sz="6" w:space="1" w:color="auto"/>
          <w:right w:val="single" w:sz="6" w:space="4" w:color="auto"/>
        </w:pBdr>
        <w:rPr>
          <w:b/>
        </w:rPr>
      </w:pPr>
    </w:p>
    <w:p w:rsidR="00013EB8" w:rsidRDefault="00013EB8">
      <w:pPr>
        <w:widowControl w:val="0"/>
        <w:pBdr>
          <w:top w:val="single" w:sz="6" w:space="1" w:color="auto"/>
          <w:left w:val="single" w:sz="6" w:space="4" w:color="auto"/>
          <w:bottom w:val="single" w:sz="6" w:space="1" w:color="auto"/>
          <w:right w:val="single" w:sz="6" w:space="4" w:color="auto"/>
        </w:pBdr>
        <w:ind w:left="700" w:hanging="700"/>
        <w:rPr>
          <w:sz w:val="18"/>
        </w:rPr>
      </w:pPr>
      <w:r>
        <w:rPr>
          <w:b/>
        </w:rPr>
        <w:t>LB2</w:t>
      </w:r>
      <w:r>
        <w:t xml:space="preserve"> =</w:t>
      </w:r>
      <w:r>
        <w:tab/>
        <w:t xml:space="preserve">blindness of one eye at 5/200 or less and blindness of the other eye having only light perception = L½ </w:t>
      </w:r>
      <w:r>
        <w:rPr>
          <w:i/>
          <w:sz w:val="18"/>
        </w:rPr>
        <w:t>(from P)</w:t>
      </w:r>
    </w:p>
    <w:p w:rsidR="0064753A" w:rsidRDefault="0064753A" w:rsidP="0064753A">
      <w:pPr>
        <w:widowControl w:val="0"/>
      </w:pPr>
    </w:p>
    <w:p w:rsidR="0064753A" w:rsidRPr="00504581" w:rsidRDefault="0064753A" w:rsidP="0064753A">
      <w:pPr>
        <w:widowControl w:val="0"/>
        <w:tabs>
          <w:tab w:val="left" w:pos="0"/>
        </w:tabs>
        <w:rPr>
          <w:i/>
        </w:rPr>
      </w:pPr>
      <w:r w:rsidRPr="00504581">
        <w:rPr>
          <w:i/>
          <w:iCs/>
        </w:rPr>
        <w:t>*</w:t>
      </w:r>
      <w:r w:rsidRPr="0064753A">
        <w:rPr>
          <w:i/>
          <w:iCs/>
        </w:rPr>
        <w:t xml:space="preserve">disability must be </w:t>
      </w:r>
      <w:r w:rsidR="006B2A5A" w:rsidRPr="006B2A5A">
        <w:rPr>
          <w:b/>
          <w:i/>
          <w:iCs/>
          <w:highlight w:val="cyan"/>
        </w:rPr>
        <w:t>PERMANENT</w:t>
      </w:r>
    </w:p>
    <w:p w:rsidR="00013EB8" w:rsidRDefault="00013EB8">
      <w:pPr>
        <w:widowControl w:val="0"/>
        <w:pBdr>
          <w:top w:val="single" w:sz="6" w:space="1" w:color="auto"/>
          <w:left w:val="single" w:sz="6" w:space="4" w:color="auto"/>
          <w:bottom w:val="single" w:sz="6" w:space="1" w:color="auto"/>
          <w:right w:val="single" w:sz="6" w:space="4" w:color="auto"/>
        </w:pBdr>
      </w:pPr>
      <w:r>
        <w:rPr>
          <w:b/>
        </w:rPr>
        <w:t>M1</w:t>
      </w:r>
      <w:r>
        <w:t xml:space="preserve"> = </w:t>
      </w:r>
      <w:r>
        <w:tab/>
        <w:t xml:space="preserve">anatomical loss/loss of use of both hands </w:t>
      </w:r>
      <w:r>
        <w:rPr>
          <w:i/>
          <w:iCs/>
          <w:sz w:val="18"/>
        </w:rPr>
        <w:t>(various combinations)</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00" w:hanging="700"/>
      </w:pPr>
      <w:r>
        <w:rPr>
          <w:b/>
        </w:rPr>
        <w:t>M</w:t>
      </w:r>
      <w:r w:rsidR="00013EB8">
        <w:rPr>
          <w:b/>
        </w:rPr>
        <w:t>2</w:t>
      </w:r>
      <w:r w:rsidR="00013EB8">
        <w:t xml:space="preserve"> = </w:t>
      </w:r>
      <w:r w:rsidR="00013EB8">
        <w:tab/>
        <w:t>anatomical loss/loss of use of one leg at a level or with complications preventing natural knee action with prosthesis in place and anatomical loss/loss of use of one arm/the other leg at a level or with complications preventing natural elbow/knee action with prosthesis in place</w:t>
      </w:r>
    </w:p>
    <w:p w:rsidR="00013EB8" w:rsidRDefault="00013EB8">
      <w:pPr>
        <w:widowControl w:val="0"/>
        <w:pBdr>
          <w:top w:val="single" w:sz="6" w:space="1" w:color="auto"/>
          <w:left w:val="single" w:sz="6" w:space="4" w:color="auto"/>
          <w:bottom w:val="single" w:sz="6" w:space="1" w:color="auto"/>
          <w:right w:val="single" w:sz="6" w:space="4" w:color="auto"/>
        </w:pBdr>
      </w:pPr>
      <w:r>
        <w:tab/>
      </w:r>
    </w:p>
    <w:p w:rsidR="00013EB8" w:rsidRDefault="005604B8">
      <w:pPr>
        <w:widowControl w:val="0"/>
        <w:pBdr>
          <w:top w:val="single" w:sz="6" w:space="1" w:color="auto"/>
          <w:left w:val="single" w:sz="6" w:space="4" w:color="auto"/>
          <w:bottom w:val="single" w:sz="6" w:space="1" w:color="auto"/>
          <w:right w:val="single" w:sz="6" w:space="4" w:color="auto"/>
        </w:pBdr>
        <w:ind w:left="700" w:hanging="700"/>
      </w:pPr>
      <w:r>
        <w:rPr>
          <w:b/>
        </w:rPr>
        <w:t>M</w:t>
      </w:r>
      <w:r w:rsidR="00013EB8">
        <w:rPr>
          <w:b/>
        </w:rPr>
        <w:t>3</w:t>
      </w:r>
      <w:r w:rsidR="00013EB8">
        <w:t xml:space="preserve"> = </w:t>
      </w:r>
      <w:r w:rsidR="00013EB8">
        <w:tab/>
        <w:t xml:space="preserve">anatomical loss/loss of use of one foot/hand with the anatomical loss/loss of use of one arm/leg so near the hip/shoulder as to prevent the use of a prosthetic appliance </w:t>
      </w:r>
      <w:r w:rsidR="00013EB8">
        <w:rPr>
          <w:i/>
          <w:sz w:val="18"/>
        </w:rPr>
        <w:t>(from P)</w:t>
      </w:r>
    </w:p>
    <w:p w:rsidR="00013EB8" w:rsidRDefault="00013EB8">
      <w:pPr>
        <w:widowControl w:val="0"/>
        <w:pBdr>
          <w:top w:val="single" w:sz="6" w:space="1" w:color="auto"/>
          <w:left w:val="single" w:sz="6" w:space="4" w:color="auto"/>
          <w:bottom w:val="single" w:sz="6" w:space="1" w:color="auto"/>
          <w:right w:val="single" w:sz="6" w:space="4" w:color="auto"/>
        </w:pBdr>
        <w:ind w:firstLine="720"/>
      </w:pPr>
    </w:p>
    <w:p w:rsidR="00013EB8" w:rsidRDefault="005604B8">
      <w:pPr>
        <w:widowControl w:val="0"/>
        <w:pBdr>
          <w:top w:val="single" w:sz="6" w:space="1" w:color="auto"/>
          <w:left w:val="single" w:sz="6" w:space="4" w:color="auto"/>
          <w:bottom w:val="single" w:sz="6" w:space="1" w:color="auto"/>
          <w:right w:val="single" w:sz="6" w:space="4" w:color="auto"/>
        </w:pBdr>
        <w:ind w:left="700" w:hanging="700"/>
        <w:rPr>
          <w:i/>
        </w:rPr>
      </w:pPr>
      <w:r>
        <w:rPr>
          <w:b/>
        </w:rPr>
        <w:t>M</w:t>
      </w:r>
      <w:r w:rsidR="00013EB8">
        <w:rPr>
          <w:b/>
        </w:rPr>
        <w:t>4</w:t>
      </w:r>
      <w:r w:rsidR="00013EB8">
        <w:t xml:space="preserve"> = </w:t>
      </w:r>
      <w:r w:rsidR="00013EB8">
        <w:tab/>
        <w:t xml:space="preserve">anatomical loss/loss of use of one arm/leg at a level preventing natural elbow/knee action with prosthesis in place with the anatomical loss of one leg/one arm/the other leg so near the hip/shoulder as to prevent the use of a prosthetic appliance = M½ </w:t>
      </w:r>
      <w:r w:rsidR="00013EB8">
        <w:rPr>
          <w:i/>
          <w:sz w:val="18"/>
        </w:rPr>
        <w:t>(from P)</w:t>
      </w:r>
    </w:p>
    <w:p w:rsidR="00013EB8" w:rsidRDefault="00013EB8">
      <w:pPr>
        <w:widowControl w:val="0"/>
        <w:pBdr>
          <w:top w:val="single" w:sz="6" w:space="1" w:color="auto"/>
          <w:left w:val="single" w:sz="6" w:space="4" w:color="auto"/>
          <w:bottom w:val="single" w:sz="6" w:space="1" w:color="auto"/>
          <w:right w:val="single" w:sz="6" w:space="4" w:color="auto"/>
        </w:pBdr>
        <w:rPr>
          <w:b/>
        </w:rPr>
      </w:pPr>
    </w:p>
    <w:p w:rsidR="00013EB8" w:rsidRDefault="005604B8">
      <w:pPr>
        <w:widowControl w:val="0"/>
        <w:pBdr>
          <w:top w:val="single" w:sz="6" w:space="1" w:color="auto"/>
          <w:left w:val="single" w:sz="6" w:space="4" w:color="auto"/>
          <w:bottom w:val="single" w:sz="6" w:space="1" w:color="auto"/>
          <w:right w:val="single" w:sz="6" w:space="4" w:color="auto"/>
        </w:pBdr>
        <w:ind w:left="700" w:hanging="700"/>
        <w:rPr>
          <w:i/>
        </w:rPr>
      </w:pPr>
      <w:r>
        <w:rPr>
          <w:b/>
        </w:rPr>
        <w:t>M</w:t>
      </w:r>
      <w:r w:rsidR="00013EB8">
        <w:rPr>
          <w:b/>
        </w:rPr>
        <w:t>5</w:t>
      </w:r>
      <w:r w:rsidR="00013EB8">
        <w:t xml:space="preserve"> =</w:t>
      </w:r>
      <w:r w:rsidR="00013EB8">
        <w:tab/>
        <w:t xml:space="preserve">anatomical loss/loss of use of one hand with the anatomical loss/loss of use of one arm at a level or with complications preventing natural elbow action with prosthesis in place = M½ </w:t>
      </w:r>
      <w:r w:rsidR="00013EB8">
        <w:rPr>
          <w:i/>
          <w:sz w:val="18"/>
        </w:rPr>
        <w:t>(from P)</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00" w:hanging="700"/>
      </w:pPr>
      <w:r>
        <w:rPr>
          <w:b/>
        </w:rPr>
        <w:t>MB</w:t>
      </w:r>
      <w:r w:rsidR="00013EB8">
        <w:rPr>
          <w:b/>
        </w:rPr>
        <w:t>1</w:t>
      </w:r>
      <w:r w:rsidR="00013EB8">
        <w:t xml:space="preserve"> =</w:t>
      </w:r>
      <w:r w:rsidR="00013EB8">
        <w:tab/>
        <w:t>blindness in both eyes having only light perception/rendering the veteran so helpless as to be in need of regular aid and attendance</w:t>
      </w:r>
    </w:p>
    <w:p w:rsidR="00013EB8" w:rsidRDefault="00013EB8">
      <w:pPr>
        <w:widowControl w:val="0"/>
        <w:pBdr>
          <w:top w:val="single" w:sz="6" w:space="1" w:color="auto"/>
          <w:left w:val="single" w:sz="6" w:space="4" w:color="auto"/>
          <w:bottom w:val="single" w:sz="6" w:space="1" w:color="auto"/>
          <w:right w:val="single" w:sz="6" w:space="4" w:color="auto"/>
        </w:pBdr>
        <w:ind w:firstLine="720"/>
      </w:pPr>
    </w:p>
    <w:p w:rsidR="00013EB8" w:rsidRDefault="005604B8">
      <w:pPr>
        <w:widowControl w:val="0"/>
        <w:pBdr>
          <w:top w:val="single" w:sz="6" w:space="1" w:color="auto"/>
          <w:left w:val="single" w:sz="6" w:space="4" w:color="auto"/>
          <w:bottom w:val="single" w:sz="6" w:space="1" w:color="auto"/>
          <w:right w:val="single" w:sz="6" w:space="4" w:color="auto"/>
        </w:pBdr>
        <w:ind w:left="700" w:hanging="700"/>
        <w:rPr>
          <w:i/>
        </w:rPr>
      </w:pPr>
      <w:r>
        <w:rPr>
          <w:b/>
        </w:rPr>
        <w:t>MB</w:t>
      </w:r>
      <w:r w:rsidR="00013EB8">
        <w:rPr>
          <w:b/>
        </w:rPr>
        <w:t>2</w:t>
      </w:r>
      <w:r w:rsidR="00013EB8">
        <w:t xml:space="preserve"> =</w:t>
      </w:r>
      <w:r w:rsidR="00013EB8">
        <w:tab/>
        <w:t xml:space="preserve">blindness of one eye with 5/200 or less and anatomical loss of the other eye/blindness of the other eye having no light perception </w:t>
      </w:r>
      <w:r w:rsidR="00013EB8">
        <w:rPr>
          <w:i/>
          <w:sz w:val="18"/>
        </w:rPr>
        <w:t>(from P)</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00" w:hanging="700"/>
      </w:pPr>
      <w:r>
        <w:rPr>
          <w:b/>
        </w:rPr>
        <w:t>MB</w:t>
      </w:r>
      <w:r w:rsidR="00013EB8">
        <w:rPr>
          <w:b/>
        </w:rPr>
        <w:t>3</w:t>
      </w:r>
      <w:r w:rsidR="00013EB8">
        <w:t xml:space="preserve"> =</w:t>
      </w:r>
      <w:r w:rsidR="00013EB8">
        <w:tab/>
        <w:t xml:space="preserve">blindness in one eye having only light perception and anatomical loss of the other eye/blindness of the other eye having no light perception = M½ </w:t>
      </w:r>
      <w:r w:rsidR="00013EB8">
        <w:rPr>
          <w:i/>
          <w:sz w:val="18"/>
        </w:rPr>
        <w:t>(from P)</w:t>
      </w:r>
    </w:p>
    <w:p w:rsidR="0064753A" w:rsidRDefault="0064753A" w:rsidP="0064753A">
      <w:pPr>
        <w:widowControl w:val="0"/>
      </w:pPr>
    </w:p>
    <w:p w:rsidR="0064753A" w:rsidRPr="00504581" w:rsidRDefault="0064753A" w:rsidP="0064753A">
      <w:pPr>
        <w:widowControl w:val="0"/>
        <w:tabs>
          <w:tab w:val="left" w:pos="0"/>
        </w:tabs>
        <w:rPr>
          <w:i/>
        </w:rPr>
      </w:pPr>
      <w:r w:rsidRPr="00504581">
        <w:rPr>
          <w:i/>
          <w:iCs/>
        </w:rPr>
        <w:t>*</w:t>
      </w:r>
      <w:r w:rsidRPr="0064753A">
        <w:rPr>
          <w:i/>
          <w:iCs/>
        </w:rPr>
        <w:t xml:space="preserve">disability must be </w:t>
      </w:r>
      <w:r w:rsidR="006B2A5A" w:rsidRPr="006B2A5A">
        <w:rPr>
          <w:b/>
          <w:i/>
          <w:iCs/>
          <w:highlight w:val="cyan"/>
        </w:rPr>
        <w:t>PERMANENT</w:t>
      </w:r>
    </w:p>
    <w:p w:rsidR="00013EB8" w:rsidRDefault="005604B8">
      <w:pPr>
        <w:widowControl w:val="0"/>
        <w:pBdr>
          <w:top w:val="single" w:sz="6" w:space="1" w:color="auto"/>
          <w:left w:val="single" w:sz="6" w:space="4" w:color="auto"/>
          <w:bottom w:val="single" w:sz="6" w:space="1" w:color="auto"/>
          <w:right w:val="single" w:sz="6" w:space="4" w:color="auto"/>
        </w:pBdr>
        <w:ind w:left="700" w:hanging="700"/>
      </w:pPr>
      <w:r>
        <w:rPr>
          <w:b/>
        </w:rPr>
        <w:t>N</w:t>
      </w:r>
      <w:r w:rsidR="00013EB8">
        <w:rPr>
          <w:b/>
        </w:rPr>
        <w:t>1</w:t>
      </w:r>
      <w:r w:rsidR="00013EB8">
        <w:t xml:space="preserve"> =</w:t>
      </w:r>
      <w:r w:rsidR="00013EB8">
        <w:tab/>
        <w:t>anatomical loss/loss of use of both arms at a level or with complications preventing natural elbow action with prosthesis in place</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00" w:hanging="700"/>
      </w:pPr>
      <w:r>
        <w:rPr>
          <w:b/>
        </w:rPr>
        <w:t>N</w:t>
      </w:r>
      <w:r w:rsidR="00013EB8">
        <w:rPr>
          <w:b/>
        </w:rPr>
        <w:t>2</w:t>
      </w:r>
      <w:r w:rsidR="00013EB8">
        <w:t xml:space="preserve"> =</w:t>
      </w:r>
      <w:r w:rsidR="00013EB8">
        <w:tab/>
        <w:t>anatomical loss/loss of use of one leg so near the hip as to prevent the use of a prosthetic appliance and the anatomical loss of one arm/the other leg so near the hip/shoulder as to prevent the use of a prosthetic appliance</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00" w:hanging="700"/>
      </w:pPr>
      <w:r>
        <w:rPr>
          <w:b/>
        </w:rPr>
        <w:t>N</w:t>
      </w:r>
      <w:r w:rsidR="00013EB8">
        <w:rPr>
          <w:b/>
        </w:rPr>
        <w:t>3</w:t>
      </w:r>
      <w:r w:rsidR="00013EB8">
        <w:t xml:space="preserve"> =</w:t>
      </w:r>
      <w:r w:rsidR="00013EB8">
        <w:tab/>
        <w:t xml:space="preserve">anatomical loss/loss of use of one hand with the anatomical loss of one arm so near the shoulder as to prevent the use of a prosthetic appliance </w:t>
      </w:r>
      <w:r w:rsidR="00013EB8">
        <w:rPr>
          <w:i/>
          <w:sz w:val="18"/>
        </w:rPr>
        <w:t>(from P)</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00" w:hanging="700"/>
      </w:pPr>
      <w:r>
        <w:rPr>
          <w:b/>
        </w:rPr>
        <w:t>N</w:t>
      </w:r>
      <w:r w:rsidR="00013EB8">
        <w:rPr>
          <w:b/>
        </w:rPr>
        <w:t>4</w:t>
      </w:r>
      <w:r w:rsidR="00013EB8">
        <w:t xml:space="preserve"> =</w:t>
      </w:r>
      <w:r w:rsidR="00013EB8">
        <w:tab/>
        <w:t xml:space="preserve">anatomical loss/loss of use of one arm at a level or with complications preventing natural elbow action with prosthesis in place with the anatomical loss of the other arm so near the shoulder as to prevent the use of a prosthetic appliance = N½ </w:t>
      </w:r>
      <w:r w:rsidR="00013EB8">
        <w:rPr>
          <w:i/>
          <w:sz w:val="18"/>
        </w:rPr>
        <w:t>(from P)</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pPr>
      <w:r>
        <w:rPr>
          <w:b/>
        </w:rPr>
        <w:t>NB</w:t>
      </w:r>
      <w:r w:rsidR="00013EB8">
        <w:rPr>
          <w:b/>
        </w:rPr>
        <w:t>1</w:t>
      </w:r>
      <w:r w:rsidR="00013EB8">
        <w:t xml:space="preserve"> =</w:t>
      </w:r>
      <w:r w:rsidR="00013EB8">
        <w:tab/>
        <w:t xml:space="preserve">anatomical loss/blindness without light perception in both eyes </w:t>
      </w:r>
      <w:r w:rsidR="00013EB8">
        <w:rPr>
          <w:i/>
          <w:iCs/>
          <w:sz w:val="18"/>
        </w:rPr>
        <w:t>(three combinations)</w:t>
      </w:r>
    </w:p>
    <w:p w:rsidR="00013EB8" w:rsidRDefault="00013EB8">
      <w:pPr>
        <w:widowControl w:val="0"/>
      </w:pPr>
    </w:p>
    <w:p w:rsidR="00504581" w:rsidRPr="00504581" w:rsidRDefault="00504581" w:rsidP="00504581">
      <w:pPr>
        <w:widowControl w:val="0"/>
        <w:tabs>
          <w:tab w:val="left" w:pos="0"/>
        </w:tabs>
        <w:rPr>
          <w:i/>
        </w:rPr>
      </w:pPr>
      <w:r w:rsidRPr="00504581">
        <w:rPr>
          <w:i/>
          <w:iCs/>
        </w:rPr>
        <w:t>*</w:t>
      </w:r>
      <w:r w:rsidR="0064753A" w:rsidRPr="0064753A">
        <w:rPr>
          <w:i/>
          <w:iCs/>
        </w:rPr>
        <w:t xml:space="preserve">disability must be </w:t>
      </w:r>
      <w:r w:rsidR="006B2A5A" w:rsidRPr="006B2A5A">
        <w:rPr>
          <w:b/>
          <w:i/>
          <w:iCs/>
          <w:highlight w:val="cyan"/>
        </w:rPr>
        <w:t>PERMANENT</w:t>
      </w:r>
    </w:p>
    <w:p w:rsidR="00013EB8" w:rsidRDefault="005604B8">
      <w:pPr>
        <w:widowControl w:val="0"/>
        <w:pBdr>
          <w:top w:val="single" w:sz="6" w:space="1" w:color="auto"/>
          <w:left w:val="single" w:sz="6" w:space="4" w:color="auto"/>
          <w:bottom w:val="single" w:sz="6" w:space="1" w:color="auto"/>
          <w:right w:val="single" w:sz="6" w:space="4" w:color="auto"/>
        </w:pBdr>
      </w:pPr>
      <w:r>
        <w:rPr>
          <w:b/>
        </w:rPr>
        <w:t>O</w:t>
      </w:r>
      <w:r w:rsidR="00013EB8">
        <w:rPr>
          <w:b/>
        </w:rPr>
        <w:t>1</w:t>
      </w:r>
      <w:r w:rsidR="00013EB8">
        <w:t xml:space="preserve"> = </w:t>
      </w:r>
      <w:r w:rsidR="00013EB8">
        <w:tab/>
        <w:t>anatomical loss of both arms so near the shoulders as to prevent the use of prosthetic appliances</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013EB8">
      <w:pPr>
        <w:widowControl w:val="0"/>
        <w:pBdr>
          <w:top w:val="single" w:sz="6" w:space="1" w:color="auto"/>
          <w:left w:val="single" w:sz="6" w:space="4" w:color="auto"/>
          <w:bottom w:val="single" w:sz="6" w:space="1" w:color="auto"/>
          <w:right w:val="single" w:sz="6" w:space="4" w:color="auto"/>
        </w:pBdr>
        <w:ind w:left="720" w:hanging="720"/>
        <w:rPr>
          <w:i/>
          <w:iCs/>
          <w:sz w:val="18"/>
        </w:rPr>
      </w:pPr>
      <w:r>
        <w:rPr>
          <w:b/>
        </w:rPr>
        <w:t>O2</w:t>
      </w:r>
      <w:r>
        <w:t xml:space="preserve"> = </w:t>
      </w:r>
      <w:r>
        <w:tab/>
        <w:t xml:space="preserve">paraplegia with loss of use of both legs and loss of anal and bladder sphincter control </w:t>
      </w:r>
      <w:r>
        <w:rPr>
          <w:i/>
          <w:iCs/>
          <w:sz w:val="18"/>
        </w:rPr>
        <w:t>(will be at max O due to loss of use of both legs and helplessness)</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pPr>
      <w:r>
        <w:rPr>
          <w:b/>
        </w:rPr>
        <w:t>O</w:t>
      </w:r>
      <w:r w:rsidR="00013EB8">
        <w:rPr>
          <w:b/>
        </w:rPr>
        <w:t>3</w:t>
      </w:r>
      <w:r w:rsidR="00013EB8">
        <w:t xml:space="preserve"> = </w:t>
      </w:r>
      <w:r w:rsidR="00013EB8">
        <w:tab/>
      </w:r>
      <w:r w:rsidR="00013EB8">
        <w:rPr>
          <w:i/>
          <w:iCs/>
        </w:rPr>
        <w:t>two or more of L-N</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rsidP="00BE515A">
      <w:pPr>
        <w:widowControl w:val="0"/>
        <w:pBdr>
          <w:top w:val="single" w:sz="6" w:space="1" w:color="auto"/>
          <w:left w:val="single" w:sz="6" w:space="4" w:color="auto"/>
          <w:bottom w:val="single" w:sz="6" w:space="1" w:color="auto"/>
          <w:right w:val="single" w:sz="6" w:space="4" w:color="auto"/>
        </w:pBdr>
        <w:ind w:left="720" w:hanging="720"/>
        <w:rPr>
          <w:i/>
          <w:iCs/>
          <w:sz w:val="18"/>
        </w:rPr>
      </w:pPr>
      <w:r>
        <w:rPr>
          <w:b/>
        </w:rPr>
        <w:t>OB</w:t>
      </w:r>
      <w:r w:rsidR="00013EB8">
        <w:rPr>
          <w:b/>
        </w:rPr>
        <w:t>1</w:t>
      </w:r>
      <w:r w:rsidR="00013EB8">
        <w:t xml:space="preserve"> = </w:t>
      </w:r>
      <w:r w:rsidR="00BE515A">
        <w:t xml:space="preserve">  </w:t>
      </w:r>
      <w:r w:rsidR="00013EB8">
        <w:t xml:space="preserve">deafness at 60 percent or more </w:t>
      </w:r>
      <w:r w:rsidR="00013EB8">
        <w:rPr>
          <w:i/>
          <w:iCs/>
          <w:sz w:val="18"/>
        </w:rPr>
        <w:t>(only 1 ear has to be SC)</w:t>
      </w:r>
      <w:r w:rsidR="00013EB8">
        <w:t xml:space="preserve"> and bilateral blindness at 20/200 </w:t>
      </w:r>
      <w:r w:rsidR="00013EB8">
        <w:rPr>
          <w:i/>
          <w:iCs/>
          <w:sz w:val="18"/>
        </w:rPr>
        <w:t>(formerly 5/200)</w:t>
      </w:r>
      <w:r w:rsidR="00013EB8">
        <w:t xml:space="preserve"> or less </w:t>
      </w:r>
      <w:r w:rsidR="00013EB8">
        <w:rPr>
          <w:sz w:val="18"/>
        </w:rPr>
        <w:t>(</w:t>
      </w:r>
      <w:r w:rsidR="00013EB8">
        <w:rPr>
          <w:i/>
          <w:iCs/>
          <w:sz w:val="18"/>
        </w:rPr>
        <w:t>eff 12/26/07)</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tabs>
          <w:tab w:val="left" w:pos="720"/>
        </w:tabs>
        <w:ind w:left="720" w:hanging="720"/>
      </w:pPr>
      <w:r>
        <w:rPr>
          <w:b/>
        </w:rPr>
        <w:t>OB</w:t>
      </w:r>
      <w:r w:rsidR="00013EB8">
        <w:rPr>
          <w:b/>
        </w:rPr>
        <w:t>2</w:t>
      </w:r>
      <w:r w:rsidR="00013EB8">
        <w:t xml:space="preserve"> = </w:t>
      </w:r>
      <w:r w:rsidR="00013EB8">
        <w:tab/>
        <w:t xml:space="preserve">unilateral total deafness or bilateral deafness at 40 percent or more </w:t>
      </w:r>
      <w:r w:rsidR="00013EB8">
        <w:rPr>
          <w:i/>
          <w:iCs/>
          <w:sz w:val="18"/>
        </w:rPr>
        <w:t>(only 1 ear has to be SC)</w:t>
      </w:r>
      <w:r w:rsidR="00013EB8">
        <w:t xml:space="preserve"> and </w:t>
      </w:r>
      <w:r w:rsidR="00013EB8">
        <w:rPr>
          <w:i/>
          <w:iCs/>
          <w:sz w:val="18"/>
        </w:rPr>
        <w:t>(bilateral)</w:t>
      </w:r>
      <w:r w:rsidR="00013EB8">
        <w:t xml:space="preserve"> blindness having only light perception or less</w:t>
      </w:r>
    </w:p>
    <w:p w:rsidR="00013EB8" w:rsidRDefault="00013EB8">
      <w:pPr>
        <w:widowControl w:val="0"/>
      </w:pPr>
    </w:p>
    <w:p w:rsidR="00965B34" w:rsidRDefault="0064753A">
      <w:pPr>
        <w:widowControl w:val="0"/>
      </w:pPr>
      <w:r>
        <w:rPr>
          <w:i/>
          <w:iCs/>
        </w:rPr>
        <w:t>*</w:t>
      </w:r>
      <w:r w:rsidR="00965B34" w:rsidRPr="0064753A">
        <w:rPr>
          <w:i/>
          <w:iCs/>
        </w:rPr>
        <w:t>additional 50% or 100%</w:t>
      </w:r>
      <w:r w:rsidR="00965B34">
        <w:rPr>
          <w:iCs/>
        </w:rPr>
        <w:t xml:space="preserve"> </w:t>
      </w:r>
      <w:r w:rsidRPr="0064753A">
        <w:rPr>
          <w:i/>
          <w:iCs/>
        </w:rPr>
        <w:t xml:space="preserve">disability must be </w:t>
      </w:r>
      <w:r w:rsidR="006B2A5A" w:rsidRPr="006B2A5A">
        <w:rPr>
          <w:b/>
          <w:i/>
          <w:iCs/>
          <w:highlight w:val="cyan"/>
        </w:rPr>
        <w:t>PERMANENT</w:t>
      </w:r>
    </w:p>
    <w:p w:rsidR="00013EB8" w:rsidRDefault="005604B8">
      <w:pPr>
        <w:widowControl w:val="0"/>
        <w:pBdr>
          <w:top w:val="single" w:sz="6" w:space="1" w:color="auto"/>
          <w:left w:val="single" w:sz="6" w:space="4" w:color="auto"/>
          <w:bottom w:val="single" w:sz="6" w:space="1" w:color="auto"/>
          <w:right w:val="single" w:sz="6" w:space="4" w:color="auto"/>
        </w:pBdr>
      </w:pPr>
      <w:r>
        <w:rPr>
          <w:b/>
        </w:rPr>
        <w:t>P</w:t>
      </w:r>
      <w:r w:rsidR="00013EB8">
        <w:rPr>
          <w:b/>
        </w:rPr>
        <w:t>1</w:t>
      </w:r>
      <w:r w:rsidR="00013EB8">
        <w:t xml:space="preserve"> =</w:t>
      </w:r>
      <w:r w:rsidR="00013EB8">
        <w:tab/>
        <w:t xml:space="preserve">additional 50% = next higher, but no higher than O </w:t>
      </w:r>
      <w:r w:rsidR="002D0754">
        <w:rPr>
          <w:i/>
          <w:iCs/>
          <w:sz w:val="18"/>
        </w:rPr>
        <w:t>(can only use P1 or P</w:t>
      </w:r>
      <w:r w:rsidR="00013EB8">
        <w:rPr>
          <w:i/>
          <w:iCs/>
          <w:sz w:val="18"/>
        </w:rPr>
        <w:t>2, not both)</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00" w:hanging="700"/>
        <w:rPr>
          <w:sz w:val="18"/>
        </w:rPr>
      </w:pPr>
      <w:r>
        <w:rPr>
          <w:b/>
        </w:rPr>
        <w:t>P</w:t>
      </w:r>
      <w:r w:rsidR="00013EB8">
        <w:rPr>
          <w:b/>
        </w:rPr>
        <w:t>2</w:t>
      </w:r>
      <w:r w:rsidR="00013EB8">
        <w:t xml:space="preserve"> =</w:t>
      </w:r>
      <w:r w:rsidR="00013EB8">
        <w:tab/>
        <w:t xml:space="preserve">additional 100% = next higher, but no higher than O </w:t>
      </w:r>
      <w:r w:rsidR="00013EB8">
        <w:rPr>
          <w:i/>
          <w:iCs/>
          <w:sz w:val="18"/>
        </w:rPr>
        <w:t>(4.16 applies; cannot use with temporary 100% under paragraph 30) (can only use P</w:t>
      </w:r>
      <w:r w:rsidR="002D0754">
        <w:rPr>
          <w:i/>
          <w:iCs/>
          <w:sz w:val="18"/>
        </w:rPr>
        <w:t>1 or P</w:t>
      </w:r>
      <w:r w:rsidR="00013EB8">
        <w:rPr>
          <w:i/>
          <w:iCs/>
          <w:sz w:val="18"/>
        </w:rPr>
        <w:t>2, not both)</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pPr>
      <w:r>
        <w:rPr>
          <w:b/>
        </w:rPr>
        <w:t>P</w:t>
      </w:r>
      <w:r w:rsidR="00013EB8">
        <w:rPr>
          <w:b/>
        </w:rPr>
        <w:t>3</w:t>
      </w:r>
      <w:r w:rsidR="00013EB8">
        <w:t xml:space="preserve"> =</w:t>
      </w:r>
      <w:r w:rsidR="00013EB8">
        <w:tab/>
        <w:t>3 extremities = next higher, but no more than what is stated in P</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20" w:hanging="720"/>
      </w:pPr>
      <w:r>
        <w:rPr>
          <w:b/>
        </w:rPr>
        <w:t>PB</w:t>
      </w:r>
      <w:r w:rsidR="00013EB8">
        <w:rPr>
          <w:b/>
        </w:rPr>
        <w:t>1</w:t>
      </w:r>
      <w:r w:rsidR="00013EB8">
        <w:t xml:space="preserve"> =</w:t>
      </w:r>
      <w:r w:rsidR="00013EB8">
        <w:tab/>
        <w:t xml:space="preserve">bilateral blindness at 5/200 or less/having only light perception/without light perception </w:t>
      </w:r>
      <w:r w:rsidR="00013EB8">
        <w:rPr>
          <w:i/>
          <w:iCs/>
          <w:sz w:val="18"/>
        </w:rPr>
        <w:t>(three combinations)</w:t>
      </w:r>
      <w:r w:rsidR="00013EB8">
        <w:t xml:space="preserve">, </w:t>
      </w:r>
      <w:r w:rsidR="00013EB8">
        <w:rPr>
          <w:b/>
        </w:rPr>
        <w:t>PLUS</w:t>
      </w:r>
      <w:r w:rsidR="00013EB8">
        <w:t xml:space="preserve"> unilateral total deafness rated at 10 or 20 percent = next higher, but no higher than O</w:t>
      </w:r>
    </w:p>
    <w:p w:rsidR="00013EB8" w:rsidRDefault="00013EB8">
      <w:pPr>
        <w:widowControl w:val="0"/>
        <w:pBdr>
          <w:top w:val="single" w:sz="6" w:space="1" w:color="auto"/>
          <w:left w:val="single" w:sz="6" w:space="4" w:color="auto"/>
          <w:bottom w:val="single" w:sz="6" w:space="1" w:color="auto"/>
          <w:right w:val="single" w:sz="6" w:space="4" w:color="auto"/>
        </w:pBdr>
        <w:ind w:left="1440" w:hanging="1440"/>
      </w:pPr>
    </w:p>
    <w:p w:rsidR="00013EB8" w:rsidRDefault="005604B8">
      <w:pPr>
        <w:widowControl w:val="0"/>
        <w:pBdr>
          <w:top w:val="single" w:sz="6" w:space="1" w:color="auto"/>
          <w:left w:val="single" w:sz="6" w:space="4" w:color="auto"/>
          <w:bottom w:val="single" w:sz="6" w:space="1" w:color="auto"/>
          <w:right w:val="single" w:sz="6" w:space="4" w:color="auto"/>
        </w:pBdr>
        <w:ind w:left="720" w:hanging="720"/>
      </w:pPr>
      <w:r>
        <w:rPr>
          <w:b/>
        </w:rPr>
        <w:t>PB</w:t>
      </w:r>
      <w:r w:rsidR="00013EB8">
        <w:rPr>
          <w:b/>
        </w:rPr>
        <w:t>2</w:t>
      </w:r>
      <w:r w:rsidR="00013EB8">
        <w:t xml:space="preserve"> =</w:t>
      </w:r>
      <w:r w:rsidR="00013EB8">
        <w:tab/>
        <w:t xml:space="preserve">bilateral blindness having only light perception/without light perception </w:t>
      </w:r>
      <w:r w:rsidR="00013EB8">
        <w:rPr>
          <w:i/>
          <w:iCs/>
          <w:sz w:val="18"/>
        </w:rPr>
        <w:t>(two combinations)</w:t>
      </w:r>
      <w:r w:rsidR="00013EB8">
        <w:t xml:space="preserve">, </w:t>
      </w:r>
      <w:r w:rsidR="00013EB8">
        <w:rPr>
          <w:b/>
        </w:rPr>
        <w:t>PLUS</w:t>
      </w:r>
      <w:r w:rsidR="00013EB8">
        <w:t xml:space="preserve"> bilateral deafness rated at 10 or 20 percent </w:t>
      </w:r>
      <w:r w:rsidR="00013EB8">
        <w:rPr>
          <w:i/>
          <w:iCs/>
        </w:rPr>
        <w:t>(only 1 ear has to be SC)</w:t>
      </w:r>
      <w:r w:rsidR="00013EB8">
        <w:t xml:space="preserve"> = next higher, but no higher than O</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20" w:hanging="720"/>
      </w:pPr>
      <w:r>
        <w:rPr>
          <w:b/>
        </w:rPr>
        <w:t>PB</w:t>
      </w:r>
      <w:r w:rsidR="00013EB8">
        <w:rPr>
          <w:b/>
        </w:rPr>
        <w:t>3</w:t>
      </w:r>
      <w:r w:rsidR="00013EB8">
        <w:t xml:space="preserve"> =</w:t>
      </w:r>
      <w:r w:rsidR="00013EB8">
        <w:tab/>
        <w:t xml:space="preserve">bilateral blindness under L, M, N/at 5/200/having only light perception/without light perception </w:t>
      </w:r>
      <w:r w:rsidR="00013EB8">
        <w:rPr>
          <w:i/>
          <w:iCs/>
          <w:sz w:val="18"/>
        </w:rPr>
        <w:t>(various combinations)</w:t>
      </w:r>
      <w:r w:rsidR="00013EB8">
        <w:t xml:space="preserve">, </w:t>
      </w:r>
      <w:r w:rsidR="00013EB8">
        <w:rPr>
          <w:b/>
        </w:rPr>
        <w:t>PLUS</w:t>
      </w:r>
      <w:r w:rsidR="00013EB8">
        <w:t xml:space="preserve"> bilateral deafness at no less than 30 percent </w:t>
      </w:r>
      <w:r w:rsidR="00013EB8">
        <w:rPr>
          <w:i/>
          <w:iCs/>
        </w:rPr>
        <w:t>(only 1 ear has to be SC)</w:t>
      </w:r>
      <w:r w:rsidR="00013EB8">
        <w:t xml:space="preserve"> = next higher, but no higher than O</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20" w:hanging="720"/>
      </w:pPr>
      <w:r>
        <w:rPr>
          <w:b/>
        </w:rPr>
        <w:t>PB</w:t>
      </w:r>
      <w:r w:rsidR="00013EB8">
        <w:rPr>
          <w:b/>
        </w:rPr>
        <w:t>4</w:t>
      </w:r>
      <w:r w:rsidR="00013EB8">
        <w:t xml:space="preserve"> =</w:t>
      </w:r>
      <w:r w:rsidR="00013EB8">
        <w:tab/>
        <w:t xml:space="preserve">bilateral blindness under L, M, N/at 5/200/having only light perception/without light perception </w:t>
      </w:r>
      <w:r w:rsidR="00013EB8">
        <w:rPr>
          <w:i/>
          <w:iCs/>
          <w:sz w:val="18"/>
        </w:rPr>
        <w:t>(various combinations)</w:t>
      </w:r>
      <w:r w:rsidR="00013EB8">
        <w:t xml:space="preserve">, </w:t>
      </w:r>
      <w:r w:rsidR="00013EB8">
        <w:rPr>
          <w:b/>
        </w:rPr>
        <w:t>PLUS</w:t>
      </w:r>
      <w:r w:rsidR="00013EB8">
        <w:t xml:space="preserve"> anatomical loss/loss of use of one hand = next higher, but no higher than O</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013EB8">
      <w:pPr>
        <w:widowControl w:val="0"/>
        <w:pBdr>
          <w:top w:val="single" w:sz="6" w:space="1" w:color="auto"/>
          <w:left w:val="single" w:sz="6" w:space="4" w:color="auto"/>
          <w:bottom w:val="single" w:sz="6" w:space="1" w:color="auto"/>
          <w:right w:val="single" w:sz="6" w:space="4" w:color="auto"/>
        </w:pBdr>
        <w:ind w:left="720" w:hanging="720"/>
      </w:pPr>
      <w:r>
        <w:rPr>
          <w:b/>
        </w:rPr>
        <w:t>PB5</w:t>
      </w:r>
      <w:r>
        <w:t xml:space="preserve"> =</w:t>
      </w:r>
      <w:r>
        <w:tab/>
        <w:t xml:space="preserve">bilateral blindness under L, M, N/at 5/200/having only light perception/without light perception </w:t>
      </w:r>
      <w:r>
        <w:rPr>
          <w:i/>
          <w:iCs/>
          <w:sz w:val="18"/>
        </w:rPr>
        <w:t>(various combinations)</w:t>
      </w:r>
      <w:r>
        <w:t xml:space="preserve">, </w:t>
      </w:r>
      <w:r>
        <w:rPr>
          <w:b/>
        </w:rPr>
        <w:t>PLUS</w:t>
      </w:r>
      <w:r>
        <w:t xml:space="preserve"> anatomical loss/loss of use of one foot (w/combined to 50%) = next higher, but no higher than O</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ind w:left="720" w:hanging="720"/>
      </w:pPr>
      <w:r>
        <w:rPr>
          <w:b/>
        </w:rPr>
        <w:t>PB</w:t>
      </w:r>
      <w:r w:rsidR="00013EB8">
        <w:rPr>
          <w:b/>
        </w:rPr>
        <w:t>6</w:t>
      </w:r>
      <w:r w:rsidR="00013EB8">
        <w:t xml:space="preserve"> =</w:t>
      </w:r>
      <w:r w:rsidR="00013EB8">
        <w:tab/>
        <w:t xml:space="preserve">bilateral blindness under L, M, N/at 5/200/having only light perception/without light perception </w:t>
      </w:r>
      <w:r w:rsidR="00013EB8">
        <w:rPr>
          <w:i/>
          <w:iCs/>
          <w:sz w:val="18"/>
        </w:rPr>
        <w:t>(various combinations)</w:t>
      </w:r>
      <w:r w:rsidR="00013EB8">
        <w:t xml:space="preserve">, </w:t>
      </w:r>
      <w:r w:rsidR="00013EB8">
        <w:rPr>
          <w:b/>
        </w:rPr>
        <w:t>PLUS</w:t>
      </w:r>
      <w:r w:rsidR="00013EB8">
        <w:t xml:space="preserve"> anatomical loss/loss of use of one foot at less than 50% = next higher, but no higher than O</w:t>
      </w:r>
    </w:p>
    <w:p w:rsidR="00013EB8" w:rsidRDefault="00013EB8">
      <w:pPr>
        <w:widowControl w:val="0"/>
      </w:pPr>
    </w:p>
    <w:p w:rsidR="00013EB8" w:rsidRDefault="00013EB8">
      <w:pPr>
        <w:widowControl w:val="0"/>
        <w:pBdr>
          <w:top w:val="single" w:sz="6" w:space="1" w:color="auto"/>
          <w:left w:val="single" w:sz="6" w:space="4" w:color="auto"/>
          <w:bottom w:val="single" w:sz="6" w:space="1" w:color="auto"/>
          <w:right w:val="single" w:sz="6" w:space="4" w:color="auto"/>
        </w:pBdr>
        <w:rPr>
          <w:b/>
        </w:rPr>
      </w:pPr>
      <w:r>
        <w:rPr>
          <w:i/>
        </w:rPr>
        <w:t>(should be closed out if granting $)</w:t>
      </w:r>
    </w:p>
    <w:p w:rsidR="00013EB8" w:rsidRDefault="00013EB8">
      <w:pPr>
        <w:widowControl w:val="0"/>
        <w:pBdr>
          <w:top w:val="single" w:sz="6" w:space="1" w:color="auto"/>
          <w:left w:val="single" w:sz="6" w:space="4" w:color="auto"/>
          <w:bottom w:val="single" w:sz="6" w:space="1" w:color="auto"/>
          <w:right w:val="single" w:sz="6" w:space="4" w:color="auto"/>
        </w:pBdr>
      </w:pPr>
      <w:r>
        <w:rPr>
          <w:b/>
        </w:rPr>
        <w:t xml:space="preserve">Q1 </w:t>
      </w:r>
      <w:r>
        <w:t>=</w:t>
      </w:r>
      <w:r>
        <w:tab/>
        <w:t xml:space="preserve">TB completely arrested, </w:t>
      </w:r>
      <w:r>
        <w:rPr>
          <w:u w:val="single"/>
        </w:rPr>
        <w:t>not</w:t>
      </w:r>
      <w:r>
        <w:t xml:space="preserve"> closed-out</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Default="005604B8">
      <w:pPr>
        <w:widowControl w:val="0"/>
        <w:pBdr>
          <w:top w:val="single" w:sz="6" w:space="1" w:color="auto"/>
          <w:left w:val="single" w:sz="6" w:space="4" w:color="auto"/>
          <w:bottom w:val="single" w:sz="6" w:space="1" w:color="auto"/>
          <w:right w:val="single" w:sz="6" w:space="4" w:color="auto"/>
        </w:pBdr>
        <w:rPr>
          <w:i/>
        </w:rPr>
      </w:pPr>
      <w:r>
        <w:rPr>
          <w:b/>
        </w:rPr>
        <w:t>Q</w:t>
      </w:r>
      <w:r w:rsidR="00013EB8">
        <w:rPr>
          <w:b/>
        </w:rPr>
        <w:t>2</w:t>
      </w:r>
      <w:r w:rsidR="00013EB8">
        <w:t xml:space="preserve"> =</w:t>
      </w:r>
      <w:r w:rsidR="00013EB8">
        <w:tab/>
        <w:t>TB completely arrested, closed-out</w:t>
      </w:r>
    </w:p>
    <w:p w:rsidR="00013EB8" w:rsidRDefault="00013EB8">
      <w:pPr>
        <w:widowControl w:val="0"/>
      </w:pPr>
    </w:p>
    <w:p w:rsidR="00013EB8" w:rsidRDefault="00013EB8">
      <w:pPr>
        <w:widowControl w:val="0"/>
        <w:pBdr>
          <w:top w:val="single" w:sz="6" w:space="1" w:color="auto"/>
          <w:left w:val="single" w:sz="6" w:space="4" w:color="auto"/>
          <w:bottom w:val="single" w:sz="6" w:space="1" w:color="auto"/>
          <w:right w:val="single" w:sz="6" w:space="4" w:color="auto"/>
        </w:pBdr>
      </w:pPr>
      <w:r>
        <w:rPr>
          <w:b/>
        </w:rPr>
        <w:t>R1</w:t>
      </w:r>
      <w:r>
        <w:t xml:space="preserve"> =</w:t>
      </w:r>
      <w:r>
        <w:tab/>
        <w:t>at N ½ +K, or O, or the maximum P and being in need of regular aid and attendance</w:t>
      </w:r>
    </w:p>
    <w:p w:rsidR="00013EB8" w:rsidRDefault="00013EB8">
      <w:pPr>
        <w:widowControl w:val="0"/>
        <w:pBdr>
          <w:top w:val="single" w:sz="6" w:space="1" w:color="auto"/>
          <w:left w:val="single" w:sz="6" w:space="4" w:color="auto"/>
          <w:bottom w:val="single" w:sz="6" w:space="1" w:color="auto"/>
          <w:right w:val="single" w:sz="6" w:space="4" w:color="auto"/>
        </w:pBdr>
        <w:rPr>
          <w:b/>
        </w:rPr>
      </w:pPr>
    </w:p>
    <w:p w:rsidR="00013EB8" w:rsidRDefault="00013EB8">
      <w:pPr>
        <w:widowControl w:val="0"/>
        <w:pBdr>
          <w:top w:val="single" w:sz="6" w:space="1" w:color="auto"/>
          <w:left w:val="single" w:sz="6" w:space="4" w:color="auto"/>
          <w:bottom w:val="single" w:sz="6" w:space="1" w:color="auto"/>
          <w:right w:val="single" w:sz="6" w:space="4" w:color="auto"/>
        </w:pBdr>
      </w:pPr>
      <w:r>
        <w:rPr>
          <w:b/>
        </w:rPr>
        <w:t>R2</w:t>
      </w:r>
      <w:r>
        <w:t xml:space="preserve"> =</w:t>
      </w:r>
      <w:r>
        <w:tab/>
        <w:t>at N ½ +K, or O, or the maximum P and being in need of regular aid and attendance and needing a higher level of care</w:t>
      </w:r>
    </w:p>
    <w:p w:rsidR="00013EB8" w:rsidRDefault="00013EB8">
      <w:pPr>
        <w:widowControl w:val="0"/>
      </w:pPr>
    </w:p>
    <w:p w:rsidR="00013EB8" w:rsidRDefault="005604B8">
      <w:pPr>
        <w:widowControl w:val="0"/>
        <w:pBdr>
          <w:top w:val="single" w:sz="6" w:space="1" w:color="auto"/>
          <w:left w:val="single" w:sz="6" w:space="4" w:color="auto"/>
          <w:bottom w:val="single" w:sz="6" w:space="1" w:color="auto"/>
          <w:right w:val="single" w:sz="6" w:space="4" w:color="auto"/>
        </w:pBdr>
        <w:rPr>
          <w:i/>
          <w:iCs/>
        </w:rPr>
      </w:pPr>
      <w:r>
        <w:rPr>
          <w:b/>
        </w:rPr>
        <w:t>S</w:t>
      </w:r>
      <w:r w:rsidR="00013EB8">
        <w:rPr>
          <w:b/>
        </w:rPr>
        <w:t>1</w:t>
      </w:r>
      <w:r w:rsidR="00013EB8">
        <w:t xml:space="preserve"> =</w:t>
      </w:r>
      <w:r w:rsidR="00013EB8">
        <w:tab/>
        <w:t xml:space="preserve">100% + 60% </w:t>
      </w:r>
      <w:r w:rsidR="00013EB8">
        <w:rPr>
          <w:i/>
          <w:iCs/>
        </w:rPr>
        <w:t>(statutory)</w:t>
      </w:r>
      <w:r w:rsidR="00504581">
        <w:rPr>
          <w:i/>
          <w:iCs/>
        </w:rPr>
        <w:t xml:space="preserve"> </w:t>
      </w:r>
      <w:r w:rsidR="00504581" w:rsidRPr="00504581">
        <w:rPr>
          <w:iCs/>
        </w:rPr>
        <w:t>–</w:t>
      </w:r>
      <w:r w:rsidR="0064753A">
        <w:rPr>
          <w:iCs/>
        </w:rPr>
        <w:t xml:space="preserve"> neither the 100%, nor the 60%, </w:t>
      </w:r>
      <w:r w:rsidR="00504581" w:rsidRPr="00504581">
        <w:rPr>
          <w:iCs/>
        </w:rPr>
        <w:t>need to be permanent</w:t>
      </w:r>
    </w:p>
    <w:p w:rsidR="00013EB8" w:rsidRDefault="00013EB8">
      <w:pPr>
        <w:widowControl w:val="0"/>
        <w:pBdr>
          <w:top w:val="single" w:sz="6" w:space="1" w:color="auto"/>
          <w:left w:val="single" w:sz="6" w:space="4" w:color="auto"/>
          <w:bottom w:val="single" w:sz="6" w:space="1" w:color="auto"/>
          <w:right w:val="single" w:sz="6" w:space="4" w:color="auto"/>
        </w:pBdr>
      </w:pPr>
    </w:p>
    <w:p w:rsidR="00013EB8" w:rsidRPr="00504581" w:rsidRDefault="005604B8">
      <w:pPr>
        <w:widowControl w:val="0"/>
        <w:pBdr>
          <w:top w:val="single" w:sz="6" w:space="1" w:color="auto"/>
          <w:left w:val="single" w:sz="6" w:space="4" w:color="auto"/>
          <w:bottom w:val="single" w:sz="6" w:space="1" w:color="auto"/>
          <w:right w:val="single" w:sz="6" w:space="4" w:color="auto"/>
        </w:pBdr>
        <w:rPr>
          <w:iCs/>
        </w:rPr>
      </w:pPr>
      <w:r>
        <w:rPr>
          <w:b/>
        </w:rPr>
        <w:t>S</w:t>
      </w:r>
      <w:r w:rsidR="00013EB8">
        <w:rPr>
          <w:b/>
        </w:rPr>
        <w:t>2</w:t>
      </w:r>
      <w:r w:rsidR="00013EB8">
        <w:t xml:space="preserve"> =</w:t>
      </w:r>
      <w:r w:rsidR="00013EB8">
        <w:tab/>
        <w:t xml:space="preserve">100% + housebound </w:t>
      </w:r>
      <w:r w:rsidR="00013EB8">
        <w:rPr>
          <w:i/>
          <w:iCs/>
        </w:rPr>
        <w:t>(in fact)</w:t>
      </w:r>
      <w:r w:rsidR="00504581">
        <w:rPr>
          <w:i/>
          <w:iCs/>
        </w:rPr>
        <w:t xml:space="preserve"> </w:t>
      </w:r>
      <w:r w:rsidR="00504581" w:rsidRPr="00504581">
        <w:rPr>
          <w:iCs/>
        </w:rPr>
        <w:t>–</w:t>
      </w:r>
      <w:r w:rsidR="00504581">
        <w:rPr>
          <w:iCs/>
        </w:rPr>
        <w:t xml:space="preserve"> </w:t>
      </w:r>
      <w:r w:rsidR="0064753A" w:rsidRPr="0064753A">
        <w:rPr>
          <w:i/>
          <w:iCs/>
        </w:rPr>
        <w:t>*</w:t>
      </w:r>
      <w:r w:rsidR="00504581" w:rsidRPr="0064753A">
        <w:rPr>
          <w:i/>
          <w:iCs/>
        </w:rPr>
        <w:t>the 100%</w:t>
      </w:r>
      <w:r w:rsidR="00504581">
        <w:rPr>
          <w:iCs/>
        </w:rPr>
        <w:t xml:space="preserve"> </w:t>
      </w:r>
      <w:r w:rsidR="0064753A" w:rsidRPr="0064753A">
        <w:rPr>
          <w:i/>
          <w:iCs/>
        </w:rPr>
        <w:t xml:space="preserve">disability must be </w:t>
      </w:r>
      <w:r w:rsidR="006B2A5A" w:rsidRPr="006B2A5A">
        <w:rPr>
          <w:b/>
          <w:i/>
          <w:iCs/>
          <w:highlight w:val="cyan"/>
        </w:rPr>
        <w:t>PERMANENT</w:t>
      </w:r>
    </w:p>
    <w:p w:rsidR="00013EB8" w:rsidRDefault="00013EB8">
      <w:pPr>
        <w:widowControl w:val="0"/>
        <w:tabs>
          <w:tab w:val="left" w:pos="0"/>
          <w:tab w:val="left" w:pos="144"/>
        </w:tabs>
        <w:rPr>
          <w:b/>
          <w:bCs/>
          <w:i/>
          <w:iCs/>
          <w:sz w:val="22"/>
        </w:rPr>
      </w:pPr>
    </w:p>
    <w:p w:rsidR="00013EB8" w:rsidRDefault="00013EB8">
      <w:pPr>
        <w:pStyle w:val="Heading9"/>
        <w:keepNext w:val="0"/>
        <w:widowControl w:val="0"/>
        <w:pBdr>
          <w:left w:val="none" w:sz="0" w:space="0" w:color="auto"/>
          <w:bottom w:val="none" w:sz="0" w:space="0" w:color="auto"/>
          <w:right w:val="none" w:sz="0" w:space="0" w:color="auto"/>
        </w:pBdr>
        <w:jc w:val="center"/>
        <w:rPr>
          <w:b/>
          <w:bCs/>
          <w:i w:val="0"/>
          <w:iCs w:val="0"/>
          <w:color w:val="009900"/>
          <w:sz w:val="22"/>
          <w:szCs w:val="27"/>
        </w:rPr>
      </w:pPr>
      <w:bookmarkStart w:id="159" w:name="SMCCodes"/>
    </w:p>
    <w:p w:rsidR="00013EB8" w:rsidRDefault="00013EB8">
      <w:pPr>
        <w:pStyle w:val="Heading9"/>
        <w:keepNext w:val="0"/>
        <w:widowControl w:val="0"/>
        <w:pBdr>
          <w:left w:val="none" w:sz="0" w:space="0" w:color="auto"/>
          <w:bottom w:val="none" w:sz="0" w:space="0" w:color="auto"/>
          <w:right w:val="none" w:sz="0" w:space="0" w:color="auto"/>
        </w:pBdr>
        <w:jc w:val="center"/>
        <w:rPr>
          <w:i w:val="0"/>
          <w:iCs w:val="0"/>
          <w:color w:val="FF0000"/>
          <w:sz w:val="22"/>
          <w:u w:val="single"/>
        </w:rPr>
      </w:pPr>
      <w:r>
        <w:rPr>
          <w:b/>
          <w:bCs/>
          <w:i w:val="0"/>
          <w:iCs w:val="0"/>
          <w:color w:val="009900"/>
          <w:sz w:val="22"/>
          <w:szCs w:val="27"/>
        </w:rPr>
        <w:t>Special Monthly Compensation Codes</w:t>
      </w:r>
      <w:bookmarkEnd w:id="159"/>
    </w:p>
    <w:p w:rsidR="00013EB8" w:rsidRDefault="00013EB8">
      <w:pPr>
        <w:widowControl w:val="0"/>
        <w:tabs>
          <w:tab w:val="left" w:pos="0"/>
          <w:tab w:val="left" w:pos="144"/>
        </w:tabs>
        <w:jc w:val="center"/>
      </w:pPr>
    </w:p>
    <w:tbl>
      <w:tblPr>
        <w:tblW w:w="1080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734"/>
        <w:gridCol w:w="640"/>
        <w:gridCol w:w="8426"/>
      </w:tblGrid>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jc w:val="center"/>
              <w:rPr>
                <w:rFonts w:ascii="Arial Unicode MS" w:eastAsia="Arial Unicode MS" w:hAnsi="Arial Unicode MS" w:cs="Arial Unicode MS"/>
                <w:b/>
                <w:bCs/>
                <w:sz w:val="22"/>
              </w:rPr>
            </w:pPr>
            <w:r>
              <w:rPr>
                <w:b/>
                <w:bCs/>
                <w:sz w:val="22"/>
              </w:rPr>
              <w:t>SMC Abbreviation</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jc w:val="center"/>
              <w:rPr>
                <w:rFonts w:ascii="Arial Unicode MS" w:eastAsia="Arial Unicode MS" w:hAnsi="Arial Unicode MS" w:cs="Arial Unicode MS"/>
                <w:b/>
                <w:bCs/>
                <w:sz w:val="22"/>
              </w:rPr>
            </w:pPr>
            <w:r>
              <w:rPr>
                <w:b/>
                <w:bCs/>
                <w:sz w:val="22"/>
              </w:rPr>
              <w:t>SMC Code</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jc w:val="center"/>
              <w:rPr>
                <w:rFonts w:ascii="Arial Unicode MS" w:eastAsia="Arial Unicode MS" w:hAnsi="Arial Unicode MS" w:cs="Arial Unicode MS"/>
                <w:b/>
                <w:bCs/>
                <w:sz w:val="22"/>
              </w:rPr>
            </w:pPr>
            <w:r>
              <w:rPr>
                <w:b/>
                <w:bCs/>
                <w:sz w:val="22"/>
              </w:rPr>
              <w:t>Description</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01</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One disability under (k)- 38 CFR 3.350(a)</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02</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Two disabilities under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3K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14</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Three disabilities under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L</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03</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(1)- 38 CFR 3.350(b) or 3.552(g) &amp; (h)</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L+K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04</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 plus one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L+2K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05</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 plus two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L+3K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06</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 plus three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L1/2</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18</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(1) and (m)- 38 CFR 3.350(f)(1),(2)&amp;(3)</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L1/2+K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24</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(1) and (m) plus one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L1/2+2K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29</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(1) and (m) plus two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L1/2+3K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33</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(1) and (m) plus three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07</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 38 CFR 3.350(c) or 3.552(g)&amp;(i)</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08</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 plus one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09</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 plus two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M+3K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10</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 plus three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M1/2</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20</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(m) and (n)- 38 CFR 3.350(f)(1), (2),(3)&amp; (4) or 3.552(i)</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M1/2+K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26</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(m) and (n) plus one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M1/2+ 2K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31</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(m) and (n) plus two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M1/2+3K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35</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(m) and (n) plus three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11</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 -38 CFR 3.350(d) or 3.552(g) &amp; (i)</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12</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 plus one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13</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 plus two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N+3K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15</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 plus three or more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N1/2</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22</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(n) and (o) -38 CFR 3.350(f)(1), (2),(3)&amp; (4)</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N1/2+K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28</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Intermediate evaluation between (n) and (o) plus one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9737F9">
            <w:pPr>
              <w:widowControl w:val="0"/>
              <w:rPr>
                <w:rFonts w:ascii="Arial Unicode MS" w:eastAsia="Arial Unicode MS" w:hAnsi="Arial Unicode MS" w:cs="Arial Unicode MS"/>
              </w:rPr>
            </w:pPr>
            <w:r>
              <w:t>O</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37</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Equal to (o); No rating of need for regular A/A under (1), (m) or (r) -38 CFR 3.350(e)</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P=M</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19</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Equal to(p)(m) -38CFR3.350(f)(1),(2),(3)&amp;(4)</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P=M+K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25</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Equal to (p)(m) plus one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P=M+2K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30</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Equal to (p)(m) plus two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P=M+3K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34</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Equal to (p)(m) plus three (k)'s</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P=N</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21</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Equal to(p)(n) 38 CFR 3.350(f)(1),(2),(3)&amp;(4)</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P=N+K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27</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Equal to (p)(n) plus one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P=N+2K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32</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Equal to (p)(n) plus two</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Q</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36</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Statutory grant for arrested TB (formerly 38 U.S.C. 314(q), 38 CFR 3.350(g))</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R1=N1/2(A/A)+K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43</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Entitlement to A/A is based on the disabilities establishing N1/2 plus K. Entitled to N 1/2 plus K rate while hospitalized 38 CFR 3.350(h), 3.552(b)(2).</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R2=N1/2(A/A with HLC)+K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44</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Entitlement to A/A and need for higher level of care is based on the disabilities establishing N1/2 plus K. Entitled to N1/2 plus K rate while hospitalized -38 CFR 3.350(h), 3.552(b)(2)</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R1= O(L(A/A)+L)</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51</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based on need for A/A under (1) plus entitlement under (1) for other conditions. Entitled to(m) while hospitalized -38 CFR3.550(h), 3.552(f) &amp; (g).</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R1 = O(L(A/A)+L1/2)</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52</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based on need for A/A under (1) plus entitlement at the intermediate rate between (1) and (m) for other conditions. Entitled to the intermediate evaluation between (m) and (n) while hospitalized -38 CFR 3.350(h), 3.552(f)&amp;(g).</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R1= O(L(A/A)+M)</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53</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based on need for A/A under (1) plus entitlement under (m) for other conditions. Entitled under (n) while hospitalized -38 CFR 3.350(h), 3.552(f)&amp;(g).</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R1= O(L(A/A) + M1/2)</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54</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based on need for A/A under (1) plus entitlement under (p)(1) at the intermediate rating between (m) and (n) for other conditions. Entitled to the intermediate evaluation between (n) and (o) while hospitalized -38 CFR 3.3.50(h), 3.552(f)&amp;(g).</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R1=O(N+L(A/A))</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55</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or (p) based on need for A/A with R1= O(N1/2+L(A/A)) entitlement to (n), or the intermediate evaluation between (n) R1=O+L(A/A) and (o), or (o). Entitled to (o) while hospitalized -38 CFR 3.350(e), 3.552(b)(2).</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R2= O(L(A/A with HLC)+L)</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56</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based on need for A/A under (1) plus entitlement under (1) for other conditions, and in addition is in need of a higher level of care. Entitled to (m) while hospitalized -38 CFR 3.350(h), 3.552(f)&amp;(g)</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R2=O(L(A/A with HLC)+L1/2)</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57</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based on need for A/A under (1) plus entitlement at the intermediate rate between (1) and (m) for other conditions, and in addition is in need of a higher level of care. Entitled to the intermediate evaluation between (m) and (n) while hospitalized -38 CFR 3.350(h), 3.552(f) &amp; (g)</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R2=O(L(A/A with HLC)+M)</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58</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based on need for A/A under (1) plus entitlement under (m) for other conditions, and in addition is in need of a higher level of care. Entitled to (n) while hospitalized -38 CFR 3.350(h), 3.552(f)&amp;(g)</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R2=O(L(A/A with HLC)+M1/2)</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59</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based on need for A/A under (1) plus entitlement under (p)(1) at the intermediate rate between (m) and (n) for other conditions, and in addition is in need of a higher level of care. Entitled to the intermediate evaluation between (n) and (o) while hospitalized -38 CFR 3.350(h), 3.552(f)&amp;(g)</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R2=O(L(A/A with HLC)+N)</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60</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Entitled under (o) or (p) based on need for A/A with R2=O(L(A/A with HLC)+N1/2) entitlement to (n), or the intermediate evaluation between (n) R2=0+L(A/A with HLC) and (o), or (o) and in addition is in need of a higher level of care. Entitled to (o) while hospitalized -38 CFR 3.350(e), 3.552(b)(2)</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S</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48</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Housebound under (s) -Total plus 60% or housebound -38 CFR 3.350(i)</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S+K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49</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Housebound under (s) plus one disability under (k)</w:t>
            </w:r>
          </w:p>
        </w:tc>
      </w:tr>
      <w:tr w:rsidR="00013EB8">
        <w:trPr>
          <w:tblCellSpacing w:w="15" w:type="dxa"/>
          <w:jc w:val="center"/>
        </w:trPr>
        <w:tc>
          <w:tcPr>
            <w:tcW w:w="1690"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S+2K</w:t>
            </w:r>
          </w:p>
        </w:tc>
        <w:tc>
          <w:tcPr>
            <w:tcW w:w="57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50</w:t>
            </w:r>
          </w:p>
        </w:tc>
        <w:tc>
          <w:tcPr>
            <w:tcW w:w="8415" w:type="dxa"/>
            <w:tcBorders>
              <w:top w:val="outset" w:sz="6" w:space="0" w:color="auto"/>
              <w:left w:val="outset" w:sz="6" w:space="0" w:color="auto"/>
              <w:bottom w:val="outset" w:sz="6" w:space="0" w:color="auto"/>
              <w:right w:val="outset" w:sz="6" w:space="0" w:color="auto"/>
            </w:tcBorders>
          </w:tcPr>
          <w:p w:rsidR="00013EB8" w:rsidRDefault="00013EB8">
            <w:pPr>
              <w:widowControl w:val="0"/>
              <w:rPr>
                <w:rFonts w:ascii="Arial Unicode MS" w:eastAsia="Arial Unicode MS" w:hAnsi="Arial Unicode MS" w:cs="Arial Unicode MS"/>
              </w:rPr>
            </w:pPr>
            <w:r>
              <w:t>Housebound under (s) plus two disabilities under (k)</w:t>
            </w:r>
          </w:p>
        </w:tc>
      </w:tr>
    </w:tbl>
    <w:p w:rsidR="00013EB8" w:rsidRDefault="00013EB8">
      <w:pPr>
        <w:pStyle w:val="ratechrt"/>
        <w:widowControl w:val="0"/>
        <w:ind w:right="108"/>
        <w:rPr>
          <w:b/>
          <w:sz w:val="22"/>
        </w:rPr>
      </w:pPr>
    </w:p>
    <w:p w:rsidR="00013EB8" w:rsidRDefault="00013EB8">
      <w:pPr>
        <w:pStyle w:val="ratechrt"/>
        <w:widowControl w:val="0"/>
        <w:pBdr>
          <w:top w:val="single" w:sz="4" w:space="1" w:color="auto"/>
        </w:pBdr>
        <w:ind w:right="108"/>
        <w:rPr>
          <w:b/>
          <w:sz w:val="22"/>
        </w:rPr>
      </w:pPr>
    </w:p>
    <w:p w:rsidR="004140FA" w:rsidRDefault="004140FA">
      <w:pPr>
        <w:pStyle w:val="ratechrt"/>
        <w:widowControl w:val="0"/>
        <w:ind w:right="108"/>
        <w:rPr>
          <w:b/>
          <w:sz w:val="22"/>
        </w:rPr>
      </w:pPr>
      <w:bookmarkStart w:id="160" w:name="SMCCodesandRates"/>
      <w:r>
        <w:rPr>
          <w:noProof/>
        </w:rPr>
        <w:drawing>
          <wp:inline distT="0" distB="0" distL="0" distR="0" wp14:anchorId="59A6995A" wp14:editId="675600D0">
            <wp:extent cx="5943600" cy="4979670"/>
            <wp:effectExtent l="0" t="0" r="0" b="0"/>
            <wp:docPr id="24666" name="Picture 24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4"/>
                    <a:stretch>
                      <a:fillRect/>
                    </a:stretch>
                  </pic:blipFill>
                  <pic:spPr>
                    <a:xfrm>
                      <a:off x="0" y="0"/>
                      <a:ext cx="5943600" cy="4979670"/>
                    </a:xfrm>
                    <a:prstGeom prst="rect">
                      <a:avLst/>
                    </a:prstGeom>
                  </pic:spPr>
                </pic:pic>
              </a:graphicData>
            </a:graphic>
          </wp:inline>
        </w:drawing>
      </w:r>
    </w:p>
    <w:p w:rsidR="004140FA" w:rsidRDefault="004140FA">
      <w:pPr>
        <w:pStyle w:val="ratechrt"/>
        <w:widowControl w:val="0"/>
        <w:ind w:right="108"/>
        <w:rPr>
          <w:b/>
          <w:sz w:val="22"/>
        </w:rPr>
      </w:pPr>
      <w:r>
        <w:rPr>
          <w:noProof/>
        </w:rPr>
        <w:drawing>
          <wp:inline distT="0" distB="0" distL="0" distR="0" wp14:anchorId="696A13B6" wp14:editId="25831964">
            <wp:extent cx="5943600" cy="3516630"/>
            <wp:effectExtent l="0" t="0" r="0" b="7620"/>
            <wp:docPr id="24667" name="Picture 24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5"/>
                    <a:stretch>
                      <a:fillRect/>
                    </a:stretch>
                  </pic:blipFill>
                  <pic:spPr>
                    <a:xfrm>
                      <a:off x="0" y="0"/>
                      <a:ext cx="5943600" cy="3516630"/>
                    </a:xfrm>
                    <a:prstGeom prst="rect">
                      <a:avLst/>
                    </a:prstGeom>
                  </pic:spPr>
                </pic:pic>
              </a:graphicData>
            </a:graphic>
          </wp:inline>
        </w:drawing>
      </w:r>
    </w:p>
    <w:p w:rsidR="004140FA" w:rsidRDefault="004140FA">
      <w:pPr>
        <w:pStyle w:val="ratechrt"/>
        <w:widowControl w:val="0"/>
        <w:ind w:right="108"/>
        <w:rPr>
          <w:b/>
          <w:sz w:val="22"/>
        </w:rPr>
      </w:pPr>
    </w:p>
    <w:bookmarkEnd w:id="160"/>
    <w:p w:rsidR="00013EB8" w:rsidRDefault="00013EB8">
      <w:pPr>
        <w:pStyle w:val="ratechrt"/>
        <w:widowControl w:val="0"/>
        <w:jc w:val="left"/>
        <w:rPr>
          <w:sz w:val="18"/>
        </w:rPr>
      </w:pPr>
    </w:p>
    <w:p w:rsidR="00013EB8" w:rsidRDefault="00013EB8">
      <w:pPr>
        <w:widowControl w:val="0"/>
        <w:pBdr>
          <w:top w:val="single" w:sz="4" w:space="1" w:color="auto"/>
        </w:pBdr>
        <w:tabs>
          <w:tab w:val="left" w:pos="0"/>
          <w:tab w:val="left" w:pos="144"/>
        </w:tabs>
        <w:jc w:val="center"/>
      </w:pPr>
    </w:p>
    <w:p w:rsidR="0064753A" w:rsidRDefault="0064753A">
      <w:pPr>
        <w:overflowPunct/>
        <w:autoSpaceDE/>
        <w:autoSpaceDN/>
        <w:adjustRightInd/>
        <w:textAlignment w:val="auto"/>
        <w:rPr>
          <w:b/>
          <w:bCs/>
          <w:color w:val="009900"/>
          <w:sz w:val="22"/>
          <w:szCs w:val="27"/>
        </w:rPr>
      </w:pPr>
      <w:bookmarkStart w:id="161" w:name="SMCInjuryCodes"/>
    </w:p>
    <w:p w:rsidR="00013EB8" w:rsidRDefault="00013EB8">
      <w:pPr>
        <w:pStyle w:val="ratechrt"/>
        <w:widowControl w:val="0"/>
        <w:ind w:right="108"/>
        <w:rPr>
          <w:bCs/>
          <w:color w:val="FF0000"/>
          <w:sz w:val="22"/>
          <w:u w:val="single"/>
        </w:rPr>
      </w:pPr>
      <w:r>
        <w:rPr>
          <w:b/>
          <w:bCs/>
          <w:color w:val="009900"/>
          <w:sz w:val="22"/>
          <w:szCs w:val="27"/>
        </w:rPr>
        <w:t>Specific Injury Codes</w:t>
      </w:r>
      <w:bookmarkEnd w:id="161"/>
    </w:p>
    <w:p w:rsidR="00013EB8" w:rsidRDefault="00013EB8">
      <w:pPr>
        <w:widowControl w:val="0"/>
        <w:tabs>
          <w:tab w:val="left" w:pos="0"/>
          <w:tab w:val="left" w:pos="144"/>
        </w:tabs>
        <w:jc w:val="center"/>
        <w:rPr>
          <w:sz w:val="22"/>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
        <w:gridCol w:w="2609"/>
        <w:gridCol w:w="3122"/>
        <w:gridCol w:w="655"/>
      </w:tblGrid>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Loss of Use Description</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Anatomical Loss Description</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r>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00</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No loss of use</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No amputation</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00</w:t>
            </w:r>
          </w:p>
        </w:tc>
      </w:tr>
    </w:tbl>
    <w:p w:rsidR="00013EB8" w:rsidRDefault="00013EB8">
      <w:pPr>
        <w:widowControl w:val="0"/>
        <w:rPr>
          <w:sz w:val="22"/>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016"/>
        <w:gridCol w:w="2224"/>
        <w:gridCol w:w="2763"/>
        <w:gridCol w:w="1016"/>
      </w:tblGrid>
      <w:tr w:rsidR="00013EB8" w:rsidTr="0028584F">
        <w:trPr>
          <w:tblCellSpacing w:w="15" w:type="dxa"/>
          <w:jc w:val="center"/>
        </w:trPr>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c>
          <w:tcPr>
            <w:tcW w:w="2194"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Single Loss of Use</w:t>
            </w:r>
          </w:p>
        </w:tc>
        <w:tc>
          <w:tcPr>
            <w:tcW w:w="2733"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Single Amputation</w:t>
            </w:r>
          </w:p>
        </w:tc>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r>
      <w:tr w:rsidR="00013EB8" w:rsidTr="0028584F">
        <w:trPr>
          <w:tblCellSpacing w:w="15" w:type="dxa"/>
          <w:jc w:val="center"/>
        </w:trPr>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11</w:t>
            </w:r>
          </w:p>
        </w:tc>
        <w:tc>
          <w:tcPr>
            <w:tcW w:w="2194"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(blind one eye)</w:t>
            </w:r>
          </w:p>
        </w:tc>
        <w:tc>
          <w:tcPr>
            <w:tcW w:w="2733"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(enucleation or avulsion)</w:t>
            </w:r>
          </w:p>
        </w:tc>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11</w:t>
            </w:r>
          </w:p>
        </w:tc>
      </w:tr>
      <w:tr w:rsidR="00013EB8" w:rsidTr="0028584F">
        <w:trPr>
          <w:tblCellSpacing w:w="15" w:type="dxa"/>
          <w:jc w:val="center"/>
        </w:trPr>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12</w:t>
            </w:r>
          </w:p>
        </w:tc>
        <w:tc>
          <w:tcPr>
            <w:tcW w:w="2194"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w:t>
            </w:r>
          </w:p>
        </w:tc>
        <w:tc>
          <w:tcPr>
            <w:tcW w:w="2733"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w:t>
            </w:r>
          </w:p>
        </w:tc>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12</w:t>
            </w:r>
          </w:p>
        </w:tc>
      </w:tr>
      <w:tr w:rsidR="00013EB8" w:rsidTr="0028584F">
        <w:trPr>
          <w:tblCellSpacing w:w="15" w:type="dxa"/>
          <w:jc w:val="center"/>
        </w:trPr>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13</w:t>
            </w:r>
          </w:p>
        </w:tc>
        <w:tc>
          <w:tcPr>
            <w:tcW w:w="2194"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Foot</w:t>
            </w:r>
          </w:p>
        </w:tc>
        <w:tc>
          <w:tcPr>
            <w:tcW w:w="2733"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Foot</w:t>
            </w:r>
          </w:p>
        </w:tc>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13</w:t>
            </w:r>
          </w:p>
        </w:tc>
      </w:tr>
      <w:tr w:rsidR="00013EB8" w:rsidTr="0028584F">
        <w:trPr>
          <w:tblCellSpacing w:w="15" w:type="dxa"/>
          <w:jc w:val="center"/>
        </w:trPr>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16</w:t>
            </w:r>
          </w:p>
        </w:tc>
        <w:tc>
          <w:tcPr>
            <w:tcW w:w="2194"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Deafness total</w:t>
            </w:r>
          </w:p>
        </w:tc>
        <w:tc>
          <w:tcPr>
            <w:tcW w:w="2733"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 </w:t>
            </w:r>
          </w:p>
        </w:tc>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 </w:t>
            </w:r>
          </w:p>
        </w:tc>
      </w:tr>
      <w:tr w:rsidR="00013EB8" w:rsidTr="0028584F">
        <w:trPr>
          <w:tblCellSpacing w:w="15" w:type="dxa"/>
          <w:jc w:val="center"/>
        </w:trPr>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17</w:t>
            </w:r>
          </w:p>
        </w:tc>
        <w:tc>
          <w:tcPr>
            <w:tcW w:w="2194"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Aphonia</w:t>
            </w:r>
          </w:p>
        </w:tc>
        <w:tc>
          <w:tcPr>
            <w:tcW w:w="2733"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 </w:t>
            </w:r>
          </w:p>
        </w:tc>
        <w:tc>
          <w:tcPr>
            <w:tcW w:w="971"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 </w:t>
            </w:r>
          </w:p>
        </w:tc>
      </w:tr>
    </w:tbl>
    <w:p w:rsidR="00013EB8" w:rsidRDefault="00D571C5">
      <w:pPr>
        <w:widowControl w:val="0"/>
        <w:jc w:val="right"/>
        <w:rPr>
          <w:sz w:val="22"/>
        </w:rPr>
      </w:pPr>
      <w:hyperlink r:id="rId696" w:anchor="Top" w:history="1">
        <w:r w:rsidR="00562F54">
          <w:rPr>
            <w:noProof/>
            <w:sz w:val="22"/>
          </w:rPr>
          <mc:AlternateContent>
            <mc:Choice Requires="wps">
              <w:drawing>
                <wp:anchor distT="0" distB="0" distL="0" distR="0" simplePos="0" relativeHeight="251636224" behindDoc="0" locked="0" layoutInCell="1" allowOverlap="0" wp14:anchorId="028D1E7E" wp14:editId="7AD78BBB">
                  <wp:simplePos x="0" y="0"/>
                  <wp:positionH relativeFrom="column">
                    <wp:align>right</wp:align>
                  </wp:positionH>
                  <wp:positionV relativeFrom="line">
                    <wp:posOffset>0</wp:posOffset>
                  </wp:positionV>
                  <wp:extent cx="847725" cy="180975"/>
                  <wp:effectExtent l="0" t="0" r="0" b="0"/>
                  <wp:wrapSquare wrapText="bothSides"/>
                  <wp:docPr id="27" name="AutoShape 36" descr="Click here to return to the top of this page">
                    <a:hlinkClick xmlns:a="http://schemas.openxmlformats.org/drawingml/2006/main" r:id="rId69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47725" cy="180975"/>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557370" id="AutoShape 36" o:spid="_x0000_s1026" alt="Click here to return to the top of this page" href="#Top" style="position:absolute;margin-left:15.55pt;margin-top:0;width:66.75pt;height:14.25pt;z-index:251636224;visibility:visible;mso-wrap-style:square;mso-width-percent:0;mso-height-percent:0;mso-wrap-distance-left:0;mso-wrap-distance-top:0;mso-wrap-distance-right:0;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GlpAIAAD8FAAAOAAAAZHJzL2Uyb0RvYy54bWysVMtu2zAQvBfoPxC8O5Ic+SVEDgIrLgKk&#10;bYC0H0BTlEREItklbTkt8u9dUrbrNAUKFPVB5nN2Z2eWV9f7riU7AVZqldPkIqZEKK5Lqeqcfv2y&#10;Hs0psY6pkrVaiZw+C0uvl+/fXfUmE2Pd6LYUQBBE2aw3OW2cM1kUWd6IjtkLbYTCzUpDxxxOoY5K&#10;YD2id200juNp1GsoDWgurMXVYtiky4BfVYK7z1VlhSNtTjE3F74Qvhv/jZZXLKuBmUbyQxrsH7Lo&#10;mFQY9ARVMMfIFuQbqE5y0FZX7oLrLtJVJbkIHJBNEv/G5rFhRgQuWBxrTmWy/w+Wf9o9AJFlTscz&#10;ShTrUKObrdMhNLmcUlIKy7Fgq1byJ9IIEMRpAsJtQfmRa/yCIbrCobTEsNqnzLKmleppuDXIiyB/&#10;V3eoSKH5thPKDRKDaJlDf9lGGksJZD5duCsTr17UG5sFFl7zMHw0D+AzsOZe8ydLlF41TNXixhr0&#10;A7oUiR6XAHTfCFZiSV/BDRge0CIa2fQfdYmlYViawG5fQedjYL5kH+z0fLKT2DvCcXGezmbjCSUc&#10;t5J5vJhNQsIsO142YN0HoTviB0gJswvgbHdvnefGsuMRH0vptWzb4FgMgUf8og8WjPZjES9u57fz&#10;dJSOp7ejNC6K0c16lY6m62Q2KS6L1apIXjx+kmaNLEuhPNzR9En6Rp4/evXQfoNdT7a3upWlh/Mp&#10;Wag3qxbIjmHTrcPvQPzsWPQ6jUAWuRz/A7ugra//IO1Gl8+oBWisFfYyvjo4aDR8p6THDs6p/bZl&#10;IChp7xTquUjS1Ld8mKST2RgncL6zOd9hiiNUTh0lw3DlcIZXtgZk3WCkJGijtG+PSgZ9vD+GrA5G&#10;xC4NDA4vin8Gzufh1K93b/kTAAD//wMAUEsDBBQABgAIAAAAIQB6C50e2AAAAAQBAAAPAAAAZHJz&#10;L2Rvd25yZXYueG1sTI/BasJAEIbvhb7DMoXe6kZFkTQbkUKR9FCI+gBjdpoEs7MhO2r69t300l4G&#10;hv/nm2+y7eg6daMhtJ4NzGcJKOLK25ZrA6fj+8sGVBBki51nMvBNAbb540OGqfV3Lul2kFpFCIcU&#10;DTQifap1qBpyGGa+J47Zlx8cSlyHWtsB7xHuOr1IkrV22HK80GBPbw1Vl8PVGVhsyH4Wrfh9cSnK&#10;NTv+OJV7Y56fxt0rKKFR/sow6Ud1yKPT2V/ZBtUZiI/I75yy5XIF6jyBV6DzTP+Xz38AAAD//wMA&#10;UEsDBBQABgAIAAAAIQCVlquStwAAABkBAAAZAAAAZHJzL19yZWxzL2Uyb0RvYy54bWwucmVsc4TP&#10;QQrCMBAF0L3gHcK41rQuRKRpNyJ0K/UAIZmmoe0kJFHs7c3SguBy+Pz3map5zxN7YYjWkYDyUABD&#10;Uk5bMgIe3W1/BhaTJC0nRyhgwQhNvd1Ud5xkyqU4WB9ZVigKGFLyF86jGnCW8eA8Uk56F2aZ8hkM&#10;91KN0iA/FsWJh28D6pXJWi0gtLoE1i0+L/+3Xd9bhVennjNS+jHBhyyFydKYURkMJgG7znngdcVX&#10;D9UfAAAA//8DAFBLAQItABQABgAIAAAAIQC2gziS/gAAAOEBAAATAAAAAAAAAAAAAAAAAAAAAABb&#10;Q29udGVudF9UeXBlc10ueG1sUEsBAi0AFAAGAAgAAAAhADj9If/WAAAAlAEAAAsAAAAAAAAAAAAA&#10;AAAALwEAAF9yZWxzLy5yZWxzUEsBAi0AFAAGAAgAAAAhAJ29YaWkAgAAPwUAAA4AAAAAAAAAAAAA&#10;AAAALgIAAGRycy9lMm9Eb2MueG1sUEsBAi0AFAAGAAgAAAAhAHoLnR7YAAAABAEAAA8AAAAAAAAA&#10;AAAAAAAA/gQAAGRycy9kb3ducmV2LnhtbFBLAQItABQABgAIAAAAIQCVlquStwAAABkBAAAZAAAA&#10;AAAAAAAAAAAAAAMGAABkcnMvX3JlbHMvZTJvRG9jLnhtbC5yZWxzUEsFBgAAAAAFAAUAOgEAAPEG&#10;AAAAAA==&#10;" o:allowoverlap="f" o:button="t" filled="f" stroked="f">
                  <v:fill o:detectmouseclick="t"/>
                  <o:lock v:ext="edit" aspectratio="t"/>
                  <w10:wrap type="square" anchory="line"/>
                </v:rect>
              </w:pict>
            </mc:Fallback>
          </mc:AlternateContent>
        </w:r>
      </w:hyperlink>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
        <w:gridCol w:w="4535"/>
        <w:gridCol w:w="3740"/>
        <w:gridCol w:w="655"/>
      </w:tblGrid>
      <w:tr w:rsidR="00E903AC" w:rsidT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c>
          <w:tcPr>
            <w:tcW w:w="4505"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Double Losses of Use</w:t>
            </w:r>
          </w:p>
        </w:tc>
        <w:tc>
          <w:tcPr>
            <w:tcW w:w="3710"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Double Amputations</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r>
      <w:tr w:rsidR="00E903AC" w:rsidT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21</w:t>
            </w:r>
          </w:p>
        </w:tc>
        <w:tc>
          <w:tcPr>
            <w:tcW w:w="4505"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(blindness both eyes)</w:t>
            </w:r>
          </w:p>
        </w:tc>
        <w:tc>
          <w:tcPr>
            <w:tcW w:w="3710"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(enucleation or avulsion)</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21</w:t>
            </w:r>
          </w:p>
        </w:tc>
      </w:tr>
      <w:tr w:rsidR="00E903AC" w:rsidT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22</w:t>
            </w:r>
          </w:p>
        </w:tc>
        <w:tc>
          <w:tcPr>
            <w:tcW w:w="4505"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(use only for blindness, both eyes in combination with total deafness or loss of use of one eye and enucleation of other eye in combination with total deafness)</w:t>
            </w:r>
          </w:p>
        </w:tc>
        <w:tc>
          <w:tcPr>
            <w:tcW w:w="3710"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(use only for enucleation, both eyes in combination with total deafness)</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22</w:t>
            </w:r>
          </w:p>
        </w:tc>
      </w:tr>
      <w:tr w:rsidR="00E903AC" w:rsidT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23</w:t>
            </w:r>
          </w:p>
        </w:tc>
        <w:tc>
          <w:tcPr>
            <w:tcW w:w="4505"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Hands</w:t>
            </w:r>
          </w:p>
        </w:tc>
        <w:tc>
          <w:tcPr>
            <w:tcW w:w="3710"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Hands</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23</w:t>
            </w:r>
          </w:p>
        </w:tc>
      </w:tr>
      <w:tr w:rsidR="00E903AC" w:rsidT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24</w:t>
            </w:r>
          </w:p>
        </w:tc>
        <w:tc>
          <w:tcPr>
            <w:tcW w:w="4505"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Feet</w:t>
            </w:r>
          </w:p>
        </w:tc>
        <w:tc>
          <w:tcPr>
            <w:tcW w:w="3710"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Feet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24</w:t>
            </w:r>
          </w:p>
        </w:tc>
      </w:tr>
      <w:tr w:rsidR="00E903AC" w:rsidT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25</w:t>
            </w:r>
          </w:p>
        </w:tc>
        <w:tc>
          <w:tcPr>
            <w:tcW w:w="4505"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 and foot</w:t>
            </w:r>
          </w:p>
        </w:tc>
        <w:tc>
          <w:tcPr>
            <w:tcW w:w="3710"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 and foot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25</w:t>
            </w:r>
          </w:p>
        </w:tc>
      </w:tr>
      <w:tr w:rsidR="00E903AC" w:rsidT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26</w:t>
            </w:r>
          </w:p>
        </w:tc>
        <w:tc>
          <w:tcPr>
            <w:tcW w:w="4505"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and hand</w:t>
            </w:r>
          </w:p>
        </w:tc>
        <w:tc>
          <w:tcPr>
            <w:tcW w:w="3710"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and hand</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26</w:t>
            </w:r>
          </w:p>
        </w:tc>
      </w:tr>
      <w:tr w:rsidR="00E903AC" w:rsidT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27</w:t>
            </w:r>
          </w:p>
        </w:tc>
        <w:tc>
          <w:tcPr>
            <w:tcW w:w="4505"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and foot</w:t>
            </w:r>
          </w:p>
        </w:tc>
        <w:tc>
          <w:tcPr>
            <w:tcW w:w="3710"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and foot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27</w:t>
            </w:r>
          </w:p>
        </w:tc>
      </w:tr>
      <w:tr w:rsidR="00E903AC" w:rsidT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29</w:t>
            </w:r>
          </w:p>
        </w:tc>
        <w:tc>
          <w:tcPr>
            <w:tcW w:w="4505"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Deafness and aphonia</w:t>
            </w:r>
          </w:p>
        </w:tc>
        <w:tc>
          <w:tcPr>
            <w:tcW w:w="3710" w:type="dxa"/>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 </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 </w:t>
            </w:r>
          </w:p>
        </w:tc>
      </w:tr>
    </w:tbl>
    <w:p w:rsidR="00013EB8" w:rsidRDefault="00D571C5">
      <w:pPr>
        <w:widowControl w:val="0"/>
        <w:jc w:val="right"/>
        <w:rPr>
          <w:sz w:val="22"/>
        </w:rPr>
      </w:pPr>
      <w:hyperlink r:id="rId698" w:anchor="Top" w:history="1">
        <w:r w:rsidR="00562F54">
          <w:rPr>
            <w:noProof/>
            <w:sz w:val="22"/>
          </w:rPr>
          <mc:AlternateContent>
            <mc:Choice Requires="wps">
              <w:drawing>
                <wp:anchor distT="0" distB="0" distL="0" distR="0" simplePos="0" relativeHeight="251637248" behindDoc="0" locked="0" layoutInCell="1" allowOverlap="0" wp14:anchorId="3A187B79" wp14:editId="5845A8FF">
                  <wp:simplePos x="0" y="0"/>
                  <wp:positionH relativeFrom="column">
                    <wp:align>right</wp:align>
                  </wp:positionH>
                  <wp:positionV relativeFrom="line">
                    <wp:posOffset>0</wp:posOffset>
                  </wp:positionV>
                  <wp:extent cx="847725" cy="180975"/>
                  <wp:effectExtent l="0" t="0" r="0" b="0"/>
                  <wp:wrapSquare wrapText="bothSides"/>
                  <wp:docPr id="26" name="AutoShape 37" descr="Click here to return to the top of this page">
                    <a:hlinkClick xmlns:a="http://schemas.openxmlformats.org/drawingml/2006/main" r:id="rId69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47725" cy="180975"/>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B19566" id="AutoShape 37" o:spid="_x0000_s1026" alt="Click here to return to the top of this page" href="#Top" style="position:absolute;margin-left:15.55pt;margin-top:0;width:66.75pt;height:14.25pt;z-index:251637248;visibility:visible;mso-wrap-style:square;mso-width-percent:0;mso-height-percent:0;mso-wrap-distance-left:0;mso-wrap-distance-top:0;mso-wrap-distance-right:0;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VnwpAIAAD8FAAAOAAAAZHJzL2Uyb0RvYy54bWysVMtu2zAQvBfoPxC8O5Ic+SVEDgIrLgKk&#10;bYC0H0BTlEREItklbTkt8u9dUrbrNAUKFPVB5nN2Z2eWV9f7riU7AVZqldPkIqZEKK5Lqeqcfv2y&#10;Hs0psY6pkrVaiZw+C0uvl+/fXfUmE2Pd6LYUQBBE2aw3OW2cM1kUWd6IjtkLbYTCzUpDxxxOoY5K&#10;YD2id200juNp1GsoDWgurMXVYtiky4BfVYK7z1VlhSNtTjE3F74Qvhv/jZZXLKuBmUbyQxrsH7Lo&#10;mFQY9ARVMMfIFuQbqE5y0FZX7oLrLtJVJbkIHJBNEv/G5rFhRgQuWBxrTmWy/w+Wf9o9AJFlTsdT&#10;ShTrUKObrdMhNLmcUVIKy7Fgq1byJ9IIEMRpAsJtQfmRa/yCIbrCobTEsNqnzLKmleppuDXIiyB/&#10;V3eoSKH5thPKDRKDaJlDf9lGGksJZD5duCsTr17UG5sFFl7zMHw0D+AzsOZe8ydLlF41TNXixhr0&#10;A7oUiR6XAHTfCFZiSV/BDRge0CIa2fQfdYmlYViawG5fQedjYL5kH+z0fLKT2DvCcXGezmbjCSUc&#10;t5J5vJhNQsIsO142YN0HoTviB0gJswvgbHdvnefGsuMRH0vptWzb4FgMgUf8og8WjPZjES9u57fz&#10;dJSOp7ejNC6K0c16lY6m62Q2KS6L1apIXjx+kmaNLEuhPNzR9En6Rp4/evXQfoNdT7a3upWlh/Mp&#10;Wag3qxbIjmHTrcPvQPzsWPQ6jUAWuRz/A7ugra//IO1Gl8+oBWisFfYyvjo4aDR8p6THDs6p/bZl&#10;IChp7xTquUjS1Ld8mKST2RgncL6zOd9hiiNUTh0lw3DlcIZXtgZk3WCkJGijtG+PSgZ9vD+GrA5G&#10;xC4NDA4vin8Gzufh1K93b/kTAAD//wMAUEsDBBQABgAIAAAAIQB6C50e2AAAAAQBAAAPAAAAZHJz&#10;L2Rvd25yZXYueG1sTI/BasJAEIbvhb7DMoXe6kZFkTQbkUKR9FCI+gBjdpoEs7MhO2r69t300l4G&#10;hv/nm2+y7eg6daMhtJ4NzGcJKOLK25ZrA6fj+8sGVBBki51nMvBNAbb540OGqfV3Lul2kFpFCIcU&#10;DTQifap1qBpyGGa+J47Zlx8cSlyHWtsB7xHuOr1IkrV22HK80GBPbw1Vl8PVGVhsyH4Wrfh9cSnK&#10;NTv+OJV7Y56fxt0rKKFR/sow6Ud1yKPT2V/ZBtUZiI/I75yy5XIF6jyBV6DzTP+Xz38AAAD//wMA&#10;UEsDBBQABgAIAAAAIQCVlquStwAAABkBAAAZAAAAZHJzL19yZWxzL2Uyb0RvYy54bWwucmVsc4TP&#10;QQrCMBAF0L3gHcK41rQuRKRpNyJ0K/UAIZmmoe0kJFHs7c3SguBy+Pz3map5zxN7YYjWkYDyUABD&#10;Uk5bMgIe3W1/BhaTJC0nRyhgwQhNvd1Ud5xkyqU4WB9ZVigKGFLyF86jGnCW8eA8Uk56F2aZ8hkM&#10;91KN0iA/FsWJh28D6pXJWi0gtLoE1i0+L/+3Xd9bhVennjNS+jHBhyyFydKYURkMJgG7znngdcVX&#10;D9UfAAAA//8DAFBLAQItABQABgAIAAAAIQC2gziS/gAAAOEBAAATAAAAAAAAAAAAAAAAAAAAAABb&#10;Q29udGVudF9UeXBlc10ueG1sUEsBAi0AFAAGAAgAAAAhADj9If/WAAAAlAEAAAsAAAAAAAAAAAAA&#10;AAAALwEAAF9yZWxzLy5yZWxzUEsBAi0AFAAGAAgAAAAhANlJWfCkAgAAPwUAAA4AAAAAAAAAAAAA&#10;AAAALgIAAGRycy9lMm9Eb2MueG1sUEsBAi0AFAAGAAgAAAAhAHoLnR7YAAAABAEAAA8AAAAAAAAA&#10;AAAAAAAA/gQAAGRycy9kb3ducmV2LnhtbFBLAQItABQABgAIAAAAIQCVlquStwAAABkBAAAZAAAA&#10;AAAAAAAAAAAAAAMGAABkcnMvX3JlbHMvZTJvRG9jLnhtbC5yZWxzUEsFBgAAAAAFAAUAOgEAAPEG&#10;AAAAAA==&#10;" o:allowoverlap="f" o:button="t" filled="f" stroked="f">
                  <v:fill o:detectmouseclick="t"/>
                  <o:lock v:ext="edit" aspectratio="t"/>
                  <w10:wrap type="square" anchory="line"/>
                </v:rect>
              </w:pict>
            </mc:Fallback>
          </mc:AlternateContent>
        </w:r>
      </w:hyperlink>
    </w:p>
    <w:tbl>
      <w:tblPr>
        <w:tblW w:w="0" w:type="auto"/>
        <w:tblCellSpacing w:w="15" w:type="dxa"/>
        <w:tblInd w:w="215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
        <w:gridCol w:w="2242"/>
        <w:gridCol w:w="2095"/>
        <w:gridCol w:w="655"/>
      </w:tblGrid>
      <w:tr w:rsidR="00013EB8"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Triple Losses of Use</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Triple Amputations</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r>
      <w:tr w:rsidR="00013EB8"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31</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 and feet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 and feet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31</w:t>
            </w:r>
          </w:p>
        </w:tc>
      </w:tr>
      <w:tr w:rsidR="00013EB8"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32</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Hands and foot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Hands and foot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32</w:t>
            </w:r>
          </w:p>
        </w:tc>
      </w:tr>
      <w:tr w:rsidR="00013EB8"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33</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and hands</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and hands</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33</w:t>
            </w:r>
          </w:p>
        </w:tc>
      </w:tr>
      <w:tr w:rsidR="00013EB8"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34</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and feet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and feet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34</w:t>
            </w:r>
          </w:p>
        </w:tc>
      </w:tr>
      <w:tr w:rsidR="00013EB8"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35</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and hand</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and hand</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35</w:t>
            </w:r>
          </w:p>
        </w:tc>
      </w:tr>
      <w:tr w:rsidR="00013EB8"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36</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and foot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and foot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36</w:t>
            </w:r>
          </w:p>
        </w:tc>
      </w:tr>
      <w:tr w:rsidR="00013EB8"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37</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hand, and foot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 hand, and foot</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37</w:t>
            </w:r>
          </w:p>
        </w:tc>
      </w:tr>
    </w:tbl>
    <w:p w:rsidR="00013EB8" w:rsidRPr="00013EB8" w:rsidRDefault="00013EB8" w:rsidP="00013EB8">
      <w:pPr>
        <w:rPr>
          <w:vanish/>
        </w:rPr>
      </w:pPr>
    </w:p>
    <w:p w:rsidR="00013EB8" w:rsidRDefault="00D571C5">
      <w:pPr>
        <w:widowControl w:val="0"/>
        <w:jc w:val="right"/>
        <w:rPr>
          <w:sz w:val="22"/>
        </w:rPr>
      </w:pPr>
      <w:hyperlink r:id="rId699" w:anchor="Top" w:history="1">
        <w:r w:rsidR="00562F54">
          <w:rPr>
            <w:noProof/>
            <w:sz w:val="22"/>
          </w:rPr>
          <mc:AlternateContent>
            <mc:Choice Requires="wps">
              <w:drawing>
                <wp:anchor distT="0" distB="0" distL="0" distR="0" simplePos="0" relativeHeight="251638272" behindDoc="0" locked="0" layoutInCell="1" allowOverlap="0" wp14:anchorId="037128E4" wp14:editId="273A55AC">
                  <wp:simplePos x="0" y="0"/>
                  <wp:positionH relativeFrom="column">
                    <wp:align>right</wp:align>
                  </wp:positionH>
                  <wp:positionV relativeFrom="line">
                    <wp:posOffset>0</wp:posOffset>
                  </wp:positionV>
                  <wp:extent cx="847725" cy="180975"/>
                  <wp:effectExtent l="0" t="0" r="0" b="0"/>
                  <wp:wrapSquare wrapText="bothSides"/>
                  <wp:docPr id="25" name="AutoShape 38" descr="Click here to return to the top of this page">
                    <a:hlinkClick xmlns:a="http://schemas.openxmlformats.org/drawingml/2006/main" r:id="rId69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47725" cy="180975"/>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CA84B2" id="AutoShape 38" o:spid="_x0000_s1026" alt="Click here to return to the top of this page" href="#Top" style="position:absolute;margin-left:15.55pt;margin-top:0;width:66.75pt;height:14.25pt;z-index:251638272;visibility:visible;mso-wrap-style:square;mso-width-percent:0;mso-height-percent:0;mso-wrap-distance-left:0;mso-wrap-distance-top:0;mso-wrap-distance-right:0;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KrtowIAAD8FAAAOAAAAZHJzL2Uyb0RvYy54bWysVMtu2zAQvBfoPxC8O5IcObaFyEEgxUWA&#10;PgKk/QCaoiQiEskuactp0X/vkrJdpylQoKgPMp+zOzuzvL7Z9x3ZCbBSq5wmFzElQnFdSdXk9Mvn&#10;9WRBiXVMVazTSuT0WVh6s3r75nowmZjqVneVAIIgymaDyWnrnMmiyPJW9MxeaCMUbtYaeuZwCk1U&#10;ARsQve+iaRxfRYOGyoDmwlpcLcdNugr4dS24+1TXVjjS5RRzc+EL4bvx32h1zbIGmGklP6TB/iGL&#10;nkmFQU9QJXOMbEG+guolB2117S647iNd15KLwAHZJPFvbB5bZkTggsWx5lQm+/9g+cfdAxBZ5XQ6&#10;o0SxHjW63TodQpNLVK8SlmPBik7yJ9IKEMRpAsJtQfmRa/2CIbrGobTEsManzLK2k+ppvDXKiyB/&#10;V3esSKn5thfKjRKD6JhDf9lWGksJZD5duK8Sr140GJsFFl7zMHw0D+AzsOa95k+WKF20TDXi1hr0&#10;A7oUiR6XAPTQClZhSV/AjRge0CIa2QwfdIWlYViawG5fQ+9jYL5kH+z0fLKT2DvCcXGRzue+qhy3&#10;kkW8nM9Cwiw7XjZg3Tuhe+IHSAmzC+Bs9946z41lxyM+ltJr2XXBsRgCj/hFHywY7fsyXt4t7hbp&#10;JJ1e3U3SuCwnt+sinVytk/msvCyLokx+ePwkzVpZVUJ5uKPpk/SVPH/06qH9RruebG91JysP51Oy&#10;0GyKDsiOYdOtw+9A/OxY9DKNQBa5HP8Du6Ctr/8o7UZXz6gFaKwV9jK+OjhoNXyjZMAOzqn9umUg&#10;KOnuFeq5TNLUt3yYpLP5FCdwvrM532GKI1ROHSXjsHA4wytbA7JpMVIStFHat0ctgz7eH2NWByNi&#10;lwYGhxfFPwPn83Dq17u3+gkAAP//AwBQSwMEFAAGAAgAAAAhAHoLnR7YAAAABAEAAA8AAABkcnMv&#10;ZG93bnJldi54bWxMj8FqwkAQhu+FvsMyhd7qRkWRNBuRQpH0UIj6AGN2mgSzsyE7avr23fTSXgaG&#10;/+ebb7Lt6Dp1oyG0ng3MZwko4srblmsDp+P7ywZUEGSLnWcy8E0BtvnjQ4ap9Xcu6XaQWkUIhxQN&#10;NCJ9qnWoGnIYZr4njtmXHxxKXIda2wHvEe46vUiStXbYcrzQYE9vDVWXw9UZWGzIfhat+H1xKco1&#10;O/44lXtjnp/G3SsooVH+yjDpR3XIo9PZX9kG1RmIj8jvnLLlcgXqPIFXoPNM/5fPfwAAAP//AwBQ&#10;SwMEFAAGAAgAAAAhAJWWq5K3AAAAGQEAABkAAABkcnMvX3JlbHMvZTJvRG9jLnhtbC5yZWxzhM9B&#10;CsIwEAXQveAdwrjWtC5EpGk3InQr9QAhmaah7SQkUeztzdKC4HL4/PeZqnnPE3thiNaRgPJQAENS&#10;TlsyAh7dbX8GFpMkLSdHKGDBCE293VR3nGTKpThYH1lWKAoYUvIXzqMacJbx4DxSTnoXZpnyGQz3&#10;Uo3SID8WxYmHbwPqlclaLSC0ugTWLT4v/7dd31uFV6eeM1L6McGHLIXJ0phRGQwmAbvOeeB1xVcP&#10;1R8AAAD//wMAUEsBAi0AFAAGAAgAAAAhALaDOJL+AAAA4QEAABMAAAAAAAAAAAAAAAAAAAAAAFtD&#10;b250ZW50X1R5cGVzXS54bWxQSwECLQAUAAYACAAAACEAOP0h/9YAAACUAQAACwAAAAAAAAAAAAAA&#10;AAAvAQAAX3JlbHMvLnJlbHNQSwECLQAUAAYACAAAACEAiCCq7aMCAAA/BQAADgAAAAAAAAAAAAAA&#10;AAAuAgAAZHJzL2Uyb0RvYy54bWxQSwECLQAUAAYACAAAACEAegudHtgAAAAEAQAADwAAAAAAAAAA&#10;AAAAAAD9BAAAZHJzL2Rvd25yZXYueG1sUEsBAi0AFAAGAAgAAAAhAJWWq5K3AAAAGQEAABkAAAAA&#10;AAAAAAAAAAAAAgYAAGRycy9fcmVscy9lMm9Eb2MueG1sLnJlbHNQSwUGAAAAAAUABQA6AQAA8AYA&#10;AAAA&#10;" o:allowoverlap="f" o:button="t" filled="f" stroked="f">
                  <v:fill o:detectmouseclick="t"/>
                  <o:lock v:ext="edit" aspectratio="t"/>
                  <w10:wrap type="square" anchory="line"/>
                </v:rect>
              </w:pict>
            </mc:Fallback>
          </mc:AlternateContent>
        </w:r>
      </w:hyperlink>
    </w:p>
    <w:tbl>
      <w:tblPr>
        <w:tblpPr w:leftFromText="180" w:rightFromText="180" w:vertAnchor="text" w:horzAnchor="page" w:tblpX="2347" w:tblpY="80"/>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
        <w:gridCol w:w="2743"/>
        <w:gridCol w:w="2596"/>
        <w:gridCol w:w="655"/>
      </w:tblGrid>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Code</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Quadruple Losses of Use</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Quadruple Amputations</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Code</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41</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Hands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Hands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41</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42</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 hands, and foot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 hands, and foot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42</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43</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 hand,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 hand,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43</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44</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and hands</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and hands</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44</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45</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45</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46</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 and foot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 and foot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46</w:t>
            </w:r>
          </w:p>
        </w:tc>
      </w:tr>
    </w:tbl>
    <w:p w:rsidR="00013EB8" w:rsidRDefault="00013EB8">
      <w:pPr>
        <w:widowControl w:val="0"/>
        <w:rPr>
          <w:sz w:val="22"/>
        </w:rPr>
      </w:pPr>
    </w:p>
    <w:p w:rsidR="00013EB8" w:rsidRDefault="00013EB8">
      <w:pPr>
        <w:widowControl w:val="0"/>
        <w:rPr>
          <w:sz w:val="22"/>
        </w:rPr>
      </w:pPr>
    </w:p>
    <w:p w:rsidR="00013EB8" w:rsidRDefault="00013EB8">
      <w:pPr>
        <w:widowControl w:val="0"/>
        <w:rPr>
          <w:sz w:val="22"/>
        </w:rPr>
      </w:pPr>
    </w:p>
    <w:tbl>
      <w:tblPr>
        <w:tblpPr w:leftFromText="180" w:rightFromText="180" w:vertAnchor="page" w:horzAnchor="margin" w:tblpXSpec="center" w:tblpY="688"/>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
        <w:gridCol w:w="3122"/>
        <w:gridCol w:w="2219"/>
        <w:gridCol w:w="655"/>
      </w:tblGrid>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Code</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Other Multiple Losses of Use</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Other Amputations</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Code</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51</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 hands,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 hands,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51</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52</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52</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53</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hands, and foot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hands, and foot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53</w:t>
            </w:r>
          </w:p>
        </w:tc>
      </w:tr>
      <w:tr w:rsidR="0028584F" w:rsidTr="0028584F">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61</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hands,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hands, and feet</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61</w:t>
            </w:r>
          </w:p>
        </w:tc>
      </w:tr>
    </w:tbl>
    <w:p w:rsidR="00013EB8" w:rsidRDefault="00013EB8">
      <w:pPr>
        <w:widowControl w:val="0"/>
        <w:rPr>
          <w:sz w:val="22"/>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
        <w:gridCol w:w="5117"/>
      </w:tblGrid>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Other Multiple Losses of Use Including Aphonia</w:t>
            </w:r>
          </w:p>
        </w:tc>
      </w:tr>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81</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and aphonia</w:t>
            </w:r>
          </w:p>
        </w:tc>
      </w:tr>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82</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Hand(s) and aphonia</w:t>
            </w:r>
          </w:p>
        </w:tc>
      </w:tr>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83</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Foot(feet) and aphonia</w:t>
            </w:r>
          </w:p>
        </w:tc>
      </w:tr>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84</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hand(s), and aphonia</w:t>
            </w:r>
          </w:p>
        </w:tc>
      </w:tr>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85</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foot(feet), and aphonia</w:t>
            </w:r>
          </w:p>
        </w:tc>
      </w:tr>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86</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Hand(s), foot(feet), and aphonia</w:t>
            </w:r>
          </w:p>
        </w:tc>
      </w:tr>
      <w:tr w:rsidR="00ED279B">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87</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hand(s), foot(feet), and aphonia</w:t>
            </w:r>
          </w:p>
        </w:tc>
      </w:tr>
    </w:tbl>
    <w:tbl>
      <w:tblPr>
        <w:tblpPr w:leftFromText="180" w:rightFromText="180" w:vertAnchor="page" w:horzAnchor="margin" w:tblpXSpec="center" w:tblpY="2513"/>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
        <w:gridCol w:w="5215"/>
      </w:tblGrid>
      <w:tr w:rsidR="0028584F" w:rsidTr="00ED279B">
        <w:trPr>
          <w:tblCellSpacing w:w="15" w:type="dxa"/>
        </w:trPr>
        <w:tc>
          <w:tcPr>
            <w:tcW w:w="105" w:type="dxa"/>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Code</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jc w:val="center"/>
              <w:rPr>
                <w:rFonts w:ascii="Arial Unicode MS" w:eastAsia="Arial Unicode MS" w:hAnsi="Arial Unicode MS" w:cs="Arial Unicode MS"/>
                <w:b/>
                <w:bCs/>
                <w:sz w:val="22"/>
              </w:rPr>
            </w:pPr>
            <w:r>
              <w:rPr>
                <w:b/>
                <w:bCs/>
                <w:sz w:val="22"/>
              </w:rPr>
              <w:t>Other Multiple Losses of Use Including Deafness</w:t>
            </w:r>
          </w:p>
        </w:tc>
      </w:tr>
      <w:tr w:rsidR="0028584F" w:rsidTr="00ED279B">
        <w:trPr>
          <w:tblCellSpacing w:w="15" w:type="dxa"/>
        </w:trPr>
        <w:tc>
          <w:tcPr>
            <w:tcW w:w="105" w:type="dxa"/>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71</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and deafness</w:t>
            </w:r>
          </w:p>
        </w:tc>
      </w:tr>
      <w:tr w:rsidR="0028584F" w:rsidTr="00ED279B">
        <w:trPr>
          <w:tblCellSpacing w:w="15" w:type="dxa"/>
        </w:trPr>
        <w:tc>
          <w:tcPr>
            <w:tcW w:w="105" w:type="dxa"/>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72</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Hand(s) and deafness</w:t>
            </w:r>
          </w:p>
        </w:tc>
      </w:tr>
      <w:tr w:rsidR="0028584F" w:rsidTr="00ED279B">
        <w:trPr>
          <w:tblCellSpacing w:w="15" w:type="dxa"/>
        </w:trPr>
        <w:tc>
          <w:tcPr>
            <w:tcW w:w="105" w:type="dxa"/>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73</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Foot (feet), and deafness</w:t>
            </w:r>
          </w:p>
        </w:tc>
      </w:tr>
      <w:tr w:rsidR="0028584F" w:rsidTr="00ED279B">
        <w:trPr>
          <w:tblCellSpacing w:w="15" w:type="dxa"/>
        </w:trPr>
        <w:tc>
          <w:tcPr>
            <w:tcW w:w="105" w:type="dxa"/>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74</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hand(s), and deafness</w:t>
            </w:r>
          </w:p>
        </w:tc>
      </w:tr>
      <w:tr w:rsidR="0028584F" w:rsidTr="00ED279B">
        <w:trPr>
          <w:tblCellSpacing w:w="15" w:type="dxa"/>
        </w:trPr>
        <w:tc>
          <w:tcPr>
            <w:tcW w:w="105" w:type="dxa"/>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75</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foot(feet), and deafness</w:t>
            </w:r>
          </w:p>
        </w:tc>
      </w:tr>
      <w:tr w:rsidR="0028584F" w:rsidTr="00ED279B">
        <w:trPr>
          <w:tblCellSpacing w:w="15" w:type="dxa"/>
        </w:trPr>
        <w:tc>
          <w:tcPr>
            <w:tcW w:w="105" w:type="dxa"/>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76</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Hand(s), foot(feet), and deafness</w:t>
            </w:r>
          </w:p>
        </w:tc>
      </w:tr>
      <w:tr w:rsidR="0028584F" w:rsidTr="00ED279B">
        <w:trPr>
          <w:tblCellSpacing w:w="15" w:type="dxa"/>
        </w:trPr>
        <w:tc>
          <w:tcPr>
            <w:tcW w:w="105" w:type="dxa"/>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77</w:t>
            </w:r>
          </w:p>
        </w:tc>
        <w:tc>
          <w:tcPr>
            <w:tcW w:w="0" w:type="auto"/>
            <w:tcBorders>
              <w:top w:val="outset" w:sz="6" w:space="0" w:color="auto"/>
              <w:left w:val="outset" w:sz="6" w:space="0" w:color="auto"/>
              <w:bottom w:val="outset" w:sz="6" w:space="0" w:color="auto"/>
              <w:right w:val="outset" w:sz="6" w:space="0" w:color="auto"/>
            </w:tcBorders>
            <w:vAlign w:val="center"/>
          </w:tcPr>
          <w:p w:rsidR="0028584F" w:rsidRDefault="0028584F" w:rsidP="0028584F">
            <w:pPr>
              <w:widowControl w:val="0"/>
              <w:rPr>
                <w:rFonts w:ascii="Arial Unicode MS" w:eastAsia="Arial Unicode MS" w:hAnsi="Arial Unicode MS" w:cs="Arial Unicode MS"/>
                <w:sz w:val="22"/>
              </w:rPr>
            </w:pPr>
            <w:r>
              <w:rPr>
                <w:sz w:val="22"/>
              </w:rPr>
              <w:t>Eye(s), hand(s), foot(feet), and deafness</w:t>
            </w:r>
          </w:p>
        </w:tc>
      </w:tr>
    </w:tbl>
    <w:p w:rsidR="00013EB8" w:rsidRDefault="00013EB8">
      <w:pPr>
        <w:widowControl w:val="0"/>
        <w:rPr>
          <w:sz w:val="22"/>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
        <w:gridCol w:w="6609"/>
      </w:tblGrid>
      <w:tr w:rsid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Other Multiple Losses of Use Including Deafness and Aphonia</w:t>
            </w:r>
          </w:p>
        </w:tc>
      </w:tr>
      <w:tr w:rsid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91</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deafness, and aphonia</w:t>
            </w:r>
          </w:p>
        </w:tc>
      </w:tr>
      <w:tr w:rsid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92</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Hand(s), deafness, and aphonia</w:t>
            </w:r>
          </w:p>
        </w:tc>
      </w:tr>
      <w:tr w:rsid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93</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Foot(feet), deafness, and aphonia</w:t>
            </w:r>
          </w:p>
        </w:tc>
      </w:tr>
      <w:tr w:rsid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94</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hand(s), deafness, and aphonia</w:t>
            </w:r>
          </w:p>
        </w:tc>
      </w:tr>
      <w:tr w:rsid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95</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foot(feet), deafness, and aphonia</w:t>
            </w:r>
          </w:p>
        </w:tc>
      </w:tr>
      <w:tr w:rsid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96</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Hand(s), foot(feet), deafness, and aphonia</w:t>
            </w:r>
          </w:p>
        </w:tc>
      </w:tr>
      <w:tr w:rsidR="002858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97</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Eye(s), hand(s), foot(feet), deafness and aphonia</w:t>
            </w:r>
          </w:p>
        </w:tc>
      </w:tr>
    </w:tbl>
    <w:p w:rsidR="00013EB8" w:rsidRDefault="00013EB8">
      <w:pPr>
        <w:pStyle w:val="ratechrt"/>
        <w:widowControl w:val="0"/>
        <w:jc w:val="left"/>
      </w:pPr>
    </w:p>
    <w:p w:rsidR="00013EB8" w:rsidRDefault="00013EB8">
      <w:pPr>
        <w:pStyle w:val="ratechrt"/>
        <w:widowControl w:val="0"/>
        <w:ind w:right="108"/>
        <w:rPr>
          <w:bCs/>
          <w:color w:val="FF0000"/>
          <w:sz w:val="22"/>
          <w:u w:val="single"/>
        </w:rPr>
      </w:pPr>
      <w:r>
        <w:rPr>
          <w:b/>
          <w:bCs/>
          <w:color w:val="009900"/>
          <w:sz w:val="22"/>
          <w:szCs w:val="27"/>
        </w:rPr>
        <w:t>Other Loss Codes</w:t>
      </w:r>
    </w:p>
    <w:p w:rsidR="00013EB8" w:rsidRDefault="00013EB8">
      <w:pPr>
        <w:widowControl w:val="0"/>
        <w:tabs>
          <w:tab w:val="left" w:pos="0"/>
          <w:tab w:val="left" w:pos="144"/>
        </w:tabs>
        <w:jc w:val="center"/>
        <w:rPr>
          <w:sz w:val="22"/>
        </w:rPr>
      </w:pP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
        <w:gridCol w:w="5377"/>
      </w:tblGrid>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Code</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jc w:val="center"/>
              <w:rPr>
                <w:rFonts w:ascii="Arial Unicode MS" w:eastAsia="Arial Unicode MS" w:hAnsi="Arial Unicode MS" w:cs="Arial Unicode MS"/>
                <w:b/>
                <w:bCs/>
                <w:sz w:val="22"/>
              </w:rPr>
            </w:pPr>
            <w:r>
              <w:rPr>
                <w:b/>
                <w:bCs/>
                <w:sz w:val="22"/>
              </w:rPr>
              <w:t>Description</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0</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No losses in this group</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1</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Loss or loss of use of creative organ</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2</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Loss or loss of use of both buttocks</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3</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Combination of codes 1 and 2</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4</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Regular aid and attendance or permanently bedridden</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5</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Combination of codes 1 and 4</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6</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Combination of codes 2 and 4</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7</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Combination of codes 1, 2, and 4</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8</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Loss of one or both breasts</w:t>
            </w:r>
          </w:p>
        </w:tc>
      </w:tr>
      <w:tr w:rsidR="00013EB8">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9</w:t>
            </w:r>
          </w:p>
        </w:tc>
        <w:tc>
          <w:tcPr>
            <w:tcW w:w="0" w:type="auto"/>
            <w:tcBorders>
              <w:top w:val="outset" w:sz="6" w:space="0" w:color="auto"/>
              <w:left w:val="outset" w:sz="6" w:space="0" w:color="auto"/>
              <w:bottom w:val="outset" w:sz="6" w:space="0" w:color="auto"/>
              <w:right w:val="outset" w:sz="6" w:space="0" w:color="auto"/>
            </w:tcBorders>
            <w:vAlign w:val="center"/>
          </w:tcPr>
          <w:p w:rsidR="00013EB8" w:rsidRDefault="00013EB8">
            <w:pPr>
              <w:widowControl w:val="0"/>
              <w:rPr>
                <w:rFonts w:ascii="Arial Unicode MS" w:eastAsia="Arial Unicode MS" w:hAnsi="Arial Unicode MS" w:cs="Arial Unicode MS"/>
                <w:sz w:val="22"/>
              </w:rPr>
            </w:pPr>
            <w:r>
              <w:rPr>
                <w:sz w:val="22"/>
              </w:rPr>
              <w:t>Combination of any code 1 through 7 and code 8</w:t>
            </w:r>
          </w:p>
        </w:tc>
      </w:tr>
    </w:tbl>
    <w:p w:rsidR="00013EB8" w:rsidRDefault="00013EB8">
      <w:pPr>
        <w:pStyle w:val="Caption"/>
        <w:widowControl w:val="0"/>
      </w:pPr>
    </w:p>
    <w:p w:rsidR="00013EB8" w:rsidRDefault="00013EB8">
      <w:pPr>
        <w:widowControl w:val="0"/>
        <w:rPr>
          <w:i/>
          <w:iCs/>
        </w:rPr>
      </w:pPr>
      <w:r>
        <w:rPr>
          <w:i/>
          <w:iCs/>
        </w:rPr>
        <w:t>Other Loss Codes “8” and “9” added in April 2002</w:t>
      </w:r>
    </w:p>
    <w:p w:rsidR="00013EB8" w:rsidRDefault="00013EB8">
      <w:pPr>
        <w:widowControl w:val="0"/>
        <w:rPr>
          <w:i/>
          <w:iCs/>
          <w:sz w:val="18"/>
        </w:rPr>
      </w:pPr>
    </w:p>
    <w:p w:rsidR="00013EB8" w:rsidRDefault="00D571C5">
      <w:pPr>
        <w:widowControl w:val="0"/>
        <w:rPr>
          <w:i/>
          <w:iCs/>
          <w:sz w:val="18"/>
        </w:rPr>
      </w:pPr>
      <w:hyperlink r:id="rId700" w:history="1">
        <w:r w:rsidR="00B72090">
          <w:rPr>
            <w:rStyle w:val="Hyperlink"/>
            <w:i/>
            <w:iCs/>
            <w:sz w:val="18"/>
            <w:szCs w:val="18"/>
          </w:rPr>
          <w:t>M21-1, Part I, Appendix A</w:t>
        </w:r>
      </w:hyperlink>
      <w:r w:rsidR="00013EB8">
        <w:rPr>
          <w:i/>
          <w:iCs/>
          <w:sz w:val="18"/>
        </w:rPr>
        <w:t xml:space="preserve"> has Paragraphs and Codes</w:t>
      </w:r>
    </w:p>
    <w:p w:rsidR="00013EB8" w:rsidRDefault="00D571C5">
      <w:pPr>
        <w:pStyle w:val="Caption"/>
        <w:widowControl w:val="0"/>
        <w:rPr>
          <w:b w:val="0"/>
          <w:bCs w:val="0"/>
          <w:sz w:val="18"/>
        </w:rPr>
      </w:pPr>
      <w:hyperlink r:id="rId701" w:history="1">
        <w:r w:rsidR="00B72090">
          <w:rPr>
            <w:rStyle w:val="Hyperlink"/>
            <w:b w:val="0"/>
            <w:bCs w:val="0"/>
            <w:sz w:val="18"/>
            <w:szCs w:val="18"/>
          </w:rPr>
          <w:t>M21-1, Part I, Appendix B</w:t>
        </w:r>
      </w:hyperlink>
      <w:r w:rsidR="00013EB8">
        <w:rPr>
          <w:b w:val="0"/>
          <w:bCs w:val="0"/>
          <w:sz w:val="18"/>
        </w:rPr>
        <w:t xml:space="preserve"> has Rate Tables</w:t>
      </w:r>
      <w:r w:rsidR="00B72090">
        <w:rPr>
          <w:b w:val="0"/>
          <w:bCs w:val="0"/>
          <w:sz w:val="18"/>
        </w:rPr>
        <w:t xml:space="preserve"> (as of 2018, links don’t work)</w:t>
      </w:r>
      <w:r w:rsidR="0057790D">
        <w:rPr>
          <w:b w:val="0"/>
          <w:bCs w:val="0"/>
          <w:sz w:val="18"/>
        </w:rPr>
        <w:t xml:space="preserve">, also here:  </w:t>
      </w:r>
      <w:r w:rsidR="00896F07" w:rsidRPr="00896F07">
        <w:rPr>
          <w:b w:val="0"/>
          <w:sz w:val="18"/>
        </w:rPr>
        <w:t>http://vbaw.vba.va.gov/bl/21/publicat/Manuals/Rates/rates_home.</w:t>
      </w:r>
      <w:r w:rsidR="00896F07" w:rsidRPr="00896F07">
        <w:rPr>
          <w:sz w:val="18"/>
        </w:rPr>
        <w:t>htm</w:t>
      </w:r>
      <w:r w:rsidR="00896F07">
        <w:rPr>
          <w:b w:val="0"/>
          <w:bCs w:val="0"/>
          <w:sz w:val="18"/>
        </w:rPr>
        <w:t xml:space="preserve"> (as of 2018, only through 12/1/14)</w:t>
      </w:r>
    </w:p>
    <w:p w:rsidR="004140FA" w:rsidRDefault="004140FA" w:rsidP="004140FA"/>
    <w:p w:rsidR="004140FA" w:rsidRDefault="004140FA" w:rsidP="004140FA">
      <w:pPr>
        <w:pBdr>
          <w:top w:val="double" w:sz="4" w:space="1" w:color="auto"/>
          <w:left w:val="double" w:sz="4" w:space="4" w:color="auto"/>
          <w:bottom w:val="double" w:sz="4" w:space="1" w:color="auto"/>
          <w:right w:val="double" w:sz="4" w:space="4" w:color="auto"/>
        </w:pBdr>
        <w:shd w:val="clear" w:color="auto" w:fill="FFC000"/>
        <w:jc w:val="center"/>
        <w:rPr>
          <w:rFonts w:eastAsiaTheme="minorHAnsi"/>
          <w:b/>
        </w:rPr>
      </w:pPr>
    </w:p>
    <w:p w:rsidR="004140FA" w:rsidRPr="00D10240" w:rsidRDefault="004140FA" w:rsidP="004140FA">
      <w:pPr>
        <w:pBdr>
          <w:top w:val="double" w:sz="4" w:space="1" w:color="auto"/>
          <w:left w:val="double" w:sz="4" w:space="4" w:color="auto"/>
          <w:bottom w:val="double" w:sz="4" w:space="1" w:color="auto"/>
          <w:right w:val="double" w:sz="4" w:space="4" w:color="auto"/>
        </w:pBdr>
        <w:shd w:val="clear" w:color="auto" w:fill="FFC000"/>
        <w:jc w:val="center"/>
        <w:rPr>
          <w:rFonts w:eastAsiaTheme="minorHAnsi"/>
        </w:rPr>
      </w:pPr>
      <w:r>
        <w:rPr>
          <w:rFonts w:eastAsiaTheme="minorHAnsi"/>
          <w:b/>
        </w:rPr>
        <w:t>2017 COLA Rates</w:t>
      </w:r>
      <w:r>
        <w:rPr>
          <w:rFonts w:eastAsiaTheme="minorHAnsi"/>
        </w:rPr>
        <w:t xml:space="preserve"> is</w:t>
      </w:r>
      <w:r w:rsidRPr="0036376C">
        <w:t xml:space="preserve"> saved at </w:t>
      </w:r>
      <w:r w:rsidRPr="001453C4">
        <w:rPr>
          <w:b/>
          <w:bCs/>
          <w:i/>
          <w:iCs/>
        </w:rPr>
        <w:t>H:\VSC\Rating Reference</w:t>
      </w:r>
    </w:p>
    <w:p w:rsidR="004140FA" w:rsidRPr="004140FA" w:rsidRDefault="004140FA" w:rsidP="004140FA"/>
    <w:p w:rsidR="00013EB8" w:rsidRDefault="00013EB8">
      <w:pPr>
        <w:widowControl w:val="0"/>
      </w:pPr>
    </w:p>
    <w:p w:rsidR="00013EB8" w:rsidRDefault="00013EB8">
      <w:pPr>
        <w:widowControl w:val="0"/>
        <w:pBdr>
          <w:top w:val="single" w:sz="4" w:space="1" w:color="auto"/>
        </w:pBdr>
      </w:pPr>
    </w:p>
    <w:p w:rsidR="00013EB8" w:rsidRDefault="00013EB8">
      <w:pPr>
        <w:widowControl w:val="0"/>
        <w:pBdr>
          <w:top w:val="single" w:sz="4" w:space="1" w:color="auto"/>
        </w:pBdr>
        <w:rPr>
          <w:i/>
          <w:iCs/>
        </w:rPr>
      </w:pPr>
      <w:r>
        <w:rPr>
          <w:i/>
          <w:iCs/>
        </w:rPr>
        <w:t>Common code combinations:</w:t>
      </w:r>
    </w:p>
    <w:p w:rsidR="00013EB8" w:rsidRDefault="00013EB8">
      <w:pPr>
        <w:widowControl w:val="0"/>
      </w:pPr>
      <w:r>
        <w:t xml:space="preserve">LOU creative organ: </w:t>
      </w:r>
      <w:r>
        <w:tab/>
        <w:t xml:space="preserve">01/01/00/00/1 </w:t>
      </w:r>
    </w:p>
    <w:p w:rsidR="00013EB8" w:rsidRDefault="00013EB8">
      <w:pPr>
        <w:widowControl w:val="0"/>
      </w:pPr>
      <w:r>
        <w:t>L (A&amp;A):</w:t>
      </w:r>
      <w:r>
        <w:tab/>
      </w:r>
      <w:r>
        <w:tab/>
        <w:t xml:space="preserve">03/48/00/00/4 </w:t>
      </w:r>
    </w:p>
    <w:p w:rsidR="00013EB8" w:rsidRDefault="00013EB8">
      <w:pPr>
        <w:widowControl w:val="0"/>
      </w:pPr>
      <w:r>
        <w:t>L (A&amp;A)+K:</w:t>
      </w:r>
      <w:r>
        <w:tab/>
      </w:r>
      <w:r>
        <w:tab/>
        <w:t xml:space="preserve">04/49/00/00/5 </w:t>
      </w:r>
    </w:p>
    <w:p w:rsidR="00013EB8" w:rsidRDefault="00013EB8">
      <w:pPr>
        <w:widowControl w:val="0"/>
      </w:pPr>
      <w:r>
        <w:t>S:</w:t>
      </w:r>
      <w:r>
        <w:tab/>
      </w:r>
      <w:r>
        <w:tab/>
      </w:r>
      <w:r>
        <w:tab/>
        <w:t xml:space="preserve">48/48/00/00/0 </w:t>
      </w:r>
    </w:p>
    <w:p w:rsidR="00013EB8" w:rsidRDefault="00013EB8">
      <w:pPr>
        <w:widowControl w:val="0"/>
      </w:pPr>
      <w:r>
        <w:t>S+K for creative organ:</w:t>
      </w:r>
      <w:r>
        <w:tab/>
        <w:t>49/49/00/00/1</w:t>
      </w:r>
    </w:p>
    <w:p w:rsidR="00013EB8" w:rsidRDefault="00013EB8">
      <w:pPr>
        <w:widowControl w:val="0"/>
      </w:pPr>
    </w:p>
    <w:p w:rsidR="00013EB8" w:rsidRDefault="00013EB8">
      <w:pPr>
        <w:pStyle w:val="Title"/>
        <w:widowControl w:val="0"/>
        <w:pBdr>
          <w:top w:val="single" w:sz="4" w:space="1" w:color="auto"/>
        </w:pBdr>
        <w:rPr>
          <w:rFonts w:ascii="Times New Roman" w:hAnsi="Times New Roman" w:cs="Times New Roman"/>
          <w:i/>
          <w:iCs/>
        </w:rPr>
      </w:pPr>
    </w:p>
    <w:p w:rsidR="00013EB8" w:rsidRDefault="00013EB8">
      <w:pPr>
        <w:pStyle w:val="Title"/>
        <w:widowControl w:val="0"/>
        <w:rPr>
          <w:i/>
          <w:iCs/>
          <w:sz w:val="20"/>
        </w:rPr>
      </w:pPr>
      <w:bookmarkStart w:id="162" w:name="AAInfo"/>
      <w:r>
        <w:rPr>
          <w:i/>
          <w:iCs/>
          <w:sz w:val="20"/>
        </w:rPr>
        <w:t>Quick Reference Handout for Aid and Attendance (A&amp;A)</w:t>
      </w:r>
    </w:p>
    <w:bookmarkEnd w:id="162"/>
    <w:p w:rsidR="00013EB8" w:rsidRDefault="00013EB8">
      <w:pPr>
        <w:pStyle w:val="Heading4"/>
        <w:keepNext w:val="0"/>
        <w:widowControl w:val="0"/>
        <w:pBdr>
          <w:top w:val="none" w:sz="0" w:space="0" w:color="auto"/>
          <w:left w:val="none" w:sz="0" w:space="0" w:color="auto"/>
          <w:bottom w:val="none" w:sz="0" w:space="0" w:color="auto"/>
          <w:right w:val="none" w:sz="0" w:space="0" w:color="auto"/>
        </w:pBdr>
        <w:jc w:val="center"/>
        <w:rPr>
          <w:sz w:val="20"/>
        </w:rPr>
      </w:pPr>
      <w:r>
        <w:rPr>
          <w:sz w:val="20"/>
        </w:rPr>
        <w:t>(by Jeff Myers)</w:t>
      </w:r>
    </w:p>
    <w:p w:rsidR="00013EB8" w:rsidRDefault="00013EB8">
      <w:pPr>
        <w:pStyle w:val="Header"/>
        <w:widowControl w:val="0"/>
        <w:tabs>
          <w:tab w:val="clear" w:pos="4320"/>
          <w:tab w:val="clear" w:pos="8640"/>
        </w:tabs>
      </w:pPr>
    </w:p>
    <w:p w:rsidR="00013EB8" w:rsidRDefault="00013EB8">
      <w:pPr>
        <w:pStyle w:val="Heading1"/>
        <w:keepNext w:val="0"/>
        <w:widowControl w:val="0"/>
        <w:rPr>
          <w:b/>
          <w:bCs/>
          <w:sz w:val="20"/>
        </w:rPr>
      </w:pPr>
      <w:r>
        <w:rPr>
          <w:b/>
          <w:bCs/>
          <w:sz w:val="20"/>
        </w:rPr>
        <w:t>Regular A&amp;A/Permanently Bedridden:</w:t>
      </w:r>
    </w:p>
    <w:p w:rsidR="00013EB8" w:rsidRDefault="00013EB8">
      <w:pPr>
        <w:widowControl w:val="0"/>
      </w:pPr>
    </w:p>
    <w:p w:rsidR="00013EB8" w:rsidRDefault="00013EB8">
      <w:pPr>
        <w:widowControl w:val="0"/>
      </w:pPr>
      <w:r>
        <w:t xml:space="preserve">Grant SMC (L) under 3.350(b) if a veteran is permanently bedridden or so helpless as to be </w:t>
      </w:r>
      <w:r w:rsidR="005604B8">
        <w:t>in need of regular A&amp;A.  Par. L</w:t>
      </w:r>
      <w:r>
        <w:t>1.</w:t>
      </w:r>
    </w:p>
    <w:p w:rsidR="00013EB8" w:rsidRDefault="00013EB8" w:rsidP="00691877">
      <w:pPr>
        <w:widowControl w:val="0"/>
        <w:numPr>
          <w:ilvl w:val="0"/>
          <w:numId w:val="15"/>
        </w:numPr>
      </w:pPr>
      <w:r>
        <w:t>The criteria for regular A&amp;A/bedridden are found in 3.352(a).</w:t>
      </w:r>
    </w:p>
    <w:p w:rsidR="00013EB8" w:rsidRDefault="00013EB8" w:rsidP="00691877">
      <w:pPr>
        <w:widowControl w:val="0"/>
        <w:numPr>
          <w:ilvl w:val="0"/>
          <w:numId w:val="15"/>
        </w:numPr>
      </w:pPr>
      <w:r>
        <w:t xml:space="preserve">If possible, </w:t>
      </w:r>
      <w:r>
        <w:rPr>
          <w:i/>
          <w:iCs/>
          <w:u w:val="single"/>
        </w:rPr>
        <w:t>determinations should be made on the basis of bedridden rather than for need of A&amp;A</w:t>
      </w:r>
      <w:r>
        <w:t xml:space="preserve"> to avoid reduction during hospitalization.</w:t>
      </w:r>
    </w:p>
    <w:p w:rsidR="00013EB8" w:rsidRDefault="00013EB8" w:rsidP="00691877">
      <w:pPr>
        <w:widowControl w:val="0"/>
        <w:numPr>
          <w:ilvl w:val="0"/>
          <w:numId w:val="15"/>
        </w:numPr>
      </w:pPr>
      <w:r>
        <w:t xml:space="preserve">A </w:t>
      </w:r>
      <w:r>
        <w:rPr>
          <w:i/>
          <w:iCs/>
          <w:u w:val="single"/>
        </w:rPr>
        <w:t>single disability rated as 100 percent</w:t>
      </w:r>
      <w:r>
        <w:t xml:space="preserve"> disabling under a schedular evaluation is generally a prerequisite.  If the evaluation is </w:t>
      </w:r>
      <w:r>
        <w:rPr>
          <w:i/>
          <w:iCs/>
          <w:u w:val="single"/>
        </w:rPr>
        <w:t>less than 100 percent</w:t>
      </w:r>
      <w:r>
        <w:t xml:space="preserve">, and the disability is so severe </w:t>
      </w:r>
      <w:r w:rsidRPr="004861FB">
        <w:t>as to demonstrate a need for A&amp;A, refer to C&amp;P Service for an advisory opinion.  M21-1 MR IV.ii.2.H.44.</w:t>
      </w:r>
      <w:r w:rsidR="0023795F" w:rsidRPr="004861FB">
        <w:t xml:space="preserve"> </w:t>
      </w:r>
      <w:r w:rsidR="0023795F" w:rsidRPr="004861FB">
        <w:rPr>
          <w:b/>
        </w:rPr>
        <w:t>III.vi.1.A</w:t>
      </w:r>
    </w:p>
    <w:p w:rsidR="00013EB8" w:rsidRDefault="00013EB8" w:rsidP="00691877">
      <w:pPr>
        <w:widowControl w:val="0"/>
        <w:numPr>
          <w:ilvl w:val="0"/>
          <w:numId w:val="15"/>
        </w:numPr>
      </w:pPr>
      <w:r>
        <w:rPr>
          <w:b/>
          <w:bCs/>
          <w:i/>
          <w:iCs/>
          <w:u w:val="single"/>
        </w:rPr>
        <w:t>Be specific in the Rating as to which disabilities cause the need for A&amp;A.</w:t>
      </w:r>
      <w:r>
        <w:t xml:space="preserve">  Disabilities which are not used to justify A&amp;A may entitle the veteran to higher levels of SMC.</w:t>
      </w:r>
    </w:p>
    <w:p w:rsidR="00013EB8" w:rsidRDefault="00013EB8">
      <w:pPr>
        <w:widowControl w:val="0"/>
      </w:pPr>
    </w:p>
    <w:p w:rsidR="00013EB8" w:rsidRDefault="00013EB8">
      <w:pPr>
        <w:pStyle w:val="Heading1"/>
        <w:keepNext w:val="0"/>
        <w:widowControl w:val="0"/>
        <w:rPr>
          <w:b/>
          <w:bCs/>
          <w:sz w:val="20"/>
        </w:rPr>
      </w:pPr>
      <w:r>
        <w:rPr>
          <w:b/>
          <w:bCs/>
          <w:sz w:val="20"/>
        </w:rPr>
        <w:t>Hospitalization Adjustments:</w:t>
      </w:r>
    </w:p>
    <w:p w:rsidR="00013EB8" w:rsidRDefault="00013EB8">
      <w:pPr>
        <w:widowControl w:val="0"/>
      </w:pPr>
    </w:p>
    <w:p w:rsidR="00013EB8" w:rsidRDefault="00013EB8" w:rsidP="00691877">
      <w:pPr>
        <w:widowControl w:val="0"/>
        <w:numPr>
          <w:ilvl w:val="0"/>
          <w:numId w:val="15"/>
        </w:numPr>
      </w:pPr>
      <w:r>
        <w:t xml:space="preserve">The SMC allowance for A&amp;A must be discontinued during hospitalization at government expense unless the need for A&amp;A is due to: </w:t>
      </w:r>
      <w:r>
        <w:rPr>
          <w:i/>
          <w:iCs/>
          <w:u w:val="single"/>
        </w:rPr>
        <w:t>(1) paraplegia with paralysis of both lower extremities and loss of anal and bladder sphincter control; or (2) Hansen’s disease</w:t>
      </w:r>
      <w:r>
        <w:t>.  M21-1 MR IV.ii.2.H.38.</w:t>
      </w:r>
    </w:p>
    <w:p w:rsidR="00013EB8" w:rsidRDefault="00013EB8" w:rsidP="00691877">
      <w:pPr>
        <w:widowControl w:val="0"/>
        <w:numPr>
          <w:ilvl w:val="0"/>
          <w:numId w:val="15"/>
        </w:numPr>
      </w:pPr>
      <w:r>
        <w:t xml:space="preserve">Follow directions given by Hospital Rate </w:t>
      </w:r>
      <w:r>
        <w:rPr>
          <w:b/>
          <w:bCs/>
          <w:i/>
          <w:iCs/>
          <w:u w:val="single"/>
        </w:rPr>
        <w:t>footnotes</w:t>
      </w:r>
      <w:r>
        <w:t xml:space="preserve"> on M21-1, Part I, </w:t>
      </w:r>
      <w:hyperlink r:id="rId702" w:history="1">
        <w:r w:rsidR="00E76788" w:rsidRPr="00E76788">
          <w:rPr>
            <w:rFonts w:eastAsia="Calibri"/>
            <w:b/>
            <w:color w:val="0000FF" w:themeColor="hyperlink"/>
            <w:sz w:val="22"/>
            <w:szCs w:val="22"/>
            <w:u w:val="single"/>
          </w:rPr>
          <w:t>M21-4 Appendix B</w:t>
        </w:r>
      </w:hyperlink>
      <w:r>
        <w:t>, SMC Codes and Rates.</w:t>
      </w:r>
    </w:p>
    <w:p w:rsidR="00013EB8" w:rsidRDefault="00013EB8">
      <w:pPr>
        <w:widowControl w:val="0"/>
      </w:pPr>
    </w:p>
    <w:p w:rsidR="00013EB8" w:rsidRDefault="00013EB8">
      <w:pPr>
        <w:pStyle w:val="Heading1"/>
        <w:keepNext w:val="0"/>
        <w:widowControl w:val="0"/>
        <w:rPr>
          <w:b/>
          <w:bCs/>
          <w:sz w:val="20"/>
        </w:rPr>
      </w:pPr>
      <w:r>
        <w:rPr>
          <w:b/>
          <w:bCs/>
          <w:sz w:val="20"/>
        </w:rPr>
        <w:t xml:space="preserve">A&amp;A with </w:t>
      </w:r>
      <w:r>
        <w:rPr>
          <w:b/>
          <w:bCs/>
          <w:i w:val="0"/>
          <w:iCs w:val="0"/>
          <w:sz w:val="20"/>
        </w:rPr>
        <w:t>Additional SMC (K) Awards</w:t>
      </w:r>
      <w:r>
        <w:rPr>
          <w:b/>
          <w:bCs/>
          <w:sz w:val="20"/>
        </w:rPr>
        <w:t>:</w:t>
      </w:r>
    </w:p>
    <w:p w:rsidR="00013EB8" w:rsidRDefault="00013EB8">
      <w:pPr>
        <w:widowControl w:val="0"/>
      </w:pPr>
    </w:p>
    <w:p w:rsidR="00013EB8" w:rsidRDefault="00013EB8" w:rsidP="00691877">
      <w:pPr>
        <w:widowControl w:val="0"/>
        <w:numPr>
          <w:ilvl w:val="0"/>
          <w:numId w:val="16"/>
        </w:numPr>
      </w:pPr>
      <w:r>
        <w:t xml:space="preserve">SMC (K) awards may be granted in addition to A&amp;A so long as the disabilities entitling the veteran to SMC (K) were </w:t>
      </w:r>
      <w:r>
        <w:rPr>
          <w:i/>
          <w:iCs/>
          <w:u w:val="single"/>
        </w:rPr>
        <w:t>not used to justify A&amp;A</w:t>
      </w:r>
      <w:r>
        <w:t>.</w:t>
      </w:r>
    </w:p>
    <w:p w:rsidR="00013EB8" w:rsidRDefault="00013EB8" w:rsidP="00691877">
      <w:pPr>
        <w:widowControl w:val="0"/>
        <w:numPr>
          <w:ilvl w:val="0"/>
          <w:numId w:val="16"/>
        </w:numPr>
      </w:pPr>
      <w:r>
        <w:t xml:space="preserve">If a disability that warrants SMC (K) </w:t>
      </w:r>
      <w:r>
        <w:rPr>
          <w:i/>
          <w:iCs/>
          <w:u w:val="single"/>
        </w:rPr>
        <w:t>is used to justify A&amp;A</w:t>
      </w:r>
      <w:r w:rsidR="005604B8">
        <w:t>, enter an SMC Paragraph K</w:t>
      </w:r>
      <w:r>
        <w:t>1, not payable concurrently with SMC under subsection (L).  The veteran will be entitled to the SMC (K) award when hospitalized.</w:t>
      </w:r>
    </w:p>
    <w:p w:rsidR="00013EB8" w:rsidRDefault="00013EB8">
      <w:pPr>
        <w:widowControl w:val="0"/>
      </w:pPr>
    </w:p>
    <w:p w:rsidR="00013EB8" w:rsidRDefault="00013EB8">
      <w:pPr>
        <w:pStyle w:val="Heading1"/>
        <w:keepNext w:val="0"/>
        <w:widowControl w:val="0"/>
        <w:rPr>
          <w:b/>
          <w:bCs/>
          <w:sz w:val="20"/>
        </w:rPr>
      </w:pPr>
      <w:r>
        <w:rPr>
          <w:b/>
          <w:bCs/>
          <w:sz w:val="20"/>
        </w:rPr>
        <w:t xml:space="preserve">A&amp;A with </w:t>
      </w:r>
      <w:r>
        <w:rPr>
          <w:b/>
          <w:bCs/>
          <w:i w:val="0"/>
          <w:iCs w:val="0"/>
          <w:sz w:val="20"/>
        </w:rPr>
        <w:t>Additional Independent Permanent Disabilities</w:t>
      </w:r>
      <w:r>
        <w:rPr>
          <w:b/>
          <w:bCs/>
          <w:sz w:val="20"/>
        </w:rPr>
        <w:t>:</w:t>
      </w:r>
    </w:p>
    <w:p w:rsidR="00013EB8" w:rsidRDefault="00013EB8">
      <w:pPr>
        <w:widowControl w:val="0"/>
      </w:pPr>
    </w:p>
    <w:p w:rsidR="00013EB8" w:rsidRDefault="00013EB8" w:rsidP="00691877">
      <w:pPr>
        <w:widowControl w:val="0"/>
        <w:numPr>
          <w:ilvl w:val="0"/>
          <w:numId w:val="17"/>
        </w:numPr>
      </w:pPr>
      <w:r>
        <w:t xml:space="preserve">Grant a </w:t>
      </w:r>
      <w:r>
        <w:rPr>
          <w:b/>
          <w:bCs/>
          <w:u w:val="single"/>
        </w:rPr>
        <w:t>full-step increase</w:t>
      </w:r>
      <w:r>
        <w:t xml:space="preserve"> under 3.350(f)(4) if the veteran has </w:t>
      </w:r>
      <w:r>
        <w:rPr>
          <w:i/>
          <w:iCs/>
          <w:u w:val="single"/>
        </w:rPr>
        <w:t>an additional single permanent disability independently ratable at 100 percent.</w:t>
      </w:r>
      <w:r>
        <w:t xml:space="preserve">  </w:t>
      </w:r>
      <w:r>
        <w:rPr>
          <w:szCs w:val="25"/>
        </w:rPr>
        <w:t xml:space="preserve">Code </w:t>
      </w:r>
      <w:r>
        <w:t xml:space="preserve">p </w:t>
      </w:r>
      <w:r w:rsidR="005604B8">
        <w:t>= total SMC entitlement, Par. P</w:t>
      </w:r>
      <w:r>
        <w:t>2.</w:t>
      </w:r>
    </w:p>
    <w:p w:rsidR="00013EB8" w:rsidRDefault="00013EB8" w:rsidP="00691877">
      <w:pPr>
        <w:widowControl w:val="0"/>
        <w:numPr>
          <w:ilvl w:val="0"/>
          <w:numId w:val="17"/>
        </w:numPr>
      </w:pPr>
      <w:r>
        <w:t xml:space="preserve">Grant a </w:t>
      </w:r>
      <w:r>
        <w:rPr>
          <w:b/>
          <w:bCs/>
          <w:u w:val="single"/>
        </w:rPr>
        <w:t>half-step increase</w:t>
      </w:r>
      <w:r>
        <w:t xml:space="preserve"> under 3.350(f)(3) if the veteran has </w:t>
      </w:r>
      <w:r>
        <w:rPr>
          <w:i/>
          <w:iCs/>
          <w:u w:val="single"/>
        </w:rPr>
        <w:t>an additional permanent disability or combination of permanent disabilities independently ratable at 50 percent or more</w:t>
      </w:r>
      <w:r>
        <w:t xml:space="preserve">.  </w:t>
      </w:r>
      <w:r>
        <w:rPr>
          <w:szCs w:val="25"/>
        </w:rPr>
        <w:t xml:space="preserve">Code </w:t>
      </w:r>
      <w:r>
        <w:t xml:space="preserve">p </w:t>
      </w:r>
      <w:r w:rsidR="005604B8">
        <w:t>= total SMC entitlement, Par. P</w:t>
      </w:r>
      <w:r>
        <w:t>1.</w:t>
      </w:r>
    </w:p>
    <w:p w:rsidR="00013EB8" w:rsidRDefault="00013EB8" w:rsidP="00691877">
      <w:pPr>
        <w:widowControl w:val="0"/>
        <w:numPr>
          <w:ilvl w:val="0"/>
          <w:numId w:val="17"/>
        </w:numPr>
      </w:pPr>
      <w:r>
        <w:t>You may only grant one of these two options, and only one time.</w:t>
      </w:r>
    </w:p>
    <w:p w:rsidR="00013EB8" w:rsidRDefault="00013EB8">
      <w:pPr>
        <w:widowControl w:val="0"/>
      </w:pPr>
    </w:p>
    <w:p w:rsidR="00013EB8" w:rsidRDefault="00013EB8">
      <w:pPr>
        <w:widowControl w:val="0"/>
        <w:rPr>
          <w:b/>
          <w:bCs/>
          <w:u w:val="single"/>
        </w:rPr>
      </w:pPr>
      <w:r>
        <w:rPr>
          <w:b/>
          <w:bCs/>
          <w:u w:val="single"/>
        </w:rPr>
        <w:t xml:space="preserve">A&amp;A with </w:t>
      </w:r>
      <w:r>
        <w:rPr>
          <w:b/>
          <w:bCs/>
          <w:i/>
          <w:iCs/>
          <w:u w:val="single"/>
        </w:rPr>
        <w:t>Loss or Loss of Use of Two or More Extremities</w:t>
      </w:r>
      <w:r>
        <w:rPr>
          <w:b/>
          <w:bCs/>
          <w:u w:val="single"/>
        </w:rPr>
        <w:t>:</w:t>
      </w:r>
    </w:p>
    <w:p w:rsidR="00013EB8" w:rsidRDefault="00013EB8">
      <w:pPr>
        <w:widowControl w:val="0"/>
        <w:rPr>
          <w:b/>
          <w:bCs/>
          <w:u w:val="single"/>
        </w:rPr>
      </w:pPr>
    </w:p>
    <w:p w:rsidR="00013EB8" w:rsidRDefault="00013EB8" w:rsidP="00691877">
      <w:pPr>
        <w:widowControl w:val="0"/>
        <w:numPr>
          <w:ilvl w:val="0"/>
          <w:numId w:val="18"/>
        </w:numPr>
      </w:pPr>
      <w:r>
        <w:t xml:space="preserve">If entitlement to </w:t>
      </w:r>
      <w:r>
        <w:rPr>
          <w:i/>
          <w:iCs/>
          <w:u w:val="single"/>
        </w:rPr>
        <w:t>A&amp;A is required due to the loss or loss of use of two extremities</w:t>
      </w:r>
      <w:r>
        <w:t>, grant SMC based on the extremities.  This is a higher benefit because it is not reduced when hospitalized.</w:t>
      </w:r>
    </w:p>
    <w:p w:rsidR="00013EB8" w:rsidRDefault="00013EB8" w:rsidP="00691877">
      <w:pPr>
        <w:widowControl w:val="0"/>
        <w:numPr>
          <w:ilvl w:val="0"/>
          <w:numId w:val="18"/>
        </w:numPr>
      </w:pPr>
      <w:r>
        <w:t xml:space="preserve">If </w:t>
      </w:r>
      <w:r>
        <w:rPr>
          <w:i/>
          <w:iCs/>
          <w:u w:val="single"/>
        </w:rPr>
        <w:t>A&amp;A can be justified disregarding the disabling effects of the loss or loss of use of the two extremities,</w:t>
      </w:r>
      <w:r>
        <w:t xml:space="preserve"> grant a separate award of SMC for A&amp;A.  The veteran would be entitled to SMC (O) under 3.350(e)(1)(ii) based on conditions entitling to two or more rates (L) through (N).  The veteran would also be entitled to SMC (R1) or (R2) based on SMC (O) with the need for A&amp;A.</w:t>
      </w:r>
    </w:p>
    <w:p w:rsidR="00013EB8" w:rsidRDefault="00013EB8">
      <w:pPr>
        <w:widowControl w:val="0"/>
      </w:pPr>
    </w:p>
    <w:p w:rsidR="00013EB8" w:rsidRDefault="00013EB8">
      <w:pPr>
        <w:pStyle w:val="Heading1"/>
        <w:keepNext w:val="0"/>
        <w:widowControl w:val="0"/>
        <w:rPr>
          <w:b/>
          <w:bCs/>
          <w:sz w:val="20"/>
        </w:rPr>
      </w:pPr>
      <w:r>
        <w:rPr>
          <w:b/>
          <w:bCs/>
          <w:sz w:val="20"/>
        </w:rPr>
        <w:t xml:space="preserve">A&amp;A with </w:t>
      </w:r>
      <w:r>
        <w:rPr>
          <w:b/>
          <w:bCs/>
          <w:i w:val="0"/>
          <w:iCs w:val="0"/>
          <w:sz w:val="20"/>
        </w:rPr>
        <w:t>Bilateral Blindness</w:t>
      </w:r>
      <w:r>
        <w:rPr>
          <w:b/>
          <w:bCs/>
          <w:sz w:val="20"/>
        </w:rPr>
        <w:t>:</w:t>
      </w:r>
    </w:p>
    <w:p w:rsidR="00013EB8" w:rsidRDefault="00013EB8">
      <w:pPr>
        <w:widowControl w:val="0"/>
      </w:pPr>
    </w:p>
    <w:p w:rsidR="00013EB8" w:rsidRDefault="00013EB8" w:rsidP="00691877">
      <w:pPr>
        <w:widowControl w:val="0"/>
        <w:numPr>
          <w:ilvl w:val="0"/>
          <w:numId w:val="19"/>
        </w:numPr>
      </w:pPr>
      <w:r>
        <w:t xml:space="preserve">If </w:t>
      </w:r>
      <w:r>
        <w:rPr>
          <w:i/>
          <w:iCs/>
          <w:u w:val="single"/>
        </w:rPr>
        <w:t>entitled to SMC (L) or (L1/2) based on bilateral blindness resulting in the need for A&amp;A</w:t>
      </w:r>
      <w:r>
        <w:t xml:space="preserve">, grant SMC (M) based on aid and attendance </w:t>
      </w:r>
      <w:r>
        <w:rPr>
          <w:szCs w:val="28"/>
        </w:rPr>
        <w:t>under 3.350(c)(1)(v)</w:t>
      </w:r>
      <w:r w:rsidR="005604B8">
        <w:t>.  Par. MB</w:t>
      </w:r>
      <w:r>
        <w:t xml:space="preserve">1.  </w:t>
      </w:r>
    </w:p>
    <w:p w:rsidR="00013EB8" w:rsidRDefault="00013EB8" w:rsidP="00691877">
      <w:pPr>
        <w:widowControl w:val="0"/>
        <w:numPr>
          <w:ilvl w:val="0"/>
          <w:numId w:val="19"/>
        </w:numPr>
      </w:pPr>
      <w:r>
        <w:t xml:space="preserve">If </w:t>
      </w:r>
      <w:r>
        <w:rPr>
          <w:i/>
          <w:iCs/>
          <w:u w:val="single"/>
        </w:rPr>
        <w:t>entitled to SMC (M) or higher based on bilateral blindness resulting in the need for A&amp;A</w:t>
      </w:r>
      <w:r>
        <w:t>, grant SMC based on bilateral blindness.  This is a higher benefit than A&amp;A because it is not reduced when hospitalized.</w:t>
      </w:r>
    </w:p>
    <w:p w:rsidR="00013EB8" w:rsidRDefault="00013EB8" w:rsidP="00691877">
      <w:pPr>
        <w:widowControl w:val="0"/>
        <w:numPr>
          <w:ilvl w:val="0"/>
          <w:numId w:val="19"/>
        </w:numPr>
      </w:pPr>
      <w:r>
        <w:t xml:space="preserve">If SMC (L) or higher is warranted for bilateral blindness, and </w:t>
      </w:r>
      <w:r>
        <w:rPr>
          <w:i/>
          <w:iCs/>
          <w:u w:val="single"/>
        </w:rPr>
        <w:t>A&amp;A can be justified disregarding the disabling effects of the visual impairment</w:t>
      </w:r>
      <w:r>
        <w:t>, grant a separate award of SMC for A&amp;A.  The veteran would be entitled to SMC (O) under 3.350(e)(1)(ii) based on conditions entitling to two or more rates (L) through (N).  The veteran would also be entitled to SMC (R1) or (R2) based on SMC (O) with the need for A&amp;A.</w:t>
      </w:r>
    </w:p>
    <w:p w:rsidR="00013EB8" w:rsidRDefault="00013EB8">
      <w:pPr>
        <w:widowControl w:val="0"/>
      </w:pPr>
    </w:p>
    <w:p w:rsidR="00013EB8" w:rsidRDefault="00013EB8">
      <w:pPr>
        <w:widowControl w:val="0"/>
        <w:rPr>
          <w:b/>
          <w:bCs/>
          <w:u w:val="single"/>
        </w:rPr>
      </w:pPr>
      <w:r>
        <w:rPr>
          <w:b/>
          <w:bCs/>
          <w:u w:val="single"/>
        </w:rPr>
        <w:t>SMC (R):</w:t>
      </w:r>
    </w:p>
    <w:p w:rsidR="00013EB8" w:rsidRDefault="00013EB8">
      <w:pPr>
        <w:widowControl w:val="0"/>
        <w:rPr>
          <w:b/>
          <w:bCs/>
          <w:u w:val="single"/>
        </w:rPr>
      </w:pPr>
    </w:p>
    <w:p w:rsidR="00013EB8" w:rsidRDefault="00013EB8">
      <w:pPr>
        <w:widowControl w:val="0"/>
      </w:pPr>
      <w:r>
        <w:t xml:space="preserve">SMC (R) is warranted under 3.350(h) if: </w:t>
      </w:r>
      <w:r>
        <w:rPr>
          <w:i/>
          <w:iCs/>
          <w:u w:val="single"/>
        </w:rPr>
        <w:t xml:space="preserve">(1)Entitlement is established to SMC (O), the maximum rate under (P), or SMC (N1/2+K); </w:t>
      </w:r>
      <w:r>
        <w:rPr>
          <w:b/>
          <w:bCs/>
          <w:i/>
          <w:iCs/>
          <w:u w:val="single"/>
        </w:rPr>
        <w:t>and</w:t>
      </w:r>
      <w:r>
        <w:rPr>
          <w:i/>
          <w:iCs/>
          <w:u w:val="single"/>
        </w:rPr>
        <w:t xml:space="preserve"> (2) A&amp;A is required</w:t>
      </w:r>
      <w:r>
        <w:t>.</w:t>
      </w:r>
    </w:p>
    <w:p w:rsidR="00013EB8" w:rsidRDefault="00013EB8" w:rsidP="00691877">
      <w:pPr>
        <w:widowControl w:val="0"/>
        <w:numPr>
          <w:ilvl w:val="0"/>
          <w:numId w:val="15"/>
        </w:numPr>
      </w:pPr>
      <w:r>
        <w:t xml:space="preserve">This benefit is </w:t>
      </w:r>
      <w:r>
        <w:rPr>
          <w:i/>
          <w:iCs/>
          <w:u w:val="single"/>
        </w:rPr>
        <w:t>payable even if A&amp;A was used to establish SMC (O) or the maximum rate under (P), or if the need for A&amp;A is based on the same disabilities establishing entitlement to SMC (N1/2+K)</w:t>
      </w:r>
      <w:r>
        <w:t>.</w:t>
      </w:r>
    </w:p>
    <w:p w:rsidR="00013EB8" w:rsidRDefault="00013EB8" w:rsidP="00691877">
      <w:pPr>
        <w:widowControl w:val="0"/>
        <w:numPr>
          <w:ilvl w:val="0"/>
          <w:numId w:val="15"/>
        </w:numPr>
      </w:pPr>
      <w:r>
        <w:t xml:space="preserve">Entitled to SMC (R1) for </w:t>
      </w:r>
      <w:r>
        <w:rPr>
          <w:i/>
          <w:iCs/>
          <w:u w:val="single"/>
        </w:rPr>
        <w:t>regular A&amp;A</w:t>
      </w:r>
      <w:r>
        <w:t>.</w:t>
      </w:r>
    </w:p>
    <w:p w:rsidR="00013EB8" w:rsidRDefault="00013EB8" w:rsidP="00691877">
      <w:pPr>
        <w:widowControl w:val="0"/>
        <w:numPr>
          <w:ilvl w:val="0"/>
          <w:numId w:val="15"/>
        </w:numPr>
      </w:pPr>
      <w:r>
        <w:t xml:space="preserve">Entitled to SMC (R2) for a </w:t>
      </w:r>
      <w:r>
        <w:rPr>
          <w:i/>
          <w:iCs/>
          <w:u w:val="single"/>
        </w:rPr>
        <w:t>higher level of care</w:t>
      </w:r>
      <w:r>
        <w:t xml:space="preserve"> as defined in 3.352(b). </w:t>
      </w:r>
    </w:p>
    <w:p w:rsidR="00013EB8" w:rsidRDefault="00013EB8" w:rsidP="00691877">
      <w:pPr>
        <w:widowControl w:val="0"/>
        <w:numPr>
          <w:ilvl w:val="0"/>
          <w:numId w:val="15"/>
        </w:numPr>
      </w:pPr>
      <w:r>
        <w:t xml:space="preserve">The SMC allowance for A&amp;A must be discontinued during hospitalization, </w:t>
      </w:r>
      <w:r>
        <w:rPr>
          <w:i/>
          <w:iCs/>
          <w:u w:val="single"/>
        </w:rPr>
        <w:t>regardless of the disability involved</w:t>
      </w:r>
      <w:r>
        <w:t>, if entitlement is established under SMC (R1) or (R2).  M21-1 MR IV.ii.2.H.38.</w:t>
      </w:r>
    </w:p>
    <w:p w:rsidR="00013EB8" w:rsidRDefault="00013EB8">
      <w:pPr>
        <w:pStyle w:val="Header"/>
        <w:widowControl w:val="0"/>
        <w:tabs>
          <w:tab w:val="clear" w:pos="4320"/>
          <w:tab w:val="clear" w:pos="8640"/>
        </w:tabs>
      </w:pPr>
    </w:p>
    <w:p w:rsidR="00013EB8" w:rsidRDefault="00013EB8">
      <w:pPr>
        <w:pStyle w:val="Caption"/>
        <w:widowControl w:val="0"/>
        <w:pBdr>
          <w:top w:val="single" w:sz="4" w:space="1" w:color="auto"/>
        </w:pBdr>
        <w:rPr>
          <w:b w:val="0"/>
          <w:bCs w:val="0"/>
          <w:sz w:val="20"/>
        </w:rPr>
      </w:pPr>
    </w:p>
    <w:p w:rsidR="00013EB8" w:rsidRDefault="00013EB8">
      <w:pPr>
        <w:pStyle w:val="Heading4"/>
        <w:keepNext w:val="0"/>
        <w:widowControl w:val="0"/>
        <w:pBdr>
          <w:top w:val="none" w:sz="0" w:space="0" w:color="auto"/>
          <w:left w:val="none" w:sz="0" w:space="0" w:color="auto"/>
          <w:bottom w:val="none" w:sz="0" w:space="0" w:color="auto"/>
          <w:right w:val="none" w:sz="0" w:space="0" w:color="auto"/>
        </w:pBdr>
        <w:jc w:val="center"/>
        <w:rPr>
          <w:b/>
          <w:bCs/>
          <w:i w:val="0"/>
          <w:iCs w:val="0"/>
          <w:sz w:val="20"/>
        </w:rPr>
      </w:pPr>
      <w:bookmarkStart w:id="163" w:name="Blindness"/>
      <w:r>
        <w:rPr>
          <w:b/>
          <w:bCs/>
          <w:i w:val="0"/>
          <w:iCs w:val="0"/>
          <w:sz w:val="20"/>
          <w:u w:val="single"/>
        </w:rPr>
        <w:t>SMC Involving Bilateral Blindness</w:t>
      </w:r>
      <w:r>
        <w:rPr>
          <w:b/>
          <w:bCs/>
          <w:i w:val="0"/>
          <w:iCs w:val="0"/>
          <w:sz w:val="20"/>
        </w:rPr>
        <w:t xml:space="preserve"> </w:t>
      </w:r>
    </w:p>
    <w:p w:rsidR="00013EB8" w:rsidRDefault="00013EB8">
      <w:pPr>
        <w:pStyle w:val="Heading4"/>
        <w:keepNext w:val="0"/>
        <w:widowControl w:val="0"/>
        <w:pBdr>
          <w:top w:val="none" w:sz="0" w:space="0" w:color="auto"/>
          <w:left w:val="none" w:sz="0" w:space="0" w:color="auto"/>
          <w:bottom w:val="none" w:sz="0" w:space="0" w:color="auto"/>
          <w:right w:val="none" w:sz="0" w:space="0" w:color="auto"/>
        </w:pBdr>
        <w:jc w:val="center"/>
        <w:rPr>
          <w:sz w:val="20"/>
        </w:rPr>
      </w:pPr>
      <w:r>
        <w:rPr>
          <w:sz w:val="20"/>
        </w:rPr>
        <w:t>(by Jeff Myers)</w:t>
      </w:r>
    </w:p>
    <w:bookmarkEnd w:id="163"/>
    <w:p w:rsidR="00013EB8" w:rsidRDefault="00013EB8">
      <w:pPr>
        <w:pStyle w:val="Footer"/>
        <w:widowControl w:val="0"/>
        <w:tabs>
          <w:tab w:val="clear" w:pos="4320"/>
          <w:tab w:val="clear" w:pos="8640"/>
        </w:tabs>
      </w:pPr>
      <w:r>
        <w:t xml:space="preserve"> </w:t>
      </w:r>
    </w:p>
    <w:p w:rsidR="00013EB8" w:rsidRDefault="00013EB8">
      <w:pPr>
        <w:pStyle w:val="Footer"/>
        <w:widowControl w:val="0"/>
        <w:tabs>
          <w:tab w:val="clear" w:pos="4320"/>
          <w:tab w:val="clear" w:pos="8640"/>
        </w:tabs>
      </w:pPr>
      <w:r>
        <w:t xml:space="preserve">Public Law 110-157 now provides SMC (o) under 3.350(e)(1)(iii) if the veteran has </w:t>
      </w:r>
      <w:r>
        <w:rPr>
          <w:b/>
          <w:bCs/>
        </w:rPr>
        <w:t xml:space="preserve">bilateral visual acuity of 20/200 </w:t>
      </w:r>
      <w:r>
        <w:t>or less</w:t>
      </w:r>
      <w:r>
        <w:rPr>
          <w:i/>
          <w:iCs/>
        </w:rPr>
        <w:t xml:space="preserve"> </w:t>
      </w:r>
      <w:r>
        <w:rPr>
          <w:u w:val="single"/>
        </w:rPr>
        <w:t>with</w:t>
      </w:r>
      <w:r>
        <w:t xml:space="preserve"> </w:t>
      </w:r>
      <w:r>
        <w:rPr>
          <w:b/>
          <w:bCs/>
        </w:rPr>
        <w:t xml:space="preserve">bilateral deafness rated at 60 percent </w:t>
      </w:r>
      <w:r>
        <w:t>or more and the hearing impairment in either one or both ears is service connected.  Code 37, Par. OB1.  See Fast Letter 08-12.</w:t>
      </w:r>
    </w:p>
    <w:p w:rsidR="00013EB8" w:rsidRDefault="00013EB8">
      <w:pPr>
        <w:pStyle w:val="Footer"/>
        <w:widowControl w:val="0"/>
        <w:tabs>
          <w:tab w:val="clear" w:pos="4320"/>
          <w:tab w:val="clear" w:pos="8640"/>
        </w:tabs>
      </w:pPr>
    </w:p>
    <w:p w:rsidR="00013EB8" w:rsidRDefault="00013EB8">
      <w:pPr>
        <w:pStyle w:val="Heading4"/>
        <w:keepNext w:val="0"/>
        <w:widowControl w:val="0"/>
        <w:pBdr>
          <w:top w:val="none" w:sz="0" w:space="0" w:color="auto"/>
          <w:left w:val="none" w:sz="0" w:space="0" w:color="auto"/>
          <w:bottom w:val="none" w:sz="0" w:space="0" w:color="auto"/>
          <w:right w:val="none" w:sz="0" w:space="0" w:color="auto"/>
        </w:pBdr>
        <w:rPr>
          <w:b/>
          <w:bCs/>
          <w:i w:val="0"/>
          <w:iCs w:val="0"/>
          <w:sz w:val="20"/>
          <w:u w:val="single"/>
        </w:rPr>
      </w:pPr>
      <w:r>
        <w:rPr>
          <w:b/>
          <w:bCs/>
          <w:i w:val="0"/>
          <w:iCs w:val="0"/>
          <w:sz w:val="20"/>
          <w:u w:val="single"/>
        </w:rPr>
        <w:t>Better eye: Visual acuity 5/200 or worse</w:t>
      </w:r>
    </w:p>
    <w:p w:rsidR="00013EB8" w:rsidRDefault="00013EB8">
      <w:pPr>
        <w:widowControl w:val="0"/>
        <w:ind w:firstLine="720"/>
      </w:pPr>
    </w:p>
    <w:p w:rsidR="00013EB8" w:rsidRDefault="00013EB8">
      <w:pPr>
        <w:widowControl w:val="0"/>
        <w:ind w:firstLine="720"/>
      </w:pPr>
      <w:r>
        <w:t xml:space="preserve">Other eye: </w:t>
      </w:r>
    </w:p>
    <w:p w:rsidR="00013EB8" w:rsidRDefault="00013EB8">
      <w:pPr>
        <w:widowControl w:val="0"/>
        <w:ind w:left="720" w:firstLine="720"/>
        <w:rPr>
          <w:i/>
          <w:iCs/>
          <w:u w:val="single"/>
        </w:rPr>
      </w:pPr>
      <w:r>
        <w:rPr>
          <w:i/>
          <w:iCs/>
          <w:u w:val="single"/>
        </w:rPr>
        <w:t>Visual acuity 5/200 or worse</w:t>
      </w:r>
      <w:r>
        <w:t xml:space="preserve"> – SMC (l), 3.350(b)(2), Code 03, Par. LB1</w:t>
      </w:r>
    </w:p>
    <w:p w:rsidR="00013EB8" w:rsidRDefault="00013EB8">
      <w:pPr>
        <w:widowControl w:val="0"/>
        <w:ind w:left="720" w:firstLine="720"/>
        <w:rPr>
          <w:i/>
          <w:iCs/>
          <w:u w:val="single"/>
        </w:rPr>
      </w:pPr>
      <w:r>
        <w:rPr>
          <w:i/>
          <w:iCs/>
          <w:u w:val="single"/>
        </w:rPr>
        <w:t>Light perception only</w:t>
      </w:r>
      <w:r w:rsidR="002D0754">
        <w:t xml:space="preserve"> – SMC (l</w:t>
      </w:r>
      <w:r>
        <w:t>1/2), 3</w:t>
      </w:r>
      <w:r w:rsidR="002D0754">
        <w:t>.350(f)(2)(i), Code 18, Par. LB</w:t>
      </w:r>
      <w:r>
        <w:t>2</w:t>
      </w:r>
    </w:p>
    <w:p w:rsidR="00013EB8" w:rsidRDefault="00013EB8">
      <w:pPr>
        <w:widowControl w:val="0"/>
        <w:ind w:left="1440"/>
        <w:rPr>
          <w:u w:val="single"/>
        </w:rPr>
      </w:pPr>
      <w:r>
        <w:rPr>
          <w:i/>
          <w:iCs/>
          <w:u w:val="single"/>
        </w:rPr>
        <w:t>No light perception or anatomical loss</w:t>
      </w:r>
      <w:r>
        <w:t xml:space="preserve"> – SMC (m), 3.</w:t>
      </w:r>
      <w:r w:rsidR="002D0754">
        <w:t>350(f)(2)(ii), Code 19, Par. MB</w:t>
      </w:r>
      <w:r>
        <w:t>2</w:t>
      </w:r>
    </w:p>
    <w:p w:rsidR="00013EB8" w:rsidRDefault="00013EB8">
      <w:pPr>
        <w:widowControl w:val="0"/>
        <w:rPr>
          <w:i/>
          <w:iCs/>
          <w:u w:val="single"/>
        </w:rPr>
      </w:pPr>
    </w:p>
    <w:p w:rsidR="00013EB8" w:rsidRDefault="00013EB8">
      <w:pPr>
        <w:widowControl w:val="0"/>
      </w:pPr>
      <w:r>
        <w:t xml:space="preserve">Bilateral blindness above with </w:t>
      </w:r>
      <w:r>
        <w:rPr>
          <w:i/>
          <w:iCs/>
          <w:u w:val="single"/>
        </w:rPr>
        <w:t>hearing impairment</w:t>
      </w:r>
      <w:r>
        <w:rPr>
          <w:i/>
          <w:iCs/>
        </w:rPr>
        <w:t>:</w:t>
      </w:r>
    </w:p>
    <w:p w:rsidR="00013EB8" w:rsidRDefault="00013EB8" w:rsidP="00691877">
      <w:pPr>
        <w:widowControl w:val="0"/>
        <w:numPr>
          <w:ilvl w:val="0"/>
          <w:numId w:val="22"/>
        </w:numPr>
      </w:pPr>
      <w:r>
        <w:t xml:space="preserve">Grant SMC (o) under 3.350(e)(1)(iii) if the veteran has </w:t>
      </w:r>
      <w:r>
        <w:rPr>
          <w:b/>
          <w:bCs/>
        </w:rPr>
        <w:t xml:space="preserve">bilateral deafness rated at 60 percent </w:t>
      </w:r>
      <w:r>
        <w:t>or more and the hearing impairment in either one or both ears is servi</w:t>
      </w:r>
      <w:r w:rsidR="002D0754">
        <w:t>ce connected.  Code 37, Par. OB</w:t>
      </w:r>
      <w:r>
        <w:t>1.</w:t>
      </w:r>
    </w:p>
    <w:p w:rsidR="00013EB8" w:rsidRDefault="00013EB8" w:rsidP="00691877">
      <w:pPr>
        <w:widowControl w:val="0"/>
        <w:numPr>
          <w:ilvl w:val="0"/>
          <w:numId w:val="22"/>
        </w:numPr>
      </w:pPr>
      <w:r>
        <w:t xml:space="preserve">Grant a </w:t>
      </w:r>
      <w:r>
        <w:rPr>
          <w:b/>
          <w:bCs/>
        </w:rPr>
        <w:t>full-step</w:t>
      </w:r>
      <w:r>
        <w:t xml:space="preserve"> increase </w:t>
      </w:r>
      <w:r>
        <w:rPr>
          <w:szCs w:val="28"/>
        </w:rPr>
        <w:t xml:space="preserve">under 3.350(f)(2)(vi) </w:t>
      </w:r>
      <w:r>
        <w:t xml:space="preserve">if the veteran has </w:t>
      </w:r>
      <w:r>
        <w:rPr>
          <w:b/>
          <w:bCs/>
        </w:rPr>
        <w:t>bilateral deafness rated at 30 percent</w:t>
      </w:r>
      <w:r>
        <w:t xml:space="preserve"> or more disabling and the hearing impairment in either one or both ears is service connected.  Code p = total SMC entitlement, Par. PB-3.</w:t>
      </w:r>
    </w:p>
    <w:p w:rsidR="00013EB8" w:rsidRDefault="00013EB8" w:rsidP="00691877">
      <w:pPr>
        <w:widowControl w:val="0"/>
        <w:numPr>
          <w:ilvl w:val="0"/>
          <w:numId w:val="22"/>
        </w:numPr>
      </w:pPr>
      <w:r>
        <w:t xml:space="preserve">Grant a </w:t>
      </w:r>
      <w:r>
        <w:rPr>
          <w:b/>
          <w:bCs/>
        </w:rPr>
        <w:t>half-step</w:t>
      </w:r>
      <w:r>
        <w:t xml:space="preserve"> increase </w:t>
      </w:r>
      <w:r>
        <w:rPr>
          <w:szCs w:val="28"/>
        </w:rPr>
        <w:t xml:space="preserve">under 3.350(f)(2)(iv) </w:t>
      </w:r>
      <w:r>
        <w:t xml:space="preserve">if the veteran has service connected </w:t>
      </w:r>
      <w:r>
        <w:rPr>
          <w:b/>
          <w:bCs/>
        </w:rPr>
        <w:t>total deafness in one ear</w:t>
      </w:r>
      <w:r>
        <w:t>.  Code p =</w:t>
      </w:r>
      <w:r w:rsidR="002D0754">
        <w:t xml:space="preserve"> total SMC entitlement, Par. PB</w:t>
      </w:r>
      <w:r>
        <w:t>1.</w:t>
      </w:r>
    </w:p>
    <w:p w:rsidR="00013EB8" w:rsidRDefault="00013EB8">
      <w:pPr>
        <w:widowControl w:val="0"/>
      </w:pPr>
    </w:p>
    <w:p w:rsidR="00013EB8" w:rsidRDefault="00013EB8">
      <w:pPr>
        <w:widowControl w:val="0"/>
        <w:rPr>
          <w:i/>
          <w:iCs/>
        </w:rPr>
      </w:pPr>
      <w:r>
        <w:t xml:space="preserve">Bilateral blindness in combination with </w:t>
      </w:r>
      <w:r>
        <w:rPr>
          <w:i/>
          <w:iCs/>
          <w:u w:val="single"/>
        </w:rPr>
        <w:t>loss or loss of use of one or more extremities</w:t>
      </w:r>
      <w:r>
        <w:rPr>
          <w:i/>
          <w:iCs/>
        </w:rPr>
        <w:t>:</w:t>
      </w:r>
    </w:p>
    <w:p w:rsidR="00013EB8" w:rsidRDefault="00013EB8" w:rsidP="00691877">
      <w:pPr>
        <w:widowControl w:val="0"/>
        <w:numPr>
          <w:ilvl w:val="0"/>
          <w:numId w:val="20"/>
        </w:numPr>
      </w:pPr>
      <w:r>
        <w:t xml:space="preserve">Grant a </w:t>
      </w:r>
      <w:r>
        <w:rPr>
          <w:b/>
          <w:bCs/>
        </w:rPr>
        <w:t>full-step</w:t>
      </w:r>
      <w:r>
        <w:t xml:space="preserve"> increase under 3.350(f)(2)(vii)(A) if the veteran also has service connected </w:t>
      </w:r>
      <w:r>
        <w:rPr>
          <w:b/>
          <w:bCs/>
        </w:rPr>
        <w:t>loss or loss of use of one hand</w:t>
      </w:r>
      <w:r>
        <w:t xml:space="preserve">.  </w:t>
      </w:r>
      <w:r>
        <w:rPr>
          <w:b/>
          <w:bCs/>
          <w:szCs w:val="25"/>
          <w:u w:val="single"/>
        </w:rPr>
        <w:t>Keep the (k).</w:t>
      </w:r>
      <w:r>
        <w:rPr>
          <w:szCs w:val="25"/>
        </w:rPr>
        <w:t xml:space="preserve">  Code </w:t>
      </w:r>
      <w:r>
        <w:t xml:space="preserve">p = total SMC entitlement, Par. PB-4.  </w:t>
      </w:r>
    </w:p>
    <w:p w:rsidR="00013EB8" w:rsidRDefault="00013EB8" w:rsidP="00691877">
      <w:pPr>
        <w:widowControl w:val="0"/>
        <w:numPr>
          <w:ilvl w:val="0"/>
          <w:numId w:val="20"/>
        </w:numPr>
      </w:pPr>
      <w:r>
        <w:t xml:space="preserve">Grant a </w:t>
      </w:r>
      <w:r>
        <w:rPr>
          <w:b/>
          <w:bCs/>
        </w:rPr>
        <w:t>full-step</w:t>
      </w:r>
      <w:r>
        <w:t xml:space="preserve"> increase under 3.350(f)(2)(vii)(B) if the veteran also has service connected </w:t>
      </w:r>
      <w:r>
        <w:rPr>
          <w:b/>
          <w:bCs/>
        </w:rPr>
        <w:t>loss or loss of use of one foot which by itself or in connection with another compensable disability would be ratable at 50 percent or more</w:t>
      </w:r>
      <w:r>
        <w:t xml:space="preserve">.  </w:t>
      </w:r>
      <w:r>
        <w:rPr>
          <w:b/>
          <w:bCs/>
          <w:szCs w:val="25"/>
          <w:u w:val="single"/>
        </w:rPr>
        <w:t>Keep the (k).</w:t>
      </w:r>
      <w:r>
        <w:rPr>
          <w:szCs w:val="25"/>
        </w:rPr>
        <w:t xml:space="preserve">  Code </w:t>
      </w:r>
      <w:r>
        <w:t>p = total SMC entitlement, Par. PB-5.</w:t>
      </w:r>
    </w:p>
    <w:p w:rsidR="00013EB8" w:rsidRDefault="00013EB8" w:rsidP="00691877">
      <w:pPr>
        <w:widowControl w:val="0"/>
        <w:numPr>
          <w:ilvl w:val="0"/>
          <w:numId w:val="20"/>
        </w:numPr>
      </w:pPr>
      <w:r>
        <w:t xml:space="preserve">Grant a </w:t>
      </w:r>
      <w:r>
        <w:rPr>
          <w:b/>
          <w:bCs/>
        </w:rPr>
        <w:t>half-step</w:t>
      </w:r>
      <w:r>
        <w:t xml:space="preserve"> increase under 3.350(f)(2)(vii)(C) if the veteran also has service connected </w:t>
      </w:r>
      <w:r>
        <w:rPr>
          <w:b/>
          <w:bCs/>
        </w:rPr>
        <w:t>loss or loss of use of one foot which is ratable at less than 50 percent and which is the only compensable disability other than bilateral blindness</w:t>
      </w:r>
      <w:r>
        <w:t xml:space="preserve">.  </w:t>
      </w:r>
      <w:r>
        <w:rPr>
          <w:b/>
          <w:bCs/>
          <w:szCs w:val="25"/>
          <w:u w:val="single"/>
        </w:rPr>
        <w:t>Keep the (k).</w:t>
      </w:r>
      <w:r>
        <w:rPr>
          <w:szCs w:val="25"/>
        </w:rPr>
        <w:t xml:space="preserve">  Code </w:t>
      </w:r>
      <w:r>
        <w:t>p = total SMC entitlement, Par. PB-6.</w:t>
      </w:r>
    </w:p>
    <w:p w:rsidR="00013EB8" w:rsidRDefault="00013EB8" w:rsidP="00691877">
      <w:pPr>
        <w:widowControl w:val="0"/>
        <w:numPr>
          <w:ilvl w:val="0"/>
          <w:numId w:val="20"/>
        </w:numPr>
      </w:pPr>
      <w:r>
        <w:t xml:space="preserve">If the veteran has </w:t>
      </w:r>
      <w:r>
        <w:rPr>
          <w:b/>
          <w:bCs/>
        </w:rPr>
        <w:t>loss or loss of use of two extremities</w:t>
      </w:r>
      <w:r>
        <w:t xml:space="preserve">, the veteran will be entitled to </w:t>
      </w:r>
      <w:r>
        <w:rPr>
          <w:b/>
          <w:bCs/>
        </w:rPr>
        <w:t>SMC (o)</w:t>
      </w:r>
      <w:r>
        <w:t xml:space="preserve"> under 3.350(e)(1)(ii) based on conditions entitling to two or more rates (l) through (n) with no condition being con</w:t>
      </w:r>
      <w:r w:rsidR="005604B8">
        <w:t>sidered twice.  Code 37, Par. O</w:t>
      </w:r>
      <w:r>
        <w:t>3.  If aid and attendance (A&amp;A) is needed, even if it is due to the visual impairment or extremities, ent</w:t>
      </w:r>
      <w:r w:rsidR="005604B8">
        <w:t>itlement to SMC at the R1 or R</w:t>
      </w:r>
      <w:r>
        <w:t>2 level is also warranted.  F</w:t>
      </w:r>
      <w:r w:rsidR="005604B8">
        <w:t>or regular A&amp;A: Code 55, Par. O</w:t>
      </w:r>
      <w:r>
        <w:t xml:space="preserve">3 </w:t>
      </w:r>
      <w:r>
        <w:rPr>
          <w:u w:val="single"/>
        </w:rPr>
        <w:t>and</w:t>
      </w:r>
      <w:r w:rsidR="005604B8">
        <w:t xml:space="preserve"> R</w:t>
      </w:r>
      <w:r>
        <w:t>1. For a higher</w:t>
      </w:r>
      <w:r w:rsidR="005604B8">
        <w:t xml:space="preserve"> level of care: Code 60, Par. O</w:t>
      </w:r>
      <w:r>
        <w:t xml:space="preserve">3 </w:t>
      </w:r>
      <w:r>
        <w:rPr>
          <w:u w:val="single"/>
        </w:rPr>
        <w:t>and</w:t>
      </w:r>
      <w:r>
        <w:t xml:space="preserve"> R2.</w:t>
      </w:r>
    </w:p>
    <w:p w:rsidR="00013EB8" w:rsidRDefault="00013EB8">
      <w:pPr>
        <w:pStyle w:val="Footer"/>
        <w:widowControl w:val="0"/>
        <w:tabs>
          <w:tab w:val="clear" w:pos="4320"/>
          <w:tab w:val="clear" w:pos="8640"/>
        </w:tabs>
      </w:pPr>
    </w:p>
    <w:p w:rsidR="00013EB8" w:rsidRDefault="00013EB8">
      <w:pPr>
        <w:widowControl w:val="0"/>
      </w:pPr>
      <w:r>
        <w:t xml:space="preserve">Bilateral blindness with </w:t>
      </w:r>
      <w:r>
        <w:rPr>
          <w:i/>
          <w:iCs/>
          <w:u w:val="single"/>
        </w:rPr>
        <w:t>additional disabilities</w:t>
      </w:r>
      <w:r>
        <w:rPr>
          <w:i/>
          <w:iCs/>
        </w:rPr>
        <w:t>:</w:t>
      </w:r>
    </w:p>
    <w:p w:rsidR="00013EB8" w:rsidRDefault="00013EB8" w:rsidP="00691877">
      <w:pPr>
        <w:widowControl w:val="0"/>
        <w:numPr>
          <w:ilvl w:val="0"/>
          <w:numId w:val="21"/>
        </w:numPr>
      </w:pPr>
      <w:r>
        <w:t xml:space="preserve">Grant </w:t>
      </w:r>
      <w:r>
        <w:rPr>
          <w:b/>
          <w:bCs/>
        </w:rPr>
        <w:t>a full-step</w:t>
      </w:r>
      <w:r>
        <w:t xml:space="preserve"> increase under 3.350(f)(4) if the veteran has an </w:t>
      </w:r>
      <w:r>
        <w:rPr>
          <w:b/>
          <w:bCs/>
        </w:rPr>
        <w:t>additional single permanent disability independently ratable at 100 percent</w:t>
      </w:r>
      <w:r>
        <w:t xml:space="preserve">.  </w:t>
      </w:r>
      <w:r>
        <w:rPr>
          <w:szCs w:val="25"/>
        </w:rPr>
        <w:t xml:space="preserve">Code </w:t>
      </w:r>
      <w:r>
        <w:t>p = total SMC entitlement, P</w:t>
      </w:r>
      <w:r w:rsidR="002D0754">
        <w:t>ar. P</w:t>
      </w:r>
      <w:r>
        <w:t>2.</w:t>
      </w:r>
    </w:p>
    <w:p w:rsidR="00013EB8" w:rsidRDefault="00013EB8" w:rsidP="00691877">
      <w:pPr>
        <w:widowControl w:val="0"/>
        <w:numPr>
          <w:ilvl w:val="0"/>
          <w:numId w:val="21"/>
        </w:numPr>
      </w:pPr>
      <w:r>
        <w:t xml:space="preserve">Grant a </w:t>
      </w:r>
      <w:r>
        <w:rPr>
          <w:b/>
          <w:bCs/>
        </w:rPr>
        <w:t>half-step</w:t>
      </w:r>
      <w:r>
        <w:t xml:space="preserve"> increase under 3.350(f)(3) if the veteran has an </w:t>
      </w:r>
      <w:r>
        <w:rPr>
          <w:b/>
          <w:bCs/>
        </w:rPr>
        <w:t>additional single permanent disability or combinations of permanent disabilities independently ratable at 50 percent or more</w:t>
      </w:r>
      <w:r>
        <w:t xml:space="preserve">.  </w:t>
      </w:r>
      <w:r>
        <w:rPr>
          <w:szCs w:val="25"/>
        </w:rPr>
        <w:t xml:space="preserve">Code </w:t>
      </w:r>
      <w:r>
        <w:t xml:space="preserve">p </w:t>
      </w:r>
      <w:r w:rsidR="002D0754">
        <w:t>= total SMC entitlement, Par. P</w:t>
      </w:r>
      <w:r>
        <w:t>1.</w:t>
      </w:r>
    </w:p>
    <w:p w:rsidR="00013EB8" w:rsidRDefault="00013EB8" w:rsidP="00691877">
      <w:pPr>
        <w:widowControl w:val="0"/>
        <w:numPr>
          <w:ilvl w:val="0"/>
          <w:numId w:val="21"/>
        </w:numPr>
      </w:pPr>
      <w:r>
        <w:t>You may only grant one of these two options, and only one time.</w:t>
      </w:r>
    </w:p>
    <w:p w:rsidR="00013EB8" w:rsidRDefault="00013EB8">
      <w:pPr>
        <w:widowControl w:val="0"/>
      </w:pPr>
    </w:p>
    <w:p w:rsidR="00013EB8" w:rsidRDefault="00013EB8">
      <w:pPr>
        <w:widowControl w:val="0"/>
      </w:pPr>
      <w:r>
        <w:t xml:space="preserve">Bilateral blindness with </w:t>
      </w:r>
      <w:r>
        <w:rPr>
          <w:i/>
          <w:iCs/>
          <w:u w:val="single"/>
        </w:rPr>
        <w:t>aid &amp; attendance (A&amp;A)</w:t>
      </w:r>
      <w:r>
        <w:t>:</w:t>
      </w:r>
    </w:p>
    <w:p w:rsidR="00013EB8" w:rsidRDefault="002D0754" w:rsidP="00691877">
      <w:pPr>
        <w:widowControl w:val="0"/>
        <w:numPr>
          <w:ilvl w:val="0"/>
          <w:numId w:val="26"/>
        </w:numPr>
      </w:pPr>
      <w:r>
        <w:t>If entitled to SMC (L) or (L</w:t>
      </w:r>
      <w:r w:rsidR="00013EB8">
        <w:t xml:space="preserve">1/2) above, consider entitlement to SMC (m) </w:t>
      </w:r>
      <w:r w:rsidR="00013EB8">
        <w:rPr>
          <w:szCs w:val="28"/>
        </w:rPr>
        <w:t xml:space="preserve">under 3.350(c)(1)(v) </w:t>
      </w:r>
      <w:r w:rsidR="00013EB8">
        <w:t xml:space="preserve">if </w:t>
      </w:r>
      <w:r w:rsidR="00013EB8">
        <w:rPr>
          <w:b/>
          <w:bCs/>
        </w:rPr>
        <w:t>blindness in both eyes leaves the veteran so helpless as to be in need of regular A&amp;A</w:t>
      </w:r>
      <w:r w:rsidR="00013EB8">
        <w:t>.  Code 07, Par. MB1.  If SMC (m) or higher is warranted based on visual impairment, this is a higher benefit because it is not reduced when hospitalized.</w:t>
      </w:r>
    </w:p>
    <w:p w:rsidR="00013EB8" w:rsidRDefault="00013EB8" w:rsidP="00691877">
      <w:pPr>
        <w:widowControl w:val="0"/>
        <w:numPr>
          <w:ilvl w:val="0"/>
          <w:numId w:val="26"/>
        </w:numPr>
      </w:pPr>
      <w:r>
        <w:t xml:space="preserve">If SMC (l) or higher is warranted for visual impairment, and </w:t>
      </w:r>
      <w:r>
        <w:rPr>
          <w:b/>
          <w:bCs/>
        </w:rPr>
        <w:t>A&amp;A can be justified disregarding the disabling effects of the visual impairment</w:t>
      </w:r>
      <w:r>
        <w:t>, grant a separate award of SMC for A&amp;A.  The veteran would be entitled to SMC (o) based on conditions entitling to two or more rates (l) through (n).  The veteran would also be entitled to SMC (r)(1) or (r)(2) based on SMC (o) with the need for A&amp;A.</w:t>
      </w:r>
    </w:p>
    <w:p w:rsidR="00013EB8" w:rsidRDefault="00013EB8">
      <w:pPr>
        <w:widowControl w:val="0"/>
      </w:pPr>
    </w:p>
    <w:p w:rsidR="00013EB8" w:rsidRDefault="00013EB8">
      <w:pPr>
        <w:widowControl w:val="0"/>
      </w:pPr>
      <w:r>
        <w:t xml:space="preserve">Bilateral blindness with </w:t>
      </w:r>
      <w:r>
        <w:rPr>
          <w:i/>
          <w:iCs/>
          <w:u w:val="single"/>
        </w:rPr>
        <w:t>ancillary benefits</w:t>
      </w:r>
      <w:r>
        <w:t>:</w:t>
      </w:r>
    </w:p>
    <w:p w:rsidR="00013EB8" w:rsidRDefault="00013EB8" w:rsidP="00691877">
      <w:pPr>
        <w:widowControl w:val="0"/>
        <w:numPr>
          <w:ilvl w:val="0"/>
          <w:numId w:val="27"/>
        </w:numPr>
      </w:pPr>
      <w:r>
        <w:rPr>
          <w:b/>
          <w:bCs/>
        </w:rPr>
        <w:t>Auto allowance</w:t>
      </w:r>
      <w:r>
        <w:t xml:space="preserve"> is warranted for permanent impairment of vision with corrected visual acuity of 20/200 or less in the better eye, or if the widest diameter of visual field is no greater than 20 degrees in the better eye.</w:t>
      </w:r>
    </w:p>
    <w:p w:rsidR="00013EB8" w:rsidRDefault="00013EB8" w:rsidP="00691877">
      <w:pPr>
        <w:widowControl w:val="0"/>
        <w:numPr>
          <w:ilvl w:val="0"/>
          <w:numId w:val="27"/>
        </w:numPr>
      </w:pPr>
      <w:r>
        <w:rPr>
          <w:b/>
          <w:bCs/>
        </w:rPr>
        <w:t>Special home adaptation grant</w:t>
      </w:r>
      <w:r>
        <w:t xml:space="preserve"> is warranted for permanent and total disability due to blindness in both eyes with visual acuity of 5/200 or less.</w:t>
      </w:r>
    </w:p>
    <w:p w:rsidR="00013EB8" w:rsidRDefault="00013EB8">
      <w:pPr>
        <w:widowControl w:val="0"/>
        <w:rPr>
          <w:b/>
          <w:bCs/>
          <w:u w:val="single"/>
        </w:rPr>
      </w:pPr>
    </w:p>
    <w:p w:rsidR="00013EB8" w:rsidRDefault="00013EB8">
      <w:pPr>
        <w:widowControl w:val="0"/>
        <w:rPr>
          <w:b/>
          <w:bCs/>
          <w:u w:val="single"/>
        </w:rPr>
      </w:pPr>
      <w:r>
        <w:rPr>
          <w:b/>
          <w:bCs/>
          <w:u w:val="single"/>
        </w:rPr>
        <w:t>Better eye: Light perception only</w:t>
      </w:r>
    </w:p>
    <w:p w:rsidR="00013EB8" w:rsidRDefault="00013EB8">
      <w:pPr>
        <w:widowControl w:val="0"/>
        <w:ind w:firstLine="720"/>
      </w:pPr>
    </w:p>
    <w:p w:rsidR="00013EB8" w:rsidRDefault="00013EB8">
      <w:pPr>
        <w:widowControl w:val="0"/>
        <w:ind w:firstLine="720"/>
      </w:pPr>
      <w:r>
        <w:t>Other eye:</w:t>
      </w:r>
    </w:p>
    <w:p w:rsidR="00013EB8" w:rsidRDefault="00013EB8">
      <w:pPr>
        <w:widowControl w:val="0"/>
        <w:ind w:firstLine="720"/>
      </w:pPr>
      <w:r>
        <w:tab/>
      </w:r>
      <w:r>
        <w:rPr>
          <w:i/>
          <w:iCs/>
          <w:u w:val="single"/>
        </w:rPr>
        <w:t xml:space="preserve">Light perception only </w:t>
      </w:r>
      <w:r>
        <w:t>– SMC (m), 3.350(c)(1)(iv), Code 07, Par. MB1</w:t>
      </w:r>
    </w:p>
    <w:p w:rsidR="00013EB8" w:rsidRDefault="00013EB8">
      <w:pPr>
        <w:widowControl w:val="0"/>
        <w:ind w:left="720" w:firstLine="720"/>
      </w:pPr>
      <w:r>
        <w:rPr>
          <w:i/>
          <w:iCs/>
          <w:u w:val="single"/>
        </w:rPr>
        <w:t>No light perception or anatomical loss</w:t>
      </w:r>
      <w:r w:rsidR="002D0754">
        <w:t>– SMC (m</w:t>
      </w:r>
      <w:r>
        <w:t>1/2), 3.350(f)(2)(iii), Code 20, Par. MB3</w:t>
      </w:r>
    </w:p>
    <w:p w:rsidR="00013EB8" w:rsidRDefault="00013EB8">
      <w:pPr>
        <w:widowControl w:val="0"/>
      </w:pPr>
    </w:p>
    <w:p w:rsidR="00013EB8" w:rsidRDefault="00013EB8">
      <w:pPr>
        <w:pStyle w:val="Heading3"/>
        <w:keepNext w:val="0"/>
        <w:widowControl w:val="0"/>
        <w:pBdr>
          <w:top w:val="none" w:sz="0" w:space="0" w:color="auto"/>
          <w:left w:val="none" w:sz="0" w:space="0" w:color="auto"/>
          <w:bottom w:val="none" w:sz="0" w:space="0" w:color="auto"/>
          <w:right w:val="none" w:sz="0" w:space="0" w:color="auto"/>
        </w:pBdr>
        <w:rPr>
          <w:sz w:val="20"/>
          <w:u w:val="single"/>
        </w:rPr>
      </w:pPr>
      <w:r>
        <w:rPr>
          <w:sz w:val="20"/>
          <w:u w:val="single"/>
        </w:rPr>
        <w:t>Better eye: No light perception or anatomical loss</w:t>
      </w:r>
    </w:p>
    <w:p w:rsidR="00013EB8" w:rsidRDefault="00013EB8">
      <w:pPr>
        <w:pStyle w:val="Footer"/>
        <w:widowControl w:val="0"/>
        <w:tabs>
          <w:tab w:val="clear" w:pos="4320"/>
          <w:tab w:val="clear" w:pos="8640"/>
        </w:tabs>
      </w:pPr>
      <w:r>
        <w:tab/>
      </w:r>
    </w:p>
    <w:p w:rsidR="00013EB8" w:rsidRDefault="00013EB8">
      <w:pPr>
        <w:widowControl w:val="0"/>
        <w:ind w:firstLine="720"/>
      </w:pPr>
      <w:r>
        <w:t>Other eye:</w:t>
      </w:r>
    </w:p>
    <w:p w:rsidR="00013EB8" w:rsidRDefault="00013EB8">
      <w:pPr>
        <w:widowControl w:val="0"/>
      </w:pPr>
      <w:r>
        <w:tab/>
      </w:r>
      <w:r>
        <w:tab/>
      </w:r>
      <w:r>
        <w:rPr>
          <w:i/>
          <w:iCs/>
          <w:u w:val="single"/>
        </w:rPr>
        <w:t>No light perception or anatomical loss</w:t>
      </w:r>
      <w:r>
        <w:t xml:space="preserve"> – SMC (n)</w:t>
      </w:r>
      <w:r w:rsidR="002D0754">
        <w:t>, 3.350(d)(4), Code 11, Par. NB</w:t>
      </w:r>
      <w:r>
        <w:t>1</w:t>
      </w:r>
    </w:p>
    <w:p w:rsidR="00013EB8" w:rsidRDefault="00013EB8">
      <w:pPr>
        <w:widowControl w:val="0"/>
      </w:pPr>
    </w:p>
    <w:p w:rsidR="00013EB8" w:rsidRDefault="00013EB8">
      <w:pPr>
        <w:widowControl w:val="0"/>
      </w:pPr>
      <w:r>
        <w:t xml:space="preserve">Bilateral blindness above with </w:t>
      </w:r>
      <w:r>
        <w:rPr>
          <w:i/>
          <w:iCs/>
          <w:u w:val="single"/>
        </w:rPr>
        <w:t>hearing impairment</w:t>
      </w:r>
      <w:r>
        <w:rPr>
          <w:i/>
          <w:iCs/>
        </w:rPr>
        <w:t>:</w:t>
      </w:r>
    </w:p>
    <w:p w:rsidR="00013EB8" w:rsidRDefault="00013EB8" w:rsidP="00691877">
      <w:pPr>
        <w:widowControl w:val="0"/>
        <w:numPr>
          <w:ilvl w:val="0"/>
          <w:numId w:val="23"/>
        </w:numPr>
      </w:pPr>
      <w:r>
        <w:t xml:space="preserve">Grant SMC (o) under 3.350(e)(1)(iv) if the veteran has service connected </w:t>
      </w:r>
      <w:r>
        <w:rPr>
          <w:b/>
          <w:bCs/>
        </w:rPr>
        <w:t>total deafness in one ear</w:t>
      </w:r>
      <w:r>
        <w:t xml:space="preserve"> </w:t>
      </w:r>
      <w:r>
        <w:rPr>
          <w:i/>
          <w:iCs/>
          <w:u w:val="single"/>
        </w:rPr>
        <w:t>or</w:t>
      </w:r>
      <w:r>
        <w:t xml:space="preserve"> </w:t>
      </w:r>
      <w:r>
        <w:rPr>
          <w:b/>
          <w:bCs/>
        </w:rPr>
        <w:t>bilateral deafness rated at 40 percent</w:t>
      </w:r>
      <w:r>
        <w:t xml:space="preserve"> or more and the hearing impairment in either one or both ears is servi</w:t>
      </w:r>
      <w:r w:rsidR="002D0754">
        <w:t>ce connected.  Code 37, Par, OB</w:t>
      </w:r>
      <w:r>
        <w:t>2.</w:t>
      </w:r>
    </w:p>
    <w:p w:rsidR="00013EB8" w:rsidRDefault="00013EB8" w:rsidP="00691877">
      <w:pPr>
        <w:widowControl w:val="0"/>
        <w:numPr>
          <w:ilvl w:val="0"/>
          <w:numId w:val="23"/>
        </w:numPr>
      </w:pPr>
      <w:r>
        <w:t xml:space="preserve">Grant a </w:t>
      </w:r>
      <w:r>
        <w:rPr>
          <w:b/>
          <w:bCs/>
        </w:rPr>
        <w:t>full-step</w:t>
      </w:r>
      <w:r>
        <w:t xml:space="preserve"> increase </w:t>
      </w:r>
      <w:r>
        <w:rPr>
          <w:szCs w:val="28"/>
        </w:rPr>
        <w:t xml:space="preserve">under 3.350(f)(2)(vi) </w:t>
      </w:r>
      <w:r>
        <w:t xml:space="preserve">if the veteran has </w:t>
      </w:r>
      <w:r>
        <w:rPr>
          <w:b/>
          <w:bCs/>
        </w:rPr>
        <w:t>bilateral deafness rated at 30 percent</w:t>
      </w:r>
      <w:r>
        <w:t xml:space="preserve"> disabling and the hearing impairment in either one or both ears is service connected.  Code p =</w:t>
      </w:r>
      <w:r w:rsidR="002D0754">
        <w:t xml:space="preserve"> total SMC entitlement, Par. PB</w:t>
      </w:r>
      <w:r>
        <w:t>3.</w:t>
      </w:r>
    </w:p>
    <w:p w:rsidR="00013EB8" w:rsidRDefault="00013EB8" w:rsidP="00691877">
      <w:pPr>
        <w:widowControl w:val="0"/>
        <w:numPr>
          <w:ilvl w:val="0"/>
          <w:numId w:val="23"/>
        </w:numPr>
      </w:pPr>
      <w:r>
        <w:t xml:space="preserve">Grant a </w:t>
      </w:r>
      <w:r>
        <w:rPr>
          <w:b/>
          <w:bCs/>
        </w:rPr>
        <w:t>half-step</w:t>
      </w:r>
      <w:r>
        <w:t xml:space="preserve"> increase under 3.350(f)(2)(v) if the veteran has </w:t>
      </w:r>
      <w:r>
        <w:rPr>
          <w:b/>
          <w:bCs/>
        </w:rPr>
        <w:t>bilateral deafness rated at 10 or 20 percent</w:t>
      </w:r>
      <w:r>
        <w:t xml:space="preserve"> disabling and the hearing impairment in either one or both ears is service connected.  Code p =</w:t>
      </w:r>
      <w:r w:rsidR="002D0754">
        <w:t xml:space="preserve"> total SMC entitlement, Par. PB</w:t>
      </w:r>
      <w:r>
        <w:t>2.</w:t>
      </w:r>
    </w:p>
    <w:p w:rsidR="00013EB8" w:rsidRDefault="00013EB8">
      <w:pPr>
        <w:pStyle w:val="Heading3"/>
        <w:keepNext w:val="0"/>
        <w:widowControl w:val="0"/>
        <w:pBdr>
          <w:top w:val="none" w:sz="0" w:space="0" w:color="auto"/>
          <w:left w:val="none" w:sz="0" w:space="0" w:color="auto"/>
          <w:bottom w:val="none" w:sz="0" w:space="0" w:color="auto"/>
          <w:right w:val="none" w:sz="0" w:space="0" w:color="auto"/>
        </w:pBdr>
        <w:rPr>
          <w:b w:val="0"/>
          <w:bCs w:val="0"/>
          <w:sz w:val="20"/>
        </w:rPr>
      </w:pPr>
    </w:p>
    <w:p w:rsidR="00013EB8" w:rsidRDefault="00013EB8">
      <w:pPr>
        <w:widowControl w:val="0"/>
      </w:pPr>
      <w:r>
        <w:t xml:space="preserve">Bilateral blindness in combination with </w:t>
      </w:r>
      <w:r>
        <w:rPr>
          <w:i/>
          <w:iCs/>
          <w:u w:val="single"/>
        </w:rPr>
        <w:t>loss or loss of use of one or more extremities</w:t>
      </w:r>
      <w:r>
        <w:rPr>
          <w:i/>
          <w:iCs/>
        </w:rPr>
        <w:t>:</w:t>
      </w:r>
    </w:p>
    <w:p w:rsidR="00013EB8" w:rsidRDefault="00013EB8" w:rsidP="00691877">
      <w:pPr>
        <w:widowControl w:val="0"/>
        <w:numPr>
          <w:ilvl w:val="0"/>
          <w:numId w:val="24"/>
        </w:numPr>
      </w:pPr>
      <w:r>
        <w:t xml:space="preserve">Grant a </w:t>
      </w:r>
      <w:r>
        <w:rPr>
          <w:b/>
          <w:bCs/>
        </w:rPr>
        <w:t>full-step</w:t>
      </w:r>
      <w:r>
        <w:t xml:space="preserve"> increase under 3.350(f)(2)(vii)(A) if the veteran also has service connected </w:t>
      </w:r>
      <w:r>
        <w:rPr>
          <w:b/>
          <w:bCs/>
        </w:rPr>
        <w:t>loss or loss of use of one hand</w:t>
      </w:r>
      <w:r>
        <w:t xml:space="preserve">.  </w:t>
      </w:r>
      <w:r>
        <w:rPr>
          <w:b/>
          <w:bCs/>
          <w:szCs w:val="25"/>
          <w:u w:val="single"/>
        </w:rPr>
        <w:t>Keep the (k).</w:t>
      </w:r>
      <w:r>
        <w:rPr>
          <w:szCs w:val="25"/>
        </w:rPr>
        <w:t xml:space="preserve">  Code </w:t>
      </w:r>
      <w:r>
        <w:t>p =</w:t>
      </w:r>
      <w:r w:rsidR="002D0754">
        <w:t xml:space="preserve"> total SMC entitlement, Par. PB</w:t>
      </w:r>
      <w:r>
        <w:t xml:space="preserve">4.  </w:t>
      </w:r>
    </w:p>
    <w:p w:rsidR="00013EB8" w:rsidRDefault="00013EB8" w:rsidP="00691877">
      <w:pPr>
        <w:widowControl w:val="0"/>
        <w:numPr>
          <w:ilvl w:val="0"/>
          <w:numId w:val="24"/>
        </w:numPr>
      </w:pPr>
      <w:r>
        <w:t xml:space="preserve">Grant a </w:t>
      </w:r>
      <w:r>
        <w:rPr>
          <w:b/>
          <w:bCs/>
        </w:rPr>
        <w:t>full-step</w:t>
      </w:r>
      <w:r>
        <w:t xml:space="preserve"> increase under 3.350(f)(2)(vii)(B) if the veteran also has service connected </w:t>
      </w:r>
      <w:r>
        <w:rPr>
          <w:b/>
          <w:bCs/>
        </w:rPr>
        <w:t>loss or loss of use of one foot which by itself or in connection with another compensable disability would be ratable at 50 percent or more</w:t>
      </w:r>
      <w:r>
        <w:t xml:space="preserve">.  </w:t>
      </w:r>
      <w:r>
        <w:rPr>
          <w:b/>
          <w:bCs/>
          <w:szCs w:val="25"/>
          <w:u w:val="single"/>
        </w:rPr>
        <w:t>Keep the (k).</w:t>
      </w:r>
      <w:r>
        <w:rPr>
          <w:szCs w:val="25"/>
        </w:rPr>
        <w:t xml:space="preserve">  Code </w:t>
      </w:r>
      <w:r>
        <w:t>p = total SMC entitlement, Par. PB5.</w:t>
      </w:r>
    </w:p>
    <w:p w:rsidR="00013EB8" w:rsidRDefault="00013EB8" w:rsidP="00691877">
      <w:pPr>
        <w:widowControl w:val="0"/>
        <w:numPr>
          <w:ilvl w:val="0"/>
          <w:numId w:val="24"/>
        </w:numPr>
      </w:pPr>
      <w:r>
        <w:t xml:space="preserve">Grant a </w:t>
      </w:r>
      <w:r>
        <w:rPr>
          <w:b/>
          <w:bCs/>
        </w:rPr>
        <w:t>half-step</w:t>
      </w:r>
      <w:r>
        <w:t xml:space="preserve"> increase under 3.350(f)(2)(vii)(C) if the veteran also has service connected </w:t>
      </w:r>
      <w:r>
        <w:rPr>
          <w:b/>
          <w:bCs/>
        </w:rPr>
        <w:t>loss or loss of use of one foot which is ratable at less than 50 percent and which is the only compensable disability other than bilateral blindness</w:t>
      </w:r>
      <w:r>
        <w:t xml:space="preserve">.  </w:t>
      </w:r>
      <w:r>
        <w:rPr>
          <w:b/>
          <w:bCs/>
          <w:szCs w:val="25"/>
          <w:u w:val="single"/>
        </w:rPr>
        <w:t>Keep the (k).</w:t>
      </w:r>
      <w:r>
        <w:rPr>
          <w:szCs w:val="25"/>
        </w:rPr>
        <w:t xml:space="preserve">  Code </w:t>
      </w:r>
      <w:r>
        <w:t>p = total SMC entitlement, Par. PB6.</w:t>
      </w:r>
    </w:p>
    <w:p w:rsidR="00013EB8" w:rsidRDefault="00013EB8" w:rsidP="00691877">
      <w:pPr>
        <w:widowControl w:val="0"/>
        <w:numPr>
          <w:ilvl w:val="0"/>
          <w:numId w:val="24"/>
        </w:numPr>
      </w:pPr>
      <w:r>
        <w:t xml:space="preserve">If the veteran has </w:t>
      </w:r>
      <w:r>
        <w:rPr>
          <w:b/>
          <w:bCs/>
        </w:rPr>
        <w:t>loss or loss of use of two extremities</w:t>
      </w:r>
      <w:r>
        <w:t xml:space="preserve">, the veteran will be entitled to </w:t>
      </w:r>
      <w:r>
        <w:rPr>
          <w:b/>
          <w:bCs/>
        </w:rPr>
        <w:t>SMC (o)</w:t>
      </w:r>
      <w:r>
        <w:t xml:space="preserve"> under 3.350(e)(1)(ii) based on conditions entitling to two or more rates (l) through (n) with no condition being considered twice.  Code 37, Par. O3.  If aid and attendance (A&amp;A) is needed, even if it is due to the visual impairment or extremities, entitlement to SMC at the R1 or R2 level is also warranted.  For regular A&amp;A: Code 55, Par. O3 </w:t>
      </w:r>
      <w:r>
        <w:rPr>
          <w:u w:val="single"/>
        </w:rPr>
        <w:t>and</w:t>
      </w:r>
      <w:r w:rsidR="005604B8">
        <w:t xml:space="preserve"> R</w:t>
      </w:r>
      <w:r>
        <w:t xml:space="preserve">1. For a higher level of care: Code 60, Par. O3 </w:t>
      </w:r>
      <w:r>
        <w:rPr>
          <w:u w:val="single"/>
        </w:rPr>
        <w:t>and</w:t>
      </w:r>
      <w:r>
        <w:t xml:space="preserve"> R2.</w:t>
      </w:r>
    </w:p>
    <w:p w:rsidR="00013EB8" w:rsidRDefault="00013EB8">
      <w:pPr>
        <w:pStyle w:val="Footer"/>
        <w:widowControl w:val="0"/>
        <w:tabs>
          <w:tab w:val="clear" w:pos="4320"/>
          <w:tab w:val="clear" w:pos="8640"/>
        </w:tabs>
      </w:pPr>
    </w:p>
    <w:p w:rsidR="00013EB8" w:rsidRDefault="00013EB8">
      <w:pPr>
        <w:widowControl w:val="0"/>
      </w:pPr>
      <w:r>
        <w:t xml:space="preserve">Bilateral blindness with </w:t>
      </w:r>
      <w:r>
        <w:rPr>
          <w:i/>
          <w:iCs/>
          <w:u w:val="single"/>
        </w:rPr>
        <w:t>additional disabilities</w:t>
      </w:r>
      <w:r>
        <w:rPr>
          <w:i/>
          <w:iCs/>
        </w:rPr>
        <w:t>:</w:t>
      </w:r>
    </w:p>
    <w:p w:rsidR="00013EB8" w:rsidRDefault="00013EB8" w:rsidP="00691877">
      <w:pPr>
        <w:widowControl w:val="0"/>
        <w:numPr>
          <w:ilvl w:val="0"/>
          <w:numId w:val="25"/>
        </w:numPr>
      </w:pPr>
      <w:r>
        <w:t xml:space="preserve">Grant </w:t>
      </w:r>
      <w:r>
        <w:rPr>
          <w:b/>
          <w:bCs/>
        </w:rPr>
        <w:t>a full-step</w:t>
      </w:r>
      <w:r>
        <w:t xml:space="preserve"> increase under 3.350(f)(4) if the veteran has an </w:t>
      </w:r>
      <w:r>
        <w:rPr>
          <w:b/>
          <w:bCs/>
        </w:rPr>
        <w:t>additional single permanent disability independently ratable at 100 percent</w:t>
      </w:r>
      <w:r>
        <w:t xml:space="preserve">.  </w:t>
      </w:r>
      <w:r>
        <w:rPr>
          <w:szCs w:val="25"/>
        </w:rPr>
        <w:t xml:space="preserve">Code </w:t>
      </w:r>
      <w:r>
        <w:t>p = total SMC entitlement, Par. P2.</w:t>
      </w:r>
    </w:p>
    <w:p w:rsidR="00013EB8" w:rsidRDefault="00013EB8" w:rsidP="00691877">
      <w:pPr>
        <w:widowControl w:val="0"/>
        <w:numPr>
          <w:ilvl w:val="0"/>
          <w:numId w:val="25"/>
        </w:numPr>
      </w:pPr>
      <w:r>
        <w:t xml:space="preserve">Grant a </w:t>
      </w:r>
      <w:r>
        <w:rPr>
          <w:b/>
          <w:bCs/>
        </w:rPr>
        <w:t>half-step</w:t>
      </w:r>
      <w:r>
        <w:t xml:space="preserve"> increase under 3.350(f)(3) if the veteran has an </w:t>
      </w:r>
      <w:r>
        <w:rPr>
          <w:b/>
          <w:bCs/>
        </w:rPr>
        <w:t>additional single permanent disability or combinations of permanent disabilities independently ratable at 50 percent or more</w:t>
      </w:r>
      <w:r>
        <w:t xml:space="preserve">.  </w:t>
      </w:r>
      <w:r>
        <w:rPr>
          <w:szCs w:val="25"/>
        </w:rPr>
        <w:t xml:space="preserve">Code </w:t>
      </w:r>
      <w:r>
        <w:t xml:space="preserve">p </w:t>
      </w:r>
      <w:r w:rsidR="002D0754">
        <w:t>= total SMC entitlement, Par. P</w:t>
      </w:r>
      <w:r>
        <w:t>1.</w:t>
      </w:r>
    </w:p>
    <w:p w:rsidR="00013EB8" w:rsidRDefault="00013EB8" w:rsidP="00691877">
      <w:pPr>
        <w:widowControl w:val="0"/>
        <w:numPr>
          <w:ilvl w:val="0"/>
          <w:numId w:val="25"/>
        </w:numPr>
      </w:pPr>
      <w:r>
        <w:t>You may only grant one of these two options, and only one time.</w:t>
      </w:r>
    </w:p>
    <w:p w:rsidR="00013EB8" w:rsidRDefault="00013EB8">
      <w:pPr>
        <w:widowControl w:val="0"/>
      </w:pPr>
    </w:p>
    <w:p w:rsidR="00013EB8" w:rsidRDefault="00013EB8">
      <w:pPr>
        <w:widowControl w:val="0"/>
      </w:pPr>
      <w:r>
        <w:t xml:space="preserve">Bilateral blindness with </w:t>
      </w:r>
      <w:r>
        <w:rPr>
          <w:i/>
          <w:iCs/>
          <w:u w:val="single"/>
        </w:rPr>
        <w:t>aid &amp; attendance (A&amp;A)</w:t>
      </w:r>
      <w:r>
        <w:t>:</w:t>
      </w:r>
    </w:p>
    <w:p w:rsidR="00013EB8" w:rsidRDefault="00013EB8" w:rsidP="00691877">
      <w:pPr>
        <w:widowControl w:val="0"/>
        <w:numPr>
          <w:ilvl w:val="0"/>
          <w:numId w:val="26"/>
        </w:numPr>
      </w:pPr>
      <w:r>
        <w:t>If SMC (l) or higher is warranted for visual impairment, and A&amp;A can be justified disregarding the disabling effects of the visual impairment, grant a separate award of SMC for A&amp;A.  The veteran would be entitled to SMC (o) based on conditions entitling to two or more rates (l) through (n).  The veteran would also be entitled to SMC (r)(1) or (r)(2) based on SMC (o) with the need for A&amp;A.</w:t>
      </w:r>
    </w:p>
    <w:p w:rsidR="00013EB8" w:rsidRDefault="00013EB8">
      <w:pPr>
        <w:widowControl w:val="0"/>
      </w:pPr>
    </w:p>
    <w:p w:rsidR="00013EB8" w:rsidRDefault="00013EB8">
      <w:pPr>
        <w:widowControl w:val="0"/>
      </w:pPr>
      <w:r>
        <w:t xml:space="preserve">Bilateral blindness with </w:t>
      </w:r>
      <w:r>
        <w:rPr>
          <w:i/>
          <w:iCs/>
          <w:u w:val="single"/>
        </w:rPr>
        <w:t>ancillary benefits</w:t>
      </w:r>
      <w:r>
        <w:t>:</w:t>
      </w:r>
    </w:p>
    <w:p w:rsidR="00013EB8" w:rsidRDefault="00013EB8" w:rsidP="00691877">
      <w:pPr>
        <w:widowControl w:val="0"/>
        <w:numPr>
          <w:ilvl w:val="0"/>
          <w:numId w:val="28"/>
        </w:numPr>
      </w:pPr>
      <w:r>
        <w:rPr>
          <w:b/>
          <w:bCs/>
        </w:rPr>
        <w:t>Auto allowance</w:t>
      </w:r>
      <w:r>
        <w:t xml:space="preserve"> is warranted for permanent impairment of vision with corrected visual acuity of 20/200 or less in the better eye, or if the widest diameter of visual field is no greater than 20 degrees in the better eye.</w:t>
      </w:r>
    </w:p>
    <w:p w:rsidR="00013EB8" w:rsidRDefault="00013EB8" w:rsidP="00691877">
      <w:pPr>
        <w:widowControl w:val="0"/>
        <w:numPr>
          <w:ilvl w:val="0"/>
          <w:numId w:val="28"/>
        </w:numPr>
      </w:pPr>
      <w:r>
        <w:rPr>
          <w:b/>
          <w:bCs/>
        </w:rPr>
        <w:t>Specially adapted housing</w:t>
      </w:r>
      <w:r>
        <w:t xml:space="preserve"> is warranted for permanent and total disability due to bilateral blindness with light perception only or less with anatomical loss or loss of use of one lower extremity.</w:t>
      </w:r>
    </w:p>
    <w:p w:rsidR="00013EB8" w:rsidRDefault="00013EB8" w:rsidP="00691877">
      <w:pPr>
        <w:widowControl w:val="0"/>
        <w:numPr>
          <w:ilvl w:val="0"/>
          <w:numId w:val="28"/>
        </w:numPr>
      </w:pPr>
      <w:r>
        <w:rPr>
          <w:b/>
          <w:bCs/>
        </w:rPr>
        <w:t>Special home adaptation grant</w:t>
      </w:r>
      <w:r>
        <w:t xml:space="preserve"> is warranted for permanent and total disability due to blindness in both eyes with visual acuity of 5/200 or less.</w:t>
      </w:r>
    </w:p>
    <w:p w:rsidR="00013EB8" w:rsidRDefault="00013EB8">
      <w:pPr>
        <w:widowControl w:val="0"/>
      </w:pPr>
    </w:p>
    <w:p w:rsidR="00013EB8" w:rsidRDefault="00013EB8">
      <w:pPr>
        <w:widowControl w:val="0"/>
        <w:rPr>
          <w:b/>
          <w:bCs/>
        </w:rPr>
      </w:pPr>
      <w:r>
        <w:rPr>
          <w:b/>
          <w:bCs/>
        </w:rPr>
        <w:t>Blindness Diagnostic Codes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8"/>
        <w:gridCol w:w="700"/>
        <w:gridCol w:w="6200"/>
      </w:tblGrid>
      <w:tr w:rsidR="00013EB8">
        <w:tc>
          <w:tcPr>
            <w:tcW w:w="2608" w:type="dxa"/>
          </w:tcPr>
          <w:p w:rsidR="00013EB8" w:rsidRDefault="00013EB8">
            <w:pPr>
              <w:widowControl w:val="0"/>
            </w:pPr>
            <w:r>
              <w:t>Enucleation + Enucleation</w:t>
            </w:r>
          </w:p>
        </w:tc>
        <w:tc>
          <w:tcPr>
            <w:tcW w:w="700" w:type="dxa"/>
          </w:tcPr>
          <w:p w:rsidR="00013EB8" w:rsidRDefault="00013EB8">
            <w:pPr>
              <w:widowControl w:val="0"/>
            </w:pPr>
            <w:r>
              <w:t>6061</w:t>
            </w:r>
          </w:p>
        </w:tc>
        <w:tc>
          <w:tcPr>
            <w:tcW w:w="6200" w:type="dxa"/>
          </w:tcPr>
          <w:p w:rsidR="00013EB8" w:rsidRDefault="00013EB8">
            <w:pPr>
              <w:widowControl w:val="0"/>
            </w:pPr>
            <w:r>
              <w:t>Anatomical loss of both eyes</w:t>
            </w:r>
          </w:p>
        </w:tc>
      </w:tr>
      <w:tr w:rsidR="00013EB8">
        <w:trPr>
          <w:trHeight w:val="70"/>
        </w:trPr>
        <w:tc>
          <w:tcPr>
            <w:tcW w:w="2608" w:type="dxa"/>
          </w:tcPr>
          <w:p w:rsidR="00013EB8" w:rsidRDefault="00013EB8">
            <w:pPr>
              <w:widowControl w:val="0"/>
            </w:pPr>
          </w:p>
        </w:tc>
        <w:tc>
          <w:tcPr>
            <w:tcW w:w="700" w:type="dxa"/>
          </w:tcPr>
          <w:p w:rsidR="00013EB8" w:rsidRDefault="00013EB8">
            <w:pPr>
              <w:widowControl w:val="0"/>
            </w:pPr>
          </w:p>
        </w:tc>
        <w:tc>
          <w:tcPr>
            <w:tcW w:w="6200" w:type="dxa"/>
          </w:tcPr>
          <w:p w:rsidR="00013EB8" w:rsidRDefault="00013EB8">
            <w:pPr>
              <w:widowControl w:val="0"/>
            </w:pPr>
          </w:p>
        </w:tc>
      </w:tr>
      <w:tr w:rsidR="00013EB8">
        <w:tc>
          <w:tcPr>
            <w:tcW w:w="2608" w:type="dxa"/>
          </w:tcPr>
          <w:p w:rsidR="00013EB8" w:rsidRDefault="00013EB8">
            <w:pPr>
              <w:widowControl w:val="0"/>
            </w:pPr>
            <w:r>
              <w:t>LPO + LPO</w:t>
            </w:r>
          </w:p>
        </w:tc>
        <w:tc>
          <w:tcPr>
            <w:tcW w:w="700" w:type="dxa"/>
          </w:tcPr>
          <w:p w:rsidR="00013EB8" w:rsidRDefault="00013EB8">
            <w:pPr>
              <w:widowControl w:val="0"/>
            </w:pPr>
            <w:r>
              <w:t>6062</w:t>
            </w:r>
          </w:p>
        </w:tc>
        <w:tc>
          <w:tcPr>
            <w:tcW w:w="6200" w:type="dxa"/>
          </w:tcPr>
          <w:p w:rsidR="00013EB8" w:rsidRDefault="00013EB8">
            <w:pPr>
              <w:widowControl w:val="0"/>
            </w:pPr>
            <w:r>
              <w:t>No more than light perception in both eyes.</w:t>
            </w:r>
          </w:p>
        </w:tc>
      </w:tr>
      <w:tr w:rsidR="00013EB8">
        <w:tc>
          <w:tcPr>
            <w:tcW w:w="2608" w:type="dxa"/>
          </w:tcPr>
          <w:p w:rsidR="00013EB8" w:rsidRDefault="00013EB8">
            <w:pPr>
              <w:widowControl w:val="0"/>
            </w:pPr>
            <w:r>
              <w:t>LPO + NLP</w:t>
            </w:r>
          </w:p>
        </w:tc>
        <w:tc>
          <w:tcPr>
            <w:tcW w:w="700" w:type="dxa"/>
          </w:tcPr>
          <w:p w:rsidR="00013EB8" w:rsidRDefault="00013EB8">
            <w:pPr>
              <w:widowControl w:val="0"/>
            </w:pPr>
            <w:r>
              <w:t>6062</w:t>
            </w:r>
          </w:p>
        </w:tc>
        <w:tc>
          <w:tcPr>
            <w:tcW w:w="6200" w:type="dxa"/>
          </w:tcPr>
          <w:p w:rsidR="00013EB8" w:rsidRDefault="00013EB8">
            <w:pPr>
              <w:widowControl w:val="0"/>
            </w:pPr>
            <w:r>
              <w:t>No more than light perception in both eyes.</w:t>
            </w:r>
          </w:p>
        </w:tc>
      </w:tr>
      <w:tr w:rsidR="00013EB8">
        <w:tc>
          <w:tcPr>
            <w:tcW w:w="2608" w:type="dxa"/>
          </w:tcPr>
          <w:p w:rsidR="00013EB8" w:rsidRDefault="00013EB8">
            <w:pPr>
              <w:widowControl w:val="0"/>
            </w:pPr>
            <w:r>
              <w:t>LPO + Enucleation</w:t>
            </w:r>
          </w:p>
        </w:tc>
        <w:tc>
          <w:tcPr>
            <w:tcW w:w="700" w:type="dxa"/>
          </w:tcPr>
          <w:p w:rsidR="00013EB8" w:rsidRDefault="00013EB8">
            <w:pPr>
              <w:widowControl w:val="0"/>
            </w:pPr>
            <w:r>
              <w:t>6062</w:t>
            </w:r>
          </w:p>
        </w:tc>
        <w:tc>
          <w:tcPr>
            <w:tcW w:w="6200" w:type="dxa"/>
          </w:tcPr>
          <w:p w:rsidR="00013EB8" w:rsidRDefault="00013EB8">
            <w:pPr>
              <w:widowControl w:val="0"/>
            </w:pPr>
            <w:r>
              <w:t>No more than light perception in both eyes.</w:t>
            </w:r>
          </w:p>
        </w:tc>
      </w:tr>
      <w:tr w:rsidR="00013EB8">
        <w:tc>
          <w:tcPr>
            <w:tcW w:w="2608" w:type="dxa"/>
          </w:tcPr>
          <w:p w:rsidR="00013EB8" w:rsidRDefault="00013EB8">
            <w:pPr>
              <w:widowControl w:val="0"/>
            </w:pPr>
            <w:r>
              <w:t>NLP + NLP</w:t>
            </w:r>
          </w:p>
        </w:tc>
        <w:tc>
          <w:tcPr>
            <w:tcW w:w="700" w:type="dxa"/>
          </w:tcPr>
          <w:p w:rsidR="00013EB8" w:rsidRDefault="00013EB8">
            <w:pPr>
              <w:widowControl w:val="0"/>
            </w:pPr>
            <w:r>
              <w:t>6062</w:t>
            </w:r>
          </w:p>
        </w:tc>
        <w:tc>
          <w:tcPr>
            <w:tcW w:w="6200" w:type="dxa"/>
          </w:tcPr>
          <w:p w:rsidR="00013EB8" w:rsidRDefault="00013EB8">
            <w:pPr>
              <w:widowControl w:val="0"/>
            </w:pPr>
            <w:r>
              <w:t>No more than light perception in both eyes.</w:t>
            </w:r>
          </w:p>
        </w:tc>
      </w:tr>
      <w:tr w:rsidR="00013EB8">
        <w:tc>
          <w:tcPr>
            <w:tcW w:w="2608" w:type="dxa"/>
          </w:tcPr>
          <w:p w:rsidR="00013EB8" w:rsidRDefault="00013EB8">
            <w:pPr>
              <w:widowControl w:val="0"/>
            </w:pPr>
            <w:r>
              <w:t>NLP + Enucleation</w:t>
            </w:r>
          </w:p>
        </w:tc>
        <w:tc>
          <w:tcPr>
            <w:tcW w:w="700" w:type="dxa"/>
          </w:tcPr>
          <w:p w:rsidR="00013EB8" w:rsidRDefault="00013EB8">
            <w:pPr>
              <w:widowControl w:val="0"/>
            </w:pPr>
            <w:r>
              <w:t>6062</w:t>
            </w:r>
          </w:p>
        </w:tc>
        <w:tc>
          <w:tcPr>
            <w:tcW w:w="6200" w:type="dxa"/>
          </w:tcPr>
          <w:p w:rsidR="00013EB8" w:rsidRDefault="00013EB8">
            <w:pPr>
              <w:widowControl w:val="0"/>
            </w:pPr>
            <w:r>
              <w:t>No more than light perception in both eyes.</w:t>
            </w:r>
          </w:p>
        </w:tc>
      </w:tr>
      <w:tr w:rsidR="00013EB8">
        <w:tc>
          <w:tcPr>
            <w:tcW w:w="2608" w:type="dxa"/>
          </w:tcPr>
          <w:p w:rsidR="00013EB8" w:rsidRDefault="00013EB8">
            <w:pPr>
              <w:widowControl w:val="0"/>
            </w:pPr>
          </w:p>
        </w:tc>
        <w:tc>
          <w:tcPr>
            <w:tcW w:w="700" w:type="dxa"/>
          </w:tcPr>
          <w:p w:rsidR="00013EB8" w:rsidRDefault="00013EB8">
            <w:pPr>
              <w:widowControl w:val="0"/>
            </w:pPr>
          </w:p>
        </w:tc>
        <w:tc>
          <w:tcPr>
            <w:tcW w:w="6200" w:type="dxa"/>
          </w:tcPr>
          <w:p w:rsidR="00013EB8" w:rsidRDefault="00013EB8">
            <w:pPr>
              <w:widowControl w:val="0"/>
            </w:pPr>
          </w:p>
        </w:tc>
      </w:tr>
      <w:tr w:rsidR="00013EB8">
        <w:tc>
          <w:tcPr>
            <w:tcW w:w="2608" w:type="dxa"/>
          </w:tcPr>
          <w:p w:rsidR="00013EB8" w:rsidRDefault="00013EB8">
            <w:pPr>
              <w:widowControl w:val="0"/>
            </w:pPr>
            <w:r>
              <w:t>5/200 + Enucleation</w:t>
            </w:r>
          </w:p>
        </w:tc>
        <w:tc>
          <w:tcPr>
            <w:tcW w:w="700" w:type="dxa"/>
          </w:tcPr>
          <w:p w:rsidR="00013EB8" w:rsidRDefault="00013EB8">
            <w:pPr>
              <w:widowControl w:val="0"/>
            </w:pPr>
            <w:r>
              <w:t>6063</w:t>
            </w:r>
          </w:p>
        </w:tc>
        <w:tc>
          <w:tcPr>
            <w:tcW w:w="6200" w:type="dxa"/>
          </w:tcPr>
          <w:p w:rsidR="00013EB8" w:rsidRDefault="00013EB8">
            <w:pPr>
              <w:widowControl w:val="0"/>
            </w:pPr>
            <w:r>
              <w:t>Anatomical loss of one eye and 5/200 in the other eye</w:t>
            </w:r>
          </w:p>
        </w:tc>
      </w:tr>
      <w:tr w:rsidR="00013EB8">
        <w:tc>
          <w:tcPr>
            <w:tcW w:w="2608" w:type="dxa"/>
          </w:tcPr>
          <w:p w:rsidR="00013EB8" w:rsidRDefault="00013EB8">
            <w:pPr>
              <w:widowControl w:val="0"/>
            </w:pPr>
          </w:p>
        </w:tc>
        <w:tc>
          <w:tcPr>
            <w:tcW w:w="700" w:type="dxa"/>
          </w:tcPr>
          <w:p w:rsidR="00013EB8" w:rsidRDefault="00013EB8">
            <w:pPr>
              <w:widowControl w:val="0"/>
            </w:pPr>
          </w:p>
        </w:tc>
        <w:tc>
          <w:tcPr>
            <w:tcW w:w="6200" w:type="dxa"/>
          </w:tcPr>
          <w:p w:rsidR="00013EB8" w:rsidRDefault="00013EB8">
            <w:pPr>
              <w:widowControl w:val="0"/>
            </w:pPr>
          </w:p>
        </w:tc>
      </w:tr>
      <w:tr w:rsidR="00013EB8">
        <w:tc>
          <w:tcPr>
            <w:tcW w:w="2608" w:type="dxa"/>
          </w:tcPr>
          <w:p w:rsidR="00013EB8" w:rsidRDefault="00013EB8">
            <w:pPr>
              <w:widowControl w:val="0"/>
            </w:pPr>
            <w:r>
              <w:t>5/200 + LPO</w:t>
            </w:r>
          </w:p>
        </w:tc>
        <w:tc>
          <w:tcPr>
            <w:tcW w:w="700" w:type="dxa"/>
          </w:tcPr>
          <w:p w:rsidR="00013EB8" w:rsidRDefault="00013EB8">
            <w:pPr>
              <w:widowControl w:val="0"/>
            </w:pPr>
            <w:r>
              <w:t>6064</w:t>
            </w:r>
          </w:p>
        </w:tc>
        <w:tc>
          <w:tcPr>
            <w:tcW w:w="6200" w:type="dxa"/>
          </w:tcPr>
          <w:p w:rsidR="00013EB8" w:rsidRDefault="00013EB8">
            <w:pPr>
              <w:widowControl w:val="0"/>
            </w:pPr>
            <w:r>
              <w:t>No more than light perception in one eye and 5/200 in the other eye</w:t>
            </w:r>
          </w:p>
        </w:tc>
      </w:tr>
      <w:tr w:rsidR="00013EB8">
        <w:tc>
          <w:tcPr>
            <w:tcW w:w="2608" w:type="dxa"/>
          </w:tcPr>
          <w:p w:rsidR="00013EB8" w:rsidRDefault="00013EB8">
            <w:pPr>
              <w:widowControl w:val="0"/>
            </w:pPr>
            <w:r>
              <w:t>5/200 + NLP</w:t>
            </w:r>
          </w:p>
        </w:tc>
        <w:tc>
          <w:tcPr>
            <w:tcW w:w="700" w:type="dxa"/>
          </w:tcPr>
          <w:p w:rsidR="00013EB8" w:rsidRDefault="00013EB8">
            <w:pPr>
              <w:widowControl w:val="0"/>
            </w:pPr>
            <w:r>
              <w:t>6064</w:t>
            </w:r>
          </w:p>
        </w:tc>
        <w:tc>
          <w:tcPr>
            <w:tcW w:w="6200" w:type="dxa"/>
          </w:tcPr>
          <w:p w:rsidR="00013EB8" w:rsidRDefault="00013EB8">
            <w:pPr>
              <w:widowControl w:val="0"/>
            </w:pPr>
            <w:r>
              <w:t>No more than light perception in one eye and 5/200 in the other eye</w:t>
            </w:r>
          </w:p>
        </w:tc>
      </w:tr>
      <w:tr w:rsidR="00013EB8">
        <w:trPr>
          <w:trHeight w:val="70"/>
        </w:trPr>
        <w:tc>
          <w:tcPr>
            <w:tcW w:w="2608" w:type="dxa"/>
          </w:tcPr>
          <w:p w:rsidR="00013EB8" w:rsidRDefault="00013EB8">
            <w:pPr>
              <w:widowControl w:val="0"/>
            </w:pPr>
          </w:p>
        </w:tc>
        <w:tc>
          <w:tcPr>
            <w:tcW w:w="700" w:type="dxa"/>
          </w:tcPr>
          <w:p w:rsidR="00013EB8" w:rsidRDefault="00013EB8">
            <w:pPr>
              <w:widowControl w:val="0"/>
            </w:pPr>
          </w:p>
        </w:tc>
        <w:tc>
          <w:tcPr>
            <w:tcW w:w="6200" w:type="dxa"/>
          </w:tcPr>
          <w:p w:rsidR="00013EB8" w:rsidRDefault="00013EB8">
            <w:pPr>
              <w:widowControl w:val="0"/>
            </w:pPr>
          </w:p>
        </w:tc>
      </w:tr>
      <w:tr w:rsidR="00013EB8">
        <w:tc>
          <w:tcPr>
            <w:tcW w:w="2608" w:type="dxa"/>
          </w:tcPr>
          <w:p w:rsidR="00013EB8" w:rsidRDefault="00013EB8">
            <w:pPr>
              <w:widowControl w:val="0"/>
            </w:pPr>
            <w:r>
              <w:t>5/200 + 5/200</w:t>
            </w:r>
          </w:p>
        </w:tc>
        <w:tc>
          <w:tcPr>
            <w:tcW w:w="700" w:type="dxa"/>
          </w:tcPr>
          <w:p w:rsidR="00013EB8" w:rsidRDefault="00013EB8">
            <w:pPr>
              <w:widowControl w:val="0"/>
            </w:pPr>
            <w:r>
              <w:t>6065</w:t>
            </w:r>
          </w:p>
        </w:tc>
        <w:tc>
          <w:tcPr>
            <w:tcW w:w="6200" w:type="dxa"/>
          </w:tcPr>
          <w:p w:rsidR="00013EB8" w:rsidRDefault="00013EB8">
            <w:pPr>
              <w:widowControl w:val="0"/>
            </w:pPr>
            <w:r>
              <w:t>5/200 bilaterally</w:t>
            </w:r>
          </w:p>
        </w:tc>
      </w:tr>
    </w:tbl>
    <w:p w:rsidR="00013EB8" w:rsidRDefault="00013EB8">
      <w:pPr>
        <w:widowControl w:val="0"/>
      </w:pPr>
    </w:p>
    <w:p w:rsidR="00013EB8" w:rsidRDefault="00013EB8">
      <w:pPr>
        <w:widowControl w:val="0"/>
        <w:pBdr>
          <w:top w:val="single" w:sz="4" w:space="1" w:color="auto"/>
        </w:pBdr>
      </w:pPr>
    </w:p>
    <w:tbl>
      <w:tblPr>
        <w:tblW w:w="9708" w:type="dxa"/>
        <w:tblCellMar>
          <w:left w:w="0" w:type="dxa"/>
          <w:right w:w="0" w:type="dxa"/>
        </w:tblCellMar>
        <w:tblLook w:val="0000" w:firstRow="0" w:lastRow="0" w:firstColumn="0" w:lastColumn="0" w:noHBand="0" w:noVBand="0"/>
      </w:tblPr>
      <w:tblGrid>
        <w:gridCol w:w="2564"/>
        <w:gridCol w:w="2493"/>
        <w:gridCol w:w="2564"/>
        <w:gridCol w:w="2088"/>
      </w:tblGrid>
      <w:tr w:rsidR="00013EB8">
        <w:trPr>
          <w:trHeight w:val="255"/>
        </w:trPr>
        <w:tc>
          <w:tcPr>
            <w:tcW w:w="9708" w:type="dxa"/>
            <w:gridSpan w:val="4"/>
            <w:tcBorders>
              <w:top w:val="nil"/>
              <w:left w:val="nil"/>
              <w:bottom w:val="nil"/>
              <w:right w:val="nil"/>
            </w:tcBorders>
            <w:noWrap/>
            <w:tcMar>
              <w:top w:w="13" w:type="dxa"/>
              <w:left w:w="13" w:type="dxa"/>
              <w:bottom w:w="0" w:type="dxa"/>
              <w:right w:w="13" w:type="dxa"/>
            </w:tcMar>
            <w:vAlign w:val="bottom"/>
          </w:tcPr>
          <w:p w:rsidR="00013EB8" w:rsidRDefault="00013EB8">
            <w:pPr>
              <w:widowControl w:val="0"/>
              <w:jc w:val="center"/>
              <w:rPr>
                <w:b/>
                <w:bCs/>
                <w:u w:val="single"/>
              </w:rPr>
            </w:pPr>
            <w:bookmarkStart w:id="164" w:name="TwoExtremities"/>
            <w:r>
              <w:rPr>
                <w:b/>
                <w:bCs/>
                <w:u w:val="single"/>
              </w:rPr>
              <w:t>Quick Reference Handout for SMC Involving Loss or Loss of Use of Two or More Extremities</w:t>
            </w:r>
            <w:bookmarkEnd w:id="164"/>
          </w:p>
          <w:p w:rsidR="00013EB8" w:rsidRDefault="00013EB8">
            <w:pPr>
              <w:pStyle w:val="Heading4"/>
              <w:keepNext w:val="0"/>
              <w:widowControl w:val="0"/>
              <w:pBdr>
                <w:top w:val="none" w:sz="0" w:space="0" w:color="auto"/>
                <w:left w:val="none" w:sz="0" w:space="0" w:color="auto"/>
                <w:bottom w:val="none" w:sz="0" w:space="0" w:color="auto"/>
                <w:right w:val="none" w:sz="0" w:space="0" w:color="auto"/>
              </w:pBdr>
              <w:jc w:val="center"/>
              <w:rPr>
                <w:rFonts w:eastAsia="Arial Unicode MS"/>
                <w:b/>
                <w:bCs/>
                <w:sz w:val="20"/>
                <w:u w:val="single"/>
              </w:rPr>
            </w:pPr>
            <w:r>
              <w:rPr>
                <w:sz w:val="20"/>
              </w:rPr>
              <w:t>(by Jeff Myers)</w:t>
            </w:r>
          </w:p>
        </w:tc>
      </w:tr>
      <w:tr w:rsidR="00013EB8">
        <w:trPr>
          <w:trHeight w:val="315"/>
        </w:trPr>
        <w:tc>
          <w:tcPr>
            <w:tcW w:w="0" w:type="auto"/>
            <w:gridSpan w:val="4"/>
            <w:tcBorders>
              <w:top w:val="nil"/>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b/>
                <w:bCs/>
              </w:rPr>
            </w:pPr>
            <w:r>
              <w:rPr>
                <w:b/>
                <w:bCs/>
              </w:rPr>
              <w:t>Two Upper Extremities</w:t>
            </w:r>
          </w:p>
        </w:tc>
      </w:tr>
      <w:tr w:rsidR="00013EB8">
        <w:trPr>
          <w:trHeight w:val="255"/>
        </w:trPr>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 </w:t>
            </w:r>
          </w:p>
        </w:tc>
        <w:tc>
          <w:tcPr>
            <w:tcW w:w="0" w:type="auto"/>
            <w:tcBorders>
              <w:top w:val="single" w:sz="4" w:space="0" w:color="auto"/>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Hand - LOU or Anat. Loss</w:t>
            </w:r>
          </w:p>
        </w:tc>
        <w:tc>
          <w:tcPr>
            <w:tcW w:w="0" w:type="auto"/>
            <w:tcBorders>
              <w:top w:val="single" w:sz="4" w:space="0" w:color="auto"/>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Elbow - LOU or Anat. Loss</w:t>
            </w:r>
          </w:p>
        </w:tc>
        <w:tc>
          <w:tcPr>
            <w:tcW w:w="0" w:type="auto"/>
            <w:tcBorders>
              <w:top w:val="single" w:sz="4" w:space="0" w:color="auto"/>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Shoulder - Anat. Loss</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Hand - LOU or Anat. Loss</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m</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m</w:t>
            </w:r>
            <w:r w:rsidR="00013EB8">
              <w:t>1/2</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n</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Elbow - LOU or Anat. Loss</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m</w:t>
            </w:r>
            <w:r w:rsidR="00013EB8">
              <w:t>1/2</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n</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n</w:t>
            </w:r>
            <w:r w:rsidR="00013EB8">
              <w:t>1/2</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Shoulder - Anat. Loss</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n</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n</w:t>
            </w:r>
            <w:r w:rsidR="00013EB8">
              <w:t>1/2</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o</w:t>
            </w:r>
          </w:p>
        </w:tc>
      </w:tr>
      <w:tr w:rsidR="00013EB8">
        <w:trPr>
          <w:trHeight w:val="300"/>
        </w:trPr>
        <w:tc>
          <w:tcPr>
            <w:tcW w:w="0" w:type="auto"/>
            <w:gridSpan w:val="4"/>
            <w:tcBorders>
              <w:top w:val="single" w:sz="4" w:space="0" w:color="auto"/>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b/>
                <w:bCs/>
              </w:rPr>
            </w:pPr>
            <w:r>
              <w:rPr>
                <w:b/>
                <w:bCs/>
              </w:rPr>
              <w:t>One Upper Extremity and One Lower Extremity</w:t>
            </w:r>
          </w:p>
        </w:tc>
      </w:tr>
      <w:tr w:rsidR="00013EB8">
        <w:trPr>
          <w:trHeight w:val="255"/>
        </w:trPr>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 </w:t>
            </w:r>
          </w:p>
        </w:tc>
        <w:tc>
          <w:tcPr>
            <w:tcW w:w="0" w:type="auto"/>
            <w:tcBorders>
              <w:top w:val="single" w:sz="4" w:space="0" w:color="auto"/>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Foot - LOU or Anat. Loss</w:t>
            </w:r>
          </w:p>
        </w:tc>
        <w:tc>
          <w:tcPr>
            <w:tcW w:w="0" w:type="auto"/>
            <w:tcBorders>
              <w:top w:val="single" w:sz="4" w:space="0" w:color="auto"/>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Knee - LOU or Anat. Loss</w:t>
            </w:r>
          </w:p>
        </w:tc>
        <w:tc>
          <w:tcPr>
            <w:tcW w:w="0" w:type="auto"/>
            <w:tcBorders>
              <w:top w:val="single" w:sz="4" w:space="0" w:color="auto"/>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Hip - Anat. Loss</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Hand - LOU or Anat. Loss</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l</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l</w:t>
            </w:r>
            <w:r w:rsidR="00013EB8">
              <w:t>1/2</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m</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Elbow - LOU or Anat. Loss</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l</w:t>
            </w:r>
            <w:r w:rsidR="00013EB8">
              <w:t>1/2</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m</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m</w:t>
            </w:r>
            <w:r w:rsidR="00013EB8">
              <w:t>1/2</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Shoulder - LOU</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m*</w:t>
            </w:r>
          </w:p>
        </w:tc>
        <w:tc>
          <w:tcPr>
            <w:tcW w:w="0" w:type="auto"/>
            <w:tcBorders>
              <w:top w:val="nil"/>
              <w:left w:val="nil"/>
              <w:bottom w:val="single" w:sz="4" w:space="0" w:color="auto"/>
              <w:right w:val="single" w:sz="4" w:space="0" w:color="auto"/>
            </w:tcBorders>
            <w:shd w:val="clear" w:color="auto" w:fill="C0C0C0"/>
            <w:noWrap/>
            <w:tcMar>
              <w:top w:w="13" w:type="dxa"/>
              <w:left w:w="13" w:type="dxa"/>
              <w:bottom w:w="0" w:type="dxa"/>
              <w:right w:w="13" w:type="dxa"/>
            </w:tcMar>
            <w:vAlign w:val="bottom"/>
          </w:tcPr>
          <w:p w:rsidR="00013EB8" w:rsidRDefault="00013EB8">
            <w:pPr>
              <w:widowControl w:val="0"/>
              <w:jc w:val="center"/>
              <w:rPr>
                <w:rFonts w:eastAsia="Arial Unicode MS"/>
              </w:rPr>
            </w:pPr>
            <w:r>
              <w:t>*</w:t>
            </w:r>
          </w:p>
        </w:tc>
        <w:tc>
          <w:tcPr>
            <w:tcW w:w="0" w:type="auto"/>
            <w:tcBorders>
              <w:top w:val="nil"/>
              <w:left w:val="nil"/>
              <w:bottom w:val="single" w:sz="4" w:space="0" w:color="auto"/>
              <w:right w:val="single" w:sz="4" w:space="0" w:color="auto"/>
            </w:tcBorders>
            <w:shd w:val="clear" w:color="auto" w:fill="C0C0C0"/>
            <w:noWrap/>
            <w:tcMar>
              <w:top w:w="13" w:type="dxa"/>
              <w:left w:w="13" w:type="dxa"/>
              <w:bottom w:w="0" w:type="dxa"/>
              <w:right w:w="13" w:type="dxa"/>
            </w:tcMar>
            <w:vAlign w:val="bottom"/>
          </w:tcPr>
          <w:p w:rsidR="00013EB8" w:rsidRDefault="00013EB8">
            <w:pPr>
              <w:widowControl w:val="0"/>
              <w:jc w:val="center"/>
              <w:rPr>
                <w:rFonts w:eastAsia="Arial Unicode MS"/>
              </w:rPr>
            </w:pPr>
            <w:r>
              <w:t>*</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Shoulder - Anat. Loss</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m</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rsidP="002D0754">
            <w:pPr>
              <w:widowControl w:val="0"/>
              <w:jc w:val="center"/>
              <w:rPr>
                <w:rFonts w:eastAsia="Arial Unicode MS"/>
              </w:rPr>
            </w:pPr>
            <w:r>
              <w:t>m1/2</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n</w:t>
            </w:r>
          </w:p>
        </w:tc>
      </w:tr>
      <w:tr w:rsidR="00013EB8">
        <w:trPr>
          <w:trHeight w:val="300"/>
        </w:trPr>
        <w:tc>
          <w:tcPr>
            <w:tcW w:w="0" w:type="auto"/>
            <w:gridSpan w:val="4"/>
            <w:tcBorders>
              <w:top w:val="single" w:sz="4" w:space="0" w:color="auto"/>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b/>
                <w:bCs/>
              </w:rPr>
            </w:pPr>
            <w:r>
              <w:rPr>
                <w:b/>
                <w:bCs/>
              </w:rPr>
              <w:t>Two Lower Extremities</w:t>
            </w:r>
          </w:p>
        </w:tc>
      </w:tr>
      <w:tr w:rsidR="00013EB8">
        <w:trPr>
          <w:trHeight w:val="255"/>
        </w:trPr>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 </w:t>
            </w:r>
          </w:p>
        </w:tc>
        <w:tc>
          <w:tcPr>
            <w:tcW w:w="0" w:type="auto"/>
            <w:tcBorders>
              <w:top w:val="single" w:sz="4" w:space="0" w:color="auto"/>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Foot - LOU or Anat. Loss</w:t>
            </w:r>
          </w:p>
        </w:tc>
        <w:tc>
          <w:tcPr>
            <w:tcW w:w="0" w:type="auto"/>
            <w:tcBorders>
              <w:top w:val="single" w:sz="4" w:space="0" w:color="auto"/>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Knee - LOU or Anat. Loss</w:t>
            </w:r>
          </w:p>
        </w:tc>
        <w:tc>
          <w:tcPr>
            <w:tcW w:w="0" w:type="auto"/>
            <w:tcBorders>
              <w:top w:val="single" w:sz="4" w:space="0" w:color="auto"/>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Hip - Anat. Loss</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Foot - LOU or Anat. Loss</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l</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l</w:t>
            </w:r>
            <w:r w:rsidR="00013EB8">
              <w:t>1/2</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m</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Knee - LOU or Anat. Loss</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l</w:t>
            </w:r>
            <w:r w:rsidR="00013EB8">
              <w:t>1/2</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m</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2D0754">
            <w:pPr>
              <w:widowControl w:val="0"/>
              <w:jc w:val="center"/>
              <w:rPr>
                <w:rFonts w:eastAsia="Arial Unicode MS"/>
              </w:rPr>
            </w:pPr>
            <w:r>
              <w:t>m</w:t>
            </w:r>
            <w:r w:rsidR="00013EB8">
              <w:t>1/2</w:t>
            </w:r>
          </w:p>
        </w:tc>
      </w:tr>
      <w:tr w:rsidR="00013EB8">
        <w:trPr>
          <w:trHeight w:val="255"/>
        </w:trPr>
        <w:tc>
          <w:tcPr>
            <w:tcW w:w="0" w:type="auto"/>
            <w:tcBorders>
              <w:top w:val="nil"/>
              <w:left w:val="single" w:sz="4" w:space="0" w:color="auto"/>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Hip - Anat. Loss</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m</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rsidP="002D0754">
            <w:pPr>
              <w:widowControl w:val="0"/>
              <w:jc w:val="center"/>
              <w:rPr>
                <w:rFonts w:eastAsia="Arial Unicode MS"/>
              </w:rPr>
            </w:pPr>
            <w:r>
              <w:t>m1/2</w:t>
            </w:r>
          </w:p>
        </w:tc>
        <w:tc>
          <w:tcPr>
            <w:tcW w:w="0" w:type="auto"/>
            <w:tcBorders>
              <w:top w:val="nil"/>
              <w:left w:val="nil"/>
              <w:bottom w:val="single" w:sz="4" w:space="0" w:color="auto"/>
              <w:right w:val="single" w:sz="4" w:space="0" w:color="auto"/>
            </w:tcBorders>
            <w:noWrap/>
            <w:tcMar>
              <w:top w:w="13" w:type="dxa"/>
              <w:left w:w="13" w:type="dxa"/>
              <w:bottom w:w="0" w:type="dxa"/>
              <w:right w:w="13" w:type="dxa"/>
            </w:tcMar>
            <w:vAlign w:val="bottom"/>
          </w:tcPr>
          <w:p w:rsidR="00013EB8" w:rsidRDefault="00013EB8">
            <w:pPr>
              <w:widowControl w:val="0"/>
              <w:jc w:val="center"/>
              <w:rPr>
                <w:rFonts w:eastAsia="Arial Unicode MS"/>
              </w:rPr>
            </w:pPr>
            <w:r>
              <w:t>n</w:t>
            </w:r>
          </w:p>
        </w:tc>
      </w:tr>
      <w:tr w:rsidR="00013EB8">
        <w:trPr>
          <w:trHeight w:val="105"/>
        </w:trPr>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rPr>
            </w:pPr>
          </w:p>
        </w:tc>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rPr>
            </w:pPr>
          </w:p>
        </w:tc>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rPr>
            </w:pPr>
          </w:p>
        </w:tc>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rPr>
            </w:pPr>
          </w:p>
        </w:tc>
      </w:tr>
      <w:tr w:rsidR="00013EB8">
        <w:trPr>
          <w:trHeight w:val="255"/>
        </w:trPr>
        <w:tc>
          <w:tcPr>
            <w:tcW w:w="0" w:type="auto"/>
            <w:gridSpan w:val="4"/>
            <w:tcBorders>
              <w:top w:val="nil"/>
              <w:left w:val="nil"/>
              <w:bottom w:val="nil"/>
              <w:right w:val="nil"/>
            </w:tcBorders>
            <w:noWrap/>
            <w:tcMar>
              <w:top w:w="13" w:type="dxa"/>
              <w:left w:w="13" w:type="dxa"/>
              <w:bottom w:w="0" w:type="dxa"/>
              <w:right w:w="13" w:type="dxa"/>
            </w:tcMar>
            <w:vAlign w:val="bottom"/>
          </w:tcPr>
          <w:p w:rsidR="00013EB8" w:rsidRDefault="00013EB8">
            <w:pPr>
              <w:widowControl w:val="0"/>
              <w:rPr>
                <w:rFonts w:eastAsia="Arial Unicode MS"/>
              </w:rPr>
            </w:pPr>
            <w:r>
              <w:t xml:space="preserve">*  3.350(f)(1)(iv) allows SMC (m) for loss or loss of use of one foot with loss of use of one arm at the shoulder.  </w:t>
            </w:r>
          </w:p>
        </w:tc>
      </w:tr>
      <w:tr w:rsidR="00013EB8">
        <w:trPr>
          <w:trHeight w:val="255"/>
        </w:trPr>
        <w:tc>
          <w:tcPr>
            <w:tcW w:w="0" w:type="auto"/>
            <w:gridSpan w:val="4"/>
            <w:tcBorders>
              <w:top w:val="nil"/>
              <w:left w:val="nil"/>
              <w:bottom w:val="nil"/>
              <w:right w:val="nil"/>
            </w:tcBorders>
            <w:noWrap/>
            <w:tcMar>
              <w:top w:w="13" w:type="dxa"/>
              <w:left w:w="13" w:type="dxa"/>
              <w:bottom w:w="0" w:type="dxa"/>
              <w:right w:w="13" w:type="dxa"/>
            </w:tcMar>
            <w:vAlign w:val="bottom"/>
          </w:tcPr>
          <w:p w:rsidR="00013EB8" w:rsidRDefault="00013EB8">
            <w:pPr>
              <w:widowControl w:val="0"/>
              <w:rPr>
                <w:rFonts w:eastAsia="Arial Unicode MS"/>
              </w:rPr>
            </w:pPr>
            <w:r>
              <w:t>In all other cases, loss of use of the shoulder or hip is treated as loss of use at the elbow or knee.</w:t>
            </w:r>
          </w:p>
        </w:tc>
      </w:tr>
    </w:tbl>
    <w:p w:rsidR="00013EB8" w:rsidRDefault="00013EB8">
      <w:pPr>
        <w:widowControl w:val="0"/>
        <w:rPr>
          <w:rFonts w:eastAsia="Arial Unicode MS"/>
        </w:rPr>
      </w:pPr>
    </w:p>
    <w:p w:rsidR="00013EB8" w:rsidRDefault="00013EB8">
      <w:pPr>
        <w:widowControl w:val="0"/>
        <w:rPr>
          <w:rFonts w:eastAsia="Arial Unicode MS"/>
          <w:b/>
          <w:bCs/>
          <w:i/>
          <w:iCs/>
          <w:u w:val="single"/>
        </w:rPr>
      </w:pPr>
      <w:r>
        <w:rPr>
          <w:b/>
          <w:bCs/>
          <w:i/>
          <w:iCs/>
          <w:u w:val="single"/>
        </w:rPr>
        <w:t>Paraplegia:</w:t>
      </w:r>
    </w:p>
    <w:p w:rsidR="00013EB8" w:rsidRDefault="00013EB8">
      <w:pPr>
        <w:widowControl w:val="0"/>
        <w:rPr>
          <w:rFonts w:eastAsia="Arial Unicode MS"/>
          <w:u w:val="single"/>
        </w:rPr>
      </w:pPr>
      <w:r>
        <w:t xml:space="preserve">Grant </w:t>
      </w:r>
      <w:r>
        <w:rPr>
          <w:b/>
          <w:bCs/>
        </w:rPr>
        <w:t>SMC (o)</w:t>
      </w:r>
      <w:r>
        <w:t xml:space="preserve"> under 3.350(e)(2) if the veteran has </w:t>
      </w:r>
      <w:r>
        <w:rPr>
          <w:u w:val="single"/>
        </w:rPr>
        <w:t>paralysis of both lower extremities together with loss of anal and bladder sphincter control</w:t>
      </w:r>
      <w:r>
        <w:t xml:space="preserve"> through the combination of loss of use of both legs and helplessness.  </w:t>
      </w:r>
    </w:p>
    <w:p w:rsidR="00013EB8" w:rsidRDefault="00013EB8">
      <w:pPr>
        <w:widowControl w:val="0"/>
        <w:rPr>
          <w:rFonts w:eastAsia="Arial Unicode MS"/>
        </w:rPr>
      </w:pPr>
      <w:r>
        <w:t xml:space="preserve">Since this includes the need for aid and attendance (A&amp;A) entitlement to SMC at the R1 or R2 level is also warranted. For regular A&amp;A: Code 55, Par. O2 </w:t>
      </w:r>
      <w:r>
        <w:rPr>
          <w:u w:val="single"/>
        </w:rPr>
        <w:t>and</w:t>
      </w:r>
      <w:r w:rsidR="005604B8">
        <w:t xml:space="preserve"> R</w:t>
      </w:r>
      <w:r>
        <w:t xml:space="preserve">1. For a higher level of care: Code 60, Par. O2 </w:t>
      </w:r>
      <w:r>
        <w:rPr>
          <w:u w:val="single"/>
        </w:rPr>
        <w:t>and</w:t>
      </w:r>
      <w:r>
        <w:t xml:space="preserve"> R2.</w:t>
      </w:r>
    </w:p>
    <w:p w:rsidR="00013EB8" w:rsidRDefault="00013EB8">
      <w:pPr>
        <w:widowControl w:val="0"/>
        <w:rPr>
          <w:rFonts w:eastAsia="Arial Unicode MS"/>
        </w:rPr>
      </w:pPr>
    </w:p>
    <w:p w:rsidR="00013EB8" w:rsidRDefault="00013EB8">
      <w:pPr>
        <w:widowControl w:val="0"/>
        <w:rPr>
          <w:rFonts w:eastAsia="Arial Unicode MS"/>
          <w:b/>
          <w:bCs/>
          <w:i/>
          <w:iCs/>
          <w:u w:val="single"/>
        </w:rPr>
      </w:pPr>
      <w:r>
        <w:rPr>
          <w:b/>
          <w:bCs/>
          <w:i/>
          <w:iCs/>
          <w:u w:val="single"/>
        </w:rPr>
        <w:t>Additional permanent disabilities:</w:t>
      </w:r>
    </w:p>
    <w:p w:rsidR="00013EB8" w:rsidRDefault="00013EB8">
      <w:pPr>
        <w:widowControl w:val="0"/>
        <w:rPr>
          <w:rFonts w:eastAsia="Arial Unicode MS"/>
        </w:rPr>
      </w:pPr>
      <w:r>
        <w:t xml:space="preserve">1) Grant a </w:t>
      </w:r>
      <w:r>
        <w:rPr>
          <w:b/>
          <w:bCs/>
        </w:rPr>
        <w:t>full-step increase</w:t>
      </w:r>
      <w:r>
        <w:t xml:space="preserve"> under 3.350(f)(4) if the veteran has an </w:t>
      </w:r>
      <w:r>
        <w:rPr>
          <w:u w:val="single"/>
        </w:rPr>
        <w:t xml:space="preserve">additional single permanent disability </w:t>
      </w:r>
    </w:p>
    <w:p w:rsidR="00013EB8" w:rsidRDefault="00013EB8">
      <w:pPr>
        <w:widowControl w:val="0"/>
        <w:rPr>
          <w:rFonts w:eastAsia="Arial Unicode MS"/>
          <w:u w:val="single"/>
        </w:rPr>
      </w:pPr>
      <w:r>
        <w:rPr>
          <w:u w:val="single"/>
        </w:rPr>
        <w:t>independently ratable at 100 percent.</w:t>
      </w:r>
      <w:r>
        <w:t xml:space="preserve">  Code p= total SMC entitlement, Par. P2.</w:t>
      </w:r>
    </w:p>
    <w:p w:rsidR="00013EB8" w:rsidRDefault="00013EB8">
      <w:pPr>
        <w:widowControl w:val="0"/>
        <w:rPr>
          <w:rFonts w:eastAsia="Arial Unicode MS"/>
        </w:rPr>
      </w:pPr>
    </w:p>
    <w:p w:rsidR="00013EB8" w:rsidRDefault="00013EB8">
      <w:pPr>
        <w:widowControl w:val="0"/>
        <w:rPr>
          <w:rFonts w:eastAsia="Arial Unicode MS"/>
          <w:u w:val="single"/>
        </w:rPr>
      </w:pPr>
      <w:r>
        <w:t xml:space="preserve">2) Grant a </w:t>
      </w:r>
      <w:r>
        <w:rPr>
          <w:b/>
          <w:bCs/>
        </w:rPr>
        <w:t>half-step increase</w:t>
      </w:r>
      <w:r>
        <w:t xml:space="preserve"> under 3.350(f)(3) if the veteran has an </w:t>
      </w:r>
      <w:r>
        <w:rPr>
          <w:u w:val="single"/>
        </w:rPr>
        <w:t>additional single permanent disability or combinations of permanent disabilities independently ratable at 50 percent or more</w:t>
      </w:r>
      <w:r>
        <w:t xml:space="preserve">. </w:t>
      </w:r>
    </w:p>
    <w:p w:rsidR="00013EB8" w:rsidRDefault="00013EB8">
      <w:pPr>
        <w:widowControl w:val="0"/>
        <w:rPr>
          <w:rFonts w:eastAsia="Arial Unicode MS"/>
        </w:rPr>
      </w:pPr>
      <w:r>
        <w:t>Code p = total SMC entitlement, Par. P1.</w:t>
      </w:r>
    </w:p>
    <w:p w:rsidR="00013EB8" w:rsidRDefault="00013EB8">
      <w:pPr>
        <w:widowControl w:val="0"/>
        <w:rPr>
          <w:rFonts w:eastAsia="Arial Unicode MS"/>
        </w:rPr>
      </w:pPr>
    </w:p>
    <w:p w:rsidR="00013EB8" w:rsidRDefault="00013EB8">
      <w:pPr>
        <w:widowControl w:val="0"/>
        <w:rPr>
          <w:rFonts w:eastAsia="Arial Unicode MS"/>
        </w:rPr>
      </w:pPr>
      <w:r>
        <w:t xml:space="preserve">Note: A full-step and half-step increase for additional permanent disabilities </w:t>
      </w:r>
      <w:r>
        <w:rPr>
          <w:u w:val="single"/>
        </w:rPr>
        <w:t>cannot be granted simultaneously</w:t>
      </w:r>
      <w:r>
        <w:t>.</w:t>
      </w:r>
    </w:p>
    <w:p w:rsidR="00013EB8" w:rsidRDefault="00013EB8">
      <w:pPr>
        <w:widowControl w:val="0"/>
        <w:rPr>
          <w:rFonts w:eastAsia="Arial Unicode MS"/>
        </w:rPr>
      </w:pPr>
    </w:p>
    <w:p w:rsidR="00013EB8" w:rsidRDefault="00013EB8">
      <w:pPr>
        <w:widowControl w:val="0"/>
        <w:rPr>
          <w:rFonts w:eastAsia="Arial Unicode MS"/>
          <w:b/>
          <w:bCs/>
          <w:i/>
          <w:iCs/>
          <w:u w:val="single"/>
        </w:rPr>
      </w:pPr>
      <w:r>
        <w:rPr>
          <w:b/>
          <w:bCs/>
          <w:i/>
          <w:iCs/>
          <w:u w:val="single"/>
        </w:rPr>
        <w:t>Three extremities:</w:t>
      </w:r>
    </w:p>
    <w:p w:rsidR="00013EB8" w:rsidRDefault="00013EB8">
      <w:pPr>
        <w:widowControl w:val="0"/>
        <w:rPr>
          <w:rFonts w:eastAsia="Arial Unicode MS"/>
        </w:rPr>
      </w:pPr>
      <w:r>
        <w:t xml:space="preserve">Use the combination of two extremities which results in the highest SMC above.  Grant a </w:t>
      </w:r>
      <w:r>
        <w:rPr>
          <w:b/>
          <w:bCs/>
        </w:rPr>
        <w:t xml:space="preserve">half-step increase </w:t>
      </w:r>
      <w:r>
        <w:t xml:space="preserve">under 3.350(f)(5) for the third extremity and </w:t>
      </w:r>
      <w:r>
        <w:rPr>
          <w:b/>
          <w:bCs/>
        </w:rPr>
        <w:t>keep the (k)</w:t>
      </w:r>
      <w:r>
        <w:t>.  Code p = total SMC entitlement, Par. P3.</w:t>
      </w:r>
    </w:p>
    <w:p w:rsidR="00013EB8" w:rsidRDefault="00013EB8">
      <w:pPr>
        <w:widowControl w:val="0"/>
        <w:rPr>
          <w:rFonts w:eastAsia="Arial Unicode MS"/>
        </w:rPr>
      </w:pPr>
    </w:p>
    <w:p w:rsidR="00013EB8" w:rsidRDefault="00013EB8">
      <w:pPr>
        <w:widowControl w:val="0"/>
        <w:rPr>
          <w:rFonts w:eastAsia="Arial Unicode MS"/>
          <w:b/>
          <w:bCs/>
          <w:i/>
          <w:iCs/>
          <w:u w:val="single"/>
        </w:rPr>
      </w:pPr>
      <w:r>
        <w:rPr>
          <w:b/>
          <w:bCs/>
          <w:i/>
          <w:iCs/>
          <w:u w:val="single"/>
        </w:rPr>
        <w:t>Four extremities:</w:t>
      </w:r>
    </w:p>
    <w:p w:rsidR="00013EB8" w:rsidRDefault="00013EB8">
      <w:pPr>
        <w:widowControl w:val="0"/>
        <w:rPr>
          <w:rFonts w:eastAsia="Arial Unicode MS"/>
        </w:rPr>
      </w:pPr>
      <w:r>
        <w:t xml:space="preserve">The veteran will be entitled to </w:t>
      </w:r>
      <w:r>
        <w:rPr>
          <w:b/>
          <w:bCs/>
        </w:rPr>
        <w:t>SMC (o)</w:t>
      </w:r>
      <w:r>
        <w:t xml:space="preserve"> under 3.350(e)(1)(ii) based on </w:t>
      </w:r>
      <w:r>
        <w:rPr>
          <w:u w:val="single"/>
        </w:rPr>
        <w:t xml:space="preserve">conditions entitling to two or more </w:t>
      </w:r>
    </w:p>
    <w:p w:rsidR="00013EB8" w:rsidRDefault="00013EB8">
      <w:pPr>
        <w:widowControl w:val="0"/>
        <w:rPr>
          <w:rFonts w:eastAsia="Arial Unicode MS"/>
        </w:rPr>
      </w:pPr>
      <w:r>
        <w:rPr>
          <w:u w:val="single"/>
        </w:rPr>
        <w:t>rates (l) through (n) with no condition being considered twice</w:t>
      </w:r>
      <w:r w:rsidR="005604B8">
        <w:t>.  Code 37, Par. O3</w:t>
      </w:r>
      <w:r>
        <w:t>.  If aid and attendance (A&amp;A) is needed, even if it is due to the extremities, entitlement to SMC at the R</w:t>
      </w:r>
      <w:r w:rsidR="005604B8">
        <w:t>1 or R</w:t>
      </w:r>
      <w:r>
        <w:t xml:space="preserve">2 level is also warranted. </w:t>
      </w:r>
    </w:p>
    <w:p w:rsidR="00013EB8" w:rsidRDefault="00013EB8">
      <w:pPr>
        <w:widowControl w:val="0"/>
        <w:rPr>
          <w:rFonts w:eastAsia="Arial Unicode MS"/>
        </w:rPr>
      </w:pPr>
      <w:r>
        <w:t>For r</w:t>
      </w:r>
      <w:r w:rsidR="005604B8">
        <w:t>egular A&amp;A: Code 55, Par. O</w:t>
      </w:r>
      <w:r>
        <w:t xml:space="preserve">3 </w:t>
      </w:r>
      <w:r>
        <w:rPr>
          <w:u w:val="single"/>
        </w:rPr>
        <w:t>and</w:t>
      </w:r>
      <w:r w:rsidR="005604B8">
        <w:t xml:space="preserve"> R</w:t>
      </w:r>
      <w:r>
        <w:t xml:space="preserve">1. For a higher level of care: Code 60, Par. O3 </w:t>
      </w:r>
      <w:r>
        <w:rPr>
          <w:u w:val="single"/>
        </w:rPr>
        <w:t>and</w:t>
      </w:r>
      <w:r w:rsidR="005604B8">
        <w:t xml:space="preserve"> R</w:t>
      </w:r>
      <w:r>
        <w:t>2.</w:t>
      </w:r>
    </w:p>
    <w:p w:rsidR="00013EB8" w:rsidRDefault="00013EB8">
      <w:pPr>
        <w:widowControl w:val="0"/>
        <w:rPr>
          <w:rFonts w:eastAsia="Arial Unicode MS"/>
        </w:rPr>
      </w:pPr>
    </w:p>
    <w:p w:rsidR="00013EB8" w:rsidRDefault="00013EB8">
      <w:pPr>
        <w:widowControl w:val="0"/>
        <w:rPr>
          <w:rFonts w:eastAsia="Arial Unicode MS"/>
          <w:b/>
          <w:bCs/>
          <w:i/>
          <w:iCs/>
          <w:u w:val="single"/>
        </w:rPr>
      </w:pPr>
      <w:r>
        <w:rPr>
          <w:b/>
          <w:bCs/>
          <w:i/>
          <w:iCs/>
          <w:u w:val="single"/>
        </w:rPr>
        <w:t>Ancillary Benefits:</w:t>
      </w:r>
    </w:p>
    <w:p w:rsidR="00013EB8" w:rsidRDefault="00013EB8">
      <w:pPr>
        <w:widowControl w:val="0"/>
        <w:rPr>
          <w:rFonts w:eastAsia="Arial Unicode MS"/>
        </w:rPr>
      </w:pPr>
      <w:r>
        <w:t xml:space="preserve">Infer the issues of Automobile and Adaptive Equipment Allowance, Specially Adapted Housing, and Special Housing Adaptation Grant if entitlement is shown. </w:t>
      </w:r>
    </w:p>
    <w:p w:rsidR="00013EB8" w:rsidRDefault="00013EB8">
      <w:pPr>
        <w:widowControl w:val="0"/>
        <w:rPr>
          <w:rFonts w:eastAsia="Arial Unicode MS"/>
        </w:rPr>
      </w:pPr>
    </w:p>
    <w:p w:rsidR="00013EB8" w:rsidRDefault="00013EB8">
      <w:pPr>
        <w:widowControl w:val="0"/>
        <w:rPr>
          <w:rFonts w:eastAsia="Arial Unicode MS"/>
          <w:b/>
          <w:bCs/>
          <w:i/>
          <w:iCs/>
          <w:u w:val="single"/>
        </w:rPr>
      </w:pPr>
      <w:r>
        <w:rPr>
          <w:b/>
          <w:bCs/>
          <w:i/>
          <w:iCs/>
          <w:u w:val="single"/>
        </w:rPr>
        <w:t>Loss or loss of use of two extremities with aid and attendance (A&amp;A):</w:t>
      </w:r>
    </w:p>
    <w:p w:rsidR="00013EB8" w:rsidRDefault="00013EB8">
      <w:pPr>
        <w:widowControl w:val="0"/>
        <w:rPr>
          <w:rFonts w:eastAsia="Arial Unicode MS"/>
        </w:rPr>
      </w:pPr>
      <w:r>
        <w:t>1) If entitlement to A&amp;A is required due to the loss or loss of use of two extremities, grant SMC based on the</w:t>
      </w:r>
      <w:r w:rsidR="0066624B">
        <w:t xml:space="preserve"> </w:t>
      </w:r>
      <w:r>
        <w:t>extremities.  This is a higher benefit because it is not reduced when hospitalized.</w:t>
      </w:r>
    </w:p>
    <w:p w:rsidR="00013EB8" w:rsidRDefault="00013EB8">
      <w:pPr>
        <w:widowControl w:val="0"/>
        <w:rPr>
          <w:rFonts w:eastAsia="Arial Unicode MS"/>
        </w:rPr>
      </w:pPr>
    </w:p>
    <w:p w:rsidR="00013EB8" w:rsidRDefault="00013EB8">
      <w:pPr>
        <w:widowControl w:val="0"/>
        <w:rPr>
          <w:rFonts w:eastAsia="Arial Unicode MS"/>
        </w:rPr>
      </w:pPr>
      <w:r>
        <w:t>2) If A&amp;A can be justified disregarding the disabling effects of the loss or loss of use of the two extremities, grant a separate award of SMC for A&amp;A.  The veteran would be entitled to SMC (o) based on conditions entitling to two or more rates (l) through (n).  The veteran would also be entitled to SMC (r)(1) or (r)(2) based on SMC (o) with the need for A&amp;A.</w:t>
      </w:r>
    </w:p>
    <w:p w:rsidR="00013EB8" w:rsidRDefault="00013EB8">
      <w:pPr>
        <w:widowControl w:val="0"/>
        <w:rPr>
          <w:rFonts w:eastAsia="Arial Unicode MS"/>
        </w:rPr>
      </w:pPr>
    </w:p>
    <w:p w:rsidR="00013EB8" w:rsidRDefault="00013EB8">
      <w:pPr>
        <w:widowControl w:val="0"/>
        <w:pBdr>
          <w:top w:val="single" w:sz="4" w:space="1" w:color="auto"/>
        </w:pBdr>
      </w:pPr>
    </w:p>
    <w:p w:rsidR="00013EB8" w:rsidRDefault="00013EB8">
      <w:pPr>
        <w:pStyle w:val="Heading4"/>
        <w:keepNext w:val="0"/>
        <w:widowControl w:val="0"/>
        <w:pBdr>
          <w:top w:val="none" w:sz="0" w:space="0" w:color="auto"/>
          <w:left w:val="none" w:sz="0" w:space="0" w:color="auto"/>
          <w:bottom w:val="none" w:sz="0" w:space="0" w:color="auto"/>
          <w:right w:val="none" w:sz="0" w:space="0" w:color="auto"/>
        </w:pBdr>
        <w:jc w:val="center"/>
        <w:rPr>
          <w:sz w:val="20"/>
        </w:rPr>
      </w:pPr>
      <w:r>
        <w:rPr>
          <w:sz w:val="20"/>
        </w:rPr>
        <w:t>(More detailed than Quick Reference guide above, also by Jeff Myers)</w:t>
      </w:r>
    </w:p>
    <w:tbl>
      <w:tblPr>
        <w:tblW w:w="9520" w:type="dxa"/>
        <w:tblCellMar>
          <w:left w:w="0" w:type="dxa"/>
          <w:right w:w="0" w:type="dxa"/>
        </w:tblCellMar>
        <w:tblLook w:val="0000" w:firstRow="0" w:lastRow="0" w:firstColumn="0" w:lastColumn="0" w:noHBand="0" w:noVBand="0"/>
      </w:tblPr>
      <w:tblGrid>
        <w:gridCol w:w="2427"/>
        <w:gridCol w:w="2427"/>
        <w:gridCol w:w="2427"/>
        <w:gridCol w:w="2427"/>
      </w:tblGrid>
      <w:tr w:rsidR="00013EB8">
        <w:trPr>
          <w:trHeight w:val="480"/>
        </w:trPr>
        <w:tc>
          <w:tcPr>
            <w:tcW w:w="9520" w:type="dxa"/>
            <w:gridSpan w:val="4"/>
            <w:tcBorders>
              <w:top w:val="nil"/>
              <w:left w:val="nil"/>
              <w:bottom w:val="nil"/>
              <w:right w:val="nil"/>
            </w:tcBorders>
            <w:noWrap/>
            <w:tcMar>
              <w:top w:w="13" w:type="dxa"/>
              <w:left w:w="13" w:type="dxa"/>
              <w:bottom w:w="0" w:type="dxa"/>
              <w:right w:w="13" w:type="dxa"/>
            </w:tcMar>
            <w:vAlign w:val="center"/>
          </w:tcPr>
          <w:p w:rsidR="00013EB8" w:rsidRDefault="00013EB8">
            <w:pPr>
              <w:widowControl w:val="0"/>
              <w:jc w:val="center"/>
              <w:rPr>
                <w:rFonts w:eastAsia="Arial Unicode MS"/>
                <w:sz w:val="28"/>
                <w:szCs w:val="28"/>
                <w:u w:val="single"/>
              </w:rPr>
            </w:pPr>
            <w:r>
              <w:rPr>
                <w:sz w:val="28"/>
                <w:szCs w:val="28"/>
                <w:u w:val="single"/>
              </w:rPr>
              <w:t>Two Upper Extremities</w:t>
            </w:r>
          </w:p>
        </w:tc>
      </w:tr>
      <w:tr w:rsidR="00013EB8">
        <w:trPr>
          <w:cantSplit/>
          <w:trHeight w:val="255"/>
        </w:trPr>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rPr>
            </w:pPr>
          </w:p>
        </w:tc>
        <w:tc>
          <w:tcPr>
            <w:tcW w:w="2380" w:type="dxa"/>
            <w:vMerge w:val="restart"/>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Hand - Loss of Use or Anatomical Loss</w:t>
            </w:r>
          </w:p>
        </w:tc>
        <w:tc>
          <w:tcPr>
            <w:tcW w:w="2380" w:type="dxa"/>
            <w:vMerge w:val="restart"/>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Elbow - Loss of Use or Anatomical Loss</w:t>
            </w:r>
          </w:p>
        </w:tc>
        <w:tc>
          <w:tcPr>
            <w:tcW w:w="2380" w:type="dxa"/>
            <w:vMerge w:val="restart"/>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Shoulder - Anatomical loss</w:t>
            </w:r>
          </w:p>
        </w:tc>
      </w:tr>
      <w:tr w:rsidR="00013EB8">
        <w:trPr>
          <w:cantSplit/>
          <w:trHeight w:val="255"/>
        </w:trPr>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r>
      <w:tr w:rsidR="00013EB8">
        <w:trPr>
          <w:cantSplit/>
          <w:trHeight w:val="255"/>
        </w:trPr>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jc w:val="center"/>
              <w:rPr>
                <w:rFonts w:eastAsia="Arial Unicode M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r>
      <w:tr w:rsidR="00013EB8">
        <w:trPr>
          <w:cantSplit/>
          <w:trHeight w:val="276"/>
        </w:trPr>
        <w:tc>
          <w:tcPr>
            <w:tcW w:w="2380" w:type="dxa"/>
            <w:vMerge w:val="restart"/>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Hand - Loss of Use or Anatomical Loss</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pPr>
            <w:r>
              <w:t>SMC (m), 3.350(c)(1)(i),</w:t>
            </w:r>
          </w:p>
          <w:p w:rsidR="00013EB8" w:rsidRDefault="00013EB8" w:rsidP="002D0754">
            <w:pPr>
              <w:widowControl w:val="0"/>
              <w:jc w:val="center"/>
              <w:rPr>
                <w:rFonts w:eastAsia="Arial Unicode MS"/>
              </w:rPr>
            </w:pPr>
            <w:r>
              <w:t>Code 07, Par. M1</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2D0754">
            <w:pPr>
              <w:widowControl w:val="0"/>
              <w:jc w:val="center"/>
              <w:rPr>
                <w:rFonts w:eastAsia="Arial Unicode MS"/>
              </w:rPr>
            </w:pPr>
            <w:r>
              <w:t>SMC (m</w:t>
            </w:r>
            <w:r w:rsidR="00013EB8">
              <w:t xml:space="preserve">1/2), </w:t>
            </w:r>
            <w:r>
              <w:t>3.350(f)(1)(x), Code 20, Par. M</w:t>
            </w:r>
            <w:r w:rsidR="00013EB8">
              <w:t>5</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pPr>
            <w:r>
              <w:t>SMC (n), 3.350(f)(1)(xi),</w:t>
            </w:r>
          </w:p>
          <w:p w:rsidR="00013EB8" w:rsidRDefault="002D0754">
            <w:pPr>
              <w:widowControl w:val="0"/>
              <w:jc w:val="center"/>
              <w:rPr>
                <w:rFonts w:eastAsia="Arial Unicode MS"/>
              </w:rPr>
            </w:pPr>
            <w:r>
              <w:t>Code 21, Par. N</w:t>
            </w:r>
            <w:r w:rsidR="00013EB8">
              <w:t>3</w:t>
            </w:r>
          </w:p>
        </w:tc>
      </w:tr>
      <w:tr w:rsidR="00013EB8">
        <w:trPr>
          <w:cantSplit/>
          <w:trHeight w:val="276"/>
        </w:trPr>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Elbow - Loss of Use or Anatomical Loss</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2D0754" w:rsidP="002D0754">
            <w:pPr>
              <w:widowControl w:val="0"/>
              <w:jc w:val="center"/>
              <w:rPr>
                <w:rFonts w:eastAsia="Arial Unicode MS"/>
              </w:rPr>
            </w:pPr>
            <w:r>
              <w:t>SMC (m</w:t>
            </w:r>
            <w:r w:rsidR="00013EB8">
              <w:t>1/2), 3.350(f)(1)(x), Code 20, Par. M5</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pPr>
            <w:r>
              <w:t>SMC (n), 3.350(d)(1),</w:t>
            </w:r>
          </w:p>
          <w:p w:rsidR="00013EB8" w:rsidRDefault="002D0754">
            <w:pPr>
              <w:widowControl w:val="0"/>
              <w:jc w:val="center"/>
              <w:rPr>
                <w:rFonts w:eastAsia="Arial Unicode MS"/>
              </w:rPr>
            </w:pPr>
            <w:r>
              <w:t>Code 11, Par. N</w:t>
            </w:r>
            <w:r w:rsidR="00013EB8">
              <w:t>1</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rsidP="002D0754">
            <w:pPr>
              <w:widowControl w:val="0"/>
              <w:jc w:val="center"/>
              <w:rPr>
                <w:rFonts w:eastAsia="Arial Unicode MS"/>
              </w:rPr>
            </w:pPr>
            <w:r>
              <w:t>SMC (n1/2), 3.</w:t>
            </w:r>
            <w:r w:rsidR="002D0754">
              <w:t>350(f)(1)(xii), Code 22, Par. N</w:t>
            </w:r>
            <w:r>
              <w:t>4</w:t>
            </w: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Shoulder - Anatomical Loss</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pPr>
            <w:r>
              <w:t>SMC (n), 3.350(f)(1)(xi),</w:t>
            </w:r>
          </w:p>
          <w:p w:rsidR="00013EB8" w:rsidRDefault="002D0754">
            <w:pPr>
              <w:widowControl w:val="0"/>
              <w:jc w:val="center"/>
              <w:rPr>
                <w:rFonts w:eastAsia="Arial Unicode MS"/>
              </w:rPr>
            </w:pPr>
            <w:r>
              <w:t>Code 21, Par. N</w:t>
            </w:r>
            <w:r w:rsidR="00013EB8">
              <w:t>3</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2D0754">
            <w:pPr>
              <w:widowControl w:val="0"/>
              <w:jc w:val="center"/>
              <w:rPr>
                <w:rFonts w:eastAsia="Arial Unicode MS"/>
              </w:rPr>
            </w:pPr>
            <w:r>
              <w:t>SMC (n</w:t>
            </w:r>
            <w:r w:rsidR="00013EB8">
              <w:t>1/2), 3.</w:t>
            </w:r>
            <w:r>
              <w:t>350(f)(1)(xii), Code 22, Par. N</w:t>
            </w:r>
            <w:r w:rsidR="00013EB8">
              <w:t>4</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rPr>
            </w:pPr>
            <w:r>
              <w:t xml:space="preserve">SMC (o), </w:t>
            </w:r>
            <w:r w:rsidR="002D0754">
              <w:t>3.350(e)(1)(i), Code 37, Par. O</w:t>
            </w:r>
            <w:r>
              <w:t>1</w:t>
            </w: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trHeight w:val="255"/>
        </w:trPr>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p>
        </w:tc>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rPr>
            </w:pPr>
          </w:p>
        </w:tc>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rPr>
            </w:pPr>
          </w:p>
        </w:tc>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rPr>
            </w:pPr>
          </w:p>
        </w:tc>
      </w:tr>
      <w:tr w:rsidR="00013EB8">
        <w:trPr>
          <w:trHeight w:val="480"/>
        </w:trPr>
        <w:tc>
          <w:tcPr>
            <w:tcW w:w="0" w:type="auto"/>
            <w:gridSpan w:val="4"/>
            <w:tcBorders>
              <w:top w:val="nil"/>
              <w:left w:val="nil"/>
              <w:bottom w:val="nil"/>
              <w:right w:val="nil"/>
            </w:tcBorders>
            <w:noWrap/>
            <w:tcMar>
              <w:top w:w="13" w:type="dxa"/>
              <w:left w:w="13" w:type="dxa"/>
              <w:bottom w:w="0" w:type="dxa"/>
              <w:right w:w="13" w:type="dxa"/>
            </w:tcMar>
            <w:vAlign w:val="center"/>
          </w:tcPr>
          <w:p w:rsidR="00013EB8" w:rsidRDefault="00013EB8">
            <w:pPr>
              <w:widowControl w:val="0"/>
              <w:jc w:val="center"/>
              <w:rPr>
                <w:rFonts w:eastAsia="Arial Unicode MS"/>
                <w:sz w:val="28"/>
                <w:szCs w:val="28"/>
                <w:u w:val="single"/>
              </w:rPr>
            </w:pPr>
            <w:r>
              <w:rPr>
                <w:sz w:val="28"/>
                <w:szCs w:val="28"/>
                <w:u w:val="single"/>
              </w:rPr>
              <w:t>One Upper Extremity and One Lower Extremity</w:t>
            </w:r>
          </w:p>
        </w:tc>
      </w:tr>
      <w:tr w:rsidR="00013EB8">
        <w:trPr>
          <w:cantSplit/>
          <w:trHeight w:val="255"/>
        </w:trPr>
        <w:tc>
          <w:tcPr>
            <w:tcW w:w="0" w:type="auto"/>
            <w:tcBorders>
              <w:top w:val="nil"/>
              <w:left w:val="nil"/>
              <w:bottom w:val="nil"/>
              <w:right w:val="single" w:sz="4" w:space="0" w:color="auto"/>
            </w:tcBorders>
            <w:noWrap/>
            <w:tcMar>
              <w:top w:w="13" w:type="dxa"/>
              <w:left w:w="13" w:type="dxa"/>
              <w:bottom w:w="0" w:type="dxa"/>
              <w:right w:w="13" w:type="dxa"/>
            </w:tcMar>
            <w:vAlign w:val="center"/>
          </w:tcPr>
          <w:p w:rsidR="00013EB8" w:rsidRDefault="00013EB8">
            <w:pPr>
              <w:widowControl w:val="0"/>
              <w:jc w:val="center"/>
              <w:rPr>
                <w:rFonts w:eastAsia="Arial Unicode MS"/>
              </w:rPr>
            </w:pPr>
            <w:r>
              <w:t> </w:t>
            </w:r>
          </w:p>
        </w:tc>
        <w:tc>
          <w:tcPr>
            <w:tcW w:w="2380" w:type="dxa"/>
            <w:vMerge w:val="restart"/>
            <w:tcBorders>
              <w:top w:val="single" w:sz="4" w:space="0" w:color="auto"/>
              <w:left w:val="single" w:sz="4" w:space="0" w:color="auto"/>
              <w:bottom w:val="single" w:sz="4" w:space="0" w:color="000000"/>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Foot - Loss of Use or Anatomical Loss</w:t>
            </w:r>
          </w:p>
        </w:tc>
        <w:tc>
          <w:tcPr>
            <w:tcW w:w="2380" w:type="dxa"/>
            <w:vMerge w:val="restart"/>
            <w:tcBorders>
              <w:top w:val="single" w:sz="4" w:space="0" w:color="auto"/>
              <w:left w:val="single" w:sz="4" w:space="0" w:color="auto"/>
              <w:bottom w:val="single" w:sz="4" w:space="0" w:color="000000"/>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Knee - Loss of Use or Anatomical Loss</w:t>
            </w:r>
          </w:p>
        </w:tc>
        <w:tc>
          <w:tcPr>
            <w:tcW w:w="2380" w:type="dxa"/>
            <w:vMerge w:val="restart"/>
            <w:tcBorders>
              <w:top w:val="single" w:sz="4" w:space="0" w:color="auto"/>
              <w:left w:val="single" w:sz="4" w:space="0" w:color="auto"/>
              <w:bottom w:val="single" w:sz="4" w:space="0" w:color="000000"/>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Hip - Anatomical Loss</w:t>
            </w:r>
          </w:p>
        </w:tc>
      </w:tr>
      <w:tr w:rsidR="00013EB8">
        <w:trPr>
          <w:cantSplit/>
          <w:trHeight w:val="255"/>
        </w:trPr>
        <w:tc>
          <w:tcPr>
            <w:tcW w:w="0" w:type="auto"/>
            <w:tcBorders>
              <w:top w:val="nil"/>
              <w:left w:val="nil"/>
              <w:bottom w:val="nil"/>
              <w:right w:val="single" w:sz="4" w:space="0" w:color="auto"/>
            </w:tcBorders>
            <w:noWrap/>
            <w:tcMar>
              <w:top w:w="13" w:type="dxa"/>
              <w:left w:w="13" w:type="dxa"/>
              <w:bottom w:w="0" w:type="dxa"/>
              <w:right w:w="13" w:type="dxa"/>
            </w:tcMar>
            <w:vAlign w:val="center"/>
          </w:tcPr>
          <w:p w:rsidR="00013EB8" w:rsidRDefault="00013EB8">
            <w:pPr>
              <w:widowControl w:val="0"/>
              <w:jc w:val="center"/>
              <w:rPr>
                <w:rFonts w:eastAsia="Arial Unicode MS"/>
              </w:rPr>
            </w:pPr>
            <w:r>
              <w:t> </w:t>
            </w: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r>
      <w:tr w:rsidR="00013EB8">
        <w:trPr>
          <w:cantSplit/>
          <w:trHeight w:val="255"/>
        </w:trPr>
        <w:tc>
          <w:tcPr>
            <w:tcW w:w="0" w:type="auto"/>
            <w:tcBorders>
              <w:top w:val="nil"/>
              <w:left w:val="nil"/>
              <w:bottom w:val="single" w:sz="4" w:space="0" w:color="auto"/>
              <w:right w:val="single" w:sz="4" w:space="0" w:color="auto"/>
            </w:tcBorders>
            <w:noWrap/>
            <w:tcMar>
              <w:top w:w="13" w:type="dxa"/>
              <w:left w:w="13" w:type="dxa"/>
              <w:bottom w:w="0" w:type="dxa"/>
              <w:right w:w="13" w:type="dxa"/>
            </w:tcMar>
            <w:vAlign w:val="center"/>
          </w:tcPr>
          <w:p w:rsidR="00013EB8" w:rsidRDefault="00013EB8">
            <w:pPr>
              <w:widowControl w:val="0"/>
              <w:jc w:val="center"/>
              <w:rPr>
                <w:rFonts w:eastAsia="Arial Unicode MS"/>
              </w:rPr>
            </w:pPr>
            <w:r>
              <w:t> </w:t>
            </w: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r>
      <w:tr w:rsidR="00013EB8">
        <w:trPr>
          <w:cantSplit/>
          <w:trHeight w:val="276"/>
        </w:trPr>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Hand - Loss of Use or Anatomical Loss</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pPr>
            <w:r>
              <w:t xml:space="preserve">SMC (l), 3.350(b), </w:t>
            </w:r>
          </w:p>
          <w:p w:rsidR="00013EB8" w:rsidRDefault="002D0754">
            <w:pPr>
              <w:widowControl w:val="0"/>
              <w:jc w:val="center"/>
              <w:rPr>
                <w:rFonts w:eastAsia="Arial Unicode MS"/>
              </w:rPr>
            </w:pPr>
            <w:r>
              <w:t>Code 03, Par. L</w:t>
            </w:r>
            <w:r w:rsidR="00013EB8">
              <w:t>1</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2D0754" w:rsidP="002D0754">
            <w:pPr>
              <w:widowControl w:val="0"/>
              <w:jc w:val="center"/>
              <w:rPr>
                <w:rFonts w:eastAsia="Arial Unicode MS"/>
              </w:rPr>
            </w:pPr>
            <w:r>
              <w:t>SMC (l</w:t>
            </w:r>
            <w:r w:rsidR="00013EB8">
              <w:t>1/2), 3.350(f)(1)(vi), Code 18, Par. L2</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rPr>
            </w:pPr>
            <w:r>
              <w:t>SMC (m), 3.3</w:t>
            </w:r>
            <w:r w:rsidR="002D0754">
              <w:t>50(f)(1)(viii), Code 19, Par. M</w:t>
            </w:r>
            <w:r>
              <w:t>3</w:t>
            </w: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Elbow - Loss of Use or Anatomical Loss</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2D0754">
            <w:pPr>
              <w:widowControl w:val="0"/>
              <w:jc w:val="center"/>
              <w:rPr>
                <w:rFonts w:eastAsia="Arial Unicode MS"/>
              </w:rPr>
            </w:pPr>
            <w:r>
              <w:t>SMC (l</w:t>
            </w:r>
            <w:r w:rsidR="00013EB8">
              <w:t>1/2), 3.</w:t>
            </w:r>
            <w:r>
              <w:t>350(f)(1)(iii), Code 18, Par. L</w:t>
            </w:r>
            <w:r w:rsidR="00013EB8">
              <w:t>2</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rPr>
            </w:pPr>
            <w:r>
              <w:t>SMC (m), 3.350(c)(1)(iii)</w:t>
            </w:r>
            <w:r w:rsidR="002D0754">
              <w:t>, Code 07, Par. M</w:t>
            </w:r>
            <w:r>
              <w:t>2</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rsidP="002D0754">
            <w:pPr>
              <w:widowControl w:val="0"/>
              <w:jc w:val="center"/>
              <w:rPr>
                <w:rFonts w:eastAsia="Arial Unicode MS"/>
              </w:rPr>
            </w:pPr>
            <w:r>
              <w:t>SMC (m1/2), 3</w:t>
            </w:r>
            <w:r w:rsidR="002D0754">
              <w:t>.350(f)(1)(ix), Code 20, Par. M</w:t>
            </w:r>
            <w:r>
              <w:t>4</w:t>
            </w: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Shoulder - Loss of Use</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rPr>
            </w:pPr>
            <w:r>
              <w:t>SMC (m)*, 3</w:t>
            </w:r>
            <w:r w:rsidR="002D0754">
              <w:t>.350(f)(1)(iv), Code 19, Par. M</w:t>
            </w:r>
            <w:r>
              <w:t>3</w:t>
            </w:r>
          </w:p>
        </w:tc>
        <w:tc>
          <w:tcPr>
            <w:tcW w:w="2380" w:type="dxa"/>
            <w:vMerge w:val="restart"/>
            <w:tcBorders>
              <w:top w:val="nil"/>
              <w:left w:val="single" w:sz="4" w:space="0" w:color="auto"/>
              <w:bottom w:val="single" w:sz="4" w:space="0" w:color="auto"/>
              <w:right w:val="single" w:sz="4" w:space="0" w:color="auto"/>
            </w:tcBorders>
            <w:shd w:val="clear" w:color="auto" w:fill="C0C0C0"/>
            <w:tcMar>
              <w:top w:w="13" w:type="dxa"/>
              <w:left w:w="13" w:type="dxa"/>
              <w:bottom w:w="0" w:type="dxa"/>
              <w:right w:w="13" w:type="dxa"/>
            </w:tcMar>
            <w:vAlign w:val="center"/>
          </w:tcPr>
          <w:p w:rsidR="00013EB8" w:rsidRDefault="00013EB8">
            <w:pPr>
              <w:widowControl w:val="0"/>
              <w:jc w:val="center"/>
              <w:rPr>
                <w:rFonts w:eastAsia="Arial Unicode MS"/>
              </w:rPr>
            </w:pPr>
            <w:r>
              <w:t>*</w:t>
            </w:r>
          </w:p>
        </w:tc>
        <w:tc>
          <w:tcPr>
            <w:tcW w:w="2380" w:type="dxa"/>
            <w:vMerge w:val="restart"/>
            <w:tcBorders>
              <w:top w:val="nil"/>
              <w:left w:val="single" w:sz="4" w:space="0" w:color="auto"/>
              <w:bottom w:val="single" w:sz="4" w:space="0" w:color="auto"/>
              <w:right w:val="single" w:sz="4" w:space="0" w:color="auto"/>
            </w:tcBorders>
            <w:shd w:val="clear" w:color="auto" w:fill="C0C0C0"/>
            <w:tcMar>
              <w:top w:w="13" w:type="dxa"/>
              <w:left w:w="13" w:type="dxa"/>
              <w:bottom w:w="0" w:type="dxa"/>
              <w:right w:w="13" w:type="dxa"/>
            </w:tcMar>
            <w:vAlign w:val="center"/>
          </w:tcPr>
          <w:p w:rsidR="00013EB8" w:rsidRDefault="00013EB8">
            <w:pPr>
              <w:widowControl w:val="0"/>
              <w:jc w:val="center"/>
              <w:rPr>
                <w:rFonts w:eastAsia="Arial Unicode MS"/>
              </w:rPr>
            </w:pPr>
            <w:r>
              <w:t>*</w:t>
            </w: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Shoulder - Anatomical loss</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rPr>
            </w:pPr>
            <w:r>
              <w:t>SMC (m), 3</w:t>
            </w:r>
            <w:r w:rsidR="002D0754">
              <w:t>.350(f)(1)(iv), Code 19, Par. M</w:t>
            </w:r>
            <w:r>
              <w:t>3</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2D0754">
            <w:pPr>
              <w:widowControl w:val="0"/>
              <w:jc w:val="center"/>
              <w:rPr>
                <w:rFonts w:eastAsia="Arial Unicode MS"/>
              </w:rPr>
            </w:pPr>
            <w:r>
              <w:t>SMC (m</w:t>
            </w:r>
            <w:r w:rsidR="00013EB8">
              <w:t>1/2), 3.350(f)(1</w:t>
            </w:r>
            <w:r>
              <w:t>)(vii), Code 20, Par. M</w:t>
            </w:r>
            <w:r w:rsidR="00013EB8">
              <w:t>4</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pPr>
            <w:r>
              <w:t>SMC (n), 3.350(d)(3),</w:t>
            </w:r>
          </w:p>
          <w:p w:rsidR="00013EB8" w:rsidRDefault="002D0754">
            <w:pPr>
              <w:widowControl w:val="0"/>
              <w:jc w:val="center"/>
              <w:rPr>
                <w:rFonts w:eastAsia="Arial Unicode MS"/>
              </w:rPr>
            </w:pPr>
            <w:r>
              <w:t>Code 11, Par. N</w:t>
            </w:r>
            <w:r w:rsidR="00013EB8">
              <w:t>2</w:t>
            </w: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trHeight w:val="300"/>
        </w:trPr>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p>
        </w:tc>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rPr>
            </w:pPr>
          </w:p>
        </w:tc>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rPr>
            </w:pPr>
          </w:p>
        </w:tc>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rPr>
            </w:pPr>
          </w:p>
        </w:tc>
      </w:tr>
      <w:tr w:rsidR="00013EB8">
        <w:trPr>
          <w:trHeight w:val="480"/>
        </w:trPr>
        <w:tc>
          <w:tcPr>
            <w:tcW w:w="0" w:type="auto"/>
            <w:gridSpan w:val="4"/>
            <w:tcBorders>
              <w:top w:val="nil"/>
              <w:left w:val="nil"/>
              <w:bottom w:val="nil"/>
              <w:right w:val="nil"/>
            </w:tcBorders>
            <w:noWrap/>
            <w:tcMar>
              <w:top w:w="13" w:type="dxa"/>
              <w:left w:w="13" w:type="dxa"/>
              <w:bottom w:w="0" w:type="dxa"/>
              <w:right w:w="13" w:type="dxa"/>
            </w:tcMar>
            <w:vAlign w:val="center"/>
          </w:tcPr>
          <w:p w:rsidR="00013EB8" w:rsidRDefault="00013EB8">
            <w:pPr>
              <w:widowControl w:val="0"/>
              <w:jc w:val="center"/>
              <w:rPr>
                <w:rFonts w:eastAsia="Arial Unicode MS"/>
                <w:sz w:val="28"/>
                <w:szCs w:val="28"/>
                <w:u w:val="single"/>
              </w:rPr>
            </w:pPr>
            <w:r>
              <w:rPr>
                <w:sz w:val="28"/>
                <w:szCs w:val="28"/>
                <w:u w:val="single"/>
              </w:rPr>
              <w:t>Two Lower Extremities</w:t>
            </w:r>
          </w:p>
        </w:tc>
      </w:tr>
      <w:tr w:rsidR="00013EB8">
        <w:trPr>
          <w:cantSplit/>
          <w:trHeight w:val="255"/>
        </w:trPr>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rPr>
            </w:pPr>
          </w:p>
        </w:tc>
        <w:tc>
          <w:tcPr>
            <w:tcW w:w="2380" w:type="dxa"/>
            <w:vMerge w:val="restart"/>
            <w:tcBorders>
              <w:top w:val="single" w:sz="4" w:space="0" w:color="auto"/>
              <w:left w:val="single" w:sz="4" w:space="0" w:color="auto"/>
              <w:bottom w:val="single" w:sz="4" w:space="0" w:color="000000"/>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Foot - Loss of Use or Anatomical Loss</w:t>
            </w:r>
          </w:p>
        </w:tc>
        <w:tc>
          <w:tcPr>
            <w:tcW w:w="2380" w:type="dxa"/>
            <w:vMerge w:val="restart"/>
            <w:tcBorders>
              <w:top w:val="single" w:sz="4" w:space="0" w:color="auto"/>
              <w:left w:val="single" w:sz="4" w:space="0" w:color="auto"/>
              <w:bottom w:val="single" w:sz="4" w:space="0" w:color="000000"/>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Knee - Loss of Use or Anatomical Loss</w:t>
            </w:r>
          </w:p>
        </w:tc>
        <w:tc>
          <w:tcPr>
            <w:tcW w:w="2380" w:type="dxa"/>
            <w:vMerge w:val="restart"/>
            <w:tcBorders>
              <w:top w:val="single" w:sz="4" w:space="0" w:color="auto"/>
              <w:left w:val="single" w:sz="4" w:space="0" w:color="auto"/>
              <w:bottom w:val="single" w:sz="4" w:space="0" w:color="000000"/>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Hip - Anatomical Loss</w:t>
            </w:r>
          </w:p>
        </w:tc>
      </w:tr>
      <w:tr w:rsidR="00013EB8">
        <w:trPr>
          <w:cantSplit/>
          <w:trHeight w:val="255"/>
        </w:trPr>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r>
      <w:tr w:rsidR="00013EB8">
        <w:trPr>
          <w:cantSplit/>
          <w:trHeight w:val="255"/>
        </w:trPr>
        <w:tc>
          <w:tcPr>
            <w:tcW w:w="2380" w:type="dxa"/>
            <w:tcBorders>
              <w:top w:val="nil"/>
              <w:left w:val="nil"/>
              <w:bottom w:val="nil"/>
              <w:right w:val="nil"/>
            </w:tcBorders>
            <w:tcMar>
              <w:top w:w="13" w:type="dxa"/>
              <w:left w:w="13" w:type="dxa"/>
              <w:bottom w:w="0" w:type="dxa"/>
              <w:right w:w="13" w:type="dxa"/>
            </w:tcMar>
            <w:vAlign w:val="center"/>
          </w:tcPr>
          <w:p w:rsidR="00013EB8" w:rsidRDefault="00013EB8">
            <w:pPr>
              <w:widowControl w:val="0"/>
              <w:jc w:val="center"/>
              <w:rPr>
                <w:rFonts w:eastAsia="Arial Unicode MS"/>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single" w:sz="4" w:space="0" w:color="auto"/>
              <w:left w:val="single" w:sz="4" w:space="0" w:color="auto"/>
              <w:bottom w:val="single" w:sz="4" w:space="0" w:color="000000"/>
              <w:right w:val="single" w:sz="4" w:space="0" w:color="auto"/>
            </w:tcBorders>
            <w:vAlign w:val="center"/>
          </w:tcPr>
          <w:p w:rsidR="00013EB8" w:rsidRDefault="00013EB8">
            <w:pPr>
              <w:widowControl w:val="0"/>
              <w:rPr>
                <w:rFonts w:eastAsia="Arial Unicode MS"/>
                <w:i/>
                <w:iCs/>
                <w:sz w:val="24"/>
                <w:szCs w:val="24"/>
              </w:rPr>
            </w:pPr>
          </w:p>
        </w:tc>
      </w:tr>
      <w:tr w:rsidR="00013EB8">
        <w:trPr>
          <w:cantSplit/>
          <w:trHeight w:val="276"/>
        </w:trPr>
        <w:tc>
          <w:tcPr>
            <w:tcW w:w="2380" w:type="dxa"/>
            <w:vMerge w:val="restart"/>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Foot - Loss of Use or Anatomical Loss</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pPr>
            <w:r>
              <w:t>SMC (l), 3.350(b),</w:t>
            </w:r>
          </w:p>
          <w:p w:rsidR="00013EB8" w:rsidRDefault="002D0754">
            <w:pPr>
              <w:widowControl w:val="0"/>
              <w:jc w:val="center"/>
              <w:rPr>
                <w:rFonts w:eastAsia="Arial Unicode MS"/>
              </w:rPr>
            </w:pPr>
            <w:r>
              <w:t>Code 03, Par. L</w:t>
            </w:r>
            <w:r w:rsidR="00013EB8">
              <w:t>1</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2D0754" w:rsidP="002D0754">
            <w:pPr>
              <w:widowControl w:val="0"/>
              <w:jc w:val="center"/>
              <w:rPr>
                <w:rFonts w:eastAsia="Arial Unicode MS"/>
              </w:rPr>
            </w:pPr>
            <w:r>
              <w:t>SMC (l</w:t>
            </w:r>
            <w:r w:rsidR="00013EB8">
              <w:t>1/2), 3.350(f)(1)(i), Code 18, Par. L2</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rPr>
            </w:pPr>
            <w:r>
              <w:t>SMC (m), 3</w:t>
            </w:r>
            <w:r w:rsidR="002D0754">
              <w:t>.350(f)(1)(ii), Code 19, Par. M</w:t>
            </w:r>
            <w:r>
              <w:t>3</w:t>
            </w:r>
          </w:p>
        </w:tc>
      </w:tr>
      <w:tr w:rsidR="00013EB8">
        <w:trPr>
          <w:cantSplit/>
          <w:trHeight w:val="276"/>
        </w:trPr>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single" w:sz="4" w:space="0" w:color="auto"/>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Knee - Loss of Use or Anatomical Loss</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2D0754">
            <w:pPr>
              <w:widowControl w:val="0"/>
              <w:jc w:val="center"/>
              <w:rPr>
                <w:rFonts w:eastAsia="Arial Unicode MS"/>
              </w:rPr>
            </w:pPr>
            <w:r>
              <w:t>SMC (l</w:t>
            </w:r>
            <w:r w:rsidR="00013EB8">
              <w:t xml:space="preserve">1/2), </w:t>
            </w:r>
            <w:r>
              <w:t>3.350(f)(1)(i), Code 18, Par. L</w:t>
            </w:r>
            <w:r w:rsidR="00013EB8">
              <w:t>2</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rPr>
            </w:pPr>
            <w:r>
              <w:t xml:space="preserve">SMC (m), 3.350(c)(1)(ii), Code 07, </w:t>
            </w:r>
            <w:r w:rsidR="002D0754">
              <w:t>Par. M</w:t>
            </w:r>
            <w:r>
              <w:t>2</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rsidP="002D0754">
            <w:pPr>
              <w:widowControl w:val="0"/>
              <w:jc w:val="center"/>
              <w:rPr>
                <w:rFonts w:eastAsia="Arial Unicode MS"/>
              </w:rPr>
            </w:pPr>
            <w:r>
              <w:t xml:space="preserve">SMC (m1/2), </w:t>
            </w:r>
            <w:r w:rsidR="002D0754">
              <w:t>3.350(f)(1)(v), Code 20, Par. M</w:t>
            </w:r>
            <w:r>
              <w:t>4</w:t>
            </w: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i/>
                <w:iCs/>
                <w:sz w:val="24"/>
                <w:szCs w:val="24"/>
              </w:rPr>
            </w:pPr>
            <w:r>
              <w:rPr>
                <w:i/>
                <w:iCs/>
              </w:rPr>
              <w:t>Hip - Anatomical Loss</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rPr>
                <w:rFonts w:eastAsia="Arial Unicode MS"/>
              </w:rPr>
            </w:pPr>
            <w:r>
              <w:t>SMC (m), 3</w:t>
            </w:r>
            <w:r w:rsidR="002D0754">
              <w:t>.350(f)(1)(ii), Code 19, Par. M</w:t>
            </w:r>
            <w:r>
              <w:t>3</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2D0754">
            <w:pPr>
              <w:widowControl w:val="0"/>
              <w:jc w:val="center"/>
              <w:rPr>
                <w:rFonts w:eastAsia="Arial Unicode MS"/>
              </w:rPr>
            </w:pPr>
            <w:r>
              <w:t>SMC (m</w:t>
            </w:r>
            <w:r w:rsidR="00013EB8">
              <w:t xml:space="preserve">1/2), </w:t>
            </w:r>
            <w:r>
              <w:t>3.350(f)(1)(v), Code 20, Par. M</w:t>
            </w:r>
            <w:r w:rsidR="00013EB8">
              <w:t>4</w:t>
            </w:r>
          </w:p>
        </w:tc>
        <w:tc>
          <w:tcPr>
            <w:tcW w:w="2380" w:type="dxa"/>
            <w:vMerge w:val="restart"/>
            <w:tcBorders>
              <w:top w:val="nil"/>
              <w:left w:val="single" w:sz="4" w:space="0" w:color="auto"/>
              <w:bottom w:val="single" w:sz="4" w:space="0" w:color="auto"/>
              <w:right w:val="single" w:sz="4" w:space="0" w:color="auto"/>
            </w:tcBorders>
            <w:tcMar>
              <w:top w:w="13" w:type="dxa"/>
              <w:left w:w="13" w:type="dxa"/>
              <w:bottom w:w="0" w:type="dxa"/>
              <w:right w:w="13" w:type="dxa"/>
            </w:tcMar>
            <w:vAlign w:val="center"/>
          </w:tcPr>
          <w:p w:rsidR="00013EB8" w:rsidRDefault="00013EB8">
            <w:pPr>
              <w:widowControl w:val="0"/>
              <w:jc w:val="center"/>
            </w:pPr>
            <w:r>
              <w:t>SMC (n), 3.350(d)(2),</w:t>
            </w:r>
          </w:p>
          <w:p w:rsidR="00013EB8" w:rsidRDefault="002D0754">
            <w:pPr>
              <w:widowControl w:val="0"/>
              <w:jc w:val="center"/>
              <w:rPr>
                <w:rFonts w:eastAsia="Arial Unicode MS"/>
              </w:rPr>
            </w:pPr>
            <w:r>
              <w:t>Code 11, Par. N</w:t>
            </w:r>
            <w:r w:rsidR="00013EB8">
              <w:t>2</w:t>
            </w: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cantSplit/>
          <w:trHeight w:val="276"/>
        </w:trPr>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i/>
                <w:iCs/>
                <w:sz w:val="24"/>
                <w:szCs w:val="24"/>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c>
          <w:tcPr>
            <w:tcW w:w="0" w:type="auto"/>
            <w:vMerge/>
            <w:tcBorders>
              <w:top w:val="nil"/>
              <w:left w:val="single" w:sz="4" w:space="0" w:color="auto"/>
              <w:bottom w:val="single" w:sz="4" w:space="0" w:color="auto"/>
              <w:right w:val="single" w:sz="4" w:space="0" w:color="auto"/>
            </w:tcBorders>
            <w:vAlign w:val="center"/>
          </w:tcPr>
          <w:p w:rsidR="00013EB8" w:rsidRDefault="00013EB8">
            <w:pPr>
              <w:widowControl w:val="0"/>
              <w:rPr>
                <w:rFonts w:eastAsia="Arial Unicode MS"/>
              </w:rPr>
            </w:pPr>
          </w:p>
        </w:tc>
      </w:tr>
      <w:tr w:rsidR="00013EB8">
        <w:trPr>
          <w:trHeight w:val="255"/>
        </w:trPr>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rPr>
                <w:rFonts w:eastAsia="Arial Unicode MS"/>
              </w:rPr>
            </w:pPr>
          </w:p>
        </w:tc>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rPr>
                <w:rFonts w:eastAsia="Arial Unicode MS"/>
              </w:rPr>
            </w:pPr>
          </w:p>
        </w:tc>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rPr>
                <w:rFonts w:eastAsia="Arial Unicode MS"/>
              </w:rPr>
            </w:pPr>
          </w:p>
        </w:tc>
        <w:tc>
          <w:tcPr>
            <w:tcW w:w="0" w:type="auto"/>
            <w:tcBorders>
              <w:top w:val="nil"/>
              <w:left w:val="nil"/>
              <w:bottom w:val="nil"/>
              <w:right w:val="nil"/>
            </w:tcBorders>
            <w:noWrap/>
            <w:tcMar>
              <w:top w:w="13" w:type="dxa"/>
              <w:left w:w="13" w:type="dxa"/>
              <w:bottom w:w="0" w:type="dxa"/>
              <w:right w:w="13" w:type="dxa"/>
            </w:tcMar>
            <w:vAlign w:val="bottom"/>
          </w:tcPr>
          <w:p w:rsidR="00013EB8" w:rsidRDefault="00013EB8">
            <w:pPr>
              <w:widowControl w:val="0"/>
              <w:rPr>
                <w:rFonts w:eastAsia="Arial Unicode MS"/>
              </w:rPr>
            </w:pPr>
          </w:p>
        </w:tc>
      </w:tr>
      <w:tr w:rsidR="00013EB8">
        <w:trPr>
          <w:trHeight w:val="255"/>
        </w:trPr>
        <w:tc>
          <w:tcPr>
            <w:tcW w:w="0" w:type="auto"/>
            <w:gridSpan w:val="4"/>
            <w:tcBorders>
              <w:top w:val="nil"/>
              <w:left w:val="nil"/>
              <w:bottom w:val="nil"/>
              <w:right w:val="nil"/>
            </w:tcBorders>
            <w:noWrap/>
            <w:tcMar>
              <w:top w:w="13" w:type="dxa"/>
              <w:left w:w="13" w:type="dxa"/>
              <w:bottom w:w="0" w:type="dxa"/>
              <w:right w:w="13" w:type="dxa"/>
            </w:tcMar>
            <w:vAlign w:val="bottom"/>
          </w:tcPr>
          <w:p w:rsidR="00013EB8" w:rsidRDefault="00013EB8">
            <w:pPr>
              <w:widowControl w:val="0"/>
              <w:rPr>
                <w:rFonts w:eastAsia="Arial Unicode MS"/>
              </w:rPr>
            </w:pPr>
            <w:r>
              <w:t xml:space="preserve">*  3.350(f)(1)(iv) allows SMC (m) for loss or loss of use of one foot with loss of use of one arm at the shoulder.  </w:t>
            </w:r>
          </w:p>
        </w:tc>
      </w:tr>
      <w:tr w:rsidR="00013EB8">
        <w:trPr>
          <w:trHeight w:val="67"/>
        </w:trPr>
        <w:tc>
          <w:tcPr>
            <w:tcW w:w="0" w:type="auto"/>
            <w:gridSpan w:val="4"/>
            <w:tcBorders>
              <w:top w:val="nil"/>
              <w:left w:val="nil"/>
              <w:bottom w:val="nil"/>
              <w:right w:val="nil"/>
            </w:tcBorders>
            <w:noWrap/>
            <w:tcMar>
              <w:top w:w="13" w:type="dxa"/>
              <w:left w:w="13" w:type="dxa"/>
              <w:bottom w:w="0" w:type="dxa"/>
              <w:right w:w="13" w:type="dxa"/>
            </w:tcMar>
            <w:vAlign w:val="bottom"/>
          </w:tcPr>
          <w:p w:rsidR="00013EB8" w:rsidRDefault="00013EB8">
            <w:pPr>
              <w:widowControl w:val="0"/>
              <w:rPr>
                <w:rFonts w:eastAsia="Arial Unicode MS"/>
              </w:rPr>
            </w:pPr>
            <w:r>
              <w:t>In all other cases, loss of use of the shoulder or hip is treated as loss of use at the elbow or knee.</w:t>
            </w:r>
          </w:p>
        </w:tc>
      </w:tr>
    </w:tbl>
    <w:p w:rsidR="00013EB8" w:rsidRDefault="00013EB8">
      <w:pPr>
        <w:pStyle w:val="Caption"/>
        <w:widowControl w:val="0"/>
        <w:rPr>
          <w:b w:val="0"/>
          <w:bCs w:val="0"/>
          <w:sz w:val="18"/>
        </w:rPr>
      </w:pPr>
    </w:p>
    <w:p w:rsidR="00013EB8" w:rsidRDefault="00013EB8">
      <w:pPr>
        <w:widowControl w:val="0"/>
        <w:pBdr>
          <w:top w:val="single" w:sz="4" w:space="1" w:color="auto"/>
        </w:pBdr>
        <w:rPr>
          <w:b/>
          <w:bCs/>
          <w:i/>
          <w:iCs/>
        </w:rPr>
      </w:pPr>
      <w:bookmarkStart w:id="165" w:name="SMCExamples"/>
    </w:p>
    <w:p w:rsidR="00013EB8" w:rsidRDefault="00013EB8">
      <w:pPr>
        <w:widowControl w:val="0"/>
        <w:pBdr>
          <w:top w:val="single" w:sz="4" w:space="1" w:color="auto"/>
        </w:pBdr>
        <w:rPr>
          <w:b/>
          <w:bCs/>
          <w:i/>
          <w:iCs/>
        </w:rPr>
      </w:pPr>
      <w:r>
        <w:rPr>
          <w:b/>
          <w:bCs/>
          <w:i/>
          <w:iCs/>
        </w:rPr>
        <w:t xml:space="preserve">Examples from Jeff’s </w:t>
      </w:r>
      <w:r w:rsidR="001421FA">
        <w:rPr>
          <w:b/>
          <w:bCs/>
          <w:i/>
          <w:iCs/>
        </w:rPr>
        <w:t>T</w:t>
      </w:r>
      <w:r>
        <w:rPr>
          <w:b/>
          <w:bCs/>
          <w:i/>
          <w:iCs/>
        </w:rPr>
        <w:t>raining:</w:t>
      </w:r>
    </w:p>
    <w:bookmarkEnd w:id="165"/>
    <w:p w:rsidR="00013EB8" w:rsidRDefault="00013EB8">
      <w:pPr>
        <w:widowControl w:val="0"/>
        <w:rPr>
          <w:i/>
          <w:iCs/>
        </w:rPr>
      </w:pPr>
    </w:p>
    <w:p w:rsidR="00013EB8" w:rsidRDefault="00013EB8">
      <w:pPr>
        <w:widowControl w:val="0"/>
        <w:spacing w:after="120"/>
        <w:rPr>
          <w:i/>
          <w:iCs/>
        </w:rPr>
      </w:pPr>
      <w:r>
        <w:rPr>
          <w:i/>
          <w:iCs/>
        </w:rPr>
        <w:t>Part I, SMC:</w:t>
      </w:r>
    </w:p>
    <w:p w:rsidR="00013EB8" w:rsidRDefault="00013EB8" w:rsidP="00691877">
      <w:pPr>
        <w:widowControl w:val="0"/>
        <w:numPr>
          <w:ilvl w:val="0"/>
          <w:numId w:val="39"/>
        </w:numPr>
        <w:tabs>
          <w:tab w:val="clear" w:pos="720"/>
          <w:tab w:val="num" w:pos="400"/>
        </w:tabs>
        <w:spacing w:after="120"/>
        <w:ind w:left="400"/>
      </w:pPr>
      <w:r>
        <w:t>A&amp;A due to SC renal failure on dialysis at 100%</w:t>
      </w:r>
      <w:r w:rsidR="002D0754">
        <w:t xml:space="preserve"> = SMC L, 03/48/00/00/4, Par. L</w:t>
      </w:r>
      <w:r>
        <w:t>1</w:t>
      </w:r>
    </w:p>
    <w:p w:rsidR="00013EB8" w:rsidRDefault="00013EB8" w:rsidP="00691877">
      <w:pPr>
        <w:widowControl w:val="0"/>
        <w:numPr>
          <w:ilvl w:val="0"/>
          <w:numId w:val="39"/>
        </w:numPr>
        <w:tabs>
          <w:tab w:val="clear" w:pos="720"/>
          <w:tab w:val="num" w:pos="400"/>
        </w:tabs>
        <w:spacing w:after="120"/>
        <w:ind w:left="400"/>
      </w:pPr>
      <w:r>
        <w:t>A&amp;A due to SC MS at 100% with LOU of both feet = SMC L, 03/03/24/00/0, Par. L1</w:t>
      </w:r>
    </w:p>
    <w:p w:rsidR="00013EB8" w:rsidRDefault="00013EB8" w:rsidP="00691877">
      <w:pPr>
        <w:widowControl w:val="0"/>
        <w:numPr>
          <w:ilvl w:val="0"/>
          <w:numId w:val="39"/>
        </w:numPr>
        <w:tabs>
          <w:tab w:val="clear" w:pos="720"/>
          <w:tab w:val="num" w:pos="400"/>
        </w:tabs>
        <w:spacing w:after="120"/>
        <w:ind w:left="400"/>
      </w:pPr>
      <w:r>
        <w:t>A&amp;A due to SC CAD, plus SC ED with LOU of a creative organ =</w:t>
      </w:r>
      <w:r w:rsidR="002D0754">
        <w:t xml:space="preserve"> SMC L+K, 04/49/00/00/5, Par. L</w:t>
      </w:r>
      <w:r>
        <w:t>1 &amp; Par. K</w:t>
      </w:r>
    </w:p>
    <w:p w:rsidR="00013EB8" w:rsidRDefault="00013EB8" w:rsidP="00691877">
      <w:pPr>
        <w:widowControl w:val="0"/>
        <w:numPr>
          <w:ilvl w:val="0"/>
          <w:numId w:val="39"/>
        </w:numPr>
        <w:tabs>
          <w:tab w:val="clear" w:pos="720"/>
          <w:tab w:val="num" w:pos="400"/>
        </w:tabs>
        <w:spacing w:after="120"/>
        <w:ind w:left="400"/>
      </w:pPr>
      <w:r>
        <w:t>A&amp;A due to DM (40%), retinopathy (70%), nephropathy (60%) and R BKA, all of which combines to 100% = SMC L, 03/49/00/13/4, Par. L &amp; Par. K (add the sentence in the “SMC Paragraph” that says “Not payable concurrently with SMC under subsection (l)”)</w:t>
      </w:r>
    </w:p>
    <w:p w:rsidR="00013EB8" w:rsidRDefault="00013EB8" w:rsidP="00691877">
      <w:pPr>
        <w:widowControl w:val="0"/>
        <w:numPr>
          <w:ilvl w:val="0"/>
          <w:numId w:val="39"/>
        </w:numPr>
        <w:tabs>
          <w:tab w:val="clear" w:pos="720"/>
          <w:tab w:val="num" w:pos="400"/>
        </w:tabs>
        <w:spacing w:after="120"/>
        <w:ind w:left="400"/>
      </w:pPr>
      <w:r>
        <w:t>Anatomical loss of both feet (100%), prostate cancer with prostatectomy (100% with future exam) &amp; OSA (50%) = SMC L1/2 + K, 24/24/00/24/1</w:t>
      </w:r>
    </w:p>
    <w:p w:rsidR="00013EB8" w:rsidRDefault="00013EB8" w:rsidP="00691877">
      <w:pPr>
        <w:widowControl w:val="0"/>
        <w:numPr>
          <w:ilvl w:val="0"/>
          <w:numId w:val="39"/>
        </w:numPr>
        <w:tabs>
          <w:tab w:val="clear" w:pos="720"/>
          <w:tab w:val="num" w:pos="400"/>
        </w:tabs>
        <w:spacing w:after="120"/>
        <w:ind w:left="400"/>
      </w:pPr>
      <w:r>
        <w:t>A&amp;A due to CAD (100%), plus has asthma (100%) &amp; PTSD (50%) = SMC M, 19/48/00/00/4</w:t>
      </w:r>
    </w:p>
    <w:p w:rsidR="00013EB8" w:rsidRDefault="00013EB8" w:rsidP="00691877">
      <w:pPr>
        <w:widowControl w:val="0"/>
        <w:numPr>
          <w:ilvl w:val="0"/>
          <w:numId w:val="39"/>
        </w:numPr>
        <w:tabs>
          <w:tab w:val="clear" w:pos="720"/>
          <w:tab w:val="num" w:pos="400"/>
        </w:tabs>
        <w:spacing w:after="120"/>
        <w:ind w:left="400"/>
      </w:pPr>
      <w:r>
        <w:t>LOU of left hand &amp; left foot (100%), plus A&amp;A due to heart disease with CHF (100%) = SMC R1 (L for LOU, plus L for A&amp;A = O = R1), 51/07/25/00/4</w:t>
      </w:r>
    </w:p>
    <w:p w:rsidR="00013EB8" w:rsidRDefault="00013EB8" w:rsidP="00691877">
      <w:pPr>
        <w:widowControl w:val="0"/>
        <w:numPr>
          <w:ilvl w:val="0"/>
          <w:numId w:val="39"/>
        </w:numPr>
        <w:tabs>
          <w:tab w:val="clear" w:pos="720"/>
          <w:tab w:val="num" w:pos="400"/>
        </w:tabs>
        <w:spacing w:after="120"/>
        <w:ind w:left="400"/>
      </w:pPr>
      <w:r>
        <w:t>Anatomical loss of both feet (100%), A&amp;A due to dementia (100%) with need for administration of injection and physical therapy, DM with ED (40%), lumbar strain (40%) = SMC R2 (L for anatomical loss of both feet, plus M+A&amp;A for dementia = O, plus K for ED, ½ step for additional 50%), 57/26/00/24/5</w:t>
      </w:r>
    </w:p>
    <w:p w:rsidR="00013EB8" w:rsidRDefault="00013EB8" w:rsidP="00691877">
      <w:pPr>
        <w:widowControl w:val="0"/>
        <w:numPr>
          <w:ilvl w:val="0"/>
          <w:numId w:val="39"/>
        </w:numPr>
        <w:tabs>
          <w:tab w:val="clear" w:pos="720"/>
          <w:tab w:val="num" w:pos="400"/>
        </w:tabs>
        <w:spacing w:after="120"/>
        <w:ind w:left="400"/>
      </w:pPr>
      <w:r>
        <w:t>Anatomical loss of both feet (100%), anatomical loss of right hand (60%) = SMC M+K (L for anatomical loss of both feet, ½ step &amp; K for 3</w:t>
      </w:r>
      <w:r>
        <w:rPr>
          <w:vertAlign w:val="superscript"/>
        </w:rPr>
        <w:t>rd</w:t>
      </w:r>
      <w:r>
        <w:t xml:space="preserve"> extremity, ½ step for additional 50%), 25/25/00/31/0</w:t>
      </w:r>
    </w:p>
    <w:p w:rsidR="00013EB8" w:rsidRDefault="00013EB8" w:rsidP="00691877">
      <w:pPr>
        <w:widowControl w:val="0"/>
        <w:numPr>
          <w:ilvl w:val="0"/>
          <w:numId w:val="39"/>
        </w:numPr>
        <w:tabs>
          <w:tab w:val="clear" w:pos="720"/>
          <w:tab w:val="num" w:pos="400"/>
        </w:tabs>
        <w:spacing w:after="120"/>
        <w:ind w:left="400"/>
      </w:pPr>
      <w:r>
        <w:t>Anatomical loss of both hands (100%), anatomical loss of left foot (40%), hypertension (20%) = SMC N+K (M for hands, ½ step &amp; K for 3</w:t>
      </w:r>
      <w:r>
        <w:rPr>
          <w:vertAlign w:val="superscript"/>
        </w:rPr>
        <w:t>rd</w:t>
      </w:r>
      <w:r>
        <w:t xml:space="preserve"> extremity, ½ step for additional 50%), 27/27/00/32/0</w:t>
      </w:r>
    </w:p>
    <w:p w:rsidR="00013EB8" w:rsidRDefault="00013EB8">
      <w:pPr>
        <w:pStyle w:val="Header"/>
        <w:widowControl w:val="0"/>
        <w:tabs>
          <w:tab w:val="clear" w:pos="4320"/>
          <w:tab w:val="clear" w:pos="8640"/>
        </w:tabs>
      </w:pPr>
    </w:p>
    <w:p w:rsidR="00013EB8" w:rsidRDefault="00013EB8">
      <w:pPr>
        <w:widowControl w:val="0"/>
        <w:spacing w:after="120"/>
        <w:rPr>
          <w:i/>
          <w:iCs/>
        </w:rPr>
      </w:pPr>
      <w:r>
        <w:rPr>
          <w:i/>
          <w:iCs/>
        </w:rPr>
        <w:t>Part II, Loss or Loss of Use of Two or More Extremities:</w:t>
      </w:r>
    </w:p>
    <w:p w:rsidR="00013EB8" w:rsidRDefault="00013EB8" w:rsidP="00691877">
      <w:pPr>
        <w:widowControl w:val="0"/>
        <w:numPr>
          <w:ilvl w:val="0"/>
          <w:numId w:val="38"/>
        </w:numPr>
        <w:tabs>
          <w:tab w:val="clear" w:pos="720"/>
          <w:tab w:val="left" w:pos="400"/>
        </w:tabs>
        <w:spacing w:after="120"/>
        <w:ind w:left="400"/>
      </w:pPr>
      <w:r>
        <w:t xml:space="preserve">DM (20%) with secondary transmetatarsal amputation of the right foot and above the knee amputation of the left leg = </w:t>
      </w:r>
      <w:r w:rsidR="002D0754">
        <w:t>SMC L1/2, 18/18/00/24/0, Par. L</w:t>
      </w:r>
      <w:r>
        <w:t>2</w:t>
      </w:r>
    </w:p>
    <w:p w:rsidR="00013EB8" w:rsidRDefault="00013EB8" w:rsidP="00691877">
      <w:pPr>
        <w:widowControl w:val="0"/>
        <w:numPr>
          <w:ilvl w:val="0"/>
          <w:numId w:val="38"/>
        </w:numPr>
        <w:tabs>
          <w:tab w:val="clear" w:pos="720"/>
          <w:tab w:val="left" w:pos="400"/>
        </w:tabs>
        <w:spacing w:after="120"/>
        <w:ind w:left="400"/>
      </w:pPr>
      <w:r>
        <w:t xml:space="preserve">Anatomical loss of the right hip without prosthesis, and paralysis of the external popliteal nerve with left foot drop = SMC M </w:t>
      </w:r>
      <w:r w:rsidR="002D0754">
        <w:t>(from P), 07/07/12/12/0, Par. M</w:t>
      </w:r>
      <w:r>
        <w:t>1</w:t>
      </w:r>
    </w:p>
    <w:p w:rsidR="00013EB8" w:rsidRDefault="00013EB8" w:rsidP="00691877">
      <w:pPr>
        <w:widowControl w:val="0"/>
        <w:numPr>
          <w:ilvl w:val="0"/>
          <w:numId w:val="38"/>
        </w:numPr>
        <w:tabs>
          <w:tab w:val="clear" w:pos="720"/>
          <w:tab w:val="left" w:pos="400"/>
        </w:tabs>
        <w:spacing w:after="120"/>
        <w:ind w:left="400"/>
      </w:pPr>
      <w:r>
        <w:t>Residuals of cold injuries with anatomical loss of the thumb, index, middle and little fingers of the right hand, and peripheral neuropathy of the left upper extremity with inability to grasp and manipulate objects</w:t>
      </w:r>
      <w:r w:rsidR="002D0754">
        <w:t xml:space="preserve"> = SMC M, 07/07/12/12/0, Par. M</w:t>
      </w:r>
      <w:r>
        <w:t>1</w:t>
      </w:r>
    </w:p>
    <w:p w:rsidR="00013EB8" w:rsidRDefault="00013EB8" w:rsidP="00691877">
      <w:pPr>
        <w:widowControl w:val="0"/>
        <w:numPr>
          <w:ilvl w:val="0"/>
          <w:numId w:val="38"/>
        </w:numPr>
        <w:tabs>
          <w:tab w:val="clear" w:pos="720"/>
          <w:tab w:val="left" w:pos="400"/>
        </w:tabs>
        <w:spacing w:after="120"/>
        <w:ind w:left="400"/>
      </w:pPr>
      <w:r>
        <w:t>Extremely unfavorable ankylosis of the right wrist and anatomical loss above the left elbow =</w:t>
      </w:r>
      <w:r w:rsidR="002D0754">
        <w:t xml:space="preserve"> SMC M ½, 20/20/12/12/0, Par. M</w:t>
      </w:r>
      <w:r>
        <w:t>5</w:t>
      </w:r>
    </w:p>
    <w:p w:rsidR="00013EB8" w:rsidRDefault="00013EB8" w:rsidP="00691877">
      <w:pPr>
        <w:widowControl w:val="0"/>
        <w:numPr>
          <w:ilvl w:val="0"/>
          <w:numId w:val="38"/>
        </w:numPr>
        <w:tabs>
          <w:tab w:val="clear" w:pos="720"/>
          <w:tab w:val="left" w:pos="400"/>
        </w:tabs>
        <w:spacing w:after="120"/>
        <w:ind w:left="400"/>
      </w:pPr>
      <w:r>
        <w:t>Left shoulder amputation and right below the knee amputation with no prosthesis/natural knee actio</w:t>
      </w:r>
      <w:r w:rsidR="002D0754">
        <w:t>n = M1/2, 20/20/00/25/0, Par. M</w:t>
      </w:r>
      <w:r>
        <w:t>4</w:t>
      </w:r>
    </w:p>
    <w:p w:rsidR="00013EB8" w:rsidRDefault="00013EB8" w:rsidP="00691877">
      <w:pPr>
        <w:widowControl w:val="0"/>
        <w:numPr>
          <w:ilvl w:val="0"/>
          <w:numId w:val="38"/>
        </w:numPr>
        <w:tabs>
          <w:tab w:val="clear" w:pos="720"/>
          <w:tab w:val="left" w:pos="400"/>
        </w:tabs>
        <w:spacing w:after="120"/>
        <w:ind w:left="400"/>
      </w:pPr>
      <w:r>
        <w:t>DM (20%) with residual stroke with LOU of right upper and lower extremities (100%) = SMC M (loss of use of the whole extremity is equivalent to the knee/elbo</w:t>
      </w:r>
      <w:r w:rsidR="002D0754">
        <w:t>w level), 07/07/25/00/0, Par. M</w:t>
      </w:r>
      <w:r>
        <w:t>2</w:t>
      </w:r>
    </w:p>
    <w:p w:rsidR="00013EB8" w:rsidRDefault="00013EB8" w:rsidP="00691877">
      <w:pPr>
        <w:widowControl w:val="0"/>
        <w:numPr>
          <w:ilvl w:val="0"/>
          <w:numId w:val="38"/>
        </w:numPr>
        <w:tabs>
          <w:tab w:val="clear" w:pos="720"/>
          <w:tab w:val="left" w:pos="400"/>
        </w:tabs>
        <w:spacing w:after="120"/>
        <w:ind w:left="400"/>
      </w:pPr>
      <w:r>
        <w:t>Same as above, plus PTSD (50%), temp 100% for hospitalization with amputation of left toes without metatarsal loss = SMC M1/2, 20/20/25/00/0</w:t>
      </w:r>
    </w:p>
    <w:p w:rsidR="00013EB8" w:rsidRDefault="00013EB8" w:rsidP="00691877">
      <w:pPr>
        <w:widowControl w:val="0"/>
        <w:numPr>
          <w:ilvl w:val="0"/>
          <w:numId w:val="38"/>
        </w:numPr>
        <w:tabs>
          <w:tab w:val="clear" w:pos="720"/>
          <w:tab w:val="left" w:pos="400"/>
        </w:tabs>
        <w:spacing w:after="120"/>
        <w:ind w:left="400"/>
      </w:pPr>
      <w:r>
        <w:t>Same as above, plus left below the knee amputation with prosthesis allowing natural knee action = SMC N+K (from P), 27/27/25/13/0</w:t>
      </w:r>
    </w:p>
    <w:p w:rsidR="00013EB8" w:rsidRDefault="00013EB8" w:rsidP="00691877">
      <w:pPr>
        <w:widowControl w:val="0"/>
        <w:numPr>
          <w:ilvl w:val="0"/>
          <w:numId w:val="38"/>
        </w:numPr>
        <w:tabs>
          <w:tab w:val="clear" w:pos="720"/>
          <w:tab w:val="left" w:pos="400"/>
        </w:tabs>
        <w:spacing w:after="120"/>
        <w:ind w:left="400"/>
      </w:pPr>
      <w:r>
        <w:t>3 amputations:  right arm above the elbow &amp; left hand above the wrist (100% for anatomical loss of both hands), plus right leg above the knee (60%) = SMC N1/2+K, 28/28/00/32/0</w:t>
      </w:r>
    </w:p>
    <w:p w:rsidR="00013EB8" w:rsidRDefault="00013EB8" w:rsidP="00691877">
      <w:pPr>
        <w:widowControl w:val="0"/>
        <w:numPr>
          <w:ilvl w:val="0"/>
          <w:numId w:val="38"/>
        </w:numPr>
        <w:tabs>
          <w:tab w:val="clear" w:pos="720"/>
          <w:tab w:val="left" w:pos="400"/>
        </w:tabs>
        <w:spacing w:after="120"/>
        <w:ind w:left="400"/>
      </w:pPr>
      <w:r>
        <w:t xml:space="preserve">Same as above, now needs A&amp;A due to amputations = R1 (N1/2 + K + R1 A&amp;A), 43/28/00/32/4; </w:t>
      </w:r>
      <w:r>
        <w:rPr>
          <w:i/>
          <w:iCs/>
        </w:rPr>
        <w:t>can’t use R1 code because A&amp;A is due to amputations</w:t>
      </w:r>
    </w:p>
    <w:p w:rsidR="004047EF" w:rsidRPr="004047EF" w:rsidRDefault="00013EB8" w:rsidP="00691877">
      <w:pPr>
        <w:widowControl w:val="0"/>
        <w:numPr>
          <w:ilvl w:val="0"/>
          <w:numId w:val="38"/>
        </w:numPr>
        <w:tabs>
          <w:tab w:val="clear" w:pos="720"/>
          <w:tab w:val="left" w:pos="400"/>
        </w:tabs>
        <w:spacing w:after="120"/>
        <w:ind w:left="400"/>
        <w:rPr>
          <w:i/>
          <w:iCs/>
        </w:rPr>
      </w:pPr>
      <w:r>
        <w:t xml:space="preserve">Same as 9, now needs A&amp;A due to CAD (100%) = R1 (N1/2 + R1 A&amp;A), 55/37/00/32/4, </w:t>
      </w:r>
      <w:r>
        <w:rPr>
          <w:i/>
          <w:iCs/>
        </w:rPr>
        <w:t>now at R1 code because at O due to N1/2 for amputation</w:t>
      </w:r>
      <w:r w:rsidR="004047EF">
        <w:rPr>
          <w:i/>
          <w:iCs/>
        </w:rPr>
        <w:t>s and separate L for A&amp;A for CAD</w:t>
      </w:r>
    </w:p>
    <w:p w:rsidR="004047EF" w:rsidRDefault="004047EF" w:rsidP="004047EF">
      <w:pPr>
        <w:pStyle w:val="Caption"/>
        <w:widowControl w:val="0"/>
        <w:rPr>
          <w:b w:val="0"/>
          <w:bCs w:val="0"/>
          <w:sz w:val="18"/>
        </w:rPr>
      </w:pPr>
    </w:p>
    <w:p w:rsidR="004047EF" w:rsidRDefault="004047EF" w:rsidP="004047EF">
      <w:pPr>
        <w:widowControl w:val="0"/>
        <w:pBdr>
          <w:top w:val="single" w:sz="4" w:space="1" w:color="auto"/>
        </w:pBdr>
        <w:rPr>
          <w:b/>
          <w:bCs/>
          <w:i/>
          <w:iCs/>
        </w:rPr>
      </w:pPr>
    </w:p>
    <w:p w:rsidR="004047EF" w:rsidRDefault="004047EF" w:rsidP="004047EF">
      <w:pPr>
        <w:widowControl w:val="0"/>
        <w:pBdr>
          <w:top w:val="single" w:sz="4" w:space="1" w:color="auto"/>
        </w:pBdr>
        <w:rPr>
          <w:b/>
          <w:bCs/>
          <w:i/>
          <w:iCs/>
        </w:rPr>
      </w:pPr>
      <w:r>
        <w:rPr>
          <w:b/>
          <w:bCs/>
          <w:i/>
          <w:iCs/>
        </w:rPr>
        <w:t xml:space="preserve">Examples from January 2015 </w:t>
      </w:r>
      <w:r w:rsidR="001421FA">
        <w:rPr>
          <w:b/>
          <w:bCs/>
          <w:i/>
          <w:iCs/>
        </w:rPr>
        <w:t>T</w:t>
      </w:r>
      <w:r>
        <w:rPr>
          <w:b/>
          <w:bCs/>
          <w:i/>
          <w:iCs/>
        </w:rPr>
        <w:t>raining:</w:t>
      </w:r>
    </w:p>
    <w:p w:rsidR="004047EF" w:rsidRDefault="004047EF" w:rsidP="004047EF">
      <w:pPr>
        <w:widowControl w:val="0"/>
        <w:pBdr>
          <w:top w:val="single" w:sz="4" w:space="1" w:color="auto"/>
        </w:pBdr>
        <w:rPr>
          <w:b/>
          <w:bCs/>
          <w:i/>
          <w:iCs/>
        </w:rPr>
      </w:pPr>
    </w:p>
    <w:p w:rsidR="004047EF" w:rsidRDefault="004047EF" w:rsidP="004047EF">
      <w:r>
        <w:t>L BKA + R AKA - these two = L 1/2 (actual example says L, 3.350(f)(1)(i)</w:t>
      </w:r>
    </w:p>
    <w:p w:rsidR="004047EF" w:rsidRDefault="004047EF" w:rsidP="004047EF">
      <w:r>
        <w:t>R hand LOU = K</w:t>
      </w:r>
    </w:p>
    <w:p w:rsidR="004047EF" w:rsidRDefault="004047EF" w:rsidP="004047EF">
      <w:r>
        <w:t>60% = 1/2 step</w:t>
      </w:r>
    </w:p>
    <w:p w:rsidR="004047EF" w:rsidRDefault="004047EF" w:rsidP="004047EF">
      <w:r>
        <w:t>triple loss = 1/2 step</w:t>
      </w:r>
    </w:p>
    <w:p w:rsidR="004047EF" w:rsidRDefault="004047EF" w:rsidP="004047EF">
      <w:r>
        <w:t>= M 1/2 + K</w:t>
      </w:r>
    </w:p>
    <w:p w:rsidR="004047EF" w:rsidRDefault="004047EF" w:rsidP="004047EF"/>
    <w:p w:rsidR="004047EF" w:rsidRDefault="004047EF" w:rsidP="004047EF">
      <w:r>
        <w:t>L leg above the knee + R leg above the knee = M</w:t>
      </w:r>
    </w:p>
    <w:p w:rsidR="004047EF" w:rsidRDefault="004047EF" w:rsidP="004047EF"/>
    <w:p w:rsidR="004047EF" w:rsidRDefault="004047EF" w:rsidP="004047EF">
      <w:r>
        <w:t>CAD 100% (need A&amp;A) = L</w:t>
      </w:r>
    </w:p>
    <w:p w:rsidR="004047EF" w:rsidRDefault="004047EF" w:rsidP="004047EF">
      <w:r>
        <w:t>Parkinson</w:t>
      </w:r>
      <w:r w:rsidR="00E21CCE">
        <w:t>’</w:t>
      </w:r>
      <w:r>
        <w:t>s with BLE LOU = L</w:t>
      </w:r>
    </w:p>
    <w:p w:rsidR="004047EF" w:rsidRDefault="004047EF" w:rsidP="004047EF">
      <w:r>
        <w:t>= O = R1</w:t>
      </w:r>
    </w:p>
    <w:p w:rsidR="004047EF" w:rsidRDefault="004047EF" w:rsidP="004047EF"/>
    <w:p w:rsidR="004047EF" w:rsidRDefault="004047EF" w:rsidP="004047EF">
      <w:r>
        <w:t>both hands = M</w:t>
      </w:r>
    </w:p>
    <w:p w:rsidR="004047EF" w:rsidRDefault="004047EF" w:rsidP="004047EF">
      <w:r>
        <w:t>both feet = L</w:t>
      </w:r>
    </w:p>
    <w:p w:rsidR="004047EF" w:rsidRDefault="004047EF" w:rsidP="004047EF">
      <w:r>
        <w:t>= O (likely needs A&amp;A = R1)</w:t>
      </w:r>
    </w:p>
    <w:p w:rsidR="004047EF" w:rsidRDefault="004047EF" w:rsidP="004047EF"/>
    <w:p w:rsidR="004047EF" w:rsidRDefault="004047EF" w:rsidP="004047EF">
      <w:r>
        <w:t>BLE LOU = L</w:t>
      </w:r>
    </w:p>
    <w:p w:rsidR="004047EF" w:rsidRDefault="004047EF" w:rsidP="004047EF">
      <w:r>
        <w:t>50% = L 1/2 (P)</w:t>
      </w:r>
    </w:p>
    <w:p w:rsidR="004047EF" w:rsidRDefault="004047EF" w:rsidP="004047EF"/>
    <w:p w:rsidR="004047EF" w:rsidRDefault="004047EF" w:rsidP="004047EF">
      <w:pPr>
        <w:widowControl w:val="0"/>
        <w:pBdr>
          <w:top w:val="single" w:sz="4" w:space="1" w:color="auto"/>
        </w:pBdr>
        <w:rPr>
          <w:b/>
          <w:bCs/>
          <w:i/>
          <w:iCs/>
        </w:rPr>
      </w:pPr>
    </w:p>
    <w:p w:rsidR="00013EB8" w:rsidRDefault="00013EB8">
      <w:pPr>
        <w:pStyle w:val="Caption"/>
        <w:widowControl w:val="0"/>
        <w:pBdr>
          <w:top w:val="double" w:sz="4" w:space="1" w:color="auto"/>
        </w:pBdr>
        <w:rPr>
          <w:b w:val="0"/>
          <w:bCs w:val="0"/>
          <w:sz w:val="18"/>
        </w:rPr>
      </w:pPr>
      <w:r>
        <w:rPr>
          <w:b w:val="0"/>
          <w:bCs w:val="0"/>
          <w:sz w:val="18"/>
        </w:rPr>
        <w:br w:type="page"/>
      </w:r>
    </w:p>
    <w:p w:rsidR="004D429B" w:rsidRDefault="004D429B" w:rsidP="004D429B">
      <w:pPr>
        <w:pStyle w:val="Caption"/>
        <w:widowControl w:val="0"/>
        <w:pBdr>
          <w:top w:val="double" w:sz="4" w:space="1" w:color="auto"/>
        </w:pBdr>
      </w:pPr>
      <w:bookmarkStart w:id="166" w:name="Family"/>
    </w:p>
    <w:p w:rsidR="00013EB8" w:rsidRDefault="00013EB8">
      <w:pPr>
        <w:pStyle w:val="Caption"/>
        <w:widowControl w:val="0"/>
      </w:pPr>
      <w:r>
        <w:t>FAMILY MEMBER RATINGS -</w:t>
      </w:r>
    </w:p>
    <w:bookmarkEnd w:id="166"/>
    <w:p w:rsidR="00013EB8" w:rsidRDefault="00013EB8">
      <w:pPr>
        <w:widowControl w:val="0"/>
        <w:tabs>
          <w:tab w:val="left" w:pos="0"/>
          <w:tab w:val="left" w:pos="144"/>
        </w:tabs>
        <w:rPr>
          <w:sz w:val="22"/>
        </w:rPr>
      </w:pPr>
    </w:p>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453DE5">
              <w:rPr>
                <w:b/>
              </w:rPr>
              <w:t>3.351</w:t>
            </w:r>
          </w:p>
        </w:tc>
        <w:tc>
          <w:tcPr>
            <w:tcW w:w="10270" w:type="dxa"/>
            <w:tcBorders>
              <w:top w:val="nil"/>
              <w:left w:val="nil"/>
              <w:bottom w:val="nil"/>
              <w:right w:val="nil"/>
            </w:tcBorders>
          </w:tcPr>
          <w:p w:rsidR="00013EB8" w:rsidRDefault="00013EB8">
            <w:pPr>
              <w:widowControl w:val="0"/>
              <w:numPr>
                <w:ilvl w:val="12"/>
                <w:numId w:val="0"/>
              </w:numPr>
              <w:spacing w:after="120"/>
            </w:pPr>
            <w:r>
              <w:rPr>
                <w:b/>
              </w:rPr>
              <w:t>Special monthly dependency and indemnity compensation, death compensation, pension and spouse’s compensation ratings</w:t>
            </w:r>
          </w:p>
          <w:p w:rsidR="00013EB8" w:rsidRDefault="00013EB8" w:rsidP="00F063AF">
            <w:pPr>
              <w:widowControl w:val="0"/>
              <w:numPr>
                <w:ilvl w:val="0"/>
                <w:numId w:val="89"/>
              </w:numPr>
              <w:tabs>
                <w:tab w:val="clear" w:pos="720"/>
                <w:tab w:val="num" w:pos="340"/>
              </w:tabs>
              <w:spacing w:after="120"/>
              <w:ind w:left="340"/>
              <w:rPr>
                <w:b/>
                <w:iCs/>
              </w:rPr>
            </w:pPr>
            <w:r w:rsidRPr="00453DE5">
              <w:rPr>
                <w:b/>
                <w:iCs/>
              </w:rPr>
              <w:t>3.401</w:t>
            </w:r>
            <w:r>
              <w:rPr>
                <w:b/>
                <w:iCs/>
              </w:rPr>
              <w:t>(a)</w:t>
            </w:r>
          </w:p>
          <w:p w:rsidR="00013EB8" w:rsidRDefault="00013EB8" w:rsidP="00F063AF">
            <w:pPr>
              <w:widowControl w:val="0"/>
              <w:numPr>
                <w:ilvl w:val="0"/>
                <w:numId w:val="89"/>
              </w:numPr>
              <w:tabs>
                <w:tab w:val="clear" w:pos="720"/>
                <w:tab w:val="num" w:pos="340"/>
              </w:tabs>
              <w:spacing w:after="120"/>
              <w:ind w:left="340"/>
              <w:rPr>
                <w:b/>
                <w:iCs/>
              </w:rPr>
            </w:pPr>
            <w:r w:rsidRPr="00453DE5">
              <w:rPr>
                <w:b/>
                <w:iCs/>
              </w:rPr>
              <w:t>3.402</w:t>
            </w:r>
            <w:r>
              <w:rPr>
                <w:b/>
                <w:iCs/>
              </w:rPr>
              <w:t>(c)</w:t>
            </w:r>
          </w:p>
          <w:p w:rsidR="00013EB8" w:rsidRDefault="00013EB8" w:rsidP="00F063AF">
            <w:pPr>
              <w:widowControl w:val="0"/>
              <w:numPr>
                <w:ilvl w:val="0"/>
                <w:numId w:val="89"/>
              </w:numPr>
              <w:tabs>
                <w:tab w:val="clear" w:pos="720"/>
                <w:tab w:val="num" w:pos="340"/>
              </w:tabs>
              <w:spacing w:after="120"/>
              <w:ind w:left="340"/>
              <w:rPr>
                <w:b/>
                <w:i/>
              </w:rPr>
            </w:pPr>
            <w:r w:rsidRPr="00453DE5">
              <w:rPr>
                <w:b/>
                <w:iCs/>
              </w:rPr>
              <w:t>3.404</w:t>
            </w:r>
          </w:p>
          <w:p w:rsidR="00013EB8" w:rsidRPr="004861FB" w:rsidRDefault="009D6313" w:rsidP="00F063AF">
            <w:pPr>
              <w:widowControl w:val="0"/>
              <w:numPr>
                <w:ilvl w:val="0"/>
                <w:numId w:val="89"/>
              </w:numPr>
              <w:tabs>
                <w:tab w:val="clear" w:pos="720"/>
                <w:tab w:val="num" w:pos="340"/>
              </w:tabs>
              <w:spacing w:after="120"/>
              <w:ind w:left="340"/>
              <w:rPr>
                <w:b/>
                <w:bCs/>
                <w:color w:val="0000FF"/>
              </w:rPr>
            </w:pPr>
            <w:r w:rsidRPr="004861FB">
              <w:rPr>
                <w:b/>
                <w:bCs/>
              </w:rPr>
              <w:t>III.iv.3.A</w:t>
            </w:r>
          </w:p>
          <w:p w:rsidR="00013EB8" w:rsidRPr="00F23544" w:rsidRDefault="00013EB8" w:rsidP="00F063AF">
            <w:pPr>
              <w:widowControl w:val="0"/>
              <w:numPr>
                <w:ilvl w:val="0"/>
                <w:numId w:val="89"/>
              </w:numPr>
              <w:tabs>
                <w:tab w:val="clear" w:pos="720"/>
                <w:tab w:val="num" w:pos="340"/>
              </w:tabs>
              <w:spacing w:after="120"/>
              <w:ind w:left="340"/>
              <w:rPr>
                <w:b/>
                <w:bCs/>
              </w:rPr>
            </w:pPr>
            <w:r w:rsidRPr="004861FB">
              <w:rPr>
                <w:b/>
                <w:bCs/>
              </w:rPr>
              <w:t>IV.iii.2.2</w:t>
            </w:r>
          </w:p>
        </w:tc>
      </w:tr>
    </w:tbl>
    <w:p w:rsidR="00013EB8" w:rsidRDefault="00013EB8">
      <w:pPr>
        <w:widowControl w:val="0"/>
        <w:tabs>
          <w:tab w:val="left" w:pos="0"/>
          <w:tab w:val="left" w:pos="144"/>
        </w:tabs>
        <w:rPr>
          <w:b/>
          <w:bCs/>
          <w:i/>
          <w:iCs/>
          <w:sz w:val="22"/>
        </w:rPr>
      </w:pPr>
      <w:r>
        <w:rPr>
          <w:b/>
          <w:bCs/>
          <w:i/>
          <w:iCs/>
          <w:sz w:val="22"/>
        </w:rPr>
        <w:t>Grant Templates:</w:t>
      </w:r>
    </w:p>
    <w:p w:rsidR="00013EB8" w:rsidRDefault="00013EB8">
      <w:pPr>
        <w:widowControl w:val="0"/>
        <w:tabs>
          <w:tab w:val="left" w:pos="0"/>
          <w:tab w:val="left" w:pos="144"/>
        </w:tabs>
        <w:rPr>
          <w:sz w:val="22"/>
        </w:rPr>
      </w:pPr>
    </w:p>
    <w:p w:rsidR="00013EB8" w:rsidRDefault="00354656">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s</w:t>
      </w:r>
      <w:r w:rsidR="00013EB8">
        <w:rPr>
          <w:i/>
        </w:rPr>
        <w:t>pousal A&amp;A:</w:t>
      </w:r>
    </w:p>
    <w:p w:rsidR="00282875"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pPr>
      <w:r>
        <w:t xml:space="preserve">We have granted entitlement to additional benefits based on the need for aid and attendance for your spouse, </w:t>
      </w:r>
      <w:r w:rsidR="00A46221">
        <w:t>{}</w:t>
      </w:r>
      <w:r>
        <w:t>, because the examination form shows that the criteria regarding aid and attendance have been met, as {he/she} is in need of the aid and attendance of another person in performin</w:t>
      </w:r>
      <w:r w:rsidR="00F81DDE">
        <w:t xml:space="preserve">g routine activities due to </w:t>
      </w:r>
      <w:r w:rsidR="00A46221">
        <w:t>{}</w:t>
      </w:r>
      <w:r w:rsidR="00F81DDE">
        <w:t>.</w:t>
      </w:r>
      <w:r w:rsidR="00282875">
        <w:t xml:space="preserve"> We have assigned </w:t>
      </w:r>
      <w:r w:rsidR="005E64C2">
        <w:t xml:space="preserve">an effective date of </w:t>
      </w:r>
      <w:r w:rsidR="00A46221">
        <w:t>{}</w:t>
      </w:r>
      <w:r w:rsidR="005E64C2">
        <w:t>, the day VA received your</w:t>
      </w:r>
      <w:r w:rsidR="00282875">
        <w:t xml:space="preserve"> claim.</w:t>
      </w:r>
    </w:p>
    <w:p w:rsidR="00013EB8" w:rsidRDefault="00013EB8">
      <w:pPr>
        <w:widowControl w:val="0"/>
        <w:tabs>
          <w:tab w:val="left" w:pos="0"/>
          <w:tab w:val="left" w:pos="144"/>
        </w:tabs>
        <w:rPr>
          <w:sz w:val="22"/>
        </w:rPr>
      </w:pPr>
    </w:p>
    <w:p w:rsidR="00F81DDE" w:rsidRDefault="00F81DDE" w:rsidP="00664C6D">
      <w:pPr>
        <w:widowControl w:val="0"/>
        <w:pBdr>
          <w:top w:val="single" w:sz="4" w:space="0" w:color="auto"/>
          <w:left w:val="single" w:sz="4" w:space="4" w:color="auto"/>
          <w:bottom w:val="single" w:sz="4" w:space="1" w:color="auto"/>
          <w:right w:val="single" w:sz="4" w:space="4" w:color="auto"/>
        </w:pBdr>
        <w:tabs>
          <w:tab w:val="left" w:pos="0"/>
          <w:tab w:val="left" w:pos="144"/>
        </w:tabs>
        <w:rPr>
          <w:sz w:val="22"/>
        </w:rPr>
      </w:pPr>
      <w:r w:rsidRPr="00F81DDE">
        <w:t>For surviving spouse A&amp;A</w:t>
      </w:r>
      <w:r w:rsidR="00A733B7">
        <w:t xml:space="preserve">, </w:t>
      </w:r>
      <w:r w:rsidR="00A733B7" w:rsidRPr="00082A59">
        <w:t>per</w:t>
      </w:r>
      <w:r w:rsidR="00A733B7" w:rsidRPr="00082A59">
        <w:rPr>
          <w:b/>
        </w:rPr>
        <w:t xml:space="preserve"> III.iv.8.A.2.c</w:t>
      </w:r>
      <w:r w:rsidRPr="00082A59">
        <w:t>:</w:t>
      </w:r>
      <w:r>
        <w:rPr>
          <w:sz w:val="22"/>
        </w:rPr>
        <w:t xml:space="preserve">  </w:t>
      </w:r>
      <w:r>
        <w:rPr>
          <w:i/>
          <w:iCs/>
        </w:rPr>
        <w:t>Competency must be considered if needs A&amp;A for mental condition. If competent, just mention in issue. If incompetent, do a proposal.</w:t>
      </w:r>
    </w:p>
    <w:p w:rsidR="00F81DDE" w:rsidRDefault="00F81DDE">
      <w:pPr>
        <w:widowControl w:val="0"/>
        <w:tabs>
          <w:tab w:val="left" w:pos="0"/>
          <w:tab w:val="left" w:pos="144"/>
        </w:tabs>
        <w:rPr>
          <w:sz w:val="22"/>
        </w:rPr>
      </w:pPr>
    </w:p>
    <w:p w:rsidR="00013EB8" w:rsidRDefault="00354656">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h</w:t>
      </w:r>
      <w:r w:rsidR="00013EB8">
        <w:rPr>
          <w:i/>
        </w:rPr>
        <w:t>elpless child:</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 xml:space="preserve">can only be rated </w:t>
      </w:r>
      <w:r w:rsidR="00A9317E">
        <w:rPr>
          <w:i/>
        </w:rPr>
        <w:t xml:space="preserve">a </w:t>
      </w:r>
      <w:r>
        <w:rPr>
          <w:i/>
        </w:rPr>
        <w:t>max</w:t>
      </w:r>
      <w:r w:rsidR="00A9317E">
        <w:rPr>
          <w:i/>
        </w:rPr>
        <w:t>imum</w:t>
      </w:r>
      <w:r>
        <w:rPr>
          <w:i/>
        </w:rPr>
        <w:t xml:space="preserve"> of 3 mos prior to 18</w:t>
      </w:r>
      <w:r>
        <w:rPr>
          <w:i/>
          <w:vertAlign w:val="superscript"/>
        </w:rPr>
        <w:t>th</w:t>
      </w:r>
      <w:r w:rsidR="00A9317E">
        <w:rPr>
          <w:i/>
        </w:rPr>
        <w:t xml:space="preserve"> b-day; </w:t>
      </w:r>
      <w:r>
        <w:rPr>
          <w:i/>
        </w:rPr>
        <w:t>only rate if veteran is at least 30% disabled</w:t>
      </w:r>
    </w:p>
    <w:p w:rsidR="00013EB8" w:rsidRPr="00DC7E42"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bCs/>
          <w:iCs/>
        </w:rPr>
      </w:pPr>
      <w:r w:rsidRPr="00DC7E42">
        <w:rPr>
          <w:b/>
          <w:bCs/>
          <w:iCs/>
        </w:rPr>
        <w:t>III.iii.7</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pPr>
      <w:r>
        <w:t xml:space="preserve">We have established </w:t>
      </w:r>
      <w:r w:rsidR="00A46221">
        <w:t>{}</w:t>
      </w:r>
      <w:r>
        <w:t xml:space="preserve">, who is over 18 years of age, as a helpless child from </w:t>
      </w:r>
      <w:r w:rsidR="00A46221">
        <w:t>{}</w:t>
      </w:r>
      <w:r>
        <w:t xml:space="preserve">, the original date of claim and date that the veteran became entitled to additional benefits for dependents.  The evidence shows that </w:t>
      </w:r>
      <w:r w:rsidR="00A46221">
        <w:t>{}</w:t>
      </w:r>
      <w:r>
        <w:t xml:space="preserve"> became permanently incapable of self-support prior to {his/her} 18th birthday by reason of physical or mental disability diagnosed as </w:t>
      </w:r>
      <w:r w:rsidR="00A46221">
        <w:t>{}</w:t>
      </w:r>
      <w:r>
        <w:t>, and the evidence clearly indicates that the disability will not improve to the extent that {he/she} may become self-supporting in the future.</w:t>
      </w:r>
    </w:p>
    <w:p w:rsidR="0033425E" w:rsidRPr="00A716E6" w:rsidRDefault="0033425E" w:rsidP="0033425E">
      <w:pPr>
        <w:pStyle w:val="Heading3"/>
        <w:widowControl w:val="0"/>
      </w:pPr>
      <w:r>
        <w:rPr>
          <w:rFonts w:ascii="Verdana" w:hAnsi="Verdana"/>
          <w:sz w:val="20"/>
          <w:szCs w:val="22"/>
          <w:highlight w:val="green"/>
        </w:rPr>
        <w:t xml:space="preserve">OR USE </w:t>
      </w:r>
      <w:r w:rsidR="00C551BE">
        <w:rPr>
          <w:rFonts w:ascii="Verdana" w:hAnsi="Verdana"/>
          <w:sz w:val="20"/>
          <w:szCs w:val="22"/>
          <w:highlight w:val="green"/>
        </w:rPr>
        <w:t>VBMS-R System-Generated Text</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r>
        <w:rPr>
          <w:i/>
          <w:iCs/>
        </w:rPr>
        <w:t>Competency must be considered if veteran is deceased.  If competent, just mention in issue. If incompetent, do a proposal.</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r>
        <w:rPr>
          <w:i/>
          <w:iCs/>
        </w:rPr>
        <w:t>If veteran is not 3</w:t>
      </w:r>
      <w:r w:rsidR="004159BA">
        <w:rPr>
          <w:i/>
          <w:iCs/>
        </w:rPr>
        <w:t>0% disabled, put a note in the S</w:t>
      </w:r>
      <w:r>
        <w:rPr>
          <w:i/>
          <w:iCs/>
        </w:rPr>
        <w:t>pecial Notation box as follows:</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sz w:val="22"/>
        </w:rPr>
      </w:pPr>
      <w:r>
        <w:t>Please address the claim for helpless child, as the veteran is not 30% disabled.</w:t>
      </w:r>
    </w:p>
    <w:p w:rsidR="00013EB8" w:rsidRDefault="00013EB8">
      <w:pPr>
        <w:widowControl w:val="0"/>
        <w:tabs>
          <w:tab w:val="left" w:pos="0"/>
          <w:tab w:val="left" w:pos="144"/>
        </w:tabs>
        <w:rPr>
          <w:sz w:val="22"/>
        </w:rPr>
      </w:pPr>
    </w:p>
    <w:p w:rsidR="00013EB8" w:rsidRDefault="00013EB8">
      <w:pPr>
        <w:widowControl w:val="0"/>
        <w:tabs>
          <w:tab w:val="left" w:pos="0"/>
          <w:tab w:val="left" w:pos="144"/>
        </w:tabs>
        <w:rPr>
          <w:b/>
          <w:bCs/>
          <w:i/>
          <w:iCs/>
          <w:sz w:val="22"/>
        </w:rPr>
      </w:pPr>
      <w:r>
        <w:rPr>
          <w:b/>
          <w:bCs/>
          <w:i/>
          <w:iCs/>
          <w:sz w:val="22"/>
        </w:rPr>
        <w:t>Denial Templates:</w:t>
      </w:r>
    </w:p>
    <w:p w:rsidR="00013EB8" w:rsidRDefault="00013EB8">
      <w:pPr>
        <w:widowControl w:val="0"/>
        <w:tabs>
          <w:tab w:val="left" w:pos="1080"/>
          <w:tab w:val="left" w:pos="1872"/>
        </w:tabs>
        <w:rPr>
          <w:sz w:val="22"/>
        </w:rPr>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spousal A&amp;A:</w:t>
      </w:r>
    </w:p>
    <w:p w:rsidR="00022B4F" w:rsidRDefault="00A716E6" w:rsidP="00022B4F">
      <w:pPr>
        <w:pStyle w:val="Heading3"/>
        <w:widowControl w:val="0"/>
        <w:rPr>
          <w:rFonts w:ascii="Verdana" w:hAnsi="Verdana"/>
          <w:sz w:val="20"/>
          <w:szCs w:val="22"/>
        </w:rPr>
      </w:pPr>
      <w:r>
        <w:rPr>
          <w:rFonts w:ascii="Verdana" w:hAnsi="Verdana"/>
          <w:sz w:val="20"/>
          <w:szCs w:val="22"/>
          <w:highlight w:val="green"/>
        </w:rPr>
        <w:t xml:space="preserve">USE </w:t>
      </w:r>
      <w:r w:rsidR="00C551BE">
        <w:rPr>
          <w:rFonts w:ascii="Verdana" w:hAnsi="Verdana"/>
          <w:sz w:val="20"/>
          <w:szCs w:val="22"/>
          <w:highlight w:val="green"/>
        </w:rPr>
        <w:t>VBMS-R System-Generated Text</w:t>
      </w:r>
    </w:p>
    <w:p w:rsidR="00022B4F" w:rsidRDefault="00022B4F" w:rsidP="00022B4F">
      <w:pPr>
        <w:pStyle w:val="Heading3"/>
        <w:widowControl w:val="0"/>
        <w:rPr>
          <w:b w:val="0"/>
          <w:sz w:val="20"/>
        </w:rPr>
      </w:pPr>
      <w:r>
        <w:rPr>
          <w:b w:val="0"/>
          <w:sz w:val="20"/>
        </w:rPr>
        <w:t>OR</w:t>
      </w:r>
    </w:p>
    <w:p w:rsidR="00022B4F" w:rsidRPr="00022B4F" w:rsidRDefault="00022B4F" w:rsidP="00022B4F">
      <w:pPr>
        <w:pStyle w:val="Heading3"/>
        <w:widowControl w:val="0"/>
        <w:rPr>
          <w:rFonts w:ascii="Verdana" w:hAnsi="Verdana"/>
          <w:b w:val="0"/>
          <w:sz w:val="18"/>
          <w:szCs w:val="22"/>
        </w:rPr>
      </w:pPr>
      <w:r w:rsidRPr="00022B4F">
        <w:rPr>
          <w:b w:val="0"/>
          <w:sz w:val="20"/>
        </w:rPr>
        <w:t>We have considered but denied additional benefits because of the need for aid and attendance for {}.  We will establish entitlement to additional benefits based on the need for aid and attendance when the claimant is blind in both eyes having visual acuity of 5/200 or less, or has contraction of the visual field to 5 degrees or less; or is a patient in a nursing home because of mental or physical incapacity; or when the evidence shows aid and attendance of another person is required to perform routine activities of daily living.  Since the {} does not show that these requirements have been met, we cannot establish entitlement</w:t>
      </w:r>
    </w:p>
    <w:p w:rsidR="00013EB8" w:rsidRDefault="00013EB8">
      <w:pPr>
        <w:widowControl w:val="0"/>
        <w:tabs>
          <w:tab w:val="left" w:pos="0"/>
          <w:tab w:val="left" w:pos="144"/>
        </w:tabs>
        <w:rPr>
          <w:sz w:val="22"/>
        </w:rPr>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rPr>
      </w:pPr>
      <w:r>
        <w:rPr>
          <w:i/>
        </w:rPr>
        <w:t>Surviving Spouse A&amp;A/HB:</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sz w:val="22"/>
        </w:rPr>
      </w:pPr>
      <w:r>
        <w:t>We have considered but denied special monthly entitlement based on the need for aid and attendance or for being housebound.  We will award aid and attendance benefits when the claimant is blind in both eyes having visual acuity of 5/200 or less, or has contraction of the visual field to 5 degrees or less; is a patient in a nursing home because of mental or physical incapacity; or when the evidence shows aid and attendance is required to perform routine activities of daily living.  The routine activities of daily living are basic self-care tasks which include such things as the ability to dress or undress one's self, to keep one's self ordinarily clean and presentable, ability to feed one's self, the ability to attend to the needs of nature, or the ability to protect one's self from the hazards or dangers incident to his or her daily environment.  We will award housebound benefits when the claimant is substantially confined to his or her home or immediate premises by reason of a disability or disabilities which are reasonably certain will remain throughout the claimant's lifetime.  Since there is no objective medical evidence that any of these requirements have been met, we cannot award special monthly entitlement based on the need for aid and attendance or for being housebound.</w:t>
      </w:r>
    </w:p>
    <w:p w:rsidR="00013EB8" w:rsidRDefault="00013EB8">
      <w:pPr>
        <w:widowControl w:val="0"/>
        <w:tabs>
          <w:tab w:val="left" w:pos="0"/>
          <w:tab w:val="left" w:pos="144"/>
        </w:tabs>
        <w:rPr>
          <w:sz w:val="22"/>
        </w:rPr>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rPr>
          <w:i/>
          <w:iCs/>
        </w:rPr>
      </w:pPr>
      <w:r>
        <w:rPr>
          <w:i/>
          <w:iCs/>
        </w:rPr>
        <w:t>Surviving Spouse A&amp;A:</w:t>
      </w: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pPr>
      <w:r>
        <w:t>We have considered but denied special monthly entitlement based on the need for aid and attendance.  We will award aid and attendance benefits when the claimant is blind in both eyes having visual acuity of 5/200 or less, or has contraction of the visual field to 5 degrees or less; is a patient in a nursing home because of mental or physical incapacity; or when the evidence shows aid and attendance is required to perform routine activities of daily living.  The routine activities of daily living are basic self-care tasks which include such things as the ability to dress or undress one's self, to keep one's self ordinarily clean and presentable, ability to feed one's self, the ability to attend to the needs of nature, or the ability to protect one's self from the hazards or dangers incident to his or her daily environment.  Since there is no objective medical evidence that any of these requirements have been met, we cannot award special monthly entitlement based on the need for aid and attendance.</w:t>
      </w:r>
    </w:p>
    <w:p w:rsidR="00013EB8" w:rsidRDefault="00013EB8">
      <w:pPr>
        <w:widowControl w:val="0"/>
        <w:tabs>
          <w:tab w:val="left" w:pos="0"/>
          <w:tab w:val="left" w:pos="144"/>
        </w:tabs>
        <w:rPr>
          <w:sz w:val="22"/>
        </w:rPr>
      </w:pP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rPr>
          <w:i/>
          <w:iCs/>
        </w:rPr>
      </w:pPr>
      <w:r>
        <w:rPr>
          <w:i/>
          <w:iCs/>
        </w:rPr>
        <w:t>Helpless child:</w:t>
      </w:r>
    </w:p>
    <w:p w:rsidR="00013EB8" w:rsidRPr="00F46A1E" w:rsidRDefault="004F315B">
      <w:pPr>
        <w:widowControl w:val="0"/>
        <w:pBdr>
          <w:top w:val="single" w:sz="4" w:space="0" w:color="auto"/>
          <w:left w:val="single" w:sz="4" w:space="4" w:color="auto"/>
          <w:bottom w:val="single" w:sz="4" w:space="1" w:color="auto"/>
          <w:right w:val="single" w:sz="4" w:space="4" w:color="auto"/>
        </w:pBdr>
        <w:tabs>
          <w:tab w:val="left" w:pos="0"/>
          <w:tab w:val="left" w:pos="144"/>
        </w:tabs>
        <w:rPr>
          <w:i/>
          <w:iCs/>
        </w:rPr>
      </w:pPr>
      <w:r>
        <w:rPr>
          <w:i/>
          <w:iCs/>
        </w:rPr>
        <w:t>effective date</w:t>
      </w:r>
      <w:r w:rsidR="00013EB8" w:rsidRPr="00F46A1E">
        <w:rPr>
          <w:i/>
          <w:iCs/>
        </w:rPr>
        <w:t xml:space="preserve"> is 18</w:t>
      </w:r>
      <w:r w:rsidR="00013EB8" w:rsidRPr="00F46A1E">
        <w:rPr>
          <w:i/>
          <w:iCs/>
          <w:vertAlign w:val="superscript"/>
        </w:rPr>
        <w:t>th</w:t>
      </w:r>
      <w:r w:rsidR="00013EB8" w:rsidRPr="00F46A1E">
        <w:rPr>
          <w:i/>
          <w:iCs/>
        </w:rPr>
        <w:t xml:space="preserve"> birthday</w:t>
      </w:r>
      <w:r w:rsidR="00F46A1E">
        <w:rPr>
          <w:i/>
          <w:iCs/>
        </w:rPr>
        <w:t>, or DOC if not filed within a year of 18</w:t>
      </w:r>
      <w:r w:rsidR="00F46A1E" w:rsidRPr="00F46A1E">
        <w:rPr>
          <w:i/>
          <w:iCs/>
          <w:vertAlign w:val="superscript"/>
        </w:rPr>
        <w:t>th</w:t>
      </w:r>
      <w:r w:rsidR="00F46A1E">
        <w:rPr>
          <w:i/>
          <w:iCs/>
        </w:rPr>
        <w:t xml:space="preserve"> birthday</w:t>
      </w:r>
    </w:p>
    <w:p w:rsidR="00013EB8" w:rsidRPr="00F46A1E" w:rsidRDefault="00F46A1E">
      <w:pPr>
        <w:widowControl w:val="0"/>
        <w:pBdr>
          <w:top w:val="single" w:sz="4" w:space="0" w:color="auto"/>
          <w:left w:val="single" w:sz="4" w:space="4" w:color="auto"/>
          <w:bottom w:val="single" w:sz="4" w:space="1" w:color="auto"/>
          <w:right w:val="single" w:sz="4" w:space="4" w:color="auto"/>
        </w:pBdr>
        <w:tabs>
          <w:tab w:val="left" w:pos="0"/>
          <w:tab w:val="left" w:pos="144"/>
        </w:tabs>
        <w:rPr>
          <w:b/>
        </w:rPr>
      </w:pPr>
      <w:r>
        <w:rPr>
          <w:b/>
        </w:rPr>
        <w:t>III.ii.7</w:t>
      </w:r>
    </w:p>
    <w:p w:rsidR="00F46A1E" w:rsidRDefault="00F46A1E">
      <w:pPr>
        <w:widowControl w:val="0"/>
        <w:pBdr>
          <w:top w:val="single" w:sz="4" w:space="0" w:color="auto"/>
          <w:left w:val="single" w:sz="4" w:space="4" w:color="auto"/>
          <w:bottom w:val="single" w:sz="4" w:space="1" w:color="auto"/>
          <w:right w:val="single" w:sz="4" w:space="4" w:color="auto"/>
        </w:pBdr>
        <w:tabs>
          <w:tab w:val="left" w:pos="0"/>
          <w:tab w:val="left" w:pos="144"/>
        </w:tabs>
      </w:pPr>
    </w:p>
    <w:p w:rsidR="00013EB8" w:rsidRDefault="00C551BE">
      <w:pPr>
        <w:widowControl w:val="0"/>
        <w:pBdr>
          <w:top w:val="single" w:sz="4" w:space="0" w:color="auto"/>
          <w:left w:val="single" w:sz="4" w:space="4" w:color="auto"/>
          <w:bottom w:val="single" w:sz="4" w:space="1" w:color="auto"/>
          <w:right w:val="single" w:sz="4" w:space="4" w:color="auto"/>
        </w:pBdr>
        <w:tabs>
          <w:tab w:val="left" w:pos="0"/>
          <w:tab w:val="left" w:pos="144"/>
        </w:tabs>
      </w:pPr>
      <w:r>
        <w:rPr>
          <w:rFonts w:ascii="Verdana" w:hAnsi="Verdana"/>
          <w:b/>
          <w:highlight w:val="green"/>
        </w:rPr>
        <w:t>VBMS-R System-Generated Text</w:t>
      </w:r>
      <w:r w:rsidR="00013EB8">
        <w:t>:</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r>
        <w:t>For purposes of establishing entitlement to VA benefits, a child over 18 years of age must be shown to be permanently incapable of self-support by reason of mental or physical defect by the age of 18.</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p>
    <w:p w:rsidR="00013EB8" w:rsidRPr="002C4ED9"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rPr>
          <w:i/>
        </w:rPr>
      </w:pPr>
      <w:r w:rsidRPr="002C4ED9">
        <w:rPr>
          <w:i/>
        </w:rPr>
        <w:t>Capable Of Self Support:</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r>
        <w:t xml:space="preserve">The extent and nature of the claimed disability is not sufficient to establish that </w:t>
      </w:r>
      <w:r w:rsidR="00A46221">
        <w:t>{}</w:t>
      </w:r>
      <w:r>
        <w:t xml:space="preserve"> is permanently incapable of self-support.</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p>
    <w:p w:rsidR="00013EB8" w:rsidRPr="002C4ED9"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rPr>
          <w:i/>
        </w:rPr>
      </w:pPr>
      <w:r w:rsidRPr="002C4ED9">
        <w:rPr>
          <w:i/>
        </w:rPr>
        <w:t>No Incapacity Before 18:</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r>
        <w:t xml:space="preserve">The extent and nature of the claimed disability is not sufficient to establish that </w:t>
      </w:r>
      <w:r w:rsidR="00A46221">
        <w:t>{}</w:t>
      </w:r>
      <w:r>
        <w:t xml:space="preserve"> became permanently incapable of self-support prior to age 18 on </w:t>
      </w:r>
      <w:r w:rsidR="00A46221">
        <w:t>{}</w:t>
      </w:r>
      <w:r>
        <w:t>.</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p>
    <w:p w:rsidR="00013EB8" w:rsidRPr="002C4ED9"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rPr>
          <w:i/>
        </w:rPr>
      </w:pPr>
      <w:r w:rsidRPr="002C4ED9">
        <w:rPr>
          <w:i/>
        </w:rPr>
        <w:t>Child Gainfully Employed:</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r>
        <w:t xml:space="preserve">Incapacity for self-support will not be considered to exist when the child by his or her own efforts is provided with sufficient income for his or her reasonable support.  The fact that a claimant is earning his or her own support is prima facie evidence that he or she is not incapable of self-support.  The evidence establishes that </w:t>
      </w:r>
      <w:r w:rsidR="00A46221">
        <w:t>{}</w:t>
      </w:r>
      <w:r>
        <w:t xml:space="preserve"> is gainfully employed and entitlement is therefore denied.</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p>
    <w:p w:rsidR="00013EB8" w:rsidRPr="002C4ED9"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rPr>
          <w:i/>
        </w:rPr>
      </w:pPr>
      <w:r w:rsidRPr="002C4ED9">
        <w:rPr>
          <w:i/>
        </w:rPr>
        <w:t>My paragraphs:</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r>
        <w:t xml:space="preserve">Permanent incapacity for self-support is not established for </w:t>
      </w:r>
      <w:r w:rsidR="00A46221">
        <w:t>{}</w:t>
      </w:r>
      <w:r>
        <w:t>.  For purposes of establishing entitlement to VA benefits, a child over 18 years of age must be shown to be permanently incapable of self-support by reason of mental or physical defect by the age of 18.</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p>
    <w:p w:rsidR="00013EB8" w:rsidRPr="002C4ED9"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rPr>
          <w:i/>
        </w:rPr>
      </w:pPr>
      <w:r w:rsidRPr="002C4ED9">
        <w:rPr>
          <w:i/>
        </w:rPr>
        <w:t>Capable Of Self Support or No Incapacity Before 18:</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r>
        <w:t xml:space="preserve">The extent and nature of the claimed disability is not sufficient to establish that </w:t>
      </w:r>
      <w:r w:rsidR="00A46221">
        <w:t>{}</w:t>
      </w:r>
      <w:r>
        <w:t xml:space="preserve"> is permanently incapable of self-support OR became permanently incapable of self-support prior to age 18 on </w:t>
      </w:r>
      <w:r w:rsidR="00A46221">
        <w:t>{}</w:t>
      </w:r>
      <w:r>
        <w:t xml:space="preserve">, and entitlement is therefore denied.  OR There is no clear evidence which shows that </w:t>
      </w:r>
      <w:r w:rsidR="00A46221">
        <w:t>{}</w:t>
      </w:r>
      <w:r>
        <w:t xml:space="preserve"> became permanently incapable of self-support prior to age 18 on </w:t>
      </w:r>
      <w:r w:rsidR="00A46221">
        <w:t>{}</w:t>
      </w:r>
      <w:r>
        <w:t>, and entitlement is therefore denied.</w:t>
      </w: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pPr>
    </w:p>
    <w:p w:rsidR="00013EB8" w:rsidRDefault="00013EB8">
      <w:pPr>
        <w:widowControl w:val="0"/>
        <w:pBdr>
          <w:top w:val="single" w:sz="4" w:space="0" w:color="auto"/>
          <w:left w:val="single" w:sz="4" w:space="4" w:color="auto"/>
          <w:bottom w:val="single" w:sz="4" w:space="1" w:color="auto"/>
          <w:right w:val="single" w:sz="4" w:space="4" w:color="auto"/>
        </w:pBdr>
        <w:tabs>
          <w:tab w:val="left" w:pos="0"/>
          <w:tab w:val="left" w:pos="144"/>
        </w:tabs>
        <w:rPr>
          <w:sz w:val="22"/>
        </w:rPr>
      </w:pPr>
      <w:r w:rsidRPr="002C4ED9">
        <w:rPr>
          <w:i/>
        </w:rPr>
        <w:t>Child Gainfully Employed:</w:t>
      </w:r>
      <w:r>
        <w:t xml:space="preserve">  use above paragraph from </w:t>
      </w:r>
      <w:r w:rsidR="00D94044" w:rsidRPr="004E16AB">
        <w:rPr>
          <w:rFonts w:ascii="Verdana" w:hAnsi="Verdana"/>
          <w:b/>
          <w:highlight w:val="green"/>
        </w:rPr>
        <w:t>VBMS-R</w:t>
      </w:r>
    </w:p>
    <w:p w:rsidR="00013EB8" w:rsidRDefault="00013EB8">
      <w:pPr>
        <w:widowControl w:val="0"/>
        <w:tabs>
          <w:tab w:val="left" w:pos="0"/>
          <w:tab w:val="left" w:pos="144"/>
        </w:tabs>
        <w:rPr>
          <w:sz w:val="22"/>
        </w:rPr>
      </w:pPr>
    </w:p>
    <w:p w:rsidR="00013EB8" w:rsidRDefault="00013EB8">
      <w:pPr>
        <w:widowControl w:val="0"/>
        <w:pBdr>
          <w:top w:val="double" w:sz="4" w:space="1" w:color="auto"/>
        </w:pBdr>
        <w:tabs>
          <w:tab w:val="left" w:pos="0"/>
          <w:tab w:val="left" w:pos="144"/>
        </w:tabs>
        <w:rPr>
          <w:iCs/>
        </w:rPr>
      </w:pPr>
      <w:r>
        <w:rPr>
          <w:iCs/>
        </w:rPr>
        <w:br w:type="page"/>
      </w:r>
    </w:p>
    <w:p w:rsidR="004D429B" w:rsidRDefault="004D429B" w:rsidP="004D429B">
      <w:pPr>
        <w:widowControl w:val="0"/>
        <w:pBdr>
          <w:top w:val="double" w:sz="4" w:space="1" w:color="auto"/>
        </w:pBdr>
        <w:tabs>
          <w:tab w:val="left" w:pos="0"/>
          <w:tab w:val="left" w:pos="144"/>
        </w:tabs>
        <w:rPr>
          <w:b/>
          <w:bCs/>
          <w:i/>
          <w:sz w:val="22"/>
        </w:rPr>
      </w:pPr>
      <w:bookmarkStart w:id="167" w:name="Dental"/>
    </w:p>
    <w:p w:rsidR="00013EB8" w:rsidRDefault="00013EB8">
      <w:pPr>
        <w:widowControl w:val="0"/>
        <w:tabs>
          <w:tab w:val="left" w:pos="0"/>
          <w:tab w:val="left" w:pos="144"/>
        </w:tabs>
        <w:rPr>
          <w:b/>
          <w:bCs/>
          <w:i/>
          <w:sz w:val="22"/>
        </w:rPr>
      </w:pPr>
      <w:r>
        <w:rPr>
          <w:b/>
          <w:bCs/>
          <w:i/>
          <w:sz w:val="22"/>
        </w:rPr>
        <w:t>DENTAL –</w:t>
      </w:r>
    </w:p>
    <w:bookmarkEnd w:id="167"/>
    <w:p w:rsidR="00013EB8" w:rsidRDefault="00013EB8">
      <w:pPr>
        <w:widowControl w:val="0"/>
        <w:tabs>
          <w:tab w:val="left" w:pos="0"/>
          <w:tab w:val="left" w:pos="144"/>
        </w:tabs>
        <w:rPr>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705"/>
        <w:gridCol w:w="102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453DE5">
              <w:rPr>
                <w:b/>
              </w:rPr>
              <w:t>3.381</w:t>
            </w:r>
          </w:p>
        </w:tc>
        <w:tc>
          <w:tcPr>
            <w:tcW w:w="10270" w:type="dxa"/>
            <w:tcBorders>
              <w:top w:val="nil"/>
              <w:left w:val="nil"/>
              <w:bottom w:val="nil"/>
              <w:right w:val="nil"/>
            </w:tcBorders>
          </w:tcPr>
          <w:p w:rsidR="00013EB8" w:rsidRDefault="00013EB8">
            <w:pPr>
              <w:widowControl w:val="0"/>
              <w:numPr>
                <w:ilvl w:val="12"/>
                <w:numId w:val="0"/>
              </w:numPr>
            </w:pPr>
            <w:r>
              <w:rPr>
                <w:b/>
              </w:rPr>
              <w:t xml:space="preserve">Service connection of dental conditions for treatment purposes </w:t>
            </w:r>
            <w:r>
              <w:t>–</w:t>
            </w:r>
            <w:r>
              <w:rPr>
                <w:i/>
              </w:rPr>
              <w:t xml:space="preserve"> a dental rating does not allow for $, but if a veteran files a 21-526 later, we can’t deny, but we won’t pay back to the dental rating date (per Sue</w:t>
            </w:r>
            <w:r w:rsidR="0073484D">
              <w:rPr>
                <w:i/>
              </w:rPr>
              <w:t xml:space="preserve"> Haak</w:t>
            </w:r>
            <w:r>
              <w:rPr>
                <w:i/>
              </w:rPr>
              <w:t>), same w/insurance &amp; VocRehab ratings</w:t>
            </w:r>
          </w:p>
        </w:tc>
      </w:tr>
    </w:tbl>
    <w:p w:rsidR="00013EB8" w:rsidRDefault="00013EB8">
      <w:pPr>
        <w:widowControl w:val="0"/>
        <w:tabs>
          <w:tab w:val="left" w:pos="0"/>
          <w:tab w:val="left" w:pos="144"/>
        </w:tabs>
        <w:rPr>
          <w:b/>
          <w:bCs/>
          <w:i/>
          <w:sz w:val="22"/>
        </w:rPr>
      </w:pPr>
    </w:p>
    <w:tbl>
      <w:tblPr>
        <w:tblW w:w="10975" w:type="dxa"/>
        <w:tblInd w:w="-45" w:type="dxa"/>
        <w:tblLayout w:type="fixed"/>
        <w:tblCellMar>
          <w:left w:w="30" w:type="dxa"/>
          <w:right w:w="30" w:type="dxa"/>
        </w:tblCellMar>
        <w:tblLook w:val="0000" w:firstRow="0" w:lastRow="0" w:firstColumn="0" w:lastColumn="0" w:noHBand="0" w:noVBand="0"/>
      </w:tblPr>
      <w:tblGrid>
        <w:gridCol w:w="10975"/>
      </w:tblGrid>
      <w:tr w:rsidR="00013EB8">
        <w:trPr>
          <w:trHeight w:val="289"/>
        </w:trPr>
        <w:tc>
          <w:tcPr>
            <w:tcW w:w="10975" w:type="dxa"/>
            <w:tcBorders>
              <w:top w:val="nil"/>
              <w:left w:val="nil"/>
              <w:bottom w:val="nil"/>
              <w:right w:val="nil"/>
            </w:tcBorders>
          </w:tcPr>
          <w:p w:rsidR="00013EB8" w:rsidRDefault="00013EB8">
            <w:pPr>
              <w:widowControl w:val="0"/>
              <w:jc w:val="center"/>
              <w:rPr>
                <w:b/>
                <w:color w:val="FF0000"/>
              </w:rPr>
            </w:pPr>
            <w:bookmarkStart w:id="168" w:name="Part4Dental"/>
            <w:r>
              <w:rPr>
                <w:b/>
                <w:color w:val="FF0000"/>
              </w:rPr>
              <w:t xml:space="preserve">4.150. </w:t>
            </w:r>
            <w:r>
              <w:rPr>
                <w:b/>
                <w:i/>
                <w:color w:val="FF0000"/>
              </w:rPr>
              <w:t>Dental and Oral Conditions</w:t>
            </w:r>
            <w:bookmarkEnd w:id="168"/>
          </w:p>
        </w:tc>
      </w:tr>
    </w:tbl>
    <w:p w:rsidR="00013EB8" w:rsidRDefault="00013EB8">
      <w:pPr>
        <w:widowControl w:val="0"/>
        <w:tabs>
          <w:tab w:val="left" w:pos="660"/>
          <w:tab w:val="left" w:pos="9407"/>
        </w:tabs>
        <w:ind w:left="-45"/>
        <w:rPr>
          <w:b/>
        </w:rPr>
      </w:pPr>
    </w:p>
    <w:p w:rsidR="00013EB8" w:rsidRDefault="00013EB8">
      <w:pPr>
        <w:widowControl w:val="0"/>
        <w:tabs>
          <w:tab w:val="left" w:pos="660"/>
          <w:tab w:val="left" w:pos="9407"/>
        </w:tabs>
        <w:rPr>
          <w:b/>
          <w:u w:val="single"/>
        </w:rPr>
      </w:pPr>
      <w:r>
        <w:rPr>
          <w:b/>
          <w:u w:val="single"/>
        </w:rPr>
        <w:t>4.150</w:t>
      </w:r>
      <w:r>
        <w:rPr>
          <w:b/>
          <w:u w:val="single"/>
        </w:rPr>
        <w:tab/>
        <w:t>Schedule of Ratings—Dental and Oral Conditions</w:t>
      </w:r>
    </w:p>
    <w:p w:rsidR="00013EB8" w:rsidRDefault="00013EB8">
      <w:pPr>
        <w:widowControl w:val="0"/>
        <w:tabs>
          <w:tab w:val="left" w:pos="660"/>
          <w:tab w:val="left" w:pos="9407"/>
        </w:tabs>
        <w:rPr>
          <w:i/>
        </w:rPr>
      </w:pPr>
    </w:p>
    <w:p w:rsidR="000E705D" w:rsidRDefault="00013EB8" w:rsidP="000674FA">
      <w:pPr>
        <w:widowControl w:val="0"/>
        <w:pBdr>
          <w:top w:val="single" w:sz="4" w:space="1" w:color="auto"/>
          <w:left w:val="single" w:sz="4" w:space="1" w:color="auto"/>
          <w:bottom w:val="single" w:sz="4" w:space="1" w:color="auto"/>
          <w:right w:val="single" w:sz="4" w:space="1" w:color="auto"/>
        </w:pBdr>
        <w:tabs>
          <w:tab w:val="left" w:pos="660"/>
          <w:tab w:val="left" w:pos="9407"/>
        </w:tabs>
        <w:rPr>
          <w:i/>
        </w:rPr>
      </w:pPr>
      <w:r>
        <w:rPr>
          <w:i/>
        </w:rPr>
        <w:t>changed 2/17/94 (changed 9900, 9905 &amp; 91513, deleted 9510, added 9914,9915 &amp; 9916)</w:t>
      </w:r>
    </w:p>
    <w:p w:rsidR="007645C4" w:rsidRDefault="00057776" w:rsidP="000674FA">
      <w:pPr>
        <w:widowControl w:val="0"/>
        <w:pBdr>
          <w:top w:val="single" w:sz="4" w:space="1" w:color="auto"/>
          <w:left w:val="single" w:sz="4" w:space="1" w:color="auto"/>
          <w:bottom w:val="single" w:sz="4" w:space="1" w:color="auto"/>
          <w:right w:val="single" w:sz="4" w:space="1" w:color="auto"/>
        </w:pBdr>
        <w:rPr>
          <w:i/>
        </w:rPr>
      </w:pPr>
      <w:r>
        <w:rPr>
          <w:i/>
        </w:rPr>
        <w:t>changed 9/10/17</w:t>
      </w:r>
      <w:r w:rsidR="007645C4">
        <w:rPr>
          <w:i/>
        </w:rPr>
        <w:t xml:space="preserve"> (combined 9902, 9906, 9907 into one code, 9902; 50% &amp; dietary restrictions added to 9905; 9911 &amp; 9912 combined under 9911; 9916 modified; 9917 &amp; 9918 added) </w:t>
      </w:r>
      <w:r w:rsidR="000674FA">
        <w:rPr>
          <w:i/>
        </w:rPr>
        <w:t xml:space="preserve">– </w:t>
      </w:r>
      <w:r w:rsidR="000674FA">
        <w:t xml:space="preserve">NOT LIBERALIZING, </w:t>
      </w:r>
      <w:r w:rsidR="000674FA" w:rsidRPr="000674FA">
        <w:rPr>
          <w:i/>
          <w:color w:val="00B050"/>
        </w:rPr>
        <w:t xml:space="preserve">My Notes:  </w:t>
      </w:r>
      <w:r w:rsidR="000674FA" w:rsidRPr="000674FA">
        <w:rPr>
          <w:i/>
        </w:rPr>
        <w:t>3.114 does not apply</w:t>
      </w:r>
      <w:r w:rsidR="000674FA">
        <w:rPr>
          <w:i/>
        </w:rPr>
        <w:t xml:space="preserve">, so </w:t>
      </w:r>
      <w:r w:rsidR="000674FA" w:rsidRPr="000674FA">
        <w:rPr>
          <w:i/>
        </w:rPr>
        <w:t xml:space="preserve">can’t grant increase based on new criteria prior to </w:t>
      </w:r>
      <w:r w:rsidR="000674FA">
        <w:rPr>
          <w:i/>
        </w:rPr>
        <w:t>9/10/17</w:t>
      </w:r>
      <w:r w:rsidR="000674FA" w:rsidRPr="000674FA">
        <w:rPr>
          <w:i/>
        </w:rPr>
        <w:t xml:space="preserve"> (if filed before </w:t>
      </w:r>
      <w:r w:rsidR="000674FA">
        <w:rPr>
          <w:i/>
        </w:rPr>
        <w:t>9/10/17</w:t>
      </w:r>
      <w:r w:rsidR="000674FA" w:rsidRPr="000674FA">
        <w:rPr>
          <w:i/>
        </w:rPr>
        <w:t xml:space="preserve"> or within a year of </w:t>
      </w:r>
      <w:r w:rsidR="000674FA">
        <w:rPr>
          <w:i/>
        </w:rPr>
        <w:t>9/10/17</w:t>
      </w:r>
      <w:r w:rsidR="002628B3">
        <w:rPr>
          <w:i/>
        </w:rPr>
        <w:t>)</w:t>
      </w:r>
      <w:r w:rsidR="000674FA" w:rsidRPr="000674FA">
        <w:rPr>
          <w:i/>
        </w:rPr>
        <w:t xml:space="preserve">, AND </w:t>
      </w:r>
      <w:r w:rsidR="000674FA">
        <w:rPr>
          <w:i/>
        </w:rPr>
        <w:t xml:space="preserve">can’t go one year prior to DOC </w:t>
      </w:r>
      <w:r w:rsidR="002628B3">
        <w:rPr>
          <w:i/>
        </w:rPr>
        <w:t>(</w:t>
      </w:r>
      <w:r w:rsidR="000674FA" w:rsidRPr="000674FA">
        <w:rPr>
          <w:i/>
        </w:rPr>
        <w:t>if file</w:t>
      </w:r>
      <w:r w:rsidR="000674FA">
        <w:rPr>
          <w:i/>
        </w:rPr>
        <w:t>d</w:t>
      </w:r>
      <w:r w:rsidR="000674FA" w:rsidRPr="000674FA">
        <w:rPr>
          <w:i/>
        </w:rPr>
        <w:t xml:space="preserve"> more than a year after </w:t>
      </w:r>
      <w:r w:rsidR="000674FA">
        <w:rPr>
          <w:i/>
        </w:rPr>
        <w:t>9/10/17</w:t>
      </w:r>
      <w:r w:rsidR="000674FA" w:rsidRPr="000674FA">
        <w:rPr>
          <w:i/>
        </w:rPr>
        <w:t xml:space="preserve">, but had evidence of increase on </w:t>
      </w:r>
      <w:r w:rsidR="000674FA">
        <w:rPr>
          <w:i/>
        </w:rPr>
        <w:t>9/10/17, still have to use DOC</w:t>
      </w:r>
      <w:r w:rsidR="002628B3">
        <w:rPr>
          <w:i/>
        </w:rPr>
        <w:t>)</w:t>
      </w:r>
      <w:r w:rsidR="000674FA">
        <w:rPr>
          <w:i/>
        </w:rPr>
        <w:t xml:space="preserve">. However, can use medical evidence of increase to take back to 9/10/17, if filed w/i 1 year &amp; medical evidence shows increase warranted on 9/10/17. </w:t>
      </w:r>
      <w:r w:rsidR="00941592">
        <w:rPr>
          <w:i/>
        </w:rPr>
        <w:t xml:space="preserve">– </w:t>
      </w:r>
      <w:hyperlink r:id="rId703" w:history="1">
        <w:r w:rsidR="00941592" w:rsidRPr="00941592">
          <w:rPr>
            <w:rStyle w:val="Hyperlink"/>
            <w:i/>
            <w:sz w:val="18"/>
          </w:rPr>
          <w:t>prior to 9/10/17</w:t>
        </w:r>
      </w:hyperlink>
    </w:p>
    <w:p w:rsidR="007645C4" w:rsidRPr="007645C4" w:rsidRDefault="007645C4" w:rsidP="000674FA">
      <w:pPr>
        <w:widowControl w:val="0"/>
        <w:pBdr>
          <w:top w:val="single" w:sz="4" w:space="1" w:color="auto"/>
          <w:left w:val="single" w:sz="4" w:space="1" w:color="auto"/>
          <w:bottom w:val="single" w:sz="4" w:space="1" w:color="auto"/>
          <w:right w:val="single" w:sz="4" w:space="1" w:color="auto"/>
        </w:pBdr>
        <w:tabs>
          <w:tab w:val="left" w:pos="660"/>
          <w:tab w:val="left" w:pos="9407"/>
        </w:tabs>
        <w:rPr>
          <w:bCs/>
          <w:i/>
          <w:iCs/>
        </w:rPr>
      </w:pPr>
      <w:r w:rsidRPr="007645C4">
        <w:rPr>
          <w:i/>
          <w:sz w:val="18"/>
        </w:rPr>
        <w:t>*you can find the old schedule</w:t>
      </w:r>
      <w:r w:rsidRPr="007645C4">
        <w:rPr>
          <w:bCs/>
          <w:i/>
          <w:iCs/>
          <w:sz w:val="18"/>
        </w:rPr>
        <w:t xml:space="preserve"> at Regulation Citator at http://vacoappbva2.dva.va.gov, search 4.150</w:t>
      </w:r>
      <w:r w:rsidR="00D11C3E">
        <w:rPr>
          <w:bCs/>
          <w:i/>
          <w:iCs/>
          <w:sz w:val="18"/>
        </w:rPr>
        <w:t>; or in CPKM</w:t>
      </w:r>
    </w:p>
    <w:p w:rsidR="00013EB8" w:rsidRDefault="00013EB8">
      <w:pPr>
        <w:widowControl w:val="0"/>
      </w:pPr>
    </w:p>
    <w:p w:rsidR="000674FA" w:rsidRDefault="000674FA">
      <w:pPr>
        <w:widowControl w:val="0"/>
        <w:rPr>
          <w:i/>
        </w:rPr>
      </w:pPr>
      <w:r>
        <w:rPr>
          <w:i/>
        </w:rPr>
        <w:t xml:space="preserve">– </w:t>
      </w:r>
      <w:r>
        <w:t xml:space="preserve">NOT LIBERALIZING, </w:t>
      </w:r>
      <w:r w:rsidRPr="000674FA">
        <w:rPr>
          <w:i/>
          <w:color w:val="00B050"/>
        </w:rPr>
        <w:t xml:space="preserve">My Notes:  </w:t>
      </w:r>
      <w:r w:rsidRPr="000674FA">
        <w:rPr>
          <w:i/>
        </w:rPr>
        <w:t>3.114 does not apply</w:t>
      </w:r>
      <w:r>
        <w:rPr>
          <w:i/>
        </w:rPr>
        <w:t xml:space="preserve">, so </w:t>
      </w:r>
      <w:r w:rsidRPr="000674FA">
        <w:rPr>
          <w:i/>
        </w:rPr>
        <w:t xml:space="preserve">can’t grant increase based on new criteria prior to 5/13/18 (if filed before 5/13/18 or within a year of 5/13/18, AND </w:t>
      </w:r>
      <w:r>
        <w:rPr>
          <w:i/>
        </w:rPr>
        <w:t xml:space="preserve">can’t go one year prior to DOC </w:t>
      </w:r>
      <w:r w:rsidRPr="000674FA">
        <w:rPr>
          <w:i/>
        </w:rPr>
        <w:t>if file</w:t>
      </w:r>
      <w:r>
        <w:rPr>
          <w:i/>
        </w:rPr>
        <w:t>d</w:t>
      </w:r>
      <w:r w:rsidRPr="000674FA">
        <w:rPr>
          <w:i/>
        </w:rPr>
        <w:t xml:space="preserve"> more than a year after 5/13/18, but had evidence of increase on 5/13/18</w:t>
      </w:r>
      <w:r>
        <w:rPr>
          <w:i/>
        </w:rPr>
        <w:t>, still have to use DOC. However, can use medical evidence of increase to take back to 5/13/18, if filed w/i 1 year &amp; medical evidence shows increase warranted on 5/13/18.</w:t>
      </w:r>
    </w:p>
    <w:p w:rsidR="000674FA" w:rsidRDefault="000674FA">
      <w:pPr>
        <w:widowControl w:val="0"/>
      </w:pPr>
    </w:p>
    <w:p w:rsidR="00CD5855" w:rsidRPr="00CD5855" w:rsidRDefault="00CD5855" w:rsidP="00CD5855">
      <w:pPr>
        <w:pStyle w:val="Default"/>
        <w:rPr>
          <w:rFonts w:asciiTheme="minorHAnsi" w:hAnsiTheme="minorHAnsi" w:cs="Calibri"/>
          <w:sz w:val="22"/>
          <w:szCs w:val="22"/>
        </w:rPr>
      </w:pPr>
      <w:r w:rsidRPr="00CD5855">
        <w:rPr>
          <w:rFonts w:asciiTheme="minorHAnsi" w:hAnsiTheme="minorHAnsi"/>
          <w:i/>
          <w:sz w:val="22"/>
          <w:szCs w:val="22"/>
        </w:rPr>
        <w:t>Per QRT/GiaBao Nguyen, 12/1/17 -</w:t>
      </w:r>
      <w:r w:rsidRPr="00CD5855">
        <w:rPr>
          <w:rFonts w:asciiTheme="minorHAnsi" w:hAnsiTheme="minorHAnsi"/>
          <w:b/>
          <w:i/>
          <w:sz w:val="22"/>
          <w:szCs w:val="22"/>
        </w:rPr>
        <w:t xml:space="preserve"> </w:t>
      </w:r>
      <w:r w:rsidRPr="00CD5855">
        <w:rPr>
          <w:rFonts w:asciiTheme="minorHAnsi" w:hAnsiTheme="minorHAnsi" w:cs="Calibri"/>
          <w:sz w:val="22"/>
          <w:szCs w:val="22"/>
        </w:rPr>
        <w:t xml:space="preserve">When there is any change in the evaluation criteria for a disability applicable to a pending claim where an otherwise sufficient examination was already completed and the rating was not completed prior to the release of the new VASRD criteria, then an addendum to the examination is needed and if not possible, then a new examination should be requested as the examination of record would be insufficient to evaluate the condition as of the date of the law change. Supporting citations for this stance would include: M21-1 III.iv.3.D.3.a; M21-1 III.iv.3.D.3.b (Barr v. Nicholson); and 38 CFR 3.159(c)(4). </w:t>
      </w:r>
    </w:p>
    <w:p w:rsidR="00CD5855" w:rsidRDefault="00CD5855" w:rsidP="00CD5855">
      <w:pPr>
        <w:widowControl w:val="0"/>
        <w:spacing w:after="120"/>
        <w:outlineLvl w:val="0"/>
        <w:rPr>
          <w:b/>
          <w:bCs/>
        </w:rPr>
      </w:pPr>
    </w:p>
    <w:p w:rsidR="00013EB8" w:rsidRPr="00261702" w:rsidRDefault="001E4612" w:rsidP="00F063AF">
      <w:pPr>
        <w:widowControl w:val="0"/>
        <w:numPr>
          <w:ilvl w:val="0"/>
          <w:numId w:val="90"/>
        </w:numPr>
        <w:tabs>
          <w:tab w:val="clear" w:pos="720"/>
          <w:tab w:val="num" w:pos="400"/>
        </w:tabs>
        <w:spacing w:after="120"/>
        <w:ind w:left="403" w:hanging="403"/>
        <w:outlineLvl w:val="0"/>
        <w:rPr>
          <w:b/>
          <w:bCs/>
        </w:rPr>
      </w:pPr>
      <w:r>
        <w:rPr>
          <w:b/>
          <w:bCs/>
        </w:rPr>
        <w:t>III.ii.2.B.1.d</w:t>
      </w:r>
    </w:p>
    <w:p w:rsidR="00013EB8" w:rsidRDefault="00013EB8" w:rsidP="00F063AF">
      <w:pPr>
        <w:widowControl w:val="0"/>
        <w:numPr>
          <w:ilvl w:val="0"/>
          <w:numId w:val="90"/>
        </w:numPr>
        <w:tabs>
          <w:tab w:val="clear" w:pos="720"/>
          <w:tab w:val="num" w:pos="400"/>
        </w:tabs>
        <w:spacing w:after="120"/>
        <w:ind w:left="403" w:hanging="403"/>
        <w:outlineLvl w:val="0"/>
        <w:rPr>
          <w:b/>
          <w:bCs/>
        </w:rPr>
      </w:pPr>
      <w:r w:rsidRPr="00261702">
        <w:rPr>
          <w:b/>
          <w:bCs/>
        </w:rPr>
        <w:t>III.v.7</w:t>
      </w:r>
      <w:r w:rsidR="00BB1989">
        <w:rPr>
          <w:b/>
          <w:bCs/>
        </w:rPr>
        <w:t>.B &amp; III.v.7.C</w:t>
      </w:r>
    </w:p>
    <w:p w:rsidR="002B3561" w:rsidRPr="00A64822" w:rsidRDefault="002B3561" w:rsidP="00F063AF">
      <w:pPr>
        <w:widowControl w:val="0"/>
        <w:numPr>
          <w:ilvl w:val="0"/>
          <w:numId w:val="90"/>
        </w:numPr>
        <w:tabs>
          <w:tab w:val="clear" w:pos="720"/>
          <w:tab w:val="num" w:pos="400"/>
        </w:tabs>
        <w:spacing w:after="120"/>
        <w:ind w:left="403" w:hanging="403"/>
        <w:outlineLvl w:val="0"/>
        <w:rPr>
          <w:rStyle w:val="Hyperlink"/>
          <w:b/>
          <w:bCs/>
          <w:color w:val="auto"/>
          <w:u w:val="none"/>
        </w:rPr>
      </w:pPr>
      <w:r w:rsidRPr="00A64822">
        <w:rPr>
          <w:b/>
          <w:i/>
        </w:rPr>
        <w:t>Introduction to Dental and Oral Conditions Rating Schedule Changes, TMS 4284803</w:t>
      </w:r>
    </w:p>
    <w:p w:rsidR="00C1219A" w:rsidRPr="00A64822" w:rsidRDefault="00A64822" w:rsidP="00F063AF">
      <w:pPr>
        <w:widowControl w:val="0"/>
        <w:numPr>
          <w:ilvl w:val="0"/>
          <w:numId w:val="90"/>
        </w:numPr>
        <w:tabs>
          <w:tab w:val="clear" w:pos="720"/>
          <w:tab w:val="left" w:pos="360"/>
        </w:tabs>
        <w:spacing w:after="120"/>
        <w:ind w:left="360"/>
        <w:outlineLvl w:val="0"/>
        <w:rPr>
          <w:bCs/>
        </w:rPr>
      </w:pPr>
      <w:r w:rsidRPr="00A64822">
        <w:rPr>
          <w:b/>
          <w:bCs/>
        </w:rPr>
        <w:t>IX.ii.2.2</w:t>
      </w:r>
    </w:p>
    <w:p w:rsidR="000E705D" w:rsidRDefault="000E705D" w:rsidP="00F063AF">
      <w:pPr>
        <w:widowControl w:val="0"/>
        <w:numPr>
          <w:ilvl w:val="0"/>
          <w:numId w:val="90"/>
        </w:numPr>
        <w:tabs>
          <w:tab w:val="clear" w:pos="720"/>
          <w:tab w:val="left" w:pos="360"/>
        </w:tabs>
        <w:spacing w:after="120"/>
        <w:ind w:left="360"/>
        <w:outlineLvl w:val="0"/>
        <w:rPr>
          <w:b/>
          <w:bCs/>
        </w:rPr>
      </w:pPr>
      <w:r>
        <w:rPr>
          <w:b/>
          <w:bCs/>
        </w:rPr>
        <w:t>I</w:t>
      </w:r>
      <w:r w:rsidR="0048384F">
        <w:rPr>
          <w:b/>
          <w:bCs/>
        </w:rPr>
        <w:t>X</w:t>
      </w:r>
      <w:r>
        <w:rPr>
          <w:b/>
          <w:bCs/>
        </w:rPr>
        <w:t>.ii.2.3</w:t>
      </w:r>
      <w:r w:rsidR="00463F5E" w:rsidRPr="00463F5E">
        <w:rPr>
          <w:bCs/>
        </w:rPr>
        <w:t>, changes eff 9/10/17, not liberalizing</w:t>
      </w:r>
      <w:r w:rsidR="008C6428">
        <w:rPr>
          <w:bCs/>
        </w:rPr>
        <w:t xml:space="preserve">; new DBQs release same day per </w:t>
      </w:r>
      <w:r w:rsidR="008C6428" w:rsidRPr="008C6428">
        <w:rPr>
          <w:b/>
          <w:bCs/>
          <w:i/>
        </w:rPr>
        <w:t xml:space="preserve">September 2017 </w:t>
      </w:r>
      <w:r w:rsidR="008C6428" w:rsidRPr="008C6428">
        <w:rPr>
          <w:b/>
          <w:i/>
        </w:rPr>
        <w:t>Compensation Service Bulletin (CSB)</w:t>
      </w:r>
    </w:p>
    <w:p w:rsidR="000E705D" w:rsidRDefault="000E705D" w:rsidP="00F063AF">
      <w:pPr>
        <w:widowControl w:val="0"/>
        <w:numPr>
          <w:ilvl w:val="1"/>
          <w:numId w:val="90"/>
        </w:numPr>
        <w:tabs>
          <w:tab w:val="clear" w:pos="1440"/>
          <w:tab w:val="num" w:pos="720"/>
        </w:tabs>
        <w:spacing w:after="120"/>
        <w:ind w:left="720"/>
        <w:outlineLvl w:val="0"/>
        <w:rPr>
          <w:bCs/>
        </w:rPr>
      </w:pPr>
      <w:r>
        <w:rPr>
          <w:bCs/>
        </w:rPr>
        <w:t>Note 2</w:t>
      </w:r>
      <w:r w:rsidR="00463F5E">
        <w:rPr>
          <w:bCs/>
        </w:rPr>
        <w:t xml:space="preserve"> -</w:t>
      </w:r>
      <w:r>
        <w:rPr>
          <w:bCs/>
        </w:rPr>
        <w:t xml:space="preserve"> s</w:t>
      </w:r>
      <w:r w:rsidRPr="000E705D">
        <w:rPr>
          <w:bCs/>
        </w:rPr>
        <w:t>eparately evaluate associated impairments (loss of vocal articulation, loss of smell, loss of taste, neurological impairment, respiratory dysfunction,</w:t>
      </w:r>
      <w:r>
        <w:rPr>
          <w:bCs/>
        </w:rPr>
        <w:t xml:space="preserve"> other impairments (scars, etc)</w:t>
      </w:r>
    </w:p>
    <w:p w:rsidR="000E705D" w:rsidRDefault="00261E3A" w:rsidP="00F063AF">
      <w:pPr>
        <w:widowControl w:val="0"/>
        <w:numPr>
          <w:ilvl w:val="1"/>
          <w:numId w:val="90"/>
        </w:numPr>
        <w:tabs>
          <w:tab w:val="clear" w:pos="1440"/>
          <w:tab w:val="num" w:pos="720"/>
        </w:tabs>
        <w:spacing w:after="120"/>
        <w:ind w:left="720"/>
        <w:outlineLvl w:val="0"/>
        <w:rPr>
          <w:bCs/>
        </w:rPr>
      </w:pPr>
      <w:r>
        <w:rPr>
          <w:bCs/>
        </w:rPr>
        <w:t xml:space="preserve">need x-rays for </w:t>
      </w:r>
      <w:r w:rsidR="00806E7B">
        <w:rPr>
          <w:bCs/>
        </w:rPr>
        <w:t>nonunion, 9903, 9916</w:t>
      </w:r>
      <w:r w:rsidR="007B18C1">
        <w:rPr>
          <w:bCs/>
        </w:rPr>
        <w:t xml:space="preserve"> (no need of copy, just note that reviewed by examiner)</w:t>
      </w:r>
    </w:p>
    <w:p w:rsidR="00806E7B" w:rsidRDefault="00806E7B" w:rsidP="00F063AF">
      <w:pPr>
        <w:widowControl w:val="0"/>
        <w:numPr>
          <w:ilvl w:val="1"/>
          <w:numId w:val="90"/>
        </w:numPr>
        <w:tabs>
          <w:tab w:val="clear" w:pos="1440"/>
          <w:tab w:val="num" w:pos="720"/>
        </w:tabs>
        <w:spacing w:after="120"/>
        <w:ind w:left="720"/>
        <w:outlineLvl w:val="0"/>
        <w:rPr>
          <w:bCs/>
        </w:rPr>
      </w:pPr>
      <w:r>
        <w:rPr>
          <w:bCs/>
        </w:rPr>
        <w:t>TMD / TMJ / TMJD</w:t>
      </w:r>
      <w:r w:rsidR="0048384F">
        <w:rPr>
          <w:bCs/>
        </w:rPr>
        <w:t xml:space="preserve"> – max inter-incisal 35-50mm; mechanically altered foods (blending, chopping, grinding, mashing to make easier to chew &amp; swallow), then 4 levels (full liquid, puree, soft &amp; semi-solid) – must be recorded/verified</w:t>
      </w:r>
      <w:r w:rsidR="00463F5E">
        <w:rPr>
          <w:bCs/>
        </w:rPr>
        <w:t>/endorsed</w:t>
      </w:r>
      <w:r w:rsidR="0048384F">
        <w:rPr>
          <w:bCs/>
        </w:rPr>
        <w:t xml:space="preserve"> by a physician</w:t>
      </w:r>
      <w:r w:rsidR="00463F5E">
        <w:rPr>
          <w:bCs/>
        </w:rPr>
        <w:t xml:space="preserve"> (i.e. if indicated on exam report)</w:t>
      </w:r>
    </w:p>
    <w:p w:rsidR="00013EB8" w:rsidRPr="00126C6D" w:rsidRDefault="00D43CAE" w:rsidP="00F063AF">
      <w:pPr>
        <w:widowControl w:val="0"/>
        <w:numPr>
          <w:ilvl w:val="1"/>
          <w:numId w:val="90"/>
        </w:numPr>
        <w:tabs>
          <w:tab w:val="clear" w:pos="1440"/>
          <w:tab w:val="num" w:pos="720"/>
        </w:tabs>
        <w:spacing w:after="120"/>
        <w:ind w:left="720"/>
        <w:outlineLvl w:val="0"/>
        <w:rPr>
          <w:b/>
          <w:bCs/>
        </w:rPr>
      </w:pPr>
      <w:r>
        <w:rPr>
          <w:b/>
          <w:bCs/>
        </w:rPr>
        <w:t>IX.</w:t>
      </w:r>
      <w:r w:rsidR="00126C6D">
        <w:rPr>
          <w:b/>
          <w:bCs/>
        </w:rPr>
        <w:t xml:space="preserve">ii.2.3.a – </w:t>
      </w:r>
      <w:r w:rsidR="00126C6D">
        <w:rPr>
          <w:bCs/>
        </w:rPr>
        <w:t>with grants, notify veteran to take notice to VHA eligibility office, maybe use this:</w:t>
      </w:r>
    </w:p>
    <w:p w:rsidR="00126C6D" w:rsidRDefault="00126C6D" w:rsidP="0048384F">
      <w:pPr>
        <w:widowControl w:val="0"/>
        <w:spacing w:after="120"/>
        <w:ind w:left="720"/>
        <w:outlineLvl w:val="0"/>
        <w:rPr>
          <w:bCs/>
        </w:rPr>
      </w:pPr>
      <w:r w:rsidRPr="00126C6D">
        <w:rPr>
          <w:bCs/>
        </w:rPr>
        <w:t>VSR:</w:t>
      </w:r>
      <w:r>
        <w:rPr>
          <w:bCs/>
        </w:rPr>
        <w:t xml:space="preserve">  Please instruct the veteran to take the decision notice to the nearest VHA eligibility office to obtain more information regarding their eligibility for treatment of their dental/oral disability.</w:t>
      </w:r>
    </w:p>
    <w:p w:rsidR="00463F5E" w:rsidRPr="00463F5E" w:rsidRDefault="00463F5E" w:rsidP="00F063AF">
      <w:pPr>
        <w:pStyle w:val="ListParagraph"/>
        <w:numPr>
          <w:ilvl w:val="0"/>
          <w:numId w:val="380"/>
        </w:numPr>
        <w:spacing w:after="120" w:line="240" w:lineRule="auto"/>
        <w:ind w:left="360"/>
        <w:rPr>
          <w:rFonts w:ascii="Tahoma" w:hAnsi="Tahoma" w:cs="Tahoma"/>
        </w:rPr>
      </w:pPr>
      <w:r w:rsidRPr="00463F5E">
        <w:rPr>
          <w:rFonts w:ascii="Tahoma" w:hAnsi="Tahoma" w:cs="Tahoma"/>
          <w:b/>
          <w:bCs/>
        </w:rPr>
        <w:t>From:</w:t>
      </w:r>
      <w:r w:rsidRPr="00463F5E">
        <w:rPr>
          <w:rFonts w:ascii="Tahoma" w:hAnsi="Tahoma" w:cs="Tahoma"/>
        </w:rPr>
        <w:t xml:space="preserve"> VAVBASDC/RO/VSC </w:t>
      </w:r>
      <w:r w:rsidRPr="00463F5E">
        <w:rPr>
          <w:rFonts w:ascii="Tahoma" w:hAnsi="Tahoma" w:cs="Tahoma"/>
        </w:rPr>
        <w:br/>
      </w:r>
      <w:r w:rsidRPr="00463F5E">
        <w:rPr>
          <w:rFonts w:ascii="Tahoma" w:hAnsi="Tahoma" w:cs="Tahoma"/>
          <w:b/>
          <w:bCs/>
        </w:rPr>
        <w:t>Sent:</w:t>
      </w:r>
      <w:r w:rsidRPr="00463F5E">
        <w:rPr>
          <w:rFonts w:ascii="Tahoma" w:hAnsi="Tahoma" w:cs="Tahoma"/>
        </w:rPr>
        <w:t xml:space="preserve"> Monday, September 11, 2017 11:33 AM</w:t>
      </w:r>
      <w:r w:rsidRPr="00463F5E">
        <w:rPr>
          <w:rFonts w:ascii="Tahoma" w:hAnsi="Tahoma" w:cs="Tahoma"/>
        </w:rPr>
        <w:br/>
      </w:r>
      <w:r w:rsidRPr="00463F5E">
        <w:rPr>
          <w:rFonts w:ascii="Tahoma" w:hAnsi="Tahoma" w:cs="Tahoma"/>
          <w:b/>
          <w:bCs/>
        </w:rPr>
        <w:t>Subject:</w:t>
      </w:r>
      <w:r w:rsidRPr="00463F5E">
        <w:rPr>
          <w:rFonts w:ascii="Tahoma" w:hAnsi="Tahoma" w:cs="Tahoma"/>
        </w:rPr>
        <w:t xml:space="preserve"> FW: Q-Tip: Revised Rating Schedule Criteria for Dental and Oral Conditions</w:t>
      </w:r>
    </w:p>
    <w:p w:rsidR="00463F5E" w:rsidRPr="00463F5E" w:rsidRDefault="00463F5E" w:rsidP="00463F5E">
      <w:pPr>
        <w:tabs>
          <w:tab w:val="left" w:pos="360"/>
        </w:tabs>
        <w:spacing w:after="120"/>
        <w:ind w:left="360"/>
        <w:rPr>
          <w:szCs w:val="24"/>
        </w:rPr>
      </w:pPr>
      <w:r w:rsidRPr="00463F5E">
        <w:rPr>
          <w:szCs w:val="24"/>
        </w:rPr>
        <w:t>Good Morning VSC,</w:t>
      </w:r>
    </w:p>
    <w:p w:rsidR="00463F5E" w:rsidRPr="00463F5E" w:rsidRDefault="00463F5E" w:rsidP="00463F5E">
      <w:pPr>
        <w:tabs>
          <w:tab w:val="left" w:pos="360"/>
        </w:tabs>
        <w:spacing w:after="120"/>
        <w:ind w:left="360"/>
        <w:rPr>
          <w:b/>
          <w:bCs/>
          <w:szCs w:val="24"/>
        </w:rPr>
      </w:pPr>
      <w:r w:rsidRPr="00463F5E">
        <w:rPr>
          <w:b/>
          <w:bCs/>
          <w:szCs w:val="24"/>
        </w:rPr>
        <w:t>Q-Tip:  Revised Rating Schedule Criteria for Dental and Oral Conditions</w:t>
      </w:r>
    </w:p>
    <w:p w:rsidR="00463F5E" w:rsidRPr="00463F5E" w:rsidRDefault="00463F5E" w:rsidP="00463F5E">
      <w:pPr>
        <w:tabs>
          <w:tab w:val="left" w:pos="360"/>
        </w:tabs>
        <w:spacing w:after="120"/>
        <w:ind w:left="360"/>
        <w:rPr>
          <w:b/>
          <w:bCs/>
          <w:szCs w:val="24"/>
        </w:rPr>
      </w:pPr>
      <w:r w:rsidRPr="00463F5E">
        <w:rPr>
          <w:b/>
          <w:bCs/>
          <w:szCs w:val="24"/>
        </w:rPr>
        <w:t>Target Audience:  RVSRs and DROs</w:t>
      </w:r>
    </w:p>
    <w:p w:rsidR="00463F5E" w:rsidRPr="00463F5E" w:rsidRDefault="00463F5E" w:rsidP="00463F5E">
      <w:pPr>
        <w:tabs>
          <w:tab w:val="left" w:pos="360"/>
        </w:tabs>
        <w:spacing w:after="120"/>
        <w:ind w:left="360"/>
        <w:rPr>
          <w:szCs w:val="24"/>
        </w:rPr>
      </w:pPr>
      <w:r w:rsidRPr="00463F5E">
        <w:rPr>
          <w:szCs w:val="24"/>
        </w:rPr>
        <w:t>The Rating Schedule criteria for Dental and Oral Conditions, 38 CFR 4.150, was revised effective September 10, 2017.</w:t>
      </w:r>
    </w:p>
    <w:p w:rsidR="00463F5E" w:rsidRPr="00463F5E" w:rsidRDefault="00463F5E" w:rsidP="00463F5E">
      <w:pPr>
        <w:tabs>
          <w:tab w:val="left" w:pos="360"/>
        </w:tabs>
        <w:ind w:left="360"/>
        <w:rPr>
          <w:szCs w:val="24"/>
        </w:rPr>
      </w:pPr>
      <w:r w:rsidRPr="00463F5E">
        <w:rPr>
          <w:szCs w:val="24"/>
        </w:rPr>
        <w:t>Notable changes include:</w:t>
      </w:r>
    </w:p>
    <w:p w:rsidR="00463F5E" w:rsidRPr="00463F5E" w:rsidRDefault="00463F5E" w:rsidP="00F063AF">
      <w:pPr>
        <w:numPr>
          <w:ilvl w:val="0"/>
          <w:numId w:val="377"/>
        </w:numPr>
        <w:overflowPunct/>
        <w:autoSpaceDE/>
        <w:autoSpaceDN/>
        <w:adjustRightInd/>
        <w:ind w:left="990"/>
        <w:textAlignment w:val="auto"/>
        <w:rPr>
          <w:szCs w:val="24"/>
        </w:rPr>
      </w:pPr>
      <w:r w:rsidRPr="00463F5E">
        <w:rPr>
          <w:szCs w:val="24"/>
        </w:rPr>
        <w:t>Addition of new diagnosis of osteonecrosis.</w:t>
      </w:r>
    </w:p>
    <w:p w:rsidR="00463F5E" w:rsidRPr="00463F5E" w:rsidRDefault="00463F5E" w:rsidP="00F063AF">
      <w:pPr>
        <w:numPr>
          <w:ilvl w:val="0"/>
          <w:numId w:val="377"/>
        </w:numPr>
        <w:overflowPunct/>
        <w:autoSpaceDE/>
        <w:autoSpaceDN/>
        <w:adjustRightInd/>
        <w:ind w:left="990"/>
        <w:textAlignment w:val="auto"/>
        <w:rPr>
          <w:szCs w:val="24"/>
        </w:rPr>
      </w:pPr>
      <w:r w:rsidRPr="00463F5E">
        <w:rPr>
          <w:szCs w:val="24"/>
        </w:rPr>
        <w:t>Mandible loss of, including ramus, unilaterally or bilaterally - 2 additional levels of disability were added to 2 existing levels; this change allows to evaluate the loss of bone where it cannot be replaced by prosthesis; it will provide the rating for more severe impairments in cases where the loss of the bone cannot be replaced by prosthesis.</w:t>
      </w:r>
    </w:p>
    <w:p w:rsidR="00463F5E" w:rsidRPr="00463F5E" w:rsidRDefault="00463F5E" w:rsidP="00F063AF">
      <w:pPr>
        <w:numPr>
          <w:ilvl w:val="0"/>
          <w:numId w:val="377"/>
        </w:numPr>
        <w:overflowPunct/>
        <w:autoSpaceDE/>
        <w:autoSpaceDN/>
        <w:adjustRightInd/>
        <w:ind w:left="990"/>
        <w:textAlignment w:val="auto"/>
        <w:rPr>
          <w:szCs w:val="24"/>
        </w:rPr>
      </w:pPr>
      <w:r w:rsidRPr="00463F5E">
        <w:rPr>
          <w:szCs w:val="24"/>
        </w:rPr>
        <w:t xml:space="preserve">Temporomandibular disorder (TMD) – evaluation criteria now based on limited motion/movement and dietary restrictions. </w:t>
      </w:r>
    </w:p>
    <w:p w:rsidR="00463F5E" w:rsidRPr="00463F5E" w:rsidRDefault="00463F5E" w:rsidP="00F063AF">
      <w:pPr>
        <w:numPr>
          <w:ilvl w:val="0"/>
          <w:numId w:val="377"/>
        </w:numPr>
        <w:overflowPunct/>
        <w:autoSpaceDE/>
        <w:autoSpaceDN/>
        <w:adjustRightInd/>
        <w:spacing w:after="120"/>
        <w:ind w:left="990"/>
        <w:textAlignment w:val="auto"/>
        <w:rPr>
          <w:szCs w:val="24"/>
        </w:rPr>
      </w:pPr>
      <w:r w:rsidRPr="00463F5E">
        <w:rPr>
          <w:szCs w:val="24"/>
        </w:rPr>
        <w:t>New diagnostic codes for Neoplasm, hard or soft tissue, malignant or benign.</w:t>
      </w:r>
    </w:p>
    <w:p w:rsidR="00463F5E" w:rsidRPr="00463F5E" w:rsidRDefault="00463F5E" w:rsidP="00463F5E">
      <w:pPr>
        <w:spacing w:after="120"/>
        <w:ind w:left="360"/>
        <w:rPr>
          <w:szCs w:val="24"/>
        </w:rPr>
      </w:pPr>
      <w:r w:rsidRPr="00463F5E">
        <w:rPr>
          <w:szCs w:val="24"/>
        </w:rPr>
        <w:t xml:space="preserve">The revised evaluation criteria can be viewed </w:t>
      </w:r>
      <w:hyperlink r:id="rId704" w:history="1">
        <w:r w:rsidRPr="00463F5E">
          <w:rPr>
            <w:rStyle w:val="Hyperlink"/>
            <w:szCs w:val="24"/>
          </w:rPr>
          <w:t>here</w:t>
        </w:r>
      </w:hyperlink>
      <w:r w:rsidRPr="00463F5E">
        <w:rPr>
          <w:szCs w:val="24"/>
        </w:rPr>
        <w:t xml:space="preserve"> (pdf version) and soon at </w:t>
      </w:r>
      <w:hyperlink r:id="rId705" w:history="1">
        <w:r w:rsidRPr="00463F5E">
          <w:rPr>
            <w:rStyle w:val="Hyperlink"/>
            <w:szCs w:val="24"/>
          </w:rPr>
          <w:t>e-CFR</w:t>
        </w:r>
      </w:hyperlink>
      <w:r w:rsidRPr="00463F5E">
        <w:rPr>
          <w:szCs w:val="24"/>
        </w:rPr>
        <w:t xml:space="preserve"> (if not so already).</w:t>
      </w:r>
    </w:p>
    <w:p w:rsidR="00463F5E" w:rsidRPr="00463F5E" w:rsidRDefault="00463F5E" w:rsidP="00463F5E">
      <w:pPr>
        <w:tabs>
          <w:tab w:val="left" w:pos="360"/>
        </w:tabs>
        <w:ind w:left="360"/>
        <w:rPr>
          <w:szCs w:val="24"/>
        </w:rPr>
      </w:pPr>
      <w:r w:rsidRPr="00463F5E">
        <w:rPr>
          <w:szCs w:val="24"/>
        </w:rPr>
        <w:t>The manual was updated on September 8, 2017 to consider these changes at M21-1 IX.ii.2.3, to include:</w:t>
      </w:r>
    </w:p>
    <w:p w:rsidR="00463F5E" w:rsidRPr="00463F5E" w:rsidRDefault="00463F5E" w:rsidP="00F063AF">
      <w:pPr>
        <w:numPr>
          <w:ilvl w:val="0"/>
          <w:numId w:val="378"/>
        </w:numPr>
        <w:tabs>
          <w:tab w:val="left" w:pos="990"/>
        </w:tabs>
        <w:overflowPunct/>
        <w:autoSpaceDE/>
        <w:autoSpaceDN/>
        <w:adjustRightInd/>
        <w:ind w:left="990"/>
        <w:textAlignment w:val="auto"/>
        <w:rPr>
          <w:szCs w:val="24"/>
        </w:rPr>
      </w:pPr>
      <w:r w:rsidRPr="00463F5E">
        <w:rPr>
          <w:szCs w:val="24"/>
        </w:rPr>
        <w:t>Guidance on separate evaluations for potentially associated impairments that cannot be rated under the DCs provided by 38 CFR 4.150.</w:t>
      </w:r>
    </w:p>
    <w:p w:rsidR="00463F5E" w:rsidRPr="00463F5E" w:rsidRDefault="00463F5E" w:rsidP="00F063AF">
      <w:pPr>
        <w:numPr>
          <w:ilvl w:val="0"/>
          <w:numId w:val="378"/>
        </w:numPr>
        <w:tabs>
          <w:tab w:val="left" w:pos="990"/>
        </w:tabs>
        <w:overflowPunct/>
        <w:autoSpaceDE/>
        <w:autoSpaceDN/>
        <w:adjustRightInd/>
        <w:ind w:left="990"/>
        <w:textAlignment w:val="auto"/>
        <w:rPr>
          <w:szCs w:val="24"/>
        </w:rPr>
      </w:pPr>
      <w:r w:rsidRPr="00463F5E">
        <w:rPr>
          <w:szCs w:val="24"/>
        </w:rPr>
        <w:t>Information on imaging confirmation requirements imposed by regulatory changes to 38 CFR 4.150 involving nonunion of the mandible or maxilla.</w:t>
      </w:r>
    </w:p>
    <w:p w:rsidR="00463F5E" w:rsidRPr="00463F5E" w:rsidRDefault="00463F5E" w:rsidP="00F063AF">
      <w:pPr>
        <w:numPr>
          <w:ilvl w:val="0"/>
          <w:numId w:val="378"/>
        </w:numPr>
        <w:tabs>
          <w:tab w:val="left" w:pos="990"/>
        </w:tabs>
        <w:overflowPunct/>
        <w:autoSpaceDE/>
        <w:autoSpaceDN/>
        <w:adjustRightInd/>
        <w:ind w:left="990"/>
        <w:textAlignment w:val="auto"/>
        <w:rPr>
          <w:szCs w:val="24"/>
        </w:rPr>
      </w:pPr>
      <w:r w:rsidRPr="00463F5E">
        <w:rPr>
          <w:szCs w:val="24"/>
        </w:rPr>
        <w:t>Guidance based on content imposed by the regulatory changes to 38 CFR 4.150 involving evaluation of temporomandibular joint dysfunction.</w:t>
      </w:r>
    </w:p>
    <w:p w:rsidR="00463F5E" w:rsidRPr="00463F5E" w:rsidRDefault="00463F5E" w:rsidP="00F063AF">
      <w:pPr>
        <w:numPr>
          <w:ilvl w:val="0"/>
          <w:numId w:val="378"/>
        </w:numPr>
        <w:tabs>
          <w:tab w:val="left" w:pos="990"/>
        </w:tabs>
        <w:overflowPunct/>
        <w:autoSpaceDE/>
        <w:autoSpaceDN/>
        <w:adjustRightInd/>
        <w:ind w:left="990"/>
        <w:textAlignment w:val="auto"/>
        <w:rPr>
          <w:szCs w:val="24"/>
        </w:rPr>
      </w:pPr>
      <w:r w:rsidRPr="00463F5E">
        <w:rPr>
          <w:szCs w:val="24"/>
        </w:rPr>
        <w:t xml:space="preserve">Clarification that the new rating schedule changes are </w:t>
      </w:r>
      <w:r w:rsidRPr="00463F5E">
        <w:rPr>
          <w:b/>
          <w:bCs/>
          <w:szCs w:val="24"/>
        </w:rPr>
        <w:t>not</w:t>
      </w:r>
      <w:r w:rsidRPr="00463F5E">
        <w:rPr>
          <w:szCs w:val="24"/>
        </w:rPr>
        <w:t xml:space="preserve"> liberalizing.</w:t>
      </w:r>
    </w:p>
    <w:p w:rsidR="00463F5E" w:rsidRPr="00463F5E" w:rsidRDefault="00463F5E" w:rsidP="00F063AF">
      <w:pPr>
        <w:numPr>
          <w:ilvl w:val="0"/>
          <w:numId w:val="378"/>
        </w:numPr>
        <w:tabs>
          <w:tab w:val="left" w:pos="990"/>
        </w:tabs>
        <w:overflowPunct/>
        <w:autoSpaceDE/>
        <w:autoSpaceDN/>
        <w:adjustRightInd/>
        <w:spacing w:after="120"/>
        <w:ind w:left="994"/>
        <w:textAlignment w:val="auto"/>
        <w:rPr>
          <w:szCs w:val="24"/>
        </w:rPr>
      </w:pPr>
      <w:r w:rsidRPr="00463F5E">
        <w:rPr>
          <w:szCs w:val="24"/>
        </w:rPr>
        <w:t>Reference on the effect of regulatory changes on claims.</w:t>
      </w:r>
    </w:p>
    <w:p w:rsidR="00463F5E" w:rsidRPr="00463F5E" w:rsidRDefault="00463F5E" w:rsidP="00463F5E">
      <w:pPr>
        <w:ind w:left="360"/>
        <w:rPr>
          <w:szCs w:val="24"/>
        </w:rPr>
      </w:pPr>
      <w:r w:rsidRPr="00463F5E">
        <w:rPr>
          <w:szCs w:val="24"/>
        </w:rPr>
        <w:t>If a Veteran’s claim was pending or there was an Intent to File (ITF) notice received by VA at the time of regulation’s effective date (September 10, 2017), then the claim must be considered under both previous and new rating criteria.  For handling claims when there are regulatory changes, see M21-1 IV.ii.2.K.6.b.</w:t>
      </w:r>
    </w:p>
    <w:p w:rsidR="00463F5E" w:rsidRPr="00463F5E" w:rsidRDefault="00463F5E" w:rsidP="00463F5E">
      <w:pPr>
        <w:ind w:left="360"/>
        <w:rPr>
          <w:szCs w:val="24"/>
        </w:rPr>
      </w:pPr>
    </w:p>
    <w:p w:rsidR="00463F5E" w:rsidRPr="00463F5E" w:rsidRDefault="00463F5E" w:rsidP="00463F5E">
      <w:pPr>
        <w:ind w:left="360"/>
        <w:rPr>
          <w:color w:val="000000"/>
          <w:szCs w:val="24"/>
        </w:rPr>
      </w:pPr>
      <w:r w:rsidRPr="00463F5E">
        <w:rPr>
          <w:szCs w:val="24"/>
        </w:rPr>
        <w:t xml:space="preserve">Updated DBQs for “MUSC Temporomandibular Joint” and “DENT Dental and Oral Conditions” were scheduled to be pushed to VHA C&amp;P sites on </w:t>
      </w:r>
      <w:r w:rsidRPr="00463F5E">
        <w:rPr>
          <w:color w:val="000000"/>
          <w:szCs w:val="24"/>
        </w:rPr>
        <w:t>September 10, 2017, but may be delayed due to Hurricane Irma.</w:t>
      </w:r>
    </w:p>
    <w:p w:rsidR="00463F5E" w:rsidRPr="00463F5E" w:rsidRDefault="00463F5E" w:rsidP="00463F5E">
      <w:pPr>
        <w:rPr>
          <w:szCs w:val="24"/>
        </w:rPr>
      </w:pPr>
    </w:p>
    <w:p w:rsidR="00463F5E" w:rsidRPr="00463F5E" w:rsidRDefault="00463F5E" w:rsidP="00F063AF">
      <w:pPr>
        <w:pStyle w:val="ListParagraph"/>
        <w:numPr>
          <w:ilvl w:val="0"/>
          <w:numId w:val="379"/>
        </w:numPr>
        <w:spacing w:after="0" w:line="240" w:lineRule="auto"/>
        <w:rPr>
          <w:rFonts w:ascii="Arial" w:hAnsi="Arial"/>
          <w:sz w:val="20"/>
          <w:szCs w:val="24"/>
        </w:rPr>
      </w:pPr>
      <w:r w:rsidRPr="00463F5E">
        <w:rPr>
          <w:rFonts w:ascii="Arial" w:hAnsi="Arial"/>
          <w:sz w:val="20"/>
          <w:szCs w:val="24"/>
        </w:rPr>
        <w:t xml:space="preserve">VBMS-R was also scheduled to be updated September 10, 2017 to allow consideration of evaluation for dental and oral ratings across multiple schedules.  See slides 2 – 5 from the </w:t>
      </w:r>
      <w:hyperlink r:id="rId706" w:history="1">
        <w:r w:rsidRPr="00463F5E">
          <w:rPr>
            <w:rStyle w:val="Hyperlink"/>
            <w:rFonts w:ascii="Arial" w:hAnsi="Arial"/>
            <w:sz w:val="20"/>
            <w:szCs w:val="24"/>
          </w:rPr>
          <w:t>training deck</w:t>
        </w:r>
      </w:hyperlink>
      <w:r w:rsidRPr="00463F5E">
        <w:rPr>
          <w:rFonts w:ascii="Arial" w:hAnsi="Arial"/>
          <w:sz w:val="20"/>
          <w:szCs w:val="24"/>
        </w:rPr>
        <w:t>.</w:t>
      </w:r>
    </w:p>
    <w:p w:rsidR="000E705D" w:rsidRDefault="000E705D" w:rsidP="00463F5E">
      <w:pPr>
        <w:widowControl w:val="0"/>
        <w:spacing w:after="120"/>
        <w:outlineLvl w:val="0"/>
        <w:rPr>
          <w:bCs/>
        </w:rPr>
      </w:pPr>
    </w:p>
    <w:p w:rsidR="002C4ED9" w:rsidRPr="002C4ED9" w:rsidRDefault="00013EB8" w:rsidP="00F063AF">
      <w:pPr>
        <w:pStyle w:val="Heading5"/>
        <w:keepNext w:val="0"/>
        <w:widowControl w:val="0"/>
        <w:numPr>
          <w:ilvl w:val="0"/>
          <w:numId w:val="90"/>
        </w:numPr>
        <w:pBdr>
          <w:top w:val="none" w:sz="0" w:space="0" w:color="auto"/>
          <w:left w:val="none" w:sz="0" w:space="0" w:color="auto"/>
          <w:bottom w:val="none" w:sz="0" w:space="0" w:color="auto"/>
          <w:right w:val="none" w:sz="0" w:space="0" w:color="auto"/>
        </w:pBdr>
        <w:tabs>
          <w:tab w:val="clear" w:pos="720"/>
          <w:tab w:val="num" w:pos="360"/>
          <w:tab w:val="left" w:pos="660"/>
          <w:tab w:val="left" w:pos="9407"/>
        </w:tabs>
        <w:spacing w:after="120"/>
        <w:ind w:left="403" w:hanging="313"/>
      </w:pPr>
      <w:r>
        <w:rPr>
          <w:bCs/>
          <w:i/>
          <w:iCs/>
          <w:sz w:val="20"/>
        </w:rPr>
        <w:t>GC Opinion 5-97 (1/22/97)</w:t>
      </w:r>
    </w:p>
    <w:p w:rsidR="002C4ED9" w:rsidRDefault="00013EB8" w:rsidP="00F063AF">
      <w:pPr>
        <w:pStyle w:val="Heading5"/>
        <w:keepNext w:val="0"/>
        <w:widowControl w:val="0"/>
        <w:numPr>
          <w:ilvl w:val="0"/>
          <w:numId w:val="90"/>
        </w:numPr>
        <w:pBdr>
          <w:top w:val="none" w:sz="0" w:space="0" w:color="auto"/>
          <w:left w:val="none" w:sz="0" w:space="0" w:color="auto"/>
          <w:bottom w:val="none" w:sz="0" w:space="0" w:color="auto"/>
          <w:right w:val="none" w:sz="0" w:space="0" w:color="auto"/>
        </w:pBdr>
        <w:tabs>
          <w:tab w:val="clear" w:pos="720"/>
          <w:tab w:val="left" w:pos="360"/>
          <w:tab w:val="num" w:pos="630"/>
          <w:tab w:val="left" w:pos="660"/>
          <w:tab w:val="left" w:pos="9407"/>
        </w:tabs>
        <w:spacing w:after="120"/>
        <w:ind w:left="360" w:hanging="270"/>
        <w:rPr>
          <w:sz w:val="20"/>
        </w:rPr>
      </w:pPr>
      <w:r w:rsidRPr="002C4ED9">
        <w:rPr>
          <w:i/>
          <w:sz w:val="20"/>
        </w:rPr>
        <w:t xml:space="preserve">August 2009 </w:t>
      </w:r>
      <w:r w:rsidR="00EB6F0B" w:rsidRPr="002C4ED9">
        <w:rPr>
          <w:i/>
          <w:sz w:val="20"/>
        </w:rPr>
        <w:t>Compensation Service Bulletin (CSB)</w:t>
      </w:r>
      <w:r w:rsidRPr="002C4ED9">
        <w:rPr>
          <w:sz w:val="20"/>
        </w:rPr>
        <w:t xml:space="preserve"> </w:t>
      </w:r>
      <w:r w:rsidRPr="002C4ED9">
        <w:rPr>
          <w:iCs/>
          <w:sz w:val="20"/>
        </w:rPr>
        <w:t xml:space="preserve">- </w:t>
      </w:r>
      <w:r w:rsidRPr="002C4ED9">
        <w:rPr>
          <w:sz w:val="20"/>
        </w:rPr>
        <w:t>Requesting Deluca Factors on Dental and Oral Examinations for Temporomandibular Joint (TMJ) Disorders</w:t>
      </w:r>
    </w:p>
    <w:p w:rsidR="00013EB8" w:rsidRPr="002C4ED9" w:rsidRDefault="00013EB8" w:rsidP="002C4ED9">
      <w:pPr>
        <w:pStyle w:val="Heading5"/>
        <w:keepNext w:val="0"/>
        <w:widowControl w:val="0"/>
        <w:pBdr>
          <w:top w:val="none" w:sz="0" w:space="0" w:color="auto"/>
          <w:left w:val="none" w:sz="0" w:space="0" w:color="auto"/>
          <w:bottom w:val="none" w:sz="0" w:space="0" w:color="auto"/>
          <w:right w:val="none" w:sz="0" w:space="0" w:color="auto"/>
        </w:pBdr>
        <w:tabs>
          <w:tab w:val="left" w:pos="360"/>
          <w:tab w:val="left" w:pos="660"/>
          <w:tab w:val="left" w:pos="9407"/>
        </w:tabs>
        <w:spacing w:after="120"/>
        <w:ind w:left="360"/>
        <w:rPr>
          <w:b w:val="0"/>
          <w:sz w:val="20"/>
        </w:rPr>
      </w:pPr>
      <w:r w:rsidRPr="002C4ED9">
        <w:rPr>
          <w:b w:val="0"/>
          <w:sz w:val="20"/>
        </w:rPr>
        <w:t xml:space="preserve">C&amp;P Service has received multiple questions regarding the application of the </w:t>
      </w:r>
      <w:r w:rsidRPr="002C4ED9">
        <w:rPr>
          <w:b w:val="0"/>
          <w:i/>
          <w:iCs/>
          <w:sz w:val="20"/>
        </w:rPr>
        <w:t>DeLuca</w:t>
      </w:r>
      <w:r w:rsidRPr="002C4ED9">
        <w:rPr>
          <w:b w:val="0"/>
          <w:sz w:val="20"/>
        </w:rPr>
        <w:t xml:space="preserve"> factors in evaluating disability resulting from Temporomandibular Joint (TMJ) disorders.  The Board of Veterans' Appeals (Board) has remanded claims for new examinations including consideration of </w:t>
      </w:r>
      <w:r w:rsidRPr="002C4ED9">
        <w:rPr>
          <w:b w:val="0"/>
          <w:i/>
          <w:iCs/>
          <w:sz w:val="20"/>
        </w:rPr>
        <w:t>DeLuca</w:t>
      </w:r>
      <w:r w:rsidRPr="002C4ED9">
        <w:rPr>
          <w:b w:val="0"/>
          <w:sz w:val="20"/>
        </w:rPr>
        <w:t xml:space="preserve"> as relating to TMJ disorders.  Although the </w:t>
      </w:r>
      <w:r w:rsidRPr="002C4ED9">
        <w:rPr>
          <w:b w:val="0"/>
          <w:i/>
          <w:iCs/>
          <w:sz w:val="20"/>
        </w:rPr>
        <w:t xml:space="preserve">DeLuca </w:t>
      </w:r>
      <w:r w:rsidRPr="002C4ED9">
        <w:rPr>
          <w:b w:val="0"/>
          <w:sz w:val="20"/>
        </w:rPr>
        <w:t xml:space="preserve">decision was predicated in large part on the provisions of 38 CFR 4.40 and 4.45, which are part of the rating schedule for musculoskeletal conditions, and TMJ disorders are coded and evaluated under the “Dental and Oral Conditions” part of the schedule, the temporomandibular joints are clearly musculoskeletal joints and the evaluation of the TMJ is based on loss of motion.  Therefore, the provisions of the </w:t>
      </w:r>
      <w:r w:rsidRPr="002C4ED9">
        <w:rPr>
          <w:b w:val="0"/>
          <w:i/>
          <w:iCs/>
          <w:sz w:val="20"/>
        </w:rPr>
        <w:t>DeLuca</w:t>
      </w:r>
      <w:r w:rsidRPr="002C4ED9">
        <w:rPr>
          <w:b w:val="0"/>
          <w:sz w:val="20"/>
        </w:rPr>
        <w:t xml:space="preserve"> decision must also be applied to the evaluation of diagnostic code 9905, temporomandibular articulation, limited motion of.</w:t>
      </w:r>
    </w:p>
    <w:p w:rsidR="00F26444" w:rsidRPr="00D821CA" w:rsidRDefault="00D571C5" w:rsidP="00F063AF">
      <w:pPr>
        <w:pStyle w:val="NoSpacing"/>
        <w:numPr>
          <w:ilvl w:val="0"/>
          <w:numId w:val="113"/>
        </w:numPr>
        <w:tabs>
          <w:tab w:val="clear" w:pos="720"/>
          <w:tab w:val="num" w:pos="360"/>
          <w:tab w:val="left" w:pos="1080"/>
        </w:tabs>
        <w:spacing w:after="120"/>
        <w:ind w:left="360" w:hanging="270"/>
        <w:rPr>
          <w:rStyle w:val="Hyperlink"/>
          <w:rFonts w:ascii="Arial" w:hAnsi="Arial"/>
          <w:color w:val="auto"/>
          <w:sz w:val="20"/>
          <w:szCs w:val="20"/>
          <w:u w:val="none"/>
        </w:rPr>
      </w:pPr>
      <w:hyperlink r:id="rId707" w:history="1">
        <w:r w:rsidR="00F26444">
          <w:rPr>
            <w:rStyle w:val="Hyperlink"/>
            <w:rFonts w:asciiTheme="minorHAnsi" w:hAnsiTheme="minorHAnsi"/>
            <w:b/>
            <w:i/>
          </w:rPr>
          <w:t>12/19/14 DBQ Call</w:t>
        </w:r>
      </w:hyperlink>
      <w:r w:rsidR="00F26444">
        <w:rPr>
          <w:rStyle w:val="Hyperlink"/>
          <w:rFonts w:asciiTheme="minorHAnsi" w:hAnsiTheme="minorHAnsi"/>
          <w:u w:val="none"/>
        </w:rPr>
        <w:t xml:space="preserve"> – </w:t>
      </w:r>
      <w:r w:rsidR="00F26444">
        <w:rPr>
          <w:rStyle w:val="Hyperlink"/>
          <w:rFonts w:asciiTheme="minorHAnsi" w:hAnsiTheme="minorHAnsi"/>
          <w:color w:val="auto"/>
          <w:u w:val="none"/>
        </w:rPr>
        <w:t>TMJ exams can be done by general medical clinicans.</w:t>
      </w:r>
    </w:p>
    <w:p w:rsidR="00D821CA" w:rsidRPr="00F26444" w:rsidRDefault="00D821CA" w:rsidP="00F063AF">
      <w:pPr>
        <w:pStyle w:val="NoSpacing"/>
        <w:numPr>
          <w:ilvl w:val="0"/>
          <w:numId w:val="113"/>
        </w:numPr>
        <w:tabs>
          <w:tab w:val="clear" w:pos="720"/>
          <w:tab w:val="num" w:pos="360"/>
          <w:tab w:val="left" w:pos="1080"/>
        </w:tabs>
        <w:spacing w:after="120"/>
        <w:ind w:left="360" w:hanging="270"/>
        <w:rPr>
          <w:rFonts w:ascii="Arial" w:hAnsi="Arial"/>
          <w:sz w:val="20"/>
          <w:szCs w:val="20"/>
        </w:rPr>
      </w:pPr>
      <w:r w:rsidRPr="00C2315E">
        <w:rPr>
          <w:rFonts w:ascii="Arial" w:hAnsi="Arial"/>
          <w:b/>
          <w:i/>
          <w:sz w:val="20"/>
          <w:szCs w:val="20"/>
        </w:rPr>
        <w:t xml:space="preserve">July 2015 </w:t>
      </w:r>
      <w:r w:rsidR="00EB6F0B" w:rsidRPr="00C2315E">
        <w:rPr>
          <w:rFonts w:ascii="Arial" w:hAnsi="Arial"/>
          <w:b/>
          <w:i/>
          <w:sz w:val="20"/>
          <w:szCs w:val="20"/>
        </w:rPr>
        <w:t>Compensation Service Bulletin (CSB)</w:t>
      </w:r>
      <w:r>
        <w:rPr>
          <w:rFonts w:ascii="Arial" w:hAnsi="Arial"/>
          <w:sz w:val="20"/>
          <w:szCs w:val="20"/>
        </w:rPr>
        <w:t xml:space="preserve"> – new proposed rule</w:t>
      </w:r>
    </w:p>
    <w:p w:rsidR="00013EB8" w:rsidRDefault="00D571C5">
      <w:pPr>
        <w:widowControl w:val="0"/>
        <w:outlineLvl w:val="0"/>
        <w:rPr>
          <w:color w:val="0000FF"/>
        </w:rPr>
      </w:pPr>
      <w:hyperlink r:id="rId708" w:history="1">
        <w:r w:rsidR="00013EB8">
          <w:rPr>
            <w:rStyle w:val="Hyperlink"/>
          </w:rPr>
          <w:t>http://epss.vba.va.gov/mepss/</w:t>
        </w:r>
      </w:hyperlink>
    </w:p>
    <w:p w:rsidR="00013EB8" w:rsidRDefault="00D571C5">
      <w:pPr>
        <w:widowControl w:val="0"/>
        <w:outlineLvl w:val="0"/>
      </w:pPr>
      <w:hyperlink r:id="rId709" w:history="1">
        <w:r w:rsidR="00013EB8">
          <w:rPr>
            <w:rStyle w:val="Hyperlink"/>
          </w:rPr>
          <w:t>http://cptraining.vba.va.gov/C&amp;P_Training/RVSR/RVSR_Curriculum/SG/Dental-SG.doc</w:t>
        </w:r>
      </w:hyperlink>
    </w:p>
    <w:p w:rsidR="00013EB8" w:rsidRDefault="00D571C5">
      <w:pPr>
        <w:widowControl w:val="0"/>
      </w:pPr>
      <w:hyperlink r:id="rId710" w:history="1">
        <w:r w:rsidR="00013EB8">
          <w:rPr>
            <w:rStyle w:val="Hyperlink"/>
          </w:rPr>
          <w:t>http://en.wikipedia.org/wiki/Maxilla</w:t>
        </w:r>
      </w:hyperlink>
      <w:r w:rsidR="00013EB8">
        <w:t xml:space="preserve"> - upper jaw</w:t>
      </w:r>
    </w:p>
    <w:p w:rsidR="00013EB8" w:rsidRDefault="00D571C5">
      <w:pPr>
        <w:widowControl w:val="0"/>
      </w:pPr>
      <w:hyperlink r:id="rId711" w:history="1">
        <w:r w:rsidR="00013EB8">
          <w:rPr>
            <w:rStyle w:val="Hyperlink"/>
          </w:rPr>
          <w:t>http://en.wikipedia.org/wiki/Mandible</w:t>
        </w:r>
      </w:hyperlink>
      <w:r w:rsidR="00013EB8">
        <w:t xml:space="preserve"> - lower jaw</w:t>
      </w:r>
    </w:p>
    <w:p w:rsidR="00013EB8" w:rsidRDefault="00013EB8">
      <w:pPr>
        <w:widowControl w:val="0"/>
        <w:tabs>
          <w:tab w:val="left" w:pos="660"/>
          <w:tab w:val="left" w:pos="9407"/>
        </w:tabs>
        <w:rPr>
          <w:i/>
        </w:rPr>
      </w:pPr>
    </w:p>
    <w:p w:rsidR="00013EB8" w:rsidRDefault="00013EB8">
      <w:pPr>
        <w:pStyle w:val="Heading4"/>
        <w:keepNext w:val="0"/>
        <w:widowControl w:val="0"/>
        <w:pBdr>
          <w:top w:val="none" w:sz="0" w:space="0" w:color="auto"/>
          <w:left w:val="none" w:sz="0" w:space="0" w:color="auto"/>
          <w:bottom w:val="none" w:sz="0" w:space="0" w:color="auto"/>
          <w:right w:val="none" w:sz="0" w:space="0" w:color="auto"/>
        </w:pBdr>
        <w:rPr>
          <w:rStyle w:val="Hyperlink"/>
          <w:b/>
          <w:i w:val="0"/>
          <w:iCs w:val="0"/>
          <w:sz w:val="20"/>
        </w:rPr>
      </w:pPr>
      <w:r>
        <w:rPr>
          <w:bCs/>
          <w:i w:val="0"/>
          <w:iCs w:val="0"/>
          <w:sz w:val="20"/>
        </w:rPr>
        <w:t>9900</w:t>
      </w:r>
      <w:r>
        <w:rPr>
          <w:bCs/>
          <w:i w:val="0"/>
          <w:iCs w:val="0"/>
          <w:sz w:val="20"/>
        </w:rPr>
        <w:tab/>
        <w:t>Maxilla or mandible, osteomye</w:t>
      </w:r>
      <w:r w:rsidR="00525152">
        <w:rPr>
          <w:bCs/>
          <w:i w:val="0"/>
          <w:iCs w:val="0"/>
          <w:sz w:val="20"/>
        </w:rPr>
        <w:t>litis or osteoradionecrosis of</w:t>
      </w:r>
    </w:p>
    <w:p w:rsidR="00EB42DC" w:rsidRDefault="00EB42DC" w:rsidP="00EB42DC">
      <w:pPr>
        <w:pStyle w:val="Heading4"/>
        <w:keepNext w:val="0"/>
        <w:widowControl w:val="0"/>
        <w:pBdr>
          <w:top w:val="none" w:sz="0" w:space="0" w:color="auto"/>
          <w:left w:val="none" w:sz="0" w:space="0" w:color="auto"/>
          <w:bottom w:val="none" w:sz="0" w:space="0" w:color="auto"/>
          <w:right w:val="none" w:sz="0" w:space="0" w:color="auto"/>
        </w:pBdr>
        <w:rPr>
          <w:bCs/>
          <w:i w:val="0"/>
          <w:iCs w:val="0"/>
          <w:sz w:val="20"/>
        </w:rPr>
      </w:pPr>
      <w:r>
        <w:rPr>
          <w:bCs/>
          <w:i w:val="0"/>
          <w:iCs w:val="0"/>
          <w:sz w:val="20"/>
        </w:rPr>
        <w:t>9905</w:t>
      </w:r>
      <w:r>
        <w:rPr>
          <w:bCs/>
          <w:i w:val="0"/>
          <w:iCs w:val="0"/>
          <w:sz w:val="20"/>
        </w:rPr>
        <w:tab/>
        <w:t>Temporomandibular articulation, limited motion of – use for TMJ &amp; other related disorders</w:t>
      </w:r>
    </w:p>
    <w:p w:rsidR="00EB42DC" w:rsidRPr="00EB42DC" w:rsidRDefault="00EB42DC" w:rsidP="00EB42DC"/>
    <w:p w:rsidR="00013EB8" w:rsidRDefault="00013EB8">
      <w:pPr>
        <w:pStyle w:val="Heading6"/>
        <w:keepNext w:val="0"/>
        <w:widowControl w:val="0"/>
        <w:pBdr>
          <w:top w:val="single" w:sz="4" w:space="1" w:color="auto"/>
          <w:left w:val="single" w:sz="4" w:space="4" w:color="auto"/>
          <w:bottom w:val="single" w:sz="4" w:space="1" w:color="auto"/>
          <w:right w:val="single" w:sz="4" w:space="4" w:color="auto"/>
        </w:pBdr>
        <w:rPr>
          <w:sz w:val="20"/>
        </w:rPr>
      </w:pPr>
      <w:r>
        <w:rPr>
          <w:sz w:val="20"/>
        </w:rPr>
        <w:t>ONLY SC FOR TREATMENT PURPOSES ALLOWED</w:t>
      </w:r>
    </w:p>
    <w:p w:rsidR="00013EB8" w:rsidRDefault="00013EB8">
      <w:pPr>
        <w:widowControl w:val="0"/>
        <w:pBdr>
          <w:top w:val="single" w:sz="4" w:space="1" w:color="auto"/>
          <w:left w:val="single" w:sz="4" w:space="4" w:color="auto"/>
          <w:bottom w:val="single" w:sz="4" w:space="1" w:color="auto"/>
          <w:right w:val="single" w:sz="4" w:space="4" w:color="auto"/>
        </w:pBdr>
        <w:tabs>
          <w:tab w:val="num" w:pos="1100"/>
        </w:tabs>
        <w:outlineLvl w:val="0"/>
      </w:pPr>
      <w:r>
        <w:t xml:space="preserve">We </w:t>
      </w:r>
      <w:r>
        <w:rPr>
          <w:b/>
          <w:bCs/>
        </w:rPr>
        <w:t>CAN</w:t>
      </w:r>
      <w:r>
        <w:t xml:space="preserve"> establish service connection for treatment purposes for the following dental issues, but </w:t>
      </w:r>
      <w:r>
        <w:rPr>
          <w:i/>
          <w:iCs/>
        </w:rPr>
        <w:t>only if a dental rating is requested by the dental clinic</w:t>
      </w:r>
      <w:r>
        <w:t>:</w:t>
      </w:r>
    </w:p>
    <w:p w:rsidR="00013EB8" w:rsidRDefault="00013EB8" w:rsidP="00691877">
      <w:pPr>
        <w:widowControl w:val="0"/>
        <w:numPr>
          <w:ilvl w:val="0"/>
          <w:numId w:val="48"/>
        </w:numPr>
        <w:pBdr>
          <w:top w:val="single" w:sz="4" w:space="1" w:color="auto"/>
          <w:left w:val="single" w:sz="4" w:space="4" w:color="auto"/>
          <w:bottom w:val="single" w:sz="4" w:space="1" w:color="auto"/>
          <w:right w:val="single" w:sz="4" w:space="4" w:color="auto"/>
        </w:pBdr>
        <w:tabs>
          <w:tab w:val="clear" w:pos="720"/>
          <w:tab w:val="num" w:pos="400"/>
        </w:tabs>
        <w:ind w:left="400" w:hanging="400"/>
        <w:outlineLvl w:val="0"/>
      </w:pPr>
      <w:r>
        <w:t>treatable carious teeth</w:t>
      </w:r>
    </w:p>
    <w:p w:rsidR="00013EB8" w:rsidRDefault="00013EB8" w:rsidP="00691877">
      <w:pPr>
        <w:widowControl w:val="0"/>
        <w:numPr>
          <w:ilvl w:val="0"/>
          <w:numId w:val="48"/>
        </w:numPr>
        <w:pBdr>
          <w:top w:val="single" w:sz="4" w:space="1" w:color="auto"/>
          <w:left w:val="single" w:sz="4" w:space="4" w:color="auto"/>
          <w:bottom w:val="single" w:sz="4" w:space="1" w:color="auto"/>
          <w:right w:val="single" w:sz="4" w:space="4" w:color="auto"/>
        </w:pBdr>
        <w:tabs>
          <w:tab w:val="clear" w:pos="720"/>
          <w:tab w:val="num" w:pos="400"/>
          <w:tab w:val="left" w:pos="1200"/>
        </w:tabs>
        <w:ind w:left="400" w:hanging="400"/>
        <w:outlineLvl w:val="0"/>
      </w:pPr>
      <w:r>
        <w:t>replaceable missing teeth</w:t>
      </w:r>
    </w:p>
    <w:p w:rsidR="00013EB8" w:rsidRDefault="00013EB8" w:rsidP="00691877">
      <w:pPr>
        <w:widowControl w:val="0"/>
        <w:numPr>
          <w:ilvl w:val="0"/>
          <w:numId w:val="48"/>
        </w:numPr>
        <w:pBdr>
          <w:top w:val="single" w:sz="4" w:space="1" w:color="auto"/>
          <w:left w:val="single" w:sz="4" w:space="4" w:color="auto"/>
          <w:bottom w:val="single" w:sz="4" w:space="1" w:color="auto"/>
          <w:right w:val="single" w:sz="4" w:space="4" w:color="auto"/>
        </w:pBdr>
        <w:tabs>
          <w:tab w:val="clear" w:pos="720"/>
          <w:tab w:val="num" w:pos="400"/>
          <w:tab w:val="left" w:pos="1200"/>
        </w:tabs>
        <w:ind w:left="400" w:hanging="400"/>
        <w:outlineLvl w:val="0"/>
      </w:pPr>
      <w:r>
        <w:t>dental or alveolar abscesses</w:t>
      </w:r>
    </w:p>
    <w:p w:rsidR="00013EB8" w:rsidRDefault="00013EB8" w:rsidP="00691877">
      <w:pPr>
        <w:widowControl w:val="0"/>
        <w:numPr>
          <w:ilvl w:val="0"/>
          <w:numId w:val="48"/>
        </w:numPr>
        <w:pBdr>
          <w:top w:val="single" w:sz="4" w:space="1" w:color="auto"/>
          <w:left w:val="single" w:sz="4" w:space="4" w:color="auto"/>
          <w:bottom w:val="single" w:sz="4" w:space="1" w:color="auto"/>
          <w:right w:val="single" w:sz="4" w:space="4" w:color="auto"/>
        </w:pBdr>
        <w:tabs>
          <w:tab w:val="clear" w:pos="720"/>
          <w:tab w:val="num" w:pos="400"/>
          <w:tab w:val="left" w:pos="1200"/>
        </w:tabs>
        <w:ind w:left="400" w:hanging="400"/>
        <w:outlineLvl w:val="0"/>
      </w:pPr>
      <w:r>
        <w:t>periodontal disease</w:t>
      </w:r>
    </w:p>
    <w:p w:rsidR="00013EB8" w:rsidRPr="002C4ED9" w:rsidRDefault="002C4ED9" w:rsidP="00691877">
      <w:pPr>
        <w:widowControl w:val="0"/>
        <w:numPr>
          <w:ilvl w:val="0"/>
          <w:numId w:val="48"/>
        </w:numPr>
        <w:pBdr>
          <w:top w:val="single" w:sz="4" w:space="1" w:color="auto"/>
          <w:left w:val="single" w:sz="4" w:space="4" w:color="auto"/>
          <w:bottom w:val="single" w:sz="4" w:space="1" w:color="auto"/>
          <w:right w:val="single" w:sz="4" w:space="4" w:color="auto"/>
        </w:pBdr>
        <w:tabs>
          <w:tab w:val="clear" w:pos="720"/>
          <w:tab w:val="num" w:pos="400"/>
          <w:tab w:val="left" w:pos="1200"/>
        </w:tabs>
        <w:ind w:left="400" w:hanging="400"/>
        <w:outlineLvl w:val="0"/>
      </w:pPr>
      <w:r w:rsidRPr="002C4ED9">
        <w:rPr>
          <w:i/>
          <w:color w:val="00B050"/>
        </w:rPr>
        <w:t>My Notes:</w:t>
      </w:r>
      <w:r w:rsidRPr="002C4ED9">
        <w:rPr>
          <w:color w:val="00B050"/>
        </w:rPr>
        <w:t xml:space="preserve">  </w:t>
      </w:r>
      <w:r w:rsidR="00013EB8" w:rsidRPr="00D36CD9">
        <w:rPr>
          <w:i/>
        </w:rPr>
        <w:t>chipped/broken teeth and other gum/</w:t>
      </w:r>
      <w:r w:rsidRPr="00D36CD9">
        <w:rPr>
          <w:i/>
        </w:rPr>
        <w:t>pulp issues are also included</w:t>
      </w:r>
    </w:p>
    <w:p w:rsidR="00013EB8" w:rsidRDefault="00013EB8">
      <w:pPr>
        <w:widowControl w:val="0"/>
        <w:pBdr>
          <w:top w:val="single" w:sz="4" w:space="1" w:color="auto"/>
          <w:left w:val="single" w:sz="4" w:space="4" w:color="auto"/>
          <w:bottom w:val="single" w:sz="4" w:space="1" w:color="auto"/>
          <w:right w:val="single" w:sz="4" w:space="4" w:color="auto"/>
        </w:pBdr>
        <w:outlineLvl w:val="0"/>
      </w:pPr>
    </w:p>
    <w:p w:rsidR="00013EB8" w:rsidRDefault="00013EB8">
      <w:pPr>
        <w:pStyle w:val="BodyText"/>
        <w:widowControl w:val="0"/>
        <w:pBdr>
          <w:top w:val="single" w:sz="4" w:space="1" w:color="auto"/>
          <w:left w:val="single" w:sz="4" w:space="4" w:color="auto"/>
          <w:bottom w:val="single" w:sz="4" w:space="1" w:color="auto"/>
          <w:right w:val="single" w:sz="4" w:space="4" w:color="auto"/>
        </w:pBdr>
        <w:rPr>
          <w:sz w:val="20"/>
        </w:rPr>
      </w:pPr>
      <w:r>
        <w:rPr>
          <w:sz w:val="20"/>
        </w:rPr>
        <w:t xml:space="preserve">If a Veteran is claiming </w:t>
      </w:r>
      <w:r>
        <w:rPr>
          <w:b/>
          <w:bCs/>
          <w:sz w:val="20"/>
        </w:rPr>
        <w:t>TREATMENT ONLY</w:t>
      </w:r>
      <w:r>
        <w:rPr>
          <w:sz w:val="20"/>
        </w:rPr>
        <w:t xml:space="preserve"> for the above dental issues, you don't rate the issue.  </w:t>
      </w:r>
      <w:r w:rsidRPr="00175CDF">
        <w:rPr>
          <w:sz w:val="20"/>
        </w:rPr>
        <w:t>We only need to have a copy of the claim form sent to the Dental Clini</w:t>
      </w:r>
      <w:r w:rsidR="00603FD4">
        <w:rPr>
          <w:sz w:val="20"/>
        </w:rPr>
        <w:t>c</w:t>
      </w:r>
      <w:r w:rsidR="00717686" w:rsidRPr="00175CDF">
        <w:rPr>
          <w:rStyle w:val="Hyperlink"/>
          <w:bCs/>
          <w:i/>
          <w:color w:val="auto"/>
          <w:sz w:val="20"/>
          <w:u w:val="none"/>
        </w:rPr>
        <w:t>.</w:t>
      </w:r>
      <w:r>
        <w:rPr>
          <w:sz w:val="20"/>
        </w:rPr>
        <w:t xml:space="preserve"> </w:t>
      </w:r>
      <w:r w:rsidRPr="00175CDF">
        <w:rPr>
          <w:b/>
          <w:bCs/>
          <w:sz w:val="20"/>
        </w:rPr>
        <w:t>III.v.7.B</w:t>
      </w:r>
      <w:r w:rsidR="00603FD4">
        <w:rPr>
          <w:b/>
          <w:bCs/>
          <w:sz w:val="20"/>
        </w:rPr>
        <w:t xml:space="preserve"> </w:t>
      </w:r>
      <w:r w:rsidR="00603FD4" w:rsidRPr="00603FD4">
        <w:rPr>
          <w:b/>
          <w:bCs/>
          <w:sz w:val="20"/>
        </w:rPr>
        <w:t>&amp; III.v.7.C</w:t>
      </w:r>
    </w:p>
    <w:p w:rsidR="00013EB8" w:rsidRDefault="00013EB8">
      <w:pPr>
        <w:pStyle w:val="Header"/>
        <w:widowControl w:val="0"/>
        <w:pBdr>
          <w:top w:val="single" w:sz="4" w:space="1" w:color="auto"/>
          <w:left w:val="single" w:sz="4" w:space="4" w:color="auto"/>
          <w:bottom w:val="single" w:sz="4" w:space="1" w:color="auto"/>
          <w:right w:val="single" w:sz="4" w:space="4" w:color="auto"/>
        </w:pBdr>
        <w:tabs>
          <w:tab w:val="clear" w:pos="4320"/>
          <w:tab w:val="clear" w:pos="8640"/>
        </w:tabs>
        <w:outlineLvl w:val="0"/>
      </w:pPr>
    </w:p>
    <w:p w:rsidR="00013EB8" w:rsidRDefault="00013EB8">
      <w:pPr>
        <w:widowControl w:val="0"/>
        <w:pBdr>
          <w:top w:val="single" w:sz="4" w:space="1" w:color="auto"/>
          <w:left w:val="single" w:sz="4" w:space="4" w:color="auto"/>
          <w:bottom w:val="single" w:sz="4" w:space="1" w:color="auto"/>
          <w:right w:val="single" w:sz="4" w:space="4" w:color="auto"/>
        </w:pBdr>
        <w:outlineLvl w:val="0"/>
      </w:pPr>
      <w:r>
        <w:t xml:space="preserve">If a Veteran is claiming </w:t>
      </w:r>
      <w:r>
        <w:rPr>
          <w:b/>
          <w:bCs/>
        </w:rPr>
        <w:t>COMPENSATION/SERVICE CONNECTION</w:t>
      </w:r>
      <w:r>
        <w:t xml:space="preserve"> for the above dental issues, you deny as “not a disability” because we cannot grant compensation/service connection for those issues, only for treatment.  You also have a copy of the claim form sent to the Dental Clinic. The Dental Clinic decides if treatment is warranted. If they can't decide, they send it back to us and we decide if service connection for treatment purposes is warranted.</w:t>
      </w:r>
    </w:p>
    <w:p w:rsidR="00013EB8" w:rsidRDefault="00013EB8">
      <w:pPr>
        <w:widowControl w:val="0"/>
        <w:pBdr>
          <w:top w:val="single" w:sz="4" w:space="1" w:color="auto"/>
          <w:left w:val="single" w:sz="4" w:space="4" w:color="auto"/>
          <w:bottom w:val="single" w:sz="4" w:space="1" w:color="auto"/>
          <w:right w:val="single" w:sz="4" w:space="4" w:color="auto"/>
        </w:pBdr>
        <w:outlineLvl w:val="0"/>
      </w:pPr>
    </w:p>
    <w:p w:rsidR="00013EB8" w:rsidRDefault="00013EB8">
      <w:pPr>
        <w:widowControl w:val="0"/>
        <w:pBdr>
          <w:top w:val="single" w:sz="4" w:space="1" w:color="auto"/>
          <w:left w:val="single" w:sz="4" w:space="4" w:color="auto"/>
          <w:bottom w:val="single" w:sz="4" w:space="1" w:color="auto"/>
          <w:right w:val="single" w:sz="4" w:space="4" w:color="auto"/>
        </w:pBdr>
        <w:outlineLvl w:val="0"/>
        <w:rPr>
          <w:i/>
          <w:iCs/>
        </w:rPr>
      </w:pPr>
      <w:r>
        <w:rPr>
          <w:i/>
          <w:iCs/>
        </w:rPr>
        <w:t xml:space="preserve">Note:  Calculus, acute periodontal disease (i.e. gingivitis), third molars without disease or pathology, and impacted or malposed teeth are not ratable conditions per </w:t>
      </w:r>
      <w:r w:rsidRPr="00453DE5">
        <w:rPr>
          <w:b/>
        </w:rPr>
        <w:t>3.381</w:t>
      </w:r>
      <w:r w:rsidR="00452E99">
        <w:rPr>
          <w:b/>
        </w:rPr>
        <w:t xml:space="preserve"> </w:t>
      </w:r>
      <w:r w:rsidRPr="00037A17">
        <w:rPr>
          <w:bCs/>
          <w:i/>
          <w:iCs/>
        </w:rPr>
        <w:t>and</w:t>
      </w:r>
      <w:r w:rsidRPr="00037A17">
        <w:rPr>
          <w:i/>
          <w:iCs/>
        </w:rPr>
        <w:t xml:space="preserve"> </w:t>
      </w:r>
      <w:r w:rsidR="00037A17" w:rsidRPr="00037A17">
        <w:rPr>
          <w:b/>
          <w:bCs/>
        </w:rPr>
        <w:t>IX.ii.2</w:t>
      </w:r>
      <w:r w:rsidRPr="00037A17">
        <w:rPr>
          <w:i/>
          <w:iCs/>
        </w:rPr>
        <w:t>.</w:t>
      </w:r>
    </w:p>
    <w:p w:rsidR="00013EB8" w:rsidRDefault="00013EB8">
      <w:pPr>
        <w:pStyle w:val="Header"/>
        <w:widowControl w:val="0"/>
        <w:tabs>
          <w:tab w:val="clear" w:pos="4320"/>
          <w:tab w:val="clear" w:pos="8640"/>
        </w:tabs>
        <w:outlineLvl w:val="0"/>
      </w:pPr>
    </w:p>
    <w:p w:rsidR="00013EB8" w:rsidRDefault="00013EB8">
      <w:pPr>
        <w:widowControl w:val="0"/>
        <w:outlineLvl w:val="0"/>
      </w:pPr>
      <w:r>
        <w:t xml:space="preserve">We </w:t>
      </w:r>
      <w:r>
        <w:rPr>
          <w:b/>
          <w:bCs/>
        </w:rPr>
        <w:t>CAN</w:t>
      </w:r>
      <w:r>
        <w:t xml:space="preserve"> establish service connection for tooth loss but </w:t>
      </w:r>
      <w:r>
        <w:rPr>
          <w:i/>
          <w:iCs/>
        </w:rPr>
        <w:t>only if the loss is a result of bone loss due to trauma or disease, such as osteomyelitis</w:t>
      </w:r>
      <w:r>
        <w:t>. This does not include tooth loss due to periodontal disease, as that can only be service-connected for treatment purposes, as discussed above.</w:t>
      </w:r>
    </w:p>
    <w:p w:rsidR="00013EB8" w:rsidRDefault="00013EB8">
      <w:pPr>
        <w:widowControl w:val="0"/>
        <w:outlineLvl w:val="0"/>
      </w:pPr>
    </w:p>
    <w:p w:rsidR="00013EB8" w:rsidRDefault="00013EB8">
      <w:pPr>
        <w:widowControl w:val="0"/>
        <w:outlineLvl w:val="0"/>
      </w:pPr>
      <w:r>
        <w:t xml:space="preserve">If a veteran is claiming </w:t>
      </w:r>
      <w:r>
        <w:rPr>
          <w:b/>
          <w:bCs/>
        </w:rPr>
        <w:t>COMPENSATION/SERVICE CONNECTION</w:t>
      </w:r>
      <w:r>
        <w:t xml:space="preserve"> for tooth loss, but it is not due to bone loss from trauma/disease, you deny because there is tooth loss, but it the tooth loss is not due to bone loss from</w:t>
      </w:r>
      <w:r>
        <w:rPr>
          <w:sz w:val="22"/>
        </w:rPr>
        <w:t xml:space="preserve"> </w:t>
      </w:r>
      <w:r>
        <w:t>trauma or disease. Again, you have a copy of the claim form sent to the Dental Clinic. The Dental Clinic decides if treatment is warranted, as the tooth loss likely falls under “replaceable missing teeth</w:t>
      </w:r>
      <w:r w:rsidR="001946CC">
        <w:t>.”</w:t>
      </w:r>
      <w:r>
        <w:t xml:space="preserve"> If they can't decide, they send it back to us and we decide if service connection for treatment purposes is warranted.</w:t>
      </w:r>
    </w:p>
    <w:p w:rsidR="00013EB8" w:rsidRDefault="00013EB8">
      <w:pPr>
        <w:widowControl w:val="0"/>
        <w:tabs>
          <w:tab w:val="left" w:pos="0"/>
          <w:tab w:val="left" w:pos="144"/>
        </w:tabs>
        <w:rPr>
          <w:sz w:val="22"/>
        </w:rPr>
      </w:pPr>
    </w:p>
    <w:p w:rsidR="00013EB8" w:rsidRDefault="00013EB8">
      <w:pPr>
        <w:widowControl w:val="0"/>
        <w:pBdr>
          <w:top w:val="single" w:sz="4" w:space="1" w:color="auto"/>
          <w:left w:val="single" w:sz="4" w:space="4" w:color="auto"/>
          <w:bottom w:val="single" w:sz="4" w:space="1" w:color="auto"/>
          <w:right w:val="single" w:sz="4" w:space="4" w:color="auto"/>
        </w:pBdr>
        <w:outlineLvl w:val="0"/>
        <w:rPr>
          <w:b/>
          <w:bCs/>
          <w:i/>
        </w:rPr>
      </w:pPr>
      <w:r>
        <w:rPr>
          <w:b/>
          <w:bCs/>
          <w:i/>
        </w:rPr>
        <w:t>WE CAN ONLY ESTABLISH SERVICE CONNECTION FOR DENTAL TREATMENT PURPOSES IF ASKED TO DO A DENTA</w:t>
      </w:r>
      <w:r w:rsidR="00480EAD">
        <w:rPr>
          <w:b/>
          <w:bCs/>
          <w:i/>
        </w:rPr>
        <w:t>L RATING BY THE DENTAL CLINIC</w:t>
      </w:r>
    </w:p>
    <w:p w:rsidR="00013EB8" w:rsidRDefault="00013EB8">
      <w:pPr>
        <w:widowControl w:val="0"/>
        <w:pBdr>
          <w:top w:val="single" w:sz="4" w:space="1" w:color="auto"/>
          <w:left w:val="single" w:sz="4" w:space="4" w:color="auto"/>
          <w:bottom w:val="single" w:sz="4" w:space="1" w:color="auto"/>
          <w:right w:val="single" w:sz="4" w:space="4" w:color="auto"/>
        </w:pBdr>
        <w:outlineLvl w:val="0"/>
        <w:rPr>
          <w:i/>
        </w:rPr>
      </w:pPr>
    </w:p>
    <w:p w:rsidR="00013EB8" w:rsidRDefault="00013EB8">
      <w:pPr>
        <w:widowControl w:val="0"/>
        <w:pBdr>
          <w:top w:val="single" w:sz="4" w:space="1" w:color="auto"/>
          <w:left w:val="single" w:sz="4" w:space="4" w:color="auto"/>
          <w:bottom w:val="single" w:sz="4" w:space="1" w:color="auto"/>
          <w:right w:val="single" w:sz="4" w:space="4" w:color="auto"/>
        </w:pBdr>
      </w:pPr>
      <w:r>
        <w:rPr>
          <w:i/>
          <w:iCs/>
        </w:rPr>
        <w:t>Issue:</w:t>
      </w:r>
      <w:r>
        <w:t xml:space="preserve">  Service connection for dental treatment purposes for </w:t>
      </w:r>
      <w:r w:rsidR="00A46221">
        <w:t>{}</w:t>
      </w:r>
      <w:r>
        <w:t>.</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013EB8">
      <w:pPr>
        <w:widowControl w:val="0"/>
        <w:pBdr>
          <w:top w:val="single" w:sz="4" w:space="1" w:color="auto"/>
          <w:left w:val="single" w:sz="4" w:space="4" w:color="auto"/>
          <w:bottom w:val="single" w:sz="4" w:space="1" w:color="auto"/>
          <w:right w:val="single" w:sz="4" w:space="4" w:color="auto"/>
        </w:pBdr>
        <w:rPr>
          <w:i/>
          <w:iCs/>
        </w:rPr>
      </w:pPr>
      <w:r>
        <w:rPr>
          <w:i/>
          <w:iCs/>
        </w:rPr>
        <w:t>Decision:</w:t>
      </w:r>
      <w:r>
        <w:t xml:space="preserve">  </w:t>
      </w:r>
      <w:r w:rsidRPr="006B2A5A">
        <w:rPr>
          <w:highlight w:val="cyan"/>
        </w:rPr>
        <w:t xml:space="preserve">Service connection for dental treatment purposes is granted for </w:t>
      </w:r>
      <w:r w:rsidR="00A46221" w:rsidRPr="006B2A5A">
        <w:rPr>
          <w:highlight w:val="cyan"/>
        </w:rPr>
        <w:t>{}</w:t>
      </w:r>
      <w:r w:rsidRPr="006B2A5A">
        <w:rPr>
          <w:highlight w:val="cyan"/>
        </w:rPr>
        <w:t xml:space="preserve"> due to combat wounds or trauma/as secondary to another service-connected disability. </w:t>
      </w:r>
      <w:r w:rsidRPr="006B2A5A">
        <w:rPr>
          <w:i/>
          <w:iCs/>
          <w:highlight w:val="cyan"/>
        </w:rPr>
        <w:t>(also has due to a SC pathological dental cond)</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013EB8">
      <w:pPr>
        <w:widowControl w:val="0"/>
        <w:pBdr>
          <w:top w:val="single" w:sz="4" w:space="1" w:color="auto"/>
          <w:left w:val="single" w:sz="4" w:space="4" w:color="auto"/>
          <w:bottom w:val="single" w:sz="4" w:space="1" w:color="auto"/>
          <w:right w:val="single" w:sz="4" w:space="4" w:color="auto"/>
        </w:pBdr>
        <w:rPr>
          <w:b/>
          <w:bCs/>
        </w:rPr>
      </w:pPr>
      <w:r>
        <w:rPr>
          <w:i/>
          <w:iCs/>
        </w:rPr>
        <w:t>Reasons for Decision:</w:t>
      </w:r>
      <w:r>
        <w:t xml:space="preserve">  VA outpatient dental treatment may be furnished for dental conditions which are due to combat wounds or other service trauma/caused by another service-connected disability.  Service connection for dental treatment purposes is granted for </w:t>
      </w:r>
      <w:r w:rsidR="00A46221">
        <w:t>{}</w:t>
      </w:r>
      <w:r>
        <w:t xml:space="preserve"> because the records show </w:t>
      </w:r>
      <w:r w:rsidR="00A46221">
        <w:t>{}</w:t>
      </w:r>
      <w:r>
        <w:t xml:space="preserve">. </w:t>
      </w:r>
      <w:r>
        <w:rPr>
          <w:b/>
          <w:bCs/>
        </w:rPr>
        <w:t>[NOTE:  This must be tooth loss due to bone loss from</w:t>
      </w:r>
      <w:r>
        <w:rPr>
          <w:b/>
          <w:bCs/>
          <w:sz w:val="22"/>
        </w:rPr>
        <w:t xml:space="preserve"> </w:t>
      </w:r>
      <w:r>
        <w:rPr>
          <w:b/>
          <w:bCs/>
        </w:rPr>
        <w:t>trauma/disease.]</w:t>
      </w:r>
    </w:p>
    <w:p w:rsidR="00013EB8" w:rsidRDefault="00013EB8">
      <w:pPr>
        <w:widowControl w:val="0"/>
        <w:pBdr>
          <w:top w:val="single" w:sz="4" w:space="1" w:color="auto"/>
          <w:left w:val="single" w:sz="4" w:space="4" w:color="auto"/>
          <w:bottom w:val="single" w:sz="4" w:space="1" w:color="auto"/>
          <w:right w:val="single" w:sz="4" w:space="4" w:color="auto"/>
        </w:pBdr>
      </w:pPr>
    </w:p>
    <w:p w:rsidR="00013EB8" w:rsidRDefault="00013EB8">
      <w:pPr>
        <w:widowControl w:val="0"/>
        <w:pBdr>
          <w:top w:val="single" w:sz="4" w:space="1" w:color="auto"/>
          <w:left w:val="single" w:sz="4" w:space="4" w:color="auto"/>
          <w:bottom w:val="single" w:sz="4" w:space="1" w:color="auto"/>
          <w:right w:val="single" w:sz="4" w:space="4" w:color="auto"/>
        </w:pBdr>
        <w:tabs>
          <w:tab w:val="left" w:pos="0"/>
          <w:tab w:val="left" w:pos="144"/>
        </w:tabs>
      </w:pPr>
      <w:r>
        <w:t>Although your dental condition or disability is service connected, eligibility for treatment for that disability is limited by statute. You may not be eligible for VA dental care. Please contact the Business Office at the VHA facility that is nearest to your home for a determination on whether you are eligible for treatment for your service-connected dental condition or disability.</w:t>
      </w:r>
    </w:p>
    <w:p w:rsidR="00013EB8" w:rsidRDefault="00013EB8">
      <w:pPr>
        <w:widowControl w:val="0"/>
        <w:pBdr>
          <w:bottom w:val="single" w:sz="4" w:space="1" w:color="auto"/>
        </w:pBdr>
      </w:pPr>
    </w:p>
    <w:p w:rsidR="00DA797F" w:rsidRPr="00DA797F" w:rsidRDefault="00DA797F" w:rsidP="00DA797F">
      <w:pPr>
        <w:rPr>
          <w:rFonts w:ascii="Verdana" w:hAnsi="Verdana"/>
          <w:sz w:val="18"/>
          <w:szCs w:val="18"/>
        </w:rPr>
      </w:pPr>
      <w:r w:rsidRPr="00DA797F">
        <w:rPr>
          <w:rFonts w:ascii="Verdana" w:hAnsi="Verdana"/>
          <w:sz w:val="18"/>
          <w:szCs w:val="18"/>
        </w:rPr>
        <w:t>Dent – tooth</w:t>
      </w:r>
    </w:p>
    <w:p w:rsidR="00DA797F" w:rsidRPr="00DA797F" w:rsidRDefault="00DA797F" w:rsidP="00DA797F">
      <w:pPr>
        <w:rPr>
          <w:rFonts w:ascii="Verdana" w:hAnsi="Verdana"/>
          <w:sz w:val="18"/>
          <w:szCs w:val="18"/>
        </w:rPr>
      </w:pPr>
      <w:r w:rsidRPr="00DA797F">
        <w:rPr>
          <w:rFonts w:ascii="Verdana" w:hAnsi="Verdana"/>
          <w:sz w:val="18"/>
          <w:szCs w:val="18"/>
        </w:rPr>
        <w:t>Odont – teeth</w:t>
      </w:r>
    </w:p>
    <w:p w:rsidR="00DA797F" w:rsidRPr="00DA797F" w:rsidRDefault="00DA797F" w:rsidP="00DA797F">
      <w:pPr>
        <w:rPr>
          <w:rFonts w:ascii="Verdana" w:hAnsi="Verdana"/>
          <w:sz w:val="18"/>
          <w:szCs w:val="18"/>
        </w:rPr>
      </w:pPr>
      <w:r w:rsidRPr="00DA797F">
        <w:rPr>
          <w:rFonts w:ascii="Verdana" w:hAnsi="Verdana"/>
          <w:sz w:val="18"/>
          <w:szCs w:val="18"/>
        </w:rPr>
        <w:t>Gnatho – jaw/cheek</w:t>
      </w:r>
    </w:p>
    <w:p w:rsidR="00DA797F" w:rsidRPr="00DA797F" w:rsidRDefault="00DA797F" w:rsidP="00DA797F">
      <w:pPr>
        <w:rPr>
          <w:rFonts w:ascii="Verdana" w:hAnsi="Verdana"/>
          <w:sz w:val="18"/>
          <w:szCs w:val="18"/>
        </w:rPr>
      </w:pPr>
      <w:r w:rsidRPr="00DA797F">
        <w:rPr>
          <w:rFonts w:ascii="Verdana" w:hAnsi="Verdana"/>
          <w:sz w:val="18"/>
          <w:szCs w:val="18"/>
        </w:rPr>
        <w:t>Gingiv – gum</w:t>
      </w:r>
    </w:p>
    <w:p w:rsidR="00DA797F" w:rsidRPr="00DA797F" w:rsidRDefault="00DA797F" w:rsidP="00DA797F">
      <w:pPr>
        <w:rPr>
          <w:rFonts w:ascii="Verdana" w:hAnsi="Verdana"/>
          <w:sz w:val="18"/>
          <w:szCs w:val="18"/>
        </w:rPr>
      </w:pPr>
      <w:r w:rsidRPr="00DA797F">
        <w:rPr>
          <w:rFonts w:ascii="Verdana" w:hAnsi="Verdana"/>
          <w:sz w:val="18"/>
          <w:szCs w:val="18"/>
        </w:rPr>
        <w:t>Peri – surrounding</w:t>
      </w:r>
    </w:p>
    <w:p w:rsidR="00DA797F" w:rsidRPr="00DA797F" w:rsidRDefault="00DA797F" w:rsidP="00DA797F">
      <w:pPr>
        <w:rPr>
          <w:rFonts w:ascii="Verdana" w:hAnsi="Verdana"/>
          <w:sz w:val="18"/>
          <w:szCs w:val="18"/>
        </w:rPr>
      </w:pPr>
      <w:r w:rsidRPr="00DA797F">
        <w:rPr>
          <w:rFonts w:ascii="Verdana" w:hAnsi="Verdana"/>
          <w:sz w:val="18"/>
          <w:szCs w:val="18"/>
        </w:rPr>
        <w:t>RTC – Root Canal Therapy</w:t>
      </w:r>
    </w:p>
    <w:p w:rsidR="00DA797F" w:rsidRPr="00DA797F" w:rsidRDefault="00DA797F" w:rsidP="00DA797F">
      <w:pPr>
        <w:rPr>
          <w:rFonts w:ascii="Verdana" w:hAnsi="Verdana"/>
          <w:sz w:val="18"/>
          <w:szCs w:val="18"/>
        </w:rPr>
      </w:pPr>
      <w:r w:rsidRPr="00DA797F">
        <w:rPr>
          <w:rFonts w:ascii="Verdana" w:hAnsi="Verdana"/>
          <w:sz w:val="18"/>
          <w:szCs w:val="18"/>
        </w:rPr>
        <w:t>Orth – straight</w:t>
      </w:r>
    </w:p>
    <w:p w:rsidR="00DA797F" w:rsidRPr="00DA797F" w:rsidRDefault="00DA797F" w:rsidP="00DA797F">
      <w:pPr>
        <w:rPr>
          <w:rFonts w:ascii="Verdana" w:hAnsi="Verdana"/>
          <w:sz w:val="18"/>
          <w:szCs w:val="18"/>
        </w:rPr>
      </w:pPr>
      <w:r w:rsidRPr="00DA797F">
        <w:rPr>
          <w:rFonts w:ascii="Verdana" w:hAnsi="Verdana"/>
          <w:sz w:val="18"/>
          <w:szCs w:val="18"/>
        </w:rPr>
        <w:t>Occlusi – closure/blockage</w:t>
      </w:r>
    </w:p>
    <w:p w:rsidR="00DA797F" w:rsidRPr="00DA797F" w:rsidRDefault="00DA797F" w:rsidP="00DA797F">
      <w:pPr>
        <w:rPr>
          <w:rFonts w:ascii="Verdana" w:hAnsi="Verdana"/>
          <w:sz w:val="18"/>
          <w:szCs w:val="18"/>
        </w:rPr>
      </w:pPr>
      <w:r w:rsidRPr="00DA797F">
        <w:rPr>
          <w:rFonts w:ascii="Verdana" w:hAnsi="Verdana"/>
          <w:sz w:val="18"/>
          <w:szCs w:val="18"/>
        </w:rPr>
        <w:t>Palat – roof of mouth</w:t>
      </w:r>
    </w:p>
    <w:p w:rsidR="00DA797F" w:rsidRPr="00DA797F" w:rsidRDefault="00DA797F" w:rsidP="00DA797F">
      <w:pPr>
        <w:rPr>
          <w:rFonts w:ascii="Verdana" w:hAnsi="Verdana"/>
          <w:sz w:val="18"/>
          <w:szCs w:val="18"/>
        </w:rPr>
      </w:pPr>
      <w:r w:rsidRPr="00DA797F">
        <w:rPr>
          <w:rFonts w:ascii="Verdana" w:hAnsi="Verdana"/>
          <w:sz w:val="18"/>
          <w:szCs w:val="18"/>
        </w:rPr>
        <w:t>Cusp – pointed</w:t>
      </w:r>
    </w:p>
    <w:p w:rsidR="00DA797F" w:rsidRPr="00DA797F" w:rsidRDefault="00DA797F" w:rsidP="00DA797F">
      <w:pPr>
        <w:rPr>
          <w:rFonts w:ascii="Verdana" w:hAnsi="Verdana"/>
          <w:sz w:val="18"/>
          <w:szCs w:val="18"/>
        </w:rPr>
      </w:pPr>
      <w:r w:rsidRPr="00DA797F">
        <w:rPr>
          <w:rFonts w:ascii="Verdana" w:hAnsi="Verdana"/>
          <w:sz w:val="18"/>
          <w:szCs w:val="18"/>
        </w:rPr>
        <w:t>Lingu – tongue</w:t>
      </w:r>
    </w:p>
    <w:p w:rsidR="00DA797F" w:rsidRPr="00DA797F" w:rsidRDefault="00DA797F" w:rsidP="00DA797F">
      <w:pPr>
        <w:rPr>
          <w:rFonts w:ascii="Verdana" w:hAnsi="Verdana"/>
          <w:sz w:val="18"/>
          <w:szCs w:val="18"/>
        </w:rPr>
      </w:pPr>
      <w:r w:rsidRPr="00DA797F">
        <w:rPr>
          <w:rFonts w:ascii="Verdana" w:hAnsi="Verdana"/>
          <w:sz w:val="18"/>
          <w:szCs w:val="18"/>
        </w:rPr>
        <w:t>OHI - Oral Hygiene Instruction</w:t>
      </w:r>
    </w:p>
    <w:p w:rsidR="00DA797F" w:rsidRPr="00DA797F" w:rsidRDefault="00DA797F" w:rsidP="00DA797F">
      <w:pPr>
        <w:rPr>
          <w:rFonts w:ascii="Verdana" w:hAnsi="Verdana"/>
          <w:sz w:val="18"/>
          <w:szCs w:val="18"/>
        </w:rPr>
      </w:pPr>
      <w:r w:rsidRPr="00DA797F">
        <w:rPr>
          <w:rFonts w:ascii="Verdana" w:hAnsi="Verdana"/>
          <w:sz w:val="18"/>
          <w:szCs w:val="18"/>
        </w:rPr>
        <w:t>Stomato – mouth</w:t>
      </w:r>
    </w:p>
    <w:p w:rsidR="00DA797F" w:rsidRPr="00DA797F" w:rsidRDefault="00DA797F" w:rsidP="00DA797F">
      <w:pPr>
        <w:rPr>
          <w:rFonts w:ascii="Verdana" w:hAnsi="Verdana"/>
          <w:sz w:val="18"/>
          <w:szCs w:val="18"/>
        </w:rPr>
      </w:pPr>
      <w:r w:rsidRPr="00DA797F">
        <w:rPr>
          <w:rFonts w:ascii="Verdana" w:hAnsi="Verdana"/>
          <w:sz w:val="18"/>
          <w:szCs w:val="18"/>
        </w:rPr>
        <w:t>Maxilla – upper jaw</w:t>
      </w:r>
    </w:p>
    <w:p w:rsidR="00DA797F" w:rsidRPr="00DA797F" w:rsidRDefault="00DA797F" w:rsidP="00DA797F">
      <w:pPr>
        <w:rPr>
          <w:rFonts w:ascii="Verdana" w:hAnsi="Verdana"/>
          <w:sz w:val="18"/>
          <w:szCs w:val="18"/>
        </w:rPr>
      </w:pPr>
      <w:r w:rsidRPr="00DA797F">
        <w:rPr>
          <w:rFonts w:ascii="Verdana" w:hAnsi="Verdana"/>
          <w:sz w:val="18"/>
          <w:szCs w:val="18"/>
        </w:rPr>
        <w:t>Masti – chew</w:t>
      </w:r>
    </w:p>
    <w:p w:rsidR="00DA797F" w:rsidRPr="00DA797F" w:rsidRDefault="00DA797F" w:rsidP="00DA797F">
      <w:pPr>
        <w:rPr>
          <w:rFonts w:ascii="Verdana" w:hAnsi="Verdana"/>
          <w:sz w:val="18"/>
          <w:szCs w:val="18"/>
        </w:rPr>
      </w:pPr>
      <w:r w:rsidRPr="00DA797F">
        <w:rPr>
          <w:rFonts w:ascii="Verdana" w:hAnsi="Verdana"/>
          <w:sz w:val="18"/>
          <w:szCs w:val="18"/>
        </w:rPr>
        <w:t>Brux – grind</w:t>
      </w:r>
    </w:p>
    <w:p w:rsidR="00DA797F" w:rsidRPr="00DA797F" w:rsidRDefault="00DA797F" w:rsidP="00DA797F">
      <w:pPr>
        <w:rPr>
          <w:rFonts w:ascii="Verdana" w:hAnsi="Verdana"/>
          <w:sz w:val="18"/>
          <w:szCs w:val="18"/>
        </w:rPr>
      </w:pPr>
      <w:r w:rsidRPr="00DA797F">
        <w:rPr>
          <w:rFonts w:ascii="Verdana" w:hAnsi="Verdana"/>
          <w:sz w:val="18"/>
          <w:szCs w:val="18"/>
        </w:rPr>
        <w:t>Endo – within</w:t>
      </w:r>
    </w:p>
    <w:p w:rsidR="00DA797F" w:rsidRPr="00DA797F" w:rsidRDefault="00DA797F" w:rsidP="00DA797F">
      <w:pPr>
        <w:rPr>
          <w:rFonts w:ascii="Verdana" w:hAnsi="Verdana"/>
          <w:sz w:val="18"/>
          <w:szCs w:val="18"/>
        </w:rPr>
      </w:pPr>
      <w:r w:rsidRPr="00DA797F">
        <w:rPr>
          <w:rFonts w:ascii="Verdana" w:hAnsi="Verdana"/>
          <w:sz w:val="18"/>
          <w:szCs w:val="18"/>
        </w:rPr>
        <w:t>TMJ – temporomandibular joint</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b/>
          <w:sz w:val="18"/>
          <w:szCs w:val="18"/>
          <w:u w:val="single"/>
        </w:rPr>
      </w:pPr>
      <w:r w:rsidRPr="00DA797F">
        <w:rPr>
          <w:rFonts w:ascii="Verdana" w:hAnsi="Verdana"/>
          <w:b/>
          <w:sz w:val="18"/>
          <w:szCs w:val="18"/>
          <w:u w:val="single"/>
        </w:rPr>
        <w:t>BONES:</w:t>
      </w:r>
    </w:p>
    <w:p w:rsidR="00DA797F" w:rsidRPr="00DA797F" w:rsidRDefault="00DA797F" w:rsidP="00DA797F">
      <w:pPr>
        <w:rPr>
          <w:rFonts w:ascii="Verdana" w:hAnsi="Verdana"/>
          <w:sz w:val="18"/>
          <w:szCs w:val="18"/>
        </w:rPr>
      </w:pPr>
      <w:r w:rsidRPr="00DA797F">
        <w:rPr>
          <w:rFonts w:ascii="Verdana" w:hAnsi="Verdana"/>
          <w:b/>
          <w:bCs/>
          <w:sz w:val="18"/>
          <w:szCs w:val="18"/>
        </w:rPr>
        <w:t>Nasal bones</w:t>
      </w:r>
      <w:r w:rsidRPr="00DA797F">
        <w:rPr>
          <w:rFonts w:ascii="Verdana" w:hAnsi="Verdana"/>
          <w:sz w:val="18"/>
          <w:szCs w:val="18"/>
        </w:rPr>
        <w:t xml:space="preserve"> are two small oblong bones that lie side-by-side between the front of the maxillae</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b/>
          <w:bCs/>
          <w:sz w:val="18"/>
          <w:szCs w:val="18"/>
        </w:rPr>
        <w:t>Inferior nasal conchae</w:t>
      </w:r>
      <w:r w:rsidRPr="00DA797F">
        <w:rPr>
          <w:rFonts w:ascii="Verdana" w:hAnsi="Verdana"/>
          <w:sz w:val="18"/>
          <w:szCs w:val="18"/>
        </w:rPr>
        <w:t xml:space="preserve"> are located in the outside wall of each nasal cavity. They are thin, curved bony plates that increase the surface area of the nasal mucosa and aid in moistening and warming inhaled air.</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sz w:val="18"/>
          <w:szCs w:val="18"/>
        </w:rPr>
        <w:t xml:space="preserve">The </w:t>
      </w:r>
      <w:r w:rsidRPr="00DA797F">
        <w:rPr>
          <w:rFonts w:ascii="Verdana" w:hAnsi="Verdana"/>
          <w:b/>
          <w:bCs/>
          <w:sz w:val="18"/>
          <w:szCs w:val="18"/>
        </w:rPr>
        <w:t>Vomer</w:t>
      </w:r>
      <w:r w:rsidRPr="00DA797F">
        <w:rPr>
          <w:rFonts w:ascii="Verdana" w:hAnsi="Verdana"/>
          <w:sz w:val="18"/>
          <w:szCs w:val="18"/>
        </w:rPr>
        <w:t xml:space="preserve"> forms part of the nasal septum, or cartilage that helps to maintain an open airway for both the left and right sides of the nasal cavity.</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b/>
          <w:bCs/>
          <w:sz w:val="18"/>
          <w:szCs w:val="18"/>
        </w:rPr>
        <w:t>Lacrimal bones</w:t>
      </w:r>
      <w:r w:rsidRPr="00DA797F">
        <w:rPr>
          <w:rFonts w:ascii="Verdana" w:hAnsi="Verdana"/>
          <w:sz w:val="18"/>
          <w:szCs w:val="18"/>
        </w:rPr>
        <w:t xml:space="preserve"> are located in the wall of the eye orbit nearest the nasal bones. They are the smallest facial bones and the lacrimal sac is located in a depression in the bone. Tears drain from the lacrimal sac into the nasal cavity.</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b/>
          <w:bCs/>
          <w:sz w:val="18"/>
          <w:szCs w:val="18"/>
        </w:rPr>
        <w:t>Zygomatic bones</w:t>
      </w:r>
      <w:r w:rsidRPr="00DA797F">
        <w:rPr>
          <w:rFonts w:ascii="Verdana" w:hAnsi="Verdana"/>
          <w:sz w:val="18"/>
          <w:szCs w:val="18"/>
        </w:rPr>
        <w:t xml:space="preserve"> are the cheekbones. These bones connect the maxilla with the frontal and temporal bones. The facial and temporal nerves pass through these bones.</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b/>
          <w:bCs/>
          <w:sz w:val="18"/>
          <w:szCs w:val="18"/>
        </w:rPr>
        <w:t>Palatine bones</w:t>
      </w:r>
      <w:r w:rsidRPr="00DA797F">
        <w:rPr>
          <w:rFonts w:ascii="Verdana" w:hAnsi="Verdana"/>
          <w:sz w:val="18"/>
          <w:szCs w:val="18"/>
        </w:rPr>
        <w:t xml:space="preserve"> refer to the palate, or roof of the mouth. These bones form the posterior, or rear portion of the hard palate and parts of the floor and walls of the nasal cavity, and the floor of the oral cavity.</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b/>
          <w:bCs/>
          <w:sz w:val="18"/>
          <w:szCs w:val="18"/>
        </w:rPr>
        <w:t>Maxillae</w:t>
      </w:r>
      <w:r w:rsidRPr="00DA797F">
        <w:rPr>
          <w:rFonts w:ascii="Verdana" w:hAnsi="Verdana"/>
          <w:sz w:val="18"/>
          <w:szCs w:val="18"/>
        </w:rPr>
        <w:t xml:space="preserve"> join to form the upper jaw. The maxilla holds the upper teeth, forms the roof of the oral cavity, and contributes to the structure of the nasal cavity. The two maxillary bones are fused in the middle forming the middle third of the face. </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sz w:val="18"/>
          <w:szCs w:val="18"/>
        </w:rPr>
        <w:t xml:space="preserve">The </w:t>
      </w:r>
      <w:r w:rsidRPr="00DA797F">
        <w:rPr>
          <w:rFonts w:ascii="Verdana" w:hAnsi="Verdana"/>
          <w:b/>
          <w:bCs/>
          <w:sz w:val="18"/>
          <w:szCs w:val="18"/>
        </w:rPr>
        <w:t>mandible</w:t>
      </w:r>
      <w:r w:rsidRPr="00DA797F">
        <w:rPr>
          <w:rFonts w:ascii="Verdana" w:hAnsi="Verdana"/>
          <w:sz w:val="18"/>
          <w:szCs w:val="18"/>
        </w:rPr>
        <w:t xml:space="preserve"> is a single bone comprising the lower jaw. It extends from one temporal bone to the other forming the chin. It is the largest and strongest facial bone. The mandible consists of two horseshoe-shaped bones joined to two perpendicular bones.</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b/>
          <w:sz w:val="18"/>
          <w:szCs w:val="18"/>
          <w:u w:val="single"/>
        </w:rPr>
      </w:pPr>
      <w:r w:rsidRPr="00DA797F">
        <w:rPr>
          <w:rFonts w:ascii="Verdana" w:hAnsi="Verdana"/>
          <w:b/>
          <w:sz w:val="18"/>
          <w:szCs w:val="18"/>
          <w:u w:val="single"/>
        </w:rPr>
        <w:t>NERVES:</w:t>
      </w:r>
    </w:p>
    <w:p w:rsidR="00DA797F" w:rsidRPr="00DA797F" w:rsidRDefault="00DA797F" w:rsidP="00DA797F">
      <w:pPr>
        <w:rPr>
          <w:rFonts w:ascii="Verdana" w:hAnsi="Verdana"/>
          <w:sz w:val="18"/>
          <w:szCs w:val="18"/>
        </w:rPr>
      </w:pPr>
      <w:r w:rsidRPr="00DA797F">
        <w:rPr>
          <w:rFonts w:ascii="Verdana" w:hAnsi="Verdana"/>
          <w:sz w:val="18"/>
          <w:szCs w:val="18"/>
        </w:rPr>
        <w:t>Cranial Nerve VII (Facial) is the primary motor nerve supply to the muscles of facial expression, the auricle of the ear, and the back of the head (occiput). It has five branches: the temporal, zygomatic, buccal, mandibular and cervical branches that can be affected by stroke, Bell's Palsey, and some seizure victims.</w:t>
      </w:r>
      <w:r w:rsidRPr="00DA797F">
        <w:rPr>
          <w:rFonts w:ascii="Verdana" w:hAnsi="Verdana"/>
          <w:sz w:val="18"/>
          <w:szCs w:val="18"/>
        </w:rPr>
        <w:br/>
      </w:r>
      <w:r w:rsidRPr="00DA797F">
        <w:rPr>
          <w:rFonts w:ascii="Verdana" w:hAnsi="Verdana"/>
          <w:sz w:val="18"/>
          <w:szCs w:val="18"/>
        </w:rPr>
        <w:br/>
        <w:t>Cranial Nerve V (Trigeminal) provides sensory nerves to the skin of the face. It is divided into three divisions:</w:t>
      </w:r>
    </w:p>
    <w:p w:rsidR="00DA797F" w:rsidRPr="00DA797F" w:rsidRDefault="00DA797F" w:rsidP="00DA797F">
      <w:pPr>
        <w:ind w:left="360"/>
        <w:rPr>
          <w:rFonts w:ascii="Verdana" w:hAnsi="Verdana"/>
          <w:sz w:val="18"/>
          <w:szCs w:val="18"/>
        </w:rPr>
      </w:pPr>
      <w:r w:rsidRPr="00DA797F">
        <w:rPr>
          <w:rFonts w:ascii="Verdana" w:hAnsi="Verdana"/>
          <w:sz w:val="18"/>
          <w:szCs w:val="18"/>
        </w:rPr>
        <w:t xml:space="preserve">The </w:t>
      </w:r>
      <w:r w:rsidRPr="00DA797F">
        <w:rPr>
          <w:rFonts w:ascii="Verdana" w:hAnsi="Verdana"/>
          <w:b/>
          <w:bCs/>
          <w:sz w:val="18"/>
          <w:szCs w:val="18"/>
        </w:rPr>
        <w:t>Ophthalmic division</w:t>
      </w:r>
      <w:r w:rsidRPr="00DA797F">
        <w:rPr>
          <w:rFonts w:ascii="Verdana" w:hAnsi="Verdana"/>
          <w:sz w:val="18"/>
          <w:szCs w:val="18"/>
        </w:rPr>
        <w:t xml:space="preserve"> innervates the upper eyelid and nose.</w:t>
      </w:r>
    </w:p>
    <w:p w:rsidR="00DA797F" w:rsidRPr="00DA797F" w:rsidRDefault="00DA797F" w:rsidP="00DA797F">
      <w:pPr>
        <w:ind w:left="360"/>
        <w:rPr>
          <w:rFonts w:ascii="Verdana" w:hAnsi="Verdana"/>
          <w:sz w:val="18"/>
          <w:szCs w:val="18"/>
        </w:rPr>
      </w:pPr>
      <w:r w:rsidRPr="00DA797F">
        <w:rPr>
          <w:rFonts w:ascii="Verdana" w:hAnsi="Verdana"/>
          <w:sz w:val="18"/>
          <w:szCs w:val="18"/>
        </w:rPr>
        <w:t xml:space="preserve">The </w:t>
      </w:r>
      <w:r w:rsidRPr="00DA797F">
        <w:rPr>
          <w:rFonts w:ascii="Verdana" w:hAnsi="Verdana"/>
          <w:b/>
          <w:bCs/>
          <w:sz w:val="18"/>
          <w:szCs w:val="18"/>
        </w:rPr>
        <w:t>Maxillary division</w:t>
      </w:r>
      <w:r w:rsidRPr="00DA797F">
        <w:rPr>
          <w:rFonts w:ascii="Verdana" w:hAnsi="Verdana"/>
          <w:sz w:val="18"/>
          <w:szCs w:val="18"/>
        </w:rPr>
        <w:t xml:space="preserve"> innervates the face below the eyes and above the upper lip.</w:t>
      </w:r>
    </w:p>
    <w:p w:rsidR="00DA797F" w:rsidRPr="00DA797F" w:rsidRDefault="00DA797F" w:rsidP="00DA797F">
      <w:pPr>
        <w:ind w:left="360"/>
        <w:rPr>
          <w:rFonts w:ascii="Verdana" w:hAnsi="Verdana"/>
          <w:sz w:val="18"/>
          <w:szCs w:val="18"/>
        </w:rPr>
      </w:pPr>
      <w:r w:rsidRPr="00DA797F">
        <w:rPr>
          <w:rFonts w:ascii="Verdana" w:hAnsi="Verdana"/>
          <w:sz w:val="18"/>
          <w:szCs w:val="18"/>
        </w:rPr>
        <w:t xml:space="preserve">The </w:t>
      </w:r>
      <w:r w:rsidRPr="00DA797F">
        <w:rPr>
          <w:rFonts w:ascii="Verdana" w:hAnsi="Verdana"/>
          <w:b/>
          <w:bCs/>
          <w:sz w:val="18"/>
          <w:szCs w:val="18"/>
        </w:rPr>
        <w:t>Mandibular division</w:t>
      </w:r>
      <w:r w:rsidRPr="00DA797F">
        <w:rPr>
          <w:rFonts w:ascii="Verdana" w:hAnsi="Verdana"/>
          <w:sz w:val="18"/>
          <w:szCs w:val="18"/>
        </w:rPr>
        <w:t xml:space="preserve"> innervates the face below the level of the lower lip.</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p>
    <w:p w:rsidR="00DA797F" w:rsidRPr="00DA797F" w:rsidRDefault="00DA797F" w:rsidP="00DA797F">
      <w:pPr>
        <w:rPr>
          <w:rFonts w:ascii="Verdana" w:hAnsi="Verdana"/>
          <w:b/>
          <w:sz w:val="18"/>
          <w:szCs w:val="18"/>
          <w:u w:val="single"/>
        </w:rPr>
      </w:pPr>
      <w:r w:rsidRPr="00DA797F">
        <w:rPr>
          <w:rFonts w:ascii="Verdana" w:hAnsi="Verdana"/>
          <w:b/>
          <w:sz w:val="18"/>
          <w:szCs w:val="18"/>
          <w:u w:val="single"/>
        </w:rPr>
        <w:t>TYPES OF TEETH:</w:t>
      </w:r>
    </w:p>
    <w:p w:rsidR="00DA797F" w:rsidRPr="00DA797F" w:rsidRDefault="00DA797F" w:rsidP="00DA797F">
      <w:pPr>
        <w:rPr>
          <w:rFonts w:ascii="Verdana" w:hAnsi="Verdana"/>
          <w:sz w:val="18"/>
          <w:szCs w:val="18"/>
        </w:rPr>
      </w:pPr>
      <w:r w:rsidRPr="00DA797F">
        <w:rPr>
          <w:rFonts w:ascii="Verdana" w:hAnsi="Verdana"/>
          <w:sz w:val="18"/>
          <w:szCs w:val="18"/>
        </w:rPr>
        <w:t>20 primary teeth</w:t>
      </w:r>
    </w:p>
    <w:p w:rsidR="00DA797F" w:rsidRPr="00DA797F" w:rsidRDefault="00DA797F" w:rsidP="00DA797F">
      <w:pPr>
        <w:rPr>
          <w:rFonts w:ascii="Verdana" w:hAnsi="Verdana"/>
          <w:sz w:val="18"/>
          <w:szCs w:val="18"/>
        </w:rPr>
      </w:pPr>
      <w:r w:rsidRPr="00DA797F">
        <w:rPr>
          <w:rFonts w:ascii="Verdana" w:hAnsi="Verdana"/>
          <w:sz w:val="18"/>
          <w:szCs w:val="18"/>
        </w:rPr>
        <w:t>32 permanent teeth – 1 is right top/maxillary third molar, 32 is right bottom/mandibular third molar</w:t>
      </w:r>
    </w:p>
    <w:p w:rsid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sz w:val="18"/>
          <w:szCs w:val="18"/>
        </w:rPr>
        <w:t>Each jaw holds four incisors. These teeth consist of a chisel-shaped crown and a single conical, or cone shaped, root located in the front part of both jaws and are used for cutting and biting food.</w:t>
      </w:r>
    </w:p>
    <w:p w:rsidR="00DA797F" w:rsidRPr="00DA797F" w:rsidRDefault="00DA797F" w:rsidP="00DA797F">
      <w:pPr>
        <w:rPr>
          <w:rFonts w:ascii="Verdana" w:hAnsi="Verdana"/>
          <w:sz w:val="18"/>
          <w:szCs w:val="18"/>
        </w:rPr>
      </w:pPr>
      <w:r w:rsidRPr="00DA797F">
        <w:rPr>
          <w:rFonts w:ascii="Verdana" w:hAnsi="Verdana"/>
          <w:sz w:val="18"/>
          <w:szCs w:val="18"/>
        </w:rPr>
        <w:t xml:space="preserve">Each jaw contains two </w:t>
      </w:r>
      <w:hyperlink r:id="rId712" w:history="1">
        <w:r w:rsidRPr="00DA797F">
          <w:rPr>
            <w:rStyle w:val="Hyperlink"/>
            <w:rFonts w:ascii="Verdana" w:hAnsi="Verdana"/>
            <w:sz w:val="18"/>
            <w:szCs w:val="18"/>
          </w:rPr>
          <w:t>canines</w:t>
        </w:r>
      </w:hyperlink>
      <w:r w:rsidRPr="00DA797F">
        <w:rPr>
          <w:rFonts w:ascii="Verdana" w:hAnsi="Verdana"/>
          <w:sz w:val="18"/>
          <w:szCs w:val="18"/>
        </w:rPr>
        <w:t>. These are pointed conical teeth located between the incisors and the first bicuspids. These teeth are used for tearing and shredding.</w:t>
      </w:r>
    </w:p>
    <w:p w:rsidR="00DA797F" w:rsidRPr="00DA797F" w:rsidRDefault="00DA797F" w:rsidP="00DA797F">
      <w:pPr>
        <w:rPr>
          <w:rFonts w:ascii="Verdana" w:hAnsi="Verdana"/>
          <w:sz w:val="18"/>
          <w:szCs w:val="18"/>
        </w:rPr>
      </w:pPr>
      <w:r w:rsidRPr="00DA797F">
        <w:rPr>
          <w:rFonts w:ascii="Verdana" w:hAnsi="Verdana"/>
          <w:sz w:val="18"/>
          <w:szCs w:val="18"/>
        </w:rPr>
        <w:t>Each jaw holds four premolars. Any of eight bicuspid teeth located in pairs on the left and right side of the upper and lower jaws behind the canines and in front of the molars. These teeth are used for chewing food.</w:t>
      </w:r>
    </w:p>
    <w:p w:rsidR="00DA797F" w:rsidRPr="00DA797F" w:rsidRDefault="00DA797F" w:rsidP="00DA797F">
      <w:pPr>
        <w:rPr>
          <w:rFonts w:ascii="Verdana" w:hAnsi="Verdana"/>
          <w:sz w:val="18"/>
          <w:szCs w:val="18"/>
        </w:rPr>
      </w:pPr>
    </w:p>
    <w:p w:rsidR="00DA797F" w:rsidRDefault="00DA797F" w:rsidP="00DA797F">
      <w:pPr>
        <w:rPr>
          <w:rFonts w:ascii="Verdana" w:hAnsi="Verdana"/>
          <w:sz w:val="18"/>
          <w:szCs w:val="18"/>
        </w:rPr>
      </w:pPr>
      <w:r w:rsidRPr="00DA797F">
        <w:rPr>
          <w:rFonts w:ascii="Verdana" w:hAnsi="Verdana"/>
          <w:sz w:val="18"/>
          <w:szCs w:val="18"/>
        </w:rPr>
        <w:t xml:space="preserve">Each jaw holds </w:t>
      </w:r>
      <w:hyperlink r:id="rId713" w:history="1">
        <w:r w:rsidRPr="00DA797F">
          <w:rPr>
            <w:rStyle w:val="Hyperlink"/>
            <w:rFonts w:ascii="Verdana" w:hAnsi="Verdana"/>
            <w:sz w:val="18"/>
            <w:szCs w:val="18"/>
          </w:rPr>
          <w:t>six molars</w:t>
        </w:r>
      </w:hyperlink>
      <w:r w:rsidRPr="00DA797F">
        <w:rPr>
          <w:rFonts w:ascii="Verdana" w:hAnsi="Verdana"/>
          <w:sz w:val="18"/>
          <w:szCs w:val="18"/>
        </w:rPr>
        <w:t>. A tooth having a crown with three, four, or five cusps, or pointed ends, on the grinding surface, a bifid root in the lower jaw, and three conical roots in the upper jaw. There are three on either side behind the premolars. These teeth are used for chewing and grinding food before swallowing.</w:t>
      </w:r>
    </w:p>
    <w:p w:rsid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sz w:val="18"/>
          <w:szCs w:val="18"/>
        </w:rPr>
        <w:t xml:space="preserve">The gums, or gingiva is firm connective tissue covered with a mucous membrane that surrounds the teeth. The gums hold the teeth in position, and the roots of the teeth are embedded in the maxilla and mandible jaws by cementum, a binding material. </w:t>
      </w:r>
    </w:p>
    <w:p w:rsidR="00DA797F" w:rsidRPr="00DA797F" w:rsidRDefault="00DA797F" w:rsidP="00DA797F">
      <w:pPr>
        <w:ind w:left="360"/>
        <w:rPr>
          <w:rFonts w:ascii="Verdana" w:hAnsi="Verdana"/>
          <w:sz w:val="18"/>
          <w:szCs w:val="18"/>
        </w:rPr>
      </w:pPr>
      <w:r w:rsidRPr="00DA797F">
        <w:rPr>
          <w:rFonts w:ascii="Verdana" w:hAnsi="Verdana"/>
          <w:b/>
          <w:sz w:val="18"/>
          <w:szCs w:val="18"/>
        </w:rPr>
        <w:t>Attached Gingiva</w:t>
      </w:r>
      <w:r w:rsidRPr="00DA797F">
        <w:rPr>
          <w:rFonts w:ascii="Verdana" w:hAnsi="Verdana"/>
          <w:sz w:val="18"/>
          <w:szCs w:val="18"/>
        </w:rPr>
        <w:t xml:space="preserve"> - The tissue that is attached to the bone and mucosa lying underneath.</w:t>
      </w:r>
    </w:p>
    <w:p w:rsidR="00DA797F" w:rsidRPr="00DA797F" w:rsidRDefault="00DA797F" w:rsidP="00DA797F">
      <w:pPr>
        <w:ind w:left="360"/>
        <w:rPr>
          <w:rFonts w:ascii="Verdana" w:hAnsi="Verdana"/>
          <w:sz w:val="18"/>
          <w:szCs w:val="18"/>
        </w:rPr>
      </w:pPr>
      <w:r w:rsidRPr="00DA797F">
        <w:rPr>
          <w:rFonts w:ascii="Verdana" w:hAnsi="Verdana"/>
          <w:b/>
          <w:sz w:val="18"/>
          <w:szCs w:val="18"/>
        </w:rPr>
        <w:t>Free Gingiva</w:t>
      </w:r>
      <w:r w:rsidRPr="00DA797F">
        <w:rPr>
          <w:rFonts w:ascii="Verdana" w:hAnsi="Verdana"/>
          <w:sz w:val="18"/>
          <w:szCs w:val="18"/>
        </w:rPr>
        <w:t xml:space="preserve"> - The soft thin tissue that is movable, which forms the inside of lips and cheeks.</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sz w:val="18"/>
          <w:szCs w:val="18"/>
        </w:rPr>
        <w:t>The visible part of the teeth that we see in our mouth is called the crown. It is comprised of enamel, dentine, and pulp.</w:t>
      </w:r>
    </w:p>
    <w:p w:rsidR="00DA797F" w:rsidRPr="00DA797F" w:rsidRDefault="00DA797F" w:rsidP="00DA797F">
      <w:pPr>
        <w:ind w:left="360"/>
        <w:rPr>
          <w:rFonts w:ascii="Verdana" w:hAnsi="Verdana"/>
          <w:sz w:val="18"/>
          <w:szCs w:val="18"/>
        </w:rPr>
      </w:pPr>
      <w:r w:rsidRPr="00DA797F">
        <w:rPr>
          <w:rFonts w:ascii="Verdana" w:hAnsi="Verdana"/>
          <w:b/>
          <w:bCs/>
          <w:sz w:val="18"/>
          <w:szCs w:val="18"/>
        </w:rPr>
        <w:t>Enamel</w:t>
      </w:r>
      <w:r w:rsidRPr="00DA797F">
        <w:rPr>
          <w:rFonts w:ascii="Verdana" w:hAnsi="Verdana"/>
          <w:sz w:val="18"/>
          <w:szCs w:val="18"/>
        </w:rPr>
        <w:t xml:space="preserve"> acts as a protective structure that covers the part of the tooth that is exposed.</w:t>
      </w:r>
    </w:p>
    <w:p w:rsidR="00DA797F" w:rsidRPr="00DA797F" w:rsidRDefault="00DA797F" w:rsidP="00DA797F">
      <w:pPr>
        <w:ind w:left="360"/>
        <w:rPr>
          <w:rFonts w:ascii="Verdana" w:hAnsi="Verdana"/>
          <w:sz w:val="18"/>
          <w:szCs w:val="18"/>
        </w:rPr>
      </w:pPr>
      <w:r w:rsidRPr="00DA797F">
        <w:rPr>
          <w:rFonts w:ascii="Verdana" w:hAnsi="Verdana"/>
          <w:b/>
          <w:bCs/>
          <w:sz w:val="18"/>
          <w:szCs w:val="18"/>
        </w:rPr>
        <w:t>Dentine</w:t>
      </w:r>
      <w:r w:rsidRPr="00DA797F">
        <w:rPr>
          <w:rFonts w:ascii="Verdana" w:hAnsi="Verdana"/>
          <w:sz w:val="18"/>
          <w:szCs w:val="18"/>
        </w:rPr>
        <w:t xml:space="preserve"> forms the mass of a tooth. It is located below the tooth enamel on the crown and below the cementum on the root.</w:t>
      </w:r>
    </w:p>
    <w:p w:rsidR="00DA797F" w:rsidRPr="00DA797F" w:rsidRDefault="00DA797F" w:rsidP="00DA797F">
      <w:pPr>
        <w:ind w:left="360"/>
        <w:rPr>
          <w:rFonts w:ascii="Verdana" w:hAnsi="Verdana"/>
          <w:sz w:val="18"/>
          <w:szCs w:val="18"/>
        </w:rPr>
      </w:pPr>
      <w:r w:rsidRPr="00DA797F">
        <w:rPr>
          <w:rFonts w:ascii="Verdana" w:hAnsi="Verdana"/>
          <w:b/>
          <w:bCs/>
          <w:sz w:val="18"/>
          <w:szCs w:val="18"/>
        </w:rPr>
        <w:t xml:space="preserve">Pulp </w:t>
      </w:r>
      <w:r w:rsidRPr="00DA797F">
        <w:rPr>
          <w:rFonts w:ascii="Verdana" w:hAnsi="Verdana"/>
          <w:sz w:val="18"/>
          <w:szCs w:val="18"/>
        </w:rPr>
        <w:t>is a tissue that contains nerves and blood vessels that supports the tooth.</w:t>
      </w:r>
    </w:p>
    <w:p w:rsidR="00DA797F" w:rsidRPr="00DA797F" w:rsidRDefault="00DA797F" w:rsidP="00DA797F">
      <w:pPr>
        <w:rPr>
          <w:rFonts w:ascii="Verdana" w:hAnsi="Verdana"/>
          <w:sz w:val="18"/>
          <w:szCs w:val="18"/>
        </w:rPr>
      </w:pPr>
    </w:p>
    <w:p w:rsidR="00DA797F" w:rsidRPr="00DA797F" w:rsidRDefault="00DA797F" w:rsidP="00DA797F">
      <w:pPr>
        <w:rPr>
          <w:rFonts w:ascii="Verdana" w:hAnsi="Verdana"/>
          <w:sz w:val="18"/>
          <w:szCs w:val="18"/>
        </w:rPr>
      </w:pPr>
      <w:r w:rsidRPr="00DA797F">
        <w:rPr>
          <w:rFonts w:ascii="Verdana" w:hAnsi="Verdana"/>
          <w:sz w:val="18"/>
          <w:szCs w:val="18"/>
        </w:rPr>
        <w:t xml:space="preserve">The root is the part of the tooth that is not visible when you look inside your mouth. The root is embedded in the sockets that are in the jaw bone. Blood vessels travel through the jaws and into the pulp of the tooth to supply the teeth with blood. Dentin, a bonelike material, covers the pulp, and a hard protective enamel covers the dentin. </w:t>
      </w:r>
    </w:p>
    <w:p w:rsidR="00DA797F" w:rsidRPr="00DA797F" w:rsidRDefault="00DA797F" w:rsidP="00DA797F">
      <w:pPr>
        <w:rPr>
          <w:rFonts w:ascii="Verdana" w:hAnsi="Verdana"/>
          <w:sz w:val="18"/>
          <w:szCs w:val="18"/>
        </w:rPr>
      </w:pPr>
      <w:r w:rsidRPr="00DA797F">
        <w:rPr>
          <w:rFonts w:ascii="Verdana" w:hAnsi="Verdana"/>
          <w:b/>
          <w:bCs/>
          <w:sz w:val="18"/>
          <w:szCs w:val="18"/>
        </w:rPr>
        <w:t>Cementum</w:t>
      </w:r>
      <w:r w:rsidRPr="00DA797F">
        <w:rPr>
          <w:rFonts w:ascii="Verdana" w:hAnsi="Verdana"/>
          <w:sz w:val="18"/>
          <w:szCs w:val="18"/>
        </w:rPr>
        <w:t xml:space="preserve"> is located on top of the dentine under the gums (in the root).</w:t>
      </w:r>
    </w:p>
    <w:p w:rsidR="00DA797F" w:rsidRDefault="00DA797F">
      <w:pPr>
        <w:widowControl w:val="0"/>
        <w:pBdr>
          <w:bottom w:val="single" w:sz="4" w:space="1" w:color="auto"/>
        </w:pBdr>
      </w:pPr>
    </w:p>
    <w:p w:rsidR="00013EB8" w:rsidRDefault="00013EB8">
      <w:pPr>
        <w:widowControl w:val="0"/>
        <w:pBdr>
          <w:top w:val="double" w:sz="4" w:space="1" w:color="auto"/>
        </w:pBdr>
        <w:tabs>
          <w:tab w:val="left" w:pos="0"/>
          <w:tab w:val="left" w:pos="144"/>
        </w:tabs>
        <w:rPr>
          <w:b/>
          <w:bCs/>
          <w:i/>
          <w:iCs/>
          <w:sz w:val="22"/>
        </w:rPr>
      </w:pPr>
      <w:r>
        <w:rPr>
          <w:b/>
          <w:bCs/>
          <w:i/>
          <w:iCs/>
          <w:sz w:val="22"/>
        </w:rPr>
        <w:br w:type="page"/>
      </w:r>
    </w:p>
    <w:p w:rsidR="004D429B" w:rsidRDefault="004D429B" w:rsidP="004D429B">
      <w:pPr>
        <w:widowControl w:val="0"/>
        <w:pBdr>
          <w:top w:val="double" w:sz="4" w:space="1" w:color="auto"/>
        </w:pBdr>
        <w:tabs>
          <w:tab w:val="left" w:pos="0"/>
          <w:tab w:val="left" w:pos="144"/>
        </w:tabs>
        <w:rPr>
          <w:b/>
          <w:bCs/>
          <w:i/>
          <w:iCs/>
          <w:sz w:val="22"/>
        </w:rPr>
      </w:pPr>
      <w:bookmarkStart w:id="169" w:name="Evidence"/>
    </w:p>
    <w:p w:rsidR="00013EB8" w:rsidRDefault="00013EB8">
      <w:pPr>
        <w:widowControl w:val="0"/>
        <w:tabs>
          <w:tab w:val="left" w:pos="0"/>
          <w:tab w:val="left" w:pos="144"/>
        </w:tabs>
        <w:rPr>
          <w:b/>
          <w:bCs/>
          <w:i/>
          <w:iCs/>
          <w:sz w:val="22"/>
        </w:rPr>
      </w:pPr>
      <w:r>
        <w:rPr>
          <w:b/>
          <w:bCs/>
          <w:i/>
          <w:iCs/>
          <w:sz w:val="22"/>
        </w:rPr>
        <w:t>EVIDENCE -</w:t>
      </w:r>
    </w:p>
    <w:bookmarkEnd w:id="169"/>
    <w:p w:rsidR="00013EB8" w:rsidRDefault="00013EB8">
      <w:pPr>
        <w:widowControl w:val="0"/>
        <w:tabs>
          <w:tab w:val="left" w:pos="0"/>
          <w:tab w:val="left" w:pos="144"/>
        </w:tabs>
        <w:rPr>
          <w:sz w:val="22"/>
        </w:rPr>
      </w:pPr>
    </w:p>
    <w:p w:rsidR="00A511A1" w:rsidRDefault="00A511A1" w:rsidP="00F063AF">
      <w:pPr>
        <w:pStyle w:val="ListParagraph"/>
        <w:widowControl w:val="0"/>
        <w:numPr>
          <w:ilvl w:val="0"/>
          <w:numId w:val="157"/>
        </w:numPr>
        <w:spacing w:after="120" w:line="240" w:lineRule="auto"/>
        <w:ind w:left="446"/>
        <w:rPr>
          <w:rFonts w:ascii="Arial" w:hAnsi="Arial"/>
          <w:sz w:val="20"/>
          <w:szCs w:val="20"/>
        </w:rPr>
      </w:pPr>
      <w:r w:rsidRPr="00CE3AF1">
        <w:rPr>
          <w:rFonts w:ascii="Arial" w:hAnsi="Arial"/>
          <w:b/>
          <w:sz w:val="20"/>
          <w:szCs w:val="20"/>
        </w:rPr>
        <w:t>III.ii.2.D.2.</w:t>
      </w:r>
      <w:r w:rsidR="00CE3AF1" w:rsidRPr="00CE3AF1">
        <w:rPr>
          <w:rFonts w:ascii="Arial" w:hAnsi="Arial"/>
          <w:b/>
          <w:sz w:val="20"/>
          <w:szCs w:val="20"/>
        </w:rPr>
        <w:t>c &amp; III.ii.3.D.2.e</w:t>
      </w:r>
      <w:r w:rsidR="00CE3AF1">
        <w:rPr>
          <w:rFonts w:ascii="Arial" w:hAnsi="Arial"/>
          <w:sz w:val="20"/>
          <w:szCs w:val="20"/>
        </w:rPr>
        <w:t xml:space="preserve"> – managing evidence</w:t>
      </w:r>
    </w:p>
    <w:p w:rsidR="00CE3AF1" w:rsidRPr="00CE3AF1" w:rsidRDefault="00D571C5" w:rsidP="00F063AF">
      <w:pPr>
        <w:pStyle w:val="ListParagraph"/>
        <w:widowControl w:val="0"/>
        <w:numPr>
          <w:ilvl w:val="0"/>
          <w:numId w:val="157"/>
        </w:numPr>
        <w:spacing w:after="120" w:line="240" w:lineRule="auto"/>
        <w:ind w:left="450"/>
        <w:rPr>
          <w:rFonts w:ascii="Arial" w:hAnsi="Arial"/>
          <w:i/>
          <w:sz w:val="20"/>
          <w:szCs w:val="20"/>
        </w:rPr>
      </w:pPr>
      <w:hyperlink r:id="rId714" w:history="1">
        <w:r w:rsidR="00CE3AF1" w:rsidRPr="00CE3AF1">
          <w:rPr>
            <w:rStyle w:val="Hyperlink"/>
            <w:rFonts w:ascii="Arial" w:hAnsi="Arial"/>
            <w:i/>
            <w:sz w:val="20"/>
            <w:szCs w:val="20"/>
          </w:rPr>
          <w:t>http://vbaw.vba.va.gov/VBMS/Resources_Job_Instruction_Sheets.asp</w:t>
        </w:r>
      </w:hyperlink>
    </w:p>
    <w:p w:rsidR="00B477E3" w:rsidRPr="00B477E3" w:rsidRDefault="00B477E3" w:rsidP="00B477E3">
      <w:pPr>
        <w:pStyle w:val="ListParagraph"/>
        <w:widowControl w:val="0"/>
        <w:spacing w:after="120" w:line="240" w:lineRule="auto"/>
        <w:ind w:left="446"/>
        <w:rPr>
          <w:rFonts w:ascii="Arial" w:hAnsi="Arial"/>
          <w:sz w:val="20"/>
          <w:szCs w:val="20"/>
        </w:rPr>
      </w:pPr>
    </w:p>
    <w:p w:rsidR="00B477E3" w:rsidRPr="000F33A5" w:rsidRDefault="00B477E3" w:rsidP="00B477E3">
      <w:pPr>
        <w:jc w:val="center"/>
        <w:rPr>
          <w:b/>
          <w:sz w:val="22"/>
          <w:szCs w:val="22"/>
          <w:u w:val="single"/>
        </w:rPr>
      </w:pPr>
      <w:r>
        <w:rPr>
          <w:b/>
          <w:sz w:val="22"/>
          <w:szCs w:val="22"/>
          <w:u w:val="single"/>
        </w:rPr>
        <w:t>VBMS EVIDENCE DOCUMENT CATEGORIES AND TYPES</w:t>
      </w:r>
    </w:p>
    <w:p w:rsidR="00B477E3" w:rsidRDefault="00B477E3" w:rsidP="00B477E3">
      <w:pPr>
        <w:rPr>
          <w:b/>
          <w:sz w:val="22"/>
          <w:szCs w:val="22"/>
          <w:u w:val="single"/>
        </w:rPr>
      </w:pPr>
    </w:p>
    <w:p w:rsidR="00B477E3" w:rsidRDefault="00B477E3" w:rsidP="00B477E3">
      <w:pPr>
        <w:pStyle w:val="NormalWeb"/>
        <w:rPr>
          <w:color w:val="1F497D"/>
          <w:sz w:val="22"/>
          <w:szCs w:val="22"/>
        </w:rPr>
      </w:pPr>
      <w:r w:rsidRPr="0012583E">
        <w:rPr>
          <w:sz w:val="22"/>
          <w:szCs w:val="22"/>
        </w:rPr>
        <w:t xml:space="preserve">Also see </w:t>
      </w:r>
      <w:hyperlink r:id="rId715" w:history="1">
        <w:r w:rsidRPr="0012583E">
          <w:rPr>
            <w:rStyle w:val="Hyperlink"/>
            <w:b/>
            <w:bCs/>
            <w:sz w:val="22"/>
            <w:szCs w:val="22"/>
          </w:rPr>
          <w:t>Searchable Doc ID Guide</w:t>
        </w:r>
      </w:hyperlink>
      <w:r w:rsidR="000B0DDA">
        <w:rPr>
          <w:sz w:val="22"/>
          <w:szCs w:val="22"/>
        </w:rPr>
        <w:t xml:space="preserve"> (as well as</w:t>
      </w:r>
      <w:r w:rsidRPr="0012583E">
        <w:rPr>
          <w:sz w:val="22"/>
          <w:szCs w:val="22"/>
        </w:rPr>
        <w:t xml:space="preserve"> “eFolder Maintenance Plan</w:t>
      </w:r>
      <w:r w:rsidR="001946CC">
        <w:rPr>
          <w:sz w:val="22"/>
          <w:szCs w:val="22"/>
        </w:rPr>
        <w:t>,”</w:t>
      </w:r>
      <w:r w:rsidRPr="0012583E">
        <w:rPr>
          <w:sz w:val="22"/>
          <w:szCs w:val="22"/>
        </w:rPr>
        <w:t xml:space="preserve"> which can be found under the “eRO” button at </w:t>
      </w:r>
      <w:hyperlink r:id="rId716" w:history="1">
        <w:r w:rsidRPr="0012583E">
          <w:rPr>
            <w:rStyle w:val="Hyperlink"/>
            <w:sz w:val="22"/>
            <w:szCs w:val="22"/>
          </w:rPr>
          <w:t>Compensation Service Transformation Initiative &amp; Pilot (TIP) Sheets</w:t>
        </w:r>
      </w:hyperlink>
      <w:r w:rsidR="000B0DDA">
        <w:rPr>
          <w:rStyle w:val="Hyperlink"/>
          <w:sz w:val="22"/>
          <w:szCs w:val="22"/>
        </w:rPr>
        <w:t>)</w:t>
      </w:r>
    </w:p>
    <w:p w:rsidR="00B477E3" w:rsidRPr="0012583E" w:rsidRDefault="00B477E3" w:rsidP="00B477E3">
      <w:pPr>
        <w:pStyle w:val="NormalWeb"/>
        <w:rPr>
          <w:sz w:val="22"/>
          <w:szCs w:val="22"/>
        </w:rPr>
      </w:pPr>
      <w:r w:rsidRPr="0012583E">
        <w:rPr>
          <w:sz w:val="22"/>
          <w:szCs w:val="22"/>
          <w:highlight w:val="yellow"/>
        </w:rPr>
        <w:t>The highlighted documents are frequently used.</w:t>
      </w:r>
    </w:p>
    <w:p w:rsidR="00B477E3" w:rsidRPr="0012583E" w:rsidRDefault="00B477E3" w:rsidP="00B477E3">
      <w:pPr>
        <w:rPr>
          <w:b/>
          <w:sz w:val="22"/>
          <w:szCs w:val="22"/>
        </w:rPr>
      </w:pPr>
      <w:r w:rsidRPr="0012583E">
        <w:rPr>
          <w:b/>
          <w:sz w:val="22"/>
          <w:szCs w:val="22"/>
          <w:u w:val="single"/>
        </w:rPr>
        <w:t>Applications</w:t>
      </w:r>
      <w:r w:rsidRPr="0012583E">
        <w:rPr>
          <w:b/>
          <w:sz w:val="22"/>
          <w:szCs w:val="22"/>
        </w:rPr>
        <w:t xml:space="preserve"> – </w:t>
      </w:r>
    </w:p>
    <w:p w:rsidR="00B477E3" w:rsidRPr="0012583E" w:rsidRDefault="00B477E3" w:rsidP="00B477E3">
      <w:pPr>
        <w:rPr>
          <w:sz w:val="22"/>
          <w:szCs w:val="22"/>
        </w:rPr>
      </w:pPr>
      <w:r w:rsidRPr="0012583E">
        <w:rPr>
          <w:sz w:val="22"/>
          <w:szCs w:val="22"/>
        </w:rPr>
        <w:tab/>
        <w:t>Informal Claims</w:t>
      </w:r>
    </w:p>
    <w:p w:rsidR="00B477E3" w:rsidRPr="0012583E" w:rsidRDefault="00B477E3" w:rsidP="00B477E3">
      <w:pPr>
        <w:rPr>
          <w:sz w:val="22"/>
          <w:szCs w:val="22"/>
        </w:rPr>
      </w:pPr>
      <w:r w:rsidRPr="0012583E">
        <w:rPr>
          <w:sz w:val="22"/>
          <w:szCs w:val="22"/>
        </w:rPr>
        <w:tab/>
        <w:t>VA 21-526</w:t>
      </w:r>
    </w:p>
    <w:p w:rsidR="00B477E3" w:rsidRPr="0012583E" w:rsidRDefault="00B477E3" w:rsidP="00B477E3">
      <w:pPr>
        <w:rPr>
          <w:sz w:val="22"/>
          <w:szCs w:val="22"/>
        </w:rPr>
      </w:pPr>
      <w:r w:rsidRPr="0012583E">
        <w:rPr>
          <w:sz w:val="22"/>
          <w:szCs w:val="22"/>
        </w:rPr>
        <w:tab/>
        <w:t>VA 21-526b</w:t>
      </w:r>
    </w:p>
    <w:p w:rsidR="00B477E3" w:rsidRDefault="00B477E3" w:rsidP="00B477E3">
      <w:pPr>
        <w:rPr>
          <w:b/>
          <w:sz w:val="22"/>
          <w:szCs w:val="22"/>
          <w:u w:val="single"/>
        </w:rPr>
      </w:pPr>
    </w:p>
    <w:p w:rsidR="00B477E3" w:rsidRDefault="00B477E3" w:rsidP="00B477E3">
      <w:pPr>
        <w:rPr>
          <w:b/>
          <w:sz w:val="22"/>
          <w:szCs w:val="22"/>
        </w:rPr>
      </w:pPr>
      <w:r w:rsidRPr="00656E5B">
        <w:rPr>
          <w:b/>
          <w:sz w:val="22"/>
          <w:szCs w:val="22"/>
          <w:u w:val="single"/>
        </w:rPr>
        <w:t>Applications – Original Claim</w:t>
      </w:r>
      <w:r>
        <w:rPr>
          <w:b/>
          <w:sz w:val="22"/>
          <w:szCs w:val="22"/>
        </w:rPr>
        <w:t xml:space="preserve"> –</w:t>
      </w:r>
    </w:p>
    <w:p w:rsidR="00B477E3" w:rsidRDefault="00B477E3" w:rsidP="00B477E3">
      <w:pPr>
        <w:rPr>
          <w:sz w:val="22"/>
          <w:szCs w:val="22"/>
        </w:rPr>
      </w:pPr>
      <w:r>
        <w:rPr>
          <w:b/>
          <w:sz w:val="22"/>
          <w:szCs w:val="22"/>
        </w:rPr>
        <w:tab/>
      </w:r>
      <w:r>
        <w:rPr>
          <w:sz w:val="22"/>
          <w:szCs w:val="22"/>
        </w:rPr>
        <w:t>VA 21-526c</w:t>
      </w:r>
    </w:p>
    <w:p w:rsidR="00B477E3" w:rsidRDefault="00B477E3" w:rsidP="00B477E3">
      <w:pPr>
        <w:rPr>
          <w:sz w:val="22"/>
          <w:szCs w:val="22"/>
        </w:rPr>
      </w:pPr>
      <w:r>
        <w:rPr>
          <w:sz w:val="22"/>
          <w:szCs w:val="22"/>
        </w:rPr>
        <w:tab/>
      </w:r>
      <w:r w:rsidRPr="0012583E">
        <w:rPr>
          <w:sz w:val="22"/>
          <w:szCs w:val="22"/>
          <w:highlight w:val="yellow"/>
        </w:rPr>
        <w:t>VA 21-526EZ</w:t>
      </w:r>
    </w:p>
    <w:p w:rsidR="00B477E3" w:rsidRDefault="00B477E3" w:rsidP="00B477E3">
      <w:pPr>
        <w:rPr>
          <w:sz w:val="22"/>
          <w:szCs w:val="22"/>
        </w:rPr>
      </w:pPr>
    </w:p>
    <w:p w:rsidR="00B477E3" w:rsidRDefault="00B477E3" w:rsidP="00B477E3">
      <w:pPr>
        <w:rPr>
          <w:b/>
          <w:sz w:val="22"/>
          <w:szCs w:val="22"/>
        </w:rPr>
      </w:pPr>
      <w:r w:rsidRPr="00656E5B">
        <w:rPr>
          <w:b/>
          <w:sz w:val="22"/>
          <w:szCs w:val="22"/>
          <w:u w:val="single"/>
        </w:rPr>
        <w:t xml:space="preserve">Applications – </w:t>
      </w:r>
      <w:r>
        <w:rPr>
          <w:b/>
          <w:sz w:val="22"/>
          <w:szCs w:val="22"/>
          <w:u w:val="single"/>
        </w:rPr>
        <w:t>Other Special Claims</w:t>
      </w:r>
      <w:r>
        <w:rPr>
          <w:b/>
          <w:sz w:val="22"/>
          <w:szCs w:val="22"/>
        </w:rPr>
        <w:t xml:space="preserve"> –</w:t>
      </w:r>
    </w:p>
    <w:p w:rsidR="00B477E3" w:rsidRDefault="00B477E3" w:rsidP="00B477E3">
      <w:pPr>
        <w:rPr>
          <w:sz w:val="22"/>
          <w:szCs w:val="22"/>
        </w:rPr>
      </w:pPr>
      <w:r>
        <w:rPr>
          <w:b/>
          <w:sz w:val="22"/>
          <w:szCs w:val="22"/>
        </w:rPr>
        <w:tab/>
      </w:r>
      <w:r>
        <w:rPr>
          <w:sz w:val="22"/>
          <w:szCs w:val="22"/>
        </w:rPr>
        <w:t>VA 21-4502</w:t>
      </w:r>
    </w:p>
    <w:p w:rsidR="00B477E3" w:rsidRDefault="00B477E3" w:rsidP="00B477E3">
      <w:pPr>
        <w:rPr>
          <w:sz w:val="22"/>
          <w:szCs w:val="22"/>
        </w:rPr>
      </w:pPr>
    </w:p>
    <w:p w:rsidR="00B477E3" w:rsidRDefault="00B477E3" w:rsidP="00B477E3">
      <w:pPr>
        <w:rPr>
          <w:b/>
          <w:sz w:val="22"/>
          <w:szCs w:val="22"/>
        </w:rPr>
      </w:pPr>
      <w:r w:rsidRPr="00656E5B">
        <w:rPr>
          <w:b/>
          <w:sz w:val="22"/>
          <w:szCs w:val="22"/>
          <w:u w:val="single"/>
        </w:rPr>
        <w:t xml:space="preserve">Applications – </w:t>
      </w:r>
      <w:r>
        <w:rPr>
          <w:b/>
          <w:sz w:val="22"/>
          <w:szCs w:val="22"/>
          <w:u w:val="single"/>
        </w:rPr>
        <w:t>Subsequent Compensation Claims</w:t>
      </w:r>
      <w:r>
        <w:rPr>
          <w:b/>
          <w:sz w:val="22"/>
          <w:szCs w:val="22"/>
        </w:rPr>
        <w:t xml:space="preserve"> –</w:t>
      </w:r>
    </w:p>
    <w:p w:rsidR="00B477E3" w:rsidRDefault="00B477E3" w:rsidP="00B477E3">
      <w:pPr>
        <w:rPr>
          <w:sz w:val="22"/>
          <w:szCs w:val="22"/>
        </w:rPr>
      </w:pPr>
      <w:r>
        <w:rPr>
          <w:sz w:val="22"/>
          <w:szCs w:val="22"/>
        </w:rPr>
        <w:tab/>
      </w:r>
      <w:r w:rsidRPr="00786957">
        <w:rPr>
          <w:sz w:val="22"/>
          <w:szCs w:val="22"/>
          <w:highlight w:val="yellow"/>
        </w:rPr>
        <w:t>VA 21-8940</w:t>
      </w:r>
    </w:p>
    <w:p w:rsidR="00B477E3" w:rsidRDefault="00B477E3" w:rsidP="00B477E3">
      <w:pPr>
        <w:rPr>
          <w:b/>
          <w:sz w:val="22"/>
          <w:szCs w:val="22"/>
          <w:u w:val="single"/>
        </w:rPr>
      </w:pPr>
    </w:p>
    <w:p w:rsidR="00B477E3" w:rsidRPr="00631EF0" w:rsidRDefault="00B477E3" w:rsidP="00B477E3">
      <w:pPr>
        <w:rPr>
          <w:b/>
          <w:sz w:val="22"/>
          <w:szCs w:val="22"/>
        </w:rPr>
      </w:pPr>
      <w:r>
        <w:rPr>
          <w:b/>
          <w:sz w:val="22"/>
          <w:szCs w:val="22"/>
          <w:u w:val="single"/>
        </w:rPr>
        <w:t>BDN Screen Print</w:t>
      </w:r>
      <w:r w:rsidRPr="00631EF0">
        <w:rPr>
          <w:b/>
          <w:sz w:val="22"/>
          <w:szCs w:val="22"/>
        </w:rPr>
        <w:t xml:space="preserve"> – </w:t>
      </w:r>
    </w:p>
    <w:p w:rsidR="00B477E3" w:rsidRDefault="00B477E3" w:rsidP="00B477E3">
      <w:pPr>
        <w:rPr>
          <w:sz w:val="22"/>
          <w:szCs w:val="22"/>
        </w:rPr>
      </w:pPr>
      <w:r>
        <w:rPr>
          <w:sz w:val="22"/>
          <w:szCs w:val="22"/>
        </w:rPr>
        <w:tab/>
        <w:t>BDN Print Screens</w:t>
      </w:r>
    </w:p>
    <w:p w:rsidR="00B477E3" w:rsidRDefault="00B477E3" w:rsidP="00B477E3">
      <w:pPr>
        <w:rPr>
          <w:b/>
          <w:sz w:val="22"/>
          <w:szCs w:val="22"/>
          <w:u w:val="single"/>
        </w:rPr>
      </w:pPr>
    </w:p>
    <w:p w:rsidR="00B477E3" w:rsidRPr="00631EF0" w:rsidRDefault="00B477E3" w:rsidP="00B477E3">
      <w:pPr>
        <w:rPr>
          <w:b/>
          <w:sz w:val="22"/>
          <w:szCs w:val="22"/>
        </w:rPr>
      </w:pPr>
      <w:r>
        <w:rPr>
          <w:b/>
          <w:sz w:val="22"/>
          <w:szCs w:val="22"/>
          <w:u w:val="single"/>
        </w:rPr>
        <w:t>Checklist</w:t>
      </w:r>
      <w:r w:rsidRPr="00631EF0">
        <w:rPr>
          <w:b/>
          <w:sz w:val="22"/>
          <w:szCs w:val="22"/>
        </w:rPr>
        <w:t xml:space="preserve"> – </w:t>
      </w:r>
    </w:p>
    <w:p w:rsidR="00B477E3" w:rsidRDefault="00B477E3" w:rsidP="00B477E3">
      <w:pPr>
        <w:rPr>
          <w:b/>
          <w:sz w:val="22"/>
          <w:szCs w:val="22"/>
          <w:u w:val="single"/>
        </w:rPr>
      </w:pPr>
      <w:r w:rsidRPr="00631EF0">
        <w:rPr>
          <w:sz w:val="22"/>
          <w:szCs w:val="22"/>
        </w:rPr>
        <w:tab/>
      </w:r>
      <w:r>
        <w:rPr>
          <w:sz w:val="22"/>
          <w:szCs w:val="22"/>
        </w:rPr>
        <w:t>Compensation Checklist</w:t>
      </w:r>
    </w:p>
    <w:p w:rsidR="00B477E3" w:rsidRDefault="00B477E3" w:rsidP="00B477E3">
      <w:pPr>
        <w:rPr>
          <w:b/>
          <w:sz w:val="22"/>
          <w:szCs w:val="22"/>
          <w:u w:val="single"/>
        </w:rPr>
      </w:pPr>
    </w:p>
    <w:p w:rsidR="00B477E3" w:rsidRPr="00631EF0" w:rsidRDefault="00B477E3" w:rsidP="00B477E3">
      <w:pPr>
        <w:rPr>
          <w:b/>
          <w:sz w:val="22"/>
          <w:szCs w:val="22"/>
        </w:rPr>
      </w:pPr>
      <w:r w:rsidRPr="00631EF0">
        <w:rPr>
          <w:b/>
          <w:sz w:val="22"/>
          <w:szCs w:val="22"/>
          <w:u w:val="single"/>
        </w:rPr>
        <w:t>Correspondence</w:t>
      </w:r>
      <w:r w:rsidRPr="00631EF0">
        <w:rPr>
          <w:b/>
          <w:sz w:val="22"/>
          <w:szCs w:val="22"/>
        </w:rPr>
        <w:t xml:space="preserve"> – </w:t>
      </w:r>
    </w:p>
    <w:p w:rsidR="00B477E3" w:rsidRPr="00426DD0" w:rsidRDefault="00B477E3" w:rsidP="00B477E3">
      <w:pPr>
        <w:ind w:left="720"/>
        <w:rPr>
          <w:color w:val="FF0000"/>
          <w:sz w:val="22"/>
          <w:szCs w:val="22"/>
        </w:rPr>
      </w:pPr>
      <w:r>
        <w:rPr>
          <w:sz w:val="22"/>
          <w:szCs w:val="22"/>
        </w:rPr>
        <w:t>Correspondence –</w:t>
      </w:r>
      <w:r w:rsidRPr="00426DD0">
        <w:rPr>
          <w:i/>
        </w:rPr>
        <w:t xml:space="preserve"> </w:t>
      </w:r>
      <w:r w:rsidRPr="00426DD0">
        <w:rPr>
          <w:i/>
          <w:color w:val="FF0000"/>
        </w:rPr>
        <w:t>only for communication/letters</w:t>
      </w:r>
      <w:r>
        <w:rPr>
          <w:i/>
          <w:color w:val="FF0000"/>
        </w:rPr>
        <w:t xml:space="preserve"> </w:t>
      </w:r>
      <w:r w:rsidRPr="00426DD0">
        <w:rPr>
          <w:i/>
          <w:color w:val="FF0000"/>
        </w:rPr>
        <w:t>received from a veteran</w:t>
      </w:r>
      <w:r>
        <w:rPr>
          <w:i/>
          <w:color w:val="FF0000"/>
        </w:rPr>
        <w:t xml:space="preserve"> (to include faxes that do not contain a form, as well as VA documents returned by the claimant &amp; date-stamped by VA),</w:t>
      </w:r>
      <w:r w:rsidRPr="00426DD0">
        <w:rPr>
          <w:i/>
          <w:color w:val="FF0000"/>
        </w:rPr>
        <w:t xml:space="preserve"> per Doc Indexing Guide</w:t>
      </w:r>
    </w:p>
    <w:p w:rsidR="00B477E3" w:rsidRDefault="00B477E3" w:rsidP="00B477E3">
      <w:pPr>
        <w:tabs>
          <w:tab w:val="left" w:pos="720"/>
        </w:tabs>
        <w:ind w:left="720"/>
        <w:rPr>
          <w:sz w:val="22"/>
          <w:szCs w:val="22"/>
        </w:rPr>
      </w:pPr>
      <w:r w:rsidRPr="002756F6">
        <w:rPr>
          <w:sz w:val="22"/>
          <w:szCs w:val="22"/>
          <w:highlight w:val="yellow"/>
        </w:rPr>
        <w:t>MAP-D Development Letter</w:t>
      </w:r>
      <w:r>
        <w:rPr>
          <w:sz w:val="22"/>
          <w:szCs w:val="22"/>
        </w:rPr>
        <w:t xml:space="preserve"> </w:t>
      </w:r>
      <w:r>
        <w:t xml:space="preserve">- </w:t>
      </w:r>
      <w:r>
        <w:rPr>
          <w:i/>
          <w:color w:val="FF0000"/>
        </w:rPr>
        <w:t>to include any letter requesting information from the claimant (both MAP-D and non-MAP-D letters)</w:t>
      </w:r>
    </w:p>
    <w:p w:rsidR="00B477E3" w:rsidRPr="00631EF0" w:rsidRDefault="00B477E3" w:rsidP="00B477E3">
      <w:pPr>
        <w:ind w:firstLine="720"/>
        <w:rPr>
          <w:sz w:val="22"/>
          <w:szCs w:val="22"/>
        </w:rPr>
      </w:pPr>
      <w:r>
        <w:rPr>
          <w:sz w:val="22"/>
          <w:szCs w:val="22"/>
        </w:rPr>
        <w:t xml:space="preserve">Status Letter – </w:t>
      </w:r>
      <w:r w:rsidRPr="00426DD0">
        <w:rPr>
          <w:i/>
          <w:color w:val="FF0000"/>
        </w:rPr>
        <w:t>distinct from Notification letter, per Doc Indexing Guide</w:t>
      </w:r>
    </w:p>
    <w:p w:rsidR="00B477E3" w:rsidRPr="00631EF0" w:rsidRDefault="00B477E3" w:rsidP="00B477E3">
      <w:pPr>
        <w:rPr>
          <w:sz w:val="22"/>
          <w:szCs w:val="22"/>
        </w:rPr>
      </w:pPr>
      <w:r w:rsidRPr="00631EF0">
        <w:rPr>
          <w:sz w:val="22"/>
          <w:szCs w:val="22"/>
        </w:rPr>
        <w:tab/>
      </w:r>
      <w:r w:rsidRPr="002756F6">
        <w:rPr>
          <w:sz w:val="22"/>
          <w:szCs w:val="22"/>
          <w:highlight w:val="yellow"/>
        </w:rPr>
        <w:t>VCAA Notice Acknowledgement</w:t>
      </w:r>
    </w:p>
    <w:p w:rsidR="00B477E3" w:rsidRPr="00631EF0" w:rsidRDefault="00B477E3" w:rsidP="00B477E3">
      <w:pPr>
        <w:rPr>
          <w:sz w:val="22"/>
          <w:szCs w:val="22"/>
        </w:rPr>
      </w:pPr>
    </w:p>
    <w:p w:rsidR="00B477E3" w:rsidRPr="00656E5B" w:rsidRDefault="00B477E3" w:rsidP="00B477E3">
      <w:pPr>
        <w:rPr>
          <w:b/>
          <w:sz w:val="22"/>
          <w:szCs w:val="22"/>
          <w:u w:val="single"/>
        </w:rPr>
      </w:pPr>
      <w:r w:rsidRPr="00656E5B">
        <w:rPr>
          <w:b/>
          <w:sz w:val="22"/>
          <w:szCs w:val="22"/>
          <w:u w:val="single"/>
        </w:rPr>
        <w:t>Correspondence – Development Letters</w:t>
      </w:r>
      <w:r w:rsidRPr="00656E5B">
        <w:rPr>
          <w:b/>
          <w:sz w:val="22"/>
          <w:szCs w:val="22"/>
        </w:rPr>
        <w:t xml:space="preserve"> –</w:t>
      </w:r>
    </w:p>
    <w:p w:rsidR="00B477E3" w:rsidRPr="002756F6" w:rsidRDefault="00B477E3" w:rsidP="00B477E3">
      <w:pPr>
        <w:rPr>
          <w:sz w:val="22"/>
          <w:szCs w:val="22"/>
          <w:highlight w:val="yellow"/>
        </w:rPr>
      </w:pPr>
      <w:r>
        <w:rPr>
          <w:sz w:val="22"/>
          <w:szCs w:val="22"/>
        </w:rPr>
        <w:tab/>
      </w:r>
      <w:r w:rsidRPr="002756F6">
        <w:rPr>
          <w:sz w:val="22"/>
          <w:szCs w:val="22"/>
          <w:highlight w:val="yellow"/>
        </w:rPr>
        <w:t>VCAA/DTA Letter</w:t>
      </w:r>
    </w:p>
    <w:p w:rsidR="00B477E3" w:rsidRPr="002756F6" w:rsidRDefault="00B477E3" w:rsidP="00B477E3">
      <w:pPr>
        <w:rPr>
          <w:sz w:val="22"/>
          <w:szCs w:val="22"/>
          <w:highlight w:val="yellow"/>
        </w:rPr>
      </w:pPr>
      <w:r w:rsidRPr="002756F6">
        <w:rPr>
          <w:sz w:val="22"/>
          <w:szCs w:val="22"/>
          <w:highlight w:val="yellow"/>
        </w:rPr>
        <w:tab/>
        <w:t>5103 Notice Acknowledgement</w:t>
      </w:r>
    </w:p>
    <w:p w:rsidR="00B477E3" w:rsidRPr="00631EF0" w:rsidRDefault="00B477E3" w:rsidP="00B477E3">
      <w:pPr>
        <w:rPr>
          <w:sz w:val="22"/>
          <w:szCs w:val="22"/>
        </w:rPr>
      </w:pPr>
      <w:r w:rsidRPr="002756F6">
        <w:rPr>
          <w:sz w:val="22"/>
          <w:szCs w:val="22"/>
          <w:highlight w:val="yellow"/>
        </w:rPr>
        <w:tab/>
        <w:t>5103/DTA letter</w:t>
      </w:r>
    </w:p>
    <w:p w:rsidR="00B477E3" w:rsidRPr="00631EF0" w:rsidRDefault="00B477E3" w:rsidP="00B477E3">
      <w:pPr>
        <w:rPr>
          <w:sz w:val="22"/>
          <w:szCs w:val="22"/>
        </w:rPr>
      </w:pPr>
    </w:p>
    <w:p w:rsidR="00B477E3" w:rsidRPr="00656E5B" w:rsidRDefault="00B477E3" w:rsidP="00B477E3">
      <w:pPr>
        <w:rPr>
          <w:b/>
          <w:sz w:val="22"/>
          <w:szCs w:val="22"/>
          <w:u w:val="single"/>
        </w:rPr>
      </w:pPr>
      <w:r w:rsidRPr="00656E5B">
        <w:rPr>
          <w:b/>
          <w:sz w:val="22"/>
          <w:szCs w:val="22"/>
          <w:u w:val="single"/>
        </w:rPr>
        <w:t>Correspondence – Miscellaneous</w:t>
      </w:r>
      <w:r w:rsidRPr="00656E5B">
        <w:rPr>
          <w:b/>
          <w:sz w:val="22"/>
          <w:szCs w:val="22"/>
        </w:rPr>
        <w:t xml:space="preserve"> –</w:t>
      </w:r>
    </w:p>
    <w:p w:rsidR="00B477E3" w:rsidRDefault="00B477E3" w:rsidP="00B477E3">
      <w:pPr>
        <w:rPr>
          <w:sz w:val="22"/>
          <w:szCs w:val="22"/>
        </w:rPr>
      </w:pPr>
      <w:r w:rsidRPr="00631EF0">
        <w:rPr>
          <w:sz w:val="22"/>
          <w:szCs w:val="22"/>
        </w:rPr>
        <w:tab/>
      </w:r>
      <w:r w:rsidRPr="002756F6">
        <w:rPr>
          <w:sz w:val="22"/>
          <w:szCs w:val="22"/>
          <w:highlight w:val="yellow"/>
        </w:rPr>
        <w:t>Email Correspondence</w:t>
      </w:r>
    </w:p>
    <w:p w:rsidR="00B477E3" w:rsidRPr="00631EF0" w:rsidRDefault="00B477E3" w:rsidP="00B477E3">
      <w:pPr>
        <w:ind w:firstLine="720"/>
        <w:rPr>
          <w:sz w:val="22"/>
          <w:szCs w:val="22"/>
        </w:rPr>
      </w:pPr>
      <w:r>
        <w:rPr>
          <w:sz w:val="22"/>
          <w:szCs w:val="22"/>
        </w:rPr>
        <w:t>Fax Cover Sheet</w:t>
      </w:r>
    </w:p>
    <w:p w:rsidR="00B477E3" w:rsidRPr="00631EF0" w:rsidRDefault="00B477E3" w:rsidP="00B477E3">
      <w:pPr>
        <w:rPr>
          <w:sz w:val="22"/>
          <w:szCs w:val="22"/>
        </w:rPr>
      </w:pPr>
      <w:r w:rsidRPr="00631EF0">
        <w:rPr>
          <w:sz w:val="22"/>
          <w:szCs w:val="22"/>
        </w:rPr>
        <w:tab/>
        <w:t>Miscellaneous C&amp;P Correspondence</w:t>
      </w:r>
    </w:p>
    <w:p w:rsidR="00B477E3" w:rsidRPr="00631EF0" w:rsidRDefault="00B477E3" w:rsidP="00B477E3">
      <w:pPr>
        <w:rPr>
          <w:sz w:val="22"/>
          <w:szCs w:val="22"/>
        </w:rPr>
      </w:pPr>
      <w:r>
        <w:rPr>
          <w:sz w:val="22"/>
          <w:szCs w:val="22"/>
        </w:rPr>
        <w:tab/>
      </w:r>
      <w:r w:rsidRPr="00631EF0">
        <w:rPr>
          <w:sz w:val="22"/>
          <w:szCs w:val="22"/>
        </w:rPr>
        <w:t>VA 119 Report of Contact</w:t>
      </w:r>
    </w:p>
    <w:p w:rsidR="00B477E3" w:rsidRDefault="00B477E3" w:rsidP="00B477E3">
      <w:pPr>
        <w:rPr>
          <w:sz w:val="22"/>
          <w:szCs w:val="22"/>
        </w:rPr>
      </w:pPr>
      <w:r w:rsidRPr="00631EF0">
        <w:rPr>
          <w:sz w:val="22"/>
          <w:szCs w:val="22"/>
        </w:rPr>
        <w:tab/>
      </w:r>
      <w:r w:rsidRPr="0012583E">
        <w:rPr>
          <w:sz w:val="22"/>
          <w:szCs w:val="22"/>
          <w:highlight w:val="yellow"/>
        </w:rPr>
        <w:t>VA 21-0820 Report of Contact</w:t>
      </w:r>
      <w:r>
        <w:rPr>
          <w:sz w:val="22"/>
          <w:szCs w:val="22"/>
        </w:rPr>
        <w:t xml:space="preserve"> –</w:t>
      </w:r>
      <w:r w:rsidRPr="00426DD0">
        <w:rPr>
          <w:i/>
        </w:rPr>
        <w:t xml:space="preserve"> </w:t>
      </w:r>
      <w:r>
        <w:rPr>
          <w:i/>
          <w:color w:val="FF0000"/>
        </w:rPr>
        <w:t>to include 27-0820s</w:t>
      </w:r>
    </w:p>
    <w:p w:rsidR="00B477E3" w:rsidRDefault="00B477E3" w:rsidP="00B477E3">
      <w:pPr>
        <w:rPr>
          <w:sz w:val="22"/>
          <w:szCs w:val="22"/>
        </w:rPr>
      </w:pPr>
      <w:r>
        <w:rPr>
          <w:sz w:val="22"/>
          <w:szCs w:val="22"/>
        </w:rPr>
        <w:tab/>
      </w:r>
      <w:r w:rsidRPr="0012583E">
        <w:rPr>
          <w:sz w:val="22"/>
          <w:szCs w:val="22"/>
          <w:highlight w:val="yellow"/>
        </w:rPr>
        <w:t>VA 21-4138 Statement in Support of Claim</w:t>
      </w:r>
    </w:p>
    <w:p w:rsidR="00B477E3" w:rsidRDefault="00B477E3" w:rsidP="00B477E3">
      <w:pPr>
        <w:ind w:left="720"/>
        <w:rPr>
          <w:sz w:val="22"/>
          <w:szCs w:val="22"/>
        </w:rPr>
      </w:pPr>
      <w:r w:rsidRPr="002756F6">
        <w:rPr>
          <w:sz w:val="22"/>
          <w:szCs w:val="22"/>
          <w:highlight w:val="yellow"/>
        </w:rPr>
        <w:t>VA 21-8359 Information Re Veteran in Uniformed Services Hospital or Dispensary</w:t>
      </w:r>
    </w:p>
    <w:p w:rsidR="00B477E3" w:rsidRDefault="00B477E3" w:rsidP="00B477E3">
      <w:pPr>
        <w:ind w:left="720"/>
        <w:rPr>
          <w:sz w:val="22"/>
          <w:szCs w:val="22"/>
        </w:rPr>
      </w:pPr>
      <w:r>
        <w:rPr>
          <w:sz w:val="22"/>
          <w:szCs w:val="22"/>
        </w:rPr>
        <w:t>VA 70-7216a Request for and/or Notice of Transfer of Veterans Records/COVERS</w:t>
      </w:r>
    </w:p>
    <w:p w:rsidR="00B477E3" w:rsidRPr="00631EF0" w:rsidRDefault="00B477E3" w:rsidP="00B477E3">
      <w:pPr>
        <w:ind w:firstLine="720"/>
        <w:rPr>
          <w:sz w:val="22"/>
          <w:szCs w:val="22"/>
        </w:rPr>
      </w:pPr>
      <w:r>
        <w:rPr>
          <w:sz w:val="22"/>
          <w:szCs w:val="22"/>
        </w:rPr>
        <w:t>5103 Checklist for Development</w:t>
      </w:r>
    </w:p>
    <w:p w:rsidR="00B477E3" w:rsidRPr="00631EF0" w:rsidRDefault="00B477E3" w:rsidP="00B477E3">
      <w:pPr>
        <w:rPr>
          <w:sz w:val="22"/>
          <w:szCs w:val="22"/>
        </w:rPr>
      </w:pPr>
    </w:p>
    <w:p w:rsidR="00B477E3" w:rsidRPr="00631EF0" w:rsidRDefault="00B477E3" w:rsidP="00B477E3">
      <w:pPr>
        <w:rPr>
          <w:b/>
          <w:sz w:val="22"/>
          <w:szCs w:val="22"/>
        </w:rPr>
      </w:pPr>
      <w:r w:rsidRPr="00656E5B">
        <w:rPr>
          <w:b/>
          <w:sz w:val="22"/>
          <w:szCs w:val="22"/>
          <w:u w:val="single"/>
        </w:rPr>
        <w:t>Correspondence – Notification Letters</w:t>
      </w:r>
      <w:r w:rsidRPr="00631EF0">
        <w:rPr>
          <w:b/>
          <w:sz w:val="22"/>
          <w:szCs w:val="22"/>
        </w:rPr>
        <w:t xml:space="preserve"> – </w:t>
      </w:r>
    </w:p>
    <w:p w:rsidR="00B477E3" w:rsidRPr="002756F6" w:rsidRDefault="00B477E3" w:rsidP="00B477E3">
      <w:pPr>
        <w:rPr>
          <w:sz w:val="22"/>
          <w:szCs w:val="22"/>
        </w:rPr>
      </w:pPr>
      <w:r w:rsidRPr="002756F6">
        <w:rPr>
          <w:sz w:val="22"/>
          <w:szCs w:val="22"/>
        </w:rPr>
        <w:tab/>
      </w:r>
      <w:r w:rsidRPr="002756F6">
        <w:rPr>
          <w:sz w:val="22"/>
          <w:szCs w:val="22"/>
          <w:highlight w:val="yellow"/>
        </w:rPr>
        <w:t>VA Examination letter</w:t>
      </w:r>
    </w:p>
    <w:p w:rsidR="00B477E3" w:rsidRDefault="00B477E3" w:rsidP="00B477E3">
      <w:pPr>
        <w:rPr>
          <w:sz w:val="22"/>
          <w:szCs w:val="22"/>
        </w:rPr>
      </w:pPr>
    </w:p>
    <w:p w:rsidR="00B477E3" w:rsidRPr="00631EF0" w:rsidRDefault="00B477E3" w:rsidP="00B477E3">
      <w:pPr>
        <w:rPr>
          <w:b/>
          <w:sz w:val="22"/>
          <w:szCs w:val="22"/>
        </w:rPr>
      </w:pPr>
      <w:r w:rsidRPr="00656E5B">
        <w:rPr>
          <w:b/>
          <w:sz w:val="22"/>
          <w:szCs w:val="22"/>
          <w:u w:val="single"/>
        </w:rPr>
        <w:t xml:space="preserve">Correspondence – </w:t>
      </w:r>
      <w:r>
        <w:rPr>
          <w:b/>
          <w:sz w:val="22"/>
          <w:szCs w:val="22"/>
          <w:u w:val="single"/>
        </w:rPr>
        <w:t>Returned Mail</w:t>
      </w:r>
      <w:r w:rsidRPr="00631EF0">
        <w:rPr>
          <w:b/>
          <w:sz w:val="22"/>
          <w:szCs w:val="22"/>
        </w:rPr>
        <w:t xml:space="preserve"> – </w:t>
      </w:r>
    </w:p>
    <w:p w:rsidR="00B477E3" w:rsidRDefault="00B477E3" w:rsidP="00B477E3">
      <w:pPr>
        <w:rPr>
          <w:sz w:val="22"/>
          <w:szCs w:val="22"/>
        </w:rPr>
      </w:pPr>
      <w:r>
        <w:rPr>
          <w:sz w:val="22"/>
          <w:szCs w:val="22"/>
        </w:rPr>
        <w:tab/>
        <w:t>Returned Mail –</w:t>
      </w:r>
      <w:r w:rsidRPr="00426DD0">
        <w:rPr>
          <w:i/>
        </w:rPr>
        <w:t xml:space="preserve"> </w:t>
      </w:r>
      <w:r>
        <w:rPr>
          <w:i/>
          <w:color w:val="FF0000"/>
        </w:rPr>
        <w:t>to include all forms/documents returned with VA letters</w:t>
      </w:r>
    </w:p>
    <w:p w:rsidR="00B477E3" w:rsidRPr="00631EF0" w:rsidRDefault="00B477E3" w:rsidP="00B477E3">
      <w:pPr>
        <w:rPr>
          <w:sz w:val="22"/>
          <w:szCs w:val="22"/>
        </w:rPr>
      </w:pPr>
    </w:p>
    <w:p w:rsidR="00B477E3" w:rsidRPr="00631EF0" w:rsidRDefault="00B477E3" w:rsidP="00B477E3">
      <w:pPr>
        <w:rPr>
          <w:b/>
          <w:sz w:val="22"/>
          <w:szCs w:val="22"/>
        </w:rPr>
      </w:pPr>
      <w:r w:rsidRPr="00656E5B">
        <w:rPr>
          <w:b/>
          <w:sz w:val="22"/>
          <w:szCs w:val="22"/>
          <w:u w:val="single"/>
        </w:rPr>
        <w:t>Correspondence – Supplemental Award</w:t>
      </w:r>
      <w:r w:rsidRPr="00631EF0">
        <w:rPr>
          <w:b/>
          <w:sz w:val="22"/>
          <w:szCs w:val="22"/>
        </w:rPr>
        <w:t xml:space="preserve"> –</w:t>
      </w:r>
    </w:p>
    <w:p w:rsidR="00B477E3" w:rsidRPr="00631EF0" w:rsidRDefault="00B477E3" w:rsidP="00B477E3">
      <w:pPr>
        <w:ind w:left="720"/>
        <w:rPr>
          <w:sz w:val="22"/>
          <w:szCs w:val="22"/>
        </w:rPr>
      </w:pPr>
      <w:r w:rsidRPr="00631EF0">
        <w:rPr>
          <w:sz w:val="22"/>
          <w:szCs w:val="22"/>
        </w:rPr>
        <w:t>Third Party Correspondence</w:t>
      </w:r>
      <w:r>
        <w:rPr>
          <w:sz w:val="22"/>
          <w:szCs w:val="22"/>
        </w:rPr>
        <w:t xml:space="preserve"> –</w:t>
      </w:r>
      <w:r w:rsidRPr="00426DD0">
        <w:rPr>
          <w:i/>
        </w:rPr>
        <w:t xml:space="preserve"> </w:t>
      </w:r>
      <w:r>
        <w:rPr>
          <w:i/>
          <w:color w:val="FF0000"/>
        </w:rPr>
        <w:t>to include POA/VSO cover/transmittal sheets and communication/letters/faxes received from entities OTHER than the veteran (including DOD, DFAS, etc),</w:t>
      </w:r>
      <w:r w:rsidRPr="00426DD0">
        <w:rPr>
          <w:i/>
          <w:color w:val="FF0000"/>
        </w:rPr>
        <w:t xml:space="preserve"> per Doc Indexing Guide</w:t>
      </w:r>
      <w:r>
        <w:rPr>
          <w:i/>
          <w:color w:val="FF0000"/>
        </w:rPr>
        <w:t xml:space="preserve"> [the actual fax transmittal/cover sheet should be indexed as Fax Cover Sheet]</w:t>
      </w:r>
    </w:p>
    <w:p w:rsidR="00B477E3" w:rsidRPr="00631EF0" w:rsidRDefault="00B477E3" w:rsidP="00B477E3">
      <w:pPr>
        <w:rPr>
          <w:sz w:val="22"/>
          <w:szCs w:val="22"/>
        </w:rPr>
      </w:pPr>
    </w:p>
    <w:p w:rsidR="00B477E3" w:rsidRPr="00631EF0" w:rsidRDefault="00B477E3" w:rsidP="00B477E3">
      <w:pPr>
        <w:rPr>
          <w:b/>
          <w:sz w:val="22"/>
          <w:szCs w:val="22"/>
        </w:rPr>
      </w:pPr>
      <w:r>
        <w:rPr>
          <w:b/>
          <w:sz w:val="22"/>
          <w:szCs w:val="22"/>
          <w:u w:val="single"/>
        </w:rPr>
        <w:t>Determinations</w:t>
      </w:r>
      <w:r w:rsidRPr="00631EF0">
        <w:rPr>
          <w:b/>
          <w:sz w:val="22"/>
          <w:szCs w:val="22"/>
        </w:rPr>
        <w:t xml:space="preserve"> – </w:t>
      </w:r>
    </w:p>
    <w:p w:rsidR="00B477E3" w:rsidRDefault="00B477E3" w:rsidP="00B477E3">
      <w:pPr>
        <w:rPr>
          <w:sz w:val="22"/>
          <w:szCs w:val="22"/>
        </w:rPr>
      </w:pPr>
      <w:r>
        <w:rPr>
          <w:sz w:val="22"/>
          <w:szCs w:val="22"/>
        </w:rPr>
        <w:tab/>
        <w:t>Administrative Decision</w:t>
      </w:r>
    </w:p>
    <w:p w:rsidR="00B477E3" w:rsidRPr="00631EF0" w:rsidRDefault="00B477E3" w:rsidP="00B477E3">
      <w:pPr>
        <w:ind w:firstLine="720"/>
        <w:rPr>
          <w:sz w:val="22"/>
          <w:szCs w:val="22"/>
        </w:rPr>
      </w:pPr>
      <w:r>
        <w:rPr>
          <w:sz w:val="22"/>
          <w:szCs w:val="22"/>
        </w:rPr>
        <w:t>VA Memo</w:t>
      </w:r>
    </w:p>
    <w:p w:rsidR="00B477E3" w:rsidRDefault="00B477E3" w:rsidP="00B477E3">
      <w:pPr>
        <w:rPr>
          <w:b/>
          <w:sz w:val="22"/>
          <w:szCs w:val="22"/>
          <w:u w:val="single"/>
        </w:rPr>
      </w:pPr>
    </w:p>
    <w:p w:rsidR="00B477E3" w:rsidRPr="00631EF0" w:rsidRDefault="00B477E3" w:rsidP="00B477E3">
      <w:pPr>
        <w:rPr>
          <w:b/>
          <w:sz w:val="22"/>
          <w:szCs w:val="22"/>
        </w:rPr>
      </w:pPr>
      <w:r>
        <w:rPr>
          <w:b/>
          <w:sz w:val="22"/>
          <w:szCs w:val="22"/>
          <w:u w:val="single"/>
        </w:rPr>
        <w:t>Income</w:t>
      </w:r>
      <w:r w:rsidRPr="00631EF0">
        <w:rPr>
          <w:b/>
          <w:sz w:val="22"/>
          <w:szCs w:val="22"/>
        </w:rPr>
        <w:t xml:space="preserve"> –</w:t>
      </w:r>
    </w:p>
    <w:p w:rsidR="00B477E3" w:rsidRDefault="00B477E3" w:rsidP="00B477E3">
      <w:pPr>
        <w:rPr>
          <w:sz w:val="22"/>
          <w:szCs w:val="22"/>
        </w:rPr>
      </w:pPr>
      <w:r>
        <w:rPr>
          <w:sz w:val="22"/>
          <w:szCs w:val="22"/>
        </w:rPr>
        <w:tab/>
        <w:t xml:space="preserve">SHARE Print Screens </w:t>
      </w:r>
      <w:r>
        <w:t xml:space="preserve">– </w:t>
      </w:r>
      <w:r>
        <w:rPr>
          <w:i/>
          <w:color w:val="FF0000"/>
        </w:rPr>
        <w:t>to include MAP-D Contention Screen</w:t>
      </w:r>
    </w:p>
    <w:p w:rsidR="00B477E3" w:rsidRDefault="00B477E3" w:rsidP="00B477E3">
      <w:pPr>
        <w:rPr>
          <w:sz w:val="22"/>
          <w:szCs w:val="22"/>
        </w:rPr>
      </w:pPr>
    </w:p>
    <w:p w:rsidR="00B477E3" w:rsidRPr="00631EF0" w:rsidRDefault="00B477E3" w:rsidP="00B477E3">
      <w:pPr>
        <w:rPr>
          <w:b/>
          <w:sz w:val="22"/>
          <w:szCs w:val="22"/>
        </w:rPr>
      </w:pPr>
      <w:r>
        <w:rPr>
          <w:b/>
          <w:sz w:val="22"/>
          <w:szCs w:val="22"/>
          <w:u w:val="single"/>
        </w:rPr>
        <w:t>Medical Records</w:t>
      </w:r>
      <w:r w:rsidRPr="00631EF0">
        <w:rPr>
          <w:b/>
          <w:sz w:val="22"/>
          <w:szCs w:val="22"/>
        </w:rPr>
        <w:t xml:space="preserve"> –</w:t>
      </w:r>
    </w:p>
    <w:p w:rsidR="00B477E3" w:rsidRPr="002756F6" w:rsidRDefault="00B477E3" w:rsidP="00B477E3">
      <w:pPr>
        <w:rPr>
          <w:sz w:val="22"/>
          <w:szCs w:val="22"/>
          <w:highlight w:val="yellow"/>
        </w:rPr>
      </w:pPr>
      <w:r>
        <w:rPr>
          <w:sz w:val="22"/>
          <w:szCs w:val="22"/>
        </w:rPr>
        <w:tab/>
      </w:r>
      <w:r w:rsidRPr="002756F6">
        <w:rPr>
          <w:sz w:val="22"/>
          <w:szCs w:val="22"/>
          <w:highlight w:val="yellow"/>
        </w:rPr>
        <w:t xml:space="preserve">C&amp;P Exam </w:t>
      </w:r>
      <w:r>
        <w:rPr>
          <w:i/>
          <w:sz w:val="18"/>
          <w:szCs w:val="18"/>
          <w:highlight w:val="yellow"/>
        </w:rPr>
        <w:t>(QTC/VetsF</w:t>
      </w:r>
      <w:r w:rsidRPr="002756F6">
        <w:rPr>
          <w:i/>
          <w:sz w:val="18"/>
          <w:szCs w:val="18"/>
          <w:highlight w:val="yellow"/>
        </w:rPr>
        <w:t>ed exam results)</w:t>
      </w:r>
      <w:r>
        <w:rPr>
          <w:sz w:val="22"/>
          <w:szCs w:val="22"/>
        </w:rPr>
        <w:t xml:space="preserve"> – </w:t>
      </w:r>
      <w:r w:rsidRPr="00ED5241">
        <w:rPr>
          <w:color w:val="0070C0"/>
        </w:rPr>
        <w:t xml:space="preserve">list </w:t>
      </w:r>
      <w:r>
        <w:rPr>
          <w:color w:val="0070C0"/>
        </w:rPr>
        <w:t>type of exam</w:t>
      </w:r>
    </w:p>
    <w:p w:rsidR="00B477E3" w:rsidRPr="002756F6" w:rsidRDefault="00B477E3" w:rsidP="00B477E3">
      <w:pPr>
        <w:ind w:firstLine="720"/>
        <w:rPr>
          <w:sz w:val="22"/>
          <w:szCs w:val="22"/>
          <w:highlight w:val="yellow"/>
        </w:rPr>
      </w:pPr>
      <w:r w:rsidRPr="002756F6">
        <w:rPr>
          <w:sz w:val="22"/>
          <w:szCs w:val="22"/>
          <w:highlight w:val="yellow"/>
        </w:rPr>
        <w:t xml:space="preserve">CAPRI </w:t>
      </w:r>
      <w:r w:rsidRPr="002756F6">
        <w:rPr>
          <w:i/>
          <w:sz w:val="18"/>
          <w:szCs w:val="18"/>
          <w:highlight w:val="yellow"/>
        </w:rPr>
        <w:t>(any VATRs)</w:t>
      </w:r>
      <w:r>
        <w:rPr>
          <w:sz w:val="22"/>
          <w:szCs w:val="22"/>
        </w:rPr>
        <w:t xml:space="preserve"> – </w:t>
      </w:r>
      <w:r w:rsidRPr="00ED5241">
        <w:rPr>
          <w:color w:val="0070C0"/>
        </w:rPr>
        <w:t xml:space="preserve">list </w:t>
      </w:r>
      <w:r>
        <w:rPr>
          <w:color w:val="0070C0"/>
        </w:rPr>
        <w:t>Facility, conditions &amp; date range</w:t>
      </w:r>
    </w:p>
    <w:p w:rsidR="00B477E3" w:rsidRDefault="00B477E3" w:rsidP="00B477E3">
      <w:pPr>
        <w:rPr>
          <w:sz w:val="22"/>
          <w:szCs w:val="22"/>
        </w:rPr>
      </w:pPr>
      <w:r w:rsidRPr="00ED5241">
        <w:rPr>
          <w:sz w:val="22"/>
          <w:szCs w:val="22"/>
        </w:rPr>
        <w:tab/>
      </w:r>
      <w:r w:rsidRPr="002756F6">
        <w:rPr>
          <w:sz w:val="22"/>
          <w:szCs w:val="22"/>
          <w:highlight w:val="yellow"/>
        </w:rPr>
        <w:t xml:space="preserve">VA Examination </w:t>
      </w:r>
      <w:r w:rsidRPr="002756F6">
        <w:rPr>
          <w:i/>
          <w:sz w:val="18"/>
          <w:szCs w:val="18"/>
          <w:highlight w:val="yellow"/>
        </w:rPr>
        <w:t>(VA exam results)</w:t>
      </w:r>
      <w:r w:rsidRPr="0012583E">
        <w:rPr>
          <w:sz w:val="22"/>
          <w:szCs w:val="22"/>
        </w:rPr>
        <w:t xml:space="preserve"> </w:t>
      </w:r>
      <w:r>
        <w:rPr>
          <w:sz w:val="22"/>
          <w:szCs w:val="22"/>
        </w:rPr>
        <w:t xml:space="preserve">– </w:t>
      </w:r>
      <w:r w:rsidRPr="00ED5241">
        <w:rPr>
          <w:color w:val="0070C0"/>
        </w:rPr>
        <w:t xml:space="preserve">list </w:t>
      </w:r>
      <w:r>
        <w:rPr>
          <w:color w:val="0070C0"/>
        </w:rPr>
        <w:t>type of exam</w:t>
      </w:r>
    </w:p>
    <w:p w:rsidR="00B477E3" w:rsidRDefault="00B477E3" w:rsidP="00B477E3">
      <w:pPr>
        <w:rPr>
          <w:sz w:val="22"/>
          <w:szCs w:val="22"/>
        </w:rPr>
      </w:pPr>
    </w:p>
    <w:p w:rsidR="00B477E3" w:rsidRPr="00631EF0" w:rsidRDefault="00B477E3" w:rsidP="00B477E3">
      <w:pPr>
        <w:rPr>
          <w:b/>
          <w:sz w:val="22"/>
          <w:szCs w:val="22"/>
        </w:rPr>
      </w:pPr>
      <w:r>
        <w:rPr>
          <w:b/>
          <w:sz w:val="22"/>
          <w:szCs w:val="22"/>
          <w:u w:val="single"/>
        </w:rPr>
        <w:t xml:space="preserve">Medical </w:t>
      </w:r>
      <w:r w:rsidRPr="00656E5B">
        <w:rPr>
          <w:b/>
          <w:sz w:val="22"/>
          <w:szCs w:val="22"/>
          <w:u w:val="single"/>
        </w:rPr>
        <w:t>Records – Private</w:t>
      </w:r>
      <w:r>
        <w:rPr>
          <w:b/>
          <w:sz w:val="22"/>
          <w:szCs w:val="22"/>
        </w:rPr>
        <w:t xml:space="preserve"> </w:t>
      </w:r>
      <w:r w:rsidRPr="00631EF0">
        <w:rPr>
          <w:b/>
          <w:sz w:val="22"/>
          <w:szCs w:val="22"/>
        </w:rPr>
        <w:t>–</w:t>
      </w:r>
    </w:p>
    <w:p w:rsidR="00B477E3" w:rsidRDefault="00B477E3" w:rsidP="00B477E3">
      <w:pPr>
        <w:ind w:left="720"/>
        <w:rPr>
          <w:color w:val="0070C0"/>
        </w:rPr>
      </w:pPr>
      <w:r w:rsidRPr="00ED5241">
        <w:rPr>
          <w:sz w:val="22"/>
          <w:szCs w:val="22"/>
          <w:highlight w:val="yellow"/>
        </w:rPr>
        <w:t>Medical Treatment Record – Non-Government Facility</w:t>
      </w:r>
      <w:r>
        <w:t xml:space="preserve"> </w:t>
      </w:r>
      <w:r>
        <w:rPr>
          <w:sz w:val="22"/>
          <w:szCs w:val="22"/>
        </w:rPr>
        <w:t xml:space="preserve">– </w:t>
      </w:r>
      <w:r w:rsidRPr="00ED5241">
        <w:rPr>
          <w:color w:val="0070C0"/>
        </w:rPr>
        <w:t xml:space="preserve">list </w:t>
      </w:r>
      <w:r>
        <w:rPr>
          <w:color w:val="0070C0"/>
        </w:rPr>
        <w:t>Facility or Provider name</w:t>
      </w:r>
    </w:p>
    <w:p w:rsidR="00B477E3" w:rsidRDefault="00B477E3" w:rsidP="00B477E3">
      <w:pPr>
        <w:rPr>
          <w:sz w:val="22"/>
          <w:szCs w:val="22"/>
        </w:rPr>
      </w:pPr>
    </w:p>
    <w:p w:rsidR="00B477E3" w:rsidRPr="00631EF0" w:rsidRDefault="00B477E3" w:rsidP="00B477E3">
      <w:pPr>
        <w:rPr>
          <w:b/>
          <w:sz w:val="22"/>
          <w:szCs w:val="22"/>
        </w:rPr>
      </w:pPr>
      <w:r>
        <w:rPr>
          <w:b/>
          <w:sz w:val="22"/>
          <w:szCs w:val="22"/>
          <w:u w:val="single"/>
        </w:rPr>
        <w:t xml:space="preserve">Medical </w:t>
      </w:r>
      <w:r w:rsidRPr="00656E5B">
        <w:rPr>
          <w:b/>
          <w:sz w:val="22"/>
          <w:szCs w:val="22"/>
          <w:u w:val="single"/>
        </w:rPr>
        <w:t xml:space="preserve">Records – </w:t>
      </w:r>
      <w:r>
        <w:rPr>
          <w:b/>
          <w:sz w:val="22"/>
          <w:szCs w:val="22"/>
          <w:u w:val="single"/>
        </w:rPr>
        <w:t xml:space="preserve">VAX &amp; AMIE – Request Worksheets </w:t>
      </w:r>
      <w:r w:rsidRPr="00631EF0">
        <w:rPr>
          <w:b/>
          <w:sz w:val="22"/>
          <w:szCs w:val="22"/>
        </w:rPr>
        <w:t>–</w:t>
      </w:r>
    </w:p>
    <w:p w:rsidR="00B477E3" w:rsidRPr="000F33A5" w:rsidRDefault="00B477E3" w:rsidP="00B477E3">
      <w:pPr>
        <w:ind w:left="720"/>
        <w:rPr>
          <w:i/>
          <w:sz w:val="22"/>
          <w:szCs w:val="22"/>
        </w:rPr>
      </w:pPr>
      <w:r w:rsidRPr="002756F6">
        <w:rPr>
          <w:sz w:val="22"/>
          <w:szCs w:val="22"/>
          <w:highlight w:val="yellow"/>
        </w:rPr>
        <w:t xml:space="preserve">VA 21-2507a Request for Physical Examination </w:t>
      </w:r>
      <w:r w:rsidRPr="002756F6">
        <w:rPr>
          <w:i/>
          <w:sz w:val="18"/>
          <w:szCs w:val="18"/>
          <w:highlight w:val="yellow"/>
        </w:rPr>
        <w:t>(the actual exam request in CAPRI or ExamTrack</w:t>
      </w:r>
      <w:r>
        <w:rPr>
          <w:i/>
          <w:sz w:val="18"/>
          <w:szCs w:val="18"/>
          <w:highlight w:val="yellow"/>
        </w:rPr>
        <w:t>/CAATS</w:t>
      </w:r>
      <w:r w:rsidRPr="002756F6">
        <w:rPr>
          <w:i/>
          <w:sz w:val="18"/>
          <w:szCs w:val="18"/>
          <w:highlight w:val="yellow"/>
        </w:rPr>
        <w:t>)</w:t>
      </w:r>
    </w:p>
    <w:p w:rsidR="00B477E3" w:rsidRDefault="00B477E3" w:rsidP="00B477E3">
      <w:pPr>
        <w:rPr>
          <w:sz w:val="22"/>
          <w:szCs w:val="22"/>
        </w:rPr>
      </w:pPr>
      <w:r>
        <w:rPr>
          <w:sz w:val="22"/>
          <w:szCs w:val="22"/>
        </w:rPr>
        <w:tab/>
        <w:t xml:space="preserve">VA Exam Worksheet </w:t>
      </w:r>
      <w:r w:rsidRPr="000F33A5">
        <w:rPr>
          <w:i/>
          <w:sz w:val="18"/>
          <w:szCs w:val="18"/>
        </w:rPr>
        <w:t xml:space="preserve">(our </w:t>
      </w:r>
      <w:r>
        <w:rPr>
          <w:i/>
          <w:sz w:val="18"/>
          <w:szCs w:val="18"/>
        </w:rPr>
        <w:t>green</w:t>
      </w:r>
      <w:r w:rsidRPr="000F33A5">
        <w:rPr>
          <w:i/>
          <w:sz w:val="18"/>
          <w:szCs w:val="18"/>
        </w:rPr>
        <w:t>sheet for selecting types of exams)</w:t>
      </w:r>
    </w:p>
    <w:p w:rsidR="00B477E3" w:rsidRDefault="00B477E3" w:rsidP="00B477E3">
      <w:pPr>
        <w:rPr>
          <w:sz w:val="22"/>
          <w:szCs w:val="22"/>
        </w:rPr>
      </w:pPr>
    </w:p>
    <w:p w:rsidR="00B477E3" w:rsidRPr="00631EF0" w:rsidRDefault="00B477E3" w:rsidP="00B477E3">
      <w:pPr>
        <w:rPr>
          <w:b/>
          <w:sz w:val="22"/>
          <w:szCs w:val="22"/>
        </w:rPr>
      </w:pPr>
      <w:r>
        <w:rPr>
          <w:b/>
          <w:sz w:val="22"/>
          <w:szCs w:val="22"/>
          <w:u w:val="single"/>
        </w:rPr>
        <w:t>Non-Medical Evidence</w:t>
      </w:r>
      <w:r>
        <w:rPr>
          <w:b/>
          <w:sz w:val="22"/>
          <w:szCs w:val="22"/>
        </w:rPr>
        <w:t xml:space="preserve"> </w:t>
      </w:r>
      <w:r w:rsidRPr="00631EF0">
        <w:rPr>
          <w:b/>
          <w:sz w:val="22"/>
          <w:szCs w:val="22"/>
        </w:rPr>
        <w:t>–</w:t>
      </w:r>
    </w:p>
    <w:p w:rsidR="00B477E3" w:rsidRDefault="00B477E3" w:rsidP="00B477E3">
      <w:pPr>
        <w:rPr>
          <w:sz w:val="22"/>
          <w:szCs w:val="22"/>
        </w:rPr>
      </w:pPr>
      <w:r>
        <w:rPr>
          <w:sz w:val="22"/>
          <w:szCs w:val="22"/>
        </w:rPr>
        <w:tab/>
        <w:t>Buddy/Lay Statement</w:t>
      </w:r>
    </w:p>
    <w:p w:rsidR="00B477E3" w:rsidRDefault="00B477E3" w:rsidP="00B477E3">
      <w:pPr>
        <w:rPr>
          <w:sz w:val="22"/>
          <w:szCs w:val="22"/>
        </w:rPr>
      </w:pPr>
      <w:r>
        <w:rPr>
          <w:sz w:val="22"/>
          <w:szCs w:val="22"/>
        </w:rPr>
        <w:tab/>
        <w:t>Web/HTML Documents</w:t>
      </w:r>
    </w:p>
    <w:p w:rsidR="00B477E3" w:rsidRDefault="00B477E3" w:rsidP="00B477E3">
      <w:pPr>
        <w:rPr>
          <w:b/>
          <w:sz w:val="22"/>
          <w:szCs w:val="22"/>
          <w:u w:val="single"/>
        </w:rPr>
      </w:pPr>
    </w:p>
    <w:p w:rsidR="00B477E3" w:rsidRPr="00631EF0" w:rsidRDefault="00B477E3" w:rsidP="00B477E3">
      <w:pPr>
        <w:rPr>
          <w:b/>
          <w:sz w:val="22"/>
          <w:szCs w:val="22"/>
        </w:rPr>
      </w:pPr>
      <w:r>
        <w:rPr>
          <w:b/>
          <w:sz w:val="22"/>
          <w:szCs w:val="22"/>
          <w:u w:val="single"/>
        </w:rPr>
        <w:t>Non-Medical Evidence – Live Evidence</w:t>
      </w:r>
      <w:r>
        <w:rPr>
          <w:b/>
          <w:sz w:val="22"/>
          <w:szCs w:val="22"/>
        </w:rPr>
        <w:t xml:space="preserve"> </w:t>
      </w:r>
      <w:r w:rsidRPr="00631EF0">
        <w:rPr>
          <w:b/>
          <w:sz w:val="22"/>
          <w:szCs w:val="22"/>
        </w:rPr>
        <w:t>–</w:t>
      </w:r>
    </w:p>
    <w:p w:rsidR="00B477E3" w:rsidRDefault="00B477E3" w:rsidP="00B477E3">
      <w:pPr>
        <w:ind w:left="720"/>
        <w:rPr>
          <w:sz w:val="22"/>
          <w:szCs w:val="22"/>
        </w:rPr>
      </w:pPr>
      <w:r>
        <w:rPr>
          <w:sz w:val="22"/>
          <w:szCs w:val="22"/>
        </w:rPr>
        <w:t>VA 21-4192 Request for Employment Information in Connection with a Claim for Disability</w:t>
      </w:r>
    </w:p>
    <w:p w:rsidR="00B477E3" w:rsidRDefault="00B477E3" w:rsidP="00B477E3">
      <w:pPr>
        <w:rPr>
          <w:b/>
          <w:sz w:val="22"/>
          <w:szCs w:val="22"/>
          <w:u w:val="single"/>
        </w:rPr>
      </w:pPr>
    </w:p>
    <w:p w:rsidR="00B477E3" w:rsidRPr="00631EF0" w:rsidRDefault="00B477E3" w:rsidP="00B477E3">
      <w:pPr>
        <w:rPr>
          <w:b/>
          <w:sz w:val="22"/>
          <w:szCs w:val="22"/>
        </w:rPr>
      </w:pPr>
      <w:r>
        <w:rPr>
          <w:b/>
          <w:sz w:val="22"/>
          <w:szCs w:val="22"/>
          <w:u w:val="single"/>
        </w:rPr>
        <w:t>Rating Decisions</w:t>
      </w:r>
      <w:r>
        <w:rPr>
          <w:b/>
          <w:sz w:val="22"/>
          <w:szCs w:val="22"/>
        </w:rPr>
        <w:t xml:space="preserve"> </w:t>
      </w:r>
      <w:r w:rsidRPr="00631EF0">
        <w:rPr>
          <w:b/>
          <w:sz w:val="22"/>
          <w:szCs w:val="22"/>
        </w:rPr>
        <w:t>–</w:t>
      </w:r>
    </w:p>
    <w:p w:rsidR="004B39B6" w:rsidRPr="000B4512" w:rsidRDefault="00B477E3" w:rsidP="004B39B6">
      <w:pPr>
        <w:ind w:left="720"/>
        <w:rPr>
          <w:rFonts w:ascii="Calibri" w:hAnsi="Calibri"/>
          <w:sz w:val="16"/>
        </w:rPr>
      </w:pPr>
      <w:r>
        <w:rPr>
          <w:sz w:val="22"/>
          <w:szCs w:val="22"/>
        </w:rPr>
        <w:t>Deferred Rating (e.g. VA Form 21-6789)</w:t>
      </w:r>
      <w:r w:rsidR="004B39B6">
        <w:rPr>
          <w:sz w:val="22"/>
          <w:szCs w:val="22"/>
        </w:rPr>
        <w:t xml:space="preserve"> –</w:t>
      </w:r>
      <w:r w:rsidR="004B39B6" w:rsidRPr="004B39B6">
        <w:rPr>
          <w:i/>
          <w:szCs w:val="22"/>
        </w:rPr>
        <w:t xml:space="preserve"> https://vbaw.vba.va.gov/bl/20/cio/20s5/forms/VBA-21-6789-ARE.pdf</w:t>
      </w:r>
    </w:p>
    <w:p w:rsidR="00B477E3" w:rsidRDefault="00B477E3" w:rsidP="00B477E3">
      <w:pPr>
        <w:rPr>
          <w:sz w:val="22"/>
          <w:szCs w:val="22"/>
        </w:rPr>
      </w:pPr>
      <w:r>
        <w:rPr>
          <w:sz w:val="22"/>
          <w:szCs w:val="22"/>
        </w:rPr>
        <w:tab/>
        <w:t>Rating Decision – Codesheet</w:t>
      </w:r>
    </w:p>
    <w:p w:rsidR="00B477E3" w:rsidRDefault="00B477E3" w:rsidP="00B477E3">
      <w:pPr>
        <w:rPr>
          <w:sz w:val="22"/>
          <w:szCs w:val="22"/>
        </w:rPr>
      </w:pPr>
      <w:r>
        <w:rPr>
          <w:sz w:val="22"/>
          <w:szCs w:val="22"/>
        </w:rPr>
        <w:tab/>
        <w:t>Rating Decision – Narrative</w:t>
      </w:r>
    </w:p>
    <w:p w:rsidR="00B477E3" w:rsidRDefault="00B477E3" w:rsidP="00B477E3">
      <w:pPr>
        <w:rPr>
          <w:sz w:val="22"/>
          <w:szCs w:val="22"/>
        </w:rPr>
      </w:pPr>
      <w:r>
        <w:rPr>
          <w:sz w:val="22"/>
          <w:szCs w:val="22"/>
        </w:rPr>
        <w:tab/>
        <w:t>Rating Decision (e.g. VA Form 21-6796)</w:t>
      </w:r>
    </w:p>
    <w:p w:rsidR="00B477E3" w:rsidRDefault="00B477E3" w:rsidP="00B477E3">
      <w:pPr>
        <w:rPr>
          <w:sz w:val="22"/>
          <w:szCs w:val="22"/>
        </w:rPr>
      </w:pPr>
    </w:p>
    <w:p w:rsidR="00B477E3" w:rsidRPr="00631EF0" w:rsidRDefault="00B477E3" w:rsidP="00B477E3">
      <w:pPr>
        <w:rPr>
          <w:b/>
          <w:sz w:val="22"/>
          <w:szCs w:val="22"/>
        </w:rPr>
      </w:pPr>
      <w:r w:rsidRPr="000F33A5">
        <w:rPr>
          <w:b/>
          <w:sz w:val="22"/>
          <w:szCs w:val="22"/>
          <w:u w:val="single"/>
        </w:rPr>
        <w:t>Representation – National Service Officer</w:t>
      </w:r>
      <w:r>
        <w:rPr>
          <w:b/>
          <w:sz w:val="22"/>
          <w:szCs w:val="22"/>
        </w:rPr>
        <w:t xml:space="preserve"> </w:t>
      </w:r>
      <w:r w:rsidRPr="00631EF0">
        <w:rPr>
          <w:b/>
          <w:sz w:val="22"/>
          <w:szCs w:val="22"/>
        </w:rPr>
        <w:t>–</w:t>
      </w:r>
    </w:p>
    <w:p w:rsidR="00B477E3" w:rsidRDefault="00B477E3" w:rsidP="00B477E3">
      <w:pPr>
        <w:ind w:left="720"/>
        <w:rPr>
          <w:sz w:val="22"/>
          <w:szCs w:val="22"/>
        </w:rPr>
      </w:pPr>
      <w:r w:rsidRPr="0012583E">
        <w:rPr>
          <w:sz w:val="22"/>
          <w:szCs w:val="22"/>
          <w:highlight w:val="yellow"/>
        </w:rPr>
        <w:t>VA 21-22 Appointment of Veterans Serv. Org. as Claimant</w:t>
      </w:r>
      <w:r>
        <w:rPr>
          <w:sz w:val="22"/>
          <w:szCs w:val="22"/>
        </w:rPr>
        <w:t xml:space="preserve"> Rep – </w:t>
      </w:r>
      <w:r w:rsidRPr="00ED5241">
        <w:rPr>
          <w:color w:val="0070C0"/>
        </w:rPr>
        <w:t xml:space="preserve">list </w:t>
      </w:r>
      <w:r>
        <w:rPr>
          <w:color w:val="0070C0"/>
        </w:rPr>
        <w:t>POA abbreviation, “Revoked” if applicable</w:t>
      </w:r>
    </w:p>
    <w:p w:rsidR="00B477E3" w:rsidRDefault="00B477E3" w:rsidP="00B477E3">
      <w:pPr>
        <w:rPr>
          <w:b/>
          <w:sz w:val="22"/>
          <w:szCs w:val="22"/>
          <w:u w:val="single"/>
        </w:rPr>
      </w:pPr>
    </w:p>
    <w:p w:rsidR="00B477E3" w:rsidRPr="00631EF0" w:rsidRDefault="00B477E3" w:rsidP="00B477E3">
      <w:pPr>
        <w:rPr>
          <w:b/>
          <w:sz w:val="22"/>
          <w:szCs w:val="22"/>
        </w:rPr>
      </w:pPr>
      <w:r>
        <w:rPr>
          <w:b/>
          <w:sz w:val="22"/>
          <w:szCs w:val="22"/>
          <w:u w:val="single"/>
        </w:rPr>
        <w:t>STRs</w:t>
      </w:r>
      <w:r>
        <w:rPr>
          <w:b/>
          <w:sz w:val="22"/>
          <w:szCs w:val="22"/>
        </w:rPr>
        <w:t xml:space="preserve"> </w:t>
      </w:r>
      <w:r w:rsidRPr="00631EF0">
        <w:rPr>
          <w:b/>
          <w:sz w:val="22"/>
          <w:szCs w:val="22"/>
        </w:rPr>
        <w:t>–</w:t>
      </w:r>
      <w:r>
        <w:rPr>
          <w:b/>
          <w:sz w:val="22"/>
          <w:szCs w:val="22"/>
        </w:rPr>
        <w:t xml:space="preserve"> </w:t>
      </w:r>
      <w:r w:rsidRPr="00ED5241">
        <w:rPr>
          <w:color w:val="0070C0"/>
        </w:rPr>
        <w:t xml:space="preserve">list </w:t>
      </w:r>
      <w:r>
        <w:rPr>
          <w:color w:val="0070C0"/>
        </w:rPr>
        <w:t>date range for ALL below (indicate “Dental” or “OPMF” if they are included with STRs)</w:t>
      </w:r>
    </w:p>
    <w:p w:rsidR="00B477E3" w:rsidRDefault="00B477E3" w:rsidP="00B477E3">
      <w:pPr>
        <w:rPr>
          <w:sz w:val="22"/>
          <w:szCs w:val="22"/>
        </w:rPr>
      </w:pPr>
      <w:r>
        <w:rPr>
          <w:sz w:val="22"/>
          <w:szCs w:val="22"/>
        </w:rPr>
        <w:tab/>
      </w:r>
      <w:r w:rsidRPr="002756F6">
        <w:rPr>
          <w:sz w:val="22"/>
          <w:szCs w:val="22"/>
          <w:highlight w:val="yellow"/>
        </w:rPr>
        <w:t>STR</w:t>
      </w:r>
    </w:p>
    <w:p w:rsidR="00B477E3" w:rsidRDefault="00B477E3" w:rsidP="00B477E3">
      <w:pPr>
        <w:rPr>
          <w:sz w:val="22"/>
          <w:szCs w:val="22"/>
        </w:rPr>
      </w:pPr>
      <w:r>
        <w:rPr>
          <w:sz w:val="22"/>
          <w:szCs w:val="22"/>
        </w:rPr>
        <w:tab/>
        <w:t>STR – Dental</w:t>
      </w:r>
    </w:p>
    <w:p w:rsidR="00B477E3" w:rsidRDefault="00B477E3" w:rsidP="00B477E3">
      <w:pPr>
        <w:rPr>
          <w:sz w:val="22"/>
          <w:szCs w:val="22"/>
        </w:rPr>
      </w:pPr>
      <w:r>
        <w:rPr>
          <w:sz w:val="22"/>
          <w:szCs w:val="22"/>
        </w:rPr>
        <w:tab/>
        <w:t>STR – Lab</w:t>
      </w:r>
    </w:p>
    <w:p w:rsidR="00B477E3" w:rsidRDefault="00B477E3" w:rsidP="00B477E3">
      <w:pPr>
        <w:rPr>
          <w:sz w:val="22"/>
          <w:szCs w:val="22"/>
        </w:rPr>
      </w:pPr>
      <w:r>
        <w:rPr>
          <w:sz w:val="22"/>
          <w:szCs w:val="22"/>
        </w:rPr>
        <w:tab/>
      </w:r>
      <w:r w:rsidRPr="002756F6">
        <w:rPr>
          <w:sz w:val="22"/>
          <w:szCs w:val="22"/>
          <w:highlight w:val="yellow"/>
        </w:rPr>
        <w:t>STR – Medical</w:t>
      </w:r>
    </w:p>
    <w:p w:rsidR="00B477E3" w:rsidRDefault="00B477E3" w:rsidP="00B477E3">
      <w:pPr>
        <w:rPr>
          <w:sz w:val="22"/>
          <w:szCs w:val="22"/>
        </w:rPr>
      </w:pPr>
      <w:r>
        <w:rPr>
          <w:sz w:val="22"/>
          <w:szCs w:val="22"/>
        </w:rPr>
        <w:tab/>
      </w:r>
      <w:r w:rsidRPr="002756F6">
        <w:rPr>
          <w:sz w:val="22"/>
          <w:szCs w:val="22"/>
          <w:highlight w:val="yellow"/>
        </w:rPr>
        <w:t>STR – Medical – Photocopy</w:t>
      </w:r>
    </w:p>
    <w:p w:rsidR="00B477E3" w:rsidRDefault="00B477E3" w:rsidP="00B477E3">
      <w:pPr>
        <w:rPr>
          <w:sz w:val="22"/>
          <w:szCs w:val="22"/>
        </w:rPr>
      </w:pPr>
      <w:r>
        <w:rPr>
          <w:sz w:val="22"/>
          <w:szCs w:val="22"/>
        </w:rPr>
        <w:tab/>
        <w:t>STR – Reserve STR</w:t>
      </w:r>
    </w:p>
    <w:p w:rsidR="00B477E3" w:rsidRDefault="00B477E3" w:rsidP="00B477E3">
      <w:pPr>
        <w:rPr>
          <w:b/>
          <w:sz w:val="22"/>
          <w:szCs w:val="22"/>
          <w:u w:val="single"/>
        </w:rPr>
      </w:pPr>
    </w:p>
    <w:p w:rsidR="00B477E3" w:rsidRDefault="00B477E3" w:rsidP="00B477E3">
      <w:pPr>
        <w:rPr>
          <w:b/>
          <w:sz w:val="22"/>
          <w:szCs w:val="22"/>
        </w:rPr>
      </w:pPr>
      <w:r w:rsidRPr="00F92A7C">
        <w:rPr>
          <w:b/>
          <w:sz w:val="22"/>
          <w:szCs w:val="22"/>
          <w:u w:val="single"/>
        </w:rPr>
        <w:t>Service Personnel Records</w:t>
      </w:r>
      <w:r>
        <w:rPr>
          <w:b/>
          <w:sz w:val="22"/>
          <w:szCs w:val="22"/>
        </w:rPr>
        <w:t xml:space="preserve"> –</w:t>
      </w:r>
    </w:p>
    <w:p w:rsidR="00B477E3" w:rsidRDefault="00B477E3" w:rsidP="00B477E3">
      <w:pPr>
        <w:ind w:left="720"/>
        <w:rPr>
          <w:sz w:val="22"/>
          <w:szCs w:val="22"/>
        </w:rPr>
      </w:pPr>
      <w:r w:rsidRPr="002756F6">
        <w:rPr>
          <w:sz w:val="22"/>
          <w:szCs w:val="22"/>
          <w:highlight w:val="yellow"/>
        </w:rPr>
        <w:t>Certificate of Release or Discharge from Active Duty (e.g. DD214, NOAA 56-16, PHS 1867)</w:t>
      </w:r>
      <w:r w:rsidRPr="00ED5241">
        <w:rPr>
          <w:sz w:val="22"/>
          <w:szCs w:val="22"/>
        </w:rPr>
        <w:t xml:space="preserve"> </w:t>
      </w:r>
      <w:r>
        <w:rPr>
          <w:sz w:val="22"/>
          <w:szCs w:val="22"/>
        </w:rPr>
        <w:t xml:space="preserve">– </w:t>
      </w:r>
      <w:r w:rsidRPr="00ED5241">
        <w:rPr>
          <w:i/>
          <w:color w:val="FF0000"/>
        </w:rPr>
        <w:t>for DD214s</w:t>
      </w:r>
      <w:r>
        <w:rPr>
          <w:i/>
          <w:color w:val="FF0000"/>
        </w:rPr>
        <w:t xml:space="preserve"> that are NOT certified</w:t>
      </w:r>
      <w:r w:rsidRPr="00ED5241">
        <w:rPr>
          <w:color w:val="FF0000"/>
          <w:sz w:val="22"/>
          <w:szCs w:val="22"/>
        </w:rPr>
        <w:t xml:space="preserve"> </w:t>
      </w:r>
      <w:r>
        <w:rPr>
          <w:sz w:val="22"/>
          <w:szCs w:val="22"/>
        </w:rPr>
        <w:t xml:space="preserve">– </w:t>
      </w:r>
      <w:r w:rsidRPr="00ED5241">
        <w:rPr>
          <w:color w:val="0070C0"/>
        </w:rPr>
        <w:t>list entrance &amp; separation dates</w:t>
      </w:r>
    </w:p>
    <w:p w:rsidR="00B477E3" w:rsidRDefault="00B477E3" w:rsidP="00B477E3">
      <w:pPr>
        <w:ind w:left="720"/>
        <w:rPr>
          <w:sz w:val="22"/>
          <w:szCs w:val="22"/>
        </w:rPr>
      </w:pPr>
      <w:r w:rsidRPr="002756F6">
        <w:rPr>
          <w:sz w:val="22"/>
          <w:szCs w:val="22"/>
          <w:highlight w:val="yellow"/>
        </w:rPr>
        <w:t>Military Personnel Record</w:t>
      </w:r>
      <w:r>
        <w:rPr>
          <w:sz w:val="22"/>
          <w:szCs w:val="22"/>
        </w:rPr>
        <w:t xml:space="preserve"> – </w:t>
      </w:r>
      <w:r w:rsidRPr="00ED5241">
        <w:rPr>
          <w:color w:val="0070C0"/>
        </w:rPr>
        <w:t xml:space="preserve">list </w:t>
      </w:r>
      <w:r>
        <w:rPr>
          <w:color w:val="0070C0"/>
        </w:rPr>
        <w:t>type of record (OMPF, etc)</w:t>
      </w:r>
    </w:p>
    <w:p w:rsidR="00B477E3" w:rsidRDefault="00B477E3" w:rsidP="00B477E3">
      <w:pPr>
        <w:ind w:left="720"/>
        <w:rPr>
          <w:sz w:val="22"/>
          <w:szCs w:val="22"/>
        </w:rPr>
      </w:pPr>
      <w:r w:rsidRPr="002756F6">
        <w:rPr>
          <w:sz w:val="22"/>
          <w:szCs w:val="22"/>
          <w:highlight w:val="yellow"/>
        </w:rPr>
        <w:t>VA 21-3101 Request for Information</w:t>
      </w:r>
      <w:r>
        <w:t xml:space="preserve"> – </w:t>
      </w:r>
      <w:r w:rsidR="00310440">
        <w:rPr>
          <w:i/>
          <w:color w:val="FF0000"/>
        </w:rPr>
        <w:t>to include e</w:t>
      </w:r>
      <w:r>
        <w:rPr>
          <w:i/>
          <w:color w:val="FF0000"/>
        </w:rPr>
        <w:t>mails to RMC</w:t>
      </w:r>
      <w:r>
        <w:rPr>
          <w:sz w:val="22"/>
          <w:szCs w:val="22"/>
        </w:rPr>
        <w:t xml:space="preserve"> – </w:t>
      </w:r>
      <w:r w:rsidRPr="00ED5241">
        <w:rPr>
          <w:color w:val="0070C0"/>
        </w:rPr>
        <w:t xml:space="preserve">list </w:t>
      </w:r>
      <w:r>
        <w:rPr>
          <w:color w:val="0070C0"/>
        </w:rPr>
        <w:t>“RMC request” or “RMC response”; or if PIES request/response, list just “request” or “response”</w:t>
      </w:r>
    </w:p>
    <w:p w:rsidR="00B477E3" w:rsidRDefault="00B477E3" w:rsidP="00B477E3">
      <w:pPr>
        <w:rPr>
          <w:sz w:val="22"/>
          <w:szCs w:val="22"/>
        </w:rPr>
      </w:pPr>
    </w:p>
    <w:p w:rsidR="00B477E3" w:rsidRDefault="00B477E3" w:rsidP="00B477E3">
      <w:pPr>
        <w:rPr>
          <w:b/>
          <w:sz w:val="22"/>
          <w:szCs w:val="22"/>
        </w:rPr>
      </w:pPr>
      <w:r w:rsidRPr="00F92A7C">
        <w:rPr>
          <w:b/>
          <w:sz w:val="22"/>
          <w:szCs w:val="22"/>
          <w:u w:val="single"/>
        </w:rPr>
        <w:t>Service Personnel Records</w:t>
      </w:r>
      <w:r>
        <w:rPr>
          <w:b/>
          <w:sz w:val="22"/>
          <w:szCs w:val="22"/>
          <w:u w:val="single"/>
        </w:rPr>
        <w:t xml:space="preserve"> – DD Form 214/215</w:t>
      </w:r>
      <w:r>
        <w:rPr>
          <w:b/>
          <w:sz w:val="22"/>
          <w:szCs w:val="22"/>
        </w:rPr>
        <w:t xml:space="preserve"> –</w:t>
      </w:r>
    </w:p>
    <w:p w:rsidR="00B477E3" w:rsidRDefault="00B477E3" w:rsidP="00B477E3">
      <w:pPr>
        <w:ind w:left="720"/>
        <w:rPr>
          <w:color w:val="0070C0"/>
        </w:rPr>
      </w:pPr>
      <w:r>
        <w:rPr>
          <w:sz w:val="22"/>
          <w:szCs w:val="22"/>
        </w:rPr>
        <w:t xml:space="preserve">DD 214 Certified Original - Certificate of Release or Discharge from Active Duty – </w:t>
      </w:r>
      <w:r w:rsidRPr="00ED5241">
        <w:rPr>
          <w:i/>
          <w:color w:val="FF0000"/>
        </w:rPr>
        <w:t>for certified DD214s</w:t>
      </w:r>
      <w:r w:rsidRPr="00ED5241">
        <w:rPr>
          <w:color w:val="FF0000"/>
          <w:sz w:val="22"/>
          <w:szCs w:val="22"/>
        </w:rPr>
        <w:t xml:space="preserve"> </w:t>
      </w:r>
      <w:r>
        <w:rPr>
          <w:sz w:val="22"/>
          <w:szCs w:val="22"/>
        </w:rPr>
        <w:t xml:space="preserve">– </w:t>
      </w:r>
      <w:r w:rsidRPr="00ED5241">
        <w:rPr>
          <w:color w:val="0070C0"/>
        </w:rPr>
        <w:t>list entrance &amp; separation dates</w:t>
      </w:r>
    </w:p>
    <w:p w:rsidR="00B477E3" w:rsidRDefault="00B477E3" w:rsidP="00B477E3">
      <w:pPr>
        <w:ind w:left="720"/>
        <w:rPr>
          <w:sz w:val="22"/>
          <w:szCs w:val="22"/>
        </w:rPr>
      </w:pPr>
    </w:p>
    <w:p w:rsidR="00B477E3" w:rsidRDefault="00B477E3" w:rsidP="00B477E3">
      <w:pPr>
        <w:ind w:left="720"/>
        <w:rPr>
          <w:sz w:val="22"/>
          <w:szCs w:val="22"/>
        </w:rPr>
      </w:pPr>
    </w:p>
    <w:p w:rsidR="00B477E3" w:rsidRDefault="00B477E3" w:rsidP="00B477E3">
      <w:pPr>
        <w:pBdr>
          <w:top w:val="single" w:sz="4" w:space="1" w:color="auto"/>
        </w:pBdr>
        <w:rPr>
          <w:sz w:val="22"/>
          <w:szCs w:val="22"/>
        </w:rPr>
      </w:pPr>
    </w:p>
    <w:p w:rsidR="00B477E3" w:rsidRPr="00273805" w:rsidRDefault="00B477E3" w:rsidP="00B477E3">
      <w:pPr>
        <w:tabs>
          <w:tab w:val="num" w:pos="360"/>
        </w:tabs>
        <w:spacing w:after="120"/>
        <w:rPr>
          <w:rFonts w:asciiTheme="minorHAnsi" w:eastAsiaTheme="minorHAnsi" w:hAnsiTheme="minorHAnsi"/>
          <w:sz w:val="22"/>
          <w:szCs w:val="22"/>
        </w:rPr>
      </w:pPr>
      <w:r w:rsidRPr="00273805">
        <w:rPr>
          <w:rFonts w:asciiTheme="minorHAnsi" w:hAnsiTheme="minorHAnsi"/>
          <w:sz w:val="22"/>
          <w:szCs w:val="22"/>
        </w:rPr>
        <w:t xml:space="preserve">Entering the below notes is helpful </w:t>
      </w:r>
      <w:r>
        <w:rPr>
          <w:rFonts w:asciiTheme="minorHAnsi" w:hAnsiTheme="minorHAnsi"/>
          <w:sz w:val="22"/>
          <w:szCs w:val="22"/>
        </w:rPr>
        <w:t xml:space="preserve">for your own review/organization, and for </w:t>
      </w:r>
      <w:r w:rsidRPr="00273805">
        <w:rPr>
          <w:rFonts w:asciiTheme="minorHAnsi" w:hAnsiTheme="minorHAnsi"/>
          <w:sz w:val="22"/>
          <w:szCs w:val="22"/>
        </w:rPr>
        <w:t>anyone following you on the claim</w:t>
      </w:r>
      <w:r>
        <w:rPr>
          <w:rFonts w:asciiTheme="minorHAnsi" w:hAnsiTheme="minorHAnsi"/>
          <w:sz w:val="22"/>
          <w:szCs w:val="22"/>
        </w:rPr>
        <w:t>. They</w:t>
      </w:r>
      <w:r w:rsidRPr="00273805">
        <w:rPr>
          <w:rFonts w:asciiTheme="minorHAnsi" w:hAnsiTheme="minorHAnsi"/>
          <w:sz w:val="22"/>
          <w:szCs w:val="22"/>
        </w:rPr>
        <w:t xml:space="preserve"> are also nice for future claims.</w:t>
      </w:r>
    </w:p>
    <w:p w:rsidR="00B477E3" w:rsidRPr="00273805" w:rsidRDefault="00B477E3" w:rsidP="00F063AF">
      <w:pPr>
        <w:numPr>
          <w:ilvl w:val="0"/>
          <w:numId w:val="279"/>
        </w:numPr>
        <w:overflowPunct/>
        <w:autoSpaceDE/>
        <w:autoSpaceDN/>
        <w:adjustRightInd/>
        <w:spacing w:before="100" w:beforeAutospacing="1" w:after="120"/>
        <w:textAlignment w:val="auto"/>
        <w:rPr>
          <w:rFonts w:asciiTheme="minorHAnsi" w:hAnsiTheme="minorHAnsi"/>
          <w:i/>
          <w:iCs/>
          <w:sz w:val="22"/>
          <w:szCs w:val="22"/>
        </w:rPr>
      </w:pPr>
      <w:r w:rsidRPr="00273805">
        <w:rPr>
          <w:rFonts w:asciiTheme="minorHAnsi" w:hAnsiTheme="minorHAnsi"/>
          <w:sz w:val="22"/>
          <w:szCs w:val="22"/>
          <w:u w:val="single"/>
        </w:rPr>
        <w:t>CLAIM</w:t>
      </w:r>
      <w:r w:rsidRPr="00273805">
        <w:rPr>
          <w:rFonts w:asciiTheme="minorHAnsi" w:hAnsiTheme="minorHAnsi"/>
          <w:sz w:val="22"/>
          <w:szCs w:val="22"/>
        </w:rPr>
        <w:t xml:space="preserve"> - I like to put something like "I-HL, N-back, R-R foot</w:t>
      </w:r>
      <w:r w:rsidR="001946CC">
        <w:rPr>
          <w:rFonts w:asciiTheme="minorHAnsi" w:hAnsiTheme="minorHAnsi"/>
          <w:sz w:val="22"/>
          <w:szCs w:val="22"/>
        </w:rPr>
        <w:t>.”</w:t>
      </w:r>
      <w:r w:rsidRPr="00273805">
        <w:rPr>
          <w:rFonts w:asciiTheme="minorHAnsi" w:hAnsiTheme="minorHAnsi"/>
          <w:sz w:val="22"/>
          <w:szCs w:val="22"/>
        </w:rPr>
        <w:t xml:space="preserve"> I=increase, N=new, R=reopen. </w:t>
      </w:r>
      <w:r w:rsidR="002A27E2">
        <w:rPr>
          <w:rFonts w:asciiTheme="minorHAnsi" w:hAnsiTheme="minorHAnsi"/>
          <w:i/>
          <w:iCs/>
          <w:sz w:val="22"/>
          <w:szCs w:val="22"/>
        </w:rPr>
        <w:t xml:space="preserve">The increase and previously denied (reopen) contentions should be listed in VBMS &amp; VBMS-R as they are listed in the corporate records, with the Veteran’s wording in parentheses, per VA Pulse. </w:t>
      </w:r>
      <w:r w:rsidR="002A27E2" w:rsidRPr="002A27E2">
        <w:rPr>
          <w:rFonts w:asciiTheme="minorHAnsi" w:hAnsiTheme="minorHAnsi"/>
          <w:i/>
          <w:iCs/>
          <w:sz w:val="22"/>
          <w:szCs w:val="22"/>
        </w:rPr>
        <w:t>https://www.v</w:t>
      </w:r>
      <w:r w:rsidR="002A27E2">
        <w:rPr>
          <w:rFonts w:asciiTheme="minorHAnsi" w:hAnsiTheme="minorHAnsi"/>
          <w:i/>
          <w:iCs/>
          <w:sz w:val="22"/>
          <w:szCs w:val="22"/>
        </w:rPr>
        <w:t>apulse.net/message/152898. New contensions should be listed in</w:t>
      </w:r>
      <w:r w:rsidRPr="00273805">
        <w:rPr>
          <w:rFonts w:asciiTheme="minorHAnsi" w:hAnsiTheme="minorHAnsi"/>
          <w:i/>
          <w:iCs/>
          <w:sz w:val="22"/>
          <w:szCs w:val="22"/>
        </w:rPr>
        <w:t xml:space="preserve"> VBMS</w:t>
      </w:r>
      <w:r w:rsidR="002A27E2">
        <w:rPr>
          <w:rFonts w:asciiTheme="minorHAnsi" w:hAnsiTheme="minorHAnsi"/>
          <w:i/>
          <w:iCs/>
          <w:sz w:val="22"/>
          <w:szCs w:val="22"/>
        </w:rPr>
        <w:t xml:space="preserve"> &amp; VBMS-R</w:t>
      </w:r>
      <w:r w:rsidRPr="00273805">
        <w:rPr>
          <w:rFonts w:asciiTheme="minorHAnsi" w:hAnsiTheme="minorHAnsi"/>
          <w:i/>
          <w:iCs/>
          <w:sz w:val="22"/>
          <w:szCs w:val="22"/>
        </w:rPr>
        <w:t xml:space="preserve"> exactly as claimed by the veteran. The</w:t>
      </w:r>
      <w:r w:rsidR="002A27E2">
        <w:rPr>
          <w:rFonts w:asciiTheme="minorHAnsi" w:hAnsiTheme="minorHAnsi"/>
          <w:i/>
          <w:iCs/>
          <w:sz w:val="22"/>
          <w:szCs w:val="22"/>
        </w:rPr>
        <w:t xml:space="preserve">re are a few exceptions to the procedure for new contentions (like misspellings, or…) </w:t>
      </w:r>
      <w:r w:rsidRPr="00273805">
        <w:rPr>
          <w:rFonts w:asciiTheme="minorHAnsi" w:hAnsiTheme="minorHAnsi"/>
          <w:i/>
          <w:iCs/>
          <w:sz w:val="22"/>
          <w:szCs w:val="22"/>
        </w:rPr>
        <w:t>.</w:t>
      </w:r>
    </w:p>
    <w:p w:rsidR="00B477E3" w:rsidRPr="00273805" w:rsidRDefault="00B477E3" w:rsidP="00F063AF">
      <w:pPr>
        <w:numPr>
          <w:ilvl w:val="0"/>
          <w:numId w:val="279"/>
        </w:numPr>
        <w:overflowPunct/>
        <w:autoSpaceDE/>
        <w:autoSpaceDN/>
        <w:adjustRightInd/>
        <w:spacing w:before="100" w:beforeAutospacing="1" w:after="120"/>
        <w:textAlignment w:val="auto"/>
        <w:rPr>
          <w:rFonts w:asciiTheme="minorHAnsi" w:hAnsiTheme="minorHAnsi"/>
          <w:sz w:val="22"/>
          <w:szCs w:val="22"/>
        </w:rPr>
      </w:pPr>
      <w:r w:rsidRPr="00273805">
        <w:rPr>
          <w:rFonts w:asciiTheme="minorHAnsi" w:hAnsiTheme="minorHAnsi"/>
          <w:sz w:val="22"/>
          <w:szCs w:val="22"/>
          <w:u w:val="single"/>
        </w:rPr>
        <w:t>DD214</w:t>
      </w:r>
      <w:r w:rsidRPr="00273805">
        <w:rPr>
          <w:rFonts w:asciiTheme="minorHAnsi" w:hAnsiTheme="minorHAnsi"/>
          <w:sz w:val="22"/>
          <w:szCs w:val="22"/>
        </w:rPr>
        <w:t xml:space="preserve"> - I like to put the dates of service &amp; the branch (A, N, MC). If the MOS, combat medals or locations of service are relevant, I also include those.</w:t>
      </w:r>
    </w:p>
    <w:p w:rsidR="00B477E3" w:rsidRPr="00273805" w:rsidRDefault="00B477E3" w:rsidP="00F063AF">
      <w:pPr>
        <w:numPr>
          <w:ilvl w:val="0"/>
          <w:numId w:val="279"/>
        </w:numPr>
        <w:overflowPunct/>
        <w:autoSpaceDE/>
        <w:autoSpaceDN/>
        <w:adjustRightInd/>
        <w:spacing w:before="100" w:beforeAutospacing="1" w:after="120"/>
        <w:textAlignment w:val="auto"/>
        <w:rPr>
          <w:rFonts w:asciiTheme="minorHAnsi" w:hAnsiTheme="minorHAnsi"/>
          <w:sz w:val="22"/>
          <w:szCs w:val="22"/>
        </w:rPr>
      </w:pPr>
      <w:r w:rsidRPr="00273805">
        <w:rPr>
          <w:rFonts w:asciiTheme="minorHAnsi" w:hAnsiTheme="minorHAnsi"/>
          <w:sz w:val="22"/>
          <w:szCs w:val="22"/>
          <w:u w:val="single"/>
        </w:rPr>
        <w:t>STRs</w:t>
      </w:r>
      <w:r w:rsidRPr="00273805">
        <w:rPr>
          <w:rFonts w:asciiTheme="minorHAnsi" w:hAnsiTheme="minorHAnsi"/>
          <w:sz w:val="22"/>
          <w:szCs w:val="22"/>
        </w:rPr>
        <w:t xml:space="preserve"> - I like to put something like "back p4,99; enlist p7; sep p102" - </w:t>
      </w:r>
      <w:r w:rsidRPr="00273805">
        <w:rPr>
          <w:rFonts w:asciiTheme="minorHAnsi" w:hAnsiTheme="minorHAnsi"/>
          <w:i/>
          <w:iCs/>
          <w:sz w:val="22"/>
          <w:szCs w:val="22"/>
        </w:rPr>
        <w:t>if I run out of room, I delete spaces &amp; Ps, so it'll say "back4,99;enlist7;sep102...</w:t>
      </w:r>
      <w:r w:rsidR="001946CC">
        <w:rPr>
          <w:rFonts w:asciiTheme="minorHAnsi" w:hAnsiTheme="minorHAnsi"/>
          <w:i/>
          <w:iCs/>
          <w:sz w:val="22"/>
          <w:szCs w:val="22"/>
        </w:rPr>
        <w:t>.”</w:t>
      </w:r>
    </w:p>
    <w:p w:rsidR="00B477E3" w:rsidRPr="00273805" w:rsidRDefault="00B477E3" w:rsidP="00F063AF">
      <w:pPr>
        <w:numPr>
          <w:ilvl w:val="0"/>
          <w:numId w:val="279"/>
        </w:numPr>
        <w:overflowPunct/>
        <w:autoSpaceDE/>
        <w:autoSpaceDN/>
        <w:adjustRightInd/>
        <w:spacing w:before="100" w:beforeAutospacing="1" w:after="120"/>
        <w:textAlignment w:val="auto"/>
        <w:rPr>
          <w:rFonts w:asciiTheme="minorHAnsi" w:hAnsiTheme="minorHAnsi"/>
          <w:sz w:val="22"/>
          <w:szCs w:val="22"/>
        </w:rPr>
      </w:pPr>
      <w:r w:rsidRPr="00273805">
        <w:rPr>
          <w:rFonts w:asciiTheme="minorHAnsi" w:hAnsiTheme="minorHAnsi"/>
          <w:sz w:val="22"/>
          <w:szCs w:val="22"/>
          <w:u w:val="single"/>
        </w:rPr>
        <w:t>TRs</w:t>
      </w:r>
      <w:r w:rsidRPr="00273805">
        <w:rPr>
          <w:rFonts w:asciiTheme="minorHAnsi" w:hAnsiTheme="minorHAnsi"/>
          <w:sz w:val="22"/>
          <w:szCs w:val="22"/>
        </w:rPr>
        <w:t xml:space="preserve"> - I like to put the Dr./Facility name, plus a note if there is treatment for a claimed disability "back</w:t>
      </w:r>
      <w:r w:rsidR="001946CC">
        <w:rPr>
          <w:rFonts w:asciiTheme="minorHAnsi" w:hAnsiTheme="minorHAnsi"/>
          <w:sz w:val="22"/>
          <w:szCs w:val="22"/>
        </w:rPr>
        <w:t>.”</w:t>
      </w:r>
    </w:p>
    <w:p w:rsidR="00B477E3" w:rsidRPr="00273805" w:rsidRDefault="00B477E3" w:rsidP="00F063AF">
      <w:pPr>
        <w:numPr>
          <w:ilvl w:val="0"/>
          <w:numId w:val="279"/>
        </w:numPr>
        <w:overflowPunct/>
        <w:autoSpaceDE/>
        <w:autoSpaceDN/>
        <w:adjustRightInd/>
        <w:spacing w:before="100" w:beforeAutospacing="1" w:after="120"/>
        <w:textAlignment w:val="auto"/>
        <w:rPr>
          <w:rFonts w:asciiTheme="minorHAnsi" w:hAnsiTheme="minorHAnsi"/>
          <w:sz w:val="22"/>
          <w:szCs w:val="22"/>
        </w:rPr>
      </w:pPr>
      <w:r w:rsidRPr="00273805">
        <w:rPr>
          <w:rFonts w:asciiTheme="minorHAnsi" w:hAnsiTheme="minorHAnsi"/>
          <w:sz w:val="22"/>
          <w:szCs w:val="22"/>
          <w:u w:val="single"/>
        </w:rPr>
        <w:t>VAEs</w:t>
      </w:r>
      <w:r w:rsidRPr="00273805">
        <w:rPr>
          <w:rFonts w:asciiTheme="minorHAnsi" w:hAnsiTheme="minorHAnsi"/>
          <w:sz w:val="22"/>
          <w:szCs w:val="22"/>
        </w:rPr>
        <w:t xml:space="preserve"> - I like to put the diagnoses so I know if all requested exams were done.</w:t>
      </w:r>
      <w:r>
        <w:rPr>
          <w:rFonts w:asciiTheme="minorHAnsi" w:hAnsiTheme="minorHAnsi"/>
          <w:sz w:val="22"/>
          <w:szCs w:val="22"/>
        </w:rPr>
        <w:t xml:space="preserve"> I also will put (+) or (-) on opinions.</w:t>
      </w:r>
    </w:p>
    <w:p w:rsidR="00B477E3" w:rsidRPr="00273805" w:rsidRDefault="00B477E3" w:rsidP="00F063AF">
      <w:pPr>
        <w:numPr>
          <w:ilvl w:val="0"/>
          <w:numId w:val="279"/>
        </w:numPr>
        <w:overflowPunct/>
        <w:autoSpaceDE/>
        <w:autoSpaceDN/>
        <w:adjustRightInd/>
        <w:spacing w:before="100" w:beforeAutospacing="1" w:after="120"/>
        <w:textAlignment w:val="auto"/>
        <w:rPr>
          <w:rFonts w:asciiTheme="minorHAnsi" w:hAnsiTheme="minorHAnsi"/>
          <w:sz w:val="22"/>
          <w:szCs w:val="22"/>
        </w:rPr>
      </w:pPr>
      <w:r w:rsidRPr="00273805">
        <w:rPr>
          <w:rFonts w:asciiTheme="minorHAnsi" w:hAnsiTheme="minorHAnsi"/>
          <w:sz w:val="22"/>
          <w:szCs w:val="22"/>
          <w:u w:val="single"/>
        </w:rPr>
        <w:t>RDs</w:t>
      </w:r>
      <w:r w:rsidRPr="00273805">
        <w:rPr>
          <w:rFonts w:asciiTheme="minorHAnsi" w:hAnsiTheme="minorHAnsi"/>
          <w:sz w:val="22"/>
          <w:szCs w:val="22"/>
        </w:rPr>
        <w:t xml:space="preserve"> - I like to put the previously denied issues if the veteran is claiming that issue now. </w:t>
      </w:r>
    </w:p>
    <w:p w:rsidR="00B477E3" w:rsidRPr="00273805" w:rsidRDefault="00B477E3" w:rsidP="00F063AF">
      <w:pPr>
        <w:numPr>
          <w:ilvl w:val="0"/>
          <w:numId w:val="279"/>
        </w:numPr>
        <w:overflowPunct/>
        <w:autoSpaceDE/>
        <w:autoSpaceDN/>
        <w:adjustRightInd/>
        <w:spacing w:before="100" w:beforeAutospacing="1" w:after="120"/>
        <w:textAlignment w:val="auto"/>
        <w:rPr>
          <w:rFonts w:asciiTheme="minorHAnsi" w:hAnsiTheme="minorHAnsi"/>
          <w:sz w:val="22"/>
          <w:szCs w:val="22"/>
        </w:rPr>
      </w:pPr>
      <w:r w:rsidRPr="00273805">
        <w:rPr>
          <w:rFonts w:asciiTheme="minorHAnsi" w:hAnsiTheme="minorHAnsi"/>
          <w:sz w:val="22"/>
          <w:szCs w:val="22"/>
        </w:rPr>
        <w:t xml:space="preserve">If something </w:t>
      </w:r>
      <w:r>
        <w:rPr>
          <w:rFonts w:asciiTheme="minorHAnsi" w:hAnsiTheme="minorHAnsi"/>
          <w:sz w:val="22"/>
          <w:szCs w:val="22"/>
        </w:rPr>
        <w:t>is a duplicate, please mark it the same as the original, so that I can tell it’s a duplicate. I</w:t>
      </w:r>
      <w:r w:rsidRPr="00273805">
        <w:rPr>
          <w:rFonts w:asciiTheme="minorHAnsi" w:hAnsiTheme="minorHAnsi"/>
          <w:sz w:val="22"/>
          <w:szCs w:val="22"/>
        </w:rPr>
        <w:t>’d still like to review it, so I’ll do “Manage Duplicates” when I rate the claim. The exception is DD214s. Please do “Manage Duplicates” on DD214s.</w:t>
      </w:r>
    </w:p>
    <w:p w:rsidR="00B477E3" w:rsidRPr="00273805" w:rsidRDefault="00B477E3" w:rsidP="00B477E3">
      <w:pPr>
        <w:spacing w:after="120"/>
        <w:rPr>
          <w:rFonts w:asciiTheme="minorHAnsi" w:hAnsiTheme="minorHAnsi"/>
          <w:sz w:val="22"/>
          <w:szCs w:val="22"/>
        </w:rPr>
      </w:pPr>
    </w:p>
    <w:p w:rsidR="00B477E3" w:rsidRPr="00273805" w:rsidRDefault="00B477E3" w:rsidP="00B477E3">
      <w:pPr>
        <w:spacing w:after="120"/>
        <w:rPr>
          <w:rFonts w:asciiTheme="minorHAnsi" w:hAnsiTheme="minorHAnsi"/>
          <w:sz w:val="22"/>
          <w:szCs w:val="22"/>
        </w:rPr>
      </w:pPr>
      <w:r w:rsidRPr="00273805">
        <w:rPr>
          <w:rFonts w:asciiTheme="minorHAnsi" w:hAnsiTheme="minorHAnsi"/>
          <w:sz w:val="22"/>
          <w:szCs w:val="22"/>
        </w:rPr>
        <w:t>Here are some examples of correct Document Types tha</w:t>
      </w:r>
      <w:r>
        <w:rPr>
          <w:rFonts w:asciiTheme="minorHAnsi" w:hAnsiTheme="minorHAnsi"/>
          <w:sz w:val="22"/>
          <w:szCs w:val="22"/>
        </w:rPr>
        <w:t>t are often uploaded incorrectly</w:t>
      </w:r>
      <w:r w:rsidRPr="00273805">
        <w:rPr>
          <w:rFonts w:asciiTheme="minorHAnsi" w:hAnsiTheme="minorHAnsi"/>
          <w:sz w:val="22"/>
          <w:szCs w:val="22"/>
        </w:rPr>
        <w:t>. I spend a lot of time fixing incorrect Document Types. Please note that there are specific choices for:</w:t>
      </w:r>
    </w:p>
    <w:p w:rsidR="00B477E3" w:rsidRPr="00273805" w:rsidRDefault="00B477E3" w:rsidP="00F063AF">
      <w:pPr>
        <w:pStyle w:val="ListParagraph"/>
        <w:numPr>
          <w:ilvl w:val="0"/>
          <w:numId w:val="280"/>
        </w:numPr>
        <w:spacing w:after="120" w:line="240" w:lineRule="auto"/>
        <w:rPr>
          <w:rFonts w:asciiTheme="minorHAnsi" w:hAnsiTheme="minorHAnsi"/>
        </w:rPr>
      </w:pPr>
      <w:r w:rsidRPr="00273805">
        <w:rPr>
          <w:rFonts w:asciiTheme="minorHAnsi" w:hAnsiTheme="minorHAnsi"/>
          <w:b/>
          <w:bCs/>
        </w:rPr>
        <w:t>exam requests</w:t>
      </w:r>
      <w:r w:rsidRPr="00273805">
        <w:rPr>
          <w:rFonts w:asciiTheme="minorHAnsi" w:hAnsiTheme="minorHAnsi"/>
        </w:rPr>
        <w:t xml:space="preserve"> – use Medical Records - VAX &amp; AMIE - Request Worksheets : VA 21-2507a Request for Physical Examination </w:t>
      </w:r>
      <w:r w:rsidRPr="00273805">
        <w:rPr>
          <w:rFonts w:asciiTheme="minorHAnsi" w:hAnsiTheme="minorHAnsi"/>
          <w:i/>
          <w:iCs/>
        </w:rPr>
        <w:t>(you just have to type “2507” &amp; it will pull this up)</w:t>
      </w:r>
    </w:p>
    <w:p w:rsidR="00B477E3" w:rsidRPr="00273805" w:rsidRDefault="00B477E3" w:rsidP="00F063AF">
      <w:pPr>
        <w:pStyle w:val="ListParagraph"/>
        <w:numPr>
          <w:ilvl w:val="0"/>
          <w:numId w:val="280"/>
        </w:numPr>
        <w:spacing w:after="120" w:line="240" w:lineRule="auto"/>
        <w:rPr>
          <w:rFonts w:asciiTheme="minorHAnsi" w:hAnsiTheme="minorHAnsi"/>
        </w:rPr>
      </w:pPr>
      <w:r w:rsidRPr="00273805">
        <w:rPr>
          <w:rFonts w:asciiTheme="minorHAnsi" w:hAnsiTheme="minorHAnsi"/>
          <w:b/>
          <w:bCs/>
        </w:rPr>
        <w:t>exam notification letters</w:t>
      </w:r>
      <w:r w:rsidRPr="00273805">
        <w:rPr>
          <w:rFonts w:asciiTheme="minorHAnsi" w:hAnsiTheme="minorHAnsi"/>
        </w:rPr>
        <w:t xml:space="preserve"> – use Correspondence – Notification Letters: VA Examination Letter </w:t>
      </w:r>
      <w:r w:rsidRPr="00273805">
        <w:rPr>
          <w:rFonts w:asciiTheme="minorHAnsi" w:hAnsiTheme="minorHAnsi"/>
          <w:i/>
          <w:iCs/>
        </w:rPr>
        <w:t>(you just have to type “exam letter” &amp; it will pull this up)</w:t>
      </w:r>
    </w:p>
    <w:p w:rsidR="00B477E3" w:rsidRPr="00273805" w:rsidRDefault="00B477E3" w:rsidP="00F063AF">
      <w:pPr>
        <w:pStyle w:val="ListParagraph"/>
        <w:numPr>
          <w:ilvl w:val="0"/>
          <w:numId w:val="280"/>
        </w:numPr>
        <w:spacing w:after="120" w:line="240" w:lineRule="auto"/>
        <w:rPr>
          <w:rFonts w:asciiTheme="minorHAnsi" w:hAnsiTheme="minorHAnsi"/>
          <w:i/>
          <w:iCs/>
        </w:rPr>
      </w:pPr>
      <w:r w:rsidRPr="00273805">
        <w:rPr>
          <w:rFonts w:asciiTheme="minorHAnsi" w:hAnsiTheme="minorHAnsi"/>
          <w:b/>
          <w:bCs/>
        </w:rPr>
        <w:t xml:space="preserve">STR requests </w:t>
      </w:r>
      <w:r w:rsidRPr="00273805">
        <w:rPr>
          <w:rFonts w:asciiTheme="minorHAnsi" w:hAnsiTheme="minorHAnsi"/>
        </w:rPr>
        <w:t>– use</w:t>
      </w:r>
      <w:r w:rsidRPr="00273805">
        <w:rPr>
          <w:rFonts w:asciiTheme="minorHAnsi" w:hAnsiTheme="minorHAnsi"/>
          <w:b/>
          <w:bCs/>
        </w:rPr>
        <w:t xml:space="preserve"> </w:t>
      </w:r>
      <w:r w:rsidRPr="00273805">
        <w:rPr>
          <w:rFonts w:asciiTheme="minorHAnsi" w:hAnsiTheme="minorHAnsi"/>
        </w:rPr>
        <w:t xml:space="preserve">Service Personnel Records: VA 21-3101 Request for Information </w:t>
      </w:r>
      <w:r w:rsidRPr="00273805">
        <w:rPr>
          <w:rFonts w:asciiTheme="minorHAnsi" w:hAnsiTheme="minorHAnsi"/>
          <w:i/>
          <w:iCs/>
        </w:rPr>
        <w:t>(you just have to type “3101” &amp; it will pull this up)</w:t>
      </w:r>
      <w:r w:rsidRPr="00273805">
        <w:rPr>
          <w:rFonts w:asciiTheme="minorHAnsi" w:hAnsiTheme="minorHAnsi"/>
        </w:rPr>
        <w:t>; OR</w:t>
      </w:r>
      <w:r w:rsidRPr="00273805">
        <w:rPr>
          <w:rFonts w:asciiTheme="minorHAnsi" w:hAnsiTheme="minorHAnsi"/>
          <w:i/>
          <w:iCs/>
        </w:rPr>
        <w:t xml:space="preserve"> </w:t>
      </w:r>
      <w:r w:rsidR="00310440">
        <w:rPr>
          <w:rFonts w:asciiTheme="minorHAnsi" w:hAnsiTheme="minorHAnsi"/>
        </w:rPr>
        <w:t>if it’s an e</w:t>
      </w:r>
      <w:r w:rsidRPr="00273805">
        <w:rPr>
          <w:rFonts w:asciiTheme="minorHAnsi" w:hAnsiTheme="minorHAnsi"/>
        </w:rPr>
        <w:t xml:space="preserve">mail sent to RMC, use Correspondence - Miscellaneous : Email Correspondence </w:t>
      </w:r>
      <w:r w:rsidRPr="00273805">
        <w:rPr>
          <w:rFonts w:asciiTheme="minorHAnsi" w:hAnsiTheme="minorHAnsi"/>
          <w:i/>
          <w:iCs/>
        </w:rPr>
        <w:t>(you just have to type “email” &amp; it will pull this up)</w:t>
      </w:r>
    </w:p>
    <w:p w:rsidR="00B477E3" w:rsidRPr="00273805" w:rsidRDefault="00B477E3" w:rsidP="00F063AF">
      <w:pPr>
        <w:pStyle w:val="ListParagraph"/>
        <w:numPr>
          <w:ilvl w:val="0"/>
          <w:numId w:val="280"/>
        </w:numPr>
        <w:spacing w:after="120" w:line="240" w:lineRule="auto"/>
        <w:rPr>
          <w:rFonts w:asciiTheme="minorHAnsi" w:hAnsiTheme="minorHAnsi"/>
          <w:i/>
          <w:iCs/>
        </w:rPr>
      </w:pPr>
      <w:r w:rsidRPr="00273805">
        <w:rPr>
          <w:rFonts w:asciiTheme="minorHAnsi" w:hAnsiTheme="minorHAnsi"/>
          <w:b/>
          <w:bCs/>
        </w:rPr>
        <w:t xml:space="preserve">exam results </w:t>
      </w:r>
      <w:r w:rsidRPr="00273805">
        <w:rPr>
          <w:rFonts w:asciiTheme="minorHAnsi" w:hAnsiTheme="minorHAnsi"/>
        </w:rPr>
        <w:t>– use</w:t>
      </w:r>
      <w:r w:rsidRPr="00273805">
        <w:rPr>
          <w:rFonts w:asciiTheme="minorHAnsi" w:hAnsiTheme="minorHAnsi"/>
          <w:b/>
          <w:bCs/>
        </w:rPr>
        <w:t xml:space="preserve"> </w:t>
      </w:r>
      <w:r w:rsidRPr="00273805">
        <w:rPr>
          <w:rFonts w:asciiTheme="minorHAnsi" w:hAnsiTheme="minorHAnsi"/>
        </w:rPr>
        <w:t>Medical Records – C&amp;P Exam (or Medical Records – VA Examination)</w:t>
      </w:r>
    </w:p>
    <w:p w:rsidR="00B477E3" w:rsidRDefault="00B477E3" w:rsidP="00B477E3">
      <w:pPr>
        <w:widowControl w:val="0"/>
        <w:spacing w:after="120"/>
      </w:pPr>
    </w:p>
    <w:p w:rsidR="00B477E3" w:rsidRDefault="00B477E3" w:rsidP="00B477E3">
      <w:pPr>
        <w:widowControl w:val="0"/>
        <w:pBdr>
          <w:top w:val="single" w:sz="4" w:space="1" w:color="auto"/>
        </w:pBdr>
        <w:spacing w:after="120"/>
      </w:pPr>
    </w:p>
    <w:p w:rsidR="009A672A" w:rsidRPr="00D10240" w:rsidRDefault="009A672A" w:rsidP="009A672A">
      <w:pPr>
        <w:pBdr>
          <w:top w:val="double" w:sz="4" w:space="1" w:color="auto"/>
          <w:left w:val="double" w:sz="4" w:space="4" w:color="auto"/>
          <w:bottom w:val="double" w:sz="4" w:space="1" w:color="auto"/>
          <w:right w:val="double" w:sz="4" w:space="4" w:color="auto"/>
        </w:pBdr>
        <w:shd w:val="clear" w:color="auto" w:fill="FFC000"/>
        <w:rPr>
          <w:rFonts w:eastAsiaTheme="minorHAnsi"/>
        </w:rPr>
      </w:pPr>
      <w:r>
        <w:rPr>
          <w:rFonts w:eastAsiaTheme="minorHAnsi"/>
          <w:b/>
        </w:rPr>
        <w:t>Contention Classification Job Aid</w:t>
      </w:r>
      <w:r>
        <w:rPr>
          <w:rFonts w:eastAsiaTheme="minorHAnsi"/>
        </w:rPr>
        <w:t xml:space="preserve"> is</w:t>
      </w:r>
      <w:r w:rsidRPr="0036376C">
        <w:t xml:space="preserve"> saved at </w:t>
      </w:r>
      <w:r w:rsidRPr="001453C4">
        <w:rPr>
          <w:b/>
          <w:bCs/>
          <w:i/>
          <w:iCs/>
        </w:rPr>
        <w:t>H:\VSC\Rating Reference</w:t>
      </w:r>
    </w:p>
    <w:p w:rsidR="009A672A" w:rsidRDefault="009A672A" w:rsidP="00B477E3">
      <w:pPr>
        <w:widowControl w:val="0"/>
        <w:pBdr>
          <w:top w:val="single" w:sz="4" w:space="1" w:color="auto"/>
        </w:pBdr>
        <w:spacing w:after="120"/>
      </w:pPr>
    </w:p>
    <w:p w:rsidR="006C3B87" w:rsidRPr="006C3B87" w:rsidRDefault="006C3B87" w:rsidP="006C3B87">
      <w:r w:rsidRPr="006C3B87">
        <w:rPr>
          <w:b/>
          <w:bCs/>
        </w:rPr>
        <w:t>From:</w:t>
      </w:r>
      <w:r w:rsidRPr="006C3B87">
        <w:t xml:space="preserve"> VAVBASDC/RO/VSC </w:t>
      </w:r>
      <w:r w:rsidRPr="006C3B87">
        <w:br/>
      </w:r>
      <w:r w:rsidRPr="006C3B87">
        <w:rPr>
          <w:b/>
          <w:bCs/>
        </w:rPr>
        <w:t>Sent:</w:t>
      </w:r>
      <w:r w:rsidRPr="006C3B87">
        <w:t xml:space="preserve"> Thursday, July 21, 2016 4:31 PM</w:t>
      </w:r>
      <w:r w:rsidRPr="006C3B87">
        <w:br/>
      </w:r>
      <w:r w:rsidRPr="006C3B87">
        <w:rPr>
          <w:b/>
          <w:bCs/>
        </w:rPr>
        <w:t>Subject:</w:t>
      </w:r>
      <w:r w:rsidRPr="006C3B87">
        <w:t xml:space="preserve"> Quality Tip: Tabbing Evidence in VBMS</w:t>
      </w:r>
    </w:p>
    <w:p w:rsidR="006C3B87" w:rsidRPr="006C3B87" w:rsidRDefault="006C3B87" w:rsidP="006C3B87">
      <w:pPr>
        <w:rPr>
          <w:rFonts w:eastAsiaTheme="minorHAnsi"/>
        </w:rPr>
      </w:pPr>
    </w:p>
    <w:p w:rsidR="006C3B87" w:rsidRPr="006C3B87" w:rsidRDefault="006C3B87" w:rsidP="006C3B87">
      <w:r w:rsidRPr="006C3B87">
        <w:t>Good Afternoon VSC,</w:t>
      </w:r>
    </w:p>
    <w:p w:rsidR="006C3B87" w:rsidRPr="006C3B87" w:rsidRDefault="006C3B87" w:rsidP="006C3B87"/>
    <w:p w:rsidR="006C3B87" w:rsidRPr="006C3B87" w:rsidRDefault="006C3B87" w:rsidP="006C3B87">
      <w:pPr>
        <w:rPr>
          <w:color w:val="000000"/>
        </w:rPr>
      </w:pPr>
      <w:r w:rsidRPr="006C3B87">
        <w:rPr>
          <w:color w:val="000000"/>
        </w:rPr>
        <w:t>Attention:  VSRs, RVSRs, and DROs.</w:t>
      </w:r>
    </w:p>
    <w:p w:rsidR="006C3B87" w:rsidRPr="006C3B87" w:rsidRDefault="006C3B87" w:rsidP="006C3B87">
      <w:pPr>
        <w:rPr>
          <w:color w:val="000000"/>
        </w:rPr>
      </w:pPr>
    </w:p>
    <w:p w:rsidR="006C3B87" w:rsidRPr="006C3B87" w:rsidRDefault="006C3B87" w:rsidP="006C3B87">
      <w:pPr>
        <w:rPr>
          <w:color w:val="000000"/>
        </w:rPr>
      </w:pPr>
      <w:r w:rsidRPr="006C3B87">
        <w:rPr>
          <w:color w:val="000000"/>
        </w:rPr>
        <w:t>To aide in the expeditious processing of our Veterans’ claims, please be sure to annotate records, as needed.  Tabbing of pertinent evidence will allow for a streamlined review by all that review a claim, behind you.  Please read the information below on requirements of all personnel when processing electronic records.</w:t>
      </w:r>
    </w:p>
    <w:p w:rsidR="006C3B87" w:rsidRPr="006C3B87" w:rsidRDefault="006C3B87" w:rsidP="00F063AF">
      <w:pPr>
        <w:pStyle w:val="NormalWeb"/>
        <w:numPr>
          <w:ilvl w:val="0"/>
          <w:numId w:val="297"/>
        </w:numPr>
        <w:spacing w:before="100" w:beforeAutospacing="1" w:after="100" w:afterAutospacing="1"/>
        <w:rPr>
          <w:rStyle w:val="Strong"/>
          <w:sz w:val="20"/>
          <w:szCs w:val="20"/>
        </w:rPr>
      </w:pPr>
      <w:r w:rsidRPr="006C3B87">
        <w:rPr>
          <w:rStyle w:val="Strong"/>
          <w:sz w:val="20"/>
          <w:szCs w:val="20"/>
        </w:rPr>
        <w:t>Change date of  June 27, 2016 with regard to new mail, eFolder notes, bookmarking, and annotation of documents:</w:t>
      </w:r>
    </w:p>
    <w:p w:rsidR="006C3B87" w:rsidRPr="006C3B87" w:rsidRDefault="006C3B87" w:rsidP="006C3B87">
      <w:pPr>
        <w:pStyle w:val="NormalWeb"/>
        <w:rPr>
          <w:sz w:val="20"/>
          <w:szCs w:val="20"/>
        </w:rPr>
      </w:pPr>
      <w:r w:rsidRPr="006C3B87">
        <w:rPr>
          <w:rStyle w:val="Strong"/>
          <w:sz w:val="20"/>
          <w:szCs w:val="20"/>
        </w:rPr>
        <w:t>III.ii.4.G.2.a</w:t>
      </w:r>
      <w:bookmarkStart w:id="170" w:name="2a"/>
      <w:r w:rsidRPr="006C3B87">
        <w:rPr>
          <w:rStyle w:val="Strong"/>
          <w:color w:val="444444"/>
          <w:sz w:val="20"/>
          <w:szCs w:val="20"/>
        </w:rPr>
        <w:t>.</w:t>
      </w:r>
      <w:bookmarkEnd w:id="170"/>
      <w:r w:rsidRPr="006C3B87">
        <w:rPr>
          <w:rStyle w:val="Strong"/>
          <w:sz w:val="20"/>
          <w:szCs w:val="20"/>
        </w:rPr>
        <w:t xml:space="preserve"> VBMS New Mail Indicator - </w:t>
      </w:r>
      <w:r w:rsidRPr="006C3B87">
        <w:rPr>
          <w:sz w:val="20"/>
          <w:szCs w:val="20"/>
        </w:rPr>
        <w:t>When new evidence or correspondence is uploaded into a claimant’s eFolder, an icon representing a new envelope will appear in the NEW MAIL column of the work queue and eFolder.  This icon, hereafter referred to as the “new mail indicator</w:t>
      </w:r>
      <w:r w:rsidR="001946CC">
        <w:rPr>
          <w:sz w:val="20"/>
          <w:szCs w:val="20"/>
        </w:rPr>
        <w:t>,”</w:t>
      </w:r>
      <w:r w:rsidRPr="006C3B87">
        <w:rPr>
          <w:sz w:val="20"/>
          <w:szCs w:val="20"/>
        </w:rPr>
        <w:t xml:space="preserve"> must be cleared on all documents upon completion of initial development.  All subsequent new documents must be opened and reviewed for relevant information.  This action must be completed by any employee handling the eFolder.</w:t>
      </w:r>
    </w:p>
    <w:p w:rsidR="006C3B87" w:rsidRPr="006C3B87" w:rsidRDefault="006C3B87" w:rsidP="006C3B87">
      <w:r w:rsidRPr="006C3B87">
        <w:rPr>
          <w:rStyle w:val="Strong"/>
        </w:rPr>
        <w:t>III.ii.4.G.2.m</w:t>
      </w:r>
      <w:bookmarkStart w:id="171" w:name="2m"/>
      <w:r w:rsidRPr="006C3B87">
        <w:rPr>
          <w:rStyle w:val="Strong"/>
          <w:color w:val="444444"/>
        </w:rPr>
        <w:t>.</w:t>
      </w:r>
      <w:bookmarkEnd w:id="171"/>
      <w:r w:rsidRPr="006C3B87">
        <w:rPr>
          <w:rStyle w:val="Strong"/>
        </w:rPr>
        <w:t xml:space="preserve">  Associating an eFolder Note - </w:t>
      </w:r>
      <w:r w:rsidRPr="006C3B87">
        <w:t>To document information or recent actions taken on a claim, you can add a note from any screen in VBMS that displays the ADD NOTE icon.</w:t>
      </w:r>
    </w:p>
    <w:p w:rsidR="006C3B87" w:rsidRPr="006C3B87" w:rsidRDefault="006C3B87" w:rsidP="006C3B87">
      <w:r w:rsidRPr="006C3B87">
        <w:t>Associating a note to a Veteran or claim determines whether or not the note will be temporary or permanent.  A note associated to a</w:t>
      </w:r>
    </w:p>
    <w:p w:rsidR="006C3B87" w:rsidRPr="006C3B87" w:rsidRDefault="006C3B87" w:rsidP="00F063AF">
      <w:pPr>
        <w:pStyle w:val="ListParagraph"/>
        <w:numPr>
          <w:ilvl w:val="0"/>
          <w:numId w:val="298"/>
        </w:numPr>
        <w:spacing w:before="100" w:beforeAutospacing="1" w:after="100" w:afterAutospacing="1" w:line="240" w:lineRule="auto"/>
        <w:rPr>
          <w:rFonts w:ascii="Arial" w:hAnsi="Arial"/>
          <w:sz w:val="20"/>
          <w:szCs w:val="20"/>
        </w:rPr>
      </w:pPr>
      <w:r w:rsidRPr="006C3B87">
        <w:rPr>
          <w:rFonts w:ascii="Arial" w:hAnsi="Arial"/>
          <w:sz w:val="20"/>
          <w:szCs w:val="20"/>
        </w:rPr>
        <w:t>Veteran is always permanent, and</w:t>
      </w:r>
    </w:p>
    <w:p w:rsidR="006C3B87" w:rsidRPr="006C3B87" w:rsidRDefault="006C3B87" w:rsidP="00F063AF">
      <w:pPr>
        <w:pStyle w:val="ListParagraph"/>
        <w:numPr>
          <w:ilvl w:val="0"/>
          <w:numId w:val="298"/>
        </w:numPr>
        <w:spacing w:before="100" w:beforeAutospacing="1" w:after="100" w:afterAutospacing="1" w:line="240" w:lineRule="auto"/>
        <w:rPr>
          <w:rFonts w:ascii="Arial" w:hAnsi="Arial"/>
          <w:sz w:val="20"/>
          <w:szCs w:val="20"/>
        </w:rPr>
      </w:pPr>
      <w:r w:rsidRPr="006C3B87">
        <w:rPr>
          <w:rFonts w:ascii="Arial" w:hAnsi="Arial"/>
          <w:sz w:val="20"/>
          <w:szCs w:val="20"/>
        </w:rPr>
        <w:t>claim can be temporary or permanent.</w:t>
      </w:r>
    </w:p>
    <w:p w:rsidR="006C3B87" w:rsidRPr="006C3B87" w:rsidRDefault="006C3B87" w:rsidP="006C3B87">
      <w:r w:rsidRPr="006C3B87">
        <w:t>Notes can be added and viewed through both VBMS and MAP-D to document information or recent actions taken on a claim.  Notes should reflect actions that are not captured by a tracked item or development letter.</w:t>
      </w:r>
    </w:p>
    <w:p w:rsidR="006C3B87" w:rsidRPr="006C3B87" w:rsidRDefault="006C3B87" w:rsidP="006C3B87">
      <w:r w:rsidRPr="006C3B87">
        <w:t> </w:t>
      </w:r>
    </w:p>
    <w:p w:rsidR="006C3B87" w:rsidRPr="006C3B87" w:rsidRDefault="006C3B87" w:rsidP="006C3B87">
      <w:r w:rsidRPr="006C3B87">
        <w:rPr>
          <w:b/>
          <w:bCs/>
          <w:i/>
          <w:iCs/>
        </w:rPr>
        <w:t>Examples</w:t>
      </w:r>
      <w:r w:rsidRPr="006C3B87">
        <w:t>:  Notes can be used to document</w:t>
      </w:r>
    </w:p>
    <w:p w:rsidR="006C3B87" w:rsidRPr="006C3B87" w:rsidRDefault="006C3B87" w:rsidP="00F063AF">
      <w:pPr>
        <w:numPr>
          <w:ilvl w:val="0"/>
          <w:numId w:val="299"/>
        </w:numPr>
        <w:overflowPunct/>
        <w:autoSpaceDE/>
        <w:autoSpaceDN/>
        <w:adjustRightInd/>
        <w:spacing w:before="100" w:beforeAutospacing="1" w:after="100" w:afterAutospacing="1"/>
        <w:textAlignment w:val="auto"/>
      </w:pPr>
      <w:r w:rsidRPr="006C3B87">
        <w:t>unsuccessful attempts to contact the Veteran</w:t>
      </w:r>
    </w:p>
    <w:p w:rsidR="006C3B87" w:rsidRPr="006C3B87" w:rsidRDefault="006C3B87" w:rsidP="00F063AF">
      <w:pPr>
        <w:numPr>
          <w:ilvl w:val="0"/>
          <w:numId w:val="299"/>
        </w:numPr>
        <w:overflowPunct/>
        <w:autoSpaceDE/>
        <w:autoSpaceDN/>
        <w:adjustRightInd/>
        <w:spacing w:before="100" w:beforeAutospacing="1" w:after="100" w:afterAutospacing="1"/>
        <w:textAlignment w:val="auto"/>
      </w:pPr>
      <w:r w:rsidRPr="006C3B87">
        <w:t>the reason for postponement of a routine future exam</w:t>
      </w:r>
    </w:p>
    <w:p w:rsidR="006C3B87" w:rsidRPr="006C3B87" w:rsidRDefault="006C3B87" w:rsidP="00F063AF">
      <w:pPr>
        <w:numPr>
          <w:ilvl w:val="0"/>
          <w:numId w:val="299"/>
        </w:numPr>
        <w:overflowPunct/>
        <w:autoSpaceDE/>
        <w:autoSpaceDN/>
        <w:adjustRightInd/>
        <w:spacing w:before="100" w:beforeAutospacing="1" w:after="100" w:afterAutospacing="1"/>
        <w:textAlignment w:val="auto"/>
      </w:pPr>
      <w:r w:rsidRPr="006C3B87">
        <w:t>an explanation for establishing an EP 930, or</w:t>
      </w:r>
    </w:p>
    <w:p w:rsidR="006C3B87" w:rsidRPr="006C3B87" w:rsidRDefault="006C3B87" w:rsidP="00F063AF">
      <w:pPr>
        <w:numPr>
          <w:ilvl w:val="0"/>
          <w:numId w:val="299"/>
        </w:numPr>
        <w:overflowPunct/>
        <w:autoSpaceDE/>
        <w:autoSpaceDN/>
        <w:adjustRightInd/>
        <w:spacing w:before="100" w:beforeAutospacing="1" w:after="100" w:afterAutospacing="1"/>
        <w:textAlignment w:val="auto"/>
      </w:pPr>
      <w:r w:rsidRPr="006C3B87">
        <w:t>the rationale for changing the date of claim (DOC) of an EP.</w:t>
      </w:r>
    </w:p>
    <w:p w:rsidR="006C3B87" w:rsidRPr="006C3B87" w:rsidRDefault="006C3B87" w:rsidP="006C3B87">
      <w:pPr>
        <w:rPr>
          <w:rFonts w:eastAsiaTheme="minorHAnsi"/>
        </w:rPr>
      </w:pPr>
      <w:r w:rsidRPr="006C3B87">
        <w:rPr>
          <w:rStyle w:val="Strong"/>
        </w:rPr>
        <w:t>III.ii.4.G.2.n</w:t>
      </w:r>
      <w:bookmarkStart w:id="172" w:name="2n"/>
      <w:r w:rsidRPr="006C3B87">
        <w:rPr>
          <w:rStyle w:val="Strong"/>
          <w:color w:val="444444"/>
        </w:rPr>
        <w:t>.</w:t>
      </w:r>
      <w:bookmarkEnd w:id="172"/>
      <w:r w:rsidRPr="006C3B87">
        <w:rPr>
          <w:rStyle w:val="Strong"/>
        </w:rPr>
        <w:t xml:space="preserve">  Bookmarking an eFolder Document - </w:t>
      </w:r>
      <w:r w:rsidRPr="006C3B87">
        <w:t>To identify any relevant evidence and add additional information as need, a predefined bookmark may be added to any document on the DOCUMENTS screen.</w:t>
      </w:r>
    </w:p>
    <w:p w:rsidR="006C3B87" w:rsidRPr="006C3B87" w:rsidRDefault="006C3B87" w:rsidP="006C3B87">
      <w:r w:rsidRPr="006C3B87">
        <w:t>The available bookmark icons are</w:t>
      </w:r>
    </w:p>
    <w:p w:rsidR="006C3B87" w:rsidRPr="006C3B87" w:rsidRDefault="006C3B87" w:rsidP="00F063AF">
      <w:pPr>
        <w:numPr>
          <w:ilvl w:val="0"/>
          <w:numId w:val="300"/>
        </w:numPr>
        <w:overflowPunct/>
        <w:autoSpaceDE/>
        <w:autoSpaceDN/>
        <w:adjustRightInd/>
        <w:spacing w:before="100" w:beforeAutospacing="1" w:after="100" w:afterAutospacing="1"/>
        <w:textAlignment w:val="auto"/>
      </w:pPr>
      <w:r w:rsidRPr="006C3B87">
        <w:t>Medical</w:t>
      </w:r>
    </w:p>
    <w:p w:rsidR="006C3B87" w:rsidRPr="006C3B87" w:rsidRDefault="006C3B87" w:rsidP="00F063AF">
      <w:pPr>
        <w:numPr>
          <w:ilvl w:val="0"/>
          <w:numId w:val="300"/>
        </w:numPr>
        <w:overflowPunct/>
        <w:autoSpaceDE/>
        <w:autoSpaceDN/>
        <w:adjustRightInd/>
        <w:spacing w:before="100" w:beforeAutospacing="1" w:after="100" w:afterAutospacing="1"/>
        <w:textAlignment w:val="auto"/>
      </w:pPr>
      <w:r w:rsidRPr="006C3B87">
        <w:t>Appeals</w:t>
      </w:r>
    </w:p>
    <w:p w:rsidR="006C3B87" w:rsidRPr="006C3B87" w:rsidRDefault="006C3B87" w:rsidP="00F063AF">
      <w:pPr>
        <w:numPr>
          <w:ilvl w:val="0"/>
          <w:numId w:val="300"/>
        </w:numPr>
        <w:overflowPunct/>
        <w:autoSpaceDE/>
        <w:autoSpaceDN/>
        <w:adjustRightInd/>
        <w:spacing w:before="100" w:beforeAutospacing="1" w:after="100" w:afterAutospacing="1"/>
        <w:textAlignment w:val="auto"/>
      </w:pPr>
      <w:r w:rsidRPr="006C3B87">
        <w:t>Peer review</w:t>
      </w:r>
    </w:p>
    <w:p w:rsidR="006C3B87" w:rsidRPr="006C3B87" w:rsidRDefault="006C3B87" w:rsidP="00F063AF">
      <w:pPr>
        <w:numPr>
          <w:ilvl w:val="0"/>
          <w:numId w:val="300"/>
        </w:numPr>
        <w:overflowPunct/>
        <w:autoSpaceDE/>
        <w:autoSpaceDN/>
        <w:adjustRightInd/>
        <w:spacing w:before="100" w:beforeAutospacing="1" w:after="100" w:afterAutospacing="1"/>
        <w:textAlignment w:val="auto"/>
      </w:pPr>
      <w:r w:rsidRPr="006C3B87">
        <w:t>Working notes</w:t>
      </w:r>
    </w:p>
    <w:p w:rsidR="006C3B87" w:rsidRPr="006C3B87" w:rsidRDefault="006C3B87" w:rsidP="00F063AF">
      <w:pPr>
        <w:numPr>
          <w:ilvl w:val="0"/>
          <w:numId w:val="300"/>
        </w:numPr>
        <w:overflowPunct/>
        <w:autoSpaceDE/>
        <w:autoSpaceDN/>
        <w:adjustRightInd/>
        <w:spacing w:before="100" w:beforeAutospacing="1" w:after="100" w:afterAutospacing="1"/>
        <w:textAlignment w:val="auto"/>
      </w:pPr>
      <w:r w:rsidRPr="006C3B87">
        <w:t>Deferrals, and</w:t>
      </w:r>
    </w:p>
    <w:p w:rsidR="006C3B87" w:rsidRPr="006C3B87" w:rsidRDefault="006C3B87" w:rsidP="00F063AF">
      <w:pPr>
        <w:numPr>
          <w:ilvl w:val="0"/>
          <w:numId w:val="300"/>
        </w:numPr>
        <w:overflowPunct/>
        <w:autoSpaceDE/>
        <w:autoSpaceDN/>
        <w:adjustRightInd/>
        <w:spacing w:before="100" w:beforeAutospacing="1" w:after="100" w:afterAutospacing="1"/>
        <w:textAlignment w:val="auto"/>
      </w:pPr>
      <w:r w:rsidRPr="006C3B87">
        <w:t>Dependency.</w:t>
      </w:r>
    </w:p>
    <w:p w:rsidR="006C3B87" w:rsidRPr="006C3B87" w:rsidRDefault="006C3B87" w:rsidP="006C3B87">
      <w:pPr>
        <w:rPr>
          <w:rFonts w:eastAsiaTheme="minorHAnsi"/>
          <w:color w:val="000000"/>
        </w:rPr>
      </w:pPr>
      <w:r w:rsidRPr="006C3B87">
        <w:rPr>
          <w:rStyle w:val="Strong"/>
        </w:rPr>
        <w:t>III.ii.4.G.2.o</w:t>
      </w:r>
      <w:bookmarkStart w:id="173" w:name="2o"/>
      <w:r w:rsidRPr="006C3B87">
        <w:rPr>
          <w:rStyle w:val="Strong"/>
          <w:color w:val="444444"/>
        </w:rPr>
        <w:t>.</w:t>
      </w:r>
      <w:bookmarkEnd w:id="173"/>
      <w:r w:rsidRPr="006C3B87">
        <w:rPr>
          <w:rStyle w:val="Strong"/>
        </w:rPr>
        <w:t xml:space="preserve">  Annotating a Document in VBMS - </w:t>
      </w:r>
      <w:r w:rsidRPr="006C3B87">
        <w:t>Annotations are useful electronic notations that can be added to a document to supply additional information or notes to other VBMS users.  Annotations generally contain information related to a claimant and highlight the details that are related to a document within the eFolder.</w:t>
      </w:r>
    </w:p>
    <w:p w:rsidR="006C3B87" w:rsidRPr="006C3B87" w:rsidRDefault="006C3B87" w:rsidP="006C3B87">
      <w:pPr>
        <w:rPr>
          <w:color w:val="000000"/>
        </w:rPr>
      </w:pPr>
    </w:p>
    <w:p w:rsidR="006C3B87" w:rsidRPr="006C3B87" w:rsidRDefault="006C3B87" w:rsidP="006C3B87">
      <w:pPr>
        <w:rPr>
          <w:color w:val="000000"/>
        </w:rPr>
      </w:pPr>
    </w:p>
    <w:p w:rsidR="006C3B87" w:rsidRPr="006C3B87" w:rsidRDefault="006C3B87" w:rsidP="00F063AF">
      <w:pPr>
        <w:pStyle w:val="ListParagraph"/>
        <w:numPr>
          <w:ilvl w:val="0"/>
          <w:numId w:val="297"/>
        </w:numPr>
        <w:spacing w:after="0" w:line="240" w:lineRule="auto"/>
        <w:rPr>
          <w:rFonts w:ascii="Arial" w:hAnsi="Arial"/>
          <w:b/>
          <w:bCs/>
          <w:color w:val="000000"/>
          <w:sz w:val="20"/>
          <w:szCs w:val="20"/>
        </w:rPr>
      </w:pPr>
      <w:r w:rsidRPr="006C3B87">
        <w:rPr>
          <w:rFonts w:ascii="Arial" w:hAnsi="Arial"/>
          <w:b/>
          <w:bCs/>
          <w:color w:val="000000"/>
          <w:sz w:val="20"/>
          <w:szCs w:val="20"/>
        </w:rPr>
        <w:t>eFolder Maintenance:</w:t>
      </w:r>
    </w:p>
    <w:p w:rsidR="006C3B87" w:rsidRPr="006C3B87" w:rsidRDefault="006C3B87" w:rsidP="006C3B87">
      <w:pPr>
        <w:rPr>
          <w:color w:val="000000"/>
        </w:rPr>
      </w:pPr>
    </w:p>
    <w:tbl>
      <w:tblPr>
        <w:tblW w:w="0" w:type="auto"/>
        <w:tblCellMar>
          <w:left w:w="0" w:type="dxa"/>
          <w:right w:w="0" w:type="dxa"/>
        </w:tblCellMar>
        <w:tblLook w:val="04A0" w:firstRow="1" w:lastRow="0" w:firstColumn="1" w:lastColumn="0" w:noHBand="0" w:noVBand="1"/>
      </w:tblPr>
      <w:tblGrid>
        <w:gridCol w:w="2070"/>
        <w:gridCol w:w="225"/>
        <w:gridCol w:w="7740"/>
      </w:tblGrid>
      <w:tr w:rsidR="006C3B87" w:rsidRPr="006C3B87" w:rsidTr="006C3B87">
        <w:trPr>
          <w:trHeight w:val="120"/>
        </w:trPr>
        <w:tc>
          <w:tcPr>
            <w:tcW w:w="2070" w:type="dxa"/>
            <w:hideMark/>
          </w:tcPr>
          <w:p w:rsidR="006C3B87" w:rsidRPr="006C3B87" w:rsidRDefault="006C3B87">
            <w:pPr>
              <w:pStyle w:val="NormalWeb"/>
              <w:rPr>
                <w:sz w:val="20"/>
                <w:szCs w:val="20"/>
              </w:rPr>
            </w:pPr>
            <w:r w:rsidRPr="006C3B87">
              <w:rPr>
                <w:rStyle w:val="Strong"/>
                <w:sz w:val="20"/>
                <w:szCs w:val="20"/>
              </w:rPr>
              <w:t>III.iii.1.D.1.a.  Routine Review of eFolder Documents</w:t>
            </w:r>
          </w:p>
        </w:tc>
        <w:tc>
          <w:tcPr>
            <w:tcW w:w="225" w:type="dxa"/>
            <w:vAlign w:val="bottom"/>
            <w:hideMark/>
          </w:tcPr>
          <w:p w:rsidR="006C3B87" w:rsidRPr="006C3B87" w:rsidRDefault="006C3B87">
            <w:pPr>
              <w:pStyle w:val="NormalWeb"/>
              <w:spacing w:line="120" w:lineRule="atLeast"/>
              <w:rPr>
                <w:sz w:val="20"/>
                <w:szCs w:val="20"/>
              </w:rPr>
            </w:pPr>
            <w:r w:rsidRPr="006C3B87">
              <w:rPr>
                <w:sz w:val="20"/>
                <w:szCs w:val="20"/>
              </w:rPr>
              <w:t> </w:t>
            </w:r>
          </w:p>
        </w:tc>
        <w:tc>
          <w:tcPr>
            <w:tcW w:w="7740" w:type="dxa"/>
            <w:vAlign w:val="bottom"/>
            <w:hideMark/>
          </w:tcPr>
          <w:p w:rsidR="006C3B87" w:rsidRPr="006C3B87" w:rsidRDefault="006C3B87">
            <w:pPr>
              <w:pStyle w:val="NormalWeb"/>
              <w:rPr>
                <w:rFonts w:eastAsiaTheme="minorHAnsi"/>
                <w:sz w:val="20"/>
                <w:szCs w:val="20"/>
              </w:rPr>
            </w:pPr>
            <w:r w:rsidRPr="006C3B87">
              <w:rPr>
                <w:sz w:val="20"/>
                <w:szCs w:val="20"/>
              </w:rPr>
              <w:t xml:space="preserve">During routine review of the electronic claims folder (eFolder) </w:t>
            </w:r>
            <w:r w:rsidRPr="006C3B87">
              <w:rPr>
                <w:rStyle w:val="Emphasis"/>
                <w:sz w:val="20"/>
                <w:szCs w:val="20"/>
              </w:rPr>
              <w:t>all</w:t>
            </w:r>
            <w:r w:rsidRPr="006C3B87">
              <w:rPr>
                <w:sz w:val="20"/>
                <w:szCs w:val="20"/>
              </w:rPr>
              <w:t xml:space="preserve"> claims processors </w:t>
            </w:r>
            <w:r w:rsidRPr="006C3B87">
              <w:rPr>
                <w:rStyle w:val="Emphasis"/>
                <w:sz w:val="20"/>
                <w:szCs w:val="20"/>
              </w:rPr>
              <w:t>must</w:t>
            </w:r>
            <w:r w:rsidRPr="006C3B87">
              <w:rPr>
                <w:sz w:val="20"/>
                <w:szCs w:val="20"/>
              </w:rPr>
              <w:t xml:space="preserve"> conduct eFolder maintenance to ensure</w:t>
            </w:r>
          </w:p>
          <w:p w:rsidR="006C3B87" w:rsidRPr="006C3B87" w:rsidRDefault="006C3B87" w:rsidP="00F063AF">
            <w:pPr>
              <w:numPr>
                <w:ilvl w:val="0"/>
                <w:numId w:val="301"/>
              </w:numPr>
              <w:overflowPunct/>
              <w:autoSpaceDE/>
              <w:autoSpaceDN/>
              <w:adjustRightInd/>
              <w:spacing w:before="100" w:beforeAutospacing="1" w:after="100" w:afterAutospacing="1"/>
              <w:textAlignment w:val="auto"/>
            </w:pPr>
            <w:r w:rsidRPr="006C3B87">
              <w:t xml:space="preserve">end product (EP) controls are consistent with claims document, including use of a correct </w:t>
            </w:r>
          </w:p>
          <w:p w:rsidR="006C3B87" w:rsidRPr="006C3B87" w:rsidRDefault="006C3B87" w:rsidP="00F063AF">
            <w:pPr>
              <w:numPr>
                <w:ilvl w:val="1"/>
                <w:numId w:val="301"/>
              </w:numPr>
              <w:overflowPunct/>
              <w:autoSpaceDE/>
              <w:autoSpaceDN/>
              <w:adjustRightInd/>
              <w:spacing w:before="100" w:beforeAutospacing="1" w:after="100" w:afterAutospacing="1"/>
              <w:textAlignment w:val="auto"/>
            </w:pPr>
            <w:r w:rsidRPr="006C3B87">
              <w:t xml:space="preserve">date of claim </w:t>
            </w:r>
          </w:p>
          <w:p w:rsidR="006C3B87" w:rsidRPr="006C3B87" w:rsidRDefault="006C3B87" w:rsidP="00F063AF">
            <w:pPr>
              <w:numPr>
                <w:ilvl w:val="1"/>
                <w:numId w:val="301"/>
              </w:numPr>
              <w:overflowPunct/>
              <w:autoSpaceDE/>
              <w:autoSpaceDN/>
              <w:adjustRightInd/>
              <w:spacing w:before="100" w:beforeAutospacing="1" w:after="100" w:afterAutospacing="1"/>
              <w:textAlignment w:val="auto"/>
            </w:pPr>
            <w:r w:rsidRPr="006C3B87">
              <w:t xml:space="preserve">EP series, and </w:t>
            </w:r>
          </w:p>
          <w:p w:rsidR="006C3B87" w:rsidRPr="006C3B87" w:rsidRDefault="006C3B87" w:rsidP="00F063AF">
            <w:pPr>
              <w:numPr>
                <w:ilvl w:val="1"/>
                <w:numId w:val="301"/>
              </w:numPr>
              <w:overflowPunct/>
              <w:autoSpaceDE/>
              <w:autoSpaceDN/>
              <w:adjustRightInd/>
              <w:spacing w:before="100" w:beforeAutospacing="1" w:after="100" w:afterAutospacing="1"/>
              <w:textAlignment w:val="auto"/>
            </w:pPr>
            <w:r w:rsidRPr="006C3B87">
              <w:t>claim label</w:t>
            </w:r>
          </w:p>
          <w:p w:rsidR="006C3B87" w:rsidRPr="006C3B87" w:rsidRDefault="006C3B87" w:rsidP="00F063AF">
            <w:pPr>
              <w:numPr>
                <w:ilvl w:val="0"/>
                <w:numId w:val="301"/>
              </w:numPr>
              <w:overflowPunct/>
              <w:autoSpaceDE/>
              <w:autoSpaceDN/>
              <w:adjustRightInd/>
              <w:spacing w:before="100" w:beforeAutospacing="1" w:after="100" w:afterAutospacing="1"/>
              <w:textAlignment w:val="auto"/>
            </w:pPr>
            <w:r w:rsidRPr="006C3B87">
              <w:t xml:space="preserve">information regarding the Veteran’s service dates and character of discharge in VA systems are consistent with the evidence in the eFolder, including </w:t>
            </w:r>
          </w:p>
          <w:p w:rsidR="006C3B87" w:rsidRPr="006C3B87" w:rsidRDefault="006C3B87" w:rsidP="00F063AF">
            <w:pPr>
              <w:numPr>
                <w:ilvl w:val="1"/>
                <w:numId w:val="301"/>
              </w:numPr>
              <w:overflowPunct/>
              <w:autoSpaceDE/>
              <w:autoSpaceDN/>
              <w:adjustRightInd/>
              <w:spacing w:before="100" w:beforeAutospacing="1" w:after="100" w:afterAutospacing="1"/>
              <w:textAlignment w:val="auto"/>
            </w:pPr>
            <w:r w:rsidRPr="006C3B87">
              <w:t xml:space="preserve">the Veterans Benefits Management System (VBMS) </w:t>
            </w:r>
          </w:p>
          <w:p w:rsidR="006C3B87" w:rsidRPr="006C3B87" w:rsidRDefault="006C3B87" w:rsidP="00F063AF">
            <w:pPr>
              <w:numPr>
                <w:ilvl w:val="1"/>
                <w:numId w:val="301"/>
              </w:numPr>
              <w:overflowPunct/>
              <w:autoSpaceDE/>
              <w:autoSpaceDN/>
              <w:adjustRightInd/>
              <w:spacing w:before="100" w:beforeAutospacing="1" w:after="100" w:afterAutospacing="1"/>
              <w:textAlignment w:val="auto"/>
            </w:pPr>
            <w:r w:rsidRPr="006C3B87">
              <w:t xml:space="preserve">Benefits Identification and Records Locator Subsystem (BIRLS), and </w:t>
            </w:r>
          </w:p>
          <w:p w:rsidR="006C3B87" w:rsidRPr="006C3B87" w:rsidRDefault="006C3B87" w:rsidP="00F063AF">
            <w:pPr>
              <w:numPr>
                <w:ilvl w:val="1"/>
                <w:numId w:val="301"/>
              </w:numPr>
              <w:overflowPunct/>
              <w:autoSpaceDE/>
              <w:autoSpaceDN/>
              <w:adjustRightInd/>
              <w:spacing w:before="100" w:beforeAutospacing="1" w:after="100" w:afterAutospacing="1"/>
              <w:textAlignment w:val="auto"/>
            </w:pPr>
            <w:r w:rsidRPr="006C3B87">
              <w:t>Participant Profile</w:t>
            </w:r>
          </w:p>
          <w:p w:rsidR="006C3B87" w:rsidRPr="006C3B87" w:rsidRDefault="006C3B87" w:rsidP="00F063AF">
            <w:pPr>
              <w:numPr>
                <w:ilvl w:val="0"/>
                <w:numId w:val="301"/>
              </w:numPr>
              <w:overflowPunct/>
              <w:autoSpaceDE/>
              <w:autoSpaceDN/>
              <w:adjustRightInd/>
              <w:spacing w:before="100" w:beforeAutospacing="1" w:after="100" w:afterAutospacing="1"/>
              <w:textAlignment w:val="auto"/>
            </w:pPr>
            <w:r w:rsidRPr="006C3B87">
              <w:t xml:space="preserve">the claims folder contains proper documentation of claimant representation, including system updates of </w:t>
            </w:r>
          </w:p>
          <w:p w:rsidR="006C3B87" w:rsidRPr="006C3B87" w:rsidRDefault="006C3B87" w:rsidP="00F063AF">
            <w:pPr>
              <w:numPr>
                <w:ilvl w:val="1"/>
                <w:numId w:val="301"/>
              </w:numPr>
              <w:overflowPunct/>
              <w:autoSpaceDE/>
              <w:autoSpaceDN/>
              <w:adjustRightInd/>
              <w:spacing w:before="100" w:beforeAutospacing="1" w:after="100" w:afterAutospacing="1"/>
              <w:textAlignment w:val="auto"/>
            </w:pPr>
            <w:r w:rsidRPr="006C3B87">
              <w:t xml:space="preserve">Share, and </w:t>
            </w:r>
          </w:p>
          <w:p w:rsidR="006C3B87" w:rsidRPr="006C3B87" w:rsidRDefault="006C3B87" w:rsidP="00F063AF">
            <w:pPr>
              <w:numPr>
                <w:ilvl w:val="1"/>
                <w:numId w:val="301"/>
              </w:numPr>
              <w:overflowPunct/>
              <w:autoSpaceDE/>
              <w:autoSpaceDN/>
              <w:adjustRightInd/>
              <w:spacing w:before="100" w:beforeAutospacing="1" w:after="100" w:afterAutospacing="1"/>
              <w:textAlignment w:val="auto"/>
            </w:pPr>
            <w:r w:rsidRPr="006C3B87">
              <w:t>VBMS</w:t>
            </w:r>
          </w:p>
          <w:p w:rsidR="006C3B87" w:rsidRPr="006C3B87" w:rsidRDefault="006C3B87" w:rsidP="00F063AF">
            <w:pPr>
              <w:numPr>
                <w:ilvl w:val="0"/>
                <w:numId w:val="301"/>
              </w:numPr>
              <w:overflowPunct/>
              <w:autoSpaceDE/>
              <w:autoSpaceDN/>
              <w:adjustRightInd/>
              <w:spacing w:before="100" w:beforeAutospacing="1" w:after="100" w:afterAutospacing="1"/>
              <w:textAlignment w:val="auto"/>
            </w:pPr>
            <w:r w:rsidRPr="006C3B87">
              <w:t xml:space="preserve">any documents identified as duplicate upon review are managed in accordance with </w:t>
            </w:r>
            <w:hyperlink r:id="rId717" w:anchor="!agent/portal/554400000001034/article/554400000014132/M21-1, Part III, Subpart ii, Chapter 4, Section G - Folder Maintenance" w:history="1">
              <w:r w:rsidRPr="006C3B87">
                <w:rPr>
                  <w:rStyle w:val="Hyperlink"/>
                </w:rPr>
                <w:t>M21-1, Part III, Subpart ii, 4.G.2.q</w:t>
              </w:r>
            </w:hyperlink>
            <w:r w:rsidRPr="006C3B87">
              <w:t xml:space="preserve"> </w:t>
            </w:r>
          </w:p>
          <w:p w:rsidR="006C3B87" w:rsidRPr="006C3B87" w:rsidRDefault="006C3B87" w:rsidP="00F063AF">
            <w:pPr>
              <w:numPr>
                <w:ilvl w:val="0"/>
                <w:numId w:val="301"/>
              </w:numPr>
              <w:overflowPunct/>
              <w:autoSpaceDE/>
              <w:autoSpaceDN/>
              <w:adjustRightInd/>
              <w:spacing w:before="100" w:beforeAutospacing="1" w:after="100" w:afterAutospacing="1"/>
              <w:textAlignment w:val="auto"/>
            </w:pPr>
            <w:r w:rsidRPr="006C3B87">
              <w:t xml:space="preserve">any documents reviewed are indexed properly in accordance with </w:t>
            </w:r>
            <w:hyperlink r:id="rId718" w:anchor="!agent/portal/554400000001034/article/554400000014132/M21-1, Part III, Subpart ii, Chapter 4, Section G - Folder Maintenance" w:history="1">
              <w:r w:rsidRPr="006C3B87">
                <w:rPr>
                  <w:rStyle w:val="Hyperlink"/>
                </w:rPr>
                <w:t xml:space="preserve">M21-1, Part III, Subpart ii, 4.G.2.r </w:t>
              </w:r>
            </w:hyperlink>
          </w:p>
          <w:p w:rsidR="006C3B87" w:rsidRPr="006C3B87" w:rsidRDefault="006C3B87" w:rsidP="00F063AF">
            <w:pPr>
              <w:numPr>
                <w:ilvl w:val="0"/>
                <w:numId w:val="301"/>
              </w:numPr>
              <w:overflowPunct/>
              <w:autoSpaceDE/>
              <w:autoSpaceDN/>
              <w:adjustRightInd/>
              <w:spacing w:before="100" w:beforeAutospacing="1" w:after="100" w:afterAutospacing="1"/>
              <w:textAlignment w:val="auto"/>
            </w:pPr>
            <w:r w:rsidRPr="006C3B87">
              <w:t xml:space="preserve">any misfiled document(s) are removed and transferred to the proper claims folder(s) following the procedures outline in </w:t>
            </w:r>
            <w:hyperlink r:id="rId719" w:anchor="!agent/portal/554400000001034/article/554400000014132/M21-1, Part III, Subpart ii, Chapter 4, Section G - Folder Maintenance" w:history="1">
              <w:r w:rsidRPr="006C3B87">
                <w:rPr>
                  <w:rStyle w:val="Hyperlink"/>
                </w:rPr>
                <w:t>M21-1, Part III, Subpart ii, 4.G.2.c</w:t>
              </w:r>
            </w:hyperlink>
            <w:r w:rsidRPr="006C3B87">
              <w:t xml:space="preserve">, and </w:t>
            </w:r>
          </w:p>
          <w:p w:rsidR="006C3B87" w:rsidRPr="006C3B87" w:rsidRDefault="006C3B87" w:rsidP="00F063AF">
            <w:pPr>
              <w:numPr>
                <w:ilvl w:val="0"/>
                <w:numId w:val="301"/>
              </w:numPr>
              <w:overflowPunct/>
              <w:autoSpaceDE/>
              <w:autoSpaceDN/>
              <w:adjustRightInd/>
              <w:spacing w:before="100" w:beforeAutospacing="1" w:after="100" w:afterAutospacing="1"/>
              <w:textAlignment w:val="auto"/>
              <w:rPr>
                <w:b/>
                <w:bCs/>
                <w:highlight w:val="yellow"/>
              </w:rPr>
            </w:pPr>
            <w:r w:rsidRPr="006C3B87">
              <w:rPr>
                <w:b/>
                <w:bCs/>
                <w:highlight w:val="yellow"/>
              </w:rPr>
              <w:t xml:space="preserve">all pertinent evidence is properly noted, bookmarked, and/or annotated following the respective guidance found in </w:t>
            </w:r>
          </w:p>
          <w:p w:rsidR="006C3B87" w:rsidRPr="006C3B87" w:rsidRDefault="00D571C5" w:rsidP="00F063AF">
            <w:pPr>
              <w:numPr>
                <w:ilvl w:val="1"/>
                <w:numId w:val="301"/>
              </w:numPr>
              <w:overflowPunct/>
              <w:autoSpaceDE/>
              <w:autoSpaceDN/>
              <w:adjustRightInd/>
              <w:spacing w:before="100" w:beforeAutospacing="1" w:after="100" w:afterAutospacing="1"/>
              <w:textAlignment w:val="auto"/>
            </w:pPr>
            <w:hyperlink r:id="rId720" w:anchor="!agent/portal/554400000001034/article/554400000014132/M21-1, Part III, Subpart ii, Chapter 4, Section G - Folder Maintenance" w:history="1">
              <w:r w:rsidR="006C3B87" w:rsidRPr="006C3B87">
                <w:rPr>
                  <w:rStyle w:val="Hyperlink"/>
                </w:rPr>
                <w:t xml:space="preserve">M21-1, Part III, Subpart ii, 4.G.2.s </w:t>
              </w:r>
            </w:hyperlink>
          </w:p>
          <w:p w:rsidR="006C3B87" w:rsidRPr="006C3B87" w:rsidRDefault="00D571C5" w:rsidP="00F063AF">
            <w:pPr>
              <w:numPr>
                <w:ilvl w:val="1"/>
                <w:numId w:val="301"/>
              </w:numPr>
              <w:overflowPunct/>
              <w:autoSpaceDE/>
              <w:autoSpaceDN/>
              <w:adjustRightInd/>
              <w:spacing w:before="100" w:beforeAutospacing="1" w:after="100" w:afterAutospacing="1"/>
              <w:textAlignment w:val="auto"/>
            </w:pPr>
            <w:hyperlink r:id="rId721" w:anchor="!agent/portal/554400000001034/article/554400000014132/M21-1, Part III, Subpart ii, Chapter 4, Section G - Folder Maintenance" w:history="1">
              <w:r w:rsidR="006C3B87" w:rsidRPr="006C3B87">
                <w:rPr>
                  <w:rStyle w:val="Hyperlink"/>
                </w:rPr>
                <w:t>M21-1, Part III, Subpart ii, 4.G.2.n</w:t>
              </w:r>
            </w:hyperlink>
            <w:r w:rsidR="006C3B87" w:rsidRPr="006C3B87">
              <w:t xml:space="preserve">, and </w:t>
            </w:r>
          </w:p>
          <w:p w:rsidR="006C3B87" w:rsidRPr="006C3B87" w:rsidRDefault="00D571C5" w:rsidP="00F063AF">
            <w:pPr>
              <w:numPr>
                <w:ilvl w:val="1"/>
                <w:numId w:val="301"/>
              </w:numPr>
              <w:overflowPunct/>
              <w:autoSpaceDE/>
              <w:autoSpaceDN/>
              <w:adjustRightInd/>
              <w:spacing w:before="100" w:beforeAutospacing="1" w:after="100" w:afterAutospacing="1"/>
              <w:textAlignment w:val="auto"/>
            </w:pPr>
            <w:hyperlink r:id="rId722" w:anchor="!agent/portal/554400000001034/article/554400000014132/M21-1, Part III, Subpart ii, Chapter 4, Section G - Folder Maintenance" w:history="1">
              <w:r w:rsidR="006C3B87" w:rsidRPr="006C3B87">
                <w:rPr>
                  <w:rStyle w:val="Hyperlink"/>
                </w:rPr>
                <w:t>M21-1, Part III, Subpart ii, 4.G.2.o</w:t>
              </w:r>
            </w:hyperlink>
          </w:p>
          <w:p w:rsidR="006C3B87" w:rsidRPr="006C3B87" w:rsidRDefault="006C3B87">
            <w:pPr>
              <w:pStyle w:val="NormalWeb"/>
              <w:rPr>
                <w:rFonts w:eastAsiaTheme="minorHAnsi"/>
                <w:sz w:val="20"/>
                <w:szCs w:val="20"/>
              </w:rPr>
            </w:pPr>
            <w:r w:rsidRPr="006C3B87">
              <w:rPr>
                <w:rStyle w:val="Emphasis"/>
                <w:b/>
                <w:bCs/>
                <w:sz w:val="20"/>
                <w:szCs w:val="20"/>
              </w:rPr>
              <w:t>Note</w:t>
            </w:r>
            <w:r w:rsidRPr="006C3B87">
              <w:rPr>
                <w:sz w:val="20"/>
                <w:szCs w:val="20"/>
              </w:rPr>
              <w:t>:  To manage the documents associated with the Veteran’s eFolder in VBMS, click the DOCUMENT link on the VETERAN PROFILE screen.</w:t>
            </w:r>
          </w:p>
          <w:p w:rsidR="006C3B87" w:rsidRPr="006C3B87" w:rsidRDefault="006C3B87">
            <w:pPr>
              <w:pStyle w:val="NormalWeb"/>
              <w:rPr>
                <w:sz w:val="20"/>
                <w:szCs w:val="20"/>
              </w:rPr>
            </w:pPr>
            <w:r w:rsidRPr="006C3B87">
              <w:rPr>
                <w:rStyle w:val="Emphasis"/>
                <w:b/>
                <w:bCs/>
                <w:sz w:val="20"/>
                <w:szCs w:val="20"/>
              </w:rPr>
              <w:t>References</w:t>
            </w:r>
            <w:r w:rsidRPr="006C3B87">
              <w:rPr>
                <w:sz w:val="20"/>
                <w:szCs w:val="20"/>
              </w:rPr>
              <w:t>:  For more information on</w:t>
            </w:r>
          </w:p>
          <w:p w:rsidR="006C3B87" w:rsidRPr="006C3B87" w:rsidRDefault="006C3B87" w:rsidP="00F063AF">
            <w:pPr>
              <w:numPr>
                <w:ilvl w:val="0"/>
                <w:numId w:val="302"/>
              </w:numPr>
              <w:overflowPunct/>
              <w:autoSpaceDE/>
              <w:autoSpaceDN/>
              <w:adjustRightInd/>
              <w:spacing w:before="100" w:beforeAutospacing="1" w:after="100" w:afterAutospacing="1"/>
              <w:textAlignment w:val="auto"/>
            </w:pPr>
            <w:r w:rsidRPr="006C3B87">
              <w:t xml:space="preserve">viewing eFolder documents, see the </w:t>
            </w:r>
            <w:hyperlink r:id="rId723" w:tgtFrame="_blank" w:history="1">
              <w:r w:rsidRPr="006C3B87">
                <w:rPr>
                  <w:rStyle w:val="Hyperlink"/>
                  <w:i/>
                  <w:iCs/>
                </w:rPr>
                <w:t>VBMS User Guide</w:t>
              </w:r>
            </w:hyperlink>
          </w:p>
          <w:p w:rsidR="006C3B87" w:rsidRPr="006C3B87" w:rsidRDefault="006C3B87" w:rsidP="00F063AF">
            <w:pPr>
              <w:numPr>
                <w:ilvl w:val="0"/>
                <w:numId w:val="302"/>
              </w:numPr>
              <w:overflowPunct/>
              <w:autoSpaceDE/>
              <w:autoSpaceDN/>
              <w:adjustRightInd/>
              <w:spacing w:before="100" w:beforeAutospacing="1" w:after="100" w:afterAutospacing="1"/>
              <w:textAlignment w:val="auto"/>
            </w:pPr>
            <w:r w:rsidRPr="006C3B87">
              <w:t xml:space="preserve">EP series, see </w:t>
            </w:r>
            <w:hyperlink r:id="rId724" w:anchor="!agent/portal/554400000001034/article/554400000011474/Appendix B. End Product Codes and Work-Rate Standards for Quantitative Measurements" w:history="1">
              <w:r w:rsidRPr="006C3B87">
                <w:rPr>
                  <w:rStyle w:val="Hyperlink"/>
                </w:rPr>
                <w:t>M21-4 Appendix B</w:t>
              </w:r>
            </w:hyperlink>
          </w:p>
          <w:p w:rsidR="006C3B87" w:rsidRPr="006C3B87" w:rsidRDefault="006C3B87" w:rsidP="00F063AF">
            <w:pPr>
              <w:numPr>
                <w:ilvl w:val="0"/>
                <w:numId w:val="302"/>
              </w:numPr>
              <w:overflowPunct/>
              <w:autoSpaceDE/>
              <w:autoSpaceDN/>
              <w:adjustRightInd/>
              <w:spacing w:before="100" w:beforeAutospacing="1" w:after="100" w:afterAutospacing="1"/>
              <w:textAlignment w:val="auto"/>
            </w:pPr>
            <w:r w:rsidRPr="006C3B87">
              <w:t xml:space="preserve">date of claim, see </w:t>
            </w:r>
            <w:hyperlink r:id="rId725" w:anchor="!agent/portal/554400000001034/article/554400000011474/Appendix B. End Product Codes and Work-Rate Standards for Quantitative Measurements" w:history="1">
              <w:r w:rsidRPr="006C3B87">
                <w:rPr>
                  <w:rStyle w:val="Hyperlink"/>
                </w:rPr>
                <w:t>M21-4 Appendix B, Section I, Block c</w:t>
              </w:r>
            </w:hyperlink>
            <w:r w:rsidRPr="006C3B87">
              <w:t xml:space="preserve"> </w:t>
            </w:r>
          </w:p>
          <w:p w:rsidR="006C3B87" w:rsidRPr="006C3B87" w:rsidRDefault="006C3B87" w:rsidP="00F063AF">
            <w:pPr>
              <w:numPr>
                <w:ilvl w:val="0"/>
                <w:numId w:val="302"/>
              </w:numPr>
              <w:overflowPunct/>
              <w:autoSpaceDE/>
              <w:autoSpaceDN/>
              <w:adjustRightInd/>
              <w:spacing w:before="100" w:beforeAutospacing="1" w:after="100" w:afterAutospacing="1"/>
              <w:textAlignment w:val="auto"/>
            </w:pPr>
            <w:r w:rsidRPr="006C3B87">
              <w:t xml:space="preserve">Veteran’s service dates and character, see </w:t>
            </w:r>
            <w:hyperlink r:id="rId726" w:anchor="!agent/portal/554400000001034/article/554400000014143/M21-1, Part III, Subpart ii, Chapter 6, Section A - Establishing Veteran Status" w:history="1">
              <w:r w:rsidRPr="006C3B87">
                <w:rPr>
                  <w:rStyle w:val="Hyperlink"/>
                </w:rPr>
                <w:t>M21-1, Part III, Subpart ii, 6.A</w:t>
              </w:r>
            </w:hyperlink>
            <w:r w:rsidRPr="006C3B87">
              <w:t xml:space="preserve"> and </w:t>
            </w:r>
            <w:hyperlink r:id="rId727" w:anchor="!agent/portal/554400000001034/article/554400000044297/M21-1, Part III, Subpart ii, Chapter 6, Section B - Service Requirements and Verification of Eligibility" w:history="1">
              <w:r w:rsidRPr="006C3B87">
                <w:rPr>
                  <w:rStyle w:val="Hyperlink"/>
                </w:rPr>
                <w:t>B</w:t>
              </w:r>
            </w:hyperlink>
          </w:p>
          <w:p w:rsidR="006C3B87" w:rsidRPr="006C3B87" w:rsidRDefault="006C3B87" w:rsidP="00F063AF">
            <w:pPr>
              <w:numPr>
                <w:ilvl w:val="0"/>
                <w:numId w:val="302"/>
              </w:numPr>
              <w:overflowPunct/>
              <w:autoSpaceDE/>
              <w:autoSpaceDN/>
              <w:adjustRightInd/>
              <w:spacing w:before="100" w:beforeAutospacing="1" w:after="100" w:afterAutospacing="1"/>
              <w:textAlignment w:val="auto"/>
            </w:pPr>
            <w:r w:rsidRPr="006C3B87">
              <w:t xml:space="preserve">updating military service information, see </w:t>
            </w:r>
            <w:hyperlink r:id="rId728" w:anchor="!agent/portal/554400000001034/article/554400000014125/M21-1, Part III, Subpart ii, Chapter 3, Section C - System Updates" w:history="1">
              <w:r w:rsidRPr="006C3B87">
                <w:rPr>
                  <w:rStyle w:val="Hyperlink"/>
                </w:rPr>
                <w:t>M21-1, Part III, Subpart ii, 3.C.7</w:t>
              </w:r>
            </w:hyperlink>
            <w:r w:rsidRPr="006C3B87">
              <w:t xml:space="preserve">, and </w:t>
            </w:r>
          </w:p>
          <w:p w:rsidR="006C3B87" w:rsidRPr="006C3B87" w:rsidRDefault="006C3B87" w:rsidP="00F063AF">
            <w:pPr>
              <w:numPr>
                <w:ilvl w:val="0"/>
                <w:numId w:val="302"/>
              </w:numPr>
              <w:overflowPunct/>
              <w:autoSpaceDE/>
              <w:autoSpaceDN/>
              <w:adjustRightInd/>
              <w:spacing w:before="100" w:beforeAutospacing="1" w:after="100" w:afterAutospacing="1" w:line="120" w:lineRule="atLeast"/>
              <w:textAlignment w:val="auto"/>
            </w:pPr>
            <w:r w:rsidRPr="006C3B87">
              <w:t xml:space="preserve">power of attorney (POA) appointments, see </w:t>
            </w:r>
            <w:hyperlink r:id="rId729" w:anchor="!agent/portal/554400000001034/article/554400000014125/M21-1, Part III, Subpart ii, Chapter 3, Section C - System Updates" w:history="1">
              <w:r w:rsidRPr="006C3B87">
                <w:rPr>
                  <w:rStyle w:val="Hyperlink"/>
                </w:rPr>
                <w:t>M21-1, Part III, Subpart ii, 3. C.4</w:t>
              </w:r>
            </w:hyperlink>
            <w:r w:rsidRPr="006C3B87">
              <w:t>.</w:t>
            </w:r>
          </w:p>
        </w:tc>
      </w:tr>
    </w:tbl>
    <w:p w:rsidR="006C3B87" w:rsidRDefault="006C3B87" w:rsidP="006C3B87">
      <w:pPr>
        <w:rPr>
          <w:rStyle w:val="Strong"/>
          <w:rFonts w:eastAsiaTheme="minorHAnsi"/>
          <w:b w:val="0"/>
          <w:bCs w:val="0"/>
          <w:color w:val="000000"/>
          <w:sz w:val="22"/>
          <w:szCs w:val="22"/>
        </w:rPr>
      </w:pPr>
    </w:p>
    <w:p w:rsidR="006C3B87" w:rsidRDefault="006C3B87" w:rsidP="006C3B87">
      <w:pPr>
        <w:rPr>
          <w:rFonts w:ascii="Calibri" w:hAnsi="Calibri" w:cs="Times New Roman"/>
        </w:rPr>
      </w:pPr>
    </w:p>
    <w:p w:rsidR="006C3B87" w:rsidRDefault="006C3B87" w:rsidP="006C3B87">
      <w:pPr>
        <w:rPr>
          <w:sz w:val="24"/>
          <w:szCs w:val="24"/>
        </w:rPr>
      </w:pPr>
    </w:p>
    <w:p w:rsidR="009A672A" w:rsidRPr="00B477E3" w:rsidRDefault="009A672A" w:rsidP="00B477E3">
      <w:pPr>
        <w:widowControl w:val="0"/>
        <w:pBdr>
          <w:top w:val="single" w:sz="4" w:space="1" w:color="auto"/>
        </w:pBdr>
        <w:spacing w:after="120"/>
      </w:pPr>
    </w:p>
    <w:p w:rsidR="005D1A2B" w:rsidRPr="005D1A2B" w:rsidRDefault="005D1A2B" w:rsidP="00F063AF">
      <w:pPr>
        <w:pStyle w:val="ListParagraph"/>
        <w:widowControl w:val="0"/>
        <w:numPr>
          <w:ilvl w:val="0"/>
          <w:numId w:val="157"/>
        </w:numPr>
        <w:spacing w:after="120" w:line="240" w:lineRule="auto"/>
        <w:ind w:left="446"/>
        <w:rPr>
          <w:rFonts w:ascii="Arial" w:hAnsi="Arial"/>
          <w:sz w:val="20"/>
          <w:szCs w:val="20"/>
        </w:rPr>
      </w:pPr>
      <w:r w:rsidRPr="005D1A2B">
        <w:rPr>
          <w:rFonts w:ascii="Arial" w:hAnsi="Arial"/>
          <w:b/>
          <w:sz w:val="20"/>
          <w:szCs w:val="20"/>
        </w:rPr>
        <w:t>III.ii.4.G.2</w:t>
      </w:r>
      <w:r w:rsidR="00122CD6">
        <w:rPr>
          <w:rFonts w:ascii="Arial" w:hAnsi="Arial"/>
          <w:b/>
          <w:sz w:val="20"/>
          <w:szCs w:val="20"/>
        </w:rPr>
        <w:t>.d</w:t>
      </w:r>
      <w:r>
        <w:rPr>
          <w:rFonts w:ascii="Arial" w:hAnsi="Arial"/>
          <w:sz w:val="20"/>
          <w:szCs w:val="20"/>
        </w:rPr>
        <w:t xml:space="preserve"> – document deletion</w:t>
      </w:r>
    </w:p>
    <w:p w:rsidR="00013EB8" w:rsidRDefault="00B3116D" w:rsidP="00F063AF">
      <w:pPr>
        <w:pStyle w:val="ListParagraph"/>
        <w:widowControl w:val="0"/>
        <w:numPr>
          <w:ilvl w:val="0"/>
          <w:numId w:val="157"/>
        </w:numPr>
        <w:spacing w:after="120" w:line="240" w:lineRule="auto"/>
        <w:ind w:left="446"/>
        <w:rPr>
          <w:rFonts w:ascii="Arial" w:hAnsi="Arial"/>
          <w:sz w:val="20"/>
          <w:szCs w:val="20"/>
        </w:rPr>
      </w:pPr>
      <w:r w:rsidRPr="00175CDF">
        <w:rPr>
          <w:rFonts w:ascii="Arial" w:hAnsi="Arial"/>
          <w:b/>
          <w:bCs/>
          <w:sz w:val="20"/>
          <w:szCs w:val="20"/>
        </w:rPr>
        <w:t>III.iv.6.C</w:t>
      </w:r>
      <w:r w:rsidR="00013EB8" w:rsidRPr="00455426">
        <w:rPr>
          <w:rFonts w:ascii="Arial" w:hAnsi="Arial"/>
          <w:sz w:val="20"/>
          <w:szCs w:val="20"/>
        </w:rPr>
        <w:t xml:space="preserve"> – listing evidence</w:t>
      </w:r>
      <w:r w:rsidR="00B477E3">
        <w:rPr>
          <w:rFonts w:ascii="Arial" w:hAnsi="Arial"/>
          <w:sz w:val="20"/>
          <w:szCs w:val="20"/>
        </w:rPr>
        <w:t xml:space="preserve"> in RD</w:t>
      </w:r>
      <w:r w:rsidRPr="00455426">
        <w:rPr>
          <w:rFonts w:ascii="Arial" w:hAnsi="Arial"/>
          <w:sz w:val="20"/>
          <w:szCs w:val="20"/>
        </w:rPr>
        <w:t xml:space="preserve">; </w:t>
      </w:r>
      <w:r w:rsidR="00013EB8" w:rsidRPr="00455426">
        <w:rPr>
          <w:rFonts w:ascii="Arial" w:hAnsi="Arial"/>
          <w:sz w:val="20"/>
          <w:szCs w:val="20"/>
        </w:rPr>
        <w:t>all evidence that is relevant and necessary to the determination needs to be cited</w:t>
      </w:r>
    </w:p>
    <w:p w:rsidR="00744EC5" w:rsidRDefault="00AD7657" w:rsidP="00F063AF">
      <w:pPr>
        <w:pStyle w:val="ListParagraph"/>
        <w:widowControl w:val="0"/>
        <w:numPr>
          <w:ilvl w:val="0"/>
          <w:numId w:val="285"/>
        </w:numPr>
        <w:spacing w:after="120" w:line="240" w:lineRule="auto"/>
        <w:rPr>
          <w:rFonts w:ascii="Arial" w:hAnsi="Arial"/>
          <w:sz w:val="20"/>
          <w:szCs w:val="20"/>
        </w:rPr>
      </w:pPr>
      <w:r w:rsidRPr="00AD7657">
        <w:rPr>
          <w:rFonts w:ascii="Arial" w:hAnsi="Arial"/>
          <w:b/>
          <w:bCs/>
          <w:sz w:val="20"/>
          <w:szCs w:val="20"/>
        </w:rPr>
        <w:t>III</w:t>
      </w:r>
      <w:r w:rsidRPr="00AD7657">
        <w:rPr>
          <w:rFonts w:ascii="Arial" w:hAnsi="Arial"/>
          <w:b/>
          <w:sz w:val="20"/>
          <w:szCs w:val="20"/>
        </w:rPr>
        <w:t>.iv.6.C.4.c</w:t>
      </w:r>
      <w:r w:rsidR="00744EC5">
        <w:rPr>
          <w:rFonts w:ascii="Arial" w:hAnsi="Arial"/>
          <w:sz w:val="20"/>
          <w:szCs w:val="20"/>
        </w:rPr>
        <w:t xml:space="preserve"> – list:</w:t>
      </w:r>
    </w:p>
    <w:p w:rsidR="00744EC5" w:rsidRDefault="00AD7657" w:rsidP="00F063AF">
      <w:pPr>
        <w:pStyle w:val="ListParagraph"/>
        <w:widowControl w:val="0"/>
        <w:numPr>
          <w:ilvl w:val="1"/>
          <w:numId w:val="285"/>
        </w:numPr>
        <w:spacing w:after="120" w:line="240" w:lineRule="auto"/>
        <w:ind w:left="1080"/>
        <w:rPr>
          <w:rFonts w:ascii="Arial" w:hAnsi="Arial"/>
          <w:sz w:val="20"/>
          <w:szCs w:val="20"/>
        </w:rPr>
      </w:pPr>
      <w:r w:rsidRPr="00AD7657">
        <w:rPr>
          <w:rFonts w:ascii="Arial" w:hAnsi="Arial"/>
          <w:sz w:val="20"/>
          <w:szCs w:val="20"/>
        </w:rPr>
        <w:t>STRs</w:t>
      </w:r>
      <w:r w:rsidR="003923EF">
        <w:rPr>
          <w:rFonts w:ascii="Arial" w:hAnsi="Arial"/>
          <w:sz w:val="20"/>
          <w:szCs w:val="20"/>
        </w:rPr>
        <w:t xml:space="preserve">/SPRs with date of receipt </w:t>
      </w:r>
      <w:r w:rsidR="004B3E03">
        <w:rPr>
          <w:rFonts w:ascii="Arial" w:hAnsi="Arial"/>
          <w:sz w:val="20"/>
          <w:szCs w:val="20"/>
        </w:rPr>
        <w:t>&amp;</w:t>
      </w:r>
      <w:r w:rsidR="00744EC5">
        <w:rPr>
          <w:rFonts w:ascii="Arial" w:hAnsi="Arial"/>
          <w:sz w:val="20"/>
          <w:szCs w:val="20"/>
        </w:rPr>
        <w:t xml:space="preserve"> period of service</w:t>
      </w:r>
      <w:r w:rsidR="000D1FE8">
        <w:rPr>
          <w:rFonts w:ascii="Arial" w:hAnsi="Arial"/>
          <w:sz w:val="20"/>
          <w:szCs w:val="20"/>
        </w:rPr>
        <w:t xml:space="preserve"> (month &amp; year)</w:t>
      </w:r>
      <w:r w:rsidR="0031324C">
        <w:rPr>
          <w:rFonts w:ascii="Arial" w:hAnsi="Arial"/>
          <w:sz w:val="20"/>
          <w:szCs w:val="20"/>
        </w:rPr>
        <w:t xml:space="preserve"> - </w:t>
      </w:r>
      <w:hyperlink r:id="rId730" w:history="1">
        <w:r w:rsidR="0031324C" w:rsidRPr="0031324C">
          <w:rPr>
            <w:rStyle w:val="Hyperlink"/>
            <w:rFonts w:ascii="Arial" w:hAnsi="Arial"/>
            <w:b/>
            <w:bCs/>
            <w:i/>
            <w:sz w:val="20"/>
            <w:szCs w:val="20"/>
          </w:rPr>
          <w:t>April 2017 Quality Call Notes</w:t>
        </w:r>
      </w:hyperlink>
      <w:r w:rsidR="0031324C" w:rsidRPr="0031324C">
        <w:rPr>
          <w:rStyle w:val="Hyperlink"/>
          <w:rFonts w:ascii="Arial" w:hAnsi="Arial"/>
          <w:bCs/>
          <w:color w:val="auto"/>
          <w:sz w:val="20"/>
          <w:szCs w:val="20"/>
          <w:u w:val="none"/>
        </w:rPr>
        <w:t xml:space="preserve"> say look for 3101 w/</w:t>
      </w:r>
      <w:r w:rsidR="0031324C">
        <w:rPr>
          <w:rStyle w:val="Hyperlink"/>
          <w:rFonts w:ascii="Arial" w:hAnsi="Arial"/>
          <w:bCs/>
          <w:color w:val="auto"/>
          <w:sz w:val="20"/>
          <w:szCs w:val="20"/>
          <w:u w:val="none"/>
        </w:rPr>
        <w:t>date-</w:t>
      </w:r>
      <w:r w:rsidR="0031324C" w:rsidRPr="0031324C">
        <w:rPr>
          <w:rStyle w:val="Hyperlink"/>
          <w:rFonts w:ascii="Arial" w:hAnsi="Arial"/>
          <w:bCs/>
          <w:color w:val="auto"/>
          <w:sz w:val="20"/>
          <w:szCs w:val="20"/>
          <w:u w:val="none"/>
        </w:rPr>
        <w:t>stamp for receipt date, if there is no date-stamp, use “Overall Completion Date”</w:t>
      </w:r>
    </w:p>
    <w:p w:rsidR="00744EC5" w:rsidRDefault="00744EC5" w:rsidP="00F063AF">
      <w:pPr>
        <w:pStyle w:val="ListParagraph"/>
        <w:widowControl w:val="0"/>
        <w:numPr>
          <w:ilvl w:val="1"/>
          <w:numId w:val="285"/>
        </w:numPr>
        <w:spacing w:after="120" w:line="240" w:lineRule="auto"/>
        <w:ind w:left="1080"/>
        <w:rPr>
          <w:rFonts w:ascii="Arial" w:hAnsi="Arial"/>
          <w:sz w:val="20"/>
          <w:szCs w:val="20"/>
        </w:rPr>
      </w:pPr>
      <w:r>
        <w:rPr>
          <w:rFonts w:ascii="Arial" w:hAnsi="Arial"/>
          <w:sz w:val="20"/>
          <w:szCs w:val="20"/>
        </w:rPr>
        <w:t>VATRs with name of facility &amp; dates covered</w:t>
      </w:r>
      <w:r w:rsidR="000D1FE8">
        <w:rPr>
          <w:rFonts w:ascii="Arial" w:hAnsi="Arial"/>
          <w:sz w:val="20"/>
          <w:szCs w:val="20"/>
        </w:rPr>
        <w:t xml:space="preserve"> (month, day &amp; year)</w:t>
      </w:r>
    </w:p>
    <w:p w:rsidR="00744EC5" w:rsidRPr="00744EC5" w:rsidRDefault="00AD7657" w:rsidP="00F063AF">
      <w:pPr>
        <w:pStyle w:val="ListParagraph"/>
        <w:widowControl w:val="0"/>
        <w:numPr>
          <w:ilvl w:val="1"/>
          <w:numId w:val="285"/>
        </w:numPr>
        <w:spacing w:after="120" w:line="240" w:lineRule="auto"/>
        <w:ind w:left="1080"/>
        <w:rPr>
          <w:rFonts w:ascii="Arial" w:hAnsi="Arial"/>
          <w:sz w:val="20"/>
          <w:szCs w:val="20"/>
        </w:rPr>
      </w:pPr>
      <w:r w:rsidRPr="00AD7657">
        <w:rPr>
          <w:rFonts w:ascii="Arial" w:hAnsi="Arial"/>
          <w:sz w:val="20"/>
          <w:szCs w:val="20"/>
        </w:rPr>
        <w:t>PMEs</w:t>
      </w:r>
      <w:r w:rsidR="004A20C3">
        <w:rPr>
          <w:rFonts w:ascii="Arial" w:hAnsi="Arial"/>
          <w:sz w:val="20"/>
          <w:szCs w:val="20"/>
        </w:rPr>
        <w:t xml:space="preserve"> </w:t>
      </w:r>
      <w:r>
        <w:rPr>
          <w:rFonts w:ascii="Arial" w:hAnsi="Arial"/>
          <w:sz w:val="20"/>
          <w:szCs w:val="20"/>
        </w:rPr>
        <w:t>/</w:t>
      </w:r>
      <w:r w:rsidR="004A20C3">
        <w:rPr>
          <w:rFonts w:ascii="Arial" w:hAnsi="Arial"/>
          <w:sz w:val="20"/>
          <w:szCs w:val="20"/>
        </w:rPr>
        <w:t xml:space="preserve"> </w:t>
      </w:r>
      <w:r>
        <w:rPr>
          <w:rFonts w:ascii="Arial" w:hAnsi="Arial"/>
          <w:sz w:val="20"/>
          <w:szCs w:val="20"/>
        </w:rPr>
        <w:t>PTRs</w:t>
      </w:r>
      <w:r w:rsidR="004A20C3">
        <w:rPr>
          <w:rFonts w:ascii="Arial" w:hAnsi="Arial"/>
          <w:sz w:val="20"/>
          <w:szCs w:val="20"/>
        </w:rPr>
        <w:t xml:space="preserve"> </w:t>
      </w:r>
      <w:r>
        <w:rPr>
          <w:rFonts w:ascii="Arial" w:hAnsi="Arial"/>
          <w:sz w:val="20"/>
          <w:szCs w:val="20"/>
        </w:rPr>
        <w:t>/</w:t>
      </w:r>
      <w:r w:rsidR="004A20C3">
        <w:rPr>
          <w:rFonts w:ascii="Arial" w:hAnsi="Arial"/>
          <w:sz w:val="20"/>
          <w:szCs w:val="20"/>
        </w:rPr>
        <w:t xml:space="preserve"> </w:t>
      </w:r>
      <w:r>
        <w:rPr>
          <w:rFonts w:ascii="Arial" w:hAnsi="Arial"/>
          <w:sz w:val="20"/>
          <w:szCs w:val="20"/>
        </w:rPr>
        <w:t>PMRs</w:t>
      </w:r>
      <w:r w:rsidR="00744EC5">
        <w:rPr>
          <w:rFonts w:ascii="Arial" w:hAnsi="Arial"/>
          <w:sz w:val="20"/>
          <w:szCs w:val="20"/>
        </w:rPr>
        <w:t xml:space="preserve"> with name of facility/physician, date of receipt &amp; dates covered</w:t>
      </w:r>
      <w:r>
        <w:rPr>
          <w:rFonts w:ascii="Arial" w:hAnsi="Arial"/>
          <w:sz w:val="20"/>
          <w:szCs w:val="20"/>
        </w:rPr>
        <w:t xml:space="preserve"> [</w:t>
      </w:r>
      <w:r w:rsidR="00D94044" w:rsidRPr="00744EC5">
        <w:rPr>
          <w:rFonts w:ascii="Verdana" w:hAnsi="Verdana"/>
          <w:b/>
          <w:highlight w:val="green"/>
        </w:rPr>
        <w:t>VBMS-R</w:t>
      </w:r>
      <w:r>
        <w:rPr>
          <w:rFonts w:ascii="Arial" w:hAnsi="Arial"/>
          <w:sz w:val="20"/>
          <w:szCs w:val="20"/>
        </w:rPr>
        <w:t xml:space="preserve"> sh</w:t>
      </w:r>
      <w:r w:rsidR="00744EC5">
        <w:rPr>
          <w:rFonts w:ascii="Arial" w:hAnsi="Arial"/>
          <w:sz w:val="20"/>
          <w:szCs w:val="20"/>
        </w:rPr>
        <w:t>ows “Private Treatment Records”</w:t>
      </w:r>
      <w:r w:rsidR="004B3E03">
        <w:rPr>
          <w:rFonts w:ascii="Arial" w:hAnsi="Arial"/>
          <w:sz w:val="20"/>
          <w:szCs w:val="20"/>
        </w:rPr>
        <w:t>]</w:t>
      </w:r>
      <w:r w:rsidR="000D1FE8">
        <w:rPr>
          <w:rFonts w:ascii="Arial" w:hAnsi="Arial"/>
          <w:sz w:val="20"/>
          <w:szCs w:val="20"/>
        </w:rPr>
        <w:t xml:space="preserve"> (month &amp; year)</w:t>
      </w:r>
    </w:p>
    <w:p w:rsidR="00744EC5" w:rsidRDefault="00744EC5" w:rsidP="00F063AF">
      <w:pPr>
        <w:pStyle w:val="ListParagraph"/>
        <w:widowControl w:val="0"/>
        <w:numPr>
          <w:ilvl w:val="1"/>
          <w:numId w:val="285"/>
        </w:numPr>
        <w:spacing w:after="120" w:line="240" w:lineRule="auto"/>
        <w:ind w:left="1080"/>
        <w:rPr>
          <w:rFonts w:ascii="Arial" w:hAnsi="Arial"/>
          <w:sz w:val="20"/>
          <w:szCs w:val="20"/>
        </w:rPr>
      </w:pPr>
      <w:r>
        <w:rPr>
          <w:rFonts w:ascii="Arial" w:hAnsi="Arial"/>
          <w:sz w:val="20"/>
          <w:szCs w:val="20"/>
        </w:rPr>
        <w:t>DBQ</w:t>
      </w:r>
      <w:r w:rsidR="004B3E03">
        <w:rPr>
          <w:rFonts w:ascii="Arial" w:hAnsi="Arial"/>
          <w:sz w:val="20"/>
          <w:szCs w:val="20"/>
        </w:rPr>
        <w:t>s</w:t>
      </w:r>
      <w:r>
        <w:rPr>
          <w:rFonts w:ascii="Arial" w:hAnsi="Arial"/>
          <w:sz w:val="20"/>
          <w:szCs w:val="20"/>
        </w:rPr>
        <w:t xml:space="preserve"> with facility/contractor &amp; date conducted</w:t>
      </w:r>
    </w:p>
    <w:p w:rsidR="00744EC5" w:rsidRDefault="00744EC5" w:rsidP="00F063AF">
      <w:pPr>
        <w:pStyle w:val="ListParagraph"/>
        <w:widowControl w:val="0"/>
        <w:numPr>
          <w:ilvl w:val="1"/>
          <w:numId w:val="285"/>
        </w:numPr>
        <w:spacing w:after="120" w:line="240" w:lineRule="auto"/>
        <w:ind w:left="1080"/>
        <w:rPr>
          <w:rFonts w:ascii="Arial" w:hAnsi="Arial"/>
          <w:sz w:val="20"/>
          <w:szCs w:val="20"/>
        </w:rPr>
      </w:pPr>
      <w:r>
        <w:rPr>
          <w:rFonts w:ascii="Arial" w:hAnsi="Arial"/>
          <w:sz w:val="20"/>
          <w:szCs w:val="20"/>
        </w:rPr>
        <w:t>other Govt (Fed, State) records with name of agency/facility &amp; date of receipt</w:t>
      </w:r>
    </w:p>
    <w:p w:rsidR="00744EC5" w:rsidRDefault="00744EC5" w:rsidP="00F063AF">
      <w:pPr>
        <w:pStyle w:val="ListParagraph"/>
        <w:widowControl w:val="0"/>
        <w:numPr>
          <w:ilvl w:val="1"/>
          <w:numId w:val="285"/>
        </w:numPr>
        <w:spacing w:after="120" w:line="240" w:lineRule="auto"/>
        <w:ind w:left="1080"/>
        <w:rPr>
          <w:rFonts w:ascii="Arial" w:hAnsi="Arial"/>
          <w:sz w:val="20"/>
          <w:szCs w:val="20"/>
        </w:rPr>
      </w:pPr>
      <w:r>
        <w:rPr>
          <w:rFonts w:ascii="Arial" w:hAnsi="Arial"/>
          <w:sz w:val="20"/>
          <w:szCs w:val="20"/>
        </w:rPr>
        <w:t>lay stmt with source &amp; date of receipt</w:t>
      </w:r>
    </w:p>
    <w:p w:rsidR="00744EC5" w:rsidRDefault="00744EC5" w:rsidP="00F063AF">
      <w:pPr>
        <w:pStyle w:val="ListParagraph"/>
        <w:widowControl w:val="0"/>
        <w:numPr>
          <w:ilvl w:val="1"/>
          <w:numId w:val="285"/>
        </w:numPr>
        <w:spacing w:after="120" w:line="240" w:lineRule="auto"/>
        <w:ind w:left="1080"/>
        <w:rPr>
          <w:rFonts w:ascii="Arial" w:hAnsi="Arial"/>
          <w:sz w:val="20"/>
          <w:szCs w:val="20"/>
        </w:rPr>
      </w:pPr>
      <w:r>
        <w:rPr>
          <w:rFonts w:ascii="Arial" w:hAnsi="Arial"/>
          <w:sz w:val="20"/>
          <w:szCs w:val="20"/>
        </w:rPr>
        <w:t>forms with full name of form &amp; date of receipt</w:t>
      </w:r>
    </w:p>
    <w:p w:rsidR="00744EC5" w:rsidRDefault="00744EC5" w:rsidP="00F063AF">
      <w:pPr>
        <w:pStyle w:val="ListParagraph"/>
        <w:widowControl w:val="0"/>
        <w:numPr>
          <w:ilvl w:val="1"/>
          <w:numId w:val="285"/>
        </w:numPr>
        <w:spacing w:after="120" w:line="240" w:lineRule="auto"/>
        <w:ind w:left="1080"/>
        <w:rPr>
          <w:rFonts w:ascii="Arial" w:hAnsi="Arial"/>
          <w:sz w:val="20"/>
          <w:szCs w:val="20"/>
        </w:rPr>
      </w:pPr>
      <w:r>
        <w:rPr>
          <w:rFonts w:ascii="Arial" w:hAnsi="Arial"/>
          <w:sz w:val="20"/>
          <w:szCs w:val="20"/>
        </w:rPr>
        <w:t>evidence req</w:t>
      </w:r>
      <w:r w:rsidR="004B3E03">
        <w:rPr>
          <w:rFonts w:ascii="Arial" w:hAnsi="Arial"/>
          <w:sz w:val="20"/>
          <w:szCs w:val="20"/>
        </w:rPr>
        <w:t xml:space="preserve">uested, but not received following this example: </w:t>
      </w:r>
      <w:r>
        <w:rPr>
          <w:rFonts w:ascii="Arial" w:hAnsi="Arial"/>
          <w:sz w:val="20"/>
          <w:szCs w:val="20"/>
        </w:rPr>
        <w:t xml:space="preserve"> </w:t>
      </w:r>
      <w:r w:rsidRPr="00744EC5">
        <w:rPr>
          <w:rFonts w:ascii="Arial" w:hAnsi="Arial"/>
          <w:i/>
          <w:sz w:val="20"/>
          <w:szCs w:val="20"/>
        </w:rPr>
        <w:t xml:space="preserve">Private </w:t>
      </w:r>
      <w:r w:rsidR="001C25E7">
        <w:rPr>
          <w:rFonts w:ascii="Arial" w:hAnsi="Arial"/>
          <w:i/>
          <w:sz w:val="20"/>
          <w:szCs w:val="20"/>
        </w:rPr>
        <w:t>Medical</w:t>
      </w:r>
      <w:r w:rsidRPr="00744EC5">
        <w:rPr>
          <w:rFonts w:ascii="Arial" w:hAnsi="Arial"/>
          <w:i/>
          <w:sz w:val="20"/>
          <w:szCs w:val="20"/>
        </w:rPr>
        <w:t xml:space="preserve"> Records (PMR</w:t>
      </w:r>
      <w:r w:rsidR="001C25E7">
        <w:rPr>
          <w:rFonts w:ascii="Arial" w:hAnsi="Arial"/>
          <w:i/>
          <w:sz w:val="20"/>
          <w:szCs w:val="20"/>
        </w:rPr>
        <w:t>s</w:t>
      </w:r>
      <w:r w:rsidRPr="00744EC5">
        <w:rPr>
          <w:rFonts w:ascii="Arial" w:hAnsi="Arial"/>
          <w:i/>
          <w:sz w:val="20"/>
          <w:szCs w:val="20"/>
        </w:rPr>
        <w:t>) requested from {}, but not received</w:t>
      </w:r>
      <w:r>
        <w:rPr>
          <w:rFonts w:ascii="Arial" w:hAnsi="Arial"/>
          <w:sz w:val="20"/>
          <w:szCs w:val="20"/>
        </w:rPr>
        <w:t xml:space="preserve"> </w:t>
      </w:r>
      <w:r w:rsidRPr="00744EC5">
        <w:rPr>
          <w:rFonts w:ascii="Arial" w:hAnsi="Arial"/>
          <w:sz w:val="20"/>
          <w:szCs w:val="20"/>
        </w:rPr>
        <w:t>[I added this as Evidence Type</w:t>
      </w:r>
      <w:r w:rsidR="000D1FE8">
        <w:rPr>
          <w:rFonts w:ascii="Arial" w:hAnsi="Arial"/>
          <w:sz w:val="20"/>
          <w:szCs w:val="20"/>
        </w:rPr>
        <w:t>, with PTRs,</w:t>
      </w:r>
      <w:r w:rsidRPr="00744EC5">
        <w:rPr>
          <w:rFonts w:ascii="Arial" w:hAnsi="Arial"/>
          <w:sz w:val="20"/>
          <w:szCs w:val="20"/>
        </w:rPr>
        <w:t xml:space="preserve"> in </w:t>
      </w:r>
      <w:r w:rsidRPr="00744EC5">
        <w:rPr>
          <w:rFonts w:ascii="Verdana" w:hAnsi="Verdana"/>
          <w:b/>
          <w:highlight w:val="green"/>
        </w:rPr>
        <w:t>VBMS-R</w:t>
      </w:r>
      <w:r w:rsidRPr="00744EC5">
        <w:rPr>
          <w:rFonts w:ascii="Arial" w:hAnsi="Arial"/>
          <w:sz w:val="20"/>
          <w:szCs w:val="20"/>
        </w:rPr>
        <w:t>]</w:t>
      </w:r>
    </w:p>
    <w:p w:rsidR="00744EC5" w:rsidRDefault="00744EC5" w:rsidP="00F063AF">
      <w:pPr>
        <w:pStyle w:val="ListParagraph"/>
        <w:widowControl w:val="0"/>
        <w:numPr>
          <w:ilvl w:val="1"/>
          <w:numId w:val="285"/>
        </w:numPr>
        <w:spacing w:after="120" w:line="240" w:lineRule="auto"/>
        <w:ind w:left="1080"/>
        <w:rPr>
          <w:rFonts w:ascii="Arial" w:hAnsi="Arial"/>
          <w:sz w:val="20"/>
          <w:szCs w:val="20"/>
        </w:rPr>
      </w:pPr>
      <w:r w:rsidRPr="00AD7657">
        <w:rPr>
          <w:rFonts w:ascii="Arial" w:hAnsi="Arial"/>
          <w:sz w:val="20"/>
          <w:szCs w:val="20"/>
        </w:rPr>
        <w:t>evidence considered in a prior VA decision</w:t>
      </w:r>
      <w:r>
        <w:rPr>
          <w:rFonts w:ascii="Arial" w:hAnsi="Arial"/>
          <w:sz w:val="20"/>
          <w:szCs w:val="20"/>
        </w:rPr>
        <w:t xml:space="preserve"> with </w:t>
      </w:r>
      <w:r w:rsidRPr="00AD7657">
        <w:rPr>
          <w:rFonts w:ascii="Arial" w:hAnsi="Arial"/>
          <w:sz w:val="20"/>
          <w:szCs w:val="20"/>
        </w:rPr>
        <w:t>each piece of evidence separatel</w:t>
      </w:r>
      <w:r>
        <w:rPr>
          <w:rFonts w:ascii="Arial" w:hAnsi="Arial"/>
          <w:sz w:val="20"/>
          <w:szCs w:val="20"/>
        </w:rPr>
        <w:t>y, including the prior decision</w:t>
      </w:r>
    </w:p>
    <w:p w:rsidR="00744EC5" w:rsidRPr="00F033AC" w:rsidRDefault="00744EC5" w:rsidP="00F063AF">
      <w:pPr>
        <w:pStyle w:val="ListParagraph"/>
        <w:widowControl w:val="0"/>
        <w:numPr>
          <w:ilvl w:val="1"/>
          <w:numId w:val="285"/>
        </w:numPr>
        <w:spacing w:after="120" w:line="240" w:lineRule="auto"/>
        <w:ind w:left="1080"/>
        <w:rPr>
          <w:rFonts w:ascii="Arial" w:hAnsi="Arial"/>
          <w:sz w:val="20"/>
          <w:szCs w:val="20"/>
        </w:rPr>
      </w:pPr>
      <w:r w:rsidRPr="00F033AC">
        <w:rPr>
          <w:rFonts w:ascii="Arial" w:hAnsi="Arial"/>
          <w:sz w:val="20"/>
          <w:szCs w:val="20"/>
        </w:rPr>
        <w:t>confidential medical evidence</w:t>
      </w:r>
      <w:r w:rsidR="004B3E03" w:rsidRPr="00F033AC">
        <w:rPr>
          <w:rFonts w:ascii="Arial" w:hAnsi="Arial"/>
          <w:sz w:val="20"/>
          <w:szCs w:val="20"/>
        </w:rPr>
        <w:t xml:space="preserve"> with date &amp; name of facility</w:t>
      </w:r>
    </w:p>
    <w:p w:rsidR="004B3E03" w:rsidRPr="00F033AC" w:rsidRDefault="004B3E03" w:rsidP="00F063AF">
      <w:pPr>
        <w:pStyle w:val="ListParagraph"/>
        <w:widowControl w:val="0"/>
        <w:numPr>
          <w:ilvl w:val="1"/>
          <w:numId w:val="285"/>
        </w:numPr>
        <w:spacing w:after="120" w:line="240" w:lineRule="auto"/>
        <w:ind w:left="1080"/>
        <w:rPr>
          <w:rFonts w:ascii="Arial" w:hAnsi="Arial"/>
          <w:sz w:val="18"/>
          <w:szCs w:val="20"/>
        </w:rPr>
      </w:pPr>
      <w:r w:rsidRPr="00F033AC">
        <w:rPr>
          <w:rFonts w:ascii="Arial" w:hAnsi="Arial"/>
          <w:sz w:val="20"/>
          <w:szCs w:val="20"/>
        </w:rPr>
        <w:t xml:space="preserve">non-relevant records not requested as detailed under </w:t>
      </w:r>
      <w:r w:rsidRPr="00F033AC">
        <w:rPr>
          <w:rFonts w:ascii="Arial" w:hAnsi="Arial"/>
          <w:b/>
          <w:sz w:val="20"/>
          <w:szCs w:val="20"/>
        </w:rPr>
        <w:t>I.1.C.4.f</w:t>
      </w:r>
      <w:r w:rsidR="006B43E9" w:rsidRPr="00F033AC">
        <w:rPr>
          <w:rFonts w:ascii="Arial" w:hAnsi="Arial"/>
          <w:sz w:val="20"/>
          <w:szCs w:val="20"/>
        </w:rPr>
        <w:t xml:space="preserve"> - </w:t>
      </w:r>
      <w:r w:rsidR="006B43E9" w:rsidRPr="00F033AC">
        <w:rPr>
          <w:rFonts w:ascii="Arial" w:hAnsi="Arial"/>
          <w:bCs/>
          <w:i/>
          <w:iCs/>
          <w:sz w:val="20"/>
          <w:szCs w:val="21"/>
        </w:rPr>
        <w:t>Records from [name of facility or physician] not requested because they are not relevant</w:t>
      </w:r>
    </w:p>
    <w:p w:rsidR="00B477E3" w:rsidRPr="00B477E3" w:rsidRDefault="00B477E3" w:rsidP="000D1FE8">
      <w:pPr>
        <w:widowControl w:val="0"/>
        <w:tabs>
          <w:tab w:val="left" w:pos="0"/>
          <w:tab w:val="left" w:pos="144"/>
        </w:tabs>
        <w:ind w:left="720"/>
      </w:pPr>
      <w:r w:rsidRPr="00B477E3">
        <w:t xml:space="preserve">Service Personnel Records (SPRs), </w:t>
      </w:r>
      <w:r w:rsidR="00AD7657">
        <w:t>received {}</w:t>
      </w:r>
      <w:r w:rsidR="000D1FE8">
        <w:t xml:space="preserve">, </w:t>
      </w:r>
      <w:r w:rsidR="00672D85">
        <w:t xml:space="preserve">for the period of service from </w:t>
      </w:r>
      <w:r w:rsidR="00043749">
        <w:t xml:space="preserve"> </w:t>
      </w:r>
      <w:r w:rsidR="000D1FE8">
        <w:t>{month &amp; year} t</w:t>
      </w:r>
      <w:r w:rsidR="00672D85">
        <w:t>hrough</w:t>
      </w:r>
      <w:r w:rsidR="000D1FE8">
        <w:t xml:space="preserve"> {month &amp; year}</w:t>
      </w:r>
    </w:p>
    <w:p w:rsidR="004B3E03" w:rsidRDefault="00B477E3" w:rsidP="00744EC5">
      <w:pPr>
        <w:widowControl w:val="0"/>
        <w:tabs>
          <w:tab w:val="left" w:pos="0"/>
          <w:tab w:val="left" w:pos="144"/>
        </w:tabs>
        <w:ind w:left="720"/>
      </w:pPr>
      <w:r w:rsidRPr="00B477E3">
        <w:t xml:space="preserve">Service Treatment Records (STRs), </w:t>
      </w:r>
      <w:r w:rsidR="004B3E03">
        <w:t>r</w:t>
      </w:r>
      <w:r w:rsidR="000D1FE8">
        <w:t xml:space="preserve">eceived {}, </w:t>
      </w:r>
      <w:r w:rsidR="00672D85">
        <w:t>for the period of service from</w:t>
      </w:r>
      <w:r w:rsidR="00043749">
        <w:t xml:space="preserve"> {</w:t>
      </w:r>
      <w:r w:rsidR="000D1FE8">
        <w:t>month &amp; year</w:t>
      </w:r>
      <w:r w:rsidR="00043749">
        <w:t>} t</w:t>
      </w:r>
      <w:r w:rsidR="00672D85">
        <w:t xml:space="preserve">hrough </w:t>
      </w:r>
      <w:r w:rsidR="004B3E03">
        <w:t>{</w:t>
      </w:r>
      <w:r w:rsidR="000D1FE8">
        <w:t>month &amp; year</w:t>
      </w:r>
      <w:r w:rsidR="004B3E03">
        <w:t>}</w:t>
      </w:r>
    </w:p>
    <w:p w:rsidR="001C25E7" w:rsidRDefault="001C25E7" w:rsidP="00744EC5">
      <w:pPr>
        <w:widowControl w:val="0"/>
        <w:tabs>
          <w:tab w:val="left" w:pos="0"/>
          <w:tab w:val="left" w:pos="144"/>
        </w:tabs>
        <w:ind w:left="720"/>
      </w:pPr>
      <w:r w:rsidRPr="001C25E7">
        <w:t>VAMC (Veterans Affairs Medical Center) treatment records</w:t>
      </w:r>
      <w:r>
        <w:t>,</w:t>
      </w:r>
      <w:r w:rsidR="000D1FE8">
        <w:t xml:space="preserve"> </w:t>
      </w:r>
      <w:r w:rsidR="000845E5">
        <w:t>V</w:t>
      </w:r>
      <w:r w:rsidR="00A64309">
        <w:t xml:space="preserve">AMC {}, </w:t>
      </w:r>
      <w:r w:rsidR="00D12203">
        <w:t xml:space="preserve">from </w:t>
      </w:r>
      <w:r w:rsidR="00672D85">
        <w:t>{month, day &amp; year} through</w:t>
      </w:r>
      <w:r w:rsidR="000D1FE8">
        <w:t xml:space="preserve"> {month, day &amp; year}</w:t>
      </w:r>
      <w:r w:rsidR="00CA4364">
        <w:t xml:space="preserve"> </w:t>
      </w:r>
      <w:r w:rsidR="00CA4364" w:rsidRPr="00CA4364">
        <w:rPr>
          <w:i/>
          <w:color w:val="00B050"/>
        </w:rPr>
        <w:t>My Notes:</w:t>
      </w:r>
      <w:r w:rsidR="00CA4364" w:rsidRPr="00CA4364">
        <w:rPr>
          <w:color w:val="00B050"/>
        </w:rPr>
        <w:t xml:space="preserve">  </w:t>
      </w:r>
      <w:r w:rsidR="00CA4364" w:rsidRPr="00D36CD9">
        <w:rPr>
          <w:i/>
        </w:rPr>
        <w:t>We should probably treat MTF records (not from JLV) the same as VATRs.</w:t>
      </w:r>
    </w:p>
    <w:p w:rsidR="00AA70F9" w:rsidRDefault="00AA70F9" w:rsidP="00744EC5">
      <w:pPr>
        <w:widowControl w:val="0"/>
        <w:tabs>
          <w:tab w:val="left" w:pos="0"/>
          <w:tab w:val="left" w:pos="144"/>
        </w:tabs>
        <w:ind w:left="720"/>
      </w:pPr>
      <w:r w:rsidRPr="00AA70F9">
        <w:t xml:space="preserve">Military Treatment Facility </w:t>
      </w:r>
      <w:r>
        <w:t xml:space="preserve">(MTF) </w:t>
      </w:r>
      <w:r w:rsidRPr="00AA70F9">
        <w:t>Records</w:t>
      </w:r>
      <w:r>
        <w:t>,</w:t>
      </w:r>
      <w:r w:rsidR="00EF7A54">
        <w:t xml:space="preserve"> received</w:t>
      </w:r>
      <w:r>
        <w:t xml:space="preserve"> {}, </w:t>
      </w:r>
      <w:r w:rsidR="00CD000F">
        <w:t xml:space="preserve">dated </w:t>
      </w:r>
      <w:r>
        <w:t>{month, day &amp; year} t</w:t>
      </w:r>
      <w:r w:rsidR="00672D85">
        <w:t>hrough</w:t>
      </w:r>
      <w:r>
        <w:t xml:space="preserve"> {month, day &amp; year}</w:t>
      </w:r>
    </w:p>
    <w:p w:rsidR="001C25E7" w:rsidRDefault="001C25E7" w:rsidP="00744EC5">
      <w:pPr>
        <w:widowControl w:val="0"/>
        <w:tabs>
          <w:tab w:val="left" w:pos="0"/>
          <w:tab w:val="left" w:pos="144"/>
        </w:tabs>
        <w:ind w:left="720"/>
      </w:pPr>
      <w:r w:rsidRPr="001C25E7">
        <w:t xml:space="preserve">Private </w:t>
      </w:r>
      <w:r>
        <w:t xml:space="preserve">Treatment </w:t>
      </w:r>
      <w:r w:rsidRPr="001C25E7">
        <w:t>Records</w:t>
      </w:r>
      <w:r>
        <w:t xml:space="preserve"> (PTRs), {}, received {},</w:t>
      </w:r>
      <w:r w:rsidR="00CD000F">
        <w:t xml:space="preserve"> dated</w:t>
      </w:r>
      <w:r w:rsidR="000D1FE8">
        <w:t xml:space="preserve"> </w:t>
      </w:r>
      <w:r>
        <w:t>{</w:t>
      </w:r>
      <w:r w:rsidR="000D1FE8">
        <w:t>month &amp; year</w:t>
      </w:r>
      <w:r>
        <w:t>} t</w:t>
      </w:r>
      <w:r w:rsidR="00672D85">
        <w:t>hrough</w:t>
      </w:r>
      <w:r>
        <w:t xml:space="preserve"> {</w:t>
      </w:r>
      <w:r w:rsidR="000D1FE8">
        <w:t>month &amp; year</w:t>
      </w:r>
      <w:r>
        <w:t>}</w:t>
      </w:r>
    </w:p>
    <w:p w:rsidR="00B477E3" w:rsidRDefault="00B477E3" w:rsidP="00744EC5">
      <w:pPr>
        <w:widowControl w:val="0"/>
        <w:tabs>
          <w:tab w:val="left" w:pos="0"/>
          <w:tab w:val="left" w:pos="144"/>
        </w:tabs>
        <w:ind w:left="720"/>
      </w:pPr>
      <w:r w:rsidRPr="00B477E3">
        <w:t>Disability Benefits Questionnaires (DBQs), {QTC</w:t>
      </w:r>
      <w:r w:rsidR="00744EC5">
        <w:t>/MSLA/VetFed</w:t>
      </w:r>
      <w:r w:rsidRPr="00B477E3">
        <w:t>/</w:t>
      </w:r>
      <w:r w:rsidR="002445CA">
        <w:t>VAMC San Diego</w:t>
      </w:r>
      <w:r w:rsidRPr="00B477E3">
        <w:t>}, dated {}</w:t>
      </w:r>
    </w:p>
    <w:p w:rsidR="001C25E7" w:rsidRPr="00157777" w:rsidRDefault="001C25E7" w:rsidP="001C25E7">
      <w:pPr>
        <w:widowControl w:val="0"/>
        <w:tabs>
          <w:tab w:val="left" w:pos="0"/>
          <w:tab w:val="left" w:pos="144"/>
        </w:tabs>
        <w:ind w:left="720"/>
      </w:pPr>
      <w:r w:rsidRPr="00A20F8E">
        <w:t>DoD Military Treatment Facility</w:t>
      </w:r>
      <w:r w:rsidR="00DF4374">
        <w:t xml:space="preserve"> (MTF) R</w:t>
      </w:r>
      <w:r w:rsidRPr="00A20F8E">
        <w:t xml:space="preserve">ecords </w:t>
      </w:r>
      <w:r>
        <w:t>from JLV / VistAWeb</w:t>
      </w:r>
      <w:r w:rsidR="00DF4374">
        <w:t>, {facility, if not multiple}</w:t>
      </w:r>
      <w:r w:rsidRPr="00A20F8E">
        <w:t xml:space="preserve">, </w:t>
      </w:r>
      <w:r>
        <w:t>received {}</w:t>
      </w:r>
    </w:p>
    <w:p w:rsidR="001C25E7" w:rsidRDefault="00B477E3" w:rsidP="000D1FE8">
      <w:pPr>
        <w:widowControl w:val="0"/>
        <w:tabs>
          <w:tab w:val="left" w:pos="0"/>
          <w:tab w:val="left" w:pos="144"/>
        </w:tabs>
        <w:ind w:left="720"/>
        <w:rPr>
          <w:b/>
        </w:rPr>
      </w:pPr>
      <w:r w:rsidRPr="00B477E3">
        <w:t>Joint Services Records Research Center (JSRRC) response, received {}</w:t>
      </w:r>
      <w:r w:rsidR="004E1164">
        <w:t xml:space="preserve"> – if get negative response, no memo needed, per VA Pulse </w:t>
      </w:r>
      <w:hyperlink r:id="rId731" w:history="1">
        <w:r w:rsidR="000D1FE8" w:rsidRPr="0016268F">
          <w:rPr>
            <w:rStyle w:val="Hyperlink"/>
            <w:i/>
          </w:rPr>
          <w:t>https://www.vapulse.net/message/78380</w:t>
        </w:r>
        <w:r w:rsidR="000D1FE8" w:rsidRPr="0016268F">
          <w:rPr>
            <w:rStyle w:val="Hyperlink"/>
          </w:rPr>
          <w:t xml:space="preserve"> &amp; </w:t>
        </w:r>
        <w:r w:rsidR="000D1FE8" w:rsidRPr="0016268F">
          <w:rPr>
            <w:rStyle w:val="Hyperlink"/>
            <w:b/>
          </w:rPr>
          <w:t>IV.ii.1.D.4.a</w:t>
        </w:r>
      </w:hyperlink>
    </w:p>
    <w:p w:rsidR="000D1FE8" w:rsidRPr="00B477E3" w:rsidRDefault="000D1FE8" w:rsidP="000D1FE8">
      <w:pPr>
        <w:widowControl w:val="0"/>
        <w:tabs>
          <w:tab w:val="left" w:pos="0"/>
          <w:tab w:val="left" w:pos="144"/>
        </w:tabs>
        <w:ind w:left="720"/>
      </w:pPr>
      <w:r w:rsidRPr="00B477E3">
        <w:t>VA Form 21-526EZ, Application for Disability Compensation and Related Compensation Benefits, received on {}</w:t>
      </w:r>
    </w:p>
    <w:p w:rsidR="000D1FE8" w:rsidRDefault="000D1FE8" w:rsidP="000D1FE8">
      <w:pPr>
        <w:widowControl w:val="0"/>
        <w:tabs>
          <w:tab w:val="left" w:pos="0"/>
          <w:tab w:val="left" w:pos="144"/>
        </w:tabs>
        <w:ind w:left="720"/>
      </w:pPr>
      <w:r w:rsidRPr="00B477E3">
        <w:t>VA Form 27-0820, Report of General Information, dated {}</w:t>
      </w:r>
    </w:p>
    <w:p w:rsidR="000D1FE8" w:rsidRDefault="000D1FE8" w:rsidP="00F033AC">
      <w:pPr>
        <w:widowControl w:val="0"/>
        <w:tabs>
          <w:tab w:val="left" w:pos="0"/>
          <w:tab w:val="left" w:pos="144"/>
        </w:tabs>
        <w:ind w:left="720"/>
        <w:rPr>
          <w:rStyle w:val="Emphasis"/>
          <w:i w:val="0"/>
          <w:szCs w:val="21"/>
        </w:rPr>
      </w:pPr>
      <w:r w:rsidRPr="000D1FE8">
        <w:rPr>
          <w:rStyle w:val="Emphasis"/>
          <w:i w:val="0"/>
          <w:szCs w:val="21"/>
        </w:rPr>
        <w:t>Private Treatment Records (PTRs) requested from {}, but not received</w:t>
      </w:r>
    </w:p>
    <w:p w:rsidR="00F033AC" w:rsidRPr="000D1FE8" w:rsidRDefault="00F033AC" w:rsidP="000D1FE8">
      <w:pPr>
        <w:widowControl w:val="0"/>
        <w:tabs>
          <w:tab w:val="left" w:pos="0"/>
          <w:tab w:val="left" w:pos="144"/>
        </w:tabs>
        <w:spacing w:after="120"/>
        <w:ind w:left="720"/>
        <w:rPr>
          <w:i/>
          <w:sz w:val="18"/>
        </w:rPr>
      </w:pPr>
      <w:r w:rsidRPr="00744EC5">
        <w:rPr>
          <w:i/>
        </w:rPr>
        <w:t xml:space="preserve">Private </w:t>
      </w:r>
      <w:r>
        <w:rPr>
          <w:i/>
        </w:rPr>
        <w:t xml:space="preserve">Treatment </w:t>
      </w:r>
      <w:r w:rsidRPr="00744EC5">
        <w:rPr>
          <w:i/>
        </w:rPr>
        <w:t>Records (P</w:t>
      </w:r>
      <w:r>
        <w:rPr>
          <w:i/>
        </w:rPr>
        <w:t>T</w:t>
      </w:r>
      <w:r w:rsidRPr="00744EC5">
        <w:rPr>
          <w:i/>
        </w:rPr>
        <w:t>R</w:t>
      </w:r>
      <w:r>
        <w:rPr>
          <w:i/>
        </w:rPr>
        <w:t>s</w:t>
      </w:r>
      <w:r w:rsidRPr="00744EC5">
        <w:rPr>
          <w:i/>
        </w:rPr>
        <w:t>) requested from {}, but not received</w:t>
      </w:r>
      <w:r>
        <w:rPr>
          <w:i/>
        </w:rPr>
        <w:t>, as they indicated your records were destroyed</w:t>
      </w:r>
    </w:p>
    <w:p w:rsidR="00E3533B" w:rsidRPr="00A756A5" w:rsidRDefault="00BF25E8" w:rsidP="00F063AF">
      <w:pPr>
        <w:pStyle w:val="ListParagraph"/>
        <w:numPr>
          <w:ilvl w:val="0"/>
          <w:numId w:val="156"/>
        </w:numPr>
        <w:spacing w:after="120"/>
        <w:ind w:left="446"/>
        <w:rPr>
          <w:rFonts w:ascii="Arial" w:hAnsi="Arial"/>
          <w:i/>
          <w:sz w:val="20"/>
          <w:szCs w:val="20"/>
        </w:rPr>
      </w:pPr>
      <w:r w:rsidRPr="00C2315E">
        <w:rPr>
          <w:rFonts w:ascii="Arial" w:hAnsi="Arial"/>
          <w:b/>
          <w:i/>
          <w:sz w:val="20"/>
          <w:szCs w:val="20"/>
        </w:rPr>
        <w:t xml:space="preserve">March 2014 </w:t>
      </w:r>
      <w:r w:rsidR="00EB6F0B" w:rsidRPr="00C2315E">
        <w:rPr>
          <w:rFonts w:ascii="Arial" w:hAnsi="Arial"/>
          <w:b/>
          <w:i/>
          <w:sz w:val="20"/>
          <w:szCs w:val="20"/>
        </w:rPr>
        <w:t>Compensation Service Bulletin (CSB)</w:t>
      </w:r>
      <w:r w:rsidRPr="00E3533B">
        <w:rPr>
          <w:rFonts w:ascii="Arial" w:hAnsi="Arial"/>
          <w:sz w:val="20"/>
          <w:szCs w:val="20"/>
        </w:rPr>
        <w:t xml:space="preserve"> – </w:t>
      </w:r>
      <w:r w:rsidR="00E3533B" w:rsidRPr="00E3533B">
        <w:rPr>
          <w:rFonts w:ascii="Arial" w:hAnsi="Arial"/>
          <w:sz w:val="20"/>
          <w:szCs w:val="20"/>
        </w:rPr>
        <w:t xml:space="preserve">The VBMS-R Import Evidence functionality pulls the list of evidence into the eFolder by the date of receipt. </w:t>
      </w:r>
      <w:r w:rsidR="00E3533B" w:rsidRPr="00E3533B">
        <w:rPr>
          <w:rFonts w:ascii="Arial" w:hAnsi="Arial"/>
          <w:sz w:val="20"/>
          <w:szCs w:val="20"/>
          <w:u w:val="single"/>
        </w:rPr>
        <w:t>All evidence</w:t>
      </w:r>
      <w:r w:rsidR="00E3533B" w:rsidRPr="00E3533B">
        <w:rPr>
          <w:rFonts w:ascii="Arial" w:hAnsi="Arial"/>
          <w:sz w:val="20"/>
          <w:szCs w:val="20"/>
        </w:rPr>
        <w:t xml:space="preserve"> can be listed by the date received, and not by the date range covered by the received evidence.  This will include RVSRs using the date of receipt of STRs in the evidence list. There is no need to change to the date range covered by the STRs</w:t>
      </w:r>
      <w:r w:rsidR="00A756A5">
        <w:rPr>
          <w:rFonts w:ascii="Arial" w:hAnsi="Arial"/>
          <w:sz w:val="20"/>
          <w:szCs w:val="20"/>
        </w:rPr>
        <w:t>.</w:t>
      </w:r>
    </w:p>
    <w:p w:rsidR="00A756A5" w:rsidRPr="00E3533B" w:rsidRDefault="00A756A5" w:rsidP="00F063AF">
      <w:pPr>
        <w:pStyle w:val="ListParagraph"/>
        <w:numPr>
          <w:ilvl w:val="0"/>
          <w:numId w:val="156"/>
        </w:numPr>
        <w:ind w:left="450"/>
        <w:rPr>
          <w:rFonts w:ascii="Arial" w:hAnsi="Arial"/>
          <w:i/>
          <w:sz w:val="20"/>
          <w:szCs w:val="20"/>
        </w:rPr>
      </w:pPr>
      <w:r w:rsidRPr="00A756A5">
        <w:rPr>
          <w:rFonts w:ascii="Arial" w:hAnsi="Arial"/>
          <w:b/>
          <w:sz w:val="20"/>
          <w:szCs w:val="20"/>
        </w:rPr>
        <w:t>Auto-populating DBQs</w:t>
      </w:r>
      <w:r>
        <w:rPr>
          <w:rFonts w:ascii="Arial" w:hAnsi="Arial"/>
          <w:i/>
          <w:sz w:val="20"/>
          <w:szCs w:val="20"/>
        </w:rPr>
        <w:t xml:space="preserve"> – </w:t>
      </w:r>
      <w:r>
        <w:rPr>
          <w:rFonts w:ascii="Arial" w:hAnsi="Arial"/>
          <w:sz w:val="20"/>
          <w:szCs w:val="20"/>
        </w:rPr>
        <w:t>only from VAMC SD, West LA &amp; 11 other VAMCs; only for 6 DBQs (back, neck, HL/tinnitus, endocrine, thyroid/parathyroid &amp; DM DBQs), but document then says only for 3 DBQs…</w:t>
      </w: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tc>
          <w:tcPr>
            <w:tcW w:w="705" w:type="dxa"/>
            <w:tcBorders>
              <w:top w:val="nil"/>
              <w:left w:val="nil"/>
              <w:bottom w:val="nil"/>
              <w:right w:val="nil"/>
            </w:tcBorders>
          </w:tcPr>
          <w:p w:rsidR="00013EB8" w:rsidRDefault="00013EB8">
            <w:pPr>
              <w:widowControl w:val="0"/>
              <w:numPr>
                <w:ilvl w:val="12"/>
                <w:numId w:val="0"/>
              </w:numPr>
              <w:rPr>
                <w:b/>
              </w:rPr>
            </w:pPr>
            <w:r w:rsidRPr="00453DE5">
              <w:rPr>
                <w:b/>
              </w:rPr>
              <w:t>3.159</w:t>
            </w:r>
          </w:p>
        </w:tc>
        <w:tc>
          <w:tcPr>
            <w:tcW w:w="10170" w:type="dxa"/>
            <w:tcBorders>
              <w:top w:val="nil"/>
              <w:left w:val="nil"/>
              <w:bottom w:val="nil"/>
              <w:right w:val="nil"/>
            </w:tcBorders>
          </w:tcPr>
          <w:p w:rsidR="00013EB8" w:rsidRDefault="00013EB8">
            <w:pPr>
              <w:widowControl w:val="0"/>
              <w:tabs>
                <w:tab w:val="left" w:pos="330"/>
              </w:tabs>
              <w:spacing w:after="120"/>
              <w:rPr>
                <w:b/>
                <w:bCs/>
                <w:i/>
                <w:iCs/>
              </w:rPr>
            </w:pPr>
            <w:r>
              <w:rPr>
                <w:b/>
              </w:rPr>
              <w:t>Department of Veterans Affairs assistance in developing claims</w:t>
            </w:r>
            <w:r>
              <w:t xml:space="preserve"> – </w:t>
            </w:r>
            <w:r w:rsidRPr="00DB3FEA">
              <w:t>changed 9/25/01</w:t>
            </w:r>
          </w:p>
          <w:p w:rsidR="00013EB8" w:rsidRPr="003E25F6" w:rsidRDefault="00013EB8" w:rsidP="00F063AF">
            <w:pPr>
              <w:widowControl w:val="0"/>
              <w:numPr>
                <w:ilvl w:val="0"/>
                <w:numId w:val="105"/>
              </w:numPr>
              <w:spacing w:after="120"/>
              <w:rPr>
                <w:rStyle w:val="Strong"/>
                <w:i/>
                <w:iCs/>
              </w:rPr>
            </w:pPr>
            <w:r w:rsidRPr="00175CDF">
              <w:rPr>
                <w:b/>
                <w:bCs/>
              </w:rPr>
              <w:t>I.1</w:t>
            </w:r>
            <w:r w:rsidR="00BF4E47" w:rsidRPr="00175CDF">
              <w:rPr>
                <w:b/>
                <w:bCs/>
              </w:rPr>
              <w:t>.</w:t>
            </w:r>
            <w:r w:rsidR="00B82690" w:rsidRPr="00175CDF">
              <w:rPr>
                <w:b/>
                <w:bCs/>
              </w:rPr>
              <w:t>A</w:t>
            </w:r>
            <w:r w:rsidR="0046084F" w:rsidRPr="00175CDF">
              <w:rPr>
                <w:b/>
                <w:bCs/>
              </w:rPr>
              <w:t>.3.a</w:t>
            </w:r>
            <w:r w:rsidR="003D0858">
              <w:rPr>
                <w:b/>
                <w:bCs/>
              </w:rPr>
              <w:t xml:space="preserve"> </w:t>
            </w:r>
            <w:r w:rsidR="0046084F" w:rsidRPr="00175CDF">
              <w:rPr>
                <w:b/>
              </w:rPr>
              <w:t xml:space="preserve">&amp; </w:t>
            </w:r>
            <w:r w:rsidR="00F737BD">
              <w:rPr>
                <w:b/>
                <w:bCs/>
              </w:rPr>
              <w:t>I.1.C.4</w:t>
            </w:r>
            <w:r w:rsidR="00706E09" w:rsidRPr="00175CDF">
              <w:rPr>
                <w:rStyle w:val="id-mask"/>
                <w:b/>
                <w:i/>
              </w:rPr>
              <w:t xml:space="preserve"> </w:t>
            </w:r>
            <w:r w:rsidR="00B82690" w:rsidRPr="00175CDF">
              <w:rPr>
                <w:bCs/>
              </w:rPr>
              <w:t>– r</w:t>
            </w:r>
            <w:r w:rsidRPr="00175CDF">
              <w:rPr>
                <w:bCs/>
              </w:rPr>
              <w:t xml:space="preserve">elevant </w:t>
            </w:r>
            <w:r w:rsidR="00B82690" w:rsidRPr="00175CDF">
              <w:rPr>
                <w:bCs/>
              </w:rPr>
              <w:t>r</w:t>
            </w:r>
            <w:r w:rsidRPr="00175CDF">
              <w:rPr>
                <w:bCs/>
              </w:rPr>
              <w:t>ecords</w:t>
            </w:r>
            <w:r w:rsidR="00895E20">
              <w:rPr>
                <w:bCs/>
              </w:rPr>
              <w:t xml:space="preserve"> (selecting &amp; storing electronic VATRs - </w:t>
            </w:r>
            <w:r w:rsidR="00895E20" w:rsidRPr="00895E20">
              <w:rPr>
                <w:rStyle w:val="Strong"/>
                <w:szCs w:val="21"/>
              </w:rPr>
              <w:t>III.iii.1.C.4.</w:t>
            </w:r>
            <w:r w:rsidR="00AD78D9">
              <w:rPr>
                <w:rStyle w:val="Strong"/>
                <w:szCs w:val="21"/>
              </w:rPr>
              <w:t>h</w:t>
            </w:r>
            <w:r w:rsidR="00AD78D9" w:rsidRPr="00AD78D9">
              <w:rPr>
                <w:rStyle w:val="Strong"/>
                <w:b w:val="0"/>
                <w:szCs w:val="21"/>
              </w:rPr>
              <w:t xml:space="preserve"> &amp;</w:t>
            </w:r>
            <w:r w:rsidR="00AD78D9">
              <w:rPr>
                <w:rStyle w:val="Strong"/>
                <w:szCs w:val="21"/>
              </w:rPr>
              <w:t xml:space="preserve"> III.v.6.G.1.c</w:t>
            </w:r>
            <w:r w:rsidR="00895E20" w:rsidRPr="00895E20">
              <w:rPr>
                <w:rStyle w:val="Strong"/>
                <w:b w:val="0"/>
                <w:color w:val="444444"/>
                <w:szCs w:val="21"/>
              </w:rPr>
              <w:t>)</w:t>
            </w:r>
          </w:p>
          <w:p w:rsidR="0094476E" w:rsidRPr="0094476E" w:rsidRDefault="0094476E" w:rsidP="0094476E">
            <w:pPr>
              <w:widowControl w:val="0"/>
              <w:pBdr>
                <w:top w:val="single" w:sz="4" w:space="1" w:color="auto"/>
                <w:left w:val="single" w:sz="4" w:space="4" w:color="auto"/>
                <w:bottom w:val="single" w:sz="4" w:space="1" w:color="auto"/>
                <w:right w:val="single" w:sz="4" w:space="4" w:color="auto"/>
              </w:pBdr>
              <w:spacing w:after="120"/>
              <w:ind w:left="330" w:right="60"/>
              <w:rPr>
                <w:bCs/>
                <w:iCs/>
              </w:rPr>
            </w:pPr>
            <w:r w:rsidRPr="0094476E">
              <w:rPr>
                <w:bCs/>
                <w:iCs/>
              </w:rPr>
              <w:t>Rating Note:  The {date} records from Dr. {} listed on the {} are not relevant since DBQs were conducted &amp; SC for {} has been granted (per I.1.A.3 &amp; Raugust v. Shinseki, since we do not have a specific reason to believe that the records identified by the Veteran would contain necessary information to substantiate the claim, we have no duty to obtain records {&amp; do not need to request a 4142}). I.1.C.4</w:t>
            </w:r>
          </w:p>
          <w:p w:rsidR="0094476E" w:rsidRPr="0094476E" w:rsidRDefault="0094476E" w:rsidP="0094476E">
            <w:pPr>
              <w:widowControl w:val="0"/>
              <w:pBdr>
                <w:top w:val="single" w:sz="4" w:space="1" w:color="auto"/>
                <w:left w:val="single" w:sz="4" w:space="4" w:color="auto"/>
                <w:bottom w:val="single" w:sz="4" w:space="1" w:color="auto"/>
                <w:right w:val="single" w:sz="4" w:space="4" w:color="auto"/>
              </w:pBdr>
              <w:spacing w:after="120"/>
              <w:ind w:left="330" w:right="60"/>
              <w:rPr>
                <w:bCs/>
                <w:iCs/>
              </w:rPr>
            </w:pPr>
            <w:r>
              <w:rPr>
                <w:bCs/>
                <w:iCs/>
              </w:rPr>
              <w:t>OR</w:t>
            </w:r>
          </w:p>
          <w:p w:rsidR="003E25F6" w:rsidRDefault="0094476E" w:rsidP="003E25F6">
            <w:pPr>
              <w:widowControl w:val="0"/>
              <w:pBdr>
                <w:top w:val="single" w:sz="4" w:space="1" w:color="auto"/>
                <w:left w:val="single" w:sz="4" w:space="4" w:color="auto"/>
                <w:bottom w:val="single" w:sz="4" w:space="1" w:color="auto"/>
                <w:right w:val="single" w:sz="4" w:space="4" w:color="auto"/>
              </w:pBdr>
              <w:spacing w:after="120"/>
              <w:ind w:left="330" w:right="60"/>
              <w:rPr>
                <w:bCs/>
                <w:iCs/>
              </w:rPr>
            </w:pPr>
            <w:r w:rsidRPr="0094476E">
              <w:rPr>
                <w:bCs/>
                <w:iCs/>
              </w:rPr>
              <w:t>Rating Note:  The {date} records from Dr. {} listed on the {} are not relevant since DBQs were conducted &amp; SC for all claimed disabilities has been granted, per I.1.A.3 &amp; I.1.C.4.</w:t>
            </w:r>
          </w:p>
          <w:p w:rsidR="003E25F6" w:rsidRDefault="003E25F6" w:rsidP="003E25F6">
            <w:pPr>
              <w:widowControl w:val="0"/>
              <w:pBdr>
                <w:top w:val="single" w:sz="4" w:space="1" w:color="auto"/>
                <w:left w:val="single" w:sz="4" w:space="4" w:color="auto"/>
                <w:bottom w:val="single" w:sz="4" w:space="1" w:color="auto"/>
                <w:right w:val="single" w:sz="4" w:space="4" w:color="auto"/>
              </w:pBdr>
              <w:spacing w:after="120"/>
              <w:ind w:left="330" w:right="60"/>
              <w:rPr>
                <w:bCs/>
                <w:iCs/>
              </w:rPr>
            </w:pPr>
          </w:p>
          <w:p w:rsidR="003E25F6" w:rsidRPr="003E25F6" w:rsidRDefault="003E25F6" w:rsidP="003E25F6">
            <w:pPr>
              <w:widowControl w:val="0"/>
              <w:pBdr>
                <w:top w:val="single" w:sz="4" w:space="1" w:color="auto"/>
                <w:left w:val="single" w:sz="4" w:space="4" w:color="auto"/>
                <w:bottom w:val="single" w:sz="4" w:space="1" w:color="auto"/>
                <w:right w:val="single" w:sz="4" w:space="4" w:color="auto"/>
              </w:pBdr>
              <w:spacing w:after="120"/>
              <w:ind w:left="330" w:right="60"/>
              <w:rPr>
                <w:bCs/>
                <w:iCs/>
              </w:rPr>
            </w:pPr>
            <w:r w:rsidRPr="003E25F6">
              <w:rPr>
                <w:rStyle w:val="Strong"/>
                <w:bCs w:val="0"/>
                <w:szCs w:val="21"/>
              </w:rPr>
              <w:t>III.iii.1.C.2.d</w:t>
            </w:r>
            <w:r w:rsidRPr="003E25F6">
              <w:rPr>
                <w:szCs w:val="21"/>
              </w:rPr>
              <w:t xml:space="preserve"> – If a veteran has received treatment at a VAMC and/or outpatient clinic, and a summary of that treatment is relevant to a pending claim … then request/retrieve a summary of treatment through CAPRI dating </w:t>
            </w:r>
            <w:r w:rsidRPr="00ED2510">
              <w:rPr>
                <w:i/>
                <w:szCs w:val="21"/>
              </w:rPr>
              <w:t>one year prior to the date of claim (DOC)</w:t>
            </w:r>
            <w:r w:rsidRPr="003E25F6">
              <w:rPr>
                <w:szCs w:val="21"/>
              </w:rPr>
              <w:t xml:space="preserve"> and/or any other dates indicated by the claimant as relevant to the claim. </w:t>
            </w:r>
            <w:r w:rsidR="00ED2510">
              <w:rPr>
                <w:szCs w:val="21"/>
              </w:rPr>
              <w:t xml:space="preserve"> </w:t>
            </w:r>
            <w:r w:rsidR="00ED2510" w:rsidRPr="00ED2510">
              <w:rPr>
                <w:i/>
                <w:szCs w:val="21"/>
              </w:rPr>
              <w:t>Emphasis added</w:t>
            </w:r>
          </w:p>
          <w:p w:rsidR="00B36520" w:rsidRDefault="00E33EA9" w:rsidP="00B36520">
            <w:pPr>
              <w:widowControl w:val="0"/>
              <w:pBdr>
                <w:top w:val="single" w:sz="4" w:space="1" w:color="auto"/>
                <w:left w:val="single" w:sz="4" w:space="4" w:color="auto"/>
                <w:bottom w:val="single" w:sz="4" w:space="1" w:color="auto"/>
                <w:right w:val="single" w:sz="4" w:space="4" w:color="auto"/>
              </w:pBdr>
              <w:spacing w:after="120"/>
              <w:ind w:left="330" w:right="60"/>
              <w:rPr>
                <w:bCs/>
                <w:iCs/>
              </w:rPr>
            </w:pPr>
            <w:r w:rsidRPr="00E33EA9">
              <w:rPr>
                <w:bCs/>
                <w:iCs/>
              </w:rPr>
              <w:t xml:space="preserve">Rating Note:  All VAMC records were reviewed, but only the new, relevant records </w:t>
            </w:r>
            <w:r w:rsidR="00982A96">
              <w:rPr>
                <w:bCs/>
                <w:iCs/>
              </w:rPr>
              <w:t xml:space="preserve">{from the prior year} </w:t>
            </w:r>
            <w:r w:rsidRPr="00E33EA9">
              <w:rPr>
                <w:bCs/>
                <w:iCs/>
              </w:rPr>
              <w:t>were uploaded.</w:t>
            </w:r>
          </w:p>
          <w:p w:rsidR="0094476E" w:rsidRDefault="00A77E24" w:rsidP="00B36520">
            <w:pPr>
              <w:widowControl w:val="0"/>
              <w:pBdr>
                <w:top w:val="single" w:sz="4" w:space="1" w:color="auto"/>
                <w:left w:val="single" w:sz="4" w:space="4" w:color="auto"/>
                <w:bottom w:val="single" w:sz="4" w:space="1" w:color="auto"/>
                <w:right w:val="single" w:sz="4" w:space="4" w:color="auto"/>
              </w:pBdr>
              <w:spacing w:after="120"/>
              <w:ind w:left="330" w:right="60"/>
              <w:rPr>
                <w:bCs/>
                <w:iCs/>
              </w:rPr>
            </w:pPr>
            <w:r w:rsidRPr="00A77E24">
              <w:rPr>
                <w:bCs/>
                <w:iCs/>
              </w:rPr>
              <w:t>Rating Note:  All VAMC records were reviewed, but there were no new, relevant records to upload.</w:t>
            </w:r>
          </w:p>
          <w:p w:rsidR="00AF35DE" w:rsidRDefault="006B6BE7" w:rsidP="00AF35DE">
            <w:pPr>
              <w:widowControl w:val="0"/>
              <w:pBdr>
                <w:top w:val="single" w:sz="4" w:space="1" w:color="auto"/>
                <w:left w:val="single" w:sz="4" w:space="4" w:color="auto"/>
                <w:bottom w:val="single" w:sz="4" w:space="1" w:color="auto"/>
                <w:right w:val="single" w:sz="4" w:space="4" w:color="auto"/>
              </w:pBdr>
              <w:spacing w:after="120"/>
              <w:ind w:left="330" w:right="60"/>
              <w:rPr>
                <w:bCs/>
                <w:iCs/>
              </w:rPr>
            </w:pPr>
            <w:r w:rsidRPr="006B6BE7">
              <w:rPr>
                <w:bCs/>
                <w:iCs/>
              </w:rPr>
              <w:t>Rating Note:  There are no new, relevant records from the prior year at the VAMCs.</w:t>
            </w:r>
          </w:p>
          <w:p w:rsidR="00AF35DE" w:rsidRDefault="00AF35DE" w:rsidP="00AF35DE">
            <w:pPr>
              <w:widowControl w:val="0"/>
              <w:pBdr>
                <w:top w:val="single" w:sz="4" w:space="1" w:color="auto"/>
                <w:left w:val="single" w:sz="4" w:space="4" w:color="auto"/>
                <w:bottom w:val="single" w:sz="4" w:space="1" w:color="auto"/>
                <w:right w:val="single" w:sz="4" w:space="4" w:color="auto"/>
              </w:pBdr>
              <w:spacing w:after="120"/>
              <w:ind w:left="330" w:right="60"/>
              <w:rPr>
                <w:bCs/>
                <w:iCs/>
              </w:rPr>
            </w:pPr>
          </w:p>
          <w:p w:rsidR="00AF35DE" w:rsidRDefault="00AF35DE" w:rsidP="00A11863">
            <w:pPr>
              <w:widowControl w:val="0"/>
              <w:pBdr>
                <w:top w:val="single" w:sz="4" w:space="1" w:color="auto"/>
                <w:left w:val="single" w:sz="4" w:space="4" w:color="auto"/>
                <w:bottom w:val="single" w:sz="4" w:space="1" w:color="auto"/>
                <w:right w:val="single" w:sz="4" w:space="4" w:color="auto"/>
              </w:pBdr>
              <w:spacing w:after="120"/>
              <w:ind w:left="330" w:right="60"/>
              <w:rPr>
                <w:bCs/>
                <w:iCs/>
              </w:rPr>
            </w:pPr>
            <w:r w:rsidRPr="00C40657">
              <w:rPr>
                <w:bCs/>
              </w:rPr>
              <w:t xml:space="preserve">Notes from </w:t>
            </w:r>
            <w:r>
              <w:rPr>
                <w:b/>
                <w:i/>
                <w:u w:val="single"/>
              </w:rPr>
              <w:t xml:space="preserve">March </w:t>
            </w:r>
            <w:r w:rsidRPr="005A0248">
              <w:rPr>
                <w:b/>
                <w:i/>
                <w:u w:val="single"/>
              </w:rPr>
              <w:t>201</w:t>
            </w:r>
            <w:r>
              <w:rPr>
                <w:b/>
                <w:i/>
                <w:u w:val="single"/>
              </w:rPr>
              <w:t>8</w:t>
            </w:r>
            <w:r w:rsidRPr="005A0248">
              <w:rPr>
                <w:b/>
                <w:i/>
                <w:u w:val="single"/>
              </w:rPr>
              <w:t xml:space="preserve"> Training Provided by </w:t>
            </w:r>
            <w:r>
              <w:rPr>
                <w:b/>
                <w:i/>
                <w:u w:val="single"/>
              </w:rPr>
              <w:t>Central Office by Andrew Grey</w:t>
            </w:r>
            <w:r w:rsidRPr="005A0248">
              <w:rPr>
                <w:b/>
                <w:i/>
                <w:u w:val="single"/>
              </w:rPr>
              <w:t xml:space="preserve"> </w:t>
            </w:r>
            <w:r>
              <w:rPr>
                <w:b/>
                <w:i/>
                <w:u w:val="single"/>
              </w:rPr>
              <w:t xml:space="preserve">(Site Visit Training) </w:t>
            </w:r>
            <w:r w:rsidRPr="005A0248">
              <w:rPr>
                <w:b/>
                <w:i/>
                <w:u w:val="single"/>
              </w:rPr>
              <w:t xml:space="preserve">on </w:t>
            </w:r>
            <w:r>
              <w:rPr>
                <w:b/>
                <w:i/>
                <w:u w:val="single"/>
              </w:rPr>
              <w:t>Relevant Records</w:t>
            </w:r>
            <w:r w:rsidRPr="005A0248">
              <w:rPr>
                <w:b/>
                <w:i/>
                <w:u w:val="single"/>
              </w:rPr>
              <w:t>:</w:t>
            </w:r>
          </w:p>
          <w:p w:rsidR="00A468CC" w:rsidRDefault="003E7BF0" w:rsidP="00A468CC">
            <w:pPr>
              <w:widowControl w:val="0"/>
              <w:pBdr>
                <w:top w:val="single" w:sz="4" w:space="1" w:color="auto"/>
                <w:left w:val="single" w:sz="4" w:space="4" w:color="auto"/>
                <w:bottom w:val="single" w:sz="4" w:space="1" w:color="auto"/>
                <w:right w:val="single" w:sz="4" w:space="4" w:color="auto"/>
              </w:pBdr>
              <w:spacing w:after="120"/>
              <w:ind w:left="330" w:right="60"/>
              <w:rPr>
                <w:bCs/>
                <w:iCs/>
              </w:rPr>
            </w:pPr>
            <w:r>
              <w:rPr>
                <w:bCs/>
                <w:iCs/>
              </w:rPr>
              <w:t>Records are relevant if affect SC, evaluation or effective date</w:t>
            </w:r>
            <w:r w:rsidR="009B54BE">
              <w:rPr>
                <w:bCs/>
                <w:iCs/>
              </w:rPr>
              <w:t xml:space="preserve">, </w:t>
            </w:r>
            <w:r w:rsidR="009B54BE" w:rsidRPr="003E7BF0">
              <w:rPr>
                <w:b/>
                <w:bCs/>
                <w:iCs/>
              </w:rPr>
              <w:t>I.1.C.4.d</w:t>
            </w:r>
            <w:r>
              <w:rPr>
                <w:bCs/>
                <w:iCs/>
              </w:rPr>
              <w:t xml:space="preserve"> (i.e. don’t need records from 1984 for CFI in 2014</w:t>
            </w:r>
            <w:r w:rsidR="009B54BE">
              <w:rPr>
                <w:bCs/>
                <w:iCs/>
              </w:rPr>
              <w:t xml:space="preserve"> since doesn’t affect SC, eval or </w:t>
            </w:r>
            <w:r w:rsidR="004F315B">
              <w:rPr>
                <w:bCs/>
                <w:iCs/>
              </w:rPr>
              <w:t>effective date</w:t>
            </w:r>
            <w:r w:rsidR="009B54BE">
              <w:rPr>
                <w:bCs/>
                <w:iCs/>
              </w:rPr>
              <w:t>;</w:t>
            </w:r>
            <w:r>
              <w:rPr>
                <w:bCs/>
                <w:iCs/>
              </w:rPr>
              <w:t xml:space="preserve"> </w:t>
            </w:r>
            <w:r w:rsidR="009B54BE">
              <w:rPr>
                <w:bCs/>
                <w:iCs/>
              </w:rPr>
              <w:t xml:space="preserve">don’t need records from 9 years ago on original claim for presumptive DM with current records since doesn’t affect SC, eval or </w:t>
            </w:r>
            <w:r w:rsidR="004F315B">
              <w:rPr>
                <w:bCs/>
                <w:iCs/>
              </w:rPr>
              <w:t>effective date</w:t>
            </w:r>
            <w:r>
              <w:rPr>
                <w:bCs/>
                <w:iCs/>
              </w:rPr>
              <w:t>)</w:t>
            </w:r>
          </w:p>
          <w:p w:rsidR="00A468CC" w:rsidRPr="00A468CC" w:rsidRDefault="00A468CC" w:rsidP="00A468CC">
            <w:pPr>
              <w:widowControl w:val="0"/>
              <w:pBdr>
                <w:top w:val="single" w:sz="4" w:space="1" w:color="auto"/>
                <w:left w:val="single" w:sz="4" w:space="4" w:color="auto"/>
                <w:bottom w:val="single" w:sz="4" w:space="1" w:color="auto"/>
                <w:right w:val="single" w:sz="4" w:space="4" w:color="auto"/>
              </w:pBdr>
              <w:spacing w:after="120"/>
              <w:ind w:left="330" w:right="60"/>
              <w:rPr>
                <w:rFonts w:ascii="Segoe UI" w:hAnsi="Segoe UI" w:cs="Segoe UI"/>
              </w:rPr>
            </w:pPr>
            <w:r w:rsidRPr="00A468CC">
              <w:rPr>
                <w:rFonts w:ascii="Segoe UI" w:hAnsi="Segoe UI" w:cs="Segoe UI"/>
                <w:szCs w:val="24"/>
              </w:rPr>
              <w:t xml:space="preserve">Question: The manual (III.iii.1.C.2.d) instructs VSRs to obtain OPTRs dating back one year from the date of the </w:t>
            </w:r>
            <w:r w:rsidRPr="00A468CC">
              <w:rPr>
                <w:rFonts w:ascii="Segoe UI" w:hAnsi="Segoe UI" w:cs="Segoe UI"/>
              </w:rPr>
              <w:t>claim (and any other specific treatment identified). Where this whole relevancy conversation becomes problematic from the standpoint of the RVSR, however, is under the rubric of historic/informal claims rules under 3.157, which still applies to OPTRs pre-dating 3/24/2015. This factor seems largely lost on many folks, and also seems to compel the RVSR (if potentially relevant) to go back, review and upload any/all pre-03/24/2015 records. This takes time, particularly when the OPTRs are voluminous. Can you expand on relevancy of records within the context of 3.157, since it can take up a lot of time uploading OPTRs the manual no longer requires the VSR to obtain?</w:t>
            </w:r>
          </w:p>
          <w:p w:rsidR="00A468CC" w:rsidRPr="00A468CC" w:rsidRDefault="00A468CC" w:rsidP="00A468CC">
            <w:pPr>
              <w:widowControl w:val="0"/>
              <w:pBdr>
                <w:top w:val="single" w:sz="4" w:space="1" w:color="auto"/>
                <w:left w:val="single" w:sz="4" w:space="4" w:color="auto"/>
                <w:bottom w:val="single" w:sz="4" w:space="1" w:color="auto"/>
                <w:right w:val="single" w:sz="4" w:space="4" w:color="auto"/>
              </w:pBdr>
              <w:spacing w:after="120"/>
              <w:ind w:left="330" w:right="60"/>
              <w:rPr>
                <w:rFonts w:ascii="Segoe UI" w:hAnsi="Segoe UI" w:cs="Segoe UI"/>
              </w:rPr>
            </w:pPr>
            <w:r w:rsidRPr="00A468CC">
              <w:rPr>
                <w:rFonts w:ascii="Segoe UI" w:hAnsi="Segoe UI" w:cs="Segoe UI"/>
                <w:b/>
                <w:bCs/>
                <w:color w:val="000000"/>
              </w:rPr>
              <w:t>Answer: While the manual (III.iii.1.C.2.d) instructs the VSRs to obtain OPTRs dating one year prior to date of claim unless specific treatment is identified by the Veteran, the historical application under 38 CFR 3.157 and effective date implications are still relevant for VAMC records prior to 3/24/2015. RVSRs and DROs are responsible for the assignment of effective dates and review of all records within the custody of the VA. If records impacting the effective date are identified within CAPRI, those records must be included in the Veteran’s eFolder. The identification and association of these records and the application of the historical provisions of 3.157 is the responsibility of the RVSR to ensure that the Veteran receives all benefits to which they are entitled.</w:t>
            </w:r>
          </w:p>
          <w:p w:rsidR="00903A8D" w:rsidRPr="00D10240" w:rsidRDefault="00903A8D" w:rsidP="00A468CC">
            <w:pPr>
              <w:pBdr>
                <w:top w:val="double" w:sz="4" w:space="1" w:color="auto"/>
                <w:left w:val="double" w:sz="4" w:space="4" w:color="auto"/>
                <w:bottom w:val="double" w:sz="4" w:space="1" w:color="auto"/>
                <w:right w:val="double" w:sz="4" w:space="4" w:color="auto"/>
              </w:pBdr>
              <w:shd w:val="clear" w:color="auto" w:fill="FFC000"/>
              <w:ind w:left="330" w:right="150"/>
              <w:jc w:val="center"/>
              <w:rPr>
                <w:rFonts w:eastAsiaTheme="minorHAnsi"/>
              </w:rPr>
            </w:pPr>
            <w:r>
              <w:rPr>
                <w:rFonts w:eastAsiaTheme="minorHAnsi"/>
                <w:b/>
              </w:rPr>
              <w:t>San Diego RVSR Training (Version 2).pptx, recorded training &amp; email message with answers to questions</w:t>
            </w:r>
            <w:r>
              <w:rPr>
                <w:rFonts w:eastAsiaTheme="minorHAnsi"/>
              </w:rPr>
              <w:t xml:space="preserve"> are</w:t>
            </w:r>
            <w:r w:rsidRPr="0036376C">
              <w:t xml:space="preserve"> saved at </w:t>
            </w:r>
            <w:r w:rsidRPr="001453C4">
              <w:rPr>
                <w:b/>
                <w:bCs/>
                <w:i/>
                <w:iCs/>
              </w:rPr>
              <w:t>H:\VSC\</w:t>
            </w:r>
            <w:r>
              <w:rPr>
                <w:b/>
                <w:bCs/>
                <w:i/>
                <w:iCs/>
              </w:rPr>
              <w:t>FY2013 LANES\Training\NTC Training Recordings\FY18\2018 Site Visit Training</w:t>
            </w:r>
          </w:p>
          <w:p w:rsidR="00903A8D" w:rsidRPr="00903A8D" w:rsidRDefault="00903A8D" w:rsidP="00903A8D">
            <w:pPr>
              <w:widowControl w:val="0"/>
              <w:spacing w:after="120"/>
              <w:ind w:left="690"/>
              <w:rPr>
                <w:b/>
                <w:bCs/>
                <w:i/>
                <w:iCs/>
              </w:rPr>
            </w:pPr>
          </w:p>
          <w:p w:rsidR="0046084F" w:rsidRPr="00B82690" w:rsidRDefault="0046084F" w:rsidP="00F063AF">
            <w:pPr>
              <w:widowControl w:val="0"/>
              <w:numPr>
                <w:ilvl w:val="0"/>
                <w:numId w:val="105"/>
              </w:numPr>
              <w:spacing w:after="120"/>
              <w:rPr>
                <w:b/>
                <w:bCs/>
                <w:i/>
                <w:iCs/>
              </w:rPr>
            </w:pPr>
            <w:r w:rsidRPr="00175CDF">
              <w:rPr>
                <w:b/>
                <w:iCs/>
              </w:rPr>
              <w:t>I.1.A.3.c</w:t>
            </w:r>
            <w:r>
              <w:rPr>
                <w:b/>
                <w:iCs/>
              </w:rPr>
              <w:t xml:space="preserve"> &amp; </w:t>
            </w:r>
            <w:r w:rsidRPr="00F854B4">
              <w:rPr>
                <w:b/>
                <w:iCs/>
              </w:rPr>
              <w:t>I.1.B.1.</w:t>
            </w:r>
            <w:r w:rsidR="004A20C3">
              <w:rPr>
                <w:b/>
                <w:iCs/>
              </w:rPr>
              <w:t>j</w:t>
            </w:r>
            <w:r>
              <w:rPr>
                <w:iCs/>
              </w:rPr>
              <w:t xml:space="preserve"> – inherently incredible claims or claims that clearly lack merit</w:t>
            </w:r>
            <w:r w:rsidR="00E46546">
              <w:rPr>
                <w:iCs/>
              </w:rPr>
              <w:t xml:space="preserve"> (have to </w:t>
            </w:r>
            <w:r w:rsidR="007B4F52">
              <w:rPr>
                <w:iCs/>
              </w:rPr>
              <w:t>send 5103 Notice, but no further development is needed</w:t>
            </w:r>
            <w:r w:rsidR="00E46546">
              <w:rPr>
                <w:iCs/>
              </w:rPr>
              <w:t>)</w:t>
            </w:r>
          </w:p>
          <w:p w:rsidR="002E3C88" w:rsidRPr="002E3C88" w:rsidRDefault="00021618" w:rsidP="00F063AF">
            <w:pPr>
              <w:widowControl w:val="0"/>
              <w:numPr>
                <w:ilvl w:val="0"/>
                <w:numId w:val="105"/>
              </w:numPr>
              <w:spacing w:after="120"/>
              <w:rPr>
                <w:b/>
                <w:bCs/>
                <w:i/>
                <w:iCs/>
              </w:rPr>
            </w:pPr>
            <w:r w:rsidRPr="00DC7E42">
              <w:rPr>
                <w:b/>
                <w:bCs/>
              </w:rPr>
              <w:t>III.iii.1.A</w:t>
            </w:r>
          </w:p>
          <w:p w:rsidR="00895E20" w:rsidRPr="006E678F" w:rsidRDefault="00B96CFF" w:rsidP="00F063AF">
            <w:pPr>
              <w:widowControl w:val="0"/>
              <w:numPr>
                <w:ilvl w:val="0"/>
                <w:numId w:val="105"/>
              </w:numPr>
              <w:spacing w:after="120"/>
              <w:rPr>
                <w:b/>
                <w:bCs/>
                <w:i/>
                <w:iCs/>
              </w:rPr>
            </w:pPr>
            <w:r w:rsidRPr="00DC7E42">
              <w:rPr>
                <w:b/>
              </w:rPr>
              <w:t>III.iii.1.C</w:t>
            </w:r>
            <w:r w:rsidR="002E3C88">
              <w:rPr>
                <w:b/>
              </w:rPr>
              <w:t>.</w:t>
            </w:r>
            <w:r w:rsidR="00615471">
              <w:rPr>
                <w:b/>
              </w:rPr>
              <w:t>2</w:t>
            </w:r>
            <w:r w:rsidR="002E3C88">
              <w:rPr>
                <w:b/>
              </w:rPr>
              <w:t>.</w:t>
            </w:r>
            <w:r w:rsidR="00615471">
              <w:rPr>
                <w:b/>
              </w:rPr>
              <w:t>c</w:t>
            </w:r>
            <w:r w:rsidR="008952FD">
              <w:rPr>
                <w:b/>
              </w:rPr>
              <w:t xml:space="preserve"> – </w:t>
            </w:r>
            <w:r w:rsidR="006E678F">
              <w:t>might need 7131 for archived records when treatment is</w:t>
            </w:r>
            <w:r w:rsidR="00615471">
              <w:t xml:space="preserve"> alleged at a VAMC prior to late 2004</w:t>
            </w:r>
            <w:r w:rsidR="00D9125F">
              <w:t xml:space="preserve"> (also at </w:t>
            </w:r>
            <w:r w:rsidR="00D9125F" w:rsidRPr="00D9125F">
              <w:rPr>
                <w:b/>
              </w:rPr>
              <w:t>III.iii.1.C.2.e</w:t>
            </w:r>
            <w:r w:rsidR="00D9125F">
              <w:t>)</w:t>
            </w:r>
            <w:r w:rsidR="006E678F">
              <w:t xml:space="preserve">; registration date is for VA healthcare, enrollment date is for each facility (implemented 1996); </w:t>
            </w:r>
            <w:r w:rsidR="002E3C88" w:rsidRPr="002E3C88">
              <w:t>check enrollment date</w:t>
            </w:r>
            <w:r w:rsidR="002E3C88" w:rsidRPr="006E678F">
              <w:rPr>
                <w:b/>
              </w:rPr>
              <w:t xml:space="preserve"> </w:t>
            </w:r>
            <w:r w:rsidR="008952FD" w:rsidRPr="008952FD">
              <w:t>(REPORTS</w:t>
            </w:r>
            <w:r w:rsidR="0037034A">
              <w:t xml:space="preserve"> tab</w:t>
            </w:r>
            <w:r w:rsidR="008952FD" w:rsidRPr="008952FD">
              <w:t xml:space="preserve"> –</w:t>
            </w:r>
            <w:r w:rsidR="000E6A66">
              <w:t xml:space="preserve"> (1)</w:t>
            </w:r>
            <w:r w:rsidR="008952FD" w:rsidRPr="008952FD">
              <w:t xml:space="preserve"> VIEW REGISTRATION DATA (menu on left-hand side) – scroll down report to APPLICATION INFORMATION field</w:t>
            </w:r>
            <w:r w:rsidR="000E6A66">
              <w:t xml:space="preserve"> </w:t>
            </w:r>
            <w:r w:rsidR="000E6A66" w:rsidRPr="008952FD">
              <w:t>to see date veteran</w:t>
            </w:r>
            <w:r w:rsidR="000E6A66">
              <w:t xml:space="preserve"> registered with VHA</w:t>
            </w:r>
            <w:r w:rsidR="008952FD" w:rsidRPr="008952FD">
              <w:t xml:space="preserve"> </w:t>
            </w:r>
            <w:r w:rsidR="005274D5" w:rsidRPr="000E6A66">
              <w:t>and</w:t>
            </w:r>
            <w:r w:rsidR="000E6A66" w:rsidRPr="000E6A66">
              <w:t xml:space="preserve"> (2)</w:t>
            </w:r>
            <w:r w:rsidR="005274D5" w:rsidRPr="000E6A66">
              <w:t xml:space="preserve"> PATIENT PROFILE MAS (Full), then ENROLLMENTS</w:t>
            </w:r>
            <w:r w:rsidR="005274D5">
              <w:t xml:space="preserve"> </w:t>
            </w:r>
            <w:r w:rsidR="000E6A66">
              <w:t>to see the</w:t>
            </w:r>
            <w:r w:rsidR="005274D5">
              <w:t xml:space="preserve"> date they</w:t>
            </w:r>
            <w:r w:rsidR="008952FD" w:rsidRPr="008952FD">
              <w:t xml:space="preserve"> enrolled at that VAMC</w:t>
            </w:r>
          </w:p>
          <w:p w:rsidR="00856137" w:rsidRPr="006E678F" w:rsidRDefault="006E678F" w:rsidP="00F063AF">
            <w:pPr>
              <w:widowControl w:val="0"/>
              <w:numPr>
                <w:ilvl w:val="0"/>
                <w:numId w:val="105"/>
              </w:numPr>
              <w:spacing w:after="120"/>
              <w:rPr>
                <w:b/>
                <w:bCs/>
                <w:i/>
                <w:iCs/>
              </w:rPr>
            </w:pPr>
            <w:r w:rsidRPr="00DC7E42">
              <w:rPr>
                <w:b/>
              </w:rPr>
              <w:t>III.iii.1.C</w:t>
            </w:r>
            <w:r w:rsidR="00615471">
              <w:rPr>
                <w:b/>
              </w:rPr>
              <w:t>.2</w:t>
            </w:r>
            <w:r>
              <w:rPr>
                <w:b/>
              </w:rPr>
              <w:t>.</w:t>
            </w:r>
            <w:r w:rsidR="00615471">
              <w:rPr>
                <w:b/>
              </w:rPr>
              <w:t>e</w:t>
            </w:r>
            <w:r>
              <w:rPr>
                <w:b/>
              </w:rPr>
              <w:t xml:space="preserve"> </w:t>
            </w:r>
            <w:r w:rsidRPr="005274D5">
              <w:t xml:space="preserve">– </w:t>
            </w:r>
            <w:r w:rsidR="005274D5" w:rsidRPr="005274D5">
              <w:t>when to use 7131</w:t>
            </w:r>
            <w:r w:rsidR="005274D5">
              <w:t xml:space="preserve"> (based on dates provided by veteran, registration date in CAPRI, enrollment date in CAPRI)</w:t>
            </w:r>
          </w:p>
          <w:p w:rsidR="005274D5" w:rsidRPr="002E3C88" w:rsidRDefault="005274D5" w:rsidP="00F063AF">
            <w:pPr>
              <w:widowControl w:val="0"/>
              <w:numPr>
                <w:ilvl w:val="0"/>
                <w:numId w:val="105"/>
              </w:numPr>
              <w:spacing w:after="120"/>
              <w:rPr>
                <w:b/>
                <w:bCs/>
                <w:i/>
                <w:iCs/>
              </w:rPr>
            </w:pPr>
            <w:r w:rsidRPr="00DC7E42">
              <w:rPr>
                <w:b/>
              </w:rPr>
              <w:t>III.iii.1.C</w:t>
            </w:r>
            <w:r>
              <w:rPr>
                <w:b/>
              </w:rPr>
              <w:t>.</w:t>
            </w:r>
            <w:r w:rsidR="002A5ECC">
              <w:rPr>
                <w:b/>
              </w:rPr>
              <w:t>2</w:t>
            </w:r>
            <w:r>
              <w:rPr>
                <w:b/>
              </w:rPr>
              <w:t>.</w:t>
            </w:r>
            <w:r w:rsidR="002A5ECC">
              <w:rPr>
                <w:b/>
              </w:rPr>
              <w:t>i</w:t>
            </w:r>
            <w:r>
              <w:rPr>
                <w:b/>
              </w:rPr>
              <w:t xml:space="preserve"> </w:t>
            </w:r>
            <w:r w:rsidRPr="005274D5">
              <w:t xml:space="preserve">– </w:t>
            </w:r>
            <w:r>
              <w:t xml:space="preserve">concluding VAMC records do not exist; </w:t>
            </w:r>
            <w:r w:rsidRPr="006E678F">
              <w:rPr>
                <w:bCs/>
              </w:rPr>
              <w:t>if enrolled on or before date of alleged treatment, it’s likely the records exist, use</w:t>
            </w:r>
            <w:r w:rsidR="00856137">
              <w:rPr>
                <w:bCs/>
              </w:rPr>
              <w:t xml:space="preserve"> electronic VA Form</w:t>
            </w:r>
            <w:r w:rsidR="004974F6">
              <w:rPr>
                <w:bCs/>
              </w:rPr>
              <w:t xml:space="preserve"> </w:t>
            </w:r>
            <w:r w:rsidRPr="006E678F">
              <w:rPr>
                <w:bCs/>
              </w:rPr>
              <w:t>10-7131 in CAPRI</w:t>
            </w:r>
            <w:r w:rsidR="00856137">
              <w:rPr>
                <w:bCs/>
              </w:rPr>
              <w:t xml:space="preserve"> (no longer use hard-copy</w:t>
            </w:r>
            <w:r w:rsidR="00D239BC">
              <w:rPr>
                <w:bCs/>
              </w:rPr>
              <w:t>, they will be rejected</w:t>
            </w:r>
            <w:r w:rsidR="0076213C">
              <w:rPr>
                <w:bCs/>
              </w:rPr>
              <w:t xml:space="preserve">; also do not email or fax 10-7131 per </w:t>
            </w:r>
            <w:r w:rsidR="0076213C" w:rsidRPr="00DC7E42">
              <w:rPr>
                <w:b/>
              </w:rPr>
              <w:t>III.iii.1.C</w:t>
            </w:r>
            <w:r w:rsidR="0076213C">
              <w:rPr>
                <w:b/>
              </w:rPr>
              <w:t>.</w:t>
            </w:r>
            <w:r w:rsidR="002A5ECC">
              <w:rPr>
                <w:b/>
              </w:rPr>
              <w:t>2</w:t>
            </w:r>
            <w:r w:rsidR="0076213C">
              <w:rPr>
                <w:b/>
              </w:rPr>
              <w:t>.</w:t>
            </w:r>
            <w:r w:rsidR="002A5ECC">
              <w:rPr>
                <w:b/>
              </w:rPr>
              <w:t>d</w:t>
            </w:r>
            <w:r w:rsidR="00856137">
              <w:rPr>
                <w:bCs/>
              </w:rPr>
              <w:t xml:space="preserve">), also stated in </w:t>
            </w:r>
            <w:hyperlink r:id="rId732" w:history="1">
              <w:r w:rsidR="00856137">
                <w:rPr>
                  <w:rStyle w:val="Hyperlink"/>
                  <w:b/>
                  <w:bCs/>
                  <w:i/>
                </w:rPr>
                <w:t>July 2017 Quality Call Notes</w:t>
              </w:r>
            </w:hyperlink>
            <w:r w:rsidRPr="006E678F">
              <w:rPr>
                <w:bCs/>
              </w:rPr>
              <w:t>; if enrolled after date of alleged treatment can conclude VA records do not</w:t>
            </w:r>
            <w:r w:rsidR="002A5ECC">
              <w:rPr>
                <w:bCs/>
              </w:rPr>
              <w:t xml:space="preserve"> exist</w:t>
            </w:r>
          </w:p>
          <w:p w:rsidR="00021618" w:rsidRPr="002F2604" w:rsidRDefault="00D925C0" w:rsidP="00F063AF">
            <w:pPr>
              <w:widowControl w:val="0"/>
              <w:numPr>
                <w:ilvl w:val="0"/>
                <w:numId w:val="105"/>
              </w:numPr>
              <w:spacing w:after="120"/>
              <w:rPr>
                <w:b/>
                <w:bCs/>
                <w:i/>
                <w:iCs/>
              </w:rPr>
            </w:pPr>
            <w:r>
              <w:t xml:space="preserve">See </w:t>
            </w:r>
            <w:r w:rsidRPr="00D925C0">
              <w:rPr>
                <w:i/>
              </w:rPr>
              <w:t>http://vbaw.vba.va.gov/bl/21/DEMO/index.htm</w:t>
            </w:r>
            <w:r>
              <w:t xml:space="preserve"> for VAF 10- 7131 Request Contact List</w:t>
            </w:r>
          </w:p>
          <w:p w:rsidR="002E3C88" w:rsidRPr="002A5ECC" w:rsidRDefault="002C616C" w:rsidP="00895E20">
            <w:pPr>
              <w:widowControl w:val="0"/>
              <w:pBdr>
                <w:top w:val="single" w:sz="4" w:space="1" w:color="auto"/>
                <w:left w:val="single" w:sz="4" w:space="4" w:color="auto"/>
                <w:bottom w:val="single" w:sz="4" w:space="1" w:color="auto"/>
                <w:right w:val="single" w:sz="4" w:space="4" w:color="auto"/>
              </w:pBdr>
              <w:spacing w:after="120"/>
              <w:ind w:left="330" w:right="60"/>
              <w:rPr>
                <w:bCs/>
                <w:i/>
              </w:rPr>
            </w:pPr>
            <w:r>
              <w:rPr>
                <w:bCs/>
              </w:rPr>
              <w:t xml:space="preserve">Rating Note:  Enrollment/ Registration </w:t>
            </w:r>
            <w:r w:rsidR="002E3C88" w:rsidRPr="00895E20">
              <w:rPr>
                <w:bCs/>
              </w:rPr>
              <w:t>date</w:t>
            </w:r>
            <w:r w:rsidR="002A5ECC">
              <w:rPr>
                <w:bCs/>
              </w:rPr>
              <w:t xml:space="preserve"> ({date from CAPRI})</w:t>
            </w:r>
            <w:r w:rsidR="002E3C88" w:rsidRPr="00895E20">
              <w:rPr>
                <w:bCs/>
              </w:rPr>
              <w:t xml:space="preserve"> is subsequent to reported date of treatment</w:t>
            </w:r>
            <w:r w:rsidR="002A5ECC">
              <w:rPr>
                <w:bCs/>
              </w:rPr>
              <w:t xml:space="preserve"> ({date veteran reported treatment started})</w:t>
            </w:r>
            <w:r w:rsidR="002E3C88" w:rsidRPr="00895E20">
              <w:rPr>
                <w:bCs/>
              </w:rPr>
              <w:t>. III.iii.1.C</w:t>
            </w:r>
            <w:r w:rsidR="002A5ECC">
              <w:rPr>
                <w:bCs/>
              </w:rPr>
              <w:t>.2.i</w:t>
            </w:r>
            <w:r w:rsidR="002E3C88" w:rsidRPr="00895E20">
              <w:rPr>
                <w:bCs/>
              </w:rPr>
              <w:t xml:space="preserve"> says we can reasonably conclude that records do not exist.</w:t>
            </w:r>
            <w:r w:rsidR="002A5ECC">
              <w:rPr>
                <w:bCs/>
              </w:rPr>
              <w:t xml:space="preserve"> </w:t>
            </w:r>
            <w:r w:rsidR="00EC5B78">
              <w:rPr>
                <w:bCs/>
              </w:rPr>
              <w:t>*</w:t>
            </w:r>
            <w:r w:rsidR="002A5ECC" w:rsidRPr="002A5ECC">
              <w:rPr>
                <w:bCs/>
                <w:i/>
              </w:rPr>
              <w:t>VSR did not complete 0820.</w:t>
            </w:r>
          </w:p>
          <w:p w:rsidR="00772064" w:rsidRPr="00772064" w:rsidRDefault="00CC5E8A" w:rsidP="00772064">
            <w:pPr>
              <w:widowControl w:val="0"/>
              <w:pBdr>
                <w:top w:val="single" w:sz="4" w:space="1" w:color="auto"/>
                <w:left w:val="single" w:sz="4" w:space="4" w:color="auto"/>
                <w:bottom w:val="single" w:sz="4" w:space="1" w:color="auto"/>
                <w:right w:val="single" w:sz="4" w:space="4" w:color="auto"/>
              </w:pBdr>
              <w:spacing w:after="120"/>
              <w:ind w:left="330" w:right="60"/>
              <w:rPr>
                <w:rStyle w:val="Emphasis"/>
              </w:rPr>
            </w:pPr>
            <w:r>
              <w:rPr>
                <w:rStyle w:val="Emphasis"/>
              </w:rPr>
              <w:t>O</w:t>
            </w:r>
            <w:r w:rsidR="00772064" w:rsidRPr="00772064">
              <w:rPr>
                <w:rStyle w:val="Emphasis"/>
              </w:rPr>
              <w:t>R</w:t>
            </w:r>
          </w:p>
          <w:p w:rsidR="00772064" w:rsidRDefault="00772064" w:rsidP="00772064">
            <w:pPr>
              <w:widowControl w:val="0"/>
              <w:pBdr>
                <w:top w:val="single" w:sz="4" w:space="1" w:color="auto"/>
                <w:left w:val="single" w:sz="4" w:space="4" w:color="auto"/>
                <w:bottom w:val="single" w:sz="4" w:space="1" w:color="auto"/>
                <w:right w:val="single" w:sz="4" w:space="4" w:color="auto"/>
              </w:pBdr>
              <w:spacing w:after="120"/>
              <w:ind w:left="330" w:right="60"/>
              <w:rPr>
                <w:bCs/>
                <w:i/>
              </w:rPr>
            </w:pPr>
            <w:r w:rsidRPr="00772064">
              <w:t xml:space="preserve">Rating Note:  Veteran reported treatment at VAMC </w:t>
            </w:r>
            <w:r>
              <w:t>{}</w:t>
            </w:r>
            <w:r w:rsidRPr="00772064">
              <w:t xml:space="preserve"> from </w:t>
            </w:r>
            <w:r>
              <w:t>{start date-end date}</w:t>
            </w:r>
            <w:r w:rsidRPr="00772064">
              <w:t xml:space="preserve">. CAPRI has records from </w:t>
            </w:r>
            <w:r>
              <w:t>{start date-end date}</w:t>
            </w:r>
            <w:r w:rsidRPr="00772064">
              <w:t xml:space="preserve">. In response to our 7131 requests for records from </w:t>
            </w:r>
            <w:r>
              <w:t>{start date-end date}</w:t>
            </w:r>
            <w:r w:rsidRPr="00772064">
              <w:t xml:space="preserve">, </w:t>
            </w:r>
            <w:r>
              <w:t>we received paper records from {start date-end date}</w:t>
            </w:r>
            <w:r w:rsidRPr="00772064">
              <w:t xml:space="preserve">. </w:t>
            </w:r>
            <w:r>
              <w:t>CAPRI</w:t>
            </w:r>
            <w:r w:rsidRPr="00772064">
              <w:t xml:space="preserve"> shows a registration date of </w:t>
            </w:r>
            <w:r>
              <w:t>{}</w:t>
            </w:r>
            <w:r w:rsidRPr="00772064">
              <w:t xml:space="preserve"> and </w:t>
            </w:r>
            <w:r>
              <w:t>an enrollment date of</w:t>
            </w:r>
            <w:r w:rsidRPr="00772064">
              <w:t xml:space="preserve"> </w:t>
            </w:r>
            <w:r>
              <w:t xml:space="preserve">{}. However, since we only got {start date-end date} </w:t>
            </w:r>
            <w:r w:rsidRPr="00772064">
              <w:t xml:space="preserve">records from the VAMC, we have to conclude that </w:t>
            </w:r>
            <w:r>
              <w:t xml:space="preserve">the other </w:t>
            </w:r>
            <w:r w:rsidRPr="00772064">
              <w:t xml:space="preserve">records do not exist. </w:t>
            </w:r>
            <w:r w:rsidR="00CC5E8A">
              <w:rPr>
                <w:bCs/>
              </w:rPr>
              <w:t>*</w:t>
            </w:r>
            <w:r w:rsidR="00CC5E8A" w:rsidRPr="002A5ECC">
              <w:rPr>
                <w:bCs/>
                <w:i/>
              </w:rPr>
              <w:t>VSR did not complete 0820.</w:t>
            </w:r>
          </w:p>
          <w:p w:rsidR="007B4B67" w:rsidRDefault="007B4B67" w:rsidP="00772064">
            <w:pPr>
              <w:widowControl w:val="0"/>
              <w:pBdr>
                <w:top w:val="single" w:sz="4" w:space="1" w:color="auto"/>
                <w:left w:val="single" w:sz="4" w:space="4" w:color="auto"/>
                <w:bottom w:val="single" w:sz="4" w:space="1" w:color="auto"/>
                <w:right w:val="single" w:sz="4" w:space="4" w:color="auto"/>
              </w:pBdr>
              <w:spacing w:after="120"/>
              <w:ind w:left="330" w:right="60"/>
              <w:rPr>
                <w:bCs/>
                <w:i/>
              </w:rPr>
            </w:pPr>
            <w:r>
              <w:rPr>
                <w:bCs/>
                <w:i/>
              </w:rPr>
              <w:t>OR</w:t>
            </w:r>
          </w:p>
          <w:p w:rsidR="007B4B67" w:rsidRDefault="007B4B67" w:rsidP="00772064">
            <w:pPr>
              <w:widowControl w:val="0"/>
              <w:pBdr>
                <w:top w:val="single" w:sz="4" w:space="1" w:color="auto"/>
                <w:left w:val="single" w:sz="4" w:space="4" w:color="auto"/>
                <w:bottom w:val="single" w:sz="4" w:space="1" w:color="auto"/>
                <w:right w:val="single" w:sz="4" w:space="4" w:color="auto"/>
              </w:pBdr>
              <w:spacing w:after="120"/>
              <w:ind w:left="330" w:right="60"/>
              <w:rPr>
                <w:bCs/>
                <w:i/>
              </w:rPr>
            </w:pPr>
            <w:r>
              <w:rPr>
                <w:bCs/>
              </w:rPr>
              <w:t xml:space="preserve">Rating Note:  Per </w:t>
            </w:r>
            <w:r>
              <w:t xml:space="preserve">III.iii.1.C.2.c, VAMC {} records from {start date-end date} </w:t>
            </w:r>
            <w:r w:rsidRPr="007B4B67">
              <w:t>would be in CAPRI since</w:t>
            </w:r>
            <w:r>
              <w:rPr>
                <w:b/>
              </w:rPr>
              <w:t xml:space="preserve"> </w:t>
            </w:r>
            <w:r>
              <w:rPr>
                <w:sz w:val="21"/>
                <w:szCs w:val="21"/>
              </w:rPr>
              <w:t xml:space="preserve">VHA completed </w:t>
            </w:r>
            <w:r w:rsidRPr="007B4B67">
              <w:t xml:space="preserve">the transition to electronic recordkeeping at all VAMCs in late 2004. </w:t>
            </w:r>
            <w:r w:rsidRPr="007B4B67">
              <w:rPr>
                <w:bCs/>
              </w:rPr>
              <w:t>III.iii.1.C.2.e says we may assume the records do not exist if they are not available electronically.</w:t>
            </w:r>
          </w:p>
          <w:p w:rsidR="007918CA" w:rsidRDefault="007B4B67" w:rsidP="007918CA">
            <w:pPr>
              <w:widowControl w:val="0"/>
              <w:pBdr>
                <w:top w:val="single" w:sz="4" w:space="1" w:color="auto"/>
                <w:left w:val="single" w:sz="4" w:space="4" w:color="auto"/>
                <w:bottom w:val="single" w:sz="4" w:space="1" w:color="auto"/>
                <w:right w:val="single" w:sz="4" w:space="4" w:color="auto"/>
              </w:pBdr>
              <w:spacing w:after="120"/>
              <w:ind w:left="330" w:right="60"/>
              <w:rPr>
                <w:rStyle w:val="Emphasis"/>
                <w:i w:val="0"/>
              </w:rPr>
            </w:pPr>
            <w:r>
              <w:rPr>
                <w:rStyle w:val="Emphasis"/>
              </w:rPr>
              <w:t xml:space="preserve">Evidence:  </w:t>
            </w:r>
            <w:r w:rsidR="00CC5E8A" w:rsidRPr="00636E78">
              <w:rPr>
                <w:rStyle w:val="Emphasis"/>
                <w:i w:val="0"/>
              </w:rPr>
              <w:t>We have been unable to obtain records from</w:t>
            </w:r>
            <w:r w:rsidR="00CC5E8A" w:rsidRPr="00636E78">
              <w:rPr>
                <w:i/>
              </w:rPr>
              <w:t xml:space="preserve"> [</w:t>
            </w:r>
            <w:r w:rsidR="00CC5E8A" w:rsidRPr="00636E78">
              <w:rPr>
                <w:rStyle w:val="Strong"/>
                <w:i/>
              </w:rPr>
              <w:t>insert name of VAMC</w:t>
            </w:r>
            <w:r w:rsidR="00CC5E8A" w:rsidRPr="00636E78">
              <w:rPr>
                <w:i/>
              </w:rPr>
              <w:t xml:space="preserve">] </w:t>
            </w:r>
            <w:r w:rsidR="00CC5E8A" w:rsidRPr="00636E78">
              <w:rPr>
                <w:rStyle w:val="Emphasis"/>
                <w:i w:val="0"/>
              </w:rPr>
              <w:t>for the period</w:t>
            </w:r>
            <w:r w:rsidR="00CC5E8A" w:rsidRPr="00636E78">
              <w:rPr>
                <w:i/>
              </w:rPr>
              <w:t xml:space="preserve"> [</w:t>
            </w:r>
            <w:r w:rsidR="00CC5E8A" w:rsidRPr="00636E78">
              <w:rPr>
                <w:rStyle w:val="Strong"/>
                <w:i/>
              </w:rPr>
              <w:t>insert date range of treatment</w:t>
            </w:r>
            <w:r w:rsidR="00CC5E8A">
              <w:rPr>
                <w:i/>
              </w:rPr>
              <w:t>].</w:t>
            </w:r>
            <w:r w:rsidR="00CC5E8A" w:rsidRPr="00636E78">
              <w:rPr>
                <w:i/>
              </w:rPr>
              <w:t> </w:t>
            </w:r>
            <w:r w:rsidR="00CC5E8A" w:rsidRPr="00636E78">
              <w:rPr>
                <w:rStyle w:val="Emphasis"/>
                <w:i w:val="0"/>
              </w:rPr>
              <w:t>We have determined th</w:t>
            </w:r>
            <w:r w:rsidR="00CC5E8A">
              <w:rPr>
                <w:rStyle w:val="Emphasis"/>
                <w:i w:val="0"/>
              </w:rPr>
              <w:t xml:space="preserve">at these records do not exist. </w:t>
            </w:r>
            <w:r w:rsidR="00CC5E8A" w:rsidRPr="00636E78">
              <w:rPr>
                <w:rStyle w:val="Emphasis"/>
                <w:i w:val="0"/>
              </w:rPr>
              <w:t>We will now make a decision based on the evidence of record.</w:t>
            </w:r>
          </w:p>
          <w:p w:rsidR="007918CA" w:rsidRDefault="007918CA" w:rsidP="007918CA">
            <w:pPr>
              <w:widowControl w:val="0"/>
              <w:pBdr>
                <w:top w:val="single" w:sz="4" w:space="1" w:color="auto"/>
                <w:left w:val="single" w:sz="4" w:space="4" w:color="auto"/>
                <w:bottom w:val="single" w:sz="4" w:space="1" w:color="auto"/>
                <w:right w:val="single" w:sz="4" w:space="4" w:color="auto"/>
              </w:pBdr>
              <w:spacing w:after="120"/>
              <w:ind w:left="330" w:right="60"/>
              <w:rPr>
                <w:i/>
                <w:u w:val="single"/>
              </w:rPr>
            </w:pPr>
            <w:r>
              <w:rPr>
                <w:i/>
                <w:u w:val="single"/>
              </w:rPr>
              <w:t>NEED TO SEND 7131</w:t>
            </w:r>
            <w:r w:rsidRPr="00935122">
              <w:rPr>
                <w:i/>
                <w:u w:val="single"/>
              </w:rPr>
              <w:t>:</w:t>
            </w:r>
          </w:p>
          <w:p w:rsidR="007918CA" w:rsidRDefault="007918CA" w:rsidP="007918CA">
            <w:pPr>
              <w:widowControl w:val="0"/>
              <w:pBdr>
                <w:top w:val="single" w:sz="4" w:space="1" w:color="auto"/>
                <w:left w:val="single" w:sz="4" w:space="4" w:color="auto"/>
                <w:bottom w:val="single" w:sz="4" w:space="1" w:color="auto"/>
                <w:right w:val="single" w:sz="4" w:space="4" w:color="auto"/>
              </w:pBdr>
              <w:spacing w:after="120"/>
              <w:ind w:left="330" w:right="60"/>
              <w:rPr>
                <w:i/>
              </w:rPr>
            </w:pPr>
            <w:r w:rsidRPr="00935122">
              <w:rPr>
                <w:i/>
              </w:rPr>
              <w:t xml:space="preserve">for deferral:  </w:t>
            </w:r>
            <w:r w:rsidRPr="007918CA">
              <w:rPr>
                <w:i/>
              </w:rPr>
              <w:t xml:space="preserve">We need to send an electronic 7131 for the identified VAMC </w:t>
            </w:r>
            <w:r>
              <w:rPr>
                <w:i/>
              </w:rPr>
              <w:t xml:space="preserve">{} </w:t>
            </w:r>
            <w:r w:rsidRPr="007918CA">
              <w:rPr>
                <w:i/>
              </w:rPr>
              <w:t xml:space="preserve">records from </w:t>
            </w:r>
            <w:r>
              <w:rPr>
                <w:i/>
              </w:rPr>
              <w:t>{}</w:t>
            </w:r>
            <w:r w:rsidRPr="007918CA">
              <w:rPr>
                <w:i/>
              </w:rPr>
              <w:t xml:space="preserve">. CAPRI only has records from </w:t>
            </w:r>
            <w:r>
              <w:rPr>
                <w:i/>
              </w:rPr>
              <w:t xml:space="preserve">{} to {}. *See Claim Notes for </w:t>
            </w:r>
            <w:r w:rsidR="00FC34BE">
              <w:rPr>
                <w:i/>
              </w:rPr>
              <w:t xml:space="preserve">more </w:t>
            </w:r>
            <w:r>
              <w:rPr>
                <w:i/>
              </w:rPr>
              <w:t>details</w:t>
            </w:r>
          </w:p>
          <w:p w:rsidR="007918CA" w:rsidRPr="00772064" w:rsidRDefault="007918CA" w:rsidP="00CC5E8A">
            <w:pPr>
              <w:widowControl w:val="0"/>
              <w:pBdr>
                <w:top w:val="single" w:sz="4" w:space="1" w:color="auto"/>
                <w:left w:val="single" w:sz="4" w:space="4" w:color="auto"/>
                <w:bottom w:val="single" w:sz="4" w:space="1" w:color="auto"/>
                <w:right w:val="single" w:sz="4" w:space="4" w:color="auto"/>
              </w:pBdr>
              <w:spacing w:after="120"/>
              <w:ind w:left="330" w:right="60"/>
              <w:rPr>
                <w:iCs/>
              </w:rPr>
            </w:pPr>
            <w:r w:rsidRPr="00935122">
              <w:rPr>
                <w:i/>
              </w:rPr>
              <w:t xml:space="preserve">for Claim Note:   </w:t>
            </w:r>
            <w:r w:rsidRPr="00813235">
              <w:rPr>
                <w:i/>
              </w:rPr>
              <w:t xml:space="preserve">Claim is not RFD. </w:t>
            </w:r>
            <w:r w:rsidRPr="007918CA">
              <w:rPr>
                <w:i/>
              </w:rPr>
              <w:t xml:space="preserve">We need to send an electronic 7131 for the identified VAMC </w:t>
            </w:r>
            <w:r>
              <w:rPr>
                <w:i/>
              </w:rPr>
              <w:t xml:space="preserve">{} </w:t>
            </w:r>
            <w:r w:rsidRPr="007918CA">
              <w:rPr>
                <w:i/>
              </w:rPr>
              <w:t xml:space="preserve">records from </w:t>
            </w:r>
            <w:r>
              <w:rPr>
                <w:i/>
              </w:rPr>
              <w:t>{}</w:t>
            </w:r>
            <w:r w:rsidRPr="007918CA">
              <w:rPr>
                <w:i/>
              </w:rPr>
              <w:t xml:space="preserve">. CAPRI only has records from </w:t>
            </w:r>
            <w:r>
              <w:rPr>
                <w:i/>
              </w:rPr>
              <w:t>{} to {}.</w:t>
            </w:r>
            <w:r w:rsidRPr="00935122">
              <w:rPr>
                <w:i/>
              </w:rPr>
              <w:t xml:space="preserve"> Deferral done.</w:t>
            </w:r>
          </w:p>
          <w:p w:rsidR="003028A7" w:rsidRPr="00670184" w:rsidRDefault="003028A7" w:rsidP="00F063AF">
            <w:pPr>
              <w:pStyle w:val="ListParagraph"/>
              <w:numPr>
                <w:ilvl w:val="0"/>
                <w:numId w:val="105"/>
              </w:numPr>
              <w:spacing w:after="120"/>
              <w:rPr>
                <w:rFonts w:ascii="Arial" w:hAnsi="Arial"/>
                <w:color w:val="000000"/>
                <w:sz w:val="20"/>
                <w:szCs w:val="20"/>
              </w:rPr>
            </w:pPr>
            <w:r w:rsidRPr="003028A7">
              <w:rPr>
                <w:rFonts w:ascii="Arial" w:hAnsi="Arial"/>
                <w:b/>
                <w:color w:val="000000"/>
                <w:sz w:val="20"/>
                <w:szCs w:val="20"/>
              </w:rPr>
              <w:t>III.iii.1.C.4.</w:t>
            </w:r>
            <w:r w:rsidR="00166F82">
              <w:rPr>
                <w:rFonts w:ascii="Arial" w:hAnsi="Arial"/>
                <w:b/>
                <w:color w:val="000000"/>
                <w:sz w:val="20"/>
                <w:szCs w:val="20"/>
              </w:rPr>
              <w:t>g</w:t>
            </w:r>
            <w:r>
              <w:rPr>
                <w:rFonts w:ascii="Arial" w:hAnsi="Arial"/>
                <w:color w:val="000000"/>
                <w:sz w:val="20"/>
                <w:szCs w:val="20"/>
              </w:rPr>
              <w:t xml:space="preserve"> – VATRs, if an Enterprise Search shows no</w:t>
            </w:r>
            <w:r w:rsidR="008D2F2B">
              <w:rPr>
                <w:rFonts w:ascii="Arial" w:hAnsi="Arial"/>
                <w:color w:val="000000"/>
                <w:sz w:val="20"/>
                <w:szCs w:val="20"/>
              </w:rPr>
              <w:t xml:space="preserve"> </w:t>
            </w:r>
            <w:r>
              <w:rPr>
                <w:rFonts w:ascii="Arial" w:hAnsi="Arial"/>
                <w:color w:val="000000"/>
                <w:sz w:val="20"/>
                <w:szCs w:val="20"/>
              </w:rPr>
              <w:t>VAMC treatment, add a permanent note in VBMS</w:t>
            </w:r>
            <w:r w:rsidR="0087573B">
              <w:rPr>
                <w:rFonts w:ascii="Arial" w:hAnsi="Arial"/>
                <w:color w:val="000000"/>
                <w:sz w:val="20"/>
                <w:szCs w:val="20"/>
              </w:rPr>
              <w:t xml:space="preserve">; </w:t>
            </w:r>
            <w:r w:rsidR="0087573B" w:rsidRPr="00C820D0">
              <w:rPr>
                <w:rFonts w:ascii="Arial" w:hAnsi="Arial"/>
                <w:i/>
                <w:color w:val="00B050"/>
                <w:sz w:val="20"/>
                <w:szCs w:val="20"/>
              </w:rPr>
              <w:t xml:space="preserve">My Notes: </w:t>
            </w:r>
            <w:r w:rsidR="00C820D0" w:rsidRPr="00C820D0">
              <w:rPr>
                <w:rFonts w:ascii="Arial" w:hAnsi="Arial"/>
                <w:i/>
                <w:color w:val="00B050"/>
                <w:sz w:val="20"/>
                <w:szCs w:val="20"/>
              </w:rPr>
              <w:t xml:space="preserve"> </w:t>
            </w:r>
            <w:r w:rsidR="00166F82" w:rsidRPr="00D36CD9">
              <w:rPr>
                <w:rFonts w:ascii="Arial" w:hAnsi="Arial"/>
                <w:i/>
                <w:sz w:val="20"/>
                <w:szCs w:val="20"/>
              </w:rPr>
              <w:t>“</w:t>
            </w:r>
            <w:r w:rsidR="0087573B" w:rsidRPr="00D36CD9">
              <w:rPr>
                <w:rFonts w:ascii="Arial" w:hAnsi="Arial"/>
                <w:i/>
                <w:sz w:val="20"/>
                <w:szCs w:val="20"/>
              </w:rPr>
              <w:t>N</w:t>
            </w:r>
            <w:r w:rsidR="0087573B" w:rsidRPr="00D36CD9">
              <w:rPr>
                <w:rFonts w:ascii="Arial" w:hAnsi="Arial"/>
                <w:i/>
                <w:color w:val="000000"/>
                <w:sz w:val="20"/>
                <w:szCs w:val="20"/>
              </w:rPr>
              <w:t>o pertinent VA Healthcare r</w:t>
            </w:r>
            <w:r w:rsidR="00166F82" w:rsidRPr="00D36CD9">
              <w:rPr>
                <w:rFonts w:ascii="Arial" w:hAnsi="Arial"/>
                <w:i/>
                <w:color w:val="000000"/>
                <w:sz w:val="20"/>
                <w:szCs w:val="20"/>
              </w:rPr>
              <w:t>ecords from the VAMC available.”</w:t>
            </w:r>
          </w:p>
          <w:p w:rsidR="00670184" w:rsidRPr="00670184" w:rsidRDefault="00670184" w:rsidP="00670184">
            <w:pPr>
              <w:pBdr>
                <w:top w:val="single" w:sz="4" w:space="1" w:color="auto"/>
                <w:left w:val="single" w:sz="4" w:space="4" w:color="auto"/>
                <w:bottom w:val="single" w:sz="4" w:space="1" w:color="auto"/>
                <w:right w:val="single" w:sz="4" w:space="4" w:color="auto"/>
              </w:pBdr>
              <w:tabs>
                <w:tab w:val="num" w:pos="330"/>
              </w:tabs>
              <w:spacing w:after="120"/>
              <w:ind w:left="330" w:right="150"/>
              <w:rPr>
                <w:color w:val="000000"/>
              </w:rPr>
            </w:pPr>
            <w:r w:rsidRPr="00670184">
              <w:rPr>
                <w:color w:val="000000"/>
              </w:rPr>
              <w:t>Rating Note:  CAPRI kept crashing &amp; I could not upload the most recent TRs.</w:t>
            </w:r>
          </w:p>
          <w:p w:rsidR="00670184" w:rsidRPr="00050499" w:rsidRDefault="00670184" w:rsidP="00F063AF">
            <w:pPr>
              <w:pStyle w:val="ListParagraph"/>
              <w:numPr>
                <w:ilvl w:val="0"/>
                <w:numId w:val="105"/>
              </w:numPr>
              <w:spacing w:after="120"/>
              <w:rPr>
                <w:rFonts w:ascii="Arial" w:hAnsi="Arial"/>
                <w:color w:val="000000"/>
                <w:sz w:val="20"/>
                <w:szCs w:val="20"/>
              </w:rPr>
            </w:pPr>
            <w:r>
              <w:rPr>
                <w:rFonts w:ascii="Arial" w:hAnsi="Arial"/>
                <w:b/>
                <w:color w:val="000000"/>
                <w:sz w:val="20"/>
                <w:szCs w:val="20"/>
              </w:rPr>
              <w:t>…</w:t>
            </w:r>
          </w:p>
          <w:p w:rsidR="003028A7" w:rsidRPr="003028A7" w:rsidRDefault="003028A7" w:rsidP="00670184">
            <w:pPr>
              <w:widowControl w:val="0"/>
              <w:spacing w:after="120"/>
              <w:rPr>
                <w:b/>
                <w:bCs/>
                <w:i/>
                <w:iCs/>
              </w:rPr>
            </w:pPr>
          </w:p>
          <w:p w:rsidR="00013EB8" w:rsidRPr="00A66FB8" w:rsidRDefault="00013EB8">
            <w:pPr>
              <w:pStyle w:val="Heading1"/>
              <w:keepNext w:val="0"/>
              <w:widowControl w:val="0"/>
              <w:spacing w:after="120"/>
              <w:rPr>
                <w:b/>
                <w:i w:val="0"/>
                <w:iCs w:val="0"/>
                <w:u w:val="single"/>
              </w:rPr>
            </w:pPr>
            <w:r w:rsidRPr="00A66FB8">
              <w:rPr>
                <w:b/>
                <w:i w:val="0"/>
                <w:iCs w:val="0"/>
                <w:u w:val="single"/>
              </w:rPr>
              <w:t>F</w:t>
            </w:r>
            <w:r w:rsidR="00A66FB8">
              <w:rPr>
                <w:b/>
                <w:i w:val="0"/>
                <w:iCs w:val="0"/>
                <w:u w:val="single"/>
              </w:rPr>
              <w:t>EDERAL RECORDS</w:t>
            </w:r>
          </w:p>
          <w:p w:rsidR="00DB32A8" w:rsidRDefault="00DB32A8" w:rsidP="00DB32A8">
            <w:pPr>
              <w:widowControl w:val="0"/>
              <w:rPr>
                <w:b/>
                <w:bCs/>
                <w:sz w:val="22"/>
              </w:rPr>
            </w:pPr>
            <w:r>
              <w:rPr>
                <w:b/>
                <w:bCs/>
                <w:sz w:val="22"/>
              </w:rPr>
              <w:t>Fire was July 1973, at NPRC</w:t>
            </w:r>
          </w:p>
          <w:p w:rsidR="00DB32A8" w:rsidRDefault="00DB32A8" w:rsidP="00DB32A8">
            <w:pPr>
              <w:widowControl w:val="0"/>
              <w:rPr>
                <w:b/>
                <w:bCs/>
                <w:sz w:val="22"/>
              </w:rPr>
            </w:pPr>
            <w:r>
              <w:rPr>
                <w:b/>
                <w:bCs/>
                <w:sz w:val="22"/>
              </w:rPr>
              <w:t>Army:  November 1912 to January 1960</w:t>
            </w:r>
          </w:p>
          <w:p w:rsidR="00DB32A8" w:rsidRDefault="00DB32A8" w:rsidP="00DB32A8">
            <w:pPr>
              <w:widowControl w:val="0"/>
              <w:rPr>
                <w:b/>
                <w:bCs/>
                <w:sz w:val="22"/>
              </w:rPr>
            </w:pPr>
            <w:r>
              <w:rPr>
                <w:b/>
                <w:bCs/>
                <w:sz w:val="22"/>
              </w:rPr>
              <w:t>Air Force:  Hubbard to Z, September 1947 to January 1964</w:t>
            </w:r>
          </w:p>
          <w:p w:rsidR="00DB32A8" w:rsidRPr="00DB32A8" w:rsidRDefault="00DB32A8" w:rsidP="00DB32A8">
            <w:pPr>
              <w:widowControl w:val="0"/>
              <w:spacing w:after="120"/>
              <w:ind w:left="690"/>
            </w:pPr>
          </w:p>
          <w:p w:rsidR="00013EB8" w:rsidRDefault="00B24C77" w:rsidP="00F063AF">
            <w:pPr>
              <w:widowControl w:val="0"/>
              <w:numPr>
                <w:ilvl w:val="0"/>
                <w:numId w:val="105"/>
              </w:numPr>
              <w:spacing w:after="120"/>
            </w:pPr>
            <w:r>
              <w:rPr>
                <w:b/>
                <w:bCs/>
              </w:rPr>
              <w:t>I.1.A</w:t>
            </w:r>
            <w:r w:rsidR="00013EB8">
              <w:t xml:space="preserve"> – Ensure that all identified treatment records are obtained, or attempted.</w:t>
            </w:r>
            <w:r w:rsidR="005104B6">
              <w:t xml:space="preserve"> VA Pulse, </w:t>
            </w:r>
            <w:r w:rsidR="005104B6" w:rsidRPr="005104B6">
              <w:rPr>
                <w:i/>
              </w:rPr>
              <w:t>https://www.vapulse.net/message/143604</w:t>
            </w:r>
            <w:r w:rsidR="005104B6">
              <w:t xml:space="preserve">, says just copies are not sufficient &amp; we have to attempt to get STRs from an official source (does not discuss if </w:t>
            </w:r>
            <w:r w:rsidR="003068A3">
              <w:t xml:space="preserve">final notification letter </w:t>
            </w:r>
            <w:r w:rsidR="005104B6">
              <w:t>needed when have copies &amp;</w:t>
            </w:r>
            <w:r w:rsidR="00E07DBB">
              <w:t xml:space="preserve"> cannot get originals</w:t>
            </w:r>
            <w:r w:rsidR="00197767">
              <w:t>)</w:t>
            </w:r>
          </w:p>
          <w:p w:rsidR="00013EB8" w:rsidRPr="00911C3D" w:rsidRDefault="00013EB8" w:rsidP="00F063AF">
            <w:pPr>
              <w:widowControl w:val="0"/>
              <w:numPr>
                <w:ilvl w:val="0"/>
                <w:numId w:val="105"/>
              </w:numPr>
              <w:spacing w:after="120"/>
              <w:rPr>
                <w:b/>
              </w:rPr>
            </w:pPr>
            <w:r w:rsidRPr="007410DC">
              <w:rPr>
                <w:b/>
                <w:bCs/>
              </w:rPr>
              <w:t>I.1.C.</w:t>
            </w:r>
            <w:r w:rsidR="00EF24E5">
              <w:rPr>
                <w:b/>
                <w:bCs/>
              </w:rPr>
              <w:t>1 &amp; I.1.C.5</w:t>
            </w:r>
            <w:r>
              <w:t xml:space="preserve"> </w:t>
            </w:r>
            <w:r w:rsidRPr="00C7227F">
              <w:t xml:space="preserve">– </w:t>
            </w:r>
            <w:r w:rsidR="00C7227F" w:rsidRPr="00C7227F">
              <w:t xml:space="preserve">STRs, other service dept records, </w:t>
            </w:r>
            <w:r w:rsidR="00C7227F" w:rsidRPr="00313BDA">
              <w:rPr>
                <w:strike/>
              </w:rPr>
              <w:t>VATRs</w:t>
            </w:r>
            <w:r w:rsidR="00313BDA">
              <w:t xml:space="preserve">(removed 7/26/17 &amp; addressed under </w:t>
            </w:r>
            <w:r w:rsidR="00313BDA" w:rsidRPr="00313BDA">
              <w:rPr>
                <w:b/>
              </w:rPr>
              <w:t>III.</w:t>
            </w:r>
            <w:r w:rsidR="00313BDA">
              <w:rPr>
                <w:b/>
              </w:rPr>
              <w:t>i</w:t>
            </w:r>
            <w:r w:rsidR="00313BDA" w:rsidRPr="00313BDA">
              <w:rPr>
                <w:b/>
              </w:rPr>
              <w:t>ii.1.C.4.d</w:t>
            </w:r>
            <w:r w:rsidR="00313BDA">
              <w:t>)</w:t>
            </w:r>
            <w:r w:rsidR="00C7227F" w:rsidRPr="00C7227F">
              <w:t>, SSA records,</w:t>
            </w:r>
            <w:r w:rsidR="00DE4ABD">
              <w:t xml:space="preserve"> Public</w:t>
            </w:r>
            <w:r w:rsidR="00DD6994">
              <w:t xml:space="preserve"> </w:t>
            </w:r>
            <w:r w:rsidR="00DE4ABD">
              <w:t>Health Service records</w:t>
            </w:r>
            <w:r w:rsidR="00200FF0">
              <w:t xml:space="preserve"> (military hospital </w:t>
            </w:r>
            <w:r w:rsidR="00200FF0">
              <w:rPr>
                <w:rStyle w:val="Hyperlink"/>
                <w:bCs/>
                <w:color w:val="auto"/>
                <w:u w:val="none"/>
              </w:rPr>
              <w:t xml:space="preserve">/ </w:t>
            </w:r>
            <w:r w:rsidR="00200FF0">
              <w:t>Military Treatment Facility / MTF not listed but they are federal records</w:t>
            </w:r>
            <w:r w:rsidR="0028355D">
              <w:t xml:space="preserve">; </w:t>
            </w:r>
            <w:r w:rsidR="0028355D" w:rsidRPr="0028355D">
              <w:rPr>
                <w:rStyle w:val="Strong"/>
              </w:rPr>
              <w:t>III.iii.1.C.</w:t>
            </w:r>
            <w:r w:rsidR="005A27AB">
              <w:rPr>
                <w:rStyle w:val="Strong"/>
              </w:rPr>
              <w:t>3</w:t>
            </w:r>
            <w:r w:rsidR="0028355D" w:rsidRPr="0028355D">
              <w:rPr>
                <w:rStyle w:val="Strong"/>
              </w:rPr>
              <w:t>.d </w:t>
            </w:r>
            <w:r w:rsidR="0028355D" w:rsidRPr="0028355D">
              <w:rPr>
                <w:rStyle w:val="Strong"/>
                <w:b w:val="0"/>
              </w:rPr>
              <w:t>s</w:t>
            </w:r>
            <w:r w:rsidR="0028355D" w:rsidRPr="0028355D">
              <w:t>ays</w:t>
            </w:r>
            <w:r w:rsidR="0028355D">
              <w:t xml:space="preserve"> OPTRs from an MTF should be in JLV unless it’s a Coast Guard facility</w:t>
            </w:r>
            <w:r w:rsidR="0045555A">
              <w:t xml:space="preserve"> [only do 8359 if records are not in JLV</w:t>
            </w:r>
            <w:r w:rsidR="007D0E05">
              <w:t>; as of sometime before 8</w:t>
            </w:r>
            <w:r w:rsidR="0045586D">
              <w:t xml:space="preserve">/17, NMC now requires a DD Form 2870 authorizing </w:t>
            </w:r>
            <w:r w:rsidR="007D0E05">
              <w:t xml:space="preserve">NMC to release the records to us </w:t>
            </w:r>
            <w:r w:rsidR="0045586D">
              <w:t>(HIPPA issue)</w:t>
            </w:r>
            <w:r w:rsidR="0045555A">
              <w:t>]</w:t>
            </w:r>
            <w:r w:rsidR="005104B6">
              <w:t xml:space="preserve">, but VA Pulse response, </w:t>
            </w:r>
            <w:r w:rsidR="005104B6" w:rsidRPr="005104B6">
              <w:rPr>
                <w:i/>
              </w:rPr>
              <w:t>https://www.vapulse.net/message/151521</w:t>
            </w:r>
            <w:r w:rsidR="005104B6">
              <w:t xml:space="preserve">, says JLV is last resort, so I asked for clarification, </w:t>
            </w:r>
            <w:r w:rsidR="005104B6" w:rsidRPr="005104B6">
              <w:rPr>
                <w:i/>
              </w:rPr>
              <w:t>https://www.vapulse.net/message/154186</w:t>
            </w:r>
            <w:r w:rsidR="00200FF0">
              <w:t>)</w:t>
            </w:r>
            <w:r w:rsidR="00DE4ABD">
              <w:t>;</w:t>
            </w:r>
            <w:r w:rsidR="00935E13" w:rsidRPr="00C7227F">
              <w:t xml:space="preserve"> </w:t>
            </w:r>
            <w:r w:rsidR="00935E13" w:rsidRPr="009C5E77">
              <w:rPr>
                <w:b/>
              </w:rPr>
              <w:t>30 days for initial</w:t>
            </w:r>
            <w:r w:rsidR="00C7227F" w:rsidRPr="009C5E77">
              <w:rPr>
                <w:b/>
              </w:rPr>
              <w:t xml:space="preserve"> request</w:t>
            </w:r>
            <w:r w:rsidR="00935E13" w:rsidRPr="009C5E77">
              <w:rPr>
                <w:b/>
              </w:rPr>
              <w:t>, then 15 days for f/u</w:t>
            </w:r>
            <w:r w:rsidR="009B7B27">
              <w:rPr>
                <w:b/>
              </w:rPr>
              <w:t>, per III.iii.</w:t>
            </w:r>
            <w:r w:rsidR="001A164A">
              <w:rPr>
                <w:b/>
              </w:rPr>
              <w:t>1.</w:t>
            </w:r>
            <w:r w:rsidR="009B7B27">
              <w:rPr>
                <w:b/>
              </w:rPr>
              <w:t>C.2.b</w:t>
            </w:r>
            <w:r w:rsidR="006728F0">
              <w:rPr>
                <w:b/>
              </w:rPr>
              <w:t xml:space="preserve"> &amp; III.iii.3.A.2</w:t>
            </w:r>
            <w:r w:rsidR="00935E13" w:rsidRPr="00C7227F">
              <w:t xml:space="preserve">; </w:t>
            </w:r>
            <w:r w:rsidR="00D02377" w:rsidRPr="00D02377">
              <w:t>if it is reasonably certain that records do not exist or further efforts by VA to obtain the records would be futile</w:t>
            </w:r>
            <w:r w:rsidR="00D02377">
              <w:t xml:space="preserve"> (determined on a case-by-case basis), </w:t>
            </w:r>
            <w:r w:rsidR="00935E13" w:rsidRPr="00C7227F">
              <w:t xml:space="preserve">need to notify veteran with </w:t>
            </w:r>
            <w:r w:rsidR="00FA3608">
              <w:t xml:space="preserve">final </w:t>
            </w:r>
            <w:r w:rsidR="00010FA6">
              <w:t xml:space="preserve"> notification letter;</w:t>
            </w:r>
            <w:r w:rsidR="007410DC">
              <w:t xml:space="preserve"> (</w:t>
            </w:r>
            <w:r w:rsidR="00E20509" w:rsidRPr="00E20509">
              <w:rPr>
                <w:b/>
              </w:rPr>
              <w:t>III.iii.1.C.</w:t>
            </w:r>
            <w:r w:rsidR="003E25F6">
              <w:rPr>
                <w:b/>
              </w:rPr>
              <w:t>1</w:t>
            </w:r>
            <w:r w:rsidR="00E20509" w:rsidRPr="00E20509">
              <w:rPr>
                <w:b/>
              </w:rPr>
              <w:t>.</w:t>
            </w:r>
            <w:r w:rsidR="003E25F6">
              <w:rPr>
                <w:b/>
              </w:rPr>
              <w:t>e</w:t>
            </w:r>
            <w:r w:rsidR="00E20509">
              <w:t xml:space="preserve"> – “ultimately unsuccessful” efforts; </w:t>
            </w:r>
            <w:r w:rsidR="007410DC" w:rsidRPr="00E20509">
              <w:rPr>
                <w:b/>
              </w:rPr>
              <w:t>III.iii.2.I.4.a</w:t>
            </w:r>
            <w:r w:rsidR="007410DC">
              <w:t xml:space="preserve"> – unsuccessful attempts;</w:t>
            </w:r>
            <w:r w:rsidR="00E20509">
              <w:t xml:space="preserve"> and</w:t>
            </w:r>
            <w:r w:rsidR="007410DC" w:rsidRPr="00E20509">
              <w:rPr>
                <w:b/>
              </w:rPr>
              <w:t xml:space="preserve"> III.ii</w:t>
            </w:r>
            <w:r w:rsidR="00E20509" w:rsidRPr="00E20509">
              <w:rPr>
                <w:b/>
              </w:rPr>
              <w:t>i</w:t>
            </w:r>
            <w:r w:rsidR="007410DC" w:rsidRPr="00E20509">
              <w:rPr>
                <w:b/>
              </w:rPr>
              <w:t>.2.I.4.b</w:t>
            </w:r>
            <w:r w:rsidR="007410DC">
              <w:t xml:space="preserve"> - f/u with NPRC if no negative response &amp; if “do not exist or are irretrievable”</w:t>
            </w:r>
            <w:r w:rsidR="00E20509">
              <w:t>; ALL</w:t>
            </w:r>
            <w:r w:rsidR="007410DC">
              <w:t xml:space="preserve"> need</w:t>
            </w:r>
            <w:r w:rsidR="00FA3608" w:rsidRPr="00C7227F">
              <w:t xml:space="preserve"> </w:t>
            </w:r>
            <w:r w:rsidR="005E6B79">
              <w:t>final</w:t>
            </w:r>
            <w:r w:rsidR="00FA3608">
              <w:t xml:space="preserve"> notification letter (as of 10/27/17, no</w:t>
            </w:r>
            <w:r w:rsidR="005E6B79">
              <w:t xml:space="preserve"> longer “10-day final-attempt letter” as</w:t>
            </w:r>
            <w:r w:rsidR="00FA3608">
              <w:t xml:space="preserve"> 10 day response period is</w:t>
            </w:r>
            <w:r w:rsidR="005E6B79">
              <w:t xml:space="preserve"> not</w:t>
            </w:r>
            <w:r w:rsidR="00FA3608">
              <w:t xml:space="preserve"> needed/provided, per </w:t>
            </w:r>
            <w:r w:rsidR="00FA3608">
              <w:rPr>
                <w:b/>
              </w:rPr>
              <w:t>III.iii.1.C.1.e</w:t>
            </w:r>
            <w:r w:rsidR="00FA3608">
              <w:t>)</w:t>
            </w:r>
            <w:r w:rsidR="004E1164">
              <w:t xml:space="preserve">; no longer need 15 day letter per VA Pulse, </w:t>
            </w:r>
            <w:r w:rsidR="004E1164" w:rsidRPr="004E1164">
              <w:rPr>
                <w:i/>
              </w:rPr>
              <w:t>https://www.vapulse.net/message/78341</w:t>
            </w:r>
            <w:r w:rsidR="008630FD">
              <w:t xml:space="preserve">; </w:t>
            </w:r>
            <w:r w:rsidR="008630FD">
              <w:rPr>
                <w:rFonts w:ascii="Verdana" w:hAnsi="Verdana"/>
                <w:b/>
                <w:bCs/>
                <w:highlight w:val="green"/>
              </w:rPr>
              <w:t>FED</w:t>
            </w:r>
            <w:r w:rsidR="00AC33B8">
              <w:rPr>
                <w:rFonts w:ascii="Verdana" w:hAnsi="Verdana"/>
                <w:b/>
                <w:bCs/>
                <w:highlight w:val="green"/>
              </w:rPr>
              <w:t>_</w:t>
            </w:r>
            <w:r w:rsidR="008630FD">
              <w:rPr>
                <w:rFonts w:ascii="Verdana" w:hAnsi="Verdana"/>
                <w:b/>
                <w:bCs/>
                <w:highlight w:val="green"/>
              </w:rPr>
              <w:t>REC</w:t>
            </w:r>
            <w:r w:rsidR="003C3BD2" w:rsidRPr="001D615F">
              <w:rPr>
                <w:bCs/>
              </w:rPr>
              <w:t xml:space="preserve"> / </w:t>
            </w:r>
            <w:r w:rsidR="001D615F">
              <w:rPr>
                <w:rFonts w:ascii="Verdana" w:hAnsi="Verdana"/>
                <w:b/>
                <w:bCs/>
                <w:highlight w:val="green"/>
              </w:rPr>
              <w:t>F</w:t>
            </w:r>
            <w:r w:rsidR="003C3BD2">
              <w:rPr>
                <w:rFonts w:ascii="Verdana" w:hAnsi="Verdana"/>
                <w:b/>
                <w:bCs/>
                <w:highlight w:val="green"/>
              </w:rPr>
              <w:t>RU</w:t>
            </w:r>
          </w:p>
          <w:p w:rsidR="00013EB8" w:rsidRDefault="00013EB8" w:rsidP="00F063AF">
            <w:pPr>
              <w:widowControl w:val="0"/>
              <w:numPr>
                <w:ilvl w:val="0"/>
                <w:numId w:val="105"/>
              </w:numPr>
              <w:spacing w:after="120"/>
              <w:rPr>
                <w:b/>
              </w:rPr>
            </w:pPr>
            <w:r>
              <w:t xml:space="preserve">per </w:t>
            </w:r>
            <w:r>
              <w:rPr>
                <w:b/>
                <w:bCs/>
                <w:i/>
                <w:iCs/>
                <w:u w:val="single"/>
              </w:rPr>
              <w:t xml:space="preserve">April 2012 IU </w:t>
            </w:r>
            <w:r w:rsidR="001421FA">
              <w:rPr>
                <w:b/>
                <w:bCs/>
                <w:i/>
                <w:iCs/>
                <w:u w:val="single"/>
              </w:rPr>
              <w:t>T</w:t>
            </w:r>
            <w:r>
              <w:rPr>
                <w:b/>
                <w:bCs/>
                <w:i/>
                <w:iCs/>
                <w:u w:val="single"/>
              </w:rPr>
              <w:t>raining</w:t>
            </w:r>
            <w:r>
              <w:t xml:space="preserve"> – need </w:t>
            </w:r>
            <w:r w:rsidR="00FA3608">
              <w:t>final notificati</w:t>
            </w:r>
            <w:r w:rsidR="005E6B79">
              <w:t xml:space="preserve">on letter </w:t>
            </w:r>
            <w:r>
              <w:t>if cannot get</w:t>
            </w:r>
            <w:r w:rsidR="0078780B">
              <w:t xml:space="preserve"> Social Security Administration (</w:t>
            </w:r>
            <w:r>
              <w:t>SSA</w:t>
            </w:r>
            <w:r w:rsidR="0078780B">
              <w:t>)</w:t>
            </w:r>
            <w:r w:rsidR="00010FA6">
              <w:t xml:space="preserve"> records, but not </w:t>
            </w:r>
            <w:r w:rsidR="00C7227F">
              <w:t>i</w:t>
            </w:r>
            <w:r>
              <w:t>f the veteran never filed for SSA</w:t>
            </w:r>
            <w:r w:rsidR="00615225">
              <w:t xml:space="preserve"> </w:t>
            </w:r>
            <w:r>
              <w:t>/</w:t>
            </w:r>
            <w:r w:rsidR="00615225">
              <w:t xml:space="preserve"> </w:t>
            </w:r>
            <w:r>
              <w:t>never had disability claim</w:t>
            </w:r>
            <w:r w:rsidR="00615225">
              <w:t xml:space="preserve"> </w:t>
            </w:r>
            <w:r>
              <w:t>/</w:t>
            </w:r>
            <w:r w:rsidR="00615225">
              <w:t xml:space="preserve"> </w:t>
            </w:r>
            <w:r>
              <w:t xml:space="preserve">SSA says no medical records were obtained for the Veteran’s claim, unless the Veteran specifically reports that </w:t>
            </w:r>
            <w:r w:rsidR="005140BE">
              <w:t>SSA should have medical records</w:t>
            </w:r>
          </w:p>
          <w:p w:rsidR="006707AD" w:rsidRPr="006707AD" w:rsidRDefault="00013EB8" w:rsidP="00F063AF">
            <w:pPr>
              <w:widowControl w:val="0"/>
              <w:numPr>
                <w:ilvl w:val="0"/>
                <w:numId w:val="105"/>
              </w:numPr>
              <w:spacing w:after="120"/>
              <w:rPr>
                <w:b/>
              </w:rPr>
            </w:pPr>
            <w:r w:rsidRPr="008C1E9E">
              <w:rPr>
                <w:b/>
                <w:bCs/>
              </w:rPr>
              <w:t>III.ii.2.</w:t>
            </w:r>
            <w:r w:rsidR="00E6231E" w:rsidRPr="008C1E9E">
              <w:rPr>
                <w:b/>
                <w:bCs/>
              </w:rPr>
              <w:t>D.3.c</w:t>
            </w:r>
            <w:r w:rsidR="00683B79" w:rsidRPr="008C1E9E">
              <w:rPr>
                <w:bCs/>
              </w:rPr>
              <w:t xml:space="preserve"> &amp;</w:t>
            </w:r>
            <w:r w:rsidRPr="008C1E9E">
              <w:rPr>
                <w:bCs/>
              </w:rPr>
              <w:t xml:space="preserve"> </w:t>
            </w:r>
            <w:r w:rsidR="002911EB" w:rsidRPr="001417A6">
              <w:rPr>
                <w:b/>
              </w:rPr>
              <w:t>IV.ii.2.A</w:t>
            </w:r>
            <w:r w:rsidR="002911EB">
              <w:rPr>
                <w:rStyle w:val="id-mask"/>
                <w:b/>
              </w:rPr>
              <w:t xml:space="preserve"> </w:t>
            </w:r>
            <w:r>
              <w:t>– Supplemental Service Treatment Records (S</w:t>
            </w:r>
            <w:r w:rsidR="00683B79">
              <w:t xml:space="preserve">TRs); </w:t>
            </w:r>
            <w:r w:rsidR="00683B79" w:rsidRPr="00C2315E">
              <w:rPr>
                <w:b/>
                <w:i/>
                <w:szCs w:val="24"/>
              </w:rPr>
              <w:t xml:space="preserve">January 2015 </w:t>
            </w:r>
            <w:r w:rsidR="00EB6F0B" w:rsidRPr="00C2315E">
              <w:rPr>
                <w:b/>
                <w:i/>
                <w:szCs w:val="24"/>
              </w:rPr>
              <w:t>Compensation Service Bulletin (CSB)</w:t>
            </w:r>
            <w:r w:rsidR="00683B79" w:rsidRPr="00C2315E">
              <w:rPr>
                <w:i/>
                <w:szCs w:val="24"/>
              </w:rPr>
              <w:t xml:space="preserve"> </w:t>
            </w:r>
            <w:r w:rsidR="00683B79" w:rsidRPr="00C2315E">
              <w:t>–</w:t>
            </w:r>
            <w:r w:rsidR="00683B79">
              <w:t xml:space="preserve"> reminder on how to handle supplemental STRs</w:t>
            </w:r>
            <w:r w:rsidR="00F32D34">
              <w:t xml:space="preserve">; </w:t>
            </w:r>
            <w:r w:rsidR="00F32D34" w:rsidRPr="00C2315E">
              <w:rPr>
                <w:b/>
                <w:i/>
              </w:rPr>
              <w:t xml:space="preserve">February 2015 Authorization </w:t>
            </w:r>
            <w:r w:rsidR="00FF4E63" w:rsidRPr="00C2315E">
              <w:rPr>
                <w:b/>
                <w:i/>
              </w:rPr>
              <w:t>Quality Call Notes</w:t>
            </w:r>
            <w:r w:rsidR="00F32D34" w:rsidRPr="00C61E6D">
              <w:rPr>
                <w:color w:val="000000"/>
              </w:rPr>
              <w:t xml:space="preserve"> </w:t>
            </w:r>
            <w:r w:rsidR="00F32D34">
              <w:rPr>
                <w:color w:val="000000"/>
              </w:rPr>
              <w:t>– another reminder on how to handle supplemental STRs</w:t>
            </w:r>
            <w:r w:rsidR="00472785">
              <w:rPr>
                <w:color w:val="000000"/>
              </w:rPr>
              <w:t xml:space="preserve"> </w:t>
            </w:r>
            <w:r w:rsidR="00CF6E9E">
              <w:rPr>
                <w:rFonts w:ascii="Verdana" w:hAnsi="Verdana"/>
                <w:b/>
                <w:bCs/>
                <w:highlight w:val="green"/>
              </w:rPr>
              <w:t>SUPP</w:t>
            </w:r>
            <w:r w:rsidR="00014883">
              <w:t xml:space="preserve">; </w:t>
            </w:r>
            <w:r w:rsidR="00014883" w:rsidRPr="00014883">
              <w:rPr>
                <w:b/>
              </w:rPr>
              <w:t>IV.ii.2.A.3.c</w:t>
            </w:r>
            <w:r w:rsidR="00014883">
              <w:t xml:space="preserve"> says supplemental STRs (non-duplicative) from claimant or representative during 1 year appeal period are a request for reconsideration.</w:t>
            </w:r>
          </w:p>
          <w:p w:rsidR="00013EB8" w:rsidRDefault="0011398C" w:rsidP="006707AD">
            <w:pPr>
              <w:widowControl w:val="0"/>
              <w:pBdr>
                <w:top w:val="single" w:sz="4" w:space="1" w:color="auto"/>
                <w:left w:val="single" w:sz="4" w:space="4" w:color="auto"/>
                <w:bottom w:val="single" w:sz="4" w:space="1" w:color="auto"/>
                <w:right w:val="single" w:sz="4" w:space="4" w:color="auto"/>
              </w:pBdr>
              <w:spacing w:after="120"/>
              <w:ind w:left="330" w:right="150"/>
              <w:rPr>
                <w:b/>
              </w:rPr>
            </w:pPr>
            <w:r>
              <w:t>Rating Notes:  (1) We rec</w:t>
            </w:r>
            <w:r w:rsidR="00013EB8">
              <w:t>e</w:t>
            </w:r>
            <w:r>
              <w:t>i</w:t>
            </w:r>
            <w:r w:rsidR="00013EB8">
              <w:t xml:space="preserve">ved </w:t>
            </w:r>
            <w:r w:rsidR="00690513">
              <w:t>supplemental</w:t>
            </w:r>
            <w:r w:rsidR="00013EB8">
              <w:t xml:space="preserve"> STRs with new e</w:t>
            </w:r>
            <w:r w:rsidR="00026AFC">
              <w:t>vidence, but none that indicate an increase, relate</w:t>
            </w:r>
            <w:r w:rsidR="00013EB8">
              <w:t xml:space="preserve"> to a p</w:t>
            </w:r>
            <w:r w:rsidR="00026AFC">
              <w:t>reviously denied claim, or show</w:t>
            </w:r>
            <w:r w:rsidR="00690513">
              <w:t xml:space="preserve"> a chronic disabi</w:t>
            </w:r>
            <w:r w:rsidR="00013EB8">
              <w:t>l</w:t>
            </w:r>
            <w:r w:rsidR="00690513">
              <w:t>i</w:t>
            </w:r>
            <w:r w:rsidR="00013EB8">
              <w:t>ty, so no act</w:t>
            </w:r>
            <w:r w:rsidR="00CE5299">
              <w:t>ion is necessary, per IV.ii.2.A</w:t>
            </w:r>
            <w:r w:rsidR="00AE621E">
              <w:t>.</w:t>
            </w:r>
            <w:r w:rsidR="00FF0858">
              <w:t>3</w:t>
            </w:r>
            <w:r w:rsidR="00AE621E">
              <w:t>.b</w:t>
            </w:r>
            <w:r w:rsidR="00CE5299">
              <w:t>.</w:t>
            </w:r>
            <w:r w:rsidR="00013EB8">
              <w:t xml:space="preserve"> (2) The STRs are not relevant to this claim for increase, so </w:t>
            </w:r>
            <w:r w:rsidR="006707AD">
              <w:t>are not listed in the Evidence.</w:t>
            </w:r>
          </w:p>
          <w:p w:rsidR="00604169" w:rsidRPr="00D06B05" w:rsidRDefault="00604169" w:rsidP="00F063AF">
            <w:pPr>
              <w:widowControl w:val="0"/>
              <w:numPr>
                <w:ilvl w:val="0"/>
                <w:numId w:val="105"/>
              </w:numPr>
              <w:spacing w:after="120"/>
            </w:pPr>
            <w:r w:rsidRPr="00604169">
              <w:rPr>
                <w:b/>
              </w:rPr>
              <w:t>III.iii.1.C</w:t>
            </w:r>
            <w:r w:rsidR="00D06B05">
              <w:rPr>
                <w:b/>
              </w:rPr>
              <w:t xml:space="preserve"> - III.iii.1.C.2.b </w:t>
            </w:r>
            <w:r w:rsidR="00D06B05" w:rsidRPr="00D06B05">
              <w:t>(Federal civilian employment records, incl USPS)</w:t>
            </w:r>
          </w:p>
          <w:p w:rsidR="005C7DD2" w:rsidRPr="005C7DD2" w:rsidRDefault="00013EB8" w:rsidP="00F063AF">
            <w:pPr>
              <w:widowControl w:val="0"/>
              <w:numPr>
                <w:ilvl w:val="0"/>
                <w:numId w:val="105"/>
              </w:numPr>
              <w:spacing w:after="120"/>
              <w:rPr>
                <w:b/>
              </w:rPr>
            </w:pPr>
            <w:r w:rsidRPr="00030B4E">
              <w:rPr>
                <w:b/>
              </w:rPr>
              <w:t>III.iii.2.A</w:t>
            </w:r>
            <w:r w:rsidRPr="009B7B27">
              <w:t xml:space="preserve"> – Developing for Service Records</w:t>
            </w:r>
          </w:p>
          <w:p w:rsidR="001735B6" w:rsidRPr="001735B6" w:rsidRDefault="005C7DD2" w:rsidP="00F063AF">
            <w:pPr>
              <w:widowControl w:val="0"/>
              <w:numPr>
                <w:ilvl w:val="1"/>
                <w:numId w:val="105"/>
              </w:numPr>
              <w:rPr>
                <w:b/>
              </w:rPr>
            </w:pPr>
            <w:r w:rsidRPr="005C7DD2">
              <w:rPr>
                <w:b/>
              </w:rPr>
              <w:t>III.iii.2.A.1.e</w:t>
            </w:r>
            <w:r>
              <w:t xml:space="preserve"> – </w:t>
            </w:r>
          </w:p>
          <w:p w:rsidR="001735B6" w:rsidRPr="001735B6" w:rsidRDefault="005C7DD2" w:rsidP="00F063AF">
            <w:pPr>
              <w:widowControl w:val="0"/>
              <w:numPr>
                <w:ilvl w:val="2"/>
                <w:numId w:val="105"/>
              </w:numPr>
              <w:rPr>
                <w:b/>
              </w:rPr>
            </w:pPr>
            <w:r>
              <w:t>exams (entr</w:t>
            </w:r>
            <w:r w:rsidR="00E07DBB">
              <w:t>ance &amp; discharge, if performed)</w:t>
            </w:r>
          </w:p>
          <w:p w:rsidR="001735B6" w:rsidRPr="001735B6" w:rsidRDefault="001735B6" w:rsidP="00F063AF">
            <w:pPr>
              <w:widowControl w:val="0"/>
              <w:numPr>
                <w:ilvl w:val="2"/>
                <w:numId w:val="105"/>
              </w:numPr>
              <w:rPr>
                <w:b/>
              </w:rPr>
            </w:pPr>
            <w:r>
              <w:t>medical hx</w:t>
            </w:r>
          </w:p>
          <w:p w:rsidR="001735B6" w:rsidRPr="001735B6" w:rsidRDefault="005C7DD2" w:rsidP="00F063AF">
            <w:pPr>
              <w:widowControl w:val="0"/>
              <w:numPr>
                <w:ilvl w:val="2"/>
                <w:numId w:val="105"/>
              </w:numPr>
              <w:rPr>
                <w:b/>
              </w:rPr>
            </w:pPr>
            <w:r>
              <w:t xml:space="preserve">dental exam </w:t>
            </w:r>
            <w:r w:rsidR="001735B6">
              <w:t>reports/records</w:t>
            </w:r>
          </w:p>
          <w:p w:rsidR="001735B6" w:rsidRPr="001735B6" w:rsidRDefault="005C7DD2" w:rsidP="00F063AF">
            <w:pPr>
              <w:widowControl w:val="0"/>
              <w:numPr>
                <w:ilvl w:val="2"/>
                <w:numId w:val="105"/>
              </w:numPr>
              <w:rPr>
                <w:b/>
              </w:rPr>
            </w:pPr>
            <w:r>
              <w:t>clinical r</w:t>
            </w:r>
            <w:r w:rsidR="001735B6">
              <w:t>ecord cover sheets &amp; summaries</w:t>
            </w:r>
          </w:p>
          <w:p w:rsidR="001735B6" w:rsidRPr="001735B6" w:rsidRDefault="001735B6" w:rsidP="00F063AF">
            <w:pPr>
              <w:widowControl w:val="0"/>
              <w:numPr>
                <w:ilvl w:val="2"/>
                <w:numId w:val="105"/>
              </w:numPr>
              <w:rPr>
                <w:b/>
              </w:rPr>
            </w:pPr>
            <w:r>
              <w:t>outpatient records</w:t>
            </w:r>
          </w:p>
          <w:p w:rsidR="001735B6" w:rsidRPr="001735B6" w:rsidRDefault="001735B6" w:rsidP="00F063AF">
            <w:pPr>
              <w:widowControl w:val="0"/>
              <w:numPr>
                <w:ilvl w:val="2"/>
                <w:numId w:val="105"/>
              </w:numPr>
              <w:rPr>
                <w:b/>
              </w:rPr>
            </w:pPr>
            <w:r>
              <w:t>physical profiles</w:t>
            </w:r>
          </w:p>
          <w:p w:rsidR="001735B6" w:rsidRPr="001735B6" w:rsidRDefault="001735B6" w:rsidP="00F063AF">
            <w:pPr>
              <w:widowControl w:val="0"/>
              <w:numPr>
                <w:ilvl w:val="2"/>
                <w:numId w:val="105"/>
              </w:numPr>
              <w:rPr>
                <w:b/>
              </w:rPr>
            </w:pPr>
            <w:r>
              <w:t>Med Boards</w:t>
            </w:r>
          </w:p>
          <w:p w:rsidR="005C7DD2" w:rsidRDefault="005C7DD2" w:rsidP="00F063AF">
            <w:pPr>
              <w:widowControl w:val="0"/>
              <w:numPr>
                <w:ilvl w:val="2"/>
                <w:numId w:val="105"/>
              </w:numPr>
              <w:spacing w:after="120"/>
              <w:rPr>
                <w:b/>
              </w:rPr>
            </w:pPr>
            <w:r>
              <w:t>Rx for eyeglasses/orthopedic footwear</w:t>
            </w:r>
          </w:p>
          <w:p w:rsidR="005104B6" w:rsidRPr="005104B6" w:rsidRDefault="00030B4E" w:rsidP="00F063AF">
            <w:pPr>
              <w:pStyle w:val="ListParagraph"/>
              <w:widowControl w:val="0"/>
              <w:numPr>
                <w:ilvl w:val="1"/>
                <w:numId w:val="105"/>
              </w:numPr>
              <w:spacing w:after="120"/>
              <w:rPr>
                <w:b/>
              </w:rPr>
            </w:pPr>
            <w:r w:rsidRPr="00430F52">
              <w:rPr>
                <w:rFonts w:ascii="Arial" w:hAnsi="Arial"/>
                <w:b/>
                <w:sz w:val="20"/>
              </w:rPr>
              <w:t xml:space="preserve">III.iii.2.A.1.f </w:t>
            </w:r>
            <w:r w:rsidR="005E1111" w:rsidRPr="00430F52">
              <w:rPr>
                <w:rFonts w:ascii="Arial" w:hAnsi="Arial"/>
                <w:sz w:val="20"/>
              </w:rPr>
              <w:t xml:space="preserve">(3/27/17, </w:t>
            </w:r>
            <w:r w:rsidR="005E1111" w:rsidRPr="00430F52">
              <w:rPr>
                <w:rFonts w:ascii="Arial" w:hAnsi="Arial"/>
                <w:sz w:val="20"/>
                <w:highlight w:val="magenta"/>
              </w:rPr>
              <w:t>this is a change</w:t>
            </w:r>
            <w:r w:rsidR="005E1111" w:rsidRPr="00430F52">
              <w:rPr>
                <w:rFonts w:ascii="Arial" w:hAnsi="Arial"/>
                <w:sz w:val="20"/>
              </w:rPr>
              <w:t xml:space="preserve">) </w:t>
            </w:r>
            <w:r w:rsidRPr="00430F52">
              <w:rPr>
                <w:rFonts w:ascii="Arial" w:hAnsi="Arial"/>
                <w:sz w:val="20"/>
              </w:rPr>
              <w:t>–</w:t>
            </w:r>
            <w:r w:rsidR="00A6781D" w:rsidRPr="00430F52">
              <w:rPr>
                <w:rFonts w:ascii="Arial" w:hAnsi="Arial"/>
                <w:sz w:val="20"/>
              </w:rPr>
              <w:t xml:space="preserve"> STRs are substantially complete </w:t>
            </w:r>
            <w:r w:rsidR="005C7DD2" w:rsidRPr="00430F52">
              <w:rPr>
                <w:rFonts w:ascii="Arial" w:hAnsi="Arial"/>
                <w:sz w:val="20"/>
              </w:rPr>
              <w:t>if</w:t>
            </w:r>
            <w:r w:rsidR="00A6781D" w:rsidRPr="00430F52">
              <w:rPr>
                <w:rFonts w:ascii="Arial" w:hAnsi="Arial"/>
                <w:sz w:val="20"/>
              </w:rPr>
              <w:t xml:space="preserve"> they</w:t>
            </w:r>
            <w:r w:rsidR="005C7DD2" w:rsidRPr="00430F52">
              <w:rPr>
                <w:rFonts w:ascii="Arial" w:hAnsi="Arial"/>
                <w:sz w:val="20"/>
              </w:rPr>
              <w:t xml:space="preserve"> contain</w:t>
            </w:r>
            <w:r w:rsidR="001735B6" w:rsidRPr="00430F52">
              <w:rPr>
                <w:rFonts w:ascii="Arial" w:hAnsi="Arial"/>
                <w:sz w:val="20"/>
              </w:rPr>
              <w:t xml:space="preserve"> at least</w:t>
            </w:r>
            <w:r w:rsidR="005C7DD2" w:rsidRPr="00430F52">
              <w:rPr>
                <w:rFonts w:ascii="Arial" w:hAnsi="Arial"/>
                <w:sz w:val="20"/>
              </w:rPr>
              <w:t xml:space="preserve"> one of the documents listed in </w:t>
            </w:r>
            <w:r w:rsidR="005C7DD2" w:rsidRPr="00430F52">
              <w:rPr>
                <w:rFonts w:ascii="Arial" w:hAnsi="Arial"/>
                <w:b/>
                <w:sz w:val="20"/>
              </w:rPr>
              <w:t>III.iii.2.A.1.e</w:t>
            </w:r>
            <w:r w:rsidR="001735B6" w:rsidRPr="00430F52">
              <w:rPr>
                <w:rFonts w:ascii="Arial" w:hAnsi="Arial"/>
                <w:sz w:val="20"/>
              </w:rPr>
              <w:t xml:space="preserve"> (</w:t>
            </w:r>
            <w:r w:rsidR="001735B6" w:rsidRPr="00430F52">
              <w:rPr>
                <w:rFonts w:ascii="Arial" w:hAnsi="Arial"/>
                <w:i/>
                <w:sz w:val="20"/>
              </w:rPr>
              <w:t>see above</w:t>
            </w:r>
            <w:r w:rsidR="001735B6" w:rsidRPr="00430F52">
              <w:rPr>
                <w:rFonts w:ascii="Arial" w:hAnsi="Arial"/>
                <w:sz w:val="20"/>
              </w:rPr>
              <w:t>)</w:t>
            </w:r>
            <w:r w:rsidR="005C7DD2" w:rsidRPr="00430F52">
              <w:rPr>
                <w:rFonts w:ascii="Arial" w:hAnsi="Arial"/>
                <w:sz w:val="20"/>
              </w:rPr>
              <w:t xml:space="preserve"> for each period of qualifying service or</w:t>
            </w:r>
            <w:r w:rsidR="001735B6" w:rsidRPr="00430F52">
              <w:rPr>
                <w:rFonts w:ascii="Arial" w:hAnsi="Arial"/>
                <w:sz w:val="20"/>
              </w:rPr>
              <w:t xml:space="preserve"> </w:t>
            </w:r>
            <w:r w:rsidR="00A6781D" w:rsidRPr="00430F52">
              <w:rPr>
                <w:rFonts w:ascii="Arial" w:hAnsi="Arial"/>
                <w:sz w:val="20"/>
              </w:rPr>
              <w:t>if we</w:t>
            </w:r>
            <w:r w:rsidR="001735B6" w:rsidRPr="00430F52">
              <w:rPr>
                <w:rFonts w:ascii="Arial" w:hAnsi="Arial"/>
                <w:sz w:val="20"/>
              </w:rPr>
              <w:t xml:space="preserve"> have</w:t>
            </w:r>
            <w:r w:rsidR="00A6781D" w:rsidRPr="00430F52">
              <w:rPr>
                <w:rFonts w:ascii="Arial" w:hAnsi="Arial"/>
                <w:sz w:val="20"/>
              </w:rPr>
              <w:t xml:space="preserve"> a </w:t>
            </w:r>
            <w:r w:rsidR="005C7DD2" w:rsidRPr="00430F52">
              <w:rPr>
                <w:rFonts w:ascii="Arial" w:hAnsi="Arial"/>
                <w:sz w:val="20"/>
              </w:rPr>
              <w:t>DD Form 2963</w:t>
            </w:r>
            <w:r w:rsidR="001735B6" w:rsidRPr="00430F52">
              <w:rPr>
                <w:rFonts w:ascii="Arial" w:hAnsi="Arial"/>
                <w:sz w:val="20"/>
              </w:rPr>
              <w:t xml:space="preserve"> (</w:t>
            </w:r>
            <w:r w:rsidR="001735B6" w:rsidRPr="00430F52">
              <w:rPr>
                <w:rFonts w:ascii="Arial" w:hAnsi="Arial"/>
                <w:b/>
                <w:sz w:val="20"/>
              </w:rPr>
              <w:t>III.iii.2.B.2.c</w:t>
            </w:r>
            <w:r w:rsidR="001735B6" w:rsidRPr="00430F52">
              <w:rPr>
                <w:rFonts w:ascii="Arial" w:hAnsi="Arial"/>
                <w:sz w:val="20"/>
              </w:rPr>
              <w:t xml:space="preserve"> has exceptions, where may need </w:t>
            </w:r>
            <w:r w:rsidR="00962487" w:rsidRPr="00430F52">
              <w:rPr>
                <w:rFonts w:ascii="Arial" w:hAnsi="Arial"/>
                <w:sz w:val="20"/>
              </w:rPr>
              <w:t xml:space="preserve">(1) </w:t>
            </w:r>
            <w:r w:rsidR="001735B6" w:rsidRPr="00430F52">
              <w:rPr>
                <w:rFonts w:ascii="Arial" w:hAnsi="Arial"/>
                <w:sz w:val="20"/>
              </w:rPr>
              <w:t>add dev</w:t>
            </w:r>
            <w:r w:rsidR="00962487" w:rsidRPr="00430F52">
              <w:rPr>
                <w:rFonts w:ascii="Arial" w:hAnsi="Arial"/>
                <w:sz w:val="20"/>
              </w:rPr>
              <w:t xml:space="preserve"> </w:t>
            </w:r>
            <w:r w:rsidR="001735B6" w:rsidRPr="00430F52">
              <w:rPr>
                <w:rFonts w:ascii="Arial" w:hAnsi="Arial"/>
                <w:sz w:val="20"/>
              </w:rPr>
              <w:t>– if (</w:t>
            </w:r>
            <w:r w:rsidR="00962487" w:rsidRPr="00430F52">
              <w:rPr>
                <w:rFonts w:ascii="Arial" w:hAnsi="Arial"/>
                <w:sz w:val="20"/>
              </w:rPr>
              <w:t>a</w:t>
            </w:r>
            <w:r w:rsidR="001735B6" w:rsidRPr="00430F52">
              <w:rPr>
                <w:rFonts w:ascii="Arial" w:hAnsi="Arial"/>
                <w:sz w:val="20"/>
              </w:rPr>
              <w:t xml:space="preserve">) veteran indicates specific treatment </w:t>
            </w:r>
            <w:r w:rsidR="00962487" w:rsidRPr="00430F52">
              <w:rPr>
                <w:rFonts w:ascii="Arial" w:hAnsi="Arial"/>
                <w:sz w:val="20"/>
              </w:rPr>
              <w:t xml:space="preserve">AND (b) </w:t>
            </w:r>
            <w:r w:rsidR="00880C6C" w:rsidRPr="00430F52">
              <w:rPr>
                <w:rFonts w:ascii="Arial" w:hAnsi="Arial"/>
                <w:sz w:val="20"/>
              </w:rPr>
              <w:t>t</w:t>
            </w:r>
            <w:r w:rsidR="00962487" w:rsidRPr="00430F52">
              <w:rPr>
                <w:rFonts w:ascii="Arial" w:hAnsi="Arial"/>
                <w:sz w:val="20"/>
              </w:rPr>
              <w:t>hose records</w:t>
            </w:r>
            <w:r w:rsidR="001735B6" w:rsidRPr="00430F52">
              <w:rPr>
                <w:rFonts w:ascii="Arial" w:hAnsi="Arial"/>
                <w:sz w:val="20"/>
              </w:rPr>
              <w:t xml:space="preserve"> don’t exist </w:t>
            </w:r>
            <w:r w:rsidR="00962487" w:rsidRPr="00430F52">
              <w:rPr>
                <w:rFonts w:ascii="Arial" w:hAnsi="Arial"/>
                <w:bCs/>
                <w:iCs/>
                <w:sz w:val="20"/>
              </w:rPr>
              <w:t>in ava</w:t>
            </w:r>
            <w:r w:rsidR="002A27E2">
              <w:rPr>
                <w:rFonts w:ascii="Arial" w:hAnsi="Arial"/>
                <w:bCs/>
                <w:iCs/>
                <w:sz w:val="20"/>
              </w:rPr>
              <w:t>ilable</w:t>
            </w:r>
            <w:r w:rsidR="00962487" w:rsidRPr="00430F52">
              <w:rPr>
                <w:rFonts w:ascii="Arial" w:hAnsi="Arial"/>
                <w:bCs/>
                <w:iCs/>
                <w:sz w:val="20"/>
              </w:rPr>
              <w:t xml:space="preserve"> STRs </w:t>
            </w:r>
            <w:r w:rsidR="001735B6" w:rsidRPr="00430F52">
              <w:rPr>
                <w:rFonts w:ascii="Arial" w:hAnsi="Arial"/>
                <w:sz w:val="20"/>
              </w:rPr>
              <w:t>&amp; they aren’t in JLV</w:t>
            </w:r>
            <w:r w:rsidR="00962487" w:rsidRPr="00430F52">
              <w:rPr>
                <w:rFonts w:ascii="Arial" w:hAnsi="Arial"/>
                <w:sz w:val="20"/>
              </w:rPr>
              <w:t xml:space="preserve">; or (2) </w:t>
            </w:r>
            <w:r w:rsidR="003068A3" w:rsidRPr="003068A3">
              <w:rPr>
                <w:rFonts w:ascii="Arial" w:hAnsi="Arial"/>
                <w:sz w:val="20"/>
                <w:szCs w:val="20"/>
              </w:rPr>
              <w:t>final</w:t>
            </w:r>
            <w:r w:rsidR="00FA3608">
              <w:rPr>
                <w:rFonts w:ascii="Arial" w:hAnsi="Arial"/>
                <w:sz w:val="20"/>
                <w:szCs w:val="20"/>
              </w:rPr>
              <w:t xml:space="preserve"> </w:t>
            </w:r>
            <w:r w:rsidR="003068A3" w:rsidRPr="003068A3">
              <w:rPr>
                <w:rFonts w:ascii="Arial" w:hAnsi="Arial"/>
                <w:sz w:val="20"/>
                <w:szCs w:val="20"/>
              </w:rPr>
              <w:t>notification letter</w:t>
            </w:r>
            <w:r w:rsidR="00FA3608">
              <w:rPr>
                <w:rFonts w:ascii="Arial" w:hAnsi="Arial"/>
                <w:sz w:val="20"/>
                <w:szCs w:val="20"/>
              </w:rPr>
              <w:t xml:space="preserve"> </w:t>
            </w:r>
            <w:r w:rsidR="00962487" w:rsidRPr="003068A3">
              <w:rPr>
                <w:rFonts w:ascii="Arial" w:hAnsi="Arial"/>
                <w:sz w:val="20"/>
                <w:szCs w:val="20"/>
              </w:rPr>
              <w:t>if 2963 says STRs are absent</w:t>
            </w:r>
            <w:r w:rsidR="001735B6" w:rsidRPr="003068A3">
              <w:rPr>
                <w:rFonts w:ascii="Arial" w:hAnsi="Arial"/>
                <w:sz w:val="20"/>
                <w:szCs w:val="20"/>
              </w:rPr>
              <w:t>)</w:t>
            </w:r>
            <w:r w:rsidR="00430F52" w:rsidRPr="003068A3">
              <w:rPr>
                <w:rFonts w:ascii="Arial" w:hAnsi="Arial"/>
                <w:sz w:val="20"/>
                <w:szCs w:val="20"/>
              </w:rPr>
              <w:t xml:space="preserve"> –</w:t>
            </w:r>
            <w:r w:rsidR="00430F52">
              <w:t xml:space="preserve"> </w:t>
            </w:r>
          </w:p>
          <w:p w:rsidR="00030B4E" w:rsidRPr="005104B6" w:rsidRDefault="00430F52" w:rsidP="00F063AF">
            <w:pPr>
              <w:pStyle w:val="ListParagraph"/>
              <w:widowControl w:val="0"/>
              <w:numPr>
                <w:ilvl w:val="2"/>
                <w:numId w:val="105"/>
              </w:numPr>
              <w:spacing w:after="120"/>
              <w:rPr>
                <w:b/>
              </w:rPr>
            </w:pPr>
            <w:r w:rsidRPr="00430F52">
              <w:rPr>
                <w:rFonts w:ascii="Arial" w:hAnsi="Arial"/>
                <w:i/>
                <w:color w:val="00B050"/>
                <w:sz w:val="20"/>
                <w:szCs w:val="20"/>
              </w:rPr>
              <w:t>My Notes</w:t>
            </w:r>
            <w:r w:rsidRPr="00430F52">
              <w:rPr>
                <w:rFonts w:ascii="Arial" w:hAnsi="Arial"/>
                <w:i/>
                <w:sz w:val="20"/>
                <w:szCs w:val="20"/>
              </w:rPr>
              <w:t>:  This seems to indicate, for example, that if we have just a medical history form on a 4-year period of service, the STRs for that 4-year period are substantially complete &amp; we are supposed to rate the claim. I know this is a rare &amp; extreme example, but this new policy could result in premature ratings with denials (not to mention the re-work once we actually get the rest of the STRs).</w:t>
            </w:r>
            <w:r>
              <w:rPr>
                <w:rFonts w:ascii="Arial" w:hAnsi="Arial"/>
                <w:i/>
                <w:sz w:val="20"/>
                <w:szCs w:val="20"/>
              </w:rPr>
              <w:t xml:space="preserve"> </w:t>
            </w:r>
            <w:r w:rsidRPr="00430F52">
              <w:rPr>
                <w:rFonts w:ascii="Arial" w:hAnsi="Arial"/>
                <w:i/>
                <w:color w:val="0070C0"/>
                <w:sz w:val="20"/>
              </w:rPr>
              <w:t>Ryan Scalmanini talked to folks at CO &amp;</w:t>
            </w:r>
            <w:r>
              <w:rPr>
                <w:rFonts w:ascii="Arial" w:hAnsi="Arial"/>
                <w:i/>
                <w:color w:val="0070C0"/>
                <w:sz w:val="20"/>
              </w:rPr>
              <w:t xml:space="preserve"> said “</w:t>
            </w:r>
            <w:r w:rsidRPr="00430F52">
              <w:rPr>
                <w:rFonts w:ascii="Arial" w:hAnsi="Arial"/>
                <w:i/>
                <w:color w:val="0070C0"/>
                <w:sz w:val="20"/>
              </w:rPr>
              <w:t>they forwarded our concern to policy. The regulation wasn’t meant to be a change on what constitutes complete but rather whatever was sent to us by the record holder is all they had at the time and further efforts to go back to that record holder would be futile. It does not mean to assume they are complete if one document is of record. We would still complete a 10 day letter and attempt to obtain records from other record holders if needed.</w:t>
            </w:r>
            <w:r>
              <w:rPr>
                <w:rFonts w:ascii="Arial" w:hAnsi="Arial"/>
                <w:i/>
                <w:color w:val="0070C0"/>
                <w:sz w:val="20"/>
              </w:rPr>
              <w:t>”</w:t>
            </w:r>
          </w:p>
          <w:p w:rsidR="005104B6" w:rsidRPr="00C0079D" w:rsidRDefault="005104B6" w:rsidP="00F063AF">
            <w:pPr>
              <w:pStyle w:val="ListParagraph"/>
              <w:widowControl w:val="0"/>
              <w:numPr>
                <w:ilvl w:val="2"/>
                <w:numId w:val="105"/>
              </w:numPr>
              <w:spacing w:after="120"/>
              <w:rPr>
                <w:b/>
              </w:rPr>
            </w:pPr>
            <w:r w:rsidRPr="005104B6">
              <w:rPr>
                <w:rFonts w:ascii="Arial" w:hAnsi="Arial"/>
                <w:sz w:val="20"/>
                <w:szCs w:val="20"/>
              </w:rPr>
              <w:t xml:space="preserve">VA Pulse, </w:t>
            </w:r>
            <w:hyperlink r:id="rId733" w:history="1">
              <w:r w:rsidRPr="00EA4D73">
                <w:rPr>
                  <w:rStyle w:val="Hyperlink"/>
                  <w:rFonts w:ascii="Arial" w:hAnsi="Arial"/>
                  <w:i/>
                  <w:sz w:val="20"/>
                  <w:szCs w:val="20"/>
                </w:rPr>
                <w:t>https://www.vapulse.net/message/146532</w:t>
              </w:r>
            </w:hyperlink>
            <w:r w:rsidRPr="005104B6">
              <w:rPr>
                <w:rFonts w:ascii="Arial" w:hAnsi="Arial"/>
                <w:sz w:val="20"/>
                <w:szCs w:val="20"/>
              </w:rPr>
              <w:t>,</w:t>
            </w:r>
            <w:r>
              <w:rPr>
                <w:rFonts w:ascii="Arial" w:hAnsi="Arial"/>
                <w:sz w:val="20"/>
                <w:szCs w:val="20"/>
              </w:rPr>
              <w:t xml:space="preserve"> points out problems with the change</w:t>
            </w:r>
            <w:r w:rsidR="002A27E2">
              <w:rPr>
                <w:rFonts w:ascii="Arial" w:hAnsi="Arial"/>
                <w:sz w:val="20"/>
                <w:szCs w:val="20"/>
              </w:rPr>
              <w:t xml:space="preserve"> to III.iii.2.A.1.f</w:t>
            </w:r>
            <w:r>
              <w:rPr>
                <w:rFonts w:ascii="Arial" w:hAnsi="Arial"/>
                <w:sz w:val="20"/>
                <w:szCs w:val="20"/>
              </w:rPr>
              <w:t xml:space="preserve"> as well</w:t>
            </w:r>
          </w:p>
          <w:p w:rsidR="00C0079D" w:rsidRPr="005104B6" w:rsidRDefault="00C0079D" w:rsidP="00F063AF">
            <w:pPr>
              <w:pStyle w:val="ListParagraph"/>
              <w:widowControl w:val="0"/>
              <w:numPr>
                <w:ilvl w:val="2"/>
                <w:numId w:val="105"/>
              </w:numPr>
              <w:spacing w:after="120"/>
              <w:rPr>
                <w:b/>
              </w:rPr>
            </w:pPr>
            <w:r>
              <w:rPr>
                <w:rFonts w:ascii="Arial" w:hAnsi="Arial"/>
                <w:sz w:val="20"/>
                <w:szCs w:val="20"/>
              </w:rPr>
              <w:t>updated 11/1/17 – added note that if the records are inconsistent &amp; there is a clear lack of records for an extended period of service, we need a final notification letter (don’t do further development)</w:t>
            </w:r>
          </w:p>
          <w:p w:rsidR="00F107C0" w:rsidRPr="00F107C0" w:rsidRDefault="00D571C5" w:rsidP="00F063AF">
            <w:pPr>
              <w:widowControl w:val="0"/>
              <w:numPr>
                <w:ilvl w:val="1"/>
                <w:numId w:val="105"/>
              </w:numPr>
              <w:spacing w:after="120"/>
              <w:rPr>
                <w:rStyle w:val="Hyperlink"/>
                <w:color w:val="auto"/>
                <w:u w:val="none"/>
              </w:rPr>
            </w:pPr>
            <w:hyperlink r:id="rId734" w:history="1">
              <w:r w:rsidR="00F107C0" w:rsidRPr="0031324C">
                <w:rPr>
                  <w:rStyle w:val="Hyperlink"/>
                  <w:b/>
                  <w:bCs/>
                  <w:i/>
                </w:rPr>
                <w:t>April 2017 Quality Call Notes</w:t>
              </w:r>
            </w:hyperlink>
            <w:r w:rsidR="00F107C0">
              <w:rPr>
                <w:rStyle w:val="Hyperlink"/>
                <w:bCs/>
                <w:color w:val="auto"/>
                <w:u w:val="none"/>
              </w:rPr>
              <w:t xml:space="preserve"> – </w:t>
            </w:r>
          </w:p>
          <w:p w:rsidR="00F107C0" w:rsidRPr="00F107C0" w:rsidRDefault="00F107C0" w:rsidP="00F107C0">
            <w:pPr>
              <w:pStyle w:val="NoSpacing"/>
              <w:spacing w:after="120"/>
              <w:ind w:left="1411"/>
              <w:rPr>
                <w:rFonts w:ascii="Arial" w:hAnsi="Arial"/>
                <w:b/>
                <w:color w:val="FFFFFF"/>
                <w:sz w:val="20"/>
                <w:szCs w:val="22"/>
              </w:rPr>
            </w:pPr>
            <w:r w:rsidRPr="00F107C0">
              <w:rPr>
                <w:rFonts w:ascii="Arial" w:hAnsi="Arial"/>
                <w:b/>
                <w:color w:val="000000"/>
                <w:sz w:val="20"/>
                <w:szCs w:val="22"/>
              </w:rPr>
              <w:t>Question:  There have been many deferrals asking for the completion of a final attempt letter when the only STR available is the entrance exam (prior to entry into Active Duty service) obtained from DPRIS.  This is a document typically found within the personnel file.  Does this entrance exam document suffice as the one document rule for STRs?</w:t>
            </w:r>
          </w:p>
          <w:p w:rsidR="00F107C0" w:rsidRDefault="00F107C0" w:rsidP="00F107C0">
            <w:pPr>
              <w:pStyle w:val="NoSpacing"/>
              <w:spacing w:after="120"/>
              <w:ind w:left="1411"/>
              <w:rPr>
                <w:rFonts w:ascii="Arial" w:hAnsi="Arial"/>
                <w:color w:val="000000"/>
                <w:sz w:val="20"/>
                <w:szCs w:val="22"/>
              </w:rPr>
            </w:pPr>
            <w:r w:rsidRPr="00F107C0">
              <w:rPr>
                <w:rFonts w:ascii="Arial" w:hAnsi="Arial"/>
                <w:color w:val="000000"/>
                <w:sz w:val="20"/>
                <w:szCs w:val="22"/>
              </w:rPr>
              <w:t>Answer:  No.  The document is one that constitutes part of the STRs, but as you have pointed out, it is also associated with personnel pages as well.  In this instance, it was received as part of a request for personnel records, not STRs.  A final-attempt letter should be sent.</w:t>
            </w:r>
          </w:p>
          <w:p w:rsidR="005C7DD2" w:rsidRPr="00616552" w:rsidRDefault="005C7DD2" w:rsidP="00F063AF">
            <w:pPr>
              <w:widowControl w:val="0"/>
              <w:numPr>
                <w:ilvl w:val="0"/>
                <w:numId w:val="105"/>
              </w:numPr>
              <w:spacing w:after="120"/>
            </w:pPr>
            <w:r w:rsidRPr="006C7157">
              <w:rPr>
                <w:b/>
              </w:rPr>
              <w:t>III.iii.2.B.2</w:t>
            </w:r>
            <w:r>
              <w:t xml:space="preserve"> - </w:t>
            </w:r>
            <w:r>
              <w:rPr>
                <w:bCs/>
                <w:iCs/>
              </w:rPr>
              <w:t>“certification letter” / certification memo / DD Form 2963 / STR Certification</w:t>
            </w:r>
          </w:p>
          <w:p w:rsidR="00021618" w:rsidRPr="009B7B27" w:rsidRDefault="00021618" w:rsidP="00F063AF">
            <w:pPr>
              <w:widowControl w:val="0"/>
              <w:numPr>
                <w:ilvl w:val="0"/>
                <w:numId w:val="105"/>
              </w:numPr>
              <w:spacing w:after="120"/>
              <w:rPr>
                <w:b/>
              </w:rPr>
            </w:pPr>
            <w:r w:rsidRPr="009B7B27">
              <w:rPr>
                <w:b/>
              </w:rPr>
              <w:t>III.iii.2.D</w:t>
            </w:r>
            <w:r w:rsidRPr="009B7B27">
              <w:t xml:space="preserve"> – PIES info</w:t>
            </w:r>
          </w:p>
          <w:p w:rsidR="00C01606" w:rsidRDefault="00F65ADD" w:rsidP="00F063AF">
            <w:pPr>
              <w:widowControl w:val="0"/>
              <w:numPr>
                <w:ilvl w:val="0"/>
                <w:numId w:val="105"/>
              </w:numPr>
              <w:spacing w:after="120"/>
            </w:pPr>
            <w:r w:rsidRPr="009B7B27">
              <w:rPr>
                <w:b/>
                <w:bCs/>
              </w:rPr>
              <w:t>III.iii.2.E</w:t>
            </w:r>
            <w:r w:rsidR="00013EB8" w:rsidRPr="009B7B27">
              <w:t xml:space="preserve"> - </w:t>
            </w:r>
          </w:p>
          <w:p w:rsidR="005140BE" w:rsidRPr="009B7B27" w:rsidRDefault="00013EB8" w:rsidP="00F063AF">
            <w:pPr>
              <w:widowControl w:val="0"/>
              <w:numPr>
                <w:ilvl w:val="1"/>
                <w:numId w:val="105"/>
              </w:numPr>
              <w:spacing w:after="120"/>
            </w:pPr>
            <w:r w:rsidRPr="009B7B27">
              <w:t xml:space="preserve">fire-related </w:t>
            </w:r>
            <w:r w:rsidR="00D71BF9" w:rsidRPr="009B7B27">
              <w:t>STRs</w:t>
            </w:r>
            <w:r w:rsidR="00B4266B" w:rsidRPr="009B7B27">
              <w:t xml:space="preserve">, </w:t>
            </w:r>
            <w:r w:rsidR="00010FA6">
              <w:t xml:space="preserve">NO </w:t>
            </w:r>
            <w:r w:rsidR="00FA3608">
              <w:t>final</w:t>
            </w:r>
            <w:r w:rsidR="00010FA6">
              <w:t xml:space="preserve"> notification letter </w:t>
            </w:r>
            <w:r w:rsidR="00B4266B" w:rsidRPr="009B7B27">
              <w:t>needed per Station MRS (</w:t>
            </w:r>
            <w:r w:rsidR="00391FAD" w:rsidRPr="00391FAD">
              <w:rPr>
                <w:b/>
              </w:rPr>
              <w:t>III.iii.</w:t>
            </w:r>
            <w:r w:rsidR="00010FA6">
              <w:rPr>
                <w:b/>
              </w:rPr>
              <w:t>1.C1.e</w:t>
            </w:r>
            <w:r w:rsidR="00391FAD">
              <w:t xml:space="preserve"> </w:t>
            </w:r>
            <w:r w:rsidR="00C01606">
              <w:t xml:space="preserve">says no </w:t>
            </w:r>
            <w:r w:rsidR="00FA3608">
              <w:t>f</w:t>
            </w:r>
            <w:r w:rsidR="00010FA6">
              <w:t xml:space="preserve">inal notification letter </w:t>
            </w:r>
            <w:r w:rsidR="00C01606">
              <w:t xml:space="preserve">&amp; to follow </w:t>
            </w:r>
            <w:r w:rsidR="00C01606" w:rsidRPr="009B7B27">
              <w:rPr>
                <w:b/>
              </w:rPr>
              <w:t>III.iii.2.E.1.c</w:t>
            </w:r>
            <w:r w:rsidR="00C01606" w:rsidRPr="00C01606">
              <w:t xml:space="preserve"> or</w:t>
            </w:r>
            <w:r w:rsidR="00C01606">
              <w:rPr>
                <w:b/>
              </w:rPr>
              <w:t xml:space="preserve"> f</w:t>
            </w:r>
            <w:r w:rsidR="00B4266B" w:rsidRPr="009B7B27">
              <w:t>)</w:t>
            </w:r>
            <w:r w:rsidR="00A343B9">
              <w:t>; NA Form 13075</w:t>
            </w:r>
            <w:r w:rsidR="00487689">
              <w:t xml:space="preserve"> for service, NA Form 10355 for medical</w:t>
            </w:r>
            <w:r w:rsidR="008717E9">
              <w:t xml:space="preserve">, </w:t>
            </w:r>
            <w:r w:rsidR="008717E9" w:rsidRPr="008717E9">
              <w:rPr>
                <w:i/>
              </w:rPr>
              <w:t>https://www.vapulse.net/thread/27679</w:t>
            </w:r>
            <w:r w:rsidR="00D15F2F">
              <w:t xml:space="preserve">; Per the Note under </w:t>
            </w:r>
            <w:r w:rsidR="00D15F2F" w:rsidRPr="009B7B27">
              <w:rPr>
                <w:b/>
                <w:bCs/>
              </w:rPr>
              <w:t>III.iii.2.E</w:t>
            </w:r>
            <w:r w:rsidR="00D15F2F">
              <w:rPr>
                <w:b/>
                <w:bCs/>
              </w:rPr>
              <w:t>.1.c</w:t>
            </w:r>
            <w:r w:rsidR="00D15F2F">
              <w:t>, include this in RD</w:t>
            </w:r>
            <w:r w:rsidR="00624198">
              <w:t xml:space="preserve"> narrative &amp; in the decision notice</w:t>
            </w:r>
            <w:r w:rsidR="00D15F2F">
              <w:t>:</w:t>
            </w:r>
          </w:p>
          <w:p w:rsidR="00215825" w:rsidRDefault="00215825" w:rsidP="005D14CA">
            <w:pPr>
              <w:spacing w:after="120"/>
              <w:ind w:left="1050"/>
            </w:pPr>
            <w:r w:rsidRPr="006B2A5A">
              <w:rPr>
                <w:highlight w:val="cyan"/>
              </w:rPr>
              <w:t xml:space="preserve">We were unable to obtain your service treatment records. You failed to return NA Form 13055. Further attempts to obtain the missing records cannot be undertaken without the completed form, and the decision is made on the evidence of record. For a copy of the form, please download from our website </w:t>
            </w:r>
            <w:hyperlink r:id="rId735" w:history="1">
              <w:r w:rsidRPr="006B2A5A">
                <w:rPr>
                  <w:rStyle w:val="Hyperlink"/>
                  <w:highlight w:val="cyan"/>
                </w:rPr>
                <w:t>http://www.va.gov/vaforms</w:t>
              </w:r>
            </w:hyperlink>
            <w:r w:rsidRPr="006B2A5A">
              <w:rPr>
                <w:highlight w:val="cyan"/>
              </w:rPr>
              <w:t xml:space="preserve"> or call us at 1-800-827-1000.</w:t>
            </w:r>
          </w:p>
          <w:p w:rsidR="008630FD" w:rsidRDefault="00494A88" w:rsidP="005D14CA">
            <w:pPr>
              <w:widowControl w:val="0"/>
              <w:spacing w:after="120"/>
              <w:ind w:left="1050"/>
              <w:rPr>
                <w:rFonts w:ascii="Verdana" w:hAnsi="Verdana"/>
                <w:b/>
                <w:bCs/>
              </w:rPr>
            </w:pPr>
            <w:r w:rsidRPr="001D615F">
              <w:rPr>
                <w:bCs/>
              </w:rPr>
              <w:t>also see</w:t>
            </w:r>
            <w:r>
              <w:rPr>
                <w:bCs/>
              </w:rPr>
              <w:t xml:space="preserve"> </w:t>
            </w:r>
            <w:r w:rsidR="008630FD">
              <w:rPr>
                <w:rFonts w:ascii="Verdana" w:hAnsi="Verdana"/>
                <w:b/>
                <w:bCs/>
                <w:highlight w:val="green"/>
              </w:rPr>
              <w:t>FIRE1</w:t>
            </w:r>
            <w:r w:rsidR="00860A80">
              <w:rPr>
                <w:rFonts w:ascii="Verdana" w:hAnsi="Verdana"/>
                <w:b/>
                <w:bCs/>
              </w:rPr>
              <w:t xml:space="preserve"> &amp; </w:t>
            </w:r>
            <w:r w:rsidR="00860A80">
              <w:rPr>
                <w:rFonts w:ascii="Verdana" w:hAnsi="Verdana"/>
                <w:b/>
                <w:bCs/>
                <w:highlight w:val="green"/>
              </w:rPr>
              <w:t>PMC-NPRC</w:t>
            </w:r>
          </w:p>
          <w:p w:rsidR="00ED5C7F" w:rsidRPr="00ED5C7F" w:rsidRDefault="00ED5C7F" w:rsidP="00F063AF">
            <w:pPr>
              <w:pStyle w:val="ListParagraph"/>
              <w:widowControl w:val="0"/>
              <w:numPr>
                <w:ilvl w:val="1"/>
                <w:numId w:val="105"/>
              </w:numPr>
              <w:spacing w:after="120"/>
              <w:rPr>
                <w:rFonts w:ascii="Arial" w:hAnsi="Arial"/>
                <w:sz w:val="20"/>
                <w:szCs w:val="20"/>
              </w:rPr>
            </w:pPr>
            <w:r w:rsidRPr="00ED5C7F">
              <w:rPr>
                <w:rFonts w:ascii="Arial" w:hAnsi="Arial"/>
                <w:b/>
                <w:sz w:val="20"/>
                <w:szCs w:val="20"/>
              </w:rPr>
              <w:t>I.1.B.1.f</w:t>
            </w:r>
            <w:r>
              <w:rPr>
                <w:rFonts w:ascii="Arial" w:hAnsi="Arial"/>
                <w:sz w:val="20"/>
                <w:szCs w:val="20"/>
              </w:rPr>
              <w:t xml:space="preserve"> – need to send additional notice, per</w:t>
            </w:r>
            <w:r w:rsidRPr="00ED5C7F">
              <w:rPr>
                <w:rFonts w:ascii="Arial" w:hAnsi="Arial"/>
                <w:b/>
                <w:sz w:val="20"/>
                <w:szCs w:val="20"/>
              </w:rPr>
              <w:t xml:space="preserve"> III.iii.2.E.1.b</w:t>
            </w:r>
          </w:p>
          <w:p w:rsidR="00ED5C7F" w:rsidRPr="00ED5C7F" w:rsidRDefault="00C01606" w:rsidP="00F063AF">
            <w:pPr>
              <w:pStyle w:val="ListParagraph"/>
              <w:widowControl w:val="0"/>
              <w:numPr>
                <w:ilvl w:val="1"/>
                <w:numId w:val="105"/>
              </w:numPr>
              <w:spacing w:after="120" w:line="240" w:lineRule="auto"/>
              <w:rPr>
                <w:rFonts w:ascii="Arial" w:hAnsi="Arial"/>
                <w:sz w:val="20"/>
                <w:szCs w:val="20"/>
              </w:rPr>
            </w:pPr>
            <w:r w:rsidRPr="00C01606">
              <w:rPr>
                <w:rFonts w:ascii="Arial" w:hAnsi="Arial"/>
                <w:b/>
                <w:sz w:val="20"/>
                <w:szCs w:val="20"/>
              </w:rPr>
              <w:t>III.iii.2.E.1.h</w:t>
            </w:r>
            <w:r w:rsidRPr="00C01606">
              <w:rPr>
                <w:rFonts w:ascii="Arial" w:hAnsi="Arial"/>
                <w:sz w:val="20"/>
                <w:szCs w:val="20"/>
              </w:rPr>
              <w:t xml:space="preserve"> – need </w:t>
            </w:r>
            <w:r>
              <w:rPr>
                <w:rFonts w:ascii="Arial" w:hAnsi="Arial"/>
                <w:sz w:val="20"/>
                <w:szCs w:val="20"/>
              </w:rPr>
              <w:t>formal finding (</w:t>
            </w:r>
            <w:r w:rsidRPr="00C01606">
              <w:rPr>
                <w:rFonts w:ascii="Arial" w:hAnsi="Arial"/>
                <w:b/>
                <w:sz w:val="20"/>
                <w:szCs w:val="20"/>
              </w:rPr>
              <w:t>III.iii.2.I.4.c</w:t>
            </w:r>
            <w:r>
              <w:rPr>
                <w:rFonts w:ascii="Arial" w:hAnsi="Arial"/>
                <w:sz w:val="20"/>
                <w:szCs w:val="20"/>
              </w:rPr>
              <w:t xml:space="preserve"> s</w:t>
            </w:r>
            <w:r w:rsidRPr="00C01606">
              <w:rPr>
                <w:rFonts w:ascii="Arial" w:hAnsi="Arial"/>
                <w:sz w:val="20"/>
                <w:szCs w:val="20"/>
              </w:rPr>
              <w:t xml:space="preserve">ays </w:t>
            </w:r>
            <w:r w:rsidR="00135AF1">
              <w:rPr>
                <w:rFonts w:ascii="Arial" w:hAnsi="Arial"/>
                <w:sz w:val="20"/>
                <w:szCs w:val="20"/>
              </w:rPr>
              <w:t>use</w:t>
            </w:r>
            <w:r w:rsidRPr="00C01606">
              <w:rPr>
                <w:rFonts w:ascii="Arial" w:hAnsi="Arial"/>
                <w:sz w:val="20"/>
                <w:szCs w:val="20"/>
              </w:rPr>
              <w:t xml:space="preserve"> 0961) if can’t verify service</w:t>
            </w:r>
          </w:p>
          <w:p w:rsidR="006C7157" w:rsidRPr="00616552" w:rsidRDefault="005C7DD2" w:rsidP="00F063AF">
            <w:pPr>
              <w:widowControl w:val="0"/>
              <w:numPr>
                <w:ilvl w:val="0"/>
                <w:numId w:val="105"/>
              </w:numPr>
              <w:spacing w:after="120"/>
            </w:pPr>
            <w:r>
              <w:rPr>
                <w:bCs/>
                <w:iCs/>
              </w:rPr>
              <w:t>…</w:t>
            </w:r>
          </w:p>
          <w:p w:rsidR="004423FA" w:rsidRPr="007E2A81" w:rsidRDefault="004423FA" w:rsidP="006F16AF">
            <w:pPr>
              <w:widowControl w:val="0"/>
              <w:pBdr>
                <w:top w:val="single" w:sz="4" w:space="1" w:color="auto"/>
                <w:left w:val="single" w:sz="4" w:space="4" w:color="auto"/>
                <w:bottom w:val="single" w:sz="4" w:space="1" w:color="auto"/>
                <w:right w:val="single" w:sz="4" w:space="4" w:color="auto"/>
              </w:pBdr>
              <w:spacing w:after="120"/>
              <w:ind w:left="240" w:right="150"/>
              <w:rPr>
                <w:i/>
              </w:rPr>
            </w:pPr>
            <w:r w:rsidRPr="007E2A81">
              <w:rPr>
                <w:i/>
              </w:rPr>
              <w:t>Examples of DD Forms 2963 showing STR</w:t>
            </w:r>
            <w:r w:rsidR="007E2A81">
              <w:rPr>
                <w:i/>
              </w:rPr>
              <w:t>s</w:t>
            </w:r>
            <w:r w:rsidRPr="007E2A81">
              <w:rPr>
                <w:i/>
              </w:rPr>
              <w:t xml:space="preserve"> absent:</w:t>
            </w:r>
          </w:p>
          <w:p w:rsidR="004423FA" w:rsidRDefault="004423FA" w:rsidP="004423FA">
            <w:pPr>
              <w:widowControl w:val="0"/>
              <w:pBdr>
                <w:top w:val="single" w:sz="4" w:space="1" w:color="auto"/>
                <w:left w:val="single" w:sz="4" w:space="4" w:color="auto"/>
                <w:bottom w:val="single" w:sz="4" w:space="1" w:color="auto"/>
                <w:right w:val="single" w:sz="4" w:space="4" w:color="auto"/>
              </w:pBdr>
              <w:spacing w:after="120"/>
              <w:ind w:left="240" w:right="150"/>
              <w:rPr>
                <w:szCs w:val="24"/>
              </w:rPr>
            </w:pPr>
            <w:r w:rsidRPr="001425D2">
              <w:t>ONE OR MORE SECTIONS OF THE STR IS ABSENT AFTER CONDUCTING DUE DILIGENCE TO DETERMINE THE EXISTENCE/LOCATION OF THE SECTION(S). THE RECORDS PROCESSING CENTER HAS SPECIFIC INFORMATION REGARDI</w:t>
            </w:r>
            <w:r>
              <w:t>NG MISSING ELEMENTS OF THE STR.</w:t>
            </w:r>
          </w:p>
          <w:p w:rsidR="004423FA" w:rsidRDefault="004423FA" w:rsidP="004423FA">
            <w:pPr>
              <w:widowControl w:val="0"/>
              <w:pBdr>
                <w:top w:val="single" w:sz="4" w:space="1" w:color="auto"/>
                <w:left w:val="single" w:sz="4" w:space="4" w:color="auto"/>
                <w:bottom w:val="single" w:sz="4" w:space="1" w:color="auto"/>
                <w:right w:val="single" w:sz="4" w:space="4" w:color="auto"/>
              </w:pBdr>
              <w:spacing w:after="120"/>
              <w:ind w:left="240" w:right="150"/>
            </w:pPr>
            <w:r w:rsidRPr="00A93D6B">
              <w:t>AFTER SEARCHING WITH ALL DUE DILIGENCE IT IS D</w:t>
            </w:r>
            <w:r>
              <w:t xml:space="preserve">ETERMINED THAT THE MEDICAL AND </w:t>
            </w:r>
            <w:r w:rsidRPr="00A93D6B">
              <w:t>DENTAL RECORDS OF THIS SERVICE TREATMENT RECORD ARE ABSENT.</w:t>
            </w:r>
          </w:p>
          <w:p w:rsidR="004423FA" w:rsidRDefault="004423FA" w:rsidP="004423FA">
            <w:pPr>
              <w:widowControl w:val="0"/>
              <w:pBdr>
                <w:top w:val="single" w:sz="4" w:space="1" w:color="auto"/>
                <w:left w:val="single" w:sz="4" w:space="4" w:color="auto"/>
                <w:bottom w:val="single" w:sz="4" w:space="1" w:color="auto"/>
                <w:right w:val="single" w:sz="4" w:space="4" w:color="auto"/>
              </w:pBdr>
              <w:spacing w:after="120"/>
              <w:ind w:left="240" w:right="150"/>
            </w:pPr>
            <w:r w:rsidRPr="00A71C9C">
              <w:t>MISSING MEDICAL SECTION 1</w:t>
            </w:r>
            <w:r>
              <w:t xml:space="preserve">. </w:t>
            </w:r>
            <w:r w:rsidRPr="00A71C9C">
              <w:t>ONE OR MORE SECTIONS OF THE STR IS ABSENT AFTER CONDUCTING DUE DILIGENCE TO DETERMINE THE EXISTENCE/LOCATION OF THE SECTION(S). THE RECORDS PROCESSING CENTER HAS SPECIFIC INFORMATION REGARDING MISSING ELEMENTS OF THE STR</w:t>
            </w:r>
            <w:r w:rsidRPr="00A93D6B">
              <w:t>.</w:t>
            </w:r>
          </w:p>
          <w:p w:rsidR="004423FA" w:rsidRPr="00E16E58" w:rsidRDefault="007E2A81" w:rsidP="004423FA">
            <w:pPr>
              <w:widowControl w:val="0"/>
              <w:pBdr>
                <w:top w:val="single" w:sz="4" w:space="1" w:color="auto"/>
                <w:left w:val="single" w:sz="4" w:space="4" w:color="auto"/>
                <w:bottom w:val="single" w:sz="4" w:space="1" w:color="auto"/>
                <w:right w:val="single" w:sz="4" w:space="4" w:color="auto"/>
              </w:pBdr>
              <w:spacing w:after="120"/>
              <w:ind w:left="240" w:right="150"/>
            </w:pPr>
            <w:r w:rsidRPr="00E16E58">
              <w:t>After searching with all due diligence, all sections of the Medical and Dental Service Treatment Record are absent.</w:t>
            </w:r>
          </w:p>
          <w:p w:rsidR="00E16E58" w:rsidRPr="00E16E58" w:rsidRDefault="00E16E58" w:rsidP="004423FA">
            <w:pPr>
              <w:widowControl w:val="0"/>
              <w:pBdr>
                <w:top w:val="single" w:sz="4" w:space="1" w:color="auto"/>
                <w:left w:val="single" w:sz="4" w:space="4" w:color="auto"/>
                <w:bottom w:val="single" w:sz="4" w:space="1" w:color="auto"/>
                <w:right w:val="single" w:sz="4" w:space="4" w:color="auto"/>
              </w:pBdr>
              <w:spacing w:after="120"/>
              <w:ind w:left="240" w:right="150"/>
            </w:pPr>
            <w:r w:rsidRPr="00E16E58">
              <w:rPr>
                <w:highlight w:val="red"/>
                <w:u w:val="single"/>
              </w:rPr>
              <w:t>Need clarification</w:t>
            </w:r>
            <w:r w:rsidRPr="00E16E58">
              <w:t xml:space="preserve"> on what this means:  </w:t>
            </w:r>
            <w:r w:rsidRPr="00E16E58">
              <w:rPr>
                <w:color w:val="000000"/>
              </w:rPr>
              <w:t>MEDICAL SECTION 1 NEVER CREATED; THE ENTIRE STR, WITH THE EXCEPTION OF THE DIGITIZED ELEMENTS INCLUDED HEREIN, IS ACCOUNTED FOR IN THE AWP SECTION."</w:t>
            </w:r>
          </w:p>
          <w:p w:rsidR="000C0A40" w:rsidRDefault="00F01095" w:rsidP="00F063AF">
            <w:pPr>
              <w:widowControl w:val="0"/>
              <w:numPr>
                <w:ilvl w:val="0"/>
                <w:numId w:val="105"/>
              </w:numPr>
              <w:spacing w:after="120"/>
            </w:pPr>
            <w:r>
              <w:rPr>
                <w:b/>
              </w:rPr>
              <w:t xml:space="preserve">III.iii.3 </w:t>
            </w:r>
            <w:r w:rsidR="000C0A40" w:rsidRPr="009B7B27">
              <w:t>–</w:t>
            </w:r>
            <w:r w:rsidR="0078780B">
              <w:t xml:space="preserve"> Social Security Administration (S</w:t>
            </w:r>
            <w:r w:rsidR="000C0A40">
              <w:t>SA</w:t>
            </w:r>
            <w:r w:rsidR="0078780B">
              <w:t>)</w:t>
            </w:r>
            <w:r w:rsidR="000C0A40">
              <w:t xml:space="preserve"> records</w:t>
            </w:r>
            <w:r w:rsidR="007E635F">
              <w:t xml:space="preserve">, </w:t>
            </w:r>
            <w:r w:rsidR="007E635F" w:rsidRPr="007E635F">
              <w:rPr>
                <w:b/>
              </w:rPr>
              <w:t>III.iii.3.A.2.e</w:t>
            </w:r>
            <w:r w:rsidR="0052671E">
              <w:rPr>
                <w:b/>
              </w:rPr>
              <w:t xml:space="preserve"> </w:t>
            </w:r>
            <w:r w:rsidR="007E635F">
              <w:t>(if they say destroyed or not located, need</w:t>
            </w:r>
            <w:r w:rsidR="00FA3608">
              <w:t xml:space="preserve"> </w:t>
            </w:r>
            <w:r w:rsidR="007E635F">
              <w:t xml:space="preserve">final </w:t>
            </w:r>
            <w:r w:rsidR="0052671E">
              <w:t xml:space="preserve">notification </w:t>
            </w:r>
            <w:r w:rsidR="007E635F">
              <w:t>letter; if they say there are no records, no letter needed)</w:t>
            </w:r>
          </w:p>
          <w:p w:rsidR="00811CE7" w:rsidRDefault="00811CE7" w:rsidP="00197767">
            <w:pPr>
              <w:widowControl w:val="0"/>
              <w:pBdr>
                <w:top w:val="single" w:sz="4" w:space="1" w:color="auto"/>
                <w:left w:val="single" w:sz="4" w:space="4" w:color="auto"/>
                <w:bottom w:val="single" w:sz="4" w:space="1" w:color="auto"/>
                <w:right w:val="single" w:sz="4" w:space="4" w:color="auto"/>
              </w:pBdr>
              <w:spacing w:after="120"/>
              <w:ind w:left="330" w:right="150"/>
            </w:pPr>
            <w:bookmarkStart w:id="174" w:name="_Hlk514414404"/>
            <w:r>
              <w:t xml:space="preserve">If a final notification letter was not sent prior to the case being sent RFD, you can notify the veteran in the RD. Possibly use this modified version of </w:t>
            </w:r>
            <w:r w:rsidRPr="00AC33B8">
              <w:rPr>
                <w:rFonts w:ascii="Verdana" w:hAnsi="Verdana"/>
                <w:b/>
                <w:bCs/>
                <w:highlight w:val="green"/>
              </w:rPr>
              <w:t>NO-STR</w:t>
            </w:r>
            <w:r>
              <w:t>:</w:t>
            </w:r>
          </w:p>
          <w:p w:rsidR="00811CE7" w:rsidRDefault="00811CE7" w:rsidP="00197767">
            <w:pPr>
              <w:widowControl w:val="0"/>
              <w:pBdr>
                <w:top w:val="single" w:sz="4" w:space="1" w:color="auto"/>
                <w:left w:val="single" w:sz="4" w:space="4" w:color="auto"/>
                <w:bottom w:val="single" w:sz="4" w:space="1" w:color="auto"/>
                <w:right w:val="single" w:sz="4" w:space="4" w:color="auto"/>
              </w:pBdr>
              <w:spacing w:after="120"/>
              <w:ind w:left="330" w:right="150"/>
            </w:pPr>
            <w:r w:rsidRPr="00AC33B8">
              <w:t xml:space="preserve">Efforts to obtain your </w:t>
            </w:r>
            <w:r>
              <w:t>Social Security Administration (SSA) records</w:t>
            </w:r>
            <w:r w:rsidRPr="00AC33B8">
              <w:t xml:space="preserve"> were unsuccessful. If these records are located at a later date, this decision will be reconsidered.</w:t>
            </w:r>
          </w:p>
          <w:p w:rsidR="00811CE7" w:rsidRPr="00811CE7" w:rsidRDefault="00811CE7" w:rsidP="00197767">
            <w:pPr>
              <w:widowControl w:val="0"/>
              <w:pBdr>
                <w:top w:val="single" w:sz="4" w:space="1" w:color="auto"/>
                <w:left w:val="single" w:sz="4" w:space="4" w:color="auto"/>
                <w:bottom w:val="single" w:sz="4" w:space="1" w:color="auto"/>
                <w:right w:val="single" w:sz="4" w:space="4" w:color="auto"/>
              </w:pBdr>
              <w:spacing w:after="120"/>
              <w:ind w:left="330" w:right="150"/>
              <w:rPr>
                <w:i/>
              </w:rPr>
            </w:pPr>
            <w:r>
              <w:rPr>
                <w:i/>
              </w:rPr>
              <w:t>o</w:t>
            </w:r>
            <w:r w:rsidRPr="00811CE7">
              <w:rPr>
                <w:i/>
              </w:rPr>
              <w:t xml:space="preserve">r can </w:t>
            </w:r>
            <w:r>
              <w:rPr>
                <w:i/>
              </w:rPr>
              <w:t xml:space="preserve">add a note to the codesheet </w:t>
            </w:r>
            <w:r w:rsidRPr="00811CE7">
              <w:rPr>
                <w:i/>
              </w:rPr>
              <w:t>ask</w:t>
            </w:r>
            <w:r>
              <w:rPr>
                <w:i/>
              </w:rPr>
              <w:t>ing</w:t>
            </w:r>
            <w:r w:rsidRPr="00811CE7">
              <w:rPr>
                <w:i/>
              </w:rPr>
              <w:t xml:space="preserve"> the VSR to send the letter, but Post might not want to send it &amp; may defer it back to you…</w:t>
            </w:r>
          </w:p>
          <w:p w:rsidR="00811CE7" w:rsidRDefault="007D1594" w:rsidP="00197767">
            <w:pPr>
              <w:widowControl w:val="0"/>
              <w:pBdr>
                <w:top w:val="single" w:sz="4" w:space="1" w:color="auto"/>
                <w:left w:val="single" w:sz="4" w:space="4" w:color="auto"/>
                <w:bottom w:val="single" w:sz="4" w:space="1" w:color="auto"/>
                <w:right w:val="single" w:sz="4" w:space="4" w:color="auto"/>
              </w:pBdr>
              <w:spacing w:after="120"/>
              <w:ind w:left="330" w:right="150"/>
            </w:pPr>
            <w:r w:rsidRPr="007D1594">
              <w:t>VSR:  Please send the final notification letter about the unavailable SSA records</w:t>
            </w:r>
            <w:r>
              <w:t xml:space="preserve"> (per </w:t>
            </w:r>
            <w:r w:rsidRPr="007E635F">
              <w:rPr>
                <w:b/>
              </w:rPr>
              <w:t>III.iii.3.A.2.e</w:t>
            </w:r>
            <w:r>
              <w:t>)</w:t>
            </w:r>
            <w:r w:rsidRPr="007D1594">
              <w:t xml:space="preserve"> with the notification letter for this decision.</w:t>
            </w:r>
          </w:p>
          <w:bookmarkEnd w:id="174"/>
          <w:p w:rsidR="00BB25FB" w:rsidRDefault="00BB25FB" w:rsidP="00197767">
            <w:pPr>
              <w:widowControl w:val="0"/>
              <w:pBdr>
                <w:top w:val="single" w:sz="4" w:space="1" w:color="auto"/>
                <w:left w:val="single" w:sz="4" w:space="4" w:color="auto"/>
                <w:bottom w:val="single" w:sz="4" w:space="1" w:color="auto"/>
                <w:right w:val="single" w:sz="4" w:space="4" w:color="auto"/>
              </w:pBdr>
              <w:spacing w:after="120"/>
              <w:ind w:left="330" w:right="150"/>
            </w:pPr>
            <w:r w:rsidRPr="00BB25FB">
              <w:t xml:space="preserve">Rating Note:  III.iii.3.A.2.e says if SSA </w:t>
            </w:r>
            <w:r>
              <w:t>indicates</w:t>
            </w:r>
            <w:r w:rsidRPr="00BB25FB">
              <w:t xml:space="preserve"> there are no records, no letter </w:t>
            </w:r>
            <w:r>
              <w:t xml:space="preserve">is </w:t>
            </w:r>
            <w:r w:rsidRPr="00BB25FB">
              <w:t>needed.</w:t>
            </w:r>
          </w:p>
          <w:p w:rsidR="000C0A40" w:rsidRPr="009B7B27" w:rsidRDefault="000C0A40" w:rsidP="00F063AF">
            <w:pPr>
              <w:widowControl w:val="0"/>
              <w:numPr>
                <w:ilvl w:val="0"/>
                <w:numId w:val="105"/>
              </w:numPr>
              <w:spacing w:after="120"/>
              <w:rPr>
                <w:b/>
              </w:rPr>
            </w:pPr>
            <w:r w:rsidRPr="009B7B27">
              <w:rPr>
                <w:b/>
              </w:rPr>
              <w:t>III.iii.4</w:t>
            </w:r>
          </w:p>
          <w:p w:rsidR="00C84C6D" w:rsidRPr="000C0A40" w:rsidRDefault="00FF0858" w:rsidP="00F063AF">
            <w:pPr>
              <w:widowControl w:val="0"/>
              <w:numPr>
                <w:ilvl w:val="0"/>
                <w:numId w:val="105"/>
              </w:numPr>
              <w:spacing w:after="120"/>
              <w:rPr>
                <w:b/>
              </w:rPr>
            </w:pPr>
            <w:r>
              <w:rPr>
                <w:b/>
              </w:rPr>
              <w:t>IV.ii.2.A.3</w:t>
            </w:r>
            <w:r w:rsidR="00C84C6D">
              <w:rPr>
                <w:b/>
              </w:rPr>
              <w:t xml:space="preserve"> – </w:t>
            </w:r>
            <w:r w:rsidR="00C84C6D" w:rsidRPr="00C84C6D">
              <w:t>unassociated STRs / supplemental STRs</w:t>
            </w:r>
          </w:p>
          <w:p w:rsidR="009002C2" w:rsidRPr="009002C2" w:rsidRDefault="00310440" w:rsidP="00F063AF">
            <w:pPr>
              <w:widowControl w:val="0"/>
              <w:numPr>
                <w:ilvl w:val="0"/>
                <w:numId w:val="105"/>
              </w:numPr>
              <w:spacing w:after="120"/>
              <w:rPr>
                <w:sz w:val="24"/>
                <w:szCs w:val="24"/>
              </w:rPr>
            </w:pPr>
            <w:r>
              <w:rPr>
                <w:b/>
                <w:bCs/>
                <w:i/>
                <w:iCs/>
                <w:u w:val="single"/>
              </w:rPr>
              <w:t>5/15/13 VSCM e</w:t>
            </w:r>
            <w:r w:rsidR="00423BBE" w:rsidRPr="0077127A">
              <w:rPr>
                <w:b/>
                <w:bCs/>
                <w:i/>
                <w:iCs/>
                <w:u w:val="single"/>
              </w:rPr>
              <w:t>mail</w:t>
            </w:r>
            <w:r w:rsidR="00067C74">
              <w:rPr>
                <w:b/>
                <w:bCs/>
                <w:iCs/>
              </w:rPr>
              <w:t>:</w:t>
            </w:r>
            <w:r w:rsidR="00423BBE" w:rsidRPr="009002C2">
              <w:rPr>
                <w:bCs/>
                <w:iCs/>
              </w:rPr>
              <w:t xml:space="preserve"> </w:t>
            </w:r>
            <w:r w:rsidR="00423BBE" w:rsidRPr="009002C2">
              <w:t xml:space="preserve">Requests to the SSANRC must be made using the following form to ensure that all required information is included. </w:t>
            </w:r>
            <w:r w:rsidR="00423BBE" w:rsidRPr="009002C2">
              <w:rPr>
                <w:b/>
                <w:bCs/>
              </w:rPr>
              <w:t>SSANRC-15</w:t>
            </w:r>
            <w:r w:rsidR="00423BBE" w:rsidRPr="009002C2">
              <w:t>,</w:t>
            </w:r>
            <w:r w:rsidR="00423BBE" w:rsidRPr="009002C2">
              <w:rPr>
                <w:i/>
                <w:iCs/>
              </w:rPr>
              <w:t xml:space="preserve"> FAX Request for Medical Records/Information from the Social Security Administration National Record Center (SSANRC). </w:t>
            </w:r>
            <w:r w:rsidR="00423BBE" w:rsidRPr="009002C2">
              <w:t xml:space="preserve">Per </w:t>
            </w:r>
            <w:r w:rsidR="00423BBE" w:rsidRPr="00C2315E">
              <w:rPr>
                <w:b/>
              </w:rPr>
              <w:t>III.iii.3.A.2.b</w:t>
            </w:r>
            <w:r w:rsidR="004B61DD">
              <w:t xml:space="preserve"> &amp; </w:t>
            </w:r>
            <w:r w:rsidR="004B61DD" w:rsidRPr="004B61DD">
              <w:rPr>
                <w:b/>
              </w:rPr>
              <w:t>III.iii.3.A.2.c</w:t>
            </w:r>
            <w:r w:rsidR="00423BBE" w:rsidRPr="009002C2">
              <w:t xml:space="preserve">, the request should include, “the Veteran’s name, Social Security Number, VA file number, address, and date of birth as well as the requestor’s name, RO and address, direct phone number, and fax number.”  If the RO has a designated Super User or a main point of contact for SSA records request, it should also include that information.  For a sample copy of a request for SSA disability records at the NRC, see </w:t>
            </w:r>
            <w:r w:rsidR="00423BBE" w:rsidRPr="00C2315E">
              <w:t>III.iii.3.A.8</w:t>
            </w:r>
            <w:r w:rsidR="00423BBE" w:rsidRPr="009002C2">
              <w:t xml:space="preserve">. </w:t>
            </w:r>
            <w:r w:rsidR="00423BBE" w:rsidRPr="009002C2">
              <w:rPr>
                <w:i/>
              </w:rPr>
              <w:t>Only WARMS has been updated.</w:t>
            </w:r>
          </w:p>
          <w:p w:rsidR="00013EB8" w:rsidRPr="004D6139" w:rsidRDefault="00E8489C" w:rsidP="004D6139">
            <w:pPr>
              <w:widowControl w:val="0"/>
              <w:spacing w:after="120"/>
              <w:ind w:left="330"/>
              <w:rPr>
                <w:b/>
                <w:bCs/>
                <w:i/>
                <w:iCs/>
                <w:highlight w:val="magenta"/>
              </w:rPr>
            </w:pPr>
            <w:r w:rsidRPr="004D6139">
              <w:rPr>
                <w:b/>
                <w:bCs/>
                <w:i/>
                <w:iCs/>
                <w:highlight w:val="cyan"/>
              </w:rPr>
              <w:t xml:space="preserve">At the April 2013 PTSD training, we were told that </w:t>
            </w:r>
            <w:r w:rsidR="00013EB8" w:rsidRPr="004D6139">
              <w:rPr>
                <w:b/>
                <w:bCs/>
                <w:i/>
                <w:iCs/>
                <w:highlight w:val="cyan"/>
              </w:rPr>
              <w:t xml:space="preserve">Vet Center are </w:t>
            </w:r>
            <w:r w:rsidRPr="004D6139">
              <w:rPr>
                <w:b/>
                <w:bCs/>
                <w:i/>
                <w:iCs/>
                <w:highlight w:val="cyan"/>
              </w:rPr>
              <w:t xml:space="preserve">NOT considered Federal Records, but </w:t>
            </w:r>
            <w:r w:rsidRPr="004D6139">
              <w:rPr>
                <w:b/>
                <w:bCs/>
                <w:iCs/>
                <w:highlight w:val="cyan"/>
              </w:rPr>
              <w:t>WEEKLY QRT Q</w:t>
            </w:r>
            <w:r w:rsidR="00303C97" w:rsidRPr="004D6139">
              <w:rPr>
                <w:b/>
                <w:bCs/>
                <w:iCs/>
                <w:highlight w:val="cyan"/>
              </w:rPr>
              <w:t>-</w:t>
            </w:r>
            <w:r w:rsidRPr="004D6139">
              <w:rPr>
                <w:b/>
                <w:bCs/>
                <w:iCs/>
                <w:highlight w:val="cyan"/>
              </w:rPr>
              <w:t>TIP FOR WEEK OF 06/17/2013</w:t>
            </w:r>
            <w:r w:rsidRPr="004D6139">
              <w:rPr>
                <w:b/>
                <w:bCs/>
                <w:i/>
                <w:iCs/>
                <w:highlight w:val="cyan"/>
              </w:rPr>
              <w:t xml:space="preserve"> says they ARE considered Federal Records!!!</w:t>
            </w:r>
            <w:r w:rsidR="00AF2B46" w:rsidRPr="004D6139">
              <w:rPr>
                <w:b/>
                <w:bCs/>
                <w:i/>
                <w:iCs/>
                <w:highlight w:val="cyan"/>
              </w:rPr>
              <w:t xml:space="preserve"> </w:t>
            </w:r>
          </w:p>
          <w:p w:rsidR="004A20C3" w:rsidRPr="00ED5C7F" w:rsidRDefault="004A20C3" w:rsidP="00F063AF">
            <w:pPr>
              <w:pStyle w:val="ListParagraph"/>
              <w:widowControl w:val="0"/>
              <w:numPr>
                <w:ilvl w:val="0"/>
                <w:numId w:val="105"/>
              </w:numPr>
              <w:tabs>
                <w:tab w:val="left" w:pos="400"/>
              </w:tabs>
              <w:spacing w:after="120" w:line="240" w:lineRule="auto"/>
              <w:rPr>
                <w:rFonts w:ascii="Arial" w:hAnsi="Arial"/>
                <w:b/>
                <w:bCs/>
                <w:sz w:val="20"/>
                <w:szCs w:val="20"/>
              </w:rPr>
            </w:pPr>
            <w:r w:rsidRPr="00ED5C7F">
              <w:rPr>
                <w:rFonts w:ascii="Arial" w:hAnsi="Arial"/>
                <w:b/>
                <w:sz w:val="20"/>
                <w:szCs w:val="20"/>
              </w:rPr>
              <w:t>I.1.B.1.f</w:t>
            </w:r>
            <w:r>
              <w:rPr>
                <w:rFonts w:ascii="Arial" w:hAnsi="Arial"/>
                <w:b/>
                <w:sz w:val="20"/>
                <w:szCs w:val="20"/>
              </w:rPr>
              <w:t xml:space="preserve"> – </w:t>
            </w:r>
            <w:r>
              <w:rPr>
                <w:rFonts w:ascii="Arial" w:hAnsi="Arial"/>
                <w:sz w:val="20"/>
                <w:szCs w:val="20"/>
              </w:rPr>
              <w:t xml:space="preserve">need to send additional notice about Vet Center records, per </w:t>
            </w:r>
            <w:r w:rsidRPr="00ED5C7F">
              <w:rPr>
                <w:rFonts w:ascii="Arial" w:hAnsi="Arial"/>
                <w:b/>
                <w:sz w:val="20"/>
                <w:szCs w:val="20"/>
              </w:rPr>
              <w:t>I</w:t>
            </w:r>
            <w:r>
              <w:rPr>
                <w:rFonts w:ascii="Arial" w:hAnsi="Arial"/>
                <w:b/>
                <w:sz w:val="20"/>
                <w:szCs w:val="20"/>
              </w:rPr>
              <w:t>II</w:t>
            </w:r>
            <w:r w:rsidRPr="00ED5C7F">
              <w:rPr>
                <w:rFonts w:ascii="Arial" w:hAnsi="Arial"/>
                <w:b/>
                <w:sz w:val="20"/>
                <w:szCs w:val="20"/>
              </w:rPr>
              <w:t>.ii.1.</w:t>
            </w:r>
            <w:r>
              <w:rPr>
                <w:rFonts w:ascii="Arial" w:hAnsi="Arial"/>
                <w:b/>
                <w:sz w:val="20"/>
                <w:szCs w:val="20"/>
              </w:rPr>
              <w:t>C.4.j</w:t>
            </w:r>
          </w:p>
          <w:p w:rsidR="00CD1DFF" w:rsidRPr="001F5632" w:rsidRDefault="001F5632" w:rsidP="00F063AF">
            <w:pPr>
              <w:pStyle w:val="ListParagraph"/>
              <w:numPr>
                <w:ilvl w:val="0"/>
                <w:numId w:val="105"/>
              </w:numPr>
              <w:spacing w:after="120" w:line="240" w:lineRule="auto"/>
              <w:rPr>
                <w:rFonts w:ascii="Arial" w:hAnsi="Arial"/>
                <w:sz w:val="20"/>
                <w:szCs w:val="20"/>
              </w:rPr>
            </w:pPr>
            <w:r>
              <w:rPr>
                <w:rFonts w:ascii="Arial" w:hAnsi="Arial"/>
                <w:b/>
                <w:sz w:val="20"/>
                <w:szCs w:val="20"/>
              </w:rPr>
              <w:t>III.iii.1.C.4</w:t>
            </w:r>
            <w:r w:rsidR="00CD1DFF" w:rsidRPr="001F5632">
              <w:rPr>
                <w:rFonts w:ascii="Arial" w:hAnsi="Arial"/>
                <w:sz w:val="20"/>
                <w:szCs w:val="20"/>
              </w:rPr>
              <w:t xml:space="preserve"> –</w:t>
            </w:r>
            <w:r w:rsidR="00895E20">
              <w:rPr>
                <w:rFonts w:ascii="Arial" w:hAnsi="Arial"/>
                <w:sz w:val="20"/>
                <w:szCs w:val="20"/>
              </w:rPr>
              <w:t xml:space="preserve"> Vet Center records are VA medical records; </w:t>
            </w:r>
            <w:r w:rsidR="00CD1DFF" w:rsidRPr="001F5632">
              <w:rPr>
                <w:rFonts w:ascii="Arial" w:hAnsi="Arial"/>
                <w:sz w:val="20"/>
                <w:szCs w:val="20"/>
              </w:rPr>
              <w:t>If unable to get VAMC TRs, need 0820</w:t>
            </w:r>
            <w:r>
              <w:rPr>
                <w:rFonts w:ascii="Arial" w:hAnsi="Arial"/>
                <w:sz w:val="20"/>
                <w:szCs w:val="20"/>
              </w:rPr>
              <w:t xml:space="preserve"> (no </w:t>
            </w:r>
            <w:r w:rsidR="00FA3608">
              <w:rPr>
                <w:rFonts w:ascii="Arial" w:hAnsi="Arial"/>
                <w:sz w:val="20"/>
                <w:szCs w:val="20"/>
              </w:rPr>
              <w:t>final notification letter</w:t>
            </w:r>
            <w:r>
              <w:rPr>
                <w:rFonts w:ascii="Arial" w:hAnsi="Arial"/>
                <w:sz w:val="20"/>
                <w:szCs w:val="20"/>
              </w:rPr>
              <w:t>)</w:t>
            </w:r>
            <w:r w:rsidR="00CD1DFF" w:rsidRPr="001F5632">
              <w:rPr>
                <w:rFonts w:ascii="Arial" w:hAnsi="Arial"/>
                <w:sz w:val="20"/>
                <w:szCs w:val="20"/>
              </w:rPr>
              <w:t xml:space="preserve"> &amp; RD must have this in Evidence:</w:t>
            </w:r>
          </w:p>
          <w:p w:rsidR="00CD1DFF" w:rsidRPr="001F5632" w:rsidRDefault="00CD1DFF" w:rsidP="00197767">
            <w:pPr>
              <w:pStyle w:val="NoSpacing"/>
              <w:pBdr>
                <w:top w:val="single" w:sz="4" w:space="1" w:color="auto"/>
                <w:left w:val="single" w:sz="4" w:space="4" w:color="auto"/>
                <w:bottom w:val="single" w:sz="4" w:space="1" w:color="auto"/>
                <w:right w:val="single" w:sz="4" w:space="4" w:color="auto"/>
              </w:pBdr>
              <w:spacing w:after="120"/>
              <w:ind w:left="690" w:right="150"/>
              <w:rPr>
                <w:rFonts w:ascii="Arial" w:hAnsi="Arial"/>
                <w:i/>
                <w:sz w:val="20"/>
                <w:szCs w:val="20"/>
              </w:rPr>
            </w:pPr>
            <w:r w:rsidRPr="001F5632">
              <w:rPr>
                <w:rStyle w:val="Emphasis"/>
                <w:rFonts w:ascii="Arial" w:hAnsi="Arial"/>
                <w:i w:val="0"/>
                <w:sz w:val="20"/>
                <w:szCs w:val="20"/>
              </w:rPr>
              <w:t>We have been unable to obtain records from</w:t>
            </w:r>
            <w:r w:rsidRPr="001F5632">
              <w:rPr>
                <w:rFonts w:ascii="Arial" w:hAnsi="Arial"/>
                <w:i/>
                <w:sz w:val="20"/>
                <w:szCs w:val="20"/>
              </w:rPr>
              <w:t xml:space="preserve"> [</w:t>
            </w:r>
            <w:r w:rsidRPr="001F5632">
              <w:rPr>
                <w:rStyle w:val="Strong"/>
                <w:rFonts w:ascii="Arial" w:hAnsi="Arial"/>
                <w:i/>
                <w:sz w:val="20"/>
                <w:szCs w:val="20"/>
              </w:rPr>
              <w:t>insert name of VAMC</w:t>
            </w:r>
            <w:r w:rsidRPr="001F5632">
              <w:rPr>
                <w:rFonts w:ascii="Arial" w:hAnsi="Arial"/>
                <w:i/>
                <w:sz w:val="20"/>
                <w:szCs w:val="20"/>
              </w:rPr>
              <w:t xml:space="preserve">] </w:t>
            </w:r>
            <w:r w:rsidRPr="001F5632">
              <w:rPr>
                <w:rStyle w:val="Emphasis"/>
                <w:rFonts w:ascii="Arial" w:hAnsi="Arial"/>
                <w:i w:val="0"/>
                <w:sz w:val="20"/>
                <w:szCs w:val="20"/>
              </w:rPr>
              <w:t>for the period</w:t>
            </w:r>
            <w:r w:rsidRPr="001F5632">
              <w:rPr>
                <w:rFonts w:ascii="Arial" w:hAnsi="Arial"/>
                <w:i/>
                <w:sz w:val="20"/>
                <w:szCs w:val="20"/>
              </w:rPr>
              <w:t xml:space="preserve"> [</w:t>
            </w:r>
            <w:r w:rsidRPr="001F5632">
              <w:rPr>
                <w:rStyle w:val="Strong"/>
                <w:rFonts w:ascii="Arial" w:hAnsi="Arial"/>
                <w:i/>
                <w:sz w:val="20"/>
                <w:szCs w:val="20"/>
              </w:rPr>
              <w:t>insert date range of treatment</w:t>
            </w:r>
            <w:r w:rsidRPr="001F5632">
              <w:rPr>
                <w:rFonts w:ascii="Arial" w:hAnsi="Arial"/>
                <w:i/>
                <w:sz w:val="20"/>
                <w:szCs w:val="20"/>
              </w:rPr>
              <w:t>].  </w:t>
            </w:r>
            <w:r w:rsidRPr="001F5632">
              <w:rPr>
                <w:rStyle w:val="Emphasis"/>
                <w:rFonts w:ascii="Arial" w:hAnsi="Arial"/>
                <w:i w:val="0"/>
                <w:sz w:val="20"/>
                <w:szCs w:val="20"/>
              </w:rPr>
              <w:t>We have determined that these records do not exist.  We will now make a decision based on the evidence of record.</w:t>
            </w:r>
          </w:p>
          <w:p w:rsidR="00A20F8E" w:rsidRDefault="001421FA" w:rsidP="00F063AF">
            <w:pPr>
              <w:pStyle w:val="NoSpacing"/>
              <w:numPr>
                <w:ilvl w:val="0"/>
                <w:numId w:val="105"/>
              </w:numPr>
              <w:spacing w:after="120"/>
              <w:rPr>
                <w:rFonts w:ascii="Arial" w:hAnsi="Arial"/>
                <w:i/>
                <w:sz w:val="20"/>
                <w:szCs w:val="20"/>
              </w:rPr>
            </w:pPr>
            <w:r w:rsidRPr="001421FA">
              <w:rPr>
                <w:rFonts w:ascii="Arial" w:hAnsi="Arial"/>
                <w:bCs/>
                <w:sz w:val="20"/>
                <w:szCs w:val="20"/>
              </w:rPr>
              <w:t xml:space="preserve">Notes from </w:t>
            </w:r>
            <w:r w:rsidR="00A20F8E" w:rsidRPr="001421FA">
              <w:rPr>
                <w:rFonts w:ascii="Arial" w:hAnsi="Arial"/>
                <w:b/>
                <w:i/>
                <w:sz w:val="20"/>
                <w:szCs w:val="20"/>
                <w:u w:val="single"/>
              </w:rPr>
              <w:t>June 20</w:t>
            </w:r>
            <w:r w:rsidRPr="001421FA">
              <w:rPr>
                <w:rFonts w:ascii="Arial" w:hAnsi="Arial"/>
                <w:b/>
                <w:i/>
                <w:sz w:val="20"/>
                <w:szCs w:val="20"/>
                <w:u w:val="single"/>
              </w:rPr>
              <w:t>15 CAPRI</w:t>
            </w:r>
            <w:r w:rsidR="00321EBB">
              <w:rPr>
                <w:rFonts w:ascii="Arial" w:hAnsi="Arial"/>
                <w:b/>
                <w:i/>
                <w:sz w:val="20"/>
                <w:szCs w:val="20"/>
                <w:u w:val="single"/>
              </w:rPr>
              <w:t xml:space="preserve"> </w:t>
            </w:r>
            <w:r w:rsidRPr="001421FA">
              <w:rPr>
                <w:rFonts w:ascii="Arial" w:hAnsi="Arial"/>
                <w:b/>
                <w:i/>
                <w:sz w:val="20"/>
                <w:szCs w:val="20"/>
                <w:u w:val="single"/>
              </w:rPr>
              <w:t xml:space="preserve">- DoD </w:t>
            </w:r>
            <w:r w:rsidR="00321EBB">
              <w:rPr>
                <w:rFonts w:ascii="Arial" w:hAnsi="Arial"/>
                <w:b/>
                <w:i/>
                <w:sz w:val="20"/>
                <w:szCs w:val="20"/>
                <w:u w:val="single"/>
              </w:rPr>
              <w:t>Records tab (&amp; more)</w:t>
            </w:r>
            <w:r w:rsidRPr="001421FA">
              <w:rPr>
                <w:rFonts w:ascii="Arial" w:hAnsi="Arial"/>
                <w:b/>
                <w:i/>
                <w:sz w:val="20"/>
                <w:szCs w:val="20"/>
                <w:u w:val="single"/>
              </w:rPr>
              <w:t xml:space="preserve"> Tr</w:t>
            </w:r>
            <w:r w:rsidR="00A20F8E" w:rsidRPr="001421FA">
              <w:rPr>
                <w:rFonts w:ascii="Arial" w:hAnsi="Arial"/>
                <w:b/>
                <w:i/>
                <w:sz w:val="20"/>
                <w:szCs w:val="20"/>
                <w:u w:val="single"/>
              </w:rPr>
              <w:t>aining</w:t>
            </w:r>
            <w:r w:rsidR="00A20F8E">
              <w:rPr>
                <w:rFonts w:ascii="Arial" w:hAnsi="Arial"/>
                <w:i/>
                <w:sz w:val="20"/>
                <w:szCs w:val="20"/>
              </w:rPr>
              <w:t xml:space="preserve"> </w:t>
            </w:r>
            <w:r w:rsidR="009A4E94">
              <w:rPr>
                <w:rFonts w:ascii="Arial" w:hAnsi="Arial"/>
                <w:i/>
                <w:sz w:val="20"/>
                <w:szCs w:val="20"/>
              </w:rPr>
              <w:t>(Carlos</w:t>
            </w:r>
            <w:r w:rsidR="00CD0826">
              <w:rPr>
                <w:rFonts w:ascii="Arial" w:hAnsi="Arial"/>
                <w:i/>
                <w:sz w:val="20"/>
                <w:szCs w:val="20"/>
              </w:rPr>
              <w:t xml:space="preserve"> Rosario</w:t>
            </w:r>
            <w:r w:rsidR="009A4E94">
              <w:rPr>
                <w:rFonts w:ascii="Arial" w:hAnsi="Arial"/>
                <w:i/>
                <w:sz w:val="20"/>
                <w:szCs w:val="20"/>
              </w:rPr>
              <w:t xml:space="preserve">) </w:t>
            </w:r>
            <w:r w:rsidR="00A20F8E">
              <w:rPr>
                <w:rFonts w:ascii="Arial" w:hAnsi="Arial"/>
                <w:i/>
                <w:sz w:val="20"/>
                <w:szCs w:val="20"/>
              </w:rPr>
              <w:t>–</w:t>
            </w:r>
          </w:p>
          <w:p w:rsidR="00A20F8E" w:rsidRPr="00A20F8E" w:rsidRDefault="00A20F8E" w:rsidP="00F063AF">
            <w:pPr>
              <w:pStyle w:val="NoSpacing"/>
              <w:numPr>
                <w:ilvl w:val="1"/>
                <w:numId w:val="105"/>
              </w:numPr>
              <w:spacing w:after="120"/>
              <w:rPr>
                <w:rFonts w:ascii="Arial" w:hAnsi="Arial"/>
                <w:sz w:val="20"/>
                <w:szCs w:val="20"/>
              </w:rPr>
            </w:pPr>
            <w:r>
              <w:rPr>
                <w:rFonts w:ascii="Arial" w:hAnsi="Arial"/>
                <w:sz w:val="20"/>
                <w:szCs w:val="20"/>
              </w:rPr>
              <w:t>Certification / DD Form</w:t>
            </w:r>
            <w:r w:rsidR="00D1371A">
              <w:rPr>
                <w:rFonts w:ascii="Arial" w:hAnsi="Arial"/>
                <w:sz w:val="20"/>
                <w:szCs w:val="20"/>
              </w:rPr>
              <w:t xml:space="preserve"> 2963</w:t>
            </w:r>
            <w:r>
              <w:rPr>
                <w:rFonts w:ascii="Arial" w:hAnsi="Arial"/>
                <w:sz w:val="20"/>
                <w:szCs w:val="20"/>
              </w:rPr>
              <w:t xml:space="preserve"> is required if separated in 2013 or later. It might say they don’t have STRs. If certification is on fil</w:t>
            </w:r>
            <w:r w:rsidR="00017259">
              <w:rPr>
                <w:rFonts w:ascii="Arial" w:hAnsi="Arial"/>
                <w:sz w:val="20"/>
                <w:szCs w:val="20"/>
              </w:rPr>
              <w:t xml:space="preserve">e, no </w:t>
            </w:r>
            <w:r w:rsidR="00FA3608">
              <w:rPr>
                <w:rFonts w:ascii="Arial" w:hAnsi="Arial"/>
                <w:sz w:val="20"/>
                <w:szCs w:val="20"/>
              </w:rPr>
              <w:t>final notification letter</w:t>
            </w:r>
            <w:r w:rsidR="00017259">
              <w:rPr>
                <w:rFonts w:ascii="Arial" w:hAnsi="Arial"/>
                <w:sz w:val="20"/>
                <w:szCs w:val="20"/>
              </w:rPr>
              <w:t xml:space="preserve"> is required </w:t>
            </w:r>
            <w:r w:rsidR="00017259" w:rsidRPr="00D1371A">
              <w:rPr>
                <w:rFonts w:ascii="Arial" w:hAnsi="Arial"/>
                <w:i/>
                <w:sz w:val="20"/>
                <w:szCs w:val="22"/>
              </w:rPr>
              <w:t xml:space="preserve">(however, </w:t>
            </w:r>
            <w:r w:rsidR="00017259" w:rsidRPr="00D1371A">
              <w:rPr>
                <w:rFonts w:ascii="Arial" w:hAnsi="Arial"/>
                <w:b/>
                <w:i/>
                <w:sz w:val="20"/>
                <w:szCs w:val="22"/>
              </w:rPr>
              <w:t>I.1.C.1.d</w:t>
            </w:r>
            <w:r w:rsidR="00017259" w:rsidRPr="00D1371A">
              <w:rPr>
                <w:rFonts w:ascii="Arial" w:hAnsi="Arial"/>
                <w:i/>
                <w:sz w:val="20"/>
                <w:szCs w:val="22"/>
              </w:rPr>
              <w:t xml:space="preserve"> says we should treat certification as a statement that is is reasonably certai</w:t>
            </w:r>
            <w:r w:rsidR="00742720" w:rsidRPr="00D1371A">
              <w:rPr>
                <w:rFonts w:ascii="Arial" w:hAnsi="Arial"/>
                <w:i/>
                <w:sz w:val="20"/>
                <w:szCs w:val="22"/>
              </w:rPr>
              <w:t>n</w:t>
            </w:r>
            <w:r w:rsidR="00017259" w:rsidRPr="00D1371A">
              <w:rPr>
                <w:rFonts w:ascii="Arial" w:hAnsi="Arial"/>
                <w:i/>
                <w:sz w:val="20"/>
                <w:szCs w:val="22"/>
              </w:rPr>
              <w:t xml:space="preserve"> that additional STRs do not exist and further attempts to obtain additional records would be futile, so a </w:t>
            </w:r>
            <w:r w:rsidR="00FA3608" w:rsidRPr="00FA3608">
              <w:rPr>
                <w:rFonts w:ascii="Arial" w:hAnsi="Arial"/>
                <w:i/>
                <w:sz w:val="20"/>
                <w:szCs w:val="22"/>
              </w:rPr>
              <w:t>final notification letter</w:t>
            </w:r>
            <w:r w:rsidR="00017259" w:rsidRPr="00FA3608">
              <w:rPr>
                <w:rFonts w:ascii="Arial" w:hAnsi="Arial"/>
                <w:i/>
                <w:sz w:val="20"/>
                <w:szCs w:val="22"/>
              </w:rPr>
              <w:t xml:space="preserve"> would be needed</w:t>
            </w:r>
            <w:r w:rsidR="00D1371A" w:rsidRPr="00FA3608">
              <w:rPr>
                <w:rFonts w:ascii="Arial" w:hAnsi="Arial"/>
                <w:i/>
                <w:sz w:val="20"/>
                <w:szCs w:val="22"/>
              </w:rPr>
              <w:t xml:space="preserve"> – checked with QRT/Carlos Rosario &amp; he concurred that a </w:t>
            </w:r>
            <w:r w:rsidR="00FA3608" w:rsidRPr="00FA3608">
              <w:rPr>
                <w:rFonts w:ascii="Arial" w:hAnsi="Arial"/>
                <w:i/>
                <w:sz w:val="20"/>
                <w:szCs w:val="22"/>
              </w:rPr>
              <w:t>final notification</w:t>
            </w:r>
            <w:r w:rsidR="003068A3" w:rsidRPr="00FA3608">
              <w:rPr>
                <w:rFonts w:ascii="Arial" w:hAnsi="Arial"/>
                <w:i/>
                <w:sz w:val="20"/>
                <w:szCs w:val="22"/>
              </w:rPr>
              <w:t xml:space="preserve"> </w:t>
            </w:r>
            <w:r w:rsidR="00D1371A" w:rsidRPr="00FA3608">
              <w:rPr>
                <w:rFonts w:ascii="Arial" w:hAnsi="Arial"/>
                <w:i/>
                <w:sz w:val="20"/>
                <w:szCs w:val="22"/>
              </w:rPr>
              <w:t>letter</w:t>
            </w:r>
            <w:r w:rsidR="00D1371A" w:rsidRPr="00D1371A">
              <w:rPr>
                <w:rFonts w:ascii="Arial" w:hAnsi="Arial"/>
                <w:i/>
                <w:sz w:val="20"/>
                <w:szCs w:val="22"/>
              </w:rPr>
              <w:t xml:space="preserve"> seems most appropriate but to ask on VA Pulse, so I </w:t>
            </w:r>
            <w:r w:rsidR="00D1371A" w:rsidRPr="00D1371A">
              <w:rPr>
                <w:rFonts w:ascii="Arial" w:hAnsi="Arial"/>
                <w:bCs/>
                <w:i/>
                <w:color w:val="000000"/>
                <w:sz w:val="20"/>
                <w:szCs w:val="22"/>
              </w:rPr>
              <w:t xml:space="preserve">entered Live Manual Feedback on VA Pulse 8/31/16, </w:t>
            </w:r>
            <w:r w:rsidR="00D1371A" w:rsidRPr="00D1371A">
              <w:rPr>
                <w:rFonts w:ascii="Arial" w:hAnsi="Arial"/>
                <w:bCs/>
                <w:i/>
                <w:sz w:val="20"/>
                <w:szCs w:val="22"/>
              </w:rPr>
              <w:t>https://www.vapulse.net/message/103095, &amp; they confirmed Carlos’ answer</w:t>
            </w:r>
            <w:r w:rsidR="00D1371A" w:rsidRPr="00D1371A">
              <w:rPr>
                <w:rFonts w:ascii="Arial" w:hAnsi="Arial"/>
                <w:i/>
                <w:sz w:val="20"/>
                <w:szCs w:val="22"/>
              </w:rPr>
              <w:t>)</w:t>
            </w:r>
            <w:r w:rsidR="00D1371A">
              <w:rPr>
                <w:rFonts w:ascii="Arial" w:hAnsi="Arial"/>
                <w:sz w:val="18"/>
                <w:szCs w:val="20"/>
              </w:rPr>
              <w:t xml:space="preserve">. </w:t>
            </w:r>
            <w:r w:rsidR="00C40657">
              <w:rPr>
                <w:rFonts w:ascii="Arial" w:hAnsi="Arial"/>
                <w:sz w:val="20"/>
                <w:szCs w:val="20"/>
              </w:rPr>
              <w:t>Some service members don’t have separation exams</w:t>
            </w:r>
            <w:r w:rsidR="00E07DBB">
              <w:rPr>
                <w:rFonts w:ascii="Arial" w:hAnsi="Arial"/>
                <w:sz w:val="20"/>
                <w:szCs w:val="20"/>
              </w:rPr>
              <w:t>.</w:t>
            </w:r>
          </w:p>
          <w:p w:rsidR="00A20F8E" w:rsidRDefault="00C40657" w:rsidP="00F063AF">
            <w:pPr>
              <w:pStyle w:val="NoSpacing"/>
              <w:numPr>
                <w:ilvl w:val="1"/>
                <w:numId w:val="105"/>
              </w:numPr>
              <w:spacing w:after="120"/>
              <w:rPr>
                <w:rFonts w:ascii="Arial" w:hAnsi="Arial"/>
                <w:sz w:val="20"/>
                <w:szCs w:val="20"/>
              </w:rPr>
            </w:pPr>
            <w:r w:rsidRPr="00C40657">
              <w:rPr>
                <w:rFonts w:ascii="Arial" w:hAnsi="Arial"/>
                <w:sz w:val="20"/>
                <w:szCs w:val="20"/>
                <w:u w:val="single"/>
              </w:rPr>
              <w:t>Health Summaries  tab</w:t>
            </w:r>
            <w:r>
              <w:rPr>
                <w:rFonts w:ascii="Arial" w:hAnsi="Arial"/>
                <w:sz w:val="20"/>
                <w:szCs w:val="20"/>
              </w:rPr>
              <w:t xml:space="preserve"> - might have C&amp;P exams</w:t>
            </w:r>
          </w:p>
          <w:p w:rsidR="00C40657" w:rsidRDefault="00C40657" w:rsidP="00F063AF">
            <w:pPr>
              <w:pStyle w:val="NoSpacing"/>
              <w:numPr>
                <w:ilvl w:val="1"/>
                <w:numId w:val="105"/>
              </w:numPr>
              <w:spacing w:after="120"/>
              <w:rPr>
                <w:rFonts w:ascii="Arial" w:hAnsi="Arial"/>
                <w:sz w:val="20"/>
                <w:szCs w:val="20"/>
              </w:rPr>
            </w:pPr>
            <w:r w:rsidRPr="00C40657">
              <w:rPr>
                <w:rFonts w:ascii="Arial" w:hAnsi="Arial"/>
                <w:sz w:val="20"/>
                <w:szCs w:val="20"/>
                <w:u w:val="single"/>
              </w:rPr>
              <w:t>Vist</w:t>
            </w:r>
            <w:r w:rsidR="00246583">
              <w:rPr>
                <w:rFonts w:ascii="Arial" w:hAnsi="Arial"/>
                <w:sz w:val="20"/>
                <w:szCs w:val="20"/>
                <w:u w:val="single"/>
              </w:rPr>
              <w:t>A</w:t>
            </w:r>
            <w:r w:rsidRPr="00C40657">
              <w:rPr>
                <w:rFonts w:ascii="Arial" w:hAnsi="Arial"/>
                <w:sz w:val="20"/>
                <w:szCs w:val="20"/>
                <w:u w:val="single"/>
              </w:rPr>
              <w:t>Web tab</w:t>
            </w:r>
            <w:r>
              <w:rPr>
                <w:rFonts w:ascii="Arial" w:hAnsi="Arial"/>
                <w:sz w:val="20"/>
                <w:szCs w:val="20"/>
              </w:rPr>
              <w:t xml:space="preserve"> – has problem list that pulls from CHCS (might have different info than DoD)</w:t>
            </w:r>
            <w:r w:rsidR="00246583">
              <w:rPr>
                <w:rFonts w:ascii="Arial" w:hAnsi="Arial"/>
                <w:sz w:val="20"/>
                <w:szCs w:val="20"/>
              </w:rPr>
              <w:t xml:space="preserve">; can sometimes find </w:t>
            </w:r>
            <w:r w:rsidR="00F00235">
              <w:rPr>
                <w:rFonts w:ascii="Arial" w:hAnsi="Arial"/>
                <w:sz w:val="20"/>
                <w:szCs w:val="20"/>
              </w:rPr>
              <w:t xml:space="preserve">MSLA </w:t>
            </w:r>
            <w:r w:rsidR="00246583">
              <w:rPr>
                <w:rFonts w:ascii="Arial" w:hAnsi="Arial"/>
                <w:sz w:val="20"/>
                <w:szCs w:val="20"/>
              </w:rPr>
              <w:t>Hearing Loss &amp; Tinnitus DBQ results here</w:t>
            </w:r>
            <w:r w:rsidR="00F00235">
              <w:rPr>
                <w:rFonts w:ascii="Arial" w:hAnsi="Arial"/>
                <w:sz w:val="20"/>
                <w:szCs w:val="20"/>
              </w:rPr>
              <w:t xml:space="preserve"> (Progress Notes, look for images under AWIV, possibly a Consult, Location may say “Comp and Pen</w:t>
            </w:r>
            <w:r w:rsidR="001946CC">
              <w:rPr>
                <w:rFonts w:ascii="Arial" w:hAnsi="Arial"/>
                <w:sz w:val="20"/>
                <w:szCs w:val="20"/>
              </w:rPr>
              <w:t>,”</w:t>
            </w:r>
            <w:r w:rsidR="00F00235">
              <w:rPr>
                <w:rFonts w:ascii="Arial" w:hAnsi="Arial"/>
                <w:sz w:val="20"/>
                <w:szCs w:val="20"/>
              </w:rPr>
              <w:t xml:space="preserve"> may say “Choice”</w:t>
            </w:r>
            <w:r w:rsidR="00313BDA">
              <w:rPr>
                <w:rFonts w:ascii="Arial" w:hAnsi="Arial"/>
                <w:sz w:val="20"/>
                <w:szCs w:val="20"/>
              </w:rPr>
              <w:t xml:space="preserve">); </w:t>
            </w:r>
            <w:r w:rsidR="00313BDA" w:rsidRPr="00313BDA">
              <w:rPr>
                <w:rFonts w:ascii="Arial" w:hAnsi="Arial"/>
                <w:b/>
                <w:sz w:val="20"/>
              </w:rPr>
              <w:t>III.iii.1.C.4.d</w:t>
            </w:r>
            <w:r w:rsidR="00313BDA" w:rsidRPr="00313BDA">
              <w:rPr>
                <w:rFonts w:ascii="Arial" w:hAnsi="Arial"/>
                <w:sz w:val="20"/>
              </w:rPr>
              <w:t xml:space="preserve"> says use AWIV for non-VA medical facility that</w:t>
            </w:r>
            <w:r w:rsidR="00313BDA">
              <w:rPr>
                <w:rFonts w:ascii="Arial" w:hAnsi="Arial"/>
                <w:sz w:val="20"/>
              </w:rPr>
              <w:t xml:space="preserve"> </w:t>
            </w:r>
            <w:r w:rsidR="00313BDA" w:rsidRPr="00313BDA">
              <w:rPr>
                <w:rFonts w:ascii="Arial" w:hAnsi="Arial"/>
                <w:sz w:val="20"/>
              </w:rPr>
              <w:t>provides services</w:t>
            </w:r>
            <w:r w:rsidR="00313BDA">
              <w:rPr>
                <w:rFonts w:ascii="Arial" w:hAnsi="Arial"/>
                <w:sz w:val="20"/>
              </w:rPr>
              <w:t xml:space="preserve"> </w:t>
            </w:r>
            <w:r w:rsidR="00313BDA" w:rsidRPr="00313BDA">
              <w:rPr>
                <w:rFonts w:ascii="Arial" w:hAnsi="Arial"/>
                <w:sz w:val="20"/>
              </w:rPr>
              <w:t>under a VA contract</w:t>
            </w:r>
            <w:r w:rsidR="00313BDA">
              <w:rPr>
                <w:rFonts w:ascii="Arial" w:hAnsi="Arial"/>
                <w:sz w:val="20"/>
              </w:rPr>
              <w:t xml:space="preserve"> &amp; under Veterans Choice Program</w:t>
            </w:r>
          </w:p>
          <w:p w:rsidR="00E3284B" w:rsidRPr="00A20F8E" w:rsidRDefault="00E3284B" w:rsidP="00F063AF">
            <w:pPr>
              <w:pStyle w:val="NoSpacing"/>
              <w:numPr>
                <w:ilvl w:val="1"/>
                <w:numId w:val="105"/>
              </w:numPr>
              <w:spacing w:after="120"/>
              <w:rPr>
                <w:rFonts w:ascii="Arial" w:hAnsi="Arial"/>
                <w:sz w:val="20"/>
                <w:szCs w:val="20"/>
              </w:rPr>
            </w:pPr>
            <w:r w:rsidRPr="00C40657">
              <w:rPr>
                <w:rFonts w:ascii="Arial" w:hAnsi="Arial"/>
                <w:sz w:val="20"/>
                <w:szCs w:val="20"/>
                <w:u w:val="single"/>
              </w:rPr>
              <w:t>VistA Imaging AWIV</w:t>
            </w:r>
            <w:r>
              <w:rPr>
                <w:rFonts w:ascii="Arial" w:hAnsi="Arial"/>
                <w:sz w:val="20"/>
                <w:szCs w:val="20"/>
              </w:rPr>
              <w:t xml:space="preserve"> – SD is 664, West LA is 691, </w:t>
            </w:r>
            <w:r w:rsidRPr="006655B9">
              <w:rPr>
                <w:rFonts w:ascii="Arial" w:hAnsi="Arial"/>
                <w:b/>
                <w:i/>
                <w:sz w:val="20"/>
                <w:szCs w:val="20"/>
              </w:rPr>
              <w:t>All Programs</w:t>
            </w:r>
            <w:r w:rsidR="00D146FC">
              <w:rPr>
                <w:rFonts w:ascii="Arial" w:hAnsi="Arial"/>
                <w:b/>
                <w:i/>
                <w:sz w:val="20"/>
                <w:szCs w:val="20"/>
              </w:rPr>
              <w:t xml:space="preserve"> – </w:t>
            </w:r>
            <w:r w:rsidRPr="006655B9">
              <w:rPr>
                <w:rFonts w:ascii="Arial" w:hAnsi="Arial"/>
                <w:b/>
                <w:i/>
                <w:sz w:val="20"/>
                <w:szCs w:val="20"/>
              </w:rPr>
              <w:t>VBAPPS</w:t>
            </w:r>
            <w:r w:rsidR="00D146FC">
              <w:rPr>
                <w:rFonts w:ascii="Arial" w:hAnsi="Arial"/>
                <w:b/>
                <w:i/>
                <w:sz w:val="20"/>
                <w:szCs w:val="20"/>
              </w:rPr>
              <w:t xml:space="preserve"> – </w:t>
            </w:r>
            <w:r w:rsidRPr="006655B9">
              <w:rPr>
                <w:rFonts w:ascii="Arial" w:hAnsi="Arial"/>
                <w:b/>
                <w:i/>
                <w:sz w:val="20"/>
                <w:szCs w:val="20"/>
              </w:rPr>
              <w:t>CAPRIREMOTE</w:t>
            </w:r>
            <w:r w:rsidR="00D146FC">
              <w:rPr>
                <w:rFonts w:ascii="Arial" w:hAnsi="Arial"/>
                <w:b/>
                <w:i/>
                <w:sz w:val="20"/>
                <w:szCs w:val="20"/>
              </w:rPr>
              <w:t xml:space="preserve"> </w:t>
            </w:r>
            <w:r w:rsidRPr="006655B9">
              <w:rPr>
                <w:rFonts w:ascii="Arial" w:hAnsi="Arial"/>
                <w:b/>
                <w:i/>
                <w:sz w:val="20"/>
                <w:szCs w:val="20"/>
              </w:rPr>
              <w:t>–</w:t>
            </w:r>
            <w:r w:rsidR="00D146FC">
              <w:rPr>
                <w:rFonts w:ascii="Arial" w:hAnsi="Arial"/>
                <w:b/>
                <w:i/>
                <w:sz w:val="20"/>
                <w:szCs w:val="20"/>
              </w:rPr>
              <w:t xml:space="preserve"> </w:t>
            </w:r>
            <w:r w:rsidRPr="006655B9">
              <w:rPr>
                <w:rFonts w:ascii="Arial" w:hAnsi="Arial"/>
                <w:b/>
                <w:i/>
                <w:sz w:val="20"/>
                <w:szCs w:val="20"/>
              </w:rPr>
              <w:t>Vista_AWIV</w:t>
            </w:r>
            <w:r w:rsidR="00D146FC">
              <w:rPr>
                <w:rFonts w:ascii="Arial" w:hAnsi="Arial"/>
                <w:b/>
                <w:i/>
                <w:sz w:val="20"/>
                <w:szCs w:val="20"/>
              </w:rPr>
              <w:t xml:space="preserve"> </w:t>
            </w:r>
            <w:r w:rsidR="00D146FC" w:rsidRPr="006655B9">
              <w:rPr>
                <w:rFonts w:ascii="Arial" w:hAnsi="Arial"/>
                <w:b/>
                <w:i/>
                <w:sz w:val="20"/>
                <w:szCs w:val="20"/>
              </w:rPr>
              <w:t>–</w:t>
            </w:r>
            <w:r w:rsidR="00D146FC">
              <w:rPr>
                <w:rFonts w:ascii="Arial" w:hAnsi="Arial"/>
                <w:b/>
                <w:i/>
                <w:sz w:val="20"/>
                <w:szCs w:val="20"/>
              </w:rPr>
              <w:t xml:space="preserve"> </w:t>
            </w:r>
            <w:r w:rsidR="00246583" w:rsidRPr="006655B9">
              <w:rPr>
                <w:rFonts w:ascii="Arial" w:hAnsi="Arial"/>
                <w:b/>
                <w:i/>
                <w:sz w:val="20"/>
                <w:szCs w:val="20"/>
              </w:rPr>
              <w:t>AWIV_</w:t>
            </w:r>
            <w:r w:rsidR="00D146FC">
              <w:rPr>
                <w:rFonts w:ascii="Arial" w:hAnsi="Arial"/>
                <w:b/>
                <w:i/>
                <w:sz w:val="20"/>
                <w:szCs w:val="20"/>
              </w:rPr>
              <w:t>W</w:t>
            </w:r>
            <w:r w:rsidR="00246583" w:rsidRPr="006655B9">
              <w:rPr>
                <w:rFonts w:ascii="Arial" w:hAnsi="Arial"/>
                <w:b/>
                <w:i/>
                <w:sz w:val="20"/>
                <w:szCs w:val="20"/>
              </w:rPr>
              <w:t>eblogon</w:t>
            </w:r>
            <w:r w:rsidR="006655B9">
              <w:rPr>
                <w:rFonts w:ascii="Arial" w:hAnsi="Arial"/>
                <w:b/>
                <w:i/>
                <w:sz w:val="20"/>
                <w:szCs w:val="20"/>
              </w:rPr>
              <w:t xml:space="preserve"> OR just type in “</w:t>
            </w:r>
            <w:r w:rsidR="00D146FC">
              <w:rPr>
                <w:rFonts w:ascii="Arial" w:hAnsi="Arial"/>
                <w:b/>
                <w:i/>
                <w:sz w:val="20"/>
                <w:szCs w:val="20"/>
              </w:rPr>
              <w:t>AWIV Weblogon</w:t>
            </w:r>
            <w:r w:rsidR="006655B9">
              <w:rPr>
                <w:rFonts w:ascii="Arial" w:hAnsi="Arial"/>
                <w:b/>
                <w:i/>
                <w:sz w:val="20"/>
                <w:szCs w:val="20"/>
              </w:rPr>
              <w:t>” from START menu</w:t>
            </w:r>
            <w:r w:rsidR="00246583">
              <w:rPr>
                <w:rFonts w:ascii="Arial" w:hAnsi="Arial"/>
                <w:sz w:val="20"/>
                <w:szCs w:val="20"/>
              </w:rPr>
              <w:t>; if CAPRI or VistA</w:t>
            </w:r>
            <w:r>
              <w:rPr>
                <w:rFonts w:ascii="Arial" w:hAnsi="Arial"/>
                <w:sz w:val="20"/>
                <w:szCs w:val="20"/>
              </w:rPr>
              <w:t>Web says scanned document from other facility (including sleep studies, audiograms, MSLA exams), can save as PDF with OneNote</w:t>
            </w:r>
          </w:p>
          <w:p w:rsidR="004D6139" w:rsidRDefault="004D6139" w:rsidP="00F063AF">
            <w:pPr>
              <w:pStyle w:val="NoSpacing"/>
              <w:numPr>
                <w:ilvl w:val="0"/>
                <w:numId w:val="105"/>
              </w:numPr>
              <w:spacing w:after="120"/>
              <w:rPr>
                <w:rFonts w:ascii="Arial" w:hAnsi="Arial"/>
                <w:i/>
                <w:sz w:val="20"/>
                <w:szCs w:val="20"/>
              </w:rPr>
            </w:pPr>
            <w:r w:rsidRPr="004D6139">
              <w:rPr>
                <w:rFonts w:ascii="Arial" w:hAnsi="Arial"/>
                <w:b/>
                <w:i/>
                <w:sz w:val="20"/>
                <w:u w:val="single"/>
              </w:rPr>
              <w:t>DOD CAPRI Tab Decommissioning</w:t>
            </w:r>
            <w:r w:rsidRPr="004D6139">
              <w:rPr>
                <w:rFonts w:ascii="Arial" w:hAnsi="Arial"/>
                <w:i/>
                <w:sz w:val="16"/>
                <w:szCs w:val="20"/>
              </w:rPr>
              <w:t xml:space="preserve"> </w:t>
            </w:r>
            <w:r>
              <w:rPr>
                <w:rFonts w:ascii="Arial" w:hAnsi="Arial"/>
                <w:i/>
                <w:sz w:val="20"/>
                <w:szCs w:val="20"/>
              </w:rPr>
              <w:t>–</w:t>
            </w:r>
          </w:p>
          <w:p w:rsidR="00B62EEC" w:rsidRPr="00B62EEC" w:rsidRDefault="00B62EEC" w:rsidP="004D6139">
            <w:pPr>
              <w:spacing w:after="120"/>
              <w:ind w:left="691"/>
            </w:pPr>
            <w:r w:rsidRPr="00B62EEC">
              <w:t>The Department of Defense (DoD) will terminate the Bidirectional Health Information Exchange (BHIE) Framework, which  feeds the DoD tab in CAPRI, on September 30, 2016.  Effective October 1, 2016, the DoD tab in CAPRI will no longer be a source for DoD medical records. VBA staff may use Joint Legacy Viewer (JLV)  as well as CAPRI’s VistAWeb tab to access an integrated view of health data from VA and DoD.</w:t>
            </w:r>
          </w:p>
          <w:p w:rsidR="00B62EEC" w:rsidRDefault="00246583" w:rsidP="004D6139">
            <w:pPr>
              <w:pBdr>
                <w:top w:val="single" w:sz="4" w:space="1" w:color="auto"/>
                <w:left w:val="single" w:sz="4" w:space="4" w:color="auto"/>
                <w:bottom w:val="single" w:sz="4" w:space="1" w:color="auto"/>
                <w:right w:val="single" w:sz="4" w:space="4" w:color="auto"/>
              </w:pBdr>
              <w:ind w:left="600" w:right="150"/>
              <w:rPr>
                <w:i/>
              </w:rPr>
            </w:pPr>
            <w:r>
              <w:t>Rating Note:  JLV / VistA</w:t>
            </w:r>
            <w:r w:rsidR="00B62EEC">
              <w:t>Web</w:t>
            </w:r>
            <w:r w:rsidR="00B62EEC" w:rsidRPr="007C2608">
              <w:t xml:space="preserve"> was reviewed, but no relevant records </w:t>
            </w:r>
            <w:r w:rsidR="00B62EEC">
              <w:t>were found, nor was there any reference to possible relevant records</w:t>
            </w:r>
          </w:p>
          <w:p w:rsidR="00B62EEC" w:rsidRPr="00F74A4C" w:rsidRDefault="00B62EEC" w:rsidP="00F74A4C">
            <w:pPr>
              <w:widowControl w:val="0"/>
              <w:spacing w:after="120"/>
              <w:ind w:left="690"/>
              <w:rPr>
                <w:i/>
              </w:rPr>
            </w:pPr>
          </w:p>
          <w:p w:rsidR="00962487" w:rsidRPr="00962487" w:rsidRDefault="00BC5EAF" w:rsidP="00F063AF">
            <w:pPr>
              <w:widowControl w:val="0"/>
              <w:numPr>
                <w:ilvl w:val="0"/>
                <w:numId w:val="105"/>
              </w:numPr>
              <w:spacing w:after="120"/>
              <w:rPr>
                <w:i/>
              </w:rPr>
            </w:pPr>
            <w:r w:rsidRPr="00962487">
              <w:rPr>
                <w:b/>
                <w:bCs/>
                <w:iCs/>
              </w:rPr>
              <w:t xml:space="preserve">I.1.C.1.d &amp; </w:t>
            </w:r>
            <w:r w:rsidR="00F74A4C" w:rsidRPr="00962487">
              <w:rPr>
                <w:b/>
                <w:bCs/>
                <w:iCs/>
              </w:rPr>
              <w:t>III.iii.2.B.2.c</w:t>
            </w:r>
            <w:r w:rsidR="00EE6BBC" w:rsidRPr="00962487">
              <w:rPr>
                <w:bCs/>
                <w:iCs/>
              </w:rPr>
              <w:t xml:space="preserve"> </w:t>
            </w:r>
            <w:r w:rsidR="00F74A4C" w:rsidRPr="00962487">
              <w:rPr>
                <w:bCs/>
                <w:iCs/>
              </w:rPr>
              <w:t xml:space="preserve">– If a “certification letter” / DD Form 2963 accompanies STRs from the service dept, no additional development is needed unless </w:t>
            </w:r>
            <w:r w:rsidR="00962487" w:rsidRPr="00962487">
              <w:rPr>
                <w:bCs/>
                <w:iCs/>
              </w:rPr>
              <w:t xml:space="preserve">(a) veteran indicates </w:t>
            </w:r>
            <w:r w:rsidR="00F74A4C" w:rsidRPr="00962487">
              <w:rPr>
                <w:bCs/>
                <w:iCs/>
              </w:rPr>
              <w:t xml:space="preserve">specific treatment </w:t>
            </w:r>
            <w:r w:rsidR="00962487" w:rsidRPr="00962487">
              <w:rPr>
                <w:bCs/>
                <w:iCs/>
              </w:rPr>
              <w:t>AND</w:t>
            </w:r>
            <w:r w:rsidR="00962487">
              <w:rPr>
                <w:bCs/>
                <w:iCs/>
              </w:rPr>
              <w:t xml:space="preserve"> (b)</w:t>
            </w:r>
            <w:r w:rsidR="00962487" w:rsidRPr="00962487">
              <w:rPr>
                <w:bCs/>
                <w:iCs/>
              </w:rPr>
              <w:t xml:space="preserve"> the 2963 says those records don’t exist in ava STRs &amp; they aren’t in JLV</w:t>
            </w:r>
            <w:r w:rsidR="00962487">
              <w:rPr>
                <w:bCs/>
                <w:iCs/>
              </w:rPr>
              <w:t xml:space="preserve">; </w:t>
            </w:r>
            <w:r w:rsidR="00962487" w:rsidRPr="00962487">
              <w:t>also, a</w:t>
            </w:r>
            <w:r w:rsidR="00FA3608">
              <w:t xml:space="preserve"> final notification letter</w:t>
            </w:r>
            <w:r w:rsidR="00962487">
              <w:t xml:space="preserve"> is needed if 2963 says STRs are absent</w:t>
            </w:r>
          </w:p>
          <w:p w:rsidR="005D6D9A" w:rsidRPr="005D6D9A" w:rsidRDefault="005D6D9A" w:rsidP="00F063AF">
            <w:pPr>
              <w:widowControl w:val="0"/>
              <w:numPr>
                <w:ilvl w:val="0"/>
                <w:numId w:val="105"/>
              </w:numPr>
              <w:spacing w:after="120"/>
              <w:rPr>
                <w:i/>
              </w:rPr>
            </w:pPr>
            <w:r>
              <w:rPr>
                <w:b/>
              </w:rPr>
              <w:t>III.i.1.4.g –</w:t>
            </w:r>
            <w:r>
              <w:rPr>
                <w:rStyle w:val="veteranheadersmall"/>
                <w:lang w:val="en"/>
              </w:rPr>
              <w:t xml:space="preserve"> RVSR duties </w:t>
            </w:r>
            <w:r w:rsidRPr="005D6D9A">
              <w:rPr>
                <w:rStyle w:val="veteranheadersmall"/>
                <w:lang w:val="en"/>
              </w:rPr>
              <w:t>include, “</w:t>
            </w:r>
            <w:r w:rsidRPr="005D6D9A">
              <w:t>ensuring all recent and relevant treatment records found in the Compensation and Pension Records Interchange (CAPRI) and the Joint Legacy Viewer (JLV) have been associated with the claims folder and if necessary, associating the records”</w:t>
            </w:r>
          </w:p>
          <w:p w:rsidR="00B540C4" w:rsidRPr="00433BCE" w:rsidRDefault="00B540C4" w:rsidP="00F063AF">
            <w:pPr>
              <w:widowControl w:val="0"/>
              <w:numPr>
                <w:ilvl w:val="0"/>
                <w:numId w:val="105"/>
              </w:numPr>
              <w:spacing w:after="120"/>
              <w:rPr>
                <w:i/>
              </w:rPr>
            </w:pPr>
            <w:r>
              <w:rPr>
                <w:b/>
              </w:rPr>
              <w:t>III.iii.1.C.</w:t>
            </w:r>
            <w:r w:rsidR="0090538C">
              <w:rPr>
                <w:b/>
              </w:rPr>
              <w:t>1</w:t>
            </w:r>
            <w:r>
              <w:rPr>
                <w:b/>
              </w:rPr>
              <w:t>.</w:t>
            </w:r>
            <w:r w:rsidR="0090538C">
              <w:rPr>
                <w:b/>
              </w:rPr>
              <w:t>e</w:t>
            </w:r>
            <w:r>
              <w:t xml:space="preserve"> – need to check JLV before sending</w:t>
            </w:r>
            <w:r w:rsidR="00FA3608">
              <w:t xml:space="preserve"> </w:t>
            </w:r>
            <w:r w:rsidR="00010FA6">
              <w:t>final</w:t>
            </w:r>
            <w:r w:rsidR="00FA3608">
              <w:t xml:space="preserve"> </w:t>
            </w:r>
            <w:r w:rsidR="00010FA6">
              <w:t xml:space="preserve">notification letter </w:t>
            </w:r>
            <w:r>
              <w:t>for STRs</w:t>
            </w:r>
          </w:p>
          <w:p w:rsidR="00AC2350" w:rsidRPr="00315E02" w:rsidRDefault="00AC2350" w:rsidP="00F063AF">
            <w:pPr>
              <w:pStyle w:val="ListParagraph"/>
              <w:numPr>
                <w:ilvl w:val="0"/>
                <w:numId w:val="375"/>
              </w:numPr>
              <w:spacing w:after="120"/>
              <w:ind w:left="690"/>
            </w:pPr>
            <w:r w:rsidRPr="00AC2350">
              <w:rPr>
                <w:lang w:val="en"/>
              </w:rPr>
              <w:t>Make sure select Certificate that says “Issuer: Veterans Affairs User CA B1”</w:t>
            </w:r>
          </w:p>
          <w:p w:rsidR="00AC2350" w:rsidRDefault="00AC2350" w:rsidP="00AC2350">
            <w:pPr>
              <w:tabs>
                <w:tab w:val="left" w:pos="720"/>
              </w:tabs>
              <w:overflowPunct/>
              <w:autoSpaceDE/>
              <w:autoSpaceDN/>
              <w:adjustRightInd/>
              <w:spacing w:after="120"/>
              <w:ind w:left="720"/>
              <w:textAlignment w:val="auto"/>
              <w:rPr>
                <w:rStyle w:val="Hyperlink"/>
                <w:color w:val="auto"/>
                <w:u w:val="none"/>
              </w:rPr>
            </w:pPr>
            <w:r>
              <w:rPr>
                <w:noProof/>
              </w:rPr>
              <w:drawing>
                <wp:inline distT="0" distB="0" distL="0" distR="0" wp14:anchorId="413FCEFD" wp14:editId="47F4A6DD">
                  <wp:extent cx="3362325" cy="1114425"/>
                  <wp:effectExtent l="0" t="0" r="9525" b="9525"/>
                  <wp:docPr id="24642" name="Picture 24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6"/>
                          <a:stretch>
                            <a:fillRect/>
                          </a:stretch>
                        </pic:blipFill>
                        <pic:spPr>
                          <a:xfrm>
                            <a:off x="0" y="0"/>
                            <a:ext cx="3362325" cy="1114425"/>
                          </a:xfrm>
                          <a:prstGeom prst="rect">
                            <a:avLst/>
                          </a:prstGeom>
                        </pic:spPr>
                      </pic:pic>
                    </a:graphicData>
                  </a:graphic>
                </wp:inline>
              </w:drawing>
            </w:r>
          </w:p>
          <w:p w:rsidR="00AC2350" w:rsidRPr="00AC2350" w:rsidRDefault="00AC2350" w:rsidP="00F063AF">
            <w:pPr>
              <w:pStyle w:val="ListParagraph"/>
              <w:numPr>
                <w:ilvl w:val="0"/>
                <w:numId w:val="375"/>
              </w:numPr>
              <w:tabs>
                <w:tab w:val="left" w:pos="720"/>
              </w:tabs>
              <w:spacing w:after="120"/>
              <w:ind w:left="690"/>
              <w:rPr>
                <w:rStyle w:val="Hyperlink"/>
                <w:rFonts w:asciiTheme="minorHAnsi" w:hAnsiTheme="minorHAnsi"/>
                <w:b/>
                <w:color w:val="auto"/>
                <w:u w:val="none"/>
              </w:rPr>
            </w:pPr>
            <w:r w:rsidRPr="00AC2350">
              <w:rPr>
                <w:rStyle w:val="Hyperlink"/>
                <w:rFonts w:asciiTheme="minorHAnsi" w:hAnsiTheme="minorHAnsi"/>
                <w:b/>
                <w:color w:val="auto"/>
                <w:u w:val="none"/>
              </w:rPr>
              <w:t>To Build a Report in JLV:</w:t>
            </w:r>
          </w:p>
          <w:p w:rsidR="00AC2350" w:rsidRDefault="00AC2350" w:rsidP="00F063AF">
            <w:pPr>
              <w:pStyle w:val="ListParagraph"/>
              <w:numPr>
                <w:ilvl w:val="0"/>
                <w:numId w:val="376"/>
              </w:numPr>
              <w:tabs>
                <w:tab w:val="clear" w:pos="690"/>
                <w:tab w:val="num" w:pos="1050"/>
                <w:tab w:val="left" w:pos="1140"/>
              </w:tabs>
              <w:spacing w:after="120"/>
              <w:ind w:left="1050"/>
              <w:rPr>
                <w:rStyle w:val="Hyperlink"/>
                <w:color w:val="auto"/>
                <w:u w:val="none"/>
              </w:rPr>
            </w:pPr>
            <w:r>
              <w:rPr>
                <w:rStyle w:val="Hyperlink"/>
                <w:color w:val="auto"/>
                <w:u w:val="none"/>
              </w:rPr>
              <w:t>The “Documents” section is the best one to use for building a report.</w:t>
            </w:r>
          </w:p>
          <w:p w:rsidR="00AC2350" w:rsidRDefault="00AC2350" w:rsidP="00F063AF">
            <w:pPr>
              <w:pStyle w:val="ListParagraph"/>
              <w:numPr>
                <w:ilvl w:val="0"/>
                <w:numId w:val="376"/>
              </w:numPr>
              <w:tabs>
                <w:tab w:val="clear" w:pos="690"/>
                <w:tab w:val="num" w:pos="1050"/>
                <w:tab w:val="left" w:pos="1140"/>
              </w:tabs>
              <w:spacing w:after="120"/>
              <w:ind w:left="1050"/>
              <w:rPr>
                <w:rStyle w:val="Hyperlink"/>
                <w:color w:val="auto"/>
                <w:u w:val="none"/>
              </w:rPr>
            </w:pPr>
            <w:r>
              <w:rPr>
                <w:rStyle w:val="Hyperlink"/>
                <w:color w:val="auto"/>
                <w:u w:val="none"/>
              </w:rPr>
              <w:t xml:space="preserve">Click on </w:t>
            </w:r>
            <w:r>
              <w:rPr>
                <w:noProof/>
              </w:rPr>
              <w:drawing>
                <wp:inline distT="0" distB="0" distL="0" distR="0" wp14:anchorId="0FB235CB" wp14:editId="42C6677D">
                  <wp:extent cx="609600" cy="2381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7"/>
                          <a:stretch>
                            <a:fillRect/>
                          </a:stretch>
                        </pic:blipFill>
                        <pic:spPr>
                          <a:xfrm>
                            <a:off x="0" y="0"/>
                            <a:ext cx="609600" cy="238125"/>
                          </a:xfrm>
                          <a:prstGeom prst="rect">
                            <a:avLst/>
                          </a:prstGeom>
                        </pic:spPr>
                      </pic:pic>
                    </a:graphicData>
                  </a:graphic>
                </wp:inline>
              </w:drawing>
            </w:r>
            <w:r>
              <w:rPr>
                <w:rStyle w:val="Hyperlink"/>
                <w:color w:val="auto"/>
                <w:u w:val="none"/>
              </w:rPr>
              <w:t>&amp; it will show all the records in a pop-up window.</w:t>
            </w:r>
          </w:p>
          <w:p w:rsidR="00AC2350" w:rsidRDefault="00AC2350" w:rsidP="00F063AF">
            <w:pPr>
              <w:pStyle w:val="ListParagraph"/>
              <w:numPr>
                <w:ilvl w:val="0"/>
                <w:numId w:val="376"/>
              </w:numPr>
              <w:tabs>
                <w:tab w:val="clear" w:pos="690"/>
                <w:tab w:val="num" w:pos="1050"/>
                <w:tab w:val="left" w:pos="1140"/>
              </w:tabs>
              <w:spacing w:after="120"/>
              <w:ind w:left="1050"/>
              <w:rPr>
                <w:rStyle w:val="Hyperlink"/>
                <w:color w:val="auto"/>
                <w:u w:val="none"/>
              </w:rPr>
            </w:pPr>
            <w:r>
              <w:rPr>
                <w:rStyle w:val="Hyperlink"/>
                <w:color w:val="auto"/>
                <w:u w:val="none"/>
              </w:rPr>
              <w:t>Click on name in the “Description” column to view “Document Details</w:t>
            </w:r>
            <w:r w:rsidR="001946CC">
              <w:rPr>
                <w:rStyle w:val="Hyperlink"/>
                <w:color w:val="auto"/>
                <w:u w:val="none"/>
              </w:rPr>
              <w:t>,”</w:t>
            </w:r>
            <w:r>
              <w:rPr>
                <w:rStyle w:val="Hyperlink"/>
                <w:color w:val="auto"/>
                <w:u w:val="none"/>
              </w:rPr>
              <w:t xml:space="preserve"> then click on </w:t>
            </w:r>
            <w:r>
              <w:rPr>
                <w:noProof/>
              </w:rPr>
              <w:drawing>
                <wp:inline distT="0" distB="0" distL="0" distR="0" wp14:anchorId="507D0FD5" wp14:editId="68D54E05">
                  <wp:extent cx="295275" cy="2476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8"/>
                          <a:stretch>
                            <a:fillRect/>
                          </a:stretch>
                        </pic:blipFill>
                        <pic:spPr>
                          <a:xfrm>
                            <a:off x="0" y="0"/>
                            <a:ext cx="295275" cy="247650"/>
                          </a:xfrm>
                          <a:prstGeom prst="rect">
                            <a:avLst/>
                          </a:prstGeom>
                        </pic:spPr>
                      </pic:pic>
                    </a:graphicData>
                  </a:graphic>
                </wp:inline>
              </w:drawing>
            </w:r>
            <w:r>
              <w:rPr>
                <w:rStyle w:val="Hyperlink"/>
                <w:color w:val="auto"/>
                <w:u w:val="none"/>
              </w:rPr>
              <w:t xml:space="preserve"> in the top right corner of </w:t>
            </w:r>
            <w:r w:rsidRPr="00C97167">
              <w:rPr>
                <w:rStyle w:val="Hyperlink"/>
                <w:i/>
                <w:color w:val="auto"/>
                <w:u w:val="none"/>
              </w:rPr>
              <w:t>(or right-click on name in the Description column &amp; it will give you the option to “Add Record to Report”).</w:t>
            </w:r>
          </w:p>
          <w:p w:rsidR="00AC2350" w:rsidRDefault="00AC2350" w:rsidP="00F063AF">
            <w:pPr>
              <w:pStyle w:val="ListParagraph"/>
              <w:numPr>
                <w:ilvl w:val="0"/>
                <w:numId w:val="376"/>
              </w:numPr>
              <w:tabs>
                <w:tab w:val="clear" w:pos="690"/>
                <w:tab w:val="num" w:pos="1050"/>
                <w:tab w:val="left" w:pos="1140"/>
              </w:tabs>
              <w:spacing w:after="120"/>
              <w:ind w:left="1050"/>
              <w:rPr>
                <w:rStyle w:val="Hyperlink"/>
                <w:color w:val="auto"/>
                <w:u w:val="none"/>
              </w:rPr>
            </w:pPr>
            <w:r>
              <w:rPr>
                <w:rStyle w:val="Hyperlink"/>
                <w:color w:val="auto"/>
                <w:u w:val="none"/>
              </w:rPr>
              <w:t xml:space="preserve">When all reports are added, click on </w:t>
            </w:r>
            <w:r>
              <w:rPr>
                <w:noProof/>
              </w:rPr>
              <w:drawing>
                <wp:inline distT="0" distB="0" distL="0" distR="0" wp14:anchorId="5A1F0861" wp14:editId="73916706">
                  <wp:extent cx="323850" cy="2762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9"/>
                          <a:stretch>
                            <a:fillRect/>
                          </a:stretch>
                        </pic:blipFill>
                        <pic:spPr>
                          <a:xfrm>
                            <a:off x="0" y="0"/>
                            <a:ext cx="323850" cy="276225"/>
                          </a:xfrm>
                          <a:prstGeom prst="rect">
                            <a:avLst/>
                          </a:prstGeom>
                        </pic:spPr>
                      </pic:pic>
                    </a:graphicData>
                  </a:graphic>
                </wp:inline>
              </w:drawing>
            </w:r>
            <w:r>
              <w:rPr>
                <w:rStyle w:val="Hyperlink"/>
                <w:color w:val="auto"/>
                <w:u w:val="none"/>
              </w:rPr>
              <w:t xml:space="preserve"> in the top right corner of JLV, to the right of your name.</w:t>
            </w:r>
          </w:p>
          <w:p w:rsidR="00AC2350" w:rsidRDefault="00AC2350" w:rsidP="00F063AF">
            <w:pPr>
              <w:pStyle w:val="ListParagraph"/>
              <w:numPr>
                <w:ilvl w:val="0"/>
                <w:numId w:val="376"/>
              </w:numPr>
              <w:tabs>
                <w:tab w:val="clear" w:pos="690"/>
                <w:tab w:val="num" w:pos="1050"/>
                <w:tab w:val="left" w:pos="1140"/>
              </w:tabs>
              <w:spacing w:after="120"/>
              <w:ind w:left="1050"/>
              <w:rPr>
                <w:rStyle w:val="Hyperlink"/>
                <w:color w:val="auto"/>
                <w:u w:val="none"/>
              </w:rPr>
            </w:pPr>
            <w:r>
              <w:rPr>
                <w:rStyle w:val="Hyperlink"/>
                <w:color w:val="auto"/>
                <w:u w:val="none"/>
              </w:rPr>
              <w:t xml:space="preserve">It will pull up the Report Builder. Move items into date order (if needed). Click on </w:t>
            </w:r>
            <w:r>
              <w:rPr>
                <w:noProof/>
              </w:rPr>
              <w:drawing>
                <wp:inline distT="0" distB="0" distL="0" distR="0" wp14:anchorId="2C2A3FB3" wp14:editId="6BDA8CDE">
                  <wp:extent cx="876300" cy="2381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0"/>
                          <a:stretch>
                            <a:fillRect/>
                          </a:stretch>
                        </pic:blipFill>
                        <pic:spPr>
                          <a:xfrm>
                            <a:off x="0" y="0"/>
                            <a:ext cx="876300" cy="238125"/>
                          </a:xfrm>
                          <a:prstGeom prst="rect">
                            <a:avLst/>
                          </a:prstGeom>
                        </pic:spPr>
                      </pic:pic>
                    </a:graphicData>
                  </a:graphic>
                </wp:inline>
              </w:drawing>
            </w:r>
            <w:r>
              <w:rPr>
                <w:rStyle w:val="Hyperlink"/>
                <w:color w:val="auto"/>
                <w:u w:val="none"/>
              </w:rPr>
              <w:t>.</w:t>
            </w:r>
          </w:p>
          <w:p w:rsidR="00AC2350" w:rsidRDefault="00AC2350" w:rsidP="00F063AF">
            <w:pPr>
              <w:pStyle w:val="ListParagraph"/>
              <w:numPr>
                <w:ilvl w:val="0"/>
                <w:numId w:val="376"/>
              </w:numPr>
              <w:tabs>
                <w:tab w:val="clear" w:pos="690"/>
                <w:tab w:val="num" w:pos="1050"/>
                <w:tab w:val="left" w:pos="1140"/>
              </w:tabs>
              <w:spacing w:after="120"/>
              <w:ind w:left="1050"/>
              <w:rPr>
                <w:rStyle w:val="Hyperlink"/>
                <w:color w:val="auto"/>
                <w:u w:val="none"/>
              </w:rPr>
            </w:pPr>
            <w:r>
              <w:rPr>
                <w:rStyle w:val="Hyperlink"/>
                <w:color w:val="auto"/>
                <w:u w:val="none"/>
              </w:rPr>
              <w:t xml:space="preserve">Click on </w:t>
            </w:r>
            <w:r>
              <w:rPr>
                <w:noProof/>
              </w:rPr>
              <w:drawing>
                <wp:inline distT="0" distB="0" distL="0" distR="0" wp14:anchorId="3A5B0E7E" wp14:editId="5247DC8D">
                  <wp:extent cx="790575" cy="2571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1"/>
                          <a:stretch>
                            <a:fillRect/>
                          </a:stretch>
                        </pic:blipFill>
                        <pic:spPr>
                          <a:xfrm>
                            <a:off x="0" y="0"/>
                            <a:ext cx="790575" cy="257175"/>
                          </a:xfrm>
                          <a:prstGeom prst="rect">
                            <a:avLst/>
                          </a:prstGeom>
                        </pic:spPr>
                      </pic:pic>
                    </a:graphicData>
                  </a:graphic>
                </wp:inline>
              </w:drawing>
            </w:r>
            <w:r>
              <w:rPr>
                <w:rStyle w:val="Hyperlink"/>
                <w:color w:val="auto"/>
                <w:u w:val="none"/>
              </w:rPr>
              <w:t xml:space="preserve"> in the pop-up window</w:t>
            </w:r>
            <w:r w:rsidR="00AD3509">
              <w:rPr>
                <w:rStyle w:val="Hyperlink"/>
                <w:color w:val="auto"/>
                <w:u w:val="none"/>
              </w:rPr>
              <w:t>.</w:t>
            </w:r>
          </w:p>
          <w:p w:rsidR="00AC2350" w:rsidRDefault="00AC2350" w:rsidP="00F063AF">
            <w:pPr>
              <w:pStyle w:val="ListParagraph"/>
              <w:numPr>
                <w:ilvl w:val="0"/>
                <w:numId w:val="376"/>
              </w:numPr>
              <w:tabs>
                <w:tab w:val="clear" w:pos="690"/>
                <w:tab w:val="num" w:pos="1050"/>
                <w:tab w:val="left" w:pos="1140"/>
              </w:tabs>
              <w:spacing w:after="120"/>
              <w:ind w:left="1050"/>
              <w:rPr>
                <w:rStyle w:val="Hyperlink"/>
                <w:color w:val="auto"/>
                <w:u w:val="none"/>
              </w:rPr>
            </w:pPr>
            <w:r>
              <w:rPr>
                <w:rStyle w:val="Hyperlink"/>
                <w:color w:val="auto"/>
                <w:u w:val="none"/>
              </w:rPr>
              <w:t>It will generate a PDF file that you can save &amp; upload to VBMS.</w:t>
            </w:r>
          </w:p>
          <w:p w:rsidR="00AC2350" w:rsidRPr="00ED591E" w:rsidRDefault="00AC2350" w:rsidP="00F063AF">
            <w:pPr>
              <w:pStyle w:val="ListParagraph"/>
              <w:numPr>
                <w:ilvl w:val="0"/>
                <w:numId w:val="376"/>
              </w:numPr>
              <w:tabs>
                <w:tab w:val="clear" w:pos="690"/>
                <w:tab w:val="num" w:pos="1050"/>
                <w:tab w:val="left" w:pos="1140"/>
              </w:tabs>
              <w:spacing w:after="120"/>
              <w:ind w:left="1050"/>
              <w:rPr>
                <w:rStyle w:val="Hyperlink"/>
                <w:color w:val="auto"/>
                <w:u w:val="none"/>
              </w:rPr>
            </w:pPr>
            <w:r>
              <w:rPr>
                <w:rStyle w:val="Hyperlink"/>
                <w:i/>
                <w:color w:val="auto"/>
                <w:u w:val="none"/>
              </w:rPr>
              <w:t>I</w:t>
            </w:r>
            <w:r w:rsidRPr="00C97167">
              <w:rPr>
                <w:rStyle w:val="Hyperlink"/>
                <w:i/>
                <w:color w:val="auto"/>
                <w:u w:val="none"/>
              </w:rPr>
              <w:t>f the generated file is only a list of Documents, but no actual details, you might have some recor</w:t>
            </w:r>
            <w:r>
              <w:rPr>
                <w:rStyle w:val="Hyperlink"/>
                <w:i/>
                <w:color w:val="auto"/>
                <w:u w:val="none"/>
              </w:rPr>
              <w:t>ds without any actual text. It may also give you just a white screen if you have some older records that are not actually in JLV, which appears to cause an error.</w:t>
            </w:r>
          </w:p>
          <w:p w:rsidR="00AC2350" w:rsidRDefault="00AC2350" w:rsidP="00F063AF">
            <w:pPr>
              <w:pStyle w:val="ListParagraph"/>
              <w:numPr>
                <w:ilvl w:val="0"/>
                <w:numId w:val="105"/>
              </w:numPr>
              <w:spacing w:after="120"/>
              <w:rPr>
                <w:rFonts w:ascii="Arial" w:hAnsi="Arial"/>
                <w:color w:val="000000"/>
                <w:sz w:val="20"/>
                <w:szCs w:val="20"/>
              </w:rPr>
            </w:pPr>
            <w:r>
              <w:rPr>
                <w:rFonts w:ascii="Arial" w:hAnsi="Arial"/>
                <w:b/>
                <w:color w:val="000000"/>
                <w:sz w:val="20"/>
                <w:szCs w:val="20"/>
              </w:rPr>
              <w:t xml:space="preserve">III.iii.2.B.3.k – </w:t>
            </w:r>
            <w:r w:rsidRPr="0028355D">
              <w:rPr>
                <w:rFonts w:ascii="Arial" w:hAnsi="Arial"/>
                <w:color w:val="000000"/>
                <w:sz w:val="20"/>
                <w:szCs w:val="20"/>
              </w:rPr>
              <w:t>table on</w:t>
            </w:r>
            <w:r>
              <w:rPr>
                <w:rFonts w:ascii="Arial" w:hAnsi="Arial"/>
                <w:b/>
                <w:color w:val="000000"/>
                <w:sz w:val="20"/>
                <w:szCs w:val="20"/>
              </w:rPr>
              <w:t xml:space="preserve"> </w:t>
            </w:r>
            <w:r w:rsidRPr="0028355D">
              <w:rPr>
                <w:rFonts w:ascii="Arial" w:hAnsi="Arial"/>
                <w:color w:val="000000"/>
                <w:sz w:val="20"/>
                <w:szCs w:val="20"/>
              </w:rPr>
              <w:t>how to index JLV records in VBMS</w:t>
            </w:r>
            <w:r>
              <w:rPr>
                <w:rFonts w:ascii="Arial" w:hAnsi="Arial"/>
                <w:color w:val="000000"/>
                <w:sz w:val="20"/>
                <w:szCs w:val="20"/>
              </w:rPr>
              <w:t xml:space="preserve"> if STRs, or clinical records. </w:t>
            </w:r>
          </w:p>
          <w:p w:rsidR="00AC2350" w:rsidRPr="0069463A" w:rsidRDefault="00AC2350" w:rsidP="00AC2350">
            <w:pPr>
              <w:spacing w:after="120"/>
              <w:ind w:left="690"/>
              <w:rPr>
                <w:color w:val="000000"/>
              </w:rPr>
            </w:pPr>
            <w:r w:rsidRPr="0069463A">
              <w:rPr>
                <w:color w:val="000000"/>
              </w:rPr>
              <w:t xml:space="preserve">This is for </w:t>
            </w:r>
            <w:r>
              <w:rPr>
                <w:color w:val="000000"/>
              </w:rPr>
              <w:t>STRs</w:t>
            </w:r>
            <w:r w:rsidRPr="0069463A">
              <w:rPr>
                <w:color w:val="000000"/>
              </w:rPr>
              <w:t>:</w:t>
            </w:r>
          </w:p>
          <w:p w:rsidR="00AC2350" w:rsidRPr="006D3C53" w:rsidRDefault="00AC2350" w:rsidP="00AC2350">
            <w:pPr>
              <w:widowControl w:val="0"/>
              <w:tabs>
                <w:tab w:val="left" w:pos="720"/>
              </w:tabs>
              <w:ind w:left="720"/>
              <w:rPr>
                <w:rFonts w:ascii="Verdana" w:hAnsi="Verdana"/>
                <w:b/>
                <w:bCs/>
              </w:rPr>
            </w:pPr>
            <w:r w:rsidRPr="006D3C53">
              <w:rPr>
                <w:rFonts w:ascii="Verdana" w:hAnsi="Verdana"/>
                <w:b/>
                <w:bCs/>
                <w:highlight w:val="green"/>
              </w:rPr>
              <w:t>Subject:</w:t>
            </w:r>
            <w:r w:rsidRPr="006D3C53">
              <w:rPr>
                <w:rFonts w:ascii="Verdana" w:hAnsi="Verdana"/>
              </w:rPr>
              <w:t xml:space="preserve"> </w:t>
            </w:r>
            <w:r>
              <w:rPr>
                <w:rFonts w:ascii="Verdana" w:hAnsi="Verdana"/>
              </w:rPr>
              <w:t>Certified STRs</w:t>
            </w:r>
            <w:r w:rsidRPr="0028355D">
              <w:rPr>
                <w:rFonts w:ascii="Verdana" w:hAnsi="Verdana"/>
              </w:rPr>
              <w:t xml:space="preserve"> from JLV</w:t>
            </w:r>
          </w:p>
          <w:p w:rsidR="00AC2350" w:rsidRPr="006D3C53" w:rsidRDefault="00AC2350" w:rsidP="00AC2350">
            <w:pPr>
              <w:widowControl w:val="0"/>
              <w:tabs>
                <w:tab w:val="left" w:pos="720"/>
              </w:tabs>
              <w:ind w:left="720"/>
              <w:rPr>
                <w:rFonts w:ascii="Verdana" w:hAnsi="Verdana"/>
                <w:b/>
                <w:bCs/>
                <w:highlight w:val="green"/>
              </w:rPr>
            </w:pPr>
            <w:r w:rsidRPr="006D3C53">
              <w:rPr>
                <w:rFonts w:ascii="Verdana" w:hAnsi="Verdana"/>
                <w:b/>
                <w:bCs/>
                <w:highlight w:val="green"/>
              </w:rPr>
              <w:t>Category-Type:</w:t>
            </w:r>
            <w:r w:rsidRPr="006D3C53">
              <w:rPr>
                <w:rFonts w:ascii="Verdana" w:hAnsi="Verdana"/>
              </w:rPr>
              <w:t xml:space="preserve"> </w:t>
            </w:r>
            <w:r w:rsidRPr="00EF45FD">
              <w:rPr>
                <w:rFonts w:ascii="Verdana" w:hAnsi="Verdana"/>
              </w:rPr>
              <w:t>STRs: STR-Original</w:t>
            </w:r>
          </w:p>
          <w:p w:rsidR="00AC2350" w:rsidRPr="00D36CD9" w:rsidRDefault="00AC2350" w:rsidP="00AC2350">
            <w:pPr>
              <w:widowControl w:val="0"/>
              <w:tabs>
                <w:tab w:val="left" w:pos="720"/>
              </w:tabs>
              <w:spacing w:after="120"/>
              <w:ind w:left="720"/>
              <w:rPr>
                <w:i/>
              </w:rPr>
            </w:pPr>
            <w:r w:rsidRPr="006D3C53">
              <w:rPr>
                <w:rFonts w:ascii="Verdana" w:hAnsi="Verdana"/>
                <w:b/>
                <w:bCs/>
                <w:highlight w:val="green"/>
              </w:rPr>
              <w:t>Source:</w:t>
            </w:r>
            <w:r w:rsidRPr="006D3C53">
              <w:rPr>
                <w:rFonts w:ascii="Verdana" w:hAnsi="Verdana"/>
              </w:rPr>
              <w:t xml:space="preserve"> VBMS</w:t>
            </w:r>
            <w:r>
              <w:rPr>
                <w:rFonts w:ascii="Verdana" w:hAnsi="Verdana"/>
              </w:rPr>
              <w:t xml:space="preserve"> </w:t>
            </w:r>
            <w:r>
              <w:t>(</w:t>
            </w:r>
            <w:r w:rsidRPr="00E40FEA">
              <w:rPr>
                <w:i/>
                <w:color w:val="00B050"/>
              </w:rPr>
              <w:t xml:space="preserve">My Notes: </w:t>
            </w:r>
            <w:r>
              <w:t xml:space="preserve"> </w:t>
            </w:r>
            <w:r w:rsidRPr="00D36CD9">
              <w:rPr>
                <w:i/>
              </w:rPr>
              <w:t>As of 4/17, VBMS now has “DOD Integration</w:t>
            </w:r>
            <w:r w:rsidR="001946CC">
              <w:rPr>
                <w:i/>
              </w:rPr>
              <w:t>,”</w:t>
            </w:r>
            <w:r w:rsidRPr="00D36CD9">
              <w:rPr>
                <w:i/>
              </w:rPr>
              <w:t xml:space="preserve"> but not JLV.)</w:t>
            </w:r>
          </w:p>
          <w:p w:rsidR="00AC2350" w:rsidRPr="0069463A" w:rsidRDefault="00AC2350" w:rsidP="00AC2350">
            <w:pPr>
              <w:spacing w:after="120"/>
              <w:ind w:left="690"/>
              <w:rPr>
                <w:color w:val="000000"/>
              </w:rPr>
            </w:pPr>
            <w:r w:rsidRPr="0069463A">
              <w:rPr>
                <w:color w:val="000000"/>
              </w:rPr>
              <w:t>This is for post-service:</w:t>
            </w:r>
          </w:p>
          <w:p w:rsidR="00AC2350" w:rsidRPr="006D3C53" w:rsidRDefault="00AC2350" w:rsidP="00AC2350">
            <w:pPr>
              <w:widowControl w:val="0"/>
              <w:tabs>
                <w:tab w:val="left" w:pos="720"/>
              </w:tabs>
              <w:ind w:left="720"/>
              <w:rPr>
                <w:rFonts w:ascii="Verdana" w:hAnsi="Verdana"/>
                <w:b/>
                <w:bCs/>
              </w:rPr>
            </w:pPr>
            <w:r w:rsidRPr="006D3C53">
              <w:rPr>
                <w:rFonts w:ascii="Verdana" w:hAnsi="Verdana"/>
                <w:b/>
                <w:bCs/>
                <w:highlight w:val="green"/>
              </w:rPr>
              <w:t>Subject:</w:t>
            </w:r>
            <w:r w:rsidRPr="006D3C53">
              <w:rPr>
                <w:rFonts w:ascii="Verdana" w:hAnsi="Verdana"/>
              </w:rPr>
              <w:t xml:space="preserve"> </w:t>
            </w:r>
            <w:r w:rsidRPr="0028355D">
              <w:rPr>
                <w:rFonts w:ascii="Verdana" w:hAnsi="Verdana"/>
              </w:rPr>
              <w:t>Post-service MTF records from JLV</w:t>
            </w:r>
          </w:p>
          <w:p w:rsidR="00AC2350" w:rsidRDefault="00AC2350" w:rsidP="00AC2350">
            <w:pPr>
              <w:widowControl w:val="0"/>
              <w:tabs>
                <w:tab w:val="left" w:pos="720"/>
              </w:tabs>
              <w:ind w:left="720"/>
              <w:rPr>
                <w:rFonts w:ascii="Verdana" w:hAnsi="Verdana"/>
              </w:rPr>
            </w:pPr>
            <w:r w:rsidRPr="006D3C53">
              <w:rPr>
                <w:rFonts w:ascii="Verdana" w:hAnsi="Verdana"/>
                <w:b/>
                <w:bCs/>
                <w:highlight w:val="green"/>
              </w:rPr>
              <w:t>Category-Type:</w:t>
            </w:r>
            <w:r w:rsidRPr="006D3C53">
              <w:rPr>
                <w:rFonts w:ascii="Verdana" w:hAnsi="Verdana"/>
              </w:rPr>
              <w:t xml:space="preserve"> </w:t>
            </w:r>
            <w:r w:rsidRPr="0028355D">
              <w:rPr>
                <w:rFonts w:ascii="Verdana" w:hAnsi="Verdana"/>
              </w:rPr>
              <w:t>Medical Records: Medical Treatment Record – Government Facility</w:t>
            </w:r>
          </w:p>
          <w:p w:rsidR="00AC2350" w:rsidRPr="00903A8D" w:rsidRDefault="00AC2350" w:rsidP="00903A8D">
            <w:pPr>
              <w:widowControl w:val="0"/>
              <w:tabs>
                <w:tab w:val="left" w:pos="720"/>
              </w:tabs>
              <w:spacing w:after="120"/>
              <w:ind w:left="720"/>
              <w:rPr>
                <w:rFonts w:ascii="Verdana" w:hAnsi="Verdana"/>
                <w:i/>
              </w:rPr>
            </w:pPr>
            <w:r w:rsidRPr="006D3C53">
              <w:rPr>
                <w:rFonts w:ascii="Verdana" w:hAnsi="Verdana"/>
                <w:b/>
                <w:bCs/>
                <w:highlight w:val="green"/>
              </w:rPr>
              <w:t>Source:</w:t>
            </w:r>
            <w:r w:rsidRPr="006D3C53">
              <w:rPr>
                <w:rFonts w:ascii="Verdana" w:hAnsi="Verdana"/>
              </w:rPr>
              <w:t xml:space="preserve"> VBMS</w:t>
            </w:r>
            <w:r>
              <w:rPr>
                <w:rFonts w:ascii="Verdana" w:hAnsi="Verdana"/>
              </w:rPr>
              <w:t xml:space="preserve"> </w:t>
            </w:r>
            <w:r>
              <w:t>(</w:t>
            </w:r>
            <w:r w:rsidRPr="00E40FEA">
              <w:rPr>
                <w:i/>
                <w:color w:val="00B050"/>
              </w:rPr>
              <w:t xml:space="preserve">My Notes: </w:t>
            </w:r>
            <w:r>
              <w:t xml:space="preserve"> </w:t>
            </w:r>
            <w:r w:rsidRPr="00D36CD9">
              <w:rPr>
                <w:i/>
              </w:rPr>
              <w:t>As of 4/17, VBMS now has “DOD Integration</w:t>
            </w:r>
            <w:r w:rsidR="001946CC">
              <w:rPr>
                <w:i/>
              </w:rPr>
              <w:t>,”</w:t>
            </w:r>
            <w:r w:rsidRPr="00D36CD9">
              <w:rPr>
                <w:i/>
              </w:rPr>
              <w:t xml:space="preserve"> but not JLV.)</w:t>
            </w:r>
          </w:p>
          <w:p w:rsidR="00903A8D" w:rsidRPr="00903A8D" w:rsidRDefault="00903A8D" w:rsidP="00F063AF">
            <w:pPr>
              <w:pStyle w:val="ListParagraph"/>
              <w:widowControl w:val="0"/>
              <w:numPr>
                <w:ilvl w:val="0"/>
                <w:numId w:val="105"/>
              </w:numPr>
              <w:spacing w:after="120"/>
              <w:ind w:right="60"/>
              <w:rPr>
                <w:rFonts w:ascii="Arial" w:hAnsi="Arial"/>
                <w:bCs/>
                <w:iCs/>
                <w:sz w:val="20"/>
                <w:szCs w:val="20"/>
              </w:rPr>
            </w:pPr>
            <w:r w:rsidRPr="00903A8D">
              <w:rPr>
                <w:rFonts w:ascii="Arial" w:hAnsi="Arial"/>
                <w:bCs/>
                <w:sz w:val="20"/>
                <w:szCs w:val="20"/>
              </w:rPr>
              <w:t xml:space="preserve">Notes from </w:t>
            </w:r>
            <w:r w:rsidRPr="00903A8D">
              <w:rPr>
                <w:rFonts w:ascii="Arial" w:hAnsi="Arial"/>
                <w:b/>
                <w:i/>
                <w:sz w:val="20"/>
                <w:szCs w:val="20"/>
                <w:u w:val="single"/>
              </w:rPr>
              <w:t>March 2018 Training Provided by Central Office by Andrew Grey (Site Visit Training) on Development of STRs</w:t>
            </w:r>
            <w:r w:rsidRPr="00903A8D">
              <w:rPr>
                <w:rFonts w:ascii="Arial" w:hAnsi="Arial"/>
                <w:b/>
                <w:i/>
                <w:sz w:val="20"/>
                <w:szCs w:val="20"/>
              </w:rPr>
              <w:t>:</w:t>
            </w:r>
          </w:p>
          <w:p w:rsidR="00903A8D" w:rsidRDefault="00903A8D" w:rsidP="00903A8D">
            <w:pPr>
              <w:widowControl w:val="0"/>
              <w:spacing w:after="120"/>
              <w:ind w:left="690" w:right="60"/>
              <w:rPr>
                <w:bCs/>
                <w:iCs/>
              </w:rPr>
            </w:pPr>
            <w:r>
              <w:rPr>
                <w:bCs/>
                <w:iCs/>
              </w:rPr>
              <w:t xml:space="preserve">PIES (discharges 1992-1998, depending on branch, see III.iii.2.A.3.d) – then RMC (discharges from end of PIES dates to 12/31/13 except Coast Guard; </w:t>
            </w:r>
            <w:r w:rsidRPr="001803DD">
              <w:rPr>
                <w:bCs/>
                <w:i/>
                <w:iCs/>
              </w:rPr>
              <w:t>RMC sends to vendor when claim established</w:t>
            </w:r>
            <w:r>
              <w:rPr>
                <w:bCs/>
                <w:iCs/>
              </w:rPr>
              <w:t xml:space="preserve">) – then HAIMS (discharges from 1/1/14 except Coast Guard; </w:t>
            </w:r>
            <w:r w:rsidRPr="001803DD">
              <w:rPr>
                <w:bCs/>
                <w:i/>
                <w:iCs/>
              </w:rPr>
              <w:t>HAIMS requests done through VBMS</w:t>
            </w:r>
            <w:r>
              <w:rPr>
                <w:bCs/>
                <w:iCs/>
              </w:rPr>
              <w:t>)</w:t>
            </w:r>
          </w:p>
          <w:p w:rsidR="00903A8D" w:rsidRDefault="00903A8D" w:rsidP="00903A8D">
            <w:pPr>
              <w:widowControl w:val="0"/>
              <w:spacing w:after="120"/>
              <w:ind w:left="690" w:right="60"/>
              <w:rPr>
                <w:bCs/>
                <w:iCs/>
              </w:rPr>
            </w:pPr>
            <w:r>
              <w:rPr>
                <w:bCs/>
                <w:iCs/>
              </w:rPr>
              <w:t>check JLV for STRs if all else fails</w:t>
            </w:r>
          </w:p>
          <w:p w:rsidR="00903A8D" w:rsidRDefault="00903A8D" w:rsidP="00903A8D">
            <w:pPr>
              <w:widowControl w:val="0"/>
              <w:spacing w:after="120"/>
              <w:ind w:left="690" w:right="60"/>
              <w:rPr>
                <w:bCs/>
                <w:iCs/>
              </w:rPr>
            </w:pPr>
            <w:r>
              <w:rPr>
                <w:bCs/>
                <w:iCs/>
              </w:rPr>
              <w:t>[need memo of unavailability (they mean final notification letter) if get negative response]</w:t>
            </w:r>
          </w:p>
          <w:p w:rsidR="00903A8D" w:rsidRPr="00D10240" w:rsidRDefault="00903A8D" w:rsidP="00903A8D">
            <w:pPr>
              <w:pBdr>
                <w:top w:val="double" w:sz="4" w:space="1" w:color="auto"/>
                <w:left w:val="double" w:sz="4" w:space="4" w:color="auto"/>
                <w:bottom w:val="double" w:sz="4" w:space="1" w:color="auto"/>
                <w:right w:val="double" w:sz="4" w:space="4" w:color="auto"/>
              </w:pBdr>
              <w:shd w:val="clear" w:color="auto" w:fill="FFC000"/>
              <w:ind w:left="690" w:right="150"/>
              <w:jc w:val="center"/>
              <w:rPr>
                <w:rFonts w:eastAsiaTheme="minorHAnsi"/>
              </w:rPr>
            </w:pPr>
            <w:r>
              <w:rPr>
                <w:rFonts w:eastAsiaTheme="minorHAnsi"/>
                <w:b/>
              </w:rPr>
              <w:t>San Diego RVSR Training (Version 2).pptx, recorded training &amp; email message with answers to questions</w:t>
            </w:r>
            <w:r>
              <w:rPr>
                <w:rFonts w:eastAsiaTheme="minorHAnsi"/>
              </w:rPr>
              <w:t xml:space="preserve"> are</w:t>
            </w:r>
            <w:r w:rsidRPr="0036376C">
              <w:t xml:space="preserve"> saved at </w:t>
            </w:r>
            <w:r w:rsidRPr="001453C4">
              <w:rPr>
                <w:b/>
                <w:bCs/>
                <w:i/>
                <w:iCs/>
              </w:rPr>
              <w:t>H:\VSC\</w:t>
            </w:r>
            <w:r>
              <w:rPr>
                <w:b/>
                <w:bCs/>
                <w:i/>
                <w:iCs/>
              </w:rPr>
              <w:t>FY2013 LANES\Training\NTC Training Recordings\FY18\2018 Site Visit Training</w:t>
            </w:r>
          </w:p>
          <w:p w:rsidR="00903A8D" w:rsidRPr="00AC2350" w:rsidRDefault="00903A8D" w:rsidP="00AC2350">
            <w:pPr>
              <w:spacing w:after="120"/>
              <w:rPr>
                <w:color w:val="000000"/>
              </w:rPr>
            </w:pPr>
          </w:p>
          <w:p w:rsidR="00013EB8" w:rsidRDefault="00ED37C1">
            <w:pPr>
              <w:pStyle w:val="Header"/>
              <w:tabs>
                <w:tab w:val="clear" w:pos="4320"/>
                <w:tab w:val="clear" w:pos="8640"/>
              </w:tabs>
            </w:pPr>
            <w:r>
              <w:t>_____________________________</w:t>
            </w:r>
          </w:p>
          <w:p w:rsidR="00A66FB8" w:rsidRDefault="00A66FB8">
            <w:pPr>
              <w:pStyle w:val="Heading1"/>
              <w:keepNext w:val="0"/>
              <w:widowControl w:val="0"/>
              <w:rPr>
                <w:b/>
                <w:i w:val="0"/>
                <w:iCs w:val="0"/>
                <w:u w:val="single"/>
              </w:rPr>
            </w:pPr>
          </w:p>
          <w:p w:rsidR="00013EB8" w:rsidRDefault="00A66FB8">
            <w:pPr>
              <w:pStyle w:val="Heading1"/>
              <w:keepNext w:val="0"/>
              <w:widowControl w:val="0"/>
              <w:rPr>
                <w:b/>
                <w:i w:val="0"/>
                <w:iCs w:val="0"/>
                <w:sz w:val="20"/>
              </w:rPr>
            </w:pPr>
            <w:r>
              <w:rPr>
                <w:b/>
                <w:i w:val="0"/>
                <w:iCs w:val="0"/>
                <w:u w:val="single"/>
              </w:rPr>
              <w:t>PRIVATE RECORDS</w:t>
            </w:r>
            <w:r w:rsidR="00013EB8">
              <w:rPr>
                <w:b/>
                <w:i w:val="0"/>
                <w:iCs w:val="0"/>
                <w:sz w:val="20"/>
              </w:rPr>
              <w:t xml:space="preserve"> </w:t>
            </w:r>
            <w:r w:rsidR="004A20C3">
              <w:rPr>
                <w:b/>
                <w:i w:val="0"/>
                <w:iCs w:val="0"/>
                <w:sz w:val="20"/>
              </w:rPr>
              <w:t xml:space="preserve">– PMEs / PTRs / PMRs </w:t>
            </w:r>
            <w:r w:rsidR="00013EB8">
              <w:rPr>
                <w:b/>
                <w:i w:val="0"/>
                <w:iCs w:val="0"/>
                <w:sz w:val="20"/>
              </w:rPr>
              <w:t xml:space="preserve">- </w:t>
            </w:r>
            <w:r w:rsidR="00EF24E5" w:rsidRPr="00EF24E5">
              <w:rPr>
                <w:b/>
                <w:i w:val="0"/>
                <w:iCs w:val="0"/>
                <w:sz w:val="20"/>
              </w:rPr>
              <w:t>I.1.C.2</w:t>
            </w:r>
            <w:r w:rsidR="003F1A24">
              <w:rPr>
                <w:b/>
                <w:i w:val="0"/>
                <w:iCs w:val="0"/>
                <w:sz w:val="20"/>
              </w:rPr>
              <w:t>, III.iii.1.C</w:t>
            </w:r>
          </w:p>
          <w:p w:rsidR="00013EB8" w:rsidRDefault="00013EB8">
            <w:pPr>
              <w:pStyle w:val="Heading1"/>
              <w:keepNext w:val="0"/>
              <w:widowControl w:val="0"/>
              <w:rPr>
                <w:b/>
                <w:i w:val="0"/>
                <w:iCs w:val="0"/>
                <w:sz w:val="20"/>
              </w:rPr>
            </w:pPr>
          </w:p>
          <w:p w:rsidR="004A20C3" w:rsidRDefault="007B4F52" w:rsidP="00F063AF">
            <w:pPr>
              <w:pStyle w:val="ListParagraph"/>
              <w:numPr>
                <w:ilvl w:val="0"/>
                <w:numId w:val="105"/>
              </w:numPr>
              <w:spacing w:after="120"/>
              <w:rPr>
                <w:rStyle w:val="Hyperlink"/>
                <w:rFonts w:ascii="Arial" w:hAnsi="Arial"/>
                <w:color w:val="auto"/>
                <w:sz w:val="20"/>
                <w:szCs w:val="20"/>
                <w:u w:val="none"/>
              </w:rPr>
            </w:pPr>
            <w:r w:rsidRPr="00604169">
              <w:rPr>
                <w:rStyle w:val="Hyperlink"/>
                <w:rFonts w:ascii="Arial" w:hAnsi="Arial"/>
                <w:b/>
                <w:color w:val="auto"/>
                <w:sz w:val="20"/>
                <w:szCs w:val="20"/>
                <w:u w:val="none"/>
              </w:rPr>
              <w:t>I.1.C.2.a</w:t>
            </w:r>
            <w:r w:rsidRPr="00604169">
              <w:rPr>
                <w:rStyle w:val="Hyperlink"/>
                <w:rFonts w:ascii="Arial" w:hAnsi="Arial"/>
                <w:color w:val="auto"/>
                <w:sz w:val="20"/>
                <w:szCs w:val="20"/>
                <w:u w:val="none"/>
              </w:rPr>
              <w:t xml:space="preserve"> </w:t>
            </w:r>
            <w:r w:rsidR="004A20C3">
              <w:rPr>
                <w:rStyle w:val="Hyperlink"/>
                <w:rFonts w:ascii="Arial" w:hAnsi="Arial"/>
                <w:color w:val="auto"/>
                <w:sz w:val="20"/>
                <w:szCs w:val="20"/>
                <w:u w:val="none"/>
              </w:rPr>
              <w:t>&amp;</w:t>
            </w:r>
            <w:r w:rsidR="004A20C3" w:rsidRPr="004A20C3">
              <w:rPr>
                <w:rStyle w:val="Hyperlink"/>
                <w:rFonts w:ascii="Arial" w:hAnsi="Arial"/>
                <w:b/>
                <w:color w:val="auto"/>
                <w:sz w:val="20"/>
                <w:szCs w:val="20"/>
                <w:u w:val="none"/>
              </w:rPr>
              <w:t xml:space="preserve"> I.1.C.2.c </w:t>
            </w:r>
            <w:r w:rsidR="00301583">
              <w:rPr>
                <w:rStyle w:val="Hyperlink"/>
                <w:rFonts w:ascii="Arial" w:hAnsi="Arial"/>
                <w:color w:val="auto"/>
                <w:sz w:val="20"/>
                <w:szCs w:val="20"/>
                <w:u w:val="none"/>
              </w:rPr>
              <w:t>– 4142s</w:t>
            </w:r>
          </w:p>
          <w:p w:rsidR="007B4F52" w:rsidRDefault="004A20C3" w:rsidP="00F063AF">
            <w:pPr>
              <w:pStyle w:val="ListParagraph"/>
              <w:numPr>
                <w:ilvl w:val="0"/>
                <w:numId w:val="105"/>
              </w:numPr>
              <w:spacing w:after="120" w:line="240" w:lineRule="auto"/>
              <w:rPr>
                <w:rFonts w:ascii="Arial" w:hAnsi="Arial"/>
                <w:sz w:val="20"/>
                <w:szCs w:val="20"/>
              </w:rPr>
            </w:pPr>
            <w:r w:rsidRPr="00604169">
              <w:rPr>
                <w:rStyle w:val="Hyperlink"/>
                <w:rFonts w:ascii="Arial" w:hAnsi="Arial"/>
                <w:b/>
                <w:color w:val="auto"/>
                <w:sz w:val="20"/>
                <w:szCs w:val="20"/>
                <w:u w:val="none"/>
              </w:rPr>
              <w:t>I.1.C.2.a</w:t>
            </w:r>
            <w:r>
              <w:rPr>
                <w:rStyle w:val="Hyperlink"/>
                <w:rFonts w:ascii="Arial" w:hAnsi="Arial"/>
                <w:color w:val="auto"/>
                <w:sz w:val="20"/>
                <w:szCs w:val="20"/>
                <w:u w:val="none"/>
              </w:rPr>
              <w:t xml:space="preserve"> - </w:t>
            </w:r>
            <w:r w:rsidR="007B4F52" w:rsidRPr="00604169">
              <w:rPr>
                <w:rFonts w:ascii="Arial" w:hAnsi="Arial"/>
                <w:sz w:val="20"/>
                <w:szCs w:val="20"/>
              </w:rPr>
              <w:t xml:space="preserve">return unclear or insufficient private or VA medical records for clarification, per </w:t>
            </w:r>
            <w:r w:rsidR="007B4F52" w:rsidRPr="00604169">
              <w:rPr>
                <w:rStyle w:val="Emphasis"/>
                <w:rFonts w:ascii="Arial" w:hAnsi="Arial"/>
                <w:color w:val="0000FF"/>
                <w:sz w:val="20"/>
                <w:szCs w:val="20"/>
                <w:u w:val="single"/>
              </w:rPr>
              <w:t>Savage v. Shinseki</w:t>
            </w:r>
            <w:r w:rsidR="007B4F52" w:rsidRPr="00604169">
              <w:rPr>
                <w:rFonts w:ascii="Arial" w:hAnsi="Arial"/>
                <w:sz w:val="20"/>
                <w:szCs w:val="20"/>
              </w:rPr>
              <w:t>, 24 Vet.App. 259 (2011)</w:t>
            </w:r>
          </w:p>
          <w:p w:rsidR="007B4F52" w:rsidRPr="00604169" w:rsidRDefault="007B4F52" w:rsidP="00F063AF">
            <w:pPr>
              <w:pStyle w:val="ListParagraph"/>
              <w:numPr>
                <w:ilvl w:val="0"/>
                <w:numId w:val="105"/>
              </w:numPr>
              <w:spacing w:after="120"/>
              <w:rPr>
                <w:rFonts w:ascii="Arial" w:hAnsi="Arial"/>
                <w:sz w:val="20"/>
                <w:szCs w:val="20"/>
              </w:rPr>
            </w:pPr>
            <w:r>
              <w:rPr>
                <w:rStyle w:val="Hyperlink"/>
                <w:rFonts w:ascii="Arial" w:hAnsi="Arial"/>
                <w:b/>
                <w:color w:val="auto"/>
                <w:sz w:val="20"/>
                <w:szCs w:val="20"/>
                <w:u w:val="none"/>
              </w:rPr>
              <w:t xml:space="preserve">II.1.C.5.a </w:t>
            </w:r>
            <w:r w:rsidRPr="00AF2B46">
              <w:rPr>
                <w:rStyle w:val="Hyperlink"/>
                <w:rFonts w:ascii="Arial" w:hAnsi="Arial"/>
                <w:color w:val="auto"/>
                <w:sz w:val="20"/>
                <w:szCs w:val="20"/>
                <w:u w:val="none"/>
              </w:rPr>
              <w:t>&amp;</w:t>
            </w:r>
            <w:r>
              <w:rPr>
                <w:rStyle w:val="Hyperlink"/>
                <w:rFonts w:ascii="Arial" w:hAnsi="Arial"/>
                <w:b/>
                <w:color w:val="auto"/>
                <w:sz w:val="20"/>
                <w:szCs w:val="20"/>
                <w:u w:val="none"/>
              </w:rPr>
              <w:t xml:space="preserve"> III</w:t>
            </w:r>
            <w:r w:rsidRPr="00AF2B46">
              <w:rPr>
                <w:b/>
              </w:rPr>
              <w:t>.</w:t>
            </w:r>
            <w:r w:rsidRPr="00AF2B46">
              <w:rPr>
                <w:rFonts w:ascii="Arial" w:hAnsi="Arial"/>
                <w:b/>
                <w:sz w:val="20"/>
                <w:szCs w:val="20"/>
              </w:rPr>
              <w:t>ii.1.C.3.g</w:t>
            </w:r>
            <w:r>
              <w:rPr>
                <w:rFonts w:ascii="Arial" w:hAnsi="Arial"/>
                <w:sz w:val="20"/>
                <w:szCs w:val="20"/>
              </w:rPr>
              <w:t xml:space="preserve"> – private </w:t>
            </w:r>
            <w:r w:rsidR="001C25E7">
              <w:rPr>
                <w:rFonts w:ascii="Arial" w:hAnsi="Arial"/>
                <w:sz w:val="20"/>
                <w:szCs w:val="20"/>
              </w:rPr>
              <w:t>treatment</w:t>
            </w:r>
            <w:r>
              <w:rPr>
                <w:rFonts w:ascii="Arial" w:hAnsi="Arial"/>
                <w:sz w:val="20"/>
                <w:szCs w:val="20"/>
              </w:rPr>
              <w:t xml:space="preserve"> records unavailability</w:t>
            </w:r>
          </w:p>
          <w:p w:rsidR="007B4F52" w:rsidRDefault="007B4F52" w:rsidP="00F063AF">
            <w:pPr>
              <w:widowControl w:val="0"/>
              <w:numPr>
                <w:ilvl w:val="0"/>
                <w:numId w:val="105"/>
              </w:numPr>
              <w:spacing w:after="120"/>
            </w:pPr>
            <w:r w:rsidRPr="007B4F52">
              <w:rPr>
                <w:b/>
              </w:rPr>
              <w:t>III.iii.1.C.12.b</w:t>
            </w:r>
            <w:r>
              <w:t xml:space="preserve"> – can send documents in foreign language to Pittsburgh RO for translation</w:t>
            </w:r>
          </w:p>
          <w:p w:rsidR="00EA63F8" w:rsidRDefault="00EA63F8" w:rsidP="00F063AF">
            <w:pPr>
              <w:widowControl w:val="0"/>
              <w:numPr>
                <w:ilvl w:val="0"/>
                <w:numId w:val="105"/>
              </w:numPr>
              <w:spacing w:after="120"/>
              <w:rPr>
                <w:highlight w:val="red"/>
              </w:rPr>
            </w:pPr>
            <w:r>
              <w:rPr>
                <w:b/>
              </w:rPr>
              <w:t>III</w:t>
            </w:r>
            <w:r w:rsidRPr="00EA63F8">
              <w:rPr>
                <w:b/>
              </w:rPr>
              <w:t>.iv.3.D.2.a</w:t>
            </w:r>
            <w:r w:rsidR="004F00DB">
              <w:t xml:space="preserve"> – veteran </w:t>
            </w:r>
            <w:r>
              <w:t>provided DBQs</w:t>
            </w:r>
            <w:r w:rsidR="004B18A3">
              <w:t xml:space="preserve"> / private DBQs</w:t>
            </w:r>
            <w:r>
              <w:t xml:space="preserve"> must include actual signatures and cannot be digitally or electronically signed</w:t>
            </w:r>
            <w:r w:rsidR="008C6428">
              <w:t xml:space="preserve">, also </w:t>
            </w:r>
            <w:r w:rsidR="008C6428" w:rsidRPr="00B07B27">
              <w:rPr>
                <w:u w:val="single"/>
              </w:rPr>
              <w:t>cannot</w:t>
            </w:r>
            <w:r w:rsidR="008C6428">
              <w:t xml:space="preserve"> be completed by means of telephone or videoconference examination, per </w:t>
            </w:r>
            <w:r w:rsidR="008C6428" w:rsidRPr="008C6428">
              <w:rPr>
                <w:b/>
              </w:rPr>
              <w:t>III.iv.3.D.2.</w:t>
            </w:r>
            <w:r w:rsidR="008C6428">
              <w:rPr>
                <w:b/>
              </w:rPr>
              <w:t>c</w:t>
            </w:r>
            <w:r>
              <w:t>.</w:t>
            </w:r>
            <w:r w:rsidR="00692495">
              <w:t xml:space="preserve"> </w:t>
            </w:r>
            <w:r w:rsidR="008474D4" w:rsidRPr="008474D4">
              <w:rPr>
                <w:i/>
                <w:color w:val="00B050"/>
              </w:rPr>
              <w:t>My Notes:</w:t>
            </w:r>
            <w:r w:rsidR="008474D4" w:rsidRPr="008474D4">
              <w:rPr>
                <w:color w:val="00B050"/>
              </w:rPr>
              <w:t xml:space="preserve">  </w:t>
            </w:r>
            <w:r w:rsidR="00692495" w:rsidRPr="00274613">
              <w:rPr>
                <w:i/>
              </w:rPr>
              <w:t>C</w:t>
            </w:r>
            <w:r w:rsidR="008474D4" w:rsidRPr="00274613">
              <w:rPr>
                <w:i/>
              </w:rPr>
              <w:t>onfirmed that c</w:t>
            </w:r>
            <w:r w:rsidR="00692495" w:rsidRPr="00274613">
              <w:rPr>
                <w:i/>
              </w:rPr>
              <w:t>an use date of DBQ for eff</w:t>
            </w:r>
            <w:r w:rsidR="008474D4" w:rsidRPr="00274613">
              <w:rPr>
                <w:i/>
              </w:rPr>
              <w:t>ective</w:t>
            </w:r>
            <w:r w:rsidR="00692495" w:rsidRPr="00274613">
              <w:rPr>
                <w:i/>
              </w:rPr>
              <w:t xml:space="preserve"> date</w:t>
            </w:r>
            <w:r w:rsidR="008474D4" w:rsidRPr="00274613">
              <w:rPr>
                <w:i/>
              </w:rPr>
              <w:t xml:space="preserve"> if basing increase on those findings, 3.400(o)(2), per April 2017 VSCCR1 Quality Analysis and Trend Report</w:t>
            </w:r>
            <w:r w:rsidR="00B07B27">
              <w:t xml:space="preserve">; </w:t>
            </w:r>
            <w:r w:rsidR="00B07B27" w:rsidRPr="008C6428">
              <w:rPr>
                <w:b/>
              </w:rPr>
              <w:t>III.iv.3.D.2.</w:t>
            </w:r>
            <w:r w:rsidR="00B07B27">
              <w:rPr>
                <w:b/>
              </w:rPr>
              <w:t>f</w:t>
            </w:r>
            <w:r w:rsidR="00B07B27">
              <w:t xml:space="preserve"> </w:t>
            </w:r>
            <w:r w:rsidR="005759DE">
              <w:t xml:space="preserve">(also </w:t>
            </w:r>
            <w:r w:rsidR="005759DE" w:rsidRPr="005759DE">
              <w:rPr>
                <w:b/>
              </w:rPr>
              <w:t>III.iv.3.D.2.c</w:t>
            </w:r>
            <w:r w:rsidR="00A00767">
              <w:t>, telehealth &amp; telemental health exams only for VHA &amp; VBA-contracted examiners</w:t>
            </w:r>
            <w:r w:rsidR="005759DE">
              <w:t xml:space="preserve">) </w:t>
            </w:r>
            <w:r w:rsidR="00B07B27">
              <w:t>– if authenticity or alteration is in question, RVSR/DRO may validate the results with the provider, request medical records or request a VA DBQ (if a veteran lives in CA &amp; submits a DBQ from Puerto Rico, you should order a VA D</w:t>
            </w:r>
            <w:r w:rsidR="00B05F89">
              <w:t>B</w:t>
            </w:r>
            <w:r w:rsidR="00B07B27">
              <w:t>Q)</w:t>
            </w:r>
            <w:r w:rsidR="005759DE">
              <w:t xml:space="preserve">; </w:t>
            </w:r>
            <w:r w:rsidR="005759DE">
              <w:rPr>
                <w:rFonts w:ascii="Georgia" w:hAnsi="Georgia"/>
                <w:color w:val="000000"/>
              </w:rPr>
              <w:t>Maritza Martinez in Ponce, PR; Ricardo J. Del Rio, PhD in Aguadilla, PR</w:t>
            </w:r>
            <w:r w:rsidR="00FC6B27">
              <w:rPr>
                <w:rFonts w:ascii="Georgia" w:hAnsi="Georgia"/>
                <w:color w:val="000000"/>
              </w:rPr>
              <w:t>; (?Gina Uribe)</w:t>
            </w:r>
            <w:r w:rsidR="00B05F89">
              <w:t xml:space="preserve">; </w:t>
            </w:r>
            <w:r w:rsidR="00B05F89" w:rsidRPr="00C75534">
              <w:rPr>
                <w:i/>
              </w:rPr>
              <w:t>per QRT/GiaBao, cannot use veteran provided DBQ</w:t>
            </w:r>
            <w:r w:rsidR="004B18A3" w:rsidRPr="00C75534">
              <w:rPr>
                <w:i/>
              </w:rPr>
              <w:t xml:space="preserve"> / private DBQ</w:t>
            </w:r>
            <w:r w:rsidR="00B05F89" w:rsidRPr="00C75534">
              <w:rPr>
                <w:i/>
              </w:rPr>
              <w:t xml:space="preserve"> for evaluat</w:t>
            </w:r>
            <w:r w:rsidR="004B18A3" w:rsidRPr="00C75534">
              <w:rPr>
                <w:i/>
              </w:rPr>
              <w:t xml:space="preserve">ion if information conflicts (like says flexion is 0-118, then </w:t>
            </w:r>
            <w:r w:rsidR="004B18A3" w:rsidRPr="00C75534">
              <w:rPr>
                <w:i/>
                <w:color w:val="000000"/>
              </w:rPr>
              <w:t>checks the box for ankylosis and says loss of 22 degrees</w:t>
            </w:r>
            <w:r w:rsidR="004B18A3" w:rsidRPr="00C75534">
              <w:rPr>
                <w:i/>
              </w:rPr>
              <w:t>)</w:t>
            </w:r>
            <w:r w:rsidR="004B18A3">
              <w:t xml:space="preserve">, </w:t>
            </w:r>
            <w:r w:rsidR="004B18A3" w:rsidRPr="004E1C4C">
              <w:rPr>
                <w:highlight w:val="red"/>
              </w:rPr>
              <w:t xml:space="preserve">however, what if we never tried to clarify insufficiency, per </w:t>
            </w:r>
            <w:r w:rsidR="004B18A3" w:rsidRPr="004E1C4C">
              <w:rPr>
                <w:rStyle w:val="Strong"/>
                <w:bCs w:val="0"/>
                <w:highlight w:val="red"/>
              </w:rPr>
              <w:t>III.iv.3.D.2.e</w:t>
            </w:r>
            <w:r w:rsidR="004B18A3" w:rsidRPr="004E1C4C">
              <w:rPr>
                <w:highlight w:val="red"/>
              </w:rPr>
              <w:t xml:space="preserve"> &amp; just got a VA DBQ?</w:t>
            </w:r>
          </w:p>
          <w:p w:rsidR="004663AE" w:rsidRDefault="004663AE" w:rsidP="00F063AF">
            <w:pPr>
              <w:widowControl w:val="0"/>
              <w:numPr>
                <w:ilvl w:val="0"/>
                <w:numId w:val="105"/>
              </w:numPr>
              <w:spacing w:after="120"/>
            </w:pPr>
            <w:r>
              <w:rPr>
                <w:b/>
                <w:bCs/>
                <w:i/>
              </w:rPr>
              <w:t>June</w:t>
            </w:r>
            <w:r w:rsidRPr="00C2315E">
              <w:rPr>
                <w:b/>
                <w:bCs/>
                <w:i/>
              </w:rPr>
              <w:t xml:space="preserve"> 201</w:t>
            </w:r>
            <w:r>
              <w:rPr>
                <w:b/>
                <w:bCs/>
                <w:i/>
              </w:rPr>
              <w:t>8</w:t>
            </w:r>
            <w:r w:rsidRPr="00C2315E">
              <w:rPr>
                <w:b/>
                <w:bCs/>
                <w:i/>
              </w:rPr>
              <w:t xml:space="preserve"> Compensation Service Bulletin (CSB)</w:t>
            </w:r>
            <w:r>
              <w:rPr>
                <w:rFonts w:eastAsia="Arial Unicode MS"/>
              </w:rPr>
              <w:t xml:space="preserve"> </w:t>
            </w:r>
            <w:r w:rsidRPr="00B31415">
              <w:t>-</w:t>
            </w:r>
            <w:r>
              <w:t xml:space="preserve"> </w:t>
            </w:r>
            <w:r w:rsidRPr="004663AE">
              <w:rPr>
                <w:iCs/>
                <w:color w:val="222222"/>
                <w:szCs w:val="18"/>
              </w:rPr>
              <w:t xml:space="preserve">As a reminder of existing procedural guidance in M21-1, Part III, Subpart iv, 3.D.2.c, please be aware that examinations performed - or DBQs completed - via a telehealth (i.e. videoconferencing) protocol are only independently adequate for VA rating purposes when prepared by a Veterans Health Administration (VHA) examiner or VBA contract examination provider.  Telehealth examination reports/Disability Benefits Questionnaires (DBQs) prepared by private, non-VA providers must be accepted and considered in accordance with their respective evidentiary weight and probative value, but may </w:t>
            </w:r>
            <w:r w:rsidRPr="004663AE">
              <w:rPr>
                <w:iCs/>
                <w:color w:val="222222"/>
                <w:szCs w:val="18"/>
                <w:u w:val="single"/>
              </w:rPr>
              <w:t>not</w:t>
            </w:r>
            <w:r w:rsidRPr="004663AE">
              <w:rPr>
                <w:iCs/>
                <w:color w:val="222222"/>
                <w:szCs w:val="18"/>
              </w:rPr>
              <w:t xml:space="preserve"> stand in place of a VA examination as permitted under 38 CFR 3.326.  Upon receipt of a private provider’s report of telehealth examination results, follow the procedures in M21-1, Part III, Subpart iv, 3.D.2.e, to order a VA examination as necessary and/or appropriate to adjudicate the claim.</w:t>
            </w:r>
          </w:p>
          <w:p w:rsidR="004663AE" w:rsidRPr="004E1C4C" w:rsidRDefault="004663AE" w:rsidP="004663AE">
            <w:pPr>
              <w:widowControl w:val="0"/>
              <w:spacing w:after="120"/>
              <w:rPr>
                <w:highlight w:val="red"/>
              </w:rPr>
            </w:pPr>
          </w:p>
          <w:p w:rsidR="00707DD6" w:rsidRPr="00D10240" w:rsidRDefault="00707DD6" w:rsidP="004861FB">
            <w:pPr>
              <w:pBdr>
                <w:top w:val="double" w:sz="4" w:space="1" w:color="auto"/>
                <w:left w:val="double" w:sz="4" w:space="4" w:color="auto"/>
                <w:bottom w:val="double" w:sz="4" w:space="1" w:color="auto"/>
                <w:right w:val="double" w:sz="4" w:space="4" w:color="auto"/>
              </w:pBdr>
              <w:shd w:val="clear" w:color="auto" w:fill="FFC000"/>
              <w:spacing w:after="120"/>
              <w:ind w:left="144" w:right="144"/>
              <w:rPr>
                <w:rFonts w:eastAsiaTheme="minorHAnsi"/>
              </w:rPr>
            </w:pPr>
            <w:r>
              <w:rPr>
                <w:rFonts w:eastAsiaTheme="minorHAnsi"/>
                <w:b/>
              </w:rPr>
              <w:t>PMR</w:t>
            </w:r>
            <w:r w:rsidRPr="007F4897">
              <w:rPr>
                <w:rFonts w:eastAsiaTheme="minorHAnsi"/>
                <w:b/>
              </w:rPr>
              <w:t xml:space="preserve"> </w:t>
            </w:r>
            <w:r>
              <w:rPr>
                <w:rFonts w:eastAsiaTheme="minorHAnsi"/>
                <w:b/>
              </w:rPr>
              <w:t>[</w:t>
            </w:r>
            <w:r w:rsidRPr="007F4897">
              <w:rPr>
                <w:rFonts w:eastAsiaTheme="minorHAnsi"/>
                <w:b/>
              </w:rPr>
              <w:t>PowerPoint</w:t>
            </w:r>
            <w:r>
              <w:rPr>
                <w:rFonts w:eastAsiaTheme="minorHAnsi"/>
                <w:b/>
              </w:rPr>
              <w:t>]</w:t>
            </w:r>
            <w:r>
              <w:rPr>
                <w:rFonts w:eastAsiaTheme="minorHAnsi"/>
              </w:rPr>
              <w:t xml:space="preserve"> is</w:t>
            </w:r>
            <w:r w:rsidRPr="0036376C">
              <w:t xml:space="preserve"> saved at </w:t>
            </w:r>
            <w:r w:rsidRPr="001453C4">
              <w:rPr>
                <w:b/>
                <w:bCs/>
                <w:i/>
                <w:iCs/>
              </w:rPr>
              <w:t>H:\VSC\Rating Reference</w:t>
            </w:r>
          </w:p>
          <w:p w:rsidR="00C007F8" w:rsidRDefault="00C007F8" w:rsidP="00C007F8">
            <w:pPr>
              <w:pStyle w:val="Header"/>
              <w:tabs>
                <w:tab w:val="clear" w:pos="4320"/>
                <w:tab w:val="clear" w:pos="8640"/>
              </w:tabs>
            </w:pPr>
            <w:r>
              <w:t>_____________________________</w:t>
            </w:r>
          </w:p>
          <w:p w:rsidR="00C007F8" w:rsidRPr="00A66FB8" w:rsidRDefault="00C007F8">
            <w:pPr>
              <w:rPr>
                <w:sz w:val="24"/>
              </w:rPr>
            </w:pPr>
          </w:p>
          <w:p w:rsidR="00C007F8" w:rsidRDefault="00C007F8" w:rsidP="00C007F8">
            <w:pPr>
              <w:pStyle w:val="Heading1"/>
              <w:keepNext w:val="0"/>
              <w:widowControl w:val="0"/>
              <w:rPr>
                <w:b/>
                <w:i w:val="0"/>
                <w:iCs w:val="0"/>
                <w:sz w:val="20"/>
              </w:rPr>
            </w:pPr>
            <w:r w:rsidRPr="00A66FB8">
              <w:rPr>
                <w:b/>
                <w:i w:val="0"/>
                <w:iCs w:val="0"/>
                <w:u w:val="single"/>
              </w:rPr>
              <w:t>VCAA</w:t>
            </w:r>
            <w:r w:rsidR="00A66FB8" w:rsidRPr="00A66FB8">
              <w:rPr>
                <w:b/>
                <w:i w:val="0"/>
                <w:iCs w:val="0"/>
                <w:u w:val="single"/>
              </w:rPr>
              <w:t xml:space="preserve"> </w:t>
            </w:r>
            <w:r w:rsidRPr="00A66FB8">
              <w:rPr>
                <w:b/>
                <w:i w:val="0"/>
                <w:iCs w:val="0"/>
                <w:u w:val="single"/>
              </w:rPr>
              <w:t>/</w:t>
            </w:r>
            <w:r w:rsidR="00A66FB8" w:rsidRPr="00A66FB8">
              <w:rPr>
                <w:b/>
                <w:i w:val="0"/>
                <w:iCs w:val="0"/>
                <w:u w:val="single"/>
              </w:rPr>
              <w:t xml:space="preserve"> </w:t>
            </w:r>
            <w:r w:rsidRPr="00A66FB8">
              <w:rPr>
                <w:b/>
                <w:i w:val="0"/>
                <w:iCs w:val="0"/>
                <w:u w:val="single"/>
              </w:rPr>
              <w:t>DTA</w:t>
            </w:r>
            <w:r w:rsidR="001D518D" w:rsidRPr="00A66FB8">
              <w:rPr>
                <w:b/>
                <w:i w:val="0"/>
                <w:iCs w:val="0"/>
                <w:u w:val="single"/>
              </w:rPr>
              <w:t xml:space="preserve"> </w:t>
            </w:r>
            <w:r w:rsidR="00A66FB8" w:rsidRPr="00A66FB8">
              <w:rPr>
                <w:b/>
                <w:i w:val="0"/>
                <w:iCs w:val="0"/>
                <w:u w:val="single"/>
              </w:rPr>
              <w:t xml:space="preserve">/ </w:t>
            </w:r>
            <w:r w:rsidR="001D518D" w:rsidRPr="00A66FB8">
              <w:rPr>
                <w:b/>
                <w:i w:val="0"/>
                <w:iCs w:val="0"/>
                <w:u w:val="single"/>
              </w:rPr>
              <w:t>5103</w:t>
            </w:r>
            <w:r w:rsidR="00A66FB8" w:rsidRPr="00A66FB8">
              <w:rPr>
                <w:i w:val="0"/>
                <w:iCs w:val="0"/>
              </w:rPr>
              <w:t xml:space="preserve"> </w:t>
            </w:r>
            <w:r w:rsidR="00A66FB8" w:rsidRPr="00A66FB8">
              <w:rPr>
                <w:i w:val="0"/>
                <w:iCs w:val="0"/>
                <w:sz w:val="20"/>
              </w:rPr>
              <w:t>(p</w:t>
            </w:r>
            <w:r w:rsidR="001D518D" w:rsidRPr="00A66FB8">
              <w:rPr>
                <w:i w:val="0"/>
                <w:iCs w:val="0"/>
                <w:sz w:val="20"/>
              </w:rPr>
              <w:t xml:space="preserve">er </w:t>
            </w:r>
            <w:r w:rsidR="001D518D" w:rsidRPr="00A66FB8">
              <w:rPr>
                <w:b/>
                <w:i w:val="0"/>
                <w:iCs w:val="0"/>
                <w:sz w:val="20"/>
              </w:rPr>
              <w:t>I.1.A.1.c</w:t>
            </w:r>
            <w:r w:rsidR="00A66FB8" w:rsidRPr="00A66FB8">
              <w:rPr>
                <w:b/>
                <w:i w:val="0"/>
                <w:iCs w:val="0"/>
                <w:sz w:val="20"/>
              </w:rPr>
              <w:t>)</w:t>
            </w:r>
          </w:p>
          <w:p w:rsidR="00C007F8" w:rsidRDefault="00C007F8"/>
          <w:p w:rsidR="00013EB8" w:rsidRDefault="00013EB8" w:rsidP="00F063AF">
            <w:pPr>
              <w:widowControl w:val="0"/>
              <w:numPr>
                <w:ilvl w:val="0"/>
                <w:numId w:val="105"/>
              </w:numPr>
              <w:spacing w:after="120"/>
              <w:rPr>
                <w:b/>
                <w:bCs/>
                <w:i/>
                <w:iCs/>
              </w:rPr>
            </w:pPr>
            <w:r>
              <w:rPr>
                <w:b/>
                <w:i/>
              </w:rPr>
              <w:t xml:space="preserve">Caffrey v. Brown </w:t>
            </w:r>
            <w:r>
              <w:rPr>
                <w:b/>
              </w:rPr>
              <w:t xml:space="preserve">(3/31/94) </w:t>
            </w:r>
            <w:r>
              <w:t>- not assisting in development is not a CUE</w:t>
            </w:r>
          </w:p>
          <w:p w:rsidR="00013EB8" w:rsidRDefault="00013EB8" w:rsidP="00F063AF">
            <w:pPr>
              <w:widowControl w:val="0"/>
              <w:numPr>
                <w:ilvl w:val="0"/>
                <w:numId w:val="105"/>
              </w:numPr>
              <w:spacing w:after="120"/>
              <w:rPr>
                <w:bCs/>
                <w:iCs/>
              </w:rPr>
            </w:pPr>
            <w:r w:rsidRPr="00C2315E">
              <w:rPr>
                <w:b/>
                <w:i/>
              </w:rPr>
              <w:t>Woods v. Gober</w:t>
            </w:r>
            <w:r>
              <w:rPr>
                <w:bCs/>
                <w:iCs/>
              </w:rPr>
              <w:t xml:space="preserve"> (12/15/11) - VA’s duty to send notice of decisions to claimants</w:t>
            </w:r>
          </w:p>
          <w:p w:rsidR="00013EB8" w:rsidRDefault="00013EB8" w:rsidP="00F063AF">
            <w:pPr>
              <w:widowControl w:val="0"/>
              <w:numPr>
                <w:ilvl w:val="0"/>
                <w:numId w:val="105"/>
              </w:numPr>
              <w:spacing w:after="120"/>
              <w:rPr>
                <w:i/>
              </w:rPr>
            </w:pPr>
            <w:r>
              <w:rPr>
                <w:b/>
                <w:i/>
              </w:rPr>
              <w:t xml:space="preserve">Pelegrini v. Principi </w:t>
            </w:r>
            <w:r>
              <w:rPr>
                <w:b/>
                <w:iCs/>
              </w:rPr>
              <w:t>(1/13/04)</w:t>
            </w:r>
            <w:r>
              <w:t xml:space="preserve"> – (1) inform the claimant about the information and evidence not of record that is necessary to substantiate the claim; (2) inform the claimant about the information and evidence that VA will seek to provide; (3) inform the claimant about the information and evidence the claimant is expected to provide; and (4) request or tell the claimant to provide </w:t>
            </w:r>
            <w:r>
              <w:rPr>
                <w:i/>
              </w:rPr>
              <w:t>any evidence</w:t>
            </w:r>
            <w:r>
              <w:t xml:space="preserve"> in the claimant’s possession that pertains to the claim, or something to the effect that the claimant should “give us everything you’ve got pertaining to your claim(s).”</w:t>
            </w:r>
            <w:r>
              <w:rPr>
                <w:sz w:val="22"/>
              </w:rPr>
              <w:t xml:space="preserve">  </w:t>
            </w:r>
          </w:p>
          <w:p w:rsidR="00013EB8" w:rsidRDefault="00013EB8" w:rsidP="00F063AF">
            <w:pPr>
              <w:widowControl w:val="0"/>
              <w:numPr>
                <w:ilvl w:val="0"/>
                <w:numId w:val="105"/>
              </w:numPr>
              <w:spacing w:after="120"/>
              <w:rPr>
                <w:i/>
              </w:rPr>
            </w:pPr>
            <w:r w:rsidRPr="00C2315E">
              <w:rPr>
                <w:b/>
                <w:i/>
              </w:rPr>
              <w:t>January 2004 Compensation and Pension Manager's Conference Call</w:t>
            </w:r>
            <w:r>
              <w:rPr>
                <w:b/>
                <w:i/>
              </w:rPr>
              <w:t xml:space="preserve"> </w:t>
            </w:r>
            <w:r>
              <w:rPr>
                <w:i/>
              </w:rPr>
              <w:t xml:space="preserve">- </w:t>
            </w:r>
            <w:r w:rsidRPr="004D6139">
              <w:t>VCAA notice is not required where there is no legal basis for entitlement (i.e. pension claim w/no wartime service)</w:t>
            </w:r>
          </w:p>
          <w:p w:rsidR="00013EB8" w:rsidRDefault="00013EB8" w:rsidP="00F063AF">
            <w:pPr>
              <w:widowControl w:val="0"/>
              <w:numPr>
                <w:ilvl w:val="0"/>
                <w:numId w:val="105"/>
              </w:numPr>
              <w:spacing w:after="120"/>
              <w:rPr>
                <w:b/>
                <w:i/>
              </w:rPr>
            </w:pPr>
            <w:r>
              <w:rPr>
                <w:b/>
                <w:i/>
              </w:rPr>
              <w:t xml:space="preserve">VAOPGCPREC 1-2004 </w:t>
            </w:r>
            <w:r w:rsidRPr="00F863FB">
              <w:rPr>
                <w:iCs/>
              </w:rPr>
              <w:t>(2/24/04) -</w:t>
            </w:r>
            <w:r w:rsidRPr="00F863FB">
              <w:t xml:space="preserve"> </w:t>
            </w:r>
            <w:r>
              <w:t>Pelegrini v. Principi stated that section 3.159(b)(1), explicitly, and section 5103(a), implicitly, require that VA request that the claimant provide any evidence in his or her possession that pertains to the claim. The CAVC's statement that sections 5103(a) and 3.159(b)(1) require VA to include such a request as part of the notice provided to a claimant under those provisions is obiter dictum and is not binding on VA. Further, section 5103(a) does not require VA to seek evidence from a claimant other than that identified by VA as necessary to substantiate the claim.</w:t>
            </w:r>
          </w:p>
          <w:p w:rsidR="001D518D" w:rsidRPr="001D518D" w:rsidRDefault="001D518D" w:rsidP="00F063AF">
            <w:pPr>
              <w:widowControl w:val="0"/>
              <w:numPr>
                <w:ilvl w:val="0"/>
                <w:numId w:val="105"/>
              </w:numPr>
              <w:spacing w:after="120"/>
            </w:pPr>
            <w:r w:rsidRPr="001D518D">
              <w:rPr>
                <w:b/>
              </w:rPr>
              <w:t>I.1.A.2.a</w:t>
            </w:r>
            <w:r>
              <w:t xml:space="preserve"> – do not need to provide additional 5103 notices on subsequent claims if the same type of 5103 notice was provided on a current pending claim with the previous year</w:t>
            </w:r>
            <w:r w:rsidR="00F541C3">
              <w:t xml:space="preserve"> (duty to assist / WTEMs)</w:t>
            </w:r>
            <w:r w:rsidR="00424207">
              <w:t xml:space="preserve">; </w:t>
            </w:r>
            <w:r w:rsidR="00424207" w:rsidRPr="00424207">
              <w:rPr>
                <w:i/>
              </w:rPr>
              <w:t>*however, even if sent incorrectly, need to wait 30 days since told veteran as much</w:t>
            </w:r>
            <w:r w:rsidR="00424207">
              <w:rPr>
                <w:i/>
              </w:rPr>
              <w:t xml:space="preserve">, per </w:t>
            </w:r>
            <w:r w:rsidR="00424207" w:rsidRPr="00424207">
              <w:rPr>
                <w:b/>
                <w:color w:val="3D3D3D"/>
                <w:lang w:val="en"/>
              </w:rPr>
              <w:t>III.iii.1.B.2.d</w:t>
            </w:r>
            <w:r w:rsidR="00424207">
              <w:t xml:space="preserve"> </w:t>
            </w:r>
          </w:p>
          <w:p w:rsidR="00450366" w:rsidRDefault="00450366" w:rsidP="00F063AF">
            <w:pPr>
              <w:widowControl w:val="0"/>
              <w:numPr>
                <w:ilvl w:val="0"/>
                <w:numId w:val="105"/>
              </w:numPr>
              <w:spacing w:after="120"/>
            </w:pPr>
            <w:r w:rsidRPr="001D518D">
              <w:rPr>
                <w:b/>
              </w:rPr>
              <w:t>I.1.B</w:t>
            </w:r>
            <w:r w:rsidR="00BF4E47">
              <w:rPr>
                <w:b/>
              </w:rPr>
              <w:t>.1.c</w:t>
            </w:r>
            <w:r>
              <w:t xml:space="preserve"> – claims for specific </w:t>
            </w:r>
            <w:r w:rsidR="00671D56">
              <w:t xml:space="preserve">evaluations or effective dates - </w:t>
            </w:r>
            <w:r w:rsidR="00EE6BBC">
              <w:t xml:space="preserve"> </w:t>
            </w:r>
            <w:r w:rsidR="00671D56" w:rsidRPr="00671D56">
              <w:t xml:space="preserve">“Because the law permits a generic Section 5103 notice, it is not required that ROs include diagnostic criteria for a </w:t>
            </w:r>
            <w:r w:rsidR="00671D56" w:rsidRPr="00C2315E">
              <w:t xml:space="preserve">specific disability in the notice even if the claimant asserts entitlement to a specific evaluation level. See </w:t>
            </w:r>
            <w:r w:rsidR="00671D56" w:rsidRPr="00C2315E">
              <w:rPr>
                <w:rStyle w:val="Emphasis"/>
                <w:u w:val="single"/>
              </w:rPr>
              <w:t>Wilson</w:t>
            </w:r>
            <w:r w:rsidR="00671D56" w:rsidRPr="00C2315E">
              <w:t xml:space="preserve"> </w:t>
            </w:r>
            <w:r w:rsidR="00671D56" w:rsidRPr="00C2315E">
              <w:rPr>
                <w:rStyle w:val="Emphasis"/>
                <w:u w:val="single"/>
              </w:rPr>
              <w:t>v.</w:t>
            </w:r>
            <w:r w:rsidR="00671D56" w:rsidRPr="00C2315E">
              <w:t xml:space="preserve"> </w:t>
            </w:r>
            <w:r w:rsidR="00671D56" w:rsidRPr="00C2315E">
              <w:rPr>
                <w:rStyle w:val="Emphasis"/>
                <w:u w:val="single"/>
              </w:rPr>
              <w:t>Mansfield</w:t>
            </w:r>
            <w:r w:rsidR="00671D56" w:rsidRPr="00671D56">
              <w:t xml:space="preserve">, 506 F.3d 1055, 1062 (Fed. Cir. 2007).” </w:t>
            </w:r>
            <w:r w:rsidR="00671D56" w:rsidRPr="00C2315E">
              <w:rPr>
                <w:b/>
                <w:i/>
              </w:rPr>
              <w:t>Wilson v. Mansfield</w:t>
            </w:r>
            <w:r w:rsidR="00671D56" w:rsidRPr="00671D56">
              <w:t xml:space="preserve"> </w:t>
            </w:r>
            <w:r w:rsidR="00671D56">
              <w:t>(1</w:t>
            </w:r>
            <w:r w:rsidR="00671D56" w:rsidRPr="00671D56">
              <w:t>0/15/07</w:t>
            </w:r>
            <w:r w:rsidR="00671D56">
              <w:t>);</w:t>
            </w:r>
            <w:r w:rsidR="00671D56" w:rsidRPr="00671D56">
              <w:rPr>
                <w:b/>
                <w:i/>
              </w:rPr>
              <w:t xml:space="preserve"> </w:t>
            </w:r>
            <w:r w:rsidR="00671D56" w:rsidRPr="00C2315E">
              <w:rPr>
                <w:b/>
                <w:i/>
              </w:rPr>
              <w:t>Dingess/Hartman v. Nicholson</w:t>
            </w:r>
            <w:r w:rsidR="00671D56" w:rsidRPr="00671D56">
              <w:t xml:space="preserve"> </w:t>
            </w:r>
            <w:r w:rsidR="00671D56">
              <w:t>(3</w:t>
            </w:r>
            <w:r w:rsidR="00671D56" w:rsidRPr="00671D56">
              <w:t>/3/06</w:t>
            </w:r>
            <w:r w:rsidR="00671D56">
              <w:t>)</w:t>
            </w:r>
            <w:r w:rsidR="00671D56" w:rsidRPr="00671D56">
              <w:t>.</w:t>
            </w:r>
          </w:p>
          <w:p w:rsidR="00013EB8" w:rsidRPr="004D6139" w:rsidRDefault="00013EB8" w:rsidP="00F063AF">
            <w:pPr>
              <w:pStyle w:val="Header"/>
              <w:widowControl w:val="0"/>
              <w:numPr>
                <w:ilvl w:val="0"/>
                <w:numId w:val="105"/>
              </w:numPr>
              <w:tabs>
                <w:tab w:val="clear" w:pos="4320"/>
                <w:tab w:val="clear" w:pos="8640"/>
              </w:tabs>
              <w:spacing w:after="120"/>
              <w:rPr>
                <w:b/>
                <w:bCs/>
                <w:i/>
                <w:iCs/>
              </w:rPr>
            </w:pPr>
            <w:r>
              <w:rPr>
                <w:b/>
                <w:bCs/>
                <w:i/>
                <w:iCs/>
                <w:u w:val="single"/>
              </w:rPr>
              <w:t>July 2012 RVSR</w:t>
            </w:r>
            <w:r w:rsidR="001421FA">
              <w:rPr>
                <w:b/>
                <w:bCs/>
                <w:i/>
                <w:iCs/>
                <w:u w:val="single"/>
              </w:rPr>
              <w:t xml:space="preserve"> Treatment Records Development T</w:t>
            </w:r>
            <w:r>
              <w:rPr>
                <w:b/>
                <w:bCs/>
                <w:i/>
                <w:iCs/>
                <w:u w:val="single"/>
              </w:rPr>
              <w:t>raining</w:t>
            </w:r>
            <w:r>
              <w:t xml:space="preserve"> </w:t>
            </w:r>
            <w:r w:rsidR="009A4E94">
              <w:t>(Carlos</w:t>
            </w:r>
            <w:r w:rsidR="004D6139">
              <w:t xml:space="preserve"> Rosario</w:t>
            </w:r>
            <w:r w:rsidR="009A4E94">
              <w:t xml:space="preserve">) </w:t>
            </w:r>
            <w:r>
              <w:t xml:space="preserve">- even if we can grant the benefits claimed, we still have a duty to assist in getting all records identified; STRs – call documented on 21-0820, then letter [need both]; VATRs/SSA/other Fed – just letter (or just call) [not both]; per </w:t>
            </w:r>
            <w:r w:rsidRPr="00C2315E">
              <w:rPr>
                <w:b/>
                <w:bCs/>
                <w:i/>
              </w:rPr>
              <w:t xml:space="preserve">July 2012 </w:t>
            </w:r>
            <w:r w:rsidR="00EB6F0B" w:rsidRPr="00C2315E">
              <w:rPr>
                <w:b/>
                <w:bCs/>
                <w:i/>
              </w:rPr>
              <w:t>Compensation Service Bulletin (CSB)</w:t>
            </w:r>
            <w:r>
              <w:t xml:space="preserve"> – non federal record letters are now 15 days for each letter</w:t>
            </w:r>
          </w:p>
        </w:tc>
      </w:tr>
      <w:tr w:rsidR="00C61908">
        <w:tc>
          <w:tcPr>
            <w:tcW w:w="705" w:type="dxa"/>
            <w:tcBorders>
              <w:top w:val="nil"/>
              <w:left w:val="nil"/>
              <w:bottom w:val="nil"/>
              <w:right w:val="nil"/>
            </w:tcBorders>
          </w:tcPr>
          <w:p w:rsidR="00C61908" w:rsidRDefault="00C61908">
            <w:pPr>
              <w:widowControl w:val="0"/>
              <w:numPr>
                <w:ilvl w:val="12"/>
                <w:numId w:val="0"/>
              </w:numPr>
            </w:pPr>
          </w:p>
        </w:tc>
        <w:tc>
          <w:tcPr>
            <w:tcW w:w="10170" w:type="dxa"/>
            <w:tcBorders>
              <w:top w:val="nil"/>
              <w:left w:val="nil"/>
              <w:bottom w:val="nil"/>
              <w:right w:val="nil"/>
            </w:tcBorders>
          </w:tcPr>
          <w:p w:rsidR="00C61908" w:rsidRDefault="00C61908">
            <w:pPr>
              <w:widowControl w:val="0"/>
              <w:tabs>
                <w:tab w:val="left" w:pos="330"/>
              </w:tabs>
              <w:spacing w:after="120"/>
              <w:rPr>
                <w:b/>
              </w:rPr>
            </w:pPr>
          </w:p>
        </w:tc>
      </w:tr>
    </w:tbl>
    <w:p w:rsidR="001F2F50" w:rsidRPr="00110DF2" w:rsidRDefault="001F2F50" w:rsidP="00F063AF">
      <w:pPr>
        <w:numPr>
          <w:ilvl w:val="0"/>
          <w:numId w:val="105"/>
        </w:numPr>
        <w:tabs>
          <w:tab w:val="clear" w:pos="690"/>
          <w:tab w:val="left" w:pos="1350"/>
        </w:tabs>
        <w:spacing w:after="120"/>
        <w:ind w:left="1354" w:hanging="274"/>
        <w:rPr>
          <w:rStyle w:val="Hyperlink"/>
          <w:color w:val="auto"/>
          <w:u w:val="none"/>
        </w:rPr>
      </w:pPr>
      <w:r w:rsidRPr="00C2315E">
        <w:rPr>
          <w:b/>
          <w:bCs/>
          <w:i/>
        </w:rPr>
        <w:t xml:space="preserve">April 2013 </w:t>
      </w:r>
      <w:r w:rsidR="00EB6F0B" w:rsidRPr="00C2315E">
        <w:rPr>
          <w:b/>
          <w:bCs/>
          <w:i/>
        </w:rPr>
        <w:t>Compensation Service Bulletin (CSB)</w:t>
      </w:r>
      <w:r>
        <w:rPr>
          <w:rFonts w:eastAsia="Arial Unicode MS"/>
        </w:rPr>
        <w:t xml:space="preserve"> – </w:t>
      </w:r>
      <w:r>
        <w:rPr>
          <w:szCs w:val="24"/>
        </w:rPr>
        <w:t>the “theory that medical examinations are to be routinely and virtually automatically provided to all Veterans in disability cases involving nexus issues” was rejected in</w:t>
      </w:r>
      <w:r>
        <w:rPr>
          <w:i/>
          <w:iCs/>
          <w:szCs w:val="24"/>
        </w:rPr>
        <w:t xml:space="preserve"> </w:t>
      </w:r>
      <w:r w:rsidRPr="00C2315E">
        <w:rPr>
          <w:b/>
          <w:i/>
          <w:iCs/>
          <w:szCs w:val="24"/>
        </w:rPr>
        <w:t>Waters v. Shinseki, 601 F.3d 1274 (Fed. Cir. 2010</w:t>
      </w:r>
      <w:r w:rsidRPr="00C2315E">
        <w:rPr>
          <w:b/>
          <w:szCs w:val="24"/>
        </w:rPr>
        <w:t>)</w:t>
      </w:r>
      <w:r>
        <w:rPr>
          <w:szCs w:val="24"/>
        </w:rPr>
        <w:t xml:space="preserve">. The proper standard for obtaining examination with nexus opinion, contained in </w:t>
      </w:r>
      <w:r w:rsidRPr="00C2315E">
        <w:rPr>
          <w:b/>
          <w:szCs w:val="24"/>
        </w:rPr>
        <w:t>38 CFR 3.159(c)(4)(i)</w:t>
      </w:r>
      <w:r>
        <w:rPr>
          <w:szCs w:val="24"/>
        </w:rPr>
        <w:t xml:space="preserve"> requires that the evidence of record “indicates that the claimed disability or symptoms may be associated with the established event, injury, or disease in service or with another service-connected disability.” The Veteran’s claim, in and of itself, unenhanced by either medical nexus evidence or lay testimony does not establish such “indication.” However, the evidentiary threshold remains quite low. A Veteran’s assertion of continuity of symptoms from service to the present would generally satisfy the requirement, as would private medical opinion even if based upon incomplete data.   </w:t>
      </w:r>
      <w:r w:rsidR="00484DB7" w:rsidRPr="00C2315E">
        <w:rPr>
          <w:b/>
          <w:i/>
          <w:iCs/>
          <w:szCs w:val="24"/>
        </w:rPr>
        <w:t>McLendon v. Nicholson, 20 Vet.App. 79</w:t>
      </w:r>
      <w:r w:rsidR="00484DB7">
        <w:rPr>
          <w:rStyle w:val="Hyperlink"/>
          <w:iCs/>
          <w:color w:val="auto"/>
          <w:szCs w:val="24"/>
          <w:u w:val="none"/>
        </w:rPr>
        <w:t xml:space="preserve"> (2006)</w:t>
      </w:r>
      <w:r w:rsidR="00717686">
        <w:rPr>
          <w:rStyle w:val="Hyperlink"/>
          <w:iCs/>
          <w:color w:val="auto"/>
          <w:szCs w:val="24"/>
          <w:u w:val="none"/>
        </w:rPr>
        <w:t xml:space="preserve"> </w:t>
      </w:r>
    </w:p>
    <w:p w:rsidR="00956547" w:rsidRPr="00956547" w:rsidRDefault="00956547" w:rsidP="00F063AF">
      <w:pPr>
        <w:pStyle w:val="ListParagraph"/>
        <w:numPr>
          <w:ilvl w:val="0"/>
          <w:numId w:val="105"/>
        </w:numPr>
        <w:tabs>
          <w:tab w:val="clear" w:pos="690"/>
          <w:tab w:val="num" w:pos="1350"/>
        </w:tabs>
        <w:spacing w:after="120" w:line="240" w:lineRule="auto"/>
        <w:ind w:left="1354" w:hanging="270"/>
        <w:rPr>
          <w:rFonts w:ascii="Arial" w:hAnsi="Arial"/>
          <w:b/>
          <w:sz w:val="20"/>
          <w:szCs w:val="20"/>
        </w:rPr>
      </w:pPr>
      <w:r w:rsidRPr="00956547">
        <w:rPr>
          <w:rFonts w:ascii="Arial" w:hAnsi="Arial"/>
          <w:b/>
          <w:bCs/>
          <w:iCs/>
          <w:sz w:val="20"/>
          <w:szCs w:val="20"/>
        </w:rPr>
        <w:t>I.1.A</w:t>
      </w:r>
    </w:p>
    <w:p w:rsidR="00110DF2" w:rsidRDefault="009F11EC" w:rsidP="00F063AF">
      <w:pPr>
        <w:pStyle w:val="ListParagraph"/>
        <w:numPr>
          <w:ilvl w:val="0"/>
          <w:numId w:val="105"/>
        </w:numPr>
        <w:tabs>
          <w:tab w:val="clear" w:pos="690"/>
          <w:tab w:val="num" w:pos="1350"/>
        </w:tabs>
        <w:spacing w:after="120" w:line="240" w:lineRule="auto"/>
        <w:ind w:left="1354" w:hanging="270"/>
        <w:rPr>
          <w:rFonts w:ascii="Arial" w:hAnsi="Arial"/>
          <w:b/>
          <w:sz w:val="20"/>
          <w:szCs w:val="20"/>
        </w:rPr>
      </w:pPr>
      <w:r>
        <w:rPr>
          <w:rFonts w:ascii="Arial" w:hAnsi="Arial"/>
          <w:b/>
          <w:sz w:val="20"/>
          <w:szCs w:val="20"/>
        </w:rPr>
        <w:t>III.ii.2.D</w:t>
      </w:r>
    </w:p>
    <w:p w:rsidR="009F11EC" w:rsidRDefault="009F11EC" w:rsidP="00F063AF">
      <w:pPr>
        <w:pStyle w:val="ListParagraph"/>
        <w:numPr>
          <w:ilvl w:val="0"/>
          <w:numId w:val="105"/>
        </w:numPr>
        <w:tabs>
          <w:tab w:val="clear" w:pos="690"/>
          <w:tab w:val="num" w:pos="1350"/>
        </w:tabs>
        <w:spacing w:after="120" w:line="240" w:lineRule="auto"/>
        <w:ind w:left="1354" w:hanging="270"/>
        <w:rPr>
          <w:rFonts w:ascii="Arial" w:hAnsi="Arial"/>
          <w:b/>
          <w:sz w:val="20"/>
          <w:szCs w:val="20"/>
        </w:rPr>
      </w:pPr>
      <w:r>
        <w:rPr>
          <w:rFonts w:ascii="Arial" w:hAnsi="Arial"/>
          <w:b/>
          <w:sz w:val="20"/>
          <w:szCs w:val="20"/>
        </w:rPr>
        <w:t>III.ii.2.F.1.c</w:t>
      </w:r>
    </w:p>
    <w:p w:rsidR="00496F18" w:rsidRDefault="0050635A" w:rsidP="00F063AF">
      <w:pPr>
        <w:pStyle w:val="ListParagraph"/>
        <w:numPr>
          <w:ilvl w:val="0"/>
          <w:numId w:val="105"/>
        </w:numPr>
        <w:tabs>
          <w:tab w:val="clear" w:pos="690"/>
          <w:tab w:val="num" w:pos="1350"/>
        </w:tabs>
        <w:spacing w:after="120" w:line="240" w:lineRule="auto"/>
        <w:ind w:left="1354" w:hanging="270"/>
        <w:rPr>
          <w:rFonts w:ascii="Arial" w:hAnsi="Arial"/>
          <w:b/>
          <w:sz w:val="20"/>
          <w:szCs w:val="20"/>
        </w:rPr>
      </w:pPr>
      <w:r w:rsidRPr="0050635A">
        <w:rPr>
          <w:rFonts w:ascii="Arial" w:hAnsi="Arial"/>
          <w:b/>
          <w:sz w:val="20"/>
          <w:szCs w:val="20"/>
        </w:rPr>
        <w:t xml:space="preserve">III.v.6.A &amp; </w:t>
      </w:r>
      <w:r w:rsidR="00496F18" w:rsidRPr="0050635A">
        <w:rPr>
          <w:rFonts w:ascii="Arial" w:hAnsi="Arial"/>
          <w:b/>
          <w:sz w:val="20"/>
          <w:szCs w:val="20"/>
        </w:rPr>
        <w:t>III.v.6.G</w:t>
      </w:r>
      <w:r w:rsidRPr="0050635A">
        <w:rPr>
          <w:rFonts w:ascii="Arial" w:hAnsi="Arial"/>
          <w:b/>
          <w:sz w:val="20"/>
          <w:szCs w:val="20"/>
        </w:rPr>
        <w:t xml:space="preserve"> </w:t>
      </w:r>
      <w:r w:rsidR="006E501E">
        <w:rPr>
          <w:rFonts w:ascii="Arial" w:hAnsi="Arial"/>
          <w:b/>
          <w:sz w:val="20"/>
          <w:szCs w:val="20"/>
        </w:rPr>
        <w:t>–</w:t>
      </w:r>
      <w:r w:rsidRPr="0050635A">
        <w:rPr>
          <w:rFonts w:ascii="Arial" w:hAnsi="Arial"/>
          <w:b/>
          <w:sz w:val="20"/>
          <w:szCs w:val="20"/>
        </w:rPr>
        <w:t xml:space="preserve"> CAPRI</w:t>
      </w:r>
    </w:p>
    <w:p w:rsidR="006E501E" w:rsidRPr="00D8452D" w:rsidRDefault="006E501E" w:rsidP="00F063AF">
      <w:pPr>
        <w:pStyle w:val="ListParagraph"/>
        <w:numPr>
          <w:ilvl w:val="0"/>
          <w:numId w:val="105"/>
        </w:numPr>
        <w:tabs>
          <w:tab w:val="clear" w:pos="690"/>
          <w:tab w:val="num" w:pos="1350"/>
        </w:tabs>
        <w:spacing w:after="120" w:line="240" w:lineRule="auto"/>
        <w:ind w:left="1354" w:hanging="270"/>
        <w:rPr>
          <w:rFonts w:ascii="Arial" w:hAnsi="Arial"/>
          <w:b/>
          <w:sz w:val="20"/>
          <w:szCs w:val="20"/>
        </w:rPr>
      </w:pPr>
      <w:r>
        <w:rPr>
          <w:rFonts w:ascii="Arial" w:hAnsi="Arial"/>
          <w:b/>
          <w:sz w:val="20"/>
          <w:szCs w:val="20"/>
        </w:rPr>
        <w:t xml:space="preserve">September 2015 </w:t>
      </w:r>
      <w:r w:rsidR="005975FA">
        <w:rPr>
          <w:rFonts w:ascii="Arial" w:hAnsi="Arial"/>
          <w:b/>
          <w:sz w:val="20"/>
          <w:szCs w:val="20"/>
        </w:rPr>
        <w:t>Compensation Service Bulletin (</w:t>
      </w:r>
      <w:r>
        <w:rPr>
          <w:rFonts w:ascii="Arial" w:hAnsi="Arial"/>
          <w:b/>
          <w:sz w:val="20"/>
          <w:szCs w:val="20"/>
        </w:rPr>
        <w:t>CSB</w:t>
      </w:r>
      <w:r w:rsidR="005975FA">
        <w:rPr>
          <w:rFonts w:ascii="Arial" w:hAnsi="Arial"/>
          <w:b/>
          <w:sz w:val="20"/>
          <w:szCs w:val="20"/>
        </w:rPr>
        <w:t>)</w:t>
      </w:r>
      <w:r>
        <w:rPr>
          <w:rFonts w:ascii="Arial" w:hAnsi="Arial"/>
          <w:sz w:val="20"/>
          <w:szCs w:val="20"/>
        </w:rPr>
        <w:t xml:space="preserve"> – if 526EZ submitted through Stakeholder Enterprise Portal (SEP), must have annotation that Standard 5103 Notice sent w/date. If not, need to send 51</w:t>
      </w:r>
      <w:r w:rsidR="009F7D8B">
        <w:rPr>
          <w:rFonts w:ascii="Arial" w:hAnsi="Arial"/>
          <w:sz w:val="20"/>
          <w:szCs w:val="20"/>
        </w:rPr>
        <w:t>0</w:t>
      </w:r>
      <w:r>
        <w:rPr>
          <w:rFonts w:ascii="Arial" w:hAnsi="Arial"/>
          <w:sz w:val="20"/>
          <w:szCs w:val="20"/>
        </w:rPr>
        <w:t>3 Notice</w:t>
      </w:r>
      <w:r w:rsidR="00DB2EC8">
        <w:rPr>
          <w:rFonts w:ascii="Arial" w:hAnsi="Arial"/>
          <w:sz w:val="20"/>
          <w:szCs w:val="20"/>
        </w:rPr>
        <w:t>.</w:t>
      </w:r>
    </w:p>
    <w:p w:rsidR="00D8452D" w:rsidRPr="0050635A" w:rsidRDefault="00D8452D" w:rsidP="00F063AF">
      <w:pPr>
        <w:pStyle w:val="ListParagraph"/>
        <w:numPr>
          <w:ilvl w:val="0"/>
          <w:numId w:val="105"/>
        </w:numPr>
        <w:tabs>
          <w:tab w:val="clear" w:pos="690"/>
          <w:tab w:val="num" w:pos="1350"/>
        </w:tabs>
        <w:spacing w:after="120" w:line="240" w:lineRule="auto"/>
        <w:ind w:left="1354" w:hanging="270"/>
        <w:rPr>
          <w:rFonts w:ascii="Arial" w:hAnsi="Arial"/>
          <w:b/>
          <w:sz w:val="20"/>
          <w:szCs w:val="20"/>
        </w:rPr>
      </w:pPr>
      <w:r>
        <w:rPr>
          <w:rFonts w:ascii="Arial" w:hAnsi="Arial"/>
          <w:b/>
          <w:sz w:val="20"/>
          <w:szCs w:val="20"/>
        </w:rPr>
        <w:t xml:space="preserve">III.i.4.B.2.i – </w:t>
      </w:r>
      <w:r w:rsidRPr="009F7D8B">
        <w:rPr>
          <w:rFonts w:ascii="Arial" w:hAnsi="Arial"/>
          <w:sz w:val="20"/>
          <w:szCs w:val="20"/>
        </w:rPr>
        <w:t xml:space="preserve">need </w:t>
      </w:r>
      <w:r w:rsidR="009F7D8B" w:rsidRPr="009F7D8B">
        <w:rPr>
          <w:rFonts w:ascii="Arial" w:hAnsi="Arial"/>
          <w:sz w:val="20"/>
          <w:szCs w:val="20"/>
        </w:rPr>
        <w:t>to wait 30 days from DOC or get 5103 notice waiver before r</w:t>
      </w:r>
      <w:r w:rsidR="009F7D8B">
        <w:rPr>
          <w:rFonts w:ascii="Arial" w:hAnsi="Arial"/>
          <w:sz w:val="20"/>
          <w:szCs w:val="20"/>
        </w:rPr>
        <w:t>ate claims submitted through Stakeholder Enterprise Portal (SEP)</w:t>
      </w:r>
    </w:p>
    <w:p w:rsidR="00976FE2" w:rsidRDefault="00976FE2">
      <w:pPr>
        <w:widowControl w:val="0"/>
        <w:rPr>
          <w:iCs/>
        </w:rPr>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rsidRPr="004612A0">
        <w:trPr>
          <w:trHeight w:val="225"/>
        </w:trPr>
        <w:tc>
          <w:tcPr>
            <w:tcW w:w="705" w:type="dxa"/>
            <w:tcBorders>
              <w:top w:val="nil"/>
              <w:left w:val="nil"/>
              <w:bottom w:val="nil"/>
              <w:right w:val="nil"/>
            </w:tcBorders>
          </w:tcPr>
          <w:p w:rsidR="00013EB8" w:rsidRPr="004612A0" w:rsidRDefault="00013EB8">
            <w:pPr>
              <w:widowControl w:val="0"/>
              <w:numPr>
                <w:ilvl w:val="12"/>
                <w:numId w:val="0"/>
              </w:numPr>
              <w:rPr>
                <w:b/>
              </w:rPr>
            </w:pPr>
            <w:r w:rsidRPr="004612A0">
              <w:rPr>
                <w:b/>
              </w:rPr>
              <w:t>3.326</w:t>
            </w:r>
          </w:p>
        </w:tc>
        <w:tc>
          <w:tcPr>
            <w:tcW w:w="10170" w:type="dxa"/>
            <w:tcBorders>
              <w:top w:val="nil"/>
              <w:left w:val="nil"/>
              <w:bottom w:val="nil"/>
              <w:right w:val="nil"/>
            </w:tcBorders>
          </w:tcPr>
          <w:p w:rsidR="00013EB8" w:rsidRPr="004612A0" w:rsidRDefault="00013EB8">
            <w:pPr>
              <w:widowControl w:val="0"/>
              <w:numPr>
                <w:ilvl w:val="12"/>
                <w:numId w:val="0"/>
              </w:numPr>
              <w:spacing w:after="120"/>
            </w:pPr>
            <w:r w:rsidRPr="004612A0">
              <w:rPr>
                <w:b/>
                <w:sz w:val="24"/>
              </w:rPr>
              <w:t>E</w:t>
            </w:r>
            <w:r w:rsidR="00A66FB8" w:rsidRPr="004612A0">
              <w:rPr>
                <w:b/>
                <w:sz w:val="24"/>
              </w:rPr>
              <w:t>XAMINATIONS</w:t>
            </w:r>
            <w:r w:rsidRPr="004612A0">
              <w:t xml:space="preserve"> – $ will not be denied to POWs without a complete physical examination</w:t>
            </w:r>
          </w:p>
          <w:p w:rsidR="004C13D4" w:rsidRPr="004C13D4" w:rsidRDefault="004C13D4" w:rsidP="004C13D4">
            <w:pPr>
              <w:pBdr>
                <w:top w:val="single" w:sz="4" w:space="1" w:color="auto"/>
                <w:left w:val="single" w:sz="4" w:space="4" w:color="auto"/>
                <w:bottom w:val="single" w:sz="4" w:space="1" w:color="auto"/>
                <w:right w:val="single" w:sz="4" w:space="4" w:color="auto"/>
              </w:pBdr>
              <w:ind w:left="150" w:right="150"/>
              <w:rPr>
                <w:rFonts w:ascii="Tahoma" w:hAnsi="Tahoma" w:cs="Tahoma"/>
                <w:sz w:val="18"/>
              </w:rPr>
            </w:pPr>
            <w:r w:rsidRPr="004C13D4">
              <w:rPr>
                <w:rFonts w:ascii="Tahoma" w:hAnsi="Tahoma" w:cs="Tahoma"/>
                <w:b/>
                <w:bCs/>
                <w:sz w:val="18"/>
              </w:rPr>
              <w:t>From:</w:t>
            </w:r>
            <w:r w:rsidRPr="004C13D4">
              <w:rPr>
                <w:rFonts w:ascii="Tahoma" w:hAnsi="Tahoma" w:cs="Tahoma"/>
                <w:sz w:val="18"/>
              </w:rPr>
              <w:t xml:space="preserve"> VAVBASDC/RO/VSC </w:t>
            </w:r>
            <w:r w:rsidRPr="004C13D4">
              <w:rPr>
                <w:rFonts w:ascii="Tahoma" w:hAnsi="Tahoma" w:cs="Tahoma"/>
                <w:sz w:val="18"/>
              </w:rPr>
              <w:br/>
            </w:r>
            <w:r w:rsidRPr="004C13D4">
              <w:rPr>
                <w:rFonts w:ascii="Tahoma" w:hAnsi="Tahoma" w:cs="Tahoma"/>
                <w:b/>
                <w:bCs/>
                <w:sz w:val="18"/>
              </w:rPr>
              <w:t>Sent:</w:t>
            </w:r>
            <w:r w:rsidRPr="004C13D4">
              <w:rPr>
                <w:rFonts w:ascii="Tahoma" w:hAnsi="Tahoma" w:cs="Tahoma"/>
                <w:sz w:val="18"/>
              </w:rPr>
              <w:t xml:space="preserve"> Friday, December 22, 2017 10:45 AM</w:t>
            </w:r>
            <w:r w:rsidRPr="004C13D4">
              <w:rPr>
                <w:rFonts w:ascii="Tahoma" w:hAnsi="Tahoma" w:cs="Tahoma"/>
                <w:sz w:val="18"/>
              </w:rPr>
              <w:br/>
            </w:r>
            <w:r w:rsidRPr="004C13D4">
              <w:rPr>
                <w:rFonts w:ascii="Tahoma" w:hAnsi="Tahoma" w:cs="Tahoma"/>
                <w:b/>
                <w:bCs/>
                <w:sz w:val="18"/>
              </w:rPr>
              <w:t>Subject:</w:t>
            </w:r>
            <w:r w:rsidRPr="004C13D4">
              <w:rPr>
                <w:rFonts w:ascii="Tahoma" w:hAnsi="Tahoma" w:cs="Tahoma"/>
                <w:sz w:val="18"/>
              </w:rPr>
              <w:t xml:space="preserve"> Exam Complaints</w:t>
            </w:r>
          </w:p>
          <w:p w:rsidR="004C13D4" w:rsidRPr="004C13D4" w:rsidRDefault="004C13D4" w:rsidP="004C13D4">
            <w:pPr>
              <w:pBdr>
                <w:top w:val="single" w:sz="4" w:space="1" w:color="auto"/>
                <w:left w:val="single" w:sz="4" w:space="4" w:color="auto"/>
                <w:bottom w:val="single" w:sz="4" w:space="1" w:color="auto"/>
                <w:right w:val="single" w:sz="4" w:space="4" w:color="auto"/>
              </w:pBdr>
              <w:ind w:left="150" w:right="150"/>
              <w:rPr>
                <w:rFonts w:ascii="Calibri" w:eastAsiaTheme="minorHAnsi" w:hAnsi="Calibri" w:cs="Times New Roman"/>
                <w:szCs w:val="22"/>
              </w:rPr>
            </w:pPr>
          </w:p>
          <w:p w:rsidR="004C13D4" w:rsidRPr="004C13D4" w:rsidRDefault="004C13D4" w:rsidP="004C13D4">
            <w:pPr>
              <w:pBdr>
                <w:top w:val="single" w:sz="4" w:space="1" w:color="auto"/>
                <w:left w:val="single" w:sz="4" w:space="4" w:color="auto"/>
                <w:bottom w:val="single" w:sz="4" w:space="1" w:color="auto"/>
                <w:right w:val="single" w:sz="4" w:space="4" w:color="auto"/>
              </w:pBdr>
              <w:ind w:left="150" w:right="150"/>
              <w:rPr>
                <w:sz w:val="22"/>
                <w:szCs w:val="24"/>
              </w:rPr>
            </w:pPr>
            <w:r w:rsidRPr="004C13D4">
              <w:rPr>
                <w:sz w:val="22"/>
                <w:szCs w:val="24"/>
              </w:rPr>
              <w:t>VSC Employees,</w:t>
            </w:r>
          </w:p>
          <w:p w:rsidR="004C13D4" w:rsidRPr="004C13D4" w:rsidRDefault="004C13D4" w:rsidP="004C13D4">
            <w:pPr>
              <w:pBdr>
                <w:top w:val="single" w:sz="4" w:space="1" w:color="auto"/>
                <w:left w:val="single" w:sz="4" w:space="4" w:color="auto"/>
                <w:bottom w:val="single" w:sz="4" w:space="1" w:color="auto"/>
                <w:right w:val="single" w:sz="4" w:space="4" w:color="auto"/>
              </w:pBdr>
              <w:ind w:left="150" w:right="150"/>
              <w:rPr>
                <w:sz w:val="22"/>
                <w:szCs w:val="24"/>
              </w:rPr>
            </w:pPr>
            <w:r w:rsidRPr="004C13D4">
              <w:rPr>
                <w:sz w:val="22"/>
                <w:szCs w:val="24"/>
              </w:rPr>
              <w:t>If you receive (or discover) a complaint about a VA or contract examination/physician, please route to the VSC front office mailbox.</w:t>
            </w:r>
          </w:p>
          <w:p w:rsidR="004C13D4" w:rsidRPr="004C13D4" w:rsidRDefault="004C13D4" w:rsidP="004C13D4">
            <w:pPr>
              <w:pBdr>
                <w:top w:val="single" w:sz="4" w:space="1" w:color="auto"/>
                <w:left w:val="single" w:sz="4" w:space="4" w:color="auto"/>
                <w:bottom w:val="single" w:sz="4" w:space="1" w:color="auto"/>
                <w:right w:val="single" w:sz="4" w:space="4" w:color="auto"/>
              </w:pBdr>
              <w:ind w:left="150" w:right="150"/>
              <w:rPr>
                <w:sz w:val="22"/>
                <w:szCs w:val="24"/>
              </w:rPr>
            </w:pPr>
            <w:r w:rsidRPr="004C13D4">
              <w:rPr>
                <w:sz w:val="22"/>
                <w:szCs w:val="24"/>
              </w:rPr>
              <w:t>Thank-you,</w:t>
            </w:r>
          </w:p>
          <w:p w:rsidR="004C13D4" w:rsidRPr="004C13D4" w:rsidRDefault="004C13D4" w:rsidP="004C13D4">
            <w:pPr>
              <w:pBdr>
                <w:top w:val="single" w:sz="4" w:space="1" w:color="auto"/>
                <w:left w:val="single" w:sz="4" w:space="4" w:color="auto"/>
                <w:bottom w:val="single" w:sz="4" w:space="1" w:color="auto"/>
                <w:right w:val="single" w:sz="4" w:space="4" w:color="auto"/>
              </w:pBdr>
              <w:ind w:left="150" w:right="150"/>
              <w:rPr>
                <w:sz w:val="22"/>
                <w:szCs w:val="24"/>
              </w:rPr>
            </w:pPr>
            <w:r w:rsidRPr="004C13D4">
              <w:rPr>
                <w:sz w:val="22"/>
                <w:szCs w:val="24"/>
              </w:rPr>
              <w:t>VSC Front Office</w:t>
            </w:r>
          </w:p>
          <w:p w:rsidR="004C13D4" w:rsidRDefault="004C13D4" w:rsidP="004C13D4">
            <w:pPr>
              <w:widowControl w:val="0"/>
              <w:spacing w:after="120"/>
              <w:ind w:left="330"/>
              <w:rPr>
                <w:b/>
                <w:bCs/>
              </w:rPr>
            </w:pPr>
          </w:p>
          <w:p w:rsidR="00013EB8" w:rsidRPr="004612A0" w:rsidRDefault="00EF24E5" w:rsidP="00F063AF">
            <w:pPr>
              <w:widowControl w:val="0"/>
              <w:numPr>
                <w:ilvl w:val="0"/>
                <w:numId w:val="233"/>
              </w:numPr>
              <w:spacing w:after="120"/>
              <w:ind w:left="330"/>
              <w:rPr>
                <w:b/>
                <w:bCs/>
              </w:rPr>
            </w:pPr>
            <w:r w:rsidRPr="004612A0">
              <w:rPr>
                <w:b/>
                <w:bCs/>
              </w:rPr>
              <w:t>I.1.C.3</w:t>
            </w:r>
          </w:p>
          <w:p w:rsidR="00013EB8" w:rsidRPr="004612A0" w:rsidRDefault="00013EB8" w:rsidP="00F063AF">
            <w:pPr>
              <w:widowControl w:val="0"/>
              <w:numPr>
                <w:ilvl w:val="0"/>
                <w:numId w:val="332"/>
              </w:numPr>
              <w:tabs>
                <w:tab w:val="clear" w:pos="360"/>
                <w:tab w:val="num" w:pos="690"/>
              </w:tabs>
              <w:spacing w:after="120"/>
              <w:ind w:left="690"/>
              <w:rPr>
                <w:bCs/>
              </w:rPr>
            </w:pPr>
            <w:r w:rsidRPr="004612A0">
              <w:t>opinions on relationship to service (Medical Opinions); if there is evidence of treatment in service &amp; evidence of a current condition, &amp; the veteran alleges a link between the two, we must get an exam &amp; nexus opinion (also per 38 CFR 3.159(c)(4))</w:t>
            </w:r>
          </w:p>
          <w:p w:rsidR="00463EEB" w:rsidRPr="004612A0" w:rsidRDefault="00463EEB" w:rsidP="00F063AF">
            <w:pPr>
              <w:widowControl w:val="0"/>
              <w:numPr>
                <w:ilvl w:val="0"/>
                <w:numId w:val="332"/>
              </w:numPr>
              <w:tabs>
                <w:tab w:val="clear" w:pos="360"/>
                <w:tab w:val="num" w:pos="690"/>
              </w:tabs>
              <w:spacing w:after="120"/>
              <w:ind w:left="690"/>
              <w:rPr>
                <w:bCs/>
              </w:rPr>
            </w:pPr>
            <w:r w:rsidRPr="004612A0">
              <w:rPr>
                <w:b/>
              </w:rPr>
              <w:t>I.1.C.3.b</w:t>
            </w:r>
            <w:r w:rsidRPr="004612A0">
              <w:t xml:space="preserve"> </w:t>
            </w:r>
            <w:r w:rsidR="00271601">
              <w:t xml:space="preserve">- </w:t>
            </w:r>
            <w:r w:rsidRPr="004612A0">
              <w:t>cover</w:t>
            </w:r>
            <w:r w:rsidR="00271601">
              <w:t>s</w:t>
            </w:r>
            <w:r w:rsidRPr="004612A0">
              <w:t xml:space="preserve"> the 3 elements required for an exam and/or opinion</w:t>
            </w:r>
          </w:p>
          <w:p w:rsidR="00463EEB" w:rsidRPr="00271601" w:rsidRDefault="00463EEB" w:rsidP="00F063AF">
            <w:pPr>
              <w:widowControl w:val="0"/>
              <w:numPr>
                <w:ilvl w:val="0"/>
                <w:numId w:val="332"/>
              </w:numPr>
              <w:tabs>
                <w:tab w:val="clear" w:pos="360"/>
                <w:tab w:val="num" w:pos="690"/>
              </w:tabs>
              <w:spacing w:after="120"/>
              <w:ind w:left="690"/>
              <w:rPr>
                <w:bCs/>
              </w:rPr>
            </w:pPr>
            <w:r w:rsidRPr="004612A0">
              <w:rPr>
                <w:b/>
              </w:rPr>
              <w:t>I.1.C.3.f</w:t>
            </w:r>
            <w:r w:rsidRPr="004612A0">
              <w:t xml:space="preserve"> </w:t>
            </w:r>
            <w:r w:rsidR="00271601">
              <w:t>- c</w:t>
            </w:r>
            <w:r w:rsidRPr="004612A0">
              <w:t>overs indication of association with service</w:t>
            </w:r>
            <w:r w:rsidR="00450960" w:rsidRPr="004612A0">
              <w:t xml:space="preserve"> / Element 3</w:t>
            </w:r>
          </w:p>
          <w:p w:rsidR="00271601" w:rsidRPr="00271601" w:rsidRDefault="00271601" w:rsidP="00F063AF">
            <w:pPr>
              <w:widowControl w:val="0"/>
              <w:numPr>
                <w:ilvl w:val="0"/>
                <w:numId w:val="332"/>
              </w:numPr>
              <w:tabs>
                <w:tab w:val="clear" w:pos="360"/>
                <w:tab w:val="num" w:pos="690"/>
              </w:tabs>
              <w:spacing w:after="120"/>
              <w:ind w:left="690"/>
              <w:rPr>
                <w:bCs/>
              </w:rPr>
            </w:pPr>
            <w:r>
              <w:rPr>
                <w:b/>
              </w:rPr>
              <w:t>I.1.C.3.l</w:t>
            </w:r>
            <w:r>
              <w:t xml:space="preserve"> </w:t>
            </w:r>
            <w:r w:rsidR="004637D3">
              <w:t xml:space="preserve">(added 3/28/17) </w:t>
            </w:r>
            <w:r>
              <w:t>- make Claim Notes on exams warranted &amp; not warranted</w:t>
            </w:r>
            <w:r w:rsidR="0059482E">
              <w:t xml:space="preserve"> (called “</w:t>
            </w:r>
            <w:r w:rsidR="0059482E" w:rsidRPr="0059482E">
              <w:rPr>
                <w:i/>
              </w:rPr>
              <w:t>Exam Review</w:t>
            </w:r>
            <w:r w:rsidR="001946CC">
              <w:t>,”</w:t>
            </w:r>
            <w:r w:rsidR="0059482E">
              <w:t xml:space="preserve"> use “exam review not yet performed</w:t>
            </w:r>
            <w:r w:rsidR="001946CC">
              <w:t>,”</w:t>
            </w:r>
            <w:r w:rsidR="0059482E">
              <w:t xml:space="preserve"> “exam review partially complete</w:t>
            </w:r>
            <w:r w:rsidR="001946CC">
              <w:t>,”</w:t>
            </w:r>
            <w:r w:rsidR="0059482E">
              <w:t xml:space="preserve"> “exam review incomplete</w:t>
            </w:r>
            <w:r w:rsidR="001946CC">
              <w:t>,”</w:t>
            </w:r>
            <w:r w:rsidR="0059482E">
              <w:t xml:space="preserve"> “exam review complete”; use “</w:t>
            </w:r>
            <w:r w:rsidR="0059482E" w:rsidRPr="0059482E">
              <w:rPr>
                <w:i/>
              </w:rPr>
              <w:t>no current condition</w:t>
            </w:r>
            <w:r w:rsidR="0059482E">
              <w:t>” if no Element 1, “</w:t>
            </w:r>
            <w:r w:rsidR="0059482E" w:rsidRPr="0059482E">
              <w:rPr>
                <w:i/>
              </w:rPr>
              <w:t>STRs negative</w:t>
            </w:r>
            <w:r w:rsidR="0059482E">
              <w:t>” if no Element 2, “</w:t>
            </w:r>
            <w:r w:rsidR="0059482E" w:rsidRPr="0059482E">
              <w:rPr>
                <w:i/>
              </w:rPr>
              <w:t>no nexus</w:t>
            </w:r>
            <w:r w:rsidR="0059482E">
              <w:t>” if no Element 3</w:t>
            </w:r>
            <w:r>
              <w:t>, example:</w:t>
            </w:r>
          </w:p>
          <w:p w:rsidR="00271601" w:rsidRPr="0059482E" w:rsidRDefault="00271601" w:rsidP="0059482E">
            <w:pPr>
              <w:spacing w:after="120"/>
              <w:ind w:left="691"/>
              <w:rPr>
                <w:i/>
              </w:rPr>
            </w:pPr>
            <w:r w:rsidRPr="00271601">
              <w:rPr>
                <w:i/>
              </w:rPr>
              <w:t>Exam Review partially complete. Exams reques</w:t>
            </w:r>
            <w:r w:rsidR="00BD4FE0">
              <w:rPr>
                <w:i/>
              </w:rPr>
              <w:t xml:space="preserve">ted for PTSD and hearing loss. </w:t>
            </w:r>
            <w:r w:rsidRPr="00271601">
              <w:rPr>
                <w:i/>
              </w:rPr>
              <w:t>Exam review incomplete for back and knee pending receipt of P</w:t>
            </w:r>
            <w:r w:rsidR="00C1445C">
              <w:rPr>
                <w:i/>
              </w:rPr>
              <w:t>T</w:t>
            </w:r>
            <w:r w:rsidRPr="00271601">
              <w:rPr>
                <w:i/>
              </w:rPr>
              <w:t>Rs from Dr. Jones, but STRs negative. Exam not needed for GERD—STRs negative.</w:t>
            </w:r>
          </w:p>
          <w:p w:rsidR="00D16FCF" w:rsidRPr="004612A0" w:rsidRDefault="00F01095" w:rsidP="00F063AF">
            <w:pPr>
              <w:widowControl w:val="0"/>
              <w:numPr>
                <w:ilvl w:val="0"/>
                <w:numId w:val="233"/>
              </w:numPr>
              <w:spacing w:after="120"/>
              <w:ind w:left="330"/>
              <w:rPr>
                <w:b/>
                <w:bCs/>
              </w:rPr>
            </w:pPr>
            <w:r w:rsidRPr="004612A0">
              <w:rPr>
                <w:b/>
                <w:bCs/>
              </w:rPr>
              <w:t>III.iv.3</w:t>
            </w:r>
            <w:r w:rsidR="00D16FCF" w:rsidRPr="004612A0">
              <w:rPr>
                <w:b/>
                <w:bCs/>
              </w:rPr>
              <w:t xml:space="preserve"> – </w:t>
            </w:r>
          </w:p>
          <w:p w:rsidR="00013EB8" w:rsidRPr="004612A0" w:rsidRDefault="00D16FCF" w:rsidP="00F063AF">
            <w:pPr>
              <w:widowControl w:val="0"/>
              <w:numPr>
                <w:ilvl w:val="0"/>
                <w:numId w:val="233"/>
              </w:numPr>
              <w:spacing w:after="120"/>
              <w:ind w:left="690"/>
              <w:rPr>
                <w:b/>
                <w:bCs/>
              </w:rPr>
            </w:pPr>
            <w:r w:rsidRPr="004612A0">
              <w:t>DBQs, medical reports, or opinions submitted by a VA or private health care provider can be accepted in lieu of an exam if otherwise adequate under relevant regulations.</w:t>
            </w:r>
            <w:r w:rsidR="006D1C3D" w:rsidRPr="004612A0">
              <w:t xml:space="preserve"> </w:t>
            </w:r>
            <w:r w:rsidR="006D1C3D" w:rsidRPr="004612A0">
              <w:rPr>
                <w:b/>
              </w:rPr>
              <w:t>III.iv.3.D.2.e</w:t>
            </w:r>
            <w:r w:rsidR="006D1C3D" w:rsidRPr="004612A0">
              <w:t xml:space="preserve"> discusses what to do if DBQ is missing info or has contradictory evidence (</w:t>
            </w:r>
            <w:r w:rsidR="00321A27" w:rsidRPr="004612A0">
              <w:t xml:space="preserve">call &amp; document on 0820; </w:t>
            </w:r>
            <w:r w:rsidR="006D1C3D" w:rsidRPr="004612A0">
              <w:t xml:space="preserve">if need review of STRs, testing or opinion, need to request </w:t>
            </w:r>
            <w:r w:rsidR="00321A27" w:rsidRPr="004612A0">
              <w:t xml:space="preserve">those missing requirements </w:t>
            </w:r>
            <w:r w:rsidR="006D1C3D" w:rsidRPr="004612A0">
              <w:t>from VA examiner)</w:t>
            </w:r>
          </w:p>
          <w:p w:rsidR="0052421B" w:rsidRPr="004612A0" w:rsidRDefault="0052421B" w:rsidP="00F063AF">
            <w:pPr>
              <w:widowControl w:val="0"/>
              <w:numPr>
                <w:ilvl w:val="0"/>
                <w:numId w:val="233"/>
              </w:numPr>
              <w:spacing w:after="120"/>
              <w:ind w:left="690"/>
              <w:rPr>
                <w:b/>
                <w:bCs/>
              </w:rPr>
            </w:pPr>
            <w:r w:rsidRPr="004612A0">
              <w:rPr>
                <w:b/>
              </w:rPr>
              <w:t>III.iv.3.A.5.a</w:t>
            </w:r>
            <w:r w:rsidR="00497D89">
              <w:t xml:space="preserve"> - a General M</w:t>
            </w:r>
            <w:r w:rsidRPr="004612A0">
              <w:t>edical examination is required when an Intent to File (ITF) a claim is received within a year of discharge and a substantially complete application is received within one year of the ITF.</w:t>
            </w:r>
          </w:p>
          <w:p w:rsidR="004612A0" w:rsidRPr="004612A0" w:rsidRDefault="004612A0" w:rsidP="00F063AF">
            <w:pPr>
              <w:widowControl w:val="0"/>
              <w:numPr>
                <w:ilvl w:val="0"/>
                <w:numId w:val="233"/>
              </w:numPr>
              <w:spacing w:after="120"/>
              <w:ind w:left="690"/>
              <w:rPr>
                <w:b/>
                <w:bCs/>
              </w:rPr>
            </w:pPr>
            <w:r w:rsidRPr="004612A0">
              <w:rPr>
                <w:b/>
              </w:rPr>
              <w:t>III</w:t>
            </w:r>
            <w:r w:rsidRPr="004612A0">
              <w:rPr>
                <w:b/>
                <w:bCs/>
              </w:rPr>
              <w:t>.</w:t>
            </w:r>
            <w:r>
              <w:rPr>
                <w:b/>
                <w:bCs/>
              </w:rPr>
              <w:t>iv.3.D.2.c</w:t>
            </w:r>
            <w:r w:rsidRPr="004612A0">
              <w:rPr>
                <w:b/>
                <w:bCs/>
              </w:rPr>
              <w:t xml:space="preserve"> </w:t>
            </w:r>
            <w:r>
              <w:rPr>
                <w:b/>
                <w:bCs/>
              </w:rPr>
              <w:t>–</w:t>
            </w:r>
            <w:r w:rsidRPr="004612A0">
              <w:rPr>
                <w:b/>
                <w:bCs/>
              </w:rPr>
              <w:t xml:space="preserve"> </w:t>
            </w:r>
            <w:r>
              <w:rPr>
                <w:bCs/>
              </w:rPr>
              <w:t>telemental exam</w:t>
            </w:r>
            <w:r w:rsidR="00822784">
              <w:rPr>
                <w:bCs/>
              </w:rPr>
              <w:t>, only by VHA or VBA-contracted examiner</w:t>
            </w:r>
          </w:p>
          <w:p w:rsidR="00193090" w:rsidRPr="004612A0" w:rsidRDefault="00193090" w:rsidP="00F063AF">
            <w:pPr>
              <w:widowControl w:val="0"/>
              <w:numPr>
                <w:ilvl w:val="0"/>
                <w:numId w:val="265"/>
              </w:numPr>
              <w:tabs>
                <w:tab w:val="clear" w:pos="360"/>
                <w:tab w:val="num" w:pos="960"/>
              </w:tabs>
              <w:spacing w:after="120"/>
              <w:ind w:left="690"/>
              <w:textAlignment w:val="auto"/>
              <w:rPr>
                <w:bCs/>
              </w:rPr>
            </w:pPr>
            <w:r w:rsidRPr="004612A0">
              <w:rPr>
                <w:b/>
              </w:rPr>
              <w:t>III.iv.3.D.3</w:t>
            </w:r>
            <w:r w:rsidR="00A36F33" w:rsidRPr="004612A0">
              <w:rPr>
                <w:b/>
              </w:rPr>
              <w:t xml:space="preserve"> </w:t>
            </w:r>
            <w:r w:rsidR="00002823">
              <w:rPr>
                <w:b/>
              </w:rPr>
              <w:t>&amp; III.iv.3.D.4</w:t>
            </w:r>
            <w:r w:rsidRPr="004612A0">
              <w:t>- return exams for clarification if (1) the examiner mixes up right &amp; left; or (2) objective findings are consistent with the subjective reports and a diagnosis appears to be warranted, but none was provided (like with radiculopathy); or (3) if no rationale was provided for an opinion; or (4) if the medical opinion is based on incorrect information (as tinnitus was shown in the STRs &amp; the opinion is based on it NOT being in the STRs); or (5) if degrees of motion conflict (i.e. flexion to 40 with pain at 100, is the flexion actually 140?); or (6) if there are objective findings, but then no diagnosis is provided; all of those inconsistencies need to be resolved by the examiner; plus if any rating criteria are missing (i.e. ROM, % of body affected by skin cond, etc.)</w:t>
            </w:r>
          </w:p>
          <w:p w:rsidR="00321A27" w:rsidRPr="004612A0" w:rsidRDefault="00321A27" w:rsidP="000961BA">
            <w:pPr>
              <w:widowControl w:val="0"/>
              <w:numPr>
                <w:ilvl w:val="1"/>
                <w:numId w:val="265"/>
              </w:numPr>
              <w:tabs>
                <w:tab w:val="clear" w:pos="1440"/>
                <w:tab w:val="num" w:pos="1740"/>
              </w:tabs>
              <w:spacing w:after="120"/>
              <w:ind w:left="1020"/>
              <w:textAlignment w:val="auto"/>
              <w:rPr>
                <w:bCs/>
              </w:rPr>
            </w:pPr>
            <w:r w:rsidRPr="004612A0">
              <w:rPr>
                <w:b/>
              </w:rPr>
              <w:t xml:space="preserve">III.iv.3.D.3.e </w:t>
            </w:r>
            <w:r w:rsidRPr="004612A0">
              <w:t>– details on entering insufficients &amp; clarifications in CAPRI (do not enter as insufficient for VHA-contracted exams)</w:t>
            </w:r>
          </w:p>
          <w:p w:rsidR="00F172C9" w:rsidRPr="004612A0" w:rsidRDefault="00F172C9" w:rsidP="000961BA">
            <w:pPr>
              <w:widowControl w:val="0"/>
              <w:numPr>
                <w:ilvl w:val="1"/>
                <w:numId w:val="265"/>
              </w:numPr>
              <w:tabs>
                <w:tab w:val="clear" w:pos="1440"/>
                <w:tab w:val="num" w:pos="1740"/>
              </w:tabs>
              <w:spacing w:after="120"/>
              <w:ind w:left="1020"/>
              <w:textAlignment w:val="auto"/>
              <w:rPr>
                <w:bCs/>
              </w:rPr>
            </w:pPr>
            <w:r w:rsidRPr="004612A0">
              <w:rPr>
                <w:b/>
              </w:rPr>
              <w:t xml:space="preserve">III.iv.3.D.3.f </w:t>
            </w:r>
            <w:r w:rsidRPr="004612A0">
              <w:t>– details on entering insufficients &amp; clarifications in CAATS</w:t>
            </w:r>
          </w:p>
          <w:p w:rsidR="00F172C9" w:rsidRPr="004612A0" w:rsidRDefault="00002823" w:rsidP="000961BA">
            <w:pPr>
              <w:widowControl w:val="0"/>
              <w:numPr>
                <w:ilvl w:val="1"/>
                <w:numId w:val="265"/>
              </w:numPr>
              <w:tabs>
                <w:tab w:val="clear" w:pos="1440"/>
                <w:tab w:val="num" w:pos="1740"/>
              </w:tabs>
              <w:spacing w:after="120"/>
              <w:ind w:left="1020"/>
              <w:textAlignment w:val="auto"/>
              <w:rPr>
                <w:bCs/>
              </w:rPr>
            </w:pPr>
            <w:r>
              <w:rPr>
                <w:b/>
              </w:rPr>
              <w:t>III.iv.3.D.4</w:t>
            </w:r>
            <w:r w:rsidR="00F172C9" w:rsidRPr="004612A0">
              <w:rPr>
                <w:b/>
              </w:rPr>
              <w:t xml:space="preserve">.i </w:t>
            </w:r>
            <w:r w:rsidR="00F172C9" w:rsidRPr="004612A0">
              <w:t>– x-rays</w:t>
            </w:r>
          </w:p>
          <w:p w:rsidR="007B616C" w:rsidRPr="004612A0" w:rsidRDefault="00C1445C" w:rsidP="000961BA">
            <w:pPr>
              <w:widowControl w:val="0"/>
              <w:numPr>
                <w:ilvl w:val="1"/>
                <w:numId w:val="265"/>
              </w:numPr>
              <w:tabs>
                <w:tab w:val="clear" w:pos="1440"/>
                <w:tab w:val="num" w:pos="1740"/>
              </w:tabs>
              <w:spacing w:after="120"/>
              <w:ind w:left="1020"/>
              <w:textAlignment w:val="auto"/>
              <w:rPr>
                <w:bCs/>
                <w:sz w:val="18"/>
              </w:rPr>
            </w:pPr>
            <w:r w:rsidRPr="00C1445C">
              <w:rPr>
                <w:b/>
              </w:rPr>
              <w:t>III.iv.3.D.</w:t>
            </w:r>
            <w:r w:rsidR="00002823" w:rsidRPr="00C1445C">
              <w:rPr>
                <w:b/>
              </w:rPr>
              <w:t>4</w:t>
            </w:r>
            <w:r w:rsidR="007B616C" w:rsidRPr="00C1445C">
              <w:rPr>
                <w:b/>
              </w:rPr>
              <w:t>.m</w:t>
            </w:r>
            <w:r w:rsidR="007B616C" w:rsidRPr="004612A0">
              <w:rPr>
                <w:b/>
              </w:rPr>
              <w:t xml:space="preserve"> </w:t>
            </w:r>
            <w:r w:rsidRPr="00C1445C">
              <w:t>&amp;</w:t>
            </w:r>
            <w:r>
              <w:rPr>
                <w:b/>
              </w:rPr>
              <w:t xml:space="preserve"> </w:t>
            </w:r>
            <w:r w:rsidRPr="004612A0">
              <w:rPr>
                <w:rStyle w:val="Strong"/>
                <w:szCs w:val="21"/>
              </w:rPr>
              <w:t>III.iv.4.</w:t>
            </w:r>
            <w:r>
              <w:rPr>
                <w:rStyle w:val="Strong"/>
                <w:szCs w:val="21"/>
              </w:rPr>
              <w:t>F.5.a</w:t>
            </w:r>
            <w:r w:rsidRPr="004612A0">
              <w:t xml:space="preserve"> </w:t>
            </w:r>
            <w:r w:rsidR="007B616C" w:rsidRPr="004612A0">
              <w:t xml:space="preserve">– sleep apnea must </w:t>
            </w:r>
            <w:r>
              <w:t>be diagnosed with a sleep study</w:t>
            </w:r>
          </w:p>
          <w:p w:rsidR="00013EB8" w:rsidRPr="004612A0" w:rsidRDefault="00013EB8" w:rsidP="00F063AF">
            <w:pPr>
              <w:widowControl w:val="0"/>
              <w:numPr>
                <w:ilvl w:val="0"/>
                <w:numId w:val="233"/>
              </w:numPr>
              <w:spacing w:after="120"/>
              <w:ind w:left="330"/>
            </w:pPr>
            <w:r w:rsidRPr="004612A0">
              <w:rPr>
                <w:b/>
                <w:i/>
              </w:rPr>
              <w:t>Green v. Derwinski</w:t>
            </w:r>
            <w:r w:rsidRPr="004612A0">
              <w:rPr>
                <w:i/>
              </w:rPr>
              <w:t xml:space="preserve"> </w:t>
            </w:r>
            <w:r w:rsidRPr="004612A0">
              <w:t>(1/18/91) – “Fulfillment of the statutory duty to assist here includes the conduct of a thorough and contemporaneous medical examination, one which takes into account the records of the prior medical treatment, so that the evaluation of the claimed disability will be a fully informed one.” –</w:t>
            </w:r>
            <w:r w:rsidRPr="004612A0">
              <w:rPr>
                <w:i/>
              </w:rPr>
              <w:t>so examiners need to review the record prior to the exam &amp; comment on the results of the review, also get new exam if other is more than 1 year old [1/11 info on stale exams slightly contradicts this]</w:t>
            </w:r>
          </w:p>
          <w:p w:rsidR="00013EB8" w:rsidRPr="004612A0" w:rsidRDefault="00013EB8" w:rsidP="00F063AF">
            <w:pPr>
              <w:widowControl w:val="0"/>
              <w:numPr>
                <w:ilvl w:val="0"/>
                <w:numId w:val="233"/>
              </w:numPr>
              <w:spacing w:after="120"/>
              <w:ind w:left="330"/>
            </w:pPr>
            <w:r w:rsidRPr="004612A0">
              <w:rPr>
                <w:b/>
                <w:i/>
              </w:rPr>
              <w:t>Bielby v. Brown</w:t>
            </w:r>
            <w:r w:rsidRPr="004612A0">
              <w:rPr>
                <w:i/>
              </w:rPr>
              <w:t xml:space="preserve"> </w:t>
            </w:r>
            <w:r w:rsidRPr="004612A0">
              <w:t>(12/20/94) – be impartial, unbiased and neutral when asking questions</w:t>
            </w:r>
          </w:p>
          <w:p w:rsidR="00013EB8" w:rsidRPr="004612A0" w:rsidRDefault="00013EB8" w:rsidP="00F063AF">
            <w:pPr>
              <w:widowControl w:val="0"/>
              <w:numPr>
                <w:ilvl w:val="0"/>
                <w:numId w:val="233"/>
              </w:numPr>
              <w:spacing w:after="120"/>
              <w:ind w:left="330"/>
            </w:pPr>
            <w:r w:rsidRPr="004612A0">
              <w:rPr>
                <w:b/>
                <w:bCs/>
                <w:i/>
                <w:iCs/>
              </w:rPr>
              <w:t>Wray v. Brown</w:t>
            </w:r>
            <w:r w:rsidRPr="004612A0">
              <w:t xml:space="preserve"> </w:t>
            </w:r>
            <w:r w:rsidRPr="004612A0">
              <w:rPr>
                <w:bCs/>
              </w:rPr>
              <w:t>(4/6/95)</w:t>
            </w:r>
            <w:r w:rsidRPr="004612A0">
              <w:t xml:space="preserve"> – discussion of expert medical opinions</w:t>
            </w:r>
            <w:r w:rsidR="000F0618" w:rsidRPr="004612A0">
              <w:t xml:space="preserve"> (examine, analyze &amp; discuss each one)</w:t>
            </w:r>
          </w:p>
          <w:p w:rsidR="003E1FB5" w:rsidRPr="004612A0" w:rsidRDefault="00013EB8" w:rsidP="00F063AF">
            <w:pPr>
              <w:widowControl w:val="0"/>
              <w:numPr>
                <w:ilvl w:val="0"/>
                <w:numId w:val="233"/>
              </w:numPr>
              <w:spacing w:after="120"/>
              <w:ind w:left="331"/>
              <w:rPr>
                <w:bCs/>
                <w:i/>
                <w:iCs/>
              </w:rPr>
            </w:pPr>
            <w:r w:rsidRPr="004612A0">
              <w:rPr>
                <w:b/>
                <w:i/>
              </w:rPr>
              <w:t>Charles v. Principi</w:t>
            </w:r>
            <w:r w:rsidRPr="004612A0">
              <w:rPr>
                <w:i/>
              </w:rPr>
              <w:t xml:space="preserve"> </w:t>
            </w:r>
            <w:r w:rsidRPr="004612A0">
              <w:t>(10/3/02) – DTA says VA may need to provide nexus opinion</w:t>
            </w:r>
          </w:p>
          <w:p w:rsidR="004D6139" w:rsidRPr="004612A0" w:rsidRDefault="00D16FCF" w:rsidP="00F063AF">
            <w:pPr>
              <w:widowControl w:val="0"/>
              <w:numPr>
                <w:ilvl w:val="0"/>
                <w:numId w:val="233"/>
              </w:numPr>
              <w:spacing w:after="120"/>
              <w:ind w:left="331"/>
            </w:pPr>
            <w:r w:rsidRPr="004612A0">
              <w:rPr>
                <w:b/>
                <w:i/>
              </w:rPr>
              <w:t xml:space="preserve">Nieves-Rodriguez v. Peake </w:t>
            </w:r>
            <w:r w:rsidRPr="004612A0">
              <w:t>(12/1/08) - a private medical opinion may not be discounted solely because the physician did not review the claims file.</w:t>
            </w:r>
            <w:r w:rsidRPr="004612A0">
              <w:rPr>
                <w:sz w:val="28"/>
              </w:rPr>
              <w:t xml:space="preserve">  </w:t>
            </w:r>
            <w:r w:rsidRPr="004612A0">
              <w:t>Likewise, a VA medical opinion may not be preferred over a private medial opinion solely because the VA examiner reviewed the claims file.  It is what the examiner learns from the claims file in forming the expert opinion that matters, not just reading the file.</w:t>
            </w:r>
          </w:p>
          <w:p w:rsidR="004D6139" w:rsidRPr="004612A0" w:rsidRDefault="004D6139" w:rsidP="00F063AF">
            <w:pPr>
              <w:widowControl w:val="0"/>
              <w:numPr>
                <w:ilvl w:val="0"/>
                <w:numId w:val="233"/>
              </w:numPr>
              <w:spacing w:after="120"/>
              <w:ind w:left="331"/>
            </w:pPr>
            <w:r w:rsidRPr="004612A0">
              <w:rPr>
                <w:b/>
                <w:bCs/>
                <w:i/>
              </w:rPr>
              <w:t xml:space="preserve">Jones </w:t>
            </w:r>
            <w:r w:rsidRPr="004612A0">
              <w:rPr>
                <w:rStyle w:val="Emphasis"/>
                <w:b/>
              </w:rPr>
              <w:t>v. Shinseki</w:t>
            </w:r>
            <w:r w:rsidRPr="004612A0">
              <w:t xml:space="preserve"> (3/25/10) </w:t>
            </w:r>
            <w:r w:rsidRPr="004612A0">
              <w:rPr>
                <w:bCs/>
                <w:iCs/>
              </w:rPr>
              <w:t xml:space="preserve">– if examiner says cannot provide an opinion without resort/resorting to mere speculation, need to know </w:t>
            </w:r>
            <w:r w:rsidRPr="004612A0">
              <w:rPr>
                <w:bCs/>
                <w:i/>
              </w:rPr>
              <w:t>why</w:t>
            </w:r>
            <w:r w:rsidRPr="004612A0">
              <w:rPr>
                <w:bCs/>
                <w:iCs/>
              </w:rPr>
              <w:t>. The Court s</w:t>
            </w:r>
            <w:r w:rsidRPr="004612A0">
              <w:rPr>
                <w:rStyle w:val="Emphasis"/>
                <w:i w:val="0"/>
                <w:iCs w:val="0"/>
              </w:rPr>
              <w:t>aid “</w:t>
            </w:r>
            <w:r w:rsidRPr="004612A0">
              <w:rPr>
                <w:szCs w:val="28"/>
              </w:rPr>
              <w:t>The examiner should also precisely identify what facts cannot be determined if unable to give an etiology opinion without resorting to speculation.”</w:t>
            </w:r>
            <w:r w:rsidR="00110DE6">
              <w:rPr>
                <w:szCs w:val="28"/>
              </w:rPr>
              <w:t xml:space="preserve"> </w:t>
            </w:r>
            <w:r w:rsidR="00110DE6" w:rsidRPr="00110DE6">
              <w:rPr>
                <w:b/>
                <w:szCs w:val="28"/>
              </w:rPr>
              <w:t>III.iv.3.D.2.r</w:t>
            </w:r>
            <w:r w:rsidR="00110DE6">
              <w:rPr>
                <w:szCs w:val="28"/>
              </w:rPr>
              <w:t xml:space="preserve"> (</w:t>
            </w:r>
            <w:r w:rsidR="00110DE6" w:rsidRPr="00110DE6">
              <w:rPr>
                <w:b/>
                <w:i/>
                <w:szCs w:val="28"/>
              </w:rPr>
              <w:t>Sharp v. Shulkin</w:t>
            </w:r>
            <w:r w:rsidR="00110DE6">
              <w:rPr>
                <w:szCs w:val="28"/>
              </w:rPr>
              <w:t xml:space="preserve"> (2017) too)</w:t>
            </w:r>
          </w:p>
          <w:p w:rsidR="00BC03F7" w:rsidRPr="004612A0" w:rsidRDefault="00BC03F7" w:rsidP="001453C4">
            <w:pPr>
              <w:widowControl w:val="0"/>
              <w:numPr>
                <w:ilvl w:val="12"/>
                <w:numId w:val="0"/>
              </w:numPr>
              <w:pBdr>
                <w:top w:val="double" w:sz="4" w:space="1" w:color="auto"/>
                <w:left w:val="double" w:sz="4" w:space="4" w:color="auto"/>
                <w:bottom w:val="double" w:sz="4" w:space="1" w:color="auto"/>
                <w:right w:val="double" w:sz="4" w:space="4" w:color="auto"/>
              </w:pBdr>
              <w:shd w:val="clear" w:color="auto" w:fill="FFC000"/>
              <w:tabs>
                <w:tab w:val="left" w:pos="150"/>
              </w:tabs>
              <w:spacing w:after="240"/>
              <w:ind w:left="150" w:right="150"/>
              <w:rPr>
                <w:i/>
              </w:rPr>
            </w:pPr>
            <w:r w:rsidRPr="004612A0">
              <w:rPr>
                <w:i/>
              </w:rPr>
              <w:t>Training documents are under “Changing the Game: VA Exams”</w:t>
            </w:r>
            <w:r w:rsidR="001453C4" w:rsidRPr="004612A0">
              <w:rPr>
                <w:i/>
              </w:rPr>
              <w:t xml:space="preserve"> at </w:t>
            </w:r>
            <w:r w:rsidR="00AD486C" w:rsidRPr="00AD486C">
              <w:rPr>
                <w:b/>
                <w:i/>
              </w:rPr>
              <w:t>https://vba-tpi.vbatraining.org/lc</w:t>
            </w:r>
          </w:p>
          <w:p w:rsidR="00013EB8" w:rsidRPr="004612A0" w:rsidRDefault="00013EB8" w:rsidP="00F063AF">
            <w:pPr>
              <w:widowControl w:val="0"/>
              <w:numPr>
                <w:ilvl w:val="2"/>
                <w:numId w:val="117"/>
              </w:numPr>
              <w:tabs>
                <w:tab w:val="clear" w:pos="2140"/>
                <w:tab w:val="num" w:pos="340"/>
              </w:tabs>
              <w:spacing w:after="120"/>
              <w:ind w:left="340"/>
            </w:pPr>
            <w:r w:rsidRPr="004612A0">
              <w:rPr>
                <w:bCs/>
              </w:rPr>
              <w:t xml:space="preserve">Notes from </w:t>
            </w:r>
            <w:r w:rsidRPr="004612A0">
              <w:rPr>
                <w:b/>
                <w:bCs/>
                <w:i/>
                <w:iCs/>
                <w:u w:val="single"/>
              </w:rPr>
              <w:t>March 2013 “Changing the Game” VA examinations Training</w:t>
            </w:r>
            <w:r w:rsidRPr="004612A0">
              <w:t>:</w:t>
            </w:r>
          </w:p>
          <w:p w:rsidR="00013EB8" w:rsidRPr="002546E5" w:rsidRDefault="00013EB8" w:rsidP="00F063AF">
            <w:pPr>
              <w:numPr>
                <w:ilvl w:val="2"/>
                <w:numId w:val="247"/>
              </w:numPr>
              <w:tabs>
                <w:tab w:val="clear" w:pos="2140"/>
                <w:tab w:val="num" w:pos="690"/>
              </w:tabs>
              <w:spacing w:after="120"/>
              <w:ind w:left="690"/>
              <w:rPr>
                <w:szCs w:val="56"/>
                <w:highlight w:val="darkGray"/>
              </w:rPr>
            </w:pPr>
            <w:r w:rsidRPr="002546E5">
              <w:rPr>
                <w:szCs w:val="56"/>
                <w:highlight w:val="darkGray"/>
              </w:rPr>
              <w:t>Medical evidence does not need to be in DBQ format unless under the ACE process.</w:t>
            </w:r>
          </w:p>
          <w:p w:rsidR="001F1099" w:rsidRPr="004612A0" w:rsidRDefault="001F1099" w:rsidP="00F063AF">
            <w:pPr>
              <w:numPr>
                <w:ilvl w:val="2"/>
                <w:numId w:val="247"/>
              </w:numPr>
              <w:tabs>
                <w:tab w:val="clear" w:pos="2140"/>
                <w:tab w:val="num" w:pos="690"/>
              </w:tabs>
              <w:spacing w:after="120"/>
              <w:ind w:left="690"/>
              <w:rPr>
                <w:i/>
              </w:rPr>
            </w:pPr>
            <w:r w:rsidRPr="004612A0">
              <w:rPr>
                <w:i/>
                <w:szCs w:val="56"/>
              </w:rPr>
              <w:t>Can add:</w:t>
            </w:r>
          </w:p>
          <w:p w:rsidR="00013EB8" w:rsidRPr="004612A0" w:rsidRDefault="00013EB8" w:rsidP="001F1099">
            <w:pPr>
              <w:pBdr>
                <w:top w:val="single" w:sz="4" w:space="1" w:color="auto"/>
                <w:left w:val="single" w:sz="4" w:space="4" w:color="auto"/>
                <w:bottom w:val="single" w:sz="4" w:space="1" w:color="auto"/>
                <w:right w:val="single" w:sz="4" w:space="4" w:color="auto"/>
              </w:pBdr>
              <w:spacing w:after="120"/>
              <w:ind w:left="690" w:right="150"/>
            </w:pPr>
            <w:r w:rsidRPr="004612A0">
              <w:rPr>
                <w:szCs w:val="56"/>
              </w:rPr>
              <w:t>We have evaluated your disability based on treatment records</w:t>
            </w:r>
            <w:r w:rsidR="000754A4" w:rsidRPr="004612A0">
              <w:rPr>
                <w:szCs w:val="56"/>
              </w:rPr>
              <w:t>. P</w:t>
            </w:r>
            <w:r w:rsidRPr="004612A0">
              <w:rPr>
                <w:szCs w:val="56"/>
              </w:rPr>
              <w:t>lease let us know if you believe your disability me</w:t>
            </w:r>
            <w:r w:rsidR="001F1099" w:rsidRPr="004612A0">
              <w:rPr>
                <w:szCs w:val="56"/>
              </w:rPr>
              <w:t>ets the next higher evaluation.</w:t>
            </w:r>
          </w:p>
          <w:p w:rsidR="00013EB8" w:rsidRPr="004612A0" w:rsidRDefault="00013EB8" w:rsidP="00F063AF">
            <w:pPr>
              <w:numPr>
                <w:ilvl w:val="2"/>
                <w:numId w:val="247"/>
              </w:numPr>
              <w:tabs>
                <w:tab w:val="clear" w:pos="2140"/>
                <w:tab w:val="num" w:pos="690"/>
              </w:tabs>
              <w:spacing w:after="120"/>
              <w:ind w:left="690"/>
              <w:rPr>
                <w:rStyle w:val="Hyperlink"/>
                <w:color w:val="auto"/>
                <w:u w:val="none"/>
              </w:rPr>
            </w:pPr>
            <w:r w:rsidRPr="004612A0">
              <w:rPr>
                <w:szCs w:val="56"/>
              </w:rPr>
              <w:t>The Assessment (quiz) in TMS indicated (1) six months of treatment in service does not establish chronicity, still need a medical opinion; and (2) SC for stroke secondary to hypertension can be granted without etiology noted i</w:t>
            </w:r>
            <w:r w:rsidR="00002033" w:rsidRPr="004612A0">
              <w:rPr>
                <w:szCs w:val="56"/>
              </w:rPr>
              <w:t xml:space="preserve">n TRs (do not need to get exam). </w:t>
            </w:r>
            <w:r w:rsidR="008D2182" w:rsidRPr="004612A0">
              <w:rPr>
                <w:i/>
                <w:szCs w:val="56"/>
              </w:rPr>
              <w:t>**</w:t>
            </w:r>
            <w:r w:rsidR="00002033" w:rsidRPr="004612A0">
              <w:rPr>
                <w:i/>
                <w:szCs w:val="56"/>
              </w:rPr>
              <w:t>The latter</w:t>
            </w:r>
            <w:r w:rsidR="00970655" w:rsidRPr="004612A0">
              <w:rPr>
                <w:i/>
                <w:szCs w:val="56"/>
              </w:rPr>
              <w:t xml:space="preserve"> (specifically arteriosclerotic manifestations, to include cerebral arteriosclerosis</w:t>
            </w:r>
            <w:r w:rsidR="009A766A" w:rsidRPr="004612A0">
              <w:rPr>
                <w:i/>
                <w:szCs w:val="56"/>
              </w:rPr>
              <w:t xml:space="preserve"> (8046)</w:t>
            </w:r>
            <w:r w:rsidR="00970655" w:rsidRPr="004612A0">
              <w:rPr>
                <w:i/>
                <w:szCs w:val="56"/>
              </w:rPr>
              <w:t xml:space="preserve"> or thrombosis </w:t>
            </w:r>
            <w:r w:rsidR="009A766A" w:rsidRPr="004612A0">
              <w:rPr>
                <w:i/>
                <w:szCs w:val="56"/>
              </w:rPr>
              <w:t xml:space="preserve">(8008) </w:t>
            </w:r>
            <w:r w:rsidR="00970655" w:rsidRPr="004612A0">
              <w:rPr>
                <w:i/>
                <w:szCs w:val="56"/>
              </w:rPr>
              <w:t xml:space="preserve">with </w:t>
            </w:r>
            <w:r w:rsidR="00B369A1" w:rsidRPr="004612A0">
              <w:rPr>
                <w:rStyle w:val="Emphasis"/>
                <w:i w:val="0"/>
              </w:rPr>
              <w:t>hemiplegia [includes TIA, stroke, CVA, per Carlos Rosario];</w:t>
            </w:r>
            <w:r w:rsidR="00970655" w:rsidRPr="004612A0">
              <w:rPr>
                <w:i/>
                <w:szCs w:val="56"/>
              </w:rPr>
              <w:t xml:space="preserve"> nephrosclerosis of the kidneys with impairment of renal function</w:t>
            </w:r>
            <w:r w:rsidR="009A766A" w:rsidRPr="004612A0">
              <w:rPr>
                <w:i/>
                <w:szCs w:val="56"/>
              </w:rPr>
              <w:t xml:space="preserve"> (7507)</w:t>
            </w:r>
            <w:r w:rsidR="00970655" w:rsidRPr="004612A0">
              <w:rPr>
                <w:i/>
                <w:szCs w:val="56"/>
              </w:rPr>
              <w:t>, and myocardial damage or coronary occlusion of the heart</w:t>
            </w:r>
            <w:r w:rsidR="00AC7AAB" w:rsidRPr="004612A0">
              <w:rPr>
                <w:i/>
                <w:szCs w:val="56"/>
              </w:rPr>
              <w:t xml:space="preserve"> (7006)</w:t>
            </w:r>
            <w:r w:rsidR="00B369A1" w:rsidRPr="004612A0">
              <w:rPr>
                <w:rStyle w:val="Emphasis"/>
                <w:i w:val="0"/>
              </w:rPr>
              <w:t xml:space="preserve"> [does not include IHD/CAD, just MI, per Carlos Rosario];</w:t>
            </w:r>
            <w:r w:rsidR="00002033" w:rsidRPr="004612A0">
              <w:rPr>
                <w:i/>
                <w:szCs w:val="56"/>
              </w:rPr>
              <w:t xml:space="preserve"> is confirmed by</w:t>
            </w:r>
            <w:r w:rsidR="00970655" w:rsidRPr="004612A0">
              <w:rPr>
                <w:i/>
                <w:szCs w:val="56"/>
              </w:rPr>
              <w:t xml:space="preserve"> </w:t>
            </w:r>
            <w:r w:rsidR="009474D3">
              <w:rPr>
                <w:b/>
                <w:i/>
                <w:szCs w:val="56"/>
              </w:rPr>
              <w:t>III.iv.4.G.3</w:t>
            </w:r>
            <w:r w:rsidR="00E35C8E" w:rsidRPr="004612A0">
              <w:rPr>
                <w:b/>
                <w:i/>
                <w:szCs w:val="56"/>
              </w:rPr>
              <w:t>.g</w:t>
            </w:r>
            <w:r w:rsidR="00970655" w:rsidRPr="004612A0">
              <w:rPr>
                <w:i/>
                <w:szCs w:val="56"/>
              </w:rPr>
              <w:t xml:space="preserve"> &amp;</w:t>
            </w:r>
            <w:r w:rsidR="00002033" w:rsidRPr="004612A0">
              <w:rPr>
                <w:i/>
                <w:szCs w:val="56"/>
              </w:rPr>
              <w:t xml:space="preserve"> </w:t>
            </w:r>
            <w:r w:rsidR="00002033" w:rsidRPr="004612A0">
              <w:rPr>
                <w:b/>
                <w:bCs/>
                <w:i/>
              </w:rPr>
              <w:t xml:space="preserve">November 2013 </w:t>
            </w:r>
            <w:r w:rsidR="00EB6F0B" w:rsidRPr="004612A0">
              <w:rPr>
                <w:b/>
                <w:bCs/>
                <w:i/>
              </w:rPr>
              <w:t>Compensation Service Bulletin (CSB)</w:t>
            </w:r>
            <w:r w:rsidR="00E61CBC" w:rsidRPr="004612A0">
              <w:rPr>
                <w:rStyle w:val="Hyperlink"/>
                <w:bCs/>
                <w:i/>
                <w:color w:val="auto"/>
                <w:u w:val="none"/>
              </w:rPr>
              <w:t xml:space="preserve">; *Note that </w:t>
            </w:r>
            <w:r w:rsidR="00E61CBC" w:rsidRPr="004612A0">
              <w:rPr>
                <w:b/>
                <w:bCs/>
                <w:i/>
              </w:rPr>
              <w:t xml:space="preserve">November 2013 </w:t>
            </w:r>
            <w:r w:rsidR="00EB6F0B" w:rsidRPr="004612A0">
              <w:rPr>
                <w:b/>
                <w:bCs/>
                <w:i/>
              </w:rPr>
              <w:t>Compensation Service Bulletin (CSB)</w:t>
            </w:r>
            <w:r w:rsidR="00E61CBC" w:rsidRPr="004612A0">
              <w:rPr>
                <w:rStyle w:val="Hyperlink"/>
                <w:bCs/>
                <w:i/>
                <w:color w:val="auto"/>
                <w:u w:val="none"/>
              </w:rPr>
              <w:t xml:space="preserve"> says effective date for stroke/CVA &amp; nephrosclerosis &amp; myocardial damage/coronary occlusion (conds listed at </w:t>
            </w:r>
            <w:r w:rsidR="00E61CBC" w:rsidRPr="004612A0">
              <w:rPr>
                <w:rStyle w:val="Hyperlink"/>
                <w:b/>
                <w:bCs/>
                <w:i/>
                <w:color w:val="auto"/>
                <w:u w:val="none"/>
              </w:rPr>
              <w:t>III.iv.4.</w:t>
            </w:r>
            <w:r w:rsidR="00364863">
              <w:rPr>
                <w:rStyle w:val="Hyperlink"/>
                <w:b/>
                <w:bCs/>
                <w:i/>
                <w:color w:val="auto"/>
                <w:u w:val="none"/>
              </w:rPr>
              <w:t>G.3</w:t>
            </w:r>
            <w:r w:rsidR="00E61CBC" w:rsidRPr="004612A0">
              <w:rPr>
                <w:rStyle w:val="Hyperlink"/>
                <w:b/>
                <w:bCs/>
                <w:i/>
                <w:color w:val="auto"/>
                <w:u w:val="none"/>
              </w:rPr>
              <w:t>.</w:t>
            </w:r>
            <w:r w:rsidR="00E35C8E" w:rsidRPr="004612A0">
              <w:rPr>
                <w:rStyle w:val="Hyperlink"/>
                <w:b/>
                <w:bCs/>
                <w:i/>
                <w:color w:val="auto"/>
                <w:u w:val="none"/>
              </w:rPr>
              <w:t>g</w:t>
            </w:r>
            <w:r w:rsidR="00E61CBC" w:rsidRPr="004612A0">
              <w:rPr>
                <w:rStyle w:val="Hyperlink"/>
                <w:bCs/>
                <w:i/>
                <w:color w:val="auto"/>
                <w:u w:val="none"/>
              </w:rPr>
              <w:t>) is date of claim or date entitlement arose, cannot apply 3.157 or 3.400 (it’s not a worsening of hypertension)</w:t>
            </w:r>
          </w:p>
          <w:p w:rsidR="00013EB8" w:rsidRPr="004612A0" w:rsidRDefault="00D571C5" w:rsidP="00F063AF">
            <w:pPr>
              <w:numPr>
                <w:ilvl w:val="2"/>
                <w:numId w:val="247"/>
              </w:numPr>
              <w:tabs>
                <w:tab w:val="clear" w:pos="2140"/>
                <w:tab w:val="num" w:pos="690"/>
              </w:tabs>
              <w:spacing w:after="120"/>
              <w:ind w:left="690"/>
              <w:rPr>
                <w:b/>
                <w:i/>
              </w:rPr>
            </w:pPr>
            <w:hyperlink r:id="rId742" w:history="1">
              <w:r w:rsidR="00D62536" w:rsidRPr="004612A0">
                <w:rPr>
                  <w:rStyle w:val="Hyperlink"/>
                  <w:b/>
                  <w:i/>
                  <w:color w:val="auto"/>
                </w:rPr>
                <w:t>QRT Questions from Changing the Game:  VA Examinations</w:t>
              </w:r>
            </w:hyperlink>
            <w:r w:rsidR="00D62536" w:rsidRPr="004612A0">
              <w:t xml:space="preserve"> – can grant DM at 20% based on TRs if there are no potential complications; IU effective date question; can rate respiratory disabilities on meds, even without PFT; requirement for Gen Med exams; ACE exams &amp; tender scars; cardio evals – need to know if there is cardiac enlargement &amp; what METS are, but can give interim 10% based on meds then get exam; tinnitus complaints vs. diagnosis; requirement for Goldmann Bowl; chiropractic reports with ROM values aren’t sufficient to assign an eval based on LOM; even if can grant, still need to get TRs identified; if TRs show painful motion, can grant 10%, no need for exam</w:t>
            </w:r>
          </w:p>
        </w:tc>
      </w:tr>
    </w:tbl>
    <w:p w:rsidR="009E68C7" w:rsidRPr="005A0248" w:rsidRDefault="005A0248" w:rsidP="00F063AF">
      <w:pPr>
        <w:pStyle w:val="NoSpacing"/>
        <w:numPr>
          <w:ilvl w:val="0"/>
          <w:numId w:val="142"/>
        </w:numPr>
        <w:tabs>
          <w:tab w:val="left" w:pos="420"/>
        </w:tabs>
        <w:ind w:left="990"/>
        <w:rPr>
          <w:rFonts w:ascii="Arial" w:hAnsi="Arial"/>
          <w:b/>
          <w:i/>
          <w:sz w:val="20"/>
          <w:szCs w:val="20"/>
          <w:u w:val="single"/>
        </w:rPr>
      </w:pPr>
      <w:r w:rsidRPr="005A0248">
        <w:rPr>
          <w:rFonts w:ascii="Arial" w:hAnsi="Arial"/>
          <w:b/>
          <w:i/>
          <w:sz w:val="20"/>
          <w:szCs w:val="20"/>
          <w:u w:val="single"/>
        </w:rPr>
        <w:t>August 2013 Training Provided by Central Office by RQRS Challenge</w:t>
      </w:r>
      <w:r>
        <w:rPr>
          <w:rFonts w:ascii="Arial" w:hAnsi="Arial"/>
          <w:b/>
          <w:i/>
          <w:sz w:val="20"/>
          <w:szCs w:val="20"/>
          <w:u w:val="single"/>
        </w:rPr>
        <w:t xml:space="preserve"> Instructors on Exams</w:t>
      </w:r>
      <w:r w:rsidR="003E1FB5" w:rsidRPr="005A0248">
        <w:rPr>
          <w:rFonts w:ascii="Arial" w:hAnsi="Arial"/>
        </w:rPr>
        <w:t>:</w:t>
      </w:r>
    </w:p>
    <w:p w:rsidR="009E68C7" w:rsidRPr="009E68C7" w:rsidRDefault="009E68C7" w:rsidP="007C6674">
      <w:pPr>
        <w:spacing w:after="120"/>
        <w:ind w:left="990"/>
        <w:rPr>
          <w:b/>
        </w:rPr>
      </w:pPr>
      <w:r w:rsidRPr="009E68C7">
        <w:rPr>
          <w:b/>
        </w:rPr>
        <w:t>Exams – B2 errors</w:t>
      </w:r>
    </w:p>
    <w:p w:rsidR="009E68C7" w:rsidRPr="009E68C7" w:rsidRDefault="009E68C7" w:rsidP="007C6674">
      <w:pPr>
        <w:spacing w:after="120"/>
        <w:ind w:left="990"/>
        <w:rPr>
          <w:i/>
        </w:rPr>
      </w:pPr>
      <w:r w:rsidRPr="009E68C7">
        <w:rPr>
          <w:i/>
        </w:rPr>
        <w:t>When to get exam? When to get opinion? Are results sufficient?</w:t>
      </w:r>
    </w:p>
    <w:p w:rsidR="009E68C7" w:rsidRPr="009E68C7" w:rsidRDefault="009E68C7" w:rsidP="007C6674">
      <w:pPr>
        <w:ind w:left="990"/>
      </w:pPr>
      <w:r w:rsidRPr="009E68C7">
        <w:t>Need 3 things to get an exam:</w:t>
      </w:r>
    </w:p>
    <w:p w:rsidR="009E68C7" w:rsidRPr="009E68C7" w:rsidRDefault="009E68C7" w:rsidP="00F063AF">
      <w:pPr>
        <w:pStyle w:val="ListParagraph"/>
        <w:numPr>
          <w:ilvl w:val="0"/>
          <w:numId w:val="141"/>
        </w:numPr>
        <w:tabs>
          <w:tab w:val="left" w:pos="1440"/>
        </w:tabs>
        <w:ind w:left="1350"/>
        <w:contextualSpacing/>
        <w:rPr>
          <w:rFonts w:ascii="Arial" w:hAnsi="Arial"/>
          <w:sz w:val="20"/>
          <w:szCs w:val="20"/>
        </w:rPr>
      </w:pPr>
      <w:r w:rsidRPr="009E68C7">
        <w:rPr>
          <w:rFonts w:ascii="Arial" w:hAnsi="Arial"/>
          <w:sz w:val="20"/>
          <w:szCs w:val="20"/>
        </w:rPr>
        <w:t>Diagnosis or symptoms from veteran</w:t>
      </w:r>
    </w:p>
    <w:p w:rsidR="009E68C7" w:rsidRPr="009E68C7" w:rsidRDefault="009E68C7" w:rsidP="00F063AF">
      <w:pPr>
        <w:pStyle w:val="ListParagraph"/>
        <w:numPr>
          <w:ilvl w:val="0"/>
          <w:numId w:val="141"/>
        </w:numPr>
        <w:tabs>
          <w:tab w:val="left" w:pos="1440"/>
        </w:tabs>
        <w:ind w:left="1350"/>
        <w:contextualSpacing/>
        <w:rPr>
          <w:rFonts w:ascii="Arial" w:hAnsi="Arial"/>
          <w:sz w:val="20"/>
          <w:szCs w:val="20"/>
        </w:rPr>
      </w:pPr>
      <w:r w:rsidRPr="009E68C7">
        <w:rPr>
          <w:rFonts w:ascii="Arial" w:hAnsi="Arial"/>
          <w:sz w:val="20"/>
          <w:szCs w:val="20"/>
        </w:rPr>
        <w:t>STRs or other records show an event in service</w:t>
      </w:r>
    </w:p>
    <w:p w:rsidR="009E68C7" w:rsidRPr="009E68C7" w:rsidRDefault="009E68C7" w:rsidP="00F063AF">
      <w:pPr>
        <w:pStyle w:val="ListParagraph"/>
        <w:numPr>
          <w:ilvl w:val="0"/>
          <w:numId w:val="141"/>
        </w:numPr>
        <w:tabs>
          <w:tab w:val="left" w:pos="1440"/>
        </w:tabs>
        <w:spacing w:after="0"/>
        <w:ind w:left="1350"/>
        <w:contextualSpacing/>
        <w:rPr>
          <w:rFonts w:ascii="Arial" w:hAnsi="Arial"/>
          <w:sz w:val="20"/>
          <w:szCs w:val="20"/>
        </w:rPr>
      </w:pPr>
      <w:r w:rsidRPr="009E68C7">
        <w:rPr>
          <w:rFonts w:ascii="Arial" w:hAnsi="Arial"/>
          <w:sz w:val="20"/>
          <w:szCs w:val="20"/>
        </w:rPr>
        <w:t>Something to indicate a relationship</w:t>
      </w:r>
    </w:p>
    <w:p w:rsidR="009E68C7" w:rsidRPr="009E68C7" w:rsidRDefault="009E68C7" w:rsidP="007C6674">
      <w:pPr>
        <w:spacing w:after="120"/>
        <w:ind w:left="990"/>
      </w:pPr>
      <w:r w:rsidRPr="009E68C7">
        <w:t xml:space="preserve">If don’t have #3, deny for </w:t>
      </w:r>
      <w:r w:rsidR="007D3F63">
        <w:rPr>
          <w:rFonts w:ascii="Verdana" w:hAnsi="Verdana"/>
          <w:b/>
          <w:bCs/>
          <w:highlight w:val="green"/>
        </w:rPr>
        <w:t>NONEX</w:t>
      </w:r>
      <w:r w:rsidRPr="009E68C7">
        <w:t xml:space="preserve">. (Examples:  one treatment in service with complaints now, that’s it = no exam; one treatment in service with complaints now &amp; a statement from veteran that related to service = get exam &amp; opinion – </w:t>
      </w:r>
      <w:r w:rsidRPr="009E68C7">
        <w:rPr>
          <w:i/>
        </w:rPr>
        <w:t>he says claim for SC/comp is just a claim for disability &amp; is not the same as a statement linking it to service</w:t>
      </w:r>
      <w:r w:rsidRPr="009E68C7">
        <w:t>)</w:t>
      </w:r>
    </w:p>
    <w:p w:rsidR="000771E8" w:rsidRPr="000771E8" w:rsidRDefault="000771E8" w:rsidP="00F063AF">
      <w:pPr>
        <w:pStyle w:val="ListParagraph"/>
        <w:numPr>
          <w:ilvl w:val="1"/>
          <w:numId w:val="248"/>
        </w:numPr>
        <w:tabs>
          <w:tab w:val="left" w:pos="1530"/>
        </w:tabs>
        <w:spacing w:after="120"/>
        <w:ind w:left="1440"/>
        <w:rPr>
          <w:rFonts w:ascii="Arial" w:hAnsi="Arial"/>
          <w:sz w:val="20"/>
        </w:rPr>
      </w:pPr>
      <w:r w:rsidRPr="000771E8">
        <w:rPr>
          <w:rFonts w:ascii="Arial" w:hAnsi="Arial"/>
          <w:sz w:val="20"/>
        </w:rPr>
        <w:t>I</w:t>
      </w:r>
      <w:r w:rsidR="009E68C7" w:rsidRPr="000771E8">
        <w:rPr>
          <w:rFonts w:ascii="Arial" w:hAnsi="Arial"/>
          <w:sz w:val="20"/>
        </w:rPr>
        <w:t xml:space="preserve">f you have medical evidence that is adequate for rating purposes (just as good as an exam), don’t get an exam. </w:t>
      </w:r>
      <w:r w:rsidR="009E68C7" w:rsidRPr="000771E8">
        <w:rPr>
          <w:rFonts w:ascii="Arial" w:hAnsi="Arial"/>
          <w:i/>
          <w:sz w:val="20"/>
        </w:rPr>
        <w:t>You do not need to have evidence to grant the highest evaluation possible, just enough info to evaluate accurately. Don’t need Deluca or Mitchell with this type of info (only for VAEs)</w:t>
      </w:r>
      <w:r w:rsidR="009E68C7" w:rsidRPr="000771E8">
        <w:rPr>
          <w:rFonts w:ascii="Arial" w:hAnsi="Arial"/>
          <w:sz w:val="20"/>
        </w:rPr>
        <w:t>.</w:t>
      </w:r>
      <w:r w:rsidR="009E101E" w:rsidRPr="000771E8">
        <w:rPr>
          <w:rFonts w:ascii="Arial" w:hAnsi="Arial"/>
          <w:sz w:val="20"/>
        </w:rPr>
        <w:t xml:space="preserve"> Only get an exam (including At O</w:t>
      </w:r>
      <w:r w:rsidR="009E68C7" w:rsidRPr="000771E8">
        <w:rPr>
          <w:rFonts w:ascii="Arial" w:hAnsi="Arial"/>
          <w:sz w:val="20"/>
        </w:rPr>
        <w:t xml:space="preserve">nce exams) if </w:t>
      </w:r>
      <w:r w:rsidR="009E68C7" w:rsidRPr="000771E8">
        <w:rPr>
          <w:rFonts w:ascii="Arial" w:hAnsi="Arial"/>
          <w:b/>
          <w:sz w:val="20"/>
        </w:rPr>
        <w:t>NECESSARY</w:t>
      </w:r>
      <w:r w:rsidR="009E68C7" w:rsidRPr="000771E8">
        <w:rPr>
          <w:rFonts w:ascii="Arial" w:hAnsi="Arial"/>
          <w:i/>
          <w:sz w:val="20"/>
        </w:rPr>
        <w:t>. There is also no requirement related to the age of the evidence.</w:t>
      </w:r>
    </w:p>
    <w:p w:rsidR="000771E8" w:rsidRPr="000771E8" w:rsidRDefault="00484DB7" w:rsidP="00F063AF">
      <w:pPr>
        <w:pStyle w:val="ListParagraph"/>
        <w:numPr>
          <w:ilvl w:val="1"/>
          <w:numId w:val="248"/>
        </w:numPr>
        <w:tabs>
          <w:tab w:val="left" w:pos="1530"/>
        </w:tabs>
        <w:spacing w:after="120"/>
        <w:ind w:left="1440"/>
        <w:rPr>
          <w:rFonts w:ascii="Arial" w:hAnsi="Arial"/>
          <w:sz w:val="20"/>
        </w:rPr>
      </w:pPr>
      <w:r w:rsidRPr="00C2315E">
        <w:rPr>
          <w:rFonts w:ascii="Arial" w:hAnsi="Arial"/>
          <w:b/>
          <w:i/>
          <w:iCs/>
          <w:sz w:val="20"/>
          <w:szCs w:val="24"/>
        </w:rPr>
        <w:t>McLendon v. Nicholson, 20 Vet.App. 79</w:t>
      </w:r>
      <w:r w:rsidRPr="000771E8">
        <w:rPr>
          <w:rStyle w:val="Hyperlink"/>
          <w:rFonts w:ascii="Arial" w:hAnsi="Arial"/>
          <w:iCs/>
          <w:color w:val="auto"/>
          <w:sz w:val="20"/>
          <w:szCs w:val="24"/>
          <w:u w:val="none"/>
        </w:rPr>
        <w:t xml:space="preserve"> (2006)</w:t>
      </w:r>
      <w:r w:rsidR="009E68C7" w:rsidRPr="000771E8">
        <w:rPr>
          <w:rFonts w:ascii="Arial" w:hAnsi="Arial"/>
          <w:sz w:val="20"/>
        </w:rPr>
        <w:t xml:space="preserve"> – Threshold is low, </w:t>
      </w:r>
      <w:r w:rsidR="009E68C7" w:rsidRPr="000771E8">
        <w:rPr>
          <w:rFonts w:ascii="Arial" w:hAnsi="Arial"/>
          <w:i/>
          <w:sz w:val="20"/>
        </w:rPr>
        <w:t>but exams are not automatic</w:t>
      </w:r>
      <w:r w:rsidR="009E68C7" w:rsidRPr="000771E8">
        <w:rPr>
          <w:rFonts w:ascii="Arial" w:hAnsi="Arial"/>
          <w:sz w:val="20"/>
        </w:rPr>
        <w:t>. We NEED to take lay evidence into consideration, including veteran’s &amp; other’s statements.</w:t>
      </w:r>
    </w:p>
    <w:p w:rsidR="000771E8" w:rsidRPr="000771E8" w:rsidRDefault="009E68C7" w:rsidP="00F063AF">
      <w:pPr>
        <w:pStyle w:val="ListParagraph"/>
        <w:numPr>
          <w:ilvl w:val="1"/>
          <w:numId w:val="248"/>
        </w:numPr>
        <w:tabs>
          <w:tab w:val="left" w:pos="1530"/>
        </w:tabs>
        <w:spacing w:after="120"/>
        <w:ind w:left="1440"/>
        <w:rPr>
          <w:rFonts w:ascii="Arial" w:hAnsi="Arial"/>
          <w:sz w:val="20"/>
        </w:rPr>
      </w:pPr>
      <w:r w:rsidRPr="000771E8">
        <w:rPr>
          <w:rFonts w:ascii="Arial" w:hAnsi="Arial"/>
          <w:b/>
          <w:sz w:val="20"/>
        </w:rPr>
        <w:t>Federal Court</w:t>
      </w:r>
      <w:r w:rsidRPr="000771E8">
        <w:rPr>
          <w:rFonts w:ascii="Arial" w:hAnsi="Arial"/>
          <w:sz w:val="20"/>
        </w:rPr>
        <w:t xml:space="preserve"> says VAEs are not routine/automatic, need to analyze case &amp; see if have 3 requirements.</w:t>
      </w:r>
    </w:p>
    <w:p w:rsidR="000771E8" w:rsidRPr="000771E8" w:rsidRDefault="009E68C7" w:rsidP="00F063AF">
      <w:pPr>
        <w:pStyle w:val="ListParagraph"/>
        <w:numPr>
          <w:ilvl w:val="1"/>
          <w:numId w:val="248"/>
        </w:numPr>
        <w:tabs>
          <w:tab w:val="left" w:pos="1530"/>
        </w:tabs>
        <w:spacing w:after="120"/>
        <w:ind w:left="1440"/>
        <w:rPr>
          <w:rFonts w:ascii="Arial" w:hAnsi="Arial"/>
          <w:sz w:val="20"/>
        </w:rPr>
      </w:pPr>
      <w:r w:rsidRPr="000771E8">
        <w:rPr>
          <w:rFonts w:ascii="Arial" w:hAnsi="Arial"/>
          <w:sz w:val="20"/>
          <w:u w:val="single"/>
        </w:rPr>
        <w:t>Insufficiencies</w:t>
      </w:r>
      <w:r w:rsidRPr="000771E8">
        <w:rPr>
          <w:rFonts w:ascii="Arial" w:hAnsi="Arial"/>
          <w:sz w:val="20"/>
        </w:rPr>
        <w:t xml:space="preserve"> – 4.2 – look at whole record; only send back if box/info/details could lead to a higher evaluation</w:t>
      </w:r>
    </w:p>
    <w:p w:rsidR="00AF22E8" w:rsidRDefault="00AF22E8" w:rsidP="00F063AF">
      <w:pPr>
        <w:pStyle w:val="ListParagraph"/>
        <w:numPr>
          <w:ilvl w:val="1"/>
          <w:numId w:val="248"/>
        </w:numPr>
        <w:tabs>
          <w:tab w:val="left" w:pos="1530"/>
        </w:tabs>
        <w:spacing w:after="120"/>
        <w:ind w:left="990"/>
        <w:rPr>
          <w:rFonts w:ascii="Arial" w:hAnsi="Arial"/>
          <w:sz w:val="20"/>
        </w:rPr>
      </w:pPr>
      <w:r w:rsidRPr="006E501E">
        <w:rPr>
          <w:rFonts w:ascii="Arial" w:hAnsi="Arial"/>
          <w:b/>
          <w:bCs/>
          <w:i/>
          <w:sz w:val="20"/>
        </w:rPr>
        <w:t xml:space="preserve">December 2013 </w:t>
      </w:r>
      <w:r w:rsidR="00EB6F0B" w:rsidRPr="006E501E">
        <w:rPr>
          <w:rFonts w:ascii="Arial" w:hAnsi="Arial"/>
          <w:b/>
          <w:bCs/>
          <w:i/>
          <w:sz w:val="20"/>
        </w:rPr>
        <w:t>Compensation Service Bulletin (CSB)</w:t>
      </w:r>
      <w:r w:rsidRPr="000771E8">
        <w:rPr>
          <w:rStyle w:val="Hyperlink"/>
          <w:rFonts w:ascii="Arial" w:hAnsi="Arial"/>
          <w:bCs/>
          <w:sz w:val="20"/>
          <w:u w:val="none"/>
        </w:rPr>
        <w:t xml:space="preserve"> – </w:t>
      </w:r>
      <w:r w:rsidRPr="000771E8">
        <w:rPr>
          <w:rStyle w:val="Hyperlink"/>
          <w:rFonts w:ascii="Arial" w:hAnsi="Arial"/>
          <w:bCs/>
          <w:color w:val="auto"/>
          <w:sz w:val="20"/>
          <w:u w:val="none"/>
        </w:rPr>
        <w:t>confirms that “</w:t>
      </w:r>
      <w:r w:rsidRPr="000771E8">
        <w:rPr>
          <w:rFonts w:ascii="Arial" w:hAnsi="Arial"/>
          <w:sz w:val="20"/>
        </w:rPr>
        <w:t>The last requirement for an “indication of association” can be satisfied by lay testimony.  The Veteran’s indication that his/her condition has existed “since service” satisfies the requirement.  However, without a medical or lay indication of association, no examination would be warranted in most cases.” Reiterates Examples above with distinction being that veteran says he hurt his back in service and it has hurt ever since.</w:t>
      </w:r>
    </w:p>
    <w:p w:rsidR="00463EEB" w:rsidRPr="000771E8" w:rsidRDefault="00463EEB" w:rsidP="00F063AF">
      <w:pPr>
        <w:pStyle w:val="ListParagraph"/>
        <w:numPr>
          <w:ilvl w:val="1"/>
          <w:numId w:val="248"/>
        </w:numPr>
        <w:tabs>
          <w:tab w:val="left" w:pos="1530"/>
        </w:tabs>
        <w:spacing w:after="120"/>
        <w:ind w:left="990"/>
        <w:rPr>
          <w:rFonts w:ascii="Arial" w:hAnsi="Arial"/>
          <w:sz w:val="20"/>
        </w:rPr>
      </w:pPr>
      <w:r>
        <w:rPr>
          <w:rFonts w:ascii="Arial" w:hAnsi="Arial"/>
          <w:sz w:val="20"/>
        </w:rPr>
        <w:t xml:space="preserve">VA Pulse, has document on Waters v. Shinseki - </w:t>
      </w:r>
      <w:r w:rsidRPr="00463EEB">
        <w:rPr>
          <w:rFonts w:ascii="Arial" w:hAnsi="Arial"/>
          <w:i/>
          <w:sz w:val="20"/>
        </w:rPr>
        <w:t>https://www.vapulse.net/docs/DOC-19848</w:t>
      </w:r>
    </w:p>
    <w:p w:rsidR="00F172C9" w:rsidRPr="00F172C9" w:rsidRDefault="00AD3897" w:rsidP="00F063AF">
      <w:pPr>
        <w:pStyle w:val="ListParagraph"/>
        <w:numPr>
          <w:ilvl w:val="0"/>
          <w:numId w:val="148"/>
        </w:numPr>
        <w:spacing w:after="120"/>
        <w:ind w:left="990"/>
        <w:rPr>
          <w:rFonts w:ascii="Arial" w:hAnsi="Arial"/>
          <w:sz w:val="20"/>
          <w:szCs w:val="20"/>
          <w:u w:val="single"/>
        </w:rPr>
      </w:pPr>
      <w:r w:rsidRPr="00F172C9">
        <w:rPr>
          <w:rFonts w:ascii="Arial" w:hAnsi="Arial"/>
          <w:b/>
          <w:bCs/>
          <w:i/>
          <w:sz w:val="20"/>
          <w:szCs w:val="20"/>
        </w:rPr>
        <w:t xml:space="preserve">December 2013 </w:t>
      </w:r>
      <w:r w:rsidR="00EB6F0B" w:rsidRPr="00F172C9">
        <w:rPr>
          <w:rFonts w:ascii="Arial" w:hAnsi="Arial"/>
          <w:b/>
          <w:bCs/>
          <w:i/>
          <w:sz w:val="20"/>
          <w:szCs w:val="20"/>
        </w:rPr>
        <w:t>Compensation Service Bulletin (CSB)</w:t>
      </w:r>
      <w:r w:rsidRPr="00F172C9">
        <w:rPr>
          <w:rStyle w:val="Hyperlink"/>
          <w:rFonts w:ascii="Arial" w:hAnsi="Arial"/>
          <w:b/>
          <w:bCs/>
          <w:i/>
          <w:sz w:val="20"/>
          <w:szCs w:val="20"/>
          <w:u w:val="none"/>
        </w:rPr>
        <w:t xml:space="preserve"> </w:t>
      </w:r>
      <w:r w:rsidRPr="00F172C9">
        <w:rPr>
          <w:rStyle w:val="Hyperlink"/>
          <w:rFonts w:ascii="Arial" w:hAnsi="Arial"/>
          <w:bCs/>
          <w:color w:val="auto"/>
          <w:sz w:val="20"/>
          <w:szCs w:val="20"/>
          <w:u w:val="none"/>
        </w:rPr>
        <w:t xml:space="preserve">– </w:t>
      </w:r>
      <w:r w:rsidRPr="00F172C9">
        <w:rPr>
          <w:rFonts w:ascii="Arial" w:hAnsi="Arial"/>
          <w:sz w:val="20"/>
          <w:szCs w:val="20"/>
        </w:rPr>
        <w:t>VA may accept a DBQ as adequate for rating purposes if the DBQ is completed by a licensed health care professional who is not a medical doctor (i.e. Nurse Pracitioner or Physician’s Assistant), except for mental exams (see FL 06-03)</w:t>
      </w:r>
    </w:p>
    <w:p w:rsidR="00B14B8E" w:rsidRPr="00F172C9" w:rsidRDefault="00B14B8E" w:rsidP="00F063AF">
      <w:pPr>
        <w:pStyle w:val="ListParagraph"/>
        <w:numPr>
          <w:ilvl w:val="0"/>
          <w:numId w:val="148"/>
        </w:numPr>
        <w:spacing w:after="120"/>
        <w:ind w:left="990"/>
        <w:rPr>
          <w:rFonts w:ascii="Arial" w:hAnsi="Arial"/>
          <w:sz w:val="20"/>
          <w:szCs w:val="20"/>
          <w:u w:val="single"/>
        </w:rPr>
      </w:pPr>
      <w:r w:rsidRPr="00F172C9">
        <w:rPr>
          <w:rFonts w:ascii="Arial" w:hAnsi="Arial"/>
          <w:sz w:val="20"/>
          <w:szCs w:val="20"/>
          <w:u w:val="single"/>
        </w:rPr>
        <w:t>The Three Requirements That Must be Met Before an Examination is Warranted</w:t>
      </w:r>
    </w:p>
    <w:p w:rsidR="00B14B8E" w:rsidRPr="00B14B8E" w:rsidRDefault="00B14B8E" w:rsidP="00B14B8E">
      <w:pPr>
        <w:widowControl w:val="0"/>
        <w:jc w:val="both"/>
        <w:rPr>
          <w:bCs/>
          <w:iCs/>
        </w:rPr>
      </w:pPr>
    </w:p>
    <w:tbl>
      <w:tblPr>
        <w:tblW w:w="0" w:type="auto"/>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2"/>
        <w:gridCol w:w="7128"/>
      </w:tblGrid>
      <w:tr w:rsidR="00B14B8E" w:rsidRPr="00B14B8E" w:rsidTr="002B7AA2">
        <w:trPr>
          <w:trHeight w:val="300"/>
        </w:trPr>
        <w:tc>
          <w:tcPr>
            <w:tcW w:w="2232" w:type="dxa"/>
            <w:shd w:val="clear" w:color="auto" w:fill="auto"/>
          </w:tcPr>
          <w:p w:rsidR="00B14B8E" w:rsidRPr="00B14B8E" w:rsidRDefault="00B14B8E" w:rsidP="00153214">
            <w:pPr>
              <w:pStyle w:val="NoSpacing"/>
              <w:rPr>
                <w:rFonts w:ascii="Arial" w:hAnsi="Arial"/>
                <w:b/>
                <w:sz w:val="20"/>
                <w:szCs w:val="20"/>
                <w:u w:val="single"/>
              </w:rPr>
            </w:pPr>
            <w:r w:rsidRPr="00B14B8E">
              <w:rPr>
                <w:rFonts w:ascii="Arial" w:hAnsi="Arial"/>
                <w:b/>
                <w:sz w:val="20"/>
                <w:szCs w:val="20"/>
                <w:u w:val="single"/>
              </w:rPr>
              <w:t>Element</w:t>
            </w:r>
          </w:p>
        </w:tc>
        <w:tc>
          <w:tcPr>
            <w:tcW w:w="7128" w:type="dxa"/>
            <w:shd w:val="clear" w:color="auto" w:fill="auto"/>
          </w:tcPr>
          <w:p w:rsidR="00B14B8E" w:rsidRPr="00B14B8E" w:rsidRDefault="00B14B8E" w:rsidP="00153214">
            <w:pPr>
              <w:pStyle w:val="NoSpacing"/>
              <w:rPr>
                <w:rFonts w:ascii="Arial" w:hAnsi="Arial"/>
                <w:b/>
                <w:sz w:val="20"/>
                <w:szCs w:val="20"/>
                <w:u w:val="single"/>
              </w:rPr>
            </w:pPr>
            <w:r w:rsidRPr="00B14B8E">
              <w:rPr>
                <w:rFonts w:ascii="Arial" w:hAnsi="Arial"/>
                <w:b/>
                <w:sz w:val="20"/>
                <w:szCs w:val="20"/>
                <w:u w:val="single"/>
              </w:rPr>
              <w:t>Guidance</w:t>
            </w:r>
          </w:p>
        </w:tc>
      </w:tr>
      <w:tr w:rsidR="00B14B8E" w:rsidRPr="00B14B8E" w:rsidTr="002B7AA2">
        <w:tblPrEx>
          <w:tblLook w:val="04A0" w:firstRow="1" w:lastRow="0" w:firstColumn="1" w:lastColumn="0" w:noHBand="0" w:noVBand="1"/>
        </w:tblPrEx>
        <w:trPr>
          <w:trHeight w:val="215"/>
        </w:trPr>
        <w:tc>
          <w:tcPr>
            <w:tcW w:w="2232" w:type="dxa"/>
            <w:shd w:val="clear" w:color="auto" w:fill="auto"/>
          </w:tcPr>
          <w:p w:rsidR="00B14B8E" w:rsidRPr="00B14B8E" w:rsidRDefault="00B14B8E" w:rsidP="00153214">
            <w:pPr>
              <w:pStyle w:val="NoSpacing"/>
              <w:rPr>
                <w:rFonts w:ascii="Arial" w:hAnsi="Arial"/>
                <w:sz w:val="20"/>
                <w:szCs w:val="20"/>
              </w:rPr>
            </w:pPr>
            <w:r w:rsidRPr="00B14B8E">
              <w:rPr>
                <w:rFonts w:ascii="Arial" w:hAnsi="Arial"/>
                <w:b/>
                <w:sz w:val="20"/>
                <w:szCs w:val="20"/>
              </w:rPr>
              <w:t>Element A</w:t>
            </w:r>
            <w:r w:rsidRPr="00B14B8E">
              <w:rPr>
                <w:rFonts w:ascii="Arial" w:hAnsi="Arial"/>
                <w:sz w:val="20"/>
                <w:szCs w:val="20"/>
              </w:rPr>
              <w:t xml:space="preserve"> </w:t>
            </w:r>
          </w:p>
          <w:p w:rsidR="00B14B8E" w:rsidRPr="00B14B8E" w:rsidRDefault="00B14B8E" w:rsidP="00153214">
            <w:pPr>
              <w:pStyle w:val="NoSpacing"/>
              <w:rPr>
                <w:rFonts w:ascii="Arial" w:hAnsi="Arial"/>
                <w:sz w:val="20"/>
                <w:szCs w:val="20"/>
              </w:rPr>
            </w:pPr>
            <w:r w:rsidRPr="00B14B8E">
              <w:rPr>
                <w:rFonts w:ascii="Arial" w:hAnsi="Arial"/>
                <w:sz w:val="20"/>
                <w:szCs w:val="20"/>
              </w:rPr>
              <w:t>Competent medical or lay evidence of current diagnosed disability or persistent or recurrent symptoms or disability.</w:t>
            </w:r>
          </w:p>
        </w:tc>
        <w:tc>
          <w:tcPr>
            <w:tcW w:w="7128" w:type="dxa"/>
            <w:shd w:val="clear" w:color="auto" w:fill="auto"/>
          </w:tcPr>
          <w:p w:rsidR="00B14B8E" w:rsidRPr="00B14B8E" w:rsidRDefault="00B14B8E" w:rsidP="00153214">
            <w:pPr>
              <w:pStyle w:val="NoSpacing"/>
              <w:rPr>
                <w:rFonts w:ascii="Arial" w:hAnsi="Arial"/>
                <w:sz w:val="20"/>
                <w:szCs w:val="20"/>
              </w:rPr>
            </w:pPr>
            <w:r w:rsidRPr="00B14B8E">
              <w:rPr>
                <w:rFonts w:ascii="Arial" w:hAnsi="Arial"/>
                <w:sz w:val="20"/>
                <w:szCs w:val="20"/>
              </w:rPr>
              <w:t xml:space="preserve">In many instances the Veteran’s lay testimony in a claim is enough to establish that there is a current disability or persistent or recurrent symptoms of disability.  Lay statements are generally competent to describe symptoms.  In some instances, medical evidence is required to establish the presence of a diagnosed disability, such as identifying a form of cancer. </w:t>
            </w:r>
          </w:p>
          <w:p w:rsidR="00B14B8E" w:rsidRPr="00B14B8E" w:rsidRDefault="00B14B8E" w:rsidP="00153214">
            <w:pPr>
              <w:pStyle w:val="NoSpacing"/>
              <w:rPr>
                <w:rFonts w:ascii="Arial" w:hAnsi="Arial"/>
                <w:sz w:val="20"/>
                <w:szCs w:val="20"/>
              </w:rPr>
            </w:pPr>
          </w:p>
          <w:p w:rsidR="00B14B8E" w:rsidRPr="00B14B8E" w:rsidRDefault="00B14B8E" w:rsidP="00153214">
            <w:pPr>
              <w:pStyle w:val="NoSpacing"/>
              <w:rPr>
                <w:rFonts w:ascii="Arial" w:hAnsi="Arial"/>
                <w:sz w:val="20"/>
                <w:szCs w:val="20"/>
              </w:rPr>
            </w:pPr>
            <w:r w:rsidRPr="00B14B8E">
              <w:rPr>
                <w:rFonts w:ascii="Arial" w:hAnsi="Arial"/>
                <w:sz w:val="20"/>
                <w:szCs w:val="20"/>
              </w:rPr>
              <w:t xml:space="preserve">VA defines “competent medical evidence” and “competent lay evidence” in 38 C.F.R. § 3.159(a)(1) and (2).  </w:t>
            </w:r>
          </w:p>
        </w:tc>
      </w:tr>
      <w:tr w:rsidR="00B14B8E" w:rsidRPr="00B14B8E" w:rsidTr="002B7AA2">
        <w:tblPrEx>
          <w:tblLook w:val="04A0" w:firstRow="1" w:lastRow="0" w:firstColumn="1" w:lastColumn="0" w:noHBand="0" w:noVBand="1"/>
        </w:tblPrEx>
        <w:trPr>
          <w:trHeight w:val="215"/>
        </w:trPr>
        <w:tc>
          <w:tcPr>
            <w:tcW w:w="2232" w:type="dxa"/>
            <w:shd w:val="clear" w:color="auto" w:fill="auto"/>
          </w:tcPr>
          <w:p w:rsidR="00B14B8E" w:rsidRPr="00B14B8E" w:rsidRDefault="00B14B8E" w:rsidP="00153214">
            <w:pPr>
              <w:pStyle w:val="NoSpacing"/>
              <w:rPr>
                <w:rFonts w:ascii="Arial" w:hAnsi="Arial"/>
                <w:b/>
                <w:sz w:val="20"/>
                <w:szCs w:val="20"/>
              </w:rPr>
            </w:pPr>
            <w:r w:rsidRPr="00B14B8E">
              <w:rPr>
                <w:rFonts w:ascii="Arial" w:hAnsi="Arial"/>
                <w:b/>
                <w:sz w:val="20"/>
                <w:szCs w:val="20"/>
              </w:rPr>
              <w:t>Element B</w:t>
            </w:r>
          </w:p>
          <w:p w:rsidR="00B14B8E" w:rsidRPr="00B14B8E" w:rsidRDefault="00B14B8E" w:rsidP="00153214">
            <w:pPr>
              <w:pStyle w:val="NoSpacing"/>
              <w:rPr>
                <w:rFonts w:ascii="Arial" w:hAnsi="Arial"/>
                <w:sz w:val="20"/>
                <w:szCs w:val="20"/>
              </w:rPr>
            </w:pPr>
            <w:r w:rsidRPr="00B14B8E">
              <w:rPr>
                <w:rFonts w:ascii="Arial" w:hAnsi="Arial"/>
                <w:sz w:val="20"/>
                <w:szCs w:val="20"/>
              </w:rPr>
              <w:t>Injury, disease, or event in service.</w:t>
            </w:r>
          </w:p>
        </w:tc>
        <w:tc>
          <w:tcPr>
            <w:tcW w:w="7128" w:type="dxa"/>
            <w:shd w:val="clear" w:color="auto" w:fill="auto"/>
          </w:tcPr>
          <w:p w:rsidR="00B14B8E" w:rsidRPr="00B14B8E" w:rsidRDefault="00B14B8E" w:rsidP="00153214">
            <w:pPr>
              <w:pStyle w:val="NoSpacing"/>
              <w:rPr>
                <w:rFonts w:ascii="Arial" w:hAnsi="Arial"/>
                <w:sz w:val="20"/>
                <w:szCs w:val="20"/>
              </w:rPr>
            </w:pPr>
            <w:r w:rsidRPr="00B14B8E">
              <w:rPr>
                <w:rFonts w:ascii="Arial" w:hAnsi="Arial"/>
                <w:sz w:val="20"/>
                <w:szCs w:val="20"/>
              </w:rPr>
              <w:t xml:space="preserve">To establish an event, injury, or disease in service, the Veteran merely has to have a single entry in the service treatment records; or, the Veteran’s lay statement will be sufficient if such statement is credible and otherwise consistent with the circumstances of the Veteran’s service.  If the Veteran’s claim relates to combat, the Veteran’s lay statement(s) must be accepted as sufficient if consistent with the circumstances, conditions, or hardships of the Veteran’s service.  In addition, this element is present if the Veteran has a disease or symptoms of a disease listed in 38 C.F.R. §§ 3.309, 3.313, 3.316, or 3.317 manifesting during an applicable presumptive period (provided that the claimant has the required service or triggering event to qualify for that presumption).  </w:t>
            </w:r>
          </w:p>
        </w:tc>
      </w:tr>
      <w:tr w:rsidR="00B14B8E" w:rsidRPr="00B14B8E" w:rsidTr="002B7AA2">
        <w:tblPrEx>
          <w:tblLook w:val="04A0" w:firstRow="1" w:lastRow="0" w:firstColumn="1" w:lastColumn="0" w:noHBand="0" w:noVBand="1"/>
        </w:tblPrEx>
        <w:trPr>
          <w:trHeight w:val="70"/>
        </w:trPr>
        <w:tc>
          <w:tcPr>
            <w:tcW w:w="2232" w:type="dxa"/>
            <w:shd w:val="clear" w:color="auto" w:fill="auto"/>
          </w:tcPr>
          <w:p w:rsidR="00B14B8E" w:rsidRPr="00B14B8E" w:rsidRDefault="00B14B8E" w:rsidP="00153214">
            <w:pPr>
              <w:pStyle w:val="NoSpacing"/>
              <w:rPr>
                <w:rFonts w:ascii="Arial" w:hAnsi="Arial"/>
                <w:sz w:val="20"/>
                <w:szCs w:val="20"/>
              </w:rPr>
            </w:pPr>
            <w:r w:rsidRPr="00B14B8E">
              <w:rPr>
                <w:rFonts w:ascii="Arial" w:hAnsi="Arial"/>
                <w:b/>
                <w:sz w:val="20"/>
                <w:szCs w:val="20"/>
              </w:rPr>
              <w:t>Element C</w:t>
            </w:r>
            <w:r w:rsidRPr="00B14B8E">
              <w:rPr>
                <w:rFonts w:ascii="Arial" w:hAnsi="Arial"/>
                <w:sz w:val="20"/>
                <w:szCs w:val="20"/>
              </w:rPr>
              <w:t xml:space="preserve"> </w:t>
            </w:r>
          </w:p>
          <w:p w:rsidR="00B14B8E" w:rsidRPr="00B14B8E" w:rsidRDefault="00B14B8E" w:rsidP="00153214">
            <w:pPr>
              <w:pStyle w:val="NoSpacing"/>
              <w:rPr>
                <w:rFonts w:ascii="Arial" w:hAnsi="Arial"/>
                <w:sz w:val="20"/>
                <w:szCs w:val="20"/>
              </w:rPr>
            </w:pPr>
            <w:r w:rsidRPr="00B14B8E">
              <w:rPr>
                <w:rFonts w:ascii="Arial" w:hAnsi="Arial"/>
                <w:sz w:val="20"/>
                <w:szCs w:val="20"/>
              </w:rPr>
              <w:t>Indication of association with the injury, disease, or event in service.</w:t>
            </w:r>
          </w:p>
        </w:tc>
        <w:tc>
          <w:tcPr>
            <w:tcW w:w="7128" w:type="dxa"/>
            <w:shd w:val="clear" w:color="auto" w:fill="auto"/>
          </w:tcPr>
          <w:p w:rsidR="00B14B8E" w:rsidRPr="00B14B8E" w:rsidRDefault="00B14B8E" w:rsidP="00153214">
            <w:pPr>
              <w:pStyle w:val="NoSpacing"/>
              <w:rPr>
                <w:rFonts w:ascii="Arial" w:hAnsi="Arial"/>
                <w:sz w:val="20"/>
                <w:szCs w:val="20"/>
              </w:rPr>
            </w:pPr>
            <w:r w:rsidRPr="00B14B8E">
              <w:rPr>
                <w:rFonts w:ascii="Arial" w:hAnsi="Arial"/>
                <w:sz w:val="20"/>
                <w:szCs w:val="20"/>
              </w:rPr>
              <w:t xml:space="preserve">There must be an indication that the claimed disability or symptoms may be associated with the in-service injury, disease, or event or with another service-connected disability.  For example, lay or medical evidence that a symptom has persisted “ever since service” would be an indication that a disability may be associated with service.  Lay evidence of association can satisfy element C if the layperson is competent to indicate association.  However, conclusory, generalized lay statements by the Veterans of an association may not be of sufficient weight to satisfy element C.  Unlike element B, the evidence need not establish an association, but only indicate a possible association.  </w:t>
            </w:r>
          </w:p>
          <w:p w:rsidR="00B14B8E" w:rsidRPr="00B14B8E" w:rsidRDefault="00B14B8E" w:rsidP="00153214">
            <w:pPr>
              <w:pStyle w:val="NoSpacing"/>
              <w:rPr>
                <w:rFonts w:ascii="Arial" w:hAnsi="Arial"/>
                <w:sz w:val="20"/>
                <w:szCs w:val="20"/>
              </w:rPr>
            </w:pPr>
          </w:p>
          <w:p w:rsidR="00B14B8E" w:rsidRPr="00B14B8E" w:rsidRDefault="00B14B8E" w:rsidP="00153214">
            <w:pPr>
              <w:pStyle w:val="NoSpacing"/>
              <w:rPr>
                <w:rFonts w:ascii="Arial" w:hAnsi="Arial"/>
                <w:sz w:val="20"/>
                <w:szCs w:val="20"/>
              </w:rPr>
            </w:pPr>
            <w:r w:rsidRPr="00B14B8E">
              <w:rPr>
                <w:rFonts w:ascii="Arial" w:hAnsi="Arial"/>
                <w:i/>
                <w:sz w:val="20"/>
                <w:szCs w:val="20"/>
              </w:rPr>
              <w:t xml:space="preserve">McLendon v. Nicholson - </w:t>
            </w:r>
            <w:r w:rsidRPr="00B14B8E">
              <w:rPr>
                <w:rFonts w:ascii="Arial" w:hAnsi="Arial"/>
                <w:sz w:val="20"/>
                <w:szCs w:val="20"/>
              </w:rPr>
              <w:t>the element C “indicates an association” standard is a “low threshold standard</w:t>
            </w:r>
            <w:r w:rsidR="00B565A5">
              <w:rPr>
                <w:rFonts w:ascii="Arial" w:hAnsi="Arial"/>
                <w:sz w:val="20"/>
                <w:szCs w:val="20"/>
              </w:rPr>
              <w:t>”</w:t>
            </w:r>
          </w:p>
          <w:p w:rsidR="00B14B8E" w:rsidRPr="00B14B8E" w:rsidRDefault="00B14B8E" w:rsidP="00153214">
            <w:pPr>
              <w:pStyle w:val="NoSpacing"/>
              <w:rPr>
                <w:rFonts w:ascii="Arial" w:hAnsi="Arial"/>
                <w:sz w:val="20"/>
                <w:szCs w:val="20"/>
              </w:rPr>
            </w:pPr>
            <w:r w:rsidRPr="00B14B8E">
              <w:rPr>
                <w:rFonts w:ascii="Arial" w:hAnsi="Arial"/>
                <w:i/>
                <w:sz w:val="20"/>
                <w:szCs w:val="20"/>
              </w:rPr>
              <w:t xml:space="preserve">Waters v. Shinseki - </w:t>
            </w:r>
            <w:r w:rsidRPr="00B14B8E">
              <w:rPr>
                <w:rFonts w:ascii="Arial" w:hAnsi="Arial"/>
                <w:sz w:val="20"/>
                <w:szCs w:val="20"/>
              </w:rPr>
              <w:t>element C only requires evidence indicating an association; this evidence does not need to be competent, nor does it need to be medical</w:t>
            </w:r>
          </w:p>
        </w:tc>
      </w:tr>
    </w:tbl>
    <w:p w:rsidR="00EC79CF" w:rsidRDefault="00EC79CF" w:rsidP="00B14B8E">
      <w:pPr>
        <w:rPr>
          <w:rFonts w:eastAsiaTheme="minorHAnsi"/>
        </w:rPr>
      </w:pPr>
    </w:p>
    <w:p w:rsidR="009D5D74" w:rsidRPr="000F0618" w:rsidRDefault="00D571C5" w:rsidP="00F063AF">
      <w:pPr>
        <w:pStyle w:val="NoSpacing"/>
        <w:numPr>
          <w:ilvl w:val="0"/>
          <w:numId w:val="189"/>
        </w:numPr>
        <w:tabs>
          <w:tab w:val="left" w:pos="1080"/>
        </w:tabs>
        <w:spacing w:after="120"/>
        <w:ind w:left="1080"/>
        <w:rPr>
          <w:rStyle w:val="Hyperlink"/>
          <w:rFonts w:ascii="Arial" w:hAnsi="Arial"/>
          <w:color w:val="auto"/>
          <w:sz w:val="20"/>
          <w:szCs w:val="20"/>
          <w:u w:val="none"/>
        </w:rPr>
      </w:pPr>
      <w:hyperlink r:id="rId743" w:history="1">
        <w:r w:rsidR="009D5D74" w:rsidRPr="00F26444">
          <w:rPr>
            <w:rStyle w:val="Hyperlink"/>
            <w:b/>
            <w:i/>
          </w:rPr>
          <w:t>12/19/14 DBQ Call</w:t>
        </w:r>
      </w:hyperlink>
      <w:r w:rsidR="009D5D74" w:rsidRPr="00F26444">
        <w:rPr>
          <w:rStyle w:val="Hyperlink"/>
          <w:u w:val="none"/>
        </w:rPr>
        <w:t xml:space="preserve"> </w:t>
      </w:r>
      <w:r w:rsidR="009D5D74" w:rsidRPr="009D5D74">
        <w:rPr>
          <w:rStyle w:val="Hyperlink"/>
          <w:color w:val="auto"/>
          <w:u w:val="none"/>
        </w:rPr>
        <w:t>–</w:t>
      </w:r>
      <w:r w:rsidR="009D5D74">
        <w:rPr>
          <w:rStyle w:val="Hyperlink"/>
          <w:color w:val="auto"/>
          <w:u w:val="none"/>
        </w:rPr>
        <w:t xml:space="preserve"> Examiners will only complete the ankylosis section if there IS ankylo</w:t>
      </w:r>
      <w:r w:rsidR="002B7AA2">
        <w:rPr>
          <w:rStyle w:val="Hyperlink"/>
          <w:color w:val="auto"/>
          <w:u w:val="none"/>
        </w:rPr>
        <w:t>sis. If entire section is blank</w:t>
      </w:r>
      <w:r w:rsidR="009D5D74">
        <w:rPr>
          <w:rStyle w:val="Hyperlink"/>
          <w:color w:val="auto"/>
          <w:u w:val="none"/>
        </w:rPr>
        <w:t>, even if did not check “No ankylosis</w:t>
      </w:r>
      <w:r w:rsidR="001946CC">
        <w:rPr>
          <w:rStyle w:val="Hyperlink"/>
          <w:color w:val="auto"/>
          <w:u w:val="none"/>
        </w:rPr>
        <w:t>,”</w:t>
      </w:r>
      <w:r w:rsidR="009D5D74">
        <w:rPr>
          <w:rStyle w:val="Hyperlink"/>
          <w:color w:val="auto"/>
          <w:u w:val="none"/>
        </w:rPr>
        <w:t xml:space="preserve"> then there is no ankylosis (the selection is there in case one side is ankylosed, but the other is not).</w:t>
      </w:r>
    </w:p>
    <w:p w:rsidR="000F0618" w:rsidRPr="000F0618" w:rsidRDefault="000F0618" w:rsidP="00F063AF">
      <w:pPr>
        <w:pStyle w:val="ListParagraph"/>
        <w:widowControl w:val="0"/>
        <w:numPr>
          <w:ilvl w:val="0"/>
          <w:numId w:val="189"/>
        </w:numPr>
        <w:spacing w:after="120" w:line="240" w:lineRule="auto"/>
        <w:ind w:left="1080"/>
        <w:rPr>
          <w:rFonts w:ascii="Arial" w:hAnsi="Arial"/>
          <w:sz w:val="20"/>
          <w:szCs w:val="20"/>
        </w:rPr>
      </w:pPr>
      <w:r w:rsidRPr="000F0618">
        <w:rPr>
          <w:rFonts w:ascii="Arial" w:hAnsi="Arial"/>
          <w:bCs/>
          <w:sz w:val="20"/>
          <w:szCs w:val="20"/>
        </w:rPr>
        <w:t xml:space="preserve">Notes from </w:t>
      </w:r>
      <w:r>
        <w:rPr>
          <w:rFonts w:ascii="Arial" w:hAnsi="Arial"/>
          <w:b/>
          <w:bCs/>
          <w:i/>
          <w:iCs/>
          <w:sz w:val="20"/>
          <w:szCs w:val="20"/>
          <w:u w:val="single"/>
        </w:rPr>
        <w:t xml:space="preserve">February </w:t>
      </w:r>
      <w:r w:rsidRPr="000F0618">
        <w:rPr>
          <w:rFonts w:ascii="Arial" w:hAnsi="Arial"/>
          <w:b/>
          <w:bCs/>
          <w:i/>
          <w:iCs/>
          <w:sz w:val="20"/>
          <w:szCs w:val="20"/>
          <w:u w:val="single"/>
        </w:rPr>
        <w:t>201</w:t>
      </w:r>
      <w:r>
        <w:rPr>
          <w:rFonts w:ascii="Arial" w:hAnsi="Arial"/>
          <w:b/>
          <w:bCs/>
          <w:i/>
          <w:iCs/>
          <w:sz w:val="20"/>
          <w:szCs w:val="20"/>
          <w:u w:val="single"/>
        </w:rPr>
        <w:t>5</w:t>
      </w:r>
      <w:r w:rsidRPr="000F0618">
        <w:rPr>
          <w:rFonts w:ascii="Arial" w:hAnsi="Arial"/>
          <w:b/>
          <w:bCs/>
          <w:i/>
          <w:iCs/>
          <w:sz w:val="20"/>
          <w:szCs w:val="20"/>
          <w:u w:val="single"/>
        </w:rPr>
        <w:t xml:space="preserve"> “</w:t>
      </w:r>
      <w:r>
        <w:rPr>
          <w:rFonts w:ascii="Arial" w:hAnsi="Arial"/>
          <w:b/>
          <w:bCs/>
          <w:i/>
          <w:iCs/>
          <w:sz w:val="20"/>
          <w:szCs w:val="20"/>
          <w:u w:val="single"/>
        </w:rPr>
        <w:t>Understanding the Need for VA Exams</w:t>
      </w:r>
      <w:r w:rsidRPr="000F0618">
        <w:rPr>
          <w:rFonts w:ascii="Arial" w:hAnsi="Arial"/>
          <w:b/>
          <w:bCs/>
          <w:i/>
          <w:iCs/>
          <w:sz w:val="20"/>
          <w:szCs w:val="20"/>
          <w:u w:val="single"/>
        </w:rPr>
        <w:t>” Training</w:t>
      </w:r>
      <w:r w:rsidRPr="000F0618">
        <w:rPr>
          <w:rFonts w:ascii="Arial" w:hAnsi="Arial"/>
          <w:sz w:val="20"/>
          <w:szCs w:val="20"/>
        </w:rPr>
        <w:t>:</w:t>
      </w:r>
    </w:p>
    <w:p w:rsidR="000F0618" w:rsidRDefault="000F0618" w:rsidP="00F063AF">
      <w:pPr>
        <w:pStyle w:val="NoSpacing"/>
        <w:numPr>
          <w:ilvl w:val="1"/>
          <w:numId w:val="249"/>
        </w:numPr>
        <w:tabs>
          <w:tab w:val="left" w:pos="1080"/>
        </w:tabs>
        <w:spacing w:after="120"/>
        <w:rPr>
          <w:rFonts w:ascii="Arial" w:hAnsi="Arial"/>
          <w:sz w:val="20"/>
          <w:szCs w:val="20"/>
        </w:rPr>
      </w:pPr>
      <w:r>
        <w:rPr>
          <w:rFonts w:ascii="Arial" w:hAnsi="Arial"/>
          <w:sz w:val="20"/>
          <w:szCs w:val="20"/>
        </w:rPr>
        <w:t>Need (1) current dx/recurrent sx, (2) in-service event &amp; (3) indication that dx/sx may be associated (i.e. nexus/li</w:t>
      </w:r>
      <w:r w:rsidR="00D779FF">
        <w:rPr>
          <w:rFonts w:ascii="Arial" w:hAnsi="Arial"/>
          <w:sz w:val="20"/>
          <w:szCs w:val="20"/>
        </w:rPr>
        <w:t>n</w:t>
      </w:r>
      <w:r>
        <w:rPr>
          <w:rFonts w:ascii="Arial" w:hAnsi="Arial"/>
          <w:sz w:val="20"/>
          <w:szCs w:val="20"/>
        </w:rPr>
        <w:t>k) before exam is warranted.</w:t>
      </w:r>
    </w:p>
    <w:p w:rsidR="000F0618" w:rsidRDefault="000F0618" w:rsidP="00F063AF">
      <w:pPr>
        <w:pStyle w:val="NoSpacing"/>
        <w:numPr>
          <w:ilvl w:val="1"/>
          <w:numId w:val="249"/>
        </w:numPr>
        <w:tabs>
          <w:tab w:val="left" w:pos="1080"/>
        </w:tabs>
        <w:spacing w:after="120"/>
        <w:rPr>
          <w:rFonts w:ascii="Arial" w:hAnsi="Arial"/>
          <w:sz w:val="20"/>
          <w:szCs w:val="20"/>
        </w:rPr>
      </w:pPr>
      <w:r>
        <w:rPr>
          <w:rFonts w:ascii="Arial" w:hAnsi="Arial"/>
          <w:sz w:val="20"/>
          <w:szCs w:val="20"/>
        </w:rPr>
        <w:t>Assess credibility (is it believeable?) &amp; probative value (is it relevant &amp; persuasive?) before assigning weight</w:t>
      </w:r>
    </w:p>
    <w:p w:rsidR="00E8751B" w:rsidRPr="007A7E4B" w:rsidRDefault="000F0618" w:rsidP="00F063AF">
      <w:pPr>
        <w:pStyle w:val="NoSpacing"/>
        <w:numPr>
          <w:ilvl w:val="1"/>
          <w:numId w:val="249"/>
        </w:numPr>
        <w:tabs>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ascii="Times New Roman" w:hAnsi="Times New Roman"/>
        </w:rPr>
      </w:pPr>
      <w:r>
        <w:rPr>
          <w:rFonts w:ascii="Arial" w:hAnsi="Arial"/>
          <w:sz w:val="20"/>
          <w:szCs w:val="20"/>
        </w:rPr>
        <w:t>Do no reject medical evidence unless (1) historical facts are uncertain/invalid/unsound OR (2) have other medical evidence</w:t>
      </w:r>
    </w:p>
    <w:p w:rsidR="007A7E4B" w:rsidRPr="007A7E4B" w:rsidRDefault="007A7E4B" w:rsidP="00F063AF">
      <w:pPr>
        <w:pStyle w:val="NoSpacing"/>
        <w:numPr>
          <w:ilvl w:val="1"/>
          <w:numId w:val="249"/>
        </w:numPr>
        <w:tabs>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ascii="Times New Roman" w:hAnsi="Times New Roman"/>
        </w:rPr>
      </w:pPr>
      <w:r w:rsidRPr="00C2315E">
        <w:rPr>
          <w:rFonts w:ascii="Arial" w:hAnsi="Arial"/>
          <w:b/>
          <w:i/>
          <w:sz w:val="20"/>
          <w:szCs w:val="20"/>
        </w:rPr>
        <w:t>Wood v. Derwinski</w:t>
      </w:r>
      <w:r>
        <w:rPr>
          <w:rFonts w:ascii="Arial" w:hAnsi="Arial"/>
          <w:sz w:val="20"/>
          <w:szCs w:val="20"/>
        </w:rPr>
        <w:t xml:space="preserve"> (7/12/91</w:t>
      </w:r>
      <w:r w:rsidRPr="007A7E4B">
        <w:rPr>
          <w:rFonts w:ascii="Arial" w:hAnsi="Arial"/>
          <w:sz w:val="20"/>
          <w:szCs w:val="20"/>
        </w:rPr>
        <w:t>) – 3.157</w:t>
      </w:r>
    </w:p>
    <w:p w:rsidR="007A7E4B" w:rsidRPr="007A7E4B" w:rsidRDefault="007A7E4B" w:rsidP="00F063AF">
      <w:pPr>
        <w:pStyle w:val="NoSpacing"/>
        <w:numPr>
          <w:ilvl w:val="1"/>
          <w:numId w:val="249"/>
        </w:numPr>
        <w:tabs>
          <w:tab w:val="left" w:pos="1080"/>
        </w:tabs>
        <w:spacing w:after="120"/>
        <w:rPr>
          <w:rFonts w:ascii="Arial" w:hAnsi="Arial"/>
          <w:sz w:val="20"/>
          <w:szCs w:val="20"/>
        </w:rPr>
      </w:pPr>
      <w:r w:rsidRPr="00C2315E">
        <w:rPr>
          <w:rFonts w:ascii="Arial" w:hAnsi="Arial"/>
          <w:b/>
          <w:i/>
          <w:sz w:val="20"/>
          <w:szCs w:val="20"/>
        </w:rPr>
        <w:t>Owens v. Brown</w:t>
      </w:r>
      <w:r w:rsidRPr="007A7E4B">
        <w:rPr>
          <w:rFonts w:ascii="Arial" w:hAnsi="Arial"/>
          <w:sz w:val="20"/>
          <w:szCs w:val="20"/>
        </w:rPr>
        <w:t xml:space="preserve"> (3/14/95) - Because the appellant's testimony concerning the extraction of his missing teeth conflicted with the SMRs, the BVA's rejection of the doctors' opinions, which were based on dental history related by the appellant was justified.</w:t>
      </w:r>
    </w:p>
    <w:p w:rsidR="007A7E4B" w:rsidRPr="007A7E4B" w:rsidRDefault="007A7E4B" w:rsidP="00F063AF">
      <w:pPr>
        <w:widowControl w:val="0"/>
        <w:numPr>
          <w:ilvl w:val="1"/>
          <w:numId w:val="249"/>
        </w:numPr>
        <w:spacing w:after="120"/>
      </w:pPr>
      <w:r w:rsidRPr="00C2315E">
        <w:rPr>
          <w:b/>
          <w:bCs/>
          <w:i/>
          <w:iCs/>
        </w:rPr>
        <w:t>Wray v. Brown</w:t>
      </w:r>
      <w:r w:rsidRPr="007A7E4B">
        <w:t xml:space="preserve"> </w:t>
      </w:r>
      <w:r w:rsidRPr="007A7E4B">
        <w:rPr>
          <w:bCs/>
        </w:rPr>
        <w:t>(4/6/95)</w:t>
      </w:r>
      <w:r w:rsidRPr="007A7E4B">
        <w:t xml:space="preserve"> – discussion of expert medical opinions (examine, analyze &amp; discuss each one)</w:t>
      </w:r>
    </w:p>
    <w:p w:rsidR="007A7E4B" w:rsidRPr="000F0618" w:rsidRDefault="007A7E4B" w:rsidP="00F063AF">
      <w:pPr>
        <w:pStyle w:val="NoSpacing"/>
        <w:widowControl w:val="0"/>
        <w:numPr>
          <w:ilvl w:val="1"/>
          <w:numId w:val="249"/>
        </w:numPr>
        <w:tabs>
          <w:tab w:val="left" w:pos="330"/>
          <w:tab w:val="left" w:pos="1080"/>
        </w:tabs>
        <w:spacing w:after="120"/>
        <w:rPr>
          <w:rFonts w:ascii="Arial" w:hAnsi="Arial"/>
          <w:i/>
          <w:sz w:val="20"/>
          <w:szCs w:val="20"/>
        </w:rPr>
      </w:pPr>
      <w:r w:rsidRPr="00C2315E">
        <w:rPr>
          <w:rFonts w:ascii="Arial" w:hAnsi="Arial"/>
          <w:b/>
          <w:i/>
          <w:sz w:val="20"/>
          <w:szCs w:val="20"/>
        </w:rPr>
        <w:t>Curtis v. Brown</w:t>
      </w:r>
      <w:r w:rsidRPr="000F0618">
        <w:rPr>
          <w:rFonts w:ascii="Arial" w:hAnsi="Arial"/>
          <w:i/>
          <w:sz w:val="20"/>
          <w:szCs w:val="20"/>
        </w:rPr>
        <w:t xml:space="preserve"> </w:t>
      </w:r>
      <w:r w:rsidRPr="000F0618">
        <w:rPr>
          <w:rFonts w:ascii="Arial" w:hAnsi="Arial"/>
          <w:iCs/>
          <w:sz w:val="20"/>
          <w:szCs w:val="20"/>
        </w:rPr>
        <w:t>(8/1/95) – must consider treating physician’s uncontradicted statements</w:t>
      </w:r>
    </w:p>
    <w:p w:rsidR="00E8751B" w:rsidRPr="00E8751B" w:rsidRDefault="000F0618" w:rsidP="00F063AF">
      <w:pPr>
        <w:pStyle w:val="NoSpacing"/>
        <w:numPr>
          <w:ilvl w:val="1"/>
          <w:numId w:val="249"/>
        </w:numPr>
        <w:tabs>
          <w:tab w:val="left" w:pos="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ascii="Arial" w:hAnsi="Arial"/>
          <w:sz w:val="20"/>
          <w:szCs w:val="20"/>
        </w:rPr>
      </w:pPr>
      <w:r w:rsidRPr="00C2315E">
        <w:rPr>
          <w:rFonts w:ascii="Arial" w:hAnsi="Arial"/>
          <w:b/>
          <w:i/>
          <w:sz w:val="20"/>
          <w:szCs w:val="20"/>
        </w:rPr>
        <w:t>Winsett v. West</w:t>
      </w:r>
      <w:r w:rsidRPr="00E8751B">
        <w:rPr>
          <w:rFonts w:ascii="Arial" w:hAnsi="Arial"/>
          <w:sz w:val="20"/>
          <w:szCs w:val="20"/>
        </w:rPr>
        <w:t xml:space="preserve"> (</w:t>
      </w:r>
      <w:r w:rsidR="007A7E4B">
        <w:rPr>
          <w:rFonts w:ascii="Arial" w:hAnsi="Arial"/>
          <w:sz w:val="20"/>
          <w:szCs w:val="20"/>
        </w:rPr>
        <w:t>9/21/98</w:t>
      </w:r>
      <w:r w:rsidRPr="00E8751B">
        <w:rPr>
          <w:rFonts w:ascii="Arial" w:hAnsi="Arial"/>
          <w:sz w:val="20"/>
          <w:szCs w:val="20"/>
        </w:rPr>
        <w:t>) –</w:t>
      </w:r>
      <w:r w:rsidR="00E8751B" w:rsidRPr="00E8751B">
        <w:rPr>
          <w:rFonts w:ascii="Arial" w:hAnsi="Arial"/>
          <w:i/>
          <w:sz w:val="20"/>
          <w:szCs w:val="20"/>
        </w:rPr>
        <w:t xml:space="preserve"> Tirpak v. Derwinski</w:t>
      </w:r>
      <w:r w:rsidR="00E8751B" w:rsidRPr="00E8751B">
        <w:rPr>
          <w:rFonts w:ascii="Arial" w:hAnsi="Arial"/>
          <w:sz w:val="20"/>
          <w:szCs w:val="20"/>
        </w:rPr>
        <w:t>, 2 Vet.App. 609 (1992), that “may or may not” terminology is an insufficient basis for an award of service connection.  Moreover, the Court has expressly declined to adopt a “treating physician rule” which would afford greater weight to the opinion of a veteran’s treating physician over the opinion of a VA or other physician (</w:t>
      </w:r>
      <w:r w:rsidR="00E8751B" w:rsidRPr="00E8751B">
        <w:rPr>
          <w:rFonts w:ascii="Arial" w:hAnsi="Arial"/>
          <w:i/>
          <w:sz w:val="20"/>
          <w:szCs w:val="20"/>
        </w:rPr>
        <w:t xml:space="preserve">Guerrieri v. Brown, </w:t>
      </w:r>
      <w:r w:rsidR="00E8751B" w:rsidRPr="00E8751B">
        <w:rPr>
          <w:rFonts w:ascii="Arial" w:hAnsi="Arial"/>
          <w:sz w:val="20"/>
          <w:szCs w:val="20"/>
        </w:rPr>
        <w:t>4 Vet.App. 467, 471-73 (1993)).</w:t>
      </w:r>
    </w:p>
    <w:p w:rsidR="000F0618" w:rsidRPr="007A7E4B" w:rsidRDefault="000F0618" w:rsidP="00F063AF">
      <w:pPr>
        <w:pStyle w:val="NoSpacing"/>
        <w:numPr>
          <w:ilvl w:val="1"/>
          <w:numId w:val="249"/>
        </w:numPr>
        <w:tabs>
          <w:tab w:val="left" w:pos="1080"/>
        </w:tabs>
        <w:spacing w:after="120"/>
        <w:rPr>
          <w:rFonts w:ascii="Arial" w:hAnsi="Arial"/>
          <w:sz w:val="20"/>
          <w:szCs w:val="20"/>
        </w:rPr>
      </w:pPr>
      <w:r w:rsidRPr="00C2315E">
        <w:rPr>
          <w:rFonts w:ascii="Arial" w:hAnsi="Arial"/>
          <w:b/>
          <w:i/>
          <w:sz w:val="20"/>
          <w:szCs w:val="20"/>
        </w:rPr>
        <w:t>Evans v. West</w:t>
      </w:r>
      <w:r w:rsidRPr="007A7E4B">
        <w:rPr>
          <w:rFonts w:ascii="Arial" w:hAnsi="Arial"/>
          <w:sz w:val="20"/>
          <w:szCs w:val="20"/>
        </w:rPr>
        <w:t xml:space="preserve"> (</w:t>
      </w:r>
      <w:r w:rsidR="007A7E4B" w:rsidRPr="007A7E4B">
        <w:rPr>
          <w:rFonts w:ascii="Arial" w:hAnsi="Arial"/>
          <w:sz w:val="20"/>
          <w:szCs w:val="20"/>
        </w:rPr>
        <w:t>11/16/</w:t>
      </w:r>
      <w:r w:rsidRPr="007A7E4B">
        <w:rPr>
          <w:rFonts w:ascii="Arial" w:hAnsi="Arial"/>
          <w:sz w:val="20"/>
          <w:szCs w:val="20"/>
        </w:rPr>
        <w:t>98)</w:t>
      </w:r>
      <w:r w:rsidR="0062022B" w:rsidRPr="007A7E4B">
        <w:rPr>
          <w:rFonts w:ascii="Arial" w:hAnsi="Arial"/>
          <w:sz w:val="20"/>
          <w:szCs w:val="20"/>
        </w:rPr>
        <w:t xml:space="preserve"> </w:t>
      </w:r>
      <w:r w:rsidR="007A7E4B" w:rsidRPr="007A7E4B">
        <w:rPr>
          <w:rFonts w:ascii="Arial" w:hAnsi="Arial"/>
          <w:sz w:val="20"/>
          <w:szCs w:val="20"/>
        </w:rPr>
        <w:t>– veteran was not compliant with exams</w:t>
      </w:r>
    </w:p>
    <w:p w:rsidR="0062022B" w:rsidRDefault="0062022B" w:rsidP="00F063AF">
      <w:pPr>
        <w:pStyle w:val="NoSpacing"/>
        <w:numPr>
          <w:ilvl w:val="1"/>
          <w:numId w:val="249"/>
        </w:numPr>
        <w:tabs>
          <w:tab w:val="left" w:pos="1080"/>
        </w:tabs>
        <w:spacing w:after="120"/>
        <w:rPr>
          <w:rFonts w:ascii="Arial" w:hAnsi="Arial"/>
          <w:sz w:val="20"/>
          <w:szCs w:val="20"/>
        </w:rPr>
      </w:pPr>
      <w:r>
        <w:rPr>
          <w:rFonts w:ascii="Arial" w:hAnsi="Arial"/>
          <w:sz w:val="20"/>
          <w:szCs w:val="20"/>
        </w:rPr>
        <w:t>If evidence is questionable or conflicting, further dev may be needed</w:t>
      </w:r>
    </w:p>
    <w:p w:rsidR="0062022B" w:rsidRDefault="0062022B" w:rsidP="00F063AF">
      <w:pPr>
        <w:pStyle w:val="NoSpacing"/>
        <w:numPr>
          <w:ilvl w:val="1"/>
          <w:numId w:val="249"/>
        </w:numPr>
        <w:tabs>
          <w:tab w:val="left" w:pos="1080"/>
        </w:tabs>
        <w:spacing w:after="120"/>
        <w:rPr>
          <w:rFonts w:ascii="Arial" w:hAnsi="Arial"/>
          <w:sz w:val="20"/>
          <w:szCs w:val="20"/>
        </w:rPr>
      </w:pPr>
      <w:r>
        <w:rPr>
          <w:rFonts w:ascii="Arial" w:hAnsi="Arial"/>
          <w:sz w:val="20"/>
          <w:szCs w:val="20"/>
        </w:rPr>
        <w:t>Only order exams for CFIs if there is (1) evidence of increased disability OR (2) a statement from the veteran that the condition is worse . If don’t have either, John says to C&amp;C [but Carlos</w:t>
      </w:r>
      <w:r w:rsidR="00CD0826">
        <w:rPr>
          <w:rFonts w:ascii="Arial" w:hAnsi="Arial"/>
          <w:sz w:val="20"/>
          <w:szCs w:val="20"/>
        </w:rPr>
        <w:t xml:space="preserve"> Rosario</w:t>
      </w:r>
      <w:r>
        <w:rPr>
          <w:rFonts w:ascii="Arial" w:hAnsi="Arial"/>
          <w:sz w:val="20"/>
          <w:szCs w:val="20"/>
        </w:rPr>
        <w:t xml:space="preserve"> says it’s not a claim, so VSR sh</w:t>
      </w:r>
      <w:r w:rsidR="00B574C8">
        <w:rPr>
          <w:rFonts w:ascii="Arial" w:hAnsi="Arial"/>
          <w:sz w:val="20"/>
          <w:szCs w:val="20"/>
        </w:rPr>
        <w:t xml:space="preserve">ould send letter under EP 400.] </w:t>
      </w:r>
      <w:r w:rsidR="002C35A8">
        <w:rPr>
          <w:rFonts w:ascii="Arial" w:hAnsi="Arial"/>
          <w:sz w:val="20"/>
          <w:szCs w:val="20"/>
        </w:rPr>
        <w:t>–</w:t>
      </w:r>
      <w:r w:rsidR="00B574C8">
        <w:rPr>
          <w:rFonts w:ascii="Arial" w:hAnsi="Arial"/>
          <w:sz w:val="20"/>
          <w:szCs w:val="20"/>
        </w:rPr>
        <w:t xml:space="preserve"> </w:t>
      </w:r>
      <w:r w:rsidR="002C35A8">
        <w:rPr>
          <w:rFonts w:ascii="Arial" w:hAnsi="Arial"/>
          <w:sz w:val="20"/>
          <w:szCs w:val="20"/>
        </w:rPr>
        <w:t xml:space="preserve">Per </w:t>
      </w:r>
      <w:r w:rsidR="00B574C8">
        <w:rPr>
          <w:rFonts w:ascii="Arial" w:hAnsi="Arial"/>
          <w:sz w:val="20"/>
          <w:szCs w:val="20"/>
        </w:rPr>
        <w:t>VA Pulse</w:t>
      </w:r>
      <w:r w:rsidR="00BE4AFD">
        <w:rPr>
          <w:rFonts w:ascii="Arial" w:hAnsi="Arial"/>
          <w:sz w:val="20"/>
          <w:szCs w:val="20"/>
        </w:rPr>
        <w:t xml:space="preserve">, </w:t>
      </w:r>
      <w:r w:rsidR="00B718A4" w:rsidRPr="00C2315E">
        <w:rPr>
          <w:rFonts w:ascii="Arial" w:hAnsi="Arial"/>
          <w:i/>
          <w:sz w:val="20"/>
          <w:szCs w:val="20"/>
        </w:rPr>
        <w:t>https://www.vapulse.net/message/7577</w:t>
      </w:r>
      <w:r w:rsidR="00B574C8">
        <w:rPr>
          <w:rFonts w:ascii="Arial" w:hAnsi="Arial"/>
          <w:sz w:val="20"/>
          <w:szCs w:val="20"/>
        </w:rPr>
        <w:t>, Rich Osborne says “The mere f</w:t>
      </w:r>
      <w:r w:rsidR="00B718A4">
        <w:rPr>
          <w:rFonts w:ascii="Arial" w:hAnsi="Arial"/>
          <w:sz w:val="20"/>
          <w:szCs w:val="20"/>
        </w:rPr>
        <w:t>a</w:t>
      </w:r>
      <w:r w:rsidR="00B574C8">
        <w:rPr>
          <w:rFonts w:ascii="Arial" w:hAnsi="Arial"/>
          <w:sz w:val="20"/>
          <w:szCs w:val="20"/>
        </w:rPr>
        <w:t>ct they sai</w:t>
      </w:r>
      <w:r w:rsidR="00B718A4">
        <w:rPr>
          <w:rFonts w:ascii="Arial" w:hAnsi="Arial"/>
          <w:sz w:val="20"/>
          <w:szCs w:val="20"/>
        </w:rPr>
        <w:t>d</w:t>
      </w:r>
      <w:r w:rsidR="00B574C8">
        <w:rPr>
          <w:rFonts w:ascii="Arial" w:hAnsi="Arial"/>
          <w:sz w:val="20"/>
          <w:szCs w:val="20"/>
        </w:rPr>
        <w:t xml:space="preserve"> it worsened or request an increase is sufficient to trigger a VA examination” (argument is based on 3.326 saying if medical evidence is not adequate,  need VAE; also argues that recent VAE cannot be used as that would be a DeNovo review)</w:t>
      </w:r>
    </w:p>
    <w:p w:rsidR="009D64B2" w:rsidRPr="00E27AA1" w:rsidRDefault="00E27AA1" w:rsidP="00F063AF">
      <w:pPr>
        <w:pStyle w:val="ListParagraph"/>
        <w:numPr>
          <w:ilvl w:val="0"/>
          <w:numId w:val="205"/>
        </w:numPr>
        <w:spacing w:after="120" w:line="240" w:lineRule="auto"/>
        <w:ind w:left="1080"/>
        <w:rPr>
          <w:rFonts w:ascii="Arial" w:hAnsi="Arial"/>
          <w:sz w:val="20"/>
          <w:szCs w:val="20"/>
        </w:rPr>
      </w:pPr>
      <w:r w:rsidRPr="00E27AA1">
        <w:rPr>
          <w:rFonts w:ascii="Arial" w:hAnsi="Arial"/>
          <w:b/>
          <w:sz w:val="20"/>
          <w:szCs w:val="20"/>
          <w:u w:val="single"/>
        </w:rPr>
        <w:t>Weekly Q</w:t>
      </w:r>
      <w:r w:rsidR="00303C97">
        <w:rPr>
          <w:rFonts w:ascii="Arial" w:hAnsi="Arial"/>
          <w:b/>
          <w:sz w:val="20"/>
          <w:szCs w:val="20"/>
          <w:u w:val="single"/>
        </w:rPr>
        <w:t>-</w:t>
      </w:r>
      <w:r w:rsidRPr="00E27AA1">
        <w:rPr>
          <w:rFonts w:ascii="Arial" w:hAnsi="Arial"/>
          <w:b/>
          <w:sz w:val="20"/>
          <w:szCs w:val="20"/>
          <w:u w:val="single"/>
        </w:rPr>
        <w:t>Tip</w:t>
      </w:r>
      <w:r w:rsidRPr="00E27AA1">
        <w:rPr>
          <w:rFonts w:ascii="Arial" w:hAnsi="Arial"/>
          <w:b/>
          <w:sz w:val="20"/>
          <w:szCs w:val="20"/>
        </w:rPr>
        <w:t xml:space="preserve"> (3/18/15) - </w:t>
      </w:r>
      <w:r w:rsidRPr="00E27AA1">
        <w:rPr>
          <w:rFonts w:ascii="Arial" w:hAnsi="Arial"/>
          <w:sz w:val="20"/>
          <w:szCs w:val="20"/>
        </w:rPr>
        <w:t>Weekly Quality Tip: VA Examinations for Increase Claims</w:t>
      </w:r>
    </w:p>
    <w:p w:rsidR="00E27AA1" w:rsidRPr="00E27AA1" w:rsidRDefault="00E27AA1" w:rsidP="00E27AA1">
      <w:pPr>
        <w:pStyle w:val="NormalWeb"/>
        <w:ind w:left="1080"/>
        <w:rPr>
          <w:sz w:val="20"/>
          <w:szCs w:val="20"/>
        </w:rPr>
      </w:pPr>
      <w:r w:rsidRPr="00E27AA1">
        <w:rPr>
          <w:sz w:val="20"/>
          <w:szCs w:val="20"/>
        </w:rPr>
        <w:t>This week’s Quality Tip involves the issue of when to order a VA examination in claims where an increased evaluation was submitted for a service connected disability.</w:t>
      </w:r>
    </w:p>
    <w:p w:rsidR="00E27AA1" w:rsidRPr="00E27AA1" w:rsidRDefault="00E27AA1" w:rsidP="00E27AA1">
      <w:pPr>
        <w:pStyle w:val="NormalWeb"/>
        <w:ind w:left="1080"/>
        <w:rPr>
          <w:sz w:val="20"/>
          <w:szCs w:val="20"/>
        </w:rPr>
      </w:pPr>
      <w:r w:rsidRPr="00E27AA1">
        <w:rPr>
          <w:b/>
          <w:bCs/>
          <w:sz w:val="20"/>
          <w:szCs w:val="20"/>
        </w:rPr>
        <w:t>QUESTION:  </w:t>
      </w:r>
      <w:r w:rsidRPr="00E27AA1">
        <w:rPr>
          <w:sz w:val="20"/>
          <w:szCs w:val="20"/>
        </w:rPr>
        <w:t xml:space="preserve">When do we order a VA examination, where a claim for an increased evaluation for a service connected condition was submitted? </w:t>
      </w:r>
    </w:p>
    <w:p w:rsidR="00E27AA1" w:rsidRPr="00E27AA1" w:rsidRDefault="00E27AA1" w:rsidP="00E27AA1">
      <w:pPr>
        <w:pStyle w:val="NormalWeb"/>
        <w:ind w:left="1080"/>
        <w:rPr>
          <w:sz w:val="20"/>
          <w:szCs w:val="20"/>
        </w:rPr>
      </w:pPr>
      <w:r w:rsidRPr="00E27AA1">
        <w:rPr>
          <w:b/>
          <w:bCs/>
          <w:sz w:val="20"/>
          <w:szCs w:val="20"/>
        </w:rPr>
        <w:t>ANSWER:  </w:t>
      </w:r>
      <w:r w:rsidRPr="00E27AA1">
        <w:rPr>
          <w:sz w:val="20"/>
          <w:szCs w:val="20"/>
        </w:rPr>
        <w:t xml:space="preserve">We are required to order a VA examination for a claim for increased evaluation when the evidence of record is not sufficient to grant the benefit sought. </w:t>
      </w:r>
    </w:p>
    <w:p w:rsidR="00E27AA1" w:rsidRPr="00E27AA1" w:rsidRDefault="00E27AA1" w:rsidP="00E27AA1">
      <w:pPr>
        <w:pStyle w:val="NormalWeb"/>
        <w:ind w:left="1080"/>
        <w:rPr>
          <w:sz w:val="20"/>
          <w:szCs w:val="20"/>
        </w:rPr>
      </w:pPr>
      <w:r w:rsidRPr="00E27AA1">
        <w:rPr>
          <w:b/>
          <w:bCs/>
          <w:sz w:val="20"/>
          <w:szCs w:val="20"/>
        </w:rPr>
        <w:t>Discussion:</w:t>
      </w:r>
      <w:r w:rsidRPr="00E27AA1">
        <w:rPr>
          <w:sz w:val="20"/>
          <w:szCs w:val="20"/>
        </w:rPr>
        <w:t xml:space="preserve"> A claim for an increased evaluation of a service-connected disability based on a statement from the claimant that the disability has worsened constitutes a substantially complete application. When the post-service medical records do not adequately reveal the current state of the Veteran’s disability, our statutory duty to assist requires a current medical examination. In claims for disability compensation, assist the claimant by providing a medical opinion or examination when the opinion or examination is necessary to make a decision on the claim.</w:t>
      </w:r>
    </w:p>
    <w:p w:rsidR="00E27AA1" w:rsidRPr="00E27AA1" w:rsidRDefault="00E27AA1" w:rsidP="00E27AA1">
      <w:pPr>
        <w:pStyle w:val="NormalWeb"/>
        <w:ind w:left="1080"/>
        <w:rPr>
          <w:sz w:val="20"/>
          <w:szCs w:val="20"/>
        </w:rPr>
      </w:pPr>
      <w:r w:rsidRPr="00E27AA1">
        <w:rPr>
          <w:sz w:val="20"/>
          <w:szCs w:val="20"/>
        </w:rPr>
        <w:t>In claims for an</w:t>
      </w:r>
      <w:r w:rsidRPr="00E27AA1">
        <w:rPr>
          <w:i/>
          <w:iCs/>
          <w:sz w:val="20"/>
          <w:szCs w:val="20"/>
        </w:rPr>
        <w:t xml:space="preserve"> increase in evaluation</w:t>
      </w:r>
      <w:r w:rsidRPr="00E27AA1">
        <w:rPr>
          <w:sz w:val="20"/>
          <w:szCs w:val="20"/>
        </w:rPr>
        <w:t xml:space="preserve"> of a service-connected disability, order a VA examination when:</w:t>
      </w:r>
    </w:p>
    <w:p w:rsidR="00E27AA1" w:rsidRPr="00E27AA1" w:rsidRDefault="00E27AA1" w:rsidP="00E27AA1">
      <w:pPr>
        <w:pStyle w:val="NormalWeb"/>
        <w:ind w:left="1080"/>
        <w:rPr>
          <w:sz w:val="20"/>
          <w:szCs w:val="20"/>
        </w:rPr>
      </w:pPr>
      <w:r w:rsidRPr="006C3622">
        <w:rPr>
          <w:sz w:val="20"/>
          <w:szCs w:val="20"/>
        </w:rPr>
        <w:t>1. The Veteran provides a statement that his/her condition is worse, or</w:t>
      </w:r>
    </w:p>
    <w:p w:rsidR="00E27AA1" w:rsidRPr="00E27AA1" w:rsidRDefault="00E27AA1" w:rsidP="00E27AA1">
      <w:pPr>
        <w:pStyle w:val="NormalWeb"/>
        <w:ind w:left="1080"/>
        <w:rPr>
          <w:sz w:val="20"/>
          <w:szCs w:val="20"/>
        </w:rPr>
      </w:pPr>
      <w:r w:rsidRPr="00E27AA1">
        <w:rPr>
          <w:sz w:val="20"/>
          <w:szCs w:val="20"/>
        </w:rPr>
        <w:t>2. There is evidence of increased disability but the medical evidence is insufficient for rating purposes.</w:t>
      </w:r>
    </w:p>
    <w:p w:rsidR="00E27AA1" w:rsidRPr="00E27AA1" w:rsidRDefault="00E27AA1" w:rsidP="00E27AA1">
      <w:pPr>
        <w:pStyle w:val="NormalWeb"/>
        <w:ind w:left="1080"/>
        <w:rPr>
          <w:sz w:val="20"/>
          <w:szCs w:val="20"/>
        </w:rPr>
      </w:pPr>
      <w:r w:rsidRPr="00E27AA1">
        <w:rPr>
          <w:sz w:val="20"/>
          <w:szCs w:val="20"/>
        </w:rPr>
        <w:t>Note:  If a Veteran had a VA examination for the claimed condition within the past year, consult with a RVSR before proceeding with another examination request.</w:t>
      </w:r>
    </w:p>
    <w:p w:rsidR="00E27AA1" w:rsidRPr="00E27AA1" w:rsidRDefault="00E27AA1" w:rsidP="00E27AA1">
      <w:pPr>
        <w:pStyle w:val="NormalWeb"/>
        <w:ind w:left="1080"/>
        <w:rPr>
          <w:sz w:val="20"/>
          <w:szCs w:val="20"/>
        </w:rPr>
      </w:pPr>
      <w:r w:rsidRPr="00E27AA1">
        <w:rPr>
          <w:b/>
          <w:bCs/>
          <w:sz w:val="20"/>
          <w:szCs w:val="20"/>
        </w:rPr>
        <w:t>The above note directs the RVSR to review the evidence to determine if the benefit sought (claim for increase) can be granted without an examination.  A confirmed and continued evaluation is not a grant for the benefit sought in a claim for increased evaluation as it is a denial for an increased evaluation.</w:t>
      </w:r>
    </w:p>
    <w:p w:rsidR="00E27AA1" w:rsidRPr="00E27AA1" w:rsidRDefault="00E27AA1" w:rsidP="00E27AA1">
      <w:pPr>
        <w:pStyle w:val="NormalWeb"/>
        <w:ind w:left="1440"/>
        <w:rPr>
          <w:sz w:val="20"/>
          <w:szCs w:val="20"/>
        </w:rPr>
      </w:pPr>
      <w:r w:rsidRPr="00E27AA1">
        <w:rPr>
          <w:b/>
          <w:bCs/>
          <w:sz w:val="20"/>
          <w:szCs w:val="20"/>
        </w:rPr>
        <w:t>Scenario</w:t>
      </w:r>
      <w:r w:rsidRPr="00E27AA1">
        <w:rPr>
          <w:sz w:val="20"/>
          <w:szCs w:val="20"/>
        </w:rPr>
        <w:t>: The Veteran is service connected for lumbar strain at 10% disabling. The Veteran filed a claim for increased evaluation for the lumbar spine. The previous VA examination for the lumbar spine was performed five months prior to the submission of the current claim for increased evaluation, and three months from the last rating decision.</w:t>
      </w:r>
    </w:p>
    <w:p w:rsidR="00E27AA1" w:rsidRPr="00E27AA1" w:rsidRDefault="00E27AA1" w:rsidP="00E27AA1">
      <w:pPr>
        <w:pStyle w:val="NormalWeb"/>
        <w:ind w:left="1440"/>
        <w:rPr>
          <w:sz w:val="20"/>
          <w:szCs w:val="20"/>
        </w:rPr>
      </w:pPr>
      <w:r w:rsidRPr="00E27AA1">
        <w:rPr>
          <w:b/>
          <w:bCs/>
          <w:sz w:val="20"/>
          <w:szCs w:val="20"/>
        </w:rPr>
        <w:t>Facts:</w:t>
      </w:r>
      <w:r w:rsidRPr="00E27AA1">
        <w:rPr>
          <w:sz w:val="20"/>
          <w:szCs w:val="20"/>
        </w:rPr>
        <w:t xml:space="preserve">  A review of VA treatment records is silent for any treatment for the lumbar spine, from the date of last examination and rating decision.  There was no private medical evidence indicated/submitted by the Veteran regarding treatment for the veteran’s lumbar spine since the last examination and last rating decision.   </w:t>
      </w:r>
    </w:p>
    <w:p w:rsidR="00E27AA1" w:rsidRPr="00E27AA1" w:rsidRDefault="00E27AA1" w:rsidP="00E27AA1">
      <w:pPr>
        <w:pStyle w:val="NormalWeb"/>
        <w:ind w:left="1170"/>
        <w:rPr>
          <w:sz w:val="20"/>
          <w:szCs w:val="20"/>
        </w:rPr>
      </w:pPr>
      <w:r w:rsidRPr="00E27AA1">
        <w:rPr>
          <w:sz w:val="20"/>
          <w:szCs w:val="20"/>
        </w:rPr>
        <w:t>In this scenario, it is clear the intent of the Veteran was to seek an increased evaluation for the service connected lumbar spine.  With submission of the current claim, the Veteran is stating the service connected lumbar spine condition has increased in severity since the last decision. Therefore, in the scenario provided, a VA examination is warranted to evaluate whether the lumbar spine condition has increased in severity since the last examination and decision, as there is no evidence of record to grant the increased evaluation for the lumbar spine in the absence of evidence in VA and private treatment records.</w:t>
      </w:r>
    </w:p>
    <w:p w:rsidR="00E27AA1" w:rsidRPr="00E27AA1" w:rsidRDefault="00E27AA1" w:rsidP="002B7AA2">
      <w:pPr>
        <w:pStyle w:val="NormalWeb"/>
        <w:spacing w:after="0"/>
        <w:ind w:left="1166"/>
        <w:rPr>
          <w:sz w:val="20"/>
          <w:szCs w:val="20"/>
        </w:rPr>
      </w:pPr>
      <w:r w:rsidRPr="00E27AA1">
        <w:rPr>
          <w:b/>
          <w:bCs/>
          <w:sz w:val="20"/>
          <w:szCs w:val="20"/>
          <w:u w:val="single"/>
        </w:rPr>
        <w:t>References:</w:t>
      </w:r>
      <w:r w:rsidRPr="00E27AA1">
        <w:rPr>
          <w:sz w:val="20"/>
          <w:szCs w:val="20"/>
        </w:rPr>
        <w:t xml:space="preserve"> </w:t>
      </w:r>
    </w:p>
    <w:p w:rsidR="00E27AA1" w:rsidRPr="00E27AA1" w:rsidRDefault="00E27AA1" w:rsidP="002B7AA2">
      <w:pPr>
        <w:pStyle w:val="NormalWeb"/>
        <w:spacing w:after="0"/>
        <w:ind w:left="1166"/>
        <w:rPr>
          <w:sz w:val="20"/>
          <w:szCs w:val="20"/>
        </w:rPr>
      </w:pPr>
      <w:r w:rsidRPr="00E27AA1">
        <w:rPr>
          <w:sz w:val="20"/>
          <w:szCs w:val="20"/>
        </w:rPr>
        <w:t>38 CFR 3.159(c)(4)(i)</w:t>
      </w:r>
    </w:p>
    <w:p w:rsidR="00E27AA1" w:rsidRPr="00E27AA1" w:rsidRDefault="00E27AA1" w:rsidP="002B7AA2">
      <w:pPr>
        <w:pStyle w:val="NormalWeb"/>
        <w:spacing w:after="0"/>
        <w:ind w:left="1166"/>
        <w:rPr>
          <w:sz w:val="20"/>
          <w:szCs w:val="20"/>
        </w:rPr>
      </w:pPr>
      <w:r w:rsidRPr="00E27AA1">
        <w:rPr>
          <w:sz w:val="20"/>
          <w:szCs w:val="20"/>
        </w:rPr>
        <w:t>38 CFR 3.160(f)</w:t>
      </w:r>
    </w:p>
    <w:p w:rsidR="00E27AA1" w:rsidRPr="00E27AA1" w:rsidRDefault="00E27AA1" w:rsidP="002B7AA2">
      <w:pPr>
        <w:pStyle w:val="NormalWeb"/>
        <w:spacing w:after="0"/>
        <w:ind w:left="1166"/>
        <w:rPr>
          <w:sz w:val="20"/>
          <w:szCs w:val="20"/>
        </w:rPr>
      </w:pPr>
      <w:r w:rsidRPr="00E27AA1">
        <w:rPr>
          <w:sz w:val="20"/>
          <w:szCs w:val="20"/>
        </w:rPr>
        <w:t>M21-1MR I.1.C.7.a and b</w:t>
      </w:r>
    </w:p>
    <w:p w:rsidR="00E27AA1" w:rsidRPr="00E27AA1" w:rsidRDefault="00E27AA1" w:rsidP="002B7AA2">
      <w:pPr>
        <w:pStyle w:val="NormalWeb"/>
        <w:spacing w:after="0"/>
        <w:ind w:left="1166"/>
        <w:rPr>
          <w:sz w:val="20"/>
          <w:szCs w:val="20"/>
        </w:rPr>
      </w:pPr>
      <w:r w:rsidRPr="00E27AA1">
        <w:rPr>
          <w:sz w:val="20"/>
          <w:szCs w:val="20"/>
        </w:rPr>
        <w:t>M21-1MR I.1.B.3.b (Note for Increase evaluations)</w:t>
      </w:r>
    </w:p>
    <w:p w:rsidR="00E27AA1" w:rsidRPr="00E27AA1" w:rsidRDefault="00E27AA1" w:rsidP="002B7AA2">
      <w:pPr>
        <w:pStyle w:val="NormalWeb"/>
        <w:spacing w:after="0"/>
        <w:ind w:left="1166"/>
        <w:rPr>
          <w:sz w:val="20"/>
          <w:szCs w:val="20"/>
        </w:rPr>
      </w:pPr>
      <w:r w:rsidRPr="00E27AA1">
        <w:rPr>
          <w:b/>
          <w:bCs/>
          <w:sz w:val="20"/>
          <w:szCs w:val="20"/>
          <w:u w:val="single"/>
        </w:rPr>
        <w:t>Additional information:</w:t>
      </w:r>
    </w:p>
    <w:p w:rsidR="00E27AA1" w:rsidRPr="0099678C" w:rsidRDefault="00E27AA1" w:rsidP="002B7AA2">
      <w:pPr>
        <w:pStyle w:val="NormalWeb"/>
        <w:spacing w:after="0"/>
        <w:ind w:left="1166"/>
        <w:rPr>
          <w:sz w:val="20"/>
          <w:szCs w:val="20"/>
        </w:rPr>
      </w:pPr>
      <w:r w:rsidRPr="0099678C">
        <w:rPr>
          <w:sz w:val="20"/>
          <w:szCs w:val="20"/>
        </w:rPr>
        <w:t>Compensation Service, “Changing the Game, VA Examinations,</w:t>
      </w:r>
      <w:r w:rsidRPr="0099678C">
        <w:rPr>
          <w:color w:val="1F497D"/>
          <w:sz w:val="20"/>
          <w:szCs w:val="20"/>
        </w:rPr>
        <w:t>”</w:t>
      </w:r>
      <w:r w:rsidRPr="0099678C">
        <w:rPr>
          <w:sz w:val="20"/>
          <w:szCs w:val="20"/>
        </w:rPr>
        <w:t xml:space="preserve"> last updated 10/03/2014 (TMS 3814935)</w:t>
      </w:r>
    </w:p>
    <w:p w:rsidR="00E27AA1" w:rsidRPr="00E27AA1" w:rsidRDefault="00E27AA1" w:rsidP="00E27AA1">
      <w:pPr>
        <w:pStyle w:val="NormalWeb"/>
        <w:ind w:left="1170"/>
        <w:rPr>
          <w:sz w:val="20"/>
          <w:szCs w:val="20"/>
        </w:rPr>
      </w:pPr>
      <w:r w:rsidRPr="0099678C">
        <w:rPr>
          <w:sz w:val="20"/>
          <w:szCs w:val="20"/>
        </w:rPr>
        <w:t>TMS 1197953 (Requesting VA examinations) last updated 11/17/</w:t>
      </w:r>
      <w:r w:rsidR="0099678C" w:rsidRPr="0099678C">
        <w:rPr>
          <w:sz w:val="20"/>
          <w:szCs w:val="20"/>
        </w:rPr>
        <w:t>14</w:t>
      </w:r>
    </w:p>
    <w:p w:rsidR="00B32B0D" w:rsidRPr="00B32B0D" w:rsidRDefault="00D571C5" w:rsidP="00F063AF">
      <w:pPr>
        <w:pStyle w:val="ListParagraph"/>
        <w:numPr>
          <w:ilvl w:val="0"/>
          <w:numId w:val="205"/>
        </w:numPr>
        <w:tabs>
          <w:tab w:val="left" w:pos="1170"/>
        </w:tabs>
        <w:spacing w:after="120"/>
        <w:ind w:left="1170"/>
        <w:rPr>
          <w:rFonts w:ascii="Arial" w:eastAsiaTheme="minorHAnsi" w:hAnsi="Arial"/>
          <w:bCs/>
          <w:sz w:val="20"/>
          <w:szCs w:val="20"/>
        </w:rPr>
      </w:pPr>
      <w:hyperlink r:id="rId744" w:history="1">
        <w:r w:rsidR="00B32B0D" w:rsidRPr="00B32B0D">
          <w:rPr>
            <w:rStyle w:val="Hyperlink"/>
            <w:rFonts w:ascii="Arial" w:hAnsi="Arial"/>
            <w:b/>
            <w:i/>
            <w:sz w:val="20"/>
            <w:szCs w:val="20"/>
          </w:rPr>
          <w:t>August 2015 Quality Call Notes</w:t>
        </w:r>
      </w:hyperlink>
      <w:r w:rsidR="00B32B0D" w:rsidRPr="00B32B0D">
        <w:rPr>
          <w:rStyle w:val="Hyperlink"/>
          <w:rFonts w:ascii="Arial" w:hAnsi="Arial"/>
          <w:sz w:val="20"/>
          <w:szCs w:val="20"/>
          <w:u w:val="none"/>
        </w:rPr>
        <w:t xml:space="preserve"> - </w:t>
      </w:r>
      <w:r w:rsidR="00B32B0D" w:rsidRPr="00B32B0D">
        <w:rPr>
          <w:rFonts w:ascii="Arial" w:eastAsiaTheme="minorHAnsi" w:hAnsi="Arial"/>
          <w:bCs/>
          <w:sz w:val="20"/>
          <w:szCs w:val="20"/>
        </w:rPr>
        <w:t xml:space="preserve">Per </w:t>
      </w:r>
      <w:hyperlink r:id="rId745" w:anchor="!agent/portal/554400000001034/article/554400000015810/M21-1-Part-III-Subpart-iv-Chapter-3-Section-B-Scheduling-Examinations" w:history="1">
        <w:r w:rsidR="00B32B0D" w:rsidRPr="00B32B0D">
          <w:rPr>
            <w:rStyle w:val="Hyperlink"/>
            <w:rFonts w:ascii="Arial" w:eastAsiaTheme="minorHAnsi" w:hAnsi="Arial"/>
            <w:bCs/>
            <w:sz w:val="20"/>
            <w:szCs w:val="20"/>
          </w:rPr>
          <w:t>M21-1 Part III.iv.3.B.1.e</w:t>
        </w:r>
      </w:hyperlink>
      <w:r w:rsidR="00B32B0D" w:rsidRPr="00B32B0D">
        <w:rPr>
          <w:rFonts w:ascii="Arial" w:eastAsiaTheme="minorHAnsi" w:hAnsi="Arial"/>
          <w:bCs/>
          <w:sz w:val="20"/>
          <w:szCs w:val="20"/>
        </w:rPr>
        <w:t>, the Veterans Health Administration’s (VHAs) scheduling clinic or contract examiner will contact the Veteran or claimant regarding the date and time of a scheduled examination – including claims under the FDC program.  Compensation Service is updating the manual to eliminate any conflicting guidance.</w:t>
      </w:r>
    </w:p>
    <w:p w:rsidR="00B32B0D" w:rsidRPr="00B32B0D" w:rsidRDefault="00B32B0D" w:rsidP="00B32B0D">
      <w:pPr>
        <w:pStyle w:val="ListParagraph"/>
        <w:tabs>
          <w:tab w:val="left" w:pos="1170"/>
        </w:tabs>
        <w:spacing w:after="120" w:line="240" w:lineRule="auto"/>
        <w:ind w:left="1170"/>
        <w:contextualSpacing/>
        <w:rPr>
          <w:rFonts w:ascii="Arial" w:hAnsi="Arial"/>
          <w:sz w:val="20"/>
          <w:szCs w:val="20"/>
        </w:rPr>
      </w:pPr>
      <w:r w:rsidRPr="00B32B0D">
        <w:rPr>
          <w:rFonts w:ascii="Arial" w:hAnsi="Arial"/>
          <w:sz w:val="20"/>
          <w:szCs w:val="20"/>
        </w:rPr>
        <w:t>Q:  Do we send examination notification letters for review exams?  They're technically not "claims."</w:t>
      </w:r>
    </w:p>
    <w:p w:rsidR="00B32B0D" w:rsidRPr="00B32B0D" w:rsidRDefault="00B32B0D" w:rsidP="00B32B0D">
      <w:pPr>
        <w:pStyle w:val="ListParagraph"/>
        <w:tabs>
          <w:tab w:val="left" w:pos="1170"/>
        </w:tabs>
        <w:spacing w:after="120"/>
        <w:ind w:left="1170"/>
        <w:rPr>
          <w:rFonts w:ascii="Arial" w:hAnsi="Arial"/>
          <w:sz w:val="20"/>
          <w:szCs w:val="20"/>
        </w:rPr>
      </w:pPr>
      <w:r w:rsidRPr="00B32B0D">
        <w:rPr>
          <w:rFonts w:ascii="Arial" w:hAnsi="Arial"/>
          <w:i/>
          <w:sz w:val="20"/>
          <w:szCs w:val="20"/>
        </w:rPr>
        <w:t>A:  The manual guidance regarding scheduling examinations is for all examinations.  VHA has the responsibility for notifying the Veteran in all cases.</w:t>
      </w:r>
    </w:p>
    <w:p w:rsidR="00B32B0D" w:rsidRPr="0008522B" w:rsidRDefault="00B32B0D" w:rsidP="00AB15BA">
      <w:pPr>
        <w:pStyle w:val="ListParagraph"/>
        <w:spacing w:after="0" w:line="240" w:lineRule="auto"/>
        <w:ind w:left="1166"/>
        <w:contextualSpacing/>
        <w:rPr>
          <w:rFonts w:ascii="Arial" w:hAnsi="Arial"/>
          <w:sz w:val="20"/>
          <w:szCs w:val="20"/>
        </w:rPr>
      </w:pPr>
      <w:r w:rsidRPr="00B32B0D">
        <w:rPr>
          <w:rFonts w:ascii="Arial" w:hAnsi="Arial"/>
          <w:sz w:val="20"/>
          <w:szCs w:val="20"/>
        </w:rPr>
        <w:t xml:space="preserve">Q:  If a Veteran files a claim on a Fully Developed Claim form, we don’t have to notify them regarding </w:t>
      </w:r>
      <w:r w:rsidRPr="0008522B">
        <w:rPr>
          <w:rFonts w:ascii="Arial" w:hAnsi="Arial"/>
          <w:sz w:val="20"/>
          <w:szCs w:val="20"/>
        </w:rPr>
        <w:t>examination.  What if the claim is filed on another prescribed form (not an FDC claim)?  Are we required to notify the Veteran of the VA examination?</w:t>
      </w:r>
    </w:p>
    <w:p w:rsidR="00B32B0D" w:rsidRPr="0008522B" w:rsidRDefault="00B32B0D" w:rsidP="0008522B">
      <w:pPr>
        <w:spacing w:after="120"/>
        <w:ind w:left="1166"/>
        <w:rPr>
          <w:i/>
        </w:rPr>
      </w:pPr>
      <w:r w:rsidRPr="0008522B">
        <w:rPr>
          <w:i/>
        </w:rPr>
        <w:t xml:space="preserve">A:  The manual guidance regarding scheduling examinations is for all examinations.  VHA has the responsibility for notifying the Veteran in all cases.  </w:t>
      </w:r>
    </w:p>
    <w:p w:rsidR="0008522B" w:rsidRPr="0008522B" w:rsidRDefault="0008522B" w:rsidP="0008522B">
      <w:pPr>
        <w:spacing w:after="120"/>
        <w:ind w:left="1170"/>
        <w:contextualSpacing/>
      </w:pPr>
      <w:r w:rsidRPr="0008522B">
        <w:t xml:space="preserve">Q:  What's the procedure for VAMCs that do not send a letter to a Veteran notifying them of their examination appointment?  Certain VAMCs are cancelling examinations if they do not reach the Veteran by phone.  No letters are being sent in these situations, as well.  What's the quality process to ensure the VAMCs are being notified of the proper procedures for notifying Veterans of appointments?  </w:t>
      </w:r>
    </w:p>
    <w:p w:rsidR="0008522B" w:rsidRPr="0008522B" w:rsidRDefault="0008522B" w:rsidP="0008522B">
      <w:pPr>
        <w:spacing w:after="120"/>
        <w:ind w:left="1170"/>
      </w:pPr>
      <w:r w:rsidRPr="0008522B">
        <w:rPr>
          <w:i/>
        </w:rPr>
        <w:t xml:space="preserve">A:  The link to the updated RSVP procedures is </w:t>
      </w:r>
      <w:hyperlink r:id="rId746" w:tooltip="http://vaww.demo.va.gov/files/FactSheets/2015/FactSheetDMA-15-003.pdf" w:history="1">
        <w:r w:rsidRPr="0008522B">
          <w:rPr>
            <w:color w:val="0000FF"/>
            <w:u w:val="single"/>
          </w:rPr>
          <w:t>http://vaww.demo.va.gov/files/FactSheets/2015/FactSheetDMA-15-003.pdf</w:t>
        </w:r>
      </w:hyperlink>
      <w:r w:rsidRPr="0008522B">
        <w:rPr>
          <w:color w:val="0000FF"/>
          <w:u w:val="single"/>
        </w:rPr>
        <w:t>.</w:t>
      </w:r>
    </w:p>
    <w:p w:rsidR="00613FDD" w:rsidRPr="00C63C84" w:rsidRDefault="00613FDD" w:rsidP="00F063AF">
      <w:pPr>
        <w:pStyle w:val="ListParagraph"/>
        <w:widowControl w:val="0"/>
        <w:numPr>
          <w:ilvl w:val="0"/>
          <w:numId w:val="192"/>
        </w:numPr>
        <w:tabs>
          <w:tab w:val="left" w:pos="0"/>
        </w:tabs>
        <w:spacing w:after="120" w:line="240" w:lineRule="auto"/>
        <w:ind w:left="1170"/>
        <w:rPr>
          <w:rFonts w:ascii="Arial" w:hAnsi="Arial"/>
          <w:sz w:val="20"/>
          <w:szCs w:val="20"/>
        </w:rPr>
      </w:pPr>
      <w:r w:rsidRPr="00C63C84">
        <w:rPr>
          <w:rFonts w:ascii="Arial" w:hAnsi="Arial"/>
          <w:sz w:val="20"/>
          <w:szCs w:val="20"/>
        </w:rPr>
        <w:t xml:space="preserve">Notes from </w:t>
      </w:r>
      <w:r w:rsidRPr="00C63C84">
        <w:rPr>
          <w:rFonts w:ascii="Arial" w:hAnsi="Arial"/>
          <w:b/>
          <w:i/>
          <w:sz w:val="20"/>
          <w:szCs w:val="20"/>
          <w:u w:val="single"/>
        </w:rPr>
        <w:t>December 2015</w:t>
      </w:r>
      <w:r>
        <w:rPr>
          <w:rFonts w:ascii="Arial" w:hAnsi="Arial"/>
          <w:b/>
          <w:i/>
          <w:sz w:val="20"/>
          <w:szCs w:val="20"/>
          <w:u w:val="single"/>
        </w:rPr>
        <w:t xml:space="preserve"> DBQ Medical Opinion</w:t>
      </w:r>
      <w:r w:rsidRPr="00C63C84">
        <w:rPr>
          <w:rFonts w:ascii="Arial" w:hAnsi="Arial"/>
          <w:b/>
          <w:i/>
          <w:sz w:val="20"/>
          <w:szCs w:val="20"/>
          <w:u w:val="single"/>
        </w:rPr>
        <w:t xml:space="preserve"> Training</w:t>
      </w:r>
      <w:r w:rsidRPr="00C63C84">
        <w:rPr>
          <w:rFonts w:ascii="Arial" w:hAnsi="Arial"/>
          <w:sz w:val="20"/>
          <w:szCs w:val="20"/>
        </w:rPr>
        <w:t xml:space="preserve"> (</w:t>
      </w:r>
      <w:r w:rsidR="00CC29CC">
        <w:rPr>
          <w:rFonts w:ascii="Arial" w:hAnsi="Arial"/>
          <w:sz w:val="20"/>
          <w:szCs w:val="20"/>
        </w:rPr>
        <w:t>K</w:t>
      </w:r>
      <w:r>
        <w:rPr>
          <w:rFonts w:ascii="Arial" w:hAnsi="Arial"/>
          <w:sz w:val="20"/>
          <w:szCs w:val="20"/>
        </w:rPr>
        <w:t>o</w:t>
      </w:r>
      <w:r w:rsidR="00CC29CC">
        <w:rPr>
          <w:rFonts w:ascii="Arial" w:hAnsi="Arial"/>
          <w:sz w:val="20"/>
          <w:szCs w:val="20"/>
        </w:rPr>
        <w:t>na</w:t>
      </w:r>
      <w:r w:rsidR="00721B5D">
        <w:rPr>
          <w:rFonts w:ascii="Arial" w:hAnsi="Arial"/>
          <w:sz w:val="20"/>
          <w:szCs w:val="20"/>
        </w:rPr>
        <w:t>ne</w:t>
      </w:r>
      <w:r w:rsidR="00121516">
        <w:rPr>
          <w:rFonts w:ascii="Arial" w:hAnsi="Arial"/>
          <w:sz w:val="20"/>
          <w:szCs w:val="20"/>
        </w:rPr>
        <w:t xml:space="preserve"> Stradling</w:t>
      </w:r>
      <w:r w:rsidRPr="00C63C84">
        <w:rPr>
          <w:rFonts w:ascii="Arial" w:hAnsi="Arial"/>
          <w:sz w:val="20"/>
          <w:szCs w:val="20"/>
        </w:rPr>
        <w:t>) –</w:t>
      </w:r>
    </w:p>
    <w:p w:rsidR="00E27AA1" w:rsidRDefault="00613FDD" w:rsidP="00F063AF">
      <w:pPr>
        <w:pStyle w:val="ListParagraph"/>
        <w:numPr>
          <w:ilvl w:val="1"/>
          <w:numId w:val="205"/>
        </w:numPr>
        <w:tabs>
          <w:tab w:val="left" w:pos="1170"/>
        </w:tabs>
        <w:spacing w:after="120" w:line="240" w:lineRule="auto"/>
        <w:rPr>
          <w:rFonts w:ascii="Arial" w:eastAsiaTheme="minorHAnsi" w:hAnsi="Arial"/>
          <w:sz w:val="20"/>
          <w:szCs w:val="20"/>
        </w:rPr>
      </w:pPr>
      <w:r>
        <w:rPr>
          <w:rFonts w:ascii="Arial" w:eastAsiaTheme="minorHAnsi" w:hAnsi="Arial"/>
          <w:sz w:val="20"/>
          <w:szCs w:val="20"/>
        </w:rPr>
        <w:t>Even if an examiner says peripheral neuropathy is mild on a DM DBQ, still need a DBQ for peripheral neuropathy.</w:t>
      </w:r>
    </w:p>
    <w:p w:rsidR="00613FDD" w:rsidRDefault="00613FDD" w:rsidP="00F063AF">
      <w:pPr>
        <w:pStyle w:val="ListParagraph"/>
        <w:numPr>
          <w:ilvl w:val="1"/>
          <w:numId w:val="205"/>
        </w:numPr>
        <w:tabs>
          <w:tab w:val="left" w:pos="1170"/>
        </w:tabs>
        <w:spacing w:after="120" w:line="240" w:lineRule="auto"/>
        <w:rPr>
          <w:rFonts w:ascii="Arial" w:eastAsiaTheme="minorHAnsi" w:hAnsi="Arial"/>
          <w:sz w:val="20"/>
          <w:szCs w:val="20"/>
        </w:rPr>
      </w:pPr>
      <w:r>
        <w:rPr>
          <w:rFonts w:ascii="Arial" w:eastAsiaTheme="minorHAnsi" w:hAnsi="Arial"/>
          <w:sz w:val="20"/>
          <w:szCs w:val="20"/>
        </w:rPr>
        <w:t>If non-PTSD diagnosis &amp; can’t verify stressor (I think she means “event”), need Memo.</w:t>
      </w:r>
    </w:p>
    <w:p w:rsidR="00613FDD" w:rsidRDefault="00613FDD" w:rsidP="00F063AF">
      <w:pPr>
        <w:pStyle w:val="ListParagraph"/>
        <w:numPr>
          <w:ilvl w:val="1"/>
          <w:numId w:val="205"/>
        </w:numPr>
        <w:tabs>
          <w:tab w:val="left" w:pos="1170"/>
        </w:tabs>
        <w:spacing w:after="120" w:line="240" w:lineRule="auto"/>
        <w:rPr>
          <w:rFonts w:ascii="Arial" w:eastAsiaTheme="minorHAnsi" w:hAnsi="Arial"/>
          <w:sz w:val="20"/>
          <w:szCs w:val="20"/>
        </w:rPr>
      </w:pPr>
      <w:r>
        <w:rPr>
          <w:rFonts w:ascii="Arial" w:eastAsiaTheme="minorHAnsi" w:hAnsi="Arial"/>
          <w:sz w:val="20"/>
          <w:szCs w:val="20"/>
        </w:rPr>
        <w:t xml:space="preserve">For </w:t>
      </w:r>
      <w:r w:rsidRPr="002546E5">
        <w:rPr>
          <w:rFonts w:ascii="Arial" w:eastAsiaTheme="minorHAnsi" w:hAnsi="Arial"/>
          <w:sz w:val="20"/>
          <w:szCs w:val="20"/>
          <w:highlight w:val="darkGray"/>
        </w:rPr>
        <w:t>Quick</w:t>
      </w:r>
      <w:r w:rsidR="008A3B47" w:rsidRPr="002546E5">
        <w:rPr>
          <w:rFonts w:ascii="Arial" w:eastAsiaTheme="minorHAnsi" w:hAnsi="Arial"/>
          <w:sz w:val="20"/>
          <w:szCs w:val="20"/>
          <w:highlight w:val="darkGray"/>
        </w:rPr>
        <w:t xml:space="preserve"> </w:t>
      </w:r>
      <w:r w:rsidRPr="002546E5">
        <w:rPr>
          <w:rFonts w:ascii="Arial" w:eastAsiaTheme="minorHAnsi" w:hAnsi="Arial"/>
          <w:sz w:val="20"/>
          <w:szCs w:val="20"/>
          <w:highlight w:val="darkGray"/>
        </w:rPr>
        <w:t>Start</w:t>
      </w:r>
      <w:r w:rsidR="008A3B47">
        <w:rPr>
          <w:rFonts w:ascii="Arial" w:eastAsiaTheme="minorHAnsi" w:hAnsi="Arial"/>
          <w:sz w:val="20"/>
          <w:szCs w:val="20"/>
        </w:rPr>
        <w:t xml:space="preserve"> </w:t>
      </w:r>
      <w:r w:rsidR="008A3B47" w:rsidRPr="00720435">
        <w:rPr>
          <w:rFonts w:ascii="Arial" w:hAnsi="Arial"/>
          <w:sz w:val="20"/>
        </w:rPr>
        <w:t>(</w:t>
      </w:r>
      <w:r w:rsidR="00720435" w:rsidRPr="00720435">
        <w:rPr>
          <w:rFonts w:ascii="Arial" w:hAnsi="Arial"/>
          <w:i/>
          <w:color w:val="00B050"/>
          <w:sz w:val="20"/>
        </w:rPr>
        <w:t>My Notes:</w:t>
      </w:r>
      <w:r w:rsidR="00720435" w:rsidRPr="00720435">
        <w:rPr>
          <w:rFonts w:ascii="Arial" w:hAnsi="Arial"/>
          <w:color w:val="00B050"/>
          <w:sz w:val="20"/>
        </w:rPr>
        <w:t xml:space="preserve">  </w:t>
      </w:r>
      <w:r w:rsidR="00720435" w:rsidRPr="00720435">
        <w:rPr>
          <w:rFonts w:ascii="Arial" w:hAnsi="Arial"/>
          <w:sz w:val="20"/>
        </w:rPr>
        <w:t xml:space="preserve">Quick Start </w:t>
      </w:r>
      <w:r w:rsidR="008A3B47" w:rsidRPr="00720435">
        <w:rPr>
          <w:rFonts w:ascii="Arial" w:hAnsi="Arial"/>
          <w:sz w:val="20"/>
        </w:rPr>
        <w:t>discontinued 10/1/17, but this probably still applies to BDD</w:t>
      </w:r>
      <w:r w:rsidR="008A3B47" w:rsidRPr="008A3B47">
        <w:rPr>
          <w:sz w:val="18"/>
        </w:rPr>
        <w:t>)</w:t>
      </w:r>
      <w:r>
        <w:rPr>
          <w:rFonts w:ascii="Arial" w:eastAsiaTheme="minorHAnsi" w:hAnsi="Arial"/>
          <w:sz w:val="20"/>
          <w:szCs w:val="20"/>
        </w:rPr>
        <w:t>, if a 3.309 disability is diagnosed on the DBQ &amp; not claimed, need to solicit; but if it is a non-3.309 disability, do nothing.</w:t>
      </w:r>
      <w:r w:rsidR="00DC3382">
        <w:rPr>
          <w:rFonts w:ascii="Arial" w:eastAsiaTheme="minorHAnsi" w:hAnsi="Arial"/>
          <w:sz w:val="20"/>
          <w:szCs w:val="20"/>
        </w:rPr>
        <w:t xml:space="preserve"> (</w:t>
      </w:r>
      <w:r w:rsidR="00DC3382" w:rsidRPr="00720435">
        <w:rPr>
          <w:rFonts w:ascii="Arial" w:hAnsi="Arial"/>
          <w:i/>
          <w:color w:val="00B050"/>
          <w:sz w:val="20"/>
        </w:rPr>
        <w:t>My Notes:</w:t>
      </w:r>
      <w:r w:rsidR="00DC3382" w:rsidRPr="00720435">
        <w:rPr>
          <w:rFonts w:ascii="Arial" w:hAnsi="Arial"/>
          <w:color w:val="00B050"/>
          <w:sz w:val="20"/>
        </w:rPr>
        <w:t xml:space="preserve">  </w:t>
      </w:r>
      <w:r w:rsidR="00DC3382">
        <w:rPr>
          <w:rFonts w:ascii="Arial" w:hAnsi="Arial"/>
          <w:sz w:val="20"/>
        </w:rPr>
        <w:t xml:space="preserve">Probably safe to solicit if the exam was done in service, or there is treatment in the STRs, &amp; the DBQ shows a clear diagnosis based on findings, not history. Ensure it’s a clear grant with the evidence on file at the time of your RD.) </w:t>
      </w:r>
    </w:p>
    <w:p w:rsidR="00613FDD" w:rsidRDefault="00D5108C" w:rsidP="00F063AF">
      <w:pPr>
        <w:pStyle w:val="ListParagraph"/>
        <w:numPr>
          <w:ilvl w:val="1"/>
          <w:numId w:val="205"/>
        </w:numPr>
        <w:tabs>
          <w:tab w:val="left" w:pos="1170"/>
        </w:tabs>
        <w:spacing w:after="120" w:line="240" w:lineRule="auto"/>
        <w:rPr>
          <w:rFonts w:ascii="Arial" w:eastAsiaTheme="minorHAnsi" w:hAnsi="Arial"/>
          <w:sz w:val="20"/>
          <w:szCs w:val="20"/>
        </w:rPr>
      </w:pPr>
      <w:r>
        <w:rPr>
          <w:rFonts w:ascii="Arial" w:eastAsiaTheme="minorHAnsi" w:hAnsi="Arial"/>
          <w:sz w:val="20"/>
          <w:szCs w:val="20"/>
        </w:rPr>
        <w:t>As of 3/24/15, only need to upload the last year of VATRs.</w:t>
      </w:r>
    </w:p>
    <w:p w:rsidR="00CC29CC" w:rsidRDefault="00CC29CC" w:rsidP="00F063AF">
      <w:pPr>
        <w:pStyle w:val="ListParagraph"/>
        <w:numPr>
          <w:ilvl w:val="1"/>
          <w:numId w:val="205"/>
        </w:numPr>
        <w:tabs>
          <w:tab w:val="left" w:pos="1170"/>
        </w:tabs>
        <w:spacing w:after="120" w:line="240" w:lineRule="auto"/>
        <w:rPr>
          <w:rFonts w:ascii="Arial" w:eastAsiaTheme="minorHAnsi" w:hAnsi="Arial"/>
          <w:sz w:val="20"/>
          <w:szCs w:val="20"/>
        </w:rPr>
      </w:pPr>
      <w:r>
        <w:rPr>
          <w:rFonts w:ascii="Arial" w:eastAsiaTheme="minorHAnsi" w:hAnsi="Arial"/>
          <w:sz w:val="20"/>
          <w:szCs w:val="20"/>
        </w:rPr>
        <w:t>For ERB, have to be on VBMS “Profile” screen to get it to pull the veteran’s information. If have VVA documents, choose the correct c-file type.</w:t>
      </w:r>
    </w:p>
    <w:p w:rsidR="00721B5D" w:rsidRDefault="00721B5D" w:rsidP="00F063AF">
      <w:pPr>
        <w:pStyle w:val="ListParagraph"/>
        <w:widowControl w:val="0"/>
        <w:numPr>
          <w:ilvl w:val="0"/>
          <w:numId w:val="205"/>
        </w:numPr>
        <w:tabs>
          <w:tab w:val="left" w:pos="0"/>
        </w:tabs>
        <w:spacing w:after="120" w:line="240" w:lineRule="auto"/>
        <w:ind w:left="1170"/>
        <w:rPr>
          <w:rFonts w:ascii="Arial" w:hAnsi="Arial"/>
          <w:sz w:val="20"/>
          <w:szCs w:val="20"/>
        </w:rPr>
      </w:pPr>
      <w:r w:rsidRPr="00C63C84">
        <w:rPr>
          <w:rFonts w:ascii="Arial" w:hAnsi="Arial"/>
          <w:sz w:val="20"/>
          <w:szCs w:val="20"/>
        </w:rPr>
        <w:t xml:space="preserve">Notes from </w:t>
      </w:r>
      <w:r>
        <w:rPr>
          <w:rFonts w:ascii="Arial" w:hAnsi="Arial"/>
          <w:b/>
          <w:i/>
          <w:sz w:val="20"/>
          <w:szCs w:val="20"/>
          <w:u w:val="single"/>
        </w:rPr>
        <w:t xml:space="preserve">April </w:t>
      </w:r>
      <w:r w:rsidRPr="00C63C84">
        <w:rPr>
          <w:rFonts w:ascii="Arial" w:hAnsi="Arial"/>
          <w:b/>
          <w:i/>
          <w:sz w:val="20"/>
          <w:szCs w:val="20"/>
          <w:u w:val="single"/>
        </w:rPr>
        <w:t>201</w:t>
      </w:r>
      <w:r>
        <w:rPr>
          <w:rFonts w:ascii="Arial" w:hAnsi="Arial"/>
          <w:b/>
          <w:i/>
          <w:sz w:val="20"/>
          <w:szCs w:val="20"/>
          <w:u w:val="single"/>
        </w:rPr>
        <w:t>6 Exams Refresher</w:t>
      </w:r>
      <w:r w:rsidRPr="00C63C84">
        <w:rPr>
          <w:rFonts w:ascii="Arial" w:hAnsi="Arial"/>
          <w:b/>
          <w:i/>
          <w:sz w:val="20"/>
          <w:szCs w:val="20"/>
          <w:u w:val="single"/>
        </w:rPr>
        <w:t xml:space="preserve"> Training</w:t>
      </w:r>
      <w:r>
        <w:rPr>
          <w:rFonts w:ascii="Arial" w:hAnsi="Arial"/>
          <w:b/>
          <w:i/>
          <w:sz w:val="20"/>
          <w:szCs w:val="20"/>
          <w:u w:val="single"/>
        </w:rPr>
        <w:t xml:space="preserve"> (focus on 3 Elements / Waters v. Shinseki)</w:t>
      </w:r>
      <w:r w:rsidRPr="00C63C84">
        <w:rPr>
          <w:rFonts w:ascii="Arial" w:hAnsi="Arial"/>
          <w:sz w:val="20"/>
          <w:szCs w:val="20"/>
        </w:rPr>
        <w:t xml:space="preserve"> (</w:t>
      </w:r>
      <w:r>
        <w:rPr>
          <w:rFonts w:ascii="Arial" w:hAnsi="Arial"/>
          <w:sz w:val="20"/>
          <w:szCs w:val="20"/>
        </w:rPr>
        <w:t>GiaBao</w:t>
      </w:r>
      <w:r w:rsidR="00B80CFB">
        <w:rPr>
          <w:rFonts w:ascii="Arial" w:hAnsi="Arial"/>
          <w:sz w:val="20"/>
          <w:szCs w:val="20"/>
        </w:rPr>
        <w:t xml:space="preserve"> Nguyen</w:t>
      </w:r>
      <w:r w:rsidRPr="00C63C84">
        <w:rPr>
          <w:rFonts w:ascii="Arial" w:hAnsi="Arial"/>
          <w:sz w:val="20"/>
          <w:szCs w:val="20"/>
        </w:rPr>
        <w:t>) –</w:t>
      </w:r>
    </w:p>
    <w:p w:rsidR="00721B5D" w:rsidRDefault="008E5BC0" w:rsidP="00F063AF">
      <w:pPr>
        <w:pStyle w:val="ListParagraph"/>
        <w:widowControl w:val="0"/>
        <w:numPr>
          <w:ilvl w:val="1"/>
          <w:numId w:val="205"/>
        </w:numPr>
        <w:tabs>
          <w:tab w:val="left" w:pos="0"/>
        </w:tabs>
        <w:spacing w:after="120" w:line="240" w:lineRule="auto"/>
        <w:rPr>
          <w:rFonts w:ascii="Arial" w:hAnsi="Arial"/>
          <w:sz w:val="20"/>
          <w:szCs w:val="20"/>
        </w:rPr>
      </w:pPr>
      <w:r>
        <w:rPr>
          <w:rFonts w:ascii="Arial" w:hAnsi="Arial"/>
          <w:sz w:val="20"/>
          <w:szCs w:val="20"/>
        </w:rPr>
        <w:t xml:space="preserve">Element </w:t>
      </w:r>
      <w:r w:rsidR="00721B5D">
        <w:rPr>
          <w:rFonts w:ascii="Arial" w:hAnsi="Arial"/>
          <w:sz w:val="20"/>
          <w:szCs w:val="20"/>
        </w:rPr>
        <w:t>1 (need for both direct &amp; secondary) – evid of s</w:t>
      </w:r>
      <w:r w:rsidR="006F475F">
        <w:rPr>
          <w:rFonts w:ascii="Arial" w:hAnsi="Arial"/>
          <w:sz w:val="20"/>
          <w:szCs w:val="20"/>
        </w:rPr>
        <w:t>ymptoms [</w:t>
      </w:r>
      <w:r w:rsidR="00721B5D">
        <w:rPr>
          <w:rFonts w:ascii="Arial" w:hAnsi="Arial"/>
          <w:sz w:val="20"/>
          <w:szCs w:val="20"/>
        </w:rPr>
        <w:t>b</w:t>
      </w:r>
      <w:r w:rsidR="006F475F">
        <w:rPr>
          <w:rFonts w:ascii="Arial" w:hAnsi="Arial"/>
          <w:sz w:val="20"/>
          <w:szCs w:val="20"/>
        </w:rPr>
        <w:t>ut for any 3.309(a) condition, we need medical evidence of diagnosis</w:t>
      </w:r>
      <w:r w:rsidR="00721B5D">
        <w:rPr>
          <w:rFonts w:ascii="Arial" w:hAnsi="Arial"/>
          <w:sz w:val="20"/>
          <w:szCs w:val="20"/>
        </w:rPr>
        <w:t xml:space="preserve"> (cannot use lay statement)</w:t>
      </w:r>
      <w:r w:rsidR="006F475F">
        <w:rPr>
          <w:rFonts w:ascii="Arial" w:hAnsi="Arial"/>
          <w:sz w:val="20"/>
          <w:szCs w:val="20"/>
        </w:rPr>
        <w:t>]</w:t>
      </w:r>
    </w:p>
    <w:p w:rsidR="006F475F" w:rsidRDefault="008E5BC0" w:rsidP="00F063AF">
      <w:pPr>
        <w:pStyle w:val="ListParagraph"/>
        <w:widowControl w:val="0"/>
        <w:numPr>
          <w:ilvl w:val="1"/>
          <w:numId w:val="205"/>
        </w:numPr>
        <w:tabs>
          <w:tab w:val="left" w:pos="0"/>
        </w:tabs>
        <w:spacing w:after="120" w:line="240" w:lineRule="auto"/>
        <w:rPr>
          <w:rFonts w:ascii="Arial" w:hAnsi="Arial"/>
          <w:sz w:val="20"/>
          <w:szCs w:val="20"/>
        </w:rPr>
      </w:pPr>
      <w:r>
        <w:rPr>
          <w:rFonts w:ascii="Arial" w:hAnsi="Arial"/>
          <w:sz w:val="20"/>
          <w:szCs w:val="20"/>
        </w:rPr>
        <w:t xml:space="preserve">Element </w:t>
      </w:r>
      <w:r w:rsidR="006F475F">
        <w:rPr>
          <w:rFonts w:ascii="Arial" w:hAnsi="Arial"/>
          <w:sz w:val="20"/>
          <w:szCs w:val="20"/>
        </w:rPr>
        <w:t>2 – veteran’s statement, spouse statement, MOS (buddy statement &amp; MOS can be enough even if not in STRs); for secondary, just need SC disability</w:t>
      </w:r>
    </w:p>
    <w:p w:rsidR="006F475F" w:rsidRDefault="008E5BC0" w:rsidP="00F063AF">
      <w:pPr>
        <w:pStyle w:val="ListParagraph"/>
        <w:widowControl w:val="0"/>
        <w:numPr>
          <w:ilvl w:val="1"/>
          <w:numId w:val="205"/>
        </w:numPr>
        <w:tabs>
          <w:tab w:val="left" w:pos="0"/>
        </w:tabs>
        <w:spacing w:after="120" w:line="240" w:lineRule="auto"/>
        <w:rPr>
          <w:rFonts w:ascii="Arial" w:hAnsi="Arial"/>
          <w:sz w:val="20"/>
          <w:szCs w:val="20"/>
        </w:rPr>
      </w:pPr>
      <w:r>
        <w:rPr>
          <w:rFonts w:ascii="Arial" w:hAnsi="Arial"/>
          <w:sz w:val="20"/>
          <w:szCs w:val="20"/>
        </w:rPr>
        <w:t xml:space="preserve">Element </w:t>
      </w:r>
      <w:r w:rsidR="006F475F">
        <w:rPr>
          <w:rFonts w:ascii="Arial" w:hAnsi="Arial"/>
          <w:sz w:val="20"/>
          <w:szCs w:val="20"/>
        </w:rPr>
        <w:t>3 – lay statement “since service” or in TRs with some sort of statement; for secondary, need medica</w:t>
      </w:r>
      <w:r w:rsidR="00BA1DDD">
        <w:rPr>
          <w:rFonts w:ascii="Arial" w:hAnsi="Arial"/>
          <w:sz w:val="20"/>
          <w:szCs w:val="20"/>
        </w:rPr>
        <w:t xml:space="preserve">l evidence of a relationship, </w:t>
      </w:r>
      <w:r w:rsidR="006F475F">
        <w:rPr>
          <w:rFonts w:ascii="Arial" w:hAnsi="Arial"/>
          <w:sz w:val="20"/>
          <w:szCs w:val="20"/>
        </w:rPr>
        <w:t>lay statement, medical treatise or regulation (i.e. 3.310 – heart disease secondary to amputations, TBI secondary conditions), cannot be inherently incredulous claim</w:t>
      </w:r>
    </w:p>
    <w:p w:rsidR="00D77DE9" w:rsidRDefault="00D77DE9" w:rsidP="00F063AF">
      <w:pPr>
        <w:pStyle w:val="ListParagraph"/>
        <w:widowControl w:val="0"/>
        <w:numPr>
          <w:ilvl w:val="1"/>
          <w:numId w:val="205"/>
        </w:numPr>
        <w:tabs>
          <w:tab w:val="left" w:pos="0"/>
        </w:tabs>
        <w:spacing w:after="120" w:line="240" w:lineRule="auto"/>
        <w:rPr>
          <w:rFonts w:ascii="Arial" w:hAnsi="Arial"/>
          <w:sz w:val="20"/>
          <w:szCs w:val="20"/>
        </w:rPr>
      </w:pPr>
      <w:r>
        <w:rPr>
          <w:rFonts w:ascii="Arial" w:hAnsi="Arial"/>
          <w:sz w:val="20"/>
          <w:szCs w:val="20"/>
        </w:rPr>
        <w:t xml:space="preserve">HL &amp; tinnitus, need #1 – can use lay evidence, #2 – duty MOS or combat, </w:t>
      </w:r>
      <w:r w:rsidRPr="002546E5">
        <w:rPr>
          <w:rFonts w:ascii="Arial" w:hAnsi="Arial"/>
          <w:sz w:val="20"/>
          <w:szCs w:val="20"/>
        </w:rPr>
        <w:t xml:space="preserve">#3 - </w:t>
      </w:r>
      <w:r w:rsidRPr="002546E5">
        <w:rPr>
          <w:rFonts w:ascii="Arial" w:hAnsi="Arial"/>
          <w:sz w:val="20"/>
          <w:szCs w:val="20"/>
          <w:highlight w:val="darkGray"/>
        </w:rPr>
        <w:t>lay statement “since service” or in TRs with some sort of statemen</w:t>
      </w:r>
      <w:r w:rsidR="000D7821" w:rsidRPr="002546E5">
        <w:rPr>
          <w:rFonts w:ascii="Arial" w:hAnsi="Arial"/>
          <w:sz w:val="20"/>
          <w:szCs w:val="20"/>
          <w:highlight w:val="darkGray"/>
        </w:rPr>
        <w:t>t</w:t>
      </w:r>
      <w:r w:rsidR="000D7821" w:rsidRPr="00EE6BBC">
        <w:rPr>
          <w:rFonts w:ascii="Arial" w:hAnsi="Arial"/>
          <w:sz w:val="20"/>
          <w:szCs w:val="20"/>
        </w:rPr>
        <w:t xml:space="preserve"> (</w:t>
      </w:r>
      <w:r w:rsidR="000D7821" w:rsidRPr="000D7821">
        <w:rPr>
          <w:rFonts w:ascii="Arial" w:hAnsi="Arial"/>
          <w:sz w:val="20"/>
          <w:szCs w:val="20"/>
          <w:highlight w:val="magenta"/>
        </w:rPr>
        <w:t>this is a change</w:t>
      </w:r>
      <w:r w:rsidRPr="00EE6BBC">
        <w:rPr>
          <w:rFonts w:ascii="Arial" w:hAnsi="Arial"/>
          <w:sz w:val="20"/>
          <w:szCs w:val="20"/>
        </w:rPr>
        <w:t>)</w:t>
      </w:r>
      <w:r w:rsidR="00A11863">
        <w:rPr>
          <w:rFonts w:ascii="Arial" w:hAnsi="Arial"/>
          <w:sz w:val="20"/>
          <w:szCs w:val="20"/>
        </w:rPr>
        <w:t xml:space="preserve"> - #3 is no longer true as of early 2018</w:t>
      </w:r>
    </w:p>
    <w:p w:rsidR="006F475F" w:rsidRDefault="006F475F" w:rsidP="00F063AF">
      <w:pPr>
        <w:pStyle w:val="ListParagraph"/>
        <w:widowControl w:val="0"/>
        <w:numPr>
          <w:ilvl w:val="1"/>
          <w:numId w:val="205"/>
        </w:numPr>
        <w:tabs>
          <w:tab w:val="left" w:pos="0"/>
        </w:tabs>
        <w:spacing w:after="120" w:line="240" w:lineRule="auto"/>
        <w:rPr>
          <w:rFonts w:ascii="Arial" w:hAnsi="Arial"/>
          <w:sz w:val="20"/>
          <w:szCs w:val="20"/>
        </w:rPr>
      </w:pPr>
      <w:r>
        <w:rPr>
          <w:rFonts w:ascii="Arial" w:hAnsi="Arial"/>
          <w:sz w:val="20"/>
          <w:szCs w:val="20"/>
        </w:rPr>
        <w:t>For presumptive, need #1- evid of diagnosis (since all 3.309), #2 – exposure, POW status, etc, #3 – regulation, 3.309</w:t>
      </w:r>
    </w:p>
    <w:p w:rsidR="006F475F" w:rsidRPr="00D77DE9" w:rsidRDefault="006F475F" w:rsidP="00F063AF">
      <w:pPr>
        <w:pStyle w:val="ListParagraph"/>
        <w:widowControl w:val="0"/>
        <w:numPr>
          <w:ilvl w:val="1"/>
          <w:numId w:val="205"/>
        </w:numPr>
        <w:tabs>
          <w:tab w:val="left" w:pos="0"/>
        </w:tabs>
        <w:spacing w:after="120" w:line="240" w:lineRule="auto"/>
        <w:rPr>
          <w:rFonts w:ascii="Arial" w:hAnsi="Arial"/>
          <w:sz w:val="20"/>
          <w:szCs w:val="20"/>
        </w:rPr>
      </w:pPr>
      <w:r>
        <w:rPr>
          <w:rFonts w:ascii="Arial" w:hAnsi="Arial"/>
          <w:sz w:val="20"/>
          <w:szCs w:val="20"/>
        </w:rPr>
        <w:t>CFIs – last exam more than 1 year ago – get exam; last exam less than 1 year ago – need statement that worsened</w:t>
      </w:r>
      <w:r w:rsidRPr="006F475F">
        <w:rPr>
          <w:rFonts w:ascii="Arial" w:hAnsi="Arial"/>
          <w:sz w:val="20"/>
          <w:szCs w:val="20"/>
        </w:rPr>
        <w:t>,</w:t>
      </w:r>
      <w:r>
        <w:rPr>
          <w:rFonts w:ascii="Arial" w:hAnsi="Arial"/>
          <w:sz w:val="20"/>
          <w:szCs w:val="20"/>
        </w:rPr>
        <w:t xml:space="preserve"> see above </w:t>
      </w:r>
      <w:r w:rsidRPr="006F475F">
        <w:rPr>
          <w:rFonts w:ascii="Arial" w:hAnsi="Arial"/>
          <w:b/>
          <w:sz w:val="20"/>
          <w:szCs w:val="20"/>
        </w:rPr>
        <w:t>I.1.C.3.i</w:t>
      </w:r>
    </w:p>
    <w:p w:rsidR="00D77DE9" w:rsidRPr="008E5BC0" w:rsidRDefault="00D77DE9" w:rsidP="00F063AF">
      <w:pPr>
        <w:pStyle w:val="ListParagraph"/>
        <w:widowControl w:val="0"/>
        <w:numPr>
          <w:ilvl w:val="1"/>
          <w:numId w:val="205"/>
        </w:numPr>
        <w:tabs>
          <w:tab w:val="left" w:pos="0"/>
        </w:tabs>
        <w:spacing w:after="120" w:line="240" w:lineRule="auto"/>
        <w:rPr>
          <w:rFonts w:ascii="Arial" w:hAnsi="Arial"/>
          <w:sz w:val="20"/>
          <w:szCs w:val="20"/>
        </w:rPr>
      </w:pPr>
      <w:r w:rsidRPr="008E5BC0">
        <w:rPr>
          <w:rFonts w:ascii="Arial" w:hAnsi="Arial"/>
          <w:sz w:val="20"/>
          <w:szCs w:val="20"/>
        </w:rPr>
        <w:t>Fear claim – still need SPRs/201 file, even if requesting exam</w:t>
      </w:r>
    </w:p>
    <w:p w:rsidR="0094438B" w:rsidRPr="0094438B" w:rsidRDefault="00D571C5" w:rsidP="00F063AF">
      <w:pPr>
        <w:pStyle w:val="NoSpacing"/>
        <w:numPr>
          <w:ilvl w:val="0"/>
          <w:numId w:val="205"/>
        </w:numPr>
        <w:tabs>
          <w:tab w:val="left" w:pos="5760"/>
        </w:tabs>
        <w:spacing w:after="120"/>
        <w:rPr>
          <w:rFonts w:ascii="Arial" w:hAnsi="Arial"/>
          <w:sz w:val="20"/>
          <w:szCs w:val="20"/>
        </w:rPr>
      </w:pPr>
      <w:hyperlink r:id="rId747" w:history="1">
        <w:r w:rsidR="0094438B">
          <w:rPr>
            <w:rStyle w:val="Hyperlink"/>
            <w:rFonts w:ascii="Arial" w:hAnsi="Arial"/>
            <w:b/>
            <w:bCs/>
            <w:i/>
            <w:sz w:val="20"/>
            <w:szCs w:val="20"/>
          </w:rPr>
          <w:t>August 2016 Quality Call Notes</w:t>
        </w:r>
      </w:hyperlink>
      <w:r w:rsidR="0094438B" w:rsidRPr="0094438B">
        <w:rPr>
          <w:rFonts w:ascii="Arial" w:hAnsi="Arial"/>
          <w:i/>
          <w:sz w:val="20"/>
          <w:szCs w:val="20"/>
        </w:rPr>
        <w:t xml:space="preserve"> </w:t>
      </w:r>
      <w:r w:rsidR="0094438B" w:rsidRPr="0094438B">
        <w:rPr>
          <w:rFonts w:ascii="Arial" w:eastAsiaTheme="minorHAnsi" w:hAnsi="Arial"/>
          <w:sz w:val="20"/>
          <w:szCs w:val="20"/>
        </w:rPr>
        <w:t xml:space="preserve">- </w:t>
      </w:r>
      <w:r w:rsidR="0094438B" w:rsidRPr="0094438B">
        <w:rPr>
          <w:rFonts w:ascii="Arial" w:hAnsi="Arial"/>
          <w:sz w:val="20"/>
          <w:szCs w:val="20"/>
        </w:rPr>
        <w:t xml:space="preserve">if the MO is already embedded within the ‘specific body-system DBQ,’ such as hearing loss, diabetes, male reproductive organs, etc., a separate ‘Medical Opinion DBQ’ is not needed.  Regarding MOs in the ‘Hearing Loss and Tinnitus DBQ,’ please follow the guidance as required by </w:t>
      </w:r>
      <w:hyperlink r:id="rId748" w:history="1">
        <w:r w:rsidR="0094438B" w:rsidRPr="0094438B">
          <w:rPr>
            <w:rStyle w:val="Hyperlink"/>
            <w:rFonts w:ascii="Arial" w:hAnsi="Arial"/>
            <w:sz w:val="20"/>
            <w:szCs w:val="20"/>
          </w:rPr>
          <w:t>M21-1, III.iv.3.A.7.h</w:t>
        </w:r>
      </w:hyperlink>
      <w:r w:rsidR="0094438B" w:rsidRPr="0094438B">
        <w:rPr>
          <w:rFonts w:ascii="Arial" w:hAnsi="Arial"/>
          <w:sz w:val="20"/>
          <w:szCs w:val="20"/>
        </w:rPr>
        <w:t>.</w:t>
      </w:r>
    </w:p>
    <w:p w:rsidR="00F14BC9" w:rsidRPr="00F14BC9" w:rsidRDefault="00D571C5" w:rsidP="00F063AF">
      <w:pPr>
        <w:pStyle w:val="ListParagraph"/>
        <w:numPr>
          <w:ilvl w:val="0"/>
          <w:numId w:val="205"/>
        </w:numPr>
        <w:tabs>
          <w:tab w:val="left" w:pos="1170"/>
        </w:tabs>
        <w:spacing w:after="120" w:line="240" w:lineRule="auto"/>
        <w:rPr>
          <w:rFonts w:ascii="Arial" w:eastAsiaTheme="minorHAnsi" w:hAnsi="Arial"/>
          <w:sz w:val="20"/>
          <w:szCs w:val="20"/>
        </w:rPr>
      </w:pPr>
      <w:hyperlink r:id="rId749" w:history="1">
        <w:r w:rsidR="00F14BC9">
          <w:rPr>
            <w:rStyle w:val="Hyperlink"/>
            <w:rFonts w:ascii="Arial" w:hAnsi="Arial"/>
            <w:b/>
            <w:bCs/>
            <w:i/>
            <w:sz w:val="20"/>
          </w:rPr>
          <w:t>March 2017 Quality Call Notes</w:t>
        </w:r>
      </w:hyperlink>
      <w:r w:rsidR="00F14BC9">
        <w:rPr>
          <w:rFonts w:ascii="Arial" w:hAnsi="Arial"/>
          <w:bCs/>
          <w:sz w:val="20"/>
        </w:rPr>
        <w:t xml:space="preserve"> </w:t>
      </w:r>
      <w:r w:rsidR="00F14BC9">
        <w:rPr>
          <w:rFonts w:ascii="Arial" w:hAnsi="Arial"/>
          <w:sz w:val="20"/>
          <w:szCs w:val="20"/>
        </w:rPr>
        <w:t xml:space="preserve"> - </w:t>
      </w:r>
    </w:p>
    <w:p w:rsidR="00F14BC9" w:rsidRPr="00F14BC9" w:rsidRDefault="00F14BC9" w:rsidP="00F063AF">
      <w:pPr>
        <w:pStyle w:val="NoSpacing"/>
        <w:numPr>
          <w:ilvl w:val="0"/>
          <w:numId w:val="350"/>
        </w:numPr>
        <w:spacing w:after="120"/>
        <w:ind w:left="1440"/>
        <w:rPr>
          <w:rFonts w:ascii="Arial" w:hAnsi="Arial"/>
          <w:sz w:val="20"/>
          <w:szCs w:val="22"/>
        </w:rPr>
      </w:pPr>
      <w:r w:rsidRPr="00F14BC9">
        <w:rPr>
          <w:rFonts w:ascii="Arial" w:hAnsi="Arial"/>
          <w:sz w:val="20"/>
          <w:szCs w:val="22"/>
        </w:rPr>
        <w:t xml:space="preserve">Do not ask legal questions when requesting Medical Opinions as directed by the Live Manual at </w:t>
      </w:r>
      <w:hyperlink r:id="rId750" w:history="1">
        <w:r w:rsidRPr="00F14BC9">
          <w:rPr>
            <w:rStyle w:val="Hyperlink"/>
            <w:rFonts w:ascii="Arial" w:hAnsi="Arial"/>
            <w:sz w:val="20"/>
            <w:szCs w:val="22"/>
          </w:rPr>
          <w:t>M21-1 Part III.iv.3.A.7.i</w:t>
        </w:r>
      </w:hyperlink>
      <w:r w:rsidRPr="00F14BC9">
        <w:rPr>
          <w:rFonts w:ascii="Arial" w:hAnsi="Arial"/>
          <w:sz w:val="20"/>
          <w:szCs w:val="22"/>
        </w:rPr>
        <w:t xml:space="preserve"> and </w:t>
      </w:r>
      <w:hyperlink r:id="rId751" w:history="1">
        <w:r w:rsidRPr="00F14BC9">
          <w:rPr>
            <w:rStyle w:val="Hyperlink"/>
            <w:rFonts w:ascii="Arial" w:hAnsi="Arial"/>
            <w:sz w:val="20"/>
            <w:szCs w:val="22"/>
          </w:rPr>
          <w:t>M21-1 Part III.iv.3.A.7.b</w:t>
        </w:r>
      </w:hyperlink>
      <w:r w:rsidRPr="00F14BC9">
        <w:rPr>
          <w:rFonts w:ascii="Arial" w:hAnsi="Arial"/>
          <w:sz w:val="20"/>
          <w:szCs w:val="22"/>
        </w:rPr>
        <w:t xml:space="preserve"> if using CAATS.</w:t>
      </w:r>
    </w:p>
    <w:p w:rsidR="00F14BC9" w:rsidRPr="00F14BC9" w:rsidRDefault="00F14BC9" w:rsidP="00F063AF">
      <w:pPr>
        <w:pStyle w:val="NoSpacing"/>
        <w:numPr>
          <w:ilvl w:val="0"/>
          <w:numId w:val="350"/>
        </w:numPr>
        <w:spacing w:after="120"/>
        <w:ind w:left="1440"/>
        <w:rPr>
          <w:rFonts w:ascii="Arial" w:hAnsi="Arial"/>
          <w:sz w:val="20"/>
          <w:szCs w:val="22"/>
        </w:rPr>
      </w:pPr>
      <w:r w:rsidRPr="00F14BC9">
        <w:rPr>
          <w:rFonts w:ascii="Arial" w:hAnsi="Arial"/>
          <w:sz w:val="20"/>
          <w:szCs w:val="22"/>
        </w:rPr>
        <w:t>Do not return the exam for a Medical Opinion if there is no diagnosis.</w:t>
      </w:r>
    </w:p>
    <w:p w:rsidR="00F14BC9" w:rsidRDefault="00F14BC9" w:rsidP="00F063AF">
      <w:pPr>
        <w:pStyle w:val="NoSpacing"/>
        <w:numPr>
          <w:ilvl w:val="0"/>
          <w:numId w:val="350"/>
        </w:numPr>
        <w:spacing w:after="120"/>
        <w:ind w:left="1440"/>
        <w:rPr>
          <w:rFonts w:ascii="Arial" w:hAnsi="Arial"/>
          <w:sz w:val="20"/>
          <w:szCs w:val="22"/>
        </w:rPr>
      </w:pPr>
      <w:r w:rsidRPr="00F14BC9">
        <w:rPr>
          <w:rFonts w:ascii="Arial" w:hAnsi="Arial"/>
          <w:sz w:val="20"/>
          <w:szCs w:val="22"/>
        </w:rPr>
        <w:t>Do not request a Medical Opinion for presumptive disabilities, including Agent Orange exposure under 38 CFR 3.309(e).</w:t>
      </w:r>
      <w:r w:rsidR="001D6A2D">
        <w:rPr>
          <w:rFonts w:ascii="Arial" w:hAnsi="Arial"/>
          <w:sz w:val="20"/>
          <w:szCs w:val="22"/>
        </w:rPr>
        <w:t xml:space="preserve"> Clearly state “</w:t>
      </w:r>
      <w:r w:rsidR="001D6A2D" w:rsidRPr="00BB08E2">
        <w:rPr>
          <w:rFonts w:ascii="Arial" w:hAnsi="Arial"/>
          <w:i/>
          <w:sz w:val="20"/>
          <w:szCs w:val="22"/>
        </w:rPr>
        <w:t>VBA conceded AO exposure</w:t>
      </w:r>
      <w:r w:rsidR="001D6A2D">
        <w:rPr>
          <w:rFonts w:ascii="Arial" w:hAnsi="Arial"/>
          <w:sz w:val="20"/>
          <w:szCs w:val="22"/>
        </w:rPr>
        <w:t>” if the examination is based on exposure to herbicides and the Veteran has a 3.309(e) diagnosis.</w:t>
      </w:r>
    </w:p>
    <w:p w:rsidR="00BB08E2" w:rsidRPr="00F14BC9" w:rsidRDefault="00BB08E2" w:rsidP="00F063AF">
      <w:pPr>
        <w:pStyle w:val="NoSpacing"/>
        <w:numPr>
          <w:ilvl w:val="0"/>
          <w:numId w:val="350"/>
        </w:numPr>
        <w:spacing w:after="120"/>
        <w:ind w:left="1440"/>
        <w:rPr>
          <w:rFonts w:ascii="Arial" w:hAnsi="Arial"/>
          <w:sz w:val="20"/>
          <w:szCs w:val="22"/>
        </w:rPr>
      </w:pPr>
      <w:r>
        <w:rPr>
          <w:rFonts w:ascii="Arial" w:hAnsi="Arial"/>
          <w:sz w:val="20"/>
          <w:szCs w:val="22"/>
        </w:rPr>
        <w:t>When you have an initial claim for a disability for Gulf War, please state “This is an INITIAL claim for Gulf War exposure-related disability” (</w:t>
      </w:r>
      <w:r w:rsidRPr="00BB08E2">
        <w:rPr>
          <w:rFonts w:ascii="Arial" w:hAnsi="Arial"/>
          <w:i/>
          <w:color w:val="00B050"/>
          <w:sz w:val="20"/>
          <w:szCs w:val="22"/>
        </w:rPr>
        <w:t>My Notes</w:t>
      </w:r>
      <w:r w:rsidRPr="00D36CD9">
        <w:rPr>
          <w:rFonts w:ascii="Arial" w:hAnsi="Arial"/>
          <w:i/>
          <w:sz w:val="20"/>
          <w:szCs w:val="22"/>
        </w:rPr>
        <w:t>:  I added “exposure-related disability</w:t>
      </w:r>
      <w:r w:rsidR="001946CC">
        <w:rPr>
          <w:rFonts w:ascii="Arial" w:hAnsi="Arial"/>
          <w:i/>
          <w:sz w:val="20"/>
          <w:szCs w:val="22"/>
        </w:rPr>
        <w:t>.”</w:t>
      </w:r>
      <w:r w:rsidRPr="00D36CD9">
        <w:rPr>
          <w:rFonts w:ascii="Arial" w:hAnsi="Arial"/>
          <w:i/>
          <w:sz w:val="20"/>
          <w:szCs w:val="22"/>
        </w:rPr>
        <w:t>)</w:t>
      </w:r>
    </w:p>
    <w:p w:rsidR="00253858" w:rsidRPr="004612A0" w:rsidRDefault="00253858" w:rsidP="00F063AF">
      <w:pPr>
        <w:widowControl w:val="0"/>
        <w:numPr>
          <w:ilvl w:val="2"/>
          <w:numId w:val="205"/>
        </w:numPr>
        <w:spacing w:after="120"/>
        <w:ind w:left="720"/>
      </w:pPr>
      <w:r w:rsidRPr="004612A0">
        <w:rPr>
          <w:bCs/>
        </w:rPr>
        <w:t xml:space="preserve">Notes from </w:t>
      </w:r>
      <w:r w:rsidRPr="004612A0">
        <w:rPr>
          <w:b/>
          <w:bCs/>
          <w:i/>
          <w:iCs/>
          <w:u w:val="single"/>
        </w:rPr>
        <w:t>March 201</w:t>
      </w:r>
      <w:r>
        <w:rPr>
          <w:b/>
          <w:bCs/>
          <w:i/>
          <w:iCs/>
          <w:u w:val="single"/>
        </w:rPr>
        <w:t>7</w:t>
      </w:r>
      <w:r w:rsidRPr="004612A0">
        <w:rPr>
          <w:b/>
          <w:bCs/>
          <w:i/>
          <w:iCs/>
          <w:u w:val="single"/>
        </w:rPr>
        <w:t xml:space="preserve"> “Changing the Game” VA examinations Training</w:t>
      </w:r>
      <w:r w:rsidRPr="004612A0">
        <w:t>:</w:t>
      </w:r>
    </w:p>
    <w:p w:rsidR="00253858" w:rsidRPr="00253858" w:rsidRDefault="00253858" w:rsidP="00F063AF">
      <w:pPr>
        <w:pStyle w:val="VBABodyText"/>
        <w:numPr>
          <w:ilvl w:val="1"/>
          <w:numId w:val="205"/>
        </w:numPr>
        <w:spacing w:before="0" w:after="120"/>
        <w:rPr>
          <w:sz w:val="20"/>
          <w:szCs w:val="20"/>
        </w:rPr>
      </w:pPr>
      <w:r w:rsidRPr="00253858">
        <w:rPr>
          <w:sz w:val="20"/>
          <w:szCs w:val="20"/>
        </w:rPr>
        <w:t xml:space="preserve">Whether the evidence is “current” should not be confused with the age of the evidence.  The age of medical evidence does not, in and of itself, render it too old for rating purposes, as demonstrated in Palczewski v. Nicholson. VBA can use reports that are old as long as the reports show that the benefit can be granted.  </w:t>
      </w:r>
    </w:p>
    <w:p w:rsidR="00253858" w:rsidRPr="00253858" w:rsidRDefault="00253858" w:rsidP="00F063AF">
      <w:pPr>
        <w:pStyle w:val="VBABodyText"/>
        <w:numPr>
          <w:ilvl w:val="1"/>
          <w:numId w:val="205"/>
        </w:numPr>
        <w:spacing w:before="0" w:after="120"/>
        <w:rPr>
          <w:sz w:val="20"/>
          <w:szCs w:val="20"/>
        </w:rPr>
      </w:pPr>
      <w:r w:rsidRPr="00253858">
        <w:rPr>
          <w:i/>
          <w:sz w:val="20"/>
          <w:szCs w:val="20"/>
        </w:rPr>
        <w:t>Assessment Question:</w:t>
      </w:r>
      <w:r w:rsidRPr="00253858">
        <w:rPr>
          <w:sz w:val="20"/>
          <w:szCs w:val="20"/>
        </w:rPr>
        <w:t xml:space="preserve">  If the medical evidence of record is five years old, but is sufficient </w:t>
      </w:r>
      <w:r w:rsidR="004F00DB">
        <w:rPr>
          <w:sz w:val="20"/>
          <w:szCs w:val="20"/>
        </w:rPr>
        <w:t xml:space="preserve">for </w:t>
      </w:r>
      <w:r w:rsidRPr="00253858">
        <w:rPr>
          <w:sz w:val="20"/>
          <w:szCs w:val="20"/>
        </w:rPr>
        <w:t xml:space="preserve">rating purposes… </w:t>
      </w:r>
      <w:r w:rsidRPr="00253858">
        <w:rPr>
          <w:i/>
          <w:sz w:val="20"/>
          <w:szCs w:val="20"/>
        </w:rPr>
        <w:t>Answer:</w:t>
      </w:r>
      <w:r w:rsidRPr="00253858">
        <w:rPr>
          <w:sz w:val="20"/>
          <w:szCs w:val="20"/>
        </w:rPr>
        <w:t xml:space="preserve">  A VA examination is not needed if the benefit being sought can be granted.</w:t>
      </w:r>
    </w:p>
    <w:p w:rsidR="00903A8D" w:rsidRPr="00903A8D" w:rsidRDefault="00903A8D" w:rsidP="00F063AF">
      <w:pPr>
        <w:pStyle w:val="ListParagraph"/>
        <w:widowControl w:val="0"/>
        <w:numPr>
          <w:ilvl w:val="0"/>
          <w:numId w:val="205"/>
        </w:numPr>
        <w:spacing w:after="120"/>
        <w:ind w:right="60"/>
        <w:rPr>
          <w:rFonts w:ascii="Arial" w:hAnsi="Arial"/>
          <w:bCs/>
          <w:iCs/>
          <w:sz w:val="20"/>
          <w:szCs w:val="20"/>
        </w:rPr>
      </w:pPr>
      <w:r w:rsidRPr="00903A8D">
        <w:rPr>
          <w:rFonts w:ascii="Arial" w:hAnsi="Arial"/>
          <w:bCs/>
          <w:sz w:val="20"/>
          <w:szCs w:val="20"/>
        </w:rPr>
        <w:t xml:space="preserve">Notes from </w:t>
      </w:r>
      <w:r w:rsidRPr="00903A8D">
        <w:rPr>
          <w:rFonts w:ascii="Arial" w:hAnsi="Arial"/>
          <w:b/>
          <w:i/>
          <w:sz w:val="20"/>
          <w:szCs w:val="20"/>
          <w:u w:val="single"/>
        </w:rPr>
        <w:t>March 2018 Training Provided by Central Office by Andrew Grey (Site Visit Training) on VA Examinations</w:t>
      </w:r>
      <w:r w:rsidRPr="00903A8D">
        <w:rPr>
          <w:rFonts w:ascii="Arial" w:hAnsi="Arial"/>
          <w:b/>
          <w:i/>
          <w:sz w:val="20"/>
          <w:szCs w:val="20"/>
        </w:rPr>
        <w:t>:</w:t>
      </w:r>
    </w:p>
    <w:p w:rsidR="00903A8D" w:rsidRPr="00903A8D" w:rsidRDefault="00903A8D" w:rsidP="00903A8D">
      <w:pPr>
        <w:widowControl w:val="0"/>
        <w:spacing w:after="120"/>
        <w:ind w:left="720" w:right="60"/>
        <w:rPr>
          <w:bCs/>
          <w:iCs/>
        </w:rPr>
      </w:pPr>
      <w:r w:rsidRPr="00903A8D">
        <w:rPr>
          <w:bCs/>
          <w:iCs/>
        </w:rPr>
        <w:t>Element 1 (current disability or persistent/recurrent symptoms) – lay is sufficient for most musculoskeletal sx; cancer &amp; other diseases need TRs show diagnosis [just a claim does not establish Element 1]</w:t>
      </w:r>
    </w:p>
    <w:p w:rsidR="00903A8D" w:rsidRPr="00903A8D" w:rsidRDefault="00903A8D" w:rsidP="00903A8D">
      <w:pPr>
        <w:widowControl w:val="0"/>
        <w:spacing w:after="120"/>
        <w:ind w:left="720" w:right="60"/>
        <w:rPr>
          <w:bCs/>
          <w:iCs/>
        </w:rPr>
      </w:pPr>
      <w:r w:rsidRPr="00903A8D">
        <w:rPr>
          <w:bCs/>
          <w:iCs/>
        </w:rPr>
        <w:t>Element 2 (event/injury/disease in service) – need treatment in service; OR Parachutist Badge; OR veteran reports shoulder injury when loading heavy cargo in Korea in 6/09, spouse corroborating statement (then says can also just use veteran’s statement) &amp; SPRs show loadmaster &amp; exercise in Korea 6/09 [be careful using acute &amp; transitory]</w:t>
      </w:r>
    </w:p>
    <w:p w:rsidR="00903A8D" w:rsidRPr="00903A8D" w:rsidRDefault="00903A8D" w:rsidP="00903A8D">
      <w:pPr>
        <w:widowControl w:val="0"/>
        <w:spacing w:after="120"/>
        <w:ind w:left="720" w:right="60"/>
        <w:rPr>
          <w:bCs/>
          <w:iCs/>
        </w:rPr>
      </w:pPr>
      <w:r w:rsidRPr="00903A8D">
        <w:rPr>
          <w:bCs/>
          <w:iCs/>
        </w:rPr>
        <w:t>Element 3 (indication of association) – easiest hurdle, can use veteran’s statement of persistent symptoms since service (or TRs, if have them) [just a claim does not establish Element 3]</w:t>
      </w:r>
    </w:p>
    <w:p w:rsidR="00903A8D" w:rsidRDefault="00903A8D" w:rsidP="00903A8D">
      <w:pPr>
        <w:widowControl w:val="0"/>
        <w:spacing w:after="120"/>
        <w:ind w:left="720" w:right="60"/>
        <w:rPr>
          <w:bCs/>
          <w:iCs/>
        </w:rPr>
      </w:pPr>
      <w:r w:rsidRPr="00903A8D">
        <w:rPr>
          <w:bCs/>
          <w:iCs/>
        </w:rPr>
        <w:t>Ensure opinion requests are through &amp; relevant documents are tabbed &amp; bookmarked</w:t>
      </w:r>
    </w:p>
    <w:p w:rsidR="00A468CC" w:rsidRPr="00A468CC" w:rsidRDefault="00A468CC" w:rsidP="00A468CC">
      <w:pPr>
        <w:ind w:left="720"/>
        <w:rPr>
          <w:rFonts w:ascii="Segoe UI" w:hAnsi="Segoe UI" w:cs="Segoe UI"/>
          <w:color w:val="000000"/>
          <w:szCs w:val="24"/>
        </w:rPr>
      </w:pPr>
      <w:r>
        <w:rPr>
          <w:rFonts w:ascii="Segoe UI" w:hAnsi="Segoe UI" w:cs="Segoe UI"/>
          <w:color w:val="000000"/>
          <w:szCs w:val="24"/>
        </w:rPr>
        <w:t xml:space="preserve">Question:  </w:t>
      </w:r>
      <w:r w:rsidRPr="00A468CC">
        <w:rPr>
          <w:rFonts w:ascii="Segoe UI" w:hAnsi="Segoe UI" w:cs="Segoe UI"/>
          <w:color w:val="000000"/>
          <w:szCs w:val="24"/>
        </w:rPr>
        <w:t xml:space="preserve">For element 2, if the Veteran simply states that his/her claimed condition is due to combat trauma, the STRs are silent for factual treatment of the claimed condition, and the Veteran's DD214 lists participation in combat, would this satisfy element 2? </w:t>
      </w:r>
    </w:p>
    <w:p w:rsidR="00A468CC" w:rsidRPr="00A468CC" w:rsidRDefault="00A468CC" w:rsidP="00A468CC">
      <w:pPr>
        <w:ind w:left="720"/>
        <w:rPr>
          <w:rFonts w:ascii="Segoe UI" w:hAnsi="Segoe UI" w:cs="Segoe UI"/>
          <w:color w:val="000000"/>
          <w:szCs w:val="24"/>
        </w:rPr>
      </w:pPr>
    </w:p>
    <w:p w:rsidR="00A468CC" w:rsidRPr="00A468CC" w:rsidRDefault="00A468CC" w:rsidP="00A468CC">
      <w:pPr>
        <w:ind w:left="720"/>
        <w:rPr>
          <w:rFonts w:ascii="Segoe UI" w:hAnsi="Segoe UI" w:cs="Segoe UI"/>
          <w:b/>
          <w:bCs/>
          <w:szCs w:val="24"/>
        </w:rPr>
      </w:pPr>
      <w:r w:rsidRPr="00A468CC">
        <w:rPr>
          <w:rFonts w:ascii="Segoe UI" w:hAnsi="Segoe UI" w:cs="Segoe UI"/>
          <w:b/>
          <w:bCs/>
          <w:color w:val="000000"/>
          <w:szCs w:val="24"/>
        </w:rPr>
        <w:t xml:space="preserve">Answer: Element 2 would be satisfied if the Veteran identifies that the injury was a result of combat and the circumstances are </w:t>
      </w:r>
      <w:r w:rsidRPr="00A468CC">
        <w:rPr>
          <w:rFonts w:ascii="Segoe UI" w:hAnsi="Segoe UI" w:cs="Segoe UI"/>
          <w:b/>
          <w:bCs/>
          <w:szCs w:val="24"/>
        </w:rPr>
        <w:t>consistent with the circumstances, conditions or hardships of combat.</w:t>
      </w:r>
    </w:p>
    <w:p w:rsidR="00A468CC" w:rsidRPr="00903A8D" w:rsidRDefault="00A468CC" w:rsidP="00903A8D">
      <w:pPr>
        <w:widowControl w:val="0"/>
        <w:spacing w:after="120"/>
        <w:ind w:left="720" w:right="60"/>
        <w:rPr>
          <w:bCs/>
          <w:iCs/>
        </w:rPr>
      </w:pPr>
    </w:p>
    <w:p w:rsidR="00903A8D" w:rsidRPr="00903A8D" w:rsidRDefault="00903A8D" w:rsidP="00903A8D">
      <w:pPr>
        <w:pBdr>
          <w:top w:val="double" w:sz="4" w:space="1" w:color="auto"/>
          <w:left w:val="double" w:sz="4" w:space="4" w:color="auto"/>
          <w:bottom w:val="double" w:sz="4" w:space="1" w:color="auto"/>
          <w:right w:val="double" w:sz="4" w:space="4" w:color="auto"/>
        </w:pBdr>
        <w:shd w:val="clear" w:color="auto" w:fill="FFC000"/>
        <w:ind w:left="810" w:right="60"/>
        <w:jc w:val="center"/>
        <w:rPr>
          <w:rFonts w:eastAsiaTheme="minorHAnsi"/>
        </w:rPr>
      </w:pPr>
      <w:r w:rsidRPr="00903A8D">
        <w:rPr>
          <w:rFonts w:eastAsiaTheme="minorHAnsi"/>
          <w:b/>
        </w:rPr>
        <w:t>San Diego RVSR Training (Version 2).pptx, recorded training &amp; email message with answers to questions</w:t>
      </w:r>
      <w:r w:rsidRPr="00903A8D">
        <w:rPr>
          <w:rFonts w:eastAsiaTheme="minorHAnsi"/>
        </w:rPr>
        <w:t xml:space="preserve"> are</w:t>
      </w:r>
      <w:r w:rsidRPr="00903A8D">
        <w:t xml:space="preserve"> saved at </w:t>
      </w:r>
      <w:r w:rsidRPr="00903A8D">
        <w:rPr>
          <w:b/>
          <w:bCs/>
          <w:i/>
          <w:iCs/>
        </w:rPr>
        <w:t>H:\VSC\FY2013 LANES\Training\NTC Training Recordings\FY18\2018 Site Visit Training</w:t>
      </w:r>
    </w:p>
    <w:p w:rsidR="00721B5D" w:rsidRPr="00CC29CC" w:rsidRDefault="00721B5D" w:rsidP="00F063AF">
      <w:pPr>
        <w:pStyle w:val="ListParagraph"/>
        <w:numPr>
          <w:ilvl w:val="0"/>
          <w:numId w:val="205"/>
        </w:numPr>
        <w:tabs>
          <w:tab w:val="left" w:pos="1170"/>
        </w:tabs>
        <w:spacing w:after="120" w:line="240" w:lineRule="auto"/>
        <w:rPr>
          <w:rFonts w:ascii="Arial" w:eastAsiaTheme="minorHAnsi" w:hAnsi="Arial"/>
          <w:sz w:val="20"/>
          <w:szCs w:val="20"/>
        </w:rPr>
      </w:pPr>
    </w:p>
    <w:p w:rsidR="00E27AA1" w:rsidRDefault="00E27AA1" w:rsidP="00B14B8E">
      <w:pPr>
        <w:rPr>
          <w:rFonts w:eastAsiaTheme="minorHAnsi"/>
        </w:rPr>
      </w:pPr>
    </w:p>
    <w:tbl>
      <w:tblPr>
        <w:tblW w:w="0" w:type="auto"/>
        <w:tblInd w:w="-45" w:type="dxa"/>
        <w:tblLayout w:type="fixed"/>
        <w:tblCellMar>
          <w:left w:w="30" w:type="dxa"/>
          <w:right w:w="30" w:type="dxa"/>
        </w:tblCellMar>
        <w:tblLook w:val="0000" w:firstRow="0" w:lastRow="0" w:firstColumn="0" w:lastColumn="0" w:noHBand="0" w:noVBand="0"/>
      </w:tblPr>
      <w:tblGrid>
        <w:gridCol w:w="705"/>
        <w:gridCol w:w="10170"/>
      </w:tblGrid>
      <w:tr w:rsidR="00013EB8">
        <w:trPr>
          <w:trHeight w:val="227"/>
        </w:trPr>
        <w:tc>
          <w:tcPr>
            <w:tcW w:w="705" w:type="dxa"/>
            <w:tcBorders>
              <w:top w:val="nil"/>
              <w:left w:val="nil"/>
              <w:bottom w:val="nil"/>
              <w:right w:val="nil"/>
            </w:tcBorders>
          </w:tcPr>
          <w:p w:rsidR="00013EB8" w:rsidRPr="00E61608" w:rsidRDefault="00013EB8" w:rsidP="00E61608">
            <w:pPr>
              <w:widowControl w:val="0"/>
              <w:numPr>
                <w:ilvl w:val="12"/>
                <w:numId w:val="0"/>
              </w:numPr>
              <w:spacing w:after="120"/>
              <w:rPr>
                <w:b/>
              </w:rPr>
            </w:pPr>
            <w:r w:rsidRPr="00453DE5">
              <w:rPr>
                <w:b/>
              </w:rPr>
              <w:t>3.328</w:t>
            </w:r>
          </w:p>
        </w:tc>
        <w:tc>
          <w:tcPr>
            <w:tcW w:w="10170" w:type="dxa"/>
            <w:tcBorders>
              <w:top w:val="nil"/>
              <w:left w:val="nil"/>
              <w:bottom w:val="nil"/>
              <w:right w:val="nil"/>
            </w:tcBorders>
          </w:tcPr>
          <w:p w:rsidR="00E61608" w:rsidRPr="00E61608" w:rsidRDefault="00013EB8" w:rsidP="00E61608">
            <w:pPr>
              <w:widowControl w:val="0"/>
              <w:numPr>
                <w:ilvl w:val="12"/>
                <w:numId w:val="0"/>
              </w:numPr>
              <w:spacing w:after="120"/>
            </w:pPr>
            <w:r w:rsidRPr="00E61608">
              <w:rPr>
                <w:b/>
              </w:rPr>
              <w:t>Independent medical opinions</w:t>
            </w:r>
            <w:r w:rsidRPr="00E61608">
              <w:t xml:space="preserve"> – </w:t>
            </w:r>
          </w:p>
          <w:p w:rsidR="00013EB8" w:rsidRPr="000E7BFD" w:rsidRDefault="00F01095" w:rsidP="00F063AF">
            <w:pPr>
              <w:pStyle w:val="ListParagraph"/>
              <w:widowControl w:val="0"/>
              <w:numPr>
                <w:ilvl w:val="0"/>
                <w:numId w:val="199"/>
              </w:numPr>
              <w:spacing w:after="120" w:line="240" w:lineRule="auto"/>
              <w:ind w:left="420"/>
              <w:rPr>
                <w:rStyle w:val="Hyperlink"/>
                <w:rFonts w:ascii="Arial" w:hAnsi="Arial"/>
                <w:color w:val="auto"/>
                <w:sz w:val="20"/>
                <w:szCs w:val="20"/>
                <w:u w:val="none"/>
              </w:rPr>
            </w:pPr>
            <w:r>
              <w:rPr>
                <w:rFonts w:ascii="Arial" w:hAnsi="Arial"/>
                <w:b/>
                <w:bCs/>
                <w:sz w:val="20"/>
                <w:szCs w:val="20"/>
              </w:rPr>
              <w:t>III.iv.3</w:t>
            </w:r>
          </w:p>
          <w:p w:rsidR="00E61608" w:rsidRDefault="00E61608" w:rsidP="00F063AF">
            <w:pPr>
              <w:widowControl w:val="0"/>
              <w:numPr>
                <w:ilvl w:val="0"/>
                <w:numId w:val="199"/>
              </w:numPr>
              <w:tabs>
                <w:tab w:val="left" w:pos="420"/>
              </w:tabs>
              <w:spacing w:after="120"/>
              <w:ind w:left="420"/>
              <w:rPr>
                <w:iCs/>
              </w:rPr>
            </w:pPr>
            <w:r w:rsidRPr="00C2315E">
              <w:rPr>
                <w:b/>
                <w:i/>
              </w:rPr>
              <w:t>Reonal v. Brown</w:t>
            </w:r>
            <w:r w:rsidRPr="00E61608">
              <w:rPr>
                <w:i/>
              </w:rPr>
              <w:t xml:space="preserve"> </w:t>
            </w:r>
            <w:r w:rsidRPr="00E61608">
              <w:rPr>
                <w:iCs/>
              </w:rPr>
              <w:t>(9/8/93) – opinion based on inaccurate data is not credible opinion, thus not material evidence</w:t>
            </w:r>
          </w:p>
          <w:p w:rsidR="00E61608" w:rsidRPr="00E61608" w:rsidRDefault="00E61608" w:rsidP="00F063AF">
            <w:pPr>
              <w:widowControl w:val="0"/>
              <w:numPr>
                <w:ilvl w:val="0"/>
                <w:numId w:val="199"/>
              </w:numPr>
              <w:tabs>
                <w:tab w:val="left" w:pos="420"/>
              </w:tabs>
              <w:spacing w:after="120"/>
              <w:ind w:left="420"/>
              <w:rPr>
                <w:iCs/>
              </w:rPr>
            </w:pPr>
            <w:r w:rsidRPr="00C2315E">
              <w:rPr>
                <w:b/>
                <w:i/>
                <w:iCs/>
              </w:rPr>
              <w:t>Gardin v. Shinseki</w:t>
            </w:r>
            <w:r w:rsidRPr="00E61608">
              <w:rPr>
                <w:iCs/>
              </w:rPr>
              <w:t xml:space="preserve"> (7/16/00) - </w:t>
            </w:r>
            <w:r w:rsidRPr="00E61608">
              <w:t xml:space="preserve">a private medical opinion may not be rejected solely on the basis of the physician having not reviewed SMRs.  However, the omission of such review may be considered in determining the probative value of such evidence.  </w:t>
            </w:r>
          </w:p>
        </w:tc>
      </w:tr>
    </w:tbl>
    <w:p w:rsidR="00305E95" w:rsidRDefault="00305E95" w:rsidP="00F063AF">
      <w:pPr>
        <w:pStyle w:val="ListParagraph"/>
        <w:numPr>
          <w:ilvl w:val="0"/>
          <w:numId w:val="181"/>
        </w:numPr>
        <w:spacing w:after="120" w:line="240" w:lineRule="auto"/>
        <w:ind w:left="1080"/>
        <w:rPr>
          <w:rFonts w:ascii="Arial" w:hAnsi="Arial"/>
          <w:i/>
          <w:sz w:val="20"/>
          <w:szCs w:val="20"/>
          <w:highlight w:val="cyan"/>
        </w:rPr>
      </w:pPr>
      <w:r w:rsidRPr="00A65CD0">
        <w:rPr>
          <w:rFonts w:ascii="Arial" w:hAnsi="Arial"/>
          <w:b/>
          <w:sz w:val="20"/>
          <w:szCs w:val="20"/>
          <w:highlight w:val="cyan"/>
        </w:rPr>
        <w:t xml:space="preserve">In January 2014, Comp Service confirmed </w:t>
      </w:r>
      <w:r w:rsidRPr="00A65CD0">
        <w:rPr>
          <w:rFonts w:ascii="Arial" w:hAnsi="Arial"/>
          <w:i/>
          <w:sz w:val="20"/>
          <w:szCs w:val="20"/>
          <w:highlight w:val="cyan"/>
        </w:rPr>
        <w:t>(discussed at January 2014 Evaluation Builder Refresher Training)</w:t>
      </w:r>
      <w:r w:rsidRPr="00A65CD0">
        <w:rPr>
          <w:rFonts w:ascii="Arial" w:hAnsi="Arial"/>
          <w:b/>
          <w:sz w:val="20"/>
          <w:szCs w:val="20"/>
          <w:highlight w:val="cyan"/>
        </w:rPr>
        <w:t xml:space="preserve"> – </w:t>
      </w:r>
      <w:r w:rsidRPr="00A65CD0">
        <w:rPr>
          <w:rFonts w:ascii="Arial" w:hAnsi="Arial"/>
          <w:sz w:val="20"/>
          <w:szCs w:val="20"/>
          <w:highlight w:val="cyan"/>
        </w:rPr>
        <w:t xml:space="preserve">that need we need a direct opinion if there are symptoms in service, but no diagnosis until after service. We also need an opinion if diagnosed in service and diagnosed with the same disability </w:t>
      </w:r>
      <w:r w:rsidRPr="00A65CD0">
        <w:rPr>
          <w:rFonts w:ascii="Arial" w:hAnsi="Arial"/>
          <w:sz w:val="20"/>
          <w:szCs w:val="20"/>
          <w:highlight w:val="cyan"/>
          <w:u w:val="single"/>
        </w:rPr>
        <w:t>more than one year</w:t>
      </w:r>
      <w:r w:rsidRPr="00A65CD0">
        <w:rPr>
          <w:rFonts w:ascii="Arial" w:hAnsi="Arial"/>
          <w:sz w:val="20"/>
          <w:szCs w:val="20"/>
          <w:highlight w:val="cyan"/>
        </w:rPr>
        <w:t xml:space="preserve"> after RAD (even if claimed within one year).</w:t>
      </w:r>
      <w:r w:rsidR="00314BA2">
        <w:rPr>
          <w:rFonts w:ascii="Arial" w:hAnsi="Arial"/>
          <w:sz w:val="20"/>
          <w:szCs w:val="20"/>
          <w:highlight w:val="cyan"/>
        </w:rPr>
        <w:t xml:space="preserve"> </w:t>
      </w:r>
      <w:r w:rsidRPr="00A65CD0">
        <w:rPr>
          <w:rFonts w:ascii="Arial" w:hAnsi="Arial"/>
          <w:sz w:val="20"/>
          <w:szCs w:val="20"/>
          <w:highlight w:val="cyan"/>
        </w:rPr>
        <w:t xml:space="preserve">No opinion is needed if diagnosed in service AND diagnosed with same disability </w:t>
      </w:r>
      <w:r w:rsidRPr="00A65CD0">
        <w:rPr>
          <w:rFonts w:ascii="Arial" w:hAnsi="Arial"/>
          <w:sz w:val="20"/>
          <w:szCs w:val="20"/>
          <w:highlight w:val="cyan"/>
          <w:u w:val="single"/>
        </w:rPr>
        <w:t>within one year</w:t>
      </w:r>
      <w:r w:rsidRPr="00A65CD0">
        <w:rPr>
          <w:rFonts w:ascii="Arial" w:hAnsi="Arial"/>
          <w:sz w:val="20"/>
          <w:szCs w:val="20"/>
          <w:highlight w:val="cyan"/>
        </w:rPr>
        <w:t xml:space="preserve"> of RAD. </w:t>
      </w:r>
      <w:r w:rsidRPr="00A65CD0">
        <w:rPr>
          <w:rFonts w:ascii="Arial" w:hAnsi="Arial"/>
          <w:i/>
          <w:sz w:val="20"/>
          <w:szCs w:val="20"/>
          <w:highlight w:val="cyan"/>
        </w:rPr>
        <w:t>This excludes 3.309 chronic disabilities.</w:t>
      </w:r>
    </w:p>
    <w:p w:rsidR="000F3748" w:rsidRPr="002B7AA2" w:rsidRDefault="00314BA2" w:rsidP="002B7AA2">
      <w:pPr>
        <w:pStyle w:val="ListParagraph"/>
        <w:spacing w:after="120" w:line="240" w:lineRule="auto"/>
        <w:ind w:left="1080"/>
        <w:rPr>
          <w:rFonts w:ascii="Arial" w:hAnsi="Arial"/>
          <w:b/>
          <w:i/>
          <w:sz w:val="20"/>
          <w:szCs w:val="20"/>
          <w:highlight w:val="cyan"/>
        </w:rPr>
      </w:pPr>
      <w:r w:rsidRPr="00F26B65">
        <w:rPr>
          <w:rFonts w:ascii="Arial" w:hAnsi="Arial"/>
          <w:b/>
          <w:i/>
          <w:sz w:val="20"/>
          <w:szCs w:val="20"/>
          <w:highlight w:val="cyan"/>
        </w:rPr>
        <w:t>*</w:t>
      </w:r>
      <w:r w:rsidRPr="00D07BC3">
        <w:rPr>
          <w:rFonts w:ascii="Arial" w:hAnsi="Arial"/>
          <w:i/>
          <w:sz w:val="20"/>
          <w:szCs w:val="20"/>
          <w:highlight w:val="cyan"/>
        </w:rPr>
        <w:t xml:space="preserve">Did not specifically discuss if diagnosed in service and diagnosed with a similar disability </w:t>
      </w:r>
      <w:r w:rsidRPr="00D07BC3">
        <w:rPr>
          <w:rFonts w:ascii="Arial" w:hAnsi="Arial"/>
          <w:i/>
          <w:sz w:val="20"/>
          <w:szCs w:val="20"/>
          <w:highlight w:val="cyan"/>
          <w:u w:val="single"/>
        </w:rPr>
        <w:t>within one year</w:t>
      </w:r>
      <w:r w:rsidR="00F26B65" w:rsidRPr="00D07BC3">
        <w:rPr>
          <w:rFonts w:ascii="Arial" w:hAnsi="Arial"/>
          <w:i/>
          <w:sz w:val="20"/>
          <w:szCs w:val="20"/>
          <w:highlight w:val="cyan"/>
        </w:rPr>
        <w:t xml:space="preserve"> of RAD, but </w:t>
      </w:r>
      <w:hyperlink r:id="rId752" w:history="1">
        <w:r w:rsidR="00F26B65" w:rsidRPr="00D07BC3">
          <w:rPr>
            <w:rStyle w:val="Hyperlink"/>
            <w:rFonts w:ascii="Arial" w:hAnsi="Arial"/>
            <w:b/>
            <w:i/>
            <w:sz w:val="20"/>
            <w:szCs w:val="20"/>
            <w:highlight w:val="cyan"/>
          </w:rPr>
          <w:t xml:space="preserve">November 2014 Rating </w:t>
        </w:r>
        <w:r w:rsidR="00FF4E63">
          <w:rPr>
            <w:rStyle w:val="Hyperlink"/>
            <w:rFonts w:ascii="Arial" w:hAnsi="Arial"/>
            <w:b/>
            <w:i/>
            <w:sz w:val="20"/>
            <w:szCs w:val="20"/>
            <w:highlight w:val="cyan"/>
          </w:rPr>
          <w:t>Quality Call Notes</w:t>
        </w:r>
      </w:hyperlink>
      <w:r w:rsidR="00F26B65" w:rsidRPr="00D07BC3">
        <w:rPr>
          <w:rStyle w:val="Hyperlink"/>
          <w:rFonts w:ascii="Arial" w:hAnsi="Arial"/>
          <w:sz w:val="20"/>
          <w:szCs w:val="20"/>
          <w:highlight w:val="cyan"/>
          <w:u w:val="none"/>
        </w:rPr>
        <w:t xml:space="preserve"> </w:t>
      </w:r>
      <w:r w:rsidR="00F26B65" w:rsidRPr="00D07BC3">
        <w:rPr>
          <w:rFonts w:ascii="Arial" w:hAnsi="Arial"/>
          <w:sz w:val="20"/>
          <w:szCs w:val="20"/>
          <w:highlight w:val="cyan"/>
        </w:rPr>
        <w:t>say</w:t>
      </w:r>
      <w:r w:rsidR="00F26B65" w:rsidRPr="00D07BC3">
        <w:rPr>
          <w:rFonts w:ascii="Arial" w:hAnsi="Arial"/>
          <w:i/>
          <w:sz w:val="20"/>
          <w:szCs w:val="20"/>
          <w:highlight w:val="cyan"/>
        </w:rPr>
        <w:t xml:space="preserve"> </w:t>
      </w:r>
      <w:r w:rsidR="00F26B65" w:rsidRPr="00D07BC3">
        <w:rPr>
          <w:rFonts w:ascii="Arial" w:hAnsi="Arial"/>
          <w:sz w:val="20"/>
          <w:szCs w:val="20"/>
          <w:highlight w:val="cyan"/>
        </w:rPr>
        <w:t>that when general medical examinations are ordered for recently discharged Veterans, please do not request opinions for all the conditions claimed.</w:t>
      </w:r>
    </w:p>
    <w:p w:rsidR="0079379A" w:rsidRPr="0079379A" w:rsidRDefault="00305E95" w:rsidP="00F063AF">
      <w:pPr>
        <w:pStyle w:val="ListParagraph"/>
        <w:numPr>
          <w:ilvl w:val="0"/>
          <w:numId w:val="180"/>
        </w:numPr>
        <w:spacing w:after="120"/>
        <w:ind w:left="1080"/>
        <w:rPr>
          <w:rFonts w:ascii="Arial" w:hAnsi="Arial"/>
          <w:sz w:val="20"/>
          <w:szCs w:val="20"/>
        </w:rPr>
      </w:pPr>
      <w:r w:rsidRPr="0079379A">
        <w:rPr>
          <w:rFonts w:ascii="Arial" w:hAnsi="Arial"/>
          <w:b/>
          <w:i/>
          <w:sz w:val="20"/>
          <w:szCs w:val="20"/>
          <w:u w:val="single"/>
        </w:rPr>
        <w:t>September 2014, Rich Osborne (Comp Service Quality Review &amp; Consistency</w:t>
      </w:r>
      <w:r w:rsidR="00835D82">
        <w:rPr>
          <w:rFonts w:ascii="Arial" w:hAnsi="Arial"/>
          <w:b/>
          <w:i/>
          <w:sz w:val="20"/>
          <w:szCs w:val="20"/>
          <w:u w:val="single"/>
        </w:rPr>
        <w:t xml:space="preserve"> </w:t>
      </w:r>
      <w:r w:rsidRPr="0079379A">
        <w:rPr>
          <w:rFonts w:ascii="Arial" w:hAnsi="Arial"/>
          <w:b/>
          <w:i/>
          <w:sz w:val="20"/>
          <w:szCs w:val="20"/>
          <w:u w:val="single"/>
        </w:rPr>
        <w:t>Team)</w:t>
      </w:r>
      <w:r w:rsidRPr="0079379A">
        <w:rPr>
          <w:rFonts w:ascii="Arial" w:hAnsi="Arial"/>
          <w:b/>
          <w:i/>
          <w:sz w:val="20"/>
          <w:szCs w:val="20"/>
        </w:rPr>
        <w:t xml:space="preserve">: </w:t>
      </w:r>
      <w:r w:rsidRPr="0079379A">
        <w:rPr>
          <w:rFonts w:ascii="Arial" w:hAnsi="Arial"/>
          <w:sz w:val="20"/>
          <w:szCs w:val="20"/>
        </w:rPr>
        <w:t xml:space="preserve"> </w:t>
      </w:r>
      <w:hyperlink r:id="rId753" w:history="1">
        <w:r w:rsidR="0079379A" w:rsidRPr="0079379A">
          <w:rPr>
            <w:rStyle w:val="Hyperlink"/>
            <w:rFonts w:ascii="Arial" w:hAnsi="Arial"/>
            <w:sz w:val="20"/>
            <w:szCs w:val="20"/>
          </w:rPr>
          <w:t>\\vbasdcfpc2\shared\VSC\Training\NTC Class Material\Waters-Walker PPT</w:t>
        </w:r>
      </w:hyperlink>
      <w:r w:rsidR="0079379A" w:rsidRPr="0079379A">
        <w:rPr>
          <w:rStyle w:val="Hyperlink"/>
          <w:rFonts w:ascii="Arial" w:hAnsi="Arial"/>
          <w:sz w:val="20"/>
          <w:szCs w:val="20"/>
        </w:rPr>
        <w:t xml:space="preserve">; </w:t>
      </w:r>
      <w:r w:rsidRPr="0079379A">
        <w:rPr>
          <w:rFonts w:ascii="Arial" w:hAnsi="Arial"/>
          <w:sz w:val="20"/>
          <w:szCs w:val="20"/>
        </w:rPr>
        <w:t>different information than</w:t>
      </w:r>
      <w:r w:rsidR="00484DB7">
        <w:rPr>
          <w:rFonts w:ascii="Arial" w:hAnsi="Arial"/>
          <w:sz w:val="20"/>
          <w:szCs w:val="20"/>
        </w:rPr>
        <w:t xml:space="preserve"> from January 2014.</w:t>
      </w:r>
    </w:p>
    <w:p w:rsidR="0079379A" w:rsidRPr="0079379A" w:rsidRDefault="00305E95" w:rsidP="00F063AF">
      <w:pPr>
        <w:pStyle w:val="Header"/>
        <w:widowControl w:val="0"/>
        <w:numPr>
          <w:ilvl w:val="0"/>
          <w:numId w:val="182"/>
        </w:numPr>
        <w:tabs>
          <w:tab w:val="clear" w:pos="4320"/>
          <w:tab w:val="clear" w:pos="8640"/>
        </w:tabs>
        <w:spacing w:after="120"/>
        <w:ind w:left="1440"/>
        <w:rPr>
          <w:rStyle w:val="Hyperlink"/>
          <w:b/>
          <w:bCs/>
          <w:i/>
        </w:rPr>
      </w:pPr>
      <w:r w:rsidRPr="00C2315E">
        <w:rPr>
          <w:b/>
          <w:i/>
          <w:iCs/>
          <w:szCs w:val="24"/>
        </w:rPr>
        <w:t>Waters v. Shinseki, 601 F.3d 1274 (Fed. Cir. 2010</w:t>
      </w:r>
      <w:r w:rsidRPr="00C2315E">
        <w:rPr>
          <w:b/>
          <w:szCs w:val="24"/>
        </w:rPr>
        <w:t>)</w:t>
      </w:r>
      <w:r w:rsidRPr="0079379A">
        <w:rPr>
          <w:rStyle w:val="Hyperlink"/>
          <w:color w:val="auto"/>
          <w:szCs w:val="24"/>
          <w:u w:val="none"/>
        </w:rPr>
        <w:t xml:space="preserve"> </w:t>
      </w:r>
    </w:p>
    <w:p w:rsidR="00305E95" w:rsidRPr="0079379A" w:rsidRDefault="00305E95" w:rsidP="00F063AF">
      <w:pPr>
        <w:pStyle w:val="Header"/>
        <w:widowControl w:val="0"/>
        <w:numPr>
          <w:ilvl w:val="1"/>
          <w:numId w:val="182"/>
        </w:numPr>
        <w:tabs>
          <w:tab w:val="clear" w:pos="4320"/>
          <w:tab w:val="clear" w:pos="8640"/>
          <w:tab w:val="left" w:pos="1800"/>
        </w:tabs>
        <w:spacing w:after="120"/>
        <w:ind w:left="1800"/>
        <w:rPr>
          <w:rStyle w:val="Hyperlink"/>
          <w:b/>
          <w:bCs/>
          <w:i/>
        </w:rPr>
      </w:pPr>
      <w:r w:rsidRPr="006E501E">
        <w:rPr>
          <w:b/>
          <w:bCs/>
          <w:i/>
        </w:rPr>
        <w:t xml:space="preserve">December 2013 </w:t>
      </w:r>
      <w:r w:rsidR="00EB6F0B" w:rsidRPr="006E501E">
        <w:rPr>
          <w:b/>
          <w:bCs/>
          <w:i/>
        </w:rPr>
        <w:t>Compensation Service Bulletin (CSB)</w:t>
      </w:r>
    </w:p>
    <w:p w:rsidR="00305E95" w:rsidRPr="00484DB7" w:rsidRDefault="00305E95" w:rsidP="00F063AF">
      <w:pPr>
        <w:pStyle w:val="ListParagraph"/>
        <w:numPr>
          <w:ilvl w:val="1"/>
          <w:numId w:val="182"/>
        </w:numPr>
        <w:tabs>
          <w:tab w:val="left" w:pos="1800"/>
        </w:tabs>
        <w:spacing w:after="120" w:line="240" w:lineRule="auto"/>
        <w:ind w:left="1800"/>
        <w:rPr>
          <w:rFonts w:ascii="Arial" w:hAnsi="Arial"/>
          <w:sz w:val="20"/>
          <w:szCs w:val="20"/>
        </w:rPr>
      </w:pPr>
      <w:r w:rsidRPr="00484DB7">
        <w:rPr>
          <w:rStyle w:val="Hyperlink"/>
          <w:rFonts w:ascii="Arial" w:hAnsi="Arial"/>
          <w:bCs/>
          <w:color w:val="auto"/>
          <w:sz w:val="20"/>
          <w:szCs w:val="20"/>
          <w:u w:val="none"/>
        </w:rPr>
        <w:t>VA over-reacts as an agency (with</w:t>
      </w:r>
      <w:r w:rsidR="00D52F67">
        <w:rPr>
          <w:rStyle w:val="Hyperlink"/>
          <w:rFonts w:ascii="Arial" w:hAnsi="Arial"/>
          <w:bCs/>
          <w:color w:val="auto"/>
          <w:sz w:val="20"/>
          <w:szCs w:val="20"/>
          <w:u w:val="none"/>
        </w:rPr>
        <w:t xml:space="preserve"> </w:t>
      </w:r>
      <w:r w:rsidRPr="00484DB7">
        <w:rPr>
          <w:rStyle w:val="Hyperlink"/>
          <w:rFonts w:ascii="Arial" w:hAnsi="Arial"/>
          <w:bCs/>
          <w:color w:val="auto"/>
          <w:sz w:val="20"/>
          <w:szCs w:val="20"/>
          <w:u w:val="none"/>
        </w:rPr>
        <w:t xml:space="preserve">VCAA, sent letters on everything, even if no letter needed; with </w:t>
      </w:r>
      <w:r w:rsidR="00484DB7" w:rsidRPr="00C2315E">
        <w:rPr>
          <w:rFonts w:ascii="Arial" w:hAnsi="Arial"/>
          <w:b/>
          <w:i/>
          <w:iCs/>
          <w:sz w:val="20"/>
          <w:szCs w:val="20"/>
        </w:rPr>
        <w:t>McLendon v. Nicholson, 20 Vet.App. 79</w:t>
      </w:r>
      <w:r w:rsidR="00484DB7" w:rsidRPr="00484DB7">
        <w:rPr>
          <w:rStyle w:val="Hyperlink"/>
          <w:rFonts w:ascii="Arial" w:hAnsi="Arial"/>
          <w:iCs/>
          <w:color w:val="auto"/>
          <w:sz w:val="20"/>
          <w:szCs w:val="20"/>
          <w:u w:val="none"/>
        </w:rPr>
        <w:t xml:space="preserve"> (2006)</w:t>
      </w:r>
      <w:r w:rsidRPr="00484DB7">
        <w:rPr>
          <w:rStyle w:val="Hyperlink"/>
          <w:rFonts w:ascii="Arial" w:hAnsi="Arial"/>
          <w:bCs/>
          <w:color w:val="auto"/>
          <w:sz w:val="20"/>
          <w:szCs w:val="20"/>
          <w:u w:val="none"/>
        </w:rPr>
        <w:t xml:space="preserve">, requested exams on everything, but ignored 3.159(c)(4)(i)). </w:t>
      </w:r>
      <w:r w:rsidRPr="00484DB7">
        <w:rPr>
          <w:rFonts w:ascii="Arial" w:hAnsi="Arial"/>
          <w:sz w:val="20"/>
          <w:szCs w:val="20"/>
        </w:rPr>
        <w:t>Waters v. Shinseki says need causal connection, exams are not automatic. Need THREE</w:t>
      </w:r>
      <w:r w:rsidR="0079379A" w:rsidRPr="00484DB7">
        <w:rPr>
          <w:rFonts w:ascii="Arial" w:hAnsi="Arial"/>
          <w:sz w:val="20"/>
          <w:szCs w:val="20"/>
        </w:rPr>
        <w:t xml:space="preserve"> prongs:</w:t>
      </w:r>
    </w:p>
    <w:p w:rsidR="00305E95" w:rsidRPr="00B158D9" w:rsidRDefault="00305E95" w:rsidP="0079379A">
      <w:pPr>
        <w:pStyle w:val="NormalWeb"/>
        <w:tabs>
          <w:tab w:val="left" w:pos="1800"/>
        </w:tabs>
        <w:ind w:left="1800"/>
        <w:rPr>
          <w:color w:val="00B050"/>
          <w:sz w:val="20"/>
          <w:szCs w:val="20"/>
        </w:rPr>
      </w:pPr>
      <w:bookmarkStart w:id="175" w:name="c4i"/>
      <w:bookmarkEnd w:id="175"/>
      <w:r w:rsidRPr="00C2315E">
        <w:rPr>
          <w:rStyle w:val="Hyperlink"/>
          <w:b/>
          <w:bCs/>
          <w:i/>
          <w:color w:val="00B050"/>
          <w:sz w:val="20"/>
          <w:szCs w:val="20"/>
          <w:u w:val="none"/>
        </w:rPr>
        <w:t>3.159(c)(4)(i)</w:t>
      </w:r>
      <w:r>
        <w:rPr>
          <w:rStyle w:val="Hyperlink"/>
          <w:bCs/>
          <w:color w:val="00B050"/>
          <w:sz w:val="20"/>
          <w:szCs w:val="20"/>
          <w:u w:val="none"/>
        </w:rPr>
        <w:t xml:space="preserve"> </w:t>
      </w:r>
      <w:r w:rsidRPr="001045BF">
        <w:rPr>
          <w:rStyle w:val="Hyperlink"/>
          <w:bCs/>
          <w:color w:val="00B050"/>
          <w:u w:val="none"/>
        </w:rPr>
        <w:t xml:space="preserve"> </w:t>
      </w:r>
      <w:r w:rsidRPr="001045BF">
        <w:rPr>
          <w:color w:val="00B050"/>
          <w:sz w:val="20"/>
          <w:szCs w:val="20"/>
        </w:rPr>
        <w:t xml:space="preserve">In a claim for disability compensation, VA will provide a medical examination or obtain a medical opinion based upon a review of the evidence of record if VA determines it is necessary to decide the claim. A </w:t>
      </w:r>
      <w:r w:rsidRPr="00B158D9">
        <w:rPr>
          <w:color w:val="00B050"/>
          <w:sz w:val="20"/>
          <w:szCs w:val="20"/>
        </w:rPr>
        <w:t xml:space="preserve">medical examination or medical opinion is necessary if the information and evidence of record does not contain sufficient competent medical evidence to decide the claim, but: </w:t>
      </w:r>
    </w:p>
    <w:p w:rsidR="00305E95" w:rsidRPr="00B158D9" w:rsidRDefault="00305E95" w:rsidP="0079379A">
      <w:pPr>
        <w:pStyle w:val="NormalWeb"/>
        <w:tabs>
          <w:tab w:val="left" w:pos="1800"/>
        </w:tabs>
        <w:ind w:left="1800"/>
        <w:rPr>
          <w:color w:val="00B050"/>
          <w:sz w:val="20"/>
          <w:szCs w:val="20"/>
        </w:rPr>
      </w:pPr>
      <w:bookmarkStart w:id="176" w:name="c4ia"/>
      <w:bookmarkEnd w:id="176"/>
      <w:r w:rsidRPr="00B158D9">
        <w:rPr>
          <w:color w:val="00B050"/>
          <w:sz w:val="20"/>
          <w:szCs w:val="20"/>
        </w:rPr>
        <w:t xml:space="preserve">(A) Contains competent lay or medical evidence of a current diagnosed disability or persistent or recurrent symptoms of disability; </w:t>
      </w:r>
      <w:r w:rsidR="00484DB7" w:rsidRPr="00A65CD0">
        <w:rPr>
          <w:i/>
          <w:sz w:val="20"/>
          <w:szCs w:val="20"/>
        </w:rPr>
        <w:t>per R</w:t>
      </w:r>
      <w:r w:rsidRPr="00A65CD0">
        <w:rPr>
          <w:i/>
          <w:sz w:val="20"/>
          <w:szCs w:val="20"/>
        </w:rPr>
        <w:t>ich - can be statement from veteran/buddy/wife (“I’ve had right knee pain since service”), or medical evidence</w:t>
      </w:r>
      <w:r w:rsidR="00D52F67">
        <w:rPr>
          <w:sz w:val="20"/>
          <w:szCs w:val="20"/>
        </w:rPr>
        <w:t>.</w:t>
      </w:r>
    </w:p>
    <w:p w:rsidR="00305E95" w:rsidRDefault="00305E95" w:rsidP="0079379A">
      <w:pPr>
        <w:pStyle w:val="NormalWeb"/>
        <w:tabs>
          <w:tab w:val="left" w:pos="1800"/>
        </w:tabs>
        <w:ind w:left="1800"/>
        <w:rPr>
          <w:i/>
          <w:sz w:val="20"/>
          <w:szCs w:val="20"/>
        </w:rPr>
      </w:pPr>
      <w:bookmarkStart w:id="177" w:name="c4ib"/>
      <w:bookmarkEnd w:id="177"/>
      <w:r w:rsidRPr="00B158D9">
        <w:rPr>
          <w:color w:val="00B050"/>
          <w:sz w:val="20"/>
          <w:szCs w:val="20"/>
        </w:rPr>
        <w:t xml:space="preserve">(B) Establishes that the veteran suffered an event, injury or disease in service, or has a disease or symptoms of a disease listed in </w:t>
      </w:r>
      <w:hyperlink r:id="rId754" w:history="1">
        <w:r w:rsidRPr="00B158D9">
          <w:rPr>
            <w:rStyle w:val="Hyperlink"/>
            <w:color w:val="00B050"/>
            <w:sz w:val="20"/>
            <w:szCs w:val="20"/>
          </w:rPr>
          <w:t>§3.309</w:t>
        </w:r>
      </w:hyperlink>
      <w:r w:rsidRPr="00B158D9">
        <w:rPr>
          <w:color w:val="00B050"/>
          <w:sz w:val="20"/>
          <w:szCs w:val="20"/>
        </w:rPr>
        <w:t xml:space="preserve">, </w:t>
      </w:r>
      <w:hyperlink r:id="rId755" w:history="1">
        <w:r w:rsidRPr="00B158D9">
          <w:rPr>
            <w:rStyle w:val="Hyperlink"/>
            <w:color w:val="00B050"/>
            <w:sz w:val="20"/>
            <w:szCs w:val="20"/>
          </w:rPr>
          <w:t>§3.313</w:t>
        </w:r>
      </w:hyperlink>
      <w:r w:rsidRPr="00B158D9">
        <w:rPr>
          <w:color w:val="00B050"/>
          <w:sz w:val="20"/>
          <w:szCs w:val="20"/>
        </w:rPr>
        <w:t xml:space="preserve">, </w:t>
      </w:r>
      <w:hyperlink r:id="rId756" w:history="1">
        <w:r w:rsidRPr="00B158D9">
          <w:rPr>
            <w:rStyle w:val="Hyperlink"/>
            <w:color w:val="00B050"/>
            <w:sz w:val="20"/>
            <w:szCs w:val="20"/>
          </w:rPr>
          <w:t>§3.316</w:t>
        </w:r>
      </w:hyperlink>
      <w:r w:rsidRPr="00B158D9">
        <w:rPr>
          <w:color w:val="00B050"/>
          <w:sz w:val="20"/>
          <w:szCs w:val="20"/>
        </w:rPr>
        <w:t xml:space="preserve">, and </w:t>
      </w:r>
      <w:hyperlink r:id="rId757" w:history="1">
        <w:r w:rsidRPr="00B158D9">
          <w:rPr>
            <w:rStyle w:val="Hyperlink"/>
            <w:color w:val="00B050"/>
            <w:sz w:val="20"/>
            <w:szCs w:val="20"/>
          </w:rPr>
          <w:t>§3.317</w:t>
        </w:r>
      </w:hyperlink>
      <w:r w:rsidRPr="00B158D9">
        <w:rPr>
          <w:color w:val="00B050"/>
          <w:sz w:val="20"/>
          <w:szCs w:val="20"/>
        </w:rPr>
        <w:t xml:space="preserve"> manifesting during an applicable presumptive period provided the claimant has the required service or triggering event to qualify for that presumption; and  </w:t>
      </w:r>
      <w:r w:rsidR="00484DB7" w:rsidRPr="00A65CD0">
        <w:rPr>
          <w:i/>
          <w:sz w:val="20"/>
          <w:szCs w:val="20"/>
        </w:rPr>
        <w:t>per R</w:t>
      </w:r>
      <w:r w:rsidRPr="00A65CD0">
        <w:rPr>
          <w:i/>
          <w:sz w:val="20"/>
          <w:szCs w:val="20"/>
        </w:rPr>
        <w:t>ich – event, injury, disease. If the veteran or examiner says “duties</w:t>
      </w:r>
      <w:r w:rsidR="001946CC">
        <w:rPr>
          <w:i/>
          <w:sz w:val="20"/>
          <w:szCs w:val="20"/>
        </w:rPr>
        <w:t>,”</w:t>
      </w:r>
      <w:r w:rsidRPr="00A65CD0">
        <w:rPr>
          <w:i/>
          <w:sz w:val="20"/>
          <w:szCs w:val="20"/>
        </w:rPr>
        <w:t xml:space="preserve"> but there is nothing in the STRs, still have to have something (i.e. Parachutist Badge or buddy/wife </w:t>
      </w:r>
      <w:r w:rsidR="00D52F67">
        <w:rPr>
          <w:i/>
          <w:sz w:val="20"/>
          <w:szCs w:val="20"/>
        </w:rPr>
        <w:t>saying had symptoms in service [i.e. snoring/sleep apnea]</w:t>
      </w:r>
      <w:r w:rsidRPr="00A65CD0">
        <w:rPr>
          <w:i/>
          <w:sz w:val="20"/>
          <w:szCs w:val="20"/>
        </w:rPr>
        <w:t>). A lay report of an injury is not sufficient to establish an event/injury/disease.</w:t>
      </w:r>
      <w:r w:rsidR="00DD7D0F">
        <w:rPr>
          <w:i/>
          <w:sz w:val="20"/>
          <w:szCs w:val="20"/>
        </w:rPr>
        <w:t xml:space="preserve"> VA Pulse, </w:t>
      </w:r>
      <w:r w:rsidR="005F31E2" w:rsidRPr="006A627B">
        <w:rPr>
          <w:i/>
          <w:sz w:val="20"/>
          <w:szCs w:val="20"/>
        </w:rPr>
        <w:t>https://www.vapulse.net/message/14042</w:t>
      </w:r>
    </w:p>
    <w:p w:rsidR="00FC6354" w:rsidRPr="00FC6354" w:rsidRDefault="002843B5" w:rsidP="00FC6354">
      <w:pPr>
        <w:ind w:left="2160"/>
        <w:rPr>
          <w:rFonts w:asciiTheme="minorHAnsi" w:hAnsiTheme="minorHAnsi"/>
          <w:sz w:val="22"/>
          <w:szCs w:val="22"/>
        </w:rPr>
      </w:pPr>
      <w:r w:rsidRPr="00C820D0">
        <w:rPr>
          <w:rFonts w:asciiTheme="minorHAnsi" w:hAnsiTheme="minorHAnsi"/>
          <w:i/>
          <w:color w:val="00B050"/>
          <w:sz w:val="22"/>
          <w:szCs w:val="22"/>
        </w:rPr>
        <w:t>My N</w:t>
      </w:r>
      <w:r w:rsidR="005F31E2" w:rsidRPr="00C820D0">
        <w:rPr>
          <w:rFonts w:asciiTheme="minorHAnsi" w:hAnsiTheme="minorHAnsi"/>
          <w:i/>
          <w:color w:val="00B050"/>
          <w:sz w:val="22"/>
          <w:szCs w:val="22"/>
        </w:rPr>
        <w:t xml:space="preserve">otes </w:t>
      </w:r>
      <w:r w:rsidR="005F31E2" w:rsidRPr="002843B5">
        <w:rPr>
          <w:rFonts w:asciiTheme="minorHAnsi" w:hAnsiTheme="minorHAnsi"/>
          <w:i/>
          <w:sz w:val="22"/>
          <w:szCs w:val="22"/>
        </w:rPr>
        <w:t>on Kahana:</w:t>
      </w:r>
      <w:r w:rsidR="005F31E2" w:rsidRPr="00FC6354">
        <w:rPr>
          <w:rFonts w:asciiTheme="minorHAnsi" w:hAnsiTheme="minorHAnsi"/>
          <w:sz w:val="22"/>
          <w:szCs w:val="22"/>
        </w:rPr>
        <w:t xml:space="preserve">  </w:t>
      </w:r>
      <w:r w:rsidR="005F31E2" w:rsidRPr="00FC6354">
        <w:rPr>
          <w:rFonts w:asciiTheme="minorHAnsi" w:hAnsiTheme="minorHAnsi" w:cstheme="minorBidi"/>
          <w:color w:val="1F497D" w:themeColor="dark2"/>
          <w:sz w:val="22"/>
          <w:szCs w:val="22"/>
        </w:rPr>
        <w:t>“…</w:t>
      </w:r>
      <w:r w:rsidR="005F31E2" w:rsidRPr="00FC6354">
        <w:rPr>
          <w:rFonts w:asciiTheme="minorHAnsi" w:hAnsiTheme="minorHAnsi" w:cs="TimesNewRomanPSMT"/>
          <w:sz w:val="22"/>
          <w:szCs w:val="22"/>
        </w:rPr>
        <w:t xml:space="preserve">the Court holds that the Board erred in making a medical determination concerning the severity of an anterior cruciate ligament (ACL) in violation of </w:t>
      </w:r>
      <w:r w:rsidR="005F31E2" w:rsidRPr="00FC6354">
        <w:rPr>
          <w:rFonts w:asciiTheme="minorHAnsi" w:hAnsiTheme="minorHAnsi" w:cs="TimesNewRomanPSMT,Italic"/>
          <w:i/>
          <w:iCs/>
          <w:sz w:val="22"/>
          <w:szCs w:val="22"/>
        </w:rPr>
        <w:t>Colvin</w:t>
      </w:r>
      <w:r w:rsidR="005F31E2" w:rsidRPr="00FC6354">
        <w:rPr>
          <w:rFonts w:asciiTheme="minorHAnsi" w:hAnsiTheme="minorHAnsi" w:cstheme="minorBidi"/>
          <w:color w:val="1F497D" w:themeColor="dark2"/>
          <w:sz w:val="22"/>
          <w:szCs w:val="22"/>
        </w:rPr>
        <w:t>” (Colvin says “</w:t>
      </w:r>
      <w:r w:rsidR="005F31E2" w:rsidRPr="00FC6354">
        <w:rPr>
          <w:rFonts w:asciiTheme="minorHAnsi" w:hAnsiTheme="minorHAnsi"/>
          <w:sz w:val="22"/>
          <w:szCs w:val="22"/>
        </w:rPr>
        <w:t>VA cannot reject opinions of physicians without citing medical testimony or treatises to the contrary)</w:t>
      </w:r>
      <w:r w:rsidR="001946CC">
        <w:rPr>
          <w:rFonts w:asciiTheme="minorHAnsi" w:hAnsiTheme="minorHAnsi" w:cstheme="minorBidi"/>
          <w:color w:val="1F497D" w:themeColor="dark2"/>
          <w:sz w:val="22"/>
          <w:szCs w:val="22"/>
        </w:rPr>
        <w:t>.”</w:t>
      </w:r>
      <w:r w:rsidR="005F31E2" w:rsidRPr="00FC6354">
        <w:rPr>
          <w:rFonts w:asciiTheme="minorHAnsi" w:hAnsiTheme="minorHAnsi" w:cstheme="minorBidi"/>
          <w:color w:val="1F497D" w:themeColor="dark2"/>
          <w:sz w:val="22"/>
          <w:szCs w:val="22"/>
        </w:rPr>
        <w:t xml:space="preserve"> The take-away, for me, is that the BVA said the veteran wasn’t </w:t>
      </w:r>
      <w:r w:rsidR="005F31E2" w:rsidRPr="00FC6354">
        <w:rPr>
          <w:rFonts w:asciiTheme="minorHAnsi" w:hAnsiTheme="minorHAnsi" w:cstheme="minorBidi"/>
          <w:b/>
          <w:color w:val="1F497D" w:themeColor="dark2"/>
          <w:sz w:val="22"/>
          <w:szCs w:val="22"/>
        </w:rPr>
        <w:t>competent</w:t>
      </w:r>
      <w:r w:rsidR="005F31E2" w:rsidRPr="00FC6354">
        <w:rPr>
          <w:rFonts w:asciiTheme="minorHAnsi" w:hAnsiTheme="minorHAnsi" w:cstheme="minorBidi"/>
          <w:color w:val="1F497D" w:themeColor="dark2"/>
          <w:sz w:val="22"/>
          <w:szCs w:val="22"/>
        </w:rPr>
        <w:t xml:space="preserve"> to report an injury in service, when really he is competent, but the report </w:t>
      </w:r>
      <w:r w:rsidR="00FC6354">
        <w:rPr>
          <w:rFonts w:asciiTheme="minorHAnsi" w:hAnsiTheme="minorHAnsi" w:cstheme="minorBidi"/>
          <w:color w:val="1F497D" w:themeColor="dark2"/>
          <w:sz w:val="22"/>
          <w:szCs w:val="22"/>
        </w:rPr>
        <w:t xml:space="preserve">may not be </w:t>
      </w:r>
      <w:r w:rsidR="005F31E2" w:rsidRPr="00FC6354">
        <w:rPr>
          <w:rFonts w:asciiTheme="minorHAnsi" w:hAnsiTheme="minorHAnsi" w:cstheme="minorBidi"/>
          <w:b/>
          <w:color w:val="1F497D" w:themeColor="dark2"/>
          <w:sz w:val="22"/>
          <w:szCs w:val="22"/>
        </w:rPr>
        <w:t>credible</w:t>
      </w:r>
      <w:r w:rsidR="005F31E2" w:rsidRPr="00FC6354">
        <w:rPr>
          <w:rFonts w:asciiTheme="minorHAnsi" w:hAnsiTheme="minorHAnsi" w:cstheme="minorBidi"/>
          <w:color w:val="1F497D" w:themeColor="dark2"/>
          <w:sz w:val="22"/>
          <w:szCs w:val="22"/>
        </w:rPr>
        <w:t xml:space="preserve"> if there is no other evidence to support it. </w:t>
      </w:r>
      <w:r w:rsidR="005F31E2" w:rsidRPr="00FC6354">
        <w:rPr>
          <w:rFonts w:asciiTheme="minorHAnsi" w:hAnsiTheme="minorHAnsi" w:cstheme="minorBidi"/>
          <w:i/>
          <w:color w:val="1F497D" w:themeColor="dark2"/>
          <w:sz w:val="22"/>
          <w:szCs w:val="22"/>
        </w:rPr>
        <w:t>Hence our SNL denial rationale NOCRED</w:t>
      </w:r>
      <w:r w:rsidR="005F31E2" w:rsidRPr="00FC6354">
        <w:rPr>
          <w:rFonts w:asciiTheme="minorHAnsi" w:hAnsiTheme="minorHAnsi" w:cstheme="minorBidi"/>
          <w:color w:val="1F497D" w:themeColor="dark2"/>
          <w:sz w:val="22"/>
          <w:szCs w:val="22"/>
        </w:rPr>
        <w:t xml:space="preserve">. However, other RVSRs have taken the case as saying veterans are credible to report injuries in service that are not shown in the STRs. I don’t think that’s what the case says &amp; in this case, the veteran </w:t>
      </w:r>
      <w:r w:rsidR="005F31E2" w:rsidRPr="00FC6354">
        <w:rPr>
          <w:rFonts w:asciiTheme="minorHAnsi" w:hAnsiTheme="minorHAnsi" w:cstheme="minorBidi"/>
          <w:color w:val="1F497D" w:themeColor="dark2"/>
          <w:sz w:val="22"/>
          <w:szCs w:val="22"/>
          <w:u w:val="single"/>
        </w:rPr>
        <w:t>did have treatment for his right knee in service</w:t>
      </w:r>
      <w:r w:rsidR="005F31E2" w:rsidRPr="00FC6354">
        <w:rPr>
          <w:rFonts w:asciiTheme="minorHAnsi" w:hAnsiTheme="minorHAnsi" w:cstheme="minorBidi"/>
          <w:color w:val="1F497D" w:themeColor="dark2"/>
          <w:sz w:val="22"/>
          <w:szCs w:val="22"/>
        </w:rPr>
        <w:t>, so BVA was wrong when it told the examiner there was no treatment &amp; when it rejected a medical opinion without contrary medical evidence. That’s the crux.</w:t>
      </w:r>
      <w:r w:rsidR="00FC6354" w:rsidRPr="00FC6354">
        <w:rPr>
          <w:rFonts w:asciiTheme="minorHAnsi" w:hAnsiTheme="minorHAnsi" w:cstheme="minorBidi"/>
          <w:color w:val="1F497D" w:themeColor="dark2"/>
          <w:sz w:val="22"/>
          <w:szCs w:val="22"/>
        </w:rPr>
        <w:t xml:space="preserve"> Additionally, III.iv.5.9.a says “</w:t>
      </w:r>
      <w:r w:rsidR="00FC6354" w:rsidRPr="00FC6354">
        <w:rPr>
          <w:rFonts w:asciiTheme="minorHAnsi" w:hAnsiTheme="minorHAnsi"/>
          <w:sz w:val="22"/>
          <w:szCs w:val="22"/>
        </w:rPr>
        <w:t>A non-combat Veteran’s lay statements may be acceptable for establishing service incurrence or aggravation, but must be weighed against other evidence in the claims folder, including the absence of military records documenting or supporting the statements.”</w:t>
      </w:r>
    </w:p>
    <w:p w:rsidR="005F31E2" w:rsidRPr="005F31E2" w:rsidRDefault="005F31E2" w:rsidP="005F31E2">
      <w:pPr>
        <w:pStyle w:val="NormalWeb"/>
        <w:tabs>
          <w:tab w:val="left" w:pos="2160"/>
        </w:tabs>
        <w:ind w:left="2160"/>
        <w:rPr>
          <w:rFonts w:asciiTheme="minorHAnsi" w:hAnsiTheme="minorHAnsi"/>
          <w:sz w:val="22"/>
          <w:szCs w:val="22"/>
        </w:rPr>
      </w:pPr>
    </w:p>
    <w:p w:rsidR="00305E95" w:rsidRPr="00B158D9" w:rsidRDefault="00305E95" w:rsidP="0079379A">
      <w:pPr>
        <w:pStyle w:val="NormalWeb"/>
        <w:tabs>
          <w:tab w:val="left" w:pos="1800"/>
        </w:tabs>
        <w:ind w:left="1800"/>
        <w:rPr>
          <w:color w:val="00B050"/>
          <w:sz w:val="20"/>
          <w:szCs w:val="20"/>
        </w:rPr>
      </w:pPr>
      <w:bookmarkStart w:id="178" w:name="c4ic"/>
      <w:bookmarkEnd w:id="178"/>
      <w:r w:rsidRPr="00B158D9">
        <w:rPr>
          <w:color w:val="00B050"/>
          <w:sz w:val="20"/>
          <w:szCs w:val="20"/>
        </w:rPr>
        <w:t xml:space="preserve">(C) Indicates that the claimed disability or symptoms may be associated with the established event, injury, or disease in service or with another service-connected disability. </w:t>
      </w:r>
      <w:r w:rsidR="00484DB7" w:rsidRPr="00C11A21">
        <w:rPr>
          <w:i/>
          <w:sz w:val="20"/>
          <w:szCs w:val="20"/>
        </w:rPr>
        <w:t>per R</w:t>
      </w:r>
      <w:r w:rsidRPr="00C11A21">
        <w:rPr>
          <w:i/>
          <w:sz w:val="20"/>
          <w:szCs w:val="20"/>
        </w:rPr>
        <w:t>ich –</w:t>
      </w:r>
      <w:r w:rsidR="00484DB7" w:rsidRPr="00C11A21">
        <w:rPr>
          <w:i/>
          <w:sz w:val="20"/>
          <w:szCs w:val="20"/>
        </w:rPr>
        <w:t xml:space="preserve"> </w:t>
      </w:r>
      <w:r w:rsidR="00484DB7" w:rsidRPr="00D52F67">
        <w:rPr>
          <w:b/>
          <w:i/>
          <w:sz w:val="20"/>
          <w:szCs w:val="20"/>
        </w:rPr>
        <w:t>a</w:t>
      </w:r>
      <w:r w:rsidRPr="00D52F67">
        <w:rPr>
          <w:b/>
          <w:i/>
          <w:sz w:val="20"/>
          <w:szCs w:val="20"/>
        </w:rPr>
        <w:t xml:space="preserve">ny </w:t>
      </w:r>
      <w:r w:rsidRPr="00D52F67">
        <w:rPr>
          <w:i/>
          <w:sz w:val="20"/>
          <w:szCs w:val="20"/>
        </w:rPr>
        <w:t>i</w:t>
      </w:r>
      <w:r w:rsidRPr="00C11A21">
        <w:rPr>
          <w:i/>
          <w:sz w:val="20"/>
          <w:szCs w:val="20"/>
        </w:rPr>
        <w:t xml:space="preserve">ndication that </w:t>
      </w:r>
      <w:r w:rsidR="00484DB7" w:rsidRPr="00C11A21">
        <w:rPr>
          <w:i/>
          <w:sz w:val="20"/>
          <w:szCs w:val="20"/>
        </w:rPr>
        <w:t xml:space="preserve">it </w:t>
      </w:r>
      <w:r w:rsidRPr="00C11A21">
        <w:rPr>
          <w:i/>
          <w:sz w:val="20"/>
          <w:szCs w:val="20"/>
        </w:rPr>
        <w:t xml:space="preserve">may be associated with service (lay testimony that existed “since service”). Can be in TRs. Mere claim form does not satisfy, but </w:t>
      </w:r>
      <w:r w:rsidRPr="006B2A5A">
        <w:rPr>
          <w:i/>
          <w:sz w:val="20"/>
          <w:szCs w:val="20"/>
          <w:highlight w:val="cyan"/>
        </w:rPr>
        <w:t xml:space="preserve">if complete forms with dates &amp; locations of treatment in service, </w:t>
      </w:r>
      <w:r w:rsidRPr="006B2A5A">
        <w:rPr>
          <w:i/>
          <w:sz w:val="20"/>
          <w:szCs w:val="20"/>
          <w:highlight w:val="cyan"/>
          <w:u w:val="single"/>
        </w:rPr>
        <w:t>may</w:t>
      </w:r>
      <w:r w:rsidRPr="006B2A5A">
        <w:rPr>
          <w:i/>
          <w:sz w:val="20"/>
          <w:szCs w:val="20"/>
          <w:highlight w:val="cyan"/>
        </w:rPr>
        <w:t xml:space="preserve"> meet this prong</w:t>
      </w:r>
      <w:r w:rsidRPr="00C11A21">
        <w:rPr>
          <w:i/>
          <w:sz w:val="20"/>
          <w:szCs w:val="20"/>
        </w:rPr>
        <w:t xml:space="preserve">. </w:t>
      </w:r>
      <w:r w:rsidR="00484DB7" w:rsidRPr="00C2315E">
        <w:rPr>
          <w:b/>
          <w:i/>
          <w:iCs/>
          <w:sz w:val="20"/>
          <w:szCs w:val="20"/>
        </w:rPr>
        <w:t>McLendon v. Nicholson, 20 Vet.App. 79</w:t>
      </w:r>
      <w:r w:rsidR="00484DB7" w:rsidRPr="00C11A21">
        <w:rPr>
          <w:rStyle w:val="Hyperlink"/>
          <w:i/>
          <w:iCs/>
          <w:color w:val="auto"/>
          <w:sz w:val="20"/>
          <w:szCs w:val="20"/>
          <w:u w:val="none"/>
        </w:rPr>
        <w:t xml:space="preserve"> (2006)</w:t>
      </w:r>
      <w:r w:rsidRPr="00C11A21">
        <w:rPr>
          <w:i/>
          <w:sz w:val="20"/>
          <w:szCs w:val="20"/>
        </w:rPr>
        <w:t xml:space="preserve"> got us and veteran into habit of not relating to service, but need SOMETHING.</w:t>
      </w:r>
    </w:p>
    <w:p w:rsidR="0079379A" w:rsidRDefault="00305E95" w:rsidP="00F063AF">
      <w:pPr>
        <w:pStyle w:val="Header"/>
        <w:widowControl w:val="0"/>
        <w:numPr>
          <w:ilvl w:val="3"/>
          <w:numId w:val="183"/>
        </w:numPr>
        <w:tabs>
          <w:tab w:val="clear" w:pos="4320"/>
          <w:tab w:val="clear" w:pos="8640"/>
          <w:tab w:val="left" w:pos="1440"/>
          <w:tab w:val="left" w:pos="1890"/>
        </w:tabs>
        <w:spacing w:after="120"/>
        <w:ind w:left="1800"/>
      </w:pPr>
      <w:r>
        <w:t xml:space="preserve">If </w:t>
      </w:r>
      <w:r w:rsidR="00D52F67">
        <w:t>can grant &amp; evaluate accurately with medical evidence provided,</w:t>
      </w:r>
      <w:r>
        <w:t xml:space="preserve"> no exam/opinion is needed.</w:t>
      </w:r>
    </w:p>
    <w:p w:rsidR="00305E95" w:rsidRDefault="00305E95" w:rsidP="00F063AF">
      <w:pPr>
        <w:pStyle w:val="Header"/>
        <w:widowControl w:val="0"/>
        <w:numPr>
          <w:ilvl w:val="3"/>
          <w:numId w:val="183"/>
        </w:numPr>
        <w:tabs>
          <w:tab w:val="clear" w:pos="4320"/>
          <w:tab w:val="clear" w:pos="8640"/>
          <w:tab w:val="left" w:pos="1440"/>
          <w:tab w:val="left" w:pos="1890"/>
        </w:tabs>
        <w:spacing w:after="120"/>
        <w:ind w:left="1800"/>
      </w:pPr>
      <w:r>
        <w:t>RVSRs can make judgment call. If we only have the first TWO prongs, can still get an exam. But you MUST get an exam if you have all THREE prongs.</w:t>
      </w:r>
    </w:p>
    <w:p w:rsidR="00305E95" w:rsidRDefault="00305E95" w:rsidP="00F063AF">
      <w:pPr>
        <w:pStyle w:val="Header"/>
        <w:widowControl w:val="0"/>
        <w:numPr>
          <w:ilvl w:val="3"/>
          <w:numId w:val="183"/>
        </w:numPr>
        <w:tabs>
          <w:tab w:val="clear" w:pos="4320"/>
          <w:tab w:val="clear" w:pos="8640"/>
          <w:tab w:val="left" w:pos="1440"/>
          <w:tab w:val="left" w:pos="1890"/>
        </w:tabs>
        <w:spacing w:after="120"/>
        <w:ind w:left="1800"/>
      </w:pPr>
      <w:r>
        <w:t>If the evidence shows an intercurrent injury, make sure you tab it.</w:t>
      </w:r>
    </w:p>
    <w:p w:rsidR="00305E95" w:rsidRDefault="00305E95" w:rsidP="00F063AF">
      <w:pPr>
        <w:pStyle w:val="Header"/>
        <w:widowControl w:val="0"/>
        <w:numPr>
          <w:ilvl w:val="0"/>
          <w:numId w:val="183"/>
        </w:numPr>
        <w:tabs>
          <w:tab w:val="clear" w:pos="4320"/>
          <w:tab w:val="clear" w:pos="8640"/>
          <w:tab w:val="left" w:pos="1440"/>
          <w:tab w:val="left" w:pos="1890"/>
        </w:tabs>
        <w:spacing w:after="120"/>
        <w:ind w:left="1440"/>
      </w:pPr>
      <w:r w:rsidRPr="00C2315E">
        <w:rPr>
          <w:b/>
          <w:i/>
        </w:rPr>
        <w:t>Walker v. Shinseki</w:t>
      </w:r>
      <w:r>
        <w:rPr>
          <w:i/>
        </w:rPr>
        <w:t xml:space="preserve"> </w:t>
      </w:r>
      <w:r>
        <w:t xml:space="preserve">(2013) </w:t>
      </w:r>
    </w:p>
    <w:p w:rsidR="00305E95" w:rsidRDefault="00305E95" w:rsidP="00F063AF">
      <w:pPr>
        <w:pStyle w:val="Header"/>
        <w:widowControl w:val="0"/>
        <w:numPr>
          <w:ilvl w:val="1"/>
          <w:numId w:val="183"/>
        </w:numPr>
        <w:tabs>
          <w:tab w:val="clear" w:pos="4320"/>
          <w:tab w:val="clear" w:pos="8640"/>
          <w:tab w:val="left" w:pos="1440"/>
          <w:tab w:val="left" w:pos="1890"/>
        </w:tabs>
        <w:spacing w:after="120"/>
        <w:rPr>
          <w:rStyle w:val="Hyperlink"/>
          <w:color w:val="auto"/>
          <w:u w:val="none"/>
        </w:rPr>
      </w:pPr>
      <w:r w:rsidRPr="006E501E">
        <w:rPr>
          <w:b/>
          <w:i/>
        </w:rPr>
        <w:t xml:space="preserve">April 2014 </w:t>
      </w:r>
      <w:r w:rsidR="00EB6F0B" w:rsidRPr="006E501E">
        <w:rPr>
          <w:b/>
          <w:i/>
        </w:rPr>
        <w:t>Compensation Service Bulletin (CSB)</w:t>
      </w:r>
    </w:p>
    <w:p w:rsidR="00305E95" w:rsidRDefault="00305E95" w:rsidP="00F063AF">
      <w:pPr>
        <w:pStyle w:val="Header"/>
        <w:widowControl w:val="0"/>
        <w:numPr>
          <w:ilvl w:val="1"/>
          <w:numId w:val="183"/>
        </w:numPr>
        <w:tabs>
          <w:tab w:val="clear" w:pos="4320"/>
          <w:tab w:val="clear" w:pos="8640"/>
          <w:tab w:val="left" w:pos="1440"/>
          <w:tab w:val="left" w:pos="1890"/>
        </w:tabs>
        <w:spacing w:after="120"/>
        <w:rPr>
          <w:rStyle w:val="Hyperlink"/>
          <w:color w:val="auto"/>
          <w:u w:val="none"/>
        </w:rPr>
      </w:pPr>
      <w:r>
        <w:rPr>
          <w:rStyle w:val="Hyperlink"/>
          <w:color w:val="auto"/>
          <w:u w:val="none"/>
        </w:rPr>
        <w:t xml:space="preserve">We can use medical evidence of “continuous symptoms” under 3.303(a) in lieu of a medical opinion. “Continuous” means without stopping or recurring regularly. Medication counts as continuous medical evidence. </w:t>
      </w:r>
      <w:r w:rsidR="00A37104">
        <w:rPr>
          <w:rStyle w:val="Hyperlink"/>
          <w:color w:val="auto"/>
          <w:u w:val="none"/>
        </w:rPr>
        <w:t>Cannot be history of, but actual medical evidence.</w:t>
      </w:r>
    </w:p>
    <w:p w:rsidR="00305E95" w:rsidRDefault="00305E95" w:rsidP="00F063AF">
      <w:pPr>
        <w:pStyle w:val="Header"/>
        <w:widowControl w:val="0"/>
        <w:numPr>
          <w:ilvl w:val="1"/>
          <w:numId w:val="183"/>
        </w:numPr>
        <w:tabs>
          <w:tab w:val="clear" w:pos="4320"/>
          <w:tab w:val="clear" w:pos="8640"/>
          <w:tab w:val="left" w:pos="1440"/>
          <w:tab w:val="left" w:pos="1890"/>
        </w:tabs>
        <w:spacing w:after="120"/>
        <w:rPr>
          <w:rStyle w:val="Hyperlink"/>
          <w:color w:val="auto"/>
          <w:u w:val="none"/>
        </w:rPr>
      </w:pPr>
      <w:r>
        <w:rPr>
          <w:rStyle w:val="Hyperlink"/>
          <w:color w:val="auto"/>
          <w:u w:val="none"/>
        </w:rPr>
        <w:t>If there are isolated instances from/since service</w:t>
      </w:r>
      <w:r w:rsidR="00A37104">
        <w:rPr>
          <w:rStyle w:val="Hyperlink"/>
          <w:color w:val="auto"/>
          <w:u w:val="none"/>
        </w:rPr>
        <w:t>, they may not be sufficient to establish a nexus, but would be enough to meet</w:t>
      </w:r>
      <w:r>
        <w:rPr>
          <w:rStyle w:val="Hyperlink"/>
          <w:color w:val="auto"/>
          <w:u w:val="none"/>
        </w:rPr>
        <w:t xml:space="preserve"> the THIRD prong under 3.159(c)(</w:t>
      </w:r>
      <w:r w:rsidR="00A37104">
        <w:rPr>
          <w:rStyle w:val="Hyperlink"/>
          <w:color w:val="auto"/>
          <w:u w:val="none"/>
        </w:rPr>
        <w:t xml:space="preserve">4)(i), so get </w:t>
      </w:r>
      <w:r>
        <w:rPr>
          <w:rStyle w:val="Hyperlink"/>
          <w:color w:val="auto"/>
          <w:u w:val="none"/>
        </w:rPr>
        <w:t>exam with opinion.</w:t>
      </w:r>
    </w:p>
    <w:p w:rsidR="00A37104" w:rsidRDefault="00A37104" w:rsidP="00F063AF">
      <w:pPr>
        <w:pStyle w:val="Header"/>
        <w:widowControl w:val="0"/>
        <w:numPr>
          <w:ilvl w:val="1"/>
          <w:numId w:val="183"/>
        </w:numPr>
        <w:tabs>
          <w:tab w:val="clear" w:pos="4320"/>
          <w:tab w:val="clear" w:pos="8640"/>
          <w:tab w:val="left" w:pos="1440"/>
          <w:tab w:val="left" w:pos="1890"/>
        </w:tabs>
        <w:spacing w:after="120"/>
        <w:rPr>
          <w:rStyle w:val="Hyperlink"/>
          <w:color w:val="auto"/>
          <w:u w:val="none"/>
        </w:rPr>
      </w:pPr>
      <w:r>
        <w:rPr>
          <w:rStyle w:val="Hyperlink"/>
          <w:color w:val="auto"/>
          <w:u w:val="none"/>
        </w:rPr>
        <w:t>If uncertain that</w:t>
      </w:r>
      <w:r w:rsidR="00D52F67">
        <w:rPr>
          <w:rStyle w:val="Hyperlink"/>
          <w:color w:val="auto"/>
          <w:u w:val="none"/>
        </w:rPr>
        <w:t xml:space="preserve"> medical evidence is</w:t>
      </w:r>
      <w:r>
        <w:rPr>
          <w:rStyle w:val="Hyperlink"/>
          <w:color w:val="auto"/>
          <w:u w:val="none"/>
        </w:rPr>
        <w:t xml:space="preserve"> sufficient to consititute “evidence of continuous symptoms</w:t>
      </w:r>
      <w:r w:rsidR="001946CC">
        <w:rPr>
          <w:rStyle w:val="Hyperlink"/>
          <w:color w:val="auto"/>
          <w:u w:val="none"/>
        </w:rPr>
        <w:t>,”</w:t>
      </w:r>
      <w:r>
        <w:rPr>
          <w:rStyle w:val="Hyperlink"/>
          <w:color w:val="auto"/>
          <w:u w:val="none"/>
        </w:rPr>
        <w:t xml:space="preserve"> get exam with opinion.</w:t>
      </w:r>
    </w:p>
    <w:p w:rsidR="006C33CD" w:rsidRDefault="006C33CD" w:rsidP="00F063AF">
      <w:pPr>
        <w:pStyle w:val="Header"/>
        <w:widowControl w:val="0"/>
        <w:numPr>
          <w:ilvl w:val="1"/>
          <w:numId w:val="183"/>
        </w:numPr>
        <w:tabs>
          <w:tab w:val="clear" w:pos="4320"/>
          <w:tab w:val="clear" w:pos="8640"/>
          <w:tab w:val="left" w:pos="1440"/>
          <w:tab w:val="left" w:pos="1890"/>
        </w:tabs>
        <w:spacing w:after="120"/>
        <w:rPr>
          <w:rStyle w:val="Hyperlink"/>
          <w:color w:val="auto"/>
          <w:u w:val="none"/>
        </w:rPr>
      </w:pPr>
      <w:r>
        <w:rPr>
          <w:rStyle w:val="Hyperlink"/>
          <w:color w:val="auto"/>
          <w:u w:val="none"/>
        </w:rPr>
        <w:t>Examples:</w:t>
      </w:r>
    </w:p>
    <w:p w:rsidR="006C33CD" w:rsidRDefault="00A37104" w:rsidP="00F063AF">
      <w:pPr>
        <w:pStyle w:val="Header"/>
        <w:widowControl w:val="0"/>
        <w:numPr>
          <w:ilvl w:val="2"/>
          <w:numId w:val="183"/>
        </w:numPr>
        <w:tabs>
          <w:tab w:val="clear" w:pos="4320"/>
          <w:tab w:val="clear" w:pos="8640"/>
          <w:tab w:val="left" w:pos="1440"/>
          <w:tab w:val="left" w:pos="1890"/>
        </w:tabs>
        <w:spacing w:after="120"/>
        <w:rPr>
          <w:rStyle w:val="Hyperlink"/>
          <w:color w:val="auto"/>
          <w:u w:val="none"/>
        </w:rPr>
      </w:pPr>
      <w:r w:rsidRPr="006C33CD">
        <w:rPr>
          <w:rStyle w:val="Hyperlink"/>
          <w:b/>
          <w:color w:val="auto"/>
          <w:u w:val="none"/>
        </w:rPr>
        <w:t>Close proximity</w:t>
      </w:r>
      <w:r w:rsidRPr="006C33CD">
        <w:rPr>
          <w:rStyle w:val="Hyperlink"/>
          <w:color w:val="auto"/>
          <w:u w:val="none"/>
        </w:rPr>
        <w:t xml:space="preserve"> (within one year from sep) - </w:t>
      </w:r>
      <w:r w:rsidR="006C33CD" w:rsidRPr="006C33CD">
        <w:rPr>
          <w:rStyle w:val="Hyperlink"/>
          <w:color w:val="auto"/>
          <w:u w:val="none"/>
        </w:rPr>
        <w:t>C</w:t>
      </w:r>
      <w:r w:rsidRPr="006C33CD">
        <w:rPr>
          <w:rStyle w:val="Hyperlink"/>
          <w:color w:val="auto"/>
          <w:u w:val="none"/>
        </w:rPr>
        <w:t xml:space="preserve">laim </w:t>
      </w:r>
      <w:r w:rsidR="00F864B3">
        <w:rPr>
          <w:rStyle w:val="Hyperlink"/>
          <w:color w:val="auto"/>
          <w:u w:val="none"/>
        </w:rPr>
        <w:t>6</w:t>
      </w:r>
      <w:r w:rsidRPr="006C33CD">
        <w:rPr>
          <w:rStyle w:val="Hyperlink"/>
          <w:color w:val="auto"/>
          <w:u w:val="none"/>
        </w:rPr>
        <w:t xml:space="preserve"> months after </w:t>
      </w:r>
      <w:r w:rsidR="006C33CD" w:rsidRPr="006C33CD">
        <w:rPr>
          <w:rStyle w:val="Hyperlink"/>
          <w:color w:val="auto"/>
          <w:u w:val="none"/>
        </w:rPr>
        <w:t>sep</w:t>
      </w:r>
      <w:r w:rsidRPr="006C33CD">
        <w:rPr>
          <w:rStyle w:val="Hyperlink"/>
          <w:color w:val="auto"/>
          <w:u w:val="none"/>
        </w:rPr>
        <w:t xml:space="preserve"> with</w:t>
      </w:r>
      <w:r w:rsidR="006C33CD">
        <w:rPr>
          <w:rStyle w:val="Hyperlink"/>
          <w:color w:val="auto"/>
          <w:u w:val="none"/>
        </w:rPr>
        <w:t xml:space="preserve"> med evid of</w:t>
      </w:r>
      <w:r w:rsidR="00305E95" w:rsidRPr="006C33CD">
        <w:rPr>
          <w:rStyle w:val="Hyperlink"/>
          <w:color w:val="auto"/>
          <w:u w:val="none"/>
        </w:rPr>
        <w:t xml:space="preserve"> </w:t>
      </w:r>
      <w:r w:rsidR="006C33CD">
        <w:rPr>
          <w:rStyle w:val="Hyperlink"/>
          <w:color w:val="auto"/>
          <w:u w:val="none"/>
        </w:rPr>
        <w:t xml:space="preserve">symptoms &amp; </w:t>
      </w:r>
      <w:r w:rsidR="00F864B3">
        <w:rPr>
          <w:rStyle w:val="Hyperlink"/>
          <w:color w:val="auto"/>
          <w:u w:val="none"/>
        </w:rPr>
        <w:t xml:space="preserve">a </w:t>
      </w:r>
      <w:r w:rsidR="00305E95" w:rsidRPr="006C33CD">
        <w:rPr>
          <w:rStyle w:val="Hyperlink"/>
          <w:color w:val="auto"/>
          <w:u w:val="none"/>
        </w:rPr>
        <w:t>diagnosis</w:t>
      </w:r>
      <w:r w:rsidR="00F864B3">
        <w:rPr>
          <w:rStyle w:val="Hyperlink"/>
          <w:color w:val="auto"/>
          <w:u w:val="none"/>
        </w:rPr>
        <w:t xml:space="preserve"> (right knee strain, dx </w:t>
      </w:r>
      <w:r w:rsidR="006C33CD">
        <w:rPr>
          <w:rStyle w:val="Hyperlink"/>
          <w:color w:val="auto"/>
          <w:u w:val="none"/>
        </w:rPr>
        <w:t>also within one year from sep)</w:t>
      </w:r>
      <w:r w:rsidRPr="006C33CD">
        <w:rPr>
          <w:rStyle w:val="Hyperlink"/>
          <w:color w:val="auto"/>
          <w:u w:val="none"/>
        </w:rPr>
        <w:t xml:space="preserve">, </w:t>
      </w:r>
      <w:r w:rsidR="00F864B3">
        <w:rPr>
          <w:rStyle w:val="Hyperlink"/>
          <w:color w:val="auto"/>
          <w:u w:val="none"/>
        </w:rPr>
        <w:t xml:space="preserve">+ </w:t>
      </w:r>
      <w:r w:rsidRPr="006C33CD">
        <w:rPr>
          <w:rStyle w:val="Hyperlink"/>
          <w:color w:val="auto"/>
          <w:u w:val="none"/>
        </w:rPr>
        <w:t>the same diagnosis is</w:t>
      </w:r>
      <w:r w:rsidR="00305E95" w:rsidRPr="006C33CD">
        <w:rPr>
          <w:rStyle w:val="Hyperlink"/>
          <w:color w:val="auto"/>
          <w:u w:val="none"/>
        </w:rPr>
        <w:t xml:space="preserve"> in t</w:t>
      </w:r>
      <w:r w:rsidR="00A65CD0">
        <w:rPr>
          <w:rStyle w:val="Hyperlink"/>
          <w:color w:val="auto"/>
          <w:u w:val="none"/>
        </w:rPr>
        <w:t xml:space="preserve">he STRs </w:t>
      </w:r>
      <w:r w:rsidR="00305E95" w:rsidRPr="006C33CD">
        <w:rPr>
          <w:rStyle w:val="Hyperlink"/>
          <w:color w:val="auto"/>
          <w:u w:val="none"/>
        </w:rPr>
        <w:t xml:space="preserve">= </w:t>
      </w:r>
      <w:r w:rsidR="00305E95" w:rsidRPr="00F864B3">
        <w:rPr>
          <w:rStyle w:val="Hyperlink"/>
          <w:b/>
          <w:color w:val="auto"/>
          <w:u w:val="none"/>
        </w:rPr>
        <w:t>continuous symptoms, nexus under 3.303(a)</w:t>
      </w:r>
      <w:r w:rsidR="00305E95" w:rsidRPr="006C33CD">
        <w:rPr>
          <w:rStyle w:val="Hyperlink"/>
          <w:color w:val="auto"/>
          <w:u w:val="none"/>
        </w:rPr>
        <w:t>, no opinion needed, just explain it in your decision (see box</w:t>
      </w:r>
      <w:r w:rsidR="00A970FA">
        <w:rPr>
          <w:rStyle w:val="Hyperlink"/>
          <w:color w:val="auto"/>
          <w:u w:val="none"/>
        </w:rPr>
        <w:t>es</w:t>
      </w:r>
      <w:r w:rsidR="00305E95" w:rsidRPr="006C33CD">
        <w:rPr>
          <w:rStyle w:val="Hyperlink"/>
          <w:color w:val="auto"/>
          <w:u w:val="none"/>
        </w:rPr>
        <w:t xml:space="preserve"> below).</w:t>
      </w:r>
    </w:p>
    <w:p w:rsidR="00305E95" w:rsidRPr="006C33CD" w:rsidRDefault="00A37104" w:rsidP="00F063AF">
      <w:pPr>
        <w:pStyle w:val="Header"/>
        <w:widowControl w:val="0"/>
        <w:numPr>
          <w:ilvl w:val="2"/>
          <w:numId w:val="183"/>
        </w:numPr>
        <w:tabs>
          <w:tab w:val="clear" w:pos="4320"/>
          <w:tab w:val="clear" w:pos="8640"/>
          <w:tab w:val="left" w:pos="1440"/>
          <w:tab w:val="left" w:pos="1890"/>
        </w:tabs>
        <w:spacing w:after="120"/>
        <w:rPr>
          <w:rStyle w:val="Hyperlink"/>
          <w:color w:val="auto"/>
          <w:u w:val="none"/>
        </w:rPr>
      </w:pPr>
      <w:r w:rsidRPr="006C33CD">
        <w:rPr>
          <w:rStyle w:val="Hyperlink"/>
          <w:b/>
          <w:color w:val="auto"/>
          <w:u w:val="none"/>
        </w:rPr>
        <w:t>NOT close proximity</w:t>
      </w:r>
      <w:r w:rsidRPr="006C33CD">
        <w:rPr>
          <w:rStyle w:val="Hyperlink"/>
          <w:color w:val="auto"/>
          <w:u w:val="none"/>
        </w:rPr>
        <w:t xml:space="preserve"> (outside a year) - </w:t>
      </w:r>
      <w:r w:rsidR="006C33CD" w:rsidRPr="006C33CD">
        <w:rPr>
          <w:rStyle w:val="Hyperlink"/>
          <w:color w:val="auto"/>
          <w:u w:val="none"/>
        </w:rPr>
        <w:t xml:space="preserve">Claim </w:t>
      </w:r>
      <w:r w:rsidRPr="006C33CD">
        <w:rPr>
          <w:rStyle w:val="Hyperlink"/>
          <w:color w:val="auto"/>
          <w:u w:val="none"/>
        </w:rPr>
        <w:t>18 months after sep</w:t>
      </w:r>
      <w:r w:rsidR="006C33CD">
        <w:rPr>
          <w:rStyle w:val="Hyperlink"/>
          <w:color w:val="auto"/>
          <w:u w:val="none"/>
        </w:rPr>
        <w:t xml:space="preserve"> with med evid of a diagnosis</w:t>
      </w:r>
      <w:r w:rsidR="00F864B3">
        <w:rPr>
          <w:rStyle w:val="Hyperlink"/>
          <w:color w:val="auto"/>
          <w:u w:val="none"/>
        </w:rPr>
        <w:t xml:space="preserve"> (asthma)</w:t>
      </w:r>
      <w:r w:rsidR="006C33CD">
        <w:rPr>
          <w:rStyle w:val="Hyperlink"/>
          <w:color w:val="auto"/>
          <w:u w:val="none"/>
        </w:rPr>
        <w:t xml:space="preserve">, but </w:t>
      </w:r>
      <w:r w:rsidR="00305E95" w:rsidRPr="006C33CD">
        <w:rPr>
          <w:rStyle w:val="Hyperlink"/>
          <w:color w:val="auto"/>
          <w:u w:val="none"/>
        </w:rPr>
        <w:t xml:space="preserve">with only </w:t>
      </w:r>
      <w:r w:rsidR="00305E95" w:rsidRPr="006C33CD">
        <w:rPr>
          <w:rStyle w:val="Hyperlink"/>
          <w:i/>
          <w:color w:val="auto"/>
          <w:u w:val="none"/>
        </w:rPr>
        <w:t xml:space="preserve">recent </w:t>
      </w:r>
      <w:r w:rsidR="00305E95" w:rsidRPr="006C33CD">
        <w:rPr>
          <w:rStyle w:val="Hyperlink"/>
          <w:color w:val="auto"/>
          <w:u w:val="none"/>
        </w:rPr>
        <w:t>treatment</w:t>
      </w:r>
      <w:r w:rsidR="006C33CD">
        <w:rPr>
          <w:rStyle w:val="Hyperlink"/>
          <w:color w:val="auto"/>
          <w:u w:val="none"/>
        </w:rPr>
        <w:t>,</w:t>
      </w:r>
      <w:r w:rsidR="00305E95" w:rsidRPr="006C33CD">
        <w:rPr>
          <w:rStyle w:val="Hyperlink"/>
          <w:color w:val="auto"/>
          <w:u w:val="none"/>
        </w:rPr>
        <w:t xml:space="preserve"> </w:t>
      </w:r>
      <w:r w:rsidR="00F864B3">
        <w:rPr>
          <w:rStyle w:val="Hyperlink"/>
          <w:color w:val="auto"/>
          <w:u w:val="none"/>
        </w:rPr>
        <w:t>+</w:t>
      </w:r>
      <w:r w:rsidR="006C33CD">
        <w:rPr>
          <w:rStyle w:val="Hyperlink"/>
          <w:color w:val="auto"/>
          <w:u w:val="none"/>
        </w:rPr>
        <w:t xml:space="preserve"> </w:t>
      </w:r>
      <w:r w:rsidR="006C33CD" w:rsidRPr="006C33CD">
        <w:rPr>
          <w:rStyle w:val="Hyperlink"/>
          <w:color w:val="auto"/>
          <w:u w:val="none"/>
        </w:rPr>
        <w:t>the same diagnosis is in the STRs</w:t>
      </w:r>
      <w:r w:rsidR="00305E95" w:rsidRPr="006C33CD">
        <w:rPr>
          <w:rStyle w:val="Hyperlink"/>
          <w:color w:val="auto"/>
          <w:u w:val="none"/>
        </w:rPr>
        <w:t xml:space="preserve">, </w:t>
      </w:r>
      <w:r w:rsidR="00305E95" w:rsidRPr="00F864B3">
        <w:rPr>
          <w:rStyle w:val="Hyperlink"/>
          <w:b/>
          <w:color w:val="auto"/>
          <w:u w:val="none"/>
        </w:rPr>
        <w:t>we need an opinion</w:t>
      </w:r>
      <w:r w:rsidR="00305E95" w:rsidRPr="006C33CD">
        <w:rPr>
          <w:rStyle w:val="Hyperlink"/>
          <w:color w:val="auto"/>
          <w:u w:val="none"/>
        </w:rPr>
        <w:t>.</w:t>
      </w:r>
      <w:r w:rsidR="00A65CD0">
        <w:rPr>
          <w:rStyle w:val="Hyperlink"/>
          <w:color w:val="auto"/>
          <w:u w:val="none"/>
        </w:rPr>
        <w:t xml:space="preserve"> </w:t>
      </w:r>
      <w:r w:rsidR="00A65CD0" w:rsidRPr="00A65CD0">
        <w:rPr>
          <w:rStyle w:val="Hyperlink"/>
          <w:i/>
          <w:color w:val="auto"/>
          <w:u w:val="none"/>
        </w:rPr>
        <w:t xml:space="preserve">*Note this is even with a diagnosis now &amp; in STRs. </w:t>
      </w:r>
      <w:r w:rsidR="00A65CD0">
        <w:rPr>
          <w:rStyle w:val="Hyperlink"/>
          <w:i/>
          <w:color w:val="auto"/>
          <w:u w:val="none"/>
        </w:rPr>
        <w:t xml:space="preserve">– </w:t>
      </w:r>
      <w:r w:rsidR="00A65CD0">
        <w:rPr>
          <w:rStyle w:val="Hyperlink"/>
          <w:color w:val="auto"/>
          <w:highlight w:val="cyan"/>
          <w:u w:val="none"/>
        </w:rPr>
        <w:t>aligns with January 2014 guidance</w:t>
      </w:r>
    </w:p>
    <w:p w:rsidR="00305E95" w:rsidRDefault="006C33CD" w:rsidP="00F063AF">
      <w:pPr>
        <w:pStyle w:val="Header"/>
        <w:widowControl w:val="0"/>
        <w:numPr>
          <w:ilvl w:val="2"/>
          <w:numId w:val="183"/>
        </w:numPr>
        <w:tabs>
          <w:tab w:val="clear" w:pos="4320"/>
          <w:tab w:val="clear" w:pos="8640"/>
          <w:tab w:val="left" w:pos="1440"/>
          <w:tab w:val="left" w:pos="1890"/>
        </w:tabs>
        <w:spacing w:after="120"/>
        <w:rPr>
          <w:rStyle w:val="Hyperlink"/>
          <w:color w:val="auto"/>
          <w:u w:val="none"/>
        </w:rPr>
      </w:pPr>
      <w:r w:rsidRPr="00F864B3">
        <w:rPr>
          <w:rStyle w:val="Hyperlink"/>
          <w:b/>
          <w:color w:val="auto"/>
          <w:u w:val="none"/>
        </w:rPr>
        <w:t>NOT close proximity</w:t>
      </w:r>
      <w:r>
        <w:rPr>
          <w:rStyle w:val="Hyperlink"/>
          <w:color w:val="auto"/>
          <w:u w:val="none"/>
        </w:rPr>
        <w:t xml:space="preserve"> (outside a year) – Claim 2 years after sep with </w:t>
      </w:r>
      <w:r w:rsidR="00F864B3">
        <w:rPr>
          <w:rStyle w:val="Hyperlink"/>
          <w:color w:val="auto"/>
          <w:u w:val="none"/>
        </w:rPr>
        <w:t xml:space="preserve">medical evid of a diagnosis (hemorrhoids) &amp; </w:t>
      </w:r>
      <w:r w:rsidR="00305E95">
        <w:rPr>
          <w:rStyle w:val="Hyperlink"/>
          <w:color w:val="auto"/>
          <w:u w:val="none"/>
        </w:rPr>
        <w:t>cont</w:t>
      </w:r>
      <w:r w:rsidR="00F864B3">
        <w:rPr>
          <w:rStyle w:val="Hyperlink"/>
          <w:color w:val="auto"/>
          <w:u w:val="none"/>
        </w:rPr>
        <w:t xml:space="preserve">inuous symptoms since service, + </w:t>
      </w:r>
      <w:r w:rsidRPr="006C33CD">
        <w:rPr>
          <w:rStyle w:val="Hyperlink"/>
          <w:color w:val="auto"/>
          <w:u w:val="none"/>
        </w:rPr>
        <w:t>the same diagnosis is in the STRs</w:t>
      </w:r>
      <w:r>
        <w:rPr>
          <w:rStyle w:val="Hyperlink"/>
          <w:color w:val="auto"/>
          <w:u w:val="none"/>
        </w:rPr>
        <w:t xml:space="preserve"> </w:t>
      </w:r>
      <w:r w:rsidR="00305E95">
        <w:rPr>
          <w:rStyle w:val="Hyperlink"/>
          <w:color w:val="auto"/>
          <w:u w:val="none"/>
        </w:rPr>
        <w:t xml:space="preserve">= </w:t>
      </w:r>
      <w:r w:rsidR="00305E95" w:rsidRPr="00F864B3">
        <w:rPr>
          <w:rStyle w:val="Hyperlink"/>
          <w:b/>
          <w:color w:val="auto"/>
          <w:u w:val="none"/>
        </w:rPr>
        <w:t>continuous symptoms, nexus under 3.303(a)</w:t>
      </w:r>
      <w:r w:rsidR="00305E95">
        <w:rPr>
          <w:rStyle w:val="Hyperlink"/>
          <w:color w:val="auto"/>
          <w:u w:val="none"/>
        </w:rPr>
        <w:t>, no opinion needed, just explain it in your decision (see box below).</w:t>
      </w:r>
    </w:p>
    <w:p w:rsidR="006C33CD" w:rsidRDefault="006C33CD" w:rsidP="00F063AF">
      <w:pPr>
        <w:pStyle w:val="Header"/>
        <w:widowControl w:val="0"/>
        <w:numPr>
          <w:ilvl w:val="2"/>
          <w:numId w:val="183"/>
        </w:numPr>
        <w:tabs>
          <w:tab w:val="clear" w:pos="4320"/>
          <w:tab w:val="clear" w:pos="8640"/>
          <w:tab w:val="left" w:pos="1440"/>
          <w:tab w:val="left" w:pos="1890"/>
        </w:tabs>
        <w:spacing w:after="120"/>
        <w:rPr>
          <w:rStyle w:val="Hyperlink"/>
          <w:color w:val="auto"/>
          <w:u w:val="none"/>
        </w:rPr>
      </w:pPr>
      <w:r w:rsidRPr="00F864B3">
        <w:rPr>
          <w:rStyle w:val="Hyperlink"/>
          <w:b/>
          <w:color w:val="auto"/>
          <w:u w:val="none"/>
        </w:rPr>
        <w:t>NOT close proximity</w:t>
      </w:r>
      <w:r>
        <w:rPr>
          <w:rStyle w:val="Hyperlink"/>
          <w:color w:val="auto"/>
          <w:u w:val="none"/>
        </w:rPr>
        <w:t xml:space="preserve"> (outside a year) - Claim 2 years after sep with </w:t>
      </w:r>
      <w:r w:rsidR="00F864B3">
        <w:rPr>
          <w:rStyle w:val="Hyperlink"/>
          <w:color w:val="auto"/>
          <w:u w:val="none"/>
        </w:rPr>
        <w:t>reports of right knee pain since service, and medical evid of treatment for right knee pain since sep, plus recent diagnosis of right knee strain, + multiple treatments for right knee pain (no diagnosis) in the STRs including on sep exam</w:t>
      </w:r>
      <w:r>
        <w:rPr>
          <w:rStyle w:val="Hyperlink"/>
          <w:color w:val="auto"/>
          <w:u w:val="none"/>
        </w:rPr>
        <w:t xml:space="preserve"> </w:t>
      </w:r>
      <w:r w:rsidR="00F864B3" w:rsidRPr="006C33CD">
        <w:rPr>
          <w:rStyle w:val="Hyperlink"/>
          <w:color w:val="auto"/>
          <w:u w:val="none"/>
        </w:rPr>
        <w:t xml:space="preserve">= </w:t>
      </w:r>
      <w:r w:rsidR="00F864B3" w:rsidRPr="00F864B3">
        <w:rPr>
          <w:rStyle w:val="Hyperlink"/>
          <w:b/>
          <w:color w:val="auto"/>
          <w:u w:val="none"/>
        </w:rPr>
        <w:t>continuous symptoms, nexus under 3.303(a)</w:t>
      </w:r>
      <w:r w:rsidR="00F864B3" w:rsidRPr="006C33CD">
        <w:rPr>
          <w:rStyle w:val="Hyperlink"/>
          <w:color w:val="auto"/>
          <w:u w:val="none"/>
        </w:rPr>
        <w:t>, no opinion needed, just explain it in your decision (see box below).</w:t>
      </w:r>
      <w:r w:rsidR="00A65CD0">
        <w:rPr>
          <w:rStyle w:val="Hyperlink"/>
          <w:color w:val="auto"/>
          <w:u w:val="none"/>
        </w:rPr>
        <w:t xml:space="preserve"> </w:t>
      </w:r>
      <w:r w:rsidR="00A65CD0" w:rsidRPr="00A65CD0">
        <w:rPr>
          <w:rStyle w:val="Hyperlink"/>
          <w:i/>
          <w:color w:val="auto"/>
          <w:u w:val="none"/>
        </w:rPr>
        <w:t xml:space="preserve">*Note this is even with </w:t>
      </w:r>
      <w:r w:rsidR="00A65CD0">
        <w:rPr>
          <w:rStyle w:val="Hyperlink"/>
          <w:i/>
          <w:color w:val="auto"/>
          <w:u w:val="none"/>
        </w:rPr>
        <w:t xml:space="preserve">only pain in STRs &amp; diagnosis 2 years out. – </w:t>
      </w:r>
      <w:r w:rsidR="00A65CD0">
        <w:rPr>
          <w:rStyle w:val="Hyperlink"/>
          <w:color w:val="auto"/>
          <w:highlight w:val="cyan"/>
          <w:u w:val="none"/>
        </w:rPr>
        <w:t>c</w:t>
      </w:r>
      <w:r w:rsidR="00314BA2">
        <w:rPr>
          <w:rStyle w:val="Hyperlink"/>
          <w:color w:val="auto"/>
          <w:highlight w:val="cyan"/>
          <w:u w:val="none"/>
        </w:rPr>
        <w:t>ontradicts January 2014 guidance about pain</w:t>
      </w:r>
    </w:p>
    <w:p w:rsidR="00305E95" w:rsidRDefault="00305E95" w:rsidP="00F063AF">
      <w:pPr>
        <w:pStyle w:val="Header"/>
        <w:widowControl w:val="0"/>
        <w:numPr>
          <w:ilvl w:val="1"/>
          <w:numId w:val="183"/>
        </w:numPr>
        <w:tabs>
          <w:tab w:val="clear" w:pos="4320"/>
          <w:tab w:val="clear" w:pos="8640"/>
          <w:tab w:val="left" w:pos="1440"/>
          <w:tab w:val="left" w:pos="1890"/>
        </w:tabs>
        <w:spacing w:after="120"/>
        <w:rPr>
          <w:rStyle w:val="Hyperlink"/>
          <w:color w:val="auto"/>
          <w:u w:val="none"/>
        </w:rPr>
      </w:pPr>
      <w:r>
        <w:rPr>
          <w:rStyle w:val="Hyperlink"/>
          <w:color w:val="auto"/>
          <w:u w:val="none"/>
        </w:rPr>
        <w:t>If the scenario is different from those given, probably need an opinion.</w:t>
      </w:r>
    </w:p>
    <w:p w:rsidR="00305E95" w:rsidRDefault="00305E95" w:rsidP="00F063AF">
      <w:pPr>
        <w:pStyle w:val="Header"/>
        <w:widowControl w:val="0"/>
        <w:numPr>
          <w:ilvl w:val="1"/>
          <w:numId w:val="183"/>
        </w:numPr>
        <w:tabs>
          <w:tab w:val="clear" w:pos="4320"/>
          <w:tab w:val="clear" w:pos="8640"/>
          <w:tab w:val="left" w:pos="1440"/>
          <w:tab w:val="left" w:pos="1890"/>
        </w:tabs>
        <w:spacing w:after="120"/>
        <w:rPr>
          <w:rStyle w:val="Hyperlink"/>
          <w:color w:val="auto"/>
          <w:u w:val="none"/>
        </w:rPr>
      </w:pPr>
      <w:r>
        <w:rPr>
          <w:rStyle w:val="Hyperlink"/>
          <w:color w:val="auto"/>
          <w:u w:val="none"/>
        </w:rPr>
        <w:t>Asthma and hemorrhoids do not fall under 3.309(a).</w:t>
      </w:r>
    </w:p>
    <w:p w:rsidR="00A970FA" w:rsidRPr="00A970FA" w:rsidRDefault="00A970FA" w:rsidP="00A970FA">
      <w:pPr>
        <w:pStyle w:val="Header"/>
        <w:widowControl w:val="0"/>
        <w:tabs>
          <w:tab w:val="clear" w:pos="4320"/>
          <w:tab w:val="clear" w:pos="8640"/>
          <w:tab w:val="left" w:pos="1440"/>
          <w:tab w:val="left" w:pos="1890"/>
        </w:tabs>
        <w:ind w:left="994"/>
        <w:rPr>
          <w:rStyle w:val="Hyperlink"/>
          <w:i/>
          <w:color w:val="auto"/>
          <w:u w:val="none"/>
        </w:rPr>
      </w:pPr>
      <w:r w:rsidRPr="00A970FA">
        <w:rPr>
          <w:rStyle w:val="Hyperlink"/>
          <w:i/>
          <w:color w:val="auto"/>
          <w:u w:val="none"/>
        </w:rPr>
        <w:t>Continuous sx after service:</w:t>
      </w:r>
    </w:p>
    <w:p w:rsidR="00305E95" w:rsidRPr="0084258D" w:rsidRDefault="00305E95" w:rsidP="00B32004">
      <w:pPr>
        <w:pStyle w:val="Header"/>
        <w:widowControl w:val="0"/>
        <w:pBdr>
          <w:top w:val="single" w:sz="4" w:space="1" w:color="auto"/>
          <w:left w:val="single" w:sz="4" w:space="4" w:color="auto"/>
          <w:bottom w:val="single" w:sz="4" w:space="0" w:color="auto"/>
          <w:right w:val="single" w:sz="4" w:space="4" w:color="auto"/>
        </w:pBdr>
        <w:tabs>
          <w:tab w:val="clear" w:pos="4320"/>
          <w:tab w:val="clear" w:pos="8640"/>
        </w:tabs>
        <w:spacing w:after="240"/>
        <w:ind w:left="1080"/>
      </w:pPr>
      <w:r>
        <w:rPr>
          <w:rStyle w:val="Hyperlink"/>
          <w:color w:val="auto"/>
          <w:u w:val="none"/>
        </w:rPr>
        <w:t xml:space="preserve">There is evidence of continuous symptoms with medical evidence from </w:t>
      </w:r>
      <w:r w:rsidR="00A46221">
        <w:rPr>
          <w:rStyle w:val="Hyperlink"/>
          <w:color w:val="auto"/>
          <w:u w:val="none"/>
        </w:rPr>
        <w:t>{}</w:t>
      </w:r>
      <w:r>
        <w:rPr>
          <w:rStyle w:val="Hyperlink"/>
          <w:color w:val="auto"/>
          <w:u w:val="none"/>
        </w:rPr>
        <w:t xml:space="preserve"> showing symptoms </w:t>
      </w:r>
      <w:r w:rsidR="00746B86">
        <w:rPr>
          <w:rStyle w:val="Hyperlink"/>
          <w:color w:val="auto"/>
          <w:u w:val="none"/>
        </w:rPr>
        <w:t>continuing without stopping or r</w:t>
      </w:r>
      <w:r>
        <w:rPr>
          <w:rStyle w:val="Hyperlink"/>
          <w:color w:val="auto"/>
          <w:u w:val="none"/>
        </w:rPr>
        <w:t>ecurring regularly w</w:t>
      </w:r>
      <w:r w:rsidR="00A37104">
        <w:rPr>
          <w:rStyle w:val="Hyperlink"/>
          <w:color w:val="auto"/>
          <w:u w:val="none"/>
        </w:rPr>
        <w:t>ith minimal interruptions from/since</w:t>
      </w:r>
      <w:r>
        <w:rPr>
          <w:rStyle w:val="Hyperlink"/>
          <w:color w:val="auto"/>
          <w:u w:val="none"/>
        </w:rPr>
        <w:t xml:space="preserve"> service, showing a nexus to service.</w:t>
      </w:r>
      <w:r w:rsidR="009A477A">
        <w:rPr>
          <w:rStyle w:val="Hyperlink"/>
          <w:color w:val="auto"/>
          <w:u w:val="none"/>
        </w:rPr>
        <w:t xml:space="preserve"> </w:t>
      </w:r>
      <w:r w:rsidR="009A477A" w:rsidRPr="009A477A">
        <w:rPr>
          <w:b/>
        </w:rPr>
        <w:t>IV.ii.2.B.1.a</w:t>
      </w:r>
      <w:bookmarkStart w:id="179" w:name="1a"/>
      <w:r w:rsidR="009A477A">
        <w:rPr>
          <w:color w:val="444444"/>
          <w:sz w:val="21"/>
          <w:szCs w:val="21"/>
        </w:rPr>
        <w:t>.</w:t>
      </w:r>
      <w:bookmarkEnd w:id="179"/>
    </w:p>
    <w:p w:rsidR="00A970FA" w:rsidRPr="00A970FA" w:rsidRDefault="00A970FA" w:rsidP="00A970FA">
      <w:pPr>
        <w:pStyle w:val="Header"/>
        <w:widowControl w:val="0"/>
        <w:tabs>
          <w:tab w:val="clear" w:pos="4320"/>
          <w:tab w:val="clear" w:pos="8640"/>
          <w:tab w:val="left" w:pos="1440"/>
          <w:tab w:val="left" w:pos="1890"/>
        </w:tabs>
        <w:ind w:left="994"/>
        <w:rPr>
          <w:rStyle w:val="Hyperlink"/>
          <w:i/>
          <w:color w:val="auto"/>
          <w:u w:val="none"/>
        </w:rPr>
      </w:pPr>
      <w:r w:rsidRPr="00A970FA">
        <w:rPr>
          <w:rStyle w:val="Hyperlink"/>
          <w:i/>
          <w:color w:val="auto"/>
          <w:u w:val="none"/>
        </w:rPr>
        <w:t xml:space="preserve">Continuous </w:t>
      </w:r>
      <w:r>
        <w:rPr>
          <w:rStyle w:val="Hyperlink"/>
          <w:i/>
          <w:color w:val="auto"/>
          <w:u w:val="none"/>
        </w:rPr>
        <w:t>sx in service &amp; maybe a</w:t>
      </w:r>
      <w:r w:rsidRPr="00A970FA">
        <w:rPr>
          <w:rStyle w:val="Hyperlink"/>
          <w:i/>
          <w:color w:val="auto"/>
          <w:u w:val="none"/>
        </w:rPr>
        <w:t>fter service</w:t>
      </w:r>
      <w:r>
        <w:rPr>
          <w:rStyle w:val="Hyperlink"/>
          <w:i/>
          <w:color w:val="auto"/>
          <w:u w:val="none"/>
        </w:rPr>
        <w:t xml:space="preserve"> t</w:t>
      </w:r>
      <w:r w:rsidR="002E68E1">
        <w:rPr>
          <w:rStyle w:val="Hyperlink"/>
          <w:i/>
          <w:color w:val="auto"/>
          <w:u w:val="none"/>
        </w:rPr>
        <w:t>o</w:t>
      </w:r>
      <w:r>
        <w:rPr>
          <w:rStyle w:val="Hyperlink"/>
          <w:i/>
          <w:color w:val="auto"/>
          <w:u w:val="none"/>
        </w:rPr>
        <w:t xml:space="preserve">o (for cases with only sx in service, dx after service, but clam </w:t>
      </w:r>
      <w:r w:rsidR="002E68E1">
        <w:rPr>
          <w:rStyle w:val="Hyperlink"/>
          <w:i/>
          <w:color w:val="auto"/>
          <w:u w:val="none"/>
        </w:rPr>
        <w:t>&amp;</w:t>
      </w:r>
      <w:r>
        <w:rPr>
          <w:rStyle w:val="Hyperlink"/>
          <w:i/>
          <w:color w:val="auto"/>
          <w:u w:val="none"/>
        </w:rPr>
        <w:t xml:space="preserve"> dx in close proximity)</w:t>
      </w:r>
      <w:r w:rsidRPr="00A970FA">
        <w:rPr>
          <w:rStyle w:val="Hyperlink"/>
          <w:i/>
          <w:color w:val="auto"/>
          <w:u w:val="none"/>
        </w:rPr>
        <w:t>:</w:t>
      </w:r>
    </w:p>
    <w:p w:rsidR="00A970FA" w:rsidRPr="00A970FA" w:rsidRDefault="00A970FA" w:rsidP="00D664A2">
      <w:pPr>
        <w:pStyle w:val="Header"/>
        <w:widowControl w:val="0"/>
        <w:pBdr>
          <w:top w:val="single" w:sz="4" w:space="1" w:color="auto"/>
          <w:left w:val="single" w:sz="4" w:space="4" w:color="auto"/>
          <w:bottom w:val="single" w:sz="4" w:space="0" w:color="auto"/>
          <w:right w:val="single" w:sz="4" w:space="4" w:color="auto"/>
        </w:pBdr>
        <w:tabs>
          <w:tab w:val="left" w:pos="720"/>
        </w:tabs>
        <w:spacing w:after="120"/>
        <w:ind w:left="1080"/>
      </w:pPr>
      <w:r w:rsidRPr="00A970FA">
        <w:rPr>
          <w:rStyle w:val="Hyperlink"/>
          <w:color w:val="auto"/>
          <w:u w:val="none"/>
        </w:rPr>
        <w:t>There is evidence of continuous symptoms with medical evidence showing symptoms continuing without stopping or recurring regularly with minimal interruptions, showing a nexus to service.</w:t>
      </w:r>
      <w:r w:rsidR="009A477A">
        <w:rPr>
          <w:rStyle w:val="Hyperlink"/>
          <w:color w:val="auto"/>
          <w:u w:val="none"/>
        </w:rPr>
        <w:t xml:space="preserve"> </w:t>
      </w:r>
      <w:r w:rsidR="009A477A" w:rsidRPr="009A477A">
        <w:rPr>
          <w:b/>
        </w:rPr>
        <w:t>IV.ii.2.B.1.a</w:t>
      </w:r>
    </w:p>
    <w:p w:rsidR="00FB3678" w:rsidRDefault="00FB3678" w:rsidP="00305E95">
      <w:pPr>
        <w:pStyle w:val="Header"/>
        <w:widowControl w:val="0"/>
        <w:tabs>
          <w:tab w:val="clear" w:pos="4320"/>
          <w:tab w:val="clear" w:pos="8640"/>
        </w:tabs>
      </w:pPr>
    </w:p>
    <w:p w:rsidR="005643CD" w:rsidRPr="00FB3678" w:rsidRDefault="005643CD" w:rsidP="00F063AF">
      <w:pPr>
        <w:widowControl w:val="0"/>
        <w:numPr>
          <w:ilvl w:val="2"/>
          <w:numId w:val="117"/>
        </w:numPr>
        <w:tabs>
          <w:tab w:val="clear" w:pos="2140"/>
          <w:tab w:val="num" w:pos="720"/>
        </w:tabs>
        <w:spacing w:after="120"/>
        <w:ind w:left="720"/>
      </w:pPr>
      <w:r w:rsidRPr="00270104">
        <w:rPr>
          <w:bCs/>
        </w:rPr>
        <w:t xml:space="preserve">Notes from </w:t>
      </w:r>
      <w:r w:rsidR="001421FA">
        <w:rPr>
          <w:b/>
          <w:bCs/>
          <w:i/>
          <w:iCs/>
          <w:u w:val="single"/>
        </w:rPr>
        <w:t>June 2013 “Weighing Evidence” T</w:t>
      </w:r>
      <w:r w:rsidRPr="00C40657">
        <w:rPr>
          <w:b/>
          <w:bCs/>
          <w:i/>
          <w:iCs/>
          <w:u w:val="single"/>
        </w:rPr>
        <w:t>raining</w:t>
      </w:r>
      <w:r w:rsidR="00E461E0">
        <w:rPr>
          <w:bCs/>
          <w:iCs/>
        </w:rPr>
        <w:t xml:space="preserve"> (Carlos Rosario)</w:t>
      </w:r>
      <w:r w:rsidRPr="00C40657">
        <w:rPr>
          <w:b/>
        </w:rPr>
        <w:t>:</w:t>
      </w:r>
    </w:p>
    <w:p w:rsidR="00FB3678" w:rsidRPr="00FB3678" w:rsidRDefault="00FB3678" w:rsidP="00FB3678">
      <w:pPr>
        <w:widowControl w:val="0"/>
        <w:pBdr>
          <w:top w:val="double" w:sz="4" w:space="1" w:color="auto"/>
          <w:left w:val="double" w:sz="4" w:space="4" w:color="auto"/>
          <w:bottom w:val="double" w:sz="4" w:space="1" w:color="auto"/>
          <w:right w:val="double" w:sz="4" w:space="4" w:color="auto"/>
        </w:pBdr>
        <w:shd w:val="clear" w:color="auto" w:fill="FFC000"/>
        <w:spacing w:after="120"/>
        <w:ind w:left="360"/>
        <w:rPr>
          <w:i/>
        </w:rPr>
      </w:pPr>
      <w:r w:rsidRPr="00FB3678">
        <w:rPr>
          <w:i/>
        </w:rPr>
        <w:t xml:space="preserve">Training documents are under “Weighing Evidence” at </w:t>
      </w:r>
      <w:r w:rsidRPr="00FB3678">
        <w:rPr>
          <w:b/>
          <w:i/>
        </w:rPr>
        <w:t>http://hvnc.gdit.com/lc/</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b/>
          <w:bCs/>
          <w:sz w:val="20"/>
          <w:szCs w:val="20"/>
        </w:rPr>
        <w:t>III.iv.5</w:t>
      </w:r>
      <w:r w:rsidRPr="000771E8">
        <w:rPr>
          <w:rFonts w:ascii="Arial" w:hAnsi="Arial"/>
          <w:sz w:val="20"/>
          <w:szCs w:val="20"/>
        </w:rPr>
        <w:t xml:space="preserve">, </w:t>
      </w:r>
      <w:r w:rsidR="00B3116D" w:rsidRPr="000771E8">
        <w:rPr>
          <w:rFonts w:ascii="Arial" w:hAnsi="Arial"/>
          <w:b/>
          <w:sz w:val="20"/>
          <w:szCs w:val="20"/>
        </w:rPr>
        <w:t>III.iv.6.C</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sz w:val="20"/>
          <w:szCs w:val="20"/>
        </w:rPr>
        <w:t>Do not weigh equivocal medical opinions. They are considered non-opinions and hold no weight. Do not use reasonable dout on equivocal opinions. Reasonable doubt can only be used on evidence that can be weighed.</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sz w:val="20"/>
          <w:szCs w:val="20"/>
        </w:rPr>
        <w:t>Must be credible and competent before assigned a weight.</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sz w:val="20"/>
          <w:szCs w:val="20"/>
        </w:rPr>
        <w:t>Medical treatises should not be used by us, as they are often too general, but can be used by examiners (as long as they are interpreted correctly; PTSD &amp; sleep apnea example where examiner was using the Abstract and not the actual conclusions)</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sz w:val="20"/>
          <w:szCs w:val="20"/>
        </w:rPr>
        <w:t>Gonzales v. West (Fed Cir 2000) – we must review and weigh all relevant evidence, but do not have to discuss each and every piece of evidence</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sz w:val="20"/>
          <w:szCs w:val="20"/>
        </w:rPr>
        <w:t xml:space="preserve">We must </w:t>
      </w:r>
      <w:r w:rsidRPr="000771E8">
        <w:rPr>
          <w:rFonts w:ascii="Arial" w:hAnsi="Arial"/>
          <w:i/>
          <w:sz w:val="20"/>
          <w:szCs w:val="20"/>
        </w:rPr>
        <w:t>explain why any evidence in support of the claim is being rejected</w:t>
      </w:r>
      <w:r w:rsidRPr="000771E8">
        <w:rPr>
          <w:rFonts w:ascii="Arial" w:hAnsi="Arial"/>
          <w:sz w:val="20"/>
          <w:szCs w:val="20"/>
        </w:rPr>
        <w:t>, even if the medical opinion does not.</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sz w:val="20"/>
          <w:szCs w:val="20"/>
        </w:rPr>
        <w:t xml:space="preserve">If we do not discuss </w:t>
      </w:r>
      <w:r w:rsidRPr="000771E8">
        <w:rPr>
          <w:rFonts w:ascii="Arial" w:hAnsi="Arial"/>
          <w:i/>
          <w:sz w:val="20"/>
          <w:szCs w:val="20"/>
        </w:rPr>
        <w:t>how the evidence was weighed</w:t>
      </w:r>
      <w:r w:rsidRPr="000771E8">
        <w:rPr>
          <w:rFonts w:ascii="Arial" w:hAnsi="Arial"/>
          <w:sz w:val="20"/>
          <w:szCs w:val="20"/>
        </w:rPr>
        <w:t xml:space="preserve"> to support the decision, it is not “substantially justified</w:t>
      </w:r>
      <w:r w:rsidR="001946CC">
        <w:rPr>
          <w:rFonts w:ascii="Arial" w:hAnsi="Arial"/>
          <w:sz w:val="20"/>
          <w:szCs w:val="20"/>
        </w:rPr>
        <w:t>.”</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sz w:val="20"/>
          <w:szCs w:val="20"/>
        </w:rPr>
        <w:t xml:space="preserve">Opinions based on the Veteran’s unsupported history may be discounted (Reonal case says not credible). </w:t>
      </w:r>
      <w:r w:rsidRPr="000771E8">
        <w:rPr>
          <w:rFonts w:ascii="Arial" w:hAnsi="Arial"/>
          <w:i/>
          <w:sz w:val="20"/>
          <w:szCs w:val="20"/>
        </w:rPr>
        <w:t>Must explain in decision.</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sz w:val="20"/>
          <w:szCs w:val="20"/>
        </w:rPr>
        <w:t xml:space="preserve">VA physician’s opinions may be assigned more weight if the VA examiner saw the claims file. </w:t>
      </w:r>
      <w:r w:rsidRPr="000771E8">
        <w:rPr>
          <w:rFonts w:ascii="Arial" w:hAnsi="Arial"/>
          <w:i/>
          <w:sz w:val="20"/>
          <w:szCs w:val="20"/>
        </w:rPr>
        <w:t>Must explain in decision if one medical opinion was chosen over another.</w:t>
      </w:r>
    </w:p>
    <w:p w:rsidR="005643CD" w:rsidRPr="000771E8" w:rsidRDefault="005643CD" w:rsidP="00F063AF">
      <w:pPr>
        <w:pStyle w:val="ListParagraph"/>
        <w:numPr>
          <w:ilvl w:val="0"/>
          <w:numId w:val="250"/>
        </w:numPr>
        <w:tabs>
          <w:tab w:val="left" w:pos="1080"/>
        </w:tabs>
        <w:spacing w:after="120" w:line="240" w:lineRule="auto"/>
        <w:ind w:left="1080"/>
        <w:rPr>
          <w:rFonts w:ascii="Arial" w:hAnsi="Arial"/>
          <w:sz w:val="20"/>
          <w:szCs w:val="20"/>
        </w:rPr>
      </w:pPr>
      <w:r w:rsidRPr="000771E8">
        <w:rPr>
          <w:rFonts w:ascii="Arial" w:hAnsi="Arial"/>
          <w:sz w:val="20"/>
          <w:szCs w:val="20"/>
        </w:rPr>
        <w:t>Separation exam is the most probative (it’s contemporaneous, most reflective of condition, includes medical history). Statements made at the time of the event/injury (or shortly thereafter) are more accurate and probative than a statement made several years later. Statements to healthcare professionals for the purpose of seeking treatment are very probative. Business or Public records are factual, contemporaneous and prepared by an official, so are very probative.</w:t>
      </w:r>
    </w:p>
    <w:p w:rsidR="004F2C53" w:rsidRPr="004F2C53" w:rsidRDefault="004F2C53" w:rsidP="00F063AF">
      <w:pPr>
        <w:pStyle w:val="ListParagraph"/>
        <w:numPr>
          <w:ilvl w:val="0"/>
          <w:numId w:val="223"/>
        </w:numPr>
        <w:rPr>
          <w:rFonts w:ascii="Arial" w:hAnsi="Arial"/>
          <w:b/>
          <w:sz w:val="20"/>
          <w:szCs w:val="20"/>
          <w:u w:val="single"/>
        </w:rPr>
      </w:pPr>
      <w:r w:rsidRPr="004F2C53">
        <w:rPr>
          <w:rFonts w:ascii="Arial" w:hAnsi="Arial"/>
          <w:b/>
          <w:sz w:val="20"/>
          <w:szCs w:val="20"/>
          <w:u w:val="single"/>
        </w:rPr>
        <w:t>June 2015 Rating Consistency Study &amp; Training on Requesting VA examinations:</w:t>
      </w:r>
    </w:p>
    <w:tbl>
      <w:tblPr>
        <w:tblW w:w="4685" w:type="pct"/>
        <w:tblCellSpacing w:w="15" w:type="dxa"/>
        <w:tblInd w:w="795" w:type="dxa"/>
        <w:tblBorders>
          <w:top w:val="single" w:sz="12" w:space="0" w:color="000000"/>
          <w:left w:val="single" w:sz="12" w:space="0" w:color="000000"/>
          <w:bottom w:val="single" w:sz="12" w:space="0" w:color="000000"/>
          <w:right w:val="single" w:sz="12" w:space="0" w:color="000000"/>
        </w:tblBorders>
        <w:tblCellMar>
          <w:top w:w="15" w:type="dxa"/>
          <w:left w:w="15" w:type="dxa"/>
          <w:bottom w:w="15" w:type="dxa"/>
          <w:right w:w="15" w:type="dxa"/>
        </w:tblCellMar>
        <w:tblLook w:val="04A0" w:firstRow="1" w:lastRow="0" w:firstColumn="1" w:lastColumn="0" w:noHBand="0" w:noVBand="1"/>
        <w:tblDescription w:val="This table contains rationale for requesting DBQ only or DBQ with medical opinion."/>
      </w:tblPr>
      <w:tblGrid>
        <w:gridCol w:w="1644"/>
        <w:gridCol w:w="4831"/>
        <w:gridCol w:w="3630"/>
      </w:tblGrid>
      <w:tr w:rsidR="004F2C53" w:rsidRPr="008C1D34" w:rsidTr="00C22006">
        <w:trPr>
          <w:tblCellSpacing w:w="15" w:type="dxa"/>
        </w:trPr>
        <w:tc>
          <w:tcPr>
            <w:tcW w:w="791" w:type="pct"/>
            <w:tcBorders>
              <w:top w:val="outset" w:sz="6" w:space="0" w:color="auto"/>
              <w:left w:val="outset" w:sz="6" w:space="0" w:color="auto"/>
              <w:bottom w:val="outset" w:sz="6" w:space="0" w:color="auto"/>
              <w:right w:val="outset" w:sz="6" w:space="0" w:color="auto"/>
            </w:tcBorders>
            <w:shd w:val="clear" w:color="auto" w:fill="FFCC33"/>
            <w:tcMar>
              <w:top w:w="30" w:type="dxa"/>
              <w:left w:w="30" w:type="dxa"/>
              <w:bottom w:w="30" w:type="dxa"/>
              <w:right w:w="30" w:type="dxa"/>
            </w:tcMar>
            <w:hideMark/>
          </w:tcPr>
          <w:p w:rsidR="004F2C53" w:rsidRPr="004F2C53" w:rsidRDefault="004F2C53" w:rsidP="00B54722">
            <w:pPr>
              <w:spacing w:line="270" w:lineRule="atLeast"/>
              <w:jc w:val="center"/>
              <w:rPr>
                <w:rFonts w:ascii="Tahoma" w:hAnsi="Tahoma" w:cs="Tahoma"/>
                <w:b/>
                <w:bCs/>
                <w:sz w:val="22"/>
                <w:szCs w:val="24"/>
              </w:rPr>
            </w:pPr>
            <w:r w:rsidRPr="004F2C53">
              <w:rPr>
                <w:rFonts w:ascii="Tahoma" w:hAnsi="Tahoma" w:cs="Tahoma"/>
                <w:b/>
                <w:bCs/>
                <w:sz w:val="22"/>
                <w:szCs w:val="24"/>
              </w:rPr>
              <w:t>Action</w:t>
            </w:r>
          </w:p>
        </w:tc>
        <w:tc>
          <w:tcPr>
            <w:tcW w:w="2376" w:type="pct"/>
            <w:tcBorders>
              <w:top w:val="outset" w:sz="6" w:space="0" w:color="auto"/>
              <w:left w:val="outset" w:sz="6" w:space="0" w:color="auto"/>
              <w:bottom w:val="outset" w:sz="6" w:space="0" w:color="auto"/>
              <w:right w:val="outset" w:sz="6" w:space="0" w:color="auto"/>
            </w:tcBorders>
            <w:shd w:val="clear" w:color="auto" w:fill="FFCC33"/>
            <w:tcMar>
              <w:top w:w="30" w:type="dxa"/>
              <w:left w:w="30" w:type="dxa"/>
              <w:bottom w:w="30" w:type="dxa"/>
              <w:right w:w="30" w:type="dxa"/>
            </w:tcMar>
            <w:hideMark/>
          </w:tcPr>
          <w:p w:rsidR="004F2C53" w:rsidRPr="004F2C53" w:rsidRDefault="004F2C53" w:rsidP="00B54722">
            <w:pPr>
              <w:spacing w:line="270" w:lineRule="atLeast"/>
              <w:jc w:val="center"/>
              <w:rPr>
                <w:rFonts w:ascii="Tahoma" w:hAnsi="Tahoma" w:cs="Tahoma"/>
                <w:b/>
                <w:bCs/>
                <w:sz w:val="22"/>
                <w:szCs w:val="24"/>
              </w:rPr>
            </w:pPr>
            <w:r w:rsidRPr="004F2C53">
              <w:rPr>
                <w:rFonts w:ascii="Tahoma" w:hAnsi="Tahoma" w:cs="Tahoma"/>
                <w:b/>
                <w:bCs/>
                <w:sz w:val="22"/>
                <w:szCs w:val="24"/>
              </w:rPr>
              <w:t>Facts of the Case</w:t>
            </w:r>
          </w:p>
        </w:tc>
        <w:tc>
          <w:tcPr>
            <w:tcW w:w="1774" w:type="pct"/>
            <w:tcBorders>
              <w:top w:val="outset" w:sz="6" w:space="0" w:color="auto"/>
              <w:left w:val="outset" w:sz="6" w:space="0" w:color="auto"/>
              <w:bottom w:val="outset" w:sz="6" w:space="0" w:color="auto"/>
              <w:right w:val="outset" w:sz="6" w:space="0" w:color="auto"/>
            </w:tcBorders>
            <w:shd w:val="clear" w:color="auto" w:fill="FFCC33"/>
            <w:tcMar>
              <w:top w:w="30" w:type="dxa"/>
              <w:left w:w="30" w:type="dxa"/>
              <w:bottom w:w="30" w:type="dxa"/>
              <w:right w:w="30" w:type="dxa"/>
            </w:tcMar>
            <w:hideMark/>
          </w:tcPr>
          <w:p w:rsidR="004F2C53" w:rsidRPr="004F2C53" w:rsidRDefault="004F2C53" w:rsidP="00B54722">
            <w:pPr>
              <w:spacing w:line="270" w:lineRule="atLeast"/>
              <w:jc w:val="center"/>
              <w:rPr>
                <w:rFonts w:ascii="Tahoma" w:hAnsi="Tahoma" w:cs="Tahoma"/>
                <w:b/>
                <w:bCs/>
                <w:sz w:val="22"/>
                <w:szCs w:val="24"/>
              </w:rPr>
            </w:pPr>
            <w:r w:rsidRPr="004F2C53">
              <w:rPr>
                <w:rFonts w:ascii="Tahoma" w:hAnsi="Tahoma" w:cs="Tahoma"/>
                <w:b/>
                <w:bCs/>
                <w:sz w:val="22"/>
                <w:szCs w:val="24"/>
              </w:rPr>
              <w:t>Think It Through</w:t>
            </w:r>
          </w:p>
        </w:tc>
      </w:tr>
      <w:tr w:rsidR="004F2C53" w:rsidRPr="008C1D34" w:rsidTr="00C22006">
        <w:trPr>
          <w:tblCellSpacing w:w="15" w:type="dxa"/>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4F2C53" w:rsidRPr="004F2C53" w:rsidRDefault="004F2C53" w:rsidP="00B54722">
            <w:pPr>
              <w:spacing w:line="270" w:lineRule="atLeast"/>
              <w:rPr>
                <w:rFonts w:ascii="Tahoma" w:hAnsi="Tahoma" w:cs="Tahoma"/>
                <w:sz w:val="22"/>
                <w:szCs w:val="24"/>
              </w:rPr>
            </w:pPr>
            <w:r w:rsidRPr="004F2C53">
              <w:rPr>
                <w:rFonts w:ascii="Tahoma" w:hAnsi="Tahoma" w:cs="Tahoma"/>
                <w:sz w:val="22"/>
                <w:szCs w:val="24"/>
              </w:rPr>
              <w:t>Request DBQ only</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4F2C53" w:rsidRPr="004F2C53" w:rsidRDefault="004F2C53" w:rsidP="00F063AF">
            <w:pPr>
              <w:numPr>
                <w:ilvl w:val="0"/>
                <w:numId w:val="220"/>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 xml:space="preserve">STRs show event, injury, or disease of the claimed disability </w:t>
            </w:r>
          </w:p>
          <w:p w:rsidR="004F2C53" w:rsidRPr="004F2C53" w:rsidRDefault="004F2C53" w:rsidP="00F063AF">
            <w:pPr>
              <w:numPr>
                <w:ilvl w:val="0"/>
                <w:numId w:val="220"/>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Veteran submits medical evidence showing current diagnosis and continuous symptoms since service discharge</w:t>
            </w:r>
          </w:p>
        </w:tc>
        <w:tc>
          <w:tcPr>
            <w:tcW w:w="1774" w:type="pc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4F2C53" w:rsidRPr="004F2C53" w:rsidRDefault="004F2C53" w:rsidP="00B54722">
            <w:pPr>
              <w:spacing w:after="240" w:line="270" w:lineRule="atLeast"/>
              <w:rPr>
                <w:rFonts w:ascii="Tahoma" w:hAnsi="Tahoma" w:cs="Tahoma"/>
                <w:sz w:val="22"/>
                <w:szCs w:val="24"/>
              </w:rPr>
            </w:pPr>
            <w:r w:rsidRPr="004F2C53">
              <w:rPr>
                <w:rFonts w:ascii="Tahoma" w:hAnsi="Tahoma" w:cs="Tahoma"/>
                <w:sz w:val="22"/>
                <w:szCs w:val="24"/>
              </w:rPr>
              <w:t xml:space="preserve">If the evidence of record is sufficient to grant the benefit sought, no VA examination is necessary. </w:t>
            </w:r>
          </w:p>
        </w:tc>
      </w:tr>
      <w:tr w:rsidR="004F2C53" w:rsidRPr="008C1D34" w:rsidTr="00C22006">
        <w:trPr>
          <w:tblCellSpacing w:w="15" w:type="dxa"/>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4F2C53" w:rsidRPr="004F2C53" w:rsidRDefault="004F2C53" w:rsidP="00B54722">
            <w:pPr>
              <w:spacing w:line="270" w:lineRule="atLeast"/>
              <w:rPr>
                <w:rFonts w:ascii="Tahoma" w:hAnsi="Tahoma" w:cs="Tahoma"/>
                <w:sz w:val="22"/>
                <w:szCs w:val="24"/>
              </w:rPr>
            </w:pPr>
            <w:r w:rsidRPr="004F2C53">
              <w:rPr>
                <w:rFonts w:ascii="Tahoma" w:hAnsi="Tahoma" w:cs="Tahoma"/>
                <w:sz w:val="22"/>
                <w:szCs w:val="24"/>
              </w:rPr>
              <w:t>Request DBQ with medical opinion</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4F2C53" w:rsidRPr="004F2C53" w:rsidRDefault="004F2C53" w:rsidP="00F063AF">
            <w:pPr>
              <w:numPr>
                <w:ilvl w:val="0"/>
                <w:numId w:val="221"/>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 xml:space="preserve">STRs show event, injury, or disease of the claimed disability </w:t>
            </w:r>
          </w:p>
          <w:p w:rsidR="004F2C53" w:rsidRPr="004F2C53" w:rsidRDefault="004F2C53" w:rsidP="00F063AF">
            <w:pPr>
              <w:numPr>
                <w:ilvl w:val="0"/>
                <w:numId w:val="221"/>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No continuous medical evidence from date of discharge</w:t>
            </w:r>
          </w:p>
          <w:p w:rsidR="004F2C53" w:rsidRPr="004F2C53" w:rsidRDefault="004F2C53" w:rsidP="00F063AF">
            <w:pPr>
              <w:numPr>
                <w:ilvl w:val="0"/>
                <w:numId w:val="221"/>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Veteran submits medical evidence showing current diagnosis and continuous symptoms since service discharge</w:t>
            </w:r>
          </w:p>
          <w:p w:rsidR="004F2C53" w:rsidRPr="004F2C53" w:rsidRDefault="004F2C53" w:rsidP="00F063AF">
            <w:pPr>
              <w:numPr>
                <w:ilvl w:val="0"/>
                <w:numId w:val="221"/>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Diagnosis is more than one year from separation from service</w:t>
            </w:r>
          </w:p>
        </w:tc>
        <w:tc>
          <w:tcPr>
            <w:tcW w:w="1774" w:type="pc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4F2C53" w:rsidRPr="004F2C53" w:rsidRDefault="004F2C53" w:rsidP="00B54722">
            <w:pPr>
              <w:spacing w:line="270" w:lineRule="atLeast"/>
              <w:rPr>
                <w:rFonts w:ascii="Tahoma" w:hAnsi="Tahoma" w:cs="Tahoma"/>
                <w:sz w:val="22"/>
                <w:szCs w:val="24"/>
              </w:rPr>
            </w:pPr>
            <w:r w:rsidRPr="004F2C53">
              <w:rPr>
                <w:rFonts w:ascii="Tahoma" w:hAnsi="Tahoma" w:cs="Tahoma"/>
                <w:sz w:val="22"/>
                <w:szCs w:val="24"/>
              </w:rPr>
              <w:t xml:space="preserve">An exam with an opinion is necessary since there is no continuity of symptoms. This opinion is needed to determine if the current diagnosis is related to service and service connection should be granted under 38 CFR 3.303(a). It is also used to determine if service connection should be denied based on the findings of the medical exam and medical opinion. Although the Veteran has a current diagnosis, the diagnosis is more than one year from separation from service. </w:t>
            </w:r>
          </w:p>
        </w:tc>
      </w:tr>
      <w:tr w:rsidR="004F2C53" w:rsidRPr="008C1D34" w:rsidTr="00C22006">
        <w:trPr>
          <w:tblCellSpacing w:w="15" w:type="dxa"/>
        </w:trPr>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4F2C53" w:rsidRPr="004F2C53" w:rsidRDefault="004F2C53" w:rsidP="00B54722">
            <w:pPr>
              <w:spacing w:line="270" w:lineRule="atLeast"/>
              <w:rPr>
                <w:rFonts w:ascii="Tahoma" w:hAnsi="Tahoma" w:cs="Tahoma"/>
                <w:sz w:val="22"/>
                <w:szCs w:val="24"/>
              </w:rPr>
            </w:pPr>
            <w:r w:rsidRPr="004F2C53">
              <w:rPr>
                <w:rFonts w:ascii="Tahoma" w:hAnsi="Tahoma" w:cs="Tahoma"/>
                <w:sz w:val="22"/>
                <w:szCs w:val="24"/>
              </w:rPr>
              <w:t>Request DBQ with Medical Opinion</w:t>
            </w:r>
          </w:p>
        </w:tc>
        <w:tc>
          <w:tcPr>
            <w:tcW w:w="0" w:type="auto"/>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4F2C53" w:rsidRPr="004F2C53" w:rsidRDefault="004F2C53" w:rsidP="00F063AF">
            <w:pPr>
              <w:numPr>
                <w:ilvl w:val="0"/>
                <w:numId w:val="222"/>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A claim for service connection is submitted more than one year after discharge</w:t>
            </w:r>
          </w:p>
          <w:p w:rsidR="004F2C53" w:rsidRPr="004F2C53" w:rsidRDefault="004F2C53" w:rsidP="00F063AF">
            <w:pPr>
              <w:numPr>
                <w:ilvl w:val="0"/>
                <w:numId w:val="222"/>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 xml:space="preserve">The Veteran's STRs show symptoms of a disease (diabetes mellitus) </w:t>
            </w:r>
          </w:p>
          <w:p w:rsidR="004F2C53" w:rsidRPr="004F2C53" w:rsidRDefault="004F2C53" w:rsidP="00F063AF">
            <w:pPr>
              <w:numPr>
                <w:ilvl w:val="0"/>
                <w:numId w:val="222"/>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Lab findings show high blood sugar in service but no diagnosis of diabetes in service</w:t>
            </w:r>
          </w:p>
          <w:p w:rsidR="004F2C53" w:rsidRPr="004F2C53" w:rsidRDefault="004F2C53" w:rsidP="00F063AF">
            <w:pPr>
              <w:numPr>
                <w:ilvl w:val="0"/>
                <w:numId w:val="222"/>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Veteran submits evidence of a current diagnosis of diabetes</w:t>
            </w:r>
          </w:p>
          <w:p w:rsidR="004F2C53" w:rsidRPr="004F2C53" w:rsidRDefault="004F2C53" w:rsidP="00F063AF">
            <w:pPr>
              <w:numPr>
                <w:ilvl w:val="0"/>
                <w:numId w:val="222"/>
              </w:numPr>
              <w:overflowPunct/>
              <w:autoSpaceDE/>
              <w:autoSpaceDN/>
              <w:adjustRightInd/>
              <w:spacing w:before="100" w:beforeAutospacing="1" w:after="100" w:afterAutospacing="1" w:line="270" w:lineRule="atLeast"/>
              <w:ind w:left="0"/>
              <w:textAlignment w:val="auto"/>
              <w:rPr>
                <w:rFonts w:ascii="Tahoma" w:hAnsi="Tahoma" w:cs="Tahoma"/>
                <w:sz w:val="22"/>
                <w:szCs w:val="24"/>
              </w:rPr>
            </w:pPr>
            <w:r w:rsidRPr="004F2C53">
              <w:rPr>
                <w:rFonts w:ascii="Tahoma" w:hAnsi="Tahoma" w:cs="Tahoma"/>
                <w:sz w:val="22"/>
                <w:szCs w:val="24"/>
              </w:rPr>
              <w:t>Diagnosis is more than one year from separation from service</w:t>
            </w:r>
          </w:p>
        </w:tc>
        <w:tc>
          <w:tcPr>
            <w:tcW w:w="1774" w:type="pc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rsidR="004F2C53" w:rsidRPr="004F2C53" w:rsidRDefault="004F2C53" w:rsidP="00B54722">
            <w:pPr>
              <w:spacing w:line="270" w:lineRule="atLeast"/>
              <w:rPr>
                <w:rFonts w:ascii="Tahoma" w:hAnsi="Tahoma" w:cs="Tahoma"/>
                <w:sz w:val="22"/>
                <w:szCs w:val="24"/>
              </w:rPr>
            </w:pPr>
            <w:r w:rsidRPr="004F2C53">
              <w:rPr>
                <w:rFonts w:ascii="Tahoma" w:hAnsi="Tahoma" w:cs="Tahoma"/>
                <w:sz w:val="22"/>
                <w:szCs w:val="24"/>
              </w:rPr>
              <w:t xml:space="preserve">An exam with an opinion is necessary if a Veteran has symptoms of a disease in service. </w:t>
            </w:r>
            <w:r w:rsidRPr="004F2C53">
              <w:rPr>
                <w:rFonts w:ascii="Tahoma" w:hAnsi="Tahoma" w:cs="Tahoma"/>
                <w:sz w:val="22"/>
                <w:szCs w:val="24"/>
              </w:rPr>
              <w:br/>
            </w:r>
            <w:r w:rsidRPr="004F2C53">
              <w:rPr>
                <w:rFonts w:ascii="Tahoma" w:hAnsi="Tahoma" w:cs="Tahoma"/>
                <w:sz w:val="22"/>
                <w:szCs w:val="24"/>
              </w:rPr>
              <w:br/>
              <w:t xml:space="preserve">For example, if a Veteran's lab findings showing high blood sugar, an exam with an opinion is necessary to determine if the lab findings in service were an early manifestation of diabetes, thus establishing service connection. </w:t>
            </w:r>
          </w:p>
        </w:tc>
      </w:tr>
    </w:tbl>
    <w:p w:rsidR="004F2C53" w:rsidRPr="001B4F05" w:rsidRDefault="004F2C53" w:rsidP="001B4F05"/>
    <w:p w:rsidR="004F2C53" w:rsidRPr="004F2C53" w:rsidRDefault="004F2C53" w:rsidP="00C22006">
      <w:pPr>
        <w:tabs>
          <w:tab w:val="left" w:pos="720"/>
        </w:tabs>
        <w:spacing w:after="120"/>
        <w:ind w:left="720"/>
        <w:rPr>
          <w:rFonts w:ascii="Tahoma" w:hAnsi="Tahoma" w:cs="Tahoma"/>
          <w:b/>
          <w:u w:val="single"/>
        </w:rPr>
      </w:pPr>
      <w:r w:rsidRPr="006B2A5A">
        <w:rPr>
          <w:rFonts w:ascii="Tahoma" w:hAnsi="Tahoma" w:cs="Tahoma"/>
          <w:b/>
          <w:highlight w:val="green"/>
          <w:u w:val="single"/>
        </w:rPr>
        <w:t>Examples:</w:t>
      </w:r>
    </w:p>
    <w:p w:rsidR="004F2C53" w:rsidRPr="004F2C53" w:rsidRDefault="004F2C53" w:rsidP="00C22006">
      <w:pPr>
        <w:tabs>
          <w:tab w:val="left" w:pos="720"/>
        </w:tabs>
        <w:spacing w:after="120"/>
        <w:ind w:left="720"/>
        <w:rPr>
          <w:rStyle w:val="qlabel4"/>
          <w:rFonts w:ascii="Tahoma" w:hAnsi="Tahoma" w:cs="Tahoma"/>
          <w:color w:val="000000"/>
        </w:rPr>
      </w:pPr>
      <w:r w:rsidRPr="004F2C53">
        <w:rPr>
          <w:rFonts w:ascii="Tahoma" w:hAnsi="Tahoma" w:cs="Tahoma"/>
        </w:rPr>
        <w:t xml:space="preserve">Beth Jones was honorably discharged from the Army on February 1, 2012. She submitted a claim to VA on March 10, 2015, claiming service connection for right shoulder injury. The service treatment records show an event of right shoulder injury from pulling books down from a high shelf. There was no evidence of a shoulder disability at time of separation. She submitted no medical evidence in support of her claim and no statement that the disability has persisted since military service. - </w:t>
      </w:r>
      <w:r w:rsidRPr="006B2A5A">
        <w:rPr>
          <w:rFonts w:ascii="Tahoma" w:hAnsi="Tahoma" w:cs="Tahoma"/>
          <w:b/>
          <w:highlight w:val="green"/>
        </w:rPr>
        <w:t>Deny the claim</w:t>
      </w:r>
    </w:p>
    <w:p w:rsidR="004F2C53" w:rsidRPr="004F2C53" w:rsidRDefault="004F2C53" w:rsidP="00C22006">
      <w:pPr>
        <w:tabs>
          <w:tab w:val="left" w:pos="720"/>
        </w:tabs>
        <w:spacing w:after="120"/>
        <w:ind w:left="720"/>
        <w:rPr>
          <w:rStyle w:val="qlabel4"/>
          <w:rFonts w:ascii="Tahoma" w:hAnsi="Tahoma" w:cs="Tahoma"/>
          <w:color w:val="000000"/>
        </w:rPr>
      </w:pPr>
      <w:r w:rsidRPr="004F2C53">
        <w:rPr>
          <w:rFonts w:ascii="Tahoma" w:hAnsi="Tahoma" w:cs="Tahoma"/>
        </w:rPr>
        <w:t xml:space="preserve">Beverly Wilson was honorably discharged from the Navy on April 6, 2012. She submitted a claim to VA on May 9, 2015, claiming service connection for left knee injury. The service treatment records indicate the Veteran was seen on two occasions for injuries involving the left knee. There was no evidence of disability to either knee at time of service separation. She submitted no medical evidence in support of her claim, but she included a statement that she injured her left knee twice in service from falling and her knee has hurt ever since. - </w:t>
      </w:r>
      <w:r w:rsidRPr="006B2A5A">
        <w:rPr>
          <w:rFonts w:ascii="Tahoma" w:hAnsi="Tahoma" w:cs="Tahoma"/>
          <w:b/>
          <w:highlight w:val="green"/>
        </w:rPr>
        <w:t>Request a DBQ and medical opinion</w:t>
      </w:r>
    </w:p>
    <w:p w:rsidR="004F2C53" w:rsidRPr="004F2C53" w:rsidRDefault="004F2C53" w:rsidP="00C22006">
      <w:pPr>
        <w:tabs>
          <w:tab w:val="left" w:pos="720"/>
        </w:tabs>
        <w:spacing w:after="120"/>
        <w:ind w:left="720"/>
        <w:rPr>
          <w:rStyle w:val="qlabel4"/>
          <w:rFonts w:ascii="Tahoma" w:hAnsi="Tahoma" w:cs="Tahoma"/>
          <w:color w:val="000000"/>
        </w:rPr>
      </w:pPr>
      <w:r w:rsidRPr="004F2C53">
        <w:rPr>
          <w:rFonts w:ascii="Tahoma" w:hAnsi="Tahoma" w:cs="Tahoma"/>
        </w:rPr>
        <w:t xml:space="preserve">John Langly was honorably discharged from the Marine Corps on January 15, 2015. He submitted a claim to VA on April 3, 2015, claiming service connection for low back pain. The service treatment records indicate the Veteran was seen for low back pain diagnosed as thoracolumbar strain on two separate occasions. The service separation examination noted diagnosis. The Veteran did not submit medical evidence in support of his claim nor statement of continuing symptomatology. - </w:t>
      </w:r>
      <w:r w:rsidRPr="006B2A5A">
        <w:rPr>
          <w:rFonts w:ascii="Tahoma" w:hAnsi="Tahoma" w:cs="Tahoma"/>
          <w:b/>
          <w:highlight w:val="green"/>
        </w:rPr>
        <w:t>Request a DBQ only</w:t>
      </w:r>
    </w:p>
    <w:p w:rsidR="004F2C53" w:rsidRPr="004F2C53" w:rsidRDefault="004F2C53" w:rsidP="00C22006">
      <w:pPr>
        <w:tabs>
          <w:tab w:val="left" w:pos="720"/>
        </w:tabs>
        <w:spacing w:after="120"/>
        <w:ind w:left="720"/>
        <w:rPr>
          <w:rStyle w:val="qlabel4"/>
          <w:rFonts w:ascii="Tahoma" w:hAnsi="Tahoma" w:cs="Tahoma"/>
          <w:color w:val="000000"/>
        </w:rPr>
      </w:pPr>
      <w:r w:rsidRPr="004F2C53">
        <w:rPr>
          <w:rFonts w:ascii="Tahoma" w:hAnsi="Tahoma" w:cs="Tahoma"/>
        </w:rPr>
        <w:t xml:space="preserve">Eric Hernandez, was honorably discharged from the Army on December 14, 2012. He submitted VA Form 21-526EZ, claiming left elbow tendonitis that was received by VA on April 9, 2015. He submitted private treatment reports from February 20, 2014, to February 28, 2015, showing current disability of left elbow tendonitis. An Elbow and Forearms Conditions DBQ completed by the private physician was sufficient for rating purposes. No statement from the Veteran was included with the claim. Review of the service treatment records indicates the Veteran was treated for left elbow pain in service. There was no evidence of a pre-service left elbow condition and the separation examination was negative of abnormalities to the musculoskeletal system. - </w:t>
      </w:r>
      <w:r w:rsidRPr="006B2A5A">
        <w:rPr>
          <w:rFonts w:ascii="Tahoma" w:hAnsi="Tahoma" w:cs="Tahoma"/>
          <w:b/>
          <w:highlight w:val="green"/>
        </w:rPr>
        <w:t>Request a medical opinion only</w:t>
      </w:r>
    </w:p>
    <w:p w:rsidR="004F2C53" w:rsidRPr="004F2C53" w:rsidRDefault="004F2C53" w:rsidP="00C22006">
      <w:pPr>
        <w:tabs>
          <w:tab w:val="left" w:pos="720"/>
        </w:tabs>
        <w:spacing w:after="120"/>
        <w:ind w:left="720"/>
        <w:rPr>
          <w:rFonts w:ascii="Tahoma" w:hAnsi="Tahoma" w:cs="Tahoma"/>
        </w:rPr>
      </w:pPr>
      <w:r w:rsidRPr="004F2C53">
        <w:rPr>
          <w:rFonts w:ascii="Tahoma" w:hAnsi="Tahoma" w:cs="Tahoma"/>
        </w:rPr>
        <w:t>Daniel Cruz honorably served in the Army from November 11, 2009, to November 10, 2011. His Military Occupational Specialty (MOS) was Infantryman. The Veteran filed VA Form 21-526EZ, received at VA on May 4, 2015, claiming service connection for left knee injury. His statement indicated he was running from a burning building in Iraq when he fell on his left knee. Due to the hardships of serving in a combat zone, he was not seen for medical care until after discharge, but he has had continued left knee pain since. The Veteran submitted treatment reports from the Harvey Clinic dated February 20, 2012, through December 3, 2014, showing treatment for the left knee. He also submitted a Knee DBQ from his doctor sufficient for rating purposes, dated April 29, 2015, diagnosing chronic left knee strain. The Service Treatment Records (STRs) do not include evidence of event, treatment, or diagnosis relative to any knee injury. The Report of Medical History at time of service separation has an X marked by "trick" or locked knee, however, there are no physician comments. The separation examination is negative of abnormalities.</w:t>
      </w:r>
      <w:r>
        <w:rPr>
          <w:rFonts w:ascii="Tahoma" w:hAnsi="Tahoma" w:cs="Tahoma"/>
        </w:rPr>
        <w:t xml:space="preserve"> -</w:t>
      </w:r>
      <w:r w:rsidRPr="004F2C53">
        <w:rPr>
          <w:rFonts w:ascii="Tahoma" w:hAnsi="Tahoma" w:cs="Tahoma"/>
          <w:b/>
        </w:rPr>
        <w:t xml:space="preserve"> </w:t>
      </w:r>
      <w:r w:rsidRPr="006B2A5A">
        <w:rPr>
          <w:rFonts w:ascii="Tahoma" w:hAnsi="Tahoma" w:cs="Tahoma"/>
          <w:b/>
          <w:highlight w:val="green"/>
        </w:rPr>
        <w:t>Request a medical opinion only</w:t>
      </w:r>
      <w:r w:rsidRPr="004F2C53">
        <w:rPr>
          <w:rFonts w:ascii="Tahoma" w:hAnsi="Tahoma" w:cs="Tahoma"/>
        </w:rPr>
        <w:t>. Although there is no documented evidence of event in the service medical records, the marking on medical history at time of separation makes the claim plausible based on the places, types, and circumstances of service. The DBQ and Harvey Clinic treatment reports support current disability. A medical opinion is needed to determine if there is a link between the Veteran's service (such as his MOS) and current disability.</w:t>
      </w:r>
    </w:p>
    <w:p w:rsidR="004F2C53" w:rsidRPr="004F2C53" w:rsidRDefault="004F2C53" w:rsidP="00C22006">
      <w:pPr>
        <w:tabs>
          <w:tab w:val="left" w:pos="720"/>
        </w:tabs>
        <w:spacing w:after="120"/>
        <w:ind w:left="720"/>
        <w:rPr>
          <w:rFonts w:ascii="Tahoma" w:hAnsi="Tahoma" w:cs="Tahoma"/>
        </w:rPr>
      </w:pPr>
      <w:r w:rsidRPr="004F2C53">
        <w:rPr>
          <w:rFonts w:ascii="Tahoma" w:hAnsi="Tahoma" w:cs="Tahoma"/>
        </w:rPr>
        <w:t>Janet Jenkins honorably served with the Army from October 11, 1969, to October 10, 1971. The Veteran submitted VA Form 21-526EZ on April 21, 2015, claiming shingles due to exposure to Agent Orange while serving in Vietnam. Included with the claim were treatment reports from Beltrami Clinic, dated November 22, 2014, through March 15, 2015, confirming shingles diagnosed November 22, 2014. The medical records were negative of suggestion or opinion that shingles would be related to Agent Orange exposure. Her DD 214 verified one year of service in Vietnam. The STRs do not include evidence of shingles during service or at time of separation.</w:t>
      </w:r>
      <w:r>
        <w:rPr>
          <w:rFonts w:ascii="Tahoma" w:hAnsi="Tahoma" w:cs="Tahoma"/>
        </w:rPr>
        <w:t xml:space="preserve"> - </w:t>
      </w:r>
      <w:r w:rsidRPr="006B2A5A">
        <w:rPr>
          <w:rFonts w:ascii="Tahoma" w:hAnsi="Tahoma" w:cs="Tahoma"/>
          <w:b/>
          <w:highlight w:val="green"/>
        </w:rPr>
        <w:t>Deny the claim</w:t>
      </w:r>
      <w:r>
        <w:rPr>
          <w:rFonts w:ascii="Tahoma" w:hAnsi="Tahoma" w:cs="Tahoma"/>
        </w:rPr>
        <w:t>.</w:t>
      </w:r>
      <w:r w:rsidRPr="004F2C53">
        <w:rPr>
          <w:rStyle w:val="qlabel4"/>
          <w:rFonts w:ascii="Tahoma" w:hAnsi="Tahoma" w:cs="Tahoma"/>
          <w:color w:val="000000"/>
        </w:rPr>
        <w:t xml:space="preserve"> </w:t>
      </w:r>
      <w:r w:rsidRPr="004F2C53">
        <w:rPr>
          <w:rFonts w:ascii="Tahoma" w:hAnsi="Tahoma" w:cs="Tahoma"/>
        </w:rPr>
        <w:t>Shingles is denied on a direct basis because there is no evidence of disease contained in the STRs. Shingles is also denied as it is not a recognized disease associated with exposure to Agent Orange. The record does not support a causal connection or association to active military service</w:t>
      </w:r>
    </w:p>
    <w:p w:rsidR="004F2C53" w:rsidRPr="004F2C53" w:rsidRDefault="004F2C53" w:rsidP="00C22006">
      <w:pPr>
        <w:tabs>
          <w:tab w:val="left" w:pos="720"/>
        </w:tabs>
        <w:spacing w:after="120"/>
        <w:ind w:left="720"/>
        <w:rPr>
          <w:rFonts w:ascii="Tahoma" w:hAnsi="Tahoma" w:cs="Tahoma"/>
        </w:rPr>
      </w:pPr>
      <w:r w:rsidRPr="004F2C53">
        <w:rPr>
          <w:rFonts w:ascii="Tahoma" w:hAnsi="Tahoma" w:cs="Tahoma"/>
        </w:rPr>
        <w:t>Glenn Bosch, a GW Veteran who was honorably discharged from the Marine Corps on October 30, 2014, submitted a completed VA Form 21-526EZ through eBenefits on April 16, 2015. He claimed service connection for instability of left ankle due to chronic sprains. The STRs indicate the Veteran was seen on three separate occasions for left ankle sprain. There is no evidence of a pre-service left ankle condition. The Veteran stated he has not been able to afford care since his service discharge and does not live close to a VAMC. He reported his ankle rolls repeatedly and causes pain.</w:t>
      </w:r>
      <w:r>
        <w:rPr>
          <w:rFonts w:ascii="Tahoma" w:hAnsi="Tahoma" w:cs="Tahoma"/>
        </w:rPr>
        <w:t xml:space="preserve"> - </w:t>
      </w:r>
      <w:r w:rsidRPr="006B2A5A">
        <w:rPr>
          <w:rFonts w:ascii="Tahoma" w:hAnsi="Tahoma" w:cs="Tahoma"/>
          <w:b/>
          <w:highlight w:val="green"/>
        </w:rPr>
        <w:t>Request a DBQ only</w:t>
      </w:r>
      <w:r>
        <w:rPr>
          <w:rFonts w:ascii="Tahoma" w:hAnsi="Tahoma" w:cs="Tahoma"/>
        </w:rPr>
        <w:t xml:space="preserve">. </w:t>
      </w:r>
      <w:r w:rsidRPr="004F2C53">
        <w:rPr>
          <w:rFonts w:ascii="Tahoma" w:hAnsi="Tahoma" w:cs="Tahoma"/>
        </w:rPr>
        <w:t>An examination is needed to determine the current level of disability. A medical opinion is not needed since the claim was submitted within one year of separation from service and there is evidence of a service event. Current symptomatology is present based on his claim of ankle instability (rolling).</w:t>
      </w:r>
    </w:p>
    <w:p w:rsidR="004F2C53" w:rsidRPr="004F2C53" w:rsidRDefault="004F2C53" w:rsidP="00C22006">
      <w:pPr>
        <w:tabs>
          <w:tab w:val="left" w:pos="720"/>
        </w:tabs>
        <w:spacing w:after="120"/>
        <w:ind w:left="720"/>
        <w:rPr>
          <w:rFonts w:ascii="Tahoma" w:hAnsi="Tahoma" w:cs="Tahoma"/>
        </w:rPr>
      </w:pPr>
      <w:r w:rsidRPr="00AD53CB">
        <w:rPr>
          <w:rFonts w:ascii="Tahoma" w:hAnsi="Tahoma" w:cs="Tahoma"/>
        </w:rPr>
        <w:t>Trevor Niles is service connected for PTSD for which he has been prescribed medication since 2010. He submitted a claim on March 29, 2015, for metabolic syndrome stating it is the result of the medication taken for his PTSD. Review of the STRs failed to reveal evidence of treatment or diagnosis relative to metabolic syndrome. The Veteran submitted private treatment reports dated March through December 2014, showing diagnosis of metabolic syndrome. The Veteran was advised to appropriate diet and exercise. The Veteran's physician provided a cover letter with the following medical opinion:</w:t>
      </w:r>
      <w:r>
        <w:rPr>
          <w:rFonts w:ascii="Tahoma" w:hAnsi="Tahoma" w:cs="Tahoma"/>
        </w:rPr>
        <w:t xml:space="preserve">  </w:t>
      </w:r>
      <w:r w:rsidRPr="00AD53CB">
        <w:rPr>
          <w:rFonts w:ascii="Tahoma" w:hAnsi="Tahoma" w:cs="Tahoma"/>
          <w:i/>
          <w:iCs/>
        </w:rPr>
        <w:t>Mr. Niles has been a patient of mine since March 2014 for his disability of metabolic syndrome. He told me he has been on prescription medication for PTSD since approximately 2010. It is at least as likely as not that his metabolic syndrome is the result of the medication used to treat his PTSD.</w:t>
      </w:r>
      <w:r w:rsidR="00B54722">
        <w:rPr>
          <w:rFonts w:ascii="Tahoma" w:hAnsi="Tahoma" w:cs="Tahoma"/>
          <w:i/>
          <w:iCs/>
        </w:rPr>
        <w:t xml:space="preserve"> - </w:t>
      </w:r>
      <w:r w:rsidRPr="006B2A5A">
        <w:rPr>
          <w:rFonts w:ascii="Tahoma" w:hAnsi="Tahoma" w:cs="Tahoma"/>
          <w:b/>
          <w:highlight w:val="green"/>
        </w:rPr>
        <w:t>Request a DBQ and medical opinion</w:t>
      </w:r>
      <w:r w:rsidR="00B54722">
        <w:rPr>
          <w:rFonts w:ascii="Tahoma" w:hAnsi="Tahoma" w:cs="Tahoma"/>
        </w:rPr>
        <w:t>.</w:t>
      </w:r>
      <w:r w:rsidRPr="004F2C53">
        <w:rPr>
          <w:rFonts w:ascii="Tahoma" w:hAnsi="Tahoma" w:cs="Tahoma"/>
        </w:rPr>
        <w:t xml:space="preserve"> The physician did not provide medical rationale for the opinion rendered. It was not supported by medical treaties or any source of justification. However, the statement does provide possibility of association with military service, thus requiring medical opinion. DBQ is needed to determine level of disability. (38 CFR 3.155)</w:t>
      </w:r>
    </w:p>
    <w:p w:rsidR="004F2C53" w:rsidRPr="004F2C53" w:rsidRDefault="004F2C53" w:rsidP="00C22006">
      <w:pPr>
        <w:tabs>
          <w:tab w:val="left" w:pos="720"/>
        </w:tabs>
        <w:spacing w:after="120"/>
        <w:ind w:left="720"/>
        <w:rPr>
          <w:rFonts w:ascii="Tahoma" w:hAnsi="Tahoma" w:cs="Tahoma"/>
        </w:rPr>
      </w:pPr>
      <w:r w:rsidRPr="00B54722">
        <w:rPr>
          <w:rFonts w:ascii="Tahoma" w:hAnsi="Tahoma" w:cs="Tahoma"/>
        </w:rPr>
        <w:t>Billy Little Ghost</w:t>
      </w:r>
      <w:r w:rsidRPr="004F2C53">
        <w:rPr>
          <w:rFonts w:ascii="Tahoma" w:hAnsi="Tahoma" w:cs="Tahoma"/>
        </w:rPr>
        <w:t>, a GW Veteran, was honorably discharged from service four years ago. He filed a claim for flat feet, received by VA on May 9, 2015. He stated that his feet have bothered him since service and he is seen by Podiatry at his local VAMC. Review of VA records confirms the Veteran has been diagnosed with pes planus and has been provided custom built orthotics. Review of the STRs indicates the Veteran was seen with complaints of painful, tender arches of the feet but no accommodations were made. There was no evidence of a pre-service foot condition but the separation examination included continued complaints of painful feet, reported as likely due to combat boots.</w:t>
      </w:r>
      <w:r w:rsidR="00B54722">
        <w:rPr>
          <w:rFonts w:ascii="Tahoma" w:hAnsi="Tahoma" w:cs="Tahoma"/>
        </w:rPr>
        <w:t xml:space="preserve"> - </w:t>
      </w:r>
      <w:r w:rsidRPr="006B2A5A">
        <w:rPr>
          <w:rFonts w:ascii="Tahoma" w:hAnsi="Tahoma" w:cs="Tahoma"/>
          <w:b/>
          <w:highlight w:val="green"/>
        </w:rPr>
        <w:t>R</w:t>
      </w:r>
      <w:r w:rsidR="00B54722" w:rsidRPr="006B2A5A">
        <w:rPr>
          <w:rFonts w:ascii="Tahoma" w:hAnsi="Tahoma" w:cs="Tahoma"/>
          <w:b/>
          <w:highlight w:val="green"/>
        </w:rPr>
        <w:t>equest a DBQ and medical opinion</w:t>
      </w:r>
      <w:r w:rsidR="00B54722" w:rsidRPr="006B2A5A">
        <w:rPr>
          <w:rFonts w:ascii="Tahoma" w:hAnsi="Tahoma" w:cs="Tahoma"/>
          <w:highlight w:val="green"/>
        </w:rPr>
        <w:t>.</w:t>
      </w:r>
      <w:r w:rsidRPr="004F2C53">
        <w:rPr>
          <w:rFonts w:ascii="Tahoma" w:hAnsi="Tahoma" w:cs="Tahoma"/>
        </w:rPr>
        <w:t xml:space="preserve"> The evidence shows an event in service and current disability. Since the Veteran has been discharged from service greater than a year ago and reports the feet have "bothered" him since service, a medical opinion is needed to link the current disability to the service event. A DBQ examination will provide current level of disability. It would be erroneous to deny the claim since there is a service event, current disability, and Veteran's report of symptomatology.</w:t>
      </w:r>
    </w:p>
    <w:p w:rsidR="00C22006" w:rsidRDefault="00D571C5" w:rsidP="00F063AF">
      <w:pPr>
        <w:pStyle w:val="Header"/>
        <w:widowControl w:val="0"/>
        <w:numPr>
          <w:ilvl w:val="2"/>
          <w:numId w:val="117"/>
        </w:numPr>
        <w:tabs>
          <w:tab w:val="clear" w:pos="2140"/>
          <w:tab w:val="clear" w:pos="4320"/>
          <w:tab w:val="clear" w:pos="8640"/>
        </w:tabs>
        <w:ind w:left="720"/>
      </w:pPr>
      <w:hyperlink r:id="rId758" w:history="1">
        <w:r w:rsidR="00C22006">
          <w:rPr>
            <w:rStyle w:val="Hyperlink"/>
            <w:b/>
            <w:bCs/>
            <w:i/>
          </w:rPr>
          <w:t>May 2016 Quality Call Notes</w:t>
        </w:r>
      </w:hyperlink>
      <w:r w:rsidR="00C22006" w:rsidRPr="006D5D47">
        <w:rPr>
          <w:bCs/>
        </w:rPr>
        <w:t xml:space="preserve"> –</w:t>
      </w:r>
      <w:r w:rsidR="00C22006">
        <w:rPr>
          <w:bCs/>
        </w:rPr>
        <w:t xml:space="preserve"> </w:t>
      </w:r>
      <w:r w:rsidR="00C22006" w:rsidRPr="006D5D47">
        <w:rPr>
          <w:bCs/>
        </w:rPr>
        <w:t>If there is nothing</w:t>
      </w:r>
      <w:r w:rsidR="00C22006">
        <w:rPr>
          <w:bCs/>
        </w:rPr>
        <w:t xml:space="preserve"> noted</w:t>
      </w:r>
      <w:r w:rsidR="00C22006" w:rsidRPr="006D5D47">
        <w:rPr>
          <w:bCs/>
        </w:rPr>
        <w:t xml:space="preserve"> on the enlistment exam &amp; the examiner gives a negative opinion based on the veteran’s report of a pre-service injury, but we have no clear evidence it pre-existed, “</w:t>
      </w:r>
      <w:r w:rsidR="00C22006">
        <w:t>…</w:t>
      </w:r>
      <w:r w:rsidR="00C22006" w:rsidRPr="006D5D47">
        <w:t xml:space="preserve"> return to examiner with clear instruction to disregard the Veteran’s statement concerning an earlier injury.  Without clear and unmistakable evidence the condition existed prior to service, the presumption of soundness has not been overcome.  See M21-1, IV.ii.2.B.4.b; M21-1, IV.ii.2.B.4.d; and, </w:t>
      </w:r>
      <w:r w:rsidR="00C22006" w:rsidRPr="006D5D47">
        <w:rPr>
          <w:i/>
        </w:rPr>
        <w:t>Wagner v Principi</w:t>
      </w:r>
      <w:r w:rsidR="001946CC">
        <w:rPr>
          <w:i/>
        </w:rPr>
        <w:t>.”</w:t>
      </w:r>
      <w:r w:rsidR="00C22006" w:rsidRPr="006D5D47">
        <w:t xml:space="preserve"> If have clear evidence it pre-existed,  “…return the opinion to the examiner to inquire whether the condition was aggravated beyond natural progression by military service.”</w:t>
      </w:r>
      <w:r w:rsidR="00C22006">
        <w:t xml:space="preserve"> </w:t>
      </w:r>
      <w:r w:rsidR="00C22006" w:rsidRPr="00EE6BBC">
        <w:t>(</w:t>
      </w:r>
      <w:r w:rsidR="00C22006" w:rsidRPr="00361AA8">
        <w:rPr>
          <w:highlight w:val="magenta"/>
        </w:rPr>
        <w:t>this is a change</w:t>
      </w:r>
      <w:r w:rsidR="00C22006">
        <w:rPr>
          <w:highlight w:val="magenta"/>
        </w:rPr>
        <w:t xml:space="preserve"> from local policy</w:t>
      </w:r>
      <w:r w:rsidR="00C22006" w:rsidRPr="00EE6BBC">
        <w:t>)</w:t>
      </w:r>
    </w:p>
    <w:p w:rsidR="001B4F05" w:rsidRDefault="001B4F05" w:rsidP="001B4F05">
      <w:pPr>
        <w:rPr>
          <w:sz w:val="24"/>
          <w:szCs w:val="24"/>
        </w:rPr>
      </w:pPr>
    </w:p>
    <w:p w:rsidR="001B4F05" w:rsidRDefault="001B4F05" w:rsidP="00305E95">
      <w:pPr>
        <w:pStyle w:val="Header"/>
        <w:widowControl w:val="0"/>
        <w:tabs>
          <w:tab w:val="clear" w:pos="4320"/>
          <w:tab w:val="clear" w:pos="8640"/>
        </w:tabs>
      </w:pPr>
    </w:p>
    <w:tbl>
      <w:tblPr>
        <w:tblW w:w="0" w:type="auto"/>
        <w:tblInd w:w="-45" w:type="dxa"/>
        <w:tblLayout w:type="fixed"/>
        <w:tblCellMar>
          <w:left w:w="30" w:type="dxa"/>
          <w:right w:w="30" w:type="dxa"/>
        </w:tblCellMar>
        <w:tblLook w:val="0000" w:firstRow="0" w:lastRow="0" w:firstColumn="0" w:lastColumn="0" w:noHBand="0" w:noVBand="0"/>
      </w:tblPr>
      <w:tblGrid>
        <w:gridCol w:w="684"/>
        <w:gridCol w:w="10191"/>
      </w:tblGrid>
      <w:tr w:rsidR="00013EB8" w:rsidTr="00140D9F">
        <w:trPr>
          <w:trHeight w:val="4455"/>
        </w:trPr>
        <w:tc>
          <w:tcPr>
            <w:tcW w:w="684" w:type="dxa"/>
            <w:tcBorders>
              <w:top w:val="nil"/>
              <w:left w:val="nil"/>
              <w:bottom w:val="nil"/>
              <w:right w:val="nil"/>
            </w:tcBorders>
          </w:tcPr>
          <w:p w:rsidR="00013EB8" w:rsidRDefault="00013EB8">
            <w:pPr>
              <w:widowControl w:val="0"/>
              <w:rPr>
                <w:b/>
              </w:rPr>
            </w:pPr>
            <w:r w:rsidRPr="00453DE5">
              <w:rPr>
                <w:b/>
              </w:rPr>
              <w:t>4.2</w:t>
            </w:r>
          </w:p>
        </w:tc>
        <w:tc>
          <w:tcPr>
            <w:tcW w:w="10191" w:type="dxa"/>
            <w:tcBorders>
              <w:top w:val="nil"/>
              <w:left w:val="nil"/>
              <w:bottom w:val="nil"/>
              <w:right w:val="nil"/>
            </w:tcBorders>
          </w:tcPr>
          <w:p w:rsidR="00013EB8" w:rsidRDefault="00013EB8">
            <w:pPr>
              <w:widowControl w:val="0"/>
              <w:spacing w:after="120"/>
            </w:pPr>
            <w:r>
              <w:rPr>
                <w:b/>
              </w:rPr>
              <w:t xml:space="preserve">Interpretation of examination reports </w:t>
            </w:r>
            <w:r>
              <w:t>–</w:t>
            </w:r>
            <w:r w:rsidR="009C7DC7">
              <w:t xml:space="preserve"> </w:t>
            </w:r>
            <w:r w:rsidR="009C7DC7" w:rsidRPr="009C7DC7">
              <w:rPr>
                <w:b/>
              </w:rPr>
              <w:t xml:space="preserve">4.1, 4.10, 4.40, 4.45, 4.70 </w:t>
            </w:r>
            <w:r w:rsidR="009C7DC7">
              <w:t>-</w:t>
            </w:r>
            <w:r>
              <w:t xml:space="preserve"> interpret exams “in the light of the whole recorded history</w:t>
            </w:r>
            <w:r w:rsidR="001946CC">
              <w:t>,”</w:t>
            </w:r>
            <w:r>
              <w:t xml:space="preserve"> “each disability must be considered from the point of view of the veteran working or seeking work</w:t>
            </w:r>
            <w:r w:rsidR="001946CC">
              <w:t>,”</w:t>
            </w:r>
            <w:r>
              <w:t xml:space="preserve"> return as inadequate if dx is not supported or if detail is missing; </w:t>
            </w:r>
            <w:r>
              <w:rPr>
                <w:i/>
              </w:rPr>
              <w:t>pain is not a disability</w:t>
            </w:r>
          </w:p>
          <w:p w:rsidR="00013EB8" w:rsidRPr="000771E8" w:rsidRDefault="00013EB8" w:rsidP="00F063AF">
            <w:pPr>
              <w:widowControl w:val="0"/>
              <w:numPr>
                <w:ilvl w:val="0"/>
                <w:numId w:val="91"/>
              </w:numPr>
              <w:tabs>
                <w:tab w:val="clear" w:pos="720"/>
                <w:tab w:val="num" w:pos="361"/>
              </w:tabs>
              <w:spacing w:after="120"/>
              <w:ind w:left="361"/>
              <w:rPr>
                <w:b/>
              </w:rPr>
            </w:pPr>
            <w:r w:rsidRPr="000771E8">
              <w:rPr>
                <w:b/>
              </w:rPr>
              <w:t>III.iv.3.A</w:t>
            </w:r>
          </w:p>
          <w:p w:rsidR="00013EB8" w:rsidRPr="00ED7CB0" w:rsidRDefault="00ED7CB0" w:rsidP="00F063AF">
            <w:pPr>
              <w:widowControl w:val="0"/>
              <w:numPr>
                <w:ilvl w:val="0"/>
                <w:numId w:val="91"/>
              </w:numPr>
              <w:tabs>
                <w:tab w:val="clear" w:pos="720"/>
                <w:tab w:val="num" w:pos="361"/>
              </w:tabs>
              <w:spacing w:after="120"/>
              <w:ind w:left="361"/>
            </w:pPr>
            <w:r>
              <w:rPr>
                <w:b/>
              </w:rPr>
              <w:t>III.iv.5</w:t>
            </w:r>
          </w:p>
        </w:tc>
      </w:tr>
      <w:tr w:rsidR="00013EB8">
        <w:trPr>
          <w:trHeight w:val="270"/>
        </w:trPr>
        <w:tc>
          <w:tcPr>
            <w:tcW w:w="684" w:type="dxa"/>
            <w:tcBorders>
              <w:top w:val="nil"/>
              <w:left w:val="nil"/>
              <w:bottom w:val="nil"/>
              <w:right w:val="nil"/>
            </w:tcBorders>
          </w:tcPr>
          <w:p w:rsidR="00013EB8" w:rsidRDefault="009C7DC7">
            <w:pPr>
              <w:widowControl w:val="0"/>
              <w:numPr>
                <w:ilvl w:val="12"/>
                <w:numId w:val="0"/>
              </w:numPr>
              <w:rPr>
                <w:b/>
              </w:rPr>
            </w:pPr>
            <w:r>
              <w:rPr>
                <w:b/>
              </w:rPr>
              <w:t>4.6</w:t>
            </w:r>
          </w:p>
        </w:tc>
        <w:tc>
          <w:tcPr>
            <w:tcW w:w="10191" w:type="dxa"/>
            <w:tcBorders>
              <w:top w:val="nil"/>
              <w:left w:val="nil"/>
              <w:bottom w:val="nil"/>
              <w:right w:val="nil"/>
            </w:tcBorders>
          </w:tcPr>
          <w:p w:rsidR="00013EB8" w:rsidRDefault="00013EB8" w:rsidP="00CA2272">
            <w:pPr>
              <w:widowControl w:val="0"/>
              <w:numPr>
                <w:ilvl w:val="12"/>
                <w:numId w:val="0"/>
              </w:numPr>
              <w:spacing w:after="120"/>
            </w:pPr>
            <w:r>
              <w:rPr>
                <w:b/>
              </w:rPr>
              <w:t xml:space="preserve">Evaluation of evidence </w:t>
            </w:r>
            <w:r>
              <w:t>– weigh all evidence</w:t>
            </w:r>
            <w:r w:rsidR="00B51A3A">
              <w:t xml:space="preserve"> (</w:t>
            </w:r>
            <w:r w:rsidR="00B51A3A" w:rsidRPr="00A3242A">
              <w:rPr>
                <w:b/>
              </w:rPr>
              <w:t>C-C-W</w:t>
            </w:r>
            <w:r w:rsidR="00B51A3A">
              <w:t xml:space="preserve"> =</w:t>
            </w:r>
            <w:r w:rsidR="00A3242A">
              <w:t xml:space="preserve"> </w:t>
            </w:r>
            <w:r w:rsidR="00A3242A" w:rsidRPr="00A3242A">
              <w:rPr>
                <w:b/>
              </w:rPr>
              <w:t>C</w:t>
            </w:r>
            <w:r w:rsidR="00B51A3A">
              <w:t>ompetency</w:t>
            </w:r>
            <w:r w:rsidR="00A3242A">
              <w:t xml:space="preserve"> [qualifications], </w:t>
            </w:r>
            <w:r w:rsidR="00A3242A" w:rsidRPr="00A3242A">
              <w:rPr>
                <w:b/>
              </w:rPr>
              <w:t>C</w:t>
            </w:r>
            <w:r w:rsidR="00B51A3A">
              <w:t>redibility</w:t>
            </w:r>
            <w:r w:rsidR="00A3242A">
              <w:t xml:space="preserve"> [worthiness of belief/plausibility]</w:t>
            </w:r>
            <w:r w:rsidR="00B51A3A">
              <w:t xml:space="preserve">, </w:t>
            </w:r>
            <w:r w:rsidR="00A3242A" w:rsidRPr="00A3242A">
              <w:rPr>
                <w:b/>
              </w:rPr>
              <w:t>W</w:t>
            </w:r>
            <w:r w:rsidR="00B51A3A">
              <w:t>eight</w:t>
            </w:r>
            <w:r w:rsidR="00A3242A">
              <w:t xml:space="preserve"> [effect/persuasiveness of evidence inducing belief] -</w:t>
            </w:r>
            <w:r w:rsidR="00B51A3A">
              <w:t xml:space="preserve"> must do </w:t>
            </w:r>
            <w:r w:rsidR="00B51A3A" w:rsidRPr="00A3242A">
              <w:rPr>
                <w:b/>
              </w:rPr>
              <w:t>all 3 steps</w:t>
            </w:r>
            <w:r w:rsidR="00B51A3A">
              <w:t>; if the evidence is not competent, then it has no probative value</w:t>
            </w:r>
            <w:r w:rsidR="00BD05CC">
              <w:t xml:space="preserve"> and do not need to determine if credible;</w:t>
            </w:r>
            <w:r w:rsidR="00B51A3A">
              <w:t xml:space="preserve"> but if competent, then credibility must be specifically addressed and findings made</w:t>
            </w:r>
            <w:r w:rsidR="00BD05CC">
              <w:t xml:space="preserve"> [determine if credible (believable/plausible) &amp; then determine probative value/weight (relevance/persuasiveness); if more credible, then more probative]</w:t>
            </w:r>
            <w:r w:rsidR="00B51A3A">
              <w:t>)</w:t>
            </w:r>
          </w:p>
          <w:p w:rsidR="005643CD" w:rsidRDefault="005643CD" w:rsidP="00717F35">
            <w:pPr>
              <w:widowControl w:val="0"/>
              <w:numPr>
                <w:ilvl w:val="12"/>
                <w:numId w:val="0"/>
              </w:numPr>
              <w:spacing w:after="120"/>
              <w:rPr>
                <w:i/>
              </w:rPr>
            </w:pPr>
            <w:r>
              <w:rPr>
                <w:b/>
              </w:rPr>
              <w:t>4.13 - Effect of change of diagnosis</w:t>
            </w:r>
            <w:r>
              <w:t xml:space="preserve"> – only increase or decrease based on “actual change in the conditions</w:t>
            </w:r>
            <w:r w:rsidR="001946CC">
              <w:t>,”</w:t>
            </w:r>
            <w:r>
              <w:t xml:space="preserve"> “not merely a difference in thoroughness of the exam or in use of descriptive terms”; </w:t>
            </w:r>
            <w:r>
              <w:rPr>
                <w:i/>
              </w:rPr>
              <w:t xml:space="preserve">check if progression of that disease or independent entity (i.e. undiagnosed illness manifested by diarrhea </w:t>
            </w:r>
            <w:r w:rsidR="000771E8">
              <w:rPr>
                <w:i/>
              </w:rPr>
              <w:t>changed to lactose intolerance</w:t>
            </w:r>
            <w:r w:rsidR="00BA7538">
              <w:rPr>
                <w:i/>
              </w:rPr>
              <w:t>)</w:t>
            </w:r>
          </w:p>
          <w:p w:rsidR="00717F35" w:rsidRPr="00717F35" w:rsidRDefault="00717F35" w:rsidP="000771E8">
            <w:pPr>
              <w:widowControl w:val="0"/>
              <w:numPr>
                <w:ilvl w:val="12"/>
                <w:numId w:val="0"/>
              </w:numPr>
              <w:tabs>
                <w:tab w:val="left" w:pos="0"/>
              </w:tabs>
              <w:spacing w:after="120"/>
              <w:rPr>
                <w:b/>
              </w:rPr>
            </w:pPr>
            <w:r w:rsidRPr="00717F35">
              <w:rPr>
                <w:b/>
              </w:rPr>
              <w:t>III.iv.5.B.1.e</w:t>
            </w:r>
          </w:p>
        </w:tc>
      </w:tr>
    </w:tbl>
    <w:p w:rsidR="003C7828" w:rsidRDefault="003C7828">
      <w:pPr>
        <w:widowControl w:val="0"/>
      </w:pPr>
    </w:p>
    <w:p w:rsidR="0014604E" w:rsidRDefault="00013EB8" w:rsidP="0014604E">
      <w:pPr>
        <w:widowControl w:val="0"/>
        <w:pBdr>
          <w:top w:val="single" w:sz="4" w:space="1" w:color="auto"/>
          <w:left w:val="single" w:sz="4" w:space="4" w:color="auto"/>
          <w:bottom w:val="single" w:sz="4" w:space="1" w:color="auto"/>
          <w:right w:val="single" w:sz="4" w:space="4" w:color="auto"/>
        </w:pBdr>
        <w:rPr>
          <w:sz w:val="22"/>
          <w:szCs w:val="22"/>
        </w:rPr>
      </w:pPr>
      <w:r w:rsidRPr="0014604E">
        <w:rPr>
          <w:i/>
          <w:sz w:val="22"/>
          <w:szCs w:val="22"/>
        </w:rPr>
        <w:t>ftr</w:t>
      </w:r>
      <w:r w:rsidRPr="0014604E">
        <w:rPr>
          <w:sz w:val="22"/>
          <w:szCs w:val="22"/>
        </w:rPr>
        <w:t>:</w:t>
      </w:r>
    </w:p>
    <w:p w:rsidR="009D6313" w:rsidRPr="0014604E" w:rsidRDefault="009D6313" w:rsidP="0014604E">
      <w:pPr>
        <w:widowControl w:val="0"/>
        <w:pBdr>
          <w:top w:val="single" w:sz="4" w:space="1" w:color="auto"/>
          <w:left w:val="single" w:sz="4" w:space="4" w:color="auto"/>
          <w:bottom w:val="single" w:sz="4" w:space="1" w:color="auto"/>
          <w:right w:val="single" w:sz="4" w:space="4" w:color="auto"/>
        </w:pBdr>
        <w:rPr>
          <w:sz w:val="22"/>
          <w:szCs w:val="22"/>
        </w:rPr>
      </w:pPr>
    </w:p>
    <w:p w:rsidR="00013EB8" w:rsidRDefault="0014604E" w:rsidP="0014604E">
      <w:pPr>
        <w:widowControl w:val="0"/>
        <w:pBdr>
          <w:top w:val="single" w:sz="4" w:space="1" w:color="auto"/>
          <w:left w:val="single" w:sz="4" w:space="4" w:color="auto"/>
          <w:bottom w:val="single" w:sz="4" w:space="1" w:color="auto"/>
          <w:right w:val="single" w:sz="4" w:space="4" w:color="auto"/>
        </w:pBdr>
        <w:rPr>
          <w:sz w:val="22"/>
          <w:szCs w:val="22"/>
        </w:rPr>
      </w:pPr>
      <w:r w:rsidRPr="0014604E">
        <w:rPr>
          <w:sz w:val="22"/>
          <w:szCs w:val="22"/>
        </w:rPr>
        <w:t xml:space="preserve">VA Examination Report of No Show </w:t>
      </w:r>
      <w:r w:rsidRPr="006B2A5A">
        <w:rPr>
          <w:sz w:val="22"/>
          <w:szCs w:val="22"/>
          <w:highlight w:val="cyan"/>
        </w:rPr>
        <w:t>for examination scheduled for</w:t>
      </w:r>
      <w:r w:rsidRPr="0014604E">
        <w:rPr>
          <w:sz w:val="22"/>
          <w:szCs w:val="22"/>
        </w:rPr>
        <w:t xml:space="preserve"> </w:t>
      </w:r>
      <w:r w:rsidR="00A46221">
        <w:rPr>
          <w:sz w:val="22"/>
          <w:szCs w:val="22"/>
        </w:rPr>
        <w:t>{}</w:t>
      </w:r>
    </w:p>
    <w:p w:rsidR="008D63D0" w:rsidRDefault="008D63D0" w:rsidP="0014604E">
      <w:pPr>
        <w:widowControl w:val="0"/>
        <w:pBdr>
          <w:top w:val="single" w:sz="4" w:space="1" w:color="auto"/>
          <w:left w:val="single" w:sz="4" w:space="4" w:color="auto"/>
          <w:bottom w:val="single" w:sz="4" w:space="1" w:color="auto"/>
          <w:right w:val="single" w:sz="4" w:space="4" w:color="auto"/>
        </w:pBdr>
        <w:rPr>
          <w:sz w:val="22"/>
          <w:szCs w:val="22"/>
        </w:rPr>
      </w:pPr>
    </w:p>
    <w:p w:rsidR="00B45D63" w:rsidRDefault="00B45D63" w:rsidP="00B45D63">
      <w:pPr>
        <w:widowControl w:val="0"/>
        <w:pBdr>
          <w:top w:val="single" w:sz="4" w:space="1" w:color="auto"/>
          <w:left w:val="single" w:sz="4" w:space="4" w:color="auto"/>
          <w:bottom w:val="single" w:sz="4" w:space="1" w:color="auto"/>
          <w:right w:val="single" w:sz="4" w:space="4" w:color="auto"/>
        </w:pBdr>
        <w:rPr>
          <w:color w:val="000000"/>
          <w:sz w:val="22"/>
          <w:szCs w:val="22"/>
        </w:rPr>
      </w:pPr>
      <w:r w:rsidRPr="00B45D63">
        <w:rPr>
          <w:color w:val="000000"/>
          <w:sz w:val="22"/>
          <w:szCs w:val="22"/>
        </w:rPr>
        <w:t>VA Examination Report of unavailability for examination</w:t>
      </w:r>
      <w:r w:rsidR="007758E4">
        <w:rPr>
          <w:sz w:val="22"/>
          <w:szCs w:val="22"/>
        </w:rPr>
        <w:t>, received {}</w:t>
      </w:r>
    </w:p>
    <w:p w:rsidR="00B45D63" w:rsidRPr="00B45D63" w:rsidRDefault="00B45D63" w:rsidP="00B45D63">
      <w:pPr>
        <w:widowControl w:val="0"/>
        <w:pBdr>
          <w:top w:val="single" w:sz="4" w:space="1" w:color="auto"/>
          <w:left w:val="single" w:sz="4" w:space="4" w:color="auto"/>
          <w:bottom w:val="single" w:sz="4" w:space="1" w:color="auto"/>
          <w:right w:val="single" w:sz="4" w:space="4" w:color="auto"/>
        </w:pBdr>
        <w:rPr>
          <w:i/>
          <w:color w:val="000000"/>
          <w:szCs w:val="22"/>
        </w:rPr>
      </w:pPr>
      <w:r w:rsidRPr="00B45D63">
        <w:rPr>
          <w:i/>
          <w:color w:val="000000"/>
          <w:szCs w:val="22"/>
        </w:rPr>
        <w:t xml:space="preserve">*see </w:t>
      </w:r>
      <w:r>
        <w:rPr>
          <w:rFonts w:ascii="Verdana" w:hAnsi="Verdana"/>
          <w:b/>
          <w:bCs/>
          <w:highlight w:val="green"/>
        </w:rPr>
        <w:t>FTR</w:t>
      </w:r>
      <w:r w:rsidRPr="00B45D63">
        <w:rPr>
          <w:i/>
          <w:color w:val="000000"/>
          <w:szCs w:val="22"/>
        </w:rPr>
        <w:t xml:space="preserve"> for verbiage for Reasons for Decision</w:t>
      </w:r>
    </w:p>
    <w:p w:rsidR="00B45D63" w:rsidRDefault="00B45D63" w:rsidP="0014604E">
      <w:pPr>
        <w:widowControl w:val="0"/>
        <w:pBdr>
          <w:top w:val="single" w:sz="4" w:space="1" w:color="auto"/>
          <w:left w:val="single" w:sz="4" w:space="4" w:color="auto"/>
          <w:bottom w:val="single" w:sz="4" w:space="1" w:color="auto"/>
          <w:right w:val="single" w:sz="4" w:space="4" w:color="auto"/>
        </w:pBdr>
        <w:rPr>
          <w:sz w:val="22"/>
          <w:szCs w:val="22"/>
        </w:rPr>
      </w:pPr>
    </w:p>
    <w:p w:rsidR="008D63D0" w:rsidRPr="008D63D0" w:rsidRDefault="008D63D0" w:rsidP="0014604E">
      <w:pPr>
        <w:widowControl w:val="0"/>
        <w:pBdr>
          <w:top w:val="single" w:sz="4" w:space="1" w:color="auto"/>
          <w:left w:val="single" w:sz="4" w:space="4" w:color="auto"/>
          <w:bottom w:val="single" w:sz="4" w:space="1" w:color="auto"/>
          <w:right w:val="single" w:sz="4" w:space="4" w:color="auto"/>
        </w:pBdr>
        <w:rPr>
          <w:i/>
          <w:sz w:val="22"/>
          <w:szCs w:val="22"/>
        </w:rPr>
      </w:pPr>
      <w:r>
        <w:rPr>
          <w:i/>
          <w:sz w:val="22"/>
          <w:szCs w:val="22"/>
        </w:rPr>
        <w:t>i</w:t>
      </w:r>
      <w:r w:rsidRPr="008D63D0">
        <w:rPr>
          <w:i/>
          <w:sz w:val="22"/>
          <w:szCs w:val="22"/>
        </w:rPr>
        <w:t>f cancelled</w:t>
      </w:r>
      <w:r>
        <w:rPr>
          <w:i/>
          <w:sz w:val="22"/>
          <w:szCs w:val="22"/>
        </w:rPr>
        <w:t xml:space="preserve"> by veteran</w:t>
      </w:r>
      <w:r w:rsidRPr="008D63D0">
        <w:rPr>
          <w:i/>
          <w:sz w:val="22"/>
          <w:szCs w:val="22"/>
        </w:rPr>
        <w:t>:</w:t>
      </w:r>
    </w:p>
    <w:p w:rsidR="008D63D0" w:rsidRDefault="008D63D0" w:rsidP="0014604E">
      <w:pPr>
        <w:widowControl w:val="0"/>
        <w:pBdr>
          <w:top w:val="single" w:sz="4" w:space="1" w:color="auto"/>
          <w:left w:val="single" w:sz="4" w:space="4" w:color="auto"/>
          <w:bottom w:val="single" w:sz="4" w:space="1" w:color="auto"/>
          <w:right w:val="single" w:sz="4" w:space="4" w:color="auto"/>
        </w:pBdr>
        <w:rPr>
          <w:sz w:val="22"/>
          <w:szCs w:val="22"/>
        </w:rPr>
      </w:pPr>
      <w:r w:rsidRPr="008D63D0">
        <w:rPr>
          <w:sz w:val="22"/>
          <w:szCs w:val="22"/>
        </w:rPr>
        <w:t>VA Examin</w:t>
      </w:r>
      <w:r w:rsidR="00D40933">
        <w:rPr>
          <w:sz w:val="22"/>
          <w:szCs w:val="22"/>
        </w:rPr>
        <w:t>ation Report of cancellation of</w:t>
      </w:r>
      <w:r w:rsidR="007758E4">
        <w:rPr>
          <w:sz w:val="22"/>
          <w:szCs w:val="22"/>
        </w:rPr>
        <w:t xml:space="preserve"> examination scheduled </w:t>
      </w:r>
      <w:r w:rsidRPr="008D63D0">
        <w:rPr>
          <w:sz w:val="22"/>
          <w:szCs w:val="22"/>
        </w:rPr>
        <w:t xml:space="preserve">for </w:t>
      </w:r>
      <w:r w:rsidR="00A46221">
        <w:rPr>
          <w:sz w:val="22"/>
          <w:szCs w:val="22"/>
        </w:rPr>
        <w:t>{}</w:t>
      </w:r>
    </w:p>
    <w:p w:rsidR="007758E4" w:rsidRDefault="007758E4" w:rsidP="007758E4">
      <w:pPr>
        <w:widowControl w:val="0"/>
        <w:pBdr>
          <w:top w:val="single" w:sz="4" w:space="1" w:color="auto"/>
          <w:left w:val="single" w:sz="4" w:space="4" w:color="auto"/>
          <w:bottom w:val="single" w:sz="4" w:space="1" w:color="auto"/>
          <w:right w:val="single" w:sz="4" w:space="4" w:color="auto"/>
        </w:pBdr>
        <w:rPr>
          <w:sz w:val="22"/>
          <w:szCs w:val="22"/>
        </w:rPr>
      </w:pPr>
      <w:r w:rsidRPr="008D63D0">
        <w:rPr>
          <w:sz w:val="22"/>
          <w:szCs w:val="22"/>
        </w:rPr>
        <w:t>VA Examin</w:t>
      </w:r>
      <w:r>
        <w:rPr>
          <w:sz w:val="22"/>
          <w:szCs w:val="22"/>
        </w:rPr>
        <w:t>ation Report of cancellation of</w:t>
      </w:r>
      <w:r w:rsidRPr="008D63D0">
        <w:rPr>
          <w:sz w:val="22"/>
          <w:szCs w:val="22"/>
        </w:rPr>
        <w:t xml:space="preserve"> examination rescheduled for </w:t>
      </w:r>
      <w:r>
        <w:rPr>
          <w:sz w:val="22"/>
          <w:szCs w:val="22"/>
        </w:rPr>
        <w:t>{}</w:t>
      </w:r>
      <w:r w:rsidRPr="008D63D0">
        <w:rPr>
          <w:sz w:val="22"/>
          <w:szCs w:val="22"/>
        </w:rPr>
        <w:t xml:space="preserve"> (which was initially scheduled for </w:t>
      </w:r>
      <w:r>
        <w:rPr>
          <w:sz w:val="22"/>
          <w:szCs w:val="22"/>
        </w:rPr>
        <w:t>{}</w:t>
      </w:r>
      <w:r w:rsidRPr="008D63D0">
        <w:rPr>
          <w:sz w:val="22"/>
          <w:szCs w:val="22"/>
        </w:rPr>
        <w:t>)</w:t>
      </w:r>
    </w:p>
    <w:p w:rsidR="00D42FA7" w:rsidRPr="007426BD" w:rsidRDefault="00D42FA7" w:rsidP="00BC080B">
      <w:pPr>
        <w:widowControl w:val="0"/>
        <w:pBdr>
          <w:top w:val="single" w:sz="4" w:space="1" w:color="auto"/>
          <w:left w:val="single" w:sz="4" w:space="4" w:color="auto"/>
          <w:bottom w:val="single" w:sz="4" w:space="1" w:color="auto"/>
          <w:right w:val="single" w:sz="4" w:space="4" w:color="auto"/>
        </w:pBdr>
      </w:pPr>
      <w:r w:rsidRPr="00D42FA7">
        <w:rPr>
          <w:b/>
        </w:rPr>
        <w:t>III.iv.3.C.1.b</w:t>
      </w:r>
      <w:r w:rsidRPr="00D42FA7">
        <w:t xml:space="preserve"> changed 12/19/17 to say - </w:t>
      </w:r>
      <w:r w:rsidRPr="00D42FA7">
        <w:rPr>
          <w:rStyle w:val="Emphasis"/>
          <w:b/>
          <w:bCs/>
        </w:rPr>
        <w:t>Note</w:t>
      </w:r>
      <w:r w:rsidRPr="00D42FA7">
        <w:t xml:space="preserve">:  If the rating activity determines that a necessary examination was canceled without a </w:t>
      </w:r>
      <w:r w:rsidRPr="00D42FA7">
        <w:rPr>
          <w:rStyle w:val="Emphasis"/>
        </w:rPr>
        <w:t>valid</w:t>
      </w:r>
      <w:r w:rsidRPr="00D42FA7">
        <w:t xml:space="preserve"> reason, it must submit a new examination request to the examining facility and specify why the previous cancellation was inappropriate.</w:t>
      </w:r>
    </w:p>
    <w:p w:rsidR="00BC080B" w:rsidRDefault="00BC080B" w:rsidP="00BC080B">
      <w:pPr>
        <w:widowControl w:val="0"/>
        <w:pBdr>
          <w:top w:val="single" w:sz="4" w:space="1" w:color="auto"/>
          <w:left w:val="single" w:sz="4" w:space="4" w:color="auto"/>
          <w:bottom w:val="single" w:sz="4" w:space="1" w:color="auto"/>
          <w:right w:val="single" w:sz="4" w:space="4" w:color="auto"/>
        </w:pBdr>
        <w:rPr>
          <w:rFonts w:ascii="Verdana" w:hAnsi="Verdana"/>
          <w:b/>
          <w:bCs/>
        </w:rPr>
      </w:pPr>
      <w:r w:rsidRPr="00BC080B">
        <w:rPr>
          <w:i/>
          <w:sz w:val="21"/>
          <w:szCs w:val="21"/>
        </w:rPr>
        <w:t>*might use</w:t>
      </w:r>
      <w:r>
        <w:rPr>
          <w:bCs/>
        </w:rPr>
        <w:t xml:space="preserve"> </w:t>
      </w:r>
      <w:r w:rsidRPr="00D11117">
        <w:rPr>
          <w:rFonts w:ascii="Verdana" w:hAnsi="Verdana"/>
          <w:b/>
          <w:bCs/>
          <w:highlight w:val="green"/>
        </w:rPr>
        <w:t>VE</w:t>
      </w:r>
      <w:r>
        <w:rPr>
          <w:rFonts w:ascii="Verdana" w:hAnsi="Verdana"/>
          <w:b/>
          <w:bCs/>
          <w:highlight w:val="green"/>
        </w:rPr>
        <w:t>1</w:t>
      </w:r>
      <w:r>
        <w:rPr>
          <w:rFonts w:ascii="Verdana" w:hAnsi="Verdana"/>
          <w:b/>
          <w:bCs/>
        </w:rPr>
        <w:t xml:space="preserve"> </w:t>
      </w:r>
      <w:r w:rsidRPr="00BC080B">
        <w:rPr>
          <w:i/>
          <w:sz w:val="21"/>
          <w:szCs w:val="21"/>
        </w:rPr>
        <w:t>instead of</w:t>
      </w:r>
      <w:r>
        <w:rPr>
          <w:sz w:val="21"/>
          <w:szCs w:val="21"/>
        </w:rPr>
        <w:t xml:space="preserve"> </w:t>
      </w:r>
      <w:r>
        <w:rPr>
          <w:rFonts w:ascii="Verdana" w:hAnsi="Verdana"/>
          <w:b/>
          <w:bCs/>
          <w:highlight w:val="green"/>
        </w:rPr>
        <w:t>FTR</w:t>
      </w:r>
      <w:r>
        <w:rPr>
          <w:rFonts w:ascii="Verdana" w:hAnsi="Verdana"/>
          <w:b/>
          <w:bCs/>
        </w:rPr>
        <w:t xml:space="preserve"> </w:t>
      </w:r>
      <w:r w:rsidRPr="00B45D63">
        <w:rPr>
          <w:i/>
          <w:color w:val="000000"/>
          <w:szCs w:val="22"/>
        </w:rPr>
        <w:t>for verbiage for Reasons for Decision</w:t>
      </w:r>
      <w:r>
        <w:rPr>
          <w:i/>
          <w:color w:val="000000"/>
          <w:szCs w:val="22"/>
        </w:rPr>
        <w:t xml:space="preserve">, or the language on “if unavailable” under </w:t>
      </w:r>
      <w:r>
        <w:rPr>
          <w:rFonts w:ascii="Verdana" w:hAnsi="Verdana"/>
          <w:b/>
          <w:bCs/>
          <w:highlight w:val="green"/>
        </w:rPr>
        <w:t>FTR</w:t>
      </w:r>
    </w:p>
    <w:p w:rsidR="00BC080B" w:rsidRDefault="007426BD" w:rsidP="0014604E">
      <w:pPr>
        <w:widowControl w:val="0"/>
        <w:pBdr>
          <w:top w:val="single" w:sz="4" w:space="1" w:color="auto"/>
          <w:left w:val="single" w:sz="4" w:space="4" w:color="auto"/>
          <w:bottom w:val="single" w:sz="4" w:space="1" w:color="auto"/>
          <w:right w:val="single" w:sz="4" w:space="4" w:color="auto"/>
        </w:pBdr>
        <w:rPr>
          <w:sz w:val="22"/>
          <w:szCs w:val="22"/>
        </w:rPr>
      </w:pPr>
      <w:r w:rsidRPr="00C6720B">
        <w:rPr>
          <w:b/>
          <w:szCs w:val="22"/>
        </w:rPr>
        <w:t>III.iv.3.C.1.</w:t>
      </w:r>
      <w:r>
        <w:rPr>
          <w:b/>
        </w:rPr>
        <w:t>d</w:t>
      </w:r>
      <w:r>
        <w:t xml:space="preserve"> – procedure if cancelled because wants to submit DBQ from primary physician</w:t>
      </w:r>
    </w:p>
    <w:p w:rsidR="0006289D" w:rsidRDefault="0006289D" w:rsidP="0014604E">
      <w:pPr>
        <w:widowControl w:val="0"/>
        <w:pBdr>
          <w:top w:val="single" w:sz="4" w:space="1" w:color="auto"/>
          <w:left w:val="single" w:sz="4" w:space="4" w:color="auto"/>
          <w:bottom w:val="single" w:sz="4" w:space="1" w:color="auto"/>
          <w:right w:val="single" w:sz="4" w:space="4" w:color="auto"/>
        </w:pBdr>
        <w:rPr>
          <w:sz w:val="22"/>
          <w:szCs w:val="22"/>
        </w:rPr>
      </w:pPr>
    </w:p>
    <w:p w:rsidR="0006289D" w:rsidRPr="008D63D0" w:rsidRDefault="0006289D" w:rsidP="0014604E">
      <w:pPr>
        <w:widowControl w:val="0"/>
        <w:pBdr>
          <w:top w:val="single" w:sz="4" w:space="1" w:color="auto"/>
          <w:left w:val="single" w:sz="4" w:space="4" w:color="auto"/>
          <w:bottom w:val="single" w:sz="4" w:space="1" w:color="auto"/>
          <w:right w:val="single" w:sz="4" w:space="4" w:color="auto"/>
        </w:pBdr>
        <w:rPr>
          <w:sz w:val="22"/>
          <w:szCs w:val="22"/>
        </w:rPr>
      </w:pPr>
      <w:r>
        <w:rPr>
          <w:rFonts w:ascii="Verdana" w:hAnsi="Verdana"/>
          <w:b/>
          <w:bCs/>
          <w:highlight w:val="green"/>
        </w:rPr>
        <w:t>VBMS Document Category-Type:</w:t>
      </w:r>
      <w:r w:rsidRPr="0006289D">
        <w:rPr>
          <w:sz w:val="22"/>
          <w:szCs w:val="22"/>
        </w:rPr>
        <w:t xml:space="preserve"> </w:t>
      </w:r>
      <w:r w:rsidRPr="00905F3C">
        <w:rPr>
          <w:szCs w:val="22"/>
        </w:rPr>
        <w:t>Correspondence - Miscellaneous : Miscellaneous C&amp;P Correspondence</w:t>
      </w:r>
    </w:p>
    <w:p w:rsidR="00013EB8" w:rsidRDefault="00013EB8">
      <w:pPr>
        <w:widowControl w:val="0"/>
        <w:pBdr>
          <w:bottom w:val="single" w:sz="4" w:space="1" w:color="auto"/>
        </w:pBdr>
        <w:rPr>
          <w:b/>
          <w:bCs/>
          <w:i/>
          <w:sz w:val="22"/>
        </w:rPr>
      </w:pPr>
    </w:p>
    <w:p w:rsidR="00013EB8" w:rsidRDefault="00013EB8" w:rsidP="00B77F5D">
      <w:pPr>
        <w:widowControl w:val="0"/>
        <w:pBdr>
          <w:top w:val="double" w:sz="4" w:space="1" w:color="auto"/>
        </w:pBdr>
        <w:rPr>
          <w:b/>
          <w:bCs/>
          <w:i/>
          <w:sz w:val="22"/>
        </w:rPr>
      </w:pPr>
    </w:p>
    <w:p w:rsidR="00A67806" w:rsidRDefault="00A67806" w:rsidP="00A67806">
      <w:pPr>
        <w:widowControl w:val="0"/>
        <w:rPr>
          <w:b/>
          <w:bCs/>
          <w:i/>
          <w:sz w:val="22"/>
        </w:rPr>
      </w:pPr>
      <w:bookmarkStart w:id="180" w:name="CommonDeferredWording"/>
      <w:bookmarkStart w:id="181" w:name="ExamRequestInfo"/>
      <w:r>
        <w:rPr>
          <w:b/>
          <w:bCs/>
          <w:i/>
          <w:sz w:val="22"/>
        </w:rPr>
        <w:t>DEFERRAL &amp; EXAM REQUEST INFORMATION –</w:t>
      </w:r>
      <w:bookmarkEnd w:id="180"/>
    </w:p>
    <w:p w:rsidR="00A67806" w:rsidRPr="00A67806" w:rsidRDefault="00A67806" w:rsidP="00A67806">
      <w:pPr>
        <w:widowControl w:val="0"/>
        <w:rPr>
          <w:b/>
          <w:bCs/>
          <w:i/>
          <w:sz w:val="22"/>
        </w:rPr>
      </w:pPr>
    </w:p>
    <w:p w:rsidR="00A67806" w:rsidRPr="005F5D1E" w:rsidRDefault="00A67806" w:rsidP="00C22006">
      <w:pPr>
        <w:pBdr>
          <w:top w:val="double" w:sz="4" w:space="1" w:color="auto"/>
          <w:left w:val="double" w:sz="4" w:space="4" w:color="auto"/>
          <w:bottom w:val="double" w:sz="4" w:space="1" w:color="auto"/>
          <w:right w:val="double" w:sz="4" w:space="4" w:color="auto"/>
        </w:pBdr>
        <w:shd w:val="clear" w:color="auto" w:fill="FFC000"/>
        <w:rPr>
          <w:rFonts w:eastAsiaTheme="minorHAnsi"/>
        </w:rPr>
      </w:pPr>
      <w:r>
        <w:rPr>
          <w:rFonts w:eastAsiaTheme="minorHAnsi"/>
          <w:b/>
        </w:rPr>
        <w:t>DeferralsRefresher_18April2016 [PowerPoint</w:t>
      </w:r>
      <w:r w:rsidRPr="005F5D1E">
        <w:rPr>
          <w:rFonts w:eastAsiaTheme="minorHAnsi"/>
          <w:b/>
        </w:rPr>
        <w:t>]</w:t>
      </w:r>
      <w:r>
        <w:rPr>
          <w:rFonts w:eastAsiaTheme="minorHAnsi"/>
        </w:rPr>
        <w:t xml:space="preserve"> &amp; </w:t>
      </w:r>
      <w:r w:rsidRPr="00E23D35">
        <w:rPr>
          <w:rFonts w:eastAsiaTheme="minorHAnsi"/>
          <w:b/>
        </w:rPr>
        <w:t>Deferral Resources and Reminders</w:t>
      </w:r>
      <w:r w:rsidR="00261C68">
        <w:rPr>
          <w:rFonts w:eastAsiaTheme="minorHAnsi"/>
          <w:b/>
        </w:rPr>
        <w:t>.pdf</w:t>
      </w:r>
      <w:r w:rsidR="00261C68">
        <w:rPr>
          <w:rFonts w:eastAsiaTheme="minorHAnsi"/>
        </w:rPr>
        <w:t xml:space="preserve"> (with numerous links, including “Deferral for Exam-Related Action Job Aid”)</w:t>
      </w:r>
      <w:r>
        <w:rPr>
          <w:rFonts w:eastAsiaTheme="minorHAnsi"/>
        </w:rPr>
        <w:t xml:space="preserve"> are </w:t>
      </w:r>
      <w:r w:rsidRPr="0036376C">
        <w:t xml:space="preserve">saved at </w:t>
      </w:r>
      <w:r w:rsidRPr="005F5D1E">
        <w:rPr>
          <w:b/>
          <w:bCs/>
          <w:i/>
          <w:iCs/>
        </w:rPr>
        <w:t>H:\VSC\Rating Reference</w:t>
      </w:r>
    </w:p>
    <w:p w:rsidR="00A67806" w:rsidRDefault="00A67806" w:rsidP="00A67806">
      <w:pPr>
        <w:widowControl w:val="0"/>
        <w:rPr>
          <w:sz w:val="22"/>
        </w:rPr>
      </w:pPr>
    </w:p>
    <w:p w:rsidR="003C7A5D" w:rsidRPr="003C7A5D" w:rsidRDefault="003C7A5D" w:rsidP="00A67806">
      <w:pPr>
        <w:widowControl w:val="0"/>
        <w:rPr>
          <w:i/>
        </w:rPr>
      </w:pPr>
      <w:r w:rsidRPr="003C7A5D">
        <w:rPr>
          <w:i/>
        </w:rPr>
        <w:t>To have a deferral mitigated / mitigate a deferral – email your Coach &amp; they will email the QRT Coach</w:t>
      </w:r>
    </w:p>
    <w:p w:rsidR="003C7A5D" w:rsidRDefault="003C7A5D" w:rsidP="00A67806">
      <w:pPr>
        <w:widowControl w:val="0"/>
        <w:rPr>
          <w:sz w:val="22"/>
        </w:rPr>
      </w:pPr>
    </w:p>
    <w:p w:rsidR="00A67806" w:rsidRPr="00275AD3" w:rsidRDefault="00A67806" w:rsidP="00A67806">
      <w:pPr>
        <w:rPr>
          <w:b/>
          <w:bCs/>
          <w:color w:val="000000"/>
        </w:rPr>
      </w:pPr>
      <w:r w:rsidRPr="00275AD3">
        <w:rPr>
          <w:b/>
          <w:bCs/>
          <w:color w:val="000000"/>
        </w:rPr>
        <w:t xml:space="preserve">Job Aids </w:t>
      </w:r>
    </w:p>
    <w:p w:rsidR="00A67806" w:rsidRPr="00F06E60" w:rsidRDefault="00A67806" w:rsidP="00A67806">
      <w:pPr>
        <w:rPr>
          <w:rStyle w:val="Hyperlink"/>
          <w:u w:val="none"/>
        </w:rPr>
      </w:pPr>
      <w:r w:rsidRPr="00275AD3">
        <w:rPr>
          <w:color w:val="000000"/>
        </w:rPr>
        <w:br/>
      </w:r>
      <w:hyperlink r:id="rId759" w:history="1">
        <w:r w:rsidRPr="00275AD3">
          <w:rPr>
            <w:rStyle w:val="Hyperlink"/>
          </w:rPr>
          <w:t>Order of Operations for Completing Deferred Rating Decisions</w:t>
        </w:r>
      </w:hyperlink>
      <w:r w:rsidR="00F06E60">
        <w:rPr>
          <w:rStyle w:val="Hyperlink"/>
          <w:u w:val="none"/>
        </w:rPr>
        <w:t xml:space="preserve"> – </w:t>
      </w:r>
      <w:r w:rsidR="00F06E60" w:rsidRPr="00F06E60">
        <w:rPr>
          <w:rStyle w:val="Hyperlink"/>
          <w:color w:val="auto"/>
          <w:u w:val="none"/>
        </w:rPr>
        <w:t>link no longer works</w:t>
      </w:r>
      <w:r w:rsidR="00F06E60">
        <w:rPr>
          <w:rStyle w:val="Hyperlink"/>
          <w:color w:val="auto"/>
          <w:u w:val="none"/>
        </w:rPr>
        <w:t xml:space="preserve"> &amp; it’s not on the VBMS Job Aids page (</w:t>
      </w:r>
      <w:r w:rsidR="00F06E60" w:rsidRPr="00F06E60">
        <w:rPr>
          <w:rStyle w:val="Hyperlink"/>
          <w:i/>
          <w:color w:val="auto"/>
          <w:u w:val="none"/>
        </w:rPr>
        <w:t>https://vbaw.vba.va.gov/VBMS/Resources_Job_Aids.asp</w:t>
      </w:r>
      <w:r w:rsidR="00F06E60">
        <w:rPr>
          <w:rStyle w:val="Hyperlink"/>
          <w:color w:val="auto"/>
          <w:u w:val="none"/>
        </w:rPr>
        <w:t>)</w:t>
      </w:r>
      <w:r w:rsidR="00F06E60" w:rsidRPr="00F06E60">
        <w:rPr>
          <w:rStyle w:val="Hyperlink"/>
          <w:color w:val="auto"/>
          <w:u w:val="none"/>
        </w:rPr>
        <w:t xml:space="preserve">, so it’s now saved at </w:t>
      </w:r>
      <w:r w:rsidR="00F06E60" w:rsidRPr="005F5D1E">
        <w:rPr>
          <w:b/>
          <w:bCs/>
          <w:i/>
          <w:iCs/>
        </w:rPr>
        <w:t>H:\VSC\Rating Reference</w:t>
      </w:r>
    </w:p>
    <w:p w:rsidR="00E045F4" w:rsidRDefault="00D571C5" w:rsidP="00A67806">
      <w:pPr>
        <w:rPr>
          <w:rStyle w:val="Hyperlink"/>
        </w:rPr>
      </w:pPr>
      <w:hyperlink r:id="rId760" w:history="1">
        <w:r w:rsidR="00E045F4" w:rsidRPr="00E045F4">
          <w:rPr>
            <w:rStyle w:val="Hyperlink"/>
          </w:rPr>
          <w:t>Partial Rating with Deferral for Exam/Clarification Request</w:t>
        </w:r>
      </w:hyperlink>
    </w:p>
    <w:p w:rsidR="00BC6485" w:rsidRDefault="00BC6485" w:rsidP="00A67806">
      <w:pPr>
        <w:rPr>
          <w:rStyle w:val="Hyperlink"/>
        </w:rPr>
      </w:pPr>
    </w:p>
    <w:p w:rsidR="00BC6485" w:rsidRPr="00BC6485" w:rsidRDefault="00BC6485" w:rsidP="00BC6485">
      <w:pPr>
        <w:pBdr>
          <w:top w:val="single" w:sz="4" w:space="1" w:color="auto"/>
          <w:left w:val="single" w:sz="4" w:space="4" w:color="auto"/>
          <w:bottom w:val="single" w:sz="4" w:space="1" w:color="auto"/>
          <w:right w:val="single" w:sz="4" w:space="4" w:color="auto"/>
        </w:pBdr>
        <w:outlineLvl w:val="0"/>
      </w:pPr>
      <w:r w:rsidRPr="00BC6485">
        <w:rPr>
          <w:b/>
          <w:bCs/>
        </w:rPr>
        <w:t>From:</w:t>
      </w:r>
      <w:r w:rsidRPr="00BC6485">
        <w:t xml:space="preserve"> VAVBASDC/RO/VSC </w:t>
      </w:r>
      <w:r w:rsidRPr="00BC6485">
        <w:br/>
      </w:r>
      <w:r w:rsidRPr="00BC6485">
        <w:rPr>
          <w:b/>
          <w:bCs/>
        </w:rPr>
        <w:t>Sent:</w:t>
      </w:r>
      <w:r w:rsidRPr="00BC6485">
        <w:t xml:space="preserve"> Monday, April 10, 2017 8:26 AM</w:t>
      </w:r>
      <w:r w:rsidRPr="00BC6485">
        <w:br/>
      </w:r>
      <w:r w:rsidRPr="00BC6485">
        <w:rPr>
          <w:b/>
          <w:bCs/>
        </w:rPr>
        <w:t>Subject:</w:t>
      </w:r>
      <w:r w:rsidRPr="00BC6485">
        <w:t xml:space="preserve"> FW: Partial Ratings &amp; deferring new and existing SC conditions in VBMS-R Q-Tip (RVSRs/DROs/Post-VSRs) </w:t>
      </w:r>
    </w:p>
    <w:p w:rsidR="00BC6485" w:rsidRPr="00BC6485" w:rsidRDefault="00BC6485" w:rsidP="00BC6485">
      <w:pPr>
        <w:pBdr>
          <w:top w:val="single" w:sz="4" w:space="1" w:color="auto"/>
          <w:left w:val="single" w:sz="4" w:space="4" w:color="auto"/>
          <w:bottom w:val="single" w:sz="4" w:space="1" w:color="auto"/>
          <w:right w:val="single" w:sz="4" w:space="4" w:color="auto"/>
        </w:pBdr>
      </w:pPr>
    </w:p>
    <w:p w:rsidR="00BC6485" w:rsidRPr="00BC6485" w:rsidRDefault="00BC6485" w:rsidP="00BC6485">
      <w:pPr>
        <w:pBdr>
          <w:top w:val="single" w:sz="4" w:space="1" w:color="auto"/>
          <w:left w:val="single" w:sz="4" w:space="4" w:color="auto"/>
          <w:bottom w:val="single" w:sz="4" w:space="1" w:color="auto"/>
          <w:right w:val="single" w:sz="4" w:space="4" w:color="auto"/>
        </w:pBdr>
      </w:pPr>
      <w:r w:rsidRPr="00BC6485">
        <w:t xml:space="preserve">With the most recent update and change to VBMS-R, this Q-Tip is being sent to provide steps on how a rater will update VBMS-R to properly defer service connected conditions for examinations within VBMS-R.  Please see the attached guidance which outlines the correct procedures for deferring existing SC conditions, as well as for “at-once” </w:t>
      </w:r>
      <w:r w:rsidR="00CF59A7">
        <w:t xml:space="preserve">(At Once) </w:t>
      </w:r>
      <w:r w:rsidRPr="00BC6485">
        <w:t xml:space="preserve">examinations following an original SC grant.  </w:t>
      </w:r>
    </w:p>
    <w:p w:rsidR="00BC6485" w:rsidRPr="00BC6485" w:rsidRDefault="00BC6485" w:rsidP="00BC6485">
      <w:pPr>
        <w:pBdr>
          <w:top w:val="single" w:sz="4" w:space="1" w:color="auto"/>
          <w:left w:val="single" w:sz="4" w:space="4" w:color="auto"/>
          <w:bottom w:val="single" w:sz="4" w:space="1" w:color="auto"/>
          <w:right w:val="single" w:sz="4" w:space="4" w:color="auto"/>
        </w:pBdr>
        <w:rPr>
          <w:color w:val="1F497D"/>
        </w:rPr>
      </w:pPr>
    </w:p>
    <w:p w:rsidR="00BC6485" w:rsidRPr="00BC6485" w:rsidRDefault="00BC6485" w:rsidP="00BC6485">
      <w:pPr>
        <w:pBdr>
          <w:top w:val="single" w:sz="4" w:space="1" w:color="auto"/>
          <w:left w:val="single" w:sz="4" w:space="4" w:color="auto"/>
          <w:bottom w:val="single" w:sz="4" w:space="1" w:color="auto"/>
          <w:right w:val="single" w:sz="4" w:space="4" w:color="auto"/>
        </w:pBdr>
        <w:rPr>
          <w:color w:val="1F497D"/>
        </w:rPr>
      </w:pPr>
      <w:r w:rsidRPr="00BC6485">
        <w:t xml:space="preserve">For more information on when a partial rating is appropriate, please refer to M21-1 III.iv.6.A.1.b – When to make a partial rating:  </w:t>
      </w:r>
    </w:p>
    <w:p w:rsidR="00BC6485" w:rsidRPr="00BC6485" w:rsidRDefault="00BC6485" w:rsidP="00BC6485">
      <w:pPr>
        <w:pBdr>
          <w:top w:val="single" w:sz="4" w:space="1" w:color="auto"/>
          <w:left w:val="single" w:sz="4" w:space="4" w:color="auto"/>
          <w:bottom w:val="single" w:sz="4" w:space="1" w:color="auto"/>
          <w:right w:val="single" w:sz="4" w:space="4" w:color="auto"/>
        </w:pBdr>
      </w:pPr>
    </w:p>
    <w:p w:rsidR="00BC6485" w:rsidRPr="00BC6485" w:rsidRDefault="00BC6485" w:rsidP="00BC6485">
      <w:pPr>
        <w:pBdr>
          <w:top w:val="single" w:sz="4" w:space="1" w:color="auto"/>
          <w:left w:val="single" w:sz="4" w:space="4" w:color="auto"/>
          <w:bottom w:val="single" w:sz="4" w:space="1" w:color="auto"/>
          <w:right w:val="single" w:sz="4" w:space="4" w:color="auto"/>
        </w:pBdr>
      </w:pPr>
      <w:r w:rsidRPr="00BC6485">
        <w:rPr>
          <w:highlight w:val="yellow"/>
        </w:rPr>
        <w:t>**Note</w:t>
      </w:r>
      <w:r w:rsidRPr="00BC6485">
        <w:t>:  Additional actions in accordance with the NWQ guidance are still required to be completed in VBMS for the actual deferral.</w:t>
      </w:r>
    </w:p>
    <w:p w:rsidR="00BC6485" w:rsidRPr="00BC6485" w:rsidRDefault="00BC6485" w:rsidP="00BC6485">
      <w:pPr>
        <w:pBdr>
          <w:top w:val="single" w:sz="4" w:space="1" w:color="auto"/>
          <w:left w:val="single" w:sz="4" w:space="4" w:color="auto"/>
          <w:bottom w:val="single" w:sz="4" w:space="1" w:color="auto"/>
          <w:right w:val="single" w:sz="4" w:space="4" w:color="auto"/>
        </w:pBdr>
        <w:rPr>
          <w:color w:val="1F497D"/>
        </w:rPr>
      </w:pPr>
    </w:p>
    <w:p w:rsidR="00BC6485" w:rsidRPr="00BC6485" w:rsidRDefault="00BC6485" w:rsidP="00F063AF">
      <w:pPr>
        <w:numPr>
          <w:ilvl w:val="0"/>
          <w:numId w:val="363"/>
        </w:numPr>
        <w:pBdr>
          <w:top w:val="single" w:sz="4" w:space="1" w:color="auto"/>
          <w:left w:val="single" w:sz="4" w:space="4" w:color="auto"/>
          <w:bottom w:val="single" w:sz="4" w:space="1" w:color="auto"/>
          <w:right w:val="single" w:sz="4" w:space="4" w:color="auto"/>
        </w:pBdr>
        <w:overflowPunct/>
        <w:autoSpaceDE/>
        <w:autoSpaceDN/>
        <w:adjustRightInd/>
        <w:ind w:left="360"/>
        <w:textAlignment w:val="auto"/>
      </w:pPr>
      <w:r w:rsidRPr="00BC6485">
        <w:t>Note: RQRSs/AQRSs will also discuss this topic in upcoming team huddles.</w:t>
      </w:r>
    </w:p>
    <w:p w:rsidR="00BC6485" w:rsidRPr="00BC6485" w:rsidRDefault="00BC6485" w:rsidP="00BC6485">
      <w:pPr>
        <w:pBdr>
          <w:top w:val="single" w:sz="4" w:space="1" w:color="auto"/>
          <w:left w:val="single" w:sz="4" w:space="4" w:color="auto"/>
          <w:bottom w:val="single" w:sz="4" w:space="1" w:color="auto"/>
          <w:right w:val="single" w:sz="4" w:space="4" w:color="auto"/>
        </w:pBdr>
        <w:rPr>
          <w:rFonts w:eastAsiaTheme="minorHAnsi"/>
        </w:rPr>
      </w:pPr>
    </w:p>
    <w:p w:rsidR="00BC6485" w:rsidRDefault="00BC6485" w:rsidP="00BC6485">
      <w:pPr>
        <w:pBdr>
          <w:top w:val="single" w:sz="4" w:space="1" w:color="auto"/>
          <w:left w:val="single" w:sz="4" w:space="4" w:color="auto"/>
          <w:bottom w:val="single" w:sz="4" w:space="1" w:color="auto"/>
          <w:right w:val="single" w:sz="4" w:space="4" w:color="auto"/>
        </w:pBdr>
      </w:pPr>
      <w:r>
        <w:t>(see below)</w:t>
      </w:r>
    </w:p>
    <w:p w:rsidR="00BC6485" w:rsidRDefault="00BC6485" w:rsidP="00BC6485">
      <w:pPr>
        <w:rPr>
          <w:b/>
          <w:sz w:val="24"/>
          <w:u w:val="single"/>
        </w:rPr>
      </w:pPr>
    </w:p>
    <w:p w:rsidR="00BC6485" w:rsidRDefault="00BC6485" w:rsidP="00BC6485">
      <w:pPr>
        <w:rPr>
          <w:b/>
          <w:sz w:val="24"/>
          <w:u w:val="single"/>
        </w:rPr>
      </w:pPr>
      <w:r>
        <w:rPr>
          <w:b/>
          <w:sz w:val="24"/>
          <w:u w:val="single"/>
        </w:rPr>
        <w:t>Deferring conditions which are already SC:</w:t>
      </w:r>
    </w:p>
    <w:p w:rsidR="00BC6485" w:rsidRDefault="00BC6485" w:rsidP="00BC6485">
      <w:pPr>
        <w:rPr>
          <w:sz w:val="24"/>
        </w:rPr>
      </w:pPr>
    </w:p>
    <w:p w:rsidR="00BC6485" w:rsidRPr="00C92089" w:rsidRDefault="00BC6485" w:rsidP="00F063AF">
      <w:pPr>
        <w:pStyle w:val="ListParagraph"/>
        <w:numPr>
          <w:ilvl w:val="0"/>
          <w:numId w:val="364"/>
        </w:numPr>
        <w:spacing w:after="0" w:line="240" w:lineRule="auto"/>
        <w:rPr>
          <w:rFonts w:ascii="Arial" w:hAnsi="Arial"/>
          <w:sz w:val="20"/>
          <w:szCs w:val="20"/>
        </w:rPr>
      </w:pPr>
      <w:r w:rsidRPr="00C92089">
        <w:rPr>
          <w:rFonts w:ascii="Arial" w:hAnsi="Arial"/>
          <w:sz w:val="20"/>
          <w:szCs w:val="20"/>
        </w:rPr>
        <w:t>You will need to defer the evaluation under the “Diagnosis Information” chevron.  Using the dropdown arrow, the deferred evaluation option is located under the “supplementary decision” box (see below).  Be sure to save your changes.</w:t>
      </w:r>
      <w:r>
        <w:rPr>
          <w:rFonts w:ascii="Arial" w:hAnsi="Arial"/>
          <w:sz w:val="20"/>
          <w:szCs w:val="20"/>
        </w:rPr>
        <w:t xml:space="preserve"> </w:t>
      </w:r>
    </w:p>
    <w:p w:rsidR="00BC6485" w:rsidRDefault="00BC6485" w:rsidP="00BC6485">
      <w:pPr>
        <w:pStyle w:val="ListParagraph"/>
        <w:rPr>
          <w:rFonts w:ascii="Arial" w:hAnsi="Arial"/>
          <w:sz w:val="24"/>
        </w:rPr>
      </w:pPr>
      <w:r>
        <w:rPr>
          <w:noProof/>
        </w:rPr>
        <w:drawing>
          <wp:inline distT="0" distB="0" distL="0" distR="0" wp14:anchorId="29E4F2D4" wp14:editId="4F446E2E">
            <wp:extent cx="4800600" cy="485775"/>
            <wp:effectExtent l="0" t="0" r="0" b="9525"/>
            <wp:docPr id="24658" name="Picture 24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1">
                      <a:extLst>
                        <a:ext uri="{28A0092B-C50C-407E-A947-70E740481C1C}">
                          <a14:useLocalDpi xmlns:a14="http://schemas.microsoft.com/office/drawing/2010/main" val="0"/>
                        </a:ext>
                      </a:extLst>
                    </a:blip>
                    <a:srcRect/>
                    <a:stretch>
                      <a:fillRect/>
                    </a:stretch>
                  </pic:blipFill>
                  <pic:spPr bwMode="auto">
                    <a:xfrm>
                      <a:off x="0" y="0"/>
                      <a:ext cx="4800693" cy="485784"/>
                    </a:xfrm>
                    <a:prstGeom prst="rect">
                      <a:avLst/>
                    </a:prstGeom>
                    <a:noFill/>
                    <a:ln>
                      <a:noFill/>
                    </a:ln>
                  </pic:spPr>
                </pic:pic>
              </a:graphicData>
            </a:graphic>
          </wp:inline>
        </w:drawing>
      </w:r>
    </w:p>
    <w:p w:rsidR="00BC6485" w:rsidRDefault="00BC6485" w:rsidP="00BC6485">
      <w:pPr>
        <w:ind w:firstLine="360"/>
        <w:rPr>
          <w:sz w:val="24"/>
        </w:rPr>
      </w:pPr>
      <w:r>
        <w:rPr>
          <w:noProof/>
        </w:rPr>
        <w:drawing>
          <wp:inline distT="0" distB="0" distL="0" distR="0" wp14:anchorId="0F43B946" wp14:editId="34276EBF">
            <wp:extent cx="5962650" cy="2590800"/>
            <wp:effectExtent l="0" t="0" r="0" b="0"/>
            <wp:docPr id="24659" name="Picture 24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62">
                      <a:extLst>
                        <a:ext uri="{28A0092B-C50C-407E-A947-70E740481C1C}">
                          <a14:useLocalDpi xmlns:a14="http://schemas.microsoft.com/office/drawing/2010/main" val="0"/>
                        </a:ext>
                      </a:extLst>
                    </a:blip>
                    <a:srcRect/>
                    <a:stretch>
                      <a:fillRect/>
                    </a:stretch>
                  </pic:blipFill>
                  <pic:spPr bwMode="auto">
                    <a:xfrm>
                      <a:off x="0" y="0"/>
                      <a:ext cx="5972175" cy="2594939"/>
                    </a:xfrm>
                    <a:prstGeom prst="rect">
                      <a:avLst/>
                    </a:prstGeom>
                    <a:noFill/>
                    <a:ln>
                      <a:noFill/>
                    </a:ln>
                  </pic:spPr>
                </pic:pic>
              </a:graphicData>
            </a:graphic>
          </wp:inline>
        </w:drawing>
      </w:r>
    </w:p>
    <w:p w:rsidR="00BC6485" w:rsidRDefault="00BC6485" w:rsidP="00BC6485">
      <w:pPr>
        <w:rPr>
          <w:sz w:val="24"/>
        </w:rPr>
      </w:pPr>
    </w:p>
    <w:p w:rsidR="00BC6485" w:rsidRDefault="00BC6485" w:rsidP="00F063AF">
      <w:pPr>
        <w:pStyle w:val="ListParagraph"/>
        <w:numPr>
          <w:ilvl w:val="0"/>
          <w:numId w:val="364"/>
        </w:numPr>
        <w:spacing w:after="0" w:line="240" w:lineRule="auto"/>
        <w:rPr>
          <w:rFonts w:ascii="Arial" w:hAnsi="Arial"/>
          <w:sz w:val="20"/>
          <w:szCs w:val="20"/>
        </w:rPr>
      </w:pPr>
      <w:r>
        <w:rPr>
          <w:rFonts w:ascii="Arial" w:hAnsi="Arial"/>
          <w:sz w:val="20"/>
          <w:szCs w:val="20"/>
        </w:rPr>
        <w:t xml:space="preserve">If the required examination is based on an “at-once” </w:t>
      </w:r>
      <w:r w:rsidR="00CF59A7">
        <w:rPr>
          <w:rFonts w:ascii="Arial" w:hAnsi="Arial"/>
          <w:sz w:val="20"/>
          <w:szCs w:val="20"/>
        </w:rPr>
        <w:t xml:space="preserve">(At Once) </w:t>
      </w:r>
      <w:r>
        <w:rPr>
          <w:rFonts w:ascii="Arial" w:hAnsi="Arial"/>
          <w:sz w:val="20"/>
          <w:szCs w:val="20"/>
        </w:rPr>
        <w:t>examination, this should be reflected on the “special issues and examination information” chevron.</w:t>
      </w:r>
    </w:p>
    <w:p w:rsidR="00BC6485" w:rsidRDefault="00BC6485" w:rsidP="00BC6485">
      <w:pPr>
        <w:ind w:left="360"/>
      </w:pPr>
    </w:p>
    <w:p w:rsidR="00BC6485" w:rsidRDefault="00BC6485" w:rsidP="00BC6485">
      <w:pPr>
        <w:ind w:left="720"/>
      </w:pPr>
      <w:r>
        <w:rPr>
          <w:noProof/>
        </w:rPr>
        <w:drawing>
          <wp:inline distT="0" distB="0" distL="0" distR="0" wp14:anchorId="67D077B1" wp14:editId="438CA721">
            <wp:extent cx="5734050" cy="1590675"/>
            <wp:effectExtent l="0" t="0" r="0" b="9525"/>
            <wp:docPr id="24660" name="Picture 24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3"/>
                    <a:stretch>
                      <a:fillRect/>
                    </a:stretch>
                  </pic:blipFill>
                  <pic:spPr>
                    <a:xfrm>
                      <a:off x="0" y="0"/>
                      <a:ext cx="5734050" cy="1590675"/>
                    </a:xfrm>
                    <a:prstGeom prst="rect">
                      <a:avLst/>
                    </a:prstGeom>
                  </pic:spPr>
                </pic:pic>
              </a:graphicData>
            </a:graphic>
          </wp:inline>
        </w:drawing>
      </w:r>
    </w:p>
    <w:p w:rsidR="00BC6485" w:rsidRPr="006455D3" w:rsidRDefault="00BC6485" w:rsidP="00BC6485">
      <w:pPr>
        <w:ind w:left="720"/>
      </w:pPr>
    </w:p>
    <w:p w:rsidR="00BC6485" w:rsidRPr="00C92089" w:rsidRDefault="00BC6485" w:rsidP="00F063AF">
      <w:pPr>
        <w:pStyle w:val="ListParagraph"/>
        <w:numPr>
          <w:ilvl w:val="0"/>
          <w:numId w:val="364"/>
        </w:numPr>
        <w:spacing w:after="0" w:line="240" w:lineRule="auto"/>
        <w:rPr>
          <w:rFonts w:ascii="Arial" w:hAnsi="Arial"/>
          <w:sz w:val="20"/>
          <w:szCs w:val="20"/>
        </w:rPr>
      </w:pPr>
      <w:r w:rsidRPr="00C92089">
        <w:rPr>
          <w:rFonts w:ascii="Arial" w:hAnsi="Arial"/>
          <w:sz w:val="20"/>
          <w:szCs w:val="20"/>
        </w:rPr>
        <w:t xml:space="preserve">The Summary chevron should also show deferred evaluation for the condition you are addressing.  If not, repeat step #1.  </w:t>
      </w:r>
    </w:p>
    <w:p w:rsidR="00BC6485" w:rsidRPr="00CF59A7" w:rsidRDefault="00BC6485" w:rsidP="00CF59A7">
      <w:pPr>
        <w:pStyle w:val="ListParagraph"/>
        <w:rPr>
          <w:rFonts w:ascii="Arial" w:hAnsi="Arial"/>
          <w:sz w:val="24"/>
        </w:rPr>
      </w:pPr>
      <w:r>
        <w:rPr>
          <w:noProof/>
        </w:rPr>
        <w:drawing>
          <wp:inline distT="0" distB="0" distL="0" distR="0" wp14:anchorId="05F47110" wp14:editId="0DA21EA6">
            <wp:extent cx="5657850" cy="1352550"/>
            <wp:effectExtent l="0" t="0" r="0" b="0"/>
            <wp:docPr id="24661" name="Picture 2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4">
                      <a:extLst>
                        <a:ext uri="{28A0092B-C50C-407E-A947-70E740481C1C}">
                          <a14:useLocalDpi xmlns:a14="http://schemas.microsoft.com/office/drawing/2010/main" val="0"/>
                        </a:ext>
                      </a:extLst>
                    </a:blip>
                    <a:srcRect/>
                    <a:stretch>
                      <a:fillRect/>
                    </a:stretch>
                  </pic:blipFill>
                  <pic:spPr bwMode="auto">
                    <a:xfrm>
                      <a:off x="0" y="0"/>
                      <a:ext cx="5674993" cy="1356648"/>
                    </a:xfrm>
                    <a:prstGeom prst="rect">
                      <a:avLst/>
                    </a:prstGeom>
                    <a:noFill/>
                    <a:ln>
                      <a:noFill/>
                    </a:ln>
                  </pic:spPr>
                </pic:pic>
              </a:graphicData>
            </a:graphic>
          </wp:inline>
        </w:drawing>
      </w:r>
    </w:p>
    <w:p w:rsidR="00BC6485" w:rsidRPr="00C92089" w:rsidRDefault="00BC6485" w:rsidP="00F063AF">
      <w:pPr>
        <w:pStyle w:val="ListParagraph"/>
        <w:numPr>
          <w:ilvl w:val="0"/>
          <w:numId w:val="364"/>
        </w:numPr>
        <w:spacing w:after="0" w:line="240" w:lineRule="auto"/>
        <w:rPr>
          <w:rFonts w:ascii="Arial" w:hAnsi="Arial"/>
          <w:sz w:val="20"/>
          <w:szCs w:val="20"/>
        </w:rPr>
      </w:pPr>
      <w:r w:rsidRPr="00C92089">
        <w:rPr>
          <w:rFonts w:ascii="Arial" w:hAnsi="Arial"/>
          <w:sz w:val="20"/>
          <w:szCs w:val="20"/>
        </w:rPr>
        <w:t>If the information is correct, be sure to hit the “accept” button which will prompt a reason for the deferral that</w:t>
      </w:r>
      <w:r>
        <w:rPr>
          <w:rFonts w:ascii="Arial" w:hAnsi="Arial"/>
          <w:sz w:val="20"/>
          <w:szCs w:val="20"/>
        </w:rPr>
        <w:t xml:space="preserve"> will also populated as suggested text for the narrative</w:t>
      </w:r>
      <w:r w:rsidRPr="00C92089">
        <w:rPr>
          <w:rFonts w:ascii="Arial" w:hAnsi="Arial"/>
          <w:sz w:val="20"/>
          <w:szCs w:val="20"/>
        </w:rPr>
        <w:t>.</w:t>
      </w:r>
    </w:p>
    <w:p w:rsidR="00BC6485" w:rsidRPr="00CF59A7" w:rsidRDefault="00BC6485" w:rsidP="00CF59A7">
      <w:pPr>
        <w:ind w:left="360"/>
      </w:pPr>
    </w:p>
    <w:p w:rsidR="00BC6485" w:rsidRPr="00C92089" w:rsidRDefault="00BC6485" w:rsidP="00F063AF">
      <w:pPr>
        <w:pStyle w:val="ListParagraph"/>
        <w:numPr>
          <w:ilvl w:val="0"/>
          <w:numId w:val="364"/>
        </w:numPr>
        <w:spacing w:after="0" w:line="240" w:lineRule="auto"/>
        <w:rPr>
          <w:rFonts w:ascii="Arial" w:hAnsi="Arial"/>
          <w:sz w:val="20"/>
          <w:szCs w:val="20"/>
        </w:rPr>
      </w:pPr>
      <w:r w:rsidRPr="00C92089">
        <w:rPr>
          <w:rFonts w:ascii="Arial" w:hAnsi="Arial"/>
          <w:sz w:val="20"/>
          <w:szCs w:val="20"/>
        </w:rPr>
        <w:t>Review your draft codesheet to ensure the conditions which require examinations are properly reflected.  Any deferred evaluations should appear at the bottom of the codesheet just above your signature line and below th</w:t>
      </w:r>
      <w:r>
        <w:rPr>
          <w:rFonts w:ascii="Arial" w:hAnsi="Arial"/>
          <w:sz w:val="20"/>
          <w:szCs w:val="20"/>
        </w:rPr>
        <w:t>e NSC decisions.  If the deferred issue</w:t>
      </w:r>
      <w:r w:rsidRPr="00C92089">
        <w:rPr>
          <w:rFonts w:ascii="Arial" w:hAnsi="Arial"/>
          <w:sz w:val="20"/>
          <w:szCs w:val="20"/>
        </w:rPr>
        <w:t xml:space="preserve"> is properly shown, finalize your rating.</w:t>
      </w:r>
    </w:p>
    <w:p w:rsidR="00BC6485" w:rsidRDefault="00BC6485" w:rsidP="00BC6485">
      <w:pPr>
        <w:pStyle w:val="ListParagraph"/>
        <w:rPr>
          <w:rFonts w:ascii="Arial" w:hAnsi="Arial"/>
          <w:sz w:val="24"/>
        </w:rPr>
      </w:pPr>
    </w:p>
    <w:p w:rsidR="00BC6485" w:rsidRPr="00BC6485" w:rsidRDefault="00BC6485" w:rsidP="00BC6485">
      <w:pPr>
        <w:pStyle w:val="ListParagraph"/>
        <w:rPr>
          <w:rFonts w:ascii="Arial" w:hAnsi="Arial"/>
          <w:sz w:val="24"/>
        </w:rPr>
      </w:pPr>
      <w:r>
        <w:rPr>
          <w:noProof/>
        </w:rPr>
        <w:drawing>
          <wp:inline distT="0" distB="0" distL="0" distR="0" wp14:anchorId="1F7E83C0" wp14:editId="53910E20">
            <wp:extent cx="4905375" cy="1114425"/>
            <wp:effectExtent l="0" t="0" r="9525" b="9525"/>
            <wp:docPr id="24662" name="Picture 24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65">
                      <a:extLst>
                        <a:ext uri="{28A0092B-C50C-407E-A947-70E740481C1C}">
                          <a14:useLocalDpi xmlns:a14="http://schemas.microsoft.com/office/drawing/2010/main" val="0"/>
                        </a:ext>
                      </a:extLst>
                    </a:blip>
                    <a:srcRect/>
                    <a:stretch>
                      <a:fillRect/>
                    </a:stretch>
                  </pic:blipFill>
                  <pic:spPr bwMode="auto">
                    <a:xfrm>
                      <a:off x="0" y="0"/>
                      <a:ext cx="4912294" cy="1115997"/>
                    </a:xfrm>
                    <a:prstGeom prst="rect">
                      <a:avLst/>
                    </a:prstGeom>
                    <a:noFill/>
                    <a:ln>
                      <a:noFill/>
                    </a:ln>
                  </pic:spPr>
                </pic:pic>
              </a:graphicData>
            </a:graphic>
          </wp:inline>
        </w:drawing>
      </w:r>
    </w:p>
    <w:p w:rsidR="00BC6485" w:rsidRDefault="00BC6485" w:rsidP="00A67806">
      <w:pPr>
        <w:rPr>
          <w:rStyle w:val="Hyperlink"/>
        </w:rPr>
      </w:pP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pPr>
      <w:r w:rsidRPr="007C0EE5">
        <w:rPr>
          <w:b/>
          <w:bCs/>
        </w:rPr>
        <w:t>From:</w:t>
      </w:r>
      <w:r w:rsidRPr="007C0EE5">
        <w:t xml:space="preserve"> VAVBASDC/RO/VSC </w:t>
      </w:r>
      <w:r w:rsidRPr="007C0EE5">
        <w:br/>
      </w:r>
      <w:r w:rsidRPr="007C0EE5">
        <w:rPr>
          <w:b/>
          <w:bCs/>
        </w:rPr>
        <w:t>Sent:</w:t>
      </w:r>
      <w:r w:rsidRPr="007C0EE5">
        <w:t xml:space="preserve"> Thursday, March 23, 2017 3:19 PM</w:t>
      </w:r>
      <w:r w:rsidRPr="007C0EE5">
        <w:br/>
      </w:r>
      <w:r w:rsidRPr="007C0EE5">
        <w:rPr>
          <w:b/>
          <w:bCs/>
        </w:rPr>
        <w:t>Subject:</w:t>
      </w:r>
      <w:r w:rsidRPr="007C0EE5">
        <w:t xml:space="preserve"> FW: Quality Tip (Q-Tip): VSRs/RVSRs/DROs: Partial Ratings with examination deferrals in the NWQ </w:t>
      </w: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pPr>
      <w:r w:rsidRPr="007C0EE5">
        <w:t xml:space="preserve">VSC – </w:t>
      </w: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pPr>
      <w:r w:rsidRPr="007C0EE5">
        <w:t>The QR Team would like to put out the below quality tip.</w:t>
      </w: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rPr>
          <w:b/>
          <w:bCs/>
        </w:rPr>
      </w:pPr>
      <w:r w:rsidRPr="007C0EE5">
        <w:rPr>
          <w:b/>
          <w:bCs/>
        </w:rPr>
        <w:t>Target Audience:  All VSRs/RVSRs/DROs</w:t>
      </w: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pPr>
      <w:r w:rsidRPr="007C0EE5">
        <w:t xml:space="preserve">As a reminder, when a partial rating is completed to expedite benefits and a deferral must be completed for an examination, the correct order of operations </w:t>
      </w:r>
      <w:r w:rsidRPr="007C0EE5">
        <w:rPr>
          <w:u w:val="single"/>
        </w:rPr>
        <w:t>must</w:t>
      </w:r>
      <w:r w:rsidRPr="007C0EE5">
        <w:t xml:space="preserve"> be followed to ensure partial rating decisions are</w:t>
      </w:r>
      <w:r w:rsidRPr="007C0EE5">
        <w:rPr>
          <w:strike/>
        </w:rPr>
        <w:t xml:space="preserve"> </w:t>
      </w:r>
      <w:r w:rsidRPr="007C0EE5">
        <w:t xml:space="preserve">promulgated and not inappropriately returned to the National Work Queue (NWQ).  </w:t>
      </w: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pPr>
      <w:r w:rsidRPr="007C0EE5">
        <w:t xml:space="preserve">If the rater is deferring to the VSR to input the examination request, a deferral must first be completed by the rater, the rating finalized, and then the VSR will request any examination(s) </w:t>
      </w:r>
      <w:r w:rsidRPr="007C0EE5">
        <w:rPr>
          <w:u w:val="single"/>
        </w:rPr>
        <w:t>following</w:t>
      </w:r>
      <w:r w:rsidRPr="007C0EE5">
        <w:t xml:space="preserve"> Post action of promulgation/authorization of the rating decisions.  If the rater is inputting the examination request, the examination requests must first be submitted prior to the finalization of the rating decision.  Please review the steps below and ensure you are following the appropriate steps when requesting examinations in connection with partial ratings.</w:t>
      </w: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pPr>
      <w:r w:rsidRPr="007C0EE5">
        <w:rPr>
          <w:b/>
          <w:bCs/>
        </w:rPr>
        <w:t>Deferring to VSR for Exam Requests:</w:t>
      </w:r>
      <w:r w:rsidRPr="007C0EE5">
        <w:t xml:space="preserve">  </w:t>
      </w:r>
      <w:r w:rsidRPr="007C0EE5">
        <w:rPr>
          <w:highlight w:val="yellow"/>
        </w:rPr>
        <w:t>(The deferral and rating decision must be finalized within the same business day)</w:t>
      </w:r>
    </w:p>
    <w:p w:rsidR="007C0EE5" w:rsidRPr="007C0EE5" w:rsidRDefault="007C0EE5" w:rsidP="00F063AF">
      <w:pPr>
        <w:numPr>
          <w:ilvl w:val="0"/>
          <w:numId w:val="359"/>
        </w:numPr>
        <w:pBdr>
          <w:top w:val="single" w:sz="4" w:space="1" w:color="auto"/>
          <w:left w:val="single" w:sz="4" w:space="4" w:color="auto"/>
          <w:bottom w:val="single" w:sz="4" w:space="1" w:color="auto"/>
          <w:right w:val="single" w:sz="4" w:space="4" w:color="auto"/>
        </w:pBdr>
        <w:overflowPunct/>
        <w:autoSpaceDE/>
        <w:autoSpaceDN/>
        <w:adjustRightInd/>
        <w:ind w:left="360"/>
        <w:textAlignment w:val="auto"/>
      </w:pPr>
      <w:r w:rsidRPr="007C0EE5">
        <w:t>The RVSR will complete any deferral(s) actions in VBMS and finalize the deferral.  This will change the status of the claim from an “RFD” status to “Open” status, and the deferral will show as “pending</w:t>
      </w:r>
      <w:r w:rsidR="001946CC">
        <w:t>.”</w:t>
      </w:r>
    </w:p>
    <w:p w:rsidR="007C0EE5" w:rsidRPr="007C0EE5" w:rsidRDefault="007C0EE5" w:rsidP="00F063AF">
      <w:pPr>
        <w:numPr>
          <w:ilvl w:val="0"/>
          <w:numId w:val="359"/>
        </w:numPr>
        <w:pBdr>
          <w:top w:val="single" w:sz="4" w:space="1" w:color="auto"/>
          <w:left w:val="single" w:sz="4" w:space="4" w:color="auto"/>
          <w:bottom w:val="single" w:sz="4" w:space="1" w:color="auto"/>
          <w:right w:val="single" w:sz="4" w:space="4" w:color="auto"/>
        </w:pBdr>
        <w:overflowPunct/>
        <w:autoSpaceDE/>
        <w:autoSpaceDN/>
        <w:adjustRightInd/>
        <w:ind w:left="360"/>
        <w:textAlignment w:val="auto"/>
      </w:pPr>
      <w:r w:rsidRPr="007C0EE5">
        <w:t>The RVSR will pull in the claim to VBMS-R, complete the rating, defer any conditions necessary on the rating codesheet, and finalize the rating decision.  This will change the status of the claim from “Open” to “RDC</w:t>
      </w:r>
      <w:r w:rsidR="001946CC">
        <w:t>.”</w:t>
      </w:r>
    </w:p>
    <w:p w:rsidR="007C0EE5" w:rsidRPr="007C0EE5" w:rsidRDefault="007C0EE5" w:rsidP="00F063AF">
      <w:pPr>
        <w:numPr>
          <w:ilvl w:val="0"/>
          <w:numId w:val="359"/>
        </w:numPr>
        <w:pBdr>
          <w:top w:val="single" w:sz="4" w:space="1" w:color="auto"/>
          <w:left w:val="single" w:sz="4" w:space="4" w:color="auto"/>
          <w:bottom w:val="single" w:sz="4" w:space="1" w:color="auto"/>
          <w:right w:val="single" w:sz="4" w:space="4" w:color="auto"/>
        </w:pBdr>
        <w:overflowPunct/>
        <w:autoSpaceDE/>
        <w:autoSpaceDN/>
        <w:adjustRightInd/>
        <w:ind w:left="360"/>
        <w:textAlignment w:val="auto"/>
      </w:pPr>
      <w:r w:rsidRPr="007C0EE5">
        <w:t>Post will take action to promulgate/authorize any benefits and continue the EP for development of the examination by Pre-D VSRs.</w:t>
      </w:r>
    </w:p>
    <w:p w:rsidR="007C0EE5" w:rsidRPr="007C0EE5" w:rsidRDefault="007C0EE5" w:rsidP="00F063AF">
      <w:pPr>
        <w:numPr>
          <w:ilvl w:val="0"/>
          <w:numId w:val="359"/>
        </w:numPr>
        <w:pBdr>
          <w:top w:val="single" w:sz="4" w:space="1" w:color="auto"/>
          <w:left w:val="single" w:sz="4" w:space="4" w:color="auto"/>
          <w:bottom w:val="single" w:sz="4" w:space="1" w:color="auto"/>
          <w:right w:val="single" w:sz="4" w:space="4" w:color="auto"/>
        </w:pBdr>
        <w:overflowPunct/>
        <w:autoSpaceDE/>
        <w:autoSpaceDN/>
        <w:adjustRightInd/>
        <w:spacing w:after="120"/>
        <w:ind w:left="360"/>
        <w:textAlignment w:val="auto"/>
      </w:pPr>
      <w:r w:rsidRPr="007C0EE5">
        <w:t>The claim will be reassigned in the NWQ to the next VSR.  Pre-VSRs will request any required examinations to “resolve” any pending deferrals in the system.</w:t>
      </w: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pPr>
      <w:r w:rsidRPr="007C0EE5">
        <w:rPr>
          <w:b/>
          <w:bCs/>
        </w:rPr>
        <w:t xml:space="preserve">RVSR Exam Requests: </w:t>
      </w:r>
      <w:r w:rsidRPr="007C0EE5">
        <w:rPr>
          <w:highlight w:val="yellow"/>
        </w:rPr>
        <w:t>(The deferral and rating decision must be finalized within the same business day)</w:t>
      </w:r>
    </w:p>
    <w:p w:rsidR="007C0EE5" w:rsidRPr="007C0EE5" w:rsidRDefault="007C0EE5" w:rsidP="00F063AF">
      <w:pPr>
        <w:numPr>
          <w:ilvl w:val="0"/>
          <w:numId w:val="360"/>
        </w:numPr>
        <w:pBdr>
          <w:top w:val="single" w:sz="4" w:space="1" w:color="auto"/>
          <w:left w:val="single" w:sz="4" w:space="4" w:color="auto"/>
          <w:bottom w:val="single" w:sz="4" w:space="1" w:color="auto"/>
          <w:right w:val="single" w:sz="4" w:space="4" w:color="auto"/>
        </w:pBdr>
        <w:overflowPunct/>
        <w:autoSpaceDE/>
        <w:autoSpaceDN/>
        <w:adjustRightInd/>
        <w:ind w:left="360"/>
        <w:textAlignment w:val="auto"/>
        <w:rPr>
          <w:b/>
          <w:bCs/>
        </w:rPr>
      </w:pPr>
      <w:r w:rsidRPr="007C0EE5">
        <w:t>The RVSR will complete any deferral(s) actions in VBMS and finalize the deferral. (This matches Steps 1-4 in the Order of Operations handout.)</w:t>
      </w:r>
    </w:p>
    <w:p w:rsidR="007C0EE5" w:rsidRPr="007C0EE5" w:rsidRDefault="007C0EE5" w:rsidP="00F063AF">
      <w:pPr>
        <w:numPr>
          <w:ilvl w:val="0"/>
          <w:numId w:val="360"/>
        </w:numPr>
        <w:pBdr>
          <w:top w:val="single" w:sz="4" w:space="1" w:color="auto"/>
          <w:left w:val="single" w:sz="4" w:space="4" w:color="auto"/>
          <w:bottom w:val="single" w:sz="4" w:space="1" w:color="auto"/>
          <w:right w:val="single" w:sz="4" w:space="4" w:color="auto"/>
        </w:pBdr>
        <w:overflowPunct/>
        <w:autoSpaceDE/>
        <w:autoSpaceDN/>
        <w:adjustRightInd/>
        <w:ind w:left="360"/>
        <w:textAlignment w:val="auto"/>
        <w:rPr>
          <w:b/>
          <w:bCs/>
        </w:rPr>
      </w:pPr>
      <w:r w:rsidRPr="007C0EE5">
        <w:t>The RVSR will request any examinations in the appropriate system (CAPRI/CAATS) and upload the requests to VBMS.  Tracked items must be created to keep the EP running.  This will change the status of the claim from an “RFD” status to “Open” status.</w:t>
      </w:r>
    </w:p>
    <w:p w:rsidR="007C0EE5" w:rsidRPr="007C0EE5" w:rsidRDefault="007C0EE5" w:rsidP="00F063AF">
      <w:pPr>
        <w:numPr>
          <w:ilvl w:val="0"/>
          <w:numId w:val="360"/>
        </w:numPr>
        <w:pBdr>
          <w:top w:val="single" w:sz="4" w:space="1" w:color="auto"/>
          <w:left w:val="single" w:sz="4" w:space="4" w:color="auto"/>
          <w:bottom w:val="single" w:sz="4" w:space="1" w:color="auto"/>
          <w:right w:val="single" w:sz="4" w:space="4" w:color="auto"/>
        </w:pBdr>
        <w:overflowPunct/>
        <w:autoSpaceDE/>
        <w:autoSpaceDN/>
        <w:adjustRightInd/>
        <w:ind w:left="360"/>
        <w:textAlignment w:val="auto"/>
        <w:rPr>
          <w:b/>
          <w:bCs/>
        </w:rPr>
      </w:pPr>
      <w:r w:rsidRPr="007C0EE5">
        <w:t>The RVSR will pull in the claim to VBMS-R, complete the rating, defer any conditions necessary on the rating codesheet, and finalize the rating decision.  This will change the status of the claim from “Open” to “RDC</w:t>
      </w:r>
      <w:r w:rsidR="001946CC">
        <w:t>.”</w:t>
      </w:r>
    </w:p>
    <w:p w:rsidR="007C0EE5" w:rsidRPr="007C0EE5" w:rsidRDefault="007C0EE5" w:rsidP="00F063AF">
      <w:pPr>
        <w:numPr>
          <w:ilvl w:val="0"/>
          <w:numId w:val="360"/>
        </w:numPr>
        <w:pBdr>
          <w:top w:val="single" w:sz="4" w:space="1" w:color="auto"/>
          <w:left w:val="single" w:sz="4" w:space="4" w:color="auto"/>
          <w:bottom w:val="single" w:sz="4" w:space="1" w:color="auto"/>
          <w:right w:val="single" w:sz="4" w:space="4" w:color="auto"/>
        </w:pBdr>
        <w:overflowPunct/>
        <w:autoSpaceDE/>
        <w:autoSpaceDN/>
        <w:adjustRightInd/>
        <w:spacing w:after="120"/>
        <w:ind w:left="360"/>
        <w:textAlignment w:val="auto"/>
        <w:rPr>
          <w:b/>
          <w:bCs/>
        </w:rPr>
      </w:pPr>
      <w:r w:rsidRPr="007C0EE5">
        <w:t>Post will take action to promulgate/authorize any benefits and continue the EP.</w:t>
      </w: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pPr>
      <w:r w:rsidRPr="007C0EE5">
        <w:t>Failure to properly follow these steps will result in missed ratings for promulgation/authorization and unnecessary delays of our decisions to our veterans.</w:t>
      </w:r>
    </w:p>
    <w:p w:rsidR="007C0EE5" w:rsidRPr="007C0EE5" w:rsidRDefault="007C0EE5" w:rsidP="007C0EE5">
      <w:pPr>
        <w:pBdr>
          <w:top w:val="single" w:sz="4" w:space="1" w:color="auto"/>
          <w:left w:val="single" w:sz="4" w:space="4" w:color="auto"/>
          <w:bottom w:val="single" w:sz="4" w:space="1" w:color="auto"/>
          <w:right w:val="single" w:sz="4" w:space="4" w:color="auto"/>
        </w:pBdr>
        <w:spacing w:after="120"/>
      </w:pPr>
      <w:r w:rsidRPr="007C0EE5">
        <w:t xml:space="preserve">Reference &amp; Resource:  </w:t>
      </w:r>
      <w:hyperlink r:id="rId766" w:history="1">
        <w:r w:rsidRPr="007C0EE5">
          <w:rPr>
            <w:rStyle w:val="Hyperlink"/>
          </w:rPr>
          <w:t>“Order of Operations for Completing Deferred Rating Decisions”</w:t>
        </w:r>
      </w:hyperlink>
    </w:p>
    <w:p w:rsidR="007C0EE5" w:rsidRPr="00275AD3" w:rsidRDefault="007C0EE5" w:rsidP="00A67806">
      <w:pPr>
        <w:rPr>
          <w:color w:val="000000"/>
        </w:rPr>
      </w:pPr>
    </w:p>
    <w:p w:rsidR="00A67806" w:rsidRPr="00275AD3" w:rsidRDefault="00D571C5" w:rsidP="00A67806">
      <w:pPr>
        <w:rPr>
          <w:color w:val="000000"/>
        </w:rPr>
      </w:pPr>
      <w:hyperlink r:id="rId767" w:history="1">
        <w:r w:rsidR="00A67806" w:rsidRPr="00275AD3">
          <w:rPr>
            <w:rStyle w:val="Hyperlink"/>
          </w:rPr>
          <w:t>Triggers for Deferral Resolution</w:t>
        </w:r>
      </w:hyperlink>
    </w:p>
    <w:p w:rsidR="00A67806" w:rsidRPr="00275AD3" w:rsidRDefault="00A67806" w:rsidP="00A67806">
      <w:pPr>
        <w:rPr>
          <w:color w:val="000000"/>
        </w:rPr>
      </w:pPr>
    </w:p>
    <w:p w:rsidR="00A67806" w:rsidRPr="00275AD3" w:rsidRDefault="00D571C5" w:rsidP="00A67806">
      <w:pPr>
        <w:rPr>
          <w:color w:val="000000"/>
        </w:rPr>
      </w:pPr>
      <w:hyperlink r:id="rId768" w:history="1">
        <w:r w:rsidR="00A67806" w:rsidRPr="00275AD3">
          <w:rPr>
            <w:rStyle w:val="Hyperlink"/>
          </w:rPr>
          <w:t>Primary and Detailed Deferral Reasons</w:t>
        </w:r>
      </w:hyperlink>
    </w:p>
    <w:p w:rsidR="00A67806" w:rsidRPr="00275AD3" w:rsidRDefault="00A67806" w:rsidP="00A67806">
      <w:pPr>
        <w:rPr>
          <w:color w:val="000000"/>
        </w:rPr>
      </w:pPr>
    </w:p>
    <w:p w:rsidR="00A67806" w:rsidRPr="00275AD3" w:rsidRDefault="00A67806" w:rsidP="00A67806">
      <w:pPr>
        <w:rPr>
          <w:b/>
          <w:bCs/>
          <w:color w:val="000000"/>
        </w:rPr>
      </w:pPr>
      <w:r w:rsidRPr="00275AD3">
        <w:rPr>
          <w:b/>
          <w:bCs/>
          <w:color w:val="000000"/>
        </w:rPr>
        <w:t>Videos</w:t>
      </w:r>
    </w:p>
    <w:p w:rsidR="00A67806" w:rsidRPr="00275AD3" w:rsidRDefault="00A67806" w:rsidP="00A67806">
      <w:pPr>
        <w:rPr>
          <w:color w:val="000000"/>
        </w:rPr>
      </w:pPr>
    </w:p>
    <w:p w:rsidR="00A67806" w:rsidRPr="00275AD3" w:rsidRDefault="00D571C5" w:rsidP="00A67806">
      <w:pPr>
        <w:rPr>
          <w:color w:val="000000"/>
        </w:rPr>
      </w:pPr>
      <w:hyperlink r:id="rId769" w:history="1">
        <w:r w:rsidR="00A67806" w:rsidRPr="00275AD3">
          <w:rPr>
            <w:rStyle w:val="Hyperlink"/>
          </w:rPr>
          <w:t>Adding Supporting Documents to a Deferral</w:t>
        </w:r>
      </w:hyperlink>
    </w:p>
    <w:p w:rsidR="00A67806" w:rsidRPr="00275AD3" w:rsidRDefault="00A67806" w:rsidP="00A67806">
      <w:pPr>
        <w:rPr>
          <w:color w:val="000000"/>
        </w:rPr>
      </w:pPr>
    </w:p>
    <w:p w:rsidR="00A67806" w:rsidRPr="00275AD3" w:rsidRDefault="00D571C5" w:rsidP="00A67806">
      <w:pPr>
        <w:rPr>
          <w:color w:val="000000"/>
        </w:rPr>
      </w:pPr>
      <w:hyperlink r:id="rId770" w:history="1">
        <w:r w:rsidR="00A67806" w:rsidRPr="00275AD3">
          <w:rPr>
            <w:rStyle w:val="Hyperlink"/>
          </w:rPr>
          <w:t>How to Create an Open-to-Open Deferral</w:t>
        </w:r>
      </w:hyperlink>
    </w:p>
    <w:p w:rsidR="00A67806" w:rsidRDefault="00A67806" w:rsidP="00A67806">
      <w:pPr>
        <w:widowControl w:val="0"/>
        <w:rPr>
          <w:sz w:val="22"/>
        </w:rPr>
      </w:pPr>
    </w:p>
    <w:p w:rsidR="00A67806" w:rsidRPr="00D9718D" w:rsidRDefault="00A67806" w:rsidP="00A67806">
      <w:pPr>
        <w:widowControl w:val="0"/>
        <w:spacing w:after="120"/>
        <w:rPr>
          <w:b/>
          <w:u w:val="single"/>
        </w:rPr>
      </w:pPr>
      <w:r w:rsidRPr="00D9718D">
        <w:rPr>
          <w:b/>
          <w:u w:val="single"/>
        </w:rPr>
        <w:t>Inititating a FULL deferral in VBMS –</w:t>
      </w:r>
    </w:p>
    <w:p w:rsidR="00A67806" w:rsidRPr="00D15824" w:rsidRDefault="00A67806" w:rsidP="00F063AF">
      <w:pPr>
        <w:pStyle w:val="ListParagraph"/>
        <w:widowControl w:val="0"/>
        <w:numPr>
          <w:ilvl w:val="0"/>
          <w:numId w:val="278"/>
        </w:numPr>
        <w:spacing w:after="120" w:line="240" w:lineRule="auto"/>
        <w:rPr>
          <w:rFonts w:ascii="Arial" w:hAnsi="Arial"/>
          <w:sz w:val="20"/>
          <w:szCs w:val="20"/>
        </w:rPr>
      </w:pPr>
      <w:r w:rsidRPr="00D15824">
        <w:rPr>
          <w:rFonts w:ascii="Arial" w:hAnsi="Arial"/>
          <w:sz w:val="20"/>
          <w:szCs w:val="20"/>
        </w:rPr>
        <w:t>Click on claims drop</w:t>
      </w:r>
      <w:r>
        <w:rPr>
          <w:rFonts w:ascii="Arial" w:hAnsi="Arial"/>
          <w:sz w:val="20"/>
          <w:szCs w:val="20"/>
        </w:rPr>
        <w:t>-</w:t>
      </w:r>
      <w:r w:rsidRPr="00D15824">
        <w:rPr>
          <w:rFonts w:ascii="Arial" w:hAnsi="Arial"/>
          <w:sz w:val="20"/>
          <w:szCs w:val="20"/>
        </w:rPr>
        <w:t>down menu &amp; select appropriate claim</w:t>
      </w:r>
    </w:p>
    <w:p w:rsidR="00A67806" w:rsidRPr="00D15824" w:rsidRDefault="00A67806" w:rsidP="00F063AF">
      <w:pPr>
        <w:pStyle w:val="ListParagraph"/>
        <w:widowControl w:val="0"/>
        <w:numPr>
          <w:ilvl w:val="0"/>
          <w:numId w:val="278"/>
        </w:numPr>
        <w:spacing w:after="120" w:line="240" w:lineRule="auto"/>
        <w:rPr>
          <w:rFonts w:ascii="Arial" w:hAnsi="Arial"/>
          <w:sz w:val="20"/>
          <w:szCs w:val="20"/>
        </w:rPr>
      </w:pPr>
      <w:r w:rsidRPr="00D15824">
        <w:rPr>
          <w:rFonts w:ascii="Arial" w:hAnsi="Arial"/>
          <w:sz w:val="20"/>
          <w:szCs w:val="20"/>
        </w:rPr>
        <w:t>Click deferral tab OR icon</w:t>
      </w:r>
    </w:p>
    <w:p w:rsidR="00A67806" w:rsidRPr="00885988" w:rsidRDefault="00A67806" w:rsidP="00F063AF">
      <w:pPr>
        <w:pStyle w:val="ListParagraph"/>
        <w:widowControl w:val="0"/>
        <w:numPr>
          <w:ilvl w:val="0"/>
          <w:numId w:val="278"/>
        </w:numPr>
        <w:spacing w:after="120" w:line="240" w:lineRule="auto"/>
        <w:rPr>
          <w:rFonts w:ascii="Arial" w:hAnsi="Arial"/>
          <w:sz w:val="20"/>
          <w:szCs w:val="20"/>
        </w:rPr>
      </w:pPr>
      <w:r w:rsidRPr="00885988">
        <w:rPr>
          <w:rFonts w:ascii="Arial" w:hAnsi="Arial"/>
          <w:sz w:val="20"/>
          <w:szCs w:val="20"/>
        </w:rPr>
        <w:t>Bookmark ALL related documents with deferral bookmark</w:t>
      </w:r>
    </w:p>
    <w:p w:rsidR="00A67806" w:rsidRPr="00885988" w:rsidRDefault="00A67806" w:rsidP="00F063AF">
      <w:pPr>
        <w:pStyle w:val="ListParagraph"/>
        <w:widowControl w:val="0"/>
        <w:numPr>
          <w:ilvl w:val="0"/>
          <w:numId w:val="278"/>
        </w:numPr>
        <w:rPr>
          <w:rFonts w:ascii="Arial" w:hAnsi="Arial"/>
          <w:i/>
          <w:sz w:val="20"/>
          <w:szCs w:val="20"/>
        </w:rPr>
      </w:pPr>
      <w:r w:rsidRPr="00885988">
        <w:rPr>
          <w:rFonts w:ascii="Arial" w:hAnsi="Arial"/>
          <w:i/>
          <w:color w:val="00B050"/>
          <w:sz w:val="20"/>
          <w:szCs w:val="20"/>
        </w:rPr>
        <w:t xml:space="preserve">My Notes: </w:t>
      </w:r>
      <w:r w:rsidRPr="00D36CD9">
        <w:rPr>
          <w:rFonts w:ascii="Arial" w:hAnsi="Arial"/>
          <w:i/>
          <w:color w:val="00B050"/>
          <w:sz w:val="20"/>
          <w:szCs w:val="20"/>
        </w:rPr>
        <w:t xml:space="preserve"> </w:t>
      </w:r>
      <w:r w:rsidRPr="00D36CD9">
        <w:rPr>
          <w:rFonts w:ascii="Arial" w:hAnsi="Arial"/>
          <w:i/>
          <w:sz w:val="20"/>
          <w:szCs w:val="20"/>
        </w:rPr>
        <w:t xml:space="preserve">It appears that if you add a </w:t>
      </w:r>
      <w:r w:rsidRPr="00D36CD9">
        <w:rPr>
          <w:rFonts w:ascii="Arial" w:hAnsi="Arial"/>
          <w:i/>
          <w:color w:val="000000"/>
          <w:sz w:val="20"/>
          <w:szCs w:val="20"/>
        </w:rPr>
        <w:t xml:space="preserve">deferral bookmark to a document, you are forced to select a specific contention, but if you do not add </w:t>
      </w:r>
      <w:r w:rsidRPr="00D36CD9">
        <w:rPr>
          <w:rFonts w:ascii="Arial" w:hAnsi="Arial"/>
          <w:i/>
          <w:sz w:val="20"/>
          <w:szCs w:val="20"/>
        </w:rPr>
        <w:t xml:space="preserve">a </w:t>
      </w:r>
      <w:r w:rsidRPr="00D36CD9">
        <w:rPr>
          <w:rFonts w:ascii="Arial" w:hAnsi="Arial"/>
          <w:i/>
          <w:color w:val="000000"/>
          <w:sz w:val="20"/>
          <w:szCs w:val="20"/>
        </w:rPr>
        <w:t>deferral bookmark to a document, you are not forced to select a specific contention.</w:t>
      </w:r>
    </w:p>
    <w:p w:rsidR="00A67806" w:rsidRPr="00D15824" w:rsidRDefault="00A67806" w:rsidP="00F063AF">
      <w:pPr>
        <w:pStyle w:val="ListParagraph"/>
        <w:widowControl w:val="0"/>
        <w:numPr>
          <w:ilvl w:val="0"/>
          <w:numId w:val="278"/>
        </w:numPr>
        <w:spacing w:after="120" w:line="240" w:lineRule="auto"/>
        <w:rPr>
          <w:rFonts w:ascii="Arial" w:hAnsi="Arial"/>
          <w:sz w:val="20"/>
          <w:szCs w:val="20"/>
        </w:rPr>
      </w:pPr>
      <w:r w:rsidRPr="00D15824">
        <w:rPr>
          <w:rFonts w:ascii="Arial" w:hAnsi="Arial"/>
          <w:sz w:val="20"/>
          <w:szCs w:val="20"/>
        </w:rPr>
        <w:t>Click “Add Deferral” or deferral icon &amp; select Primary Deferral Reason, then Secondary Deferral Reason:</w:t>
      </w:r>
    </w:p>
    <w:tbl>
      <w:tblPr>
        <w:tblStyle w:val="TableGrid"/>
        <w:tblW w:w="0" w:type="auto"/>
        <w:tblInd w:w="828" w:type="dxa"/>
        <w:tblLook w:val="04A0" w:firstRow="1" w:lastRow="0" w:firstColumn="1" w:lastColumn="0" w:noHBand="0" w:noVBand="1"/>
      </w:tblPr>
      <w:tblGrid>
        <w:gridCol w:w="1980"/>
        <w:gridCol w:w="5040"/>
      </w:tblGrid>
      <w:tr w:rsidR="00A67806" w:rsidRPr="00D15824" w:rsidTr="00373675">
        <w:tc>
          <w:tcPr>
            <w:tcW w:w="1980" w:type="dxa"/>
            <w:vAlign w:val="center"/>
          </w:tcPr>
          <w:p w:rsidR="00A67806" w:rsidRPr="00D15824" w:rsidRDefault="00A67806" w:rsidP="00B26BB8">
            <w:pPr>
              <w:widowControl w:val="0"/>
              <w:jc w:val="center"/>
              <w:rPr>
                <w:b/>
              </w:rPr>
            </w:pPr>
            <w:r w:rsidRPr="00D15824">
              <w:rPr>
                <w:b/>
              </w:rPr>
              <w:t>Primary Deferral Reason</w:t>
            </w:r>
          </w:p>
        </w:tc>
        <w:tc>
          <w:tcPr>
            <w:tcW w:w="5040" w:type="dxa"/>
            <w:vAlign w:val="center"/>
          </w:tcPr>
          <w:p w:rsidR="00A67806" w:rsidRPr="00D15824" w:rsidRDefault="00A67806" w:rsidP="00B26BB8">
            <w:pPr>
              <w:widowControl w:val="0"/>
              <w:jc w:val="center"/>
              <w:rPr>
                <w:b/>
              </w:rPr>
            </w:pPr>
            <w:r w:rsidRPr="00D15824">
              <w:rPr>
                <w:b/>
              </w:rPr>
              <w:t>Secondary Deferral Reason</w:t>
            </w:r>
          </w:p>
        </w:tc>
      </w:tr>
      <w:tr w:rsidR="00A67806" w:rsidRPr="00D15824" w:rsidTr="00373675">
        <w:tc>
          <w:tcPr>
            <w:tcW w:w="1980" w:type="dxa"/>
            <w:vMerge w:val="restart"/>
            <w:vAlign w:val="center"/>
          </w:tcPr>
          <w:p w:rsidR="00A67806" w:rsidRPr="00D15824" w:rsidRDefault="00A67806" w:rsidP="00B26BB8">
            <w:pPr>
              <w:widowControl w:val="0"/>
              <w:jc w:val="center"/>
            </w:pPr>
            <w:r w:rsidRPr="00D15824">
              <w:t>Evidence</w:t>
            </w:r>
          </w:p>
        </w:tc>
        <w:tc>
          <w:tcPr>
            <w:tcW w:w="5040" w:type="dxa"/>
            <w:vAlign w:val="center"/>
          </w:tcPr>
          <w:p w:rsidR="00A67806" w:rsidRPr="00D15824" w:rsidRDefault="00A67806" w:rsidP="00B26BB8">
            <w:pPr>
              <w:widowControl w:val="0"/>
              <w:jc w:val="center"/>
            </w:pPr>
            <w:r w:rsidRPr="00D15824">
              <w:t>Missed Development</w:t>
            </w:r>
            <w:r w:rsidR="00E65D76">
              <w:t xml:space="preserve"> (250)</w:t>
            </w:r>
            <w:r w:rsidR="00373675">
              <w:t xml:space="preserve"> </w:t>
            </w:r>
            <w:r w:rsidR="00373675" w:rsidRPr="00373675">
              <w:rPr>
                <w:i/>
                <w:sz w:val="18"/>
              </w:rPr>
              <w:t>(avoidable)</w:t>
            </w:r>
          </w:p>
        </w:tc>
      </w:tr>
      <w:tr w:rsidR="00A67806" w:rsidRPr="00D15824" w:rsidTr="00373675">
        <w:tc>
          <w:tcPr>
            <w:tcW w:w="1980" w:type="dxa"/>
            <w:vMerge/>
            <w:vAlign w:val="center"/>
          </w:tcPr>
          <w:p w:rsidR="00A67806" w:rsidRPr="00D15824" w:rsidRDefault="00A67806" w:rsidP="00B26BB8">
            <w:pPr>
              <w:widowControl w:val="0"/>
              <w:jc w:val="center"/>
            </w:pPr>
          </w:p>
        </w:tc>
        <w:tc>
          <w:tcPr>
            <w:tcW w:w="5040" w:type="dxa"/>
            <w:vAlign w:val="center"/>
          </w:tcPr>
          <w:p w:rsidR="00A67806" w:rsidRPr="00D15824" w:rsidRDefault="00A67806" w:rsidP="00B26BB8">
            <w:pPr>
              <w:widowControl w:val="0"/>
              <w:jc w:val="center"/>
            </w:pPr>
            <w:r w:rsidRPr="00D15824">
              <w:t>New Records / Needs Review</w:t>
            </w:r>
            <w:r w:rsidR="00E65D76">
              <w:t xml:space="preserve"> (250)</w:t>
            </w:r>
            <w:r w:rsidR="00373675">
              <w:t xml:space="preserve"> </w:t>
            </w:r>
            <w:r w:rsidR="00373675" w:rsidRPr="00373675">
              <w:rPr>
                <w:i/>
                <w:sz w:val="18"/>
              </w:rPr>
              <w:t>(</w:t>
            </w:r>
            <w:r w:rsidR="00373675">
              <w:rPr>
                <w:i/>
                <w:sz w:val="18"/>
              </w:rPr>
              <w:t>un</w:t>
            </w:r>
            <w:r w:rsidR="00373675" w:rsidRPr="00373675">
              <w:rPr>
                <w:i/>
                <w:sz w:val="18"/>
              </w:rPr>
              <w:t>avoidable)</w:t>
            </w:r>
          </w:p>
        </w:tc>
      </w:tr>
      <w:tr w:rsidR="00A67806" w:rsidRPr="00D15824" w:rsidTr="00373675">
        <w:tc>
          <w:tcPr>
            <w:tcW w:w="1980" w:type="dxa"/>
            <w:vMerge w:val="restart"/>
            <w:vAlign w:val="center"/>
          </w:tcPr>
          <w:p w:rsidR="00A67806" w:rsidRPr="00D15824" w:rsidRDefault="00A67806" w:rsidP="00B26BB8">
            <w:pPr>
              <w:widowControl w:val="0"/>
              <w:jc w:val="center"/>
            </w:pPr>
            <w:r w:rsidRPr="00D15824">
              <w:t>Issue</w:t>
            </w:r>
          </w:p>
        </w:tc>
        <w:tc>
          <w:tcPr>
            <w:tcW w:w="5040" w:type="dxa"/>
            <w:vAlign w:val="center"/>
          </w:tcPr>
          <w:p w:rsidR="00A67806" w:rsidRPr="00D15824" w:rsidRDefault="00A67806" w:rsidP="00B26BB8">
            <w:pPr>
              <w:widowControl w:val="0"/>
              <w:jc w:val="center"/>
            </w:pPr>
            <w:r w:rsidRPr="00D15824">
              <w:t>New Issue</w:t>
            </w:r>
            <w:r w:rsidR="00E65D76">
              <w:t xml:space="preserve"> (250)</w:t>
            </w:r>
            <w:r w:rsidR="00F06E60">
              <w:t xml:space="preserve"> </w:t>
            </w:r>
            <w:r w:rsidR="00F06E60" w:rsidRPr="00373675">
              <w:rPr>
                <w:i/>
                <w:sz w:val="18"/>
              </w:rPr>
              <w:t>(</w:t>
            </w:r>
            <w:r w:rsidR="00F06E60">
              <w:rPr>
                <w:i/>
                <w:sz w:val="18"/>
              </w:rPr>
              <w:t>un</w:t>
            </w:r>
            <w:r w:rsidR="00F06E60" w:rsidRPr="00373675">
              <w:rPr>
                <w:i/>
                <w:sz w:val="18"/>
              </w:rPr>
              <w:t>avoidable</w:t>
            </w:r>
            <w:r w:rsidR="00F06E60">
              <w:rPr>
                <w:i/>
                <w:sz w:val="18"/>
              </w:rPr>
              <w:t>)</w:t>
            </w:r>
          </w:p>
        </w:tc>
      </w:tr>
      <w:tr w:rsidR="00A67806" w:rsidRPr="00D15824" w:rsidTr="00373675">
        <w:tc>
          <w:tcPr>
            <w:tcW w:w="1980" w:type="dxa"/>
            <w:vMerge/>
            <w:vAlign w:val="center"/>
          </w:tcPr>
          <w:p w:rsidR="00A67806" w:rsidRPr="00D15824" w:rsidRDefault="00A67806" w:rsidP="00B26BB8">
            <w:pPr>
              <w:widowControl w:val="0"/>
              <w:jc w:val="center"/>
            </w:pPr>
          </w:p>
        </w:tc>
        <w:tc>
          <w:tcPr>
            <w:tcW w:w="5040" w:type="dxa"/>
            <w:vAlign w:val="center"/>
          </w:tcPr>
          <w:p w:rsidR="00A67806" w:rsidRPr="00D15824" w:rsidRDefault="00A67806" w:rsidP="00B26BB8">
            <w:pPr>
              <w:widowControl w:val="0"/>
              <w:jc w:val="center"/>
            </w:pPr>
            <w:r w:rsidRPr="00D15824">
              <w:t>Missed Issue</w:t>
            </w:r>
            <w:r w:rsidR="00E65D76">
              <w:t xml:space="preserve"> (250)</w:t>
            </w:r>
            <w:r w:rsidR="00F06E60">
              <w:t xml:space="preserve"> </w:t>
            </w:r>
            <w:r w:rsidR="00F06E60" w:rsidRPr="00373675">
              <w:rPr>
                <w:i/>
                <w:sz w:val="18"/>
              </w:rPr>
              <w:t>(avoidable</w:t>
            </w:r>
            <w:r w:rsidR="00F06E60">
              <w:rPr>
                <w:i/>
                <w:sz w:val="18"/>
              </w:rPr>
              <w:t>)</w:t>
            </w:r>
          </w:p>
        </w:tc>
      </w:tr>
      <w:tr w:rsidR="00A67806" w:rsidRPr="00D15824" w:rsidTr="00373675">
        <w:tc>
          <w:tcPr>
            <w:tcW w:w="1980" w:type="dxa"/>
            <w:vMerge/>
            <w:vAlign w:val="center"/>
          </w:tcPr>
          <w:p w:rsidR="00A67806" w:rsidRPr="00D15824" w:rsidRDefault="00A67806" w:rsidP="00B26BB8">
            <w:pPr>
              <w:widowControl w:val="0"/>
              <w:jc w:val="center"/>
            </w:pPr>
          </w:p>
        </w:tc>
        <w:tc>
          <w:tcPr>
            <w:tcW w:w="5040" w:type="dxa"/>
            <w:vAlign w:val="center"/>
          </w:tcPr>
          <w:p w:rsidR="00A67806" w:rsidRPr="00D15824" w:rsidRDefault="00A67806" w:rsidP="00B26BB8">
            <w:pPr>
              <w:widowControl w:val="0"/>
              <w:jc w:val="center"/>
            </w:pPr>
            <w:r w:rsidRPr="00D15824">
              <w:t>Inferred Issue</w:t>
            </w:r>
            <w:r w:rsidR="00E65D76">
              <w:t xml:space="preserve"> (250)</w:t>
            </w:r>
            <w:r w:rsidR="00F06E60">
              <w:t xml:space="preserve"> </w:t>
            </w:r>
            <w:r w:rsidR="00F06E60" w:rsidRPr="00373675">
              <w:rPr>
                <w:i/>
                <w:sz w:val="18"/>
              </w:rPr>
              <w:t>(</w:t>
            </w:r>
            <w:r w:rsidR="00F06E60">
              <w:rPr>
                <w:i/>
                <w:sz w:val="18"/>
              </w:rPr>
              <w:t>un</w:t>
            </w:r>
            <w:r w:rsidR="00F06E60" w:rsidRPr="00373675">
              <w:rPr>
                <w:i/>
                <w:sz w:val="18"/>
              </w:rPr>
              <w:t>avoidable</w:t>
            </w:r>
            <w:r w:rsidR="00F06E60">
              <w:rPr>
                <w:i/>
                <w:sz w:val="18"/>
              </w:rPr>
              <w:t>)</w:t>
            </w:r>
          </w:p>
        </w:tc>
      </w:tr>
      <w:tr w:rsidR="00A67806" w:rsidRPr="00D15824" w:rsidTr="00373675">
        <w:tc>
          <w:tcPr>
            <w:tcW w:w="1980" w:type="dxa"/>
            <w:vMerge w:val="restart"/>
            <w:vAlign w:val="center"/>
          </w:tcPr>
          <w:p w:rsidR="00373675" w:rsidRPr="00002C1F" w:rsidRDefault="00A67806" w:rsidP="00002C1F">
            <w:pPr>
              <w:widowControl w:val="0"/>
              <w:jc w:val="center"/>
            </w:pPr>
            <w:r w:rsidRPr="00D15824">
              <w:t>Exam</w:t>
            </w:r>
          </w:p>
        </w:tc>
        <w:tc>
          <w:tcPr>
            <w:tcW w:w="5040" w:type="dxa"/>
            <w:vAlign w:val="center"/>
          </w:tcPr>
          <w:p w:rsidR="00A67806" w:rsidRPr="00D15824" w:rsidRDefault="00A67806" w:rsidP="00B26BB8">
            <w:pPr>
              <w:widowControl w:val="0"/>
              <w:jc w:val="center"/>
            </w:pPr>
            <w:r w:rsidRPr="00D15824">
              <w:t>Needs Exam</w:t>
            </w:r>
            <w:r w:rsidR="00E65D76">
              <w:t xml:space="preserve"> (250)</w:t>
            </w:r>
            <w:r w:rsidR="00F06E60">
              <w:t xml:space="preserve"> </w:t>
            </w:r>
            <w:r w:rsidR="00F06E60" w:rsidRPr="00373675">
              <w:rPr>
                <w:i/>
                <w:sz w:val="18"/>
              </w:rPr>
              <w:t>(avoidable</w:t>
            </w:r>
            <w:r w:rsidR="00F06E60">
              <w:rPr>
                <w:i/>
                <w:sz w:val="18"/>
              </w:rPr>
              <w:t>)</w:t>
            </w:r>
          </w:p>
        </w:tc>
      </w:tr>
      <w:tr w:rsidR="00A67806" w:rsidRPr="00D15824" w:rsidTr="00373675">
        <w:tc>
          <w:tcPr>
            <w:tcW w:w="1980" w:type="dxa"/>
            <w:vMerge/>
            <w:vAlign w:val="center"/>
          </w:tcPr>
          <w:p w:rsidR="00A67806" w:rsidRPr="00D15824" w:rsidRDefault="00A67806" w:rsidP="00B26BB8">
            <w:pPr>
              <w:widowControl w:val="0"/>
              <w:jc w:val="center"/>
            </w:pPr>
          </w:p>
        </w:tc>
        <w:tc>
          <w:tcPr>
            <w:tcW w:w="5040" w:type="dxa"/>
            <w:vAlign w:val="center"/>
          </w:tcPr>
          <w:p w:rsidR="00A67806" w:rsidRPr="00D15824" w:rsidRDefault="00A67806" w:rsidP="00B26BB8">
            <w:pPr>
              <w:widowControl w:val="0"/>
              <w:jc w:val="center"/>
            </w:pPr>
            <w:r w:rsidRPr="00D15824">
              <w:t>Opinion Needed</w:t>
            </w:r>
            <w:r w:rsidR="00E65D76">
              <w:t xml:space="preserve"> (6000)</w:t>
            </w:r>
            <w:r w:rsidR="00F06E60">
              <w:t xml:space="preserve"> </w:t>
            </w:r>
            <w:r w:rsidR="00F06E60" w:rsidRPr="00373675">
              <w:rPr>
                <w:i/>
                <w:sz w:val="18"/>
              </w:rPr>
              <w:t>(</w:t>
            </w:r>
            <w:r w:rsidR="00F06E60">
              <w:rPr>
                <w:i/>
                <w:sz w:val="18"/>
              </w:rPr>
              <w:t>un</w:t>
            </w:r>
            <w:r w:rsidR="00F06E60" w:rsidRPr="00373675">
              <w:rPr>
                <w:i/>
                <w:sz w:val="18"/>
              </w:rPr>
              <w:t>avoidable</w:t>
            </w:r>
            <w:r w:rsidR="00F06E60">
              <w:rPr>
                <w:i/>
                <w:sz w:val="18"/>
              </w:rPr>
              <w:t>)</w:t>
            </w:r>
          </w:p>
        </w:tc>
      </w:tr>
      <w:tr w:rsidR="00A67806" w:rsidRPr="00D15824" w:rsidTr="00373675">
        <w:tc>
          <w:tcPr>
            <w:tcW w:w="1980" w:type="dxa"/>
            <w:vMerge/>
            <w:vAlign w:val="center"/>
          </w:tcPr>
          <w:p w:rsidR="00A67806" w:rsidRPr="00D15824" w:rsidRDefault="00A67806" w:rsidP="00B26BB8">
            <w:pPr>
              <w:widowControl w:val="0"/>
              <w:jc w:val="center"/>
            </w:pPr>
          </w:p>
        </w:tc>
        <w:tc>
          <w:tcPr>
            <w:tcW w:w="5040" w:type="dxa"/>
            <w:vAlign w:val="center"/>
          </w:tcPr>
          <w:p w:rsidR="00A67806" w:rsidRPr="00D15824" w:rsidRDefault="00A67806" w:rsidP="00B26BB8">
            <w:pPr>
              <w:widowControl w:val="0"/>
              <w:jc w:val="center"/>
            </w:pPr>
            <w:r w:rsidRPr="00D15824">
              <w:t>Insufficient Exam</w:t>
            </w:r>
            <w:r w:rsidR="00E65D76">
              <w:t xml:space="preserve"> (250)</w:t>
            </w:r>
            <w:r w:rsidR="00F06E60">
              <w:t xml:space="preserve"> </w:t>
            </w:r>
            <w:r w:rsidR="00F06E60" w:rsidRPr="00373675">
              <w:rPr>
                <w:i/>
                <w:sz w:val="18"/>
              </w:rPr>
              <w:t>(</w:t>
            </w:r>
            <w:r w:rsidR="00F06E60">
              <w:rPr>
                <w:i/>
                <w:sz w:val="18"/>
              </w:rPr>
              <w:t>un</w:t>
            </w:r>
            <w:r w:rsidR="00F06E60" w:rsidRPr="00373675">
              <w:rPr>
                <w:i/>
                <w:sz w:val="18"/>
              </w:rPr>
              <w:t>avoidable</w:t>
            </w:r>
            <w:r w:rsidR="00F06E60">
              <w:rPr>
                <w:i/>
                <w:sz w:val="18"/>
              </w:rPr>
              <w:t>)</w:t>
            </w:r>
          </w:p>
        </w:tc>
      </w:tr>
      <w:tr w:rsidR="00A67806" w:rsidRPr="00D15824" w:rsidTr="00373675">
        <w:tc>
          <w:tcPr>
            <w:tcW w:w="1980" w:type="dxa"/>
            <w:vMerge/>
            <w:vAlign w:val="center"/>
          </w:tcPr>
          <w:p w:rsidR="00A67806" w:rsidRPr="00D15824" w:rsidRDefault="00A67806" w:rsidP="00B26BB8">
            <w:pPr>
              <w:widowControl w:val="0"/>
              <w:jc w:val="center"/>
            </w:pPr>
          </w:p>
        </w:tc>
        <w:tc>
          <w:tcPr>
            <w:tcW w:w="5040" w:type="dxa"/>
            <w:vAlign w:val="center"/>
          </w:tcPr>
          <w:p w:rsidR="00A67806" w:rsidRPr="00D15824" w:rsidRDefault="00A67806" w:rsidP="00B26BB8">
            <w:pPr>
              <w:widowControl w:val="0"/>
              <w:jc w:val="center"/>
            </w:pPr>
            <w:r w:rsidRPr="00D15824">
              <w:t>Clarification Needed</w:t>
            </w:r>
            <w:r w:rsidR="00E65D76">
              <w:t xml:space="preserve"> (250)</w:t>
            </w:r>
            <w:r w:rsidR="00F06E60">
              <w:t xml:space="preserve"> </w:t>
            </w:r>
            <w:r w:rsidR="00F06E60" w:rsidRPr="00373675">
              <w:rPr>
                <w:i/>
                <w:sz w:val="18"/>
              </w:rPr>
              <w:t>(</w:t>
            </w:r>
            <w:r w:rsidR="00F06E60">
              <w:rPr>
                <w:i/>
                <w:sz w:val="18"/>
              </w:rPr>
              <w:t>un</w:t>
            </w:r>
            <w:r w:rsidR="00F06E60" w:rsidRPr="00373675">
              <w:rPr>
                <w:i/>
                <w:sz w:val="18"/>
              </w:rPr>
              <w:t>avoidable</w:t>
            </w:r>
            <w:r w:rsidR="00F06E60">
              <w:rPr>
                <w:i/>
                <w:sz w:val="18"/>
              </w:rPr>
              <w:t>)</w:t>
            </w:r>
          </w:p>
        </w:tc>
      </w:tr>
      <w:tr w:rsidR="00A67806" w:rsidRPr="00D15824" w:rsidTr="00373675">
        <w:tc>
          <w:tcPr>
            <w:tcW w:w="1980" w:type="dxa"/>
            <w:vMerge w:val="restart"/>
            <w:vAlign w:val="center"/>
          </w:tcPr>
          <w:p w:rsidR="00A67806" w:rsidRPr="00D15824" w:rsidRDefault="00A67806" w:rsidP="00B26BB8">
            <w:pPr>
              <w:widowControl w:val="0"/>
              <w:jc w:val="center"/>
            </w:pPr>
            <w:r w:rsidRPr="00D15824">
              <w:t>Development</w:t>
            </w:r>
          </w:p>
        </w:tc>
        <w:tc>
          <w:tcPr>
            <w:tcW w:w="5040" w:type="dxa"/>
            <w:vAlign w:val="center"/>
          </w:tcPr>
          <w:p w:rsidR="00A67806" w:rsidRPr="00D15824" w:rsidRDefault="00A67806" w:rsidP="00B26BB8">
            <w:pPr>
              <w:widowControl w:val="0"/>
              <w:jc w:val="center"/>
            </w:pPr>
            <w:r w:rsidRPr="00D15824">
              <w:t>Missed Development</w:t>
            </w:r>
            <w:r w:rsidR="00E65D76">
              <w:t xml:space="preserve"> (250)</w:t>
            </w:r>
            <w:r w:rsidR="00F06E60">
              <w:t xml:space="preserve"> </w:t>
            </w:r>
            <w:r w:rsidR="00F06E60" w:rsidRPr="00373675">
              <w:rPr>
                <w:i/>
                <w:sz w:val="18"/>
              </w:rPr>
              <w:t>(avoidable</w:t>
            </w:r>
            <w:r w:rsidR="00F06E60">
              <w:rPr>
                <w:i/>
                <w:sz w:val="18"/>
              </w:rPr>
              <w:t>)</w:t>
            </w:r>
          </w:p>
        </w:tc>
      </w:tr>
      <w:tr w:rsidR="00A67806" w:rsidRPr="00D15824" w:rsidTr="00373675">
        <w:tc>
          <w:tcPr>
            <w:tcW w:w="1980" w:type="dxa"/>
            <w:vMerge/>
            <w:vAlign w:val="center"/>
          </w:tcPr>
          <w:p w:rsidR="00A67806" w:rsidRPr="00D15824" w:rsidRDefault="00A67806" w:rsidP="00B26BB8">
            <w:pPr>
              <w:widowControl w:val="0"/>
              <w:jc w:val="center"/>
            </w:pPr>
          </w:p>
        </w:tc>
        <w:tc>
          <w:tcPr>
            <w:tcW w:w="5040" w:type="dxa"/>
            <w:vAlign w:val="center"/>
          </w:tcPr>
          <w:p w:rsidR="00A67806" w:rsidRPr="00D15824" w:rsidRDefault="00A67806" w:rsidP="00B26BB8">
            <w:pPr>
              <w:widowControl w:val="0"/>
              <w:jc w:val="center"/>
            </w:pPr>
            <w:r w:rsidRPr="00D15824">
              <w:t>New Record / Needs Review</w:t>
            </w:r>
            <w:r w:rsidR="00E65D76">
              <w:t xml:space="preserve"> (250)</w:t>
            </w:r>
            <w:r w:rsidR="00F06E60">
              <w:t xml:space="preserve"> </w:t>
            </w:r>
            <w:r w:rsidR="00F06E60" w:rsidRPr="00373675">
              <w:rPr>
                <w:i/>
                <w:sz w:val="18"/>
              </w:rPr>
              <w:t>(</w:t>
            </w:r>
            <w:r w:rsidR="00F06E60">
              <w:rPr>
                <w:i/>
                <w:sz w:val="18"/>
              </w:rPr>
              <w:t>un</w:t>
            </w:r>
            <w:r w:rsidR="00F06E60" w:rsidRPr="00373675">
              <w:rPr>
                <w:i/>
                <w:sz w:val="18"/>
              </w:rPr>
              <w:t>avoidable</w:t>
            </w:r>
            <w:r w:rsidR="00F06E60">
              <w:rPr>
                <w:i/>
                <w:sz w:val="18"/>
              </w:rPr>
              <w:t>)</w:t>
            </w:r>
          </w:p>
        </w:tc>
      </w:tr>
    </w:tbl>
    <w:p w:rsidR="00A67806" w:rsidRPr="00885988" w:rsidRDefault="00A67806" w:rsidP="00F063AF">
      <w:pPr>
        <w:pStyle w:val="ListParagraph"/>
        <w:widowControl w:val="0"/>
        <w:numPr>
          <w:ilvl w:val="0"/>
          <w:numId w:val="278"/>
        </w:numPr>
        <w:spacing w:before="120" w:after="120" w:line="240" w:lineRule="auto"/>
        <w:rPr>
          <w:rFonts w:ascii="Arial" w:hAnsi="Arial"/>
          <w:i/>
          <w:sz w:val="20"/>
          <w:szCs w:val="20"/>
        </w:rPr>
      </w:pPr>
      <w:r w:rsidRPr="00885988">
        <w:rPr>
          <w:rFonts w:ascii="Arial" w:hAnsi="Arial"/>
          <w:sz w:val="20"/>
          <w:szCs w:val="20"/>
        </w:rPr>
        <w:t>Add bookmarked documents to the Supporting Documentation drop-down menu &amp; can furth</w:t>
      </w:r>
      <w:r w:rsidR="00993208">
        <w:rPr>
          <w:rFonts w:ascii="Arial" w:hAnsi="Arial"/>
          <w:sz w:val="20"/>
          <w:szCs w:val="20"/>
        </w:rPr>
        <w:t>er explain deferral, as needed</w:t>
      </w:r>
      <w:r w:rsidRPr="00885988">
        <w:rPr>
          <w:rFonts w:ascii="Arial" w:hAnsi="Arial"/>
          <w:sz w:val="20"/>
          <w:szCs w:val="20"/>
        </w:rPr>
        <w:t xml:space="preserve"> </w:t>
      </w:r>
      <w:r w:rsidR="00E65D76">
        <w:rPr>
          <w:rFonts w:ascii="Arial" w:hAnsi="Arial"/>
          <w:sz w:val="20"/>
          <w:szCs w:val="20"/>
        </w:rPr>
        <w:t>(all but Opinion Needed</w:t>
      </w:r>
      <w:r w:rsidR="0019390D">
        <w:rPr>
          <w:rFonts w:ascii="Arial" w:hAnsi="Arial"/>
          <w:sz w:val="20"/>
          <w:szCs w:val="20"/>
        </w:rPr>
        <w:t xml:space="preserve"> are limited to 250 characters, use Word – Review - Word Count (under Proofing))</w:t>
      </w:r>
    </w:p>
    <w:p w:rsidR="00A67806" w:rsidRPr="00D9718D" w:rsidRDefault="00A67806" w:rsidP="00F063AF">
      <w:pPr>
        <w:pStyle w:val="ListParagraph"/>
        <w:widowControl w:val="0"/>
        <w:numPr>
          <w:ilvl w:val="0"/>
          <w:numId w:val="278"/>
        </w:numPr>
        <w:spacing w:before="120" w:after="120" w:line="240" w:lineRule="auto"/>
      </w:pPr>
      <w:r>
        <w:rPr>
          <w:rFonts w:ascii="Arial" w:hAnsi="Arial"/>
          <w:sz w:val="20"/>
          <w:szCs w:val="20"/>
        </w:rPr>
        <w:t>Repeat steps if deferral applies to multiple contentions</w:t>
      </w:r>
    </w:p>
    <w:p w:rsidR="00A67806" w:rsidRPr="00D9718D" w:rsidRDefault="00A67806" w:rsidP="00F063AF">
      <w:pPr>
        <w:pStyle w:val="ListParagraph"/>
        <w:widowControl w:val="0"/>
        <w:numPr>
          <w:ilvl w:val="0"/>
          <w:numId w:val="278"/>
        </w:numPr>
        <w:spacing w:before="120" w:after="120" w:line="240" w:lineRule="auto"/>
      </w:pPr>
      <w:r>
        <w:rPr>
          <w:rFonts w:ascii="Arial" w:hAnsi="Arial"/>
          <w:sz w:val="20"/>
          <w:szCs w:val="20"/>
        </w:rPr>
        <w:t>Select “Finalize Draft” or add tracked item when ready (will change from DRAFT to PENDING)</w:t>
      </w:r>
    </w:p>
    <w:p w:rsidR="00A67806" w:rsidRPr="00D9718D" w:rsidRDefault="00A67806" w:rsidP="00F063AF">
      <w:pPr>
        <w:pStyle w:val="ListParagraph"/>
        <w:widowControl w:val="0"/>
        <w:numPr>
          <w:ilvl w:val="0"/>
          <w:numId w:val="278"/>
        </w:numPr>
        <w:spacing w:before="120" w:after="120" w:line="240" w:lineRule="auto"/>
        <w:rPr>
          <w:i/>
        </w:rPr>
      </w:pPr>
      <w:r w:rsidRPr="00D9718D">
        <w:rPr>
          <w:rFonts w:ascii="Arial" w:hAnsi="Arial"/>
          <w:i/>
          <w:sz w:val="20"/>
          <w:szCs w:val="20"/>
        </w:rPr>
        <w:t>Have 2 days to submit rebuttal to QRT Team &amp; Coach, will get response in 2 days</w:t>
      </w:r>
    </w:p>
    <w:p w:rsidR="00813235" w:rsidRPr="00002C1F" w:rsidRDefault="00A67806" w:rsidP="00F063AF">
      <w:pPr>
        <w:pStyle w:val="ListParagraph"/>
        <w:widowControl w:val="0"/>
        <w:numPr>
          <w:ilvl w:val="0"/>
          <w:numId w:val="278"/>
        </w:numPr>
        <w:spacing w:before="120" w:after="120" w:line="240" w:lineRule="auto"/>
        <w:rPr>
          <w:i/>
        </w:rPr>
      </w:pPr>
      <w:r w:rsidRPr="00D9718D">
        <w:rPr>
          <w:rFonts w:ascii="Arial" w:hAnsi="Arial"/>
          <w:i/>
          <w:sz w:val="20"/>
          <w:szCs w:val="20"/>
        </w:rPr>
        <w:t>Have 5 days to complete corrective actions</w:t>
      </w:r>
    </w:p>
    <w:p w:rsidR="00002C1F" w:rsidRDefault="00002C1F" w:rsidP="00002C1F">
      <w:pPr>
        <w:widowControl w:val="0"/>
        <w:spacing w:before="120" w:after="120"/>
        <w:rPr>
          <w:i/>
        </w:rPr>
      </w:pPr>
    </w:p>
    <w:p w:rsidR="00002C1F" w:rsidRDefault="00002C1F" w:rsidP="00002C1F">
      <w:r>
        <w:rPr>
          <w:b/>
          <w:bCs/>
        </w:rPr>
        <w:t>From:</w:t>
      </w:r>
      <w:r>
        <w:t xml:space="preserve"> VAVBASDC/RO/VSC </w:t>
      </w:r>
      <w:r>
        <w:br/>
      </w:r>
      <w:r>
        <w:rPr>
          <w:b/>
          <w:bCs/>
        </w:rPr>
        <w:t>Sent:</w:t>
      </w:r>
      <w:r>
        <w:t xml:space="preserve"> Tuesday, June 19, 2018 2:45 PM</w:t>
      </w:r>
      <w:r>
        <w:br/>
      </w:r>
      <w:r>
        <w:rPr>
          <w:b/>
          <w:bCs/>
        </w:rPr>
        <w:t>Subject:</w:t>
      </w:r>
      <w:r>
        <w:t xml:space="preserve"> Q-Tip: Deferring in VBMS</w:t>
      </w:r>
    </w:p>
    <w:p w:rsidR="00002C1F" w:rsidRDefault="00002C1F" w:rsidP="00002C1F">
      <w:pPr>
        <w:rPr>
          <w:rFonts w:eastAsiaTheme="minorHAnsi"/>
        </w:rPr>
      </w:pPr>
    </w:p>
    <w:p w:rsidR="00002C1F" w:rsidRDefault="00002C1F" w:rsidP="00002C1F">
      <w:r>
        <w:t>All VSC Employees,</w:t>
      </w:r>
    </w:p>
    <w:p w:rsidR="00002C1F" w:rsidRDefault="00002C1F" w:rsidP="00002C1F">
      <w:pPr>
        <w:rPr>
          <w:b/>
          <w:bCs/>
          <w:u w:val="single"/>
        </w:rPr>
      </w:pPr>
    </w:p>
    <w:p w:rsidR="00002C1F" w:rsidRDefault="00002C1F" w:rsidP="00002C1F">
      <w:pPr>
        <w:rPr>
          <w:b/>
          <w:bCs/>
          <w:u w:val="single"/>
        </w:rPr>
      </w:pPr>
      <w:r>
        <w:rPr>
          <w:b/>
          <w:bCs/>
          <w:u w:val="single"/>
        </w:rPr>
        <w:t>Q-Tip:  Deferring in VBMS</w:t>
      </w:r>
    </w:p>
    <w:p w:rsidR="00002C1F" w:rsidRDefault="00002C1F" w:rsidP="00002C1F">
      <w:pPr>
        <w:rPr>
          <w:b/>
          <w:bCs/>
          <w:u w:val="single"/>
        </w:rPr>
      </w:pPr>
    </w:p>
    <w:p w:rsidR="00002C1F" w:rsidRDefault="00002C1F" w:rsidP="00002C1F">
      <w:pPr>
        <w:rPr>
          <w:b/>
          <w:bCs/>
        </w:rPr>
      </w:pPr>
      <w:r>
        <w:rPr>
          <w:b/>
          <w:bCs/>
        </w:rPr>
        <w:t>Target Audience:  All claims processors</w:t>
      </w:r>
    </w:p>
    <w:p w:rsidR="00002C1F" w:rsidRDefault="00002C1F" w:rsidP="00002C1F"/>
    <w:p w:rsidR="00002C1F" w:rsidRDefault="00002C1F" w:rsidP="00002C1F">
      <w:r>
        <w:t xml:space="preserve">This Quality Tip serves as a reminder for the proper steps required to defer claims in VBMS.  Additionally, the attached Avoidable vs. Unavoidable Reasons spreadsheet is provided for your reference to properly classify deferrals based on the actions that are needed.  </w:t>
      </w:r>
    </w:p>
    <w:p w:rsidR="00002C1F" w:rsidRDefault="00002C1F" w:rsidP="00002C1F"/>
    <w:p w:rsidR="00002C1F" w:rsidRDefault="00002C1F" w:rsidP="00002C1F">
      <w:r>
        <w:t>VBMS allows claims processors to return a claim to an earlier place of the claim cycle to correct either an avoidable or unavoidable erroneous action.  It is important to properly defer claims in VBMS to ensure optimal processing of claims.</w:t>
      </w:r>
    </w:p>
    <w:p w:rsidR="00002C1F" w:rsidRDefault="00002C1F" w:rsidP="00002C1F"/>
    <w:p w:rsidR="00002C1F" w:rsidRDefault="00002C1F" w:rsidP="00002C1F">
      <w:r>
        <w:rPr>
          <w:b/>
          <w:bCs/>
          <w:highlight w:val="red"/>
        </w:rPr>
        <w:t>Avoidable deferral</w:t>
      </w:r>
      <w:r>
        <w:t xml:space="preserve"> </w:t>
      </w:r>
      <w:r>
        <w:rPr>
          <w:b/>
          <w:bCs/>
        </w:rPr>
        <w:t>= erroneous claims processing based on failure to follow established regulations, policies or procedures by a claims processor.</w:t>
      </w:r>
    </w:p>
    <w:p w:rsidR="00002C1F" w:rsidRDefault="00002C1F" w:rsidP="00002C1F"/>
    <w:p w:rsidR="00002C1F" w:rsidRDefault="00002C1F" w:rsidP="00002C1F">
      <w:pPr>
        <w:ind w:left="720"/>
      </w:pPr>
      <w:r>
        <w:rPr>
          <w:b/>
          <w:bCs/>
        </w:rPr>
        <w:t>Example:</w:t>
      </w:r>
      <w:r>
        <w:t xml:space="preserve">  A claim is made RFD by a VSR but service has not been verified.  In this instance it is necessary to defer the claim for verification of service.  As this action should have been completed prior to sending the claim RFD the primary deferral reason is “development” and the detailed description is “missed development”.  </w:t>
      </w:r>
    </w:p>
    <w:p w:rsidR="00002C1F" w:rsidRDefault="00002C1F" w:rsidP="00002C1F">
      <w:pPr>
        <w:ind w:left="720"/>
      </w:pPr>
    </w:p>
    <w:p w:rsidR="00002C1F" w:rsidRDefault="00002C1F" w:rsidP="00002C1F">
      <w:r>
        <w:rPr>
          <w:b/>
          <w:bCs/>
          <w:highlight w:val="green"/>
        </w:rPr>
        <w:t>Unavoidable deferral</w:t>
      </w:r>
      <w:r>
        <w:t xml:space="preserve"> </w:t>
      </w:r>
      <w:r>
        <w:rPr>
          <w:b/>
          <w:bCs/>
        </w:rPr>
        <w:t>= erroneous claims processing caused by an action outside of the control of the claims processor.</w:t>
      </w:r>
    </w:p>
    <w:p w:rsidR="00002C1F" w:rsidRDefault="00002C1F" w:rsidP="00002C1F"/>
    <w:p w:rsidR="00002C1F" w:rsidRDefault="00002C1F" w:rsidP="00002C1F">
      <w:pPr>
        <w:ind w:left="720"/>
      </w:pPr>
      <w:r>
        <w:rPr>
          <w:b/>
          <w:bCs/>
        </w:rPr>
        <w:t>Example:</w:t>
      </w:r>
      <w:r>
        <w:t>  A claim is made RFD by a VSR, but while the claim is pending a decision a new claim for increase is received.  In this instance it may be necessary to defer the claim for any required VA examinations.  As the new claim was received after the claim was sent RFD, the primary deferral reason is “development” and the detailed description is “new records/needs review”.  This is classified as an unavoidable deferral.</w:t>
      </w:r>
    </w:p>
    <w:p w:rsidR="00002C1F" w:rsidRDefault="00002C1F" w:rsidP="00002C1F"/>
    <w:p w:rsidR="00002C1F" w:rsidRDefault="00002C1F" w:rsidP="00002C1F">
      <w:pPr>
        <w:rPr>
          <w:b/>
          <w:bCs/>
          <w:u w:val="single"/>
        </w:rPr>
      </w:pPr>
      <w:r>
        <w:rPr>
          <w:b/>
          <w:bCs/>
          <w:u w:val="single"/>
        </w:rPr>
        <w:t>Reminders:</w:t>
      </w:r>
    </w:p>
    <w:p w:rsidR="00002C1F" w:rsidRDefault="00002C1F" w:rsidP="00002C1F"/>
    <w:p w:rsidR="00002C1F" w:rsidRDefault="00002C1F" w:rsidP="00F063AF">
      <w:pPr>
        <w:numPr>
          <w:ilvl w:val="0"/>
          <w:numId w:val="442"/>
        </w:numPr>
        <w:overflowPunct/>
        <w:autoSpaceDE/>
        <w:autoSpaceDN/>
        <w:adjustRightInd/>
        <w:textAlignment w:val="auto"/>
        <w:rPr>
          <w:b/>
          <w:bCs/>
          <w:i/>
          <w:iCs/>
        </w:rPr>
      </w:pPr>
      <w:r>
        <w:rPr>
          <w:b/>
          <w:bCs/>
          <w:u w:val="single"/>
        </w:rPr>
        <w:t>All</w:t>
      </w:r>
      <w:r>
        <w:rPr>
          <w:b/>
          <w:bCs/>
        </w:rPr>
        <w:t xml:space="preserve"> </w:t>
      </w:r>
      <w:r>
        <w:t>deferrals must contain a manual reference to support the deferred action</w:t>
      </w:r>
    </w:p>
    <w:p w:rsidR="00002C1F" w:rsidRDefault="00002C1F" w:rsidP="00F063AF">
      <w:pPr>
        <w:numPr>
          <w:ilvl w:val="0"/>
          <w:numId w:val="442"/>
        </w:numPr>
        <w:overflowPunct/>
        <w:autoSpaceDE/>
        <w:autoSpaceDN/>
        <w:adjustRightInd/>
        <w:textAlignment w:val="auto"/>
        <w:rPr>
          <w:b/>
          <w:bCs/>
          <w:i/>
          <w:iCs/>
        </w:rPr>
      </w:pPr>
      <w:r>
        <w:t>Any relevant evidence or documents in VBMS must be properly bookmarked and associated to a deferral.</w:t>
      </w:r>
    </w:p>
    <w:p w:rsidR="00002C1F" w:rsidRPr="00002C1F" w:rsidRDefault="00002C1F" w:rsidP="00F063AF">
      <w:pPr>
        <w:numPr>
          <w:ilvl w:val="0"/>
          <w:numId w:val="442"/>
        </w:numPr>
        <w:overflowPunct/>
        <w:autoSpaceDE/>
        <w:autoSpaceDN/>
        <w:adjustRightInd/>
        <w:textAlignment w:val="auto"/>
        <w:rPr>
          <w:b/>
          <w:bCs/>
          <w:i/>
          <w:iCs/>
        </w:rPr>
      </w:pPr>
      <w:r>
        <w:t xml:space="preserve">A separate VA Form 21-6789 is not required unless additional information is needed to address all actions and </w:t>
      </w:r>
      <w:r w:rsidRPr="00002C1F">
        <w:t>exceed the allowable character restrictions in VBMS.</w:t>
      </w:r>
    </w:p>
    <w:p w:rsidR="00002C1F" w:rsidRPr="00002C1F" w:rsidRDefault="00002C1F" w:rsidP="00002C1F">
      <w:pPr>
        <w:pStyle w:val="ListParagraph"/>
        <w:rPr>
          <w:rFonts w:ascii="Arial" w:eastAsiaTheme="minorHAnsi" w:hAnsi="Arial"/>
          <w:b/>
          <w:bCs/>
          <w:i/>
          <w:iCs/>
          <w:sz w:val="20"/>
          <w:szCs w:val="20"/>
          <w:highlight w:val="yellow"/>
        </w:rPr>
      </w:pPr>
      <w:r w:rsidRPr="00002C1F">
        <w:rPr>
          <w:rFonts w:ascii="Arial" w:hAnsi="Arial"/>
          <w:sz w:val="20"/>
          <w:szCs w:val="20"/>
          <w:highlight w:val="yellow"/>
        </w:rPr>
        <w:t xml:space="preserve">**Note:  The option to defer a claim in VBMS is currently only available to rating EPs.  All non-rating EPs require a blue plate to be uploaded outlining the required development needed </w:t>
      </w:r>
      <w:r w:rsidRPr="00002C1F">
        <w:rPr>
          <w:rFonts w:ascii="Arial" w:hAnsi="Arial"/>
          <w:b/>
          <w:bCs/>
          <w:sz w:val="20"/>
          <w:szCs w:val="20"/>
          <w:highlight w:val="yellow"/>
        </w:rPr>
        <w:t xml:space="preserve">and </w:t>
      </w:r>
      <w:r w:rsidRPr="00002C1F">
        <w:rPr>
          <w:rFonts w:ascii="Arial" w:hAnsi="Arial"/>
          <w:sz w:val="20"/>
          <w:szCs w:val="20"/>
          <w:highlight w:val="yellow"/>
        </w:rPr>
        <w:t>corroboration between teams to complete these actions.</w:t>
      </w:r>
    </w:p>
    <w:p w:rsidR="00813235" w:rsidRPr="00CF59A7" w:rsidRDefault="00002C1F" w:rsidP="00CF59A7">
      <w:pPr>
        <w:pBdr>
          <w:top w:val="double" w:sz="4" w:space="1" w:color="auto"/>
          <w:left w:val="double" w:sz="4" w:space="4" w:color="auto"/>
          <w:bottom w:val="double" w:sz="4" w:space="1" w:color="auto"/>
          <w:right w:val="double" w:sz="4" w:space="4" w:color="auto"/>
        </w:pBdr>
        <w:shd w:val="clear" w:color="auto" w:fill="FFC000"/>
        <w:ind w:left="360"/>
        <w:rPr>
          <w:rFonts w:eastAsiaTheme="minorHAnsi"/>
        </w:rPr>
      </w:pPr>
      <w:r>
        <w:rPr>
          <w:rFonts w:eastAsiaTheme="minorHAnsi"/>
          <w:b/>
        </w:rPr>
        <w:t>Avoidable v unavoidable Reasons</w:t>
      </w:r>
      <w:r w:rsidRPr="00002C1F">
        <w:rPr>
          <w:rFonts w:eastAsiaTheme="minorHAnsi"/>
          <w:b/>
        </w:rPr>
        <w:t>.</w:t>
      </w:r>
      <w:r>
        <w:rPr>
          <w:rFonts w:eastAsiaTheme="minorHAnsi"/>
          <w:b/>
        </w:rPr>
        <w:t>xlsm</w:t>
      </w:r>
      <w:r>
        <w:rPr>
          <w:rFonts w:eastAsiaTheme="minorHAnsi"/>
        </w:rPr>
        <w:t xml:space="preserve"> &amp; </w:t>
      </w:r>
      <w:r w:rsidRPr="00002C1F">
        <w:rPr>
          <w:b/>
        </w:rPr>
        <w:t>Order of Operations for Completing Deferred Rating Decisions</w:t>
      </w:r>
      <w:r>
        <w:rPr>
          <w:rFonts w:eastAsiaTheme="minorHAnsi"/>
        </w:rPr>
        <w:t xml:space="preserve"> are</w:t>
      </w:r>
      <w:r w:rsidRPr="00002C1F">
        <w:rPr>
          <w:rFonts w:eastAsiaTheme="minorHAnsi"/>
        </w:rPr>
        <w:t xml:space="preserve"> </w:t>
      </w:r>
      <w:r w:rsidRPr="0036376C">
        <w:t xml:space="preserve">saved at </w:t>
      </w:r>
      <w:r w:rsidRPr="00002C1F">
        <w:rPr>
          <w:b/>
          <w:bCs/>
          <w:i/>
          <w:iCs/>
        </w:rPr>
        <w:t>H:\VSC\Rating Reference</w:t>
      </w:r>
    </w:p>
    <w:p w:rsidR="00002C1F" w:rsidRPr="00813235" w:rsidRDefault="00002C1F" w:rsidP="00813235">
      <w:pPr>
        <w:widowControl w:val="0"/>
        <w:spacing w:before="120" w:after="120"/>
        <w:rPr>
          <w:i/>
        </w:rPr>
      </w:pPr>
    </w:p>
    <w:p w:rsidR="00813235" w:rsidRPr="00813235" w:rsidRDefault="00813235" w:rsidP="00813235">
      <w:pPr>
        <w:pStyle w:val="BodyText2"/>
        <w:pBdr>
          <w:top w:val="double" w:sz="4" w:space="1" w:color="auto"/>
        </w:pBdr>
        <w:rPr>
          <w:b w:val="0"/>
          <w:bCs w:val="0"/>
          <w:sz w:val="22"/>
          <w:szCs w:val="22"/>
        </w:rPr>
      </w:pPr>
    </w:p>
    <w:p w:rsidR="008A516D" w:rsidRDefault="008A516D"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r>
        <w:rPr>
          <w:i/>
          <w:u w:val="single"/>
        </w:rPr>
        <w:t>GENERIC NOT RFD</w:t>
      </w:r>
    </w:p>
    <w:p w:rsidR="008A516D" w:rsidRPr="00813235" w:rsidRDefault="008A516D" w:rsidP="008A516D">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for deferral:</w:t>
      </w:r>
      <w:r>
        <w:rPr>
          <w:i/>
        </w:rPr>
        <w:t xml:space="preserve">  </w:t>
      </w:r>
      <w:r w:rsidRPr="008A516D">
        <w:rPr>
          <w:i/>
        </w:rPr>
        <w:t>… *See Claim Note for details.  [*OR had 6000 characters for Exam - Opinion Needed]</w:t>
      </w:r>
    </w:p>
    <w:p w:rsidR="008A516D" w:rsidRDefault="008A516D" w:rsidP="008A516D">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Claim Note:  </w:t>
      </w:r>
      <w:r w:rsidRPr="008A516D">
        <w:rPr>
          <w:i/>
        </w:rPr>
        <w:t>Claim is not RFD. We need ... Deferral done.</w:t>
      </w:r>
    </w:p>
    <w:p w:rsidR="008A516D" w:rsidRDefault="008A516D" w:rsidP="008A516D">
      <w:pPr>
        <w:widowControl w:val="0"/>
        <w:pBdr>
          <w:top w:val="single" w:sz="2" w:space="1" w:color="auto"/>
          <w:left w:val="single" w:sz="2" w:space="4" w:color="auto"/>
          <w:bottom w:val="single" w:sz="2" w:space="1" w:color="auto"/>
          <w:right w:val="single" w:sz="2" w:space="4" w:color="auto"/>
        </w:pBdr>
        <w:spacing w:before="120" w:after="120"/>
        <w:rPr>
          <w:i/>
        </w:rPr>
      </w:pPr>
    </w:p>
    <w:p w:rsidR="008A516D" w:rsidRPr="00813235" w:rsidRDefault="008A516D" w:rsidP="008A516D">
      <w:pPr>
        <w:widowControl w:val="0"/>
        <w:pBdr>
          <w:top w:val="single" w:sz="2" w:space="1" w:color="auto"/>
          <w:left w:val="single" w:sz="2" w:space="4" w:color="auto"/>
          <w:bottom w:val="single" w:sz="2" w:space="1" w:color="auto"/>
          <w:right w:val="single" w:sz="2" w:space="4" w:color="auto"/>
        </w:pBdr>
        <w:spacing w:before="120" w:after="120"/>
        <w:rPr>
          <w:i/>
          <w:u w:val="single"/>
        </w:rPr>
      </w:pPr>
      <w:r>
        <w:rPr>
          <w:i/>
          <w:u w:val="single"/>
        </w:rPr>
        <w:t>PARTIAL GRANT</w:t>
      </w:r>
      <w:r w:rsidRPr="00813235">
        <w:rPr>
          <w:i/>
          <w:u w:val="single"/>
        </w:rPr>
        <w:t>:</w:t>
      </w:r>
    </w:p>
    <w:p w:rsidR="008A516D" w:rsidRPr="00813235" w:rsidRDefault="008A516D" w:rsidP="008A516D">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deferral:  </w:t>
      </w:r>
      <w:r w:rsidRPr="008A516D">
        <w:rPr>
          <w:i/>
        </w:rPr>
        <w:t>… *See Claim Note for details.  [*OR had 6000 characters for Exam - Opinion Needed]</w:t>
      </w:r>
    </w:p>
    <w:p w:rsidR="008A516D" w:rsidRDefault="008A516D" w:rsidP="008A516D">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Claim Note:  </w:t>
      </w:r>
      <w:r>
        <w:rPr>
          <w:i/>
        </w:rPr>
        <w:t>Partial grant &amp; deferral done</w:t>
      </w:r>
      <w:r w:rsidRPr="00813235">
        <w:rPr>
          <w:i/>
        </w:rPr>
        <w:t xml:space="preserve">. We need </w:t>
      </w:r>
      <w:r>
        <w:rPr>
          <w:i/>
        </w:rPr>
        <w:t>…</w:t>
      </w:r>
    </w:p>
    <w:p w:rsidR="000B4512" w:rsidRDefault="00034779" w:rsidP="000B4512">
      <w:pPr>
        <w:widowControl w:val="0"/>
        <w:pBdr>
          <w:top w:val="single" w:sz="2" w:space="1" w:color="auto"/>
          <w:left w:val="single" w:sz="2" w:space="4" w:color="auto"/>
          <w:bottom w:val="single" w:sz="2" w:space="1" w:color="auto"/>
          <w:right w:val="single" w:sz="2" w:space="4" w:color="auto"/>
        </w:pBdr>
        <w:spacing w:before="120" w:after="120"/>
        <w:rPr>
          <w:i/>
        </w:rPr>
      </w:pPr>
      <w:r>
        <w:rPr>
          <w:i/>
        </w:rPr>
        <w:t>Rating Note:  We need…</w:t>
      </w:r>
    </w:p>
    <w:p w:rsidR="000B4512" w:rsidRPr="000B4512" w:rsidRDefault="000B4512" w:rsidP="000B4512">
      <w:pPr>
        <w:widowControl w:val="0"/>
        <w:pBdr>
          <w:top w:val="single" w:sz="2" w:space="1" w:color="auto"/>
          <w:left w:val="single" w:sz="2" w:space="4" w:color="auto"/>
          <w:bottom w:val="single" w:sz="2" w:space="1" w:color="auto"/>
          <w:right w:val="single" w:sz="2" w:space="4" w:color="auto"/>
        </w:pBdr>
        <w:spacing w:before="120" w:after="120"/>
        <w:rPr>
          <w:rFonts w:ascii="Calibri" w:hAnsi="Calibri"/>
          <w:sz w:val="16"/>
        </w:rPr>
      </w:pPr>
      <w:r w:rsidRPr="000B4512">
        <w:rPr>
          <w:i/>
          <w:color w:val="00B050"/>
          <w:szCs w:val="24"/>
        </w:rPr>
        <w:t>My Notes:</w:t>
      </w:r>
      <w:r w:rsidRPr="000B4512">
        <w:rPr>
          <w:color w:val="00B050"/>
          <w:szCs w:val="24"/>
        </w:rPr>
        <w:t xml:space="preserve">  </w:t>
      </w:r>
      <w:r w:rsidRPr="000B4512">
        <w:rPr>
          <w:i/>
          <w:color w:val="000000"/>
          <w:szCs w:val="24"/>
        </w:rPr>
        <w:t>If doing a partial grant, create &amp; finalize deferral in VBMS (claim will change to OPEN status), THEN finalize rating (ensure claim is in RDC status).</w:t>
      </w:r>
    </w:p>
    <w:p w:rsidR="000B4512" w:rsidRDefault="000B4512"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p>
    <w:p w:rsidR="00D449B3" w:rsidRPr="00813235" w:rsidRDefault="00D449B3" w:rsidP="00D449B3">
      <w:pPr>
        <w:widowControl w:val="0"/>
        <w:pBdr>
          <w:top w:val="single" w:sz="2" w:space="1" w:color="auto"/>
          <w:left w:val="single" w:sz="2" w:space="4" w:color="auto"/>
          <w:bottom w:val="single" w:sz="2" w:space="1" w:color="auto"/>
          <w:right w:val="single" w:sz="2" w:space="4" w:color="auto"/>
        </w:pBdr>
        <w:spacing w:before="120" w:after="120"/>
        <w:rPr>
          <w:i/>
          <w:u w:val="single"/>
        </w:rPr>
      </w:pPr>
      <w:r w:rsidRPr="00813235">
        <w:rPr>
          <w:i/>
          <w:u w:val="single"/>
        </w:rPr>
        <w:t xml:space="preserve">NEED </w:t>
      </w:r>
      <w:r>
        <w:rPr>
          <w:i/>
          <w:u w:val="single"/>
        </w:rPr>
        <w:t xml:space="preserve">DBQ &amp; </w:t>
      </w:r>
      <w:r w:rsidRPr="00813235">
        <w:rPr>
          <w:i/>
          <w:u w:val="single"/>
        </w:rPr>
        <w:t>DIRECT OPINION:</w:t>
      </w:r>
    </w:p>
    <w:p w:rsidR="00D449B3" w:rsidRPr="00813235" w:rsidRDefault="00D449B3" w:rsidP="00D449B3">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for deferral:</w:t>
      </w:r>
      <w:r>
        <w:rPr>
          <w:i/>
        </w:rPr>
        <w:t xml:space="preserve">  We need a DBQ with direct opinion for {}. </w:t>
      </w:r>
      <w:r w:rsidRPr="00813235">
        <w:rPr>
          <w:i/>
        </w:rPr>
        <w:t xml:space="preserve">*See Claim Note for details. </w:t>
      </w:r>
    </w:p>
    <w:p w:rsidR="00D449B3" w:rsidRDefault="00D449B3" w:rsidP="00D449B3">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w:t>
      </w:r>
      <w:r>
        <w:rPr>
          <w:i/>
        </w:rPr>
        <w:t>Claim Note:  Claim is not RFD. We need a DBQ with d</w:t>
      </w:r>
      <w:r w:rsidRPr="00813235">
        <w:rPr>
          <w:i/>
        </w:rPr>
        <w:t xml:space="preserve">irect opinion needed for {} based on {}. </w:t>
      </w:r>
      <w:r>
        <w:rPr>
          <w:i/>
        </w:rPr>
        <w:t>Deferral done.</w:t>
      </w:r>
    </w:p>
    <w:p w:rsidR="00D449B3" w:rsidRDefault="00D449B3"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p>
    <w:p w:rsidR="00813235" w:rsidRP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r w:rsidRPr="00813235">
        <w:rPr>
          <w:i/>
          <w:u w:val="single"/>
        </w:rPr>
        <w:t>NEED DIRECT OPINION:</w:t>
      </w:r>
    </w:p>
    <w:p w:rsidR="00813235" w:rsidRP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for deferral:</w:t>
      </w:r>
      <w:r>
        <w:rPr>
          <w:i/>
        </w:rPr>
        <w:t xml:space="preserve">  </w:t>
      </w:r>
      <w:r w:rsidR="00D449B3">
        <w:rPr>
          <w:i/>
        </w:rPr>
        <w:t>We need a d</w:t>
      </w:r>
      <w:r>
        <w:rPr>
          <w:i/>
        </w:rPr>
        <w:t xml:space="preserve">irect opinion </w:t>
      </w:r>
      <w:r w:rsidR="00D449B3">
        <w:rPr>
          <w:i/>
        </w:rPr>
        <w:t>f</w:t>
      </w:r>
      <w:r>
        <w:rPr>
          <w:i/>
        </w:rPr>
        <w:t xml:space="preserve">or {}. </w:t>
      </w:r>
      <w:r w:rsidRPr="00813235">
        <w:rPr>
          <w:i/>
        </w:rPr>
        <w:t xml:space="preserve">*See Claim Note for details. </w:t>
      </w:r>
    </w:p>
    <w:p w:rsid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Claim Note:  Claim is not RFD. </w:t>
      </w:r>
      <w:r w:rsidR="00D449B3">
        <w:rPr>
          <w:i/>
        </w:rPr>
        <w:t>We need a direct opinion</w:t>
      </w:r>
      <w:r w:rsidRPr="00813235">
        <w:rPr>
          <w:i/>
        </w:rPr>
        <w:t xml:space="preserve"> for {} based on {}. </w:t>
      </w:r>
      <w:r w:rsidR="008A516D">
        <w:rPr>
          <w:i/>
        </w:rPr>
        <w:t>Deferral done.</w:t>
      </w:r>
    </w:p>
    <w:p w:rsidR="00A430A4" w:rsidRDefault="00A430A4" w:rsidP="0056668B">
      <w:pPr>
        <w:widowControl w:val="0"/>
        <w:pBdr>
          <w:top w:val="single" w:sz="2" w:space="1" w:color="auto"/>
          <w:left w:val="single" w:sz="2" w:space="4" w:color="auto"/>
          <w:bottom w:val="single" w:sz="2" w:space="1" w:color="auto"/>
          <w:right w:val="single" w:sz="2" w:space="4" w:color="auto"/>
        </w:pBdr>
        <w:spacing w:before="120" w:after="120"/>
        <w:rPr>
          <w:i/>
        </w:rPr>
      </w:pPr>
    </w:p>
    <w:p w:rsidR="00935122" w:rsidRPr="00935122" w:rsidRDefault="00935122"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r w:rsidRPr="00935122">
        <w:rPr>
          <w:i/>
          <w:u w:val="single"/>
        </w:rPr>
        <w:t>NEED DBQ &amp; DIRECT OPINION ON 3.309 DISABILITY:</w:t>
      </w:r>
    </w:p>
    <w:p w:rsidR="00935122" w:rsidRPr="00935122" w:rsidRDefault="00935122"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935122">
        <w:rPr>
          <w:i/>
        </w:rPr>
        <w:t>for deferral:  We need a DBQ with direct opinion for {}. *See Claim Note for details.</w:t>
      </w:r>
    </w:p>
    <w:p w:rsidR="00935122" w:rsidRDefault="008A516D" w:rsidP="0056668B">
      <w:pPr>
        <w:widowControl w:val="0"/>
        <w:pBdr>
          <w:top w:val="single" w:sz="2" w:space="1" w:color="auto"/>
          <w:left w:val="single" w:sz="2" w:space="4" w:color="auto"/>
          <w:bottom w:val="single" w:sz="2" w:space="1" w:color="auto"/>
          <w:right w:val="single" w:sz="2" w:space="4" w:color="auto"/>
        </w:pBdr>
        <w:spacing w:before="120" w:after="120"/>
        <w:rPr>
          <w:i/>
        </w:rPr>
      </w:pPr>
      <w:r>
        <w:rPr>
          <w:i/>
        </w:rPr>
        <w:t>for Claim Note:  C</w:t>
      </w:r>
      <w:r w:rsidR="00935122" w:rsidRPr="00935122">
        <w:rPr>
          <w:i/>
        </w:rPr>
        <w:t>laim is not RFD. We Need a Migraines DBQ with direct opinion. We have all 3 elements. Please note that although "recurring migraine headaches" was noted in the STRs &amp; migraine headaches are included in 3.309(a) under   other organic diseases of the nervous system, an opinion is needed based on Walker, which says "if a condition noted in service or in a presumptive period is not clearly identified as a chronic disease during such periods, a showing of continuity of symptomatology is necessary to establish service connection for the d</w:t>
      </w:r>
      <w:r w:rsidR="00331125">
        <w:rPr>
          <w:i/>
        </w:rPr>
        <w:t>isease und</w:t>
      </w:r>
      <w:r>
        <w:rPr>
          <w:i/>
        </w:rPr>
        <w:t>er § 3.303(b).”</w:t>
      </w:r>
      <w:r w:rsidR="00935122" w:rsidRPr="00935122">
        <w:rPr>
          <w:i/>
        </w:rPr>
        <w:t>De</w:t>
      </w:r>
      <w:r>
        <w:rPr>
          <w:i/>
        </w:rPr>
        <w:t>ferral done.</w:t>
      </w:r>
    </w:p>
    <w:p w:rsidR="00935122" w:rsidRDefault="00935122" w:rsidP="0056668B">
      <w:pPr>
        <w:widowControl w:val="0"/>
        <w:pBdr>
          <w:top w:val="single" w:sz="2" w:space="1" w:color="auto"/>
          <w:left w:val="single" w:sz="2" w:space="4" w:color="auto"/>
          <w:bottom w:val="single" w:sz="2" w:space="1" w:color="auto"/>
          <w:right w:val="single" w:sz="2" w:space="4" w:color="auto"/>
        </w:pBdr>
        <w:spacing w:before="120" w:after="120"/>
        <w:rPr>
          <w:i/>
        </w:rPr>
      </w:pPr>
    </w:p>
    <w:p w:rsidR="00813235" w:rsidRP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r w:rsidRPr="00813235">
        <w:rPr>
          <w:i/>
          <w:u w:val="single"/>
        </w:rPr>
        <w:t>NEED CLARIFICATION:</w:t>
      </w:r>
    </w:p>
    <w:p w:rsidR="00813235" w:rsidRP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deferral:  Clarification / Review and reconciliation of conflicting evidence needed. *See Claim Note for details. </w:t>
      </w:r>
    </w:p>
    <w:p w:rsid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Claim Note:  Claim is not RFD. We need clarification / review and reconciliation of conflicting evidence as {}. </w:t>
      </w:r>
      <w:r w:rsidR="008A516D">
        <w:rPr>
          <w:i/>
        </w:rPr>
        <w:t>Deferral done.</w:t>
      </w:r>
    </w:p>
    <w:p w:rsid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p>
    <w:p w:rsidR="00813235" w:rsidRPr="00813235" w:rsidRDefault="00331125"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r>
        <w:rPr>
          <w:i/>
          <w:u w:val="single"/>
        </w:rPr>
        <w:t>NEED DBQ WITH A</w:t>
      </w:r>
      <w:r w:rsidR="00813235" w:rsidRPr="00813235">
        <w:rPr>
          <w:i/>
          <w:u w:val="single"/>
        </w:rPr>
        <w:t>GGRAVATION OPINION:</w:t>
      </w:r>
    </w:p>
    <w:p w:rsidR="00813235" w:rsidRP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for</w:t>
      </w:r>
      <w:r w:rsidR="00331125">
        <w:rPr>
          <w:i/>
        </w:rPr>
        <w:t xml:space="preserve"> deferral:  We need a DBQ with </w:t>
      </w:r>
      <w:r w:rsidRPr="00813235">
        <w:rPr>
          <w:i/>
        </w:rPr>
        <w:t>aggravation opinion on {}. *See Claim Note for details.</w:t>
      </w:r>
    </w:p>
    <w:p w:rsid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for Claim Note:  Claim is not RFD. Right ankle disability was not mentioned on enlistment exam, but was reported by veteran 1/71, distal fibula fracture with cast, so it clearly did pre-exist. Since it was treated with surgery (arthrotomy in service), we need a DBQ w</w:t>
      </w:r>
      <w:r w:rsidR="00331125">
        <w:rPr>
          <w:i/>
        </w:rPr>
        <w:t>ith aggravation opinion.</w:t>
      </w:r>
      <w:r w:rsidR="008A516D" w:rsidRPr="00E82E3A">
        <w:rPr>
          <w:i/>
        </w:rPr>
        <w:t xml:space="preserve"> </w:t>
      </w:r>
      <w:r w:rsidR="00E82E3A" w:rsidRPr="00E82E3A">
        <w:rPr>
          <w:i/>
        </w:rPr>
        <w:t xml:space="preserve">I.1.C.3.h.  </w:t>
      </w:r>
      <w:r w:rsidR="008A516D">
        <w:rPr>
          <w:i/>
        </w:rPr>
        <w:t>Deferral done.</w:t>
      </w:r>
    </w:p>
    <w:p w:rsidR="00C14E94" w:rsidRDefault="00C14E94" w:rsidP="0056668B">
      <w:pPr>
        <w:widowControl w:val="0"/>
        <w:pBdr>
          <w:top w:val="single" w:sz="2" w:space="1" w:color="auto"/>
          <w:left w:val="single" w:sz="2" w:space="4" w:color="auto"/>
          <w:bottom w:val="single" w:sz="2" w:space="1" w:color="auto"/>
          <w:right w:val="single" w:sz="2" w:space="4" w:color="auto"/>
        </w:pBdr>
        <w:spacing w:before="120" w:after="120"/>
        <w:rPr>
          <w:i/>
        </w:rPr>
      </w:pPr>
    </w:p>
    <w:p w:rsidR="00C14E94" w:rsidRPr="00813235" w:rsidRDefault="006A2C51" w:rsidP="00C14E94">
      <w:pPr>
        <w:widowControl w:val="0"/>
        <w:pBdr>
          <w:top w:val="single" w:sz="2" w:space="1" w:color="auto"/>
          <w:left w:val="single" w:sz="2" w:space="4" w:color="auto"/>
          <w:bottom w:val="single" w:sz="2" w:space="1" w:color="auto"/>
          <w:right w:val="single" w:sz="2" w:space="4" w:color="auto"/>
        </w:pBdr>
        <w:spacing w:before="120" w:after="120"/>
        <w:rPr>
          <w:i/>
          <w:u w:val="single"/>
        </w:rPr>
      </w:pPr>
      <w:r>
        <w:rPr>
          <w:i/>
          <w:u w:val="single"/>
        </w:rPr>
        <w:t xml:space="preserve">NEED </w:t>
      </w:r>
      <w:r w:rsidR="00C14E94">
        <w:rPr>
          <w:i/>
          <w:u w:val="single"/>
        </w:rPr>
        <w:t>A</w:t>
      </w:r>
      <w:r w:rsidR="00C14E94" w:rsidRPr="00813235">
        <w:rPr>
          <w:i/>
          <w:u w:val="single"/>
        </w:rPr>
        <w:t>GGRAVATION OPINION:</w:t>
      </w:r>
    </w:p>
    <w:p w:rsidR="00C14E94" w:rsidRPr="00813235" w:rsidRDefault="00C14E94" w:rsidP="00C14E94">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for</w:t>
      </w:r>
      <w:r>
        <w:rPr>
          <w:i/>
        </w:rPr>
        <w:t xml:space="preserve"> deferral:  We need an aggravation opinion on bilateral pes planus (claimed as bilateral plantar fasciitis, but diagnosed as bilateral pes planus on the Foot DBQ)</w:t>
      </w:r>
      <w:r w:rsidRPr="00813235">
        <w:rPr>
          <w:i/>
        </w:rPr>
        <w:t>. *See Claim Note for details.</w:t>
      </w:r>
    </w:p>
    <w:p w:rsidR="00C14E94" w:rsidRDefault="00C14E94" w:rsidP="00C14E94">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Claim Note:  Claim is not RFD. </w:t>
      </w:r>
      <w:r>
        <w:rPr>
          <w:i/>
        </w:rPr>
        <w:t>Mild, asymptomatic pes planus was noted on the {</w:t>
      </w:r>
      <w:r w:rsidR="00A12701">
        <w:rPr>
          <w:i/>
        </w:rPr>
        <w:t>date</w:t>
      </w:r>
      <w:r>
        <w:rPr>
          <w:i/>
        </w:rPr>
        <w:t>} e</w:t>
      </w:r>
      <w:r w:rsidRPr="00813235">
        <w:rPr>
          <w:i/>
        </w:rPr>
        <w:t xml:space="preserve">nlistment exam, </w:t>
      </w:r>
      <w:r>
        <w:rPr>
          <w:i/>
        </w:rPr>
        <w:t xml:space="preserve">and the veteran reported {} on the {} separation exam. We need an aggravation opinion. </w:t>
      </w:r>
      <w:r w:rsidR="00E82E3A" w:rsidRPr="00E82E3A">
        <w:rPr>
          <w:i/>
        </w:rPr>
        <w:t xml:space="preserve">I.1.C.3.h. </w:t>
      </w:r>
      <w:r>
        <w:rPr>
          <w:i/>
        </w:rPr>
        <w:t>Deferral done.</w:t>
      </w:r>
    </w:p>
    <w:p w:rsid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p>
    <w:p w:rsidR="00813235" w:rsidRPr="00880FE4"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r w:rsidRPr="00880FE4">
        <w:rPr>
          <w:i/>
          <w:u w:val="single"/>
        </w:rPr>
        <w:t xml:space="preserve">NEED COMPLETE STRS OR </w:t>
      </w:r>
      <w:r w:rsidR="003068A3" w:rsidRPr="00880FE4">
        <w:rPr>
          <w:i/>
          <w:u w:val="single"/>
        </w:rPr>
        <w:t xml:space="preserve">FINAL </w:t>
      </w:r>
      <w:r w:rsidR="00880FE4">
        <w:rPr>
          <w:i/>
          <w:u w:val="single"/>
        </w:rPr>
        <w:t>NOTIFICATION L</w:t>
      </w:r>
      <w:r w:rsidRPr="00880FE4">
        <w:rPr>
          <w:i/>
          <w:u w:val="single"/>
        </w:rPr>
        <w:t>ETTER:</w:t>
      </w:r>
    </w:p>
    <w:p w:rsidR="00880FE4" w:rsidRPr="00880FE4" w:rsidRDefault="00880FE4" w:rsidP="00880FE4">
      <w:pPr>
        <w:widowControl w:val="0"/>
        <w:pBdr>
          <w:top w:val="single" w:sz="2" w:space="1" w:color="auto"/>
          <w:left w:val="single" w:sz="2" w:space="4" w:color="auto"/>
          <w:bottom w:val="single" w:sz="2" w:space="1" w:color="auto"/>
          <w:right w:val="single" w:sz="2" w:space="4" w:color="auto"/>
        </w:pBdr>
        <w:spacing w:before="120" w:after="120"/>
        <w:rPr>
          <w:i/>
        </w:rPr>
      </w:pPr>
      <w:r w:rsidRPr="00880FE4">
        <w:rPr>
          <w:i/>
        </w:rPr>
        <w:t xml:space="preserve">for deferral:  The STRs </w:t>
      </w:r>
      <w:r>
        <w:rPr>
          <w:i/>
        </w:rPr>
        <w:t>are not on file/incomplete, so we need a final notification</w:t>
      </w:r>
      <w:r w:rsidRPr="00880FE4">
        <w:rPr>
          <w:i/>
        </w:rPr>
        <w:t xml:space="preserve"> letter. </w:t>
      </w:r>
    </w:p>
    <w:p w:rsidR="001737FB" w:rsidRDefault="00880FE4" w:rsidP="001737FB">
      <w:pPr>
        <w:widowControl w:val="0"/>
        <w:pBdr>
          <w:top w:val="single" w:sz="2" w:space="1" w:color="auto"/>
          <w:left w:val="single" w:sz="2" w:space="4" w:color="auto"/>
          <w:bottom w:val="single" w:sz="2" w:space="1" w:color="auto"/>
          <w:right w:val="single" w:sz="2" w:space="4" w:color="auto"/>
        </w:pBdr>
        <w:spacing w:before="120" w:after="120"/>
        <w:rPr>
          <w:i/>
        </w:rPr>
      </w:pPr>
      <w:r w:rsidRPr="00880FE4">
        <w:rPr>
          <w:i/>
        </w:rPr>
        <w:t xml:space="preserve">for Claim Note:  Claim is not RFD. The STRs </w:t>
      </w:r>
      <w:r>
        <w:rPr>
          <w:i/>
        </w:rPr>
        <w:t xml:space="preserve">are not on file/incomplete, so we need a final notification letter per </w:t>
      </w:r>
      <w:r>
        <w:rPr>
          <w:b/>
        </w:rPr>
        <w:t>III.iii.1.C.1.e</w:t>
      </w:r>
      <w:r w:rsidRPr="00880FE4">
        <w:rPr>
          <w:i/>
        </w:rPr>
        <w:t>. Deferral done.</w:t>
      </w:r>
    </w:p>
    <w:p w:rsidR="001737FB" w:rsidRDefault="001737FB" w:rsidP="001737FB">
      <w:pPr>
        <w:widowControl w:val="0"/>
        <w:pBdr>
          <w:top w:val="single" w:sz="2" w:space="1" w:color="auto"/>
          <w:left w:val="single" w:sz="2" w:space="4" w:color="auto"/>
          <w:bottom w:val="single" w:sz="2" w:space="1" w:color="auto"/>
          <w:right w:val="single" w:sz="2" w:space="4" w:color="auto"/>
        </w:pBdr>
        <w:spacing w:before="120" w:after="120"/>
        <w:rPr>
          <w:i/>
        </w:rPr>
      </w:pPr>
      <w:r w:rsidRPr="001737FB">
        <w:rPr>
          <w:i/>
        </w:rPr>
        <w:t>OR you can notify the veteran in the RD. Use</w:t>
      </w:r>
      <w:r>
        <w:t xml:space="preserve"> </w:t>
      </w:r>
      <w:r w:rsidRPr="00AC33B8">
        <w:rPr>
          <w:rFonts w:ascii="Verdana" w:hAnsi="Verdana"/>
          <w:b/>
          <w:bCs/>
          <w:highlight w:val="green"/>
        </w:rPr>
        <w:t>NO-STR</w:t>
      </w:r>
      <w:r w:rsidRPr="001737FB">
        <w:rPr>
          <w:i/>
        </w:rPr>
        <w:t xml:space="preserve"> </w:t>
      </w:r>
      <w:r w:rsidRPr="002A48BE">
        <w:rPr>
          <w:i/>
        </w:rPr>
        <w:t>in Evidence. Ensure all necessary actions to obtain the records were properly taken.</w:t>
      </w:r>
    </w:p>
    <w:p w:rsidR="001737FB" w:rsidRDefault="001737FB" w:rsidP="001737FB">
      <w:pPr>
        <w:widowControl w:val="0"/>
        <w:pBdr>
          <w:top w:val="single" w:sz="2" w:space="1" w:color="auto"/>
          <w:left w:val="single" w:sz="2" w:space="4" w:color="auto"/>
          <w:bottom w:val="single" w:sz="2" w:space="1" w:color="auto"/>
          <w:right w:val="single" w:sz="2" w:space="4" w:color="auto"/>
        </w:pBdr>
        <w:spacing w:before="120" w:after="120"/>
        <w:rPr>
          <w:i/>
        </w:rPr>
      </w:pPr>
      <w:r>
        <w:rPr>
          <w:i/>
        </w:rPr>
        <w:t>OR you</w:t>
      </w:r>
      <w:r w:rsidRPr="00811CE7">
        <w:rPr>
          <w:i/>
        </w:rPr>
        <w:t xml:space="preserve"> can </w:t>
      </w:r>
      <w:r>
        <w:rPr>
          <w:i/>
        </w:rPr>
        <w:t xml:space="preserve">add a note to the codesheet </w:t>
      </w:r>
      <w:r w:rsidRPr="00811CE7">
        <w:rPr>
          <w:i/>
        </w:rPr>
        <w:t>ask</w:t>
      </w:r>
      <w:r>
        <w:rPr>
          <w:i/>
        </w:rPr>
        <w:t>ing</w:t>
      </w:r>
      <w:r w:rsidRPr="00811CE7">
        <w:rPr>
          <w:i/>
        </w:rPr>
        <w:t xml:space="preserve"> the VSR to send the letter, but Post might not want to send it &amp; may defer it back to you…</w:t>
      </w:r>
    </w:p>
    <w:p w:rsidR="00225BFF" w:rsidRPr="002A48BE" w:rsidRDefault="00621799" w:rsidP="00225BFF">
      <w:pPr>
        <w:widowControl w:val="0"/>
        <w:pBdr>
          <w:top w:val="single" w:sz="2" w:space="1" w:color="auto"/>
          <w:left w:val="single" w:sz="2" w:space="4" w:color="auto"/>
          <w:bottom w:val="single" w:sz="2" w:space="1" w:color="auto"/>
          <w:right w:val="single" w:sz="2" w:space="4" w:color="auto"/>
        </w:pBdr>
        <w:spacing w:before="120" w:after="120"/>
        <w:rPr>
          <w:i/>
        </w:rPr>
      </w:pPr>
      <w:r w:rsidRPr="007D1594">
        <w:t>VSR:  Please send the final notification letter about the unavailable</w:t>
      </w:r>
      <w:r>
        <w:t xml:space="preserve">/incomplete STRs (per </w:t>
      </w:r>
      <w:r>
        <w:rPr>
          <w:b/>
        </w:rPr>
        <w:t>III.iii.1.C.1.e</w:t>
      </w:r>
      <w:r>
        <w:t>)</w:t>
      </w:r>
      <w:r w:rsidRPr="007D1594">
        <w:t xml:space="preserve"> with the notification letter for this decision.</w:t>
      </w:r>
    </w:p>
    <w:p w:rsidR="002A48BE" w:rsidRDefault="002A48BE" w:rsidP="00225BFF">
      <w:pPr>
        <w:widowControl w:val="0"/>
        <w:pBdr>
          <w:top w:val="single" w:sz="2" w:space="1" w:color="auto"/>
          <w:left w:val="single" w:sz="2" w:space="4" w:color="auto"/>
          <w:bottom w:val="single" w:sz="2" w:space="1" w:color="auto"/>
          <w:right w:val="single" w:sz="2" w:space="4" w:color="auto"/>
        </w:pBdr>
        <w:spacing w:before="120" w:after="120"/>
        <w:rPr>
          <w:i/>
        </w:rPr>
      </w:pPr>
    </w:p>
    <w:p w:rsidR="00225BFF" w:rsidRPr="00225BFF" w:rsidRDefault="00225BFF" w:rsidP="00225BFF">
      <w:pPr>
        <w:widowControl w:val="0"/>
        <w:pBdr>
          <w:top w:val="single" w:sz="2" w:space="1" w:color="auto"/>
          <w:left w:val="single" w:sz="2" w:space="4" w:color="auto"/>
          <w:bottom w:val="single" w:sz="2" w:space="1" w:color="auto"/>
          <w:right w:val="single" w:sz="2" w:space="4" w:color="auto"/>
        </w:pBdr>
        <w:spacing w:before="120" w:after="120"/>
        <w:rPr>
          <w:i/>
        </w:rPr>
      </w:pPr>
      <w:r w:rsidRPr="00225BFF">
        <w:rPr>
          <w:i/>
        </w:rPr>
        <w:t>If all grants, but no STRs, use this:</w:t>
      </w:r>
    </w:p>
    <w:p w:rsidR="00225BFF" w:rsidRPr="00225BFF" w:rsidRDefault="00225BFF" w:rsidP="00225BFF">
      <w:pPr>
        <w:widowControl w:val="0"/>
        <w:pBdr>
          <w:top w:val="single" w:sz="2" w:space="1" w:color="auto"/>
          <w:left w:val="single" w:sz="2" w:space="4" w:color="auto"/>
          <w:bottom w:val="single" w:sz="2" w:space="1" w:color="auto"/>
          <w:right w:val="single" w:sz="2" w:space="4" w:color="auto"/>
        </w:pBdr>
        <w:spacing w:before="120" w:after="120"/>
        <w:rPr>
          <w:color w:val="000000"/>
        </w:rPr>
      </w:pPr>
      <w:r w:rsidRPr="00225BFF">
        <w:rPr>
          <w:color w:val="000000"/>
        </w:rPr>
        <w:t xml:space="preserve">VSR: We need to attempt to get the veteran's Active Duty STRs or send a final notification letter, per III.iii.1.C.1.e. </w:t>
      </w:r>
    </w:p>
    <w:p w:rsidR="00225BFF" w:rsidRPr="00621799" w:rsidRDefault="00225BFF" w:rsidP="00621799">
      <w:pPr>
        <w:widowControl w:val="0"/>
        <w:pBdr>
          <w:top w:val="single" w:sz="2" w:space="1" w:color="auto"/>
          <w:left w:val="single" w:sz="2" w:space="4" w:color="auto"/>
          <w:bottom w:val="single" w:sz="2" w:space="1" w:color="auto"/>
          <w:right w:val="single" w:sz="2" w:space="4" w:color="auto"/>
        </w:pBdr>
        <w:spacing w:before="120" w:after="120"/>
        <w:rPr>
          <w:i/>
        </w:rPr>
      </w:pPr>
    </w:p>
    <w:p w:rsidR="00813235" w:rsidRPr="00935122"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r w:rsidRPr="00935122">
        <w:rPr>
          <w:i/>
          <w:u w:val="single"/>
        </w:rPr>
        <w:t>NEED STRS/SPRS:</w:t>
      </w:r>
    </w:p>
    <w:p w:rsidR="00813235" w:rsidRP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deferral:  No STRs or SPRs on file. Please request both. </w:t>
      </w:r>
    </w:p>
    <w:p w:rsid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Claim Note:  </w:t>
      </w:r>
      <w:r w:rsidR="008A516D" w:rsidRPr="00813235">
        <w:rPr>
          <w:i/>
        </w:rPr>
        <w:t xml:space="preserve">Claim is not RFD. </w:t>
      </w:r>
      <w:r w:rsidRPr="00813235">
        <w:rPr>
          <w:i/>
        </w:rPr>
        <w:t>We need STRs &amp; SPRs. Deferral done.</w:t>
      </w:r>
    </w:p>
    <w:p w:rsid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p>
    <w:p w:rsidR="00813235" w:rsidRPr="00935122"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r w:rsidRPr="00935122">
        <w:rPr>
          <w:i/>
          <w:u w:val="single"/>
        </w:rPr>
        <w:t>NEED 4142 OR PTRS:</w:t>
      </w:r>
    </w:p>
    <w:p w:rsidR="00E13014"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deferral:  </w:t>
      </w:r>
      <w:r w:rsidR="00E13014" w:rsidRPr="00813235">
        <w:rPr>
          <w:i/>
        </w:rPr>
        <w:t xml:space="preserve">We need </w:t>
      </w:r>
      <w:r w:rsidR="00E13014">
        <w:rPr>
          <w:i/>
        </w:rPr>
        <w:t xml:space="preserve">to request a </w:t>
      </w:r>
      <w:r w:rsidR="00E13014" w:rsidRPr="00813235">
        <w:rPr>
          <w:i/>
        </w:rPr>
        <w:t>4142</w:t>
      </w:r>
      <w:r w:rsidR="00E13014">
        <w:rPr>
          <w:i/>
        </w:rPr>
        <w:t xml:space="preserve"> from the veteran for {} records, per </w:t>
      </w:r>
      <w:r w:rsidR="00E13014" w:rsidRPr="00301583">
        <w:rPr>
          <w:bCs/>
          <w:i/>
          <w:color w:val="333333"/>
          <w:szCs w:val="21"/>
        </w:rPr>
        <w:t>I.1.C.2.a</w:t>
      </w:r>
      <w:r w:rsidR="00E13014">
        <w:rPr>
          <w:bCs/>
          <w:i/>
          <w:color w:val="333333"/>
          <w:szCs w:val="21"/>
        </w:rPr>
        <w:t>.</w:t>
      </w:r>
      <w:r w:rsidR="00E13014" w:rsidRPr="00813235">
        <w:rPr>
          <w:i/>
        </w:rPr>
        <w:t xml:space="preserve"> </w:t>
      </w:r>
    </w:p>
    <w:p w:rsidR="00813235" w:rsidRDefault="00813235"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813235">
        <w:rPr>
          <w:i/>
        </w:rPr>
        <w:t xml:space="preserve">for Claim Note:  </w:t>
      </w:r>
      <w:r w:rsidR="00E13014">
        <w:rPr>
          <w:i/>
        </w:rPr>
        <w:t xml:space="preserve">Claim is not RFD. </w:t>
      </w:r>
      <w:r w:rsidR="00E13014" w:rsidRPr="00813235">
        <w:rPr>
          <w:i/>
        </w:rPr>
        <w:t>On the 526, the veteran reported treatment at {} from {}. These records are not on file. We need to ask the veteran for a 4142, so we can attempt to get these records</w:t>
      </w:r>
      <w:r w:rsidR="00E13014">
        <w:rPr>
          <w:i/>
        </w:rPr>
        <w:t xml:space="preserve">, per </w:t>
      </w:r>
      <w:r w:rsidR="00E13014">
        <w:rPr>
          <w:bCs/>
          <w:i/>
          <w:color w:val="333333"/>
          <w:szCs w:val="21"/>
        </w:rPr>
        <w:t>I.1.C.2</w:t>
      </w:r>
      <w:r w:rsidRPr="00813235">
        <w:rPr>
          <w:i/>
        </w:rPr>
        <w:t>. Deferral done.</w:t>
      </w:r>
    </w:p>
    <w:p w:rsidR="00935122" w:rsidRDefault="00935122" w:rsidP="0056668B">
      <w:pPr>
        <w:widowControl w:val="0"/>
        <w:pBdr>
          <w:top w:val="single" w:sz="2" w:space="1" w:color="auto"/>
          <w:left w:val="single" w:sz="2" w:space="4" w:color="auto"/>
          <w:bottom w:val="single" w:sz="2" w:space="1" w:color="auto"/>
          <w:right w:val="single" w:sz="2" w:space="4" w:color="auto"/>
        </w:pBdr>
        <w:spacing w:before="120" w:after="120"/>
        <w:rPr>
          <w:i/>
        </w:rPr>
      </w:pPr>
    </w:p>
    <w:p w:rsidR="00935122" w:rsidRPr="00935122" w:rsidRDefault="00935122" w:rsidP="0056668B">
      <w:pPr>
        <w:widowControl w:val="0"/>
        <w:pBdr>
          <w:top w:val="single" w:sz="2" w:space="1" w:color="auto"/>
          <w:left w:val="single" w:sz="2" w:space="4" w:color="auto"/>
          <w:bottom w:val="single" w:sz="2" w:space="1" w:color="auto"/>
          <w:right w:val="single" w:sz="2" w:space="4" w:color="auto"/>
        </w:pBdr>
        <w:spacing w:before="120" w:after="120"/>
        <w:rPr>
          <w:i/>
          <w:u w:val="single"/>
        </w:rPr>
      </w:pPr>
      <w:r w:rsidRPr="00935122">
        <w:rPr>
          <w:i/>
          <w:u w:val="single"/>
        </w:rPr>
        <w:t>FILE NOT SCANNED:</w:t>
      </w:r>
    </w:p>
    <w:p w:rsidR="00935122" w:rsidRPr="00935122" w:rsidRDefault="00935122"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935122">
        <w:rPr>
          <w:i/>
        </w:rPr>
        <w:t xml:space="preserve">for deferral:  We need the STRs, 12/17/79 Administrative Decision &amp; other Evidence listed on the 10/17/12 RD (sent to scanning 6/27/16). </w:t>
      </w:r>
      <w:r>
        <w:rPr>
          <w:i/>
        </w:rPr>
        <w:t>*See Claim Notes for</w:t>
      </w:r>
      <w:r w:rsidRPr="00935122">
        <w:rPr>
          <w:i/>
        </w:rPr>
        <w:t xml:space="preserve"> </w:t>
      </w:r>
      <w:r w:rsidR="00FC34BE">
        <w:rPr>
          <w:i/>
        </w:rPr>
        <w:t xml:space="preserve">more </w:t>
      </w:r>
      <w:r w:rsidRPr="00935122">
        <w:rPr>
          <w:i/>
        </w:rPr>
        <w:t xml:space="preserve">details. </w:t>
      </w:r>
    </w:p>
    <w:p w:rsidR="00935122" w:rsidRDefault="00935122" w:rsidP="0056668B">
      <w:pPr>
        <w:widowControl w:val="0"/>
        <w:pBdr>
          <w:top w:val="single" w:sz="2" w:space="1" w:color="auto"/>
          <w:left w:val="single" w:sz="2" w:space="4" w:color="auto"/>
          <w:bottom w:val="single" w:sz="2" w:space="1" w:color="auto"/>
          <w:right w:val="single" w:sz="2" w:space="4" w:color="auto"/>
        </w:pBdr>
        <w:spacing w:before="120" w:after="120"/>
        <w:rPr>
          <w:i/>
        </w:rPr>
      </w:pPr>
      <w:r w:rsidRPr="00935122">
        <w:rPr>
          <w:i/>
        </w:rPr>
        <w:t xml:space="preserve">for Claim Note:   </w:t>
      </w:r>
      <w:r w:rsidR="008A516D" w:rsidRPr="00813235">
        <w:rPr>
          <w:i/>
        </w:rPr>
        <w:t xml:space="preserve">Claim is not RFD. </w:t>
      </w:r>
      <w:r w:rsidRPr="00935122">
        <w:rPr>
          <w:i/>
        </w:rPr>
        <w:t>The 10/17/12 RD lists STRs, a 12/17/79 Administrative Decision &amp; additional Evidence. These records are relevant to this claim &amp; are not on file. The 6/27/16 Claim Note says the files were sent to 376 for scanning.</w:t>
      </w:r>
      <w:r>
        <w:rPr>
          <w:i/>
        </w:rPr>
        <w:t xml:space="preserve"> </w:t>
      </w:r>
      <w:r w:rsidRPr="00935122">
        <w:rPr>
          <w:i/>
        </w:rPr>
        <w:t>Deferral done.</w:t>
      </w:r>
    </w:p>
    <w:p w:rsidR="00935122" w:rsidRPr="00813235" w:rsidRDefault="00935122" w:rsidP="00935122">
      <w:pPr>
        <w:widowControl w:val="0"/>
        <w:spacing w:before="120" w:after="120"/>
        <w:rPr>
          <w:i/>
        </w:rPr>
      </w:pPr>
    </w:p>
    <w:p w:rsidR="00A67806" w:rsidRDefault="00A67806" w:rsidP="00A67806">
      <w:pPr>
        <w:widowControl w:val="0"/>
        <w:rPr>
          <w:sz w:val="22"/>
        </w:rPr>
      </w:pPr>
    </w:p>
    <w:p w:rsidR="00E34394" w:rsidRDefault="00E34394" w:rsidP="00E34394">
      <w:pPr>
        <w:pBdr>
          <w:top w:val="double" w:sz="4" w:space="1" w:color="auto"/>
        </w:pBdr>
        <w:spacing w:after="120"/>
        <w:rPr>
          <w:rStyle w:val="Hyperlink"/>
          <w:i/>
          <w:color w:val="auto"/>
          <w:u w:val="none"/>
        </w:rPr>
      </w:pPr>
    </w:p>
    <w:p w:rsidR="00451EB3" w:rsidRPr="005F3423" w:rsidRDefault="00D571C5" w:rsidP="00E34394">
      <w:pPr>
        <w:pBdr>
          <w:top w:val="double" w:sz="4" w:space="1" w:color="auto"/>
        </w:pBdr>
        <w:spacing w:after="120"/>
        <w:rPr>
          <w:rStyle w:val="Hyperlink"/>
          <w:color w:val="auto"/>
          <w:u w:val="none"/>
        </w:rPr>
      </w:pPr>
      <w:hyperlink r:id="rId771" w:history="1">
        <w:r w:rsidR="00E34394" w:rsidRPr="00E34394">
          <w:rPr>
            <w:rStyle w:val="Hyperlink"/>
            <w:i/>
          </w:rPr>
          <w:t>National Work Queue – Phase 1 &amp; 2 Playbook</w:t>
        </w:r>
      </w:hyperlink>
      <w:r w:rsidR="005F3423">
        <w:rPr>
          <w:rStyle w:val="Hyperlink"/>
          <w:color w:val="auto"/>
          <w:u w:val="none"/>
        </w:rPr>
        <w:t xml:space="preserve"> (revised 3/31/17 &amp; 5/12/17)</w:t>
      </w:r>
    </w:p>
    <w:p w:rsidR="00E34394" w:rsidRDefault="00E34394" w:rsidP="00E34394">
      <w:pPr>
        <w:pBdr>
          <w:top w:val="double" w:sz="4" w:space="1" w:color="auto"/>
        </w:pBdr>
        <w:spacing w:after="120"/>
        <w:rPr>
          <w:rStyle w:val="Hyperlink"/>
          <w:color w:val="auto"/>
          <w:u w:val="none"/>
        </w:rPr>
      </w:pPr>
      <w:r w:rsidRPr="00E34394">
        <w:rPr>
          <w:rStyle w:val="Hyperlink"/>
          <w:b/>
          <w:color w:val="auto"/>
          <w:u w:val="none"/>
        </w:rPr>
        <w:t>RVSR Review for Examination</w:t>
      </w:r>
      <w:r>
        <w:rPr>
          <w:rStyle w:val="Hyperlink"/>
          <w:color w:val="auto"/>
          <w:u w:val="none"/>
        </w:rPr>
        <w:t xml:space="preserve"> – VSR adds “RVSR Examination” special issue &amp; “Review Complex Exam” tracked item. RVSR marks “Review Complex Exam” tracked item as received &amp; removes “RVSR Examination” special issue after requesting the claim &amp; requesting exams</w:t>
      </w:r>
    </w:p>
    <w:p w:rsidR="00E34394" w:rsidRPr="00271601" w:rsidRDefault="00E34394" w:rsidP="00271601">
      <w:pPr>
        <w:pBdr>
          <w:top w:val="double" w:sz="4" w:space="1" w:color="auto"/>
        </w:pBdr>
        <w:spacing w:after="120"/>
      </w:pPr>
      <w:r w:rsidRPr="00E34394">
        <w:rPr>
          <w:rStyle w:val="Hyperlink"/>
          <w:b/>
          <w:color w:val="auto"/>
          <w:u w:val="none"/>
        </w:rPr>
        <w:t>Use of Local Examiners/Medical Officers</w:t>
      </w:r>
      <w:r>
        <w:rPr>
          <w:rStyle w:val="Hyperlink"/>
          <w:color w:val="auto"/>
          <w:u w:val="none"/>
        </w:rPr>
        <w:t xml:space="preserve"> – says for VHA exam clarifications, requests for medical opinions &amp; ACE (do not add tracked item or change status, keep in work queue; do add deferral to document erroneous action), says follow locally established procedures &amp; notify supervisor, </w:t>
      </w:r>
      <w:r w:rsidRPr="00937729">
        <w:rPr>
          <w:rStyle w:val="Hyperlink"/>
          <w:i/>
          <w:color w:val="FF0000"/>
          <w:u w:val="none"/>
        </w:rPr>
        <w:t>but we have no locally established procedures</w:t>
      </w:r>
    </w:p>
    <w:p w:rsidR="00E34394" w:rsidRDefault="00E34394" w:rsidP="00A67806">
      <w:pPr>
        <w:widowControl w:val="0"/>
        <w:rPr>
          <w:sz w:val="22"/>
        </w:rPr>
      </w:pPr>
    </w:p>
    <w:p w:rsidR="00A67806" w:rsidRDefault="00A67806" w:rsidP="00A67806">
      <w:pPr>
        <w:pStyle w:val="BodyText2"/>
        <w:pBdr>
          <w:top w:val="double" w:sz="4" w:space="1" w:color="auto"/>
        </w:pBdr>
        <w:rPr>
          <w:b w:val="0"/>
          <w:bCs w:val="0"/>
          <w:sz w:val="22"/>
          <w:szCs w:val="22"/>
        </w:rPr>
      </w:pPr>
    </w:p>
    <w:tbl>
      <w:tblPr>
        <w:tblW w:w="11073" w:type="dxa"/>
        <w:tblBorders>
          <w:top w:val="nil"/>
          <w:left w:val="nil"/>
          <w:bottom w:val="nil"/>
          <w:right w:val="nil"/>
        </w:tblBorders>
        <w:tblLayout w:type="fixed"/>
        <w:tblLook w:val="0000" w:firstRow="0" w:lastRow="0" w:firstColumn="0" w:lastColumn="0" w:noHBand="0" w:noVBand="0"/>
      </w:tblPr>
      <w:tblGrid>
        <w:gridCol w:w="11073"/>
      </w:tblGrid>
      <w:tr w:rsidR="00A67806" w:rsidRPr="00F7548F" w:rsidTr="00593DFF">
        <w:trPr>
          <w:trHeight w:val="217"/>
        </w:trPr>
        <w:tc>
          <w:tcPr>
            <w:tcW w:w="11073" w:type="dxa"/>
            <w:tcBorders>
              <w:top w:val="nil"/>
              <w:left w:val="nil"/>
              <w:bottom w:val="nil"/>
              <w:right w:val="nil"/>
            </w:tcBorders>
          </w:tcPr>
          <w:p w:rsidR="00A67806" w:rsidRPr="00993208" w:rsidRDefault="00A67806" w:rsidP="00993208">
            <w:pPr>
              <w:widowControl w:val="0"/>
              <w:rPr>
                <w:snapToGrid w:val="0"/>
                <w:color w:val="000000"/>
                <w:szCs w:val="28"/>
                <w:u w:color="000000"/>
              </w:rPr>
            </w:pPr>
          </w:p>
        </w:tc>
      </w:tr>
    </w:tbl>
    <w:bookmarkEnd w:id="181"/>
    <w:p w:rsidR="003C67B2" w:rsidRPr="00993208" w:rsidRDefault="003C67B2" w:rsidP="00993208">
      <w:pPr>
        <w:widowControl w:val="0"/>
        <w:tabs>
          <w:tab w:val="left" w:pos="360"/>
        </w:tabs>
        <w:spacing w:after="120"/>
        <w:rPr>
          <w:i/>
        </w:rPr>
      </w:pPr>
      <w:r w:rsidRPr="00A67806">
        <w:rPr>
          <w:b/>
          <w:color w:val="000000"/>
          <w:sz w:val="24"/>
          <w:szCs w:val="24"/>
          <w:u w:val="single"/>
        </w:rPr>
        <w:t>Ordering Examinations Step by Step</w:t>
      </w:r>
      <w:r w:rsidR="00506E1F">
        <w:rPr>
          <w:color w:val="000000"/>
          <w:sz w:val="24"/>
          <w:szCs w:val="24"/>
        </w:rPr>
        <w:t xml:space="preserve"> </w:t>
      </w:r>
      <w:r w:rsidR="00DA2940">
        <w:rPr>
          <w:color w:val="000000"/>
          <w:sz w:val="24"/>
          <w:szCs w:val="24"/>
        </w:rPr>
        <w:t xml:space="preserve">(by JaVon Chisley, with a bunch of </w:t>
      </w:r>
      <w:r w:rsidR="00DA2940" w:rsidRPr="00DA2940">
        <w:rPr>
          <w:i/>
          <w:color w:val="00B050"/>
          <w:sz w:val="24"/>
          <w:szCs w:val="24"/>
        </w:rPr>
        <w:t>My Notes</w:t>
      </w:r>
      <w:r w:rsidR="00DA2940">
        <w:rPr>
          <w:color w:val="000000"/>
          <w:sz w:val="24"/>
          <w:szCs w:val="24"/>
        </w:rPr>
        <w:t xml:space="preserve">) </w:t>
      </w:r>
      <w:r w:rsidR="00506E1F" w:rsidRPr="00506E1F">
        <w:rPr>
          <w:color w:val="000000"/>
          <w:highlight w:val="green"/>
        </w:rPr>
        <w:t xml:space="preserve">(also see </w:t>
      </w:r>
      <w:r w:rsidR="00506E1F" w:rsidRPr="00506E1F">
        <w:rPr>
          <w:b/>
          <w:highlight w:val="green"/>
        </w:rPr>
        <w:t>III.iv.3.A.7.</w:t>
      </w:r>
      <w:r w:rsidR="00497D89">
        <w:rPr>
          <w:b/>
          <w:highlight w:val="green"/>
        </w:rPr>
        <w:t>d</w:t>
      </w:r>
      <w:r w:rsidR="00993208">
        <w:rPr>
          <w:b/>
          <w:highlight w:val="green"/>
        </w:rPr>
        <w:t xml:space="preserve"> &amp; </w:t>
      </w:r>
      <w:hyperlink r:id="rId772" w:history="1">
        <w:r w:rsidR="00993208" w:rsidRPr="00993208">
          <w:rPr>
            <w:rStyle w:val="Hyperlink"/>
            <w:b/>
            <w:i/>
            <w:highlight w:val="green"/>
          </w:rPr>
          <w:t>Requesting Exams Job Aid</w:t>
        </w:r>
      </w:hyperlink>
      <w:r w:rsidR="00506E1F" w:rsidRPr="00993208">
        <w:rPr>
          <w:highlight w:val="green"/>
        </w:rPr>
        <w:t>)</w:t>
      </w:r>
      <w:r w:rsidRPr="00993208">
        <w:rPr>
          <w:color w:val="000000"/>
          <w:sz w:val="24"/>
          <w:szCs w:val="24"/>
          <w:highlight w:val="green"/>
        </w:rPr>
        <w:t>:</w:t>
      </w:r>
    </w:p>
    <w:p w:rsidR="003C67B2" w:rsidRDefault="003C67B2" w:rsidP="003C67B2">
      <w:pPr>
        <w:rPr>
          <w:color w:val="000000"/>
          <w:sz w:val="24"/>
          <w:szCs w:val="24"/>
        </w:rPr>
      </w:pPr>
    </w:p>
    <w:p w:rsidR="000210BC" w:rsidRPr="008135A1" w:rsidRDefault="000210BC" w:rsidP="00F063AF">
      <w:pPr>
        <w:pStyle w:val="ListParagraph"/>
        <w:numPr>
          <w:ilvl w:val="0"/>
          <w:numId w:val="282"/>
        </w:numPr>
        <w:spacing w:after="0" w:line="240" w:lineRule="auto"/>
        <w:ind w:left="360"/>
        <w:rPr>
          <w:rFonts w:ascii="Arial" w:hAnsi="Arial"/>
          <w:color w:val="000000"/>
          <w:sz w:val="20"/>
          <w:szCs w:val="24"/>
          <w:highlight w:val="green"/>
        </w:rPr>
      </w:pPr>
      <w:r w:rsidRPr="000210BC">
        <w:rPr>
          <w:rFonts w:ascii="Arial" w:hAnsi="Arial"/>
          <w:color w:val="000000"/>
          <w:sz w:val="24"/>
          <w:szCs w:val="24"/>
        </w:rPr>
        <w:t>Create &amp; finalize deferral in VBMS (claim will change to OPEN status)</w:t>
      </w:r>
      <w:r w:rsidR="008135A1">
        <w:rPr>
          <w:rFonts w:ascii="Arial" w:hAnsi="Arial"/>
          <w:color w:val="000000"/>
          <w:sz w:val="24"/>
          <w:szCs w:val="24"/>
        </w:rPr>
        <w:t xml:space="preserve">. </w:t>
      </w:r>
      <w:r w:rsidR="008135A1" w:rsidRPr="008135A1">
        <w:rPr>
          <w:rFonts w:ascii="Arial" w:hAnsi="Arial"/>
          <w:color w:val="000000"/>
          <w:sz w:val="20"/>
          <w:szCs w:val="24"/>
          <w:highlight w:val="green"/>
        </w:rPr>
        <w:t>ALWAYS DO DEFERRAL BEFORE TRACKED ITE</w:t>
      </w:r>
      <w:r w:rsidR="008135A1">
        <w:rPr>
          <w:rFonts w:ascii="Arial" w:hAnsi="Arial"/>
          <w:color w:val="000000"/>
          <w:sz w:val="20"/>
          <w:szCs w:val="24"/>
          <w:highlight w:val="green"/>
        </w:rPr>
        <w:t>M</w:t>
      </w:r>
      <w:r w:rsidR="00EB6285">
        <w:rPr>
          <w:rFonts w:ascii="Arial" w:hAnsi="Arial"/>
          <w:color w:val="000000"/>
          <w:sz w:val="20"/>
          <w:szCs w:val="24"/>
          <w:highlight w:val="green"/>
        </w:rPr>
        <w:t>, if requesting the exam yourself</w:t>
      </w:r>
      <w:r w:rsidR="008135A1">
        <w:rPr>
          <w:rFonts w:ascii="Arial" w:hAnsi="Arial"/>
          <w:color w:val="000000"/>
          <w:sz w:val="20"/>
          <w:szCs w:val="24"/>
          <w:highlight w:val="green"/>
        </w:rPr>
        <w:t>!!</w:t>
      </w:r>
    </w:p>
    <w:p w:rsidR="000210BC" w:rsidRPr="000210BC" w:rsidRDefault="000210BC" w:rsidP="000210BC">
      <w:pPr>
        <w:rPr>
          <w:color w:val="000000"/>
          <w:sz w:val="24"/>
          <w:szCs w:val="24"/>
        </w:rPr>
      </w:pPr>
    </w:p>
    <w:p w:rsidR="000210BC" w:rsidRPr="002646D6" w:rsidRDefault="000210BC" w:rsidP="00F063AF">
      <w:pPr>
        <w:pStyle w:val="ListParagraph"/>
        <w:numPr>
          <w:ilvl w:val="0"/>
          <w:numId w:val="282"/>
        </w:numPr>
        <w:spacing w:after="0" w:line="240" w:lineRule="auto"/>
        <w:ind w:left="360"/>
        <w:rPr>
          <w:rFonts w:ascii="Arial" w:hAnsi="Arial"/>
          <w:color w:val="000000"/>
          <w:sz w:val="20"/>
          <w:szCs w:val="24"/>
          <w:highlight w:val="green"/>
        </w:rPr>
      </w:pPr>
      <w:r w:rsidRPr="000210BC">
        <w:rPr>
          <w:rFonts w:ascii="Arial" w:hAnsi="Arial"/>
          <w:color w:val="000000"/>
          <w:sz w:val="24"/>
          <w:szCs w:val="24"/>
        </w:rPr>
        <w:t xml:space="preserve">Add tracked item for exam(s) </w:t>
      </w:r>
      <w:r w:rsidRPr="000210BC">
        <w:rPr>
          <w:rFonts w:ascii="Arial" w:hAnsi="Arial"/>
          <w:color w:val="000000"/>
          <w:sz w:val="20"/>
          <w:szCs w:val="24"/>
          <w:highlight w:val="green"/>
        </w:rPr>
        <w:t>(AMIERQST – specific DBQ)</w:t>
      </w:r>
      <w:r w:rsidRPr="000210BC">
        <w:rPr>
          <w:rFonts w:ascii="Arial" w:hAnsi="Arial"/>
          <w:color w:val="000000"/>
          <w:sz w:val="24"/>
          <w:szCs w:val="24"/>
        </w:rPr>
        <w:t xml:space="preserve"> (claim will remain in OPEN status</w:t>
      </w:r>
      <w:r w:rsidR="002C398C">
        <w:rPr>
          <w:rFonts w:ascii="Arial" w:hAnsi="Arial"/>
          <w:color w:val="000000"/>
          <w:sz w:val="24"/>
          <w:szCs w:val="24"/>
        </w:rPr>
        <w:t xml:space="preserve">, </w:t>
      </w:r>
      <w:r w:rsidR="002C398C" w:rsidRPr="002C398C">
        <w:rPr>
          <w:rFonts w:ascii="Arial" w:hAnsi="Arial"/>
          <w:color w:val="000000"/>
          <w:sz w:val="20"/>
          <w:szCs w:val="24"/>
          <w:highlight w:val="green"/>
        </w:rPr>
        <w:t>but will change Deferral Status to Resolved</w:t>
      </w:r>
      <w:r w:rsidR="0007570C">
        <w:rPr>
          <w:rFonts w:ascii="Arial" w:hAnsi="Arial"/>
          <w:color w:val="000000"/>
          <w:sz w:val="20"/>
          <w:szCs w:val="24"/>
          <w:highlight w:val="green"/>
        </w:rPr>
        <w:t xml:space="preserve">; even if your deferral is still in draft, it will change </w:t>
      </w:r>
      <w:r w:rsidR="0007570C" w:rsidRPr="002C398C">
        <w:rPr>
          <w:rFonts w:ascii="Arial" w:hAnsi="Arial"/>
          <w:color w:val="000000"/>
          <w:sz w:val="20"/>
          <w:szCs w:val="24"/>
          <w:highlight w:val="green"/>
        </w:rPr>
        <w:t>Deferral Status to Resolved</w:t>
      </w:r>
      <w:r w:rsidR="002646D6">
        <w:rPr>
          <w:rFonts w:ascii="Arial" w:hAnsi="Arial"/>
          <w:color w:val="000000"/>
          <w:sz w:val="20"/>
          <w:szCs w:val="24"/>
          <w:highlight w:val="green"/>
        </w:rPr>
        <w:t xml:space="preserve">, </w:t>
      </w:r>
      <w:r w:rsidR="002646D6" w:rsidRPr="000505C8">
        <w:rPr>
          <w:rFonts w:ascii="Arial" w:hAnsi="Arial"/>
          <w:color w:val="000000"/>
          <w:sz w:val="20"/>
          <w:szCs w:val="24"/>
          <w:highlight w:val="red"/>
        </w:rPr>
        <w:t xml:space="preserve">as of 10/16, </w:t>
      </w:r>
      <w:r w:rsidR="002646D6">
        <w:rPr>
          <w:rFonts w:ascii="Arial" w:hAnsi="Arial"/>
          <w:color w:val="000000"/>
          <w:sz w:val="20"/>
          <w:szCs w:val="24"/>
          <w:highlight w:val="red"/>
        </w:rPr>
        <w:t xml:space="preserve">sometimes </w:t>
      </w:r>
      <w:r w:rsidR="002646D6" w:rsidRPr="000505C8">
        <w:rPr>
          <w:rFonts w:ascii="Arial" w:hAnsi="Arial"/>
          <w:color w:val="000000"/>
          <w:sz w:val="20"/>
          <w:szCs w:val="24"/>
          <w:highlight w:val="red"/>
        </w:rPr>
        <w:t>you cannot add a tracked item before finalizing a deferral</w:t>
      </w:r>
      <w:r w:rsidRPr="002646D6">
        <w:rPr>
          <w:rFonts w:ascii="Arial" w:hAnsi="Arial"/>
          <w:color w:val="000000"/>
          <w:sz w:val="24"/>
          <w:szCs w:val="24"/>
          <w:highlight w:val="green"/>
        </w:rPr>
        <w:t xml:space="preserve">) – </w:t>
      </w:r>
      <w:r w:rsidRPr="002646D6">
        <w:rPr>
          <w:rFonts w:ascii="Arial" w:hAnsi="Arial"/>
          <w:color w:val="000000"/>
          <w:sz w:val="20"/>
          <w:szCs w:val="24"/>
          <w:highlight w:val="green"/>
        </w:rPr>
        <w:t xml:space="preserve">or can let ERB create tracked item(s) for you, but DO NOT have ERB create tracked item(s) </w:t>
      </w:r>
      <w:r w:rsidRPr="002646D6">
        <w:rPr>
          <w:rFonts w:ascii="Arial" w:hAnsi="Arial"/>
          <w:color w:val="000000"/>
          <w:sz w:val="20"/>
          <w:szCs w:val="24"/>
          <w:highlight w:val="green"/>
          <w:u w:val="single"/>
        </w:rPr>
        <w:t>unless</w:t>
      </w:r>
      <w:r w:rsidRPr="002646D6">
        <w:rPr>
          <w:rFonts w:ascii="Arial" w:hAnsi="Arial"/>
          <w:color w:val="000000"/>
          <w:sz w:val="20"/>
          <w:szCs w:val="24"/>
          <w:highlight w:val="green"/>
        </w:rPr>
        <w:t xml:space="preserve"> you’ve already finalized your deferral or it will change to OPEN &amp; will no longer be assigned to you!!</w:t>
      </w:r>
    </w:p>
    <w:p w:rsidR="002646D6" w:rsidRPr="002646D6" w:rsidRDefault="002646D6" w:rsidP="002646D6">
      <w:pPr>
        <w:rPr>
          <w:color w:val="000000"/>
          <w:sz w:val="24"/>
          <w:szCs w:val="24"/>
        </w:rPr>
      </w:pPr>
    </w:p>
    <w:p w:rsidR="008135A1" w:rsidRPr="000210BC" w:rsidRDefault="00C44222" w:rsidP="00F063AF">
      <w:pPr>
        <w:pStyle w:val="ListParagraph"/>
        <w:numPr>
          <w:ilvl w:val="0"/>
          <w:numId w:val="282"/>
        </w:numPr>
        <w:spacing w:after="0" w:line="240" w:lineRule="auto"/>
        <w:ind w:left="360"/>
        <w:rPr>
          <w:rFonts w:ascii="Arial" w:hAnsi="Arial"/>
          <w:color w:val="000000"/>
          <w:sz w:val="24"/>
          <w:szCs w:val="24"/>
        </w:rPr>
      </w:pPr>
      <w:r>
        <w:rPr>
          <w:rFonts w:ascii="Arial" w:hAnsi="Arial"/>
          <w:color w:val="000000"/>
          <w:sz w:val="24"/>
          <w:szCs w:val="24"/>
        </w:rPr>
        <w:t>Bookmark</w:t>
      </w:r>
      <w:r w:rsidR="008135A1">
        <w:rPr>
          <w:rFonts w:ascii="Arial" w:hAnsi="Arial"/>
          <w:color w:val="000000"/>
          <w:sz w:val="24"/>
          <w:szCs w:val="24"/>
        </w:rPr>
        <w:t xml:space="preserve"> Evidence in VBMS, per </w:t>
      </w:r>
      <w:r w:rsidR="009D6320">
        <w:rPr>
          <w:rFonts w:ascii="Arial" w:hAnsi="Arial"/>
          <w:b/>
          <w:color w:val="000000"/>
          <w:sz w:val="24"/>
          <w:szCs w:val="24"/>
        </w:rPr>
        <w:t>III.iv.3.A.8</w:t>
      </w:r>
      <w:r w:rsidR="008135A1" w:rsidRPr="00C22006">
        <w:rPr>
          <w:rFonts w:ascii="Arial" w:hAnsi="Arial"/>
          <w:b/>
          <w:color w:val="000000"/>
          <w:sz w:val="24"/>
          <w:szCs w:val="24"/>
        </w:rPr>
        <w:t>.e</w:t>
      </w:r>
    </w:p>
    <w:p w:rsidR="008135A1" w:rsidRDefault="008135A1" w:rsidP="008135A1">
      <w:pPr>
        <w:pStyle w:val="ListParagraph"/>
        <w:spacing w:after="0" w:line="240" w:lineRule="auto"/>
        <w:ind w:left="360"/>
        <w:rPr>
          <w:rFonts w:ascii="Arial" w:hAnsi="Arial"/>
          <w:color w:val="000000"/>
          <w:sz w:val="24"/>
          <w:szCs w:val="24"/>
        </w:rPr>
      </w:pPr>
    </w:p>
    <w:p w:rsidR="009A10CF" w:rsidRPr="000210BC" w:rsidRDefault="003C67B2" w:rsidP="00F063AF">
      <w:pPr>
        <w:pStyle w:val="ListParagraph"/>
        <w:numPr>
          <w:ilvl w:val="0"/>
          <w:numId w:val="282"/>
        </w:numPr>
        <w:spacing w:after="0" w:line="240" w:lineRule="auto"/>
        <w:ind w:left="360"/>
        <w:rPr>
          <w:rStyle w:val="Hyperlink"/>
          <w:rFonts w:ascii="Arial" w:hAnsi="Arial"/>
          <w:color w:val="000000"/>
          <w:sz w:val="24"/>
          <w:szCs w:val="24"/>
          <w:u w:val="none"/>
        </w:rPr>
      </w:pPr>
      <w:r w:rsidRPr="000210BC">
        <w:rPr>
          <w:rFonts w:ascii="Arial" w:hAnsi="Arial"/>
          <w:color w:val="000000"/>
          <w:sz w:val="24"/>
          <w:szCs w:val="24"/>
        </w:rPr>
        <w:t>Copy the Veteran</w:t>
      </w:r>
      <w:r w:rsidR="00C22006" w:rsidRPr="000210BC">
        <w:rPr>
          <w:rFonts w:ascii="Arial" w:hAnsi="Arial"/>
          <w:color w:val="000000"/>
          <w:sz w:val="24"/>
          <w:szCs w:val="24"/>
        </w:rPr>
        <w:t>’</w:t>
      </w:r>
      <w:r w:rsidRPr="000210BC">
        <w:rPr>
          <w:rFonts w:ascii="Arial" w:hAnsi="Arial"/>
          <w:color w:val="000000"/>
          <w:sz w:val="24"/>
          <w:szCs w:val="24"/>
        </w:rPr>
        <w:t>s zip code into</w:t>
      </w:r>
      <w:r w:rsidR="00AF3E66" w:rsidRPr="000210BC">
        <w:rPr>
          <w:rFonts w:ascii="Arial" w:hAnsi="Arial"/>
          <w:color w:val="000000"/>
          <w:sz w:val="24"/>
          <w:szCs w:val="24"/>
        </w:rPr>
        <w:t xml:space="preserve"> </w:t>
      </w:r>
      <w:hyperlink r:id="rId773" w:history="1">
        <w:r w:rsidR="00AF3E66" w:rsidRPr="000210BC">
          <w:rPr>
            <w:rStyle w:val="Hyperlink"/>
            <w:rFonts w:ascii="Arial" w:hAnsi="Arial"/>
            <w:b/>
            <w:i/>
            <w:sz w:val="20"/>
            <w:szCs w:val="20"/>
          </w:rPr>
          <w:t>Exam Request Routing Assistant (ERRA)</w:t>
        </w:r>
      </w:hyperlink>
      <w:r w:rsidR="004D38E5" w:rsidRPr="000210BC">
        <w:rPr>
          <w:rFonts w:ascii="Arial" w:hAnsi="Arial"/>
          <w:color w:val="000000"/>
          <w:sz w:val="24"/>
          <w:szCs w:val="24"/>
        </w:rPr>
        <w:t xml:space="preserve"> </w:t>
      </w:r>
      <w:r w:rsidR="00AF3E66" w:rsidRPr="000210BC">
        <w:rPr>
          <w:rFonts w:ascii="Arial" w:hAnsi="Arial"/>
          <w:color w:val="000000"/>
          <w:sz w:val="24"/>
          <w:szCs w:val="24"/>
        </w:rPr>
        <w:t>/ ERRA Tool</w:t>
      </w:r>
      <w:r w:rsidR="004D38E5" w:rsidRPr="000210BC">
        <w:rPr>
          <w:rFonts w:ascii="Arial" w:hAnsi="Arial"/>
          <w:color w:val="000000"/>
          <w:sz w:val="24"/>
          <w:szCs w:val="24"/>
        </w:rPr>
        <w:t xml:space="preserve"> </w:t>
      </w:r>
      <w:r w:rsidRPr="000210BC">
        <w:rPr>
          <w:rFonts w:ascii="Arial" w:hAnsi="Arial"/>
          <w:color w:val="000000"/>
          <w:sz w:val="24"/>
          <w:szCs w:val="24"/>
        </w:rPr>
        <w:t>to confirm if VHA or Contractor has jurisdiction</w:t>
      </w:r>
      <w:r w:rsidR="00AF3E66" w:rsidRPr="000210BC">
        <w:rPr>
          <w:rFonts w:ascii="Arial" w:hAnsi="Arial"/>
          <w:color w:val="000000"/>
          <w:sz w:val="24"/>
          <w:szCs w:val="24"/>
        </w:rPr>
        <w:t xml:space="preserve"> </w:t>
      </w:r>
      <w:r w:rsidR="00AF3E66" w:rsidRPr="000210BC">
        <w:rPr>
          <w:rStyle w:val="Hyperlink"/>
          <w:rFonts w:ascii="Arial" w:hAnsi="Arial"/>
          <w:sz w:val="20"/>
          <w:szCs w:val="20"/>
          <w:u w:val="none"/>
        </w:rPr>
        <w:t>–</w:t>
      </w:r>
    </w:p>
    <w:p w:rsidR="00AF3E66" w:rsidRDefault="00AF3E66" w:rsidP="009A10CF">
      <w:pPr>
        <w:ind w:left="360"/>
        <w:rPr>
          <w:rStyle w:val="Hyperlink"/>
          <w:color w:val="auto"/>
          <w:u w:val="none"/>
        </w:rPr>
      </w:pPr>
      <w:r w:rsidRPr="009A10CF">
        <w:rPr>
          <w:rStyle w:val="Hyperlink"/>
          <w:b/>
          <w:color w:val="auto"/>
          <w:u w:val="none"/>
        </w:rPr>
        <w:t>III.iv.3.A.1.d</w:t>
      </w:r>
      <w:r w:rsidRPr="009A10CF">
        <w:rPr>
          <w:rStyle w:val="Hyperlink"/>
          <w:color w:val="auto"/>
          <w:u w:val="none"/>
        </w:rPr>
        <w:t xml:space="preserve"> - mandatory &amp; must upload results in VBMS </w:t>
      </w:r>
      <w:r w:rsidR="00C22006">
        <w:rPr>
          <w:rStyle w:val="Hyperlink"/>
          <w:color w:val="auto"/>
          <w:u w:val="none"/>
        </w:rPr>
        <w:t>–</w:t>
      </w:r>
      <w:r w:rsidRPr="009A10CF">
        <w:rPr>
          <w:rStyle w:val="Hyperlink"/>
          <w:color w:val="auto"/>
          <w:u w:val="none"/>
        </w:rPr>
        <w:t xml:space="preserve"> </w:t>
      </w:r>
    </w:p>
    <w:p w:rsidR="00C22006" w:rsidRPr="009A10CF" w:rsidRDefault="00C22006" w:rsidP="009A10CF">
      <w:pPr>
        <w:ind w:left="360"/>
        <w:rPr>
          <w:rStyle w:val="Hyperlink"/>
          <w:color w:val="000000"/>
          <w:sz w:val="24"/>
          <w:szCs w:val="24"/>
          <w:u w:val="none"/>
        </w:rPr>
      </w:pPr>
    </w:p>
    <w:p w:rsidR="00AF3E66" w:rsidRPr="00063A5C" w:rsidRDefault="00AF3E66" w:rsidP="00AF3E66">
      <w:pPr>
        <w:widowControl w:val="0"/>
        <w:tabs>
          <w:tab w:val="left" w:pos="720"/>
        </w:tabs>
        <w:ind w:left="720"/>
        <w:rPr>
          <w:rFonts w:ascii="Verdana" w:hAnsi="Verdana"/>
          <w:b/>
          <w:bCs/>
        </w:rPr>
      </w:pPr>
      <w:r w:rsidRPr="00063A5C">
        <w:rPr>
          <w:rFonts w:ascii="Verdana" w:hAnsi="Verdana"/>
          <w:b/>
          <w:bCs/>
          <w:highlight w:val="green"/>
        </w:rPr>
        <w:t>Subject:</w:t>
      </w:r>
      <w:r w:rsidRPr="00063A5C">
        <w:rPr>
          <w:rFonts w:ascii="Verdana" w:hAnsi="Verdana"/>
        </w:rPr>
        <w:t xml:space="preserve"> ERRA Results</w:t>
      </w:r>
    </w:p>
    <w:p w:rsidR="00AF3E66" w:rsidRPr="00063A5C" w:rsidRDefault="00AF3E66" w:rsidP="00AF3E66">
      <w:pPr>
        <w:widowControl w:val="0"/>
        <w:tabs>
          <w:tab w:val="left" w:pos="720"/>
        </w:tabs>
        <w:ind w:left="720"/>
        <w:rPr>
          <w:rFonts w:ascii="Verdana" w:hAnsi="Verdana"/>
        </w:rPr>
      </w:pPr>
      <w:r w:rsidRPr="00063A5C">
        <w:rPr>
          <w:rFonts w:ascii="Verdana" w:hAnsi="Verdana"/>
          <w:b/>
          <w:bCs/>
          <w:highlight w:val="green"/>
        </w:rPr>
        <w:t>VBMS Document Category-Type:</w:t>
      </w:r>
      <w:r w:rsidRPr="00063A5C">
        <w:rPr>
          <w:rFonts w:ascii="Verdana" w:hAnsi="Verdana"/>
        </w:rPr>
        <w:t xml:space="preserve"> Medical Records - VAX &amp; AMIE - Request Worksheets : VA Exam Worksheet</w:t>
      </w:r>
    </w:p>
    <w:p w:rsidR="00AF3E66" w:rsidRDefault="00AF3E66" w:rsidP="00AF3E66">
      <w:pPr>
        <w:widowControl w:val="0"/>
        <w:tabs>
          <w:tab w:val="left" w:pos="720"/>
        </w:tabs>
        <w:ind w:left="720"/>
        <w:rPr>
          <w:rFonts w:ascii="Verdana" w:hAnsi="Verdana"/>
        </w:rPr>
      </w:pPr>
      <w:r w:rsidRPr="00063A5C">
        <w:rPr>
          <w:rFonts w:ascii="Verdana" w:hAnsi="Verdana"/>
          <w:b/>
          <w:bCs/>
          <w:highlight w:val="green"/>
        </w:rPr>
        <w:t>Source:</w:t>
      </w:r>
      <w:r w:rsidRPr="00063A5C">
        <w:rPr>
          <w:rFonts w:ascii="Verdana" w:hAnsi="Verdana"/>
        </w:rPr>
        <w:t xml:space="preserve"> VBMS</w:t>
      </w:r>
    </w:p>
    <w:p w:rsidR="00A67806" w:rsidRDefault="00A67806" w:rsidP="00AF3E66">
      <w:pPr>
        <w:widowControl w:val="0"/>
        <w:tabs>
          <w:tab w:val="left" w:pos="720"/>
        </w:tabs>
        <w:ind w:left="720"/>
        <w:rPr>
          <w:rFonts w:ascii="Verdana" w:hAnsi="Verdana"/>
        </w:rPr>
      </w:pPr>
    </w:p>
    <w:p w:rsidR="00A67806" w:rsidRPr="009A10CF" w:rsidRDefault="00A67806" w:rsidP="009A10CF">
      <w:pPr>
        <w:widowControl w:val="0"/>
        <w:spacing w:after="120"/>
        <w:ind w:left="360"/>
        <w:rPr>
          <w:b/>
          <w:i/>
          <w:u w:val="single"/>
        </w:rPr>
      </w:pPr>
      <w:r w:rsidRPr="00885988">
        <w:rPr>
          <w:b/>
          <w:i/>
          <w:u w:val="single"/>
        </w:rPr>
        <w:t xml:space="preserve">August 2016 Routing Exam Requests Training (ERRA) </w:t>
      </w:r>
      <w:r w:rsidRPr="00885988">
        <w:rPr>
          <w:b/>
          <w:i/>
        </w:rPr>
        <w:t xml:space="preserve">– </w:t>
      </w:r>
    </w:p>
    <w:p w:rsidR="00A67806" w:rsidRDefault="00D571C5" w:rsidP="00F063AF">
      <w:pPr>
        <w:widowControl w:val="0"/>
        <w:numPr>
          <w:ilvl w:val="0"/>
          <w:numId w:val="306"/>
        </w:numPr>
        <w:tabs>
          <w:tab w:val="clear" w:pos="720"/>
          <w:tab w:val="num" w:pos="270"/>
        </w:tabs>
        <w:spacing w:after="120"/>
        <w:ind w:left="360" w:firstLine="0"/>
      </w:pPr>
      <w:hyperlink r:id="rId774" w:history="1">
        <w:r w:rsidR="00A67806" w:rsidRPr="00D93D1D">
          <w:rPr>
            <w:rStyle w:val="Hyperlink"/>
          </w:rPr>
          <w:t>ERRA 2.0 Job Aid</w:t>
        </w:r>
      </w:hyperlink>
      <w:r w:rsidR="00A67806">
        <w:t xml:space="preserve"> or </w:t>
      </w:r>
      <w:hyperlink r:id="rId775" w:history="1">
        <w:r w:rsidR="00A67806" w:rsidRPr="00546F9C">
          <w:rPr>
            <w:rStyle w:val="Hyperlink"/>
          </w:rPr>
          <w:t>here</w:t>
        </w:r>
      </w:hyperlink>
      <w:r w:rsidR="00A67806">
        <w:t xml:space="preserve"> </w:t>
      </w:r>
    </w:p>
    <w:p w:rsidR="008B71F2" w:rsidRPr="008B71F2" w:rsidRDefault="00D571C5" w:rsidP="00F063AF">
      <w:pPr>
        <w:widowControl w:val="0"/>
        <w:numPr>
          <w:ilvl w:val="0"/>
          <w:numId w:val="306"/>
        </w:numPr>
        <w:tabs>
          <w:tab w:val="clear" w:pos="720"/>
          <w:tab w:val="num" w:pos="270"/>
        </w:tabs>
        <w:spacing w:after="120"/>
        <w:ind w:left="360" w:firstLine="0"/>
        <w:rPr>
          <w:sz w:val="16"/>
        </w:rPr>
      </w:pPr>
      <w:hyperlink r:id="rId776" w:history="1">
        <w:r w:rsidR="008B71F2" w:rsidRPr="008B71F2">
          <w:rPr>
            <w:rStyle w:val="Hyperlink"/>
            <w:szCs w:val="24"/>
          </w:rPr>
          <w:t>CAATS</w:t>
        </w:r>
      </w:hyperlink>
    </w:p>
    <w:p w:rsidR="00A67806" w:rsidRPr="00546F9C" w:rsidRDefault="00D571C5" w:rsidP="00F063AF">
      <w:pPr>
        <w:widowControl w:val="0"/>
        <w:numPr>
          <w:ilvl w:val="1"/>
          <w:numId w:val="306"/>
        </w:numPr>
        <w:tabs>
          <w:tab w:val="clear" w:pos="1440"/>
          <w:tab w:val="num" w:pos="360"/>
        </w:tabs>
        <w:spacing w:after="120"/>
        <w:ind w:left="360" w:firstLine="0"/>
      </w:pPr>
      <w:hyperlink r:id="rId777" w:history="1">
        <w:r w:rsidR="00A67806" w:rsidRPr="00546F9C">
          <w:rPr>
            <w:rStyle w:val="Hyperlink"/>
          </w:rPr>
          <w:t>CAATS Quick Reference Guide</w:t>
        </w:r>
      </w:hyperlink>
      <w:r w:rsidR="00A67806" w:rsidRPr="00546F9C">
        <w:t xml:space="preserve"> </w:t>
      </w:r>
    </w:p>
    <w:p w:rsidR="00A67806" w:rsidRDefault="00D571C5" w:rsidP="00F063AF">
      <w:pPr>
        <w:widowControl w:val="0"/>
        <w:numPr>
          <w:ilvl w:val="1"/>
          <w:numId w:val="306"/>
        </w:numPr>
        <w:tabs>
          <w:tab w:val="clear" w:pos="1440"/>
          <w:tab w:val="num" w:pos="360"/>
        </w:tabs>
        <w:spacing w:after="120"/>
        <w:ind w:left="360" w:firstLine="0"/>
      </w:pPr>
      <w:hyperlink r:id="rId778" w:history="1">
        <w:r w:rsidR="00A67806" w:rsidRPr="00546F9C">
          <w:rPr>
            <w:rStyle w:val="Hyperlink"/>
          </w:rPr>
          <w:t>CAATS Frequently Asked Questions</w:t>
        </w:r>
      </w:hyperlink>
    </w:p>
    <w:p w:rsidR="009B4523" w:rsidRPr="009B4523" w:rsidRDefault="00D571C5" w:rsidP="00F063AF">
      <w:pPr>
        <w:widowControl w:val="0"/>
        <w:numPr>
          <w:ilvl w:val="0"/>
          <w:numId w:val="306"/>
        </w:numPr>
        <w:tabs>
          <w:tab w:val="num" w:pos="360"/>
          <w:tab w:val="left" w:pos="2250"/>
        </w:tabs>
        <w:spacing w:after="120"/>
        <w:rPr>
          <w:b/>
          <w:i/>
          <w:iCs/>
        </w:rPr>
      </w:pPr>
      <w:hyperlink r:id="rId779" w:history="1">
        <w:r w:rsidR="008B71F2" w:rsidRPr="008B71F2">
          <w:rPr>
            <w:rStyle w:val="Hyperlink"/>
          </w:rPr>
          <w:t>ExamTrack Access</w:t>
        </w:r>
        <w:r w:rsidR="008B71F2">
          <w:rPr>
            <w:rStyle w:val="Hyperlink"/>
            <w:u w:val="none"/>
          </w:rPr>
          <w:t xml:space="preserve"> </w:t>
        </w:r>
      </w:hyperlink>
      <w:r w:rsidR="009B4523" w:rsidRPr="009B4523">
        <w:rPr>
          <w:rStyle w:val="Hyperlink"/>
          <w:u w:val="none"/>
        </w:rPr>
        <w:t xml:space="preserve">- </w:t>
      </w:r>
      <w:hyperlink r:id="rId780" w:history="1">
        <w:r w:rsidR="009B4523" w:rsidRPr="009B4523">
          <w:rPr>
            <w:rStyle w:val="Hyperlink"/>
            <w:b/>
            <w:i/>
          </w:rPr>
          <w:t>QTC Management – ExamTrack</w:t>
        </w:r>
      </w:hyperlink>
      <w:r w:rsidR="000C6572" w:rsidRPr="000C6572">
        <w:rPr>
          <w:color w:val="0000FF"/>
          <w:sz w:val="24"/>
          <w:szCs w:val="24"/>
        </w:rPr>
        <w:t xml:space="preserve"> </w:t>
      </w:r>
      <w:r w:rsidR="000C6572">
        <w:rPr>
          <w:color w:val="0000FF"/>
          <w:sz w:val="24"/>
          <w:szCs w:val="24"/>
        </w:rPr>
        <w:t xml:space="preserve"> - </w:t>
      </w:r>
      <w:hyperlink r:id="rId781" w:history="1">
        <w:r w:rsidR="000C6572" w:rsidRPr="008B71F2">
          <w:rPr>
            <w:rStyle w:val="Hyperlink"/>
            <w:b/>
            <w:i/>
            <w:szCs w:val="24"/>
          </w:rPr>
          <w:t>VetFed ExamTrack</w:t>
        </w:r>
      </w:hyperlink>
    </w:p>
    <w:p w:rsidR="00A67806" w:rsidRDefault="00D571C5" w:rsidP="00F063AF">
      <w:pPr>
        <w:widowControl w:val="0"/>
        <w:numPr>
          <w:ilvl w:val="1"/>
          <w:numId w:val="306"/>
        </w:numPr>
        <w:tabs>
          <w:tab w:val="clear" w:pos="1440"/>
          <w:tab w:val="num" w:pos="360"/>
        </w:tabs>
        <w:spacing w:after="120"/>
        <w:ind w:left="360" w:firstLine="0"/>
      </w:pPr>
      <w:hyperlink r:id="rId782" w:history="1">
        <w:r w:rsidR="00A67806" w:rsidRPr="00546F9C">
          <w:rPr>
            <w:rStyle w:val="Hyperlink"/>
          </w:rPr>
          <w:t>Contract Exam Inquiry Protocol</w:t>
        </w:r>
      </w:hyperlink>
    </w:p>
    <w:p w:rsidR="00A67806" w:rsidRDefault="00A67806" w:rsidP="00F063AF">
      <w:pPr>
        <w:widowControl w:val="0"/>
        <w:numPr>
          <w:ilvl w:val="1"/>
          <w:numId w:val="306"/>
        </w:numPr>
        <w:tabs>
          <w:tab w:val="clear" w:pos="1440"/>
          <w:tab w:val="left" w:pos="720"/>
        </w:tabs>
        <w:spacing w:after="120"/>
        <w:ind w:left="720"/>
      </w:pPr>
      <w:r w:rsidRPr="00885988">
        <w:t xml:space="preserve">All employees who request compensation disability exams must follow the ERRA routing recommendation unless directed otherwise by </w:t>
      </w:r>
      <w:r w:rsidRPr="003349C8">
        <w:rPr>
          <w:b/>
        </w:rPr>
        <w:t xml:space="preserve">III.iv.3.A.1.d </w:t>
      </w:r>
      <w:r>
        <w:t>(some info on the tool, says mandatory &amp; need to upload)</w:t>
      </w:r>
      <w:r w:rsidRPr="00885988">
        <w:t xml:space="preserve">, </w:t>
      </w:r>
      <w:r w:rsidRPr="003349C8">
        <w:rPr>
          <w:b/>
        </w:rPr>
        <w:t>III.iv.3.A.2.b</w:t>
      </w:r>
      <w:r>
        <w:t xml:space="preserve"> (a bit more info on the tool), and </w:t>
      </w:r>
      <w:r w:rsidRPr="003349C8">
        <w:rPr>
          <w:b/>
        </w:rPr>
        <w:t>III.iv.3.A.1.j</w:t>
      </w:r>
      <w:r>
        <w:t xml:space="preserve"> (has</w:t>
      </w:r>
      <w:r w:rsidR="007426BD">
        <w:t xml:space="preserve"> link to</w:t>
      </w:r>
      <w:r>
        <w:t xml:space="preserve"> </w:t>
      </w:r>
      <w:hyperlink r:id="rId783" w:history="1">
        <w:r w:rsidR="007426BD" w:rsidRPr="007426BD">
          <w:rPr>
            <w:rStyle w:val="Hyperlink"/>
          </w:rPr>
          <w:t>C</w:t>
        </w:r>
        <w:r w:rsidRPr="007426BD">
          <w:rPr>
            <w:rStyle w:val="Hyperlink"/>
          </w:rPr>
          <w:t xml:space="preserve">ontract </w:t>
        </w:r>
        <w:r w:rsidR="007426BD" w:rsidRPr="007426BD">
          <w:rPr>
            <w:rStyle w:val="Hyperlink"/>
          </w:rPr>
          <w:t>Exam E</w:t>
        </w:r>
        <w:r w:rsidRPr="007426BD">
          <w:rPr>
            <w:rStyle w:val="Hyperlink"/>
          </w:rPr>
          <w:t>xclusions</w:t>
        </w:r>
        <w:r w:rsidR="007426BD" w:rsidRPr="007426BD">
          <w:rPr>
            <w:rStyle w:val="Hyperlink"/>
          </w:rPr>
          <w:t xml:space="preserve"> list</w:t>
        </w:r>
      </w:hyperlink>
      <w:r>
        <w:t>)</w:t>
      </w:r>
    </w:p>
    <w:p w:rsidR="002B7AA2" w:rsidRDefault="00A67806" w:rsidP="00F063AF">
      <w:pPr>
        <w:widowControl w:val="0"/>
        <w:numPr>
          <w:ilvl w:val="0"/>
          <w:numId w:val="306"/>
        </w:numPr>
        <w:tabs>
          <w:tab w:val="num" w:pos="360"/>
          <w:tab w:val="left" w:pos="1080"/>
        </w:tabs>
        <w:spacing w:after="120"/>
      </w:pPr>
      <w:r w:rsidRPr="00885988">
        <w:t>Use of ERRA is not required for exam clarifications, exam addendums, corrections of insufficient/inadequate exams, and ACE provided by a local VHA provider (i.e., in-house doctor)</w:t>
      </w:r>
      <w:r>
        <w:t xml:space="preserve"> – u</w:t>
      </w:r>
      <w:r w:rsidRPr="00D93D1D">
        <w:t xml:space="preserve">se the </w:t>
      </w:r>
      <w:hyperlink r:id="rId784" w:history="1">
        <w:r w:rsidRPr="00D93D1D">
          <w:rPr>
            <w:rStyle w:val="Hyperlink"/>
          </w:rPr>
          <w:t>Returning Exam Reports Decision Tree</w:t>
        </w:r>
      </w:hyperlink>
      <w:r w:rsidRPr="00D93D1D">
        <w:t xml:space="preserve"> </w:t>
      </w:r>
      <w:r w:rsidR="002B7AA2">
        <w:t>[</w:t>
      </w:r>
      <w:r w:rsidR="002B7AA2" w:rsidRPr="002B7AA2">
        <w:t xml:space="preserve">“C&amp;P Clinic POC List” - </w:t>
      </w:r>
      <w:hyperlink r:id="rId785" w:history="1">
        <w:r w:rsidR="002B7AA2" w:rsidRPr="002B7AA2">
          <w:rPr>
            <w:rStyle w:val="Hyperlink"/>
          </w:rPr>
          <w:t>http://vaww.demo.va.gov/publicationslibrary.asp</w:t>
        </w:r>
      </w:hyperlink>
      <w:r w:rsidR="002B7AA2" w:rsidRPr="002B7AA2">
        <w:rPr>
          <w:rStyle w:val="Hyperlink"/>
          <w:color w:val="auto"/>
          <w:u w:val="none"/>
        </w:rPr>
        <w:t>]</w:t>
      </w:r>
    </w:p>
    <w:p w:rsidR="00A67806" w:rsidRDefault="00A67806" w:rsidP="00F063AF">
      <w:pPr>
        <w:widowControl w:val="0"/>
        <w:numPr>
          <w:ilvl w:val="1"/>
          <w:numId w:val="306"/>
        </w:numPr>
        <w:tabs>
          <w:tab w:val="clear" w:pos="1440"/>
          <w:tab w:val="num" w:pos="720"/>
        </w:tabs>
        <w:spacing w:after="120"/>
        <w:ind w:left="720"/>
      </w:pPr>
      <w:r w:rsidRPr="00D93D1D">
        <w:t>Need more than one clarification for an exam completed by a VBA contract vendor?</w:t>
      </w:r>
      <w:r>
        <w:t xml:space="preserve"> </w:t>
      </w:r>
      <w:r w:rsidRPr="00D93D1D">
        <w:t xml:space="preserve">Use the </w:t>
      </w:r>
      <w:hyperlink r:id="rId786" w:history="1">
        <w:r w:rsidRPr="00D93D1D">
          <w:rPr>
            <w:rStyle w:val="Hyperlink"/>
          </w:rPr>
          <w:t>Additional Quality Assessment Job Aid</w:t>
        </w:r>
      </w:hyperlink>
    </w:p>
    <w:p w:rsidR="00A67806" w:rsidRDefault="00A67806" w:rsidP="00F063AF">
      <w:pPr>
        <w:widowControl w:val="0"/>
        <w:numPr>
          <w:ilvl w:val="1"/>
          <w:numId w:val="306"/>
        </w:numPr>
        <w:tabs>
          <w:tab w:val="clear" w:pos="1440"/>
          <w:tab w:val="num" w:pos="360"/>
        </w:tabs>
        <w:spacing w:after="120"/>
        <w:ind w:left="360" w:firstLine="0"/>
      </w:pPr>
      <w:r>
        <w:t>If no routing determination made by ERRA, use VHA/CAPRI</w:t>
      </w:r>
    </w:p>
    <w:p w:rsidR="00A67806" w:rsidRDefault="00A67806" w:rsidP="00F063AF">
      <w:pPr>
        <w:widowControl w:val="0"/>
        <w:numPr>
          <w:ilvl w:val="1"/>
          <w:numId w:val="306"/>
        </w:numPr>
        <w:tabs>
          <w:tab w:val="clear" w:pos="1440"/>
          <w:tab w:val="num" w:pos="360"/>
        </w:tabs>
        <w:spacing w:after="120"/>
        <w:ind w:left="360" w:firstLine="0"/>
      </w:pPr>
      <w:r>
        <w:t>If zip code is outside contract vendor area, use VHA/CAPRI</w:t>
      </w:r>
    </w:p>
    <w:p w:rsidR="00A67806" w:rsidRPr="003349C8" w:rsidRDefault="00A67806" w:rsidP="00F063AF">
      <w:pPr>
        <w:widowControl w:val="0"/>
        <w:numPr>
          <w:ilvl w:val="1"/>
          <w:numId w:val="306"/>
        </w:numPr>
        <w:tabs>
          <w:tab w:val="clear" w:pos="1440"/>
          <w:tab w:val="num" w:pos="720"/>
        </w:tabs>
        <w:spacing w:after="120"/>
        <w:ind w:left="720"/>
      </w:pPr>
      <w:r>
        <w:t xml:space="preserve">If zip code is in contract vendor area, use CAATS for ”vendor” result(s) &amp; CAPRI for “VA” result(s), </w:t>
      </w:r>
      <w:r w:rsidRPr="00501D18">
        <w:rPr>
          <w:u w:val="single"/>
        </w:rPr>
        <w:t>but</w:t>
      </w:r>
      <w:r>
        <w:t xml:space="preserve"> i</w:t>
      </w:r>
      <w:r w:rsidRPr="003349C8">
        <w:t xml:space="preserve">f ERRA recommends routing </w:t>
      </w:r>
      <w:r w:rsidRPr="00501D18">
        <w:rPr>
          <w:b/>
          <w:u w:val="single"/>
        </w:rPr>
        <w:t>any</w:t>
      </w:r>
      <w:r w:rsidRPr="00501D18">
        <w:t xml:space="preserve"> </w:t>
      </w:r>
      <w:r w:rsidRPr="003349C8">
        <w:t xml:space="preserve">required DBQ to a vendor and all DBQs are contract eligible, </w:t>
      </w:r>
      <w:r w:rsidRPr="00501D18">
        <w:rPr>
          <w:b/>
          <w:bCs/>
        </w:rPr>
        <w:t>submit the exam request through CAATS</w:t>
      </w:r>
      <w:r w:rsidRPr="00501D18">
        <w:rPr>
          <w:bCs/>
        </w:rPr>
        <w:t xml:space="preserve"> </w:t>
      </w:r>
      <w:r w:rsidRPr="00501D18">
        <w:rPr>
          <w:bCs/>
          <w:i/>
        </w:rPr>
        <w:t>(example:  need DBQs for HL &amp; retinopathy, ERRA says Audio-vendor &amp; Eye-VA, use contract vendor; BUT if need DBQs for TBI &amp; GW, ERRA says TBI-vendor, but GW is excluded per III.iv.3.A.1.j, so use VHA; so… even if says VA for some DBQs you need, if other DBQs you need say vendor &amp; the VA ones aren’t ex</w:t>
      </w:r>
      <w:r w:rsidR="00306CE1">
        <w:rPr>
          <w:bCs/>
          <w:i/>
        </w:rPr>
        <w:t>c</w:t>
      </w:r>
      <w:r w:rsidRPr="00501D18">
        <w:rPr>
          <w:bCs/>
          <w:i/>
        </w:rPr>
        <w:t>luded, use vendor)</w:t>
      </w:r>
      <w:r w:rsidRPr="00501D18">
        <w:rPr>
          <w:bCs/>
        </w:rPr>
        <w:t xml:space="preserve">, also see </w:t>
      </w:r>
      <w:r w:rsidRPr="00501D18">
        <w:rPr>
          <w:b/>
        </w:rPr>
        <w:t>III.iv.3.A.2.c</w:t>
      </w:r>
    </w:p>
    <w:p w:rsidR="00A67806" w:rsidRPr="003349C8" w:rsidRDefault="00A67806" w:rsidP="00F063AF">
      <w:pPr>
        <w:widowControl w:val="0"/>
        <w:numPr>
          <w:ilvl w:val="1"/>
          <w:numId w:val="306"/>
        </w:numPr>
        <w:tabs>
          <w:tab w:val="clear" w:pos="1440"/>
          <w:tab w:val="num" w:pos="720"/>
        </w:tabs>
        <w:spacing w:after="120"/>
        <w:ind w:left="720"/>
      </w:pPr>
      <w:r w:rsidRPr="003349C8">
        <w:t xml:space="preserve">If ERRA recommends sending all DBQs to VA, </w:t>
      </w:r>
      <w:r w:rsidRPr="003349C8">
        <w:rPr>
          <w:b/>
          <w:bCs/>
        </w:rPr>
        <w:t>use CAPRI to submit the request to the appropriate VHA facility</w:t>
      </w:r>
      <w:r w:rsidRPr="00501D18">
        <w:rPr>
          <w:bCs/>
        </w:rPr>
        <w:t xml:space="preserve">, also see </w:t>
      </w:r>
      <w:r w:rsidRPr="00501D18">
        <w:rPr>
          <w:b/>
        </w:rPr>
        <w:t>III.iv.3.A.2.c</w:t>
      </w:r>
    </w:p>
    <w:p w:rsidR="00A67806" w:rsidRPr="003349C8" w:rsidRDefault="00A67806" w:rsidP="00F063AF">
      <w:pPr>
        <w:widowControl w:val="0"/>
        <w:numPr>
          <w:ilvl w:val="1"/>
          <w:numId w:val="306"/>
        </w:numPr>
        <w:tabs>
          <w:tab w:val="clear" w:pos="1440"/>
          <w:tab w:val="num" w:pos="720"/>
        </w:tabs>
        <w:spacing w:after="120"/>
        <w:ind w:left="720"/>
      </w:pPr>
      <w:r w:rsidRPr="003349C8">
        <w:t xml:space="preserve">If ERRA states “route examination requests to the appropriate VA facility,” </w:t>
      </w:r>
      <w:r w:rsidRPr="003349C8">
        <w:rPr>
          <w:b/>
          <w:bCs/>
        </w:rPr>
        <w:t>use CAPRI to submit the request to the appropriate VHA facility</w:t>
      </w:r>
      <w:r w:rsidRPr="00501D18">
        <w:rPr>
          <w:bCs/>
        </w:rPr>
        <w:t xml:space="preserve">, also see </w:t>
      </w:r>
      <w:r w:rsidRPr="00501D18">
        <w:rPr>
          <w:b/>
        </w:rPr>
        <w:t>III.iv.3.A.2.c</w:t>
      </w:r>
    </w:p>
    <w:p w:rsidR="00A67806" w:rsidRPr="003349C8" w:rsidRDefault="00A67806" w:rsidP="00F063AF">
      <w:pPr>
        <w:widowControl w:val="0"/>
        <w:numPr>
          <w:ilvl w:val="1"/>
          <w:numId w:val="306"/>
        </w:numPr>
        <w:tabs>
          <w:tab w:val="clear" w:pos="1440"/>
          <w:tab w:val="num" w:pos="720"/>
        </w:tabs>
        <w:spacing w:after="120"/>
        <w:ind w:left="720"/>
      </w:pPr>
      <w:r w:rsidRPr="003349C8">
        <w:t xml:space="preserve">If a required DBQ is not contract eligible or other exceptions apply, </w:t>
      </w:r>
      <w:r w:rsidRPr="003349C8">
        <w:rPr>
          <w:b/>
          <w:bCs/>
        </w:rPr>
        <w:t>use CAPRI to submit the request to the appropriate VHA facility</w:t>
      </w:r>
      <w:r w:rsidRPr="00501D18">
        <w:rPr>
          <w:bCs/>
        </w:rPr>
        <w:t xml:space="preserve">, also see </w:t>
      </w:r>
      <w:r w:rsidRPr="00501D18">
        <w:rPr>
          <w:b/>
        </w:rPr>
        <w:t>III.iv.3.A.2.c</w:t>
      </w:r>
    </w:p>
    <w:p w:rsidR="00A67806" w:rsidRDefault="00A67806" w:rsidP="009A10CF">
      <w:pPr>
        <w:widowControl w:val="0"/>
      </w:pPr>
    </w:p>
    <w:p w:rsidR="001912DF" w:rsidRPr="005529F3" w:rsidRDefault="001912DF" w:rsidP="001912DF">
      <w:pPr>
        <w:rPr>
          <w:rFonts w:ascii="Tahoma" w:hAnsi="Tahoma" w:cs="Tahoma"/>
        </w:rPr>
      </w:pPr>
      <w:r>
        <w:rPr>
          <w:rFonts w:ascii="Tahoma" w:hAnsi="Tahoma" w:cs="Tahoma"/>
          <w:b/>
          <w:bCs/>
        </w:rPr>
        <w:t>From:</w:t>
      </w:r>
      <w:r>
        <w:rPr>
          <w:rFonts w:ascii="Tahoma" w:hAnsi="Tahoma" w:cs="Tahoma"/>
        </w:rPr>
        <w:t xml:space="preserve"> VAVBASDC/RO/VSC </w:t>
      </w:r>
      <w:r>
        <w:rPr>
          <w:rFonts w:ascii="Tahoma" w:hAnsi="Tahoma" w:cs="Tahoma"/>
        </w:rPr>
        <w:br/>
      </w:r>
      <w:r w:rsidRPr="005529F3">
        <w:rPr>
          <w:rFonts w:ascii="Tahoma" w:hAnsi="Tahoma" w:cs="Tahoma"/>
          <w:b/>
          <w:bCs/>
        </w:rPr>
        <w:t>Sent:</w:t>
      </w:r>
      <w:r w:rsidRPr="005529F3">
        <w:rPr>
          <w:rFonts w:ascii="Tahoma" w:hAnsi="Tahoma" w:cs="Tahoma"/>
        </w:rPr>
        <w:t xml:space="preserve"> Monday, October 24, 2016 8:03 AM</w:t>
      </w:r>
      <w:r w:rsidRPr="005529F3">
        <w:rPr>
          <w:rFonts w:ascii="Tahoma" w:hAnsi="Tahoma" w:cs="Tahoma"/>
        </w:rPr>
        <w:br/>
      </w:r>
      <w:r w:rsidRPr="005529F3">
        <w:rPr>
          <w:rFonts w:ascii="Tahoma" w:hAnsi="Tahoma" w:cs="Tahoma"/>
          <w:b/>
          <w:bCs/>
        </w:rPr>
        <w:t>Subject:</w:t>
      </w:r>
      <w:r w:rsidRPr="005529F3">
        <w:rPr>
          <w:rFonts w:ascii="Tahoma" w:hAnsi="Tahoma" w:cs="Tahoma"/>
        </w:rPr>
        <w:t xml:space="preserve"> FW: ERRA &amp; CAATS</w:t>
      </w:r>
    </w:p>
    <w:p w:rsidR="001912DF" w:rsidRPr="005529F3" w:rsidRDefault="001912DF" w:rsidP="001912DF">
      <w:pPr>
        <w:rPr>
          <w:rFonts w:ascii="Calibri" w:eastAsiaTheme="minorHAnsi" w:hAnsi="Calibri" w:cs="Times New Roman"/>
        </w:rPr>
      </w:pPr>
    </w:p>
    <w:p w:rsidR="001912DF" w:rsidRPr="005529F3" w:rsidRDefault="001912DF" w:rsidP="001912DF">
      <w:r w:rsidRPr="005529F3">
        <w:t xml:space="preserve">Good </w:t>
      </w:r>
      <w:r w:rsidRPr="005529F3">
        <w:rPr>
          <w:color w:val="000000"/>
        </w:rPr>
        <w:t>Morning</w:t>
      </w:r>
      <w:r w:rsidRPr="005529F3">
        <w:t>,</w:t>
      </w:r>
    </w:p>
    <w:p w:rsidR="001912DF" w:rsidRPr="005529F3" w:rsidRDefault="001912DF" w:rsidP="001912DF"/>
    <w:p w:rsidR="001912DF" w:rsidRPr="005529F3" w:rsidRDefault="001912DF" w:rsidP="001912DF">
      <w:r w:rsidRPr="005529F3">
        <w:t>ERRA and CAATS have been updated to reflect the geographic expansion of VBA’s exam contracts and the current availability of vendors.  CAATS vendors now include MSLA and LHI.  Please request exams through these specific vendors via CAATS if ERRA recommends to do so.</w:t>
      </w:r>
    </w:p>
    <w:p w:rsidR="001912DF" w:rsidRPr="005529F3" w:rsidRDefault="001912DF" w:rsidP="001912DF"/>
    <w:p w:rsidR="001912DF" w:rsidRDefault="001912DF" w:rsidP="008F1ACE">
      <w:r w:rsidRPr="005529F3">
        <w:t>Please note: VHA may cancel exams submitted based on an ERRA routing recommendation.  If this occurs, please use ERRA to obtain the name of the vendor and the station number aligned with the Veteran’s location.  Please then submit the exam via CAATS, regardless of E</w:t>
      </w:r>
      <w:r w:rsidR="008F1ACE">
        <w:t xml:space="preserve">RRA’s routing recommendation.  </w:t>
      </w:r>
    </w:p>
    <w:p w:rsidR="001912DF" w:rsidRPr="00A06121" w:rsidRDefault="001912DF" w:rsidP="009A10CF">
      <w:pPr>
        <w:widowControl w:val="0"/>
      </w:pPr>
    </w:p>
    <w:tbl>
      <w:tblPr>
        <w:tblW w:w="102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7210"/>
        <w:gridCol w:w="1650"/>
      </w:tblGrid>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u w:val="single"/>
              </w:rPr>
            </w:pPr>
            <w:r w:rsidRPr="00DC47B2">
              <w:rPr>
                <w:b/>
                <w:bCs/>
                <w:u w:val="single"/>
              </w:rPr>
              <w:t>Station ID</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u w:val="single"/>
              </w:rPr>
            </w:pPr>
            <w:r w:rsidRPr="00DC47B2">
              <w:rPr>
                <w:b/>
                <w:bCs/>
                <w:u w:val="single"/>
              </w:rPr>
              <w:t>Name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u w:val="single"/>
              </w:rPr>
            </w:pPr>
            <w:r w:rsidRPr="00DC47B2">
              <w:rPr>
                <w:b/>
                <w:bCs/>
                <w:u w:val="single"/>
              </w:rPr>
              <w:t>State</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301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Boston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Massachusetts</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304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Providence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Rhode Island</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306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New York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New York</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307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Buffalo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New York</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308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Hartford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Connecticut</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309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Newark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New Jersey</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310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 xml:space="preserve">Philadelphia or Philadelphia PMC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Pennsylvania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311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Pittsburgh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Pennsylvania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313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Baltimore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Maryland</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314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Roanoke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Virginia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315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Huntington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West Virginia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316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Atlanta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Georgia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317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St. Petersburg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Florida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318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Winston-Salem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North Carolina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319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Columbia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South Carolina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320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Nashville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Tennessee</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321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New Orleans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Louisiana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322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Montgomery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Alabama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323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Jackson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Mississippi</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325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Cleveland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Ohio</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326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Indianapolis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Indiana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327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Louisville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Kentucky</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328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Chicago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Illinois</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329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Detroit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Michigan</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330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Milwaukee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Wisconsin</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331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St. Louis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Missouri</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333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Des Moines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Iowa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334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Lincoln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Nebraska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335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St. Paul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Minnesota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339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Denver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Colorado</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340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Albuquerque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New Mexico</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341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Salt Lake City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Utah</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343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Oakland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California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344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Los Angeles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California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345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Phoenix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Arizona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346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Seattle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Washington</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347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Boise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Idaho</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348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Portland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Oregon</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349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Waco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Texas</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350</w:t>
            </w:r>
          </w:p>
        </w:tc>
        <w:tc>
          <w:tcPr>
            <w:tcW w:w="7210" w:type="dxa"/>
            <w:shd w:val="clear" w:color="auto" w:fill="auto"/>
            <w:vAlign w:val="bottom"/>
            <w:hideMark/>
          </w:tcPr>
          <w:p w:rsidR="00A67806" w:rsidRPr="00DC47B2" w:rsidRDefault="007405A9" w:rsidP="0045600F">
            <w:pPr>
              <w:overflowPunct/>
              <w:autoSpaceDE/>
              <w:autoSpaceDN/>
              <w:adjustRightInd/>
              <w:textAlignment w:val="auto"/>
              <w:rPr>
                <w:b/>
                <w:bCs/>
              </w:rPr>
            </w:pPr>
            <w:r>
              <w:rPr>
                <w:b/>
                <w:bCs/>
              </w:rPr>
              <w:t>Little Rock</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Arkansas</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351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Muskogee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Oklahoma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354</w:t>
            </w:r>
          </w:p>
        </w:tc>
        <w:tc>
          <w:tcPr>
            <w:tcW w:w="7210" w:type="dxa"/>
            <w:shd w:val="clear" w:color="auto" w:fill="auto"/>
            <w:vAlign w:val="bottom"/>
            <w:hideMark/>
          </w:tcPr>
          <w:p w:rsidR="00A67806" w:rsidRPr="00DC47B2" w:rsidRDefault="00A67806" w:rsidP="00E268F9">
            <w:pPr>
              <w:overflowPunct/>
              <w:autoSpaceDE/>
              <w:autoSpaceDN/>
              <w:adjustRightInd/>
              <w:textAlignment w:val="auto"/>
              <w:rPr>
                <w:b/>
                <w:bCs/>
              </w:rPr>
            </w:pPr>
            <w:r w:rsidRPr="00DC47B2">
              <w:rPr>
                <w:b/>
                <w:bCs/>
              </w:rPr>
              <w:t>Reno</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Nevada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355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San Juan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Puerto Rico</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358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Manila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Phillipines</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362</w:t>
            </w:r>
          </w:p>
        </w:tc>
        <w:tc>
          <w:tcPr>
            <w:tcW w:w="7210" w:type="dxa"/>
            <w:shd w:val="clear" w:color="auto" w:fill="auto"/>
            <w:vAlign w:val="bottom"/>
            <w:hideMark/>
          </w:tcPr>
          <w:p w:rsidR="00A67806" w:rsidRPr="00DC47B2" w:rsidRDefault="00A67806" w:rsidP="00867E59">
            <w:pPr>
              <w:overflowPunct/>
              <w:autoSpaceDE/>
              <w:autoSpaceDN/>
              <w:adjustRightInd/>
              <w:textAlignment w:val="auto"/>
              <w:rPr>
                <w:b/>
                <w:bCs/>
              </w:rPr>
            </w:pPr>
            <w:r w:rsidRPr="00DC47B2">
              <w:rPr>
                <w:b/>
                <w:bCs/>
              </w:rPr>
              <w:t>Houston</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Texas</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372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Washington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D.C.</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373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Manchester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New Hampshire</w:t>
            </w:r>
          </w:p>
        </w:tc>
      </w:tr>
      <w:tr w:rsidR="00A67806" w:rsidRPr="00DC47B2" w:rsidTr="009D1F6E">
        <w:trPr>
          <w:trHeight w:val="77"/>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376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St. Louis RMC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377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San Diego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California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397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Appeals Management Center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402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Togus or VA Maine Healthcare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Maine</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405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White River Jct or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Vermont</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436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 xml:space="preserve">Fort Harrison or VA Montana Health Care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Montana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437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Fargo or Fargo VA Healthcare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North Dakota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438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Sioux Falls or Sioux Falls VA Health Care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South Dakota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442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Cheyenne or Cheyenne VA Medical</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Wyoming</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452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Wichita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Kansas</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459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 xml:space="preserve">Honolulu or VA Pacific Islands Health Care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Hawaii</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460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Wilmington or Wilmington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Delaware</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463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Anchorage </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Alaska</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501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New Mexico VA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New Mexico</w:t>
            </w: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502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Alexandria VAMC</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r w:rsidRPr="00DC47B2">
              <w:rPr>
                <w:b/>
                <w:bCs/>
              </w:rPr>
              <w:t>Virginia</w:t>
            </w:r>
          </w:p>
        </w:tc>
      </w:tr>
      <w:tr w:rsidR="00A67806" w:rsidRPr="00DC47B2" w:rsidTr="002E15DC">
        <w:trPr>
          <w:trHeight w:val="224"/>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503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Altoona - James E. Van Zandt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504</w:t>
            </w:r>
          </w:p>
        </w:tc>
        <w:tc>
          <w:tcPr>
            <w:tcW w:w="7210" w:type="dxa"/>
            <w:shd w:val="clear" w:color="auto" w:fill="auto"/>
            <w:vAlign w:val="bottom"/>
            <w:hideMark/>
          </w:tcPr>
          <w:p w:rsidR="00A67806" w:rsidRPr="00DC47B2" w:rsidRDefault="00A67806" w:rsidP="002E15DC">
            <w:pPr>
              <w:overflowPunct/>
              <w:autoSpaceDE/>
              <w:autoSpaceDN/>
              <w:adjustRightInd/>
              <w:textAlignment w:val="auto"/>
              <w:rPr>
                <w:b/>
                <w:bCs/>
              </w:rPr>
            </w:pPr>
            <w:r w:rsidRPr="00DC47B2">
              <w:rPr>
                <w:b/>
                <w:bCs/>
              </w:rPr>
              <w:t>Amarillo VA Health Care System</w:t>
            </w:r>
            <w:r w:rsidR="002E15DC">
              <w:rPr>
                <w:b/>
                <w:bCs/>
              </w:rPr>
              <w:t xml:space="preserve">; </w:t>
            </w:r>
            <w:r w:rsidR="002E15DC" w:rsidRPr="00586D73">
              <w:rPr>
                <w:bCs/>
                <w:i/>
                <w:color w:val="00B050"/>
              </w:rPr>
              <w:t>My Notes</w:t>
            </w:r>
            <w:r w:rsidR="002E15DC" w:rsidRPr="00D36CD9">
              <w:rPr>
                <w:bCs/>
                <w:i/>
                <w:color w:val="00B050"/>
              </w:rPr>
              <w:t xml:space="preserve">:  </w:t>
            </w:r>
            <w:r w:rsidR="002E15DC">
              <w:rPr>
                <w:bCs/>
                <w:i/>
              </w:rPr>
              <w:t>Lubbock</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506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Ann Arbor Healthcare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508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Atlanta VA Medical Center</w:t>
            </w:r>
            <w:r w:rsidR="00204CF8">
              <w:rPr>
                <w:b/>
                <w:bCs/>
              </w:rPr>
              <w:t xml:space="preserve">; </w:t>
            </w:r>
            <w:r w:rsidR="00204CF8" w:rsidRPr="00586D73">
              <w:rPr>
                <w:bCs/>
                <w:i/>
                <w:color w:val="00B050"/>
              </w:rPr>
              <w:t>My Notes</w:t>
            </w:r>
            <w:r w:rsidR="00204CF8" w:rsidRPr="00D36CD9">
              <w:rPr>
                <w:bCs/>
                <w:i/>
                <w:color w:val="00B050"/>
              </w:rPr>
              <w:t xml:space="preserve">:  </w:t>
            </w:r>
            <w:r w:rsidR="00204CF8">
              <w:rPr>
                <w:bCs/>
                <w:i/>
              </w:rPr>
              <w:t>located in Decatur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509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Charlie Norwood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512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Baltimore Health Care  VA Maryland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515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Battle Creek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516</w:t>
            </w:r>
          </w:p>
        </w:tc>
        <w:tc>
          <w:tcPr>
            <w:tcW w:w="7210" w:type="dxa"/>
            <w:shd w:val="clear" w:color="auto" w:fill="auto"/>
            <w:vAlign w:val="bottom"/>
            <w:hideMark/>
          </w:tcPr>
          <w:p w:rsidR="00A67806" w:rsidRPr="00DC47B2" w:rsidRDefault="00A67806" w:rsidP="0045600F">
            <w:pPr>
              <w:overflowPunct/>
              <w:autoSpaceDE/>
              <w:autoSpaceDN/>
              <w:adjustRightInd/>
              <w:textAlignment w:val="auto"/>
              <w:rPr>
                <w:b/>
                <w:bCs/>
              </w:rPr>
            </w:pPr>
            <w:r w:rsidRPr="00DC47B2">
              <w:rPr>
                <w:b/>
                <w:bCs/>
              </w:rPr>
              <w:t>Bay Pines VA Healthcare System</w:t>
            </w:r>
            <w:r w:rsidR="0045600F">
              <w:rPr>
                <w:b/>
                <w:bCs/>
              </w:rPr>
              <w:t xml:space="preserve">; </w:t>
            </w:r>
            <w:r w:rsidR="0045600F" w:rsidRPr="00586D73">
              <w:rPr>
                <w:bCs/>
                <w:i/>
                <w:color w:val="00B050"/>
              </w:rPr>
              <w:t>My Notes</w:t>
            </w:r>
            <w:r w:rsidR="0045600F" w:rsidRPr="00D36CD9">
              <w:rPr>
                <w:bCs/>
                <w:i/>
                <w:color w:val="00B050"/>
              </w:rPr>
              <w:t xml:space="preserve">:  </w:t>
            </w:r>
            <w:r w:rsidR="0045600F" w:rsidRPr="00D36CD9">
              <w:rPr>
                <w:bCs/>
                <w:i/>
              </w:rPr>
              <w:t>C.W. Bill Young</w:t>
            </w:r>
            <w:r w:rsidR="00575A9C">
              <w:rPr>
                <w:bCs/>
                <w:i/>
              </w:rPr>
              <w:t>, Lee County</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517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Beckley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518</w:t>
            </w:r>
          </w:p>
        </w:tc>
        <w:tc>
          <w:tcPr>
            <w:tcW w:w="7210" w:type="dxa"/>
            <w:shd w:val="clear" w:color="auto" w:fill="auto"/>
            <w:vAlign w:val="bottom"/>
            <w:hideMark/>
          </w:tcPr>
          <w:p w:rsidR="00A67806" w:rsidRPr="00DC47B2" w:rsidRDefault="00A67806" w:rsidP="00083F25">
            <w:pPr>
              <w:overflowPunct/>
              <w:autoSpaceDE/>
              <w:autoSpaceDN/>
              <w:adjustRightInd/>
              <w:textAlignment w:val="auto"/>
              <w:rPr>
                <w:b/>
                <w:bCs/>
              </w:rPr>
            </w:pPr>
            <w:r w:rsidRPr="00DC47B2">
              <w:rPr>
                <w:b/>
                <w:bCs/>
              </w:rPr>
              <w:t>Edith Nourse Rogers Memorial Veterans Hospital</w:t>
            </w:r>
            <w:r w:rsidR="00083F25">
              <w:rPr>
                <w:b/>
                <w:bCs/>
              </w:rPr>
              <w:t xml:space="preserve">; </w:t>
            </w:r>
            <w:r w:rsidR="00083F25" w:rsidRPr="00586D73">
              <w:rPr>
                <w:bCs/>
                <w:i/>
                <w:color w:val="00B050"/>
              </w:rPr>
              <w:t>My Notes</w:t>
            </w:r>
            <w:r w:rsidR="00083F25" w:rsidRPr="00D36CD9">
              <w:rPr>
                <w:bCs/>
                <w:i/>
                <w:color w:val="00B050"/>
              </w:rPr>
              <w:t xml:space="preserve">:  </w:t>
            </w:r>
            <w:r w:rsidR="00083F25">
              <w:rPr>
                <w:bCs/>
                <w:i/>
              </w:rPr>
              <w:t>Wheeling</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519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West Texas VA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520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Gulf Coast Veterans Health Care System</w:t>
            </w:r>
            <w:r w:rsidR="00586D73">
              <w:rPr>
                <w:b/>
                <w:bCs/>
              </w:rPr>
              <w:t xml:space="preserve">; </w:t>
            </w:r>
            <w:r w:rsidR="00586D73" w:rsidRPr="00586D73">
              <w:rPr>
                <w:bCs/>
                <w:i/>
                <w:color w:val="00B050"/>
              </w:rPr>
              <w:t xml:space="preserve">My Notes:  </w:t>
            </w:r>
            <w:r w:rsidR="0045600F" w:rsidRPr="00D36CD9">
              <w:rPr>
                <w:bCs/>
                <w:i/>
              </w:rPr>
              <w:t>Augusta</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521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Birmingham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523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Boston Healthcare System, Jamaica Plain Campus</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526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James J. Peters VA Medical Center (Bronx, NY)</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528</w:t>
            </w:r>
          </w:p>
        </w:tc>
        <w:tc>
          <w:tcPr>
            <w:tcW w:w="7210" w:type="dxa"/>
            <w:shd w:val="clear" w:color="auto" w:fill="auto"/>
            <w:vAlign w:val="bottom"/>
            <w:hideMark/>
          </w:tcPr>
          <w:p w:rsidR="00A67806" w:rsidRPr="00DC47B2" w:rsidRDefault="00A67806" w:rsidP="00FD028C">
            <w:pPr>
              <w:overflowPunct/>
              <w:autoSpaceDE/>
              <w:autoSpaceDN/>
              <w:adjustRightInd/>
              <w:textAlignment w:val="auto"/>
              <w:rPr>
                <w:b/>
                <w:bCs/>
              </w:rPr>
            </w:pPr>
            <w:r w:rsidRPr="00DC47B2">
              <w:rPr>
                <w:b/>
                <w:bCs/>
              </w:rPr>
              <w:t>VA Western New York Healthcare System at Buffalo</w:t>
            </w:r>
            <w:r w:rsidR="0045600F">
              <w:rPr>
                <w:b/>
                <w:bCs/>
              </w:rPr>
              <w:t xml:space="preserve">; </w:t>
            </w:r>
            <w:r w:rsidR="0045600F" w:rsidRPr="00586D73">
              <w:rPr>
                <w:bCs/>
                <w:i/>
                <w:color w:val="00B050"/>
              </w:rPr>
              <w:t xml:space="preserve">My Notes:  </w:t>
            </w:r>
            <w:r w:rsidR="0045600F" w:rsidRPr="00D36CD9">
              <w:rPr>
                <w:bCs/>
                <w:i/>
              </w:rPr>
              <w:t>Upstate New York, Batavia</w:t>
            </w:r>
            <w:r w:rsidR="00FD028C">
              <w:rPr>
                <w:bCs/>
                <w:i/>
              </w:rPr>
              <w:t>, Buffalo, ?Albany, ?Bath,</w:t>
            </w:r>
            <w:r w:rsidR="00AE089C">
              <w:rPr>
                <w:bCs/>
                <w:i/>
              </w:rPr>
              <w:t xml:space="preserve"> ?Canandaigua, ?Syracuse</w:t>
            </w:r>
            <w:r w:rsidR="00FD028C">
              <w:rPr>
                <w:bCs/>
                <w:i/>
              </w:rPr>
              <w:t>, ?Dunkirk</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529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Butler Healthcare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531</w:t>
            </w:r>
          </w:p>
        </w:tc>
        <w:tc>
          <w:tcPr>
            <w:tcW w:w="7210" w:type="dxa"/>
            <w:shd w:val="clear" w:color="auto" w:fill="auto"/>
            <w:vAlign w:val="bottom"/>
            <w:hideMark/>
          </w:tcPr>
          <w:p w:rsidR="00A67806" w:rsidRPr="00DC47B2" w:rsidRDefault="00A67806" w:rsidP="00081791">
            <w:pPr>
              <w:overflowPunct/>
              <w:autoSpaceDE/>
              <w:autoSpaceDN/>
              <w:adjustRightInd/>
              <w:textAlignment w:val="auto"/>
              <w:rPr>
                <w:b/>
                <w:bCs/>
              </w:rPr>
            </w:pPr>
            <w:r w:rsidRPr="00DC47B2">
              <w:rPr>
                <w:b/>
                <w:bCs/>
              </w:rPr>
              <w:t>Boise VA Medical Center</w:t>
            </w:r>
            <w:r w:rsidR="00081791">
              <w:rPr>
                <w:b/>
                <w:bCs/>
              </w:rPr>
              <w:t xml:space="preserve">; </w:t>
            </w:r>
            <w:r w:rsidR="00081791" w:rsidRPr="00586D73">
              <w:rPr>
                <w:bCs/>
                <w:i/>
                <w:color w:val="00B050"/>
              </w:rPr>
              <w:t xml:space="preserve">My Notes:  </w:t>
            </w:r>
            <w:r w:rsidR="00081791">
              <w:rPr>
                <w:bCs/>
                <w:i/>
              </w:rPr>
              <w:t>Mountain Home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534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Ralph H. Johnson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537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Jesse Brown VA Medical Center</w:t>
            </w:r>
            <w:r w:rsidR="00015FF4">
              <w:rPr>
                <w:b/>
                <w:bCs/>
              </w:rPr>
              <w:t xml:space="preserve">; </w:t>
            </w:r>
            <w:r w:rsidR="00015FF4" w:rsidRPr="00586D73">
              <w:rPr>
                <w:bCs/>
                <w:i/>
                <w:color w:val="00B050"/>
              </w:rPr>
              <w:t xml:space="preserve">My Notes: </w:t>
            </w:r>
            <w:r w:rsidR="00015FF4">
              <w:rPr>
                <w:bCs/>
                <w:i/>
                <w:color w:val="00B050"/>
              </w:rPr>
              <w:t xml:space="preserve"> </w:t>
            </w:r>
            <w:r w:rsidR="00015FF4" w:rsidRPr="00585B40">
              <w:rPr>
                <w:bCs/>
                <w:i/>
              </w:rPr>
              <w:t>N</w:t>
            </w:r>
            <w:r w:rsidR="00015FF4">
              <w:rPr>
                <w:bCs/>
                <w:i/>
              </w:rPr>
              <w:t>orth</w:t>
            </w:r>
            <w:r w:rsidR="00015FF4" w:rsidRPr="00585B40">
              <w:rPr>
                <w:bCs/>
                <w:i/>
              </w:rPr>
              <w:t xml:space="preserve"> </w:t>
            </w:r>
            <w:r w:rsidR="00015FF4">
              <w:rPr>
                <w:bCs/>
                <w:i/>
              </w:rPr>
              <w:t>Chicago</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538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Chillicothe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539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Cincinnati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540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Clarksburg - Louis A. Johnson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541</w:t>
            </w:r>
          </w:p>
        </w:tc>
        <w:tc>
          <w:tcPr>
            <w:tcW w:w="7210" w:type="dxa"/>
            <w:shd w:val="clear" w:color="auto" w:fill="auto"/>
            <w:vAlign w:val="bottom"/>
            <w:hideMark/>
          </w:tcPr>
          <w:p w:rsidR="00A67806" w:rsidRPr="00DC47B2" w:rsidRDefault="00A67806" w:rsidP="00FB0259">
            <w:pPr>
              <w:overflowPunct/>
              <w:autoSpaceDE/>
              <w:autoSpaceDN/>
              <w:adjustRightInd/>
              <w:textAlignment w:val="auto"/>
              <w:rPr>
                <w:b/>
                <w:bCs/>
              </w:rPr>
            </w:pPr>
            <w:r w:rsidRPr="00DC47B2">
              <w:rPr>
                <w:b/>
                <w:bCs/>
              </w:rPr>
              <w:t>Louis Stokes VA Medical Center</w:t>
            </w:r>
            <w:r w:rsidR="00FB0259">
              <w:rPr>
                <w:b/>
                <w:bCs/>
              </w:rPr>
              <w:t xml:space="preserve">; </w:t>
            </w:r>
            <w:r w:rsidR="00FB0259" w:rsidRPr="00586D73">
              <w:rPr>
                <w:bCs/>
                <w:i/>
                <w:color w:val="00B050"/>
              </w:rPr>
              <w:t xml:space="preserve">My Notes:  </w:t>
            </w:r>
            <w:r w:rsidR="00FB0259" w:rsidRPr="00D36CD9">
              <w:rPr>
                <w:bCs/>
                <w:i/>
              </w:rPr>
              <w:t>Cleveland / Wade Park</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542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Coatesville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544</w:t>
            </w:r>
          </w:p>
        </w:tc>
        <w:tc>
          <w:tcPr>
            <w:tcW w:w="7210" w:type="dxa"/>
            <w:shd w:val="clear" w:color="auto" w:fill="auto"/>
            <w:vAlign w:val="bottom"/>
            <w:hideMark/>
          </w:tcPr>
          <w:p w:rsidR="00A67806" w:rsidRPr="00DC47B2" w:rsidRDefault="00A67806" w:rsidP="00596EDC">
            <w:pPr>
              <w:overflowPunct/>
              <w:autoSpaceDE/>
              <w:autoSpaceDN/>
              <w:adjustRightInd/>
              <w:textAlignment w:val="auto"/>
              <w:rPr>
                <w:b/>
                <w:bCs/>
              </w:rPr>
            </w:pPr>
            <w:r w:rsidRPr="00DC47B2">
              <w:rPr>
                <w:b/>
                <w:bCs/>
              </w:rPr>
              <w:t>Wm. Jennings Bryan Dorn VA Medical Center</w:t>
            </w:r>
            <w:r w:rsidR="00596EDC">
              <w:rPr>
                <w:b/>
                <w:bCs/>
              </w:rPr>
              <w:t xml:space="preserve">; </w:t>
            </w:r>
            <w:r w:rsidR="00596EDC" w:rsidRPr="00586D73">
              <w:rPr>
                <w:bCs/>
                <w:i/>
                <w:color w:val="00B050"/>
              </w:rPr>
              <w:t xml:space="preserve">My Notes:  </w:t>
            </w:r>
            <w:r w:rsidR="00596EDC">
              <w:rPr>
                <w:bCs/>
                <w:i/>
              </w:rPr>
              <w:t>Columbia SC</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546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Miami VA Healthcare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548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West Palm Beach VAMC</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549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North Texas Health Care System: Dallas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550</w:t>
            </w:r>
          </w:p>
        </w:tc>
        <w:tc>
          <w:tcPr>
            <w:tcW w:w="7210" w:type="dxa"/>
            <w:shd w:val="clear" w:color="auto" w:fill="auto"/>
            <w:vAlign w:val="bottom"/>
            <w:hideMark/>
          </w:tcPr>
          <w:p w:rsidR="00A67806" w:rsidRPr="00DC47B2" w:rsidRDefault="00A67806" w:rsidP="00E268F9">
            <w:pPr>
              <w:overflowPunct/>
              <w:autoSpaceDE/>
              <w:autoSpaceDN/>
              <w:adjustRightInd/>
              <w:textAlignment w:val="auto"/>
              <w:rPr>
                <w:b/>
                <w:bCs/>
              </w:rPr>
            </w:pPr>
            <w:r w:rsidRPr="00DC47B2">
              <w:rPr>
                <w:b/>
                <w:bCs/>
              </w:rPr>
              <w:t>VA Illiana Health Care System</w:t>
            </w:r>
            <w:r w:rsidR="00E268F9">
              <w:rPr>
                <w:b/>
                <w:bCs/>
              </w:rPr>
              <w:t xml:space="preserve">; </w:t>
            </w:r>
            <w:r w:rsidR="00E268F9" w:rsidRPr="00586D73">
              <w:rPr>
                <w:bCs/>
                <w:i/>
                <w:color w:val="00B050"/>
              </w:rPr>
              <w:t xml:space="preserve">My Notes:  </w:t>
            </w:r>
            <w:r w:rsidR="00E268F9">
              <w:rPr>
                <w:bCs/>
                <w:i/>
              </w:rPr>
              <w:t>Danville, Peoria</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552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Dayton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553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John D. Dingell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585B40">
        <w:trPr>
          <w:trHeight w:val="260"/>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554</w:t>
            </w:r>
          </w:p>
        </w:tc>
        <w:tc>
          <w:tcPr>
            <w:tcW w:w="7210" w:type="dxa"/>
            <w:shd w:val="clear" w:color="auto" w:fill="auto"/>
            <w:vAlign w:val="bottom"/>
            <w:hideMark/>
          </w:tcPr>
          <w:p w:rsidR="00A67806" w:rsidRPr="00DC47B2" w:rsidRDefault="00A67806" w:rsidP="00A64309">
            <w:pPr>
              <w:overflowPunct/>
              <w:autoSpaceDE/>
              <w:autoSpaceDN/>
              <w:adjustRightInd/>
              <w:textAlignment w:val="auto"/>
              <w:rPr>
                <w:b/>
                <w:bCs/>
              </w:rPr>
            </w:pPr>
            <w:r w:rsidRPr="00DC47B2">
              <w:rPr>
                <w:b/>
                <w:bCs/>
              </w:rPr>
              <w:t>VA Eastern Colorado Health Care System(ECHCS)</w:t>
            </w:r>
            <w:r w:rsidR="00A64309">
              <w:rPr>
                <w:b/>
                <w:bCs/>
              </w:rPr>
              <w:t xml:space="preserve">; </w:t>
            </w:r>
            <w:r w:rsidR="00A64309" w:rsidRPr="00586D73">
              <w:rPr>
                <w:bCs/>
                <w:i/>
                <w:color w:val="00B050"/>
              </w:rPr>
              <w:t xml:space="preserve">My Notes:  </w:t>
            </w:r>
            <w:r w:rsidR="00A64309" w:rsidRPr="00D36CD9">
              <w:rPr>
                <w:bCs/>
                <w:i/>
              </w:rPr>
              <w:t>Denver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556</w:t>
            </w:r>
          </w:p>
        </w:tc>
        <w:tc>
          <w:tcPr>
            <w:tcW w:w="7210" w:type="dxa"/>
            <w:shd w:val="clear" w:color="auto" w:fill="auto"/>
            <w:vAlign w:val="bottom"/>
            <w:hideMark/>
          </w:tcPr>
          <w:p w:rsidR="00A67806" w:rsidRPr="00DC47B2" w:rsidRDefault="00A67806" w:rsidP="00015FF4">
            <w:pPr>
              <w:overflowPunct/>
              <w:autoSpaceDE/>
              <w:autoSpaceDN/>
              <w:adjustRightInd/>
              <w:textAlignment w:val="auto"/>
              <w:rPr>
                <w:b/>
                <w:bCs/>
              </w:rPr>
            </w:pPr>
            <w:r w:rsidRPr="00DC47B2">
              <w:rPr>
                <w:b/>
                <w:bCs/>
              </w:rPr>
              <w:t>Captain James A. Lovell Federal Health Care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557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Carl Vinson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558</w:t>
            </w:r>
          </w:p>
        </w:tc>
        <w:tc>
          <w:tcPr>
            <w:tcW w:w="7210" w:type="dxa"/>
            <w:shd w:val="clear" w:color="auto" w:fill="auto"/>
            <w:vAlign w:val="bottom"/>
            <w:hideMark/>
          </w:tcPr>
          <w:p w:rsidR="00A67806" w:rsidRPr="00DC47B2" w:rsidRDefault="00A67806" w:rsidP="00B6507E">
            <w:pPr>
              <w:overflowPunct/>
              <w:autoSpaceDE/>
              <w:autoSpaceDN/>
              <w:adjustRightInd/>
              <w:textAlignment w:val="auto"/>
              <w:rPr>
                <w:b/>
                <w:bCs/>
              </w:rPr>
            </w:pPr>
            <w:r w:rsidRPr="00DC47B2">
              <w:rPr>
                <w:b/>
                <w:bCs/>
              </w:rPr>
              <w:t>Durham VA Medical Center</w:t>
            </w:r>
            <w:r w:rsidR="00B6507E">
              <w:rPr>
                <w:b/>
                <w:bCs/>
              </w:rPr>
              <w:t xml:space="preserve">; </w:t>
            </w:r>
            <w:r w:rsidR="00B6507E" w:rsidRPr="00586D73">
              <w:rPr>
                <w:bCs/>
                <w:i/>
                <w:color w:val="00B050"/>
              </w:rPr>
              <w:t xml:space="preserve">My Notes: </w:t>
            </w:r>
            <w:r w:rsidR="00B6507E">
              <w:rPr>
                <w:bCs/>
                <w:i/>
                <w:color w:val="00B050"/>
              </w:rPr>
              <w:t xml:space="preserve"> </w:t>
            </w:r>
            <w:r w:rsidR="00B6507E">
              <w:rPr>
                <w:bCs/>
                <w:i/>
              </w:rPr>
              <w:t>Raleigh</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561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New Jersey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562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Erie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564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Veterans Health Care System of the Ozarks</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565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Fayetteville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568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Black Hills Health Care System - Fort Meade Campus</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570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Central California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573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North Florida/South Georgia Veterans Health or Maclom Randall VAMC</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575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Grand Junction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578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Edward Hines Jr. VA Hospital</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580</w:t>
            </w:r>
          </w:p>
        </w:tc>
        <w:tc>
          <w:tcPr>
            <w:tcW w:w="7210" w:type="dxa"/>
            <w:shd w:val="clear" w:color="auto" w:fill="auto"/>
            <w:vAlign w:val="bottom"/>
            <w:hideMark/>
          </w:tcPr>
          <w:p w:rsidR="00A67806" w:rsidRPr="00DC47B2" w:rsidRDefault="00A67806" w:rsidP="00BD299C">
            <w:pPr>
              <w:overflowPunct/>
              <w:autoSpaceDE/>
              <w:autoSpaceDN/>
              <w:adjustRightInd/>
              <w:textAlignment w:val="auto"/>
              <w:rPr>
                <w:b/>
                <w:bCs/>
              </w:rPr>
            </w:pPr>
            <w:r w:rsidRPr="00DC47B2">
              <w:rPr>
                <w:b/>
                <w:bCs/>
              </w:rPr>
              <w:t>Michael E. DeBakey VA Medical Center</w:t>
            </w:r>
            <w:r w:rsidR="00BD299C">
              <w:rPr>
                <w:b/>
                <w:bCs/>
              </w:rPr>
              <w:t xml:space="preserve">; </w:t>
            </w:r>
            <w:r w:rsidR="00BD299C" w:rsidRPr="00586D73">
              <w:rPr>
                <w:bCs/>
                <w:i/>
                <w:color w:val="00B050"/>
              </w:rPr>
              <w:t xml:space="preserve">My Notes:  </w:t>
            </w:r>
            <w:r w:rsidR="00BD299C">
              <w:rPr>
                <w:bCs/>
                <w:i/>
              </w:rPr>
              <w:t>Houston</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581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Huntington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583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Medical Center (Indianapolis VA Medical Center)</w:t>
            </w:r>
            <w:r w:rsidR="00575A9C">
              <w:rPr>
                <w:b/>
                <w:bCs/>
              </w:rPr>
              <w:t xml:space="preserve">; </w:t>
            </w:r>
            <w:r w:rsidR="00575A9C" w:rsidRPr="00586D73">
              <w:rPr>
                <w:bCs/>
                <w:i/>
                <w:color w:val="00B050"/>
              </w:rPr>
              <w:t xml:space="preserve">My Notes:  </w:t>
            </w:r>
            <w:r w:rsidR="00575A9C">
              <w:rPr>
                <w:bCs/>
                <w:i/>
              </w:rPr>
              <w:t>Richard L. Roudebush</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585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Oscar G. Johnson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586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G.V. (Sonny) Montgomery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589</w:t>
            </w:r>
          </w:p>
        </w:tc>
        <w:tc>
          <w:tcPr>
            <w:tcW w:w="7210" w:type="dxa"/>
            <w:shd w:val="clear" w:color="auto" w:fill="auto"/>
            <w:vAlign w:val="bottom"/>
            <w:hideMark/>
          </w:tcPr>
          <w:p w:rsidR="00A67806" w:rsidRPr="00DC47B2" w:rsidRDefault="00A67806" w:rsidP="00403D8A">
            <w:pPr>
              <w:overflowPunct/>
              <w:autoSpaceDE/>
              <w:autoSpaceDN/>
              <w:adjustRightInd/>
              <w:textAlignment w:val="auto"/>
              <w:rPr>
                <w:b/>
                <w:bCs/>
              </w:rPr>
            </w:pPr>
            <w:r w:rsidRPr="00DC47B2">
              <w:rPr>
                <w:b/>
                <w:bCs/>
              </w:rPr>
              <w:t>Kansas City VA Medical Center</w:t>
            </w:r>
            <w:r w:rsidR="00403D8A">
              <w:rPr>
                <w:b/>
                <w:bCs/>
              </w:rPr>
              <w:t xml:space="preserve">; </w:t>
            </w:r>
            <w:r w:rsidR="00403D8A" w:rsidRPr="00586D73">
              <w:rPr>
                <w:bCs/>
                <w:i/>
                <w:color w:val="00B050"/>
              </w:rPr>
              <w:t xml:space="preserve">My Notes:  </w:t>
            </w:r>
            <w:r w:rsidR="00403D8A">
              <w:rPr>
                <w:bCs/>
                <w:i/>
              </w:rPr>
              <w:t>Leavenworth</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590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Hampton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593</w:t>
            </w:r>
          </w:p>
        </w:tc>
        <w:tc>
          <w:tcPr>
            <w:tcW w:w="7210" w:type="dxa"/>
            <w:shd w:val="clear" w:color="auto" w:fill="auto"/>
            <w:vAlign w:val="bottom"/>
            <w:hideMark/>
          </w:tcPr>
          <w:p w:rsidR="00A67806" w:rsidRPr="00DC47B2" w:rsidRDefault="00A67806" w:rsidP="00575C7C">
            <w:pPr>
              <w:overflowPunct/>
              <w:autoSpaceDE/>
              <w:autoSpaceDN/>
              <w:adjustRightInd/>
              <w:textAlignment w:val="auto"/>
              <w:rPr>
                <w:b/>
                <w:bCs/>
              </w:rPr>
            </w:pPr>
            <w:r w:rsidRPr="00DC47B2">
              <w:rPr>
                <w:b/>
                <w:bCs/>
              </w:rPr>
              <w:t>VA Southern Nevada Healthcare System (VASNHS)</w:t>
            </w:r>
            <w:r w:rsidR="0045600F">
              <w:rPr>
                <w:b/>
                <w:bCs/>
              </w:rPr>
              <w:t xml:space="preserve">; </w:t>
            </w:r>
            <w:r w:rsidR="0045600F" w:rsidRPr="00586D73">
              <w:rPr>
                <w:bCs/>
                <w:i/>
                <w:color w:val="00B050"/>
              </w:rPr>
              <w:t xml:space="preserve">My Notes:  </w:t>
            </w:r>
            <w:r w:rsidR="0045600F" w:rsidRPr="00D36CD9">
              <w:rPr>
                <w:bCs/>
                <w:i/>
              </w:rPr>
              <w:t>IOANNIS A. LOUGARIS</w:t>
            </w:r>
            <w:r w:rsidR="00E268F9">
              <w:rPr>
                <w:bCs/>
                <w:i/>
              </w:rPr>
              <w:t>, Southern Nevada</w:t>
            </w:r>
            <w:r w:rsidR="00575C7C">
              <w:rPr>
                <w:bCs/>
                <w:i/>
              </w:rPr>
              <w:t>, Las Vegas</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595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Lebanon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596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Lexington VAMC: Leestown Division</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598</w:t>
            </w:r>
          </w:p>
        </w:tc>
        <w:tc>
          <w:tcPr>
            <w:tcW w:w="7210" w:type="dxa"/>
            <w:shd w:val="clear" w:color="auto" w:fill="auto"/>
            <w:vAlign w:val="bottom"/>
            <w:hideMark/>
          </w:tcPr>
          <w:p w:rsidR="00A67806" w:rsidRPr="00DC47B2" w:rsidRDefault="00A67806" w:rsidP="00443F19">
            <w:pPr>
              <w:overflowPunct/>
              <w:autoSpaceDE/>
              <w:autoSpaceDN/>
              <w:adjustRightInd/>
              <w:textAlignment w:val="auto"/>
              <w:rPr>
                <w:b/>
                <w:bCs/>
              </w:rPr>
            </w:pPr>
            <w:r w:rsidRPr="00DC47B2">
              <w:rPr>
                <w:b/>
                <w:bCs/>
              </w:rPr>
              <w:t>Central Arkansas Veterans Healthcare</w:t>
            </w:r>
            <w:r w:rsidR="00443F19">
              <w:rPr>
                <w:b/>
                <w:bCs/>
              </w:rPr>
              <w:t>;</w:t>
            </w:r>
            <w:r w:rsidR="00443F19" w:rsidRPr="00586D73">
              <w:rPr>
                <w:bCs/>
                <w:i/>
                <w:color w:val="00B050"/>
              </w:rPr>
              <w:t xml:space="preserve"> My Notes:  </w:t>
            </w:r>
            <w:r w:rsidR="00443F19">
              <w:rPr>
                <w:bCs/>
                <w:i/>
              </w:rPr>
              <w:t xml:space="preserve">Little Rock, </w:t>
            </w:r>
            <w:r w:rsidR="00FE110C">
              <w:rPr>
                <w:bCs/>
                <w:i/>
              </w:rPr>
              <w:t xml:space="preserve">Mountain Home, </w:t>
            </w:r>
            <w:r w:rsidR="00443F19">
              <w:rPr>
                <w:bCs/>
                <w:i/>
              </w:rPr>
              <w:t>?Fort Smith</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600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Long Beach Healthcare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603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Robley Rex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605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Loma Linda Healthcare System</w:t>
            </w:r>
            <w:r w:rsidR="003A2439">
              <w:rPr>
                <w:b/>
                <w:bCs/>
              </w:rPr>
              <w:t>;</w:t>
            </w:r>
            <w:r w:rsidR="003A2439" w:rsidRPr="00586D73">
              <w:rPr>
                <w:bCs/>
                <w:i/>
                <w:color w:val="00B050"/>
              </w:rPr>
              <w:t xml:space="preserve"> My Notes:  </w:t>
            </w:r>
            <w:r w:rsidR="003A2439" w:rsidRPr="003A2439">
              <w:rPr>
                <w:bCs/>
                <w:i/>
              </w:rPr>
              <w:t>Opened in 1977</w:t>
            </w:r>
            <w:r w:rsidR="003A2439">
              <w:rPr>
                <w:bCs/>
                <w:i/>
              </w:rPr>
              <w:t>.</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607</w:t>
            </w:r>
          </w:p>
        </w:tc>
        <w:tc>
          <w:tcPr>
            <w:tcW w:w="7210" w:type="dxa"/>
            <w:shd w:val="clear" w:color="auto" w:fill="auto"/>
            <w:vAlign w:val="bottom"/>
            <w:hideMark/>
          </w:tcPr>
          <w:p w:rsidR="00A67806" w:rsidRPr="00DC47B2" w:rsidRDefault="00A67806" w:rsidP="00C8658C">
            <w:pPr>
              <w:overflowPunct/>
              <w:autoSpaceDE/>
              <w:autoSpaceDN/>
              <w:adjustRightInd/>
              <w:textAlignment w:val="auto"/>
              <w:rPr>
                <w:b/>
                <w:bCs/>
              </w:rPr>
            </w:pPr>
            <w:r w:rsidRPr="00DC47B2">
              <w:rPr>
                <w:b/>
                <w:bCs/>
              </w:rPr>
              <w:t>William S. Middleton Memorial Veterans Hospital</w:t>
            </w:r>
            <w:r w:rsidR="00C8658C">
              <w:rPr>
                <w:b/>
                <w:bCs/>
              </w:rPr>
              <w:t>;</w:t>
            </w:r>
            <w:r w:rsidR="00C8658C" w:rsidRPr="00586D73">
              <w:rPr>
                <w:bCs/>
                <w:i/>
                <w:color w:val="00B050"/>
              </w:rPr>
              <w:t xml:space="preserve"> My Notes:  </w:t>
            </w:r>
            <w:r w:rsidR="00C8658C">
              <w:rPr>
                <w:bCs/>
                <w:i/>
              </w:rPr>
              <w:t>Madison</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608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Manchester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610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Northern Indiana Health Care System - Marion Campus</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612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Northern California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613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Martinsburg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614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Memphis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618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Minneapolis VA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619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Central Alabama Veterans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620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Hudson Valley Health Care System (Montrose)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621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Mountain Home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623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Jack C. Montgomery VAMC</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626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Tennessee Valley Healthcare System - Nashville Campus</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629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Southeast Louisiana Veterans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630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NY Harbor Healthcare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631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Northampton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632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Northport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635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Oklahoma City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636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Omaha - VA Nebraska-Western Iowa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637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Asheville VA Medical Center</w:t>
            </w:r>
            <w:r w:rsidR="00BD37AC">
              <w:rPr>
                <w:b/>
                <w:bCs/>
              </w:rPr>
              <w:t xml:space="preserve">; </w:t>
            </w:r>
            <w:r w:rsidR="00BD37AC" w:rsidRPr="00586D73">
              <w:rPr>
                <w:bCs/>
                <w:i/>
                <w:color w:val="00B050"/>
              </w:rPr>
              <w:t xml:space="preserve">My Notes:  </w:t>
            </w:r>
            <w:r w:rsidR="00BD37AC">
              <w:rPr>
                <w:bCs/>
                <w:i/>
              </w:rPr>
              <w:t>Charles George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640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Livermore, Melano Park or, Palo Alto VAMC</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642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Philadelphia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644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Phoenix VA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646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Pittsburgh Healthcare System, University Drive Division</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648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Portland VA Medical Center - Vancouver Campus</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649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Northern Arizona VA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650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Providence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652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Hunter Holmes McGuire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653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Roseburg Healthcare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654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Sierra Nevada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655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Aleda E. Lutz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656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St. Cloud VA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657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St. Louis VA Medical Center - John Cochran Division</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658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Salem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659</w:t>
            </w:r>
          </w:p>
        </w:tc>
        <w:tc>
          <w:tcPr>
            <w:tcW w:w="7210" w:type="dxa"/>
            <w:shd w:val="clear" w:color="auto" w:fill="auto"/>
            <w:vAlign w:val="bottom"/>
            <w:hideMark/>
          </w:tcPr>
          <w:p w:rsidR="00A67806" w:rsidRPr="00BD37AC" w:rsidRDefault="00A67806" w:rsidP="00BD37AC">
            <w:pPr>
              <w:overflowPunct/>
              <w:autoSpaceDE/>
              <w:autoSpaceDN/>
              <w:adjustRightInd/>
              <w:textAlignment w:val="auto"/>
              <w:rPr>
                <w:bCs/>
                <w:i/>
              </w:rPr>
            </w:pPr>
            <w:r w:rsidRPr="00DC47B2">
              <w:rPr>
                <w:b/>
                <w:bCs/>
              </w:rPr>
              <w:t>Salisbury - W.G. (Bill) Hefner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660</w:t>
            </w:r>
          </w:p>
        </w:tc>
        <w:tc>
          <w:tcPr>
            <w:tcW w:w="7210" w:type="dxa"/>
            <w:shd w:val="clear" w:color="auto" w:fill="auto"/>
            <w:vAlign w:val="bottom"/>
            <w:hideMark/>
          </w:tcPr>
          <w:p w:rsidR="00A67806" w:rsidRPr="00DC47B2" w:rsidRDefault="00A67806" w:rsidP="0045600F">
            <w:pPr>
              <w:overflowPunct/>
              <w:autoSpaceDE/>
              <w:autoSpaceDN/>
              <w:adjustRightInd/>
              <w:textAlignment w:val="auto"/>
              <w:rPr>
                <w:b/>
                <w:bCs/>
              </w:rPr>
            </w:pPr>
            <w:r w:rsidRPr="00DC47B2">
              <w:rPr>
                <w:b/>
                <w:bCs/>
              </w:rPr>
              <w:t>VA Salt Lake City Health Care System</w:t>
            </w:r>
            <w:r w:rsidR="0045600F">
              <w:rPr>
                <w:b/>
                <w:bCs/>
              </w:rPr>
              <w:t xml:space="preserve">; </w:t>
            </w:r>
            <w:r w:rsidR="0045600F" w:rsidRPr="00586D73">
              <w:rPr>
                <w:bCs/>
                <w:i/>
                <w:color w:val="00B050"/>
              </w:rPr>
              <w:t xml:space="preserve">My Notes:  </w:t>
            </w:r>
            <w:r w:rsidR="0045600F" w:rsidRPr="00D36CD9">
              <w:rPr>
                <w:bCs/>
                <w:i/>
              </w:rPr>
              <w:t>Wahlen</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662</w:t>
            </w:r>
          </w:p>
        </w:tc>
        <w:tc>
          <w:tcPr>
            <w:tcW w:w="7210" w:type="dxa"/>
            <w:shd w:val="clear" w:color="auto" w:fill="auto"/>
            <w:vAlign w:val="bottom"/>
            <w:hideMark/>
          </w:tcPr>
          <w:p w:rsidR="00A67806" w:rsidRPr="00DC47B2" w:rsidRDefault="00A67806" w:rsidP="0045600F">
            <w:pPr>
              <w:overflowPunct/>
              <w:autoSpaceDE/>
              <w:autoSpaceDN/>
              <w:adjustRightInd/>
              <w:textAlignment w:val="auto"/>
              <w:rPr>
                <w:b/>
                <w:bCs/>
              </w:rPr>
            </w:pPr>
            <w:r w:rsidRPr="00DC47B2">
              <w:rPr>
                <w:b/>
                <w:bCs/>
              </w:rPr>
              <w:t>San Francisco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663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Puget Sound Health Care System - Seattle Division</w:t>
            </w:r>
            <w:r w:rsidR="004D58A4">
              <w:rPr>
                <w:b/>
                <w:bCs/>
              </w:rPr>
              <w:t xml:space="preserve">; </w:t>
            </w:r>
            <w:r w:rsidR="004D58A4" w:rsidRPr="00586D73">
              <w:rPr>
                <w:bCs/>
                <w:i/>
                <w:color w:val="00B050"/>
              </w:rPr>
              <w:t xml:space="preserve">My Notes:  </w:t>
            </w:r>
            <w:r w:rsidR="004D58A4">
              <w:rPr>
                <w:bCs/>
                <w:i/>
              </w:rPr>
              <w:t>American Lake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664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San Diego Healthcare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666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Sheridan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667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Overton Brooks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668</w:t>
            </w:r>
          </w:p>
        </w:tc>
        <w:tc>
          <w:tcPr>
            <w:tcW w:w="7210" w:type="dxa"/>
            <w:shd w:val="clear" w:color="auto" w:fill="auto"/>
            <w:vAlign w:val="bottom"/>
            <w:hideMark/>
          </w:tcPr>
          <w:p w:rsidR="00A67806" w:rsidRPr="00DC47B2" w:rsidRDefault="00A67806" w:rsidP="00F35681">
            <w:pPr>
              <w:overflowPunct/>
              <w:autoSpaceDE/>
              <w:autoSpaceDN/>
              <w:adjustRightInd/>
              <w:textAlignment w:val="auto"/>
              <w:rPr>
                <w:b/>
                <w:bCs/>
              </w:rPr>
            </w:pPr>
            <w:r w:rsidRPr="00DC47B2">
              <w:rPr>
                <w:b/>
                <w:bCs/>
              </w:rPr>
              <w:t>Spokane VA Medical Center</w:t>
            </w:r>
            <w:r w:rsidR="00F35681">
              <w:rPr>
                <w:b/>
                <w:bCs/>
              </w:rPr>
              <w:t xml:space="preserve">; </w:t>
            </w:r>
            <w:r w:rsidR="00F35681" w:rsidRPr="00586D73">
              <w:rPr>
                <w:bCs/>
                <w:i/>
                <w:color w:val="00B050"/>
              </w:rPr>
              <w:t xml:space="preserve">My Notes:  </w:t>
            </w:r>
            <w:r w:rsidR="00F35681">
              <w:rPr>
                <w:bCs/>
                <w:i/>
              </w:rPr>
              <w:t>Washington, Mann-Grandstaff</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671</w:t>
            </w:r>
          </w:p>
        </w:tc>
        <w:tc>
          <w:tcPr>
            <w:tcW w:w="7210" w:type="dxa"/>
            <w:shd w:val="clear" w:color="auto" w:fill="auto"/>
            <w:vAlign w:val="bottom"/>
            <w:hideMark/>
          </w:tcPr>
          <w:p w:rsidR="00A67806" w:rsidRPr="00DC47B2" w:rsidRDefault="00A67806" w:rsidP="00262CE8">
            <w:pPr>
              <w:overflowPunct/>
              <w:autoSpaceDE/>
              <w:autoSpaceDN/>
              <w:adjustRightInd/>
              <w:textAlignment w:val="auto"/>
              <w:rPr>
                <w:b/>
                <w:bCs/>
              </w:rPr>
            </w:pPr>
            <w:r w:rsidRPr="00DC47B2">
              <w:rPr>
                <w:b/>
                <w:bCs/>
              </w:rPr>
              <w:t>South Texas Veterans Health Care System</w:t>
            </w:r>
            <w:r w:rsidR="00DE1563">
              <w:rPr>
                <w:b/>
                <w:bCs/>
              </w:rPr>
              <w:t xml:space="preserve">; </w:t>
            </w:r>
            <w:r w:rsidR="00DE1563" w:rsidRPr="00586D73">
              <w:rPr>
                <w:bCs/>
                <w:i/>
                <w:color w:val="00B050"/>
              </w:rPr>
              <w:t xml:space="preserve">My Notes:  </w:t>
            </w:r>
            <w:r w:rsidR="00DE1563">
              <w:rPr>
                <w:bCs/>
                <w:i/>
              </w:rPr>
              <w:t>Audie L. Murphy</w:t>
            </w:r>
            <w:r w:rsidR="00262CE8">
              <w:rPr>
                <w:bCs/>
                <w:i/>
              </w:rPr>
              <w:t xml:space="preserve"> &amp; </w:t>
            </w:r>
            <w:r w:rsidR="00D23466">
              <w:rPr>
                <w:bCs/>
                <w:i/>
              </w:rPr>
              <w:t>San Antonio</w:t>
            </w:r>
            <w:r w:rsidR="00262CE8">
              <w:rPr>
                <w:bCs/>
                <w:i/>
              </w:rPr>
              <w:t xml:space="preserve"> are together, but unclear f they are 671</w:t>
            </w:r>
            <w:r w:rsidR="00D23466">
              <w:rPr>
                <w:bCs/>
                <w:i/>
              </w:rPr>
              <w:t xml:space="preserve">, </w:t>
            </w:r>
            <w:r w:rsidR="00262CE8">
              <w:rPr>
                <w:bCs/>
                <w:i/>
              </w:rPr>
              <w:t xml:space="preserve">unclear if </w:t>
            </w:r>
            <w:r w:rsidR="00D23466">
              <w:rPr>
                <w:bCs/>
                <w:i/>
              </w:rPr>
              <w:t>Frank M. Tejeda</w:t>
            </w:r>
            <w:r w:rsidR="00262CE8">
              <w:rPr>
                <w:bCs/>
                <w:i/>
              </w:rPr>
              <w:t xml:space="preserve"> is linked to any of these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672</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Caribbean Healthcare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673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James A. Haley Veterans' Hospital</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674</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Central Texas Veterans Health Care System</w:t>
            </w:r>
            <w:r w:rsidR="006A72B5">
              <w:rPr>
                <w:b/>
                <w:bCs/>
              </w:rPr>
              <w:t xml:space="preserve">; </w:t>
            </w:r>
            <w:r w:rsidR="006A72B5" w:rsidRPr="00586D73">
              <w:rPr>
                <w:bCs/>
                <w:i/>
                <w:color w:val="00B050"/>
              </w:rPr>
              <w:t xml:space="preserve">My Notes:  </w:t>
            </w:r>
            <w:r w:rsidR="006A72B5" w:rsidRPr="00D36CD9">
              <w:rPr>
                <w:bCs/>
                <w:i/>
              </w:rPr>
              <w:t xml:space="preserve">Olin E. Teague </w:t>
            </w:r>
            <w:r w:rsidR="00D457C9" w:rsidRPr="00D36CD9">
              <w:rPr>
                <w:bCs/>
                <w:i/>
              </w:rPr>
              <w:t>/ Temple</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675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Orlando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676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Tomah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678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Southern Arizona VA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679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Tuscaloosa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687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Jonathan M. Wainwright Memorial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688</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Washington DC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689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Connecticut Healthcare System</w:t>
            </w:r>
            <w:r w:rsidR="00F35681">
              <w:rPr>
                <w:b/>
                <w:bCs/>
              </w:rPr>
              <w:t xml:space="preserve"> </w:t>
            </w:r>
            <w:r w:rsidRPr="00DC47B2">
              <w:rPr>
                <w:b/>
                <w:bCs/>
              </w:rPr>
              <w:t>West Haven Campus</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691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Greater Los Angeles Healthcare System (GLA)</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693</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Wilkes-Barre VA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695</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Clement J. Zablocki Veterans Affairs Medical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740</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VA Texas Valley Coastal Bend Health Care System</w:t>
            </w:r>
            <w:r w:rsidR="001B2ADB">
              <w:rPr>
                <w:b/>
                <w:bCs/>
              </w:rPr>
              <w:t xml:space="preserve">; </w:t>
            </w:r>
            <w:r w:rsidR="001B2ADB" w:rsidRPr="00586D73">
              <w:rPr>
                <w:bCs/>
                <w:i/>
                <w:color w:val="00B050"/>
              </w:rPr>
              <w:t xml:space="preserve">My Notes:  </w:t>
            </w:r>
            <w:r w:rsidR="006F44FD">
              <w:rPr>
                <w:bCs/>
                <w:i/>
              </w:rPr>
              <w:t>Harlingen</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756</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El Paso VA Health Care System</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757</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Chalmers P. Wylie Ambulatory Care Center</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951</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HOV Services</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r w:rsidR="00A67806" w:rsidRPr="00DC47B2" w:rsidTr="00B26BB8">
        <w:trPr>
          <w:trHeight w:val="255"/>
        </w:trPr>
        <w:tc>
          <w:tcPr>
            <w:tcW w:w="1365" w:type="dxa"/>
            <w:shd w:val="clear" w:color="auto" w:fill="auto"/>
            <w:noWrap/>
            <w:vAlign w:val="bottom"/>
            <w:hideMark/>
          </w:tcPr>
          <w:p w:rsidR="00A67806" w:rsidRPr="00DC47B2" w:rsidRDefault="00A67806" w:rsidP="00B26BB8">
            <w:pPr>
              <w:overflowPunct/>
              <w:autoSpaceDE/>
              <w:autoSpaceDN/>
              <w:adjustRightInd/>
              <w:jc w:val="right"/>
              <w:textAlignment w:val="auto"/>
              <w:rPr>
                <w:b/>
                <w:bCs/>
              </w:rPr>
            </w:pPr>
            <w:r w:rsidRPr="00DC47B2">
              <w:rPr>
                <w:b/>
                <w:bCs/>
              </w:rPr>
              <w:t>999</w:t>
            </w:r>
          </w:p>
        </w:tc>
        <w:tc>
          <w:tcPr>
            <w:tcW w:w="7210" w:type="dxa"/>
            <w:shd w:val="clear" w:color="auto" w:fill="auto"/>
            <w:vAlign w:val="bottom"/>
            <w:hideMark/>
          </w:tcPr>
          <w:p w:rsidR="00A67806" w:rsidRPr="00DC47B2" w:rsidRDefault="00A67806" w:rsidP="00B26BB8">
            <w:pPr>
              <w:overflowPunct/>
              <w:autoSpaceDE/>
              <w:autoSpaceDN/>
              <w:adjustRightInd/>
              <w:textAlignment w:val="auto"/>
              <w:rPr>
                <w:b/>
                <w:bCs/>
              </w:rPr>
            </w:pPr>
            <w:r w:rsidRPr="00DC47B2">
              <w:rPr>
                <w:b/>
                <w:bCs/>
              </w:rPr>
              <w:t xml:space="preserve"> MES Solutions - Houston, TX OR VAMC Daytona Beach, FL</w:t>
            </w:r>
          </w:p>
        </w:tc>
        <w:tc>
          <w:tcPr>
            <w:tcW w:w="1650" w:type="dxa"/>
            <w:shd w:val="clear" w:color="auto" w:fill="auto"/>
            <w:noWrap/>
            <w:vAlign w:val="bottom"/>
            <w:hideMark/>
          </w:tcPr>
          <w:p w:rsidR="00A67806" w:rsidRPr="00DC47B2" w:rsidRDefault="00A67806" w:rsidP="00B26BB8">
            <w:pPr>
              <w:overflowPunct/>
              <w:autoSpaceDE/>
              <w:autoSpaceDN/>
              <w:adjustRightInd/>
              <w:textAlignment w:val="auto"/>
              <w:rPr>
                <w:b/>
                <w:bCs/>
              </w:rPr>
            </w:pPr>
          </w:p>
        </w:tc>
      </w:tr>
    </w:tbl>
    <w:p w:rsidR="003C67B2" w:rsidRPr="003C67B2" w:rsidRDefault="003C67B2" w:rsidP="003C67B2">
      <w:pPr>
        <w:ind w:left="1080"/>
        <w:rPr>
          <w:color w:val="000000"/>
          <w:sz w:val="24"/>
          <w:szCs w:val="24"/>
        </w:rPr>
      </w:pPr>
    </w:p>
    <w:p w:rsidR="00993208" w:rsidRPr="00993208" w:rsidRDefault="00D571C5" w:rsidP="00F063AF">
      <w:pPr>
        <w:pStyle w:val="ListParagraph"/>
        <w:numPr>
          <w:ilvl w:val="0"/>
          <w:numId w:val="282"/>
        </w:numPr>
        <w:tabs>
          <w:tab w:val="left" w:pos="360"/>
        </w:tabs>
        <w:spacing w:after="120"/>
        <w:ind w:left="360"/>
        <w:rPr>
          <w:rFonts w:ascii="Arial" w:hAnsi="Arial"/>
          <w:color w:val="000000"/>
          <w:sz w:val="20"/>
          <w:szCs w:val="20"/>
        </w:rPr>
      </w:pPr>
      <w:hyperlink r:id="rId787" w:history="1">
        <w:r w:rsidR="00993208" w:rsidRPr="00993208">
          <w:rPr>
            <w:rStyle w:val="Hyperlink"/>
            <w:rFonts w:ascii="Arial" w:hAnsi="Arial"/>
            <w:b/>
            <w:bCs/>
            <w:i/>
            <w:sz w:val="20"/>
            <w:szCs w:val="20"/>
          </w:rPr>
          <w:t>April 2016 Quality Call Notes</w:t>
        </w:r>
      </w:hyperlink>
      <w:r w:rsidR="00993208" w:rsidRPr="00993208">
        <w:rPr>
          <w:rFonts w:ascii="Arial" w:hAnsi="Arial"/>
          <w:bCs/>
          <w:sz w:val="20"/>
          <w:szCs w:val="20"/>
        </w:rPr>
        <w:t xml:space="preserve"> – ROs working on </w:t>
      </w:r>
      <w:r w:rsidR="00993208" w:rsidRPr="00993208">
        <w:rPr>
          <w:rFonts w:ascii="Arial" w:hAnsi="Arial"/>
          <w:sz w:val="20"/>
          <w:szCs w:val="20"/>
        </w:rPr>
        <w:t xml:space="preserve">Medical Officer of the Day (MOD); </w:t>
      </w:r>
      <w:r w:rsidR="00993208" w:rsidRPr="00993208">
        <w:rPr>
          <w:rFonts w:ascii="Arial" w:hAnsi="Arial"/>
          <w:bCs/>
          <w:sz w:val="20"/>
          <w:szCs w:val="20"/>
        </w:rPr>
        <w:t xml:space="preserve">add </w:t>
      </w:r>
      <w:r w:rsidR="00993208" w:rsidRPr="00993208">
        <w:rPr>
          <w:rFonts w:ascii="Arial" w:hAnsi="Arial"/>
          <w:i/>
          <w:sz w:val="20"/>
          <w:szCs w:val="20"/>
        </w:rPr>
        <w:t>“Medical Opinion may be completed by the MOD”</w:t>
      </w:r>
      <w:r w:rsidR="00993208" w:rsidRPr="00993208">
        <w:rPr>
          <w:rFonts w:ascii="Arial" w:hAnsi="Arial"/>
          <w:sz w:val="20"/>
          <w:szCs w:val="20"/>
        </w:rPr>
        <w:t xml:space="preserve"> or </w:t>
      </w:r>
      <w:r w:rsidR="00993208" w:rsidRPr="00993208">
        <w:rPr>
          <w:rFonts w:ascii="Arial" w:hAnsi="Arial"/>
          <w:i/>
          <w:sz w:val="20"/>
          <w:szCs w:val="20"/>
        </w:rPr>
        <w:t>“Clarification may be completed by the MOD”</w:t>
      </w:r>
      <w:r w:rsidR="00993208" w:rsidRPr="00993208">
        <w:rPr>
          <w:rFonts w:ascii="Arial" w:hAnsi="Arial"/>
          <w:sz w:val="20"/>
          <w:szCs w:val="20"/>
        </w:rPr>
        <w:t xml:space="preserve"> to 2507, if applicable </w:t>
      </w:r>
    </w:p>
    <w:p w:rsidR="003C67B2" w:rsidRDefault="003C67B2" w:rsidP="00F063AF">
      <w:pPr>
        <w:pStyle w:val="ListParagraph"/>
        <w:numPr>
          <w:ilvl w:val="0"/>
          <w:numId w:val="282"/>
        </w:numPr>
        <w:tabs>
          <w:tab w:val="left" w:pos="360"/>
        </w:tabs>
        <w:spacing w:after="0" w:line="240" w:lineRule="auto"/>
        <w:ind w:left="360"/>
        <w:rPr>
          <w:rFonts w:ascii="Arial" w:hAnsi="Arial"/>
          <w:color w:val="000000"/>
          <w:sz w:val="24"/>
          <w:szCs w:val="24"/>
        </w:rPr>
      </w:pPr>
      <w:r>
        <w:rPr>
          <w:rFonts w:ascii="Arial" w:hAnsi="Arial"/>
          <w:color w:val="000000"/>
          <w:sz w:val="24"/>
          <w:szCs w:val="24"/>
        </w:rPr>
        <w:t>If VHA (OPC) has jurisdiction of the exam</w:t>
      </w:r>
    </w:p>
    <w:p w:rsidR="003C67B2" w:rsidRDefault="003C67B2" w:rsidP="00F063AF">
      <w:pPr>
        <w:pStyle w:val="ListParagraph"/>
        <w:numPr>
          <w:ilvl w:val="1"/>
          <w:numId w:val="313"/>
        </w:numPr>
        <w:spacing w:after="0" w:line="240" w:lineRule="auto"/>
        <w:ind w:left="1080"/>
        <w:rPr>
          <w:rFonts w:ascii="Arial" w:hAnsi="Arial"/>
          <w:color w:val="000000"/>
          <w:sz w:val="24"/>
          <w:szCs w:val="24"/>
        </w:rPr>
      </w:pPr>
      <w:r>
        <w:rPr>
          <w:rFonts w:ascii="Arial" w:hAnsi="Arial"/>
          <w:color w:val="000000"/>
          <w:sz w:val="24"/>
          <w:szCs w:val="24"/>
        </w:rPr>
        <w:t>Have both the Profile Screen and Contention screen open in VBMS</w:t>
      </w:r>
    </w:p>
    <w:p w:rsidR="004F4877" w:rsidRPr="00504414" w:rsidRDefault="00AF3E66" w:rsidP="00F063AF">
      <w:pPr>
        <w:pStyle w:val="ListParagraph"/>
        <w:numPr>
          <w:ilvl w:val="1"/>
          <w:numId w:val="313"/>
        </w:numPr>
        <w:spacing w:after="0" w:line="240" w:lineRule="auto"/>
        <w:ind w:left="1080"/>
        <w:rPr>
          <w:rFonts w:ascii="Arial" w:hAnsi="Arial"/>
          <w:sz w:val="24"/>
          <w:szCs w:val="24"/>
        </w:rPr>
      </w:pPr>
      <w:r>
        <w:rPr>
          <w:rFonts w:ascii="Arial" w:hAnsi="Arial"/>
          <w:color w:val="000000"/>
          <w:sz w:val="24"/>
          <w:szCs w:val="24"/>
        </w:rPr>
        <w:t>Run</w:t>
      </w:r>
      <w:r w:rsidR="003C67B2">
        <w:rPr>
          <w:rFonts w:ascii="Arial" w:hAnsi="Arial"/>
          <w:color w:val="000000"/>
          <w:sz w:val="24"/>
          <w:szCs w:val="24"/>
        </w:rPr>
        <w:t xml:space="preserve"> </w:t>
      </w:r>
      <w:hyperlink r:id="rId788" w:history="1">
        <w:r w:rsidRPr="00AF3E66">
          <w:rPr>
            <w:rStyle w:val="Hyperlink"/>
            <w:rFonts w:ascii="Arial" w:hAnsi="Arial"/>
            <w:b/>
            <w:i/>
            <w:sz w:val="20"/>
            <w:szCs w:val="20"/>
          </w:rPr>
          <w:t>Exam Request Builder (ERB)</w:t>
        </w:r>
      </w:hyperlink>
      <w:r w:rsidR="00504414" w:rsidRPr="00504414">
        <w:rPr>
          <w:rStyle w:val="Hyperlink"/>
          <w:rFonts w:ascii="Arial" w:hAnsi="Arial"/>
          <w:color w:val="auto"/>
          <w:sz w:val="20"/>
          <w:szCs w:val="20"/>
          <w:u w:val="none"/>
        </w:rPr>
        <w:t xml:space="preserve"> [</w:t>
      </w:r>
      <w:hyperlink r:id="rId789" w:history="1">
        <w:r w:rsidR="004F4877" w:rsidRPr="00504414">
          <w:rPr>
            <w:rStyle w:val="Hyperlink"/>
            <w:rFonts w:ascii="Arial" w:hAnsi="Arial"/>
            <w:b/>
            <w:i/>
            <w:sz w:val="20"/>
            <w:szCs w:val="20"/>
          </w:rPr>
          <w:t>Exam Request Builder (ERB) Info</w:t>
        </w:r>
      </w:hyperlink>
      <w:r w:rsidR="004F4877" w:rsidRPr="00504414">
        <w:rPr>
          <w:rStyle w:val="Hyperlink"/>
          <w:rFonts w:ascii="Arial" w:hAnsi="Arial"/>
          <w:sz w:val="20"/>
          <w:szCs w:val="20"/>
          <w:u w:val="none"/>
        </w:rPr>
        <w:t xml:space="preserve"> – </w:t>
      </w:r>
      <w:r w:rsidR="004F4877" w:rsidRPr="00504414">
        <w:rPr>
          <w:rFonts w:ascii="Arial" w:hAnsi="Arial"/>
          <w:b/>
          <w:sz w:val="20"/>
          <w:szCs w:val="20"/>
        </w:rPr>
        <w:t>III.iv.3.A.2.e</w:t>
      </w:r>
      <w:r w:rsidR="004F4877" w:rsidRPr="00504414">
        <w:rPr>
          <w:rStyle w:val="Hyperlink"/>
          <w:rFonts w:ascii="Arial" w:hAnsi="Arial"/>
          <w:sz w:val="20"/>
          <w:szCs w:val="20"/>
          <w:u w:val="none"/>
        </w:rPr>
        <w:t xml:space="preserve">, </w:t>
      </w:r>
      <w:hyperlink r:id="rId790" w:history="1">
        <w:r w:rsidR="004F4877" w:rsidRPr="00504414">
          <w:rPr>
            <w:rStyle w:val="Hyperlink"/>
            <w:rFonts w:ascii="Arial" w:hAnsi="Arial"/>
            <w:b/>
            <w:i/>
            <w:sz w:val="20"/>
            <w:szCs w:val="20"/>
          </w:rPr>
          <w:t>February 2015 Authorization Quality Call Notes</w:t>
        </w:r>
      </w:hyperlink>
      <w:r w:rsidR="00504414" w:rsidRPr="00504414">
        <w:rPr>
          <w:rFonts w:ascii="Arial" w:hAnsi="Arial"/>
          <w:sz w:val="20"/>
          <w:szCs w:val="20"/>
        </w:rPr>
        <w:t>]</w:t>
      </w:r>
    </w:p>
    <w:p w:rsidR="003C67B2" w:rsidRDefault="003C67B2" w:rsidP="00F063AF">
      <w:pPr>
        <w:pStyle w:val="ListParagraph"/>
        <w:numPr>
          <w:ilvl w:val="1"/>
          <w:numId w:val="313"/>
        </w:numPr>
        <w:tabs>
          <w:tab w:val="left" w:pos="720"/>
        </w:tabs>
        <w:spacing w:after="0" w:line="240" w:lineRule="auto"/>
        <w:ind w:left="1080"/>
        <w:rPr>
          <w:rFonts w:ascii="Arial" w:hAnsi="Arial"/>
          <w:color w:val="000000"/>
          <w:sz w:val="24"/>
          <w:szCs w:val="24"/>
        </w:rPr>
      </w:pPr>
      <w:r>
        <w:rPr>
          <w:rFonts w:ascii="Arial" w:hAnsi="Arial"/>
          <w:color w:val="000000"/>
          <w:sz w:val="24"/>
          <w:szCs w:val="24"/>
        </w:rPr>
        <w:t>Follow prompts to build requests then click “ok”</w:t>
      </w:r>
    </w:p>
    <w:p w:rsidR="003C67B2" w:rsidRDefault="003C67B2" w:rsidP="00F063AF">
      <w:pPr>
        <w:pStyle w:val="ListParagraph"/>
        <w:numPr>
          <w:ilvl w:val="1"/>
          <w:numId w:val="313"/>
        </w:numPr>
        <w:tabs>
          <w:tab w:val="left" w:pos="720"/>
        </w:tabs>
        <w:spacing w:after="0" w:line="240" w:lineRule="auto"/>
        <w:ind w:left="1080"/>
        <w:rPr>
          <w:rFonts w:ascii="Arial" w:hAnsi="Arial"/>
          <w:color w:val="000000"/>
          <w:sz w:val="24"/>
          <w:szCs w:val="24"/>
        </w:rPr>
      </w:pPr>
      <w:r>
        <w:rPr>
          <w:rFonts w:ascii="Arial" w:hAnsi="Arial"/>
          <w:color w:val="000000"/>
          <w:sz w:val="24"/>
          <w:szCs w:val="24"/>
        </w:rPr>
        <w:t>Review request and make any changes necessary</w:t>
      </w:r>
    </w:p>
    <w:p w:rsidR="003C67B2" w:rsidRDefault="003C67B2" w:rsidP="00F063AF">
      <w:pPr>
        <w:pStyle w:val="ListParagraph"/>
        <w:numPr>
          <w:ilvl w:val="1"/>
          <w:numId w:val="313"/>
        </w:numPr>
        <w:tabs>
          <w:tab w:val="left" w:pos="720"/>
        </w:tabs>
        <w:spacing w:after="0" w:line="240" w:lineRule="auto"/>
        <w:ind w:left="1080"/>
        <w:rPr>
          <w:rFonts w:ascii="Arial" w:hAnsi="Arial"/>
          <w:color w:val="000000"/>
          <w:sz w:val="24"/>
          <w:szCs w:val="24"/>
        </w:rPr>
      </w:pPr>
      <w:r>
        <w:rPr>
          <w:rFonts w:ascii="Arial" w:hAnsi="Arial"/>
          <w:color w:val="000000"/>
          <w:sz w:val="24"/>
          <w:szCs w:val="24"/>
        </w:rPr>
        <w:t>Open C</w:t>
      </w:r>
      <w:r w:rsidR="00D04FAD">
        <w:rPr>
          <w:rFonts w:ascii="Arial" w:hAnsi="Arial"/>
          <w:color w:val="000000"/>
          <w:sz w:val="24"/>
          <w:szCs w:val="24"/>
        </w:rPr>
        <w:t>APRI</w:t>
      </w:r>
      <w:r>
        <w:rPr>
          <w:rFonts w:ascii="Arial" w:hAnsi="Arial"/>
          <w:color w:val="000000"/>
          <w:sz w:val="24"/>
          <w:szCs w:val="24"/>
        </w:rPr>
        <w:t xml:space="preserve"> and select appropriate facility</w:t>
      </w:r>
    </w:p>
    <w:p w:rsidR="003C67B2" w:rsidRDefault="003C67B2" w:rsidP="00F063AF">
      <w:pPr>
        <w:pStyle w:val="ListParagraph"/>
        <w:numPr>
          <w:ilvl w:val="1"/>
          <w:numId w:val="313"/>
        </w:numPr>
        <w:tabs>
          <w:tab w:val="left" w:pos="720"/>
        </w:tabs>
        <w:spacing w:after="0" w:line="240" w:lineRule="auto"/>
        <w:ind w:left="1080"/>
        <w:rPr>
          <w:rFonts w:ascii="Arial" w:hAnsi="Arial"/>
          <w:color w:val="000000"/>
          <w:sz w:val="24"/>
          <w:szCs w:val="24"/>
        </w:rPr>
      </w:pPr>
      <w:r>
        <w:rPr>
          <w:rFonts w:ascii="Arial" w:hAnsi="Arial"/>
          <w:color w:val="000000"/>
          <w:sz w:val="24"/>
          <w:szCs w:val="24"/>
        </w:rPr>
        <w:t>Click “Add a New Request”</w:t>
      </w:r>
    </w:p>
    <w:p w:rsidR="003C67B2" w:rsidRDefault="003C67B2" w:rsidP="00F063AF">
      <w:pPr>
        <w:pStyle w:val="ListParagraph"/>
        <w:numPr>
          <w:ilvl w:val="1"/>
          <w:numId w:val="313"/>
        </w:numPr>
        <w:tabs>
          <w:tab w:val="left" w:pos="720"/>
        </w:tabs>
        <w:spacing w:after="0" w:line="240" w:lineRule="auto"/>
        <w:ind w:left="1080"/>
        <w:rPr>
          <w:rFonts w:ascii="Arial" w:hAnsi="Arial"/>
          <w:color w:val="000000"/>
          <w:sz w:val="24"/>
          <w:szCs w:val="24"/>
        </w:rPr>
      </w:pPr>
      <w:r>
        <w:rPr>
          <w:rFonts w:ascii="Arial" w:hAnsi="Arial"/>
          <w:color w:val="000000"/>
          <w:sz w:val="24"/>
          <w:szCs w:val="24"/>
        </w:rPr>
        <w:t>Verify Veterans address and complete all fields</w:t>
      </w:r>
    </w:p>
    <w:p w:rsidR="003C67B2" w:rsidRDefault="003C67B2" w:rsidP="00F063AF">
      <w:pPr>
        <w:pStyle w:val="ListParagraph"/>
        <w:numPr>
          <w:ilvl w:val="2"/>
          <w:numId w:val="313"/>
        </w:numPr>
        <w:spacing w:after="0" w:line="240" w:lineRule="auto"/>
        <w:ind w:left="1440"/>
        <w:rPr>
          <w:rFonts w:ascii="Arial" w:hAnsi="Arial"/>
          <w:color w:val="000000"/>
          <w:sz w:val="24"/>
          <w:szCs w:val="24"/>
        </w:rPr>
      </w:pPr>
      <w:r>
        <w:rPr>
          <w:rFonts w:ascii="Arial" w:hAnsi="Arial"/>
          <w:color w:val="000000"/>
          <w:sz w:val="24"/>
          <w:szCs w:val="24"/>
        </w:rPr>
        <w:t>Claim folder required? No = VBMS, Yes = Cfile to be shipped</w:t>
      </w:r>
    </w:p>
    <w:p w:rsidR="003C67B2" w:rsidRDefault="003C67B2" w:rsidP="00F063AF">
      <w:pPr>
        <w:pStyle w:val="ListParagraph"/>
        <w:numPr>
          <w:ilvl w:val="2"/>
          <w:numId w:val="313"/>
        </w:numPr>
        <w:spacing w:after="0" w:line="240" w:lineRule="auto"/>
        <w:ind w:left="1440"/>
        <w:rPr>
          <w:rFonts w:ascii="Arial" w:hAnsi="Arial"/>
          <w:color w:val="000000"/>
          <w:sz w:val="24"/>
          <w:szCs w:val="24"/>
        </w:rPr>
      </w:pPr>
      <w:r>
        <w:rPr>
          <w:rFonts w:ascii="Arial" w:hAnsi="Arial"/>
          <w:color w:val="000000"/>
          <w:sz w:val="24"/>
          <w:szCs w:val="24"/>
        </w:rPr>
        <w:t>Electronic Claim Folder Available? Yes = VBMS</w:t>
      </w:r>
    </w:p>
    <w:p w:rsidR="003C67B2" w:rsidRDefault="003C67B2" w:rsidP="00F063AF">
      <w:pPr>
        <w:pStyle w:val="ListParagraph"/>
        <w:numPr>
          <w:ilvl w:val="1"/>
          <w:numId w:val="313"/>
        </w:numPr>
        <w:tabs>
          <w:tab w:val="left" w:pos="720"/>
        </w:tabs>
        <w:spacing w:after="0" w:line="240" w:lineRule="auto"/>
        <w:ind w:left="1080"/>
        <w:rPr>
          <w:rFonts w:ascii="Arial" w:hAnsi="Arial"/>
          <w:color w:val="000000"/>
          <w:sz w:val="24"/>
          <w:szCs w:val="24"/>
        </w:rPr>
      </w:pPr>
      <w:r>
        <w:rPr>
          <w:rFonts w:ascii="Arial" w:hAnsi="Arial"/>
          <w:color w:val="000000"/>
          <w:sz w:val="24"/>
          <w:szCs w:val="24"/>
        </w:rPr>
        <w:t>Select all DBQs you are requesting from “List of Exams”</w:t>
      </w:r>
    </w:p>
    <w:p w:rsidR="003C67B2" w:rsidRDefault="003C67B2" w:rsidP="00F063AF">
      <w:pPr>
        <w:pStyle w:val="ListParagraph"/>
        <w:numPr>
          <w:ilvl w:val="1"/>
          <w:numId w:val="313"/>
        </w:numPr>
        <w:tabs>
          <w:tab w:val="left" w:pos="720"/>
        </w:tabs>
        <w:spacing w:after="0" w:line="240" w:lineRule="auto"/>
        <w:ind w:left="1080"/>
        <w:rPr>
          <w:rFonts w:ascii="Arial" w:hAnsi="Arial"/>
          <w:color w:val="000000"/>
          <w:sz w:val="24"/>
          <w:szCs w:val="24"/>
        </w:rPr>
      </w:pPr>
      <w:r>
        <w:rPr>
          <w:rFonts w:ascii="Arial" w:hAnsi="Arial"/>
          <w:color w:val="000000"/>
          <w:sz w:val="24"/>
          <w:szCs w:val="24"/>
        </w:rPr>
        <w:t>Copy your complete ERB request and paste it into the comments section</w:t>
      </w:r>
    </w:p>
    <w:p w:rsidR="003C67B2" w:rsidRDefault="003C67B2" w:rsidP="00F063AF">
      <w:pPr>
        <w:pStyle w:val="ListParagraph"/>
        <w:numPr>
          <w:ilvl w:val="1"/>
          <w:numId w:val="313"/>
        </w:numPr>
        <w:tabs>
          <w:tab w:val="left" w:pos="720"/>
        </w:tabs>
        <w:spacing w:after="0" w:line="240" w:lineRule="auto"/>
        <w:ind w:left="1080"/>
        <w:rPr>
          <w:rFonts w:ascii="Arial" w:hAnsi="Arial"/>
          <w:color w:val="000000"/>
          <w:sz w:val="24"/>
          <w:szCs w:val="24"/>
        </w:rPr>
      </w:pPr>
      <w:r>
        <w:rPr>
          <w:rFonts w:ascii="Arial" w:hAnsi="Arial"/>
          <w:color w:val="000000"/>
          <w:sz w:val="24"/>
          <w:szCs w:val="24"/>
        </w:rPr>
        <w:t>Click “Send Exam Request</w:t>
      </w:r>
      <w:r w:rsidR="009A10CF">
        <w:rPr>
          <w:rFonts w:ascii="Arial" w:hAnsi="Arial"/>
          <w:color w:val="000000"/>
          <w:sz w:val="24"/>
          <w:szCs w:val="24"/>
        </w:rPr>
        <w:t>”</w:t>
      </w:r>
    </w:p>
    <w:p w:rsidR="003C67B2" w:rsidRDefault="003C67B2" w:rsidP="00F063AF">
      <w:pPr>
        <w:pStyle w:val="ListParagraph"/>
        <w:numPr>
          <w:ilvl w:val="1"/>
          <w:numId w:val="313"/>
        </w:numPr>
        <w:tabs>
          <w:tab w:val="left" w:pos="720"/>
        </w:tabs>
        <w:spacing w:after="0" w:line="240" w:lineRule="auto"/>
        <w:ind w:left="1080"/>
        <w:rPr>
          <w:rFonts w:ascii="Arial" w:hAnsi="Arial"/>
          <w:color w:val="000000"/>
          <w:sz w:val="24"/>
          <w:szCs w:val="24"/>
        </w:rPr>
      </w:pPr>
      <w:r>
        <w:rPr>
          <w:rFonts w:ascii="Arial" w:hAnsi="Arial"/>
          <w:color w:val="000000"/>
          <w:sz w:val="24"/>
          <w:szCs w:val="24"/>
        </w:rPr>
        <w:t xml:space="preserve">Upload 2507 </w:t>
      </w:r>
      <w:r w:rsidRPr="002546E5">
        <w:rPr>
          <w:rFonts w:ascii="Arial" w:hAnsi="Arial"/>
          <w:color w:val="000000"/>
          <w:sz w:val="24"/>
          <w:szCs w:val="24"/>
          <w:highlight w:val="darkGray"/>
        </w:rPr>
        <w:t>and 6789</w:t>
      </w:r>
      <w:r>
        <w:rPr>
          <w:rFonts w:ascii="Arial" w:hAnsi="Arial"/>
          <w:color w:val="000000"/>
          <w:sz w:val="24"/>
          <w:szCs w:val="24"/>
        </w:rPr>
        <w:t xml:space="preserve"> to VBMS</w:t>
      </w:r>
    </w:p>
    <w:p w:rsidR="003C67B2" w:rsidRPr="00C22006" w:rsidRDefault="003C67B2" w:rsidP="00C22006">
      <w:pPr>
        <w:ind w:left="1080"/>
        <w:rPr>
          <w:color w:val="000000"/>
          <w:sz w:val="24"/>
          <w:szCs w:val="24"/>
        </w:rPr>
      </w:pPr>
    </w:p>
    <w:p w:rsidR="00CA6087" w:rsidRPr="00CA6087" w:rsidRDefault="003C67B2" w:rsidP="00F063AF">
      <w:pPr>
        <w:pStyle w:val="ListParagraph"/>
        <w:numPr>
          <w:ilvl w:val="0"/>
          <w:numId w:val="282"/>
        </w:numPr>
        <w:spacing w:after="0" w:line="240" w:lineRule="auto"/>
        <w:ind w:left="360"/>
        <w:rPr>
          <w:rFonts w:ascii="Arial" w:hAnsi="Arial"/>
          <w:color w:val="000000"/>
          <w:sz w:val="24"/>
          <w:szCs w:val="24"/>
        </w:rPr>
      </w:pPr>
      <w:r>
        <w:rPr>
          <w:rFonts w:ascii="Arial" w:hAnsi="Arial"/>
          <w:color w:val="000000"/>
          <w:sz w:val="24"/>
          <w:szCs w:val="24"/>
        </w:rPr>
        <w:t>If a Contractor (VETSFED/QTC) has jurisdiction of the exam</w:t>
      </w:r>
      <w:r w:rsidR="00456D69">
        <w:rPr>
          <w:rFonts w:ascii="Arial" w:hAnsi="Arial"/>
          <w:color w:val="000000"/>
          <w:sz w:val="24"/>
          <w:szCs w:val="24"/>
        </w:rPr>
        <w:t xml:space="preserve"> </w:t>
      </w:r>
      <w:r w:rsidR="00456D69">
        <w:rPr>
          <w:rFonts w:ascii="Arial" w:hAnsi="Arial"/>
          <w:color w:val="000000"/>
          <w:sz w:val="20"/>
          <w:szCs w:val="24"/>
          <w:highlight w:val="green"/>
        </w:rPr>
        <w:t xml:space="preserve">(see </w:t>
      </w:r>
      <w:r w:rsidR="00456D69" w:rsidRPr="00456D69">
        <w:rPr>
          <w:rFonts w:ascii="Arial" w:hAnsi="Arial"/>
          <w:b/>
          <w:color w:val="000000"/>
          <w:sz w:val="20"/>
          <w:szCs w:val="24"/>
          <w:highlight w:val="green"/>
        </w:rPr>
        <w:t>III.iv.3.A.1.j</w:t>
      </w:r>
      <w:r w:rsidR="00456D69">
        <w:rPr>
          <w:rFonts w:ascii="Arial" w:hAnsi="Arial"/>
          <w:color w:val="000000"/>
          <w:sz w:val="20"/>
          <w:szCs w:val="24"/>
          <w:highlight w:val="green"/>
        </w:rPr>
        <w:t xml:space="preserve"> for contrac</w:t>
      </w:r>
      <w:r w:rsidR="00C97867">
        <w:rPr>
          <w:rFonts w:ascii="Arial" w:hAnsi="Arial"/>
          <w:color w:val="000000"/>
          <w:sz w:val="20"/>
          <w:szCs w:val="24"/>
          <w:highlight w:val="green"/>
        </w:rPr>
        <w:t>t</w:t>
      </w:r>
      <w:r w:rsidR="00456D69">
        <w:rPr>
          <w:rFonts w:ascii="Arial" w:hAnsi="Arial"/>
          <w:color w:val="000000"/>
          <w:sz w:val="20"/>
          <w:szCs w:val="24"/>
          <w:highlight w:val="green"/>
        </w:rPr>
        <w:t xml:space="preserve"> exam exclusions</w:t>
      </w:r>
      <w:r w:rsidR="00C97867">
        <w:rPr>
          <w:rFonts w:ascii="Arial" w:hAnsi="Arial"/>
          <w:color w:val="000000"/>
          <w:sz w:val="20"/>
          <w:szCs w:val="24"/>
          <w:highlight w:val="green"/>
        </w:rPr>
        <w:t>, changed 4/29/16</w:t>
      </w:r>
      <w:r w:rsidR="002C2F5D">
        <w:rPr>
          <w:rFonts w:ascii="Arial" w:hAnsi="Arial"/>
          <w:color w:val="000000"/>
          <w:sz w:val="20"/>
          <w:szCs w:val="24"/>
          <w:highlight w:val="green"/>
        </w:rPr>
        <w:t xml:space="preserve"> &amp; again 5/26/16</w:t>
      </w:r>
      <w:r w:rsidR="00456D69">
        <w:rPr>
          <w:rFonts w:ascii="Arial" w:hAnsi="Arial"/>
          <w:color w:val="000000"/>
          <w:sz w:val="20"/>
          <w:szCs w:val="24"/>
          <w:highlight w:val="green"/>
        </w:rPr>
        <w:t>)</w:t>
      </w:r>
    </w:p>
    <w:p w:rsidR="00CA6087" w:rsidRPr="00CA6087" w:rsidRDefault="003C67B2" w:rsidP="00F063AF">
      <w:pPr>
        <w:pStyle w:val="ListParagraph"/>
        <w:numPr>
          <w:ilvl w:val="1"/>
          <w:numId w:val="282"/>
        </w:numPr>
        <w:spacing w:after="0" w:line="240" w:lineRule="auto"/>
        <w:ind w:left="1080"/>
        <w:rPr>
          <w:rStyle w:val="Hyperlink"/>
          <w:rFonts w:ascii="Arial" w:hAnsi="Arial"/>
          <w:color w:val="000000"/>
          <w:sz w:val="24"/>
          <w:szCs w:val="24"/>
          <w:u w:val="none"/>
        </w:rPr>
      </w:pPr>
      <w:r w:rsidRPr="00CA6087">
        <w:rPr>
          <w:rFonts w:ascii="Arial" w:hAnsi="Arial"/>
          <w:color w:val="000000"/>
          <w:sz w:val="24"/>
          <w:szCs w:val="24"/>
        </w:rPr>
        <w:t xml:space="preserve">Open </w:t>
      </w:r>
      <w:hyperlink r:id="rId791" w:history="1">
        <w:r w:rsidRPr="00CA6087">
          <w:rPr>
            <w:rStyle w:val="Hyperlink"/>
            <w:rFonts w:ascii="Arial" w:hAnsi="Arial"/>
            <w:sz w:val="24"/>
            <w:szCs w:val="24"/>
          </w:rPr>
          <w:t>CAATS</w:t>
        </w:r>
      </w:hyperlink>
    </w:p>
    <w:p w:rsidR="00CA6087" w:rsidRDefault="00CA6087" w:rsidP="00F063AF">
      <w:pPr>
        <w:pStyle w:val="ListParagraph"/>
        <w:numPr>
          <w:ilvl w:val="0"/>
          <w:numId w:val="318"/>
        </w:numPr>
        <w:tabs>
          <w:tab w:val="left" w:pos="2250"/>
        </w:tabs>
        <w:spacing w:after="0" w:line="240" w:lineRule="auto"/>
        <w:ind w:left="1440" w:hanging="180"/>
        <w:rPr>
          <w:rFonts w:ascii="Arial" w:hAnsi="Arial"/>
          <w:sz w:val="20"/>
          <w:szCs w:val="20"/>
        </w:rPr>
      </w:pPr>
      <w:r w:rsidRPr="002546E5">
        <w:rPr>
          <w:rStyle w:val="Hyperlink"/>
          <w:rFonts w:ascii="Arial" w:hAnsi="Arial"/>
          <w:color w:val="auto"/>
          <w:sz w:val="20"/>
          <w:highlight w:val="darkGray"/>
          <w:u w:val="none"/>
        </w:rPr>
        <w:t>Meera Braman says to contact her for any issues (including account deactivation,cc your Coach);</w:t>
      </w:r>
      <w:r w:rsidRPr="00C22006">
        <w:rPr>
          <w:rStyle w:val="Hyperlink"/>
          <w:rFonts w:ascii="Arial" w:hAnsi="Arial"/>
          <w:color w:val="auto"/>
          <w:sz w:val="20"/>
          <w:u w:val="none"/>
        </w:rPr>
        <w:t xml:space="preserve"> </w:t>
      </w:r>
      <w:r w:rsidRPr="00C22006">
        <w:rPr>
          <w:rFonts w:ascii="Arial" w:hAnsi="Arial"/>
          <w:b/>
          <w:bCs/>
          <w:sz w:val="20"/>
        </w:rPr>
        <w:t xml:space="preserve">Please remember to use the second drop down in the contract exam drop down (CONTRACT EXAM REQUEST LIST) when you order your exams. </w:t>
      </w:r>
      <w:r w:rsidRPr="00C22006">
        <w:rPr>
          <w:rFonts w:ascii="Arial" w:hAnsi="Arial"/>
          <w:color w:val="FF0000"/>
          <w:sz w:val="20"/>
        </w:rPr>
        <w:t>DO NOT</w:t>
      </w:r>
      <w:r w:rsidRPr="00C22006">
        <w:rPr>
          <w:rFonts w:ascii="Arial" w:hAnsi="Arial"/>
          <w:sz w:val="20"/>
        </w:rPr>
        <w:t xml:space="preserve"> use the first drop down (CONTRACT EXAM VETERAN LIST) as this list searches the whole database first, slowing d</w:t>
      </w:r>
      <w:r w:rsidRPr="004F4877">
        <w:rPr>
          <w:rFonts w:ascii="Arial" w:hAnsi="Arial"/>
          <w:sz w:val="20"/>
          <w:szCs w:val="20"/>
        </w:rPr>
        <w:t xml:space="preserve">own the system. </w:t>
      </w:r>
    </w:p>
    <w:p w:rsidR="00CA6087" w:rsidRPr="00246583" w:rsidRDefault="00CA6087" w:rsidP="00F063AF">
      <w:pPr>
        <w:pStyle w:val="ListParagraph"/>
        <w:numPr>
          <w:ilvl w:val="0"/>
          <w:numId w:val="318"/>
        </w:numPr>
        <w:tabs>
          <w:tab w:val="left" w:pos="2250"/>
        </w:tabs>
        <w:spacing w:after="0" w:line="240" w:lineRule="auto"/>
        <w:ind w:left="1440" w:hanging="180"/>
        <w:rPr>
          <w:rFonts w:ascii="Arial" w:hAnsi="Arial"/>
          <w:b/>
          <w:i/>
          <w:iCs/>
          <w:sz w:val="20"/>
          <w:szCs w:val="20"/>
        </w:rPr>
      </w:pPr>
      <w:r w:rsidRPr="004F4877">
        <w:rPr>
          <w:rFonts w:ascii="Arial" w:hAnsi="Arial"/>
          <w:sz w:val="20"/>
          <w:szCs w:val="20"/>
        </w:rPr>
        <w:t xml:space="preserve">Email them at </w:t>
      </w:r>
      <w:hyperlink r:id="rId792" w:history="1">
        <w:r w:rsidRPr="004F4877">
          <w:rPr>
            <w:rStyle w:val="Hyperlink"/>
            <w:rFonts w:ascii="Arial" w:hAnsi="Arial"/>
            <w:sz w:val="20"/>
            <w:szCs w:val="20"/>
          </w:rPr>
          <w:t>CAATS.VBAMLA@VA.GOV</w:t>
        </w:r>
      </w:hyperlink>
      <w:r w:rsidRPr="004F4877">
        <w:rPr>
          <w:rFonts w:ascii="Arial" w:hAnsi="Arial"/>
          <w:sz w:val="20"/>
          <w:szCs w:val="20"/>
        </w:rPr>
        <w:t xml:space="preserve"> if need them to change to finished, so can enter clarification (give them last name, first name &amp; document #)</w:t>
      </w:r>
    </w:p>
    <w:p w:rsidR="00246583" w:rsidRPr="00246583" w:rsidRDefault="00246583" w:rsidP="00F063AF">
      <w:pPr>
        <w:pStyle w:val="ListParagraph"/>
        <w:numPr>
          <w:ilvl w:val="0"/>
          <w:numId w:val="318"/>
        </w:numPr>
        <w:tabs>
          <w:tab w:val="left" w:pos="2250"/>
        </w:tabs>
        <w:spacing w:after="0" w:line="240" w:lineRule="auto"/>
        <w:ind w:left="1440" w:hanging="180"/>
        <w:rPr>
          <w:rStyle w:val="Hyperlink"/>
          <w:rFonts w:ascii="Arial" w:hAnsi="Arial"/>
          <w:b/>
          <w:i/>
          <w:iCs/>
          <w:color w:val="auto"/>
          <w:sz w:val="16"/>
          <w:szCs w:val="20"/>
          <w:u w:val="none"/>
        </w:rPr>
      </w:pPr>
      <w:r w:rsidRPr="00246583">
        <w:rPr>
          <w:rFonts w:ascii="Arial" w:hAnsi="Arial"/>
          <w:sz w:val="20"/>
          <w:szCs w:val="24"/>
        </w:rPr>
        <w:t xml:space="preserve">As of 11/22/16, all requests for a CAATS account reactivation must be either emailed to the </w:t>
      </w:r>
      <w:hyperlink r:id="rId793" w:history="1">
        <w:r w:rsidRPr="00246583">
          <w:rPr>
            <w:rStyle w:val="Hyperlink"/>
            <w:rFonts w:ascii="Arial" w:hAnsi="Arial"/>
            <w:sz w:val="20"/>
            <w:szCs w:val="24"/>
          </w:rPr>
          <w:t>NSD Help Desk</w:t>
        </w:r>
      </w:hyperlink>
      <w:r w:rsidRPr="00246583">
        <w:rPr>
          <w:rFonts w:ascii="Arial" w:hAnsi="Arial"/>
          <w:sz w:val="20"/>
          <w:szCs w:val="24"/>
        </w:rPr>
        <w:t xml:space="preserve"> or submitted telephonically at 1-855-673-4357 (select option 3, then option 2). </w:t>
      </w:r>
    </w:p>
    <w:p w:rsidR="00CA6087" w:rsidRDefault="003C67B2" w:rsidP="00F063AF">
      <w:pPr>
        <w:pStyle w:val="ListParagraph"/>
        <w:numPr>
          <w:ilvl w:val="1"/>
          <w:numId w:val="282"/>
        </w:numPr>
        <w:spacing w:after="0" w:line="240" w:lineRule="auto"/>
        <w:ind w:left="1080"/>
        <w:rPr>
          <w:rFonts w:ascii="Arial" w:hAnsi="Arial"/>
          <w:color w:val="000000"/>
          <w:sz w:val="24"/>
          <w:szCs w:val="24"/>
        </w:rPr>
      </w:pPr>
      <w:r w:rsidRPr="00CA6087">
        <w:rPr>
          <w:rFonts w:ascii="Arial" w:hAnsi="Arial"/>
          <w:color w:val="000000"/>
          <w:sz w:val="24"/>
          <w:szCs w:val="24"/>
        </w:rPr>
        <w:t>Click</w:t>
      </w:r>
      <w:r w:rsidR="0085725B">
        <w:rPr>
          <w:rFonts w:ascii="Arial" w:hAnsi="Arial"/>
          <w:color w:val="000000"/>
          <w:sz w:val="24"/>
          <w:szCs w:val="24"/>
        </w:rPr>
        <w:t xml:space="preserve"> “Contract Exam</w:t>
      </w:r>
      <w:r w:rsidR="001946CC">
        <w:rPr>
          <w:rFonts w:ascii="Arial" w:hAnsi="Arial"/>
          <w:color w:val="000000"/>
          <w:sz w:val="24"/>
          <w:szCs w:val="24"/>
        </w:rPr>
        <w:t>,”</w:t>
      </w:r>
      <w:r w:rsidR="0085725B">
        <w:rPr>
          <w:rFonts w:ascii="Arial" w:hAnsi="Arial"/>
          <w:color w:val="000000"/>
          <w:sz w:val="24"/>
          <w:szCs w:val="24"/>
        </w:rPr>
        <w:t xml:space="preserve"> then “Contract Exam Request List”</w:t>
      </w:r>
    </w:p>
    <w:p w:rsidR="003C67B2" w:rsidRPr="00CA6087" w:rsidRDefault="003C67B2" w:rsidP="00F063AF">
      <w:pPr>
        <w:pStyle w:val="ListParagraph"/>
        <w:numPr>
          <w:ilvl w:val="1"/>
          <w:numId w:val="282"/>
        </w:numPr>
        <w:spacing w:after="120" w:line="240" w:lineRule="auto"/>
        <w:ind w:left="1080"/>
        <w:rPr>
          <w:rFonts w:ascii="Arial" w:hAnsi="Arial"/>
          <w:color w:val="000000"/>
          <w:sz w:val="24"/>
          <w:szCs w:val="24"/>
        </w:rPr>
      </w:pPr>
      <w:r w:rsidRPr="002546E5">
        <w:rPr>
          <w:rFonts w:ascii="Arial" w:hAnsi="Arial"/>
          <w:color w:val="000000"/>
          <w:sz w:val="24"/>
          <w:szCs w:val="24"/>
          <w:highlight w:val="darkGray"/>
        </w:rPr>
        <w:t>Change Station number to 377</w:t>
      </w:r>
      <w:r w:rsidR="004F5228" w:rsidRPr="00CA6087">
        <w:rPr>
          <w:rFonts w:ascii="Arial" w:hAnsi="Arial"/>
          <w:color w:val="000000"/>
          <w:sz w:val="24"/>
          <w:szCs w:val="24"/>
        </w:rPr>
        <w:t xml:space="preserve"> </w:t>
      </w:r>
      <w:r w:rsidR="004F5228" w:rsidRPr="00CA6087">
        <w:rPr>
          <w:rFonts w:ascii="Arial" w:hAnsi="Arial"/>
          <w:color w:val="000000"/>
          <w:sz w:val="20"/>
          <w:szCs w:val="20"/>
          <w:highlight w:val="green"/>
        </w:rPr>
        <w:t xml:space="preserve">(per </w:t>
      </w:r>
      <w:r w:rsidR="00E64370" w:rsidRPr="00CA6087">
        <w:rPr>
          <w:rFonts w:ascii="Arial" w:hAnsi="Arial"/>
          <w:sz w:val="20"/>
          <w:szCs w:val="20"/>
          <w:highlight w:val="green"/>
        </w:rPr>
        <w:t>5/</w:t>
      </w:r>
      <w:r w:rsidR="004F5228" w:rsidRPr="00CA6087">
        <w:rPr>
          <w:rFonts w:ascii="Arial" w:hAnsi="Arial"/>
          <w:sz w:val="20"/>
          <w:szCs w:val="20"/>
          <w:highlight w:val="green"/>
        </w:rPr>
        <w:t>25</w:t>
      </w:r>
      <w:r w:rsidR="00E64370" w:rsidRPr="00CA6087">
        <w:rPr>
          <w:rFonts w:ascii="Arial" w:hAnsi="Arial"/>
          <w:sz w:val="20"/>
          <w:szCs w:val="20"/>
          <w:highlight w:val="green"/>
        </w:rPr>
        <w:t>/</w:t>
      </w:r>
      <w:r w:rsidR="004F5228" w:rsidRPr="00CA6087">
        <w:rPr>
          <w:rFonts w:ascii="Arial" w:hAnsi="Arial"/>
          <w:sz w:val="20"/>
          <w:szCs w:val="20"/>
          <w:highlight w:val="green"/>
        </w:rPr>
        <w:t xml:space="preserve">16 VSC email, “Select the appropriate station based on the Veteran’s geographic location </w:t>
      </w:r>
      <w:r w:rsidR="004F5228" w:rsidRPr="00CA6087">
        <w:rPr>
          <w:rFonts w:ascii="Arial" w:hAnsi="Arial"/>
          <w:b/>
          <w:bCs/>
          <w:sz w:val="20"/>
          <w:szCs w:val="20"/>
          <w:highlight w:val="green"/>
        </w:rPr>
        <w:t>before</w:t>
      </w:r>
      <w:r w:rsidR="004F5228" w:rsidRPr="00CA6087">
        <w:rPr>
          <w:rFonts w:ascii="Arial" w:hAnsi="Arial"/>
          <w:sz w:val="20"/>
          <w:szCs w:val="20"/>
          <w:highlight w:val="green"/>
        </w:rPr>
        <w:t xml:space="preserve"> creating an exam request. “</w:t>
      </w:r>
      <w:r w:rsidR="008C7F53" w:rsidRPr="00CA6087">
        <w:rPr>
          <w:rFonts w:ascii="Arial" w:hAnsi="Arial"/>
          <w:sz w:val="20"/>
          <w:szCs w:val="20"/>
          <w:highlight w:val="green"/>
        </w:rPr>
        <w:t xml:space="preserve"> Per 6/30/16 VSC email “The ERRA routing recommendation will provide the end user with the correct station number…”</w:t>
      </w:r>
      <w:r w:rsidR="00D15F82">
        <w:rPr>
          <w:rFonts w:ascii="Arial" w:hAnsi="Arial"/>
          <w:sz w:val="20"/>
          <w:szCs w:val="20"/>
          <w:highlight w:val="green"/>
        </w:rPr>
        <w:t>; first paragraph of the ERRA information</w:t>
      </w:r>
      <w:r w:rsidR="004F5228" w:rsidRPr="00CA6087">
        <w:rPr>
          <w:rFonts w:ascii="Arial" w:hAnsi="Arial"/>
          <w:sz w:val="20"/>
          <w:szCs w:val="20"/>
          <w:highlight w:val="green"/>
        </w:rPr>
        <w:t>)</w:t>
      </w:r>
      <w:r w:rsidR="00DD1977" w:rsidRPr="00DD1977">
        <w:rPr>
          <w:rFonts w:ascii="Arial" w:hAnsi="Arial"/>
          <w:color w:val="000000"/>
          <w:sz w:val="24"/>
          <w:szCs w:val="24"/>
        </w:rPr>
        <w:t xml:space="preserve"> </w:t>
      </w:r>
      <w:r w:rsidR="00DD1977">
        <w:rPr>
          <w:rFonts w:ascii="Arial" w:hAnsi="Arial"/>
          <w:color w:val="000000"/>
          <w:sz w:val="24"/>
          <w:szCs w:val="24"/>
        </w:rPr>
        <w:t>then maybe click “Submit”</w:t>
      </w:r>
    </w:p>
    <w:p w:rsidR="00A67806" w:rsidRPr="004A7341" w:rsidRDefault="00A67806" w:rsidP="00CA6087">
      <w:pPr>
        <w:widowControl w:val="0"/>
        <w:tabs>
          <w:tab w:val="left" w:pos="0"/>
          <w:tab w:val="left" w:pos="144"/>
          <w:tab w:val="left" w:pos="1080"/>
        </w:tabs>
        <w:spacing w:after="120"/>
        <w:ind w:left="1080"/>
        <w:rPr>
          <w:lang w:val="en"/>
        </w:rPr>
      </w:pPr>
      <w:r w:rsidRPr="004A7341">
        <w:rPr>
          <w:b/>
          <w:bCs/>
          <w:i/>
        </w:rPr>
        <w:t xml:space="preserve">June 2016 </w:t>
      </w:r>
      <w:r w:rsidRPr="004A7341">
        <w:rPr>
          <w:b/>
          <w:i/>
        </w:rPr>
        <w:t>Compensation Service Bulletin (CSB)</w:t>
      </w:r>
      <w:r w:rsidRPr="004A7341">
        <w:rPr>
          <w:i/>
        </w:rPr>
        <w:t xml:space="preserve"> –</w:t>
      </w:r>
      <w:r w:rsidR="00C22006">
        <w:rPr>
          <w:i/>
        </w:rPr>
        <w:t xml:space="preserve"> </w:t>
      </w:r>
      <w:r w:rsidRPr="004A7341">
        <w:rPr>
          <w:lang w:val="en"/>
        </w:rPr>
        <w:t>When creating examination requests in CAATS, it is imperative that the employee create the request using the Station Code that aligns with the Veteran’s geographical jurisdiction.  If this section is not properly completed, the examination request could be cancelled by the vendor.</w:t>
      </w:r>
      <w:r w:rsidR="00E64370">
        <w:rPr>
          <w:lang w:val="en"/>
        </w:rPr>
        <w:t xml:space="preserve"> </w:t>
      </w:r>
      <w:r w:rsidRPr="004A7341">
        <w:rPr>
          <w:lang w:val="en"/>
        </w:rPr>
        <w:t>Below you will find the Station Codes that align with geographical jurisdiction of contract examinations:</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45"/>
        <w:gridCol w:w="2445"/>
      </w:tblGrid>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Atlanta (316)</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Seattle (346)</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Houston (362)</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Winston-Salem (318)</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Providence (304)</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Columbia (319)</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Muskogee (351)</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Jackson (323)</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Roanoke (314)</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Philadelphia (310)</w:t>
            </w:r>
          </w:p>
        </w:tc>
      </w:tr>
      <w:tr w:rsidR="00A67806" w:rsidRPr="004A7341" w:rsidTr="00B26BB8">
        <w:trPr>
          <w:trHeight w:val="210"/>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Los Angeles (344)</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San Diego (377)</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Salt Lake City (341)</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St. Petersburg (317)</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Cheyenne (442)</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Oakland (343)</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Cleveland (325)</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Denver (339)</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Honolulu (459)</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Indianapolis (326)</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Lincoln (334)</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St. Louis (331)</w:t>
            </w:r>
          </w:p>
        </w:tc>
      </w:tr>
      <w:tr w:rsidR="00A67806" w:rsidRPr="004A7341" w:rsidTr="00B26BB8">
        <w:trPr>
          <w:jc w:val="center"/>
        </w:trPr>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Waco (349)</w:t>
            </w:r>
          </w:p>
        </w:tc>
        <w:tc>
          <w:tcPr>
            <w:tcW w:w="2445" w:type="dxa"/>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Pittsburgh (311)</w:t>
            </w:r>
          </w:p>
        </w:tc>
      </w:tr>
      <w:tr w:rsidR="00A67806" w:rsidRPr="004A7341" w:rsidTr="00B26BB8">
        <w:trPr>
          <w:jc w:val="center"/>
        </w:trPr>
        <w:tc>
          <w:tcPr>
            <w:tcW w:w="4890" w:type="dxa"/>
            <w:gridSpan w:val="2"/>
            <w:tcBorders>
              <w:top w:val="outset" w:sz="6" w:space="0" w:color="auto"/>
              <w:left w:val="outset" w:sz="6" w:space="0" w:color="auto"/>
              <w:bottom w:val="outset" w:sz="6" w:space="0" w:color="auto"/>
              <w:right w:val="outset" w:sz="6" w:space="0" w:color="auto"/>
            </w:tcBorders>
            <w:vAlign w:val="bottom"/>
            <w:hideMark/>
          </w:tcPr>
          <w:p w:rsidR="00A67806" w:rsidRPr="004A7341" w:rsidRDefault="00A67806" w:rsidP="00B26BB8">
            <w:pPr>
              <w:overflowPunct/>
              <w:autoSpaceDE/>
              <w:autoSpaceDN/>
              <w:adjustRightInd/>
              <w:spacing w:before="100" w:beforeAutospacing="1" w:after="100" w:afterAutospacing="1"/>
              <w:jc w:val="center"/>
              <w:textAlignment w:val="auto"/>
            </w:pPr>
            <w:r w:rsidRPr="004A7341">
              <w:t>IDES</w:t>
            </w:r>
          </w:p>
        </w:tc>
      </w:tr>
    </w:tbl>
    <w:p w:rsidR="00A67806" w:rsidRDefault="00A67806" w:rsidP="00A67806">
      <w:pPr>
        <w:rPr>
          <w:color w:val="000000"/>
          <w:sz w:val="24"/>
          <w:szCs w:val="24"/>
        </w:rPr>
      </w:pPr>
    </w:p>
    <w:p w:rsidR="003C67B2" w:rsidRDefault="003C67B2" w:rsidP="00F063AF">
      <w:pPr>
        <w:pStyle w:val="ListParagraph"/>
        <w:numPr>
          <w:ilvl w:val="0"/>
          <w:numId w:val="314"/>
        </w:numPr>
        <w:spacing w:after="0" w:line="240" w:lineRule="auto"/>
        <w:ind w:left="1080"/>
        <w:rPr>
          <w:rFonts w:ascii="Arial" w:hAnsi="Arial"/>
          <w:color w:val="000000"/>
          <w:sz w:val="24"/>
          <w:szCs w:val="24"/>
        </w:rPr>
      </w:pPr>
      <w:r>
        <w:rPr>
          <w:rFonts w:ascii="Arial" w:hAnsi="Arial"/>
          <w:color w:val="000000"/>
          <w:sz w:val="24"/>
          <w:szCs w:val="24"/>
        </w:rPr>
        <w:t>Click “Add Document”</w:t>
      </w:r>
    </w:p>
    <w:p w:rsidR="003C67B2" w:rsidRDefault="003C67B2" w:rsidP="00F063AF">
      <w:pPr>
        <w:pStyle w:val="ListParagraph"/>
        <w:numPr>
          <w:ilvl w:val="0"/>
          <w:numId w:val="314"/>
        </w:numPr>
        <w:spacing w:after="0" w:line="240" w:lineRule="auto"/>
        <w:ind w:left="1080"/>
        <w:rPr>
          <w:rFonts w:ascii="Arial" w:hAnsi="Arial"/>
          <w:color w:val="000000"/>
          <w:sz w:val="24"/>
          <w:szCs w:val="24"/>
        </w:rPr>
      </w:pPr>
      <w:r>
        <w:rPr>
          <w:rFonts w:ascii="Arial" w:hAnsi="Arial"/>
          <w:color w:val="000000"/>
          <w:sz w:val="24"/>
          <w:szCs w:val="24"/>
        </w:rPr>
        <w:t>Enter SSN, Claim Type and Request Type</w:t>
      </w:r>
      <w:r w:rsidR="00E668C6">
        <w:rPr>
          <w:rFonts w:ascii="Arial" w:hAnsi="Arial"/>
          <w:color w:val="000000"/>
          <w:sz w:val="24"/>
          <w:szCs w:val="24"/>
        </w:rPr>
        <w:t xml:space="preserve"> </w:t>
      </w:r>
      <w:r w:rsidR="00E668C6" w:rsidRPr="00E668C6">
        <w:rPr>
          <w:rFonts w:ascii="Arial" w:hAnsi="Arial"/>
          <w:color w:val="000000"/>
          <w:sz w:val="20"/>
          <w:szCs w:val="24"/>
          <w:highlight w:val="red"/>
        </w:rPr>
        <w:t>(wh</w:t>
      </w:r>
      <w:r w:rsidR="00E64370">
        <w:rPr>
          <w:rFonts w:ascii="Arial" w:hAnsi="Arial"/>
          <w:color w:val="000000"/>
          <w:sz w:val="20"/>
          <w:szCs w:val="24"/>
          <w:highlight w:val="red"/>
        </w:rPr>
        <w:t xml:space="preserve">at if only has </w:t>
      </w:r>
      <w:r w:rsidR="00E668C6" w:rsidRPr="00E668C6">
        <w:rPr>
          <w:rFonts w:ascii="Arial" w:hAnsi="Arial"/>
          <w:color w:val="000000"/>
          <w:sz w:val="20"/>
          <w:szCs w:val="24"/>
          <w:highlight w:val="red"/>
        </w:rPr>
        <w:t>claim #?)</w:t>
      </w:r>
    </w:p>
    <w:p w:rsidR="003C67B2" w:rsidRDefault="003C67B2" w:rsidP="00F063AF">
      <w:pPr>
        <w:pStyle w:val="ListParagraph"/>
        <w:numPr>
          <w:ilvl w:val="2"/>
          <w:numId w:val="313"/>
        </w:numPr>
        <w:spacing w:after="0" w:line="240" w:lineRule="auto"/>
        <w:ind w:left="1440"/>
        <w:rPr>
          <w:rFonts w:ascii="Arial" w:hAnsi="Arial"/>
          <w:color w:val="000000"/>
          <w:sz w:val="24"/>
          <w:szCs w:val="24"/>
        </w:rPr>
      </w:pPr>
      <w:r>
        <w:rPr>
          <w:rFonts w:ascii="Arial" w:hAnsi="Arial"/>
          <w:color w:val="000000"/>
          <w:sz w:val="24"/>
          <w:szCs w:val="24"/>
        </w:rPr>
        <w:t>If the Veteran has never been entered into CAATS, enter complete information</w:t>
      </w:r>
      <w:r w:rsidR="00E643AB">
        <w:rPr>
          <w:rFonts w:ascii="Arial" w:hAnsi="Arial"/>
          <w:color w:val="000000"/>
          <w:sz w:val="24"/>
          <w:szCs w:val="24"/>
        </w:rPr>
        <w:t xml:space="preserve"> (from Profile screen)</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45"/>
      </w:tblGrid>
      <w:tr w:rsidR="002741E6" w:rsidRPr="004A7341" w:rsidTr="00DD1977">
        <w:trPr>
          <w:jc w:val="center"/>
        </w:trPr>
        <w:tc>
          <w:tcPr>
            <w:tcW w:w="2445" w:type="dxa"/>
            <w:tcBorders>
              <w:top w:val="outset" w:sz="6" w:space="0" w:color="auto"/>
              <w:left w:val="outset" w:sz="6" w:space="0" w:color="auto"/>
              <w:bottom w:val="outset" w:sz="6" w:space="0" w:color="auto"/>
              <w:right w:val="outset" w:sz="6" w:space="0" w:color="auto"/>
            </w:tcBorders>
            <w:vAlign w:val="bottom"/>
          </w:tcPr>
          <w:p w:rsidR="002741E6" w:rsidRPr="004A7341" w:rsidRDefault="002741E6" w:rsidP="00DD1977">
            <w:pPr>
              <w:overflowPunct/>
              <w:autoSpaceDE/>
              <w:autoSpaceDN/>
              <w:adjustRightInd/>
              <w:spacing w:before="100" w:beforeAutospacing="1" w:after="100" w:afterAutospacing="1"/>
              <w:jc w:val="center"/>
              <w:textAlignment w:val="auto"/>
            </w:pPr>
            <w:r>
              <w:t>CDVA (044)</w:t>
            </w:r>
          </w:p>
        </w:tc>
      </w:tr>
      <w:tr w:rsidR="002741E6" w:rsidRPr="004A7341" w:rsidTr="00DD1977">
        <w:trPr>
          <w:jc w:val="center"/>
        </w:trPr>
        <w:tc>
          <w:tcPr>
            <w:tcW w:w="2445" w:type="dxa"/>
            <w:tcBorders>
              <w:top w:val="outset" w:sz="6" w:space="0" w:color="auto"/>
              <w:left w:val="outset" w:sz="6" w:space="0" w:color="auto"/>
              <w:bottom w:val="outset" w:sz="6" w:space="0" w:color="auto"/>
              <w:right w:val="outset" w:sz="6" w:space="0" w:color="auto"/>
            </w:tcBorders>
            <w:vAlign w:val="bottom"/>
          </w:tcPr>
          <w:p w:rsidR="002741E6" w:rsidRPr="004A7341" w:rsidRDefault="002741E6" w:rsidP="00736BBD">
            <w:pPr>
              <w:overflowPunct/>
              <w:autoSpaceDE/>
              <w:autoSpaceDN/>
              <w:adjustRightInd/>
              <w:spacing w:before="100" w:beforeAutospacing="1" w:after="100" w:afterAutospacing="1"/>
              <w:jc w:val="center"/>
              <w:textAlignment w:val="auto"/>
            </w:pPr>
            <w:r>
              <w:t>VVA (070)</w:t>
            </w:r>
          </w:p>
        </w:tc>
      </w:tr>
      <w:tr w:rsidR="002741E6" w:rsidRPr="004A7341" w:rsidTr="00DD1977">
        <w:trPr>
          <w:jc w:val="center"/>
        </w:trPr>
        <w:tc>
          <w:tcPr>
            <w:tcW w:w="2445" w:type="dxa"/>
            <w:tcBorders>
              <w:top w:val="outset" w:sz="6" w:space="0" w:color="auto"/>
              <w:left w:val="outset" w:sz="6" w:space="0" w:color="auto"/>
              <w:bottom w:val="outset" w:sz="6" w:space="0" w:color="auto"/>
              <w:right w:val="outset" w:sz="6" w:space="0" w:color="auto"/>
            </w:tcBorders>
            <w:vAlign w:val="bottom"/>
          </w:tcPr>
          <w:p w:rsidR="002741E6" w:rsidRPr="004A7341" w:rsidRDefault="002741E6" w:rsidP="00736BBD">
            <w:pPr>
              <w:overflowPunct/>
              <w:autoSpaceDE/>
              <w:autoSpaceDN/>
              <w:adjustRightInd/>
              <w:spacing w:before="100" w:beforeAutospacing="1" w:after="100" w:afterAutospacing="1"/>
              <w:jc w:val="center"/>
              <w:textAlignment w:val="auto"/>
            </w:pPr>
            <w:r>
              <w:t>AL (074)</w:t>
            </w:r>
          </w:p>
        </w:tc>
      </w:tr>
      <w:tr w:rsidR="002741E6" w:rsidRPr="004A7341" w:rsidTr="00DD1977">
        <w:trPr>
          <w:jc w:val="center"/>
        </w:trPr>
        <w:tc>
          <w:tcPr>
            <w:tcW w:w="2445" w:type="dxa"/>
            <w:tcBorders>
              <w:top w:val="outset" w:sz="6" w:space="0" w:color="auto"/>
              <w:left w:val="outset" w:sz="6" w:space="0" w:color="auto"/>
              <w:bottom w:val="outset" w:sz="6" w:space="0" w:color="auto"/>
              <w:right w:val="outset" w:sz="6" w:space="0" w:color="auto"/>
            </w:tcBorders>
            <w:vAlign w:val="bottom"/>
          </w:tcPr>
          <w:p w:rsidR="002741E6" w:rsidRPr="004A7341" w:rsidRDefault="002741E6" w:rsidP="00736BBD">
            <w:pPr>
              <w:overflowPunct/>
              <w:autoSpaceDE/>
              <w:autoSpaceDN/>
              <w:adjustRightInd/>
              <w:spacing w:before="100" w:beforeAutospacing="1" w:after="100" w:afterAutospacing="1"/>
              <w:jc w:val="center"/>
              <w:textAlignment w:val="auto"/>
            </w:pPr>
            <w:r>
              <w:t>AMVETS (077)</w:t>
            </w:r>
          </w:p>
        </w:tc>
      </w:tr>
      <w:tr w:rsidR="002741E6" w:rsidRPr="004A7341" w:rsidTr="00DD1977">
        <w:trPr>
          <w:jc w:val="center"/>
        </w:trPr>
        <w:tc>
          <w:tcPr>
            <w:tcW w:w="2445" w:type="dxa"/>
            <w:tcBorders>
              <w:top w:val="outset" w:sz="6" w:space="0" w:color="auto"/>
              <w:left w:val="outset" w:sz="6" w:space="0" w:color="auto"/>
              <w:bottom w:val="outset" w:sz="6" w:space="0" w:color="auto"/>
              <w:right w:val="outset" w:sz="6" w:space="0" w:color="auto"/>
            </w:tcBorders>
            <w:vAlign w:val="bottom"/>
          </w:tcPr>
          <w:p w:rsidR="002741E6" w:rsidRPr="004A7341" w:rsidRDefault="002741E6" w:rsidP="00736BBD">
            <w:pPr>
              <w:overflowPunct/>
              <w:autoSpaceDE/>
              <w:autoSpaceDN/>
              <w:adjustRightInd/>
              <w:spacing w:before="100" w:beforeAutospacing="1" w:after="100" w:afterAutospacing="1"/>
              <w:jc w:val="center"/>
              <w:textAlignment w:val="auto"/>
            </w:pPr>
            <w:r>
              <w:t>DAV (083)</w:t>
            </w:r>
          </w:p>
        </w:tc>
      </w:tr>
      <w:tr w:rsidR="002741E6" w:rsidRPr="004A7341" w:rsidTr="00DD1977">
        <w:trPr>
          <w:trHeight w:val="210"/>
          <w:jc w:val="center"/>
        </w:trPr>
        <w:tc>
          <w:tcPr>
            <w:tcW w:w="2445" w:type="dxa"/>
            <w:tcBorders>
              <w:top w:val="outset" w:sz="6" w:space="0" w:color="auto"/>
              <w:left w:val="outset" w:sz="6" w:space="0" w:color="auto"/>
              <w:bottom w:val="outset" w:sz="6" w:space="0" w:color="auto"/>
              <w:right w:val="outset" w:sz="6" w:space="0" w:color="auto"/>
            </w:tcBorders>
            <w:vAlign w:val="bottom"/>
          </w:tcPr>
          <w:p w:rsidR="002741E6" w:rsidRPr="004A7341" w:rsidRDefault="002741E6" w:rsidP="00736BBD">
            <w:pPr>
              <w:overflowPunct/>
              <w:autoSpaceDE/>
              <w:autoSpaceDN/>
              <w:adjustRightInd/>
              <w:spacing w:before="100" w:beforeAutospacing="1" w:after="100" w:afterAutospacing="1"/>
              <w:jc w:val="center"/>
              <w:textAlignment w:val="auto"/>
            </w:pPr>
            <w:r>
              <w:t>MOPH (089)</w:t>
            </w:r>
          </w:p>
        </w:tc>
      </w:tr>
      <w:tr w:rsidR="002741E6" w:rsidRPr="004A7341" w:rsidTr="00DD1977">
        <w:trPr>
          <w:jc w:val="center"/>
        </w:trPr>
        <w:tc>
          <w:tcPr>
            <w:tcW w:w="2445" w:type="dxa"/>
            <w:tcBorders>
              <w:top w:val="outset" w:sz="6" w:space="0" w:color="auto"/>
              <w:left w:val="outset" w:sz="6" w:space="0" w:color="auto"/>
              <w:bottom w:val="outset" w:sz="6" w:space="0" w:color="auto"/>
              <w:right w:val="outset" w:sz="6" w:space="0" w:color="auto"/>
            </w:tcBorders>
            <w:vAlign w:val="bottom"/>
          </w:tcPr>
          <w:p w:rsidR="002741E6" w:rsidRPr="004A7341" w:rsidRDefault="002741E6" w:rsidP="00736BBD">
            <w:pPr>
              <w:overflowPunct/>
              <w:autoSpaceDE/>
              <w:autoSpaceDN/>
              <w:adjustRightInd/>
              <w:spacing w:before="100" w:beforeAutospacing="1" w:after="100" w:afterAutospacing="1"/>
              <w:jc w:val="center"/>
              <w:textAlignment w:val="auto"/>
            </w:pPr>
            <w:r>
              <w:t>VFW (097)</w:t>
            </w:r>
          </w:p>
        </w:tc>
      </w:tr>
    </w:tbl>
    <w:p w:rsidR="00DD1977" w:rsidRDefault="00DD1977" w:rsidP="00DD1977">
      <w:pPr>
        <w:pStyle w:val="ListParagraph"/>
        <w:spacing w:after="0" w:line="240" w:lineRule="auto"/>
        <w:ind w:left="1440"/>
        <w:rPr>
          <w:rFonts w:ascii="Arial" w:hAnsi="Arial"/>
          <w:color w:val="000000"/>
          <w:sz w:val="24"/>
          <w:szCs w:val="24"/>
        </w:rPr>
      </w:pPr>
    </w:p>
    <w:p w:rsidR="00CA6087" w:rsidRPr="00CA6087" w:rsidRDefault="003C67B2" w:rsidP="00F063AF">
      <w:pPr>
        <w:pStyle w:val="ListParagraph"/>
        <w:numPr>
          <w:ilvl w:val="0"/>
          <w:numId w:val="314"/>
        </w:numPr>
        <w:spacing w:after="0" w:line="240" w:lineRule="auto"/>
        <w:ind w:left="1080"/>
        <w:rPr>
          <w:rFonts w:ascii="Arial" w:hAnsi="Arial"/>
          <w:color w:val="000000"/>
          <w:sz w:val="24"/>
          <w:szCs w:val="24"/>
        </w:rPr>
      </w:pPr>
      <w:r w:rsidRPr="00CA6087">
        <w:rPr>
          <w:rFonts w:ascii="Arial" w:hAnsi="Arial"/>
          <w:color w:val="000000"/>
          <w:sz w:val="24"/>
          <w:szCs w:val="24"/>
        </w:rPr>
        <w:t>If information has changed since last exam</w:t>
      </w:r>
      <w:r w:rsidRPr="002546E5">
        <w:rPr>
          <w:rFonts w:ascii="Arial" w:hAnsi="Arial"/>
          <w:color w:val="000000"/>
          <w:sz w:val="24"/>
          <w:szCs w:val="24"/>
          <w:highlight w:val="darkGray"/>
        </w:rPr>
        <w:t>, contact Exam Liaison</w:t>
      </w:r>
      <w:r w:rsidR="00FC3EBD" w:rsidRPr="002546E5">
        <w:rPr>
          <w:rFonts w:ascii="Arial" w:hAnsi="Arial"/>
          <w:color w:val="000000"/>
          <w:sz w:val="24"/>
          <w:szCs w:val="24"/>
          <w:highlight w:val="darkGray"/>
        </w:rPr>
        <w:t xml:space="preserve"> </w:t>
      </w:r>
      <w:r w:rsidR="00FC3EBD" w:rsidRPr="002546E5">
        <w:rPr>
          <w:rFonts w:ascii="Arial" w:hAnsi="Arial"/>
          <w:color w:val="000000"/>
          <w:szCs w:val="24"/>
          <w:highlight w:val="darkGray"/>
        </w:rPr>
        <w:t>(actually, email Meera Braman with the details of the info that needs to be changed</w:t>
      </w:r>
      <w:r w:rsidR="00DD4DCE" w:rsidRPr="00CA6087">
        <w:rPr>
          <w:rFonts w:ascii="Arial" w:hAnsi="Arial"/>
          <w:color w:val="000000"/>
          <w:szCs w:val="24"/>
          <w:highlight w:val="green"/>
        </w:rPr>
        <w:t>; as of 6/6/16 can enter changes yourself</w:t>
      </w:r>
      <w:r w:rsidR="00FC3EBD" w:rsidRPr="00CA6087">
        <w:rPr>
          <w:rFonts w:ascii="Arial" w:hAnsi="Arial"/>
          <w:color w:val="000000"/>
          <w:szCs w:val="24"/>
          <w:highlight w:val="green"/>
        </w:rPr>
        <w:t>)</w:t>
      </w:r>
    </w:p>
    <w:p w:rsidR="00CA6087" w:rsidRDefault="003C67B2" w:rsidP="00F063AF">
      <w:pPr>
        <w:pStyle w:val="ListParagraph"/>
        <w:numPr>
          <w:ilvl w:val="0"/>
          <w:numId w:val="314"/>
        </w:numPr>
        <w:spacing w:after="0" w:line="240" w:lineRule="auto"/>
        <w:ind w:left="1080"/>
        <w:rPr>
          <w:rFonts w:ascii="Arial" w:hAnsi="Arial"/>
          <w:color w:val="000000"/>
          <w:sz w:val="24"/>
          <w:szCs w:val="24"/>
        </w:rPr>
      </w:pPr>
      <w:r w:rsidRPr="00CA6087">
        <w:rPr>
          <w:rFonts w:ascii="Arial" w:hAnsi="Arial"/>
          <w:color w:val="000000"/>
          <w:sz w:val="24"/>
          <w:szCs w:val="24"/>
        </w:rPr>
        <w:t xml:space="preserve">Click </w:t>
      </w:r>
      <w:r w:rsidR="00123244">
        <w:rPr>
          <w:rFonts w:ascii="Arial" w:hAnsi="Arial"/>
          <w:color w:val="000000"/>
          <w:sz w:val="24"/>
          <w:szCs w:val="24"/>
        </w:rPr>
        <w:t>“C</w:t>
      </w:r>
      <w:r w:rsidRPr="00CA6087">
        <w:rPr>
          <w:rFonts w:ascii="Arial" w:hAnsi="Arial"/>
          <w:color w:val="000000"/>
          <w:sz w:val="24"/>
          <w:szCs w:val="24"/>
        </w:rPr>
        <w:t>reate Exam</w:t>
      </w:r>
      <w:r w:rsidR="00123244">
        <w:rPr>
          <w:rFonts w:ascii="Arial" w:hAnsi="Arial"/>
          <w:color w:val="000000"/>
          <w:sz w:val="24"/>
          <w:szCs w:val="24"/>
        </w:rPr>
        <w:t xml:space="preserve"> Request</w:t>
      </w:r>
      <w:r w:rsidRPr="00CA6087">
        <w:rPr>
          <w:rFonts w:ascii="Arial" w:hAnsi="Arial"/>
          <w:color w:val="000000"/>
          <w:sz w:val="24"/>
          <w:szCs w:val="24"/>
        </w:rPr>
        <w:t>”</w:t>
      </w:r>
    </w:p>
    <w:p w:rsidR="003C67B2" w:rsidRPr="00CA6087" w:rsidRDefault="003C67B2" w:rsidP="00F063AF">
      <w:pPr>
        <w:pStyle w:val="ListParagraph"/>
        <w:numPr>
          <w:ilvl w:val="0"/>
          <w:numId w:val="314"/>
        </w:numPr>
        <w:spacing w:after="0" w:line="240" w:lineRule="auto"/>
        <w:ind w:left="1080"/>
        <w:rPr>
          <w:rFonts w:ascii="Arial" w:hAnsi="Arial"/>
          <w:color w:val="000000"/>
          <w:sz w:val="24"/>
          <w:szCs w:val="24"/>
        </w:rPr>
      </w:pPr>
      <w:r w:rsidRPr="00CA6087">
        <w:rPr>
          <w:rFonts w:ascii="Arial" w:hAnsi="Arial"/>
          <w:color w:val="000000"/>
          <w:sz w:val="24"/>
          <w:szCs w:val="24"/>
        </w:rPr>
        <w:t>Complete Exam Request Details on the Header tab</w:t>
      </w:r>
    </w:p>
    <w:p w:rsidR="00D15F82" w:rsidRDefault="003C67B2" w:rsidP="00F063AF">
      <w:pPr>
        <w:pStyle w:val="ListParagraph"/>
        <w:numPr>
          <w:ilvl w:val="2"/>
          <w:numId w:val="316"/>
        </w:numPr>
        <w:spacing w:after="0" w:line="240" w:lineRule="auto"/>
        <w:ind w:left="1440"/>
        <w:rPr>
          <w:rFonts w:ascii="Arial" w:hAnsi="Arial"/>
          <w:color w:val="000000"/>
          <w:sz w:val="24"/>
          <w:szCs w:val="24"/>
        </w:rPr>
      </w:pPr>
      <w:r>
        <w:rPr>
          <w:rFonts w:ascii="Arial" w:hAnsi="Arial"/>
          <w:color w:val="000000"/>
          <w:sz w:val="24"/>
          <w:szCs w:val="24"/>
        </w:rPr>
        <w:t xml:space="preserve">Send claim file to contractor = VBMS </w:t>
      </w:r>
    </w:p>
    <w:p w:rsidR="00D15F82" w:rsidRPr="00D15F82" w:rsidRDefault="00D15F82" w:rsidP="00F063AF">
      <w:pPr>
        <w:pStyle w:val="ListParagraph"/>
        <w:numPr>
          <w:ilvl w:val="2"/>
          <w:numId w:val="316"/>
        </w:numPr>
        <w:spacing w:after="0" w:line="240" w:lineRule="auto"/>
        <w:ind w:left="1440"/>
        <w:rPr>
          <w:rFonts w:ascii="Arial" w:hAnsi="Arial"/>
          <w:color w:val="000000"/>
          <w:sz w:val="24"/>
          <w:szCs w:val="24"/>
        </w:rPr>
      </w:pPr>
      <w:r w:rsidRPr="00D15F82">
        <w:rPr>
          <w:rFonts w:ascii="Arial" w:hAnsi="Arial"/>
          <w:color w:val="000000"/>
          <w:sz w:val="24"/>
          <w:szCs w:val="24"/>
        </w:rPr>
        <w:t>Commen</w:t>
      </w:r>
      <w:r>
        <w:rPr>
          <w:rFonts w:ascii="Arial" w:hAnsi="Arial"/>
          <w:color w:val="000000"/>
          <w:sz w:val="24"/>
          <w:szCs w:val="24"/>
        </w:rPr>
        <w:t>ts/Physician I</w:t>
      </w:r>
      <w:r w:rsidRPr="00D15F82">
        <w:rPr>
          <w:rFonts w:ascii="Arial" w:hAnsi="Arial"/>
          <w:color w:val="000000"/>
          <w:sz w:val="24"/>
          <w:szCs w:val="24"/>
        </w:rPr>
        <w:t>nstructions is where you would put sleep study findings or response to rejected exams if needed</w:t>
      </w:r>
    </w:p>
    <w:p w:rsidR="004F5228" w:rsidRDefault="008C7F53" w:rsidP="00F063AF">
      <w:pPr>
        <w:pStyle w:val="ListParagraph"/>
        <w:numPr>
          <w:ilvl w:val="2"/>
          <w:numId w:val="316"/>
        </w:numPr>
        <w:spacing w:after="0" w:line="240" w:lineRule="auto"/>
        <w:ind w:left="1440"/>
        <w:rPr>
          <w:rFonts w:ascii="Arial" w:hAnsi="Arial"/>
          <w:color w:val="000000"/>
          <w:sz w:val="24"/>
          <w:szCs w:val="24"/>
        </w:rPr>
      </w:pPr>
      <w:r>
        <w:rPr>
          <w:rFonts w:ascii="Arial" w:hAnsi="Arial"/>
          <w:color w:val="000000"/>
          <w:sz w:val="24"/>
          <w:szCs w:val="24"/>
        </w:rPr>
        <w:t>Select the correct cont</w:t>
      </w:r>
      <w:r w:rsidR="00306CE1">
        <w:rPr>
          <w:rFonts w:ascii="Arial" w:hAnsi="Arial"/>
          <w:color w:val="000000"/>
          <w:sz w:val="24"/>
          <w:szCs w:val="24"/>
        </w:rPr>
        <w:t>r</w:t>
      </w:r>
      <w:r>
        <w:rPr>
          <w:rFonts w:ascii="Arial" w:hAnsi="Arial"/>
          <w:color w:val="000000"/>
          <w:sz w:val="24"/>
          <w:szCs w:val="24"/>
        </w:rPr>
        <w:t xml:space="preserve">act vendor </w:t>
      </w:r>
      <w:r w:rsidRPr="008C7F53">
        <w:rPr>
          <w:rFonts w:ascii="Arial" w:hAnsi="Arial"/>
          <w:color w:val="000000"/>
          <w:sz w:val="20"/>
          <w:szCs w:val="24"/>
          <w:highlight w:val="green"/>
        </w:rPr>
        <w:t>(a</w:t>
      </w:r>
      <w:r>
        <w:rPr>
          <w:rFonts w:ascii="Arial" w:hAnsi="Arial"/>
          <w:color w:val="000000"/>
          <w:sz w:val="20"/>
          <w:szCs w:val="24"/>
          <w:highlight w:val="green"/>
        </w:rPr>
        <w:t xml:space="preserve">dded </w:t>
      </w:r>
      <w:r w:rsidRPr="008C7F53">
        <w:rPr>
          <w:rFonts w:ascii="Arial" w:hAnsi="Arial"/>
          <w:color w:val="000000"/>
          <w:sz w:val="20"/>
          <w:szCs w:val="24"/>
          <w:highlight w:val="green"/>
        </w:rPr>
        <w:t>6/30/1</w:t>
      </w:r>
      <w:r w:rsidRPr="003F619B">
        <w:rPr>
          <w:rFonts w:ascii="Arial" w:hAnsi="Arial"/>
          <w:color w:val="000000"/>
          <w:sz w:val="20"/>
          <w:szCs w:val="24"/>
          <w:highlight w:val="green"/>
        </w:rPr>
        <w:t>6</w:t>
      </w:r>
      <w:r w:rsidR="00306CE1">
        <w:rPr>
          <w:rFonts w:ascii="Arial" w:hAnsi="Arial"/>
          <w:color w:val="000000"/>
          <w:sz w:val="20"/>
          <w:szCs w:val="24"/>
          <w:highlight w:val="green"/>
        </w:rPr>
        <w:t>, you can find this in the</w:t>
      </w:r>
      <w:r w:rsidR="00D15F82">
        <w:rPr>
          <w:rFonts w:ascii="Arial" w:hAnsi="Arial"/>
          <w:color w:val="000000"/>
          <w:sz w:val="20"/>
          <w:szCs w:val="24"/>
          <w:highlight w:val="green"/>
        </w:rPr>
        <w:t xml:space="preserve"> first paragraph of the</w:t>
      </w:r>
      <w:r w:rsidR="00306CE1">
        <w:rPr>
          <w:rFonts w:ascii="Arial" w:hAnsi="Arial"/>
          <w:color w:val="000000"/>
          <w:sz w:val="20"/>
          <w:szCs w:val="24"/>
          <w:highlight w:val="green"/>
        </w:rPr>
        <w:t xml:space="preserve"> ERRA information</w:t>
      </w:r>
      <w:r w:rsidR="003F619B" w:rsidRPr="003F619B">
        <w:rPr>
          <w:rFonts w:ascii="Arial" w:hAnsi="Arial"/>
          <w:color w:val="000000"/>
          <w:sz w:val="20"/>
          <w:szCs w:val="24"/>
          <w:highlight w:val="green"/>
        </w:rPr>
        <w:t>)</w:t>
      </w:r>
    </w:p>
    <w:p w:rsidR="003C67B2" w:rsidRDefault="003C67B2" w:rsidP="00F063AF">
      <w:pPr>
        <w:pStyle w:val="ListParagraph"/>
        <w:numPr>
          <w:ilvl w:val="0"/>
          <w:numId w:val="314"/>
        </w:numPr>
        <w:spacing w:after="0" w:line="240" w:lineRule="auto"/>
        <w:ind w:left="1080"/>
        <w:rPr>
          <w:rFonts w:ascii="Arial" w:hAnsi="Arial"/>
          <w:color w:val="000000"/>
          <w:sz w:val="24"/>
          <w:szCs w:val="24"/>
        </w:rPr>
      </w:pPr>
      <w:r>
        <w:rPr>
          <w:rFonts w:ascii="Arial" w:hAnsi="Arial"/>
          <w:color w:val="000000"/>
          <w:sz w:val="24"/>
          <w:szCs w:val="24"/>
        </w:rPr>
        <w:t>Click “Save” on each screen</w:t>
      </w:r>
    </w:p>
    <w:p w:rsidR="003C67B2" w:rsidRPr="00D15F82" w:rsidRDefault="003C67B2" w:rsidP="00F063AF">
      <w:pPr>
        <w:pStyle w:val="ListParagraph"/>
        <w:numPr>
          <w:ilvl w:val="0"/>
          <w:numId w:val="314"/>
        </w:numPr>
        <w:spacing w:after="0" w:line="240" w:lineRule="auto"/>
        <w:ind w:left="1080"/>
        <w:rPr>
          <w:rFonts w:ascii="Arial" w:hAnsi="Arial"/>
          <w:color w:val="000000"/>
          <w:sz w:val="24"/>
          <w:szCs w:val="24"/>
          <w:highlight w:val="darkGray"/>
        </w:rPr>
      </w:pPr>
      <w:r>
        <w:rPr>
          <w:rFonts w:ascii="Arial" w:hAnsi="Arial"/>
          <w:color w:val="000000"/>
          <w:sz w:val="24"/>
          <w:szCs w:val="24"/>
        </w:rPr>
        <w:t xml:space="preserve">Claimed Conditions tab is for new/reopen or never adjudicated conditions </w:t>
      </w:r>
      <w:r w:rsidRPr="002546E5">
        <w:rPr>
          <w:rFonts w:ascii="Arial" w:hAnsi="Arial"/>
          <w:color w:val="000000"/>
          <w:sz w:val="24"/>
          <w:szCs w:val="24"/>
          <w:highlight w:val="darkGray"/>
        </w:rPr>
        <w:t>(put NONE or N/A if no new conditions)</w:t>
      </w:r>
      <w:r w:rsidR="00D15F82" w:rsidRPr="002546E5">
        <w:rPr>
          <w:rFonts w:ascii="Arial" w:hAnsi="Arial"/>
          <w:color w:val="000000"/>
          <w:sz w:val="20"/>
          <w:szCs w:val="24"/>
          <w:highlight w:val="darkGray"/>
        </w:rPr>
        <w:t xml:space="preserve"> </w:t>
      </w:r>
      <w:r w:rsidR="00D15F82">
        <w:rPr>
          <w:rFonts w:ascii="Arial" w:hAnsi="Arial"/>
          <w:color w:val="000000"/>
          <w:sz w:val="20"/>
          <w:szCs w:val="24"/>
          <w:highlight w:val="green"/>
        </w:rPr>
        <w:t>(changed so that have to “Add New Claimed Condition”)</w:t>
      </w:r>
    </w:p>
    <w:p w:rsidR="003C67B2" w:rsidRDefault="003C67B2" w:rsidP="00F063AF">
      <w:pPr>
        <w:pStyle w:val="ListParagraph"/>
        <w:numPr>
          <w:ilvl w:val="0"/>
          <w:numId w:val="314"/>
        </w:numPr>
        <w:spacing w:after="0" w:line="240" w:lineRule="auto"/>
        <w:ind w:left="1080"/>
        <w:rPr>
          <w:rFonts w:ascii="Arial" w:hAnsi="Arial"/>
          <w:color w:val="000000"/>
          <w:sz w:val="24"/>
          <w:szCs w:val="24"/>
        </w:rPr>
      </w:pPr>
      <w:r>
        <w:rPr>
          <w:rFonts w:ascii="Arial" w:hAnsi="Arial"/>
          <w:color w:val="000000"/>
          <w:sz w:val="24"/>
          <w:szCs w:val="24"/>
        </w:rPr>
        <w:t>Diagnostic Codes tab</w:t>
      </w:r>
      <w:r w:rsidR="00E668C6">
        <w:rPr>
          <w:rFonts w:ascii="Arial" w:hAnsi="Arial"/>
          <w:color w:val="000000"/>
          <w:sz w:val="24"/>
          <w:szCs w:val="24"/>
        </w:rPr>
        <w:t xml:space="preserve"> </w:t>
      </w:r>
      <w:r w:rsidR="00E668C6">
        <w:rPr>
          <w:rFonts w:ascii="Arial" w:hAnsi="Arial"/>
          <w:color w:val="000000"/>
          <w:sz w:val="20"/>
          <w:szCs w:val="24"/>
        </w:rPr>
        <w:t>(only for CFIs, skip if new or reopen</w:t>
      </w:r>
      <w:r w:rsidR="00E668C6" w:rsidRPr="00E668C6">
        <w:rPr>
          <w:rFonts w:ascii="Arial" w:hAnsi="Arial"/>
          <w:color w:val="000000"/>
          <w:sz w:val="20"/>
          <w:szCs w:val="24"/>
        </w:rPr>
        <w:t>)</w:t>
      </w:r>
    </w:p>
    <w:p w:rsidR="003C67B2" w:rsidRDefault="003C67B2" w:rsidP="00F063AF">
      <w:pPr>
        <w:pStyle w:val="ListParagraph"/>
        <w:numPr>
          <w:ilvl w:val="2"/>
          <w:numId w:val="313"/>
        </w:numPr>
        <w:spacing w:after="0" w:line="240" w:lineRule="auto"/>
        <w:ind w:left="1440"/>
        <w:rPr>
          <w:rFonts w:ascii="Arial" w:hAnsi="Arial"/>
          <w:color w:val="000000"/>
          <w:sz w:val="24"/>
          <w:szCs w:val="24"/>
        </w:rPr>
      </w:pPr>
      <w:r>
        <w:rPr>
          <w:rFonts w:ascii="Arial" w:hAnsi="Arial"/>
          <w:color w:val="000000"/>
          <w:sz w:val="24"/>
          <w:szCs w:val="24"/>
        </w:rPr>
        <w:t>Click Add New Diagnostic Code</w:t>
      </w:r>
    </w:p>
    <w:p w:rsidR="003C67B2" w:rsidRDefault="003C67B2" w:rsidP="00F063AF">
      <w:pPr>
        <w:pStyle w:val="ListParagraph"/>
        <w:numPr>
          <w:ilvl w:val="2"/>
          <w:numId w:val="313"/>
        </w:numPr>
        <w:spacing w:after="0" w:line="240" w:lineRule="auto"/>
        <w:ind w:left="1440"/>
        <w:rPr>
          <w:rFonts w:ascii="Arial" w:hAnsi="Arial"/>
          <w:color w:val="000000"/>
          <w:sz w:val="24"/>
          <w:szCs w:val="24"/>
        </w:rPr>
      </w:pPr>
      <w:r>
        <w:rPr>
          <w:rFonts w:ascii="Arial" w:hAnsi="Arial"/>
          <w:color w:val="000000"/>
          <w:sz w:val="24"/>
          <w:szCs w:val="24"/>
        </w:rPr>
        <w:t xml:space="preserve">Add DC and copy the </w:t>
      </w:r>
      <w:r w:rsidRPr="002546E5">
        <w:rPr>
          <w:rFonts w:ascii="Arial" w:hAnsi="Arial"/>
          <w:color w:val="000000"/>
          <w:sz w:val="24"/>
          <w:szCs w:val="24"/>
          <w:highlight w:val="darkGray"/>
        </w:rPr>
        <w:t>rating reason</w:t>
      </w:r>
      <w:r w:rsidR="00D77DE9">
        <w:rPr>
          <w:rFonts w:ascii="Arial" w:hAnsi="Arial"/>
          <w:color w:val="000000"/>
          <w:sz w:val="24"/>
          <w:szCs w:val="24"/>
        </w:rPr>
        <w:t xml:space="preserve"> </w:t>
      </w:r>
      <w:r w:rsidR="00D77DE9" w:rsidRPr="00D15F82">
        <w:rPr>
          <w:rFonts w:ascii="Arial" w:hAnsi="Arial"/>
          <w:color w:val="000000"/>
          <w:sz w:val="20"/>
          <w:szCs w:val="24"/>
          <w:highlight w:val="green"/>
        </w:rPr>
        <w:t>(name from codesheet)</w:t>
      </w:r>
      <w:r>
        <w:rPr>
          <w:rFonts w:ascii="Arial" w:hAnsi="Arial"/>
          <w:color w:val="000000"/>
          <w:sz w:val="24"/>
          <w:szCs w:val="24"/>
        </w:rPr>
        <w:t xml:space="preserve"> from VBMS into the Clarification Information (i.e. DC 5257: Knee, other impairment, Clarification Information: Left knee patella femoral pain syndrome)</w:t>
      </w:r>
    </w:p>
    <w:p w:rsidR="00E64370" w:rsidRPr="00E64370" w:rsidRDefault="003C67B2" w:rsidP="00F063AF">
      <w:pPr>
        <w:pStyle w:val="ListParagraph"/>
        <w:numPr>
          <w:ilvl w:val="0"/>
          <w:numId w:val="314"/>
        </w:numPr>
        <w:spacing w:after="0" w:line="240" w:lineRule="auto"/>
        <w:ind w:left="1080"/>
        <w:rPr>
          <w:rFonts w:ascii="Arial" w:hAnsi="Arial"/>
          <w:color w:val="000000"/>
          <w:sz w:val="20"/>
          <w:szCs w:val="20"/>
        </w:rPr>
      </w:pPr>
      <w:r w:rsidRPr="003F619B">
        <w:rPr>
          <w:rFonts w:ascii="Arial" w:hAnsi="Arial"/>
          <w:color w:val="000000"/>
          <w:sz w:val="24"/>
          <w:szCs w:val="24"/>
        </w:rPr>
        <w:t>Medical Opinions Tab – you may use embedded opinion builder and complete appropriately with type of opinion and evidence</w:t>
      </w:r>
      <w:r w:rsidR="003F619B">
        <w:rPr>
          <w:rFonts w:ascii="Arial" w:hAnsi="Arial"/>
          <w:color w:val="000000"/>
          <w:sz w:val="24"/>
          <w:szCs w:val="24"/>
        </w:rPr>
        <w:t>.</w:t>
      </w:r>
      <w:r w:rsidR="003F619B" w:rsidRPr="003F619B">
        <w:rPr>
          <w:rFonts w:ascii="Arial" w:hAnsi="Arial"/>
          <w:color w:val="000000"/>
          <w:sz w:val="24"/>
          <w:szCs w:val="24"/>
        </w:rPr>
        <w:t xml:space="preserve"> </w:t>
      </w:r>
    </w:p>
    <w:p w:rsidR="003F619B" w:rsidRPr="00D15F82" w:rsidRDefault="00D571C5" w:rsidP="00F063AF">
      <w:pPr>
        <w:pStyle w:val="ListParagraph"/>
        <w:numPr>
          <w:ilvl w:val="0"/>
          <w:numId w:val="317"/>
        </w:numPr>
        <w:tabs>
          <w:tab w:val="left" w:pos="1440"/>
        </w:tabs>
        <w:spacing w:after="120" w:line="240" w:lineRule="auto"/>
        <w:ind w:left="1454" w:hanging="187"/>
        <w:rPr>
          <w:rFonts w:ascii="Arial" w:hAnsi="Arial"/>
          <w:color w:val="000000"/>
          <w:sz w:val="20"/>
        </w:rPr>
      </w:pPr>
      <w:hyperlink r:id="rId794" w:history="1">
        <w:r w:rsidR="003F619B" w:rsidRPr="00D15F82">
          <w:rPr>
            <w:rStyle w:val="Hyperlink"/>
            <w:rFonts w:ascii="Arial" w:hAnsi="Arial"/>
            <w:b/>
            <w:bCs/>
            <w:i/>
            <w:sz w:val="20"/>
          </w:rPr>
          <w:t>August 2016 Quality Call Notes</w:t>
        </w:r>
      </w:hyperlink>
      <w:r w:rsidR="003F619B" w:rsidRPr="00D15F82">
        <w:rPr>
          <w:rFonts w:ascii="Arial" w:hAnsi="Arial"/>
          <w:i/>
          <w:sz w:val="20"/>
        </w:rPr>
        <w:t xml:space="preserve"> </w:t>
      </w:r>
      <w:r w:rsidR="003F619B" w:rsidRPr="00D15F82">
        <w:rPr>
          <w:rFonts w:ascii="Arial" w:eastAsiaTheme="minorHAnsi" w:hAnsi="Arial"/>
          <w:sz w:val="20"/>
        </w:rPr>
        <w:t>–</w:t>
      </w:r>
      <w:r w:rsidR="003F619B" w:rsidRPr="00D15F82">
        <w:rPr>
          <w:rFonts w:ascii="Arial" w:hAnsi="Arial"/>
          <w:sz w:val="20"/>
        </w:rPr>
        <w:t xml:space="preserve"> The requirement to use the ERB tool for CAATS examination requests has been rescinded; however, all are encouraged to use the ERB tool.  In CAATS, the ERB tool is only required to be used to generate the three opinion templates that are not already in CAATS (MST; Combat; and, SC death) – </w:t>
      </w:r>
      <w:hyperlink r:id="rId795" w:history="1">
        <w:r w:rsidR="003F619B" w:rsidRPr="00D15F82">
          <w:rPr>
            <w:rStyle w:val="Hyperlink"/>
            <w:rFonts w:ascii="Arial" w:hAnsi="Arial"/>
            <w:sz w:val="20"/>
          </w:rPr>
          <w:t>M21-1, III.iv.3.A.7.b</w:t>
        </w:r>
      </w:hyperlink>
      <w:r w:rsidR="003F619B" w:rsidRPr="00D15F82">
        <w:rPr>
          <w:rFonts w:ascii="Arial" w:hAnsi="Arial"/>
          <w:sz w:val="20"/>
        </w:rPr>
        <w:t>.</w:t>
      </w:r>
    </w:p>
    <w:p w:rsidR="003C67B2" w:rsidRDefault="003C67B2" w:rsidP="00F063AF">
      <w:pPr>
        <w:pStyle w:val="ListParagraph"/>
        <w:numPr>
          <w:ilvl w:val="0"/>
          <w:numId w:val="314"/>
        </w:numPr>
        <w:spacing w:after="0" w:line="240" w:lineRule="auto"/>
        <w:ind w:left="1080"/>
        <w:rPr>
          <w:rFonts w:ascii="Arial" w:hAnsi="Arial"/>
          <w:color w:val="000000"/>
          <w:sz w:val="24"/>
          <w:szCs w:val="24"/>
        </w:rPr>
      </w:pPr>
      <w:r>
        <w:rPr>
          <w:rFonts w:ascii="Arial" w:hAnsi="Arial"/>
          <w:color w:val="000000"/>
          <w:sz w:val="24"/>
          <w:szCs w:val="24"/>
        </w:rPr>
        <w:t>Worksheets tab – Add all DBQs needed</w:t>
      </w:r>
      <w:r w:rsidR="00E668C6">
        <w:rPr>
          <w:rFonts w:ascii="Arial" w:hAnsi="Arial"/>
          <w:color w:val="000000"/>
          <w:sz w:val="24"/>
          <w:szCs w:val="24"/>
        </w:rPr>
        <w:t xml:space="preserve"> </w:t>
      </w:r>
      <w:r w:rsidR="00E668C6">
        <w:rPr>
          <w:rFonts w:ascii="Arial" w:hAnsi="Arial"/>
          <w:color w:val="000000"/>
          <w:sz w:val="20"/>
          <w:szCs w:val="24"/>
        </w:rPr>
        <w:t>(Specialist – TBI, eyes, ears, dental, mental</w:t>
      </w:r>
      <w:r w:rsidR="00D15F82" w:rsidRPr="00D15F82">
        <w:rPr>
          <w:rFonts w:ascii="Arial" w:hAnsi="Arial"/>
          <w:color w:val="000000"/>
          <w:sz w:val="20"/>
          <w:szCs w:val="24"/>
          <w:highlight w:val="green"/>
        </w:rPr>
        <w:t>; or it may change answer to “Yes</w:t>
      </w:r>
      <w:r w:rsidR="00D15F82">
        <w:rPr>
          <w:rFonts w:ascii="Arial" w:hAnsi="Arial"/>
          <w:color w:val="000000"/>
          <w:sz w:val="20"/>
          <w:szCs w:val="24"/>
          <w:highlight w:val="green"/>
        </w:rPr>
        <w:t>” automatically</w:t>
      </w:r>
      <w:r w:rsidR="00E668C6" w:rsidRPr="00D15F82">
        <w:rPr>
          <w:rFonts w:ascii="Arial" w:hAnsi="Arial"/>
          <w:color w:val="000000"/>
          <w:sz w:val="20"/>
          <w:szCs w:val="24"/>
          <w:highlight w:val="green"/>
        </w:rPr>
        <w:t>)</w:t>
      </w:r>
    </w:p>
    <w:p w:rsidR="003C67B2" w:rsidRDefault="00D15F82" w:rsidP="00F063AF">
      <w:pPr>
        <w:pStyle w:val="ListParagraph"/>
        <w:numPr>
          <w:ilvl w:val="0"/>
          <w:numId w:val="314"/>
        </w:numPr>
        <w:spacing w:after="0" w:line="240" w:lineRule="auto"/>
        <w:ind w:left="1080"/>
        <w:rPr>
          <w:rFonts w:ascii="Arial" w:hAnsi="Arial"/>
          <w:color w:val="000000"/>
          <w:sz w:val="24"/>
          <w:szCs w:val="24"/>
        </w:rPr>
      </w:pPr>
      <w:r>
        <w:rPr>
          <w:rFonts w:ascii="Arial" w:hAnsi="Arial"/>
          <w:color w:val="000000"/>
          <w:sz w:val="24"/>
          <w:szCs w:val="24"/>
        </w:rPr>
        <w:t xml:space="preserve">Action box – change to </w:t>
      </w:r>
      <w:r w:rsidR="003C67B2">
        <w:rPr>
          <w:rFonts w:ascii="Arial" w:hAnsi="Arial"/>
          <w:color w:val="000000"/>
          <w:sz w:val="24"/>
          <w:szCs w:val="24"/>
        </w:rPr>
        <w:t xml:space="preserve">“Submit” and then </w:t>
      </w:r>
      <w:r>
        <w:rPr>
          <w:rFonts w:ascii="Arial" w:hAnsi="Arial"/>
          <w:color w:val="000000"/>
          <w:sz w:val="24"/>
          <w:szCs w:val="24"/>
        </w:rPr>
        <w:t>click “Go”</w:t>
      </w:r>
    </w:p>
    <w:p w:rsidR="003C67B2" w:rsidRDefault="00126CAB" w:rsidP="00F063AF">
      <w:pPr>
        <w:pStyle w:val="ListParagraph"/>
        <w:numPr>
          <w:ilvl w:val="0"/>
          <w:numId w:val="314"/>
        </w:numPr>
        <w:spacing w:after="0" w:line="240" w:lineRule="auto"/>
        <w:ind w:left="1080"/>
        <w:rPr>
          <w:rFonts w:ascii="Arial" w:hAnsi="Arial"/>
          <w:sz w:val="24"/>
          <w:szCs w:val="24"/>
        </w:rPr>
      </w:pPr>
      <w:r>
        <w:rPr>
          <w:rFonts w:ascii="Arial" w:hAnsi="Arial"/>
          <w:color w:val="000000"/>
          <w:sz w:val="20"/>
          <w:szCs w:val="24"/>
          <w:highlight w:val="green"/>
        </w:rPr>
        <w:t>If not already showing, s</w:t>
      </w:r>
      <w:r w:rsidR="00D15F82" w:rsidRPr="009F5CDC">
        <w:rPr>
          <w:rFonts w:ascii="Arial" w:hAnsi="Arial"/>
          <w:color w:val="000000"/>
          <w:sz w:val="20"/>
          <w:szCs w:val="24"/>
          <w:highlight w:val="green"/>
        </w:rPr>
        <w:t xml:space="preserve">elect the station you used, </w:t>
      </w:r>
      <w:r w:rsidR="0085239C">
        <w:rPr>
          <w:rFonts w:ascii="Arial" w:hAnsi="Arial"/>
          <w:color w:val="000000"/>
          <w:sz w:val="20"/>
          <w:szCs w:val="24"/>
          <w:highlight w:val="green"/>
        </w:rPr>
        <w:t>click “Submit</w:t>
      </w:r>
      <w:r w:rsidR="001946CC">
        <w:rPr>
          <w:rFonts w:ascii="Arial" w:hAnsi="Arial"/>
          <w:color w:val="000000"/>
          <w:sz w:val="20"/>
          <w:szCs w:val="24"/>
          <w:highlight w:val="green"/>
        </w:rPr>
        <w:t>,”</w:t>
      </w:r>
      <w:r w:rsidR="0085239C">
        <w:rPr>
          <w:rFonts w:ascii="Arial" w:hAnsi="Arial"/>
          <w:color w:val="000000"/>
          <w:sz w:val="20"/>
          <w:szCs w:val="24"/>
          <w:highlight w:val="green"/>
        </w:rPr>
        <w:t xml:space="preserve"> </w:t>
      </w:r>
      <w:r w:rsidR="00D15F82" w:rsidRPr="009F5CDC">
        <w:rPr>
          <w:rFonts w:ascii="Arial" w:hAnsi="Arial"/>
          <w:color w:val="000000"/>
          <w:sz w:val="20"/>
          <w:szCs w:val="24"/>
          <w:highlight w:val="green"/>
        </w:rPr>
        <w:t>find veteran, “View</w:t>
      </w:r>
      <w:r w:rsidR="00D15F82" w:rsidRPr="009F5CDC">
        <w:rPr>
          <w:rFonts w:ascii="Arial" w:hAnsi="Arial"/>
          <w:color w:val="000000"/>
          <w:sz w:val="24"/>
          <w:szCs w:val="24"/>
          <w:highlight w:val="green"/>
        </w:rPr>
        <w:t>”</w:t>
      </w:r>
      <w:r w:rsidR="003C67B2">
        <w:rPr>
          <w:rFonts w:ascii="Arial" w:hAnsi="Arial"/>
          <w:color w:val="000000"/>
          <w:sz w:val="24"/>
          <w:szCs w:val="24"/>
        </w:rPr>
        <w:t xml:space="preserve"> the request you just submitted and click</w:t>
      </w:r>
      <w:r w:rsidR="003C67B2">
        <w:rPr>
          <w:rFonts w:ascii="Arial" w:hAnsi="Arial"/>
          <w:sz w:val="24"/>
          <w:szCs w:val="24"/>
        </w:rPr>
        <w:t xml:space="preserve"> “Generate Report” to </w:t>
      </w:r>
      <w:r w:rsidR="003C67B2">
        <w:rPr>
          <w:rFonts w:ascii="Arial" w:hAnsi="Arial"/>
          <w:color w:val="000000"/>
          <w:sz w:val="24"/>
          <w:szCs w:val="24"/>
        </w:rPr>
        <w:t>save the 2507</w:t>
      </w:r>
    </w:p>
    <w:p w:rsidR="003C67B2" w:rsidRPr="0086060E" w:rsidRDefault="003C67B2" w:rsidP="00F063AF">
      <w:pPr>
        <w:pStyle w:val="ListParagraph"/>
        <w:numPr>
          <w:ilvl w:val="0"/>
          <w:numId w:val="314"/>
        </w:numPr>
        <w:spacing w:after="0" w:line="240" w:lineRule="auto"/>
        <w:ind w:left="1080"/>
        <w:rPr>
          <w:rFonts w:ascii="Arial" w:hAnsi="Arial"/>
          <w:color w:val="000000"/>
          <w:sz w:val="24"/>
          <w:szCs w:val="24"/>
        </w:rPr>
      </w:pPr>
      <w:r>
        <w:rPr>
          <w:rFonts w:ascii="Arial" w:hAnsi="Arial"/>
          <w:color w:val="000000"/>
          <w:sz w:val="24"/>
          <w:szCs w:val="24"/>
        </w:rPr>
        <w:t xml:space="preserve">Upload the Approved request as a 2507 </w:t>
      </w:r>
      <w:r w:rsidRPr="002546E5">
        <w:rPr>
          <w:rFonts w:ascii="Arial" w:hAnsi="Arial"/>
          <w:color w:val="000000"/>
          <w:sz w:val="24"/>
          <w:szCs w:val="24"/>
          <w:highlight w:val="darkGray"/>
        </w:rPr>
        <w:t>and 6789</w:t>
      </w:r>
      <w:r w:rsidR="00D77DE9">
        <w:rPr>
          <w:rFonts w:ascii="Arial" w:hAnsi="Arial"/>
          <w:color w:val="000000"/>
          <w:sz w:val="24"/>
          <w:szCs w:val="24"/>
        </w:rPr>
        <w:t xml:space="preserve"> to VBMS </w:t>
      </w:r>
      <w:r w:rsidR="00D77DE9">
        <w:rPr>
          <w:rFonts w:ascii="Arial" w:hAnsi="Arial"/>
          <w:color w:val="000000"/>
          <w:sz w:val="20"/>
          <w:szCs w:val="24"/>
          <w:highlight w:val="red"/>
        </w:rPr>
        <w:t>(Source - VERIS</w:t>
      </w:r>
      <w:r w:rsidR="00D77DE9" w:rsidRPr="00E668C6">
        <w:rPr>
          <w:rFonts w:ascii="Arial" w:hAnsi="Arial"/>
          <w:color w:val="000000"/>
          <w:sz w:val="20"/>
          <w:szCs w:val="24"/>
          <w:highlight w:val="red"/>
        </w:rPr>
        <w:t>?)</w:t>
      </w:r>
    </w:p>
    <w:p w:rsidR="0086060E" w:rsidRDefault="0086060E" w:rsidP="00F063AF">
      <w:pPr>
        <w:pStyle w:val="ListParagraph"/>
        <w:numPr>
          <w:ilvl w:val="0"/>
          <w:numId w:val="314"/>
        </w:numPr>
        <w:spacing w:after="0" w:line="240" w:lineRule="auto"/>
        <w:ind w:left="1080"/>
        <w:rPr>
          <w:rFonts w:ascii="Arial" w:hAnsi="Arial"/>
          <w:color w:val="000000"/>
          <w:sz w:val="24"/>
          <w:szCs w:val="24"/>
        </w:rPr>
      </w:pPr>
      <w:r>
        <w:rPr>
          <w:rFonts w:ascii="Arial" w:hAnsi="Arial"/>
          <w:color w:val="000000"/>
          <w:sz w:val="24"/>
          <w:szCs w:val="24"/>
        </w:rPr>
        <w:t>If have to submit as insufficient, View – Worksheets – Edit specific worksheet – select Inadequate or Insufficient – select Reasons – enter Physician Instructions – Save (can only Save once for each Worksheet; status will change to QA review &amp; you are done, but may need to go out &amp; back to View to “Generate Report”</w:t>
      </w:r>
      <w:r w:rsidR="005F481A">
        <w:rPr>
          <w:rFonts w:ascii="Arial" w:hAnsi="Arial"/>
          <w:color w:val="000000"/>
          <w:sz w:val="24"/>
          <w:szCs w:val="24"/>
        </w:rPr>
        <w:t xml:space="preserve"> &amp; save as PDF</w:t>
      </w:r>
      <w:r>
        <w:rPr>
          <w:rFonts w:ascii="Arial" w:hAnsi="Arial"/>
          <w:color w:val="000000"/>
          <w:sz w:val="24"/>
          <w:szCs w:val="24"/>
        </w:rPr>
        <w:t>)</w:t>
      </w:r>
    </w:p>
    <w:p w:rsidR="007F792C" w:rsidRDefault="007F792C" w:rsidP="007F792C">
      <w:pPr>
        <w:pStyle w:val="ListParagraph"/>
        <w:spacing w:after="0" w:line="240" w:lineRule="auto"/>
        <w:rPr>
          <w:rFonts w:ascii="Arial" w:hAnsi="Arial"/>
          <w:color w:val="000000"/>
          <w:sz w:val="24"/>
          <w:szCs w:val="24"/>
        </w:rPr>
      </w:pPr>
    </w:p>
    <w:p w:rsidR="007F792C" w:rsidRPr="002546E5" w:rsidRDefault="000B600A" w:rsidP="00F063AF">
      <w:pPr>
        <w:pStyle w:val="ListParagraph"/>
        <w:numPr>
          <w:ilvl w:val="0"/>
          <w:numId w:val="282"/>
        </w:numPr>
        <w:spacing w:after="0" w:line="240" w:lineRule="auto"/>
        <w:ind w:left="360"/>
        <w:rPr>
          <w:rFonts w:ascii="Arial" w:hAnsi="Arial"/>
          <w:color w:val="000000"/>
          <w:sz w:val="24"/>
          <w:szCs w:val="24"/>
          <w:highlight w:val="darkGray"/>
        </w:rPr>
      </w:pPr>
      <w:r>
        <w:rPr>
          <w:rFonts w:ascii="Arial" w:hAnsi="Arial"/>
          <w:color w:val="000000"/>
          <w:sz w:val="24"/>
          <w:szCs w:val="24"/>
        </w:rPr>
        <w:t xml:space="preserve">If partial grant, finalize rating </w:t>
      </w:r>
      <w:r w:rsidR="007F792C">
        <w:rPr>
          <w:rFonts w:ascii="Arial" w:hAnsi="Arial"/>
          <w:color w:val="000000"/>
          <w:sz w:val="24"/>
          <w:szCs w:val="24"/>
        </w:rPr>
        <w:t>(ensure claim is in RDC status)</w:t>
      </w:r>
      <w:r>
        <w:rPr>
          <w:rFonts w:ascii="Arial" w:hAnsi="Arial"/>
          <w:color w:val="000000"/>
          <w:sz w:val="24"/>
          <w:szCs w:val="24"/>
        </w:rPr>
        <w:t xml:space="preserve"> </w:t>
      </w:r>
      <w:r w:rsidRPr="002546E5">
        <w:rPr>
          <w:rFonts w:ascii="Arial" w:hAnsi="Arial"/>
          <w:color w:val="000000"/>
          <w:sz w:val="24"/>
          <w:szCs w:val="24"/>
          <w:highlight w:val="darkGray"/>
        </w:rPr>
        <w:t>&amp; enter case in ASPEN for credit fo only issues rated/decided (not deferred issues).</w:t>
      </w:r>
    </w:p>
    <w:p w:rsidR="007F792C" w:rsidRPr="002546E5" w:rsidRDefault="007F792C" w:rsidP="00791E95">
      <w:pPr>
        <w:pStyle w:val="ListParagraph"/>
        <w:spacing w:after="0" w:line="240" w:lineRule="auto"/>
        <w:ind w:left="360"/>
        <w:rPr>
          <w:rFonts w:ascii="Arial" w:hAnsi="Arial"/>
          <w:color w:val="000000"/>
          <w:sz w:val="24"/>
          <w:szCs w:val="24"/>
          <w:highlight w:val="darkGray"/>
        </w:rPr>
      </w:pPr>
    </w:p>
    <w:p w:rsidR="007F792C" w:rsidRPr="002546E5" w:rsidRDefault="007F792C" w:rsidP="00F063AF">
      <w:pPr>
        <w:pStyle w:val="ListParagraph"/>
        <w:numPr>
          <w:ilvl w:val="0"/>
          <w:numId w:val="282"/>
        </w:numPr>
        <w:spacing w:after="0" w:line="240" w:lineRule="auto"/>
        <w:ind w:left="360"/>
        <w:rPr>
          <w:rFonts w:ascii="Arial" w:hAnsi="Arial"/>
          <w:color w:val="000000"/>
          <w:sz w:val="24"/>
          <w:szCs w:val="24"/>
          <w:highlight w:val="darkGray"/>
        </w:rPr>
      </w:pPr>
      <w:r w:rsidRPr="002546E5">
        <w:rPr>
          <w:rFonts w:ascii="Arial" w:hAnsi="Arial"/>
          <w:color w:val="000000"/>
          <w:sz w:val="24"/>
          <w:szCs w:val="24"/>
          <w:highlight w:val="darkGray"/>
        </w:rPr>
        <w:t>If full deferral, enter case in ASPEN</w:t>
      </w:r>
      <w:r w:rsidR="000B600A" w:rsidRPr="002546E5">
        <w:rPr>
          <w:rFonts w:ascii="Arial" w:hAnsi="Arial"/>
          <w:color w:val="000000"/>
          <w:sz w:val="24"/>
          <w:szCs w:val="24"/>
          <w:highlight w:val="darkGray"/>
        </w:rPr>
        <w:t xml:space="preserve"> </w:t>
      </w:r>
      <w:r w:rsidR="00E64370" w:rsidRPr="002546E5">
        <w:rPr>
          <w:rFonts w:ascii="Arial" w:hAnsi="Arial"/>
          <w:color w:val="000000"/>
          <w:sz w:val="24"/>
          <w:szCs w:val="24"/>
          <w:highlight w:val="darkGray"/>
        </w:rPr>
        <w:t>for no credit</w:t>
      </w:r>
      <w:r w:rsidRPr="002546E5">
        <w:rPr>
          <w:rFonts w:ascii="Arial" w:hAnsi="Arial"/>
          <w:color w:val="000000"/>
          <w:sz w:val="24"/>
          <w:szCs w:val="24"/>
          <w:highlight w:val="darkGray"/>
        </w:rPr>
        <w:t>.</w:t>
      </w:r>
    </w:p>
    <w:p w:rsidR="007F792C" w:rsidRPr="002546E5" w:rsidRDefault="007F792C" w:rsidP="00791E95">
      <w:pPr>
        <w:ind w:left="360"/>
        <w:rPr>
          <w:color w:val="000000"/>
          <w:sz w:val="24"/>
          <w:szCs w:val="24"/>
          <w:highlight w:val="darkGray"/>
        </w:rPr>
      </w:pPr>
    </w:p>
    <w:p w:rsidR="00D61C69" w:rsidRPr="002546E5" w:rsidRDefault="007F792C" w:rsidP="00F063AF">
      <w:pPr>
        <w:pStyle w:val="ListParagraph"/>
        <w:numPr>
          <w:ilvl w:val="0"/>
          <w:numId w:val="282"/>
        </w:numPr>
        <w:ind w:left="360"/>
        <w:rPr>
          <w:rFonts w:ascii="Arial" w:hAnsi="Arial"/>
          <w:color w:val="000000"/>
          <w:sz w:val="24"/>
          <w:szCs w:val="24"/>
          <w:highlight w:val="darkGray"/>
        </w:rPr>
      </w:pPr>
      <w:r w:rsidRPr="002546E5">
        <w:rPr>
          <w:rFonts w:ascii="Arial" w:hAnsi="Arial"/>
          <w:color w:val="000000"/>
          <w:sz w:val="24"/>
          <w:szCs w:val="24"/>
          <w:highlight w:val="darkGray"/>
        </w:rPr>
        <w:t>Add “1000 – All DRO Actions” then “1103 - Management Referral” for 0.5 ASPEN credit for exam request</w:t>
      </w:r>
    </w:p>
    <w:p w:rsidR="00D61C69" w:rsidRPr="00497D89" w:rsidRDefault="00D61C69" w:rsidP="00F063AF">
      <w:pPr>
        <w:pStyle w:val="ListParagraph"/>
        <w:numPr>
          <w:ilvl w:val="0"/>
          <w:numId w:val="282"/>
        </w:numPr>
        <w:ind w:left="360"/>
        <w:rPr>
          <w:rFonts w:ascii="Arial" w:hAnsi="Arial"/>
          <w:color w:val="000000"/>
          <w:sz w:val="24"/>
          <w:szCs w:val="24"/>
          <w:highlight w:val="darkGray"/>
        </w:rPr>
      </w:pPr>
      <w:r w:rsidRPr="00497D89">
        <w:rPr>
          <w:rFonts w:ascii="Arial" w:hAnsi="Arial"/>
          <w:color w:val="000000"/>
          <w:sz w:val="24"/>
          <w:szCs w:val="24"/>
          <w:highlight w:val="darkGray"/>
        </w:rPr>
        <w:t>Send letter per III.iv.3.A.1.g:</w:t>
      </w:r>
    </w:p>
    <w:tbl>
      <w:tblPr>
        <w:tblStyle w:val="TableGrid"/>
        <w:tblW w:w="7650" w:type="dxa"/>
        <w:tblInd w:w="1818" w:type="dxa"/>
        <w:tblLook w:val="04A0" w:firstRow="1" w:lastRow="0" w:firstColumn="1" w:lastColumn="0" w:noHBand="0" w:noVBand="1"/>
      </w:tblPr>
      <w:tblGrid>
        <w:gridCol w:w="990"/>
        <w:gridCol w:w="6660"/>
      </w:tblGrid>
      <w:tr w:rsidR="00D61C69" w:rsidRPr="00497D89" w:rsidTr="00FF2BA8">
        <w:tc>
          <w:tcPr>
            <w:tcW w:w="990" w:type="dxa"/>
          </w:tcPr>
          <w:p w:rsidR="00D61C69" w:rsidRPr="00497D89" w:rsidRDefault="00D61C69" w:rsidP="00FF2BA8">
            <w:pPr>
              <w:jc w:val="center"/>
              <w:rPr>
                <w:b/>
                <w:highlight w:val="darkGray"/>
                <w:lang w:val="fr-CA"/>
              </w:rPr>
            </w:pPr>
            <w:r w:rsidRPr="00497D89">
              <w:rPr>
                <w:b/>
                <w:highlight w:val="darkGray"/>
                <w:lang w:val="fr-CA"/>
              </w:rPr>
              <w:t>Step</w:t>
            </w:r>
          </w:p>
        </w:tc>
        <w:tc>
          <w:tcPr>
            <w:tcW w:w="6660" w:type="dxa"/>
          </w:tcPr>
          <w:p w:rsidR="00D61C69" w:rsidRPr="00497D89" w:rsidRDefault="00D61C69" w:rsidP="00FF2BA8">
            <w:pPr>
              <w:jc w:val="center"/>
              <w:rPr>
                <w:b/>
                <w:highlight w:val="darkGray"/>
                <w:lang w:val="fr-CA"/>
              </w:rPr>
            </w:pPr>
            <w:r w:rsidRPr="00497D89">
              <w:rPr>
                <w:b/>
                <w:highlight w:val="darkGray"/>
                <w:lang w:val="fr-CA"/>
              </w:rPr>
              <w:t>Action</w:t>
            </w:r>
          </w:p>
        </w:tc>
      </w:tr>
      <w:tr w:rsidR="00D61C69" w:rsidRPr="00497D89" w:rsidTr="00FF2BA8">
        <w:tc>
          <w:tcPr>
            <w:tcW w:w="990" w:type="dxa"/>
          </w:tcPr>
          <w:p w:rsidR="00D61C69" w:rsidRPr="00497D89" w:rsidRDefault="00D61C69" w:rsidP="00FF2BA8">
            <w:pPr>
              <w:jc w:val="center"/>
              <w:rPr>
                <w:highlight w:val="darkGray"/>
                <w:lang w:val="fr-CA"/>
              </w:rPr>
            </w:pPr>
            <w:r w:rsidRPr="00497D89">
              <w:rPr>
                <w:highlight w:val="darkGray"/>
              </w:rPr>
              <w:t>1</w:t>
            </w:r>
          </w:p>
        </w:tc>
        <w:tc>
          <w:tcPr>
            <w:tcW w:w="6660" w:type="dxa"/>
          </w:tcPr>
          <w:p w:rsidR="00D61C69" w:rsidRPr="00497D89" w:rsidRDefault="00D61C69" w:rsidP="00FF2BA8">
            <w:pPr>
              <w:rPr>
                <w:highlight w:val="darkGray"/>
              </w:rPr>
            </w:pPr>
            <w:r w:rsidRPr="00497D89">
              <w:rPr>
                <w:highlight w:val="darkGray"/>
              </w:rPr>
              <w:t>Is the creation of a development letter to the Veteran already underway in VBMS?</w:t>
            </w:r>
          </w:p>
          <w:p w:rsidR="00D61C69" w:rsidRPr="00497D89" w:rsidRDefault="00D61C69" w:rsidP="00F063AF">
            <w:pPr>
              <w:pStyle w:val="ListParagraph"/>
              <w:numPr>
                <w:ilvl w:val="0"/>
                <w:numId w:val="330"/>
              </w:numPr>
              <w:spacing w:after="0" w:line="240" w:lineRule="auto"/>
              <w:ind w:left="158" w:hanging="187"/>
              <w:contextualSpacing/>
              <w:rPr>
                <w:rFonts w:ascii="Arial" w:hAnsi="Arial"/>
                <w:sz w:val="20"/>
                <w:highlight w:val="darkGray"/>
              </w:rPr>
            </w:pPr>
            <w:r w:rsidRPr="00497D89">
              <w:rPr>
                <w:rFonts w:ascii="Arial" w:hAnsi="Arial"/>
                <w:sz w:val="20"/>
                <w:highlight w:val="darkGray"/>
              </w:rPr>
              <w:t xml:space="preserve">If </w:t>
            </w:r>
            <w:r w:rsidRPr="00497D89">
              <w:rPr>
                <w:rFonts w:ascii="Arial" w:hAnsi="Arial"/>
                <w:i/>
                <w:sz w:val="20"/>
                <w:highlight w:val="darkGray"/>
              </w:rPr>
              <w:t>yes</w:t>
            </w:r>
            <w:r w:rsidRPr="00497D89">
              <w:rPr>
                <w:rFonts w:ascii="Arial" w:hAnsi="Arial"/>
                <w:sz w:val="20"/>
                <w:highlight w:val="darkGray"/>
              </w:rPr>
              <w:t>, proceed to Step 7.</w:t>
            </w:r>
          </w:p>
          <w:p w:rsidR="00D61C69" w:rsidRPr="00497D89" w:rsidRDefault="00D61C69" w:rsidP="00F063AF">
            <w:pPr>
              <w:pStyle w:val="ListParagraph"/>
              <w:numPr>
                <w:ilvl w:val="0"/>
                <w:numId w:val="331"/>
              </w:numPr>
              <w:spacing w:after="0" w:line="240" w:lineRule="auto"/>
              <w:ind w:left="158" w:hanging="187"/>
              <w:rPr>
                <w:highlight w:val="darkGray"/>
                <w:lang w:val="fr-CA"/>
              </w:rPr>
            </w:pPr>
            <w:r w:rsidRPr="00497D89">
              <w:rPr>
                <w:rFonts w:ascii="Arial" w:hAnsi="Arial"/>
                <w:sz w:val="20"/>
                <w:highlight w:val="darkGray"/>
              </w:rPr>
              <w:t xml:space="preserve">If </w:t>
            </w:r>
            <w:r w:rsidRPr="00497D89">
              <w:rPr>
                <w:rFonts w:ascii="Arial" w:hAnsi="Arial"/>
                <w:i/>
                <w:sz w:val="20"/>
                <w:highlight w:val="darkGray"/>
              </w:rPr>
              <w:t xml:space="preserve">no, </w:t>
            </w:r>
            <w:r w:rsidRPr="00497D89">
              <w:rPr>
                <w:rFonts w:ascii="Arial" w:hAnsi="Arial"/>
                <w:sz w:val="20"/>
                <w:highlight w:val="darkGray"/>
              </w:rPr>
              <w:t>proceed to the next step.</w:t>
            </w:r>
          </w:p>
        </w:tc>
      </w:tr>
      <w:tr w:rsidR="00D61C69" w:rsidRPr="00497D89" w:rsidTr="00FF2BA8">
        <w:tc>
          <w:tcPr>
            <w:tcW w:w="990" w:type="dxa"/>
          </w:tcPr>
          <w:p w:rsidR="00D61C69" w:rsidRPr="00497D89" w:rsidRDefault="00D61C69" w:rsidP="00FF2BA8">
            <w:pPr>
              <w:jc w:val="center"/>
              <w:rPr>
                <w:highlight w:val="darkGray"/>
                <w:lang w:val="fr-CA"/>
              </w:rPr>
            </w:pPr>
            <w:r w:rsidRPr="00497D89">
              <w:rPr>
                <w:highlight w:val="darkGray"/>
              </w:rPr>
              <w:t>2</w:t>
            </w:r>
          </w:p>
        </w:tc>
        <w:tc>
          <w:tcPr>
            <w:tcW w:w="6660" w:type="dxa"/>
          </w:tcPr>
          <w:p w:rsidR="00D61C69" w:rsidRPr="00497D89" w:rsidRDefault="00D61C69" w:rsidP="00FF2BA8">
            <w:pPr>
              <w:rPr>
                <w:highlight w:val="darkGray"/>
                <w:lang w:val="fr-CA"/>
              </w:rPr>
            </w:pPr>
            <w:r w:rsidRPr="00497D89">
              <w:rPr>
                <w:highlight w:val="darkGray"/>
              </w:rPr>
              <w:t>Select the LETTERS tab in VBMS.</w:t>
            </w:r>
          </w:p>
        </w:tc>
      </w:tr>
      <w:tr w:rsidR="00D61C69" w:rsidRPr="00497D89" w:rsidTr="00FF2BA8">
        <w:tc>
          <w:tcPr>
            <w:tcW w:w="990" w:type="dxa"/>
          </w:tcPr>
          <w:p w:rsidR="00D61C69" w:rsidRPr="00497D89" w:rsidRDefault="00D61C69" w:rsidP="00FF2BA8">
            <w:pPr>
              <w:jc w:val="center"/>
              <w:rPr>
                <w:highlight w:val="darkGray"/>
                <w:lang w:val="fr-CA"/>
              </w:rPr>
            </w:pPr>
            <w:r w:rsidRPr="00497D89">
              <w:rPr>
                <w:highlight w:val="darkGray"/>
              </w:rPr>
              <w:t>3</w:t>
            </w:r>
          </w:p>
        </w:tc>
        <w:tc>
          <w:tcPr>
            <w:tcW w:w="6660" w:type="dxa"/>
          </w:tcPr>
          <w:p w:rsidR="00D61C69" w:rsidRPr="00497D89" w:rsidRDefault="00D61C69" w:rsidP="00FF2BA8">
            <w:pPr>
              <w:rPr>
                <w:highlight w:val="darkGray"/>
                <w:lang w:val="fr-CA"/>
              </w:rPr>
            </w:pPr>
            <w:r w:rsidRPr="00497D89">
              <w:rPr>
                <w:highlight w:val="darkGray"/>
              </w:rPr>
              <w:t>Click the ADD NEW LETTER button.</w:t>
            </w:r>
          </w:p>
        </w:tc>
      </w:tr>
      <w:tr w:rsidR="00D61C69" w:rsidRPr="00497D89" w:rsidTr="00FF2BA8">
        <w:tc>
          <w:tcPr>
            <w:tcW w:w="990" w:type="dxa"/>
          </w:tcPr>
          <w:p w:rsidR="00D61C69" w:rsidRPr="00497D89" w:rsidRDefault="00D61C69" w:rsidP="00FF2BA8">
            <w:pPr>
              <w:jc w:val="center"/>
              <w:rPr>
                <w:highlight w:val="darkGray"/>
              </w:rPr>
            </w:pPr>
            <w:r w:rsidRPr="00497D89">
              <w:rPr>
                <w:highlight w:val="darkGray"/>
              </w:rPr>
              <w:t>4</w:t>
            </w:r>
          </w:p>
        </w:tc>
        <w:tc>
          <w:tcPr>
            <w:tcW w:w="6660" w:type="dxa"/>
          </w:tcPr>
          <w:p w:rsidR="00D61C69" w:rsidRPr="00497D89" w:rsidRDefault="00D61C69" w:rsidP="00FF2BA8">
            <w:pPr>
              <w:rPr>
                <w:highlight w:val="darkGray"/>
              </w:rPr>
            </w:pPr>
            <w:r w:rsidRPr="00497D89">
              <w:rPr>
                <w:highlight w:val="darkGray"/>
              </w:rPr>
              <w:t xml:space="preserve">Select </w:t>
            </w:r>
            <w:r w:rsidRPr="00497D89">
              <w:rPr>
                <w:i/>
                <w:highlight w:val="darkGray"/>
              </w:rPr>
              <w:t>Subsequent Development Letter</w:t>
            </w:r>
            <w:r w:rsidRPr="00497D89">
              <w:rPr>
                <w:highlight w:val="darkGray"/>
              </w:rPr>
              <w:t xml:space="preserve"> as the letter type.</w:t>
            </w:r>
          </w:p>
        </w:tc>
      </w:tr>
      <w:tr w:rsidR="00D61C69" w:rsidRPr="00497D89" w:rsidTr="00FF2BA8">
        <w:tc>
          <w:tcPr>
            <w:tcW w:w="990" w:type="dxa"/>
          </w:tcPr>
          <w:p w:rsidR="00D61C69" w:rsidRPr="00497D89" w:rsidRDefault="00D61C69" w:rsidP="00FF2BA8">
            <w:pPr>
              <w:jc w:val="center"/>
              <w:rPr>
                <w:highlight w:val="darkGray"/>
              </w:rPr>
            </w:pPr>
            <w:r w:rsidRPr="00497D89">
              <w:rPr>
                <w:highlight w:val="darkGray"/>
              </w:rPr>
              <w:t>5</w:t>
            </w:r>
          </w:p>
        </w:tc>
        <w:tc>
          <w:tcPr>
            <w:tcW w:w="6660" w:type="dxa"/>
          </w:tcPr>
          <w:p w:rsidR="00D61C69" w:rsidRPr="00497D89" w:rsidRDefault="00D61C69" w:rsidP="00FF2BA8">
            <w:pPr>
              <w:rPr>
                <w:highlight w:val="darkGray"/>
              </w:rPr>
            </w:pPr>
            <w:r w:rsidRPr="00497D89">
              <w:rPr>
                <w:highlight w:val="darkGray"/>
              </w:rPr>
              <w:t>Click the ADD LETTERS button in the top, right-hand corner of the screen</w:t>
            </w:r>
          </w:p>
        </w:tc>
      </w:tr>
      <w:tr w:rsidR="00D61C69" w:rsidRPr="00497D89" w:rsidTr="00FF2BA8">
        <w:tc>
          <w:tcPr>
            <w:tcW w:w="990" w:type="dxa"/>
          </w:tcPr>
          <w:p w:rsidR="00D61C69" w:rsidRPr="00497D89" w:rsidRDefault="00D61C69" w:rsidP="00FF2BA8">
            <w:pPr>
              <w:jc w:val="center"/>
              <w:rPr>
                <w:highlight w:val="darkGray"/>
              </w:rPr>
            </w:pPr>
            <w:r w:rsidRPr="00497D89">
              <w:rPr>
                <w:highlight w:val="darkGray"/>
              </w:rPr>
              <w:t>6</w:t>
            </w:r>
          </w:p>
        </w:tc>
        <w:tc>
          <w:tcPr>
            <w:tcW w:w="6660" w:type="dxa"/>
          </w:tcPr>
          <w:p w:rsidR="00D61C69" w:rsidRPr="00497D89" w:rsidRDefault="00D61C69" w:rsidP="00FF2BA8">
            <w:pPr>
              <w:rPr>
                <w:highlight w:val="darkGray"/>
              </w:rPr>
            </w:pPr>
            <w:r w:rsidRPr="00497D89">
              <w:rPr>
                <w:highlight w:val="darkGray"/>
              </w:rPr>
              <w:t>Select a title appropriate to the Veteran’s gender and/or educational credentials to populate the SALUTATION field.</w:t>
            </w:r>
          </w:p>
        </w:tc>
      </w:tr>
      <w:tr w:rsidR="00D61C69" w:rsidRPr="00497D89" w:rsidTr="00FF2BA8">
        <w:tc>
          <w:tcPr>
            <w:tcW w:w="990" w:type="dxa"/>
          </w:tcPr>
          <w:p w:rsidR="00D61C69" w:rsidRPr="00497D89" w:rsidRDefault="00D61C69" w:rsidP="00FF2BA8">
            <w:pPr>
              <w:jc w:val="center"/>
              <w:rPr>
                <w:highlight w:val="darkGray"/>
              </w:rPr>
            </w:pPr>
            <w:r w:rsidRPr="00497D89">
              <w:rPr>
                <w:highlight w:val="darkGray"/>
              </w:rPr>
              <w:t>7</w:t>
            </w:r>
          </w:p>
        </w:tc>
        <w:tc>
          <w:tcPr>
            <w:tcW w:w="6660" w:type="dxa"/>
          </w:tcPr>
          <w:p w:rsidR="00D61C69" w:rsidRPr="00497D89" w:rsidRDefault="00D61C69" w:rsidP="00FF2BA8">
            <w:pPr>
              <w:rPr>
                <w:highlight w:val="darkGray"/>
              </w:rPr>
            </w:pPr>
            <w:r w:rsidRPr="00497D89">
              <w:rPr>
                <w:highlight w:val="darkGray"/>
              </w:rPr>
              <w:t xml:space="preserve">In the FREE TEXT section of the screen, select </w:t>
            </w:r>
            <w:r w:rsidRPr="00497D89">
              <w:rPr>
                <w:i/>
                <w:highlight w:val="darkGray"/>
              </w:rPr>
              <w:t>Important Information</w:t>
            </w:r>
            <w:r w:rsidRPr="00497D89">
              <w:rPr>
                <w:highlight w:val="darkGray"/>
              </w:rPr>
              <w:t xml:space="preserve"> from the available drop-down menu.</w:t>
            </w:r>
          </w:p>
        </w:tc>
      </w:tr>
      <w:tr w:rsidR="00D61C69" w:rsidRPr="00497D89" w:rsidTr="00FF2BA8">
        <w:tc>
          <w:tcPr>
            <w:tcW w:w="990" w:type="dxa"/>
          </w:tcPr>
          <w:p w:rsidR="00D61C69" w:rsidRPr="00497D89" w:rsidRDefault="00D61C69" w:rsidP="00FF2BA8">
            <w:pPr>
              <w:jc w:val="center"/>
              <w:rPr>
                <w:highlight w:val="darkGray"/>
              </w:rPr>
            </w:pPr>
            <w:r w:rsidRPr="00497D89">
              <w:rPr>
                <w:highlight w:val="darkGray"/>
              </w:rPr>
              <w:t>8</w:t>
            </w:r>
          </w:p>
        </w:tc>
        <w:tc>
          <w:tcPr>
            <w:tcW w:w="6660" w:type="dxa"/>
          </w:tcPr>
          <w:p w:rsidR="00D61C69" w:rsidRPr="00497D89" w:rsidRDefault="00D61C69" w:rsidP="00FF2BA8">
            <w:pPr>
              <w:rPr>
                <w:highlight w:val="darkGray"/>
              </w:rPr>
            </w:pPr>
            <w:r w:rsidRPr="00497D89">
              <w:rPr>
                <w:highlight w:val="darkGray"/>
              </w:rPr>
              <w:t>Enter the following text in the last field of the FREE TEXT section:</w:t>
            </w:r>
          </w:p>
          <w:p w:rsidR="00D61C69" w:rsidRPr="00497D89" w:rsidRDefault="00D61C69" w:rsidP="00FF2BA8">
            <w:pPr>
              <w:rPr>
                <w:highlight w:val="darkGray"/>
              </w:rPr>
            </w:pPr>
          </w:p>
          <w:p w:rsidR="00D61C69" w:rsidRPr="00497D89" w:rsidRDefault="00D61C69" w:rsidP="00FF2BA8">
            <w:pPr>
              <w:ind w:left="720"/>
              <w:rPr>
                <w:highlight w:val="darkGray"/>
              </w:rPr>
            </w:pPr>
            <w:r w:rsidRPr="00497D89">
              <w:rPr>
                <w:i/>
                <w:highlight w:val="darkGray"/>
              </w:rPr>
              <w:t xml:space="preserve">On </w:t>
            </w:r>
            <w:r w:rsidRPr="00497D89">
              <w:rPr>
                <w:b/>
                <w:highlight w:val="darkGray"/>
              </w:rPr>
              <w:t>[Month dd, yyyy]</w:t>
            </w:r>
            <w:r w:rsidRPr="00497D89">
              <w:rPr>
                <w:i/>
                <w:highlight w:val="darkGray"/>
              </w:rPr>
              <w:t xml:space="preserve">, we sent you a letter informing you that you would soon be contacted to attend one or more examination appointments intended to assist us in better determining your entitlement to VA benefits.  That letter mistakenly indicated that you would be expected to attend (an) examination appointment(s) for your </w:t>
            </w:r>
            <w:r w:rsidRPr="00497D89">
              <w:rPr>
                <w:b/>
                <w:highlight w:val="darkGray"/>
              </w:rPr>
              <w:t>[specific disability(ies) for which examinations were requested]</w:t>
            </w:r>
            <w:r w:rsidRPr="00497D89">
              <w:rPr>
                <w:highlight w:val="darkGray"/>
              </w:rPr>
              <w:t>.</w:t>
            </w:r>
            <w:r w:rsidRPr="00497D89">
              <w:rPr>
                <w:i/>
                <w:highlight w:val="darkGray"/>
              </w:rPr>
              <w:t xml:space="preserve"> Upon further review of available evidence, we have determined that no examination for</w:t>
            </w:r>
            <w:r w:rsidRPr="00497D89">
              <w:rPr>
                <w:highlight w:val="darkGray"/>
              </w:rPr>
              <w:t xml:space="preserve"> </w:t>
            </w:r>
            <w:r w:rsidRPr="00497D89">
              <w:rPr>
                <w:b/>
                <w:highlight w:val="darkGray"/>
              </w:rPr>
              <w:t>[specific disability(ies)]</w:t>
            </w:r>
            <w:r w:rsidRPr="00497D89">
              <w:rPr>
                <w:highlight w:val="darkGray"/>
              </w:rPr>
              <w:t xml:space="preserve"> </w:t>
            </w:r>
            <w:r w:rsidRPr="00497D89">
              <w:rPr>
                <w:i/>
                <w:highlight w:val="darkGray"/>
              </w:rPr>
              <w:t>need be conducted.  We apologize for this miscommunication and any confusion it may have caused.</w:t>
            </w:r>
          </w:p>
        </w:tc>
      </w:tr>
      <w:tr w:rsidR="00D61C69" w:rsidRPr="00AD3046" w:rsidTr="00FF2BA8">
        <w:tc>
          <w:tcPr>
            <w:tcW w:w="990" w:type="dxa"/>
          </w:tcPr>
          <w:p w:rsidR="00D61C69" w:rsidRPr="00497D89" w:rsidRDefault="00D61C69" w:rsidP="00FF2BA8">
            <w:pPr>
              <w:jc w:val="center"/>
              <w:rPr>
                <w:highlight w:val="darkGray"/>
              </w:rPr>
            </w:pPr>
            <w:r w:rsidRPr="00497D89">
              <w:rPr>
                <w:highlight w:val="darkGray"/>
              </w:rPr>
              <w:t>9</w:t>
            </w:r>
          </w:p>
        </w:tc>
        <w:tc>
          <w:tcPr>
            <w:tcW w:w="6660" w:type="dxa"/>
          </w:tcPr>
          <w:p w:rsidR="00D61C69" w:rsidRPr="00D61C69" w:rsidRDefault="00D61C69" w:rsidP="00FF2BA8">
            <w:r w:rsidRPr="00497D89">
              <w:rPr>
                <w:highlight w:val="darkGray"/>
              </w:rPr>
              <w:t>Click the ADD PARAGRAPH button.</w:t>
            </w:r>
          </w:p>
        </w:tc>
      </w:tr>
    </w:tbl>
    <w:p w:rsidR="00D61C69" w:rsidRDefault="00D61C69" w:rsidP="00D61C69">
      <w:pPr>
        <w:pStyle w:val="ListParagraph"/>
        <w:ind w:left="360"/>
        <w:rPr>
          <w:rFonts w:ascii="Arial" w:hAnsi="Arial"/>
          <w:color w:val="000000"/>
          <w:sz w:val="24"/>
          <w:szCs w:val="24"/>
        </w:rPr>
      </w:pPr>
    </w:p>
    <w:p w:rsidR="004612A0" w:rsidRDefault="004612A0" w:rsidP="00D61C69">
      <w:pPr>
        <w:pStyle w:val="ListParagraph"/>
        <w:ind w:left="360"/>
        <w:rPr>
          <w:rFonts w:ascii="Arial" w:hAnsi="Arial"/>
          <w:color w:val="000000"/>
          <w:sz w:val="20"/>
          <w:szCs w:val="24"/>
        </w:rPr>
      </w:pPr>
      <w:r w:rsidRPr="004149CA">
        <w:rPr>
          <w:rFonts w:ascii="Arial" w:hAnsi="Arial"/>
          <w:b/>
          <w:color w:val="000000"/>
          <w:sz w:val="20"/>
          <w:szCs w:val="24"/>
        </w:rPr>
        <w:t>III.iv.3.D.1.b</w:t>
      </w:r>
      <w:r w:rsidRPr="004612A0">
        <w:rPr>
          <w:rFonts w:ascii="Arial" w:hAnsi="Arial"/>
          <w:color w:val="000000"/>
          <w:sz w:val="20"/>
          <w:szCs w:val="24"/>
        </w:rPr>
        <w:t xml:space="preserve"> – contact info to obtain outstanding contract exam reports from QTC, VES, VetFed, LHI &amp; MSLA</w:t>
      </w:r>
    </w:p>
    <w:p w:rsidR="00E76E44" w:rsidRDefault="00E76E44" w:rsidP="00E76E44">
      <w:pPr>
        <w:pBdr>
          <w:top w:val="single" w:sz="4" w:space="1" w:color="auto"/>
        </w:pBdr>
        <w:ind w:left="360"/>
        <w:rPr>
          <w:rFonts w:ascii="Tahoma" w:hAnsi="Tahoma" w:cs="Tahoma"/>
          <w:b/>
          <w:bCs/>
        </w:rPr>
      </w:pPr>
    </w:p>
    <w:p w:rsidR="00E76E44" w:rsidRDefault="00E76E44" w:rsidP="00E76E44">
      <w:pPr>
        <w:ind w:left="360"/>
        <w:rPr>
          <w:rFonts w:ascii="Calibri" w:eastAsiaTheme="minorHAnsi" w:hAnsi="Calibri" w:cs="Times New Roman"/>
          <w:sz w:val="22"/>
          <w:szCs w:val="22"/>
        </w:rPr>
      </w:pPr>
      <w:r>
        <w:rPr>
          <w:rFonts w:ascii="Tahoma" w:hAnsi="Tahoma" w:cs="Tahoma"/>
          <w:b/>
          <w:bCs/>
        </w:rPr>
        <w:t>From:</w:t>
      </w:r>
      <w:r>
        <w:rPr>
          <w:rFonts w:ascii="Tahoma" w:hAnsi="Tahoma" w:cs="Tahoma"/>
        </w:rPr>
        <w:t xml:space="preserve"> VAVBASDC/RO/VSC </w:t>
      </w:r>
      <w:r>
        <w:rPr>
          <w:rFonts w:ascii="Tahoma" w:hAnsi="Tahoma" w:cs="Tahoma"/>
        </w:rPr>
        <w:br/>
      </w:r>
      <w:r>
        <w:rPr>
          <w:rFonts w:ascii="Tahoma" w:hAnsi="Tahoma" w:cs="Tahoma"/>
          <w:b/>
          <w:bCs/>
        </w:rPr>
        <w:t>Sent:</w:t>
      </w:r>
      <w:r>
        <w:rPr>
          <w:rFonts w:ascii="Tahoma" w:hAnsi="Tahoma" w:cs="Tahoma"/>
        </w:rPr>
        <w:t xml:space="preserve"> Wednesday, July 26, 2017 1:36 PM</w:t>
      </w:r>
      <w:r>
        <w:rPr>
          <w:rFonts w:ascii="Tahoma" w:hAnsi="Tahoma" w:cs="Tahoma"/>
        </w:rPr>
        <w:br/>
      </w:r>
      <w:r>
        <w:rPr>
          <w:rFonts w:ascii="Tahoma" w:hAnsi="Tahoma" w:cs="Tahoma"/>
          <w:b/>
          <w:bCs/>
        </w:rPr>
        <w:t>Subject:</w:t>
      </w:r>
      <w:r>
        <w:rPr>
          <w:rFonts w:ascii="Tahoma" w:hAnsi="Tahoma" w:cs="Tahoma"/>
        </w:rPr>
        <w:t xml:space="preserve"> FW: Quick Start Exam Notification</w:t>
      </w:r>
      <w:r>
        <w:rPr>
          <w:rFonts w:ascii="Tahoma" w:hAnsi="Tahoma" w:cs="Tahoma"/>
        </w:rPr>
        <w:br/>
      </w:r>
    </w:p>
    <w:p w:rsidR="00E76E44" w:rsidRPr="00E76E44" w:rsidRDefault="00E76E44" w:rsidP="00E76E44">
      <w:pPr>
        <w:ind w:left="360"/>
        <w:rPr>
          <w:color w:val="000000"/>
          <w:szCs w:val="24"/>
        </w:rPr>
      </w:pPr>
      <w:r w:rsidRPr="00E76E44">
        <w:rPr>
          <w:color w:val="000000"/>
          <w:szCs w:val="24"/>
        </w:rPr>
        <w:t xml:space="preserve">Good </w:t>
      </w:r>
      <w:r w:rsidRPr="00E76E44">
        <w:rPr>
          <w:szCs w:val="24"/>
        </w:rPr>
        <w:t>Afternoon</w:t>
      </w:r>
      <w:r w:rsidRPr="00E76E44">
        <w:rPr>
          <w:color w:val="000000"/>
          <w:szCs w:val="24"/>
        </w:rPr>
        <w:t>,</w:t>
      </w:r>
    </w:p>
    <w:p w:rsidR="00E76E44" w:rsidRPr="00E76E44" w:rsidRDefault="00E76E44" w:rsidP="00E76E44">
      <w:pPr>
        <w:pStyle w:val="BodyText"/>
        <w:spacing w:before="194"/>
        <w:ind w:left="360" w:right="1485"/>
        <w:rPr>
          <w:spacing w:val="-3"/>
          <w:sz w:val="20"/>
          <w:szCs w:val="24"/>
        </w:rPr>
      </w:pPr>
      <w:r w:rsidRPr="00E76E44">
        <w:rPr>
          <w:spacing w:val="-2"/>
          <w:sz w:val="20"/>
        </w:rPr>
        <w:t>Effective</w:t>
      </w:r>
      <w:r w:rsidRPr="00E76E44">
        <w:rPr>
          <w:spacing w:val="-3"/>
          <w:sz w:val="20"/>
        </w:rPr>
        <w:t xml:space="preserve"> </w:t>
      </w:r>
      <w:r w:rsidRPr="00E76E44">
        <w:rPr>
          <w:spacing w:val="-2"/>
          <w:sz w:val="20"/>
        </w:rPr>
        <w:t>August 1, 2017,</w:t>
      </w:r>
      <w:r w:rsidRPr="00E76E44">
        <w:rPr>
          <w:color w:val="1F497D"/>
          <w:spacing w:val="-2"/>
          <w:sz w:val="20"/>
        </w:rPr>
        <w:t xml:space="preserve"> </w:t>
      </w:r>
      <w:r w:rsidRPr="00E76E44">
        <w:rPr>
          <w:spacing w:val="-2"/>
          <w:sz w:val="20"/>
        </w:rPr>
        <w:t xml:space="preserve">disability examinations for </w:t>
      </w:r>
      <w:r w:rsidRPr="00E76E44">
        <w:rPr>
          <w:spacing w:val="-1"/>
          <w:sz w:val="20"/>
        </w:rPr>
        <w:t>Quick</w:t>
      </w:r>
      <w:r w:rsidR="008A3B47">
        <w:rPr>
          <w:spacing w:val="-1"/>
          <w:sz w:val="20"/>
        </w:rPr>
        <w:t xml:space="preserve"> </w:t>
      </w:r>
      <w:r w:rsidRPr="00E76E44">
        <w:rPr>
          <w:spacing w:val="-3"/>
          <w:sz w:val="20"/>
        </w:rPr>
        <w:t>Start</w:t>
      </w:r>
      <w:r w:rsidRPr="00E76E44">
        <w:rPr>
          <w:spacing w:val="-2"/>
          <w:sz w:val="20"/>
        </w:rPr>
        <w:t xml:space="preserve"> </w:t>
      </w:r>
      <w:r w:rsidRPr="00E76E44">
        <w:rPr>
          <w:spacing w:val="-3"/>
          <w:sz w:val="20"/>
        </w:rPr>
        <w:t>claims will no longer</w:t>
      </w:r>
      <w:r w:rsidRPr="00E76E44">
        <w:rPr>
          <w:color w:val="1F497D"/>
          <w:spacing w:val="-3"/>
          <w:sz w:val="20"/>
        </w:rPr>
        <w:t xml:space="preserve"> </w:t>
      </w:r>
      <w:r w:rsidRPr="00E76E44">
        <w:rPr>
          <w:spacing w:val="-3"/>
          <w:sz w:val="20"/>
        </w:rPr>
        <w:t>be conducted under the District 6/National Mission contract.</w:t>
      </w:r>
    </w:p>
    <w:p w:rsidR="00E76E44" w:rsidRPr="00E76E44" w:rsidRDefault="00E76E44" w:rsidP="00E76E44">
      <w:pPr>
        <w:pStyle w:val="BodyText"/>
        <w:spacing w:before="194"/>
        <w:ind w:left="360" w:right="1485"/>
        <w:rPr>
          <w:color w:val="000000"/>
          <w:spacing w:val="-3"/>
          <w:sz w:val="20"/>
        </w:rPr>
      </w:pPr>
      <w:r w:rsidRPr="00E76E44">
        <w:rPr>
          <w:spacing w:val="-3"/>
          <w:sz w:val="20"/>
        </w:rPr>
        <w:t xml:space="preserve">This change will mean that QTC will no longer be the only vendor allowed to conduct examinations for Quick Start claims within the continental United States. </w:t>
      </w:r>
    </w:p>
    <w:p w:rsidR="00E76E44" w:rsidRPr="00E76E44" w:rsidRDefault="00E76E44" w:rsidP="00E76E44">
      <w:pPr>
        <w:pStyle w:val="BodyText"/>
        <w:spacing w:before="194"/>
        <w:ind w:left="360" w:right="1485"/>
        <w:rPr>
          <w:color w:val="000000"/>
          <w:spacing w:val="-3"/>
          <w:sz w:val="20"/>
        </w:rPr>
      </w:pPr>
      <w:r w:rsidRPr="00E76E44">
        <w:rPr>
          <w:spacing w:val="-1"/>
          <w:sz w:val="20"/>
        </w:rPr>
        <w:t>Quick</w:t>
      </w:r>
      <w:r w:rsidRPr="00E76E44">
        <w:rPr>
          <w:spacing w:val="-2"/>
          <w:sz w:val="20"/>
        </w:rPr>
        <w:t xml:space="preserve"> </w:t>
      </w:r>
      <w:r w:rsidRPr="00E76E44">
        <w:rPr>
          <w:spacing w:val="-3"/>
          <w:sz w:val="20"/>
        </w:rPr>
        <w:t>Start</w:t>
      </w:r>
      <w:r w:rsidRPr="00E76E44">
        <w:rPr>
          <w:spacing w:val="-2"/>
          <w:sz w:val="20"/>
        </w:rPr>
        <w:t xml:space="preserve"> </w:t>
      </w:r>
      <w:r w:rsidRPr="00E76E44">
        <w:rPr>
          <w:spacing w:val="-3"/>
          <w:sz w:val="20"/>
        </w:rPr>
        <w:t xml:space="preserve">examinations should be routed to the appropriate vendor under according to the ERRA tool. </w:t>
      </w:r>
    </w:p>
    <w:p w:rsidR="00E76E44" w:rsidRPr="00E76E44" w:rsidRDefault="00E76E44" w:rsidP="00E76E44">
      <w:pPr>
        <w:pStyle w:val="BodyText"/>
        <w:spacing w:before="194"/>
        <w:ind w:left="360" w:right="1485"/>
        <w:rPr>
          <w:spacing w:val="-3"/>
          <w:sz w:val="20"/>
        </w:rPr>
      </w:pPr>
      <w:r w:rsidRPr="00E76E44">
        <w:rPr>
          <w:spacing w:val="-1"/>
          <w:sz w:val="20"/>
        </w:rPr>
        <w:t>A Job</w:t>
      </w:r>
      <w:r w:rsidRPr="00E76E44">
        <w:rPr>
          <w:spacing w:val="1"/>
          <w:sz w:val="20"/>
        </w:rPr>
        <w:t xml:space="preserve"> </w:t>
      </w:r>
      <w:r w:rsidRPr="00E76E44">
        <w:rPr>
          <w:spacing w:val="-1"/>
          <w:sz w:val="20"/>
        </w:rPr>
        <w:t>Aid</w:t>
      </w:r>
      <w:r w:rsidRPr="00E76E44">
        <w:rPr>
          <w:spacing w:val="-4"/>
          <w:sz w:val="20"/>
        </w:rPr>
        <w:t xml:space="preserve"> </w:t>
      </w:r>
      <w:r w:rsidRPr="00E76E44">
        <w:rPr>
          <w:spacing w:val="-2"/>
          <w:sz w:val="20"/>
        </w:rPr>
        <w:t>with</w:t>
      </w:r>
      <w:r w:rsidRPr="00E76E44">
        <w:rPr>
          <w:spacing w:val="-4"/>
          <w:sz w:val="20"/>
        </w:rPr>
        <w:t xml:space="preserve"> </w:t>
      </w:r>
      <w:r w:rsidRPr="00E76E44">
        <w:rPr>
          <w:spacing w:val="-2"/>
          <w:sz w:val="20"/>
        </w:rPr>
        <w:t>guidance</w:t>
      </w:r>
      <w:r w:rsidRPr="00E76E44">
        <w:rPr>
          <w:sz w:val="20"/>
        </w:rPr>
        <w:t xml:space="preserve"> </w:t>
      </w:r>
      <w:r w:rsidRPr="00E76E44">
        <w:rPr>
          <w:spacing w:val="-1"/>
          <w:sz w:val="20"/>
        </w:rPr>
        <w:t>on how to enter</w:t>
      </w:r>
      <w:r w:rsidRPr="00E76E44">
        <w:rPr>
          <w:spacing w:val="-3"/>
          <w:sz w:val="20"/>
        </w:rPr>
        <w:t xml:space="preserve"> contract</w:t>
      </w:r>
      <w:r w:rsidRPr="00E76E44">
        <w:rPr>
          <w:spacing w:val="-2"/>
          <w:sz w:val="20"/>
        </w:rPr>
        <w:t xml:space="preserve"> examination</w:t>
      </w:r>
      <w:r w:rsidRPr="00E76E44">
        <w:rPr>
          <w:spacing w:val="-1"/>
          <w:sz w:val="20"/>
        </w:rPr>
        <w:t xml:space="preserve"> </w:t>
      </w:r>
      <w:r w:rsidRPr="00E76E44">
        <w:rPr>
          <w:spacing w:val="-3"/>
          <w:sz w:val="20"/>
        </w:rPr>
        <w:t>requests</w:t>
      </w:r>
      <w:r w:rsidRPr="00E76E44">
        <w:rPr>
          <w:spacing w:val="-5"/>
          <w:sz w:val="20"/>
        </w:rPr>
        <w:t xml:space="preserve"> </w:t>
      </w:r>
      <w:r w:rsidRPr="00E76E44">
        <w:rPr>
          <w:spacing w:val="-1"/>
          <w:sz w:val="20"/>
        </w:rPr>
        <w:t>in</w:t>
      </w:r>
      <w:r w:rsidRPr="00E76E44">
        <w:rPr>
          <w:spacing w:val="-2"/>
          <w:sz w:val="20"/>
        </w:rPr>
        <w:t xml:space="preserve"> CAATS for Quick Sta</w:t>
      </w:r>
      <w:r w:rsidR="00310440">
        <w:rPr>
          <w:spacing w:val="-2"/>
          <w:sz w:val="20"/>
        </w:rPr>
        <w:t>rt claims is attached to this e</w:t>
      </w:r>
      <w:r w:rsidRPr="00E76E44">
        <w:rPr>
          <w:spacing w:val="-2"/>
          <w:sz w:val="20"/>
        </w:rPr>
        <w:t>mail message for your support</w:t>
      </w:r>
      <w:r w:rsidRPr="00E76E44">
        <w:rPr>
          <w:spacing w:val="-3"/>
          <w:sz w:val="20"/>
        </w:rPr>
        <w:t>.</w:t>
      </w:r>
    </w:p>
    <w:p w:rsidR="00E76E44" w:rsidRPr="00E76E44" w:rsidRDefault="00E76E44" w:rsidP="00E76E44">
      <w:pPr>
        <w:ind w:left="360"/>
        <w:rPr>
          <w:szCs w:val="24"/>
        </w:rPr>
      </w:pPr>
    </w:p>
    <w:p w:rsidR="00E76E44" w:rsidRPr="00D10240" w:rsidRDefault="00E76E44" w:rsidP="00E76E44">
      <w:pPr>
        <w:pBdr>
          <w:top w:val="double" w:sz="4" w:space="1" w:color="auto"/>
          <w:left w:val="double" w:sz="4" w:space="4" w:color="auto"/>
          <w:bottom w:val="double" w:sz="4" w:space="1" w:color="auto"/>
          <w:right w:val="double" w:sz="4" w:space="4" w:color="auto"/>
        </w:pBdr>
        <w:shd w:val="clear" w:color="auto" w:fill="FFC000"/>
        <w:ind w:left="360"/>
        <w:rPr>
          <w:rFonts w:eastAsiaTheme="minorHAnsi"/>
        </w:rPr>
      </w:pPr>
      <w:r>
        <w:rPr>
          <w:rFonts w:eastAsiaTheme="minorHAnsi"/>
          <w:b/>
        </w:rPr>
        <w:t>Quick</w:t>
      </w:r>
      <w:r w:rsidR="008A3B47">
        <w:rPr>
          <w:rFonts w:eastAsiaTheme="minorHAnsi"/>
          <w:b/>
        </w:rPr>
        <w:t xml:space="preserve"> </w:t>
      </w:r>
      <w:r>
        <w:rPr>
          <w:rFonts w:eastAsiaTheme="minorHAnsi"/>
          <w:b/>
        </w:rPr>
        <w:t xml:space="preserve">Start Job Aid 082017_2.0 </w:t>
      </w:r>
      <w:r>
        <w:rPr>
          <w:rFonts w:eastAsiaTheme="minorHAnsi"/>
        </w:rPr>
        <w:t>is</w:t>
      </w:r>
      <w:r w:rsidRPr="0036376C">
        <w:t xml:space="preserve"> saved at </w:t>
      </w:r>
      <w:r w:rsidRPr="001453C4">
        <w:rPr>
          <w:b/>
          <w:bCs/>
          <w:i/>
          <w:iCs/>
        </w:rPr>
        <w:t>H:\VSC\Rating Reference</w:t>
      </w:r>
    </w:p>
    <w:p w:rsidR="00E76E44" w:rsidRDefault="00E76E44" w:rsidP="00E76E44">
      <w:pPr>
        <w:ind w:left="360"/>
        <w:rPr>
          <w:color w:val="000000"/>
          <w:szCs w:val="24"/>
        </w:rPr>
      </w:pPr>
    </w:p>
    <w:p w:rsidR="008A3B47" w:rsidRPr="00E76E44" w:rsidRDefault="008A3B47" w:rsidP="008A3B47">
      <w:pPr>
        <w:ind w:left="360"/>
        <w:rPr>
          <w:color w:val="000000"/>
          <w:szCs w:val="24"/>
        </w:rPr>
      </w:pPr>
      <w:r w:rsidRPr="008A3B47">
        <w:rPr>
          <w:i/>
          <w:color w:val="00B050"/>
          <w:szCs w:val="24"/>
        </w:rPr>
        <w:t>My Notes:</w:t>
      </w:r>
      <w:r w:rsidRPr="008A3B47">
        <w:rPr>
          <w:color w:val="00B050"/>
          <w:szCs w:val="24"/>
        </w:rPr>
        <w:t xml:space="preserve">  </w:t>
      </w:r>
      <w:r>
        <w:rPr>
          <w:color w:val="000000"/>
          <w:szCs w:val="24"/>
        </w:rPr>
        <w:t>Quick Start discontinued 10/1/17</w:t>
      </w:r>
    </w:p>
    <w:p w:rsidR="00E76E44" w:rsidRDefault="00E76E44" w:rsidP="002C3B9D">
      <w:pPr>
        <w:ind w:left="360"/>
        <w:rPr>
          <w:rFonts w:ascii="Tahoma" w:hAnsi="Tahoma" w:cs="Tahoma"/>
          <w:b/>
          <w:bCs/>
        </w:rPr>
      </w:pPr>
    </w:p>
    <w:p w:rsidR="00E76E44" w:rsidRDefault="00E76E44" w:rsidP="00E76E44">
      <w:pPr>
        <w:pBdr>
          <w:top w:val="single" w:sz="4" w:space="1" w:color="auto"/>
        </w:pBdr>
        <w:ind w:left="360"/>
        <w:rPr>
          <w:rFonts w:ascii="Tahoma" w:hAnsi="Tahoma" w:cs="Tahoma"/>
          <w:b/>
          <w:bCs/>
        </w:rPr>
      </w:pPr>
    </w:p>
    <w:p w:rsidR="002C3B9D" w:rsidRPr="002C3B9D" w:rsidRDefault="002C3B9D" w:rsidP="002C3B9D">
      <w:pPr>
        <w:ind w:left="360"/>
        <w:rPr>
          <w:rFonts w:ascii="Tahoma" w:hAnsi="Tahoma" w:cs="Tahoma"/>
        </w:rPr>
      </w:pPr>
      <w:r w:rsidRPr="002C3B9D">
        <w:rPr>
          <w:rFonts w:ascii="Tahoma" w:hAnsi="Tahoma" w:cs="Tahoma"/>
          <w:b/>
          <w:bCs/>
        </w:rPr>
        <w:t>From:</w:t>
      </w:r>
      <w:r w:rsidRPr="002C3B9D">
        <w:rPr>
          <w:rFonts w:ascii="Tahoma" w:hAnsi="Tahoma" w:cs="Tahoma"/>
        </w:rPr>
        <w:t xml:space="preserve"> VAVBASDC/RO/VSC </w:t>
      </w:r>
      <w:r w:rsidRPr="002C3B9D">
        <w:rPr>
          <w:rFonts w:ascii="Tahoma" w:hAnsi="Tahoma" w:cs="Tahoma"/>
        </w:rPr>
        <w:br/>
      </w:r>
      <w:r w:rsidRPr="002C3B9D">
        <w:rPr>
          <w:rFonts w:ascii="Tahoma" w:hAnsi="Tahoma" w:cs="Tahoma"/>
          <w:b/>
          <w:bCs/>
        </w:rPr>
        <w:t>Sent:</w:t>
      </w:r>
      <w:r w:rsidRPr="002C3B9D">
        <w:rPr>
          <w:rFonts w:ascii="Tahoma" w:hAnsi="Tahoma" w:cs="Tahoma"/>
        </w:rPr>
        <w:t xml:space="preserve"> Friday, May 05, 2017 1:57 PM</w:t>
      </w:r>
      <w:r w:rsidRPr="002C3B9D">
        <w:rPr>
          <w:rFonts w:ascii="Tahoma" w:hAnsi="Tahoma" w:cs="Tahoma"/>
        </w:rPr>
        <w:br/>
      </w:r>
      <w:r w:rsidRPr="002C3B9D">
        <w:rPr>
          <w:rFonts w:ascii="Tahoma" w:hAnsi="Tahoma" w:cs="Tahoma"/>
          <w:b/>
          <w:bCs/>
        </w:rPr>
        <w:t>Subject:</w:t>
      </w:r>
      <w:r w:rsidRPr="002C3B9D">
        <w:rPr>
          <w:rFonts w:ascii="Tahoma" w:hAnsi="Tahoma" w:cs="Tahoma"/>
        </w:rPr>
        <w:t xml:space="preserve"> FW: Exam Portals</w:t>
      </w:r>
    </w:p>
    <w:p w:rsidR="002C3B9D" w:rsidRPr="002C3B9D" w:rsidRDefault="002C3B9D" w:rsidP="002C3B9D">
      <w:pPr>
        <w:ind w:left="360"/>
        <w:rPr>
          <w:rFonts w:ascii="Times New Roman" w:eastAsiaTheme="minorHAnsi" w:hAnsi="Times New Roman" w:cs="Times New Roman"/>
        </w:rPr>
      </w:pPr>
    </w:p>
    <w:p w:rsidR="002C3B9D" w:rsidRPr="002C3B9D" w:rsidRDefault="002C3B9D" w:rsidP="002C3B9D">
      <w:pPr>
        <w:ind w:left="360"/>
        <w:rPr>
          <w:color w:val="000000"/>
        </w:rPr>
      </w:pPr>
      <w:r w:rsidRPr="002C3B9D">
        <w:rPr>
          <w:color w:val="000000"/>
        </w:rPr>
        <w:t>Good Afternoon,</w:t>
      </w:r>
    </w:p>
    <w:p w:rsidR="002C3B9D" w:rsidRPr="002C3B9D" w:rsidRDefault="002C3B9D" w:rsidP="002C3B9D">
      <w:pPr>
        <w:ind w:left="360"/>
        <w:rPr>
          <w:color w:val="000000"/>
        </w:rPr>
      </w:pPr>
    </w:p>
    <w:p w:rsidR="002C3B9D" w:rsidRPr="002C3B9D" w:rsidRDefault="002C3B9D" w:rsidP="002C3B9D">
      <w:pPr>
        <w:ind w:left="360"/>
      </w:pPr>
      <w:r w:rsidRPr="002C3B9D">
        <w:rPr>
          <w:color w:val="000000"/>
        </w:rPr>
        <w:t>For those who order exams, please see the following</w:t>
      </w:r>
      <w:r w:rsidRPr="002C3B9D">
        <w:t xml:space="preserve"> exam portals</w:t>
      </w:r>
      <w:r w:rsidRPr="002C3B9D">
        <w:rPr>
          <w:color w:val="000000"/>
        </w:rPr>
        <w:t xml:space="preserve"> for your reference:</w:t>
      </w:r>
    </w:p>
    <w:p w:rsidR="002C3B9D" w:rsidRPr="002C3B9D" w:rsidRDefault="002C3B9D" w:rsidP="002C3B9D">
      <w:pPr>
        <w:pStyle w:val="NormalWeb"/>
        <w:ind w:left="360"/>
        <w:rPr>
          <w:sz w:val="20"/>
          <w:szCs w:val="20"/>
        </w:rPr>
      </w:pPr>
      <w:r w:rsidRPr="002C3B9D">
        <w:rPr>
          <w:sz w:val="20"/>
          <w:szCs w:val="20"/>
        </w:rPr>
        <w:t>LHI</w:t>
      </w:r>
      <w:r w:rsidRPr="002C3B9D">
        <w:rPr>
          <w:color w:val="000000"/>
          <w:sz w:val="20"/>
          <w:szCs w:val="20"/>
        </w:rPr>
        <w:t xml:space="preserve"> - </w:t>
      </w:r>
      <w:hyperlink r:id="rId796" w:anchor="d=1484167962483" w:history="1">
        <w:r w:rsidRPr="002C3B9D">
          <w:rPr>
            <w:rStyle w:val="Hyperlink"/>
            <w:sz w:val="20"/>
            <w:szCs w:val="20"/>
          </w:rPr>
          <w:t>https://customers.logisticshealth.com/Login.aspx#d=1484167962483</w:t>
        </w:r>
      </w:hyperlink>
    </w:p>
    <w:p w:rsidR="002C3B9D" w:rsidRPr="002C3B9D" w:rsidRDefault="002C3B9D" w:rsidP="002C3B9D">
      <w:pPr>
        <w:pStyle w:val="NormalWeb"/>
        <w:ind w:left="360"/>
        <w:rPr>
          <w:sz w:val="20"/>
          <w:szCs w:val="20"/>
        </w:rPr>
      </w:pPr>
      <w:r w:rsidRPr="002C3B9D">
        <w:rPr>
          <w:sz w:val="20"/>
          <w:szCs w:val="20"/>
        </w:rPr>
        <w:t>QTC</w:t>
      </w:r>
      <w:r w:rsidRPr="002C3B9D">
        <w:rPr>
          <w:color w:val="000000"/>
          <w:sz w:val="20"/>
          <w:szCs w:val="20"/>
        </w:rPr>
        <w:t xml:space="preserve"> - </w:t>
      </w:r>
      <w:hyperlink r:id="rId797" w:history="1">
        <w:r w:rsidRPr="002C3B9D">
          <w:rPr>
            <w:rStyle w:val="Hyperlink"/>
            <w:sz w:val="20"/>
            <w:szCs w:val="20"/>
          </w:rPr>
          <w:t>https://vbaclient.qtcm.com/</w:t>
        </w:r>
      </w:hyperlink>
    </w:p>
    <w:p w:rsidR="002C3B9D" w:rsidRPr="002C3B9D" w:rsidRDefault="002C3B9D" w:rsidP="002C3B9D">
      <w:pPr>
        <w:pStyle w:val="NormalWeb"/>
        <w:ind w:left="360"/>
        <w:rPr>
          <w:sz w:val="20"/>
          <w:szCs w:val="20"/>
        </w:rPr>
      </w:pPr>
      <w:r w:rsidRPr="002C3B9D">
        <w:rPr>
          <w:sz w:val="20"/>
          <w:szCs w:val="20"/>
        </w:rPr>
        <w:t xml:space="preserve">VETFED </w:t>
      </w:r>
      <w:r w:rsidRPr="002C3B9D">
        <w:rPr>
          <w:color w:val="000000"/>
          <w:sz w:val="20"/>
          <w:szCs w:val="20"/>
        </w:rPr>
        <w:t xml:space="preserve">– </w:t>
      </w:r>
      <w:hyperlink r:id="rId798" w:history="1">
        <w:r w:rsidRPr="002C3B9D">
          <w:rPr>
            <w:rStyle w:val="Hyperlink"/>
            <w:sz w:val="20"/>
            <w:szCs w:val="20"/>
          </w:rPr>
          <w:t>https://vetfedclient.qtcm.com/</w:t>
        </w:r>
      </w:hyperlink>
      <w:r w:rsidRPr="002C3B9D">
        <w:rPr>
          <w:color w:val="000000"/>
          <w:sz w:val="20"/>
          <w:szCs w:val="20"/>
        </w:rPr>
        <w:t xml:space="preserve">  </w:t>
      </w:r>
      <w:r w:rsidRPr="002C3B9D">
        <w:rPr>
          <w:b/>
          <w:bCs/>
          <w:color w:val="000000"/>
          <w:sz w:val="20"/>
          <w:szCs w:val="20"/>
        </w:rPr>
        <w:t>Please note:</w:t>
      </w:r>
      <w:r w:rsidRPr="002C3B9D">
        <w:rPr>
          <w:color w:val="000000"/>
          <w:sz w:val="20"/>
          <w:szCs w:val="20"/>
        </w:rPr>
        <w:t xml:space="preserve"> VETFED </w:t>
      </w:r>
      <w:r w:rsidRPr="002C3B9D">
        <w:rPr>
          <w:sz w:val="20"/>
          <w:szCs w:val="20"/>
        </w:rPr>
        <w:t xml:space="preserve">exams </w:t>
      </w:r>
      <w:r w:rsidRPr="002C3B9D">
        <w:rPr>
          <w:sz w:val="20"/>
          <w:szCs w:val="20"/>
          <w:u w:val="single"/>
        </w:rPr>
        <w:t>are not</w:t>
      </w:r>
      <w:r w:rsidRPr="002C3B9D">
        <w:rPr>
          <w:sz w:val="20"/>
          <w:szCs w:val="20"/>
        </w:rPr>
        <w:t xml:space="preserve"> located in the QTC examtrack.  </w:t>
      </w:r>
      <w:r w:rsidRPr="002C3B9D">
        <w:rPr>
          <w:color w:val="000000"/>
          <w:sz w:val="20"/>
          <w:szCs w:val="20"/>
        </w:rPr>
        <w:t>The VETFED portal</w:t>
      </w:r>
      <w:r w:rsidRPr="002C3B9D">
        <w:rPr>
          <w:sz w:val="20"/>
          <w:szCs w:val="20"/>
        </w:rPr>
        <w:t xml:space="preserve"> </w:t>
      </w:r>
      <w:r w:rsidRPr="002C3B9D">
        <w:rPr>
          <w:color w:val="000000"/>
          <w:sz w:val="20"/>
          <w:szCs w:val="20"/>
        </w:rPr>
        <w:t>does not</w:t>
      </w:r>
      <w:r w:rsidRPr="002C3B9D">
        <w:rPr>
          <w:sz w:val="20"/>
          <w:szCs w:val="20"/>
        </w:rPr>
        <w:t xml:space="preserve"> require additional access</w:t>
      </w:r>
      <w:r w:rsidRPr="002C3B9D">
        <w:rPr>
          <w:color w:val="000000"/>
          <w:sz w:val="20"/>
          <w:szCs w:val="20"/>
        </w:rPr>
        <w:t xml:space="preserve"> because you can</w:t>
      </w:r>
      <w:r w:rsidRPr="002C3B9D">
        <w:rPr>
          <w:sz w:val="20"/>
          <w:szCs w:val="20"/>
        </w:rPr>
        <w:t xml:space="preserve"> use</w:t>
      </w:r>
      <w:r w:rsidRPr="002C3B9D">
        <w:rPr>
          <w:color w:val="000000"/>
          <w:sz w:val="20"/>
          <w:szCs w:val="20"/>
        </w:rPr>
        <w:t xml:space="preserve"> your</w:t>
      </w:r>
      <w:r w:rsidRPr="002C3B9D">
        <w:rPr>
          <w:sz w:val="20"/>
          <w:szCs w:val="20"/>
        </w:rPr>
        <w:t xml:space="preserve"> QTC password</w:t>
      </w:r>
      <w:r w:rsidRPr="002C3B9D">
        <w:rPr>
          <w:color w:val="000000"/>
          <w:sz w:val="20"/>
          <w:szCs w:val="20"/>
        </w:rPr>
        <w:t xml:space="preserve"> to login. </w:t>
      </w:r>
    </w:p>
    <w:p w:rsidR="002C3B9D" w:rsidRPr="002C3B9D" w:rsidRDefault="002C3B9D" w:rsidP="002C3B9D">
      <w:pPr>
        <w:pStyle w:val="NormalWeb"/>
        <w:ind w:left="360"/>
        <w:rPr>
          <w:sz w:val="20"/>
          <w:szCs w:val="20"/>
        </w:rPr>
      </w:pPr>
      <w:r w:rsidRPr="002C3B9D">
        <w:rPr>
          <w:sz w:val="20"/>
          <w:szCs w:val="20"/>
        </w:rPr>
        <w:t>MSLA</w:t>
      </w:r>
      <w:r w:rsidRPr="002C3B9D">
        <w:rPr>
          <w:color w:val="000000"/>
          <w:sz w:val="20"/>
          <w:szCs w:val="20"/>
        </w:rPr>
        <w:t xml:space="preserve"> - </w:t>
      </w:r>
      <w:hyperlink r:id="rId799" w:history="1">
        <w:r w:rsidRPr="002C3B9D">
          <w:rPr>
            <w:rStyle w:val="Hyperlink"/>
            <w:sz w:val="20"/>
            <w:szCs w:val="20"/>
          </w:rPr>
          <w:t>https://poc.mslacms.com/MSLACMS/MainLogin.aspx</w:t>
        </w:r>
      </w:hyperlink>
    </w:p>
    <w:p w:rsidR="002C3B9D" w:rsidRPr="002C3B9D" w:rsidRDefault="002C3B9D" w:rsidP="002C3B9D">
      <w:pPr>
        <w:pStyle w:val="NormalWeb"/>
        <w:ind w:left="360"/>
        <w:rPr>
          <w:sz w:val="20"/>
          <w:szCs w:val="20"/>
        </w:rPr>
      </w:pPr>
      <w:r w:rsidRPr="002C3B9D">
        <w:rPr>
          <w:sz w:val="20"/>
          <w:szCs w:val="20"/>
        </w:rPr>
        <w:t>VES access is</w:t>
      </w:r>
      <w:r w:rsidRPr="002C3B9D">
        <w:rPr>
          <w:color w:val="000000"/>
          <w:sz w:val="20"/>
          <w:szCs w:val="20"/>
        </w:rPr>
        <w:t xml:space="preserve"> currently</w:t>
      </w:r>
      <w:r w:rsidRPr="002C3B9D">
        <w:rPr>
          <w:sz w:val="20"/>
          <w:szCs w:val="20"/>
        </w:rPr>
        <w:t xml:space="preserve"> being requested</w:t>
      </w:r>
      <w:r w:rsidRPr="002C3B9D">
        <w:rPr>
          <w:color w:val="000000"/>
          <w:sz w:val="20"/>
          <w:szCs w:val="20"/>
        </w:rPr>
        <w:t xml:space="preserve"> for those who order exams.</w:t>
      </w:r>
      <w:r w:rsidRPr="002C3B9D">
        <w:rPr>
          <w:sz w:val="20"/>
          <w:szCs w:val="20"/>
        </w:rPr>
        <w:t xml:space="preserve">  </w:t>
      </w:r>
    </w:p>
    <w:p w:rsidR="002C3B9D" w:rsidRPr="002C3B9D" w:rsidRDefault="002C3B9D" w:rsidP="002C3B9D">
      <w:pPr>
        <w:pStyle w:val="NormalWeb"/>
        <w:ind w:left="360"/>
        <w:rPr>
          <w:rFonts w:ascii="Calibri" w:hAnsi="Calibri" w:cs="Times New Roman"/>
          <w:color w:val="000000"/>
          <w:sz w:val="20"/>
          <w:szCs w:val="20"/>
        </w:rPr>
      </w:pPr>
      <w:r w:rsidRPr="002C3B9D">
        <w:rPr>
          <w:color w:val="000000"/>
          <w:sz w:val="20"/>
          <w:szCs w:val="20"/>
        </w:rPr>
        <w:t xml:space="preserve">This information is also available on the </w:t>
      </w:r>
      <w:hyperlink r:id="rId800" w:history="1">
        <w:r w:rsidRPr="002C3B9D">
          <w:rPr>
            <w:rStyle w:val="Hyperlink"/>
            <w:sz w:val="20"/>
            <w:szCs w:val="20"/>
          </w:rPr>
          <w:t>Compensation Service Intranet</w:t>
        </w:r>
      </w:hyperlink>
      <w:r w:rsidRPr="002C3B9D">
        <w:rPr>
          <w:color w:val="000000"/>
          <w:sz w:val="20"/>
          <w:szCs w:val="20"/>
        </w:rPr>
        <w:t>.</w:t>
      </w:r>
    </w:p>
    <w:p w:rsidR="002C3B9D" w:rsidRPr="008F1ACE" w:rsidRDefault="002C3B9D" w:rsidP="008F1ACE">
      <w:pPr>
        <w:rPr>
          <w:color w:val="000000"/>
          <w:szCs w:val="24"/>
        </w:rPr>
      </w:pPr>
    </w:p>
    <w:p w:rsidR="00013EB8" w:rsidRDefault="00013EB8" w:rsidP="005D7F60">
      <w:pPr>
        <w:widowControl w:val="0"/>
        <w:pBdr>
          <w:top w:val="double" w:sz="4" w:space="1" w:color="auto"/>
        </w:pBdr>
        <w:rPr>
          <w:color w:val="0000FF"/>
        </w:rPr>
      </w:pPr>
    </w:p>
    <w:p w:rsidR="00A34300" w:rsidRPr="00A34300" w:rsidRDefault="00A34300" w:rsidP="00A34300">
      <w:pPr>
        <w:rPr>
          <w:rFonts w:ascii="Tahoma" w:hAnsi="Tahoma" w:cs="Tahoma"/>
        </w:rPr>
      </w:pPr>
      <w:bookmarkStart w:id="182" w:name="_MailOriginal"/>
      <w:r w:rsidRPr="00A34300">
        <w:rPr>
          <w:rFonts w:ascii="Tahoma" w:hAnsi="Tahoma" w:cs="Tahoma"/>
          <w:b/>
          <w:bCs/>
        </w:rPr>
        <w:t>From:</w:t>
      </w:r>
      <w:r w:rsidRPr="00A34300">
        <w:rPr>
          <w:rFonts w:ascii="Tahoma" w:hAnsi="Tahoma" w:cs="Tahoma"/>
        </w:rPr>
        <w:t xml:space="preserve"> VAVBASDC/RO/VSC </w:t>
      </w:r>
      <w:r w:rsidRPr="00A34300">
        <w:rPr>
          <w:rFonts w:ascii="Tahoma" w:hAnsi="Tahoma" w:cs="Tahoma"/>
        </w:rPr>
        <w:br/>
      </w:r>
      <w:r w:rsidRPr="00A34300">
        <w:rPr>
          <w:rFonts w:ascii="Tahoma" w:hAnsi="Tahoma" w:cs="Tahoma"/>
          <w:b/>
          <w:bCs/>
        </w:rPr>
        <w:t>Sent:</w:t>
      </w:r>
      <w:r w:rsidRPr="00A34300">
        <w:rPr>
          <w:rFonts w:ascii="Tahoma" w:hAnsi="Tahoma" w:cs="Tahoma"/>
        </w:rPr>
        <w:t xml:space="preserve"> Wednesday, October 05, 2016 10:29 AM</w:t>
      </w:r>
      <w:r w:rsidRPr="00A34300">
        <w:rPr>
          <w:rFonts w:ascii="Tahoma" w:hAnsi="Tahoma" w:cs="Tahoma"/>
        </w:rPr>
        <w:br/>
      </w:r>
      <w:r w:rsidRPr="00A34300">
        <w:rPr>
          <w:rFonts w:ascii="Tahoma" w:hAnsi="Tahoma" w:cs="Tahoma"/>
          <w:b/>
          <w:bCs/>
        </w:rPr>
        <w:t>Subject:</w:t>
      </w:r>
      <w:r w:rsidRPr="00A34300">
        <w:rPr>
          <w:rFonts w:ascii="Tahoma" w:hAnsi="Tahoma" w:cs="Tahoma"/>
        </w:rPr>
        <w:t xml:space="preserve"> FW: VHA Exam Cancellation Guidance </w:t>
      </w:r>
    </w:p>
    <w:p w:rsidR="00A34300" w:rsidRPr="00A34300" w:rsidRDefault="00A34300" w:rsidP="00A34300">
      <w:pPr>
        <w:rPr>
          <w:rFonts w:ascii="Calibri" w:eastAsiaTheme="minorHAnsi" w:hAnsi="Calibri" w:cs="Times New Roman"/>
        </w:rPr>
      </w:pPr>
    </w:p>
    <w:p w:rsidR="00A34300" w:rsidRPr="00A34300" w:rsidRDefault="00A34300" w:rsidP="00A34300">
      <w:r w:rsidRPr="00A34300">
        <w:rPr>
          <w:color w:val="000000"/>
        </w:rPr>
        <w:t>Good Morning,</w:t>
      </w:r>
    </w:p>
    <w:p w:rsidR="00A34300" w:rsidRPr="00A34300" w:rsidRDefault="00A34300" w:rsidP="00A34300"/>
    <w:p w:rsidR="00A34300" w:rsidRPr="00A34300" w:rsidRDefault="00A34300" w:rsidP="00A34300">
      <w:r w:rsidRPr="00A34300">
        <w:t xml:space="preserve">Effective October 1, 2016, Veterans Health Administration (VHA) Compensation &amp; Pension disability exam clinics may begin cancelling contract-eligible exam requests for which they do not have the resources to complete timely.  This VHA directive coincides with an expansion of VBA’s Mandatory Disability Exam (MDE) contract and the transfer of VHA’s Disability Examination Management (DEM) contract to VBA.  At this time, VBA’s exam contracts cover Veterans who live in the United States and OCONUS locations (see attached for MDE coverage).  ERRA and CAATS have been updated to reflect the geographic expansion of VBA’s exam contracts and the current availability of vendors (i.e., ERRA and CAATS only reflect vendors with connectivity to VBA systems).  </w:t>
      </w:r>
    </w:p>
    <w:p w:rsidR="00A34300" w:rsidRPr="00A34300" w:rsidRDefault="00A34300" w:rsidP="00A34300"/>
    <w:p w:rsidR="00A34300" w:rsidRPr="00A34300" w:rsidRDefault="00A34300" w:rsidP="00A34300">
      <w:r w:rsidRPr="00A34300">
        <w:t xml:space="preserve">To help ensure Veterans continue to receive timely examinations, please </w:t>
      </w:r>
      <w:r w:rsidRPr="00A34300">
        <w:rPr>
          <w:color w:val="000000"/>
        </w:rPr>
        <w:t>be reminded</w:t>
      </w:r>
      <w:r w:rsidRPr="00A34300">
        <w:t xml:space="preserve"> of the following:</w:t>
      </w:r>
    </w:p>
    <w:p w:rsidR="00A34300" w:rsidRPr="00A34300" w:rsidRDefault="00A34300" w:rsidP="00A34300"/>
    <w:p w:rsidR="00A34300" w:rsidRPr="00A34300" w:rsidRDefault="00A34300" w:rsidP="00F063AF">
      <w:pPr>
        <w:pStyle w:val="ListParagraph"/>
        <w:numPr>
          <w:ilvl w:val="0"/>
          <w:numId w:val="322"/>
        </w:numPr>
        <w:spacing w:after="0" w:line="240" w:lineRule="auto"/>
        <w:rPr>
          <w:rFonts w:ascii="Arial" w:hAnsi="Arial"/>
          <w:sz w:val="20"/>
          <w:szCs w:val="20"/>
        </w:rPr>
      </w:pPr>
      <w:r w:rsidRPr="00A34300">
        <w:rPr>
          <w:rFonts w:ascii="Arial" w:hAnsi="Arial"/>
          <w:sz w:val="20"/>
          <w:szCs w:val="20"/>
        </w:rPr>
        <w:t>All employees must utilize ERRA to determine where to route compensation-related disability exams.  ERRA has been updated to reflect the geographic expansion of VBA’s exam contracts and the current availability of vendors.</w:t>
      </w:r>
      <w:r w:rsidRPr="00A34300">
        <w:rPr>
          <w:rFonts w:ascii="Arial" w:hAnsi="Arial"/>
          <w:color w:val="000000"/>
          <w:sz w:val="20"/>
          <w:szCs w:val="20"/>
        </w:rPr>
        <w:t xml:space="preserve"> </w:t>
      </w:r>
    </w:p>
    <w:p w:rsidR="00A34300" w:rsidRPr="00A34300" w:rsidRDefault="00A34300" w:rsidP="00A34300">
      <w:pPr>
        <w:rPr>
          <w:color w:val="000000"/>
        </w:rPr>
      </w:pPr>
    </w:p>
    <w:p w:rsidR="00A34300" w:rsidRPr="00A34300" w:rsidRDefault="00A34300" w:rsidP="00F063AF">
      <w:pPr>
        <w:pStyle w:val="ListParagraph"/>
        <w:numPr>
          <w:ilvl w:val="0"/>
          <w:numId w:val="323"/>
        </w:numPr>
        <w:spacing w:after="120" w:line="240" w:lineRule="auto"/>
        <w:rPr>
          <w:rFonts w:ascii="Arial" w:hAnsi="Arial"/>
          <w:sz w:val="20"/>
          <w:szCs w:val="20"/>
        </w:rPr>
      </w:pPr>
      <w:r w:rsidRPr="00A34300">
        <w:rPr>
          <w:rFonts w:ascii="Arial" w:hAnsi="Arial"/>
          <w:color w:val="000000"/>
          <w:sz w:val="20"/>
          <w:szCs w:val="20"/>
        </w:rPr>
        <w:t>It is required to associate the ERRA tool’s inquiry results with the claims folder (</w:t>
      </w:r>
      <w:r w:rsidRPr="00A34300">
        <w:rPr>
          <w:rFonts w:ascii="Arial" w:hAnsi="Arial"/>
          <w:sz w:val="20"/>
          <w:szCs w:val="20"/>
        </w:rPr>
        <w:t>III.iv.3.A.1.d</w:t>
      </w:r>
      <w:bookmarkStart w:id="183" w:name="1d"/>
      <w:r w:rsidRPr="00A34300">
        <w:rPr>
          <w:rFonts w:ascii="Arial" w:hAnsi="Arial"/>
          <w:color w:val="444444"/>
          <w:sz w:val="20"/>
          <w:szCs w:val="20"/>
        </w:rPr>
        <w:t>.</w:t>
      </w:r>
      <w:bookmarkEnd w:id="183"/>
      <w:r w:rsidRPr="00A34300">
        <w:rPr>
          <w:rFonts w:ascii="Arial" w:hAnsi="Arial"/>
          <w:sz w:val="20"/>
          <w:szCs w:val="20"/>
        </w:rPr>
        <w:t xml:space="preserve">  Mandatory Use of the ERRA Tool).  Instructions on how to convert documents to a portable document format (PDF) for upload, see </w:t>
      </w:r>
      <w:hyperlink r:id="rId801" w:anchor="!agent/portal/554400000001034/article/554400000014132/M21-1, Part III, Subpart ii, Chapter 4, Section G - Folder Maintenance" w:history="1">
        <w:r w:rsidRPr="00A34300">
          <w:rPr>
            <w:rStyle w:val="Hyperlink"/>
            <w:rFonts w:ascii="Arial" w:hAnsi="Arial"/>
            <w:sz w:val="20"/>
            <w:szCs w:val="20"/>
          </w:rPr>
          <w:t>M21-1, Part III, Subpart ii, 4.G.2.b</w:t>
        </w:r>
      </w:hyperlink>
    </w:p>
    <w:p w:rsidR="00A34300" w:rsidRPr="00A34300" w:rsidRDefault="00A34300" w:rsidP="00F063AF">
      <w:pPr>
        <w:pStyle w:val="ListParagraph"/>
        <w:numPr>
          <w:ilvl w:val="1"/>
          <w:numId w:val="324"/>
        </w:numPr>
        <w:spacing w:before="60" w:after="120" w:line="240" w:lineRule="auto"/>
        <w:rPr>
          <w:rFonts w:ascii="Arial" w:hAnsi="Arial"/>
          <w:sz w:val="20"/>
          <w:szCs w:val="20"/>
        </w:rPr>
      </w:pPr>
      <w:r w:rsidRPr="00A34300">
        <w:rPr>
          <w:rFonts w:ascii="Arial" w:hAnsi="Arial"/>
          <w:sz w:val="20"/>
          <w:szCs w:val="20"/>
        </w:rPr>
        <w:t>When recommended by ERRA, employees must use CAATS to submit contract exam requests.  ERRA will provide employees the information they need to use CAATS to submit contract exam requests to the correct vendor (i.e., name of vendor and station number aligned with the Veteran’s location).</w:t>
      </w:r>
    </w:p>
    <w:p w:rsidR="00A34300" w:rsidRPr="00A34300" w:rsidRDefault="00A34300" w:rsidP="00F063AF">
      <w:pPr>
        <w:pStyle w:val="ListParagraph"/>
        <w:numPr>
          <w:ilvl w:val="1"/>
          <w:numId w:val="324"/>
        </w:numPr>
        <w:spacing w:before="60" w:after="120" w:line="240" w:lineRule="auto"/>
        <w:rPr>
          <w:rFonts w:ascii="Arial" w:hAnsi="Arial"/>
          <w:sz w:val="20"/>
          <w:szCs w:val="20"/>
        </w:rPr>
      </w:pPr>
      <w:r w:rsidRPr="00A34300">
        <w:rPr>
          <w:rFonts w:ascii="Arial" w:hAnsi="Arial"/>
          <w:sz w:val="20"/>
          <w:szCs w:val="20"/>
        </w:rPr>
        <w:t>When recommended by ERRA and/or required based on a contract exclusion, employees must use CAPRI to submit VHA exam requests.  For exam requests submitted based on a contract exclusion, employees should use the comments section in CAPRI to clearly describe the contract exclusion (e.g., Do not cancel; Veteran is incarcerated and not eligible for a contract exam).</w:t>
      </w:r>
    </w:p>
    <w:p w:rsidR="00A34300" w:rsidRPr="00A34300" w:rsidRDefault="00A34300" w:rsidP="00F063AF">
      <w:pPr>
        <w:pStyle w:val="ListParagraph"/>
        <w:numPr>
          <w:ilvl w:val="0"/>
          <w:numId w:val="324"/>
        </w:numPr>
        <w:spacing w:before="60" w:after="120" w:line="240" w:lineRule="auto"/>
        <w:rPr>
          <w:rFonts w:ascii="Arial" w:hAnsi="Arial"/>
          <w:sz w:val="20"/>
          <w:szCs w:val="20"/>
        </w:rPr>
      </w:pPr>
      <w:r w:rsidRPr="00A34300">
        <w:rPr>
          <w:rFonts w:ascii="Arial" w:hAnsi="Arial"/>
          <w:sz w:val="20"/>
          <w:szCs w:val="20"/>
        </w:rPr>
        <w:t>All employees must take the next appropriate action upon receipt of notification of a cancelled exam.  Employees may resubmit exam requests, update tracked items, and add VBMS notes while a claim remains at 499.</w:t>
      </w:r>
      <w:r w:rsidRPr="00A34300">
        <w:rPr>
          <w:rFonts w:ascii="Arial" w:hAnsi="Arial"/>
          <w:color w:val="000000"/>
          <w:sz w:val="20"/>
          <w:szCs w:val="20"/>
        </w:rPr>
        <w:t>  Please note, VHA may not cancel the entire 2507 examination referral.  Please only reschedule/reorder the specific DBQ exam that was cancelled.</w:t>
      </w:r>
    </w:p>
    <w:p w:rsidR="00A34300" w:rsidRPr="00A34300" w:rsidRDefault="00A34300" w:rsidP="00F063AF">
      <w:pPr>
        <w:pStyle w:val="ListParagraph"/>
        <w:numPr>
          <w:ilvl w:val="0"/>
          <w:numId w:val="324"/>
        </w:numPr>
        <w:spacing w:before="60" w:after="60" w:line="240" w:lineRule="auto"/>
        <w:rPr>
          <w:rFonts w:ascii="Arial" w:hAnsi="Arial"/>
          <w:sz w:val="20"/>
          <w:szCs w:val="20"/>
        </w:rPr>
      </w:pPr>
      <w:r w:rsidRPr="00A34300">
        <w:rPr>
          <w:rFonts w:ascii="Arial" w:hAnsi="Arial"/>
          <w:sz w:val="20"/>
          <w:szCs w:val="20"/>
        </w:rPr>
        <w:t>VHA may cancel exams submitted based on an ERRA routing recommendation.  If this occurs, employees should use ERRA to obtain the name of the vendor and the station number aligned with the Veteran’s location.  Employees should then submit the exam via CAATS, regardless of ERRA’s routing recommendation.  ERRA compliance is based solely on exam requests submitted to VHA.</w:t>
      </w:r>
      <w:r w:rsidRPr="00A34300">
        <w:rPr>
          <w:rFonts w:ascii="Arial" w:hAnsi="Arial"/>
          <w:color w:val="000000"/>
          <w:sz w:val="20"/>
          <w:szCs w:val="20"/>
        </w:rPr>
        <w:t xml:space="preserve">  </w:t>
      </w:r>
    </w:p>
    <w:p w:rsidR="00A34300" w:rsidRPr="00A34300" w:rsidRDefault="00A34300" w:rsidP="00A34300"/>
    <w:p w:rsidR="00A34300" w:rsidRPr="00A34300" w:rsidRDefault="00A34300" w:rsidP="00A34300">
      <w:pPr>
        <w:rPr>
          <w:color w:val="000000"/>
        </w:rPr>
      </w:pPr>
      <w:r w:rsidRPr="00A34300">
        <w:rPr>
          <w:color w:val="000000"/>
        </w:rPr>
        <w:t xml:space="preserve">Reminders: </w:t>
      </w:r>
    </w:p>
    <w:p w:rsidR="00A34300" w:rsidRPr="00A34300" w:rsidRDefault="00E76E44" w:rsidP="00F063AF">
      <w:pPr>
        <w:pStyle w:val="ListParagraph"/>
        <w:numPr>
          <w:ilvl w:val="0"/>
          <w:numId w:val="325"/>
        </w:numPr>
        <w:spacing w:after="0" w:line="240" w:lineRule="auto"/>
        <w:rPr>
          <w:rFonts w:ascii="Arial" w:hAnsi="Arial"/>
          <w:color w:val="000000"/>
          <w:sz w:val="20"/>
          <w:szCs w:val="20"/>
        </w:rPr>
      </w:pPr>
      <w:r>
        <w:rPr>
          <w:rFonts w:ascii="Arial" w:hAnsi="Arial"/>
          <w:color w:val="000000"/>
          <w:sz w:val="20"/>
          <w:szCs w:val="20"/>
        </w:rPr>
        <w:t>For all Quick</w:t>
      </w:r>
      <w:r w:rsidR="008A3B47">
        <w:rPr>
          <w:rFonts w:ascii="Arial" w:hAnsi="Arial"/>
          <w:color w:val="000000"/>
          <w:sz w:val="20"/>
          <w:szCs w:val="20"/>
        </w:rPr>
        <w:t xml:space="preserve"> </w:t>
      </w:r>
      <w:r w:rsidR="00A34300" w:rsidRPr="00A34300">
        <w:rPr>
          <w:rFonts w:ascii="Arial" w:hAnsi="Arial"/>
          <w:color w:val="000000"/>
          <w:sz w:val="20"/>
          <w:szCs w:val="20"/>
        </w:rPr>
        <w:t xml:space="preserve">Start exam requests that ERRA refers through an exam vendor, please </w:t>
      </w:r>
      <w:r w:rsidR="00A34300" w:rsidRPr="00A34300">
        <w:rPr>
          <w:rFonts w:ascii="Arial" w:hAnsi="Arial"/>
          <w:sz w:val="20"/>
          <w:szCs w:val="20"/>
        </w:rPr>
        <w:t>be sure to indicate the following:</w:t>
      </w:r>
    </w:p>
    <w:p w:rsidR="00A34300" w:rsidRPr="00A34300" w:rsidRDefault="00A34300" w:rsidP="00F063AF">
      <w:pPr>
        <w:pStyle w:val="NormalWeb"/>
        <w:numPr>
          <w:ilvl w:val="0"/>
          <w:numId w:val="326"/>
        </w:numPr>
        <w:spacing w:after="0"/>
        <w:rPr>
          <w:color w:val="000000"/>
          <w:sz w:val="20"/>
          <w:szCs w:val="20"/>
        </w:rPr>
      </w:pPr>
      <w:r w:rsidRPr="00A34300">
        <w:rPr>
          <w:color w:val="000000"/>
          <w:sz w:val="20"/>
          <w:szCs w:val="20"/>
        </w:rPr>
        <w:t>Special Program: Quick</w:t>
      </w:r>
      <w:r w:rsidR="008A3B47">
        <w:rPr>
          <w:color w:val="000000"/>
          <w:sz w:val="20"/>
          <w:szCs w:val="20"/>
        </w:rPr>
        <w:t xml:space="preserve"> </w:t>
      </w:r>
      <w:r w:rsidRPr="00A34300">
        <w:rPr>
          <w:color w:val="000000"/>
          <w:sz w:val="20"/>
          <w:szCs w:val="20"/>
        </w:rPr>
        <w:t xml:space="preserve">Start </w:t>
      </w:r>
    </w:p>
    <w:p w:rsidR="00A34300" w:rsidRPr="00A34300" w:rsidRDefault="00A34300" w:rsidP="00F063AF">
      <w:pPr>
        <w:pStyle w:val="NormalWeb"/>
        <w:numPr>
          <w:ilvl w:val="0"/>
          <w:numId w:val="326"/>
        </w:numPr>
        <w:spacing w:after="0"/>
        <w:rPr>
          <w:color w:val="000000"/>
          <w:sz w:val="20"/>
          <w:szCs w:val="20"/>
        </w:rPr>
      </w:pPr>
      <w:r w:rsidRPr="00A34300">
        <w:rPr>
          <w:color w:val="000000"/>
          <w:sz w:val="20"/>
          <w:szCs w:val="20"/>
        </w:rPr>
        <w:t>Quick</w:t>
      </w:r>
      <w:r w:rsidR="008A3B47">
        <w:rPr>
          <w:color w:val="000000"/>
          <w:sz w:val="20"/>
          <w:szCs w:val="20"/>
        </w:rPr>
        <w:t xml:space="preserve"> </w:t>
      </w:r>
      <w:r w:rsidRPr="00A34300">
        <w:rPr>
          <w:color w:val="000000"/>
          <w:sz w:val="20"/>
          <w:szCs w:val="20"/>
        </w:rPr>
        <w:t>Start Sites :992:Quick</w:t>
      </w:r>
      <w:r w:rsidR="008A3B47">
        <w:rPr>
          <w:color w:val="000000"/>
          <w:sz w:val="20"/>
          <w:szCs w:val="20"/>
        </w:rPr>
        <w:t xml:space="preserve"> </w:t>
      </w:r>
      <w:r w:rsidRPr="00A34300">
        <w:rPr>
          <w:color w:val="000000"/>
          <w:sz w:val="20"/>
          <w:szCs w:val="20"/>
        </w:rPr>
        <w:t>Start,CA</w:t>
      </w:r>
    </w:p>
    <w:p w:rsidR="00A34300" w:rsidRPr="00A34300" w:rsidRDefault="00A34300" w:rsidP="00A34300">
      <w:pPr>
        <w:pStyle w:val="NormalWeb"/>
        <w:spacing w:after="0"/>
        <w:ind w:left="1080"/>
        <w:rPr>
          <w:color w:val="000000"/>
          <w:sz w:val="20"/>
          <w:szCs w:val="20"/>
        </w:rPr>
      </w:pPr>
      <w:r w:rsidRPr="00A34300">
        <w:rPr>
          <w:color w:val="000000"/>
          <w:sz w:val="20"/>
          <w:szCs w:val="20"/>
        </w:rPr>
        <w:t xml:space="preserve">Note: the </w:t>
      </w:r>
      <w:r w:rsidRPr="00A34300">
        <w:rPr>
          <w:i/>
          <w:iCs/>
          <w:color w:val="000000"/>
          <w:sz w:val="20"/>
          <w:szCs w:val="20"/>
        </w:rPr>
        <w:t>Quick</w:t>
      </w:r>
      <w:r w:rsidR="008A3B47">
        <w:rPr>
          <w:i/>
          <w:iCs/>
          <w:color w:val="000000"/>
          <w:sz w:val="20"/>
          <w:szCs w:val="20"/>
        </w:rPr>
        <w:t xml:space="preserve"> </w:t>
      </w:r>
      <w:r w:rsidRPr="00A34300">
        <w:rPr>
          <w:i/>
          <w:iCs/>
          <w:color w:val="000000"/>
          <w:sz w:val="20"/>
          <w:szCs w:val="20"/>
        </w:rPr>
        <w:t>StartSite</w:t>
      </w:r>
      <w:r w:rsidRPr="00A34300">
        <w:rPr>
          <w:color w:val="000000"/>
          <w:sz w:val="20"/>
          <w:szCs w:val="20"/>
        </w:rPr>
        <w:t xml:space="preserve"> field should not be left blank</w:t>
      </w:r>
    </w:p>
    <w:p w:rsidR="00A34300" w:rsidRPr="00A34300" w:rsidRDefault="00A34300" w:rsidP="00F063AF">
      <w:pPr>
        <w:pStyle w:val="NormalWeb"/>
        <w:numPr>
          <w:ilvl w:val="0"/>
          <w:numId w:val="326"/>
        </w:numPr>
        <w:spacing w:after="0"/>
        <w:rPr>
          <w:color w:val="000000"/>
          <w:sz w:val="20"/>
          <w:szCs w:val="20"/>
        </w:rPr>
      </w:pPr>
      <w:r w:rsidRPr="00A34300">
        <w:rPr>
          <w:color w:val="000000"/>
          <w:sz w:val="20"/>
          <w:szCs w:val="20"/>
        </w:rPr>
        <w:t>Contractor: QTC MED SVCS INC</w:t>
      </w:r>
    </w:p>
    <w:p w:rsidR="00A34300" w:rsidRPr="00A34300" w:rsidRDefault="00A34300" w:rsidP="00A34300">
      <w:pPr>
        <w:rPr>
          <w:color w:val="000000"/>
        </w:rPr>
      </w:pPr>
    </w:p>
    <w:p w:rsidR="00A34300" w:rsidRPr="00A34300" w:rsidRDefault="00A34300" w:rsidP="00F063AF">
      <w:pPr>
        <w:pStyle w:val="ListParagraph"/>
        <w:numPr>
          <w:ilvl w:val="0"/>
          <w:numId w:val="322"/>
        </w:numPr>
        <w:spacing w:after="0" w:line="240" w:lineRule="auto"/>
        <w:rPr>
          <w:rFonts w:ascii="Arial" w:hAnsi="Arial"/>
          <w:color w:val="000000"/>
          <w:sz w:val="20"/>
          <w:szCs w:val="20"/>
        </w:rPr>
      </w:pPr>
      <w:r w:rsidRPr="00A34300">
        <w:rPr>
          <w:rFonts w:ascii="Arial" w:hAnsi="Arial"/>
          <w:color w:val="000000"/>
          <w:sz w:val="20"/>
          <w:szCs w:val="20"/>
        </w:rPr>
        <w:t>If ERRA recommends routing any required DBQ to a vendor and all DBQs are contract eligible, submit the exam request through CAATS.</w:t>
      </w:r>
    </w:p>
    <w:p w:rsidR="00A34300" w:rsidRPr="00A34300" w:rsidRDefault="00A34300" w:rsidP="00A34300">
      <w:pPr>
        <w:rPr>
          <w:color w:val="000000"/>
        </w:rPr>
      </w:pPr>
    </w:p>
    <w:bookmarkEnd w:id="182"/>
    <w:p w:rsidR="008A3B47" w:rsidRPr="00E76E44" w:rsidRDefault="008A3B47" w:rsidP="008A3B47">
      <w:pPr>
        <w:rPr>
          <w:color w:val="000000"/>
          <w:szCs w:val="24"/>
        </w:rPr>
      </w:pPr>
      <w:r w:rsidRPr="008A3B47">
        <w:rPr>
          <w:i/>
          <w:color w:val="00B050"/>
          <w:szCs w:val="24"/>
        </w:rPr>
        <w:t>My Notes:</w:t>
      </w:r>
      <w:r w:rsidRPr="008A3B47">
        <w:rPr>
          <w:color w:val="00B050"/>
          <w:szCs w:val="24"/>
        </w:rPr>
        <w:t xml:space="preserve">  </w:t>
      </w:r>
      <w:r>
        <w:rPr>
          <w:color w:val="000000"/>
          <w:szCs w:val="24"/>
        </w:rPr>
        <w:t>Quick Start discontinued 10/1/17</w:t>
      </w:r>
    </w:p>
    <w:p w:rsidR="008A3B47" w:rsidRPr="00A34300" w:rsidRDefault="008A3B47" w:rsidP="00A34300">
      <w:pPr>
        <w:rPr>
          <w:color w:val="000000"/>
        </w:rPr>
      </w:pPr>
    </w:p>
    <w:p w:rsidR="00A34300" w:rsidRDefault="00A34300" w:rsidP="005D7F60">
      <w:pPr>
        <w:widowControl w:val="0"/>
        <w:pBdr>
          <w:top w:val="double" w:sz="4" w:space="1" w:color="auto"/>
        </w:pBdr>
        <w:rPr>
          <w:color w:val="0000FF"/>
        </w:rPr>
      </w:pPr>
    </w:p>
    <w:p w:rsidR="00A34300" w:rsidRDefault="00A34300" w:rsidP="005D7F60">
      <w:pPr>
        <w:widowControl w:val="0"/>
        <w:pBdr>
          <w:top w:val="double" w:sz="4" w:space="1" w:color="auto"/>
        </w:pBdr>
        <w:rPr>
          <w:color w:val="0000FF"/>
        </w:rPr>
      </w:pPr>
    </w:p>
    <w:p w:rsidR="00A34300" w:rsidRDefault="00A34300" w:rsidP="005D7F60">
      <w:pPr>
        <w:widowControl w:val="0"/>
        <w:pBdr>
          <w:top w:val="double" w:sz="4" w:space="1" w:color="auto"/>
        </w:pBdr>
        <w:rPr>
          <w:color w:val="0000FF"/>
        </w:rPr>
      </w:pPr>
    </w:p>
    <w:p w:rsidR="008D4DE7" w:rsidRPr="00D10240" w:rsidRDefault="009956B9" w:rsidP="0036376C">
      <w:pPr>
        <w:pBdr>
          <w:top w:val="double" w:sz="4" w:space="1" w:color="auto"/>
          <w:left w:val="double" w:sz="4" w:space="4" w:color="auto"/>
          <w:bottom w:val="double" w:sz="4" w:space="1" w:color="auto"/>
          <w:right w:val="double" w:sz="4" w:space="4" w:color="auto"/>
        </w:pBdr>
        <w:shd w:val="clear" w:color="auto" w:fill="FFC000"/>
        <w:rPr>
          <w:rFonts w:eastAsiaTheme="minorHAnsi"/>
        </w:rPr>
      </w:pPr>
      <w:r w:rsidRPr="007F4897">
        <w:rPr>
          <w:rFonts w:eastAsiaTheme="minorHAnsi"/>
          <w:b/>
        </w:rPr>
        <w:t>June 2014</w:t>
      </w:r>
      <w:r w:rsidR="007F4897">
        <w:rPr>
          <w:rFonts w:eastAsiaTheme="minorHAnsi"/>
          <w:b/>
        </w:rPr>
        <w:t xml:space="preserve"> </w:t>
      </w:r>
      <w:r w:rsidR="00D10240" w:rsidRPr="007F4897">
        <w:rPr>
          <w:rFonts w:eastAsiaTheme="minorHAnsi"/>
          <w:b/>
        </w:rPr>
        <w:t>“</w:t>
      </w:r>
      <w:r w:rsidR="008D4DE7" w:rsidRPr="007F4897">
        <w:rPr>
          <w:rFonts w:eastAsiaTheme="minorHAnsi"/>
          <w:b/>
        </w:rPr>
        <w:t>Evaluating Lay</w:t>
      </w:r>
      <w:r w:rsidR="007F4897">
        <w:rPr>
          <w:rFonts w:eastAsiaTheme="minorHAnsi"/>
          <w:b/>
        </w:rPr>
        <w:t xml:space="preserve"> Evidence (TMS 3879907)</w:t>
      </w:r>
      <w:r w:rsidR="00D10240" w:rsidRPr="007F4897">
        <w:rPr>
          <w:rFonts w:eastAsiaTheme="minorHAnsi"/>
          <w:b/>
        </w:rPr>
        <w:t>”</w:t>
      </w:r>
      <w:r w:rsidR="008D4DE7" w:rsidRPr="007F4897">
        <w:rPr>
          <w:rFonts w:eastAsiaTheme="minorHAnsi"/>
          <w:b/>
        </w:rPr>
        <w:t xml:space="preserve"> </w:t>
      </w:r>
      <w:r w:rsidR="002F5977">
        <w:rPr>
          <w:rFonts w:eastAsiaTheme="minorHAnsi"/>
          <w:b/>
        </w:rPr>
        <w:t>[</w:t>
      </w:r>
      <w:r w:rsidR="008D4DE7" w:rsidRPr="007F4897">
        <w:rPr>
          <w:rFonts w:eastAsiaTheme="minorHAnsi"/>
          <w:b/>
        </w:rPr>
        <w:t>PowerPoint</w:t>
      </w:r>
      <w:r w:rsidR="002F5977">
        <w:rPr>
          <w:rFonts w:eastAsiaTheme="minorHAnsi"/>
          <w:b/>
        </w:rPr>
        <w:t>]</w:t>
      </w:r>
      <w:r w:rsidR="00D10240">
        <w:rPr>
          <w:rFonts w:eastAsiaTheme="minorHAnsi"/>
        </w:rPr>
        <w:t xml:space="preserve"> </w:t>
      </w:r>
      <w:r w:rsidR="007F4897">
        <w:rPr>
          <w:rFonts w:eastAsiaTheme="minorHAnsi"/>
        </w:rPr>
        <w:t>is</w:t>
      </w:r>
      <w:r w:rsidR="007F4897" w:rsidRPr="0036376C">
        <w:t xml:space="preserve"> saved at </w:t>
      </w:r>
      <w:r w:rsidR="007F4897" w:rsidRPr="001453C4">
        <w:rPr>
          <w:b/>
          <w:bCs/>
          <w:i/>
          <w:iCs/>
        </w:rPr>
        <w:t>H:\VSC\Rating Reference</w:t>
      </w:r>
    </w:p>
    <w:p w:rsidR="00D10240" w:rsidRDefault="009956B9" w:rsidP="008D4DE7">
      <w:pPr>
        <w:rPr>
          <w:rFonts w:eastAsiaTheme="minorHAnsi"/>
        </w:rPr>
      </w:pPr>
      <w:r>
        <w:rPr>
          <w:rFonts w:eastAsiaTheme="minorHAnsi"/>
        </w:rPr>
        <w:t xml:space="preserve">Page 16 - </w:t>
      </w:r>
      <w:r w:rsidR="00D10240">
        <w:rPr>
          <w:rFonts w:eastAsiaTheme="minorHAnsi"/>
        </w:rPr>
        <w:t>A lay person is:</w:t>
      </w:r>
    </w:p>
    <w:p w:rsidR="00D10240" w:rsidRPr="00D10240" w:rsidRDefault="008D4DE7" w:rsidP="00F063AF">
      <w:pPr>
        <w:pStyle w:val="ListParagraph"/>
        <w:numPr>
          <w:ilvl w:val="0"/>
          <w:numId w:val="184"/>
        </w:numPr>
        <w:spacing w:after="120" w:line="240" w:lineRule="auto"/>
        <w:rPr>
          <w:rFonts w:ascii="Arial" w:eastAsiaTheme="minorHAnsi" w:hAnsi="Arial"/>
        </w:rPr>
      </w:pPr>
      <w:r w:rsidRPr="00D10240">
        <w:rPr>
          <w:rFonts w:ascii="Arial" w:eastAsiaTheme="minorHAnsi" w:hAnsi="Arial"/>
        </w:rPr>
        <w:t xml:space="preserve">NOT qualified to provide a diagnosis without medical evidence (to include cancers, cause of death, bronchial asthma, </w:t>
      </w:r>
      <w:r w:rsidR="009956B9">
        <w:rPr>
          <w:rFonts w:ascii="Arial" w:eastAsiaTheme="minorHAnsi" w:hAnsi="Arial"/>
        </w:rPr>
        <w:t>M</w:t>
      </w:r>
      <w:r w:rsidRPr="00D10240">
        <w:rPr>
          <w:rFonts w:ascii="Arial" w:eastAsiaTheme="minorHAnsi" w:hAnsi="Arial"/>
        </w:rPr>
        <w:t xml:space="preserve">eniere’s disease, rheumatic fever, chondromalacia, disk herniation, any other medical condition which </w:t>
      </w:r>
      <w:r w:rsidR="00D10240" w:rsidRPr="00D10240">
        <w:rPr>
          <w:rFonts w:ascii="Arial" w:eastAsiaTheme="minorHAnsi" w:hAnsi="Arial"/>
        </w:rPr>
        <w:t>requires training to diagnose)</w:t>
      </w:r>
    </w:p>
    <w:p w:rsidR="008D4DE7" w:rsidRPr="00D10240" w:rsidRDefault="008D4DE7" w:rsidP="00F063AF">
      <w:pPr>
        <w:pStyle w:val="ListParagraph"/>
        <w:numPr>
          <w:ilvl w:val="0"/>
          <w:numId w:val="184"/>
        </w:numPr>
        <w:spacing w:after="120" w:line="240" w:lineRule="auto"/>
        <w:rPr>
          <w:rFonts w:ascii="Arial" w:eastAsiaTheme="minorHAnsi" w:hAnsi="Arial"/>
        </w:rPr>
      </w:pPr>
      <w:r w:rsidRPr="00D10240">
        <w:rPr>
          <w:rFonts w:ascii="Arial" w:eastAsiaTheme="minorHAnsi" w:hAnsi="Arial"/>
        </w:rPr>
        <w:t>IS qualified to describe symptoms (asthma symptoms, tinnitus, headaches, dizziness, pain in feet, flat feet, joint symptoms, dislocations, broken bones, varicose veins, psych symptoms, fall injury/trauma, some skin disorder/rashes, frostbite residuals)</w:t>
      </w:r>
    </w:p>
    <w:p w:rsidR="008D4DE7" w:rsidRDefault="008D4DE7" w:rsidP="008D4DE7">
      <w:pPr>
        <w:rPr>
          <w:rFonts w:eastAsiaTheme="minorHAnsi"/>
        </w:rPr>
      </w:pPr>
      <w:r>
        <w:rPr>
          <w:rFonts w:eastAsiaTheme="minorHAnsi"/>
        </w:rPr>
        <w:t>VSRs &amp; RVSRs have the authority to determine whether a claim is incredible or without merit (like hammer</w:t>
      </w:r>
      <w:r w:rsidR="00F62D48">
        <w:rPr>
          <w:rFonts w:eastAsiaTheme="minorHAnsi"/>
        </w:rPr>
        <w:t xml:space="preserve"> </w:t>
      </w:r>
      <w:r>
        <w:rPr>
          <w:rFonts w:eastAsiaTheme="minorHAnsi"/>
        </w:rPr>
        <w:t>toes secondary to SC tinnitus, or PTSD due to combat when veteran has no foreign or combat service).</w:t>
      </w:r>
    </w:p>
    <w:p w:rsidR="008D4DE7" w:rsidRDefault="008D4DE7" w:rsidP="008D4DE7">
      <w:pPr>
        <w:rPr>
          <w:rFonts w:eastAsiaTheme="minorHAnsi"/>
        </w:rPr>
      </w:pPr>
    </w:p>
    <w:p w:rsidR="00013EB8" w:rsidRDefault="008D4DE7" w:rsidP="00C03D73">
      <w:pPr>
        <w:rPr>
          <w:rFonts w:eastAsiaTheme="minorHAnsi"/>
        </w:rPr>
      </w:pPr>
      <w:r>
        <w:rPr>
          <w:rFonts w:eastAsiaTheme="minorHAnsi"/>
        </w:rPr>
        <w:t>Competent, Plausible, Consistent statements, Consistent with service</w:t>
      </w:r>
    </w:p>
    <w:p w:rsidR="00C03D73" w:rsidRDefault="00C03D73" w:rsidP="00C03D73">
      <w:pPr>
        <w:rPr>
          <w:iCs/>
        </w:rPr>
      </w:pPr>
    </w:p>
    <w:p w:rsidR="00A55279" w:rsidRDefault="00A55279">
      <w:pPr>
        <w:overflowPunct/>
        <w:autoSpaceDE/>
        <w:autoSpaceDN/>
        <w:adjustRightInd/>
        <w:textAlignment w:val="auto"/>
        <w:rPr>
          <w:iCs/>
        </w:rPr>
      </w:pPr>
    </w:p>
    <w:p w:rsidR="009178D4" w:rsidRDefault="009178D4">
      <w:pPr>
        <w:widowControl w:val="0"/>
        <w:pBdr>
          <w:top w:val="double" w:sz="4" w:space="1" w:color="auto"/>
        </w:pBdr>
        <w:tabs>
          <w:tab w:val="left" w:pos="0"/>
          <w:tab w:val="left" w:pos="144"/>
        </w:tabs>
        <w:rPr>
          <w:iCs/>
        </w:rPr>
      </w:pPr>
    </w:p>
    <w:p w:rsidR="00D86647" w:rsidRDefault="00013EB8" w:rsidP="00D86647">
      <w:pPr>
        <w:widowControl w:val="0"/>
        <w:rPr>
          <w:rFonts w:ascii="Verdana" w:hAnsi="Verdana"/>
          <w:b/>
          <w:bCs/>
        </w:rPr>
      </w:pPr>
      <w:bookmarkStart w:id="184" w:name="ReasonableDoubt"/>
      <w:r>
        <w:rPr>
          <w:b/>
          <w:bCs/>
          <w:i/>
          <w:sz w:val="22"/>
        </w:rPr>
        <w:t>REASONABLE DOUBT -</w:t>
      </w:r>
      <w:r w:rsidR="00D86647">
        <w:rPr>
          <w:b/>
          <w:bCs/>
          <w:i/>
          <w:sz w:val="22"/>
        </w:rPr>
        <w:t xml:space="preserve"> </w:t>
      </w:r>
      <w:r w:rsidR="00D86647">
        <w:rPr>
          <w:rFonts w:ascii="Verdana" w:hAnsi="Verdana"/>
          <w:b/>
          <w:bCs/>
          <w:highlight w:val="green"/>
        </w:rPr>
        <w:t>BD1</w:t>
      </w:r>
    </w:p>
    <w:bookmarkEnd w:id="184"/>
    <w:p w:rsidR="00013EB8" w:rsidRDefault="00013EB8">
      <w:pPr>
        <w:widowControl w:val="0"/>
        <w:tabs>
          <w:tab w:val="left" w:pos="0"/>
          <w:tab w:val="left" w:pos="144"/>
        </w:tabs>
        <w:rPr>
          <w:b/>
          <w:bCs/>
          <w:i/>
          <w:sz w:val="22"/>
        </w:rPr>
      </w:pPr>
    </w:p>
    <w:tbl>
      <w:tblPr>
        <w:tblW w:w="10875" w:type="dxa"/>
        <w:tblInd w:w="-45" w:type="dxa"/>
        <w:tblLayout w:type="fixed"/>
        <w:tblCellMar>
          <w:left w:w="30" w:type="dxa"/>
          <w:right w:w="30" w:type="dxa"/>
        </w:tblCellMar>
        <w:tblLook w:val="0000" w:firstRow="0" w:lastRow="0" w:firstColumn="0" w:lastColumn="0" w:noHBand="0" w:noVBand="0"/>
      </w:tblPr>
      <w:tblGrid>
        <w:gridCol w:w="705"/>
        <w:gridCol w:w="10170"/>
      </w:tblGrid>
      <w:tr w:rsidR="00013EB8">
        <w:trPr>
          <w:trHeight w:val="279"/>
        </w:trPr>
        <w:tc>
          <w:tcPr>
            <w:tcW w:w="705" w:type="dxa"/>
            <w:tcBorders>
              <w:top w:val="nil"/>
              <w:left w:val="nil"/>
              <w:bottom w:val="nil"/>
              <w:right w:val="nil"/>
            </w:tcBorders>
          </w:tcPr>
          <w:p w:rsidR="00013EB8" w:rsidRDefault="00013EB8">
            <w:pPr>
              <w:widowControl w:val="0"/>
              <w:numPr>
                <w:ilvl w:val="12"/>
                <w:numId w:val="0"/>
              </w:numPr>
              <w:rPr>
                <w:b/>
              </w:rPr>
            </w:pPr>
            <w:r w:rsidRPr="00453DE5">
              <w:rPr>
                <w:b/>
              </w:rPr>
              <w:t>3.102</w:t>
            </w:r>
          </w:p>
        </w:tc>
        <w:tc>
          <w:tcPr>
            <w:tcW w:w="10170" w:type="dxa"/>
            <w:tcBorders>
              <w:top w:val="nil"/>
              <w:left w:val="nil"/>
              <w:bottom w:val="nil"/>
              <w:right w:val="nil"/>
            </w:tcBorders>
          </w:tcPr>
          <w:p w:rsidR="00013EB8" w:rsidRDefault="00013EB8">
            <w:pPr>
              <w:widowControl w:val="0"/>
              <w:numPr>
                <w:ilvl w:val="12"/>
                <w:numId w:val="0"/>
              </w:numPr>
              <w:spacing w:after="120"/>
            </w:pPr>
            <w:r>
              <w:rPr>
                <w:b/>
              </w:rPr>
              <w:t>Reasonable doubt</w:t>
            </w:r>
            <w:r>
              <w:t xml:space="preserve"> – when “a reasonable doubt arises regarding service origin, the degree of disability, or any other point, such doubt will be resolved in favor of the claimant”</w:t>
            </w:r>
          </w:p>
          <w:p w:rsidR="0050635A" w:rsidRPr="0050635A" w:rsidRDefault="0050635A" w:rsidP="00F063AF">
            <w:pPr>
              <w:widowControl w:val="0"/>
              <w:numPr>
                <w:ilvl w:val="0"/>
                <w:numId w:val="92"/>
              </w:numPr>
              <w:tabs>
                <w:tab w:val="clear" w:pos="720"/>
                <w:tab w:val="num" w:pos="340"/>
              </w:tabs>
              <w:spacing w:after="120"/>
              <w:ind w:left="340"/>
              <w:rPr>
                <w:b/>
              </w:rPr>
            </w:pPr>
            <w:r w:rsidRPr="0050635A">
              <w:rPr>
                <w:b/>
              </w:rPr>
              <w:t>III.iv.5.</w:t>
            </w:r>
            <w:r w:rsidR="00E41417">
              <w:rPr>
                <w:b/>
              </w:rPr>
              <w:t>A.</w:t>
            </w:r>
            <w:r w:rsidRPr="0050635A">
              <w:rPr>
                <w:b/>
              </w:rPr>
              <w:t>1.</w:t>
            </w:r>
            <w:r w:rsidR="00E41417">
              <w:rPr>
                <w:b/>
              </w:rPr>
              <w:t>j</w:t>
            </w:r>
          </w:p>
          <w:p w:rsidR="00496F18" w:rsidRPr="0050635A" w:rsidRDefault="00711CF9" w:rsidP="00F063AF">
            <w:pPr>
              <w:widowControl w:val="0"/>
              <w:numPr>
                <w:ilvl w:val="0"/>
                <w:numId w:val="92"/>
              </w:numPr>
              <w:tabs>
                <w:tab w:val="clear" w:pos="720"/>
                <w:tab w:val="num" w:pos="340"/>
              </w:tabs>
              <w:spacing w:after="120"/>
              <w:ind w:left="340"/>
            </w:pPr>
            <w:r w:rsidRPr="0050635A">
              <w:rPr>
                <w:b/>
                <w:bCs/>
                <w:iCs/>
              </w:rPr>
              <w:t>III.v.1.A</w:t>
            </w:r>
          </w:p>
          <w:p w:rsidR="00013EB8" w:rsidRDefault="00013EB8" w:rsidP="00F063AF">
            <w:pPr>
              <w:widowControl w:val="0"/>
              <w:numPr>
                <w:ilvl w:val="0"/>
                <w:numId w:val="92"/>
              </w:numPr>
              <w:tabs>
                <w:tab w:val="clear" w:pos="720"/>
                <w:tab w:val="left" w:pos="0"/>
                <w:tab w:val="num" w:pos="340"/>
                <w:tab w:val="left" w:pos="1080"/>
              </w:tabs>
              <w:spacing w:after="120"/>
              <w:ind w:left="340"/>
              <w:rPr>
                <w:i/>
              </w:rPr>
            </w:pPr>
            <w:r>
              <w:rPr>
                <w:b/>
                <w:i/>
              </w:rPr>
              <w:t>Overt v. Brown</w:t>
            </w:r>
            <w:r>
              <w:rPr>
                <w:i/>
              </w:rPr>
              <w:t xml:space="preserve"> – “may” is too speculative &amp; inadequate</w:t>
            </w:r>
          </w:p>
          <w:p w:rsidR="00013EB8" w:rsidRDefault="00013EB8" w:rsidP="00F063AF">
            <w:pPr>
              <w:widowControl w:val="0"/>
              <w:numPr>
                <w:ilvl w:val="0"/>
                <w:numId w:val="92"/>
              </w:numPr>
              <w:tabs>
                <w:tab w:val="clear" w:pos="720"/>
                <w:tab w:val="left" w:pos="0"/>
                <w:tab w:val="num" w:pos="340"/>
                <w:tab w:val="left" w:pos="1080"/>
              </w:tabs>
              <w:spacing w:after="120"/>
              <w:ind w:left="340"/>
              <w:rPr>
                <w:i/>
              </w:rPr>
            </w:pPr>
            <w:r>
              <w:rPr>
                <w:b/>
                <w:i/>
              </w:rPr>
              <w:t>Malby v. Brown</w:t>
            </w:r>
            <w:r>
              <w:rPr>
                <w:i/>
              </w:rPr>
              <w:t xml:space="preserve"> – “could” is sufficient to establish a nexus</w:t>
            </w:r>
          </w:p>
          <w:p w:rsidR="00013EB8" w:rsidRDefault="00013EB8" w:rsidP="00F063AF">
            <w:pPr>
              <w:widowControl w:val="0"/>
              <w:numPr>
                <w:ilvl w:val="0"/>
                <w:numId w:val="92"/>
              </w:numPr>
              <w:tabs>
                <w:tab w:val="clear" w:pos="720"/>
                <w:tab w:val="left" w:pos="0"/>
                <w:tab w:val="num" w:pos="340"/>
                <w:tab w:val="left" w:pos="1080"/>
              </w:tabs>
              <w:spacing w:after="120"/>
              <w:ind w:left="340"/>
              <w:rPr>
                <w:i/>
              </w:rPr>
            </w:pPr>
            <w:r>
              <w:rPr>
                <w:b/>
                <w:i/>
              </w:rPr>
              <w:t>Tirpak v. Derwinski</w:t>
            </w:r>
            <w:r>
              <w:rPr>
                <w:i/>
              </w:rPr>
              <w:t xml:space="preserve"> </w:t>
            </w:r>
            <w:r>
              <w:rPr>
                <w:b/>
              </w:rPr>
              <w:t xml:space="preserve">(7/20/92) </w:t>
            </w:r>
            <w:r>
              <w:rPr>
                <w:i/>
              </w:rPr>
              <w:t>– “may” or “may not” is inadequate to establish a nexus</w:t>
            </w:r>
          </w:p>
          <w:p w:rsidR="00013EB8" w:rsidRDefault="00013EB8" w:rsidP="00F063AF">
            <w:pPr>
              <w:widowControl w:val="0"/>
              <w:numPr>
                <w:ilvl w:val="0"/>
                <w:numId w:val="92"/>
              </w:numPr>
              <w:tabs>
                <w:tab w:val="clear" w:pos="720"/>
                <w:tab w:val="left" w:pos="0"/>
                <w:tab w:val="num" w:pos="340"/>
                <w:tab w:val="left" w:pos="1080"/>
              </w:tabs>
              <w:spacing w:after="120"/>
              <w:ind w:left="340"/>
              <w:rPr>
                <w:i/>
              </w:rPr>
            </w:pPr>
            <w:r>
              <w:rPr>
                <w:b/>
                <w:i/>
              </w:rPr>
              <w:t xml:space="preserve">Russell v. Principi </w:t>
            </w:r>
            <w:r>
              <w:rPr>
                <w:b/>
              </w:rPr>
              <w:t>(10/6/92)</w:t>
            </w:r>
            <w:r>
              <w:rPr>
                <w:i/>
              </w:rPr>
              <w:t xml:space="preserve"> </w:t>
            </w:r>
            <w:r>
              <w:t>– cannot apply benefit of the doubt in CUEs</w:t>
            </w:r>
          </w:p>
          <w:p w:rsidR="00013EB8" w:rsidRDefault="00013EB8" w:rsidP="00F063AF">
            <w:pPr>
              <w:widowControl w:val="0"/>
              <w:numPr>
                <w:ilvl w:val="0"/>
                <w:numId w:val="92"/>
              </w:numPr>
              <w:tabs>
                <w:tab w:val="clear" w:pos="720"/>
                <w:tab w:val="num" w:pos="340"/>
                <w:tab w:val="left" w:pos="1080"/>
              </w:tabs>
              <w:spacing w:after="120"/>
              <w:ind w:left="340"/>
              <w:rPr>
                <w:i/>
              </w:rPr>
            </w:pPr>
            <w:r>
              <w:rPr>
                <w:b/>
                <w:i/>
              </w:rPr>
              <w:t xml:space="preserve">Martinez v. Brown </w:t>
            </w:r>
            <w:r>
              <w:rPr>
                <w:b/>
              </w:rPr>
              <w:t xml:space="preserve">(5/27/94) </w:t>
            </w:r>
            <w:r>
              <w:t>– benefit of the doubt does not apply to reopening claims that are finally denied, as the evidence is not weighed</w:t>
            </w:r>
          </w:p>
          <w:p w:rsidR="00013EB8" w:rsidRDefault="00013EB8" w:rsidP="00F063AF">
            <w:pPr>
              <w:widowControl w:val="0"/>
              <w:numPr>
                <w:ilvl w:val="0"/>
                <w:numId w:val="92"/>
              </w:numPr>
              <w:tabs>
                <w:tab w:val="clear" w:pos="720"/>
                <w:tab w:val="num" w:pos="340"/>
                <w:tab w:val="left" w:pos="1080"/>
              </w:tabs>
              <w:spacing w:after="120"/>
              <w:ind w:left="340"/>
              <w:rPr>
                <w:b/>
              </w:rPr>
            </w:pPr>
            <w:r>
              <w:rPr>
                <w:b/>
                <w:i/>
              </w:rPr>
              <w:t>Watai v. Brown</w:t>
            </w:r>
            <w:r>
              <w:rPr>
                <w:b/>
              </w:rPr>
              <w:t xml:space="preserve"> (10/10/96)</w:t>
            </w:r>
            <w:r>
              <w:rPr>
                <w:i/>
              </w:rPr>
              <w:t xml:space="preserve"> – “probably” and “very well might have been” are sufficient medical nexus evidence</w:t>
            </w:r>
          </w:p>
          <w:p w:rsidR="00013EB8" w:rsidRDefault="00013EB8" w:rsidP="00F063AF">
            <w:pPr>
              <w:widowControl w:val="0"/>
              <w:numPr>
                <w:ilvl w:val="0"/>
                <w:numId w:val="92"/>
              </w:numPr>
              <w:tabs>
                <w:tab w:val="clear" w:pos="720"/>
                <w:tab w:val="num" w:pos="340"/>
              </w:tabs>
              <w:spacing w:after="120"/>
              <w:ind w:left="340"/>
            </w:pPr>
            <w:r>
              <w:rPr>
                <w:b/>
                <w:i/>
              </w:rPr>
              <w:t xml:space="preserve">Alemany v. Brown </w:t>
            </w:r>
            <w:r>
              <w:rPr>
                <w:b/>
              </w:rPr>
              <w:t>(11/20/96)</w:t>
            </w:r>
            <w:r>
              <w:rPr>
                <w:i/>
              </w:rPr>
              <w:t xml:space="preserve"> – error in standard of proof; to deny need 50+1, to grant need 50/50 (equipoise)</w:t>
            </w:r>
          </w:p>
        </w:tc>
      </w:tr>
    </w:tbl>
    <w:p w:rsidR="00013EB8" w:rsidRDefault="00013EB8">
      <w:pPr>
        <w:widowControl w:val="0"/>
        <w:tabs>
          <w:tab w:val="left" w:pos="0"/>
          <w:tab w:val="left" w:pos="144"/>
        </w:tabs>
      </w:pPr>
    </w:p>
    <w:tbl>
      <w:tblPr>
        <w:tblW w:w="0" w:type="auto"/>
        <w:tblInd w:w="-45" w:type="dxa"/>
        <w:tblLayout w:type="fixed"/>
        <w:tblCellMar>
          <w:left w:w="30" w:type="dxa"/>
          <w:right w:w="30" w:type="dxa"/>
        </w:tblCellMar>
        <w:tblLook w:val="0000" w:firstRow="0" w:lastRow="0" w:firstColumn="0" w:lastColumn="0" w:noHBand="0" w:noVBand="0"/>
      </w:tblPr>
      <w:tblGrid>
        <w:gridCol w:w="684"/>
        <w:gridCol w:w="10191"/>
      </w:tblGrid>
      <w:tr w:rsidR="00013EB8">
        <w:trPr>
          <w:trHeight w:val="572"/>
        </w:trPr>
        <w:tc>
          <w:tcPr>
            <w:tcW w:w="684" w:type="dxa"/>
            <w:tcBorders>
              <w:top w:val="nil"/>
              <w:left w:val="nil"/>
              <w:bottom w:val="nil"/>
              <w:right w:val="nil"/>
            </w:tcBorders>
          </w:tcPr>
          <w:p w:rsidR="00013EB8" w:rsidRDefault="00013EB8">
            <w:pPr>
              <w:widowControl w:val="0"/>
              <w:rPr>
                <w:b/>
              </w:rPr>
            </w:pPr>
            <w:r w:rsidRPr="00453DE5">
              <w:rPr>
                <w:b/>
                <w:iCs/>
              </w:rPr>
              <w:t>4.3</w:t>
            </w:r>
          </w:p>
        </w:tc>
        <w:tc>
          <w:tcPr>
            <w:tcW w:w="10191" w:type="dxa"/>
            <w:tcBorders>
              <w:top w:val="nil"/>
              <w:left w:val="nil"/>
              <w:bottom w:val="nil"/>
              <w:right w:val="nil"/>
            </w:tcBorders>
          </w:tcPr>
          <w:p w:rsidR="00013EB8" w:rsidRDefault="00013EB8">
            <w:pPr>
              <w:widowControl w:val="0"/>
              <w:tabs>
                <w:tab w:val="left" w:pos="0"/>
                <w:tab w:val="left" w:pos="1080"/>
              </w:tabs>
              <w:rPr>
                <w:b/>
              </w:rPr>
            </w:pPr>
            <w:r>
              <w:rPr>
                <w:b/>
              </w:rPr>
              <w:t>Resolution of reasonable doubt</w:t>
            </w:r>
            <w:r>
              <w:t xml:space="preserve"> – “administer the law under a broad interpretation</w:t>
            </w:r>
            <w:r w:rsidR="001946CC">
              <w:t>,”</w:t>
            </w:r>
            <w:r>
              <w:t xml:space="preserve"> reasonable doubt in degree of disability “will be resolved in favor of the claimant”</w:t>
            </w:r>
          </w:p>
        </w:tc>
      </w:tr>
    </w:tbl>
    <w:p w:rsidR="00013EB8" w:rsidRPr="001B03BC" w:rsidRDefault="00013EB8" w:rsidP="001B03BC">
      <w:pPr>
        <w:pStyle w:val="BodyText3"/>
        <w:widowControl w:val="0"/>
        <w:numPr>
          <w:ilvl w:val="12"/>
          <w:numId w:val="0"/>
        </w:numPr>
        <w:pBdr>
          <w:bottom w:val="single" w:sz="4" w:space="1" w:color="auto"/>
        </w:pBdr>
        <w:overflowPunct w:val="0"/>
        <w:autoSpaceDE w:val="0"/>
        <w:autoSpaceDN w:val="0"/>
        <w:adjustRightInd w:val="0"/>
        <w:spacing w:before="0"/>
        <w:textAlignment w:val="baseline"/>
        <w:rPr>
          <w:rFonts w:ascii="Times New Roman" w:hAnsi="Times New Roman"/>
          <w:iCs/>
          <w:sz w:val="24"/>
        </w:rPr>
      </w:pPr>
    </w:p>
    <w:p w:rsidR="00A55279" w:rsidRDefault="00A55279">
      <w:pPr>
        <w:overflowPunct/>
        <w:autoSpaceDE/>
        <w:autoSpaceDN/>
        <w:adjustRightInd/>
        <w:textAlignment w:val="auto"/>
        <w:rPr>
          <w:color w:val="FF0000"/>
        </w:rPr>
      </w:pPr>
      <w:r>
        <w:rPr>
          <w:color w:val="FF0000"/>
        </w:rPr>
        <w:br w:type="page"/>
      </w:r>
    </w:p>
    <w:p w:rsidR="00013EB8" w:rsidRDefault="00013EB8">
      <w:pPr>
        <w:widowControl w:val="0"/>
        <w:tabs>
          <w:tab w:val="left" w:pos="0"/>
          <w:tab w:val="left" w:pos="144"/>
        </w:tabs>
        <w:rPr>
          <w:b/>
          <w:bCs/>
          <w:i/>
          <w:iCs/>
          <w:sz w:val="22"/>
        </w:rPr>
      </w:pPr>
    </w:p>
    <w:p w:rsidR="00013EB8" w:rsidRDefault="00013EB8">
      <w:pPr>
        <w:pStyle w:val="BodyText3"/>
        <w:widowControl w:val="0"/>
        <w:pBdr>
          <w:top w:val="double" w:sz="4" w:space="1" w:color="auto"/>
        </w:pBdr>
        <w:overflowPunct w:val="0"/>
        <w:autoSpaceDE w:val="0"/>
        <w:autoSpaceDN w:val="0"/>
        <w:adjustRightInd w:val="0"/>
        <w:spacing w:before="0"/>
        <w:textAlignment w:val="baseline"/>
        <w:rPr>
          <w:rFonts w:ascii="Arial" w:hAnsi="Arial"/>
        </w:rPr>
      </w:pPr>
    </w:p>
    <w:p w:rsidR="00013EB8" w:rsidRPr="00F871B8" w:rsidRDefault="00A55279" w:rsidP="00F871B8">
      <w:pPr>
        <w:pStyle w:val="Heading1"/>
        <w:keepNext w:val="0"/>
        <w:widowControl w:val="0"/>
        <w:rPr>
          <w:bCs/>
          <w:iCs w:val="0"/>
          <w:color w:val="0000FF"/>
        </w:rPr>
      </w:pPr>
      <w:bookmarkStart w:id="185" w:name="Death"/>
      <w:r w:rsidRPr="00F871B8">
        <w:rPr>
          <w:b/>
          <w:bCs/>
          <w:sz w:val="22"/>
        </w:rPr>
        <w:t xml:space="preserve">SERVICE CONNECTION FOR CAUSE OF DEATH, </w:t>
      </w:r>
      <w:r w:rsidR="00013EB8" w:rsidRPr="00F871B8">
        <w:rPr>
          <w:b/>
          <w:bCs/>
          <w:sz w:val="22"/>
        </w:rPr>
        <w:t xml:space="preserve">DIC </w:t>
      </w:r>
      <w:r w:rsidRPr="00F871B8">
        <w:rPr>
          <w:b/>
          <w:bCs/>
          <w:sz w:val="22"/>
        </w:rPr>
        <w:t xml:space="preserve">UNDER </w:t>
      </w:r>
      <w:r w:rsidR="00013EB8" w:rsidRPr="00F871B8">
        <w:rPr>
          <w:b/>
          <w:bCs/>
          <w:sz w:val="22"/>
        </w:rPr>
        <w:t>1318 &amp; A</w:t>
      </w:r>
      <w:r w:rsidRPr="00F871B8">
        <w:rPr>
          <w:b/>
          <w:bCs/>
          <w:sz w:val="22"/>
        </w:rPr>
        <w:t>CCRUED DECISIONS</w:t>
      </w:r>
      <w:r w:rsidR="00013EB8" w:rsidRPr="00F871B8">
        <w:t xml:space="preserve"> </w:t>
      </w:r>
      <w:r w:rsidR="00F871B8" w:rsidRPr="00F871B8">
        <w:rPr>
          <w:b/>
          <w:bCs/>
          <w:iCs w:val="0"/>
          <w:sz w:val="22"/>
        </w:rPr>
        <w:t>can be found in Rating References ARCHIVE</w:t>
      </w:r>
      <w:r w:rsidR="00F871B8" w:rsidRPr="00F871B8">
        <w:t xml:space="preserve"> </w:t>
      </w:r>
      <w:bookmarkEnd w:id="185"/>
    </w:p>
    <w:sectPr w:rsidR="00013EB8" w:rsidRPr="00F871B8" w:rsidSect="008140DA">
      <w:footerReference w:type="default" r:id="rId802"/>
      <w:footnotePr>
        <w:numRestart w:val="eachSect"/>
      </w:footnotePr>
      <w:type w:val="continuous"/>
      <w:pgSz w:w="12240" w:h="15840" w:code="1"/>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71C5" w:rsidRDefault="00D571C5">
      <w:r>
        <w:separator/>
      </w:r>
    </w:p>
  </w:endnote>
  <w:endnote w:type="continuationSeparator" w:id="0">
    <w:p w:rsidR="00D571C5" w:rsidRDefault="00D57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AvantGarde">
    <w:altName w:val="Century Gothic"/>
    <w:charset w:val="00"/>
    <w:family w:val="auto"/>
    <w:pitch w:val="default"/>
  </w:font>
  <w:font w:name="TimesNewRomanPSMT">
    <w:panose1 w:val="00000000000000000000"/>
    <w:charset w:val="00"/>
    <w:family w:val="roman"/>
    <w:notTrueType/>
    <w:pitch w:val="default"/>
    <w:sig w:usb0="00000003" w:usb1="00000000" w:usb2="00000000" w:usb3="00000000" w:csb0="00000001" w:csb1="00000000"/>
  </w:font>
  <w:font w:name="TimesNewRomanPSMT,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3EBC" w:rsidRDefault="00323EBC">
    <w:pPr>
      <w:pStyle w:val="Footer"/>
      <w:tabs>
        <w:tab w:val="clear" w:pos="4320"/>
        <w:tab w:val="center" w:pos="5000"/>
      </w:tabs>
      <w:rPr>
        <w:sz w:val="18"/>
      </w:rPr>
    </w:pPr>
    <w:r>
      <w:rPr>
        <w:sz w:val="18"/>
      </w:rPr>
      <w:t>W. Rees</w:t>
    </w:r>
    <w:r>
      <w:rPr>
        <w:sz w:val="18"/>
      </w:rPr>
      <w:tab/>
    </w:r>
    <w:r w:rsidRPr="00BF3FE3">
      <w:rPr>
        <w:rStyle w:val="PageNumber"/>
        <w:sz w:val="18"/>
      </w:rPr>
      <w:fldChar w:fldCharType="begin"/>
    </w:r>
    <w:r w:rsidRPr="00BF3FE3">
      <w:rPr>
        <w:rStyle w:val="PageNumber"/>
        <w:sz w:val="18"/>
      </w:rPr>
      <w:instrText xml:space="preserve"> PAGE </w:instrText>
    </w:r>
    <w:r w:rsidRPr="00BF3FE3">
      <w:rPr>
        <w:rStyle w:val="PageNumber"/>
        <w:sz w:val="18"/>
      </w:rPr>
      <w:fldChar w:fldCharType="separate"/>
    </w:r>
    <w:r w:rsidR="009670ED">
      <w:rPr>
        <w:rStyle w:val="PageNumber"/>
        <w:noProof/>
        <w:sz w:val="18"/>
      </w:rPr>
      <w:t>1</w:t>
    </w:r>
    <w:r w:rsidRPr="00BF3FE3">
      <w:rPr>
        <w:rStyle w:val="PageNumber"/>
        <w:sz w:val="18"/>
      </w:rPr>
      <w:fldChar w:fldCharType="end"/>
    </w:r>
    <w:r>
      <w:rPr>
        <w:rStyle w:val="PageNumber"/>
        <w:sz w:val="18"/>
      </w:rPr>
      <w:tab/>
      <w:t xml:space="preserve">   </w:t>
    </w:r>
    <w:r>
      <w:rPr>
        <w:rStyle w:val="PageNumber"/>
        <w:sz w:val="18"/>
      </w:rPr>
      <w:tab/>
      <w:t>updated 7/2</w:t>
    </w:r>
    <w:r w:rsidR="00112FA8">
      <w:rPr>
        <w:rStyle w:val="PageNumber"/>
        <w:sz w:val="18"/>
      </w:rPr>
      <w:t>5</w:t>
    </w:r>
    <w:r>
      <w:rPr>
        <w:rStyle w:val="PageNumber"/>
        <w:sz w:val="18"/>
      </w:rPr>
      <w:t>/18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3EBC" w:rsidRDefault="00323EBC">
    <w:pPr>
      <w:pStyle w:val="Footer"/>
      <w:tabs>
        <w:tab w:val="clear" w:pos="4320"/>
        <w:tab w:val="center" w:pos="5000"/>
      </w:tabs>
      <w:rPr>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3EBC" w:rsidRDefault="00323EBC">
    <w:pPr>
      <w:pStyle w:val="Footer"/>
      <w:tabs>
        <w:tab w:val="clear" w:pos="4320"/>
        <w:tab w:val="center" w:pos="5000"/>
      </w:tabs>
      <w:rPr>
        <w:sz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3EBC" w:rsidRDefault="00323EBC">
    <w:pPr>
      <w:pStyle w:val="Footer"/>
      <w:jc w:val="center"/>
      <w:rPr>
        <w:sz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3EBC" w:rsidRDefault="00323EBC">
    <w:pPr>
      <w:pStyle w:val="Footer"/>
      <w:jc w:val="center"/>
      <w:rPr>
        <w:sz w:val="16"/>
      </w:rPr>
    </w:pPr>
    <w:r>
      <w:rPr>
        <w:rStyle w:val="PageNumber"/>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3EBC" w:rsidRDefault="00323EBC">
    <w:pPr>
      <w:pStyle w:val="Footer"/>
      <w:jc w:val="center"/>
      <w:rPr>
        <w:sz w:val="16"/>
      </w:rPr>
    </w:pPr>
    <w:r>
      <w:rPr>
        <w:rStyle w:val="PageNumbe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71C5" w:rsidRDefault="00D571C5">
      <w:r>
        <w:separator/>
      </w:r>
    </w:p>
  </w:footnote>
  <w:footnote w:type="continuationSeparator" w:id="0">
    <w:p w:rsidR="00D571C5" w:rsidRDefault="00D571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D37AA97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BC6E6746"/>
    <w:lvl w:ilvl="0">
      <w:numFmt w:val="decimal"/>
      <w:lvlText w:val="*"/>
      <w:lvlJc w:val="left"/>
    </w:lvl>
  </w:abstractNum>
  <w:abstractNum w:abstractNumId="2" w15:restartNumberingAfterBreak="0">
    <w:nsid w:val="002C48DA"/>
    <w:multiLevelType w:val="hybridMultilevel"/>
    <w:tmpl w:val="FCB43372"/>
    <w:lvl w:ilvl="0" w:tplc="0409000F">
      <w:start w:val="1"/>
      <w:numFmt w:val="decimal"/>
      <w:lvlText w:val="%1."/>
      <w:lvlJc w:val="left"/>
      <w:pPr>
        <w:tabs>
          <w:tab w:val="num" w:pos="720"/>
        </w:tabs>
        <w:ind w:left="720" w:hanging="360"/>
      </w:pPr>
    </w:lvl>
    <w:lvl w:ilvl="1" w:tplc="146012A4">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06305E0"/>
    <w:multiLevelType w:val="multilevel"/>
    <w:tmpl w:val="113C7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6723F3"/>
    <w:multiLevelType w:val="hybridMultilevel"/>
    <w:tmpl w:val="64A8EF7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0712E49"/>
    <w:multiLevelType w:val="hybridMultilevel"/>
    <w:tmpl w:val="C5B0718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0F96EB7"/>
    <w:multiLevelType w:val="hybridMultilevel"/>
    <w:tmpl w:val="608EAD4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01693D60"/>
    <w:multiLevelType w:val="hybridMultilevel"/>
    <w:tmpl w:val="8522C820"/>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17C2425"/>
    <w:multiLevelType w:val="hybridMultilevel"/>
    <w:tmpl w:val="336C06C6"/>
    <w:lvl w:ilvl="0" w:tplc="05D89E0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01A37566"/>
    <w:multiLevelType w:val="multilevel"/>
    <w:tmpl w:val="114A98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FD7DBB"/>
    <w:multiLevelType w:val="hybridMultilevel"/>
    <w:tmpl w:val="98EACE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02C44EBF"/>
    <w:multiLevelType w:val="hybridMultilevel"/>
    <w:tmpl w:val="5D2AAE92"/>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36B565E"/>
    <w:multiLevelType w:val="hybridMultilevel"/>
    <w:tmpl w:val="3B162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03910583"/>
    <w:multiLevelType w:val="hybridMultilevel"/>
    <w:tmpl w:val="30268DD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3BC03EB"/>
    <w:multiLevelType w:val="hybridMultilevel"/>
    <w:tmpl w:val="AD1A2D7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3DA7BA9"/>
    <w:multiLevelType w:val="hybridMultilevel"/>
    <w:tmpl w:val="9CC4B44C"/>
    <w:lvl w:ilvl="0" w:tplc="A28A2B2A">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4500EEA"/>
    <w:multiLevelType w:val="hybridMultilevel"/>
    <w:tmpl w:val="B95ED8E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4514739"/>
    <w:multiLevelType w:val="hybridMultilevel"/>
    <w:tmpl w:val="16E81FBE"/>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04751C3E"/>
    <w:multiLevelType w:val="hybridMultilevel"/>
    <w:tmpl w:val="70D4D5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47D592A"/>
    <w:multiLevelType w:val="hybridMultilevel"/>
    <w:tmpl w:val="FAB0C652"/>
    <w:lvl w:ilvl="0" w:tplc="04090001">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F">
      <w:start w:val="1"/>
      <w:numFmt w:val="decimal"/>
      <w:lvlText w:val="%5."/>
      <w:lvlJc w:val="left"/>
      <w:pPr>
        <w:tabs>
          <w:tab w:val="num" w:pos="3600"/>
        </w:tabs>
        <w:ind w:left="3600" w:hanging="360"/>
      </w:pPr>
      <w:rPr>
        <w:rFont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4E042C0"/>
    <w:multiLevelType w:val="hybridMultilevel"/>
    <w:tmpl w:val="1C1486B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0544440A"/>
    <w:multiLevelType w:val="hybridMultilevel"/>
    <w:tmpl w:val="2BDE65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5606B9B"/>
    <w:multiLevelType w:val="hybridMultilevel"/>
    <w:tmpl w:val="7F3231D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05AA7633"/>
    <w:multiLevelType w:val="hybridMultilevel"/>
    <w:tmpl w:val="108AF6B6"/>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06AA4F62"/>
    <w:multiLevelType w:val="hybridMultilevel"/>
    <w:tmpl w:val="43CA3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06B62131"/>
    <w:multiLevelType w:val="multilevel"/>
    <w:tmpl w:val="12104B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06F931BF"/>
    <w:multiLevelType w:val="hybridMultilevel"/>
    <w:tmpl w:val="5E565D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076A1886"/>
    <w:multiLevelType w:val="hybridMultilevel"/>
    <w:tmpl w:val="255A736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077D001A"/>
    <w:multiLevelType w:val="multilevel"/>
    <w:tmpl w:val="43E05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77E102D"/>
    <w:multiLevelType w:val="multilevel"/>
    <w:tmpl w:val="8C82C7C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07CC5BFC"/>
    <w:multiLevelType w:val="hybridMultilevel"/>
    <w:tmpl w:val="8CDC6624"/>
    <w:lvl w:ilvl="0" w:tplc="A622D622">
      <w:start w:val="1"/>
      <w:numFmt w:val="decimal"/>
      <w:lvlText w:val="%1.)"/>
      <w:lvlJc w:val="left"/>
      <w:pPr>
        <w:ind w:left="720" w:hanging="360"/>
      </w:pPr>
      <w:rPr>
        <w:rFonts w:ascii="Times New Roman" w:hAnsi="Times New Roman" w:cs="Times New Roman" w:hint="default"/>
      </w:rPr>
    </w:lvl>
    <w:lvl w:ilvl="1" w:tplc="04090019">
      <w:start w:val="1"/>
      <w:numFmt w:val="lowerLetter"/>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lvlText w:val="%9."/>
      <w:lvlJc w:val="right"/>
      <w:pPr>
        <w:ind w:left="6480" w:hanging="180"/>
      </w:pPr>
      <w:rPr>
        <w:rFonts w:ascii="Times New Roman" w:hAnsi="Times New Roman" w:cs="Times New Roman"/>
      </w:rPr>
    </w:lvl>
  </w:abstractNum>
  <w:abstractNum w:abstractNumId="31" w15:restartNumberingAfterBreak="0">
    <w:nsid w:val="07F271D5"/>
    <w:multiLevelType w:val="hybridMultilevel"/>
    <w:tmpl w:val="B5E481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85D7E30"/>
    <w:multiLevelType w:val="hybridMultilevel"/>
    <w:tmpl w:val="86F49E4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085F56D3"/>
    <w:multiLevelType w:val="hybridMultilevel"/>
    <w:tmpl w:val="5F0009AE"/>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0866689E"/>
    <w:multiLevelType w:val="hybridMultilevel"/>
    <w:tmpl w:val="7F124B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088D421E"/>
    <w:multiLevelType w:val="multilevel"/>
    <w:tmpl w:val="86AE57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9344E15"/>
    <w:multiLevelType w:val="hybridMultilevel"/>
    <w:tmpl w:val="6F2C6A3A"/>
    <w:lvl w:ilvl="0" w:tplc="04090005">
      <w:start w:val="1"/>
      <w:numFmt w:val="bullet"/>
      <w:lvlText w:val=""/>
      <w:lvlJc w:val="left"/>
      <w:pPr>
        <w:ind w:left="1530" w:hanging="360"/>
      </w:pPr>
      <w:rPr>
        <w:rFonts w:ascii="Wingdings" w:hAnsi="Wingdings" w:hint="default"/>
      </w:rPr>
    </w:lvl>
    <w:lvl w:ilvl="1" w:tplc="04090003">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7" w15:restartNumberingAfterBreak="0">
    <w:nsid w:val="09510E6A"/>
    <w:multiLevelType w:val="hybridMultilevel"/>
    <w:tmpl w:val="502E534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0A2C7D93"/>
    <w:multiLevelType w:val="hybridMultilevel"/>
    <w:tmpl w:val="3F703AFC"/>
    <w:lvl w:ilvl="0" w:tplc="04090005">
      <w:start w:val="1"/>
      <w:numFmt w:val="bullet"/>
      <w:lvlText w:val=""/>
      <w:lvlJc w:val="left"/>
      <w:pPr>
        <w:ind w:left="1440" w:hanging="360"/>
      </w:pPr>
      <w:rPr>
        <w:rFonts w:ascii="Wingdings" w:hAnsi="Wingdings"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0A6D1930"/>
    <w:multiLevelType w:val="hybridMultilevel"/>
    <w:tmpl w:val="F514C9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0A8E0DE3"/>
    <w:multiLevelType w:val="hybridMultilevel"/>
    <w:tmpl w:val="05FCE144"/>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0AC71BC9"/>
    <w:multiLevelType w:val="hybridMultilevel"/>
    <w:tmpl w:val="330CBF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0AC7370B"/>
    <w:multiLevelType w:val="hybridMultilevel"/>
    <w:tmpl w:val="B464E088"/>
    <w:lvl w:ilvl="0" w:tplc="5E3A58DA">
      <w:start w:val="1"/>
      <w:numFmt w:val="bullet"/>
      <w:lvlText w:val=""/>
      <w:lvlJc w:val="left"/>
      <w:pPr>
        <w:tabs>
          <w:tab w:val="num" w:pos="720"/>
        </w:tabs>
        <w:ind w:left="720" w:hanging="360"/>
      </w:pPr>
      <w:rPr>
        <w:rFonts w:ascii="Wingdings" w:hAnsi="Wingdings" w:hint="default"/>
      </w:rPr>
    </w:lvl>
    <w:lvl w:ilvl="1" w:tplc="1E4240E4">
      <w:start w:val="1"/>
      <w:numFmt w:val="bullet"/>
      <w:lvlText w:val=""/>
      <w:lvlJc w:val="left"/>
      <w:pPr>
        <w:tabs>
          <w:tab w:val="num" w:pos="1440"/>
        </w:tabs>
        <w:ind w:left="1440" w:hanging="360"/>
      </w:pPr>
      <w:rPr>
        <w:rFonts w:ascii="Wingdings" w:hAnsi="Wingdings" w:hint="default"/>
      </w:rPr>
    </w:lvl>
    <w:lvl w:ilvl="2" w:tplc="E77056B0">
      <w:start w:val="1"/>
      <w:numFmt w:val="bullet"/>
      <w:lvlText w:val=""/>
      <w:lvlJc w:val="left"/>
      <w:pPr>
        <w:tabs>
          <w:tab w:val="num" w:pos="2160"/>
        </w:tabs>
        <w:ind w:left="2160" w:hanging="360"/>
      </w:pPr>
      <w:rPr>
        <w:rFonts w:ascii="Wingdings" w:hAnsi="Wingdings" w:hint="default"/>
      </w:rPr>
    </w:lvl>
    <w:lvl w:ilvl="3" w:tplc="1B6A0322" w:tentative="1">
      <w:start w:val="1"/>
      <w:numFmt w:val="bullet"/>
      <w:lvlText w:val=""/>
      <w:lvlJc w:val="left"/>
      <w:pPr>
        <w:tabs>
          <w:tab w:val="num" w:pos="2880"/>
        </w:tabs>
        <w:ind w:left="2880" w:hanging="360"/>
      </w:pPr>
      <w:rPr>
        <w:rFonts w:ascii="Wingdings" w:hAnsi="Wingdings" w:hint="default"/>
      </w:rPr>
    </w:lvl>
    <w:lvl w:ilvl="4" w:tplc="A2DC3BCE" w:tentative="1">
      <w:start w:val="1"/>
      <w:numFmt w:val="bullet"/>
      <w:lvlText w:val=""/>
      <w:lvlJc w:val="left"/>
      <w:pPr>
        <w:tabs>
          <w:tab w:val="num" w:pos="3600"/>
        </w:tabs>
        <w:ind w:left="3600" w:hanging="360"/>
      </w:pPr>
      <w:rPr>
        <w:rFonts w:ascii="Wingdings" w:hAnsi="Wingdings" w:hint="default"/>
      </w:rPr>
    </w:lvl>
    <w:lvl w:ilvl="5" w:tplc="A0B001E8" w:tentative="1">
      <w:start w:val="1"/>
      <w:numFmt w:val="bullet"/>
      <w:lvlText w:val=""/>
      <w:lvlJc w:val="left"/>
      <w:pPr>
        <w:tabs>
          <w:tab w:val="num" w:pos="4320"/>
        </w:tabs>
        <w:ind w:left="4320" w:hanging="360"/>
      </w:pPr>
      <w:rPr>
        <w:rFonts w:ascii="Wingdings" w:hAnsi="Wingdings" w:hint="default"/>
      </w:rPr>
    </w:lvl>
    <w:lvl w:ilvl="6" w:tplc="60762640" w:tentative="1">
      <w:start w:val="1"/>
      <w:numFmt w:val="bullet"/>
      <w:lvlText w:val=""/>
      <w:lvlJc w:val="left"/>
      <w:pPr>
        <w:tabs>
          <w:tab w:val="num" w:pos="5040"/>
        </w:tabs>
        <w:ind w:left="5040" w:hanging="360"/>
      </w:pPr>
      <w:rPr>
        <w:rFonts w:ascii="Wingdings" w:hAnsi="Wingdings" w:hint="default"/>
      </w:rPr>
    </w:lvl>
    <w:lvl w:ilvl="7" w:tplc="BD529FCA" w:tentative="1">
      <w:start w:val="1"/>
      <w:numFmt w:val="bullet"/>
      <w:lvlText w:val=""/>
      <w:lvlJc w:val="left"/>
      <w:pPr>
        <w:tabs>
          <w:tab w:val="num" w:pos="5760"/>
        </w:tabs>
        <w:ind w:left="5760" w:hanging="360"/>
      </w:pPr>
      <w:rPr>
        <w:rFonts w:ascii="Wingdings" w:hAnsi="Wingdings" w:hint="default"/>
      </w:rPr>
    </w:lvl>
    <w:lvl w:ilvl="8" w:tplc="8B0AAA26"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0ADB32C5"/>
    <w:multiLevelType w:val="hybridMultilevel"/>
    <w:tmpl w:val="B810C3BE"/>
    <w:lvl w:ilvl="0" w:tplc="745C49D4">
      <w:start w:val="1"/>
      <w:numFmt w:val="bullet"/>
      <w:lvlText w:val=""/>
      <w:lvlJc w:val="left"/>
      <w:pPr>
        <w:ind w:left="108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4" w15:restartNumberingAfterBreak="0">
    <w:nsid w:val="0B35308F"/>
    <w:multiLevelType w:val="hybridMultilevel"/>
    <w:tmpl w:val="0BE6DD1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0B835DA5"/>
    <w:multiLevelType w:val="hybridMultilevel"/>
    <w:tmpl w:val="B4DAAA84"/>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0B8C308E"/>
    <w:multiLevelType w:val="hybridMultilevel"/>
    <w:tmpl w:val="FD22C8A2"/>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0BED3D9A"/>
    <w:multiLevelType w:val="hybridMultilevel"/>
    <w:tmpl w:val="1042173A"/>
    <w:lvl w:ilvl="0" w:tplc="04090001">
      <w:start w:val="1"/>
      <w:numFmt w:val="bullet"/>
      <w:lvlText w:val=""/>
      <w:lvlJc w:val="left"/>
      <w:pPr>
        <w:ind w:left="1710" w:hanging="360"/>
      </w:pPr>
      <w:rPr>
        <w:rFonts w:ascii="Symbol" w:hAnsi="Symbol" w:hint="default"/>
      </w:rPr>
    </w:lvl>
    <w:lvl w:ilvl="1" w:tplc="04090005">
      <w:start w:val="1"/>
      <w:numFmt w:val="bullet"/>
      <w:lvlText w:val=""/>
      <w:lvlJc w:val="left"/>
      <w:pPr>
        <w:ind w:left="2430" w:hanging="360"/>
      </w:pPr>
      <w:rPr>
        <w:rFonts w:ascii="Wingdings" w:hAnsi="Wingdings"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48" w15:restartNumberingAfterBreak="0">
    <w:nsid w:val="0BFC7533"/>
    <w:multiLevelType w:val="hybridMultilevel"/>
    <w:tmpl w:val="CC905F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9" w15:restartNumberingAfterBreak="0">
    <w:nsid w:val="0C802CBC"/>
    <w:multiLevelType w:val="hybridMultilevel"/>
    <w:tmpl w:val="35CAEBD0"/>
    <w:lvl w:ilvl="0" w:tplc="CEE84C3E">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0" w15:restartNumberingAfterBreak="0">
    <w:nsid w:val="0D42555F"/>
    <w:multiLevelType w:val="hybridMultilevel"/>
    <w:tmpl w:val="0C7EA4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1" w15:restartNumberingAfterBreak="0">
    <w:nsid w:val="0D6F0624"/>
    <w:multiLevelType w:val="hybridMultilevel"/>
    <w:tmpl w:val="30327BDA"/>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0E0A43D1"/>
    <w:multiLevelType w:val="multilevel"/>
    <w:tmpl w:val="0F209B3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E101EAD"/>
    <w:multiLevelType w:val="multilevel"/>
    <w:tmpl w:val="349C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E1E42A4"/>
    <w:multiLevelType w:val="multilevel"/>
    <w:tmpl w:val="9F4474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0E503623"/>
    <w:multiLevelType w:val="hybridMultilevel"/>
    <w:tmpl w:val="FE1C3C2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0E5F0CCB"/>
    <w:multiLevelType w:val="hybridMultilevel"/>
    <w:tmpl w:val="36BC19C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15:restartNumberingAfterBreak="0">
    <w:nsid w:val="0E756191"/>
    <w:multiLevelType w:val="hybridMultilevel"/>
    <w:tmpl w:val="7A2ECD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0EDC3840"/>
    <w:multiLevelType w:val="multilevel"/>
    <w:tmpl w:val="61B4C3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0F2F2D56"/>
    <w:multiLevelType w:val="hybridMultilevel"/>
    <w:tmpl w:val="B3BCDB2C"/>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0F432A43"/>
    <w:multiLevelType w:val="hybridMultilevel"/>
    <w:tmpl w:val="34A4F22C"/>
    <w:lvl w:ilvl="0" w:tplc="BC6E6746">
      <w:start w:val="1"/>
      <w:numFmt w:val="bullet"/>
      <w:lvlText w:val=""/>
      <w:legacy w:legacy="1" w:legacySpace="120" w:legacyIndent="360"/>
      <w:lvlJc w:val="left"/>
      <w:pPr>
        <w:ind w:left="36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0F7653C4"/>
    <w:multiLevelType w:val="multilevel"/>
    <w:tmpl w:val="0D34F63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2" w15:restartNumberingAfterBreak="0">
    <w:nsid w:val="0F78185F"/>
    <w:multiLevelType w:val="hybridMultilevel"/>
    <w:tmpl w:val="DA56920A"/>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0FE6255D"/>
    <w:multiLevelType w:val="hybridMultilevel"/>
    <w:tmpl w:val="FD3A1F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05E2762"/>
    <w:multiLevelType w:val="hybridMultilevel"/>
    <w:tmpl w:val="90D8431C"/>
    <w:lvl w:ilvl="0" w:tplc="0409000F">
      <w:start w:val="1"/>
      <w:numFmt w:val="decimal"/>
      <w:lvlText w:val="%1."/>
      <w:lvlJc w:val="left"/>
      <w:pPr>
        <w:ind w:left="720" w:hanging="360"/>
      </w:pPr>
    </w:lvl>
    <w:lvl w:ilvl="1" w:tplc="832E0E68">
      <w:start w:val="1"/>
      <w:numFmt w:val="lowerLetter"/>
      <w:lvlText w:val="%2."/>
      <w:lvlJc w:val="left"/>
      <w:pPr>
        <w:ind w:left="1440" w:hanging="360"/>
      </w:pPr>
      <w:rPr>
        <w:rFonts w:hint="default"/>
      </w:rPr>
    </w:lvl>
    <w:lvl w:ilvl="2" w:tplc="04090005">
      <w:start w:val="1"/>
      <w:numFmt w:val="bullet"/>
      <w:lvlText w:val=""/>
      <w:lvlJc w:val="left"/>
      <w:pPr>
        <w:ind w:left="2160" w:hanging="180"/>
      </w:pPr>
      <w:rPr>
        <w:rFonts w:ascii="Wingdings" w:hAnsi="Wingding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5" w15:restartNumberingAfterBreak="0">
    <w:nsid w:val="10676237"/>
    <w:multiLevelType w:val="hybridMultilevel"/>
    <w:tmpl w:val="44FCF6D0"/>
    <w:lvl w:ilvl="0" w:tplc="29108E02">
      <w:start w:val="1"/>
      <w:numFmt w:val="bullet"/>
      <w:lvlText w:val="•"/>
      <w:lvlJc w:val="left"/>
      <w:pPr>
        <w:tabs>
          <w:tab w:val="num" w:pos="720"/>
        </w:tabs>
        <w:ind w:left="720" w:hanging="360"/>
      </w:pPr>
      <w:rPr>
        <w:rFonts w:ascii="Arial" w:hAnsi="Arial" w:hint="default"/>
      </w:rPr>
    </w:lvl>
    <w:lvl w:ilvl="1" w:tplc="5F14F300" w:tentative="1">
      <w:start w:val="1"/>
      <w:numFmt w:val="bullet"/>
      <w:lvlText w:val="•"/>
      <w:lvlJc w:val="left"/>
      <w:pPr>
        <w:tabs>
          <w:tab w:val="num" w:pos="1440"/>
        </w:tabs>
        <w:ind w:left="1440" w:hanging="360"/>
      </w:pPr>
      <w:rPr>
        <w:rFonts w:ascii="Arial" w:hAnsi="Arial" w:hint="default"/>
      </w:rPr>
    </w:lvl>
    <w:lvl w:ilvl="2" w:tplc="DE72443A" w:tentative="1">
      <w:start w:val="1"/>
      <w:numFmt w:val="bullet"/>
      <w:lvlText w:val="•"/>
      <w:lvlJc w:val="left"/>
      <w:pPr>
        <w:tabs>
          <w:tab w:val="num" w:pos="2160"/>
        </w:tabs>
        <w:ind w:left="2160" w:hanging="360"/>
      </w:pPr>
      <w:rPr>
        <w:rFonts w:ascii="Arial" w:hAnsi="Arial" w:hint="default"/>
      </w:rPr>
    </w:lvl>
    <w:lvl w:ilvl="3" w:tplc="D2D4A4E8" w:tentative="1">
      <w:start w:val="1"/>
      <w:numFmt w:val="bullet"/>
      <w:lvlText w:val="•"/>
      <w:lvlJc w:val="left"/>
      <w:pPr>
        <w:tabs>
          <w:tab w:val="num" w:pos="2880"/>
        </w:tabs>
        <w:ind w:left="2880" w:hanging="360"/>
      </w:pPr>
      <w:rPr>
        <w:rFonts w:ascii="Arial" w:hAnsi="Arial" w:hint="default"/>
      </w:rPr>
    </w:lvl>
    <w:lvl w:ilvl="4" w:tplc="D896A666" w:tentative="1">
      <w:start w:val="1"/>
      <w:numFmt w:val="bullet"/>
      <w:lvlText w:val="•"/>
      <w:lvlJc w:val="left"/>
      <w:pPr>
        <w:tabs>
          <w:tab w:val="num" w:pos="3600"/>
        </w:tabs>
        <w:ind w:left="3600" w:hanging="360"/>
      </w:pPr>
      <w:rPr>
        <w:rFonts w:ascii="Arial" w:hAnsi="Arial" w:hint="default"/>
      </w:rPr>
    </w:lvl>
    <w:lvl w:ilvl="5" w:tplc="427883A0" w:tentative="1">
      <w:start w:val="1"/>
      <w:numFmt w:val="bullet"/>
      <w:lvlText w:val="•"/>
      <w:lvlJc w:val="left"/>
      <w:pPr>
        <w:tabs>
          <w:tab w:val="num" w:pos="4320"/>
        </w:tabs>
        <w:ind w:left="4320" w:hanging="360"/>
      </w:pPr>
      <w:rPr>
        <w:rFonts w:ascii="Arial" w:hAnsi="Arial" w:hint="default"/>
      </w:rPr>
    </w:lvl>
    <w:lvl w:ilvl="6" w:tplc="1AC8B64E" w:tentative="1">
      <w:start w:val="1"/>
      <w:numFmt w:val="bullet"/>
      <w:lvlText w:val="•"/>
      <w:lvlJc w:val="left"/>
      <w:pPr>
        <w:tabs>
          <w:tab w:val="num" w:pos="5040"/>
        </w:tabs>
        <w:ind w:left="5040" w:hanging="360"/>
      </w:pPr>
      <w:rPr>
        <w:rFonts w:ascii="Arial" w:hAnsi="Arial" w:hint="default"/>
      </w:rPr>
    </w:lvl>
    <w:lvl w:ilvl="7" w:tplc="6CA0D3B6" w:tentative="1">
      <w:start w:val="1"/>
      <w:numFmt w:val="bullet"/>
      <w:lvlText w:val="•"/>
      <w:lvlJc w:val="left"/>
      <w:pPr>
        <w:tabs>
          <w:tab w:val="num" w:pos="5760"/>
        </w:tabs>
        <w:ind w:left="5760" w:hanging="360"/>
      </w:pPr>
      <w:rPr>
        <w:rFonts w:ascii="Arial" w:hAnsi="Arial" w:hint="default"/>
      </w:rPr>
    </w:lvl>
    <w:lvl w:ilvl="8" w:tplc="6922A3DE" w:tentative="1">
      <w:start w:val="1"/>
      <w:numFmt w:val="bullet"/>
      <w:lvlText w:val="•"/>
      <w:lvlJc w:val="left"/>
      <w:pPr>
        <w:tabs>
          <w:tab w:val="num" w:pos="6480"/>
        </w:tabs>
        <w:ind w:left="6480" w:hanging="360"/>
      </w:pPr>
      <w:rPr>
        <w:rFonts w:ascii="Arial" w:hAnsi="Arial" w:hint="default"/>
      </w:rPr>
    </w:lvl>
  </w:abstractNum>
  <w:abstractNum w:abstractNumId="66" w15:restartNumberingAfterBreak="0">
    <w:nsid w:val="10F95D2E"/>
    <w:multiLevelType w:val="hybridMultilevel"/>
    <w:tmpl w:val="CA0822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1119262F"/>
    <w:multiLevelType w:val="hybridMultilevel"/>
    <w:tmpl w:val="3C1C70D8"/>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12034045"/>
    <w:multiLevelType w:val="multilevel"/>
    <w:tmpl w:val="A11882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23E19E5"/>
    <w:multiLevelType w:val="hybridMultilevel"/>
    <w:tmpl w:val="4E266C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12F039AC"/>
    <w:multiLevelType w:val="hybridMultilevel"/>
    <w:tmpl w:val="BFE6868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12FE3D8F"/>
    <w:multiLevelType w:val="hybridMultilevel"/>
    <w:tmpl w:val="B7C8FC9A"/>
    <w:lvl w:ilvl="0" w:tplc="04090003">
      <w:start w:val="1"/>
      <w:numFmt w:val="bullet"/>
      <w:lvlText w:val="o"/>
      <w:lvlJc w:val="left"/>
      <w:pPr>
        <w:tabs>
          <w:tab w:val="num" w:pos="720"/>
        </w:tabs>
        <w:ind w:left="720" w:hanging="360"/>
      </w:pPr>
      <w:rPr>
        <w:rFonts w:ascii="Courier New" w:hAnsi="Courier New" w:cs="Courier New" w:hint="default"/>
      </w:rPr>
    </w:lvl>
    <w:lvl w:ilvl="1" w:tplc="9904C9A0">
      <w:start w:val="1"/>
      <w:numFmt w:val="bullet"/>
      <w:lvlText w:val=""/>
      <w:lvlJc w:val="left"/>
      <w:pPr>
        <w:tabs>
          <w:tab w:val="num" w:pos="1440"/>
        </w:tabs>
        <w:ind w:left="1440" w:hanging="360"/>
      </w:pPr>
      <w:rPr>
        <w:rFonts w:ascii="Wingdings" w:hAnsi="Wingdings" w:hint="default"/>
      </w:rPr>
    </w:lvl>
    <w:lvl w:ilvl="2" w:tplc="8F84515A" w:tentative="1">
      <w:start w:val="1"/>
      <w:numFmt w:val="bullet"/>
      <w:lvlText w:val=""/>
      <w:lvlJc w:val="left"/>
      <w:pPr>
        <w:tabs>
          <w:tab w:val="num" w:pos="2160"/>
        </w:tabs>
        <w:ind w:left="2160" w:hanging="360"/>
      </w:pPr>
      <w:rPr>
        <w:rFonts w:ascii="Wingdings" w:hAnsi="Wingdings" w:hint="default"/>
      </w:rPr>
    </w:lvl>
    <w:lvl w:ilvl="3" w:tplc="759E995A" w:tentative="1">
      <w:start w:val="1"/>
      <w:numFmt w:val="bullet"/>
      <w:lvlText w:val=""/>
      <w:lvlJc w:val="left"/>
      <w:pPr>
        <w:tabs>
          <w:tab w:val="num" w:pos="2880"/>
        </w:tabs>
        <w:ind w:left="2880" w:hanging="360"/>
      </w:pPr>
      <w:rPr>
        <w:rFonts w:ascii="Wingdings" w:hAnsi="Wingdings" w:hint="default"/>
      </w:rPr>
    </w:lvl>
    <w:lvl w:ilvl="4" w:tplc="9D5C3E96" w:tentative="1">
      <w:start w:val="1"/>
      <w:numFmt w:val="bullet"/>
      <w:lvlText w:val=""/>
      <w:lvlJc w:val="left"/>
      <w:pPr>
        <w:tabs>
          <w:tab w:val="num" w:pos="3600"/>
        </w:tabs>
        <w:ind w:left="3600" w:hanging="360"/>
      </w:pPr>
      <w:rPr>
        <w:rFonts w:ascii="Wingdings" w:hAnsi="Wingdings" w:hint="default"/>
      </w:rPr>
    </w:lvl>
    <w:lvl w:ilvl="5" w:tplc="73A84EB2" w:tentative="1">
      <w:start w:val="1"/>
      <w:numFmt w:val="bullet"/>
      <w:lvlText w:val=""/>
      <w:lvlJc w:val="left"/>
      <w:pPr>
        <w:tabs>
          <w:tab w:val="num" w:pos="4320"/>
        </w:tabs>
        <w:ind w:left="4320" w:hanging="360"/>
      </w:pPr>
      <w:rPr>
        <w:rFonts w:ascii="Wingdings" w:hAnsi="Wingdings" w:hint="default"/>
      </w:rPr>
    </w:lvl>
    <w:lvl w:ilvl="6" w:tplc="6B784590" w:tentative="1">
      <w:start w:val="1"/>
      <w:numFmt w:val="bullet"/>
      <w:lvlText w:val=""/>
      <w:lvlJc w:val="left"/>
      <w:pPr>
        <w:tabs>
          <w:tab w:val="num" w:pos="5040"/>
        </w:tabs>
        <w:ind w:left="5040" w:hanging="360"/>
      </w:pPr>
      <w:rPr>
        <w:rFonts w:ascii="Wingdings" w:hAnsi="Wingdings" w:hint="default"/>
      </w:rPr>
    </w:lvl>
    <w:lvl w:ilvl="7" w:tplc="12300088" w:tentative="1">
      <w:start w:val="1"/>
      <w:numFmt w:val="bullet"/>
      <w:lvlText w:val=""/>
      <w:lvlJc w:val="left"/>
      <w:pPr>
        <w:tabs>
          <w:tab w:val="num" w:pos="5760"/>
        </w:tabs>
        <w:ind w:left="5760" w:hanging="360"/>
      </w:pPr>
      <w:rPr>
        <w:rFonts w:ascii="Wingdings" w:hAnsi="Wingdings" w:hint="default"/>
      </w:rPr>
    </w:lvl>
    <w:lvl w:ilvl="8" w:tplc="9D10D8E8"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132E026B"/>
    <w:multiLevelType w:val="multilevel"/>
    <w:tmpl w:val="FEFCA3C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73" w15:restartNumberingAfterBreak="0">
    <w:nsid w:val="136119B0"/>
    <w:multiLevelType w:val="hybridMultilevel"/>
    <w:tmpl w:val="4BBCD9C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4" w15:restartNumberingAfterBreak="0">
    <w:nsid w:val="13F00367"/>
    <w:multiLevelType w:val="hybridMultilevel"/>
    <w:tmpl w:val="737E3D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1462366F"/>
    <w:multiLevelType w:val="multilevel"/>
    <w:tmpl w:val="0D7234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4AB155D"/>
    <w:multiLevelType w:val="hybridMultilevel"/>
    <w:tmpl w:val="7DC0CE78"/>
    <w:lvl w:ilvl="0" w:tplc="04090001">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14F06DCB"/>
    <w:multiLevelType w:val="hybridMultilevel"/>
    <w:tmpl w:val="8FB46A24"/>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8" w15:restartNumberingAfterBreak="0">
    <w:nsid w:val="15EF36D8"/>
    <w:multiLevelType w:val="hybridMultilevel"/>
    <w:tmpl w:val="63E60ECE"/>
    <w:lvl w:ilvl="0" w:tplc="04090005">
      <w:start w:val="1"/>
      <w:numFmt w:val="bullet"/>
      <w:lvlText w:val=""/>
      <w:lvlJc w:val="left"/>
      <w:pPr>
        <w:tabs>
          <w:tab w:val="num" w:pos="720"/>
        </w:tabs>
        <w:ind w:left="720" w:hanging="360"/>
      </w:pPr>
      <w:rPr>
        <w:rFonts w:ascii="Wingdings" w:hAnsi="Wingdings" w:hint="default"/>
      </w:rPr>
    </w:lvl>
    <w:lvl w:ilvl="1" w:tplc="AA447F9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160E4180"/>
    <w:multiLevelType w:val="hybridMultilevel"/>
    <w:tmpl w:val="15C20768"/>
    <w:lvl w:ilvl="0" w:tplc="BC6E6746">
      <w:start w:val="1"/>
      <w:numFmt w:val="bullet"/>
      <w:lvlText w:val=""/>
      <w:legacy w:legacy="1" w:legacySpace="120" w:legacyIndent="360"/>
      <w:lvlJc w:val="left"/>
      <w:pPr>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16225830"/>
    <w:multiLevelType w:val="hybridMultilevel"/>
    <w:tmpl w:val="CD98B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16A61756"/>
    <w:multiLevelType w:val="hybridMultilevel"/>
    <w:tmpl w:val="CE0AF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16AC7FF1"/>
    <w:multiLevelType w:val="hybridMultilevel"/>
    <w:tmpl w:val="A6A230A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3" w15:restartNumberingAfterBreak="0">
    <w:nsid w:val="16C775FE"/>
    <w:multiLevelType w:val="multilevel"/>
    <w:tmpl w:val="D9C4E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7403122"/>
    <w:multiLevelType w:val="hybridMultilevel"/>
    <w:tmpl w:val="4588EC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1778146F"/>
    <w:multiLevelType w:val="hybridMultilevel"/>
    <w:tmpl w:val="57A4BA9E"/>
    <w:lvl w:ilvl="0" w:tplc="E4BEFB5A">
      <w:start w:val="1"/>
      <w:numFmt w:val="lowerLetter"/>
      <w:lvlText w:val="%1.)"/>
      <w:lvlJc w:val="left"/>
      <w:pPr>
        <w:ind w:left="1080" w:hanging="360"/>
      </w:pPr>
      <w:rPr>
        <w:rFonts w:ascii="Times New Roman" w:hAnsi="Times New Roman" w:cs="Times New Roman" w:hint="default"/>
      </w:rPr>
    </w:lvl>
    <w:lvl w:ilvl="1" w:tplc="04090019">
      <w:start w:val="1"/>
      <w:numFmt w:val="lowerLetter"/>
      <w:lvlText w:val="%2."/>
      <w:lvlJc w:val="left"/>
      <w:pPr>
        <w:ind w:left="1800" w:hanging="360"/>
      </w:pPr>
      <w:rPr>
        <w:rFonts w:ascii="Times New Roman" w:hAnsi="Times New Roman" w:cs="Times New Roman"/>
      </w:rPr>
    </w:lvl>
    <w:lvl w:ilvl="2" w:tplc="0409001B">
      <w:start w:val="1"/>
      <w:numFmt w:val="lowerRoman"/>
      <w:lvlText w:val="%3."/>
      <w:lvlJc w:val="right"/>
      <w:pPr>
        <w:ind w:left="2520" w:hanging="180"/>
      </w:pPr>
      <w:rPr>
        <w:rFonts w:ascii="Times New Roman" w:hAnsi="Times New Roman" w:cs="Times New Roman"/>
      </w:rPr>
    </w:lvl>
    <w:lvl w:ilvl="3" w:tplc="0409000F">
      <w:start w:val="1"/>
      <w:numFmt w:val="decimal"/>
      <w:lvlText w:val="%4."/>
      <w:lvlJc w:val="left"/>
      <w:pPr>
        <w:ind w:left="3240" w:hanging="360"/>
      </w:pPr>
      <w:rPr>
        <w:rFonts w:ascii="Times New Roman" w:hAnsi="Times New Roman" w:cs="Times New Roman"/>
      </w:rPr>
    </w:lvl>
    <w:lvl w:ilvl="4" w:tplc="04090019">
      <w:start w:val="1"/>
      <w:numFmt w:val="lowerLetter"/>
      <w:lvlText w:val="%5."/>
      <w:lvlJc w:val="left"/>
      <w:pPr>
        <w:ind w:left="3960" w:hanging="360"/>
      </w:pPr>
      <w:rPr>
        <w:rFonts w:ascii="Times New Roman" w:hAnsi="Times New Roman" w:cs="Times New Roman"/>
      </w:rPr>
    </w:lvl>
    <w:lvl w:ilvl="5" w:tplc="0409001B">
      <w:start w:val="1"/>
      <w:numFmt w:val="lowerRoman"/>
      <w:lvlText w:val="%6."/>
      <w:lvlJc w:val="right"/>
      <w:pPr>
        <w:ind w:left="4680" w:hanging="180"/>
      </w:pPr>
      <w:rPr>
        <w:rFonts w:ascii="Times New Roman" w:hAnsi="Times New Roman" w:cs="Times New Roman"/>
      </w:rPr>
    </w:lvl>
    <w:lvl w:ilvl="6" w:tplc="0409000F">
      <w:start w:val="1"/>
      <w:numFmt w:val="decimal"/>
      <w:lvlText w:val="%7."/>
      <w:lvlJc w:val="left"/>
      <w:pPr>
        <w:ind w:left="5400" w:hanging="360"/>
      </w:pPr>
      <w:rPr>
        <w:rFonts w:ascii="Times New Roman" w:hAnsi="Times New Roman" w:cs="Times New Roman"/>
      </w:rPr>
    </w:lvl>
    <w:lvl w:ilvl="7" w:tplc="04090019">
      <w:start w:val="1"/>
      <w:numFmt w:val="lowerLetter"/>
      <w:lvlText w:val="%8."/>
      <w:lvlJc w:val="left"/>
      <w:pPr>
        <w:ind w:left="6120" w:hanging="360"/>
      </w:pPr>
      <w:rPr>
        <w:rFonts w:ascii="Times New Roman" w:hAnsi="Times New Roman" w:cs="Times New Roman"/>
      </w:rPr>
    </w:lvl>
    <w:lvl w:ilvl="8" w:tplc="0409001B">
      <w:start w:val="1"/>
      <w:numFmt w:val="lowerRoman"/>
      <w:lvlText w:val="%9."/>
      <w:lvlJc w:val="right"/>
      <w:pPr>
        <w:ind w:left="6840" w:hanging="180"/>
      </w:pPr>
      <w:rPr>
        <w:rFonts w:ascii="Times New Roman" w:hAnsi="Times New Roman" w:cs="Times New Roman"/>
      </w:rPr>
    </w:lvl>
  </w:abstractNum>
  <w:abstractNum w:abstractNumId="86" w15:restartNumberingAfterBreak="0">
    <w:nsid w:val="18DD1C83"/>
    <w:multiLevelType w:val="hybridMultilevel"/>
    <w:tmpl w:val="1D90693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18E23B38"/>
    <w:multiLevelType w:val="hybridMultilevel"/>
    <w:tmpl w:val="2F9E2ED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19660ADC"/>
    <w:multiLevelType w:val="hybridMultilevel"/>
    <w:tmpl w:val="71E4A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196C6844"/>
    <w:multiLevelType w:val="hybridMultilevel"/>
    <w:tmpl w:val="6EAE6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1978395B"/>
    <w:multiLevelType w:val="multilevel"/>
    <w:tmpl w:val="0F08EB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9D41150"/>
    <w:multiLevelType w:val="hybridMultilevel"/>
    <w:tmpl w:val="AF62DBC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19F34180"/>
    <w:multiLevelType w:val="hybridMultilevel"/>
    <w:tmpl w:val="008EA7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1A137ACF"/>
    <w:multiLevelType w:val="hybridMultilevel"/>
    <w:tmpl w:val="346EBA8E"/>
    <w:lvl w:ilvl="0" w:tplc="04090003">
      <w:start w:val="1"/>
      <w:numFmt w:val="bullet"/>
      <w:lvlText w:val="o"/>
      <w:lvlJc w:val="left"/>
      <w:pPr>
        <w:ind w:left="1080" w:hanging="360"/>
      </w:pPr>
      <w:rPr>
        <w:rFonts w:ascii="Courier New" w:hAnsi="Courier New" w:cs="Courier New" w:hint="default"/>
      </w:rPr>
    </w:lvl>
    <w:lvl w:ilvl="1" w:tplc="0409000F">
      <w:start w:val="1"/>
      <w:numFmt w:val="decimal"/>
      <w:lvlText w:val="%2."/>
      <w:lvlJc w:val="left"/>
      <w:pPr>
        <w:ind w:left="1800" w:hanging="360"/>
      </w:pPr>
      <w:rPr>
        <w:rFont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15:restartNumberingAfterBreak="0">
    <w:nsid w:val="1A7357FF"/>
    <w:multiLevelType w:val="hybridMultilevel"/>
    <w:tmpl w:val="231085F4"/>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1ABF53DC"/>
    <w:multiLevelType w:val="hybridMultilevel"/>
    <w:tmpl w:val="ECD8A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1ACB0392"/>
    <w:multiLevelType w:val="hybridMultilevel"/>
    <w:tmpl w:val="97D2DCD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7" w15:restartNumberingAfterBreak="0">
    <w:nsid w:val="1BBD61F2"/>
    <w:multiLevelType w:val="hybridMultilevel"/>
    <w:tmpl w:val="A9BC3024"/>
    <w:lvl w:ilvl="0" w:tplc="BC6E6746">
      <w:start w:val="1"/>
      <w:numFmt w:val="bullet"/>
      <w:lvlText w:val=""/>
      <w:legacy w:legacy="1" w:legacySpace="120" w:legacyIndent="360"/>
      <w:lvlJc w:val="left"/>
      <w:pPr>
        <w:ind w:left="36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15:restartNumberingAfterBreak="0">
    <w:nsid w:val="1BF41D1C"/>
    <w:multiLevelType w:val="hybridMultilevel"/>
    <w:tmpl w:val="498042CA"/>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1C291698"/>
    <w:multiLevelType w:val="hybridMultilevel"/>
    <w:tmpl w:val="E8B4F766"/>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1C6E635C"/>
    <w:multiLevelType w:val="singleLevel"/>
    <w:tmpl w:val="04090005"/>
    <w:lvl w:ilvl="0">
      <w:start w:val="1"/>
      <w:numFmt w:val="bullet"/>
      <w:lvlText w:val=""/>
      <w:lvlJc w:val="left"/>
      <w:pPr>
        <w:ind w:left="720" w:hanging="360"/>
      </w:pPr>
      <w:rPr>
        <w:rFonts w:ascii="Wingdings" w:hAnsi="Wingdings" w:hint="default"/>
      </w:rPr>
    </w:lvl>
  </w:abstractNum>
  <w:abstractNum w:abstractNumId="101" w15:restartNumberingAfterBreak="0">
    <w:nsid w:val="1C6F15B1"/>
    <w:multiLevelType w:val="hybridMultilevel"/>
    <w:tmpl w:val="373C6EB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2" w15:restartNumberingAfterBreak="0">
    <w:nsid w:val="1CF178D0"/>
    <w:multiLevelType w:val="hybridMultilevel"/>
    <w:tmpl w:val="457AB124"/>
    <w:lvl w:ilvl="0" w:tplc="04090005">
      <w:start w:val="1"/>
      <w:numFmt w:val="bullet"/>
      <w:lvlText w:val=""/>
      <w:lvlJc w:val="left"/>
      <w:pPr>
        <w:ind w:left="1420" w:hanging="360"/>
      </w:pPr>
      <w:rPr>
        <w:rFonts w:ascii="Wingdings" w:hAnsi="Wingdings"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103" w15:restartNumberingAfterBreak="0">
    <w:nsid w:val="1D1A1735"/>
    <w:multiLevelType w:val="hybridMultilevel"/>
    <w:tmpl w:val="D296613E"/>
    <w:lvl w:ilvl="0" w:tplc="BC6E6746">
      <w:start w:val="1"/>
      <w:numFmt w:val="bullet"/>
      <w:lvlText w:val=""/>
      <w:legacy w:legacy="1" w:legacySpace="120" w:legacyIndent="360"/>
      <w:lvlJc w:val="left"/>
      <w:pPr>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4" w15:restartNumberingAfterBreak="0">
    <w:nsid w:val="1D627840"/>
    <w:multiLevelType w:val="hybridMultilevel"/>
    <w:tmpl w:val="F9D4CE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1E310059"/>
    <w:multiLevelType w:val="multilevel"/>
    <w:tmpl w:val="15DC1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E443CED"/>
    <w:multiLevelType w:val="multilevel"/>
    <w:tmpl w:val="02641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EFE2FDC"/>
    <w:multiLevelType w:val="hybridMultilevel"/>
    <w:tmpl w:val="DF7654A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8" w15:restartNumberingAfterBreak="0">
    <w:nsid w:val="1F744D96"/>
    <w:multiLevelType w:val="hybridMultilevel"/>
    <w:tmpl w:val="77FC8B5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1FDB3C49"/>
    <w:multiLevelType w:val="hybridMultilevel"/>
    <w:tmpl w:val="95C059C8"/>
    <w:lvl w:ilvl="0" w:tplc="B8DC4FEA">
      <w:start w:val="1"/>
      <w:numFmt w:val="bullet"/>
      <w:pStyle w:val="MAPDList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0" w15:restartNumberingAfterBreak="0">
    <w:nsid w:val="1FE96133"/>
    <w:multiLevelType w:val="hybridMultilevel"/>
    <w:tmpl w:val="3E2ED736"/>
    <w:lvl w:ilvl="0" w:tplc="D730CE46">
      <w:start w:val="1"/>
      <w:numFmt w:val="bullet"/>
      <w:pStyle w:val="BulletText2"/>
      <w:lvlText w:val="o"/>
      <w:lvlJc w:val="left"/>
      <w:pPr>
        <w:ind w:left="893" w:hanging="360"/>
      </w:pPr>
      <w:rPr>
        <w:rFonts w:ascii="Courier New" w:hAnsi="Courier New" w:cs="Courier New" w:hint="default"/>
      </w:rPr>
    </w:lvl>
    <w:lvl w:ilvl="1" w:tplc="04090003">
      <w:start w:val="1"/>
      <w:numFmt w:val="bullet"/>
      <w:lvlText w:val="o"/>
      <w:lvlJc w:val="left"/>
      <w:pPr>
        <w:ind w:left="1613" w:hanging="360"/>
      </w:pPr>
      <w:rPr>
        <w:rFonts w:ascii="Courier New" w:hAnsi="Courier New" w:cs="Courier New" w:hint="default"/>
      </w:rPr>
    </w:lvl>
    <w:lvl w:ilvl="2" w:tplc="04090005">
      <w:start w:val="1"/>
      <w:numFmt w:val="bullet"/>
      <w:lvlText w:val=""/>
      <w:lvlJc w:val="left"/>
      <w:pPr>
        <w:ind w:left="2333" w:hanging="360"/>
      </w:pPr>
      <w:rPr>
        <w:rFonts w:ascii="Wingdings" w:hAnsi="Wingdings" w:hint="default"/>
      </w:rPr>
    </w:lvl>
    <w:lvl w:ilvl="3" w:tplc="04090001">
      <w:start w:val="1"/>
      <w:numFmt w:val="bullet"/>
      <w:lvlText w:val=""/>
      <w:lvlJc w:val="left"/>
      <w:pPr>
        <w:ind w:left="3053" w:hanging="360"/>
      </w:pPr>
      <w:rPr>
        <w:rFonts w:ascii="Symbol" w:hAnsi="Symbol" w:hint="default"/>
      </w:rPr>
    </w:lvl>
    <w:lvl w:ilvl="4" w:tplc="04090003">
      <w:start w:val="1"/>
      <w:numFmt w:val="bullet"/>
      <w:lvlText w:val="o"/>
      <w:lvlJc w:val="left"/>
      <w:pPr>
        <w:ind w:left="3773" w:hanging="360"/>
      </w:pPr>
      <w:rPr>
        <w:rFonts w:ascii="Courier New" w:hAnsi="Courier New" w:cs="Courier New" w:hint="default"/>
      </w:rPr>
    </w:lvl>
    <w:lvl w:ilvl="5" w:tplc="04090005">
      <w:start w:val="1"/>
      <w:numFmt w:val="bullet"/>
      <w:lvlText w:val=""/>
      <w:lvlJc w:val="left"/>
      <w:pPr>
        <w:ind w:left="4493" w:hanging="360"/>
      </w:pPr>
      <w:rPr>
        <w:rFonts w:ascii="Wingdings" w:hAnsi="Wingdings" w:hint="default"/>
      </w:rPr>
    </w:lvl>
    <w:lvl w:ilvl="6" w:tplc="04090001">
      <w:start w:val="1"/>
      <w:numFmt w:val="bullet"/>
      <w:lvlText w:val=""/>
      <w:lvlJc w:val="left"/>
      <w:pPr>
        <w:ind w:left="5213" w:hanging="360"/>
      </w:pPr>
      <w:rPr>
        <w:rFonts w:ascii="Symbol" w:hAnsi="Symbol" w:hint="default"/>
      </w:rPr>
    </w:lvl>
    <w:lvl w:ilvl="7" w:tplc="04090003">
      <w:start w:val="1"/>
      <w:numFmt w:val="bullet"/>
      <w:lvlText w:val="o"/>
      <w:lvlJc w:val="left"/>
      <w:pPr>
        <w:ind w:left="5933" w:hanging="360"/>
      </w:pPr>
      <w:rPr>
        <w:rFonts w:ascii="Courier New" w:hAnsi="Courier New" w:cs="Courier New" w:hint="default"/>
      </w:rPr>
    </w:lvl>
    <w:lvl w:ilvl="8" w:tplc="04090005">
      <w:start w:val="1"/>
      <w:numFmt w:val="bullet"/>
      <w:lvlText w:val=""/>
      <w:lvlJc w:val="left"/>
      <w:pPr>
        <w:ind w:left="6653" w:hanging="360"/>
      </w:pPr>
      <w:rPr>
        <w:rFonts w:ascii="Wingdings" w:hAnsi="Wingdings" w:hint="default"/>
      </w:rPr>
    </w:lvl>
  </w:abstractNum>
  <w:abstractNum w:abstractNumId="111" w15:restartNumberingAfterBreak="0">
    <w:nsid w:val="204534DA"/>
    <w:multiLevelType w:val="hybridMultilevel"/>
    <w:tmpl w:val="E7925B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2" w15:restartNumberingAfterBreak="0">
    <w:nsid w:val="204E12DE"/>
    <w:multiLevelType w:val="hybridMultilevel"/>
    <w:tmpl w:val="14B6DC2C"/>
    <w:lvl w:ilvl="0" w:tplc="04090003">
      <w:start w:val="1"/>
      <w:numFmt w:val="bullet"/>
      <w:lvlText w:val="o"/>
      <w:lvlJc w:val="left"/>
      <w:pPr>
        <w:ind w:left="1080" w:hanging="360"/>
      </w:pPr>
      <w:rPr>
        <w:rFonts w:ascii="Courier New" w:hAnsi="Courier New" w:cs="Courier New" w:hint="default"/>
      </w:rPr>
    </w:lvl>
    <w:lvl w:ilvl="1" w:tplc="0409000F">
      <w:start w:val="1"/>
      <w:numFmt w:val="decimal"/>
      <w:lvlText w:val="%2."/>
      <w:lvlJc w:val="left"/>
      <w:pPr>
        <w:ind w:left="1800" w:hanging="360"/>
      </w:pPr>
      <w:rPr>
        <w:rFont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0C675B9"/>
    <w:multiLevelType w:val="hybridMultilevel"/>
    <w:tmpl w:val="1E80786E"/>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2104495D"/>
    <w:multiLevelType w:val="hybridMultilevel"/>
    <w:tmpl w:val="88662A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215C7FB6"/>
    <w:multiLevelType w:val="hybridMultilevel"/>
    <w:tmpl w:val="2D325A02"/>
    <w:lvl w:ilvl="0" w:tplc="B39E3DBE">
      <w:start w:val="1"/>
      <w:numFmt w:val="bullet"/>
      <w:pStyle w:val="VBABulletLevel1"/>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23E512E"/>
    <w:multiLevelType w:val="hybridMultilevel"/>
    <w:tmpl w:val="493262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2249717C"/>
    <w:multiLevelType w:val="hybridMultilevel"/>
    <w:tmpl w:val="C4D83D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8" w15:restartNumberingAfterBreak="0">
    <w:nsid w:val="22525655"/>
    <w:multiLevelType w:val="hybridMultilevel"/>
    <w:tmpl w:val="125006F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9" w15:restartNumberingAfterBreak="0">
    <w:nsid w:val="22787E60"/>
    <w:multiLevelType w:val="hybridMultilevel"/>
    <w:tmpl w:val="EDB24E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228746B7"/>
    <w:multiLevelType w:val="hybridMultilevel"/>
    <w:tmpl w:val="7F18539C"/>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1" w15:restartNumberingAfterBreak="0">
    <w:nsid w:val="22A84E73"/>
    <w:multiLevelType w:val="hybridMultilevel"/>
    <w:tmpl w:val="97FC3CAA"/>
    <w:lvl w:ilvl="0" w:tplc="04090001">
      <w:start w:val="1"/>
      <w:numFmt w:val="bullet"/>
      <w:lvlText w:val=""/>
      <w:lvlJc w:val="left"/>
      <w:pPr>
        <w:ind w:left="1420" w:hanging="360"/>
      </w:pPr>
      <w:rPr>
        <w:rFonts w:ascii="Symbol" w:hAnsi="Symbol"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122" w15:restartNumberingAfterBreak="0">
    <w:nsid w:val="22C3404D"/>
    <w:multiLevelType w:val="hybridMultilevel"/>
    <w:tmpl w:val="342E23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22EC7A40"/>
    <w:multiLevelType w:val="hybridMultilevel"/>
    <w:tmpl w:val="4E6E51B0"/>
    <w:lvl w:ilvl="0" w:tplc="BC6E6746">
      <w:start w:val="1"/>
      <w:numFmt w:val="bullet"/>
      <w:lvlText w:val=""/>
      <w:legacy w:legacy="1" w:legacySpace="120" w:legacyIndent="360"/>
      <w:lvlJc w:val="left"/>
      <w:pPr>
        <w:ind w:left="36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15:restartNumberingAfterBreak="0">
    <w:nsid w:val="2333043C"/>
    <w:multiLevelType w:val="hybridMultilevel"/>
    <w:tmpl w:val="393AEF6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5" w15:restartNumberingAfterBreak="0">
    <w:nsid w:val="23552C9E"/>
    <w:multiLevelType w:val="hybridMultilevel"/>
    <w:tmpl w:val="A8821FEC"/>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23616E2D"/>
    <w:multiLevelType w:val="hybridMultilevel"/>
    <w:tmpl w:val="E3305C1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7" w15:restartNumberingAfterBreak="0">
    <w:nsid w:val="2393746A"/>
    <w:multiLevelType w:val="hybridMultilevel"/>
    <w:tmpl w:val="5DFA92D4"/>
    <w:lvl w:ilvl="0" w:tplc="04090001">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8" w15:restartNumberingAfterBreak="0">
    <w:nsid w:val="239E1321"/>
    <w:multiLevelType w:val="hybridMultilevel"/>
    <w:tmpl w:val="37CCFD2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15:restartNumberingAfterBreak="0">
    <w:nsid w:val="23EF4168"/>
    <w:multiLevelType w:val="hybridMultilevel"/>
    <w:tmpl w:val="E54C3A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243B252A"/>
    <w:multiLevelType w:val="hybridMultilevel"/>
    <w:tmpl w:val="C9C043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246B5ADB"/>
    <w:multiLevelType w:val="hybridMultilevel"/>
    <w:tmpl w:val="E076C27C"/>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32" w15:restartNumberingAfterBreak="0">
    <w:nsid w:val="24866703"/>
    <w:multiLevelType w:val="multilevel"/>
    <w:tmpl w:val="5E148196"/>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33" w15:restartNumberingAfterBreak="0">
    <w:nsid w:val="24A92199"/>
    <w:multiLevelType w:val="hybridMultilevel"/>
    <w:tmpl w:val="50ECBF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4" w15:restartNumberingAfterBreak="0">
    <w:nsid w:val="25530FE1"/>
    <w:multiLevelType w:val="hybridMultilevel"/>
    <w:tmpl w:val="B1FA5BDA"/>
    <w:lvl w:ilvl="0" w:tplc="04090005">
      <w:start w:val="1"/>
      <w:numFmt w:val="bullet"/>
      <w:lvlText w:val=""/>
      <w:lvlJc w:val="left"/>
      <w:pPr>
        <w:ind w:left="1080" w:hanging="360"/>
      </w:pPr>
      <w:rPr>
        <w:rFonts w:ascii="Wingdings" w:hAnsi="Wingdings"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5" w15:restartNumberingAfterBreak="0">
    <w:nsid w:val="257C3B37"/>
    <w:multiLevelType w:val="hybridMultilevel"/>
    <w:tmpl w:val="E8302C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25817C3F"/>
    <w:multiLevelType w:val="hybridMultilevel"/>
    <w:tmpl w:val="FF54E52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7" w15:restartNumberingAfterBreak="0">
    <w:nsid w:val="258A6498"/>
    <w:multiLevelType w:val="hybridMultilevel"/>
    <w:tmpl w:val="CBD8B17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8" w15:restartNumberingAfterBreak="0">
    <w:nsid w:val="25F84EE2"/>
    <w:multiLevelType w:val="multilevel"/>
    <w:tmpl w:val="0B02A3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2617016E"/>
    <w:multiLevelType w:val="hybridMultilevel"/>
    <w:tmpl w:val="F4587B1A"/>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0" w15:restartNumberingAfterBreak="0">
    <w:nsid w:val="26D57293"/>
    <w:multiLevelType w:val="hybridMultilevel"/>
    <w:tmpl w:val="A1B4E8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27036976"/>
    <w:multiLevelType w:val="hybridMultilevel"/>
    <w:tmpl w:val="63AE901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2" w15:restartNumberingAfterBreak="0">
    <w:nsid w:val="2738482C"/>
    <w:multiLevelType w:val="multilevel"/>
    <w:tmpl w:val="06043B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76454E6"/>
    <w:multiLevelType w:val="hybridMultilevel"/>
    <w:tmpl w:val="9ABCA744"/>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4" w15:restartNumberingAfterBreak="0">
    <w:nsid w:val="2771449C"/>
    <w:multiLevelType w:val="hybridMultilevel"/>
    <w:tmpl w:val="BE9851A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5" w15:restartNumberingAfterBreak="0">
    <w:nsid w:val="27954B5F"/>
    <w:multiLevelType w:val="hybridMultilevel"/>
    <w:tmpl w:val="EB1C5876"/>
    <w:lvl w:ilvl="0" w:tplc="35460C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28730C01"/>
    <w:multiLevelType w:val="hybridMultilevel"/>
    <w:tmpl w:val="6BFE7B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7" w15:restartNumberingAfterBreak="0">
    <w:nsid w:val="28D53E33"/>
    <w:multiLevelType w:val="hybridMultilevel"/>
    <w:tmpl w:val="966428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299B5C11"/>
    <w:multiLevelType w:val="hybridMultilevel"/>
    <w:tmpl w:val="21866EB2"/>
    <w:lvl w:ilvl="0" w:tplc="BB68216A">
      <w:numFmt w:val="bullet"/>
      <w:lvlText w:val=""/>
      <w:lvlJc w:val="left"/>
      <w:pPr>
        <w:ind w:left="600" w:hanging="360"/>
      </w:pPr>
      <w:rPr>
        <w:rFonts w:ascii="Symbol" w:eastAsia="Calibri" w:hAnsi="Symbol" w:cs="Times New Roman" w:hint="default"/>
      </w:rPr>
    </w:lvl>
    <w:lvl w:ilvl="1" w:tplc="04090003">
      <w:start w:val="1"/>
      <w:numFmt w:val="bullet"/>
      <w:lvlText w:val="o"/>
      <w:lvlJc w:val="left"/>
      <w:pPr>
        <w:ind w:left="1320" w:hanging="360"/>
      </w:pPr>
      <w:rPr>
        <w:rFonts w:ascii="Courier New" w:hAnsi="Courier New" w:cs="Courier New" w:hint="default"/>
      </w:rPr>
    </w:lvl>
    <w:lvl w:ilvl="2" w:tplc="04090005">
      <w:start w:val="1"/>
      <w:numFmt w:val="bullet"/>
      <w:lvlText w:val=""/>
      <w:lvlJc w:val="left"/>
      <w:pPr>
        <w:ind w:left="2040" w:hanging="360"/>
      </w:pPr>
      <w:rPr>
        <w:rFonts w:ascii="Wingdings" w:hAnsi="Wingdings" w:hint="default"/>
      </w:rPr>
    </w:lvl>
    <w:lvl w:ilvl="3" w:tplc="04090001">
      <w:start w:val="1"/>
      <w:numFmt w:val="bullet"/>
      <w:lvlText w:val=""/>
      <w:lvlJc w:val="left"/>
      <w:pPr>
        <w:ind w:left="2760" w:hanging="360"/>
      </w:pPr>
      <w:rPr>
        <w:rFonts w:ascii="Symbol" w:hAnsi="Symbol" w:hint="default"/>
      </w:rPr>
    </w:lvl>
    <w:lvl w:ilvl="4" w:tplc="04090003">
      <w:start w:val="1"/>
      <w:numFmt w:val="bullet"/>
      <w:lvlText w:val="o"/>
      <w:lvlJc w:val="left"/>
      <w:pPr>
        <w:ind w:left="3480" w:hanging="360"/>
      </w:pPr>
      <w:rPr>
        <w:rFonts w:ascii="Courier New" w:hAnsi="Courier New" w:cs="Courier New" w:hint="default"/>
      </w:rPr>
    </w:lvl>
    <w:lvl w:ilvl="5" w:tplc="04090005">
      <w:start w:val="1"/>
      <w:numFmt w:val="bullet"/>
      <w:lvlText w:val=""/>
      <w:lvlJc w:val="left"/>
      <w:pPr>
        <w:ind w:left="4200" w:hanging="360"/>
      </w:pPr>
      <w:rPr>
        <w:rFonts w:ascii="Wingdings" w:hAnsi="Wingdings" w:hint="default"/>
      </w:rPr>
    </w:lvl>
    <w:lvl w:ilvl="6" w:tplc="04090001">
      <w:start w:val="1"/>
      <w:numFmt w:val="bullet"/>
      <w:lvlText w:val=""/>
      <w:lvlJc w:val="left"/>
      <w:pPr>
        <w:ind w:left="4920" w:hanging="360"/>
      </w:pPr>
      <w:rPr>
        <w:rFonts w:ascii="Symbol" w:hAnsi="Symbol" w:hint="default"/>
      </w:rPr>
    </w:lvl>
    <w:lvl w:ilvl="7" w:tplc="04090003">
      <w:start w:val="1"/>
      <w:numFmt w:val="bullet"/>
      <w:lvlText w:val="o"/>
      <w:lvlJc w:val="left"/>
      <w:pPr>
        <w:ind w:left="5640" w:hanging="360"/>
      </w:pPr>
      <w:rPr>
        <w:rFonts w:ascii="Courier New" w:hAnsi="Courier New" w:cs="Courier New" w:hint="default"/>
      </w:rPr>
    </w:lvl>
    <w:lvl w:ilvl="8" w:tplc="04090005">
      <w:start w:val="1"/>
      <w:numFmt w:val="bullet"/>
      <w:lvlText w:val=""/>
      <w:lvlJc w:val="left"/>
      <w:pPr>
        <w:ind w:left="6360" w:hanging="360"/>
      </w:pPr>
      <w:rPr>
        <w:rFonts w:ascii="Wingdings" w:hAnsi="Wingdings" w:hint="default"/>
      </w:rPr>
    </w:lvl>
  </w:abstractNum>
  <w:abstractNum w:abstractNumId="149" w15:restartNumberingAfterBreak="0">
    <w:nsid w:val="2A1819D5"/>
    <w:multiLevelType w:val="hybridMultilevel"/>
    <w:tmpl w:val="578E64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2A861736"/>
    <w:multiLevelType w:val="multilevel"/>
    <w:tmpl w:val="E754FF2E"/>
    <w:lvl w:ilvl="0">
      <w:start w:val="1"/>
      <w:numFmt w:val="decimal"/>
      <w:lvlText w:val="%1."/>
      <w:lvlJc w:val="left"/>
      <w:pPr>
        <w:ind w:left="720" w:hanging="360"/>
      </w:pPr>
    </w:lvl>
    <w:lvl w:ilvl="1">
      <w:start w:val="326"/>
      <w:numFmt w:val="decimal"/>
      <w:isLgl/>
      <w:lvlText w:val="%1.%2"/>
      <w:lvlJc w:val="left"/>
      <w:pPr>
        <w:ind w:left="1545" w:hanging="555"/>
      </w:pPr>
      <w:rPr>
        <w:rFonts w:hint="default"/>
        <w:i w:val="0"/>
      </w:rPr>
    </w:lvl>
    <w:lvl w:ilvl="2">
      <w:start w:val="1"/>
      <w:numFmt w:val="decimal"/>
      <w:isLgl/>
      <w:lvlText w:val="%1.%2.%3"/>
      <w:lvlJc w:val="left"/>
      <w:pPr>
        <w:ind w:left="2340" w:hanging="720"/>
      </w:pPr>
      <w:rPr>
        <w:rFonts w:hint="default"/>
        <w:i w:val="0"/>
      </w:rPr>
    </w:lvl>
    <w:lvl w:ilvl="3">
      <w:start w:val="1"/>
      <w:numFmt w:val="decimal"/>
      <w:isLgl/>
      <w:lvlText w:val="%1.%2.%3.%4"/>
      <w:lvlJc w:val="left"/>
      <w:pPr>
        <w:ind w:left="2970" w:hanging="720"/>
      </w:pPr>
      <w:rPr>
        <w:rFonts w:hint="default"/>
        <w:i w:val="0"/>
      </w:rPr>
    </w:lvl>
    <w:lvl w:ilvl="4">
      <w:start w:val="1"/>
      <w:numFmt w:val="decimal"/>
      <w:isLgl/>
      <w:lvlText w:val="%1.%2.%3.%4.%5"/>
      <w:lvlJc w:val="left"/>
      <w:pPr>
        <w:ind w:left="3960" w:hanging="1080"/>
      </w:pPr>
      <w:rPr>
        <w:rFonts w:hint="default"/>
        <w:i w:val="0"/>
      </w:rPr>
    </w:lvl>
    <w:lvl w:ilvl="5">
      <w:start w:val="1"/>
      <w:numFmt w:val="decimal"/>
      <w:isLgl/>
      <w:lvlText w:val="%1.%2.%3.%4.%5.%6"/>
      <w:lvlJc w:val="left"/>
      <w:pPr>
        <w:ind w:left="4590" w:hanging="1080"/>
      </w:pPr>
      <w:rPr>
        <w:rFonts w:hint="default"/>
        <w:i w:val="0"/>
      </w:rPr>
    </w:lvl>
    <w:lvl w:ilvl="6">
      <w:start w:val="1"/>
      <w:numFmt w:val="decimal"/>
      <w:isLgl/>
      <w:lvlText w:val="%1.%2.%3.%4.%5.%6.%7"/>
      <w:lvlJc w:val="left"/>
      <w:pPr>
        <w:ind w:left="5580" w:hanging="1440"/>
      </w:pPr>
      <w:rPr>
        <w:rFonts w:hint="default"/>
        <w:i w:val="0"/>
      </w:rPr>
    </w:lvl>
    <w:lvl w:ilvl="7">
      <w:start w:val="1"/>
      <w:numFmt w:val="decimal"/>
      <w:isLgl/>
      <w:lvlText w:val="%1.%2.%3.%4.%5.%6.%7.%8"/>
      <w:lvlJc w:val="left"/>
      <w:pPr>
        <w:ind w:left="6210" w:hanging="1440"/>
      </w:pPr>
      <w:rPr>
        <w:rFonts w:hint="default"/>
        <w:i w:val="0"/>
      </w:rPr>
    </w:lvl>
    <w:lvl w:ilvl="8">
      <w:start w:val="1"/>
      <w:numFmt w:val="decimal"/>
      <w:isLgl/>
      <w:lvlText w:val="%1.%2.%3.%4.%5.%6.%7.%8.%9"/>
      <w:lvlJc w:val="left"/>
      <w:pPr>
        <w:ind w:left="7200" w:hanging="1800"/>
      </w:pPr>
      <w:rPr>
        <w:rFonts w:hint="default"/>
        <w:i w:val="0"/>
      </w:rPr>
    </w:lvl>
  </w:abstractNum>
  <w:abstractNum w:abstractNumId="151" w15:restartNumberingAfterBreak="0">
    <w:nsid w:val="2B6A45AF"/>
    <w:multiLevelType w:val="hybridMultilevel"/>
    <w:tmpl w:val="19042E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2BBD3BF7"/>
    <w:multiLevelType w:val="multilevel"/>
    <w:tmpl w:val="4CDADE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2BC722FD"/>
    <w:multiLevelType w:val="singleLevel"/>
    <w:tmpl w:val="BC6E6746"/>
    <w:lvl w:ilvl="0">
      <w:numFmt w:val="decimal"/>
      <w:lvlText w:val="*"/>
      <w:lvlJc w:val="left"/>
    </w:lvl>
  </w:abstractNum>
  <w:abstractNum w:abstractNumId="154" w15:restartNumberingAfterBreak="0">
    <w:nsid w:val="2C2377CA"/>
    <w:multiLevelType w:val="hybridMultilevel"/>
    <w:tmpl w:val="B7F4AE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5" w15:restartNumberingAfterBreak="0">
    <w:nsid w:val="2CAA32CD"/>
    <w:multiLevelType w:val="hybridMultilevel"/>
    <w:tmpl w:val="81727CBE"/>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3">
      <w:start w:val="1"/>
      <w:numFmt w:val="bullet"/>
      <w:lvlText w:val="o"/>
      <w:lvlJc w:val="left"/>
      <w:pPr>
        <w:ind w:left="3240" w:hanging="360"/>
      </w:pPr>
      <w:rPr>
        <w:rFonts w:ascii="Courier New" w:hAnsi="Courier New" w:cs="Courier New"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2CC42347"/>
    <w:multiLevelType w:val="hybridMultilevel"/>
    <w:tmpl w:val="2B2C88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2D555811"/>
    <w:multiLevelType w:val="hybridMultilevel"/>
    <w:tmpl w:val="2CA4D720"/>
    <w:lvl w:ilvl="0" w:tplc="0409000B">
      <w:start w:val="1"/>
      <w:numFmt w:val="bullet"/>
      <w:lvlText w:val=""/>
      <w:lvlJc w:val="left"/>
      <w:pPr>
        <w:ind w:left="780" w:hanging="360"/>
      </w:pPr>
      <w:rPr>
        <w:rFonts w:ascii="Wingdings" w:hAnsi="Wingdings"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158" w15:restartNumberingAfterBreak="0">
    <w:nsid w:val="2DFD7807"/>
    <w:multiLevelType w:val="hybridMultilevel"/>
    <w:tmpl w:val="FFF4FB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9" w15:restartNumberingAfterBreak="0">
    <w:nsid w:val="2E1A556D"/>
    <w:multiLevelType w:val="hybridMultilevel"/>
    <w:tmpl w:val="DA1C0470"/>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2E7A3FAB"/>
    <w:multiLevelType w:val="hybridMultilevel"/>
    <w:tmpl w:val="742AD164"/>
    <w:lvl w:ilvl="0" w:tplc="04090005">
      <w:start w:val="1"/>
      <w:numFmt w:val="bullet"/>
      <w:lvlText w:val=""/>
      <w:lvlJc w:val="left"/>
      <w:pPr>
        <w:ind w:left="763" w:hanging="360"/>
      </w:pPr>
      <w:rPr>
        <w:rFonts w:ascii="Wingdings" w:hAnsi="Wingdings"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61" w15:restartNumberingAfterBreak="0">
    <w:nsid w:val="2E814782"/>
    <w:multiLevelType w:val="hybridMultilevel"/>
    <w:tmpl w:val="F65E14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2E8313E3"/>
    <w:multiLevelType w:val="hybridMultilevel"/>
    <w:tmpl w:val="5AC0F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2F31151A"/>
    <w:multiLevelType w:val="hybridMultilevel"/>
    <w:tmpl w:val="7538641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2F5E5DF9"/>
    <w:multiLevelType w:val="hybridMultilevel"/>
    <w:tmpl w:val="BCE05EF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5" w15:restartNumberingAfterBreak="0">
    <w:nsid w:val="2F7B3BE6"/>
    <w:multiLevelType w:val="hybridMultilevel"/>
    <w:tmpl w:val="47F8741C"/>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6" w15:restartNumberingAfterBreak="0">
    <w:nsid w:val="2FA7543E"/>
    <w:multiLevelType w:val="hybridMultilevel"/>
    <w:tmpl w:val="15AE20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15:restartNumberingAfterBreak="0">
    <w:nsid w:val="308345B5"/>
    <w:multiLevelType w:val="hybridMultilevel"/>
    <w:tmpl w:val="FF10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30C95C21"/>
    <w:multiLevelType w:val="hybridMultilevel"/>
    <w:tmpl w:val="A6626BB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150034F"/>
    <w:multiLevelType w:val="multilevel"/>
    <w:tmpl w:val="1F207D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2F22313"/>
    <w:multiLevelType w:val="multilevel"/>
    <w:tmpl w:val="96E40C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32F76CA7"/>
    <w:multiLevelType w:val="multilevel"/>
    <w:tmpl w:val="11FAF4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474034E"/>
    <w:multiLevelType w:val="hybridMultilevel"/>
    <w:tmpl w:val="2308519E"/>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3" w15:restartNumberingAfterBreak="0">
    <w:nsid w:val="34A136C8"/>
    <w:multiLevelType w:val="multilevel"/>
    <w:tmpl w:val="8D64C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53E47AB"/>
    <w:multiLevelType w:val="hybridMultilevel"/>
    <w:tmpl w:val="7B96AAE8"/>
    <w:lvl w:ilvl="0" w:tplc="BC6E6746">
      <w:start w:val="1"/>
      <w:numFmt w:val="bullet"/>
      <w:lvlText w:val=""/>
      <w:legacy w:legacy="1" w:legacySpace="120" w:legacyIndent="360"/>
      <w:lvlJc w:val="left"/>
      <w:pPr>
        <w:ind w:left="36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5" w15:restartNumberingAfterBreak="0">
    <w:nsid w:val="3619128F"/>
    <w:multiLevelType w:val="hybridMultilevel"/>
    <w:tmpl w:val="4E0A6068"/>
    <w:lvl w:ilvl="0" w:tplc="A28A2B2A">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6214F71"/>
    <w:multiLevelType w:val="hybridMultilevel"/>
    <w:tmpl w:val="8EC6B62C"/>
    <w:lvl w:ilvl="0" w:tplc="04090005">
      <w:start w:val="1"/>
      <w:numFmt w:val="bullet"/>
      <w:lvlText w:val=""/>
      <w:lvlJc w:val="left"/>
      <w:pPr>
        <w:ind w:left="1080" w:hanging="360"/>
      </w:pPr>
      <w:rPr>
        <w:rFonts w:ascii="Wingdings" w:hAnsi="Wingdings" w:hint="default"/>
      </w:rPr>
    </w:lvl>
    <w:lvl w:ilvl="1" w:tplc="04090001">
      <w:start w:val="1"/>
      <w:numFmt w:val="bullet"/>
      <w:lvlText w:val=""/>
      <w:lvlJc w:val="left"/>
      <w:pPr>
        <w:ind w:left="1800" w:hanging="360"/>
      </w:pPr>
      <w:rPr>
        <w:rFonts w:ascii="Symbol" w:hAnsi="Symbol"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6435ACF"/>
    <w:multiLevelType w:val="hybridMultilevel"/>
    <w:tmpl w:val="FFECBA58"/>
    <w:lvl w:ilvl="0" w:tplc="199A9734">
      <w:start w:val="1"/>
      <w:numFmt w:val="bullet"/>
      <w:lvlText w:val=""/>
      <w:lvlJc w:val="left"/>
      <w:pPr>
        <w:ind w:left="720" w:hanging="360"/>
      </w:pPr>
      <w:rPr>
        <w:rFonts w:ascii="Symbol" w:hAnsi="Symbol" w:hint="default"/>
        <w:color w:val="FF000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36DE27A7"/>
    <w:multiLevelType w:val="hybridMultilevel"/>
    <w:tmpl w:val="6AF01776"/>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37BC5310"/>
    <w:multiLevelType w:val="hybridMultilevel"/>
    <w:tmpl w:val="1E586AF0"/>
    <w:lvl w:ilvl="0" w:tplc="04090005">
      <w:start w:val="1"/>
      <w:numFmt w:val="bullet"/>
      <w:lvlText w:val=""/>
      <w:lvlJc w:val="left"/>
      <w:pPr>
        <w:tabs>
          <w:tab w:val="num" w:pos="675"/>
        </w:tabs>
        <w:ind w:left="675" w:hanging="360"/>
      </w:pPr>
      <w:rPr>
        <w:rFonts w:ascii="Wingdings" w:hAnsi="Wingdings" w:hint="default"/>
      </w:rPr>
    </w:lvl>
    <w:lvl w:ilvl="1" w:tplc="04090003" w:tentative="1">
      <w:start w:val="1"/>
      <w:numFmt w:val="bullet"/>
      <w:lvlText w:val="o"/>
      <w:lvlJc w:val="left"/>
      <w:pPr>
        <w:tabs>
          <w:tab w:val="num" w:pos="1395"/>
        </w:tabs>
        <w:ind w:left="1395" w:hanging="360"/>
      </w:pPr>
      <w:rPr>
        <w:rFonts w:ascii="Courier New" w:hAnsi="Courier New" w:hint="default"/>
      </w:rPr>
    </w:lvl>
    <w:lvl w:ilvl="2" w:tplc="04090005" w:tentative="1">
      <w:start w:val="1"/>
      <w:numFmt w:val="bullet"/>
      <w:lvlText w:val=""/>
      <w:lvlJc w:val="left"/>
      <w:pPr>
        <w:tabs>
          <w:tab w:val="num" w:pos="2115"/>
        </w:tabs>
        <w:ind w:left="2115" w:hanging="360"/>
      </w:pPr>
      <w:rPr>
        <w:rFonts w:ascii="Wingdings" w:hAnsi="Wingdings" w:hint="default"/>
      </w:rPr>
    </w:lvl>
    <w:lvl w:ilvl="3" w:tplc="04090001" w:tentative="1">
      <w:start w:val="1"/>
      <w:numFmt w:val="bullet"/>
      <w:lvlText w:val=""/>
      <w:lvlJc w:val="left"/>
      <w:pPr>
        <w:tabs>
          <w:tab w:val="num" w:pos="2835"/>
        </w:tabs>
        <w:ind w:left="2835" w:hanging="360"/>
      </w:pPr>
      <w:rPr>
        <w:rFonts w:ascii="Symbol" w:hAnsi="Symbol" w:hint="default"/>
      </w:rPr>
    </w:lvl>
    <w:lvl w:ilvl="4" w:tplc="04090003" w:tentative="1">
      <w:start w:val="1"/>
      <w:numFmt w:val="bullet"/>
      <w:lvlText w:val="o"/>
      <w:lvlJc w:val="left"/>
      <w:pPr>
        <w:tabs>
          <w:tab w:val="num" w:pos="3555"/>
        </w:tabs>
        <w:ind w:left="3555" w:hanging="360"/>
      </w:pPr>
      <w:rPr>
        <w:rFonts w:ascii="Courier New" w:hAnsi="Courier New" w:hint="default"/>
      </w:rPr>
    </w:lvl>
    <w:lvl w:ilvl="5" w:tplc="04090005" w:tentative="1">
      <w:start w:val="1"/>
      <w:numFmt w:val="bullet"/>
      <w:lvlText w:val=""/>
      <w:lvlJc w:val="left"/>
      <w:pPr>
        <w:tabs>
          <w:tab w:val="num" w:pos="4275"/>
        </w:tabs>
        <w:ind w:left="4275" w:hanging="360"/>
      </w:pPr>
      <w:rPr>
        <w:rFonts w:ascii="Wingdings" w:hAnsi="Wingdings" w:hint="default"/>
      </w:rPr>
    </w:lvl>
    <w:lvl w:ilvl="6" w:tplc="04090001" w:tentative="1">
      <w:start w:val="1"/>
      <w:numFmt w:val="bullet"/>
      <w:lvlText w:val=""/>
      <w:lvlJc w:val="left"/>
      <w:pPr>
        <w:tabs>
          <w:tab w:val="num" w:pos="4995"/>
        </w:tabs>
        <w:ind w:left="4995" w:hanging="360"/>
      </w:pPr>
      <w:rPr>
        <w:rFonts w:ascii="Symbol" w:hAnsi="Symbol" w:hint="default"/>
      </w:rPr>
    </w:lvl>
    <w:lvl w:ilvl="7" w:tplc="04090003" w:tentative="1">
      <w:start w:val="1"/>
      <w:numFmt w:val="bullet"/>
      <w:lvlText w:val="o"/>
      <w:lvlJc w:val="left"/>
      <w:pPr>
        <w:tabs>
          <w:tab w:val="num" w:pos="5715"/>
        </w:tabs>
        <w:ind w:left="5715" w:hanging="360"/>
      </w:pPr>
      <w:rPr>
        <w:rFonts w:ascii="Courier New" w:hAnsi="Courier New" w:hint="default"/>
      </w:rPr>
    </w:lvl>
    <w:lvl w:ilvl="8" w:tplc="04090005" w:tentative="1">
      <w:start w:val="1"/>
      <w:numFmt w:val="bullet"/>
      <w:lvlText w:val=""/>
      <w:lvlJc w:val="left"/>
      <w:pPr>
        <w:tabs>
          <w:tab w:val="num" w:pos="6435"/>
        </w:tabs>
        <w:ind w:left="6435" w:hanging="360"/>
      </w:pPr>
      <w:rPr>
        <w:rFonts w:ascii="Wingdings" w:hAnsi="Wingdings" w:hint="default"/>
      </w:rPr>
    </w:lvl>
  </w:abstractNum>
  <w:abstractNum w:abstractNumId="180" w15:restartNumberingAfterBreak="0">
    <w:nsid w:val="37D1184B"/>
    <w:multiLevelType w:val="hybridMultilevel"/>
    <w:tmpl w:val="52E4660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1" w15:restartNumberingAfterBreak="0">
    <w:nsid w:val="3827623D"/>
    <w:multiLevelType w:val="singleLevel"/>
    <w:tmpl w:val="04090005"/>
    <w:lvl w:ilvl="0">
      <w:start w:val="1"/>
      <w:numFmt w:val="bullet"/>
      <w:lvlText w:val=""/>
      <w:lvlJc w:val="left"/>
      <w:pPr>
        <w:ind w:left="720" w:hanging="360"/>
      </w:pPr>
      <w:rPr>
        <w:rFonts w:ascii="Wingdings" w:hAnsi="Wingdings" w:hint="default"/>
      </w:rPr>
    </w:lvl>
  </w:abstractNum>
  <w:abstractNum w:abstractNumId="182" w15:restartNumberingAfterBreak="0">
    <w:nsid w:val="38DC14A9"/>
    <w:multiLevelType w:val="hybridMultilevel"/>
    <w:tmpl w:val="B82846DC"/>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3" w15:restartNumberingAfterBreak="0">
    <w:nsid w:val="3937318F"/>
    <w:multiLevelType w:val="multilevel"/>
    <w:tmpl w:val="D74C2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396214FA"/>
    <w:multiLevelType w:val="hybridMultilevel"/>
    <w:tmpl w:val="EA9E616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5" w15:restartNumberingAfterBreak="0">
    <w:nsid w:val="39727EF6"/>
    <w:multiLevelType w:val="hybridMultilevel"/>
    <w:tmpl w:val="E89414CA"/>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6" w15:restartNumberingAfterBreak="0">
    <w:nsid w:val="39885A11"/>
    <w:multiLevelType w:val="hybridMultilevel"/>
    <w:tmpl w:val="1DB0404A"/>
    <w:lvl w:ilvl="0" w:tplc="7B70E30E">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87" w15:restartNumberingAfterBreak="0">
    <w:nsid w:val="39C27A94"/>
    <w:multiLevelType w:val="hybridMultilevel"/>
    <w:tmpl w:val="C394B4F4"/>
    <w:lvl w:ilvl="0" w:tplc="F6606D14">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8" w15:restartNumberingAfterBreak="0">
    <w:nsid w:val="39D0183A"/>
    <w:multiLevelType w:val="hybridMultilevel"/>
    <w:tmpl w:val="ED5C6AB6"/>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9" w15:restartNumberingAfterBreak="0">
    <w:nsid w:val="3A4A6C67"/>
    <w:multiLevelType w:val="hybridMultilevel"/>
    <w:tmpl w:val="D286F3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3A7A1E83"/>
    <w:multiLevelType w:val="hybridMultilevel"/>
    <w:tmpl w:val="0526CB2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3ADC5513"/>
    <w:multiLevelType w:val="hybridMultilevel"/>
    <w:tmpl w:val="F6E0A9CE"/>
    <w:lvl w:ilvl="0" w:tplc="04090001">
      <w:start w:val="1"/>
      <w:numFmt w:val="bullet"/>
      <w:lvlText w:val=""/>
      <w:lvlJc w:val="left"/>
      <w:pPr>
        <w:ind w:left="1420" w:hanging="360"/>
      </w:pPr>
      <w:rPr>
        <w:rFonts w:ascii="Symbol" w:hAnsi="Symbol"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192" w15:restartNumberingAfterBreak="0">
    <w:nsid w:val="3BB14352"/>
    <w:multiLevelType w:val="hybridMultilevel"/>
    <w:tmpl w:val="05F019E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3" w15:restartNumberingAfterBreak="0">
    <w:nsid w:val="3BD517D4"/>
    <w:multiLevelType w:val="hybridMultilevel"/>
    <w:tmpl w:val="988EEA8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4" w15:restartNumberingAfterBreak="0">
    <w:nsid w:val="3C1235C7"/>
    <w:multiLevelType w:val="hybridMultilevel"/>
    <w:tmpl w:val="B00E7C2E"/>
    <w:lvl w:ilvl="0" w:tplc="04090005">
      <w:start w:val="1"/>
      <w:numFmt w:val="bullet"/>
      <w:lvlText w:val=""/>
      <w:lvlJc w:val="left"/>
      <w:pPr>
        <w:ind w:left="1420" w:hanging="360"/>
      </w:pPr>
      <w:rPr>
        <w:rFonts w:ascii="Wingdings" w:hAnsi="Wingdings"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195" w15:restartNumberingAfterBreak="0">
    <w:nsid w:val="3C6403BE"/>
    <w:multiLevelType w:val="hybridMultilevel"/>
    <w:tmpl w:val="EBC8E9DC"/>
    <w:lvl w:ilvl="0" w:tplc="8E9EAD3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6" w15:restartNumberingAfterBreak="0">
    <w:nsid w:val="3C7A4759"/>
    <w:multiLevelType w:val="hybridMultilevel"/>
    <w:tmpl w:val="77383D4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7" w15:restartNumberingAfterBreak="0">
    <w:nsid w:val="3C8C03F0"/>
    <w:multiLevelType w:val="hybridMultilevel"/>
    <w:tmpl w:val="876CC8AC"/>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8" w15:restartNumberingAfterBreak="0">
    <w:nsid w:val="3CEC6E22"/>
    <w:multiLevelType w:val="hybridMultilevel"/>
    <w:tmpl w:val="D8B41F92"/>
    <w:lvl w:ilvl="0" w:tplc="04090001">
      <w:start w:val="1"/>
      <w:numFmt w:val="bullet"/>
      <w:lvlText w:val=""/>
      <w:lvlJc w:val="left"/>
      <w:pPr>
        <w:ind w:left="1420" w:hanging="360"/>
      </w:pPr>
      <w:rPr>
        <w:rFonts w:ascii="Symbol" w:hAnsi="Symbol"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199" w15:restartNumberingAfterBreak="0">
    <w:nsid w:val="3CED234F"/>
    <w:multiLevelType w:val="hybridMultilevel"/>
    <w:tmpl w:val="2A30EDBC"/>
    <w:lvl w:ilvl="0" w:tplc="09008198">
      <w:start w:val="6302"/>
      <w:numFmt w:val="decimal"/>
      <w:lvlText w:val="%1"/>
      <w:lvlJc w:val="left"/>
      <w:pPr>
        <w:tabs>
          <w:tab w:val="num" w:pos="630"/>
        </w:tabs>
        <w:ind w:left="630" w:hanging="675"/>
      </w:pPr>
      <w:rPr>
        <w:rFonts w:hint="default"/>
        <w:i w:val="0"/>
      </w:rPr>
    </w:lvl>
    <w:lvl w:ilvl="1" w:tplc="04090019" w:tentative="1">
      <w:start w:val="1"/>
      <w:numFmt w:val="lowerLetter"/>
      <w:lvlText w:val="%2."/>
      <w:lvlJc w:val="left"/>
      <w:pPr>
        <w:tabs>
          <w:tab w:val="num" w:pos="1035"/>
        </w:tabs>
        <w:ind w:left="1035" w:hanging="360"/>
      </w:pPr>
    </w:lvl>
    <w:lvl w:ilvl="2" w:tplc="0409001B" w:tentative="1">
      <w:start w:val="1"/>
      <w:numFmt w:val="lowerRoman"/>
      <w:lvlText w:val="%3."/>
      <w:lvlJc w:val="right"/>
      <w:pPr>
        <w:tabs>
          <w:tab w:val="num" w:pos="1755"/>
        </w:tabs>
        <w:ind w:left="1755" w:hanging="180"/>
      </w:pPr>
    </w:lvl>
    <w:lvl w:ilvl="3" w:tplc="0409000F" w:tentative="1">
      <w:start w:val="1"/>
      <w:numFmt w:val="decimal"/>
      <w:lvlText w:val="%4."/>
      <w:lvlJc w:val="left"/>
      <w:pPr>
        <w:tabs>
          <w:tab w:val="num" w:pos="2475"/>
        </w:tabs>
        <w:ind w:left="2475" w:hanging="360"/>
      </w:pPr>
    </w:lvl>
    <w:lvl w:ilvl="4" w:tplc="04090019" w:tentative="1">
      <w:start w:val="1"/>
      <w:numFmt w:val="lowerLetter"/>
      <w:lvlText w:val="%5."/>
      <w:lvlJc w:val="left"/>
      <w:pPr>
        <w:tabs>
          <w:tab w:val="num" w:pos="3195"/>
        </w:tabs>
        <w:ind w:left="3195" w:hanging="360"/>
      </w:pPr>
    </w:lvl>
    <w:lvl w:ilvl="5" w:tplc="0409001B" w:tentative="1">
      <w:start w:val="1"/>
      <w:numFmt w:val="lowerRoman"/>
      <w:lvlText w:val="%6."/>
      <w:lvlJc w:val="right"/>
      <w:pPr>
        <w:tabs>
          <w:tab w:val="num" w:pos="3915"/>
        </w:tabs>
        <w:ind w:left="3915" w:hanging="180"/>
      </w:pPr>
    </w:lvl>
    <w:lvl w:ilvl="6" w:tplc="0409000F" w:tentative="1">
      <w:start w:val="1"/>
      <w:numFmt w:val="decimal"/>
      <w:lvlText w:val="%7."/>
      <w:lvlJc w:val="left"/>
      <w:pPr>
        <w:tabs>
          <w:tab w:val="num" w:pos="4635"/>
        </w:tabs>
        <w:ind w:left="4635" w:hanging="360"/>
      </w:pPr>
    </w:lvl>
    <w:lvl w:ilvl="7" w:tplc="04090019" w:tentative="1">
      <w:start w:val="1"/>
      <w:numFmt w:val="lowerLetter"/>
      <w:lvlText w:val="%8."/>
      <w:lvlJc w:val="left"/>
      <w:pPr>
        <w:tabs>
          <w:tab w:val="num" w:pos="5355"/>
        </w:tabs>
        <w:ind w:left="5355" w:hanging="360"/>
      </w:pPr>
    </w:lvl>
    <w:lvl w:ilvl="8" w:tplc="0409001B" w:tentative="1">
      <w:start w:val="1"/>
      <w:numFmt w:val="lowerRoman"/>
      <w:lvlText w:val="%9."/>
      <w:lvlJc w:val="right"/>
      <w:pPr>
        <w:tabs>
          <w:tab w:val="num" w:pos="6075"/>
        </w:tabs>
        <w:ind w:left="6075" w:hanging="180"/>
      </w:pPr>
    </w:lvl>
  </w:abstractNum>
  <w:abstractNum w:abstractNumId="200" w15:restartNumberingAfterBreak="0">
    <w:nsid w:val="3D6D4E8A"/>
    <w:multiLevelType w:val="multilevel"/>
    <w:tmpl w:val="B64276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1" w15:restartNumberingAfterBreak="0">
    <w:nsid w:val="3DBA3AB3"/>
    <w:multiLevelType w:val="hybridMultilevel"/>
    <w:tmpl w:val="4C02435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2" w15:restartNumberingAfterBreak="0">
    <w:nsid w:val="3DC149D0"/>
    <w:multiLevelType w:val="hybridMultilevel"/>
    <w:tmpl w:val="E6AAA2C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3" w15:restartNumberingAfterBreak="0">
    <w:nsid w:val="3E8E0402"/>
    <w:multiLevelType w:val="hybridMultilevel"/>
    <w:tmpl w:val="F40036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4" w15:restartNumberingAfterBreak="0">
    <w:nsid w:val="3EC37810"/>
    <w:multiLevelType w:val="multilevel"/>
    <w:tmpl w:val="BD5879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3EFC0913"/>
    <w:multiLevelType w:val="multilevel"/>
    <w:tmpl w:val="A858E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3F7246DB"/>
    <w:multiLevelType w:val="multilevel"/>
    <w:tmpl w:val="1C86CA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7" w15:restartNumberingAfterBreak="0">
    <w:nsid w:val="3F735A15"/>
    <w:multiLevelType w:val="hybridMultilevel"/>
    <w:tmpl w:val="AB624CF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8" w15:restartNumberingAfterBreak="0">
    <w:nsid w:val="3FC061A7"/>
    <w:multiLevelType w:val="multilevel"/>
    <w:tmpl w:val="AAD2BCCE"/>
    <w:lvl w:ilvl="0">
      <w:start w:val="1"/>
      <w:numFmt w:val="decimal"/>
      <w:lvlText w:val="%1."/>
      <w:lvlJc w:val="left"/>
      <w:pPr>
        <w:tabs>
          <w:tab w:val="num" w:pos="1080"/>
        </w:tabs>
        <w:ind w:left="1080" w:hanging="360"/>
      </w:pPr>
      <w:rPr>
        <w:rFonts w:hint="default"/>
      </w:rPr>
    </w:lvl>
    <w:lvl w:ilvl="1">
      <w:start w:val="96"/>
      <w:numFmt w:val="decimal"/>
      <w:isLgl/>
      <w:lvlText w:val="%1.%2"/>
      <w:lvlJc w:val="left"/>
      <w:pPr>
        <w:ind w:left="1170" w:hanging="450"/>
      </w:pPr>
      <w:rPr>
        <w:rFonts w:hint="default"/>
        <w:i w:val="0"/>
      </w:rPr>
    </w:lvl>
    <w:lvl w:ilvl="2">
      <w:start w:val="1"/>
      <w:numFmt w:val="decimal"/>
      <w:isLgl/>
      <w:lvlText w:val="%1.%2.%3"/>
      <w:lvlJc w:val="left"/>
      <w:pPr>
        <w:ind w:left="1440" w:hanging="720"/>
      </w:pPr>
      <w:rPr>
        <w:rFonts w:hint="default"/>
        <w:i w:val="0"/>
      </w:rPr>
    </w:lvl>
    <w:lvl w:ilvl="3">
      <w:start w:val="1"/>
      <w:numFmt w:val="upperLetter"/>
      <w:isLgl/>
      <w:lvlText w:val="%1.%2.%3.%4"/>
      <w:lvlJc w:val="left"/>
      <w:pPr>
        <w:ind w:left="1440" w:hanging="720"/>
      </w:pPr>
      <w:rPr>
        <w:rFonts w:hint="default"/>
        <w:i w:val="0"/>
      </w:rPr>
    </w:lvl>
    <w:lvl w:ilvl="4">
      <w:start w:val="1"/>
      <w:numFmt w:val="decimal"/>
      <w:isLgl/>
      <w:lvlText w:val="%1.%2.%3.%4.%5"/>
      <w:lvlJc w:val="left"/>
      <w:pPr>
        <w:ind w:left="1800" w:hanging="1080"/>
      </w:pPr>
      <w:rPr>
        <w:rFonts w:hint="default"/>
        <w:i w:val="0"/>
      </w:rPr>
    </w:lvl>
    <w:lvl w:ilvl="5">
      <w:start w:val="1"/>
      <w:numFmt w:val="decimal"/>
      <w:isLgl/>
      <w:lvlText w:val="%1.%2.%3.%4.%5.%6"/>
      <w:lvlJc w:val="left"/>
      <w:pPr>
        <w:ind w:left="1800" w:hanging="1080"/>
      </w:pPr>
      <w:rPr>
        <w:rFonts w:hint="default"/>
        <w:i w:val="0"/>
      </w:rPr>
    </w:lvl>
    <w:lvl w:ilvl="6">
      <w:start w:val="1"/>
      <w:numFmt w:val="decimal"/>
      <w:isLgl/>
      <w:lvlText w:val="%1.%2.%3.%4.%5.%6.%7"/>
      <w:lvlJc w:val="left"/>
      <w:pPr>
        <w:ind w:left="2160" w:hanging="1440"/>
      </w:pPr>
      <w:rPr>
        <w:rFonts w:hint="default"/>
        <w:i w:val="0"/>
      </w:rPr>
    </w:lvl>
    <w:lvl w:ilvl="7">
      <w:start w:val="1"/>
      <w:numFmt w:val="decimal"/>
      <w:isLgl/>
      <w:lvlText w:val="%1.%2.%3.%4.%5.%6.%7.%8"/>
      <w:lvlJc w:val="left"/>
      <w:pPr>
        <w:ind w:left="2160" w:hanging="1440"/>
      </w:pPr>
      <w:rPr>
        <w:rFonts w:hint="default"/>
        <w:i w:val="0"/>
      </w:rPr>
    </w:lvl>
    <w:lvl w:ilvl="8">
      <w:start w:val="1"/>
      <w:numFmt w:val="decimal"/>
      <w:isLgl/>
      <w:lvlText w:val="%1.%2.%3.%4.%5.%6.%7.%8.%9"/>
      <w:lvlJc w:val="left"/>
      <w:pPr>
        <w:ind w:left="2520" w:hanging="1800"/>
      </w:pPr>
      <w:rPr>
        <w:rFonts w:hint="default"/>
        <w:i w:val="0"/>
      </w:rPr>
    </w:lvl>
  </w:abstractNum>
  <w:abstractNum w:abstractNumId="209" w15:restartNumberingAfterBreak="0">
    <w:nsid w:val="40651E06"/>
    <w:multiLevelType w:val="hybridMultilevel"/>
    <w:tmpl w:val="E57443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0" w15:restartNumberingAfterBreak="0">
    <w:nsid w:val="40DF7CC0"/>
    <w:multiLevelType w:val="hybridMultilevel"/>
    <w:tmpl w:val="643EFF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0EA0BD1"/>
    <w:multiLevelType w:val="hybridMultilevel"/>
    <w:tmpl w:val="F95AAF8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2" w15:restartNumberingAfterBreak="0">
    <w:nsid w:val="418F5480"/>
    <w:multiLevelType w:val="hybridMultilevel"/>
    <w:tmpl w:val="10C6E912"/>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3" w15:restartNumberingAfterBreak="0">
    <w:nsid w:val="41A92B77"/>
    <w:multiLevelType w:val="hybridMultilevel"/>
    <w:tmpl w:val="519E756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4" w15:restartNumberingAfterBreak="0">
    <w:nsid w:val="41AC1296"/>
    <w:multiLevelType w:val="hybridMultilevel"/>
    <w:tmpl w:val="8946E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15:restartNumberingAfterBreak="0">
    <w:nsid w:val="41D13C45"/>
    <w:multiLevelType w:val="hybridMultilevel"/>
    <w:tmpl w:val="A21EC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421304B7"/>
    <w:multiLevelType w:val="multilevel"/>
    <w:tmpl w:val="1C86CA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7" w15:restartNumberingAfterBreak="0">
    <w:nsid w:val="42370979"/>
    <w:multiLevelType w:val="hybridMultilevel"/>
    <w:tmpl w:val="4F9455CE"/>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8" w15:restartNumberingAfterBreak="0">
    <w:nsid w:val="426022D0"/>
    <w:multiLevelType w:val="hybridMultilevel"/>
    <w:tmpl w:val="5EE6F974"/>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9" w15:restartNumberingAfterBreak="0">
    <w:nsid w:val="42631D10"/>
    <w:multiLevelType w:val="hybridMultilevel"/>
    <w:tmpl w:val="6BFE8110"/>
    <w:lvl w:ilvl="0" w:tplc="0A0E10E4">
      <w:start w:val="1"/>
      <w:numFmt w:val="bullet"/>
      <w:lvlText w:val=""/>
      <w:lvlJc w:val="left"/>
      <w:pPr>
        <w:ind w:left="720" w:hanging="360"/>
      </w:pPr>
      <w:rPr>
        <w:rFonts w:ascii="Wingdings" w:eastAsia="Times New Roman" w:hAnsi="Wingdings"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20" w15:restartNumberingAfterBreak="0">
    <w:nsid w:val="4319454C"/>
    <w:multiLevelType w:val="hybridMultilevel"/>
    <w:tmpl w:val="5EE27172"/>
    <w:lvl w:ilvl="0" w:tplc="9F424738">
      <w:start w:val="1"/>
      <w:numFmt w:val="bullet"/>
      <w:lvlText w:val=""/>
      <w:lvlJc w:val="left"/>
      <w:pPr>
        <w:tabs>
          <w:tab w:val="num" w:pos="720"/>
        </w:tabs>
        <w:ind w:left="720" w:hanging="360"/>
      </w:pPr>
      <w:rPr>
        <w:rFonts w:ascii="Symbol" w:hAnsi="Symbol" w:hint="default"/>
        <w:sz w:val="20"/>
      </w:rPr>
    </w:lvl>
    <w:lvl w:ilvl="1" w:tplc="7F569EC4" w:tentative="1">
      <w:start w:val="1"/>
      <w:numFmt w:val="bullet"/>
      <w:lvlText w:val="o"/>
      <w:lvlJc w:val="left"/>
      <w:pPr>
        <w:tabs>
          <w:tab w:val="num" w:pos="1440"/>
        </w:tabs>
        <w:ind w:left="1440" w:hanging="360"/>
      </w:pPr>
      <w:rPr>
        <w:rFonts w:ascii="Courier New" w:hAnsi="Courier New" w:hint="default"/>
        <w:sz w:val="20"/>
      </w:rPr>
    </w:lvl>
    <w:lvl w:ilvl="2" w:tplc="5762C02E" w:tentative="1">
      <w:start w:val="1"/>
      <w:numFmt w:val="bullet"/>
      <w:lvlText w:val=""/>
      <w:lvlJc w:val="left"/>
      <w:pPr>
        <w:tabs>
          <w:tab w:val="num" w:pos="2160"/>
        </w:tabs>
        <w:ind w:left="2160" w:hanging="360"/>
      </w:pPr>
      <w:rPr>
        <w:rFonts w:ascii="Wingdings" w:hAnsi="Wingdings" w:hint="default"/>
        <w:sz w:val="20"/>
      </w:rPr>
    </w:lvl>
    <w:lvl w:ilvl="3" w:tplc="2F821A4C" w:tentative="1">
      <w:start w:val="1"/>
      <w:numFmt w:val="bullet"/>
      <w:lvlText w:val=""/>
      <w:lvlJc w:val="left"/>
      <w:pPr>
        <w:tabs>
          <w:tab w:val="num" w:pos="2880"/>
        </w:tabs>
        <w:ind w:left="2880" w:hanging="360"/>
      </w:pPr>
      <w:rPr>
        <w:rFonts w:ascii="Wingdings" w:hAnsi="Wingdings" w:hint="default"/>
        <w:sz w:val="20"/>
      </w:rPr>
    </w:lvl>
    <w:lvl w:ilvl="4" w:tplc="2B723134" w:tentative="1">
      <w:start w:val="1"/>
      <w:numFmt w:val="bullet"/>
      <w:lvlText w:val=""/>
      <w:lvlJc w:val="left"/>
      <w:pPr>
        <w:tabs>
          <w:tab w:val="num" w:pos="3600"/>
        </w:tabs>
        <w:ind w:left="3600" w:hanging="360"/>
      </w:pPr>
      <w:rPr>
        <w:rFonts w:ascii="Wingdings" w:hAnsi="Wingdings" w:hint="default"/>
        <w:sz w:val="20"/>
      </w:rPr>
    </w:lvl>
    <w:lvl w:ilvl="5" w:tplc="1CFC57EA" w:tentative="1">
      <w:start w:val="1"/>
      <w:numFmt w:val="bullet"/>
      <w:lvlText w:val=""/>
      <w:lvlJc w:val="left"/>
      <w:pPr>
        <w:tabs>
          <w:tab w:val="num" w:pos="4320"/>
        </w:tabs>
        <w:ind w:left="4320" w:hanging="360"/>
      </w:pPr>
      <w:rPr>
        <w:rFonts w:ascii="Wingdings" w:hAnsi="Wingdings" w:hint="default"/>
        <w:sz w:val="20"/>
      </w:rPr>
    </w:lvl>
    <w:lvl w:ilvl="6" w:tplc="174E7A00" w:tentative="1">
      <w:start w:val="1"/>
      <w:numFmt w:val="bullet"/>
      <w:lvlText w:val=""/>
      <w:lvlJc w:val="left"/>
      <w:pPr>
        <w:tabs>
          <w:tab w:val="num" w:pos="5040"/>
        </w:tabs>
        <w:ind w:left="5040" w:hanging="360"/>
      </w:pPr>
      <w:rPr>
        <w:rFonts w:ascii="Wingdings" w:hAnsi="Wingdings" w:hint="default"/>
        <w:sz w:val="20"/>
      </w:rPr>
    </w:lvl>
    <w:lvl w:ilvl="7" w:tplc="B164FA64" w:tentative="1">
      <w:start w:val="1"/>
      <w:numFmt w:val="bullet"/>
      <w:lvlText w:val=""/>
      <w:lvlJc w:val="left"/>
      <w:pPr>
        <w:tabs>
          <w:tab w:val="num" w:pos="5760"/>
        </w:tabs>
        <w:ind w:left="5760" w:hanging="360"/>
      </w:pPr>
      <w:rPr>
        <w:rFonts w:ascii="Wingdings" w:hAnsi="Wingdings" w:hint="default"/>
        <w:sz w:val="20"/>
      </w:rPr>
    </w:lvl>
    <w:lvl w:ilvl="8" w:tplc="615ED2A6"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434E57E8"/>
    <w:multiLevelType w:val="hybridMultilevel"/>
    <w:tmpl w:val="361058F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40"/>
        </w:tabs>
        <w:ind w:left="2140" w:hanging="360"/>
      </w:pPr>
      <w:rPr>
        <w:rFonts w:ascii="Symbol" w:hAnsi="Symbol"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2" w15:restartNumberingAfterBreak="0">
    <w:nsid w:val="43542ECE"/>
    <w:multiLevelType w:val="hybridMultilevel"/>
    <w:tmpl w:val="DD9C5D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3" w15:restartNumberingAfterBreak="0">
    <w:nsid w:val="435F438A"/>
    <w:multiLevelType w:val="multilevel"/>
    <w:tmpl w:val="7DB030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36D68D8"/>
    <w:multiLevelType w:val="hybridMultilevel"/>
    <w:tmpl w:val="F0D2357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5" w15:restartNumberingAfterBreak="0">
    <w:nsid w:val="43C765B1"/>
    <w:multiLevelType w:val="hybridMultilevel"/>
    <w:tmpl w:val="C046CA04"/>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6" w15:restartNumberingAfterBreak="0">
    <w:nsid w:val="44135E22"/>
    <w:multiLevelType w:val="hybridMultilevel"/>
    <w:tmpl w:val="269C7DEA"/>
    <w:lvl w:ilvl="0" w:tplc="04090001">
      <w:start w:val="1"/>
      <w:numFmt w:val="bullet"/>
      <w:lvlText w:val=""/>
      <w:lvlJc w:val="left"/>
      <w:pPr>
        <w:ind w:left="1420" w:hanging="360"/>
      </w:pPr>
      <w:rPr>
        <w:rFonts w:ascii="Symbol" w:hAnsi="Symbol"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227" w15:restartNumberingAfterBreak="0">
    <w:nsid w:val="442867C5"/>
    <w:multiLevelType w:val="hybridMultilevel"/>
    <w:tmpl w:val="6FE65C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8" w15:restartNumberingAfterBreak="0">
    <w:nsid w:val="44345393"/>
    <w:multiLevelType w:val="hybridMultilevel"/>
    <w:tmpl w:val="E796F1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15:restartNumberingAfterBreak="0">
    <w:nsid w:val="44356D85"/>
    <w:multiLevelType w:val="hybridMultilevel"/>
    <w:tmpl w:val="8AD47496"/>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0" w15:restartNumberingAfterBreak="0">
    <w:nsid w:val="445F2320"/>
    <w:multiLevelType w:val="hybridMultilevel"/>
    <w:tmpl w:val="63147A4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1" w15:restartNumberingAfterBreak="0">
    <w:nsid w:val="44BA43E2"/>
    <w:multiLevelType w:val="hybridMultilevel"/>
    <w:tmpl w:val="DF043A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44C32B88"/>
    <w:multiLevelType w:val="hybridMultilevel"/>
    <w:tmpl w:val="7A0A2C7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3" w15:restartNumberingAfterBreak="0">
    <w:nsid w:val="44E962D9"/>
    <w:multiLevelType w:val="hybridMultilevel"/>
    <w:tmpl w:val="8AE02D52"/>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4" w15:restartNumberingAfterBreak="0">
    <w:nsid w:val="44FB0439"/>
    <w:multiLevelType w:val="hybridMultilevel"/>
    <w:tmpl w:val="A9B400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40"/>
        </w:tabs>
        <w:ind w:left="214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5" w15:restartNumberingAfterBreak="0">
    <w:nsid w:val="451E50AE"/>
    <w:multiLevelType w:val="hybridMultilevel"/>
    <w:tmpl w:val="A176A18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6" w15:restartNumberingAfterBreak="0">
    <w:nsid w:val="454531BC"/>
    <w:multiLevelType w:val="hybridMultilevel"/>
    <w:tmpl w:val="8CAC05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7" w15:restartNumberingAfterBreak="0">
    <w:nsid w:val="458B3133"/>
    <w:multiLevelType w:val="hybridMultilevel"/>
    <w:tmpl w:val="4E3E383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15:restartNumberingAfterBreak="0">
    <w:nsid w:val="459D563F"/>
    <w:multiLevelType w:val="hybridMultilevel"/>
    <w:tmpl w:val="D5640CA6"/>
    <w:lvl w:ilvl="0" w:tplc="BA748FCA">
      <w:start w:val="1"/>
      <w:numFmt w:val="bullet"/>
      <w:lvlText w:val=""/>
      <w:lvlJc w:val="left"/>
      <w:pPr>
        <w:tabs>
          <w:tab w:val="num" w:pos="720"/>
        </w:tabs>
        <w:ind w:left="720" w:hanging="360"/>
      </w:pPr>
      <w:rPr>
        <w:rFonts w:ascii="Symbol" w:hAnsi="Symbol" w:hint="default"/>
        <w:sz w:val="20"/>
      </w:rPr>
    </w:lvl>
    <w:lvl w:ilvl="1" w:tplc="CA829440">
      <w:start w:val="1"/>
      <w:numFmt w:val="bullet"/>
      <w:lvlText w:val="o"/>
      <w:lvlJc w:val="left"/>
      <w:pPr>
        <w:tabs>
          <w:tab w:val="num" w:pos="1440"/>
        </w:tabs>
        <w:ind w:left="1440" w:hanging="360"/>
      </w:pPr>
      <w:rPr>
        <w:rFonts w:ascii="Courier New" w:hAnsi="Courier New" w:hint="default"/>
        <w:sz w:val="20"/>
      </w:rPr>
    </w:lvl>
    <w:lvl w:ilvl="2" w:tplc="DB4A24DA" w:tentative="1">
      <w:start w:val="1"/>
      <w:numFmt w:val="bullet"/>
      <w:lvlText w:val=""/>
      <w:lvlJc w:val="left"/>
      <w:pPr>
        <w:tabs>
          <w:tab w:val="num" w:pos="2160"/>
        </w:tabs>
        <w:ind w:left="2160" w:hanging="360"/>
      </w:pPr>
      <w:rPr>
        <w:rFonts w:ascii="Wingdings" w:hAnsi="Wingdings" w:hint="default"/>
        <w:sz w:val="20"/>
      </w:rPr>
    </w:lvl>
    <w:lvl w:ilvl="3" w:tplc="27786FFC" w:tentative="1">
      <w:start w:val="1"/>
      <w:numFmt w:val="bullet"/>
      <w:lvlText w:val=""/>
      <w:lvlJc w:val="left"/>
      <w:pPr>
        <w:tabs>
          <w:tab w:val="num" w:pos="2880"/>
        </w:tabs>
        <w:ind w:left="2880" w:hanging="360"/>
      </w:pPr>
      <w:rPr>
        <w:rFonts w:ascii="Wingdings" w:hAnsi="Wingdings" w:hint="default"/>
        <w:sz w:val="20"/>
      </w:rPr>
    </w:lvl>
    <w:lvl w:ilvl="4" w:tplc="8CDA21E0" w:tentative="1">
      <w:start w:val="1"/>
      <w:numFmt w:val="bullet"/>
      <w:lvlText w:val=""/>
      <w:lvlJc w:val="left"/>
      <w:pPr>
        <w:tabs>
          <w:tab w:val="num" w:pos="3600"/>
        </w:tabs>
        <w:ind w:left="3600" w:hanging="360"/>
      </w:pPr>
      <w:rPr>
        <w:rFonts w:ascii="Wingdings" w:hAnsi="Wingdings" w:hint="default"/>
        <w:sz w:val="20"/>
      </w:rPr>
    </w:lvl>
    <w:lvl w:ilvl="5" w:tplc="07468CE4" w:tentative="1">
      <w:start w:val="1"/>
      <w:numFmt w:val="bullet"/>
      <w:lvlText w:val=""/>
      <w:lvlJc w:val="left"/>
      <w:pPr>
        <w:tabs>
          <w:tab w:val="num" w:pos="4320"/>
        </w:tabs>
        <w:ind w:left="4320" w:hanging="360"/>
      </w:pPr>
      <w:rPr>
        <w:rFonts w:ascii="Wingdings" w:hAnsi="Wingdings" w:hint="default"/>
        <w:sz w:val="20"/>
      </w:rPr>
    </w:lvl>
    <w:lvl w:ilvl="6" w:tplc="908E23E2" w:tentative="1">
      <w:start w:val="1"/>
      <w:numFmt w:val="bullet"/>
      <w:lvlText w:val=""/>
      <w:lvlJc w:val="left"/>
      <w:pPr>
        <w:tabs>
          <w:tab w:val="num" w:pos="5040"/>
        </w:tabs>
        <w:ind w:left="5040" w:hanging="360"/>
      </w:pPr>
      <w:rPr>
        <w:rFonts w:ascii="Wingdings" w:hAnsi="Wingdings" w:hint="default"/>
        <w:sz w:val="20"/>
      </w:rPr>
    </w:lvl>
    <w:lvl w:ilvl="7" w:tplc="0DF2392A" w:tentative="1">
      <w:start w:val="1"/>
      <w:numFmt w:val="bullet"/>
      <w:lvlText w:val=""/>
      <w:lvlJc w:val="left"/>
      <w:pPr>
        <w:tabs>
          <w:tab w:val="num" w:pos="5760"/>
        </w:tabs>
        <w:ind w:left="5760" w:hanging="360"/>
      </w:pPr>
      <w:rPr>
        <w:rFonts w:ascii="Wingdings" w:hAnsi="Wingdings" w:hint="default"/>
        <w:sz w:val="20"/>
      </w:rPr>
    </w:lvl>
    <w:lvl w:ilvl="8" w:tplc="4D1C7D7C"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45C979C3"/>
    <w:multiLevelType w:val="hybridMultilevel"/>
    <w:tmpl w:val="823E114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0" w15:restartNumberingAfterBreak="0">
    <w:nsid w:val="46A32C87"/>
    <w:multiLevelType w:val="hybridMultilevel"/>
    <w:tmpl w:val="BBF8B7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1" w15:restartNumberingAfterBreak="0">
    <w:nsid w:val="46DF271C"/>
    <w:multiLevelType w:val="hybridMultilevel"/>
    <w:tmpl w:val="3F7E53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4701409E"/>
    <w:multiLevelType w:val="hybridMultilevel"/>
    <w:tmpl w:val="7A8AA2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470C5348"/>
    <w:multiLevelType w:val="hybridMultilevel"/>
    <w:tmpl w:val="8250E05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4" w15:restartNumberingAfterBreak="0">
    <w:nsid w:val="471D758B"/>
    <w:multiLevelType w:val="hybridMultilevel"/>
    <w:tmpl w:val="72F477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5" w15:restartNumberingAfterBreak="0">
    <w:nsid w:val="471E7F24"/>
    <w:multiLevelType w:val="hybridMultilevel"/>
    <w:tmpl w:val="090AFF42"/>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6" w15:restartNumberingAfterBreak="0">
    <w:nsid w:val="475672DE"/>
    <w:multiLevelType w:val="hybridMultilevel"/>
    <w:tmpl w:val="E966AD18"/>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7" w15:restartNumberingAfterBreak="0">
    <w:nsid w:val="47804FF6"/>
    <w:multiLevelType w:val="hybridMultilevel"/>
    <w:tmpl w:val="E1B477A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8" w15:restartNumberingAfterBreak="0">
    <w:nsid w:val="478F0044"/>
    <w:multiLevelType w:val="hybridMultilevel"/>
    <w:tmpl w:val="DF765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15:restartNumberingAfterBreak="0">
    <w:nsid w:val="47AC47C3"/>
    <w:multiLevelType w:val="hybridMultilevel"/>
    <w:tmpl w:val="05A4AC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0" w15:restartNumberingAfterBreak="0">
    <w:nsid w:val="48007674"/>
    <w:multiLevelType w:val="hybridMultilevel"/>
    <w:tmpl w:val="66B6F1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1" w15:restartNumberingAfterBreak="0">
    <w:nsid w:val="48786A68"/>
    <w:multiLevelType w:val="hybridMultilevel"/>
    <w:tmpl w:val="A65EF250"/>
    <w:lvl w:ilvl="0" w:tplc="04090005">
      <w:start w:val="1"/>
      <w:numFmt w:val="bullet"/>
      <w:lvlText w:val=""/>
      <w:lvlJc w:val="left"/>
      <w:pPr>
        <w:tabs>
          <w:tab w:val="num" w:pos="690"/>
        </w:tabs>
        <w:ind w:left="69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2" w15:restartNumberingAfterBreak="0">
    <w:nsid w:val="48A111FC"/>
    <w:multiLevelType w:val="hybridMultilevel"/>
    <w:tmpl w:val="59A6C4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3" w15:restartNumberingAfterBreak="0">
    <w:nsid w:val="498E1AA2"/>
    <w:multiLevelType w:val="hybridMultilevel"/>
    <w:tmpl w:val="8FE0F426"/>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49C012B7"/>
    <w:multiLevelType w:val="hybridMultilevel"/>
    <w:tmpl w:val="8E2CD4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20"/>
        </w:tabs>
        <w:ind w:left="1420" w:hanging="360"/>
      </w:pPr>
      <w:rPr>
        <w:rFonts w:ascii="Courier New" w:hAnsi="Courier New" w:hint="default"/>
      </w:rPr>
    </w:lvl>
    <w:lvl w:ilvl="2" w:tplc="04090005" w:tentative="1">
      <w:start w:val="1"/>
      <w:numFmt w:val="bullet"/>
      <w:lvlText w:val=""/>
      <w:lvlJc w:val="left"/>
      <w:pPr>
        <w:tabs>
          <w:tab w:val="num" w:pos="2140"/>
        </w:tabs>
        <w:ind w:left="2140" w:hanging="360"/>
      </w:pPr>
      <w:rPr>
        <w:rFonts w:ascii="Wingdings" w:hAnsi="Wingdings" w:hint="default"/>
      </w:rPr>
    </w:lvl>
    <w:lvl w:ilvl="3" w:tplc="04090001" w:tentative="1">
      <w:start w:val="1"/>
      <w:numFmt w:val="bullet"/>
      <w:lvlText w:val=""/>
      <w:lvlJc w:val="left"/>
      <w:pPr>
        <w:tabs>
          <w:tab w:val="num" w:pos="2860"/>
        </w:tabs>
        <w:ind w:left="2860" w:hanging="360"/>
      </w:pPr>
      <w:rPr>
        <w:rFonts w:ascii="Symbol" w:hAnsi="Symbol" w:hint="default"/>
      </w:rPr>
    </w:lvl>
    <w:lvl w:ilvl="4" w:tplc="04090003" w:tentative="1">
      <w:start w:val="1"/>
      <w:numFmt w:val="bullet"/>
      <w:lvlText w:val="o"/>
      <w:lvlJc w:val="left"/>
      <w:pPr>
        <w:tabs>
          <w:tab w:val="num" w:pos="3580"/>
        </w:tabs>
        <w:ind w:left="3580" w:hanging="360"/>
      </w:pPr>
      <w:rPr>
        <w:rFonts w:ascii="Courier New" w:hAnsi="Courier New" w:hint="default"/>
      </w:rPr>
    </w:lvl>
    <w:lvl w:ilvl="5" w:tplc="04090005" w:tentative="1">
      <w:start w:val="1"/>
      <w:numFmt w:val="bullet"/>
      <w:lvlText w:val=""/>
      <w:lvlJc w:val="left"/>
      <w:pPr>
        <w:tabs>
          <w:tab w:val="num" w:pos="4300"/>
        </w:tabs>
        <w:ind w:left="4300" w:hanging="360"/>
      </w:pPr>
      <w:rPr>
        <w:rFonts w:ascii="Wingdings" w:hAnsi="Wingdings" w:hint="default"/>
      </w:rPr>
    </w:lvl>
    <w:lvl w:ilvl="6" w:tplc="04090001" w:tentative="1">
      <w:start w:val="1"/>
      <w:numFmt w:val="bullet"/>
      <w:lvlText w:val=""/>
      <w:lvlJc w:val="left"/>
      <w:pPr>
        <w:tabs>
          <w:tab w:val="num" w:pos="5020"/>
        </w:tabs>
        <w:ind w:left="5020" w:hanging="360"/>
      </w:pPr>
      <w:rPr>
        <w:rFonts w:ascii="Symbol" w:hAnsi="Symbol" w:hint="default"/>
      </w:rPr>
    </w:lvl>
    <w:lvl w:ilvl="7" w:tplc="04090003" w:tentative="1">
      <w:start w:val="1"/>
      <w:numFmt w:val="bullet"/>
      <w:lvlText w:val="o"/>
      <w:lvlJc w:val="left"/>
      <w:pPr>
        <w:tabs>
          <w:tab w:val="num" w:pos="5740"/>
        </w:tabs>
        <w:ind w:left="5740" w:hanging="360"/>
      </w:pPr>
      <w:rPr>
        <w:rFonts w:ascii="Courier New" w:hAnsi="Courier New" w:hint="default"/>
      </w:rPr>
    </w:lvl>
    <w:lvl w:ilvl="8" w:tplc="04090005" w:tentative="1">
      <w:start w:val="1"/>
      <w:numFmt w:val="bullet"/>
      <w:lvlText w:val=""/>
      <w:lvlJc w:val="left"/>
      <w:pPr>
        <w:tabs>
          <w:tab w:val="num" w:pos="6460"/>
        </w:tabs>
        <w:ind w:left="6460" w:hanging="360"/>
      </w:pPr>
      <w:rPr>
        <w:rFonts w:ascii="Wingdings" w:hAnsi="Wingdings" w:hint="default"/>
      </w:rPr>
    </w:lvl>
  </w:abstractNum>
  <w:abstractNum w:abstractNumId="255" w15:restartNumberingAfterBreak="0">
    <w:nsid w:val="49DA7C86"/>
    <w:multiLevelType w:val="hybridMultilevel"/>
    <w:tmpl w:val="0E149B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6" w15:restartNumberingAfterBreak="0">
    <w:nsid w:val="49E75501"/>
    <w:multiLevelType w:val="hybridMultilevel"/>
    <w:tmpl w:val="3304933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7" w15:restartNumberingAfterBreak="0">
    <w:nsid w:val="4AA56524"/>
    <w:multiLevelType w:val="hybridMultilevel"/>
    <w:tmpl w:val="BC64FF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15:restartNumberingAfterBreak="0">
    <w:nsid w:val="4AC06214"/>
    <w:multiLevelType w:val="hybridMultilevel"/>
    <w:tmpl w:val="CF847E12"/>
    <w:lvl w:ilvl="0" w:tplc="BA3C2DE2">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9" w15:restartNumberingAfterBreak="0">
    <w:nsid w:val="4AF139AE"/>
    <w:multiLevelType w:val="hybridMultilevel"/>
    <w:tmpl w:val="F19C7CC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0" w15:restartNumberingAfterBreak="0">
    <w:nsid w:val="4B03764A"/>
    <w:multiLevelType w:val="hybridMultilevel"/>
    <w:tmpl w:val="1A72F02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4B0C5D5B"/>
    <w:multiLevelType w:val="hybridMultilevel"/>
    <w:tmpl w:val="2014F28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2" w15:restartNumberingAfterBreak="0">
    <w:nsid w:val="4B181013"/>
    <w:multiLevelType w:val="hybridMultilevel"/>
    <w:tmpl w:val="AB54608A"/>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3" w15:restartNumberingAfterBreak="0">
    <w:nsid w:val="4CAB72D2"/>
    <w:multiLevelType w:val="hybridMultilevel"/>
    <w:tmpl w:val="9C528B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4" w15:restartNumberingAfterBreak="0">
    <w:nsid w:val="4CC44C50"/>
    <w:multiLevelType w:val="hybridMultilevel"/>
    <w:tmpl w:val="AD669246"/>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5" w15:restartNumberingAfterBreak="0">
    <w:nsid w:val="4CE538A0"/>
    <w:multiLevelType w:val="multilevel"/>
    <w:tmpl w:val="54E2D032"/>
    <w:lvl w:ilvl="0">
      <w:start w:val="1"/>
      <w:numFmt w:val="bullet"/>
      <w:pStyle w:val="VBABulletCheckmarkList"/>
      <w:lvlText w:val="□"/>
      <w:lvlJc w:val="left"/>
      <w:pPr>
        <w:tabs>
          <w:tab w:val="num" w:pos="360"/>
        </w:tabs>
        <w:ind w:left="360" w:hanging="360"/>
      </w:pPr>
      <w:rPr>
        <w:rFonts w:ascii="Courier New" w:hAnsi="Courier New" w:cs="Courier New" w:hint="default"/>
      </w:rPr>
    </w:lvl>
    <w:lvl w:ilvl="1">
      <w:start w:val="1"/>
      <w:numFmt w:val="bullet"/>
      <w:lvlText w:val="–"/>
      <w:lvlJc w:val="left"/>
      <w:pPr>
        <w:tabs>
          <w:tab w:val="num" w:pos="720"/>
        </w:tabs>
        <w:ind w:left="720" w:hanging="360"/>
      </w:pPr>
      <w:rPr>
        <w:rFonts w:ascii="Arial" w:hAnsi="Arial" w:cs="Arial" w:hint="default"/>
        <w:b w:val="0"/>
        <w:i w:val="0"/>
        <w:sz w:val="20"/>
        <w:szCs w:val="20"/>
      </w:rPr>
    </w:lvl>
    <w:lvl w:ilvl="2">
      <w:start w:val="1"/>
      <w:numFmt w:val="bullet"/>
      <w:lvlText w:val=""/>
      <w:lvlJc w:val="left"/>
      <w:pPr>
        <w:tabs>
          <w:tab w:val="num" w:pos="1080"/>
        </w:tabs>
        <w:ind w:left="1080" w:hanging="360"/>
      </w:pPr>
      <w:rPr>
        <w:rFonts w:ascii="Wingdings" w:hAnsi="Wingdings" w:cs="Times New Roman" w:hint="default"/>
      </w:rPr>
    </w:lvl>
    <w:lvl w:ilvl="3">
      <w:start w:val="1"/>
      <w:numFmt w:val="bullet"/>
      <w:lvlText w:val=""/>
      <w:lvlJc w:val="left"/>
      <w:pPr>
        <w:tabs>
          <w:tab w:val="num" w:pos="1440"/>
        </w:tabs>
        <w:ind w:left="1440" w:hanging="360"/>
      </w:pPr>
      <w:rPr>
        <w:rFonts w:ascii="Symbol" w:hAnsi="Symbol" w:cs="Times New Roman" w:hint="default"/>
      </w:rPr>
    </w:lvl>
    <w:lvl w:ilvl="4">
      <w:start w:val="1"/>
      <w:numFmt w:val="bullet"/>
      <w:lvlText w:val=""/>
      <w:lvlJc w:val="left"/>
      <w:pPr>
        <w:tabs>
          <w:tab w:val="num" w:pos="1800"/>
        </w:tabs>
        <w:ind w:left="1800" w:hanging="360"/>
      </w:pPr>
      <w:rPr>
        <w:rFonts w:ascii="Symbol" w:hAnsi="Symbol" w:cs="Times New Roman" w:hint="default"/>
      </w:rPr>
    </w:lvl>
    <w:lvl w:ilvl="5">
      <w:start w:val="1"/>
      <w:numFmt w:val="bullet"/>
      <w:lvlText w:val=""/>
      <w:lvlJc w:val="left"/>
      <w:pPr>
        <w:tabs>
          <w:tab w:val="num" w:pos="2160"/>
        </w:tabs>
        <w:ind w:left="2160" w:hanging="360"/>
      </w:pPr>
      <w:rPr>
        <w:rFonts w:ascii="Wingdings" w:hAnsi="Wingdings" w:cs="Times New Roman" w:hint="default"/>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cs="Times New Roman" w:hint="default"/>
      </w:rPr>
    </w:lvl>
    <w:lvl w:ilvl="8">
      <w:start w:val="1"/>
      <w:numFmt w:val="bullet"/>
      <w:lvlText w:val=""/>
      <w:lvlJc w:val="left"/>
      <w:pPr>
        <w:tabs>
          <w:tab w:val="num" w:pos="3240"/>
        </w:tabs>
        <w:ind w:left="3240" w:hanging="360"/>
      </w:pPr>
      <w:rPr>
        <w:rFonts w:ascii="Symbol" w:hAnsi="Symbol" w:cs="Times New Roman" w:hint="default"/>
      </w:rPr>
    </w:lvl>
  </w:abstractNum>
  <w:abstractNum w:abstractNumId="266" w15:restartNumberingAfterBreak="0">
    <w:nsid w:val="4D185AE6"/>
    <w:multiLevelType w:val="hybridMultilevel"/>
    <w:tmpl w:val="F0D2482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7" w15:restartNumberingAfterBreak="0">
    <w:nsid w:val="4D6861A2"/>
    <w:multiLevelType w:val="hybridMultilevel"/>
    <w:tmpl w:val="B8BED428"/>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8" w15:restartNumberingAfterBreak="0">
    <w:nsid w:val="4E112BEF"/>
    <w:multiLevelType w:val="hybridMultilevel"/>
    <w:tmpl w:val="5B9E1444"/>
    <w:lvl w:ilvl="0" w:tplc="44CC9A2C">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15:restartNumberingAfterBreak="0">
    <w:nsid w:val="4F594350"/>
    <w:multiLevelType w:val="hybridMultilevel"/>
    <w:tmpl w:val="FFA4F1E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0" w15:restartNumberingAfterBreak="0">
    <w:nsid w:val="4F844364"/>
    <w:multiLevelType w:val="hybridMultilevel"/>
    <w:tmpl w:val="114255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1" w15:restartNumberingAfterBreak="0">
    <w:nsid w:val="4FA12511"/>
    <w:multiLevelType w:val="hybridMultilevel"/>
    <w:tmpl w:val="561E2A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2" w15:restartNumberingAfterBreak="0">
    <w:nsid w:val="4FBD438B"/>
    <w:multiLevelType w:val="hybridMultilevel"/>
    <w:tmpl w:val="7B480E86"/>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3" w15:restartNumberingAfterBreak="0">
    <w:nsid w:val="4FF53F8F"/>
    <w:multiLevelType w:val="hybridMultilevel"/>
    <w:tmpl w:val="24BCBB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4" w15:restartNumberingAfterBreak="0">
    <w:nsid w:val="503709DB"/>
    <w:multiLevelType w:val="multilevel"/>
    <w:tmpl w:val="3DECEAD4"/>
    <w:lvl w:ilvl="0">
      <w:start w:val="1"/>
      <w:numFmt w:val="decimal"/>
      <w:lvlText w:val="%1."/>
      <w:lvlJc w:val="left"/>
      <w:pPr>
        <w:tabs>
          <w:tab w:val="num" w:pos="1080"/>
        </w:tabs>
        <w:ind w:left="1080" w:hanging="360"/>
      </w:pPr>
      <w:rPr>
        <w:rFonts w:hint="default"/>
      </w:rPr>
    </w:lvl>
    <w:lvl w:ilvl="1">
      <w:start w:val="88"/>
      <w:numFmt w:val="decimal"/>
      <w:isLgl/>
      <w:lvlText w:val="%1.%2"/>
      <w:lvlJc w:val="left"/>
      <w:pPr>
        <w:ind w:left="1170" w:hanging="450"/>
      </w:pPr>
      <w:rPr>
        <w:rFonts w:hint="default"/>
        <w:i w:val="0"/>
      </w:rPr>
    </w:lvl>
    <w:lvl w:ilvl="2">
      <w:start w:val="1"/>
      <w:numFmt w:val="decimal"/>
      <w:isLgl/>
      <w:lvlText w:val="%1.%2.%3"/>
      <w:lvlJc w:val="left"/>
      <w:pPr>
        <w:ind w:left="1440" w:hanging="720"/>
      </w:pPr>
      <w:rPr>
        <w:rFonts w:hint="default"/>
        <w:i w:val="0"/>
      </w:rPr>
    </w:lvl>
    <w:lvl w:ilvl="3">
      <w:start w:val="1"/>
      <w:numFmt w:val="upperLetter"/>
      <w:isLgl/>
      <w:lvlText w:val="%1.%2.%3.%4"/>
      <w:lvlJc w:val="left"/>
      <w:pPr>
        <w:ind w:left="1440" w:hanging="720"/>
      </w:pPr>
      <w:rPr>
        <w:rFonts w:hint="default"/>
        <w:i w:val="0"/>
      </w:rPr>
    </w:lvl>
    <w:lvl w:ilvl="4">
      <w:start w:val="1"/>
      <w:numFmt w:val="decimal"/>
      <w:isLgl/>
      <w:lvlText w:val="%1.%2.%3.%4.%5"/>
      <w:lvlJc w:val="left"/>
      <w:pPr>
        <w:ind w:left="1800" w:hanging="1080"/>
      </w:pPr>
      <w:rPr>
        <w:rFonts w:hint="default"/>
        <w:i w:val="0"/>
      </w:rPr>
    </w:lvl>
    <w:lvl w:ilvl="5">
      <w:start w:val="1"/>
      <w:numFmt w:val="decimal"/>
      <w:isLgl/>
      <w:lvlText w:val="%1.%2.%3.%4.%5.%6"/>
      <w:lvlJc w:val="left"/>
      <w:pPr>
        <w:ind w:left="1800" w:hanging="1080"/>
      </w:pPr>
      <w:rPr>
        <w:rFonts w:hint="default"/>
        <w:i w:val="0"/>
      </w:rPr>
    </w:lvl>
    <w:lvl w:ilvl="6">
      <w:start w:val="1"/>
      <w:numFmt w:val="decimal"/>
      <w:isLgl/>
      <w:lvlText w:val="%1.%2.%3.%4.%5.%6.%7"/>
      <w:lvlJc w:val="left"/>
      <w:pPr>
        <w:ind w:left="2160" w:hanging="1440"/>
      </w:pPr>
      <w:rPr>
        <w:rFonts w:hint="default"/>
        <w:i w:val="0"/>
      </w:rPr>
    </w:lvl>
    <w:lvl w:ilvl="7">
      <w:start w:val="1"/>
      <w:numFmt w:val="decimal"/>
      <w:isLgl/>
      <w:lvlText w:val="%1.%2.%3.%4.%5.%6.%7.%8"/>
      <w:lvlJc w:val="left"/>
      <w:pPr>
        <w:ind w:left="2160" w:hanging="1440"/>
      </w:pPr>
      <w:rPr>
        <w:rFonts w:hint="default"/>
        <w:i w:val="0"/>
      </w:rPr>
    </w:lvl>
    <w:lvl w:ilvl="8">
      <w:start w:val="1"/>
      <w:numFmt w:val="decimal"/>
      <w:isLgl/>
      <w:lvlText w:val="%1.%2.%3.%4.%5.%6.%7.%8.%9"/>
      <w:lvlJc w:val="left"/>
      <w:pPr>
        <w:ind w:left="2520" w:hanging="1800"/>
      </w:pPr>
      <w:rPr>
        <w:rFonts w:hint="default"/>
        <w:i w:val="0"/>
      </w:rPr>
    </w:lvl>
  </w:abstractNum>
  <w:abstractNum w:abstractNumId="275" w15:restartNumberingAfterBreak="0">
    <w:nsid w:val="503D74DE"/>
    <w:multiLevelType w:val="hybridMultilevel"/>
    <w:tmpl w:val="0A12A0A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6" w15:restartNumberingAfterBreak="0">
    <w:nsid w:val="508017DA"/>
    <w:multiLevelType w:val="hybridMultilevel"/>
    <w:tmpl w:val="99F86610"/>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7" w15:restartNumberingAfterBreak="0">
    <w:nsid w:val="50824328"/>
    <w:multiLevelType w:val="multilevel"/>
    <w:tmpl w:val="18862C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50883925"/>
    <w:multiLevelType w:val="hybridMultilevel"/>
    <w:tmpl w:val="D9F8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9" w15:restartNumberingAfterBreak="0">
    <w:nsid w:val="510E535C"/>
    <w:multiLevelType w:val="hybridMultilevel"/>
    <w:tmpl w:val="74AC7AE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0" w15:restartNumberingAfterBreak="0">
    <w:nsid w:val="51B01515"/>
    <w:multiLevelType w:val="hybridMultilevel"/>
    <w:tmpl w:val="1ADA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1" w15:restartNumberingAfterBreak="0">
    <w:nsid w:val="51B37AC6"/>
    <w:multiLevelType w:val="hybridMultilevel"/>
    <w:tmpl w:val="8BBEA098"/>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2" w15:restartNumberingAfterBreak="0">
    <w:nsid w:val="52304870"/>
    <w:multiLevelType w:val="hybridMultilevel"/>
    <w:tmpl w:val="6BDC796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3" w15:restartNumberingAfterBreak="0">
    <w:nsid w:val="52802F4E"/>
    <w:multiLevelType w:val="hybridMultilevel"/>
    <w:tmpl w:val="01B25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4" w15:restartNumberingAfterBreak="0">
    <w:nsid w:val="53066293"/>
    <w:multiLevelType w:val="hybridMultilevel"/>
    <w:tmpl w:val="442A96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5" w15:restartNumberingAfterBreak="0">
    <w:nsid w:val="536057EC"/>
    <w:multiLevelType w:val="hybridMultilevel"/>
    <w:tmpl w:val="E662F48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6" w15:restartNumberingAfterBreak="0">
    <w:nsid w:val="539F52C1"/>
    <w:multiLevelType w:val="hybridMultilevel"/>
    <w:tmpl w:val="EC260980"/>
    <w:lvl w:ilvl="0" w:tplc="04090005">
      <w:start w:val="1"/>
      <w:numFmt w:val="bullet"/>
      <w:lvlText w:val=""/>
      <w:lvlJc w:val="left"/>
      <w:pPr>
        <w:ind w:left="1050" w:hanging="360"/>
      </w:pPr>
      <w:rPr>
        <w:rFonts w:ascii="Wingdings" w:hAnsi="Wingdings"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287" w15:restartNumberingAfterBreak="0">
    <w:nsid w:val="53B34148"/>
    <w:multiLevelType w:val="hybridMultilevel"/>
    <w:tmpl w:val="6E122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8" w15:restartNumberingAfterBreak="0">
    <w:nsid w:val="53D9778D"/>
    <w:multiLevelType w:val="hybridMultilevel"/>
    <w:tmpl w:val="50F2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9" w15:restartNumberingAfterBreak="0">
    <w:nsid w:val="53DD168F"/>
    <w:multiLevelType w:val="singleLevel"/>
    <w:tmpl w:val="BC6E6746"/>
    <w:lvl w:ilvl="0">
      <w:numFmt w:val="decimal"/>
      <w:lvlText w:val="*"/>
      <w:lvlJc w:val="left"/>
    </w:lvl>
  </w:abstractNum>
  <w:abstractNum w:abstractNumId="290" w15:restartNumberingAfterBreak="0">
    <w:nsid w:val="544D6224"/>
    <w:multiLevelType w:val="hybridMultilevel"/>
    <w:tmpl w:val="83CED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1" w15:restartNumberingAfterBreak="0">
    <w:nsid w:val="545758C0"/>
    <w:multiLevelType w:val="hybridMultilevel"/>
    <w:tmpl w:val="2CF419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2" w15:restartNumberingAfterBreak="0">
    <w:nsid w:val="54AA366E"/>
    <w:multiLevelType w:val="hybridMultilevel"/>
    <w:tmpl w:val="8ADA5B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3" w15:restartNumberingAfterBreak="0">
    <w:nsid w:val="54BB5872"/>
    <w:multiLevelType w:val="hybridMultilevel"/>
    <w:tmpl w:val="C372711A"/>
    <w:lvl w:ilvl="0" w:tplc="04090001">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4" w15:restartNumberingAfterBreak="0">
    <w:nsid w:val="54E2234F"/>
    <w:multiLevelType w:val="hybridMultilevel"/>
    <w:tmpl w:val="ADC638D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5" w15:restartNumberingAfterBreak="0">
    <w:nsid w:val="556C6129"/>
    <w:multiLevelType w:val="hybridMultilevel"/>
    <w:tmpl w:val="634A8C0C"/>
    <w:lvl w:ilvl="0" w:tplc="04090005">
      <w:start w:val="1"/>
      <w:numFmt w:val="bullet"/>
      <w:lvlText w:val=""/>
      <w:lvlJc w:val="left"/>
      <w:pPr>
        <w:ind w:left="1050" w:hanging="360"/>
      </w:pPr>
      <w:rPr>
        <w:rFonts w:ascii="Wingdings" w:hAnsi="Wingdings"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296" w15:restartNumberingAfterBreak="0">
    <w:nsid w:val="55A30A64"/>
    <w:multiLevelType w:val="hybridMultilevel"/>
    <w:tmpl w:val="C0D4F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7" w15:restartNumberingAfterBreak="0">
    <w:nsid w:val="55D05571"/>
    <w:multiLevelType w:val="hybridMultilevel"/>
    <w:tmpl w:val="846A7E1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8" w15:restartNumberingAfterBreak="0">
    <w:nsid w:val="561D50F7"/>
    <w:multiLevelType w:val="hybridMultilevel"/>
    <w:tmpl w:val="AB960C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9" w15:restartNumberingAfterBreak="0">
    <w:nsid w:val="563754E0"/>
    <w:multiLevelType w:val="hybridMultilevel"/>
    <w:tmpl w:val="AC96A58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00" w15:restartNumberingAfterBreak="0">
    <w:nsid w:val="56666017"/>
    <w:multiLevelType w:val="hybridMultilevel"/>
    <w:tmpl w:val="5B6CD44E"/>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01" w15:restartNumberingAfterBreak="0">
    <w:nsid w:val="566D68C0"/>
    <w:multiLevelType w:val="hybridMultilevel"/>
    <w:tmpl w:val="A19439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2" w15:restartNumberingAfterBreak="0">
    <w:nsid w:val="566F2AC3"/>
    <w:multiLevelType w:val="hybridMultilevel"/>
    <w:tmpl w:val="7682D308"/>
    <w:lvl w:ilvl="0" w:tplc="BC6E6746">
      <w:start w:val="1"/>
      <w:numFmt w:val="bullet"/>
      <w:lvlText w:val=""/>
      <w:legacy w:legacy="1" w:legacySpace="120" w:legacyIndent="360"/>
      <w:lvlJc w:val="left"/>
      <w:pPr>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3" w15:restartNumberingAfterBreak="0">
    <w:nsid w:val="56722CAE"/>
    <w:multiLevelType w:val="hybridMultilevel"/>
    <w:tmpl w:val="CCA6AC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568F7726"/>
    <w:multiLevelType w:val="hybridMultilevel"/>
    <w:tmpl w:val="8B526F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5692795B"/>
    <w:multiLevelType w:val="hybridMultilevel"/>
    <w:tmpl w:val="CD9C7E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6" w15:restartNumberingAfterBreak="0">
    <w:nsid w:val="56E73239"/>
    <w:multiLevelType w:val="hybridMultilevel"/>
    <w:tmpl w:val="0464B7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56FD6FC6"/>
    <w:multiLevelType w:val="hybridMultilevel"/>
    <w:tmpl w:val="7AF44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58515F87"/>
    <w:multiLevelType w:val="hybridMultilevel"/>
    <w:tmpl w:val="080279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9" w15:restartNumberingAfterBreak="0">
    <w:nsid w:val="58D83208"/>
    <w:multiLevelType w:val="hybridMultilevel"/>
    <w:tmpl w:val="23389FC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0" w15:restartNumberingAfterBreak="0">
    <w:nsid w:val="596825A7"/>
    <w:multiLevelType w:val="hybridMultilevel"/>
    <w:tmpl w:val="638A2D5E"/>
    <w:lvl w:ilvl="0" w:tplc="C76E524E">
      <w:numFmt w:val="bullet"/>
      <w:lvlText w:val="•"/>
      <w:lvlJc w:val="left"/>
      <w:pPr>
        <w:ind w:left="1080" w:hanging="72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1" w15:restartNumberingAfterBreak="0">
    <w:nsid w:val="596E1117"/>
    <w:multiLevelType w:val="hybridMultilevel"/>
    <w:tmpl w:val="69485ED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2" w15:restartNumberingAfterBreak="0">
    <w:nsid w:val="59D457D1"/>
    <w:multiLevelType w:val="hybridMultilevel"/>
    <w:tmpl w:val="7A2A34BA"/>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3" w15:restartNumberingAfterBreak="0">
    <w:nsid w:val="5A036C58"/>
    <w:multiLevelType w:val="hybridMultilevel"/>
    <w:tmpl w:val="098CA644"/>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ind w:left="1530" w:hanging="45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4" w15:restartNumberingAfterBreak="0">
    <w:nsid w:val="5A2C02CC"/>
    <w:multiLevelType w:val="hybridMultilevel"/>
    <w:tmpl w:val="1C58CB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5" w15:restartNumberingAfterBreak="0">
    <w:nsid w:val="5A4C4C62"/>
    <w:multiLevelType w:val="hybridMultilevel"/>
    <w:tmpl w:val="41CEF3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6" w15:restartNumberingAfterBreak="0">
    <w:nsid w:val="5A6F2648"/>
    <w:multiLevelType w:val="hybridMultilevel"/>
    <w:tmpl w:val="2A487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5AB76867"/>
    <w:multiLevelType w:val="hybridMultilevel"/>
    <w:tmpl w:val="FE940A08"/>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8" w15:restartNumberingAfterBreak="0">
    <w:nsid w:val="5AC45709"/>
    <w:multiLevelType w:val="hybridMultilevel"/>
    <w:tmpl w:val="68F02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9" w15:restartNumberingAfterBreak="0">
    <w:nsid w:val="5B4F3AAB"/>
    <w:multiLevelType w:val="hybridMultilevel"/>
    <w:tmpl w:val="93409204"/>
    <w:lvl w:ilvl="0" w:tplc="04090009">
      <w:start w:val="1"/>
      <w:numFmt w:val="bullet"/>
      <w:lvlText w:val=""/>
      <w:lvlJc w:val="left"/>
      <w:pPr>
        <w:ind w:left="840" w:hanging="360"/>
      </w:pPr>
      <w:rPr>
        <w:rFonts w:ascii="Wingdings" w:hAnsi="Wingdings" w:hint="default"/>
      </w:rPr>
    </w:lvl>
    <w:lvl w:ilvl="1" w:tplc="04090003">
      <w:start w:val="1"/>
      <w:numFmt w:val="bullet"/>
      <w:lvlText w:val="o"/>
      <w:lvlJc w:val="left"/>
      <w:pPr>
        <w:ind w:left="1560" w:hanging="360"/>
      </w:pPr>
      <w:rPr>
        <w:rFonts w:ascii="Courier New" w:hAnsi="Courier New" w:cs="Times New Roman" w:hint="default"/>
      </w:rPr>
    </w:lvl>
    <w:lvl w:ilvl="2" w:tplc="04090005">
      <w:start w:val="1"/>
      <w:numFmt w:val="bullet"/>
      <w:lvlText w:val=""/>
      <w:lvlJc w:val="left"/>
      <w:pPr>
        <w:ind w:left="2280" w:hanging="360"/>
      </w:pPr>
      <w:rPr>
        <w:rFonts w:ascii="Wingdings" w:hAnsi="Wingdings" w:hint="default"/>
      </w:rPr>
    </w:lvl>
    <w:lvl w:ilvl="3" w:tplc="04090001">
      <w:start w:val="1"/>
      <w:numFmt w:val="bullet"/>
      <w:lvlText w:val=""/>
      <w:lvlJc w:val="left"/>
      <w:pPr>
        <w:ind w:left="3000" w:hanging="360"/>
      </w:pPr>
      <w:rPr>
        <w:rFonts w:ascii="Symbol" w:hAnsi="Symbol" w:hint="default"/>
      </w:rPr>
    </w:lvl>
    <w:lvl w:ilvl="4" w:tplc="04090003">
      <w:start w:val="1"/>
      <w:numFmt w:val="bullet"/>
      <w:lvlText w:val="o"/>
      <w:lvlJc w:val="left"/>
      <w:pPr>
        <w:ind w:left="3720" w:hanging="360"/>
      </w:pPr>
      <w:rPr>
        <w:rFonts w:ascii="Courier New" w:hAnsi="Courier New" w:cs="Times New Roman" w:hint="default"/>
      </w:rPr>
    </w:lvl>
    <w:lvl w:ilvl="5" w:tplc="04090005">
      <w:start w:val="1"/>
      <w:numFmt w:val="bullet"/>
      <w:lvlText w:val=""/>
      <w:lvlJc w:val="left"/>
      <w:pPr>
        <w:ind w:left="4440" w:hanging="360"/>
      </w:pPr>
      <w:rPr>
        <w:rFonts w:ascii="Wingdings" w:hAnsi="Wingdings" w:hint="default"/>
      </w:rPr>
    </w:lvl>
    <w:lvl w:ilvl="6" w:tplc="04090001">
      <w:start w:val="1"/>
      <w:numFmt w:val="bullet"/>
      <w:lvlText w:val=""/>
      <w:lvlJc w:val="left"/>
      <w:pPr>
        <w:ind w:left="5160" w:hanging="360"/>
      </w:pPr>
      <w:rPr>
        <w:rFonts w:ascii="Symbol" w:hAnsi="Symbol" w:hint="default"/>
      </w:rPr>
    </w:lvl>
    <w:lvl w:ilvl="7" w:tplc="04090003">
      <w:start w:val="1"/>
      <w:numFmt w:val="bullet"/>
      <w:lvlText w:val="o"/>
      <w:lvlJc w:val="left"/>
      <w:pPr>
        <w:ind w:left="5880" w:hanging="360"/>
      </w:pPr>
      <w:rPr>
        <w:rFonts w:ascii="Courier New" w:hAnsi="Courier New" w:cs="Times New Roman" w:hint="default"/>
      </w:rPr>
    </w:lvl>
    <w:lvl w:ilvl="8" w:tplc="04090005">
      <w:start w:val="1"/>
      <w:numFmt w:val="bullet"/>
      <w:lvlText w:val=""/>
      <w:lvlJc w:val="left"/>
      <w:pPr>
        <w:ind w:left="6600" w:hanging="360"/>
      </w:pPr>
      <w:rPr>
        <w:rFonts w:ascii="Wingdings" w:hAnsi="Wingdings" w:hint="default"/>
      </w:rPr>
    </w:lvl>
  </w:abstractNum>
  <w:abstractNum w:abstractNumId="320" w15:restartNumberingAfterBreak="0">
    <w:nsid w:val="5B9B1E19"/>
    <w:multiLevelType w:val="hybridMultilevel"/>
    <w:tmpl w:val="97180300"/>
    <w:lvl w:ilvl="0" w:tplc="04090005">
      <w:start w:val="1"/>
      <w:numFmt w:val="bullet"/>
      <w:lvlText w:val=""/>
      <w:lvlJc w:val="left"/>
      <w:pPr>
        <w:tabs>
          <w:tab w:val="num" w:pos="690"/>
        </w:tabs>
        <w:ind w:left="690" w:hanging="360"/>
      </w:pPr>
      <w:rPr>
        <w:rFonts w:ascii="Wingdings" w:hAnsi="Wingdings" w:hint="default"/>
      </w:rPr>
    </w:lvl>
    <w:lvl w:ilvl="1" w:tplc="04090003">
      <w:start w:val="1"/>
      <w:numFmt w:val="bullet"/>
      <w:lvlText w:val="o"/>
      <w:lvlJc w:val="left"/>
      <w:pPr>
        <w:tabs>
          <w:tab w:val="num" w:pos="1410"/>
        </w:tabs>
        <w:ind w:left="1410" w:hanging="360"/>
      </w:pPr>
      <w:rPr>
        <w:rFonts w:ascii="Courier New" w:hAnsi="Courier New" w:hint="default"/>
      </w:rPr>
    </w:lvl>
    <w:lvl w:ilvl="2" w:tplc="04090005" w:tentative="1">
      <w:start w:val="1"/>
      <w:numFmt w:val="bullet"/>
      <w:lvlText w:val=""/>
      <w:lvlJc w:val="left"/>
      <w:pPr>
        <w:tabs>
          <w:tab w:val="num" w:pos="2130"/>
        </w:tabs>
        <w:ind w:left="2130" w:hanging="360"/>
      </w:pPr>
      <w:rPr>
        <w:rFonts w:ascii="Wingdings" w:hAnsi="Wingdings" w:hint="default"/>
      </w:rPr>
    </w:lvl>
    <w:lvl w:ilvl="3" w:tplc="04090001" w:tentative="1">
      <w:start w:val="1"/>
      <w:numFmt w:val="bullet"/>
      <w:lvlText w:val=""/>
      <w:lvlJc w:val="left"/>
      <w:pPr>
        <w:tabs>
          <w:tab w:val="num" w:pos="2850"/>
        </w:tabs>
        <w:ind w:left="2850" w:hanging="360"/>
      </w:pPr>
      <w:rPr>
        <w:rFonts w:ascii="Symbol" w:hAnsi="Symbol" w:hint="default"/>
      </w:rPr>
    </w:lvl>
    <w:lvl w:ilvl="4" w:tplc="04090003" w:tentative="1">
      <w:start w:val="1"/>
      <w:numFmt w:val="bullet"/>
      <w:lvlText w:val="o"/>
      <w:lvlJc w:val="left"/>
      <w:pPr>
        <w:tabs>
          <w:tab w:val="num" w:pos="3570"/>
        </w:tabs>
        <w:ind w:left="3570" w:hanging="360"/>
      </w:pPr>
      <w:rPr>
        <w:rFonts w:ascii="Courier New" w:hAnsi="Courier New" w:hint="default"/>
      </w:rPr>
    </w:lvl>
    <w:lvl w:ilvl="5" w:tplc="04090005" w:tentative="1">
      <w:start w:val="1"/>
      <w:numFmt w:val="bullet"/>
      <w:lvlText w:val=""/>
      <w:lvlJc w:val="left"/>
      <w:pPr>
        <w:tabs>
          <w:tab w:val="num" w:pos="4290"/>
        </w:tabs>
        <w:ind w:left="4290" w:hanging="360"/>
      </w:pPr>
      <w:rPr>
        <w:rFonts w:ascii="Wingdings" w:hAnsi="Wingdings" w:hint="default"/>
      </w:rPr>
    </w:lvl>
    <w:lvl w:ilvl="6" w:tplc="04090001" w:tentative="1">
      <w:start w:val="1"/>
      <w:numFmt w:val="bullet"/>
      <w:lvlText w:val=""/>
      <w:lvlJc w:val="left"/>
      <w:pPr>
        <w:tabs>
          <w:tab w:val="num" w:pos="5010"/>
        </w:tabs>
        <w:ind w:left="5010" w:hanging="360"/>
      </w:pPr>
      <w:rPr>
        <w:rFonts w:ascii="Symbol" w:hAnsi="Symbol" w:hint="default"/>
      </w:rPr>
    </w:lvl>
    <w:lvl w:ilvl="7" w:tplc="04090003" w:tentative="1">
      <w:start w:val="1"/>
      <w:numFmt w:val="bullet"/>
      <w:lvlText w:val="o"/>
      <w:lvlJc w:val="left"/>
      <w:pPr>
        <w:tabs>
          <w:tab w:val="num" w:pos="5730"/>
        </w:tabs>
        <w:ind w:left="5730" w:hanging="360"/>
      </w:pPr>
      <w:rPr>
        <w:rFonts w:ascii="Courier New" w:hAnsi="Courier New" w:hint="default"/>
      </w:rPr>
    </w:lvl>
    <w:lvl w:ilvl="8" w:tplc="04090005" w:tentative="1">
      <w:start w:val="1"/>
      <w:numFmt w:val="bullet"/>
      <w:lvlText w:val=""/>
      <w:lvlJc w:val="left"/>
      <w:pPr>
        <w:tabs>
          <w:tab w:val="num" w:pos="6450"/>
        </w:tabs>
        <w:ind w:left="6450" w:hanging="360"/>
      </w:pPr>
      <w:rPr>
        <w:rFonts w:ascii="Wingdings" w:hAnsi="Wingdings" w:hint="default"/>
      </w:rPr>
    </w:lvl>
  </w:abstractNum>
  <w:abstractNum w:abstractNumId="321" w15:restartNumberingAfterBreak="0">
    <w:nsid w:val="5BD53CA1"/>
    <w:multiLevelType w:val="hybridMultilevel"/>
    <w:tmpl w:val="552A9F96"/>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2" w15:restartNumberingAfterBreak="0">
    <w:nsid w:val="5C1F5904"/>
    <w:multiLevelType w:val="hybridMultilevel"/>
    <w:tmpl w:val="6F3CF034"/>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3" w15:restartNumberingAfterBreak="0">
    <w:nsid w:val="5C5F78C7"/>
    <w:multiLevelType w:val="hybridMultilevel"/>
    <w:tmpl w:val="9332892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4" w15:restartNumberingAfterBreak="0">
    <w:nsid w:val="5CE87F82"/>
    <w:multiLevelType w:val="hybridMultilevel"/>
    <w:tmpl w:val="89FCFD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5D0540E2"/>
    <w:multiLevelType w:val="hybridMultilevel"/>
    <w:tmpl w:val="A142FF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6" w15:restartNumberingAfterBreak="0">
    <w:nsid w:val="5DB94BBF"/>
    <w:multiLevelType w:val="hybridMultilevel"/>
    <w:tmpl w:val="6440770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7" w15:restartNumberingAfterBreak="0">
    <w:nsid w:val="5DC05B3F"/>
    <w:multiLevelType w:val="hybridMultilevel"/>
    <w:tmpl w:val="ABEA9A9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8" w15:restartNumberingAfterBreak="0">
    <w:nsid w:val="5DD74D82"/>
    <w:multiLevelType w:val="hybridMultilevel"/>
    <w:tmpl w:val="A3686A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5E081BEC"/>
    <w:multiLevelType w:val="hybridMultilevel"/>
    <w:tmpl w:val="C0F4F76A"/>
    <w:lvl w:ilvl="0" w:tplc="0409000F">
      <w:start w:val="1"/>
      <w:numFmt w:val="decimal"/>
      <w:lvlText w:val="%1."/>
      <w:lvlJc w:val="left"/>
      <w:pPr>
        <w:ind w:left="720" w:hanging="360"/>
      </w:pPr>
    </w:lvl>
    <w:lvl w:ilvl="1" w:tplc="832E0E68">
      <w:start w:val="1"/>
      <w:numFmt w:val="lowerLetter"/>
      <w:lvlText w:val="%2."/>
      <w:lvlJc w:val="left"/>
      <w:pPr>
        <w:ind w:left="1440" w:hanging="360"/>
      </w:pPr>
      <w:rPr>
        <w:rFonts w:hint="default"/>
      </w:rPr>
    </w:lvl>
    <w:lvl w:ilvl="2" w:tplc="04090005">
      <w:start w:val="1"/>
      <w:numFmt w:val="bullet"/>
      <w:lvlText w:val=""/>
      <w:lvlJc w:val="left"/>
      <w:pPr>
        <w:ind w:left="2160" w:hanging="180"/>
      </w:pPr>
      <w:rPr>
        <w:rFonts w:ascii="Wingdings" w:hAnsi="Wingding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0" w15:restartNumberingAfterBreak="0">
    <w:nsid w:val="5E8D17EF"/>
    <w:multiLevelType w:val="hybridMultilevel"/>
    <w:tmpl w:val="3A30AB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1" w15:restartNumberingAfterBreak="0">
    <w:nsid w:val="5EA77282"/>
    <w:multiLevelType w:val="hybridMultilevel"/>
    <w:tmpl w:val="B3F089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2" w15:restartNumberingAfterBreak="0">
    <w:nsid w:val="5EE5306F"/>
    <w:multiLevelType w:val="hybridMultilevel"/>
    <w:tmpl w:val="C07CE006"/>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3" w15:restartNumberingAfterBreak="0">
    <w:nsid w:val="5F254A23"/>
    <w:multiLevelType w:val="hybridMultilevel"/>
    <w:tmpl w:val="B3963694"/>
    <w:lvl w:ilvl="0" w:tplc="04090005">
      <w:start w:val="1"/>
      <w:numFmt w:val="bullet"/>
      <w:lvlText w:val=""/>
      <w:lvlJc w:val="left"/>
      <w:pPr>
        <w:ind w:left="360" w:hanging="360"/>
      </w:pPr>
      <w:rPr>
        <w:rFonts w:ascii="Wingdings" w:hAnsi="Wingdings" w:hint="default"/>
        <w:color w:val="FF0000"/>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4" w15:restartNumberingAfterBreak="0">
    <w:nsid w:val="60A85BBE"/>
    <w:multiLevelType w:val="hybridMultilevel"/>
    <w:tmpl w:val="C0BC7442"/>
    <w:lvl w:ilvl="0" w:tplc="04090001">
      <w:start w:val="1"/>
      <w:numFmt w:val="bullet"/>
      <w:lvlText w:val=""/>
      <w:lvlJc w:val="left"/>
      <w:pPr>
        <w:ind w:left="1420" w:hanging="360"/>
      </w:pPr>
      <w:rPr>
        <w:rFonts w:ascii="Symbol" w:hAnsi="Symbol"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335" w15:restartNumberingAfterBreak="0">
    <w:nsid w:val="60BB3A07"/>
    <w:multiLevelType w:val="multilevel"/>
    <w:tmpl w:val="DEEC98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611664A9"/>
    <w:multiLevelType w:val="hybridMultilevel"/>
    <w:tmpl w:val="426EE090"/>
    <w:lvl w:ilvl="0" w:tplc="04090005">
      <w:start w:val="1"/>
      <w:numFmt w:val="bullet"/>
      <w:lvlText w:val=""/>
      <w:lvlJc w:val="left"/>
      <w:pPr>
        <w:ind w:left="1440" w:hanging="360"/>
      </w:pPr>
      <w:rPr>
        <w:rFonts w:ascii="Wingdings" w:hAnsi="Wingdings"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7" w15:restartNumberingAfterBreak="0">
    <w:nsid w:val="61901944"/>
    <w:multiLevelType w:val="hybridMultilevel"/>
    <w:tmpl w:val="27900E6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8" w15:restartNumberingAfterBreak="0">
    <w:nsid w:val="62360612"/>
    <w:multiLevelType w:val="multilevel"/>
    <w:tmpl w:val="32BE14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6253582A"/>
    <w:multiLevelType w:val="hybridMultilevel"/>
    <w:tmpl w:val="09E625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0" w15:restartNumberingAfterBreak="0">
    <w:nsid w:val="62C27ABE"/>
    <w:multiLevelType w:val="hybridMultilevel"/>
    <w:tmpl w:val="23108D1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1" w15:restartNumberingAfterBreak="0">
    <w:nsid w:val="62DB3D68"/>
    <w:multiLevelType w:val="hybridMultilevel"/>
    <w:tmpl w:val="B9CE95E6"/>
    <w:lvl w:ilvl="0" w:tplc="21D42084">
      <w:start w:val="1"/>
      <w:numFmt w:val="bullet"/>
      <w:lvlText w:val=""/>
      <w:lvlJc w:val="left"/>
      <w:pPr>
        <w:tabs>
          <w:tab w:val="num" w:pos="173"/>
        </w:tabs>
        <w:ind w:left="173" w:hanging="173"/>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2" w15:restartNumberingAfterBreak="0">
    <w:nsid w:val="62ED6CA2"/>
    <w:multiLevelType w:val="hybridMultilevel"/>
    <w:tmpl w:val="289440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3" w15:restartNumberingAfterBreak="0">
    <w:nsid w:val="631E4978"/>
    <w:multiLevelType w:val="hybridMultilevel"/>
    <w:tmpl w:val="8C60CD0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4" w15:restartNumberingAfterBreak="0">
    <w:nsid w:val="63657438"/>
    <w:multiLevelType w:val="hybridMultilevel"/>
    <w:tmpl w:val="5844C4C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5" w15:restartNumberingAfterBreak="0">
    <w:nsid w:val="63C660CE"/>
    <w:multiLevelType w:val="hybridMultilevel"/>
    <w:tmpl w:val="245C3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15:restartNumberingAfterBreak="0">
    <w:nsid w:val="64167A74"/>
    <w:multiLevelType w:val="multilevel"/>
    <w:tmpl w:val="FCB2E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646377A1"/>
    <w:multiLevelType w:val="hybridMultilevel"/>
    <w:tmpl w:val="4E2C80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8" w15:restartNumberingAfterBreak="0">
    <w:nsid w:val="64822D2D"/>
    <w:multiLevelType w:val="hybridMultilevel"/>
    <w:tmpl w:val="BE30BA2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9" w15:restartNumberingAfterBreak="0">
    <w:nsid w:val="648F1C95"/>
    <w:multiLevelType w:val="multilevel"/>
    <w:tmpl w:val="7E1EE2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0" w15:restartNumberingAfterBreak="0">
    <w:nsid w:val="64D62903"/>
    <w:multiLevelType w:val="hybridMultilevel"/>
    <w:tmpl w:val="7DEC614C"/>
    <w:lvl w:ilvl="0" w:tplc="0409000F">
      <w:start w:val="1"/>
      <w:numFmt w:val="decimal"/>
      <w:lvlText w:val="%1."/>
      <w:lvlJc w:val="left"/>
      <w:pPr>
        <w:ind w:left="720" w:hanging="360"/>
      </w:pPr>
      <w:rPr>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1" w15:restartNumberingAfterBreak="0">
    <w:nsid w:val="64EF7252"/>
    <w:multiLevelType w:val="hybridMultilevel"/>
    <w:tmpl w:val="E4A08B80"/>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52" w15:restartNumberingAfterBreak="0">
    <w:nsid w:val="651B17C2"/>
    <w:multiLevelType w:val="hybridMultilevel"/>
    <w:tmpl w:val="4B6CBEAE"/>
    <w:lvl w:ilvl="0" w:tplc="04090005">
      <w:start w:val="1"/>
      <w:numFmt w:val="bullet"/>
      <w:lvlText w:val=""/>
      <w:lvlJc w:val="left"/>
      <w:pPr>
        <w:tabs>
          <w:tab w:val="num" w:pos="1420"/>
        </w:tabs>
        <w:ind w:left="1420" w:hanging="360"/>
      </w:pPr>
      <w:rPr>
        <w:rFonts w:ascii="Wingdings" w:hAnsi="Wingdings" w:hint="default"/>
      </w:rPr>
    </w:lvl>
    <w:lvl w:ilvl="1" w:tplc="04090003" w:tentative="1">
      <w:start w:val="1"/>
      <w:numFmt w:val="bullet"/>
      <w:lvlText w:val="o"/>
      <w:lvlJc w:val="left"/>
      <w:pPr>
        <w:tabs>
          <w:tab w:val="num" w:pos="2140"/>
        </w:tabs>
        <w:ind w:left="2140" w:hanging="360"/>
      </w:pPr>
      <w:rPr>
        <w:rFonts w:ascii="Courier New" w:hAnsi="Courier New" w:hint="default"/>
      </w:rPr>
    </w:lvl>
    <w:lvl w:ilvl="2" w:tplc="04090005" w:tentative="1">
      <w:start w:val="1"/>
      <w:numFmt w:val="bullet"/>
      <w:lvlText w:val=""/>
      <w:lvlJc w:val="left"/>
      <w:pPr>
        <w:tabs>
          <w:tab w:val="num" w:pos="2860"/>
        </w:tabs>
        <w:ind w:left="2860" w:hanging="360"/>
      </w:pPr>
      <w:rPr>
        <w:rFonts w:ascii="Wingdings" w:hAnsi="Wingdings" w:hint="default"/>
      </w:rPr>
    </w:lvl>
    <w:lvl w:ilvl="3" w:tplc="04090001" w:tentative="1">
      <w:start w:val="1"/>
      <w:numFmt w:val="bullet"/>
      <w:lvlText w:val=""/>
      <w:lvlJc w:val="left"/>
      <w:pPr>
        <w:tabs>
          <w:tab w:val="num" w:pos="3580"/>
        </w:tabs>
        <w:ind w:left="3580" w:hanging="360"/>
      </w:pPr>
      <w:rPr>
        <w:rFonts w:ascii="Symbol" w:hAnsi="Symbol" w:hint="default"/>
      </w:rPr>
    </w:lvl>
    <w:lvl w:ilvl="4" w:tplc="04090003" w:tentative="1">
      <w:start w:val="1"/>
      <w:numFmt w:val="bullet"/>
      <w:lvlText w:val="o"/>
      <w:lvlJc w:val="left"/>
      <w:pPr>
        <w:tabs>
          <w:tab w:val="num" w:pos="4300"/>
        </w:tabs>
        <w:ind w:left="4300" w:hanging="360"/>
      </w:pPr>
      <w:rPr>
        <w:rFonts w:ascii="Courier New" w:hAnsi="Courier New" w:hint="default"/>
      </w:rPr>
    </w:lvl>
    <w:lvl w:ilvl="5" w:tplc="04090005" w:tentative="1">
      <w:start w:val="1"/>
      <w:numFmt w:val="bullet"/>
      <w:lvlText w:val=""/>
      <w:lvlJc w:val="left"/>
      <w:pPr>
        <w:tabs>
          <w:tab w:val="num" w:pos="5020"/>
        </w:tabs>
        <w:ind w:left="5020" w:hanging="360"/>
      </w:pPr>
      <w:rPr>
        <w:rFonts w:ascii="Wingdings" w:hAnsi="Wingdings" w:hint="default"/>
      </w:rPr>
    </w:lvl>
    <w:lvl w:ilvl="6" w:tplc="04090001" w:tentative="1">
      <w:start w:val="1"/>
      <w:numFmt w:val="bullet"/>
      <w:lvlText w:val=""/>
      <w:lvlJc w:val="left"/>
      <w:pPr>
        <w:tabs>
          <w:tab w:val="num" w:pos="5740"/>
        </w:tabs>
        <w:ind w:left="5740" w:hanging="360"/>
      </w:pPr>
      <w:rPr>
        <w:rFonts w:ascii="Symbol" w:hAnsi="Symbol" w:hint="default"/>
      </w:rPr>
    </w:lvl>
    <w:lvl w:ilvl="7" w:tplc="04090003" w:tentative="1">
      <w:start w:val="1"/>
      <w:numFmt w:val="bullet"/>
      <w:lvlText w:val="o"/>
      <w:lvlJc w:val="left"/>
      <w:pPr>
        <w:tabs>
          <w:tab w:val="num" w:pos="6460"/>
        </w:tabs>
        <w:ind w:left="6460" w:hanging="360"/>
      </w:pPr>
      <w:rPr>
        <w:rFonts w:ascii="Courier New" w:hAnsi="Courier New" w:hint="default"/>
      </w:rPr>
    </w:lvl>
    <w:lvl w:ilvl="8" w:tplc="04090005" w:tentative="1">
      <w:start w:val="1"/>
      <w:numFmt w:val="bullet"/>
      <w:lvlText w:val=""/>
      <w:lvlJc w:val="left"/>
      <w:pPr>
        <w:tabs>
          <w:tab w:val="num" w:pos="7180"/>
        </w:tabs>
        <w:ind w:left="7180" w:hanging="360"/>
      </w:pPr>
      <w:rPr>
        <w:rFonts w:ascii="Wingdings" w:hAnsi="Wingdings" w:hint="default"/>
      </w:rPr>
    </w:lvl>
  </w:abstractNum>
  <w:abstractNum w:abstractNumId="353" w15:restartNumberingAfterBreak="0">
    <w:nsid w:val="65B17789"/>
    <w:multiLevelType w:val="hybridMultilevel"/>
    <w:tmpl w:val="1E10BD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4" w15:restartNumberingAfterBreak="0">
    <w:nsid w:val="660A5DC0"/>
    <w:multiLevelType w:val="hybridMultilevel"/>
    <w:tmpl w:val="98EAEB0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5" w15:restartNumberingAfterBreak="0">
    <w:nsid w:val="663302F9"/>
    <w:multiLevelType w:val="hybridMultilevel"/>
    <w:tmpl w:val="6C30F8D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6" w15:restartNumberingAfterBreak="0">
    <w:nsid w:val="67A279DF"/>
    <w:multiLevelType w:val="hybridMultilevel"/>
    <w:tmpl w:val="3ECCA5CE"/>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7" w15:restartNumberingAfterBreak="0">
    <w:nsid w:val="67E1754C"/>
    <w:multiLevelType w:val="hybridMultilevel"/>
    <w:tmpl w:val="4D481CF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8" w15:restartNumberingAfterBreak="0">
    <w:nsid w:val="680255C0"/>
    <w:multiLevelType w:val="hybridMultilevel"/>
    <w:tmpl w:val="937C66D2"/>
    <w:lvl w:ilvl="0" w:tplc="2EF02D2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9" w15:restartNumberingAfterBreak="0">
    <w:nsid w:val="684B55EC"/>
    <w:multiLevelType w:val="hybridMultilevel"/>
    <w:tmpl w:val="2BAAA122"/>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0" w15:restartNumberingAfterBreak="0">
    <w:nsid w:val="6858333C"/>
    <w:multiLevelType w:val="multilevel"/>
    <w:tmpl w:val="6638C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68F95DC5"/>
    <w:multiLevelType w:val="hybridMultilevel"/>
    <w:tmpl w:val="66B0CABA"/>
    <w:lvl w:ilvl="0" w:tplc="04090001">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2" w15:restartNumberingAfterBreak="0">
    <w:nsid w:val="692A34FD"/>
    <w:multiLevelType w:val="hybridMultilevel"/>
    <w:tmpl w:val="3B20B3F0"/>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3" w15:restartNumberingAfterBreak="0">
    <w:nsid w:val="69355DF8"/>
    <w:multiLevelType w:val="hybridMultilevel"/>
    <w:tmpl w:val="70B43622"/>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4" w15:restartNumberingAfterBreak="0">
    <w:nsid w:val="698A26A8"/>
    <w:multiLevelType w:val="hybridMultilevel"/>
    <w:tmpl w:val="57E442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5" w15:restartNumberingAfterBreak="0">
    <w:nsid w:val="699375E3"/>
    <w:multiLevelType w:val="hybridMultilevel"/>
    <w:tmpl w:val="CA90B03C"/>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6" w15:restartNumberingAfterBreak="0">
    <w:nsid w:val="69C3244C"/>
    <w:multiLevelType w:val="hybridMultilevel"/>
    <w:tmpl w:val="49EEBE1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7" w15:restartNumberingAfterBreak="0">
    <w:nsid w:val="6A5F0A2C"/>
    <w:multiLevelType w:val="hybridMultilevel"/>
    <w:tmpl w:val="6F987B94"/>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8" w15:restartNumberingAfterBreak="0">
    <w:nsid w:val="6A713711"/>
    <w:multiLevelType w:val="hybridMultilevel"/>
    <w:tmpl w:val="D638D68E"/>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9" w15:restartNumberingAfterBreak="0">
    <w:nsid w:val="6A911B46"/>
    <w:multiLevelType w:val="hybridMultilevel"/>
    <w:tmpl w:val="FD322FEC"/>
    <w:lvl w:ilvl="0" w:tplc="E0407544">
      <w:start w:val="1"/>
      <w:numFmt w:val="bullet"/>
      <w:lvlText w:val=""/>
      <w:lvlJc w:val="left"/>
      <w:pPr>
        <w:tabs>
          <w:tab w:val="num" w:pos="720"/>
        </w:tabs>
        <w:ind w:left="720" w:hanging="360"/>
      </w:pPr>
      <w:rPr>
        <w:rFonts w:ascii="Symbol" w:hAnsi="Symbol" w:hint="default"/>
        <w:sz w:val="20"/>
      </w:rPr>
    </w:lvl>
    <w:lvl w:ilvl="1" w:tplc="4072D4F6" w:tentative="1">
      <w:start w:val="1"/>
      <w:numFmt w:val="bullet"/>
      <w:lvlText w:val="o"/>
      <w:lvlJc w:val="left"/>
      <w:pPr>
        <w:tabs>
          <w:tab w:val="num" w:pos="1440"/>
        </w:tabs>
        <w:ind w:left="1440" w:hanging="360"/>
      </w:pPr>
      <w:rPr>
        <w:rFonts w:ascii="Courier New" w:hAnsi="Courier New" w:hint="default"/>
        <w:sz w:val="20"/>
      </w:rPr>
    </w:lvl>
    <w:lvl w:ilvl="2" w:tplc="A2EA6F46" w:tentative="1">
      <w:start w:val="1"/>
      <w:numFmt w:val="bullet"/>
      <w:lvlText w:val=""/>
      <w:lvlJc w:val="left"/>
      <w:pPr>
        <w:tabs>
          <w:tab w:val="num" w:pos="2160"/>
        </w:tabs>
        <w:ind w:left="2160" w:hanging="360"/>
      </w:pPr>
      <w:rPr>
        <w:rFonts w:ascii="Wingdings" w:hAnsi="Wingdings" w:hint="default"/>
        <w:sz w:val="20"/>
      </w:rPr>
    </w:lvl>
    <w:lvl w:ilvl="3" w:tplc="6B564F92" w:tentative="1">
      <w:start w:val="1"/>
      <w:numFmt w:val="bullet"/>
      <w:lvlText w:val=""/>
      <w:lvlJc w:val="left"/>
      <w:pPr>
        <w:tabs>
          <w:tab w:val="num" w:pos="2880"/>
        </w:tabs>
        <w:ind w:left="2880" w:hanging="360"/>
      </w:pPr>
      <w:rPr>
        <w:rFonts w:ascii="Wingdings" w:hAnsi="Wingdings" w:hint="default"/>
        <w:sz w:val="20"/>
      </w:rPr>
    </w:lvl>
    <w:lvl w:ilvl="4" w:tplc="FAB24720" w:tentative="1">
      <w:start w:val="1"/>
      <w:numFmt w:val="bullet"/>
      <w:lvlText w:val=""/>
      <w:lvlJc w:val="left"/>
      <w:pPr>
        <w:tabs>
          <w:tab w:val="num" w:pos="3600"/>
        </w:tabs>
        <w:ind w:left="3600" w:hanging="360"/>
      </w:pPr>
      <w:rPr>
        <w:rFonts w:ascii="Wingdings" w:hAnsi="Wingdings" w:hint="default"/>
        <w:sz w:val="20"/>
      </w:rPr>
    </w:lvl>
    <w:lvl w:ilvl="5" w:tplc="F3CEE6FA" w:tentative="1">
      <w:start w:val="1"/>
      <w:numFmt w:val="bullet"/>
      <w:lvlText w:val=""/>
      <w:lvlJc w:val="left"/>
      <w:pPr>
        <w:tabs>
          <w:tab w:val="num" w:pos="4320"/>
        </w:tabs>
        <w:ind w:left="4320" w:hanging="360"/>
      </w:pPr>
      <w:rPr>
        <w:rFonts w:ascii="Wingdings" w:hAnsi="Wingdings" w:hint="default"/>
        <w:sz w:val="20"/>
      </w:rPr>
    </w:lvl>
    <w:lvl w:ilvl="6" w:tplc="8BF82270" w:tentative="1">
      <w:start w:val="1"/>
      <w:numFmt w:val="bullet"/>
      <w:lvlText w:val=""/>
      <w:lvlJc w:val="left"/>
      <w:pPr>
        <w:tabs>
          <w:tab w:val="num" w:pos="5040"/>
        </w:tabs>
        <w:ind w:left="5040" w:hanging="360"/>
      </w:pPr>
      <w:rPr>
        <w:rFonts w:ascii="Wingdings" w:hAnsi="Wingdings" w:hint="default"/>
        <w:sz w:val="20"/>
      </w:rPr>
    </w:lvl>
    <w:lvl w:ilvl="7" w:tplc="AF18B0CE" w:tentative="1">
      <w:start w:val="1"/>
      <w:numFmt w:val="bullet"/>
      <w:lvlText w:val=""/>
      <w:lvlJc w:val="left"/>
      <w:pPr>
        <w:tabs>
          <w:tab w:val="num" w:pos="5760"/>
        </w:tabs>
        <w:ind w:left="5760" w:hanging="360"/>
      </w:pPr>
      <w:rPr>
        <w:rFonts w:ascii="Wingdings" w:hAnsi="Wingdings" w:hint="default"/>
        <w:sz w:val="20"/>
      </w:rPr>
    </w:lvl>
    <w:lvl w:ilvl="8" w:tplc="6FA0DB74"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6AC433B9"/>
    <w:multiLevelType w:val="hybridMultilevel"/>
    <w:tmpl w:val="03C05754"/>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1" w15:restartNumberingAfterBreak="0">
    <w:nsid w:val="6AEB0B38"/>
    <w:multiLevelType w:val="multilevel"/>
    <w:tmpl w:val="0D34F63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2" w15:restartNumberingAfterBreak="0">
    <w:nsid w:val="6AFD3C4D"/>
    <w:multiLevelType w:val="hybridMultilevel"/>
    <w:tmpl w:val="24B20B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3" w15:restartNumberingAfterBreak="0">
    <w:nsid w:val="6B002B9D"/>
    <w:multiLevelType w:val="hybridMultilevel"/>
    <w:tmpl w:val="DBAE5FAA"/>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4" w15:restartNumberingAfterBreak="0">
    <w:nsid w:val="6B2359D1"/>
    <w:multiLevelType w:val="hybridMultilevel"/>
    <w:tmpl w:val="DF08CF2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5" w15:restartNumberingAfterBreak="0">
    <w:nsid w:val="6B3C265B"/>
    <w:multiLevelType w:val="hybridMultilevel"/>
    <w:tmpl w:val="B9F45A3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6" w15:restartNumberingAfterBreak="0">
    <w:nsid w:val="6BA45401"/>
    <w:multiLevelType w:val="hybridMultilevel"/>
    <w:tmpl w:val="DB747C6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77" w15:restartNumberingAfterBreak="0">
    <w:nsid w:val="6CA67E2A"/>
    <w:multiLevelType w:val="hybridMultilevel"/>
    <w:tmpl w:val="C34261FC"/>
    <w:lvl w:ilvl="0" w:tplc="BC6E6746">
      <w:start w:val="1"/>
      <w:numFmt w:val="bullet"/>
      <w:lvlText w:val=""/>
      <w:legacy w:legacy="1" w:legacySpace="120" w:legacyIndent="360"/>
      <w:lvlJc w:val="left"/>
      <w:pPr>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8" w15:restartNumberingAfterBreak="0">
    <w:nsid w:val="6DCC6987"/>
    <w:multiLevelType w:val="hybridMultilevel"/>
    <w:tmpl w:val="62167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9" w15:restartNumberingAfterBreak="0">
    <w:nsid w:val="6DCC6B84"/>
    <w:multiLevelType w:val="hybridMultilevel"/>
    <w:tmpl w:val="EA8CA51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0" w15:restartNumberingAfterBreak="0">
    <w:nsid w:val="6DE40830"/>
    <w:multiLevelType w:val="hybridMultilevel"/>
    <w:tmpl w:val="63AC1AC2"/>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1" w15:restartNumberingAfterBreak="0">
    <w:nsid w:val="6E341431"/>
    <w:multiLevelType w:val="hybridMultilevel"/>
    <w:tmpl w:val="4BDCB2A8"/>
    <w:lvl w:ilvl="0" w:tplc="CEB46602">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2" w15:restartNumberingAfterBreak="0">
    <w:nsid w:val="6E396193"/>
    <w:multiLevelType w:val="hybridMultilevel"/>
    <w:tmpl w:val="2702BB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3" w15:restartNumberingAfterBreak="0">
    <w:nsid w:val="6E546AC0"/>
    <w:multiLevelType w:val="hybridMultilevel"/>
    <w:tmpl w:val="0BC02BE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4" w15:restartNumberingAfterBreak="0">
    <w:nsid w:val="6E731274"/>
    <w:multiLevelType w:val="hybridMultilevel"/>
    <w:tmpl w:val="3BE40B6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85" w15:restartNumberingAfterBreak="0">
    <w:nsid w:val="6EB72FBA"/>
    <w:multiLevelType w:val="hybridMultilevel"/>
    <w:tmpl w:val="7EF88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6" w15:restartNumberingAfterBreak="0">
    <w:nsid w:val="6EE1076A"/>
    <w:multiLevelType w:val="hybridMultilevel"/>
    <w:tmpl w:val="F358099C"/>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7" w15:restartNumberingAfterBreak="0">
    <w:nsid w:val="706B06E5"/>
    <w:multiLevelType w:val="hybridMultilevel"/>
    <w:tmpl w:val="5AC8362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8" w15:restartNumberingAfterBreak="0">
    <w:nsid w:val="707331ED"/>
    <w:multiLevelType w:val="hybridMultilevel"/>
    <w:tmpl w:val="1CB24B9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9" w15:restartNumberingAfterBreak="0">
    <w:nsid w:val="713E3186"/>
    <w:multiLevelType w:val="hybridMultilevel"/>
    <w:tmpl w:val="2536CD86"/>
    <w:lvl w:ilvl="0" w:tplc="04090005">
      <w:start w:val="1"/>
      <w:numFmt w:val="bullet"/>
      <w:lvlText w:val=""/>
      <w:lvlJc w:val="left"/>
      <w:pPr>
        <w:ind w:left="1060" w:hanging="360"/>
      </w:pPr>
      <w:rPr>
        <w:rFonts w:ascii="Wingdings" w:hAnsi="Wingdings" w:hint="default"/>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390" w15:restartNumberingAfterBreak="0">
    <w:nsid w:val="71440331"/>
    <w:multiLevelType w:val="hybridMultilevel"/>
    <w:tmpl w:val="61E278CA"/>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1" w15:restartNumberingAfterBreak="0">
    <w:nsid w:val="719D7655"/>
    <w:multiLevelType w:val="hybridMultilevel"/>
    <w:tmpl w:val="AABA4F7E"/>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2" w15:restartNumberingAfterBreak="0">
    <w:nsid w:val="71C1448D"/>
    <w:multiLevelType w:val="hybridMultilevel"/>
    <w:tmpl w:val="25A69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3" w15:restartNumberingAfterBreak="0">
    <w:nsid w:val="71D43283"/>
    <w:multiLevelType w:val="hybridMultilevel"/>
    <w:tmpl w:val="62E09DA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4" w15:restartNumberingAfterBreak="0">
    <w:nsid w:val="722D0956"/>
    <w:multiLevelType w:val="hybridMultilevel"/>
    <w:tmpl w:val="C090DDEE"/>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95" w15:restartNumberingAfterBreak="0">
    <w:nsid w:val="72625B08"/>
    <w:multiLevelType w:val="hybridMultilevel"/>
    <w:tmpl w:val="F47A8D30"/>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6" w15:restartNumberingAfterBreak="0">
    <w:nsid w:val="72DC4505"/>
    <w:multiLevelType w:val="hybridMultilevel"/>
    <w:tmpl w:val="4502C0CC"/>
    <w:lvl w:ilvl="0" w:tplc="04090005">
      <w:start w:val="1"/>
      <w:numFmt w:val="bullet"/>
      <w:lvlText w:val=""/>
      <w:lvlJc w:val="left"/>
      <w:pPr>
        <w:ind w:left="1050" w:hanging="360"/>
      </w:pPr>
      <w:rPr>
        <w:rFonts w:ascii="Wingdings" w:hAnsi="Wingdings"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397" w15:restartNumberingAfterBreak="0">
    <w:nsid w:val="731777EB"/>
    <w:multiLevelType w:val="hybridMultilevel"/>
    <w:tmpl w:val="B140818E"/>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8" w15:restartNumberingAfterBreak="0">
    <w:nsid w:val="734B665B"/>
    <w:multiLevelType w:val="hybridMultilevel"/>
    <w:tmpl w:val="C4F46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9" w15:restartNumberingAfterBreak="0">
    <w:nsid w:val="73A264A2"/>
    <w:multiLevelType w:val="hybridMultilevel"/>
    <w:tmpl w:val="A9A83D4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0" w15:restartNumberingAfterBreak="0">
    <w:nsid w:val="73AF415B"/>
    <w:multiLevelType w:val="hybridMultilevel"/>
    <w:tmpl w:val="5322A6F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1" w15:restartNumberingAfterBreak="0">
    <w:nsid w:val="73C22697"/>
    <w:multiLevelType w:val="hybridMultilevel"/>
    <w:tmpl w:val="B41AEF7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2" w15:restartNumberingAfterBreak="0">
    <w:nsid w:val="7400025D"/>
    <w:multiLevelType w:val="hybridMultilevel"/>
    <w:tmpl w:val="9AF2A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3" w15:restartNumberingAfterBreak="0">
    <w:nsid w:val="7410681E"/>
    <w:multiLevelType w:val="hybridMultilevel"/>
    <w:tmpl w:val="161EFA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4" w15:restartNumberingAfterBreak="0">
    <w:nsid w:val="74582B30"/>
    <w:multiLevelType w:val="hybridMultilevel"/>
    <w:tmpl w:val="B4744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5" w15:restartNumberingAfterBreak="0">
    <w:nsid w:val="74C1639E"/>
    <w:multiLevelType w:val="hybridMultilevel"/>
    <w:tmpl w:val="FC68E452"/>
    <w:lvl w:ilvl="0" w:tplc="F6606D14">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6" w15:restartNumberingAfterBreak="0">
    <w:nsid w:val="758719E7"/>
    <w:multiLevelType w:val="hybridMultilevel"/>
    <w:tmpl w:val="CA6AC6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7" w15:restartNumberingAfterBreak="0">
    <w:nsid w:val="75EF3248"/>
    <w:multiLevelType w:val="hybridMultilevel"/>
    <w:tmpl w:val="C3D8B86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8" w15:restartNumberingAfterBreak="0">
    <w:nsid w:val="760202B1"/>
    <w:multiLevelType w:val="hybridMultilevel"/>
    <w:tmpl w:val="D5F846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9" w15:restartNumberingAfterBreak="0">
    <w:nsid w:val="764B627A"/>
    <w:multiLevelType w:val="hybridMultilevel"/>
    <w:tmpl w:val="69822BD0"/>
    <w:lvl w:ilvl="0" w:tplc="04090003">
      <w:start w:val="1"/>
      <w:numFmt w:val="bullet"/>
      <w:lvlText w:val="o"/>
      <w:lvlJc w:val="left"/>
      <w:pPr>
        <w:tabs>
          <w:tab w:val="num" w:pos="690"/>
        </w:tabs>
        <w:ind w:left="690" w:hanging="360"/>
      </w:pPr>
      <w:rPr>
        <w:rFonts w:ascii="Courier New" w:hAnsi="Courier New" w:cs="Courier New" w:hint="default"/>
      </w:rPr>
    </w:lvl>
    <w:lvl w:ilvl="1" w:tplc="04090005">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0" w15:restartNumberingAfterBreak="0">
    <w:nsid w:val="765D0E9F"/>
    <w:multiLevelType w:val="hybridMultilevel"/>
    <w:tmpl w:val="4A3E7E00"/>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1" w15:restartNumberingAfterBreak="0">
    <w:nsid w:val="766A1D0D"/>
    <w:multiLevelType w:val="hybridMultilevel"/>
    <w:tmpl w:val="8834B87C"/>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2" w15:restartNumberingAfterBreak="0">
    <w:nsid w:val="76752D07"/>
    <w:multiLevelType w:val="hybridMultilevel"/>
    <w:tmpl w:val="535C6FE2"/>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3" w15:restartNumberingAfterBreak="0">
    <w:nsid w:val="769F065F"/>
    <w:multiLevelType w:val="hybridMultilevel"/>
    <w:tmpl w:val="3AC4C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4" w15:restartNumberingAfterBreak="0">
    <w:nsid w:val="76B84763"/>
    <w:multiLevelType w:val="hybridMultilevel"/>
    <w:tmpl w:val="A8FC7306"/>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5" w15:restartNumberingAfterBreak="0">
    <w:nsid w:val="77456737"/>
    <w:multiLevelType w:val="hybridMultilevel"/>
    <w:tmpl w:val="D50CEB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6" w15:restartNumberingAfterBreak="0">
    <w:nsid w:val="77D62ED4"/>
    <w:multiLevelType w:val="multilevel"/>
    <w:tmpl w:val="78A4C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78B16906"/>
    <w:multiLevelType w:val="hybridMultilevel"/>
    <w:tmpl w:val="9C1C594E"/>
    <w:lvl w:ilvl="0" w:tplc="BC6E6746">
      <w:start w:val="1"/>
      <w:numFmt w:val="bullet"/>
      <w:lvlText w:val=""/>
      <w:legacy w:legacy="1" w:legacySpace="120" w:legacyIndent="360"/>
      <w:lvlJc w:val="left"/>
      <w:pPr>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8" w15:restartNumberingAfterBreak="0">
    <w:nsid w:val="78BA58D8"/>
    <w:multiLevelType w:val="hybridMultilevel"/>
    <w:tmpl w:val="34B692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9" w15:restartNumberingAfterBreak="0">
    <w:nsid w:val="78CA277D"/>
    <w:multiLevelType w:val="hybridMultilevel"/>
    <w:tmpl w:val="AD504246"/>
    <w:lvl w:ilvl="0" w:tplc="04090005">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0" w15:restartNumberingAfterBreak="0">
    <w:nsid w:val="78FE08BB"/>
    <w:multiLevelType w:val="hybridMultilevel"/>
    <w:tmpl w:val="5FF25CD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20"/>
        </w:tabs>
        <w:ind w:left="1420" w:hanging="360"/>
      </w:pPr>
      <w:rPr>
        <w:rFonts w:ascii="Courier New" w:hAnsi="Courier New" w:hint="default"/>
      </w:rPr>
    </w:lvl>
    <w:lvl w:ilvl="2" w:tplc="04090005" w:tentative="1">
      <w:start w:val="1"/>
      <w:numFmt w:val="bullet"/>
      <w:lvlText w:val=""/>
      <w:lvlJc w:val="left"/>
      <w:pPr>
        <w:tabs>
          <w:tab w:val="num" w:pos="2140"/>
        </w:tabs>
        <w:ind w:left="2140" w:hanging="360"/>
      </w:pPr>
      <w:rPr>
        <w:rFonts w:ascii="Wingdings" w:hAnsi="Wingdings" w:hint="default"/>
      </w:rPr>
    </w:lvl>
    <w:lvl w:ilvl="3" w:tplc="04090001" w:tentative="1">
      <w:start w:val="1"/>
      <w:numFmt w:val="bullet"/>
      <w:lvlText w:val=""/>
      <w:lvlJc w:val="left"/>
      <w:pPr>
        <w:tabs>
          <w:tab w:val="num" w:pos="2860"/>
        </w:tabs>
        <w:ind w:left="2860" w:hanging="360"/>
      </w:pPr>
      <w:rPr>
        <w:rFonts w:ascii="Symbol" w:hAnsi="Symbol" w:hint="default"/>
      </w:rPr>
    </w:lvl>
    <w:lvl w:ilvl="4" w:tplc="04090003" w:tentative="1">
      <w:start w:val="1"/>
      <w:numFmt w:val="bullet"/>
      <w:lvlText w:val="o"/>
      <w:lvlJc w:val="left"/>
      <w:pPr>
        <w:tabs>
          <w:tab w:val="num" w:pos="3580"/>
        </w:tabs>
        <w:ind w:left="3580" w:hanging="360"/>
      </w:pPr>
      <w:rPr>
        <w:rFonts w:ascii="Courier New" w:hAnsi="Courier New" w:hint="default"/>
      </w:rPr>
    </w:lvl>
    <w:lvl w:ilvl="5" w:tplc="04090005" w:tentative="1">
      <w:start w:val="1"/>
      <w:numFmt w:val="bullet"/>
      <w:lvlText w:val=""/>
      <w:lvlJc w:val="left"/>
      <w:pPr>
        <w:tabs>
          <w:tab w:val="num" w:pos="4300"/>
        </w:tabs>
        <w:ind w:left="4300" w:hanging="360"/>
      </w:pPr>
      <w:rPr>
        <w:rFonts w:ascii="Wingdings" w:hAnsi="Wingdings" w:hint="default"/>
      </w:rPr>
    </w:lvl>
    <w:lvl w:ilvl="6" w:tplc="04090001" w:tentative="1">
      <w:start w:val="1"/>
      <w:numFmt w:val="bullet"/>
      <w:lvlText w:val=""/>
      <w:lvlJc w:val="left"/>
      <w:pPr>
        <w:tabs>
          <w:tab w:val="num" w:pos="5020"/>
        </w:tabs>
        <w:ind w:left="5020" w:hanging="360"/>
      </w:pPr>
      <w:rPr>
        <w:rFonts w:ascii="Symbol" w:hAnsi="Symbol" w:hint="default"/>
      </w:rPr>
    </w:lvl>
    <w:lvl w:ilvl="7" w:tplc="04090003" w:tentative="1">
      <w:start w:val="1"/>
      <w:numFmt w:val="bullet"/>
      <w:lvlText w:val="o"/>
      <w:lvlJc w:val="left"/>
      <w:pPr>
        <w:tabs>
          <w:tab w:val="num" w:pos="5740"/>
        </w:tabs>
        <w:ind w:left="5740" w:hanging="360"/>
      </w:pPr>
      <w:rPr>
        <w:rFonts w:ascii="Courier New" w:hAnsi="Courier New" w:hint="default"/>
      </w:rPr>
    </w:lvl>
    <w:lvl w:ilvl="8" w:tplc="04090005" w:tentative="1">
      <w:start w:val="1"/>
      <w:numFmt w:val="bullet"/>
      <w:lvlText w:val=""/>
      <w:lvlJc w:val="left"/>
      <w:pPr>
        <w:tabs>
          <w:tab w:val="num" w:pos="6460"/>
        </w:tabs>
        <w:ind w:left="6460" w:hanging="360"/>
      </w:pPr>
      <w:rPr>
        <w:rFonts w:ascii="Wingdings" w:hAnsi="Wingdings" w:hint="default"/>
      </w:rPr>
    </w:lvl>
  </w:abstractNum>
  <w:abstractNum w:abstractNumId="421" w15:restartNumberingAfterBreak="0">
    <w:nsid w:val="797F3EBA"/>
    <w:multiLevelType w:val="hybridMultilevel"/>
    <w:tmpl w:val="5624F8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2" w15:restartNumberingAfterBreak="0">
    <w:nsid w:val="798657EC"/>
    <w:multiLevelType w:val="hybridMultilevel"/>
    <w:tmpl w:val="5A34F0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23" w15:restartNumberingAfterBreak="0">
    <w:nsid w:val="79C249BC"/>
    <w:multiLevelType w:val="hybridMultilevel"/>
    <w:tmpl w:val="E84652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4" w15:restartNumberingAfterBreak="0">
    <w:nsid w:val="7A001B85"/>
    <w:multiLevelType w:val="hybridMultilevel"/>
    <w:tmpl w:val="B1EAE88C"/>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5" w15:restartNumberingAfterBreak="0">
    <w:nsid w:val="7A13789B"/>
    <w:multiLevelType w:val="hybridMultilevel"/>
    <w:tmpl w:val="29FC1FC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6" w15:restartNumberingAfterBreak="0">
    <w:nsid w:val="7B361087"/>
    <w:multiLevelType w:val="hybridMultilevel"/>
    <w:tmpl w:val="CCC67A74"/>
    <w:lvl w:ilvl="0" w:tplc="28F834F0">
      <w:start w:val="1"/>
      <w:numFmt w:val="decimal"/>
      <w:lvlText w:val="%1."/>
      <w:lvlJc w:val="left"/>
      <w:pPr>
        <w:ind w:left="360" w:hanging="360"/>
      </w:pPr>
      <w:rPr>
        <w:strike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7" w15:restartNumberingAfterBreak="0">
    <w:nsid w:val="7B3F7FFA"/>
    <w:multiLevelType w:val="hybridMultilevel"/>
    <w:tmpl w:val="E69226B8"/>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8" w15:restartNumberingAfterBreak="0">
    <w:nsid w:val="7C580FF9"/>
    <w:multiLevelType w:val="hybridMultilevel"/>
    <w:tmpl w:val="FEAE157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9" w15:restartNumberingAfterBreak="0">
    <w:nsid w:val="7CE1076B"/>
    <w:multiLevelType w:val="hybridMultilevel"/>
    <w:tmpl w:val="4D1EF49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0" w15:restartNumberingAfterBreak="0">
    <w:nsid w:val="7DB97405"/>
    <w:multiLevelType w:val="hybridMultilevel"/>
    <w:tmpl w:val="8B548A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1" w15:restartNumberingAfterBreak="0">
    <w:nsid w:val="7DD950B8"/>
    <w:multiLevelType w:val="hybridMultilevel"/>
    <w:tmpl w:val="AEEC192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2" w15:restartNumberingAfterBreak="0">
    <w:nsid w:val="7E2478C1"/>
    <w:multiLevelType w:val="hybridMultilevel"/>
    <w:tmpl w:val="D2DA9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3" w15:restartNumberingAfterBreak="0">
    <w:nsid w:val="7E6C3682"/>
    <w:multiLevelType w:val="hybridMultilevel"/>
    <w:tmpl w:val="05DAD2CA"/>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4" w15:restartNumberingAfterBreak="0">
    <w:nsid w:val="7E72221E"/>
    <w:multiLevelType w:val="hybridMultilevel"/>
    <w:tmpl w:val="989AC3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5" w15:restartNumberingAfterBreak="0">
    <w:nsid w:val="7F2177D9"/>
    <w:multiLevelType w:val="multilevel"/>
    <w:tmpl w:val="04E4E7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7F2748B6"/>
    <w:multiLevelType w:val="hybridMultilevel"/>
    <w:tmpl w:val="52FE757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7" w15:restartNumberingAfterBreak="0">
    <w:nsid w:val="7F8F750F"/>
    <w:multiLevelType w:val="hybridMultilevel"/>
    <w:tmpl w:val="7472D074"/>
    <w:lvl w:ilvl="0" w:tplc="841247D4">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8" w15:restartNumberingAfterBreak="0">
    <w:nsid w:val="7FAD66F8"/>
    <w:multiLevelType w:val="hybridMultilevel"/>
    <w:tmpl w:val="27AC4BBE"/>
    <w:lvl w:ilvl="0" w:tplc="04090005">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abstractNumId w:val="1"/>
    <w:lvlOverride w:ilvl="0">
      <w:lvl w:ilvl="0">
        <w:start w:val="1"/>
        <w:numFmt w:val="bullet"/>
        <w:lvlText w:val=""/>
        <w:legacy w:legacy="1" w:legacySpace="120" w:legacyIndent="360"/>
        <w:lvlJc w:val="left"/>
        <w:pPr>
          <w:ind w:left="360" w:hanging="360"/>
        </w:pPr>
        <w:rPr>
          <w:rFonts w:ascii="Wingdings" w:hAnsi="Wingdings" w:hint="default"/>
        </w:rPr>
      </w:lvl>
    </w:lvlOverride>
  </w:num>
  <w:num w:numId="2">
    <w:abstractNumId w:val="1"/>
    <w:lvlOverride w:ilvl="0">
      <w:lvl w:ilvl="0">
        <w:start w:val="1"/>
        <w:numFmt w:val="bullet"/>
        <w:lvlText w:val=""/>
        <w:legacy w:legacy="1" w:legacySpace="120" w:legacyIndent="360"/>
        <w:lvlJc w:val="left"/>
        <w:pPr>
          <w:ind w:left="360" w:hanging="360"/>
        </w:pPr>
        <w:rPr>
          <w:rFonts w:ascii="Wingdings" w:hAnsi="Wingdings" w:hint="default"/>
        </w:rPr>
      </w:lvl>
    </w:lvlOverride>
  </w:num>
  <w:num w:numId="3">
    <w:abstractNumId w:val="383"/>
  </w:num>
  <w:num w:numId="4">
    <w:abstractNumId w:val="365"/>
  </w:num>
  <w:num w:numId="5">
    <w:abstractNumId w:val="199"/>
  </w:num>
  <w:num w:numId="6">
    <w:abstractNumId w:val="180"/>
  </w:num>
  <w:num w:numId="7">
    <w:abstractNumId w:val="247"/>
  </w:num>
  <w:num w:numId="8">
    <w:abstractNumId w:val="340"/>
  </w:num>
  <w:num w:numId="9">
    <w:abstractNumId w:val="423"/>
  </w:num>
  <w:num w:numId="10">
    <w:abstractNumId w:val="208"/>
  </w:num>
  <w:num w:numId="11">
    <w:abstractNumId w:val="274"/>
  </w:num>
  <w:num w:numId="12">
    <w:abstractNumId w:val="195"/>
  </w:num>
  <w:num w:numId="13">
    <w:abstractNumId w:val="238"/>
  </w:num>
  <w:num w:numId="14">
    <w:abstractNumId w:val="13"/>
  </w:num>
  <w:num w:numId="15">
    <w:abstractNumId w:val="49"/>
  </w:num>
  <w:num w:numId="16">
    <w:abstractNumId w:val="337"/>
  </w:num>
  <w:num w:numId="17">
    <w:abstractNumId w:val="17"/>
  </w:num>
  <w:num w:numId="18">
    <w:abstractNumId w:val="96"/>
  </w:num>
  <w:num w:numId="19">
    <w:abstractNumId w:val="259"/>
  </w:num>
  <w:num w:numId="20">
    <w:abstractNumId w:val="243"/>
  </w:num>
  <w:num w:numId="21">
    <w:abstractNumId w:val="56"/>
  </w:num>
  <w:num w:numId="22">
    <w:abstractNumId w:val="192"/>
  </w:num>
  <w:num w:numId="23">
    <w:abstractNumId w:val="107"/>
  </w:num>
  <w:num w:numId="24">
    <w:abstractNumId w:val="22"/>
  </w:num>
  <w:num w:numId="25">
    <w:abstractNumId w:val="344"/>
  </w:num>
  <w:num w:numId="26">
    <w:abstractNumId w:val="55"/>
  </w:num>
  <w:num w:numId="27">
    <w:abstractNumId w:val="8"/>
  </w:num>
  <w:num w:numId="28">
    <w:abstractNumId w:val="235"/>
  </w:num>
  <w:num w:numId="29">
    <w:abstractNumId w:val="425"/>
  </w:num>
  <w:num w:numId="30">
    <w:abstractNumId w:val="379"/>
  </w:num>
  <w:num w:numId="31">
    <w:abstractNumId w:val="220"/>
  </w:num>
  <w:num w:numId="32">
    <w:abstractNumId w:val="369"/>
  </w:num>
  <w:num w:numId="33">
    <w:abstractNumId w:val="427"/>
  </w:num>
  <w:num w:numId="34">
    <w:abstractNumId w:val="347"/>
  </w:num>
  <w:num w:numId="35">
    <w:abstractNumId w:val="339"/>
  </w:num>
  <w:num w:numId="36">
    <w:abstractNumId w:val="353"/>
  </w:num>
  <w:num w:numId="37">
    <w:abstractNumId w:val="182"/>
  </w:num>
  <w:num w:numId="38">
    <w:abstractNumId w:val="370"/>
  </w:num>
  <w:num w:numId="39">
    <w:abstractNumId w:val="2"/>
  </w:num>
  <w:num w:numId="40">
    <w:abstractNumId w:val="417"/>
  </w:num>
  <w:num w:numId="41">
    <w:abstractNumId w:val="120"/>
  </w:num>
  <w:num w:numId="42">
    <w:abstractNumId w:val="103"/>
  </w:num>
  <w:num w:numId="43">
    <w:abstractNumId w:val="405"/>
  </w:num>
  <w:num w:numId="44">
    <w:abstractNumId w:val="187"/>
  </w:num>
  <w:num w:numId="45">
    <w:abstractNumId w:val="62"/>
  </w:num>
  <w:num w:numId="46">
    <w:abstractNumId w:val="164"/>
  </w:num>
  <w:num w:numId="47">
    <w:abstractNumId w:val="139"/>
  </w:num>
  <w:num w:numId="48">
    <w:abstractNumId w:val="399"/>
  </w:num>
  <w:num w:numId="49">
    <w:abstractNumId w:val="123"/>
  </w:num>
  <w:num w:numId="50">
    <w:abstractNumId w:val="312"/>
  </w:num>
  <w:num w:numId="51">
    <w:abstractNumId w:val="45"/>
  </w:num>
  <w:num w:numId="52">
    <w:abstractNumId w:val="16"/>
  </w:num>
  <w:num w:numId="53">
    <w:abstractNumId w:val="266"/>
  </w:num>
  <w:num w:numId="54">
    <w:abstractNumId w:val="320"/>
  </w:num>
  <w:num w:numId="55">
    <w:abstractNumId w:val="67"/>
  </w:num>
  <w:num w:numId="56">
    <w:abstractNumId w:val="302"/>
  </w:num>
  <w:num w:numId="57">
    <w:abstractNumId w:val="229"/>
  </w:num>
  <w:num w:numId="58">
    <w:abstractNumId w:val="79"/>
  </w:num>
  <w:num w:numId="59">
    <w:abstractNumId w:val="321"/>
  </w:num>
  <w:num w:numId="60">
    <w:abstractNumId w:val="412"/>
  </w:num>
  <w:num w:numId="61">
    <w:abstractNumId w:val="246"/>
  </w:num>
  <w:num w:numId="62">
    <w:abstractNumId w:val="185"/>
  </w:num>
  <w:num w:numId="63">
    <w:abstractNumId w:val="174"/>
  </w:num>
  <w:num w:numId="64">
    <w:abstractNumId w:val="165"/>
  </w:num>
  <w:num w:numId="65">
    <w:abstractNumId w:val="309"/>
  </w:num>
  <w:num w:numId="66">
    <w:abstractNumId w:val="386"/>
  </w:num>
  <w:num w:numId="67">
    <w:abstractNumId w:val="118"/>
  </w:num>
  <w:num w:numId="68">
    <w:abstractNumId w:val="207"/>
  </w:num>
  <w:num w:numId="69">
    <w:abstractNumId w:val="230"/>
  </w:num>
  <w:num w:numId="70">
    <w:abstractNumId w:val="357"/>
  </w:num>
  <w:num w:numId="71">
    <w:abstractNumId w:val="33"/>
  </w:num>
  <w:num w:numId="72">
    <w:abstractNumId w:val="7"/>
  </w:num>
  <w:num w:numId="73">
    <w:abstractNumId w:val="51"/>
  </w:num>
  <w:num w:numId="74">
    <w:abstractNumId w:val="387"/>
  </w:num>
  <w:num w:numId="75">
    <w:abstractNumId w:val="374"/>
  </w:num>
  <w:num w:numId="76">
    <w:abstractNumId w:val="37"/>
  </w:num>
  <w:num w:numId="77">
    <w:abstractNumId w:val="256"/>
  </w:num>
  <w:num w:numId="78">
    <w:abstractNumId w:val="275"/>
  </w:num>
  <w:num w:numId="79">
    <w:abstractNumId w:val="395"/>
  </w:num>
  <w:num w:numId="80">
    <w:abstractNumId w:val="363"/>
  </w:num>
  <w:num w:numId="81">
    <w:abstractNumId w:val="225"/>
  </w:num>
  <w:num w:numId="82">
    <w:abstractNumId w:val="91"/>
  </w:num>
  <w:num w:numId="83">
    <w:abstractNumId w:val="262"/>
  </w:num>
  <w:num w:numId="84">
    <w:abstractNumId w:val="313"/>
  </w:num>
  <w:num w:numId="85">
    <w:abstractNumId w:val="113"/>
  </w:num>
  <w:num w:numId="86">
    <w:abstractNumId w:val="213"/>
  </w:num>
  <w:num w:numId="87">
    <w:abstractNumId w:val="172"/>
  </w:num>
  <w:num w:numId="88">
    <w:abstractNumId w:val="431"/>
  </w:num>
  <w:num w:numId="89">
    <w:abstractNumId w:val="327"/>
  </w:num>
  <w:num w:numId="90">
    <w:abstractNumId w:val="437"/>
  </w:num>
  <w:num w:numId="91">
    <w:abstractNumId w:val="87"/>
  </w:num>
  <w:num w:numId="92">
    <w:abstractNumId w:val="436"/>
  </w:num>
  <w:num w:numId="93">
    <w:abstractNumId w:val="70"/>
  </w:num>
  <w:num w:numId="94">
    <w:abstractNumId w:val="101"/>
  </w:num>
  <w:num w:numId="95">
    <w:abstractNumId w:val="352"/>
  </w:num>
  <w:num w:numId="96">
    <w:abstractNumId w:val="179"/>
  </w:num>
  <w:num w:numId="97">
    <w:abstractNumId w:val="4"/>
  </w:num>
  <w:num w:numId="98">
    <w:abstractNumId w:val="46"/>
  </w:num>
  <w:num w:numId="99">
    <w:abstractNumId w:val="269"/>
  </w:num>
  <w:num w:numId="100">
    <w:abstractNumId w:val="124"/>
  </w:num>
  <w:num w:numId="101">
    <w:abstractNumId w:val="115"/>
  </w:num>
  <w:num w:numId="102">
    <w:abstractNumId w:val="265"/>
  </w:num>
  <w:num w:numId="103">
    <w:abstractNumId w:val="186"/>
  </w:num>
  <w:num w:numId="104">
    <w:abstractNumId w:val="78"/>
  </w:num>
  <w:num w:numId="105">
    <w:abstractNumId w:val="251"/>
  </w:num>
  <w:num w:numId="106">
    <w:abstractNumId w:val="217"/>
  </w:num>
  <w:num w:numId="107">
    <w:abstractNumId w:val="137"/>
  </w:num>
  <w:num w:numId="108">
    <w:abstractNumId w:val="196"/>
  </w:num>
  <w:num w:numId="109">
    <w:abstractNumId w:val="19"/>
  </w:num>
  <w:num w:numId="110">
    <w:abstractNumId w:val="127"/>
  </w:num>
  <w:num w:numId="111">
    <w:abstractNumId w:val="367"/>
  </w:num>
  <w:num w:numId="112">
    <w:abstractNumId w:val="330"/>
  </w:num>
  <w:num w:numId="113">
    <w:abstractNumId w:val="433"/>
  </w:num>
  <w:num w:numId="114">
    <w:abstractNumId w:val="323"/>
  </w:num>
  <w:num w:numId="115">
    <w:abstractNumId w:val="203"/>
  </w:num>
  <w:num w:numId="116">
    <w:abstractNumId w:val="240"/>
  </w:num>
  <w:num w:numId="117">
    <w:abstractNumId w:val="234"/>
  </w:num>
  <w:num w:numId="118">
    <w:abstractNumId w:val="322"/>
  </w:num>
  <w:num w:numId="119">
    <w:abstractNumId w:val="224"/>
  </w:num>
  <w:num w:numId="120">
    <w:abstractNumId w:val="184"/>
  </w:num>
  <w:num w:numId="121">
    <w:abstractNumId w:val="59"/>
  </w:num>
  <w:num w:numId="122">
    <w:abstractNumId w:val="407"/>
  </w:num>
  <w:num w:numId="123">
    <w:abstractNumId w:val="326"/>
  </w:num>
  <w:num w:numId="124">
    <w:abstractNumId w:val="429"/>
  </w:num>
  <w:num w:numId="125">
    <w:abstractNumId w:val="377"/>
  </w:num>
  <w:num w:numId="126">
    <w:abstractNumId w:val="30"/>
  </w:num>
  <w:num w:numId="127">
    <w:abstractNumId w:val="85"/>
  </w:num>
  <w:num w:numId="128">
    <w:abstractNumId w:val="311"/>
  </w:num>
  <w:num w:numId="129">
    <w:abstractNumId w:val="254"/>
  </w:num>
  <w:num w:numId="130">
    <w:abstractNumId w:val="136"/>
  </w:num>
  <w:num w:numId="131">
    <w:abstractNumId w:val="153"/>
  </w:num>
  <w:num w:numId="132">
    <w:abstractNumId w:val="167"/>
  </w:num>
  <w:num w:numId="133">
    <w:abstractNumId w:val="239"/>
  </w:num>
  <w:num w:numId="134">
    <w:abstractNumId w:val="160"/>
  </w:num>
  <w:num w:numId="135">
    <w:abstractNumId w:val="245"/>
  </w:num>
  <w:num w:numId="136">
    <w:abstractNumId w:val="150"/>
  </w:num>
  <w:num w:numId="137">
    <w:abstractNumId w:val="126"/>
  </w:num>
  <w:num w:numId="138">
    <w:abstractNumId w:val="232"/>
  </w:num>
  <w:num w:numId="139">
    <w:abstractNumId w:val="420"/>
  </w:num>
  <w:num w:numId="140">
    <w:abstractNumId w:val="336"/>
  </w:num>
  <w:num w:numId="141">
    <w:abstractNumId w:val="145"/>
  </w:num>
  <w:num w:numId="142">
    <w:abstractNumId w:val="342"/>
  </w:num>
  <w:num w:numId="143">
    <w:abstractNumId w:val="102"/>
  </w:num>
  <w:num w:numId="144">
    <w:abstractNumId w:val="21"/>
  </w:num>
  <w:num w:numId="145">
    <w:abstractNumId w:val="215"/>
  </w:num>
  <w:num w:numId="146">
    <w:abstractNumId w:val="147"/>
  </w:num>
  <w:num w:numId="147">
    <w:abstractNumId w:val="189"/>
  </w:num>
  <w:num w:numId="148">
    <w:abstractNumId w:val="406"/>
  </w:num>
  <w:num w:numId="149">
    <w:abstractNumId w:val="97"/>
  </w:num>
  <w:num w:numId="150">
    <w:abstractNumId w:val="159"/>
  </w:num>
  <w:num w:numId="151">
    <w:abstractNumId w:val="111"/>
  </w:num>
  <w:num w:numId="152">
    <w:abstractNumId w:val="119"/>
  </w:num>
  <w:num w:numId="153">
    <w:abstractNumId w:val="52"/>
  </w:num>
  <w:num w:numId="154">
    <w:abstractNumId w:val="404"/>
  </w:num>
  <w:num w:numId="155">
    <w:abstractNumId w:val="384"/>
  </w:num>
  <w:num w:numId="156">
    <w:abstractNumId w:val="134"/>
  </w:num>
  <w:num w:numId="157">
    <w:abstractNumId w:val="282"/>
  </w:num>
  <w:num w:numId="158">
    <w:abstractNumId w:val="310"/>
  </w:num>
  <w:num w:numId="159">
    <w:abstractNumId w:val="178"/>
  </w:num>
  <w:num w:numId="160">
    <w:abstractNumId w:val="197"/>
  </w:num>
  <w:num w:numId="161">
    <w:abstractNumId w:val="135"/>
  </w:num>
  <w:num w:numId="162">
    <w:abstractNumId w:val="233"/>
  </w:num>
  <w:num w:numId="163">
    <w:abstractNumId w:val="285"/>
  </w:num>
  <w:num w:numId="164">
    <w:abstractNumId w:val="99"/>
  </w:num>
  <w:num w:numId="165">
    <w:abstractNumId w:val="324"/>
  </w:num>
  <w:num w:numId="166">
    <w:abstractNumId w:val="270"/>
  </w:num>
  <w:num w:numId="167">
    <w:abstractNumId w:val="34"/>
  </w:num>
  <w:num w:numId="168">
    <w:abstractNumId w:val="36"/>
  </w:num>
  <w:num w:numId="169">
    <w:abstractNumId w:val="288"/>
  </w:num>
  <w:num w:numId="170">
    <w:abstractNumId w:val="291"/>
  </w:num>
  <w:num w:numId="171">
    <w:abstractNumId w:val="181"/>
  </w:num>
  <w:num w:numId="172">
    <w:abstractNumId w:val="257"/>
  </w:num>
  <w:num w:numId="173">
    <w:abstractNumId w:val="18"/>
  </w:num>
  <w:num w:numId="174">
    <w:abstractNumId w:val="202"/>
  </w:num>
  <w:num w:numId="175">
    <w:abstractNumId w:val="98"/>
  </w:num>
  <w:num w:numId="176">
    <w:abstractNumId w:val="341"/>
  </w:num>
  <w:num w:numId="177">
    <w:abstractNumId w:val="176"/>
  </w:num>
  <w:num w:numId="178">
    <w:abstractNumId w:val="210"/>
  </w:num>
  <w:num w:numId="179">
    <w:abstractNumId w:val="345"/>
  </w:num>
  <w:num w:numId="180">
    <w:abstractNumId w:val="328"/>
  </w:num>
  <w:num w:numId="181">
    <w:abstractNumId w:val="401"/>
  </w:num>
  <w:num w:numId="182">
    <w:abstractNumId w:val="428"/>
  </w:num>
  <w:num w:numId="183">
    <w:abstractNumId w:val="155"/>
  </w:num>
  <w:num w:numId="184">
    <w:abstractNumId w:val="248"/>
  </w:num>
  <w:num w:numId="185">
    <w:abstractNumId w:val="373"/>
  </w:num>
  <w:num w:numId="186">
    <w:abstractNumId w:val="375"/>
  </w:num>
  <w:num w:numId="187">
    <w:abstractNumId w:val="316"/>
  </w:num>
  <w:num w:numId="188">
    <w:abstractNumId w:val="109"/>
  </w:num>
  <w:num w:numId="189">
    <w:abstractNumId w:val="393"/>
  </w:num>
  <w:num w:numId="190">
    <w:abstractNumId w:val="173"/>
  </w:num>
  <w:num w:numId="191">
    <w:abstractNumId w:val="236"/>
  </w:num>
  <w:num w:numId="192">
    <w:abstractNumId w:val="380"/>
  </w:num>
  <w:num w:numId="193">
    <w:abstractNumId w:val="382"/>
  </w:num>
  <w:num w:numId="194">
    <w:abstractNumId w:val="214"/>
  </w:num>
  <w:num w:numId="195">
    <w:abstractNumId w:val="130"/>
  </w:num>
  <w:num w:numId="196">
    <w:abstractNumId w:val="190"/>
  </w:num>
  <w:num w:numId="197">
    <w:abstractNumId w:val="403"/>
  </w:num>
  <w:num w:numId="198">
    <w:abstractNumId w:val="391"/>
  </w:num>
  <w:num w:numId="199">
    <w:abstractNumId w:val="255"/>
  </w:num>
  <w:num w:numId="200">
    <w:abstractNumId w:val="364"/>
  </w:num>
  <w:num w:numId="201">
    <w:abstractNumId w:val="273"/>
  </w:num>
  <w:num w:numId="202">
    <w:abstractNumId w:val="228"/>
  </w:num>
  <w:num w:numId="203">
    <w:abstractNumId w:val="281"/>
  </w:num>
  <w:num w:numId="204">
    <w:abstractNumId w:val="110"/>
  </w:num>
  <w:num w:numId="205">
    <w:abstractNumId w:val="356"/>
  </w:num>
  <w:num w:numId="206">
    <w:abstractNumId w:val="296"/>
  </w:num>
  <w:num w:numId="207">
    <w:abstractNumId w:val="0"/>
  </w:num>
  <w:num w:numId="208">
    <w:abstractNumId w:val="276"/>
  </w:num>
  <w:num w:numId="209">
    <w:abstractNumId w:val="116"/>
  </w:num>
  <w:num w:numId="210">
    <w:abstractNumId w:val="286"/>
  </w:num>
  <w:num w:numId="211">
    <w:abstractNumId w:val="249"/>
  </w:num>
  <w:num w:numId="212">
    <w:abstractNumId w:val="306"/>
  </w:num>
  <w:num w:numId="213">
    <w:abstractNumId w:val="114"/>
  </w:num>
  <w:num w:numId="214">
    <w:abstractNumId w:val="69"/>
  </w:num>
  <w:num w:numId="215">
    <w:abstractNumId w:val="3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112"/>
  </w:num>
  <w:num w:numId="217">
    <w:abstractNumId w:val="93"/>
  </w:num>
  <w:num w:numId="218">
    <w:abstractNumId w:val="74"/>
  </w:num>
  <w:num w:numId="219">
    <w:abstractNumId w:val="283"/>
  </w:num>
  <w:num w:numId="220">
    <w:abstractNumId w:val="83"/>
  </w:num>
  <w:num w:numId="221">
    <w:abstractNumId w:val="416"/>
  </w:num>
  <w:num w:numId="222">
    <w:abstractNumId w:val="346"/>
  </w:num>
  <w:num w:numId="223">
    <w:abstractNumId w:val="314"/>
  </w:num>
  <w:num w:numId="224">
    <w:abstractNumId w:val="318"/>
  </w:num>
  <w:num w:numId="225">
    <w:abstractNumId w:val="237"/>
  </w:num>
  <w:num w:numId="226">
    <w:abstractNumId w:val="177"/>
  </w:num>
  <w:num w:numId="227">
    <w:abstractNumId w:val="362"/>
  </w:num>
  <w:num w:numId="228">
    <w:abstractNumId w:val="392"/>
  </w:num>
  <w:num w:numId="229">
    <w:abstractNumId w:val="41"/>
  </w:num>
  <w:num w:numId="230">
    <w:abstractNumId w:val="86"/>
  </w:num>
  <w:num w:numId="231">
    <w:abstractNumId w:val="297"/>
  </w:num>
  <w:num w:numId="232">
    <w:abstractNumId w:val="402"/>
  </w:num>
  <w:num w:numId="233">
    <w:abstractNumId w:val="100"/>
  </w:num>
  <w:num w:numId="234">
    <w:abstractNumId w:val="408"/>
  </w:num>
  <w:num w:numId="235">
    <w:abstractNumId w:val="163"/>
  </w:num>
  <w:num w:numId="236">
    <w:abstractNumId w:val="23"/>
  </w:num>
  <w:num w:numId="237">
    <w:abstractNumId w:val="361"/>
  </w:num>
  <w:num w:numId="238">
    <w:abstractNumId w:val="348"/>
  </w:num>
  <w:num w:numId="239">
    <w:abstractNumId w:val="108"/>
  </w:num>
  <w:num w:numId="240">
    <w:abstractNumId w:val="414"/>
  </w:num>
  <w:num w:numId="241">
    <w:abstractNumId w:val="188"/>
  </w:num>
  <w:num w:numId="242">
    <w:abstractNumId w:val="331"/>
  </w:num>
  <w:num w:numId="243">
    <w:abstractNumId w:val="293"/>
  </w:num>
  <w:num w:numId="244">
    <w:abstractNumId w:val="125"/>
  </w:num>
  <w:num w:numId="245">
    <w:abstractNumId w:val="84"/>
  </w:num>
  <w:num w:numId="246">
    <w:abstractNumId w:val="332"/>
  </w:num>
  <w:num w:numId="247">
    <w:abstractNumId w:val="221"/>
  </w:num>
  <w:num w:numId="248">
    <w:abstractNumId w:val="47"/>
  </w:num>
  <w:num w:numId="249">
    <w:abstractNumId w:val="40"/>
  </w:num>
  <w:num w:numId="250">
    <w:abstractNumId w:val="421"/>
  </w:num>
  <w:num w:numId="251">
    <w:abstractNumId w:val="264"/>
  </w:num>
  <w:num w:numId="252">
    <w:abstractNumId w:val="194"/>
  </w:num>
  <w:num w:numId="253">
    <w:abstractNumId w:val="156"/>
  </w:num>
  <w:num w:numId="254">
    <w:abstractNumId w:val="48"/>
  </w:num>
  <w:num w:numId="255">
    <w:abstractNumId w:val="158"/>
  </w:num>
  <w:num w:numId="256">
    <w:abstractNumId w:val="166"/>
  </w:num>
  <w:num w:numId="257">
    <w:abstractNumId w:val="219"/>
  </w:num>
  <w:num w:numId="258">
    <w:abstractNumId w:val="3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9">
    <w:abstractNumId w:val="319"/>
  </w:num>
  <w:num w:numId="260">
    <w:abstractNumId w:val="9"/>
  </w:num>
  <w:num w:numId="261">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2">
    <w:abstractNumId w:val="191"/>
  </w:num>
  <w:num w:numId="263">
    <w:abstractNumId w:val="294"/>
  </w:num>
  <w:num w:numId="264">
    <w:abstractNumId w:val="343"/>
  </w:num>
  <w:num w:numId="265">
    <w:abstractNumId w:val="272"/>
  </w:num>
  <w:num w:numId="266">
    <w:abstractNumId w:val="152"/>
  </w:num>
  <w:num w:numId="267">
    <w:abstractNumId w:val="183"/>
  </w:num>
  <w:num w:numId="268">
    <w:abstractNumId w:val="44"/>
  </w:num>
  <w:num w:numId="269">
    <w:abstractNumId w:val="289"/>
  </w:num>
  <w:num w:numId="270">
    <w:abstractNumId w:val="80"/>
  </w:num>
  <w:num w:numId="271">
    <w:abstractNumId w:val="60"/>
  </w:num>
  <w:num w:numId="272">
    <w:abstractNumId w:val="143"/>
  </w:num>
  <w:num w:numId="273">
    <w:abstractNumId w:val="303"/>
  </w:num>
  <w:num w:numId="274">
    <w:abstractNumId w:val="299"/>
  </w:num>
  <w:num w:numId="275">
    <w:abstractNumId w:val="426"/>
  </w:num>
  <w:num w:numId="276">
    <w:abstractNumId w:val="106"/>
  </w:num>
  <w:num w:numId="277">
    <w:abstractNumId w:val="438"/>
  </w:num>
  <w:num w:numId="278">
    <w:abstractNumId w:val="81"/>
  </w:num>
  <w:num w:numId="279">
    <w:abstractNumId w:val="90"/>
  </w:num>
  <w:num w:numId="280">
    <w:abstractNumId w:val="250"/>
  </w:num>
  <w:num w:numId="281">
    <w:abstractNumId w:val="360"/>
  </w:num>
  <w:num w:numId="282">
    <w:abstractNumId w:val="358"/>
  </w:num>
  <w:num w:numId="283">
    <w:abstractNumId w:val="211"/>
  </w:num>
  <w:num w:numId="284">
    <w:abstractNumId w:val="280"/>
  </w:num>
  <w:num w:numId="285">
    <w:abstractNumId w:val="368"/>
  </w:num>
  <w:num w:numId="286">
    <w:abstractNumId w:val="277"/>
  </w:num>
  <w:num w:numId="287">
    <w:abstractNumId w:val="72"/>
  </w:num>
  <w:num w:numId="288">
    <w:abstractNumId w:val="171"/>
  </w:num>
  <w:num w:numId="289">
    <w:abstractNumId w:val="43"/>
  </w:num>
  <w:num w:numId="290">
    <w:abstractNumId w:val="31"/>
  </w:num>
  <w:num w:numId="291">
    <w:abstractNumId w:val="132"/>
  </w:num>
  <w:num w:numId="292">
    <w:abstractNumId w:val="28"/>
  </w:num>
  <w:num w:numId="293">
    <w:abstractNumId w:val="169"/>
  </w:num>
  <w:num w:numId="294">
    <w:abstractNumId w:val="142"/>
  </w:num>
  <w:num w:numId="295">
    <w:abstractNumId w:val="38"/>
  </w:num>
  <w:num w:numId="296">
    <w:abstractNumId w:val="435"/>
  </w:num>
  <w:num w:numId="297">
    <w:abstractNumId w:val="263"/>
  </w:num>
  <w:num w:numId="298">
    <w:abstractNumId w:val="3"/>
  </w:num>
  <w:num w:numId="299">
    <w:abstractNumId w:val="35"/>
  </w:num>
  <w:num w:numId="300">
    <w:abstractNumId w:val="204"/>
  </w:num>
  <w:num w:numId="301">
    <w:abstractNumId w:val="335"/>
  </w:num>
  <w:num w:numId="302">
    <w:abstractNumId w:val="68"/>
  </w:num>
  <w:num w:numId="303">
    <w:abstractNumId w:val="389"/>
  </w:num>
  <w:num w:numId="304">
    <w:abstractNumId w:val="315"/>
  </w:num>
  <w:num w:numId="305">
    <w:abstractNumId w:val="140"/>
  </w:num>
  <w:num w:numId="306">
    <w:abstractNumId w:val="42"/>
  </w:num>
  <w:num w:numId="307">
    <w:abstractNumId w:val="128"/>
  </w:num>
  <w:num w:numId="308">
    <w:abstractNumId w:val="372"/>
  </w:num>
  <w:num w:numId="309">
    <w:abstractNumId w:val="76"/>
  </w:num>
  <w:num w:numId="310">
    <w:abstractNumId w:val="149"/>
  </w:num>
  <w:num w:numId="311">
    <w:abstractNumId w:val="201"/>
  </w:num>
  <w:num w:numId="312">
    <w:abstractNumId w:val="317"/>
  </w:num>
  <w:num w:numId="313">
    <w:abstractNumId w:val="64"/>
  </w:num>
  <w:num w:numId="314">
    <w:abstractNumId w:val="381"/>
  </w:num>
  <w:num w:numId="315">
    <w:abstractNumId w:val="385"/>
  </w:num>
  <w:num w:numId="316">
    <w:abstractNumId w:val="329"/>
  </w:num>
  <w:num w:numId="317">
    <w:abstractNumId w:val="77"/>
  </w:num>
  <w:num w:numId="318">
    <w:abstractNumId w:val="218"/>
  </w:num>
  <w:num w:numId="319">
    <w:abstractNumId w:val="300"/>
  </w:num>
  <w:num w:numId="320">
    <w:abstractNumId w:val="131"/>
  </w:num>
  <w:num w:numId="321">
    <w:abstractNumId w:val="290"/>
  </w:num>
  <w:num w:numId="322">
    <w:abstractNumId w:val="398"/>
  </w:num>
  <w:num w:numId="323">
    <w:abstractNumId w:val="394"/>
  </w:num>
  <w:num w:numId="324">
    <w:abstractNumId w:val="146"/>
  </w:num>
  <w:num w:numId="325">
    <w:abstractNumId w:val="133"/>
  </w:num>
  <w:num w:numId="326">
    <w:abstractNumId w:val="260"/>
  </w:num>
  <w:num w:numId="327">
    <w:abstractNumId w:val="305"/>
  </w:num>
  <w:num w:numId="328">
    <w:abstractNumId w:val="419"/>
  </w:num>
  <w:num w:numId="329">
    <w:abstractNumId w:val="252"/>
  </w:num>
  <w:num w:numId="330">
    <w:abstractNumId w:val="258"/>
  </w:num>
  <w:num w:numId="331">
    <w:abstractNumId w:val="268"/>
  </w:num>
  <w:num w:numId="332">
    <w:abstractNumId w:val="193"/>
  </w:num>
  <w:num w:numId="333">
    <w:abstractNumId w:val="212"/>
  </w:num>
  <w:num w:numId="334">
    <w:abstractNumId w:val="390"/>
  </w:num>
  <w:num w:numId="335">
    <w:abstractNumId w:val="168"/>
  </w:num>
  <w:num w:numId="336">
    <w:abstractNumId w:val="121"/>
  </w:num>
  <w:num w:numId="337">
    <w:abstractNumId w:val="334"/>
  </w:num>
  <w:num w:numId="338">
    <w:abstractNumId w:val="198"/>
  </w:num>
  <w:num w:numId="339">
    <w:abstractNumId w:val="226"/>
  </w:num>
  <w:num w:numId="340">
    <w:abstractNumId w:val="284"/>
  </w:num>
  <w:num w:numId="341">
    <w:abstractNumId w:val="82"/>
  </w:num>
  <w:num w:numId="342">
    <w:abstractNumId w:val="241"/>
  </w:num>
  <w:num w:numId="343">
    <w:abstractNumId w:val="292"/>
  </w:num>
  <w:num w:numId="344">
    <w:abstractNumId w:val="154"/>
  </w:num>
  <w:num w:numId="345">
    <w:abstractNumId w:val="104"/>
  </w:num>
  <w:num w:numId="346">
    <w:abstractNumId w:val="66"/>
  </w:num>
  <w:num w:numId="347">
    <w:abstractNumId w:val="88"/>
  </w:num>
  <w:num w:numId="348">
    <w:abstractNumId w:val="61"/>
  </w:num>
  <w:num w:numId="349">
    <w:abstractNumId w:val="371"/>
  </w:num>
  <w:num w:numId="350">
    <w:abstractNumId w:val="366"/>
  </w:num>
  <w:num w:numId="351">
    <w:abstractNumId w:val="38"/>
  </w:num>
  <w:num w:numId="352">
    <w:abstractNumId w:val="2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3">
    <w:abstractNumId w:val="75"/>
  </w:num>
  <w:num w:numId="354">
    <w:abstractNumId w:val="338"/>
  </w:num>
  <w:num w:numId="355">
    <w:abstractNumId w:val="138"/>
  </w:num>
  <w:num w:numId="356">
    <w:abstractNumId w:val="20"/>
  </w:num>
  <w:num w:numId="357">
    <w:abstractNumId w:val="231"/>
  </w:num>
  <w:num w:numId="358">
    <w:abstractNumId w:val="129"/>
  </w:num>
  <w:num w:numId="35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0">
    <w:abstractNumId w:val="4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1">
    <w:abstractNumId w:val="27"/>
  </w:num>
  <w:num w:numId="362">
    <w:abstractNumId w:val="410"/>
  </w:num>
  <w:num w:numId="363">
    <w:abstractNumId w:val="415"/>
  </w:num>
  <w:num w:numId="364">
    <w:abstractNumId w:val="2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5">
    <w:abstractNumId w:val="418"/>
  </w:num>
  <w:num w:numId="366">
    <w:abstractNumId w:val="57"/>
  </w:num>
  <w:num w:numId="367">
    <w:abstractNumId w:val="227"/>
  </w:num>
  <w:num w:numId="368">
    <w:abstractNumId w:val="355"/>
  </w:num>
  <w:num w:numId="369">
    <w:abstractNumId w:val="359"/>
  </w:num>
  <w:num w:numId="370">
    <w:abstractNumId w:val="89"/>
  </w:num>
  <w:num w:numId="371">
    <w:abstractNumId w:val="50"/>
  </w:num>
  <w:num w:numId="372">
    <w:abstractNumId w:val="164"/>
  </w:num>
  <w:num w:numId="373">
    <w:abstractNumId w:val="65"/>
  </w:num>
  <w:num w:numId="374">
    <w:abstractNumId w:val="209"/>
  </w:num>
  <w:num w:numId="375">
    <w:abstractNumId w:val="261"/>
  </w:num>
  <w:num w:numId="376">
    <w:abstractNumId w:val="409"/>
  </w:num>
  <w:num w:numId="377">
    <w:abstractNumId w:val="39"/>
  </w:num>
  <w:num w:numId="378">
    <w:abstractNumId w:val="12"/>
  </w:num>
  <w:num w:numId="379">
    <w:abstractNumId w:val="400"/>
  </w:num>
  <w:num w:numId="380">
    <w:abstractNumId w:val="242"/>
  </w:num>
  <w:num w:numId="381">
    <w:abstractNumId w:val="430"/>
  </w:num>
  <w:num w:numId="382">
    <w:abstractNumId w:val="157"/>
  </w:num>
  <w:num w:numId="383">
    <w:abstractNumId w:val="413"/>
  </w:num>
  <w:num w:numId="384">
    <w:abstractNumId w:val="92"/>
  </w:num>
  <w:num w:numId="385">
    <w:abstractNumId w:val="71"/>
  </w:num>
  <w:num w:numId="386">
    <w:abstractNumId w:val="144"/>
  </w:num>
  <w:num w:numId="387">
    <w:abstractNumId w:val="122"/>
  </w:num>
  <w:num w:numId="388">
    <w:abstractNumId w:val="216"/>
  </w:num>
  <w:num w:numId="389">
    <w:abstractNumId w:val="200"/>
  </w:num>
  <w:num w:numId="390">
    <w:abstractNumId w:val="206"/>
  </w:num>
  <w:num w:numId="391">
    <w:abstractNumId w:val="349"/>
  </w:num>
  <w:num w:numId="392">
    <w:abstractNumId w:val="29"/>
  </w:num>
  <w:num w:numId="393">
    <w:abstractNumId w:val="58"/>
  </w:num>
  <w:num w:numId="394">
    <w:abstractNumId w:val="54"/>
  </w:num>
  <w:num w:numId="395">
    <w:abstractNumId w:val="25"/>
  </w:num>
  <w:num w:numId="396">
    <w:abstractNumId w:val="26"/>
  </w:num>
  <w:num w:numId="397">
    <w:abstractNumId w:val="117"/>
  </w:num>
  <w:num w:numId="398">
    <w:abstractNumId w:val="325"/>
  </w:num>
  <w:num w:numId="399">
    <w:abstractNumId w:val="11"/>
  </w:num>
  <w:num w:numId="400">
    <w:abstractNumId w:val="267"/>
  </w:num>
  <w:num w:numId="401">
    <w:abstractNumId w:val="271"/>
  </w:num>
  <w:num w:numId="402">
    <w:abstractNumId w:val="422"/>
  </w:num>
  <w:num w:numId="403">
    <w:abstractNumId w:val="170"/>
  </w:num>
  <w:num w:numId="404">
    <w:abstractNumId w:val="308"/>
  </w:num>
  <w:num w:numId="405">
    <w:abstractNumId w:val="244"/>
  </w:num>
  <w:num w:numId="406">
    <w:abstractNumId w:val="333"/>
  </w:num>
  <w:num w:numId="407">
    <w:abstractNumId w:val="301"/>
  </w:num>
  <w:num w:numId="408">
    <w:abstractNumId w:val="95"/>
  </w:num>
  <w:num w:numId="409">
    <w:abstractNumId w:val="434"/>
  </w:num>
  <w:num w:numId="410">
    <w:abstractNumId w:val="94"/>
  </w:num>
  <w:num w:numId="411">
    <w:abstractNumId w:val="304"/>
  </w:num>
  <w:num w:numId="412">
    <w:abstractNumId w:val="295"/>
  </w:num>
  <w:num w:numId="413">
    <w:abstractNumId w:val="354"/>
  </w:num>
  <w:num w:numId="414">
    <w:abstractNumId w:val="148"/>
  </w:num>
  <w:num w:numId="415">
    <w:abstractNumId w:val="223"/>
  </w:num>
  <w:num w:numId="416">
    <w:abstractNumId w:val="378"/>
  </w:num>
  <w:num w:numId="417">
    <w:abstractNumId w:val="287"/>
  </w:num>
  <w:num w:numId="418">
    <w:abstractNumId w:val="63"/>
  </w:num>
  <w:num w:numId="419">
    <w:abstractNumId w:val="6"/>
  </w:num>
  <w:num w:numId="420">
    <w:abstractNumId w:val="15"/>
  </w:num>
  <w:num w:numId="421">
    <w:abstractNumId w:val="175"/>
  </w:num>
  <w:num w:numId="422">
    <w:abstractNumId w:val="14"/>
  </w:num>
  <w:num w:numId="423">
    <w:abstractNumId w:val="307"/>
  </w:num>
  <w:num w:numId="424">
    <w:abstractNumId w:val="278"/>
  </w:num>
  <w:num w:numId="425">
    <w:abstractNumId w:val="32"/>
  </w:num>
  <w:num w:numId="426">
    <w:abstractNumId w:val="396"/>
  </w:num>
  <w:num w:numId="427">
    <w:abstractNumId w:val="253"/>
  </w:num>
  <w:num w:numId="428">
    <w:abstractNumId w:val="151"/>
  </w:num>
  <w:num w:numId="429">
    <w:abstractNumId w:val="422"/>
  </w:num>
  <w:num w:numId="430">
    <w:abstractNumId w:val="161"/>
  </w:num>
  <w:num w:numId="431">
    <w:abstractNumId w:val="397"/>
  </w:num>
  <w:num w:numId="432">
    <w:abstractNumId w:val="351"/>
  </w:num>
  <w:num w:numId="433">
    <w:abstractNumId w:val="24"/>
  </w:num>
  <w:num w:numId="434">
    <w:abstractNumId w:val="411"/>
  </w:num>
  <w:num w:numId="435">
    <w:abstractNumId w:val="73"/>
  </w:num>
  <w:num w:numId="436">
    <w:abstractNumId w:val="279"/>
  </w:num>
  <w:num w:numId="437">
    <w:abstractNumId w:val="388"/>
  </w:num>
  <w:num w:numId="438">
    <w:abstractNumId w:val="53"/>
  </w:num>
  <w:num w:numId="439">
    <w:abstractNumId w:val="205"/>
  </w:num>
  <w:num w:numId="440">
    <w:abstractNumId w:val="105"/>
  </w:num>
  <w:num w:numId="441">
    <w:abstractNumId w:val="162"/>
  </w:num>
  <w:num w:numId="442">
    <w:abstractNumId w:val="3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3">
    <w:abstractNumId w:val="5"/>
  </w:num>
  <w:num w:numId="444">
    <w:abstractNumId w:val="432"/>
  </w:num>
  <w:numIdMacAtCleanup w:val="4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doNotHyphenateCaps/>
  <w:drawingGridHorizontalSpacing w:val="100"/>
  <w:drawingGridVerticalSpacing w:val="136"/>
  <w:displayHorizontalDrawingGridEvery w:val="2"/>
  <w:displayVerticalDrawingGridEvery w:val="0"/>
  <w:doNotShadeFormData/>
  <w:noPunctuationKerning/>
  <w:characterSpacingControl w:val="doNotCompress"/>
  <w:hdrShapeDefaults>
    <o:shapedefaults v:ext="edit" spidmax="2049"/>
  </w:hdrShapeDefaults>
  <w:footnotePr>
    <w:numRestart w:val="eachSect"/>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6D2"/>
    <w:rsid w:val="00000765"/>
    <w:rsid w:val="00000847"/>
    <w:rsid w:val="00000E48"/>
    <w:rsid w:val="00001079"/>
    <w:rsid w:val="0000153A"/>
    <w:rsid w:val="00001700"/>
    <w:rsid w:val="00001770"/>
    <w:rsid w:val="00001FA1"/>
    <w:rsid w:val="00002033"/>
    <w:rsid w:val="0000228F"/>
    <w:rsid w:val="000022A0"/>
    <w:rsid w:val="000024CA"/>
    <w:rsid w:val="00002823"/>
    <w:rsid w:val="000029BE"/>
    <w:rsid w:val="000029C8"/>
    <w:rsid w:val="00002C1F"/>
    <w:rsid w:val="000039FA"/>
    <w:rsid w:val="00003C69"/>
    <w:rsid w:val="0000401C"/>
    <w:rsid w:val="0000409E"/>
    <w:rsid w:val="0000414C"/>
    <w:rsid w:val="00004458"/>
    <w:rsid w:val="00004902"/>
    <w:rsid w:val="00004DEB"/>
    <w:rsid w:val="0000520C"/>
    <w:rsid w:val="0000530B"/>
    <w:rsid w:val="00005719"/>
    <w:rsid w:val="000059A3"/>
    <w:rsid w:val="000069F0"/>
    <w:rsid w:val="0000722F"/>
    <w:rsid w:val="000072A4"/>
    <w:rsid w:val="00010FA6"/>
    <w:rsid w:val="00010FD0"/>
    <w:rsid w:val="00011011"/>
    <w:rsid w:val="000113AC"/>
    <w:rsid w:val="000119BF"/>
    <w:rsid w:val="00011E5C"/>
    <w:rsid w:val="00012417"/>
    <w:rsid w:val="000126A7"/>
    <w:rsid w:val="000133C0"/>
    <w:rsid w:val="0001375D"/>
    <w:rsid w:val="00013955"/>
    <w:rsid w:val="00013EB8"/>
    <w:rsid w:val="00014142"/>
    <w:rsid w:val="0001466A"/>
    <w:rsid w:val="00014685"/>
    <w:rsid w:val="000146CC"/>
    <w:rsid w:val="00014883"/>
    <w:rsid w:val="000148D5"/>
    <w:rsid w:val="00014A8C"/>
    <w:rsid w:val="0001502A"/>
    <w:rsid w:val="000150A9"/>
    <w:rsid w:val="00015112"/>
    <w:rsid w:val="00015161"/>
    <w:rsid w:val="0001575C"/>
    <w:rsid w:val="00015F22"/>
    <w:rsid w:val="00015FF4"/>
    <w:rsid w:val="00016D60"/>
    <w:rsid w:val="00017259"/>
    <w:rsid w:val="0001727C"/>
    <w:rsid w:val="000174C6"/>
    <w:rsid w:val="00017884"/>
    <w:rsid w:val="00017979"/>
    <w:rsid w:val="00017B2A"/>
    <w:rsid w:val="00020865"/>
    <w:rsid w:val="00020979"/>
    <w:rsid w:val="000210BC"/>
    <w:rsid w:val="00021415"/>
    <w:rsid w:val="00021618"/>
    <w:rsid w:val="00021A34"/>
    <w:rsid w:val="0002246D"/>
    <w:rsid w:val="00022B4F"/>
    <w:rsid w:val="00023BAD"/>
    <w:rsid w:val="000242AE"/>
    <w:rsid w:val="0002440C"/>
    <w:rsid w:val="000244E0"/>
    <w:rsid w:val="00025078"/>
    <w:rsid w:val="000255BE"/>
    <w:rsid w:val="00025DAE"/>
    <w:rsid w:val="000262FA"/>
    <w:rsid w:val="00026455"/>
    <w:rsid w:val="000265C9"/>
    <w:rsid w:val="0002677A"/>
    <w:rsid w:val="000267F7"/>
    <w:rsid w:val="00026AFC"/>
    <w:rsid w:val="00026F2E"/>
    <w:rsid w:val="00026FA9"/>
    <w:rsid w:val="00027F7A"/>
    <w:rsid w:val="00030137"/>
    <w:rsid w:val="00030335"/>
    <w:rsid w:val="00030AE3"/>
    <w:rsid w:val="00030B4E"/>
    <w:rsid w:val="00030B5A"/>
    <w:rsid w:val="0003111F"/>
    <w:rsid w:val="0003280A"/>
    <w:rsid w:val="00032C85"/>
    <w:rsid w:val="00032E30"/>
    <w:rsid w:val="000335C6"/>
    <w:rsid w:val="0003392B"/>
    <w:rsid w:val="00033FDF"/>
    <w:rsid w:val="000342D4"/>
    <w:rsid w:val="00034779"/>
    <w:rsid w:val="00034CBA"/>
    <w:rsid w:val="00035125"/>
    <w:rsid w:val="0003576A"/>
    <w:rsid w:val="000358EA"/>
    <w:rsid w:val="00035CB4"/>
    <w:rsid w:val="00035DE6"/>
    <w:rsid w:val="000361FB"/>
    <w:rsid w:val="00037363"/>
    <w:rsid w:val="00037509"/>
    <w:rsid w:val="000376DF"/>
    <w:rsid w:val="000379A9"/>
    <w:rsid w:val="000379AD"/>
    <w:rsid w:val="00037A0B"/>
    <w:rsid w:val="00037A17"/>
    <w:rsid w:val="00037BBC"/>
    <w:rsid w:val="00037E9C"/>
    <w:rsid w:val="00037EE2"/>
    <w:rsid w:val="0004034D"/>
    <w:rsid w:val="00040476"/>
    <w:rsid w:val="000406DA"/>
    <w:rsid w:val="00040A3C"/>
    <w:rsid w:val="00040AD4"/>
    <w:rsid w:val="000411B7"/>
    <w:rsid w:val="000415F0"/>
    <w:rsid w:val="0004196F"/>
    <w:rsid w:val="0004206E"/>
    <w:rsid w:val="000422FC"/>
    <w:rsid w:val="00042407"/>
    <w:rsid w:val="0004245D"/>
    <w:rsid w:val="00042E02"/>
    <w:rsid w:val="00042F5B"/>
    <w:rsid w:val="00043546"/>
    <w:rsid w:val="00043749"/>
    <w:rsid w:val="00043767"/>
    <w:rsid w:val="00043B7E"/>
    <w:rsid w:val="00043D36"/>
    <w:rsid w:val="00043DFD"/>
    <w:rsid w:val="000444CC"/>
    <w:rsid w:val="00044D40"/>
    <w:rsid w:val="00044E94"/>
    <w:rsid w:val="000452CA"/>
    <w:rsid w:val="000454C6"/>
    <w:rsid w:val="0004559D"/>
    <w:rsid w:val="000460C8"/>
    <w:rsid w:val="000460CE"/>
    <w:rsid w:val="000460E7"/>
    <w:rsid w:val="00046609"/>
    <w:rsid w:val="00046B16"/>
    <w:rsid w:val="00046FFA"/>
    <w:rsid w:val="00047653"/>
    <w:rsid w:val="000477F3"/>
    <w:rsid w:val="00047883"/>
    <w:rsid w:val="00050499"/>
    <w:rsid w:val="000505C8"/>
    <w:rsid w:val="00050865"/>
    <w:rsid w:val="00050905"/>
    <w:rsid w:val="00050A3C"/>
    <w:rsid w:val="00050B42"/>
    <w:rsid w:val="00050C64"/>
    <w:rsid w:val="00050E1A"/>
    <w:rsid w:val="00052878"/>
    <w:rsid w:val="00052A53"/>
    <w:rsid w:val="00052B3D"/>
    <w:rsid w:val="00052EDD"/>
    <w:rsid w:val="00053450"/>
    <w:rsid w:val="000539C5"/>
    <w:rsid w:val="00053DDB"/>
    <w:rsid w:val="0005465F"/>
    <w:rsid w:val="0005472B"/>
    <w:rsid w:val="00054B8A"/>
    <w:rsid w:val="00054BF3"/>
    <w:rsid w:val="00054DF1"/>
    <w:rsid w:val="00054E82"/>
    <w:rsid w:val="0005546A"/>
    <w:rsid w:val="00055529"/>
    <w:rsid w:val="0005558C"/>
    <w:rsid w:val="00055A6D"/>
    <w:rsid w:val="00055A89"/>
    <w:rsid w:val="00055F2D"/>
    <w:rsid w:val="000568C4"/>
    <w:rsid w:val="000569C4"/>
    <w:rsid w:val="00056DFA"/>
    <w:rsid w:val="00057598"/>
    <w:rsid w:val="00057776"/>
    <w:rsid w:val="000601BB"/>
    <w:rsid w:val="00060507"/>
    <w:rsid w:val="0006054C"/>
    <w:rsid w:val="000609DE"/>
    <w:rsid w:val="00060B8E"/>
    <w:rsid w:val="00060CBF"/>
    <w:rsid w:val="00060ED5"/>
    <w:rsid w:val="00061340"/>
    <w:rsid w:val="00061434"/>
    <w:rsid w:val="00061C66"/>
    <w:rsid w:val="0006213F"/>
    <w:rsid w:val="00062192"/>
    <w:rsid w:val="0006289D"/>
    <w:rsid w:val="00062A01"/>
    <w:rsid w:val="00062DD3"/>
    <w:rsid w:val="0006354D"/>
    <w:rsid w:val="00063932"/>
    <w:rsid w:val="00063A5C"/>
    <w:rsid w:val="00063DE3"/>
    <w:rsid w:val="00063ECB"/>
    <w:rsid w:val="00064738"/>
    <w:rsid w:val="000649E4"/>
    <w:rsid w:val="00064B9F"/>
    <w:rsid w:val="000650CB"/>
    <w:rsid w:val="0006516F"/>
    <w:rsid w:val="00065F4F"/>
    <w:rsid w:val="00066546"/>
    <w:rsid w:val="00066584"/>
    <w:rsid w:val="00066B6E"/>
    <w:rsid w:val="00067341"/>
    <w:rsid w:val="000674FA"/>
    <w:rsid w:val="00067948"/>
    <w:rsid w:val="00067C74"/>
    <w:rsid w:val="0007050D"/>
    <w:rsid w:val="0007052D"/>
    <w:rsid w:val="00070A97"/>
    <w:rsid w:val="00070D23"/>
    <w:rsid w:val="00070D5C"/>
    <w:rsid w:val="00070F78"/>
    <w:rsid w:val="000721BA"/>
    <w:rsid w:val="00072754"/>
    <w:rsid w:val="000727E5"/>
    <w:rsid w:val="00072A93"/>
    <w:rsid w:val="00072B26"/>
    <w:rsid w:val="00072D3D"/>
    <w:rsid w:val="00072EE4"/>
    <w:rsid w:val="000735FC"/>
    <w:rsid w:val="000738A5"/>
    <w:rsid w:val="00074771"/>
    <w:rsid w:val="0007495E"/>
    <w:rsid w:val="000754A4"/>
    <w:rsid w:val="000754AA"/>
    <w:rsid w:val="0007570C"/>
    <w:rsid w:val="00075CA7"/>
    <w:rsid w:val="00075DB3"/>
    <w:rsid w:val="00075E57"/>
    <w:rsid w:val="00076309"/>
    <w:rsid w:val="00076570"/>
    <w:rsid w:val="0007669E"/>
    <w:rsid w:val="00077042"/>
    <w:rsid w:val="000771E8"/>
    <w:rsid w:val="00077725"/>
    <w:rsid w:val="00080094"/>
    <w:rsid w:val="0008057F"/>
    <w:rsid w:val="000806C8"/>
    <w:rsid w:val="000808C4"/>
    <w:rsid w:val="00080B6D"/>
    <w:rsid w:val="00080BAA"/>
    <w:rsid w:val="00081791"/>
    <w:rsid w:val="00081AEC"/>
    <w:rsid w:val="00082113"/>
    <w:rsid w:val="00082A59"/>
    <w:rsid w:val="00082FF3"/>
    <w:rsid w:val="000832B5"/>
    <w:rsid w:val="00083611"/>
    <w:rsid w:val="00083D88"/>
    <w:rsid w:val="00083F25"/>
    <w:rsid w:val="00084011"/>
    <w:rsid w:val="000845E5"/>
    <w:rsid w:val="00084E01"/>
    <w:rsid w:val="00084F84"/>
    <w:rsid w:val="0008522B"/>
    <w:rsid w:val="0008526C"/>
    <w:rsid w:val="00086319"/>
    <w:rsid w:val="0008678A"/>
    <w:rsid w:val="0008685E"/>
    <w:rsid w:val="00086A62"/>
    <w:rsid w:val="00086FF9"/>
    <w:rsid w:val="00087A44"/>
    <w:rsid w:val="00087A55"/>
    <w:rsid w:val="00090951"/>
    <w:rsid w:val="0009150F"/>
    <w:rsid w:val="00091B0E"/>
    <w:rsid w:val="00091B8E"/>
    <w:rsid w:val="000920B3"/>
    <w:rsid w:val="0009232B"/>
    <w:rsid w:val="0009234B"/>
    <w:rsid w:val="000925C7"/>
    <w:rsid w:val="00092FF7"/>
    <w:rsid w:val="000933DB"/>
    <w:rsid w:val="00093F7D"/>
    <w:rsid w:val="000949BB"/>
    <w:rsid w:val="00094A25"/>
    <w:rsid w:val="00094D68"/>
    <w:rsid w:val="00095165"/>
    <w:rsid w:val="000958A1"/>
    <w:rsid w:val="0009599C"/>
    <w:rsid w:val="00095EC5"/>
    <w:rsid w:val="000961BA"/>
    <w:rsid w:val="00096229"/>
    <w:rsid w:val="0009727B"/>
    <w:rsid w:val="00097EEA"/>
    <w:rsid w:val="000A030C"/>
    <w:rsid w:val="000A0468"/>
    <w:rsid w:val="000A0871"/>
    <w:rsid w:val="000A15E1"/>
    <w:rsid w:val="000A19F0"/>
    <w:rsid w:val="000A1B03"/>
    <w:rsid w:val="000A1C0E"/>
    <w:rsid w:val="000A206A"/>
    <w:rsid w:val="000A2989"/>
    <w:rsid w:val="000A2BCF"/>
    <w:rsid w:val="000A30D4"/>
    <w:rsid w:val="000A31FF"/>
    <w:rsid w:val="000A3315"/>
    <w:rsid w:val="000A3330"/>
    <w:rsid w:val="000A33FE"/>
    <w:rsid w:val="000A3C22"/>
    <w:rsid w:val="000A3D6F"/>
    <w:rsid w:val="000A4C63"/>
    <w:rsid w:val="000A5349"/>
    <w:rsid w:val="000A57BB"/>
    <w:rsid w:val="000A5809"/>
    <w:rsid w:val="000A5B34"/>
    <w:rsid w:val="000A5C56"/>
    <w:rsid w:val="000A615C"/>
    <w:rsid w:val="000A68D6"/>
    <w:rsid w:val="000A6DF0"/>
    <w:rsid w:val="000A6EA7"/>
    <w:rsid w:val="000A71B2"/>
    <w:rsid w:val="000A73E4"/>
    <w:rsid w:val="000A7680"/>
    <w:rsid w:val="000A7731"/>
    <w:rsid w:val="000A7ABF"/>
    <w:rsid w:val="000A7ACD"/>
    <w:rsid w:val="000A7C31"/>
    <w:rsid w:val="000B0798"/>
    <w:rsid w:val="000B0DDA"/>
    <w:rsid w:val="000B0ECB"/>
    <w:rsid w:val="000B10A4"/>
    <w:rsid w:val="000B1133"/>
    <w:rsid w:val="000B15B1"/>
    <w:rsid w:val="000B1A91"/>
    <w:rsid w:val="000B1C38"/>
    <w:rsid w:val="000B1E7B"/>
    <w:rsid w:val="000B1E7C"/>
    <w:rsid w:val="000B2458"/>
    <w:rsid w:val="000B2D3A"/>
    <w:rsid w:val="000B32A1"/>
    <w:rsid w:val="000B4400"/>
    <w:rsid w:val="000B4512"/>
    <w:rsid w:val="000B598E"/>
    <w:rsid w:val="000B600A"/>
    <w:rsid w:val="000B6429"/>
    <w:rsid w:val="000B68B5"/>
    <w:rsid w:val="000B69CA"/>
    <w:rsid w:val="000B6F72"/>
    <w:rsid w:val="000B708C"/>
    <w:rsid w:val="000B73BC"/>
    <w:rsid w:val="000B7781"/>
    <w:rsid w:val="000B78D9"/>
    <w:rsid w:val="000B79A7"/>
    <w:rsid w:val="000B7FAC"/>
    <w:rsid w:val="000C09CE"/>
    <w:rsid w:val="000C0A40"/>
    <w:rsid w:val="000C1267"/>
    <w:rsid w:val="000C170B"/>
    <w:rsid w:val="000C17D7"/>
    <w:rsid w:val="000C2155"/>
    <w:rsid w:val="000C4063"/>
    <w:rsid w:val="000C4474"/>
    <w:rsid w:val="000C4918"/>
    <w:rsid w:val="000C50A0"/>
    <w:rsid w:val="000C548B"/>
    <w:rsid w:val="000C54A1"/>
    <w:rsid w:val="000C6521"/>
    <w:rsid w:val="000C6572"/>
    <w:rsid w:val="000C6D62"/>
    <w:rsid w:val="000C7352"/>
    <w:rsid w:val="000C7571"/>
    <w:rsid w:val="000C7B9B"/>
    <w:rsid w:val="000C7BFA"/>
    <w:rsid w:val="000C7C06"/>
    <w:rsid w:val="000C7E7B"/>
    <w:rsid w:val="000D03D8"/>
    <w:rsid w:val="000D066C"/>
    <w:rsid w:val="000D098A"/>
    <w:rsid w:val="000D1D67"/>
    <w:rsid w:val="000D1FD3"/>
    <w:rsid w:val="000D1FE8"/>
    <w:rsid w:val="000D205E"/>
    <w:rsid w:val="000D21A6"/>
    <w:rsid w:val="000D2A6E"/>
    <w:rsid w:val="000D2EB8"/>
    <w:rsid w:val="000D2EC2"/>
    <w:rsid w:val="000D3716"/>
    <w:rsid w:val="000D37A3"/>
    <w:rsid w:val="000D4E7B"/>
    <w:rsid w:val="000D4F70"/>
    <w:rsid w:val="000D5145"/>
    <w:rsid w:val="000D568D"/>
    <w:rsid w:val="000D5FE3"/>
    <w:rsid w:val="000D64E3"/>
    <w:rsid w:val="000D6C7D"/>
    <w:rsid w:val="000D7179"/>
    <w:rsid w:val="000D7821"/>
    <w:rsid w:val="000D79BC"/>
    <w:rsid w:val="000D7D75"/>
    <w:rsid w:val="000D7E6D"/>
    <w:rsid w:val="000E0B45"/>
    <w:rsid w:val="000E0D74"/>
    <w:rsid w:val="000E1004"/>
    <w:rsid w:val="000E127A"/>
    <w:rsid w:val="000E1337"/>
    <w:rsid w:val="000E1D4E"/>
    <w:rsid w:val="000E1F23"/>
    <w:rsid w:val="000E209B"/>
    <w:rsid w:val="000E2198"/>
    <w:rsid w:val="000E2E8C"/>
    <w:rsid w:val="000E2FAE"/>
    <w:rsid w:val="000E312C"/>
    <w:rsid w:val="000E3648"/>
    <w:rsid w:val="000E3F67"/>
    <w:rsid w:val="000E4083"/>
    <w:rsid w:val="000E4BD0"/>
    <w:rsid w:val="000E5A86"/>
    <w:rsid w:val="000E609F"/>
    <w:rsid w:val="000E63B3"/>
    <w:rsid w:val="000E6A66"/>
    <w:rsid w:val="000E6DDC"/>
    <w:rsid w:val="000E6F73"/>
    <w:rsid w:val="000E705D"/>
    <w:rsid w:val="000E7BFD"/>
    <w:rsid w:val="000E7D13"/>
    <w:rsid w:val="000F009F"/>
    <w:rsid w:val="000F0618"/>
    <w:rsid w:val="000F168A"/>
    <w:rsid w:val="000F173A"/>
    <w:rsid w:val="000F183D"/>
    <w:rsid w:val="000F20CF"/>
    <w:rsid w:val="000F21C5"/>
    <w:rsid w:val="000F25C9"/>
    <w:rsid w:val="000F2897"/>
    <w:rsid w:val="000F2BCD"/>
    <w:rsid w:val="000F3748"/>
    <w:rsid w:val="000F3E2B"/>
    <w:rsid w:val="000F3F2F"/>
    <w:rsid w:val="000F483F"/>
    <w:rsid w:val="000F4C10"/>
    <w:rsid w:val="000F53D7"/>
    <w:rsid w:val="000F5B53"/>
    <w:rsid w:val="000F5C04"/>
    <w:rsid w:val="000F5D9B"/>
    <w:rsid w:val="000F606D"/>
    <w:rsid w:val="000F6A5C"/>
    <w:rsid w:val="000F6B55"/>
    <w:rsid w:val="000F6C81"/>
    <w:rsid w:val="000F71BD"/>
    <w:rsid w:val="000F7786"/>
    <w:rsid w:val="000F77DF"/>
    <w:rsid w:val="000F77FD"/>
    <w:rsid w:val="001003B9"/>
    <w:rsid w:val="0010055A"/>
    <w:rsid w:val="00100683"/>
    <w:rsid w:val="00101036"/>
    <w:rsid w:val="0010111B"/>
    <w:rsid w:val="00101541"/>
    <w:rsid w:val="00101F08"/>
    <w:rsid w:val="00102F5B"/>
    <w:rsid w:val="00102F98"/>
    <w:rsid w:val="00103963"/>
    <w:rsid w:val="00103A66"/>
    <w:rsid w:val="001045BF"/>
    <w:rsid w:val="00104902"/>
    <w:rsid w:val="001049EA"/>
    <w:rsid w:val="00104F87"/>
    <w:rsid w:val="00104FA3"/>
    <w:rsid w:val="00105C4D"/>
    <w:rsid w:val="0010666D"/>
    <w:rsid w:val="00106AC5"/>
    <w:rsid w:val="00106F47"/>
    <w:rsid w:val="00106FE1"/>
    <w:rsid w:val="001070FF"/>
    <w:rsid w:val="00107331"/>
    <w:rsid w:val="0010776D"/>
    <w:rsid w:val="001079F5"/>
    <w:rsid w:val="0011048B"/>
    <w:rsid w:val="0011055E"/>
    <w:rsid w:val="001105C8"/>
    <w:rsid w:val="0011066A"/>
    <w:rsid w:val="0011097B"/>
    <w:rsid w:val="00110B74"/>
    <w:rsid w:val="00110DE6"/>
    <w:rsid w:val="00110DF2"/>
    <w:rsid w:val="00111298"/>
    <w:rsid w:val="0011141B"/>
    <w:rsid w:val="0011146A"/>
    <w:rsid w:val="00112FA8"/>
    <w:rsid w:val="0011398C"/>
    <w:rsid w:val="00114BB3"/>
    <w:rsid w:val="001151B3"/>
    <w:rsid w:val="001158CA"/>
    <w:rsid w:val="00115AB8"/>
    <w:rsid w:val="00115ABD"/>
    <w:rsid w:val="00115BEC"/>
    <w:rsid w:val="001163EF"/>
    <w:rsid w:val="00116C01"/>
    <w:rsid w:val="00116FEA"/>
    <w:rsid w:val="0011767F"/>
    <w:rsid w:val="00117BAA"/>
    <w:rsid w:val="00117BBC"/>
    <w:rsid w:val="00117BFA"/>
    <w:rsid w:val="001212ED"/>
    <w:rsid w:val="00121461"/>
    <w:rsid w:val="0012149B"/>
    <w:rsid w:val="00121516"/>
    <w:rsid w:val="0012299F"/>
    <w:rsid w:val="00122C06"/>
    <w:rsid w:val="00122CD6"/>
    <w:rsid w:val="00123244"/>
    <w:rsid w:val="00123C7C"/>
    <w:rsid w:val="00123FAF"/>
    <w:rsid w:val="00124018"/>
    <w:rsid w:val="0012409C"/>
    <w:rsid w:val="0012434C"/>
    <w:rsid w:val="00124800"/>
    <w:rsid w:val="00124D66"/>
    <w:rsid w:val="00124DC2"/>
    <w:rsid w:val="00125B35"/>
    <w:rsid w:val="00125D6C"/>
    <w:rsid w:val="001262A8"/>
    <w:rsid w:val="001266DE"/>
    <w:rsid w:val="00126C6D"/>
    <w:rsid w:val="00126CAB"/>
    <w:rsid w:val="001275B0"/>
    <w:rsid w:val="0012779D"/>
    <w:rsid w:val="00127927"/>
    <w:rsid w:val="00130276"/>
    <w:rsid w:val="00130972"/>
    <w:rsid w:val="00131318"/>
    <w:rsid w:val="00131493"/>
    <w:rsid w:val="0013197E"/>
    <w:rsid w:val="0013261C"/>
    <w:rsid w:val="0013272D"/>
    <w:rsid w:val="00132D70"/>
    <w:rsid w:val="00132FD0"/>
    <w:rsid w:val="0013419D"/>
    <w:rsid w:val="0013420C"/>
    <w:rsid w:val="0013446E"/>
    <w:rsid w:val="00135330"/>
    <w:rsid w:val="001354E1"/>
    <w:rsid w:val="00135AF1"/>
    <w:rsid w:val="00135EFD"/>
    <w:rsid w:val="00136453"/>
    <w:rsid w:val="0013651F"/>
    <w:rsid w:val="001366ED"/>
    <w:rsid w:val="00136A8E"/>
    <w:rsid w:val="00136C8B"/>
    <w:rsid w:val="0013714A"/>
    <w:rsid w:val="001375B8"/>
    <w:rsid w:val="001400B1"/>
    <w:rsid w:val="001408E2"/>
    <w:rsid w:val="00140980"/>
    <w:rsid w:val="00140AB9"/>
    <w:rsid w:val="00140D9F"/>
    <w:rsid w:val="001414C2"/>
    <w:rsid w:val="001417A6"/>
    <w:rsid w:val="00141BA7"/>
    <w:rsid w:val="00141BA9"/>
    <w:rsid w:val="00141D70"/>
    <w:rsid w:val="00141DE8"/>
    <w:rsid w:val="001420E4"/>
    <w:rsid w:val="001421FA"/>
    <w:rsid w:val="001425B4"/>
    <w:rsid w:val="00142A45"/>
    <w:rsid w:val="00142B96"/>
    <w:rsid w:val="001433FD"/>
    <w:rsid w:val="00143EFC"/>
    <w:rsid w:val="00144242"/>
    <w:rsid w:val="00144385"/>
    <w:rsid w:val="001450A4"/>
    <w:rsid w:val="00145217"/>
    <w:rsid w:val="001453C4"/>
    <w:rsid w:val="0014579F"/>
    <w:rsid w:val="001457F6"/>
    <w:rsid w:val="00145819"/>
    <w:rsid w:val="0014604E"/>
    <w:rsid w:val="001467B6"/>
    <w:rsid w:val="00146CC7"/>
    <w:rsid w:val="00147193"/>
    <w:rsid w:val="001472B0"/>
    <w:rsid w:val="001475E1"/>
    <w:rsid w:val="00147AAB"/>
    <w:rsid w:val="00147DA8"/>
    <w:rsid w:val="001503C1"/>
    <w:rsid w:val="0015188A"/>
    <w:rsid w:val="00151B40"/>
    <w:rsid w:val="00151FC7"/>
    <w:rsid w:val="00152020"/>
    <w:rsid w:val="00152159"/>
    <w:rsid w:val="001527B7"/>
    <w:rsid w:val="00152BA4"/>
    <w:rsid w:val="00152C27"/>
    <w:rsid w:val="00153214"/>
    <w:rsid w:val="001537A2"/>
    <w:rsid w:val="0015435A"/>
    <w:rsid w:val="00154832"/>
    <w:rsid w:val="00154A59"/>
    <w:rsid w:val="00154BD0"/>
    <w:rsid w:val="00154EC1"/>
    <w:rsid w:val="001556DF"/>
    <w:rsid w:val="001558DF"/>
    <w:rsid w:val="0015618A"/>
    <w:rsid w:val="00156DAA"/>
    <w:rsid w:val="00156EA6"/>
    <w:rsid w:val="0015708D"/>
    <w:rsid w:val="0015741D"/>
    <w:rsid w:val="00157777"/>
    <w:rsid w:val="0015785E"/>
    <w:rsid w:val="00157A6E"/>
    <w:rsid w:val="00157C6C"/>
    <w:rsid w:val="00160B02"/>
    <w:rsid w:val="00160DB3"/>
    <w:rsid w:val="00161309"/>
    <w:rsid w:val="0016144D"/>
    <w:rsid w:val="0016172E"/>
    <w:rsid w:val="001618D1"/>
    <w:rsid w:val="001624D0"/>
    <w:rsid w:val="00162691"/>
    <w:rsid w:val="00162CC0"/>
    <w:rsid w:val="00162D48"/>
    <w:rsid w:val="00162DF4"/>
    <w:rsid w:val="00162E83"/>
    <w:rsid w:val="0016365E"/>
    <w:rsid w:val="00163C5B"/>
    <w:rsid w:val="00163FF2"/>
    <w:rsid w:val="001640FB"/>
    <w:rsid w:val="00164146"/>
    <w:rsid w:val="00164A8E"/>
    <w:rsid w:val="0016511C"/>
    <w:rsid w:val="00165248"/>
    <w:rsid w:val="0016567C"/>
    <w:rsid w:val="00165EEC"/>
    <w:rsid w:val="001663FE"/>
    <w:rsid w:val="00166A26"/>
    <w:rsid w:val="00166F82"/>
    <w:rsid w:val="0016767D"/>
    <w:rsid w:val="001679D9"/>
    <w:rsid w:val="001700BF"/>
    <w:rsid w:val="001705D8"/>
    <w:rsid w:val="0017060D"/>
    <w:rsid w:val="001710CE"/>
    <w:rsid w:val="00171296"/>
    <w:rsid w:val="0017132F"/>
    <w:rsid w:val="001714FE"/>
    <w:rsid w:val="0017169C"/>
    <w:rsid w:val="00171E99"/>
    <w:rsid w:val="00172077"/>
    <w:rsid w:val="0017232B"/>
    <w:rsid w:val="00172D04"/>
    <w:rsid w:val="00172D6B"/>
    <w:rsid w:val="001731F0"/>
    <w:rsid w:val="001735B6"/>
    <w:rsid w:val="001737FB"/>
    <w:rsid w:val="001738B4"/>
    <w:rsid w:val="00173AD6"/>
    <w:rsid w:val="00174027"/>
    <w:rsid w:val="001746D2"/>
    <w:rsid w:val="00175058"/>
    <w:rsid w:val="00175CDF"/>
    <w:rsid w:val="00175D12"/>
    <w:rsid w:val="00176072"/>
    <w:rsid w:val="00176E93"/>
    <w:rsid w:val="00177313"/>
    <w:rsid w:val="0017738F"/>
    <w:rsid w:val="001773A2"/>
    <w:rsid w:val="00177E46"/>
    <w:rsid w:val="00180151"/>
    <w:rsid w:val="001810F0"/>
    <w:rsid w:val="00181C2D"/>
    <w:rsid w:val="00181CA7"/>
    <w:rsid w:val="00181ED6"/>
    <w:rsid w:val="00182960"/>
    <w:rsid w:val="00182EDA"/>
    <w:rsid w:val="001830DB"/>
    <w:rsid w:val="00183BE4"/>
    <w:rsid w:val="00183D2B"/>
    <w:rsid w:val="00183D57"/>
    <w:rsid w:val="001843A2"/>
    <w:rsid w:val="00184B27"/>
    <w:rsid w:val="001852D4"/>
    <w:rsid w:val="00185841"/>
    <w:rsid w:val="00185C4D"/>
    <w:rsid w:val="00185FA4"/>
    <w:rsid w:val="00186241"/>
    <w:rsid w:val="00186E35"/>
    <w:rsid w:val="001874B5"/>
    <w:rsid w:val="001874BF"/>
    <w:rsid w:val="00190E48"/>
    <w:rsid w:val="00190E97"/>
    <w:rsid w:val="001912DF"/>
    <w:rsid w:val="001914EC"/>
    <w:rsid w:val="001918CD"/>
    <w:rsid w:val="001919F2"/>
    <w:rsid w:val="00191C09"/>
    <w:rsid w:val="00191CFD"/>
    <w:rsid w:val="00191D0D"/>
    <w:rsid w:val="0019205F"/>
    <w:rsid w:val="00192148"/>
    <w:rsid w:val="00192B3B"/>
    <w:rsid w:val="00192DFD"/>
    <w:rsid w:val="00193090"/>
    <w:rsid w:val="001932FE"/>
    <w:rsid w:val="001935A8"/>
    <w:rsid w:val="0019390D"/>
    <w:rsid w:val="00193980"/>
    <w:rsid w:val="00193DAD"/>
    <w:rsid w:val="00193E9B"/>
    <w:rsid w:val="00193EE4"/>
    <w:rsid w:val="001944EB"/>
    <w:rsid w:val="001946CC"/>
    <w:rsid w:val="00195CBD"/>
    <w:rsid w:val="00195DA6"/>
    <w:rsid w:val="00196342"/>
    <w:rsid w:val="00196CA9"/>
    <w:rsid w:val="00196D70"/>
    <w:rsid w:val="00196E41"/>
    <w:rsid w:val="00197100"/>
    <w:rsid w:val="00197548"/>
    <w:rsid w:val="00197767"/>
    <w:rsid w:val="00197895"/>
    <w:rsid w:val="001A0183"/>
    <w:rsid w:val="001A037E"/>
    <w:rsid w:val="001A046C"/>
    <w:rsid w:val="001A06EC"/>
    <w:rsid w:val="001A081F"/>
    <w:rsid w:val="001A0DBB"/>
    <w:rsid w:val="001A0F2B"/>
    <w:rsid w:val="001A11C8"/>
    <w:rsid w:val="001A164A"/>
    <w:rsid w:val="001A16D1"/>
    <w:rsid w:val="001A22A4"/>
    <w:rsid w:val="001A24EC"/>
    <w:rsid w:val="001A2CA3"/>
    <w:rsid w:val="001A31A7"/>
    <w:rsid w:val="001A3A22"/>
    <w:rsid w:val="001A4700"/>
    <w:rsid w:val="001A50C0"/>
    <w:rsid w:val="001A5E1E"/>
    <w:rsid w:val="001A5E87"/>
    <w:rsid w:val="001A5F84"/>
    <w:rsid w:val="001A6945"/>
    <w:rsid w:val="001A707D"/>
    <w:rsid w:val="001A71D9"/>
    <w:rsid w:val="001A77CB"/>
    <w:rsid w:val="001B0014"/>
    <w:rsid w:val="001B01CD"/>
    <w:rsid w:val="001B03BC"/>
    <w:rsid w:val="001B0A44"/>
    <w:rsid w:val="001B0AB0"/>
    <w:rsid w:val="001B0D2D"/>
    <w:rsid w:val="001B15C6"/>
    <w:rsid w:val="001B1DB1"/>
    <w:rsid w:val="001B25DB"/>
    <w:rsid w:val="001B2A20"/>
    <w:rsid w:val="001B2ADB"/>
    <w:rsid w:val="001B314C"/>
    <w:rsid w:val="001B3463"/>
    <w:rsid w:val="001B3563"/>
    <w:rsid w:val="001B36A8"/>
    <w:rsid w:val="001B3EE3"/>
    <w:rsid w:val="001B3FB8"/>
    <w:rsid w:val="001B4418"/>
    <w:rsid w:val="001B46B9"/>
    <w:rsid w:val="001B4805"/>
    <w:rsid w:val="001B4F05"/>
    <w:rsid w:val="001B4F85"/>
    <w:rsid w:val="001B55FD"/>
    <w:rsid w:val="001B6195"/>
    <w:rsid w:val="001B61AD"/>
    <w:rsid w:val="001B6774"/>
    <w:rsid w:val="001B78A3"/>
    <w:rsid w:val="001C0934"/>
    <w:rsid w:val="001C0B00"/>
    <w:rsid w:val="001C0BC9"/>
    <w:rsid w:val="001C0D92"/>
    <w:rsid w:val="001C1154"/>
    <w:rsid w:val="001C1FC1"/>
    <w:rsid w:val="001C2376"/>
    <w:rsid w:val="001C25E7"/>
    <w:rsid w:val="001C26FE"/>
    <w:rsid w:val="001C2805"/>
    <w:rsid w:val="001C299F"/>
    <w:rsid w:val="001C2A12"/>
    <w:rsid w:val="001C2D86"/>
    <w:rsid w:val="001C2F76"/>
    <w:rsid w:val="001C385A"/>
    <w:rsid w:val="001C3B2E"/>
    <w:rsid w:val="001C3B60"/>
    <w:rsid w:val="001C44D3"/>
    <w:rsid w:val="001C44E8"/>
    <w:rsid w:val="001C466B"/>
    <w:rsid w:val="001C5188"/>
    <w:rsid w:val="001C5AE2"/>
    <w:rsid w:val="001C5C40"/>
    <w:rsid w:val="001C5E90"/>
    <w:rsid w:val="001C5E99"/>
    <w:rsid w:val="001C6A0C"/>
    <w:rsid w:val="001C7682"/>
    <w:rsid w:val="001C7A91"/>
    <w:rsid w:val="001D0035"/>
    <w:rsid w:val="001D006D"/>
    <w:rsid w:val="001D0236"/>
    <w:rsid w:val="001D09B0"/>
    <w:rsid w:val="001D0EB1"/>
    <w:rsid w:val="001D11AA"/>
    <w:rsid w:val="001D1642"/>
    <w:rsid w:val="001D1C6D"/>
    <w:rsid w:val="001D2218"/>
    <w:rsid w:val="001D23A9"/>
    <w:rsid w:val="001D2A27"/>
    <w:rsid w:val="001D323B"/>
    <w:rsid w:val="001D3D0C"/>
    <w:rsid w:val="001D429E"/>
    <w:rsid w:val="001D43EB"/>
    <w:rsid w:val="001D518D"/>
    <w:rsid w:val="001D54BC"/>
    <w:rsid w:val="001D54CF"/>
    <w:rsid w:val="001D601D"/>
    <w:rsid w:val="001D615F"/>
    <w:rsid w:val="001D62F7"/>
    <w:rsid w:val="001D6631"/>
    <w:rsid w:val="001D6696"/>
    <w:rsid w:val="001D6A06"/>
    <w:rsid w:val="001D6A2D"/>
    <w:rsid w:val="001D6C23"/>
    <w:rsid w:val="001D6CE9"/>
    <w:rsid w:val="001D7581"/>
    <w:rsid w:val="001D77DA"/>
    <w:rsid w:val="001D7A9F"/>
    <w:rsid w:val="001E02D3"/>
    <w:rsid w:val="001E0AA2"/>
    <w:rsid w:val="001E0E8E"/>
    <w:rsid w:val="001E10E5"/>
    <w:rsid w:val="001E11E2"/>
    <w:rsid w:val="001E1204"/>
    <w:rsid w:val="001E1400"/>
    <w:rsid w:val="001E158F"/>
    <w:rsid w:val="001E1DFE"/>
    <w:rsid w:val="001E20A8"/>
    <w:rsid w:val="001E26B7"/>
    <w:rsid w:val="001E2BC3"/>
    <w:rsid w:val="001E2F25"/>
    <w:rsid w:val="001E3699"/>
    <w:rsid w:val="001E434F"/>
    <w:rsid w:val="001E4612"/>
    <w:rsid w:val="001E54AD"/>
    <w:rsid w:val="001E5B19"/>
    <w:rsid w:val="001E6455"/>
    <w:rsid w:val="001E657D"/>
    <w:rsid w:val="001E6D0A"/>
    <w:rsid w:val="001E6FA5"/>
    <w:rsid w:val="001E7541"/>
    <w:rsid w:val="001E780F"/>
    <w:rsid w:val="001E7FA4"/>
    <w:rsid w:val="001E7FCD"/>
    <w:rsid w:val="001F00BF"/>
    <w:rsid w:val="001F0231"/>
    <w:rsid w:val="001F02E4"/>
    <w:rsid w:val="001F1099"/>
    <w:rsid w:val="001F12BF"/>
    <w:rsid w:val="001F132A"/>
    <w:rsid w:val="001F1CE0"/>
    <w:rsid w:val="001F25BE"/>
    <w:rsid w:val="001F2626"/>
    <w:rsid w:val="001F29B7"/>
    <w:rsid w:val="001F2F50"/>
    <w:rsid w:val="001F384C"/>
    <w:rsid w:val="001F3B1D"/>
    <w:rsid w:val="001F4033"/>
    <w:rsid w:val="001F4DB0"/>
    <w:rsid w:val="001F4DC7"/>
    <w:rsid w:val="001F50A9"/>
    <w:rsid w:val="001F5292"/>
    <w:rsid w:val="001F5632"/>
    <w:rsid w:val="001F5E16"/>
    <w:rsid w:val="001F5FBE"/>
    <w:rsid w:val="001F60C5"/>
    <w:rsid w:val="001F7120"/>
    <w:rsid w:val="001F741A"/>
    <w:rsid w:val="001F7581"/>
    <w:rsid w:val="001F7B4B"/>
    <w:rsid w:val="001F7CFA"/>
    <w:rsid w:val="001F7E5B"/>
    <w:rsid w:val="001F7F87"/>
    <w:rsid w:val="0020027E"/>
    <w:rsid w:val="00200345"/>
    <w:rsid w:val="00200FF0"/>
    <w:rsid w:val="002012B7"/>
    <w:rsid w:val="00201C34"/>
    <w:rsid w:val="00201EF6"/>
    <w:rsid w:val="00201FBE"/>
    <w:rsid w:val="00202906"/>
    <w:rsid w:val="00202C97"/>
    <w:rsid w:val="00202E4C"/>
    <w:rsid w:val="00202FD9"/>
    <w:rsid w:val="00203277"/>
    <w:rsid w:val="0020331C"/>
    <w:rsid w:val="00203FA8"/>
    <w:rsid w:val="00204321"/>
    <w:rsid w:val="00204621"/>
    <w:rsid w:val="00204816"/>
    <w:rsid w:val="00204CF8"/>
    <w:rsid w:val="0020508D"/>
    <w:rsid w:val="0020513E"/>
    <w:rsid w:val="002056B2"/>
    <w:rsid w:val="0020584B"/>
    <w:rsid w:val="002067BC"/>
    <w:rsid w:val="00206805"/>
    <w:rsid w:val="00206978"/>
    <w:rsid w:val="00206D1F"/>
    <w:rsid w:val="00207951"/>
    <w:rsid w:val="00207CBB"/>
    <w:rsid w:val="00207D9B"/>
    <w:rsid w:val="00207DF4"/>
    <w:rsid w:val="002103BF"/>
    <w:rsid w:val="00210929"/>
    <w:rsid w:val="00210E63"/>
    <w:rsid w:val="002115D3"/>
    <w:rsid w:val="002129EE"/>
    <w:rsid w:val="0021329E"/>
    <w:rsid w:val="00213CED"/>
    <w:rsid w:val="0021408D"/>
    <w:rsid w:val="00214928"/>
    <w:rsid w:val="00214C1F"/>
    <w:rsid w:val="002151ED"/>
    <w:rsid w:val="00215221"/>
    <w:rsid w:val="002152D7"/>
    <w:rsid w:val="00215825"/>
    <w:rsid w:val="00215AC6"/>
    <w:rsid w:val="00215CDB"/>
    <w:rsid w:val="002160BB"/>
    <w:rsid w:val="00216768"/>
    <w:rsid w:val="00216C14"/>
    <w:rsid w:val="0021762F"/>
    <w:rsid w:val="00217F4F"/>
    <w:rsid w:val="00217FE6"/>
    <w:rsid w:val="00220057"/>
    <w:rsid w:val="002201F9"/>
    <w:rsid w:val="00220638"/>
    <w:rsid w:val="00220DAA"/>
    <w:rsid w:val="00220FA8"/>
    <w:rsid w:val="002214AB"/>
    <w:rsid w:val="00222094"/>
    <w:rsid w:val="002220E0"/>
    <w:rsid w:val="002225C2"/>
    <w:rsid w:val="002229EA"/>
    <w:rsid w:val="00222FAD"/>
    <w:rsid w:val="00223034"/>
    <w:rsid w:val="002232C0"/>
    <w:rsid w:val="00223343"/>
    <w:rsid w:val="002233DE"/>
    <w:rsid w:val="002236DE"/>
    <w:rsid w:val="00224026"/>
    <w:rsid w:val="002246D6"/>
    <w:rsid w:val="00224B35"/>
    <w:rsid w:val="00224E7B"/>
    <w:rsid w:val="00225337"/>
    <w:rsid w:val="00225972"/>
    <w:rsid w:val="00225BBE"/>
    <w:rsid w:val="00225BFF"/>
    <w:rsid w:val="0022634A"/>
    <w:rsid w:val="00226874"/>
    <w:rsid w:val="0022698C"/>
    <w:rsid w:val="00227207"/>
    <w:rsid w:val="002272BB"/>
    <w:rsid w:val="002275C2"/>
    <w:rsid w:val="00227E1C"/>
    <w:rsid w:val="00230067"/>
    <w:rsid w:val="002302ED"/>
    <w:rsid w:val="002308BE"/>
    <w:rsid w:val="002310CB"/>
    <w:rsid w:val="002312C4"/>
    <w:rsid w:val="0023168D"/>
    <w:rsid w:val="00231751"/>
    <w:rsid w:val="00231CED"/>
    <w:rsid w:val="00232519"/>
    <w:rsid w:val="0023267A"/>
    <w:rsid w:val="00232751"/>
    <w:rsid w:val="00233202"/>
    <w:rsid w:val="00233263"/>
    <w:rsid w:val="0023331B"/>
    <w:rsid w:val="00233900"/>
    <w:rsid w:val="00233AE1"/>
    <w:rsid w:val="00233B6A"/>
    <w:rsid w:val="00234459"/>
    <w:rsid w:val="00234B48"/>
    <w:rsid w:val="00235C08"/>
    <w:rsid w:val="00235C95"/>
    <w:rsid w:val="00236567"/>
    <w:rsid w:val="002369C2"/>
    <w:rsid w:val="00236EB5"/>
    <w:rsid w:val="00237575"/>
    <w:rsid w:val="0023795F"/>
    <w:rsid w:val="0024008C"/>
    <w:rsid w:val="00240592"/>
    <w:rsid w:val="002408B5"/>
    <w:rsid w:val="00240CC7"/>
    <w:rsid w:val="00241376"/>
    <w:rsid w:val="00241537"/>
    <w:rsid w:val="00241B95"/>
    <w:rsid w:val="00241C9A"/>
    <w:rsid w:val="00242013"/>
    <w:rsid w:val="00242210"/>
    <w:rsid w:val="00243568"/>
    <w:rsid w:val="0024360E"/>
    <w:rsid w:val="00243900"/>
    <w:rsid w:val="00243AB0"/>
    <w:rsid w:val="00243FAE"/>
    <w:rsid w:val="002445CA"/>
    <w:rsid w:val="00244795"/>
    <w:rsid w:val="00244CCD"/>
    <w:rsid w:val="00244DBE"/>
    <w:rsid w:val="0024506C"/>
    <w:rsid w:val="002452EE"/>
    <w:rsid w:val="00245849"/>
    <w:rsid w:val="00245A7A"/>
    <w:rsid w:val="00246583"/>
    <w:rsid w:val="00246672"/>
    <w:rsid w:val="00246C17"/>
    <w:rsid w:val="00246CC6"/>
    <w:rsid w:val="00246E17"/>
    <w:rsid w:val="0024700F"/>
    <w:rsid w:val="00250462"/>
    <w:rsid w:val="002504C1"/>
    <w:rsid w:val="0025058C"/>
    <w:rsid w:val="002505D9"/>
    <w:rsid w:val="00250946"/>
    <w:rsid w:val="00250D60"/>
    <w:rsid w:val="002515AC"/>
    <w:rsid w:val="00251689"/>
    <w:rsid w:val="00251C71"/>
    <w:rsid w:val="00251F1F"/>
    <w:rsid w:val="00252806"/>
    <w:rsid w:val="002529FF"/>
    <w:rsid w:val="00252BBB"/>
    <w:rsid w:val="00253384"/>
    <w:rsid w:val="00253858"/>
    <w:rsid w:val="0025393C"/>
    <w:rsid w:val="002543C5"/>
    <w:rsid w:val="002546E5"/>
    <w:rsid w:val="0025558C"/>
    <w:rsid w:val="00255BCB"/>
    <w:rsid w:val="0025628D"/>
    <w:rsid w:val="002566A7"/>
    <w:rsid w:val="00256A90"/>
    <w:rsid w:val="00256EA9"/>
    <w:rsid w:val="00256FD7"/>
    <w:rsid w:val="0025701C"/>
    <w:rsid w:val="002571DA"/>
    <w:rsid w:val="00257248"/>
    <w:rsid w:val="002573E6"/>
    <w:rsid w:val="002579ED"/>
    <w:rsid w:val="00260325"/>
    <w:rsid w:val="00260797"/>
    <w:rsid w:val="00260BE3"/>
    <w:rsid w:val="00260C5A"/>
    <w:rsid w:val="00260D0A"/>
    <w:rsid w:val="002616AB"/>
    <w:rsid w:val="00261702"/>
    <w:rsid w:val="002617A7"/>
    <w:rsid w:val="00261A26"/>
    <w:rsid w:val="00261C68"/>
    <w:rsid w:val="00261E3A"/>
    <w:rsid w:val="002628B3"/>
    <w:rsid w:val="00262CE8"/>
    <w:rsid w:val="00262F8A"/>
    <w:rsid w:val="00262FC7"/>
    <w:rsid w:val="00263C6E"/>
    <w:rsid w:val="002640F1"/>
    <w:rsid w:val="002646C9"/>
    <w:rsid w:val="002646D6"/>
    <w:rsid w:val="00264933"/>
    <w:rsid w:val="0026495B"/>
    <w:rsid w:val="002651C4"/>
    <w:rsid w:val="0026567B"/>
    <w:rsid w:val="00265E7B"/>
    <w:rsid w:val="002663F3"/>
    <w:rsid w:val="00266559"/>
    <w:rsid w:val="0026662F"/>
    <w:rsid w:val="00266813"/>
    <w:rsid w:val="00267169"/>
    <w:rsid w:val="00267562"/>
    <w:rsid w:val="002677A5"/>
    <w:rsid w:val="00267894"/>
    <w:rsid w:val="002678BD"/>
    <w:rsid w:val="00267F00"/>
    <w:rsid w:val="00270104"/>
    <w:rsid w:val="002704B5"/>
    <w:rsid w:val="002709F2"/>
    <w:rsid w:val="00271583"/>
    <w:rsid w:val="00271601"/>
    <w:rsid w:val="00271B35"/>
    <w:rsid w:val="00271B60"/>
    <w:rsid w:val="00271BDD"/>
    <w:rsid w:val="002721AA"/>
    <w:rsid w:val="00272267"/>
    <w:rsid w:val="002723C2"/>
    <w:rsid w:val="00272456"/>
    <w:rsid w:val="0027259C"/>
    <w:rsid w:val="00272D33"/>
    <w:rsid w:val="00272FEB"/>
    <w:rsid w:val="002730CB"/>
    <w:rsid w:val="002735B9"/>
    <w:rsid w:val="00273B1E"/>
    <w:rsid w:val="00273CA7"/>
    <w:rsid w:val="00273F77"/>
    <w:rsid w:val="0027417A"/>
    <w:rsid w:val="002741E6"/>
    <w:rsid w:val="0027435D"/>
    <w:rsid w:val="00274613"/>
    <w:rsid w:val="0027510A"/>
    <w:rsid w:val="00275700"/>
    <w:rsid w:val="00275AD3"/>
    <w:rsid w:val="00275B3D"/>
    <w:rsid w:val="00275CC4"/>
    <w:rsid w:val="002762B7"/>
    <w:rsid w:val="00276521"/>
    <w:rsid w:val="00276869"/>
    <w:rsid w:val="0027686C"/>
    <w:rsid w:val="00276A12"/>
    <w:rsid w:val="00276CAF"/>
    <w:rsid w:val="00276D01"/>
    <w:rsid w:val="00276E99"/>
    <w:rsid w:val="00276F36"/>
    <w:rsid w:val="00276FAD"/>
    <w:rsid w:val="002770A9"/>
    <w:rsid w:val="002774D9"/>
    <w:rsid w:val="00277F2B"/>
    <w:rsid w:val="00280116"/>
    <w:rsid w:val="0028055E"/>
    <w:rsid w:val="00280A80"/>
    <w:rsid w:val="00280B0A"/>
    <w:rsid w:val="00280F26"/>
    <w:rsid w:val="0028185A"/>
    <w:rsid w:val="00281CEC"/>
    <w:rsid w:val="00281F6F"/>
    <w:rsid w:val="0028206C"/>
    <w:rsid w:val="00282341"/>
    <w:rsid w:val="00282875"/>
    <w:rsid w:val="002829F8"/>
    <w:rsid w:val="00282AAE"/>
    <w:rsid w:val="00282CA6"/>
    <w:rsid w:val="00282E03"/>
    <w:rsid w:val="002832F6"/>
    <w:rsid w:val="00283429"/>
    <w:rsid w:val="0028355D"/>
    <w:rsid w:val="0028358E"/>
    <w:rsid w:val="002843B5"/>
    <w:rsid w:val="002848FA"/>
    <w:rsid w:val="0028565F"/>
    <w:rsid w:val="0028566D"/>
    <w:rsid w:val="00285809"/>
    <w:rsid w:val="0028584F"/>
    <w:rsid w:val="00285956"/>
    <w:rsid w:val="00285FCA"/>
    <w:rsid w:val="00286A92"/>
    <w:rsid w:val="00286E1A"/>
    <w:rsid w:val="00287010"/>
    <w:rsid w:val="00287480"/>
    <w:rsid w:val="00287569"/>
    <w:rsid w:val="00287A19"/>
    <w:rsid w:val="002909C9"/>
    <w:rsid w:val="00290CB2"/>
    <w:rsid w:val="002911EB"/>
    <w:rsid w:val="002913B6"/>
    <w:rsid w:val="00291C26"/>
    <w:rsid w:val="00291C8F"/>
    <w:rsid w:val="00291D21"/>
    <w:rsid w:val="00291DC0"/>
    <w:rsid w:val="002922FC"/>
    <w:rsid w:val="002932A6"/>
    <w:rsid w:val="0029353F"/>
    <w:rsid w:val="00293B35"/>
    <w:rsid w:val="0029403B"/>
    <w:rsid w:val="00294C3F"/>
    <w:rsid w:val="002951BF"/>
    <w:rsid w:val="00295CC9"/>
    <w:rsid w:val="002961C1"/>
    <w:rsid w:val="00296727"/>
    <w:rsid w:val="00296B15"/>
    <w:rsid w:val="00297E66"/>
    <w:rsid w:val="002A0556"/>
    <w:rsid w:val="002A06E2"/>
    <w:rsid w:val="002A0C7B"/>
    <w:rsid w:val="002A1674"/>
    <w:rsid w:val="002A176A"/>
    <w:rsid w:val="002A17C9"/>
    <w:rsid w:val="002A1AF7"/>
    <w:rsid w:val="002A2039"/>
    <w:rsid w:val="002A2351"/>
    <w:rsid w:val="002A27E2"/>
    <w:rsid w:val="002A291F"/>
    <w:rsid w:val="002A3C72"/>
    <w:rsid w:val="002A3E6C"/>
    <w:rsid w:val="002A48BE"/>
    <w:rsid w:val="002A50A0"/>
    <w:rsid w:val="002A51A0"/>
    <w:rsid w:val="002A526C"/>
    <w:rsid w:val="002A5309"/>
    <w:rsid w:val="002A5921"/>
    <w:rsid w:val="002A5932"/>
    <w:rsid w:val="002A599D"/>
    <w:rsid w:val="002A5ECC"/>
    <w:rsid w:val="002A6C21"/>
    <w:rsid w:val="002A6CB7"/>
    <w:rsid w:val="002A6FC6"/>
    <w:rsid w:val="002A7239"/>
    <w:rsid w:val="002B0F00"/>
    <w:rsid w:val="002B0FC6"/>
    <w:rsid w:val="002B14E2"/>
    <w:rsid w:val="002B18DE"/>
    <w:rsid w:val="002B1B67"/>
    <w:rsid w:val="002B1DA6"/>
    <w:rsid w:val="002B2139"/>
    <w:rsid w:val="002B2849"/>
    <w:rsid w:val="002B2893"/>
    <w:rsid w:val="002B29DE"/>
    <w:rsid w:val="002B2C70"/>
    <w:rsid w:val="002B3556"/>
    <w:rsid w:val="002B3561"/>
    <w:rsid w:val="002B3C8B"/>
    <w:rsid w:val="002B401F"/>
    <w:rsid w:val="002B4086"/>
    <w:rsid w:val="002B46BC"/>
    <w:rsid w:val="002B4AFB"/>
    <w:rsid w:val="002B4E00"/>
    <w:rsid w:val="002B5335"/>
    <w:rsid w:val="002B5A3B"/>
    <w:rsid w:val="002B6056"/>
    <w:rsid w:val="002B613A"/>
    <w:rsid w:val="002B76B1"/>
    <w:rsid w:val="002B7AA2"/>
    <w:rsid w:val="002C00C1"/>
    <w:rsid w:val="002C01F0"/>
    <w:rsid w:val="002C0A6C"/>
    <w:rsid w:val="002C0E94"/>
    <w:rsid w:val="002C0F46"/>
    <w:rsid w:val="002C18F1"/>
    <w:rsid w:val="002C1E29"/>
    <w:rsid w:val="002C1FE6"/>
    <w:rsid w:val="002C20F3"/>
    <w:rsid w:val="002C21F3"/>
    <w:rsid w:val="002C23B9"/>
    <w:rsid w:val="002C2F5D"/>
    <w:rsid w:val="002C30E0"/>
    <w:rsid w:val="002C35A8"/>
    <w:rsid w:val="002C398C"/>
    <w:rsid w:val="002C39BA"/>
    <w:rsid w:val="002C3B45"/>
    <w:rsid w:val="002C3B75"/>
    <w:rsid w:val="002C3B90"/>
    <w:rsid w:val="002C3B9D"/>
    <w:rsid w:val="002C40E6"/>
    <w:rsid w:val="002C4B6A"/>
    <w:rsid w:val="002C4ED9"/>
    <w:rsid w:val="002C506E"/>
    <w:rsid w:val="002C515D"/>
    <w:rsid w:val="002C5A5B"/>
    <w:rsid w:val="002C5A5F"/>
    <w:rsid w:val="002C5C67"/>
    <w:rsid w:val="002C616C"/>
    <w:rsid w:val="002C64A6"/>
    <w:rsid w:val="002C6AD3"/>
    <w:rsid w:val="002C6E20"/>
    <w:rsid w:val="002D02A5"/>
    <w:rsid w:val="002D0754"/>
    <w:rsid w:val="002D07AC"/>
    <w:rsid w:val="002D0E42"/>
    <w:rsid w:val="002D1423"/>
    <w:rsid w:val="002D15AC"/>
    <w:rsid w:val="002D17AC"/>
    <w:rsid w:val="002D233F"/>
    <w:rsid w:val="002D2BE3"/>
    <w:rsid w:val="002D39ED"/>
    <w:rsid w:val="002D3D66"/>
    <w:rsid w:val="002D4334"/>
    <w:rsid w:val="002D490E"/>
    <w:rsid w:val="002D4E79"/>
    <w:rsid w:val="002D5273"/>
    <w:rsid w:val="002D59FE"/>
    <w:rsid w:val="002D5E01"/>
    <w:rsid w:val="002D66C4"/>
    <w:rsid w:val="002D66ED"/>
    <w:rsid w:val="002D6D31"/>
    <w:rsid w:val="002D709F"/>
    <w:rsid w:val="002D7120"/>
    <w:rsid w:val="002E04A6"/>
    <w:rsid w:val="002E07D0"/>
    <w:rsid w:val="002E0F99"/>
    <w:rsid w:val="002E15DC"/>
    <w:rsid w:val="002E180F"/>
    <w:rsid w:val="002E1844"/>
    <w:rsid w:val="002E1B05"/>
    <w:rsid w:val="002E1B37"/>
    <w:rsid w:val="002E209E"/>
    <w:rsid w:val="002E2288"/>
    <w:rsid w:val="002E2482"/>
    <w:rsid w:val="002E2D9E"/>
    <w:rsid w:val="002E3C88"/>
    <w:rsid w:val="002E413E"/>
    <w:rsid w:val="002E4207"/>
    <w:rsid w:val="002E4B44"/>
    <w:rsid w:val="002E4B4B"/>
    <w:rsid w:val="002E4EAD"/>
    <w:rsid w:val="002E5157"/>
    <w:rsid w:val="002E54AE"/>
    <w:rsid w:val="002E596E"/>
    <w:rsid w:val="002E5AEB"/>
    <w:rsid w:val="002E6009"/>
    <w:rsid w:val="002E66D2"/>
    <w:rsid w:val="002E68E1"/>
    <w:rsid w:val="002E6D61"/>
    <w:rsid w:val="002E711C"/>
    <w:rsid w:val="002E73E5"/>
    <w:rsid w:val="002E75AA"/>
    <w:rsid w:val="002F0814"/>
    <w:rsid w:val="002F1344"/>
    <w:rsid w:val="002F17A7"/>
    <w:rsid w:val="002F1A2A"/>
    <w:rsid w:val="002F1C73"/>
    <w:rsid w:val="002F1E94"/>
    <w:rsid w:val="002F2125"/>
    <w:rsid w:val="002F2463"/>
    <w:rsid w:val="002F2604"/>
    <w:rsid w:val="002F2B6F"/>
    <w:rsid w:val="002F32F9"/>
    <w:rsid w:val="002F3605"/>
    <w:rsid w:val="002F39AA"/>
    <w:rsid w:val="002F3AE3"/>
    <w:rsid w:val="002F3B2F"/>
    <w:rsid w:val="002F3DFE"/>
    <w:rsid w:val="002F4388"/>
    <w:rsid w:val="002F4761"/>
    <w:rsid w:val="002F4C9D"/>
    <w:rsid w:val="002F5222"/>
    <w:rsid w:val="002F5977"/>
    <w:rsid w:val="002F5D3F"/>
    <w:rsid w:val="002F638A"/>
    <w:rsid w:val="002F63D2"/>
    <w:rsid w:val="002F650E"/>
    <w:rsid w:val="002F66E2"/>
    <w:rsid w:val="002F71EB"/>
    <w:rsid w:val="002F77F1"/>
    <w:rsid w:val="002F795E"/>
    <w:rsid w:val="002F7DD0"/>
    <w:rsid w:val="002F7F04"/>
    <w:rsid w:val="003000A7"/>
    <w:rsid w:val="003001DB"/>
    <w:rsid w:val="00300B89"/>
    <w:rsid w:val="00300F8E"/>
    <w:rsid w:val="003010EE"/>
    <w:rsid w:val="00301583"/>
    <w:rsid w:val="00301E32"/>
    <w:rsid w:val="00301EA4"/>
    <w:rsid w:val="00302006"/>
    <w:rsid w:val="00302052"/>
    <w:rsid w:val="003020B2"/>
    <w:rsid w:val="003028A7"/>
    <w:rsid w:val="00302D10"/>
    <w:rsid w:val="003033FF"/>
    <w:rsid w:val="0030363D"/>
    <w:rsid w:val="00303BC5"/>
    <w:rsid w:val="00303C97"/>
    <w:rsid w:val="0030413C"/>
    <w:rsid w:val="003041BB"/>
    <w:rsid w:val="0030434B"/>
    <w:rsid w:val="00304F1E"/>
    <w:rsid w:val="00305DE6"/>
    <w:rsid w:val="00305E95"/>
    <w:rsid w:val="00306146"/>
    <w:rsid w:val="003062C0"/>
    <w:rsid w:val="003063BD"/>
    <w:rsid w:val="003068A3"/>
    <w:rsid w:val="00306CE1"/>
    <w:rsid w:val="0030700C"/>
    <w:rsid w:val="0030739A"/>
    <w:rsid w:val="00307549"/>
    <w:rsid w:val="00307B68"/>
    <w:rsid w:val="00307D0B"/>
    <w:rsid w:val="00307FED"/>
    <w:rsid w:val="0031040D"/>
    <w:rsid w:val="00310440"/>
    <w:rsid w:val="003105AF"/>
    <w:rsid w:val="003106DD"/>
    <w:rsid w:val="00310B1D"/>
    <w:rsid w:val="00310B75"/>
    <w:rsid w:val="0031136F"/>
    <w:rsid w:val="00311A7D"/>
    <w:rsid w:val="00311B5F"/>
    <w:rsid w:val="0031206D"/>
    <w:rsid w:val="003124BE"/>
    <w:rsid w:val="00312807"/>
    <w:rsid w:val="00312890"/>
    <w:rsid w:val="00312BC9"/>
    <w:rsid w:val="00312F8F"/>
    <w:rsid w:val="0031324C"/>
    <w:rsid w:val="0031384F"/>
    <w:rsid w:val="00313BDA"/>
    <w:rsid w:val="0031418D"/>
    <w:rsid w:val="0031419C"/>
    <w:rsid w:val="003142FB"/>
    <w:rsid w:val="0031438A"/>
    <w:rsid w:val="003147F7"/>
    <w:rsid w:val="00314BA2"/>
    <w:rsid w:val="00314F48"/>
    <w:rsid w:val="00315887"/>
    <w:rsid w:val="00315D48"/>
    <w:rsid w:val="00315E02"/>
    <w:rsid w:val="00315F62"/>
    <w:rsid w:val="0031608D"/>
    <w:rsid w:val="0031650D"/>
    <w:rsid w:val="003173C4"/>
    <w:rsid w:val="00317E74"/>
    <w:rsid w:val="003203FC"/>
    <w:rsid w:val="00320CC2"/>
    <w:rsid w:val="00320EA1"/>
    <w:rsid w:val="003213E2"/>
    <w:rsid w:val="0032140A"/>
    <w:rsid w:val="003216DC"/>
    <w:rsid w:val="003219A0"/>
    <w:rsid w:val="00321A27"/>
    <w:rsid w:val="00321EBB"/>
    <w:rsid w:val="00321F50"/>
    <w:rsid w:val="0032250E"/>
    <w:rsid w:val="00323249"/>
    <w:rsid w:val="00323EBC"/>
    <w:rsid w:val="00324AC2"/>
    <w:rsid w:val="00324C7F"/>
    <w:rsid w:val="003255E9"/>
    <w:rsid w:val="00325FED"/>
    <w:rsid w:val="00326602"/>
    <w:rsid w:val="00326B98"/>
    <w:rsid w:val="00326BD4"/>
    <w:rsid w:val="0032720D"/>
    <w:rsid w:val="003272B6"/>
    <w:rsid w:val="00327AA5"/>
    <w:rsid w:val="00327E05"/>
    <w:rsid w:val="00327FF6"/>
    <w:rsid w:val="00330049"/>
    <w:rsid w:val="0033055B"/>
    <w:rsid w:val="00330976"/>
    <w:rsid w:val="00330D5C"/>
    <w:rsid w:val="00330DF6"/>
    <w:rsid w:val="00330E23"/>
    <w:rsid w:val="00331125"/>
    <w:rsid w:val="0033112B"/>
    <w:rsid w:val="00331188"/>
    <w:rsid w:val="003313A8"/>
    <w:rsid w:val="00331812"/>
    <w:rsid w:val="00331D1B"/>
    <w:rsid w:val="00331F6A"/>
    <w:rsid w:val="00331FE5"/>
    <w:rsid w:val="003329F4"/>
    <w:rsid w:val="00332C6E"/>
    <w:rsid w:val="00332C7A"/>
    <w:rsid w:val="00333076"/>
    <w:rsid w:val="00333A75"/>
    <w:rsid w:val="00333AB0"/>
    <w:rsid w:val="00333C92"/>
    <w:rsid w:val="00333DA1"/>
    <w:rsid w:val="0033425E"/>
    <w:rsid w:val="0033451A"/>
    <w:rsid w:val="003349C8"/>
    <w:rsid w:val="00335E73"/>
    <w:rsid w:val="003375C5"/>
    <w:rsid w:val="003402EE"/>
    <w:rsid w:val="003405A2"/>
    <w:rsid w:val="00340EC8"/>
    <w:rsid w:val="00340F5C"/>
    <w:rsid w:val="003417C3"/>
    <w:rsid w:val="00341813"/>
    <w:rsid w:val="00342867"/>
    <w:rsid w:val="00342A96"/>
    <w:rsid w:val="00342BAE"/>
    <w:rsid w:val="00342C10"/>
    <w:rsid w:val="00343266"/>
    <w:rsid w:val="003438D0"/>
    <w:rsid w:val="00343E1C"/>
    <w:rsid w:val="003444DC"/>
    <w:rsid w:val="00344873"/>
    <w:rsid w:val="00344913"/>
    <w:rsid w:val="00344E1C"/>
    <w:rsid w:val="00345BD9"/>
    <w:rsid w:val="00346325"/>
    <w:rsid w:val="00346E39"/>
    <w:rsid w:val="00346FBE"/>
    <w:rsid w:val="00347128"/>
    <w:rsid w:val="0034766B"/>
    <w:rsid w:val="003476D1"/>
    <w:rsid w:val="0034781A"/>
    <w:rsid w:val="0034798E"/>
    <w:rsid w:val="00347BBF"/>
    <w:rsid w:val="00347C2E"/>
    <w:rsid w:val="00347E11"/>
    <w:rsid w:val="0035016E"/>
    <w:rsid w:val="003505B9"/>
    <w:rsid w:val="00351455"/>
    <w:rsid w:val="003522EA"/>
    <w:rsid w:val="003529AC"/>
    <w:rsid w:val="00352EB3"/>
    <w:rsid w:val="003532D4"/>
    <w:rsid w:val="00353B4E"/>
    <w:rsid w:val="00354656"/>
    <w:rsid w:val="003549BD"/>
    <w:rsid w:val="00354CAE"/>
    <w:rsid w:val="0035527B"/>
    <w:rsid w:val="00355B91"/>
    <w:rsid w:val="00355EF3"/>
    <w:rsid w:val="0035645B"/>
    <w:rsid w:val="00356580"/>
    <w:rsid w:val="00356584"/>
    <w:rsid w:val="00356A5B"/>
    <w:rsid w:val="00356D9F"/>
    <w:rsid w:val="00356FE2"/>
    <w:rsid w:val="003574DA"/>
    <w:rsid w:val="00357EC6"/>
    <w:rsid w:val="00360643"/>
    <w:rsid w:val="0036080B"/>
    <w:rsid w:val="0036082E"/>
    <w:rsid w:val="0036104D"/>
    <w:rsid w:val="0036136F"/>
    <w:rsid w:val="003615DB"/>
    <w:rsid w:val="00361669"/>
    <w:rsid w:val="003616D3"/>
    <w:rsid w:val="003617C2"/>
    <w:rsid w:val="00361AA8"/>
    <w:rsid w:val="00361DFE"/>
    <w:rsid w:val="00362570"/>
    <w:rsid w:val="00362954"/>
    <w:rsid w:val="00362C4D"/>
    <w:rsid w:val="003636C6"/>
    <w:rsid w:val="003636E7"/>
    <w:rsid w:val="0036376C"/>
    <w:rsid w:val="00363CF5"/>
    <w:rsid w:val="00364025"/>
    <w:rsid w:val="003642A1"/>
    <w:rsid w:val="00364863"/>
    <w:rsid w:val="00364BF3"/>
    <w:rsid w:val="00364CBE"/>
    <w:rsid w:val="00364DAB"/>
    <w:rsid w:val="00364E01"/>
    <w:rsid w:val="00364E5B"/>
    <w:rsid w:val="00365021"/>
    <w:rsid w:val="0036529E"/>
    <w:rsid w:val="003654FE"/>
    <w:rsid w:val="003656F0"/>
    <w:rsid w:val="00365E3C"/>
    <w:rsid w:val="00365EBF"/>
    <w:rsid w:val="00366281"/>
    <w:rsid w:val="00366986"/>
    <w:rsid w:val="00366B7F"/>
    <w:rsid w:val="00366C1B"/>
    <w:rsid w:val="00366FAF"/>
    <w:rsid w:val="003673C0"/>
    <w:rsid w:val="00367435"/>
    <w:rsid w:val="003677BC"/>
    <w:rsid w:val="00367831"/>
    <w:rsid w:val="00367DBA"/>
    <w:rsid w:val="003702F1"/>
    <w:rsid w:val="0037034A"/>
    <w:rsid w:val="003711C1"/>
    <w:rsid w:val="00372174"/>
    <w:rsid w:val="003729CA"/>
    <w:rsid w:val="00373284"/>
    <w:rsid w:val="00373675"/>
    <w:rsid w:val="003738EC"/>
    <w:rsid w:val="00373DCB"/>
    <w:rsid w:val="00374615"/>
    <w:rsid w:val="00374FEB"/>
    <w:rsid w:val="0037502F"/>
    <w:rsid w:val="00375178"/>
    <w:rsid w:val="00375639"/>
    <w:rsid w:val="00375B39"/>
    <w:rsid w:val="00375C51"/>
    <w:rsid w:val="003762AA"/>
    <w:rsid w:val="00376379"/>
    <w:rsid w:val="00376592"/>
    <w:rsid w:val="003769A6"/>
    <w:rsid w:val="00376E15"/>
    <w:rsid w:val="003778C5"/>
    <w:rsid w:val="00380054"/>
    <w:rsid w:val="00380255"/>
    <w:rsid w:val="003803F5"/>
    <w:rsid w:val="00380876"/>
    <w:rsid w:val="00380916"/>
    <w:rsid w:val="00380D56"/>
    <w:rsid w:val="00380F1C"/>
    <w:rsid w:val="00381582"/>
    <w:rsid w:val="00381B05"/>
    <w:rsid w:val="00382209"/>
    <w:rsid w:val="003822E4"/>
    <w:rsid w:val="0038230D"/>
    <w:rsid w:val="00382B68"/>
    <w:rsid w:val="00382FE9"/>
    <w:rsid w:val="003836A8"/>
    <w:rsid w:val="00384E4D"/>
    <w:rsid w:val="00384F23"/>
    <w:rsid w:val="003859B5"/>
    <w:rsid w:val="00385C75"/>
    <w:rsid w:val="00386225"/>
    <w:rsid w:val="003865A3"/>
    <w:rsid w:val="00386772"/>
    <w:rsid w:val="00386A3A"/>
    <w:rsid w:val="00386B5E"/>
    <w:rsid w:val="00386C00"/>
    <w:rsid w:val="00386C54"/>
    <w:rsid w:val="00387D3E"/>
    <w:rsid w:val="003900A8"/>
    <w:rsid w:val="00390AEE"/>
    <w:rsid w:val="00390BD1"/>
    <w:rsid w:val="00390E4B"/>
    <w:rsid w:val="00390FAA"/>
    <w:rsid w:val="00391025"/>
    <w:rsid w:val="0039104F"/>
    <w:rsid w:val="003915E9"/>
    <w:rsid w:val="003916DD"/>
    <w:rsid w:val="0039171E"/>
    <w:rsid w:val="0039182F"/>
    <w:rsid w:val="003919BD"/>
    <w:rsid w:val="00391CC3"/>
    <w:rsid w:val="00391FAD"/>
    <w:rsid w:val="003923EF"/>
    <w:rsid w:val="0039265E"/>
    <w:rsid w:val="0039300C"/>
    <w:rsid w:val="003932F7"/>
    <w:rsid w:val="00393496"/>
    <w:rsid w:val="00393C23"/>
    <w:rsid w:val="00393E04"/>
    <w:rsid w:val="0039424F"/>
    <w:rsid w:val="0039453B"/>
    <w:rsid w:val="0039454D"/>
    <w:rsid w:val="0039474F"/>
    <w:rsid w:val="00394924"/>
    <w:rsid w:val="00394AB5"/>
    <w:rsid w:val="003955C6"/>
    <w:rsid w:val="003959E5"/>
    <w:rsid w:val="00396155"/>
    <w:rsid w:val="003968CC"/>
    <w:rsid w:val="00396AA7"/>
    <w:rsid w:val="00397139"/>
    <w:rsid w:val="00397D88"/>
    <w:rsid w:val="003A02AF"/>
    <w:rsid w:val="003A0A85"/>
    <w:rsid w:val="003A0DED"/>
    <w:rsid w:val="003A0F99"/>
    <w:rsid w:val="003A101C"/>
    <w:rsid w:val="003A2439"/>
    <w:rsid w:val="003A295A"/>
    <w:rsid w:val="003A29D8"/>
    <w:rsid w:val="003A316F"/>
    <w:rsid w:val="003A403C"/>
    <w:rsid w:val="003A40FD"/>
    <w:rsid w:val="003A480B"/>
    <w:rsid w:val="003A4B7D"/>
    <w:rsid w:val="003A4E7E"/>
    <w:rsid w:val="003A51EF"/>
    <w:rsid w:val="003A51FF"/>
    <w:rsid w:val="003A5341"/>
    <w:rsid w:val="003A5639"/>
    <w:rsid w:val="003A5D56"/>
    <w:rsid w:val="003A602C"/>
    <w:rsid w:val="003A60B3"/>
    <w:rsid w:val="003A6483"/>
    <w:rsid w:val="003A6959"/>
    <w:rsid w:val="003A6A66"/>
    <w:rsid w:val="003A6E20"/>
    <w:rsid w:val="003A6EC4"/>
    <w:rsid w:val="003A7174"/>
    <w:rsid w:val="003A75BC"/>
    <w:rsid w:val="003B01E5"/>
    <w:rsid w:val="003B02C0"/>
    <w:rsid w:val="003B0AA8"/>
    <w:rsid w:val="003B0D8A"/>
    <w:rsid w:val="003B1121"/>
    <w:rsid w:val="003B157F"/>
    <w:rsid w:val="003B2233"/>
    <w:rsid w:val="003B25DE"/>
    <w:rsid w:val="003B354A"/>
    <w:rsid w:val="003B3573"/>
    <w:rsid w:val="003B37D4"/>
    <w:rsid w:val="003B3B0C"/>
    <w:rsid w:val="003B3B87"/>
    <w:rsid w:val="003B3EAA"/>
    <w:rsid w:val="003B411C"/>
    <w:rsid w:val="003B4395"/>
    <w:rsid w:val="003B46D8"/>
    <w:rsid w:val="003B50F4"/>
    <w:rsid w:val="003B5321"/>
    <w:rsid w:val="003B565E"/>
    <w:rsid w:val="003B5FBF"/>
    <w:rsid w:val="003B6F39"/>
    <w:rsid w:val="003B6FA4"/>
    <w:rsid w:val="003B7100"/>
    <w:rsid w:val="003B795B"/>
    <w:rsid w:val="003B7E53"/>
    <w:rsid w:val="003B7F72"/>
    <w:rsid w:val="003B7FC1"/>
    <w:rsid w:val="003C038F"/>
    <w:rsid w:val="003C06B0"/>
    <w:rsid w:val="003C1034"/>
    <w:rsid w:val="003C1306"/>
    <w:rsid w:val="003C189D"/>
    <w:rsid w:val="003C1CC4"/>
    <w:rsid w:val="003C1E6D"/>
    <w:rsid w:val="003C27D2"/>
    <w:rsid w:val="003C282E"/>
    <w:rsid w:val="003C2DF9"/>
    <w:rsid w:val="003C310B"/>
    <w:rsid w:val="003C3277"/>
    <w:rsid w:val="003C32D2"/>
    <w:rsid w:val="003C3463"/>
    <w:rsid w:val="003C3882"/>
    <w:rsid w:val="003C3A01"/>
    <w:rsid w:val="003C3BD2"/>
    <w:rsid w:val="003C3CCB"/>
    <w:rsid w:val="003C3FF0"/>
    <w:rsid w:val="003C40AD"/>
    <w:rsid w:val="003C42E2"/>
    <w:rsid w:val="003C43CE"/>
    <w:rsid w:val="003C43F3"/>
    <w:rsid w:val="003C462E"/>
    <w:rsid w:val="003C49E8"/>
    <w:rsid w:val="003C5160"/>
    <w:rsid w:val="003C556A"/>
    <w:rsid w:val="003C5617"/>
    <w:rsid w:val="003C576F"/>
    <w:rsid w:val="003C579B"/>
    <w:rsid w:val="003C58B8"/>
    <w:rsid w:val="003C5E02"/>
    <w:rsid w:val="003C65E3"/>
    <w:rsid w:val="003C6735"/>
    <w:rsid w:val="003C67B2"/>
    <w:rsid w:val="003C699E"/>
    <w:rsid w:val="003C69A5"/>
    <w:rsid w:val="003C6DB3"/>
    <w:rsid w:val="003C7828"/>
    <w:rsid w:val="003C799D"/>
    <w:rsid w:val="003C7A5D"/>
    <w:rsid w:val="003D044A"/>
    <w:rsid w:val="003D0858"/>
    <w:rsid w:val="003D08F4"/>
    <w:rsid w:val="003D08F7"/>
    <w:rsid w:val="003D15C1"/>
    <w:rsid w:val="003D170F"/>
    <w:rsid w:val="003D17E0"/>
    <w:rsid w:val="003D1C11"/>
    <w:rsid w:val="003D2014"/>
    <w:rsid w:val="003D212F"/>
    <w:rsid w:val="003D2E5C"/>
    <w:rsid w:val="003D3079"/>
    <w:rsid w:val="003D3A84"/>
    <w:rsid w:val="003D3ADC"/>
    <w:rsid w:val="003D3E58"/>
    <w:rsid w:val="003D44FC"/>
    <w:rsid w:val="003D45BB"/>
    <w:rsid w:val="003D4F4A"/>
    <w:rsid w:val="003D58AE"/>
    <w:rsid w:val="003D5C63"/>
    <w:rsid w:val="003D60A0"/>
    <w:rsid w:val="003D62A9"/>
    <w:rsid w:val="003D68D2"/>
    <w:rsid w:val="003D6EC5"/>
    <w:rsid w:val="003D77C3"/>
    <w:rsid w:val="003E04B7"/>
    <w:rsid w:val="003E0BCA"/>
    <w:rsid w:val="003E18F3"/>
    <w:rsid w:val="003E1AD7"/>
    <w:rsid w:val="003E1D34"/>
    <w:rsid w:val="003E1FB5"/>
    <w:rsid w:val="003E2246"/>
    <w:rsid w:val="003E23AD"/>
    <w:rsid w:val="003E25F6"/>
    <w:rsid w:val="003E2E69"/>
    <w:rsid w:val="003E2FAB"/>
    <w:rsid w:val="003E3140"/>
    <w:rsid w:val="003E3A80"/>
    <w:rsid w:val="003E3B6C"/>
    <w:rsid w:val="003E3DF4"/>
    <w:rsid w:val="003E4289"/>
    <w:rsid w:val="003E4933"/>
    <w:rsid w:val="003E49F0"/>
    <w:rsid w:val="003E4C52"/>
    <w:rsid w:val="003E5242"/>
    <w:rsid w:val="003E52BE"/>
    <w:rsid w:val="003E594F"/>
    <w:rsid w:val="003E5990"/>
    <w:rsid w:val="003E5A87"/>
    <w:rsid w:val="003E5C0A"/>
    <w:rsid w:val="003E6B7B"/>
    <w:rsid w:val="003E7018"/>
    <w:rsid w:val="003E7413"/>
    <w:rsid w:val="003E7940"/>
    <w:rsid w:val="003E7BF0"/>
    <w:rsid w:val="003F0168"/>
    <w:rsid w:val="003F0179"/>
    <w:rsid w:val="003F0201"/>
    <w:rsid w:val="003F02AB"/>
    <w:rsid w:val="003F0710"/>
    <w:rsid w:val="003F085D"/>
    <w:rsid w:val="003F0C17"/>
    <w:rsid w:val="003F183F"/>
    <w:rsid w:val="003F1A24"/>
    <w:rsid w:val="003F22FD"/>
    <w:rsid w:val="003F2519"/>
    <w:rsid w:val="003F26AB"/>
    <w:rsid w:val="003F2A45"/>
    <w:rsid w:val="003F2BD6"/>
    <w:rsid w:val="003F2CC4"/>
    <w:rsid w:val="003F39BD"/>
    <w:rsid w:val="003F3A88"/>
    <w:rsid w:val="003F3D88"/>
    <w:rsid w:val="003F448B"/>
    <w:rsid w:val="003F449B"/>
    <w:rsid w:val="003F46C9"/>
    <w:rsid w:val="003F4ACB"/>
    <w:rsid w:val="003F548B"/>
    <w:rsid w:val="003F551A"/>
    <w:rsid w:val="003F5C46"/>
    <w:rsid w:val="003F5F88"/>
    <w:rsid w:val="003F6105"/>
    <w:rsid w:val="003F619B"/>
    <w:rsid w:val="003F6423"/>
    <w:rsid w:val="003F687D"/>
    <w:rsid w:val="003F75B3"/>
    <w:rsid w:val="003F7E0D"/>
    <w:rsid w:val="004001AC"/>
    <w:rsid w:val="0040063A"/>
    <w:rsid w:val="00400AEB"/>
    <w:rsid w:val="00400BEA"/>
    <w:rsid w:val="004016C0"/>
    <w:rsid w:val="004016CA"/>
    <w:rsid w:val="00401C62"/>
    <w:rsid w:val="00402867"/>
    <w:rsid w:val="00402A58"/>
    <w:rsid w:val="00402D34"/>
    <w:rsid w:val="0040310E"/>
    <w:rsid w:val="00403AF2"/>
    <w:rsid w:val="00403C22"/>
    <w:rsid w:val="00403D43"/>
    <w:rsid w:val="00403D8A"/>
    <w:rsid w:val="00404552"/>
    <w:rsid w:val="004047EF"/>
    <w:rsid w:val="00404D28"/>
    <w:rsid w:val="00404D8F"/>
    <w:rsid w:val="004050E2"/>
    <w:rsid w:val="004052D0"/>
    <w:rsid w:val="0040534A"/>
    <w:rsid w:val="00405429"/>
    <w:rsid w:val="004064F7"/>
    <w:rsid w:val="00407169"/>
    <w:rsid w:val="004073DF"/>
    <w:rsid w:val="00407909"/>
    <w:rsid w:val="004079FD"/>
    <w:rsid w:val="00407CAD"/>
    <w:rsid w:val="00410172"/>
    <w:rsid w:val="00410230"/>
    <w:rsid w:val="00410760"/>
    <w:rsid w:val="004112C8"/>
    <w:rsid w:val="004114DC"/>
    <w:rsid w:val="00411618"/>
    <w:rsid w:val="00412393"/>
    <w:rsid w:val="00413C52"/>
    <w:rsid w:val="00413D9A"/>
    <w:rsid w:val="004140FA"/>
    <w:rsid w:val="004149CA"/>
    <w:rsid w:val="00415861"/>
    <w:rsid w:val="004159BA"/>
    <w:rsid w:val="00415F4F"/>
    <w:rsid w:val="004160E3"/>
    <w:rsid w:val="004163DE"/>
    <w:rsid w:val="00416407"/>
    <w:rsid w:val="00416598"/>
    <w:rsid w:val="00416A7F"/>
    <w:rsid w:val="00416DD9"/>
    <w:rsid w:val="004174C9"/>
    <w:rsid w:val="004178F7"/>
    <w:rsid w:val="00417AD9"/>
    <w:rsid w:val="00417EC5"/>
    <w:rsid w:val="00420C72"/>
    <w:rsid w:val="0042139A"/>
    <w:rsid w:val="004219B9"/>
    <w:rsid w:val="00421C68"/>
    <w:rsid w:val="00422175"/>
    <w:rsid w:val="00422566"/>
    <w:rsid w:val="00422DF5"/>
    <w:rsid w:val="004234A1"/>
    <w:rsid w:val="0042377E"/>
    <w:rsid w:val="00423BBE"/>
    <w:rsid w:val="00423D4F"/>
    <w:rsid w:val="00424207"/>
    <w:rsid w:val="004243EC"/>
    <w:rsid w:val="00424B7C"/>
    <w:rsid w:val="00424C22"/>
    <w:rsid w:val="004257DA"/>
    <w:rsid w:val="00425AF4"/>
    <w:rsid w:val="00425DA9"/>
    <w:rsid w:val="00426588"/>
    <w:rsid w:val="00426EEA"/>
    <w:rsid w:val="00426F2A"/>
    <w:rsid w:val="00427BA8"/>
    <w:rsid w:val="00427DDD"/>
    <w:rsid w:val="00427E30"/>
    <w:rsid w:val="00430095"/>
    <w:rsid w:val="00430798"/>
    <w:rsid w:val="00430D51"/>
    <w:rsid w:val="00430EBF"/>
    <w:rsid w:val="00430F52"/>
    <w:rsid w:val="00430FAB"/>
    <w:rsid w:val="00431CF1"/>
    <w:rsid w:val="00431D1F"/>
    <w:rsid w:val="004327E9"/>
    <w:rsid w:val="00432CA0"/>
    <w:rsid w:val="00432D0D"/>
    <w:rsid w:val="00432F1D"/>
    <w:rsid w:val="00432F8D"/>
    <w:rsid w:val="00433720"/>
    <w:rsid w:val="004339AE"/>
    <w:rsid w:val="00433BCE"/>
    <w:rsid w:val="00435659"/>
    <w:rsid w:val="00435730"/>
    <w:rsid w:val="00435BBD"/>
    <w:rsid w:val="004360ED"/>
    <w:rsid w:val="00436ABC"/>
    <w:rsid w:val="00436BC2"/>
    <w:rsid w:val="00437633"/>
    <w:rsid w:val="004377BA"/>
    <w:rsid w:val="00437911"/>
    <w:rsid w:val="00437E76"/>
    <w:rsid w:val="00440435"/>
    <w:rsid w:val="0044080B"/>
    <w:rsid w:val="00440CD9"/>
    <w:rsid w:val="0044132B"/>
    <w:rsid w:val="004415BB"/>
    <w:rsid w:val="00441ED5"/>
    <w:rsid w:val="00441F14"/>
    <w:rsid w:val="004423FA"/>
    <w:rsid w:val="00442682"/>
    <w:rsid w:val="00442D34"/>
    <w:rsid w:val="00443F19"/>
    <w:rsid w:val="00444086"/>
    <w:rsid w:val="00444783"/>
    <w:rsid w:val="00444BA1"/>
    <w:rsid w:val="00445837"/>
    <w:rsid w:val="00446075"/>
    <w:rsid w:val="004467D4"/>
    <w:rsid w:val="00446A61"/>
    <w:rsid w:val="00446EBF"/>
    <w:rsid w:val="00450366"/>
    <w:rsid w:val="00450960"/>
    <w:rsid w:val="00450FE4"/>
    <w:rsid w:val="0045136B"/>
    <w:rsid w:val="004513D2"/>
    <w:rsid w:val="00451A6C"/>
    <w:rsid w:val="00451EB3"/>
    <w:rsid w:val="00452E99"/>
    <w:rsid w:val="00453135"/>
    <w:rsid w:val="004537B6"/>
    <w:rsid w:val="00453AE6"/>
    <w:rsid w:val="00453DE5"/>
    <w:rsid w:val="00453E4A"/>
    <w:rsid w:val="00453F5B"/>
    <w:rsid w:val="0045453C"/>
    <w:rsid w:val="0045487B"/>
    <w:rsid w:val="00454A14"/>
    <w:rsid w:val="00454E62"/>
    <w:rsid w:val="00455426"/>
    <w:rsid w:val="0045555A"/>
    <w:rsid w:val="0045586D"/>
    <w:rsid w:val="0045594C"/>
    <w:rsid w:val="004559D4"/>
    <w:rsid w:val="0045600F"/>
    <w:rsid w:val="00456906"/>
    <w:rsid w:val="00456D69"/>
    <w:rsid w:val="004570DD"/>
    <w:rsid w:val="004573B2"/>
    <w:rsid w:val="00457AA1"/>
    <w:rsid w:val="0046084F"/>
    <w:rsid w:val="004608EC"/>
    <w:rsid w:val="00460A20"/>
    <w:rsid w:val="00460B7E"/>
    <w:rsid w:val="00460E4D"/>
    <w:rsid w:val="004612A0"/>
    <w:rsid w:val="00461731"/>
    <w:rsid w:val="004619E8"/>
    <w:rsid w:val="0046202F"/>
    <w:rsid w:val="00462809"/>
    <w:rsid w:val="00462D66"/>
    <w:rsid w:val="00463162"/>
    <w:rsid w:val="0046324C"/>
    <w:rsid w:val="00463740"/>
    <w:rsid w:val="004637D3"/>
    <w:rsid w:val="0046380E"/>
    <w:rsid w:val="00463D34"/>
    <w:rsid w:val="00463D3C"/>
    <w:rsid w:val="00463EEB"/>
    <w:rsid w:val="00463F5E"/>
    <w:rsid w:val="004645E0"/>
    <w:rsid w:val="00464821"/>
    <w:rsid w:val="0046502E"/>
    <w:rsid w:val="00465473"/>
    <w:rsid w:val="0046639E"/>
    <w:rsid w:val="004663AE"/>
    <w:rsid w:val="00466722"/>
    <w:rsid w:val="004668A0"/>
    <w:rsid w:val="00466A65"/>
    <w:rsid w:val="00466C96"/>
    <w:rsid w:val="00466F4E"/>
    <w:rsid w:val="00467499"/>
    <w:rsid w:val="00467A3D"/>
    <w:rsid w:val="00470681"/>
    <w:rsid w:val="00470C96"/>
    <w:rsid w:val="0047110A"/>
    <w:rsid w:val="0047133F"/>
    <w:rsid w:val="0047161A"/>
    <w:rsid w:val="00471B97"/>
    <w:rsid w:val="004720B3"/>
    <w:rsid w:val="00472785"/>
    <w:rsid w:val="00472BA9"/>
    <w:rsid w:val="004738F1"/>
    <w:rsid w:val="00473D27"/>
    <w:rsid w:val="004741FA"/>
    <w:rsid w:val="00474272"/>
    <w:rsid w:val="00474549"/>
    <w:rsid w:val="00474B63"/>
    <w:rsid w:val="00474CC4"/>
    <w:rsid w:val="0047558B"/>
    <w:rsid w:val="004755C4"/>
    <w:rsid w:val="00475830"/>
    <w:rsid w:val="0047596E"/>
    <w:rsid w:val="00475C1E"/>
    <w:rsid w:val="00475C3E"/>
    <w:rsid w:val="00475D8C"/>
    <w:rsid w:val="00475DBA"/>
    <w:rsid w:val="00475EC2"/>
    <w:rsid w:val="0047600A"/>
    <w:rsid w:val="00476195"/>
    <w:rsid w:val="00476344"/>
    <w:rsid w:val="00476588"/>
    <w:rsid w:val="004767EC"/>
    <w:rsid w:val="00476B1F"/>
    <w:rsid w:val="00477455"/>
    <w:rsid w:val="0047769E"/>
    <w:rsid w:val="00477BD9"/>
    <w:rsid w:val="00480140"/>
    <w:rsid w:val="00480231"/>
    <w:rsid w:val="00480496"/>
    <w:rsid w:val="004808B1"/>
    <w:rsid w:val="00480D3D"/>
    <w:rsid w:val="00480EAD"/>
    <w:rsid w:val="00480FF5"/>
    <w:rsid w:val="00481851"/>
    <w:rsid w:val="00481BE2"/>
    <w:rsid w:val="00482E1B"/>
    <w:rsid w:val="0048384F"/>
    <w:rsid w:val="004839CB"/>
    <w:rsid w:val="00484429"/>
    <w:rsid w:val="00484687"/>
    <w:rsid w:val="00484A32"/>
    <w:rsid w:val="00484DB7"/>
    <w:rsid w:val="0048541E"/>
    <w:rsid w:val="00485466"/>
    <w:rsid w:val="0048607F"/>
    <w:rsid w:val="004861FB"/>
    <w:rsid w:val="004863DB"/>
    <w:rsid w:val="004866C5"/>
    <w:rsid w:val="0048688F"/>
    <w:rsid w:val="004869DB"/>
    <w:rsid w:val="00486F45"/>
    <w:rsid w:val="004874C9"/>
    <w:rsid w:val="00487689"/>
    <w:rsid w:val="00487AFC"/>
    <w:rsid w:val="0049029B"/>
    <w:rsid w:val="004904F1"/>
    <w:rsid w:val="00490BB5"/>
    <w:rsid w:val="00490C43"/>
    <w:rsid w:val="00491181"/>
    <w:rsid w:val="00491203"/>
    <w:rsid w:val="004916BF"/>
    <w:rsid w:val="00491AF8"/>
    <w:rsid w:val="00491F98"/>
    <w:rsid w:val="00492165"/>
    <w:rsid w:val="00492195"/>
    <w:rsid w:val="0049231D"/>
    <w:rsid w:val="00492327"/>
    <w:rsid w:val="0049237D"/>
    <w:rsid w:val="00492C45"/>
    <w:rsid w:val="00492D60"/>
    <w:rsid w:val="0049372D"/>
    <w:rsid w:val="00493BE0"/>
    <w:rsid w:val="00493DE3"/>
    <w:rsid w:val="00494152"/>
    <w:rsid w:val="0049433B"/>
    <w:rsid w:val="00494562"/>
    <w:rsid w:val="004945F9"/>
    <w:rsid w:val="00494A88"/>
    <w:rsid w:val="00494D1E"/>
    <w:rsid w:val="00494F85"/>
    <w:rsid w:val="00494FBD"/>
    <w:rsid w:val="0049566F"/>
    <w:rsid w:val="00495749"/>
    <w:rsid w:val="004959B5"/>
    <w:rsid w:val="0049630C"/>
    <w:rsid w:val="004969FE"/>
    <w:rsid w:val="00496BC8"/>
    <w:rsid w:val="00496E41"/>
    <w:rsid w:val="00496F18"/>
    <w:rsid w:val="00496F6F"/>
    <w:rsid w:val="004974F6"/>
    <w:rsid w:val="00497BB5"/>
    <w:rsid w:val="00497BCC"/>
    <w:rsid w:val="00497D7D"/>
    <w:rsid w:val="00497D89"/>
    <w:rsid w:val="00497E55"/>
    <w:rsid w:val="004A0018"/>
    <w:rsid w:val="004A04A1"/>
    <w:rsid w:val="004A08CE"/>
    <w:rsid w:val="004A1006"/>
    <w:rsid w:val="004A144B"/>
    <w:rsid w:val="004A148A"/>
    <w:rsid w:val="004A1EA0"/>
    <w:rsid w:val="004A20C3"/>
    <w:rsid w:val="004A29FA"/>
    <w:rsid w:val="004A29FF"/>
    <w:rsid w:val="004A3033"/>
    <w:rsid w:val="004A364F"/>
    <w:rsid w:val="004A3E03"/>
    <w:rsid w:val="004A3F8F"/>
    <w:rsid w:val="004A466F"/>
    <w:rsid w:val="004A589F"/>
    <w:rsid w:val="004A5A4B"/>
    <w:rsid w:val="004A5C18"/>
    <w:rsid w:val="004A6257"/>
    <w:rsid w:val="004A669D"/>
    <w:rsid w:val="004A68C3"/>
    <w:rsid w:val="004A68E0"/>
    <w:rsid w:val="004A6AB7"/>
    <w:rsid w:val="004A6C6B"/>
    <w:rsid w:val="004A6FD4"/>
    <w:rsid w:val="004A70B3"/>
    <w:rsid w:val="004A7341"/>
    <w:rsid w:val="004A7533"/>
    <w:rsid w:val="004A78F9"/>
    <w:rsid w:val="004A7CF9"/>
    <w:rsid w:val="004B021F"/>
    <w:rsid w:val="004B0A65"/>
    <w:rsid w:val="004B0BB9"/>
    <w:rsid w:val="004B0E18"/>
    <w:rsid w:val="004B0E99"/>
    <w:rsid w:val="004B1245"/>
    <w:rsid w:val="004B151A"/>
    <w:rsid w:val="004B18A3"/>
    <w:rsid w:val="004B190D"/>
    <w:rsid w:val="004B196C"/>
    <w:rsid w:val="004B1D68"/>
    <w:rsid w:val="004B2A7F"/>
    <w:rsid w:val="004B2DFF"/>
    <w:rsid w:val="004B3045"/>
    <w:rsid w:val="004B3881"/>
    <w:rsid w:val="004B39B6"/>
    <w:rsid w:val="004B3E03"/>
    <w:rsid w:val="004B3F87"/>
    <w:rsid w:val="004B41BA"/>
    <w:rsid w:val="004B4279"/>
    <w:rsid w:val="004B4403"/>
    <w:rsid w:val="004B4991"/>
    <w:rsid w:val="004B5658"/>
    <w:rsid w:val="004B57F8"/>
    <w:rsid w:val="004B5BFC"/>
    <w:rsid w:val="004B5C99"/>
    <w:rsid w:val="004B61DD"/>
    <w:rsid w:val="004B6512"/>
    <w:rsid w:val="004B6DE4"/>
    <w:rsid w:val="004B6EAA"/>
    <w:rsid w:val="004B7331"/>
    <w:rsid w:val="004B772A"/>
    <w:rsid w:val="004B7B67"/>
    <w:rsid w:val="004B7D6C"/>
    <w:rsid w:val="004C02D9"/>
    <w:rsid w:val="004C0DD2"/>
    <w:rsid w:val="004C10C6"/>
    <w:rsid w:val="004C13D4"/>
    <w:rsid w:val="004C2291"/>
    <w:rsid w:val="004C30A4"/>
    <w:rsid w:val="004C3299"/>
    <w:rsid w:val="004C3923"/>
    <w:rsid w:val="004C3931"/>
    <w:rsid w:val="004C422B"/>
    <w:rsid w:val="004C430D"/>
    <w:rsid w:val="004C468F"/>
    <w:rsid w:val="004C4CAA"/>
    <w:rsid w:val="004C50B2"/>
    <w:rsid w:val="004C54CC"/>
    <w:rsid w:val="004C5860"/>
    <w:rsid w:val="004C58FB"/>
    <w:rsid w:val="004C5C9C"/>
    <w:rsid w:val="004C5CFD"/>
    <w:rsid w:val="004C62F4"/>
    <w:rsid w:val="004C675F"/>
    <w:rsid w:val="004C6842"/>
    <w:rsid w:val="004C6A8C"/>
    <w:rsid w:val="004C6D09"/>
    <w:rsid w:val="004C7AE7"/>
    <w:rsid w:val="004D03FA"/>
    <w:rsid w:val="004D045E"/>
    <w:rsid w:val="004D04CE"/>
    <w:rsid w:val="004D0621"/>
    <w:rsid w:val="004D0B3B"/>
    <w:rsid w:val="004D0F32"/>
    <w:rsid w:val="004D11F8"/>
    <w:rsid w:val="004D1436"/>
    <w:rsid w:val="004D1963"/>
    <w:rsid w:val="004D1E3F"/>
    <w:rsid w:val="004D1F0D"/>
    <w:rsid w:val="004D2AB2"/>
    <w:rsid w:val="004D2DED"/>
    <w:rsid w:val="004D303F"/>
    <w:rsid w:val="004D34D7"/>
    <w:rsid w:val="004D362C"/>
    <w:rsid w:val="004D38E5"/>
    <w:rsid w:val="004D429B"/>
    <w:rsid w:val="004D4561"/>
    <w:rsid w:val="004D48DF"/>
    <w:rsid w:val="004D5352"/>
    <w:rsid w:val="004D581F"/>
    <w:rsid w:val="004D58A4"/>
    <w:rsid w:val="004D6135"/>
    <w:rsid w:val="004D6139"/>
    <w:rsid w:val="004D62BF"/>
    <w:rsid w:val="004D7649"/>
    <w:rsid w:val="004D78CD"/>
    <w:rsid w:val="004D78DE"/>
    <w:rsid w:val="004D7A3A"/>
    <w:rsid w:val="004D7ACE"/>
    <w:rsid w:val="004D7ED2"/>
    <w:rsid w:val="004E0870"/>
    <w:rsid w:val="004E1164"/>
    <w:rsid w:val="004E118F"/>
    <w:rsid w:val="004E1288"/>
    <w:rsid w:val="004E16AB"/>
    <w:rsid w:val="004E1A52"/>
    <w:rsid w:val="004E1BA5"/>
    <w:rsid w:val="004E1C4C"/>
    <w:rsid w:val="004E1F68"/>
    <w:rsid w:val="004E269D"/>
    <w:rsid w:val="004E2AE1"/>
    <w:rsid w:val="004E2C9C"/>
    <w:rsid w:val="004E314C"/>
    <w:rsid w:val="004E363F"/>
    <w:rsid w:val="004E3D61"/>
    <w:rsid w:val="004E3D92"/>
    <w:rsid w:val="004E4456"/>
    <w:rsid w:val="004E448C"/>
    <w:rsid w:val="004E44B2"/>
    <w:rsid w:val="004E4563"/>
    <w:rsid w:val="004E48D4"/>
    <w:rsid w:val="004E4958"/>
    <w:rsid w:val="004E4997"/>
    <w:rsid w:val="004E49D2"/>
    <w:rsid w:val="004E512B"/>
    <w:rsid w:val="004E52F5"/>
    <w:rsid w:val="004E542C"/>
    <w:rsid w:val="004E57F8"/>
    <w:rsid w:val="004E58DD"/>
    <w:rsid w:val="004E5B31"/>
    <w:rsid w:val="004E5B90"/>
    <w:rsid w:val="004E5F84"/>
    <w:rsid w:val="004E6359"/>
    <w:rsid w:val="004E66CD"/>
    <w:rsid w:val="004E6744"/>
    <w:rsid w:val="004E6DEA"/>
    <w:rsid w:val="004E7C8B"/>
    <w:rsid w:val="004F00DB"/>
    <w:rsid w:val="004F047A"/>
    <w:rsid w:val="004F0688"/>
    <w:rsid w:val="004F0A1D"/>
    <w:rsid w:val="004F0AA7"/>
    <w:rsid w:val="004F0D9F"/>
    <w:rsid w:val="004F159A"/>
    <w:rsid w:val="004F1CB9"/>
    <w:rsid w:val="004F25BE"/>
    <w:rsid w:val="004F269F"/>
    <w:rsid w:val="004F287B"/>
    <w:rsid w:val="004F2C53"/>
    <w:rsid w:val="004F2CCD"/>
    <w:rsid w:val="004F2E41"/>
    <w:rsid w:val="004F315B"/>
    <w:rsid w:val="004F33A2"/>
    <w:rsid w:val="004F376C"/>
    <w:rsid w:val="004F3A91"/>
    <w:rsid w:val="004F3EA3"/>
    <w:rsid w:val="004F3EB9"/>
    <w:rsid w:val="004F43CE"/>
    <w:rsid w:val="004F4877"/>
    <w:rsid w:val="004F489F"/>
    <w:rsid w:val="004F4F59"/>
    <w:rsid w:val="004F5228"/>
    <w:rsid w:val="004F5277"/>
    <w:rsid w:val="004F5CD4"/>
    <w:rsid w:val="004F5F0D"/>
    <w:rsid w:val="004F5F6E"/>
    <w:rsid w:val="004F6222"/>
    <w:rsid w:val="004F6646"/>
    <w:rsid w:val="004F6817"/>
    <w:rsid w:val="004F685F"/>
    <w:rsid w:val="004F6948"/>
    <w:rsid w:val="004F6AEA"/>
    <w:rsid w:val="004F6E79"/>
    <w:rsid w:val="004F7384"/>
    <w:rsid w:val="004F7B51"/>
    <w:rsid w:val="004F7F01"/>
    <w:rsid w:val="00500090"/>
    <w:rsid w:val="0050017D"/>
    <w:rsid w:val="0050034A"/>
    <w:rsid w:val="00500598"/>
    <w:rsid w:val="0050059B"/>
    <w:rsid w:val="005009DA"/>
    <w:rsid w:val="00500FB9"/>
    <w:rsid w:val="00501197"/>
    <w:rsid w:val="005019E8"/>
    <w:rsid w:val="00501D18"/>
    <w:rsid w:val="00502464"/>
    <w:rsid w:val="005028E9"/>
    <w:rsid w:val="005037D5"/>
    <w:rsid w:val="00503995"/>
    <w:rsid w:val="00504099"/>
    <w:rsid w:val="00504205"/>
    <w:rsid w:val="005043DC"/>
    <w:rsid w:val="00504414"/>
    <w:rsid w:val="0050443D"/>
    <w:rsid w:val="00504512"/>
    <w:rsid w:val="00504581"/>
    <w:rsid w:val="005045B7"/>
    <w:rsid w:val="005047F4"/>
    <w:rsid w:val="005052C8"/>
    <w:rsid w:val="0050581C"/>
    <w:rsid w:val="0050594D"/>
    <w:rsid w:val="00505C1B"/>
    <w:rsid w:val="00505DD6"/>
    <w:rsid w:val="00505E49"/>
    <w:rsid w:val="0050635A"/>
    <w:rsid w:val="0050641E"/>
    <w:rsid w:val="0050643F"/>
    <w:rsid w:val="0050668F"/>
    <w:rsid w:val="00506E1F"/>
    <w:rsid w:val="00506EF7"/>
    <w:rsid w:val="00506F16"/>
    <w:rsid w:val="00507633"/>
    <w:rsid w:val="00507747"/>
    <w:rsid w:val="00507818"/>
    <w:rsid w:val="00507BCC"/>
    <w:rsid w:val="00510333"/>
    <w:rsid w:val="005104B6"/>
    <w:rsid w:val="00510DA1"/>
    <w:rsid w:val="00510E18"/>
    <w:rsid w:val="00510FF5"/>
    <w:rsid w:val="00511486"/>
    <w:rsid w:val="00511846"/>
    <w:rsid w:val="00511934"/>
    <w:rsid w:val="00512661"/>
    <w:rsid w:val="00513A09"/>
    <w:rsid w:val="00513FB6"/>
    <w:rsid w:val="005140BE"/>
    <w:rsid w:val="0051440F"/>
    <w:rsid w:val="005144D5"/>
    <w:rsid w:val="00514B79"/>
    <w:rsid w:val="00514C84"/>
    <w:rsid w:val="00514EA3"/>
    <w:rsid w:val="00515123"/>
    <w:rsid w:val="0051562D"/>
    <w:rsid w:val="00517098"/>
    <w:rsid w:val="005174AC"/>
    <w:rsid w:val="00517674"/>
    <w:rsid w:val="0051775E"/>
    <w:rsid w:val="0051793B"/>
    <w:rsid w:val="00517C19"/>
    <w:rsid w:val="00517C68"/>
    <w:rsid w:val="00520240"/>
    <w:rsid w:val="00520839"/>
    <w:rsid w:val="00520B39"/>
    <w:rsid w:val="00521A8E"/>
    <w:rsid w:val="00521E3A"/>
    <w:rsid w:val="005225E4"/>
    <w:rsid w:val="00522923"/>
    <w:rsid w:val="00522D2F"/>
    <w:rsid w:val="00522DD5"/>
    <w:rsid w:val="005231C4"/>
    <w:rsid w:val="005237E9"/>
    <w:rsid w:val="00523DFF"/>
    <w:rsid w:val="0052421B"/>
    <w:rsid w:val="00524555"/>
    <w:rsid w:val="00524746"/>
    <w:rsid w:val="00525152"/>
    <w:rsid w:val="0052533E"/>
    <w:rsid w:val="00525591"/>
    <w:rsid w:val="005260B0"/>
    <w:rsid w:val="005263C9"/>
    <w:rsid w:val="00526485"/>
    <w:rsid w:val="0052671E"/>
    <w:rsid w:val="005267C5"/>
    <w:rsid w:val="00526801"/>
    <w:rsid w:val="00527216"/>
    <w:rsid w:val="005272BC"/>
    <w:rsid w:val="0052749F"/>
    <w:rsid w:val="005274D5"/>
    <w:rsid w:val="005278C4"/>
    <w:rsid w:val="0053034A"/>
    <w:rsid w:val="00530B47"/>
    <w:rsid w:val="00530CAC"/>
    <w:rsid w:val="00530F06"/>
    <w:rsid w:val="00531107"/>
    <w:rsid w:val="0053190C"/>
    <w:rsid w:val="005325FA"/>
    <w:rsid w:val="0053291F"/>
    <w:rsid w:val="0053322D"/>
    <w:rsid w:val="00533427"/>
    <w:rsid w:val="00533A8B"/>
    <w:rsid w:val="00533E2B"/>
    <w:rsid w:val="005340E0"/>
    <w:rsid w:val="005356BE"/>
    <w:rsid w:val="00535D6E"/>
    <w:rsid w:val="005365A3"/>
    <w:rsid w:val="00537901"/>
    <w:rsid w:val="00537C48"/>
    <w:rsid w:val="0054014F"/>
    <w:rsid w:val="00540451"/>
    <w:rsid w:val="00540623"/>
    <w:rsid w:val="00540796"/>
    <w:rsid w:val="00540C07"/>
    <w:rsid w:val="005411F0"/>
    <w:rsid w:val="00541291"/>
    <w:rsid w:val="00541CF1"/>
    <w:rsid w:val="00542623"/>
    <w:rsid w:val="00542630"/>
    <w:rsid w:val="00543C22"/>
    <w:rsid w:val="00543EF4"/>
    <w:rsid w:val="00544A17"/>
    <w:rsid w:val="00544D92"/>
    <w:rsid w:val="00544EA6"/>
    <w:rsid w:val="00545378"/>
    <w:rsid w:val="0054593E"/>
    <w:rsid w:val="00545A85"/>
    <w:rsid w:val="0054675A"/>
    <w:rsid w:val="005468E7"/>
    <w:rsid w:val="00546F9C"/>
    <w:rsid w:val="00550570"/>
    <w:rsid w:val="00550DB1"/>
    <w:rsid w:val="00550E9D"/>
    <w:rsid w:val="0055157F"/>
    <w:rsid w:val="00551797"/>
    <w:rsid w:val="005522BF"/>
    <w:rsid w:val="005523CF"/>
    <w:rsid w:val="005529F3"/>
    <w:rsid w:val="00552B25"/>
    <w:rsid w:val="00553057"/>
    <w:rsid w:val="005534BF"/>
    <w:rsid w:val="00553959"/>
    <w:rsid w:val="00553BDF"/>
    <w:rsid w:val="00553C73"/>
    <w:rsid w:val="0055433E"/>
    <w:rsid w:val="00554493"/>
    <w:rsid w:val="00554899"/>
    <w:rsid w:val="00554A7A"/>
    <w:rsid w:val="00555094"/>
    <w:rsid w:val="005557CE"/>
    <w:rsid w:val="00555E19"/>
    <w:rsid w:val="00556048"/>
    <w:rsid w:val="005561E4"/>
    <w:rsid w:val="0055669B"/>
    <w:rsid w:val="005567F4"/>
    <w:rsid w:val="0056046F"/>
    <w:rsid w:val="005604B8"/>
    <w:rsid w:val="005606A5"/>
    <w:rsid w:val="00560A42"/>
    <w:rsid w:val="00560E5D"/>
    <w:rsid w:val="00560EAA"/>
    <w:rsid w:val="00561915"/>
    <w:rsid w:val="00561E35"/>
    <w:rsid w:val="00562F54"/>
    <w:rsid w:val="005634A6"/>
    <w:rsid w:val="0056419A"/>
    <w:rsid w:val="005643CD"/>
    <w:rsid w:val="00564562"/>
    <w:rsid w:val="00564DA9"/>
    <w:rsid w:val="005651C8"/>
    <w:rsid w:val="00565DD2"/>
    <w:rsid w:val="00566033"/>
    <w:rsid w:val="00566274"/>
    <w:rsid w:val="005665D9"/>
    <w:rsid w:val="0056668B"/>
    <w:rsid w:val="00567130"/>
    <w:rsid w:val="00567BCC"/>
    <w:rsid w:val="00567D29"/>
    <w:rsid w:val="00567FF2"/>
    <w:rsid w:val="00570676"/>
    <w:rsid w:val="00571142"/>
    <w:rsid w:val="005713C4"/>
    <w:rsid w:val="005724FE"/>
    <w:rsid w:val="005726E6"/>
    <w:rsid w:val="005729D1"/>
    <w:rsid w:val="00572D55"/>
    <w:rsid w:val="00573293"/>
    <w:rsid w:val="00573A56"/>
    <w:rsid w:val="00573B6F"/>
    <w:rsid w:val="00573C26"/>
    <w:rsid w:val="00573CA6"/>
    <w:rsid w:val="005740C9"/>
    <w:rsid w:val="005741C3"/>
    <w:rsid w:val="0057478A"/>
    <w:rsid w:val="005747D0"/>
    <w:rsid w:val="00574F9F"/>
    <w:rsid w:val="005759DE"/>
    <w:rsid w:val="00575A9C"/>
    <w:rsid w:val="00575C7C"/>
    <w:rsid w:val="0057674D"/>
    <w:rsid w:val="0057690D"/>
    <w:rsid w:val="00576965"/>
    <w:rsid w:val="00576CCB"/>
    <w:rsid w:val="00576FE8"/>
    <w:rsid w:val="00577079"/>
    <w:rsid w:val="005772B6"/>
    <w:rsid w:val="005775A8"/>
    <w:rsid w:val="00577777"/>
    <w:rsid w:val="0057790D"/>
    <w:rsid w:val="00577C84"/>
    <w:rsid w:val="00580166"/>
    <w:rsid w:val="0058069E"/>
    <w:rsid w:val="005806B9"/>
    <w:rsid w:val="0058084E"/>
    <w:rsid w:val="00580A73"/>
    <w:rsid w:val="00580ACF"/>
    <w:rsid w:val="005811C0"/>
    <w:rsid w:val="00581371"/>
    <w:rsid w:val="005813B8"/>
    <w:rsid w:val="005813BB"/>
    <w:rsid w:val="0058181C"/>
    <w:rsid w:val="00581CB5"/>
    <w:rsid w:val="00581CB6"/>
    <w:rsid w:val="00581DA2"/>
    <w:rsid w:val="00581E13"/>
    <w:rsid w:val="00581FFE"/>
    <w:rsid w:val="00582300"/>
    <w:rsid w:val="0058239C"/>
    <w:rsid w:val="005825AF"/>
    <w:rsid w:val="00582EB1"/>
    <w:rsid w:val="00582FB8"/>
    <w:rsid w:val="005830A4"/>
    <w:rsid w:val="005845AF"/>
    <w:rsid w:val="00585061"/>
    <w:rsid w:val="005851F3"/>
    <w:rsid w:val="00585B40"/>
    <w:rsid w:val="0058606C"/>
    <w:rsid w:val="00586201"/>
    <w:rsid w:val="00586AAD"/>
    <w:rsid w:val="00586B2E"/>
    <w:rsid w:val="00586D73"/>
    <w:rsid w:val="00587525"/>
    <w:rsid w:val="00587BA0"/>
    <w:rsid w:val="00590251"/>
    <w:rsid w:val="0059042E"/>
    <w:rsid w:val="005904FD"/>
    <w:rsid w:val="005905CA"/>
    <w:rsid w:val="00590B90"/>
    <w:rsid w:val="0059110C"/>
    <w:rsid w:val="00591484"/>
    <w:rsid w:val="00591635"/>
    <w:rsid w:val="005916F3"/>
    <w:rsid w:val="00591B93"/>
    <w:rsid w:val="00592635"/>
    <w:rsid w:val="00592F38"/>
    <w:rsid w:val="005931BA"/>
    <w:rsid w:val="005931FE"/>
    <w:rsid w:val="005934ED"/>
    <w:rsid w:val="00593549"/>
    <w:rsid w:val="00593DFF"/>
    <w:rsid w:val="0059408F"/>
    <w:rsid w:val="0059417E"/>
    <w:rsid w:val="005942D8"/>
    <w:rsid w:val="0059482E"/>
    <w:rsid w:val="00595149"/>
    <w:rsid w:val="00595551"/>
    <w:rsid w:val="00595586"/>
    <w:rsid w:val="005958AB"/>
    <w:rsid w:val="005964CD"/>
    <w:rsid w:val="005964D4"/>
    <w:rsid w:val="0059679E"/>
    <w:rsid w:val="00596AAE"/>
    <w:rsid w:val="00596EDC"/>
    <w:rsid w:val="00596FB7"/>
    <w:rsid w:val="0059725E"/>
    <w:rsid w:val="00597330"/>
    <w:rsid w:val="0059738A"/>
    <w:rsid w:val="005975FA"/>
    <w:rsid w:val="00597F79"/>
    <w:rsid w:val="005A0248"/>
    <w:rsid w:val="005A033D"/>
    <w:rsid w:val="005A03EA"/>
    <w:rsid w:val="005A05E1"/>
    <w:rsid w:val="005A0D23"/>
    <w:rsid w:val="005A0DFB"/>
    <w:rsid w:val="005A1206"/>
    <w:rsid w:val="005A179E"/>
    <w:rsid w:val="005A193E"/>
    <w:rsid w:val="005A232C"/>
    <w:rsid w:val="005A27AB"/>
    <w:rsid w:val="005A2A00"/>
    <w:rsid w:val="005A2BEB"/>
    <w:rsid w:val="005A2CBF"/>
    <w:rsid w:val="005A3A51"/>
    <w:rsid w:val="005A42B1"/>
    <w:rsid w:val="005A4378"/>
    <w:rsid w:val="005A46BA"/>
    <w:rsid w:val="005A4C91"/>
    <w:rsid w:val="005A51F0"/>
    <w:rsid w:val="005A57FA"/>
    <w:rsid w:val="005A58FE"/>
    <w:rsid w:val="005A6595"/>
    <w:rsid w:val="005A6BE4"/>
    <w:rsid w:val="005A6C80"/>
    <w:rsid w:val="005A6FFB"/>
    <w:rsid w:val="005A7347"/>
    <w:rsid w:val="005A7521"/>
    <w:rsid w:val="005A78C6"/>
    <w:rsid w:val="005A7AF0"/>
    <w:rsid w:val="005B0ECF"/>
    <w:rsid w:val="005B11DE"/>
    <w:rsid w:val="005B142B"/>
    <w:rsid w:val="005B154C"/>
    <w:rsid w:val="005B22B5"/>
    <w:rsid w:val="005B2E69"/>
    <w:rsid w:val="005B3078"/>
    <w:rsid w:val="005B33D4"/>
    <w:rsid w:val="005B3604"/>
    <w:rsid w:val="005B3BFD"/>
    <w:rsid w:val="005B3C51"/>
    <w:rsid w:val="005B3C93"/>
    <w:rsid w:val="005B3EA3"/>
    <w:rsid w:val="005B451B"/>
    <w:rsid w:val="005B47FE"/>
    <w:rsid w:val="005B4F4B"/>
    <w:rsid w:val="005B586F"/>
    <w:rsid w:val="005B6182"/>
    <w:rsid w:val="005B67A6"/>
    <w:rsid w:val="005B6D00"/>
    <w:rsid w:val="005B713B"/>
    <w:rsid w:val="005B73E5"/>
    <w:rsid w:val="005B76C9"/>
    <w:rsid w:val="005B7869"/>
    <w:rsid w:val="005B78C6"/>
    <w:rsid w:val="005B7A7E"/>
    <w:rsid w:val="005B7EB7"/>
    <w:rsid w:val="005C0D75"/>
    <w:rsid w:val="005C11F3"/>
    <w:rsid w:val="005C1261"/>
    <w:rsid w:val="005C161B"/>
    <w:rsid w:val="005C188D"/>
    <w:rsid w:val="005C1B18"/>
    <w:rsid w:val="005C2201"/>
    <w:rsid w:val="005C24E3"/>
    <w:rsid w:val="005C29C2"/>
    <w:rsid w:val="005C2EB3"/>
    <w:rsid w:val="005C31FD"/>
    <w:rsid w:val="005C3813"/>
    <w:rsid w:val="005C3D4C"/>
    <w:rsid w:val="005C3FB3"/>
    <w:rsid w:val="005C4818"/>
    <w:rsid w:val="005C4936"/>
    <w:rsid w:val="005C4989"/>
    <w:rsid w:val="005C49A1"/>
    <w:rsid w:val="005C4EBA"/>
    <w:rsid w:val="005C59AC"/>
    <w:rsid w:val="005C6072"/>
    <w:rsid w:val="005C6137"/>
    <w:rsid w:val="005C6E23"/>
    <w:rsid w:val="005C6FB2"/>
    <w:rsid w:val="005C7617"/>
    <w:rsid w:val="005C7DD2"/>
    <w:rsid w:val="005D0BAA"/>
    <w:rsid w:val="005D0D96"/>
    <w:rsid w:val="005D0EB9"/>
    <w:rsid w:val="005D0F7F"/>
    <w:rsid w:val="005D14CA"/>
    <w:rsid w:val="005D17D6"/>
    <w:rsid w:val="005D1A27"/>
    <w:rsid w:val="005D1A2B"/>
    <w:rsid w:val="005D26B7"/>
    <w:rsid w:val="005D2967"/>
    <w:rsid w:val="005D2E0F"/>
    <w:rsid w:val="005D345D"/>
    <w:rsid w:val="005D3DBB"/>
    <w:rsid w:val="005D41AD"/>
    <w:rsid w:val="005D4DBF"/>
    <w:rsid w:val="005D5700"/>
    <w:rsid w:val="005D5AC1"/>
    <w:rsid w:val="005D5B1E"/>
    <w:rsid w:val="005D5C1B"/>
    <w:rsid w:val="005D5F47"/>
    <w:rsid w:val="005D600A"/>
    <w:rsid w:val="005D613E"/>
    <w:rsid w:val="005D694D"/>
    <w:rsid w:val="005D6D9A"/>
    <w:rsid w:val="005D738B"/>
    <w:rsid w:val="005D7D7F"/>
    <w:rsid w:val="005D7F60"/>
    <w:rsid w:val="005E0026"/>
    <w:rsid w:val="005E0298"/>
    <w:rsid w:val="005E0A87"/>
    <w:rsid w:val="005E1111"/>
    <w:rsid w:val="005E2836"/>
    <w:rsid w:val="005E2864"/>
    <w:rsid w:val="005E289F"/>
    <w:rsid w:val="005E29A1"/>
    <w:rsid w:val="005E2C55"/>
    <w:rsid w:val="005E2D2D"/>
    <w:rsid w:val="005E325B"/>
    <w:rsid w:val="005E342E"/>
    <w:rsid w:val="005E3C34"/>
    <w:rsid w:val="005E3CD6"/>
    <w:rsid w:val="005E3D45"/>
    <w:rsid w:val="005E4169"/>
    <w:rsid w:val="005E64AB"/>
    <w:rsid w:val="005E64C2"/>
    <w:rsid w:val="005E684C"/>
    <w:rsid w:val="005E69F7"/>
    <w:rsid w:val="005E6B79"/>
    <w:rsid w:val="005E7456"/>
    <w:rsid w:val="005E764E"/>
    <w:rsid w:val="005E77E8"/>
    <w:rsid w:val="005E7C50"/>
    <w:rsid w:val="005E7DF6"/>
    <w:rsid w:val="005F026F"/>
    <w:rsid w:val="005F06A3"/>
    <w:rsid w:val="005F1EF9"/>
    <w:rsid w:val="005F1F88"/>
    <w:rsid w:val="005F2470"/>
    <w:rsid w:val="005F2ACC"/>
    <w:rsid w:val="005F2D20"/>
    <w:rsid w:val="005F31E2"/>
    <w:rsid w:val="005F3423"/>
    <w:rsid w:val="005F3CEB"/>
    <w:rsid w:val="005F41B6"/>
    <w:rsid w:val="005F481A"/>
    <w:rsid w:val="005F5437"/>
    <w:rsid w:val="005F5470"/>
    <w:rsid w:val="005F5A9A"/>
    <w:rsid w:val="005F5B1A"/>
    <w:rsid w:val="005F5D1E"/>
    <w:rsid w:val="005F5FE8"/>
    <w:rsid w:val="005F6107"/>
    <w:rsid w:val="005F64DF"/>
    <w:rsid w:val="005F6805"/>
    <w:rsid w:val="005F6A80"/>
    <w:rsid w:val="005F6BAF"/>
    <w:rsid w:val="005F6D96"/>
    <w:rsid w:val="005F6E88"/>
    <w:rsid w:val="005F70F3"/>
    <w:rsid w:val="005F759A"/>
    <w:rsid w:val="005F76FA"/>
    <w:rsid w:val="005F7D57"/>
    <w:rsid w:val="005F7DF0"/>
    <w:rsid w:val="00600539"/>
    <w:rsid w:val="006010F0"/>
    <w:rsid w:val="0060110B"/>
    <w:rsid w:val="00601709"/>
    <w:rsid w:val="006018A1"/>
    <w:rsid w:val="00602004"/>
    <w:rsid w:val="0060226C"/>
    <w:rsid w:val="0060268C"/>
    <w:rsid w:val="006028FD"/>
    <w:rsid w:val="00602922"/>
    <w:rsid w:val="00602C2E"/>
    <w:rsid w:val="00602FB4"/>
    <w:rsid w:val="006030EE"/>
    <w:rsid w:val="006032B1"/>
    <w:rsid w:val="006038C8"/>
    <w:rsid w:val="00603A9F"/>
    <w:rsid w:val="00603E8A"/>
    <w:rsid w:val="00603ECE"/>
    <w:rsid w:val="00603F86"/>
    <w:rsid w:val="00603FD4"/>
    <w:rsid w:val="00604119"/>
    <w:rsid w:val="00604169"/>
    <w:rsid w:val="00604172"/>
    <w:rsid w:val="006041A9"/>
    <w:rsid w:val="0060447E"/>
    <w:rsid w:val="00604CA0"/>
    <w:rsid w:val="00604E3E"/>
    <w:rsid w:val="0060579A"/>
    <w:rsid w:val="00605C14"/>
    <w:rsid w:val="00605D80"/>
    <w:rsid w:val="00605E9A"/>
    <w:rsid w:val="00606A3D"/>
    <w:rsid w:val="00606FE9"/>
    <w:rsid w:val="00607434"/>
    <w:rsid w:val="00610084"/>
    <w:rsid w:val="00610731"/>
    <w:rsid w:val="0061098E"/>
    <w:rsid w:val="00610FC8"/>
    <w:rsid w:val="0061171C"/>
    <w:rsid w:val="0061252D"/>
    <w:rsid w:val="00612675"/>
    <w:rsid w:val="006128DC"/>
    <w:rsid w:val="00612999"/>
    <w:rsid w:val="00612FB1"/>
    <w:rsid w:val="00613228"/>
    <w:rsid w:val="0061332E"/>
    <w:rsid w:val="006133EE"/>
    <w:rsid w:val="00613418"/>
    <w:rsid w:val="0061357F"/>
    <w:rsid w:val="00613722"/>
    <w:rsid w:val="00613A44"/>
    <w:rsid w:val="00613A62"/>
    <w:rsid w:val="00613E11"/>
    <w:rsid w:val="00613FDD"/>
    <w:rsid w:val="006141D6"/>
    <w:rsid w:val="0061447D"/>
    <w:rsid w:val="00614531"/>
    <w:rsid w:val="00614697"/>
    <w:rsid w:val="006147CF"/>
    <w:rsid w:val="00614982"/>
    <w:rsid w:val="00614D9B"/>
    <w:rsid w:val="00615225"/>
    <w:rsid w:val="00615471"/>
    <w:rsid w:val="00615831"/>
    <w:rsid w:val="0061586F"/>
    <w:rsid w:val="00615ADD"/>
    <w:rsid w:val="00615C6F"/>
    <w:rsid w:val="006164ED"/>
    <w:rsid w:val="00616552"/>
    <w:rsid w:val="006166BF"/>
    <w:rsid w:val="00616E91"/>
    <w:rsid w:val="00617052"/>
    <w:rsid w:val="00617641"/>
    <w:rsid w:val="00617C8A"/>
    <w:rsid w:val="00617ED9"/>
    <w:rsid w:val="0062022B"/>
    <w:rsid w:val="0062062F"/>
    <w:rsid w:val="00620850"/>
    <w:rsid w:val="00620C3D"/>
    <w:rsid w:val="00621098"/>
    <w:rsid w:val="006210B2"/>
    <w:rsid w:val="00621744"/>
    <w:rsid w:val="00621799"/>
    <w:rsid w:val="00621B95"/>
    <w:rsid w:val="00621EA6"/>
    <w:rsid w:val="0062235C"/>
    <w:rsid w:val="00622BB5"/>
    <w:rsid w:val="006239B0"/>
    <w:rsid w:val="00623FB1"/>
    <w:rsid w:val="00624198"/>
    <w:rsid w:val="00624548"/>
    <w:rsid w:val="006250F5"/>
    <w:rsid w:val="006258D5"/>
    <w:rsid w:val="006275A6"/>
    <w:rsid w:val="00627B2E"/>
    <w:rsid w:val="00627E42"/>
    <w:rsid w:val="00630417"/>
    <w:rsid w:val="00630BA9"/>
    <w:rsid w:val="0063156E"/>
    <w:rsid w:val="00631657"/>
    <w:rsid w:val="00631A1C"/>
    <w:rsid w:val="00631DFD"/>
    <w:rsid w:val="00632D62"/>
    <w:rsid w:val="0063373F"/>
    <w:rsid w:val="0063389E"/>
    <w:rsid w:val="00633ADC"/>
    <w:rsid w:val="00633EB9"/>
    <w:rsid w:val="00634105"/>
    <w:rsid w:val="0063422E"/>
    <w:rsid w:val="006346DC"/>
    <w:rsid w:val="00634F6C"/>
    <w:rsid w:val="006354FD"/>
    <w:rsid w:val="006356B9"/>
    <w:rsid w:val="0063577B"/>
    <w:rsid w:val="006359B1"/>
    <w:rsid w:val="00635FC3"/>
    <w:rsid w:val="006363F2"/>
    <w:rsid w:val="0063662F"/>
    <w:rsid w:val="00636754"/>
    <w:rsid w:val="00636782"/>
    <w:rsid w:val="006367EE"/>
    <w:rsid w:val="00636AC5"/>
    <w:rsid w:val="00636E78"/>
    <w:rsid w:val="00637298"/>
    <w:rsid w:val="00637724"/>
    <w:rsid w:val="00637BF0"/>
    <w:rsid w:val="00637D36"/>
    <w:rsid w:val="0064033A"/>
    <w:rsid w:val="006406A9"/>
    <w:rsid w:val="00640DF1"/>
    <w:rsid w:val="006414F0"/>
    <w:rsid w:val="00641603"/>
    <w:rsid w:val="006417E3"/>
    <w:rsid w:val="00641ABE"/>
    <w:rsid w:val="00641AEF"/>
    <w:rsid w:val="00642098"/>
    <w:rsid w:val="00642130"/>
    <w:rsid w:val="0064222B"/>
    <w:rsid w:val="006424F6"/>
    <w:rsid w:val="00642BC2"/>
    <w:rsid w:val="00643CAF"/>
    <w:rsid w:val="00644158"/>
    <w:rsid w:val="006446F2"/>
    <w:rsid w:val="00644968"/>
    <w:rsid w:val="00644AD0"/>
    <w:rsid w:val="00644DCB"/>
    <w:rsid w:val="00644E0D"/>
    <w:rsid w:val="00644F5C"/>
    <w:rsid w:val="006451E8"/>
    <w:rsid w:val="006452E1"/>
    <w:rsid w:val="00645432"/>
    <w:rsid w:val="00645488"/>
    <w:rsid w:val="006454D3"/>
    <w:rsid w:val="00645523"/>
    <w:rsid w:val="00645E67"/>
    <w:rsid w:val="00645EAD"/>
    <w:rsid w:val="00646043"/>
    <w:rsid w:val="006467DF"/>
    <w:rsid w:val="0064682D"/>
    <w:rsid w:val="00646A47"/>
    <w:rsid w:val="00646AB9"/>
    <w:rsid w:val="00646C1D"/>
    <w:rsid w:val="00646CBB"/>
    <w:rsid w:val="00646F7B"/>
    <w:rsid w:val="0064747B"/>
    <w:rsid w:val="0064753A"/>
    <w:rsid w:val="00647939"/>
    <w:rsid w:val="00647CDF"/>
    <w:rsid w:val="00647F01"/>
    <w:rsid w:val="006500B2"/>
    <w:rsid w:val="006505A3"/>
    <w:rsid w:val="00650A5E"/>
    <w:rsid w:val="00650BE5"/>
    <w:rsid w:val="0065112E"/>
    <w:rsid w:val="0065132D"/>
    <w:rsid w:val="006513BA"/>
    <w:rsid w:val="006514A2"/>
    <w:rsid w:val="00651F1F"/>
    <w:rsid w:val="0065212C"/>
    <w:rsid w:val="00652CA5"/>
    <w:rsid w:val="00652FC1"/>
    <w:rsid w:val="006530A5"/>
    <w:rsid w:val="0065327C"/>
    <w:rsid w:val="00653377"/>
    <w:rsid w:val="006537CC"/>
    <w:rsid w:val="00653A8E"/>
    <w:rsid w:val="00654001"/>
    <w:rsid w:val="00654266"/>
    <w:rsid w:val="0065499B"/>
    <w:rsid w:val="00655058"/>
    <w:rsid w:val="00655078"/>
    <w:rsid w:val="00655439"/>
    <w:rsid w:val="006556FF"/>
    <w:rsid w:val="0065584F"/>
    <w:rsid w:val="006559EC"/>
    <w:rsid w:val="0065623A"/>
    <w:rsid w:val="00656A01"/>
    <w:rsid w:val="00656FDD"/>
    <w:rsid w:val="00657039"/>
    <w:rsid w:val="00657B2F"/>
    <w:rsid w:val="006602F2"/>
    <w:rsid w:val="00660A08"/>
    <w:rsid w:val="00661193"/>
    <w:rsid w:val="00661AE1"/>
    <w:rsid w:val="00661FC0"/>
    <w:rsid w:val="006623F7"/>
    <w:rsid w:val="006624C1"/>
    <w:rsid w:val="006624E0"/>
    <w:rsid w:val="00662622"/>
    <w:rsid w:val="0066276C"/>
    <w:rsid w:val="00663371"/>
    <w:rsid w:val="0066480C"/>
    <w:rsid w:val="00664A13"/>
    <w:rsid w:val="00664C6D"/>
    <w:rsid w:val="0066556A"/>
    <w:rsid w:val="006655B9"/>
    <w:rsid w:val="0066624B"/>
    <w:rsid w:val="006664B7"/>
    <w:rsid w:val="006664D3"/>
    <w:rsid w:val="00666668"/>
    <w:rsid w:val="00666936"/>
    <w:rsid w:val="00666A4A"/>
    <w:rsid w:val="00666C39"/>
    <w:rsid w:val="00666EAE"/>
    <w:rsid w:val="006675DC"/>
    <w:rsid w:val="0066764D"/>
    <w:rsid w:val="00667D27"/>
    <w:rsid w:val="00670184"/>
    <w:rsid w:val="00670484"/>
    <w:rsid w:val="006707AD"/>
    <w:rsid w:val="006709B1"/>
    <w:rsid w:val="00670EEC"/>
    <w:rsid w:val="006710D8"/>
    <w:rsid w:val="006714AD"/>
    <w:rsid w:val="006714DA"/>
    <w:rsid w:val="00671509"/>
    <w:rsid w:val="00671D3C"/>
    <w:rsid w:val="00671D56"/>
    <w:rsid w:val="00671E26"/>
    <w:rsid w:val="00671EB0"/>
    <w:rsid w:val="00672302"/>
    <w:rsid w:val="006728F0"/>
    <w:rsid w:val="00672D85"/>
    <w:rsid w:val="006732E3"/>
    <w:rsid w:val="00673330"/>
    <w:rsid w:val="0067399F"/>
    <w:rsid w:val="00673BB5"/>
    <w:rsid w:val="006755BA"/>
    <w:rsid w:val="00675A93"/>
    <w:rsid w:val="00675ACA"/>
    <w:rsid w:val="00675C5F"/>
    <w:rsid w:val="00676440"/>
    <w:rsid w:val="00677170"/>
    <w:rsid w:val="00677542"/>
    <w:rsid w:val="006776F0"/>
    <w:rsid w:val="00677E97"/>
    <w:rsid w:val="006803A6"/>
    <w:rsid w:val="006803FC"/>
    <w:rsid w:val="006807D4"/>
    <w:rsid w:val="006808D2"/>
    <w:rsid w:val="00681460"/>
    <w:rsid w:val="00681DAD"/>
    <w:rsid w:val="00681EB1"/>
    <w:rsid w:val="00682002"/>
    <w:rsid w:val="006825CB"/>
    <w:rsid w:val="00682819"/>
    <w:rsid w:val="006828CF"/>
    <w:rsid w:val="00682E99"/>
    <w:rsid w:val="00683659"/>
    <w:rsid w:val="00683B72"/>
    <w:rsid w:val="00683B79"/>
    <w:rsid w:val="00683C19"/>
    <w:rsid w:val="00683FD2"/>
    <w:rsid w:val="00684CE2"/>
    <w:rsid w:val="00684E9F"/>
    <w:rsid w:val="006858D6"/>
    <w:rsid w:val="0068640E"/>
    <w:rsid w:val="0068666D"/>
    <w:rsid w:val="00687151"/>
    <w:rsid w:val="00687C7B"/>
    <w:rsid w:val="00687E76"/>
    <w:rsid w:val="00690513"/>
    <w:rsid w:val="00690CCF"/>
    <w:rsid w:val="00690CD3"/>
    <w:rsid w:val="00690DFF"/>
    <w:rsid w:val="00691877"/>
    <w:rsid w:val="00691CAF"/>
    <w:rsid w:val="00691F21"/>
    <w:rsid w:val="00692148"/>
    <w:rsid w:val="00692495"/>
    <w:rsid w:val="00692A29"/>
    <w:rsid w:val="00692DD6"/>
    <w:rsid w:val="00692E32"/>
    <w:rsid w:val="006930E9"/>
    <w:rsid w:val="006931F2"/>
    <w:rsid w:val="0069382F"/>
    <w:rsid w:val="00693A18"/>
    <w:rsid w:val="00693B7E"/>
    <w:rsid w:val="0069408A"/>
    <w:rsid w:val="006945DA"/>
    <w:rsid w:val="0069463A"/>
    <w:rsid w:val="006946B8"/>
    <w:rsid w:val="00695768"/>
    <w:rsid w:val="006957D7"/>
    <w:rsid w:val="00696275"/>
    <w:rsid w:val="00696635"/>
    <w:rsid w:val="0069663E"/>
    <w:rsid w:val="006979E2"/>
    <w:rsid w:val="00697C57"/>
    <w:rsid w:val="006A00D8"/>
    <w:rsid w:val="006A0503"/>
    <w:rsid w:val="006A0531"/>
    <w:rsid w:val="006A08BC"/>
    <w:rsid w:val="006A14BD"/>
    <w:rsid w:val="006A1919"/>
    <w:rsid w:val="006A1A88"/>
    <w:rsid w:val="006A1AB6"/>
    <w:rsid w:val="006A1B53"/>
    <w:rsid w:val="006A1FA3"/>
    <w:rsid w:val="006A2275"/>
    <w:rsid w:val="006A250B"/>
    <w:rsid w:val="006A2C51"/>
    <w:rsid w:val="006A2F3A"/>
    <w:rsid w:val="006A315C"/>
    <w:rsid w:val="006A3211"/>
    <w:rsid w:val="006A3CF3"/>
    <w:rsid w:val="006A3E0F"/>
    <w:rsid w:val="006A3F94"/>
    <w:rsid w:val="006A40A5"/>
    <w:rsid w:val="006A469C"/>
    <w:rsid w:val="006A48AA"/>
    <w:rsid w:val="006A49C3"/>
    <w:rsid w:val="006A5D2D"/>
    <w:rsid w:val="006A627B"/>
    <w:rsid w:val="006A69B2"/>
    <w:rsid w:val="006A6C6F"/>
    <w:rsid w:val="006A6C92"/>
    <w:rsid w:val="006A6D5F"/>
    <w:rsid w:val="006A6ED5"/>
    <w:rsid w:val="006A72B5"/>
    <w:rsid w:val="006A755E"/>
    <w:rsid w:val="006A7756"/>
    <w:rsid w:val="006A79BB"/>
    <w:rsid w:val="006A7CCE"/>
    <w:rsid w:val="006B0509"/>
    <w:rsid w:val="006B0976"/>
    <w:rsid w:val="006B1049"/>
    <w:rsid w:val="006B1A57"/>
    <w:rsid w:val="006B1F98"/>
    <w:rsid w:val="006B20C1"/>
    <w:rsid w:val="006B2A5A"/>
    <w:rsid w:val="006B2D03"/>
    <w:rsid w:val="006B2FF9"/>
    <w:rsid w:val="006B32DD"/>
    <w:rsid w:val="006B394A"/>
    <w:rsid w:val="006B3E4C"/>
    <w:rsid w:val="006B4195"/>
    <w:rsid w:val="006B43E9"/>
    <w:rsid w:val="006B4915"/>
    <w:rsid w:val="006B5DB4"/>
    <w:rsid w:val="006B6022"/>
    <w:rsid w:val="006B61EB"/>
    <w:rsid w:val="006B69AD"/>
    <w:rsid w:val="006B6BE7"/>
    <w:rsid w:val="006B6E0B"/>
    <w:rsid w:val="006B6E78"/>
    <w:rsid w:val="006B6E8B"/>
    <w:rsid w:val="006B7230"/>
    <w:rsid w:val="006B7436"/>
    <w:rsid w:val="006B7873"/>
    <w:rsid w:val="006B7988"/>
    <w:rsid w:val="006B7B50"/>
    <w:rsid w:val="006B7DC9"/>
    <w:rsid w:val="006C08C3"/>
    <w:rsid w:val="006C0A22"/>
    <w:rsid w:val="006C0EF9"/>
    <w:rsid w:val="006C1A0E"/>
    <w:rsid w:val="006C1F2F"/>
    <w:rsid w:val="006C2369"/>
    <w:rsid w:val="006C2D10"/>
    <w:rsid w:val="006C308A"/>
    <w:rsid w:val="006C308F"/>
    <w:rsid w:val="006C317E"/>
    <w:rsid w:val="006C33CD"/>
    <w:rsid w:val="006C3622"/>
    <w:rsid w:val="006C38DB"/>
    <w:rsid w:val="006C3B87"/>
    <w:rsid w:val="006C3E57"/>
    <w:rsid w:val="006C3F00"/>
    <w:rsid w:val="006C44E7"/>
    <w:rsid w:val="006C4529"/>
    <w:rsid w:val="006C5455"/>
    <w:rsid w:val="006C55F5"/>
    <w:rsid w:val="006C5F54"/>
    <w:rsid w:val="006C6D10"/>
    <w:rsid w:val="006C6F41"/>
    <w:rsid w:val="006C6FF3"/>
    <w:rsid w:val="006C7157"/>
    <w:rsid w:val="006C7892"/>
    <w:rsid w:val="006C79D7"/>
    <w:rsid w:val="006C7B42"/>
    <w:rsid w:val="006C7BE3"/>
    <w:rsid w:val="006D0230"/>
    <w:rsid w:val="006D045B"/>
    <w:rsid w:val="006D05D1"/>
    <w:rsid w:val="006D0789"/>
    <w:rsid w:val="006D0BDB"/>
    <w:rsid w:val="006D10DA"/>
    <w:rsid w:val="006D15FB"/>
    <w:rsid w:val="006D16BF"/>
    <w:rsid w:val="006D188F"/>
    <w:rsid w:val="006D1C3D"/>
    <w:rsid w:val="006D213B"/>
    <w:rsid w:val="006D3C36"/>
    <w:rsid w:val="006D3C53"/>
    <w:rsid w:val="006D3D21"/>
    <w:rsid w:val="006D3F4F"/>
    <w:rsid w:val="006D423C"/>
    <w:rsid w:val="006D4410"/>
    <w:rsid w:val="006D45C7"/>
    <w:rsid w:val="006D5087"/>
    <w:rsid w:val="006D511F"/>
    <w:rsid w:val="006D582E"/>
    <w:rsid w:val="006D58A3"/>
    <w:rsid w:val="006D5C02"/>
    <w:rsid w:val="006D5D47"/>
    <w:rsid w:val="006D6E77"/>
    <w:rsid w:val="006D7129"/>
    <w:rsid w:val="006D7683"/>
    <w:rsid w:val="006E051F"/>
    <w:rsid w:val="006E0535"/>
    <w:rsid w:val="006E0EAC"/>
    <w:rsid w:val="006E11CA"/>
    <w:rsid w:val="006E181B"/>
    <w:rsid w:val="006E1C70"/>
    <w:rsid w:val="006E2273"/>
    <w:rsid w:val="006E25B4"/>
    <w:rsid w:val="006E2667"/>
    <w:rsid w:val="006E2A14"/>
    <w:rsid w:val="006E2DF0"/>
    <w:rsid w:val="006E38D5"/>
    <w:rsid w:val="006E3928"/>
    <w:rsid w:val="006E44A9"/>
    <w:rsid w:val="006E501E"/>
    <w:rsid w:val="006E504F"/>
    <w:rsid w:val="006E5084"/>
    <w:rsid w:val="006E54B4"/>
    <w:rsid w:val="006E56D1"/>
    <w:rsid w:val="006E585D"/>
    <w:rsid w:val="006E5AEF"/>
    <w:rsid w:val="006E63D6"/>
    <w:rsid w:val="006E678F"/>
    <w:rsid w:val="006E69E0"/>
    <w:rsid w:val="006E6DDC"/>
    <w:rsid w:val="006E700E"/>
    <w:rsid w:val="006F03A9"/>
    <w:rsid w:val="006F06CC"/>
    <w:rsid w:val="006F0A15"/>
    <w:rsid w:val="006F0BD1"/>
    <w:rsid w:val="006F0E8A"/>
    <w:rsid w:val="006F1329"/>
    <w:rsid w:val="006F13C6"/>
    <w:rsid w:val="006F16AF"/>
    <w:rsid w:val="006F1ACB"/>
    <w:rsid w:val="006F247D"/>
    <w:rsid w:val="006F2E43"/>
    <w:rsid w:val="006F334F"/>
    <w:rsid w:val="006F33F5"/>
    <w:rsid w:val="006F3544"/>
    <w:rsid w:val="006F35ED"/>
    <w:rsid w:val="006F3680"/>
    <w:rsid w:val="006F371D"/>
    <w:rsid w:val="006F39B8"/>
    <w:rsid w:val="006F3CC8"/>
    <w:rsid w:val="006F3F20"/>
    <w:rsid w:val="006F3FFC"/>
    <w:rsid w:val="006F44FD"/>
    <w:rsid w:val="006F475F"/>
    <w:rsid w:val="006F4FB0"/>
    <w:rsid w:val="006F51B1"/>
    <w:rsid w:val="006F5847"/>
    <w:rsid w:val="006F584C"/>
    <w:rsid w:val="006F59FE"/>
    <w:rsid w:val="006F5A85"/>
    <w:rsid w:val="006F6407"/>
    <w:rsid w:val="006F641A"/>
    <w:rsid w:val="006F64D8"/>
    <w:rsid w:val="006F66F6"/>
    <w:rsid w:val="006F6940"/>
    <w:rsid w:val="006F6DFA"/>
    <w:rsid w:val="006F735A"/>
    <w:rsid w:val="006F7A50"/>
    <w:rsid w:val="007002BA"/>
    <w:rsid w:val="00700865"/>
    <w:rsid w:val="007016B4"/>
    <w:rsid w:val="00701942"/>
    <w:rsid w:val="00701E0C"/>
    <w:rsid w:val="007024B6"/>
    <w:rsid w:val="00702587"/>
    <w:rsid w:val="00702A80"/>
    <w:rsid w:val="00702B8F"/>
    <w:rsid w:val="00702BA5"/>
    <w:rsid w:val="00702C1D"/>
    <w:rsid w:val="0070310F"/>
    <w:rsid w:val="007032C2"/>
    <w:rsid w:val="00703D16"/>
    <w:rsid w:val="00704149"/>
    <w:rsid w:val="0070423B"/>
    <w:rsid w:val="00704964"/>
    <w:rsid w:val="007051DE"/>
    <w:rsid w:val="00705678"/>
    <w:rsid w:val="007066F8"/>
    <w:rsid w:val="00706A5A"/>
    <w:rsid w:val="00706E09"/>
    <w:rsid w:val="00707142"/>
    <w:rsid w:val="00707655"/>
    <w:rsid w:val="00707DD6"/>
    <w:rsid w:val="00707F9F"/>
    <w:rsid w:val="00710641"/>
    <w:rsid w:val="00710687"/>
    <w:rsid w:val="0071092D"/>
    <w:rsid w:val="0071094F"/>
    <w:rsid w:val="00710BD4"/>
    <w:rsid w:val="00710D16"/>
    <w:rsid w:val="00710F03"/>
    <w:rsid w:val="0071169B"/>
    <w:rsid w:val="00711CF9"/>
    <w:rsid w:val="007120EA"/>
    <w:rsid w:val="0071289F"/>
    <w:rsid w:val="00712A39"/>
    <w:rsid w:val="00713070"/>
    <w:rsid w:val="007143D1"/>
    <w:rsid w:val="0071458C"/>
    <w:rsid w:val="00714ED5"/>
    <w:rsid w:val="00714F9F"/>
    <w:rsid w:val="0071589F"/>
    <w:rsid w:val="00715E7A"/>
    <w:rsid w:val="00715EAF"/>
    <w:rsid w:val="0071616E"/>
    <w:rsid w:val="00716A61"/>
    <w:rsid w:val="00716D17"/>
    <w:rsid w:val="00716EFA"/>
    <w:rsid w:val="007174F3"/>
    <w:rsid w:val="00717686"/>
    <w:rsid w:val="00717F35"/>
    <w:rsid w:val="00720435"/>
    <w:rsid w:val="007212BB"/>
    <w:rsid w:val="00721502"/>
    <w:rsid w:val="007219CC"/>
    <w:rsid w:val="00721B5D"/>
    <w:rsid w:val="00721DE1"/>
    <w:rsid w:val="00721E3D"/>
    <w:rsid w:val="00722339"/>
    <w:rsid w:val="0072233F"/>
    <w:rsid w:val="007223FA"/>
    <w:rsid w:val="007226DD"/>
    <w:rsid w:val="007228F6"/>
    <w:rsid w:val="00722BAA"/>
    <w:rsid w:val="00723390"/>
    <w:rsid w:val="00723461"/>
    <w:rsid w:val="00723821"/>
    <w:rsid w:val="00724907"/>
    <w:rsid w:val="00724A91"/>
    <w:rsid w:val="0072502D"/>
    <w:rsid w:val="00725352"/>
    <w:rsid w:val="0072580E"/>
    <w:rsid w:val="007259AE"/>
    <w:rsid w:val="007259D5"/>
    <w:rsid w:val="00725B94"/>
    <w:rsid w:val="00726302"/>
    <w:rsid w:val="0072653D"/>
    <w:rsid w:val="00726B3E"/>
    <w:rsid w:val="00726BB5"/>
    <w:rsid w:val="00726F7D"/>
    <w:rsid w:val="007270BE"/>
    <w:rsid w:val="00727AB9"/>
    <w:rsid w:val="00727E2C"/>
    <w:rsid w:val="0073043A"/>
    <w:rsid w:val="0073074E"/>
    <w:rsid w:val="0073083A"/>
    <w:rsid w:val="00730B02"/>
    <w:rsid w:val="00730E5C"/>
    <w:rsid w:val="00730EFA"/>
    <w:rsid w:val="007322DC"/>
    <w:rsid w:val="0073278F"/>
    <w:rsid w:val="00732841"/>
    <w:rsid w:val="00732A26"/>
    <w:rsid w:val="00732A37"/>
    <w:rsid w:val="00732A9D"/>
    <w:rsid w:val="00732EE4"/>
    <w:rsid w:val="007331D7"/>
    <w:rsid w:val="007335EF"/>
    <w:rsid w:val="00733878"/>
    <w:rsid w:val="00733C36"/>
    <w:rsid w:val="007344DE"/>
    <w:rsid w:val="0073484D"/>
    <w:rsid w:val="00734C86"/>
    <w:rsid w:val="00734DF9"/>
    <w:rsid w:val="00734F15"/>
    <w:rsid w:val="0073519B"/>
    <w:rsid w:val="00735F6C"/>
    <w:rsid w:val="00735FFC"/>
    <w:rsid w:val="00736386"/>
    <w:rsid w:val="00736478"/>
    <w:rsid w:val="00736988"/>
    <w:rsid w:val="007369E0"/>
    <w:rsid w:val="00736B3F"/>
    <w:rsid w:val="00736BBD"/>
    <w:rsid w:val="00736F4F"/>
    <w:rsid w:val="00736FC4"/>
    <w:rsid w:val="00736FD8"/>
    <w:rsid w:val="00737044"/>
    <w:rsid w:val="007371AF"/>
    <w:rsid w:val="0073745F"/>
    <w:rsid w:val="007378CB"/>
    <w:rsid w:val="00737CE2"/>
    <w:rsid w:val="00737FAB"/>
    <w:rsid w:val="0074015C"/>
    <w:rsid w:val="00740332"/>
    <w:rsid w:val="00740358"/>
    <w:rsid w:val="007405A9"/>
    <w:rsid w:val="00740F48"/>
    <w:rsid w:val="007410DC"/>
    <w:rsid w:val="00741615"/>
    <w:rsid w:val="007416D1"/>
    <w:rsid w:val="0074195D"/>
    <w:rsid w:val="00742570"/>
    <w:rsid w:val="007425DF"/>
    <w:rsid w:val="007426BD"/>
    <w:rsid w:val="00742720"/>
    <w:rsid w:val="00742A16"/>
    <w:rsid w:val="00742B15"/>
    <w:rsid w:val="00743272"/>
    <w:rsid w:val="007433B3"/>
    <w:rsid w:val="007435C0"/>
    <w:rsid w:val="00743C7C"/>
    <w:rsid w:val="00743F83"/>
    <w:rsid w:val="00744248"/>
    <w:rsid w:val="007443E2"/>
    <w:rsid w:val="00744D3F"/>
    <w:rsid w:val="00744EC5"/>
    <w:rsid w:val="007451B5"/>
    <w:rsid w:val="007456B0"/>
    <w:rsid w:val="00745C77"/>
    <w:rsid w:val="00746028"/>
    <w:rsid w:val="00746324"/>
    <w:rsid w:val="00746401"/>
    <w:rsid w:val="0074658D"/>
    <w:rsid w:val="00746B86"/>
    <w:rsid w:val="00746DB0"/>
    <w:rsid w:val="00746DB8"/>
    <w:rsid w:val="00747027"/>
    <w:rsid w:val="00747646"/>
    <w:rsid w:val="00747A7A"/>
    <w:rsid w:val="00747AC8"/>
    <w:rsid w:val="0075020E"/>
    <w:rsid w:val="00750764"/>
    <w:rsid w:val="00750902"/>
    <w:rsid w:val="00750958"/>
    <w:rsid w:val="00750BF0"/>
    <w:rsid w:val="0075123F"/>
    <w:rsid w:val="00751603"/>
    <w:rsid w:val="00751FA3"/>
    <w:rsid w:val="00752117"/>
    <w:rsid w:val="007524F5"/>
    <w:rsid w:val="0075294E"/>
    <w:rsid w:val="00752F05"/>
    <w:rsid w:val="00753147"/>
    <w:rsid w:val="00753474"/>
    <w:rsid w:val="0075364D"/>
    <w:rsid w:val="00753D1F"/>
    <w:rsid w:val="00754019"/>
    <w:rsid w:val="007540A4"/>
    <w:rsid w:val="00754897"/>
    <w:rsid w:val="00754B99"/>
    <w:rsid w:val="00755AF3"/>
    <w:rsid w:val="00755D37"/>
    <w:rsid w:val="00755D87"/>
    <w:rsid w:val="007560D0"/>
    <w:rsid w:val="0075610B"/>
    <w:rsid w:val="0075632A"/>
    <w:rsid w:val="00756780"/>
    <w:rsid w:val="00756B24"/>
    <w:rsid w:val="007571C9"/>
    <w:rsid w:val="0075726B"/>
    <w:rsid w:val="007579DF"/>
    <w:rsid w:val="00757B68"/>
    <w:rsid w:val="00757BB8"/>
    <w:rsid w:val="00757F1A"/>
    <w:rsid w:val="0076005C"/>
    <w:rsid w:val="00760224"/>
    <w:rsid w:val="00760231"/>
    <w:rsid w:val="007604C5"/>
    <w:rsid w:val="00760507"/>
    <w:rsid w:val="0076092B"/>
    <w:rsid w:val="00760AE5"/>
    <w:rsid w:val="00760D70"/>
    <w:rsid w:val="007614D1"/>
    <w:rsid w:val="00761767"/>
    <w:rsid w:val="007620CC"/>
    <w:rsid w:val="0076213C"/>
    <w:rsid w:val="0076245B"/>
    <w:rsid w:val="00762610"/>
    <w:rsid w:val="00762659"/>
    <w:rsid w:val="007627C4"/>
    <w:rsid w:val="007627FA"/>
    <w:rsid w:val="00762CBD"/>
    <w:rsid w:val="00762E75"/>
    <w:rsid w:val="00763201"/>
    <w:rsid w:val="00763718"/>
    <w:rsid w:val="00763F04"/>
    <w:rsid w:val="007645C4"/>
    <w:rsid w:val="00764AA1"/>
    <w:rsid w:val="00765698"/>
    <w:rsid w:val="007656BF"/>
    <w:rsid w:val="00765F81"/>
    <w:rsid w:val="007661A7"/>
    <w:rsid w:val="00766A97"/>
    <w:rsid w:val="00767276"/>
    <w:rsid w:val="00767E4D"/>
    <w:rsid w:val="00767FD7"/>
    <w:rsid w:val="00770145"/>
    <w:rsid w:val="00770487"/>
    <w:rsid w:val="00770590"/>
    <w:rsid w:val="00770997"/>
    <w:rsid w:val="00770D3A"/>
    <w:rsid w:val="00770D91"/>
    <w:rsid w:val="00770E8A"/>
    <w:rsid w:val="00771153"/>
    <w:rsid w:val="0077127A"/>
    <w:rsid w:val="00771318"/>
    <w:rsid w:val="00771C45"/>
    <w:rsid w:val="00771D3C"/>
    <w:rsid w:val="00772064"/>
    <w:rsid w:val="0077226B"/>
    <w:rsid w:val="007729E7"/>
    <w:rsid w:val="00773317"/>
    <w:rsid w:val="00773462"/>
    <w:rsid w:val="00773796"/>
    <w:rsid w:val="00774174"/>
    <w:rsid w:val="007744F2"/>
    <w:rsid w:val="00775738"/>
    <w:rsid w:val="007758E4"/>
    <w:rsid w:val="00776CFC"/>
    <w:rsid w:val="00777107"/>
    <w:rsid w:val="00777385"/>
    <w:rsid w:val="00777508"/>
    <w:rsid w:val="0077760D"/>
    <w:rsid w:val="00777AC5"/>
    <w:rsid w:val="00777E40"/>
    <w:rsid w:val="007801EC"/>
    <w:rsid w:val="007803AF"/>
    <w:rsid w:val="0078040A"/>
    <w:rsid w:val="007805A6"/>
    <w:rsid w:val="00780B62"/>
    <w:rsid w:val="00781A79"/>
    <w:rsid w:val="007825D2"/>
    <w:rsid w:val="0078294F"/>
    <w:rsid w:val="00783324"/>
    <w:rsid w:val="0078372E"/>
    <w:rsid w:val="007838C8"/>
    <w:rsid w:val="007839C8"/>
    <w:rsid w:val="00783FB7"/>
    <w:rsid w:val="007842FD"/>
    <w:rsid w:val="0078449D"/>
    <w:rsid w:val="00784548"/>
    <w:rsid w:val="00784B24"/>
    <w:rsid w:val="00784ECA"/>
    <w:rsid w:val="007851FB"/>
    <w:rsid w:val="00786074"/>
    <w:rsid w:val="007867A5"/>
    <w:rsid w:val="007873A1"/>
    <w:rsid w:val="0078756B"/>
    <w:rsid w:val="0078780B"/>
    <w:rsid w:val="0078788C"/>
    <w:rsid w:val="00787B56"/>
    <w:rsid w:val="00787BDD"/>
    <w:rsid w:val="00787CB5"/>
    <w:rsid w:val="0079011D"/>
    <w:rsid w:val="0079055D"/>
    <w:rsid w:val="0079086A"/>
    <w:rsid w:val="00790F84"/>
    <w:rsid w:val="00791153"/>
    <w:rsid w:val="0079120D"/>
    <w:rsid w:val="007918CA"/>
    <w:rsid w:val="00791E95"/>
    <w:rsid w:val="00791FB8"/>
    <w:rsid w:val="007926F3"/>
    <w:rsid w:val="00792D12"/>
    <w:rsid w:val="007930B6"/>
    <w:rsid w:val="0079379A"/>
    <w:rsid w:val="00793A23"/>
    <w:rsid w:val="00793BAC"/>
    <w:rsid w:val="00794220"/>
    <w:rsid w:val="007946CC"/>
    <w:rsid w:val="00794A98"/>
    <w:rsid w:val="00794FEF"/>
    <w:rsid w:val="0079500D"/>
    <w:rsid w:val="00795566"/>
    <w:rsid w:val="00795670"/>
    <w:rsid w:val="007959A7"/>
    <w:rsid w:val="007962EC"/>
    <w:rsid w:val="00796422"/>
    <w:rsid w:val="0079658C"/>
    <w:rsid w:val="007977F6"/>
    <w:rsid w:val="007A0313"/>
    <w:rsid w:val="007A0435"/>
    <w:rsid w:val="007A0922"/>
    <w:rsid w:val="007A0928"/>
    <w:rsid w:val="007A10EA"/>
    <w:rsid w:val="007A18B1"/>
    <w:rsid w:val="007A20CE"/>
    <w:rsid w:val="007A22D8"/>
    <w:rsid w:val="007A25DA"/>
    <w:rsid w:val="007A25DC"/>
    <w:rsid w:val="007A3165"/>
    <w:rsid w:val="007A3400"/>
    <w:rsid w:val="007A45F2"/>
    <w:rsid w:val="007A4B37"/>
    <w:rsid w:val="007A4EEB"/>
    <w:rsid w:val="007A54E0"/>
    <w:rsid w:val="007A68D3"/>
    <w:rsid w:val="007A6E81"/>
    <w:rsid w:val="007A7109"/>
    <w:rsid w:val="007A7423"/>
    <w:rsid w:val="007A782D"/>
    <w:rsid w:val="007A7E4B"/>
    <w:rsid w:val="007B052A"/>
    <w:rsid w:val="007B0AE0"/>
    <w:rsid w:val="007B1167"/>
    <w:rsid w:val="007B1292"/>
    <w:rsid w:val="007B18C1"/>
    <w:rsid w:val="007B20E2"/>
    <w:rsid w:val="007B2503"/>
    <w:rsid w:val="007B2B4B"/>
    <w:rsid w:val="007B2BAB"/>
    <w:rsid w:val="007B32D0"/>
    <w:rsid w:val="007B33C1"/>
    <w:rsid w:val="007B3A03"/>
    <w:rsid w:val="007B4699"/>
    <w:rsid w:val="007B4B67"/>
    <w:rsid w:val="007B4F52"/>
    <w:rsid w:val="007B50AE"/>
    <w:rsid w:val="007B528E"/>
    <w:rsid w:val="007B541B"/>
    <w:rsid w:val="007B54A9"/>
    <w:rsid w:val="007B556F"/>
    <w:rsid w:val="007B55DC"/>
    <w:rsid w:val="007B58D4"/>
    <w:rsid w:val="007B595D"/>
    <w:rsid w:val="007B5CCB"/>
    <w:rsid w:val="007B616C"/>
    <w:rsid w:val="007B63BE"/>
    <w:rsid w:val="007B63C0"/>
    <w:rsid w:val="007B6429"/>
    <w:rsid w:val="007B6855"/>
    <w:rsid w:val="007B7545"/>
    <w:rsid w:val="007B7591"/>
    <w:rsid w:val="007C044E"/>
    <w:rsid w:val="007C0D3E"/>
    <w:rsid w:val="007C0DF1"/>
    <w:rsid w:val="007C0EE5"/>
    <w:rsid w:val="007C1287"/>
    <w:rsid w:val="007C1824"/>
    <w:rsid w:val="007C1AF8"/>
    <w:rsid w:val="007C2608"/>
    <w:rsid w:val="007C2BCF"/>
    <w:rsid w:val="007C2CC9"/>
    <w:rsid w:val="007C3224"/>
    <w:rsid w:val="007C3EA9"/>
    <w:rsid w:val="007C3FCE"/>
    <w:rsid w:val="007C41D6"/>
    <w:rsid w:val="007C46DE"/>
    <w:rsid w:val="007C509A"/>
    <w:rsid w:val="007C5AA3"/>
    <w:rsid w:val="007C5B5A"/>
    <w:rsid w:val="007C5EEF"/>
    <w:rsid w:val="007C61DA"/>
    <w:rsid w:val="007C6674"/>
    <w:rsid w:val="007C6D7B"/>
    <w:rsid w:val="007C724F"/>
    <w:rsid w:val="007C74C3"/>
    <w:rsid w:val="007C7825"/>
    <w:rsid w:val="007C7906"/>
    <w:rsid w:val="007C7A68"/>
    <w:rsid w:val="007C7FCC"/>
    <w:rsid w:val="007D0E05"/>
    <w:rsid w:val="007D12EF"/>
    <w:rsid w:val="007D1402"/>
    <w:rsid w:val="007D1594"/>
    <w:rsid w:val="007D212F"/>
    <w:rsid w:val="007D2E66"/>
    <w:rsid w:val="007D2F78"/>
    <w:rsid w:val="007D311A"/>
    <w:rsid w:val="007D32F7"/>
    <w:rsid w:val="007D33C4"/>
    <w:rsid w:val="007D362B"/>
    <w:rsid w:val="007D368F"/>
    <w:rsid w:val="007D385F"/>
    <w:rsid w:val="007D3C07"/>
    <w:rsid w:val="007D3F29"/>
    <w:rsid w:val="007D3F63"/>
    <w:rsid w:val="007D48DC"/>
    <w:rsid w:val="007D49E4"/>
    <w:rsid w:val="007D4BDC"/>
    <w:rsid w:val="007D4F67"/>
    <w:rsid w:val="007D4F92"/>
    <w:rsid w:val="007D51D1"/>
    <w:rsid w:val="007D5CC9"/>
    <w:rsid w:val="007D5E64"/>
    <w:rsid w:val="007D6015"/>
    <w:rsid w:val="007D66DB"/>
    <w:rsid w:val="007D6989"/>
    <w:rsid w:val="007D6CF3"/>
    <w:rsid w:val="007D6EC7"/>
    <w:rsid w:val="007D728D"/>
    <w:rsid w:val="007E05BB"/>
    <w:rsid w:val="007E06EE"/>
    <w:rsid w:val="007E207F"/>
    <w:rsid w:val="007E278B"/>
    <w:rsid w:val="007E2A81"/>
    <w:rsid w:val="007E2B07"/>
    <w:rsid w:val="007E2D03"/>
    <w:rsid w:val="007E2E94"/>
    <w:rsid w:val="007E3583"/>
    <w:rsid w:val="007E3938"/>
    <w:rsid w:val="007E3FAA"/>
    <w:rsid w:val="007E43B2"/>
    <w:rsid w:val="007E4E5D"/>
    <w:rsid w:val="007E4E99"/>
    <w:rsid w:val="007E530B"/>
    <w:rsid w:val="007E54DC"/>
    <w:rsid w:val="007E5612"/>
    <w:rsid w:val="007E5875"/>
    <w:rsid w:val="007E5BFF"/>
    <w:rsid w:val="007E61EA"/>
    <w:rsid w:val="007E635F"/>
    <w:rsid w:val="007E658C"/>
    <w:rsid w:val="007E6A0C"/>
    <w:rsid w:val="007E6E13"/>
    <w:rsid w:val="007E76B9"/>
    <w:rsid w:val="007E7830"/>
    <w:rsid w:val="007E7D3D"/>
    <w:rsid w:val="007F05C2"/>
    <w:rsid w:val="007F0A40"/>
    <w:rsid w:val="007F0C04"/>
    <w:rsid w:val="007F0F33"/>
    <w:rsid w:val="007F1002"/>
    <w:rsid w:val="007F1156"/>
    <w:rsid w:val="007F1425"/>
    <w:rsid w:val="007F1619"/>
    <w:rsid w:val="007F1733"/>
    <w:rsid w:val="007F1A5E"/>
    <w:rsid w:val="007F1C58"/>
    <w:rsid w:val="007F1EAC"/>
    <w:rsid w:val="007F20A0"/>
    <w:rsid w:val="007F248F"/>
    <w:rsid w:val="007F2867"/>
    <w:rsid w:val="007F2B02"/>
    <w:rsid w:val="007F2C71"/>
    <w:rsid w:val="007F354B"/>
    <w:rsid w:val="007F3864"/>
    <w:rsid w:val="007F3DC3"/>
    <w:rsid w:val="007F4341"/>
    <w:rsid w:val="007F4897"/>
    <w:rsid w:val="007F4FA1"/>
    <w:rsid w:val="007F5502"/>
    <w:rsid w:val="007F6989"/>
    <w:rsid w:val="007F6DFB"/>
    <w:rsid w:val="007F6E1D"/>
    <w:rsid w:val="007F700E"/>
    <w:rsid w:val="007F792C"/>
    <w:rsid w:val="007F7C36"/>
    <w:rsid w:val="0080052A"/>
    <w:rsid w:val="00800535"/>
    <w:rsid w:val="008008C9"/>
    <w:rsid w:val="008008F2"/>
    <w:rsid w:val="008009CB"/>
    <w:rsid w:val="00800A85"/>
    <w:rsid w:val="00800C3A"/>
    <w:rsid w:val="00800D15"/>
    <w:rsid w:val="00801905"/>
    <w:rsid w:val="008019A6"/>
    <w:rsid w:val="00801AE1"/>
    <w:rsid w:val="00801B4E"/>
    <w:rsid w:val="008023FF"/>
    <w:rsid w:val="008027A9"/>
    <w:rsid w:val="00802B51"/>
    <w:rsid w:val="00802B5E"/>
    <w:rsid w:val="00803080"/>
    <w:rsid w:val="00803E1D"/>
    <w:rsid w:val="008044F3"/>
    <w:rsid w:val="00804567"/>
    <w:rsid w:val="00804798"/>
    <w:rsid w:val="00804C28"/>
    <w:rsid w:val="00804C82"/>
    <w:rsid w:val="00804D0B"/>
    <w:rsid w:val="00804D7A"/>
    <w:rsid w:val="008058D8"/>
    <w:rsid w:val="00805D7C"/>
    <w:rsid w:val="00806536"/>
    <w:rsid w:val="00806993"/>
    <w:rsid w:val="00806A50"/>
    <w:rsid w:val="00806DC5"/>
    <w:rsid w:val="00806E53"/>
    <w:rsid w:val="00806E7B"/>
    <w:rsid w:val="008075CF"/>
    <w:rsid w:val="00807EF5"/>
    <w:rsid w:val="0081002C"/>
    <w:rsid w:val="008100C2"/>
    <w:rsid w:val="00810432"/>
    <w:rsid w:val="008104A7"/>
    <w:rsid w:val="00810E4F"/>
    <w:rsid w:val="008119CD"/>
    <w:rsid w:val="00811CE7"/>
    <w:rsid w:val="0081293A"/>
    <w:rsid w:val="0081294E"/>
    <w:rsid w:val="00812A4C"/>
    <w:rsid w:val="00812E9F"/>
    <w:rsid w:val="00812EC6"/>
    <w:rsid w:val="00813062"/>
    <w:rsid w:val="00813072"/>
    <w:rsid w:val="00813235"/>
    <w:rsid w:val="008133EF"/>
    <w:rsid w:val="008134DE"/>
    <w:rsid w:val="008135A1"/>
    <w:rsid w:val="00813DDB"/>
    <w:rsid w:val="008140DA"/>
    <w:rsid w:val="00814295"/>
    <w:rsid w:val="008142A5"/>
    <w:rsid w:val="008144FF"/>
    <w:rsid w:val="00814596"/>
    <w:rsid w:val="008149A7"/>
    <w:rsid w:val="00815669"/>
    <w:rsid w:val="0081592F"/>
    <w:rsid w:val="008159C7"/>
    <w:rsid w:val="00815FB2"/>
    <w:rsid w:val="0081649A"/>
    <w:rsid w:val="00816B4F"/>
    <w:rsid w:val="00816FDF"/>
    <w:rsid w:val="0082124E"/>
    <w:rsid w:val="00821264"/>
    <w:rsid w:val="008213A0"/>
    <w:rsid w:val="008215AE"/>
    <w:rsid w:val="00822784"/>
    <w:rsid w:val="00822A7A"/>
    <w:rsid w:val="00822B0A"/>
    <w:rsid w:val="00823096"/>
    <w:rsid w:val="0082333C"/>
    <w:rsid w:val="008239FE"/>
    <w:rsid w:val="00824573"/>
    <w:rsid w:val="00824810"/>
    <w:rsid w:val="00824846"/>
    <w:rsid w:val="00825206"/>
    <w:rsid w:val="00825228"/>
    <w:rsid w:val="0082529F"/>
    <w:rsid w:val="0082628A"/>
    <w:rsid w:val="00826972"/>
    <w:rsid w:val="00826E99"/>
    <w:rsid w:val="00827839"/>
    <w:rsid w:val="00827ABE"/>
    <w:rsid w:val="00827AC3"/>
    <w:rsid w:val="00830AA9"/>
    <w:rsid w:val="00831F5D"/>
    <w:rsid w:val="008322E1"/>
    <w:rsid w:val="008325BB"/>
    <w:rsid w:val="008326B7"/>
    <w:rsid w:val="008326F4"/>
    <w:rsid w:val="008331E4"/>
    <w:rsid w:val="00833346"/>
    <w:rsid w:val="008335E5"/>
    <w:rsid w:val="00833712"/>
    <w:rsid w:val="00833921"/>
    <w:rsid w:val="0083393F"/>
    <w:rsid w:val="00833944"/>
    <w:rsid w:val="0083474D"/>
    <w:rsid w:val="00835054"/>
    <w:rsid w:val="00835A04"/>
    <w:rsid w:val="00835D82"/>
    <w:rsid w:val="00836506"/>
    <w:rsid w:val="00836858"/>
    <w:rsid w:val="00836D69"/>
    <w:rsid w:val="00837617"/>
    <w:rsid w:val="0083780A"/>
    <w:rsid w:val="00837B5E"/>
    <w:rsid w:val="00837F9A"/>
    <w:rsid w:val="0084052C"/>
    <w:rsid w:val="0084087B"/>
    <w:rsid w:val="008408AE"/>
    <w:rsid w:val="00840A6E"/>
    <w:rsid w:val="00840C7C"/>
    <w:rsid w:val="008412EB"/>
    <w:rsid w:val="008416E2"/>
    <w:rsid w:val="00841896"/>
    <w:rsid w:val="008419F6"/>
    <w:rsid w:val="00842226"/>
    <w:rsid w:val="00842575"/>
    <w:rsid w:val="0084258D"/>
    <w:rsid w:val="0084281A"/>
    <w:rsid w:val="00842BA9"/>
    <w:rsid w:val="00842EE8"/>
    <w:rsid w:val="00843370"/>
    <w:rsid w:val="008436C3"/>
    <w:rsid w:val="008439CB"/>
    <w:rsid w:val="008441C6"/>
    <w:rsid w:val="00845063"/>
    <w:rsid w:val="008452D4"/>
    <w:rsid w:val="008458E7"/>
    <w:rsid w:val="00845916"/>
    <w:rsid w:val="00845CA1"/>
    <w:rsid w:val="008461B3"/>
    <w:rsid w:val="008461EF"/>
    <w:rsid w:val="00846475"/>
    <w:rsid w:val="00846630"/>
    <w:rsid w:val="008466D3"/>
    <w:rsid w:val="008467B8"/>
    <w:rsid w:val="008470A1"/>
    <w:rsid w:val="008474D4"/>
    <w:rsid w:val="00847664"/>
    <w:rsid w:val="008477B3"/>
    <w:rsid w:val="00847E46"/>
    <w:rsid w:val="008503B9"/>
    <w:rsid w:val="008507D7"/>
    <w:rsid w:val="00850EF8"/>
    <w:rsid w:val="00850F69"/>
    <w:rsid w:val="00851207"/>
    <w:rsid w:val="00851CD3"/>
    <w:rsid w:val="008521DF"/>
    <w:rsid w:val="0085239C"/>
    <w:rsid w:val="00852591"/>
    <w:rsid w:val="0085268B"/>
    <w:rsid w:val="00852DB2"/>
    <w:rsid w:val="00853243"/>
    <w:rsid w:val="00853C28"/>
    <w:rsid w:val="00853C4D"/>
    <w:rsid w:val="00853DFA"/>
    <w:rsid w:val="00853EDE"/>
    <w:rsid w:val="008543CB"/>
    <w:rsid w:val="00854642"/>
    <w:rsid w:val="00854E54"/>
    <w:rsid w:val="0085508D"/>
    <w:rsid w:val="00855904"/>
    <w:rsid w:val="00855CD7"/>
    <w:rsid w:val="00855DA4"/>
    <w:rsid w:val="00855F02"/>
    <w:rsid w:val="00856137"/>
    <w:rsid w:val="008566F3"/>
    <w:rsid w:val="00856815"/>
    <w:rsid w:val="00856922"/>
    <w:rsid w:val="0085725B"/>
    <w:rsid w:val="008573C2"/>
    <w:rsid w:val="00857BC9"/>
    <w:rsid w:val="0086060E"/>
    <w:rsid w:val="008607A1"/>
    <w:rsid w:val="00860A80"/>
    <w:rsid w:val="00860AF5"/>
    <w:rsid w:val="00860BE3"/>
    <w:rsid w:val="00860DA0"/>
    <w:rsid w:val="00861236"/>
    <w:rsid w:val="0086192A"/>
    <w:rsid w:val="00861F76"/>
    <w:rsid w:val="00862554"/>
    <w:rsid w:val="0086258A"/>
    <w:rsid w:val="008630FD"/>
    <w:rsid w:val="0086338C"/>
    <w:rsid w:val="00863582"/>
    <w:rsid w:val="00864239"/>
    <w:rsid w:val="00864FB5"/>
    <w:rsid w:val="00865692"/>
    <w:rsid w:val="00865B6E"/>
    <w:rsid w:val="008668BE"/>
    <w:rsid w:val="00866ADE"/>
    <w:rsid w:val="00866DE7"/>
    <w:rsid w:val="008671C8"/>
    <w:rsid w:val="0086757A"/>
    <w:rsid w:val="0086760B"/>
    <w:rsid w:val="00867C30"/>
    <w:rsid w:val="00867E59"/>
    <w:rsid w:val="008706FD"/>
    <w:rsid w:val="008709C4"/>
    <w:rsid w:val="00870EAC"/>
    <w:rsid w:val="00871528"/>
    <w:rsid w:val="00871602"/>
    <w:rsid w:val="008717E9"/>
    <w:rsid w:val="00871A81"/>
    <w:rsid w:val="00871C22"/>
    <w:rsid w:val="00872781"/>
    <w:rsid w:val="00872BF1"/>
    <w:rsid w:val="00873A14"/>
    <w:rsid w:val="00873A8B"/>
    <w:rsid w:val="00873E57"/>
    <w:rsid w:val="0087430E"/>
    <w:rsid w:val="00874566"/>
    <w:rsid w:val="00874D1D"/>
    <w:rsid w:val="0087573B"/>
    <w:rsid w:val="008759A1"/>
    <w:rsid w:val="00876986"/>
    <w:rsid w:val="0087733A"/>
    <w:rsid w:val="00877BA1"/>
    <w:rsid w:val="00880C6C"/>
    <w:rsid w:val="00880FE4"/>
    <w:rsid w:val="008819F0"/>
    <w:rsid w:val="00882208"/>
    <w:rsid w:val="008822A0"/>
    <w:rsid w:val="0088235B"/>
    <w:rsid w:val="00882AF5"/>
    <w:rsid w:val="00882AF9"/>
    <w:rsid w:val="00883D29"/>
    <w:rsid w:val="00883EC5"/>
    <w:rsid w:val="00885277"/>
    <w:rsid w:val="008852BF"/>
    <w:rsid w:val="0088587A"/>
    <w:rsid w:val="00885952"/>
    <w:rsid w:val="00885988"/>
    <w:rsid w:val="00885A00"/>
    <w:rsid w:val="00885D85"/>
    <w:rsid w:val="00886144"/>
    <w:rsid w:val="008866EE"/>
    <w:rsid w:val="00886B75"/>
    <w:rsid w:val="0088709C"/>
    <w:rsid w:val="0088783B"/>
    <w:rsid w:val="00887928"/>
    <w:rsid w:val="008905EF"/>
    <w:rsid w:val="008905F3"/>
    <w:rsid w:val="008906F1"/>
    <w:rsid w:val="00890805"/>
    <w:rsid w:val="0089130B"/>
    <w:rsid w:val="008913CB"/>
    <w:rsid w:val="0089143E"/>
    <w:rsid w:val="00891DED"/>
    <w:rsid w:val="00892D5B"/>
    <w:rsid w:val="00893392"/>
    <w:rsid w:val="00893BDA"/>
    <w:rsid w:val="00893D67"/>
    <w:rsid w:val="0089425D"/>
    <w:rsid w:val="00894941"/>
    <w:rsid w:val="00894AA9"/>
    <w:rsid w:val="008950CA"/>
    <w:rsid w:val="008952FD"/>
    <w:rsid w:val="00895E11"/>
    <w:rsid w:val="00895E20"/>
    <w:rsid w:val="00895E95"/>
    <w:rsid w:val="0089635E"/>
    <w:rsid w:val="008964C5"/>
    <w:rsid w:val="00896824"/>
    <w:rsid w:val="00896C74"/>
    <w:rsid w:val="00896D8A"/>
    <w:rsid w:val="00896DC2"/>
    <w:rsid w:val="00896F07"/>
    <w:rsid w:val="00897D5A"/>
    <w:rsid w:val="008A0160"/>
    <w:rsid w:val="008A093E"/>
    <w:rsid w:val="008A0E60"/>
    <w:rsid w:val="008A0F6A"/>
    <w:rsid w:val="008A105D"/>
    <w:rsid w:val="008A14B5"/>
    <w:rsid w:val="008A1508"/>
    <w:rsid w:val="008A16E4"/>
    <w:rsid w:val="008A1739"/>
    <w:rsid w:val="008A18A5"/>
    <w:rsid w:val="008A214D"/>
    <w:rsid w:val="008A21A1"/>
    <w:rsid w:val="008A2468"/>
    <w:rsid w:val="008A27E2"/>
    <w:rsid w:val="008A2EDE"/>
    <w:rsid w:val="008A2FE5"/>
    <w:rsid w:val="008A3132"/>
    <w:rsid w:val="008A33C9"/>
    <w:rsid w:val="008A3B47"/>
    <w:rsid w:val="008A3CC4"/>
    <w:rsid w:val="008A40F1"/>
    <w:rsid w:val="008A45D0"/>
    <w:rsid w:val="008A45DD"/>
    <w:rsid w:val="008A476F"/>
    <w:rsid w:val="008A4AA8"/>
    <w:rsid w:val="008A4EED"/>
    <w:rsid w:val="008A50A0"/>
    <w:rsid w:val="008A516D"/>
    <w:rsid w:val="008A542B"/>
    <w:rsid w:val="008A5646"/>
    <w:rsid w:val="008A5977"/>
    <w:rsid w:val="008A5DAB"/>
    <w:rsid w:val="008A5E21"/>
    <w:rsid w:val="008A60B2"/>
    <w:rsid w:val="008A6651"/>
    <w:rsid w:val="008A680C"/>
    <w:rsid w:val="008A6C83"/>
    <w:rsid w:val="008A7171"/>
    <w:rsid w:val="008A75F3"/>
    <w:rsid w:val="008A7956"/>
    <w:rsid w:val="008A7B29"/>
    <w:rsid w:val="008A7D32"/>
    <w:rsid w:val="008B00D8"/>
    <w:rsid w:val="008B0217"/>
    <w:rsid w:val="008B0465"/>
    <w:rsid w:val="008B0981"/>
    <w:rsid w:val="008B0C27"/>
    <w:rsid w:val="008B0F01"/>
    <w:rsid w:val="008B102D"/>
    <w:rsid w:val="008B1331"/>
    <w:rsid w:val="008B1442"/>
    <w:rsid w:val="008B202A"/>
    <w:rsid w:val="008B218F"/>
    <w:rsid w:val="008B21B4"/>
    <w:rsid w:val="008B2F9F"/>
    <w:rsid w:val="008B354A"/>
    <w:rsid w:val="008B35B0"/>
    <w:rsid w:val="008B388B"/>
    <w:rsid w:val="008B3F0D"/>
    <w:rsid w:val="008B4729"/>
    <w:rsid w:val="008B4791"/>
    <w:rsid w:val="008B4826"/>
    <w:rsid w:val="008B4999"/>
    <w:rsid w:val="008B4FE1"/>
    <w:rsid w:val="008B5129"/>
    <w:rsid w:val="008B58A0"/>
    <w:rsid w:val="008B5E39"/>
    <w:rsid w:val="008B5F10"/>
    <w:rsid w:val="008B650D"/>
    <w:rsid w:val="008B6AC1"/>
    <w:rsid w:val="008B6FCB"/>
    <w:rsid w:val="008B71F2"/>
    <w:rsid w:val="008B720D"/>
    <w:rsid w:val="008B75DF"/>
    <w:rsid w:val="008C05B4"/>
    <w:rsid w:val="008C10C6"/>
    <w:rsid w:val="008C10E0"/>
    <w:rsid w:val="008C1BD8"/>
    <w:rsid w:val="008C1E9E"/>
    <w:rsid w:val="008C2884"/>
    <w:rsid w:val="008C29E7"/>
    <w:rsid w:val="008C2DB9"/>
    <w:rsid w:val="008C3976"/>
    <w:rsid w:val="008C47BB"/>
    <w:rsid w:val="008C4A96"/>
    <w:rsid w:val="008C4C2A"/>
    <w:rsid w:val="008C4DED"/>
    <w:rsid w:val="008C50F8"/>
    <w:rsid w:val="008C5659"/>
    <w:rsid w:val="008C5B63"/>
    <w:rsid w:val="008C6428"/>
    <w:rsid w:val="008C6F8C"/>
    <w:rsid w:val="008C7E77"/>
    <w:rsid w:val="008C7F53"/>
    <w:rsid w:val="008D0673"/>
    <w:rsid w:val="008D0F99"/>
    <w:rsid w:val="008D10ED"/>
    <w:rsid w:val="008D1357"/>
    <w:rsid w:val="008D2182"/>
    <w:rsid w:val="008D22A7"/>
    <w:rsid w:val="008D2640"/>
    <w:rsid w:val="008D2A57"/>
    <w:rsid w:val="008D2AFB"/>
    <w:rsid w:val="008D2E2F"/>
    <w:rsid w:val="008D2F2B"/>
    <w:rsid w:val="008D3B4B"/>
    <w:rsid w:val="008D4387"/>
    <w:rsid w:val="008D4C5E"/>
    <w:rsid w:val="008D4DE7"/>
    <w:rsid w:val="008D51C0"/>
    <w:rsid w:val="008D5370"/>
    <w:rsid w:val="008D5625"/>
    <w:rsid w:val="008D5D8A"/>
    <w:rsid w:val="008D63D0"/>
    <w:rsid w:val="008D67BC"/>
    <w:rsid w:val="008D6F0B"/>
    <w:rsid w:val="008D7108"/>
    <w:rsid w:val="008D79A7"/>
    <w:rsid w:val="008E0197"/>
    <w:rsid w:val="008E0217"/>
    <w:rsid w:val="008E03EC"/>
    <w:rsid w:val="008E0616"/>
    <w:rsid w:val="008E0653"/>
    <w:rsid w:val="008E1492"/>
    <w:rsid w:val="008E14A3"/>
    <w:rsid w:val="008E1710"/>
    <w:rsid w:val="008E1A17"/>
    <w:rsid w:val="008E1ACE"/>
    <w:rsid w:val="008E1CBE"/>
    <w:rsid w:val="008E1E14"/>
    <w:rsid w:val="008E214F"/>
    <w:rsid w:val="008E22D2"/>
    <w:rsid w:val="008E2616"/>
    <w:rsid w:val="008E29EB"/>
    <w:rsid w:val="008E2E8C"/>
    <w:rsid w:val="008E39DF"/>
    <w:rsid w:val="008E3B7A"/>
    <w:rsid w:val="008E3C3B"/>
    <w:rsid w:val="008E3E69"/>
    <w:rsid w:val="008E3F30"/>
    <w:rsid w:val="008E430F"/>
    <w:rsid w:val="008E4373"/>
    <w:rsid w:val="008E4439"/>
    <w:rsid w:val="008E4C3B"/>
    <w:rsid w:val="008E5BC0"/>
    <w:rsid w:val="008E5C3A"/>
    <w:rsid w:val="008E60BC"/>
    <w:rsid w:val="008E6AD6"/>
    <w:rsid w:val="008E76FA"/>
    <w:rsid w:val="008E77E4"/>
    <w:rsid w:val="008E7849"/>
    <w:rsid w:val="008F0562"/>
    <w:rsid w:val="008F06B1"/>
    <w:rsid w:val="008F096A"/>
    <w:rsid w:val="008F132E"/>
    <w:rsid w:val="008F13E5"/>
    <w:rsid w:val="008F16E8"/>
    <w:rsid w:val="008F1842"/>
    <w:rsid w:val="008F19C9"/>
    <w:rsid w:val="008F1ACE"/>
    <w:rsid w:val="008F218F"/>
    <w:rsid w:val="008F2746"/>
    <w:rsid w:val="008F310D"/>
    <w:rsid w:val="008F3139"/>
    <w:rsid w:val="008F33F4"/>
    <w:rsid w:val="008F4022"/>
    <w:rsid w:val="008F4102"/>
    <w:rsid w:val="008F45D0"/>
    <w:rsid w:val="008F469E"/>
    <w:rsid w:val="008F4893"/>
    <w:rsid w:val="008F518E"/>
    <w:rsid w:val="008F5781"/>
    <w:rsid w:val="008F5A6D"/>
    <w:rsid w:val="008F6380"/>
    <w:rsid w:val="008F6708"/>
    <w:rsid w:val="008F67DB"/>
    <w:rsid w:val="008F6AD8"/>
    <w:rsid w:val="008F6B07"/>
    <w:rsid w:val="008F70D1"/>
    <w:rsid w:val="008F7484"/>
    <w:rsid w:val="008F799B"/>
    <w:rsid w:val="008F7BDE"/>
    <w:rsid w:val="0090009D"/>
    <w:rsid w:val="009002C2"/>
    <w:rsid w:val="00900333"/>
    <w:rsid w:val="009006DE"/>
    <w:rsid w:val="00900739"/>
    <w:rsid w:val="0090141F"/>
    <w:rsid w:val="00901713"/>
    <w:rsid w:val="00901A65"/>
    <w:rsid w:val="00902678"/>
    <w:rsid w:val="009027DB"/>
    <w:rsid w:val="0090281E"/>
    <w:rsid w:val="00902E04"/>
    <w:rsid w:val="00902E4F"/>
    <w:rsid w:val="00902E55"/>
    <w:rsid w:val="009034B5"/>
    <w:rsid w:val="009039D3"/>
    <w:rsid w:val="00903A8D"/>
    <w:rsid w:val="00903B93"/>
    <w:rsid w:val="00903C39"/>
    <w:rsid w:val="009048D9"/>
    <w:rsid w:val="00904A8C"/>
    <w:rsid w:val="00904CDB"/>
    <w:rsid w:val="0090538C"/>
    <w:rsid w:val="0090552E"/>
    <w:rsid w:val="00905864"/>
    <w:rsid w:val="00905EA8"/>
    <w:rsid w:val="00905F3C"/>
    <w:rsid w:val="00906706"/>
    <w:rsid w:val="00906ADE"/>
    <w:rsid w:val="0090708F"/>
    <w:rsid w:val="009079AA"/>
    <w:rsid w:val="00907C14"/>
    <w:rsid w:val="00907CE6"/>
    <w:rsid w:val="00907E2B"/>
    <w:rsid w:val="00910053"/>
    <w:rsid w:val="00910130"/>
    <w:rsid w:val="009104E1"/>
    <w:rsid w:val="00911094"/>
    <w:rsid w:val="009119B0"/>
    <w:rsid w:val="00911C3D"/>
    <w:rsid w:val="0091207F"/>
    <w:rsid w:val="009132EA"/>
    <w:rsid w:val="00913442"/>
    <w:rsid w:val="00913656"/>
    <w:rsid w:val="00913D37"/>
    <w:rsid w:val="0091433B"/>
    <w:rsid w:val="00914402"/>
    <w:rsid w:val="0091444D"/>
    <w:rsid w:val="00914519"/>
    <w:rsid w:val="00914859"/>
    <w:rsid w:val="00915031"/>
    <w:rsid w:val="009160BB"/>
    <w:rsid w:val="00916231"/>
    <w:rsid w:val="009163E3"/>
    <w:rsid w:val="00916D12"/>
    <w:rsid w:val="00916F83"/>
    <w:rsid w:val="009174DA"/>
    <w:rsid w:val="00917601"/>
    <w:rsid w:val="009178D4"/>
    <w:rsid w:val="00917D5D"/>
    <w:rsid w:val="00917D80"/>
    <w:rsid w:val="00917DA7"/>
    <w:rsid w:val="0092028B"/>
    <w:rsid w:val="009203B0"/>
    <w:rsid w:val="0092050E"/>
    <w:rsid w:val="00920C5C"/>
    <w:rsid w:val="00920ED2"/>
    <w:rsid w:val="00921163"/>
    <w:rsid w:val="00921459"/>
    <w:rsid w:val="009222F3"/>
    <w:rsid w:val="00922301"/>
    <w:rsid w:val="0092269F"/>
    <w:rsid w:val="00922AAD"/>
    <w:rsid w:val="00922DEB"/>
    <w:rsid w:val="00922E47"/>
    <w:rsid w:val="009230B9"/>
    <w:rsid w:val="00923373"/>
    <w:rsid w:val="00923861"/>
    <w:rsid w:val="00923995"/>
    <w:rsid w:val="00924431"/>
    <w:rsid w:val="0092470A"/>
    <w:rsid w:val="0092470D"/>
    <w:rsid w:val="009253A8"/>
    <w:rsid w:val="0092587A"/>
    <w:rsid w:val="00926109"/>
    <w:rsid w:val="0092634A"/>
    <w:rsid w:val="00926DC4"/>
    <w:rsid w:val="0092716C"/>
    <w:rsid w:val="009276BF"/>
    <w:rsid w:val="00927863"/>
    <w:rsid w:val="00927B3B"/>
    <w:rsid w:val="00927DAF"/>
    <w:rsid w:val="0093016F"/>
    <w:rsid w:val="0093038E"/>
    <w:rsid w:val="00930A91"/>
    <w:rsid w:val="00931BD9"/>
    <w:rsid w:val="00931E70"/>
    <w:rsid w:val="00931F56"/>
    <w:rsid w:val="00932066"/>
    <w:rsid w:val="0093236F"/>
    <w:rsid w:val="009325A4"/>
    <w:rsid w:val="009327C0"/>
    <w:rsid w:val="00932979"/>
    <w:rsid w:val="00933442"/>
    <w:rsid w:val="009336CB"/>
    <w:rsid w:val="009337F5"/>
    <w:rsid w:val="00933875"/>
    <w:rsid w:val="00933C2F"/>
    <w:rsid w:val="00934440"/>
    <w:rsid w:val="00934B85"/>
    <w:rsid w:val="00934EFE"/>
    <w:rsid w:val="00935122"/>
    <w:rsid w:val="00935374"/>
    <w:rsid w:val="009358D3"/>
    <w:rsid w:val="009359A0"/>
    <w:rsid w:val="00935DCC"/>
    <w:rsid w:val="00935E13"/>
    <w:rsid w:val="00936F16"/>
    <w:rsid w:val="00936FB6"/>
    <w:rsid w:val="009374FD"/>
    <w:rsid w:val="00937729"/>
    <w:rsid w:val="009379A0"/>
    <w:rsid w:val="00937B10"/>
    <w:rsid w:val="00937F97"/>
    <w:rsid w:val="009400D6"/>
    <w:rsid w:val="009400EC"/>
    <w:rsid w:val="00940206"/>
    <w:rsid w:val="009404E4"/>
    <w:rsid w:val="00941592"/>
    <w:rsid w:val="00941659"/>
    <w:rsid w:val="009419F7"/>
    <w:rsid w:val="00941D7D"/>
    <w:rsid w:val="0094205E"/>
    <w:rsid w:val="00942597"/>
    <w:rsid w:val="00942665"/>
    <w:rsid w:val="00942682"/>
    <w:rsid w:val="00943514"/>
    <w:rsid w:val="0094375B"/>
    <w:rsid w:val="009437A4"/>
    <w:rsid w:val="0094387C"/>
    <w:rsid w:val="00943B93"/>
    <w:rsid w:val="00943BE4"/>
    <w:rsid w:val="00943FFF"/>
    <w:rsid w:val="00944163"/>
    <w:rsid w:val="0094438B"/>
    <w:rsid w:val="0094476E"/>
    <w:rsid w:val="009447D8"/>
    <w:rsid w:val="00944F92"/>
    <w:rsid w:val="00945491"/>
    <w:rsid w:val="0094560A"/>
    <w:rsid w:val="00945676"/>
    <w:rsid w:val="00945C37"/>
    <w:rsid w:val="00945DED"/>
    <w:rsid w:val="00945F16"/>
    <w:rsid w:val="009462BD"/>
    <w:rsid w:val="0094692F"/>
    <w:rsid w:val="009472F0"/>
    <w:rsid w:val="009473DA"/>
    <w:rsid w:val="009474D3"/>
    <w:rsid w:val="009474DB"/>
    <w:rsid w:val="009478A7"/>
    <w:rsid w:val="00950263"/>
    <w:rsid w:val="009506E1"/>
    <w:rsid w:val="009507BE"/>
    <w:rsid w:val="00950B3F"/>
    <w:rsid w:val="009516B1"/>
    <w:rsid w:val="00951792"/>
    <w:rsid w:val="00951A6E"/>
    <w:rsid w:val="00951C87"/>
    <w:rsid w:val="00951F38"/>
    <w:rsid w:val="0095200D"/>
    <w:rsid w:val="009527B2"/>
    <w:rsid w:val="009529E0"/>
    <w:rsid w:val="00952AB7"/>
    <w:rsid w:val="00952CE6"/>
    <w:rsid w:val="00953167"/>
    <w:rsid w:val="00953625"/>
    <w:rsid w:val="00953690"/>
    <w:rsid w:val="00953A97"/>
    <w:rsid w:val="00953BFB"/>
    <w:rsid w:val="00954228"/>
    <w:rsid w:val="0095446F"/>
    <w:rsid w:val="0095474D"/>
    <w:rsid w:val="00954972"/>
    <w:rsid w:val="00954A49"/>
    <w:rsid w:val="00954F47"/>
    <w:rsid w:val="00955476"/>
    <w:rsid w:val="009556E7"/>
    <w:rsid w:val="0095605B"/>
    <w:rsid w:val="00956547"/>
    <w:rsid w:val="009567E3"/>
    <w:rsid w:val="00956B14"/>
    <w:rsid w:val="00956D38"/>
    <w:rsid w:val="009572CA"/>
    <w:rsid w:val="009574BD"/>
    <w:rsid w:val="009576A6"/>
    <w:rsid w:val="00957789"/>
    <w:rsid w:val="0096002D"/>
    <w:rsid w:val="009608DE"/>
    <w:rsid w:val="00960CC0"/>
    <w:rsid w:val="00961C1D"/>
    <w:rsid w:val="00962275"/>
    <w:rsid w:val="00962487"/>
    <w:rsid w:val="0096278E"/>
    <w:rsid w:val="00962B7B"/>
    <w:rsid w:val="00962DE8"/>
    <w:rsid w:val="00963D96"/>
    <w:rsid w:val="009641EB"/>
    <w:rsid w:val="00964352"/>
    <w:rsid w:val="00964544"/>
    <w:rsid w:val="00964D52"/>
    <w:rsid w:val="00964E37"/>
    <w:rsid w:val="00964EE0"/>
    <w:rsid w:val="0096575F"/>
    <w:rsid w:val="009658B1"/>
    <w:rsid w:val="009658CD"/>
    <w:rsid w:val="00965B34"/>
    <w:rsid w:val="00965E59"/>
    <w:rsid w:val="009669B4"/>
    <w:rsid w:val="00966E02"/>
    <w:rsid w:val="009670ED"/>
    <w:rsid w:val="009704C6"/>
    <w:rsid w:val="00970655"/>
    <w:rsid w:val="00970E59"/>
    <w:rsid w:val="00971903"/>
    <w:rsid w:val="00971D1C"/>
    <w:rsid w:val="00972329"/>
    <w:rsid w:val="009723A9"/>
    <w:rsid w:val="0097247F"/>
    <w:rsid w:val="009727F1"/>
    <w:rsid w:val="00972D75"/>
    <w:rsid w:val="009733E9"/>
    <w:rsid w:val="009736D1"/>
    <w:rsid w:val="009737F9"/>
    <w:rsid w:val="00974077"/>
    <w:rsid w:val="00974121"/>
    <w:rsid w:val="00974BD8"/>
    <w:rsid w:val="009756B5"/>
    <w:rsid w:val="009766B2"/>
    <w:rsid w:val="009768A2"/>
    <w:rsid w:val="00976A34"/>
    <w:rsid w:val="00976A9B"/>
    <w:rsid w:val="00976AD2"/>
    <w:rsid w:val="00976FE2"/>
    <w:rsid w:val="009777E0"/>
    <w:rsid w:val="00977ADE"/>
    <w:rsid w:val="009801D4"/>
    <w:rsid w:val="009804EF"/>
    <w:rsid w:val="009807C5"/>
    <w:rsid w:val="00980D01"/>
    <w:rsid w:val="00982297"/>
    <w:rsid w:val="0098254A"/>
    <w:rsid w:val="0098268D"/>
    <w:rsid w:val="00982A96"/>
    <w:rsid w:val="009835CF"/>
    <w:rsid w:val="00983A79"/>
    <w:rsid w:val="00983E21"/>
    <w:rsid w:val="00983F63"/>
    <w:rsid w:val="009841BE"/>
    <w:rsid w:val="00984406"/>
    <w:rsid w:val="00984522"/>
    <w:rsid w:val="009845E3"/>
    <w:rsid w:val="009849C4"/>
    <w:rsid w:val="00984B39"/>
    <w:rsid w:val="00984D34"/>
    <w:rsid w:val="00984F81"/>
    <w:rsid w:val="00984FEE"/>
    <w:rsid w:val="00985172"/>
    <w:rsid w:val="009862E3"/>
    <w:rsid w:val="009863B5"/>
    <w:rsid w:val="009865C9"/>
    <w:rsid w:val="00987100"/>
    <w:rsid w:val="00987FDE"/>
    <w:rsid w:val="009902DB"/>
    <w:rsid w:val="009903A4"/>
    <w:rsid w:val="00990435"/>
    <w:rsid w:val="009905EB"/>
    <w:rsid w:val="00990759"/>
    <w:rsid w:val="00990A68"/>
    <w:rsid w:val="00990B03"/>
    <w:rsid w:val="00991212"/>
    <w:rsid w:val="009914C0"/>
    <w:rsid w:val="009915E9"/>
    <w:rsid w:val="00991805"/>
    <w:rsid w:val="009919D2"/>
    <w:rsid w:val="00991E8B"/>
    <w:rsid w:val="0099209B"/>
    <w:rsid w:val="0099293A"/>
    <w:rsid w:val="00992B4D"/>
    <w:rsid w:val="00993208"/>
    <w:rsid w:val="0099386D"/>
    <w:rsid w:val="00993BD6"/>
    <w:rsid w:val="00993CAF"/>
    <w:rsid w:val="00993E2A"/>
    <w:rsid w:val="009956B9"/>
    <w:rsid w:val="00995DC9"/>
    <w:rsid w:val="00995F26"/>
    <w:rsid w:val="00996010"/>
    <w:rsid w:val="009960FC"/>
    <w:rsid w:val="00996310"/>
    <w:rsid w:val="0099637C"/>
    <w:rsid w:val="009963EF"/>
    <w:rsid w:val="0099678C"/>
    <w:rsid w:val="0099732F"/>
    <w:rsid w:val="009973A0"/>
    <w:rsid w:val="00997BBA"/>
    <w:rsid w:val="009A0047"/>
    <w:rsid w:val="009A02D7"/>
    <w:rsid w:val="009A0ADB"/>
    <w:rsid w:val="009A0CD0"/>
    <w:rsid w:val="009A0E3A"/>
    <w:rsid w:val="009A10CF"/>
    <w:rsid w:val="009A1AA5"/>
    <w:rsid w:val="009A1BDB"/>
    <w:rsid w:val="009A2237"/>
    <w:rsid w:val="009A25F8"/>
    <w:rsid w:val="009A2A74"/>
    <w:rsid w:val="009A2A7D"/>
    <w:rsid w:val="009A2CCB"/>
    <w:rsid w:val="009A2F50"/>
    <w:rsid w:val="009A2F85"/>
    <w:rsid w:val="009A34A0"/>
    <w:rsid w:val="009A3D37"/>
    <w:rsid w:val="009A3EE1"/>
    <w:rsid w:val="009A477A"/>
    <w:rsid w:val="009A4E43"/>
    <w:rsid w:val="009A4E94"/>
    <w:rsid w:val="009A4F80"/>
    <w:rsid w:val="009A513A"/>
    <w:rsid w:val="009A5416"/>
    <w:rsid w:val="009A5692"/>
    <w:rsid w:val="009A5DF3"/>
    <w:rsid w:val="009A5E2E"/>
    <w:rsid w:val="009A672A"/>
    <w:rsid w:val="009A7511"/>
    <w:rsid w:val="009A766A"/>
    <w:rsid w:val="009B00F1"/>
    <w:rsid w:val="009B04B0"/>
    <w:rsid w:val="009B095D"/>
    <w:rsid w:val="009B0CDC"/>
    <w:rsid w:val="009B0DE0"/>
    <w:rsid w:val="009B1266"/>
    <w:rsid w:val="009B1341"/>
    <w:rsid w:val="009B1740"/>
    <w:rsid w:val="009B17F1"/>
    <w:rsid w:val="009B188E"/>
    <w:rsid w:val="009B22E7"/>
    <w:rsid w:val="009B27C8"/>
    <w:rsid w:val="009B27E7"/>
    <w:rsid w:val="009B2C92"/>
    <w:rsid w:val="009B38D8"/>
    <w:rsid w:val="009B408C"/>
    <w:rsid w:val="009B41FA"/>
    <w:rsid w:val="009B4523"/>
    <w:rsid w:val="009B470D"/>
    <w:rsid w:val="009B49B8"/>
    <w:rsid w:val="009B54BE"/>
    <w:rsid w:val="009B571F"/>
    <w:rsid w:val="009B57B6"/>
    <w:rsid w:val="009B6CD0"/>
    <w:rsid w:val="009B6E2E"/>
    <w:rsid w:val="009B7B27"/>
    <w:rsid w:val="009B7C76"/>
    <w:rsid w:val="009C034B"/>
    <w:rsid w:val="009C05C8"/>
    <w:rsid w:val="009C0897"/>
    <w:rsid w:val="009C092C"/>
    <w:rsid w:val="009C104F"/>
    <w:rsid w:val="009C17CD"/>
    <w:rsid w:val="009C2C77"/>
    <w:rsid w:val="009C3478"/>
    <w:rsid w:val="009C4173"/>
    <w:rsid w:val="009C49F3"/>
    <w:rsid w:val="009C4A46"/>
    <w:rsid w:val="009C4E68"/>
    <w:rsid w:val="009C4F27"/>
    <w:rsid w:val="009C52AF"/>
    <w:rsid w:val="009C536A"/>
    <w:rsid w:val="009C59CA"/>
    <w:rsid w:val="009C5E77"/>
    <w:rsid w:val="009C6D82"/>
    <w:rsid w:val="009C6E98"/>
    <w:rsid w:val="009C6FE2"/>
    <w:rsid w:val="009C78D8"/>
    <w:rsid w:val="009C7DC7"/>
    <w:rsid w:val="009D0A67"/>
    <w:rsid w:val="009D1309"/>
    <w:rsid w:val="009D1B75"/>
    <w:rsid w:val="009D1CAD"/>
    <w:rsid w:val="009D1F6E"/>
    <w:rsid w:val="009D21D1"/>
    <w:rsid w:val="009D2281"/>
    <w:rsid w:val="009D2A59"/>
    <w:rsid w:val="009D2BF2"/>
    <w:rsid w:val="009D2DF1"/>
    <w:rsid w:val="009D304B"/>
    <w:rsid w:val="009D33BE"/>
    <w:rsid w:val="009D35EE"/>
    <w:rsid w:val="009D42F2"/>
    <w:rsid w:val="009D4792"/>
    <w:rsid w:val="009D4808"/>
    <w:rsid w:val="009D49F6"/>
    <w:rsid w:val="009D4B38"/>
    <w:rsid w:val="009D4E3A"/>
    <w:rsid w:val="009D57DD"/>
    <w:rsid w:val="009D5D74"/>
    <w:rsid w:val="009D6313"/>
    <w:rsid w:val="009D6320"/>
    <w:rsid w:val="009D64B2"/>
    <w:rsid w:val="009D6C96"/>
    <w:rsid w:val="009D72CC"/>
    <w:rsid w:val="009D7C46"/>
    <w:rsid w:val="009E0164"/>
    <w:rsid w:val="009E03CB"/>
    <w:rsid w:val="009E0E12"/>
    <w:rsid w:val="009E101E"/>
    <w:rsid w:val="009E1585"/>
    <w:rsid w:val="009E199B"/>
    <w:rsid w:val="009E1C61"/>
    <w:rsid w:val="009E1DCC"/>
    <w:rsid w:val="009E1FB9"/>
    <w:rsid w:val="009E215B"/>
    <w:rsid w:val="009E2330"/>
    <w:rsid w:val="009E2331"/>
    <w:rsid w:val="009E2E25"/>
    <w:rsid w:val="009E2F62"/>
    <w:rsid w:val="009E3003"/>
    <w:rsid w:val="009E36B1"/>
    <w:rsid w:val="009E39F2"/>
    <w:rsid w:val="009E3BA2"/>
    <w:rsid w:val="009E4918"/>
    <w:rsid w:val="009E4983"/>
    <w:rsid w:val="009E5469"/>
    <w:rsid w:val="009E5AE0"/>
    <w:rsid w:val="009E5D40"/>
    <w:rsid w:val="009E5F38"/>
    <w:rsid w:val="009E63C6"/>
    <w:rsid w:val="009E68C7"/>
    <w:rsid w:val="009E7DD0"/>
    <w:rsid w:val="009F034B"/>
    <w:rsid w:val="009F04D7"/>
    <w:rsid w:val="009F056F"/>
    <w:rsid w:val="009F0732"/>
    <w:rsid w:val="009F097B"/>
    <w:rsid w:val="009F11EC"/>
    <w:rsid w:val="009F1FA1"/>
    <w:rsid w:val="009F216E"/>
    <w:rsid w:val="009F2463"/>
    <w:rsid w:val="009F2776"/>
    <w:rsid w:val="009F2C07"/>
    <w:rsid w:val="009F2D4F"/>
    <w:rsid w:val="009F317D"/>
    <w:rsid w:val="009F390D"/>
    <w:rsid w:val="009F3C20"/>
    <w:rsid w:val="009F3D12"/>
    <w:rsid w:val="009F4EA0"/>
    <w:rsid w:val="009F4F00"/>
    <w:rsid w:val="009F4FC8"/>
    <w:rsid w:val="009F5416"/>
    <w:rsid w:val="009F5CDC"/>
    <w:rsid w:val="009F5F0C"/>
    <w:rsid w:val="009F6F89"/>
    <w:rsid w:val="009F702D"/>
    <w:rsid w:val="009F788C"/>
    <w:rsid w:val="009F7D8B"/>
    <w:rsid w:val="00A00475"/>
    <w:rsid w:val="00A00767"/>
    <w:rsid w:val="00A0086D"/>
    <w:rsid w:val="00A01CD0"/>
    <w:rsid w:val="00A01CE1"/>
    <w:rsid w:val="00A02321"/>
    <w:rsid w:val="00A02449"/>
    <w:rsid w:val="00A025AD"/>
    <w:rsid w:val="00A02621"/>
    <w:rsid w:val="00A02FA0"/>
    <w:rsid w:val="00A03202"/>
    <w:rsid w:val="00A04731"/>
    <w:rsid w:val="00A04A81"/>
    <w:rsid w:val="00A04CB7"/>
    <w:rsid w:val="00A04F52"/>
    <w:rsid w:val="00A05756"/>
    <w:rsid w:val="00A05F50"/>
    <w:rsid w:val="00A060DE"/>
    <w:rsid w:val="00A06121"/>
    <w:rsid w:val="00A06417"/>
    <w:rsid w:val="00A0756C"/>
    <w:rsid w:val="00A07E41"/>
    <w:rsid w:val="00A07F47"/>
    <w:rsid w:val="00A10388"/>
    <w:rsid w:val="00A10FDE"/>
    <w:rsid w:val="00A114DE"/>
    <w:rsid w:val="00A1160D"/>
    <w:rsid w:val="00A11863"/>
    <w:rsid w:val="00A11AA5"/>
    <w:rsid w:val="00A11CC8"/>
    <w:rsid w:val="00A11DAE"/>
    <w:rsid w:val="00A1209C"/>
    <w:rsid w:val="00A1258C"/>
    <w:rsid w:val="00A125C2"/>
    <w:rsid w:val="00A12701"/>
    <w:rsid w:val="00A1286E"/>
    <w:rsid w:val="00A12A96"/>
    <w:rsid w:val="00A1348C"/>
    <w:rsid w:val="00A13803"/>
    <w:rsid w:val="00A13C72"/>
    <w:rsid w:val="00A13D55"/>
    <w:rsid w:val="00A146A4"/>
    <w:rsid w:val="00A146CE"/>
    <w:rsid w:val="00A1470E"/>
    <w:rsid w:val="00A14C83"/>
    <w:rsid w:val="00A14FED"/>
    <w:rsid w:val="00A15338"/>
    <w:rsid w:val="00A157C1"/>
    <w:rsid w:val="00A15C64"/>
    <w:rsid w:val="00A1674F"/>
    <w:rsid w:val="00A169FD"/>
    <w:rsid w:val="00A16BD4"/>
    <w:rsid w:val="00A16E04"/>
    <w:rsid w:val="00A173BE"/>
    <w:rsid w:val="00A17522"/>
    <w:rsid w:val="00A177FF"/>
    <w:rsid w:val="00A179EE"/>
    <w:rsid w:val="00A17F00"/>
    <w:rsid w:val="00A2040A"/>
    <w:rsid w:val="00A20702"/>
    <w:rsid w:val="00A20D62"/>
    <w:rsid w:val="00A20D89"/>
    <w:rsid w:val="00A20F8E"/>
    <w:rsid w:val="00A20FF9"/>
    <w:rsid w:val="00A2180C"/>
    <w:rsid w:val="00A21A23"/>
    <w:rsid w:val="00A2218A"/>
    <w:rsid w:val="00A2232E"/>
    <w:rsid w:val="00A22333"/>
    <w:rsid w:val="00A22807"/>
    <w:rsid w:val="00A23991"/>
    <w:rsid w:val="00A24327"/>
    <w:rsid w:val="00A24773"/>
    <w:rsid w:val="00A24AF0"/>
    <w:rsid w:val="00A24BFB"/>
    <w:rsid w:val="00A24CC0"/>
    <w:rsid w:val="00A2548F"/>
    <w:rsid w:val="00A2553C"/>
    <w:rsid w:val="00A256DA"/>
    <w:rsid w:val="00A25740"/>
    <w:rsid w:val="00A25786"/>
    <w:rsid w:val="00A25D47"/>
    <w:rsid w:val="00A260A2"/>
    <w:rsid w:val="00A2651D"/>
    <w:rsid w:val="00A26597"/>
    <w:rsid w:val="00A26732"/>
    <w:rsid w:val="00A267C8"/>
    <w:rsid w:val="00A2694C"/>
    <w:rsid w:val="00A26FF2"/>
    <w:rsid w:val="00A27316"/>
    <w:rsid w:val="00A2754E"/>
    <w:rsid w:val="00A279A0"/>
    <w:rsid w:val="00A30940"/>
    <w:rsid w:val="00A30D15"/>
    <w:rsid w:val="00A30D99"/>
    <w:rsid w:val="00A30E41"/>
    <w:rsid w:val="00A310DB"/>
    <w:rsid w:val="00A31634"/>
    <w:rsid w:val="00A319C8"/>
    <w:rsid w:val="00A32064"/>
    <w:rsid w:val="00A3242A"/>
    <w:rsid w:val="00A32656"/>
    <w:rsid w:val="00A32826"/>
    <w:rsid w:val="00A32A49"/>
    <w:rsid w:val="00A32E4A"/>
    <w:rsid w:val="00A32E60"/>
    <w:rsid w:val="00A332C3"/>
    <w:rsid w:val="00A33971"/>
    <w:rsid w:val="00A33AF4"/>
    <w:rsid w:val="00A33AF6"/>
    <w:rsid w:val="00A33C10"/>
    <w:rsid w:val="00A33C49"/>
    <w:rsid w:val="00A34297"/>
    <w:rsid w:val="00A34300"/>
    <w:rsid w:val="00A343B9"/>
    <w:rsid w:val="00A34D39"/>
    <w:rsid w:val="00A34DAD"/>
    <w:rsid w:val="00A34F72"/>
    <w:rsid w:val="00A351A1"/>
    <w:rsid w:val="00A35334"/>
    <w:rsid w:val="00A35D86"/>
    <w:rsid w:val="00A365E7"/>
    <w:rsid w:val="00A36F33"/>
    <w:rsid w:val="00A37104"/>
    <w:rsid w:val="00A37A23"/>
    <w:rsid w:val="00A37B00"/>
    <w:rsid w:val="00A37C24"/>
    <w:rsid w:val="00A401A2"/>
    <w:rsid w:val="00A406DD"/>
    <w:rsid w:val="00A40940"/>
    <w:rsid w:val="00A40B87"/>
    <w:rsid w:val="00A40BF5"/>
    <w:rsid w:val="00A41717"/>
    <w:rsid w:val="00A41D10"/>
    <w:rsid w:val="00A421EE"/>
    <w:rsid w:val="00A421FC"/>
    <w:rsid w:val="00A4235F"/>
    <w:rsid w:val="00A4238E"/>
    <w:rsid w:val="00A42883"/>
    <w:rsid w:val="00A42CDE"/>
    <w:rsid w:val="00A42E9A"/>
    <w:rsid w:val="00A430A4"/>
    <w:rsid w:val="00A43189"/>
    <w:rsid w:val="00A43512"/>
    <w:rsid w:val="00A438FF"/>
    <w:rsid w:val="00A444C4"/>
    <w:rsid w:val="00A44587"/>
    <w:rsid w:val="00A4469C"/>
    <w:rsid w:val="00A449AE"/>
    <w:rsid w:val="00A44E3A"/>
    <w:rsid w:val="00A4598C"/>
    <w:rsid w:val="00A459C5"/>
    <w:rsid w:val="00A45FC3"/>
    <w:rsid w:val="00A46221"/>
    <w:rsid w:val="00A4652D"/>
    <w:rsid w:val="00A468CC"/>
    <w:rsid w:val="00A46B02"/>
    <w:rsid w:val="00A46D30"/>
    <w:rsid w:val="00A4710D"/>
    <w:rsid w:val="00A4765A"/>
    <w:rsid w:val="00A47C55"/>
    <w:rsid w:val="00A504D2"/>
    <w:rsid w:val="00A504F2"/>
    <w:rsid w:val="00A5087B"/>
    <w:rsid w:val="00A50C60"/>
    <w:rsid w:val="00A50EAE"/>
    <w:rsid w:val="00A50F75"/>
    <w:rsid w:val="00A510DB"/>
    <w:rsid w:val="00A511A1"/>
    <w:rsid w:val="00A51C8E"/>
    <w:rsid w:val="00A521F0"/>
    <w:rsid w:val="00A523EC"/>
    <w:rsid w:val="00A5249D"/>
    <w:rsid w:val="00A52DD6"/>
    <w:rsid w:val="00A53008"/>
    <w:rsid w:val="00A531CC"/>
    <w:rsid w:val="00A53848"/>
    <w:rsid w:val="00A53F9A"/>
    <w:rsid w:val="00A5465E"/>
    <w:rsid w:val="00A5470F"/>
    <w:rsid w:val="00A54CB5"/>
    <w:rsid w:val="00A54F7E"/>
    <w:rsid w:val="00A55279"/>
    <w:rsid w:val="00A55D33"/>
    <w:rsid w:val="00A56AA8"/>
    <w:rsid w:val="00A56F48"/>
    <w:rsid w:val="00A57492"/>
    <w:rsid w:val="00A57847"/>
    <w:rsid w:val="00A57A67"/>
    <w:rsid w:val="00A60703"/>
    <w:rsid w:val="00A60771"/>
    <w:rsid w:val="00A60F30"/>
    <w:rsid w:val="00A610B9"/>
    <w:rsid w:val="00A61D42"/>
    <w:rsid w:val="00A61F8A"/>
    <w:rsid w:val="00A61FA6"/>
    <w:rsid w:val="00A62305"/>
    <w:rsid w:val="00A62CE4"/>
    <w:rsid w:val="00A64309"/>
    <w:rsid w:val="00A64757"/>
    <w:rsid w:val="00A64822"/>
    <w:rsid w:val="00A64CC2"/>
    <w:rsid w:val="00A6518C"/>
    <w:rsid w:val="00A65623"/>
    <w:rsid w:val="00A65773"/>
    <w:rsid w:val="00A65CD0"/>
    <w:rsid w:val="00A65DB6"/>
    <w:rsid w:val="00A65FF3"/>
    <w:rsid w:val="00A66217"/>
    <w:rsid w:val="00A66690"/>
    <w:rsid w:val="00A668BA"/>
    <w:rsid w:val="00A66915"/>
    <w:rsid w:val="00A66EEF"/>
    <w:rsid w:val="00A66FB8"/>
    <w:rsid w:val="00A67492"/>
    <w:rsid w:val="00A67680"/>
    <w:rsid w:val="00A67806"/>
    <w:rsid w:val="00A6781D"/>
    <w:rsid w:val="00A67D62"/>
    <w:rsid w:val="00A70919"/>
    <w:rsid w:val="00A70B7D"/>
    <w:rsid w:val="00A712D2"/>
    <w:rsid w:val="00A714FD"/>
    <w:rsid w:val="00A716E6"/>
    <w:rsid w:val="00A71E4E"/>
    <w:rsid w:val="00A72204"/>
    <w:rsid w:val="00A72347"/>
    <w:rsid w:val="00A729A4"/>
    <w:rsid w:val="00A72A2F"/>
    <w:rsid w:val="00A73262"/>
    <w:rsid w:val="00A733B7"/>
    <w:rsid w:val="00A73696"/>
    <w:rsid w:val="00A7380D"/>
    <w:rsid w:val="00A741CE"/>
    <w:rsid w:val="00A74233"/>
    <w:rsid w:val="00A74299"/>
    <w:rsid w:val="00A7439F"/>
    <w:rsid w:val="00A74963"/>
    <w:rsid w:val="00A752A0"/>
    <w:rsid w:val="00A752F5"/>
    <w:rsid w:val="00A756A5"/>
    <w:rsid w:val="00A75C0E"/>
    <w:rsid w:val="00A76131"/>
    <w:rsid w:val="00A76D0D"/>
    <w:rsid w:val="00A76FED"/>
    <w:rsid w:val="00A7764C"/>
    <w:rsid w:val="00A777A6"/>
    <w:rsid w:val="00A77BD1"/>
    <w:rsid w:val="00A77BD8"/>
    <w:rsid w:val="00A77E24"/>
    <w:rsid w:val="00A8152A"/>
    <w:rsid w:val="00A81684"/>
    <w:rsid w:val="00A81A28"/>
    <w:rsid w:val="00A82760"/>
    <w:rsid w:val="00A82C2F"/>
    <w:rsid w:val="00A835FA"/>
    <w:rsid w:val="00A83AA3"/>
    <w:rsid w:val="00A83D50"/>
    <w:rsid w:val="00A846E1"/>
    <w:rsid w:val="00A847AE"/>
    <w:rsid w:val="00A85156"/>
    <w:rsid w:val="00A85818"/>
    <w:rsid w:val="00A86032"/>
    <w:rsid w:val="00A86F3E"/>
    <w:rsid w:val="00A87054"/>
    <w:rsid w:val="00A87647"/>
    <w:rsid w:val="00A876E3"/>
    <w:rsid w:val="00A8778A"/>
    <w:rsid w:val="00A9001A"/>
    <w:rsid w:val="00A90853"/>
    <w:rsid w:val="00A90A2B"/>
    <w:rsid w:val="00A9177F"/>
    <w:rsid w:val="00A91DBD"/>
    <w:rsid w:val="00A91DDD"/>
    <w:rsid w:val="00A926BF"/>
    <w:rsid w:val="00A929E5"/>
    <w:rsid w:val="00A9317E"/>
    <w:rsid w:val="00A933BF"/>
    <w:rsid w:val="00A938A7"/>
    <w:rsid w:val="00A941C5"/>
    <w:rsid w:val="00A94771"/>
    <w:rsid w:val="00A94BDD"/>
    <w:rsid w:val="00A960BE"/>
    <w:rsid w:val="00A960E0"/>
    <w:rsid w:val="00A965FE"/>
    <w:rsid w:val="00A96622"/>
    <w:rsid w:val="00A96873"/>
    <w:rsid w:val="00A970FA"/>
    <w:rsid w:val="00A97740"/>
    <w:rsid w:val="00A978C2"/>
    <w:rsid w:val="00AA008F"/>
    <w:rsid w:val="00AA02AA"/>
    <w:rsid w:val="00AA04CD"/>
    <w:rsid w:val="00AA08A7"/>
    <w:rsid w:val="00AA0D00"/>
    <w:rsid w:val="00AA1019"/>
    <w:rsid w:val="00AA13A6"/>
    <w:rsid w:val="00AA16BB"/>
    <w:rsid w:val="00AA17AB"/>
    <w:rsid w:val="00AA1AB8"/>
    <w:rsid w:val="00AA1E01"/>
    <w:rsid w:val="00AA2275"/>
    <w:rsid w:val="00AA2781"/>
    <w:rsid w:val="00AA312D"/>
    <w:rsid w:val="00AA32C2"/>
    <w:rsid w:val="00AA3578"/>
    <w:rsid w:val="00AA3799"/>
    <w:rsid w:val="00AA4B75"/>
    <w:rsid w:val="00AA4C0C"/>
    <w:rsid w:val="00AA51C4"/>
    <w:rsid w:val="00AA5444"/>
    <w:rsid w:val="00AA55F2"/>
    <w:rsid w:val="00AA58A1"/>
    <w:rsid w:val="00AA595B"/>
    <w:rsid w:val="00AA5BC1"/>
    <w:rsid w:val="00AA6116"/>
    <w:rsid w:val="00AA667D"/>
    <w:rsid w:val="00AA70F9"/>
    <w:rsid w:val="00AA7106"/>
    <w:rsid w:val="00AA7B46"/>
    <w:rsid w:val="00AB050D"/>
    <w:rsid w:val="00AB0651"/>
    <w:rsid w:val="00AB11C5"/>
    <w:rsid w:val="00AB14F3"/>
    <w:rsid w:val="00AB1554"/>
    <w:rsid w:val="00AB15BA"/>
    <w:rsid w:val="00AB1DEB"/>
    <w:rsid w:val="00AB2268"/>
    <w:rsid w:val="00AB22AB"/>
    <w:rsid w:val="00AB251C"/>
    <w:rsid w:val="00AB261D"/>
    <w:rsid w:val="00AB3220"/>
    <w:rsid w:val="00AB3472"/>
    <w:rsid w:val="00AB3D6F"/>
    <w:rsid w:val="00AB462F"/>
    <w:rsid w:val="00AB4EF9"/>
    <w:rsid w:val="00AB5199"/>
    <w:rsid w:val="00AB542D"/>
    <w:rsid w:val="00AB5712"/>
    <w:rsid w:val="00AB63B9"/>
    <w:rsid w:val="00AB6A16"/>
    <w:rsid w:val="00AC0447"/>
    <w:rsid w:val="00AC05EB"/>
    <w:rsid w:val="00AC078A"/>
    <w:rsid w:val="00AC0A1D"/>
    <w:rsid w:val="00AC0BE8"/>
    <w:rsid w:val="00AC12FD"/>
    <w:rsid w:val="00AC1911"/>
    <w:rsid w:val="00AC1C96"/>
    <w:rsid w:val="00AC2177"/>
    <w:rsid w:val="00AC2350"/>
    <w:rsid w:val="00AC249E"/>
    <w:rsid w:val="00AC256D"/>
    <w:rsid w:val="00AC25D1"/>
    <w:rsid w:val="00AC28AF"/>
    <w:rsid w:val="00AC2C60"/>
    <w:rsid w:val="00AC2FD3"/>
    <w:rsid w:val="00AC3217"/>
    <w:rsid w:val="00AC33B8"/>
    <w:rsid w:val="00AC3FD4"/>
    <w:rsid w:val="00AC419F"/>
    <w:rsid w:val="00AC433A"/>
    <w:rsid w:val="00AC5779"/>
    <w:rsid w:val="00AC59D9"/>
    <w:rsid w:val="00AC5B7C"/>
    <w:rsid w:val="00AC5C2A"/>
    <w:rsid w:val="00AC61C2"/>
    <w:rsid w:val="00AC6309"/>
    <w:rsid w:val="00AC6899"/>
    <w:rsid w:val="00AC6D1A"/>
    <w:rsid w:val="00AC753C"/>
    <w:rsid w:val="00AC75D1"/>
    <w:rsid w:val="00AC7AAB"/>
    <w:rsid w:val="00AC7CBF"/>
    <w:rsid w:val="00AC7F21"/>
    <w:rsid w:val="00AD038A"/>
    <w:rsid w:val="00AD085E"/>
    <w:rsid w:val="00AD0998"/>
    <w:rsid w:val="00AD1D2B"/>
    <w:rsid w:val="00AD1DF9"/>
    <w:rsid w:val="00AD21BC"/>
    <w:rsid w:val="00AD26CD"/>
    <w:rsid w:val="00AD2A8F"/>
    <w:rsid w:val="00AD3509"/>
    <w:rsid w:val="00AD3511"/>
    <w:rsid w:val="00AD3835"/>
    <w:rsid w:val="00AD3897"/>
    <w:rsid w:val="00AD486C"/>
    <w:rsid w:val="00AD57E0"/>
    <w:rsid w:val="00AD5A37"/>
    <w:rsid w:val="00AD5B52"/>
    <w:rsid w:val="00AD63EB"/>
    <w:rsid w:val="00AD651B"/>
    <w:rsid w:val="00AD68DA"/>
    <w:rsid w:val="00AD6CBB"/>
    <w:rsid w:val="00AD6EA4"/>
    <w:rsid w:val="00AD74E5"/>
    <w:rsid w:val="00AD7657"/>
    <w:rsid w:val="00AD78D9"/>
    <w:rsid w:val="00AD7B9D"/>
    <w:rsid w:val="00AE0200"/>
    <w:rsid w:val="00AE089C"/>
    <w:rsid w:val="00AE0D4F"/>
    <w:rsid w:val="00AE0E75"/>
    <w:rsid w:val="00AE1372"/>
    <w:rsid w:val="00AE1DAF"/>
    <w:rsid w:val="00AE2032"/>
    <w:rsid w:val="00AE216E"/>
    <w:rsid w:val="00AE240F"/>
    <w:rsid w:val="00AE2601"/>
    <w:rsid w:val="00AE2AF4"/>
    <w:rsid w:val="00AE3397"/>
    <w:rsid w:val="00AE3563"/>
    <w:rsid w:val="00AE4786"/>
    <w:rsid w:val="00AE4FE9"/>
    <w:rsid w:val="00AE506A"/>
    <w:rsid w:val="00AE5143"/>
    <w:rsid w:val="00AE56A6"/>
    <w:rsid w:val="00AE58CB"/>
    <w:rsid w:val="00AE5E3A"/>
    <w:rsid w:val="00AE5F10"/>
    <w:rsid w:val="00AE621E"/>
    <w:rsid w:val="00AE63C8"/>
    <w:rsid w:val="00AE653A"/>
    <w:rsid w:val="00AE6F1C"/>
    <w:rsid w:val="00AE6FD2"/>
    <w:rsid w:val="00AE74F9"/>
    <w:rsid w:val="00AE79A8"/>
    <w:rsid w:val="00AE79D9"/>
    <w:rsid w:val="00AF0035"/>
    <w:rsid w:val="00AF0BB1"/>
    <w:rsid w:val="00AF18B1"/>
    <w:rsid w:val="00AF1A48"/>
    <w:rsid w:val="00AF1C15"/>
    <w:rsid w:val="00AF22E8"/>
    <w:rsid w:val="00AF2926"/>
    <w:rsid w:val="00AF2A79"/>
    <w:rsid w:val="00AF2B46"/>
    <w:rsid w:val="00AF2C9C"/>
    <w:rsid w:val="00AF32DD"/>
    <w:rsid w:val="00AF35DE"/>
    <w:rsid w:val="00AF39FA"/>
    <w:rsid w:val="00AF3A72"/>
    <w:rsid w:val="00AF3E31"/>
    <w:rsid w:val="00AF3E66"/>
    <w:rsid w:val="00AF3F9F"/>
    <w:rsid w:val="00AF40CC"/>
    <w:rsid w:val="00AF4158"/>
    <w:rsid w:val="00AF49AE"/>
    <w:rsid w:val="00AF4A19"/>
    <w:rsid w:val="00AF552B"/>
    <w:rsid w:val="00AF5C12"/>
    <w:rsid w:val="00AF67D0"/>
    <w:rsid w:val="00AF716E"/>
    <w:rsid w:val="00AF7F53"/>
    <w:rsid w:val="00B015D2"/>
    <w:rsid w:val="00B01A20"/>
    <w:rsid w:val="00B01D79"/>
    <w:rsid w:val="00B02238"/>
    <w:rsid w:val="00B02398"/>
    <w:rsid w:val="00B0270A"/>
    <w:rsid w:val="00B03095"/>
    <w:rsid w:val="00B030E0"/>
    <w:rsid w:val="00B0328C"/>
    <w:rsid w:val="00B03D01"/>
    <w:rsid w:val="00B04086"/>
    <w:rsid w:val="00B04142"/>
    <w:rsid w:val="00B0547E"/>
    <w:rsid w:val="00B0589F"/>
    <w:rsid w:val="00B05964"/>
    <w:rsid w:val="00B05C2D"/>
    <w:rsid w:val="00B05CDB"/>
    <w:rsid w:val="00B05F89"/>
    <w:rsid w:val="00B061E6"/>
    <w:rsid w:val="00B07498"/>
    <w:rsid w:val="00B0799E"/>
    <w:rsid w:val="00B07B19"/>
    <w:rsid w:val="00B07B27"/>
    <w:rsid w:val="00B07D5A"/>
    <w:rsid w:val="00B10772"/>
    <w:rsid w:val="00B10909"/>
    <w:rsid w:val="00B114CF"/>
    <w:rsid w:val="00B12596"/>
    <w:rsid w:val="00B12597"/>
    <w:rsid w:val="00B1266B"/>
    <w:rsid w:val="00B1294F"/>
    <w:rsid w:val="00B133E8"/>
    <w:rsid w:val="00B13486"/>
    <w:rsid w:val="00B1357C"/>
    <w:rsid w:val="00B13B3A"/>
    <w:rsid w:val="00B14228"/>
    <w:rsid w:val="00B14B8E"/>
    <w:rsid w:val="00B14BE2"/>
    <w:rsid w:val="00B14E35"/>
    <w:rsid w:val="00B14EA9"/>
    <w:rsid w:val="00B15357"/>
    <w:rsid w:val="00B153FC"/>
    <w:rsid w:val="00B158D9"/>
    <w:rsid w:val="00B15D94"/>
    <w:rsid w:val="00B162FF"/>
    <w:rsid w:val="00B17678"/>
    <w:rsid w:val="00B2039D"/>
    <w:rsid w:val="00B206C5"/>
    <w:rsid w:val="00B20AF6"/>
    <w:rsid w:val="00B20DC5"/>
    <w:rsid w:val="00B20FAC"/>
    <w:rsid w:val="00B2105B"/>
    <w:rsid w:val="00B21214"/>
    <w:rsid w:val="00B215CA"/>
    <w:rsid w:val="00B216AB"/>
    <w:rsid w:val="00B21C75"/>
    <w:rsid w:val="00B21D5E"/>
    <w:rsid w:val="00B22365"/>
    <w:rsid w:val="00B226AE"/>
    <w:rsid w:val="00B22A55"/>
    <w:rsid w:val="00B22E59"/>
    <w:rsid w:val="00B22EAA"/>
    <w:rsid w:val="00B234E8"/>
    <w:rsid w:val="00B237E1"/>
    <w:rsid w:val="00B23E05"/>
    <w:rsid w:val="00B23F70"/>
    <w:rsid w:val="00B2402A"/>
    <w:rsid w:val="00B242E3"/>
    <w:rsid w:val="00B24473"/>
    <w:rsid w:val="00B24C77"/>
    <w:rsid w:val="00B24CF8"/>
    <w:rsid w:val="00B2543F"/>
    <w:rsid w:val="00B25991"/>
    <w:rsid w:val="00B25F54"/>
    <w:rsid w:val="00B26296"/>
    <w:rsid w:val="00B264A2"/>
    <w:rsid w:val="00B26BB8"/>
    <w:rsid w:val="00B26C4B"/>
    <w:rsid w:val="00B27146"/>
    <w:rsid w:val="00B27665"/>
    <w:rsid w:val="00B2785C"/>
    <w:rsid w:val="00B3030B"/>
    <w:rsid w:val="00B30439"/>
    <w:rsid w:val="00B304A4"/>
    <w:rsid w:val="00B30912"/>
    <w:rsid w:val="00B30E10"/>
    <w:rsid w:val="00B310DB"/>
    <w:rsid w:val="00B3116A"/>
    <w:rsid w:val="00B3116D"/>
    <w:rsid w:val="00B312B9"/>
    <w:rsid w:val="00B312C7"/>
    <w:rsid w:val="00B31415"/>
    <w:rsid w:val="00B3152E"/>
    <w:rsid w:val="00B31796"/>
    <w:rsid w:val="00B31B5D"/>
    <w:rsid w:val="00B32004"/>
    <w:rsid w:val="00B321A8"/>
    <w:rsid w:val="00B329F9"/>
    <w:rsid w:val="00B32B0D"/>
    <w:rsid w:val="00B32E9D"/>
    <w:rsid w:val="00B32F31"/>
    <w:rsid w:val="00B33A42"/>
    <w:rsid w:val="00B340F7"/>
    <w:rsid w:val="00B345EB"/>
    <w:rsid w:val="00B3472C"/>
    <w:rsid w:val="00B3473B"/>
    <w:rsid w:val="00B34B88"/>
    <w:rsid w:val="00B34CEB"/>
    <w:rsid w:val="00B35227"/>
    <w:rsid w:val="00B35587"/>
    <w:rsid w:val="00B355CD"/>
    <w:rsid w:val="00B3572B"/>
    <w:rsid w:val="00B35B0F"/>
    <w:rsid w:val="00B35ED6"/>
    <w:rsid w:val="00B3611E"/>
    <w:rsid w:val="00B36152"/>
    <w:rsid w:val="00B362D4"/>
    <w:rsid w:val="00B36405"/>
    <w:rsid w:val="00B36520"/>
    <w:rsid w:val="00B36993"/>
    <w:rsid w:val="00B369A1"/>
    <w:rsid w:val="00B36A1C"/>
    <w:rsid w:val="00B36A6F"/>
    <w:rsid w:val="00B36BC2"/>
    <w:rsid w:val="00B36D5B"/>
    <w:rsid w:val="00B36E1C"/>
    <w:rsid w:val="00B36F39"/>
    <w:rsid w:val="00B37238"/>
    <w:rsid w:val="00B40082"/>
    <w:rsid w:val="00B400F2"/>
    <w:rsid w:val="00B40CAE"/>
    <w:rsid w:val="00B4136B"/>
    <w:rsid w:val="00B41932"/>
    <w:rsid w:val="00B41971"/>
    <w:rsid w:val="00B41B80"/>
    <w:rsid w:val="00B41D49"/>
    <w:rsid w:val="00B4266B"/>
    <w:rsid w:val="00B42FC1"/>
    <w:rsid w:val="00B43343"/>
    <w:rsid w:val="00B43390"/>
    <w:rsid w:val="00B434ED"/>
    <w:rsid w:val="00B43AF5"/>
    <w:rsid w:val="00B44939"/>
    <w:rsid w:val="00B44DA3"/>
    <w:rsid w:val="00B44E74"/>
    <w:rsid w:val="00B44F84"/>
    <w:rsid w:val="00B450F0"/>
    <w:rsid w:val="00B45219"/>
    <w:rsid w:val="00B453EA"/>
    <w:rsid w:val="00B459F6"/>
    <w:rsid w:val="00B45D63"/>
    <w:rsid w:val="00B4605E"/>
    <w:rsid w:val="00B46317"/>
    <w:rsid w:val="00B466F9"/>
    <w:rsid w:val="00B46F80"/>
    <w:rsid w:val="00B470C0"/>
    <w:rsid w:val="00B4721C"/>
    <w:rsid w:val="00B4734D"/>
    <w:rsid w:val="00B477E3"/>
    <w:rsid w:val="00B47A01"/>
    <w:rsid w:val="00B47E4A"/>
    <w:rsid w:val="00B5000F"/>
    <w:rsid w:val="00B503AA"/>
    <w:rsid w:val="00B50D97"/>
    <w:rsid w:val="00B50EE0"/>
    <w:rsid w:val="00B50F44"/>
    <w:rsid w:val="00B51315"/>
    <w:rsid w:val="00B51A3A"/>
    <w:rsid w:val="00B52257"/>
    <w:rsid w:val="00B523A8"/>
    <w:rsid w:val="00B52641"/>
    <w:rsid w:val="00B52A0E"/>
    <w:rsid w:val="00B52C41"/>
    <w:rsid w:val="00B52D30"/>
    <w:rsid w:val="00B53305"/>
    <w:rsid w:val="00B540C4"/>
    <w:rsid w:val="00B545B8"/>
    <w:rsid w:val="00B54722"/>
    <w:rsid w:val="00B54885"/>
    <w:rsid w:val="00B54A36"/>
    <w:rsid w:val="00B55777"/>
    <w:rsid w:val="00B55BA8"/>
    <w:rsid w:val="00B55E11"/>
    <w:rsid w:val="00B561DC"/>
    <w:rsid w:val="00B564E7"/>
    <w:rsid w:val="00B565A5"/>
    <w:rsid w:val="00B5664A"/>
    <w:rsid w:val="00B56E92"/>
    <w:rsid w:val="00B56F98"/>
    <w:rsid w:val="00B5743B"/>
    <w:rsid w:val="00B574C8"/>
    <w:rsid w:val="00B57774"/>
    <w:rsid w:val="00B57CE3"/>
    <w:rsid w:val="00B605FF"/>
    <w:rsid w:val="00B60B00"/>
    <w:rsid w:val="00B60EFE"/>
    <w:rsid w:val="00B60F3E"/>
    <w:rsid w:val="00B6163D"/>
    <w:rsid w:val="00B61935"/>
    <w:rsid w:val="00B61BA4"/>
    <w:rsid w:val="00B621AA"/>
    <w:rsid w:val="00B62A55"/>
    <w:rsid w:val="00B62DDA"/>
    <w:rsid w:val="00B62E47"/>
    <w:rsid w:val="00B62EEC"/>
    <w:rsid w:val="00B62F0E"/>
    <w:rsid w:val="00B6329D"/>
    <w:rsid w:val="00B63495"/>
    <w:rsid w:val="00B63511"/>
    <w:rsid w:val="00B635D4"/>
    <w:rsid w:val="00B63666"/>
    <w:rsid w:val="00B63B17"/>
    <w:rsid w:val="00B63B69"/>
    <w:rsid w:val="00B640BF"/>
    <w:rsid w:val="00B647CE"/>
    <w:rsid w:val="00B64E56"/>
    <w:rsid w:val="00B6507E"/>
    <w:rsid w:val="00B651EC"/>
    <w:rsid w:val="00B65B69"/>
    <w:rsid w:val="00B6616C"/>
    <w:rsid w:val="00B66759"/>
    <w:rsid w:val="00B6708D"/>
    <w:rsid w:val="00B673D5"/>
    <w:rsid w:val="00B67450"/>
    <w:rsid w:val="00B674FE"/>
    <w:rsid w:val="00B67F60"/>
    <w:rsid w:val="00B70128"/>
    <w:rsid w:val="00B7015C"/>
    <w:rsid w:val="00B70623"/>
    <w:rsid w:val="00B70771"/>
    <w:rsid w:val="00B708BB"/>
    <w:rsid w:val="00B70C67"/>
    <w:rsid w:val="00B714FC"/>
    <w:rsid w:val="00B718A4"/>
    <w:rsid w:val="00B72090"/>
    <w:rsid w:val="00B72167"/>
    <w:rsid w:val="00B723D0"/>
    <w:rsid w:val="00B72BC1"/>
    <w:rsid w:val="00B73089"/>
    <w:rsid w:val="00B730A6"/>
    <w:rsid w:val="00B731C3"/>
    <w:rsid w:val="00B7401A"/>
    <w:rsid w:val="00B74AAE"/>
    <w:rsid w:val="00B74EC4"/>
    <w:rsid w:val="00B7594D"/>
    <w:rsid w:val="00B759D3"/>
    <w:rsid w:val="00B75D49"/>
    <w:rsid w:val="00B7607B"/>
    <w:rsid w:val="00B7635F"/>
    <w:rsid w:val="00B76655"/>
    <w:rsid w:val="00B76C33"/>
    <w:rsid w:val="00B76D49"/>
    <w:rsid w:val="00B76DA1"/>
    <w:rsid w:val="00B77208"/>
    <w:rsid w:val="00B77300"/>
    <w:rsid w:val="00B77373"/>
    <w:rsid w:val="00B773E9"/>
    <w:rsid w:val="00B77BF0"/>
    <w:rsid w:val="00B77DF9"/>
    <w:rsid w:val="00B77F5D"/>
    <w:rsid w:val="00B77F7F"/>
    <w:rsid w:val="00B801F6"/>
    <w:rsid w:val="00B803B2"/>
    <w:rsid w:val="00B80602"/>
    <w:rsid w:val="00B80814"/>
    <w:rsid w:val="00B808B2"/>
    <w:rsid w:val="00B80CFB"/>
    <w:rsid w:val="00B81136"/>
    <w:rsid w:val="00B8197D"/>
    <w:rsid w:val="00B821C9"/>
    <w:rsid w:val="00B82690"/>
    <w:rsid w:val="00B829D4"/>
    <w:rsid w:val="00B82EBC"/>
    <w:rsid w:val="00B83DC6"/>
    <w:rsid w:val="00B8473A"/>
    <w:rsid w:val="00B84AC5"/>
    <w:rsid w:val="00B84D0D"/>
    <w:rsid w:val="00B857C1"/>
    <w:rsid w:val="00B85998"/>
    <w:rsid w:val="00B859F1"/>
    <w:rsid w:val="00B8606B"/>
    <w:rsid w:val="00B87490"/>
    <w:rsid w:val="00B878CB"/>
    <w:rsid w:val="00B879F3"/>
    <w:rsid w:val="00B87AB4"/>
    <w:rsid w:val="00B87D76"/>
    <w:rsid w:val="00B87EE0"/>
    <w:rsid w:val="00B9001F"/>
    <w:rsid w:val="00B90705"/>
    <w:rsid w:val="00B90EAE"/>
    <w:rsid w:val="00B90F68"/>
    <w:rsid w:val="00B914A3"/>
    <w:rsid w:val="00B91D9E"/>
    <w:rsid w:val="00B91F35"/>
    <w:rsid w:val="00B9227F"/>
    <w:rsid w:val="00B929CE"/>
    <w:rsid w:val="00B92DF7"/>
    <w:rsid w:val="00B92E6C"/>
    <w:rsid w:val="00B92E91"/>
    <w:rsid w:val="00B946E8"/>
    <w:rsid w:val="00B94918"/>
    <w:rsid w:val="00B94ADD"/>
    <w:rsid w:val="00B94E06"/>
    <w:rsid w:val="00B94EA2"/>
    <w:rsid w:val="00B95B8D"/>
    <w:rsid w:val="00B960C0"/>
    <w:rsid w:val="00B966C4"/>
    <w:rsid w:val="00B96B60"/>
    <w:rsid w:val="00B96CFF"/>
    <w:rsid w:val="00B96FA9"/>
    <w:rsid w:val="00B97219"/>
    <w:rsid w:val="00B972F4"/>
    <w:rsid w:val="00B97CA7"/>
    <w:rsid w:val="00BA0D48"/>
    <w:rsid w:val="00BA1081"/>
    <w:rsid w:val="00BA1122"/>
    <w:rsid w:val="00BA17F2"/>
    <w:rsid w:val="00BA1993"/>
    <w:rsid w:val="00BA1CCE"/>
    <w:rsid w:val="00BA1DDD"/>
    <w:rsid w:val="00BA21FF"/>
    <w:rsid w:val="00BA241B"/>
    <w:rsid w:val="00BA2638"/>
    <w:rsid w:val="00BA2CEB"/>
    <w:rsid w:val="00BA3470"/>
    <w:rsid w:val="00BA38D5"/>
    <w:rsid w:val="00BA3A06"/>
    <w:rsid w:val="00BA3B21"/>
    <w:rsid w:val="00BA412C"/>
    <w:rsid w:val="00BA4187"/>
    <w:rsid w:val="00BA4217"/>
    <w:rsid w:val="00BA427E"/>
    <w:rsid w:val="00BA47AF"/>
    <w:rsid w:val="00BA5B2B"/>
    <w:rsid w:val="00BA64A6"/>
    <w:rsid w:val="00BA6852"/>
    <w:rsid w:val="00BA6CBF"/>
    <w:rsid w:val="00BA716D"/>
    <w:rsid w:val="00BA7538"/>
    <w:rsid w:val="00BA7760"/>
    <w:rsid w:val="00BA78B4"/>
    <w:rsid w:val="00BA7D53"/>
    <w:rsid w:val="00BB04FD"/>
    <w:rsid w:val="00BB065A"/>
    <w:rsid w:val="00BB0880"/>
    <w:rsid w:val="00BB08E2"/>
    <w:rsid w:val="00BB0B80"/>
    <w:rsid w:val="00BB1502"/>
    <w:rsid w:val="00BB1526"/>
    <w:rsid w:val="00BB15A1"/>
    <w:rsid w:val="00BB1804"/>
    <w:rsid w:val="00BB184F"/>
    <w:rsid w:val="00BB1989"/>
    <w:rsid w:val="00BB1A4B"/>
    <w:rsid w:val="00BB1C07"/>
    <w:rsid w:val="00BB1CD9"/>
    <w:rsid w:val="00BB2243"/>
    <w:rsid w:val="00BB225D"/>
    <w:rsid w:val="00BB23C2"/>
    <w:rsid w:val="00BB24F4"/>
    <w:rsid w:val="00BB25DA"/>
    <w:rsid w:val="00BB25FB"/>
    <w:rsid w:val="00BB2BB0"/>
    <w:rsid w:val="00BB322E"/>
    <w:rsid w:val="00BB3B37"/>
    <w:rsid w:val="00BB3B8D"/>
    <w:rsid w:val="00BB4104"/>
    <w:rsid w:val="00BB42E5"/>
    <w:rsid w:val="00BB4D33"/>
    <w:rsid w:val="00BB5027"/>
    <w:rsid w:val="00BB504E"/>
    <w:rsid w:val="00BB53EF"/>
    <w:rsid w:val="00BB579E"/>
    <w:rsid w:val="00BB6448"/>
    <w:rsid w:val="00BB64C0"/>
    <w:rsid w:val="00BB6530"/>
    <w:rsid w:val="00BB6647"/>
    <w:rsid w:val="00BB6A3B"/>
    <w:rsid w:val="00BB75B6"/>
    <w:rsid w:val="00BB7689"/>
    <w:rsid w:val="00BB786F"/>
    <w:rsid w:val="00BB78F5"/>
    <w:rsid w:val="00BB7E2D"/>
    <w:rsid w:val="00BC014D"/>
    <w:rsid w:val="00BC02C9"/>
    <w:rsid w:val="00BC03F7"/>
    <w:rsid w:val="00BC0414"/>
    <w:rsid w:val="00BC080B"/>
    <w:rsid w:val="00BC0B0B"/>
    <w:rsid w:val="00BC0EDD"/>
    <w:rsid w:val="00BC1160"/>
    <w:rsid w:val="00BC11E6"/>
    <w:rsid w:val="00BC16F3"/>
    <w:rsid w:val="00BC194E"/>
    <w:rsid w:val="00BC1B43"/>
    <w:rsid w:val="00BC1B8D"/>
    <w:rsid w:val="00BC1CF1"/>
    <w:rsid w:val="00BC2296"/>
    <w:rsid w:val="00BC22C6"/>
    <w:rsid w:val="00BC2707"/>
    <w:rsid w:val="00BC2764"/>
    <w:rsid w:val="00BC29B7"/>
    <w:rsid w:val="00BC2A70"/>
    <w:rsid w:val="00BC2CC0"/>
    <w:rsid w:val="00BC2DC3"/>
    <w:rsid w:val="00BC302B"/>
    <w:rsid w:val="00BC3560"/>
    <w:rsid w:val="00BC3E08"/>
    <w:rsid w:val="00BC403F"/>
    <w:rsid w:val="00BC4145"/>
    <w:rsid w:val="00BC44A5"/>
    <w:rsid w:val="00BC493D"/>
    <w:rsid w:val="00BC4989"/>
    <w:rsid w:val="00BC4BC9"/>
    <w:rsid w:val="00BC5136"/>
    <w:rsid w:val="00BC5DE1"/>
    <w:rsid w:val="00BC5EAF"/>
    <w:rsid w:val="00BC6485"/>
    <w:rsid w:val="00BC6996"/>
    <w:rsid w:val="00BD0196"/>
    <w:rsid w:val="00BD05CC"/>
    <w:rsid w:val="00BD0FF5"/>
    <w:rsid w:val="00BD14BB"/>
    <w:rsid w:val="00BD15E8"/>
    <w:rsid w:val="00BD1AB8"/>
    <w:rsid w:val="00BD1D24"/>
    <w:rsid w:val="00BD1EBC"/>
    <w:rsid w:val="00BD23A1"/>
    <w:rsid w:val="00BD299C"/>
    <w:rsid w:val="00BD2AB0"/>
    <w:rsid w:val="00BD2AE4"/>
    <w:rsid w:val="00BD2ECC"/>
    <w:rsid w:val="00BD3025"/>
    <w:rsid w:val="00BD30DF"/>
    <w:rsid w:val="00BD3219"/>
    <w:rsid w:val="00BD34D6"/>
    <w:rsid w:val="00BD35B4"/>
    <w:rsid w:val="00BD3677"/>
    <w:rsid w:val="00BD37AC"/>
    <w:rsid w:val="00BD41B3"/>
    <w:rsid w:val="00BD4332"/>
    <w:rsid w:val="00BD43B1"/>
    <w:rsid w:val="00BD4DC3"/>
    <w:rsid w:val="00BD4FE0"/>
    <w:rsid w:val="00BD631F"/>
    <w:rsid w:val="00BD655D"/>
    <w:rsid w:val="00BD6691"/>
    <w:rsid w:val="00BD6A59"/>
    <w:rsid w:val="00BD6E49"/>
    <w:rsid w:val="00BD75A8"/>
    <w:rsid w:val="00BD75C3"/>
    <w:rsid w:val="00BD77DA"/>
    <w:rsid w:val="00BD7A5C"/>
    <w:rsid w:val="00BD7D1E"/>
    <w:rsid w:val="00BE01B0"/>
    <w:rsid w:val="00BE0377"/>
    <w:rsid w:val="00BE0D6D"/>
    <w:rsid w:val="00BE0EE2"/>
    <w:rsid w:val="00BE1387"/>
    <w:rsid w:val="00BE1590"/>
    <w:rsid w:val="00BE1CFC"/>
    <w:rsid w:val="00BE1D84"/>
    <w:rsid w:val="00BE1E7E"/>
    <w:rsid w:val="00BE1F2B"/>
    <w:rsid w:val="00BE2403"/>
    <w:rsid w:val="00BE26A3"/>
    <w:rsid w:val="00BE2727"/>
    <w:rsid w:val="00BE2BD2"/>
    <w:rsid w:val="00BE34D1"/>
    <w:rsid w:val="00BE3DF2"/>
    <w:rsid w:val="00BE3EB3"/>
    <w:rsid w:val="00BE41EA"/>
    <w:rsid w:val="00BE42AE"/>
    <w:rsid w:val="00BE48DA"/>
    <w:rsid w:val="00BE498E"/>
    <w:rsid w:val="00BE4AFD"/>
    <w:rsid w:val="00BE4BD4"/>
    <w:rsid w:val="00BE4BEE"/>
    <w:rsid w:val="00BE4C8A"/>
    <w:rsid w:val="00BE4D45"/>
    <w:rsid w:val="00BE4F1B"/>
    <w:rsid w:val="00BE515A"/>
    <w:rsid w:val="00BE574C"/>
    <w:rsid w:val="00BE6B04"/>
    <w:rsid w:val="00BE6C53"/>
    <w:rsid w:val="00BE7379"/>
    <w:rsid w:val="00BE775F"/>
    <w:rsid w:val="00BE7B4E"/>
    <w:rsid w:val="00BF014F"/>
    <w:rsid w:val="00BF0E0C"/>
    <w:rsid w:val="00BF1E67"/>
    <w:rsid w:val="00BF1EA6"/>
    <w:rsid w:val="00BF25E8"/>
    <w:rsid w:val="00BF2C41"/>
    <w:rsid w:val="00BF3074"/>
    <w:rsid w:val="00BF30FB"/>
    <w:rsid w:val="00BF35C5"/>
    <w:rsid w:val="00BF39BA"/>
    <w:rsid w:val="00BF3FE3"/>
    <w:rsid w:val="00BF4345"/>
    <w:rsid w:val="00BF4567"/>
    <w:rsid w:val="00BF48C4"/>
    <w:rsid w:val="00BF49CF"/>
    <w:rsid w:val="00BF4E47"/>
    <w:rsid w:val="00BF5172"/>
    <w:rsid w:val="00BF520E"/>
    <w:rsid w:val="00BF5668"/>
    <w:rsid w:val="00BF59B8"/>
    <w:rsid w:val="00BF6281"/>
    <w:rsid w:val="00BF650C"/>
    <w:rsid w:val="00BF6CEC"/>
    <w:rsid w:val="00C00094"/>
    <w:rsid w:val="00C000A4"/>
    <w:rsid w:val="00C00343"/>
    <w:rsid w:val="00C0079D"/>
    <w:rsid w:val="00C007F8"/>
    <w:rsid w:val="00C00969"/>
    <w:rsid w:val="00C01130"/>
    <w:rsid w:val="00C0129F"/>
    <w:rsid w:val="00C01606"/>
    <w:rsid w:val="00C01E67"/>
    <w:rsid w:val="00C021EC"/>
    <w:rsid w:val="00C02245"/>
    <w:rsid w:val="00C02455"/>
    <w:rsid w:val="00C02D53"/>
    <w:rsid w:val="00C02D73"/>
    <w:rsid w:val="00C02F57"/>
    <w:rsid w:val="00C02F58"/>
    <w:rsid w:val="00C0336D"/>
    <w:rsid w:val="00C036B1"/>
    <w:rsid w:val="00C0370A"/>
    <w:rsid w:val="00C03AAA"/>
    <w:rsid w:val="00C03D73"/>
    <w:rsid w:val="00C03EB3"/>
    <w:rsid w:val="00C049B2"/>
    <w:rsid w:val="00C0638A"/>
    <w:rsid w:val="00C0672F"/>
    <w:rsid w:val="00C06A42"/>
    <w:rsid w:val="00C06F3F"/>
    <w:rsid w:val="00C07987"/>
    <w:rsid w:val="00C07BB1"/>
    <w:rsid w:val="00C10468"/>
    <w:rsid w:val="00C10533"/>
    <w:rsid w:val="00C107E3"/>
    <w:rsid w:val="00C113F9"/>
    <w:rsid w:val="00C11614"/>
    <w:rsid w:val="00C11A21"/>
    <w:rsid w:val="00C120A8"/>
    <w:rsid w:val="00C1219A"/>
    <w:rsid w:val="00C121A9"/>
    <w:rsid w:val="00C122F3"/>
    <w:rsid w:val="00C123CD"/>
    <w:rsid w:val="00C12491"/>
    <w:rsid w:val="00C128BB"/>
    <w:rsid w:val="00C130FF"/>
    <w:rsid w:val="00C13121"/>
    <w:rsid w:val="00C1320E"/>
    <w:rsid w:val="00C1326E"/>
    <w:rsid w:val="00C1351E"/>
    <w:rsid w:val="00C1383B"/>
    <w:rsid w:val="00C138E8"/>
    <w:rsid w:val="00C13CCD"/>
    <w:rsid w:val="00C13D26"/>
    <w:rsid w:val="00C143B2"/>
    <w:rsid w:val="00C143F9"/>
    <w:rsid w:val="00C1445C"/>
    <w:rsid w:val="00C14858"/>
    <w:rsid w:val="00C14A21"/>
    <w:rsid w:val="00C14BE3"/>
    <w:rsid w:val="00C14D61"/>
    <w:rsid w:val="00C14E94"/>
    <w:rsid w:val="00C160B2"/>
    <w:rsid w:val="00C160BA"/>
    <w:rsid w:val="00C17965"/>
    <w:rsid w:val="00C17B52"/>
    <w:rsid w:val="00C20A06"/>
    <w:rsid w:val="00C20A14"/>
    <w:rsid w:val="00C21B74"/>
    <w:rsid w:val="00C21BBF"/>
    <w:rsid w:val="00C22006"/>
    <w:rsid w:val="00C22437"/>
    <w:rsid w:val="00C226B5"/>
    <w:rsid w:val="00C228B3"/>
    <w:rsid w:val="00C2315E"/>
    <w:rsid w:val="00C23474"/>
    <w:rsid w:val="00C237D5"/>
    <w:rsid w:val="00C240A2"/>
    <w:rsid w:val="00C24362"/>
    <w:rsid w:val="00C24364"/>
    <w:rsid w:val="00C245C3"/>
    <w:rsid w:val="00C24774"/>
    <w:rsid w:val="00C2486D"/>
    <w:rsid w:val="00C24D26"/>
    <w:rsid w:val="00C24E77"/>
    <w:rsid w:val="00C25401"/>
    <w:rsid w:val="00C25430"/>
    <w:rsid w:val="00C2579B"/>
    <w:rsid w:val="00C2669F"/>
    <w:rsid w:val="00C27092"/>
    <w:rsid w:val="00C274BF"/>
    <w:rsid w:val="00C2785C"/>
    <w:rsid w:val="00C27B06"/>
    <w:rsid w:val="00C27BCC"/>
    <w:rsid w:val="00C27EBF"/>
    <w:rsid w:val="00C27F65"/>
    <w:rsid w:val="00C307C3"/>
    <w:rsid w:val="00C30F9A"/>
    <w:rsid w:val="00C31398"/>
    <w:rsid w:val="00C316AB"/>
    <w:rsid w:val="00C31B5F"/>
    <w:rsid w:val="00C31B8F"/>
    <w:rsid w:val="00C31E98"/>
    <w:rsid w:val="00C32867"/>
    <w:rsid w:val="00C329F1"/>
    <w:rsid w:val="00C332C2"/>
    <w:rsid w:val="00C333BB"/>
    <w:rsid w:val="00C334D1"/>
    <w:rsid w:val="00C337FE"/>
    <w:rsid w:val="00C33C75"/>
    <w:rsid w:val="00C33D13"/>
    <w:rsid w:val="00C343A9"/>
    <w:rsid w:val="00C34449"/>
    <w:rsid w:val="00C346B9"/>
    <w:rsid w:val="00C34BAF"/>
    <w:rsid w:val="00C34D8A"/>
    <w:rsid w:val="00C354EC"/>
    <w:rsid w:val="00C35737"/>
    <w:rsid w:val="00C35990"/>
    <w:rsid w:val="00C35CE8"/>
    <w:rsid w:val="00C35DE9"/>
    <w:rsid w:val="00C361B5"/>
    <w:rsid w:val="00C36216"/>
    <w:rsid w:val="00C36B0F"/>
    <w:rsid w:val="00C36EA5"/>
    <w:rsid w:val="00C36FD8"/>
    <w:rsid w:val="00C373EB"/>
    <w:rsid w:val="00C3767C"/>
    <w:rsid w:val="00C37BC3"/>
    <w:rsid w:val="00C37BD6"/>
    <w:rsid w:val="00C400AA"/>
    <w:rsid w:val="00C40140"/>
    <w:rsid w:val="00C40489"/>
    <w:rsid w:val="00C40657"/>
    <w:rsid w:val="00C40745"/>
    <w:rsid w:val="00C40A3C"/>
    <w:rsid w:val="00C41A63"/>
    <w:rsid w:val="00C41E25"/>
    <w:rsid w:val="00C420E9"/>
    <w:rsid w:val="00C42CFA"/>
    <w:rsid w:val="00C4318F"/>
    <w:rsid w:val="00C4379F"/>
    <w:rsid w:val="00C43A10"/>
    <w:rsid w:val="00C43CFC"/>
    <w:rsid w:val="00C44222"/>
    <w:rsid w:val="00C44A62"/>
    <w:rsid w:val="00C456AC"/>
    <w:rsid w:val="00C45AE7"/>
    <w:rsid w:val="00C45D3A"/>
    <w:rsid w:val="00C45F6D"/>
    <w:rsid w:val="00C45F80"/>
    <w:rsid w:val="00C46262"/>
    <w:rsid w:val="00C467CF"/>
    <w:rsid w:val="00C4682B"/>
    <w:rsid w:val="00C46A3A"/>
    <w:rsid w:val="00C46AAF"/>
    <w:rsid w:val="00C46FD2"/>
    <w:rsid w:val="00C4705E"/>
    <w:rsid w:val="00C47258"/>
    <w:rsid w:val="00C47907"/>
    <w:rsid w:val="00C47C86"/>
    <w:rsid w:val="00C501B7"/>
    <w:rsid w:val="00C507DF"/>
    <w:rsid w:val="00C50A43"/>
    <w:rsid w:val="00C51014"/>
    <w:rsid w:val="00C51439"/>
    <w:rsid w:val="00C51907"/>
    <w:rsid w:val="00C520B3"/>
    <w:rsid w:val="00C520C8"/>
    <w:rsid w:val="00C52DD2"/>
    <w:rsid w:val="00C52FA8"/>
    <w:rsid w:val="00C5303F"/>
    <w:rsid w:val="00C53346"/>
    <w:rsid w:val="00C5356C"/>
    <w:rsid w:val="00C54B85"/>
    <w:rsid w:val="00C551BE"/>
    <w:rsid w:val="00C554D1"/>
    <w:rsid w:val="00C5595B"/>
    <w:rsid w:val="00C55A50"/>
    <w:rsid w:val="00C56F51"/>
    <w:rsid w:val="00C56F74"/>
    <w:rsid w:val="00C57984"/>
    <w:rsid w:val="00C60118"/>
    <w:rsid w:val="00C6039C"/>
    <w:rsid w:val="00C603C7"/>
    <w:rsid w:val="00C60680"/>
    <w:rsid w:val="00C60C68"/>
    <w:rsid w:val="00C61237"/>
    <w:rsid w:val="00C61908"/>
    <w:rsid w:val="00C61B97"/>
    <w:rsid w:val="00C61E6D"/>
    <w:rsid w:val="00C6219B"/>
    <w:rsid w:val="00C628D9"/>
    <w:rsid w:val="00C62CE9"/>
    <w:rsid w:val="00C630C7"/>
    <w:rsid w:val="00C63467"/>
    <w:rsid w:val="00C63638"/>
    <w:rsid w:val="00C63AC9"/>
    <w:rsid w:val="00C63C84"/>
    <w:rsid w:val="00C64A84"/>
    <w:rsid w:val="00C64C37"/>
    <w:rsid w:val="00C64C46"/>
    <w:rsid w:val="00C6524B"/>
    <w:rsid w:val="00C65291"/>
    <w:rsid w:val="00C655E3"/>
    <w:rsid w:val="00C65770"/>
    <w:rsid w:val="00C65A24"/>
    <w:rsid w:val="00C65AC5"/>
    <w:rsid w:val="00C65C3A"/>
    <w:rsid w:val="00C66F3D"/>
    <w:rsid w:val="00C66FCB"/>
    <w:rsid w:val="00C6720B"/>
    <w:rsid w:val="00C67721"/>
    <w:rsid w:val="00C67768"/>
    <w:rsid w:val="00C67802"/>
    <w:rsid w:val="00C67BA0"/>
    <w:rsid w:val="00C709BC"/>
    <w:rsid w:val="00C70D9F"/>
    <w:rsid w:val="00C712AF"/>
    <w:rsid w:val="00C714B3"/>
    <w:rsid w:val="00C714F3"/>
    <w:rsid w:val="00C71B6D"/>
    <w:rsid w:val="00C720E9"/>
    <w:rsid w:val="00C721F9"/>
    <w:rsid w:val="00C7227F"/>
    <w:rsid w:val="00C72320"/>
    <w:rsid w:val="00C72D15"/>
    <w:rsid w:val="00C73614"/>
    <w:rsid w:val="00C73B0A"/>
    <w:rsid w:val="00C73DEB"/>
    <w:rsid w:val="00C741C6"/>
    <w:rsid w:val="00C741CE"/>
    <w:rsid w:val="00C748B6"/>
    <w:rsid w:val="00C74D8D"/>
    <w:rsid w:val="00C75534"/>
    <w:rsid w:val="00C757EA"/>
    <w:rsid w:val="00C75D30"/>
    <w:rsid w:val="00C76496"/>
    <w:rsid w:val="00C765AD"/>
    <w:rsid w:val="00C76C18"/>
    <w:rsid w:val="00C77018"/>
    <w:rsid w:val="00C771E6"/>
    <w:rsid w:val="00C7737E"/>
    <w:rsid w:val="00C802D8"/>
    <w:rsid w:val="00C80939"/>
    <w:rsid w:val="00C80ECF"/>
    <w:rsid w:val="00C80F57"/>
    <w:rsid w:val="00C8167B"/>
    <w:rsid w:val="00C820D0"/>
    <w:rsid w:val="00C82E06"/>
    <w:rsid w:val="00C82E78"/>
    <w:rsid w:val="00C831CA"/>
    <w:rsid w:val="00C83B2C"/>
    <w:rsid w:val="00C83E11"/>
    <w:rsid w:val="00C84192"/>
    <w:rsid w:val="00C84417"/>
    <w:rsid w:val="00C848AB"/>
    <w:rsid w:val="00C84C6D"/>
    <w:rsid w:val="00C85896"/>
    <w:rsid w:val="00C85C83"/>
    <w:rsid w:val="00C85F3F"/>
    <w:rsid w:val="00C8658C"/>
    <w:rsid w:val="00C87878"/>
    <w:rsid w:val="00C87CCA"/>
    <w:rsid w:val="00C906D7"/>
    <w:rsid w:val="00C90897"/>
    <w:rsid w:val="00C909E2"/>
    <w:rsid w:val="00C9103A"/>
    <w:rsid w:val="00C915EE"/>
    <w:rsid w:val="00C922C5"/>
    <w:rsid w:val="00C92306"/>
    <w:rsid w:val="00C928B1"/>
    <w:rsid w:val="00C92D85"/>
    <w:rsid w:val="00C931F2"/>
    <w:rsid w:val="00C934B9"/>
    <w:rsid w:val="00C939E7"/>
    <w:rsid w:val="00C94664"/>
    <w:rsid w:val="00C94945"/>
    <w:rsid w:val="00C9494E"/>
    <w:rsid w:val="00C950A9"/>
    <w:rsid w:val="00C95B1B"/>
    <w:rsid w:val="00C962AC"/>
    <w:rsid w:val="00C96770"/>
    <w:rsid w:val="00C968F1"/>
    <w:rsid w:val="00C96CF6"/>
    <w:rsid w:val="00C97167"/>
    <w:rsid w:val="00C9777E"/>
    <w:rsid w:val="00C97867"/>
    <w:rsid w:val="00C97F07"/>
    <w:rsid w:val="00CA0252"/>
    <w:rsid w:val="00CA0613"/>
    <w:rsid w:val="00CA1312"/>
    <w:rsid w:val="00CA15B2"/>
    <w:rsid w:val="00CA2197"/>
    <w:rsid w:val="00CA2272"/>
    <w:rsid w:val="00CA22E5"/>
    <w:rsid w:val="00CA24DF"/>
    <w:rsid w:val="00CA27BD"/>
    <w:rsid w:val="00CA3653"/>
    <w:rsid w:val="00CA36BC"/>
    <w:rsid w:val="00CA3F9E"/>
    <w:rsid w:val="00CA4364"/>
    <w:rsid w:val="00CA4376"/>
    <w:rsid w:val="00CA438F"/>
    <w:rsid w:val="00CA4800"/>
    <w:rsid w:val="00CA4EC6"/>
    <w:rsid w:val="00CA50CB"/>
    <w:rsid w:val="00CA51D3"/>
    <w:rsid w:val="00CA59C6"/>
    <w:rsid w:val="00CA5CD0"/>
    <w:rsid w:val="00CA5E50"/>
    <w:rsid w:val="00CA6019"/>
    <w:rsid w:val="00CA6087"/>
    <w:rsid w:val="00CA6B54"/>
    <w:rsid w:val="00CA79C9"/>
    <w:rsid w:val="00CA7A68"/>
    <w:rsid w:val="00CA7BBA"/>
    <w:rsid w:val="00CA7CDF"/>
    <w:rsid w:val="00CB0378"/>
    <w:rsid w:val="00CB0CD1"/>
    <w:rsid w:val="00CB15EA"/>
    <w:rsid w:val="00CB1849"/>
    <w:rsid w:val="00CB18CF"/>
    <w:rsid w:val="00CB247B"/>
    <w:rsid w:val="00CB3531"/>
    <w:rsid w:val="00CB370D"/>
    <w:rsid w:val="00CB3A9B"/>
    <w:rsid w:val="00CB3BA2"/>
    <w:rsid w:val="00CB3BC7"/>
    <w:rsid w:val="00CB3D64"/>
    <w:rsid w:val="00CB426D"/>
    <w:rsid w:val="00CB472A"/>
    <w:rsid w:val="00CB4D4D"/>
    <w:rsid w:val="00CB51BE"/>
    <w:rsid w:val="00CB55AD"/>
    <w:rsid w:val="00CB59AC"/>
    <w:rsid w:val="00CB5BDA"/>
    <w:rsid w:val="00CB65A3"/>
    <w:rsid w:val="00CB6C71"/>
    <w:rsid w:val="00CB7BF6"/>
    <w:rsid w:val="00CB7E76"/>
    <w:rsid w:val="00CC0189"/>
    <w:rsid w:val="00CC0539"/>
    <w:rsid w:val="00CC092B"/>
    <w:rsid w:val="00CC1002"/>
    <w:rsid w:val="00CC165E"/>
    <w:rsid w:val="00CC1867"/>
    <w:rsid w:val="00CC1E85"/>
    <w:rsid w:val="00CC21EC"/>
    <w:rsid w:val="00CC22A0"/>
    <w:rsid w:val="00CC264E"/>
    <w:rsid w:val="00CC28DB"/>
    <w:rsid w:val="00CC29CC"/>
    <w:rsid w:val="00CC2DB5"/>
    <w:rsid w:val="00CC2F1D"/>
    <w:rsid w:val="00CC315B"/>
    <w:rsid w:val="00CC33E0"/>
    <w:rsid w:val="00CC3804"/>
    <w:rsid w:val="00CC3EEB"/>
    <w:rsid w:val="00CC40DD"/>
    <w:rsid w:val="00CC418F"/>
    <w:rsid w:val="00CC4A20"/>
    <w:rsid w:val="00CC5E53"/>
    <w:rsid w:val="00CC5E6D"/>
    <w:rsid w:val="00CC5E8A"/>
    <w:rsid w:val="00CC605B"/>
    <w:rsid w:val="00CC6698"/>
    <w:rsid w:val="00CC685E"/>
    <w:rsid w:val="00CC69C7"/>
    <w:rsid w:val="00CC6C7D"/>
    <w:rsid w:val="00CC719C"/>
    <w:rsid w:val="00CC754B"/>
    <w:rsid w:val="00CC7694"/>
    <w:rsid w:val="00CC7ABD"/>
    <w:rsid w:val="00CC7D2C"/>
    <w:rsid w:val="00CD000F"/>
    <w:rsid w:val="00CD0059"/>
    <w:rsid w:val="00CD0080"/>
    <w:rsid w:val="00CD0554"/>
    <w:rsid w:val="00CD0826"/>
    <w:rsid w:val="00CD085F"/>
    <w:rsid w:val="00CD0B08"/>
    <w:rsid w:val="00CD12B3"/>
    <w:rsid w:val="00CD13BC"/>
    <w:rsid w:val="00CD171C"/>
    <w:rsid w:val="00CD1DFF"/>
    <w:rsid w:val="00CD2A4E"/>
    <w:rsid w:val="00CD351C"/>
    <w:rsid w:val="00CD42BC"/>
    <w:rsid w:val="00CD4491"/>
    <w:rsid w:val="00CD45AD"/>
    <w:rsid w:val="00CD4C97"/>
    <w:rsid w:val="00CD4E08"/>
    <w:rsid w:val="00CD548A"/>
    <w:rsid w:val="00CD5855"/>
    <w:rsid w:val="00CD5F48"/>
    <w:rsid w:val="00CD6EA5"/>
    <w:rsid w:val="00CD6F81"/>
    <w:rsid w:val="00CD7EF5"/>
    <w:rsid w:val="00CE18F8"/>
    <w:rsid w:val="00CE2149"/>
    <w:rsid w:val="00CE234A"/>
    <w:rsid w:val="00CE28ED"/>
    <w:rsid w:val="00CE2DC7"/>
    <w:rsid w:val="00CE323A"/>
    <w:rsid w:val="00CE3AF1"/>
    <w:rsid w:val="00CE457E"/>
    <w:rsid w:val="00CE4D4D"/>
    <w:rsid w:val="00CE510A"/>
    <w:rsid w:val="00CE5299"/>
    <w:rsid w:val="00CE554A"/>
    <w:rsid w:val="00CE5A58"/>
    <w:rsid w:val="00CE5BA9"/>
    <w:rsid w:val="00CE5C33"/>
    <w:rsid w:val="00CE5D4A"/>
    <w:rsid w:val="00CE5DB8"/>
    <w:rsid w:val="00CE67C2"/>
    <w:rsid w:val="00CE6954"/>
    <w:rsid w:val="00CE6A0F"/>
    <w:rsid w:val="00CE736E"/>
    <w:rsid w:val="00CE76C4"/>
    <w:rsid w:val="00CE78FC"/>
    <w:rsid w:val="00CE7ECE"/>
    <w:rsid w:val="00CF014E"/>
    <w:rsid w:val="00CF091B"/>
    <w:rsid w:val="00CF0B0B"/>
    <w:rsid w:val="00CF0B9E"/>
    <w:rsid w:val="00CF0FEE"/>
    <w:rsid w:val="00CF118E"/>
    <w:rsid w:val="00CF1D8C"/>
    <w:rsid w:val="00CF1DED"/>
    <w:rsid w:val="00CF242C"/>
    <w:rsid w:val="00CF2CD3"/>
    <w:rsid w:val="00CF31DB"/>
    <w:rsid w:val="00CF35EB"/>
    <w:rsid w:val="00CF36D3"/>
    <w:rsid w:val="00CF3AA8"/>
    <w:rsid w:val="00CF3B7B"/>
    <w:rsid w:val="00CF468D"/>
    <w:rsid w:val="00CF4FC1"/>
    <w:rsid w:val="00CF50AA"/>
    <w:rsid w:val="00CF5511"/>
    <w:rsid w:val="00CF557B"/>
    <w:rsid w:val="00CF56DA"/>
    <w:rsid w:val="00CF59A7"/>
    <w:rsid w:val="00CF5A2C"/>
    <w:rsid w:val="00CF6475"/>
    <w:rsid w:val="00CF6556"/>
    <w:rsid w:val="00CF6C2B"/>
    <w:rsid w:val="00CF6E9E"/>
    <w:rsid w:val="00CF7482"/>
    <w:rsid w:val="00CF76D5"/>
    <w:rsid w:val="00CF78C5"/>
    <w:rsid w:val="00CF7FA9"/>
    <w:rsid w:val="00D005FD"/>
    <w:rsid w:val="00D00733"/>
    <w:rsid w:val="00D00D1F"/>
    <w:rsid w:val="00D01483"/>
    <w:rsid w:val="00D0192A"/>
    <w:rsid w:val="00D01941"/>
    <w:rsid w:val="00D01A32"/>
    <w:rsid w:val="00D01E5D"/>
    <w:rsid w:val="00D02377"/>
    <w:rsid w:val="00D02ACA"/>
    <w:rsid w:val="00D02E05"/>
    <w:rsid w:val="00D02E66"/>
    <w:rsid w:val="00D03B53"/>
    <w:rsid w:val="00D03EA3"/>
    <w:rsid w:val="00D04067"/>
    <w:rsid w:val="00D04374"/>
    <w:rsid w:val="00D0456C"/>
    <w:rsid w:val="00D046F5"/>
    <w:rsid w:val="00D047CD"/>
    <w:rsid w:val="00D04AEB"/>
    <w:rsid w:val="00D04D5D"/>
    <w:rsid w:val="00D04E4A"/>
    <w:rsid w:val="00D04FAD"/>
    <w:rsid w:val="00D05871"/>
    <w:rsid w:val="00D0607B"/>
    <w:rsid w:val="00D063E8"/>
    <w:rsid w:val="00D06B05"/>
    <w:rsid w:val="00D06BFE"/>
    <w:rsid w:val="00D06F78"/>
    <w:rsid w:val="00D0717B"/>
    <w:rsid w:val="00D0752A"/>
    <w:rsid w:val="00D07B0C"/>
    <w:rsid w:val="00D07BC3"/>
    <w:rsid w:val="00D07E83"/>
    <w:rsid w:val="00D10240"/>
    <w:rsid w:val="00D10707"/>
    <w:rsid w:val="00D10D44"/>
    <w:rsid w:val="00D11117"/>
    <w:rsid w:val="00D11746"/>
    <w:rsid w:val="00D11C3E"/>
    <w:rsid w:val="00D11D3A"/>
    <w:rsid w:val="00D12203"/>
    <w:rsid w:val="00D122E5"/>
    <w:rsid w:val="00D12640"/>
    <w:rsid w:val="00D13043"/>
    <w:rsid w:val="00D135CB"/>
    <w:rsid w:val="00D1371A"/>
    <w:rsid w:val="00D1432B"/>
    <w:rsid w:val="00D1450F"/>
    <w:rsid w:val="00D14634"/>
    <w:rsid w:val="00D146FC"/>
    <w:rsid w:val="00D14A9E"/>
    <w:rsid w:val="00D14F9B"/>
    <w:rsid w:val="00D15824"/>
    <w:rsid w:val="00D15D11"/>
    <w:rsid w:val="00D15F2F"/>
    <w:rsid w:val="00D15F82"/>
    <w:rsid w:val="00D163C0"/>
    <w:rsid w:val="00D1641D"/>
    <w:rsid w:val="00D16760"/>
    <w:rsid w:val="00D168FF"/>
    <w:rsid w:val="00D16B52"/>
    <w:rsid w:val="00D16FCF"/>
    <w:rsid w:val="00D1760D"/>
    <w:rsid w:val="00D1786D"/>
    <w:rsid w:val="00D17959"/>
    <w:rsid w:val="00D179A4"/>
    <w:rsid w:val="00D17D4B"/>
    <w:rsid w:val="00D2033C"/>
    <w:rsid w:val="00D208BB"/>
    <w:rsid w:val="00D208ED"/>
    <w:rsid w:val="00D20912"/>
    <w:rsid w:val="00D20B0A"/>
    <w:rsid w:val="00D20E2F"/>
    <w:rsid w:val="00D21341"/>
    <w:rsid w:val="00D228E2"/>
    <w:rsid w:val="00D23176"/>
    <w:rsid w:val="00D23307"/>
    <w:rsid w:val="00D233A5"/>
    <w:rsid w:val="00D23446"/>
    <w:rsid w:val="00D23466"/>
    <w:rsid w:val="00D239BC"/>
    <w:rsid w:val="00D243AA"/>
    <w:rsid w:val="00D251A7"/>
    <w:rsid w:val="00D25202"/>
    <w:rsid w:val="00D2563F"/>
    <w:rsid w:val="00D25A41"/>
    <w:rsid w:val="00D25F06"/>
    <w:rsid w:val="00D26013"/>
    <w:rsid w:val="00D2601F"/>
    <w:rsid w:val="00D26832"/>
    <w:rsid w:val="00D27098"/>
    <w:rsid w:val="00D27186"/>
    <w:rsid w:val="00D2728D"/>
    <w:rsid w:val="00D274BD"/>
    <w:rsid w:val="00D275EA"/>
    <w:rsid w:val="00D2786E"/>
    <w:rsid w:val="00D309F5"/>
    <w:rsid w:val="00D30BB1"/>
    <w:rsid w:val="00D31917"/>
    <w:rsid w:val="00D32E39"/>
    <w:rsid w:val="00D32EB6"/>
    <w:rsid w:val="00D32F77"/>
    <w:rsid w:val="00D32F7F"/>
    <w:rsid w:val="00D33399"/>
    <w:rsid w:val="00D333B1"/>
    <w:rsid w:val="00D337ED"/>
    <w:rsid w:val="00D33A3B"/>
    <w:rsid w:val="00D340BF"/>
    <w:rsid w:val="00D342F9"/>
    <w:rsid w:val="00D34B5A"/>
    <w:rsid w:val="00D34D14"/>
    <w:rsid w:val="00D34F60"/>
    <w:rsid w:val="00D356AB"/>
    <w:rsid w:val="00D35FAE"/>
    <w:rsid w:val="00D3606D"/>
    <w:rsid w:val="00D3656C"/>
    <w:rsid w:val="00D36A45"/>
    <w:rsid w:val="00D36CD9"/>
    <w:rsid w:val="00D37024"/>
    <w:rsid w:val="00D37092"/>
    <w:rsid w:val="00D37D00"/>
    <w:rsid w:val="00D40569"/>
    <w:rsid w:val="00D408C1"/>
    <w:rsid w:val="00D40933"/>
    <w:rsid w:val="00D40D06"/>
    <w:rsid w:val="00D40D20"/>
    <w:rsid w:val="00D4107D"/>
    <w:rsid w:val="00D41464"/>
    <w:rsid w:val="00D4151F"/>
    <w:rsid w:val="00D41C82"/>
    <w:rsid w:val="00D41CA6"/>
    <w:rsid w:val="00D42B70"/>
    <w:rsid w:val="00D42EA8"/>
    <w:rsid w:val="00D42FA7"/>
    <w:rsid w:val="00D43AAF"/>
    <w:rsid w:val="00D43CAE"/>
    <w:rsid w:val="00D43CE0"/>
    <w:rsid w:val="00D441A1"/>
    <w:rsid w:val="00D446C1"/>
    <w:rsid w:val="00D44756"/>
    <w:rsid w:val="00D449B3"/>
    <w:rsid w:val="00D44C42"/>
    <w:rsid w:val="00D4563B"/>
    <w:rsid w:val="00D457C9"/>
    <w:rsid w:val="00D45862"/>
    <w:rsid w:val="00D45924"/>
    <w:rsid w:val="00D45D53"/>
    <w:rsid w:val="00D45E44"/>
    <w:rsid w:val="00D46200"/>
    <w:rsid w:val="00D466B6"/>
    <w:rsid w:val="00D47B40"/>
    <w:rsid w:val="00D50031"/>
    <w:rsid w:val="00D50267"/>
    <w:rsid w:val="00D50704"/>
    <w:rsid w:val="00D509D0"/>
    <w:rsid w:val="00D50C67"/>
    <w:rsid w:val="00D50CFD"/>
    <w:rsid w:val="00D50DE7"/>
    <w:rsid w:val="00D5108C"/>
    <w:rsid w:val="00D51913"/>
    <w:rsid w:val="00D5297B"/>
    <w:rsid w:val="00D52C27"/>
    <w:rsid w:val="00D52F59"/>
    <w:rsid w:val="00D52F67"/>
    <w:rsid w:val="00D535EB"/>
    <w:rsid w:val="00D53921"/>
    <w:rsid w:val="00D55128"/>
    <w:rsid w:val="00D55388"/>
    <w:rsid w:val="00D55734"/>
    <w:rsid w:val="00D558BE"/>
    <w:rsid w:val="00D5590D"/>
    <w:rsid w:val="00D55F1A"/>
    <w:rsid w:val="00D55F58"/>
    <w:rsid w:val="00D561C9"/>
    <w:rsid w:val="00D56202"/>
    <w:rsid w:val="00D56413"/>
    <w:rsid w:val="00D56556"/>
    <w:rsid w:val="00D56D82"/>
    <w:rsid w:val="00D57183"/>
    <w:rsid w:val="00D571C5"/>
    <w:rsid w:val="00D57A14"/>
    <w:rsid w:val="00D57ED4"/>
    <w:rsid w:val="00D57F1B"/>
    <w:rsid w:val="00D6080A"/>
    <w:rsid w:val="00D60D77"/>
    <w:rsid w:val="00D6117D"/>
    <w:rsid w:val="00D613D5"/>
    <w:rsid w:val="00D617B1"/>
    <w:rsid w:val="00D61C69"/>
    <w:rsid w:val="00D61F78"/>
    <w:rsid w:val="00D62530"/>
    <w:rsid w:val="00D62536"/>
    <w:rsid w:val="00D62885"/>
    <w:rsid w:val="00D62916"/>
    <w:rsid w:val="00D631F3"/>
    <w:rsid w:val="00D63394"/>
    <w:rsid w:val="00D64628"/>
    <w:rsid w:val="00D64656"/>
    <w:rsid w:val="00D6498A"/>
    <w:rsid w:val="00D649EF"/>
    <w:rsid w:val="00D65695"/>
    <w:rsid w:val="00D6630D"/>
    <w:rsid w:val="00D6632C"/>
    <w:rsid w:val="00D664A2"/>
    <w:rsid w:val="00D66896"/>
    <w:rsid w:val="00D66F32"/>
    <w:rsid w:val="00D67256"/>
    <w:rsid w:val="00D6749A"/>
    <w:rsid w:val="00D677B0"/>
    <w:rsid w:val="00D701BD"/>
    <w:rsid w:val="00D703E1"/>
    <w:rsid w:val="00D70435"/>
    <w:rsid w:val="00D713B5"/>
    <w:rsid w:val="00D716DD"/>
    <w:rsid w:val="00D71921"/>
    <w:rsid w:val="00D71BF9"/>
    <w:rsid w:val="00D72560"/>
    <w:rsid w:val="00D729B5"/>
    <w:rsid w:val="00D72B50"/>
    <w:rsid w:val="00D72CA4"/>
    <w:rsid w:val="00D733CC"/>
    <w:rsid w:val="00D73605"/>
    <w:rsid w:val="00D73D9D"/>
    <w:rsid w:val="00D73F5A"/>
    <w:rsid w:val="00D741A1"/>
    <w:rsid w:val="00D75339"/>
    <w:rsid w:val="00D7558B"/>
    <w:rsid w:val="00D756A5"/>
    <w:rsid w:val="00D757A7"/>
    <w:rsid w:val="00D7582D"/>
    <w:rsid w:val="00D75AA8"/>
    <w:rsid w:val="00D75B80"/>
    <w:rsid w:val="00D76247"/>
    <w:rsid w:val="00D7696B"/>
    <w:rsid w:val="00D769D7"/>
    <w:rsid w:val="00D77091"/>
    <w:rsid w:val="00D779FF"/>
    <w:rsid w:val="00D77A60"/>
    <w:rsid w:val="00D77CBF"/>
    <w:rsid w:val="00D77DE9"/>
    <w:rsid w:val="00D77F09"/>
    <w:rsid w:val="00D77FBA"/>
    <w:rsid w:val="00D806E6"/>
    <w:rsid w:val="00D808CE"/>
    <w:rsid w:val="00D80B12"/>
    <w:rsid w:val="00D81664"/>
    <w:rsid w:val="00D8169C"/>
    <w:rsid w:val="00D821CA"/>
    <w:rsid w:val="00D8268A"/>
    <w:rsid w:val="00D82F81"/>
    <w:rsid w:val="00D8327F"/>
    <w:rsid w:val="00D83782"/>
    <w:rsid w:val="00D83A3D"/>
    <w:rsid w:val="00D83AF1"/>
    <w:rsid w:val="00D83D2E"/>
    <w:rsid w:val="00D84463"/>
    <w:rsid w:val="00D8452D"/>
    <w:rsid w:val="00D846EF"/>
    <w:rsid w:val="00D84F82"/>
    <w:rsid w:val="00D8520C"/>
    <w:rsid w:val="00D85232"/>
    <w:rsid w:val="00D8552A"/>
    <w:rsid w:val="00D8570A"/>
    <w:rsid w:val="00D863AC"/>
    <w:rsid w:val="00D86647"/>
    <w:rsid w:val="00D86867"/>
    <w:rsid w:val="00D86D19"/>
    <w:rsid w:val="00D86E9E"/>
    <w:rsid w:val="00D873ED"/>
    <w:rsid w:val="00D87930"/>
    <w:rsid w:val="00D87C99"/>
    <w:rsid w:val="00D90280"/>
    <w:rsid w:val="00D90297"/>
    <w:rsid w:val="00D9035C"/>
    <w:rsid w:val="00D907CE"/>
    <w:rsid w:val="00D90920"/>
    <w:rsid w:val="00D90BDE"/>
    <w:rsid w:val="00D90C7C"/>
    <w:rsid w:val="00D91098"/>
    <w:rsid w:val="00D911E1"/>
    <w:rsid w:val="00D9125F"/>
    <w:rsid w:val="00D915EC"/>
    <w:rsid w:val="00D91844"/>
    <w:rsid w:val="00D919B0"/>
    <w:rsid w:val="00D91AD7"/>
    <w:rsid w:val="00D91B3D"/>
    <w:rsid w:val="00D91FE0"/>
    <w:rsid w:val="00D925C0"/>
    <w:rsid w:val="00D92679"/>
    <w:rsid w:val="00D9272E"/>
    <w:rsid w:val="00D92735"/>
    <w:rsid w:val="00D9291B"/>
    <w:rsid w:val="00D93166"/>
    <w:rsid w:val="00D932CD"/>
    <w:rsid w:val="00D93D1D"/>
    <w:rsid w:val="00D93EEB"/>
    <w:rsid w:val="00D93F9C"/>
    <w:rsid w:val="00D94044"/>
    <w:rsid w:val="00D9507C"/>
    <w:rsid w:val="00D957AB"/>
    <w:rsid w:val="00D95F04"/>
    <w:rsid w:val="00D96652"/>
    <w:rsid w:val="00D96801"/>
    <w:rsid w:val="00D96C70"/>
    <w:rsid w:val="00D96E9A"/>
    <w:rsid w:val="00D9718D"/>
    <w:rsid w:val="00D9743A"/>
    <w:rsid w:val="00D97662"/>
    <w:rsid w:val="00D97868"/>
    <w:rsid w:val="00D97CFF"/>
    <w:rsid w:val="00DA09A2"/>
    <w:rsid w:val="00DA1B30"/>
    <w:rsid w:val="00DA2099"/>
    <w:rsid w:val="00DA2922"/>
    <w:rsid w:val="00DA2940"/>
    <w:rsid w:val="00DA2B8B"/>
    <w:rsid w:val="00DA2C58"/>
    <w:rsid w:val="00DA2E56"/>
    <w:rsid w:val="00DA345C"/>
    <w:rsid w:val="00DA35BA"/>
    <w:rsid w:val="00DA3E79"/>
    <w:rsid w:val="00DA3EB8"/>
    <w:rsid w:val="00DA433D"/>
    <w:rsid w:val="00DA4577"/>
    <w:rsid w:val="00DA4C08"/>
    <w:rsid w:val="00DA545F"/>
    <w:rsid w:val="00DA58E1"/>
    <w:rsid w:val="00DA58EB"/>
    <w:rsid w:val="00DA5C3E"/>
    <w:rsid w:val="00DA5D93"/>
    <w:rsid w:val="00DA64AB"/>
    <w:rsid w:val="00DA6799"/>
    <w:rsid w:val="00DA69CB"/>
    <w:rsid w:val="00DA6AB0"/>
    <w:rsid w:val="00DA797F"/>
    <w:rsid w:val="00DA7FB3"/>
    <w:rsid w:val="00DB09C9"/>
    <w:rsid w:val="00DB0A44"/>
    <w:rsid w:val="00DB1018"/>
    <w:rsid w:val="00DB1865"/>
    <w:rsid w:val="00DB19D5"/>
    <w:rsid w:val="00DB1BF7"/>
    <w:rsid w:val="00DB2973"/>
    <w:rsid w:val="00DB2C96"/>
    <w:rsid w:val="00DB2EC8"/>
    <w:rsid w:val="00DB30C8"/>
    <w:rsid w:val="00DB32A8"/>
    <w:rsid w:val="00DB3322"/>
    <w:rsid w:val="00DB379F"/>
    <w:rsid w:val="00DB3FEA"/>
    <w:rsid w:val="00DB4AFF"/>
    <w:rsid w:val="00DB4F72"/>
    <w:rsid w:val="00DB530A"/>
    <w:rsid w:val="00DB546A"/>
    <w:rsid w:val="00DB55F7"/>
    <w:rsid w:val="00DB5FF2"/>
    <w:rsid w:val="00DB6313"/>
    <w:rsid w:val="00DB66D2"/>
    <w:rsid w:val="00DB6734"/>
    <w:rsid w:val="00DB696F"/>
    <w:rsid w:val="00DB6DB9"/>
    <w:rsid w:val="00DB6ED4"/>
    <w:rsid w:val="00DB6F45"/>
    <w:rsid w:val="00DB7441"/>
    <w:rsid w:val="00DB7CD3"/>
    <w:rsid w:val="00DB7F5C"/>
    <w:rsid w:val="00DC0001"/>
    <w:rsid w:val="00DC04A8"/>
    <w:rsid w:val="00DC0622"/>
    <w:rsid w:val="00DC1046"/>
    <w:rsid w:val="00DC11E2"/>
    <w:rsid w:val="00DC275A"/>
    <w:rsid w:val="00DC291F"/>
    <w:rsid w:val="00DC2E8D"/>
    <w:rsid w:val="00DC31B6"/>
    <w:rsid w:val="00DC3382"/>
    <w:rsid w:val="00DC3574"/>
    <w:rsid w:val="00DC35DC"/>
    <w:rsid w:val="00DC385A"/>
    <w:rsid w:val="00DC39B7"/>
    <w:rsid w:val="00DC39F0"/>
    <w:rsid w:val="00DC4619"/>
    <w:rsid w:val="00DC47B2"/>
    <w:rsid w:val="00DC4890"/>
    <w:rsid w:val="00DC4B97"/>
    <w:rsid w:val="00DC4C59"/>
    <w:rsid w:val="00DC50DE"/>
    <w:rsid w:val="00DC5883"/>
    <w:rsid w:val="00DC5D7D"/>
    <w:rsid w:val="00DC7029"/>
    <w:rsid w:val="00DC7DEC"/>
    <w:rsid w:val="00DC7E42"/>
    <w:rsid w:val="00DD032B"/>
    <w:rsid w:val="00DD03A9"/>
    <w:rsid w:val="00DD090B"/>
    <w:rsid w:val="00DD0F2A"/>
    <w:rsid w:val="00DD0FD7"/>
    <w:rsid w:val="00DD1902"/>
    <w:rsid w:val="00DD1977"/>
    <w:rsid w:val="00DD1A6A"/>
    <w:rsid w:val="00DD1BCC"/>
    <w:rsid w:val="00DD1E4E"/>
    <w:rsid w:val="00DD253B"/>
    <w:rsid w:val="00DD274E"/>
    <w:rsid w:val="00DD27C8"/>
    <w:rsid w:val="00DD3263"/>
    <w:rsid w:val="00DD33C7"/>
    <w:rsid w:val="00DD3601"/>
    <w:rsid w:val="00DD4415"/>
    <w:rsid w:val="00DD445A"/>
    <w:rsid w:val="00DD44DC"/>
    <w:rsid w:val="00DD4739"/>
    <w:rsid w:val="00DD4926"/>
    <w:rsid w:val="00DD4A8D"/>
    <w:rsid w:val="00DD4B47"/>
    <w:rsid w:val="00DD4DCE"/>
    <w:rsid w:val="00DD4EF6"/>
    <w:rsid w:val="00DD5DFB"/>
    <w:rsid w:val="00DD64AF"/>
    <w:rsid w:val="00DD6994"/>
    <w:rsid w:val="00DD6BA6"/>
    <w:rsid w:val="00DD758C"/>
    <w:rsid w:val="00DD7CD1"/>
    <w:rsid w:val="00DD7D0F"/>
    <w:rsid w:val="00DD7E8C"/>
    <w:rsid w:val="00DD7EA8"/>
    <w:rsid w:val="00DE01EB"/>
    <w:rsid w:val="00DE071B"/>
    <w:rsid w:val="00DE09F0"/>
    <w:rsid w:val="00DE0B48"/>
    <w:rsid w:val="00DE1563"/>
    <w:rsid w:val="00DE178E"/>
    <w:rsid w:val="00DE1B36"/>
    <w:rsid w:val="00DE2686"/>
    <w:rsid w:val="00DE269C"/>
    <w:rsid w:val="00DE2BD0"/>
    <w:rsid w:val="00DE305E"/>
    <w:rsid w:val="00DE3176"/>
    <w:rsid w:val="00DE3FD7"/>
    <w:rsid w:val="00DE4ABD"/>
    <w:rsid w:val="00DE515B"/>
    <w:rsid w:val="00DE5457"/>
    <w:rsid w:val="00DE545D"/>
    <w:rsid w:val="00DE55BD"/>
    <w:rsid w:val="00DE57F0"/>
    <w:rsid w:val="00DE5AD8"/>
    <w:rsid w:val="00DE6A46"/>
    <w:rsid w:val="00DE6EFA"/>
    <w:rsid w:val="00DE7310"/>
    <w:rsid w:val="00DE7716"/>
    <w:rsid w:val="00DE78E9"/>
    <w:rsid w:val="00DE7CD3"/>
    <w:rsid w:val="00DE7CFF"/>
    <w:rsid w:val="00DE7E87"/>
    <w:rsid w:val="00DF062C"/>
    <w:rsid w:val="00DF08EF"/>
    <w:rsid w:val="00DF0C95"/>
    <w:rsid w:val="00DF136F"/>
    <w:rsid w:val="00DF1DCA"/>
    <w:rsid w:val="00DF206B"/>
    <w:rsid w:val="00DF2389"/>
    <w:rsid w:val="00DF2412"/>
    <w:rsid w:val="00DF2FB0"/>
    <w:rsid w:val="00DF2FC5"/>
    <w:rsid w:val="00DF3F49"/>
    <w:rsid w:val="00DF4374"/>
    <w:rsid w:val="00DF450F"/>
    <w:rsid w:val="00DF457B"/>
    <w:rsid w:val="00DF49E1"/>
    <w:rsid w:val="00DF54AD"/>
    <w:rsid w:val="00DF54CB"/>
    <w:rsid w:val="00DF595D"/>
    <w:rsid w:val="00DF5A6F"/>
    <w:rsid w:val="00DF65BB"/>
    <w:rsid w:val="00DF6B54"/>
    <w:rsid w:val="00DF6B60"/>
    <w:rsid w:val="00DF71CE"/>
    <w:rsid w:val="00DF7312"/>
    <w:rsid w:val="00DF7434"/>
    <w:rsid w:val="00DF7B5B"/>
    <w:rsid w:val="00DF7EB4"/>
    <w:rsid w:val="00DF7EFB"/>
    <w:rsid w:val="00E0008A"/>
    <w:rsid w:val="00E001E7"/>
    <w:rsid w:val="00E00806"/>
    <w:rsid w:val="00E00DD4"/>
    <w:rsid w:val="00E014CE"/>
    <w:rsid w:val="00E0170E"/>
    <w:rsid w:val="00E01B8D"/>
    <w:rsid w:val="00E01BF4"/>
    <w:rsid w:val="00E022AE"/>
    <w:rsid w:val="00E0239E"/>
    <w:rsid w:val="00E028B3"/>
    <w:rsid w:val="00E02B87"/>
    <w:rsid w:val="00E02DEC"/>
    <w:rsid w:val="00E032ED"/>
    <w:rsid w:val="00E0341B"/>
    <w:rsid w:val="00E03763"/>
    <w:rsid w:val="00E0388B"/>
    <w:rsid w:val="00E03A3A"/>
    <w:rsid w:val="00E045F4"/>
    <w:rsid w:val="00E057DE"/>
    <w:rsid w:val="00E05CCA"/>
    <w:rsid w:val="00E05E76"/>
    <w:rsid w:val="00E06C98"/>
    <w:rsid w:val="00E071A3"/>
    <w:rsid w:val="00E0790F"/>
    <w:rsid w:val="00E07978"/>
    <w:rsid w:val="00E07C8A"/>
    <w:rsid w:val="00E07DBB"/>
    <w:rsid w:val="00E1001E"/>
    <w:rsid w:val="00E10D8B"/>
    <w:rsid w:val="00E1139F"/>
    <w:rsid w:val="00E1263C"/>
    <w:rsid w:val="00E126CF"/>
    <w:rsid w:val="00E129AA"/>
    <w:rsid w:val="00E13014"/>
    <w:rsid w:val="00E1320B"/>
    <w:rsid w:val="00E13588"/>
    <w:rsid w:val="00E13A55"/>
    <w:rsid w:val="00E13B57"/>
    <w:rsid w:val="00E13B8A"/>
    <w:rsid w:val="00E144E6"/>
    <w:rsid w:val="00E145D2"/>
    <w:rsid w:val="00E14D75"/>
    <w:rsid w:val="00E15289"/>
    <w:rsid w:val="00E15BF2"/>
    <w:rsid w:val="00E15F02"/>
    <w:rsid w:val="00E165C1"/>
    <w:rsid w:val="00E1664B"/>
    <w:rsid w:val="00E16714"/>
    <w:rsid w:val="00E1681B"/>
    <w:rsid w:val="00E16D24"/>
    <w:rsid w:val="00E16E58"/>
    <w:rsid w:val="00E16F95"/>
    <w:rsid w:val="00E17015"/>
    <w:rsid w:val="00E1716E"/>
    <w:rsid w:val="00E1786A"/>
    <w:rsid w:val="00E20175"/>
    <w:rsid w:val="00E20509"/>
    <w:rsid w:val="00E20B67"/>
    <w:rsid w:val="00E20CA7"/>
    <w:rsid w:val="00E20CF9"/>
    <w:rsid w:val="00E20E7B"/>
    <w:rsid w:val="00E21A2D"/>
    <w:rsid w:val="00E21B10"/>
    <w:rsid w:val="00E21CCC"/>
    <w:rsid w:val="00E21CCE"/>
    <w:rsid w:val="00E21FA7"/>
    <w:rsid w:val="00E2241D"/>
    <w:rsid w:val="00E224F5"/>
    <w:rsid w:val="00E22739"/>
    <w:rsid w:val="00E23780"/>
    <w:rsid w:val="00E23D35"/>
    <w:rsid w:val="00E23F2E"/>
    <w:rsid w:val="00E23F32"/>
    <w:rsid w:val="00E243CC"/>
    <w:rsid w:val="00E2441B"/>
    <w:rsid w:val="00E2442C"/>
    <w:rsid w:val="00E2459A"/>
    <w:rsid w:val="00E2489D"/>
    <w:rsid w:val="00E248E9"/>
    <w:rsid w:val="00E24983"/>
    <w:rsid w:val="00E2550D"/>
    <w:rsid w:val="00E2555A"/>
    <w:rsid w:val="00E25AFC"/>
    <w:rsid w:val="00E267F9"/>
    <w:rsid w:val="00E268F9"/>
    <w:rsid w:val="00E27AA1"/>
    <w:rsid w:val="00E303FB"/>
    <w:rsid w:val="00E30C39"/>
    <w:rsid w:val="00E318E3"/>
    <w:rsid w:val="00E31EAB"/>
    <w:rsid w:val="00E31FAE"/>
    <w:rsid w:val="00E3284B"/>
    <w:rsid w:val="00E32E82"/>
    <w:rsid w:val="00E32FB0"/>
    <w:rsid w:val="00E33224"/>
    <w:rsid w:val="00E335A7"/>
    <w:rsid w:val="00E339CF"/>
    <w:rsid w:val="00E33C24"/>
    <w:rsid w:val="00E33EA9"/>
    <w:rsid w:val="00E33ED3"/>
    <w:rsid w:val="00E34394"/>
    <w:rsid w:val="00E345A7"/>
    <w:rsid w:val="00E349B3"/>
    <w:rsid w:val="00E349F9"/>
    <w:rsid w:val="00E34D78"/>
    <w:rsid w:val="00E350DC"/>
    <w:rsid w:val="00E3533B"/>
    <w:rsid w:val="00E35426"/>
    <w:rsid w:val="00E3599A"/>
    <w:rsid w:val="00E35AE7"/>
    <w:rsid w:val="00E35C8E"/>
    <w:rsid w:val="00E35D39"/>
    <w:rsid w:val="00E3629B"/>
    <w:rsid w:val="00E367B5"/>
    <w:rsid w:val="00E374A5"/>
    <w:rsid w:val="00E378FF"/>
    <w:rsid w:val="00E37952"/>
    <w:rsid w:val="00E37F67"/>
    <w:rsid w:val="00E37FE2"/>
    <w:rsid w:val="00E406F5"/>
    <w:rsid w:val="00E40C6A"/>
    <w:rsid w:val="00E40FEA"/>
    <w:rsid w:val="00E410A7"/>
    <w:rsid w:val="00E410A8"/>
    <w:rsid w:val="00E41417"/>
    <w:rsid w:val="00E41876"/>
    <w:rsid w:val="00E41EBD"/>
    <w:rsid w:val="00E424B4"/>
    <w:rsid w:val="00E4270C"/>
    <w:rsid w:val="00E42C5A"/>
    <w:rsid w:val="00E4323A"/>
    <w:rsid w:val="00E43366"/>
    <w:rsid w:val="00E435F0"/>
    <w:rsid w:val="00E43663"/>
    <w:rsid w:val="00E4382E"/>
    <w:rsid w:val="00E43D4D"/>
    <w:rsid w:val="00E445D7"/>
    <w:rsid w:val="00E4479C"/>
    <w:rsid w:val="00E4502D"/>
    <w:rsid w:val="00E4592C"/>
    <w:rsid w:val="00E45DBD"/>
    <w:rsid w:val="00E46042"/>
    <w:rsid w:val="00E461E0"/>
    <w:rsid w:val="00E46283"/>
    <w:rsid w:val="00E46546"/>
    <w:rsid w:val="00E46970"/>
    <w:rsid w:val="00E4797E"/>
    <w:rsid w:val="00E479FE"/>
    <w:rsid w:val="00E47C02"/>
    <w:rsid w:val="00E47CA7"/>
    <w:rsid w:val="00E50166"/>
    <w:rsid w:val="00E51562"/>
    <w:rsid w:val="00E5160E"/>
    <w:rsid w:val="00E519D1"/>
    <w:rsid w:val="00E523DD"/>
    <w:rsid w:val="00E52B68"/>
    <w:rsid w:val="00E52CB3"/>
    <w:rsid w:val="00E54071"/>
    <w:rsid w:val="00E54279"/>
    <w:rsid w:val="00E54487"/>
    <w:rsid w:val="00E54838"/>
    <w:rsid w:val="00E54C1E"/>
    <w:rsid w:val="00E55774"/>
    <w:rsid w:val="00E55C58"/>
    <w:rsid w:val="00E55E1E"/>
    <w:rsid w:val="00E56BCA"/>
    <w:rsid w:val="00E56F22"/>
    <w:rsid w:val="00E56FB9"/>
    <w:rsid w:val="00E5747A"/>
    <w:rsid w:val="00E575DC"/>
    <w:rsid w:val="00E57740"/>
    <w:rsid w:val="00E57885"/>
    <w:rsid w:val="00E60443"/>
    <w:rsid w:val="00E6081D"/>
    <w:rsid w:val="00E61608"/>
    <w:rsid w:val="00E617D0"/>
    <w:rsid w:val="00E619E4"/>
    <w:rsid w:val="00E61CBC"/>
    <w:rsid w:val="00E61DA5"/>
    <w:rsid w:val="00E6231E"/>
    <w:rsid w:val="00E62390"/>
    <w:rsid w:val="00E627DB"/>
    <w:rsid w:val="00E62C66"/>
    <w:rsid w:val="00E63396"/>
    <w:rsid w:val="00E635C6"/>
    <w:rsid w:val="00E639C6"/>
    <w:rsid w:val="00E63F6E"/>
    <w:rsid w:val="00E64370"/>
    <w:rsid w:val="00E643AB"/>
    <w:rsid w:val="00E64618"/>
    <w:rsid w:val="00E648C4"/>
    <w:rsid w:val="00E64BF3"/>
    <w:rsid w:val="00E65248"/>
    <w:rsid w:val="00E65329"/>
    <w:rsid w:val="00E653BF"/>
    <w:rsid w:val="00E653C3"/>
    <w:rsid w:val="00E653F8"/>
    <w:rsid w:val="00E65859"/>
    <w:rsid w:val="00E65D76"/>
    <w:rsid w:val="00E65F5A"/>
    <w:rsid w:val="00E668C6"/>
    <w:rsid w:val="00E66C07"/>
    <w:rsid w:val="00E66D73"/>
    <w:rsid w:val="00E6700E"/>
    <w:rsid w:val="00E67161"/>
    <w:rsid w:val="00E67403"/>
    <w:rsid w:val="00E6740B"/>
    <w:rsid w:val="00E674B1"/>
    <w:rsid w:val="00E67515"/>
    <w:rsid w:val="00E6758B"/>
    <w:rsid w:val="00E67684"/>
    <w:rsid w:val="00E67CE3"/>
    <w:rsid w:val="00E67DCA"/>
    <w:rsid w:val="00E7015F"/>
    <w:rsid w:val="00E703E4"/>
    <w:rsid w:val="00E7049C"/>
    <w:rsid w:val="00E705E3"/>
    <w:rsid w:val="00E707E0"/>
    <w:rsid w:val="00E70851"/>
    <w:rsid w:val="00E71248"/>
    <w:rsid w:val="00E71715"/>
    <w:rsid w:val="00E71C97"/>
    <w:rsid w:val="00E722E2"/>
    <w:rsid w:val="00E72BAD"/>
    <w:rsid w:val="00E72FBC"/>
    <w:rsid w:val="00E73137"/>
    <w:rsid w:val="00E73DE5"/>
    <w:rsid w:val="00E73FAC"/>
    <w:rsid w:val="00E743C8"/>
    <w:rsid w:val="00E744D8"/>
    <w:rsid w:val="00E74DD0"/>
    <w:rsid w:val="00E75090"/>
    <w:rsid w:val="00E75C08"/>
    <w:rsid w:val="00E75DE2"/>
    <w:rsid w:val="00E7649D"/>
    <w:rsid w:val="00E76788"/>
    <w:rsid w:val="00E76AD0"/>
    <w:rsid w:val="00E76DAD"/>
    <w:rsid w:val="00E76E44"/>
    <w:rsid w:val="00E77906"/>
    <w:rsid w:val="00E77BEF"/>
    <w:rsid w:val="00E77C53"/>
    <w:rsid w:val="00E77F2E"/>
    <w:rsid w:val="00E801A1"/>
    <w:rsid w:val="00E806EB"/>
    <w:rsid w:val="00E80758"/>
    <w:rsid w:val="00E80A2B"/>
    <w:rsid w:val="00E81121"/>
    <w:rsid w:val="00E815FB"/>
    <w:rsid w:val="00E81732"/>
    <w:rsid w:val="00E82636"/>
    <w:rsid w:val="00E82E3A"/>
    <w:rsid w:val="00E83696"/>
    <w:rsid w:val="00E837D3"/>
    <w:rsid w:val="00E841AB"/>
    <w:rsid w:val="00E8489C"/>
    <w:rsid w:val="00E84E4A"/>
    <w:rsid w:val="00E86050"/>
    <w:rsid w:val="00E860DC"/>
    <w:rsid w:val="00E86A5D"/>
    <w:rsid w:val="00E86F84"/>
    <w:rsid w:val="00E87213"/>
    <w:rsid w:val="00E8751B"/>
    <w:rsid w:val="00E90022"/>
    <w:rsid w:val="00E9002B"/>
    <w:rsid w:val="00E903AC"/>
    <w:rsid w:val="00E90570"/>
    <w:rsid w:val="00E9060B"/>
    <w:rsid w:val="00E90FCB"/>
    <w:rsid w:val="00E912A9"/>
    <w:rsid w:val="00E9133C"/>
    <w:rsid w:val="00E9160E"/>
    <w:rsid w:val="00E91BF7"/>
    <w:rsid w:val="00E91C58"/>
    <w:rsid w:val="00E91F9A"/>
    <w:rsid w:val="00E92577"/>
    <w:rsid w:val="00E929A6"/>
    <w:rsid w:val="00E92A5D"/>
    <w:rsid w:val="00E92B05"/>
    <w:rsid w:val="00E92F1A"/>
    <w:rsid w:val="00E93197"/>
    <w:rsid w:val="00E93443"/>
    <w:rsid w:val="00E93583"/>
    <w:rsid w:val="00E9362E"/>
    <w:rsid w:val="00E939A3"/>
    <w:rsid w:val="00E939F2"/>
    <w:rsid w:val="00E93B03"/>
    <w:rsid w:val="00E93EB2"/>
    <w:rsid w:val="00E94823"/>
    <w:rsid w:val="00E94B83"/>
    <w:rsid w:val="00E94EAC"/>
    <w:rsid w:val="00E94F62"/>
    <w:rsid w:val="00E95CC1"/>
    <w:rsid w:val="00E95FCE"/>
    <w:rsid w:val="00E9605D"/>
    <w:rsid w:val="00E968ED"/>
    <w:rsid w:val="00E969CF"/>
    <w:rsid w:val="00E96A89"/>
    <w:rsid w:val="00E96D54"/>
    <w:rsid w:val="00E96E55"/>
    <w:rsid w:val="00E9724E"/>
    <w:rsid w:val="00E975A4"/>
    <w:rsid w:val="00E97B6C"/>
    <w:rsid w:val="00E97CC6"/>
    <w:rsid w:val="00EA01A8"/>
    <w:rsid w:val="00EA0432"/>
    <w:rsid w:val="00EA0611"/>
    <w:rsid w:val="00EA0658"/>
    <w:rsid w:val="00EA0DD4"/>
    <w:rsid w:val="00EA1198"/>
    <w:rsid w:val="00EA1202"/>
    <w:rsid w:val="00EA1626"/>
    <w:rsid w:val="00EA1680"/>
    <w:rsid w:val="00EA1748"/>
    <w:rsid w:val="00EA1CC3"/>
    <w:rsid w:val="00EA2023"/>
    <w:rsid w:val="00EA263B"/>
    <w:rsid w:val="00EA2C93"/>
    <w:rsid w:val="00EA2D41"/>
    <w:rsid w:val="00EA2D91"/>
    <w:rsid w:val="00EA2DE1"/>
    <w:rsid w:val="00EA2F96"/>
    <w:rsid w:val="00EA42C7"/>
    <w:rsid w:val="00EA44DF"/>
    <w:rsid w:val="00EA53B8"/>
    <w:rsid w:val="00EA63F8"/>
    <w:rsid w:val="00EA63FE"/>
    <w:rsid w:val="00EA64C5"/>
    <w:rsid w:val="00EA64D3"/>
    <w:rsid w:val="00EA6784"/>
    <w:rsid w:val="00EB0923"/>
    <w:rsid w:val="00EB0B4C"/>
    <w:rsid w:val="00EB0B96"/>
    <w:rsid w:val="00EB153F"/>
    <w:rsid w:val="00EB165B"/>
    <w:rsid w:val="00EB1842"/>
    <w:rsid w:val="00EB1AA4"/>
    <w:rsid w:val="00EB1CD3"/>
    <w:rsid w:val="00EB1DC5"/>
    <w:rsid w:val="00EB1DE1"/>
    <w:rsid w:val="00EB3513"/>
    <w:rsid w:val="00EB3AF5"/>
    <w:rsid w:val="00EB3F3E"/>
    <w:rsid w:val="00EB42DC"/>
    <w:rsid w:val="00EB4991"/>
    <w:rsid w:val="00EB4B18"/>
    <w:rsid w:val="00EB4FD2"/>
    <w:rsid w:val="00EB5185"/>
    <w:rsid w:val="00EB542B"/>
    <w:rsid w:val="00EB55E3"/>
    <w:rsid w:val="00EB59F0"/>
    <w:rsid w:val="00EB5B15"/>
    <w:rsid w:val="00EB6285"/>
    <w:rsid w:val="00EB6604"/>
    <w:rsid w:val="00EB6749"/>
    <w:rsid w:val="00EB68B6"/>
    <w:rsid w:val="00EB6F0B"/>
    <w:rsid w:val="00EB752A"/>
    <w:rsid w:val="00EB77F0"/>
    <w:rsid w:val="00EB7F82"/>
    <w:rsid w:val="00EB7FE1"/>
    <w:rsid w:val="00EC0186"/>
    <w:rsid w:val="00EC019D"/>
    <w:rsid w:val="00EC02D9"/>
    <w:rsid w:val="00EC1261"/>
    <w:rsid w:val="00EC16C0"/>
    <w:rsid w:val="00EC282E"/>
    <w:rsid w:val="00EC28C4"/>
    <w:rsid w:val="00EC2AD1"/>
    <w:rsid w:val="00EC2F1C"/>
    <w:rsid w:val="00EC3073"/>
    <w:rsid w:val="00EC3C06"/>
    <w:rsid w:val="00EC3C2D"/>
    <w:rsid w:val="00EC4036"/>
    <w:rsid w:val="00EC433C"/>
    <w:rsid w:val="00EC455A"/>
    <w:rsid w:val="00EC470A"/>
    <w:rsid w:val="00EC4BB5"/>
    <w:rsid w:val="00EC4CEC"/>
    <w:rsid w:val="00EC506F"/>
    <w:rsid w:val="00EC531C"/>
    <w:rsid w:val="00EC5354"/>
    <w:rsid w:val="00EC58E2"/>
    <w:rsid w:val="00EC59DE"/>
    <w:rsid w:val="00EC5A16"/>
    <w:rsid w:val="00EC5B78"/>
    <w:rsid w:val="00EC5BBA"/>
    <w:rsid w:val="00EC60B0"/>
    <w:rsid w:val="00EC68B7"/>
    <w:rsid w:val="00EC6928"/>
    <w:rsid w:val="00EC6A59"/>
    <w:rsid w:val="00EC6B77"/>
    <w:rsid w:val="00EC75C7"/>
    <w:rsid w:val="00EC7834"/>
    <w:rsid w:val="00EC79CF"/>
    <w:rsid w:val="00EC7BC8"/>
    <w:rsid w:val="00ED0144"/>
    <w:rsid w:val="00ED014F"/>
    <w:rsid w:val="00ED09AA"/>
    <w:rsid w:val="00ED10E8"/>
    <w:rsid w:val="00ED12D2"/>
    <w:rsid w:val="00ED13E0"/>
    <w:rsid w:val="00ED14C6"/>
    <w:rsid w:val="00ED1509"/>
    <w:rsid w:val="00ED2099"/>
    <w:rsid w:val="00ED2395"/>
    <w:rsid w:val="00ED2510"/>
    <w:rsid w:val="00ED279B"/>
    <w:rsid w:val="00ED37C1"/>
    <w:rsid w:val="00ED51FA"/>
    <w:rsid w:val="00ED541E"/>
    <w:rsid w:val="00ED591E"/>
    <w:rsid w:val="00ED5C7F"/>
    <w:rsid w:val="00ED5D8D"/>
    <w:rsid w:val="00ED611B"/>
    <w:rsid w:val="00ED62AD"/>
    <w:rsid w:val="00ED65F3"/>
    <w:rsid w:val="00ED66F3"/>
    <w:rsid w:val="00ED686B"/>
    <w:rsid w:val="00ED702F"/>
    <w:rsid w:val="00ED711C"/>
    <w:rsid w:val="00ED785F"/>
    <w:rsid w:val="00ED7CB0"/>
    <w:rsid w:val="00EE0222"/>
    <w:rsid w:val="00EE02ED"/>
    <w:rsid w:val="00EE032B"/>
    <w:rsid w:val="00EE0370"/>
    <w:rsid w:val="00EE0D7A"/>
    <w:rsid w:val="00EE0E5B"/>
    <w:rsid w:val="00EE1118"/>
    <w:rsid w:val="00EE11E6"/>
    <w:rsid w:val="00EE12E8"/>
    <w:rsid w:val="00EE16FF"/>
    <w:rsid w:val="00EE18AA"/>
    <w:rsid w:val="00EE23A4"/>
    <w:rsid w:val="00EE2863"/>
    <w:rsid w:val="00EE28EC"/>
    <w:rsid w:val="00EE3624"/>
    <w:rsid w:val="00EE3625"/>
    <w:rsid w:val="00EE3674"/>
    <w:rsid w:val="00EE3BCB"/>
    <w:rsid w:val="00EE41A4"/>
    <w:rsid w:val="00EE44B3"/>
    <w:rsid w:val="00EE47AC"/>
    <w:rsid w:val="00EE4C16"/>
    <w:rsid w:val="00EE4D6C"/>
    <w:rsid w:val="00EE5046"/>
    <w:rsid w:val="00EE592E"/>
    <w:rsid w:val="00EE602C"/>
    <w:rsid w:val="00EE60A3"/>
    <w:rsid w:val="00EE6734"/>
    <w:rsid w:val="00EE6BBC"/>
    <w:rsid w:val="00EE6E4B"/>
    <w:rsid w:val="00EE760E"/>
    <w:rsid w:val="00EE7787"/>
    <w:rsid w:val="00EE7C2C"/>
    <w:rsid w:val="00EE7D34"/>
    <w:rsid w:val="00EF0835"/>
    <w:rsid w:val="00EF0C8C"/>
    <w:rsid w:val="00EF1447"/>
    <w:rsid w:val="00EF149E"/>
    <w:rsid w:val="00EF17A1"/>
    <w:rsid w:val="00EF1AC7"/>
    <w:rsid w:val="00EF1FA3"/>
    <w:rsid w:val="00EF203E"/>
    <w:rsid w:val="00EF21FB"/>
    <w:rsid w:val="00EF24E5"/>
    <w:rsid w:val="00EF252C"/>
    <w:rsid w:val="00EF2684"/>
    <w:rsid w:val="00EF29E7"/>
    <w:rsid w:val="00EF2AC1"/>
    <w:rsid w:val="00EF2D20"/>
    <w:rsid w:val="00EF3A46"/>
    <w:rsid w:val="00EF3DC7"/>
    <w:rsid w:val="00EF3F82"/>
    <w:rsid w:val="00EF4014"/>
    <w:rsid w:val="00EF40B2"/>
    <w:rsid w:val="00EF45FD"/>
    <w:rsid w:val="00EF4C96"/>
    <w:rsid w:val="00EF4D23"/>
    <w:rsid w:val="00EF4E12"/>
    <w:rsid w:val="00EF55D3"/>
    <w:rsid w:val="00EF5AA9"/>
    <w:rsid w:val="00EF62C8"/>
    <w:rsid w:val="00EF6908"/>
    <w:rsid w:val="00EF7A54"/>
    <w:rsid w:val="00EF7F22"/>
    <w:rsid w:val="00F000F4"/>
    <w:rsid w:val="00F00235"/>
    <w:rsid w:val="00F004D0"/>
    <w:rsid w:val="00F008E0"/>
    <w:rsid w:val="00F00DE4"/>
    <w:rsid w:val="00F00F70"/>
    <w:rsid w:val="00F01095"/>
    <w:rsid w:val="00F01D67"/>
    <w:rsid w:val="00F025EB"/>
    <w:rsid w:val="00F02673"/>
    <w:rsid w:val="00F033AC"/>
    <w:rsid w:val="00F034B2"/>
    <w:rsid w:val="00F03735"/>
    <w:rsid w:val="00F03BCF"/>
    <w:rsid w:val="00F04579"/>
    <w:rsid w:val="00F049B4"/>
    <w:rsid w:val="00F04BDE"/>
    <w:rsid w:val="00F04D1B"/>
    <w:rsid w:val="00F04F18"/>
    <w:rsid w:val="00F055D8"/>
    <w:rsid w:val="00F05895"/>
    <w:rsid w:val="00F061F0"/>
    <w:rsid w:val="00F063AF"/>
    <w:rsid w:val="00F066A0"/>
    <w:rsid w:val="00F06847"/>
    <w:rsid w:val="00F069E8"/>
    <w:rsid w:val="00F06C5F"/>
    <w:rsid w:val="00F06D13"/>
    <w:rsid w:val="00F06E60"/>
    <w:rsid w:val="00F06F07"/>
    <w:rsid w:val="00F070FB"/>
    <w:rsid w:val="00F0710A"/>
    <w:rsid w:val="00F07143"/>
    <w:rsid w:val="00F0744C"/>
    <w:rsid w:val="00F100DB"/>
    <w:rsid w:val="00F107C0"/>
    <w:rsid w:val="00F10930"/>
    <w:rsid w:val="00F10B48"/>
    <w:rsid w:val="00F10DAB"/>
    <w:rsid w:val="00F11395"/>
    <w:rsid w:val="00F11A1B"/>
    <w:rsid w:val="00F131E0"/>
    <w:rsid w:val="00F139F8"/>
    <w:rsid w:val="00F13DA6"/>
    <w:rsid w:val="00F1439A"/>
    <w:rsid w:val="00F14AEF"/>
    <w:rsid w:val="00F14BC9"/>
    <w:rsid w:val="00F15577"/>
    <w:rsid w:val="00F15996"/>
    <w:rsid w:val="00F172C9"/>
    <w:rsid w:val="00F173A7"/>
    <w:rsid w:val="00F2029D"/>
    <w:rsid w:val="00F21B7A"/>
    <w:rsid w:val="00F21DF5"/>
    <w:rsid w:val="00F21FFA"/>
    <w:rsid w:val="00F22140"/>
    <w:rsid w:val="00F2233D"/>
    <w:rsid w:val="00F226A6"/>
    <w:rsid w:val="00F22752"/>
    <w:rsid w:val="00F2308F"/>
    <w:rsid w:val="00F23544"/>
    <w:rsid w:val="00F23626"/>
    <w:rsid w:val="00F2466D"/>
    <w:rsid w:val="00F24959"/>
    <w:rsid w:val="00F24B87"/>
    <w:rsid w:val="00F24C0E"/>
    <w:rsid w:val="00F259FB"/>
    <w:rsid w:val="00F25BD4"/>
    <w:rsid w:val="00F26444"/>
    <w:rsid w:val="00F2678B"/>
    <w:rsid w:val="00F2682D"/>
    <w:rsid w:val="00F268C9"/>
    <w:rsid w:val="00F26B65"/>
    <w:rsid w:val="00F270F3"/>
    <w:rsid w:val="00F275C8"/>
    <w:rsid w:val="00F279D3"/>
    <w:rsid w:val="00F27E01"/>
    <w:rsid w:val="00F27FDE"/>
    <w:rsid w:val="00F308A8"/>
    <w:rsid w:val="00F30BA2"/>
    <w:rsid w:val="00F30CDC"/>
    <w:rsid w:val="00F30F16"/>
    <w:rsid w:val="00F313ED"/>
    <w:rsid w:val="00F31434"/>
    <w:rsid w:val="00F31DF8"/>
    <w:rsid w:val="00F32BCE"/>
    <w:rsid w:val="00F32D34"/>
    <w:rsid w:val="00F3456E"/>
    <w:rsid w:val="00F35681"/>
    <w:rsid w:val="00F35B19"/>
    <w:rsid w:val="00F3606F"/>
    <w:rsid w:val="00F3647E"/>
    <w:rsid w:val="00F3683B"/>
    <w:rsid w:val="00F36AD6"/>
    <w:rsid w:val="00F36BB2"/>
    <w:rsid w:val="00F37079"/>
    <w:rsid w:val="00F3754A"/>
    <w:rsid w:val="00F3787F"/>
    <w:rsid w:val="00F37942"/>
    <w:rsid w:val="00F37F14"/>
    <w:rsid w:val="00F402C5"/>
    <w:rsid w:val="00F4057E"/>
    <w:rsid w:val="00F407C6"/>
    <w:rsid w:val="00F407F8"/>
    <w:rsid w:val="00F40AEE"/>
    <w:rsid w:val="00F40E5B"/>
    <w:rsid w:val="00F41001"/>
    <w:rsid w:val="00F41556"/>
    <w:rsid w:val="00F4175D"/>
    <w:rsid w:val="00F41875"/>
    <w:rsid w:val="00F41908"/>
    <w:rsid w:val="00F419C0"/>
    <w:rsid w:val="00F41D7B"/>
    <w:rsid w:val="00F429F3"/>
    <w:rsid w:val="00F43038"/>
    <w:rsid w:val="00F4346A"/>
    <w:rsid w:val="00F43B17"/>
    <w:rsid w:val="00F43BB6"/>
    <w:rsid w:val="00F4406C"/>
    <w:rsid w:val="00F4444F"/>
    <w:rsid w:val="00F4527A"/>
    <w:rsid w:val="00F4570C"/>
    <w:rsid w:val="00F45C71"/>
    <w:rsid w:val="00F46021"/>
    <w:rsid w:val="00F46384"/>
    <w:rsid w:val="00F46807"/>
    <w:rsid w:val="00F46A1E"/>
    <w:rsid w:val="00F46CA8"/>
    <w:rsid w:val="00F46F2A"/>
    <w:rsid w:val="00F47445"/>
    <w:rsid w:val="00F478C6"/>
    <w:rsid w:val="00F47D8B"/>
    <w:rsid w:val="00F5074F"/>
    <w:rsid w:val="00F5075F"/>
    <w:rsid w:val="00F50892"/>
    <w:rsid w:val="00F50DD9"/>
    <w:rsid w:val="00F515F4"/>
    <w:rsid w:val="00F516D2"/>
    <w:rsid w:val="00F51865"/>
    <w:rsid w:val="00F51EAE"/>
    <w:rsid w:val="00F524FF"/>
    <w:rsid w:val="00F52EBA"/>
    <w:rsid w:val="00F52F3B"/>
    <w:rsid w:val="00F53BF1"/>
    <w:rsid w:val="00F53D48"/>
    <w:rsid w:val="00F541C3"/>
    <w:rsid w:val="00F5438C"/>
    <w:rsid w:val="00F555A4"/>
    <w:rsid w:val="00F5659A"/>
    <w:rsid w:val="00F5711C"/>
    <w:rsid w:val="00F574B6"/>
    <w:rsid w:val="00F57689"/>
    <w:rsid w:val="00F577D1"/>
    <w:rsid w:val="00F57A27"/>
    <w:rsid w:val="00F6038F"/>
    <w:rsid w:val="00F60977"/>
    <w:rsid w:val="00F60C87"/>
    <w:rsid w:val="00F60E4D"/>
    <w:rsid w:val="00F61F2F"/>
    <w:rsid w:val="00F6260C"/>
    <w:rsid w:val="00F62D48"/>
    <w:rsid w:val="00F630CB"/>
    <w:rsid w:val="00F638C2"/>
    <w:rsid w:val="00F63B19"/>
    <w:rsid w:val="00F63C96"/>
    <w:rsid w:val="00F64BA4"/>
    <w:rsid w:val="00F65128"/>
    <w:rsid w:val="00F6587C"/>
    <w:rsid w:val="00F65ADD"/>
    <w:rsid w:val="00F65D63"/>
    <w:rsid w:val="00F66058"/>
    <w:rsid w:val="00F668DF"/>
    <w:rsid w:val="00F66C88"/>
    <w:rsid w:val="00F673C9"/>
    <w:rsid w:val="00F67D18"/>
    <w:rsid w:val="00F67DDA"/>
    <w:rsid w:val="00F7044A"/>
    <w:rsid w:val="00F70488"/>
    <w:rsid w:val="00F70D4A"/>
    <w:rsid w:val="00F710CB"/>
    <w:rsid w:val="00F713BE"/>
    <w:rsid w:val="00F715BC"/>
    <w:rsid w:val="00F71632"/>
    <w:rsid w:val="00F71B30"/>
    <w:rsid w:val="00F72090"/>
    <w:rsid w:val="00F7214B"/>
    <w:rsid w:val="00F7247E"/>
    <w:rsid w:val="00F72FD3"/>
    <w:rsid w:val="00F731B5"/>
    <w:rsid w:val="00F737BD"/>
    <w:rsid w:val="00F74753"/>
    <w:rsid w:val="00F74A4C"/>
    <w:rsid w:val="00F74A53"/>
    <w:rsid w:val="00F751A8"/>
    <w:rsid w:val="00F75466"/>
    <w:rsid w:val="00F7548F"/>
    <w:rsid w:val="00F7562C"/>
    <w:rsid w:val="00F75B5A"/>
    <w:rsid w:val="00F7622D"/>
    <w:rsid w:val="00F762AF"/>
    <w:rsid w:val="00F766A5"/>
    <w:rsid w:val="00F7680C"/>
    <w:rsid w:val="00F76D2B"/>
    <w:rsid w:val="00F776DB"/>
    <w:rsid w:val="00F77D0A"/>
    <w:rsid w:val="00F8054D"/>
    <w:rsid w:val="00F805E7"/>
    <w:rsid w:val="00F80E71"/>
    <w:rsid w:val="00F818BF"/>
    <w:rsid w:val="00F81DDE"/>
    <w:rsid w:val="00F82036"/>
    <w:rsid w:val="00F82612"/>
    <w:rsid w:val="00F828F1"/>
    <w:rsid w:val="00F84543"/>
    <w:rsid w:val="00F8540A"/>
    <w:rsid w:val="00F854A0"/>
    <w:rsid w:val="00F854B4"/>
    <w:rsid w:val="00F85B0A"/>
    <w:rsid w:val="00F863FB"/>
    <w:rsid w:val="00F864B3"/>
    <w:rsid w:val="00F871B8"/>
    <w:rsid w:val="00F878CA"/>
    <w:rsid w:val="00F87BF7"/>
    <w:rsid w:val="00F87C4A"/>
    <w:rsid w:val="00F87F12"/>
    <w:rsid w:val="00F87FCD"/>
    <w:rsid w:val="00F90671"/>
    <w:rsid w:val="00F909B2"/>
    <w:rsid w:val="00F90BEA"/>
    <w:rsid w:val="00F91B8B"/>
    <w:rsid w:val="00F91F11"/>
    <w:rsid w:val="00F9252D"/>
    <w:rsid w:val="00F925E5"/>
    <w:rsid w:val="00F929A7"/>
    <w:rsid w:val="00F92F01"/>
    <w:rsid w:val="00F93536"/>
    <w:rsid w:val="00F93810"/>
    <w:rsid w:val="00F93A80"/>
    <w:rsid w:val="00F93DDC"/>
    <w:rsid w:val="00F94B26"/>
    <w:rsid w:val="00F94FAA"/>
    <w:rsid w:val="00F954BB"/>
    <w:rsid w:val="00F95AA4"/>
    <w:rsid w:val="00F95CC5"/>
    <w:rsid w:val="00F95CEE"/>
    <w:rsid w:val="00F9624C"/>
    <w:rsid w:val="00F96261"/>
    <w:rsid w:val="00F96445"/>
    <w:rsid w:val="00F96701"/>
    <w:rsid w:val="00F969DE"/>
    <w:rsid w:val="00F96E2E"/>
    <w:rsid w:val="00F96E36"/>
    <w:rsid w:val="00F970C2"/>
    <w:rsid w:val="00F975A9"/>
    <w:rsid w:val="00FA07E0"/>
    <w:rsid w:val="00FA0935"/>
    <w:rsid w:val="00FA09DA"/>
    <w:rsid w:val="00FA105A"/>
    <w:rsid w:val="00FA10F8"/>
    <w:rsid w:val="00FA141F"/>
    <w:rsid w:val="00FA1421"/>
    <w:rsid w:val="00FA14DA"/>
    <w:rsid w:val="00FA1855"/>
    <w:rsid w:val="00FA23CC"/>
    <w:rsid w:val="00FA24C4"/>
    <w:rsid w:val="00FA29CC"/>
    <w:rsid w:val="00FA3608"/>
    <w:rsid w:val="00FA3C6F"/>
    <w:rsid w:val="00FA42F1"/>
    <w:rsid w:val="00FA4BD0"/>
    <w:rsid w:val="00FA4CDD"/>
    <w:rsid w:val="00FA5AB0"/>
    <w:rsid w:val="00FA5DF7"/>
    <w:rsid w:val="00FA67FB"/>
    <w:rsid w:val="00FA68A6"/>
    <w:rsid w:val="00FA68C8"/>
    <w:rsid w:val="00FA6A71"/>
    <w:rsid w:val="00FA6E02"/>
    <w:rsid w:val="00FA714F"/>
    <w:rsid w:val="00FA7DD7"/>
    <w:rsid w:val="00FB0259"/>
    <w:rsid w:val="00FB07C1"/>
    <w:rsid w:val="00FB09C0"/>
    <w:rsid w:val="00FB0FB1"/>
    <w:rsid w:val="00FB13D7"/>
    <w:rsid w:val="00FB1E5A"/>
    <w:rsid w:val="00FB1F1B"/>
    <w:rsid w:val="00FB1F43"/>
    <w:rsid w:val="00FB273A"/>
    <w:rsid w:val="00FB2960"/>
    <w:rsid w:val="00FB2DAC"/>
    <w:rsid w:val="00FB3030"/>
    <w:rsid w:val="00FB3142"/>
    <w:rsid w:val="00FB3678"/>
    <w:rsid w:val="00FB3CF1"/>
    <w:rsid w:val="00FB42E8"/>
    <w:rsid w:val="00FB45BA"/>
    <w:rsid w:val="00FB4FA3"/>
    <w:rsid w:val="00FB5F00"/>
    <w:rsid w:val="00FB652A"/>
    <w:rsid w:val="00FB67EB"/>
    <w:rsid w:val="00FB688B"/>
    <w:rsid w:val="00FB7328"/>
    <w:rsid w:val="00FB7C6D"/>
    <w:rsid w:val="00FB7C94"/>
    <w:rsid w:val="00FC09EA"/>
    <w:rsid w:val="00FC10A0"/>
    <w:rsid w:val="00FC15ED"/>
    <w:rsid w:val="00FC163A"/>
    <w:rsid w:val="00FC2411"/>
    <w:rsid w:val="00FC28C7"/>
    <w:rsid w:val="00FC34BE"/>
    <w:rsid w:val="00FC34F4"/>
    <w:rsid w:val="00FC39B3"/>
    <w:rsid w:val="00FC3EBD"/>
    <w:rsid w:val="00FC4166"/>
    <w:rsid w:val="00FC4375"/>
    <w:rsid w:val="00FC4FD1"/>
    <w:rsid w:val="00FC5220"/>
    <w:rsid w:val="00FC549C"/>
    <w:rsid w:val="00FC557F"/>
    <w:rsid w:val="00FC6354"/>
    <w:rsid w:val="00FC6868"/>
    <w:rsid w:val="00FC6B27"/>
    <w:rsid w:val="00FC716C"/>
    <w:rsid w:val="00FC71B3"/>
    <w:rsid w:val="00FC721E"/>
    <w:rsid w:val="00FC7364"/>
    <w:rsid w:val="00FC75A3"/>
    <w:rsid w:val="00FC782A"/>
    <w:rsid w:val="00FD028C"/>
    <w:rsid w:val="00FD0590"/>
    <w:rsid w:val="00FD06C4"/>
    <w:rsid w:val="00FD13FA"/>
    <w:rsid w:val="00FD144C"/>
    <w:rsid w:val="00FD1B91"/>
    <w:rsid w:val="00FD232D"/>
    <w:rsid w:val="00FD2431"/>
    <w:rsid w:val="00FD2765"/>
    <w:rsid w:val="00FD3556"/>
    <w:rsid w:val="00FD3F8F"/>
    <w:rsid w:val="00FD4541"/>
    <w:rsid w:val="00FD504C"/>
    <w:rsid w:val="00FD5554"/>
    <w:rsid w:val="00FD565C"/>
    <w:rsid w:val="00FD5A63"/>
    <w:rsid w:val="00FD6E82"/>
    <w:rsid w:val="00FD799B"/>
    <w:rsid w:val="00FD7F5F"/>
    <w:rsid w:val="00FE0097"/>
    <w:rsid w:val="00FE0241"/>
    <w:rsid w:val="00FE0271"/>
    <w:rsid w:val="00FE06A3"/>
    <w:rsid w:val="00FE06EA"/>
    <w:rsid w:val="00FE0834"/>
    <w:rsid w:val="00FE110C"/>
    <w:rsid w:val="00FE117E"/>
    <w:rsid w:val="00FE1258"/>
    <w:rsid w:val="00FE1903"/>
    <w:rsid w:val="00FE23F0"/>
    <w:rsid w:val="00FE33FF"/>
    <w:rsid w:val="00FE37FA"/>
    <w:rsid w:val="00FE3ACF"/>
    <w:rsid w:val="00FE40EA"/>
    <w:rsid w:val="00FE464D"/>
    <w:rsid w:val="00FE48EB"/>
    <w:rsid w:val="00FE4BBD"/>
    <w:rsid w:val="00FE4EC6"/>
    <w:rsid w:val="00FE517B"/>
    <w:rsid w:val="00FE5436"/>
    <w:rsid w:val="00FE547C"/>
    <w:rsid w:val="00FE5870"/>
    <w:rsid w:val="00FE5994"/>
    <w:rsid w:val="00FE619B"/>
    <w:rsid w:val="00FE6286"/>
    <w:rsid w:val="00FE6559"/>
    <w:rsid w:val="00FE74EF"/>
    <w:rsid w:val="00FE7625"/>
    <w:rsid w:val="00FE7797"/>
    <w:rsid w:val="00FF022B"/>
    <w:rsid w:val="00FF0858"/>
    <w:rsid w:val="00FF0AFD"/>
    <w:rsid w:val="00FF0B29"/>
    <w:rsid w:val="00FF0E20"/>
    <w:rsid w:val="00FF1007"/>
    <w:rsid w:val="00FF12EE"/>
    <w:rsid w:val="00FF16AB"/>
    <w:rsid w:val="00FF1962"/>
    <w:rsid w:val="00FF1969"/>
    <w:rsid w:val="00FF2BA8"/>
    <w:rsid w:val="00FF3773"/>
    <w:rsid w:val="00FF3ADB"/>
    <w:rsid w:val="00FF41AA"/>
    <w:rsid w:val="00FF4BF2"/>
    <w:rsid w:val="00FF4E63"/>
    <w:rsid w:val="00FF523C"/>
    <w:rsid w:val="00FF5260"/>
    <w:rsid w:val="00FF567E"/>
    <w:rsid w:val="00FF5C40"/>
    <w:rsid w:val="00FF5D75"/>
    <w:rsid w:val="00FF61D8"/>
    <w:rsid w:val="00FF62A9"/>
    <w:rsid w:val="00FF6928"/>
    <w:rsid w:val="00FF6941"/>
    <w:rsid w:val="00FF69A6"/>
    <w:rsid w:val="00FF6C4F"/>
    <w:rsid w:val="00FF70FA"/>
    <w:rsid w:val="00FF7F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DB3CD38-BF40-4DDB-8345-B7F9BAABA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Arial" w:cs="Arial"/>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7EE0"/>
    <w:pPr>
      <w:overflowPunct w:val="0"/>
      <w:autoSpaceDE w:val="0"/>
      <w:autoSpaceDN w:val="0"/>
      <w:adjustRightInd w:val="0"/>
      <w:textAlignment w:val="baseline"/>
    </w:pPr>
  </w:style>
  <w:style w:type="paragraph" w:styleId="Heading1">
    <w:name w:val="heading 1"/>
    <w:basedOn w:val="Normal"/>
    <w:next w:val="Normal"/>
    <w:link w:val="Heading1Char"/>
    <w:qFormat/>
    <w:pPr>
      <w:keepNext/>
      <w:outlineLvl w:val="0"/>
    </w:pPr>
    <w:rPr>
      <w:i/>
      <w:iCs/>
      <w:sz w:val="24"/>
    </w:rPr>
  </w:style>
  <w:style w:type="paragraph" w:styleId="Heading2">
    <w:name w:val="heading 2"/>
    <w:basedOn w:val="Normal"/>
    <w:next w:val="Normal"/>
    <w:link w:val="Heading2Char"/>
    <w:qFormat/>
    <w:pPr>
      <w:keepNext/>
      <w:tabs>
        <w:tab w:val="left" w:pos="0"/>
        <w:tab w:val="left" w:pos="144"/>
      </w:tabs>
      <w:outlineLvl w:val="1"/>
    </w:pPr>
    <w:rPr>
      <w:b/>
      <w:bCs/>
      <w:sz w:val="24"/>
    </w:rPr>
  </w:style>
  <w:style w:type="paragraph" w:styleId="Heading3">
    <w:name w:val="heading 3"/>
    <w:basedOn w:val="Normal"/>
    <w:next w:val="Normal"/>
    <w:link w:val="Heading3Char"/>
    <w:qFormat/>
    <w:pPr>
      <w:keepNext/>
      <w:pBdr>
        <w:top w:val="single" w:sz="4" w:space="1" w:color="auto"/>
        <w:left w:val="single" w:sz="4" w:space="4" w:color="auto"/>
        <w:bottom w:val="single" w:sz="4" w:space="1" w:color="auto"/>
        <w:right w:val="single" w:sz="4" w:space="4" w:color="auto"/>
      </w:pBdr>
      <w:tabs>
        <w:tab w:val="left" w:pos="0"/>
        <w:tab w:val="left" w:pos="144"/>
      </w:tabs>
      <w:outlineLvl w:val="2"/>
    </w:pPr>
    <w:rPr>
      <w:b/>
      <w:bCs/>
      <w:sz w:val="22"/>
    </w:rPr>
  </w:style>
  <w:style w:type="paragraph" w:styleId="Heading4">
    <w:name w:val="heading 4"/>
    <w:basedOn w:val="Normal"/>
    <w:next w:val="Normal"/>
    <w:link w:val="Heading4Char"/>
    <w:qFormat/>
    <w:pPr>
      <w:keepNext/>
      <w:pBdr>
        <w:top w:val="single" w:sz="4" w:space="1" w:color="auto"/>
        <w:left w:val="single" w:sz="4" w:space="4" w:color="auto"/>
        <w:bottom w:val="single" w:sz="4" w:space="1" w:color="auto"/>
        <w:right w:val="single" w:sz="4" w:space="4" w:color="auto"/>
      </w:pBdr>
      <w:tabs>
        <w:tab w:val="left" w:pos="0"/>
        <w:tab w:val="left" w:pos="144"/>
      </w:tabs>
      <w:outlineLvl w:val="3"/>
    </w:pPr>
    <w:rPr>
      <w:i/>
      <w:iCs/>
      <w:sz w:val="22"/>
    </w:rPr>
  </w:style>
  <w:style w:type="paragraph" w:styleId="Heading5">
    <w:name w:val="heading 5"/>
    <w:basedOn w:val="Normal"/>
    <w:next w:val="Normal"/>
    <w:qFormat/>
    <w:pPr>
      <w:keepNext/>
      <w:pBdr>
        <w:top w:val="single" w:sz="4" w:space="1" w:color="auto"/>
        <w:left w:val="single" w:sz="4" w:space="4" w:color="auto"/>
        <w:bottom w:val="single" w:sz="4" w:space="1" w:color="auto"/>
        <w:right w:val="single" w:sz="4" w:space="4" w:color="auto"/>
      </w:pBdr>
      <w:tabs>
        <w:tab w:val="left" w:pos="9360"/>
        <w:tab w:val="left" w:pos="9720"/>
        <w:tab w:val="left" w:pos="10890"/>
      </w:tabs>
      <w:ind w:right="270"/>
      <w:outlineLvl w:val="4"/>
    </w:pPr>
    <w:rPr>
      <w:b/>
      <w:sz w:val="22"/>
    </w:rPr>
  </w:style>
  <w:style w:type="paragraph" w:styleId="Heading6">
    <w:name w:val="heading 6"/>
    <w:basedOn w:val="Normal"/>
    <w:next w:val="Normal"/>
    <w:qFormat/>
    <w:pPr>
      <w:keepNext/>
      <w:tabs>
        <w:tab w:val="left" w:pos="0"/>
        <w:tab w:val="left" w:pos="144"/>
      </w:tabs>
      <w:outlineLvl w:val="5"/>
    </w:pPr>
    <w:rPr>
      <w:b/>
      <w:bCs/>
      <w:sz w:val="22"/>
    </w:rPr>
  </w:style>
  <w:style w:type="paragraph" w:styleId="Heading7">
    <w:name w:val="heading 7"/>
    <w:basedOn w:val="Normal"/>
    <w:next w:val="Normal"/>
    <w:qFormat/>
    <w:pPr>
      <w:keepNext/>
      <w:pBdr>
        <w:top w:val="single" w:sz="4" w:space="1" w:color="auto"/>
        <w:left w:val="single" w:sz="4" w:space="4" w:color="auto"/>
        <w:bottom w:val="single" w:sz="4" w:space="1" w:color="auto"/>
        <w:right w:val="single" w:sz="4" w:space="4" w:color="auto"/>
      </w:pBdr>
      <w:tabs>
        <w:tab w:val="left" w:pos="0"/>
        <w:tab w:val="left" w:pos="144"/>
      </w:tabs>
      <w:outlineLvl w:val="6"/>
    </w:pPr>
    <w:rPr>
      <w:b/>
      <w:bCs/>
    </w:rPr>
  </w:style>
  <w:style w:type="paragraph" w:styleId="Heading8">
    <w:name w:val="heading 8"/>
    <w:basedOn w:val="Normal"/>
    <w:next w:val="Normal"/>
    <w:qFormat/>
    <w:pPr>
      <w:keepNext/>
      <w:tabs>
        <w:tab w:val="left" w:pos="0"/>
        <w:tab w:val="left" w:pos="144"/>
      </w:tabs>
      <w:outlineLvl w:val="7"/>
    </w:pPr>
    <w:rPr>
      <w:i/>
      <w:iCs/>
      <w:sz w:val="22"/>
    </w:rPr>
  </w:style>
  <w:style w:type="paragraph" w:styleId="Heading9">
    <w:name w:val="heading 9"/>
    <w:basedOn w:val="Normal"/>
    <w:next w:val="Normal"/>
    <w:qFormat/>
    <w:pPr>
      <w:keepNext/>
      <w:pBdr>
        <w:top w:val="single" w:sz="4" w:space="1" w:color="auto"/>
        <w:left w:val="single" w:sz="4" w:space="4" w:color="auto"/>
        <w:bottom w:val="single" w:sz="4" w:space="1" w:color="auto"/>
        <w:right w:val="single" w:sz="4" w:space="4" w:color="auto"/>
      </w:pBdr>
      <w:outlineLvl w:val="8"/>
    </w:pPr>
    <w:rPr>
      <w:i/>
      <w:i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Pr>
      <w:sz w:val="24"/>
    </w:rPr>
  </w:style>
  <w:style w:type="paragraph" w:styleId="BodyText2">
    <w:name w:val="Body Text 2"/>
    <w:basedOn w:val="Normal"/>
    <w:semiHidden/>
    <w:rPr>
      <w:b/>
      <w:bCs/>
      <w:sz w:val="24"/>
    </w:rPr>
  </w:style>
  <w:style w:type="paragraph" w:styleId="BodyText3">
    <w:name w:val="Body Text 3"/>
    <w:basedOn w:val="Normal"/>
    <w:semiHidden/>
    <w:pPr>
      <w:overflowPunct/>
      <w:autoSpaceDE/>
      <w:autoSpaceDN/>
      <w:adjustRightInd/>
      <w:spacing w:before="500"/>
      <w:textAlignment w:val="auto"/>
    </w:pPr>
    <w:rPr>
      <w:rFonts w:ascii="Book Antiqua" w:hAnsi="Book Antiqua"/>
      <w:sz w:val="22"/>
    </w:rPr>
  </w:style>
  <w:style w:type="paragraph" w:styleId="BodyTextIndent">
    <w:name w:val="Body Text Indent"/>
    <w:basedOn w:val="Normal"/>
    <w:semiHidden/>
    <w:pPr>
      <w:tabs>
        <w:tab w:val="left" w:pos="-630"/>
        <w:tab w:val="left" w:pos="-540"/>
        <w:tab w:val="left" w:pos="-450"/>
      </w:tabs>
      <w:ind w:left="810"/>
    </w:pPr>
    <w:rPr>
      <w:sz w:val="22"/>
    </w:rPr>
  </w:style>
  <w:style w:type="character" w:styleId="Emphasis">
    <w:name w:val="Emphasis"/>
    <w:uiPriority w:val="20"/>
    <w:qFormat/>
    <w:rPr>
      <w:i/>
      <w:iCs/>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semiHidden/>
    <w:pPr>
      <w:tabs>
        <w:tab w:val="center" w:pos="4320"/>
        <w:tab w:val="right" w:pos="8640"/>
      </w:tabs>
    </w:pPr>
  </w:style>
  <w:style w:type="character" w:styleId="PageNumber">
    <w:name w:val="page number"/>
    <w:basedOn w:val="DefaultParagraphFont"/>
    <w:semiHidden/>
  </w:style>
  <w:style w:type="paragraph" w:styleId="BodyTextIndent2">
    <w:name w:val="Body Text Indent 2"/>
    <w:basedOn w:val="Normal"/>
    <w:semiHidden/>
    <w:pPr>
      <w:overflowPunct/>
      <w:ind w:left="720"/>
      <w:textAlignment w:val="auto"/>
    </w:pPr>
    <w:rPr>
      <w:sz w:val="24"/>
    </w:rPr>
  </w:style>
  <w:style w:type="paragraph" w:styleId="DocumentMap">
    <w:name w:val="Document Map"/>
    <w:basedOn w:val="Normal"/>
    <w:semiHidden/>
    <w:pPr>
      <w:shd w:val="clear" w:color="auto" w:fill="000080"/>
    </w:pPr>
    <w:rPr>
      <w:rFonts w:ascii="Tahoma" w:hAnsi="Tahoma" w:cs="Tahoma"/>
    </w:rPr>
  </w:style>
  <w:style w:type="paragraph" w:styleId="NormalWeb">
    <w:name w:val="Normal (Web)"/>
    <w:basedOn w:val="Normal"/>
    <w:uiPriority w:val="99"/>
    <w:pPr>
      <w:overflowPunct/>
      <w:autoSpaceDE/>
      <w:autoSpaceDN/>
      <w:adjustRightInd/>
      <w:spacing w:after="120"/>
      <w:textAlignment w:val="auto"/>
    </w:pPr>
    <w:rPr>
      <w:sz w:val="24"/>
      <w:szCs w:val="24"/>
    </w:rPr>
  </w:style>
  <w:style w:type="character" w:styleId="Hyperlink">
    <w:name w:val="Hyperlink"/>
    <w:uiPriority w:val="99"/>
    <w:rPr>
      <w:color w:val="0000FF"/>
      <w:u w:val="single"/>
    </w:rPr>
  </w:style>
  <w:style w:type="character" w:customStyle="1" w:styleId="referencecode1">
    <w:name w:val="referencecode1"/>
    <w:uiPriority w:val="99"/>
    <w:rPr>
      <w:b w:val="0"/>
      <w:bCs w:val="0"/>
      <w:sz w:val="24"/>
      <w:szCs w:val="24"/>
    </w:rPr>
  </w:style>
  <w:style w:type="character" w:styleId="FollowedHyperlink">
    <w:name w:val="FollowedHyperlink"/>
    <w:semiHidden/>
    <w:rPr>
      <w:color w:val="800080"/>
      <w:u w:val="single"/>
    </w:rPr>
  </w:style>
  <w:style w:type="character" w:styleId="Strong">
    <w:name w:val="Strong"/>
    <w:uiPriority w:val="22"/>
    <w:qFormat/>
    <w:rPr>
      <w:b/>
      <w:bCs/>
    </w:rPr>
  </w:style>
  <w:style w:type="paragraph" w:customStyle="1" w:styleId="eye">
    <w:name w:val="eye"/>
    <w:basedOn w:val="Normal"/>
    <w:pPr>
      <w:overflowPunct/>
      <w:autoSpaceDE/>
      <w:autoSpaceDN/>
      <w:adjustRightInd/>
      <w:spacing w:after="100" w:afterAutospacing="1"/>
      <w:textAlignment w:val="auto"/>
    </w:pPr>
    <w:rPr>
      <w:sz w:val="24"/>
      <w:szCs w:val="24"/>
    </w:rPr>
  </w:style>
  <w:style w:type="paragraph" w:customStyle="1" w:styleId="NormalWeb2">
    <w:name w:val="Normal (Web)2"/>
    <w:basedOn w:val="Normal"/>
    <w:pPr>
      <w:overflowPunct/>
      <w:autoSpaceDE/>
      <w:autoSpaceDN/>
      <w:adjustRightInd/>
      <w:textAlignment w:val="auto"/>
    </w:pPr>
    <w:rPr>
      <w:rFonts w:ascii="Arial Unicode MS" w:eastAsia="Arial Unicode MS"/>
      <w:sz w:val="24"/>
      <w:szCs w:val="24"/>
    </w:rPr>
  </w:style>
  <w:style w:type="paragraph" w:styleId="BodyTextIndent3">
    <w:name w:val="Body Text Indent 3"/>
    <w:basedOn w:val="Normal"/>
    <w:semiHidden/>
    <w:pPr>
      <w:pBdr>
        <w:top w:val="single" w:sz="4" w:space="1" w:color="auto"/>
        <w:left w:val="single" w:sz="4" w:space="4" w:color="auto"/>
        <w:bottom w:val="single" w:sz="4" w:space="1" w:color="auto"/>
        <w:right w:val="single" w:sz="4" w:space="4" w:color="auto"/>
      </w:pBdr>
      <w:ind w:left="1440" w:hanging="1440"/>
    </w:pPr>
  </w:style>
  <w:style w:type="paragraph" w:customStyle="1" w:styleId="RFWHead">
    <w:name w:val="RFWHead"/>
    <w:basedOn w:val="Normal"/>
    <w:pPr>
      <w:widowControl w:val="0"/>
      <w:spacing w:before="360" w:after="120"/>
    </w:pPr>
    <w:rPr>
      <w:b/>
      <w:bCs/>
      <w:sz w:val="28"/>
      <w:szCs w:val="28"/>
    </w:rPr>
  </w:style>
  <w:style w:type="paragraph" w:customStyle="1" w:styleId="RFWpara">
    <w:name w:val="RFWpara"/>
    <w:basedOn w:val="Normal"/>
    <w:pPr>
      <w:widowControl w:val="0"/>
      <w:ind w:left="288"/>
    </w:pPr>
    <w:rPr>
      <w:sz w:val="24"/>
      <w:szCs w:val="24"/>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paragraph" w:customStyle="1" w:styleId="BulletText1">
    <w:name w:val="Bullet Text 1"/>
    <w:basedOn w:val="Normal"/>
    <w:qFormat/>
    <w:pPr>
      <w:tabs>
        <w:tab w:val="left" w:pos="187"/>
        <w:tab w:val="left" w:pos="360"/>
      </w:tabs>
      <w:ind w:left="187" w:hanging="187"/>
    </w:pPr>
    <w:rPr>
      <w:sz w:val="24"/>
    </w:rPr>
  </w:style>
  <w:style w:type="paragraph" w:styleId="Title">
    <w:name w:val="Title"/>
    <w:basedOn w:val="Normal"/>
    <w:link w:val="TitleChar"/>
    <w:qFormat/>
    <w:pPr>
      <w:overflowPunct/>
      <w:jc w:val="center"/>
      <w:textAlignment w:val="auto"/>
    </w:pPr>
    <w:rPr>
      <w:b/>
      <w:bCs/>
      <w:color w:val="000000"/>
      <w:sz w:val="24"/>
      <w:szCs w:val="24"/>
      <w:u w:val="single"/>
    </w:rPr>
  </w:style>
  <w:style w:type="character" w:styleId="FootnoteReference">
    <w:name w:val="footnote reference"/>
    <w:semiHidden/>
    <w:rPr>
      <w:rFonts w:ascii="Times New Roman" w:hAnsi="Times New Roman" w:cs="Times New Roman"/>
      <w:vertAlign w:val="superscript"/>
    </w:rPr>
  </w:style>
  <w:style w:type="paragraph" w:customStyle="1" w:styleId="H3">
    <w:name w:val="H3"/>
    <w:basedOn w:val="Normal"/>
    <w:next w:val="Normal"/>
    <w:pPr>
      <w:keepNext/>
      <w:overflowPunct/>
      <w:spacing w:before="100" w:after="100"/>
      <w:textAlignment w:val="auto"/>
      <w:outlineLvl w:val="3"/>
    </w:pPr>
    <w:rPr>
      <w:b/>
      <w:bCs/>
      <w:sz w:val="28"/>
      <w:szCs w:val="28"/>
    </w:rPr>
  </w:style>
  <w:style w:type="character" w:customStyle="1" w:styleId="documentbody1">
    <w:name w:val="documentbody1"/>
    <w:rPr>
      <w:rFonts w:ascii="Verdana" w:hAnsi="Verdana" w:hint="default"/>
      <w:sz w:val="19"/>
      <w:szCs w:val="19"/>
    </w:rPr>
  </w:style>
  <w:style w:type="paragraph" w:customStyle="1" w:styleId="H4">
    <w:name w:val="H4"/>
    <w:basedOn w:val="Normal"/>
    <w:next w:val="Normal"/>
    <w:pPr>
      <w:keepNext/>
      <w:overflowPunct/>
      <w:spacing w:before="100" w:after="100"/>
      <w:textAlignment w:val="auto"/>
      <w:outlineLvl w:val="4"/>
    </w:pPr>
    <w:rPr>
      <w:b/>
      <w:bCs/>
      <w:sz w:val="24"/>
      <w:szCs w:val="24"/>
    </w:rPr>
  </w:style>
  <w:style w:type="character" w:customStyle="1" w:styleId="summary-keypoint1">
    <w:name w:val="summary-keypoint1"/>
    <w:rPr>
      <w:b/>
      <w:bCs/>
      <w:color w:val="000000"/>
      <w:sz w:val="30"/>
      <w:szCs w:val="30"/>
    </w:rPr>
  </w:style>
  <w:style w:type="paragraph" w:styleId="Caption">
    <w:name w:val="caption"/>
    <w:basedOn w:val="Normal"/>
    <w:next w:val="Normal"/>
    <w:qFormat/>
    <w:pPr>
      <w:tabs>
        <w:tab w:val="left" w:pos="0"/>
        <w:tab w:val="left" w:pos="144"/>
      </w:tabs>
    </w:pPr>
    <w:rPr>
      <w:b/>
      <w:bCs/>
      <w:i/>
      <w:iCs/>
      <w:sz w:val="22"/>
    </w:rPr>
  </w:style>
  <w:style w:type="paragraph" w:styleId="Subtitle">
    <w:name w:val="Subtitle"/>
    <w:basedOn w:val="Normal"/>
    <w:qFormat/>
    <w:rPr>
      <w:sz w:val="24"/>
    </w:rPr>
  </w:style>
  <w:style w:type="paragraph" w:customStyle="1" w:styleId="ratechrt">
    <w:name w:val="ratechrt"/>
    <w:basedOn w:val="Normal"/>
    <w:pPr>
      <w:jc w:val="center"/>
    </w:pPr>
    <w:rPr>
      <w:sz w:val="16"/>
    </w:rPr>
  </w:style>
  <w:style w:type="paragraph" w:customStyle="1" w:styleId="BulletText2">
    <w:name w:val="Bullet Text 2"/>
    <w:basedOn w:val="Normal"/>
    <w:autoRedefine/>
    <w:uiPriority w:val="99"/>
    <w:rsid w:val="00AF7F53"/>
    <w:pPr>
      <w:numPr>
        <w:numId w:val="204"/>
      </w:numPr>
      <w:tabs>
        <w:tab w:val="left" w:pos="10260"/>
      </w:tabs>
      <w:overflowPunct/>
      <w:autoSpaceDE/>
      <w:autoSpaceDN/>
      <w:adjustRightInd/>
      <w:textAlignment w:val="auto"/>
    </w:pPr>
    <w:rPr>
      <w:bCs/>
      <w:i/>
    </w:rPr>
  </w:style>
  <w:style w:type="character" w:customStyle="1" w:styleId="groupheading5">
    <w:name w:val="groupheading5"/>
    <w:rPr>
      <w:rFonts w:ascii="Verdana" w:hAnsi="Verdana" w:hint="default"/>
      <w:b/>
      <w:bCs/>
      <w:sz w:val="19"/>
      <w:szCs w:val="19"/>
    </w:rPr>
  </w:style>
  <w:style w:type="character" w:customStyle="1" w:styleId="informationalsmall3">
    <w:name w:val="informationalsmall3"/>
    <w:rPr>
      <w:rFonts w:ascii="Verdana" w:hAnsi="Verdana" w:hint="default"/>
      <w:sz w:val="14"/>
      <w:szCs w:val="14"/>
    </w:rPr>
  </w:style>
  <w:style w:type="paragraph" w:customStyle="1" w:styleId="BodyText3-Contemporary">
    <w:name w:val="Body Text 3 - Contemporary"/>
    <w:basedOn w:val="Normal"/>
    <w:pPr>
      <w:suppressAutoHyphens/>
      <w:overflowPunct/>
      <w:autoSpaceDE/>
      <w:autoSpaceDN/>
      <w:adjustRightInd/>
      <w:spacing w:line="200" w:lineRule="exact"/>
      <w:textAlignment w:val="auto"/>
    </w:pPr>
    <w:rPr>
      <w:sz w:val="24"/>
    </w:rPr>
  </w:style>
  <w:style w:type="paragraph" w:customStyle="1" w:styleId="p1">
    <w:name w:val="p1"/>
    <w:basedOn w:val="Normal"/>
    <w:pPr>
      <w:overflowPunct/>
      <w:autoSpaceDE/>
      <w:autoSpaceDN/>
      <w:adjustRightInd/>
      <w:spacing w:after="53"/>
      <w:textAlignment w:val="auto"/>
    </w:pPr>
    <w:rPr>
      <w:rFonts w:ascii="Arial Unicode MS" w:eastAsia="Arial Unicode MS" w:hAnsi="Arial Unicode MS" w:cs="Arial Unicode MS"/>
      <w:sz w:val="24"/>
      <w:szCs w:val="24"/>
    </w:rPr>
  </w:style>
  <w:style w:type="paragraph" w:styleId="CommentText">
    <w:name w:val="annotation text"/>
    <w:basedOn w:val="Normal"/>
    <w:link w:val="CommentTextChar"/>
    <w:uiPriority w:val="99"/>
    <w:pPr>
      <w:overflowPunct/>
      <w:autoSpaceDE/>
      <w:autoSpaceDN/>
      <w:adjustRightInd/>
      <w:textAlignment w:val="auto"/>
    </w:pPr>
  </w:style>
  <w:style w:type="paragraph" w:customStyle="1" w:styleId="Body">
    <w:name w:val="Body"/>
    <w:pPr>
      <w:suppressAutoHyphens/>
    </w:pPr>
    <w:rPr>
      <w:rFonts w:eastAsia="Arial"/>
      <w:color w:val="000000"/>
      <w:kern w:val="1"/>
      <w:sz w:val="24"/>
      <w:szCs w:val="24"/>
      <w:lang w:eastAsia="ar-SA"/>
    </w:rPr>
  </w:style>
  <w:style w:type="paragraph" w:customStyle="1" w:styleId="VBABulletCheckmarkList">
    <w:name w:val="VBA Bullet Checkmark List"/>
    <w:basedOn w:val="BodyText"/>
    <w:pPr>
      <w:numPr>
        <w:numId w:val="102"/>
      </w:numPr>
      <w:overflowPunct/>
      <w:autoSpaceDE/>
      <w:autoSpaceDN/>
      <w:adjustRightInd/>
      <w:spacing w:before="120" w:after="60"/>
      <w:textAlignment w:val="auto"/>
    </w:pPr>
    <w:rPr>
      <w:szCs w:val="24"/>
    </w:rPr>
  </w:style>
  <w:style w:type="paragraph" w:customStyle="1" w:styleId="VBABulletLevel1">
    <w:name w:val="VBA Bullet Level 1"/>
    <w:basedOn w:val="Normal"/>
    <w:qFormat/>
    <w:pPr>
      <w:numPr>
        <w:numId w:val="101"/>
      </w:numPr>
    </w:pPr>
    <w:rPr>
      <w:sz w:val="24"/>
    </w:rPr>
  </w:style>
  <w:style w:type="paragraph" w:styleId="TableofFigures">
    <w:name w:val="table of figures"/>
    <w:basedOn w:val="Normal"/>
    <w:next w:val="Normal"/>
    <w:semiHidden/>
    <w:pPr>
      <w:overflowPunct/>
      <w:autoSpaceDE/>
      <w:autoSpaceDN/>
      <w:adjustRightInd/>
      <w:textAlignment w:val="auto"/>
    </w:pPr>
    <w:rPr>
      <w:rFonts w:ascii="Calibri" w:hAnsi="Calibri"/>
      <w:smallCaps/>
    </w:rPr>
  </w:style>
  <w:style w:type="paragraph" w:customStyle="1" w:styleId="VBABodyText">
    <w:name w:val="VBA Body Text"/>
    <w:basedOn w:val="Normal"/>
    <w:qFormat/>
    <w:pPr>
      <w:spacing w:before="120" w:after="240"/>
    </w:pPr>
    <w:rPr>
      <w:color w:val="000000"/>
      <w:sz w:val="24"/>
      <w:szCs w:val="24"/>
    </w:rPr>
  </w:style>
  <w:style w:type="paragraph" w:styleId="FootnoteText">
    <w:name w:val="footnote text"/>
    <w:basedOn w:val="Normal"/>
    <w:semiHidden/>
    <w:pPr>
      <w:overflowPunct/>
      <w:autoSpaceDE/>
      <w:autoSpaceDN/>
      <w:adjustRightInd/>
      <w:textAlignment w:val="auto"/>
    </w:pPr>
    <w:rPr>
      <w:rFonts w:ascii="Calibri" w:hAnsi="Calibri"/>
    </w:rPr>
  </w:style>
  <w:style w:type="paragraph" w:customStyle="1" w:styleId="VBAbodytext0">
    <w:name w:val="VBA body text"/>
    <w:basedOn w:val="Normal"/>
    <w:pPr>
      <w:spacing w:before="120" w:after="240"/>
    </w:pPr>
    <w:rPr>
      <w:sz w:val="24"/>
      <w:szCs w:val="24"/>
    </w:rPr>
  </w:style>
  <w:style w:type="paragraph" w:styleId="BalloonText">
    <w:name w:val="Balloon Text"/>
    <w:basedOn w:val="Normal"/>
    <w:rPr>
      <w:rFonts w:ascii="Tahoma" w:hAnsi="Tahoma" w:cs="Tahoma"/>
      <w:sz w:val="16"/>
      <w:szCs w:val="16"/>
    </w:rPr>
  </w:style>
  <w:style w:type="paragraph" w:customStyle="1" w:styleId="VBALessonTitle">
    <w:name w:val="VBA Lesson Title"/>
    <w:basedOn w:val="Normal"/>
    <w:pPr>
      <w:pBdr>
        <w:top w:val="double" w:sz="6" w:space="6" w:color="auto"/>
        <w:left w:val="double" w:sz="6" w:space="6" w:color="auto"/>
        <w:bottom w:val="double" w:sz="6" w:space="6" w:color="auto"/>
        <w:right w:val="double" w:sz="6" w:space="6" w:color="auto"/>
      </w:pBdr>
      <w:jc w:val="center"/>
    </w:pPr>
    <w:rPr>
      <w:b/>
      <w:bCs/>
      <w:caps/>
      <w:sz w:val="32"/>
      <w:szCs w:val="32"/>
    </w:rPr>
  </w:style>
  <w:style w:type="paragraph" w:styleId="BlockText">
    <w:name w:val="Block Text"/>
    <w:basedOn w:val="Normal"/>
    <w:qFormat/>
    <w:pPr>
      <w:spacing w:after="120"/>
      <w:ind w:left="720" w:right="720"/>
    </w:pPr>
  </w:style>
  <w:style w:type="paragraph" w:customStyle="1" w:styleId="BylineCompany-Professional">
    <w:name w:val="Byline Company - Professional"/>
    <w:basedOn w:val="Normal"/>
    <w:pPr>
      <w:overflowPunct/>
      <w:autoSpaceDE/>
      <w:autoSpaceDN/>
      <w:adjustRightInd/>
      <w:spacing w:after="120"/>
      <w:textAlignment w:val="auto"/>
    </w:pPr>
    <w:rPr>
      <w:sz w:val="16"/>
    </w:rPr>
  </w:style>
  <w:style w:type="paragraph" w:customStyle="1" w:styleId="Default">
    <w:name w:val="Default"/>
    <w:pPr>
      <w:autoSpaceDE w:val="0"/>
      <w:autoSpaceDN w:val="0"/>
      <w:adjustRightInd w:val="0"/>
    </w:pPr>
    <w:rPr>
      <w:color w:val="000000"/>
      <w:sz w:val="24"/>
      <w:szCs w:val="24"/>
    </w:rPr>
  </w:style>
  <w:style w:type="paragraph" w:customStyle="1" w:styleId="msonospacing0">
    <w:name w:val="msonospacing"/>
    <w:basedOn w:val="Normal"/>
    <w:pPr>
      <w:overflowPunct/>
      <w:autoSpaceDE/>
      <w:autoSpaceDN/>
      <w:adjustRightInd/>
      <w:textAlignment w:val="auto"/>
    </w:pPr>
    <w:rPr>
      <w:rFonts w:ascii="Calibri" w:eastAsia="Arial Unicode MS" w:hAnsi="Calibri" w:cs="Arial Unicode MS"/>
      <w:sz w:val="22"/>
      <w:szCs w:val="22"/>
    </w:rPr>
  </w:style>
  <w:style w:type="paragraph" w:styleId="ListParagraph">
    <w:name w:val="List Paragraph"/>
    <w:aliases w:val="Issue Action POC,List Paragraph1,3,POCG Table Text,Dot pt,F5 List Paragraph,List Paragraph Char Char Char,Indicator Text,Colorful List - Accent 11,Numbered Para 1,Bullet Points,List Paragraph2,MAIN CONTENT,Normal numbered"/>
    <w:basedOn w:val="Normal"/>
    <w:link w:val="ListParagraphChar"/>
    <w:uiPriority w:val="34"/>
    <w:qFormat/>
    <w:pPr>
      <w:overflowPunct/>
      <w:autoSpaceDE/>
      <w:autoSpaceDN/>
      <w:adjustRightInd/>
      <w:spacing w:after="200" w:line="276" w:lineRule="auto"/>
      <w:ind w:left="720"/>
      <w:textAlignment w:val="auto"/>
    </w:pPr>
    <w:rPr>
      <w:rFonts w:ascii="Calibri" w:hAnsi="Calibri"/>
      <w:sz w:val="22"/>
      <w:szCs w:val="22"/>
    </w:rPr>
  </w:style>
  <w:style w:type="character" w:customStyle="1" w:styleId="FooterChar">
    <w:name w:val="Footer Char"/>
    <w:link w:val="Footer"/>
    <w:semiHidden/>
    <w:rsid w:val="00224E7B"/>
  </w:style>
  <w:style w:type="character" w:customStyle="1" w:styleId="HeaderChar">
    <w:name w:val="Header Char"/>
    <w:link w:val="Header"/>
    <w:uiPriority w:val="99"/>
    <w:rsid w:val="007B7591"/>
  </w:style>
  <w:style w:type="character" w:customStyle="1" w:styleId="id-mask1">
    <w:name w:val="id-mask1"/>
    <w:rsid w:val="00AB0651"/>
    <w:rPr>
      <w:rFonts w:cs="Times New Roman"/>
      <w:color w:val="4C4C4C"/>
    </w:rPr>
  </w:style>
  <w:style w:type="paragraph" w:styleId="NoSpacing">
    <w:name w:val="No Spacing"/>
    <w:link w:val="NoSpacingChar"/>
    <w:uiPriority w:val="1"/>
    <w:qFormat/>
    <w:rsid w:val="00C346B9"/>
    <w:rPr>
      <w:rFonts w:ascii="Calibri" w:hAnsi="Calibri"/>
      <w:sz w:val="24"/>
      <w:szCs w:val="24"/>
    </w:rPr>
  </w:style>
  <w:style w:type="character" w:customStyle="1" w:styleId="TitleChar">
    <w:name w:val="Title Char"/>
    <w:link w:val="Title"/>
    <w:rsid w:val="000A1B03"/>
    <w:rPr>
      <w:rFonts w:ascii="Arial" w:hAnsi="Arial" w:cs="Arial"/>
      <w:b/>
      <w:bCs/>
      <w:color w:val="000000"/>
      <w:sz w:val="24"/>
      <w:szCs w:val="24"/>
      <w:u w:val="single"/>
    </w:rPr>
  </w:style>
  <w:style w:type="paragraph" w:customStyle="1" w:styleId="NormalWeb1">
    <w:name w:val="Normal (Web)1"/>
    <w:basedOn w:val="Normal"/>
    <w:rsid w:val="00DB55F7"/>
    <w:pPr>
      <w:overflowPunct/>
      <w:autoSpaceDE/>
      <w:autoSpaceDN/>
      <w:adjustRightInd/>
      <w:textAlignment w:val="auto"/>
    </w:pPr>
    <w:rPr>
      <w:sz w:val="24"/>
      <w:szCs w:val="24"/>
    </w:rPr>
  </w:style>
  <w:style w:type="character" w:customStyle="1" w:styleId="veteranheadersmall">
    <w:name w:val="veteranheadersmall"/>
    <w:basedOn w:val="DefaultParagraphFont"/>
    <w:rsid w:val="00CC685E"/>
  </w:style>
  <w:style w:type="paragraph" w:customStyle="1" w:styleId="norm12">
    <w:name w:val="norm12"/>
    <w:basedOn w:val="Normal"/>
    <w:rsid w:val="002F3AE3"/>
    <w:pPr>
      <w:adjustRightInd/>
      <w:textAlignment w:val="auto"/>
    </w:pPr>
    <w:rPr>
      <w:rFonts w:ascii="Times New Roman" w:eastAsiaTheme="minorHAnsi" w:hAnsi="Times New Roman" w:cs="Times New Roman"/>
      <w:sz w:val="24"/>
      <w:szCs w:val="24"/>
    </w:rPr>
  </w:style>
  <w:style w:type="character" w:customStyle="1" w:styleId="Heading1Char">
    <w:name w:val="Heading 1 Char"/>
    <w:basedOn w:val="DefaultParagraphFont"/>
    <w:link w:val="Heading1"/>
    <w:rsid w:val="00BD75A8"/>
    <w:rPr>
      <w:i/>
      <w:iCs/>
      <w:sz w:val="24"/>
    </w:rPr>
  </w:style>
  <w:style w:type="character" w:customStyle="1" w:styleId="Heading2Char">
    <w:name w:val="Heading 2 Char"/>
    <w:basedOn w:val="DefaultParagraphFont"/>
    <w:link w:val="Heading2"/>
    <w:rsid w:val="00BD75A8"/>
    <w:rPr>
      <w:b/>
      <w:bCs/>
      <w:sz w:val="24"/>
    </w:rPr>
  </w:style>
  <w:style w:type="character" w:customStyle="1" w:styleId="Heading3Char">
    <w:name w:val="Heading 3 Char"/>
    <w:basedOn w:val="DefaultParagraphFont"/>
    <w:link w:val="Heading3"/>
    <w:rsid w:val="00BD75A8"/>
    <w:rPr>
      <w:b/>
      <w:bCs/>
      <w:sz w:val="22"/>
    </w:rPr>
  </w:style>
  <w:style w:type="character" w:customStyle="1" w:styleId="Heading4Char">
    <w:name w:val="Heading 4 Char"/>
    <w:basedOn w:val="DefaultParagraphFont"/>
    <w:link w:val="Heading4"/>
    <w:rsid w:val="00BD75A8"/>
    <w:rPr>
      <w:i/>
      <w:iCs/>
      <w:sz w:val="22"/>
    </w:rPr>
  </w:style>
  <w:style w:type="character" w:customStyle="1" w:styleId="BodyTextChar">
    <w:name w:val="Body Text Char"/>
    <w:basedOn w:val="DefaultParagraphFont"/>
    <w:link w:val="BodyText"/>
    <w:semiHidden/>
    <w:rsid w:val="00BD75A8"/>
    <w:rPr>
      <w:sz w:val="24"/>
    </w:rPr>
  </w:style>
  <w:style w:type="paragraph" w:customStyle="1" w:styleId="MAPDListBullet">
    <w:name w:val="MAPD List Bullet"/>
    <w:uiPriority w:val="99"/>
    <w:semiHidden/>
    <w:rsid w:val="00856815"/>
    <w:pPr>
      <w:numPr>
        <w:numId w:val="188"/>
      </w:numPr>
    </w:pPr>
    <w:rPr>
      <w:rFonts w:ascii="Times New Roman" w:hAnsi="Times New Roman" w:cs="Times New Roman"/>
      <w:sz w:val="24"/>
      <w:szCs w:val="24"/>
    </w:rPr>
  </w:style>
  <w:style w:type="character" w:customStyle="1" w:styleId="id-mask">
    <w:name w:val="id-mask"/>
    <w:basedOn w:val="DefaultParagraphFont"/>
    <w:rsid w:val="00814295"/>
  </w:style>
  <w:style w:type="character" w:customStyle="1" w:styleId="NoSpacingChar">
    <w:name w:val="No Spacing Char"/>
    <w:basedOn w:val="DefaultParagraphFont"/>
    <w:link w:val="NoSpacing"/>
    <w:uiPriority w:val="1"/>
    <w:locked/>
    <w:rsid w:val="009D64B2"/>
    <w:rPr>
      <w:rFonts w:ascii="Calibri" w:hAnsi="Calibri"/>
      <w:sz w:val="24"/>
      <w:szCs w:val="24"/>
    </w:rPr>
  </w:style>
  <w:style w:type="paragraph" w:styleId="PlainText">
    <w:name w:val="Plain Text"/>
    <w:basedOn w:val="Normal"/>
    <w:link w:val="PlainTextChar"/>
    <w:uiPriority w:val="99"/>
    <w:unhideWhenUsed/>
    <w:rsid w:val="00736386"/>
    <w:pPr>
      <w:overflowPunct/>
      <w:autoSpaceDE/>
      <w:autoSpaceDN/>
      <w:adjustRightInd/>
      <w:textAlignment w:val="auto"/>
    </w:pPr>
    <w:rPr>
      <w:rFonts w:ascii="Calibri" w:hAnsi="Calibri" w:cstheme="minorBidi"/>
      <w:sz w:val="22"/>
      <w:szCs w:val="21"/>
    </w:rPr>
  </w:style>
  <w:style w:type="character" w:customStyle="1" w:styleId="PlainTextChar">
    <w:name w:val="Plain Text Char"/>
    <w:basedOn w:val="DefaultParagraphFont"/>
    <w:link w:val="PlainText"/>
    <w:uiPriority w:val="99"/>
    <w:rsid w:val="00736386"/>
    <w:rPr>
      <w:rFonts w:ascii="Calibri" w:hAnsi="Calibri" w:cstheme="minorBidi"/>
      <w:sz w:val="22"/>
      <w:szCs w:val="21"/>
    </w:rPr>
  </w:style>
  <w:style w:type="paragraph" w:customStyle="1" w:styleId="TableText">
    <w:name w:val="Table Text"/>
    <w:basedOn w:val="Normal"/>
    <w:qFormat/>
    <w:rsid w:val="005F026F"/>
    <w:pPr>
      <w:tabs>
        <w:tab w:val="left" w:pos="0"/>
      </w:tabs>
      <w:overflowPunct/>
      <w:autoSpaceDE/>
      <w:autoSpaceDN/>
      <w:adjustRightInd/>
      <w:textAlignment w:val="auto"/>
    </w:pPr>
    <w:rPr>
      <w:rFonts w:ascii="Times New Roman" w:hAnsi="Times New Roman" w:cs="Times New Roman"/>
      <w:color w:val="000000"/>
      <w:sz w:val="24"/>
    </w:rPr>
  </w:style>
  <w:style w:type="paragraph" w:customStyle="1" w:styleId="TableHeaderText">
    <w:name w:val="Table Header Text"/>
    <w:basedOn w:val="Normal"/>
    <w:rsid w:val="005F026F"/>
    <w:pPr>
      <w:tabs>
        <w:tab w:val="left" w:pos="0"/>
      </w:tabs>
      <w:overflowPunct/>
      <w:autoSpaceDE/>
      <w:autoSpaceDN/>
      <w:adjustRightInd/>
      <w:jc w:val="center"/>
      <w:textAlignment w:val="auto"/>
    </w:pPr>
    <w:rPr>
      <w:rFonts w:ascii="Times New Roman" w:hAnsi="Times New Roman" w:cs="Times New Roman"/>
      <w:b/>
      <w:color w:val="000000"/>
      <w:sz w:val="24"/>
    </w:rPr>
  </w:style>
  <w:style w:type="paragraph" w:customStyle="1" w:styleId="NoteText">
    <w:name w:val="Note Text"/>
    <w:basedOn w:val="Normal"/>
    <w:rsid w:val="005F026F"/>
    <w:pPr>
      <w:tabs>
        <w:tab w:val="left" w:pos="0"/>
      </w:tabs>
      <w:overflowPunct/>
      <w:autoSpaceDE/>
      <w:autoSpaceDN/>
      <w:adjustRightInd/>
      <w:textAlignment w:val="auto"/>
    </w:pPr>
    <w:rPr>
      <w:rFonts w:ascii="Times New Roman" w:hAnsi="Times New Roman" w:cs="Times New Roman"/>
      <w:color w:val="000000"/>
      <w:sz w:val="24"/>
    </w:rPr>
  </w:style>
  <w:style w:type="paragraph" w:customStyle="1" w:styleId="R-Normal">
    <w:name w:val="R-Normal"/>
    <w:basedOn w:val="Normal"/>
    <w:rsid w:val="00130972"/>
    <w:pPr>
      <w:adjustRightInd/>
      <w:ind w:left="4680"/>
      <w:textAlignment w:val="auto"/>
    </w:pPr>
    <w:rPr>
      <w:rFonts w:ascii="Times New Roman" w:eastAsiaTheme="minorHAnsi" w:hAnsi="Times New Roman" w:cs="Times New Roman"/>
      <w:sz w:val="24"/>
      <w:szCs w:val="24"/>
    </w:rPr>
  </w:style>
  <w:style w:type="numbering" w:customStyle="1" w:styleId="NoList1">
    <w:name w:val="No List1"/>
    <w:next w:val="NoList"/>
    <w:uiPriority w:val="99"/>
    <w:semiHidden/>
    <w:unhideWhenUsed/>
    <w:rsid w:val="006F59FE"/>
  </w:style>
  <w:style w:type="character" w:customStyle="1" w:styleId="apple-converted-space">
    <w:name w:val="apple-converted-space"/>
    <w:basedOn w:val="DefaultParagraphFont"/>
    <w:rsid w:val="006F59FE"/>
  </w:style>
  <w:style w:type="paragraph" w:styleId="ListBullet">
    <w:name w:val="List Bullet"/>
    <w:basedOn w:val="Normal"/>
    <w:uiPriority w:val="99"/>
    <w:unhideWhenUsed/>
    <w:rsid w:val="00736FC4"/>
    <w:pPr>
      <w:numPr>
        <w:numId w:val="207"/>
      </w:numPr>
      <w:contextualSpacing/>
    </w:pPr>
  </w:style>
  <w:style w:type="character" w:customStyle="1" w:styleId="itemtitle">
    <w:name w:val="itemtitle"/>
    <w:basedOn w:val="DefaultParagraphFont"/>
    <w:rsid w:val="00784B24"/>
  </w:style>
  <w:style w:type="table" w:styleId="LightShading">
    <w:name w:val="Light Shading"/>
    <w:basedOn w:val="TableNormal"/>
    <w:uiPriority w:val="60"/>
    <w:rsid w:val="0089143E"/>
    <w:rPr>
      <w:rFonts w:asciiTheme="minorHAnsi" w:eastAsia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qlabel4">
    <w:name w:val="qlabel4"/>
    <w:basedOn w:val="DefaultParagraphFont"/>
    <w:rsid w:val="004F2C53"/>
  </w:style>
  <w:style w:type="paragraph" w:customStyle="1" w:styleId="TOCNumber">
    <w:name w:val="TOC Number"/>
    <w:basedOn w:val="Normal"/>
    <w:link w:val="TOCNumberChar"/>
    <w:rsid w:val="00B32B0D"/>
    <w:pPr>
      <w:overflowPunct/>
      <w:autoSpaceDE/>
      <w:autoSpaceDN/>
      <w:adjustRightInd/>
      <w:spacing w:before="60"/>
      <w:textAlignment w:val="auto"/>
    </w:pPr>
    <w:rPr>
      <w:rFonts w:ascii="Century Gothic" w:hAnsi="Century Gothic" w:cs="Times New Roman"/>
      <w:b/>
      <w:color w:val="000000"/>
      <w:sz w:val="18"/>
      <w:szCs w:val="24"/>
    </w:rPr>
  </w:style>
  <w:style w:type="character" w:customStyle="1" w:styleId="TOCNumberChar">
    <w:name w:val="TOC Number Char"/>
    <w:basedOn w:val="DefaultParagraphFont"/>
    <w:link w:val="TOCNumber"/>
    <w:rsid w:val="00B32B0D"/>
    <w:rPr>
      <w:rFonts w:ascii="Century Gothic" w:hAnsi="Century Gothic" w:cs="Times New Roman"/>
      <w:b/>
      <w:color w:val="000000"/>
      <w:sz w:val="18"/>
      <w:szCs w:val="24"/>
    </w:rPr>
  </w:style>
  <w:style w:type="paragraph" w:customStyle="1" w:styleId="VBAFirstLevelBullet">
    <w:name w:val="VBA First Level Bullet"/>
    <w:basedOn w:val="Normal"/>
    <w:qFormat/>
    <w:rsid w:val="00B01D79"/>
    <w:rPr>
      <w:rFonts w:ascii="Times New Roman" w:hAnsi="Times New Roman" w:cs="Times New Roman"/>
      <w:sz w:val="24"/>
      <w:lang w:val="x-none" w:eastAsia="x-none"/>
    </w:rPr>
  </w:style>
  <w:style w:type="table" w:styleId="TableGrid">
    <w:name w:val="Table Grid"/>
    <w:basedOn w:val="TableNormal"/>
    <w:uiPriority w:val="59"/>
    <w:rsid w:val="00D158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crollhere">
    <w:name w:val="scrollhere"/>
    <w:basedOn w:val="DefaultParagraphFont"/>
    <w:rsid w:val="00F2233D"/>
  </w:style>
  <w:style w:type="character" w:customStyle="1" w:styleId="imsender1">
    <w:name w:val="im_sender1"/>
    <w:rsid w:val="004B1D68"/>
    <w:rPr>
      <w:rFonts w:ascii="Segoe UI" w:hAnsi="Segoe UI" w:cs="Segoe UI" w:hint="default"/>
      <w:b/>
      <w:bCs/>
      <w:i w:val="0"/>
      <w:iCs w:val="0"/>
      <w:caps w:val="0"/>
      <w:smallCaps w:val="0"/>
      <w:strike w:val="0"/>
      <w:dstrike w:val="0"/>
      <w:color w:val="666666"/>
      <w:sz w:val="17"/>
      <w:szCs w:val="17"/>
      <w:u w:val="none"/>
      <w:effect w:val="none"/>
    </w:rPr>
  </w:style>
  <w:style w:type="character" w:customStyle="1" w:styleId="CommentTextChar">
    <w:name w:val="Comment Text Char"/>
    <w:basedOn w:val="DefaultParagraphFont"/>
    <w:link w:val="CommentText"/>
    <w:uiPriority w:val="99"/>
    <w:rsid w:val="00A421FC"/>
  </w:style>
  <w:style w:type="paragraph" w:customStyle="1" w:styleId="VBASubHeading1">
    <w:name w:val="VBA Sub Heading 1"/>
    <w:basedOn w:val="Normal"/>
    <w:qFormat/>
    <w:rsid w:val="00253858"/>
    <w:pPr>
      <w:spacing w:before="120"/>
      <w:textAlignment w:val="auto"/>
    </w:pPr>
    <w:rPr>
      <w:rFonts w:ascii="Times New Roman" w:hAnsi="Times New Roman" w:cs="Times New Roman"/>
      <w:i/>
      <w:sz w:val="24"/>
    </w:rPr>
  </w:style>
  <w:style w:type="paragraph" w:customStyle="1" w:styleId="VBALevel2Heading">
    <w:name w:val="VBA Level 2 Heading"/>
    <w:basedOn w:val="Normal"/>
    <w:qFormat/>
    <w:rsid w:val="001414C2"/>
    <w:pPr>
      <w:spacing w:before="120"/>
    </w:pPr>
    <w:rPr>
      <w:rFonts w:ascii="Times New Roman" w:hAnsi="Times New Roman" w:cs="Times New Roman"/>
      <w:b/>
      <w:color w:val="0070C0"/>
      <w:sz w:val="24"/>
    </w:rPr>
  </w:style>
  <w:style w:type="paragraph" w:styleId="CommentSubject">
    <w:name w:val="annotation subject"/>
    <w:basedOn w:val="CommentText"/>
    <w:next w:val="CommentText"/>
    <w:link w:val="CommentSubjectChar"/>
    <w:uiPriority w:val="99"/>
    <w:semiHidden/>
    <w:unhideWhenUsed/>
    <w:rsid w:val="00DB379F"/>
    <w:rPr>
      <w:rFonts w:ascii="Times New Roman" w:hAnsi="Times New Roman" w:cs="Times New Roman"/>
      <w:b/>
      <w:bCs/>
    </w:rPr>
  </w:style>
  <w:style w:type="character" w:customStyle="1" w:styleId="CommentSubjectChar">
    <w:name w:val="Comment Subject Char"/>
    <w:basedOn w:val="CommentTextChar"/>
    <w:link w:val="CommentSubject"/>
    <w:uiPriority w:val="99"/>
    <w:semiHidden/>
    <w:rsid w:val="00DB379F"/>
    <w:rPr>
      <w:rFonts w:ascii="Times New Roman" w:hAnsi="Times New Roman" w:cs="Times New Roman"/>
      <w:b/>
      <w:bCs/>
    </w:rPr>
  </w:style>
  <w:style w:type="character" w:customStyle="1" w:styleId="veteranheadercontainer">
    <w:name w:val="veteranheadercontainer"/>
    <w:basedOn w:val="DefaultParagraphFont"/>
    <w:rsid w:val="00DF136F"/>
  </w:style>
  <w:style w:type="character" w:customStyle="1" w:styleId="admincol2">
    <w:name w:val="admincol2"/>
    <w:basedOn w:val="DefaultParagraphFont"/>
    <w:rsid w:val="00D97868"/>
  </w:style>
  <w:style w:type="character" w:customStyle="1" w:styleId="ng-binding">
    <w:name w:val="ng-binding"/>
    <w:basedOn w:val="DefaultParagraphFont"/>
    <w:rsid w:val="003E3A80"/>
  </w:style>
  <w:style w:type="character" w:customStyle="1" w:styleId="itemtitle1">
    <w:name w:val="itemtitle1"/>
    <w:basedOn w:val="DefaultParagraphFont"/>
    <w:rsid w:val="00481BE2"/>
    <w:rPr>
      <w:b/>
      <w:bCs/>
      <w:sz w:val="18"/>
      <w:szCs w:val="18"/>
    </w:rPr>
  </w:style>
  <w:style w:type="character" w:customStyle="1" w:styleId="ListParagraphChar">
    <w:name w:val="List Paragraph Char"/>
    <w:aliases w:val="Issue Action POC Char,List Paragraph1 Char,3 Char,POCG Table Text Char,Dot pt Char,F5 List Paragraph Char,List Paragraph Char Char Char Char,Indicator Text Char,Colorful List - Accent 11 Char,Numbered Para 1 Char,Bullet Points Char"/>
    <w:link w:val="ListParagraph"/>
    <w:uiPriority w:val="34"/>
    <w:locked/>
    <w:rsid w:val="00E52CB3"/>
    <w:rPr>
      <w:rFonts w:ascii="Calibri" w:hAnsi="Calibri"/>
      <w:sz w:val="22"/>
      <w:szCs w:val="22"/>
    </w:rPr>
  </w:style>
  <w:style w:type="paragraph" w:customStyle="1" w:styleId="ListParagraphLevel2">
    <w:name w:val="List Paragraph Level 2"/>
    <w:basedOn w:val="Normal"/>
    <w:rsid w:val="006F371D"/>
    <w:pPr>
      <w:tabs>
        <w:tab w:val="num" w:pos="547"/>
      </w:tabs>
      <w:overflowPunct/>
      <w:autoSpaceDE/>
      <w:autoSpaceDN/>
      <w:adjustRightInd/>
      <w:ind w:left="547" w:hanging="273"/>
      <w:contextualSpacing/>
      <w:textAlignment w:val="auto"/>
    </w:pPr>
    <w:rPr>
      <w:rFonts w:ascii="Calibri" w:eastAsiaTheme="minorHAnsi" w:hAnsi="Calibri" w:cs="Times New Roman"/>
      <w:color w:val="212121"/>
      <w:sz w:val="24"/>
      <w:szCs w:val="24"/>
    </w:rPr>
  </w:style>
  <w:style w:type="paragraph" w:customStyle="1" w:styleId="ListParagraphLevel3">
    <w:name w:val="List Paragraph Level 3"/>
    <w:basedOn w:val="Normal"/>
    <w:rsid w:val="006F371D"/>
    <w:pPr>
      <w:tabs>
        <w:tab w:val="num" w:pos="821"/>
      </w:tabs>
      <w:overflowPunct/>
      <w:autoSpaceDE/>
      <w:autoSpaceDN/>
      <w:adjustRightInd/>
      <w:ind w:left="821" w:hanging="274"/>
      <w:textAlignment w:val="auto"/>
    </w:pPr>
    <w:rPr>
      <w:rFonts w:ascii="Calibri" w:eastAsiaTheme="minorHAnsi" w:hAnsi="Calibri" w:cs="Times New Roman"/>
      <w:color w:val="212121"/>
      <w:sz w:val="24"/>
      <w:szCs w:val="24"/>
    </w:rPr>
  </w:style>
  <w:style w:type="paragraph" w:customStyle="1" w:styleId="ListParagraphLevel4">
    <w:name w:val="List Paragraph Level 4"/>
    <w:basedOn w:val="Normal"/>
    <w:rsid w:val="006F371D"/>
    <w:pPr>
      <w:overflowPunct/>
      <w:autoSpaceDE/>
      <w:autoSpaceDN/>
      <w:adjustRightInd/>
      <w:ind w:left="1095" w:hanging="274"/>
      <w:contextualSpacing/>
      <w:textAlignment w:val="auto"/>
    </w:pPr>
    <w:rPr>
      <w:rFonts w:ascii="Calibri" w:eastAsiaTheme="minorHAnsi" w:hAnsi="Calibri" w:cs="Times New Roman"/>
      <w:color w:val="212121"/>
      <w:sz w:val="24"/>
      <w:szCs w:val="24"/>
    </w:rPr>
  </w:style>
  <w:style w:type="paragraph" w:customStyle="1" w:styleId="ListParagraphLevel5">
    <w:name w:val="List Paragraph Level 5"/>
    <w:basedOn w:val="Normal"/>
    <w:rsid w:val="006F371D"/>
    <w:pPr>
      <w:overflowPunct/>
      <w:autoSpaceDE/>
      <w:autoSpaceDN/>
      <w:adjustRightInd/>
      <w:ind w:left="1368" w:hanging="274"/>
      <w:contextualSpacing/>
      <w:textAlignment w:val="auto"/>
    </w:pPr>
    <w:rPr>
      <w:rFonts w:ascii="Calibri" w:eastAsiaTheme="minorHAnsi" w:hAnsi="Calibri" w:cs="Times New Roman"/>
      <w:color w:val="212121"/>
      <w:sz w:val="24"/>
      <w:szCs w:val="24"/>
    </w:rPr>
  </w:style>
  <w:style w:type="character" w:styleId="UnresolvedMention">
    <w:name w:val="Unresolved Mention"/>
    <w:basedOn w:val="DefaultParagraphFont"/>
    <w:uiPriority w:val="99"/>
    <w:semiHidden/>
    <w:unhideWhenUsed/>
    <w:rsid w:val="003B02C0"/>
    <w:rPr>
      <w:color w:val="808080"/>
      <w:shd w:val="clear" w:color="auto" w:fill="E6E6E6"/>
    </w:rPr>
  </w:style>
  <w:style w:type="character" w:customStyle="1" w:styleId="lx-termhighlight1">
    <w:name w:val="lx-termhighlight1"/>
    <w:basedOn w:val="DefaultParagraphFont"/>
    <w:rsid w:val="0079011D"/>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1180">
      <w:bodyDiv w:val="1"/>
      <w:marLeft w:val="0"/>
      <w:marRight w:val="0"/>
      <w:marTop w:val="0"/>
      <w:marBottom w:val="0"/>
      <w:divBdr>
        <w:top w:val="none" w:sz="0" w:space="0" w:color="auto"/>
        <w:left w:val="none" w:sz="0" w:space="0" w:color="auto"/>
        <w:bottom w:val="none" w:sz="0" w:space="0" w:color="auto"/>
        <w:right w:val="none" w:sz="0" w:space="0" w:color="auto"/>
      </w:divBdr>
    </w:div>
    <w:div w:id="6716552">
      <w:bodyDiv w:val="1"/>
      <w:marLeft w:val="0"/>
      <w:marRight w:val="0"/>
      <w:marTop w:val="0"/>
      <w:marBottom w:val="0"/>
      <w:divBdr>
        <w:top w:val="none" w:sz="0" w:space="0" w:color="auto"/>
        <w:left w:val="none" w:sz="0" w:space="0" w:color="auto"/>
        <w:bottom w:val="none" w:sz="0" w:space="0" w:color="auto"/>
        <w:right w:val="none" w:sz="0" w:space="0" w:color="auto"/>
      </w:divBdr>
      <w:divsChild>
        <w:div w:id="1373073252">
          <w:marLeft w:val="0"/>
          <w:marRight w:val="0"/>
          <w:marTop w:val="0"/>
          <w:marBottom w:val="0"/>
          <w:divBdr>
            <w:top w:val="none" w:sz="0" w:space="0" w:color="auto"/>
            <w:left w:val="none" w:sz="0" w:space="0" w:color="auto"/>
            <w:bottom w:val="none" w:sz="0" w:space="0" w:color="auto"/>
            <w:right w:val="none" w:sz="0" w:space="0" w:color="auto"/>
          </w:divBdr>
          <w:divsChild>
            <w:div w:id="194081402">
              <w:marLeft w:val="0"/>
              <w:marRight w:val="0"/>
              <w:marTop w:val="0"/>
              <w:marBottom w:val="0"/>
              <w:divBdr>
                <w:top w:val="none" w:sz="0" w:space="0" w:color="auto"/>
                <w:left w:val="none" w:sz="0" w:space="0" w:color="auto"/>
                <w:bottom w:val="none" w:sz="0" w:space="0" w:color="auto"/>
                <w:right w:val="none" w:sz="0" w:space="0" w:color="auto"/>
              </w:divBdr>
              <w:divsChild>
                <w:div w:id="332493328">
                  <w:marLeft w:val="0"/>
                  <w:marRight w:val="0"/>
                  <w:marTop w:val="0"/>
                  <w:marBottom w:val="0"/>
                  <w:divBdr>
                    <w:top w:val="none" w:sz="0" w:space="0" w:color="auto"/>
                    <w:left w:val="none" w:sz="0" w:space="0" w:color="auto"/>
                    <w:bottom w:val="none" w:sz="0" w:space="0" w:color="auto"/>
                    <w:right w:val="none" w:sz="0" w:space="0" w:color="auto"/>
                  </w:divBdr>
                  <w:divsChild>
                    <w:div w:id="851263436">
                      <w:marLeft w:val="0"/>
                      <w:marRight w:val="0"/>
                      <w:marTop w:val="0"/>
                      <w:marBottom w:val="0"/>
                      <w:divBdr>
                        <w:top w:val="none" w:sz="0" w:space="0" w:color="auto"/>
                        <w:left w:val="none" w:sz="0" w:space="0" w:color="auto"/>
                        <w:bottom w:val="none" w:sz="0" w:space="0" w:color="auto"/>
                        <w:right w:val="none" w:sz="0" w:space="0" w:color="auto"/>
                      </w:divBdr>
                      <w:divsChild>
                        <w:div w:id="1682464562">
                          <w:marLeft w:val="0"/>
                          <w:marRight w:val="0"/>
                          <w:marTop w:val="0"/>
                          <w:marBottom w:val="0"/>
                          <w:divBdr>
                            <w:top w:val="none" w:sz="0" w:space="0" w:color="auto"/>
                            <w:left w:val="none" w:sz="0" w:space="0" w:color="auto"/>
                            <w:bottom w:val="none" w:sz="0" w:space="0" w:color="auto"/>
                            <w:right w:val="none" w:sz="0" w:space="0" w:color="auto"/>
                          </w:divBdr>
                          <w:divsChild>
                            <w:div w:id="162665342">
                              <w:marLeft w:val="0"/>
                              <w:marRight w:val="0"/>
                              <w:marTop w:val="0"/>
                              <w:marBottom w:val="0"/>
                              <w:divBdr>
                                <w:top w:val="none" w:sz="0" w:space="0" w:color="auto"/>
                                <w:left w:val="none" w:sz="0" w:space="0" w:color="auto"/>
                                <w:bottom w:val="none" w:sz="0" w:space="0" w:color="auto"/>
                                <w:right w:val="none" w:sz="0" w:space="0" w:color="auto"/>
                              </w:divBdr>
                              <w:divsChild>
                                <w:div w:id="1616869905">
                                  <w:marLeft w:val="0"/>
                                  <w:marRight w:val="0"/>
                                  <w:marTop w:val="0"/>
                                  <w:marBottom w:val="0"/>
                                  <w:divBdr>
                                    <w:top w:val="none" w:sz="0" w:space="0" w:color="auto"/>
                                    <w:left w:val="none" w:sz="0" w:space="0" w:color="auto"/>
                                    <w:bottom w:val="none" w:sz="0" w:space="0" w:color="auto"/>
                                    <w:right w:val="none" w:sz="0" w:space="0" w:color="auto"/>
                                  </w:divBdr>
                                  <w:divsChild>
                                    <w:div w:id="211314128">
                                      <w:marLeft w:val="0"/>
                                      <w:marRight w:val="0"/>
                                      <w:marTop w:val="0"/>
                                      <w:marBottom w:val="0"/>
                                      <w:divBdr>
                                        <w:top w:val="none" w:sz="0" w:space="0" w:color="auto"/>
                                        <w:left w:val="none" w:sz="0" w:space="0" w:color="auto"/>
                                        <w:bottom w:val="none" w:sz="0" w:space="0" w:color="auto"/>
                                        <w:right w:val="none" w:sz="0" w:space="0" w:color="auto"/>
                                      </w:divBdr>
                                    </w:div>
                                    <w:div w:id="223104549">
                                      <w:marLeft w:val="0"/>
                                      <w:marRight w:val="0"/>
                                      <w:marTop w:val="0"/>
                                      <w:marBottom w:val="0"/>
                                      <w:divBdr>
                                        <w:top w:val="none" w:sz="0" w:space="0" w:color="auto"/>
                                        <w:left w:val="none" w:sz="0" w:space="0" w:color="auto"/>
                                        <w:bottom w:val="none" w:sz="0" w:space="0" w:color="auto"/>
                                        <w:right w:val="none" w:sz="0" w:space="0" w:color="auto"/>
                                      </w:divBdr>
                                    </w:div>
                                    <w:div w:id="263418408">
                                      <w:marLeft w:val="0"/>
                                      <w:marRight w:val="0"/>
                                      <w:marTop w:val="0"/>
                                      <w:marBottom w:val="0"/>
                                      <w:divBdr>
                                        <w:top w:val="none" w:sz="0" w:space="0" w:color="auto"/>
                                        <w:left w:val="none" w:sz="0" w:space="0" w:color="auto"/>
                                        <w:bottom w:val="none" w:sz="0" w:space="0" w:color="auto"/>
                                        <w:right w:val="none" w:sz="0" w:space="0" w:color="auto"/>
                                      </w:divBdr>
                                    </w:div>
                                    <w:div w:id="349374097">
                                      <w:marLeft w:val="0"/>
                                      <w:marRight w:val="0"/>
                                      <w:marTop w:val="0"/>
                                      <w:marBottom w:val="0"/>
                                      <w:divBdr>
                                        <w:top w:val="none" w:sz="0" w:space="0" w:color="auto"/>
                                        <w:left w:val="none" w:sz="0" w:space="0" w:color="auto"/>
                                        <w:bottom w:val="none" w:sz="0" w:space="0" w:color="auto"/>
                                        <w:right w:val="none" w:sz="0" w:space="0" w:color="auto"/>
                                      </w:divBdr>
                                    </w:div>
                                    <w:div w:id="938754913">
                                      <w:marLeft w:val="0"/>
                                      <w:marRight w:val="0"/>
                                      <w:marTop w:val="0"/>
                                      <w:marBottom w:val="0"/>
                                      <w:divBdr>
                                        <w:top w:val="none" w:sz="0" w:space="0" w:color="auto"/>
                                        <w:left w:val="none" w:sz="0" w:space="0" w:color="auto"/>
                                        <w:bottom w:val="none" w:sz="0" w:space="0" w:color="auto"/>
                                        <w:right w:val="none" w:sz="0" w:space="0" w:color="auto"/>
                                      </w:divBdr>
                                    </w:div>
                                    <w:div w:id="1316762895">
                                      <w:marLeft w:val="0"/>
                                      <w:marRight w:val="0"/>
                                      <w:marTop w:val="0"/>
                                      <w:marBottom w:val="0"/>
                                      <w:divBdr>
                                        <w:top w:val="none" w:sz="0" w:space="0" w:color="auto"/>
                                        <w:left w:val="none" w:sz="0" w:space="0" w:color="auto"/>
                                        <w:bottom w:val="none" w:sz="0" w:space="0" w:color="auto"/>
                                        <w:right w:val="none" w:sz="0" w:space="0" w:color="auto"/>
                                      </w:divBdr>
                                    </w:div>
                                    <w:div w:id="1530338019">
                                      <w:marLeft w:val="0"/>
                                      <w:marRight w:val="0"/>
                                      <w:marTop w:val="0"/>
                                      <w:marBottom w:val="0"/>
                                      <w:divBdr>
                                        <w:top w:val="none" w:sz="0" w:space="0" w:color="auto"/>
                                        <w:left w:val="none" w:sz="0" w:space="0" w:color="auto"/>
                                        <w:bottom w:val="none" w:sz="0" w:space="0" w:color="auto"/>
                                        <w:right w:val="none" w:sz="0" w:space="0" w:color="auto"/>
                                      </w:divBdr>
                                    </w:div>
                                    <w:div w:id="1545408531">
                                      <w:marLeft w:val="0"/>
                                      <w:marRight w:val="0"/>
                                      <w:marTop w:val="0"/>
                                      <w:marBottom w:val="0"/>
                                      <w:divBdr>
                                        <w:top w:val="none" w:sz="0" w:space="0" w:color="auto"/>
                                        <w:left w:val="none" w:sz="0" w:space="0" w:color="auto"/>
                                        <w:bottom w:val="none" w:sz="0" w:space="0" w:color="auto"/>
                                        <w:right w:val="none" w:sz="0" w:space="0" w:color="auto"/>
                                      </w:divBdr>
                                    </w:div>
                                    <w:div w:id="1710911274">
                                      <w:marLeft w:val="0"/>
                                      <w:marRight w:val="0"/>
                                      <w:marTop w:val="0"/>
                                      <w:marBottom w:val="0"/>
                                      <w:divBdr>
                                        <w:top w:val="none" w:sz="0" w:space="0" w:color="auto"/>
                                        <w:left w:val="none" w:sz="0" w:space="0" w:color="auto"/>
                                        <w:bottom w:val="none" w:sz="0" w:space="0" w:color="auto"/>
                                        <w:right w:val="none" w:sz="0" w:space="0" w:color="auto"/>
                                      </w:divBdr>
                                    </w:div>
                                    <w:div w:id="1837381776">
                                      <w:marLeft w:val="0"/>
                                      <w:marRight w:val="0"/>
                                      <w:marTop w:val="0"/>
                                      <w:marBottom w:val="0"/>
                                      <w:divBdr>
                                        <w:top w:val="none" w:sz="0" w:space="0" w:color="auto"/>
                                        <w:left w:val="none" w:sz="0" w:space="0" w:color="auto"/>
                                        <w:bottom w:val="none" w:sz="0" w:space="0" w:color="auto"/>
                                        <w:right w:val="none" w:sz="0" w:space="0" w:color="auto"/>
                                      </w:divBdr>
                                    </w:div>
                                    <w:div w:id="1982877190">
                                      <w:marLeft w:val="0"/>
                                      <w:marRight w:val="0"/>
                                      <w:marTop w:val="0"/>
                                      <w:marBottom w:val="0"/>
                                      <w:divBdr>
                                        <w:top w:val="none" w:sz="0" w:space="0" w:color="auto"/>
                                        <w:left w:val="none" w:sz="0" w:space="0" w:color="auto"/>
                                        <w:bottom w:val="none" w:sz="0" w:space="0" w:color="auto"/>
                                        <w:right w:val="none" w:sz="0" w:space="0" w:color="auto"/>
                                      </w:divBdr>
                                    </w:div>
                                    <w:div w:id="2119719308">
                                      <w:marLeft w:val="0"/>
                                      <w:marRight w:val="0"/>
                                      <w:marTop w:val="0"/>
                                      <w:marBottom w:val="0"/>
                                      <w:divBdr>
                                        <w:top w:val="none" w:sz="0" w:space="0" w:color="auto"/>
                                        <w:left w:val="none" w:sz="0" w:space="0" w:color="auto"/>
                                        <w:bottom w:val="none" w:sz="0" w:space="0" w:color="auto"/>
                                        <w:right w:val="none" w:sz="0" w:space="0" w:color="auto"/>
                                      </w:divBdr>
                                    </w:div>
                                    <w:div w:id="212461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10987">
      <w:bodyDiv w:val="1"/>
      <w:marLeft w:val="0"/>
      <w:marRight w:val="0"/>
      <w:marTop w:val="0"/>
      <w:marBottom w:val="0"/>
      <w:divBdr>
        <w:top w:val="none" w:sz="0" w:space="0" w:color="auto"/>
        <w:left w:val="none" w:sz="0" w:space="0" w:color="auto"/>
        <w:bottom w:val="none" w:sz="0" w:space="0" w:color="auto"/>
        <w:right w:val="none" w:sz="0" w:space="0" w:color="auto"/>
      </w:divBdr>
    </w:div>
    <w:div w:id="15817279">
      <w:bodyDiv w:val="1"/>
      <w:marLeft w:val="0"/>
      <w:marRight w:val="0"/>
      <w:marTop w:val="0"/>
      <w:marBottom w:val="0"/>
      <w:divBdr>
        <w:top w:val="none" w:sz="0" w:space="0" w:color="auto"/>
        <w:left w:val="none" w:sz="0" w:space="0" w:color="auto"/>
        <w:bottom w:val="none" w:sz="0" w:space="0" w:color="auto"/>
        <w:right w:val="none" w:sz="0" w:space="0" w:color="auto"/>
      </w:divBdr>
    </w:div>
    <w:div w:id="17127609">
      <w:bodyDiv w:val="1"/>
      <w:marLeft w:val="0"/>
      <w:marRight w:val="0"/>
      <w:marTop w:val="0"/>
      <w:marBottom w:val="0"/>
      <w:divBdr>
        <w:top w:val="none" w:sz="0" w:space="0" w:color="auto"/>
        <w:left w:val="none" w:sz="0" w:space="0" w:color="auto"/>
        <w:bottom w:val="none" w:sz="0" w:space="0" w:color="auto"/>
        <w:right w:val="none" w:sz="0" w:space="0" w:color="auto"/>
      </w:divBdr>
    </w:div>
    <w:div w:id="17390078">
      <w:bodyDiv w:val="1"/>
      <w:marLeft w:val="0"/>
      <w:marRight w:val="0"/>
      <w:marTop w:val="0"/>
      <w:marBottom w:val="0"/>
      <w:divBdr>
        <w:top w:val="none" w:sz="0" w:space="0" w:color="auto"/>
        <w:left w:val="none" w:sz="0" w:space="0" w:color="auto"/>
        <w:bottom w:val="none" w:sz="0" w:space="0" w:color="auto"/>
        <w:right w:val="none" w:sz="0" w:space="0" w:color="auto"/>
      </w:divBdr>
    </w:div>
    <w:div w:id="25764675">
      <w:bodyDiv w:val="1"/>
      <w:marLeft w:val="0"/>
      <w:marRight w:val="0"/>
      <w:marTop w:val="0"/>
      <w:marBottom w:val="0"/>
      <w:divBdr>
        <w:top w:val="none" w:sz="0" w:space="0" w:color="auto"/>
        <w:left w:val="none" w:sz="0" w:space="0" w:color="auto"/>
        <w:bottom w:val="none" w:sz="0" w:space="0" w:color="auto"/>
        <w:right w:val="none" w:sz="0" w:space="0" w:color="auto"/>
      </w:divBdr>
    </w:div>
    <w:div w:id="27340131">
      <w:bodyDiv w:val="1"/>
      <w:marLeft w:val="0"/>
      <w:marRight w:val="0"/>
      <w:marTop w:val="0"/>
      <w:marBottom w:val="0"/>
      <w:divBdr>
        <w:top w:val="none" w:sz="0" w:space="0" w:color="auto"/>
        <w:left w:val="none" w:sz="0" w:space="0" w:color="auto"/>
        <w:bottom w:val="none" w:sz="0" w:space="0" w:color="auto"/>
        <w:right w:val="none" w:sz="0" w:space="0" w:color="auto"/>
      </w:divBdr>
    </w:div>
    <w:div w:id="31615710">
      <w:bodyDiv w:val="1"/>
      <w:marLeft w:val="0"/>
      <w:marRight w:val="0"/>
      <w:marTop w:val="0"/>
      <w:marBottom w:val="0"/>
      <w:divBdr>
        <w:top w:val="none" w:sz="0" w:space="0" w:color="auto"/>
        <w:left w:val="none" w:sz="0" w:space="0" w:color="auto"/>
        <w:bottom w:val="none" w:sz="0" w:space="0" w:color="auto"/>
        <w:right w:val="none" w:sz="0" w:space="0" w:color="auto"/>
      </w:divBdr>
    </w:div>
    <w:div w:id="34081101">
      <w:bodyDiv w:val="1"/>
      <w:marLeft w:val="0"/>
      <w:marRight w:val="0"/>
      <w:marTop w:val="0"/>
      <w:marBottom w:val="0"/>
      <w:divBdr>
        <w:top w:val="none" w:sz="0" w:space="0" w:color="auto"/>
        <w:left w:val="none" w:sz="0" w:space="0" w:color="auto"/>
        <w:bottom w:val="none" w:sz="0" w:space="0" w:color="auto"/>
        <w:right w:val="none" w:sz="0" w:space="0" w:color="auto"/>
      </w:divBdr>
    </w:div>
    <w:div w:id="45687269">
      <w:bodyDiv w:val="1"/>
      <w:marLeft w:val="0"/>
      <w:marRight w:val="0"/>
      <w:marTop w:val="0"/>
      <w:marBottom w:val="0"/>
      <w:divBdr>
        <w:top w:val="none" w:sz="0" w:space="0" w:color="auto"/>
        <w:left w:val="none" w:sz="0" w:space="0" w:color="auto"/>
        <w:bottom w:val="none" w:sz="0" w:space="0" w:color="auto"/>
        <w:right w:val="none" w:sz="0" w:space="0" w:color="auto"/>
      </w:divBdr>
      <w:divsChild>
        <w:div w:id="634063612">
          <w:marLeft w:val="0"/>
          <w:marRight w:val="0"/>
          <w:marTop w:val="0"/>
          <w:marBottom w:val="0"/>
          <w:divBdr>
            <w:top w:val="single" w:sz="6" w:space="0" w:color="3C5782"/>
            <w:left w:val="single" w:sz="6" w:space="0" w:color="3C5782"/>
            <w:bottom w:val="single" w:sz="6" w:space="0" w:color="3C5782"/>
            <w:right w:val="single" w:sz="6" w:space="0" w:color="3C5782"/>
          </w:divBdr>
          <w:divsChild>
            <w:div w:id="389814925">
              <w:marLeft w:val="0"/>
              <w:marRight w:val="0"/>
              <w:marTop w:val="0"/>
              <w:marBottom w:val="0"/>
              <w:divBdr>
                <w:top w:val="none" w:sz="0" w:space="0" w:color="auto"/>
                <w:left w:val="none" w:sz="0" w:space="0" w:color="auto"/>
                <w:bottom w:val="none" w:sz="0" w:space="0" w:color="auto"/>
                <w:right w:val="none" w:sz="0" w:space="0" w:color="auto"/>
              </w:divBdr>
              <w:divsChild>
                <w:div w:id="814834342">
                  <w:marLeft w:val="0"/>
                  <w:marRight w:val="0"/>
                  <w:marTop w:val="0"/>
                  <w:marBottom w:val="0"/>
                  <w:divBdr>
                    <w:top w:val="none" w:sz="0" w:space="0" w:color="auto"/>
                    <w:left w:val="none" w:sz="0" w:space="0" w:color="auto"/>
                    <w:bottom w:val="none" w:sz="0" w:space="0" w:color="auto"/>
                    <w:right w:val="none" w:sz="0" w:space="0" w:color="auto"/>
                  </w:divBdr>
                </w:div>
              </w:divsChild>
            </w:div>
            <w:div w:id="1622569793">
              <w:marLeft w:val="0"/>
              <w:marRight w:val="0"/>
              <w:marTop w:val="0"/>
              <w:marBottom w:val="0"/>
              <w:divBdr>
                <w:top w:val="none" w:sz="0" w:space="0" w:color="auto"/>
                <w:left w:val="none" w:sz="0" w:space="0" w:color="auto"/>
                <w:bottom w:val="none" w:sz="0" w:space="0" w:color="auto"/>
                <w:right w:val="none" w:sz="0" w:space="0" w:color="auto"/>
              </w:divBdr>
            </w:div>
          </w:divsChild>
        </w:div>
        <w:div w:id="1197700349">
          <w:marLeft w:val="0"/>
          <w:marRight w:val="0"/>
          <w:marTop w:val="0"/>
          <w:marBottom w:val="0"/>
          <w:divBdr>
            <w:top w:val="single" w:sz="6" w:space="0" w:color="3C5782"/>
            <w:left w:val="single" w:sz="6" w:space="0" w:color="3C5782"/>
            <w:bottom w:val="single" w:sz="6" w:space="0" w:color="3C5782"/>
            <w:right w:val="single" w:sz="6" w:space="0" w:color="3C5782"/>
          </w:divBdr>
          <w:divsChild>
            <w:div w:id="655496478">
              <w:marLeft w:val="0"/>
              <w:marRight w:val="0"/>
              <w:marTop w:val="0"/>
              <w:marBottom w:val="0"/>
              <w:divBdr>
                <w:top w:val="none" w:sz="0" w:space="0" w:color="auto"/>
                <w:left w:val="none" w:sz="0" w:space="0" w:color="auto"/>
                <w:bottom w:val="none" w:sz="0" w:space="0" w:color="auto"/>
                <w:right w:val="none" w:sz="0" w:space="0" w:color="auto"/>
              </w:divBdr>
              <w:divsChild>
                <w:div w:id="1301956200">
                  <w:marLeft w:val="0"/>
                  <w:marRight w:val="0"/>
                  <w:marTop w:val="0"/>
                  <w:marBottom w:val="0"/>
                  <w:divBdr>
                    <w:top w:val="none" w:sz="0" w:space="0" w:color="auto"/>
                    <w:left w:val="none" w:sz="0" w:space="0" w:color="auto"/>
                    <w:bottom w:val="none" w:sz="0" w:space="0" w:color="auto"/>
                    <w:right w:val="none" w:sz="0" w:space="0" w:color="auto"/>
                  </w:divBdr>
                </w:div>
              </w:divsChild>
            </w:div>
            <w:div w:id="193940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1764">
      <w:bodyDiv w:val="1"/>
      <w:marLeft w:val="0"/>
      <w:marRight w:val="0"/>
      <w:marTop w:val="0"/>
      <w:marBottom w:val="0"/>
      <w:divBdr>
        <w:top w:val="none" w:sz="0" w:space="0" w:color="auto"/>
        <w:left w:val="none" w:sz="0" w:space="0" w:color="auto"/>
        <w:bottom w:val="none" w:sz="0" w:space="0" w:color="auto"/>
        <w:right w:val="none" w:sz="0" w:space="0" w:color="auto"/>
      </w:divBdr>
    </w:div>
    <w:div w:id="60182106">
      <w:bodyDiv w:val="1"/>
      <w:marLeft w:val="0"/>
      <w:marRight w:val="0"/>
      <w:marTop w:val="0"/>
      <w:marBottom w:val="0"/>
      <w:divBdr>
        <w:top w:val="none" w:sz="0" w:space="0" w:color="auto"/>
        <w:left w:val="none" w:sz="0" w:space="0" w:color="auto"/>
        <w:bottom w:val="none" w:sz="0" w:space="0" w:color="auto"/>
        <w:right w:val="none" w:sz="0" w:space="0" w:color="auto"/>
      </w:divBdr>
    </w:div>
    <w:div w:id="63647558">
      <w:bodyDiv w:val="1"/>
      <w:marLeft w:val="0"/>
      <w:marRight w:val="0"/>
      <w:marTop w:val="0"/>
      <w:marBottom w:val="0"/>
      <w:divBdr>
        <w:top w:val="none" w:sz="0" w:space="0" w:color="auto"/>
        <w:left w:val="none" w:sz="0" w:space="0" w:color="auto"/>
        <w:bottom w:val="none" w:sz="0" w:space="0" w:color="auto"/>
        <w:right w:val="none" w:sz="0" w:space="0" w:color="auto"/>
      </w:divBdr>
    </w:div>
    <w:div w:id="66928196">
      <w:bodyDiv w:val="1"/>
      <w:marLeft w:val="0"/>
      <w:marRight w:val="0"/>
      <w:marTop w:val="0"/>
      <w:marBottom w:val="0"/>
      <w:divBdr>
        <w:top w:val="none" w:sz="0" w:space="0" w:color="auto"/>
        <w:left w:val="none" w:sz="0" w:space="0" w:color="auto"/>
        <w:bottom w:val="none" w:sz="0" w:space="0" w:color="auto"/>
        <w:right w:val="none" w:sz="0" w:space="0" w:color="auto"/>
      </w:divBdr>
    </w:div>
    <w:div w:id="72095359">
      <w:bodyDiv w:val="1"/>
      <w:marLeft w:val="0"/>
      <w:marRight w:val="0"/>
      <w:marTop w:val="0"/>
      <w:marBottom w:val="0"/>
      <w:divBdr>
        <w:top w:val="none" w:sz="0" w:space="0" w:color="auto"/>
        <w:left w:val="none" w:sz="0" w:space="0" w:color="auto"/>
        <w:bottom w:val="none" w:sz="0" w:space="0" w:color="auto"/>
        <w:right w:val="none" w:sz="0" w:space="0" w:color="auto"/>
      </w:divBdr>
    </w:div>
    <w:div w:id="73666771">
      <w:bodyDiv w:val="1"/>
      <w:marLeft w:val="0"/>
      <w:marRight w:val="0"/>
      <w:marTop w:val="0"/>
      <w:marBottom w:val="0"/>
      <w:divBdr>
        <w:top w:val="none" w:sz="0" w:space="0" w:color="auto"/>
        <w:left w:val="none" w:sz="0" w:space="0" w:color="auto"/>
        <w:bottom w:val="none" w:sz="0" w:space="0" w:color="auto"/>
        <w:right w:val="none" w:sz="0" w:space="0" w:color="auto"/>
      </w:divBdr>
      <w:divsChild>
        <w:div w:id="1314722564">
          <w:marLeft w:val="1166"/>
          <w:marRight w:val="0"/>
          <w:marTop w:val="200"/>
          <w:marBottom w:val="200"/>
          <w:divBdr>
            <w:top w:val="none" w:sz="0" w:space="0" w:color="auto"/>
            <w:left w:val="none" w:sz="0" w:space="0" w:color="auto"/>
            <w:bottom w:val="none" w:sz="0" w:space="0" w:color="auto"/>
            <w:right w:val="none" w:sz="0" w:space="0" w:color="auto"/>
          </w:divBdr>
        </w:div>
      </w:divsChild>
    </w:div>
    <w:div w:id="78798895">
      <w:bodyDiv w:val="1"/>
      <w:marLeft w:val="0"/>
      <w:marRight w:val="0"/>
      <w:marTop w:val="0"/>
      <w:marBottom w:val="0"/>
      <w:divBdr>
        <w:top w:val="none" w:sz="0" w:space="0" w:color="auto"/>
        <w:left w:val="none" w:sz="0" w:space="0" w:color="auto"/>
        <w:bottom w:val="none" w:sz="0" w:space="0" w:color="auto"/>
        <w:right w:val="none" w:sz="0" w:space="0" w:color="auto"/>
      </w:divBdr>
    </w:div>
    <w:div w:id="79372279">
      <w:bodyDiv w:val="1"/>
      <w:marLeft w:val="0"/>
      <w:marRight w:val="0"/>
      <w:marTop w:val="0"/>
      <w:marBottom w:val="0"/>
      <w:divBdr>
        <w:top w:val="none" w:sz="0" w:space="0" w:color="auto"/>
        <w:left w:val="none" w:sz="0" w:space="0" w:color="auto"/>
        <w:bottom w:val="none" w:sz="0" w:space="0" w:color="auto"/>
        <w:right w:val="none" w:sz="0" w:space="0" w:color="auto"/>
      </w:divBdr>
    </w:div>
    <w:div w:id="80760909">
      <w:bodyDiv w:val="1"/>
      <w:marLeft w:val="0"/>
      <w:marRight w:val="0"/>
      <w:marTop w:val="0"/>
      <w:marBottom w:val="0"/>
      <w:divBdr>
        <w:top w:val="none" w:sz="0" w:space="0" w:color="auto"/>
        <w:left w:val="none" w:sz="0" w:space="0" w:color="auto"/>
        <w:bottom w:val="none" w:sz="0" w:space="0" w:color="auto"/>
        <w:right w:val="none" w:sz="0" w:space="0" w:color="auto"/>
      </w:divBdr>
    </w:div>
    <w:div w:id="87704511">
      <w:bodyDiv w:val="1"/>
      <w:marLeft w:val="0"/>
      <w:marRight w:val="0"/>
      <w:marTop w:val="0"/>
      <w:marBottom w:val="0"/>
      <w:divBdr>
        <w:top w:val="none" w:sz="0" w:space="0" w:color="auto"/>
        <w:left w:val="none" w:sz="0" w:space="0" w:color="auto"/>
        <w:bottom w:val="none" w:sz="0" w:space="0" w:color="auto"/>
        <w:right w:val="none" w:sz="0" w:space="0" w:color="auto"/>
      </w:divBdr>
    </w:div>
    <w:div w:id="89201860">
      <w:bodyDiv w:val="1"/>
      <w:marLeft w:val="0"/>
      <w:marRight w:val="0"/>
      <w:marTop w:val="0"/>
      <w:marBottom w:val="0"/>
      <w:divBdr>
        <w:top w:val="none" w:sz="0" w:space="0" w:color="auto"/>
        <w:left w:val="none" w:sz="0" w:space="0" w:color="auto"/>
        <w:bottom w:val="none" w:sz="0" w:space="0" w:color="auto"/>
        <w:right w:val="none" w:sz="0" w:space="0" w:color="auto"/>
      </w:divBdr>
    </w:div>
    <w:div w:id="89741146">
      <w:bodyDiv w:val="1"/>
      <w:marLeft w:val="0"/>
      <w:marRight w:val="0"/>
      <w:marTop w:val="0"/>
      <w:marBottom w:val="0"/>
      <w:divBdr>
        <w:top w:val="none" w:sz="0" w:space="0" w:color="auto"/>
        <w:left w:val="none" w:sz="0" w:space="0" w:color="auto"/>
        <w:bottom w:val="none" w:sz="0" w:space="0" w:color="auto"/>
        <w:right w:val="none" w:sz="0" w:space="0" w:color="auto"/>
      </w:divBdr>
    </w:div>
    <w:div w:id="91318085">
      <w:bodyDiv w:val="1"/>
      <w:marLeft w:val="0"/>
      <w:marRight w:val="0"/>
      <w:marTop w:val="0"/>
      <w:marBottom w:val="0"/>
      <w:divBdr>
        <w:top w:val="none" w:sz="0" w:space="0" w:color="auto"/>
        <w:left w:val="none" w:sz="0" w:space="0" w:color="auto"/>
        <w:bottom w:val="none" w:sz="0" w:space="0" w:color="auto"/>
        <w:right w:val="none" w:sz="0" w:space="0" w:color="auto"/>
      </w:divBdr>
      <w:divsChild>
        <w:div w:id="288779545">
          <w:marLeft w:val="0"/>
          <w:marRight w:val="0"/>
          <w:marTop w:val="0"/>
          <w:marBottom w:val="0"/>
          <w:divBdr>
            <w:top w:val="none" w:sz="0" w:space="0" w:color="auto"/>
            <w:left w:val="none" w:sz="0" w:space="0" w:color="auto"/>
            <w:bottom w:val="none" w:sz="0" w:space="0" w:color="auto"/>
            <w:right w:val="none" w:sz="0" w:space="0" w:color="auto"/>
          </w:divBdr>
          <w:divsChild>
            <w:div w:id="1330332197">
              <w:marLeft w:val="0"/>
              <w:marRight w:val="0"/>
              <w:marTop w:val="0"/>
              <w:marBottom w:val="0"/>
              <w:divBdr>
                <w:top w:val="none" w:sz="0" w:space="0" w:color="auto"/>
                <w:left w:val="none" w:sz="0" w:space="0" w:color="auto"/>
                <w:bottom w:val="none" w:sz="0" w:space="0" w:color="auto"/>
                <w:right w:val="none" w:sz="0" w:space="0" w:color="auto"/>
              </w:divBdr>
              <w:divsChild>
                <w:div w:id="125976579">
                  <w:marLeft w:val="0"/>
                  <w:marRight w:val="0"/>
                  <w:marTop w:val="0"/>
                  <w:marBottom w:val="0"/>
                  <w:divBdr>
                    <w:top w:val="none" w:sz="0" w:space="0" w:color="auto"/>
                    <w:left w:val="none" w:sz="0" w:space="0" w:color="auto"/>
                    <w:bottom w:val="none" w:sz="0" w:space="0" w:color="auto"/>
                    <w:right w:val="none" w:sz="0" w:space="0" w:color="auto"/>
                  </w:divBdr>
                  <w:divsChild>
                    <w:div w:id="710572621">
                      <w:marLeft w:val="0"/>
                      <w:marRight w:val="0"/>
                      <w:marTop w:val="0"/>
                      <w:marBottom w:val="0"/>
                      <w:divBdr>
                        <w:top w:val="none" w:sz="0" w:space="0" w:color="auto"/>
                        <w:left w:val="none" w:sz="0" w:space="0" w:color="auto"/>
                        <w:bottom w:val="none" w:sz="0" w:space="0" w:color="auto"/>
                        <w:right w:val="none" w:sz="0" w:space="0" w:color="auto"/>
                      </w:divBdr>
                      <w:divsChild>
                        <w:div w:id="791556250">
                          <w:marLeft w:val="0"/>
                          <w:marRight w:val="0"/>
                          <w:marTop w:val="0"/>
                          <w:marBottom w:val="0"/>
                          <w:divBdr>
                            <w:top w:val="none" w:sz="0" w:space="0" w:color="auto"/>
                            <w:left w:val="none" w:sz="0" w:space="0" w:color="auto"/>
                            <w:bottom w:val="none" w:sz="0" w:space="0" w:color="auto"/>
                            <w:right w:val="none" w:sz="0" w:space="0" w:color="auto"/>
                          </w:divBdr>
                          <w:divsChild>
                            <w:div w:id="2049454091">
                              <w:marLeft w:val="0"/>
                              <w:marRight w:val="0"/>
                              <w:marTop w:val="0"/>
                              <w:marBottom w:val="0"/>
                              <w:divBdr>
                                <w:top w:val="single" w:sz="6" w:space="0" w:color="CCCCCC"/>
                                <w:left w:val="single" w:sz="6" w:space="0" w:color="CCCCCC"/>
                                <w:bottom w:val="single" w:sz="6" w:space="0" w:color="CCCCCC"/>
                                <w:right w:val="single" w:sz="6" w:space="0" w:color="CCCCCC"/>
                              </w:divBdr>
                              <w:divsChild>
                                <w:div w:id="1593321948">
                                  <w:marLeft w:val="0"/>
                                  <w:marRight w:val="0"/>
                                  <w:marTop w:val="75"/>
                                  <w:marBottom w:val="0"/>
                                  <w:divBdr>
                                    <w:top w:val="none" w:sz="0" w:space="0" w:color="auto"/>
                                    <w:left w:val="none" w:sz="0" w:space="0" w:color="auto"/>
                                    <w:bottom w:val="none" w:sz="0" w:space="0" w:color="auto"/>
                                    <w:right w:val="none" w:sz="0" w:space="0" w:color="auto"/>
                                  </w:divBdr>
                                  <w:divsChild>
                                    <w:div w:id="108668625">
                                      <w:marLeft w:val="0"/>
                                      <w:marRight w:val="0"/>
                                      <w:marTop w:val="0"/>
                                      <w:marBottom w:val="0"/>
                                      <w:divBdr>
                                        <w:top w:val="none" w:sz="0" w:space="0" w:color="auto"/>
                                        <w:left w:val="none" w:sz="0" w:space="0" w:color="auto"/>
                                        <w:bottom w:val="none" w:sz="0" w:space="0" w:color="auto"/>
                                        <w:right w:val="none" w:sz="0" w:space="0" w:color="auto"/>
                                      </w:divBdr>
                                      <w:divsChild>
                                        <w:div w:id="494107416">
                                          <w:marLeft w:val="0"/>
                                          <w:marRight w:val="0"/>
                                          <w:marTop w:val="0"/>
                                          <w:marBottom w:val="0"/>
                                          <w:divBdr>
                                            <w:top w:val="none" w:sz="0" w:space="0" w:color="auto"/>
                                            <w:left w:val="none" w:sz="0" w:space="0" w:color="auto"/>
                                            <w:bottom w:val="none" w:sz="0" w:space="0" w:color="auto"/>
                                            <w:right w:val="none" w:sz="0" w:space="0" w:color="auto"/>
                                          </w:divBdr>
                                          <w:divsChild>
                                            <w:div w:id="491143092">
                                              <w:marLeft w:val="0"/>
                                              <w:marRight w:val="0"/>
                                              <w:marTop w:val="0"/>
                                              <w:marBottom w:val="0"/>
                                              <w:divBdr>
                                                <w:top w:val="none" w:sz="0" w:space="0" w:color="auto"/>
                                                <w:left w:val="none" w:sz="0" w:space="0" w:color="auto"/>
                                                <w:bottom w:val="none" w:sz="0" w:space="0" w:color="auto"/>
                                                <w:right w:val="none" w:sz="0" w:space="0" w:color="auto"/>
                                              </w:divBdr>
                                            </w:div>
                                            <w:div w:id="1052577329">
                                              <w:marLeft w:val="0"/>
                                              <w:marRight w:val="0"/>
                                              <w:marTop w:val="0"/>
                                              <w:marBottom w:val="0"/>
                                              <w:divBdr>
                                                <w:top w:val="none" w:sz="0" w:space="0" w:color="auto"/>
                                                <w:left w:val="none" w:sz="0" w:space="0" w:color="auto"/>
                                                <w:bottom w:val="none" w:sz="0" w:space="0" w:color="auto"/>
                                                <w:right w:val="none" w:sz="0" w:space="0" w:color="auto"/>
                                              </w:divBdr>
                                            </w:div>
                                            <w:div w:id="1498613810">
                                              <w:marLeft w:val="0"/>
                                              <w:marRight w:val="0"/>
                                              <w:marTop w:val="0"/>
                                              <w:marBottom w:val="0"/>
                                              <w:divBdr>
                                                <w:top w:val="none" w:sz="0" w:space="0" w:color="auto"/>
                                                <w:left w:val="none" w:sz="0" w:space="0" w:color="auto"/>
                                                <w:bottom w:val="none" w:sz="0" w:space="0" w:color="auto"/>
                                                <w:right w:val="none" w:sz="0" w:space="0" w:color="auto"/>
                                              </w:divBdr>
                                            </w:div>
                                            <w:div w:id="1693721329">
                                              <w:marLeft w:val="0"/>
                                              <w:marRight w:val="0"/>
                                              <w:marTop w:val="0"/>
                                              <w:marBottom w:val="0"/>
                                              <w:divBdr>
                                                <w:top w:val="none" w:sz="0" w:space="0" w:color="auto"/>
                                                <w:left w:val="none" w:sz="0" w:space="0" w:color="auto"/>
                                                <w:bottom w:val="none" w:sz="0" w:space="0" w:color="auto"/>
                                                <w:right w:val="none" w:sz="0" w:space="0" w:color="auto"/>
                                              </w:divBdr>
                                            </w:div>
                                            <w:div w:id="1733575548">
                                              <w:marLeft w:val="0"/>
                                              <w:marRight w:val="0"/>
                                              <w:marTop w:val="0"/>
                                              <w:marBottom w:val="0"/>
                                              <w:divBdr>
                                                <w:top w:val="none" w:sz="0" w:space="0" w:color="auto"/>
                                                <w:left w:val="none" w:sz="0" w:space="0" w:color="auto"/>
                                                <w:bottom w:val="none" w:sz="0" w:space="0" w:color="auto"/>
                                                <w:right w:val="none" w:sz="0" w:space="0" w:color="auto"/>
                                              </w:divBdr>
                                              <w:divsChild>
                                                <w:div w:id="2001156980">
                                                  <w:marLeft w:val="0"/>
                                                  <w:marRight w:val="0"/>
                                                  <w:marTop w:val="0"/>
                                                  <w:marBottom w:val="0"/>
                                                  <w:divBdr>
                                                    <w:top w:val="none" w:sz="0" w:space="0" w:color="auto"/>
                                                    <w:left w:val="none" w:sz="0" w:space="0" w:color="auto"/>
                                                    <w:bottom w:val="none" w:sz="0" w:space="0" w:color="auto"/>
                                                    <w:right w:val="none" w:sz="0" w:space="0" w:color="auto"/>
                                                  </w:divBdr>
                                                </w:div>
                                              </w:divsChild>
                                            </w:div>
                                            <w:div w:id="201486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2820811">
      <w:bodyDiv w:val="1"/>
      <w:marLeft w:val="0"/>
      <w:marRight w:val="0"/>
      <w:marTop w:val="0"/>
      <w:marBottom w:val="0"/>
      <w:divBdr>
        <w:top w:val="none" w:sz="0" w:space="0" w:color="auto"/>
        <w:left w:val="none" w:sz="0" w:space="0" w:color="auto"/>
        <w:bottom w:val="none" w:sz="0" w:space="0" w:color="auto"/>
        <w:right w:val="none" w:sz="0" w:space="0" w:color="auto"/>
      </w:divBdr>
    </w:div>
    <w:div w:id="94252582">
      <w:bodyDiv w:val="1"/>
      <w:marLeft w:val="0"/>
      <w:marRight w:val="0"/>
      <w:marTop w:val="0"/>
      <w:marBottom w:val="0"/>
      <w:divBdr>
        <w:top w:val="none" w:sz="0" w:space="0" w:color="auto"/>
        <w:left w:val="none" w:sz="0" w:space="0" w:color="auto"/>
        <w:bottom w:val="none" w:sz="0" w:space="0" w:color="auto"/>
        <w:right w:val="none" w:sz="0" w:space="0" w:color="auto"/>
      </w:divBdr>
    </w:div>
    <w:div w:id="94985992">
      <w:bodyDiv w:val="1"/>
      <w:marLeft w:val="0"/>
      <w:marRight w:val="0"/>
      <w:marTop w:val="0"/>
      <w:marBottom w:val="0"/>
      <w:divBdr>
        <w:top w:val="none" w:sz="0" w:space="0" w:color="auto"/>
        <w:left w:val="none" w:sz="0" w:space="0" w:color="auto"/>
        <w:bottom w:val="none" w:sz="0" w:space="0" w:color="auto"/>
        <w:right w:val="none" w:sz="0" w:space="0" w:color="auto"/>
      </w:divBdr>
    </w:div>
    <w:div w:id="95637604">
      <w:bodyDiv w:val="1"/>
      <w:marLeft w:val="0"/>
      <w:marRight w:val="0"/>
      <w:marTop w:val="0"/>
      <w:marBottom w:val="0"/>
      <w:divBdr>
        <w:top w:val="none" w:sz="0" w:space="0" w:color="auto"/>
        <w:left w:val="none" w:sz="0" w:space="0" w:color="auto"/>
        <w:bottom w:val="none" w:sz="0" w:space="0" w:color="auto"/>
        <w:right w:val="none" w:sz="0" w:space="0" w:color="auto"/>
      </w:divBdr>
    </w:div>
    <w:div w:id="101540602">
      <w:bodyDiv w:val="1"/>
      <w:marLeft w:val="0"/>
      <w:marRight w:val="0"/>
      <w:marTop w:val="0"/>
      <w:marBottom w:val="0"/>
      <w:divBdr>
        <w:top w:val="none" w:sz="0" w:space="0" w:color="auto"/>
        <w:left w:val="none" w:sz="0" w:space="0" w:color="auto"/>
        <w:bottom w:val="none" w:sz="0" w:space="0" w:color="auto"/>
        <w:right w:val="none" w:sz="0" w:space="0" w:color="auto"/>
      </w:divBdr>
    </w:div>
    <w:div w:id="103500985">
      <w:bodyDiv w:val="1"/>
      <w:marLeft w:val="0"/>
      <w:marRight w:val="0"/>
      <w:marTop w:val="0"/>
      <w:marBottom w:val="0"/>
      <w:divBdr>
        <w:top w:val="none" w:sz="0" w:space="0" w:color="auto"/>
        <w:left w:val="none" w:sz="0" w:space="0" w:color="auto"/>
        <w:bottom w:val="none" w:sz="0" w:space="0" w:color="auto"/>
        <w:right w:val="none" w:sz="0" w:space="0" w:color="auto"/>
      </w:divBdr>
    </w:div>
    <w:div w:id="107117740">
      <w:bodyDiv w:val="1"/>
      <w:marLeft w:val="0"/>
      <w:marRight w:val="0"/>
      <w:marTop w:val="0"/>
      <w:marBottom w:val="0"/>
      <w:divBdr>
        <w:top w:val="none" w:sz="0" w:space="0" w:color="auto"/>
        <w:left w:val="none" w:sz="0" w:space="0" w:color="auto"/>
        <w:bottom w:val="none" w:sz="0" w:space="0" w:color="auto"/>
        <w:right w:val="none" w:sz="0" w:space="0" w:color="auto"/>
      </w:divBdr>
    </w:div>
    <w:div w:id="108555437">
      <w:bodyDiv w:val="1"/>
      <w:marLeft w:val="0"/>
      <w:marRight w:val="0"/>
      <w:marTop w:val="0"/>
      <w:marBottom w:val="0"/>
      <w:divBdr>
        <w:top w:val="none" w:sz="0" w:space="0" w:color="auto"/>
        <w:left w:val="none" w:sz="0" w:space="0" w:color="auto"/>
        <w:bottom w:val="none" w:sz="0" w:space="0" w:color="auto"/>
        <w:right w:val="none" w:sz="0" w:space="0" w:color="auto"/>
      </w:divBdr>
    </w:div>
    <w:div w:id="112408336">
      <w:bodyDiv w:val="1"/>
      <w:marLeft w:val="0"/>
      <w:marRight w:val="0"/>
      <w:marTop w:val="0"/>
      <w:marBottom w:val="0"/>
      <w:divBdr>
        <w:top w:val="none" w:sz="0" w:space="0" w:color="auto"/>
        <w:left w:val="none" w:sz="0" w:space="0" w:color="auto"/>
        <w:bottom w:val="none" w:sz="0" w:space="0" w:color="auto"/>
        <w:right w:val="none" w:sz="0" w:space="0" w:color="auto"/>
      </w:divBdr>
    </w:div>
    <w:div w:id="120003848">
      <w:bodyDiv w:val="1"/>
      <w:marLeft w:val="0"/>
      <w:marRight w:val="0"/>
      <w:marTop w:val="0"/>
      <w:marBottom w:val="0"/>
      <w:divBdr>
        <w:top w:val="none" w:sz="0" w:space="0" w:color="auto"/>
        <w:left w:val="none" w:sz="0" w:space="0" w:color="auto"/>
        <w:bottom w:val="none" w:sz="0" w:space="0" w:color="auto"/>
        <w:right w:val="none" w:sz="0" w:space="0" w:color="auto"/>
      </w:divBdr>
    </w:div>
    <w:div w:id="122160203">
      <w:bodyDiv w:val="1"/>
      <w:marLeft w:val="0"/>
      <w:marRight w:val="0"/>
      <w:marTop w:val="0"/>
      <w:marBottom w:val="0"/>
      <w:divBdr>
        <w:top w:val="none" w:sz="0" w:space="0" w:color="auto"/>
        <w:left w:val="none" w:sz="0" w:space="0" w:color="auto"/>
        <w:bottom w:val="none" w:sz="0" w:space="0" w:color="auto"/>
        <w:right w:val="none" w:sz="0" w:space="0" w:color="auto"/>
      </w:divBdr>
    </w:div>
    <w:div w:id="123086619">
      <w:bodyDiv w:val="1"/>
      <w:marLeft w:val="0"/>
      <w:marRight w:val="0"/>
      <w:marTop w:val="0"/>
      <w:marBottom w:val="0"/>
      <w:divBdr>
        <w:top w:val="none" w:sz="0" w:space="0" w:color="auto"/>
        <w:left w:val="none" w:sz="0" w:space="0" w:color="auto"/>
        <w:bottom w:val="none" w:sz="0" w:space="0" w:color="auto"/>
        <w:right w:val="none" w:sz="0" w:space="0" w:color="auto"/>
      </w:divBdr>
    </w:div>
    <w:div w:id="126513096">
      <w:bodyDiv w:val="1"/>
      <w:marLeft w:val="0"/>
      <w:marRight w:val="0"/>
      <w:marTop w:val="0"/>
      <w:marBottom w:val="0"/>
      <w:divBdr>
        <w:top w:val="none" w:sz="0" w:space="0" w:color="auto"/>
        <w:left w:val="none" w:sz="0" w:space="0" w:color="auto"/>
        <w:bottom w:val="none" w:sz="0" w:space="0" w:color="auto"/>
        <w:right w:val="none" w:sz="0" w:space="0" w:color="auto"/>
      </w:divBdr>
    </w:div>
    <w:div w:id="134613300">
      <w:bodyDiv w:val="1"/>
      <w:marLeft w:val="0"/>
      <w:marRight w:val="0"/>
      <w:marTop w:val="0"/>
      <w:marBottom w:val="0"/>
      <w:divBdr>
        <w:top w:val="none" w:sz="0" w:space="0" w:color="auto"/>
        <w:left w:val="none" w:sz="0" w:space="0" w:color="auto"/>
        <w:bottom w:val="none" w:sz="0" w:space="0" w:color="auto"/>
        <w:right w:val="none" w:sz="0" w:space="0" w:color="auto"/>
      </w:divBdr>
    </w:div>
    <w:div w:id="136605663">
      <w:bodyDiv w:val="1"/>
      <w:marLeft w:val="0"/>
      <w:marRight w:val="0"/>
      <w:marTop w:val="0"/>
      <w:marBottom w:val="0"/>
      <w:divBdr>
        <w:top w:val="none" w:sz="0" w:space="0" w:color="auto"/>
        <w:left w:val="none" w:sz="0" w:space="0" w:color="auto"/>
        <w:bottom w:val="none" w:sz="0" w:space="0" w:color="auto"/>
        <w:right w:val="none" w:sz="0" w:space="0" w:color="auto"/>
      </w:divBdr>
      <w:divsChild>
        <w:div w:id="18556110">
          <w:marLeft w:val="0"/>
          <w:marRight w:val="0"/>
          <w:marTop w:val="0"/>
          <w:marBottom w:val="0"/>
          <w:divBdr>
            <w:top w:val="none" w:sz="0" w:space="0" w:color="auto"/>
            <w:left w:val="none" w:sz="0" w:space="0" w:color="auto"/>
            <w:bottom w:val="none" w:sz="0" w:space="0" w:color="auto"/>
            <w:right w:val="none" w:sz="0" w:space="0" w:color="auto"/>
          </w:divBdr>
          <w:divsChild>
            <w:div w:id="440227576">
              <w:marLeft w:val="0"/>
              <w:marRight w:val="0"/>
              <w:marTop w:val="0"/>
              <w:marBottom w:val="0"/>
              <w:divBdr>
                <w:top w:val="none" w:sz="0" w:space="0" w:color="auto"/>
                <w:left w:val="none" w:sz="0" w:space="0" w:color="auto"/>
                <w:bottom w:val="none" w:sz="0" w:space="0" w:color="auto"/>
                <w:right w:val="none" w:sz="0" w:space="0" w:color="auto"/>
              </w:divBdr>
              <w:divsChild>
                <w:div w:id="908266314">
                  <w:marLeft w:val="0"/>
                  <w:marRight w:val="0"/>
                  <w:marTop w:val="0"/>
                  <w:marBottom w:val="0"/>
                  <w:divBdr>
                    <w:top w:val="none" w:sz="0" w:space="0" w:color="auto"/>
                    <w:left w:val="none" w:sz="0" w:space="0" w:color="auto"/>
                    <w:bottom w:val="none" w:sz="0" w:space="0" w:color="auto"/>
                    <w:right w:val="none" w:sz="0" w:space="0" w:color="auto"/>
                  </w:divBdr>
                  <w:divsChild>
                    <w:div w:id="252011915">
                      <w:marLeft w:val="0"/>
                      <w:marRight w:val="0"/>
                      <w:marTop w:val="0"/>
                      <w:marBottom w:val="0"/>
                      <w:divBdr>
                        <w:top w:val="none" w:sz="0" w:space="0" w:color="auto"/>
                        <w:left w:val="none" w:sz="0" w:space="0" w:color="auto"/>
                        <w:bottom w:val="none" w:sz="0" w:space="0" w:color="auto"/>
                        <w:right w:val="none" w:sz="0" w:space="0" w:color="auto"/>
                      </w:divBdr>
                      <w:divsChild>
                        <w:div w:id="771557063">
                          <w:marLeft w:val="0"/>
                          <w:marRight w:val="0"/>
                          <w:marTop w:val="0"/>
                          <w:marBottom w:val="0"/>
                          <w:divBdr>
                            <w:top w:val="none" w:sz="0" w:space="0" w:color="auto"/>
                            <w:left w:val="none" w:sz="0" w:space="0" w:color="auto"/>
                            <w:bottom w:val="none" w:sz="0" w:space="0" w:color="auto"/>
                            <w:right w:val="none" w:sz="0" w:space="0" w:color="auto"/>
                          </w:divBdr>
                          <w:divsChild>
                            <w:div w:id="1533617823">
                              <w:marLeft w:val="0"/>
                              <w:marRight w:val="0"/>
                              <w:marTop w:val="0"/>
                              <w:marBottom w:val="0"/>
                              <w:divBdr>
                                <w:top w:val="single" w:sz="6" w:space="0" w:color="CCCCCC"/>
                                <w:left w:val="single" w:sz="6" w:space="0" w:color="CCCCCC"/>
                                <w:bottom w:val="single" w:sz="6" w:space="0" w:color="CCCCCC"/>
                                <w:right w:val="single" w:sz="6" w:space="0" w:color="CCCCCC"/>
                              </w:divBdr>
                              <w:divsChild>
                                <w:div w:id="782769340">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428409">
      <w:bodyDiv w:val="1"/>
      <w:marLeft w:val="0"/>
      <w:marRight w:val="0"/>
      <w:marTop w:val="0"/>
      <w:marBottom w:val="0"/>
      <w:divBdr>
        <w:top w:val="none" w:sz="0" w:space="0" w:color="auto"/>
        <w:left w:val="none" w:sz="0" w:space="0" w:color="auto"/>
        <w:bottom w:val="none" w:sz="0" w:space="0" w:color="auto"/>
        <w:right w:val="none" w:sz="0" w:space="0" w:color="auto"/>
      </w:divBdr>
    </w:div>
    <w:div w:id="141890036">
      <w:bodyDiv w:val="1"/>
      <w:marLeft w:val="0"/>
      <w:marRight w:val="0"/>
      <w:marTop w:val="0"/>
      <w:marBottom w:val="0"/>
      <w:divBdr>
        <w:top w:val="none" w:sz="0" w:space="0" w:color="auto"/>
        <w:left w:val="none" w:sz="0" w:space="0" w:color="auto"/>
        <w:bottom w:val="none" w:sz="0" w:space="0" w:color="auto"/>
        <w:right w:val="none" w:sz="0" w:space="0" w:color="auto"/>
      </w:divBdr>
    </w:div>
    <w:div w:id="148520412">
      <w:bodyDiv w:val="1"/>
      <w:marLeft w:val="0"/>
      <w:marRight w:val="0"/>
      <w:marTop w:val="0"/>
      <w:marBottom w:val="0"/>
      <w:divBdr>
        <w:top w:val="none" w:sz="0" w:space="0" w:color="auto"/>
        <w:left w:val="none" w:sz="0" w:space="0" w:color="auto"/>
        <w:bottom w:val="none" w:sz="0" w:space="0" w:color="auto"/>
        <w:right w:val="none" w:sz="0" w:space="0" w:color="auto"/>
      </w:divBdr>
    </w:div>
    <w:div w:id="148793281">
      <w:bodyDiv w:val="1"/>
      <w:marLeft w:val="0"/>
      <w:marRight w:val="0"/>
      <w:marTop w:val="0"/>
      <w:marBottom w:val="0"/>
      <w:divBdr>
        <w:top w:val="none" w:sz="0" w:space="0" w:color="auto"/>
        <w:left w:val="none" w:sz="0" w:space="0" w:color="auto"/>
        <w:bottom w:val="none" w:sz="0" w:space="0" w:color="auto"/>
        <w:right w:val="none" w:sz="0" w:space="0" w:color="auto"/>
      </w:divBdr>
    </w:div>
    <w:div w:id="159128107">
      <w:bodyDiv w:val="1"/>
      <w:marLeft w:val="0"/>
      <w:marRight w:val="0"/>
      <w:marTop w:val="0"/>
      <w:marBottom w:val="0"/>
      <w:divBdr>
        <w:top w:val="none" w:sz="0" w:space="0" w:color="auto"/>
        <w:left w:val="none" w:sz="0" w:space="0" w:color="auto"/>
        <w:bottom w:val="none" w:sz="0" w:space="0" w:color="auto"/>
        <w:right w:val="none" w:sz="0" w:space="0" w:color="auto"/>
      </w:divBdr>
    </w:div>
    <w:div w:id="171067243">
      <w:bodyDiv w:val="1"/>
      <w:marLeft w:val="0"/>
      <w:marRight w:val="0"/>
      <w:marTop w:val="0"/>
      <w:marBottom w:val="0"/>
      <w:divBdr>
        <w:top w:val="none" w:sz="0" w:space="0" w:color="auto"/>
        <w:left w:val="none" w:sz="0" w:space="0" w:color="auto"/>
        <w:bottom w:val="none" w:sz="0" w:space="0" w:color="auto"/>
        <w:right w:val="none" w:sz="0" w:space="0" w:color="auto"/>
      </w:divBdr>
    </w:div>
    <w:div w:id="177935599">
      <w:bodyDiv w:val="1"/>
      <w:marLeft w:val="0"/>
      <w:marRight w:val="0"/>
      <w:marTop w:val="0"/>
      <w:marBottom w:val="0"/>
      <w:divBdr>
        <w:top w:val="none" w:sz="0" w:space="0" w:color="auto"/>
        <w:left w:val="none" w:sz="0" w:space="0" w:color="auto"/>
        <w:bottom w:val="none" w:sz="0" w:space="0" w:color="auto"/>
        <w:right w:val="none" w:sz="0" w:space="0" w:color="auto"/>
      </w:divBdr>
    </w:div>
    <w:div w:id="183711019">
      <w:bodyDiv w:val="1"/>
      <w:marLeft w:val="0"/>
      <w:marRight w:val="0"/>
      <w:marTop w:val="0"/>
      <w:marBottom w:val="0"/>
      <w:divBdr>
        <w:top w:val="none" w:sz="0" w:space="0" w:color="auto"/>
        <w:left w:val="none" w:sz="0" w:space="0" w:color="auto"/>
        <w:bottom w:val="none" w:sz="0" w:space="0" w:color="auto"/>
        <w:right w:val="none" w:sz="0" w:space="0" w:color="auto"/>
      </w:divBdr>
    </w:div>
    <w:div w:id="186070207">
      <w:bodyDiv w:val="1"/>
      <w:marLeft w:val="0"/>
      <w:marRight w:val="0"/>
      <w:marTop w:val="0"/>
      <w:marBottom w:val="0"/>
      <w:divBdr>
        <w:top w:val="none" w:sz="0" w:space="0" w:color="auto"/>
        <w:left w:val="none" w:sz="0" w:space="0" w:color="auto"/>
        <w:bottom w:val="none" w:sz="0" w:space="0" w:color="auto"/>
        <w:right w:val="none" w:sz="0" w:space="0" w:color="auto"/>
      </w:divBdr>
    </w:div>
    <w:div w:id="189296466">
      <w:bodyDiv w:val="1"/>
      <w:marLeft w:val="0"/>
      <w:marRight w:val="0"/>
      <w:marTop w:val="0"/>
      <w:marBottom w:val="0"/>
      <w:divBdr>
        <w:top w:val="none" w:sz="0" w:space="0" w:color="auto"/>
        <w:left w:val="none" w:sz="0" w:space="0" w:color="auto"/>
        <w:bottom w:val="none" w:sz="0" w:space="0" w:color="auto"/>
        <w:right w:val="none" w:sz="0" w:space="0" w:color="auto"/>
      </w:divBdr>
    </w:div>
    <w:div w:id="190262064">
      <w:bodyDiv w:val="1"/>
      <w:marLeft w:val="0"/>
      <w:marRight w:val="0"/>
      <w:marTop w:val="0"/>
      <w:marBottom w:val="0"/>
      <w:divBdr>
        <w:top w:val="none" w:sz="0" w:space="0" w:color="auto"/>
        <w:left w:val="none" w:sz="0" w:space="0" w:color="auto"/>
        <w:bottom w:val="none" w:sz="0" w:space="0" w:color="auto"/>
        <w:right w:val="none" w:sz="0" w:space="0" w:color="auto"/>
      </w:divBdr>
    </w:div>
    <w:div w:id="193882165">
      <w:bodyDiv w:val="1"/>
      <w:marLeft w:val="0"/>
      <w:marRight w:val="0"/>
      <w:marTop w:val="0"/>
      <w:marBottom w:val="0"/>
      <w:divBdr>
        <w:top w:val="none" w:sz="0" w:space="0" w:color="auto"/>
        <w:left w:val="none" w:sz="0" w:space="0" w:color="auto"/>
        <w:bottom w:val="none" w:sz="0" w:space="0" w:color="auto"/>
        <w:right w:val="none" w:sz="0" w:space="0" w:color="auto"/>
      </w:divBdr>
    </w:div>
    <w:div w:id="195435190">
      <w:bodyDiv w:val="1"/>
      <w:marLeft w:val="0"/>
      <w:marRight w:val="0"/>
      <w:marTop w:val="0"/>
      <w:marBottom w:val="0"/>
      <w:divBdr>
        <w:top w:val="none" w:sz="0" w:space="0" w:color="auto"/>
        <w:left w:val="none" w:sz="0" w:space="0" w:color="auto"/>
        <w:bottom w:val="none" w:sz="0" w:space="0" w:color="auto"/>
        <w:right w:val="none" w:sz="0" w:space="0" w:color="auto"/>
      </w:divBdr>
      <w:divsChild>
        <w:div w:id="166598508">
          <w:marLeft w:val="0"/>
          <w:marRight w:val="0"/>
          <w:marTop w:val="0"/>
          <w:marBottom w:val="60"/>
          <w:divBdr>
            <w:top w:val="none" w:sz="0" w:space="0" w:color="auto"/>
            <w:left w:val="none" w:sz="0" w:space="0" w:color="auto"/>
            <w:bottom w:val="none" w:sz="0" w:space="0" w:color="auto"/>
            <w:right w:val="none" w:sz="0" w:space="0" w:color="auto"/>
          </w:divBdr>
        </w:div>
        <w:div w:id="671951818">
          <w:marLeft w:val="0"/>
          <w:marRight w:val="0"/>
          <w:marTop w:val="0"/>
          <w:marBottom w:val="60"/>
          <w:divBdr>
            <w:top w:val="none" w:sz="0" w:space="0" w:color="auto"/>
            <w:left w:val="none" w:sz="0" w:space="0" w:color="auto"/>
            <w:bottom w:val="none" w:sz="0" w:space="0" w:color="auto"/>
            <w:right w:val="none" w:sz="0" w:space="0" w:color="auto"/>
          </w:divBdr>
        </w:div>
      </w:divsChild>
    </w:div>
    <w:div w:id="195700532">
      <w:bodyDiv w:val="1"/>
      <w:marLeft w:val="0"/>
      <w:marRight w:val="0"/>
      <w:marTop w:val="0"/>
      <w:marBottom w:val="0"/>
      <w:divBdr>
        <w:top w:val="none" w:sz="0" w:space="0" w:color="auto"/>
        <w:left w:val="none" w:sz="0" w:space="0" w:color="auto"/>
        <w:bottom w:val="none" w:sz="0" w:space="0" w:color="auto"/>
        <w:right w:val="none" w:sz="0" w:space="0" w:color="auto"/>
      </w:divBdr>
    </w:div>
    <w:div w:id="196159147">
      <w:bodyDiv w:val="1"/>
      <w:marLeft w:val="0"/>
      <w:marRight w:val="0"/>
      <w:marTop w:val="0"/>
      <w:marBottom w:val="0"/>
      <w:divBdr>
        <w:top w:val="none" w:sz="0" w:space="0" w:color="auto"/>
        <w:left w:val="none" w:sz="0" w:space="0" w:color="auto"/>
        <w:bottom w:val="none" w:sz="0" w:space="0" w:color="auto"/>
        <w:right w:val="none" w:sz="0" w:space="0" w:color="auto"/>
      </w:divBdr>
    </w:div>
    <w:div w:id="196703098">
      <w:bodyDiv w:val="1"/>
      <w:marLeft w:val="0"/>
      <w:marRight w:val="0"/>
      <w:marTop w:val="0"/>
      <w:marBottom w:val="0"/>
      <w:divBdr>
        <w:top w:val="none" w:sz="0" w:space="0" w:color="auto"/>
        <w:left w:val="none" w:sz="0" w:space="0" w:color="auto"/>
        <w:bottom w:val="none" w:sz="0" w:space="0" w:color="auto"/>
        <w:right w:val="none" w:sz="0" w:space="0" w:color="auto"/>
      </w:divBdr>
    </w:div>
    <w:div w:id="232546816">
      <w:bodyDiv w:val="1"/>
      <w:marLeft w:val="0"/>
      <w:marRight w:val="0"/>
      <w:marTop w:val="0"/>
      <w:marBottom w:val="0"/>
      <w:divBdr>
        <w:top w:val="none" w:sz="0" w:space="0" w:color="auto"/>
        <w:left w:val="none" w:sz="0" w:space="0" w:color="auto"/>
        <w:bottom w:val="none" w:sz="0" w:space="0" w:color="auto"/>
        <w:right w:val="none" w:sz="0" w:space="0" w:color="auto"/>
      </w:divBdr>
    </w:div>
    <w:div w:id="250549288">
      <w:bodyDiv w:val="1"/>
      <w:marLeft w:val="0"/>
      <w:marRight w:val="0"/>
      <w:marTop w:val="0"/>
      <w:marBottom w:val="0"/>
      <w:divBdr>
        <w:top w:val="none" w:sz="0" w:space="0" w:color="auto"/>
        <w:left w:val="none" w:sz="0" w:space="0" w:color="auto"/>
        <w:bottom w:val="none" w:sz="0" w:space="0" w:color="auto"/>
        <w:right w:val="none" w:sz="0" w:space="0" w:color="auto"/>
      </w:divBdr>
    </w:div>
    <w:div w:id="259066630">
      <w:bodyDiv w:val="1"/>
      <w:marLeft w:val="0"/>
      <w:marRight w:val="0"/>
      <w:marTop w:val="0"/>
      <w:marBottom w:val="0"/>
      <w:divBdr>
        <w:top w:val="none" w:sz="0" w:space="0" w:color="auto"/>
        <w:left w:val="none" w:sz="0" w:space="0" w:color="auto"/>
        <w:bottom w:val="none" w:sz="0" w:space="0" w:color="auto"/>
        <w:right w:val="none" w:sz="0" w:space="0" w:color="auto"/>
      </w:divBdr>
      <w:divsChild>
        <w:div w:id="134496347">
          <w:marLeft w:val="0"/>
          <w:marRight w:val="0"/>
          <w:marTop w:val="0"/>
          <w:marBottom w:val="0"/>
          <w:divBdr>
            <w:top w:val="none" w:sz="0" w:space="0" w:color="auto"/>
            <w:left w:val="none" w:sz="0" w:space="0" w:color="auto"/>
            <w:bottom w:val="none" w:sz="0" w:space="0" w:color="auto"/>
            <w:right w:val="none" w:sz="0" w:space="0" w:color="auto"/>
          </w:divBdr>
          <w:divsChild>
            <w:div w:id="881132054">
              <w:marLeft w:val="0"/>
              <w:marRight w:val="0"/>
              <w:marTop w:val="0"/>
              <w:marBottom w:val="0"/>
              <w:divBdr>
                <w:top w:val="none" w:sz="0" w:space="0" w:color="auto"/>
                <w:left w:val="none" w:sz="0" w:space="0" w:color="auto"/>
                <w:bottom w:val="none" w:sz="0" w:space="0" w:color="auto"/>
                <w:right w:val="none" w:sz="0" w:space="0" w:color="auto"/>
              </w:divBdr>
              <w:divsChild>
                <w:div w:id="903949560">
                  <w:marLeft w:val="0"/>
                  <w:marRight w:val="0"/>
                  <w:marTop w:val="0"/>
                  <w:marBottom w:val="0"/>
                  <w:divBdr>
                    <w:top w:val="none" w:sz="0" w:space="0" w:color="auto"/>
                    <w:left w:val="none" w:sz="0" w:space="0" w:color="auto"/>
                    <w:bottom w:val="none" w:sz="0" w:space="0" w:color="auto"/>
                    <w:right w:val="none" w:sz="0" w:space="0" w:color="auto"/>
                  </w:divBdr>
                  <w:divsChild>
                    <w:div w:id="2106918927">
                      <w:marLeft w:val="0"/>
                      <w:marRight w:val="0"/>
                      <w:marTop w:val="0"/>
                      <w:marBottom w:val="0"/>
                      <w:divBdr>
                        <w:top w:val="none" w:sz="0" w:space="0" w:color="auto"/>
                        <w:left w:val="none" w:sz="0" w:space="0" w:color="auto"/>
                        <w:bottom w:val="none" w:sz="0" w:space="0" w:color="auto"/>
                        <w:right w:val="none" w:sz="0" w:space="0" w:color="auto"/>
                      </w:divBdr>
                      <w:divsChild>
                        <w:div w:id="1509559480">
                          <w:marLeft w:val="0"/>
                          <w:marRight w:val="0"/>
                          <w:marTop w:val="0"/>
                          <w:marBottom w:val="0"/>
                          <w:divBdr>
                            <w:top w:val="none" w:sz="0" w:space="0" w:color="auto"/>
                            <w:left w:val="none" w:sz="0" w:space="0" w:color="auto"/>
                            <w:bottom w:val="none" w:sz="0" w:space="0" w:color="auto"/>
                            <w:right w:val="none" w:sz="0" w:space="0" w:color="auto"/>
                          </w:divBdr>
                          <w:divsChild>
                            <w:div w:id="1432777101">
                              <w:marLeft w:val="0"/>
                              <w:marRight w:val="0"/>
                              <w:marTop w:val="0"/>
                              <w:marBottom w:val="0"/>
                              <w:divBdr>
                                <w:top w:val="single" w:sz="6" w:space="0" w:color="CCCCCC"/>
                                <w:left w:val="single" w:sz="6" w:space="0" w:color="CCCCCC"/>
                                <w:bottom w:val="single" w:sz="6" w:space="0" w:color="CCCCCC"/>
                                <w:right w:val="single" w:sz="6" w:space="0" w:color="CCCCCC"/>
                              </w:divBdr>
                              <w:divsChild>
                                <w:div w:id="50929251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0987799">
      <w:bodyDiv w:val="1"/>
      <w:marLeft w:val="0"/>
      <w:marRight w:val="0"/>
      <w:marTop w:val="0"/>
      <w:marBottom w:val="0"/>
      <w:divBdr>
        <w:top w:val="none" w:sz="0" w:space="0" w:color="auto"/>
        <w:left w:val="none" w:sz="0" w:space="0" w:color="auto"/>
        <w:bottom w:val="none" w:sz="0" w:space="0" w:color="auto"/>
        <w:right w:val="none" w:sz="0" w:space="0" w:color="auto"/>
      </w:divBdr>
    </w:div>
    <w:div w:id="264072060">
      <w:bodyDiv w:val="1"/>
      <w:marLeft w:val="0"/>
      <w:marRight w:val="0"/>
      <w:marTop w:val="0"/>
      <w:marBottom w:val="0"/>
      <w:divBdr>
        <w:top w:val="none" w:sz="0" w:space="0" w:color="auto"/>
        <w:left w:val="none" w:sz="0" w:space="0" w:color="auto"/>
        <w:bottom w:val="none" w:sz="0" w:space="0" w:color="auto"/>
        <w:right w:val="none" w:sz="0" w:space="0" w:color="auto"/>
      </w:divBdr>
      <w:divsChild>
        <w:div w:id="2015497240">
          <w:marLeft w:val="0"/>
          <w:marRight w:val="0"/>
          <w:marTop w:val="0"/>
          <w:marBottom w:val="0"/>
          <w:divBdr>
            <w:top w:val="none" w:sz="0" w:space="0" w:color="auto"/>
            <w:left w:val="none" w:sz="0" w:space="0" w:color="auto"/>
            <w:bottom w:val="none" w:sz="0" w:space="0" w:color="auto"/>
            <w:right w:val="none" w:sz="0" w:space="0" w:color="auto"/>
          </w:divBdr>
        </w:div>
      </w:divsChild>
    </w:div>
    <w:div w:id="265428360">
      <w:bodyDiv w:val="1"/>
      <w:marLeft w:val="0"/>
      <w:marRight w:val="0"/>
      <w:marTop w:val="0"/>
      <w:marBottom w:val="0"/>
      <w:divBdr>
        <w:top w:val="none" w:sz="0" w:space="0" w:color="auto"/>
        <w:left w:val="none" w:sz="0" w:space="0" w:color="auto"/>
        <w:bottom w:val="none" w:sz="0" w:space="0" w:color="auto"/>
        <w:right w:val="none" w:sz="0" w:space="0" w:color="auto"/>
      </w:divBdr>
    </w:div>
    <w:div w:id="273096735">
      <w:bodyDiv w:val="1"/>
      <w:marLeft w:val="0"/>
      <w:marRight w:val="0"/>
      <w:marTop w:val="0"/>
      <w:marBottom w:val="0"/>
      <w:divBdr>
        <w:top w:val="none" w:sz="0" w:space="0" w:color="auto"/>
        <w:left w:val="none" w:sz="0" w:space="0" w:color="auto"/>
        <w:bottom w:val="none" w:sz="0" w:space="0" w:color="auto"/>
        <w:right w:val="none" w:sz="0" w:space="0" w:color="auto"/>
      </w:divBdr>
    </w:div>
    <w:div w:id="275062936">
      <w:bodyDiv w:val="1"/>
      <w:marLeft w:val="0"/>
      <w:marRight w:val="0"/>
      <w:marTop w:val="0"/>
      <w:marBottom w:val="0"/>
      <w:divBdr>
        <w:top w:val="none" w:sz="0" w:space="0" w:color="auto"/>
        <w:left w:val="none" w:sz="0" w:space="0" w:color="auto"/>
        <w:bottom w:val="none" w:sz="0" w:space="0" w:color="auto"/>
        <w:right w:val="none" w:sz="0" w:space="0" w:color="auto"/>
      </w:divBdr>
    </w:div>
    <w:div w:id="282200145">
      <w:bodyDiv w:val="1"/>
      <w:marLeft w:val="0"/>
      <w:marRight w:val="0"/>
      <w:marTop w:val="0"/>
      <w:marBottom w:val="0"/>
      <w:divBdr>
        <w:top w:val="none" w:sz="0" w:space="0" w:color="auto"/>
        <w:left w:val="none" w:sz="0" w:space="0" w:color="auto"/>
        <w:bottom w:val="none" w:sz="0" w:space="0" w:color="auto"/>
        <w:right w:val="none" w:sz="0" w:space="0" w:color="auto"/>
      </w:divBdr>
    </w:div>
    <w:div w:id="283662911">
      <w:bodyDiv w:val="1"/>
      <w:marLeft w:val="0"/>
      <w:marRight w:val="0"/>
      <w:marTop w:val="0"/>
      <w:marBottom w:val="0"/>
      <w:divBdr>
        <w:top w:val="none" w:sz="0" w:space="0" w:color="auto"/>
        <w:left w:val="none" w:sz="0" w:space="0" w:color="auto"/>
        <w:bottom w:val="none" w:sz="0" w:space="0" w:color="auto"/>
        <w:right w:val="none" w:sz="0" w:space="0" w:color="auto"/>
      </w:divBdr>
    </w:div>
    <w:div w:id="285741973">
      <w:bodyDiv w:val="1"/>
      <w:marLeft w:val="0"/>
      <w:marRight w:val="0"/>
      <w:marTop w:val="0"/>
      <w:marBottom w:val="0"/>
      <w:divBdr>
        <w:top w:val="none" w:sz="0" w:space="0" w:color="auto"/>
        <w:left w:val="none" w:sz="0" w:space="0" w:color="auto"/>
        <w:bottom w:val="none" w:sz="0" w:space="0" w:color="auto"/>
        <w:right w:val="none" w:sz="0" w:space="0" w:color="auto"/>
      </w:divBdr>
    </w:div>
    <w:div w:id="286205567">
      <w:bodyDiv w:val="1"/>
      <w:marLeft w:val="0"/>
      <w:marRight w:val="0"/>
      <w:marTop w:val="0"/>
      <w:marBottom w:val="0"/>
      <w:divBdr>
        <w:top w:val="none" w:sz="0" w:space="0" w:color="auto"/>
        <w:left w:val="none" w:sz="0" w:space="0" w:color="auto"/>
        <w:bottom w:val="none" w:sz="0" w:space="0" w:color="auto"/>
        <w:right w:val="none" w:sz="0" w:space="0" w:color="auto"/>
      </w:divBdr>
    </w:div>
    <w:div w:id="293602853">
      <w:bodyDiv w:val="1"/>
      <w:marLeft w:val="0"/>
      <w:marRight w:val="0"/>
      <w:marTop w:val="0"/>
      <w:marBottom w:val="0"/>
      <w:divBdr>
        <w:top w:val="none" w:sz="0" w:space="0" w:color="auto"/>
        <w:left w:val="none" w:sz="0" w:space="0" w:color="auto"/>
        <w:bottom w:val="none" w:sz="0" w:space="0" w:color="auto"/>
        <w:right w:val="none" w:sz="0" w:space="0" w:color="auto"/>
      </w:divBdr>
    </w:div>
    <w:div w:id="299002253">
      <w:bodyDiv w:val="1"/>
      <w:marLeft w:val="0"/>
      <w:marRight w:val="0"/>
      <w:marTop w:val="0"/>
      <w:marBottom w:val="0"/>
      <w:divBdr>
        <w:top w:val="none" w:sz="0" w:space="0" w:color="auto"/>
        <w:left w:val="none" w:sz="0" w:space="0" w:color="auto"/>
        <w:bottom w:val="none" w:sz="0" w:space="0" w:color="auto"/>
        <w:right w:val="none" w:sz="0" w:space="0" w:color="auto"/>
      </w:divBdr>
      <w:divsChild>
        <w:div w:id="47924706">
          <w:marLeft w:val="-5625"/>
          <w:marRight w:val="0"/>
          <w:marTop w:val="0"/>
          <w:marBottom w:val="100"/>
          <w:divBdr>
            <w:top w:val="none" w:sz="0" w:space="0" w:color="auto"/>
            <w:left w:val="none" w:sz="0" w:space="0" w:color="auto"/>
            <w:bottom w:val="none" w:sz="0" w:space="0" w:color="auto"/>
            <w:right w:val="none" w:sz="0" w:space="0" w:color="auto"/>
          </w:divBdr>
          <w:divsChild>
            <w:div w:id="156860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437431">
      <w:bodyDiv w:val="1"/>
      <w:marLeft w:val="0"/>
      <w:marRight w:val="0"/>
      <w:marTop w:val="0"/>
      <w:marBottom w:val="0"/>
      <w:divBdr>
        <w:top w:val="none" w:sz="0" w:space="0" w:color="auto"/>
        <w:left w:val="none" w:sz="0" w:space="0" w:color="auto"/>
        <w:bottom w:val="none" w:sz="0" w:space="0" w:color="auto"/>
        <w:right w:val="none" w:sz="0" w:space="0" w:color="auto"/>
      </w:divBdr>
    </w:div>
    <w:div w:id="317538984">
      <w:bodyDiv w:val="1"/>
      <w:marLeft w:val="0"/>
      <w:marRight w:val="0"/>
      <w:marTop w:val="0"/>
      <w:marBottom w:val="0"/>
      <w:divBdr>
        <w:top w:val="none" w:sz="0" w:space="0" w:color="auto"/>
        <w:left w:val="none" w:sz="0" w:space="0" w:color="auto"/>
        <w:bottom w:val="none" w:sz="0" w:space="0" w:color="auto"/>
        <w:right w:val="none" w:sz="0" w:space="0" w:color="auto"/>
      </w:divBdr>
    </w:div>
    <w:div w:id="317728891">
      <w:bodyDiv w:val="1"/>
      <w:marLeft w:val="0"/>
      <w:marRight w:val="0"/>
      <w:marTop w:val="0"/>
      <w:marBottom w:val="0"/>
      <w:divBdr>
        <w:top w:val="none" w:sz="0" w:space="0" w:color="auto"/>
        <w:left w:val="none" w:sz="0" w:space="0" w:color="auto"/>
        <w:bottom w:val="none" w:sz="0" w:space="0" w:color="auto"/>
        <w:right w:val="none" w:sz="0" w:space="0" w:color="auto"/>
      </w:divBdr>
    </w:div>
    <w:div w:id="319044931">
      <w:bodyDiv w:val="1"/>
      <w:marLeft w:val="0"/>
      <w:marRight w:val="0"/>
      <w:marTop w:val="0"/>
      <w:marBottom w:val="0"/>
      <w:divBdr>
        <w:top w:val="none" w:sz="0" w:space="0" w:color="auto"/>
        <w:left w:val="none" w:sz="0" w:space="0" w:color="auto"/>
        <w:bottom w:val="none" w:sz="0" w:space="0" w:color="auto"/>
        <w:right w:val="none" w:sz="0" w:space="0" w:color="auto"/>
      </w:divBdr>
      <w:divsChild>
        <w:div w:id="1001933946">
          <w:marLeft w:val="0"/>
          <w:marRight w:val="0"/>
          <w:marTop w:val="0"/>
          <w:marBottom w:val="0"/>
          <w:divBdr>
            <w:top w:val="none" w:sz="0" w:space="0" w:color="auto"/>
            <w:left w:val="none" w:sz="0" w:space="0" w:color="auto"/>
            <w:bottom w:val="none" w:sz="0" w:space="0" w:color="auto"/>
            <w:right w:val="none" w:sz="0" w:space="0" w:color="auto"/>
          </w:divBdr>
          <w:divsChild>
            <w:div w:id="159394040">
              <w:marLeft w:val="0"/>
              <w:marRight w:val="0"/>
              <w:marTop w:val="0"/>
              <w:marBottom w:val="0"/>
              <w:divBdr>
                <w:top w:val="none" w:sz="0" w:space="0" w:color="auto"/>
                <w:left w:val="none" w:sz="0" w:space="0" w:color="auto"/>
                <w:bottom w:val="none" w:sz="0" w:space="0" w:color="auto"/>
                <w:right w:val="none" w:sz="0" w:space="0" w:color="auto"/>
              </w:divBdr>
              <w:divsChild>
                <w:div w:id="1460612643">
                  <w:marLeft w:val="0"/>
                  <w:marRight w:val="0"/>
                  <w:marTop w:val="0"/>
                  <w:marBottom w:val="0"/>
                  <w:divBdr>
                    <w:top w:val="none" w:sz="0" w:space="0" w:color="auto"/>
                    <w:left w:val="none" w:sz="0" w:space="0" w:color="auto"/>
                    <w:bottom w:val="none" w:sz="0" w:space="0" w:color="auto"/>
                    <w:right w:val="none" w:sz="0" w:space="0" w:color="auto"/>
                  </w:divBdr>
                  <w:divsChild>
                    <w:div w:id="801310182">
                      <w:marLeft w:val="0"/>
                      <w:marRight w:val="0"/>
                      <w:marTop w:val="0"/>
                      <w:marBottom w:val="0"/>
                      <w:divBdr>
                        <w:top w:val="none" w:sz="0" w:space="0" w:color="auto"/>
                        <w:left w:val="none" w:sz="0" w:space="0" w:color="auto"/>
                        <w:bottom w:val="none" w:sz="0" w:space="0" w:color="auto"/>
                        <w:right w:val="none" w:sz="0" w:space="0" w:color="auto"/>
                      </w:divBdr>
                      <w:divsChild>
                        <w:div w:id="934553941">
                          <w:marLeft w:val="0"/>
                          <w:marRight w:val="0"/>
                          <w:marTop w:val="0"/>
                          <w:marBottom w:val="600"/>
                          <w:divBdr>
                            <w:top w:val="none" w:sz="0" w:space="0" w:color="auto"/>
                            <w:left w:val="none" w:sz="0" w:space="0" w:color="auto"/>
                            <w:bottom w:val="none" w:sz="0" w:space="0" w:color="auto"/>
                            <w:right w:val="none" w:sz="0" w:space="0" w:color="auto"/>
                          </w:divBdr>
                          <w:divsChild>
                            <w:div w:id="987783086">
                              <w:marLeft w:val="0"/>
                              <w:marRight w:val="0"/>
                              <w:marTop w:val="0"/>
                              <w:marBottom w:val="0"/>
                              <w:divBdr>
                                <w:top w:val="single" w:sz="6" w:space="9" w:color="B9B9B9"/>
                                <w:left w:val="single" w:sz="6" w:space="12" w:color="B9B9B9"/>
                                <w:bottom w:val="single" w:sz="6" w:space="9" w:color="B9B9B9"/>
                                <w:right w:val="single" w:sz="6" w:space="12" w:color="B9B9B9"/>
                              </w:divBdr>
                              <w:divsChild>
                                <w:div w:id="619609765">
                                  <w:marLeft w:val="0"/>
                                  <w:marRight w:val="0"/>
                                  <w:marTop w:val="0"/>
                                  <w:marBottom w:val="0"/>
                                  <w:divBdr>
                                    <w:top w:val="none" w:sz="0" w:space="0" w:color="auto"/>
                                    <w:left w:val="none" w:sz="0" w:space="0" w:color="auto"/>
                                    <w:bottom w:val="none" w:sz="0" w:space="0" w:color="auto"/>
                                    <w:right w:val="none" w:sz="0" w:space="0" w:color="auto"/>
                                  </w:divBdr>
                                  <w:divsChild>
                                    <w:div w:id="1075474017">
                                      <w:marLeft w:val="0"/>
                                      <w:marRight w:val="0"/>
                                      <w:marTop w:val="525"/>
                                      <w:marBottom w:val="180"/>
                                      <w:divBdr>
                                        <w:top w:val="none" w:sz="0" w:space="0" w:color="auto"/>
                                        <w:left w:val="none" w:sz="0" w:space="0" w:color="auto"/>
                                        <w:bottom w:val="none" w:sz="0" w:space="0" w:color="auto"/>
                                        <w:right w:val="none" w:sz="0" w:space="0" w:color="auto"/>
                                      </w:divBdr>
                                      <w:divsChild>
                                        <w:div w:id="777674984">
                                          <w:marLeft w:val="0"/>
                                          <w:marRight w:val="0"/>
                                          <w:marTop w:val="0"/>
                                          <w:marBottom w:val="0"/>
                                          <w:divBdr>
                                            <w:top w:val="single" w:sz="6" w:space="5" w:color="DEDEDE"/>
                                            <w:left w:val="single" w:sz="6" w:space="5" w:color="DEDEDE"/>
                                            <w:bottom w:val="single" w:sz="6" w:space="5" w:color="DEDEDE"/>
                                            <w:right w:val="single" w:sz="6" w:space="5" w:color="DEDEDE"/>
                                          </w:divBdr>
                                          <w:divsChild>
                                            <w:div w:id="1064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0080517">
      <w:bodyDiv w:val="1"/>
      <w:marLeft w:val="0"/>
      <w:marRight w:val="0"/>
      <w:marTop w:val="0"/>
      <w:marBottom w:val="0"/>
      <w:divBdr>
        <w:top w:val="none" w:sz="0" w:space="0" w:color="auto"/>
        <w:left w:val="none" w:sz="0" w:space="0" w:color="auto"/>
        <w:bottom w:val="none" w:sz="0" w:space="0" w:color="auto"/>
        <w:right w:val="none" w:sz="0" w:space="0" w:color="auto"/>
      </w:divBdr>
    </w:div>
    <w:div w:id="320473279">
      <w:bodyDiv w:val="1"/>
      <w:marLeft w:val="0"/>
      <w:marRight w:val="0"/>
      <w:marTop w:val="0"/>
      <w:marBottom w:val="0"/>
      <w:divBdr>
        <w:top w:val="none" w:sz="0" w:space="0" w:color="auto"/>
        <w:left w:val="none" w:sz="0" w:space="0" w:color="auto"/>
        <w:bottom w:val="none" w:sz="0" w:space="0" w:color="auto"/>
        <w:right w:val="none" w:sz="0" w:space="0" w:color="auto"/>
      </w:divBdr>
    </w:div>
    <w:div w:id="325011522">
      <w:bodyDiv w:val="1"/>
      <w:marLeft w:val="0"/>
      <w:marRight w:val="0"/>
      <w:marTop w:val="0"/>
      <w:marBottom w:val="0"/>
      <w:divBdr>
        <w:top w:val="none" w:sz="0" w:space="0" w:color="auto"/>
        <w:left w:val="none" w:sz="0" w:space="0" w:color="auto"/>
        <w:bottom w:val="none" w:sz="0" w:space="0" w:color="auto"/>
        <w:right w:val="none" w:sz="0" w:space="0" w:color="auto"/>
      </w:divBdr>
      <w:divsChild>
        <w:div w:id="1776288799">
          <w:marLeft w:val="1166"/>
          <w:marRight w:val="0"/>
          <w:marTop w:val="240"/>
          <w:marBottom w:val="240"/>
          <w:divBdr>
            <w:top w:val="none" w:sz="0" w:space="0" w:color="auto"/>
            <w:left w:val="none" w:sz="0" w:space="0" w:color="auto"/>
            <w:bottom w:val="none" w:sz="0" w:space="0" w:color="auto"/>
            <w:right w:val="none" w:sz="0" w:space="0" w:color="auto"/>
          </w:divBdr>
        </w:div>
      </w:divsChild>
    </w:div>
    <w:div w:id="326052772">
      <w:bodyDiv w:val="1"/>
      <w:marLeft w:val="0"/>
      <w:marRight w:val="0"/>
      <w:marTop w:val="0"/>
      <w:marBottom w:val="0"/>
      <w:divBdr>
        <w:top w:val="none" w:sz="0" w:space="0" w:color="auto"/>
        <w:left w:val="none" w:sz="0" w:space="0" w:color="auto"/>
        <w:bottom w:val="none" w:sz="0" w:space="0" w:color="auto"/>
        <w:right w:val="none" w:sz="0" w:space="0" w:color="auto"/>
      </w:divBdr>
    </w:div>
    <w:div w:id="330304270">
      <w:bodyDiv w:val="1"/>
      <w:marLeft w:val="0"/>
      <w:marRight w:val="0"/>
      <w:marTop w:val="0"/>
      <w:marBottom w:val="0"/>
      <w:divBdr>
        <w:top w:val="none" w:sz="0" w:space="0" w:color="auto"/>
        <w:left w:val="none" w:sz="0" w:space="0" w:color="auto"/>
        <w:bottom w:val="none" w:sz="0" w:space="0" w:color="auto"/>
        <w:right w:val="none" w:sz="0" w:space="0" w:color="auto"/>
      </w:divBdr>
    </w:div>
    <w:div w:id="330524740">
      <w:bodyDiv w:val="1"/>
      <w:marLeft w:val="0"/>
      <w:marRight w:val="0"/>
      <w:marTop w:val="0"/>
      <w:marBottom w:val="0"/>
      <w:divBdr>
        <w:top w:val="none" w:sz="0" w:space="0" w:color="auto"/>
        <w:left w:val="none" w:sz="0" w:space="0" w:color="auto"/>
        <w:bottom w:val="none" w:sz="0" w:space="0" w:color="auto"/>
        <w:right w:val="none" w:sz="0" w:space="0" w:color="auto"/>
      </w:divBdr>
    </w:div>
    <w:div w:id="333920394">
      <w:bodyDiv w:val="1"/>
      <w:marLeft w:val="0"/>
      <w:marRight w:val="0"/>
      <w:marTop w:val="0"/>
      <w:marBottom w:val="0"/>
      <w:divBdr>
        <w:top w:val="none" w:sz="0" w:space="0" w:color="auto"/>
        <w:left w:val="none" w:sz="0" w:space="0" w:color="auto"/>
        <w:bottom w:val="none" w:sz="0" w:space="0" w:color="auto"/>
        <w:right w:val="none" w:sz="0" w:space="0" w:color="auto"/>
      </w:divBdr>
    </w:div>
    <w:div w:id="334721836">
      <w:bodyDiv w:val="1"/>
      <w:marLeft w:val="0"/>
      <w:marRight w:val="0"/>
      <w:marTop w:val="0"/>
      <w:marBottom w:val="0"/>
      <w:divBdr>
        <w:top w:val="none" w:sz="0" w:space="0" w:color="auto"/>
        <w:left w:val="none" w:sz="0" w:space="0" w:color="auto"/>
        <w:bottom w:val="none" w:sz="0" w:space="0" w:color="auto"/>
        <w:right w:val="none" w:sz="0" w:space="0" w:color="auto"/>
      </w:divBdr>
    </w:div>
    <w:div w:id="335961841">
      <w:bodyDiv w:val="1"/>
      <w:marLeft w:val="0"/>
      <w:marRight w:val="0"/>
      <w:marTop w:val="0"/>
      <w:marBottom w:val="0"/>
      <w:divBdr>
        <w:top w:val="none" w:sz="0" w:space="0" w:color="auto"/>
        <w:left w:val="none" w:sz="0" w:space="0" w:color="auto"/>
        <w:bottom w:val="none" w:sz="0" w:space="0" w:color="auto"/>
        <w:right w:val="none" w:sz="0" w:space="0" w:color="auto"/>
      </w:divBdr>
    </w:div>
    <w:div w:id="338655752">
      <w:bodyDiv w:val="1"/>
      <w:marLeft w:val="0"/>
      <w:marRight w:val="0"/>
      <w:marTop w:val="0"/>
      <w:marBottom w:val="0"/>
      <w:divBdr>
        <w:top w:val="none" w:sz="0" w:space="0" w:color="auto"/>
        <w:left w:val="none" w:sz="0" w:space="0" w:color="auto"/>
        <w:bottom w:val="none" w:sz="0" w:space="0" w:color="auto"/>
        <w:right w:val="none" w:sz="0" w:space="0" w:color="auto"/>
      </w:divBdr>
      <w:divsChild>
        <w:div w:id="639772552">
          <w:marLeft w:val="1800"/>
          <w:marRight w:val="0"/>
          <w:marTop w:val="200"/>
          <w:marBottom w:val="200"/>
          <w:divBdr>
            <w:top w:val="none" w:sz="0" w:space="0" w:color="auto"/>
            <w:left w:val="none" w:sz="0" w:space="0" w:color="auto"/>
            <w:bottom w:val="none" w:sz="0" w:space="0" w:color="auto"/>
            <w:right w:val="none" w:sz="0" w:space="0" w:color="auto"/>
          </w:divBdr>
        </w:div>
      </w:divsChild>
    </w:div>
    <w:div w:id="338967137">
      <w:bodyDiv w:val="1"/>
      <w:marLeft w:val="0"/>
      <w:marRight w:val="0"/>
      <w:marTop w:val="0"/>
      <w:marBottom w:val="0"/>
      <w:divBdr>
        <w:top w:val="none" w:sz="0" w:space="0" w:color="auto"/>
        <w:left w:val="none" w:sz="0" w:space="0" w:color="auto"/>
        <w:bottom w:val="none" w:sz="0" w:space="0" w:color="auto"/>
        <w:right w:val="none" w:sz="0" w:space="0" w:color="auto"/>
      </w:divBdr>
    </w:div>
    <w:div w:id="345328659">
      <w:bodyDiv w:val="1"/>
      <w:marLeft w:val="0"/>
      <w:marRight w:val="0"/>
      <w:marTop w:val="0"/>
      <w:marBottom w:val="0"/>
      <w:divBdr>
        <w:top w:val="none" w:sz="0" w:space="0" w:color="auto"/>
        <w:left w:val="none" w:sz="0" w:space="0" w:color="auto"/>
        <w:bottom w:val="none" w:sz="0" w:space="0" w:color="auto"/>
        <w:right w:val="none" w:sz="0" w:space="0" w:color="auto"/>
      </w:divBdr>
    </w:div>
    <w:div w:id="348412449">
      <w:bodyDiv w:val="1"/>
      <w:marLeft w:val="0"/>
      <w:marRight w:val="0"/>
      <w:marTop w:val="0"/>
      <w:marBottom w:val="0"/>
      <w:divBdr>
        <w:top w:val="none" w:sz="0" w:space="0" w:color="auto"/>
        <w:left w:val="none" w:sz="0" w:space="0" w:color="auto"/>
        <w:bottom w:val="none" w:sz="0" w:space="0" w:color="auto"/>
        <w:right w:val="none" w:sz="0" w:space="0" w:color="auto"/>
      </w:divBdr>
      <w:divsChild>
        <w:div w:id="588930792">
          <w:marLeft w:val="0"/>
          <w:marRight w:val="0"/>
          <w:marTop w:val="0"/>
          <w:marBottom w:val="0"/>
          <w:divBdr>
            <w:top w:val="none" w:sz="0" w:space="0" w:color="auto"/>
            <w:left w:val="none" w:sz="0" w:space="0" w:color="auto"/>
            <w:bottom w:val="none" w:sz="0" w:space="0" w:color="auto"/>
            <w:right w:val="none" w:sz="0" w:space="0" w:color="auto"/>
          </w:divBdr>
        </w:div>
      </w:divsChild>
    </w:div>
    <w:div w:id="349336250">
      <w:bodyDiv w:val="1"/>
      <w:marLeft w:val="0"/>
      <w:marRight w:val="0"/>
      <w:marTop w:val="0"/>
      <w:marBottom w:val="0"/>
      <w:divBdr>
        <w:top w:val="none" w:sz="0" w:space="0" w:color="auto"/>
        <w:left w:val="none" w:sz="0" w:space="0" w:color="auto"/>
        <w:bottom w:val="none" w:sz="0" w:space="0" w:color="auto"/>
        <w:right w:val="none" w:sz="0" w:space="0" w:color="auto"/>
      </w:divBdr>
    </w:div>
    <w:div w:id="355927788">
      <w:bodyDiv w:val="1"/>
      <w:marLeft w:val="0"/>
      <w:marRight w:val="0"/>
      <w:marTop w:val="0"/>
      <w:marBottom w:val="0"/>
      <w:divBdr>
        <w:top w:val="none" w:sz="0" w:space="0" w:color="auto"/>
        <w:left w:val="none" w:sz="0" w:space="0" w:color="auto"/>
        <w:bottom w:val="none" w:sz="0" w:space="0" w:color="auto"/>
        <w:right w:val="none" w:sz="0" w:space="0" w:color="auto"/>
      </w:divBdr>
    </w:div>
    <w:div w:id="363990310">
      <w:bodyDiv w:val="1"/>
      <w:marLeft w:val="0"/>
      <w:marRight w:val="0"/>
      <w:marTop w:val="0"/>
      <w:marBottom w:val="0"/>
      <w:divBdr>
        <w:top w:val="none" w:sz="0" w:space="0" w:color="auto"/>
        <w:left w:val="none" w:sz="0" w:space="0" w:color="auto"/>
        <w:bottom w:val="none" w:sz="0" w:space="0" w:color="auto"/>
        <w:right w:val="none" w:sz="0" w:space="0" w:color="auto"/>
      </w:divBdr>
      <w:divsChild>
        <w:div w:id="135151017">
          <w:marLeft w:val="1166"/>
          <w:marRight w:val="0"/>
          <w:marTop w:val="200"/>
          <w:marBottom w:val="200"/>
          <w:divBdr>
            <w:top w:val="none" w:sz="0" w:space="0" w:color="auto"/>
            <w:left w:val="none" w:sz="0" w:space="0" w:color="auto"/>
            <w:bottom w:val="none" w:sz="0" w:space="0" w:color="auto"/>
            <w:right w:val="none" w:sz="0" w:space="0" w:color="auto"/>
          </w:divBdr>
        </w:div>
      </w:divsChild>
    </w:div>
    <w:div w:id="364139168">
      <w:bodyDiv w:val="1"/>
      <w:marLeft w:val="0"/>
      <w:marRight w:val="0"/>
      <w:marTop w:val="0"/>
      <w:marBottom w:val="0"/>
      <w:divBdr>
        <w:top w:val="none" w:sz="0" w:space="0" w:color="auto"/>
        <w:left w:val="none" w:sz="0" w:space="0" w:color="auto"/>
        <w:bottom w:val="none" w:sz="0" w:space="0" w:color="auto"/>
        <w:right w:val="none" w:sz="0" w:space="0" w:color="auto"/>
      </w:divBdr>
    </w:div>
    <w:div w:id="364644279">
      <w:bodyDiv w:val="1"/>
      <w:marLeft w:val="0"/>
      <w:marRight w:val="0"/>
      <w:marTop w:val="0"/>
      <w:marBottom w:val="0"/>
      <w:divBdr>
        <w:top w:val="none" w:sz="0" w:space="0" w:color="auto"/>
        <w:left w:val="none" w:sz="0" w:space="0" w:color="auto"/>
        <w:bottom w:val="none" w:sz="0" w:space="0" w:color="auto"/>
        <w:right w:val="none" w:sz="0" w:space="0" w:color="auto"/>
      </w:divBdr>
    </w:div>
    <w:div w:id="370376406">
      <w:bodyDiv w:val="1"/>
      <w:marLeft w:val="0"/>
      <w:marRight w:val="0"/>
      <w:marTop w:val="0"/>
      <w:marBottom w:val="0"/>
      <w:divBdr>
        <w:top w:val="none" w:sz="0" w:space="0" w:color="auto"/>
        <w:left w:val="none" w:sz="0" w:space="0" w:color="auto"/>
        <w:bottom w:val="none" w:sz="0" w:space="0" w:color="auto"/>
        <w:right w:val="none" w:sz="0" w:space="0" w:color="auto"/>
      </w:divBdr>
    </w:div>
    <w:div w:id="372656135">
      <w:bodyDiv w:val="1"/>
      <w:marLeft w:val="0"/>
      <w:marRight w:val="0"/>
      <w:marTop w:val="0"/>
      <w:marBottom w:val="0"/>
      <w:divBdr>
        <w:top w:val="none" w:sz="0" w:space="0" w:color="auto"/>
        <w:left w:val="none" w:sz="0" w:space="0" w:color="auto"/>
        <w:bottom w:val="none" w:sz="0" w:space="0" w:color="auto"/>
        <w:right w:val="none" w:sz="0" w:space="0" w:color="auto"/>
      </w:divBdr>
    </w:div>
    <w:div w:id="390547064">
      <w:bodyDiv w:val="1"/>
      <w:marLeft w:val="0"/>
      <w:marRight w:val="0"/>
      <w:marTop w:val="0"/>
      <w:marBottom w:val="0"/>
      <w:divBdr>
        <w:top w:val="none" w:sz="0" w:space="0" w:color="auto"/>
        <w:left w:val="none" w:sz="0" w:space="0" w:color="auto"/>
        <w:bottom w:val="none" w:sz="0" w:space="0" w:color="auto"/>
        <w:right w:val="none" w:sz="0" w:space="0" w:color="auto"/>
      </w:divBdr>
      <w:divsChild>
        <w:div w:id="857423483">
          <w:marLeft w:val="547"/>
          <w:marRight w:val="0"/>
          <w:marTop w:val="0"/>
          <w:marBottom w:val="0"/>
          <w:divBdr>
            <w:top w:val="none" w:sz="0" w:space="0" w:color="auto"/>
            <w:left w:val="none" w:sz="0" w:space="0" w:color="auto"/>
            <w:bottom w:val="none" w:sz="0" w:space="0" w:color="auto"/>
            <w:right w:val="none" w:sz="0" w:space="0" w:color="auto"/>
          </w:divBdr>
        </w:div>
      </w:divsChild>
    </w:div>
    <w:div w:id="390933500">
      <w:bodyDiv w:val="1"/>
      <w:marLeft w:val="0"/>
      <w:marRight w:val="0"/>
      <w:marTop w:val="0"/>
      <w:marBottom w:val="0"/>
      <w:divBdr>
        <w:top w:val="none" w:sz="0" w:space="0" w:color="auto"/>
        <w:left w:val="none" w:sz="0" w:space="0" w:color="auto"/>
        <w:bottom w:val="none" w:sz="0" w:space="0" w:color="auto"/>
        <w:right w:val="none" w:sz="0" w:space="0" w:color="auto"/>
      </w:divBdr>
    </w:div>
    <w:div w:id="395517424">
      <w:bodyDiv w:val="1"/>
      <w:marLeft w:val="0"/>
      <w:marRight w:val="0"/>
      <w:marTop w:val="0"/>
      <w:marBottom w:val="0"/>
      <w:divBdr>
        <w:top w:val="none" w:sz="0" w:space="0" w:color="auto"/>
        <w:left w:val="none" w:sz="0" w:space="0" w:color="auto"/>
        <w:bottom w:val="none" w:sz="0" w:space="0" w:color="auto"/>
        <w:right w:val="none" w:sz="0" w:space="0" w:color="auto"/>
      </w:divBdr>
    </w:div>
    <w:div w:id="398941104">
      <w:bodyDiv w:val="1"/>
      <w:marLeft w:val="0"/>
      <w:marRight w:val="0"/>
      <w:marTop w:val="0"/>
      <w:marBottom w:val="0"/>
      <w:divBdr>
        <w:top w:val="none" w:sz="0" w:space="0" w:color="auto"/>
        <w:left w:val="none" w:sz="0" w:space="0" w:color="auto"/>
        <w:bottom w:val="none" w:sz="0" w:space="0" w:color="auto"/>
        <w:right w:val="none" w:sz="0" w:space="0" w:color="auto"/>
      </w:divBdr>
    </w:div>
    <w:div w:id="402332767">
      <w:bodyDiv w:val="1"/>
      <w:marLeft w:val="0"/>
      <w:marRight w:val="0"/>
      <w:marTop w:val="0"/>
      <w:marBottom w:val="0"/>
      <w:divBdr>
        <w:top w:val="none" w:sz="0" w:space="0" w:color="auto"/>
        <w:left w:val="none" w:sz="0" w:space="0" w:color="auto"/>
        <w:bottom w:val="none" w:sz="0" w:space="0" w:color="auto"/>
        <w:right w:val="none" w:sz="0" w:space="0" w:color="auto"/>
      </w:divBdr>
    </w:div>
    <w:div w:id="406339247">
      <w:bodyDiv w:val="1"/>
      <w:marLeft w:val="0"/>
      <w:marRight w:val="0"/>
      <w:marTop w:val="0"/>
      <w:marBottom w:val="0"/>
      <w:divBdr>
        <w:top w:val="none" w:sz="0" w:space="0" w:color="auto"/>
        <w:left w:val="none" w:sz="0" w:space="0" w:color="auto"/>
        <w:bottom w:val="none" w:sz="0" w:space="0" w:color="auto"/>
        <w:right w:val="none" w:sz="0" w:space="0" w:color="auto"/>
      </w:divBdr>
    </w:div>
    <w:div w:id="411661965">
      <w:bodyDiv w:val="1"/>
      <w:marLeft w:val="0"/>
      <w:marRight w:val="0"/>
      <w:marTop w:val="0"/>
      <w:marBottom w:val="0"/>
      <w:divBdr>
        <w:top w:val="none" w:sz="0" w:space="0" w:color="auto"/>
        <w:left w:val="none" w:sz="0" w:space="0" w:color="auto"/>
        <w:bottom w:val="none" w:sz="0" w:space="0" w:color="auto"/>
        <w:right w:val="none" w:sz="0" w:space="0" w:color="auto"/>
      </w:divBdr>
      <w:divsChild>
        <w:div w:id="1507592747">
          <w:marLeft w:val="547"/>
          <w:marRight w:val="0"/>
          <w:marTop w:val="154"/>
          <w:marBottom w:val="0"/>
          <w:divBdr>
            <w:top w:val="none" w:sz="0" w:space="0" w:color="auto"/>
            <w:left w:val="none" w:sz="0" w:space="0" w:color="auto"/>
            <w:bottom w:val="none" w:sz="0" w:space="0" w:color="auto"/>
            <w:right w:val="none" w:sz="0" w:space="0" w:color="auto"/>
          </w:divBdr>
        </w:div>
        <w:div w:id="1641762018">
          <w:marLeft w:val="547"/>
          <w:marRight w:val="0"/>
          <w:marTop w:val="154"/>
          <w:marBottom w:val="0"/>
          <w:divBdr>
            <w:top w:val="none" w:sz="0" w:space="0" w:color="auto"/>
            <w:left w:val="none" w:sz="0" w:space="0" w:color="auto"/>
            <w:bottom w:val="none" w:sz="0" w:space="0" w:color="auto"/>
            <w:right w:val="none" w:sz="0" w:space="0" w:color="auto"/>
          </w:divBdr>
        </w:div>
        <w:div w:id="1938828943">
          <w:marLeft w:val="547"/>
          <w:marRight w:val="0"/>
          <w:marTop w:val="154"/>
          <w:marBottom w:val="0"/>
          <w:divBdr>
            <w:top w:val="none" w:sz="0" w:space="0" w:color="auto"/>
            <w:left w:val="none" w:sz="0" w:space="0" w:color="auto"/>
            <w:bottom w:val="none" w:sz="0" w:space="0" w:color="auto"/>
            <w:right w:val="none" w:sz="0" w:space="0" w:color="auto"/>
          </w:divBdr>
        </w:div>
      </w:divsChild>
    </w:div>
    <w:div w:id="412893957">
      <w:bodyDiv w:val="1"/>
      <w:marLeft w:val="0"/>
      <w:marRight w:val="0"/>
      <w:marTop w:val="0"/>
      <w:marBottom w:val="0"/>
      <w:divBdr>
        <w:top w:val="none" w:sz="0" w:space="0" w:color="auto"/>
        <w:left w:val="none" w:sz="0" w:space="0" w:color="auto"/>
        <w:bottom w:val="none" w:sz="0" w:space="0" w:color="auto"/>
        <w:right w:val="none" w:sz="0" w:space="0" w:color="auto"/>
      </w:divBdr>
    </w:div>
    <w:div w:id="415710932">
      <w:bodyDiv w:val="1"/>
      <w:marLeft w:val="0"/>
      <w:marRight w:val="0"/>
      <w:marTop w:val="0"/>
      <w:marBottom w:val="0"/>
      <w:divBdr>
        <w:top w:val="none" w:sz="0" w:space="0" w:color="auto"/>
        <w:left w:val="none" w:sz="0" w:space="0" w:color="auto"/>
        <w:bottom w:val="none" w:sz="0" w:space="0" w:color="auto"/>
        <w:right w:val="none" w:sz="0" w:space="0" w:color="auto"/>
      </w:divBdr>
    </w:div>
    <w:div w:id="416176824">
      <w:bodyDiv w:val="1"/>
      <w:marLeft w:val="0"/>
      <w:marRight w:val="0"/>
      <w:marTop w:val="0"/>
      <w:marBottom w:val="0"/>
      <w:divBdr>
        <w:top w:val="none" w:sz="0" w:space="0" w:color="auto"/>
        <w:left w:val="none" w:sz="0" w:space="0" w:color="auto"/>
        <w:bottom w:val="none" w:sz="0" w:space="0" w:color="auto"/>
        <w:right w:val="none" w:sz="0" w:space="0" w:color="auto"/>
      </w:divBdr>
    </w:div>
    <w:div w:id="416631147">
      <w:bodyDiv w:val="1"/>
      <w:marLeft w:val="0"/>
      <w:marRight w:val="0"/>
      <w:marTop w:val="0"/>
      <w:marBottom w:val="0"/>
      <w:divBdr>
        <w:top w:val="none" w:sz="0" w:space="0" w:color="auto"/>
        <w:left w:val="none" w:sz="0" w:space="0" w:color="auto"/>
        <w:bottom w:val="none" w:sz="0" w:space="0" w:color="auto"/>
        <w:right w:val="none" w:sz="0" w:space="0" w:color="auto"/>
      </w:divBdr>
    </w:div>
    <w:div w:id="418260152">
      <w:bodyDiv w:val="1"/>
      <w:marLeft w:val="0"/>
      <w:marRight w:val="0"/>
      <w:marTop w:val="0"/>
      <w:marBottom w:val="0"/>
      <w:divBdr>
        <w:top w:val="none" w:sz="0" w:space="0" w:color="auto"/>
        <w:left w:val="none" w:sz="0" w:space="0" w:color="auto"/>
        <w:bottom w:val="none" w:sz="0" w:space="0" w:color="auto"/>
        <w:right w:val="none" w:sz="0" w:space="0" w:color="auto"/>
      </w:divBdr>
      <w:divsChild>
        <w:div w:id="1406490314">
          <w:marLeft w:val="0"/>
          <w:marRight w:val="0"/>
          <w:marTop w:val="0"/>
          <w:marBottom w:val="0"/>
          <w:divBdr>
            <w:top w:val="none" w:sz="0" w:space="0" w:color="auto"/>
            <w:left w:val="none" w:sz="0" w:space="0" w:color="auto"/>
            <w:bottom w:val="none" w:sz="0" w:space="0" w:color="auto"/>
            <w:right w:val="none" w:sz="0" w:space="0" w:color="auto"/>
          </w:divBdr>
          <w:divsChild>
            <w:div w:id="998078514">
              <w:marLeft w:val="0"/>
              <w:marRight w:val="0"/>
              <w:marTop w:val="0"/>
              <w:marBottom w:val="0"/>
              <w:divBdr>
                <w:top w:val="none" w:sz="0" w:space="0" w:color="auto"/>
                <w:left w:val="none" w:sz="0" w:space="0" w:color="auto"/>
                <w:bottom w:val="none" w:sz="0" w:space="0" w:color="auto"/>
                <w:right w:val="none" w:sz="0" w:space="0" w:color="auto"/>
              </w:divBdr>
              <w:divsChild>
                <w:div w:id="323365032">
                  <w:marLeft w:val="0"/>
                  <w:marRight w:val="0"/>
                  <w:marTop w:val="0"/>
                  <w:marBottom w:val="0"/>
                  <w:divBdr>
                    <w:top w:val="none" w:sz="0" w:space="0" w:color="auto"/>
                    <w:left w:val="none" w:sz="0" w:space="0" w:color="auto"/>
                    <w:bottom w:val="none" w:sz="0" w:space="0" w:color="auto"/>
                    <w:right w:val="none" w:sz="0" w:space="0" w:color="auto"/>
                  </w:divBdr>
                  <w:divsChild>
                    <w:div w:id="190189546">
                      <w:marLeft w:val="0"/>
                      <w:marRight w:val="0"/>
                      <w:marTop w:val="0"/>
                      <w:marBottom w:val="0"/>
                      <w:divBdr>
                        <w:top w:val="none" w:sz="0" w:space="0" w:color="auto"/>
                        <w:left w:val="none" w:sz="0" w:space="0" w:color="auto"/>
                        <w:bottom w:val="none" w:sz="0" w:space="0" w:color="auto"/>
                        <w:right w:val="none" w:sz="0" w:space="0" w:color="auto"/>
                      </w:divBdr>
                      <w:divsChild>
                        <w:div w:id="1183590957">
                          <w:marLeft w:val="0"/>
                          <w:marRight w:val="0"/>
                          <w:marTop w:val="0"/>
                          <w:marBottom w:val="0"/>
                          <w:divBdr>
                            <w:top w:val="none" w:sz="0" w:space="0" w:color="auto"/>
                            <w:left w:val="none" w:sz="0" w:space="0" w:color="auto"/>
                            <w:bottom w:val="none" w:sz="0" w:space="0" w:color="auto"/>
                            <w:right w:val="none" w:sz="0" w:space="0" w:color="auto"/>
                          </w:divBdr>
                          <w:divsChild>
                            <w:div w:id="1750494377">
                              <w:marLeft w:val="0"/>
                              <w:marRight w:val="0"/>
                              <w:marTop w:val="0"/>
                              <w:marBottom w:val="0"/>
                              <w:divBdr>
                                <w:top w:val="none" w:sz="0" w:space="0" w:color="auto"/>
                                <w:left w:val="none" w:sz="0" w:space="0" w:color="auto"/>
                                <w:bottom w:val="none" w:sz="0" w:space="0" w:color="auto"/>
                                <w:right w:val="none" w:sz="0" w:space="0" w:color="auto"/>
                              </w:divBdr>
                              <w:divsChild>
                                <w:div w:id="1399282964">
                                  <w:marLeft w:val="0"/>
                                  <w:marRight w:val="0"/>
                                  <w:marTop w:val="0"/>
                                  <w:marBottom w:val="0"/>
                                  <w:divBdr>
                                    <w:top w:val="none" w:sz="0" w:space="0" w:color="auto"/>
                                    <w:left w:val="none" w:sz="0" w:space="0" w:color="auto"/>
                                    <w:bottom w:val="none" w:sz="0" w:space="0" w:color="auto"/>
                                    <w:right w:val="none" w:sz="0" w:space="0" w:color="auto"/>
                                  </w:divBdr>
                                  <w:divsChild>
                                    <w:div w:id="1134103495">
                                      <w:marLeft w:val="0"/>
                                      <w:marRight w:val="0"/>
                                      <w:marTop w:val="0"/>
                                      <w:marBottom w:val="0"/>
                                      <w:divBdr>
                                        <w:top w:val="none" w:sz="0" w:space="0" w:color="auto"/>
                                        <w:left w:val="none" w:sz="0" w:space="0" w:color="auto"/>
                                        <w:bottom w:val="none" w:sz="0" w:space="0" w:color="auto"/>
                                        <w:right w:val="none" w:sz="0" w:space="0" w:color="auto"/>
                                      </w:divBdr>
                                      <w:divsChild>
                                        <w:div w:id="755902542">
                                          <w:marLeft w:val="0"/>
                                          <w:marRight w:val="0"/>
                                          <w:marTop w:val="0"/>
                                          <w:marBottom w:val="0"/>
                                          <w:divBdr>
                                            <w:top w:val="none" w:sz="0" w:space="0" w:color="auto"/>
                                            <w:left w:val="none" w:sz="0" w:space="0" w:color="auto"/>
                                            <w:bottom w:val="none" w:sz="0" w:space="0" w:color="auto"/>
                                            <w:right w:val="none" w:sz="0" w:space="0" w:color="auto"/>
                                          </w:divBdr>
                                          <w:divsChild>
                                            <w:div w:id="946233859">
                                              <w:marLeft w:val="0"/>
                                              <w:marRight w:val="0"/>
                                              <w:marTop w:val="0"/>
                                              <w:marBottom w:val="0"/>
                                              <w:divBdr>
                                                <w:top w:val="none" w:sz="0" w:space="0" w:color="auto"/>
                                                <w:left w:val="none" w:sz="0" w:space="0" w:color="auto"/>
                                                <w:bottom w:val="none" w:sz="0" w:space="0" w:color="auto"/>
                                                <w:right w:val="none" w:sz="0" w:space="0" w:color="auto"/>
                                              </w:divBdr>
                                              <w:divsChild>
                                                <w:div w:id="2036612989">
                                                  <w:marLeft w:val="0"/>
                                                  <w:marRight w:val="0"/>
                                                  <w:marTop w:val="0"/>
                                                  <w:marBottom w:val="0"/>
                                                  <w:divBdr>
                                                    <w:top w:val="none" w:sz="0" w:space="0" w:color="auto"/>
                                                    <w:left w:val="none" w:sz="0" w:space="0" w:color="auto"/>
                                                    <w:bottom w:val="none" w:sz="0" w:space="0" w:color="auto"/>
                                                    <w:right w:val="none" w:sz="0" w:space="0" w:color="auto"/>
                                                  </w:divBdr>
                                                  <w:divsChild>
                                                    <w:div w:id="856039726">
                                                      <w:marLeft w:val="0"/>
                                                      <w:marRight w:val="0"/>
                                                      <w:marTop w:val="0"/>
                                                      <w:marBottom w:val="0"/>
                                                      <w:divBdr>
                                                        <w:top w:val="none" w:sz="0" w:space="0" w:color="auto"/>
                                                        <w:left w:val="none" w:sz="0" w:space="0" w:color="auto"/>
                                                        <w:bottom w:val="none" w:sz="0" w:space="0" w:color="auto"/>
                                                        <w:right w:val="none" w:sz="0" w:space="0" w:color="auto"/>
                                                      </w:divBdr>
                                                      <w:divsChild>
                                                        <w:div w:id="640502337">
                                                          <w:marLeft w:val="0"/>
                                                          <w:marRight w:val="0"/>
                                                          <w:marTop w:val="0"/>
                                                          <w:marBottom w:val="0"/>
                                                          <w:divBdr>
                                                            <w:top w:val="none" w:sz="0" w:space="0" w:color="auto"/>
                                                            <w:left w:val="none" w:sz="0" w:space="0" w:color="auto"/>
                                                            <w:bottom w:val="none" w:sz="0" w:space="0" w:color="auto"/>
                                                            <w:right w:val="none" w:sz="0" w:space="0" w:color="auto"/>
                                                          </w:divBdr>
                                                          <w:divsChild>
                                                            <w:div w:id="1448039574">
                                                              <w:marLeft w:val="0"/>
                                                              <w:marRight w:val="0"/>
                                                              <w:marTop w:val="0"/>
                                                              <w:marBottom w:val="0"/>
                                                              <w:divBdr>
                                                                <w:top w:val="none" w:sz="0" w:space="0" w:color="auto"/>
                                                                <w:left w:val="none" w:sz="0" w:space="0" w:color="auto"/>
                                                                <w:bottom w:val="none" w:sz="0" w:space="0" w:color="auto"/>
                                                                <w:right w:val="none" w:sz="0" w:space="0" w:color="auto"/>
                                                              </w:divBdr>
                                                              <w:divsChild>
                                                                <w:div w:id="271010423">
                                                                  <w:marLeft w:val="0"/>
                                                                  <w:marRight w:val="0"/>
                                                                  <w:marTop w:val="0"/>
                                                                  <w:marBottom w:val="0"/>
                                                                  <w:divBdr>
                                                                    <w:top w:val="none" w:sz="0" w:space="0" w:color="auto"/>
                                                                    <w:left w:val="none" w:sz="0" w:space="0" w:color="auto"/>
                                                                    <w:bottom w:val="none" w:sz="0" w:space="0" w:color="auto"/>
                                                                    <w:right w:val="none" w:sz="0" w:space="0" w:color="auto"/>
                                                                  </w:divBdr>
                                                                  <w:divsChild>
                                                                    <w:div w:id="978220124">
                                                                      <w:marLeft w:val="0"/>
                                                                      <w:marRight w:val="0"/>
                                                                      <w:marTop w:val="0"/>
                                                                      <w:marBottom w:val="0"/>
                                                                      <w:divBdr>
                                                                        <w:top w:val="none" w:sz="0" w:space="0" w:color="auto"/>
                                                                        <w:left w:val="none" w:sz="0" w:space="0" w:color="auto"/>
                                                                        <w:bottom w:val="none" w:sz="0" w:space="0" w:color="auto"/>
                                                                        <w:right w:val="none" w:sz="0" w:space="0" w:color="auto"/>
                                                                      </w:divBdr>
                                                                      <w:divsChild>
                                                                        <w:div w:id="89395920">
                                                                          <w:marLeft w:val="0"/>
                                                                          <w:marRight w:val="0"/>
                                                                          <w:marTop w:val="0"/>
                                                                          <w:marBottom w:val="0"/>
                                                                          <w:divBdr>
                                                                            <w:top w:val="none" w:sz="0" w:space="0" w:color="auto"/>
                                                                            <w:left w:val="none" w:sz="0" w:space="0" w:color="auto"/>
                                                                            <w:bottom w:val="none" w:sz="0" w:space="0" w:color="auto"/>
                                                                            <w:right w:val="none" w:sz="0" w:space="0" w:color="auto"/>
                                                                          </w:divBdr>
                                                                          <w:divsChild>
                                                                            <w:div w:id="424501347">
                                                                              <w:marLeft w:val="0"/>
                                                                              <w:marRight w:val="0"/>
                                                                              <w:marTop w:val="0"/>
                                                                              <w:marBottom w:val="0"/>
                                                                              <w:divBdr>
                                                                                <w:top w:val="none" w:sz="0" w:space="0" w:color="auto"/>
                                                                                <w:left w:val="none" w:sz="0" w:space="0" w:color="auto"/>
                                                                                <w:bottom w:val="none" w:sz="0" w:space="0" w:color="auto"/>
                                                                                <w:right w:val="none" w:sz="0" w:space="0" w:color="auto"/>
                                                                              </w:divBdr>
                                                                            </w:div>
                                                                            <w:div w:id="168651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3959063">
      <w:bodyDiv w:val="1"/>
      <w:marLeft w:val="0"/>
      <w:marRight w:val="0"/>
      <w:marTop w:val="0"/>
      <w:marBottom w:val="0"/>
      <w:divBdr>
        <w:top w:val="none" w:sz="0" w:space="0" w:color="auto"/>
        <w:left w:val="none" w:sz="0" w:space="0" w:color="auto"/>
        <w:bottom w:val="none" w:sz="0" w:space="0" w:color="auto"/>
        <w:right w:val="none" w:sz="0" w:space="0" w:color="auto"/>
      </w:divBdr>
    </w:div>
    <w:div w:id="430707625">
      <w:bodyDiv w:val="1"/>
      <w:marLeft w:val="0"/>
      <w:marRight w:val="0"/>
      <w:marTop w:val="0"/>
      <w:marBottom w:val="0"/>
      <w:divBdr>
        <w:top w:val="none" w:sz="0" w:space="0" w:color="auto"/>
        <w:left w:val="none" w:sz="0" w:space="0" w:color="auto"/>
        <w:bottom w:val="none" w:sz="0" w:space="0" w:color="auto"/>
        <w:right w:val="none" w:sz="0" w:space="0" w:color="auto"/>
      </w:divBdr>
    </w:div>
    <w:div w:id="434442736">
      <w:bodyDiv w:val="1"/>
      <w:marLeft w:val="0"/>
      <w:marRight w:val="0"/>
      <w:marTop w:val="0"/>
      <w:marBottom w:val="0"/>
      <w:divBdr>
        <w:top w:val="none" w:sz="0" w:space="0" w:color="auto"/>
        <w:left w:val="none" w:sz="0" w:space="0" w:color="auto"/>
        <w:bottom w:val="none" w:sz="0" w:space="0" w:color="auto"/>
        <w:right w:val="none" w:sz="0" w:space="0" w:color="auto"/>
      </w:divBdr>
    </w:div>
    <w:div w:id="434904018">
      <w:bodyDiv w:val="1"/>
      <w:marLeft w:val="0"/>
      <w:marRight w:val="0"/>
      <w:marTop w:val="0"/>
      <w:marBottom w:val="0"/>
      <w:divBdr>
        <w:top w:val="none" w:sz="0" w:space="0" w:color="auto"/>
        <w:left w:val="none" w:sz="0" w:space="0" w:color="auto"/>
        <w:bottom w:val="none" w:sz="0" w:space="0" w:color="auto"/>
        <w:right w:val="none" w:sz="0" w:space="0" w:color="auto"/>
      </w:divBdr>
    </w:div>
    <w:div w:id="436102032">
      <w:bodyDiv w:val="1"/>
      <w:marLeft w:val="0"/>
      <w:marRight w:val="0"/>
      <w:marTop w:val="0"/>
      <w:marBottom w:val="0"/>
      <w:divBdr>
        <w:top w:val="none" w:sz="0" w:space="0" w:color="auto"/>
        <w:left w:val="none" w:sz="0" w:space="0" w:color="auto"/>
        <w:bottom w:val="none" w:sz="0" w:space="0" w:color="auto"/>
        <w:right w:val="none" w:sz="0" w:space="0" w:color="auto"/>
      </w:divBdr>
      <w:divsChild>
        <w:div w:id="202910173">
          <w:marLeft w:val="0"/>
          <w:marRight w:val="0"/>
          <w:marTop w:val="0"/>
          <w:marBottom w:val="0"/>
          <w:divBdr>
            <w:top w:val="none" w:sz="0" w:space="0" w:color="auto"/>
            <w:left w:val="none" w:sz="0" w:space="0" w:color="auto"/>
            <w:bottom w:val="none" w:sz="0" w:space="0" w:color="auto"/>
            <w:right w:val="none" w:sz="0" w:space="0" w:color="auto"/>
          </w:divBdr>
        </w:div>
        <w:div w:id="459999683">
          <w:marLeft w:val="0"/>
          <w:marRight w:val="0"/>
          <w:marTop w:val="0"/>
          <w:marBottom w:val="0"/>
          <w:divBdr>
            <w:top w:val="none" w:sz="0" w:space="0" w:color="auto"/>
            <w:left w:val="none" w:sz="0" w:space="0" w:color="auto"/>
            <w:bottom w:val="none" w:sz="0" w:space="0" w:color="auto"/>
            <w:right w:val="none" w:sz="0" w:space="0" w:color="auto"/>
          </w:divBdr>
        </w:div>
      </w:divsChild>
    </w:div>
    <w:div w:id="436947535">
      <w:bodyDiv w:val="1"/>
      <w:marLeft w:val="0"/>
      <w:marRight w:val="0"/>
      <w:marTop w:val="0"/>
      <w:marBottom w:val="0"/>
      <w:divBdr>
        <w:top w:val="none" w:sz="0" w:space="0" w:color="auto"/>
        <w:left w:val="none" w:sz="0" w:space="0" w:color="auto"/>
        <w:bottom w:val="none" w:sz="0" w:space="0" w:color="auto"/>
        <w:right w:val="none" w:sz="0" w:space="0" w:color="auto"/>
      </w:divBdr>
    </w:div>
    <w:div w:id="439498799">
      <w:bodyDiv w:val="1"/>
      <w:marLeft w:val="0"/>
      <w:marRight w:val="0"/>
      <w:marTop w:val="0"/>
      <w:marBottom w:val="0"/>
      <w:divBdr>
        <w:top w:val="none" w:sz="0" w:space="0" w:color="auto"/>
        <w:left w:val="none" w:sz="0" w:space="0" w:color="auto"/>
        <w:bottom w:val="none" w:sz="0" w:space="0" w:color="auto"/>
        <w:right w:val="none" w:sz="0" w:space="0" w:color="auto"/>
      </w:divBdr>
    </w:div>
    <w:div w:id="442188746">
      <w:bodyDiv w:val="1"/>
      <w:marLeft w:val="0"/>
      <w:marRight w:val="0"/>
      <w:marTop w:val="0"/>
      <w:marBottom w:val="0"/>
      <w:divBdr>
        <w:top w:val="none" w:sz="0" w:space="0" w:color="auto"/>
        <w:left w:val="none" w:sz="0" w:space="0" w:color="auto"/>
        <w:bottom w:val="none" w:sz="0" w:space="0" w:color="auto"/>
        <w:right w:val="none" w:sz="0" w:space="0" w:color="auto"/>
      </w:divBdr>
    </w:div>
    <w:div w:id="443228023">
      <w:bodyDiv w:val="1"/>
      <w:marLeft w:val="0"/>
      <w:marRight w:val="0"/>
      <w:marTop w:val="0"/>
      <w:marBottom w:val="0"/>
      <w:divBdr>
        <w:top w:val="none" w:sz="0" w:space="0" w:color="auto"/>
        <w:left w:val="none" w:sz="0" w:space="0" w:color="auto"/>
        <w:bottom w:val="none" w:sz="0" w:space="0" w:color="auto"/>
        <w:right w:val="none" w:sz="0" w:space="0" w:color="auto"/>
      </w:divBdr>
    </w:div>
    <w:div w:id="449132935">
      <w:bodyDiv w:val="1"/>
      <w:marLeft w:val="0"/>
      <w:marRight w:val="0"/>
      <w:marTop w:val="0"/>
      <w:marBottom w:val="0"/>
      <w:divBdr>
        <w:top w:val="none" w:sz="0" w:space="0" w:color="auto"/>
        <w:left w:val="none" w:sz="0" w:space="0" w:color="auto"/>
        <w:bottom w:val="none" w:sz="0" w:space="0" w:color="auto"/>
        <w:right w:val="none" w:sz="0" w:space="0" w:color="auto"/>
      </w:divBdr>
    </w:div>
    <w:div w:id="459109580">
      <w:bodyDiv w:val="1"/>
      <w:marLeft w:val="0"/>
      <w:marRight w:val="0"/>
      <w:marTop w:val="0"/>
      <w:marBottom w:val="0"/>
      <w:divBdr>
        <w:top w:val="none" w:sz="0" w:space="0" w:color="auto"/>
        <w:left w:val="none" w:sz="0" w:space="0" w:color="auto"/>
        <w:bottom w:val="none" w:sz="0" w:space="0" w:color="auto"/>
        <w:right w:val="none" w:sz="0" w:space="0" w:color="auto"/>
      </w:divBdr>
    </w:div>
    <w:div w:id="460341171">
      <w:bodyDiv w:val="1"/>
      <w:marLeft w:val="0"/>
      <w:marRight w:val="0"/>
      <w:marTop w:val="0"/>
      <w:marBottom w:val="0"/>
      <w:divBdr>
        <w:top w:val="none" w:sz="0" w:space="0" w:color="auto"/>
        <w:left w:val="none" w:sz="0" w:space="0" w:color="auto"/>
        <w:bottom w:val="none" w:sz="0" w:space="0" w:color="auto"/>
        <w:right w:val="none" w:sz="0" w:space="0" w:color="auto"/>
      </w:divBdr>
    </w:div>
    <w:div w:id="460422083">
      <w:bodyDiv w:val="1"/>
      <w:marLeft w:val="0"/>
      <w:marRight w:val="0"/>
      <w:marTop w:val="0"/>
      <w:marBottom w:val="0"/>
      <w:divBdr>
        <w:top w:val="none" w:sz="0" w:space="0" w:color="auto"/>
        <w:left w:val="none" w:sz="0" w:space="0" w:color="auto"/>
        <w:bottom w:val="none" w:sz="0" w:space="0" w:color="auto"/>
        <w:right w:val="none" w:sz="0" w:space="0" w:color="auto"/>
      </w:divBdr>
    </w:div>
    <w:div w:id="470289192">
      <w:bodyDiv w:val="1"/>
      <w:marLeft w:val="0"/>
      <w:marRight w:val="0"/>
      <w:marTop w:val="0"/>
      <w:marBottom w:val="0"/>
      <w:divBdr>
        <w:top w:val="none" w:sz="0" w:space="0" w:color="auto"/>
        <w:left w:val="none" w:sz="0" w:space="0" w:color="auto"/>
        <w:bottom w:val="none" w:sz="0" w:space="0" w:color="auto"/>
        <w:right w:val="none" w:sz="0" w:space="0" w:color="auto"/>
      </w:divBdr>
    </w:div>
    <w:div w:id="470631078">
      <w:bodyDiv w:val="1"/>
      <w:marLeft w:val="0"/>
      <w:marRight w:val="0"/>
      <w:marTop w:val="0"/>
      <w:marBottom w:val="0"/>
      <w:divBdr>
        <w:top w:val="none" w:sz="0" w:space="0" w:color="auto"/>
        <w:left w:val="none" w:sz="0" w:space="0" w:color="auto"/>
        <w:bottom w:val="none" w:sz="0" w:space="0" w:color="auto"/>
        <w:right w:val="none" w:sz="0" w:space="0" w:color="auto"/>
      </w:divBdr>
    </w:div>
    <w:div w:id="485636412">
      <w:bodyDiv w:val="1"/>
      <w:marLeft w:val="0"/>
      <w:marRight w:val="0"/>
      <w:marTop w:val="0"/>
      <w:marBottom w:val="0"/>
      <w:divBdr>
        <w:top w:val="none" w:sz="0" w:space="0" w:color="auto"/>
        <w:left w:val="none" w:sz="0" w:space="0" w:color="auto"/>
        <w:bottom w:val="none" w:sz="0" w:space="0" w:color="auto"/>
        <w:right w:val="none" w:sz="0" w:space="0" w:color="auto"/>
      </w:divBdr>
    </w:div>
    <w:div w:id="498037112">
      <w:bodyDiv w:val="1"/>
      <w:marLeft w:val="0"/>
      <w:marRight w:val="0"/>
      <w:marTop w:val="0"/>
      <w:marBottom w:val="0"/>
      <w:divBdr>
        <w:top w:val="none" w:sz="0" w:space="0" w:color="auto"/>
        <w:left w:val="none" w:sz="0" w:space="0" w:color="auto"/>
        <w:bottom w:val="none" w:sz="0" w:space="0" w:color="auto"/>
        <w:right w:val="none" w:sz="0" w:space="0" w:color="auto"/>
      </w:divBdr>
      <w:divsChild>
        <w:div w:id="1188373487">
          <w:marLeft w:val="547"/>
          <w:marRight w:val="0"/>
          <w:marTop w:val="96"/>
          <w:marBottom w:val="0"/>
          <w:divBdr>
            <w:top w:val="none" w:sz="0" w:space="0" w:color="auto"/>
            <w:left w:val="none" w:sz="0" w:space="0" w:color="auto"/>
            <w:bottom w:val="none" w:sz="0" w:space="0" w:color="auto"/>
            <w:right w:val="none" w:sz="0" w:space="0" w:color="auto"/>
          </w:divBdr>
        </w:div>
      </w:divsChild>
    </w:div>
    <w:div w:id="509221570">
      <w:bodyDiv w:val="1"/>
      <w:marLeft w:val="0"/>
      <w:marRight w:val="0"/>
      <w:marTop w:val="0"/>
      <w:marBottom w:val="0"/>
      <w:divBdr>
        <w:top w:val="none" w:sz="0" w:space="0" w:color="auto"/>
        <w:left w:val="none" w:sz="0" w:space="0" w:color="auto"/>
        <w:bottom w:val="none" w:sz="0" w:space="0" w:color="auto"/>
        <w:right w:val="none" w:sz="0" w:space="0" w:color="auto"/>
      </w:divBdr>
    </w:div>
    <w:div w:id="510680459">
      <w:bodyDiv w:val="1"/>
      <w:marLeft w:val="0"/>
      <w:marRight w:val="0"/>
      <w:marTop w:val="0"/>
      <w:marBottom w:val="0"/>
      <w:divBdr>
        <w:top w:val="none" w:sz="0" w:space="0" w:color="auto"/>
        <w:left w:val="none" w:sz="0" w:space="0" w:color="auto"/>
        <w:bottom w:val="none" w:sz="0" w:space="0" w:color="auto"/>
        <w:right w:val="none" w:sz="0" w:space="0" w:color="auto"/>
      </w:divBdr>
    </w:div>
    <w:div w:id="514422204">
      <w:bodyDiv w:val="1"/>
      <w:marLeft w:val="0"/>
      <w:marRight w:val="0"/>
      <w:marTop w:val="0"/>
      <w:marBottom w:val="0"/>
      <w:divBdr>
        <w:top w:val="none" w:sz="0" w:space="0" w:color="auto"/>
        <w:left w:val="none" w:sz="0" w:space="0" w:color="auto"/>
        <w:bottom w:val="none" w:sz="0" w:space="0" w:color="auto"/>
        <w:right w:val="none" w:sz="0" w:space="0" w:color="auto"/>
      </w:divBdr>
    </w:div>
    <w:div w:id="515265303">
      <w:bodyDiv w:val="1"/>
      <w:marLeft w:val="0"/>
      <w:marRight w:val="0"/>
      <w:marTop w:val="0"/>
      <w:marBottom w:val="0"/>
      <w:divBdr>
        <w:top w:val="none" w:sz="0" w:space="0" w:color="auto"/>
        <w:left w:val="none" w:sz="0" w:space="0" w:color="auto"/>
        <w:bottom w:val="none" w:sz="0" w:space="0" w:color="auto"/>
        <w:right w:val="none" w:sz="0" w:space="0" w:color="auto"/>
      </w:divBdr>
      <w:divsChild>
        <w:div w:id="1025986820">
          <w:marLeft w:val="0"/>
          <w:marRight w:val="0"/>
          <w:marTop w:val="0"/>
          <w:marBottom w:val="0"/>
          <w:divBdr>
            <w:top w:val="none" w:sz="0" w:space="0" w:color="auto"/>
            <w:left w:val="none" w:sz="0" w:space="0" w:color="auto"/>
            <w:bottom w:val="none" w:sz="0" w:space="0" w:color="auto"/>
            <w:right w:val="none" w:sz="0" w:space="0" w:color="auto"/>
          </w:divBdr>
          <w:divsChild>
            <w:div w:id="770123710">
              <w:marLeft w:val="0"/>
              <w:marRight w:val="0"/>
              <w:marTop w:val="0"/>
              <w:marBottom w:val="0"/>
              <w:divBdr>
                <w:top w:val="none" w:sz="0" w:space="0" w:color="auto"/>
                <w:left w:val="none" w:sz="0" w:space="0" w:color="auto"/>
                <w:bottom w:val="none" w:sz="0" w:space="0" w:color="auto"/>
                <w:right w:val="none" w:sz="0" w:space="0" w:color="auto"/>
              </w:divBdr>
              <w:divsChild>
                <w:div w:id="2043548558">
                  <w:marLeft w:val="0"/>
                  <w:marRight w:val="0"/>
                  <w:marTop w:val="0"/>
                  <w:marBottom w:val="0"/>
                  <w:divBdr>
                    <w:top w:val="none" w:sz="0" w:space="0" w:color="auto"/>
                    <w:left w:val="none" w:sz="0" w:space="0" w:color="auto"/>
                    <w:bottom w:val="none" w:sz="0" w:space="0" w:color="auto"/>
                    <w:right w:val="none" w:sz="0" w:space="0" w:color="auto"/>
                  </w:divBdr>
                  <w:divsChild>
                    <w:div w:id="1853566138">
                      <w:marLeft w:val="0"/>
                      <w:marRight w:val="0"/>
                      <w:marTop w:val="0"/>
                      <w:marBottom w:val="0"/>
                      <w:divBdr>
                        <w:top w:val="none" w:sz="0" w:space="0" w:color="auto"/>
                        <w:left w:val="none" w:sz="0" w:space="0" w:color="auto"/>
                        <w:bottom w:val="none" w:sz="0" w:space="0" w:color="auto"/>
                        <w:right w:val="none" w:sz="0" w:space="0" w:color="auto"/>
                      </w:divBdr>
                      <w:divsChild>
                        <w:div w:id="443115984">
                          <w:marLeft w:val="0"/>
                          <w:marRight w:val="0"/>
                          <w:marTop w:val="0"/>
                          <w:marBottom w:val="0"/>
                          <w:divBdr>
                            <w:top w:val="none" w:sz="0" w:space="0" w:color="auto"/>
                            <w:left w:val="none" w:sz="0" w:space="0" w:color="auto"/>
                            <w:bottom w:val="none" w:sz="0" w:space="0" w:color="auto"/>
                            <w:right w:val="none" w:sz="0" w:space="0" w:color="auto"/>
                          </w:divBdr>
                          <w:divsChild>
                            <w:div w:id="1284078371">
                              <w:marLeft w:val="0"/>
                              <w:marRight w:val="0"/>
                              <w:marTop w:val="0"/>
                              <w:marBottom w:val="0"/>
                              <w:divBdr>
                                <w:top w:val="none" w:sz="0" w:space="0" w:color="auto"/>
                                <w:left w:val="none" w:sz="0" w:space="0" w:color="auto"/>
                                <w:bottom w:val="none" w:sz="0" w:space="0" w:color="auto"/>
                                <w:right w:val="none" w:sz="0" w:space="0" w:color="auto"/>
                              </w:divBdr>
                              <w:divsChild>
                                <w:div w:id="197672072">
                                  <w:marLeft w:val="0"/>
                                  <w:marRight w:val="0"/>
                                  <w:marTop w:val="0"/>
                                  <w:marBottom w:val="0"/>
                                  <w:divBdr>
                                    <w:top w:val="none" w:sz="0" w:space="0" w:color="auto"/>
                                    <w:left w:val="none" w:sz="0" w:space="0" w:color="auto"/>
                                    <w:bottom w:val="none" w:sz="0" w:space="0" w:color="auto"/>
                                    <w:right w:val="none" w:sz="0" w:space="0" w:color="auto"/>
                                  </w:divBdr>
                                  <w:divsChild>
                                    <w:div w:id="1846556649">
                                      <w:marLeft w:val="0"/>
                                      <w:marRight w:val="0"/>
                                      <w:marTop w:val="0"/>
                                      <w:marBottom w:val="0"/>
                                      <w:divBdr>
                                        <w:top w:val="none" w:sz="0" w:space="0" w:color="auto"/>
                                        <w:left w:val="none" w:sz="0" w:space="0" w:color="auto"/>
                                        <w:bottom w:val="none" w:sz="0" w:space="0" w:color="auto"/>
                                        <w:right w:val="none" w:sz="0" w:space="0" w:color="auto"/>
                                      </w:divBdr>
                                      <w:divsChild>
                                        <w:div w:id="846021873">
                                          <w:marLeft w:val="0"/>
                                          <w:marRight w:val="0"/>
                                          <w:marTop w:val="0"/>
                                          <w:marBottom w:val="0"/>
                                          <w:divBdr>
                                            <w:top w:val="none" w:sz="0" w:space="0" w:color="auto"/>
                                            <w:left w:val="none" w:sz="0" w:space="0" w:color="auto"/>
                                            <w:bottom w:val="none" w:sz="0" w:space="0" w:color="auto"/>
                                            <w:right w:val="none" w:sz="0" w:space="0" w:color="auto"/>
                                          </w:divBdr>
                                          <w:divsChild>
                                            <w:div w:id="852261514">
                                              <w:marLeft w:val="0"/>
                                              <w:marRight w:val="0"/>
                                              <w:marTop w:val="0"/>
                                              <w:marBottom w:val="0"/>
                                              <w:divBdr>
                                                <w:top w:val="none" w:sz="0" w:space="0" w:color="auto"/>
                                                <w:left w:val="none" w:sz="0" w:space="0" w:color="auto"/>
                                                <w:bottom w:val="none" w:sz="0" w:space="0" w:color="auto"/>
                                                <w:right w:val="none" w:sz="0" w:space="0" w:color="auto"/>
                                              </w:divBdr>
                                              <w:divsChild>
                                                <w:div w:id="1822304757">
                                                  <w:marLeft w:val="0"/>
                                                  <w:marRight w:val="0"/>
                                                  <w:marTop w:val="0"/>
                                                  <w:marBottom w:val="0"/>
                                                  <w:divBdr>
                                                    <w:top w:val="none" w:sz="0" w:space="0" w:color="auto"/>
                                                    <w:left w:val="none" w:sz="0" w:space="0" w:color="auto"/>
                                                    <w:bottom w:val="none" w:sz="0" w:space="0" w:color="auto"/>
                                                    <w:right w:val="none" w:sz="0" w:space="0" w:color="auto"/>
                                                  </w:divBdr>
                                                  <w:divsChild>
                                                    <w:div w:id="2085374647">
                                                      <w:marLeft w:val="0"/>
                                                      <w:marRight w:val="0"/>
                                                      <w:marTop w:val="0"/>
                                                      <w:marBottom w:val="0"/>
                                                      <w:divBdr>
                                                        <w:top w:val="none" w:sz="0" w:space="0" w:color="auto"/>
                                                        <w:left w:val="none" w:sz="0" w:space="0" w:color="auto"/>
                                                        <w:bottom w:val="none" w:sz="0" w:space="0" w:color="auto"/>
                                                        <w:right w:val="none" w:sz="0" w:space="0" w:color="auto"/>
                                                      </w:divBdr>
                                                      <w:divsChild>
                                                        <w:div w:id="1301686271">
                                                          <w:marLeft w:val="0"/>
                                                          <w:marRight w:val="0"/>
                                                          <w:marTop w:val="0"/>
                                                          <w:marBottom w:val="0"/>
                                                          <w:divBdr>
                                                            <w:top w:val="none" w:sz="0" w:space="0" w:color="auto"/>
                                                            <w:left w:val="none" w:sz="0" w:space="0" w:color="auto"/>
                                                            <w:bottom w:val="none" w:sz="0" w:space="0" w:color="auto"/>
                                                            <w:right w:val="none" w:sz="0" w:space="0" w:color="auto"/>
                                                          </w:divBdr>
                                                          <w:divsChild>
                                                            <w:div w:id="1171795556">
                                                              <w:marLeft w:val="0"/>
                                                              <w:marRight w:val="0"/>
                                                              <w:marTop w:val="0"/>
                                                              <w:marBottom w:val="0"/>
                                                              <w:divBdr>
                                                                <w:top w:val="none" w:sz="0" w:space="0" w:color="auto"/>
                                                                <w:left w:val="none" w:sz="0" w:space="0" w:color="auto"/>
                                                                <w:bottom w:val="none" w:sz="0" w:space="0" w:color="auto"/>
                                                                <w:right w:val="none" w:sz="0" w:space="0" w:color="auto"/>
                                                              </w:divBdr>
                                                              <w:divsChild>
                                                                <w:div w:id="1823815906">
                                                                  <w:marLeft w:val="0"/>
                                                                  <w:marRight w:val="0"/>
                                                                  <w:marTop w:val="0"/>
                                                                  <w:marBottom w:val="0"/>
                                                                  <w:divBdr>
                                                                    <w:top w:val="none" w:sz="0" w:space="0" w:color="auto"/>
                                                                    <w:left w:val="none" w:sz="0" w:space="0" w:color="auto"/>
                                                                    <w:bottom w:val="none" w:sz="0" w:space="0" w:color="auto"/>
                                                                    <w:right w:val="none" w:sz="0" w:space="0" w:color="auto"/>
                                                                  </w:divBdr>
                                                                  <w:divsChild>
                                                                    <w:div w:id="183906012">
                                                                      <w:marLeft w:val="0"/>
                                                                      <w:marRight w:val="0"/>
                                                                      <w:marTop w:val="0"/>
                                                                      <w:marBottom w:val="0"/>
                                                                      <w:divBdr>
                                                                        <w:top w:val="none" w:sz="0" w:space="0" w:color="auto"/>
                                                                        <w:left w:val="none" w:sz="0" w:space="0" w:color="auto"/>
                                                                        <w:bottom w:val="none" w:sz="0" w:space="0" w:color="auto"/>
                                                                        <w:right w:val="none" w:sz="0" w:space="0" w:color="auto"/>
                                                                      </w:divBdr>
                                                                    </w:div>
                                                                    <w:div w:id="1324818020">
                                                                      <w:marLeft w:val="0"/>
                                                                      <w:marRight w:val="0"/>
                                                                      <w:marTop w:val="0"/>
                                                                      <w:marBottom w:val="0"/>
                                                                      <w:divBdr>
                                                                        <w:top w:val="none" w:sz="0" w:space="0" w:color="auto"/>
                                                                        <w:left w:val="none" w:sz="0" w:space="0" w:color="auto"/>
                                                                        <w:bottom w:val="none" w:sz="0" w:space="0" w:color="auto"/>
                                                                        <w:right w:val="none" w:sz="0" w:space="0" w:color="auto"/>
                                                                      </w:divBdr>
                                                                    </w:div>
                                                                    <w:div w:id="214461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19515498">
      <w:bodyDiv w:val="1"/>
      <w:marLeft w:val="0"/>
      <w:marRight w:val="0"/>
      <w:marTop w:val="0"/>
      <w:marBottom w:val="0"/>
      <w:divBdr>
        <w:top w:val="none" w:sz="0" w:space="0" w:color="auto"/>
        <w:left w:val="none" w:sz="0" w:space="0" w:color="auto"/>
        <w:bottom w:val="none" w:sz="0" w:space="0" w:color="auto"/>
        <w:right w:val="none" w:sz="0" w:space="0" w:color="auto"/>
      </w:divBdr>
    </w:div>
    <w:div w:id="531648551">
      <w:bodyDiv w:val="1"/>
      <w:marLeft w:val="0"/>
      <w:marRight w:val="0"/>
      <w:marTop w:val="0"/>
      <w:marBottom w:val="0"/>
      <w:divBdr>
        <w:top w:val="none" w:sz="0" w:space="0" w:color="auto"/>
        <w:left w:val="none" w:sz="0" w:space="0" w:color="auto"/>
        <w:bottom w:val="none" w:sz="0" w:space="0" w:color="auto"/>
        <w:right w:val="none" w:sz="0" w:space="0" w:color="auto"/>
      </w:divBdr>
    </w:div>
    <w:div w:id="532808810">
      <w:bodyDiv w:val="1"/>
      <w:marLeft w:val="0"/>
      <w:marRight w:val="0"/>
      <w:marTop w:val="0"/>
      <w:marBottom w:val="0"/>
      <w:divBdr>
        <w:top w:val="none" w:sz="0" w:space="0" w:color="auto"/>
        <w:left w:val="none" w:sz="0" w:space="0" w:color="auto"/>
        <w:bottom w:val="none" w:sz="0" w:space="0" w:color="auto"/>
        <w:right w:val="none" w:sz="0" w:space="0" w:color="auto"/>
      </w:divBdr>
    </w:div>
    <w:div w:id="539435036">
      <w:bodyDiv w:val="1"/>
      <w:marLeft w:val="0"/>
      <w:marRight w:val="0"/>
      <w:marTop w:val="0"/>
      <w:marBottom w:val="0"/>
      <w:divBdr>
        <w:top w:val="none" w:sz="0" w:space="0" w:color="auto"/>
        <w:left w:val="none" w:sz="0" w:space="0" w:color="auto"/>
        <w:bottom w:val="none" w:sz="0" w:space="0" w:color="auto"/>
        <w:right w:val="none" w:sz="0" w:space="0" w:color="auto"/>
      </w:divBdr>
    </w:div>
    <w:div w:id="552814412">
      <w:bodyDiv w:val="1"/>
      <w:marLeft w:val="0"/>
      <w:marRight w:val="0"/>
      <w:marTop w:val="0"/>
      <w:marBottom w:val="0"/>
      <w:divBdr>
        <w:top w:val="none" w:sz="0" w:space="0" w:color="auto"/>
        <w:left w:val="none" w:sz="0" w:space="0" w:color="auto"/>
        <w:bottom w:val="none" w:sz="0" w:space="0" w:color="auto"/>
        <w:right w:val="none" w:sz="0" w:space="0" w:color="auto"/>
      </w:divBdr>
    </w:div>
    <w:div w:id="564536920">
      <w:bodyDiv w:val="1"/>
      <w:marLeft w:val="0"/>
      <w:marRight w:val="0"/>
      <w:marTop w:val="0"/>
      <w:marBottom w:val="0"/>
      <w:divBdr>
        <w:top w:val="none" w:sz="0" w:space="0" w:color="auto"/>
        <w:left w:val="none" w:sz="0" w:space="0" w:color="auto"/>
        <w:bottom w:val="none" w:sz="0" w:space="0" w:color="auto"/>
        <w:right w:val="none" w:sz="0" w:space="0" w:color="auto"/>
      </w:divBdr>
    </w:div>
    <w:div w:id="570503149">
      <w:bodyDiv w:val="1"/>
      <w:marLeft w:val="0"/>
      <w:marRight w:val="0"/>
      <w:marTop w:val="0"/>
      <w:marBottom w:val="0"/>
      <w:divBdr>
        <w:top w:val="none" w:sz="0" w:space="0" w:color="auto"/>
        <w:left w:val="none" w:sz="0" w:space="0" w:color="auto"/>
        <w:bottom w:val="none" w:sz="0" w:space="0" w:color="auto"/>
        <w:right w:val="none" w:sz="0" w:space="0" w:color="auto"/>
      </w:divBdr>
    </w:div>
    <w:div w:id="572081728">
      <w:bodyDiv w:val="1"/>
      <w:marLeft w:val="0"/>
      <w:marRight w:val="0"/>
      <w:marTop w:val="0"/>
      <w:marBottom w:val="0"/>
      <w:divBdr>
        <w:top w:val="none" w:sz="0" w:space="0" w:color="auto"/>
        <w:left w:val="none" w:sz="0" w:space="0" w:color="auto"/>
        <w:bottom w:val="none" w:sz="0" w:space="0" w:color="auto"/>
        <w:right w:val="none" w:sz="0" w:space="0" w:color="auto"/>
      </w:divBdr>
    </w:div>
    <w:div w:id="577059323">
      <w:bodyDiv w:val="1"/>
      <w:marLeft w:val="0"/>
      <w:marRight w:val="0"/>
      <w:marTop w:val="0"/>
      <w:marBottom w:val="0"/>
      <w:divBdr>
        <w:top w:val="none" w:sz="0" w:space="0" w:color="auto"/>
        <w:left w:val="none" w:sz="0" w:space="0" w:color="auto"/>
        <w:bottom w:val="none" w:sz="0" w:space="0" w:color="auto"/>
        <w:right w:val="none" w:sz="0" w:space="0" w:color="auto"/>
      </w:divBdr>
    </w:div>
    <w:div w:id="580912673">
      <w:bodyDiv w:val="1"/>
      <w:marLeft w:val="0"/>
      <w:marRight w:val="0"/>
      <w:marTop w:val="0"/>
      <w:marBottom w:val="0"/>
      <w:divBdr>
        <w:top w:val="none" w:sz="0" w:space="0" w:color="auto"/>
        <w:left w:val="none" w:sz="0" w:space="0" w:color="auto"/>
        <w:bottom w:val="none" w:sz="0" w:space="0" w:color="auto"/>
        <w:right w:val="none" w:sz="0" w:space="0" w:color="auto"/>
      </w:divBdr>
      <w:divsChild>
        <w:div w:id="768357236">
          <w:marLeft w:val="1166"/>
          <w:marRight w:val="0"/>
          <w:marTop w:val="200"/>
          <w:marBottom w:val="200"/>
          <w:divBdr>
            <w:top w:val="none" w:sz="0" w:space="0" w:color="auto"/>
            <w:left w:val="none" w:sz="0" w:space="0" w:color="auto"/>
            <w:bottom w:val="none" w:sz="0" w:space="0" w:color="auto"/>
            <w:right w:val="none" w:sz="0" w:space="0" w:color="auto"/>
          </w:divBdr>
        </w:div>
        <w:div w:id="1123226503">
          <w:marLeft w:val="1166"/>
          <w:marRight w:val="0"/>
          <w:marTop w:val="200"/>
          <w:marBottom w:val="200"/>
          <w:divBdr>
            <w:top w:val="none" w:sz="0" w:space="0" w:color="auto"/>
            <w:left w:val="none" w:sz="0" w:space="0" w:color="auto"/>
            <w:bottom w:val="none" w:sz="0" w:space="0" w:color="auto"/>
            <w:right w:val="none" w:sz="0" w:space="0" w:color="auto"/>
          </w:divBdr>
        </w:div>
        <w:div w:id="1775900612">
          <w:marLeft w:val="1166"/>
          <w:marRight w:val="0"/>
          <w:marTop w:val="200"/>
          <w:marBottom w:val="200"/>
          <w:divBdr>
            <w:top w:val="none" w:sz="0" w:space="0" w:color="auto"/>
            <w:left w:val="none" w:sz="0" w:space="0" w:color="auto"/>
            <w:bottom w:val="none" w:sz="0" w:space="0" w:color="auto"/>
            <w:right w:val="none" w:sz="0" w:space="0" w:color="auto"/>
          </w:divBdr>
        </w:div>
        <w:div w:id="1919173267">
          <w:marLeft w:val="1166"/>
          <w:marRight w:val="0"/>
          <w:marTop w:val="200"/>
          <w:marBottom w:val="200"/>
          <w:divBdr>
            <w:top w:val="none" w:sz="0" w:space="0" w:color="auto"/>
            <w:left w:val="none" w:sz="0" w:space="0" w:color="auto"/>
            <w:bottom w:val="none" w:sz="0" w:space="0" w:color="auto"/>
            <w:right w:val="none" w:sz="0" w:space="0" w:color="auto"/>
          </w:divBdr>
        </w:div>
      </w:divsChild>
    </w:div>
    <w:div w:id="594166591">
      <w:bodyDiv w:val="1"/>
      <w:marLeft w:val="0"/>
      <w:marRight w:val="0"/>
      <w:marTop w:val="0"/>
      <w:marBottom w:val="0"/>
      <w:divBdr>
        <w:top w:val="none" w:sz="0" w:space="0" w:color="auto"/>
        <w:left w:val="none" w:sz="0" w:space="0" w:color="auto"/>
        <w:bottom w:val="none" w:sz="0" w:space="0" w:color="auto"/>
        <w:right w:val="none" w:sz="0" w:space="0" w:color="auto"/>
      </w:divBdr>
    </w:div>
    <w:div w:id="595097470">
      <w:bodyDiv w:val="1"/>
      <w:marLeft w:val="0"/>
      <w:marRight w:val="0"/>
      <w:marTop w:val="0"/>
      <w:marBottom w:val="0"/>
      <w:divBdr>
        <w:top w:val="none" w:sz="0" w:space="0" w:color="auto"/>
        <w:left w:val="none" w:sz="0" w:space="0" w:color="auto"/>
        <w:bottom w:val="none" w:sz="0" w:space="0" w:color="auto"/>
        <w:right w:val="none" w:sz="0" w:space="0" w:color="auto"/>
      </w:divBdr>
    </w:div>
    <w:div w:id="596138526">
      <w:bodyDiv w:val="1"/>
      <w:marLeft w:val="0"/>
      <w:marRight w:val="0"/>
      <w:marTop w:val="0"/>
      <w:marBottom w:val="0"/>
      <w:divBdr>
        <w:top w:val="none" w:sz="0" w:space="0" w:color="auto"/>
        <w:left w:val="none" w:sz="0" w:space="0" w:color="auto"/>
        <w:bottom w:val="none" w:sz="0" w:space="0" w:color="auto"/>
        <w:right w:val="none" w:sz="0" w:space="0" w:color="auto"/>
      </w:divBdr>
    </w:div>
    <w:div w:id="596209332">
      <w:bodyDiv w:val="1"/>
      <w:marLeft w:val="0"/>
      <w:marRight w:val="0"/>
      <w:marTop w:val="0"/>
      <w:marBottom w:val="0"/>
      <w:divBdr>
        <w:top w:val="none" w:sz="0" w:space="0" w:color="auto"/>
        <w:left w:val="none" w:sz="0" w:space="0" w:color="auto"/>
        <w:bottom w:val="none" w:sz="0" w:space="0" w:color="auto"/>
        <w:right w:val="none" w:sz="0" w:space="0" w:color="auto"/>
      </w:divBdr>
    </w:div>
    <w:div w:id="597375823">
      <w:bodyDiv w:val="1"/>
      <w:marLeft w:val="0"/>
      <w:marRight w:val="0"/>
      <w:marTop w:val="0"/>
      <w:marBottom w:val="0"/>
      <w:divBdr>
        <w:top w:val="none" w:sz="0" w:space="0" w:color="auto"/>
        <w:left w:val="none" w:sz="0" w:space="0" w:color="auto"/>
        <w:bottom w:val="none" w:sz="0" w:space="0" w:color="auto"/>
        <w:right w:val="none" w:sz="0" w:space="0" w:color="auto"/>
      </w:divBdr>
    </w:div>
    <w:div w:id="603415399">
      <w:bodyDiv w:val="1"/>
      <w:marLeft w:val="0"/>
      <w:marRight w:val="0"/>
      <w:marTop w:val="0"/>
      <w:marBottom w:val="0"/>
      <w:divBdr>
        <w:top w:val="none" w:sz="0" w:space="0" w:color="auto"/>
        <w:left w:val="none" w:sz="0" w:space="0" w:color="auto"/>
        <w:bottom w:val="none" w:sz="0" w:space="0" w:color="auto"/>
        <w:right w:val="none" w:sz="0" w:space="0" w:color="auto"/>
      </w:divBdr>
      <w:divsChild>
        <w:div w:id="1965260784">
          <w:marLeft w:val="0"/>
          <w:marRight w:val="0"/>
          <w:marTop w:val="0"/>
          <w:marBottom w:val="0"/>
          <w:divBdr>
            <w:top w:val="none" w:sz="0" w:space="0" w:color="auto"/>
            <w:left w:val="none" w:sz="0" w:space="0" w:color="auto"/>
            <w:bottom w:val="none" w:sz="0" w:space="0" w:color="auto"/>
            <w:right w:val="none" w:sz="0" w:space="0" w:color="auto"/>
          </w:divBdr>
        </w:div>
      </w:divsChild>
    </w:div>
    <w:div w:id="606233745">
      <w:bodyDiv w:val="1"/>
      <w:marLeft w:val="0"/>
      <w:marRight w:val="0"/>
      <w:marTop w:val="0"/>
      <w:marBottom w:val="0"/>
      <w:divBdr>
        <w:top w:val="none" w:sz="0" w:space="0" w:color="auto"/>
        <w:left w:val="none" w:sz="0" w:space="0" w:color="auto"/>
        <w:bottom w:val="none" w:sz="0" w:space="0" w:color="auto"/>
        <w:right w:val="none" w:sz="0" w:space="0" w:color="auto"/>
      </w:divBdr>
    </w:div>
    <w:div w:id="607084171">
      <w:bodyDiv w:val="1"/>
      <w:marLeft w:val="0"/>
      <w:marRight w:val="0"/>
      <w:marTop w:val="0"/>
      <w:marBottom w:val="0"/>
      <w:divBdr>
        <w:top w:val="none" w:sz="0" w:space="0" w:color="auto"/>
        <w:left w:val="none" w:sz="0" w:space="0" w:color="auto"/>
        <w:bottom w:val="none" w:sz="0" w:space="0" w:color="auto"/>
        <w:right w:val="none" w:sz="0" w:space="0" w:color="auto"/>
      </w:divBdr>
    </w:div>
    <w:div w:id="610358112">
      <w:bodyDiv w:val="1"/>
      <w:marLeft w:val="0"/>
      <w:marRight w:val="0"/>
      <w:marTop w:val="0"/>
      <w:marBottom w:val="0"/>
      <w:divBdr>
        <w:top w:val="none" w:sz="0" w:space="0" w:color="auto"/>
        <w:left w:val="none" w:sz="0" w:space="0" w:color="auto"/>
        <w:bottom w:val="none" w:sz="0" w:space="0" w:color="auto"/>
        <w:right w:val="none" w:sz="0" w:space="0" w:color="auto"/>
      </w:divBdr>
    </w:div>
    <w:div w:id="610551304">
      <w:bodyDiv w:val="1"/>
      <w:marLeft w:val="0"/>
      <w:marRight w:val="0"/>
      <w:marTop w:val="0"/>
      <w:marBottom w:val="0"/>
      <w:divBdr>
        <w:top w:val="none" w:sz="0" w:space="0" w:color="auto"/>
        <w:left w:val="none" w:sz="0" w:space="0" w:color="auto"/>
        <w:bottom w:val="none" w:sz="0" w:space="0" w:color="auto"/>
        <w:right w:val="none" w:sz="0" w:space="0" w:color="auto"/>
      </w:divBdr>
    </w:div>
    <w:div w:id="613441710">
      <w:bodyDiv w:val="1"/>
      <w:marLeft w:val="0"/>
      <w:marRight w:val="0"/>
      <w:marTop w:val="0"/>
      <w:marBottom w:val="0"/>
      <w:divBdr>
        <w:top w:val="none" w:sz="0" w:space="0" w:color="auto"/>
        <w:left w:val="none" w:sz="0" w:space="0" w:color="auto"/>
        <w:bottom w:val="none" w:sz="0" w:space="0" w:color="auto"/>
        <w:right w:val="none" w:sz="0" w:space="0" w:color="auto"/>
      </w:divBdr>
    </w:div>
    <w:div w:id="616641646">
      <w:bodyDiv w:val="1"/>
      <w:marLeft w:val="0"/>
      <w:marRight w:val="0"/>
      <w:marTop w:val="0"/>
      <w:marBottom w:val="0"/>
      <w:divBdr>
        <w:top w:val="none" w:sz="0" w:space="0" w:color="auto"/>
        <w:left w:val="none" w:sz="0" w:space="0" w:color="auto"/>
        <w:bottom w:val="none" w:sz="0" w:space="0" w:color="auto"/>
        <w:right w:val="none" w:sz="0" w:space="0" w:color="auto"/>
      </w:divBdr>
      <w:divsChild>
        <w:div w:id="1316111265">
          <w:marLeft w:val="0"/>
          <w:marRight w:val="0"/>
          <w:marTop w:val="0"/>
          <w:marBottom w:val="0"/>
          <w:divBdr>
            <w:top w:val="single" w:sz="6" w:space="0" w:color="FFFFFF"/>
            <w:left w:val="single" w:sz="6" w:space="0" w:color="FFFFFF"/>
            <w:bottom w:val="none" w:sz="0" w:space="0" w:color="auto"/>
            <w:right w:val="none" w:sz="0" w:space="0" w:color="auto"/>
          </w:divBdr>
          <w:divsChild>
            <w:div w:id="1547834462">
              <w:marLeft w:val="2400"/>
              <w:marRight w:val="150"/>
              <w:marTop w:val="0"/>
              <w:marBottom w:val="0"/>
              <w:divBdr>
                <w:top w:val="none" w:sz="0" w:space="0" w:color="auto"/>
                <w:left w:val="none" w:sz="0" w:space="0" w:color="auto"/>
                <w:bottom w:val="none" w:sz="0" w:space="0" w:color="auto"/>
                <w:right w:val="none" w:sz="0" w:space="0" w:color="auto"/>
              </w:divBdr>
              <w:divsChild>
                <w:div w:id="1141386302">
                  <w:marLeft w:val="0"/>
                  <w:marRight w:val="0"/>
                  <w:marTop w:val="150"/>
                  <w:marBottom w:val="600"/>
                  <w:divBdr>
                    <w:top w:val="single" w:sz="6" w:space="3" w:color="AAAAFF"/>
                    <w:left w:val="single" w:sz="6" w:space="8" w:color="AAAAFF"/>
                    <w:bottom w:val="single" w:sz="6" w:space="8" w:color="AAAAFF"/>
                    <w:right w:val="single" w:sz="6" w:space="8" w:color="AAAAFF"/>
                  </w:divBdr>
                  <w:divsChild>
                    <w:div w:id="2103262367">
                      <w:marLeft w:val="0"/>
                      <w:marRight w:val="0"/>
                      <w:marTop w:val="0"/>
                      <w:marBottom w:val="0"/>
                      <w:divBdr>
                        <w:top w:val="none" w:sz="0" w:space="0" w:color="auto"/>
                        <w:left w:val="none" w:sz="0" w:space="0" w:color="auto"/>
                        <w:bottom w:val="none" w:sz="0" w:space="0" w:color="auto"/>
                        <w:right w:val="none" w:sz="0" w:space="0" w:color="auto"/>
                      </w:divBdr>
                      <w:divsChild>
                        <w:div w:id="83172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880">
      <w:bodyDiv w:val="1"/>
      <w:marLeft w:val="0"/>
      <w:marRight w:val="0"/>
      <w:marTop w:val="0"/>
      <w:marBottom w:val="0"/>
      <w:divBdr>
        <w:top w:val="none" w:sz="0" w:space="0" w:color="auto"/>
        <w:left w:val="none" w:sz="0" w:space="0" w:color="auto"/>
        <w:bottom w:val="none" w:sz="0" w:space="0" w:color="auto"/>
        <w:right w:val="none" w:sz="0" w:space="0" w:color="auto"/>
      </w:divBdr>
    </w:div>
    <w:div w:id="622346345">
      <w:bodyDiv w:val="1"/>
      <w:marLeft w:val="0"/>
      <w:marRight w:val="0"/>
      <w:marTop w:val="0"/>
      <w:marBottom w:val="0"/>
      <w:divBdr>
        <w:top w:val="none" w:sz="0" w:space="0" w:color="auto"/>
        <w:left w:val="none" w:sz="0" w:space="0" w:color="auto"/>
        <w:bottom w:val="none" w:sz="0" w:space="0" w:color="auto"/>
        <w:right w:val="none" w:sz="0" w:space="0" w:color="auto"/>
      </w:divBdr>
    </w:div>
    <w:div w:id="623270134">
      <w:bodyDiv w:val="1"/>
      <w:marLeft w:val="0"/>
      <w:marRight w:val="0"/>
      <w:marTop w:val="0"/>
      <w:marBottom w:val="0"/>
      <w:divBdr>
        <w:top w:val="none" w:sz="0" w:space="0" w:color="auto"/>
        <w:left w:val="none" w:sz="0" w:space="0" w:color="auto"/>
        <w:bottom w:val="none" w:sz="0" w:space="0" w:color="auto"/>
        <w:right w:val="none" w:sz="0" w:space="0" w:color="auto"/>
      </w:divBdr>
    </w:div>
    <w:div w:id="624430461">
      <w:bodyDiv w:val="1"/>
      <w:marLeft w:val="0"/>
      <w:marRight w:val="0"/>
      <w:marTop w:val="0"/>
      <w:marBottom w:val="0"/>
      <w:divBdr>
        <w:top w:val="none" w:sz="0" w:space="0" w:color="auto"/>
        <w:left w:val="none" w:sz="0" w:space="0" w:color="auto"/>
        <w:bottom w:val="none" w:sz="0" w:space="0" w:color="auto"/>
        <w:right w:val="none" w:sz="0" w:space="0" w:color="auto"/>
      </w:divBdr>
    </w:div>
    <w:div w:id="627005154">
      <w:bodyDiv w:val="1"/>
      <w:marLeft w:val="0"/>
      <w:marRight w:val="0"/>
      <w:marTop w:val="0"/>
      <w:marBottom w:val="0"/>
      <w:divBdr>
        <w:top w:val="none" w:sz="0" w:space="0" w:color="auto"/>
        <w:left w:val="none" w:sz="0" w:space="0" w:color="auto"/>
        <w:bottom w:val="none" w:sz="0" w:space="0" w:color="auto"/>
        <w:right w:val="none" w:sz="0" w:space="0" w:color="auto"/>
      </w:divBdr>
      <w:divsChild>
        <w:div w:id="955332973">
          <w:marLeft w:val="0"/>
          <w:marRight w:val="0"/>
          <w:marTop w:val="0"/>
          <w:marBottom w:val="0"/>
          <w:divBdr>
            <w:top w:val="none" w:sz="0" w:space="0" w:color="auto"/>
            <w:left w:val="none" w:sz="0" w:space="0" w:color="auto"/>
            <w:bottom w:val="none" w:sz="0" w:space="0" w:color="auto"/>
            <w:right w:val="none" w:sz="0" w:space="0" w:color="auto"/>
          </w:divBdr>
        </w:div>
      </w:divsChild>
    </w:div>
    <w:div w:id="634214759">
      <w:bodyDiv w:val="1"/>
      <w:marLeft w:val="0"/>
      <w:marRight w:val="0"/>
      <w:marTop w:val="0"/>
      <w:marBottom w:val="0"/>
      <w:divBdr>
        <w:top w:val="none" w:sz="0" w:space="0" w:color="auto"/>
        <w:left w:val="none" w:sz="0" w:space="0" w:color="auto"/>
        <w:bottom w:val="none" w:sz="0" w:space="0" w:color="auto"/>
        <w:right w:val="none" w:sz="0" w:space="0" w:color="auto"/>
      </w:divBdr>
      <w:divsChild>
        <w:div w:id="888808998">
          <w:marLeft w:val="1166"/>
          <w:marRight w:val="0"/>
          <w:marTop w:val="115"/>
          <w:marBottom w:val="0"/>
          <w:divBdr>
            <w:top w:val="none" w:sz="0" w:space="0" w:color="auto"/>
            <w:left w:val="none" w:sz="0" w:space="0" w:color="auto"/>
            <w:bottom w:val="none" w:sz="0" w:space="0" w:color="auto"/>
            <w:right w:val="none" w:sz="0" w:space="0" w:color="auto"/>
          </w:divBdr>
        </w:div>
      </w:divsChild>
    </w:div>
    <w:div w:id="635109491">
      <w:bodyDiv w:val="1"/>
      <w:marLeft w:val="0"/>
      <w:marRight w:val="0"/>
      <w:marTop w:val="0"/>
      <w:marBottom w:val="0"/>
      <w:divBdr>
        <w:top w:val="none" w:sz="0" w:space="0" w:color="auto"/>
        <w:left w:val="none" w:sz="0" w:space="0" w:color="auto"/>
        <w:bottom w:val="none" w:sz="0" w:space="0" w:color="auto"/>
        <w:right w:val="none" w:sz="0" w:space="0" w:color="auto"/>
      </w:divBdr>
    </w:div>
    <w:div w:id="639653754">
      <w:bodyDiv w:val="1"/>
      <w:marLeft w:val="0"/>
      <w:marRight w:val="0"/>
      <w:marTop w:val="0"/>
      <w:marBottom w:val="0"/>
      <w:divBdr>
        <w:top w:val="none" w:sz="0" w:space="0" w:color="auto"/>
        <w:left w:val="none" w:sz="0" w:space="0" w:color="auto"/>
        <w:bottom w:val="none" w:sz="0" w:space="0" w:color="auto"/>
        <w:right w:val="none" w:sz="0" w:space="0" w:color="auto"/>
      </w:divBdr>
    </w:div>
    <w:div w:id="640038487">
      <w:bodyDiv w:val="1"/>
      <w:marLeft w:val="0"/>
      <w:marRight w:val="0"/>
      <w:marTop w:val="0"/>
      <w:marBottom w:val="0"/>
      <w:divBdr>
        <w:top w:val="none" w:sz="0" w:space="0" w:color="auto"/>
        <w:left w:val="none" w:sz="0" w:space="0" w:color="auto"/>
        <w:bottom w:val="none" w:sz="0" w:space="0" w:color="auto"/>
        <w:right w:val="none" w:sz="0" w:space="0" w:color="auto"/>
      </w:divBdr>
    </w:div>
    <w:div w:id="644164255">
      <w:bodyDiv w:val="1"/>
      <w:marLeft w:val="0"/>
      <w:marRight w:val="0"/>
      <w:marTop w:val="0"/>
      <w:marBottom w:val="0"/>
      <w:divBdr>
        <w:top w:val="none" w:sz="0" w:space="0" w:color="auto"/>
        <w:left w:val="none" w:sz="0" w:space="0" w:color="auto"/>
        <w:bottom w:val="none" w:sz="0" w:space="0" w:color="auto"/>
        <w:right w:val="none" w:sz="0" w:space="0" w:color="auto"/>
      </w:divBdr>
    </w:div>
    <w:div w:id="647248209">
      <w:bodyDiv w:val="1"/>
      <w:marLeft w:val="0"/>
      <w:marRight w:val="0"/>
      <w:marTop w:val="0"/>
      <w:marBottom w:val="0"/>
      <w:divBdr>
        <w:top w:val="none" w:sz="0" w:space="0" w:color="auto"/>
        <w:left w:val="none" w:sz="0" w:space="0" w:color="auto"/>
        <w:bottom w:val="none" w:sz="0" w:space="0" w:color="auto"/>
        <w:right w:val="none" w:sz="0" w:space="0" w:color="auto"/>
      </w:divBdr>
    </w:div>
    <w:div w:id="647444017">
      <w:bodyDiv w:val="1"/>
      <w:marLeft w:val="0"/>
      <w:marRight w:val="0"/>
      <w:marTop w:val="0"/>
      <w:marBottom w:val="0"/>
      <w:divBdr>
        <w:top w:val="none" w:sz="0" w:space="0" w:color="auto"/>
        <w:left w:val="none" w:sz="0" w:space="0" w:color="auto"/>
        <w:bottom w:val="none" w:sz="0" w:space="0" w:color="auto"/>
        <w:right w:val="none" w:sz="0" w:space="0" w:color="auto"/>
      </w:divBdr>
      <w:divsChild>
        <w:div w:id="789596019">
          <w:marLeft w:val="0"/>
          <w:marRight w:val="0"/>
          <w:marTop w:val="0"/>
          <w:marBottom w:val="0"/>
          <w:divBdr>
            <w:top w:val="none" w:sz="0" w:space="0" w:color="auto"/>
            <w:left w:val="none" w:sz="0" w:space="0" w:color="auto"/>
            <w:bottom w:val="none" w:sz="0" w:space="0" w:color="auto"/>
            <w:right w:val="none" w:sz="0" w:space="0" w:color="auto"/>
          </w:divBdr>
          <w:divsChild>
            <w:div w:id="41814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612158">
      <w:bodyDiv w:val="1"/>
      <w:marLeft w:val="0"/>
      <w:marRight w:val="0"/>
      <w:marTop w:val="0"/>
      <w:marBottom w:val="0"/>
      <w:divBdr>
        <w:top w:val="none" w:sz="0" w:space="0" w:color="auto"/>
        <w:left w:val="none" w:sz="0" w:space="0" w:color="auto"/>
        <w:bottom w:val="none" w:sz="0" w:space="0" w:color="auto"/>
        <w:right w:val="none" w:sz="0" w:space="0" w:color="auto"/>
      </w:divBdr>
      <w:divsChild>
        <w:div w:id="2141146392">
          <w:marLeft w:val="1166"/>
          <w:marRight w:val="0"/>
          <w:marTop w:val="240"/>
          <w:marBottom w:val="240"/>
          <w:divBdr>
            <w:top w:val="none" w:sz="0" w:space="0" w:color="auto"/>
            <w:left w:val="none" w:sz="0" w:space="0" w:color="auto"/>
            <w:bottom w:val="none" w:sz="0" w:space="0" w:color="auto"/>
            <w:right w:val="none" w:sz="0" w:space="0" w:color="auto"/>
          </w:divBdr>
        </w:div>
      </w:divsChild>
    </w:div>
    <w:div w:id="658458803">
      <w:bodyDiv w:val="1"/>
      <w:marLeft w:val="0"/>
      <w:marRight w:val="0"/>
      <w:marTop w:val="0"/>
      <w:marBottom w:val="0"/>
      <w:divBdr>
        <w:top w:val="none" w:sz="0" w:space="0" w:color="auto"/>
        <w:left w:val="none" w:sz="0" w:space="0" w:color="auto"/>
        <w:bottom w:val="none" w:sz="0" w:space="0" w:color="auto"/>
        <w:right w:val="none" w:sz="0" w:space="0" w:color="auto"/>
      </w:divBdr>
    </w:div>
    <w:div w:id="660426570">
      <w:bodyDiv w:val="1"/>
      <w:marLeft w:val="0"/>
      <w:marRight w:val="0"/>
      <w:marTop w:val="0"/>
      <w:marBottom w:val="0"/>
      <w:divBdr>
        <w:top w:val="none" w:sz="0" w:space="0" w:color="auto"/>
        <w:left w:val="none" w:sz="0" w:space="0" w:color="auto"/>
        <w:bottom w:val="none" w:sz="0" w:space="0" w:color="auto"/>
        <w:right w:val="none" w:sz="0" w:space="0" w:color="auto"/>
      </w:divBdr>
    </w:div>
    <w:div w:id="666859441">
      <w:bodyDiv w:val="1"/>
      <w:marLeft w:val="0"/>
      <w:marRight w:val="0"/>
      <w:marTop w:val="0"/>
      <w:marBottom w:val="0"/>
      <w:divBdr>
        <w:top w:val="none" w:sz="0" w:space="0" w:color="auto"/>
        <w:left w:val="none" w:sz="0" w:space="0" w:color="auto"/>
        <w:bottom w:val="none" w:sz="0" w:space="0" w:color="auto"/>
        <w:right w:val="none" w:sz="0" w:space="0" w:color="auto"/>
      </w:divBdr>
    </w:div>
    <w:div w:id="669138712">
      <w:bodyDiv w:val="1"/>
      <w:marLeft w:val="0"/>
      <w:marRight w:val="0"/>
      <w:marTop w:val="0"/>
      <w:marBottom w:val="0"/>
      <w:divBdr>
        <w:top w:val="none" w:sz="0" w:space="0" w:color="auto"/>
        <w:left w:val="none" w:sz="0" w:space="0" w:color="auto"/>
        <w:bottom w:val="none" w:sz="0" w:space="0" w:color="auto"/>
        <w:right w:val="none" w:sz="0" w:space="0" w:color="auto"/>
      </w:divBdr>
    </w:div>
    <w:div w:id="671759717">
      <w:bodyDiv w:val="1"/>
      <w:marLeft w:val="0"/>
      <w:marRight w:val="0"/>
      <w:marTop w:val="0"/>
      <w:marBottom w:val="0"/>
      <w:divBdr>
        <w:top w:val="none" w:sz="0" w:space="0" w:color="auto"/>
        <w:left w:val="none" w:sz="0" w:space="0" w:color="auto"/>
        <w:bottom w:val="none" w:sz="0" w:space="0" w:color="auto"/>
        <w:right w:val="none" w:sz="0" w:space="0" w:color="auto"/>
      </w:divBdr>
      <w:divsChild>
        <w:div w:id="157772935">
          <w:marLeft w:val="0"/>
          <w:marRight w:val="0"/>
          <w:marTop w:val="0"/>
          <w:marBottom w:val="0"/>
          <w:divBdr>
            <w:top w:val="none" w:sz="0" w:space="0" w:color="auto"/>
            <w:left w:val="none" w:sz="0" w:space="0" w:color="auto"/>
            <w:bottom w:val="none" w:sz="0" w:space="0" w:color="auto"/>
            <w:right w:val="none" w:sz="0" w:space="0" w:color="auto"/>
          </w:divBdr>
          <w:divsChild>
            <w:div w:id="46998450">
              <w:marLeft w:val="0"/>
              <w:marRight w:val="0"/>
              <w:marTop w:val="0"/>
              <w:marBottom w:val="0"/>
              <w:divBdr>
                <w:top w:val="none" w:sz="0" w:space="0" w:color="auto"/>
                <w:left w:val="none" w:sz="0" w:space="0" w:color="auto"/>
                <w:bottom w:val="none" w:sz="0" w:space="0" w:color="auto"/>
                <w:right w:val="none" w:sz="0" w:space="0" w:color="auto"/>
              </w:divBdr>
              <w:divsChild>
                <w:div w:id="943534123">
                  <w:marLeft w:val="0"/>
                  <w:marRight w:val="0"/>
                  <w:marTop w:val="0"/>
                  <w:marBottom w:val="0"/>
                  <w:divBdr>
                    <w:top w:val="none" w:sz="0" w:space="0" w:color="auto"/>
                    <w:left w:val="none" w:sz="0" w:space="0" w:color="auto"/>
                    <w:bottom w:val="none" w:sz="0" w:space="0" w:color="auto"/>
                    <w:right w:val="none" w:sz="0" w:space="0" w:color="auto"/>
                  </w:divBdr>
                  <w:divsChild>
                    <w:div w:id="1371998710">
                      <w:marLeft w:val="0"/>
                      <w:marRight w:val="0"/>
                      <w:marTop w:val="0"/>
                      <w:marBottom w:val="0"/>
                      <w:divBdr>
                        <w:top w:val="none" w:sz="0" w:space="0" w:color="auto"/>
                        <w:left w:val="none" w:sz="0" w:space="0" w:color="auto"/>
                        <w:bottom w:val="none" w:sz="0" w:space="0" w:color="auto"/>
                        <w:right w:val="none" w:sz="0" w:space="0" w:color="auto"/>
                      </w:divBdr>
                      <w:divsChild>
                        <w:div w:id="14624182">
                          <w:marLeft w:val="0"/>
                          <w:marRight w:val="0"/>
                          <w:marTop w:val="0"/>
                          <w:marBottom w:val="0"/>
                          <w:divBdr>
                            <w:top w:val="none" w:sz="0" w:space="0" w:color="auto"/>
                            <w:left w:val="none" w:sz="0" w:space="0" w:color="auto"/>
                            <w:bottom w:val="none" w:sz="0" w:space="0" w:color="auto"/>
                            <w:right w:val="none" w:sz="0" w:space="0" w:color="auto"/>
                          </w:divBdr>
                          <w:divsChild>
                            <w:div w:id="1670861970">
                              <w:marLeft w:val="0"/>
                              <w:marRight w:val="0"/>
                              <w:marTop w:val="0"/>
                              <w:marBottom w:val="0"/>
                              <w:divBdr>
                                <w:top w:val="none" w:sz="0" w:space="0" w:color="auto"/>
                                <w:left w:val="none" w:sz="0" w:space="0" w:color="auto"/>
                                <w:bottom w:val="none" w:sz="0" w:space="0" w:color="auto"/>
                                <w:right w:val="none" w:sz="0" w:space="0" w:color="auto"/>
                              </w:divBdr>
                              <w:divsChild>
                                <w:div w:id="779104515">
                                  <w:marLeft w:val="0"/>
                                  <w:marRight w:val="0"/>
                                  <w:marTop w:val="0"/>
                                  <w:marBottom w:val="0"/>
                                  <w:divBdr>
                                    <w:top w:val="none" w:sz="0" w:space="0" w:color="auto"/>
                                    <w:left w:val="none" w:sz="0" w:space="0" w:color="auto"/>
                                    <w:bottom w:val="none" w:sz="0" w:space="0" w:color="auto"/>
                                    <w:right w:val="none" w:sz="0" w:space="0" w:color="auto"/>
                                  </w:divBdr>
                                  <w:divsChild>
                                    <w:div w:id="1872451881">
                                      <w:marLeft w:val="0"/>
                                      <w:marRight w:val="0"/>
                                      <w:marTop w:val="0"/>
                                      <w:marBottom w:val="0"/>
                                      <w:divBdr>
                                        <w:top w:val="none" w:sz="0" w:space="0" w:color="auto"/>
                                        <w:left w:val="none" w:sz="0" w:space="0" w:color="auto"/>
                                        <w:bottom w:val="none" w:sz="0" w:space="0" w:color="auto"/>
                                        <w:right w:val="none" w:sz="0" w:space="0" w:color="auto"/>
                                      </w:divBdr>
                                      <w:divsChild>
                                        <w:div w:id="1164663727">
                                          <w:marLeft w:val="0"/>
                                          <w:marRight w:val="0"/>
                                          <w:marTop w:val="0"/>
                                          <w:marBottom w:val="0"/>
                                          <w:divBdr>
                                            <w:top w:val="none" w:sz="0" w:space="0" w:color="auto"/>
                                            <w:left w:val="none" w:sz="0" w:space="0" w:color="auto"/>
                                            <w:bottom w:val="none" w:sz="0" w:space="0" w:color="auto"/>
                                            <w:right w:val="none" w:sz="0" w:space="0" w:color="auto"/>
                                          </w:divBdr>
                                          <w:divsChild>
                                            <w:div w:id="142813639">
                                              <w:marLeft w:val="0"/>
                                              <w:marRight w:val="0"/>
                                              <w:marTop w:val="0"/>
                                              <w:marBottom w:val="0"/>
                                              <w:divBdr>
                                                <w:top w:val="none" w:sz="0" w:space="0" w:color="auto"/>
                                                <w:left w:val="none" w:sz="0" w:space="0" w:color="auto"/>
                                                <w:bottom w:val="none" w:sz="0" w:space="0" w:color="auto"/>
                                                <w:right w:val="none" w:sz="0" w:space="0" w:color="auto"/>
                                              </w:divBdr>
                                              <w:divsChild>
                                                <w:div w:id="436027844">
                                                  <w:marLeft w:val="0"/>
                                                  <w:marRight w:val="0"/>
                                                  <w:marTop w:val="0"/>
                                                  <w:marBottom w:val="0"/>
                                                  <w:divBdr>
                                                    <w:top w:val="single" w:sz="6" w:space="0" w:color="F0F0F0"/>
                                                    <w:left w:val="none" w:sz="0" w:space="0" w:color="auto"/>
                                                    <w:bottom w:val="none" w:sz="0" w:space="0" w:color="auto"/>
                                                    <w:right w:val="none" w:sz="0" w:space="0" w:color="auto"/>
                                                  </w:divBdr>
                                                  <w:divsChild>
                                                    <w:div w:id="1447771885">
                                                      <w:marLeft w:val="0"/>
                                                      <w:marRight w:val="0"/>
                                                      <w:marTop w:val="0"/>
                                                      <w:marBottom w:val="0"/>
                                                      <w:divBdr>
                                                        <w:top w:val="none" w:sz="0" w:space="0" w:color="auto"/>
                                                        <w:left w:val="none" w:sz="0" w:space="0" w:color="auto"/>
                                                        <w:bottom w:val="none" w:sz="0" w:space="0" w:color="auto"/>
                                                        <w:right w:val="none" w:sz="0" w:space="0" w:color="auto"/>
                                                      </w:divBdr>
                                                      <w:divsChild>
                                                        <w:div w:id="1644457280">
                                                          <w:marLeft w:val="0"/>
                                                          <w:marRight w:val="0"/>
                                                          <w:marTop w:val="0"/>
                                                          <w:marBottom w:val="0"/>
                                                          <w:divBdr>
                                                            <w:top w:val="none" w:sz="0" w:space="0" w:color="auto"/>
                                                            <w:left w:val="none" w:sz="0" w:space="0" w:color="auto"/>
                                                            <w:bottom w:val="none" w:sz="0" w:space="0" w:color="auto"/>
                                                            <w:right w:val="none" w:sz="0" w:space="0" w:color="auto"/>
                                                          </w:divBdr>
                                                          <w:divsChild>
                                                            <w:div w:id="1490368175">
                                                              <w:marLeft w:val="0"/>
                                                              <w:marRight w:val="0"/>
                                                              <w:marTop w:val="0"/>
                                                              <w:marBottom w:val="150"/>
                                                              <w:divBdr>
                                                                <w:top w:val="none" w:sz="0" w:space="0" w:color="auto"/>
                                                                <w:left w:val="none" w:sz="0" w:space="0" w:color="auto"/>
                                                                <w:bottom w:val="none" w:sz="0" w:space="0" w:color="auto"/>
                                                                <w:right w:val="none" w:sz="0" w:space="0" w:color="auto"/>
                                                              </w:divBdr>
                                                              <w:divsChild>
                                                                <w:div w:id="69758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72218296">
      <w:bodyDiv w:val="1"/>
      <w:marLeft w:val="0"/>
      <w:marRight w:val="0"/>
      <w:marTop w:val="0"/>
      <w:marBottom w:val="0"/>
      <w:divBdr>
        <w:top w:val="none" w:sz="0" w:space="0" w:color="auto"/>
        <w:left w:val="none" w:sz="0" w:space="0" w:color="auto"/>
        <w:bottom w:val="none" w:sz="0" w:space="0" w:color="auto"/>
        <w:right w:val="none" w:sz="0" w:space="0" w:color="auto"/>
      </w:divBdr>
    </w:div>
    <w:div w:id="681976134">
      <w:bodyDiv w:val="1"/>
      <w:marLeft w:val="0"/>
      <w:marRight w:val="0"/>
      <w:marTop w:val="0"/>
      <w:marBottom w:val="0"/>
      <w:divBdr>
        <w:top w:val="none" w:sz="0" w:space="0" w:color="auto"/>
        <w:left w:val="none" w:sz="0" w:space="0" w:color="auto"/>
        <w:bottom w:val="none" w:sz="0" w:space="0" w:color="auto"/>
        <w:right w:val="none" w:sz="0" w:space="0" w:color="auto"/>
      </w:divBdr>
    </w:div>
    <w:div w:id="684209114">
      <w:bodyDiv w:val="1"/>
      <w:marLeft w:val="0"/>
      <w:marRight w:val="0"/>
      <w:marTop w:val="0"/>
      <w:marBottom w:val="0"/>
      <w:divBdr>
        <w:top w:val="none" w:sz="0" w:space="0" w:color="auto"/>
        <w:left w:val="none" w:sz="0" w:space="0" w:color="auto"/>
        <w:bottom w:val="none" w:sz="0" w:space="0" w:color="auto"/>
        <w:right w:val="none" w:sz="0" w:space="0" w:color="auto"/>
      </w:divBdr>
    </w:div>
    <w:div w:id="685984692">
      <w:bodyDiv w:val="1"/>
      <w:marLeft w:val="0"/>
      <w:marRight w:val="0"/>
      <w:marTop w:val="0"/>
      <w:marBottom w:val="0"/>
      <w:divBdr>
        <w:top w:val="none" w:sz="0" w:space="0" w:color="auto"/>
        <w:left w:val="none" w:sz="0" w:space="0" w:color="auto"/>
        <w:bottom w:val="none" w:sz="0" w:space="0" w:color="auto"/>
        <w:right w:val="none" w:sz="0" w:space="0" w:color="auto"/>
      </w:divBdr>
    </w:div>
    <w:div w:id="687491609">
      <w:bodyDiv w:val="1"/>
      <w:marLeft w:val="0"/>
      <w:marRight w:val="0"/>
      <w:marTop w:val="0"/>
      <w:marBottom w:val="0"/>
      <w:divBdr>
        <w:top w:val="none" w:sz="0" w:space="0" w:color="auto"/>
        <w:left w:val="none" w:sz="0" w:space="0" w:color="auto"/>
        <w:bottom w:val="none" w:sz="0" w:space="0" w:color="auto"/>
        <w:right w:val="none" w:sz="0" w:space="0" w:color="auto"/>
      </w:divBdr>
    </w:div>
    <w:div w:id="688987640">
      <w:bodyDiv w:val="1"/>
      <w:marLeft w:val="0"/>
      <w:marRight w:val="0"/>
      <w:marTop w:val="0"/>
      <w:marBottom w:val="0"/>
      <w:divBdr>
        <w:top w:val="none" w:sz="0" w:space="0" w:color="auto"/>
        <w:left w:val="none" w:sz="0" w:space="0" w:color="auto"/>
        <w:bottom w:val="none" w:sz="0" w:space="0" w:color="auto"/>
        <w:right w:val="none" w:sz="0" w:space="0" w:color="auto"/>
      </w:divBdr>
    </w:div>
    <w:div w:id="697196355">
      <w:bodyDiv w:val="1"/>
      <w:marLeft w:val="0"/>
      <w:marRight w:val="0"/>
      <w:marTop w:val="0"/>
      <w:marBottom w:val="0"/>
      <w:divBdr>
        <w:top w:val="none" w:sz="0" w:space="0" w:color="auto"/>
        <w:left w:val="none" w:sz="0" w:space="0" w:color="auto"/>
        <w:bottom w:val="none" w:sz="0" w:space="0" w:color="auto"/>
        <w:right w:val="none" w:sz="0" w:space="0" w:color="auto"/>
      </w:divBdr>
    </w:div>
    <w:div w:id="702292416">
      <w:bodyDiv w:val="1"/>
      <w:marLeft w:val="0"/>
      <w:marRight w:val="0"/>
      <w:marTop w:val="0"/>
      <w:marBottom w:val="0"/>
      <w:divBdr>
        <w:top w:val="none" w:sz="0" w:space="0" w:color="auto"/>
        <w:left w:val="none" w:sz="0" w:space="0" w:color="auto"/>
        <w:bottom w:val="none" w:sz="0" w:space="0" w:color="auto"/>
        <w:right w:val="none" w:sz="0" w:space="0" w:color="auto"/>
      </w:divBdr>
    </w:div>
    <w:div w:id="711686745">
      <w:bodyDiv w:val="1"/>
      <w:marLeft w:val="0"/>
      <w:marRight w:val="0"/>
      <w:marTop w:val="0"/>
      <w:marBottom w:val="0"/>
      <w:divBdr>
        <w:top w:val="none" w:sz="0" w:space="0" w:color="auto"/>
        <w:left w:val="none" w:sz="0" w:space="0" w:color="auto"/>
        <w:bottom w:val="none" w:sz="0" w:space="0" w:color="auto"/>
        <w:right w:val="none" w:sz="0" w:space="0" w:color="auto"/>
      </w:divBdr>
    </w:div>
    <w:div w:id="712507501">
      <w:bodyDiv w:val="1"/>
      <w:marLeft w:val="0"/>
      <w:marRight w:val="0"/>
      <w:marTop w:val="0"/>
      <w:marBottom w:val="0"/>
      <w:divBdr>
        <w:top w:val="none" w:sz="0" w:space="0" w:color="auto"/>
        <w:left w:val="none" w:sz="0" w:space="0" w:color="auto"/>
        <w:bottom w:val="none" w:sz="0" w:space="0" w:color="auto"/>
        <w:right w:val="none" w:sz="0" w:space="0" w:color="auto"/>
      </w:divBdr>
    </w:div>
    <w:div w:id="713968354">
      <w:bodyDiv w:val="1"/>
      <w:marLeft w:val="0"/>
      <w:marRight w:val="0"/>
      <w:marTop w:val="0"/>
      <w:marBottom w:val="0"/>
      <w:divBdr>
        <w:top w:val="none" w:sz="0" w:space="0" w:color="auto"/>
        <w:left w:val="none" w:sz="0" w:space="0" w:color="auto"/>
        <w:bottom w:val="none" w:sz="0" w:space="0" w:color="auto"/>
        <w:right w:val="none" w:sz="0" w:space="0" w:color="auto"/>
      </w:divBdr>
    </w:div>
    <w:div w:id="719013832">
      <w:bodyDiv w:val="1"/>
      <w:marLeft w:val="0"/>
      <w:marRight w:val="0"/>
      <w:marTop w:val="0"/>
      <w:marBottom w:val="0"/>
      <w:divBdr>
        <w:top w:val="none" w:sz="0" w:space="0" w:color="auto"/>
        <w:left w:val="none" w:sz="0" w:space="0" w:color="auto"/>
        <w:bottom w:val="none" w:sz="0" w:space="0" w:color="auto"/>
        <w:right w:val="none" w:sz="0" w:space="0" w:color="auto"/>
      </w:divBdr>
      <w:divsChild>
        <w:div w:id="625282564">
          <w:marLeft w:val="1800"/>
          <w:marRight w:val="0"/>
          <w:marTop w:val="200"/>
          <w:marBottom w:val="200"/>
          <w:divBdr>
            <w:top w:val="none" w:sz="0" w:space="0" w:color="auto"/>
            <w:left w:val="none" w:sz="0" w:space="0" w:color="auto"/>
            <w:bottom w:val="none" w:sz="0" w:space="0" w:color="auto"/>
            <w:right w:val="none" w:sz="0" w:space="0" w:color="auto"/>
          </w:divBdr>
        </w:div>
      </w:divsChild>
    </w:div>
    <w:div w:id="720401732">
      <w:bodyDiv w:val="1"/>
      <w:marLeft w:val="0"/>
      <w:marRight w:val="0"/>
      <w:marTop w:val="0"/>
      <w:marBottom w:val="0"/>
      <w:divBdr>
        <w:top w:val="none" w:sz="0" w:space="0" w:color="auto"/>
        <w:left w:val="none" w:sz="0" w:space="0" w:color="auto"/>
        <w:bottom w:val="none" w:sz="0" w:space="0" w:color="auto"/>
        <w:right w:val="none" w:sz="0" w:space="0" w:color="auto"/>
      </w:divBdr>
      <w:divsChild>
        <w:div w:id="224921118">
          <w:marLeft w:val="0"/>
          <w:marRight w:val="0"/>
          <w:marTop w:val="0"/>
          <w:marBottom w:val="0"/>
          <w:divBdr>
            <w:top w:val="none" w:sz="0" w:space="0" w:color="auto"/>
            <w:left w:val="none" w:sz="0" w:space="0" w:color="auto"/>
            <w:bottom w:val="none" w:sz="0" w:space="0" w:color="auto"/>
            <w:right w:val="none" w:sz="0" w:space="0" w:color="auto"/>
          </w:divBdr>
        </w:div>
        <w:div w:id="2004895706">
          <w:marLeft w:val="0"/>
          <w:marRight w:val="0"/>
          <w:marTop w:val="0"/>
          <w:marBottom w:val="0"/>
          <w:divBdr>
            <w:top w:val="none" w:sz="0" w:space="0" w:color="auto"/>
            <w:left w:val="none" w:sz="0" w:space="0" w:color="auto"/>
            <w:bottom w:val="none" w:sz="0" w:space="0" w:color="auto"/>
            <w:right w:val="none" w:sz="0" w:space="0" w:color="auto"/>
          </w:divBdr>
        </w:div>
      </w:divsChild>
    </w:div>
    <w:div w:id="727459762">
      <w:bodyDiv w:val="1"/>
      <w:marLeft w:val="0"/>
      <w:marRight w:val="0"/>
      <w:marTop w:val="0"/>
      <w:marBottom w:val="0"/>
      <w:divBdr>
        <w:top w:val="none" w:sz="0" w:space="0" w:color="auto"/>
        <w:left w:val="none" w:sz="0" w:space="0" w:color="auto"/>
        <w:bottom w:val="none" w:sz="0" w:space="0" w:color="auto"/>
        <w:right w:val="none" w:sz="0" w:space="0" w:color="auto"/>
      </w:divBdr>
    </w:div>
    <w:div w:id="736783874">
      <w:bodyDiv w:val="1"/>
      <w:marLeft w:val="0"/>
      <w:marRight w:val="0"/>
      <w:marTop w:val="0"/>
      <w:marBottom w:val="0"/>
      <w:divBdr>
        <w:top w:val="none" w:sz="0" w:space="0" w:color="auto"/>
        <w:left w:val="none" w:sz="0" w:space="0" w:color="auto"/>
        <w:bottom w:val="none" w:sz="0" w:space="0" w:color="auto"/>
        <w:right w:val="none" w:sz="0" w:space="0" w:color="auto"/>
      </w:divBdr>
    </w:div>
    <w:div w:id="740367232">
      <w:bodyDiv w:val="1"/>
      <w:marLeft w:val="0"/>
      <w:marRight w:val="0"/>
      <w:marTop w:val="0"/>
      <w:marBottom w:val="0"/>
      <w:divBdr>
        <w:top w:val="none" w:sz="0" w:space="0" w:color="auto"/>
        <w:left w:val="none" w:sz="0" w:space="0" w:color="auto"/>
        <w:bottom w:val="none" w:sz="0" w:space="0" w:color="auto"/>
        <w:right w:val="none" w:sz="0" w:space="0" w:color="auto"/>
      </w:divBdr>
    </w:div>
    <w:div w:id="742262038">
      <w:bodyDiv w:val="1"/>
      <w:marLeft w:val="0"/>
      <w:marRight w:val="0"/>
      <w:marTop w:val="0"/>
      <w:marBottom w:val="0"/>
      <w:divBdr>
        <w:top w:val="none" w:sz="0" w:space="0" w:color="auto"/>
        <w:left w:val="none" w:sz="0" w:space="0" w:color="auto"/>
        <w:bottom w:val="none" w:sz="0" w:space="0" w:color="auto"/>
        <w:right w:val="none" w:sz="0" w:space="0" w:color="auto"/>
      </w:divBdr>
    </w:div>
    <w:div w:id="746806760">
      <w:bodyDiv w:val="1"/>
      <w:marLeft w:val="0"/>
      <w:marRight w:val="0"/>
      <w:marTop w:val="0"/>
      <w:marBottom w:val="0"/>
      <w:divBdr>
        <w:top w:val="none" w:sz="0" w:space="0" w:color="auto"/>
        <w:left w:val="none" w:sz="0" w:space="0" w:color="auto"/>
        <w:bottom w:val="none" w:sz="0" w:space="0" w:color="auto"/>
        <w:right w:val="none" w:sz="0" w:space="0" w:color="auto"/>
      </w:divBdr>
    </w:div>
    <w:div w:id="747650782">
      <w:bodyDiv w:val="1"/>
      <w:marLeft w:val="0"/>
      <w:marRight w:val="0"/>
      <w:marTop w:val="0"/>
      <w:marBottom w:val="0"/>
      <w:divBdr>
        <w:top w:val="none" w:sz="0" w:space="0" w:color="auto"/>
        <w:left w:val="none" w:sz="0" w:space="0" w:color="auto"/>
        <w:bottom w:val="none" w:sz="0" w:space="0" w:color="auto"/>
        <w:right w:val="none" w:sz="0" w:space="0" w:color="auto"/>
      </w:divBdr>
    </w:div>
    <w:div w:id="748036076">
      <w:bodyDiv w:val="1"/>
      <w:marLeft w:val="0"/>
      <w:marRight w:val="0"/>
      <w:marTop w:val="0"/>
      <w:marBottom w:val="0"/>
      <w:divBdr>
        <w:top w:val="none" w:sz="0" w:space="0" w:color="auto"/>
        <w:left w:val="none" w:sz="0" w:space="0" w:color="auto"/>
        <w:bottom w:val="none" w:sz="0" w:space="0" w:color="auto"/>
        <w:right w:val="none" w:sz="0" w:space="0" w:color="auto"/>
      </w:divBdr>
    </w:div>
    <w:div w:id="749158873">
      <w:bodyDiv w:val="1"/>
      <w:marLeft w:val="0"/>
      <w:marRight w:val="0"/>
      <w:marTop w:val="0"/>
      <w:marBottom w:val="0"/>
      <w:divBdr>
        <w:top w:val="none" w:sz="0" w:space="0" w:color="auto"/>
        <w:left w:val="none" w:sz="0" w:space="0" w:color="auto"/>
        <w:bottom w:val="none" w:sz="0" w:space="0" w:color="auto"/>
        <w:right w:val="none" w:sz="0" w:space="0" w:color="auto"/>
      </w:divBdr>
    </w:div>
    <w:div w:id="749741673">
      <w:bodyDiv w:val="1"/>
      <w:marLeft w:val="0"/>
      <w:marRight w:val="0"/>
      <w:marTop w:val="0"/>
      <w:marBottom w:val="0"/>
      <w:divBdr>
        <w:top w:val="none" w:sz="0" w:space="0" w:color="auto"/>
        <w:left w:val="none" w:sz="0" w:space="0" w:color="auto"/>
        <w:bottom w:val="none" w:sz="0" w:space="0" w:color="auto"/>
        <w:right w:val="none" w:sz="0" w:space="0" w:color="auto"/>
      </w:divBdr>
    </w:div>
    <w:div w:id="750152537">
      <w:bodyDiv w:val="1"/>
      <w:marLeft w:val="0"/>
      <w:marRight w:val="0"/>
      <w:marTop w:val="0"/>
      <w:marBottom w:val="0"/>
      <w:divBdr>
        <w:top w:val="none" w:sz="0" w:space="0" w:color="auto"/>
        <w:left w:val="none" w:sz="0" w:space="0" w:color="auto"/>
        <w:bottom w:val="none" w:sz="0" w:space="0" w:color="auto"/>
        <w:right w:val="none" w:sz="0" w:space="0" w:color="auto"/>
      </w:divBdr>
    </w:div>
    <w:div w:id="751046079">
      <w:bodyDiv w:val="1"/>
      <w:marLeft w:val="0"/>
      <w:marRight w:val="0"/>
      <w:marTop w:val="0"/>
      <w:marBottom w:val="0"/>
      <w:divBdr>
        <w:top w:val="none" w:sz="0" w:space="0" w:color="auto"/>
        <w:left w:val="none" w:sz="0" w:space="0" w:color="auto"/>
        <w:bottom w:val="none" w:sz="0" w:space="0" w:color="auto"/>
        <w:right w:val="none" w:sz="0" w:space="0" w:color="auto"/>
      </w:divBdr>
    </w:div>
    <w:div w:id="766582829">
      <w:bodyDiv w:val="1"/>
      <w:marLeft w:val="0"/>
      <w:marRight w:val="0"/>
      <w:marTop w:val="0"/>
      <w:marBottom w:val="0"/>
      <w:divBdr>
        <w:top w:val="none" w:sz="0" w:space="0" w:color="auto"/>
        <w:left w:val="none" w:sz="0" w:space="0" w:color="auto"/>
        <w:bottom w:val="none" w:sz="0" w:space="0" w:color="auto"/>
        <w:right w:val="none" w:sz="0" w:space="0" w:color="auto"/>
      </w:divBdr>
    </w:div>
    <w:div w:id="767584505">
      <w:bodyDiv w:val="1"/>
      <w:marLeft w:val="0"/>
      <w:marRight w:val="0"/>
      <w:marTop w:val="0"/>
      <w:marBottom w:val="0"/>
      <w:divBdr>
        <w:top w:val="none" w:sz="0" w:space="0" w:color="auto"/>
        <w:left w:val="none" w:sz="0" w:space="0" w:color="auto"/>
        <w:bottom w:val="none" w:sz="0" w:space="0" w:color="auto"/>
        <w:right w:val="none" w:sz="0" w:space="0" w:color="auto"/>
      </w:divBdr>
    </w:div>
    <w:div w:id="770011437">
      <w:bodyDiv w:val="1"/>
      <w:marLeft w:val="0"/>
      <w:marRight w:val="0"/>
      <w:marTop w:val="0"/>
      <w:marBottom w:val="0"/>
      <w:divBdr>
        <w:top w:val="none" w:sz="0" w:space="0" w:color="auto"/>
        <w:left w:val="none" w:sz="0" w:space="0" w:color="auto"/>
        <w:bottom w:val="none" w:sz="0" w:space="0" w:color="auto"/>
        <w:right w:val="none" w:sz="0" w:space="0" w:color="auto"/>
      </w:divBdr>
    </w:div>
    <w:div w:id="778330078">
      <w:bodyDiv w:val="1"/>
      <w:marLeft w:val="0"/>
      <w:marRight w:val="0"/>
      <w:marTop w:val="0"/>
      <w:marBottom w:val="0"/>
      <w:divBdr>
        <w:top w:val="none" w:sz="0" w:space="0" w:color="auto"/>
        <w:left w:val="none" w:sz="0" w:space="0" w:color="auto"/>
        <w:bottom w:val="none" w:sz="0" w:space="0" w:color="auto"/>
        <w:right w:val="none" w:sz="0" w:space="0" w:color="auto"/>
      </w:divBdr>
    </w:div>
    <w:div w:id="809329259">
      <w:bodyDiv w:val="1"/>
      <w:marLeft w:val="0"/>
      <w:marRight w:val="0"/>
      <w:marTop w:val="0"/>
      <w:marBottom w:val="0"/>
      <w:divBdr>
        <w:top w:val="none" w:sz="0" w:space="0" w:color="auto"/>
        <w:left w:val="none" w:sz="0" w:space="0" w:color="auto"/>
        <w:bottom w:val="none" w:sz="0" w:space="0" w:color="auto"/>
        <w:right w:val="none" w:sz="0" w:space="0" w:color="auto"/>
      </w:divBdr>
    </w:div>
    <w:div w:id="809640546">
      <w:bodyDiv w:val="1"/>
      <w:marLeft w:val="0"/>
      <w:marRight w:val="0"/>
      <w:marTop w:val="0"/>
      <w:marBottom w:val="0"/>
      <w:divBdr>
        <w:top w:val="none" w:sz="0" w:space="0" w:color="auto"/>
        <w:left w:val="none" w:sz="0" w:space="0" w:color="auto"/>
        <w:bottom w:val="none" w:sz="0" w:space="0" w:color="auto"/>
        <w:right w:val="none" w:sz="0" w:space="0" w:color="auto"/>
      </w:divBdr>
    </w:div>
    <w:div w:id="814025629">
      <w:bodyDiv w:val="1"/>
      <w:marLeft w:val="0"/>
      <w:marRight w:val="0"/>
      <w:marTop w:val="0"/>
      <w:marBottom w:val="0"/>
      <w:divBdr>
        <w:top w:val="none" w:sz="0" w:space="0" w:color="auto"/>
        <w:left w:val="none" w:sz="0" w:space="0" w:color="auto"/>
        <w:bottom w:val="none" w:sz="0" w:space="0" w:color="auto"/>
        <w:right w:val="none" w:sz="0" w:space="0" w:color="auto"/>
      </w:divBdr>
    </w:div>
    <w:div w:id="821233270">
      <w:bodyDiv w:val="1"/>
      <w:marLeft w:val="0"/>
      <w:marRight w:val="0"/>
      <w:marTop w:val="0"/>
      <w:marBottom w:val="0"/>
      <w:divBdr>
        <w:top w:val="none" w:sz="0" w:space="0" w:color="auto"/>
        <w:left w:val="none" w:sz="0" w:space="0" w:color="auto"/>
        <w:bottom w:val="none" w:sz="0" w:space="0" w:color="auto"/>
        <w:right w:val="none" w:sz="0" w:space="0" w:color="auto"/>
      </w:divBdr>
    </w:div>
    <w:div w:id="821576909">
      <w:bodyDiv w:val="1"/>
      <w:marLeft w:val="0"/>
      <w:marRight w:val="0"/>
      <w:marTop w:val="0"/>
      <w:marBottom w:val="0"/>
      <w:divBdr>
        <w:top w:val="none" w:sz="0" w:space="0" w:color="auto"/>
        <w:left w:val="none" w:sz="0" w:space="0" w:color="auto"/>
        <w:bottom w:val="none" w:sz="0" w:space="0" w:color="auto"/>
        <w:right w:val="none" w:sz="0" w:space="0" w:color="auto"/>
      </w:divBdr>
    </w:div>
    <w:div w:id="829751481">
      <w:bodyDiv w:val="1"/>
      <w:marLeft w:val="0"/>
      <w:marRight w:val="0"/>
      <w:marTop w:val="0"/>
      <w:marBottom w:val="0"/>
      <w:divBdr>
        <w:top w:val="none" w:sz="0" w:space="0" w:color="auto"/>
        <w:left w:val="none" w:sz="0" w:space="0" w:color="auto"/>
        <w:bottom w:val="none" w:sz="0" w:space="0" w:color="auto"/>
        <w:right w:val="none" w:sz="0" w:space="0" w:color="auto"/>
      </w:divBdr>
    </w:div>
    <w:div w:id="831219894">
      <w:bodyDiv w:val="1"/>
      <w:marLeft w:val="0"/>
      <w:marRight w:val="0"/>
      <w:marTop w:val="0"/>
      <w:marBottom w:val="0"/>
      <w:divBdr>
        <w:top w:val="none" w:sz="0" w:space="0" w:color="auto"/>
        <w:left w:val="none" w:sz="0" w:space="0" w:color="auto"/>
        <w:bottom w:val="none" w:sz="0" w:space="0" w:color="auto"/>
        <w:right w:val="none" w:sz="0" w:space="0" w:color="auto"/>
      </w:divBdr>
    </w:div>
    <w:div w:id="831945139">
      <w:bodyDiv w:val="1"/>
      <w:marLeft w:val="0"/>
      <w:marRight w:val="0"/>
      <w:marTop w:val="0"/>
      <w:marBottom w:val="0"/>
      <w:divBdr>
        <w:top w:val="none" w:sz="0" w:space="0" w:color="auto"/>
        <w:left w:val="none" w:sz="0" w:space="0" w:color="auto"/>
        <w:bottom w:val="none" w:sz="0" w:space="0" w:color="auto"/>
        <w:right w:val="none" w:sz="0" w:space="0" w:color="auto"/>
      </w:divBdr>
    </w:div>
    <w:div w:id="831945721">
      <w:bodyDiv w:val="1"/>
      <w:marLeft w:val="0"/>
      <w:marRight w:val="0"/>
      <w:marTop w:val="0"/>
      <w:marBottom w:val="0"/>
      <w:divBdr>
        <w:top w:val="none" w:sz="0" w:space="0" w:color="auto"/>
        <w:left w:val="none" w:sz="0" w:space="0" w:color="auto"/>
        <w:bottom w:val="none" w:sz="0" w:space="0" w:color="auto"/>
        <w:right w:val="none" w:sz="0" w:space="0" w:color="auto"/>
      </w:divBdr>
      <w:divsChild>
        <w:div w:id="1310328387">
          <w:marLeft w:val="0"/>
          <w:marRight w:val="0"/>
          <w:marTop w:val="0"/>
          <w:marBottom w:val="0"/>
          <w:divBdr>
            <w:top w:val="none" w:sz="0" w:space="0" w:color="auto"/>
            <w:left w:val="none" w:sz="0" w:space="0" w:color="auto"/>
            <w:bottom w:val="none" w:sz="0" w:space="0" w:color="auto"/>
            <w:right w:val="none" w:sz="0" w:space="0" w:color="auto"/>
          </w:divBdr>
          <w:divsChild>
            <w:div w:id="1689065255">
              <w:marLeft w:val="0"/>
              <w:marRight w:val="0"/>
              <w:marTop w:val="0"/>
              <w:marBottom w:val="0"/>
              <w:divBdr>
                <w:top w:val="none" w:sz="0" w:space="0" w:color="auto"/>
                <w:left w:val="none" w:sz="0" w:space="0" w:color="auto"/>
                <w:bottom w:val="none" w:sz="0" w:space="0" w:color="auto"/>
                <w:right w:val="none" w:sz="0" w:space="0" w:color="auto"/>
              </w:divBdr>
              <w:divsChild>
                <w:div w:id="1605727626">
                  <w:marLeft w:val="0"/>
                  <w:marRight w:val="0"/>
                  <w:marTop w:val="0"/>
                  <w:marBottom w:val="0"/>
                  <w:divBdr>
                    <w:top w:val="none" w:sz="0" w:space="0" w:color="auto"/>
                    <w:left w:val="none" w:sz="0" w:space="0" w:color="auto"/>
                    <w:bottom w:val="none" w:sz="0" w:space="0" w:color="auto"/>
                    <w:right w:val="none" w:sz="0" w:space="0" w:color="auto"/>
                  </w:divBdr>
                  <w:divsChild>
                    <w:div w:id="560405351">
                      <w:marLeft w:val="0"/>
                      <w:marRight w:val="0"/>
                      <w:marTop w:val="0"/>
                      <w:marBottom w:val="0"/>
                      <w:divBdr>
                        <w:top w:val="none" w:sz="0" w:space="0" w:color="auto"/>
                        <w:left w:val="none" w:sz="0" w:space="0" w:color="auto"/>
                        <w:bottom w:val="none" w:sz="0" w:space="0" w:color="auto"/>
                        <w:right w:val="none" w:sz="0" w:space="0" w:color="auto"/>
                      </w:divBdr>
                      <w:divsChild>
                        <w:div w:id="1814181279">
                          <w:marLeft w:val="0"/>
                          <w:marRight w:val="0"/>
                          <w:marTop w:val="0"/>
                          <w:marBottom w:val="0"/>
                          <w:divBdr>
                            <w:top w:val="none" w:sz="0" w:space="0" w:color="auto"/>
                            <w:left w:val="none" w:sz="0" w:space="0" w:color="auto"/>
                            <w:bottom w:val="none" w:sz="0" w:space="0" w:color="auto"/>
                            <w:right w:val="none" w:sz="0" w:space="0" w:color="auto"/>
                          </w:divBdr>
                          <w:divsChild>
                            <w:div w:id="451677141">
                              <w:marLeft w:val="0"/>
                              <w:marRight w:val="0"/>
                              <w:marTop w:val="0"/>
                              <w:marBottom w:val="0"/>
                              <w:divBdr>
                                <w:top w:val="single" w:sz="6" w:space="0" w:color="CCCCCC"/>
                                <w:left w:val="single" w:sz="6" w:space="0" w:color="CCCCCC"/>
                                <w:bottom w:val="single" w:sz="6" w:space="0" w:color="CCCCCC"/>
                                <w:right w:val="single" w:sz="6" w:space="0" w:color="CCCCCC"/>
                              </w:divBdr>
                              <w:divsChild>
                                <w:div w:id="230501973">
                                  <w:marLeft w:val="0"/>
                                  <w:marRight w:val="0"/>
                                  <w:marTop w:val="75"/>
                                  <w:marBottom w:val="0"/>
                                  <w:divBdr>
                                    <w:top w:val="none" w:sz="0" w:space="0" w:color="auto"/>
                                    <w:left w:val="none" w:sz="0" w:space="0" w:color="auto"/>
                                    <w:bottom w:val="none" w:sz="0" w:space="0" w:color="auto"/>
                                    <w:right w:val="none" w:sz="0" w:space="0" w:color="auto"/>
                                  </w:divBdr>
                                  <w:divsChild>
                                    <w:div w:id="776751405">
                                      <w:marLeft w:val="0"/>
                                      <w:marRight w:val="0"/>
                                      <w:marTop w:val="0"/>
                                      <w:marBottom w:val="0"/>
                                      <w:divBdr>
                                        <w:top w:val="none" w:sz="0" w:space="0" w:color="auto"/>
                                        <w:left w:val="none" w:sz="0" w:space="0" w:color="auto"/>
                                        <w:bottom w:val="none" w:sz="0" w:space="0" w:color="auto"/>
                                        <w:right w:val="none" w:sz="0" w:space="0" w:color="auto"/>
                                      </w:divBdr>
                                    </w:div>
                                    <w:div w:id="1635258867">
                                      <w:marLeft w:val="17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3564834">
      <w:bodyDiv w:val="1"/>
      <w:marLeft w:val="0"/>
      <w:marRight w:val="0"/>
      <w:marTop w:val="0"/>
      <w:marBottom w:val="0"/>
      <w:divBdr>
        <w:top w:val="none" w:sz="0" w:space="0" w:color="auto"/>
        <w:left w:val="none" w:sz="0" w:space="0" w:color="auto"/>
        <w:bottom w:val="none" w:sz="0" w:space="0" w:color="auto"/>
        <w:right w:val="none" w:sz="0" w:space="0" w:color="auto"/>
      </w:divBdr>
    </w:div>
    <w:div w:id="835650744">
      <w:bodyDiv w:val="1"/>
      <w:marLeft w:val="0"/>
      <w:marRight w:val="0"/>
      <w:marTop w:val="0"/>
      <w:marBottom w:val="0"/>
      <w:divBdr>
        <w:top w:val="none" w:sz="0" w:space="0" w:color="auto"/>
        <w:left w:val="none" w:sz="0" w:space="0" w:color="auto"/>
        <w:bottom w:val="none" w:sz="0" w:space="0" w:color="auto"/>
        <w:right w:val="none" w:sz="0" w:space="0" w:color="auto"/>
      </w:divBdr>
    </w:div>
    <w:div w:id="840505954">
      <w:bodyDiv w:val="1"/>
      <w:marLeft w:val="0"/>
      <w:marRight w:val="0"/>
      <w:marTop w:val="0"/>
      <w:marBottom w:val="0"/>
      <w:divBdr>
        <w:top w:val="none" w:sz="0" w:space="0" w:color="auto"/>
        <w:left w:val="none" w:sz="0" w:space="0" w:color="auto"/>
        <w:bottom w:val="none" w:sz="0" w:space="0" w:color="auto"/>
        <w:right w:val="none" w:sz="0" w:space="0" w:color="auto"/>
      </w:divBdr>
    </w:div>
    <w:div w:id="840512544">
      <w:bodyDiv w:val="1"/>
      <w:marLeft w:val="0"/>
      <w:marRight w:val="0"/>
      <w:marTop w:val="0"/>
      <w:marBottom w:val="0"/>
      <w:divBdr>
        <w:top w:val="none" w:sz="0" w:space="0" w:color="auto"/>
        <w:left w:val="none" w:sz="0" w:space="0" w:color="auto"/>
        <w:bottom w:val="none" w:sz="0" w:space="0" w:color="auto"/>
        <w:right w:val="none" w:sz="0" w:space="0" w:color="auto"/>
      </w:divBdr>
      <w:divsChild>
        <w:div w:id="1821269660">
          <w:marLeft w:val="547"/>
          <w:marRight w:val="0"/>
          <w:marTop w:val="134"/>
          <w:marBottom w:val="0"/>
          <w:divBdr>
            <w:top w:val="none" w:sz="0" w:space="0" w:color="auto"/>
            <w:left w:val="none" w:sz="0" w:space="0" w:color="auto"/>
            <w:bottom w:val="none" w:sz="0" w:space="0" w:color="auto"/>
            <w:right w:val="none" w:sz="0" w:space="0" w:color="auto"/>
          </w:divBdr>
        </w:div>
      </w:divsChild>
    </w:div>
    <w:div w:id="842863190">
      <w:bodyDiv w:val="1"/>
      <w:marLeft w:val="0"/>
      <w:marRight w:val="0"/>
      <w:marTop w:val="0"/>
      <w:marBottom w:val="0"/>
      <w:divBdr>
        <w:top w:val="none" w:sz="0" w:space="0" w:color="auto"/>
        <w:left w:val="none" w:sz="0" w:space="0" w:color="auto"/>
        <w:bottom w:val="none" w:sz="0" w:space="0" w:color="auto"/>
        <w:right w:val="none" w:sz="0" w:space="0" w:color="auto"/>
      </w:divBdr>
    </w:div>
    <w:div w:id="845170546">
      <w:bodyDiv w:val="1"/>
      <w:marLeft w:val="0"/>
      <w:marRight w:val="0"/>
      <w:marTop w:val="0"/>
      <w:marBottom w:val="0"/>
      <w:divBdr>
        <w:top w:val="none" w:sz="0" w:space="0" w:color="auto"/>
        <w:left w:val="none" w:sz="0" w:space="0" w:color="auto"/>
        <w:bottom w:val="none" w:sz="0" w:space="0" w:color="auto"/>
        <w:right w:val="none" w:sz="0" w:space="0" w:color="auto"/>
      </w:divBdr>
    </w:div>
    <w:div w:id="855195279">
      <w:bodyDiv w:val="1"/>
      <w:marLeft w:val="0"/>
      <w:marRight w:val="0"/>
      <w:marTop w:val="0"/>
      <w:marBottom w:val="0"/>
      <w:divBdr>
        <w:top w:val="none" w:sz="0" w:space="0" w:color="auto"/>
        <w:left w:val="none" w:sz="0" w:space="0" w:color="auto"/>
        <w:bottom w:val="none" w:sz="0" w:space="0" w:color="auto"/>
        <w:right w:val="none" w:sz="0" w:space="0" w:color="auto"/>
      </w:divBdr>
    </w:div>
    <w:div w:id="856193829">
      <w:bodyDiv w:val="1"/>
      <w:marLeft w:val="0"/>
      <w:marRight w:val="0"/>
      <w:marTop w:val="0"/>
      <w:marBottom w:val="0"/>
      <w:divBdr>
        <w:top w:val="none" w:sz="0" w:space="0" w:color="auto"/>
        <w:left w:val="none" w:sz="0" w:space="0" w:color="auto"/>
        <w:bottom w:val="none" w:sz="0" w:space="0" w:color="auto"/>
        <w:right w:val="none" w:sz="0" w:space="0" w:color="auto"/>
      </w:divBdr>
    </w:div>
    <w:div w:id="856693427">
      <w:bodyDiv w:val="1"/>
      <w:marLeft w:val="0"/>
      <w:marRight w:val="0"/>
      <w:marTop w:val="0"/>
      <w:marBottom w:val="0"/>
      <w:divBdr>
        <w:top w:val="none" w:sz="0" w:space="0" w:color="auto"/>
        <w:left w:val="none" w:sz="0" w:space="0" w:color="auto"/>
        <w:bottom w:val="none" w:sz="0" w:space="0" w:color="auto"/>
        <w:right w:val="none" w:sz="0" w:space="0" w:color="auto"/>
      </w:divBdr>
    </w:div>
    <w:div w:id="860778852">
      <w:bodyDiv w:val="1"/>
      <w:marLeft w:val="0"/>
      <w:marRight w:val="0"/>
      <w:marTop w:val="0"/>
      <w:marBottom w:val="0"/>
      <w:divBdr>
        <w:top w:val="none" w:sz="0" w:space="0" w:color="auto"/>
        <w:left w:val="none" w:sz="0" w:space="0" w:color="auto"/>
        <w:bottom w:val="none" w:sz="0" w:space="0" w:color="auto"/>
        <w:right w:val="none" w:sz="0" w:space="0" w:color="auto"/>
      </w:divBdr>
    </w:div>
    <w:div w:id="861557135">
      <w:bodyDiv w:val="1"/>
      <w:marLeft w:val="0"/>
      <w:marRight w:val="0"/>
      <w:marTop w:val="0"/>
      <w:marBottom w:val="0"/>
      <w:divBdr>
        <w:top w:val="none" w:sz="0" w:space="0" w:color="auto"/>
        <w:left w:val="none" w:sz="0" w:space="0" w:color="auto"/>
        <w:bottom w:val="none" w:sz="0" w:space="0" w:color="auto"/>
        <w:right w:val="none" w:sz="0" w:space="0" w:color="auto"/>
      </w:divBdr>
    </w:div>
    <w:div w:id="870343999">
      <w:bodyDiv w:val="1"/>
      <w:marLeft w:val="0"/>
      <w:marRight w:val="0"/>
      <w:marTop w:val="0"/>
      <w:marBottom w:val="0"/>
      <w:divBdr>
        <w:top w:val="none" w:sz="0" w:space="0" w:color="auto"/>
        <w:left w:val="none" w:sz="0" w:space="0" w:color="auto"/>
        <w:bottom w:val="none" w:sz="0" w:space="0" w:color="auto"/>
        <w:right w:val="none" w:sz="0" w:space="0" w:color="auto"/>
      </w:divBdr>
    </w:div>
    <w:div w:id="875505605">
      <w:bodyDiv w:val="1"/>
      <w:marLeft w:val="0"/>
      <w:marRight w:val="0"/>
      <w:marTop w:val="0"/>
      <w:marBottom w:val="0"/>
      <w:divBdr>
        <w:top w:val="none" w:sz="0" w:space="0" w:color="auto"/>
        <w:left w:val="none" w:sz="0" w:space="0" w:color="auto"/>
        <w:bottom w:val="none" w:sz="0" w:space="0" w:color="auto"/>
        <w:right w:val="none" w:sz="0" w:space="0" w:color="auto"/>
      </w:divBdr>
    </w:div>
    <w:div w:id="880022705">
      <w:bodyDiv w:val="1"/>
      <w:marLeft w:val="0"/>
      <w:marRight w:val="0"/>
      <w:marTop w:val="0"/>
      <w:marBottom w:val="0"/>
      <w:divBdr>
        <w:top w:val="none" w:sz="0" w:space="0" w:color="auto"/>
        <w:left w:val="none" w:sz="0" w:space="0" w:color="auto"/>
        <w:bottom w:val="none" w:sz="0" w:space="0" w:color="auto"/>
        <w:right w:val="none" w:sz="0" w:space="0" w:color="auto"/>
      </w:divBdr>
    </w:div>
    <w:div w:id="881020785">
      <w:bodyDiv w:val="1"/>
      <w:marLeft w:val="0"/>
      <w:marRight w:val="0"/>
      <w:marTop w:val="0"/>
      <w:marBottom w:val="0"/>
      <w:divBdr>
        <w:top w:val="none" w:sz="0" w:space="0" w:color="auto"/>
        <w:left w:val="none" w:sz="0" w:space="0" w:color="auto"/>
        <w:bottom w:val="none" w:sz="0" w:space="0" w:color="auto"/>
        <w:right w:val="none" w:sz="0" w:space="0" w:color="auto"/>
      </w:divBdr>
      <w:divsChild>
        <w:div w:id="750082715">
          <w:marLeft w:val="1166"/>
          <w:marRight w:val="0"/>
          <w:marTop w:val="200"/>
          <w:marBottom w:val="200"/>
          <w:divBdr>
            <w:top w:val="none" w:sz="0" w:space="0" w:color="auto"/>
            <w:left w:val="none" w:sz="0" w:space="0" w:color="auto"/>
            <w:bottom w:val="none" w:sz="0" w:space="0" w:color="auto"/>
            <w:right w:val="none" w:sz="0" w:space="0" w:color="auto"/>
          </w:divBdr>
        </w:div>
        <w:div w:id="1737194302">
          <w:marLeft w:val="1800"/>
          <w:marRight w:val="0"/>
          <w:marTop w:val="200"/>
          <w:marBottom w:val="200"/>
          <w:divBdr>
            <w:top w:val="none" w:sz="0" w:space="0" w:color="auto"/>
            <w:left w:val="none" w:sz="0" w:space="0" w:color="auto"/>
            <w:bottom w:val="none" w:sz="0" w:space="0" w:color="auto"/>
            <w:right w:val="none" w:sz="0" w:space="0" w:color="auto"/>
          </w:divBdr>
        </w:div>
      </w:divsChild>
    </w:div>
    <w:div w:id="882979175">
      <w:bodyDiv w:val="1"/>
      <w:marLeft w:val="0"/>
      <w:marRight w:val="0"/>
      <w:marTop w:val="0"/>
      <w:marBottom w:val="0"/>
      <w:divBdr>
        <w:top w:val="none" w:sz="0" w:space="0" w:color="auto"/>
        <w:left w:val="none" w:sz="0" w:space="0" w:color="auto"/>
        <w:bottom w:val="none" w:sz="0" w:space="0" w:color="auto"/>
        <w:right w:val="none" w:sz="0" w:space="0" w:color="auto"/>
      </w:divBdr>
    </w:div>
    <w:div w:id="884023007">
      <w:bodyDiv w:val="1"/>
      <w:marLeft w:val="0"/>
      <w:marRight w:val="0"/>
      <w:marTop w:val="0"/>
      <w:marBottom w:val="0"/>
      <w:divBdr>
        <w:top w:val="none" w:sz="0" w:space="0" w:color="auto"/>
        <w:left w:val="none" w:sz="0" w:space="0" w:color="auto"/>
        <w:bottom w:val="none" w:sz="0" w:space="0" w:color="auto"/>
        <w:right w:val="none" w:sz="0" w:space="0" w:color="auto"/>
      </w:divBdr>
    </w:div>
    <w:div w:id="889607706">
      <w:bodyDiv w:val="1"/>
      <w:marLeft w:val="0"/>
      <w:marRight w:val="0"/>
      <w:marTop w:val="0"/>
      <w:marBottom w:val="0"/>
      <w:divBdr>
        <w:top w:val="none" w:sz="0" w:space="0" w:color="auto"/>
        <w:left w:val="none" w:sz="0" w:space="0" w:color="auto"/>
        <w:bottom w:val="none" w:sz="0" w:space="0" w:color="auto"/>
        <w:right w:val="none" w:sz="0" w:space="0" w:color="auto"/>
      </w:divBdr>
    </w:div>
    <w:div w:id="896742163">
      <w:bodyDiv w:val="1"/>
      <w:marLeft w:val="0"/>
      <w:marRight w:val="0"/>
      <w:marTop w:val="0"/>
      <w:marBottom w:val="0"/>
      <w:divBdr>
        <w:top w:val="none" w:sz="0" w:space="0" w:color="auto"/>
        <w:left w:val="none" w:sz="0" w:space="0" w:color="auto"/>
        <w:bottom w:val="none" w:sz="0" w:space="0" w:color="auto"/>
        <w:right w:val="none" w:sz="0" w:space="0" w:color="auto"/>
      </w:divBdr>
    </w:div>
    <w:div w:id="898394936">
      <w:bodyDiv w:val="1"/>
      <w:marLeft w:val="0"/>
      <w:marRight w:val="0"/>
      <w:marTop w:val="0"/>
      <w:marBottom w:val="0"/>
      <w:divBdr>
        <w:top w:val="none" w:sz="0" w:space="0" w:color="auto"/>
        <w:left w:val="none" w:sz="0" w:space="0" w:color="auto"/>
        <w:bottom w:val="none" w:sz="0" w:space="0" w:color="auto"/>
        <w:right w:val="none" w:sz="0" w:space="0" w:color="auto"/>
      </w:divBdr>
    </w:div>
    <w:div w:id="899483538">
      <w:bodyDiv w:val="1"/>
      <w:marLeft w:val="0"/>
      <w:marRight w:val="0"/>
      <w:marTop w:val="0"/>
      <w:marBottom w:val="0"/>
      <w:divBdr>
        <w:top w:val="none" w:sz="0" w:space="0" w:color="auto"/>
        <w:left w:val="none" w:sz="0" w:space="0" w:color="auto"/>
        <w:bottom w:val="none" w:sz="0" w:space="0" w:color="auto"/>
        <w:right w:val="none" w:sz="0" w:space="0" w:color="auto"/>
      </w:divBdr>
    </w:div>
    <w:div w:id="906110699">
      <w:bodyDiv w:val="1"/>
      <w:marLeft w:val="0"/>
      <w:marRight w:val="0"/>
      <w:marTop w:val="0"/>
      <w:marBottom w:val="0"/>
      <w:divBdr>
        <w:top w:val="none" w:sz="0" w:space="0" w:color="auto"/>
        <w:left w:val="none" w:sz="0" w:space="0" w:color="auto"/>
        <w:bottom w:val="none" w:sz="0" w:space="0" w:color="auto"/>
        <w:right w:val="none" w:sz="0" w:space="0" w:color="auto"/>
      </w:divBdr>
    </w:div>
    <w:div w:id="907617083">
      <w:bodyDiv w:val="1"/>
      <w:marLeft w:val="0"/>
      <w:marRight w:val="0"/>
      <w:marTop w:val="0"/>
      <w:marBottom w:val="0"/>
      <w:divBdr>
        <w:top w:val="none" w:sz="0" w:space="0" w:color="auto"/>
        <w:left w:val="none" w:sz="0" w:space="0" w:color="auto"/>
        <w:bottom w:val="none" w:sz="0" w:space="0" w:color="auto"/>
        <w:right w:val="none" w:sz="0" w:space="0" w:color="auto"/>
      </w:divBdr>
    </w:div>
    <w:div w:id="914165623">
      <w:bodyDiv w:val="1"/>
      <w:marLeft w:val="0"/>
      <w:marRight w:val="0"/>
      <w:marTop w:val="0"/>
      <w:marBottom w:val="0"/>
      <w:divBdr>
        <w:top w:val="none" w:sz="0" w:space="0" w:color="auto"/>
        <w:left w:val="none" w:sz="0" w:space="0" w:color="auto"/>
        <w:bottom w:val="none" w:sz="0" w:space="0" w:color="auto"/>
        <w:right w:val="none" w:sz="0" w:space="0" w:color="auto"/>
      </w:divBdr>
    </w:div>
    <w:div w:id="916475553">
      <w:bodyDiv w:val="1"/>
      <w:marLeft w:val="0"/>
      <w:marRight w:val="0"/>
      <w:marTop w:val="0"/>
      <w:marBottom w:val="0"/>
      <w:divBdr>
        <w:top w:val="none" w:sz="0" w:space="0" w:color="auto"/>
        <w:left w:val="none" w:sz="0" w:space="0" w:color="auto"/>
        <w:bottom w:val="none" w:sz="0" w:space="0" w:color="auto"/>
        <w:right w:val="none" w:sz="0" w:space="0" w:color="auto"/>
      </w:divBdr>
    </w:div>
    <w:div w:id="919868309">
      <w:bodyDiv w:val="1"/>
      <w:marLeft w:val="0"/>
      <w:marRight w:val="0"/>
      <w:marTop w:val="0"/>
      <w:marBottom w:val="0"/>
      <w:divBdr>
        <w:top w:val="none" w:sz="0" w:space="0" w:color="auto"/>
        <w:left w:val="none" w:sz="0" w:space="0" w:color="auto"/>
        <w:bottom w:val="none" w:sz="0" w:space="0" w:color="auto"/>
        <w:right w:val="none" w:sz="0" w:space="0" w:color="auto"/>
      </w:divBdr>
    </w:div>
    <w:div w:id="922450214">
      <w:bodyDiv w:val="1"/>
      <w:marLeft w:val="0"/>
      <w:marRight w:val="0"/>
      <w:marTop w:val="0"/>
      <w:marBottom w:val="0"/>
      <w:divBdr>
        <w:top w:val="none" w:sz="0" w:space="0" w:color="auto"/>
        <w:left w:val="none" w:sz="0" w:space="0" w:color="auto"/>
        <w:bottom w:val="none" w:sz="0" w:space="0" w:color="auto"/>
        <w:right w:val="none" w:sz="0" w:space="0" w:color="auto"/>
      </w:divBdr>
      <w:divsChild>
        <w:div w:id="556746411">
          <w:marLeft w:val="1800"/>
          <w:marRight w:val="0"/>
          <w:marTop w:val="200"/>
          <w:marBottom w:val="200"/>
          <w:divBdr>
            <w:top w:val="none" w:sz="0" w:space="0" w:color="auto"/>
            <w:left w:val="none" w:sz="0" w:space="0" w:color="auto"/>
            <w:bottom w:val="none" w:sz="0" w:space="0" w:color="auto"/>
            <w:right w:val="none" w:sz="0" w:space="0" w:color="auto"/>
          </w:divBdr>
        </w:div>
      </w:divsChild>
    </w:div>
    <w:div w:id="934366520">
      <w:bodyDiv w:val="1"/>
      <w:marLeft w:val="0"/>
      <w:marRight w:val="0"/>
      <w:marTop w:val="0"/>
      <w:marBottom w:val="0"/>
      <w:divBdr>
        <w:top w:val="none" w:sz="0" w:space="0" w:color="auto"/>
        <w:left w:val="none" w:sz="0" w:space="0" w:color="auto"/>
        <w:bottom w:val="none" w:sz="0" w:space="0" w:color="auto"/>
        <w:right w:val="none" w:sz="0" w:space="0" w:color="auto"/>
      </w:divBdr>
    </w:div>
    <w:div w:id="935093690">
      <w:bodyDiv w:val="1"/>
      <w:marLeft w:val="0"/>
      <w:marRight w:val="0"/>
      <w:marTop w:val="0"/>
      <w:marBottom w:val="0"/>
      <w:divBdr>
        <w:top w:val="none" w:sz="0" w:space="0" w:color="auto"/>
        <w:left w:val="none" w:sz="0" w:space="0" w:color="auto"/>
        <w:bottom w:val="none" w:sz="0" w:space="0" w:color="auto"/>
        <w:right w:val="none" w:sz="0" w:space="0" w:color="auto"/>
      </w:divBdr>
    </w:div>
    <w:div w:id="938607316">
      <w:bodyDiv w:val="1"/>
      <w:marLeft w:val="0"/>
      <w:marRight w:val="0"/>
      <w:marTop w:val="0"/>
      <w:marBottom w:val="0"/>
      <w:divBdr>
        <w:top w:val="none" w:sz="0" w:space="0" w:color="auto"/>
        <w:left w:val="none" w:sz="0" w:space="0" w:color="auto"/>
        <w:bottom w:val="none" w:sz="0" w:space="0" w:color="auto"/>
        <w:right w:val="none" w:sz="0" w:space="0" w:color="auto"/>
      </w:divBdr>
    </w:div>
    <w:div w:id="938829523">
      <w:bodyDiv w:val="1"/>
      <w:marLeft w:val="0"/>
      <w:marRight w:val="0"/>
      <w:marTop w:val="0"/>
      <w:marBottom w:val="0"/>
      <w:divBdr>
        <w:top w:val="none" w:sz="0" w:space="0" w:color="auto"/>
        <w:left w:val="none" w:sz="0" w:space="0" w:color="auto"/>
        <w:bottom w:val="none" w:sz="0" w:space="0" w:color="auto"/>
        <w:right w:val="none" w:sz="0" w:space="0" w:color="auto"/>
      </w:divBdr>
    </w:div>
    <w:div w:id="943196981">
      <w:bodyDiv w:val="1"/>
      <w:marLeft w:val="0"/>
      <w:marRight w:val="0"/>
      <w:marTop w:val="0"/>
      <w:marBottom w:val="0"/>
      <w:divBdr>
        <w:top w:val="none" w:sz="0" w:space="0" w:color="auto"/>
        <w:left w:val="none" w:sz="0" w:space="0" w:color="auto"/>
        <w:bottom w:val="none" w:sz="0" w:space="0" w:color="auto"/>
        <w:right w:val="none" w:sz="0" w:space="0" w:color="auto"/>
      </w:divBdr>
    </w:div>
    <w:div w:id="949974430">
      <w:bodyDiv w:val="1"/>
      <w:marLeft w:val="0"/>
      <w:marRight w:val="0"/>
      <w:marTop w:val="0"/>
      <w:marBottom w:val="0"/>
      <w:divBdr>
        <w:top w:val="none" w:sz="0" w:space="0" w:color="auto"/>
        <w:left w:val="none" w:sz="0" w:space="0" w:color="auto"/>
        <w:bottom w:val="none" w:sz="0" w:space="0" w:color="auto"/>
        <w:right w:val="none" w:sz="0" w:space="0" w:color="auto"/>
      </w:divBdr>
    </w:div>
    <w:div w:id="950477303">
      <w:bodyDiv w:val="1"/>
      <w:marLeft w:val="0"/>
      <w:marRight w:val="0"/>
      <w:marTop w:val="0"/>
      <w:marBottom w:val="0"/>
      <w:divBdr>
        <w:top w:val="none" w:sz="0" w:space="0" w:color="auto"/>
        <w:left w:val="none" w:sz="0" w:space="0" w:color="auto"/>
        <w:bottom w:val="none" w:sz="0" w:space="0" w:color="auto"/>
        <w:right w:val="none" w:sz="0" w:space="0" w:color="auto"/>
      </w:divBdr>
    </w:div>
    <w:div w:id="951786567">
      <w:bodyDiv w:val="1"/>
      <w:marLeft w:val="0"/>
      <w:marRight w:val="0"/>
      <w:marTop w:val="0"/>
      <w:marBottom w:val="0"/>
      <w:divBdr>
        <w:top w:val="none" w:sz="0" w:space="0" w:color="auto"/>
        <w:left w:val="none" w:sz="0" w:space="0" w:color="auto"/>
        <w:bottom w:val="none" w:sz="0" w:space="0" w:color="auto"/>
        <w:right w:val="none" w:sz="0" w:space="0" w:color="auto"/>
      </w:divBdr>
    </w:div>
    <w:div w:id="955717611">
      <w:bodyDiv w:val="1"/>
      <w:marLeft w:val="0"/>
      <w:marRight w:val="0"/>
      <w:marTop w:val="0"/>
      <w:marBottom w:val="0"/>
      <w:divBdr>
        <w:top w:val="none" w:sz="0" w:space="0" w:color="auto"/>
        <w:left w:val="none" w:sz="0" w:space="0" w:color="auto"/>
        <w:bottom w:val="none" w:sz="0" w:space="0" w:color="auto"/>
        <w:right w:val="none" w:sz="0" w:space="0" w:color="auto"/>
      </w:divBdr>
    </w:div>
    <w:div w:id="955868629">
      <w:bodyDiv w:val="1"/>
      <w:marLeft w:val="0"/>
      <w:marRight w:val="0"/>
      <w:marTop w:val="0"/>
      <w:marBottom w:val="0"/>
      <w:divBdr>
        <w:top w:val="none" w:sz="0" w:space="0" w:color="auto"/>
        <w:left w:val="none" w:sz="0" w:space="0" w:color="auto"/>
        <w:bottom w:val="none" w:sz="0" w:space="0" w:color="auto"/>
        <w:right w:val="none" w:sz="0" w:space="0" w:color="auto"/>
      </w:divBdr>
    </w:div>
    <w:div w:id="957760292">
      <w:bodyDiv w:val="1"/>
      <w:marLeft w:val="0"/>
      <w:marRight w:val="0"/>
      <w:marTop w:val="0"/>
      <w:marBottom w:val="0"/>
      <w:divBdr>
        <w:top w:val="none" w:sz="0" w:space="0" w:color="auto"/>
        <w:left w:val="none" w:sz="0" w:space="0" w:color="auto"/>
        <w:bottom w:val="none" w:sz="0" w:space="0" w:color="auto"/>
        <w:right w:val="none" w:sz="0" w:space="0" w:color="auto"/>
      </w:divBdr>
    </w:div>
    <w:div w:id="960264563">
      <w:bodyDiv w:val="1"/>
      <w:marLeft w:val="0"/>
      <w:marRight w:val="0"/>
      <w:marTop w:val="0"/>
      <w:marBottom w:val="0"/>
      <w:divBdr>
        <w:top w:val="none" w:sz="0" w:space="0" w:color="auto"/>
        <w:left w:val="none" w:sz="0" w:space="0" w:color="auto"/>
        <w:bottom w:val="none" w:sz="0" w:space="0" w:color="auto"/>
        <w:right w:val="none" w:sz="0" w:space="0" w:color="auto"/>
      </w:divBdr>
    </w:div>
    <w:div w:id="961500559">
      <w:bodyDiv w:val="1"/>
      <w:marLeft w:val="0"/>
      <w:marRight w:val="0"/>
      <w:marTop w:val="0"/>
      <w:marBottom w:val="0"/>
      <w:divBdr>
        <w:top w:val="none" w:sz="0" w:space="0" w:color="auto"/>
        <w:left w:val="none" w:sz="0" w:space="0" w:color="auto"/>
        <w:bottom w:val="none" w:sz="0" w:space="0" w:color="auto"/>
        <w:right w:val="none" w:sz="0" w:space="0" w:color="auto"/>
      </w:divBdr>
    </w:div>
    <w:div w:id="970791652">
      <w:bodyDiv w:val="1"/>
      <w:marLeft w:val="0"/>
      <w:marRight w:val="0"/>
      <w:marTop w:val="0"/>
      <w:marBottom w:val="0"/>
      <w:divBdr>
        <w:top w:val="none" w:sz="0" w:space="0" w:color="auto"/>
        <w:left w:val="none" w:sz="0" w:space="0" w:color="auto"/>
        <w:bottom w:val="none" w:sz="0" w:space="0" w:color="auto"/>
        <w:right w:val="none" w:sz="0" w:space="0" w:color="auto"/>
      </w:divBdr>
    </w:div>
    <w:div w:id="974681377">
      <w:bodyDiv w:val="1"/>
      <w:marLeft w:val="0"/>
      <w:marRight w:val="0"/>
      <w:marTop w:val="0"/>
      <w:marBottom w:val="0"/>
      <w:divBdr>
        <w:top w:val="none" w:sz="0" w:space="0" w:color="auto"/>
        <w:left w:val="none" w:sz="0" w:space="0" w:color="auto"/>
        <w:bottom w:val="none" w:sz="0" w:space="0" w:color="auto"/>
        <w:right w:val="none" w:sz="0" w:space="0" w:color="auto"/>
      </w:divBdr>
    </w:div>
    <w:div w:id="975376923">
      <w:bodyDiv w:val="1"/>
      <w:marLeft w:val="0"/>
      <w:marRight w:val="0"/>
      <w:marTop w:val="0"/>
      <w:marBottom w:val="0"/>
      <w:divBdr>
        <w:top w:val="none" w:sz="0" w:space="0" w:color="auto"/>
        <w:left w:val="none" w:sz="0" w:space="0" w:color="auto"/>
        <w:bottom w:val="none" w:sz="0" w:space="0" w:color="auto"/>
        <w:right w:val="none" w:sz="0" w:space="0" w:color="auto"/>
      </w:divBdr>
    </w:div>
    <w:div w:id="981496910">
      <w:bodyDiv w:val="1"/>
      <w:marLeft w:val="0"/>
      <w:marRight w:val="0"/>
      <w:marTop w:val="0"/>
      <w:marBottom w:val="0"/>
      <w:divBdr>
        <w:top w:val="none" w:sz="0" w:space="0" w:color="auto"/>
        <w:left w:val="none" w:sz="0" w:space="0" w:color="auto"/>
        <w:bottom w:val="none" w:sz="0" w:space="0" w:color="auto"/>
        <w:right w:val="none" w:sz="0" w:space="0" w:color="auto"/>
      </w:divBdr>
    </w:div>
    <w:div w:id="982152286">
      <w:bodyDiv w:val="1"/>
      <w:marLeft w:val="0"/>
      <w:marRight w:val="0"/>
      <w:marTop w:val="0"/>
      <w:marBottom w:val="0"/>
      <w:divBdr>
        <w:top w:val="none" w:sz="0" w:space="0" w:color="auto"/>
        <w:left w:val="none" w:sz="0" w:space="0" w:color="auto"/>
        <w:bottom w:val="none" w:sz="0" w:space="0" w:color="auto"/>
        <w:right w:val="none" w:sz="0" w:space="0" w:color="auto"/>
      </w:divBdr>
    </w:div>
    <w:div w:id="982657052">
      <w:bodyDiv w:val="1"/>
      <w:marLeft w:val="0"/>
      <w:marRight w:val="0"/>
      <w:marTop w:val="0"/>
      <w:marBottom w:val="0"/>
      <w:divBdr>
        <w:top w:val="none" w:sz="0" w:space="0" w:color="auto"/>
        <w:left w:val="none" w:sz="0" w:space="0" w:color="auto"/>
        <w:bottom w:val="none" w:sz="0" w:space="0" w:color="auto"/>
        <w:right w:val="none" w:sz="0" w:space="0" w:color="auto"/>
      </w:divBdr>
    </w:div>
    <w:div w:id="985167352">
      <w:bodyDiv w:val="1"/>
      <w:marLeft w:val="0"/>
      <w:marRight w:val="0"/>
      <w:marTop w:val="0"/>
      <w:marBottom w:val="0"/>
      <w:divBdr>
        <w:top w:val="none" w:sz="0" w:space="0" w:color="auto"/>
        <w:left w:val="none" w:sz="0" w:space="0" w:color="auto"/>
        <w:bottom w:val="none" w:sz="0" w:space="0" w:color="auto"/>
        <w:right w:val="none" w:sz="0" w:space="0" w:color="auto"/>
      </w:divBdr>
    </w:div>
    <w:div w:id="986518868">
      <w:bodyDiv w:val="1"/>
      <w:marLeft w:val="0"/>
      <w:marRight w:val="0"/>
      <w:marTop w:val="0"/>
      <w:marBottom w:val="0"/>
      <w:divBdr>
        <w:top w:val="none" w:sz="0" w:space="0" w:color="auto"/>
        <w:left w:val="none" w:sz="0" w:space="0" w:color="auto"/>
        <w:bottom w:val="none" w:sz="0" w:space="0" w:color="auto"/>
        <w:right w:val="none" w:sz="0" w:space="0" w:color="auto"/>
      </w:divBdr>
    </w:div>
    <w:div w:id="992758155">
      <w:bodyDiv w:val="1"/>
      <w:marLeft w:val="0"/>
      <w:marRight w:val="0"/>
      <w:marTop w:val="0"/>
      <w:marBottom w:val="0"/>
      <w:divBdr>
        <w:top w:val="none" w:sz="0" w:space="0" w:color="auto"/>
        <w:left w:val="none" w:sz="0" w:space="0" w:color="auto"/>
        <w:bottom w:val="none" w:sz="0" w:space="0" w:color="auto"/>
        <w:right w:val="none" w:sz="0" w:space="0" w:color="auto"/>
      </w:divBdr>
      <w:divsChild>
        <w:div w:id="400256553">
          <w:marLeft w:val="0"/>
          <w:marRight w:val="0"/>
          <w:marTop w:val="300"/>
          <w:marBottom w:val="0"/>
          <w:divBdr>
            <w:top w:val="none" w:sz="0" w:space="0" w:color="auto"/>
            <w:left w:val="none" w:sz="0" w:space="0" w:color="auto"/>
            <w:bottom w:val="none" w:sz="0" w:space="0" w:color="auto"/>
            <w:right w:val="none" w:sz="0" w:space="0" w:color="auto"/>
          </w:divBdr>
          <w:divsChild>
            <w:div w:id="587885536">
              <w:marLeft w:val="0"/>
              <w:marRight w:val="0"/>
              <w:marTop w:val="0"/>
              <w:marBottom w:val="0"/>
              <w:divBdr>
                <w:top w:val="none" w:sz="0" w:space="0" w:color="auto"/>
                <w:left w:val="none" w:sz="0" w:space="0" w:color="auto"/>
                <w:bottom w:val="none" w:sz="0" w:space="0" w:color="auto"/>
                <w:right w:val="none" w:sz="0" w:space="0" w:color="auto"/>
              </w:divBdr>
              <w:divsChild>
                <w:div w:id="641274695">
                  <w:marLeft w:val="0"/>
                  <w:marRight w:val="0"/>
                  <w:marTop w:val="0"/>
                  <w:marBottom w:val="0"/>
                  <w:divBdr>
                    <w:top w:val="none" w:sz="0" w:space="0" w:color="auto"/>
                    <w:left w:val="none" w:sz="0" w:space="0" w:color="auto"/>
                    <w:bottom w:val="none" w:sz="0" w:space="0" w:color="auto"/>
                    <w:right w:val="none" w:sz="0" w:space="0" w:color="auto"/>
                  </w:divBdr>
                  <w:divsChild>
                    <w:div w:id="576868782">
                      <w:marLeft w:val="0"/>
                      <w:marRight w:val="0"/>
                      <w:marTop w:val="0"/>
                      <w:marBottom w:val="0"/>
                      <w:divBdr>
                        <w:top w:val="none" w:sz="0" w:space="0" w:color="auto"/>
                        <w:left w:val="none" w:sz="0" w:space="0" w:color="auto"/>
                        <w:bottom w:val="none" w:sz="0" w:space="0" w:color="auto"/>
                        <w:right w:val="none" w:sz="0" w:space="0" w:color="auto"/>
                      </w:divBdr>
                      <w:divsChild>
                        <w:div w:id="162354716">
                          <w:marLeft w:val="0"/>
                          <w:marRight w:val="0"/>
                          <w:marTop w:val="0"/>
                          <w:marBottom w:val="600"/>
                          <w:divBdr>
                            <w:top w:val="none" w:sz="0" w:space="0" w:color="auto"/>
                            <w:left w:val="none" w:sz="0" w:space="0" w:color="auto"/>
                            <w:bottom w:val="none" w:sz="0" w:space="0" w:color="auto"/>
                            <w:right w:val="none" w:sz="0" w:space="0" w:color="auto"/>
                          </w:divBdr>
                          <w:divsChild>
                            <w:div w:id="710497099">
                              <w:marLeft w:val="0"/>
                              <w:marRight w:val="0"/>
                              <w:marTop w:val="0"/>
                              <w:marBottom w:val="600"/>
                              <w:divBdr>
                                <w:top w:val="none" w:sz="0" w:space="0" w:color="auto"/>
                                <w:left w:val="none" w:sz="0" w:space="0" w:color="auto"/>
                                <w:bottom w:val="none" w:sz="0" w:space="0" w:color="auto"/>
                                <w:right w:val="none" w:sz="0" w:space="0" w:color="auto"/>
                              </w:divBdr>
                              <w:divsChild>
                                <w:div w:id="1653678514">
                                  <w:marLeft w:val="0"/>
                                  <w:marRight w:val="0"/>
                                  <w:marTop w:val="0"/>
                                  <w:marBottom w:val="0"/>
                                  <w:divBdr>
                                    <w:top w:val="none" w:sz="0" w:space="0" w:color="auto"/>
                                    <w:left w:val="none" w:sz="0" w:space="0" w:color="auto"/>
                                    <w:bottom w:val="none" w:sz="0" w:space="0" w:color="auto"/>
                                    <w:right w:val="none" w:sz="0" w:space="0" w:color="auto"/>
                                  </w:divBdr>
                                  <w:divsChild>
                                    <w:div w:id="1182859997">
                                      <w:marLeft w:val="0"/>
                                      <w:marRight w:val="0"/>
                                      <w:marTop w:val="0"/>
                                      <w:marBottom w:val="0"/>
                                      <w:divBdr>
                                        <w:top w:val="none" w:sz="0" w:space="0" w:color="auto"/>
                                        <w:left w:val="none" w:sz="0" w:space="0" w:color="auto"/>
                                        <w:bottom w:val="none" w:sz="0" w:space="0" w:color="auto"/>
                                        <w:right w:val="none" w:sz="0" w:space="0" w:color="auto"/>
                                      </w:divBdr>
                                      <w:divsChild>
                                        <w:div w:id="2095275290">
                                          <w:marLeft w:val="0"/>
                                          <w:marRight w:val="0"/>
                                          <w:marTop w:val="0"/>
                                          <w:marBottom w:val="0"/>
                                          <w:divBdr>
                                            <w:top w:val="none" w:sz="0" w:space="0" w:color="auto"/>
                                            <w:left w:val="none" w:sz="0" w:space="0" w:color="auto"/>
                                            <w:bottom w:val="none" w:sz="0" w:space="0" w:color="auto"/>
                                            <w:right w:val="none" w:sz="0" w:space="0" w:color="auto"/>
                                          </w:divBdr>
                                          <w:divsChild>
                                            <w:div w:id="1776708785">
                                              <w:marLeft w:val="0"/>
                                              <w:marRight w:val="0"/>
                                              <w:marTop w:val="0"/>
                                              <w:marBottom w:val="0"/>
                                              <w:divBdr>
                                                <w:top w:val="none" w:sz="0" w:space="0" w:color="auto"/>
                                                <w:left w:val="none" w:sz="0" w:space="0" w:color="auto"/>
                                                <w:bottom w:val="none" w:sz="0" w:space="0" w:color="auto"/>
                                                <w:right w:val="none" w:sz="0" w:space="0" w:color="auto"/>
                                              </w:divBdr>
                                              <w:divsChild>
                                                <w:div w:id="181915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4378396">
      <w:bodyDiv w:val="1"/>
      <w:marLeft w:val="0"/>
      <w:marRight w:val="0"/>
      <w:marTop w:val="0"/>
      <w:marBottom w:val="0"/>
      <w:divBdr>
        <w:top w:val="none" w:sz="0" w:space="0" w:color="auto"/>
        <w:left w:val="none" w:sz="0" w:space="0" w:color="auto"/>
        <w:bottom w:val="none" w:sz="0" w:space="0" w:color="auto"/>
        <w:right w:val="none" w:sz="0" w:space="0" w:color="auto"/>
      </w:divBdr>
    </w:div>
    <w:div w:id="998532889">
      <w:bodyDiv w:val="1"/>
      <w:marLeft w:val="0"/>
      <w:marRight w:val="0"/>
      <w:marTop w:val="0"/>
      <w:marBottom w:val="0"/>
      <w:divBdr>
        <w:top w:val="none" w:sz="0" w:space="0" w:color="auto"/>
        <w:left w:val="none" w:sz="0" w:space="0" w:color="auto"/>
        <w:bottom w:val="none" w:sz="0" w:space="0" w:color="auto"/>
        <w:right w:val="none" w:sz="0" w:space="0" w:color="auto"/>
      </w:divBdr>
    </w:div>
    <w:div w:id="999307479">
      <w:bodyDiv w:val="1"/>
      <w:marLeft w:val="0"/>
      <w:marRight w:val="0"/>
      <w:marTop w:val="0"/>
      <w:marBottom w:val="0"/>
      <w:divBdr>
        <w:top w:val="none" w:sz="0" w:space="0" w:color="auto"/>
        <w:left w:val="none" w:sz="0" w:space="0" w:color="auto"/>
        <w:bottom w:val="none" w:sz="0" w:space="0" w:color="auto"/>
        <w:right w:val="none" w:sz="0" w:space="0" w:color="auto"/>
      </w:divBdr>
    </w:div>
    <w:div w:id="1003317820">
      <w:bodyDiv w:val="1"/>
      <w:marLeft w:val="0"/>
      <w:marRight w:val="0"/>
      <w:marTop w:val="0"/>
      <w:marBottom w:val="0"/>
      <w:divBdr>
        <w:top w:val="none" w:sz="0" w:space="0" w:color="auto"/>
        <w:left w:val="none" w:sz="0" w:space="0" w:color="auto"/>
        <w:bottom w:val="none" w:sz="0" w:space="0" w:color="auto"/>
        <w:right w:val="none" w:sz="0" w:space="0" w:color="auto"/>
      </w:divBdr>
    </w:div>
    <w:div w:id="1004743933">
      <w:bodyDiv w:val="1"/>
      <w:marLeft w:val="0"/>
      <w:marRight w:val="0"/>
      <w:marTop w:val="0"/>
      <w:marBottom w:val="0"/>
      <w:divBdr>
        <w:top w:val="none" w:sz="0" w:space="0" w:color="auto"/>
        <w:left w:val="none" w:sz="0" w:space="0" w:color="auto"/>
        <w:bottom w:val="none" w:sz="0" w:space="0" w:color="auto"/>
        <w:right w:val="none" w:sz="0" w:space="0" w:color="auto"/>
      </w:divBdr>
    </w:div>
    <w:div w:id="1005789936">
      <w:bodyDiv w:val="1"/>
      <w:marLeft w:val="0"/>
      <w:marRight w:val="0"/>
      <w:marTop w:val="0"/>
      <w:marBottom w:val="0"/>
      <w:divBdr>
        <w:top w:val="none" w:sz="0" w:space="0" w:color="auto"/>
        <w:left w:val="none" w:sz="0" w:space="0" w:color="auto"/>
        <w:bottom w:val="none" w:sz="0" w:space="0" w:color="auto"/>
        <w:right w:val="none" w:sz="0" w:space="0" w:color="auto"/>
      </w:divBdr>
    </w:div>
    <w:div w:id="1010794119">
      <w:bodyDiv w:val="1"/>
      <w:marLeft w:val="0"/>
      <w:marRight w:val="0"/>
      <w:marTop w:val="0"/>
      <w:marBottom w:val="0"/>
      <w:divBdr>
        <w:top w:val="none" w:sz="0" w:space="0" w:color="auto"/>
        <w:left w:val="none" w:sz="0" w:space="0" w:color="auto"/>
        <w:bottom w:val="none" w:sz="0" w:space="0" w:color="auto"/>
        <w:right w:val="none" w:sz="0" w:space="0" w:color="auto"/>
      </w:divBdr>
    </w:div>
    <w:div w:id="1012100189">
      <w:bodyDiv w:val="1"/>
      <w:marLeft w:val="0"/>
      <w:marRight w:val="0"/>
      <w:marTop w:val="0"/>
      <w:marBottom w:val="0"/>
      <w:divBdr>
        <w:top w:val="none" w:sz="0" w:space="0" w:color="auto"/>
        <w:left w:val="none" w:sz="0" w:space="0" w:color="auto"/>
        <w:bottom w:val="none" w:sz="0" w:space="0" w:color="auto"/>
        <w:right w:val="none" w:sz="0" w:space="0" w:color="auto"/>
      </w:divBdr>
    </w:div>
    <w:div w:id="1016152760">
      <w:bodyDiv w:val="1"/>
      <w:marLeft w:val="0"/>
      <w:marRight w:val="0"/>
      <w:marTop w:val="0"/>
      <w:marBottom w:val="0"/>
      <w:divBdr>
        <w:top w:val="none" w:sz="0" w:space="0" w:color="auto"/>
        <w:left w:val="none" w:sz="0" w:space="0" w:color="auto"/>
        <w:bottom w:val="none" w:sz="0" w:space="0" w:color="auto"/>
        <w:right w:val="none" w:sz="0" w:space="0" w:color="auto"/>
      </w:divBdr>
    </w:div>
    <w:div w:id="1020551939">
      <w:bodyDiv w:val="1"/>
      <w:marLeft w:val="0"/>
      <w:marRight w:val="0"/>
      <w:marTop w:val="0"/>
      <w:marBottom w:val="0"/>
      <w:divBdr>
        <w:top w:val="none" w:sz="0" w:space="0" w:color="auto"/>
        <w:left w:val="none" w:sz="0" w:space="0" w:color="auto"/>
        <w:bottom w:val="none" w:sz="0" w:space="0" w:color="auto"/>
        <w:right w:val="none" w:sz="0" w:space="0" w:color="auto"/>
      </w:divBdr>
    </w:div>
    <w:div w:id="1024864226">
      <w:bodyDiv w:val="1"/>
      <w:marLeft w:val="0"/>
      <w:marRight w:val="0"/>
      <w:marTop w:val="0"/>
      <w:marBottom w:val="0"/>
      <w:divBdr>
        <w:top w:val="none" w:sz="0" w:space="0" w:color="auto"/>
        <w:left w:val="none" w:sz="0" w:space="0" w:color="auto"/>
        <w:bottom w:val="none" w:sz="0" w:space="0" w:color="auto"/>
        <w:right w:val="none" w:sz="0" w:space="0" w:color="auto"/>
      </w:divBdr>
    </w:div>
    <w:div w:id="1035932146">
      <w:bodyDiv w:val="1"/>
      <w:marLeft w:val="0"/>
      <w:marRight w:val="0"/>
      <w:marTop w:val="0"/>
      <w:marBottom w:val="0"/>
      <w:divBdr>
        <w:top w:val="none" w:sz="0" w:space="0" w:color="auto"/>
        <w:left w:val="none" w:sz="0" w:space="0" w:color="auto"/>
        <w:bottom w:val="none" w:sz="0" w:space="0" w:color="auto"/>
        <w:right w:val="none" w:sz="0" w:space="0" w:color="auto"/>
      </w:divBdr>
    </w:div>
    <w:div w:id="1037968797">
      <w:bodyDiv w:val="1"/>
      <w:marLeft w:val="0"/>
      <w:marRight w:val="0"/>
      <w:marTop w:val="0"/>
      <w:marBottom w:val="0"/>
      <w:divBdr>
        <w:top w:val="none" w:sz="0" w:space="0" w:color="auto"/>
        <w:left w:val="none" w:sz="0" w:space="0" w:color="auto"/>
        <w:bottom w:val="none" w:sz="0" w:space="0" w:color="auto"/>
        <w:right w:val="none" w:sz="0" w:space="0" w:color="auto"/>
      </w:divBdr>
      <w:divsChild>
        <w:div w:id="1374617875">
          <w:marLeft w:val="1800"/>
          <w:marRight w:val="0"/>
          <w:marTop w:val="200"/>
          <w:marBottom w:val="200"/>
          <w:divBdr>
            <w:top w:val="none" w:sz="0" w:space="0" w:color="auto"/>
            <w:left w:val="none" w:sz="0" w:space="0" w:color="auto"/>
            <w:bottom w:val="none" w:sz="0" w:space="0" w:color="auto"/>
            <w:right w:val="none" w:sz="0" w:space="0" w:color="auto"/>
          </w:divBdr>
        </w:div>
      </w:divsChild>
    </w:div>
    <w:div w:id="1050763834">
      <w:bodyDiv w:val="1"/>
      <w:marLeft w:val="0"/>
      <w:marRight w:val="0"/>
      <w:marTop w:val="0"/>
      <w:marBottom w:val="0"/>
      <w:divBdr>
        <w:top w:val="none" w:sz="0" w:space="0" w:color="auto"/>
        <w:left w:val="none" w:sz="0" w:space="0" w:color="auto"/>
        <w:bottom w:val="none" w:sz="0" w:space="0" w:color="auto"/>
        <w:right w:val="none" w:sz="0" w:space="0" w:color="auto"/>
      </w:divBdr>
    </w:div>
    <w:div w:id="1050961504">
      <w:bodyDiv w:val="1"/>
      <w:marLeft w:val="0"/>
      <w:marRight w:val="0"/>
      <w:marTop w:val="0"/>
      <w:marBottom w:val="0"/>
      <w:divBdr>
        <w:top w:val="none" w:sz="0" w:space="0" w:color="auto"/>
        <w:left w:val="none" w:sz="0" w:space="0" w:color="auto"/>
        <w:bottom w:val="none" w:sz="0" w:space="0" w:color="auto"/>
        <w:right w:val="none" w:sz="0" w:space="0" w:color="auto"/>
      </w:divBdr>
    </w:div>
    <w:div w:id="1052000942">
      <w:bodyDiv w:val="1"/>
      <w:marLeft w:val="0"/>
      <w:marRight w:val="0"/>
      <w:marTop w:val="0"/>
      <w:marBottom w:val="0"/>
      <w:divBdr>
        <w:top w:val="none" w:sz="0" w:space="0" w:color="auto"/>
        <w:left w:val="none" w:sz="0" w:space="0" w:color="auto"/>
        <w:bottom w:val="none" w:sz="0" w:space="0" w:color="auto"/>
        <w:right w:val="none" w:sz="0" w:space="0" w:color="auto"/>
      </w:divBdr>
    </w:div>
    <w:div w:id="1053819905">
      <w:bodyDiv w:val="1"/>
      <w:marLeft w:val="0"/>
      <w:marRight w:val="0"/>
      <w:marTop w:val="0"/>
      <w:marBottom w:val="0"/>
      <w:divBdr>
        <w:top w:val="none" w:sz="0" w:space="0" w:color="auto"/>
        <w:left w:val="none" w:sz="0" w:space="0" w:color="auto"/>
        <w:bottom w:val="none" w:sz="0" w:space="0" w:color="auto"/>
        <w:right w:val="none" w:sz="0" w:space="0" w:color="auto"/>
      </w:divBdr>
      <w:divsChild>
        <w:div w:id="2032683038">
          <w:marLeft w:val="0"/>
          <w:marRight w:val="0"/>
          <w:marTop w:val="0"/>
          <w:marBottom w:val="0"/>
          <w:divBdr>
            <w:top w:val="none" w:sz="0" w:space="0" w:color="auto"/>
            <w:left w:val="none" w:sz="0" w:space="0" w:color="auto"/>
            <w:bottom w:val="none" w:sz="0" w:space="0" w:color="auto"/>
            <w:right w:val="none" w:sz="0" w:space="0" w:color="auto"/>
          </w:divBdr>
          <w:divsChild>
            <w:div w:id="1840120869">
              <w:marLeft w:val="0"/>
              <w:marRight w:val="0"/>
              <w:marTop w:val="0"/>
              <w:marBottom w:val="0"/>
              <w:divBdr>
                <w:top w:val="none" w:sz="0" w:space="0" w:color="auto"/>
                <w:left w:val="none" w:sz="0" w:space="0" w:color="auto"/>
                <w:bottom w:val="none" w:sz="0" w:space="0" w:color="auto"/>
                <w:right w:val="none" w:sz="0" w:space="0" w:color="auto"/>
              </w:divBdr>
              <w:divsChild>
                <w:div w:id="1095516918">
                  <w:marLeft w:val="0"/>
                  <w:marRight w:val="0"/>
                  <w:marTop w:val="0"/>
                  <w:marBottom w:val="0"/>
                  <w:divBdr>
                    <w:top w:val="none" w:sz="0" w:space="0" w:color="auto"/>
                    <w:left w:val="none" w:sz="0" w:space="0" w:color="auto"/>
                    <w:bottom w:val="none" w:sz="0" w:space="0" w:color="auto"/>
                    <w:right w:val="none" w:sz="0" w:space="0" w:color="auto"/>
                  </w:divBdr>
                  <w:divsChild>
                    <w:div w:id="653677762">
                      <w:marLeft w:val="0"/>
                      <w:marRight w:val="0"/>
                      <w:marTop w:val="0"/>
                      <w:marBottom w:val="0"/>
                      <w:divBdr>
                        <w:top w:val="none" w:sz="0" w:space="0" w:color="auto"/>
                        <w:left w:val="none" w:sz="0" w:space="0" w:color="auto"/>
                        <w:bottom w:val="none" w:sz="0" w:space="0" w:color="auto"/>
                        <w:right w:val="none" w:sz="0" w:space="0" w:color="auto"/>
                      </w:divBdr>
                      <w:divsChild>
                        <w:div w:id="871115203">
                          <w:marLeft w:val="0"/>
                          <w:marRight w:val="0"/>
                          <w:marTop w:val="0"/>
                          <w:marBottom w:val="600"/>
                          <w:divBdr>
                            <w:top w:val="none" w:sz="0" w:space="0" w:color="auto"/>
                            <w:left w:val="none" w:sz="0" w:space="0" w:color="auto"/>
                            <w:bottom w:val="none" w:sz="0" w:space="0" w:color="auto"/>
                            <w:right w:val="none" w:sz="0" w:space="0" w:color="auto"/>
                          </w:divBdr>
                          <w:divsChild>
                            <w:div w:id="1355227253">
                              <w:marLeft w:val="0"/>
                              <w:marRight w:val="0"/>
                              <w:marTop w:val="0"/>
                              <w:marBottom w:val="0"/>
                              <w:divBdr>
                                <w:top w:val="none" w:sz="0" w:space="0" w:color="auto"/>
                                <w:left w:val="none" w:sz="0" w:space="0" w:color="auto"/>
                                <w:bottom w:val="none" w:sz="0" w:space="0" w:color="auto"/>
                                <w:right w:val="none" w:sz="0" w:space="0" w:color="auto"/>
                              </w:divBdr>
                              <w:divsChild>
                                <w:div w:id="1310356417">
                                  <w:marLeft w:val="0"/>
                                  <w:marRight w:val="0"/>
                                  <w:marTop w:val="0"/>
                                  <w:marBottom w:val="0"/>
                                  <w:divBdr>
                                    <w:top w:val="none" w:sz="0" w:space="0" w:color="auto"/>
                                    <w:left w:val="none" w:sz="0" w:space="0" w:color="auto"/>
                                    <w:bottom w:val="none" w:sz="0" w:space="0" w:color="auto"/>
                                    <w:right w:val="none" w:sz="0" w:space="0" w:color="auto"/>
                                  </w:divBdr>
                                  <w:divsChild>
                                    <w:div w:id="165176709">
                                      <w:marLeft w:val="0"/>
                                      <w:marRight w:val="0"/>
                                      <w:marTop w:val="0"/>
                                      <w:marBottom w:val="0"/>
                                      <w:divBdr>
                                        <w:top w:val="none" w:sz="0" w:space="0" w:color="auto"/>
                                        <w:left w:val="none" w:sz="0" w:space="0" w:color="auto"/>
                                        <w:bottom w:val="none" w:sz="0" w:space="0" w:color="auto"/>
                                        <w:right w:val="none" w:sz="0" w:space="0" w:color="auto"/>
                                      </w:divBdr>
                                      <w:divsChild>
                                        <w:div w:id="1735351803">
                                          <w:marLeft w:val="0"/>
                                          <w:marRight w:val="0"/>
                                          <w:marTop w:val="0"/>
                                          <w:marBottom w:val="0"/>
                                          <w:divBdr>
                                            <w:top w:val="none" w:sz="0" w:space="0" w:color="auto"/>
                                            <w:left w:val="none" w:sz="0" w:space="0" w:color="auto"/>
                                            <w:bottom w:val="none" w:sz="0" w:space="0" w:color="auto"/>
                                            <w:right w:val="none" w:sz="0" w:space="0" w:color="auto"/>
                                          </w:divBdr>
                                          <w:divsChild>
                                            <w:div w:id="15187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6612054">
      <w:bodyDiv w:val="1"/>
      <w:marLeft w:val="0"/>
      <w:marRight w:val="0"/>
      <w:marTop w:val="0"/>
      <w:marBottom w:val="0"/>
      <w:divBdr>
        <w:top w:val="none" w:sz="0" w:space="0" w:color="auto"/>
        <w:left w:val="none" w:sz="0" w:space="0" w:color="auto"/>
        <w:bottom w:val="none" w:sz="0" w:space="0" w:color="auto"/>
        <w:right w:val="none" w:sz="0" w:space="0" w:color="auto"/>
      </w:divBdr>
    </w:div>
    <w:div w:id="1071004557">
      <w:bodyDiv w:val="1"/>
      <w:marLeft w:val="0"/>
      <w:marRight w:val="0"/>
      <w:marTop w:val="0"/>
      <w:marBottom w:val="0"/>
      <w:divBdr>
        <w:top w:val="none" w:sz="0" w:space="0" w:color="auto"/>
        <w:left w:val="none" w:sz="0" w:space="0" w:color="auto"/>
        <w:bottom w:val="none" w:sz="0" w:space="0" w:color="auto"/>
        <w:right w:val="none" w:sz="0" w:space="0" w:color="auto"/>
      </w:divBdr>
    </w:div>
    <w:div w:id="1071007530">
      <w:bodyDiv w:val="1"/>
      <w:marLeft w:val="0"/>
      <w:marRight w:val="0"/>
      <w:marTop w:val="0"/>
      <w:marBottom w:val="0"/>
      <w:divBdr>
        <w:top w:val="none" w:sz="0" w:space="0" w:color="auto"/>
        <w:left w:val="none" w:sz="0" w:space="0" w:color="auto"/>
        <w:bottom w:val="none" w:sz="0" w:space="0" w:color="auto"/>
        <w:right w:val="none" w:sz="0" w:space="0" w:color="auto"/>
      </w:divBdr>
    </w:div>
    <w:div w:id="1071074428">
      <w:bodyDiv w:val="1"/>
      <w:marLeft w:val="0"/>
      <w:marRight w:val="0"/>
      <w:marTop w:val="0"/>
      <w:marBottom w:val="0"/>
      <w:divBdr>
        <w:top w:val="none" w:sz="0" w:space="0" w:color="auto"/>
        <w:left w:val="none" w:sz="0" w:space="0" w:color="auto"/>
        <w:bottom w:val="none" w:sz="0" w:space="0" w:color="auto"/>
        <w:right w:val="none" w:sz="0" w:space="0" w:color="auto"/>
      </w:divBdr>
    </w:div>
    <w:div w:id="1072584769">
      <w:bodyDiv w:val="1"/>
      <w:marLeft w:val="0"/>
      <w:marRight w:val="0"/>
      <w:marTop w:val="0"/>
      <w:marBottom w:val="0"/>
      <w:divBdr>
        <w:top w:val="none" w:sz="0" w:space="0" w:color="auto"/>
        <w:left w:val="none" w:sz="0" w:space="0" w:color="auto"/>
        <w:bottom w:val="none" w:sz="0" w:space="0" w:color="auto"/>
        <w:right w:val="none" w:sz="0" w:space="0" w:color="auto"/>
      </w:divBdr>
    </w:div>
    <w:div w:id="1075014394">
      <w:bodyDiv w:val="1"/>
      <w:marLeft w:val="0"/>
      <w:marRight w:val="0"/>
      <w:marTop w:val="0"/>
      <w:marBottom w:val="0"/>
      <w:divBdr>
        <w:top w:val="none" w:sz="0" w:space="0" w:color="auto"/>
        <w:left w:val="none" w:sz="0" w:space="0" w:color="auto"/>
        <w:bottom w:val="none" w:sz="0" w:space="0" w:color="auto"/>
        <w:right w:val="none" w:sz="0" w:space="0" w:color="auto"/>
      </w:divBdr>
    </w:div>
    <w:div w:id="1081486570">
      <w:bodyDiv w:val="1"/>
      <w:marLeft w:val="0"/>
      <w:marRight w:val="0"/>
      <w:marTop w:val="0"/>
      <w:marBottom w:val="0"/>
      <w:divBdr>
        <w:top w:val="none" w:sz="0" w:space="0" w:color="auto"/>
        <w:left w:val="none" w:sz="0" w:space="0" w:color="auto"/>
        <w:bottom w:val="none" w:sz="0" w:space="0" w:color="auto"/>
        <w:right w:val="none" w:sz="0" w:space="0" w:color="auto"/>
      </w:divBdr>
    </w:div>
    <w:div w:id="1090276503">
      <w:bodyDiv w:val="1"/>
      <w:marLeft w:val="0"/>
      <w:marRight w:val="0"/>
      <w:marTop w:val="0"/>
      <w:marBottom w:val="0"/>
      <w:divBdr>
        <w:top w:val="none" w:sz="0" w:space="0" w:color="auto"/>
        <w:left w:val="none" w:sz="0" w:space="0" w:color="auto"/>
        <w:bottom w:val="none" w:sz="0" w:space="0" w:color="auto"/>
        <w:right w:val="none" w:sz="0" w:space="0" w:color="auto"/>
      </w:divBdr>
    </w:div>
    <w:div w:id="1091857731">
      <w:bodyDiv w:val="1"/>
      <w:marLeft w:val="0"/>
      <w:marRight w:val="0"/>
      <w:marTop w:val="0"/>
      <w:marBottom w:val="0"/>
      <w:divBdr>
        <w:top w:val="none" w:sz="0" w:space="0" w:color="auto"/>
        <w:left w:val="none" w:sz="0" w:space="0" w:color="auto"/>
        <w:bottom w:val="none" w:sz="0" w:space="0" w:color="auto"/>
        <w:right w:val="none" w:sz="0" w:space="0" w:color="auto"/>
      </w:divBdr>
    </w:div>
    <w:div w:id="1103109965">
      <w:bodyDiv w:val="1"/>
      <w:marLeft w:val="0"/>
      <w:marRight w:val="0"/>
      <w:marTop w:val="0"/>
      <w:marBottom w:val="0"/>
      <w:divBdr>
        <w:top w:val="none" w:sz="0" w:space="0" w:color="auto"/>
        <w:left w:val="none" w:sz="0" w:space="0" w:color="auto"/>
        <w:bottom w:val="none" w:sz="0" w:space="0" w:color="auto"/>
        <w:right w:val="none" w:sz="0" w:space="0" w:color="auto"/>
      </w:divBdr>
      <w:divsChild>
        <w:div w:id="1308435327">
          <w:marLeft w:val="0"/>
          <w:marRight w:val="0"/>
          <w:marTop w:val="0"/>
          <w:marBottom w:val="0"/>
          <w:divBdr>
            <w:top w:val="none" w:sz="0" w:space="0" w:color="auto"/>
            <w:left w:val="none" w:sz="0" w:space="0" w:color="auto"/>
            <w:bottom w:val="none" w:sz="0" w:space="0" w:color="auto"/>
            <w:right w:val="none" w:sz="0" w:space="0" w:color="auto"/>
          </w:divBdr>
          <w:divsChild>
            <w:div w:id="1472674418">
              <w:marLeft w:val="0"/>
              <w:marRight w:val="0"/>
              <w:marTop w:val="0"/>
              <w:marBottom w:val="0"/>
              <w:divBdr>
                <w:top w:val="none" w:sz="0" w:space="0" w:color="auto"/>
                <w:left w:val="none" w:sz="0" w:space="0" w:color="auto"/>
                <w:bottom w:val="none" w:sz="0" w:space="0" w:color="auto"/>
                <w:right w:val="none" w:sz="0" w:space="0" w:color="auto"/>
              </w:divBdr>
              <w:divsChild>
                <w:div w:id="1392969454">
                  <w:marLeft w:val="0"/>
                  <w:marRight w:val="0"/>
                  <w:marTop w:val="0"/>
                  <w:marBottom w:val="0"/>
                  <w:divBdr>
                    <w:top w:val="none" w:sz="0" w:space="0" w:color="auto"/>
                    <w:left w:val="none" w:sz="0" w:space="0" w:color="auto"/>
                    <w:bottom w:val="none" w:sz="0" w:space="0" w:color="auto"/>
                    <w:right w:val="none" w:sz="0" w:space="0" w:color="auto"/>
                  </w:divBdr>
                  <w:divsChild>
                    <w:div w:id="258216510">
                      <w:marLeft w:val="0"/>
                      <w:marRight w:val="0"/>
                      <w:marTop w:val="0"/>
                      <w:marBottom w:val="0"/>
                      <w:divBdr>
                        <w:top w:val="none" w:sz="0" w:space="0" w:color="auto"/>
                        <w:left w:val="none" w:sz="0" w:space="0" w:color="auto"/>
                        <w:bottom w:val="none" w:sz="0" w:space="0" w:color="auto"/>
                        <w:right w:val="none" w:sz="0" w:space="0" w:color="auto"/>
                      </w:divBdr>
                      <w:divsChild>
                        <w:div w:id="652758545">
                          <w:marLeft w:val="0"/>
                          <w:marRight w:val="0"/>
                          <w:marTop w:val="0"/>
                          <w:marBottom w:val="0"/>
                          <w:divBdr>
                            <w:top w:val="none" w:sz="0" w:space="0" w:color="auto"/>
                            <w:left w:val="none" w:sz="0" w:space="0" w:color="auto"/>
                            <w:bottom w:val="none" w:sz="0" w:space="0" w:color="auto"/>
                            <w:right w:val="none" w:sz="0" w:space="0" w:color="auto"/>
                          </w:divBdr>
                          <w:divsChild>
                            <w:div w:id="96488064">
                              <w:marLeft w:val="0"/>
                              <w:marRight w:val="0"/>
                              <w:marTop w:val="0"/>
                              <w:marBottom w:val="0"/>
                              <w:divBdr>
                                <w:top w:val="single" w:sz="6" w:space="0" w:color="CCCCCC"/>
                                <w:left w:val="single" w:sz="6" w:space="0" w:color="CCCCCC"/>
                                <w:bottom w:val="single" w:sz="6" w:space="0" w:color="CCCCCC"/>
                                <w:right w:val="single" w:sz="6" w:space="0" w:color="CCCCCC"/>
                              </w:divBdr>
                              <w:divsChild>
                                <w:div w:id="588463519">
                                  <w:marLeft w:val="0"/>
                                  <w:marRight w:val="0"/>
                                  <w:marTop w:val="75"/>
                                  <w:marBottom w:val="0"/>
                                  <w:divBdr>
                                    <w:top w:val="none" w:sz="0" w:space="0" w:color="auto"/>
                                    <w:left w:val="none" w:sz="0" w:space="0" w:color="auto"/>
                                    <w:bottom w:val="none" w:sz="0" w:space="0" w:color="auto"/>
                                    <w:right w:val="none" w:sz="0" w:space="0" w:color="auto"/>
                                  </w:divBdr>
                                  <w:divsChild>
                                    <w:div w:id="834494896">
                                      <w:marLeft w:val="0"/>
                                      <w:marRight w:val="0"/>
                                      <w:marTop w:val="0"/>
                                      <w:marBottom w:val="0"/>
                                      <w:divBdr>
                                        <w:top w:val="none" w:sz="0" w:space="0" w:color="auto"/>
                                        <w:left w:val="none" w:sz="0" w:space="0" w:color="auto"/>
                                        <w:bottom w:val="none" w:sz="0" w:space="0" w:color="auto"/>
                                        <w:right w:val="none" w:sz="0" w:space="0" w:color="auto"/>
                                      </w:divBdr>
                                    </w:div>
                                    <w:div w:id="978340420">
                                      <w:marLeft w:val="0"/>
                                      <w:marRight w:val="0"/>
                                      <w:marTop w:val="0"/>
                                      <w:marBottom w:val="0"/>
                                      <w:divBdr>
                                        <w:top w:val="none" w:sz="0" w:space="0" w:color="auto"/>
                                        <w:left w:val="none" w:sz="0" w:space="0" w:color="auto"/>
                                        <w:bottom w:val="none" w:sz="0" w:space="0" w:color="auto"/>
                                        <w:right w:val="none" w:sz="0" w:space="0" w:color="auto"/>
                                      </w:divBdr>
                                    </w:div>
                                    <w:div w:id="1080254747">
                                      <w:marLeft w:val="0"/>
                                      <w:marRight w:val="0"/>
                                      <w:marTop w:val="0"/>
                                      <w:marBottom w:val="0"/>
                                      <w:divBdr>
                                        <w:top w:val="none" w:sz="0" w:space="0" w:color="auto"/>
                                        <w:left w:val="none" w:sz="0" w:space="0" w:color="auto"/>
                                        <w:bottom w:val="none" w:sz="0" w:space="0" w:color="auto"/>
                                        <w:right w:val="none" w:sz="0" w:space="0" w:color="auto"/>
                                      </w:divBdr>
                                    </w:div>
                                    <w:div w:id="1473448795">
                                      <w:marLeft w:val="0"/>
                                      <w:marRight w:val="0"/>
                                      <w:marTop w:val="0"/>
                                      <w:marBottom w:val="0"/>
                                      <w:divBdr>
                                        <w:top w:val="none" w:sz="0" w:space="0" w:color="auto"/>
                                        <w:left w:val="none" w:sz="0" w:space="0" w:color="auto"/>
                                        <w:bottom w:val="none" w:sz="0" w:space="0" w:color="auto"/>
                                        <w:right w:val="none" w:sz="0" w:space="0" w:color="auto"/>
                                      </w:divBdr>
                                    </w:div>
                                    <w:div w:id="179393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7893210">
      <w:bodyDiv w:val="1"/>
      <w:marLeft w:val="0"/>
      <w:marRight w:val="0"/>
      <w:marTop w:val="0"/>
      <w:marBottom w:val="0"/>
      <w:divBdr>
        <w:top w:val="none" w:sz="0" w:space="0" w:color="auto"/>
        <w:left w:val="none" w:sz="0" w:space="0" w:color="auto"/>
        <w:bottom w:val="none" w:sz="0" w:space="0" w:color="auto"/>
        <w:right w:val="none" w:sz="0" w:space="0" w:color="auto"/>
      </w:divBdr>
    </w:div>
    <w:div w:id="1120296336">
      <w:bodyDiv w:val="1"/>
      <w:marLeft w:val="0"/>
      <w:marRight w:val="0"/>
      <w:marTop w:val="0"/>
      <w:marBottom w:val="0"/>
      <w:divBdr>
        <w:top w:val="none" w:sz="0" w:space="0" w:color="auto"/>
        <w:left w:val="none" w:sz="0" w:space="0" w:color="auto"/>
        <w:bottom w:val="none" w:sz="0" w:space="0" w:color="auto"/>
        <w:right w:val="none" w:sz="0" w:space="0" w:color="auto"/>
      </w:divBdr>
    </w:div>
    <w:div w:id="1123694121">
      <w:bodyDiv w:val="1"/>
      <w:marLeft w:val="0"/>
      <w:marRight w:val="0"/>
      <w:marTop w:val="0"/>
      <w:marBottom w:val="0"/>
      <w:divBdr>
        <w:top w:val="none" w:sz="0" w:space="0" w:color="auto"/>
        <w:left w:val="none" w:sz="0" w:space="0" w:color="auto"/>
        <w:bottom w:val="none" w:sz="0" w:space="0" w:color="auto"/>
        <w:right w:val="none" w:sz="0" w:space="0" w:color="auto"/>
      </w:divBdr>
    </w:div>
    <w:div w:id="1126006484">
      <w:bodyDiv w:val="1"/>
      <w:marLeft w:val="0"/>
      <w:marRight w:val="0"/>
      <w:marTop w:val="0"/>
      <w:marBottom w:val="0"/>
      <w:divBdr>
        <w:top w:val="none" w:sz="0" w:space="0" w:color="auto"/>
        <w:left w:val="none" w:sz="0" w:space="0" w:color="auto"/>
        <w:bottom w:val="none" w:sz="0" w:space="0" w:color="auto"/>
        <w:right w:val="none" w:sz="0" w:space="0" w:color="auto"/>
      </w:divBdr>
    </w:div>
    <w:div w:id="1127700019">
      <w:bodyDiv w:val="1"/>
      <w:marLeft w:val="0"/>
      <w:marRight w:val="0"/>
      <w:marTop w:val="0"/>
      <w:marBottom w:val="0"/>
      <w:divBdr>
        <w:top w:val="none" w:sz="0" w:space="0" w:color="auto"/>
        <w:left w:val="none" w:sz="0" w:space="0" w:color="auto"/>
        <w:bottom w:val="none" w:sz="0" w:space="0" w:color="auto"/>
        <w:right w:val="none" w:sz="0" w:space="0" w:color="auto"/>
      </w:divBdr>
    </w:div>
    <w:div w:id="1130318464">
      <w:bodyDiv w:val="1"/>
      <w:marLeft w:val="0"/>
      <w:marRight w:val="0"/>
      <w:marTop w:val="0"/>
      <w:marBottom w:val="0"/>
      <w:divBdr>
        <w:top w:val="none" w:sz="0" w:space="0" w:color="auto"/>
        <w:left w:val="none" w:sz="0" w:space="0" w:color="auto"/>
        <w:bottom w:val="none" w:sz="0" w:space="0" w:color="auto"/>
        <w:right w:val="none" w:sz="0" w:space="0" w:color="auto"/>
      </w:divBdr>
    </w:div>
    <w:div w:id="1131441714">
      <w:bodyDiv w:val="1"/>
      <w:marLeft w:val="0"/>
      <w:marRight w:val="0"/>
      <w:marTop w:val="0"/>
      <w:marBottom w:val="0"/>
      <w:divBdr>
        <w:top w:val="none" w:sz="0" w:space="0" w:color="auto"/>
        <w:left w:val="none" w:sz="0" w:space="0" w:color="auto"/>
        <w:bottom w:val="none" w:sz="0" w:space="0" w:color="auto"/>
        <w:right w:val="none" w:sz="0" w:space="0" w:color="auto"/>
      </w:divBdr>
    </w:div>
    <w:div w:id="1132670363">
      <w:bodyDiv w:val="1"/>
      <w:marLeft w:val="0"/>
      <w:marRight w:val="0"/>
      <w:marTop w:val="0"/>
      <w:marBottom w:val="0"/>
      <w:divBdr>
        <w:top w:val="none" w:sz="0" w:space="0" w:color="auto"/>
        <w:left w:val="none" w:sz="0" w:space="0" w:color="auto"/>
        <w:bottom w:val="none" w:sz="0" w:space="0" w:color="auto"/>
        <w:right w:val="none" w:sz="0" w:space="0" w:color="auto"/>
      </w:divBdr>
    </w:div>
    <w:div w:id="1132941123">
      <w:bodyDiv w:val="1"/>
      <w:marLeft w:val="0"/>
      <w:marRight w:val="0"/>
      <w:marTop w:val="0"/>
      <w:marBottom w:val="0"/>
      <w:divBdr>
        <w:top w:val="none" w:sz="0" w:space="0" w:color="auto"/>
        <w:left w:val="none" w:sz="0" w:space="0" w:color="auto"/>
        <w:bottom w:val="none" w:sz="0" w:space="0" w:color="auto"/>
        <w:right w:val="none" w:sz="0" w:space="0" w:color="auto"/>
      </w:divBdr>
    </w:div>
    <w:div w:id="1133984867">
      <w:bodyDiv w:val="1"/>
      <w:marLeft w:val="0"/>
      <w:marRight w:val="0"/>
      <w:marTop w:val="0"/>
      <w:marBottom w:val="0"/>
      <w:divBdr>
        <w:top w:val="none" w:sz="0" w:space="0" w:color="auto"/>
        <w:left w:val="none" w:sz="0" w:space="0" w:color="auto"/>
        <w:bottom w:val="none" w:sz="0" w:space="0" w:color="auto"/>
        <w:right w:val="none" w:sz="0" w:space="0" w:color="auto"/>
      </w:divBdr>
    </w:div>
    <w:div w:id="1166558065">
      <w:bodyDiv w:val="1"/>
      <w:marLeft w:val="0"/>
      <w:marRight w:val="0"/>
      <w:marTop w:val="0"/>
      <w:marBottom w:val="0"/>
      <w:divBdr>
        <w:top w:val="none" w:sz="0" w:space="0" w:color="auto"/>
        <w:left w:val="none" w:sz="0" w:space="0" w:color="auto"/>
        <w:bottom w:val="none" w:sz="0" w:space="0" w:color="auto"/>
        <w:right w:val="none" w:sz="0" w:space="0" w:color="auto"/>
      </w:divBdr>
    </w:div>
    <w:div w:id="1168130163">
      <w:bodyDiv w:val="1"/>
      <w:marLeft w:val="0"/>
      <w:marRight w:val="0"/>
      <w:marTop w:val="0"/>
      <w:marBottom w:val="0"/>
      <w:divBdr>
        <w:top w:val="none" w:sz="0" w:space="0" w:color="auto"/>
        <w:left w:val="none" w:sz="0" w:space="0" w:color="auto"/>
        <w:bottom w:val="none" w:sz="0" w:space="0" w:color="auto"/>
        <w:right w:val="none" w:sz="0" w:space="0" w:color="auto"/>
      </w:divBdr>
      <w:divsChild>
        <w:div w:id="721632112">
          <w:marLeft w:val="0"/>
          <w:marRight w:val="0"/>
          <w:marTop w:val="0"/>
          <w:marBottom w:val="0"/>
          <w:divBdr>
            <w:top w:val="none" w:sz="0" w:space="0" w:color="auto"/>
            <w:left w:val="none" w:sz="0" w:space="0" w:color="auto"/>
            <w:bottom w:val="none" w:sz="0" w:space="0" w:color="auto"/>
            <w:right w:val="none" w:sz="0" w:space="0" w:color="auto"/>
          </w:divBdr>
          <w:divsChild>
            <w:div w:id="1871257473">
              <w:marLeft w:val="0"/>
              <w:marRight w:val="0"/>
              <w:marTop w:val="0"/>
              <w:marBottom w:val="0"/>
              <w:divBdr>
                <w:top w:val="none" w:sz="0" w:space="0" w:color="auto"/>
                <w:left w:val="none" w:sz="0" w:space="0" w:color="auto"/>
                <w:bottom w:val="none" w:sz="0" w:space="0" w:color="auto"/>
                <w:right w:val="none" w:sz="0" w:space="0" w:color="auto"/>
              </w:divBdr>
              <w:divsChild>
                <w:div w:id="358900666">
                  <w:marLeft w:val="0"/>
                  <w:marRight w:val="0"/>
                  <w:marTop w:val="0"/>
                  <w:marBottom w:val="0"/>
                  <w:divBdr>
                    <w:top w:val="none" w:sz="0" w:space="0" w:color="auto"/>
                    <w:left w:val="none" w:sz="0" w:space="0" w:color="auto"/>
                    <w:bottom w:val="none" w:sz="0" w:space="0" w:color="auto"/>
                    <w:right w:val="none" w:sz="0" w:space="0" w:color="auto"/>
                  </w:divBdr>
                  <w:divsChild>
                    <w:div w:id="660085235">
                      <w:marLeft w:val="0"/>
                      <w:marRight w:val="0"/>
                      <w:marTop w:val="0"/>
                      <w:marBottom w:val="0"/>
                      <w:divBdr>
                        <w:top w:val="none" w:sz="0" w:space="0" w:color="auto"/>
                        <w:left w:val="none" w:sz="0" w:space="0" w:color="auto"/>
                        <w:bottom w:val="none" w:sz="0" w:space="0" w:color="auto"/>
                        <w:right w:val="none" w:sz="0" w:space="0" w:color="auto"/>
                      </w:divBdr>
                      <w:divsChild>
                        <w:div w:id="1551072112">
                          <w:marLeft w:val="0"/>
                          <w:marRight w:val="0"/>
                          <w:marTop w:val="0"/>
                          <w:marBottom w:val="0"/>
                          <w:divBdr>
                            <w:top w:val="none" w:sz="0" w:space="0" w:color="auto"/>
                            <w:left w:val="none" w:sz="0" w:space="0" w:color="auto"/>
                            <w:bottom w:val="none" w:sz="0" w:space="0" w:color="auto"/>
                            <w:right w:val="none" w:sz="0" w:space="0" w:color="auto"/>
                          </w:divBdr>
                          <w:divsChild>
                            <w:div w:id="1916281711">
                              <w:marLeft w:val="0"/>
                              <w:marRight w:val="0"/>
                              <w:marTop w:val="0"/>
                              <w:marBottom w:val="0"/>
                              <w:divBdr>
                                <w:top w:val="single" w:sz="6" w:space="0" w:color="CCCCCC"/>
                                <w:left w:val="single" w:sz="6" w:space="0" w:color="CCCCCC"/>
                                <w:bottom w:val="single" w:sz="6" w:space="0" w:color="CCCCCC"/>
                                <w:right w:val="single" w:sz="6" w:space="0" w:color="CCCCCC"/>
                              </w:divBdr>
                              <w:divsChild>
                                <w:div w:id="734203634">
                                  <w:marLeft w:val="0"/>
                                  <w:marRight w:val="0"/>
                                  <w:marTop w:val="75"/>
                                  <w:marBottom w:val="0"/>
                                  <w:divBdr>
                                    <w:top w:val="none" w:sz="0" w:space="0" w:color="auto"/>
                                    <w:left w:val="none" w:sz="0" w:space="0" w:color="auto"/>
                                    <w:bottom w:val="none" w:sz="0" w:space="0" w:color="auto"/>
                                    <w:right w:val="none" w:sz="0" w:space="0" w:color="auto"/>
                                  </w:divBdr>
                                  <w:divsChild>
                                    <w:div w:id="158855">
                                      <w:marLeft w:val="0"/>
                                      <w:marRight w:val="0"/>
                                      <w:marTop w:val="0"/>
                                      <w:marBottom w:val="0"/>
                                      <w:divBdr>
                                        <w:top w:val="none" w:sz="0" w:space="0" w:color="auto"/>
                                        <w:left w:val="none" w:sz="0" w:space="0" w:color="auto"/>
                                        <w:bottom w:val="none" w:sz="0" w:space="0" w:color="auto"/>
                                        <w:right w:val="none" w:sz="0" w:space="0" w:color="auto"/>
                                      </w:divBdr>
                                    </w:div>
                                    <w:div w:id="8795266">
                                      <w:marLeft w:val="1700"/>
                                      <w:marRight w:val="0"/>
                                      <w:marTop w:val="0"/>
                                      <w:marBottom w:val="0"/>
                                      <w:divBdr>
                                        <w:top w:val="none" w:sz="0" w:space="0" w:color="auto"/>
                                        <w:left w:val="none" w:sz="0" w:space="0" w:color="auto"/>
                                        <w:bottom w:val="none" w:sz="0" w:space="0" w:color="auto"/>
                                        <w:right w:val="none" w:sz="0" w:space="0" w:color="auto"/>
                                      </w:divBdr>
                                    </w:div>
                                    <w:div w:id="10183088">
                                      <w:marLeft w:val="0"/>
                                      <w:marRight w:val="0"/>
                                      <w:marTop w:val="0"/>
                                      <w:marBottom w:val="0"/>
                                      <w:divBdr>
                                        <w:top w:val="none" w:sz="0" w:space="0" w:color="auto"/>
                                        <w:left w:val="none" w:sz="0" w:space="0" w:color="auto"/>
                                        <w:bottom w:val="none" w:sz="0" w:space="0" w:color="auto"/>
                                        <w:right w:val="none" w:sz="0" w:space="0" w:color="auto"/>
                                      </w:divBdr>
                                    </w:div>
                                    <w:div w:id="16854610">
                                      <w:marLeft w:val="0"/>
                                      <w:marRight w:val="0"/>
                                      <w:marTop w:val="0"/>
                                      <w:marBottom w:val="0"/>
                                      <w:divBdr>
                                        <w:top w:val="none" w:sz="0" w:space="0" w:color="auto"/>
                                        <w:left w:val="none" w:sz="0" w:space="0" w:color="auto"/>
                                        <w:bottom w:val="none" w:sz="0" w:space="0" w:color="auto"/>
                                        <w:right w:val="none" w:sz="0" w:space="0" w:color="auto"/>
                                      </w:divBdr>
                                    </w:div>
                                    <w:div w:id="31541499">
                                      <w:marLeft w:val="0"/>
                                      <w:marRight w:val="0"/>
                                      <w:marTop w:val="0"/>
                                      <w:marBottom w:val="0"/>
                                      <w:divBdr>
                                        <w:top w:val="none" w:sz="0" w:space="0" w:color="auto"/>
                                        <w:left w:val="none" w:sz="0" w:space="0" w:color="auto"/>
                                        <w:bottom w:val="none" w:sz="0" w:space="0" w:color="auto"/>
                                        <w:right w:val="none" w:sz="0" w:space="0" w:color="auto"/>
                                      </w:divBdr>
                                    </w:div>
                                    <w:div w:id="33432224">
                                      <w:marLeft w:val="1700"/>
                                      <w:marRight w:val="0"/>
                                      <w:marTop w:val="0"/>
                                      <w:marBottom w:val="0"/>
                                      <w:divBdr>
                                        <w:top w:val="none" w:sz="0" w:space="0" w:color="auto"/>
                                        <w:left w:val="none" w:sz="0" w:space="0" w:color="auto"/>
                                        <w:bottom w:val="none" w:sz="0" w:space="0" w:color="auto"/>
                                        <w:right w:val="none" w:sz="0" w:space="0" w:color="auto"/>
                                      </w:divBdr>
                                    </w:div>
                                    <w:div w:id="41633106">
                                      <w:marLeft w:val="0"/>
                                      <w:marRight w:val="0"/>
                                      <w:marTop w:val="0"/>
                                      <w:marBottom w:val="0"/>
                                      <w:divBdr>
                                        <w:top w:val="none" w:sz="0" w:space="0" w:color="auto"/>
                                        <w:left w:val="none" w:sz="0" w:space="0" w:color="auto"/>
                                        <w:bottom w:val="none" w:sz="0" w:space="0" w:color="auto"/>
                                        <w:right w:val="none" w:sz="0" w:space="0" w:color="auto"/>
                                      </w:divBdr>
                                    </w:div>
                                    <w:div w:id="49350678">
                                      <w:marLeft w:val="1700"/>
                                      <w:marRight w:val="0"/>
                                      <w:marTop w:val="0"/>
                                      <w:marBottom w:val="0"/>
                                      <w:divBdr>
                                        <w:top w:val="none" w:sz="0" w:space="0" w:color="auto"/>
                                        <w:left w:val="none" w:sz="0" w:space="0" w:color="auto"/>
                                        <w:bottom w:val="none" w:sz="0" w:space="0" w:color="auto"/>
                                        <w:right w:val="none" w:sz="0" w:space="0" w:color="auto"/>
                                      </w:divBdr>
                                    </w:div>
                                    <w:div w:id="49504263">
                                      <w:marLeft w:val="0"/>
                                      <w:marRight w:val="0"/>
                                      <w:marTop w:val="0"/>
                                      <w:marBottom w:val="0"/>
                                      <w:divBdr>
                                        <w:top w:val="none" w:sz="0" w:space="0" w:color="auto"/>
                                        <w:left w:val="none" w:sz="0" w:space="0" w:color="auto"/>
                                        <w:bottom w:val="none" w:sz="0" w:space="0" w:color="auto"/>
                                        <w:right w:val="none" w:sz="0" w:space="0" w:color="auto"/>
                                      </w:divBdr>
                                    </w:div>
                                    <w:div w:id="55669923">
                                      <w:marLeft w:val="0"/>
                                      <w:marRight w:val="0"/>
                                      <w:marTop w:val="0"/>
                                      <w:marBottom w:val="0"/>
                                      <w:divBdr>
                                        <w:top w:val="none" w:sz="0" w:space="0" w:color="auto"/>
                                        <w:left w:val="none" w:sz="0" w:space="0" w:color="auto"/>
                                        <w:bottom w:val="none" w:sz="0" w:space="0" w:color="auto"/>
                                        <w:right w:val="none" w:sz="0" w:space="0" w:color="auto"/>
                                      </w:divBdr>
                                    </w:div>
                                    <w:div w:id="57171724">
                                      <w:marLeft w:val="0"/>
                                      <w:marRight w:val="0"/>
                                      <w:marTop w:val="0"/>
                                      <w:marBottom w:val="0"/>
                                      <w:divBdr>
                                        <w:top w:val="none" w:sz="0" w:space="0" w:color="auto"/>
                                        <w:left w:val="none" w:sz="0" w:space="0" w:color="auto"/>
                                        <w:bottom w:val="none" w:sz="0" w:space="0" w:color="auto"/>
                                        <w:right w:val="none" w:sz="0" w:space="0" w:color="auto"/>
                                      </w:divBdr>
                                    </w:div>
                                    <w:div w:id="67700590">
                                      <w:marLeft w:val="1700"/>
                                      <w:marRight w:val="0"/>
                                      <w:marTop w:val="0"/>
                                      <w:marBottom w:val="0"/>
                                      <w:divBdr>
                                        <w:top w:val="none" w:sz="0" w:space="0" w:color="auto"/>
                                        <w:left w:val="none" w:sz="0" w:space="0" w:color="auto"/>
                                        <w:bottom w:val="none" w:sz="0" w:space="0" w:color="auto"/>
                                        <w:right w:val="none" w:sz="0" w:space="0" w:color="auto"/>
                                      </w:divBdr>
                                    </w:div>
                                    <w:div w:id="79180613">
                                      <w:marLeft w:val="1700"/>
                                      <w:marRight w:val="0"/>
                                      <w:marTop w:val="0"/>
                                      <w:marBottom w:val="0"/>
                                      <w:divBdr>
                                        <w:top w:val="none" w:sz="0" w:space="0" w:color="auto"/>
                                        <w:left w:val="none" w:sz="0" w:space="0" w:color="auto"/>
                                        <w:bottom w:val="none" w:sz="0" w:space="0" w:color="auto"/>
                                        <w:right w:val="none" w:sz="0" w:space="0" w:color="auto"/>
                                      </w:divBdr>
                                    </w:div>
                                    <w:div w:id="79329125">
                                      <w:marLeft w:val="0"/>
                                      <w:marRight w:val="0"/>
                                      <w:marTop w:val="0"/>
                                      <w:marBottom w:val="0"/>
                                      <w:divBdr>
                                        <w:top w:val="none" w:sz="0" w:space="0" w:color="auto"/>
                                        <w:left w:val="none" w:sz="0" w:space="0" w:color="auto"/>
                                        <w:bottom w:val="none" w:sz="0" w:space="0" w:color="auto"/>
                                        <w:right w:val="none" w:sz="0" w:space="0" w:color="auto"/>
                                      </w:divBdr>
                                    </w:div>
                                    <w:div w:id="83840017">
                                      <w:marLeft w:val="0"/>
                                      <w:marRight w:val="0"/>
                                      <w:marTop w:val="0"/>
                                      <w:marBottom w:val="0"/>
                                      <w:divBdr>
                                        <w:top w:val="none" w:sz="0" w:space="0" w:color="auto"/>
                                        <w:left w:val="none" w:sz="0" w:space="0" w:color="auto"/>
                                        <w:bottom w:val="none" w:sz="0" w:space="0" w:color="auto"/>
                                        <w:right w:val="none" w:sz="0" w:space="0" w:color="auto"/>
                                      </w:divBdr>
                                    </w:div>
                                    <w:div w:id="85275338">
                                      <w:marLeft w:val="0"/>
                                      <w:marRight w:val="0"/>
                                      <w:marTop w:val="0"/>
                                      <w:marBottom w:val="0"/>
                                      <w:divBdr>
                                        <w:top w:val="none" w:sz="0" w:space="0" w:color="auto"/>
                                        <w:left w:val="none" w:sz="0" w:space="0" w:color="auto"/>
                                        <w:bottom w:val="none" w:sz="0" w:space="0" w:color="auto"/>
                                        <w:right w:val="none" w:sz="0" w:space="0" w:color="auto"/>
                                      </w:divBdr>
                                    </w:div>
                                    <w:div w:id="86198420">
                                      <w:marLeft w:val="0"/>
                                      <w:marRight w:val="0"/>
                                      <w:marTop w:val="0"/>
                                      <w:marBottom w:val="0"/>
                                      <w:divBdr>
                                        <w:top w:val="none" w:sz="0" w:space="0" w:color="auto"/>
                                        <w:left w:val="none" w:sz="0" w:space="0" w:color="auto"/>
                                        <w:bottom w:val="none" w:sz="0" w:space="0" w:color="auto"/>
                                        <w:right w:val="none" w:sz="0" w:space="0" w:color="auto"/>
                                      </w:divBdr>
                                    </w:div>
                                    <w:div w:id="91634812">
                                      <w:marLeft w:val="1700"/>
                                      <w:marRight w:val="0"/>
                                      <w:marTop w:val="0"/>
                                      <w:marBottom w:val="0"/>
                                      <w:divBdr>
                                        <w:top w:val="none" w:sz="0" w:space="0" w:color="auto"/>
                                        <w:left w:val="none" w:sz="0" w:space="0" w:color="auto"/>
                                        <w:bottom w:val="none" w:sz="0" w:space="0" w:color="auto"/>
                                        <w:right w:val="none" w:sz="0" w:space="0" w:color="auto"/>
                                      </w:divBdr>
                                    </w:div>
                                    <w:div w:id="102573743">
                                      <w:marLeft w:val="0"/>
                                      <w:marRight w:val="0"/>
                                      <w:marTop w:val="0"/>
                                      <w:marBottom w:val="0"/>
                                      <w:divBdr>
                                        <w:top w:val="none" w:sz="0" w:space="0" w:color="auto"/>
                                        <w:left w:val="none" w:sz="0" w:space="0" w:color="auto"/>
                                        <w:bottom w:val="none" w:sz="0" w:space="0" w:color="auto"/>
                                        <w:right w:val="none" w:sz="0" w:space="0" w:color="auto"/>
                                      </w:divBdr>
                                    </w:div>
                                    <w:div w:id="103306663">
                                      <w:marLeft w:val="0"/>
                                      <w:marRight w:val="0"/>
                                      <w:marTop w:val="0"/>
                                      <w:marBottom w:val="0"/>
                                      <w:divBdr>
                                        <w:top w:val="none" w:sz="0" w:space="0" w:color="auto"/>
                                        <w:left w:val="none" w:sz="0" w:space="0" w:color="auto"/>
                                        <w:bottom w:val="none" w:sz="0" w:space="0" w:color="auto"/>
                                        <w:right w:val="none" w:sz="0" w:space="0" w:color="auto"/>
                                      </w:divBdr>
                                    </w:div>
                                    <w:div w:id="127936081">
                                      <w:marLeft w:val="0"/>
                                      <w:marRight w:val="0"/>
                                      <w:marTop w:val="0"/>
                                      <w:marBottom w:val="0"/>
                                      <w:divBdr>
                                        <w:top w:val="none" w:sz="0" w:space="0" w:color="auto"/>
                                        <w:left w:val="none" w:sz="0" w:space="0" w:color="auto"/>
                                        <w:bottom w:val="none" w:sz="0" w:space="0" w:color="auto"/>
                                        <w:right w:val="none" w:sz="0" w:space="0" w:color="auto"/>
                                      </w:divBdr>
                                    </w:div>
                                    <w:div w:id="135025571">
                                      <w:marLeft w:val="0"/>
                                      <w:marRight w:val="0"/>
                                      <w:marTop w:val="0"/>
                                      <w:marBottom w:val="0"/>
                                      <w:divBdr>
                                        <w:top w:val="none" w:sz="0" w:space="0" w:color="auto"/>
                                        <w:left w:val="none" w:sz="0" w:space="0" w:color="auto"/>
                                        <w:bottom w:val="none" w:sz="0" w:space="0" w:color="auto"/>
                                        <w:right w:val="none" w:sz="0" w:space="0" w:color="auto"/>
                                      </w:divBdr>
                                    </w:div>
                                    <w:div w:id="153449282">
                                      <w:marLeft w:val="0"/>
                                      <w:marRight w:val="0"/>
                                      <w:marTop w:val="0"/>
                                      <w:marBottom w:val="0"/>
                                      <w:divBdr>
                                        <w:top w:val="none" w:sz="0" w:space="0" w:color="auto"/>
                                        <w:left w:val="none" w:sz="0" w:space="0" w:color="auto"/>
                                        <w:bottom w:val="none" w:sz="0" w:space="0" w:color="auto"/>
                                        <w:right w:val="none" w:sz="0" w:space="0" w:color="auto"/>
                                      </w:divBdr>
                                    </w:div>
                                    <w:div w:id="157188052">
                                      <w:marLeft w:val="0"/>
                                      <w:marRight w:val="0"/>
                                      <w:marTop w:val="0"/>
                                      <w:marBottom w:val="0"/>
                                      <w:divBdr>
                                        <w:top w:val="none" w:sz="0" w:space="0" w:color="auto"/>
                                        <w:left w:val="none" w:sz="0" w:space="0" w:color="auto"/>
                                        <w:bottom w:val="none" w:sz="0" w:space="0" w:color="auto"/>
                                        <w:right w:val="none" w:sz="0" w:space="0" w:color="auto"/>
                                      </w:divBdr>
                                    </w:div>
                                    <w:div w:id="158498243">
                                      <w:marLeft w:val="0"/>
                                      <w:marRight w:val="0"/>
                                      <w:marTop w:val="0"/>
                                      <w:marBottom w:val="0"/>
                                      <w:divBdr>
                                        <w:top w:val="none" w:sz="0" w:space="0" w:color="auto"/>
                                        <w:left w:val="none" w:sz="0" w:space="0" w:color="auto"/>
                                        <w:bottom w:val="none" w:sz="0" w:space="0" w:color="auto"/>
                                        <w:right w:val="none" w:sz="0" w:space="0" w:color="auto"/>
                                      </w:divBdr>
                                    </w:div>
                                    <w:div w:id="177887904">
                                      <w:marLeft w:val="0"/>
                                      <w:marRight w:val="0"/>
                                      <w:marTop w:val="0"/>
                                      <w:marBottom w:val="0"/>
                                      <w:divBdr>
                                        <w:top w:val="none" w:sz="0" w:space="0" w:color="auto"/>
                                        <w:left w:val="none" w:sz="0" w:space="0" w:color="auto"/>
                                        <w:bottom w:val="none" w:sz="0" w:space="0" w:color="auto"/>
                                        <w:right w:val="none" w:sz="0" w:space="0" w:color="auto"/>
                                      </w:divBdr>
                                    </w:div>
                                    <w:div w:id="178391902">
                                      <w:marLeft w:val="0"/>
                                      <w:marRight w:val="0"/>
                                      <w:marTop w:val="0"/>
                                      <w:marBottom w:val="0"/>
                                      <w:divBdr>
                                        <w:top w:val="none" w:sz="0" w:space="0" w:color="auto"/>
                                        <w:left w:val="none" w:sz="0" w:space="0" w:color="auto"/>
                                        <w:bottom w:val="none" w:sz="0" w:space="0" w:color="auto"/>
                                        <w:right w:val="none" w:sz="0" w:space="0" w:color="auto"/>
                                      </w:divBdr>
                                    </w:div>
                                    <w:div w:id="186263347">
                                      <w:marLeft w:val="0"/>
                                      <w:marRight w:val="0"/>
                                      <w:marTop w:val="0"/>
                                      <w:marBottom w:val="0"/>
                                      <w:divBdr>
                                        <w:top w:val="none" w:sz="0" w:space="0" w:color="auto"/>
                                        <w:left w:val="none" w:sz="0" w:space="0" w:color="auto"/>
                                        <w:bottom w:val="none" w:sz="0" w:space="0" w:color="auto"/>
                                        <w:right w:val="none" w:sz="0" w:space="0" w:color="auto"/>
                                      </w:divBdr>
                                    </w:div>
                                    <w:div w:id="187762639">
                                      <w:marLeft w:val="0"/>
                                      <w:marRight w:val="0"/>
                                      <w:marTop w:val="0"/>
                                      <w:marBottom w:val="0"/>
                                      <w:divBdr>
                                        <w:top w:val="none" w:sz="0" w:space="0" w:color="auto"/>
                                        <w:left w:val="none" w:sz="0" w:space="0" w:color="auto"/>
                                        <w:bottom w:val="none" w:sz="0" w:space="0" w:color="auto"/>
                                        <w:right w:val="none" w:sz="0" w:space="0" w:color="auto"/>
                                      </w:divBdr>
                                    </w:div>
                                    <w:div w:id="191647636">
                                      <w:marLeft w:val="1700"/>
                                      <w:marRight w:val="0"/>
                                      <w:marTop w:val="0"/>
                                      <w:marBottom w:val="0"/>
                                      <w:divBdr>
                                        <w:top w:val="none" w:sz="0" w:space="0" w:color="auto"/>
                                        <w:left w:val="none" w:sz="0" w:space="0" w:color="auto"/>
                                        <w:bottom w:val="none" w:sz="0" w:space="0" w:color="auto"/>
                                        <w:right w:val="none" w:sz="0" w:space="0" w:color="auto"/>
                                      </w:divBdr>
                                    </w:div>
                                    <w:div w:id="194194204">
                                      <w:marLeft w:val="0"/>
                                      <w:marRight w:val="0"/>
                                      <w:marTop w:val="0"/>
                                      <w:marBottom w:val="0"/>
                                      <w:divBdr>
                                        <w:top w:val="none" w:sz="0" w:space="0" w:color="auto"/>
                                        <w:left w:val="none" w:sz="0" w:space="0" w:color="auto"/>
                                        <w:bottom w:val="none" w:sz="0" w:space="0" w:color="auto"/>
                                        <w:right w:val="none" w:sz="0" w:space="0" w:color="auto"/>
                                      </w:divBdr>
                                    </w:div>
                                    <w:div w:id="198858474">
                                      <w:marLeft w:val="0"/>
                                      <w:marRight w:val="0"/>
                                      <w:marTop w:val="0"/>
                                      <w:marBottom w:val="0"/>
                                      <w:divBdr>
                                        <w:top w:val="none" w:sz="0" w:space="0" w:color="auto"/>
                                        <w:left w:val="none" w:sz="0" w:space="0" w:color="auto"/>
                                        <w:bottom w:val="none" w:sz="0" w:space="0" w:color="auto"/>
                                        <w:right w:val="none" w:sz="0" w:space="0" w:color="auto"/>
                                      </w:divBdr>
                                    </w:div>
                                    <w:div w:id="227767782">
                                      <w:marLeft w:val="0"/>
                                      <w:marRight w:val="0"/>
                                      <w:marTop w:val="0"/>
                                      <w:marBottom w:val="0"/>
                                      <w:divBdr>
                                        <w:top w:val="none" w:sz="0" w:space="0" w:color="auto"/>
                                        <w:left w:val="none" w:sz="0" w:space="0" w:color="auto"/>
                                        <w:bottom w:val="none" w:sz="0" w:space="0" w:color="auto"/>
                                        <w:right w:val="none" w:sz="0" w:space="0" w:color="auto"/>
                                      </w:divBdr>
                                    </w:div>
                                    <w:div w:id="227808873">
                                      <w:marLeft w:val="0"/>
                                      <w:marRight w:val="0"/>
                                      <w:marTop w:val="0"/>
                                      <w:marBottom w:val="0"/>
                                      <w:divBdr>
                                        <w:top w:val="none" w:sz="0" w:space="0" w:color="auto"/>
                                        <w:left w:val="none" w:sz="0" w:space="0" w:color="auto"/>
                                        <w:bottom w:val="none" w:sz="0" w:space="0" w:color="auto"/>
                                        <w:right w:val="none" w:sz="0" w:space="0" w:color="auto"/>
                                      </w:divBdr>
                                    </w:div>
                                    <w:div w:id="233007221">
                                      <w:marLeft w:val="0"/>
                                      <w:marRight w:val="0"/>
                                      <w:marTop w:val="0"/>
                                      <w:marBottom w:val="0"/>
                                      <w:divBdr>
                                        <w:top w:val="none" w:sz="0" w:space="0" w:color="auto"/>
                                        <w:left w:val="none" w:sz="0" w:space="0" w:color="auto"/>
                                        <w:bottom w:val="none" w:sz="0" w:space="0" w:color="auto"/>
                                        <w:right w:val="none" w:sz="0" w:space="0" w:color="auto"/>
                                      </w:divBdr>
                                    </w:div>
                                    <w:div w:id="236014963">
                                      <w:marLeft w:val="0"/>
                                      <w:marRight w:val="0"/>
                                      <w:marTop w:val="0"/>
                                      <w:marBottom w:val="0"/>
                                      <w:divBdr>
                                        <w:top w:val="none" w:sz="0" w:space="0" w:color="auto"/>
                                        <w:left w:val="none" w:sz="0" w:space="0" w:color="auto"/>
                                        <w:bottom w:val="none" w:sz="0" w:space="0" w:color="auto"/>
                                        <w:right w:val="none" w:sz="0" w:space="0" w:color="auto"/>
                                      </w:divBdr>
                                    </w:div>
                                    <w:div w:id="242574159">
                                      <w:marLeft w:val="0"/>
                                      <w:marRight w:val="0"/>
                                      <w:marTop w:val="0"/>
                                      <w:marBottom w:val="0"/>
                                      <w:divBdr>
                                        <w:top w:val="none" w:sz="0" w:space="0" w:color="auto"/>
                                        <w:left w:val="none" w:sz="0" w:space="0" w:color="auto"/>
                                        <w:bottom w:val="none" w:sz="0" w:space="0" w:color="auto"/>
                                        <w:right w:val="none" w:sz="0" w:space="0" w:color="auto"/>
                                      </w:divBdr>
                                    </w:div>
                                    <w:div w:id="245769934">
                                      <w:marLeft w:val="0"/>
                                      <w:marRight w:val="0"/>
                                      <w:marTop w:val="0"/>
                                      <w:marBottom w:val="0"/>
                                      <w:divBdr>
                                        <w:top w:val="none" w:sz="0" w:space="0" w:color="auto"/>
                                        <w:left w:val="none" w:sz="0" w:space="0" w:color="auto"/>
                                        <w:bottom w:val="none" w:sz="0" w:space="0" w:color="auto"/>
                                        <w:right w:val="none" w:sz="0" w:space="0" w:color="auto"/>
                                      </w:divBdr>
                                    </w:div>
                                    <w:div w:id="249430793">
                                      <w:marLeft w:val="1700"/>
                                      <w:marRight w:val="0"/>
                                      <w:marTop w:val="0"/>
                                      <w:marBottom w:val="0"/>
                                      <w:divBdr>
                                        <w:top w:val="none" w:sz="0" w:space="0" w:color="auto"/>
                                        <w:left w:val="none" w:sz="0" w:space="0" w:color="auto"/>
                                        <w:bottom w:val="none" w:sz="0" w:space="0" w:color="auto"/>
                                        <w:right w:val="none" w:sz="0" w:space="0" w:color="auto"/>
                                      </w:divBdr>
                                    </w:div>
                                    <w:div w:id="253823502">
                                      <w:marLeft w:val="0"/>
                                      <w:marRight w:val="0"/>
                                      <w:marTop w:val="0"/>
                                      <w:marBottom w:val="0"/>
                                      <w:divBdr>
                                        <w:top w:val="none" w:sz="0" w:space="0" w:color="auto"/>
                                        <w:left w:val="none" w:sz="0" w:space="0" w:color="auto"/>
                                        <w:bottom w:val="none" w:sz="0" w:space="0" w:color="auto"/>
                                        <w:right w:val="none" w:sz="0" w:space="0" w:color="auto"/>
                                      </w:divBdr>
                                    </w:div>
                                    <w:div w:id="255983972">
                                      <w:marLeft w:val="0"/>
                                      <w:marRight w:val="0"/>
                                      <w:marTop w:val="0"/>
                                      <w:marBottom w:val="0"/>
                                      <w:divBdr>
                                        <w:top w:val="none" w:sz="0" w:space="0" w:color="auto"/>
                                        <w:left w:val="none" w:sz="0" w:space="0" w:color="auto"/>
                                        <w:bottom w:val="none" w:sz="0" w:space="0" w:color="auto"/>
                                        <w:right w:val="none" w:sz="0" w:space="0" w:color="auto"/>
                                      </w:divBdr>
                                    </w:div>
                                    <w:div w:id="271057000">
                                      <w:marLeft w:val="0"/>
                                      <w:marRight w:val="0"/>
                                      <w:marTop w:val="0"/>
                                      <w:marBottom w:val="0"/>
                                      <w:divBdr>
                                        <w:top w:val="none" w:sz="0" w:space="0" w:color="auto"/>
                                        <w:left w:val="none" w:sz="0" w:space="0" w:color="auto"/>
                                        <w:bottom w:val="none" w:sz="0" w:space="0" w:color="auto"/>
                                        <w:right w:val="none" w:sz="0" w:space="0" w:color="auto"/>
                                      </w:divBdr>
                                    </w:div>
                                    <w:div w:id="276986514">
                                      <w:marLeft w:val="0"/>
                                      <w:marRight w:val="0"/>
                                      <w:marTop w:val="0"/>
                                      <w:marBottom w:val="0"/>
                                      <w:divBdr>
                                        <w:top w:val="none" w:sz="0" w:space="0" w:color="auto"/>
                                        <w:left w:val="none" w:sz="0" w:space="0" w:color="auto"/>
                                        <w:bottom w:val="none" w:sz="0" w:space="0" w:color="auto"/>
                                        <w:right w:val="none" w:sz="0" w:space="0" w:color="auto"/>
                                      </w:divBdr>
                                    </w:div>
                                    <w:div w:id="279915140">
                                      <w:marLeft w:val="0"/>
                                      <w:marRight w:val="0"/>
                                      <w:marTop w:val="0"/>
                                      <w:marBottom w:val="0"/>
                                      <w:divBdr>
                                        <w:top w:val="none" w:sz="0" w:space="0" w:color="auto"/>
                                        <w:left w:val="none" w:sz="0" w:space="0" w:color="auto"/>
                                        <w:bottom w:val="none" w:sz="0" w:space="0" w:color="auto"/>
                                        <w:right w:val="none" w:sz="0" w:space="0" w:color="auto"/>
                                      </w:divBdr>
                                    </w:div>
                                    <w:div w:id="298386626">
                                      <w:marLeft w:val="0"/>
                                      <w:marRight w:val="0"/>
                                      <w:marTop w:val="0"/>
                                      <w:marBottom w:val="0"/>
                                      <w:divBdr>
                                        <w:top w:val="none" w:sz="0" w:space="0" w:color="auto"/>
                                        <w:left w:val="none" w:sz="0" w:space="0" w:color="auto"/>
                                        <w:bottom w:val="none" w:sz="0" w:space="0" w:color="auto"/>
                                        <w:right w:val="none" w:sz="0" w:space="0" w:color="auto"/>
                                      </w:divBdr>
                                    </w:div>
                                    <w:div w:id="309529022">
                                      <w:marLeft w:val="0"/>
                                      <w:marRight w:val="0"/>
                                      <w:marTop w:val="0"/>
                                      <w:marBottom w:val="0"/>
                                      <w:divBdr>
                                        <w:top w:val="none" w:sz="0" w:space="0" w:color="auto"/>
                                        <w:left w:val="none" w:sz="0" w:space="0" w:color="auto"/>
                                        <w:bottom w:val="none" w:sz="0" w:space="0" w:color="auto"/>
                                        <w:right w:val="none" w:sz="0" w:space="0" w:color="auto"/>
                                      </w:divBdr>
                                    </w:div>
                                    <w:div w:id="313029297">
                                      <w:marLeft w:val="0"/>
                                      <w:marRight w:val="0"/>
                                      <w:marTop w:val="0"/>
                                      <w:marBottom w:val="0"/>
                                      <w:divBdr>
                                        <w:top w:val="none" w:sz="0" w:space="0" w:color="auto"/>
                                        <w:left w:val="none" w:sz="0" w:space="0" w:color="auto"/>
                                        <w:bottom w:val="none" w:sz="0" w:space="0" w:color="auto"/>
                                        <w:right w:val="none" w:sz="0" w:space="0" w:color="auto"/>
                                      </w:divBdr>
                                    </w:div>
                                    <w:div w:id="316567488">
                                      <w:marLeft w:val="0"/>
                                      <w:marRight w:val="0"/>
                                      <w:marTop w:val="0"/>
                                      <w:marBottom w:val="0"/>
                                      <w:divBdr>
                                        <w:top w:val="none" w:sz="0" w:space="0" w:color="auto"/>
                                        <w:left w:val="none" w:sz="0" w:space="0" w:color="auto"/>
                                        <w:bottom w:val="none" w:sz="0" w:space="0" w:color="auto"/>
                                        <w:right w:val="none" w:sz="0" w:space="0" w:color="auto"/>
                                      </w:divBdr>
                                    </w:div>
                                    <w:div w:id="318189996">
                                      <w:marLeft w:val="0"/>
                                      <w:marRight w:val="0"/>
                                      <w:marTop w:val="0"/>
                                      <w:marBottom w:val="0"/>
                                      <w:divBdr>
                                        <w:top w:val="none" w:sz="0" w:space="0" w:color="auto"/>
                                        <w:left w:val="none" w:sz="0" w:space="0" w:color="auto"/>
                                        <w:bottom w:val="none" w:sz="0" w:space="0" w:color="auto"/>
                                        <w:right w:val="none" w:sz="0" w:space="0" w:color="auto"/>
                                      </w:divBdr>
                                    </w:div>
                                    <w:div w:id="320230645">
                                      <w:marLeft w:val="1700"/>
                                      <w:marRight w:val="0"/>
                                      <w:marTop w:val="0"/>
                                      <w:marBottom w:val="0"/>
                                      <w:divBdr>
                                        <w:top w:val="none" w:sz="0" w:space="0" w:color="auto"/>
                                        <w:left w:val="none" w:sz="0" w:space="0" w:color="auto"/>
                                        <w:bottom w:val="none" w:sz="0" w:space="0" w:color="auto"/>
                                        <w:right w:val="none" w:sz="0" w:space="0" w:color="auto"/>
                                      </w:divBdr>
                                    </w:div>
                                    <w:div w:id="321081954">
                                      <w:marLeft w:val="1700"/>
                                      <w:marRight w:val="0"/>
                                      <w:marTop w:val="0"/>
                                      <w:marBottom w:val="0"/>
                                      <w:divBdr>
                                        <w:top w:val="none" w:sz="0" w:space="0" w:color="auto"/>
                                        <w:left w:val="none" w:sz="0" w:space="0" w:color="auto"/>
                                        <w:bottom w:val="none" w:sz="0" w:space="0" w:color="auto"/>
                                        <w:right w:val="none" w:sz="0" w:space="0" w:color="auto"/>
                                      </w:divBdr>
                                    </w:div>
                                    <w:div w:id="323627825">
                                      <w:marLeft w:val="0"/>
                                      <w:marRight w:val="0"/>
                                      <w:marTop w:val="0"/>
                                      <w:marBottom w:val="0"/>
                                      <w:divBdr>
                                        <w:top w:val="none" w:sz="0" w:space="0" w:color="auto"/>
                                        <w:left w:val="none" w:sz="0" w:space="0" w:color="auto"/>
                                        <w:bottom w:val="none" w:sz="0" w:space="0" w:color="auto"/>
                                        <w:right w:val="none" w:sz="0" w:space="0" w:color="auto"/>
                                      </w:divBdr>
                                    </w:div>
                                    <w:div w:id="329910718">
                                      <w:marLeft w:val="0"/>
                                      <w:marRight w:val="0"/>
                                      <w:marTop w:val="0"/>
                                      <w:marBottom w:val="0"/>
                                      <w:divBdr>
                                        <w:top w:val="none" w:sz="0" w:space="0" w:color="auto"/>
                                        <w:left w:val="none" w:sz="0" w:space="0" w:color="auto"/>
                                        <w:bottom w:val="none" w:sz="0" w:space="0" w:color="auto"/>
                                        <w:right w:val="none" w:sz="0" w:space="0" w:color="auto"/>
                                      </w:divBdr>
                                    </w:div>
                                    <w:div w:id="352609976">
                                      <w:marLeft w:val="1700"/>
                                      <w:marRight w:val="0"/>
                                      <w:marTop w:val="0"/>
                                      <w:marBottom w:val="0"/>
                                      <w:divBdr>
                                        <w:top w:val="none" w:sz="0" w:space="0" w:color="auto"/>
                                        <w:left w:val="none" w:sz="0" w:space="0" w:color="auto"/>
                                        <w:bottom w:val="none" w:sz="0" w:space="0" w:color="auto"/>
                                        <w:right w:val="none" w:sz="0" w:space="0" w:color="auto"/>
                                      </w:divBdr>
                                    </w:div>
                                    <w:div w:id="363600068">
                                      <w:marLeft w:val="0"/>
                                      <w:marRight w:val="0"/>
                                      <w:marTop w:val="0"/>
                                      <w:marBottom w:val="0"/>
                                      <w:divBdr>
                                        <w:top w:val="none" w:sz="0" w:space="0" w:color="auto"/>
                                        <w:left w:val="none" w:sz="0" w:space="0" w:color="auto"/>
                                        <w:bottom w:val="none" w:sz="0" w:space="0" w:color="auto"/>
                                        <w:right w:val="none" w:sz="0" w:space="0" w:color="auto"/>
                                      </w:divBdr>
                                    </w:div>
                                    <w:div w:id="365180640">
                                      <w:marLeft w:val="0"/>
                                      <w:marRight w:val="0"/>
                                      <w:marTop w:val="0"/>
                                      <w:marBottom w:val="0"/>
                                      <w:divBdr>
                                        <w:top w:val="none" w:sz="0" w:space="0" w:color="auto"/>
                                        <w:left w:val="none" w:sz="0" w:space="0" w:color="auto"/>
                                        <w:bottom w:val="none" w:sz="0" w:space="0" w:color="auto"/>
                                        <w:right w:val="none" w:sz="0" w:space="0" w:color="auto"/>
                                      </w:divBdr>
                                    </w:div>
                                    <w:div w:id="370693215">
                                      <w:marLeft w:val="1700"/>
                                      <w:marRight w:val="0"/>
                                      <w:marTop w:val="0"/>
                                      <w:marBottom w:val="0"/>
                                      <w:divBdr>
                                        <w:top w:val="none" w:sz="0" w:space="0" w:color="auto"/>
                                        <w:left w:val="none" w:sz="0" w:space="0" w:color="auto"/>
                                        <w:bottom w:val="none" w:sz="0" w:space="0" w:color="auto"/>
                                        <w:right w:val="none" w:sz="0" w:space="0" w:color="auto"/>
                                      </w:divBdr>
                                    </w:div>
                                    <w:div w:id="392700241">
                                      <w:marLeft w:val="1700"/>
                                      <w:marRight w:val="0"/>
                                      <w:marTop w:val="0"/>
                                      <w:marBottom w:val="0"/>
                                      <w:divBdr>
                                        <w:top w:val="none" w:sz="0" w:space="0" w:color="auto"/>
                                        <w:left w:val="none" w:sz="0" w:space="0" w:color="auto"/>
                                        <w:bottom w:val="none" w:sz="0" w:space="0" w:color="auto"/>
                                        <w:right w:val="none" w:sz="0" w:space="0" w:color="auto"/>
                                      </w:divBdr>
                                    </w:div>
                                    <w:div w:id="404566804">
                                      <w:marLeft w:val="1700"/>
                                      <w:marRight w:val="0"/>
                                      <w:marTop w:val="0"/>
                                      <w:marBottom w:val="0"/>
                                      <w:divBdr>
                                        <w:top w:val="none" w:sz="0" w:space="0" w:color="auto"/>
                                        <w:left w:val="none" w:sz="0" w:space="0" w:color="auto"/>
                                        <w:bottom w:val="none" w:sz="0" w:space="0" w:color="auto"/>
                                        <w:right w:val="none" w:sz="0" w:space="0" w:color="auto"/>
                                      </w:divBdr>
                                    </w:div>
                                    <w:div w:id="418868934">
                                      <w:marLeft w:val="0"/>
                                      <w:marRight w:val="0"/>
                                      <w:marTop w:val="0"/>
                                      <w:marBottom w:val="0"/>
                                      <w:divBdr>
                                        <w:top w:val="none" w:sz="0" w:space="0" w:color="auto"/>
                                        <w:left w:val="none" w:sz="0" w:space="0" w:color="auto"/>
                                        <w:bottom w:val="none" w:sz="0" w:space="0" w:color="auto"/>
                                        <w:right w:val="none" w:sz="0" w:space="0" w:color="auto"/>
                                      </w:divBdr>
                                    </w:div>
                                    <w:div w:id="420374577">
                                      <w:marLeft w:val="0"/>
                                      <w:marRight w:val="0"/>
                                      <w:marTop w:val="0"/>
                                      <w:marBottom w:val="0"/>
                                      <w:divBdr>
                                        <w:top w:val="none" w:sz="0" w:space="0" w:color="auto"/>
                                        <w:left w:val="none" w:sz="0" w:space="0" w:color="auto"/>
                                        <w:bottom w:val="none" w:sz="0" w:space="0" w:color="auto"/>
                                        <w:right w:val="none" w:sz="0" w:space="0" w:color="auto"/>
                                      </w:divBdr>
                                    </w:div>
                                    <w:div w:id="431240079">
                                      <w:marLeft w:val="0"/>
                                      <w:marRight w:val="0"/>
                                      <w:marTop w:val="0"/>
                                      <w:marBottom w:val="0"/>
                                      <w:divBdr>
                                        <w:top w:val="none" w:sz="0" w:space="0" w:color="auto"/>
                                        <w:left w:val="none" w:sz="0" w:space="0" w:color="auto"/>
                                        <w:bottom w:val="none" w:sz="0" w:space="0" w:color="auto"/>
                                        <w:right w:val="none" w:sz="0" w:space="0" w:color="auto"/>
                                      </w:divBdr>
                                    </w:div>
                                    <w:div w:id="436559316">
                                      <w:marLeft w:val="0"/>
                                      <w:marRight w:val="0"/>
                                      <w:marTop w:val="0"/>
                                      <w:marBottom w:val="0"/>
                                      <w:divBdr>
                                        <w:top w:val="none" w:sz="0" w:space="0" w:color="auto"/>
                                        <w:left w:val="none" w:sz="0" w:space="0" w:color="auto"/>
                                        <w:bottom w:val="none" w:sz="0" w:space="0" w:color="auto"/>
                                        <w:right w:val="none" w:sz="0" w:space="0" w:color="auto"/>
                                      </w:divBdr>
                                    </w:div>
                                    <w:div w:id="443236342">
                                      <w:marLeft w:val="1700"/>
                                      <w:marRight w:val="0"/>
                                      <w:marTop w:val="0"/>
                                      <w:marBottom w:val="0"/>
                                      <w:divBdr>
                                        <w:top w:val="none" w:sz="0" w:space="0" w:color="auto"/>
                                        <w:left w:val="none" w:sz="0" w:space="0" w:color="auto"/>
                                        <w:bottom w:val="none" w:sz="0" w:space="0" w:color="auto"/>
                                        <w:right w:val="none" w:sz="0" w:space="0" w:color="auto"/>
                                      </w:divBdr>
                                    </w:div>
                                    <w:div w:id="448210473">
                                      <w:marLeft w:val="0"/>
                                      <w:marRight w:val="0"/>
                                      <w:marTop w:val="0"/>
                                      <w:marBottom w:val="0"/>
                                      <w:divBdr>
                                        <w:top w:val="none" w:sz="0" w:space="0" w:color="auto"/>
                                        <w:left w:val="none" w:sz="0" w:space="0" w:color="auto"/>
                                        <w:bottom w:val="none" w:sz="0" w:space="0" w:color="auto"/>
                                        <w:right w:val="none" w:sz="0" w:space="0" w:color="auto"/>
                                      </w:divBdr>
                                    </w:div>
                                    <w:div w:id="452552712">
                                      <w:marLeft w:val="1700"/>
                                      <w:marRight w:val="0"/>
                                      <w:marTop w:val="0"/>
                                      <w:marBottom w:val="0"/>
                                      <w:divBdr>
                                        <w:top w:val="none" w:sz="0" w:space="0" w:color="auto"/>
                                        <w:left w:val="none" w:sz="0" w:space="0" w:color="auto"/>
                                        <w:bottom w:val="none" w:sz="0" w:space="0" w:color="auto"/>
                                        <w:right w:val="none" w:sz="0" w:space="0" w:color="auto"/>
                                      </w:divBdr>
                                    </w:div>
                                    <w:div w:id="453258695">
                                      <w:marLeft w:val="0"/>
                                      <w:marRight w:val="0"/>
                                      <w:marTop w:val="0"/>
                                      <w:marBottom w:val="0"/>
                                      <w:divBdr>
                                        <w:top w:val="none" w:sz="0" w:space="0" w:color="auto"/>
                                        <w:left w:val="none" w:sz="0" w:space="0" w:color="auto"/>
                                        <w:bottom w:val="none" w:sz="0" w:space="0" w:color="auto"/>
                                        <w:right w:val="none" w:sz="0" w:space="0" w:color="auto"/>
                                      </w:divBdr>
                                    </w:div>
                                    <w:div w:id="453333435">
                                      <w:marLeft w:val="0"/>
                                      <w:marRight w:val="0"/>
                                      <w:marTop w:val="0"/>
                                      <w:marBottom w:val="0"/>
                                      <w:divBdr>
                                        <w:top w:val="none" w:sz="0" w:space="0" w:color="auto"/>
                                        <w:left w:val="none" w:sz="0" w:space="0" w:color="auto"/>
                                        <w:bottom w:val="none" w:sz="0" w:space="0" w:color="auto"/>
                                        <w:right w:val="none" w:sz="0" w:space="0" w:color="auto"/>
                                      </w:divBdr>
                                    </w:div>
                                    <w:div w:id="453528231">
                                      <w:marLeft w:val="0"/>
                                      <w:marRight w:val="0"/>
                                      <w:marTop w:val="0"/>
                                      <w:marBottom w:val="0"/>
                                      <w:divBdr>
                                        <w:top w:val="none" w:sz="0" w:space="0" w:color="auto"/>
                                        <w:left w:val="none" w:sz="0" w:space="0" w:color="auto"/>
                                        <w:bottom w:val="none" w:sz="0" w:space="0" w:color="auto"/>
                                        <w:right w:val="none" w:sz="0" w:space="0" w:color="auto"/>
                                      </w:divBdr>
                                    </w:div>
                                    <w:div w:id="454910937">
                                      <w:marLeft w:val="0"/>
                                      <w:marRight w:val="0"/>
                                      <w:marTop w:val="0"/>
                                      <w:marBottom w:val="0"/>
                                      <w:divBdr>
                                        <w:top w:val="none" w:sz="0" w:space="0" w:color="auto"/>
                                        <w:left w:val="none" w:sz="0" w:space="0" w:color="auto"/>
                                        <w:bottom w:val="none" w:sz="0" w:space="0" w:color="auto"/>
                                        <w:right w:val="none" w:sz="0" w:space="0" w:color="auto"/>
                                      </w:divBdr>
                                    </w:div>
                                    <w:div w:id="475529255">
                                      <w:marLeft w:val="0"/>
                                      <w:marRight w:val="0"/>
                                      <w:marTop w:val="0"/>
                                      <w:marBottom w:val="0"/>
                                      <w:divBdr>
                                        <w:top w:val="none" w:sz="0" w:space="0" w:color="auto"/>
                                        <w:left w:val="none" w:sz="0" w:space="0" w:color="auto"/>
                                        <w:bottom w:val="none" w:sz="0" w:space="0" w:color="auto"/>
                                        <w:right w:val="none" w:sz="0" w:space="0" w:color="auto"/>
                                      </w:divBdr>
                                    </w:div>
                                    <w:div w:id="505511883">
                                      <w:marLeft w:val="1700"/>
                                      <w:marRight w:val="0"/>
                                      <w:marTop w:val="0"/>
                                      <w:marBottom w:val="0"/>
                                      <w:divBdr>
                                        <w:top w:val="none" w:sz="0" w:space="0" w:color="auto"/>
                                        <w:left w:val="none" w:sz="0" w:space="0" w:color="auto"/>
                                        <w:bottom w:val="none" w:sz="0" w:space="0" w:color="auto"/>
                                        <w:right w:val="none" w:sz="0" w:space="0" w:color="auto"/>
                                      </w:divBdr>
                                    </w:div>
                                    <w:div w:id="509372887">
                                      <w:marLeft w:val="1700"/>
                                      <w:marRight w:val="0"/>
                                      <w:marTop w:val="0"/>
                                      <w:marBottom w:val="0"/>
                                      <w:divBdr>
                                        <w:top w:val="none" w:sz="0" w:space="0" w:color="auto"/>
                                        <w:left w:val="none" w:sz="0" w:space="0" w:color="auto"/>
                                        <w:bottom w:val="none" w:sz="0" w:space="0" w:color="auto"/>
                                        <w:right w:val="none" w:sz="0" w:space="0" w:color="auto"/>
                                      </w:divBdr>
                                    </w:div>
                                    <w:div w:id="512107618">
                                      <w:marLeft w:val="0"/>
                                      <w:marRight w:val="0"/>
                                      <w:marTop w:val="0"/>
                                      <w:marBottom w:val="0"/>
                                      <w:divBdr>
                                        <w:top w:val="none" w:sz="0" w:space="0" w:color="auto"/>
                                        <w:left w:val="none" w:sz="0" w:space="0" w:color="auto"/>
                                        <w:bottom w:val="none" w:sz="0" w:space="0" w:color="auto"/>
                                        <w:right w:val="none" w:sz="0" w:space="0" w:color="auto"/>
                                      </w:divBdr>
                                    </w:div>
                                    <w:div w:id="514853949">
                                      <w:marLeft w:val="1700"/>
                                      <w:marRight w:val="0"/>
                                      <w:marTop w:val="0"/>
                                      <w:marBottom w:val="0"/>
                                      <w:divBdr>
                                        <w:top w:val="none" w:sz="0" w:space="0" w:color="auto"/>
                                        <w:left w:val="none" w:sz="0" w:space="0" w:color="auto"/>
                                        <w:bottom w:val="none" w:sz="0" w:space="0" w:color="auto"/>
                                        <w:right w:val="none" w:sz="0" w:space="0" w:color="auto"/>
                                      </w:divBdr>
                                    </w:div>
                                    <w:div w:id="515731160">
                                      <w:marLeft w:val="1700"/>
                                      <w:marRight w:val="0"/>
                                      <w:marTop w:val="0"/>
                                      <w:marBottom w:val="0"/>
                                      <w:divBdr>
                                        <w:top w:val="none" w:sz="0" w:space="0" w:color="auto"/>
                                        <w:left w:val="none" w:sz="0" w:space="0" w:color="auto"/>
                                        <w:bottom w:val="none" w:sz="0" w:space="0" w:color="auto"/>
                                        <w:right w:val="none" w:sz="0" w:space="0" w:color="auto"/>
                                      </w:divBdr>
                                    </w:div>
                                    <w:div w:id="517356357">
                                      <w:marLeft w:val="0"/>
                                      <w:marRight w:val="0"/>
                                      <w:marTop w:val="0"/>
                                      <w:marBottom w:val="0"/>
                                      <w:divBdr>
                                        <w:top w:val="none" w:sz="0" w:space="0" w:color="auto"/>
                                        <w:left w:val="none" w:sz="0" w:space="0" w:color="auto"/>
                                        <w:bottom w:val="none" w:sz="0" w:space="0" w:color="auto"/>
                                        <w:right w:val="none" w:sz="0" w:space="0" w:color="auto"/>
                                      </w:divBdr>
                                    </w:div>
                                    <w:div w:id="526332807">
                                      <w:marLeft w:val="1700"/>
                                      <w:marRight w:val="0"/>
                                      <w:marTop w:val="0"/>
                                      <w:marBottom w:val="0"/>
                                      <w:divBdr>
                                        <w:top w:val="none" w:sz="0" w:space="0" w:color="auto"/>
                                        <w:left w:val="none" w:sz="0" w:space="0" w:color="auto"/>
                                        <w:bottom w:val="none" w:sz="0" w:space="0" w:color="auto"/>
                                        <w:right w:val="none" w:sz="0" w:space="0" w:color="auto"/>
                                      </w:divBdr>
                                    </w:div>
                                    <w:div w:id="527793190">
                                      <w:marLeft w:val="0"/>
                                      <w:marRight w:val="0"/>
                                      <w:marTop w:val="0"/>
                                      <w:marBottom w:val="0"/>
                                      <w:divBdr>
                                        <w:top w:val="none" w:sz="0" w:space="0" w:color="auto"/>
                                        <w:left w:val="none" w:sz="0" w:space="0" w:color="auto"/>
                                        <w:bottom w:val="none" w:sz="0" w:space="0" w:color="auto"/>
                                        <w:right w:val="none" w:sz="0" w:space="0" w:color="auto"/>
                                      </w:divBdr>
                                    </w:div>
                                    <w:div w:id="547913042">
                                      <w:marLeft w:val="0"/>
                                      <w:marRight w:val="0"/>
                                      <w:marTop w:val="0"/>
                                      <w:marBottom w:val="0"/>
                                      <w:divBdr>
                                        <w:top w:val="none" w:sz="0" w:space="0" w:color="auto"/>
                                        <w:left w:val="none" w:sz="0" w:space="0" w:color="auto"/>
                                        <w:bottom w:val="none" w:sz="0" w:space="0" w:color="auto"/>
                                        <w:right w:val="none" w:sz="0" w:space="0" w:color="auto"/>
                                      </w:divBdr>
                                    </w:div>
                                    <w:div w:id="549922900">
                                      <w:marLeft w:val="0"/>
                                      <w:marRight w:val="0"/>
                                      <w:marTop w:val="0"/>
                                      <w:marBottom w:val="0"/>
                                      <w:divBdr>
                                        <w:top w:val="none" w:sz="0" w:space="0" w:color="auto"/>
                                        <w:left w:val="none" w:sz="0" w:space="0" w:color="auto"/>
                                        <w:bottom w:val="none" w:sz="0" w:space="0" w:color="auto"/>
                                        <w:right w:val="none" w:sz="0" w:space="0" w:color="auto"/>
                                      </w:divBdr>
                                    </w:div>
                                    <w:div w:id="565533300">
                                      <w:marLeft w:val="0"/>
                                      <w:marRight w:val="0"/>
                                      <w:marTop w:val="0"/>
                                      <w:marBottom w:val="0"/>
                                      <w:divBdr>
                                        <w:top w:val="none" w:sz="0" w:space="0" w:color="auto"/>
                                        <w:left w:val="none" w:sz="0" w:space="0" w:color="auto"/>
                                        <w:bottom w:val="none" w:sz="0" w:space="0" w:color="auto"/>
                                        <w:right w:val="none" w:sz="0" w:space="0" w:color="auto"/>
                                      </w:divBdr>
                                    </w:div>
                                    <w:div w:id="565535587">
                                      <w:marLeft w:val="0"/>
                                      <w:marRight w:val="0"/>
                                      <w:marTop w:val="0"/>
                                      <w:marBottom w:val="0"/>
                                      <w:divBdr>
                                        <w:top w:val="none" w:sz="0" w:space="0" w:color="auto"/>
                                        <w:left w:val="none" w:sz="0" w:space="0" w:color="auto"/>
                                        <w:bottom w:val="none" w:sz="0" w:space="0" w:color="auto"/>
                                        <w:right w:val="none" w:sz="0" w:space="0" w:color="auto"/>
                                      </w:divBdr>
                                    </w:div>
                                    <w:div w:id="579603385">
                                      <w:marLeft w:val="0"/>
                                      <w:marRight w:val="0"/>
                                      <w:marTop w:val="0"/>
                                      <w:marBottom w:val="0"/>
                                      <w:divBdr>
                                        <w:top w:val="none" w:sz="0" w:space="0" w:color="auto"/>
                                        <w:left w:val="none" w:sz="0" w:space="0" w:color="auto"/>
                                        <w:bottom w:val="none" w:sz="0" w:space="0" w:color="auto"/>
                                        <w:right w:val="none" w:sz="0" w:space="0" w:color="auto"/>
                                      </w:divBdr>
                                    </w:div>
                                    <w:div w:id="582297617">
                                      <w:marLeft w:val="0"/>
                                      <w:marRight w:val="0"/>
                                      <w:marTop w:val="0"/>
                                      <w:marBottom w:val="0"/>
                                      <w:divBdr>
                                        <w:top w:val="none" w:sz="0" w:space="0" w:color="auto"/>
                                        <w:left w:val="none" w:sz="0" w:space="0" w:color="auto"/>
                                        <w:bottom w:val="none" w:sz="0" w:space="0" w:color="auto"/>
                                        <w:right w:val="none" w:sz="0" w:space="0" w:color="auto"/>
                                      </w:divBdr>
                                    </w:div>
                                    <w:div w:id="584070092">
                                      <w:marLeft w:val="1700"/>
                                      <w:marRight w:val="0"/>
                                      <w:marTop w:val="0"/>
                                      <w:marBottom w:val="0"/>
                                      <w:divBdr>
                                        <w:top w:val="none" w:sz="0" w:space="0" w:color="auto"/>
                                        <w:left w:val="none" w:sz="0" w:space="0" w:color="auto"/>
                                        <w:bottom w:val="none" w:sz="0" w:space="0" w:color="auto"/>
                                        <w:right w:val="none" w:sz="0" w:space="0" w:color="auto"/>
                                      </w:divBdr>
                                    </w:div>
                                    <w:div w:id="615986200">
                                      <w:marLeft w:val="0"/>
                                      <w:marRight w:val="0"/>
                                      <w:marTop w:val="0"/>
                                      <w:marBottom w:val="0"/>
                                      <w:divBdr>
                                        <w:top w:val="none" w:sz="0" w:space="0" w:color="auto"/>
                                        <w:left w:val="none" w:sz="0" w:space="0" w:color="auto"/>
                                        <w:bottom w:val="none" w:sz="0" w:space="0" w:color="auto"/>
                                        <w:right w:val="none" w:sz="0" w:space="0" w:color="auto"/>
                                      </w:divBdr>
                                    </w:div>
                                    <w:div w:id="620765353">
                                      <w:marLeft w:val="1700"/>
                                      <w:marRight w:val="0"/>
                                      <w:marTop w:val="0"/>
                                      <w:marBottom w:val="0"/>
                                      <w:divBdr>
                                        <w:top w:val="none" w:sz="0" w:space="0" w:color="auto"/>
                                        <w:left w:val="none" w:sz="0" w:space="0" w:color="auto"/>
                                        <w:bottom w:val="none" w:sz="0" w:space="0" w:color="auto"/>
                                        <w:right w:val="none" w:sz="0" w:space="0" w:color="auto"/>
                                      </w:divBdr>
                                    </w:div>
                                    <w:div w:id="630868991">
                                      <w:marLeft w:val="1700"/>
                                      <w:marRight w:val="0"/>
                                      <w:marTop w:val="0"/>
                                      <w:marBottom w:val="0"/>
                                      <w:divBdr>
                                        <w:top w:val="none" w:sz="0" w:space="0" w:color="auto"/>
                                        <w:left w:val="none" w:sz="0" w:space="0" w:color="auto"/>
                                        <w:bottom w:val="none" w:sz="0" w:space="0" w:color="auto"/>
                                        <w:right w:val="none" w:sz="0" w:space="0" w:color="auto"/>
                                      </w:divBdr>
                                    </w:div>
                                    <w:div w:id="632490479">
                                      <w:marLeft w:val="0"/>
                                      <w:marRight w:val="0"/>
                                      <w:marTop w:val="0"/>
                                      <w:marBottom w:val="0"/>
                                      <w:divBdr>
                                        <w:top w:val="none" w:sz="0" w:space="0" w:color="auto"/>
                                        <w:left w:val="none" w:sz="0" w:space="0" w:color="auto"/>
                                        <w:bottom w:val="none" w:sz="0" w:space="0" w:color="auto"/>
                                        <w:right w:val="none" w:sz="0" w:space="0" w:color="auto"/>
                                      </w:divBdr>
                                    </w:div>
                                    <w:div w:id="646859714">
                                      <w:marLeft w:val="0"/>
                                      <w:marRight w:val="0"/>
                                      <w:marTop w:val="0"/>
                                      <w:marBottom w:val="0"/>
                                      <w:divBdr>
                                        <w:top w:val="none" w:sz="0" w:space="0" w:color="auto"/>
                                        <w:left w:val="none" w:sz="0" w:space="0" w:color="auto"/>
                                        <w:bottom w:val="none" w:sz="0" w:space="0" w:color="auto"/>
                                        <w:right w:val="none" w:sz="0" w:space="0" w:color="auto"/>
                                      </w:divBdr>
                                    </w:div>
                                    <w:div w:id="657417749">
                                      <w:marLeft w:val="0"/>
                                      <w:marRight w:val="0"/>
                                      <w:marTop w:val="0"/>
                                      <w:marBottom w:val="0"/>
                                      <w:divBdr>
                                        <w:top w:val="none" w:sz="0" w:space="0" w:color="auto"/>
                                        <w:left w:val="none" w:sz="0" w:space="0" w:color="auto"/>
                                        <w:bottom w:val="none" w:sz="0" w:space="0" w:color="auto"/>
                                        <w:right w:val="none" w:sz="0" w:space="0" w:color="auto"/>
                                      </w:divBdr>
                                    </w:div>
                                    <w:div w:id="660693653">
                                      <w:marLeft w:val="1700"/>
                                      <w:marRight w:val="0"/>
                                      <w:marTop w:val="0"/>
                                      <w:marBottom w:val="0"/>
                                      <w:divBdr>
                                        <w:top w:val="none" w:sz="0" w:space="0" w:color="auto"/>
                                        <w:left w:val="none" w:sz="0" w:space="0" w:color="auto"/>
                                        <w:bottom w:val="none" w:sz="0" w:space="0" w:color="auto"/>
                                        <w:right w:val="none" w:sz="0" w:space="0" w:color="auto"/>
                                      </w:divBdr>
                                    </w:div>
                                    <w:div w:id="669526368">
                                      <w:marLeft w:val="0"/>
                                      <w:marRight w:val="0"/>
                                      <w:marTop w:val="0"/>
                                      <w:marBottom w:val="0"/>
                                      <w:divBdr>
                                        <w:top w:val="none" w:sz="0" w:space="0" w:color="auto"/>
                                        <w:left w:val="none" w:sz="0" w:space="0" w:color="auto"/>
                                        <w:bottom w:val="none" w:sz="0" w:space="0" w:color="auto"/>
                                        <w:right w:val="none" w:sz="0" w:space="0" w:color="auto"/>
                                      </w:divBdr>
                                    </w:div>
                                    <w:div w:id="700011343">
                                      <w:marLeft w:val="0"/>
                                      <w:marRight w:val="0"/>
                                      <w:marTop w:val="0"/>
                                      <w:marBottom w:val="0"/>
                                      <w:divBdr>
                                        <w:top w:val="none" w:sz="0" w:space="0" w:color="auto"/>
                                        <w:left w:val="none" w:sz="0" w:space="0" w:color="auto"/>
                                        <w:bottom w:val="none" w:sz="0" w:space="0" w:color="auto"/>
                                        <w:right w:val="none" w:sz="0" w:space="0" w:color="auto"/>
                                      </w:divBdr>
                                    </w:div>
                                    <w:div w:id="715786469">
                                      <w:marLeft w:val="0"/>
                                      <w:marRight w:val="0"/>
                                      <w:marTop w:val="0"/>
                                      <w:marBottom w:val="0"/>
                                      <w:divBdr>
                                        <w:top w:val="none" w:sz="0" w:space="0" w:color="auto"/>
                                        <w:left w:val="none" w:sz="0" w:space="0" w:color="auto"/>
                                        <w:bottom w:val="none" w:sz="0" w:space="0" w:color="auto"/>
                                        <w:right w:val="none" w:sz="0" w:space="0" w:color="auto"/>
                                      </w:divBdr>
                                    </w:div>
                                    <w:div w:id="721683428">
                                      <w:marLeft w:val="0"/>
                                      <w:marRight w:val="0"/>
                                      <w:marTop w:val="0"/>
                                      <w:marBottom w:val="0"/>
                                      <w:divBdr>
                                        <w:top w:val="none" w:sz="0" w:space="0" w:color="auto"/>
                                        <w:left w:val="none" w:sz="0" w:space="0" w:color="auto"/>
                                        <w:bottom w:val="none" w:sz="0" w:space="0" w:color="auto"/>
                                        <w:right w:val="none" w:sz="0" w:space="0" w:color="auto"/>
                                      </w:divBdr>
                                    </w:div>
                                    <w:div w:id="726102149">
                                      <w:marLeft w:val="0"/>
                                      <w:marRight w:val="0"/>
                                      <w:marTop w:val="0"/>
                                      <w:marBottom w:val="0"/>
                                      <w:divBdr>
                                        <w:top w:val="none" w:sz="0" w:space="0" w:color="auto"/>
                                        <w:left w:val="none" w:sz="0" w:space="0" w:color="auto"/>
                                        <w:bottom w:val="none" w:sz="0" w:space="0" w:color="auto"/>
                                        <w:right w:val="none" w:sz="0" w:space="0" w:color="auto"/>
                                      </w:divBdr>
                                    </w:div>
                                    <w:div w:id="726490616">
                                      <w:marLeft w:val="0"/>
                                      <w:marRight w:val="0"/>
                                      <w:marTop w:val="0"/>
                                      <w:marBottom w:val="0"/>
                                      <w:divBdr>
                                        <w:top w:val="none" w:sz="0" w:space="0" w:color="auto"/>
                                        <w:left w:val="none" w:sz="0" w:space="0" w:color="auto"/>
                                        <w:bottom w:val="none" w:sz="0" w:space="0" w:color="auto"/>
                                        <w:right w:val="none" w:sz="0" w:space="0" w:color="auto"/>
                                      </w:divBdr>
                                    </w:div>
                                    <w:div w:id="729040569">
                                      <w:marLeft w:val="0"/>
                                      <w:marRight w:val="0"/>
                                      <w:marTop w:val="0"/>
                                      <w:marBottom w:val="0"/>
                                      <w:divBdr>
                                        <w:top w:val="none" w:sz="0" w:space="0" w:color="auto"/>
                                        <w:left w:val="none" w:sz="0" w:space="0" w:color="auto"/>
                                        <w:bottom w:val="none" w:sz="0" w:space="0" w:color="auto"/>
                                        <w:right w:val="none" w:sz="0" w:space="0" w:color="auto"/>
                                      </w:divBdr>
                                    </w:div>
                                    <w:div w:id="736440692">
                                      <w:marLeft w:val="1700"/>
                                      <w:marRight w:val="0"/>
                                      <w:marTop w:val="0"/>
                                      <w:marBottom w:val="0"/>
                                      <w:divBdr>
                                        <w:top w:val="none" w:sz="0" w:space="0" w:color="auto"/>
                                        <w:left w:val="none" w:sz="0" w:space="0" w:color="auto"/>
                                        <w:bottom w:val="none" w:sz="0" w:space="0" w:color="auto"/>
                                        <w:right w:val="none" w:sz="0" w:space="0" w:color="auto"/>
                                      </w:divBdr>
                                    </w:div>
                                    <w:div w:id="743526841">
                                      <w:marLeft w:val="0"/>
                                      <w:marRight w:val="0"/>
                                      <w:marTop w:val="0"/>
                                      <w:marBottom w:val="0"/>
                                      <w:divBdr>
                                        <w:top w:val="none" w:sz="0" w:space="0" w:color="auto"/>
                                        <w:left w:val="none" w:sz="0" w:space="0" w:color="auto"/>
                                        <w:bottom w:val="none" w:sz="0" w:space="0" w:color="auto"/>
                                        <w:right w:val="none" w:sz="0" w:space="0" w:color="auto"/>
                                      </w:divBdr>
                                    </w:div>
                                    <w:div w:id="754939015">
                                      <w:marLeft w:val="1700"/>
                                      <w:marRight w:val="0"/>
                                      <w:marTop w:val="0"/>
                                      <w:marBottom w:val="0"/>
                                      <w:divBdr>
                                        <w:top w:val="none" w:sz="0" w:space="0" w:color="auto"/>
                                        <w:left w:val="none" w:sz="0" w:space="0" w:color="auto"/>
                                        <w:bottom w:val="none" w:sz="0" w:space="0" w:color="auto"/>
                                        <w:right w:val="none" w:sz="0" w:space="0" w:color="auto"/>
                                      </w:divBdr>
                                    </w:div>
                                    <w:div w:id="761145572">
                                      <w:marLeft w:val="0"/>
                                      <w:marRight w:val="0"/>
                                      <w:marTop w:val="0"/>
                                      <w:marBottom w:val="0"/>
                                      <w:divBdr>
                                        <w:top w:val="none" w:sz="0" w:space="0" w:color="auto"/>
                                        <w:left w:val="none" w:sz="0" w:space="0" w:color="auto"/>
                                        <w:bottom w:val="none" w:sz="0" w:space="0" w:color="auto"/>
                                        <w:right w:val="none" w:sz="0" w:space="0" w:color="auto"/>
                                      </w:divBdr>
                                    </w:div>
                                    <w:div w:id="770468911">
                                      <w:marLeft w:val="0"/>
                                      <w:marRight w:val="0"/>
                                      <w:marTop w:val="0"/>
                                      <w:marBottom w:val="0"/>
                                      <w:divBdr>
                                        <w:top w:val="none" w:sz="0" w:space="0" w:color="auto"/>
                                        <w:left w:val="none" w:sz="0" w:space="0" w:color="auto"/>
                                        <w:bottom w:val="none" w:sz="0" w:space="0" w:color="auto"/>
                                        <w:right w:val="none" w:sz="0" w:space="0" w:color="auto"/>
                                      </w:divBdr>
                                    </w:div>
                                    <w:div w:id="773522222">
                                      <w:marLeft w:val="0"/>
                                      <w:marRight w:val="0"/>
                                      <w:marTop w:val="0"/>
                                      <w:marBottom w:val="0"/>
                                      <w:divBdr>
                                        <w:top w:val="none" w:sz="0" w:space="0" w:color="auto"/>
                                        <w:left w:val="none" w:sz="0" w:space="0" w:color="auto"/>
                                        <w:bottom w:val="none" w:sz="0" w:space="0" w:color="auto"/>
                                        <w:right w:val="none" w:sz="0" w:space="0" w:color="auto"/>
                                      </w:divBdr>
                                    </w:div>
                                    <w:div w:id="775759769">
                                      <w:marLeft w:val="0"/>
                                      <w:marRight w:val="0"/>
                                      <w:marTop w:val="0"/>
                                      <w:marBottom w:val="0"/>
                                      <w:divBdr>
                                        <w:top w:val="none" w:sz="0" w:space="0" w:color="auto"/>
                                        <w:left w:val="none" w:sz="0" w:space="0" w:color="auto"/>
                                        <w:bottom w:val="none" w:sz="0" w:space="0" w:color="auto"/>
                                        <w:right w:val="none" w:sz="0" w:space="0" w:color="auto"/>
                                      </w:divBdr>
                                    </w:div>
                                    <w:div w:id="786893429">
                                      <w:marLeft w:val="0"/>
                                      <w:marRight w:val="0"/>
                                      <w:marTop w:val="0"/>
                                      <w:marBottom w:val="0"/>
                                      <w:divBdr>
                                        <w:top w:val="none" w:sz="0" w:space="0" w:color="auto"/>
                                        <w:left w:val="none" w:sz="0" w:space="0" w:color="auto"/>
                                        <w:bottom w:val="none" w:sz="0" w:space="0" w:color="auto"/>
                                        <w:right w:val="none" w:sz="0" w:space="0" w:color="auto"/>
                                      </w:divBdr>
                                    </w:div>
                                    <w:div w:id="811479102">
                                      <w:marLeft w:val="0"/>
                                      <w:marRight w:val="0"/>
                                      <w:marTop w:val="0"/>
                                      <w:marBottom w:val="0"/>
                                      <w:divBdr>
                                        <w:top w:val="none" w:sz="0" w:space="0" w:color="auto"/>
                                        <w:left w:val="none" w:sz="0" w:space="0" w:color="auto"/>
                                        <w:bottom w:val="none" w:sz="0" w:space="0" w:color="auto"/>
                                        <w:right w:val="none" w:sz="0" w:space="0" w:color="auto"/>
                                      </w:divBdr>
                                    </w:div>
                                    <w:div w:id="833373916">
                                      <w:marLeft w:val="0"/>
                                      <w:marRight w:val="0"/>
                                      <w:marTop w:val="0"/>
                                      <w:marBottom w:val="0"/>
                                      <w:divBdr>
                                        <w:top w:val="none" w:sz="0" w:space="0" w:color="auto"/>
                                        <w:left w:val="none" w:sz="0" w:space="0" w:color="auto"/>
                                        <w:bottom w:val="none" w:sz="0" w:space="0" w:color="auto"/>
                                        <w:right w:val="none" w:sz="0" w:space="0" w:color="auto"/>
                                      </w:divBdr>
                                    </w:div>
                                    <w:div w:id="861279961">
                                      <w:marLeft w:val="0"/>
                                      <w:marRight w:val="0"/>
                                      <w:marTop w:val="0"/>
                                      <w:marBottom w:val="0"/>
                                      <w:divBdr>
                                        <w:top w:val="none" w:sz="0" w:space="0" w:color="auto"/>
                                        <w:left w:val="none" w:sz="0" w:space="0" w:color="auto"/>
                                        <w:bottom w:val="none" w:sz="0" w:space="0" w:color="auto"/>
                                        <w:right w:val="none" w:sz="0" w:space="0" w:color="auto"/>
                                      </w:divBdr>
                                    </w:div>
                                    <w:div w:id="872890630">
                                      <w:marLeft w:val="0"/>
                                      <w:marRight w:val="0"/>
                                      <w:marTop w:val="0"/>
                                      <w:marBottom w:val="0"/>
                                      <w:divBdr>
                                        <w:top w:val="none" w:sz="0" w:space="0" w:color="auto"/>
                                        <w:left w:val="none" w:sz="0" w:space="0" w:color="auto"/>
                                        <w:bottom w:val="none" w:sz="0" w:space="0" w:color="auto"/>
                                        <w:right w:val="none" w:sz="0" w:space="0" w:color="auto"/>
                                      </w:divBdr>
                                    </w:div>
                                    <w:div w:id="899756338">
                                      <w:marLeft w:val="0"/>
                                      <w:marRight w:val="0"/>
                                      <w:marTop w:val="0"/>
                                      <w:marBottom w:val="0"/>
                                      <w:divBdr>
                                        <w:top w:val="none" w:sz="0" w:space="0" w:color="auto"/>
                                        <w:left w:val="none" w:sz="0" w:space="0" w:color="auto"/>
                                        <w:bottom w:val="none" w:sz="0" w:space="0" w:color="auto"/>
                                        <w:right w:val="none" w:sz="0" w:space="0" w:color="auto"/>
                                      </w:divBdr>
                                    </w:div>
                                    <w:div w:id="907424715">
                                      <w:marLeft w:val="0"/>
                                      <w:marRight w:val="0"/>
                                      <w:marTop w:val="0"/>
                                      <w:marBottom w:val="0"/>
                                      <w:divBdr>
                                        <w:top w:val="none" w:sz="0" w:space="0" w:color="auto"/>
                                        <w:left w:val="none" w:sz="0" w:space="0" w:color="auto"/>
                                        <w:bottom w:val="none" w:sz="0" w:space="0" w:color="auto"/>
                                        <w:right w:val="none" w:sz="0" w:space="0" w:color="auto"/>
                                      </w:divBdr>
                                    </w:div>
                                    <w:div w:id="911351752">
                                      <w:marLeft w:val="0"/>
                                      <w:marRight w:val="0"/>
                                      <w:marTop w:val="0"/>
                                      <w:marBottom w:val="0"/>
                                      <w:divBdr>
                                        <w:top w:val="none" w:sz="0" w:space="0" w:color="auto"/>
                                        <w:left w:val="none" w:sz="0" w:space="0" w:color="auto"/>
                                        <w:bottom w:val="none" w:sz="0" w:space="0" w:color="auto"/>
                                        <w:right w:val="none" w:sz="0" w:space="0" w:color="auto"/>
                                      </w:divBdr>
                                    </w:div>
                                    <w:div w:id="927348990">
                                      <w:marLeft w:val="0"/>
                                      <w:marRight w:val="0"/>
                                      <w:marTop w:val="0"/>
                                      <w:marBottom w:val="0"/>
                                      <w:divBdr>
                                        <w:top w:val="none" w:sz="0" w:space="0" w:color="auto"/>
                                        <w:left w:val="none" w:sz="0" w:space="0" w:color="auto"/>
                                        <w:bottom w:val="none" w:sz="0" w:space="0" w:color="auto"/>
                                        <w:right w:val="none" w:sz="0" w:space="0" w:color="auto"/>
                                      </w:divBdr>
                                    </w:div>
                                    <w:div w:id="928200156">
                                      <w:marLeft w:val="0"/>
                                      <w:marRight w:val="0"/>
                                      <w:marTop w:val="0"/>
                                      <w:marBottom w:val="0"/>
                                      <w:divBdr>
                                        <w:top w:val="none" w:sz="0" w:space="0" w:color="auto"/>
                                        <w:left w:val="none" w:sz="0" w:space="0" w:color="auto"/>
                                        <w:bottom w:val="none" w:sz="0" w:space="0" w:color="auto"/>
                                        <w:right w:val="none" w:sz="0" w:space="0" w:color="auto"/>
                                      </w:divBdr>
                                    </w:div>
                                    <w:div w:id="932856110">
                                      <w:marLeft w:val="0"/>
                                      <w:marRight w:val="0"/>
                                      <w:marTop w:val="0"/>
                                      <w:marBottom w:val="0"/>
                                      <w:divBdr>
                                        <w:top w:val="none" w:sz="0" w:space="0" w:color="auto"/>
                                        <w:left w:val="none" w:sz="0" w:space="0" w:color="auto"/>
                                        <w:bottom w:val="none" w:sz="0" w:space="0" w:color="auto"/>
                                        <w:right w:val="none" w:sz="0" w:space="0" w:color="auto"/>
                                      </w:divBdr>
                                    </w:div>
                                    <w:div w:id="939527675">
                                      <w:marLeft w:val="0"/>
                                      <w:marRight w:val="0"/>
                                      <w:marTop w:val="0"/>
                                      <w:marBottom w:val="0"/>
                                      <w:divBdr>
                                        <w:top w:val="none" w:sz="0" w:space="0" w:color="auto"/>
                                        <w:left w:val="none" w:sz="0" w:space="0" w:color="auto"/>
                                        <w:bottom w:val="none" w:sz="0" w:space="0" w:color="auto"/>
                                        <w:right w:val="none" w:sz="0" w:space="0" w:color="auto"/>
                                      </w:divBdr>
                                    </w:div>
                                    <w:div w:id="944725890">
                                      <w:marLeft w:val="0"/>
                                      <w:marRight w:val="0"/>
                                      <w:marTop w:val="0"/>
                                      <w:marBottom w:val="0"/>
                                      <w:divBdr>
                                        <w:top w:val="none" w:sz="0" w:space="0" w:color="auto"/>
                                        <w:left w:val="none" w:sz="0" w:space="0" w:color="auto"/>
                                        <w:bottom w:val="none" w:sz="0" w:space="0" w:color="auto"/>
                                        <w:right w:val="none" w:sz="0" w:space="0" w:color="auto"/>
                                      </w:divBdr>
                                    </w:div>
                                    <w:div w:id="948705346">
                                      <w:marLeft w:val="0"/>
                                      <w:marRight w:val="0"/>
                                      <w:marTop w:val="0"/>
                                      <w:marBottom w:val="0"/>
                                      <w:divBdr>
                                        <w:top w:val="none" w:sz="0" w:space="0" w:color="auto"/>
                                        <w:left w:val="none" w:sz="0" w:space="0" w:color="auto"/>
                                        <w:bottom w:val="none" w:sz="0" w:space="0" w:color="auto"/>
                                        <w:right w:val="none" w:sz="0" w:space="0" w:color="auto"/>
                                      </w:divBdr>
                                    </w:div>
                                    <w:div w:id="960111637">
                                      <w:marLeft w:val="0"/>
                                      <w:marRight w:val="0"/>
                                      <w:marTop w:val="0"/>
                                      <w:marBottom w:val="0"/>
                                      <w:divBdr>
                                        <w:top w:val="none" w:sz="0" w:space="0" w:color="auto"/>
                                        <w:left w:val="none" w:sz="0" w:space="0" w:color="auto"/>
                                        <w:bottom w:val="none" w:sz="0" w:space="0" w:color="auto"/>
                                        <w:right w:val="none" w:sz="0" w:space="0" w:color="auto"/>
                                      </w:divBdr>
                                    </w:div>
                                    <w:div w:id="960457049">
                                      <w:marLeft w:val="0"/>
                                      <w:marRight w:val="0"/>
                                      <w:marTop w:val="0"/>
                                      <w:marBottom w:val="0"/>
                                      <w:divBdr>
                                        <w:top w:val="none" w:sz="0" w:space="0" w:color="auto"/>
                                        <w:left w:val="none" w:sz="0" w:space="0" w:color="auto"/>
                                        <w:bottom w:val="none" w:sz="0" w:space="0" w:color="auto"/>
                                        <w:right w:val="none" w:sz="0" w:space="0" w:color="auto"/>
                                      </w:divBdr>
                                    </w:div>
                                    <w:div w:id="970751638">
                                      <w:marLeft w:val="0"/>
                                      <w:marRight w:val="0"/>
                                      <w:marTop w:val="0"/>
                                      <w:marBottom w:val="0"/>
                                      <w:divBdr>
                                        <w:top w:val="none" w:sz="0" w:space="0" w:color="auto"/>
                                        <w:left w:val="none" w:sz="0" w:space="0" w:color="auto"/>
                                        <w:bottom w:val="none" w:sz="0" w:space="0" w:color="auto"/>
                                        <w:right w:val="none" w:sz="0" w:space="0" w:color="auto"/>
                                      </w:divBdr>
                                    </w:div>
                                    <w:div w:id="973288871">
                                      <w:marLeft w:val="0"/>
                                      <w:marRight w:val="0"/>
                                      <w:marTop w:val="0"/>
                                      <w:marBottom w:val="0"/>
                                      <w:divBdr>
                                        <w:top w:val="none" w:sz="0" w:space="0" w:color="auto"/>
                                        <w:left w:val="none" w:sz="0" w:space="0" w:color="auto"/>
                                        <w:bottom w:val="none" w:sz="0" w:space="0" w:color="auto"/>
                                        <w:right w:val="none" w:sz="0" w:space="0" w:color="auto"/>
                                      </w:divBdr>
                                    </w:div>
                                    <w:div w:id="998266916">
                                      <w:marLeft w:val="1700"/>
                                      <w:marRight w:val="0"/>
                                      <w:marTop w:val="0"/>
                                      <w:marBottom w:val="0"/>
                                      <w:divBdr>
                                        <w:top w:val="none" w:sz="0" w:space="0" w:color="auto"/>
                                        <w:left w:val="none" w:sz="0" w:space="0" w:color="auto"/>
                                        <w:bottom w:val="none" w:sz="0" w:space="0" w:color="auto"/>
                                        <w:right w:val="none" w:sz="0" w:space="0" w:color="auto"/>
                                      </w:divBdr>
                                    </w:div>
                                    <w:div w:id="1019548136">
                                      <w:marLeft w:val="0"/>
                                      <w:marRight w:val="0"/>
                                      <w:marTop w:val="0"/>
                                      <w:marBottom w:val="0"/>
                                      <w:divBdr>
                                        <w:top w:val="none" w:sz="0" w:space="0" w:color="auto"/>
                                        <w:left w:val="none" w:sz="0" w:space="0" w:color="auto"/>
                                        <w:bottom w:val="none" w:sz="0" w:space="0" w:color="auto"/>
                                        <w:right w:val="none" w:sz="0" w:space="0" w:color="auto"/>
                                      </w:divBdr>
                                    </w:div>
                                    <w:div w:id="1025444087">
                                      <w:marLeft w:val="0"/>
                                      <w:marRight w:val="0"/>
                                      <w:marTop w:val="0"/>
                                      <w:marBottom w:val="0"/>
                                      <w:divBdr>
                                        <w:top w:val="none" w:sz="0" w:space="0" w:color="auto"/>
                                        <w:left w:val="none" w:sz="0" w:space="0" w:color="auto"/>
                                        <w:bottom w:val="none" w:sz="0" w:space="0" w:color="auto"/>
                                        <w:right w:val="none" w:sz="0" w:space="0" w:color="auto"/>
                                      </w:divBdr>
                                    </w:div>
                                    <w:div w:id="1028524239">
                                      <w:marLeft w:val="0"/>
                                      <w:marRight w:val="0"/>
                                      <w:marTop w:val="0"/>
                                      <w:marBottom w:val="0"/>
                                      <w:divBdr>
                                        <w:top w:val="none" w:sz="0" w:space="0" w:color="auto"/>
                                        <w:left w:val="none" w:sz="0" w:space="0" w:color="auto"/>
                                        <w:bottom w:val="none" w:sz="0" w:space="0" w:color="auto"/>
                                        <w:right w:val="none" w:sz="0" w:space="0" w:color="auto"/>
                                      </w:divBdr>
                                    </w:div>
                                    <w:div w:id="1031147657">
                                      <w:marLeft w:val="0"/>
                                      <w:marRight w:val="0"/>
                                      <w:marTop w:val="0"/>
                                      <w:marBottom w:val="0"/>
                                      <w:divBdr>
                                        <w:top w:val="none" w:sz="0" w:space="0" w:color="auto"/>
                                        <w:left w:val="none" w:sz="0" w:space="0" w:color="auto"/>
                                        <w:bottom w:val="none" w:sz="0" w:space="0" w:color="auto"/>
                                        <w:right w:val="none" w:sz="0" w:space="0" w:color="auto"/>
                                      </w:divBdr>
                                    </w:div>
                                    <w:div w:id="1035159119">
                                      <w:marLeft w:val="0"/>
                                      <w:marRight w:val="0"/>
                                      <w:marTop w:val="0"/>
                                      <w:marBottom w:val="0"/>
                                      <w:divBdr>
                                        <w:top w:val="none" w:sz="0" w:space="0" w:color="auto"/>
                                        <w:left w:val="none" w:sz="0" w:space="0" w:color="auto"/>
                                        <w:bottom w:val="none" w:sz="0" w:space="0" w:color="auto"/>
                                        <w:right w:val="none" w:sz="0" w:space="0" w:color="auto"/>
                                      </w:divBdr>
                                    </w:div>
                                    <w:div w:id="1036346333">
                                      <w:marLeft w:val="0"/>
                                      <w:marRight w:val="0"/>
                                      <w:marTop w:val="0"/>
                                      <w:marBottom w:val="0"/>
                                      <w:divBdr>
                                        <w:top w:val="none" w:sz="0" w:space="0" w:color="auto"/>
                                        <w:left w:val="none" w:sz="0" w:space="0" w:color="auto"/>
                                        <w:bottom w:val="none" w:sz="0" w:space="0" w:color="auto"/>
                                        <w:right w:val="none" w:sz="0" w:space="0" w:color="auto"/>
                                      </w:divBdr>
                                    </w:div>
                                    <w:div w:id="1040938927">
                                      <w:marLeft w:val="0"/>
                                      <w:marRight w:val="0"/>
                                      <w:marTop w:val="0"/>
                                      <w:marBottom w:val="0"/>
                                      <w:divBdr>
                                        <w:top w:val="none" w:sz="0" w:space="0" w:color="auto"/>
                                        <w:left w:val="none" w:sz="0" w:space="0" w:color="auto"/>
                                        <w:bottom w:val="none" w:sz="0" w:space="0" w:color="auto"/>
                                        <w:right w:val="none" w:sz="0" w:space="0" w:color="auto"/>
                                      </w:divBdr>
                                    </w:div>
                                    <w:div w:id="1070470653">
                                      <w:marLeft w:val="1700"/>
                                      <w:marRight w:val="0"/>
                                      <w:marTop w:val="0"/>
                                      <w:marBottom w:val="0"/>
                                      <w:divBdr>
                                        <w:top w:val="none" w:sz="0" w:space="0" w:color="auto"/>
                                        <w:left w:val="none" w:sz="0" w:space="0" w:color="auto"/>
                                        <w:bottom w:val="none" w:sz="0" w:space="0" w:color="auto"/>
                                        <w:right w:val="none" w:sz="0" w:space="0" w:color="auto"/>
                                      </w:divBdr>
                                    </w:div>
                                    <w:div w:id="1072894692">
                                      <w:marLeft w:val="0"/>
                                      <w:marRight w:val="0"/>
                                      <w:marTop w:val="0"/>
                                      <w:marBottom w:val="0"/>
                                      <w:divBdr>
                                        <w:top w:val="none" w:sz="0" w:space="0" w:color="auto"/>
                                        <w:left w:val="none" w:sz="0" w:space="0" w:color="auto"/>
                                        <w:bottom w:val="none" w:sz="0" w:space="0" w:color="auto"/>
                                        <w:right w:val="none" w:sz="0" w:space="0" w:color="auto"/>
                                      </w:divBdr>
                                    </w:div>
                                    <w:div w:id="1081414221">
                                      <w:marLeft w:val="0"/>
                                      <w:marRight w:val="0"/>
                                      <w:marTop w:val="0"/>
                                      <w:marBottom w:val="0"/>
                                      <w:divBdr>
                                        <w:top w:val="none" w:sz="0" w:space="0" w:color="auto"/>
                                        <w:left w:val="none" w:sz="0" w:space="0" w:color="auto"/>
                                        <w:bottom w:val="none" w:sz="0" w:space="0" w:color="auto"/>
                                        <w:right w:val="none" w:sz="0" w:space="0" w:color="auto"/>
                                      </w:divBdr>
                                    </w:div>
                                    <w:div w:id="1086458262">
                                      <w:marLeft w:val="0"/>
                                      <w:marRight w:val="0"/>
                                      <w:marTop w:val="0"/>
                                      <w:marBottom w:val="0"/>
                                      <w:divBdr>
                                        <w:top w:val="none" w:sz="0" w:space="0" w:color="auto"/>
                                        <w:left w:val="none" w:sz="0" w:space="0" w:color="auto"/>
                                        <w:bottom w:val="none" w:sz="0" w:space="0" w:color="auto"/>
                                        <w:right w:val="none" w:sz="0" w:space="0" w:color="auto"/>
                                      </w:divBdr>
                                    </w:div>
                                    <w:div w:id="1101493191">
                                      <w:marLeft w:val="0"/>
                                      <w:marRight w:val="0"/>
                                      <w:marTop w:val="0"/>
                                      <w:marBottom w:val="0"/>
                                      <w:divBdr>
                                        <w:top w:val="none" w:sz="0" w:space="0" w:color="auto"/>
                                        <w:left w:val="none" w:sz="0" w:space="0" w:color="auto"/>
                                        <w:bottom w:val="none" w:sz="0" w:space="0" w:color="auto"/>
                                        <w:right w:val="none" w:sz="0" w:space="0" w:color="auto"/>
                                      </w:divBdr>
                                    </w:div>
                                    <w:div w:id="1110973728">
                                      <w:marLeft w:val="0"/>
                                      <w:marRight w:val="0"/>
                                      <w:marTop w:val="0"/>
                                      <w:marBottom w:val="0"/>
                                      <w:divBdr>
                                        <w:top w:val="none" w:sz="0" w:space="0" w:color="auto"/>
                                        <w:left w:val="none" w:sz="0" w:space="0" w:color="auto"/>
                                        <w:bottom w:val="none" w:sz="0" w:space="0" w:color="auto"/>
                                        <w:right w:val="none" w:sz="0" w:space="0" w:color="auto"/>
                                      </w:divBdr>
                                    </w:div>
                                    <w:div w:id="1110974502">
                                      <w:marLeft w:val="0"/>
                                      <w:marRight w:val="0"/>
                                      <w:marTop w:val="0"/>
                                      <w:marBottom w:val="0"/>
                                      <w:divBdr>
                                        <w:top w:val="none" w:sz="0" w:space="0" w:color="auto"/>
                                        <w:left w:val="none" w:sz="0" w:space="0" w:color="auto"/>
                                        <w:bottom w:val="none" w:sz="0" w:space="0" w:color="auto"/>
                                        <w:right w:val="none" w:sz="0" w:space="0" w:color="auto"/>
                                      </w:divBdr>
                                    </w:div>
                                    <w:div w:id="1114710531">
                                      <w:marLeft w:val="0"/>
                                      <w:marRight w:val="0"/>
                                      <w:marTop w:val="0"/>
                                      <w:marBottom w:val="0"/>
                                      <w:divBdr>
                                        <w:top w:val="none" w:sz="0" w:space="0" w:color="auto"/>
                                        <w:left w:val="none" w:sz="0" w:space="0" w:color="auto"/>
                                        <w:bottom w:val="none" w:sz="0" w:space="0" w:color="auto"/>
                                        <w:right w:val="none" w:sz="0" w:space="0" w:color="auto"/>
                                      </w:divBdr>
                                    </w:div>
                                    <w:div w:id="1128819268">
                                      <w:marLeft w:val="1700"/>
                                      <w:marRight w:val="0"/>
                                      <w:marTop w:val="0"/>
                                      <w:marBottom w:val="0"/>
                                      <w:divBdr>
                                        <w:top w:val="none" w:sz="0" w:space="0" w:color="auto"/>
                                        <w:left w:val="none" w:sz="0" w:space="0" w:color="auto"/>
                                        <w:bottom w:val="none" w:sz="0" w:space="0" w:color="auto"/>
                                        <w:right w:val="none" w:sz="0" w:space="0" w:color="auto"/>
                                      </w:divBdr>
                                    </w:div>
                                    <w:div w:id="1135686324">
                                      <w:marLeft w:val="1700"/>
                                      <w:marRight w:val="0"/>
                                      <w:marTop w:val="0"/>
                                      <w:marBottom w:val="0"/>
                                      <w:divBdr>
                                        <w:top w:val="none" w:sz="0" w:space="0" w:color="auto"/>
                                        <w:left w:val="none" w:sz="0" w:space="0" w:color="auto"/>
                                        <w:bottom w:val="none" w:sz="0" w:space="0" w:color="auto"/>
                                        <w:right w:val="none" w:sz="0" w:space="0" w:color="auto"/>
                                      </w:divBdr>
                                    </w:div>
                                    <w:div w:id="1135951929">
                                      <w:marLeft w:val="1700"/>
                                      <w:marRight w:val="0"/>
                                      <w:marTop w:val="0"/>
                                      <w:marBottom w:val="0"/>
                                      <w:divBdr>
                                        <w:top w:val="none" w:sz="0" w:space="0" w:color="auto"/>
                                        <w:left w:val="none" w:sz="0" w:space="0" w:color="auto"/>
                                        <w:bottom w:val="none" w:sz="0" w:space="0" w:color="auto"/>
                                        <w:right w:val="none" w:sz="0" w:space="0" w:color="auto"/>
                                      </w:divBdr>
                                    </w:div>
                                    <w:div w:id="1147354245">
                                      <w:marLeft w:val="0"/>
                                      <w:marRight w:val="0"/>
                                      <w:marTop w:val="0"/>
                                      <w:marBottom w:val="0"/>
                                      <w:divBdr>
                                        <w:top w:val="none" w:sz="0" w:space="0" w:color="auto"/>
                                        <w:left w:val="none" w:sz="0" w:space="0" w:color="auto"/>
                                        <w:bottom w:val="none" w:sz="0" w:space="0" w:color="auto"/>
                                        <w:right w:val="none" w:sz="0" w:space="0" w:color="auto"/>
                                      </w:divBdr>
                                    </w:div>
                                    <w:div w:id="1162813588">
                                      <w:marLeft w:val="0"/>
                                      <w:marRight w:val="0"/>
                                      <w:marTop w:val="0"/>
                                      <w:marBottom w:val="0"/>
                                      <w:divBdr>
                                        <w:top w:val="none" w:sz="0" w:space="0" w:color="auto"/>
                                        <w:left w:val="none" w:sz="0" w:space="0" w:color="auto"/>
                                        <w:bottom w:val="none" w:sz="0" w:space="0" w:color="auto"/>
                                        <w:right w:val="none" w:sz="0" w:space="0" w:color="auto"/>
                                      </w:divBdr>
                                    </w:div>
                                    <w:div w:id="1175002074">
                                      <w:marLeft w:val="0"/>
                                      <w:marRight w:val="0"/>
                                      <w:marTop w:val="0"/>
                                      <w:marBottom w:val="0"/>
                                      <w:divBdr>
                                        <w:top w:val="none" w:sz="0" w:space="0" w:color="auto"/>
                                        <w:left w:val="none" w:sz="0" w:space="0" w:color="auto"/>
                                        <w:bottom w:val="none" w:sz="0" w:space="0" w:color="auto"/>
                                        <w:right w:val="none" w:sz="0" w:space="0" w:color="auto"/>
                                      </w:divBdr>
                                    </w:div>
                                    <w:div w:id="1178696353">
                                      <w:marLeft w:val="0"/>
                                      <w:marRight w:val="0"/>
                                      <w:marTop w:val="0"/>
                                      <w:marBottom w:val="0"/>
                                      <w:divBdr>
                                        <w:top w:val="none" w:sz="0" w:space="0" w:color="auto"/>
                                        <w:left w:val="none" w:sz="0" w:space="0" w:color="auto"/>
                                        <w:bottom w:val="none" w:sz="0" w:space="0" w:color="auto"/>
                                        <w:right w:val="none" w:sz="0" w:space="0" w:color="auto"/>
                                      </w:divBdr>
                                    </w:div>
                                    <w:div w:id="1180126364">
                                      <w:marLeft w:val="1700"/>
                                      <w:marRight w:val="0"/>
                                      <w:marTop w:val="0"/>
                                      <w:marBottom w:val="0"/>
                                      <w:divBdr>
                                        <w:top w:val="none" w:sz="0" w:space="0" w:color="auto"/>
                                        <w:left w:val="none" w:sz="0" w:space="0" w:color="auto"/>
                                        <w:bottom w:val="none" w:sz="0" w:space="0" w:color="auto"/>
                                        <w:right w:val="none" w:sz="0" w:space="0" w:color="auto"/>
                                      </w:divBdr>
                                    </w:div>
                                    <w:div w:id="1186333924">
                                      <w:marLeft w:val="0"/>
                                      <w:marRight w:val="0"/>
                                      <w:marTop w:val="0"/>
                                      <w:marBottom w:val="0"/>
                                      <w:divBdr>
                                        <w:top w:val="none" w:sz="0" w:space="0" w:color="auto"/>
                                        <w:left w:val="none" w:sz="0" w:space="0" w:color="auto"/>
                                        <w:bottom w:val="none" w:sz="0" w:space="0" w:color="auto"/>
                                        <w:right w:val="none" w:sz="0" w:space="0" w:color="auto"/>
                                      </w:divBdr>
                                    </w:div>
                                    <w:div w:id="1189484084">
                                      <w:marLeft w:val="0"/>
                                      <w:marRight w:val="0"/>
                                      <w:marTop w:val="0"/>
                                      <w:marBottom w:val="0"/>
                                      <w:divBdr>
                                        <w:top w:val="none" w:sz="0" w:space="0" w:color="auto"/>
                                        <w:left w:val="none" w:sz="0" w:space="0" w:color="auto"/>
                                        <w:bottom w:val="none" w:sz="0" w:space="0" w:color="auto"/>
                                        <w:right w:val="none" w:sz="0" w:space="0" w:color="auto"/>
                                      </w:divBdr>
                                    </w:div>
                                    <w:div w:id="1197698513">
                                      <w:marLeft w:val="1700"/>
                                      <w:marRight w:val="0"/>
                                      <w:marTop w:val="0"/>
                                      <w:marBottom w:val="0"/>
                                      <w:divBdr>
                                        <w:top w:val="none" w:sz="0" w:space="0" w:color="auto"/>
                                        <w:left w:val="none" w:sz="0" w:space="0" w:color="auto"/>
                                        <w:bottom w:val="none" w:sz="0" w:space="0" w:color="auto"/>
                                        <w:right w:val="none" w:sz="0" w:space="0" w:color="auto"/>
                                      </w:divBdr>
                                    </w:div>
                                    <w:div w:id="1211068478">
                                      <w:marLeft w:val="0"/>
                                      <w:marRight w:val="0"/>
                                      <w:marTop w:val="0"/>
                                      <w:marBottom w:val="0"/>
                                      <w:divBdr>
                                        <w:top w:val="none" w:sz="0" w:space="0" w:color="auto"/>
                                        <w:left w:val="none" w:sz="0" w:space="0" w:color="auto"/>
                                        <w:bottom w:val="none" w:sz="0" w:space="0" w:color="auto"/>
                                        <w:right w:val="none" w:sz="0" w:space="0" w:color="auto"/>
                                      </w:divBdr>
                                    </w:div>
                                    <w:div w:id="1221087920">
                                      <w:marLeft w:val="0"/>
                                      <w:marRight w:val="0"/>
                                      <w:marTop w:val="0"/>
                                      <w:marBottom w:val="0"/>
                                      <w:divBdr>
                                        <w:top w:val="none" w:sz="0" w:space="0" w:color="auto"/>
                                        <w:left w:val="none" w:sz="0" w:space="0" w:color="auto"/>
                                        <w:bottom w:val="none" w:sz="0" w:space="0" w:color="auto"/>
                                        <w:right w:val="none" w:sz="0" w:space="0" w:color="auto"/>
                                      </w:divBdr>
                                    </w:div>
                                    <w:div w:id="1234198066">
                                      <w:marLeft w:val="0"/>
                                      <w:marRight w:val="0"/>
                                      <w:marTop w:val="0"/>
                                      <w:marBottom w:val="0"/>
                                      <w:divBdr>
                                        <w:top w:val="none" w:sz="0" w:space="0" w:color="auto"/>
                                        <w:left w:val="none" w:sz="0" w:space="0" w:color="auto"/>
                                        <w:bottom w:val="none" w:sz="0" w:space="0" w:color="auto"/>
                                        <w:right w:val="none" w:sz="0" w:space="0" w:color="auto"/>
                                      </w:divBdr>
                                    </w:div>
                                    <w:div w:id="1238981665">
                                      <w:marLeft w:val="0"/>
                                      <w:marRight w:val="0"/>
                                      <w:marTop w:val="0"/>
                                      <w:marBottom w:val="0"/>
                                      <w:divBdr>
                                        <w:top w:val="none" w:sz="0" w:space="0" w:color="auto"/>
                                        <w:left w:val="none" w:sz="0" w:space="0" w:color="auto"/>
                                        <w:bottom w:val="none" w:sz="0" w:space="0" w:color="auto"/>
                                        <w:right w:val="none" w:sz="0" w:space="0" w:color="auto"/>
                                      </w:divBdr>
                                    </w:div>
                                    <w:div w:id="1240750036">
                                      <w:marLeft w:val="0"/>
                                      <w:marRight w:val="0"/>
                                      <w:marTop w:val="0"/>
                                      <w:marBottom w:val="0"/>
                                      <w:divBdr>
                                        <w:top w:val="none" w:sz="0" w:space="0" w:color="auto"/>
                                        <w:left w:val="none" w:sz="0" w:space="0" w:color="auto"/>
                                        <w:bottom w:val="none" w:sz="0" w:space="0" w:color="auto"/>
                                        <w:right w:val="none" w:sz="0" w:space="0" w:color="auto"/>
                                      </w:divBdr>
                                    </w:div>
                                    <w:div w:id="1244491401">
                                      <w:marLeft w:val="0"/>
                                      <w:marRight w:val="0"/>
                                      <w:marTop w:val="0"/>
                                      <w:marBottom w:val="0"/>
                                      <w:divBdr>
                                        <w:top w:val="none" w:sz="0" w:space="0" w:color="auto"/>
                                        <w:left w:val="none" w:sz="0" w:space="0" w:color="auto"/>
                                        <w:bottom w:val="none" w:sz="0" w:space="0" w:color="auto"/>
                                        <w:right w:val="none" w:sz="0" w:space="0" w:color="auto"/>
                                      </w:divBdr>
                                    </w:div>
                                    <w:div w:id="1246963412">
                                      <w:marLeft w:val="1700"/>
                                      <w:marRight w:val="0"/>
                                      <w:marTop w:val="0"/>
                                      <w:marBottom w:val="0"/>
                                      <w:divBdr>
                                        <w:top w:val="none" w:sz="0" w:space="0" w:color="auto"/>
                                        <w:left w:val="none" w:sz="0" w:space="0" w:color="auto"/>
                                        <w:bottom w:val="none" w:sz="0" w:space="0" w:color="auto"/>
                                        <w:right w:val="none" w:sz="0" w:space="0" w:color="auto"/>
                                      </w:divBdr>
                                    </w:div>
                                    <w:div w:id="1260720295">
                                      <w:marLeft w:val="1700"/>
                                      <w:marRight w:val="0"/>
                                      <w:marTop w:val="0"/>
                                      <w:marBottom w:val="0"/>
                                      <w:divBdr>
                                        <w:top w:val="none" w:sz="0" w:space="0" w:color="auto"/>
                                        <w:left w:val="none" w:sz="0" w:space="0" w:color="auto"/>
                                        <w:bottom w:val="none" w:sz="0" w:space="0" w:color="auto"/>
                                        <w:right w:val="none" w:sz="0" w:space="0" w:color="auto"/>
                                      </w:divBdr>
                                    </w:div>
                                    <w:div w:id="1268385700">
                                      <w:marLeft w:val="0"/>
                                      <w:marRight w:val="0"/>
                                      <w:marTop w:val="0"/>
                                      <w:marBottom w:val="0"/>
                                      <w:divBdr>
                                        <w:top w:val="none" w:sz="0" w:space="0" w:color="auto"/>
                                        <w:left w:val="none" w:sz="0" w:space="0" w:color="auto"/>
                                        <w:bottom w:val="none" w:sz="0" w:space="0" w:color="auto"/>
                                        <w:right w:val="none" w:sz="0" w:space="0" w:color="auto"/>
                                      </w:divBdr>
                                    </w:div>
                                    <w:div w:id="1268582777">
                                      <w:marLeft w:val="0"/>
                                      <w:marRight w:val="0"/>
                                      <w:marTop w:val="0"/>
                                      <w:marBottom w:val="0"/>
                                      <w:divBdr>
                                        <w:top w:val="none" w:sz="0" w:space="0" w:color="auto"/>
                                        <w:left w:val="none" w:sz="0" w:space="0" w:color="auto"/>
                                        <w:bottom w:val="none" w:sz="0" w:space="0" w:color="auto"/>
                                        <w:right w:val="none" w:sz="0" w:space="0" w:color="auto"/>
                                      </w:divBdr>
                                    </w:div>
                                    <w:div w:id="1272277911">
                                      <w:marLeft w:val="0"/>
                                      <w:marRight w:val="0"/>
                                      <w:marTop w:val="0"/>
                                      <w:marBottom w:val="0"/>
                                      <w:divBdr>
                                        <w:top w:val="none" w:sz="0" w:space="0" w:color="auto"/>
                                        <w:left w:val="none" w:sz="0" w:space="0" w:color="auto"/>
                                        <w:bottom w:val="none" w:sz="0" w:space="0" w:color="auto"/>
                                        <w:right w:val="none" w:sz="0" w:space="0" w:color="auto"/>
                                      </w:divBdr>
                                    </w:div>
                                    <w:div w:id="1305815701">
                                      <w:marLeft w:val="0"/>
                                      <w:marRight w:val="0"/>
                                      <w:marTop w:val="0"/>
                                      <w:marBottom w:val="0"/>
                                      <w:divBdr>
                                        <w:top w:val="none" w:sz="0" w:space="0" w:color="auto"/>
                                        <w:left w:val="none" w:sz="0" w:space="0" w:color="auto"/>
                                        <w:bottom w:val="none" w:sz="0" w:space="0" w:color="auto"/>
                                        <w:right w:val="none" w:sz="0" w:space="0" w:color="auto"/>
                                      </w:divBdr>
                                    </w:div>
                                    <w:div w:id="1306661339">
                                      <w:marLeft w:val="0"/>
                                      <w:marRight w:val="0"/>
                                      <w:marTop w:val="0"/>
                                      <w:marBottom w:val="0"/>
                                      <w:divBdr>
                                        <w:top w:val="none" w:sz="0" w:space="0" w:color="auto"/>
                                        <w:left w:val="none" w:sz="0" w:space="0" w:color="auto"/>
                                        <w:bottom w:val="none" w:sz="0" w:space="0" w:color="auto"/>
                                        <w:right w:val="none" w:sz="0" w:space="0" w:color="auto"/>
                                      </w:divBdr>
                                    </w:div>
                                    <w:div w:id="1313680127">
                                      <w:marLeft w:val="0"/>
                                      <w:marRight w:val="0"/>
                                      <w:marTop w:val="0"/>
                                      <w:marBottom w:val="0"/>
                                      <w:divBdr>
                                        <w:top w:val="none" w:sz="0" w:space="0" w:color="auto"/>
                                        <w:left w:val="none" w:sz="0" w:space="0" w:color="auto"/>
                                        <w:bottom w:val="none" w:sz="0" w:space="0" w:color="auto"/>
                                        <w:right w:val="none" w:sz="0" w:space="0" w:color="auto"/>
                                      </w:divBdr>
                                    </w:div>
                                    <w:div w:id="1315571496">
                                      <w:marLeft w:val="0"/>
                                      <w:marRight w:val="0"/>
                                      <w:marTop w:val="0"/>
                                      <w:marBottom w:val="0"/>
                                      <w:divBdr>
                                        <w:top w:val="none" w:sz="0" w:space="0" w:color="auto"/>
                                        <w:left w:val="none" w:sz="0" w:space="0" w:color="auto"/>
                                        <w:bottom w:val="none" w:sz="0" w:space="0" w:color="auto"/>
                                        <w:right w:val="none" w:sz="0" w:space="0" w:color="auto"/>
                                      </w:divBdr>
                                    </w:div>
                                    <w:div w:id="1333950650">
                                      <w:marLeft w:val="0"/>
                                      <w:marRight w:val="0"/>
                                      <w:marTop w:val="0"/>
                                      <w:marBottom w:val="0"/>
                                      <w:divBdr>
                                        <w:top w:val="none" w:sz="0" w:space="0" w:color="auto"/>
                                        <w:left w:val="none" w:sz="0" w:space="0" w:color="auto"/>
                                        <w:bottom w:val="none" w:sz="0" w:space="0" w:color="auto"/>
                                        <w:right w:val="none" w:sz="0" w:space="0" w:color="auto"/>
                                      </w:divBdr>
                                    </w:div>
                                    <w:div w:id="1344162667">
                                      <w:marLeft w:val="0"/>
                                      <w:marRight w:val="0"/>
                                      <w:marTop w:val="0"/>
                                      <w:marBottom w:val="0"/>
                                      <w:divBdr>
                                        <w:top w:val="none" w:sz="0" w:space="0" w:color="auto"/>
                                        <w:left w:val="none" w:sz="0" w:space="0" w:color="auto"/>
                                        <w:bottom w:val="none" w:sz="0" w:space="0" w:color="auto"/>
                                        <w:right w:val="none" w:sz="0" w:space="0" w:color="auto"/>
                                      </w:divBdr>
                                    </w:div>
                                    <w:div w:id="1357656489">
                                      <w:marLeft w:val="1700"/>
                                      <w:marRight w:val="0"/>
                                      <w:marTop w:val="0"/>
                                      <w:marBottom w:val="0"/>
                                      <w:divBdr>
                                        <w:top w:val="none" w:sz="0" w:space="0" w:color="auto"/>
                                        <w:left w:val="none" w:sz="0" w:space="0" w:color="auto"/>
                                        <w:bottom w:val="none" w:sz="0" w:space="0" w:color="auto"/>
                                        <w:right w:val="none" w:sz="0" w:space="0" w:color="auto"/>
                                      </w:divBdr>
                                    </w:div>
                                    <w:div w:id="1360819845">
                                      <w:marLeft w:val="0"/>
                                      <w:marRight w:val="0"/>
                                      <w:marTop w:val="0"/>
                                      <w:marBottom w:val="0"/>
                                      <w:divBdr>
                                        <w:top w:val="none" w:sz="0" w:space="0" w:color="auto"/>
                                        <w:left w:val="none" w:sz="0" w:space="0" w:color="auto"/>
                                        <w:bottom w:val="none" w:sz="0" w:space="0" w:color="auto"/>
                                        <w:right w:val="none" w:sz="0" w:space="0" w:color="auto"/>
                                      </w:divBdr>
                                    </w:div>
                                    <w:div w:id="1363165176">
                                      <w:marLeft w:val="0"/>
                                      <w:marRight w:val="0"/>
                                      <w:marTop w:val="0"/>
                                      <w:marBottom w:val="0"/>
                                      <w:divBdr>
                                        <w:top w:val="none" w:sz="0" w:space="0" w:color="auto"/>
                                        <w:left w:val="none" w:sz="0" w:space="0" w:color="auto"/>
                                        <w:bottom w:val="none" w:sz="0" w:space="0" w:color="auto"/>
                                        <w:right w:val="none" w:sz="0" w:space="0" w:color="auto"/>
                                      </w:divBdr>
                                    </w:div>
                                    <w:div w:id="1363822303">
                                      <w:marLeft w:val="0"/>
                                      <w:marRight w:val="0"/>
                                      <w:marTop w:val="0"/>
                                      <w:marBottom w:val="0"/>
                                      <w:divBdr>
                                        <w:top w:val="none" w:sz="0" w:space="0" w:color="auto"/>
                                        <w:left w:val="none" w:sz="0" w:space="0" w:color="auto"/>
                                        <w:bottom w:val="none" w:sz="0" w:space="0" w:color="auto"/>
                                        <w:right w:val="none" w:sz="0" w:space="0" w:color="auto"/>
                                      </w:divBdr>
                                    </w:div>
                                    <w:div w:id="1377201220">
                                      <w:marLeft w:val="0"/>
                                      <w:marRight w:val="0"/>
                                      <w:marTop w:val="0"/>
                                      <w:marBottom w:val="0"/>
                                      <w:divBdr>
                                        <w:top w:val="none" w:sz="0" w:space="0" w:color="auto"/>
                                        <w:left w:val="none" w:sz="0" w:space="0" w:color="auto"/>
                                        <w:bottom w:val="none" w:sz="0" w:space="0" w:color="auto"/>
                                        <w:right w:val="none" w:sz="0" w:space="0" w:color="auto"/>
                                      </w:divBdr>
                                    </w:div>
                                    <w:div w:id="1378971321">
                                      <w:marLeft w:val="0"/>
                                      <w:marRight w:val="0"/>
                                      <w:marTop w:val="0"/>
                                      <w:marBottom w:val="0"/>
                                      <w:divBdr>
                                        <w:top w:val="none" w:sz="0" w:space="0" w:color="auto"/>
                                        <w:left w:val="none" w:sz="0" w:space="0" w:color="auto"/>
                                        <w:bottom w:val="none" w:sz="0" w:space="0" w:color="auto"/>
                                        <w:right w:val="none" w:sz="0" w:space="0" w:color="auto"/>
                                      </w:divBdr>
                                    </w:div>
                                    <w:div w:id="1387728058">
                                      <w:marLeft w:val="0"/>
                                      <w:marRight w:val="0"/>
                                      <w:marTop w:val="0"/>
                                      <w:marBottom w:val="0"/>
                                      <w:divBdr>
                                        <w:top w:val="none" w:sz="0" w:space="0" w:color="auto"/>
                                        <w:left w:val="none" w:sz="0" w:space="0" w:color="auto"/>
                                        <w:bottom w:val="none" w:sz="0" w:space="0" w:color="auto"/>
                                        <w:right w:val="none" w:sz="0" w:space="0" w:color="auto"/>
                                      </w:divBdr>
                                    </w:div>
                                    <w:div w:id="1392340498">
                                      <w:marLeft w:val="0"/>
                                      <w:marRight w:val="0"/>
                                      <w:marTop w:val="0"/>
                                      <w:marBottom w:val="0"/>
                                      <w:divBdr>
                                        <w:top w:val="none" w:sz="0" w:space="0" w:color="auto"/>
                                        <w:left w:val="none" w:sz="0" w:space="0" w:color="auto"/>
                                        <w:bottom w:val="none" w:sz="0" w:space="0" w:color="auto"/>
                                        <w:right w:val="none" w:sz="0" w:space="0" w:color="auto"/>
                                      </w:divBdr>
                                    </w:div>
                                    <w:div w:id="1398895921">
                                      <w:marLeft w:val="0"/>
                                      <w:marRight w:val="0"/>
                                      <w:marTop w:val="0"/>
                                      <w:marBottom w:val="0"/>
                                      <w:divBdr>
                                        <w:top w:val="none" w:sz="0" w:space="0" w:color="auto"/>
                                        <w:left w:val="none" w:sz="0" w:space="0" w:color="auto"/>
                                        <w:bottom w:val="none" w:sz="0" w:space="0" w:color="auto"/>
                                        <w:right w:val="none" w:sz="0" w:space="0" w:color="auto"/>
                                      </w:divBdr>
                                    </w:div>
                                    <w:div w:id="1415666231">
                                      <w:marLeft w:val="0"/>
                                      <w:marRight w:val="0"/>
                                      <w:marTop w:val="0"/>
                                      <w:marBottom w:val="0"/>
                                      <w:divBdr>
                                        <w:top w:val="none" w:sz="0" w:space="0" w:color="auto"/>
                                        <w:left w:val="none" w:sz="0" w:space="0" w:color="auto"/>
                                        <w:bottom w:val="none" w:sz="0" w:space="0" w:color="auto"/>
                                        <w:right w:val="none" w:sz="0" w:space="0" w:color="auto"/>
                                      </w:divBdr>
                                    </w:div>
                                    <w:div w:id="1421828592">
                                      <w:marLeft w:val="0"/>
                                      <w:marRight w:val="0"/>
                                      <w:marTop w:val="0"/>
                                      <w:marBottom w:val="0"/>
                                      <w:divBdr>
                                        <w:top w:val="none" w:sz="0" w:space="0" w:color="auto"/>
                                        <w:left w:val="none" w:sz="0" w:space="0" w:color="auto"/>
                                        <w:bottom w:val="none" w:sz="0" w:space="0" w:color="auto"/>
                                        <w:right w:val="none" w:sz="0" w:space="0" w:color="auto"/>
                                      </w:divBdr>
                                    </w:div>
                                    <w:div w:id="1427119649">
                                      <w:marLeft w:val="1700"/>
                                      <w:marRight w:val="0"/>
                                      <w:marTop w:val="0"/>
                                      <w:marBottom w:val="0"/>
                                      <w:divBdr>
                                        <w:top w:val="none" w:sz="0" w:space="0" w:color="auto"/>
                                        <w:left w:val="none" w:sz="0" w:space="0" w:color="auto"/>
                                        <w:bottom w:val="none" w:sz="0" w:space="0" w:color="auto"/>
                                        <w:right w:val="none" w:sz="0" w:space="0" w:color="auto"/>
                                      </w:divBdr>
                                    </w:div>
                                    <w:div w:id="1427768111">
                                      <w:marLeft w:val="0"/>
                                      <w:marRight w:val="0"/>
                                      <w:marTop w:val="0"/>
                                      <w:marBottom w:val="0"/>
                                      <w:divBdr>
                                        <w:top w:val="none" w:sz="0" w:space="0" w:color="auto"/>
                                        <w:left w:val="none" w:sz="0" w:space="0" w:color="auto"/>
                                        <w:bottom w:val="none" w:sz="0" w:space="0" w:color="auto"/>
                                        <w:right w:val="none" w:sz="0" w:space="0" w:color="auto"/>
                                      </w:divBdr>
                                    </w:div>
                                    <w:div w:id="1439906736">
                                      <w:marLeft w:val="0"/>
                                      <w:marRight w:val="0"/>
                                      <w:marTop w:val="0"/>
                                      <w:marBottom w:val="0"/>
                                      <w:divBdr>
                                        <w:top w:val="none" w:sz="0" w:space="0" w:color="auto"/>
                                        <w:left w:val="none" w:sz="0" w:space="0" w:color="auto"/>
                                        <w:bottom w:val="none" w:sz="0" w:space="0" w:color="auto"/>
                                        <w:right w:val="none" w:sz="0" w:space="0" w:color="auto"/>
                                      </w:divBdr>
                                    </w:div>
                                    <w:div w:id="1444114885">
                                      <w:marLeft w:val="0"/>
                                      <w:marRight w:val="0"/>
                                      <w:marTop w:val="0"/>
                                      <w:marBottom w:val="0"/>
                                      <w:divBdr>
                                        <w:top w:val="none" w:sz="0" w:space="0" w:color="auto"/>
                                        <w:left w:val="none" w:sz="0" w:space="0" w:color="auto"/>
                                        <w:bottom w:val="none" w:sz="0" w:space="0" w:color="auto"/>
                                        <w:right w:val="none" w:sz="0" w:space="0" w:color="auto"/>
                                      </w:divBdr>
                                    </w:div>
                                    <w:div w:id="1450054388">
                                      <w:marLeft w:val="0"/>
                                      <w:marRight w:val="0"/>
                                      <w:marTop w:val="0"/>
                                      <w:marBottom w:val="0"/>
                                      <w:divBdr>
                                        <w:top w:val="none" w:sz="0" w:space="0" w:color="auto"/>
                                        <w:left w:val="none" w:sz="0" w:space="0" w:color="auto"/>
                                        <w:bottom w:val="none" w:sz="0" w:space="0" w:color="auto"/>
                                        <w:right w:val="none" w:sz="0" w:space="0" w:color="auto"/>
                                      </w:divBdr>
                                    </w:div>
                                    <w:div w:id="1470826707">
                                      <w:marLeft w:val="0"/>
                                      <w:marRight w:val="0"/>
                                      <w:marTop w:val="0"/>
                                      <w:marBottom w:val="0"/>
                                      <w:divBdr>
                                        <w:top w:val="none" w:sz="0" w:space="0" w:color="auto"/>
                                        <w:left w:val="none" w:sz="0" w:space="0" w:color="auto"/>
                                        <w:bottom w:val="none" w:sz="0" w:space="0" w:color="auto"/>
                                        <w:right w:val="none" w:sz="0" w:space="0" w:color="auto"/>
                                      </w:divBdr>
                                    </w:div>
                                    <w:div w:id="1476146535">
                                      <w:marLeft w:val="1700"/>
                                      <w:marRight w:val="0"/>
                                      <w:marTop w:val="0"/>
                                      <w:marBottom w:val="0"/>
                                      <w:divBdr>
                                        <w:top w:val="none" w:sz="0" w:space="0" w:color="auto"/>
                                        <w:left w:val="none" w:sz="0" w:space="0" w:color="auto"/>
                                        <w:bottom w:val="none" w:sz="0" w:space="0" w:color="auto"/>
                                        <w:right w:val="none" w:sz="0" w:space="0" w:color="auto"/>
                                      </w:divBdr>
                                    </w:div>
                                    <w:div w:id="1478186551">
                                      <w:marLeft w:val="1700"/>
                                      <w:marRight w:val="0"/>
                                      <w:marTop w:val="0"/>
                                      <w:marBottom w:val="0"/>
                                      <w:divBdr>
                                        <w:top w:val="none" w:sz="0" w:space="0" w:color="auto"/>
                                        <w:left w:val="none" w:sz="0" w:space="0" w:color="auto"/>
                                        <w:bottom w:val="none" w:sz="0" w:space="0" w:color="auto"/>
                                        <w:right w:val="none" w:sz="0" w:space="0" w:color="auto"/>
                                      </w:divBdr>
                                    </w:div>
                                    <w:div w:id="1479304547">
                                      <w:marLeft w:val="0"/>
                                      <w:marRight w:val="0"/>
                                      <w:marTop w:val="0"/>
                                      <w:marBottom w:val="0"/>
                                      <w:divBdr>
                                        <w:top w:val="none" w:sz="0" w:space="0" w:color="auto"/>
                                        <w:left w:val="none" w:sz="0" w:space="0" w:color="auto"/>
                                        <w:bottom w:val="none" w:sz="0" w:space="0" w:color="auto"/>
                                        <w:right w:val="none" w:sz="0" w:space="0" w:color="auto"/>
                                      </w:divBdr>
                                    </w:div>
                                    <w:div w:id="1479688392">
                                      <w:marLeft w:val="0"/>
                                      <w:marRight w:val="0"/>
                                      <w:marTop w:val="0"/>
                                      <w:marBottom w:val="0"/>
                                      <w:divBdr>
                                        <w:top w:val="none" w:sz="0" w:space="0" w:color="auto"/>
                                        <w:left w:val="none" w:sz="0" w:space="0" w:color="auto"/>
                                        <w:bottom w:val="none" w:sz="0" w:space="0" w:color="auto"/>
                                        <w:right w:val="none" w:sz="0" w:space="0" w:color="auto"/>
                                      </w:divBdr>
                                    </w:div>
                                    <w:div w:id="1480921035">
                                      <w:marLeft w:val="1700"/>
                                      <w:marRight w:val="0"/>
                                      <w:marTop w:val="0"/>
                                      <w:marBottom w:val="0"/>
                                      <w:divBdr>
                                        <w:top w:val="none" w:sz="0" w:space="0" w:color="auto"/>
                                        <w:left w:val="none" w:sz="0" w:space="0" w:color="auto"/>
                                        <w:bottom w:val="none" w:sz="0" w:space="0" w:color="auto"/>
                                        <w:right w:val="none" w:sz="0" w:space="0" w:color="auto"/>
                                      </w:divBdr>
                                    </w:div>
                                    <w:div w:id="1512642361">
                                      <w:marLeft w:val="0"/>
                                      <w:marRight w:val="0"/>
                                      <w:marTop w:val="0"/>
                                      <w:marBottom w:val="0"/>
                                      <w:divBdr>
                                        <w:top w:val="none" w:sz="0" w:space="0" w:color="auto"/>
                                        <w:left w:val="none" w:sz="0" w:space="0" w:color="auto"/>
                                        <w:bottom w:val="none" w:sz="0" w:space="0" w:color="auto"/>
                                        <w:right w:val="none" w:sz="0" w:space="0" w:color="auto"/>
                                      </w:divBdr>
                                    </w:div>
                                    <w:div w:id="1521316740">
                                      <w:marLeft w:val="0"/>
                                      <w:marRight w:val="0"/>
                                      <w:marTop w:val="0"/>
                                      <w:marBottom w:val="0"/>
                                      <w:divBdr>
                                        <w:top w:val="none" w:sz="0" w:space="0" w:color="auto"/>
                                        <w:left w:val="none" w:sz="0" w:space="0" w:color="auto"/>
                                        <w:bottom w:val="none" w:sz="0" w:space="0" w:color="auto"/>
                                        <w:right w:val="none" w:sz="0" w:space="0" w:color="auto"/>
                                      </w:divBdr>
                                    </w:div>
                                    <w:div w:id="1539929961">
                                      <w:marLeft w:val="0"/>
                                      <w:marRight w:val="0"/>
                                      <w:marTop w:val="0"/>
                                      <w:marBottom w:val="0"/>
                                      <w:divBdr>
                                        <w:top w:val="none" w:sz="0" w:space="0" w:color="auto"/>
                                        <w:left w:val="none" w:sz="0" w:space="0" w:color="auto"/>
                                        <w:bottom w:val="none" w:sz="0" w:space="0" w:color="auto"/>
                                        <w:right w:val="none" w:sz="0" w:space="0" w:color="auto"/>
                                      </w:divBdr>
                                    </w:div>
                                    <w:div w:id="1540700627">
                                      <w:marLeft w:val="0"/>
                                      <w:marRight w:val="0"/>
                                      <w:marTop w:val="0"/>
                                      <w:marBottom w:val="0"/>
                                      <w:divBdr>
                                        <w:top w:val="none" w:sz="0" w:space="0" w:color="auto"/>
                                        <w:left w:val="none" w:sz="0" w:space="0" w:color="auto"/>
                                        <w:bottom w:val="none" w:sz="0" w:space="0" w:color="auto"/>
                                        <w:right w:val="none" w:sz="0" w:space="0" w:color="auto"/>
                                      </w:divBdr>
                                    </w:div>
                                    <w:div w:id="1544366731">
                                      <w:marLeft w:val="0"/>
                                      <w:marRight w:val="0"/>
                                      <w:marTop w:val="0"/>
                                      <w:marBottom w:val="0"/>
                                      <w:divBdr>
                                        <w:top w:val="none" w:sz="0" w:space="0" w:color="auto"/>
                                        <w:left w:val="none" w:sz="0" w:space="0" w:color="auto"/>
                                        <w:bottom w:val="none" w:sz="0" w:space="0" w:color="auto"/>
                                        <w:right w:val="none" w:sz="0" w:space="0" w:color="auto"/>
                                      </w:divBdr>
                                    </w:div>
                                    <w:div w:id="1560434637">
                                      <w:marLeft w:val="0"/>
                                      <w:marRight w:val="0"/>
                                      <w:marTop w:val="0"/>
                                      <w:marBottom w:val="0"/>
                                      <w:divBdr>
                                        <w:top w:val="none" w:sz="0" w:space="0" w:color="auto"/>
                                        <w:left w:val="none" w:sz="0" w:space="0" w:color="auto"/>
                                        <w:bottom w:val="none" w:sz="0" w:space="0" w:color="auto"/>
                                        <w:right w:val="none" w:sz="0" w:space="0" w:color="auto"/>
                                      </w:divBdr>
                                    </w:div>
                                    <w:div w:id="1581525772">
                                      <w:marLeft w:val="0"/>
                                      <w:marRight w:val="0"/>
                                      <w:marTop w:val="0"/>
                                      <w:marBottom w:val="0"/>
                                      <w:divBdr>
                                        <w:top w:val="none" w:sz="0" w:space="0" w:color="auto"/>
                                        <w:left w:val="none" w:sz="0" w:space="0" w:color="auto"/>
                                        <w:bottom w:val="none" w:sz="0" w:space="0" w:color="auto"/>
                                        <w:right w:val="none" w:sz="0" w:space="0" w:color="auto"/>
                                      </w:divBdr>
                                    </w:div>
                                    <w:div w:id="1590769782">
                                      <w:marLeft w:val="0"/>
                                      <w:marRight w:val="0"/>
                                      <w:marTop w:val="0"/>
                                      <w:marBottom w:val="0"/>
                                      <w:divBdr>
                                        <w:top w:val="none" w:sz="0" w:space="0" w:color="auto"/>
                                        <w:left w:val="none" w:sz="0" w:space="0" w:color="auto"/>
                                        <w:bottom w:val="none" w:sz="0" w:space="0" w:color="auto"/>
                                        <w:right w:val="none" w:sz="0" w:space="0" w:color="auto"/>
                                      </w:divBdr>
                                    </w:div>
                                    <w:div w:id="1596475635">
                                      <w:marLeft w:val="0"/>
                                      <w:marRight w:val="0"/>
                                      <w:marTop w:val="0"/>
                                      <w:marBottom w:val="0"/>
                                      <w:divBdr>
                                        <w:top w:val="none" w:sz="0" w:space="0" w:color="auto"/>
                                        <w:left w:val="none" w:sz="0" w:space="0" w:color="auto"/>
                                        <w:bottom w:val="none" w:sz="0" w:space="0" w:color="auto"/>
                                        <w:right w:val="none" w:sz="0" w:space="0" w:color="auto"/>
                                      </w:divBdr>
                                    </w:div>
                                    <w:div w:id="1598438343">
                                      <w:marLeft w:val="0"/>
                                      <w:marRight w:val="0"/>
                                      <w:marTop w:val="0"/>
                                      <w:marBottom w:val="0"/>
                                      <w:divBdr>
                                        <w:top w:val="none" w:sz="0" w:space="0" w:color="auto"/>
                                        <w:left w:val="none" w:sz="0" w:space="0" w:color="auto"/>
                                        <w:bottom w:val="none" w:sz="0" w:space="0" w:color="auto"/>
                                        <w:right w:val="none" w:sz="0" w:space="0" w:color="auto"/>
                                      </w:divBdr>
                                    </w:div>
                                    <w:div w:id="1600991893">
                                      <w:marLeft w:val="0"/>
                                      <w:marRight w:val="0"/>
                                      <w:marTop w:val="0"/>
                                      <w:marBottom w:val="0"/>
                                      <w:divBdr>
                                        <w:top w:val="none" w:sz="0" w:space="0" w:color="auto"/>
                                        <w:left w:val="none" w:sz="0" w:space="0" w:color="auto"/>
                                        <w:bottom w:val="none" w:sz="0" w:space="0" w:color="auto"/>
                                        <w:right w:val="none" w:sz="0" w:space="0" w:color="auto"/>
                                      </w:divBdr>
                                    </w:div>
                                    <w:div w:id="1609197994">
                                      <w:marLeft w:val="0"/>
                                      <w:marRight w:val="0"/>
                                      <w:marTop w:val="0"/>
                                      <w:marBottom w:val="0"/>
                                      <w:divBdr>
                                        <w:top w:val="none" w:sz="0" w:space="0" w:color="auto"/>
                                        <w:left w:val="none" w:sz="0" w:space="0" w:color="auto"/>
                                        <w:bottom w:val="none" w:sz="0" w:space="0" w:color="auto"/>
                                        <w:right w:val="none" w:sz="0" w:space="0" w:color="auto"/>
                                      </w:divBdr>
                                    </w:div>
                                    <w:div w:id="1616016952">
                                      <w:marLeft w:val="0"/>
                                      <w:marRight w:val="0"/>
                                      <w:marTop w:val="0"/>
                                      <w:marBottom w:val="0"/>
                                      <w:divBdr>
                                        <w:top w:val="none" w:sz="0" w:space="0" w:color="auto"/>
                                        <w:left w:val="none" w:sz="0" w:space="0" w:color="auto"/>
                                        <w:bottom w:val="none" w:sz="0" w:space="0" w:color="auto"/>
                                        <w:right w:val="none" w:sz="0" w:space="0" w:color="auto"/>
                                      </w:divBdr>
                                    </w:div>
                                    <w:div w:id="1616718828">
                                      <w:marLeft w:val="0"/>
                                      <w:marRight w:val="0"/>
                                      <w:marTop w:val="0"/>
                                      <w:marBottom w:val="0"/>
                                      <w:divBdr>
                                        <w:top w:val="none" w:sz="0" w:space="0" w:color="auto"/>
                                        <w:left w:val="none" w:sz="0" w:space="0" w:color="auto"/>
                                        <w:bottom w:val="none" w:sz="0" w:space="0" w:color="auto"/>
                                        <w:right w:val="none" w:sz="0" w:space="0" w:color="auto"/>
                                      </w:divBdr>
                                    </w:div>
                                    <w:div w:id="1617981081">
                                      <w:marLeft w:val="0"/>
                                      <w:marRight w:val="0"/>
                                      <w:marTop w:val="0"/>
                                      <w:marBottom w:val="0"/>
                                      <w:divBdr>
                                        <w:top w:val="none" w:sz="0" w:space="0" w:color="auto"/>
                                        <w:left w:val="none" w:sz="0" w:space="0" w:color="auto"/>
                                        <w:bottom w:val="none" w:sz="0" w:space="0" w:color="auto"/>
                                        <w:right w:val="none" w:sz="0" w:space="0" w:color="auto"/>
                                      </w:divBdr>
                                    </w:div>
                                    <w:div w:id="1640182453">
                                      <w:marLeft w:val="0"/>
                                      <w:marRight w:val="0"/>
                                      <w:marTop w:val="0"/>
                                      <w:marBottom w:val="0"/>
                                      <w:divBdr>
                                        <w:top w:val="none" w:sz="0" w:space="0" w:color="auto"/>
                                        <w:left w:val="none" w:sz="0" w:space="0" w:color="auto"/>
                                        <w:bottom w:val="none" w:sz="0" w:space="0" w:color="auto"/>
                                        <w:right w:val="none" w:sz="0" w:space="0" w:color="auto"/>
                                      </w:divBdr>
                                    </w:div>
                                    <w:div w:id="1656958863">
                                      <w:marLeft w:val="0"/>
                                      <w:marRight w:val="0"/>
                                      <w:marTop w:val="0"/>
                                      <w:marBottom w:val="0"/>
                                      <w:divBdr>
                                        <w:top w:val="none" w:sz="0" w:space="0" w:color="auto"/>
                                        <w:left w:val="none" w:sz="0" w:space="0" w:color="auto"/>
                                        <w:bottom w:val="none" w:sz="0" w:space="0" w:color="auto"/>
                                        <w:right w:val="none" w:sz="0" w:space="0" w:color="auto"/>
                                      </w:divBdr>
                                    </w:div>
                                    <w:div w:id="1667631745">
                                      <w:marLeft w:val="0"/>
                                      <w:marRight w:val="0"/>
                                      <w:marTop w:val="0"/>
                                      <w:marBottom w:val="0"/>
                                      <w:divBdr>
                                        <w:top w:val="none" w:sz="0" w:space="0" w:color="auto"/>
                                        <w:left w:val="none" w:sz="0" w:space="0" w:color="auto"/>
                                        <w:bottom w:val="none" w:sz="0" w:space="0" w:color="auto"/>
                                        <w:right w:val="none" w:sz="0" w:space="0" w:color="auto"/>
                                      </w:divBdr>
                                    </w:div>
                                    <w:div w:id="1682506115">
                                      <w:marLeft w:val="0"/>
                                      <w:marRight w:val="0"/>
                                      <w:marTop w:val="0"/>
                                      <w:marBottom w:val="0"/>
                                      <w:divBdr>
                                        <w:top w:val="none" w:sz="0" w:space="0" w:color="auto"/>
                                        <w:left w:val="none" w:sz="0" w:space="0" w:color="auto"/>
                                        <w:bottom w:val="none" w:sz="0" w:space="0" w:color="auto"/>
                                        <w:right w:val="none" w:sz="0" w:space="0" w:color="auto"/>
                                      </w:divBdr>
                                    </w:div>
                                    <w:div w:id="1683585880">
                                      <w:marLeft w:val="0"/>
                                      <w:marRight w:val="0"/>
                                      <w:marTop w:val="0"/>
                                      <w:marBottom w:val="0"/>
                                      <w:divBdr>
                                        <w:top w:val="none" w:sz="0" w:space="0" w:color="auto"/>
                                        <w:left w:val="none" w:sz="0" w:space="0" w:color="auto"/>
                                        <w:bottom w:val="none" w:sz="0" w:space="0" w:color="auto"/>
                                        <w:right w:val="none" w:sz="0" w:space="0" w:color="auto"/>
                                      </w:divBdr>
                                    </w:div>
                                    <w:div w:id="1690447041">
                                      <w:marLeft w:val="0"/>
                                      <w:marRight w:val="0"/>
                                      <w:marTop w:val="0"/>
                                      <w:marBottom w:val="0"/>
                                      <w:divBdr>
                                        <w:top w:val="none" w:sz="0" w:space="0" w:color="auto"/>
                                        <w:left w:val="none" w:sz="0" w:space="0" w:color="auto"/>
                                        <w:bottom w:val="none" w:sz="0" w:space="0" w:color="auto"/>
                                        <w:right w:val="none" w:sz="0" w:space="0" w:color="auto"/>
                                      </w:divBdr>
                                    </w:div>
                                    <w:div w:id="1701659451">
                                      <w:marLeft w:val="0"/>
                                      <w:marRight w:val="0"/>
                                      <w:marTop w:val="0"/>
                                      <w:marBottom w:val="0"/>
                                      <w:divBdr>
                                        <w:top w:val="none" w:sz="0" w:space="0" w:color="auto"/>
                                        <w:left w:val="none" w:sz="0" w:space="0" w:color="auto"/>
                                        <w:bottom w:val="none" w:sz="0" w:space="0" w:color="auto"/>
                                        <w:right w:val="none" w:sz="0" w:space="0" w:color="auto"/>
                                      </w:divBdr>
                                    </w:div>
                                    <w:div w:id="1715544813">
                                      <w:marLeft w:val="0"/>
                                      <w:marRight w:val="0"/>
                                      <w:marTop w:val="0"/>
                                      <w:marBottom w:val="0"/>
                                      <w:divBdr>
                                        <w:top w:val="none" w:sz="0" w:space="0" w:color="auto"/>
                                        <w:left w:val="none" w:sz="0" w:space="0" w:color="auto"/>
                                        <w:bottom w:val="none" w:sz="0" w:space="0" w:color="auto"/>
                                        <w:right w:val="none" w:sz="0" w:space="0" w:color="auto"/>
                                      </w:divBdr>
                                    </w:div>
                                    <w:div w:id="1749376288">
                                      <w:marLeft w:val="1700"/>
                                      <w:marRight w:val="0"/>
                                      <w:marTop w:val="0"/>
                                      <w:marBottom w:val="0"/>
                                      <w:divBdr>
                                        <w:top w:val="none" w:sz="0" w:space="0" w:color="auto"/>
                                        <w:left w:val="none" w:sz="0" w:space="0" w:color="auto"/>
                                        <w:bottom w:val="none" w:sz="0" w:space="0" w:color="auto"/>
                                        <w:right w:val="none" w:sz="0" w:space="0" w:color="auto"/>
                                      </w:divBdr>
                                    </w:div>
                                    <w:div w:id="1767922472">
                                      <w:marLeft w:val="0"/>
                                      <w:marRight w:val="0"/>
                                      <w:marTop w:val="0"/>
                                      <w:marBottom w:val="0"/>
                                      <w:divBdr>
                                        <w:top w:val="none" w:sz="0" w:space="0" w:color="auto"/>
                                        <w:left w:val="none" w:sz="0" w:space="0" w:color="auto"/>
                                        <w:bottom w:val="none" w:sz="0" w:space="0" w:color="auto"/>
                                        <w:right w:val="none" w:sz="0" w:space="0" w:color="auto"/>
                                      </w:divBdr>
                                    </w:div>
                                    <w:div w:id="1780878598">
                                      <w:marLeft w:val="0"/>
                                      <w:marRight w:val="0"/>
                                      <w:marTop w:val="0"/>
                                      <w:marBottom w:val="0"/>
                                      <w:divBdr>
                                        <w:top w:val="none" w:sz="0" w:space="0" w:color="auto"/>
                                        <w:left w:val="none" w:sz="0" w:space="0" w:color="auto"/>
                                        <w:bottom w:val="none" w:sz="0" w:space="0" w:color="auto"/>
                                        <w:right w:val="none" w:sz="0" w:space="0" w:color="auto"/>
                                      </w:divBdr>
                                    </w:div>
                                    <w:div w:id="1795830890">
                                      <w:marLeft w:val="0"/>
                                      <w:marRight w:val="0"/>
                                      <w:marTop w:val="0"/>
                                      <w:marBottom w:val="0"/>
                                      <w:divBdr>
                                        <w:top w:val="none" w:sz="0" w:space="0" w:color="auto"/>
                                        <w:left w:val="none" w:sz="0" w:space="0" w:color="auto"/>
                                        <w:bottom w:val="none" w:sz="0" w:space="0" w:color="auto"/>
                                        <w:right w:val="none" w:sz="0" w:space="0" w:color="auto"/>
                                      </w:divBdr>
                                    </w:div>
                                    <w:div w:id="1800949547">
                                      <w:marLeft w:val="1700"/>
                                      <w:marRight w:val="0"/>
                                      <w:marTop w:val="0"/>
                                      <w:marBottom w:val="0"/>
                                      <w:divBdr>
                                        <w:top w:val="none" w:sz="0" w:space="0" w:color="auto"/>
                                        <w:left w:val="none" w:sz="0" w:space="0" w:color="auto"/>
                                        <w:bottom w:val="none" w:sz="0" w:space="0" w:color="auto"/>
                                        <w:right w:val="none" w:sz="0" w:space="0" w:color="auto"/>
                                      </w:divBdr>
                                    </w:div>
                                    <w:div w:id="1810318581">
                                      <w:marLeft w:val="1700"/>
                                      <w:marRight w:val="0"/>
                                      <w:marTop w:val="0"/>
                                      <w:marBottom w:val="0"/>
                                      <w:divBdr>
                                        <w:top w:val="none" w:sz="0" w:space="0" w:color="auto"/>
                                        <w:left w:val="none" w:sz="0" w:space="0" w:color="auto"/>
                                        <w:bottom w:val="none" w:sz="0" w:space="0" w:color="auto"/>
                                        <w:right w:val="none" w:sz="0" w:space="0" w:color="auto"/>
                                      </w:divBdr>
                                    </w:div>
                                    <w:div w:id="1812212822">
                                      <w:marLeft w:val="0"/>
                                      <w:marRight w:val="0"/>
                                      <w:marTop w:val="0"/>
                                      <w:marBottom w:val="0"/>
                                      <w:divBdr>
                                        <w:top w:val="none" w:sz="0" w:space="0" w:color="auto"/>
                                        <w:left w:val="none" w:sz="0" w:space="0" w:color="auto"/>
                                        <w:bottom w:val="none" w:sz="0" w:space="0" w:color="auto"/>
                                        <w:right w:val="none" w:sz="0" w:space="0" w:color="auto"/>
                                      </w:divBdr>
                                    </w:div>
                                    <w:div w:id="1837918044">
                                      <w:marLeft w:val="0"/>
                                      <w:marRight w:val="0"/>
                                      <w:marTop w:val="0"/>
                                      <w:marBottom w:val="0"/>
                                      <w:divBdr>
                                        <w:top w:val="none" w:sz="0" w:space="0" w:color="auto"/>
                                        <w:left w:val="none" w:sz="0" w:space="0" w:color="auto"/>
                                        <w:bottom w:val="none" w:sz="0" w:space="0" w:color="auto"/>
                                        <w:right w:val="none" w:sz="0" w:space="0" w:color="auto"/>
                                      </w:divBdr>
                                    </w:div>
                                    <w:div w:id="1838576636">
                                      <w:marLeft w:val="0"/>
                                      <w:marRight w:val="0"/>
                                      <w:marTop w:val="0"/>
                                      <w:marBottom w:val="0"/>
                                      <w:divBdr>
                                        <w:top w:val="none" w:sz="0" w:space="0" w:color="auto"/>
                                        <w:left w:val="none" w:sz="0" w:space="0" w:color="auto"/>
                                        <w:bottom w:val="none" w:sz="0" w:space="0" w:color="auto"/>
                                        <w:right w:val="none" w:sz="0" w:space="0" w:color="auto"/>
                                      </w:divBdr>
                                    </w:div>
                                    <w:div w:id="1838811733">
                                      <w:marLeft w:val="0"/>
                                      <w:marRight w:val="0"/>
                                      <w:marTop w:val="0"/>
                                      <w:marBottom w:val="0"/>
                                      <w:divBdr>
                                        <w:top w:val="none" w:sz="0" w:space="0" w:color="auto"/>
                                        <w:left w:val="none" w:sz="0" w:space="0" w:color="auto"/>
                                        <w:bottom w:val="none" w:sz="0" w:space="0" w:color="auto"/>
                                        <w:right w:val="none" w:sz="0" w:space="0" w:color="auto"/>
                                      </w:divBdr>
                                    </w:div>
                                    <w:div w:id="1846090951">
                                      <w:marLeft w:val="1700"/>
                                      <w:marRight w:val="0"/>
                                      <w:marTop w:val="0"/>
                                      <w:marBottom w:val="0"/>
                                      <w:divBdr>
                                        <w:top w:val="none" w:sz="0" w:space="0" w:color="auto"/>
                                        <w:left w:val="none" w:sz="0" w:space="0" w:color="auto"/>
                                        <w:bottom w:val="none" w:sz="0" w:space="0" w:color="auto"/>
                                        <w:right w:val="none" w:sz="0" w:space="0" w:color="auto"/>
                                      </w:divBdr>
                                    </w:div>
                                    <w:div w:id="1862935797">
                                      <w:marLeft w:val="0"/>
                                      <w:marRight w:val="0"/>
                                      <w:marTop w:val="0"/>
                                      <w:marBottom w:val="0"/>
                                      <w:divBdr>
                                        <w:top w:val="none" w:sz="0" w:space="0" w:color="auto"/>
                                        <w:left w:val="none" w:sz="0" w:space="0" w:color="auto"/>
                                        <w:bottom w:val="none" w:sz="0" w:space="0" w:color="auto"/>
                                        <w:right w:val="none" w:sz="0" w:space="0" w:color="auto"/>
                                      </w:divBdr>
                                    </w:div>
                                    <w:div w:id="1869684820">
                                      <w:marLeft w:val="0"/>
                                      <w:marRight w:val="0"/>
                                      <w:marTop w:val="0"/>
                                      <w:marBottom w:val="0"/>
                                      <w:divBdr>
                                        <w:top w:val="none" w:sz="0" w:space="0" w:color="auto"/>
                                        <w:left w:val="none" w:sz="0" w:space="0" w:color="auto"/>
                                        <w:bottom w:val="none" w:sz="0" w:space="0" w:color="auto"/>
                                        <w:right w:val="none" w:sz="0" w:space="0" w:color="auto"/>
                                      </w:divBdr>
                                    </w:div>
                                    <w:div w:id="1879587183">
                                      <w:marLeft w:val="0"/>
                                      <w:marRight w:val="0"/>
                                      <w:marTop w:val="0"/>
                                      <w:marBottom w:val="0"/>
                                      <w:divBdr>
                                        <w:top w:val="none" w:sz="0" w:space="0" w:color="auto"/>
                                        <w:left w:val="none" w:sz="0" w:space="0" w:color="auto"/>
                                        <w:bottom w:val="none" w:sz="0" w:space="0" w:color="auto"/>
                                        <w:right w:val="none" w:sz="0" w:space="0" w:color="auto"/>
                                      </w:divBdr>
                                    </w:div>
                                    <w:div w:id="1880704474">
                                      <w:marLeft w:val="0"/>
                                      <w:marRight w:val="0"/>
                                      <w:marTop w:val="0"/>
                                      <w:marBottom w:val="0"/>
                                      <w:divBdr>
                                        <w:top w:val="none" w:sz="0" w:space="0" w:color="auto"/>
                                        <w:left w:val="none" w:sz="0" w:space="0" w:color="auto"/>
                                        <w:bottom w:val="none" w:sz="0" w:space="0" w:color="auto"/>
                                        <w:right w:val="none" w:sz="0" w:space="0" w:color="auto"/>
                                      </w:divBdr>
                                    </w:div>
                                    <w:div w:id="1909268224">
                                      <w:marLeft w:val="0"/>
                                      <w:marRight w:val="0"/>
                                      <w:marTop w:val="0"/>
                                      <w:marBottom w:val="0"/>
                                      <w:divBdr>
                                        <w:top w:val="none" w:sz="0" w:space="0" w:color="auto"/>
                                        <w:left w:val="none" w:sz="0" w:space="0" w:color="auto"/>
                                        <w:bottom w:val="none" w:sz="0" w:space="0" w:color="auto"/>
                                        <w:right w:val="none" w:sz="0" w:space="0" w:color="auto"/>
                                      </w:divBdr>
                                    </w:div>
                                    <w:div w:id="1918901861">
                                      <w:marLeft w:val="1700"/>
                                      <w:marRight w:val="0"/>
                                      <w:marTop w:val="0"/>
                                      <w:marBottom w:val="0"/>
                                      <w:divBdr>
                                        <w:top w:val="none" w:sz="0" w:space="0" w:color="auto"/>
                                        <w:left w:val="none" w:sz="0" w:space="0" w:color="auto"/>
                                        <w:bottom w:val="none" w:sz="0" w:space="0" w:color="auto"/>
                                        <w:right w:val="none" w:sz="0" w:space="0" w:color="auto"/>
                                      </w:divBdr>
                                    </w:div>
                                    <w:div w:id="1924484849">
                                      <w:marLeft w:val="0"/>
                                      <w:marRight w:val="0"/>
                                      <w:marTop w:val="0"/>
                                      <w:marBottom w:val="0"/>
                                      <w:divBdr>
                                        <w:top w:val="none" w:sz="0" w:space="0" w:color="auto"/>
                                        <w:left w:val="none" w:sz="0" w:space="0" w:color="auto"/>
                                        <w:bottom w:val="none" w:sz="0" w:space="0" w:color="auto"/>
                                        <w:right w:val="none" w:sz="0" w:space="0" w:color="auto"/>
                                      </w:divBdr>
                                    </w:div>
                                    <w:div w:id="1929119602">
                                      <w:marLeft w:val="0"/>
                                      <w:marRight w:val="0"/>
                                      <w:marTop w:val="0"/>
                                      <w:marBottom w:val="0"/>
                                      <w:divBdr>
                                        <w:top w:val="none" w:sz="0" w:space="0" w:color="auto"/>
                                        <w:left w:val="none" w:sz="0" w:space="0" w:color="auto"/>
                                        <w:bottom w:val="none" w:sz="0" w:space="0" w:color="auto"/>
                                        <w:right w:val="none" w:sz="0" w:space="0" w:color="auto"/>
                                      </w:divBdr>
                                    </w:div>
                                    <w:div w:id="1939024808">
                                      <w:marLeft w:val="0"/>
                                      <w:marRight w:val="0"/>
                                      <w:marTop w:val="0"/>
                                      <w:marBottom w:val="0"/>
                                      <w:divBdr>
                                        <w:top w:val="none" w:sz="0" w:space="0" w:color="auto"/>
                                        <w:left w:val="none" w:sz="0" w:space="0" w:color="auto"/>
                                        <w:bottom w:val="none" w:sz="0" w:space="0" w:color="auto"/>
                                        <w:right w:val="none" w:sz="0" w:space="0" w:color="auto"/>
                                      </w:divBdr>
                                    </w:div>
                                    <w:div w:id="1941134558">
                                      <w:marLeft w:val="0"/>
                                      <w:marRight w:val="0"/>
                                      <w:marTop w:val="0"/>
                                      <w:marBottom w:val="0"/>
                                      <w:divBdr>
                                        <w:top w:val="none" w:sz="0" w:space="0" w:color="auto"/>
                                        <w:left w:val="none" w:sz="0" w:space="0" w:color="auto"/>
                                        <w:bottom w:val="none" w:sz="0" w:space="0" w:color="auto"/>
                                        <w:right w:val="none" w:sz="0" w:space="0" w:color="auto"/>
                                      </w:divBdr>
                                    </w:div>
                                    <w:div w:id="1942105503">
                                      <w:marLeft w:val="0"/>
                                      <w:marRight w:val="0"/>
                                      <w:marTop w:val="0"/>
                                      <w:marBottom w:val="0"/>
                                      <w:divBdr>
                                        <w:top w:val="none" w:sz="0" w:space="0" w:color="auto"/>
                                        <w:left w:val="none" w:sz="0" w:space="0" w:color="auto"/>
                                        <w:bottom w:val="none" w:sz="0" w:space="0" w:color="auto"/>
                                        <w:right w:val="none" w:sz="0" w:space="0" w:color="auto"/>
                                      </w:divBdr>
                                    </w:div>
                                    <w:div w:id="1951931616">
                                      <w:marLeft w:val="0"/>
                                      <w:marRight w:val="0"/>
                                      <w:marTop w:val="0"/>
                                      <w:marBottom w:val="0"/>
                                      <w:divBdr>
                                        <w:top w:val="none" w:sz="0" w:space="0" w:color="auto"/>
                                        <w:left w:val="none" w:sz="0" w:space="0" w:color="auto"/>
                                        <w:bottom w:val="none" w:sz="0" w:space="0" w:color="auto"/>
                                        <w:right w:val="none" w:sz="0" w:space="0" w:color="auto"/>
                                      </w:divBdr>
                                    </w:div>
                                    <w:div w:id="1953438114">
                                      <w:marLeft w:val="0"/>
                                      <w:marRight w:val="0"/>
                                      <w:marTop w:val="0"/>
                                      <w:marBottom w:val="0"/>
                                      <w:divBdr>
                                        <w:top w:val="none" w:sz="0" w:space="0" w:color="auto"/>
                                        <w:left w:val="none" w:sz="0" w:space="0" w:color="auto"/>
                                        <w:bottom w:val="none" w:sz="0" w:space="0" w:color="auto"/>
                                        <w:right w:val="none" w:sz="0" w:space="0" w:color="auto"/>
                                      </w:divBdr>
                                    </w:div>
                                    <w:div w:id="1961105437">
                                      <w:marLeft w:val="0"/>
                                      <w:marRight w:val="0"/>
                                      <w:marTop w:val="0"/>
                                      <w:marBottom w:val="0"/>
                                      <w:divBdr>
                                        <w:top w:val="none" w:sz="0" w:space="0" w:color="auto"/>
                                        <w:left w:val="none" w:sz="0" w:space="0" w:color="auto"/>
                                        <w:bottom w:val="none" w:sz="0" w:space="0" w:color="auto"/>
                                        <w:right w:val="none" w:sz="0" w:space="0" w:color="auto"/>
                                      </w:divBdr>
                                    </w:div>
                                    <w:div w:id="1964387292">
                                      <w:marLeft w:val="0"/>
                                      <w:marRight w:val="0"/>
                                      <w:marTop w:val="0"/>
                                      <w:marBottom w:val="0"/>
                                      <w:divBdr>
                                        <w:top w:val="none" w:sz="0" w:space="0" w:color="auto"/>
                                        <w:left w:val="none" w:sz="0" w:space="0" w:color="auto"/>
                                        <w:bottom w:val="none" w:sz="0" w:space="0" w:color="auto"/>
                                        <w:right w:val="none" w:sz="0" w:space="0" w:color="auto"/>
                                      </w:divBdr>
                                    </w:div>
                                    <w:div w:id="1967276256">
                                      <w:marLeft w:val="0"/>
                                      <w:marRight w:val="0"/>
                                      <w:marTop w:val="0"/>
                                      <w:marBottom w:val="0"/>
                                      <w:divBdr>
                                        <w:top w:val="none" w:sz="0" w:space="0" w:color="auto"/>
                                        <w:left w:val="none" w:sz="0" w:space="0" w:color="auto"/>
                                        <w:bottom w:val="none" w:sz="0" w:space="0" w:color="auto"/>
                                        <w:right w:val="none" w:sz="0" w:space="0" w:color="auto"/>
                                      </w:divBdr>
                                    </w:div>
                                    <w:div w:id="1972666228">
                                      <w:marLeft w:val="1700"/>
                                      <w:marRight w:val="0"/>
                                      <w:marTop w:val="0"/>
                                      <w:marBottom w:val="0"/>
                                      <w:divBdr>
                                        <w:top w:val="none" w:sz="0" w:space="0" w:color="auto"/>
                                        <w:left w:val="none" w:sz="0" w:space="0" w:color="auto"/>
                                        <w:bottom w:val="none" w:sz="0" w:space="0" w:color="auto"/>
                                        <w:right w:val="none" w:sz="0" w:space="0" w:color="auto"/>
                                      </w:divBdr>
                                    </w:div>
                                    <w:div w:id="1982542426">
                                      <w:marLeft w:val="0"/>
                                      <w:marRight w:val="0"/>
                                      <w:marTop w:val="0"/>
                                      <w:marBottom w:val="0"/>
                                      <w:divBdr>
                                        <w:top w:val="none" w:sz="0" w:space="0" w:color="auto"/>
                                        <w:left w:val="none" w:sz="0" w:space="0" w:color="auto"/>
                                        <w:bottom w:val="none" w:sz="0" w:space="0" w:color="auto"/>
                                        <w:right w:val="none" w:sz="0" w:space="0" w:color="auto"/>
                                      </w:divBdr>
                                    </w:div>
                                    <w:div w:id="1988582993">
                                      <w:marLeft w:val="0"/>
                                      <w:marRight w:val="0"/>
                                      <w:marTop w:val="0"/>
                                      <w:marBottom w:val="0"/>
                                      <w:divBdr>
                                        <w:top w:val="none" w:sz="0" w:space="0" w:color="auto"/>
                                        <w:left w:val="none" w:sz="0" w:space="0" w:color="auto"/>
                                        <w:bottom w:val="none" w:sz="0" w:space="0" w:color="auto"/>
                                        <w:right w:val="none" w:sz="0" w:space="0" w:color="auto"/>
                                      </w:divBdr>
                                    </w:div>
                                    <w:div w:id="1993410210">
                                      <w:marLeft w:val="0"/>
                                      <w:marRight w:val="0"/>
                                      <w:marTop w:val="0"/>
                                      <w:marBottom w:val="0"/>
                                      <w:divBdr>
                                        <w:top w:val="none" w:sz="0" w:space="0" w:color="auto"/>
                                        <w:left w:val="none" w:sz="0" w:space="0" w:color="auto"/>
                                        <w:bottom w:val="none" w:sz="0" w:space="0" w:color="auto"/>
                                        <w:right w:val="none" w:sz="0" w:space="0" w:color="auto"/>
                                      </w:divBdr>
                                    </w:div>
                                    <w:div w:id="2006861497">
                                      <w:marLeft w:val="1700"/>
                                      <w:marRight w:val="0"/>
                                      <w:marTop w:val="0"/>
                                      <w:marBottom w:val="0"/>
                                      <w:divBdr>
                                        <w:top w:val="none" w:sz="0" w:space="0" w:color="auto"/>
                                        <w:left w:val="none" w:sz="0" w:space="0" w:color="auto"/>
                                        <w:bottom w:val="none" w:sz="0" w:space="0" w:color="auto"/>
                                        <w:right w:val="none" w:sz="0" w:space="0" w:color="auto"/>
                                      </w:divBdr>
                                    </w:div>
                                    <w:div w:id="2009752608">
                                      <w:marLeft w:val="0"/>
                                      <w:marRight w:val="0"/>
                                      <w:marTop w:val="0"/>
                                      <w:marBottom w:val="0"/>
                                      <w:divBdr>
                                        <w:top w:val="none" w:sz="0" w:space="0" w:color="auto"/>
                                        <w:left w:val="none" w:sz="0" w:space="0" w:color="auto"/>
                                        <w:bottom w:val="none" w:sz="0" w:space="0" w:color="auto"/>
                                        <w:right w:val="none" w:sz="0" w:space="0" w:color="auto"/>
                                      </w:divBdr>
                                    </w:div>
                                    <w:div w:id="2011173240">
                                      <w:marLeft w:val="0"/>
                                      <w:marRight w:val="0"/>
                                      <w:marTop w:val="0"/>
                                      <w:marBottom w:val="0"/>
                                      <w:divBdr>
                                        <w:top w:val="none" w:sz="0" w:space="0" w:color="auto"/>
                                        <w:left w:val="none" w:sz="0" w:space="0" w:color="auto"/>
                                        <w:bottom w:val="none" w:sz="0" w:space="0" w:color="auto"/>
                                        <w:right w:val="none" w:sz="0" w:space="0" w:color="auto"/>
                                      </w:divBdr>
                                    </w:div>
                                    <w:div w:id="2022588674">
                                      <w:marLeft w:val="0"/>
                                      <w:marRight w:val="0"/>
                                      <w:marTop w:val="0"/>
                                      <w:marBottom w:val="0"/>
                                      <w:divBdr>
                                        <w:top w:val="none" w:sz="0" w:space="0" w:color="auto"/>
                                        <w:left w:val="none" w:sz="0" w:space="0" w:color="auto"/>
                                        <w:bottom w:val="none" w:sz="0" w:space="0" w:color="auto"/>
                                        <w:right w:val="none" w:sz="0" w:space="0" w:color="auto"/>
                                      </w:divBdr>
                                    </w:div>
                                    <w:div w:id="2022900337">
                                      <w:marLeft w:val="1700"/>
                                      <w:marRight w:val="0"/>
                                      <w:marTop w:val="0"/>
                                      <w:marBottom w:val="0"/>
                                      <w:divBdr>
                                        <w:top w:val="none" w:sz="0" w:space="0" w:color="auto"/>
                                        <w:left w:val="none" w:sz="0" w:space="0" w:color="auto"/>
                                        <w:bottom w:val="none" w:sz="0" w:space="0" w:color="auto"/>
                                        <w:right w:val="none" w:sz="0" w:space="0" w:color="auto"/>
                                      </w:divBdr>
                                    </w:div>
                                    <w:div w:id="2025863544">
                                      <w:marLeft w:val="0"/>
                                      <w:marRight w:val="0"/>
                                      <w:marTop w:val="0"/>
                                      <w:marBottom w:val="0"/>
                                      <w:divBdr>
                                        <w:top w:val="none" w:sz="0" w:space="0" w:color="auto"/>
                                        <w:left w:val="none" w:sz="0" w:space="0" w:color="auto"/>
                                        <w:bottom w:val="none" w:sz="0" w:space="0" w:color="auto"/>
                                        <w:right w:val="none" w:sz="0" w:space="0" w:color="auto"/>
                                      </w:divBdr>
                                    </w:div>
                                    <w:div w:id="2036230675">
                                      <w:marLeft w:val="0"/>
                                      <w:marRight w:val="0"/>
                                      <w:marTop w:val="0"/>
                                      <w:marBottom w:val="0"/>
                                      <w:divBdr>
                                        <w:top w:val="none" w:sz="0" w:space="0" w:color="auto"/>
                                        <w:left w:val="none" w:sz="0" w:space="0" w:color="auto"/>
                                        <w:bottom w:val="none" w:sz="0" w:space="0" w:color="auto"/>
                                        <w:right w:val="none" w:sz="0" w:space="0" w:color="auto"/>
                                      </w:divBdr>
                                    </w:div>
                                    <w:div w:id="2036417250">
                                      <w:marLeft w:val="1700"/>
                                      <w:marRight w:val="0"/>
                                      <w:marTop w:val="0"/>
                                      <w:marBottom w:val="0"/>
                                      <w:divBdr>
                                        <w:top w:val="none" w:sz="0" w:space="0" w:color="auto"/>
                                        <w:left w:val="none" w:sz="0" w:space="0" w:color="auto"/>
                                        <w:bottom w:val="none" w:sz="0" w:space="0" w:color="auto"/>
                                        <w:right w:val="none" w:sz="0" w:space="0" w:color="auto"/>
                                      </w:divBdr>
                                    </w:div>
                                    <w:div w:id="2082406894">
                                      <w:marLeft w:val="0"/>
                                      <w:marRight w:val="0"/>
                                      <w:marTop w:val="0"/>
                                      <w:marBottom w:val="0"/>
                                      <w:divBdr>
                                        <w:top w:val="none" w:sz="0" w:space="0" w:color="auto"/>
                                        <w:left w:val="none" w:sz="0" w:space="0" w:color="auto"/>
                                        <w:bottom w:val="none" w:sz="0" w:space="0" w:color="auto"/>
                                        <w:right w:val="none" w:sz="0" w:space="0" w:color="auto"/>
                                      </w:divBdr>
                                    </w:div>
                                    <w:div w:id="2087871915">
                                      <w:marLeft w:val="0"/>
                                      <w:marRight w:val="0"/>
                                      <w:marTop w:val="0"/>
                                      <w:marBottom w:val="0"/>
                                      <w:divBdr>
                                        <w:top w:val="none" w:sz="0" w:space="0" w:color="auto"/>
                                        <w:left w:val="none" w:sz="0" w:space="0" w:color="auto"/>
                                        <w:bottom w:val="none" w:sz="0" w:space="0" w:color="auto"/>
                                        <w:right w:val="none" w:sz="0" w:space="0" w:color="auto"/>
                                      </w:divBdr>
                                    </w:div>
                                    <w:div w:id="2109932686">
                                      <w:marLeft w:val="1700"/>
                                      <w:marRight w:val="0"/>
                                      <w:marTop w:val="0"/>
                                      <w:marBottom w:val="0"/>
                                      <w:divBdr>
                                        <w:top w:val="none" w:sz="0" w:space="0" w:color="auto"/>
                                        <w:left w:val="none" w:sz="0" w:space="0" w:color="auto"/>
                                        <w:bottom w:val="none" w:sz="0" w:space="0" w:color="auto"/>
                                        <w:right w:val="none" w:sz="0" w:space="0" w:color="auto"/>
                                      </w:divBdr>
                                    </w:div>
                                    <w:div w:id="2138185283">
                                      <w:marLeft w:val="1700"/>
                                      <w:marRight w:val="0"/>
                                      <w:marTop w:val="0"/>
                                      <w:marBottom w:val="0"/>
                                      <w:divBdr>
                                        <w:top w:val="none" w:sz="0" w:space="0" w:color="auto"/>
                                        <w:left w:val="none" w:sz="0" w:space="0" w:color="auto"/>
                                        <w:bottom w:val="none" w:sz="0" w:space="0" w:color="auto"/>
                                        <w:right w:val="none" w:sz="0" w:space="0" w:color="auto"/>
                                      </w:divBdr>
                                    </w:div>
                                  </w:divsChild>
                                </w:div>
                                <w:div w:id="802970117">
                                  <w:marLeft w:val="0"/>
                                  <w:marRight w:val="0"/>
                                  <w:marTop w:val="0"/>
                                  <w:marBottom w:val="0"/>
                                  <w:divBdr>
                                    <w:top w:val="none" w:sz="0" w:space="0" w:color="auto"/>
                                    <w:left w:val="none" w:sz="0" w:space="0" w:color="auto"/>
                                    <w:bottom w:val="single" w:sz="6" w:space="0" w:color="CCCCCC"/>
                                    <w:right w:val="none" w:sz="0" w:space="0" w:color="auto"/>
                                  </w:divBdr>
                                  <w:divsChild>
                                    <w:div w:id="354113970">
                                      <w:marLeft w:val="0"/>
                                      <w:marRight w:val="0"/>
                                      <w:marTop w:val="0"/>
                                      <w:marBottom w:val="0"/>
                                      <w:divBdr>
                                        <w:top w:val="none" w:sz="0" w:space="0" w:color="auto"/>
                                        <w:left w:val="none" w:sz="0" w:space="0" w:color="auto"/>
                                        <w:bottom w:val="none" w:sz="0" w:space="0" w:color="auto"/>
                                        <w:right w:val="none" w:sz="0" w:space="0" w:color="auto"/>
                                      </w:divBdr>
                                      <w:divsChild>
                                        <w:div w:id="798568488">
                                          <w:marLeft w:val="0"/>
                                          <w:marRight w:val="0"/>
                                          <w:marTop w:val="0"/>
                                          <w:marBottom w:val="0"/>
                                          <w:divBdr>
                                            <w:top w:val="none" w:sz="0" w:space="0" w:color="auto"/>
                                            <w:left w:val="none" w:sz="0" w:space="0" w:color="auto"/>
                                            <w:bottom w:val="none" w:sz="0" w:space="0" w:color="auto"/>
                                            <w:right w:val="none" w:sz="0" w:space="0" w:color="auto"/>
                                          </w:divBdr>
                                        </w:div>
                                      </w:divsChild>
                                    </w:div>
                                    <w:div w:id="473454556">
                                      <w:marLeft w:val="0"/>
                                      <w:marRight w:val="0"/>
                                      <w:marTop w:val="0"/>
                                      <w:marBottom w:val="0"/>
                                      <w:divBdr>
                                        <w:top w:val="none" w:sz="0" w:space="0" w:color="auto"/>
                                        <w:left w:val="none" w:sz="0" w:space="0" w:color="auto"/>
                                        <w:bottom w:val="none" w:sz="0" w:space="0" w:color="auto"/>
                                        <w:right w:val="none" w:sz="0" w:space="0" w:color="auto"/>
                                      </w:divBdr>
                                      <w:divsChild>
                                        <w:div w:id="702242600">
                                          <w:marLeft w:val="0"/>
                                          <w:marRight w:val="0"/>
                                          <w:marTop w:val="0"/>
                                          <w:marBottom w:val="0"/>
                                          <w:divBdr>
                                            <w:top w:val="none" w:sz="0" w:space="0" w:color="auto"/>
                                            <w:left w:val="none" w:sz="0" w:space="0" w:color="auto"/>
                                            <w:bottom w:val="none" w:sz="0" w:space="0" w:color="auto"/>
                                            <w:right w:val="none" w:sz="0" w:space="0" w:color="auto"/>
                                          </w:divBdr>
                                        </w:div>
                                        <w:div w:id="948586395">
                                          <w:marLeft w:val="0"/>
                                          <w:marRight w:val="0"/>
                                          <w:marTop w:val="0"/>
                                          <w:marBottom w:val="0"/>
                                          <w:divBdr>
                                            <w:top w:val="none" w:sz="0" w:space="0" w:color="auto"/>
                                            <w:left w:val="none" w:sz="0" w:space="0" w:color="auto"/>
                                            <w:bottom w:val="none" w:sz="0" w:space="0" w:color="auto"/>
                                            <w:right w:val="none" w:sz="0" w:space="0" w:color="auto"/>
                                          </w:divBdr>
                                          <w:divsChild>
                                            <w:div w:id="273370092">
                                              <w:marLeft w:val="0"/>
                                              <w:marRight w:val="0"/>
                                              <w:marTop w:val="0"/>
                                              <w:marBottom w:val="0"/>
                                              <w:divBdr>
                                                <w:top w:val="none" w:sz="0" w:space="0" w:color="auto"/>
                                                <w:left w:val="none" w:sz="0" w:space="0" w:color="auto"/>
                                                <w:bottom w:val="none" w:sz="0" w:space="0" w:color="auto"/>
                                                <w:right w:val="none" w:sz="0" w:space="0" w:color="auto"/>
                                              </w:divBdr>
                                            </w:div>
                                          </w:divsChild>
                                        </w:div>
                                        <w:div w:id="1802726782">
                                          <w:marLeft w:val="0"/>
                                          <w:marRight w:val="0"/>
                                          <w:marTop w:val="0"/>
                                          <w:marBottom w:val="0"/>
                                          <w:divBdr>
                                            <w:top w:val="none" w:sz="0" w:space="0" w:color="auto"/>
                                            <w:left w:val="none" w:sz="0" w:space="0" w:color="auto"/>
                                            <w:bottom w:val="none" w:sz="0" w:space="0" w:color="auto"/>
                                            <w:right w:val="none" w:sz="0" w:space="0" w:color="auto"/>
                                          </w:divBdr>
                                          <w:divsChild>
                                            <w:div w:id="76442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36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453209">
                      <w:marLeft w:val="0"/>
                      <w:marRight w:val="0"/>
                      <w:marTop w:val="0"/>
                      <w:marBottom w:val="0"/>
                      <w:divBdr>
                        <w:top w:val="none" w:sz="0" w:space="0" w:color="auto"/>
                        <w:left w:val="none" w:sz="0" w:space="0" w:color="auto"/>
                        <w:bottom w:val="none" w:sz="0" w:space="0" w:color="auto"/>
                        <w:right w:val="none" w:sz="0" w:space="0" w:color="auto"/>
                      </w:divBdr>
                      <w:divsChild>
                        <w:div w:id="487283560">
                          <w:marLeft w:val="0"/>
                          <w:marRight w:val="0"/>
                          <w:marTop w:val="0"/>
                          <w:marBottom w:val="0"/>
                          <w:divBdr>
                            <w:top w:val="none" w:sz="0" w:space="0" w:color="auto"/>
                            <w:left w:val="none" w:sz="0" w:space="0" w:color="auto"/>
                            <w:bottom w:val="none" w:sz="0" w:space="0" w:color="auto"/>
                            <w:right w:val="none" w:sz="0" w:space="0" w:color="auto"/>
                          </w:divBdr>
                          <w:divsChild>
                            <w:div w:id="147331905">
                              <w:marLeft w:val="0"/>
                              <w:marRight w:val="0"/>
                              <w:marTop w:val="0"/>
                              <w:marBottom w:val="0"/>
                              <w:divBdr>
                                <w:top w:val="none" w:sz="0" w:space="0" w:color="auto"/>
                                <w:left w:val="none" w:sz="0" w:space="0" w:color="auto"/>
                                <w:bottom w:val="none" w:sz="0" w:space="0" w:color="auto"/>
                                <w:right w:val="none" w:sz="0" w:space="0" w:color="auto"/>
                              </w:divBdr>
                            </w:div>
                          </w:divsChild>
                        </w:div>
                        <w:div w:id="1310750841">
                          <w:marLeft w:val="0"/>
                          <w:marRight w:val="0"/>
                          <w:marTop w:val="0"/>
                          <w:marBottom w:val="0"/>
                          <w:divBdr>
                            <w:top w:val="none" w:sz="0" w:space="0" w:color="auto"/>
                            <w:left w:val="none" w:sz="0" w:space="0" w:color="auto"/>
                            <w:bottom w:val="none" w:sz="0" w:space="0" w:color="auto"/>
                            <w:right w:val="none" w:sz="0" w:space="0" w:color="auto"/>
                          </w:divBdr>
                          <w:divsChild>
                            <w:div w:id="1817380012">
                              <w:marLeft w:val="210"/>
                              <w:marRight w:val="150"/>
                              <w:marTop w:val="150"/>
                              <w:marBottom w:val="150"/>
                              <w:divBdr>
                                <w:top w:val="none" w:sz="0" w:space="0" w:color="auto"/>
                                <w:left w:val="none" w:sz="0" w:space="0" w:color="auto"/>
                                <w:bottom w:val="none" w:sz="0" w:space="0" w:color="auto"/>
                                <w:right w:val="none" w:sz="0" w:space="0" w:color="auto"/>
                              </w:divBdr>
                              <w:divsChild>
                                <w:div w:id="2143422908">
                                  <w:marLeft w:val="0"/>
                                  <w:marRight w:val="0"/>
                                  <w:marTop w:val="0"/>
                                  <w:marBottom w:val="0"/>
                                  <w:divBdr>
                                    <w:top w:val="none" w:sz="0" w:space="0" w:color="auto"/>
                                    <w:left w:val="none" w:sz="0" w:space="0" w:color="auto"/>
                                    <w:bottom w:val="none" w:sz="0" w:space="0" w:color="auto"/>
                                    <w:right w:val="none" w:sz="0" w:space="0" w:color="auto"/>
                                  </w:divBdr>
                                  <w:divsChild>
                                    <w:div w:id="911161858">
                                      <w:marLeft w:val="2"/>
                                      <w:marRight w:val="0"/>
                                      <w:marTop w:val="45"/>
                                      <w:marBottom w:val="0"/>
                                      <w:divBdr>
                                        <w:top w:val="none" w:sz="0" w:space="0" w:color="auto"/>
                                        <w:left w:val="none" w:sz="0" w:space="0" w:color="auto"/>
                                        <w:bottom w:val="none" w:sz="0" w:space="0" w:color="auto"/>
                                        <w:right w:val="none" w:sz="0" w:space="0" w:color="auto"/>
                                      </w:divBdr>
                                    </w:div>
                                    <w:div w:id="147213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815683">
                          <w:marLeft w:val="0"/>
                          <w:marRight w:val="0"/>
                          <w:marTop w:val="0"/>
                          <w:marBottom w:val="0"/>
                          <w:divBdr>
                            <w:top w:val="none" w:sz="0" w:space="0" w:color="auto"/>
                            <w:left w:val="none" w:sz="0" w:space="0" w:color="auto"/>
                            <w:bottom w:val="none" w:sz="0" w:space="0" w:color="auto"/>
                            <w:right w:val="none" w:sz="0" w:space="0" w:color="auto"/>
                          </w:divBdr>
                          <w:divsChild>
                            <w:div w:id="1117216530">
                              <w:marLeft w:val="0"/>
                              <w:marRight w:val="0"/>
                              <w:marTop w:val="0"/>
                              <w:marBottom w:val="0"/>
                              <w:divBdr>
                                <w:top w:val="none" w:sz="0" w:space="0" w:color="auto"/>
                                <w:left w:val="none" w:sz="0" w:space="0" w:color="auto"/>
                                <w:bottom w:val="none" w:sz="0" w:space="0" w:color="auto"/>
                                <w:right w:val="none" w:sz="0" w:space="0" w:color="auto"/>
                              </w:divBdr>
                            </w:div>
                            <w:div w:id="1802458518">
                              <w:marLeft w:val="0"/>
                              <w:marRight w:val="0"/>
                              <w:marTop w:val="0"/>
                              <w:marBottom w:val="0"/>
                              <w:divBdr>
                                <w:top w:val="none" w:sz="0" w:space="0" w:color="auto"/>
                                <w:left w:val="none" w:sz="0" w:space="0" w:color="auto"/>
                                <w:bottom w:val="none" w:sz="0" w:space="0" w:color="auto"/>
                                <w:right w:val="none" w:sz="0" w:space="0" w:color="auto"/>
                              </w:divBdr>
                            </w:div>
                            <w:div w:id="1920479063">
                              <w:marLeft w:val="0"/>
                              <w:marRight w:val="0"/>
                              <w:marTop w:val="0"/>
                              <w:marBottom w:val="0"/>
                              <w:divBdr>
                                <w:top w:val="none" w:sz="0" w:space="0" w:color="auto"/>
                                <w:left w:val="none" w:sz="0" w:space="0" w:color="auto"/>
                                <w:bottom w:val="none" w:sz="0" w:space="0" w:color="auto"/>
                                <w:right w:val="none" w:sz="0" w:space="0" w:color="auto"/>
                              </w:divBdr>
                            </w:div>
                          </w:divsChild>
                        </w:div>
                        <w:div w:id="1943414889">
                          <w:marLeft w:val="0"/>
                          <w:marRight w:val="0"/>
                          <w:marTop w:val="0"/>
                          <w:marBottom w:val="0"/>
                          <w:divBdr>
                            <w:top w:val="none" w:sz="0" w:space="0" w:color="auto"/>
                            <w:left w:val="none" w:sz="0" w:space="0" w:color="auto"/>
                            <w:bottom w:val="none" w:sz="0" w:space="0" w:color="auto"/>
                            <w:right w:val="none" w:sz="0" w:space="0" w:color="auto"/>
                          </w:divBdr>
                          <w:divsChild>
                            <w:div w:id="203250127">
                              <w:marLeft w:val="0"/>
                              <w:marRight w:val="0"/>
                              <w:marTop w:val="0"/>
                              <w:marBottom w:val="0"/>
                              <w:divBdr>
                                <w:top w:val="none" w:sz="0" w:space="0" w:color="auto"/>
                                <w:left w:val="none" w:sz="0" w:space="0" w:color="auto"/>
                                <w:bottom w:val="none" w:sz="0" w:space="0" w:color="auto"/>
                                <w:right w:val="none" w:sz="0" w:space="0" w:color="auto"/>
                              </w:divBdr>
                              <w:divsChild>
                                <w:div w:id="1720669802">
                                  <w:marLeft w:val="0"/>
                                  <w:marRight w:val="0"/>
                                  <w:marTop w:val="0"/>
                                  <w:marBottom w:val="0"/>
                                  <w:divBdr>
                                    <w:top w:val="none" w:sz="0" w:space="0" w:color="auto"/>
                                    <w:left w:val="none" w:sz="0" w:space="0" w:color="auto"/>
                                    <w:bottom w:val="none" w:sz="0" w:space="0" w:color="auto"/>
                                    <w:right w:val="none" w:sz="0" w:space="0" w:color="auto"/>
                                  </w:divBdr>
                                  <w:divsChild>
                                    <w:div w:id="1031103834">
                                      <w:marLeft w:val="0"/>
                                      <w:marRight w:val="0"/>
                                      <w:marTop w:val="0"/>
                                      <w:marBottom w:val="0"/>
                                      <w:divBdr>
                                        <w:top w:val="none" w:sz="0" w:space="0" w:color="auto"/>
                                        <w:left w:val="none" w:sz="0" w:space="0" w:color="auto"/>
                                        <w:bottom w:val="none" w:sz="0" w:space="0" w:color="auto"/>
                                        <w:right w:val="none" w:sz="0" w:space="0" w:color="auto"/>
                                      </w:divBdr>
                                    </w:div>
                                  </w:divsChild>
                                </w:div>
                                <w:div w:id="2019649106">
                                  <w:marLeft w:val="0"/>
                                  <w:marRight w:val="0"/>
                                  <w:marTop w:val="0"/>
                                  <w:marBottom w:val="0"/>
                                  <w:divBdr>
                                    <w:top w:val="none" w:sz="0" w:space="0" w:color="auto"/>
                                    <w:left w:val="none" w:sz="0" w:space="0" w:color="auto"/>
                                    <w:bottom w:val="none" w:sz="0" w:space="0" w:color="auto"/>
                                    <w:right w:val="none" w:sz="0" w:space="0" w:color="auto"/>
                                  </w:divBdr>
                                  <w:divsChild>
                                    <w:div w:id="6369572">
                                      <w:marLeft w:val="0"/>
                                      <w:marRight w:val="0"/>
                                      <w:marTop w:val="0"/>
                                      <w:marBottom w:val="0"/>
                                      <w:divBdr>
                                        <w:top w:val="none" w:sz="0" w:space="0" w:color="auto"/>
                                        <w:left w:val="none" w:sz="0" w:space="0" w:color="auto"/>
                                        <w:bottom w:val="none" w:sz="0" w:space="0" w:color="auto"/>
                                        <w:right w:val="none" w:sz="0" w:space="0" w:color="auto"/>
                                      </w:divBdr>
                                    </w:div>
                                    <w:div w:id="7340774">
                                      <w:marLeft w:val="0"/>
                                      <w:marRight w:val="0"/>
                                      <w:marTop w:val="0"/>
                                      <w:marBottom w:val="0"/>
                                      <w:divBdr>
                                        <w:top w:val="none" w:sz="0" w:space="0" w:color="auto"/>
                                        <w:left w:val="none" w:sz="0" w:space="0" w:color="auto"/>
                                        <w:bottom w:val="none" w:sz="0" w:space="0" w:color="auto"/>
                                        <w:right w:val="none" w:sz="0" w:space="0" w:color="auto"/>
                                      </w:divBdr>
                                    </w:div>
                                    <w:div w:id="10842521">
                                      <w:marLeft w:val="0"/>
                                      <w:marRight w:val="0"/>
                                      <w:marTop w:val="0"/>
                                      <w:marBottom w:val="0"/>
                                      <w:divBdr>
                                        <w:top w:val="none" w:sz="0" w:space="0" w:color="auto"/>
                                        <w:left w:val="none" w:sz="0" w:space="0" w:color="auto"/>
                                        <w:bottom w:val="none" w:sz="0" w:space="0" w:color="auto"/>
                                        <w:right w:val="none" w:sz="0" w:space="0" w:color="auto"/>
                                      </w:divBdr>
                                    </w:div>
                                    <w:div w:id="23988877">
                                      <w:marLeft w:val="0"/>
                                      <w:marRight w:val="0"/>
                                      <w:marTop w:val="0"/>
                                      <w:marBottom w:val="0"/>
                                      <w:divBdr>
                                        <w:top w:val="none" w:sz="0" w:space="0" w:color="auto"/>
                                        <w:left w:val="none" w:sz="0" w:space="0" w:color="auto"/>
                                        <w:bottom w:val="none" w:sz="0" w:space="0" w:color="auto"/>
                                        <w:right w:val="none" w:sz="0" w:space="0" w:color="auto"/>
                                      </w:divBdr>
                                    </w:div>
                                    <w:div w:id="25646097">
                                      <w:marLeft w:val="0"/>
                                      <w:marRight w:val="0"/>
                                      <w:marTop w:val="0"/>
                                      <w:marBottom w:val="0"/>
                                      <w:divBdr>
                                        <w:top w:val="none" w:sz="0" w:space="0" w:color="auto"/>
                                        <w:left w:val="none" w:sz="0" w:space="0" w:color="auto"/>
                                        <w:bottom w:val="none" w:sz="0" w:space="0" w:color="auto"/>
                                        <w:right w:val="none" w:sz="0" w:space="0" w:color="auto"/>
                                      </w:divBdr>
                                    </w:div>
                                    <w:div w:id="31808758">
                                      <w:marLeft w:val="0"/>
                                      <w:marRight w:val="0"/>
                                      <w:marTop w:val="0"/>
                                      <w:marBottom w:val="0"/>
                                      <w:divBdr>
                                        <w:top w:val="none" w:sz="0" w:space="0" w:color="auto"/>
                                        <w:left w:val="none" w:sz="0" w:space="0" w:color="auto"/>
                                        <w:bottom w:val="none" w:sz="0" w:space="0" w:color="auto"/>
                                        <w:right w:val="none" w:sz="0" w:space="0" w:color="auto"/>
                                      </w:divBdr>
                                    </w:div>
                                    <w:div w:id="36707768">
                                      <w:marLeft w:val="0"/>
                                      <w:marRight w:val="0"/>
                                      <w:marTop w:val="0"/>
                                      <w:marBottom w:val="0"/>
                                      <w:divBdr>
                                        <w:top w:val="none" w:sz="0" w:space="0" w:color="auto"/>
                                        <w:left w:val="none" w:sz="0" w:space="0" w:color="auto"/>
                                        <w:bottom w:val="none" w:sz="0" w:space="0" w:color="auto"/>
                                        <w:right w:val="none" w:sz="0" w:space="0" w:color="auto"/>
                                      </w:divBdr>
                                    </w:div>
                                    <w:div w:id="39787065">
                                      <w:marLeft w:val="0"/>
                                      <w:marRight w:val="0"/>
                                      <w:marTop w:val="0"/>
                                      <w:marBottom w:val="0"/>
                                      <w:divBdr>
                                        <w:top w:val="none" w:sz="0" w:space="0" w:color="auto"/>
                                        <w:left w:val="none" w:sz="0" w:space="0" w:color="auto"/>
                                        <w:bottom w:val="none" w:sz="0" w:space="0" w:color="auto"/>
                                        <w:right w:val="none" w:sz="0" w:space="0" w:color="auto"/>
                                      </w:divBdr>
                                    </w:div>
                                    <w:div w:id="40518590">
                                      <w:marLeft w:val="0"/>
                                      <w:marRight w:val="0"/>
                                      <w:marTop w:val="0"/>
                                      <w:marBottom w:val="0"/>
                                      <w:divBdr>
                                        <w:top w:val="none" w:sz="0" w:space="0" w:color="auto"/>
                                        <w:left w:val="none" w:sz="0" w:space="0" w:color="auto"/>
                                        <w:bottom w:val="none" w:sz="0" w:space="0" w:color="auto"/>
                                        <w:right w:val="none" w:sz="0" w:space="0" w:color="auto"/>
                                      </w:divBdr>
                                    </w:div>
                                    <w:div w:id="61998123">
                                      <w:marLeft w:val="0"/>
                                      <w:marRight w:val="0"/>
                                      <w:marTop w:val="0"/>
                                      <w:marBottom w:val="0"/>
                                      <w:divBdr>
                                        <w:top w:val="none" w:sz="0" w:space="0" w:color="auto"/>
                                        <w:left w:val="none" w:sz="0" w:space="0" w:color="auto"/>
                                        <w:bottom w:val="none" w:sz="0" w:space="0" w:color="auto"/>
                                        <w:right w:val="none" w:sz="0" w:space="0" w:color="auto"/>
                                      </w:divBdr>
                                    </w:div>
                                    <w:div w:id="72515063">
                                      <w:marLeft w:val="0"/>
                                      <w:marRight w:val="0"/>
                                      <w:marTop w:val="0"/>
                                      <w:marBottom w:val="0"/>
                                      <w:divBdr>
                                        <w:top w:val="none" w:sz="0" w:space="0" w:color="auto"/>
                                        <w:left w:val="none" w:sz="0" w:space="0" w:color="auto"/>
                                        <w:bottom w:val="none" w:sz="0" w:space="0" w:color="auto"/>
                                        <w:right w:val="none" w:sz="0" w:space="0" w:color="auto"/>
                                      </w:divBdr>
                                    </w:div>
                                    <w:div w:id="75397784">
                                      <w:marLeft w:val="0"/>
                                      <w:marRight w:val="0"/>
                                      <w:marTop w:val="0"/>
                                      <w:marBottom w:val="0"/>
                                      <w:divBdr>
                                        <w:top w:val="none" w:sz="0" w:space="0" w:color="auto"/>
                                        <w:left w:val="none" w:sz="0" w:space="0" w:color="auto"/>
                                        <w:bottom w:val="none" w:sz="0" w:space="0" w:color="auto"/>
                                        <w:right w:val="none" w:sz="0" w:space="0" w:color="auto"/>
                                      </w:divBdr>
                                    </w:div>
                                    <w:div w:id="79912496">
                                      <w:marLeft w:val="0"/>
                                      <w:marRight w:val="0"/>
                                      <w:marTop w:val="0"/>
                                      <w:marBottom w:val="0"/>
                                      <w:divBdr>
                                        <w:top w:val="none" w:sz="0" w:space="0" w:color="auto"/>
                                        <w:left w:val="none" w:sz="0" w:space="0" w:color="auto"/>
                                        <w:bottom w:val="none" w:sz="0" w:space="0" w:color="auto"/>
                                        <w:right w:val="none" w:sz="0" w:space="0" w:color="auto"/>
                                      </w:divBdr>
                                    </w:div>
                                    <w:div w:id="89350852">
                                      <w:marLeft w:val="0"/>
                                      <w:marRight w:val="0"/>
                                      <w:marTop w:val="0"/>
                                      <w:marBottom w:val="0"/>
                                      <w:divBdr>
                                        <w:top w:val="none" w:sz="0" w:space="0" w:color="auto"/>
                                        <w:left w:val="none" w:sz="0" w:space="0" w:color="auto"/>
                                        <w:bottom w:val="none" w:sz="0" w:space="0" w:color="auto"/>
                                        <w:right w:val="none" w:sz="0" w:space="0" w:color="auto"/>
                                      </w:divBdr>
                                    </w:div>
                                    <w:div w:id="92559097">
                                      <w:marLeft w:val="0"/>
                                      <w:marRight w:val="0"/>
                                      <w:marTop w:val="0"/>
                                      <w:marBottom w:val="0"/>
                                      <w:divBdr>
                                        <w:top w:val="none" w:sz="0" w:space="0" w:color="auto"/>
                                        <w:left w:val="none" w:sz="0" w:space="0" w:color="auto"/>
                                        <w:bottom w:val="none" w:sz="0" w:space="0" w:color="auto"/>
                                        <w:right w:val="none" w:sz="0" w:space="0" w:color="auto"/>
                                      </w:divBdr>
                                    </w:div>
                                    <w:div w:id="94600990">
                                      <w:marLeft w:val="0"/>
                                      <w:marRight w:val="0"/>
                                      <w:marTop w:val="0"/>
                                      <w:marBottom w:val="0"/>
                                      <w:divBdr>
                                        <w:top w:val="none" w:sz="0" w:space="0" w:color="auto"/>
                                        <w:left w:val="none" w:sz="0" w:space="0" w:color="auto"/>
                                        <w:bottom w:val="none" w:sz="0" w:space="0" w:color="auto"/>
                                        <w:right w:val="none" w:sz="0" w:space="0" w:color="auto"/>
                                      </w:divBdr>
                                    </w:div>
                                    <w:div w:id="95103275">
                                      <w:marLeft w:val="0"/>
                                      <w:marRight w:val="0"/>
                                      <w:marTop w:val="0"/>
                                      <w:marBottom w:val="0"/>
                                      <w:divBdr>
                                        <w:top w:val="none" w:sz="0" w:space="0" w:color="auto"/>
                                        <w:left w:val="none" w:sz="0" w:space="0" w:color="auto"/>
                                        <w:bottom w:val="none" w:sz="0" w:space="0" w:color="auto"/>
                                        <w:right w:val="none" w:sz="0" w:space="0" w:color="auto"/>
                                      </w:divBdr>
                                    </w:div>
                                    <w:div w:id="99185989">
                                      <w:marLeft w:val="0"/>
                                      <w:marRight w:val="0"/>
                                      <w:marTop w:val="0"/>
                                      <w:marBottom w:val="0"/>
                                      <w:divBdr>
                                        <w:top w:val="none" w:sz="0" w:space="0" w:color="auto"/>
                                        <w:left w:val="none" w:sz="0" w:space="0" w:color="auto"/>
                                        <w:bottom w:val="none" w:sz="0" w:space="0" w:color="auto"/>
                                        <w:right w:val="none" w:sz="0" w:space="0" w:color="auto"/>
                                      </w:divBdr>
                                    </w:div>
                                    <w:div w:id="101462014">
                                      <w:marLeft w:val="0"/>
                                      <w:marRight w:val="0"/>
                                      <w:marTop w:val="0"/>
                                      <w:marBottom w:val="0"/>
                                      <w:divBdr>
                                        <w:top w:val="none" w:sz="0" w:space="0" w:color="auto"/>
                                        <w:left w:val="none" w:sz="0" w:space="0" w:color="auto"/>
                                        <w:bottom w:val="none" w:sz="0" w:space="0" w:color="auto"/>
                                        <w:right w:val="none" w:sz="0" w:space="0" w:color="auto"/>
                                      </w:divBdr>
                                    </w:div>
                                    <w:div w:id="123499171">
                                      <w:marLeft w:val="0"/>
                                      <w:marRight w:val="0"/>
                                      <w:marTop w:val="0"/>
                                      <w:marBottom w:val="0"/>
                                      <w:divBdr>
                                        <w:top w:val="none" w:sz="0" w:space="0" w:color="auto"/>
                                        <w:left w:val="none" w:sz="0" w:space="0" w:color="auto"/>
                                        <w:bottom w:val="none" w:sz="0" w:space="0" w:color="auto"/>
                                        <w:right w:val="none" w:sz="0" w:space="0" w:color="auto"/>
                                      </w:divBdr>
                                    </w:div>
                                    <w:div w:id="138546485">
                                      <w:marLeft w:val="0"/>
                                      <w:marRight w:val="0"/>
                                      <w:marTop w:val="0"/>
                                      <w:marBottom w:val="0"/>
                                      <w:divBdr>
                                        <w:top w:val="none" w:sz="0" w:space="0" w:color="auto"/>
                                        <w:left w:val="none" w:sz="0" w:space="0" w:color="auto"/>
                                        <w:bottom w:val="none" w:sz="0" w:space="0" w:color="auto"/>
                                        <w:right w:val="none" w:sz="0" w:space="0" w:color="auto"/>
                                      </w:divBdr>
                                    </w:div>
                                    <w:div w:id="139924142">
                                      <w:marLeft w:val="0"/>
                                      <w:marRight w:val="0"/>
                                      <w:marTop w:val="0"/>
                                      <w:marBottom w:val="0"/>
                                      <w:divBdr>
                                        <w:top w:val="none" w:sz="0" w:space="0" w:color="auto"/>
                                        <w:left w:val="none" w:sz="0" w:space="0" w:color="auto"/>
                                        <w:bottom w:val="none" w:sz="0" w:space="0" w:color="auto"/>
                                        <w:right w:val="none" w:sz="0" w:space="0" w:color="auto"/>
                                      </w:divBdr>
                                    </w:div>
                                    <w:div w:id="142478702">
                                      <w:marLeft w:val="0"/>
                                      <w:marRight w:val="0"/>
                                      <w:marTop w:val="0"/>
                                      <w:marBottom w:val="0"/>
                                      <w:divBdr>
                                        <w:top w:val="none" w:sz="0" w:space="0" w:color="auto"/>
                                        <w:left w:val="none" w:sz="0" w:space="0" w:color="auto"/>
                                        <w:bottom w:val="none" w:sz="0" w:space="0" w:color="auto"/>
                                        <w:right w:val="none" w:sz="0" w:space="0" w:color="auto"/>
                                      </w:divBdr>
                                    </w:div>
                                    <w:div w:id="144590623">
                                      <w:marLeft w:val="0"/>
                                      <w:marRight w:val="0"/>
                                      <w:marTop w:val="0"/>
                                      <w:marBottom w:val="0"/>
                                      <w:divBdr>
                                        <w:top w:val="none" w:sz="0" w:space="0" w:color="auto"/>
                                        <w:left w:val="none" w:sz="0" w:space="0" w:color="auto"/>
                                        <w:bottom w:val="none" w:sz="0" w:space="0" w:color="auto"/>
                                        <w:right w:val="none" w:sz="0" w:space="0" w:color="auto"/>
                                      </w:divBdr>
                                    </w:div>
                                    <w:div w:id="146744924">
                                      <w:marLeft w:val="0"/>
                                      <w:marRight w:val="0"/>
                                      <w:marTop w:val="0"/>
                                      <w:marBottom w:val="0"/>
                                      <w:divBdr>
                                        <w:top w:val="none" w:sz="0" w:space="0" w:color="auto"/>
                                        <w:left w:val="none" w:sz="0" w:space="0" w:color="auto"/>
                                        <w:bottom w:val="none" w:sz="0" w:space="0" w:color="auto"/>
                                        <w:right w:val="none" w:sz="0" w:space="0" w:color="auto"/>
                                      </w:divBdr>
                                    </w:div>
                                    <w:div w:id="151215413">
                                      <w:marLeft w:val="0"/>
                                      <w:marRight w:val="0"/>
                                      <w:marTop w:val="0"/>
                                      <w:marBottom w:val="0"/>
                                      <w:divBdr>
                                        <w:top w:val="none" w:sz="0" w:space="0" w:color="auto"/>
                                        <w:left w:val="none" w:sz="0" w:space="0" w:color="auto"/>
                                        <w:bottom w:val="none" w:sz="0" w:space="0" w:color="auto"/>
                                        <w:right w:val="none" w:sz="0" w:space="0" w:color="auto"/>
                                      </w:divBdr>
                                    </w:div>
                                    <w:div w:id="153879060">
                                      <w:marLeft w:val="0"/>
                                      <w:marRight w:val="0"/>
                                      <w:marTop w:val="0"/>
                                      <w:marBottom w:val="0"/>
                                      <w:divBdr>
                                        <w:top w:val="none" w:sz="0" w:space="0" w:color="auto"/>
                                        <w:left w:val="none" w:sz="0" w:space="0" w:color="auto"/>
                                        <w:bottom w:val="none" w:sz="0" w:space="0" w:color="auto"/>
                                        <w:right w:val="none" w:sz="0" w:space="0" w:color="auto"/>
                                      </w:divBdr>
                                    </w:div>
                                    <w:div w:id="155342924">
                                      <w:marLeft w:val="0"/>
                                      <w:marRight w:val="0"/>
                                      <w:marTop w:val="0"/>
                                      <w:marBottom w:val="0"/>
                                      <w:divBdr>
                                        <w:top w:val="none" w:sz="0" w:space="0" w:color="auto"/>
                                        <w:left w:val="none" w:sz="0" w:space="0" w:color="auto"/>
                                        <w:bottom w:val="none" w:sz="0" w:space="0" w:color="auto"/>
                                        <w:right w:val="none" w:sz="0" w:space="0" w:color="auto"/>
                                      </w:divBdr>
                                    </w:div>
                                    <w:div w:id="185556220">
                                      <w:marLeft w:val="0"/>
                                      <w:marRight w:val="0"/>
                                      <w:marTop w:val="0"/>
                                      <w:marBottom w:val="0"/>
                                      <w:divBdr>
                                        <w:top w:val="none" w:sz="0" w:space="0" w:color="auto"/>
                                        <w:left w:val="none" w:sz="0" w:space="0" w:color="auto"/>
                                        <w:bottom w:val="none" w:sz="0" w:space="0" w:color="auto"/>
                                        <w:right w:val="none" w:sz="0" w:space="0" w:color="auto"/>
                                      </w:divBdr>
                                    </w:div>
                                    <w:div w:id="186259842">
                                      <w:marLeft w:val="0"/>
                                      <w:marRight w:val="0"/>
                                      <w:marTop w:val="0"/>
                                      <w:marBottom w:val="0"/>
                                      <w:divBdr>
                                        <w:top w:val="none" w:sz="0" w:space="0" w:color="auto"/>
                                        <w:left w:val="none" w:sz="0" w:space="0" w:color="auto"/>
                                        <w:bottom w:val="none" w:sz="0" w:space="0" w:color="auto"/>
                                        <w:right w:val="none" w:sz="0" w:space="0" w:color="auto"/>
                                      </w:divBdr>
                                    </w:div>
                                    <w:div w:id="191190683">
                                      <w:marLeft w:val="0"/>
                                      <w:marRight w:val="0"/>
                                      <w:marTop w:val="0"/>
                                      <w:marBottom w:val="0"/>
                                      <w:divBdr>
                                        <w:top w:val="none" w:sz="0" w:space="0" w:color="auto"/>
                                        <w:left w:val="none" w:sz="0" w:space="0" w:color="auto"/>
                                        <w:bottom w:val="none" w:sz="0" w:space="0" w:color="auto"/>
                                        <w:right w:val="none" w:sz="0" w:space="0" w:color="auto"/>
                                      </w:divBdr>
                                    </w:div>
                                    <w:div w:id="200822030">
                                      <w:marLeft w:val="0"/>
                                      <w:marRight w:val="0"/>
                                      <w:marTop w:val="0"/>
                                      <w:marBottom w:val="0"/>
                                      <w:divBdr>
                                        <w:top w:val="none" w:sz="0" w:space="0" w:color="auto"/>
                                        <w:left w:val="none" w:sz="0" w:space="0" w:color="auto"/>
                                        <w:bottom w:val="none" w:sz="0" w:space="0" w:color="auto"/>
                                        <w:right w:val="none" w:sz="0" w:space="0" w:color="auto"/>
                                      </w:divBdr>
                                    </w:div>
                                    <w:div w:id="200830147">
                                      <w:marLeft w:val="0"/>
                                      <w:marRight w:val="0"/>
                                      <w:marTop w:val="0"/>
                                      <w:marBottom w:val="0"/>
                                      <w:divBdr>
                                        <w:top w:val="none" w:sz="0" w:space="0" w:color="auto"/>
                                        <w:left w:val="none" w:sz="0" w:space="0" w:color="auto"/>
                                        <w:bottom w:val="none" w:sz="0" w:space="0" w:color="auto"/>
                                        <w:right w:val="none" w:sz="0" w:space="0" w:color="auto"/>
                                      </w:divBdr>
                                    </w:div>
                                    <w:div w:id="200868041">
                                      <w:marLeft w:val="0"/>
                                      <w:marRight w:val="0"/>
                                      <w:marTop w:val="0"/>
                                      <w:marBottom w:val="0"/>
                                      <w:divBdr>
                                        <w:top w:val="none" w:sz="0" w:space="0" w:color="auto"/>
                                        <w:left w:val="none" w:sz="0" w:space="0" w:color="auto"/>
                                        <w:bottom w:val="none" w:sz="0" w:space="0" w:color="auto"/>
                                        <w:right w:val="none" w:sz="0" w:space="0" w:color="auto"/>
                                      </w:divBdr>
                                    </w:div>
                                    <w:div w:id="202207009">
                                      <w:marLeft w:val="0"/>
                                      <w:marRight w:val="0"/>
                                      <w:marTop w:val="0"/>
                                      <w:marBottom w:val="0"/>
                                      <w:divBdr>
                                        <w:top w:val="none" w:sz="0" w:space="0" w:color="auto"/>
                                        <w:left w:val="none" w:sz="0" w:space="0" w:color="auto"/>
                                        <w:bottom w:val="none" w:sz="0" w:space="0" w:color="auto"/>
                                        <w:right w:val="none" w:sz="0" w:space="0" w:color="auto"/>
                                      </w:divBdr>
                                    </w:div>
                                    <w:div w:id="202980168">
                                      <w:marLeft w:val="0"/>
                                      <w:marRight w:val="0"/>
                                      <w:marTop w:val="0"/>
                                      <w:marBottom w:val="0"/>
                                      <w:divBdr>
                                        <w:top w:val="none" w:sz="0" w:space="0" w:color="auto"/>
                                        <w:left w:val="none" w:sz="0" w:space="0" w:color="auto"/>
                                        <w:bottom w:val="none" w:sz="0" w:space="0" w:color="auto"/>
                                        <w:right w:val="none" w:sz="0" w:space="0" w:color="auto"/>
                                      </w:divBdr>
                                    </w:div>
                                    <w:div w:id="224532397">
                                      <w:marLeft w:val="0"/>
                                      <w:marRight w:val="0"/>
                                      <w:marTop w:val="0"/>
                                      <w:marBottom w:val="0"/>
                                      <w:divBdr>
                                        <w:top w:val="none" w:sz="0" w:space="0" w:color="auto"/>
                                        <w:left w:val="none" w:sz="0" w:space="0" w:color="auto"/>
                                        <w:bottom w:val="none" w:sz="0" w:space="0" w:color="auto"/>
                                        <w:right w:val="none" w:sz="0" w:space="0" w:color="auto"/>
                                      </w:divBdr>
                                    </w:div>
                                    <w:div w:id="233859611">
                                      <w:marLeft w:val="0"/>
                                      <w:marRight w:val="0"/>
                                      <w:marTop w:val="0"/>
                                      <w:marBottom w:val="0"/>
                                      <w:divBdr>
                                        <w:top w:val="none" w:sz="0" w:space="0" w:color="auto"/>
                                        <w:left w:val="none" w:sz="0" w:space="0" w:color="auto"/>
                                        <w:bottom w:val="none" w:sz="0" w:space="0" w:color="auto"/>
                                        <w:right w:val="none" w:sz="0" w:space="0" w:color="auto"/>
                                      </w:divBdr>
                                    </w:div>
                                    <w:div w:id="236478379">
                                      <w:marLeft w:val="0"/>
                                      <w:marRight w:val="0"/>
                                      <w:marTop w:val="0"/>
                                      <w:marBottom w:val="0"/>
                                      <w:divBdr>
                                        <w:top w:val="none" w:sz="0" w:space="0" w:color="auto"/>
                                        <w:left w:val="none" w:sz="0" w:space="0" w:color="auto"/>
                                        <w:bottom w:val="none" w:sz="0" w:space="0" w:color="auto"/>
                                        <w:right w:val="none" w:sz="0" w:space="0" w:color="auto"/>
                                      </w:divBdr>
                                    </w:div>
                                    <w:div w:id="244653291">
                                      <w:marLeft w:val="0"/>
                                      <w:marRight w:val="0"/>
                                      <w:marTop w:val="0"/>
                                      <w:marBottom w:val="0"/>
                                      <w:divBdr>
                                        <w:top w:val="none" w:sz="0" w:space="0" w:color="auto"/>
                                        <w:left w:val="none" w:sz="0" w:space="0" w:color="auto"/>
                                        <w:bottom w:val="none" w:sz="0" w:space="0" w:color="auto"/>
                                        <w:right w:val="none" w:sz="0" w:space="0" w:color="auto"/>
                                      </w:divBdr>
                                    </w:div>
                                    <w:div w:id="254637609">
                                      <w:marLeft w:val="0"/>
                                      <w:marRight w:val="0"/>
                                      <w:marTop w:val="0"/>
                                      <w:marBottom w:val="0"/>
                                      <w:divBdr>
                                        <w:top w:val="none" w:sz="0" w:space="0" w:color="auto"/>
                                        <w:left w:val="none" w:sz="0" w:space="0" w:color="auto"/>
                                        <w:bottom w:val="none" w:sz="0" w:space="0" w:color="auto"/>
                                        <w:right w:val="none" w:sz="0" w:space="0" w:color="auto"/>
                                      </w:divBdr>
                                    </w:div>
                                    <w:div w:id="258216205">
                                      <w:marLeft w:val="0"/>
                                      <w:marRight w:val="0"/>
                                      <w:marTop w:val="0"/>
                                      <w:marBottom w:val="0"/>
                                      <w:divBdr>
                                        <w:top w:val="none" w:sz="0" w:space="0" w:color="auto"/>
                                        <w:left w:val="none" w:sz="0" w:space="0" w:color="auto"/>
                                        <w:bottom w:val="none" w:sz="0" w:space="0" w:color="auto"/>
                                        <w:right w:val="none" w:sz="0" w:space="0" w:color="auto"/>
                                      </w:divBdr>
                                    </w:div>
                                    <w:div w:id="258562414">
                                      <w:marLeft w:val="0"/>
                                      <w:marRight w:val="0"/>
                                      <w:marTop w:val="0"/>
                                      <w:marBottom w:val="0"/>
                                      <w:divBdr>
                                        <w:top w:val="none" w:sz="0" w:space="0" w:color="auto"/>
                                        <w:left w:val="none" w:sz="0" w:space="0" w:color="auto"/>
                                        <w:bottom w:val="none" w:sz="0" w:space="0" w:color="auto"/>
                                        <w:right w:val="none" w:sz="0" w:space="0" w:color="auto"/>
                                      </w:divBdr>
                                    </w:div>
                                    <w:div w:id="263417177">
                                      <w:marLeft w:val="0"/>
                                      <w:marRight w:val="0"/>
                                      <w:marTop w:val="0"/>
                                      <w:marBottom w:val="0"/>
                                      <w:divBdr>
                                        <w:top w:val="none" w:sz="0" w:space="0" w:color="auto"/>
                                        <w:left w:val="none" w:sz="0" w:space="0" w:color="auto"/>
                                        <w:bottom w:val="none" w:sz="0" w:space="0" w:color="auto"/>
                                        <w:right w:val="none" w:sz="0" w:space="0" w:color="auto"/>
                                      </w:divBdr>
                                    </w:div>
                                    <w:div w:id="275672903">
                                      <w:marLeft w:val="0"/>
                                      <w:marRight w:val="0"/>
                                      <w:marTop w:val="0"/>
                                      <w:marBottom w:val="0"/>
                                      <w:divBdr>
                                        <w:top w:val="none" w:sz="0" w:space="0" w:color="auto"/>
                                        <w:left w:val="none" w:sz="0" w:space="0" w:color="auto"/>
                                        <w:bottom w:val="none" w:sz="0" w:space="0" w:color="auto"/>
                                        <w:right w:val="none" w:sz="0" w:space="0" w:color="auto"/>
                                      </w:divBdr>
                                    </w:div>
                                    <w:div w:id="279075934">
                                      <w:marLeft w:val="0"/>
                                      <w:marRight w:val="0"/>
                                      <w:marTop w:val="0"/>
                                      <w:marBottom w:val="0"/>
                                      <w:divBdr>
                                        <w:top w:val="none" w:sz="0" w:space="0" w:color="auto"/>
                                        <w:left w:val="none" w:sz="0" w:space="0" w:color="auto"/>
                                        <w:bottom w:val="none" w:sz="0" w:space="0" w:color="auto"/>
                                        <w:right w:val="none" w:sz="0" w:space="0" w:color="auto"/>
                                      </w:divBdr>
                                    </w:div>
                                    <w:div w:id="279384805">
                                      <w:marLeft w:val="0"/>
                                      <w:marRight w:val="0"/>
                                      <w:marTop w:val="0"/>
                                      <w:marBottom w:val="0"/>
                                      <w:divBdr>
                                        <w:top w:val="none" w:sz="0" w:space="0" w:color="auto"/>
                                        <w:left w:val="none" w:sz="0" w:space="0" w:color="auto"/>
                                        <w:bottom w:val="none" w:sz="0" w:space="0" w:color="auto"/>
                                        <w:right w:val="none" w:sz="0" w:space="0" w:color="auto"/>
                                      </w:divBdr>
                                    </w:div>
                                    <w:div w:id="285083138">
                                      <w:marLeft w:val="0"/>
                                      <w:marRight w:val="0"/>
                                      <w:marTop w:val="0"/>
                                      <w:marBottom w:val="0"/>
                                      <w:divBdr>
                                        <w:top w:val="none" w:sz="0" w:space="0" w:color="auto"/>
                                        <w:left w:val="none" w:sz="0" w:space="0" w:color="auto"/>
                                        <w:bottom w:val="none" w:sz="0" w:space="0" w:color="auto"/>
                                        <w:right w:val="none" w:sz="0" w:space="0" w:color="auto"/>
                                      </w:divBdr>
                                    </w:div>
                                    <w:div w:id="287979582">
                                      <w:marLeft w:val="0"/>
                                      <w:marRight w:val="0"/>
                                      <w:marTop w:val="0"/>
                                      <w:marBottom w:val="0"/>
                                      <w:divBdr>
                                        <w:top w:val="none" w:sz="0" w:space="0" w:color="auto"/>
                                        <w:left w:val="none" w:sz="0" w:space="0" w:color="auto"/>
                                        <w:bottom w:val="none" w:sz="0" w:space="0" w:color="auto"/>
                                        <w:right w:val="none" w:sz="0" w:space="0" w:color="auto"/>
                                      </w:divBdr>
                                    </w:div>
                                    <w:div w:id="288821362">
                                      <w:marLeft w:val="0"/>
                                      <w:marRight w:val="0"/>
                                      <w:marTop w:val="0"/>
                                      <w:marBottom w:val="0"/>
                                      <w:divBdr>
                                        <w:top w:val="none" w:sz="0" w:space="0" w:color="auto"/>
                                        <w:left w:val="none" w:sz="0" w:space="0" w:color="auto"/>
                                        <w:bottom w:val="none" w:sz="0" w:space="0" w:color="auto"/>
                                        <w:right w:val="none" w:sz="0" w:space="0" w:color="auto"/>
                                      </w:divBdr>
                                    </w:div>
                                    <w:div w:id="289288772">
                                      <w:marLeft w:val="0"/>
                                      <w:marRight w:val="0"/>
                                      <w:marTop w:val="0"/>
                                      <w:marBottom w:val="0"/>
                                      <w:divBdr>
                                        <w:top w:val="none" w:sz="0" w:space="0" w:color="auto"/>
                                        <w:left w:val="none" w:sz="0" w:space="0" w:color="auto"/>
                                        <w:bottom w:val="none" w:sz="0" w:space="0" w:color="auto"/>
                                        <w:right w:val="none" w:sz="0" w:space="0" w:color="auto"/>
                                      </w:divBdr>
                                    </w:div>
                                    <w:div w:id="301732264">
                                      <w:marLeft w:val="0"/>
                                      <w:marRight w:val="0"/>
                                      <w:marTop w:val="0"/>
                                      <w:marBottom w:val="0"/>
                                      <w:divBdr>
                                        <w:top w:val="none" w:sz="0" w:space="0" w:color="auto"/>
                                        <w:left w:val="none" w:sz="0" w:space="0" w:color="auto"/>
                                        <w:bottom w:val="none" w:sz="0" w:space="0" w:color="auto"/>
                                        <w:right w:val="none" w:sz="0" w:space="0" w:color="auto"/>
                                      </w:divBdr>
                                    </w:div>
                                    <w:div w:id="309360620">
                                      <w:marLeft w:val="0"/>
                                      <w:marRight w:val="0"/>
                                      <w:marTop w:val="0"/>
                                      <w:marBottom w:val="0"/>
                                      <w:divBdr>
                                        <w:top w:val="none" w:sz="0" w:space="0" w:color="auto"/>
                                        <w:left w:val="none" w:sz="0" w:space="0" w:color="auto"/>
                                        <w:bottom w:val="none" w:sz="0" w:space="0" w:color="auto"/>
                                        <w:right w:val="none" w:sz="0" w:space="0" w:color="auto"/>
                                      </w:divBdr>
                                    </w:div>
                                    <w:div w:id="309402806">
                                      <w:marLeft w:val="0"/>
                                      <w:marRight w:val="0"/>
                                      <w:marTop w:val="0"/>
                                      <w:marBottom w:val="0"/>
                                      <w:divBdr>
                                        <w:top w:val="none" w:sz="0" w:space="0" w:color="auto"/>
                                        <w:left w:val="none" w:sz="0" w:space="0" w:color="auto"/>
                                        <w:bottom w:val="none" w:sz="0" w:space="0" w:color="auto"/>
                                        <w:right w:val="none" w:sz="0" w:space="0" w:color="auto"/>
                                      </w:divBdr>
                                    </w:div>
                                    <w:div w:id="312024330">
                                      <w:marLeft w:val="0"/>
                                      <w:marRight w:val="0"/>
                                      <w:marTop w:val="0"/>
                                      <w:marBottom w:val="0"/>
                                      <w:divBdr>
                                        <w:top w:val="none" w:sz="0" w:space="0" w:color="auto"/>
                                        <w:left w:val="none" w:sz="0" w:space="0" w:color="auto"/>
                                        <w:bottom w:val="none" w:sz="0" w:space="0" w:color="auto"/>
                                        <w:right w:val="none" w:sz="0" w:space="0" w:color="auto"/>
                                      </w:divBdr>
                                    </w:div>
                                    <w:div w:id="315111556">
                                      <w:marLeft w:val="0"/>
                                      <w:marRight w:val="0"/>
                                      <w:marTop w:val="0"/>
                                      <w:marBottom w:val="0"/>
                                      <w:divBdr>
                                        <w:top w:val="none" w:sz="0" w:space="0" w:color="auto"/>
                                        <w:left w:val="none" w:sz="0" w:space="0" w:color="auto"/>
                                        <w:bottom w:val="none" w:sz="0" w:space="0" w:color="auto"/>
                                        <w:right w:val="none" w:sz="0" w:space="0" w:color="auto"/>
                                      </w:divBdr>
                                    </w:div>
                                    <w:div w:id="315259068">
                                      <w:marLeft w:val="0"/>
                                      <w:marRight w:val="0"/>
                                      <w:marTop w:val="0"/>
                                      <w:marBottom w:val="0"/>
                                      <w:divBdr>
                                        <w:top w:val="none" w:sz="0" w:space="0" w:color="auto"/>
                                        <w:left w:val="none" w:sz="0" w:space="0" w:color="auto"/>
                                        <w:bottom w:val="none" w:sz="0" w:space="0" w:color="auto"/>
                                        <w:right w:val="none" w:sz="0" w:space="0" w:color="auto"/>
                                      </w:divBdr>
                                    </w:div>
                                    <w:div w:id="315570490">
                                      <w:marLeft w:val="0"/>
                                      <w:marRight w:val="0"/>
                                      <w:marTop w:val="0"/>
                                      <w:marBottom w:val="0"/>
                                      <w:divBdr>
                                        <w:top w:val="none" w:sz="0" w:space="0" w:color="auto"/>
                                        <w:left w:val="none" w:sz="0" w:space="0" w:color="auto"/>
                                        <w:bottom w:val="none" w:sz="0" w:space="0" w:color="auto"/>
                                        <w:right w:val="none" w:sz="0" w:space="0" w:color="auto"/>
                                      </w:divBdr>
                                    </w:div>
                                    <w:div w:id="326829613">
                                      <w:marLeft w:val="0"/>
                                      <w:marRight w:val="0"/>
                                      <w:marTop w:val="0"/>
                                      <w:marBottom w:val="0"/>
                                      <w:divBdr>
                                        <w:top w:val="none" w:sz="0" w:space="0" w:color="auto"/>
                                        <w:left w:val="none" w:sz="0" w:space="0" w:color="auto"/>
                                        <w:bottom w:val="none" w:sz="0" w:space="0" w:color="auto"/>
                                        <w:right w:val="none" w:sz="0" w:space="0" w:color="auto"/>
                                      </w:divBdr>
                                    </w:div>
                                    <w:div w:id="335034363">
                                      <w:marLeft w:val="0"/>
                                      <w:marRight w:val="0"/>
                                      <w:marTop w:val="0"/>
                                      <w:marBottom w:val="0"/>
                                      <w:divBdr>
                                        <w:top w:val="none" w:sz="0" w:space="0" w:color="auto"/>
                                        <w:left w:val="none" w:sz="0" w:space="0" w:color="auto"/>
                                        <w:bottom w:val="none" w:sz="0" w:space="0" w:color="auto"/>
                                        <w:right w:val="none" w:sz="0" w:space="0" w:color="auto"/>
                                      </w:divBdr>
                                    </w:div>
                                    <w:div w:id="337660657">
                                      <w:marLeft w:val="0"/>
                                      <w:marRight w:val="0"/>
                                      <w:marTop w:val="0"/>
                                      <w:marBottom w:val="0"/>
                                      <w:divBdr>
                                        <w:top w:val="none" w:sz="0" w:space="0" w:color="auto"/>
                                        <w:left w:val="none" w:sz="0" w:space="0" w:color="auto"/>
                                        <w:bottom w:val="none" w:sz="0" w:space="0" w:color="auto"/>
                                        <w:right w:val="none" w:sz="0" w:space="0" w:color="auto"/>
                                      </w:divBdr>
                                    </w:div>
                                    <w:div w:id="347873158">
                                      <w:marLeft w:val="0"/>
                                      <w:marRight w:val="0"/>
                                      <w:marTop w:val="0"/>
                                      <w:marBottom w:val="0"/>
                                      <w:divBdr>
                                        <w:top w:val="none" w:sz="0" w:space="0" w:color="auto"/>
                                        <w:left w:val="none" w:sz="0" w:space="0" w:color="auto"/>
                                        <w:bottom w:val="none" w:sz="0" w:space="0" w:color="auto"/>
                                        <w:right w:val="none" w:sz="0" w:space="0" w:color="auto"/>
                                      </w:divBdr>
                                    </w:div>
                                    <w:div w:id="349335600">
                                      <w:marLeft w:val="0"/>
                                      <w:marRight w:val="0"/>
                                      <w:marTop w:val="0"/>
                                      <w:marBottom w:val="0"/>
                                      <w:divBdr>
                                        <w:top w:val="none" w:sz="0" w:space="0" w:color="auto"/>
                                        <w:left w:val="none" w:sz="0" w:space="0" w:color="auto"/>
                                        <w:bottom w:val="none" w:sz="0" w:space="0" w:color="auto"/>
                                        <w:right w:val="none" w:sz="0" w:space="0" w:color="auto"/>
                                      </w:divBdr>
                                    </w:div>
                                    <w:div w:id="350302575">
                                      <w:marLeft w:val="0"/>
                                      <w:marRight w:val="0"/>
                                      <w:marTop w:val="0"/>
                                      <w:marBottom w:val="0"/>
                                      <w:divBdr>
                                        <w:top w:val="none" w:sz="0" w:space="0" w:color="auto"/>
                                        <w:left w:val="none" w:sz="0" w:space="0" w:color="auto"/>
                                        <w:bottom w:val="none" w:sz="0" w:space="0" w:color="auto"/>
                                        <w:right w:val="none" w:sz="0" w:space="0" w:color="auto"/>
                                      </w:divBdr>
                                    </w:div>
                                    <w:div w:id="354817563">
                                      <w:marLeft w:val="0"/>
                                      <w:marRight w:val="0"/>
                                      <w:marTop w:val="0"/>
                                      <w:marBottom w:val="0"/>
                                      <w:divBdr>
                                        <w:top w:val="none" w:sz="0" w:space="0" w:color="auto"/>
                                        <w:left w:val="none" w:sz="0" w:space="0" w:color="auto"/>
                                        <w:bottom w:val="none" w:sz="0" w:space="0" w:color="auto"/>
                                        <w:right w:val="none" w:sz="0" w:space="0" w:color="auto"/>
                                      </w:divBdr>
                                    </w:div>
                                    <w:div w:id="355078952">
                                      <w:marLeft w:val="0"/>
                                      <w:marRight w:val="0"/>
                                      <w:marTop w:val="0"/>
                                      <w:marBottom w:val="0"/>
                                      <w:divBdr>
                                        <w:top w:val="none" w:sz="0" w:space="0" w:color="auto"/>
                                        <w:left w:val="none" w:sz="0" w:space="0" w:color="auto"/>
                                        <w:bottom w:val="none" w:sz="0" w:space="0" w:color="auto"/>
                                        <w:right w:val="none" w:sz="0" w:space="0" w:color="auto"/>
                                      </w:divBdr>
                                    </w:div>
                                    <w:div w:id="355816010">
                                      <w:marLeft w:val="0"/>
                                      <w:marRight w:val="0"/>
                                      <w:marTop w:val="0"/>
                                      <w:marBottom w:val="0"/>
                                      <w:divBdr>
                                        <w:top w:val="none" w:sz="0" w:space="0" w:color="auto"/>
                                        <w:left w:val="none" w:sz="0" w:space="0" w:color="auto"/>
                                        <w:bottom w:val="none" w:sz="0" w:space="0" w:color="auto"/>
                                        <w:right w:val="none" w:sz="0" w:space="0" w:color="auto"/>
                                      </w:divBdr>
                                    </w:div>
                                    <w:div w:id="363166907">
                                      <w:marLeft w:val="0"/>
                                      <w:marRight w:val="0"/>
                                      <w:marTop w:val="0"/>
                                      <w:marBottom w:val="0"/>
                                      <w:divBdr>
                                        <w:top w:val="none" w:sz="0" w:space="0" w:color="auto"/>
                                        <w:left w:val="none" w:sz="0" w:space="0" w:color="auto"/>
                                        <w:bottom w:val="none" w:sz="0" w:space="0" w:color="auto"/>
                                        <w:right w:val="none" w:sz="0" w:space="0" w:color="auto"/>
                                      </w:divBdr>
                                    </w:div>
                                    <w:div w:id="383721153">
                                      <w:marLeft w:val="0"/>
                                      <w:marRight w:val="0"/>
                                      <w:marTop w:val="0"/>
                                      <w:marBottom w:val="0"/>
                                      <w:divBdr>
                                        <w:top w:val="none" w:sz="0" w:space="0" w:color="auto"/>
                                        <w:left w:val="none" w:sz="0" w:space="0" w:color="auto"/>
                                        <w:bottom w:val="none" w:sz="0" w:space="0" w:color="auto"/>
                                        <w:right w:val="none" w:sz="0" w:space="0" w:color="auto"/>
                                      </w:divBdr>
                                    </w:div>
                                    <w:div w:id="383916895">
                                      <w:marLeft w:val="0"/>
                                      <w:marRight w:val="0"/>
                                      <w:marTop w:val="0"/>
                                      <w:marBottom w:val="0"/>
                                      <w:divBdr>
                                        <w:top w:val="none" w:sz="0" w:space="0" w:color="auto"/>
                                        <w:left w:val="none" w:sz="0" w:space="0" w:color="auto"/>
                                        <w:bottom w:val="none" w:sz="0" w:space="0" w:color="auto"/>
                                        <w:right w:val="none" w:sz="0" w:space="0" w:color="auto"/>
                                      </w:divBdr>
                                    </w:div>
                                    <w:div w:id="400756945">
                                      <w:marLeft w:val="0"/>
                                      <w:marRight w:val="0"/>
                                      <w:marTop w:val="0"/>
                                      <w:marBottom w:val="0"/>
                                      <w:divBdr>
                                        <w:top w:val="none" w:sz="0" w:space="0" w:color="auto"/>
                                        <w:left w:val="none" w:sz="0" w:space="0" w:color="auto"/>
                                        <w:bottom w:val="none" w:sz="0" w:space="0" w:color="auto"/>
                                        <w:right w:val="none" w:sz="0" w:space="0" w:color="auto"/>
                                      </w:divBdr>
                                    </w:div>
                                    <w:div w:id="412777577">
                                      <w:marLeft w:val="0"/>
                                      <w:marRight w:val="0"/>
                                      <w:marTop w:val="0"/>
                                      <w:marBottom w:val="0"/>
                                      <w:divBdr>
                                        <w:top w:val="none" w:sz="0" w:space="0" w:color="auto"/>
                                        <w:left w:val="none" w:sz="0" w:space="0" w:color="auto"/>
                                        <w:bottom w:val="none" w:sz="0" w:space="0" w:color="auto"/>
                                        <w:right w:val="none" w:sz="0" w:space="0" w:color="auto"/>
                                      </w:divBdr>
                                    </w:div>
                                    <w:div w:id="414594784">
                                      <w:marLeft w:val="0"/>
                                      <w:marRight w:val="0"/>
                                      <w:marTop w:val="0"/>
                                      <w:marBottom w:val="0"/>
                                      <w:divBdr>
                                        <w:top w:val="none" w:sz="0" w:space="0" w:color="auto"/>
                                        <w:left w:val="none" w:sz="0" w:space="0" w:color="auto"/>
                                        <w:bottom w:val="none" w:sz="0" w:space="0" w:color="auto"/>
                                        <w:right w:val="none" w:sz="0" w:space="0" w:color="auto"/>
                                      </w:divBdr>
                                    </w:div>
                                    <w:div w:id="418718112">
                                      <w:marLeft w:val="0"/>
                                      <w:marRight w:val="0"/>
                                      <w:marTop w:val="0"/>
                                      <w:marBottom w:val="0"/>
                                      <w:divBdr>
                                        <w:top w:val="none" w:sz="0" w:space="0" w:color="auto"/>
                                        <w:left w:val="none" w:sz="0" w:space="0" w:color="auto"/>
                                        <w:bottom w:val="none" w:sz="0" w:space="0" w:color="auto"/>
                                        <w:right w:val="none" w:sz="0" w:space="0" w:color="auto"/>
                                      </w:divBdr>
                                    </w:div>
                                    <w:div w:id="430784061">
                                      <w:marLeft w:val="0"/>
                                      <w:marRight w:val="0"/>
                                      <w:marTop w:val="0"/>
                                      <w:marBottom w:val="0"/>
                                      <w:divBdr>
                                        <w:top w:val="none" w:sz="0" w:space="0" w:color="auto"/>
                                        <w:left w:val="none" w:sz="0" w:space="0" w:color="auto"/>
                                        <w:bottom w:val="none" w:sz="0" w:space="0" w:color="auto"/>
                                        <w:right w:val="none" w:sz="0" w:space="0" w:color="auto"/>
                                      </w:divBdr>
                                    </w:div>
                                    <w:div w:id="437523905">
                                      <w:marLeft w:val="0"/>
                                      <w:marRight w:val="0"/>
                                      <w:marTop w:val="0"/>
                                      <w:marBottom w:val="0"/>
                                      <w:divBdr>
                                        <w:top w:val="none" w:sz="0" w:space="0" w:color="auto"/>
                                        <w:left w:val="none" w:sz="0" w:space="0" w:color="auto"/>
                                        <w:bottom w:val="none" w:sz="0" w:space="0" w:color="auto"/>
                                        <w:right w:val="none" w:sz="0" w:space="0" w:color="auto"/>
                                      </w:divBdr>
                                    </w:div>
                                    <w:div w:id="446434021">
                                      <w:marLeft w:val="0"/>
                                      <w:marRight w:val="0"/>
                                      <w:marTop w:val="0"/>
                                      <w:marBottom w:val="0"/>
                                      <w:divBdr>
                                        <w:top w:val="none" w:sz="0" w:space="0" w:color="auto"/>
                                        <w:left w:val="none" w:sz="0" w:space="0" w:color="auto"/>
                                        <w:bottom w:val="none" w:sz="0" w:space="0" w:color="auto"/>
                                        <w:right w:val="none" w:sz="0" w:space="0" w:color="auto"/>
                                      </w:divBdr>
                                    </w:div>
                                    <w:div w:id="447362253">
                                      <w:marLeft w:val="0"/>
                                      <w:marRight w:val="0"/>
                                      <w:marTop w:val="0"/>
                                      <w:marBottom w:val="0"/>
                                      <w:divBdr>
                                        <w:top w:val="none" w:sz="0" w:space="0" w:color="auto"/>
                                        <w:left w:val="none" w:sz="0" w:space="0" w:color="auto"/>
                                        <w:bottom w:val="none" w:sz="0" w:space="0" w:color="auto"/>
                                        <w:right w:val="none" w:sz="0" w:space="0" w:color="auto"/>
                                      </w:divBdr>
                                    </w:div>
                                    <w:div w:id="449520084">
                                      <w:marLeft w:val="0"/>
                                      <w:marRight w:val="0"/>
                                      <w:marTop w:val="0"/>
                                      <w:marBottom w:val="0"/>
                                      <w:divBdr>
                                        <w:top w:val="none" w:sz="0" w:space="0" w:color="auto"/>
                                        <w:left w:val="none" w:sz="0" w:space="0" w:color="auto"/>
                                        <w:bottom w:val="none" w:sz="0" w:space="0" w:color="auto"/>
                                        <w:right w:val="none" w:sz="0" w:space="0" w:color="auto"/>
                                      </w:divBdr>
                                    </w:div>
                                    <w:div w:id="453136184">
                                      <w:marLeft w:val="0"/>
                                      <w:marRight w:val="0"/>
                                      <w:marTop w:val="0"/>
                                      <w:marBottom w:val="0"/>
                                      <w:divBdr>
                                        <w:top w:val="none" w:sz="0" w:space="0" w:color="auto"/>
                                        <w:left w:val="none" w:sz="0" w:space="0" w:color="auto"/>
                                        <w:bottom w:val="none" w:sz="0" w:space="0" w:color="auto"/>
                                        <w:right w:val="none" w:sz="0" w:space="0" w:color="auto"/>
                                      </w:divBdr>
                                    </w:div>
                                    <w:div w:id="477459719">
                                      <w:marLeft w:val="0"/>
                                      <w:marRight w:val="0"/>
                                      <w:marTop w:val="0"/>
                                      <w:marBottom w:val="0"/>
                                      <w:divBdr>
                                        <w:top w:val="none" w:sz="0" w:space="0" w:color="auto"/>
                                        <w:left w:val="none" w:sz="0" w:space="0" w:color="auto"/>
                                        <w:bottom w:val="none" w:sz="0" w:space="0" w:color="auto"/>
                                        <w:right w:val="none" w:sz="0" w:space="0" w:color="auto"/>
                                      </w:divBdr>
                                    </w:div>
                                    <w:div w:id="483813698">
                                      <w:marLeft w:val="0"/>
                                      <w:marRight w:val="0"/>
                                      <w:marTop w:val="0"/>
                                      <w:marBottom w:val="0"/>
                                      <w:divBdr>
                                        <w:top w:val="none" w:sz="0" w:space="0" w:color="auto"/>
                                        <w:left w:val="none" w:sz="0" w:space="0" w:color="auto"/>
                                        <w:bottom w:val="none" w:sz="0" w:space="0" w:color="auto"/>
                                        <w:right w:val="none" w:sz="0" w:space="0" w:color="auto"/>
                                      </w:divBdr>
                                    </w:div>
                                    <w:div w:id="502008930">
                                      <w:marLeft w:val="0"/>
                                      <w:marRight w:val="0"/>
                                      <w:marTop w:val="0"/>
                                      <w:marBottom w:val="0"/>
                                      <w:divBdr>
                                        <w:top w:val="none" w:sz="0" w:space="0" w:color="auto"/>
                                        <w:left w:val="none" w:sz="0" w:space="0" w:color="auto"/>
                                        <w:bottom w:val="none" w:sz="0" w:space="0" w:color="auto"/>
                                        <w:right w:val="none" w:sz="0" w:space="0" w:color="auto"/>
                                      </w:divBdr>
                                    </w:div>
                                    <w:div w:id="507721520">
                                      <w:marLeft w:val="0"/>
                                      <w:marRight w:val="0"/>
                                      <w:marTop w:val="0"/>
                                      <w:marBottom w:val="0"/>
                                      <w:divBdr>
                                        <w:top w:val="none" w:sz="0" w:space="0" w:color="auto"/>
                                        <w:left w:val="none" w:sz="0" w:space="0" w:color="auto"/>
                                        <w:bottom w:val="none" w:sz="0" w:space="0" w:color="auto"/>
                                        <w:right w:val="none" w:sz="0" w:space="0" w:color="auto"/>
                                      </w:divBdr>
                                    </w:div>
                                    <w:div w:id="516431951">
                                      <w:marLeft w:val="0"/>
                                      <w:marRight w:val="0"/>
                                      <w:marTop w:val="0"/>
                                      <w:marBottom w:val="0"/>
                                      <w:divBdr>
                                        <w:top w:val="none" w:sz="0" w:space="0" w:color="auto"/>
                                        <w:left w:val="none" w:sz="0" w:space="0" w:color="auto"/>
                                        <w:bottom w:val="none" w:sz="0" w:space="0" w:color="auto"/>
                                        <w:right w:val="none" w:sz="0" w:space="0" w:color="auto"/>
                                      </w:divBdr>
                                    </w:div>
                                    <w:div w:id="522861144">
                                      <w:marLeft w:val="0"/>
                                      <w:marRight w:val="0"/>
                                      <w:marTop w:val="0"/>
                                      <w:marBottom w:val="0"/>
                                      <w:divBdr>
                                        <w:top w:val="none" w:sz="0" w:space="0" w:color="auto"/>
                                        <w:left w:val="none" w:sz="0" w:space="0" w:color="auto"/>
                                        <w:bottom w:val="none" w:sz="0" w:space="0" w:color="auto"/>
                                        <w:right w:val="none" w:sz="0" w:space="0" w:color="auto"/>
                                      </w:divBdr>
                                    </w:div>
                                    <w:div w:id="529727657">
                                      <w:marLeft w:val="0"/>
                                      <w:marRight w:val="0"/>
                                      <w:marTop w:val="0"/>
                                      <w:marBottom w:val="0"/>
                                      <w:divBdr>
                                        <w:top w:val="none" w:sz="0" w:space="0" w:color="auto"/>
                                        <w:left w:val="none" w:sz="0" w:space="0" w:color="auto"/>
                                        <w:bottom w:val="none" w:sz="0" w:space="0" w:color="auto"/>
                                        <w:right w:val="none" w:sz="0" w:space="0" w:color="auto"/>
                                      </w:divBdr>
                                    </w:div>
                                    <w:div w:id="530455548">
                                      <w:marLeft w:val="0"/>
                                      <w:marRight w:val="0"/>
                                      <w:marTop w:val="0"/>
                                      <w:marBottom w:val="0"/>
                                      <w:divBdr>
                                        <w:top w:val="none" w:sz="0" w:space="0" w:color="auto"/>
                                        <w:left w:val="none" w:sz="0" w:space="0" w:color="auto"/>
                                        <w:bottom w:val="none" w:sz="0" w:space="0" w:color="auto"/>
                                        <w:right w:val="none" w:sz="0" w:space="0" w:color="auto"/>
                                      </w:divBdr>
                                    </w:div>
                                    <w:div w:id="535969063">
                                      <w:marLeft w:val="0"/>
                                      <w:marRight w:val="0"/>
                                      <w:marTop w:val="0"/>
                                      <w:marBottom w:val="0"/>
                                      <w:divBdr>
                                        <w:top w:val="none" w:sz="0" w:space="0" w:color="auto"/>
                                        <w:left w:val="none" w:sz="0" w:space="0" w:color="auto"/>
                                        <w:bottom w:val="none" w:sz="0" w:space="0" w:color="auto"/>
                                        <w:right w:val="none" w:sz="0" w:space="0" w:color="auto"/>
                                      </w:divBdr>
                                    </w:div>
                                    <w:div w:id="549734434">
                                      <w:marLeft w:val="0"/>
                                      <w:marRight w:val="0"/>
                                      <w:marTop w:val="0"/>
                                      <w:marBottom w:val="0"/>
                                      <w:divBdr>
                                        <w:top w:val="none" w:sz="0" w:space="0" w:color="auto"/>
                                        <w:left w:val="none" w:sz="0" w:space="0" w:color="auto"/>
                                        <w:bottom w:val="none" w:sz="0" w:space="0" w:color="auto"/>
                                        <w:right w:val="none" w:sz="0" w:space="0" w:color="auto"/>
                                      </w:divBdr>
                                    </w:div>
                                    <w:div w:id="553395743">
                                      <w:marLeft w:val="0"/>
                                      <w:marRight w:val="0"/>
                                      <w:marTop w:val="0"/>
                                      <w:marBottom w:val="0"/>
                                      <w:divBdr>
                                        <w:top w:val="none" w:sz="0" w:space="0" w:color="auto"/>
                                        <w:left w:val="none" w:sz="0" w:space="0" w:color="auto"/>
                                        <w:bottom w:val="none" w:sz="0" w:space="0" w:color="auto"/>
                                        <w:right w:val="none" w:sz="0" w:space="0" w:color="auto"/>
                                      </w:divBdr>
                                    </w:div>
                                    <w:div w:id="555119704">
                                      <w:marLeft w:val="0"/>
                                      <w:marRight w:val="0"/>
                                      <w:marTop w:val="0"/>
                                      <w:marBottom w:val="0"/>
                                      <w:divBdr>
                                        <w:top w:val="none" w:sz="0" w:space="0" w:color="auto"/>
                                        <w:left w:val="none" w:sz="0" w:space="0" w:color="auto"/>
                                        <w:bottom w:val="none" w:sz="0" w:space="0" w:color="auto"/>
                                        <w:right w:val="none" w:sz="0" w:space="0" w:color="auto"/>
                                      </w:divBdr>
                                    </w:div>
                                    <w:div w:id="561870687">
                                      <w:marLeft w:val="0"/>
                                      <w:marRight w:val="0"/>
                                      <w:marTop w:val="0"/>
                                      <w:marBottom w:val="0"/>
                                      <w:divBdr>
                                        <w:top w:val="none" w:sz="0" w:space="0" w:color="auto"/>
                                        <w:left w:val="none" w:sz="0" w:space="0" w:color="auto"/>
                                        <w:bottom w:val="none" w:sz="0" w:space="0" w:color="auto"/>
                                        <w:right w:val="none" w:sz="0" w:space="0" w:color="auto"/>
                                      </w:divBdr>
                                    </w:div>
                                    <w:div w:id="567112494">
                                      <w:marLeft w:val="0"/>
                                      <w:marRight w:val="0"/>
                                      <w:marTop w:val="0"/>
                                      <w:marBottom w:val="0"/>
                                      <w:divBdr>
                                        <w:top w:val="none" w:sz="0" w:space="0" w:color="auto"/>
                                        <w:left w:val="none" w:sz="0" w:space="0" w:color="auto"/>
                                        <w:bottom w:val="none" w:sz="0" w:space="0" w:color="auto"/>
                                        <w:right w:val="none" w:sz="0" w:space="0" w:color="auto"/>
                                      </w:divBdr>
                                    </w:div>
                                    <w:div w:id="571738407">
                                      <w:marLeft w:val="0"/>
                                      <w:marRight w:val="0"/>
                                      <w:marTop w:val="0"/>
                                      <w:marBottom w:val="0"/>
                                      <w:divBdr>
                                        <w:top w:val="none" w:sz="0" w:space="0" w:color="auto"/>
                                        <w:left w:val="none" w:sz="0" w:space="0" w:color="auto"/>
                                        <w:bottom w:val="none" w:sz="0" w:space="0" w:color="auto"/>
                                        <w:right w:val="none" w:sz="0" w:space="0" w:color="auto"/>
                                      </w:divBdr>
                                    </w:div>
                                    <w:div w:id="580062587">
                                      <w:marLeft w:val="0"/>
                                      <w:marRight w:val="0"/>
                                      <w:marTop w:val="0"/>
                                      <w:marBottom w:val="0"/>
                                      <w:divBdr>
                                        <w:top w:val="none" w:sz="0" w:space="0" w:color="auto"/>
                                        <w:left w:val="none" w:sz="0" w:space="0" w:color="auto"/>
                                        <w:bottom w:val="none" w:sz="0" w:space="0" w:color="auto"/>
                                        <w:right w:val="none" w:sz="0" w:space="0" w:color="auto"/>
                                      </w:divBdr>
                                    </w:div>
                                    <w:div w:id="580137145">
                                      <w:marLeft w:val="0"/>
                                      <w:marRight w:val="0"/>
                                      <w:marTop w:val="0"/>
                                      <w:marBottom w:val="0"/>
                                      <w:divBdr>
                                        <w:top w:val="none" w:sz="0" w:space="0" w:color="auto"/>
                                        <w:left w:val="none" w:sz="0" w:space="0" w:color="auto"/>
                                        <w:bottom w:val="none" w:sz="0" w:space="0" w:color="auto"/>
                                        <w:right w:val="none" w:sz="0" w:space="0" w:color="auto"/>
                                      </w:divBdr>
                                    </w:div>
                                    <w:div w:id="591666074">
                                      <w:marLeft w:val="0"/>
                                      <w:marRight w:val="0"/>
                                      <w:marTop w:val="0"/>
                                      <w:marBottom w:val="0"/>
                                      <w:divBdr>
                                        <w:top w:val="none" w:sz="0" w:space="0" w:color="auto"/>
                                        <w:left w:val="none" w:sz="0" w:space="0" w:color="auto"/>
                                        <w:bottom w:val="none" w:sz="0" w:space="0" w:color="auto"/>
                                        <w:right w:val="none" w:sz="0" w:space="0" w:color="auto"/>
                                      </w:divBdr>
                                    </w:div>
                                    <w:div w:id="596408904">
                                      <w:marLeft w:val="0"/>
                                      <w:marRight w:val="0"/>
                                      <w:marTop w:val="0"/>
                                      <w:marBottom w:val="0"/>
                                      <w:divBdr>
                                        <w:top w:val="none" w:sz="0" w:space="0" w:color="auto"/>
                                        <w:left w:val="none" w:sz="0" w:space="0" w:color="auto"/>
                                        <w:bottom w:val="none" w:sz="0" w:space="0" w:color="auto"/>
                                        <w:right w:val="none" w:sz="0" w:space="0" w:color="auto"/>
                                      </w:divBdr>
                                    </w:div>
                                    <w:div w:id="612397593">
                                      <w:marLeft w:val="0"/>
                                      <w:marRight w:val="0"/>
                                      <w:marTop w:val="0"/>
                                      <w:marBottom w:val="0"/>
                                      <w:divBdr>
                                        <w:top w:val="none" w:sz="0" w:space="0" w:color="auto"/>
                                        <w:left w:val="none" w:sz="0" w:space="0" w:color="auto"/>
                                        <w:bottom w:val="none" w:sz="0" w:space="0" w:color="auto"/>
                                        <w:right w:val="none" w:sz="0" w:space="0" w:color="auto"/>
                                      </w:divBdr>
                                    </w:div>
                                    <w:div w:id="628709636">
                                      <w:marLeft w:val="0"/>
                                      <w:marRight w:val="0"/>
                                      <w:marTop w:val="0"/>
                                      <w:marBottom w:val="0"/>
                                      <w:divBdr>
                                        <w:top w:val="none" w:sz="0" w:space="0" w:color="auto"/>
                                        <w:left w:val="none" w:sz="0" w:space="0" w:color="auto"/>
                                        <w:bottom w:val="none" w:sz="0" w:space="0" w:color="auto"/>
                                        <w:right w:val="none" w:sz="0" w:space="0" w:color="auto"/>
                                      </w:divBdr>
                                    </w:div>
                                    <w:div w:id="630792064">
                                      <w:marLeft w:val="0"/>
                                      <w:marRight w:val="0"/>
                                      <w:marTop w:val="0"/>
                                      <w:marBottom w:val="0"/>
                                      <w:divBdr>
                                        <w:top w:val="none" w:sz="0" w:space="0" w:color="auto"/>
                                        <w:left w:val="none" w:sz="0" w:space="0" w:color="auto"/>
                                        <w:bottom w:val="none" w:sz="0" w:space="0" w:color="auto"/>
                                        <w:right w:val="none" w:sz="0" w:space="0" w:color="auto"/>
                                      </w:divBdr>
                                    </w:div>
                                    <w:div w:id="633293725">
                                      <w:marLeft w:val="0"/>
                                      <w:marRight w:val="0"/>
                                      <w:marTop w:val="0"/>
                                      <w:marBottom w:val="0"/>
                                      <w:divBdr>
                                        <w:top w:val="none" w:sz="0" w:space="0" w:color="auto"/>
                                        <w:left w:val="none" w:sz="0" w:space="0" w:color="auto"/>
                                        <w:bottom w:val="none" w:sz="0" w:space="0" w:color="auto"/>
                                        <w:right w:val="none" w:sz="0" w:space="0" w:color="auto"/>
                                      </w:divBdr>
                                    </w:div>
                                    <w:div w:id="650985862">
                                      <w:marLeft w:val="0"/>
                                      <w:marRight w:val="0"/>
                                      <w:marTop w:val="0"/>
                                      <w:marBottom w:val="0"/>
                                      <w:divBdr>
                                        <w:top w:val="none" w:sz="0" w:space="0" w:color="auto"/>
                                        <w:left w:val="none" w:sz="0" w:space="0" w:color="auto"/>
                                        <w:bottom w:val="none" w:sz="0" w:space="0" w:color="auto"/>
                                        <w:right w:val="none" w:sz="0" w:space="0" w:color="auto"/>
                                      </w:divBdr>
                                    </w:div>
                                    <w:div w:id="651909138">
                                      <w:marLeft w:val="0"/>
                                      <w:marRight w:val="0"/>
                                      <w:marTop w:val="0"/>
                                      <w:marBottom w:val="0"/>
                                      <w:divBdr>
                                        <w:top w:val="none" w:sz="0" w:space="0" w:color="auto"/>
                                        <w:left w:val="none" w:sz="0" w:space="0" w:color="auto"/>
                                        <w:bottom w:val="none" w:sz="0" w:space="0" w:color="auto"/>
                                        <w:right w:val="none" w:sz="0" w:space="0" w:color="auto"/>
                                      </w:divBdr>
                                    </w:div>
                                    <w:div w:id="655497015">
                                      <w:marLeft w:val="0"/>
                                      <w:marRight w:val="0"/>
                                      <w:marTop w:val="0"/>
                                      <w:marBottom w:val="0"/>
                                      <w:divBdr>
                                        <w:top w:val="none" w:sz="0" w:space="0" w:color="auto"/>
                                        <w:left w:val="none" w:sz="0" w:space="0" w:color="auto"/>
                                        <w:bottom w:val="none" w:sz="0" w:space="0" w:color="auto"/>
                                        <w:right w:val="none" w:sz="0" w:space="0" w:color="auto"/>
                                      </w:divBdr>
                                    </w:div>
                                    <w:div w:id="657266293">
                                      <w:marLeft w:val="0"/>
                                      <w:marRight w:val="0"/>
                                      <w:marTop w:val="0"/>
                                      <w:marBottom w:val="0"/>
                                      <w:divBdr>
                                        <w:top w:val="none" w:sz="0" w:space="0" w:color="auto"/>
                                        <w:left w:val="none" w:sz="0" w:space="0" w:color="auto"/>
                                        <w:bottom w:val="none" w:sz="0" w:space="0" w:color="auto"/>
                                        <w:right w:val="none" w:sz="0" w:space="0" w:color="auto"/>
                                      </w:divBdr>
                                    </w:div>
                                    <w:div w:id="661474455">
                                      <w:marLeft w:val="0"/>
                                      <w:marRight w:val="0"/>
                                      <w:marTop w:val="0"/>
                                      <w:marBottom w:val="0"/>
                                      <w:divBdr>
                                        <w:top w:val="none" w:sz="0" w:space="0" w:color="auto"/>
                                        <w:left w:val="none" w:sz="0" w:space="0" w:color="auto"/>
                                        <w:bottom w:val="none" w:sz="0" w:space="0" w:color="auto"/>
                                        <w:right w:val="none" w:sz="0" w:space="0" w:color="auto"/>
                                      </w:divBdr>
                                    </w:div>
                                    <w:div w:id="686173094">
                                      <w:marLeft w:val="0"/>
                                      <w:marRight w:val="0"/>
                                      <w:marTop w:val="0"/>
                                      <w:marBottom w:val="0"/>
                                      <w:divBdr>
                                        <w:top w:val="none" w:sz="0" w:space="0" w:color="auto"/>
                                        <w:left w:val="none" w:sz="0" w:space="0" w:color="auto"/>
                                        <w:bottom w:val="none" w:sz="0" w:space="0" w:color="auto"/>
                                        <w:right w:val="none" w:sz="0" w:space="0" w:color="auto"/>
                                      </w:divBdr>
                                    </w:div>
                                    <w:div w:id="690836491">
                                      <w:marLeft w:val="0"/>
                                      <w:marRight w:val="0"/>
                                      <w:marTop w:val="0"/>
                                      <w:marBottom w:val="0"/>
                                      <w:divBdr>
                                        <w:top w:val="none" w:sz="0" w:space="0" w:color="auto"/>
                                        <w:left w:val="none" w:sz="0" w:space="0" w:color="auto"/>
                                        <w:bottom w:val="none" w:sz="0" w:space="0" w:color="auto"/>
                                        <w:right w:val="none" w:sz="0" w:space="0" w:color="auto"/>
                                      </w:divBdr>
                                    </w:div>
                                    <w:div w:id="697851471">
                                      <w:marLeft w:val="0"/>
                                      <w:marRight w:val="0"/>
                                      <w:marTop w:val="0"/>
                                      <w:marBottom w:val="0"/>
                                      <w:divBdr>
                                        <w:top w:val="none" w:sz="0" w:space="0" w:color="auto"/>
                                        <w:left w:val="none" w:sz="0" w:space="0" w:color="auto"/>
                                        <w:bottom w:val="none" w:sz="0" w:space="0" w:color="auto"/>
                                        <w:right w:val="none" w:sz="0" w:space="0" w:color="auto"/>
                                      </w:divBdr>
                                    </w:div>
                                    <w:div w:id="705327658">
                                      <w:marLeft w:val="0"/>
                                      <w:marRight w:val="0"/>
                                      <w:marTop w:val="0"/>
                                      <w:marBottom w:val="0"/>
                                      <w:divBdr>
                                        <w:top w:val="none" w:sz="0" w:space="0" w:color="auto"/>
                                        <w:left w:val="none" w:sz="0" w:space="0" w:color="auto"/>
                                        <w:bottom w:val="none" w:sz="0" w:space="0" w:color="auto"/>
                                        <w:right w:val="none" w:sz="0" w:space="0" w:color="auto"/>
                                      </w:divBdr>
                                    </w:div>
                                    <w:div w:id="717558569">
                                      <w:marLeft w:val="0"/>
                                      <w:marRight w:val="0"/>
                                      <w:marTop w:val="0"/>
                                      <w:marBottom w:val="0"/>
                                      <w:divBdr>
                                        <w:top w:val="none" w:sz="0" w:space="0" w:color="auto"/>
                                        <w:left w:val="none" w:sz="0" w:space="0" w:color="auto"/>
                                        <w:bottom w:val="none" w:sz="0" w:space="0" w:color="auto"/>
                                        <w:right w:val="none" w:sz="0" w:space="0" w:color="auto"/>
                                      </w:divBdr>
                                    </w:div>
                                    <w:div w:id="720523893">
                                      <w:marLeft w:val="0"/>
                                      <w:marRight w:val="0"/>
                                      <w:marTop w:val="0"/>
                                      <w:marBottom w:val="0"/>
                                      <w:divBdr>
                                        <w:top w:val="none" w:sz="0" w:space="0" w:color="auto"/>
                                        <w:left w:val="none" w:sz="0" w:space="0" w:color="auto"/>
                                        <w:bottom w:val="none" w:sz="0" w:space="0" w:color="auto"/>
                                        <w:right w:val="none" w:sz="0" w:space="0" w:color="auto"/>
                                      </w:divBdr>
                                    </w:div>
                                    <w:div w:id="725180029">
                                      <w:marLeft w:val="0"/>
                                      <w:marRight w:val="0"/>
                                      <w:marTop w:val="0"/>
                                      <w:marBottom w:val="0"/>
                                      <w:divBdr>
                                        <w:top w:val="none" w:sz="0" w:space="0" w:color="auto"/>
                                        <w:left w:val="none" w:sz="0" w:space="0" w:color="auto"/>
                                        <w:bottom w:val="none" w:sz="0" w:space="0" w:color="auto"/>
                                        <w:right w:val="none" w:sz="0" w:space="0" w:color="auto"/>
                                      </w:divBdr>
                                    </w:div>
                                    <w:div w:id="727610577">
                                      <w:marLeft w:val="0"/>
                                      <w:marRight w:val="0"/>
                                      <w:marTop w:val="0"/>
                                      <w:marBottom w:val="0"/>
                                      <w:divBdr>
                                        <w:top w:val="none" w:sz="0" w:space="0" w:color="auto"/>
                                        <w:left w:val="none" w:sz="0" w:space="0" w:color="auto"/>
                                        <w:bottom w:val="none" w:sz="0" w:space="0" w:color="auto"/>
                                        <w:right w:val="none" w:sz="0" w:space="0" w:color="auto"/>
                                      </w:divBdr>
                                    </w:div>
                                    <w:div w:id="727723665">
                                      <w:marLeft w:val="0"/>
                                      <w:marRight w:val="0"/>
                                      <w:marTop w:val="0"/>
                                      <w:marBottom w:val="0"/>
                                      <w:divBdr>
                                        <w:top w:val="none" w:sz="0" w:space="0" w:color="auto"/>
                                        <w:left w:val="none" w:sz="0" w:space="0" w:color="auto"/>
                                        <w:bottom w:val="none" w:sz="0" w:space="0" w:color="auto"/>
                                        <w:right w:val="none" w:sz="0" w:space="0" w:color="auto"/>
                                      </w:divBdr>
                                    </w:div>
                                    <w:div w:id="731000467">
                                      <w:marLeft w:val="0"/>
                                      <w:marRight w:val="0"/>
                                      <w:marTop w:val="0"/>
                                      <w:marBottom w:val="0"/>
                                      <w:divBdr>
                                        <w:top w:val="none" w:sz="0" w:space="0" w:color="auto"/>
                                        <w:left w:val="none" w:sz="0" w:space="0" w:color="auto"/>
                                        <w:bottom w:val="none" w:sz="0" w:space="0" w:color="auto"/>
                                        <w:right w:val="none" w:sz="0" w:space="0" w:color="auto"/>
                                      </w:divBdr>
                                    </w:div>
                                    <w:div w:id="731076825">
                                      <w:marLeft w:val="0"/>
                                      <w:marRight w:val="0"/>
                                      <w:marTop w:val="0"/>
                                      <w:marBottom w:val="0"/>
                                      <w:divBdr>
                                        <w:top w:val="none" w:sz="0" w:space="0" w:color="auto"/>
                                        <w:left w:val="none" w:sz="0" w:space="0" w:color="auto"/>
                                        <w:bottom w:val="none" w:sz="0" w:space="0" w:color="auto"/>
                                        <w:right w:val="none" w:sz="0" w:space="0" w:color="auto"/>
                                      </w:divBdr>
                                    </w:div>
                                    <w:div w:id="738020952">
                                      <w:marLeft w:val="0"/>
                                      <w:marRight w:val="0"/>
                                      <w:marTop w:val="0"/>
                                      <w:marBottom w:val="0"/>
                                      <w:divBdr>
                                        <w:top w:val="none" w:sz="0" w:space="0" w:color="auto"/>
                                        <w:left w:val="none" w:sz="0" w:space="0" w:color="auto"/>
                                        <w:bottom w:val="none" w:sz="0" w:space="0" w:color="auto"/>
                                        <w:right w:val="none" w:sz="0" w:space="0" w:color="auto"/>
                                      </w:divBdr>
                                    </w:div>
                                    <w:div w:id="738752594">
                                      <w:marLeft w:val="0"/>
                                      <w:marRight w:val="0"/>
                                      <w:marTop w:val="0"/>
                                      <w:marBottom w:val="0"/>
                                      <w:divBdr>
                                        <w:top w:val="none" w:sz="0" w:space="0" w:color="auto"/>
                                        <w:left w:val="none" w:sz="0" w:space="0" w:color="auto"/>
                                        <w:bottom w:val="none" w:sz="0" w:space="0" w:color="auto"/>
                                        <w:right w:val="none" w:sz="0" w:space="0" w:color="auto"/>
                                      </w:divBdr>
                                    </w:div>
                                    <w:div w:id="739061107">
                                      <w:marLeft w:val="0"/>
                                      <w:marRight w:val="0"/>
                                      <w:marTop w:val="0"/>
                                      <w:marBottom w:val="0"/>
                                      <w:divBdr>
                                        <w:top w:val="none" w:sz="0" w:space="0" w:color="auto"/>
                                        <w:left w:val="none" w:sz="0" w:space="0" w:color="auto"/>
                                        <w:bottom w:val="none" w:sz="0" w:space="0" w:color="auto"/>
                                        <w:right w:val="none" w:sz="0" w:space="0" w:color="auto"/>
                                      </w:divBdr>
                                    </w:div>
                                    <w:div w:id="741873023">
                                      <w:marLeft w:val="0"/>
                                      <w:marRight w:val="0"/>
                                      <w:marTop w:val="0"/>
                                      <w:marBottom w:val="0"/>
                                      <w:divBdr>
                                        <w:top w:val="none" w:sz="0" w:space="0" w:color="auto"/>
                                        <w:left w:val="none" w:sz="0" w:space="0" w:color="auto"/>
                                        <w:bottom w:val="none" w:sz="0" w:space="0" w:color="auto"/>
                                        <w:right w:val="none" w:sz="0" w:space="0" w:color="auto"/>
                                      </w:divBdr>
                                    </w:div>
                                    <w:div w:id="743145210">
                                      <w:marLeft w:val="0"/>
                                      <w:marRight w:val="0"/>
                                      <w:marTop w:val="0"/>
                                      <w:marBottom w:val="0"/>
                                      <w:divBdr>
                                        <w:top w:val="none" w:sz="0" w:space="0" w:color="auto"/>
                                        <w:left w:val="none" w:sz="0" w:space="0" w:color="auto"/>
                                        <w:bottom w:val="none" w:sz="0" w:space="0" w:color="auto"/>
                                        <w:right w:val="none" w:sz="0" w:space="0" w:color="auto"/>
                                      </w:divBdr>
                                    </w:div>
                                    <w:div w:id="749273726">
                                      <w:marLeft w:val="0"/>
                                      <w:marRight w:val="0"/>
                                      <w:marTop w:val="0"/>
                                      <w:marBottom w:val="0"/>
                                      <w:divBdr>
                                        <w:top w:val="none" w:sz="0" w:space="0" w:color="auto"/>
                                        <w:left w:val="none" w:sz="0" w:space="0" w:color="auto"/>
                                        <w:bottom w:val="none" w:sz="0" w:space="0" w:color="auto"/>
                                        <w:right w:val="none" w:sz="0" w:space="0" w:color="auto"/>
                                      </w:divBdr>
                                    </w:div>
                                    <w:div w:id="754401655">
                                      <w:marLeft w:val="0"/>
                                      <w:marRight w:val="0"/>
                                      <w:marTop w:val="0"/>
                                      <w:marBottom w:val="0"/>
                                      <w:divBdr>
                                        <w:top w:val="none" w:sz="0" w:space="0" w:color="auto"/>
                                        <w:left w:val="none" w:sz="0" w:space="0" w:color="auto"/>
                                        <w:bottom w:val="none" w:sz="0" w:space="0" w:color="auto"/>
                                        <w:right w:val="none" w:sz="0" w:space="0" w:color="auto"/>
                                      </w:divBdr>
                                    </w:div>
                                    <w:div w:id="759764400">
                                      <w:marLeft w:val="0"/>
                                      <w:marRight w:val="0"/>
                                      <w:marTop w:val="0"/>
                                      <w:marBottom w:val="0"/>
                                      <w:divBdr>
                                        <w:top w:val="none" w:sz="0" w:space="0" w:color="auto"/>
                                        <w:left w:val="none" w:sz="0" w:space="0" w:color="auto"/>
                                        <w:bottom w:val="none" w:sz="0" w:space="0" w:color="auto"/>
                                        <w:right w:val="none" w:sz="0" w:space="0" w:color="auto"/>
                                      </w:divBdr>
                                    </w:div>
                                    <w:div w:id="763190679">
                                      <w:marLeft w:val="0"/>
                                      <w:marRight w:val="0"/>
                                      <w:marTop w:val="0"/>
                                      <w:marBottom w:val="0"/>
                                      <w:divBdr>
                                        <w:top w:val="none" w:sz="0" w:space="0" w:color="auto"/>
                                        <w:left w:val="none" w:sz="0" w:space="0" w:color="auto"/>
                                        <w:bottom w:val="none" w:sz="0" w:space="0" w:color="auto"/>
                                        <w:right w:val="none" w:sz="0" w:space="0" w:color="auto"/>
                                      </w:divBdr>
                                    </w:div>
                                    <w:div w:id="766850297">
                                      <w:marLeft w:val="0"/>
                                      <w:marRight w:val="0"/>
                                      <w:marTop w:val="0"/>
                                      <w:marBottom w:val="0"/>
                                      <w:divBdr>
                                        <w:top w:val="none" w:sz="0" w:space="0" w:color="auto"/>
                                        <w:left w:val="none" w:sz="0" w:space="0" w:color="auto"/>
                                        <w:bottom w:val="none" w:sz="0" w:space="0" w:color="auto"/>
                                        <w:right w:val="none" w:sz="0" w:space="0" w:color="auto"/>
                                      </w:divBdr>
                                    </w:div>
                                    <w:div w:id="771436283">
                                      <w:marLeft w:val="0"/>
                                      <w:marRight w:val="0"/>
                                      <w:marTop w:val="0"/>
                                      <w:marBottom w:val="0"/>
                                      <w:divBdr>
                                        <w:top w:val="none" w:sz="0" w:space="0" w:color="auto"/>
                                        <w:left w:val="none" w:sz="0" w:space="0" w:color="auto"/>
                                        <w:bottom w:val="none" w:sz="0" w:space="0" w:color="auto"/>
                                        <w:right w:val="none" w:sz="0" w:space="0" w:color="auto"/>
                                      </w:divBdr>
                                    </w:div>
                                    <w:div w:id="784349674">
                                      <w:marLeft w:val="0"/>
                                      <w:marRight w:val="0"/>
                                      <w:marTop w:val="0"/>
                                      <w:marBottom w:val="0"/>
                                      <w:divBdr>
                                        <w:top w:val="none" w:sz="0" w:space="0" w:color="auto"/>
                                        <w:left w:val="none" w:sz="0" w:space="0" w:color="auto"/>
                                        <w:bottom w:val="none" w:sz="0" w:space="0" w:color="auto"/>
                                        <w:right w:val="none" w:sz="0" w:space="0" w:color="auto"/>
                                      </w:divBdr>
                                    </w:div>
                                    <w:div w:id="791284432">
                                      <w:marLeft w:val="0"/>
                                      <w:marRight w:val="0"/>
                                      <w:marTop w:val="0"/>
                                      <w:marBottom w:val="0"/>
                                      <w:divBdr>
                                        <w:top w:val="none" w:sz="0" w:space="0" w:color="auto"/>
                                        <w:left w:val="none" w:sz="0" w:space="0" w:color="auto"/>
                                        <w:bottom w:val="none" w:sz="0" w:space="0" w:color="auto"/>
                                        <w:right w:val="none" w:sz="0" w:space="0" w:color="auto"/>
                                      </w:divBdr>
                                    </w:div>
                                    <w:div w:id="793599218">
                                      <w:marLeft w:val="0"/>
                                      <w:marRight w:val="0"/>
                                      <w:marTop w:val="0"/>
                                      <w:marBottom w:val="0"/>
                                      <w:divBdr>
                                        <w:top w:val="none" w:sz="0" w:space="0" w:color="auto"/>
                                        <w:left w:val="none" w:sz="0" w:space="0" w:color="auto"/>
                                        <w:bottom w:val="none" w:sz="0" w:space="0" w:color="auto"/>
                                        <w:right w:val="none" w:sz="0" w:space="0" w:color="auto"/>
                                      </w:divBdr>
                                    </w:div>
                                    <w:div w:id="795880219">
                                      <w:marLeft w:val="0"/>
                                      <w:marRight w:val="0"/>
                                      <w:marTop w:val="0"/>
                                      <w:marBottom w:val="0"/>
                                      <w:divBdr>
                                        <w:top w:val="none" w:sz="0" w:space="0" w:color="auto"/>
                                        <w:left w:val="none" w:sz="0" w:space="0" w:color="auto"/>
                                        <w:bottom w:val="none" w:sz="0" w:space="0" w:color="auto"/>
                                        <w:right w:val="none" w:sz="0" w:space="0" w:color="auto"/>
                                      </w:divBdr>
                                    </w:div>
                                    <w:div w:id="798456004">
                                      <w:marLeft w:val="0"/>
                                      <w:marRight w:val="0"/>
                                      <w:marTop w:val="0"/>
                                      <w:marBottom w:val="0"/>
                                      <w:divBdr>
                                        <w:top w:val="none" w:sz="0" w:space="0" w:color="auto"/>
                                        <w:left w:val="none" w:sz="0" w:space="0" w:color="auto"/>
                                        <w:bottom w:val="none" w:sz="0" w:space="0" w:color="auto"/>
                                        <w:right w:val="none" w:sz="0" w:space="0" w:color="auto"/>
                                      </w:divBdr>
                                    </w:div>
                                    <w:div w:id="800418821">
                                      <w:marLeft w:val="0"/>
                                      <w:marRight w:val="0"/>
                                      <w:marTop w:val="0"/>
                                      <w:marBottom w:val="0"/>
                                      <w:divBdr>
                                        <w:top w:val="none" w:sz="0" w:space="0" w:color="auto"/>
                                        <w:left w:val="none" w:sz="0" w:space="0" w:color="auto"/>
                                        <w:bottom w:val="none" w:sz="0" w:space="0" w:color="auto"/>
                                        <w:right w:val="none" w:sz="0" w:space="0" w:color="auto"/>
                                      </w:divBdr>
                                    </w:div>
                                    <w:div w:id="801189206">
                                      <w:marLeft w:val="0"/>
                                      <w:marRight w:val="0"/>
                                      <w:marTop w:val="0"/>
                                      <w:marBottom w:val="0"/>
                                      <w:divBdr>
                                        <w:top w:val="none" w:sz="0" w:space="0" w:color="auto"/>
                                        <w:left w:val="none" w:sz="0" w:space="0" w:color="auto"/>
                                        <w:bottom w:val="none" w:sz="0" w:space="0" w:color="auto"/>
                                        <w:right w:val="none" w:sz="0" w:space="0" w:color="auto"/>
                                      </w:divBdr>
                                    </w:div>
                                    <w:div w:id="801731210">
                                      <w:marLeft w:val="0"/>
                                      <w:marRight w:val="0"/>
                                      <w:marTop w:val="0"/>
                                      <w:marBottom w:val="0"/>
                                      <w:divBdr>
                                        <w:top w:val="none" w:sz="0" w:space="0" w:color="auto"/>
                                        <w:left w:val="none" w:sz="0" w:space="0" w:color="auto"/>
                                        <w:bottom w:val="none" w:sz="0" w:space="0" w:color="auto"/>
                                        <w:right w:val="none" w:sz="0" w:space="0" w:color="auto"/>
                                      </w:divBdr>
                                    </w:div>
                                    <w:div w:id="804009857">
                                      <w:marLeft w:val="0"/>
                                      <w:marRight w:val="0"/>
                                      <w:marTop w:val="0"/>
                                      <w:marBottom w:val="0"/>
                                      <w:divBdr>
                                        <w:top w:val="none" w:sz="0" w:space="0" w:color="auto"/>
                                        <w:left w:val="none" w:sz="0" w:space="0" w:color="auto"/>
                                        <w:bottom w:val="none" w:sz="0" w:space="0" w:color="auto"/>
                                        <w:right w:val="none" w:sz="0" w:space="0" w:color="auto"/>
                                      </w:divBdr>
                                    </w:div>
                                    <w:div w:id="804741893">
                                      <w:marLeft w:val="0"/>
                                      <w:marRight w:val="0"/>
                                      <w:marTop w:val="0"/>
                                      <w:marBottom w:val="0"/>
                                      <w:divBdr>
                                        <w:top w:val="none" w:sz="0" w:space="0" w:color="auto"/>
                                        <w:left w:val="none" w:sz="0" w:space="0" w:color="auto"/>
                                        <w:bottom w:val="none" w:sz="0" w:space="0" w:color="auto"/>
                                        <w:right w:val="none" w:sz="0" w:space="0" w:color="auto"/>
                                      </w:divBdr>
                                    </w:div>
                                    <w:div w:id="806777494">
                                      <w:marLeft w:val="0"/>
                                      <w:marRight w:val="0"/>
                                      <w:marTop w:val="0"/>
                                      <w:marBottom w:val="0"/>
                                      <w:divBdr>
                                        <w:top w:val="none" w:sz="0" w:space="0" w:color="auto"/>
                                        <w:left w:val="none" w:sz="0" w:space="0" w:color="auto"/>
                                        <w:bottom w:val="none" w:sz="0" w:space="0" w:color="auto"/>
                                        <w:right w:val="none" w:sz="0" w:space="0" w:color="auto"/>
                                      </w:divBdr>
                                    </w:div>
                                    <w:div w:id="813837327">
                                      <w:marLeft w:val="0"/>
                                      <w:marRight w:val="0"/>
                                      <w:marTop w:val="0"/>
                                      <w:marBottom w:val="0"/>
                                      <w:divBdr>
                                        <w:top w:val="none" w:sz="0" w:space="0" w:color="auto"/>
                                        <w:left w:val="none" w:sz="0" w:space="0" w:color="auto"/>
                                        <w:bottom w:val="none" w:sz="0" w:space="0" w:color="auto"/>
                                        <w:right w:val="none" w:sz="0" w:space="0" w:color="auto"/>
                                      </w:divBdr>
                                    </w:div>
                                    <w:div w:id="814027512">
                                      <w:marLeft w:val="0"/>
                                      <w:marRight w:val="0"/>
                                      <w:marTop w:val="0"/>
                                      <w:marBottom w:val="0"/>
                                      <w:divBdr>
                                        <w:top w:val="none" w:sz="0" w:space="0" w:color="auto"/>
                                        <w:left w:val="none" w:sz="0" w:space="0" w:color="auto"/>
                                        <w:bottom w:val="none" w:sz="0" w:space="0" w:color="auto"/>
                                        <w:right w:val="none" w:sz="0" w:space="0" w:color="auto"/>
                                      </w:divBdr>
                                    </w:div>
                                    <w:div w:id="815682385">
                                      <w:marLeft w:val="0"/>
                                      <w:marRight w:val="0"/>
                                      <w:marTop w:val="0"/>
                                      <w:marBottom w:val="0"/>
                                      <w:divBdr>
                                        <w:top w:val="none" w:sz="0" w:space="0" w:color="auto"/>
                                        <w:left w:val="none" w:sz="0" w:space="0" w:color="auto"/>
                                        <w:bottom w:val="none" w:sz="0" w:space="0" w:color="auto"/>
                                        <w:right w:val="none" w:sz="0" w:space="0" w:color="auto"/>
                                      </w:divBdr>
                                    </w:div>
                                    <w:div w:id="819419208">
                                      <w:marLeft w:val="0"/>
                                      <w:marRight w:val="0"/>
                                      <w:marTop w:val="0"/>
                                      <w:marBottom w:val="0"/>
                                      <w:divBdr>
                                        <w:top w:val="none" w:sz="0" w:space="0" w:color="auto"/>
                                        <w:left w:val="none" w:sz="0" w:space="0" w:color="auto"/>
                                        <w:bottom w:val="none" w:sz="0" w:space="0" w:color="auto"/>
                                        <w:right w:val="none" w:sz="0" w:space="0" w:color="auto"/>
                                      </w:divBdr>
                                    </w:div>
                                    <w:div w:id="830103363">
                                      <w:marLeft w:val="0"/>
                                      <w:marRight w:val="0"/>
                                      <w:marTop w:val="0"/>
                                      <w:marBottom w:val="0"/>
                                      <w:divBdr>
                                        <w:top w:val="none" w:sz="0" w:space="0" w:color="auto"/>
                                        <w:left w:val="none" w:sz="0" w:space="0" w:color="auto"/>
                                        <w:bottom w:val="none" w:sz="0" w:space="0" w:color="auto"/>
                                        <w:right w:val="none" w:sz="0" w:space="0" w:color="auto"/>
                                      </w:divBdr>
                                    </w:div>
                                    <w:div w:id="836461176">
                                      <w:marLeft w:val="0"/>
                                      <w:marRight w:val="0"/>
                                      <w:marTop w:val="0"/>
                                      <w:marBottom w:val="0"/>
                                      <w:divBdr>
                                        <w:top w:val="none" w:sz="0" w:space="0" w:color="auto"/>
                                        <w:left w:val="none" w:sz="0" w:space="0" w:color="auto"/>
                                        <w:bottom w:val="none" w:sz="0" w:space="0" w:color="auto"/>
                                        <w:right w:val="none" w:sz="0" w:space="0" w:color="auto"/>
                                      </w:divBdr>
                                    </w:div>
                                    <w:div w:id="837623988">
                                      <w:marLeft w:val="0"/>
                                      <w:marRight w:val="0"/>
                                      <w:marTop w:val="0"/>
                                      <w:marBottom w:val="0"/>
                                      <w:divBdr>
                                        <w:top w:val="none" w:sz="0" w:space="0" w:color="auto"/>
                                        <w:left w:val="none" w:sz="0" w:space="0" w:color="auto"/>
                                        <w:bottom w:val="none" w:sz="0" w:space="0" w:color="auto"/>
                                        <w:right w:val="none" w:sz="0" w:space="0" w:color="auto"/>
                                      </w:divBdr>
                                    </w:div>
                                    <w:div w:id="838079809">
                                      <w:marLeft w:val="0"/>
                                      <w:marRight w:val="0"/>
                                      <w:marTop w:val="0"/>
                                      <w:marBottom w:val="0"/>
                                      <w:divBdr>
                                        <w:top w:val="none" w:sz="0" w:space="0" w:color="auto"/>
                                        <w:left w:val="none" w:sz="0" w:space="0" w:color="auto"/>
                                        <w:bottom w:val="none" w:sz="0" w:space="0" w:color="auto"/>
                                        <w:right w:val="none" w:sz="0" w:space="0" w:color="auto"/>
                                      </w:divBdr>
                                    </w:div>
                                    <w:div w:id="846094010">
                                      <w:marLeft w:val="0"/>
                                      <w:marRight w:val="0"/>
                                      <w:marTop w:val="0"/>
                                      <w:marBottom w:val="0"/>
                                      <w:divBdr>
                                        <w:top w:val="none" w:sz="0" w:space="0" w:color="auto"/>
                                        <w:left w:val="none" w:sz="0" w:space="0" w:color="auto"/>
                                        <w:bottom w:val="none" w:sz="0" w:space="0" w:color="auto"/>
                                        <w:right w:val="none" w:sz="0" w:space="0" w:color="auto"/>
                                      </w:divBdr>
                                    </w:div>
                                    <w:div w:id="856314324">
                                      <w:marLeft w:val="0"/>
                                      <w:marRight w:val="0"/>
                                      <w:marTop w:val="0"/>
                                      <w:marBottom w:val="0"/>
                                      <w:divBdr>
                                        <w:top w:val="none" w:sz="0" w:space="0" w:color="auto"/>
                                        <w:left w:val="none" w:sz="0" w:space="0" w:color="auto"/>
                                        <w:bottom w:val="none" w:sz="0" w:space="0" w:color="auto"/>
                                        <w:right w:val="none" w:sz="0" w:space="0" w:color="auto"/>
                                      </w:divBdr>
                                    </w:div>
                                    <w:div w:id="863130708">
                                      <w:marLeft w:val="0"/>
                                      <w:marRight w:val="0"/>
                                      <w:marTop w:val="0"/>
                                      <w:marBottom w:val="0"/>
                                      <w:divBdr>
                                        <w:top w:val="none" w:sz="0" w:space="0" w:color="auto"/>
                                        <w:left w:val="none" w:sz="0" w:space="0" w:color="auto"/>
                                        <w:bottom w:val="none" w:sz="0" w:space="0" w:color="auto"/>
                                        <w:right w:val="none" w:sz="0" w:space="0" w:color="auto"/>
                                      </w:divBdr>
                                    </w:div>
                                    <w:div w:id="865750068">
                                      <w:marLeft w:val="0"/>
                                      <w:marRight w:val="0"/>
                                      <w:marTop w:val="0"/>
                                      <w:marBottom w:val="0"/>
                                      <w:divBdr>
                                        <w:top w:val="none" w:sz="0" w:space="0" w:color="auto"/>
                                        <w:left w:val="none" w:sz="0" w:space="0" w:color="auto"/>
                                        <w:bottom w:val="none" w:sz="0" w:space="0" w:color="auto"/>
                                        <w:right w:val="none" w:sz="0" w:space="0" w:color="auto"/>
                                      </w:divBdr>
                                    </w:div>
                                    <w:div w:id="868568092">
                                      <w:marLeft w:val="0"/>
                                      <w:marRight w:val="0"/>
                                      <w:marTop w:val="0"/>
                                      <w:marBottom w:val="0"/>
                                      <w:divBdr>
                                        <w:top w:val="none" w:sz="0" w:space="0" w:color="auto"/>
                                        <w:left w:val="none" w:sz="0" w:space="0" w:color="auto"/>
                                        <w:bottom w:val="none" w:sz="0" w:space="0" w:color="auto"/>
                                        <w:right w:val="none" w:sz="0" w:space="0" w:color="auto"/>
                                      </w:divBdr>
                                    </w:div>
                                    <w:div w:id="871571683">
                                      <w:marLeft w:val="0"/>
                                      <w:marRight w:val="0"/>
                                      <w:marTop w:val="0"/>
                                      <w:marBottom w:val="0"/>
                                      <w:divBdr>
                                        <w:top w:val="none" w:sz="0" w:space="0" w:color="auto"/>
                                        <w:left w:val="none" w:sz="0" w:space="0" w:color="auto"/>
                                        <w:bottom w:val="none" w:sz="0" w:space="0" w:color="auto"/>
                                        <w:right w:val="none" w:sz="0" w:space="0" w:color="auto"/>
                                      </w:divBdr>
                                    </w:div>
                                    <w:div w:id="877014269">
                                      <w:marLeft w:val="0"/>
                                      <w:marRight w:val="0"/>
                                      <w:marTop w:val="0"/>
                                      <w:marBottom w:val="0"/>
                                      <w:divBdr>
                                        <w:top w:val="none" w:sz="0" w:space="0" w:color="auto"/>
                                        <w:left w:val="none" w:sz="0" w:space="0" w:color="auto"/>
                                        <w:bottom w:val="none" w:sz="0" w:space="0" w:color="auto"/>
                                        <w:right w:val="none" w:sz="0" w:space="0" w:color="auto"/>
                                      </w:divBdr>
                                    </w:div>
                                    <w:div w:id="877396774">
                                      <w:marLeft w:val="0"/>
                                      <w:marRight w:val="0"/>
                                      <w:marTop w:val="0"/>
                                      <w:marBottom w:val="0"/>
                                      <w:divBdr>
                                        <w:top w:val="none" w:sz="0" w:space="0" w:color="auto"/>
                                        <w:left w:val="none" w:sz="0" w:space="0" w:color="auto"/>
                                        <w:bottom w:val="none" w:sz="0" w:space="0" w:color="auto"/>
                                        <w:right w:val="none" w:sz="0" w:space="0" w:color="auto"/>
                                      </w:divBdr>
                                    </w:div>
                                    <w:div w:id="885602735">
                                      <w:marLeft w:val="0"/>
                                      <w:marRight w:val="0"/>
                                      <w:marTop w:val="0"/>
                                      <w:marBottom w:val="0"/>
                                      <w:divBdr>
                                        <w:top w:val="none" w:sz="0" w:space="0" w:color="auto"/>
                                        <w:left w:val="none" w:sz="0" w:space="0" w:color="auto"/>
                                        <w:bottom w:val="none" w:sz="0" w:space="0" w:color="auto"/>
                                        <w:right w:val="none" w:sz="0" w:space="0" w:color="auto"/>
                                      </w:divBdr>
                                    </w:div>
                                    <w:div w:id="889001126">
                                      <w:marLeft w:val="0"/>
                                      <w:marRight w:val="0"/>
                                      <w:marTop w:val="0"/>
                                      <w:marBottom w:val="0"/>
                                      <w:divBdr>
                                        <w:top w:val="none" w:sz="0" w:space="0" w:color="auto"/>
                                        <w:left w:val="none" w:sz="0" w:space="0" w:color="auto"/>
                                        <w:bottom w:val="none" w:sz="0" w:space="0" w:color="auto"/>
                                        <w:right w:val="none" w:sz="0" w:space="0" w:color="auto"/>
                                      </w:divBdr>
                                    </w:div>
                                    <w:div w:id="890924129">
                                      <w:marLeft w:val="0"/>
                                      <w:marRight w:val="0"/>
                                      <w:marTop w:val="0"/>
                                      <w:marBottom w:val="0"/>
                                      <w:divBdr>
                                        <w:top w:val="none" w:sz="0" w:space="0" w:color="auto"/>
                                        <w:left w:val="none" w:sz="0" w:space="0" w:color="auto"/>
                                        <w:bottom w:val="none" w:sz="0" w:space="0" w:color="auto"/>
                                        <w:right w:val="none" w:sz="0" w:space="0" w:color="auto"/>
                                      </w:divBdr>
                                    </w:div>
                                    <w:div w:id="895971638">
                                      <w:marLeft w:val="0"/>
                                      <w:marRight w:val="0"/>
                                      <w:marTop w:val="0"/>
                                      <w:marBottom w:val="0"/>
                                      <w:divBdr>
                                        <w:top w:val="none" w:sz="0" w:space="0" w:color="auto"/>
                                        <w:left w:val="none" w:sz="0" w:space="0" w:color="auto"/>
                                        <w:bottom w:val="none" w:sz="0" w:space="0" w:color="auto"/>
                                        <w:right w:val="none" w:sz="0" w:space="0" w:color="auto"/>
                                      </w:divBdr>
                                    </w:div>
                                    <w:div w:id="896089420">
                                      <w:marLeft w:val="0"/>
                                      <w:marRight w:val="0"/>
                                      <w:marTop w:val="0"/>
                                      <w:marBottom w:val="0"/>
                                      <w:divBdr>
                                        <w:top w:val="none" w:sz="0" w:space="0" w:color="auto"/>
                                        <w:left w:val="none" w:sz="0" w:space="0" w:color="auto"/>
                                        <w:bottom w:val="none" w:sz="0" w:space="0" w:color="auto"/>
                                        <w:right w:val="none" w:sz="0" w:space="0" w:color="auto"/>
                                      </w:divBdr>
                                    </w:div>
                                    <w:div w:id="905726699">
                                      <w:marLeft w:val="0"/>
                                      <w:marRight w:val="0"/>
                                      <w:marTop w:val="0"/>
                                      <w:marBottom w:val="0"/>
                                      <w:divBdr>
                                        <w:top w:val="none" w:sz="0" w:space="0" w:color="auto"/>
                                        <w:left w:val="none" w:sz="0" w:space="0" w:color="auto"/>
                                        <w:bottom w:val="none" w:sz="0" w:space="0" w:color="auto"/>
                                        <w:right w:val="none" w:sz="0" w:space="0" w:color="auto"/>
                                      </w:divBdr>
                                    </w:div>
                                    <w:div w:id="909972205">
                                      <w:marLeft w:val="0"/>
                                      <w:marRight w:val="0"/>
                                      <w:marTop w:val="0"/>
                                      <w:marBottom w:val="0"/>
                                      <w:divBdr>
                                        <w:top w:val="none" w:sz="0" w:space="0" w:color="auto"/>
                                        <w:left w:val="none" w:sz="0" w:space="0" w:color="auto"/>
                                        <w:bottom w:val="none" w:sz="0" w:space="0" w:color="auto"/>
                                        <w:right w:val="none" w:sz="0" w:space="0" w:color="auto"/>
                                      </w:divBdr>
                                    </w:div>
                                    <w:div w:id="919677336">
                                      <w:marLeft w:val="0"/>
                                      <w:marRight w:val="0"/>
                                      <w:marTop w:val="0"/>
                                      <w:marBottom w:val="0"/>
                                      <w:divBdr>
                                        <w:top w:val="none" w:sz="0" w:space="0" w:color="auto"/>
                                        <w:left w:val="none" w:sz="0" w:space="0" w:color="auto"/>
                                        <w:bottom w:val="none" w:sz="0" w:space="0" w:color="auto"/>
                                        <w:right w:val="none" w:sz="0" w:space="0" w:color="auto"/>
                                      </w:divBdr>
                                    </w:div>
                                    <w:div w:id="924727596">
                                      <w:marLeft w:val="0"/>
                                      <w:marRight w:val="0"/>
                                      <w:marTop w:val="0"/>
                                      <w:marBottom w:val="0"/>
                                      <w:divBdr>
                                        <w:top w:val="none" w:sz="0" w:space="0" w:color="auto"/>
                                        <w:left w:val="none" w:sz="0" w:space="0" w:color="auto"/>
                                        <w:bottom w:val="none" w:sz="0" w:space="0" w:color="auto"/>
                                        <w:right w:val="none" w:sz="0" w:space="0" w:color="auto"/>
                                      </w:divBdr>
                                    </w:div>
                                    <w:div w:id="937640803">
                                      <w:marLeft w:val="0"/>
                                      <w:marRight w:val="0"/>
                                      <w:marTop w:val="0"/>
                                      <w:marBottom w:val="0"/>
                                      <w:divBdr>
                                        <w:top w:val="none" w:sz="0" w:space="0" w:color="auto"/>
                                        <w:left w:val="none" w:sz="0" w:space="0" w:color="auto"/>
                                        <w:bottom w:val="none" w:sz="0" w:space="0" w:color="auto"/>
                                        <w:right w:val="none" w:sz="0" w:space="0" w:color="auto"/>
                                      </w:divBdr>
                                    </w:div>
                                    <w:div w:id="943610250">
                                      <w:marLeft w:val="0"/>
                                      <w:marRight w:val="0"/>
                                      <w:marTop w:val="0"/>
                                      <w:marBottom w:val="0"/>
                                      <w:divBdr>
                                        <w:top w:val="none" w:sz="0" w:space="0" w:color="auto"/>
                                        <w:left w:val="none" w:sz="0" w:space="0" w:color="auto"/>
                                        <w:bottom w:val="none" w:sz="0" w:space="0" w:color="auto"/>
                                        <w:right w:val="none" w:sz="0" w:space="0" w:color="auto"/>
                                      </w:divBdr>
                                    </w:div>
                                    <w:div w:id="946304589">
                                      <w:marLeft w:val="0"/>
                                      <w:marRight w:val="0"/>
                                      <w:marTop w:val="0"/>
                                      <w:marBottom w:val="0"/>
                                      <w:divBdr>
                                        <w:top w:val="none" w:sz="0" w:space="0" w:color="auto"/>
                                        <w:left w:val="none" w:sz="0" w:space="0" w:color="auto"/>
                                        <w:bottom w:val="none" w:sz="0" w:space="0" w:color="auto"/>
                                        <w:right w:val="none" w:sz="0" w:space="0" w:color="auto"/>
                                      </w:divBdr>
                                    </w:div>
                                    <w:div w:id="953364086">
                                      <w:marLeft w:val="0"/>
                                      <w:marRight w:val="0"/>
                                      <w:marTop w:val="0"/>
                                      <w:marBottom w:val="0"/>
                                      <w:divBdr>
                                        <w:top w:val="none" w:sz="0" w:space="0" w:color="auto"/>
                                        <w:left w:val="none" w:sz="0" w:space="0" w:color="auto"/>
                                        <w:bottom w:val="none" w:sz="0" w:space="0" w:color="auto"/>
                                        <w:right w:val="none" w:sz="0" w:space="0" w:color="auto"/>
                                      </w:divBdr>
                                    </w:div>
                                    <w:div w:id="957372477">
                                      <w:marLeft w:val="0"/>
                                      <w:marRight w:val="0"/>
                                      <w:marTop w:val="0"/>
                                      <w:marBottom w:val="0"/>
                                      <w:divBdr>
                                        <w:top w:val="none" w:sz="0" w:space="0" w:color="auto"/>
                                        <w:left w:val="none" w:sz="0" w:space="0" w:color="auto"/>
                                        <w:bottom w:val="none" w:sz="0" w:space="0" w:color="auto"/>
                                        <w:right w:val="none" w:sz="0" w:space="0" w:color="auto"/>
                                      </w:divBdr>
                                    </w:div>
                                    <w:div w:id="960189750">
                                      <w:marLeft w:val="0"/>
                                      <w:marRight w:val="0"/>
                                      <w:marTop w:val="0"/>
                                      <w:marBottom w:val="0"/>
                                      <w:divBdr>
                                        <w:top w:val="none" w:sz="0" w:space="0" w:color="auto"/>
                                        <w:left w:val="none" w:sz="0" w:space="0" w:color="auto"/>
                                        <w:bottom w:val="none" w:sz="0" w:space="0" w:color="auto"/>
                                        <w:right w:val="none" w:sz="0" w:space="0" w:color="auto"/>
                                      </w:divBdr>
                                    </w:div>
                                    <w:div w:id="960720287">
                                      <w:marLeft w:val="0"/>
                                      <w:marRight w:val="0"/>
                                      <w:marTop w:val="0"/>
                                      <w:marBottom w:val="0"/>
                                      <w:divBdr>
                                        <w:top w:val="none" w:sz="0" w:space="0" w:color="auto"/>
                                        <w:left w:val="none" w:sz="0" w:space="0" w:color="auto"/>
                                        <w:bottom w:val="none" w:sz="0" w:space="0" w:color="auto"/>
                                        <w:right w:val="none" w:sz="0" w:space="0" w:color="auto"/>
                                      </w:divBdr>
                                    </w:div>
                                    <w:div w:id="961955544">
                                      <w:marLeft w:val="0"/>
                                      <w:marRight w:val="0"/>
                                      <w:marTop w:val="0"/>
                                      <w:marBottom w:val="0"/>
                                      <w:divBdr>
                                        <w:top w:val="none" w:sz="0" w:space="0" w:color="auto"/>
                                        <w:left w:val="none" w:sz="0" w:space="0" w:color="auto"/>
                                        <w:bottom w:val="none" w:sz="0" w:space="0" w:color="auto"/>
                                        <w:right w:val="none" w:sz="0" w:space="0" w:color="auto"/>
                                      </w:divBdr>
                                    </w:div>
                                    <w:div w:id="961960988">
                                      <w:marLeft w:val="0"/>
                                      <w:marRight w:val="0"/>
                                      <w:marTop w:val="0"/>
                                      <w:marBottom w:val="0"/>
                                      <w:divBdr>
                                        <w:top w:val="none" w:sz="0" w:space="0" w:color="auto"/>
                                        <w:left w:val="none" w:sz="0" w:space="0" w:color="auto"/>
                                        <w:bottom w:val="none" w:sz="0" w:space="0" w:color="auto"/>
                                        <w:right w:val="none" w:sz="0" w:space="0" w:color="auto"/>
                                      </w:divBdr>
                                    </w:div>
                                    <w:div w:id="968828569">
                                      <w:marLeft w:val="0"/>
                                      <w:marRight w:val="0"/>
                                      <w:marTop w:val="0"/>
                                      <w:marBottom w:val="0"/>
                                      <w:divBdr>
                                        <w:top w:val="none" w:sz="0" w:space="0" w:color="auto"/>
                                        <w:left w:val="none" w:sz="0" w:space="0" w:color="auto"/>
                                        <w:bottom w:val="none" w:sz="0" w:space="0" w:color="auto"/>
                                        <w:right w:val="none" w:sz="0" w:space="0" w:color="auto"/>
                                      </w:divBdr>
                                    </w:div>
                                    <w:div w:id="969437248">
                                      <w:marLeft w:val="0"/>
                                      <w:marRight w:val="0"/>
                                      <w:marTop w:val="0"/>
                                      <w:marBottom w:val="0"/>
                                      <w:divBdr>
                                        <w:top w:val="none" w:sz="0" w:space="0" w:color="auto"/>
                                        <w:left w:val="none" w:sz="0" w:space="0" w:color="auto"/>
                                        <w:bottom w:val="none" w:sz="0" w:space="0" w:color="auto"/>
                                        <w:right w:val="none" w:sz="0" w:space="0" w:color="auto"/>
                                      </w:divBdr>
                                    </w:div>
                                    <w:div w:id="970331342">
                                      <w:marLeft w:val="0"/>
                                      <w:marRight w:val="0"/>
                                      <w:marTop w:val="0"/>
                                      <w:marBottom w:val="0"/>
                                      <w:divBdr>
                                        <w:top w:val="none" w:sz="0" w:space="0" w:color="auto"/>
                                        <w:left w:val="none" w:sz="0" w:space="0" w:color="auto"/>
                                        <w:bottom w:val="none" w:sz="0" w:space="0" w:color="auto"/>
                                        <w:right w:val="none" w:sz="0" w:space="0" w:color="auto"/>
                                      </w:divBdr>
                                    </w:div>
                                    <w:div w:id="971330306">
                                      <w:marLeft w:val="0"/>
                                      <w:marRight w:val="0"/>
                                      <w:marTop w:val="0"/>
                                      <w:marBottom w:val="0"/>
                                      <w:divBdr>
                                        <w:top w:val="none" w:sz="0" w:space="0" w:color="auto"/>
                                        <w:left w:val="none" w:sz="0" w:space="0" w:color="auto"/>
                                        <w:bottom w:val="none" w:sz="0" w:space="0" w:color="auto"/>
                                        <w:right w:val="none" w:sz="0" w:space="0" w:color="auto"/>
                                      </w:divBdr>
                                    </w:div>
                                    <w:div w:id="974605176">
                                      <w:marLeft w:val="0"/>
                                      <w:marRight w:val="0"/>
                                      <w:marTop w:val="0"/>
                                      <w:marBottom w:val="0"/>
                                      <w:divBdr>
                                        <w:top w:val="none" w:sz="0" w:space="0" w:color="auto"/>
                                        <w:left w:val="none" w:sz="0" w:space="0" w:color="auto"/>
                                        <w:bottom w:val="none" w:sz="0" w:space="0" w:color="auto"/>
                                        <w:right w:val="none" w:sz="0" w:space="0" w:color="auto"/>
                                      </w:divBdr>
                                    </w:div>
                                    <w:div w:id="983434766">
                                      <w:marLeft w:val="0"/>
                                      <w:marRight w:val="0"/>
                                      <w:marTop w:val="0"/>
                                      <w:marBottom w:val="0"/>
                                      <w:divBdr>
                                        <w:top w:val="none" w:sz="0" w:space="0" w:color="auto"/>
                                        <w:left w:val="none" w:sz="0" w:space="0" w:color="auto"/>
                                        <w:bottom w:val="none" w:sz="0" w:space="0" w:color="auto"/>
                                        <w:right w:val="none" w:sz="0" w:space="0" w:color="auto"/>
                                      </w:divBdr>
                                    </w:div>
                                    <w:div w:id="984235247">
                                      <w:marLeft w:val="0"/>
                                      <w:marRight w:val="0"/>
                                      <w:marTop w:val="0"/>
                                      <w:marBottom w:val="0"/>
                                      <w:divBdr>
                                        <w:top w:val="none" w:sz="0" w:space="0" w:color="auto"/>
                                        <w:left w:val="none" w:sz="0" w:space="0" w:color="auto"/>
                                        <w:bottom w:val="none" w:sz="0" w:space="0" w:color="auto"/>
                                        <w:right w:val="none" w:sz="0" w:space="0" w:color="auto"/>
                                      </w:divBdr>
                                    </w:div>
                                    <w:div w:id="984771661">
                                      <w:marLeft w:val="0"/>
                                      <w:marRight w:val="0"/>
                                      <w:marTop w:val="0"/>
                                      <w:marBottom w:val="0"/>
                                      <w:divBdr>
                                        <w:top w:val="none" w:sz="0" w:space="0" w:color="auto"/>
                                        <w:left w:val="none" w:sz="0" w:space="0" w:color="auto"/>
                                        <w:bottom w:val="none" w:sz="0" w:space="0" w:color="auto"/>
                                        <w:right w:val="none" w:sz="0" w:space="0" w:color="auto"/>
                                      </w:divBdr>
                                    </w:div>
                                    <w:div w:id="990671827">
                                      <w:marLeft w:val="0"/>
                                      <w:marRight w:val="0"/>
                                      <w:marTop w:val="0"/>
                                      <w:marBottom w:val="0"/>
                                      <w:divBdr>
                                        <w:top w:val="none" w:sz="0" w:space="0" w:color="auto"/>
                                        <w:left w:val="none" w:sz="0" w:space="0" w:color="auto"/>
                                        <w:bottom w:val="none" w:sz="0" w:space="0" w:color="auto"/>
                                        <w:right w:val="none" w:sz="0" w:space="0" w:color="auto"/>
                                      </w:divBdr>
                                    </w:div>
                                    <w:div w:id="999120982">
                                      <w:marLeft w:val="0"/>
                                      <w:marRight w:val="0"/>
                                      <w:marTop w:val="0"/>
                                      <w:marBottom w:val="0"/>
                                      <w:divBdr>
                                        <w:top w:val="none" w:sz="0" w:space="0" w:color="auto"/>
                                        <w:left w:val="none" w:sz="0" w:space="0" w:color="auto"/>
                                        <w:bottom w:val="none" w:sz="0" w:space="0" w:color="auto"/>
                                        <w:right w:val="none" w:sz="0" w:space="0" w:color="auto"/>
                                      </w:divBdr>
                                    </w:div>
                                    <w:div w:id="999847787">
                                      <w:marLeft w:val="0"/>
                                      <w:marRight w:val="0"/>
                                      <w:marTop w:val="0"/>
                                      <w:marBottom w:val="0"/>
                                      <w:divBdr>
                                        <w:top w:val="none" w:sz="0" w:space="0" w:color="auto"/>
                                        <w:left w:val="none" w:sz="0" w:space="0" w:color="auto"/>
                                        <w:bottom w:val="none" w:sz="0" w:space="0" w:color="auto"/>
                                        <w:right w:val="none" w:sz="0" w:space="0" w:color="auto"/>
                                      </w:divBdr>
                                    </w:div>
                                    <w:div w:id="1001080784">
                                      <w:marLeft w:val="0"/>
                                      <w:marRight w:val="0"/>
                                      <w:marTop w:val="0"/>
                                      <w:marBottom w:val="0"/>
                                      <w:divBdr>
                                        <w:top w:val="none" w:sz="0" w:space="0" w:color="auto"/>
                                        <w:left w:val="none" w:sz="0" w:space="0" w:color="auto"/>
                                        <w:bottom w:val="none" w:sz="0" w:space="0" w:color="auto"/>
                                        <w:right w:val="none" w:sz="0" w:space="0" w:color="auto"/>
                                      </w:divBdr>
                                    </w:div>
                                    <w:div w:id="1006907794">
                                      <w:marLeft w:val="0"/>
                                      <w:marRight w:val="0"/>
                                      <w:marTop w:val="0"/>
                                      <w:marBottom w:val="0"/>
                                      <w:divBdr>
                                        <w:top w:val="none" w:sz="0" w:space="0" w:color="auto"/>
                                        <w:left w:val="none" w:sz="0" w:space="0" w:color="auto"/>
                                        <w:bottom w:val="none" w:sz="0" w:space="0" w:color="auto"/>
                                        <w:right w:val="none" w:sz="0" w:space="0" w:color="auto"/>
                                      </w:divBdr>
                                    </w:div>
                                    <w:div w:id="1008679774">
                                      <w:marLeft w:val="0"/>
                                      <w:marRight w:val="0"/>
                                      <w:marTop w:val="0"/>
                                      <w:marBottom w:val="0"/>
                                      <w:divBdr>
                                        <w:top w:val="none" w:sz="0" w:space="0" w:color="auto"/>
                                        <w:left w:val="none" w:sz="0" w:space="0" w:color="auto"/>
                                        <w:bottom w:val="none" w:sz="0" w:space="0" w:color="auto"/>
                                        <w:right w:val="none" w:sz="0" w:space="0" w:color="auto"/>
                                      </w:divBdr>
                                    </w:div>
                                    <w:div w:id="1009257188">
                                      <w:marLeft w:val="0"/>
                                      <w:marRight w:val="0"/>
                                      <w:marTop w:val="0"/>
                                      <w:marBottom w:val="0"/>
                                      <w:divBdr>
                                        <w:top w:val="none" w:sz="0" w:space="0" w:color="auto"/>
                                        <w:left w:val="none" w:sz="0" w:space="0" w:color="auto"/>
                                        <w:bottom w:val="none" w:sz="0" w:space="0" w:color="auto"/>
                                        <w:right w:val="none" w:sz="0" w:space="0" w:color="auto"/>
                                      </w:divBdr>
                                    </w:div>
                                    <w:div w:id="1050105392">
                                      <w:marLeft w:val="0"/>
                                      <w:marRight w:val="0"/>
                                      <w:marTop w:val="0"/>
                                      <w:marBottom w:val="0"/>
                                      <w:divBdr>
                                        <w:top w:val="none" w:sz="0" w:space="0" w:color="auto"/>
                                        <w:left w:val="none" w:sz="0" w:space="0" w:color="auto"/>
                                        <w:bottom w:val="none" w:sz="0" w:space="0" w:color="auto"/>
                                        <w:right w:val="none" w:sz="0" w:space="0" w:color="auto"/>
                                      </w:divBdr>
                                    </w:div>
                                    <w:div w:id="1050613884">
                                      <w:marLeft w:val="0"/>
                                      <w:marRight w:val="0"/>
                                      <w:marTop w:val="0"/>
                                      <w:marBottom w:val="0"/>
                                      <w:divBdr>
                                        <w:top w:val="none" w:sz="0" w:space="0" w:color="auto"/>
                                        <w:left w:val="none" w:sz="0" w:space="0" w:color="auto"/>
                                        <w:bottom w:val="none" w:sz="0" w:space="0" w:color="auto"/>
                                        <w:right w:val="none" w:sz="0" w:space="0" w:color="auto"/>
                                      </w:divBdr>
                                    </w:div>
                                    <w:div w:id="1055007754">
                                      <w:marLeft w:val="0"/>
                                      <w:marRight w:val="0"/>
                                      <w:marTop w:val="0"/>
                                      <w:marBottom w:val="0"/>
                                      <w:divBdr>
                                        <w:top w:val="none" w:sz="0" w:space="0" w:color="auto"/>
                                        <w:left w:val="none" w:sz="0" w:space="0" w:color="auto"/>
                                        <w:bottom w:val="none" w:sz="0" w:space="0" w:color="auto"/>
                                        <w:right w:val="none" w:sz="0" w:space="0" w:color="auto"/>
                                      </w:divBdr>
                                    </w:div>
                                    <w:div w:id="1073503438">
                                      <w:marLeft w:val="0"/>
                                      <w:marRight w:val="0"/>
                                      <w:marTop w:val="0"/>
                                      <w:marBottom w:val="0"/>
                                      <w:divBdr>
                                        <w:top w:val="none" w:sz="0" w:space="0" w:color="auto"/>
                                        <w:left w:val="none" w:sz="0" w:space="0" w:color="auto"/>
                                        <w:bottom w:val="none" w:sz="0" w:space="0" w:color="auto"/>
                                        <w:right w:val="none" w:sz="0" w:space="0" w:color="auto"/>
                                      </w:divBdr>
                                    </w:div>
                                    <w:div w:id="1081028482">
                                      <w:marLeft w:val="0"/>
                                      <w:marRight w:val="0"/>
                                      <w:marTop w:val="0"/>
                                      <w:marBottom w:val="0"/>
                                      <w:divBdr>
                                        <w:top w:val="none" w:sz="0" w:space="0" w:color="auto"/>
                                        <w:left w:val="none" w:sz="0" w:space="0" w:color="auto"/>
                                        <w:bottom w:val="none" w:sz="0" w:space="0" w:color="auto"/>
                                        <w:right w:val="none" w:sz="0" w:space="0" w:color="auto"/>
                                      </w:divBdr>
                                    </w:div>
                                    <w:div w:id="1084062018">
                                      <w:marLeft w:val="0"/>
                                      <w:marRight w:val="0"/>
                                      <w:marTop w:val="0"/>
                                      <w:marBottom w:val="0"/>
                                      <w:divBdr>
                                        <w:top w:val="none" w:sz="0" w:space="0" w:color="auto"/>
                                        <w:left w:val="none" w:sz="0" w:space="0" w:color="auto"/>
                                        <w:bottom w:val="none" w:sz="0" w:space="0" w:color="auto"/>
                                        <w:right w:val="none" w:sz="0" w:space="0" w:color="auto"/>
                                      </w:divBdr>
                                    </w:div>
                                    <w:div w:id="1084571177">
                                      <w:marLeft w:val="0"/>
                                      <w:marRight w:val="0"/>
                                      <w:marTop w:val="0"/>
                                      <w:marBottom w:val="0"/>
                                      <w:divBdr>
                                        <w:top w:val="none" w:sz="0" w:space="0" w:color="auto"/>
                                        <w:left w:val="none" w:sz="0" w:space="0" w:color="auto"/>
                                        <w:bottom w:val="none" w:sz="0" w:space="0" w:color="auto"/>
                                        <w:right w:val="none" w:sz="0" w:space="0" w:color="auto"/>
                                      </w:divBdr>
                                    </w:div>
                                    <w:div w:id="1093865912">
                                      <w:marLeft w:val="0"/>
                                      <w:marRight w:val="0"/>
                                      <w:marTop w:val="0"/>
                                      <w:marBottom w:val="0"/>
                                      <w:divBdr>
                                        <w:top w:val="none" w:sz="0" w:space="0" w:color="auto"/>
                                        <w:left w:val="none" w:sz="0" w:space="0" w:color="auto"/>
                                        <w:bottom w:val="none" w:sz="0" w:space="0" w:color="auto"/>
                                        <w:right w:val="none" w:sz="0" w:space="0" w:color="auto"/>
                                      </w:divBdr>
                                    </w:div>
                                    <w:div w:id="1106389869">
                                      <w:marLeft w:val="0"/>
                                      <w:marRight w:val="0"/>
                                      <w:marTop w:val="0"/>
                                      <w:marBottom w:val="0"/>
                                      <w:divBdr>
                                        <w:top w:val="none" w:sz="0" w:space="0" w:color="auto"/>
                                        <w:left w:val="none" w:sz="0" w:space="0" w:color="auto"/>
                                        <w:bottom w:val="none" w:sz="0" w:space="0" w:color="auto"/>
                                        <w:right w:val="none" w:sz="0" w:space="0" w:color="auto"/>
                                      </w:divBdr>
                                    </w:div>
                                    <w:div w:id="1115515099">
                                      <w:marLeft w:val="0"/>
                                      <w:marRight w:val="0"/>
                                      <w:marTop w:val="0"/>
                                      <w:marBottom w:val="0"/>
                                      <w:divBdr>
                                        <w:top w:val="none" w:sz="0" w:space="0" w:color="auto"/>
                                        <w:left w:val="none" w:sz="0" w:space="0" w:color="auto"/>
                                        <w:bottom w:val="none" w:sz="0" w:space="0" w:color="auto"/>
                                        <w:right w:val="none" w:sz="0" w:space="0" w:color="auto"/>
                                      </w:divBdr>
                                    </w:div>
                                    <w:div w:id="1117945351">
                                      <w:marLeft w:val="0"/>
                                      <w:marRight w:val="0"/>
                                      <w:marTop w:val="0"/>
                                      <w:marBottom w:val="0"/>
                                      <w:divBdr>
                                        <w:top w:val="none" w:sz="0" w:space="0" w:color="auto"/>
                                        <w:left w:val="none" w:sz="0" w:space="0" w:color="auto"/>
                                        <w:bottom w:val="none" w:sz="0" w:space="0" w:color="auto"/>
                                        <w:right w:val="none" w:sz="0" w:space="0" w:color="auto"/>
                                      </w:divBdr>
                                    </w:div>
                                    <w:div w:id="1122848737">
                                      <w:marLeft w:val="0"/>
                                      <w:marRight w:val="0"/>
                                      <w:marTop w:val="0"/>
                                      <w:marBottom w:val="0"/>
                                      <w:divBdr>
                                        <w:top w:val="none" w:sz="0" w:space="0" w:color="auto"/>
                                        <w:left w:val="none" w:sz="0" w:space="0" w:color="auto"/>
                                        <w:bottom w:val="none" w:sz="0" w:space="0" w:color="auto"/>
                                        <w:right w:val="none" w:sz="0" w:space="0" w:color="auto"/>
                                      </w:divBdr>
                                    </w:div>
                                    <w:div w:id="1129320123">
                                      <w:marLeft w:val="0"/>
                                      <w:marRight w:val="0"/>
                                      <w:marTop w:val="0"/>
                                      <w:marBottom w:val="0"/>
                                      <w:divBdr>
                                        <w:top w:val="none" w:sz="0" w:space="0" w:color="auto"/>
                                        <w:left w:val="none" w:sz="0" w:space="0" w:color="auto"/>
                                        <w:bottom w:val="none" w:sz="0" w:space="0" w:color="auto"/>
                                        <w:right w:val="none" w:sz="0" w:space="0" w:color="auto"/>
                                      </w:divBdr>
                                    </w:div>
                                    <w:div w:id="1140076809">
                                      <w:marLeft w:val="0"/>
                                      <w:marRight w:val="0"/>
                                      <w:marTop w:val="0"/>
                                      <w:marBottom w:val="0"/>
                                      <w:divBdr>
                                        <w:top w:val="none" w:sz="0" w:space="0" w:color="auto"/>
                                        <w:left w:val="none" w:sz="0" w:space="0" w:color="auto"/>
                                        <w:bottom w:val="none" w:sz="0" w:space="0" w:color="auto"/>
                                        <w:right w:val="none" w:sz="0" w:space="0" w:color="auto"/>
                                      </w:divBdr>
                                    </w:div>
                                    <w:div w:id="1144204084">
                                      <w:marLeft w:val="0"/>
                                      <w:marRight w:val="0"/>
                                      <w:marTop w:val="0"/>
                                      <w:marBottom w:val="0"/>
                                      <w:divBdr>
                                        <w:top w:val="none" w:sz="0" w:space="0" w:color="auto"/>
                                        <w:left w:val="none" w:sz="0" w:space="0" w:color="auto"/>
                                        <w:bottom w:val="none" w:sz="0" w:space="0" w:color="auto"/>
                                        <w:right w:val="none" w:sz="0" w:space="0" w:color="auto"/>
                                      </w:divBdr>
                                    </w:div>
                                    <w:div w:id="1171916107">
                                      <w:marLeft w:val="0"/>
                                      <w:marRight w:val="0"/>
                                      <w:marTop w:val="0"/>
                                      <w:marBottom w:val="0"/>
                                      <w:divBdr>
                                        <w:top w:val="none" w:sz="0" w:space="0" w:color="auto"/>
                                        <w:left w:val="none" w:sz="0" w:space="0" w:color="auto"/>
                                        <w:bottom w:val="none" w:sz="0" w:space="0" w:color="auto"/>
                                        <w:right w:val="none" w:sz="0" w:space="0" w:color="auto"/>
                                      </w:divBdr>
                                    </w:div>
                                    <w:div w:id="1173688160">
                                      <w:marLeft w:val="0"/>
                                      <w:marRight w:val="0"/>
                                      <w:marTop w:val="0"/>
                                      <w:marBottom w:val="0"/>
                                      <w:divBdr>
                                        <w:top w:val="none" w:sz="0" w:space="0" w:color="auto"/>
                                        <w:left w:val="none" w:sz="0" w:space="0" w:color="auto"/>
                                        <w:bottom w:val="none" w:sz="0" w:space="0" w:color="auto"/>
                                        <w:right w:val="none" w:sz="0" w:space="0" w:color="auto"/>
                                      </w:divBdr>
                                    </w:div>
                                    <w:div w:id="1175461438">
                                      <w:marLeft w:val="0"/>
                                      <w:marRight w:val="0"/>
                                      <w:marTop w:val="0"/>
                                      <w:marBottom w:val="0"/>
                                      <w:divBdr>
                                        <w:top w:val="none" w:sz="0" w:space="0" w:color="auto"/>
                                        <w:left w:val="none" w:sz="0" w:space="0" w:color="auto"/>
                                        <w:bottom w:val="none" w:sz="0" w:space="0" w:color="auto"/>
                                        <w:right w:val="none" w:sz="0" w:space="0" w:color="auto"/>
                                      </w:divBdr>
                                    </w:div>
                                    <w:div w:id="1178735870">
                                      <w:marLeft w:val="0"/>
                                      <w:marRight w:val="0"/>
                                      <w:marTop w:val="0"/>
                                      <w:marBottom w:val="0"/>
                                      <w:divBdr>
                                        <w:top w:val="none" w:sz="0" w:space="0" w:color="auto"/>
                                        <w:left w:val="none" w:sz="0" w:space="0" w:color="auto"/>
                                        <w:bottom w:val="none" w:sz="0" w:space="0" w:color="auto"/>
                                        <w:right w:val="none" w:sz="0" w:space="0" w:color="auto"/>
                                      </w:divBdr>
                                    </w:div>
                                    <w:div w:id="1182353398">
                                      <w:marLeft w:val="0"/>
                                      <w:marRight w:val="0"/>
                                      <w:marTop w:val="0"/>
                                      <w:marBottom w:val="0"/>
                                      <w:divBdr>
                                        <w:top w:val="none" w:sz="0" w:space="0" w:color="auto"/>
                                        <w:left w:val="none" w:sz="0" w:space="0" w:color="auto"/>
                                        <w:bottom w:val="none" w:sz="0" w:space="0" w:color="auto"/>
                                        <w:right w:val="none" w:sz="0" w:space="0" w:color="auto"/>
                                      </w:divBdr>
                                    </w:div>
                                    <w:div w:id="1193038800">
                                      <w:marLeft w:val="0"/>
                                      <w:marRight w:val="0"/>
                                      <w:marTop w:val="0"/>
                                      <w:marBottom w:val="0"/>
                                      <w:divBdr>
                                        <w:top w:val="none" w:sz="0" w:space="0" w:color="auto"/>
                                        <w:left w:val="none" w:sz="0" w:space="0" w:color="auto"/>
                                        <w:bottom w:val="none" w:sz="0" w:space="0" w:color="auto"/>
                                        <w:right w:val="none" w:sz="0" w:space="0" w:color="auto"/>
                                      </w:divBdr>
                                    </w:div>
                                    <w:div w:id="1194225732">
                                      <w:marLeft w:val="0"/>
                                      <w:marRight w:val="0"/>
                                      <w:marTop w:val="0"/>
                                      <w:marBottom w:val="0"/>
                                      <w:divBdr>
                                        <w:top w:val="none" w:sz="0" w:space="0" w:color="auto"/>
                                        <w:left w:val="none" w:sz="0" w:space="0" w:color="auto"/>
                                        <w:bottom w:val="none" w:sz="0" w:space="0" w:color="auto"/>
                                        <w:right w:val="none" w:sz="0" w:space="0" w:color="auto"/>
                                      </w:divBdr>
                                    </w:div>
                                    <w:div w:id="1202210240">
                                      <w:marLeft w:val="0"/>
                                      <w:marRight w:val="0"/>
                                      <w:marTop w:val="0"/>
                                      <w:marBottom w:val="0"/>
                                      <w:divBdr>
                                        <w:top w:val="none" w:sz="0" w:space="0" w:color="auto"/>
                                        <w:left w:val="none" w:sz="0" w:space="0" w:color="auto"/>
                                        <w:bottom w:val="none" w:sz="0" w:space="0" w:color="auto"/>
                                        <w:right w:val="none" w:sz="0" w:space="0" w:color="auto"/>
                                      </w:divBdr>
                                    </w:div>
                                    <w:div w:id="1211846383">
                                      <w:marLeft w:val="0"/>
                                      <w:marRight w:val="0"/>
                                      <w:marTop w:val="0"/>
                                      <w:marBottom w:val="0"/>
                                      <w:divBdr>
                                        <w:top w:val="none" w:sz="0" w:space="0" w:color="auto"/>
                                        <w:left w:val="none" w:sz="0" w:space="0" w:color="auto"/>
                                        <w:bottom w:val="none" w:sz="0" w:space="0" w:color="auto"/>
                                        <w:right w:val="none" w:sz="0" w:space="0" w:color="auto"/>
                                      </w:divBdr>
                                    </w:div>
                                    <w:div w:id="1232156852">
                                      <w:marLeft w:val="0"/>
                                      <w:marRight w:val="0"/>
                                      <w:marTop w:val="0"/>
                                      <w:marBottom w:val="0"/>
                                      <w:divBdr>
                                        <w:top w:val="none" w:sz="0" w:space="0" w:color="auto"/>
                                        <w:left w:val="none" w:sz="0" w:space="0" w:color="auto"/>
                                        <w:bottom w:val="none" w:sz="0" w:space="0" w:color="auto"/>
                                        <w:right w:val="none" w:sz="0" w:space="0" w:color="auto"/>
                                      </w:divBdr>
                                    </w:div>
                                    <w:div w:id="1232623204">
                                      <w:marLeft w:val="0"/>
                                      <w:marRight w:val="0"/>
                                      <w:marTop w:val="0"/>
                                      <w:marBottom w:val="0"/>
                                      <w:divBdr>
                                        <w:top w:val="none" w:sz="0" w:space="0" w:color="auto"/>
                                        <w:left w:val="none" w:sz="0" w:space="0" w:color="auto"/>
                                        <w:bottom w:val="none" w:sz="0" w:space="0" w:color="auto"/>
                                        <w:right w:val="none" w:sz="0" w:space="0" w:color="auto"/>
                                      </w:divBdr>
                                    </w:div>
                                    <w:div w:id="1238248633">
                                      <w:marLeft w:val="0"/>
                                      <w:marRight w:val="0"/>
                                      <w:marTop w:val="0"/>
                                      <w:marBottom w:val="0"/>
                                      <w:divBdr>
                                        <w:top w:val="none" w:sz="0" w:space="0" w:color="auto"/>
                                        <w:left w:val="none" w:sz="0" w:space="0" w:color="auto"/>
                                        <w:bottom w:val="none" w:sz="0" w:space="0" w:color="auto"/>
                                        <w:right w:val="none" w:sz="0" w:space="0" w:color="auto"/>
                                      </w:divBdr>
                                    </w:div>
                                    <w:div w:id="1238981485">
                                      <w:marLeft w:val="0"/>
                                      <w:marRight w:val="0"/>
                                      <w:marTop w:val="0"/>
                                      <w:marBottom w:val="0"/>
                                      <w:divBdr>
                                        <w:top w:val="none" w:sz="0" w:space="0" w:color="auto"/>
                                        <w:left w:val="none" w:sz="0" w:space="0" w:color="auto"/>
                                        <w:bottom w:val="none" w:sz="0" w:space="0" w:color="auto"/>
                                        <w:right w:val="none" w:sz="0" w:space="0" w:color="auto"/>
                                      </w:divBdr>
                                    </w:div>
                                    <w:div w:id="1241712434">
                                      <w:marLeft w:val="0"/>
                                      <w:marRight w:val="0"/>
                                      <w:marTop w:val="0"/>
                                      <w:marBottom w:val="0"/>
                                      <w:divBdr>
                                        <w:top w:val="none" w:sz="0" w:space="0" w:color="auto"/>
                                        <w:left w:val="none" w:sz="0" w:space="0" w:color="auto"/>
                                        <w:bottom w:val="none" w:sz="0" w:space="0" w:color="auto"/>
                                        <w:right w:val="none" w:sz="0" w:space="0" w:color="auto"/>
                                      </w:divBdr>
                                    </w:div>
                                    <w:div w:id="1245337122">
                                      <w:marLeft w:val="0"/>
                                      <w:marRight w:val="0"/>
                                      <w:marTop w:val="0"/>
                                      <w:marBottom w:val="0"/>
                                      <w:divBdr>
                                        <w:top w:val="none" w:sz="0" w:space="0" w:color="auto"/>
                                        <w:left w:val="none" w:sz="0" w:space="0" w:color="auto"/>
                                        <w:bottom w:val="none" w:sz="0" w:space="0" w:color="auto"/>
                                        <w:right w:val="none" w:sz="0" w:space="0" w:color="auto"/>
                                      </w:divBdr>
                                    </w:div>
                                    <w:div w:id="1256816183">
                                      <w:marLeft w:val="0"/>
                                      <w:marRight w:val="0"/>
                                      <w:marTop w:val="0"/>
                                      <w:marBottom w:val="0"/>
                                      <w:divBdr>
                                        <w:top w:val="none" w:sz="0" w:space="0" w:color="auto"/>
                                        <w:left w:val="none" w:sz="0" w:space="0" w:color="auto"/>
                                        <w:bottom w:val="none" w:sz="0" w:space="0" w:color="auto"/>
                                        <w:right w:val="none" w:sz="0" w:space="0" w:color="auto"/>
                                      </w:divBdr>
                                    </w:div>
                                    <w:div w:id="1261720646">
                                      <w:marLeft w:val="0"/>
                                      <w:marRight w:val="0"/>
                                      <w:marTop w:val="0"/>
                                      <w:marBottom w:val="0"/>
                                      <w:divBdr>
                                        <w:top w:val="none" w:sz="0" w:space="0" w:color="auto"/>
                                        <w:left w:val="none" w:sz="0" w:space="0" w:color="auto"/>
                                        <w:bottom w:val="none" w:sz="0" w:space="0" w:color="auto"/>
                                        <w:right w:val="none" w:sz="0" w:space="0" w:color="auto"/>
                                      </w:divBdr>
                                    </w:div>
                                    <w:div w:id="1261833884">
                                      <w:marLeft w:val="0"/>
                                      <w:marRight w:val="0"/>
                                      <w:marTop w:val="0"/>
                                      <w:marBottom w:val="0"/>
                                      <w:divBdr>
                                        <w:top w:val="none" w:sz="0" w:space="0" w:color="auto"/>
                                        <w:left w:val="none" w:sz="0" w:space="0" w:color="auto"/>
                                        <w:bottom w:val="none" w:sz="0" w:space="0" w:color="auto"/>
                                        <w:right w:val="none" w:sz="0" w:space="0" w:color="auto"/>
                                      </w:divBdr>
                                    </w:div>
                                    <w:div w:id="1262951943">
                                      <w:marLeft w:val="0"/>
                                      <w:marRight w:val="0"/>
                                      <w:marTop w:val="0"/>
                                      <w:marBottom w:val="0"/>
                                      <w:divBdr>
                                        <w:top w:val="none" w:sz="0" w:space="0" w:color="auto"/>
                                        <w:left w:val="none" w:sz="0" w:space="0" w:color="auto"/>
                                        <w:bottom w:val="none" w:sz="0" w:space="0" w:color="auto"/>
                                        <w:right w:val="none" w:sz="0" w:space="0" w:color="auto"/>
                                      </w:divBdr>
                                    </w:div>
                                    <w:div w:id="1267926480">
                                      <w:marLeft w:val="0"/>
                                      <w:marRight w:val="0"/>
                                      <w:marTop w:val="0"/>
                                      <w:marBottom w:val="0"/>
                                      <w:divBdr>
                                        <w:top w:val="none" w:sz="0" w:space="0" w:color="auto"/>
                                        <w:left w:val="none" w:sz="0" w:space="0" w:color="auto"/>
                                        <w:bottom w:val="none" w:sz="0" w:space="0" w:color="auto"/>
                                        <w:right w:val="none" w:sz="0" w:space="0" w:color="auto"/>
                                      </w:divBdr>
                                    </w:div>
                                    <w:div w:id="1269922806">
                                      <w:marLeft w:val="0"/>
                                      <w:marRight w:val="0"/>
                                      <w:marTop w:val="0"/>
                                      <w:marBottom w:val="0"/>
                                      <w:divBdr>
                                        <w:top w:val="none" w:sz="0" w:space="0" w:color="auto"/>
                                        <w:left w:val="none" w:sz="0" w:space="0" w:color="auto"/>
                                        <w:bottom w:val="none" w:sz="0" w:space="0" w:color="auto"/>
                                        <w:right w:val="none" w:sz="0" w:space="0" w:color="auto"/>
                                      </w:divBdr>
                                    </w:div>
                                    <w:div w:id="1280988447">
                                      <w:marLeft w:val="0"/>
                                      <w:marRight w:val="0"/>
                                      <w:marTop w:val="0"/>
                                      <w:marBottom w:val="0"/>
                                      <w:divBdr>
                                        <w:top w:val="none" w:sz="0" w:space="0" w:color="auto"/>
                                        <w:left w:val="none" w:sz="0" w:space="0" w:color="auto"/>
                                        <w:bottom w:val="none" w:sz="0" w:space="0" w:color="auto"/>
                                        <w:right w:val="none" w:sz="0" w:space="0" w:color="auto"/>
                                      </w:divBdr>
                                    </w:div>
                                    <w:div w:id="1282571775">
                                      <w:marLeft w:val="0"/>
                                      <w:marRight w:val="0"/>
                                      <w:marTop w:val="0"/>
                                      <w:marBottom w:val="0"/>
                                      <w:divBdr>
                                        <w:top w:val="none" w:sz="0" w:space="0" w:color="auto"/>
                                        <w:left w:val="none" w:sz="0" w:space="0" w:color="auto"/>
                                        <w:bottom w:val="none" w:sz="0" w:space="0" w:color="auto"/>
                                        <w:right w:val="none" w:sz="0" w:space="0" w:color="auto"/>
                                      </w:divBdr>
                                    </w:div>
                                    <w:div w:id="1283227070">
                                      <w:marLeft w:val="0"/>
                                      <w:marRight w:val="0"/>
                                      <w:marTop w:val="0"/>
                                      <w:marBottom w:val="0"/>
                                      <w:divBdr>
                                        <w:top w:val="none" w:sz="0" w:space="0" w:color="auto"/>
                                        <w:left w:val="none" w:sz="0" w:space="0" w:color="auto"/>
                                        <w:bottom w:val="none" w:sz="0" w:space="0" w:color="auto"/>
                                        <w:right w:val="none" w:sz="0" w:space="0" w:color="auto"/>
                                      </w:divBdr>
                                    </w:div>
                                    <w:div w:id="1290089858">
                                      <w:marLeft w:val="0"/>
                                      <w:marRight w:val="0"/>
                                      <w:marTop w:val="0"/>
                                      <w:marBottom w:val="0"/>
                                      <w:divBdr>
                                        <w:top w:val="none" w:sz="0" w:space="0" w:color="auto"/>
                                        <w:left w:val="none" w:sz="0" w:space="0" w:color="auto"/>
                                        <w:bottom w:val="none" w:sz="0" w:space="0" w:color="auto"/>
                                        <w:right w:val="none" w:sz="0" w:space="0" w:color="auto"/>
                                      </w:divBdr>
                                    </w:div>
                                    <w:div w:id="1293168003">
                                      <w:marLeft w:val="0"/>
                                      <w:marRight w:val="0"/>
                                      <w:marTop w:val="0"/>
                                      <w:marBottom w:val="0"/>
                                      <w:divBdr>
                                        <w:top w:val="none" w:sz="0" w:space="0" w:color="auto"/>
                                        <w:left w:val="none" w:sz="0" w:space="0" w:color="auto"/>
                                        <w:bottom w:val="none" w:sz="0" w:space="0" w:color="auto"/>
                                        <w:right w:val="none" w:sz="0" w:space="0" w:color="auto"/>
                                      </w:divBdr>
                                    </w:div>
                                    <w:div w:id="1295212582">
                                      <w:marLeft w:val="0"/>
                                      <w:marRight w:val="0"/>
                                      <w:marTop w:val="0"/>
                                      <w:marBottom w:val="0"/>
                                      <w:divBdr>
                                        <w:top w:val="none" w:sz="0" w:space="0" w:color="auto"/>
                                        <w:left w:val="none" w:sz="0" w:space="0" w:color="auto"/>
                                        <w:bottom w:val="none" w:sz="0" w:space="0" w:color="auto"/>
                                        <w:right w:val="none" w:sz="0" w:space="0" w:color="auto"/>
                                      </w:divBdr>
                                    </w:div>
                                    <w:div w:id="1301617946">
                                      <w:marLeft w:val="0"/>
                                      <w:marRight w:val="0"/>
                                      <w:marTop w:val="0"/>
                                      <w:marBottom w:val="0"/>
                                      <w:divBdr>
                                        <w:top w:val="none" w:sz="0" w:space="0" w:color="auto"/>
                                        <w:left w:val="none" w:sz="0" w:space="0" w:color="auto"/>
                                        <w:bottom w:val="none" w:sz="0" w:space="0" w:color="auto"/>
                                        <w:right w:val="none" w:sz="0" w:space="0" w:color="auto"/>
                                      </w:divBdr>
                                    </w:div>
                                    <w:div w:id="1304458695">
                                      <w:marLeft w:val="0"/>
                                      <w:marRight w:val="0"/>
                                      <w:marTop w:val="0"/>
                                      <w:marBottom w:val="0"/>
                                      <w:divBdr>
                                        <w:top w:val="none" w:sz="0" w:space="0" w:color="auto"/>
                                        <w:left w:val="none" w:sz="0" w:space="0" w:color="auto"/>
                                        <w:bottom w:val="none" w:sz="0" w:space="0" w:color="auto"/>
                                        <w:right w:val="none" w:sz="0" w:space="0" w:color="auto"/>
                                      </w:divBdr>
                                    </w:div>
                                    <w:div w:id="1304652881">
                                      <w:marLeft w:val="0"/>
                                      <w:marRight w:val="0"/>
                                      <w:marTop w:val="0"/>
                                      <w:marBottom w:val="0"/>
                                      <w:divBdr>
                                        <w:top w:val="none" w:sz="0" w:space="0" w:color="auto"/>
                                        <w:left w:val="none" w:sz="0" w:space="0" w:color="auto"/>
                                        <w:bottom w:val="none" w:sz="0" w:space="0" w:color="auto"/>
                                        <w:right w:val="none" w:sz="0" w:space="0" w:color="auto"/>
                                      </w:divBdr>
                                    </w:div>
                                    <w:div w:id="1317370938">
                                      <w:marLeft w:val="0"/>
                                      <w:marRight w:val="0"/>
                                      <w:marTop w:val="0"/>
                                      <w:marBottom w:val="0"/>
                                      <w:divBdr>
                                        <w:top w:val="none" w:sz="0" w:space="0" w:color="auto"/>
                                        <w:left w:val="none" w:sz="0" w:space="0" w:color="auto"/>
                                        <w:bottom w:val="none" w:sz="0" w:space="0" w:color="auto"/>
                                        <w:right w:val="none" w:sz="0" w:space="0" w:color="auto"/>
                                      </w:divBdr>
                                    </w:div>
                                    <w:div w:id="1320235783">
                                      <w:marLeft w:val="0"/>
                                      <w:marRight w:val="0"/>
                                      <w:marTop w:val="0"/>
                                      <w:marBottom w:val="0"/>
                                      <w:divBdr>
                                        <w:top w:val="none" w:sz="0" w:space="0" w:color="auto"/>
                                        <w:left w:val="none" w:sz="0" w:space="0" w:color="auto"/>
                                        <w:bottom w:val="none" w:sz="0" w:space="0" w:color="auto"/>
                                        <w:right w:val="none" w:sz="0" w:space="0" w:color="auto"/>
                                      </w:divBdr>
                                    </w:div>
                                    <w:div w:id="1321956472">
                                      <w:marLeft w:val="0"/>
                                      <w:marRight w:val="0"/>
                                      <w:marTop w:val="0"/>
                                      <w:marBottom w:val="0"/>
                                      <w:divBdr>
                                        <w:top w:val="none" w:sz="0" w:space="0" w:color="auto"/>
                                        <w:left w:val="none" w:sz="0" w:space="0" w:color="auto"/>
                                        <w:bottom w:val="none" w:sz="0" w:space="0" w:color="auto"/>
                                        <w:right w:val="none" w:sz="0" w:space="0" w:color="auto"/>
                                      </w:divBdr>
                                    </w:div>
                                    <w:div w:id="1344239267">
                                      <w:marLeft w:val="0"/>
                                      <w:marRight w:val="0"/>
                                      <w:marTop w:val="0"/>
                                      <w:marBottom w:val="0"/>
                                      <w:divBdr>
                                        <w:top w:val="none" w:sz="0" w:space="0" w:color="auto"/>
                                        <w:left w:val="none" w:sz="0" w:space="0" w:color="auto"/>
                                        <w:bottom w:val="none" w:sz="0" w:space="0" w:color="auto"/>
                                        <w:right w:val="none" w:sz="0" w:space="0" w:color="auto"/>
                                      </w:divBdr>
                                    </w:div>
                                    <w:div w:id="1345129979">
                                      <w:marLeft w:val="0"/>
                                      <w:marRight w:val="0"/>
                                      <w:marTop w:val="0"/>
                                      <w:marBottom w:val="0"/>
                                      <w:divBdr>
                                        <w:top w:val="none" w:sz="0" w:space="0" w:color="auto"/>
                                        <w:left w:val="none" w:sz="0" w:space="0" w:color="auto"/>
                                        <w:bottom w:val="none" w:sz="0" w:space="0" w:color="auto"/>
                                        <w:right w:val="none" w:sz="0" w:space="0" w:color="auto"/>
                                      </w:divBdr>
                                    </w:div>
                                    <w:div w:id="1353461398">
                                      <w:marLeft w:val="0"/>
                                      <w:marRight w:val="0"/>
                                      <w:marTop w:val="0"/>
                                      <w:marBottom w:val="0"/>
                                      <w:divBdr>
                                        <w:top w:val="none" w:sz="0" w:space="0" w:color="auto"/>
                                        <w:left w:val="none" w:sz="0" w:space="0" w:color="auto"/>
                                        <w:bottom w:val="none" w:sz="0" w:space="0" w:color="auto"/>
                                        <w:right w:val="none" w:sz="0" w:space="0" w:color="auto"/>
                                      </w:divBdr>
                                    </w:div>
                                    <w:div w:id="1359813584">
                                      <w:marLeft w:val="0"/>
                                      <w:marRight w:val="0"/>
                                      <w:marTop w:val="0"/>
                                      <w:marBottom w:val="0"/>
                                      <w:divBdr>
                                        <w:top w:val="none" w:sz="0" w:space="0" w:color="auto"/>
                                        <w:left w:val="none" w:sz="0" w:space="0" w:color="auto"/>
                                        <w:bottom w:val="none" w:sz="0" w:space="0" w:color="auto"/>
                                        <w:right w:val="none" w:sz="0" w:space="0" w:color="auto"/>
                                      </w:divBdr>
                                    </w:div>
                                    <w:div w:id="1360355068">
                                      <w:marLeft w:val="0"/>
                                      <w:marRight w:val="0"/>
                                      <w:marTop w:val="0"/>
                                      <w:marBottom w:val="0"/>
                                      <w:divBdr>
                                        <w:top w:val="none" w:sz="0" w:space="0" w:color="auto"/>
                                        <w:left w:val="none" w:sz="0" w:space="0" w:color="auto"/>
                                        <w:bottom w:val="none" w:sz="0" w:space="0" w:color="auto"/>
                                        <w:right w:val="none" w:sz="0" w:space="0" w:color="auto"/>
                                      </w:divBdr>
                                    </w:div>
                                    <w:div w:id="1370300780">
                                      <w:marLeft w:val="0"/>
                                      <w:marRight w:val="0"/>
                                      <w:marTop w:val="0"/>
                                      <w:marBottom w:val="0"/>
                                      <w:divBdr>
                                        <w:top w:val="none" w:sz="0" w:space="0" w:color="auto"/>
                                        <w:left w:val="none" w:sz="0" w:space="0" w:color="auto"/>
                                        <w:bottom w:val="none" w:sz="0" w:space="0" w:color="auto"/>
                                        <w:right w:val="none" w:sz="0" w:space="0" w:color="auto"/>
                                      </w:divBdr>
                                    </w:div>
                                    <w:div w:id="1397434502">
                                      <w:marLeft w:val="0"/>
                                      <w:marRight w:val="0"/>
                                      <w:marTop w:val="0"/>
                                      <w:marBottom w:val="0"/>
                                      <w:divBdr>
                                        <w:top w:val="none" w:sz="0" w:space="0" w:color="auto"/>
                                        <w:left w:val="none" w:sz="0" w:space="0" w:color="auto"/>
                                        <w:bottom w:val="none" w:sz="0" w:space="0" w:color="auto"/>
                                        <w:right w:val="none" w:sz="0" w:space="0" w:color="auto"/>
                                      </w:divBdr>
                                    </w:div>
                                    <w:div w:id="1403871886">
                                      <w:marLeft w:val="0"/>
                                      <w:marRight w:val="0"/>
                                      <w:marTop w:val="0"/>
                                      <w:marBottom w:val="0"/>
                                      <w:divBdr>
                                        <w:top w:val="none" w:sz="0" w:space="0" w:color="auto"/>
                                        <w:left w:val="none" w:sz="0" w:space="0" w:color="auto"/>
                                        <w:bottom w:val="none" w:sz="0" w:space="0" w:color="auto"/>
                                        <w:right w:val="none" w:sz="0" w:space="0" w:color="auto"/>
                                      </w:divBdr>
                                    </w:div>
                                    <w:div w:id="1412846777">
                                      <w:marLeft w:val="0"/>
                                      <w:marRight w:val="0"/>
                                      <w:marTop w:val="0"/>
                                      <w:marBottom w:val="0"/>
                                      <w:divBdr>
                                        <w:top w:val="none" w:sz="0" w:space="0" w:color="auto"/>
                                        <w:left w:val="none" w:sz="0" w:space="0" w:color="auto"/>
                                        <w:bottom w:val="none" w:sz="0" w:space="0" w:color="auto"/>
                                        <w:right w:val="none" w:sz="0" w:space="0" w:color="auto"/>
                                      </w:divBdr>
                                    </w:div>
                                    <w:div w:id="1415320192">
                                      <w:marLeft w:val="0"/>
                                      <w:marRight w:val="0"/>
                                      <w:marTop w:val="0"/>
                                      <w:marBottom w:val="0"/>
                                      <w:divBdr>
                                        <w:top w:val="none" w:sz="0" w:space="0" w:color="auto"/>
                                        <w:left w:val="none" w:sz="0" w:space="0" w:color="auto"/>
                                        <w:bottom w:val="none" w:sz="0" w:space="0" w:color="auto"/>
                                        <w:right w:val="none" w:sz="0" w:space="0" w:color="auto"/>
                                      </w:divBdr>
                                    </w:div>
                                    <w:div w:id="1419398381">
                                      <w:marLeft w:val="0"/>
                                      <w:marRight w:val="0"/>
                                      <w:marTop w:val="0"/>
                                      <w:marBottom w:val="0"/>
                                      <w:divBdr>
                                        <w:top w:val="none" w:sz="0" w:space="0" w:color="auto"/>
                                        <w:left w:val="none" w:sz="0" w:space="0" w:color="auto"/>
                                        <w:bottom w:val="none" w:sz="0" w:space="0" w:color="auto"/>
                                        <w:right w:val="none" w:sz="0" w:space="0" w:color="auto"/>
                                      </w:divBdr>
                                    </w:div>
                                    <w:div w:id="1434856065">
                                      <w:marLeft w:val="0"/>
                                      <w:marRight w:val="0"/>
                                      <w:marTop w:val="0"/>
                                      <w:marBottom w:val="0"/>
                                      <w:divBdr>
                                        <w:top w:val="none" w:sz="0" w:space="0" w:color="auto"/>
                                        <w:left w:val="none" w:sz="0" w:space="0" w:color="auto"/>
                                        <w:bottom w:val="none" w:sz="0" w:space="0" w:color="auto"/>
                                        <w:right w:val="none" w:sz="0" w:space="0" w:color="auto"/>
                                      </w:divBdr>
                                    </w:div>
                                    <w:div w:id="1437751463">
                                      <w:marLeft w:val="0"/>
                                      <w:marRight w:val="0"/>
                                      <w:marTop w:val="0"/>
                                      <w:marBottom w:val="0"/>
                                      <w:divBdr>
                                        <w:top w:val="none" w:sz="0" w:space="0" w:color="auto"/>
                                        <w:left w:val="none" w:sz="0" w:space="0" w:color="auto"/>
                                        <w:bottom w:val="none" w:sz="0" w:space="0" w:color="auto"/>
                                        <w:right w:val="none" w:sz="0" w:space="0" w:color="auto"/>
                                      </w:divBdr>
                                    </w:div>
                                    <w:div w:id="1443573447">
                                      <w:marLeft w:val="0"/>
                                      <w:marRight w:val="0"/>
                                      <w:marTop w:val="0"/>
                                      <w:marBottom w:val="0"/>
                                      <w:divBdr>
                                        <w:top w:val="none" w:sz="0" w:space="0" w:color="auto"/>
                                        <w:left w:val="none" w:sz="0" w:space="0" w:color="auto"/>
                                        <w:bottom w:val="none" w:sz="0" w:space="0" w:color="auto"/>
                                        <w:right w:val="none" w:sz="0" w:space="0" w:color="auto"/>
                                      </w:divBdr>
                                    </w:div>
                                    <w:div w:id="1455169872">
                                      <w:marLeft w:val="0"/>
                                      <w:marRight w:val="0"/>
                                      <w:marTop w:val="0"/>
                                      <w:marBottom w:val="0"/>
                                      <w:divBdr>
                                        <w:top w:val="none" w:sz="0" w:space="0" w:color="auto"/>
                                        <w:left w:val="none" w:sz="0" w:space="0" w:color="auto"/>
                                        <w:bottom w:val="none" w:sz="0" w:space="0" w:color="auto"/>
                                        <w:right w:val="none" w:sz="0" w:space="0" w:color="auto"/>
                                      </w:divBdr>
                                    </w:div>
                                    <w:div w:id="1457019135">
                                      <w:marLeft w:val="0"/>
                                      <w:marRight w:val="0"/>
                                      <w:marTop w:val="0"/>
                                      <w:marBottom w:val="0"/>
                                      <w:divBdr>
                                        <w:top w:val="none" w:sz="0" w:space="0" w:color="auto"/>
                                        <w:left w:val="none" w:sz="0" w:space="0" w:color="auto"/>
                                        <w:bottom w:val="none" w:sz="0" w:space="0" w:color="auto"/>
                                        <w:right w:val="none" w:sz="0" w:space="0" w:color="auto"/>
                                      </w:divBdr>
                                    </w:div>
                                    <w:div w:id="1474173282">
                                      <w:marLeft w:val="0"/>
                                      <w:marRight w:val="0"/>
                                      <w:marTop w:val="0"/>
                                      <w:marBottom w:val="0"/>
                                      <w:divBdr>
                                        <w:top w:val="none" w:sz="0" w:space="0" w:color="auto"/>
                                        <w:left w:val="none" w:sz="0" w:space="0" w:color="auto"/>
                                        <w:bottom w:val="none" w:sz="0" w:space="0" w:color="auto"/>
                                        <w:right w:val="none" w:sz="0" w:space="0" w:color="auto"/>
                                      </w:divBdr>
                                    </w:div>
                                    <w:div w:id="1477450493">
                                      <w:marLeft w:val="0"/>
                                      <w:marRight w:val="0"/>
                                      <w:marTop w:val="0"/>
                                      <w:marBottom w:val="0"/>
                                      <w:divBdr>
                                        <w:top w:val="none" w:sz="0" w:space="0" w:color="auto"/>
                                        <w:left w:val="none" w:sz="0" w:space="0" w:color="auto"/>
                                        <w:bottom w:val="none" w:sz="0" w:space="0" w:color="auto"/>
                                        <w:right w:val="none" w:sz="0" w:space="0" w:color="auto"/>
                                      </w:divBdr>
                                    </w:div>
                                    <w:div w:id="1487162164">
                                      <w:marLeft w:val="0"/>
                                      <w:marRight w:val="0"/>
                                      <w:marTop w:val="0"/>
                                      <w:marBottom w:val="0"/>
                                      <w:divBdr>
                                        <w:top w:val="none" w:sz="0" w:space="0" w:color="auto"/>
                                        <w:left w:val="none" w:sz="0" w:space="0" w:color="auto"/>
                                        <w:bottom w:val="none" w:sz="0" w:space="0" w:color="auto"/>
                                        <w:right w:val="none" w:sz="0" w:space="0" w:color="auto"/>
                                      </w:divBdr>
                                    </w:div>
                                    <w:div w:id="1491406288">
                                      <w:marLeft w:val="0"/>
                                      <w:marRight w:val="0"/>
                                      <w:marTop w:val="0"/>
                                      <w:marBottom w:val="0"/>
                                      <w:divBdr>
                                        <w:top w:val="none" w:sz="0" w:space="0" w:color="auto"/>
                                        <w:left w:val="none" w:sz="0" w:space="0" w:color="auto"/>
                                        <w:bottom w:val="none" w:sz="0" w:space="0" w:color="auto"/>
                                        <w:right w:val="none" w:sz="0" w:space="0" w:color="auto"/>
                                      </w:divBdr>
                                    </w:div>
                                    <w:div w:id="1494568488">
                                      <w:marLeft w:val="0"/>
                                      <w:marRight w:val="0"/>
                                      <w:marTop w:val="0"/>
                                      <w:marBottom w:val="0"/>
                                      <w:divBdr>
                                        <w:top w:val="none" w:sz="0" w:space="0" w:color="auto"/>
                                        <w:left w:val="none" w:sz="0" w:space="0" w:color="auto"/>
                                        <w:bottom w:val="none" w:sz="0" w:space="0" w:color="auto"/>
                                        <w:right w:val="none" w:sz="0" w:space="0" w:color="auto"/>
                                      </w:divBdr>
                                    </w:div>
                                    <w:div w:id="1500727327">
                                      <w:marLeft w:val="0"/>
                                      <w:marRight w:val="0"/>
                                      <w:marTop w:val="0"/>
                                      <w:marBottom w:val="0"/>
                                      <w:divBdr>
                                        <w:top w:val="none" w:sz="0" w:space="0" w:color="auto"/>
                                        <w:left w:val="none" w:sz="0" w:space="0" w:color="auto"/>
                                        <w:bottom w:val="none" w:sz="0" w:space="0" w:color="auto"/>
                                        <w:right w:val="none" w:sz="0" w:space="0" w:color="auto"/>
                                      </w:divBdr>
                                    </w:div>
                                    <w:div w:id="1501699229">
                                      <w:marLeft w:val="0"/>
                                      <w:marRight w:val="0"/>
                                      <w:marTop w:val="0"/>
                                      <w:marBottom w:val="0"/>
                                      <w:divBdr>
                                        <w:top w:val="none" w:sz="0" w:space="0" w:color="auto"/>
                                        <w:left w:val="none" w:sz="0" w:space="0" w:color="auto"/>
                                        <w:bottom w:val="none" w:sz="0" w:space="0" w:color="auto"/>
                                        <w:right w:val="none" w:sz="0" w:space="0" w:color="auto"/>
                                      </w:divBdr>
                                    </w:div>
                                    <w:div w:id="1503468187">
                                      <w:marLeft w:val="0"/>
                                      <w:marRight w:val="0"/>
                                      <w:marTop w:val="0"/>
                                      <w:marBottom w:val="0"/>
                                      <w:divBdr>
                                        <w:top w:val="none" w:sz="0" w:space="0" w:color="auto"/>
                                        <w:left w:val="none" w:sz="0" w:space="0" w:color="auto"/>
                                        <w:bottom w:val="none" w:sz="0" w:space="0" w:color="auto"/>
                                        <w:right w:val="none" w:sz="0" w:space="0" w:color="auto"/>
                                      </w:divBdr>
                                    </w:div>
                                    <w:div w:id="1514801950">
                                      <w:marLeft w:val="0"/>
                                      <w:marRight w:val="0"/>
                                      <w:marTop w:val="0"/>
                                      <w:marBottom w:val="0"/>
                                      <w:divBdr>
                                        <w:top w:val="none" w:sz="0" w:space="0" w:color="auto"/>
                                        <w:left w:val="none" w:sz="0" w:space="0" w:color="auto"/>
                                        <w:bottom w:val="none" w:sz="0" w:space="0" w:color="auto"/>
                                        <w:right w:val="none" w:sz="0" w:space="0" w:color="auto"/>
                                      </w:divBdr>
                                    </w:div>
                                    <w:div w:id="1523320326">
                                      <w:marLeft w:val="0"/>
                                      <w:marRight w:val="0"/>
                                      <w:marTop w:val="0"/>
                                      <w:marBottom w:val="0"/>
                                      <w:divBdr>
                                        <w:top w:val="none" w:sz="0" w:space="0" w:color="auto"/>
                                        <w:left w:val="none" w:sz="0" w:space="0" w:color="auto"/>
                                        <w:bottom w:val="none" w:sz="0" w:space="0" w:color="auto"/>
                                        <w:right w:val="none" w:sz="0" w:space="0" w:color="auto"/>
                                      </w:divBdr>
                                    </w:div>
                                    <w:div w:id="1528256385">
                                      <w:marLeft w:val="0"/>
                                      <w:marRight w:val="0"/>
                                      <w:marTop w:val="0"/>
                                      <w:marBottom w:val="0"/>
                                      <w:divBdr>
                                        <w:top w:val="none" w:sz="0" w:space="0" w:color="auto"/>
                                        <w:left w:val="none" w:sz="0" w:space="0" w:color="auto"/>
                                        <w:bottom w:val="none" w:sz="0" w:space="0" w:color="auto"/>
                                        <w:right w:val="none" w:sz="0" w:space="0" w:color="auto"/>
                                      </w:divBdr>
                                    </w:div>
                                    <w:div w:id="1534078268">
                                      <w:marLeft w:val="0"/>
                                      <w:marRight w:val="0"/>
                                      <w:marTop w:val="0"/>
                                      <w:marBottom w:val="0"/>
                                      <w:divBdr>
                                        <w:top w:val="none" w:sz="0" w:space="0" w:color="auto"/>
                                        <w:left w:val="none" w:sz="0" w:space="0" w:color="auto"/>
                                        <w:bottom w:val="none" w:sz="0" w:space="0" w:color="auto"/>
                                        <w:right w:val="none" w:sz="0" w:space="0" w:color="auto"/>
                                      </w:divBdr>
                                    </w:div>
                                    <w:div w:id="1535338906">
                                      <w:marLeft w:val="0"/>
                                      <w:marRight w:val="0"/>
                                      <w:marTop w:val="0"/>
                                      <w:marBottom w:val="0"/>
                                      <w:divBdr>
                                        <w:top w:val="none" w:sz="0" w:space="0" w:color="auto"/>
                                        <w:left w:val="none" w:sz="0" w:space="0" w:color="auto"/>
                                        <w:bottom w:val="none" w:sz="0" w:space="0" w:color="auto"/>
                                        <w:right w:val="none" w:sz="0" w:space="0" w:color="auto"/>
                                      </w:divBdr>
                                    </w:div>
                                    <w:div w:id="1539584733">
                                      <w:marLeft w:val="0"/>
                                      <w:marRight w:val="0"/>
                                      <w:marTop w:val="0"/>
                                      <w:marBottom w:val="0"/>
                                      <w:divBdr>
                                        <w:top w:val="none" w:sz="0" w:space="0" w:color="auto"/>
                                        <w:left w:val="none" w:sz="0" w:space="0" w:color="auto"/>
                                        <w:bottom w:val="none" w:sz="0" w:space="0" w:color="auto"/>
                                        <w:right w:val="none" w:sz="0" w:space="0" w:color="auto"/>
                                      </w:divBdr>
                                    </w:div>
                                    <w:div w:id="1539931944">
                                      <w:marLeft w:val="0"/>
                                      <w:marRight w:val="0"/>
                                      <w:marTop w:val="0"/>
                                      <w:marBottom w:val="0"/>
                                      <w:divBdr>
                                        <w:top w:val="none" w:sz="0" w:space="0" w:color="auto"/>
                                        <w:left w:val="none" w:sz="0" w:space="0" w:color="auto"/>
                                        <w:bottom w:val="none" w:sz="0" w:space="0" w:color="auto"/>
                                        <w:right w:val="none" w:sz="0" w:space="0" w:color="auto"/>
                                      </w:divBdr>
                                    </w:div>
                                    <w:div w:id="1545675979">
                                      <w:marLeft w:val="0"/>
                                      <w:marRight w:val="0"/>
                                      <w:marTop w:val="0"/>
                                      <w:marBottom w:val="0"/>
                                      <w:divBdr>
                                        <w:top w:val="none" w:sz="0" w:space="0" w:color="auto"/>
                                        <w:left w:val="none" w:sz="0" w:space="0" w:color="auto"/>
                                        <w:bottom w:val="none" w:sz="0" w:space="0" w:color="auto"/>
                                        <w:right w:val="none" w:sz="0" w:space="0" w:color="auto"/>
                                      </w:divBdr>
                                    </w:div>
                                    <w:div w:id="1546334547">
                                      <w:marLeft w:val="0"/>
                                      <w:marRight w:val="0"/>
                                      <w:marTop w:val="0"/>
                                      <w:marBottom w:val="0"/>
                                      <w:divBdr>
                                        <w:top w:val="none" w:sz="0" w:space="0" w:color="auto"/>
                                        <w:left w:val="none" w:sz="0" w:space="0" w:color="auto"/>
                                        <w:bottom w:val="none" w:sz="0" w:space="0" w:color="auto"/>
                                        <w:right w:val="none" w:sz="0" w:space="0" w:color="auto"/>
                                      </w:divBdr>
                                    </w:div>
                                    <w:div w:id="1550461415">
                                      <w:marLeft w:val="0"/>
                                      <w:marRight w:val="0"/>
                                      <w:marTop w:val="0"/>
                                      <w:marBottom w:val="0"/>
                                      <w:divBdr>
                                        <w:top w:val="none" w:sz="0" w:space="0" w:color="auto"/>
                                        <w:left w:val="none" w:sz="0" w:space="0" w:color="auto"/>
                                        <w:bottom w:val="none" w:sz="0" w:space="0" w:color="auto"/>
                                        <w:right w:val="none" w:sz="0" w:space="0" w:color="auto"/>
                                      </w:divBdr>
                                    </w:div>
                                    <w:div w:id="1550873501">
                                      <w:marLeft w:val="0"/>
                                      <w:marRight w:val="0"/>
                                      <w:marTop w:val="0"/>
                                      <w:marBottom w:val="0"/>
                                      <w:divBdr>
                                        <w:top w:val="none" w:sz="0" w:space="0" w:color="auto"/>
                                        <w:left w:val="none" w:sz="0" w:space="0" w:color="auto"/>
                                        <w:bottom w:val="none" w:sz="0" w:space="0" w:color="auto"/>
                                        <w:right w:val="none" w:sz="0" w:space="0" w:color="auto"/>
                                      </w:divBdr>
                                    </w:div>
                                    <w:div w:id="1552425190">
                                      <w:marLeft w:val="0"/>
                                      <w:marRight w:val="0"/>
                                      <w:marTop w:val="0"/>
                                      <w:marBottom w:val="0"/>
                                      <w:divBdr>
                                        <w:top w:val="none" w:sz="0" w:space="0" w:color="auto"/>
                                        <w:left w:val="none" w:sz="0" w:space="0" w:color="auto"/>
                                        <w:bottom w:val="none" w:sz="0" w:space="0" w:color="auto"/>
                                        <w:right w:val="none" w:sz="0" w:space="0" w:color="auto"/>
                                      </w:divBdr>
                                    </w:div>
                                    <w:div w:id="1557424371">
                                      <w:marLeft w:val="0"/>
                                      <w:marRight w:val="0"/>
                                      <w:marTop w:val="0"/>
                                      <w:marBottom w:val="0"/>
                                      <w:divBdr>
                                        <w:top w:val="none" w:sz="0" w:space="0" w:color="auto"/>
                                        <w:left w:val="none" w:sz="0" w:space="0" w:color="auto"/>
                                        <w:bottom w:val="none" w:sz="0" w:space="0" w:color="auto"/>
                                        <w:right w:val="none" w:sz="0" w:space="0" w:color="auto"/>
                                      </w:divBdr>
                                    </w:div>
                                    <w:div w:id="1557669221">
                                      <w:marLeft w:val="0"/>
                                      <w:marRight w:val="0"/>
                                      <w:marTop w:val="0"/>
                                      <w:marBottom w:val="0"/>
                                      <w:divBdr>
                                        <w:top w:val="none" w:sz="0" w:space="0" w:color="auto"/>
                                        <w:left w:val="none" w:sz="0" w:space="0" w:color="auto"/>
                                        <w:bottom w:val="none" w:sz="0" w:space="0" w:color="auto"/>
                                        <w:right w:val="none" w:sz="0" w:space="0" w:color="auto"/>
                                      </w:divBdr>
                                    </w:div>
                                    <w:div w:id="1566720861">
                                      <w:marLeft w:val="0"/>
                                      <w:marRight w:val="0"/>
                                      <w:marTop w:val="0"/>
                                      <w:marBottom w:val="0"/>
                                      <w:divBdr>
                                        <w:top w:val="none" w:sz="0" w:space="0" w:color="auto"/>
                                        <w:left w:val="none" w:sz="0" w:space="0" w:color="auto"/>
                                        <w:bottom w:val="none" w:sz="0" w:space="0" w:color="auto"/>
                                        <w:right w:val="none" w:sz="0" w:space="0" w:color="auto"/>
                                      </w:divBdr>
                                    </w:div>
                                    <w:div w:id="1572235965">
                                      <w:marLeft w:val="0"/>
                                      <w:marRight w:val="0"/>
                                      <w:marTop w:val="0"/>
                                      <w:marBottom w:val="0"/>
                                      <w:divBdr>
                                        <w:top w:val="none" w:sz="0" w:space="0" w:color="auto"/>
                                        <w:left w:val="none" w:sz="0" w:space="0" w:color="auto"/>
                                        <w:bottom w:val="none" w:sz="0" w:space="0" w:color="auto"/>
                                        <w:right w:val="none" w:sz="0" w:space="0" w:color="auto"/>
                                      </w:divBdr>
                                    </w:div>
                                    <w:div w:id="1583875430">
                                      <w:marLeft w:val="0"/>
                                      <w:marRight w:val="0"/>
                                      <w:marTop w:val="0"/>
                                      <w:marBottom w:val="0"/>
                                      <w:divBdr>
                                        <w:top w:val="none" w:sz="0" w:space="0" w:color="auto"/>
                                        <w:left w:val="none" w:sz="0" w:space="0" w:color="auto"/>
                                        <w:bottom w:val="none" w:sz="0" w:space="0" w:color="auto"/>
                                        <w:right w:val="none" w:sz="0" w:space="0" w:color="auto"/>
                                      </w:divBdr>
                                    </w:div>
                                    <w:div w:id="1593659675">
                                      <w:marLeft w:val="0"/>
                                      <w:marRight w:val="0"/>
                                      <w:marTop w:val="0"/>
                                      <w:marBottom w:val="0"/>
                                      <w:divBdr>
                                        <w:top w:val="none" w:sz="0" w:space="0" w:color="auto"/>
                                        <w:left w:val="none" w:sz="0" w:space="0" w:color="auto"/>
                                        <w:bottom w:val="none" w:sz="0" w:space="0" w:color="auto"/>
                                        <w:right w:val="none" w:sz="0" w:space="0" w:color="auto"/>
                                      </w:divBdr>
                                    </w:div>
                                    <w:div w:id="1599944891">
                                      <w:marLeft w:val="0"/>
                                      <w:marRight w:val="0"/>
                                      <w:marTop w:val="0"/>
                                      <w:marBottom w:val="0"/>
                                      <w:divBdr>
                                        <w:top w:val="none" w:sz="0" w:space="0" w:color="auto"/>
                                        <w:left w:val="none" w:sz="0" w:space="0" w:color="auto"/>
                                        <w:bottom w:val="none" w:sz="0" w:space="0" w:color="auto"/>
                                        <w:right w:val="none" w:sz="0" w:space="0" w:color="auto"/>
                                      </w:divBdr>
                                    </w:div>
                                    <w:div w:id="1609042253">
                                      <w:marLeft w:val="0"/>
                                      <w:marRight w:val="0"/>
                                      <w:marTop w:val="0"/>
                                      <w:marBottom w:val="0"/>
                                      <w:divBdr>
                                        <w:top w:val="none" w:sz="0" w:space="0" w:color="auto"/>
                                        <w:left w:val="none" w:sz="0" w:space="0" w:color="auto"/>
                                        <w:bottom w:val="none" w:sz="0" w:space="0" w:color="auto"/>
                                        <w:right w:val="none" w:sz="0" w:space="0" w:color="auto"/>
                                      </w:divBdr>
                                    </w:div>
                                    <w:div w:id="1626303264">
                                      <w:marLeft w:val="0"/>
                                      <w:marRight w:val="0"/>
                                      <w:marTop w:val="0"/>
                                      <w:marBottom w:val="0"/>
                                      <w:divBdr>
                                        <w:top w:val="none" w:sz="0" w:space="0" w:color="auto"/>
                                        <w:left w:val="none" w:sz="0" w:space="0" w:color="auto"/>
                                        <w:bottom w:val="none" w:sz="0" w:space="0" w:color="auto"/>
                                        <w:right w:val="none" w:sz="0" w:space="0" w:color="auto"/>
                                      </w:divBdr>
                                    </w:div>
                                    <w:div w:id="1631203582">
                                      <w:marLeft w:val="0"/>
                                      <w:marRight w:val="0"/>
                                      <w:marTop w:val="0"/>
                                      <w:marBottom w:val="0"/>
                                      <w:divBdr>
                                        <w:top w:val="none" w:sz="0" w:space="0" w:color="auto"/>
                                        <w:left w:val="none" w:sz="0" w:space="0" w:color="auto"/>
                                        <w:bottom w:val="none" w:sz="0" w:space="0" w:color="auto"/>
                                        <w:right w:val="none" w:sz="0" w:space="0" w:color="auto"/>
                                      </w:divBdr>
                                    </w:div>
                                    <w:div w:id="1644889989">
                                      <w:marLeft w:val="0"/>
                                      <w:marRight w:val="0"/>
                                      <w:marTop w:val="0"/>
                                      <w:marBottom w:val="0"/>
                                      <w:divBdr>
                                        <w:top w:val="none" w:sz="0" w:space="0" w:color="auto"/>
                                        <w:left w:val="none" w:sz="0" w:space="0" w:color="auto"/>
                                        <w:bottom w:val="none" w:sz="0" w:space="0" w:color="auto"/>
                                        <w:right w:val="none" w:sz="0" w:space="0" w:color="auto"/>
                                      </w:divBdr>
                                    </w:div>
                                    <w:div w:id="1650792835">
                                      <w:marLeft w:val="0"/>
                                      <w:marRight w:val="0"/>
                                      <w:marTop w:val="0"/>
                                      <w:marBottom w:val="0"/>
                                      <w:divBdr>
                                        <w:top w:val="none" w:sz="0" w:space="0" w:color="auto"/>
                                        <w:left w:val="none" w:sz="0" w:space="0" w:color="auto"/>
                                        <w:bottom w:val="none" w:sz="0" w:space="0" w:color="auto"/>
                                        <w:right w:val="none" w:sz="0" w:space="0" w:color="auto"/>
                                      </w:divBdr>
                                    </w:div>
                                    <w:div w:id="1664046243">
                                      <w:marLeft w:val="0"/>
                                      <w:marRight w:val="0"/>
                                      <w:marTop w:val="0"/>
                                      <w:marBottom w:val="0"/>
                                      <w:divBdr>
                                        <w:top w:val="none" w:sz="0" w:space="0" w:color="auto"/>
                                        <w:left w:val="none" w:sz="0" w:space="0" w:color="auto"/>
                                        <w:bottom w:val="none" w:sz="0" w:space="0" w:color="auto"/>
                                        <w:right w:val="none" w:sz="0" w:space="0" w:color="auto"/>
                                      </w:divBdr>
                                    </w:div>
                                    <w:div w:id="1670209961">
                                      <w:marLeft w:val="0"/>
                                      <w:marRight w:val="0"/>
                                      <w:marTop w:val="0"/>
                                      <w:marBottom w:val="0"/>
                                      <w:divBdr>
                                        <w:top w:val="none" w:sz="0" w:space="0" w:color="auto"/>
                                        <w:left w:val="none" w:sz="0" w:space="0" w:color="auto"/>
                                        <w:bottom w:val="none" w:sz="0" w:space="0" w:color="auto"/>
                                        <w:right w:val="none" w:sz="0" w:space="0" w:color="auto"/>
                                      </w:divBdr>
                                    </w:div>
                                    <w:div w:id="1674142272">
                                      <w:marLeft w:val="0"/>
                                      <w:marRight w:val="0"/>
                                      <w:marTop w:val="0"/>
                                      <w:marBottom w:val="0"/>
                                      <w:divBdr>
                                        <w:top w:val="none" w:sz="0" w:space="0" w:color="auto"/>
                                        <w:left w:val="none" w:sz="0" w:space="0" w:color="auto"/>
                                        <w:bottom w:val="none" w:sz="0" w:space="0" w:color="auto"/>
                                        <w:right w:val="none" w:sz="0" w:space="0" w:color="auto"/>
                                      </w:divBdr>
                                    </w:div>
                                    <w:div w:id="1678073691">
                                      <w:marLeft w:val="0"/>
                                      <w:marRight w:val="0"/>
                                      <w:marTop w:val="0"/>
                                      <w:marBottom w:val="0"/>
                                      <w:divBdr>
                                        <w:top w:val="none" w:sz="0" w:space="0" w:color="auto"/>
                                        <w:left w:val="none" w:sz="0" w:space="0" w:color="auto"/>
                                        <w:bottom w:val="none" w:sz="0" w:space="0" w:color="auto"/>
                                        <w:right w:val="none" w:sz="0" w:space="0" w:color="auto"/>
                                      </w:divBdr>
                                    </w:div>
                                    <w:div w:id="1692030758">
                                      <w:marLeft w:val="0"/>
                                      <w:marRight w:val="0"/>
                                      <w:marTop w:val="0"/>
                                      <w:marBottom w:val="0"/>
                                      <w:divBdr>
                                        <w:top w:val="none" w:sz="0" w:space="0" w:color="auto"/>
                                        <w:left w:val="none" w:sz="0" w:space="0" w:color="auto"/>
                                        <w:bottom w:val="none" w:sz="0" w:space="0" w:color="auto"/>
                                        <w:right w:val="none" w:sz="0" w:space="0" w:color="auto"/>
                                      </w:divBdr>
                                    </w:div>
                                    <w:div w:id="1695114466">
                                      <w:marLeft w:val="0"/>
                                      <w:marRight w:val="0"/>
                                      <w:marTop w:val="0"/>
                                      <w:marBottom w:val="0"/>
                                      <w:divBdr>
                                        <w:top w:val="none" w:sz="0" w:space="0" w:color="auto"/>
                                        <w:left w:val="none" w:sz="0" w:space="0" w:color="auto"/>
                                        <w:bottom w:val="none" w:sz="0" w:space="0" w:color="auto"/>
                                        <w:right w:val="none" w:sz="0" w:space="0" w:color="auto"/>
                                      </w:divBdr>
                                    </w:div>
                                    <w:div w:id="1697579463">
                                      <w:marLeft w:val="0"/>
                                      <w:marRight w:val="0"/>
                                      <w:marTop w:val="0"/>
                                      <w:marBottom w:val="0"/>
                                      <w:divBdr>
                                        <w:top w:val="none" w:sz="0" w:space="0" w:color="auto"/>
                                        <w:left w:val="none" w:sz="0" w:space="0" w:color="auto"/>
                                        <w:bottom w:val="none" w:sz="0" w:space="0" w:color="auto"/>
                                        <w:right w:val="none" w:sz="0" w:space="0" w:color="auto"/>
                                      </w:divBdr>
                                    </w:div>
                                    <w:div w:id="1704286834">
                                      <w:marLeft w:val="0"/>
                                      <w:marRight w:val="0"/>
                                      <w:marTop w:val="0"/>
                                      <w:marBottom w:val="0"/>
                                      <w:divBdr>
                                        <w:top w:val="none" w:sz="0" w:space="0" w:color="auto"/>
                                        <w:left w:val="none" w:sz="0" w:space="0" w:color="auto"/>
                                        <w:bottom w:val="none" w:sz="0" w:space="0" w:color="auto"/>
                                        <w:right w:val="none" w:sz="0" w:space="0" w:color="auto"/>
                                      </w:divBdr>
                                    </w:div>
                                    <w:div w:id="1705330047">
                                      <w:marLeft w:val="0"/>
                                      <w:marRight w:val="0"/>
                                      <w:marTop w:val="0"/>
                                      <w:marBottom w:val="0"/>
                                      <w:divBdr>
                                        <w:top w:val="none" w:sz="0" w:space="0" w:color="auto"/>
                                        <w:left w:val="none" w:sz="0" w:space="0" w:color="auto"/>
                                        <w:bottom w:val="none" w:sz="0" w:space="0" w:color="auto"/>
                                        <w:right w:val="none" w:sz="0" w:space="0" w:color="auto"/>
                                      </w:divBdr>
                                    </w:div>
                                    <w:div w:id="1708483231">
                                      <w:marLeft w:val="0"/>
                                      <w:marRight w:val="0"/>
                                      <w:marTop w:val="0"/>
                                      <w:marBottom w:val="0"/>
                                      <w:divBdr>
                                        <w:top w:val="none" w:sz="0" w:space="0" w:color="auto"/>
                                        <w:left w:val="none" w:sz="0" w:space="0" w:color="auto"/>
                                        <w:bottom w:val="none" w:sz="0" w:space="0" w:color="auto"/>
                                        <w:right w:val="none" w:sz="0" w:space="0" w:color="auto"/>
                                      </w:divBdr>
                                    </w:div>
                                    <w:div w:id="1710572592">
                                      <w:marLeft w:val="0"/>
                                      <w:marRight w:val="0"/>
                                      <w:marTop w:val="0"/>
                                      <w:marBottom w:val="0"/>
                                      <w:divBdr>
                                        <w:top w:val="none" w:sz="0" w:space="0" w:color="auto"/>
                                        <w:left w:val="none" w:sz="0" w:space="0" w:color="auto"/>
                                        <w:bottom w:val="none" w:sz="0" w:space="0" w:color="auto"/>
                                        <w:right w:val="none" w:sz="0" w:space="0" w:color="auto"/>
                                      </w:divBdr>
                                    </w:div>
                                    <w:div w:id="1713964819">
                                      <w:marLeft w:val="0"/>
                                      <w:marRight w:val="0"/>
                                      <w:marTop w:val="0"/>
                                      <w:marBottom w:val="0"/>
                                      <w:divBdr>
                                        <w:top w:val="none" w:sz="0" w:space="0" w:color="auto"/>
                                        <w:left w:val="none" w:sz="0" w:space="0" w:color="auto"/>
                                        <w:bottom w:val="none" w:sz="0" w:space="0" w:color="auto"/>
                                        <w:right w:val="none" w:sz="0" w:space="0" w:color="auto"/>
                                      </w:divBdr>
                                    </w:div>
                                    <w:div w:id="1730372836">
                                      <w:marLeft w:val="0"/>
                                      <w:marRight w:val="0"/>
                                      <w:marTop w:val="0"/>
                                      <w:marBottom w:val="0"/>
                                      <w:divBdr>
                                        <w:top w:val="none" w:sz="0" w:space="0" w:color="auto"/>
                                        <w:left w:val="none" w:sz="0" w:space="0" w:color="auto"/>
                                        <w:bottom w:val="none" w:sz="0" w:space="0" w:color="auto"/>
                                        <w:right w:val="none" w:sz="0" w:space="0" w:color="auto"/>
                                      </w:divBdr>
                                    </w:div>
                                    <w:div w:id="1744182531">
                                      <w:marLeft w:val="0"/>
                                      <w:marRight w:val="0"/>
                                      <w:marTop w:val="0"/>
                                      <w:marBottom w:val="0"/>
                                      <w:divBdr>
                                        <w:top w:val="none" w:sz="0" w:space="0" w:color="auto"/>
                                        <w:left w:val="none" w:sz="0" w:space="0" w:color="auto"/>
                                        <w:bottom w:val="none" w:sz="0" w:space="0" w:color="auto"/>
                                        <w:right w:val="none" w:sz="0" w:space="0" w:color="auto"/>
                                      </w:divBdr>
                                    </w:div>
                                    <w:div w:id="1757938620">
                                      <w:marLeft w:val="0"/>
                                      <w:marRight w:val="0"/>
                                      <w:marTop w:val="0"/>
                                      <w:marBottom w:val="0"/>
                                      <w:divBdr>
                                        <w:top w:val="none" w:sz="0" w:space="0" w:color="auto"/>
                                        <w:left w:val="none" w:sz="0" w:space="0" w:color="auto"/>
                                        <w:bottom w:val="none" w:sz="0" w:space="0" w:color="auto"/>
                                        <w:right w:val="none" w:sz="0" w:space="0" w:color="auto"/>
                                      </w:divBdr>
                                    </w:div>
                                    <w:div w:id="1771394157">
                                      <w:marLeft w:val="0"/>
                                      <w:marRight w:val="0"/>
                                      <w:marTop w:val="0"/>
                                      <w:marBottom w:val="0"/>
                                      <w:divBdr>
                                        <w:top w:val="none" w:sz="0" w:space="0" w:color="auto"/>
                                        <w:left w:val="none" w:sz="0" w:space="0" w:color="auto"/>
                                        <w:bottom w:val="none" w:sz="0" w:space="0" w:color="auto"/>
                                        <w:right w:val="none" w:sz="0" w:space="0" w:color="auto"/>
                                      </w:divBdr>
                                    </w:div>
                                    <w:div w:id="1778673625">
                                      <w:marLeft w:val="0"/>
                                      <w:marRight w:val="0"/>
                                      <w:marTop w:val="0"/>
                                      <w:marBottom w:val="0"/>
                                      <w:divBdr>
                                        <w:top w:val="none" w:sz="0" w:space="0" w:color="auto"/>
                                        <w:left w:val="none" w:sz="0" w:space="0" w:color="auto"/>
                                        <w:bottom w:val="none" w:sz="0" w:space="0" w:color="auto"/>
                                        <w:right w:val="none" w:sz="0" w:space="0" w:color="auto"/>
                                      </w:divBdr>
                                    </w:div>
                                    <w:div w:id="1786315013">
                                      <w:marLeft w:val="0"/>
                                      <w:marRight w:val="0"/>
                                      <w:marTop w:val="0"/>
                                      <w:marBottom w:val="0"/>
                                      <w:divBdr>
                                        <w:top w:val="none" w:sz="0" w:space="0" w:color="auto"/>
                                        <w:left w:val="none" w:sz="0" w:space="0" w:color="auto"/>
                                        <w:bottom w:val="none" w:sz="0" w:space="0" w:color="auto"/>
                                        <w:right w:val="none" w:sz="0" w:space="0" w:color="auto"/>
                                      </w:divBdr>
                                    </w:div>
                                    <w:div w:id="1791557934">
                                      <w:marLeft w:val="0"/>
                                      <w:marRight w:val="0"/>
                                      <w:marTop w:val="0"/>
                                      <w:marBottom w:val="0"/>
                                      <w:divBdr>
                                        <w:top w:val="none" w:sz="0" w:space="0" w:color="auto"/>
                                        <w:left w:val="none" w:sz="0" w:space="0" w:color="auto"/>
                                        <w:bottom w:val="none" w:sz="0" w:space="0" w:color="auto"/>
                                        <w:right w:val="none" w:sz="0" w:space="0" w:color="auto"/>
                                      </w:divBdr>
                                    </w:div>
                                    <w:div w:id="1794785802">
                                      <w:marLeft w:val="0"/>
                                      <w:marRight w:val="0"/>
                                      <w:marTop w:val="0"/>
                                      <w:marBottom w:val="0"/>
                                      <w:divBdr>
                                        <w:top w:val="none" w:sz="0" w:space="0" w:color="auto"/>
                                        <w:left w:val="none" w:sz="0" w:space="0" w:color="auto"/>
                                        <w:bottom w:val="none" w:sz="0" w:space="0" w:color="auto"/>
                                        <w:right w:val="none" w:sz="0" w:space="0" w:color="auto"/>
                                      </w:divBdr>
                                    </w:div>
                                    <w:div w:id="1799294280">
                                      <w:marLeft w:val="0"/>
                                      <w:marRight w:val="0"/>
                                      <w:marTop w:val="0"/>
                                      <w:marBottom w:val="0"/>
                                      <w:divBdr>
                                        <w:top w:val="none" w:sz="0" w:space="0" w:color="auto"/>
                                        <w:left w:val="none" w:sz="0" w:space="0" w:color="auto"/>
                                        <w:bottom w:val="none" w:sz="0" w:space="0" w:color="auto"/>
                                        <w:right w:val="none" w:sz="0" w:space="0" w:color="auto"/>
                                      </w:divBdr>
                                    </w:div>
                                    <w:div w:id="1803574214">
                                      <w:marLeft w:val="0"/>
                                      <w:marRight w:val="0"/>
                                      <w:marTop w:val="0"/>
                                      <w:marBottom w:val="0"/>
                                      <w:divBdr>
                                        <w:top w:val="none" w:sz="0" w:space="0" w:color="auto"/>
                                        <w:left w:val="none" w:sz="0" w:space="0" w:color="auto"/>
                                        <w:bottom w:val="none" w:sz="0" w:space="0" w:color="auto"/>
                                        <w:right w:val="none" w:sz="0" w:space="0" w:color="auto"/>
                                      </w:divBdr>
                                    </w:div>
                                    <w:div w:id="1812944107">
                                      <w:marLeft w:val="0"/>
                                      <w:marRight w:val="0"/>
                                      <w:marTop w:val="0"/>
                                      <w:marBottom w:val="0"/>
                                      <w:divBdr>
                                        <w:top w:val="none" w:sz="0" w:space="0" w:color="auto"/>
                                        <w:left w:val="none" w:sz="0" w:space="0" w:color="auto"/>
                                        <w:bottom w:val="none" w:sz="0" w:space="0" w:color="auto"/>
                                        <w:right w:val="none" w:sz="0" w:space="0" w:color="auto"/>
                                      </w:divBdr>
                                    </w:div>
                                    <w:div w:id="1813669064">
                                      <w:marLeft w:val="0"/>
                                      <w:marRight w:val="0"/>
                                      <w:marTop w:val="0"/>
                                      <w:marBottom w:val="0"/>
                                      <w:divBdr>
                                        <w:top w:val="none" w:sz="0" w:space="0" w:color="auto"/>
                                        <w:left w:val="none" w:sz="0" w:space="0" w:color="auto"/>
                                        <w:bottom w:val="none" w:sz="0" w:space="0" w:color="auto"/>
                                        <w:right w:val="none" w:sz="0" w:space="0" w:color="auto"/>
                                      </w:divBdr>
                                    </w:div>
                                    <w:div w:id="1816800640">
                                      <w:marLeft w:val="0"/>
                                      <w:marRight w:val="0"/>
                                      <w:marTop w:val="0"/>
                                      <w:marBottom w:val="0"/>
                                      <w:divBdr>
                                        <w:top w:val="none" w:sz="0" w:space="0" w:color="auto"/>
                                        <w:left w:val="none" w:sz="0" w:space="0" w:color="auto"/>
                                        <w:bottom w:val="none" w:sz="0" w:space="0" w:color="auto"/>
                                        <w:right w:val="none" w:sz="0" w:space="0" w:color="auto"/>
                                      </w:divBdr>
                                    </w:div>
                                    <w:div w:id="1817186434">
                                      <w:marLeft w:val="0"/>
                                      <w:marRight w:val="0"/>
                                      <w:marTop w:val="0"/>
                                      <w:marBottom w:val="0"/>
                                      <w:divBdr>
                                        <w:top w:val="none" w:sz="0" w:space="0" w:color="auto"/>
                                        <w:left w:val="none" w:sz="0" w:space="0" w:color="auto"/>
                                        <w:bottom w:val="none" w:sz="0" w:space="0" w:color="auto"/>
                                        <w:right w:val="none" w:sz="0" w:space="0" w:color="auto"/>
                                      </w:divBdr>
                                    </w:div>
                                    <w:div w:id="1833062684">
                                      <w:marLeft w:val="0"/>
                                      <w:marRight w:val="0"/>
                                      <w:marTop w:val="0"/>
                                      <w:marBottom w:val="0"/>
                                      <w:divBdr>
                                        <w:top w:val="none" w:sz="0" w:space="0" w:color="auto"/>
                                        <w:left w:val="none" w:sz="0" w:space="0" w:color="auto"/>
                                        <w:bottom w:val="none" w:sz="0" w:space="0" w:color="auto"/>
                                        <w:right w:val="none" w:sz="0" w:space="0" w:color="auto"/>
                                      </w:divBdr>
                                    </w:div>
                                    <w:div w:id="1842888260">
                                      <w:marLeft w:val="0"/>
                                      <w:marRight w:val="0"/>
                                      <w:marTop w:val="0"/>
                                      <w:marBottom w:val="0"/>
                                      <w:divBdr>
                                        <w:top w:val="none" w:sz="0" w:space="0" w:color="auto"/>
                                        <w:left w:val="none" w:sz="0" w:space="0" w:color="auto"/>
                                        <w:bottom w:val="none" w:sz="0" w:space="0" w:color="auto"/>
                                        <w:right w:val="none" w:sz="0" w:space="0" w:color="auto"/>
                                      </w:divBdr>
                                    </w:div>
                                    <w:div w:id="1845702160">
                                      <w:marLeft w:val="0"/>
                                      <w:marRight w:val="0"/>
                                      <w:marTop w:val="0"/>
                                      <w:marBottom w:val="0"/>
                                      <w:divBdr>
                                        <w:top w:val="none" w:sz="0" w:space="0" w:color="auto"/>
                                        <w:left w:val="none" w:sz="0" w:space="0" w:color="auto"/>
                                        <w:bottom w:val="none" w:sz="0" w:space="0" w:color="auto"/>
                                        <w:right w:val="none" w:sz="0" w:space="0" w:color="auto"/>
                                      </w:divBdr>
                                    </w:div>
                                    <w:div w:id="1854226626">
                                      <w:marLeft w:val="0"/>
                                      <w:marRight w:val="0"/>
                                      <w:marTop w:val="0"/>
                                      <w:marBottom w:val="0"/>
                                      <w:divBdr>
                                        <w:top w:val="none" w:sz="0" w:space="0" w:color="auto"/>
                                        <w:left w:val="none" w:sz="0" w:space="0" w:color="auto"/>
                                        <w:bottom w:val="none" w:sz="0" w:space="0" w:color="auto"/>
                                        <w:right w:val="none" w:sz="0" w:space="0" w:color="auto"/>
                                      </w:divBdr>
                                    </w:div>
                                    <w:div w:id="1861623689">
                                      <w:marLeft w:val="0"/>
                                      <w:marRight w:val="0"/>
                                      <w:marTop w:val="0"/>
                                      <w:marBottom w:val="0"/>
                                      <w:divBdr>
                                        <w:top w:val="none" w:sz="0" w:space="0" w:color="auto"/>
                                        <w:left w:val="none" w:sz="0" w:space="0" w:color="auto"/>
                                        <w:bottom w:val="none" w:sz="0" w:space="0" w:color="auto"/>
                                        <w:right w:val="none" w:sz="0" w:space="0" w:color="auto"/>
                                      </w:divBdr>
                                    </w:div>
                                    <w:div w:id="1866091989">
                                      <w:marLeft w:val="0"/>
                                      <w:marRight w:val="0"/>
                                      <w:marTop w:val="0"/>
                                      <w:marBottom w:val="0"/>
                                      <w:divBdr>
                                        <w:top w:val="none" w:sz="0" w:space="0" w:color="auto"/>
                                        <w:left w:val="none" w:sz="0" w:space="0" w:color="auto"/>
                                        <w:bottom w:val="none" w:sz="0" w:space="0" w:color="auto"/>
                                        <w:right w:val="none" w:sz="0" w:space="0" w:color="auto"/>
                                      </w:divBdr>
                                    </w:div>
                                    <w:div w:id="1868172769">
                                      <w:marLeft w:val="0"/>
                                      <w:marRight w:val="0"/>
                                      <w:marTop w:val="0"/>
                                      <w:marBottom w:val="0"/>
                                      <w:divBdr>
                                        <w:top w:val="none" w:sz="0" w:space="0" w:color="auto"/>
                                        <w:left w:val="none" w:sz="0" w:space="0" w:color="auto"/>
                                        <w:bottom w:val="none" w:sz="0" w:space="0" w:color="auto"/>
                                        <w:right w:val="none" w:sz="0" w:space="0" w:color="auto"/>
                                      </w:divBdr>
                                    </w:div>
                                    <w:div w:id="1878733387">
                                      <w:marLeft w:val="0"/>
                                      <w:marRight w:val="0"/>
                                      <w:marTop w:val="0"/>
                                      <w:marBottom w:val="0"/>
                                      <w:divBdr>
                                        <w:top w:val="none" w:sz="0" w:space="0" w:color="auto"/>
                                        <w:left w:val="none" w:sz="0" w:space="0" w:color="auto"/>
                                        <w:bottom w:val="none" w:sz="0" w:space="0" w:color="auto"/>
                                        <w:right w:val="none" w:sz="0" w:space="0" w:color="auto"/>
                                      </w:divBdr>
                                    </w:div>
                                    <w:div w:id="1884365144">
                                      <w:marLeft w:val="0"/>
                                      <w:marRight w:val="0"/>
                                      <w:marTop w:val="0"/>
                                      <w:marBottom w:val="0"/>
                                      <w:divBdr>
                                        <w:top w:val="none" w:sz="0" w:space="0" w:color="auto"/>
                                        <w:left w:val="none" w:sz="0" w:space="0" w:color="auto"/>
                                        <w:bottom w:val="none" w:sz="0" w:space="0" w:color="auto"/>
                                        <w:right w:val="none" w:sz="0" w:space="0" w:color="auto"/>
                                      </w:divBdr>
                                    </w:div>
                                    <w:div w:id="1893881452">
                                      <w:marLeft w:val="0"/>
                                      <w:marRight w:val="0"/>
                                      <w:marTop w:val="0"/>
                                      <w:marBottom w:val="0"/>
                                      <w:divBdr>
                                        <w:top w:val="none" w:sz="0" w:space="0" w:color="auto"/>
                                        <w:left w:val="none" w:sz="0" w:space="0" w:color="auto"/>
                                        <w:bottom w:val="none" w:sz="0" w:space="0" w:color="auto"/>
                                        <w:right w:val="none" w:sz="0" w:space="0" w:color="auto"/>
                                      </w:divBdr>
                                    </w:div>
                                    <w:div w:id="1901282156">
                                      <w:marLeft w:val="0"/>
                                      <w:marRight w:val="0"/>
                                      <w:marTop w:val="0"/>
                                      <w:marBottom w:val="0"/>
                                      <w:divBdr>
                                        <w:top w:val="none" w:sz="0" w:space="0" w:color="auto"/>
                                        <w:left w:val="none" w:sz="0" w:space="0" w:color="auto"/>
                                        <w:bottom w:val="none" w:sz="0" w:space="0" w:color="auto"/>
                                        <w:right w:val="none" w:sz="0" w:space="0" w:color="auto"/>
                                      </w:divBdr>
                                    </w:div>
                                    <w:div w:id="1904097034">
                                      <w:marLeft w:val="0"/>
                                      <w:marRight w:val="0"/>
                                      <w:marTop w:val="0"/>
                                      <w:marBottom w:val="0"/>
                                      <w:divBdr>
                                        <w:top w:val="none" w:sz="0" w:space="0" w:color="auto"/>
                                        <w:left w:val="none" w:sz="0" w:space="0" w:color="auto"/>
                                        <w:bottom w:val="none" w:sz="0" w:space="0" w:color="auto"/>
                                        <w:right w:val="none" w:sz="0" w:space="0" w:color="auto"/>
                                      </w:divBdr>
                                    </w:div>
                                    <w:div w:id="1905219626">
                                      <w:marLeft w:val="0"/>
                                      <w:marRight w:val="0"/>
                                      <w:marTop w:val="0"/>
                                      <w:marBottom w:val="0"/>
                                      <w:divBdr>
                                        <w:top w:val="none" w:sz="0" w:space="0" w:color="auto"/>
                                        <w:left w:val="none" w:sz="0" w:space="0" w:color="auto"/>
                                        <w:bottom w:val="none" w:sz="0" w:space="0" w:color="auto"/>
                                        <w:right w:val="none" w:sz="0" w:space="0" w:color="auto"/>
                                      </w:divBdr>
                                    </w:div>
                                    <w:div w:id="1909070014">
                                      <w:marLeft w:val="0"/>
                                      <w:marRight w:val="0"/>
                                      <w:marTop w:val="0"/>
                                      <w:marBottom w:val="0"/>
                                      <w:divBdr>
                                        <w:top w:val="none" w:sz="0" w:space="0" w:color="auto"/>
                                        <w:left w:val="none" w:sz="0" w:space="0" w:color="auto"/>
                                        <w:bottom w:val="none" w:sz="0" w:space="0" w:color="auto"/>
                                        <w:right w:val="none" w:sz="0" w:space="0" w:color="auto"/>
                                      </w:divBdr>
                                    </w:div>
                                    <w:div w:id="1910068532">
                                      <w:marLeft w:val="0"/>
                                      <w:marRight w:val="0"/>
                                      <w:marTop w:val="0"/>
                                      <w:marBottom w:val="0"/>
                                      <w:divBdr>
                                        <w:top w:val="none" w:sz="0" w:space="0" w:color="auto"/>
                                        <w:left w:val="none" w:sz="0" w:space="0" w:color="auto"/>
                                        <w:bottom w:val="none" w:sz="0" w:space="0" w:color="auto"/>
                                        <w:right w:val="none" w:sz="0" w:space="0" w:color="auto"/>
                                      </w:divBdr>
                                    </w:div>
                                    <w:div w:id="1927759915">
                                      <w:marLeft w:val="0"/>
                                      <w:marRight w:val="0"/>
                                      <w:marTop w:val="0"/>
                                      <w:marBottom w:val="0"/>
                                      <w:divBdr>
                                        <w:top w:val="none" w:sz="0" w:space="0" w:color="auto"/>
                                        <w:left w:val="none" w:sz="0" w:space="0" w:color="auto"/>
                                        <w:bottom w:val="none" w:sz="0" w:space="0" w:color="auto"/>
                                        <w:right w:val="none" w:sz="0" w:space="0" w:color="auto"/>
                                      </w:divBdr>
                                    </w:div>
                                    <w:div w:id="1929003957">
                                      <w:marLeft w:val="0"/>
                                      <w:marRight w:val="0"/>
                                      <w:marTop w:val="0"/>
                                      <w:marBottom w:val="0"/>
                                      <w:divBdr>
                                        <w:top w:val="none" w:sz="0" w:space="0" w:color="auto"/>
                                        <w:left w:val="none" w:sz="0" w:space="0" w:color="auto"/>
                                        <w:bottom w:val="none" w:sz="0" w:space="0" w:color="auto"/>
                                        <w:right w:val="none" w:sz="0" w:space="0" w:color="auto"/>
                                      </w:divBdr>
                                    </w:div>
                                    <w:div w:id="1930499662">
                                      <w:marLeft w:val="0"/>
                                      <w:marRight w:val="0"/>
                                      <w:marTop w:val="0"/>
                                      <w:marBottom w:val="0"/>
                                      <w:divBdr>
                                        <w:top w:val="none" w:sz="0" w:space="0" w:color="auto"/>
                                        <w:left w:val="none" w:sz="0" w:space="0" w:color="auto"/>
                                        <w:bottom w:val="none" w:sz="0" w:space="0" w:color="auto"/>
                                        <w:right w:val="none" w:sz="0" w:space="0" w:color="auto"/>
                                      </w:divBdr>
                                    </w:div>
                                    <w:div w:id="1944796562">
                                      <w:marLeft w:val="0"/>
                                      <w:marRight w:val="0"/>
                                      <w:marTop w:val="0"/>
                                      <w:marBottom w:val="0"/>
                                      <w:divBdr>
                                        <w:top w:val="none" w:sz="0" w:space="0" w:color="auto"/>
                                        <w:left w:val="none" w:sz="0" w:space="0" w:color="auto"/>
                                        <w:bottom w:val="none" w:sz="0" w:space="0" w:color="auto"/>
                                        <w:right w:val="none" w:sz="0" w:space="0" w:color="auto"/>
                                      </w:divBdr>
                                    </w:div>
                                    <w:div w:id="1948849800">
                                      <w:marLeft w:val="0"/>
                                      <w:marRight w:val="0"/>
                                      <w:marTop w:val="0"/>
                                      <w:marBottom w:val="0"/>
                                      <w:divBdr>
                                        <w:top w:val="none" w:sz="0" w:space="0" w:color="auto"/>
                                        <w:left w:val="none" w:sz="0" w:space="0" w:color="auto"/>
                                        <w:bottom w:val="none" w:sz="0" w:space="0" w:color="auto"/>
                                        <w:right w:val="none" w:sz="0" w:space="0" w:color="auto"/>
                                      </w:divBdr>
                                    </w:div>
                                    <w:div w:id="1951014282">
                                      <w:marLeft w:val="0"/>
                                      <w:marRight w:val="0"/>
                                      <w:marTop w:val="0"/>
                                      <w:marBottom w:val="0"/>
                                      <w:divBdr>
                                        <w:top w:val="none" w:sz="0" w:space="0" w:color="auto"/>
                                        <w:left w:val="none" w:sz="0" w:space="0" w:color="auto"/>
                                        <w:bottom w:val="none" w:sz="0" w:space="0" w:color="auto"/>
                                        <w:right w:val="none" w:sz="0" w:space="0" w:color="auto"/>
                                      </w:divBdr>
                                    </w:div>
                                    <w:div w:id="1970890635">
                                      <w:marLeft w:val="0"/>
                                      <w:marRight w:val="0"/>
                                      <w:marTop w:val="0"/>
                                      <w:marBottom w:val="0"/>
                                      <w:divBdr>
                                        <w:top w:val="none" w:sz="0" w:space="0" w:color="auto"/>
                                        <w:left w:val="none" w:sz="0" w:space="0" w:color="auto"/>
                                        <w:bottom w:val="none" w:sz="0" w:space="0" w:color="auto"/>
                                        <w:right w:val="none" w:sz="0" w:space="0" w:color="auto"/>
                                      </w:divBdr>
                                    </w:div>
                                    <w:div w:id="1974367442">
                                      <w:marLeft w:val="0"/>
                                      <w:marRight w:val="0"/>
                                      <w:marTop w:val="0"/>
                                      <w:marBottom w:val="0"/>
                                      <w:divBdr>
                                        <w:top w:val="none" w:sz="0" w:space="0" w:color="auto"/>
                                        <w:left w:val="none" w:sz="0" w:space="0" w:color="auto"/>
                                        <w:bottom w:val="none" w:sz="0" w:space="0" w:color="auto"/>
                                        <w:right w:val="none" w:sz="0" w:space="0" w:color="auto"/>
                                      </w:divBdr>
                                    </w:div>
                                    <w:div w:id="1983731804">
                                      <w:marLeft w:val="0"/>
                                      <w:marRight w:val="0"/>
                                      <w:marTop w:val="0"/>
                                      <w:marBottom w:val="0"/>
                                      <w:divBdr>
                                        <w:top w:val="none" w:sz="0" w:space="0" w:color="auto"/>
                                        <w:left w:val="none" w:sz="0" w:space="0" w:color="auto"/>
                                        <w:bottom w:val="none" w:sz="0" w:space="0" w:color="auto"/>
                                        <w:right w:val="none" w:sz="0" w:space="0" w:color="auto"/>
                                      </w:divBdr>
                                    </w:div>
                                    <w:div w:id="1984194828">
                                      <w:marLeft w:val="0"/>
                                      <w:marRight w:val="0"/>
                                      <w:marTop w:val="0"/>
                                      <w:marBottom w:val="0"/>
                                      <w:divBdr>
                                        <w:top w:val="none" w:sz="0" w:space="0" w:color="auto"/>
                                        <w:left w:val="none" w:sz="0" w:space="0" w:color="auto"/>
                                        <w:bottom w:val="none" w:sz="0" w:space="0" w:color="auto"/>
                                        <w:right w:val="none" w:sz="0" w:space="0" w:color="auto"/>
                                      </w:divBdr>
                                    </w:div>
                                    <w:div w:id="1984196822">
                                      <w:marLeft w:val="0"/>
                                      <w:marRight w:val="0"/>
                                      <w:marTop w:val="0"/>
                                      <w:marBottom w:val="0"/>
                                      <w:divBdr>
                                        <w:top w:val="none" w:sz="0" w:space="0" w:color="auto"/>
                                        <w:left w:val="none" w:sz="0" w:space="0" w:color="auto"/>
                                        <w:bottom w:val="none" w:sz="0" w:space="0" w:color="auto"/>
                                        <w:right w:val="none" w:sz="0" w:space="0" w:color="auto"/>
                                      </w:divBdr>
                                    </w:div>
                                    <w:div w:id="1986624926">
                                      <w:marLeft w:val="0"/>
                                      <w:marRight w:val="0"/>
                                      <w:marTop w:val="0"/>
                                      <w:marBottom w:val="0"/>
                                      <w:divBdr>
                                        <w:top w:val="none" w:sz="0" w:space="0" w:color="auto"/>
                                        <w:left w:val="none" w:sz="0" w:space="0" w:color="auto"/>
                                        <w:bottom w:val="none" w:sz="0" w:space="0" w:color="auto"/>
                                        <w:right w:val="none" w:sz="0" w:space="0" w:color="auto"/>
                                      </w:divBdr>
                                    </w:div>
                                    <w:div w:id="1990356120">
                                      <w:marLeft w:val="0"/>
                                      <w:marRight w:val="0"/>
                                      <w:marTop w:val="0"/>
                                      <w:marBottom w:val="0"/>
                                      <w:divBdr>
                                        <w:top w:val="none" w:sz="0" w:space="0" w:color="auto"/>
                                        <w:left w:val="none" w:sz="0" w:space="0" w:color="auto"/>
                                        <w:bottom w:val="none" w:sz="0" w:space="0" w:color="auto"/>
                                        <w:right w:val="none" w:sz="0" w:space="0" w:color="auto"/>
                                      </w:divBdr>
                                    </w:div>
                                    <w:div w:id="1995528174">
                                      <w:marLeft w:val="0"/>
                                      <w:marRight w:val="0"/>
                                      <w:marTop w:val="0"/>
                                      <w:marBottom w:val="0"/>
                                      <w:divBdr>
                                        <w:top w:val="none" w:sz="0" w:space="0" w:color="auto"/>
                                        <w:left w:val="none" w:sz="0" w:space="0" w:color="auto"/>
                                        <w:bottom w:val="none" w:sz="0" w:space="0" w:color="auto"/>
                                        <w:right w:val="none" w:sz="0" w:space="0" w:color="auto"/>
                                      </w:divBdr>
                                    </w:div>
                                    <w:div w:id="1995715620">
                                      <w:marLeft w:val="0"/>
                                      <w:marRight w:val="0"/>
                                      <w:marTop w:val="0"/>
                                      <w:marBottom w:val="0"/>
                                      <w:divBdr>
                                        <w:top w:val="none" w:sz="0" w:space="0" w:color="auto"/>
                                        <w:left w:val="none" w:sz="0" w:space="0" w:color="auto"/>
                                        <w:bottom w:val="none" w:sz="0" w:space="0" w:color="auto"/>
                                        <w:right w:val="none" w:sz="0" w:space="0" w:color="auto"/>
                                      </w:divBdr>
                                    </w:div>
                                    <w:div w:id="2011057899">
                                      <w:marLeft w:val="0"/>
                                      <w:marRight w:val="0"/>
                                      <w:marTop w:val="0"/>
                                      <w:marBottom w:val="0"/>
                                      <w:divBdr>
                                        <w:top w:val="none" w:sz="0" w:space="0" w:color="auto"/>
                                        <w:left w:val="none" w:sz="0" w:space="0" w:color="auto"/>
                                        <w:bottom w:val="none" w:sz="0" w:space="0" w:color="auto"/>
                                        <w:right w:val="none" w:sz="0" w:space="0" w:color="auto"/>
                                      </w:divBdr>
                                    </w:div>
                                    <w:div w:id="2017267268">
                                      <w:marLeft w:val="0"/>
                                      <w:marRight w:val="0"/>
                                      <w:marTop w:val="0"/>
                                      <w:marBottom w:val="0"/>
                                      <w:divBdr>
                                        <w:top w:val="none" w:sz="0" w:space="0" w:color="auto"/>
                                        <w:left w:val="none" w:sz="0" w:space="0" w:color="auto"/>
                                        <w:bottom w:val="none" w:sz="0" w:space="0" w:color="auto"/>
                                        <w:right w:val="none" w:sz="0" w:space="0" w:color="auto"/>
                                      </w:divBdr>
                                    </w:div>
                                    <w:div w:id="2021657986">
                                      <w:marLeft w:val="0"/>
                                      <w:marRight w:val="0"/>
                                      <w:marTop w:val="0"/>
                                      <w:marBottom w:val="0"/>
                                      <w:divBdr>
                                        <w:top w:val="none" w:sz="0" w:space="0" w:color="auto"/>
                                        <w:left w:val="none" w:sz="0" w:space="0" w:color="auto"/>
                                        <w:bottom w:val="none" w:sz="0" w:space="0" w:color="auto"/>
                                        <w:right w:val="none" w:sz="0" w:space="0" w:color="auto"/>
                                      </w:divBdr>
                                    </w:div>
                                    <w:div w:id="2023167099">
                                      <w:marLeft w:val="0"/>
                                      <w:marRight w:val="0"/>
                                      <w:marTop w:val="0"/>
                                      <w:marBottom w:val="0"/>
                                      <w:divBdr>
                                        <w:top w:val="none" w:sz="0" w:space="0" w:color="auto"/>
                                        <w:left w:val="none" w:sz="0" w:space="0" w:color="auto"/>
                                        <w:bottom w:val="none" w:sz="0" w:space="0" w:color="auto"/>
                                        <w:right w:val="none" w:sz="0" w:space="0" w:color="auto"/>
                                      </w:divBdr>
                                    </w:div>
                                    <w:div w:id="2023966650">
                                      <w:marLeft w:val="0"/>
                                      <w:marRight w:val="0"/>
                                      <w:marTop w:val="0"/>
                                      <w:marBottom w:val="0"/>
                                      <w:divBdr>
                                        <w:top w:val="none" w:sz="0" w:space="0" w:color="auto"/>
                                        <w:left w:val="none" w:sz="0" w:space="0" w:color="auto"/>
                                        <w:bottom w:val="none" w:sz="0" w:space="0" w:color="auto"/>
                                        <w:right w:val="none" w:sz="0" w:space="0" w:color="auto"/>
                                      </w:divBdr>
                                    </w:div>
                                    <w:div w:id="2024744643">
                                      <w:marLeft w:val="0"/>
                                      <w:marRight w:val="0"/>
                                      <w:marTop w:val="0"/>
                                      <w:marBottom w:val="0"/>
                                      <w:divBdr>
                                        <w:top w:val="none" w:sz="0" w:space="0" w:color="auto"/>
                                        <w:left w:val="none" w:sz="0" w:space="0" w:color="auto"/>
                                        <w:bottom w:val="none" w:sz="0" w:space="0" w:color="auto"/>
                                        <w:right w:val="none" w:sz="0" w:space="0" w:color="auto"/>
                                      </w:divBdr>
                                    </w:div>
                                    <w:div w:id="2025589124">
                                      <w:marLeft w:val="0"/>
                                      <w:marRight w:val="0"/>
                                      <w:marTop w:val="0"/>
                                      <w:marBottom w:val="0"/>
                                      <w:divBdr>
                                        <w:top w:val="none" w:sz="0" w:space="0" w:color="auto"/>
                                        <w:left w:val="none" w:sz="0" w:space="0" w:color="auto"/>
                                        <w:bottom w:val="none" w:sz="0" w:space="0" w:color="auto"/>
                                        <w:right w:val="none" w:sz="0" w:space="0" w:color="auto"/>
                                      </w:divBdr>
                                    </w:div>
                                    <w:div w:id="2037151216">
                                      <w:marLeft w:val="0"/>
                                      <w:marRight w:val="0"/>
                                      <w:marTop w:val="0"/>
                                      <w:marBottom w:val="0"/>
                                      <w:divBdr>
                                        <w:top w:val="none" w:sz="0" w:space="0" w:color="auto"/>
                                        <w:left w:val="none" w:sz="0" w:space="0" w:color="auto"/>
                                        <w:bottom w:val="none" w:sz="0" w:space="0" w:color="auto"/>
                                        <w:right w:val="none" w:sz="0" w:space="0" w:color="auto"/>
                                      </w:divBdr>
                                    </w:div>
                                    <w:div w:id="2037342711">
                                      <w:marLeft w:val="0"/>
                                      <w:marRight w:val="0"/>
                                      <w:marTop w:val="0"/>
                                      <w:marBottom w:val="0"/>
                                      <w:divBdr>
                                        <w:top w:val="none" w:sz="0" w:space="0" w:color="auto"/>
                                        <w:left w:val="none" w:sz="0" w:space="0" w:color="auto"/>
                                        <w:bottom w:val="none" w:sz="0" w:space="0" w:color="auto"/>
                                        <w:right w:val="none" w:sz="0" w:space="0" w:color="auto"/>
                                      </w:divBdr>
                                    </w:div>
                                    <w:div w:id="2052218449">
                                      <w:marLeft w:val="0"/>
                                      <w:marRight w:val="0"/>
                                      <w:marTop w:val="0"/>
                                      <w:marBottom w:val="0"/>
                                      <w:divBdr>
                                        <w:top w:val="none" w:sz="0" w:space="0" w:color="auto"/>
                                        <w:left w:val="none" w:sz="0" w:space="0" w:color="auto"/>
                                        <w:bottom w:val="none" w:sz="0" w:space="0" w:color="auto"/>
                                        <w:right w:val="none" w:sz="0" w:space="0" w:color="auto"/>
                                      </w:divBdr>
                                    </w:div>
                                    <w:div w:id="2053917967">
                                      <w:marLeft w:val="0"/>
                                      <w:marRight w:val="0"/>
                                      <w:marTop w:val="0"/>
                                      <w:marBottom w:val="0"/>
                                      <w:divBdr>
                                        <w:top w:val="none" w:sz="0" w:space="0" w:color="auto"/>
                                        <w:left w:val="none" w:sz="0" w:space="0" w:color="auto"/>
                                        <w:bottom w:val="none" w:sz="0" w:space="0" w:color="auto"/>
                                        <w:right w:val="none" w:sz="0" w:space="0" w:color="auto"/>
                                      </w:divBdr>
                                    </w:div>
                                    <w:div w:id="2057504787">
                                      <w:marLeft w:val="0"/>
                                      <w:marRight w:val="0"/>
                                      <w:marTop w:val="0"/>
                                      <w:marBottom w:val="0"/>
                                      <w:divBdr>
                                        <w:top w:val="none" w:sz="0" w:space="0" w:color="auto"/>
                                        <w:left w:val="none" w:sz="0" w:space="0" w:color="auto"/>
                                        <w:bottom w:val="none" w:sz="0" w:space="0" w:color="auto"/>
                                        <w:right w:val="none" w:sz="0" w:space="0" w:color="auto"/>
                                      </w:divBdr>
                                    </w:div>
                                    <w:div w:id="2060788428">
                                      <w:marLeft w:val="0"/>
                                      <w:marRight w:val="0"/>
                                      <w:marTop w:val="0"/>
                                      <w:marBottom w:val="0"/>
                                      <w:divBdr>
                                        <w:top w:val="none" w:sz="0" w:space="0" w:color="auto"/>
                                        <w:left w:val="none" w:sz="0" w:space="0" w:color="auto"/>
                                        <w:bottom w:val="none" w:sz="0" w:space="0" w:color="auto"/>
                                        <w:right w:val="none" w:sz="0" w:space="0" w:color="auto"/>
                                      </w:divBdr>
                                    </w:div>
                                    <w:div w:id="2061244351">
                                      <w:marLeft w:val="0"/>
                                      <w:marRight w:val="0"/>
                                      <w:marTop w:val="0"/>
                                      <w:marBottom w:val="0"/>
                                      <w:divBdr>
                                        <w:top w:val="none" w:sz="0" w:space="0" w:color="auto"/>
                                        <w:left w:val="none" w:sz="0" w:space="0" w:color="auto"/>
                                        <w:bottom w:val="none" w:sz="0" w:space="0" w:color="auto"/>
                                        <w:right w:val="none" w:sz="0" w:space="0" w:color="auto"/>
                                      </w:divBdr>
                                    </w:div>
                                    <w:div w:id="2062971938">
                                      <w:marLeft w:val="0"/>
                                      <w:marRight w:val="0"/>
                                      <w:marTop w:val="0"/>
                                      <w:marBottom w:val="0"/>
                                      <w:divBdr>
                                        <w:top w:val="none" w:sz="0" w:space="0" w:color="auto"/>
                                        <w:left w:val="none" w:sz="0" w:space="0" w:color="auto"/>
                                        <w:bottom w:val="none" w:sz="0" w:space="0" w:color="auto"/>
                                        <w:right w:val="none" w:sz="0" w:space="0" w:color="auto"/>
                                      </w:divBdr>
                                    </w:div>
                                    <w:div w:id="2065980168">
                                      <w:marLeft w:val="0"/>
                                      <w:marRight w:val="0"/>
                                      <w:marTop w:val="0"/>
                                      <w:marBottom w:val="0"/>
                                      <w:divBdr>
                                        <w:top w:val="none" w:sz="0" w:space="0" w:color="auto"/>
                                        <w:left w:val="none" w:sz="0" w:space="0" w:color="auto"/>
                                        <w:bottom w:val="none" w:sz="0" w:space="0" w:color="auto"/>
                                        <w:right w:val="none" w:sz="0" w:space="0" w:color="auto"/>
                                      </w:divBdr>
                                    </w:div>
                                    <w:div w:id="2066098506">
                                      <w:marLeft w:val="0"/>
                                      <w:marRight w:val="0"/>
                                      <w:marTop w:val="0"/>
                                      <w:marBottom w:val="0"/>
                                      <w:divBdr>
                                        <w:top w:val="none" w:sz="0" w:space="0" w:color="auto"/>
                                        <w:left w:val="none" w:sz="0" w:space="0" w:color="auto"/>
                                        <w:bottom w:val="none" w:sz="0" w:space="0" w:color="auto"/>
                                        <w:right w:val="none" w:sz="0" w:space="0" w:color="auto"/>
                                      </w:divBdr>
                                    </w:div>
                                    <w:div w:id="2066681342">
                                      <w:marLeft w:val="0"/>
                                      <w:marRight w:val="0"/>
                                      <w:marTop w:val="0"/>
                                      <w:marBottom w:val="0"/>
                                      <w:divBdr>
                                        <w:top w:val="none" w:sz="0" w:space="0" w:color="auto"/>
                                        <w:left w:val="none" w:sz="0" w:space="0" w:color="auto"/>
                                        <w:bottom w:val="none" w:sz="0" w:space="0" w:color="auto"/>
                                        <w:right w:val="none" w:sz="0" w:space="0" w:color="auto"/>
                                      </w:divBdr>
                                    </w:div>
                                    <w:div w:id="2068259940">
                                      <w:marLeft w:val="0"/>
                                      <w:marRight w:val="0"/>
                                      <w:marTop w:val="0"/>
                                      <w:marBottom w:val="0"/>
                                      <w:divBdr>
                                        <w:top w:val="none" w:sz="0" w:space="0" w:color="auto"/>
                                        <w:left w:val="none" w:sz="0" w:space="0" w:color="auto"/>
                                        <w:bottom w:val="none" w:sz="0" w:space="0" w:color="auto"/>
                                        <w:right w:val="none" w:sz="0" w:space="0" w:color="auto"/>
                                      </w:divBdr>
                                    </w:div>
                                    <w:div w:id="2070879587">
                                      <w:marLeft w:val="0"/>
                                      <w:marRight w:val="0"/>
                                      <w:marTop w:val="0"/>
                                      <w:marBottom w:val="0"/>
                                      <w:divBdr>
                                        <w:top w:val="none" w:sz="0" w:space="0" w:color="auto"/>
                                        <w:left w:val="none" w:sz="0" w:space="0" w:color="auto"/>
                                        <w:bottom w:val="none" w:sz="0" w:space="0" w:color="auto"/>
                                        <w:right w:val="none" w:sz="0" w:space="0" w:color="auto"/>
                                      </w:divBdr>
                                    </w:div>
                                    <w:div w:id="2073262157">
                                      <w:marLeft w:val="0"/>
                                      <w:marRight w:val="0"/>
                                      <w:marTop w:val="0"/>
                                      <w:marBottom w:val="0"/>
                                      <w:divBdr>
                                        <w:top w:val="none" w:sz="0" w:space="0" w:color="auto"/>
                                        <w:left w:val="none" w:sz="0" w:space="0" w:color="auto"/>
                                        <w:bottom w:val="none" w:sz="0" w:space="0" w:color="auto"/>
                                        <w:right w:val="none" w:sz="0" w:space="0" w:color="auto"/>
                                      </w:divBdr>
                                    </w:div>
                                    <w:div w:id="2074812176">
                                      <w:marLeft w:val="0"/>
                                      <w:marRight w:val="0"/>
                                      <w:marTop w:val="0"/>
                                      <w:marBottom w:val="0"/>
                                      <w:divBdr>
                                        <w:top w:val="none" w:sz="0" w:space="0" w:color="auto"/>
                                        <w:left w:val="none" w:sz="0" w:space="0" w:color="auto"/>
                                        <w:bottom w:val="none" w:sz="0" w:space="0" w:color="auto"/>
                                        <w:right w:val="none" w:sz="0" w:space="0" w:color="auto"/>
                                      </w:divBdr>
                                    </w:div>
                                    <w:div w:id="2077361410">
                                      <w:marLeft w:val="0"/>
                                      <w:marRight w:val="0"/>
                                      <w:marTop w:val="0"/>
                                      <w:marBottom w:val="0"/>
                                      <w:divBdr>
                                        <w:top w:val="none" w:sz="0" w:space="0" w:color="auto"/>
                                        <w:left w:val="none" w:sz="0" w:space="0" w:color="auto"/>
                                        <w:bottom w:val="none" w:sz="0" w:space="0" w:color="auto"/>
                                        <w:right w:val="none" w:sz="0" w:space="0" w:color="auto"/>
                                      </w:divBdr>
                                    </w:div>
                                    <w:div w:id="2079282025">
                                      <w:marLeft w:val="0"/>
                                      <w:marRight w:val="0"/>
                                      <w:marTop w:val="0"/>
                                      <w:marBottom w:val="0"/>
                                      <w:divBdr>
                                        <w:top w:val="none" w:sz="0" w:space="0" w:color="auto"/>
                                        <w:left w:val="none" w:sz="0" w:space="0" w:color="auto"/>
                                        <w:bottom w:val="none" w:sz="0" w:space="0" w:color="auto"/>
                                        <w:right w:val="none" w:sz="0" w:space="0" w:color="auto"/>
                                      </w:divBdr>
                                    </w:div>
                                    <w:div w:id="2082361297">
                                      <w:marLeft w:val="0"/>
                                      <w:marRight w:val="0"/>
                                      <w:marTop w:val="0"/>
                                      <w:marBottom w:val="0"/>
                                      <w:divBdr>
                                        <w:top w:val="none" w:sz="0" w:space="0" w:color="auto"/>
                                        <w:left w:val="none" w:sz="0" w:space="0" w:color="auto"/>
                                        <w:bottom w:val="none" w:sz="0" w:space="0" w:color="auto"/>
                                        <w:right w:val="none" w:sz="0" w:space="0" w:color="auto"/>
                                      </w:divBdr>
                                    </w:div>
                                    <w:div w:id="2091195958">
                                      <w:marLeft w:val="0"/>
                                      <w:marRight w:val="0"/>
                                      <w:marTop w:val="0"/>
                                      <w:marBottom w:val="0"/>
                                      <w:divBdr>
                                        <w:top w:val="none" w:sz="0" w:space="0" w:color="auto"/>
                                        <w:left w:val="none" w:sz="0" w:space="0" w:color="auto"/>
                                        <w:bottom w:val="none" w:sz="0" w:space="0" w:color="auto"/>
                                        <w:right w:val="none" w:sz="0" w:space="0" w:color="auto"/>
                                      </w:divBdr>
                                    </w:div>
                                    <w:div w:id="2100786472">
                                      <w:marLeft w:val="0"/>
                                      <w:marRight w:val="0"/>
                                      <w:marTop w:val="0"/>
                                      <w:marBottom w:val="0"/>
                                      <w:divBdr>
                                        <w:top w:val="none" w:sz="0" w:space="0" w:color="auto"/>
                                        <w:left w:val="none" w:sz="0" w:space="0" w:color="auto"/>
                                        <w:bottom w:val="none" w:sz="0" w:space="0" w:color="auto"/>
                                        <w:right w:val="none" w:sz="0" w:space="0" w:color="auto"/>
                                      </w:divBdr>
                                    </w:div>
                                    <w:div w:id="2102337057">
                                      <w:marLeft w:val="0"/>
                                      <w:marRight w:val="0"/>
                                      <w:marTop w:val="0"/>
                                      <w:marBottom w:val="0"/>
                                      <w:divBdr>
                                        <w:top w:val="none" w:sz="0" w:space="0" w:color="auto"/>
                                        <w:left w:val="none" w:sz="0" w:space="0" w:color="auto"/>
                                        <w:bottom w:val="none" w:sz="0" w:space="0" w:color="auto"/>
                                        <w:right w:val="none" w:sz="0" w:space="0" w:color="auto"/>
                                      </w:divBdr>
                                    </w:div>
                                    <w:div w:id="2105300988">
                                      <w:marLeft w:val="0"/>
                                      <w:marRight w:val="0"/>
                                      <w:marTop w:val="0"/>
                                      <w:marBottom w:val="0"/>
                                      <w:divBdr>
                                        <w:top w:val="none" w:sz="0" w:space="0" w:color="auto"/>
                                        <w:left w:val="none" w:sz="0" w:space="0" w:color="auto"/>
                                        <w:bottom w:val="none" w:sz="0" w:space="0" w:color="auto"/>
                                        <w:right w:val="none" w:sz="0" w:space="0" w:color="auto"/>
                                      </w:divBdr>
                                    </w:div>
                                    <w:div w:id="2106883415">
                                      <w:marLeft w:val="0"/>
                                      <w:marRight w:val="0"/>
                                      <w:marTop w:val="0"/>
                                      <w:marBottom w:val="0"/>
                                      <w:divBdr>
                                        <w:top w:val="none" w:sz="0" w:space="0" w:color="auto"/>
                                        <w:left w:val="none" w:sz="0" w:space="0" w:color="auto"/>
                                        <w:bottom w:val="none" w:sz="0" w:space="0" w:color="auto"/>
                                        <w:right w:val="none" w:sz="0" w:space="0" w:color="auto"/>
                                      </w:divBdr>
                                    </w:div>
                                    <w:div w:id="2117477863">
                                      <w:marLeft w:val="0"/>
                                      <w:marRight w:val="0"/>
                                      <w:marTop w:val="0"/>
                                      <w:marBottom w:val="0"/>
                                      <w:divBdr>
                                        <w:top w:val="none" w:sz="0" w:space="0" w:color="auto"/>
                                        <w:left w:val="none" w:sz="0" w:space="0" w:color="auto"/>
                                        <w:bottom w:val="none" w:sz="0" w:space="0" w:color="auto"/>
                                        <w:right w:val="none" w:sz="0" w:space="0" w:color="auto"/>
                                      </w:divBdr>
                                    </w:div>
                                    <w:div w:id="2118022754">
                                      <w:marLeft w:val="0"/>
                                      <w:marRight w:val="0"/>
                                      <w:marTop w:val="0"/>
                                      <w:marBottom w:val="0"/>
                                      <w:divBdr>
                                        <w:top w:val="none" w:sz="0" w:space="0" w:color="auto"/>
                                        <w:left w:val="none" w:sz="0" w:space="0" w:color="auto"/>
                                        <w:bottom w:val="none" w:sz="0" w:space="0" w:color="auto"/>
                                        <w:right w:val="none" w:sz="0" w:space="0" w:color="auto"/>
                                      </w:divBdr>
                                    </w:div>
                                    <w:div w:id="2123844147">
                                      <w:marLeft w:val="0"/>
                                      <w:marRight w:val="0"/>
                                      <w:marTop w:val="0"/>
                                      <w:marBottom w:val="0"/>
                                      <w:divBdr>
                                        <w:top w:val="none" w:sz="0" w:space="0" w:color="auto"/>
                                        <w:left w:val="none" w:sz="0" w:space="0" w:color="auto"/>
                                        <w:bottom w:val="none" w:sz="0" w:space="0" w:color="auto"/>
                                        <w:right w:val="none" w:sz="0" w:space="0" w:color="auto"/>
                                      </w:divBdr>
                                    </w:div>
                                    <w:div w:id="2124689799">
                                      <w:marLeft w:val="0"/>
                                      <w:marRight w:val="0"/>
                                      <w:marTop w:val="0"/>
                                      <w:marBottom w:val="0"/>
                                      <w:divBdr>
                                        <w:top w:val="none" w:sz="0" w:space="0" w:color="auto"/>
                                        <w:left w:val="none" w:sz="0" w:space="0" w:color="auto"/>
                                        <w:bottom w:val="none" w:sz="0" w:space="0" w:color="auto"/>
                                        <w:right w:val="none" w:sz="0" w:space="0" w:color="auto"/>
                                      </w:divBdr>
                                    </w:div>
                                    <w:div w:id="2125494477">
                                      <w:marLeft w:val="0"/>
                                      <w:marRight w:val="0"/>
                                      <w:marTop w:val="0"/>
                                      <w:marBottom w:val="0"/>
                                      <w:divBdr>
                                        <w:top w:val="none" w:sz="0" w:space="0" w:color="auto"/>
                                        <w:left w:val="none" w:sz="0" w:space="0" w:color="auto"/>
                                        <w:bottom w:val="none" w:sz="0" w:space="0" w:color="auto"/>
                                        <w:right w:val="none" w:sz="0" w:space="0" w:color="auto"/>
                                      </w:divBdr>
                                    </w:div>
                                    <w:div w:id="2128038209">
                                      <w:marLeft w:val="0"/>
                                      <w:marRight w:val="0"/>
                                      <w:marTop w:val="0"/>
                                      <w:marBottom w:val="0"/>
                                      <w:divBdr>
                                        <w:top w:val="none" w:sz="0" w:space="0" w:color="auto"/>
                                        <w:left w:val="none" w:sz="0" w:space="0" w:color="auto"/>
                                        <w:bottom w:val="none" w:sz="0" w:space="0" w:color="auto"/>
                                        <w:right w:val="none" w:sz="0" w:space="0" w:color="auto"/>
                                      </w:divBdr>
                                    </w:div>
                                    <w:div w:id="2132479447">
                                      <w:marLeft w:val="0"/>
                                      <w:marRight w:val="0"/>
                                      <w:marTop w:val="0"/>
                                      <w:marBottom w:val="0"/>
                                      <w:divBdr>
                                        <w:top w:val="none" w:sz="0" w:space="0" w:color="auto"/>
                                        <w:left w:val="none" w:sz="0" w:space="0" w:color="auto"/>
                                        <w:bottom w:val="none" w:sz="0" w:space="0" w:color="auto"/>
                                        <w:right w:val="none" w:sz="0" w:space="0" w:color="auto"/>
                                      </w:divBdr>
                                    </w:div>
                                    <w:div w:id="2137600700">
                                      <w:marLeft w:val="0"/>
                                      <w:marRight w:val="0"/>
                                      <w:marTop w:val="0"/>
                                      <w:marBottom w:val="0"/>
                                      <w:divBdr>
                                        <w:top w:val="none" w:sz="0" w:space="0" w:color="auto"/>
                                        <w:left w:val="none" w:sz="0" w:space="0" w:color="auto"/>
                                        <w:bottom w:val="none" w:sz="0" w:space="0" w:color="auto"/>
                                        <w:right w:val="none" w:sz="0" w:space="0" w:color="auto"/>
                                      </w:divBdr>
                                    </w:div>
                                    <w:div w:id="2145811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0021361">
      <w:bodyDiv w:val="1"/>
      <w:marLeft w:val="0"/>
      <w:marRight w:val="0"/>
      <w:marTop w:val="0"/>
      <w:marBottom w:val="0"/>
      <w:divBdr>
        <w:top w:val="none" w:sz="0" w:space="0" w:color="auto"/>
        <w:left w:val="none" w:sz="0" w:space="0" w:color="auto"/>
        <w:bottom w:val="none" w:sz="0" w:space="0" w:color="auto"/>
        <w:right w:val="none" w:sz="0" w:space="0" w:color="auto"/>
      </w:divBdr>
      <w:divsChild>
        <w:div w:id="2009864829">
          <w:marLeft w:val="0"/>
          <w:marRight w:val="0"/>
          <w:marTop w:val="0"/>
          <w:marBottom w:val="0"/>
          <w:divBdr>
            <w:top w:val="none" w:sz="0" w:space="0" w:color="auto"/>
            <w:left w:val="none" w:sz="0" w:space="0" w:color="auto"/>
            <w:bottom w:val="none" w:sz="0" w:space="0" w:color="auto"/>
            <w:right w:val="none" w:sz="0" w:space="0" w:color="auto"/>
          </w:divBdr>
          <w:divsChild>
            <w:div w:id="162080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266394">
      <w:bodyDiv w:val="1"/>
      <w:marLeft w:val="0"/>
      <w:marRight w:val="0"/>
      <w:marTop w:val="0"/>
      <w:marBottom w:val="0"/>
      <w:divBdr>
        <w:top w:val="none" w:sz="0" w:space="0" w:color="auto"/>
        <w:left w:val="none" w:sz="0" w:space="0" w:color="auto"/>
        <w:bottom w:val="none" w:sz="0" w:space="0" w:color="auto"/>
        <w:right w:val="none" w:sz="0" w:space="0" w:color="auto"/>
      </w:divBdr>
    </w:div>
    <w:div w:id="1201431359">
      <w:bodyDiv w:val="1"/>
      <w:marLeft w:val="0"/>
      <w:marRight w:val="0"/>
      <w:marTop w:val="0"/>
      <w:marBottom w:val="0"/>
      <w:divBdr>
        <w:top w:val="none" w:sz="0" w:space="0" w:color="auto"/>
        <w:left w:val="none" w:sz="0" w:space="0" w:color="auto"/>
        <w:bottom w:val="none" w:sz="0" w:space="0" w:color="auto"/>
        <w:right w:val="none" w:sz="0" w:space="0" w:color="auto"/>
      </w:divBdr>
    </w:div>
    <w:div w:id="1208177057">
      <w:bodyDiv w:val="1"/>
      <w:marLeft w:val="0"/>
      <w:marRight w:val="0"/>
      <w:marTop w:val="0"/>
      <w:marBottom w:val="0"/>
      <w:divBdr>
        <w:top w:val="none" w:sz="0" w:space="0" w:color="auto"/>
        <w:left w:val="none" w:sz="0" w:space="0" w:color="auto"/>
        <w:bottom w:val="none" w:sz="0" w:space="0" w:color="auto"/>
        <w:right w:val="none" w:sz="0" w:space="0" w:color="auto"/>
      </w:divBdr>
    </w:div>
    <w:div w:id="1210998458">
      <w:bodyDiv w:val="1"/>
      <w:marLeft w:val="0"/>
      <w:marRight w:val="0"/>
      <w:marTop w:val="0"/>
      <w:marBottom w:val="0"/>
      <w:divBdr>
        <w:top w:val="none" w:sz="0" w:space="0" w:color="auto"/>
        <w:left w:val="none" w:sz="0" w:space="0" w:color="auto"/>
        <w:bottom w:val="none" w:sz="0" w:space="0" w:color="auto"/>
        <w:right w:val="none" w:sz="0" w:space="0" w:color="auto"/>
      </w:divBdr>
      <w:divsChild>
        <w:div w:id="1600916596">
          <w:marLeft w:val="1166"/>
          <w:marRight w:val="0"/>
          <w:marTop w:val="134"/>
          <w:marBottom w:val="0"/>
          <w:divBdr>
            <w:top w:val="none" w:sz="0" w:space="0" w:color="auto"/>
            <w:left w:val="none" w:sz="0" w:space="0" w:color="auto"/>
            <w:bottom w:val="none" w:sz="0" w:space="0" w:color="auto"/>
            <w:right w:val="none" w:sz="0" w:space="0" w:color="auto"/>
          </w:divBdr>
        </w:div>
      </w:divsChild>
    </w:div>
    <w:div w:id="1217160290">
      <w:bodyDiv w:val="1"/>
      <w:marLeft w:val="0"/>
      <w:marRight w:val="0"/>
      <w:marTop w:val="0"/>
      <w:marBottom w:val="0"/>
      <w:divBdr>
        <w:top w:val="none" w:sz="0" w:space="0" w:color="auto"/>
        <w:left w:val="none" w:sz="0" w:space="0" w:color="auto"/>
        <w:bottom w:val="none" w:sz="0" w:space="0" w:color="auto"/>
        <w:right w:val="none" w:sz="0" w:space="0" w:color="auto"/>
      </w:divBdr>
    </w:div>
    <w:div w:id="1218324916">
      <w:bodyDiv w:val="1"/>
      <w:marLeft w:val="0"/>
      <w:marRight w:val="0"/>
      <w:marTop w:val="0"/>
      <w:marBottom w:val="0"/>
      <w:divBdr>
        <w:top w:val="none" w:sz="0" w:space="0" w:color="auto"/>
        <w:left w:val="none" w:sz="0" w:space="0" w:color="auto"/>
        <w:bottom w:val="none" w:sz="0" w:space="0" w:color="auto"/>
        <w:right w:val="none" w:sz="0" w:space="0" w:color="auto"/>
      </w:divBdr>
    </w:div>
    <w:div w:id="1220049411">
      <w:bodyDiv w:val="1"/>
      <w:marLeft w:val="0"/>
      <w:marRight w:val="0"/>
      <w:marTop w:val="0"/>
      <w:marBottom w:val="0"/>
      <w:divBdr>
        <w:top w:val="none" w:sz="0" w:space="0" w:color="auto"/>
        <w:left w:val="none" w:sz="0" w:space="0" w:color="auto"/>
        <w:bottom w:val="none" w:sz="0" w:space="0" w:color="auto"/>
        <w:right w:val="none" w:sz="0" w:space="0" w:color="auto"/>
      </w:divBdr>
    </w:div>
    <w:div w:id="1222982521">
      <w:bodyDiv w:val="1"/>
      <w:marLeft w:val="0"/>
      <w:marRight w:val="0"/>
      <w:marTop w:val="0"/>
      <w:marBottom w:val="0"/>
      <w:divBdr>
        <w:top w:val="none" w:sz="0" w:space="0" w:color="auto"/>
        <w:left w:val="none" w:sz="0" w:space="0" w:color="auto"/>
        <w:bottom w:val="none" w:sz="0" w:space="0" w:color="auto"/>
        <w:right w:val="none" w:sz="0" w:space="0" w:color="auto"/>
      </w:divBdr>
    </w:div>
    <w:div w:id="1230117617">
      <w:bodyDiv w:val="1"/>
      <w:marLeft w:val="0"/>
      <w:marRight w:val="0"/>
      <w:marTop w:val="0"/>
      <w:marBottom w:val="0"/>
      <w:divBdr>
        <w:top w:val="none" w:sz="0" w:space="0" w:color="auto"/>
        <w:left w:val="none" w:sz="0" w:space="0" w:color="auto"/>
        <w:bottom w:val="none" w:sz="0" w:space="0" w:color="auto"/>
        <w:right w:val="none" w:sz="0" w:space="0" w:color="auto"/>
      </w:divBdr>
    </w:div>
    <w:div w:id="1230387904">
      <w:bodyDiv w:val="1"/>
      <w:marLeft w:val="0"/>
      <w:marRight w:val="0"/>
      <w:marTop w:val="0"/>
      <w:marBottom w:val="0"/>
      <w:divBdr>
        <w:top w:val="none" w:sz="0" w:space="0" w:color="auto"/>
        <w:left w:val="none" w:sz="0" w:space="0" w:color="auto"/>
        <w:bottom w:val="none" w:sz="0" w:space="0" w:color="auto"/>
        <w:right w:val="none" w:sz="0" w:space="0" w:color="auto"/>
      </w:divBdr>
    </w:div>
    <w:div w:id="1230767831">
      <w:bodyDiv w:val="1"/>
      <w:marLeft w:val="0"/>
      <w:marRight w:val="0"/>
      <w:marTop w:val="0"/>
      <w:marBottom w:val="0"/>
      <w:divBdr>
        <w:top w:val="none" w:sz="0" w:space="0" w:color="auto"/>
        <w:left w:val="none" w:sz="0" w:space="0" w:color="auto"/>
        <w:bottom w:val="none" w:sz="0" w:space="0" w:color="auto"/>
        <w:right w:val="none" w:sz="0" w:space="0" w:color="auto"/>
      </w:divBdr>
    </w:div>
    <w:div w:id="1235313332">
      <w:bodyDiv w:val="1"/>
      <w:marLeft w:val="0"/>
      <w:marRight w:val="0"/>
      <w:marTop w:val="0"/>
      <w:marBottom w:val="0"/>
      <w:divBdr>
        <w:top w:val="none" w:sz="0" w:space="0" w:color="auto"/>
        <w:left w:val="none" w:sz="0" w:space="0" w:color="auto"/>
        <w:bottom w:val="none" w:sz="0" w:space="0" w:color="auto"/>
        <w:right w:val="none" w:sz="0" w:space="0" w:color="auto"/>
      </w:divBdr>
    </w:div>
    <w:div w:id="1238052606">
      <w:bodyDiv w:val="1"/>
      <w:marLeft w:val="0"/>
      <w:marRight w:val="0"/>
      <w:marTop w:val="0"/>
      <w:marBottom w:val="0"/>
      <w:divBdr>
        <w:top w:val="none" w:sz="0" w:space="0" w:color="auto"/>
        <w:left w:val="none" w:sz="0" w:space="0" w:color="auto"/>
        <w:bottom w:val="none" w:sz="0" w:space="0" w:color="auto"/>
        <w:right w:val="none" w:sz="0" w:space="0" w:color="auto"/>
      </w:divBdr>
    </w:div>
    <w:div w:id="1245605616">
      <w:bodyDiv w:val="1"/>
      <w:marLeft w:val="0"/>
      <w:marRight w:val="0"/>
      <w:marTop w:val="0"/>
      <w:marBottom w:val="0"/>
      <w:divBdr>
        <w:top w:val="none" w:sz="0" w:space="0" w:color="auto"/>
        <w:left w:val="none" w:sz="0" w:space="0" w:color="auto"/>
        <w:bottom w:val="none" w:sz="0" w:space="0" w:color="auto"/>
        <w:right w:val="none" w:sz="0" w:space="0" w:color="auto"/>
      </w:divBdr>
    </w:div>
    <w:div w:id="1252936809">
      <w:bodyDiv w:val="1"/>
      <w:marLeft w:val="0"/>
      <w:marRight w:val="0"/>
      <w:marTop w:val="0"/>
      <w:marBottom w:val="0"/>
      <w:divBdr>
        <w:top w:val="none" w:sz="0" w:space="0" w:color="auto"/>
        <w:left w:val="none" w:sz="0" w:space="0" w:color="auto"/>
        <w:bottom w:val="none" w:sz="0" w:space="0" w:color="auto"/>
        <w:right w:val="none" w:sz="0" w:space="0" w:color="auto"/>
      </w:divBdr>
    </w:div>
    <w:div w:id="1256790533">
      <w:bodyDiv w:val="1"/>
      <w:marLeft w:val="0"/>
      <w:marRight w:val="0"/>
      <w:marTop w:val="0"/>
      <w:marBottom w:val="0"/>
      <w:divBdr>
        <w:top w:val="none" w:sz="0" w:space="0" w:color="auto"/>
        <w:left w:val="none" w:sz="0" w:space="0" w:color="auto"/>
        <w:bottom w:val="none" w:sz="0" w:space="0" w:color="auto"/>
        <w:right w:val="none" w:sz="0" w:space="0" w:color="auto"/>
      </w:divBdr>
    </w:div>
    <w:div w:id="1257786288">
      <w:bodyDiv w:val="1"/>
      <w:marLeft w:val="0"/>
      <w:marRight w:val="0"/>
      <w:marTop w:val="0"/>
      <w:marBottom w:val="0"/>
      <w:divBdr>
        <w:top w:val="none" w:sz="0" w:space="0" w:color="auto"/>
        <w:left w:val="none" w:sz="0" w:space="0" w:color="auto"/>
        <w:bottom w:val="none" w:sz="0" w:space="0" w:color="auto"/>
        <w:right w:val="none" w:sz="0" w:space="0" w:color="auto"/>
      </w:divBdr>
    </w:div>
    <w:div w:id="1275989057">
      <w:bodyDiv w:val="1"/>
      <w:marLeft w:val="0"/>
      <w:marRight w:val="0"/>
      <w:marTop w:val="0"/>
      <w:marBottom w:val="0"/>
      <w:divBdr>
        <w:top w:val="none" w:sz="0" w:space="0" w:color="auto"/>
        <w:left w:val="none" w:sz="0" w:space="0" w:color="auto"/>
        <w:bottom w:val="none" w:sz="0" w:space="0" w:color="auto"/>
        <w:right w:val="none" w:sz="0" w:space="0" w:color="auto"/>
      </w:divBdr>
    </w:div>
    <w:div w:id="1279415365">
      <w:bodyDiv w:val="1"/>
      <w:marLeft w:val="0"/>
      <w:marRight w:val="0"/>
      <w:marTop w:val="0"/>
      <w:marBottom w:val="0"/>
      <w:divBdr>
        <w:top w:val="none" w:sz="0" w:space="0" w:color="auto"/>
        <w:left w:val="none" w:sz="0" w:space="0" w:color="auto"/>
        <w:bottom w:val="none" w:sz="0" w:space="0" w:color="auto"/>
        <w:right w:val="none" w:sz="0" w:space="0" w:color="auto"/>
      </w:divBdr>
    </w:div>
    <w:div w:id="1280140610">
      <w:bodyDiv w:val="1"/>
      <w:marLeft w:val="0"/>
      <w:marRight w:val="0"/>
      <w:marTop w:val="0"/>
      <w:marBottom w:val="0"/>
      <w:divBdr>
        <w:top w:val="none" w:sz="0" w:space="0" w:color="auto"/>
        <w:left w:val="none" w:sz="0" w:space="0" w:color="auto"/>
        <w:bottom w:val="none" w:sz="0" w:space="0" w:color="auto"/>
        <w:right w:val="none" w:sz="0" w:space="0" w:color="auto"/>
      </w:divBdr>
    </w:div>
    <w:div w:id="1288395604">
      <w:bodyDiv w:val="1"/>
      <w:marLeft w:val="0"/>
      <w:marRight w:val="0"/>
      <w:marTop w:val="0"/>
      <w:marBottom w:val="0"/>
      <w:divBdr>
        <w:top w:val="none" w:sz="0" w:space="0" w:color="auto"/>
        <w:left w:val="none" w:sz="0" w:space="0" w:color="auto"/>
        <w:bottom w:val="none" w:sz="0" w:space="0" w:color="auto"/>
        <w:right w:val="none" w:sz="0" w:space="0" w:color="auto"/>
      </w:divBdr>
    </w:div>
    <w:div w:id="1301576412">
      <w:bodyDiv w:val="1"/>
      <w:marLeft w:val="0"/>
      <w:marRight w:val="0"/>
      <w:marTop w:val="0"/>
      <w:marBottom w:val="0"/>
      <w:divBdr>
        <w:top w:val="none" w:sz="0" w:space="0" w:color="auto"/>
        <w:left w:val="none" w:sz="0" w:space="0" w:color="auto"/>
        <w:bottom w:val="none" w:sz="0" w:space="0" w:color="auto"/>
        <w:right w:val="none" w:sz="0" w:space="0" w:color="auto"/>
      </w:divBdr>
    </w:div>
    <w:div w:id="1302417691">
      <w:bodyDiv w:val="1"/>
      <w:marLeft w:val="0"/>
      <w:marRight w:val="0"/>
      <w:marTop w:val="0"/>
      <w:marBottom w:val="0"/>
      <w:divBdr>
        <w:top w:val="none" w:sz="0" w:space="0" w:color="auto"/>
        <w:left w:val="none" w:sz="0" w:space="0" w:color="auto"/>
        <w:bottom w:val="none" w:sz="0" w:space="0" w:color="auto"/>
        <w:right w:val="none" w:sz="0" w:space="0" w:color="auto"/>
      </w:divBdr>
    </w:div>
    <w:div w:id="1307467542">
      <w:bodyDiv w:val="1"/>
      <w:marLeft w:val="0"/>
      <w:marRight w:val="0"/>
      <w:marTop w:val="0"/>
      <w:marBottom w:val="0"/>
      <w:divBdr>
        <w:top w:val="none" w:sz="0" w:space="0" w:color="auto"/>
        <w:left w:val="none" w:sz="0" w:space="0" w:color="auto"/>
        <w:bottom w:val="none" w:sz="0" w:space="0" w:color="auto"/>
        <w:right w:val="none" w:sz="0" w:space="0" w:color="auto"/>
      </w:divBdr>
    </w:div>
    <w:div w:id="1310669153">
      <w:bodyDiv w:val="1"/>
      <w:marLeft w:val="0"/>
      <w:marRight w:val="0"/>
      <w:marTop w:val="0"/>
      <w:marBottom w:val="0"/>
      <w:divBdr>
        <w:top w:val="none" w:sz="0" w:space="0" w:color="auto"/>
        <w:left w:val="none" w:sz="0" w:space="0" w:color="auto"/>
        <w:bottom w:val="none" w:sz="0" w:space="0" w:color="auto"/>
        <w:right w:val="none" w:sz="0" w:space="0" w:color="auto"/>
      </w:divBdr>
    </w:div>
    <w:div w:id="1311639394">
      <w:bodyDiv w:val="1"/>
      <w:marLeft w:val="0"/>
      <w:marRight w:val="0"/>
      <w:marTop w:val="0"/>
      <w:marBottom w:val="0"/>
      <w:divBdr>
        <w:top w:val="none" w:sz="0" w:space="0" w:color="auto"/>
        <w:left w:val="none" w:sz="0" w:space="0" w:color="auto"/>
        <w:bottom w:val="none" w:sz="0" w:space="0" w:color="auto"/>
        <w:right w:val="none" w:sz="0" w:space="0" w:color="auto"/>
      </w:divBdr>
    </w:div>
    <w:div w:id="1311785811">
      <w:bodyDiv w:val="1"/>
      <w:marLeft w:val="0"/>
      <w:marRight w:val="0"/>
      <w:marTop w:val="0"/>
      <w:marBottom w:val="0"/>
      <w:divBdr>
        <w:top w:val="none" w:sz="0" w:space="0" w:color="auto"/>
        <w:left w:val="none" w:sz="0" w:space="0" w:color="auto"/>
        <w:bottom w:val="none" w:sz="0" w:space="0" w:color="auto"/>
        <w:right w:val="none" w:sz="0" w:space="0" w:color="auto"/>
      </w:divBdr>
    </w:div>
    <w:div w:id="1316378700">
      <w:bodyDiv w:val="1"/>
      <w:marLeft w:val="0"/>
      <w:marRight w:val="0"/>
      <w:marTop w:val="0"/>
      <w:marBottom w:val="0"/>
      <w:divBdr>
        <w:top w:val="none" w:sz="0" w:space="0" w:color="auto"/>
        <w:left w:val="none" w:sz="0" w:space="0" w:color="auto"/>
        <w:bottom w:val="none" w:sz="0" w:space="0" w:color="auto"/>
        <w:right w:val="none" w:sz="0" w:space="0" w:color="auto"/>
      </w:divBdr>
    </w:div>
    <w:div w:id="1321345042">
      <w:bodyDiv w:val="1"/>
      <w:marLeft w:val="0"/>
      <w:marRight w:val="0"/>
      <w:marTop w:val="0"/>
      <w:marBottom w:val="0"/>
      <w:divBdr>
        <w:top w:val="none" w:sz="0" w:space="0" w:color="auto"/>
        <w:left w:val="none" w:sz="0" w:space="0" w:color="auto"/>
        <w:bottom w:val="none" w:sz="0" w:space="0" w:color="auto"/>
        <w:right w:val="none" w:sz="0" w:space="0" w:color="auto"/>
      </w:divBdr>
    </w:div>
    <w:div w:id="1327443711">
      <w:bodyDiv w:val="1"/>
      <w:marLeft w:val="0"/>
      <w:marRight w:val="0"/>
      <w:marTop w:val="0"/>
      <w:marBottom w:val="0"/>
      <w:divBdr>
        <w:top w:val="none" w:sz="0" w:space="0" w:color="auto"/>
        <w:left w:val="none" w:sz="0" w:space="0" w:color="auto"/>
        <w:bottom w:val="none" w:sz="0" w:space="0" w:color="auto"/>
        <w:right w:val="none" w:sz="0" w:space="0" w:color="auto"/>
      </w:divBdr>
    </w:div>
    <w:div w:id="1328901189">
      <w:bodyDiv w:val="1"/>
      <w:marLeft w:val="0"/>
      <w:marRight w:val="0"/>
      <w:marTop w:val="0"/>
      <w:marBottom w:val="0"/>
      <w:divBdr>
        <w:top w:val="none" w:sz="0" w:space="0" w:color="auto"/>
        <w:left w:val="none" w:sz="0" w:space="0" w:color="auto"/>
        <w:bottom w:val="none" w:sz="0" w:space="0" w:color="auto"/>
        <w:right w:val="none" w:sz="0" w:space="0" w:color="auto"/>
      </w:divBdr>
    </w:div>
    <w:div w:id="1336037185">
      <w:bodyDiv w:val="1"/>
      <w:marLeft w:val="0"/>
      <w:marRight w:val="0"/>
      <w:marTop w:val="0"/>
      <w:marBottom w:val="0"/>
      <w:divBdr>
        <w:top w:val="none" w:sz="0" w:space="0" w:color="auto"/>
        <w:left w:val="none" w:sz="0" w:space="0" w:color="auto"/>
        <w:bottom w:val="none" w:sz="0" w:space="0" w:color="auto"/>
        <w:right w:val="none" w:sz="0" w:space="0" w:color="auto"/>
      </w:divBdr>
    </w:div>
    <w:div w:id="1338078734">
      <w:bodyDiv w:val="1"/>
      <w:marLeft w:val="0"/>
      <w:marRight w:val="0"/>
      <w:marTop w:val="0"/>
      <w:marBottom w:val="0"/>
      <w:divBdr>
        <w:top w:val="none" w:sz="0" w:space="0" w:color="auto"/>
        <w:left w:val="none" w:sz="0" w:space="0" w:color="auto"/>
        <w:bottom w:val="none" w:sz="0" w:space="0" w:color="auto"/>
        <w:right w:val="none" w:sz="0" w:space="0" w:color="auto"/>
      </w:divBdr>
    </w:div>
    <w:div w:id="1344166276">
      <w:bodyDiv w:val="1"/>
      <w:marLeft w:val="0"/>
      <w:marRight w:val="0"/>
      <w:marTop w:val="0"/>
      <w:marBottom w:val="0"/>
      <w:divBdr>
        <w:top w:val="none" w:sz="0" w:space="0" w:color="auto"/>
        <w:left w:val="none" w:sz="0" w:space="0" w:color="auto"/>
        <w:bottom w:val="none" w:sz="0" w:space="0" w:color="auto"/>
        <w:right w:val="none" w:sz="0" w:space="0" w:color="auto"/>
      </w:divBdr>
      <w:divsChild>
        <w:div w:id="116217927">
          <w:marLeft w:val="0"/>
          <w:marRight w:val="0"/>
          <w:marTop w:val="0"/>
          <w:marBottom w:val="0"/>
          <w:divBdr>
            <w:top w:val="none" w:sz="0" w:space="0" w:color="auto"/>
            <w:left w:val="none" w:sz="0" w:space="0" w:color="auto"/>
            <w:bottom w:val="none" w:sz="0" w:space="0" w:color="auto"/>
            <w:right w:val="none" w:sz="0" w:space="0" w:color="auto"/>
          </w:divBdr>
          <w:divsChild>
            <w:div w:id="2016347877">
              <w:marLeft w:val="0"/>
              <w:marRight w:val="0"/>
              <w:marTop w:val="0"/>
              <w:marBottom w:val="0"/>
              <w:divBdr>
                <w:top w:val="none" w:sz="0" w:space="0" w:color="auto"/>
                <w:left w:val="none" w:sz="0" w:space="0" w:color="auto"/>
                <w:bottom w:val="none" w:sz="0" w:space="0" w:color="auto"/>
                <w:right w:val="none" w:sz="0" w:space="0" w:color="auto"/>
              </w:divBdr>
              <w:divsChild>
                <w:div w:id="938021829">
                  <w:marLeft w:val="0"/>
                  <w:marRight w:val="0"/>
                  <w:marTop w:val="0"/>
                  <w:marBottom w:val="0"/>
                  <w:divBdr>
                    <w:top w:val="none" w:sz="0" w:space="0" w:color="auto"/>
                    <w:left w:val="none" w:sz="0" w:space="0" w:color="auto"/>
                    <w:bottom w:val="none" w:sz="0" w:space="0" w:color="auto"/>
                    <w:right w:val="none" w:sz="0" w:space="0" w:color="auto"/>
                  </w:divBdr>
                  <w:divsChild>
                    <w:div w:id="2144496315">
                      <w:marLeft w:val="0"/>
                      <w:marRight w:val="0"/>
                      <w:marTop w:val="0"/>
                      <w:marBottom w:val="0"/>
                      <w:divBdr>
                        <w:top w:val="none" w:sz="0" w:space="0" w:color="auto"/>
                        <w:left w:val="none" w:sz="0" w:space="0" w:color="auto"/>
                        <w:bottom w:val="none" w:sz="0" w:space="0" w:color="auto"/>
                        <w:right w:val="none" w:sz="0" w:space="0" w:color="auto"/>
                      </w:divBdr>
                      <w:divsChild>
                        <w:div w:id="2010254957">
                          <w:marLeft w:val="0"/>
                          <w:marRight w:val="0"/>
                          <w:marTop w:val="0"/>
                          <w:marBottom w:val="0"/>
                          <w:divBdr>
                            <w:top w:val="none" w:sz="0" w:space="0" w:color="auto"/>
                            <w:left w:val="none" w:sz="0" w:space="0" w:color="auto"/>
                            <w:bottom w:val="none" w:sz="0" w:space="0" w:color="auto"/>
                            <w:right w:val="none" w:sz="0" w:space="0" w:color="auto"/>
                          </w:divBdr>
                          <w:divsChild>
                            <w:div w:id="1921986716">
                              <w:marLeft w:val="0"/>
                              <w:marRight w:val="0"/>
                              <w:marTop w:val="0"/>
                              <w:marBottom w:val="0"/>
                              <w:divBdr>
                                <w:top w:val="none" w:sz="0" w:space="0" w:color="auto"/>
                                <w:left w:val="none" w:sz="0" w:space="0" w:color="auto"/>
                                <w:bottom w:val="none" w:sz="0" w:space="0" w:color="auto"/>
                                <w:right w:val="none" w:sz="0" w:space="0" w:color="auto"/>
                              </w:divBdr>
                              <w:divsChild>
                                <w:div w:id="120614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5982802">
      <w:bodyDiv w:val="1"/>
      <w:marLeft w:val="0"/>
      <w:marRight w:val="0"/>
      <w:marTop w:val="0"/>
      <w:marBottom w:val="0"/>
      <w:divBdr>
        <w:top w:val="none" w:sz="0" w:space="0" w:color="auto"/>
        <w:left w:val="none" w:sz="0" w:space="0" w:color="auto"/>
        <w:bottom w:val="none" w:sz="0" w:space="0" w:color="auto"/>
        <w:right w:val="none" w:sz="0" w:space="0" w:color="auto"/>
      </w:divBdr>
    </w:div>
    <w:div w:id="1354066980">
      <w:bodyDiv w:val="1"/>
      <w:marLeft w:val="0"/>
      <w:marRight w:val="0"/>
      <w:marTop w:val="0"/>
      <w:marBottom w:val="0"/>
      <w:divBdr>
        <w:top w:val="none" w:sz="0" w:space="0" w:color="auto"/>
        <w:left w:val="none" w:sz="0" w:space="0" w:color="auto"/>
        <w:bottom w:val="none" w:sz="0" w:space="0" w:color="auto"/>
        <w:right w:val="none" w:sz="0" w:space="0" w:color="auto"/>
      </w:divBdr>
    </w:div>
    <w:div w:id="1355307353">
      <w:bodyDiv w:val="1"/>
      <w:marLeft w:val="0"/>
      <w:marRight w:val="0"/>
      <w:marTop w:val="0"/>
      <w:marBottom w:val="0"/>
      <w:divBdr>
        <w:top w:val="none" w:sz="0" w:space="0" w:color="auto"/>
        <w:left w:val="none" w:sz="0" w:space="0" w:color="auto"/>
        <w:bottom w:val="none" w:sz="0" w:space="0" w:color="auto"/>
        <w:right w:val="none" w:sz="0" w:space="0" w:color="auto"/>
      </w:divBdr>
    </w:div>
    <w:div w:id="1359816922">
      <w:bodyDiv w:val="1"/>
      <w:marLeft w:val="0"/>
      <w:marRight w:val="0"/>
      <w:marTop w:val="0"/>
      <w:marBottom w:val="0"/>
      <w:divBdr>
        <w:top w:val="none" w:sz="0" w:space="0" w:color="auto"/>
        <w:left w:val="none" w:sz="0" w:space="0" w:color="auto"/>
        <w:bottom w:val="none" w:sz="0" w:space="0" w:color="auto"/>
        <w:right w:val="none" w:sz="0" w:space="0" w:color="auto"/>
      </w:divBdr>
    </w:div>
    <w:div w:id="1359817837">
      <w:bodyDiv w:val="1"/>
      <w:marLeft w:val="0"/>
      <w:marRight w:val="0"/>
      <w:marTop w:val="0"/>
      <w:marBottom w:val="0"/>
      <w:divBdr>
        <w:top w:val="none" w:sz="0" w:space="0" w:color="auto"/>
        <w:left w:val="none" w:sz="0" w:space="0" w:color="auto"/>
        <w:bottom w:val="none" w:sz="0" w:space="0" w:color="auto"/>
        <w:right w:val="none" w:sz="0" w:space="0" w:color="auto"/>
      </w:divBdr>
    </w:div>
    <w:div w:id="1363632589">
      <w:bodyDiv w:val="1"/>
      <w:marLeft w:val="0"/>
      <w:marRight w:val="0"/>
      <w:marTop w:val="0"/>
      <w:marBottom w:val="0"/>
      <w:divBdr>
        <w:top w:val="none" w:sz="0" w:space="0" w:color="auto"/>
        <w:left w:val="none" w:sz="0" w:space="0" w:color="auto"/>
        <w:bottom w:val="none" w:sz="0" w:space="0" w:color="auto"/>
        <w:right w:val="none" w:sz="0" w:space="0" w:color="auto"/>
      </w:divBdr>
    </w:div>
    <w:div w:id="1369834151">
      <w:bodyDiv w:val="1"/>
      <w:marLeft w:val="0"/>
      <w:marRight w:val="0"/>
      <w:marTop w:val="0"/>
      <w:marBottom w:val="0"/>
      <w:divBdr>
        <w:top w:val="none" w:sz="0" w:space="0" w:color="auto"/>
        <w:left w:val="none" w:sz="0" w:space="0" w:color="auto"/>
        <w:bottom w:val="none" w:sz="0" w:space="0" w:color="auto"/>
        <w:right w:val="none" w:sz="0" w:space="0" w:color="auto"/>
      </w:divBdr>
    </w:div>
    <w:div w:id="1374840570">
      <w:bodyDiv w:val="1"/>
      <w:marLeft w:val="0"/>
      <w:marRight w:val="0"/>
      <w:marTop w:val="0"/>
      <w:marBottom w:val="0"/>
      <w:divBdr>
        <w:top w:val="none" w:sz="0" w:space="0" w:color="auto"/>
        <w:left w:val="none" w:sz="0" w:space="0" w:color="auto"/>
        <w:bottom w:val="none" w:sz="0" w:space="0" w:color="auto"/>
        <w:right w:val="none" w:sz="0" w:space="0" w:color="auto"/>
      </w:divBdr>
    </w:div>
    <w:div w:id="1379091353">
      <w:bodyDiv w:val="1"/>
      <w:marLeft w:val="0"/>
      <w:marRight w:val="0"/>
      <w:marTop w:val="0"/>
      <w:marBottom w:val="0"/>
      <w:divBdr>
        <w:top w:val="none" w:sz="0" w:space="0" w:color="auto"/>
        <w:left w:val="none" w:sz="0" w:space="0" w:color="auto"/>
        <w:bottom w:val="none" w:sz="0" w:space="0" w:color="auto"/>
        <w:right w:val="none" w:sz="0" w:space="0" w:color="auto"/>
      </w:divBdr>
    </w:div>
    <w:div w:id="1380780414">
      <w:bodyDiv w:val="1"/>
      <w:marLeft w:val="0"/>
      <w:marRight w:val="0"/>
      <w:marTop w:val="0"/>
      <w:marBottom w:val="0"/>
      <w:divBdr>
        <w:top w:val="none" w:sz="0" w:space="0" w:color="auto"/>
        <w:left w:val="none" w:sz="0" w:space="0" w:color="auto"/>
        <w:bottom w:val="none" w:sz="0" w:space="0" w:color="auto"/>
        <w:right w:val="none" w:sz="0" w:space="0" w:color="auto"/>
      </w:divBdr>
    </w:div>
    <w:div w:id="1394618945">
      <w:bodyDiv w:val="1"/>
      <w:marLeft w:val="0"/>
      <w:marRight w:val="0"/>
      <w:marTop w:val="0"/>
      <w:marBottom w:val="0"/>
      <w:divBdr>
        <w:top w:val="none" w:sz="0" w:space="0" w:color="auto"/>
        <w:left w:val="none" w:sz="0" w:space="0" w:color="auto"/>
        <w:bottom w:val="none" w:sz="0" w:space="0" w:color="auto"/>
        <w:right w:val="none" w:sz="0" w:space="0" w:color="auto"/>
      </w:divBdr>
    </w:div>
    <w:div w:id="1396926610">
      <w:bodyDiv w:val="1"/>
      <w:marLeft w:val="0"/>
      <w:marRight w:val="0"/>
      <w:marTop w:val="0"/>
      <w:marBottom w:val="0"/>
      <w:divBdr>
        <w:top w:val="none" w:sz="0" w:space="0" w:color="auto"/>
        <w:left w:val="none" w:sz="0" w:space="0" w:color="auto"/>
        <w:bottom w:val="none" w:sz="0" w:space="0" w:color="auto"/>
        <w:right w:val="none" w:sz="0" w:space="0" w:color="auto"/>
      </w:divBdr>
    </w:div>
    <w:div w:id="1397703195">
      <w:bodyDiv w:val="1"/>
      <w:marLeft w:val="0"/>
      <w:marRight w:val="0"/>
      <w:marTop w:val="0"/>
      <w:marBottom w:val="0"/>
      <w:divBdr>
        <w:top w:val="none" w:sz="0" w:space="0" w:color="auto"/>
        <w:left w:val="none" w:sz="0" w:space="0" w:color="auto"/>
        <w:bottom w:val="none" w:sz="0" w:space="0" w:color="auto"/>
        <w:right w:val="none" w:sz="0" w:space="0" w:color="auto"/>
      </w:divBdr>
      <w:divsChild>
        <w:div w:id="283538202">
          <w:marLeft w:val="0"/>
          <w:marRight w:val="0"/>
          <w:marTop w:val="0"/>
          <w:marBottom w:val="0"/>
          <w:divBdr>
            <w:top w:val="none" w:sz="0" w:space="0" w:color="auto"/>
            <w:left w:val="none" w:sz="0" w:space="0" w:color="auto"/>
            <w:bottom w:val="none" w:sz="0" w:space="0" w:color="auto"/>
            <w:right w:val="none" w:sz="0" w:space="0" w:color="auto"/>
          </w:divBdr>
          <w:divsChild>
            <w:div w:id="17054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586222">
      <w:bodyDiv w:val="1"/>
      <w:marLeft w:val="0"/>
      <w:marRight w:val="0"/>
      <w:marTop w:val="0"/>
      <w:marBottom w:val="0"/>
      <w:divBdr>
        <w:top w:val="none" w:sz="0" w:space="0" w:color="auto"/>
        <w:left w:val="none" w:sz="0" w:space="0" w:color="auto"/>
        <w:bottom w:val="none" w:sz="0" w:space="0" w:color="auto"/>
        <w:right w:val="none" w:sz="0" w:space="0" w:color="auto"/>
      </w:divBdr>
    </w:div>
    <w:div w:id="1420716226">
      <w:bodyDiv w:val="1"/>
      <w:marLeft w:val="0"/>
      <w:marRight w:val="0"/>
      <w:marTop w:val="0"/>
      <w:marBottom w:val="0"/>
      <w:divBdr>
        <w:top w:val="none" w:sz="0" w:space="0" w:color="auto"/>
        <w:left w:val="none" w:sz="0" w:space="0" w:color="auto"/>
        <w:bottom w:val="none" w:sz="0" w:space="0" w:color="auto"/>
        <w:right w:val="none" w:sz="0" w:space="0" w:color="auto"/>
      </w:divBdr>
    </w:div>
    <w:div w:id="1438523462">
      <w:bodyDiv w:val="1"/>
      <w:marLeft w:val="0"/>
      <w:marRight w:val="0"/>
      <w:marTop w:val="0"/>
      <w:marBottom w:val="0"/>
      <w:divBdr>
        <w:top w:val="none" w:sz="0" w:space="0" w:color="auto"/>
        <w:left w:val="none" w:sz="0" w:space="0" w:color="auto"/>
        <w:bottom w:val="none" w:sz="0" w:space="0" w:color="auto"/>
        <w:right w:val="none" w:sz="0" w:space="0" w:color="auto"/>
      </w:divBdr>
    </w:div>
    <w:div w:id="1440876035">
      <w:bodyDiv w:val="1"/>
      <w:marLeft w:val="0"/>
      <w:marRight w:val="0"/>
      <w:marTop w:val="0"/>
      <w:marBottom w:val="0"/>
      <w:divBdr>
        <w:top w:val="none" w:sz="0" w:space="0" w:color="auto"/>
        <w:left w:val="none" w:sz="0" w:space="0" w:color="auto"/>
        <w:bottom w:val="none" w:sz="0" w:space="0" w:color="auto"/>
        <w:right w:val="none" w:sz="0" w:space="0" w:color="auto"/>
      </w:divBdr>
    </w:div>
    <w:div w:id="1441291928">
      <w:bodyDiv w:val="1"/>
      <w:marLeft w:val="0"/>
      <w:marRight w:val="0"/>
      <w:marTop w:val="0"/>
      <w:marBottom w:val="0"/>
      <w:divBdr>
        <w:top w:val="none" w:sz="0" w:space="0" w:color="auto"/>
        <w:left w:val="none" w:sz="0" w:space="0" w:color="auto"/>
        <w:bottom w:val="none" w:sz="0" w:space="0" w:color="auto"/>
        <w:right w:val="none" w:sz="0" w:space="0" w:color="auto"/>
      </w:divBdr>
    </w:div>
    <w:div w:id="1447507224">
      <w:bodyDiv w:val="1"/>
      <w:marLeft w:val="0"/>
      <w:marRight w:val="0"/>
      <w:marTop w:val="0"/>
      <w:marBottom w:val="0"/>
      <w:divBdr>
        <w:top w:val="none" w:sz="0" w:space="0" w:color="auto"/>
        <w:left w:val="none" w:sz="0" w:space="0" w:color="auto"/>
        <w:bottom w:val="none" w:sz="0" w:space="0" w:color="auto"/>
        <w:right w:val="none" w:sz="0" w:space="0" w:color="auto"/>
      </w:divBdr>
    </w:div>
    <w:div w:id="1448155728">
      <w:bodyDiv w:val="1"/>
      <w:marLeft w:val="0"/>
      <w:marRight w:val="0"/>
      <w:marTop w:val="0"/>
      <w:marBottom w:val="0"/>
      <w:divBdr>
        <w:top w:val="none" w:sz="0" w:space="0" w:color="auto"/>
        <w:left w:val="none" w:sz="0" w:space="0" w:color="auto"/>
        <w:bottom w:val="none" w:sz="0" w:space="0" w:color="auto"/>
        <w:right w:val="none" w:sz="0" w:space="0" w:color="auto"/>
      </w:divBdr>
    </w:div>
    <w:div w:id="1448890040">
      <w:bodyDiv w:val="1"/>
      <w:marLeft w:val="0"/>
      <w:marRight w:val="0"/>
      <w:marTop w:val="0"/>
      <w:marBottom w:val="0"/>
      <w:divBdr>
        <w:top w:val="none" w:sz="0" w:space="0" w:color="auto"/>
        <w:left w:val="none" w:sz="0" w:space="0" w:color="auto"/>
        <w:bottom w:val="none" w:sz="0" w:space="0" w:color="auto"/>
        <w:right w:val="none" w:sz="0" w:space="0" w:color="auto"/>
      </w:divBdr>
    </w:div>
    <w:div w:id="1449160544">
      <w:bodyDiv w:val="1"/>
      <w:marLeft w:val="0"/>
      <w:marRight w:val="0"/>
      <w:marTop w:val="0"/>
      <w:marBottom w:val="0"/>
      <w:divBdr>
        <w:top w:val="none" w:sz="0" w:space="0" w:color="auto"/>
        <w:left w:val="none" w:sz="0" w:space="0" w:color="auto"/>
        <w:bottom w:val="none" w:sz="0" w:space="0" w:color="auto"/>
        <w:right w:val="none" w:sz="0" w:space="0" w:color="auto"/>
      </w:divBdr>
    </w:div>
    <w:div w:id="1458066954">
      <w:bodyDiv w:val="1"/>
      <w:marLeft w:val="0"/>
      <w:marRight w:val="0"/>
      <w:marTop w:val="0"/>
      <w:marBottom w:val="0"/>
      <w:divBdr>
        <w:top w:val="none" w:sz="0" w:space="0" w:color="auto"/>
        <w:left w:val="none" w:sz="0" w:space="0" w:color="auto"/>
        <w:bottom w:val="none" w:sz="0" w:space="0" w:color="auto"/>
        <w:right w:val="none" w:sz="0" w:space="0" w:color="auto"/>
      </w:divBdr>
    </w:div>
    <w:div w:id="1458455484">
      <w:bodyDiv w:val="1"/>
      <w:marLeft w:val="0"/>
      <w:marRight w:val="0"/>
      <w:marTop w:val="0"/>
      <w:marBottom w:val="0"/>
      <w:divBdr>
        <w:top w:val="none" w:sz="0" w:space="0" w:color="auto"/>
        <w:left w:val="none" w:sz="0" w:space="0" w:color="auto"/>
        <w:bottom w:val="none" w:sz="0" w:space="0" w:color="auto"/>
        <w:right w:val="none" w:sz="0" w:space="0" w:color="auto"/>
      </w:divBdr>
    </w:div>
    <w:div w:id="1477063663">
      <w:bodyDiv w:val="1"/>
      <w:marLeft w:val="0"/>
      <w:marRight w:val="0"/>
      <w:marTop w:val="0"/>
      <w:marBottom w:val="0"/>
      <w:divBdr>
        <w:top w:val="none" w:sz="0" w:space="0" w:color="auto"/>
        <w:left w:val="none" w:sz="0" w:space="0" w:color="auto"/>
        <w:bottom w:val="none" w:sz="0" w:space="0" w:color="auto"/>
        <w:right w:val="none" w:sz="0" w:space="0" w:color="auto"/>
      </w:divBdr>
    </w:div>
    <w:div w:id="1480918936">
      <w:bodyDiv w:val="1"/>
      <w:marLeft w:val="0"/>
      <w:marRight w:val="0"/>
      <w:marTop w:val="0"/>
      <w:marBottom w:val="0"/>
      <w:divBdr>
        <w:top w:val="none" w:sz="0" w:space="0" w:color="auto"/>
        <w:left w:val="none" w:sz="0" w:space="0" w:color="auto"/>
        <w:bottom w:val="none" w:sz="0" w:space="0" w:color="auto"/>
        <w:right w:val="none" w:sz="0" w:space="0" w:color="auto"/>
      </w:divBdr>
    </w:div>
    <w:div w:id="1491210599">
      <w:bodyDiv w:val="1"/>
      <w:marLeft w:val="0"/>
      <w:marRight w:val="0"/>
      <w:marTop w:val="0"/>
      <w:marBottom w:val="0"/>
      <w:divBdr>
        <w:top w:val="none" w:sz="0" w:space="0" w:color="auto"/>
        <w:left w:val="none" w:sz="0" w:space="0" w:color="auto"/>
        <w:bottom w:val="none" w:sz="0" w:space="0" w:color="auto"/>
        <w:right w:val="none" w:sz="0" w:space="0" w:color="auto"/>
      </w:divBdr>
    </w:div>
    <w:div w:id="1494908902">
      <w:bodyDiv w:val="1"/>
      <w:marLeft w:val="0"/>
      <w:marRight w:val="0"/>
      <w:marTop w:val="0"/>
      <w:marBottom w:val="0"/>
      <w:divBdr>
        <w:top w:val="none" w:sz="0" w:space="0" w:color="auto"/>
        <w:left w:val="none" w:sz="0" w:space="0" w:color="auto"/>
        <w:bottom w:val="none" w:sz="0" w:space="0" w:color="auto"/>
        <w:right w:val="none" w:sz="0" w:space="0" w:color="auto"/>
      </w:divBdr>
    </w:div>
    <w:div w:id="1501627838">
      <w:bodyDiv w:val="1"/>
      <w:marLeft w:val="0"/>
      <w:marRight w:val="0"/>
      <w:marTop w:val="0"/>
      <w:marBottom w:val="0"/>
      <w:divBdr>
        <w:top w:val="none" w:sz="0" w:space="0" w:color="auto"/>
        <w:left w:val="none" w:sz="0" w:space="0" w:color="auto"/>
        <w:bottom w:val="none" w:sz="0" w:space="0" w:color="auto"/>
        <w:right w:val="none" w:sz="0" w:space="0" w:color="auto"/>
      </w:divBdr>
    </w:div>
    <w:div w:id="1507672353">
      <w:bodyDiv w:val="1"/>
      <w:marLeft w:val="0"/>
      <w:marRight w:val="0"/>
      <w:marTop w:val="0"/>
      <w:marBottom w:val="0"/>
      <w:divBdr>
        <w:top w:val="none" w:sz="0" w:space="0" w:color="auto"/>
        <w:left w:val="none" w:sz="0" w:space="0" w:color="auto"/>
        <w:bottom w:val="none" w:sz="0" w:space="0" w:color="auto"/>
        <w:right w:val="none" w:sz="0" w:space="0" w:color="auto"/>
      </w:divBdr>
    </w:div>
    <w:div w:id="1516648496">
      <w:bodyDiv w:val="1"/>
      <w:marLeft w:val="0"/>
      <w:marRight w:val="0"/>
      <w:marTop w:val="0"/>
      <w:marBottom w:val="0"/>
      <w:divBdr>
        <w:top w:val="none" w:sz="0" w:space="0" w:color="auto"/>
        <w:left w:val="none" w:sz="0" w:space="0" w:color="auto"/>
        <w:bottom w:val="none" w:sz="0" w:space="0" w:color="auto"/>
        <w:right w:val="none" w:sz="0" w:space="0" w:color="auto"/>
      </w:divBdr>
    </w:div>
    <w:div w:id="1517840022">
      <w:bodyDiv w:val="1"/>
      <w:marLeft w:val="0"/>
      <w:marRight w:val="0"/>
      <w:marTop w:val="0"/>
      <w:marBottom w:val="0"/>
      <w:divBdr>
        <w:top w:val="none" w:sz="0" w:space="0" w:color="auto"/>
        <w:left w:val="none" w:sz="0" w:space="0" w:color="auto"/>
        <w:bottom w:val="none" w:sz="0" w:space="0" w:color="auto"/>
        <w:right w:val="none" w:sz="0" w:space="0" w:color="auto"/>
      </w:divBdr>
    </w:div>
    <w:div w:id="1521622308">
      <w:bodyDiv w:val="1"/>
      <w:marLeft w:val="0"/>
      <w:marRight w:val="0"/>
      <w:marTop w:val="0"/>
      <w:marBottom w:val="0"/>
      <w:divBdr>
        <w:top w:val="none" w:sz="0" w:space="0" w:color="auto"/>
        <w:left w:val="none" w:sz="0" w:space="0" w:color="auto"/>
        <w:bottom w:val="none" w:sz="0" w:space="0" w:color="auto"/>
        <w:right w:val="none" w:sz="0" w:space="0" w:color="auto"/>
      </w:divBdr>
      <w:divsChild>
        <w:div w:id="683019647">
          <w:marLeft w:val="1166"/>
          <w:marRight w:val="0"/>
          <w:marTop w:val="200"/>
          <w:marBottom w:val="200"/>
          <w:divBdr>
            <w:top w:val="none" w:sz="0" w:space="0" w:color="auto"/>
            <w:left w:val="none" w:sz="0" w:space="0" w:color="auto"/>
            <w:bottom w:val="none" w:sz="0" w:space="0" w:color="auto"/>
            <w:right w:val="none" w:sz="0" w:space="0" w:color="auto"/>
          </w:divBdr>
        </w:div>
        <w:div w:id="810250855">
          <w:marLeft w:val="1166"/>
          <w:marRight w:val="0"/>
          <w:marTop w:val="200"/>
          <w:marBottom w:val="200"/>
          <w:divBdr>
            <w:top w:val="none" w:sz="0" w:space="0" w:color="auto"/>
            <w:left w:val="none" w:sz="0" w:space="0" w:color="auto"/>
            <w:bottom w:val="none" w:sz="0" w:space="0" w:color="auto"/>
            <w:right w:val="none" w:sz="0" w:space="0" w:color="auto"/>
          </w:divBdr>
        </w:div>
        <w:div w:id="1037580648">
          <w:marLeft w:val="1166"/>
          <w:marRight w:val="0"/>
          <w:marTop w:val="200"/>
          <w:marBottom w:val="200"/>
          <w:divBdr>
            <w:top w:val="none" w:sz="0" w:space="0" w:color="auto"/>
            <w:left w:val="none" w:sz="0" w:space="0" w:color="auto"/>
            <w:bottom w:val="none" w:sz="0" w:space="0" w:color="auto"/>
            <w:right w:val="none" w:sz="0" w:space="0" w:color="auto"/>
          </w:divBdr>
        </w:div>
        <w:div w:id="1053040488">
          <w:marLeft w:val="1166"/>
          <w:marRight w:val="0"/>
          <w:marTop w:val="200"/>
          <w:marBottom w:val="200"/>
          <w:divBdr>
            <w:top w:val="none" w:sz="0" w:space="0" w:color="auto"/>
            <w:left w:val="none" w:sz="0" w:space="0" w:color="auto"/>
            <w:bottom w:val="none" w:sz="0" w:space="0" w:color="auto"/>
            <w:right w:val="none" w:sz="0" w:space="0" w:color="auto"/>
          </w:divBdr>
        </w:div>
      </w:divsChild>
    </w:div>
    <w:div w:id="1521894073">
      <w:bodyDiv w:val="1"/>
      <w:marLeft w:val="0"/>
      <w:marRight w:val="0"/>
      <w:marTop w:val="0"/>
      <w:marBottom w:val="0"/>
      <w:divBdr>
        <w:top w:val="none" w:sz="0" w:space="0" w:color="auto"/>
        <w:left w:val="none" w:sz="0" w:space="0" w:color="auto"/>
        <w:bottom w:val="none" w:sz="0" w:space="0" w:color="auto"/>
        <w:right w:val="none" w:sz="0" w:space="0" w:color="auto"/>
      </w:divBdr>
    </w:div>
    <w:div w:id="1524439024">
      <w:bodyDiv w:val="1"/>
      <w:marLeft w:val="0"/>
      <w:marRight w:val="0"/>
      <w:marTop w:val="0"/>
      <w:marBottom w:val="0"/>
      <w:divBdr>
        <w:top w:val="none" w:sz="0" w:space="0" w:color="auto"/>
        <w:left w:val="none" w:sz="0" w:space="0" w:color="auto"/>
        <w:bottom w:val="none" w:sz="0" w:space="0" w:color="auto"/>
        <w:right w:val="none" w:sz="0" w:space="0" w:color="auto"/>
      </w:divBdr>
    </w:div>
    <w:div w:id="1531332407">
      <w:bodyDiv w:val="1"/>
      <w:marLeft w:val="0"/>
      <w:marRight w:val="0"/>
      <w:marTop w:val="0"/>
      <w:marBottom w:val="0"/>
      <w:divBdr>
        <w:top w:val="none" w:sz="0" w:space="0" w:color="auto"/>
        <w:left w:val="none" w:sz="0" w:space="0" w:color="auto"/>
        <w:bottom w:val="none" w:sz="0" w:space="0" w:color="auto"/>
        <w:right w:val="none" w:sz="0" w:space="0" w:color="auto"/>
      </w:divBdr>
      <w:divsChild>
        <w:div w:id="1569538582">
          <w:marLeft w:val="1166"/>
          <w:marRight w:val="0"/>
          <w:marTop w:val="115"/>
          <w:marBottom w:val="0"/>
          <w:divBdr>
            <w:top w:val="none" w:sz="0" w:space="0" w:color="auto"/>
            <w:left w:val="none" w:sz="0" w:space="0" w:color="auto"/>
            <w:bottom w:val="none" w:sz="0" w:space="0" w:color="auto"/>
            <w:right w:val="none" w:sz="0" w:space="0" w:color="auto"/>
          </w:divBdr>
        </w:div>
      </w:divsChild>
    </w:div>
    <w:div w:id="1534727691">
      <w:bodyDiv w:val="1"/>
      <w:marLeft w:val="0"/>
      <w:marRight w:val="0"/>
      <w:marTop w:val="0"/>
      <w:marBottom w:val="0"/>
      <w:divBdr>
        <w:top w:val="none" w:sz="0" w:space="0" w:color="auto"/>
        <w:left w:val="none" w:sz="0" w:space="0" w:color="auto"/>
        <w:bottom w:val="none" w:sz="0" w:space="0" w:color="auto"/>
        <w:right w:val="none" w:sz="0" w:space="0" w:color="auto"/>
      </w:divBdr>
    </w:div>
    <w:div w:id="1538545251">
      <w:bodyDiv w:val="1"/>
      <w:marLeft w:val="0"/>
      <w:marRight w:val="0"/>
      <w:marTop w:val="0"/>
      <w:marBottom w:val="0"/>
      <w:divBdr>
        <w:top w:val="none" w:sz="0" w:space="0" w:color="auto"/>
        <w:left w:val="none" w:sz="0" w:space="0" w:color="auto"/>
        <w:bottom w:val="none" w:sz="0" w:space="0" w:color="auto"/>
        <w:right w:val="none" w:sz="0" w:space="0" w:color="auto"/>
      </w:divBdr>
    </w:div>
    <w:div w:id="1547713154">
      <w:bodyDiv w:val="1"/>
      <w:marLeft w:val="0"/>
      <w:marRight w:val="0"/>
      <w:marTop w:val="0"/>
      <w:marBottom w:val="0"/>
      <w:divBdr>
        <w:top w:val="none" w:sz="0" w:space="0" w:color="auto"/>
        <w:left w:val="none" w:sz="0" w:space="0" w:color="auto"/>
        <w:bottom w:val="none" w:sz="0" w:space="0" w:color="auto"/>
        <w:right w:val="none" w:sz="0" w:space="0" w:color="auto"/>
      </w:divBdr>
      <w:divsChild>
        <w:div w:id="850410552">
          <w:marLeft w:val="547"/>
          <w:marRight w:val="0"/>
          <w:marTop w:val="91"/>
          <w:marBottom w:val="0"/>
          <w:divBdr>
            <w:top w:val="none" w:sz="0" w:space="0" w:color="auto"/>
            <w:left w:val="none" w:sz="0" w:space="0" w:color="auto"/>
            <w:bottom w:val="none" w:sz="0" w:space="0" w:color="auto"/>
            <w:right w:val="none" w:sz="0" w:space="0" w:color="auto"/>
          </w:divBdr>
        </w:div>
      </w:divsChild>
    </w:div>
    <w:div w:id="1550606888">
      <w:bodyDiv w:val="1"/>
      <w:marLeft w:val="0"/>
      <w:marRight w:val="0"/>
      <w:marTop w:val="0"/>
      <w:marBottom w:val="0"/>
      <w:divBdr>
        <w:top w:val="none" w:sz="0" w:space="0" w:color="auto"/>
        <w:left w:val="none" w:sz="0" w:space="0" w:color="auto"/>
        <w:bottom w:val="none" w:sz="0" w:space="0" w:color="auto"/>
        <w:right w:val="none" w:sz="0" w:space="0" w:color="auto"/>
      </w:divBdr>
    </w:div>
    <w:div w:id="1550724736">
      <w:bodyDiv w:val="1"/>
      <w:marLeft w:val="0"/>
      <w:marRight w:val="0"/>
      <w:marTop w:val="0"/>
      <w:marBottom w:val="0"/>
      <w:divBdr>
        <w:top w:val="none" w:sz="0" w:space="0" w:color="auto"/>
        <w:left w:val="none" w:sz="0" w:space="0" w:color="auto"/>
        <w:bottom w:val="none" w:sz="0" w:space="0" w:color="auto"/>
        <w:right w:val="none" w:sz="0" w:space="0" w:color="auto"/>
      </w:divBdr>
    </w:div>
    <w:div w:id="1551843402">
      <w:bodyDiv w:val="1"/>
      <w:marLeft w:val="0"/>
      <w:marRight w:val="0"/>
      <w:marTop w:val="0"/>
      <w:marBottom w:val="0"/>
      <w:divBdr>
        <w:top w:val="none" w:sz="0" w:space="0" w:color="auto"/>
        <w:left w:val="none" w:sz="0" w:space="0" w:color="auto"/>
        <w:bottom w:val="none" w:sz="0" w:space="0" w:color="auto"/>
        <w:right w:val="none" w:sz="0" w:space="0" w:color="auto"/>
      </w:divBdr>
    </w:div>
    <w:div w:id="1554929056">
      <w:bodyDiv w:val="1"/>
      <w:marLeft w:val="0"/>
      <w:marRight w:val="0"/>
      <w:marTop w:val="0"/>
      <w:marBottom w:val="0"/>
      <w:divBdr>
        <w:top w:val="none" w:sz="0" w:space="0" w:color="auto"/>
        <w:left w:val="none" w:sz="0" w:space="0" w:color="auto"/>
        <w:bottom w:val="none" w:sz="0" w:space="0" w:color="auto"/>
        <w:right w:val="none" w:sz="0" w:space="0" w:color="auto"/>
      </w:divBdr>
    </w:div>
    <w:div w:id="1555509846">
      <w:bodyDiv w:val="1"/>
      <w:marLeft w:val="0"/>
      <w:marRight w:val="0"/>
      <w:marTop w:val="0"/>
      <w:marBottom w:val="0"/>
      <w:divBdr>
        <w:top w:val="none" w:sz="0" w:space="0" w:color="auto"/>
        <w:left w:val="none" w:sz="0" w:space="0" w:color="auto"/>
        <w:bottom w:val="none" w:sz="0" w:space="0" w:color="auto"/>
        <w:right w:val="none" w:sz="0" w:space="0" w:color="auto"/>
      </w:divBdr>
    </w:div>
    <w:div w:id="1585260239">
      <w:bodyDiv w:val="1"/>
      <w:marLeft w:val="0"/>
      <w:marRight w:val="0"/>
      <w:marTop w:val="0"/>
      <w:marBottom w:val="0"/>
      <w:divBdr>
        <w:top w:val="none" w:sz="0" w:space="0" w:color="auto"/>
        <w:left w:val="none" w:sz="0" w:space="0" w:color="auto"/>
        <w:bottom w:val="none" w:sz="0" w:space="0" w:color="auto"/>
        <w:right w:val="none" w:sz="0" w:space="0" w:color="auto"/>
      </w:divBdr>
    </w:div>
    <w:div w:id="1586646190">
      <w:bodyDiv w:val="1"/>
      <w:marLeft w:val="0"/>
      <w:marRight w:val="0"/>
      <w:marTop w:val="0"/>
      <w:marBottom w:val="0"/>
      <w:divBdr>
        <w:top w:val="none" w:sz="0" w:space="0" w:color="auto"/>
        <w:left w:val="none" w:sz="0" w:space="0" w:color="auto"/>
        <w:bottom w:val="none" w:sz="0" w:space="0" w:color="auto"/>
        <w:right w:val="none" w:sz="0" w:space="0" w:color="auto"/>
      </w:divBdr>
    </w:div>
    <w:div w:id="1590234376">
      <w:bodyDiv w:val="1"/>
      <w:marLeft w:val="0"/>
      <w:marRight w:val="0"/>
      <w:marTop w:val="0"/>
      <w:marBottom w:val="0"/>
      <w:divBdr>
        <w:top w:val="none" w:sz="0" w:space="0" w:color="auto"/>
        <w:left w:val="none" w:sz="0" w:space="0" w:color="auto"/>
        <w:bottom w:val="none" w:sz="0" w:space="0" w:color="auto"/>
        <w:right w:val="none" w:sz="0" w:space="0" w:color="auto"/>
      </w:divBdr>
    </w:div>
    <w:div w:id="1597591893">
      <w:bodyDiv w:val="1"/>
      <w:marLeft w:val="0"/>
      <w:marRight w:val="0"/>
      <w:marTop w:val="0"/>
      <w:marBottom w:val="0"/>
      <w:divBdr>
        <w:top w:val="none" w:sz="0" w:space="0" w:color="auto"/>
        <w:left w:val="none" w:sz="0" w:space="0" w:color="auto"/>
        <w:bottom w:val="none" w:sz="0" w:space="0" w:color="auto"/>
        <w:right w:val="none" w:sz="0" w:space="0" w:color="auto"/>
      </w:divBdr>
      <w:divsChild>
        <w:div w:id="2126537717">
          <w:marLeft w:val="0"/>
          <w:marRight w:val="0"/>
          <w:marTop w:val="0"/>
          <w:marBottom w:val="0"/>
          <w:divBdr>
            <w:top w:val="none" w:sz="0" w:space="0" w:color="auto"/>
            <w:left w:val="none" w:sz="0" w:space="0" w:color="auto"/>
            <w:bottom w:val="none" w:sz="0" w:space="0" w:color="auto"/>
            <w:right w:val="none" w:sz="0" w:space="0" w:color="auto"/>
          </w:divBdr>
          <w:divsChild>
            <w:div w:id="1854412428">
              <w:marLeft w:val="0"/>
              <w:marRight w:val="0"/>
              <w:marTop w:val="0"/>
              <w:marBottom w:val="0"/>
              <w:divBdr>
                <w:top w:val="none" w:sz="0" w:space="0" w:color="auto"/>
                <w:left w:val="none" w:sz="0" w:space="0" w:color="auto"/>
                <w:bottom w:val="none" w:sz="0" w:space="0" w:color="auto"/>
                <w:right w:val="none" w:sz="0" w:space="0" w:color="auto"/>
              </w:divBdr>
              <w:divsChild>
                <w:div w:id="317459620">
                  <w:marLeft w:val="0"/>
                  <w:marRight w:val="0"/>
                  <w:marTop w:val="0"/>
                  <w:marBottom w:val="0"/>
                  <w:divBdr>
                    <w:top w:val="none" w:sz="0" w:space="0" w:color="auto"/>
                    <w:left w:val="none" w:sz="0" w:space="0" w:color="auto"/>
                    <w:bottom w:val="none" w:sz="0" w:space="0" w:color="auto"/>
                    <w:right w:val="none" w:sz="0" w:space="0" w:color="auto"/>
                  </w:divBdr>
                  <w:divsChild>
                    <w:div w:id="389184644">
                      <w:marLeft w:val="0"/>
                      <w:marRight w:val="0"/>
                      <w:marTop w:val="0"/>
                      <w:marBottom w:val="0"/>
                      <w:divBdr>
                        <w:top w:val="none" w:sz="0" w:space="0" w:color="auto"/>
                        <w:left w:val="none" w:sz="0" w:space="0" w:color="auto"/>
                        <w:bottom w:val="none" w:sz="0" w:space="0" w:color="auto"/>
                        <w:right w:val="none" w:sz="0" w:space="0" w:color="auto"/>
                      </w:divBdr>
                      <w:divsChild>
                        <w:div w:id="1060519117">
                          <w:marLeft w:val="0"/>
                          <w:marRight w:val="0"/>
                          <w:marTop w:val="0"/>
                          <w:marBottom w:val="0"/>
                          <w:divBdr>
                            <w:top w:val="none" w:sz="0" w:space="0" w:color="auto"/>
                            <w:left w:val="none" w:sz="0" w:space="0" w:color="auto"/>
                            <w:bottom w:val="none" w:sz="0" w:space="0" w:color="auto"/>
                            <w:right w:val="none" w:sz="0" w:space="0" w:color="auto"/>
                          </w:divBdr>
                          <w:divsChild>
                            <w:div w:id="177895417">
                              <w:marLeft w:val="0"/>
                              <w:marRight w:val="0"/>
                              <w:marTop w:val="0"/>
                              <w:marBottom w:val="0"/>
                              <w:divBdr>
                                <w:top w:val="none" w:sz="0" w:space="0" w:color="auto"/>
                                <w:left w:val="none" w:sz="0" w:space="0" w:color="auto"/>
                                <w:bottom w:val="none" w:sz="0" w:space="0" w:color="auto"/>
                                <w:right w:val="none" w:sz="0" w:space="0" w:color="auto"/>
                              </w:divBdr>
                              <w:divsChild>
                                <w:div w:id="1265307816">
                                  <w:marLeft w:val="0"/>
                                  <w:marRight w:val="0"/>
                                  <w:marTop w:val="0"/>
                                  <w:marBottom w:val="0"/>
                                  <w:divBdr>
                                    <w:top w:val="none" w:sz="0" w:space="0" w:color="auto"/>
                                    <w:left w:val="none" w:sz="0" w:space="0" w:color="auto"/>
                                    <w:bottom w:val="none" w:sz="0" w:space="0" w:color="auto"/>
                                    <w:right w:val="none" w:sz="0" w:space="0" w:color="auto"/>
                                  </w:divBdr>
                                  <w:divsChild>
                                    <w:div w:id="805317367">
                                      <w:marLeft w:val="0"/>
                                      <w:marRight w:val="0"/>
                                      <w:marTop w:val="0"/>
                                      <w:marBottom w:val="0"/>
                                      <w:divBdr>
                                        <w:top w:val="none" w:sz="0" w:space="0" w:color="auto"/>
                                        <w:left w:val="none" w:sz="0" w:space="0" w:color="auto"/>
                                        <w:bottom w:val="none" w:sz="0" w:space="0" w:color="auto"/>
                                        <w:right w:val="none" w:sz="0" w:space="0" w:color="auto"/>
                                      </w:divBdr>
                                      <w:divsChild>
                                        <w:div w:id="1664892974">
                                          <w:marLeft w:val="0"/>
                                          <w:marRight w:val="0"/>
                                          <w:marTop w:val="0"/>
                                          <w:marBottom w:val="0"/>
                                          <w:divBdr>
                                            <w:top w:val="none" w:sz="0" w:space="0" w:color="auto"/>
                                            <w:left w:val="none" w:sz="0" w:space="0" w:color="auto"/>
                                            <w:bottom w:val="none" w:sz="0" w:space="0" w:color="auto"/>
                                            <w:right w:val="none" w:sz="0" w:space="0" w:color="auto"/>
                                          </w:divBdr>
                                          <w:divsChild>
                                            <w:div w:id="1194614730">
                                              <w:marLeft w:val="0"/>
                                              <w:marRight w:val="0"/>
                                              <w:marTop w:val="0"/>
                                              <w:marBottom w:val="0"/>
                                              <w:divBdr>
                                                <w:top w:val="none" w:sz="0" w:space="0" w:color="auto"/>
                                                <w:left w:val="none" w:sz="0" w:space="0" w:color="auto"/>
                                                <w:bottom w:val="none" w:sz="0" w:space="0" w:color="auto"/>
                                                <w:right w:val="none" w:sz="0" w:space="0" w:color="auto"/>
                                              </w:divBdr>
                                              <w:divsChild>
                                                <w:div w:id="126317788">
                                                  <w:marLeft w:val="0"/>
                                                  <w:marRight w:val="0"/>
                                                  <w:marTop w:val="0"/>
                                                  <w:marBottom w:val="0"/>
                                                  <w:divBdr>
                                                    <w:top w:val="none" w:sz="0" w:space="0" w:color="auto"/>
                                                    <w:left w:val="none" w:sz="0" w:space="0" w:color="auto"/>
                                                    <w:bottom w:val="none" w:sz="0" w:space="0" w:color="auto"/>
                                                    <w:right w:val="none" w:sz="0" w:space="0" w:color="auto"/>
                                                  </w:divBdr>
                                                  <w:divsChild>
                                                    <w:div w:id="1124230848">
                                                      <w:marLeft w:val="0"/>
                                                      <w:marRight w:val="0"/>
                                                      <w:marTop w:val="0"/>
                                                      <w:marBottom w:val="0"/>
                                                      <w:divBdr>
                                                        <w:top w:val="none" w:sz="0" w:space="0" w:color="auto"/>
                                                        <w:left w:val="none" w:sz="0" w:space="0" w:color="auto"/>
                                                        <w:bottom w:val="none" w:sz="0" w:space="0" w:color="auto"/>
                                                        <w:right w:val="none" w:sz="0" w:space="0" w:color="auto"/>
                                                      </w:divBdr>
                                                      <w:divsChild>
                                                        <w:div w:id="1827278307">
                                                          <w:marLeft w:val="0"/>
                                                          <w:marRight w:val="0"/>
                                                          <w:marTop w:val="0"/>
                                                          <w:marBottom w:val="0"/>
                                                          <w:divBdr>
                                                            <w:top w:val="none" w:sz="0" w:space="0" w:color="auto"/>
                                                            <w:left w:val="none" w:sz="0" w:space="0" w:color="auto"/>
                                                            <w:bottom w:val="none" w:sz="0" w:space="0" w:color="auto"/>
                                                            <w:right w:val="none" w:sz="0" w:space="0" w:color="auto"/>
                                                          </w:divBdr>
                                                          <w:divsChild>
                                                            <w:div w:id="120078927">
                                                              <w:marLeft w:val="0"/>
                                                              <w:marRight w:val="0"/>
                                                              <w:marTop w:val="0"/>
                                                              <w:marBottom w:val="0"/>
                                                              <w:divBdr>
                                                                <w:top w:val="none" w:sz="0" w:space="0" w:color="auto"/>
                                                                <w:left w:val="none" w:sz="0" w:space="0" w:color="auto"/>
                                                                <w:bottom w:val="none" w:sz="0" w:space="0" w:color="auto"/>
                                                                <w:right w:val="none" w:sz="0" w:space="0" w:color="auto"/>
                                                              </w:divBdr>
                                                              <w:divsChild>
                                                                <w:div w:id="736057303">
                                                                  <w:marLeft w:val="0"/>
                                                                  <w:marRight w:val="0"/>
                                                                  <w:marTop w:val="0"/>
                                                                  <w:marBottom w:val="0"/>
                                                                  <w:divBdr>
                                                                    <w:top w:val="none" w:sz="0" w:space="0" w:color="auto"/>
                                                                    <w:left w:val="none" w:sz="0" w:space="0" w:color="auto"/>
                                                                    <w:bottom w:val="none" w:sz="0" w:space="0" w:color="auto"/>
                                                                    <w:right w:val="none" w:sz="0" w:space="0" w:color="auto"/>
                                                                  </w:divBdr>
                                                                  <w:divsChild>
                                                                    <w:div w:id="62064465">
                                                                      <w:marLeft w:val="0"/>
                                                                      <w:marRight w:val="0"/>
                                                                      <w:marTop w:val="0"/>
                                                                      <w:marBottom w:val="0"/>
                                                                      <w:divBdr>
                                                                        <w:top w:val="none" w:sz="0" w:space="0" w:color="auto"/>
                                                                        <w:left w:val="none" w:sz="0" w:space="0" w:color="auto"/>
                                                                        <w:bottom w:val="none" w:sz="0" w:space="0" w:color="auto"/>
                                                                        <w:right w:val="none" w:sz="0" w:space="0" w:color="auto"/>
                                                                      </w:divBdr>
                                                                    </w:div>
                                                                    <w:div w:id="366151400">
                                                                      <w:marLeft w:val="0"/>
                                                                      <w:marRight w:val="0"/>
                                                                      <w:marTop w:val="0"/>
                                                                      <w:marBottom w:val="0"/>
                                                                      <w:divBdr>
                                                                        <w:top w:val="none" w:sz="0" w:space="0" w:color="auto"/>
                                                                        <w:left w:val="none" w:sz="0" w:space="0" w:color="auto"/>
                                                                        <w:bottom w:val="none" w:sz="0" w:space="0" w:color="auto"/>
                                                                        <w:right w:val="none" w:sz="0" w:space="0" w:color="auto"/>
                                                                      </w:divBdr>
                                                                    </w:div>
                                                                    <w:div w:id="697778579">
                                                                      <w:marLeft w:val="0"/>
                                                                      <w:marRight w:val="0"/>
                                                                      <w:marTop w:val="0"/>
                                                                      <w:marBottom w:val="0"/>
                                                                      <w:divBdr>
                                                                        <w:top w:val="none" w:sz="0" w:space="0" w:color="auto"/>
                                                                        <w:left w:val="none" w:sz="0" w:space="0" w:color="auto"/>
                                                                        <w:bottom w:val="none" w:sz="0" w:space="0" w:color="auto"/>
                                                                        <w:right w:val="none" w:sz="0" w:space="0" w:color="auto"/>
                                                                      </w:divBdr>
                                                                    </w:div>
                                                                    <w:div w:id="825366694">
                                                                      <w:marLeft w:val="0"/>
                                                                      <w:marRight w:val="0"/>
                                                                      <w:marTop w:val="0"/>
                                                                      <w:marBottom w:val="0"/>
                                                                      <w:divBdr>
                                                                        <w:top w:val="none" w:sz="0" w:space="0" w:color="auto"/>
                                                                        <w:left w:val="none" w:sz="0" w:space="0" w:color="auto"/>
                                                                        <w:bottom w:val="none" w:sz="0" w:space="0" w:color="auto"/>
                                                                        <w:right w:val="none" w:sz="0" w:space="0" w:color="auto"/>
                                                                      </w:divBdr>
                                                                    </w:div>
                                                                    <w:div w:id="1200162431">
                                                                      <w:marLeft w:val="0"/>
                                                                      <w:marRight w:val="0"/>
                                                                      <w:marTop w:val="0"/>
                                                                      <w:marBottom w:val="0"/>
                                                                      <w:divBdr>
                                                                        <w:top w:val="none" w:sz="0" w:space="0" w:color="auto"/>
                                                                        <w:left w:val="none" w:sz="0" w:space="0" w:color="auto"/>
                                                                        <w:bottom w:val="none" w:sz="0" w:space="0" w:color="auto"/>
                                                                        <w:right w:val="none" w:sz="0" w:space="0" w:color="auto"/>
                                                                      </w:divBdr>
                                                                    </w:div>
                                                                    <w:div w:id="130994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01336138">
      <w:bodyDiv w:val="1"/>
      <w:marLeft w:val="0"/>
      <w:marRight w:val="0"/>
      <w:marTop w:val="0"/>
      <w:marBottom w:val="0"/>
      <w:divBdr>
        <w:top w:val="none" w:sz="0" w:space="0" w:color="auto"/>
        <w:left w:val="none" w:sz="0" w:space="0" w:color="auto"/>
        <w:bottom w:val="none" w:sz="0" w:space="0" w:color="auto"/>
        <w:right w:val="none" w:sz="0" w:space="0" w:color="auto"/>
      </w:divBdr>
    </w:div>
    <w:div w:id="1601373273">
      <w:bodyDiv w:val="1"/>
      <w:marLeft w:val="0"/>
      <w:marRight w:val="0"/>
      <w:marTop w:val="0"/>
      <w:marBottom w:val="0"/>
      <w:divBdr>
        <w:top w:val="none" w:sz="0" w:space="0" w:color="auto"/>
        <w:left w:val="none" w:sz="0" w:space="0" w:color="auto"/>
        <w:bottom w:val="none" w:sz="0" w:space="0" w:color="auto"/>
        <w:right w:val="none" w:sz="0" w:space="0" w:color="auto"/>
      </w:divBdr>
    </w:div>
    <w:div w:id="1603604651">
      <w:bodyDiv w:val="1"/>
      <w:marLeft w:val="0"/>
      <w:marRight w:val="0"/>
      <w:marTop w:val="0"/>
      <w:marBottom w:val="0"/>
      <w:divBdr>
        <w:top w:val="none" w:sz="0" w:space="0" w:color="auto"/>
        <w:left w:val="none" w:sz="0" w:space="0" w:color="auto"/>
        <w:bottom w:val="none" w:sz="0" w:space="0" w:color="auto"/>
        <w:right w:val="none" w:sz="0" w:space="0" w:color="auto"/>
      </w:divBdr>
    </w:div>
    <w:div w:id="1607419003">
      <w:bodyDiv w:val="1"/>
      <w:marLeft w:val="0"/>
      <w:marRight w:val="0"/>
      <w:marTop w:val="0"/>
      <w:marBottom w:val="0"/>
      <w:divBdr>
        <w:top w:val="none" w:sz="0" w:space="0" w:color="auto"/>
        <w:left w:val="none" w:sz="0" w:space="0" w:color="auto"/>
        <w:bottom w:val="none" w:sz="0" w:space="0" w:color="auto"/>
        <w:right w:val="none" w:sz="0" w:space="0" w:color="auto"/>
      </w:divBdr>
    </w:div>
    <w:div w:id="1612395742">
      <w:bodyDiv w:val="1"/>
      <w:marLeft w:val="0"/>
      <w:marRight w:val="0"/>
      <w:marTop w:val="0"/>
      <w:marBottom w:val="0"/>
      <w:divBdr>
        <w:top w:val="none" w:sz="0" w:space="0" w:color="auto"/>
        <w:left w:val="none" w:sz="0" w:space="0" w:color="auto"/>
        <w:bottom w:val="none" w:sz="0" w:space="0" w:color="auto"/>
        <w:right w:val="none" w:sz="0" w:space="0" w:color="auto"/>
      </w:divBdr>
      <w:divsChild>
        <w:div w:id="1009408689">
          <w:marLeft w:val="0"/>
          <w:marRight w:val="0"/>
          <w:marTop w:val="0"/>
          <w:marBottom w:val="0"/>
          <w:divBdr>
            <w:top w:val="none" w:sz="0" w:space="0" w:color="auto"/>
            <w:left w:val="none" w:sz="0" w:space="0" w:color="auto"/>
            <w:bottom w:val="none" w:sz="0" w:space="0" w:color="auto"/>
            <w:right w:val="none" w:sz="0" w:space="0" w:color="auto"/>
          </w:divBdr>
          <w:divsChild>
            <w:div w:id="1081218898">
              <w:marLeft w:val="0"/>
              <w:marRight w:val="0"/>
              <w:marTop w:val="0"/>
              <w:marBottom w:val="0"/>
              <w:divBdr>
                <w:top w:val="none" w:sz="0" w:space="0" w:color="auto"/>
                <w:left w:val="none" w:sz="0" w:space="0" w:color="auto"/>
                <w:bottom w:val="none" w:sz="0" w:space="0" w:color="auto"/>
                <w:right w:val="none" w:sz="0" w:space="0" w:color="auto"/>
              </w:divBdr>
              <w:divsChild>
                <w:div w:id="2018801887">
                  <w:marLeft w:val="0"/>
                  <w:marRight w:val="0"/>
                  <w:marTop w:val="0"/>
                  <w:marBottom w:val="0"/>
                  <w:divBdr>
                    <w:top w:val="none" w:sz="0" w:space="0" w:color="auto"/>
                    <w:left w:val="none" w:sz="0" w:space="0" w:color="auto"/>
                    <w:bottom w:val="none" w:sz="0" w:space="0" w:color="auto"/>
                    <w:right w:val="none" w:sz="0" w:space="0" w:color="auto"/>
                  </w:divBdr>
                  <w:divsChild>
                    <w:div w:id="1348294919">
                      <w:marLeft w:val="0"/>
                      <w:marRight w:val="0"/>
                      <w:marTop w:val="0"/>
                      <w:marBottom w:val="0"/>
                      <w:divBdr>
                        <w:top w:val="none" w:sz="0" w:space="0" w:color="auto"/>
                        <w:left w:val="none" w:sz="0" w:space="0" w:color="auto"/>
                        <w:bottom w:val="none" w:sz="0" w:space="0" w:color="auto"/>
                        <w:right w:val="none" w:sz="0" w:space="0" w:color="auto"/>
                      </w:divBdr>
                      <w:divsChild>
                        <w:div w:id="513299971">
                          <w:marLeft w:val="0"/>
                          <w:marRight w:val="0"/>
                          <w:marTop w:val="0"/>
                          <w:marBottom w:val="0"/>
                          <w:divBdr>
                            <w:top w:val="none" w:sz="0" w:space="0" w:color="auto"/>
                            <w:left w:val="none" w:sz="0" w:space="0" w:color="auto"/>
                            <w:bottom w:val="none" w:sz="0" w:space="0" w:color="auto"/>
                            <w:right w:val="none" w:sz="0" w:space="0" w:color="auto"/>
                          </w:divBdr>
                          <w:divsChild>
                            <w:div w:id="906258310">
                              <w:marLeft w:val="0"/>
                              <w:marRight w:val="0"/>
                              <w:marTop w:val="0"/>
                              <w:marBottom w:val="0"/>
                              <w:divBdr>
                                <w:top w:val="single" w:sz="6" w:space="0" w:color="CCCCCC"/>
                                <w:left w:val="single" w:sz="6" w:space="0" w:color="CCCCCC"/>
                                <w:bottom w:val="single" w:sz="6" w:space="0" w:color="CCCCCC"/>
                                <w:right w:val="single" w:sz="6" w:space="0" w:color="CCCCCC"/>
                              </w:divBdr>
                              <w:divsChild>
                                <w:div w:id="135130158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5097396">
      <w:bodyDiv w:val="1"/>
      <w:marLeft w:val="0"/>
      <w:marRight w:val="0"/>
      <w:marTop w:val="0"/>
      <w:marBottom w:val="0"/>
      <w:divBdr>
        <w:top w:val="none" w:sz="0" w:space="0" w:color="auto"/>
        <w:left w:val="none" w:sz="0" w:space="0" w:color="auto"/>
        <w:bottom w:val="none" w:sz="0" w:space="0" w:color="auto"/>
        <w:right w:val="none" w:sz="0" w:space="0" w:color="auto"/>
      </w:divBdr>
    </w:div>
    <w:div w:id="1616407229">
      <w:bodyDiv w:val="1"/>
      <w:marLeft w:val="0"/>
      <w:marRight w:val="0"/>
      <w:marTop w:val="0"/>
      <w:marBottom w:val="0"/>
      <w:divBdr>
        <w:top w:val="none" w:sz="0" w:space="0" w:color="auto"/>
        <w:left w:val="none" w:sz="0" w:space="0" w:color="auto"/>
        <w:bottom w:val="none" w:sz="0" w:space="0" w:color="auto"/>
        <w:right w:val="none" w:sz="0" w:space="0" w:color="auto"/>
      </w:divBdr>
    </w:div>
    <w:div w:id="1620645076">
      <w:bodyDiv w:val="1"/>
      <w:marLeft w:val="0"/>
      <w:marRight w:val="0"/>
      <w:marTop w:val="0"/>
      <w:marBottom w:val="0"/>
      <w:divBdr>
        <w:top w:val="none" w:sz="0" w:space="0" w:color="auto"/>
        <w:left w:val="none" w:sz="0" w:space="0" w:color="auto"/>
        <w:bottom w:val="none" w:sz="0" w:space="0" w:color="auto"/>
        <w:right w:val="none" w:sz="0" w:space="0" w:color="auto"/>
      </w:divBdr>
    </w:div>
    <w:div w:id="1628314091">
      <w:bodyDiv w:val="1"/>
      <w:marLeft w:val="0"/>
      <w:marRight w:val="0"/>
      <w:marTop w:val="0"/>
      <w:marBottom w:val="0"/>
      <w:divBdr>
        <w:top w:val="none" w:sz="0" w:space="0" w:color="auto"/>
        <w:left w:val="none" w:sz="0" w:space="0" w:color="auto"/>
        <w:bottom w:val="none" w:sz="0" w:space="0" w:color="auto"/>
        <w:right w:val="none" w:sz="0" w:space="0" w:color="auto"/>
      </w:divBdr>
    </w:div>
    <w:div w:id="1631083745">
      <w:bodyDiv w:val="1"/>
      <w:marLeft w:val="0"/>
      <w:marRight w:val="0"/>
      <w:marTop w:val="0"/>
      <w:marBottom w:val="0"/>
      <w:divBdr>
        <w:top w:val="none" w:sz="0" w:space="0" w:color="auto"/>
        <w:left w:val="none" w:sz="0" w:space="0" w:color="auto"/>
        <w:bottom w:val="none" w:sz="0" w:space="0" w:color="auto"/>
        <w:right w:val="none" w:sz="0" w:space="0" w:color="auto"/>
      </w:divBdr>
    </w:div>
    <w:div w:id="1632399377">
      <w:bodyDiv w:val="1"/>
      <w:marLeft w:val="0"/>
      <w:marRight w:val="0"/>
      <w:marTop w:val="0"/>
      <w:marBottom w:val="0"/>
      <w:divBdr>
        <w:top w:val="none" w:sz="0" w:space="0" w:color="auto"/>
        <w:left w:val="none" w:sz="0" w:space="0" w:color="auto"/>
        <w:bottom w:val="none" w:sz="0" w:space="0" w:color="auto"/>
        <w:right w:val="none" w:sz="0" w:space="0" w:color="auto"/>
      </w:divBdr>
    </w:div>
    <w:div w:id="1636373402">
      <w:bodyDiv w:val="1"/>
      <w:marLeft w:val="0"/>
      <w:marRight w:val="0"/>
      <w:marTop w:val="0"/>
      <w:marBottom w:val="0"/>
      <w:divBdr>
        <w:top w:val="none" w:sz="0" w:space="0" w:color="auto"/>
        <w:left w:val="none" w:sz="0" w:space="0" w:color="auto"/>
        <w:bottom w:val="none" w:sz="0" w:space="0" w:color="auto"/>
        <w:right w:val="none" w:sz="0" w:space="0" w:color="auto"/>
      </w:divBdr>
    </w:div>
    <w:div w:id="1637906346">
      <w:bodyDiv w:val="1"/>
      <w:marLeft w:val="0"/>
      <w:marRight w:val="0"/>
      <w:marTop w:val="0"/>
      <w:marBottom w:val="0"/>
      <w:divBdr>
        <w:top w:val="none" w:sz="0" w:space="0" w:color="auto"/>
        <w:left w:val="none" w:sz="0" w:space="0" w:color="auto"/>
        <w:bottom w:val="none" w:sz="0" w:space="0" w:color="auto"/>
        <w:right w:val="none" w:sz="0" w:space="0" w:color="auto"/>
      </w:divBdr>
      <w:divsChild>
        <w:div w:id="1805846688">
          <w:marLeft w:val="0"/>
          <w:marRight w:val="0"/>
          <w:marTop w:val="0"/>
          <w:marBottom w:val="0"/>
          <w:divBdr>
            <w:top w:val="none" w:sz="0" w:space="0" w:color="auto"/>
            <w:left w:val="none" w:sz="0" w:space="0" w:color="auto"/>
            <w:bottom w:val="none" w:sz="0" w:space="0" w:color="auto"/>
            <w:right w:val="none" w:sz="0" w:space="0" w:color="auto"/>
          </w:divBdr>
        </w:div>
      </w:divsChild>
    </w:div>
    <w:div w:id="1645502398">
      <w:bodyDiv w:val="1"/>
      <w:marLeft w:val="0"/>
      <w:marRight w:val="0"/>
      <w:marTop w:val="0"/>
      <w:marBottom w:val="0"/>
      <w:divBdr>
        <w:top w:val="none" w:sz="0" w:space="0" w:color="auto"/>
        <w:left w:val="none" w:sz="0" w:space="0" w:color="auto"/>
        <w:bottom w:val="none" w:sz="0" w:space="0" w:color="auto"/>
        <w:right w:val="none" w:sz="0" w:space="0" w:color="auto"/>
      </w:divBdr>
    </w:div>
    <w:div w:id="1652366105">
      <w:bodyDiv w:val="1"/>
      <w:marLeft w:val="0"/>
      <w:marRight w:val="0"/>
      <w:marTop w:val="0"/>
      <w:marBottom w:val="0"/>
      <w:divBdr>
        <w:top w:val="none" w:sz="0" w:space="0" w:color="auto"/>
        <w:left w:val="none" w:sz="0" w:space="0" w:color="auto"/>
        <w:bottom w:val="none" w:sz="0" w:space="0" w:color="auto"/>
        <w:right w:val="none" w:sz="0" w:space="0" w:color="auto"/>
      </w:divBdr>
    </w:div>
    <w:div w:id="1653408112">
      <w:bodyDiv w:val="1"/>
      <w:marLeft w:val="0"/>
      <w:marRight w:val="0"/>
      <w:marTop w:val="0"/>
      <w:marBottom w:val="0"/>
      <w:divBdr>
        <w:top w:val="none" w:sz="0" w:space="0" w:color="auto"/>
        <w:left w:val="none" w:sz="0" w:space="0" w:color="auto"/>
        <w:bottom w:val="none" w:sz="0" w:space="0" w:color="auto"/>
        <w:right w:val="none" w:sz="0" w:space="0" w:color="auto"/>
      </w:divBdr>
    </w:div>
    <w:div w:id="1662073908">
      <w:bodyDiv w:val="1"/>
      <w:marLeft w:val="0"/>
      <w:marRight w:val="0"/>
      <w:marTop w:val="0"/>
      <w:marBottom w:val="0"/>
      <w:divBdr>
        <w:top w:val="none" w:sz="0" w:space="0" w:color="auto"/>
        <w:left w:val="none" w:sz="0" w:space="0" w:color="auto"/>
        <w:bottom w:val="none" w:sz="0" w:space="0" w:color="auto"/>
        <w:right w:val="none" w:sz="0" w:space="0" w:color="auto"/>
      </w:divBdr>
    </w:div>
    <w:div w:id="1667783800">
      <w:bodyDiv w:val="1"/>
      <w:marLeft w:val="0"/>
      <w:marRight w:val="0"/>
      <w:marTop w:val="0"/>
      <w:marBottom w:val="0"/>
      <w:divBdr>
        <w:top w:val="none" w:sz="0" w:space="0" w:color="auto"/>
        <w:left w:val="none" w:sz="0" w:space="0" w:color="auto"/>
        <w:bottom w:val="none" w:sz="0" w:space="0" w:color="auto"/>
        <w:right w:val="none" w:sz="0" w:space="0" w:color="auto"/>
      </w:divBdr>
    </w:div>
    <w:div w:id="1687439570">
      <w:bodyDiv w:val="1"/>
      <w:marLeft w:val="0"/>
      <w:marRight w:val="0"/>
      <w:marTop w:val="0"/>
      <w:marBottom w:val="0"/>
      <w:divBdr>
        <w:top w:val="none" w:sz="0" w:space="0" w:color="auto"/>
        <w:left w:val="none" w:sz="0" w:space="0" w:color="auto"/>
        <w:bottom w:val="none" w:sz="0" w:space="0" w:color="auto"/>
        <w:right w:val="none" w:sz="0" w:space="0" w:color="auto"/>
      </w:divBdr>
    </w:div>
    <w:div w:id="1689256353">
      <w:bodyDiv w:val="1"/>
      <w:marLeft w:val="0"/>
      <w:marRight w:val="0"/>
      <w:marTop w:val="0"/>
      <w:marBottom w:val="0"/>
      <w:divBdr>
        <w:top w:val="none" w:sz="0" w:space="0" w:color="auto"/>
        <w:left w:val="none" w:sz="0" w:space="0" w:color="auto"/>
        <w:bottom w:val="none" w:sz="0" w:space="0" w:color="auto"/>
        <w:right w:val="none" w:sz="0" w:space="0" w:color="auto"/>
      </w:divBdr>
    </w:div>
    <w:div w:id="1701397366">
      <w:bodyDiv w:val="1"/>
      <w:marLeft w:val="0"/>
      <w:marRight w:val="0"/>
      <w:marTop w:val="0"/>
      <w:marBottom w:val="0"/>
      <w:divBdr>
        <w:top w:val="none" w:sz="0" w:space="0" w:color="auto"/>
        <w:left w:val="none" w:sz="0" w:space="0" w:color="auto"/>
        <w:bottom w:val="none" w:sz="0" w:space="0" w:color="auto"/>
        <w:right w:val="none" w:sz="0" w:space="0" w:color="auto"/>
      </w:divBdr>
    </w:div>
    <w:div w:id="1709256874">
      <w:bodyDiv w:val="1"/>
      <w:marLeft w:val="0"/>
      <w:marRight w:val="0"/>
      <w:marTop w:val="0"/>
      <w:marBottom w:val="0"/>
      <w:divBdr>
        <w:top w:val="none" w:sz="0" w:space="0" w:color="auto"/>
        <w:left w:val="none" w:sz="0" w:space="0" w:color="auto"/>
        <w:bottom w:val="none" w:sz="0" w:space="0" w:color="auto"/>
        <w:right w:val="none" w:sz="0" w:space="0" w:color="auto"/>
      </w:divBdr>
      <w:divsChild>
        <w:div w:id="158690277">
          <w:marLeft w:val="0"/>
          <w:marRight w:val="0"/>
          <w:marTop w:val="0"/>
          <w:marBottom w:val="0"/>
          <w:divBdr>
            <w:top w:val="single" w:sz="6" w:space="0" w:color="3C5782"/>
            <w:left w:val="single" w:sz="6" w:space="0" w:color="3C5782"/>
            <w:bottom w:val="single" w:sz="6" w:space="0" w:color="3C5782"/>
            <w:right w:val="single" w:sz="6" w:space="0" w:color="3C5782"/>
          </w:divBdr>
          <w:divsChild>
            <w:div w:id="223033957">
              <w:marLeft w:val="0"/>
              <w:marRight w:val="0"/>
              <w:marTop w:val="0"/>
              <w:marBottom w:val="0"/>
              <w:divBdr>
                <w:top w:val="none" w:sz="0" w:space="0" w:color="auto"/>
                <w:left w:val="none" w:sz="0" w:space="0" w:color="auto"/>
                <w:bottom w:val="none" w:sz="0" w:space="0" w:color="auto"/>
                <w:right w:val="none" w:sz="0" w:space="0" w:color="auto"/>
              </w:divBdr>
              <w:divsChild>
                <w:div w:id="213809461">
                  <w:marLeft w:val="0"/>
                  <w:marRight w:val="0"/>
                  <w:marTop w:val="0"/>
                  <w:marBottom w:val="0"/>
                  <w:divBdr>
                    <w:top w:val="none" w:sz="0" w:space="0" w:color="auto"/>
                    <w:left w:val="none" w:sz="0" w:space="0" w:color="auto"/>
                    <w:bottom w:val="none" w:sz="0" w:space="0" w:color="auto"/>
                    <w:right w:val="none" w:sz="0" w:space="0" w:color="auto"/>
                  </w:divBdr>
                </w:div>
              </w:divsChild>
            </w:div>
            <w:div w:id="1427463615">
              <w:marLeft w:val="0"/>
              <w:marRight w:val="0"/>
              <w:marTop w:val="0"/>
              <w:marBottom w:val="0"/>
              <w:divBdr>
                <w:top w:val="none" w:sz="0" w:space="0" w:color="auto"/>
                <w:left w:val="none" w:sz="0" w:space="0" w:color="auto"/>
                <w:bottom w:val="none" w:sz="0" w:space="0" w:color="auto"/>
                <w:right w:val="none" w:sz="0" w:space="0" w:color="auto"/>
              </w:divBdr>
            </w:div>
          </w:divsChild>
        </w:div>
        <w:div w:id="188378192">
          <w:marLeft w:val="0"/>
          <w:marRight w:val="0"/>
          <w:marTop w:val="0"/>
          <w:marBottom w:val="0"/>
          <w:divBdr>
            <w:top w:val="single" w:sz="6" w:space="0" w:color="3C5782"/>
            <w:left w:val="single" w:sz="6" w:space="0" w:color="3C5782"/>
            <w:bottom w:val="single" w:sz="6" w:space="0" w:color="3C5782"/>
            <w:right w:val="single" w:sz="6" w:space="0" w:color="3C5782"/>
          </w:divBdr>
          <w:divsChild>
            <w:div w:id="737823898">
              <w:marLeft w:val="0"/>
              <w:marRight w:val="0"/>
              <w:marTop w:val="0"/>
              <w:marBottom w:val="0"/>
              <w:divBdr>
                <w:top w:val="none" w:sz="0" w:space="0" w:color="auto"/>
                <w:left w:val="none" w:sz="0" w:space="0" w:color="auto"/>
                <w:bottom w:val="none" w:sz="0" w:space="0" w:color="auto"/>
                <w:right w:val="none" w:sz="0" w:space="0" w:color="auto"/>
              </w:divBdr>
              <w:divsChild>
                <w:div w:id="1393498835">
                  <w:marLeft w:val="0"/>
                  <w:marRight w:val="0"/>
                  <w:marTop w:val="0"/>
                  <w:marBottom w:val="0"/>
                  <w:divBdr>
                    <w:top w:val="none" w:sz="0" w:space="0" w:color="auto"/>
                    <w:left w:val="none" w:sz="0" w:space="0" w:color="auto"/>
                    <w:bottom w:val="none" w:sz="0" w:space="0" w:color="auto"/>
                    <w:right w:val="none" w:sz="0" w:space="0" w:color="auto"/>
                  </w:divBdr>
                </w:div>
              </w:divsChild>
            </w:div>
            <w:div w:id="1610968332">
              <w:marLeft w:val="0"/>
              <w:marRight w:val="0"/>
              <w:marTop w:val="0"/>
              <w:marBottom w:val="0"/>
              <w:divBdr>
                <w:top w:val="none" w:sz="0" w:space="0" w:color="auto"/>
                <w:left w:val="none" w:sz="0" w:space="0" w:color="auto"/>
                <w:bottom w:val="none" w:sz="0" w:space="0" w:color="auto"/>
                <w:right w:val="none" w:sz="0" w:space="0" w:color="auto"/>
              </w:divBdr>
            </w:div>
          </w:divsChild>
        </w:div>
        <w:div w:id="1934124585">
          <w:marLeft w:val="0"/>
          <w:marRight w:val="0"/>
          <w:marTop w:val="0"/>
          <w:marBottom w:val="0"/>
          <w:divBdr>
            <w:top w:val="none" w:sz="0" w:space="0" w:color="auto"/>
            <w:left w:val="none" w:sz="0" w:space="0" w:color="auto"/>
            <w:bottom w:val="none" w:sz="0" w:space="0" w:color="auto"/>
            <w:right w:val="none" w:sz="0" w:space="0" w:color="auto"/>
          </w:divBdr>
          <w:divsChild>
            <w:div w:id="26438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063457">
      <w:bodyDiv w:val="1"/>
      <w:marLeft w:val="0"/>
      <w:marRight w:val="0"/>
      <w:marTop w:val="0"/>
      <w:marBottom w:val="0"/>
      <w:divBdr>
        <w:top w:val="none" w:sz="0" w:space="0" w:color="auto"/>
        <w:left w:val="none" w:sz="0" w:space="0" w:color="auto"/>
        <w:bottom w:val="none" w:sz="0" w:space="0" w:color="auto"/>
        <w:right w:val="none" w:sz="0" w:space="0" w:color="auto"/>
      </w:divBdr>
    </w:div>
    <w:div w:id="1719040475">
      <w:bodyDiv w:val="1"/>
      <w:marLeft w:val="0"/>
      <w:marRight w:val="0"/>
      <w:marTop w:val="0"/>
      <w:marBottom w:val="0"/>
      <w:divBdr>
        <w:top w:val="none" w:sz="0" w:space="0" w:color="auto"/>
        <w:left w:val="none" w:sz="0" w:space="0" w:color="auto"/>
        <w:bottom w:val="none" w:sz="0" w:space="0" w:color="auto"/>
        <w:right w:val="none" w:sz="0" w:space="0" w:color="auto"/>
      </w:divBdr>
    </w:div>
    <w:div w:id="1719085594">
      <w:bodyDiv w:val="1"/>
      <w:marLeft w:val="0"/>
      <w:marRight w:val="0"/>
      <w:marTop w:val="0"/>
      <w:marBottom w:val="0"/>
      <w:divBdr>
        <w:top w:val="none" w:sz="0" w:space="0" w:color="auto"/>
        <w:left w:val="none" w:sz="0" w:space="0" w:color="auto"/>
        <w:bottom w:val="none" w:sz="0" w:space="0" w:color="auto"/>
        <w:right w:val="none" w:sz="0" w:space="0" w:color="auto"/>
      </w:divBdr>
    </w:div>
    <w:div w:id="1720277087">
      <w:bodyDiv w:val="1"/>
      <w:marLeft w:val="0"/>
      <w:marRight w:val="0"/>
      <w:marTop w:val="0"/>
      <w:marBottom w:val="0"/>
      <w:divBdr>
        <w:top w:val="none" w:sz="0" w:space="0" w:color="auto"/>
        <w:left w:val="none" w:sz="0" w:space="0" w:color="auto"/>
        <w:bottom w:val="none" w:sz="0" w:space="0" w:color="auto"/>
        <w:right w:val="none" w:sz="0" w:space="0" w:color="auto"/>
      </w:divBdr>
    </w:div>
    <w:div w:id="1722169990">
      <w:bodyDiv w:val="1"/>
      <w:marLeft w:val="0"/>
      <w:marRight w:val="0"/>
      <w:marTop w:val="0"/>
      <w:marBottom w:val="0"/>
      <w:divBdr>
        <w:top w:val="none" w:sz="0" w:space="0" w:color="auto"/>
        <w:left w:val="none" w:sz="0" w:space="0" w:color="auto"/>
        <w:bottom w:val="none" w:sz="0" w:space="0" w:color="auto"/>
        <w:right w:val="none" w:sz="0" w:space="0" w:color="auto"/>
      </w:divBdr>
    </w:div>
    <w:div w:id="1722245866">
      <w:bodyDiv w:val="1"/>
      <w:marLeft w:val="0"/>
      <w:marRight w:val="0"/>
      <w:marTop w:val="0"/>
      <w:marBottom w:val="0"/>
      <w:divBdr>
        <w:top w:val="none" w:sz="0" w:space="0" w:color="auto"/>
        <w:left w:val="none" w:sz="0" w:space="0" w:color="auto"/>
        <w:bottom w:val="none" w:sz="0" w:space="0" w:color="auto"/>
        <w:right w:val="none" w:sz="0" w:space="0" w:color="auto"/>
      </w:divBdr>
    </w:div>
    <w:div w:id="1735931271">
      <w:bodyDiv w:val="1"/>
      <w:marLeft w:val="0"/>
      <w:marRight w:val="0"/>
      <w:marTop w:val="0"/>
      <w:marBottom w:val="0"/>
      <w:divBdr>
        <w:top w:val="none" w:sz="0" w:space="0" w:color="auto"/>
        <w:left w:val="none" w:sz="0" w:space="0" w:color="auto"/>
        <w:bottom w:val="none" w:sz="0" w:space="0" w:color="auto"/>
        <w:right w:val="none" w:sz="0" w:space="0" w:color="auto"/>
      </w:divBdr>
    </w:div>
    <w:div w:id="1743091871">
      <w:bodyDiv w:val="1"/>
      <w:marLeft w:val="0"/>
      <w:marRight w:val="0"/>
      <w:marTop w:val="0"/>
      <w:marBottom w:val="0"/>
      <w:divBdr>
        <w:top w:val="none" w:sz="0" w:space="0" w:color="auto"/>
        <w:left w:val="none" w:sz="0" w:space="0" w:color="auto"/>
        <w:bottom w:val="none" w:sz="0" w:space="0" w:color="auto"/>
        <w:right w:val="none" w:sz="0" w:space="0" w:color="auto"/>
      </w:divBdr>
    </w:div>
    <w:div w:id="1744254999">
      <w:bodyDiv w:val="1"/>
      <w:marLeft w:val="0"/>
      <w:marRight w:val="0"/>
      <w:marTop w:val="0"/>
      <w:marBottom w:val="0"/>
      <w:divBdr>
        <w:top w:val="none" w:sz="0" w:space="0" w:color="auto"/>
        <w:left w:val="none" w:sz="0" w:space="0" w:color="auto"/>
        <w:bottom w:val="none" w:sz="0" w:space="0" w:color="auto"/>
        <w:right w:val="none" w:sz="0" w:space="0" w:color="auto"/>
      </w:divBdr>
    </w:div>
    <w:div w:id="1765221236">
      <w:bodyDiv w:val="1"/>
      <w:marLeft w:val="0"/>
      <w:marRight w:val="0"/>
      <w:marTop w:val="0"/>
      <w:marBottom w:val="0"/>
      <w:divBdr>
        <w:top w:val="none" w:sz="0" w:space="0" w:color="auto"/>
        <w:left w:val="none" w:sz="0" w:space="0" w:color="auto"/>
        <w:bottom w:val="none" w:sz="0" w:space="0" w:color="auto"/>
        <w:right w:val="none" w:sz="0" w:space="0" w:color="auto"/>
      </w:divBdr>
    </w:div>
    <w:div w:id="1780561708">
      <w:bodyDiv w:val="1"/>
      <w:marLeft w:val="0"/>
      <w:marRight w:val="0"/>
      <w:marTop w:val="0"/>
      <w:marBottom w:val="0"/>
      <w:divBdr>
        <w:top w:val="none" w:sz="0" w:space="0" w:color="auto"/>
        <w:left w:val="none" w:sz="0" w:space="0" w:color="auto"/>
        <w:bottom w:val="none" w:sz="0" w:space="0" w:color="auto"/>
        <w:right w:val="none" w:sz="0" w:space="0" w:color="auto"/>
      </w:divBdr>
    </w:div>
    <w:div w:id="1784761755">
      <w:bodyDiv w:val="1"/>
      <w:marLeft w:val="0"/>
      <w:marRight w:val="0"/>
      <w:marTop w:val="0"/>
      <w:marBottom w:val="0"/>
      <w:divBdr>
        <w:top w:val="none" w:sz="0" w:space="0" w:color="auto"/>
        <w:left w:val="none" w:sz="0" w:space="0" w:color="auto"/>
        <w:bottom w:val="none" w:sz="0" w:space="0" w:color="auto"/>
        <w:right w:val="none" w:sz="0" w:space="0" w:color="auto"/>
      </w:divBdr>
    </w:div>
    <w:div w:id="1787237838">
      <w:bodyDiv w:val="1"/>
      <w:marLeft w:val="0"/>
      <w:marRight w:val="0"/>
      <w:marTop w:val="0"/>
      <w:marBottom w:val="0"/>
      <w:divBdr>
        <w:top w:val="none" w:sz="0" w:space="0" w:color="auto"/>
        <w:left w:val="none" w:sz="0" w:space="0" w:color="auto"/>
        <w:bottom w:val="none" w:sz="0" w:space="0" w:color="auto"/>
        <w:right w:val="none" w:sz="0" w:space="0" w:color="auto"/>
      </w:divBdr>
    </w:div>
    <w:div w:id="1788162325">
      <w:bodyDiv w:val="1"/>
      <w:marLeft w:val="0"/>
      <w:marRight w:val="0"/>
      <w:marTop w:val="0"/>
      <w:marBottom w:val="0"/>
      <w:divBdr>
        <w:top w:val="none" w:sz="0" w:space="0" w:color="auto"/>
        <w:left w:val="none" w:sz="0" w:space="0" w:color="auto"/>
        <w:bottom w:val="none" w:sz="0" w:space="0" w:color="auto"/>
        <w:right w:val="none" w:sz="0" w:space="0" w:color="auto"/>
      </w:divBdr>
    </w:div>
    <w:div w:id="1790851194">
      <w:bodyDiv w:val="1"/>
      <w:marLeft w:val="0"/>
      <w:marRight w:val="0"/>
      <w:marTop w:val="0"/>
      <w:marBottom w:val="0"/>
      <w:divBdr>
        <w:top w:val="none" w:sz="0" w:space="0" w:color="auto"/>
        <w:left w:val="none" w:sz="0" w:space="0" w:color="auto"/>
        <w:bottom w:val="none" w:sz="0" w:space="0" w:color="auto"/>
        <w:right w:val="none" w:sz="0" w:space="0" w:color="auto"/>
      </w:divBdr>
    </w:div>
    <w:div w:id="1792553495">
      <w:bodyDiv w:val="1"/>
      <w:marLeft w:val="0"/>
      <w:marRight w:val="0"/>
      <w:marTop w:val="0"/>
      <w:marBottom w:val="0"/>
      <w:divBdr>
        <w:top w:val="none" w:sz="0" w:space="0" w:color="auto"/>
        <w:left w:val="none" w:sz="0" w:space="0" w:color="auto"/>
        <w:bottom w:val="none" w:sz="0" w:space="0" w:color="auto"/>
        <w:right w:val="none" w:sz="0" w:space="0" w:color="auto"/>
      </w:divBdr>
    </w:div>
    <w:div w:id="1798177590">
      <w:bodyDiv w:val="1"/>
      <w:marLeft w:val="0"/>
      <w:marRight w:val="0"/>
      <w:marTop w:val="0"/>
      <w:marBottom w:val="0"/>
      <w:divBdr>
        <w:top w:val="none" w:sz="0" w:space="0" w:color="auto"/>
        <w:left w:val="none" w:sz="0" w:space="0" w:color="auto"/>
        <w:bottom w:val="none" w:sz="0" w:space="0" w:color="auto"/>
        <w:right w:val="none" w:sz="0" w:space="0" w:color="auto"/>
      </w:divBdr>
    </w:div>
    <w:div w:id="1817066631">
      <w:bodyDiv w:val="1"/>
      <w:marLeft w:val="0"/>
      <w:marRight w:val="0"/>
      <w:marTop w:val="0"/>
      <w:marBottom w:val="0"/>
      <w:divBdr>
        <w:top w:val="none" w:sz="0" w:space="0" w:color="auto"/>
        <w:left w:val="none" w:sz="0" w:space="0" w:color="auto"/>
        <w:bottom w:val="none" w:sz="0" w:space="0" w:color="auto"/>
        <w:right w:val="none" w:sz="0" w:space="0" w:color="auto"/>
      </w:divBdr>
    </w:div>
    <w:div w:id="1820462999">
      <w:bodyDiv w:val="1"/>
      <w:marLeft w:val="0"/>
      <w:marRight w:val="0"/>
      <w:marTop w:val="0"/>
      <w:marBottom w:val="0"/>
      <w:divBdr>
        <w:top w:val="none" w:sz="0" w:space="0" w:color="auto"/>
        <w:left w:val="none" w:sz="0" w:space="0" w:color="auto"/>
        <w:bottom w:val="none" w:sz="0" w:space="0" w:color="auto"/>
        <w:right w:val="none" w:sz="0" w:space="0" w:color="auto"/>
      </w:divBdr>
    </w:div>
    <w:div w:id="1823345761">
      <w:bodyDiv w:val="1"/>
      <w:marLeft w:val="0"/>
      <w:marRight w:val="0"/>
      <w:marTop w:val="0"/>
      <w:marBottom w:val="0"/>
      <w:divBdr>
        <w:top w:val="none" w:sz="0" w:space="0" w:color="auto"/>
        <w:left w:val="none" w:sz="0" w:space="0" w:color="auto"/>
        <w:bottom w:val="none" w:sz="0" w:space="0" w:color="auto"/>
        <w:right w:val="none" w:sz="0" w:space="0" w:color="auto"/>
      </w:divBdr>
    </w:div>
    <w:div w:id="1828208381">
      <w:bodyDiv w:val="1"/>
      <w:marLeft w:val="0"/>
      <w:marRight w:val="0"/>
      <w:marTop w:val="0"/>
      <w:marBottom w:val="0"/>
      <w:divBdr>
        <w:top w:val="none" w:sz="0" w:space="0" w:color="auto"/>
        <w:left w:val="none" w:sz="0" w:space="0" w:color="auto"/>
        <w:bottom w:val="none" w:sz="0" w:space="0" w:color="auto"/>
        <w:right w:val="none" w:sz="0" w:space="0" w:color="auto"/>
      </w:divBdr>
    </w:div>
    <w:div w:id="1830822791">
      <w:bodyDiv w:val="1"/>
      <w:marLeft w:val="0"/>
      <w:marRight w:val="0"/>
      <w:marTop w:val="0"/>
      <w:marBottom w:val="0"/>
      <w:divBdr>
        <w:top w:val="none" w:sz="0" w:space="0" w:color="auto"/>
        <w:left w:val="none" w:sz="0" w:space="0" w:color="auto"/>
        <w:bottom w:val="none" w:sz="0" w:space="0" w:color="auto"/>
        <w:right w:val="none" w:sz="0" w:space="0" w:color="auto"/>
      </w:divBdr>
    </w:div>
    <w:div w:id="1831941895">
      <w:bodyDiv w:val="1"/>
      <w:marLeft w:val="0"/>
      <w:marRight w:val="0"/>
      <w:marTop w:val="0"/>
      <w:marBottom w:val="0"/>
      <w:divBdr>
        <w:top w:val="none" w:sz="0" w:space="0" w:color="auto"/>
        <w:left w:val="none" w:sz="0" w:space="0" w:color="auto"/>
        <w:bottom w:val="none" w:sz="0" w:space="0" w:color="auto"/>
        <w:right w:val="none" w:sz="0" w:space="0" w:color="auto"/>
      </w:divBdr>
    </w:div>
    <w:div w:id="1834181518">
      <w:bodyDiv w:val="1"/>
      <w:marLeft w:val="0"/>
      <w:marRight w:val="0"/>
      <w:marTop w:val="0"/>
      <w:marBottom w:val="0"/>
      <w:divBdr>
        <w:top w:val="none" w:sz="0" w:space="0" w:color="auto"/>
        <w:left w:val="none" w:sz="0" w:space="0" w:color="auto"/>
        <w:bottom w:val="none" w:sz="0" w:space="0" w:color="auto"/>
        <w:right w:val="none" w:sz="0" w:space="0" w:color="auto"/>
      </w:divBdr>
    </w:div>
    <w:div w:id="1838113246">
      <w:bodyDiv w:val="1"/>
      <w:marLeft w:val="0"/>
      <w:marRight w:val="0"/>
      <w:marTop w:val="0"/>
      <w:marBottom w:val="0"/>
      <w:divBdr>
        <w:top w:val="none" w:sz="0" w:space="0" w:color="auto"/>
        <w:left w:val="none" w:sz="0" w:space="0" w:color="auto"/>
        <w:bottom w:val="none" w:sz="0" w:space="0" w:color="auto"/>
        <w:right w:val="none" w:sz="0" w:space="0" w:color="auto"/>
      </w:divBdr>
    </w:div>
    <w:div w:id="1845657498">
      <w:bodyDiv w:val="1"/>
      <w:marLeft w:val="0"/>
      <w:marRight w:val="0"/>
      <w:marTop w:val="0"/>
      <w:marBottom w:val="0"/>
      <w:divBdr>
        <w:top w:val="none" w:sz="0" w:space="0" w:color="auto"/>
        <w:left w:val="none" w:sz="0" w:space="0" w:color="auto"/>
        <w:bottom w:val="none" w:sz="0" w:space="0" w:color="auto"/>
        <w:right w:val="none" w:sz="0" w:space="0" w:color="auto"/>
      </w:divBdr>
    </w:div>
    <w:div w:id="1847284003">
      <w:bodyDiv w:val="1"/>
      <w:marLeft w:val="0"/>
      <w:marRight w:val="0"/>
      <w:marTop w:val="0"/>
      <w:marBottom w:val="0"/>
      <w:divBdr>
        <w:top w:val="none" w:sz="0" w:space="0" w:color="auto"/>
        <w:left w:val="none" w:sz="0" w:space="0" w:color="auto"/>
        <w:bottom w:val="none" w:sz="0" w:space="0" w:color="auto"/>
        <w:right w:val="none" w:sz="0" w:space="0" w:color="auto"/>
      </w:divBdr>
    </w:div>
    <w:div w:id="1849098736">
      <w:bodyDiv w:val="1"/>
      <w:marLeft w:val="0"/>
      <w:marRight w:val="0"/>
      <w:marTop w:val="0"/>
      <w:marBottom w:val="0"/>
      <w:divBdr>
        <w:top w:val="none" w:sz="0" w:space="0" w:color="auto"/>
        <w:left w:val="none" w:sz="0" w:space="0" w:color="auto"/>
        <w:bottom w:val="none" w:sz="0" w:space="0" w:color="auto"/>
        <w:right w:val="none" w:sz="0" w:space="0" w:color="auto"/>
      </w:divBdr>
    </w:div>
    <w:div w:id="1850020952">
      <w:bodyDiv w:val="1"/>
      <w:marLeft w:val="0"/>
      <w:marRight w:val="0"/>
      <w:marTop w:val="0"/>
      <w:marBottom w:val="0"/>
      <w:divBdr>
        <w:top w:val="none" w:sz="0" w:space="0" w:color="auto"/>
        <w:left w:val="none" w:sz="0" w:space="0" w:color="auto"/>
        <w:bottom w:val="none" w:sz="0" w:space="0" w:color="auto"/>
        <w:right w:val="none" w:sz="0" w:space="0" w:color="auto"/>
      </w:divBdr>
    </w:div>
    <w:div w:id="1850751293">
      <w:bodyDiv w:val="1"/>
      <w:marLeft w:val="0"/>
      <w:marRight w:val="0"/>
      <w:marTop w:val="0"/>
      <w:marBottom w:val="0"/>
      <w:divBdr>
        <w:top w:val="none" w:sz="0" w:space="0" w:color="auto"/>
        <w:left w:val="none" w:sz="0" w:space="0" w:color="auto"/>
        <w:bottom w:val="none" w:sz="0" w:space="0" w:color="auto"/>
        <w:right w:val="none" w:sz="0" w:space="0" w:color="auto"/>
      </w:divBdr>
    </w:div>
    <w:div w:id="1862352097">
      <w:bodyDiv w:val="1"/>
      <w:marLeft w:val="0"/>
      <w:marRight w:val="0"/>
      <w:marTop w:val="0"/>
      <w:marBottom w:val="0"/>
      <w:divBdr>
        <w:top w:val="none" w:sz="0" w:space="0" w:color="auto"/>
        <w:left w:val="none" w:sz="0" w:space="0" w:color="auto"/>
        <w:bottom w:val="none" w:sz="0" w:space="0" w:color="auto"/>
        <w:right w:val="none" w:sz="0" w:space="0" w:color="auto"/>
      </w:divBdr>
    </w:div>
    <w:div w:id="1863476238">
      <w:bodyDiv w:val="1"/>
      <w:marLeft w:val="0"/>
      <w:marRight w:val="0"/>
      <w:marTop w:val="0"/>
      <w:marBottom w:val="0"/>
      <w:divBdr>
        <w:top w:val="none" w:sz="0" w:space="0" w:color="auto"/>
        <w:left w:val="none" w:sz="0" w:space="0" w:color="auto"/>
        <w:bottom w:val="none" w:sz="0" w:space="0" w:color="auto"/>
        <w:right w:val="none" w:sz="0" w:space="0" w:color="auto"/>
      </w:divBdr>
    </w:div>
    <w:div w:id="1872456366">
      <w:bodyDiv w:val="1"/>
      <w:marLeft w:val="0"/>
      <w:marRight w:val="0"/>
      <w:marTop w:val="0"/>
      <w:marBottom w:val="0"/>
      <w:divBdr>
        <w:top w:val="none" w:sz="0" w:space="0" w:color="auto"/>
        <w:left w:val="none" w:sz="0" w:space="0" w:color="auto"/>
        <w:bottom w:val="none" w:sz="0" w:space="0" w:color="auto"/>
        <w:right w:val="none" w:sz="0" w:space="0" w:color="auto"/>
      </w:divBdr>
    </w:div>
    <w:div w:id="1872985985">
      <w:bodyDiv w:val="1"/>
      <w:marLeft w:val="0"/>
      <w:marRight w:val="0"/>
      <w:marTop w:val="0"/>
      <w:marBottom w:val="0"/>
      <w:divBdr>
        <w:top w:val="none" w:sz="0" w:space="0" w:color="auto"/>
        <w:left w:val="none" w:sz="0" w:space="0" w:color="auto"/>
        <w:bottom w:val="none" w:sz="0" w:space="0" w:color="auto"/>
        <w:right w:val="none" w:sz="0" w:space="0" w:color="auto"/>
      </w:divBdr>
      <w:divsChild>
        <w:div w:id="136606884">
          <w:marLeft w:val="0"/>
          <w:marRight w:val="0"/>
          <w:marTop w:val="0"/>
          <w:marBottom w:val="0"/>
          <w:divBdr>
            <w:top w:val="none" w:sz="0" w:space="0" w:color="auto"/>
            <w:left w:val="none" w:sz="0" w:space="0" w:color="auto"/>
            <w:bottom w:val="none" w:sz="0" w:space="0" w:color="auto"/>
            <w:right w:val="none" w:sz="0" w:space="0" w:color="auto"/>
          </w:divBdr>
          <w:divsChild>
            <w:div w:id="443382960">
              <w:marLeft w:val="0"/>
              <w:marRight w:val="0"/>
              <w:marTop w:val="0"/>
              <w:marBottom w:val="0"/>
              <w:divBdr>
                <w:top w:val="none" w:sz="0" w:space="0" w:color="auto"/>
                <w:left w:val="none" w:sz="0" w:space="0" w:color="auto"/>
                <w:bottom w:val="none" w:sz="0" w:space="0" w:color="auto"/>
                <w:right w:val="none" w:sz="0" w:space="0" w:color="auto"/>
              </w:divBdr>
              <w:divsChild>
                <w:div w:id="806582785">
                  <w:marLeft w:val="0"/>
                  <w:marRight w:val="0"/>
                  <w:marTop w:val="0"/>
                  <w:marBottom w:val="0"/>
                  <w:divBdr>
                    <w:top w:val="none" w:sz="0" w:space="0" w:color="auto"/>
                    <w:left w:val="none" w:sz="0" w:space="0" w:color="auto"/>
                    <w:bottom w:val="none" w:sz="0" w:space="0" w:color="auto"/>
                    <w:right w:val="none" w:sz="0" w:space="0" w:color="auto"/>
                  </w:divBdr>
                  <w:divsChild>
                    <w:div w:id="322514498">
                      <w:marLeft w:val="0"/>
                      <w:marRight w:val="0"/>
                      <w:marTop w:val="0"/>
                      <w:marBottom w:val="0"/>
                      <w:divBdr>
                        <w:top w:val="none" w:sz="0" w:space="0" w:color="auto"/>
                        <w:left w:val="none" w:sz="0" w:space="0" w:color="auto"/>
                        <w:bottom w:val="none" w:sz="0" w:space="0" w:color="auto"/>
                        <w:right w:val="none" w:sz="0" w:space="0" w:color="auto"/>
                      </w:divBdr>
                      <w:divsChild>
                        <w:div w:id="143744984">
                          <w:marLeft w:val="0"/>
                          <w:marRight w:val="0"/>
                          <w:marTop w:val="0"/>
                          <w:marBottom w:val="0"/>
                          <w:divBdr>
                            <w:top w:val="none" w:sz="0" w:space="0" w:color="auto"/>
                            <w:left w:val="none" w:sz="0" w:space="0" w:color="auto"/>
                            <w:bottom w:val="none" w:sz="0" w:space="0" w:color="auto"/>
                            <w:right w:val="none" w:sz="0" w:space="0" w:color="auto"/>
                          </w:divBdr>
                          <w:divsChild>
                            <w:div w:id="836655921">
                              <w:marLeft w:val="0"/>
                              <w:marRight w:val="0"/>
                              <w:marTop w:val="0"/>
                              <w:marBottom w:val="0"/>
                              <w:divBdr>
                                <w:top w:val="single" w:sz="6" w:space="0" w:color="CCCCCC"/>
                                <w:left w:val="single" w:sz="6" w:space="0" w:color="CCCCCC"/>
                                <w:bottom w:val="single" w:sz="6" w:space="0" w:color="CCCCCC"/>
                                <w:right w:val="single" w:sz="6" w:space="0" w:color="CCCCCC"/>
                              </w:divBdr>
                              <w:divsChild>
                                <w:div w:id="106687418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4028742">
      <w:bodyDiv w:val="1"/>
      <w:marLeft w:val="0"/>
      <w:marRight w:val="0"/>
      <w:marTop w:val="0"/>
      <w:marBottom w:val="0"/>
      <w:divBdr>
        <w:top w:val="none" w:sz="0" w:space="0" w:color="auto"/>
        <w:left w:val="none" w:sz="0" w:space="0" w:color="auto"/>
        <w:bottom w:val="none" w:sz="0" w:space="0" w:color="auto"/>
        <w:right w:val="none" w:sz="0" w:space="0" w:color="auto"/>
      </w:divBdr>
    </w:div>
    <w:div w:id="1874149610">
      <w:bodyDiv w:val="1"/>
      <w:marLeft w:val="0"/>
      <w:marRight w:val="0"/>
      <w:marTop w:val="0"/>
      <w:marBottom w:val="0"/>
      <w:divBdr>
        <w:top w:val="none" w:sz="0" w:space="0" w:color="auto"/>
        <w:left w:val="none" w:sz="0" w:space="0" w:color="auto"/>
        <w:bottom w:val="none" w:sz="0" w:space="0" w:color="auto"/>
        <w:right w:val="none" w:sz="0" w:space="0" w:color="auto"/>
      </w:divBdr>
    </w:div>
    <w:div w:id="1876457478">
      <w:bodyDiv w:val="1"/>
      <w:marLeft w:val="0"/>
      <w:marRight w:val="0"/>
      <w:marTop w:val="0"/>
      <w:marBottom w:val="0"/>
      <w:divBdr>
        <w:top w:val="none" w:sz="0" w:space="0" w:color="auto"/>
        <w:left w:val="none" w:sz="0" w:space="0" w:color="auto"/>
        <w:bottom w:val="none" w:sz="0" w:space="0" w:color="auto"/>
        <w:right w:val="none" w:sz="0" w:space="0" w:color="auto"/>
      </w:divBdr>
    </w:div>
    <w:div w:id="1876768505">
      <w:bodyDiv w:val="1"/>
      <w:marLeft w:val="0"/>
      <w:marRight w:val="0"/>
      <w:marTop w:val="0"/>
      <w:marBottom w:val="0"/>
      <w:divBdr>
        <w:top w:val="none" w:sz="0" w:space="0" w:color="auto"/>
        <w:left w:val="none" w:sz="0" w:space="0" w:color="auto"/>
        <w:bottom w:val="none" w:sz="0" w:space="0" w:color="auto"/>
        <w:right w:val="none" w:sz="0" w:space="0" w:color="auto"/>
      </w:divBdr>
    </w:div>
    <w:div w:id="1878734870">
      <w:bodyDiv w:val="1"/>
      <w:marLeft w:val="0"/>
      <w:marRight w:val="0"/>
      <w:marTop w:val="0"/>
      <w:marBottom w:val="0"/>
      <w:divBdr>
        <w:top w:val="none" w:sz="0" w:space="0" w:color="auto"/>
        <w:left w:val="none" w:sz="0" w:space="0" w:color="auto"/>
        <w:bottom w:val="none" w:sz="0" w:space="0" w:color="auto"/>
        <w:right w:val="none" w:sz="0" w:space="0" w:color="auto"/>
      </w:divBdr>
    </w:div>
    <w:div w:id="1880433006">
      <w:bodyDiv w:val="1"/>
      <w:marLeft w:val="0"/>
      <w:marRight w:val="0"/>
      <w:marTop w:val="0"/>
      <w:marBottom w:val="0"/>
      <w:divBdr>
        <w:top w:val="none" w:sz="0" w:space="0" w:color="auto"/>
        <w:left w:val="none" w:sz="0" w:space="0" w:color="auto"/>
        <w:bottom w:val="none" w:sz="0" w:space="0" w:color="auto"/>
        <w:right w:val="none" w:sz="0" w:space="0" w:color="auto"/>
      </w:divBdr>
    </w:div>
    <w:div w:id="1885094480">
      <w:bodyDiv w:val="1"/>
      <w:marLeft w:val="0"/>
      <w:marRight w:val="0"/>
      <w:marTop w:val="0"/>
      <w:marBottom w:val="0"/>
      <w:divBdr>
        <w:top w:val="none" w:sz="0" w:space="0" w:color="auto"/>
        <w:left w:val="none" w:sz="0" w:space="0" w:color="auto"/>
        <w:bottom w:val="none" w:sz="0" w:space="0" w:color="auto"/>
        <w:right w:val="none" w:sz="0" w:space="0" w:color="auto"/>
      </w:divBdr>
    </w:div>
    <w:div w:id="1890729798">
      <w:bodyDiv w:val="1"/>
      <w:marLeft w:val="0"/>
      <w:marRight w:val="0"/>
      <w:marTop w:val="0"/>
      <w:marBottom w:val="0"/>
      <w:divBdr>
        <w:top w:val="none" w:sz="0" w:space="0" w:color="auto"/>
        <w:left w:val="none" w:sz="0" w:space="0" w:color="auto"/>
        <w:bottom w:val="none" w:sz="0" w:space="0" w:color="auto"/>
        <w:right w:val="none" w:sz="0" w:space="0" w:color="auto"/>
      </w:divBdr>
    </w:div>
    <w:div w:id="1894654130">
      <w:bodyDiv w:val="1"/>
      <w:marLeft w:val="0"/>
      <w:marRight w:val="0"/>
      <w:marTop w:val="0"/>
      <w:marBottom w:val="0"/>
      <w:divBdr>
        <w:top w:val="none" w:sz="0" w:space="0" w:color="auto"/>
        <w:left w:val="none" w:sz="0" w:space="0" w:color="auto"/>
        <w:bottom w:val="none" w:sz="0" w:space="0" w:color="auto"/>
        <w:right w:val="none" w:sz="0" w:space="0" w:color="auto"/>
      </w:divBdr>
    </w:div>
    <w:div w:id="1894852910">
      <w:bodyDiv w:val="1"/>
      <w:marLeft w:val="0"/>
      <w:marRight w:val="0"/>
      <w:marTop w:val="0"/>
      <w:marBottom w:val="0"/>
      <w:divBdr>
        <w:top w:val="none" w:sz="0" w:space="0" w:color="auto"/>
        <w:left w:val="none" w:sz="0" w:space="0" w:color="auto"/>
        <w:bottom w:val="none" w:sz="0" w:space="0" w:color="auto"/>
        <w:right w:val="none" w:sz="0" w:space="0" w:color="auto"/>
      </w:divBdr>
    </w:div>
    <w:div w:id="1896235697">
      <w:bodyDiv w:val="1"/>
      <w:marLeft w:val="0"/>
      <w:marRight w:val="0"/>
      <w:marTop w:val="0"/>
      <w:marBottom w:val="0"/>
      <w:divBdr>
        <w:top w:val="none" w:sz="0" w:space="0" w:color="auto"/>
        <w:left w:val="none" w:sz="0" w:space="0" w:color="auto"/>
        <w:bottom w:val="none" w:sz="0" w:space="0" w:color="auto"/>
        <w:right w:val="none" w:sz="0" w:space="0" w:color="auto"/>
      </w:divBdr>
    </w:div>
    <w:div w:id="1903757093">
      <w:bodyDiv w:val="1"/>
      <w:marLeft w:val="0"/>
      <w:marRight w:val="0"/>
      <w:marTop w:val="0"/>
      <w:marBottom w:val="0"/>
      <w:divBdr>
        <w:top w:val="none" w:sz="0" w:space="0" w:color="auto"/>
        <w:left w:val="none" w:sz="0" w:space="0" w:color="auto"/>
        <w:bottom w:val="none" w:sz="0" w:space="0" w:color="auto"/>
        <w:right w:val="none" w:sz="0" w:space="0" w:color="auto"/>
      </w:divBdr>
    </w:div>
    <w:div w:id="1914854650">
      <w:bodyDiv w:val="1"/>
      <w:marLeft w:val="0"/>
      <w:marRight w:val="0"/>
      <w:marTop w:val="0"/>
      <w:marBottom w:val="0"/>
      <w:divBdr>
        <w:top w:val="none" w:sz="0" w:space="0" w:color="auto"/>
        <w:left w:val="none" w:sz="0" w:space="0" w:color="auto"/>
        <w:bottom w:val="none" w:sz="0" w:space="0" w:color="auto"/>
        <w:right w:val="none" w:sz="0" w:space="0" w:color="auto"/>
      </w:divBdr>
    </w:div>
    <w:div w:id="1924030200">
      <w:bodyDiv w:val="1"/>
      <w:marLeft w:val="0"/>
      <w:marRight w:val="0"/>
      <w:marTop w:val="0"/>
      <w:marBottom w:val="0"/>
      <w:divBdr>
        <w:top w:val="none" w:sz="0" w:space="0" w:color="auto"/>
        <w:left w:val="none" w:sz="0" w:space="0" w:color="auto"/>
        <w:bottom w:val="none" w:sz="0" w:space="0" w:color="auto"/>
        <w:right w:val="none" w:sz="0" w:space="0" w:color="auto"/>
      </w:divBdr>
    </w:div>
    <w:div w:id="1932738583">
      <w:bodyDiv w:val="1"/>
      <w:marLeft w:val="0"/>
      <w:marRight w:val="0"/>
      <w:marTop w:val="0"/>
      <w:marBottom w:val="0"/>
      <w:divBdr>
        <w:top w:val="none" w:sz="0" w:space="0" w:color="auto"/>
        <w:left w:val="none" w:sz="0" w:space="0" w:color="auto"/>
        <w:bottom w:val="none" w:sz="0" w:space="0" w:color="auto"/>
        <w:right w:val="none" w:sz="0" w:space="0" w:color="auto"/>
      </w:divBdr>
    </w:div>
    <w:div w:id="1945183889">
      <w:bodyDiv w:val="1"/>
      <w:marLeft w:val="0"/>
      <w:marRight w:val="0"/>
      <w:marTop w:val="0"/>
      <w:marBottom w:val="0"/>
      <w:divBdr>
        <w:top w:val="none" w:sz="0" w:space="0" w:color="auto"/>
        <w:left w:val="none" w:sz="0" w:space="0" w:color="auto"/>
        <w:bottom w:val="none" w:sz="0" w:space="0" w:color="auto"/>
        <w:right w:val="none" w:sz="0" w:space="0" w:color="auto"/>
      </w:divBdr>
      <w:divsChild>
        <w:div w:id="343436459">
          <w:marLeft w:val="0"/>
          <w:marRight w:val="0"/>
          <w:marTop w:val="0"/>
          <w:marBottom w:val="0"/>
          <w:divBdr>
            <w:top w:val="none" w:sz="0" w:space="0" w:color="auto"/>
            <w:left w:val="none" w:sz="0" w:space="0" w:color="auto"/>
            <w:bottom w:val="none" w:sz="0" w:space="0" w:color="auto"/>
            <w:right w:val="none" w:sz="0" w:space="0" w:color="auto"/>
          </w:divBdr>
          <w:divsChild>
            <w:div w:id="372967091">
              <w:marLeft w:val="0"/>
              <w:marRight w:val="0"/>
              <w:marTop w:val="0"/>
              <w:marBottom w:val="0"/>
              <w:divBdr>
                <w:top w:val="none" w:sz="0" w:space="0" w:color="auto"/>
                <w:left w:val="none" w:sz="0" w:space="0" w:color="auto"/>
                <w:bottom w:val="none" w:sz="0" w:space="0" w:color="auto"/>
                <w:right w:val="none" w:sz="0" w:space="0" w:color="auto"/>
              </w:divBdr>
              <w:divsChild>
                <w:div w:id="76100535">
                  <w:marLeft w:val="0"/>
                  <w:marRight w:val="0"/>
                  <w:marTop w:val="0"/>
                  <w:marBottom w:val="0"/>
                  <w:divBdr>
                    <w:top w:val="none" w:sz="0" w:space="0" w:color="auto"/>
                    <w:left w:val="none" w:sz="0" w:space="0" w:color="auto"/>
                    <w:bottom w:val="none" w:sz="0" w:space="0" w:color="auto"/>
                    <w:right w:val="none" w:sz="0" w:space="0" w:color="auto"/>
                  </w:divBdr>
                  <w:divsChild>
                    <w:div w:id="129486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578261">
      <w:bodyDiv w:val="1"/>
      <w:marLeft w:val="0"/>
      <w:marRight w:val="0"/>
      <w:marTop w:val="0"/>
      <w:marBottom w:val="0"/>
      <w:divBdr>
        <w:top w:val="none" w:sz="0" w:space="0" w:color="auto"/>
        <w:left w:val="none" w:sz="0" w:space="0" w:color="auto"/>
        <w:bottom w:val="none" w:sz="0" w:space="0" w:color="auto"/>
        <w:right w:val="none" w:sz="0" w:space="0" w:color="auto"/>
      </w:divBdr>
    </w:div>
    <w:div w:id="1950504004">
      <w:bodyDiv w:val="1"/>
      <w:marLeft w:val="0"/>
      <w:marRight w:val="0"/>
      <w:marTop w:val="0"/>
      <w:marBottom w:val="0"/>
      <w:divBdr>
        <w:top w:val="none" w:sz="0" w:space="0" w:color="auto"/>
        <w:left w:val="none" w:sz="0" w:space="0" w:color="auto"/>
        <w:bottom w:val="none" w:sz="0" w:space="0" w:color="auto"/>
        <w:right w:val="none" w:sz="0" w:space="0" w:color="auto"/>
      </w:divBdr>
    </w:div>
    <w:div w:id="1952202036">
      <w:bodyDiv w:val="1"/>
      <w:marLeft w:val="0"/>
      <w:marRight w:val="0"/>
      <w:marTop w:val="0"/>
      <w:marBottom w:val="0"/>
      <w:divBdr>
        <w:top w:val="none" w:sz="0" w:space="0" w:color="auto"/>
        <w:left w:val="none" w:sz="0" w:space="0" w:color="auto"/>
        <w:bottom w:val="none" w:sz="0" w:space="0" w:color="auto"/>
        <w:right w:val="none" w:sz="0" w:space="0" w:color="auto"/>
      </w:divBdr>
    </w:div>
    <w:div w:id="1959877158">
      <w:bodyDiv w:val="1"/>
      <w:marLeft w:val="0"/>
      <w:marRight w:val="0"/>
      <w:marTop w:val="0"/>
      <w:marBottom w:val="0"/>
      <w:divBdr>
        <w:top w:val="none" w:sz="0" w:space="0" w:color="auto"/>
        <w:left w:val="none" w:sz="0" w:space="0" w:color="auto"/>
        <w:bottom w:val="none" w:sz="0" w:space="0" w:color="auto"/>
        <w:right w:val="none" w:sz="0" w:space="0" w:color="auto"/>
      </w:divBdr>
    </w:div>
    <w:div w:id="1959989308">
      <w:bodyDiv w:val="1"/>
      <w:marLeft w:val="0"/>
      <w:marRight w:val="0"/>
      <w:marTop w:val="0"/>
      <w:marBottom w:val="0"/>
      <w:divBdr>
        <w:top w:val="none" w:sz="0" w:space="0" w:color="auto"/>
        <w:left w:val="none" w:sz="0" w:space="0" w:color="auto"/>
        <w:bottom w:val="none" w:sz="0" w:space="0" w:color="auto"/>
        <w:right w:val="none" w:sz="0" w:space="0" w:color="auto"/>
      </w:divBdr>
      <w:divsChild>
        <w:div w:id="21051135">
          <w:marLeft w:val="0"/>
          <w:marRight w:val="0"/>
          <w:marTop w:val="0"/>
          <w:marBottom w:val="0"/>
          <w:divBdr>
            <w:top w:val="none" w:sz="0" w:space="0" w:color="auto"/>
            <w:left w:val="none" w:sz="0" w:space="0" w:color="auto"/>
            <w:bottom w:val="none" w:sz="0" w:space="0" w:color="auto"/>
            <w:right w:val="none" w:sz="0" w:space="0" w:color="auto"/>
          </w:divBdr>
        </w:div>
      </w:divsChild>
    </w:div>
    <w:div w:id="1967395051">
      <w:bodyDiv w:val="1"/>
      <w:marLeft w:val="0"/>
      <w:marRight w:val="0"/>
      <w:marTop w:val="0"/>
      <w:marBottom w:val="0"/>
      <w:divBdr>
        <w:top w:val="none" w:sz="0" w:space="0" w:color="auto"/>
        <w:left w:val="none" w:sz="0" w:space="0" w:color="auto"/>
        <w:bottom w:val="none" w:sz="0" w:space="0" w:color="auto"/>
        <w:right w:val="none" w:sz="0" w:space="0" w:color="auto"/>
      </w:divBdr>
    </w:div>
    <w:div w:id="1970158538">
      <w:bodyDiv w:val="1"/>
      <w:marLeft w:val="0"/>
      <w:marRight w:val="0"/>
      <w:marTop w:val="0"/>
      <w:marBottom w:val="0"/>
      <w:divBdr>
        <w:top w:val="none" w:sz="0" w:space="0" w:color="auto"/>
        <w:left w:val="none" w:sz="0" w:space="0" w:color="auto"/>
        <w:bottom w:val="none" w:sz="0" w:space="0" w:color="auto"/>
        <w:right w:val="none" w:sz="0" w:space="0" w:color="auto"/>
      </w:divBdr>
    </w:div>
    <w:div w:id="1973555424">
      <w:bodyDiv w:val="1"/>
      <w:marLeft w:val="0"/>
      <w:marRight w:val="0"/>
      <w:marTop w:val="0"/>
      <w:marBottom w:val="0"/>
      <w:divBdr>
        <w:top w:val="none" w:sz="0" w:space="0" w:color="auto"/>
        <w:left w:val="none" w:sz="0" w:space="0" w:color="auto"/>
        <w:bottom w:val="none" w:sz="0" w:space="0" w:color="auto"/>
        <w:right w:val="none" w:sz="0" w:space="0" w:color="auto"/>
      </w:divBdr>
      <w:divsChild>
        <w:div w:id="1364600080">
          <w:marLeft w:val="1440"/>
          <w:marRight w:val="0"/>
          <w:marTop w:val="0"/>
          <w:marBottom w:val="0"/>
          <w:divBdr>
            <w:top w:val="none" w:sz="0" w:space="0" w:color="auto"/>
            <w:left w:val="none" w:sz="0" w:space="0" w:color="auto"/>
            <w:bottom w:val="none" w:sz="0" w:space="0" w:color="auto"/>
            <w:right w:val="none" w:sz="0" w:space="0" w:color="auto"/>
          </w:divBdr>
        </w:div>
        <w:div w:id="1576092573">
          <w:marLeft w:val="1440"/>
          <w:marRight w:val="0"/>
          <w:marTop w:val="0"/>
          <w:marBottom w:val="0"/>
          <w:divBdr>
            <w:top w:val="none" w:sz="0" w:space="0" w:color="auto"/>
            <w:left w:val="none" w:sz="0" w:space="0" w:color="auto"/>
            <w:bottom w:val="none" w:sz="0" w:space="0" w:color="auto"/>
            <w:right w:val="none" w:sz="0" w:space="0" w:color="auto"/>
          </w:divBdr>
        </w:div>
        <w:div w:id="1946185384">
          <w:marLeft w:val="1440"/>
          <w:marRight w:val="0"/>
          <w:marTop w:val="0"/>
          <w:marBottom w:val="0"/>
          <w:divBdr>
            <w:top w:val="none" w:sz="0" w:space="0" w:color="auto"/>
            <w:left w:val="none" w:sz="0" w:space="0" w:color="auto"/>
            <w:bottom w:val="none" w:sz="0" w:space="0" w:color="auto"/>
            <w:right w:val="none" w:sz="0" w:space="0" w:color="auto"/>
          </w:divBdr>
        </w:div>
      </w:divsChild>
    </w:div>
    <w:div w:id="1976135416">
      <w:bodyDiv w:val="1"/>
      <w:marLeft w:val="0"/>
      <w:marRight w:val="0"/>
      <w:marTop w:val="0"/>
      <w:marBottom w:val="0"/>
      <w:divBdr>
        <w:top w:val="none" w:sz="0" w:space="0" w:color="auto"/>
        <w:left w:val="none" w:sz="0" w:space="0" w:color="auto"/>
        <w:bottom w:val="none" w:sz="0" w:space="0" w:color="auto"/>
        <w:right w:val="none" w:sz="0" w:space="0" w:color="auto"/>
      </w:divBdr>
      <w:divsChild>
        <w:div w:id="338507156">
          <w:marLeft w:val="0"/>
          <w:marRight w:val="0"/>
          <w:marTop w:val="0"/>
          <w:marBottom w:val="0"/>
          <w:divBdr>
            <w:top w:val="none" w:sz="0" w:space="0" w:color="auto"/>
            <w:left w:val="none" w:sz="0" w:space="0" w:color="auto"/>
            <w:bottom w:val="none" w:sz="0" w:space="0" w:color="auto"/>
            <w:right w:val="none" w:sz="0" w:space="0" w:color="auto"/>
          </w:divBdr>
          <w:divsChild>
            <w:div w:id="1316908153">
              <w:marLeft w:val="0"/>
              <w:marRight w:val="0"/>
              <w:marTop w:val="0"/>
              <w:marBottom w:val="0"/>
              <w:divBdr>
                <w:top w:val="none" w:sz="0" w:space="0" w:color="auto"/>
                <w:left w:val="none" w:sz="0" w:space="0" w:color="auto"/>
                <w:bottom w:val="none" w:sz="0" w:space="0" w:color="auto"/>
                <w:right w:val="none" w:sz="0" w:space="0" w:color="auto"/>
              </w:divBdr>
              <w:divsChild>
                <w:div w:id="766928381">
                  <w:marLeft w:val="0"/>
                  <w:marRight w:val="0"/>
                  <w:marTop w:val="0"/>
                  <w:marBottom w:val="0"/>
                  <w:divBdr>
                    <w:top w:val="none" w:sz="0" w:space="0" w:color="auto"/>
                    <w:left w:val="none" w:sz="0" w:space="0" w:color="auto"/>
                    <w:bottom w:val="none" w:sz="0" w:space="0" w:color="auto"/>
                    <w:right w:val="none" w:sz="0" w:space="0" w:color="auto"/>
                  </w:divBdr>
                  <w:divsChild>
                    <w:div w:id="2045905301">
                      <w:marLeft w:val="0"/>
                      <w:marRight w:val="0"/>
                      <w:marTop w:val="0"/>
                      <w:marBottom w:val="0"/>
                      <w:divBdr>
                        <w:top w:val="none" w:sz="0" w:space="0" w:color="auto"/>
                        <w:left w:val="none" w:sz="0" w:space="0" w:color="auto"/>
                        <w:bottom w:val="none" w:sz="0" w:space="0" w:color="auto"/>
                        <w:right w:val="none" w:sz="0" w:space="0" w:color="auto"/>
                      </w:divBdr>
                      <w:divsChild>
                        <w:div w:id="72318177">
                          <w:marLeft w:val="0"/>
                          <w:marRight w:val="0"/>
                          <w:marTop w:val="0"/>
                          <w:marBottom w:val="0"/>
                          <w:divBdr>
                            <w:top w:val="none" w:sz="0" w:space="0" w:color="auto"/>
                            <w:left w:val="none" w:sz="0" w:space="0" w:color="auto"/>
                            <w:bottom w:val="none" w:sz="0" w:space="0" w:color="auto"/>
                            <w:right w:val="none" w:sz="0" w:space="0" w:color="auto"/>
                          </w:divBdr>
                          <w:divsChild>
                            <w:div w:id="495145162">
                              <w:marLeft w:val="0"/>
                              <w:marRight w:val="0"/>
                              <w:marTop w:val="0"/>
                              <w:marBottom w:val="0"/>
                              <w:divBdr>
                                <w:top w:val="single" w:sz="6" w:space="0" w:color="CCCCCC"/>
                                <w:left w:val="single" w:sz="6" w:space="0" w:color="CCCCCC"/>
                                <w:bottom w:val="single" w:sz="6" w:space="0" w:color="CCCCCC"/>
                                <w:right w:val="single" w:sz="6" w:space="0" w:color="CCCCCC"/>
                              </w:divBdr>
                              <w:divsChild>
                                <w:div w:id="1913655398">
                                  <w:marLeft w:val="0"/>
                                  <w:marRight w:val="0"/>
                                  <w:marTop w:val="75"/>
                                  <w:marBottom w:val="0"/>
                                  <w:divBdr>
                                    <w:top w:val="none" w:sz="0" w:space="0" w:color="auto"/>
                                    <w:left w:val="none" w:sz="0" w:space="0" w:color="auto"/>
                                    <w:bottom w:val="none" w:sz="0" w:space="0" w:color="auto"/>
                                    <w:right w:val="none" w:sz="0" w:space="0" w:color="auto"/>
                                  </w:divBdr>
                                  <w:divsChild>
                                    <w:div w:id="582027402">
                                      <w:marLeft w:val="0"/>
                                      <w:marRight w:val="0"/>
                                      <w:marTop w:val="0"/>
                                      <w:marBottom w:val="0"/>
                                      <w:divBdr>
                                        <w:top w:val="none" w:sz="0" w:space="0" w:color="auto"/>
                                        <w:left w:val="none" w:sz="0" w:space="0" w:color="auto"/>
                                        <w:bottom w:val="none" w:sz="0" w:space="0" w:color="auto"/>
                                        <w:right w:val="none" w:sz="0" w:space="0" w:color="auto"/>
                                      </w:divBdr>
                                      <w:divsChild>
                                        <w:div w:id="182165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6792943">
      <w:bodyDiv w:val="1"/>
      <w:marLeft w:val="0"/>
      <w:marRight w:val="0"/>
      <w:marTop w:val="0"/>
      <w:marBottom w:val="0"/>
      <w:divBdr>
        <w:top w:val="none" w:sz="0" w:space="0" w:color="auto"/>
        <w:left w:val="none" w:sz="0" w:space="0" w:color="auto"/>
        <w:bottom w:val="none" w:sz="0" w:space="0" w:color="auto"/>
        <w:right w:val="none" w:sz="0" w:space="0" w:color="auto"/>
      </w:divBdr>
    </w:div>
    <w:div w:id="1978216945">
      <w:bodyDiv w:val="1"/>
      <w:marLeft w:val="0"/>
      <w:marRight w:val="0"/>
      <w:marTop w:val="0"/>
      <w:marBottom w:val="0"/>
      <w:divBdr>
        <w:top w:val="none" w:sz="0" w:space="0" w:color="auto"/>
        <w:left w:val="none" w:sz="0" w:space="0" w:color="auto"/>
        <w:bottom w:val="none" w:sz="0" w:space="0" w:color="auto"/>
        <w:right w:val="none" w:sz="0" w:space="0" w:color="auto"/>
      </w:divBdr>
    </w:div>
    <w:div w:id="1980722573">
      <w:bodyDiv w:val="1"/>
      <w:marLeft w:val="0"/>
      <w:marRight w:val="0"/>
      <w:marTop w:val="0"/>
      <w:marBottom w:val="0"/>
      <w:divBdr>
        <w:top w:val="none" w:sz="0" w:space="0" w:color="auto"/>
        <w:left w:val="none" w:sz="0" w:space="0" w:color="auto"/>
        <w:bottom w:val="none" w:sz="0" w:space="0" w:color="auto"/>
        <w:right w:val="none" w:sz="0" w:space="0" w:color="auto"/>
      </w:divBdr>
    </w:div>
    <w:div w:id="1982613262">
      <w:bodyDiv w:val="1"/>
      <w:marLeft w:val="0"/>
      <w:marRight w:val="0"/>
      <w:marTop w:val="0"/>
      <w:marBottom w:val="0"/>
      <w:divBdr>
        <w:top w:val="none" w:sz="0" w:space="0" w:color="auto"/>
        <w:left w:val="none" w:sz="0" w:space="0" w:color="auto"/>
        <w:bottom w:val="none" w:sz="0" w:space="0" w:color="auto"/>
        <w:right w:val="none" w:sz="0" w:space="0" w:color="auto"/>
      </w:divBdr>
    </w:div>
    <w:div w:id="1982685150">
      <w:bodyDiv w:val="1"/>
      <w:marLeft w:val="0"/>
      <w:marRight w:val="0"/>
      <w:marTop w:val="0"/>
      <w:marBottom w:val="0"/>
      <w:divBdr>
        <w:top w:val="none" w:sz="0" w:space="0" w:color="auto"/>
        <w:left w:val="none" w:sz="0" w:space="0" w:color="auto"/>
        <w:bottom w:val="none" w:sz="0" w:space="0" w:color="auto"/>
        <w:right w:val="none" w:sz="0" w:space="0" w:color="auto"/>
      </w:divBdr>
    </w:div>
    <w:div w:id="1990942358">
      <w:bodyDiv w:val="1"/>
      <w:marLeft w:val="0"/>
      <w:marRight w:val="0"/>
      <w:marTop w:val="0"/>
      <w:marBottom w:val="0"/>
      <w:divBdr>
        <w:top w:val="none" w:sz="0" w:space="0" w:color="auto"/>
        <w:left w:val="none" w:sz="0" w:space="0" w:color="auto"/>
        <w:bottom w:val="none" w:sz="0" w:space="0" w:color="auto"/>
        <w:right w:val="none" w:sz="0" w:space="0" w:color="auto"/>
      </w:divBdr>
    </w:div>
    <w:div w:id="1993635503">
      <w:bodyDiv w:val="1"/>
      <w:marLeft w:val="0"/>
      <w:marRight w:val="0"/>
      <w:marTop w:val="0"/>
      <w:marBottom w:val="0"/>
      <w:divBdr>
        <w:top w:val="none" w:sz="0" w:space="0" w:color="auto"/>
        <w:left w:val="none" w:sz="0" w:space="0" w:color="auto"/>
        <w:bottom w:val="none" w:sz="0" w:space="0" w:color="auto"/>
        <w:right w:val="none" w:sz="0" w:space="0" w:color="auto"/>
      </w:divBdr>
    </w:div>
    <w:div w:id="1994216600">
      <w:bodyDiv w:val="1"/>
      <w:marLeft w:val="0"/>
      <w:marRight w:val="0"/>
      <w:marTop w:val="0"/>
      <w:marBottom w:val="0"/>
      <w:divBdr>
        <w:top w:val="none" w:sz="0" w:space="0" w:color="auto"/>
        <w:left w:val="none" w:sz="0" w:space="0" w:color="auto"/>
        <w:bottom w:val="none" w:sz="0" w:space="0" w:color="auto"/>
        <w:right w:val="none" w:sz="0" w:space="0" w:color="auto"/>
      </w:divBdr>
    </w:div>
    <w:div w:id="1996566656">
      <w:bodyDiv w:val="1"/>
      <w:marLeft w:val="0"/>
      <w:marRight w:val="0"/>
      <w:marTop w:val="0"/>
      <w:marBottom w:val="0"/>
      <w:divBdr>
        <w:top w:val="none" w:sz="0" w:space="0" w:color="auto"/>
        <w:left w:val="none" w:sz="0" w:space="0" w:color="auto"/>
        <w:bottom w:val="none" w:sz="0" w:space="0" w:color="auto"/>
        <w:right w:val="none" w:sz="0" w:space="0" w:color="auto"/>
      </w:divBdr>
    </w:div>
    <w:div w:id="1996640224">
      <w:bodyDiv w:val="1"/>
      <w:marLeft w:val="0"/>
      <w:marRight w:val="0"/>
      <w:marTop w:val="0"/>
      <w:marBottom w:val="0"/>
      <w:divBdr>
        <w:top w:val="none" w:sz="0" w:space="0" w:color="auto"/>
        <w:left w:val="none" w:sz="0" w:space="0" w:color="auto"/>
        <w:bottom w:val="none" w:sz="0" w:space="0" w:color="auto"/>
        <w:right w:val="none" w:sz="0" w:space="0" w:color="auto"/>
      </w:divBdr>
    </w:div>
    <w:div w:id="1997147001">
      <w:bodyDiv w:val="1"/>
      <w:marLeft w:val="0"/>
      <w:marRight w:val="0"/>
      <w:marTop w:val="0"/>
      <w:marBottom w:val="0"/>
      <w:divBdr>
        <w:top w:val="none" w:sz="0" w:space="0" w:color="auto"/>
        <w:left w:val="none" w:sz="0" w:space="0" w:color="auto"/>
        <w:bottom w:val="none" w:sz="0" w:space="0" w:color="auto"/>
        <w:right w:val="none" w:sz="0" w:space="0" w:color="auto"/>
      </w:divBdr>
    </w:div>
    <w:div w:id="1997955167">
      <w:bodyDiv w:val="1"/>
      <w:marLeft w:val="0"/>
      <w:marRight w:val="0"/>
      <w:marTop w:val="0"/>
      <w:marBottom w:val="0"/>
      <w:divBdr>
        <w:top w:val="none" w:sz="0" w:space="0" w:color="auto"/>
        <w:left w:val="none" w:sz="0" w:space="0" w:color="auto"/>
        <w:bottom w:val="none" w:sz="0" w:space="0" w:color="auto"/>
        <w:right w:val="none" w:sz="0" w:space="0" w:color="auto"/>
      </w:divBdr>
    </w:div>
    <w:div w:id="1998344661">
      <w:bodyDiv w:val="1"/>
      <w:marLeft w:val="0"/>
      <w:marRight w:val="0"/>
      <w:marTop w:val="0"/>
      <w:marBottom w:val="0"/>
      <w:divBdr>
        <w:top w:val="none" w:sz="0" w:space="0" w:color="auto"/>
        <w:left w:val="none" w:sz="0" w:space="0" w:color="auto"/>
        <w:bottom w:val="none" w:sz="0" w:space="0" w:color="auto"/>
        <w:right w:val="none" w:sz="0" w:space="0" w:color="auto"/>
      </w:divBdr>
    </w:div>
    <w:div w:id="2002391190">
      <w:bodyDiv w:val="1"/>
      <w:marLeft w:val="0"/>
      <w:marRight w:val="0"/>
      <w:marTop w:val="0"/>
      <w:marBottom w:val="0"/>
      <w:divBdr>
        <w:top w:val="none" w:sz="0" w:space="0" w:color="auto"/>
        <w:left w:val="none" w:sz="0" w:space="0" w:color="auto"/>
        <w:bottom w:val="none" w:sz="0" w:space="0" w:color="auto"/>
        <w:right w:val="none" w:sz="0" w:space="0" w:color="auto"/>
      </w:divBdr>
    </w:div>
    <w:div w:id="2013294502">
      <w:bodyDiv w:val="1"/>
      <w:marLeft w:val="0"/>
      <w:marRight w:val="0"/>
      <w:marTop w:val="0"/>
      <w:marBottom w:val="0"/>
      <w:divBdr>
        <w:top w:val="none" w:sz="0" w:space="0" w:color="auto"/>
        <w:left w:val="none" w:sz="0" w:space="0" w:color="auto"/>
        <w:bottom w:val="none" w:sz="0" w:space="0" w:color="auto"/>
        <w:right w:val="none" w:sz="0" w:space="0" w:color="auto"/>
      </w:divBdr>
    </w:div>
    <w:div w:id="2013600627">
      <w:bodyDiv w:val="1"/>
      <w:marLeft w:val="0"/>
      <w:marRight w:val="0"/>
      <w:marTop w:val="0"/>
      <w:marBottom w:val="0"/>
      <w:divBdr>
        <w:top w:val="none" w:sz="0" w:space="0" w:color="auto"/>
        <w:left w:val="none" w:sz="0" w:space="0" w:color="auto"/>
        <w:bottom w:val="none" w:sz="0" w:space="0" w:color="auto"/>
        <w:right w:val="none" w:sz="0" w:space="0" w:color="auto"/>
      </w:divBdr>
    </w:div>
    <w:div w:id="2017615663">
      <w:bodyDiv w:val="1"/>
      <w:marLeft w:val="0"/>
      <w:marRight w:val="0"/>
      <w:marTop w:val="0"/>
      <w:marBottom w:val="0"/>
      <w:divBdr>
        <w:top w:val="none" w:sz="0" w:space="0" w:color="auto"/>
        <w:left w:val="none" w:sz="0" w:space="0" w:color="auto"/>
        <w:bottom w:val="none" w:sz="0" w:space="0" w:color="auto"/>
        <w:right w:val="none" w:sz="0" w:space="0" w:color="auto"/>
      </w:divBdr>
    </w:div>
    <w:div w:id="2028409370">
      <w:bodyDiv w:val="1"/>
      <w:marLeft w:val="0"/>
      <w:marRight w:val="0"/>
      <w:marTop w:val="0"/>
      <w:marBottom w:val="0"/>
      <w:divBdr>
        <w:top w:val="none" w:sz="0" w:space="0" w:color="auto"/>
        <w:left w:val="none" w:sz="0" w:space="0" w:color="auto"/>
        <w:bottom w:val="none" w:sz="0" w:space="0" w:color="auto"/>
        <w:right w:val="none" w:sz="0" w:space="0" w:color="auto"/>
      </w:divBdr>
    </w:div>
    <w:div w:id="2028478653">
      <w:bodyDiv w:val="1"/>
      <w:marLeft w:val="0"/>
      <w:marRight w:val="0"/>
      <w:marTop w:val="0"/>
      <w:marBottom w:val="0"/>
      <w:divBdr>
        <w:top w:val="none" w:sz="0" w:space="0" w:color="auto"/>
        <w:left w:val="none" w:sz="0" w:space="0" w:color="auto"/>
        <w:bottom w:val="none" w:sz="0" w:space="0" w:color="auto"/>
        <w:right w:val="none" w:sz="0" w:space="0" w:color="auto"/>
      </w:divBdr>
      <w:divsChild>
        <w:div w:id="176117926">
          <w:marLeft w:val="0"/>
          <w:marRight w:val="0"/>
          <w:marTop w:val="0"/>
          <w:marBottom w:val="0"/>
          <w:divBdr>
            <w:top w:val="none" w:sz="0" w:space="0" w:color="auto"/>
            <w:left w:val="none" w:sz="0" w:space="0" w:color="auto"/>
            <w:bottom w:val="none" w:sz="0" w:space="0" w:color="auto"/>
            <w:right w:val="none" w:sz="0" w:space="0" w:color="auto"/>
          </w:divBdr>
        </w:div>
      </w:divsChild>
    </w:div>
    <w:div w:id="2029872795">
      <w:bodyDiv w:val="1"/>
      <w:marLeft w:val="0"/>
      <w:marRight w:val="0"/>
      <w:marTop w:val="0"/>
      <w:marBottom w:val="0"/>
      <w:divBdr>
        <w:top w:val="none" w:sz="0" w:space="0" w:color="auto"/>
        <w:left w:val="none" w:sz="0" w:space="0" w:color="auto"/>
        <w:bottom w:val="none" w:sz="0" w:space="0" w:color="auto"/>
        <w:right w:val="none" w:sz="0" w:space="0" w:color="auto"/>
      </w:divBdr>
    </w:div>
    <w:div w:id="2037537384">
      <w:bodyDiv w:val="1"/>
      <w:marLeft w:val="0"/>
      <w:marRight w:val="0"/>
      <w:marTop w:val="0"/>
      <w:marBottom w:val="0"/>
      <w:divBdr>
        <w:top w:val="none" w:sz="0" w:space="0" w:color="auto"/>
        <w:left w:val="none" w:sz="0" w:space="0" w:color="auto"/>
        <w:bottom w:val="none" w:sz="0" w:space="0" w:color="auto"/>
        <w:right w:val="none" w:sz="0" w:space="0" w:color="auto"/>
      </w:divBdr>
    </w:div>
    <w:div w:id="2054965683">
      <w:bodyDiv w:val="1"/>
      <w:marLeft w:val="0"/>
      <w:marRight w:val="0"/>
      <w:marTop w:val="0"/>
      <w:marBottom w:val="0"/>
      <w:divBdr>
        <w:top w:val="none" w:sz="0" w:space="0" w:color="auto"/>
        <w:left w:val="none" w:sz="0" w:space="0" w:color="auto"/>
        <w:bottom w:val="none" w:sz="0" w:space="0" w:color="auto"/>
        <w:right w:val="none" w:sz="0" w:space="0" w:color="auto"/>
      </w:divBdr>
    </w:div>
    <w:div w:id="2056076384">
      <w:bodyDiv w:val="1"/>
      <w:marLeft w:val="0"/>
      <w:marRight w:val="0"/>
      <w:marTop w:val="0"/>
      <w:marBottom w:val="0"/>
      <w:divBdr>
        <w:top w:val="none" w:sz="0" w:space="0" w:color="auto"/>
        <w:left w:val="none" w:sz="0" w:space="0" w:color="auto"/>
        <w:bottom w:val="none" w:sz="0" w:space="0" w:color="auto"/>
        <w:right w:val="none" w:sz="0" w:space="0" w:color="auto"/>
      </w:divBdr>
    </w:div>
    <w:div w:id="2057850053">
      <w:bodyDiv w:val="1"/>
      <w:marLeft w:val="0"/>
      <w:marRight w:val="0"/>
      <w:marTop w:val="0"/>
      <w:marBottom w:val="0"/>
      <w:divBdr>
        <w:top w:val="none" w:sz="0" w:space="0" w:color="auto"/>
        <w:left w:val="none" w:sz="0" w:space="0" w:color="auto"/>
        <w:bottom w:val="none" w:sz="0" w:space="0" w:color="auto"/>
        <w:right w:val="none" w:sz="0" w:space="0" w:color="auto"/>
      </w:divBdr>
    </w:div>
    <w:div w:id="2084989410">
      <w:bodyDiv w:val="1"/>
      <w:marLeft w:val="0"/>
      <w:marRight w:val="0"/>
      <w:marTop w:val="0"/>
      <w:marBottom w:val="0"/>
      <w:divBdr>
        <w:top w:val="none" w:sz="0" w:space="0" w:color="auto"/>
        <w:left w:val="none" w:sz="0" w:space="0" w:color="auto"/>
        <w:bottom w:val="none" w:sz="0" w:space="0" w:color="auto"/>
        <w:right w:val="none" w:sz="0" w:space="0" w:color="auto"/>
      </w:divBdr>
    </w:div>
    <w:div w:id="2086802610">
      <w:bodyDiv w:val="1"/>
      <w:marLeft w:val="0"/>
      <w:marRight w:val="0"/>
      <w:marTop w:val="0"/>
      <w:marBottom w:val="0"/>
      <w:divBdr>
        <w:top w:val="none" w:sz="0" w:space="0" w:color="auto"/>
        <w:left w:val="none" w:sz="0" w:space="0" w:color="auto"/>
        <w:bottom w:val="none" w:sz="0" w:space="0" w:color="auto"/>
        <w:right w:val="none" w:sz="0" w:space="0" w:color="auto"/>
      </w:divBdr>
    </w:div>
    <w:div w:id="2092115170">
      <w:bodyDiv w:val="1"/>
      <w:marLeft w:val="0"/>
      <w:marRight w:val="0"/>
      <w:marTop w:val="0"/>
      <w:marBottom w:val="0"/>
      <w:divBdr>
        <w:top w:val="none" w:sz="0" w:space="0" w:color="auto"/>
        <w:left w:val="none" w:sz="0" w:space="0" w:color="auto"/>
        <w:bottom w:val="none" w:sz="0" w:space="0" w:color="auto"/>
        <w:right w:val="none" w:sz="0" w:space="0" w:color="auto"/>
      </w:divBdr>
    </w:div>
    <w:div w:id="2092852793">
      <w:bodyDiv w:val="1"/>
      <w:marLeft w:val="0"/>
      <w:marRight w:val="0"/>
      <w:marTop w:val="0"/>
      <w:marBottom w:val="0"/>
      <w:divBdr>
        <w:top w:val="none" w:sz="0" w:space="0" w:color="auto"/>
        <w:left w:val="none" w:sz="0" w:space="0" w:color="auto"/>
        <w:bottom w:val="none" w:sz="0" w:space="0" w:color="auto"/>
        <w:right w:val="none" w:sz="0" w:space="0" w:color="auto"/>
      </w:divBdr>
    </w:div>
    <w:div w:id="2095930178">
      <w:bodyDiv w:val="1"/>
      <w:marLeft w:val="0"/>
      <w:marRight w:val="0"/>
      <w:marTop w:val="0"/>
      <w:marBottom w:val="0"/>
      <w:divBdr>
        <w:top w:val="none" w:sz="0" w:space="0" w:color="auto"/>
        <w:left w:val="none" w:sz="0" w:space="0" w:color="auto"/>
        <w:bottom w:val="none" w:sz="0" w:space="0" w:color="auto"/>
        <w:right w:val="none" w:sz="0" w:space="0" w:color="auto"/>
      </w:divBdr>
    </w:div>
    <w:div w:id="2099129083">
      <w:bodyDiv w:val="1"/>
      <w:marLeft w:val="0"/>
      <w:marRight w:val="0"/>
      <w:marTop w:val="0"/>
      <w:marBottom w:val="0"/>
      <w:divBdr>
        <w:top w:val="none" w:sz="0" w:space="0" w:color="auto"/>
        <w:left w:val="none" w:sz="0" w:space="0" w:color="auto"/>
        <w:bottom w:val="none" w:sz="0" w:space="0" w:color="auto"/>
        <w:right w:val="none" w:sz="0" w:space="0" w:color="auto"/>
      </w:divBdr>
    </w:div>
    <w:div w:id="2100565221">
      <w:bodyDiv w:val="1"/>
      <w:marLeft w:val="0"/>
      <w:marRight w:val="0"/>
      <w:marTop w:val="0"/>
      <w:marBottom w:val="0"/>
      <w:divBdr>
        <w:top w:val="none" w:sz="0" w:space="0" w:color="auto"/>
        <w:left w:val="none" w:sz="0" w:space="0" w:color="auto"/>
        <w:bottom w:val="none" w:sz="0" w:space="0" w:color="auto"/>
        <w:right w:val="none" w:sz="0" w:space="0" w:color="auto"/>
      </w:divBdr>
    </w:div>
    <w:div w:id="2109039477">
      <w:bodyDiv w:val="1"/>
      <w:marLeft w:val="0"/>
      <w:marRight w:val="0"/>
      <w:marTop w:val="0"/>
      <w:marBottom w:val="0"/>
      <w:divBdr>
        <w:top w:val="none" w:sz="0" w:space="0" w:color="auto"/>
        <w:left w:val="none" w:sz="0" w:space="0" w:color="auto"/>
        <w:bottom w:val="none" w:sz="0" w:space="0" w:color="auto"/>
        <w:right w:val="none" w:sz="0" w:space="0" w:color="auto"/>
      </w:divBdr>
    </w:div>
    <w:div w:id="2110277158">
      <w:bodyDiv w:val="1"/>
      <w:marLeft w:val="0"/>
      <w:marRight w:val="0"/>
      <w:marTop w:val="0"/>
      <w:marBottom w:val="0"/>
      <w:divBdr>
        <w:top w:val="none" w:sz="0" w:space="0" w:color="auto"/>
        <w:left w:val="none" w:sz="0" w:space="0" w:color="auto"/>
        <w:bottom w:val="none" w:sz="0" w:space="0" w:color="auto"/>
        <w:right w:val="none" w:sz="0" w:space="0" w:color="auto"/>
      </w:divBdr>
    </w:div>
    <w:div w:id="2110614478">
      <w:bodyDiv w:val="1"/>
      <w:marLeft w:val="0"/>
      <w:marRight w:val="0"/>
      <w:marTop w:val="0"/>
      <w:marBottom w:val="0"/>
      <w:divBdr>
        <w:top w:val="none" w:sz="0" w:space="0" w:color="auto"/>
        <w:left w:val="none" w:sz="0" w:space="0" w:color="auto"/>
        <w:bottom w:val="none" w:sz="0" w:space="0" w:color="auto"/>
        <w:right w:val="none" w:sz="0" w:space="0" w:color="auto"/>
      </w:divBdr>
    </w:div>
    <w:div w:id="2114354472">
      <w:bodyDiv w:val="1"/>
      <w:marLeft w:val="0"/>
      <w:marRight w:val="0"/>
      <w:marTop w:val="0"/>
      <w:marBottom w:val="0"/>
      <w:divBdr>
        <w:top w:val="none" w:sz="0" w:space="0" w:color="auto"/>
        <w:left w:val="none" w:sz="0" w:space="0" w:color="auto"/>
        <w:bottom w:val="none" w:sz="0" w:space="0" w:color="auto"/>
        <w:right w:val="none" w:sz="0" w:space="0" w:color="auto"/>
      </w:divBdr>
    </w:div>
    <w:div w:id="2120952407">
      <w:bodyDiv w:val="1"/>
      <w:marLeft w:val="0"/>
      <w:marRight w:val="0"/>
      <w:marTop w:val="0"/>
      <w:marBottom w:val="0"/>
      <w:divBdr>
        <w:top w:val="none" w:sz="0" w:space="0" w:color="auto"/>
        <w:left w:val="none" w:sz="0" w:space="0" w:color="auto"/>
        <w:bottom w:val="none" w:sz="0" w:space="0" w:color="auto"/>
        <w:right w:val="none" w:sz="0" w:space="0" w:color="auto"/>
      </w:divBdr>
    </w:div>
    <w:div w:id="2136606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vaforvets.va.gov" TargetMode="External"/><Relationship Id="rId671" Type="http://schemas.openxmlformats.org/officeDocument/2006/relationships/hyperlink" Target="https://www.vapulse.net/message/34973" TargetMode="External"/><Relationship Id="rId769" Type="http://schemas.openxmlformats.org/officeDocument/2006/relationships/hyperlink" Target="http://vaww.oed.portal.va.gov/products/VBMS/SOCM/usercollaboration/Delta/Adding_Supporting_Documents_to_a_Deferral_Video_20161208.swf" TargetMode="External"/><Relationship Id="rId21" Type="http://schemas.openxmlformats.org/officeDocument/2006/relationships/hyperlink" Target="http://vbaw.vba.va.gov/bl/21/rating/Medical/MED_ABBS/A-d.htm" TargetMode="External"/><Relationship Id="rId324" Type="http://schemas.openxmlformats.org/officeDocument/2006/relationships/hyperlink" Target="http://epss.vba.va.gov/rvsr_assistant/RVSR_Effective_Dates/index.html" TargetMode="External"/><Relationship Id="rId531" Type="http://schemas.openxmlformats.org/officeDocument/2006/relationships/hyperlink" Target="https://vaww.vrm.km.va.gov/system/templates/selfservice/va_kanew/help/agent/locale/en-US/portal/554400000001034/topic/554400000016073/Policy-Letters-2018?articleViewContext=browse_topic_change_topic" TargetMode="External"/><Relationship Id="rId629" Type="http://schemas.openxmlformats.org/officeDocument/2006/relationships/image" Target="media/image109.png"/><Relationship Id="rId170" Type="http://schemas.openxmlformats.org/officeDocument/2006/relationships/image" Target="cid:image008.png@01D2C4DE.E0928C10" TargetMode="External"/><Relationship Id="rId268" Type="http://schemas.openxmlformats.org/officeDocument/2006/relationships/image" Target="media/image34.png"/><Relationship Id="rId475" Type="http://schemas.openxmlformats.org/officeDocument/2006/relationships/hyperlink" Target="http://vbaw.vba.va.gov/bl/21/star/calls/agenda/fy2015/Quality_Call_Notes_100815.docx" TargetMode="External"/><Relationship Id="rId682" Type="http://schemas.openxmlformats.org/officeDocument/2006/relationships/hyperlink" Target="http://thomas.loc.gov/cgi-bin/bdquery/L?d112:./list/bd/d112pl.lst:151%5b1-207%5d(Public_Laws)|TOM:/bss/d112query.html|" TargetMode="External"/><Relationship Id="rId32" Type="http://schemas.openxmlformats.org/officeDocument/2006/relationships/hyperlink" Target="http://epss.vba.va.gov/br_jobaids/" TargetMode="External"/><Relationship Id="rId128" Type="http://schemas.openxmlformats.org/officeDocument/2006/relationships/hyperlink" Target="http://www.benefits.va.gov/vocrehab" TargetMode="External"/><Relationship Id="rId335" Type="http://schemas.openxmlformats.org/officeDocument/2006/relationships/hyperlink" Target="http://www.ecfr.gov/cgi-bin/retrieveECFR?gp=&amp;SID=a89bbbfed89969856b699368523f31a1&amp;mc=true&amp;n=pt38.1.4&amp;r=PART&amp;ty=HTML" TargetMode="External"/><Relationship Id="rId542" Type="http://schemas.openxmlformats.org/officeDocument/2006/relationships/hyperlink" Target="http://vbaw.vba.va.gov/bl/21/star/calls/agenda/FY2017/quality_call_notes_030817.doc" TargetMode="External"/><Relationship Id="rId181" Type="http://schemas.openxmlformats.org/officeDocument/2006/relationships/hyperlink" Target="https://www.ecfr.gov/cgi-bin/text-idx?SID=ad275643432556b9dda942343fb89296&amp;mc=true&amp;node=pt38.1.3&amp;rgn=div58" TargetMode="External"/><Relationship Id="rId402" Type="http://schemas.openxmlformats.org/officeDocument/2006/relationships/hyperlink" Target="file:///\\vbasdcfpc2\SHARED\VSC\Development%20&amp;%20Rating%20Resources\Individual%20Quality%20Reviews\FY13" TargetMode="External"/><Relationship Id="rId279" Type="http://schemas.openxmlformats.org/officeDocument/2006/relationships/hyperlink" Target="http://vbaw.vba.va.gov/bl/21/star/calls/agenda/FY2016/quality_call_notes_030916.doc" TargetMode="External"/><Relationship Id="rId444" Type="http://schemas.openxmlformats.org/officeDocument/2006/relationships/image" Target="media/image51.png"/><Relationship Id="rId486" Type="http://schemas.openxmlformats.org/officeDocument/2006/relationships/hyperlink" Target="http://www.uscourts.cavc.gov/documents/CorreiaJW_13-3238.pdf" TargetMode="External"/><Relationship Id="rId651" Type="http://schemas.openxmlformats.org/officeDocument/2006/relationships/hyperlink" Target="http://vbaw.vba.va.gov/bl/21/star/calls/agenda/fy2014/Rating_Quality_Call_Notes_052114.docx" TargetMode="External"/><Relationship Id="rId693" Type="http://schemas.openxmlformats.org/officeDocument/2006/relationships/image" Target="media/image117.png"/><Relationship Id="rId707" Type="http://schemas.openxmlformats.org/officeDocument/2006/relationships/hyperlink" Target="http://vbacodmoint1.vba.va.gov/bl/21/dbq/docs/DBQcall/Mtg_Minutes_Weekly_DBQ_RO_Call_(2014-12-19).docx" TargetMode="External"/><Relationship Id="rId749" Type="http://schemas.openxmlformats.org/officeDocument/2006/relationships/hyperlink" Target="http://vbaw.vba.va.gov/bl/21/star/calls/agenda/FY2017/quality_call_notes_030817.doc" TargetMode="External"/><Relationship Id="rId43" Type="http://schemas.openxmlformats.org/officeDocument/2006/relationships/hyperlink" Target="http://vbaw.vba.va.gov/bl/21/star/calls/agenda/FY2018/quality_call_notes_1217.docx" TargetMode="External"/><Relationship Id="rId139" Type="http://schemas.openxmlformats.org/officeDocument/2006/relationships/hyperlink" Target="http://explore.va.gov/disability-compensation" TargetMode="External"/><Relationship Id="rId290" Type="http://schemas.openxmlformats.org/officeDocument/2006/relationships/hyperlink" Target="https://www.law.cornell.edu/cfr/text/38/21.3021" TargetMode="External"/><Relationship Id="rId304" Type="http://schemas.openxmlformats.org/officeDocument/2006/relationships/hyperlink" Target="https://www.law.cornell.edu/uscode/text/38/7332" TargetMode="External"/><Relationship Id="rId346" Type="http://schemas.openxmlformats.org/officeDocument/2006/relationships/hyperlink" Target="http://www.ecfr.gov/cgi-bin/text-idx?SID=f3f0629c5ed1a16ae761cb20ffe9dded&amp;mc=true&amp;node=se38.1.3_112&amp;rgn=div8" TargetMode="External"/><Relationship Id="rId388" Type="http://schemas.openxmlformats.org/officeDocument/2006/relationships/hyperlink" Target="https://www.vapulse.net/message/115260" TargetMode="External"/><Relationship Id="rId511" Type="http://schemas.openxmlformats.org/officeDocument/2006/relationships/hyperlink" Target="http://www.gpo.gov/fdsys/pkg/CFR-2003-title38-vol1/pdf/CFR-2003-title38-vol1-part4.pdf" TargetMode="External"/><Relationship Id="rId553" Type="http://schemas.openxmlformats.org/officeDocument/2006/relationships/image" Target="media/image85.png"/><Relationship Id="rId609" Type="http://schemas.openxmlformats.org/officeDocument/2006/relationships/hyperlink" Target="http://vbaw.vba.va.gov/bl/21/star/calls/agenda/FY2016/quality_call_notes_030916.doc" TargetMode="External"/><Relationship Id="rId760" Type="http://schemas.openxmlformats.org/officeDocument/2006/relationships/hyperlink" Target="http://vbaw.vba.va.gov/VBMS/docs/VBMS_Partial_Rating_with_Deferral_for_Exam_Clarification_Request_JobAid_20160720.pdf" TargetMode="External"/><Relationship Id="rId85" Type="http://schemas.openxmlformats.org/officeDocument/2006/relationships/hyperlink" Target="http://vbacodmoint1.vba.va.gov/bl/21/dbq/DBQcall.asp" TargetMode="External"/><Relationship Id="rId150" Type="http://schemas.openxmlformats.org/officeDocument/2006/relationships/image" Target="media/image8.jpeg"/><Relationship Id="rId192" Type="http://schemas.openxmlformats.org/officeDocument/2006/relationships/hyperlink" Target="https://vapulse.net/thread/3436" TargetMode="External"/><Relationship Id="rId206" Type="http://schemas.openxmlformats.org/officeDocument/2006/relationships/hyperlink" Target="file:///\\vbasdcfpc2.vba.va.gov\shared\VSC\2nd&amp;3rd%20Signature\1%20-%20SUBMISSION%20TO%20QRT" TargetMode="External"/><Relationship Id="rId413" Type="http://schemas.openxmlformats.org/officeDocument/2006/relationships/hyperlink" Target="http://www.publichealth.va.gov/exposures/agentorange/" TargetMode="External"/><Relationship Id="rId595" Type="http://schemas.openxmlformats.org/officeDocument/2006/relationships/hyperlink" Target="http://vbaw.vba.va.gov/bl/21/star/calls/agenda/fy2015/Quality_Call_Notes_070815.doc" TargetMode="External"/><Relationship Id="rId248" Type="http://schemas.openxmlformats.org/officeDocument/2006/relationships/hyperlink" Target="https://www.vbms.vba.va.gov/rating/webapp/secure/file/work" TargetMode="External"/><Relationship Id="rId455" Type="http://schemas.openxmlformats.org/officeDocument/2006/relationships/image" Target="media/image62.png"/><Relationship Id="rId497" Type="http://schemas.openxmlformats.org/officeDocument/2006/relationships/hyperlink" Target="http://vbaw.vba.va.gov/bl/21/star/calls/agenda/fy2015/Quality_Call_Notes_081215.doc" TargetMode="External"/><Relationship Id="rId620" Type="http://schemas.openxmlformats.org/officeDocument/2006/relationships/footer" Target="footer5.xml"/><Relationship Id="rId662" Type="http://schemas.openxmlformats.org/officeDocument/2006/relationships/hyperlink" Target="https://www.ecfr.gov/cgi-bin/text-idx?SID=4ea7cea61b9e1f34f9ca04d21734d7e6&amp;mc=true&amp;node=se38.1.3_1327&amp;rgn=div8" TargetMode="External"/><Relationship Id="rId718" Type="http://schemas.openxmlformats.org/officeDocument/2006/relationships/hyperlink" Target="https://vaww.compensation.pension.km.va.gov/system/templates/selfservice/va_ka/" TargetMode="External"/><Relationship Id="rId12" Type="http://schemas.openxmlformats.org/officeDocument/2006/relationships/hyperlink" Target="http://www.ecfr.gov/cgi-bin/retrieveECFR?gp=&amp;SID=a89bbbfed89969856b699368523f31a1&amp;mc=true&amp;n=pt38.1.4&amp;r=PART&amp;ty=HTML" TargetMode="External"/><Relationship Id="rId108" Type="http://schemas.openxmlformats.org/officeDocument/2006/relationships/hyperlink" Target="http://www.va.gov/landing2_locations.htm" TargetMode="External"/><Relationship Id="rId315" Type="http://schemas.openxmlformats.org/officeDocument/2006/relationships/hyperlink" Target="https://vaww.vrm.km.va.gov/system/templates/selfservice/va_kanew/help/agent/locale/en-US/portal/554400000001034/content/554400000014077/M21-1,-Part-I,-Chapter-3,-Section-B---A-Representative&#8217;s-Right-to-Notification-and-Review-of-Records" TargetMode="External"/><Relationship Id="rId357" Type="http://schemas.openxmlformats.org/officeDocument/2006/relationships/hyperlink" Target="http://vbacodmoint1.vba.va.gov/bl/21/DBQ/DBQByDisab.asp" TargetMode="External"/><Relationship Id="rId522" Type="http://schemas.openxmlformats.org/officeDocument/2006/relationships/hyperlink" Target="http://www.vba.va.gov/pubs/forms/VBA-21-0960M-6-ARE.pdf" TargetMode="External"/><Relationship Id="rId54" Type="http://schemas.openxmlformats.org/officeDocument/2006/relationships/hyperlink" Target="https://tableau.vba.va.gov/views/EmployeePerformanceReport/AbouttheEPR?:embed=y&amp;:display_count=no&amp;:showShareOptions=true&amp;:showVizHome=no" TargetMode="External"/><Relationship Id="rId96" Type="http://schemas.openxmlformats.org/officeDocument/2006/relationships/hyperlink" Target="file:///\\vbasdcprt01" TargetMode="External"/><Relationship Id="rId161" Type="http://schemas.openxmlformats.org/officeDocument/2006/relationships/image" Target="media/image15.png"/><Relationship Id="rId217" Type="http://schemas.openxmlformats.org/officeDocument/2006/relationships/hyperlink" Target="http://vbaw.vba.va.gov/bl/21/star/calls/agenda/fy2015/Rating_Quality_Call_Notes_012115.doc" TargetMode="External"/><Relationship Id="rId399" Type="http://schemas.openxmlformats.org/officeDocument/2006/relationships/hyperlink" Target="http://vbaw.vba.va.gov/bl/21/advisory/CAVC/2013dec/FedCirc/Walker.pdf" TargetMode="External"/><Relationship Id="rId564" Type="http://schemas.openxmlformats.org/officeDocument/2006/relationships/image" Target="media/image95.png"/><Relationship Id="rId771" Type="http://schemas.openxmlformats.org/officeDocument/2006/relationships/hyperlink" Target="https://vaww.vba.esp.va.gov/sites/OFOPlaybooks/Shared%20Documents/NWQ_phase_1and2_playbook.pdf" TargetMode="External"/><Relationship Id="rId259" Type="http://schemas.openxmlformats.org/officeDocument/2006/relationships/image" Target="cid:image001.png@01D326F6.267EA280" TargetMode="External"/><Relationship Id="rId424" Type="http://schemas.openxmlformats.org/officeDocument/2006/relationships/hyperlink" Target="http://vbaw.vba.va.gov/bl/21/rating/docs/Nehmer%20Training%20Guide.doc" TargetMode="External"/><Relationship Id="rId466" Type="http://schemas.openxmlformats.org/officeDocument/2006/relationships/hyperlink" Target="https://vaww.compensation.pension.km.va.gov/system/templates/selfservice/va_ka/portal.html?encodedHash=%23!agent%2Fportal%2F554400000001034%2Farticle%2F554400000014557%2FM21-1-Part-IV-Subpart-ii-Chapter-2-Section-D-Service-Connection-SC-for-Qualifying-Disabilities-Associated-with-Service-in-Southwest-Asia" TargetMode="External"/><Relationship Id="rId631" Type="http://schemas.openxmlformats.org/officeDocument/2006/relationships/hyperlink" Target="http://vbaw.vba.va.gov/bl/21/rating/rat06.htm" TargetMode="External"/><Relationship Id="rId673" Type="http://schemas.openxmlformats.org/officeDocument/2006/relationships/hyperlink" Target="http://www.theworknumber.com/socialservices" TargetMode="External"/><Relationship Id="rId729" Type="http://schemas.openxmlformats.org/officeDocument/2006/relationships/hyperlink" Target="https://vaww.compensation.pension.km.va.gov/system/templates/selfservice/va_ka/" TargetMode="External"/><Relationship Id="rId23" Type="http://schemas.openxmlformats.org/officeDocument/2006/relationships/hyperlink" Target="http://vbacodmoint1.vba.va.gov/bl/21/SOJ/default.asp" TargetMode="External"/><Relationship Id="rId119" Type="http://schemas.openxmlformats.org/officeDocument/2006/relationships/hyperlink" Target="http://www.cem.va.gov" TargetMode="External"/><Relationship Id="rId270" Type="http://schemas.openxmlformats.org/officeDocument/2006/relationships/hyperlink" Target="https://www.vbms.vba.va.gov/rating/webapp/secure/file/work" TargetMode="External"/><Relationship Id="rId326" Type="http://schemas.openxmlformats.org/officeDocument/2006/relationships/hyperlink" Target="http://cptraining.vba.va.gov/C&amp;P_Training/RVSR/rvsr_man.htm" TargetMode="External"/><Relationship Id="rId533" Type="http://schemas.openxmlformats.org/officeDocument/2006/relationships/hyperlink" Target="https://vaww.vrm.km.va.gov/system/templates/selfservice/va_kanew/help/agent/locale/en-US/portal/554400000001034/content/554400000085439/Policy%20Letter%2018-01" TargetMode="External"/><Relationship Id="rId65" Type="http://schemas.openxmlformats.org/officeDocument/2006/relationships/hyperlink" Target="mailto:ITSC@va.gov" TargetMode="External"/><Relationship Id="rId130" Type="http://schemas.openxmlformats.org/officeDocument/2006/relationships/hyperlink" Target="http://www.benefits.va.gov/gibill/" TargetMode="External"/><Relationship Id="rId368" Type="http://schemas.openxmlformats.org/officeDocument/2006/relationships/hyperlink" Target="http://www.ecfr.gov/cgi-bin/text-idx?SID=e2da3beb077befda21b986cc531ccda7&amp;mc=true&amp;node=se38.1.3_1303&amp;rgn=div8" TargetMode="External"/><Relationship Id="rId575" Type="http://schemas.openxmlformats.org/officeDocument/2006/relationships/hyperlink" Target="http://vbacodmoint1.vba.va.gov/bl/21/dbq/docs/DBQcall/Mtg_Minutes_Weekly_DBQ_RO_Call_(2012-06-29).doc" TargetMode="External"/><Relationship Id="rId740" Type="http://schemas.openxmlformats.org/officeDocument/2006/relationships/image" Target="media/image124.png"/><Relationship Id="rId782" Type="http://schemas.openxmlformats.org/officeDocument/2006/relationships/hyperlink" Target="http://vbaw.vba.va.gov/bl/21/contractexams/docs/Contract%20Exam%20Inquiry%20Protocol%20Job%20Aid.pdf" TargetMode="External"/><Relationship Id="rId172" Type="http://schemas.openxmlformats.org/officeDocument/2006/relationships/image" Target="cid:image001.png@01D2C963.EA3B5D30" TargetMode="External"/><Relationship Id="rId228" Type="http://schemas.openxmlformats.org/officeDocument/2006/relationships/hyperlink" Target="https://www.vbms.vba.va.gov/rating/webapp/secure/file/work" TargetMode="External"/><Relationship Id="rId435" Type="http://schemas.openxmlformats.org/officeDocument/2006/relationships/hyperlink" Target="mailto:erin.walsh@va.gov" TargetMode="External"/><Relationship Id="rId477" Type="http://schemas.openxmlformats.org/officeDocument/2006/relationships/hyperlink" Target="http://vbaw.vba.va.gov/bl/21/star/star_call.htm" TargetMode="External"/><Relationship Id="rId600" Type="http://schemas.openxmlformats.org/officeDocument/2006/relationships/hyperlink" Target="http://vbaw.vba.va.gov/bl/21/star/calls/agenda/FY2017/quality_call_notes_020817.doc" TargetMode="External"/><Relationship Id="rId642" Type="http://schemas.openxmlformats.org/officeDocument/2006/relationships/hyperlink" Target="https://vaww.compensation.pension.km.va.gov/system/templates/selfservice/va_ka/" TargetMode="External"/><Relationship Id="rId684" Type="http://schemas.openxmlformats.org/officeDocument/2006/relationships/hyperlink" Target="http://thomas.loc.gov/cgi-bin/bdquery/L?d112:./list/bd/d112pl.lst:151%5b1-207%5d(Public_Laws)|TOM:/bss/d112query.html|" TargetMode="External"/><Relationship Id="rId281" Type="http://schemas.openxmlformats.org/officeDocument/2006/relationships/image" Target="media/image36.png"/><Relationship Id="rId337" Type="http://schemas.openxmlformats.org/officeDocument/2006/relationships/hyperlink" Target="http://vbaw.vba.va.gov/bl/21/star/calls/agenda/fy2015/Rating_Quality_Call_Notes_101114.doc" TargetMode="External"/><Relationship Id="rId502" Type="http://schemas.openxmlformats.org/officeDocument/2006/relationships/image" Target="media/image72.png"/><Relationship Id="rId34" Type="http://schemas.openxmlformats.org/officeDocument/2006/relationships/hyperlink" Target="http://www.tms.va.gov/" TargetMode="External"/><Relationship Id="rId76" Type="http://schemas.openxmlformats.org/officeDocument/2006/relationships/image" Target="cid:image004.png@01D3E616.B24EBD10" TargetMode="External"/><Relationship Id="rId141" Type="http://schemas.openxmlformats.org/officeDocument/2006/relationships/hyperlink" Target="http://explore.va.gov/spouses-dependents-survivors" TargetMode="External"/><Relationship Id="rId379" Type="http://schemas.openxmlformats.org/officeDocument/2006/relationships/hyperlink" Target="https://www.law.cornell.edu/uscode/text/38/101" TargetMode="External"/><Relationship Id="rId544" Type="http://schemas.openxmlformats.org/officeDocument/2006/relationships/image" Target="cid:image001.jpg@01D2A2F5.905FF260" TargetMode="External"/><Relationship Id="rId586" Type="http://schemas.openxmlformats.org/officeDocument/2006/relationships/hyperlink" Target="http://vbaw.vba.va.gov/bl/21/Publicat/Regs/Part4/HISTORY/4_118(1).htm" TargetMode="External"/><Relationship Id="rId751" Type="http://schemas.openxmlformats.org/officeDocument/2006/relationships/hyperlink" Target="https://vaww.compensation.pension.km.va.gov/system/templates/selfservice/va_ka/portal.html?encodedHash=%23!agent%2Fportal%2F554400000001034%2Farticle%2F554400000015809%2FM21-1-Part-III-Subpart-iv-Chapter-3-Section-A-Examination-Requests-Overview" TargetMode="External"/><Relationship Id="rId793" Type="http://schemas.openxmlformats.org/officeDocument/2006/relationships/hyperlink" Target="mailto:itsc@va.gov" TargetMode="External"/><Relationship Id="rId7" Type="http://schemas.openxmlformats.org/officeDocument/2006/relationships/endnotes" Target="endnotes.xml"/><Relationship Id="rId183" Type="http://schemas.openxmlformats.org/officeDocument/2006/relationships/hyperlink" Target="https://vaww.vrm.km.va.gov/system/templates/selfservice/va_kanew/help/agent/locale/en-US/portal/554400000001034/content/554400000014588/M21-1-Part-IV-Subpart-ii-Chapter-3-Section-A-General-Authorization-and-Claimant-Notification-Issues" TargetMode="External"/><Relationship Id="rId239" Type="http://schemas.openxmlformats.org/officeDocument/2006/relationships/hyperlink" Target="https://www.vbms.vba.va.gov/rating/webapp/secure/file/work" TargetMode="External"/><Relationship Id="rId390" Type="http://schemas.openxmlformats.org/officeDocument/2006/relationships/hyperlink" Target="http://vbaw.vba.va.gov/bl/21/star/calls/agenda/FY2018/quality_call_notes_0118.docx" TargetMode="External"/><Relationship Id="rId404" Type="http://schemas.openxmlformats.org/officeDocument/2006/relationships/hyperlink" Target="http://vbaw.vba.va.gov/bl/21/star/calls/agenda/FY2016/quality_call_notes_080316.doc" TargetMode="External"/><Relationship Id="rId446" Type="http://schemas.openxmlformats.org/officeDocument/2006/relationships/image" Target="media/image53.png"/><Relationship Id="rId611" Type="http://schemas.openxmlformats.org/officeDocument/2006/relationships/hyperlink" Target="http://vbaw.vba.va.gov/bl/21/star/calls/agenda/FY2016/quality_call_notes_030916.doc" TargetMode="External"/><Relationship Id="rId653" Type="http://schemas.openxmlformats.org/officeDocument/2006/relationships/hyperlink" Target="https://www.manpower.usmc.mil/pls/apex/f?p=102:1:3777234332515950" TargetMode="External"/><Relationship Id="rId250" Type="http://schemas.openxmlformats.org/officeDocument/2006/relationships/hyperlink" Target="https://www.vbms.vba.va.gov/rating/webapp/secure/file/work" TargetMode="External"/><Relationship Id="rId292" Type="http://schemas.openxmlformats.org/officeDocument/2006/relationships/hyperlink" Target="http://vbaw.vba.va.gov/VBMS/docs/VBMS_Major_Release_7_0_Tips_and_Tricks_20140807_FINAL_v1.pdf" TargetMode="External"/><Relationship Id="rId306" Type="http://schemas.openxmlformats.org/officeDocument/2006/relationships/hyperlink" Target="https://vaww.vrm.km.va.gov/system/templates/selfservice/va_kanew/help/agent/locale/en-US/portal/554400000001034/content/554400000014125/M21-1-Part-III-Subpart-ii-Chapter-3-Section-C-System-Updates" TargetMode="External"/><Relationship Id="rId488" Type="http://schemas.openxmlformats.org/officeDocument/2006/relationships/hyperlink" Target="http://vbaw.vba.va.gov/bl/21/star/calls/agenda/FY2018/quality_call_notes_0418.docx" TargetMode="External"/><Relationship Id="rId695" Type="http://schemas.openxmlformats.org/officeDocument/2006/relationships/image" Target="media/image119.png"/><Relationship Id="rId709" Type="http://schemas.openxmlformats.org/officeDocument/2006/relationships/hyperlink" Target="http://cptraining.vba.va.gov/C&amp;P_Training/RVSR/RVSR_Curriculum/SG/Dental-SG.doc" TargetMode="External"/><Relationship Id="rId45" Type="http://schemas.openxmlformats.org/officeDocument/2006/relationships/hyperlink" Target="http://www.timeanddate.com/date/dateadd.html" TargetMode="External"/><Relationship Id="rId87" Type="http://schemas.openxmlformats.org/officeDocument/2006/relationships/hyperlink" Target="http://vbaw.vba.va.gov/bl/21/star/star_call.htm" TargetMode="External"/><Relationship Id="rId110" Type="http://schemas.openxmlformats.org/officeDocument/2006/relationships/hyperlink" Target="http://www.womenshealth.va.gov" TargetMode="External"/><Relationship Id="rId348" Type="http://schemas.openxmlformats.org/officeDocument/2006/relationships/hyperlink" Target="http://vbaw.vba.va.gov/bl/21/star/calls/agenda/FY2018/quality_call_notes_1217.docx" TargetMode="External"/><Relationship Id="rId513" Type="http://schemas.openxmlformats.org/officeDocument/2006/relationships/hyperlink" Target="http://vbaw.vba.va.gov/bl/21/star/calls/agenda/fy2015/Quality_Call_Notes_081215.doc" TargetMode="External"/><Relationship Id="rId555" Type="http://schemas.openxmlformats.org/officeDocument/2006/relationships/image" Target="media/image87.png"/><Relationship Id="rId597" Type="http://schemas.openxmlformats.org/officeDocument/2006/relationships/hyperlink" Target="http://vbaw.vba.va.gov/bl/21/star/calls/agenda/FY2016/quality_call_notes_042016.doc" TargetMode="External"/><Relationship Id="rId720" Type="http://schemas.openxmlformats.org/officeDocument/2006/relationships/hyperlink" Target="https://vaww.compensation.pension.km.va.gov/system/templates/selfservice/va_ka/" TargetMode="External"/><Relationship Id="rId762" Type="http://schemas.openxmlformats.org/officeDocument/2006/relationships/image" Target="media/image127.png"/><Relationship Id="rId152" Type="http://schemas.openxmlformats.org/officeDocument/2006/relationships/image" Target="media/image9.png"/><Relationship Id="rId194" Type="http://schemas.openxmlformats.org/officeDocument/2006/relationships/hyperlink" Target="http://vbaw.vba.va.gov/bl/21/star/calls/agenda/FY2016/quality_call_notes_030916.doc" TargetMode="External"/><Relationship Id="rId208" Type="http://schemas.openxmlformats.org/officeDocument/2006/relationships/hyperlink" Target="http://uscode.house.gov/uscode-cgi/fastweb.exe?getdoc+uscview+t37t40+998+0++%28%29%20%20AND%20%28%2838%29%20ADJ%20USC%29%3ACITE%20AND%20%28USC%20w%2F10%20%285109%29%29%3ACITE%20%20%20%20%20%20%20%20%20" TargetMode="External"/><Relationship Id="rId415" Type="http://schemas.openxmlformats.org/officeDocument/2006/relationships/hyperlink" Target="http://vbaw.vba.va.gov/bl/21/star/calls/agenda/FY2017/quality_call_notes_041217.doc" TargetMode="External"/><Relationship Id="rId457" Type="http://schemas.openxmlformats.org/officeDocument/2006/relationships/image" Target="media/image64.png"/><Relationship Id="rId622" Type="http://schemas.openxmlformats.org/officeDocument/2006/relationships/hyperlink" Target="http://vbaw.vba.va.gov/bl/21/Rating/rat00.htm" TargetMode="External"/><Relationship Id="rId261" Type="http://schemas.openxmlformats.org/officeDocument/2006/relationships/image" Target="media/image27.png"/><Relationship Id="rId499" Type="http://schemas.openxmlformats.org/officeDocument/2006/relationships/hyperlink" Target="http://vbaw.vba.va.gov/bl/21/Publicat/Regs/Part4/HISTORY/4_71a(1).htm" TargetMode="External"/><Relationship Id="rId664" Type="http://schemas.openxmlformats.org/officeDocument/2006/relationships/hyperlink" Target="https://vaww.compensation.pension.km.va.gov/system/templates/selfservice/va_ka/" TargetMode="External"/><Relationship Id="rId14" Type="http://schemas.openxmlformats.org/officeDocument/2006/relationships/hyperlink" Target="http://vbaw.vba.va.gov/bl/21/index.htm" TargetMode="External"/><Relationship Id="rId56" Type="http://schemas.openxmlformats.org/officeDocument/2006/relationships/hyperlink" Target="mailto:ITSC@va.gov" TargetMode="External"/><Relationship Id="rId317" Type="http://schemas.openxmlformats.org/officeDocument/2006/relationships/hyperlink" Target="https://citrixaccess.va.gov" TargetMode="External"/><Relationship Id="rId359" Type="http://schemas.openxmlformats.org/officeDocument/2006/relationships/hyperlink" Target="http://vbaw.vba.va.gov/bl/21/star/calls/agenda/fy2015/Rating_Quality_Call_Notes_101114.doc" TargetMode="External"/><Relationship Id="rId524" Type="http://schemas.openxmlformats.org/officeDocument/2006/relationships/hyperlink" Target="http://vbaw.vba.va.gov/bl/21/star/calls/agenda/fy2015/Quality_Call_Notes_061515.docx" TargetMode="External"/><Relationship Id="rId566" Type="http://schemas.openxmlformats.org/officeDocument/2006/relationships/image" Target="media/image97.png"/><Relationship Id="rId731" Type="http://schemas.openxmlformats.org/officeDocument/2006/relationships/hyperlink" Target="https://www.vapulse.net/message/78380%20&amp;%20IV.ii.1.D.4.a" TargetMode="External"/><Relationship Id="rId773" Type="http://schemas.openxmlformats.org/officeDocument/2006/relationships/hyperlink" Target="http://vbacodmoint1.vba.va.gov/bl/21/DEMO/ZIP/default.asp" TargetMode="External"/><Relationship Id="rId98" Type="http://schemas.openxmlformats.org/officeDocument/2006/relationships/hyperlink" Target="mailto:hrm.vbasdc@va.gov" TargetMode="External"/><Relationship Id="rId121" Type="http://schemas.openxmlformats.org/officeDocument/2006/relationships/hyperlink" Target="http://www.benefits.va.gov/benefits" TargetMode="External"/><Relationship Id="rId163" Type="http://schemas.openxmlformats.org/officeDocument/2006/relationships/image" Target="media/image16.png"/><Relationship Id="rId219" Type="http://schemas.openxmlformats.org/officeDocument/2006/relationships/hyperlink" Target="https://www.vbms.vba.va.gov/rating/webapp/secure/file/work" TargetMode="External"/><Relationship Id="rId370" Type="http://schemas.openxmlformats.org/officeDocument/2006/relationships/hyperlink" Target="http://www.va.gov/ogc/docs/1990/PREC_1-90.doc" TargetMode="External"/><Relationship Id="rId426" Type="http://schemas.openxmlformats.org/officeDocument/2006/relationships/hyperlink" Target="http://vbacodmoint1.vba.va.gov/bl/21/dbq/docs/DBQcall/Mtg_Minutes_Weekly_DBQ_RO_Call_(2015-01-16).docx" TargetMode="External"/><Relationship Id="rId633" Type="http://schemas.openxmlformats.org/officeDocument/2006/relationships/hyperlink" Target="http://www.benefits.va.gov/WARMS/docs/admin21/m21_1/mr/part3/subptiv/ch04/M21-1MRIII_iv_4_SecH.doc" TargetMode="External"/><Relationship Id="rId230" Type="http://schemas.openxmlformats.org/officeDocument/2006/relationships/hyperlink" Target="https://www.vbms.vba.va.gov/rating/webapp/secure/file/work" TargetMode="External"/><Relationship Id="rId468" Type="http://schemas.openxmlformats.org/officeDocument/2006/relationships/hyperlink" Target="http://www.cancer.gov/Common/PopUps/popDefinition.aspx?id=45849&amp;version=Patient&amp;language=English" TargetMode="External"/><Relationship Id="rId675" Type="http://schemas.openxmlformats.org/officeDocument/2006/relationships/hyperlink" Target="http://vbacodmoint1.vba.va.gov/bl/21/Transformation/docs/adl%20sop.docx" TargetMode="External"/><Relationship Id="rId25" Type="http://schemas.openxmlformats.org/officeDocument/2006/relationships/hyperlink" Target="http://vbaw.vba.va.gov/bl/21/Advisory/PGCOP.htm" TargetMode="External"/><Relationship Id="rId67" Type="http://schemas.openxmlformats.org/officeDocument/2006/relationships/hyperlink" Target="https://vaww.oit.va.gov/oit/itops/so/eso/ispaw/" TargetMode="External"/><Relationship Id="rId272" Type="http://schemas.openxmlformats.org/officeDocument/2006/relationships/hyperlink" Target="https://www.vbms.vba.va.gov/rating/webapp/secure/file/work" TargetMode="External"/><Relationship Id="rId328" Type="http://schemas.openxmlformats.org/officeDocument/2006/relationships/hyperlink" Target="http://vbaw.vba.va.gov/bl/21/star/calls/agenda/fy2015/Quality_Call_Notes_100815.docx" TargetMode="External"/><Relationship Id="rId535" Type="http://schemas.openxmlformats.org/officeDocument/2006/relationships/hyperlink" Target="http://vbacodmoint1.vba.va.gov/bl/21/calendar/cal_Week.asp" TargetMode="External"/><Relationship Id="rId577" Type="http://schemas.openxmlformats.org/officeDocument/2006/relationships/hyperlink" Target="http://vbaw.vba.va.gov/bl/21/star/calls/agenda/FY2017/quality_call_notes_041217.doc" TargetMode="External"/><Relationship Id="rId700" Type="http://schemas.openxmlformats.org/officeDocument/2006/relationships/hyperlink" Target="http://vbaw.vba.va.gov/bl/21/publicat/Manuals/Part1/appa.htm" TargetMode="External"/><Relationship Id="rId742" Type="http://schemas.openxmlformats.org/officeDocument/2006/relationships/hyperlink" Target="https://www.ttande.org/VBA_Learning_Catalog/Comp_Svc/Add_Ref/3814935_QA.doc" TargetMode="External"/><Relationship Id="rId132" Type="http://schemas.openxmlformats.org/officeDocument/2006/relationships/hyperlink" Target="https://www.vets.gov/gi-bill-comparison-tool" TargetMode="External"/><Relationship Id="rId174" Type="http://schemas.openxmlformats.org/officeDocument/2006/relationships/hyperlink" Target="http://vbaw.vba.va.gov/VBMS/docs/VBMS_Job_Aid_Clear_Browser_Cache_20131001.pdf" TargetMode="External"/><Relationship Id="rId381" Type="http://schemas.openxmlformats.org/officeDocument/2006/relationships/hyperlink" Target="http://vbaw.vba.va.gov/bl/21/star/calls/agenda/FY2016/quality_call_notes_060816.doc" TargetMode="External"/><Relationship Id="rId602" Type="http://schemas.openxmlformats.org/officeDocument/2006/relationships/image" Target="media/image103.png"/><Relationship Id="rId784" Type="http://schemas.openxmlformats.org/officeDocument/2006/relationships/hyperlink" Target="https://www.vapulse.net/docs/DOC-48522" TargetMode="External"/><Relationship Id="rId241" Type="http://schemas.openxmlformats.org/officeDocument/2006/relationships/hyperlink" Target="http://www.blogs.va.gov/VAntage/17608/individual-unemployability-understanding-basics/" TargetMode="External"/><Relationship Id="rId437" Type="http://schemas.openxmlformats.org/officeDocument/2006/relationships/image" Target="media/image44.png"/><Relationship Id="rId479" Type="http://schemas.openxmlformats.org/officeDocument/2006/relationships/hyperlink" Target="http://vbaw.vba.va.gov/bl/21/star/calls/agenda/fy2014/Rating_Quality_Call_Notes_040914.docx" TargetMode="External"/><Relationship Id="rId644" Type="http://schemas.openxmlformats.org/officeDocument/2006/relationships/hyperlink" Target="http://www.lionessthefilm.com/" TargetMode="External"/><Relationship Id="rId686" Type="http://schemas.openxmlformats.org/officeDocument/2006/relationships/hyperlink" Target="file:///\\vbasdcnss1\Instructor%20Folder\DRO%20&amp;%20RVSR%20References%20and%20Resources%20Tool" TargetMode="External"/><Relationship Id="rId36" Type="http://schemas.openxmlformats.org/officeDocument/2006/relationships/hyperlink" Target="mailto:dir.vbasdc@va.gov" TargetMode="External"/><Relationship Id="rId283" Type="http://schemas.openxmlformats.org/officeDocument/2006/relationships/hyperlink" Target="http://vbaw.vba.va.gov/bl/21/star/calls/agenda/fy2015/Rating_Quality_Call_Notes_101114.doc" TargetMode="External"/><Relationship Id="rId339" Type="http://schemas.openxmlformats.org/officeDocument/2006/relationships/hyperlink" Target="http://vbaw.vba.va.gov/bl/21/star/calls/agenda/fy2015/Rating_Quality_Call_Notes_012115.doc" TargetMode="External"/><Relationship Id="rId490" Type="http://schemas.openxmlformats.org/officeDocument/2006/relationships/hyperlink" Target="http://vbaw.vba.va.gov/bl/21/star/calls/agenda/FY2017/quality_call_notes_071217.doc" TargetMode="External"/><Relationship Id="rId504" Type="http://schemas.openxmlformats.org/officeDocument/2006/relationships/image" Target="media/image74.png"/><Relationship Id="rId546" Type="http://schemas.openxmlformats.org/officeDocument/2006/relationships/hyperlink" Target="http://www.ecfr.gov/cgi-bin/text-idx?SID=d68d6d4cf7b212b952b5516690048e07&amp;mc=true&amp;node=se38.1.4_187&amp;rgn=div8" TargetMode="External"/><Relationship Id="rId711" Type="http://schemas.openxmlformats.org/officeDocument/2006/relationships/hyperlink" Target="http://en.wikipedia.org/wiki/Mandible" TargetMode="External"/><Relationship Id="rId753" Type="http://schemas.openxmlformats.org/officeDocument/2006/relationships/hyperlink" Target="file:///\\vbasdcfpc2\shared\VSC\Training\NTC%20Class%20Material\Waters-Walker%20PPT" TargetMode="External"/><Relationship Id="rId78" Type="http://schemas.openxmlformats.org/officeDocument/2006/relationships/hyperlink" Target="https://mypay.dfas.mil/mypay.aspx?FLPS=LES~DCPS" TargetMode="External"/><Relationship Id="rId101" Type="http://schemas.openxmlformats.org/officeDocument/2006/relationships/hyperlink" Target="https://citrixaccess.va.gov" TargetMode="External"/><Relationship Id="rId143" Type="http://schemas.openxmlformats.org/officeDocument/2006/relationships/hyperlink" Target="http://www.bva.gov/docs/Pamphlets/How-Do-I-Appeal-Booklet-508Compliance.pdf" TargetMode="External"/><Relationship Id="rId185" Type="http://schemas.openxmlformats.org/officeDocument/2006/relationships/hyperlink" Target="https://vaww.compensation.pension.km.va.gov/system/templates/selfservice/va_ka/portal.html?encodedHash=%23!agent%2Fportal%2F554400000001034%2Farticle%2F554400000014115%2FM21-1-Part-III-Subpart-ii-Chapter-2-Section-C-Informal-Claims-Received-Prior-to-March-24-2015-Communication-of-an-Intent-to-File-ITF-and-Requests-for-Application" TargetMode="External"/><Relationship Id="rId350" Type="http://schemas.openxmlformats.org/officeDocument/2006/relationships/hyperlink" Target="http://vbaw.vba.va.gov/usb/letters/2013/VBA-Letter-20-13-07.doc" TargetMode="External"/><Relationship Id="rId406" Type="http://schemas.openxmlformats.org/officeDocument/2006/relationships/hyperlink" Target="http://vbaw.vba.va.gov/bl/21/calendar/Agenda/FY13/1013.docx" TargetMode="External"/><Relationship Id="rId588" Type="http://schemas.openxmlformats.org/officeDocument/2006/relationships/hyperlink" Target="file:///\\vbasdcfpc2\SHARED\VSC\Development%20&amp;%20Rating%20Resources\QRT%20Bulletin" TargetMode="External"/><Relationship Id="rId795" Type="http://schemas.openxmlformats.org/officeDocument/2006/relationships/hyperlink" Target="https://vaww.compensation.pension.km.va.gov/system/templates/selfservice/va_ka/portal.html?encodedHash=%23!agent%2Fportal%2F554400000001034%2Farticle%2F554400000015809%2FM21-1-Part-III-Subpart-iv-Chapter-3-Section-A-Examination-Requests-Overview" TargetMode="External"/><Relationship Id="rId9" Type="http://schemas.openxmlformats.org/officeDocument/2006/relationships/footer" Target="footer1.xml"/><Relationship Id="rId210" Type="http://schemas.openxmlformats.org/officeDocument/2006/relationships/hyperlink" Target="http://vbaw.vba.va.gov/bl/21/star/calls/agenda/fy2015/Rating_Quality_Call_Notes_101114.doc" TargetMode="External"/><Relationship Id="rId392" Type="http://schemas.openxmlformats.org/officeDocument/2006/relationships/hyperlink" Target="http://vbaw.vba.va.gov/bl/21/star/calls/agenda/FY2018/quality_call_notes_0218.docx" TargetMode="External"/><Relationship Id="rId448" Type="http://schemas.openxmlformats.org/officeDocument/2006/relationships/image" Target="media/image55.png"/><Relationship Id="rId613" Type="http://schemas.openxmlformats.org/officeDocument/2006/relationships/hyperlink" Target="https://www.gpo.gov/fdsys/pkg/FR-2017-11-02/pdf/2017-23044.pdf" TargetMode="External"/><Relationship Id="rId655" Type="http://schemas.openxmlformats.org/officeDocument/2006/relationships/hyperlink" Target="http://www.cs.amedd.army.mil/history/battles.html" TargetMode="External"/><Relationship Id="rId697" Type="http://schemas.openxmlformats.org/officeDocument/2006/relationships/hyperlink" Target="#Top"/><Relationship Id="rId252" Type="http://schemas.openxmlformats.org/officeDocument/2006/relationships/hyperlink" Target="https://www.vbms.vba.va.gov/rating/webapp/secure/file/work" TargetMode="External"/><Relationship Id="rId294" Type="http://schemas.openxmlformats.org/officeDocument/2006/relationships/hyperlink" Target="https://www.law.cornell.edu/uscode/text/38/7332" TargetMode="External"/><Relationship Id="rId308" Type="http://schemas.openxmlformats.org/officeDocument/2006/relationships/hyperlink" Target="https://vaww.vrm.km.va.gov/system/templates/selfservice/va_kanew/help/agent/locale/en-US/portal/554400000001034/content/554400000014125/M21-1-Part-III-Subpart-ii-Chapter-3-Section-C-System-Updates" TargetMode="External"/><Relationship Id="rId515" Type="http://schemas.openxmlformats.org/officeDocument/2006/relationships/hyperlink" Target="http://vbaw.vba.va.gov/bl/21/star/calls/agenda/fy2015/Quality_Call_Notes_081215.doc" TargetMode="External"/><Relationship Id="rId722" Type="http://schemas.openxmlformats.org/officeDocument/2006/relationships/hyperlink" Target="https://vaww.compensation.pension.km.va.gov/system/templates/selfservice/va_ka/" TargetMode="External"/><Relationship Id="rId47" Type="http://schemas.openxmlformats.org/officeDocument/2006/relationships/hyperlink" Target="https://jlv.med.va.gov/JLV_Claims" TargetMode="External"/><Relationship Id="rId89" Type="http://schemas.openxmlformats.org/officeDocument/2006/relationships/hyperlink" Target="http://vbaw.vba.va.gov/bl/21/data/quality/consis/consis_irrs.htm" TargetMode="External"/><Relationship Id="rId112" Type="http://schemas.openxmlformats.org/officeDocument/2006/relationships/hyperlink" Target="http://www.mentalhealth.va.gov" TargetMode="External"/><Relationship Id="rId154" Type="http://schemas.openxmlformats.org/officeDocument/2006/relationships/image" Target="media/image11.png"/><Relationship Id="rId361" Type="http://schemas.openxmlformats.org/officeDocument/2006/relationships/hyperlink" Target="file:///\\vbasdcfpc2\SHARED\VSC\Development%20&amp;%20Rating%20Resources\standard%20Quality%20Control%20Reviews" TargetMode="External"/><Relationship Id="rId557" Type="http://schemas.openxmlformats.org/officeDocument/2006/relationships/image" Target="media/image89.png"/><Relationship Id="rId599" Type="http://schemas.openxmlformats.org/officeDocument/2006/relationships/image" Target="media/image102.png"/><Relationship Id="rId764" Type="http://schemas.openxmlformats.org/officeDocument/2006/relationships/image" Target="media/image129.png"/><Relationship Id="rId196" Type="http://schemas.openxmlformats.org/officeDocument/2006/relationships/hyperlink" Target="http://vbaw.vba.va.gov/bl/21/star/calls/agenda/FY2016/quality_call_notes_080316.doc" TargetMode="External"/><Relationship Id="rId417" Type="http://schemas.openxmlformats.org/officeDocument/2006/relationships/hyperlink" Target="https://vbaw.vba.va.gov/VBMS/docs/Desktop/Job_Aids/VBMS_Initiating_and_Finalizing_Draft_Deferrals_Job_Aid_20170816_final.pdf" TargetMode="External"/><Relationship Id="rId459" Type="http://schemas.openxmlformats.org/officeDocument/2006/relationships/image" Target="media/image66.png"/><Relationship Id="rId624" Type="http://schemas.openxmlformats.org/officeDocument/2006/relationships/hyperlink" Target="http://www.benefits.va.gov/WARMS/docs/admin21/m21_1/mr/part3/subptiv/ch04/M21-1MRIII_iv_4_SecH.doc" TargetMode="External"/><Relationship Id="rId666" Type="http://schemas.openxmlformats.org/officeDocument/2006/relationships/hyperlink" Target="http://vbaw.vba.va.gov/bl/21/star/calls/agenda/FY2018/quality_call_notes_1117.docx" TargetMode="External"/><Relationship Id="rId16" Type="http://schemas.openxmlformats.org/officeDocument/2006/relationships/hyperlink" Target="https://vaww.compensation.pension.km.va.gov/" TargetMode="External"/><Relationship Id="rId221" Type="http://schemas.openxmlformats.org/officeDocument/2006/relationships/hyperlink" Target="https://www.vbms.vba.va.gov/rating/webapp/secure/file/work" TargetMode="External"/><Relationship Id="rId263" Type="http://schemas.openxmlformats.org/officeDocument/2006/relationships/image" Target="media/image29.png"/><Relationship Id="rId319" Type="http://schemas.openxmlformats.org/officeDocument/2006/relationships/hyperlink" Target="http://vbaw.vba.va.gov/bl/21/star/calls/agenda/FY2018/quality_call_notes_1217.docx" TargetMode="External"/><Relationship Id="rId470" Type="http://schemas.openxmlformats.org/officeDocument/2006/relationships/hyperlink" Target="file:///\\vbasdcfpc2\SHARED\VSC\Development%20&amp;%20Rating%20Resources\QRT%20Bulletin" TargetMode="External"/><Relationship Id="rId526" Type="http://schemas.openxmlformats.org/officeDocument/2006/relationships/hyperlink" Target="http://vbaw.vba.va.gov/bl/21/star/calls/agenda/FY2017/quality_call_notes_20170118.doc" TargetMode="External"/><Relationship Id="rId58" Type="http://schemas.openxmlformats.org/officeDocument/2006/relationships/hyperlink" Target="mailto:itsc@va.gov" TargetMode="External"/><Relationship Id="rId123" Type="http://schemas.openxmlformats.org/officeDocument/2006/relationships/hyperlink" Target="http://www.va.gov/opa/publications/benefits_book.asp" TargetMode="External"/><Relationship Id="rId330" Type="http://schemas.openxmlformats.org/officeDocument/2006/relationships/hyperlink" Target="http://vbaw.vba.va.gov/bl/21/star/calls/agenda/fy2015/Quality_Call_Notes_081215.doc" TargetMode="External"/><Relationship Id="rId568" Type="http://schemas.openxmlformats.org/officeDocument/2006/relationships/hyperlink" Target="http://vbaw.vba.va.gov/bl/21/Publicat/Regs/Part4/TUTORIAL/Cv_indx.htm" TargetMode="External"/><Relationship Id="rId733" Type="http://schemas.openxmlformats.org/officeDocument/2006/relationships/hyperlink" Target="https://www.vapulse.net/message/146532" TargetMode="External"/><Relationship Id="rId775" Type="http://schemas.openxmlformats.org/officeDocument/2006/relationships/hyperlink" Target="file:///C:\Users\VSCWREES\AppData\Roaming\Microsoft\Word\&#61656;%09http:\vbaw.vba.va.gov\bl\21\DEMO\docs\ERRA%202.0%20Job%20Aid%20August%202016.pdf" TargetMode="External"/><Relationship Id="rId165" Type="http://schemas.openxmlformats.org/officeDocument/2006/relationships/image" Target="media/image17.png"/><Relationship Id="rId372" Type="http://schemas.openxmlformats.org/officeDocument/2006/relationships/hyperlink" Target="http://vbaw.vba.va.gov/bl/21/star/calls/agenda/fy2015/Quality_Call_Notes_051315.doc" TargetMode="External"/><Relationship Id="rId428" Type="http://schemas.openxmlformats.org/officeDocument/2006/relationships/hyperlink" Target="http://vbacodmoint1.vba.va.gov/bl/21/dbq/default.asp" TargetMode="External"/><Relationship Id="rId635" Type="http://schemas.openxmlformats.org/officeDocument/2006/relationships/image" Target="media/image111.png"/><Relationship Id="rId677" Type="http://schemas.openxmlformats.org/officeDocument/2006/relationships/hyperlink" Target="http://www.census.gov/hhes/www/poverty/data/threshld/index.html" TargetMode="External"/><Relationship Id="rId800" Type="http://schemas.openxmlformats.org/officeDocument/2006/relationships/hyperlink" Target="http://vbaw.vba.va.gov/bl/21/contractexams/links.htm" TargetMode="External"/><Relationship Id="rId232" Type="http://schemas.openxmlformats.org/officeDocument/2006/relationships/hyperlink" Target="https://www.vbms.vba.va.gov/rating/webapp/secure/file/work" TargetMode="External"/><Relationship Id="rId274" Type="http://schemas.openxmlformats.org/officeDocument/2006/relationships/hyperlink" Target="http://vbacodmoint1.vba.va.gov/bl/21/dbq/docs/DBQcall/Mtg_Minutes_Weekly_DBQ_RO_Call_(2014-07-11).docx" TargetMode="External"/><Relationship Id="rId481" Type="http://schemas.openxmlformats.org/officeDocument/2006/relationships/hyperlink" Target="file:///\\vbasdcfpc2\SHARED\VSC\Development%20&amp;%20Rating%20Resources\standard%20Quality%20Control%20Reviews" TargetMode="External"/><Relationship Id="rId702" Type="http://schemas.openxmlformats.org/officeDocument/2006/relationships/hyperlink" Target="http://www.benefits.va.gov/WARMS/docs/admin21/m21_4/M21-4_AppendixB_7.24.2015.doc" TargetMode="External"/><Relationship Id="rId27" Type="http://schemas.openxmlformats.org/officeDocument/2006/relationships/hyperlink" Target="https://www.va.gov/vaforms/search_action.asp?FormNo=0958&amp;tkey=&amp;Action=Search" TargetMode="External"/><Relationship Id="rId69" Type="http://schemas.openxmlformats.org/officeDocument/2006/relationships/image" Target="media/image1.png"/><Relationship Id="rId134" Type="http://schemas.openxmlformats.org/officeDocument/2006/relationships/hyperlink" Target="http://explore.va.gov/pension" TargetMode="External"/><Relationship Id="rId537" Type="http://schemas.openxmlformats.org/officeDocument/2006/relationships/hyperlink" Target="http://vbaw.vba.va.gov/bl/21/rating/docs/dutymosnoise.xls" TargetMode="External"/><Relationship Id="rId579" Type="http://schemas.openxmlformats.org/officeDocument/2006/relationships/hyperlink" Target="https://www.ecfr.gov/cgi-bin/retrieveECFR?gp=&amp;SID=008c82fc28bc58cc2fef2a69f218e7a6&amp;mc=true&amp;n=sp38.1.4.b&amp;r=SUBPART&amp;ty=HTML" TargetMode="External"/><Relationship Id="rId744" Type="http://schemas.openxmlformats.org/officeDocument/2006/relationships/hyperlink" Target="http://vbaw.vba.va.gov/bl/21/star/calls/agenda/fy2015/Quality_Call_Notes_081215.docx" TargetMode="External"/><Relationship Id="rId786" Type="http://schemas.openxmlformats.org/officeDocument/2006/relationships/hyperlink" Target="https://www.vapulse.net/docs/DOC-50563?sr=stream" TargetMode="External"/><Relationship Id="rId80" Type="http://schemas.openxmlformats.org/officeDocument/2006/relationships/hyperlink" Target="https://www.vapulse.net/login.jspa?referer=%252Findex.jspa" TargetMode="External"/><Relationship Id="rId176" Type="http://schemas.openxmlformats.org/officeDocument/2006/relationships/image" Target="media/image23.png"/><Relationship Id="rId341" Type="http://schemas.openxmlformats.org/officeDocument/2006/relationships/hyperlink" Target="https://vaww.vba.esp.va.gov/sites/OFOPlaybooks/Shared%20Documents/NWQ_phase_1and2_playbook.pdf" TargetMode="External"/><Relationship Id="rId383" Type="http://schemas.openxmlformats.org/officeDocument/2006/relationships/hyperlink" Target="http://vbaw.vba.va.gov/bl/21/publicat/Regs/Part4/" TargetMode="External"/><Relationship Id="rId439" Type="http://schemas.openxmlformats.org/officeDocument/2006/relationships/image" Target="media/image46.png"/><Relationship Id="rId590" Type="http://schemas.openxmlformats.org/officeDocument/2006/relationships/hyperlink" Target="http://vbaw.vba.va.gov/bl/21/star/calls/agenda/FY2017/quality_call_notes_030817.doc" TargetMode="External"/><Relationship Id="rId604" Type="http://schemas.openxmlformats.org/officeDocument/2006/relationships/hyperlink" Target="http://vbaw.vba.va.gov/bl/21/star/calls/agenda/FY2018/quality_call_notes_1217.docx" TargetMode="External"/><Relationship Id="rId646" Type="http://schemas.openxmlformats.org/officeDocument/2006/relationships/hyperlink" Target="http://www.benefits.va.gov/WARMS/docs/admin21/m21_1/mr/part3/subptiv/ch04/M21-1MRIII_iv_4_SecH.doc" TargetMode="External"/><Relationship Id="rId201" Type="http://schemas.openxmlformats.org/officeDocument/2006/relationships/hyperlink" Target="http://vbaw.vba.va.gov/bl/21/star/calls/agenda/FY2016/quality_call_notes_012016.doc" TargetMode="External"/><Relationship Id="rId243" Type="http://schemas.openxmlformats.org/officeDocument/2006/relationships/hyperlink" Target="http://www.census.gov/hhes/www/poverty/data/threshld/index.html" TargetMode="External"/><Relationship Id="rId285" Type="http://schemas.openxmlformats.org/officeDocument/2006/relationships/hyperlink" Target="http://vbaw.vba.va.gov/bl/21/star/calls/agenda/FY2017/quality_call_notes_20170118.doc" TargetMode="External"/><Relationship Id="rId450" Type="http://schemas.openxmlformats.org/officeDocument/2006/relationships/image" Target="media/image57.png"/><Relationship Id="rId506" Type="http://schemas.openxmlformats.org/officeDocument/2006/relationships/hyperlink" Target="http://vbaw.vba.va.gov/VBMS/docs/VBMS_Tips_and_Tricks_9_0_FINAL.pdf" TargetMode="External"/><Relationship Id="rId688" Type="http://schemas.openxmlformats.org/officeDocument/2006/relationships/hyperlink" Target="http://vbaw.vba.va.gov/bl/21/star/calls/agenda/FY2016/quality_call_notes_051116.doc" TargetMode="External"/><Relationship Id="rId38" Type="http://schemas.openxmlformats.org/officeDocument/2006/relationships/hyperlink" Target="http://vbaw.vba.va.gov/VBMS/resources.asp" TargetMode="External"/><Relationship Id="rId103" Type="http://schemas.openxmlformats.org/officeDocument/2006/relationships/hyperlink" Target="http://www.va.gov" TargetMode="External"/><Relationship Id="rId310" Type="http://schemas.openxmlformats.org/officeDocument/2006/relationships/hyperlink" Target="http://www.vba.va.gov/pubs/forms/VBA-21-22-ARE.pdf" TargetMode="External"/><Relationship Id="rId492" Type="http://schemas.openxmlformats.org/officeDocument/2006/relationships/hyperlink" Target="http://www.ecfr.gov/cgi-bin/text-idx?SID=ff07c75cd57bc7c5816feafc92fa44e0&amp;node=se38.1.4_159&amp;rgn=div8" TargetMode="External"/><Relationship Id="rId548" Type="http://schemas.openxmlformats.org/officeDocument/2006/relationships/image" Target="media/image80.png"/><Relationship Id="rId713" Type="http://schemas.openxmlformats.org/officeDocument/2006/relationships/hyperlink" Target="http://tpss.vba.va.gov/MedicalTPSS/runtime/15/150303000050.html" TargetMode="External"/><Relationship Id="rId755" Type="http://schemas.openxmlformats.org/officeDocument/2006/relationships/hyperlink" Target="http://vbaw.vba.va.gov/bl/21/publicat/Regs/Part3/3_313.htm" TargetMode="External"/><Relationship Id="rId797" Type="http://schemas.openxmlformats.org/officeDocument/2006/relationships/hyperlink" Target="https://vbaclient.qtcm.com/" TargetMode="External"/><Relationship Id="rId91" Type="http://schemas.openxmlformats.org/officeDocument/2006/relationships/hyperlink" Target="https://vaww.vashare.vba.va.gov/sites/SDC-377-VSC/VSCTRAINING/TeamTraining/_layouts/15/start.aspx" TargetMode="External"/><Relationship Id="rId145" Type="http://schemas.openxmlformats.org/officeDocument/2006/relationships/image" Target="cid:image001.png@01D37280.E417ED30" TargetMode="External"/><Relationship Id="rId187" Type="http://schemas.openxmlformats.org/officeDocument/2006/relationships/hyperlink" Target="http://www.ecfr.gov/cgi-bin/text-idx?SID=ad275643432556b9dda942343fb89296&amp;mc=true&amp;node=pt38.1.3&amp;rgn=div58" TargetMode="External"/><Relationship Id="rId352" Type="http://schemas.openxmlformats.org/officeDocument/2006/relationships/hyperlink" Target="http://vbacodmoint1.vba.va.gov/bl/21/DBQ/DBQByDisab.asp" TargetMode="External"/><Relationship Id="rId394" Type="http://schemas.openxmlformats.org/officeDocument/2006/relationships/hyperlink" Target="http://vbaw.vba.va.gov/bl/21/star/calls/agenda/FY2017/quality_call_notes_041217.doc" TargetMode="External"/><Relationship Id="rId408" Type="http://schemas.openxmlformats.org/officeDocument/2006/relationships/hyperlink" Target="http://vbaw.vba.va.gov/bl/21/Rating/rat00.htm" TargetMode="External"/><Relationship Id="rId615" Type="http://schemas.openxmlformats.org/officeDocument/2006/relationships/hyperlink" Target="http://vbacoweb03.dva.va.gov/bl/21/DBQ/default.asp" TargetMode="External"/><Relationship Id="rId212" Type="http://schemas.openxmlformats.org/officeDocument/2006/relationships/hyperlink" Target="http://vbaw.vba.va.gov/bl/21/Advisory/PRECOP/98op/Prc12_98.doc" TargetMode="External"/><Relationship Id="rId254" Type="http://schemas.openxmlformats.org/officeDocument/2006/relationships/hyperlink" Target="https://www.vbms.vba.va.gov/rating/webapp/secure/file/work" TargetMode="External"/><Relationship Id="rId657" Type="http://schemas.openxmlformats.org/officeDocument/2006/relationships/hyperlink" Target="http://www.thewall-usa.com/" TargetMode="External"/><Relationship Id="rId699" Type="http://schemas.openxmlformats.org/officeDocument/2006/relationships/hyperlink" Target="http://vbaw.vba.va.gov/bl/21/publicat/Manuals/Part1/" TargetMode="External"/><Relationship Id="rId49" Type="http://schemas.openxmlformats.org/officeDocument/2006/relationships/hyperlink" Target="http://vaww.oed.portal.va.gov/pm/iehr/vista_evolution/JLV/SitePages/Home.aspx" TargetMode="External"/><Relationship Id="rId114" Type="http://schemas.openxmlformats.org/officeDocument/2006/relationships/hyperlink" Target="http://maketheconnection.net/" TargetMode="External"/><Relationship Id="rId296" Type="http://schemas.openxmlformats.org/officeDocument/2006/relationships/hyperlink" Target="http://www.vba.va.gov/pubs/forms/VBA-21-22a-ARE.pdf" TargetMode="External"/><Relationship Id="rId461" Type="http://schemas.openxmlformats.org/officeDocument/2006/relationships/image" Target="media/image68.png"/><Relationship Id="rId517" Type="http://schemas.openxmlformats.org/officeDocument/2006/relationships/hyperlink" Target="http://vbacodmoint1.vba.va.gov/bl/21/dbq/docs/DBQcall/Mtg_Minutes_Weekly_DBQ_RO_Call_(2012-05-11).doc" TargetMode="External"/><Relationship Id="rId559" Type="http://schemas.openxmlformats.org/officeDocument/2006/relationships/image" Target="media/image91.png"/><Relationship Id="rId724" Type="http://schemas.openxmlformats.org/officeDocument/2006/relationships/hyperlink" Target="https://vaww.compensation.pension.km.va.gov/system/templates/selfservice/va_ka/" TargetMode="External"/><Relationship Id="rId766" Type="http://schemas.openxmlformats.org/officeDocument/2006/relationships/hyperlink" Target="file:///\\vbasdcfpc2.vba.va.gov\shared\VSC\Training\NTC%20Class%20Material\National%20Work%20Queue%20(NWQ)\Partial%20Ratings%20and%20Deferral%20Work%20Flow%20Document.pdf" TargetMode="External"/><Relationship Id="rId60" Type="http://schemas.openxmlformats.org/officeDocument/2006/relationships/hyperlink" Target="mailto:cdco-nsd@va.gov" TargetMode="External"/><Relationship Id="rId156" Type="http://schemas.openxmlformats.org/officeDocument/2006/relationships/image" Target="cid:image009.png@01D2C4DE.E0928C10" TargetMode="External"/><Relationship Id="rId198" Type="http://schemas.openxmlformats.org/officeDocument/2006/relationships/hyperlink" Target="https://vaww.compensation.pension.km.va.gov/system/templates/selfservice/va_ka/portal.html?encodedHash=%23!agent%2Fportal%2F554400000001034%2Farticle%2F554400000014115%2FM21-1-Part-III-Subpart-ii-Chapter-2-Section-C-Informal-Claims-Received-Prior-to-March-24-2015-Communication-of-an-Intent-to-File-ITF-and-Requests-for-an-Application" TargetMode="External"/><Relationship Id="rId321" Type="http://schemas.openxmlformats.org/officeDocument/2006/relationships/image" Target="media/image38.png"/><Relationship Id="rId363" Type="http://schemas.openxmlformats.org/officeDocument/2006/relationships/hyperlink" Target="http://www.vba.va.gov/pubs/forms/VBA-21-0960G-1-ARE.pdf" TargetMode="External"/><Relationship Id="rId419" Type="http://schemas.openxmlformats.org/officeDocument/2006/relationships/hyperlink" Target="http://vbaw.vba.va.gov/bl/21/calendar/Agenda/FY13/1013.docx" TargetMode="External"/><Relationship Id="rId570" Type="http://schemas.openxmlformats.org/officeDocument/2006/relationships/hyperlink" Target="file:///\\vbasdcfpc2\SHARED\VSC\Development%20&amp;%20Rating%20Resources\standard%20Quality%20Control%20Reviews" TargetMode="External"/><Relationship Id="rId626" Type="http://schemas.openxmlformats.org/officeDocument/2006/relationships/hyperlink" Target="http://vbaw.vba.va.gov/bl/21/star/calls/agenda/fy2015/Quality_Call_Notes_031115.doc" TargetMode="External"/><Relationship Id="rId223" Type="http://schemas.openxmlformats.org/officeDocument/2006/relationships/hyperlink" Target="https://www.vbms.vba.va.gov/rating/webapp/secure/file/work" TargetMode="External"/><Relationship Id="rId430" Type="http://schemas.openxmlformats.org/officeDocument/2006/relationships/hyperlink" Target="file:///\\vbasdcfpc2\shared\VSC\Development%20&amp;%20Rating%20Resources\Gulf%20War%20Examinations%20(Flowchart).docx" TargetMode="External"/><Relationship Id="rId668" Type="http://schemas.openxmlformats.org/officeDocument/2006/relationships/hyperlink" Target="https://vaww.vrm.km.va.gov/system/templates/selfservice/va_kanew/help/agent/locale/en-US/portal/554400000001034/content/554400000014215/M21-1-Part-III-Subpart-iv-Chapter-8-Section-E-Other-Due-Process-Concerns" TargetMode="External"/><Relationship Id="rId18" Type="http://schemas.openxmlformats.org/officeDocument/2006/relationships/hyperlink" Target="http://epss.vba.va.gov/mepss/" TargetMode="External"/><Relationship Id="rId265" Type="http://schemas.openxmlformats.org/officeDocument/2006/relationships/image" Target="media/image31.png"/><Relationship Id="rId472" Type="http://schemas.openxmlformats.org/officeDocument/2006/relationships/hyperlink" Target="http://vbaw.vba.va.gov/bl/21/Advisory/PGCOP/98op/Prc09_98.doc" TargetMode="External"/><Relationship Id="rId528" Type="http://schemas.openxmlformats.org/officeDocument/2006/relationships/hyperlink" Target="https://www.ecfr.gov/cgi-bin/retrieveECFR?gp=&amp;SID=008c82fc28bc58cc2fef2a69f218e7a6&amp;mc=true&amp;n=sp38.1.4.b&amp;r=SUBPART&amp;ty=HTML" TargetMode="External"/><Relationship Id="rId735" Type="http://schemas.openxmlformats.org/officeDocument/2006/relationships/hyperlink" Target="http://www.va.gov/vaforms" TargetMode="External"/><Relationship Id="rId125" Type="http://schemas.openxmlformats.org/officeDocument/2006/relationships/hyperlink" Target="http://www.benefits.va.gov/BENEFITS/videos.asp" TargetMode="External"/><Relationship Id="rId167" Type="http://schemas.openxmlformats.org/officeDocument/2006/relationships/image" Target="media/image18.png"/><Relationship Id="rId332" Type="http://schemas.openxmlformats.org/officeDocument/2006/relationships/hyperlink" Target="http://vbaw.vba.va.gov/bl/21/star/calls/agenda/fy2015/Rating_Quality_Call_Notes_012115.doc" TargetMode="External"/><Relationship Id="rId374" Type="http://schemas.openxmlformats.org/officeDocument/2006/relationships/hyperlink" Target="http://vbaw.vba.va.gov/bl/21/star/calls/agenda/FY2017/quality_call_notes_041217.doc" TargetMode="External"/><Relationship Id="rId581" Type="http://schemas.openxmlformats.org/officeDocument/2006/relationships/hyperlink" Target="http://vbacoweb03.dva.va.gov/bl/21/DBQ/default.asp" TargetMode="External"/><Relationship Id="rId777" Type="http://schemas.openxmlformats.org/officeDocument/2006/relationships/hyperlink" Target="https://www.vapulse.net/docs/DOC-42757" TargetMode="External"/><Relationship Id="rId71" Type="http://schemas.openxmlformats.org/officeDocument/2006/relationships/image" Target="media/image2.png"/><Relationship Id="rId234" Type="http://schemas.openxmlformats.org/officeDocument/2006/relationships/hyperlink" Target="https://www.vbms.vba.va.gov/rating/webapp/secure/file/work" TargetMode="External"/><Relationship Id="rId637" Type="http://schemas.openxmlformats.org/officeDocument/2006/relationships/image" Target="media/image113.png"/><Relationship Id="rId679" Type="http://schemas.openxmlformats.org/officeDocument/2006/relationships/hyperlink" Target="http://vbaw.vba.va.gov/bl/21/star/calls/agenda/FY2016/quality_call_notes_030916.doc" TargetMode="External"/><Relationship Id="rId802" Type="http://schemas.openxmlformats.org/officeDocument/2006/relationships/footer" Target="footer6.xml"/><Relationship Id="rId2" Type="http://schemas.openxmlformats.org/officeDocument/2006/relationships/numbering" Target="numbering.xml"/><Relationship Id="rId29" Type="http://schemas.openxmlformats.org/officeDocument/2006/relationships/hyperlink" Target="http://cptraining.vba.va.gov/C&amp;P_Training/" TargetMode="External"/><Relationship Id="rId276" Type="http://schemas.openxmlformats.org/officeDocument/2006/relationships/hyperlink" Target="http://vbacodmoint1.vba.va.gov/bl/21/dbq/default.asp" TargetMode="External"/><Relationship Id="rId441" Type="http://schemas.openxmlformats.org/officeDocument/2006/relationships/image" Target="media/image48.png"/><Relationship Id="rId483" Type="http://schemas.openxmlformats.org/officeDocument/2006/relationships/hyperlink" Target="http://vbaw.vba.va.gov/bl/21/star/calls/agenda/fy2017/Quality_Call_Notes_051017.doc" TargetMode="External"/><Relationship Id="rId539" Type="http://schemas.openxmlformats.org/officeDocument/2006/relationships/hyperlink" Target="http://vbacodmoint1.vba.va.gov/bl/21/dbq/docs/DBQcall/Mtg_Minutes_Weekly_DBQ_RO_Call_(2014-12-19).docx" TargetMode="External"/><Relationship Id="rId690" Type="http://schemas.openxmlformats.org/officeDocument/2006/relationships/image" Target="media/image114.png"/><Relationship Id="rId704" Type="http://schemas.openxmlformats.org/officeDocument/2006/relationships/hyperlink" Target="https://www.gpo.gov/fdsys/pkg/FR-2017-08-03/pdf/2017-16132.pdf" TargetMode="External"/><Relationship Id="rId746" Type="http://schemas.openxmlformats.org/officeDocument/2006/relationships/hyperlink" Target="http://vaww.demo.va.gov/files/FactSheets/2015/FactSheetDMA-15-003.pdf" TargetMode="External"/><Relationship Id="rId40" Type="http://schemas.openxmlformats.org/officeDocument/2006/relationships/hyperlink" Target="http://vbacodmoint1/bl/21/star/reports/narr_pswrd.asp" TargetMode="External"/><Relationship Id="rId136" Type="http://schemas.openxmlformats.org/officeDocument/2006/relationships/hyperlink" Target="http://www.benefits.va.gov/insurance" TargetMode="External"/><Relationship Id="rId178" Type="http://schemas.openxmlformats.org/officeDocument/2006/relationships/hyperlink" Target="http://vbaw.vba.va.gov/bl/21/star/calls/agenda/FY2018/quality_call_notes_0418.docx" TargetMode="External"/><Relationship Id="rId301" Type="http://schemas.openxmlformats.org/officeDocument/2006/relationships/hyperlink" Target="http://www.vba.va.gov/pubs/forms/VBA-21-22-ARE.pdf" TargetMode="External"/><Relationship Id="rId343" Type="http://schemas.openxmlformats.org/officeDocument/2006/relationships/hyperlink" Target="http://vbacodmoint1.vba.va.gov/bl/21/Transformation/default.asp?Station=377" TargetMode="External"/><Relationship Id="rId550" Type="http://schemas.openxmlformats.org/officeDocument/2006/relationships/image" Target="media/image82.png"/><Relationship Id="rId788" Type="http://schemas.openxmlformats.org/officeDocument/2006/relationships/hyperlink" Target="http://vbacodmoint1.vba.va.gov/bl/21/sitevisit/erb/ERB.asp" TargetMode="External"/><Relationship Id="rId82" Type="http://schemas.openxmlformats.org/officeDocument/2006/relationships/hyperlink" Target="file://\\vbasdcfpc2\shared" TargetMode="External"/><Relationship Id="rId203" Type="http://schemas.openxmlformats.org/officeDocument/2006/relationships/hyperlink" Target="http://vbaw.vba.va.gov/bl/21/star/calls/agenda/FY2017/quality_call_notes_071217.doc" TargetMode="External"/><Relationship Id="rId385" Type="http://schemas.openxmlformats.org/officeDocument/2006/relationships/hyperlink" Target="file:///\\vbasdcfpc2\SHARED\VSC\Development%20&amp;%20Rating%20Resources\standard%20Quality%20Control%20Reviews" TargetMode="External"/><Relationship Id="rId592" Type="http://schemas.openxmlformats.org/officeDocument/2006/relationships/hyperlink" Target="https://vaww.compensation.pension.km.va.gov/system/templates/selfservice/va_ka/portal.html?encodedHash=%23!agent%2Fportal%2F554400000001034%2Farticle%2F554400000014205%2FM21-1-Part-III-Subpart-iv-Chapter-6-Section-B-Determining-the-Issues" TargetMode="External"/><Relationship Id="rId606" Type="http://schemas.openxmlformats.org/officeDocument/2006/relationships/image" Target="cid:image001.png@01D38B9A.19DF37C0" TargetMode="External"/><Relationship Id="rId648" Type="http://schemas.openxmlformats.org/officeDocument/2006/relationships/hyperlink" Target="http://www.law.cornell.edu/uscode/text/38/1111" TargetMode="External"/><Relationship Id="rId245" Type="http://schemas.openxmlformats.org/officeDocument/2006/relationships/hyperlink" Target="https://www.vbms.vba.va.gov/rating/webapp/secure/file/work" TargetMode="External"/><Relationship Id="rId287" Type="http://schemas.openxmlformats.org/officeDocument/2006/relationships/hyperlink" Target="http://vbaw.vba.va.gov/bl/21/star/calls/agenda/fy2014/Rating_Quality_Call_Notes_052114.docx" TargetMode="External"/><Relationship Id="rId410" Type="http://schemas.openxmlformats.org/officeDocument/2006/relationships/hyperlink" Target="http://vbaw.vba.va.gov/bl/21/calendar/agenda/FY09/0509a.pdf" TargetMode="External"/><Relationship Id="rId452" Type="http://schemas.openxmlformats.org/officeDocument/2006/relationships/image" Target="media/image59.png"/><Relationship Id="rId494" Type="http://schemas.openxmlformats.org/officeDocument/2006/relationships/hyperlink" Target="http://vbaw.vba.va.gov/bl/21/star/calls/agenda/FY2018/quality_call_notes_0218.docx" TargetMode="External"/><Relationship Id="rId508" Type="http://schemas.openxmlformats.org/officeDocument/2006/relationships/hyperlink" Target="http://www.ecfr.gov/cgi-bin/text-idx?SID=ff07c75cd57bc7c5816feafc92fa44e0&amp;node=se38.1.4_159&amp;rgn=div8" TargetMode="External"/><Relationship Id="rId715" Type="http://schemas.openxmlformats.org/officeDocument/2006/relationships/hyperlink" Target="http://vbacodmoint1.vba.va.gov/bl/21/Transformation/docs/Doc%20Indexing%20Guide%20Searchable.xls" TargetMode="External"/><Relationship Id="rId105" Type="http://schemas.openxmlformats.org/officeDocument/2006/relationships/hyperlink" Target="http://www.va.gov/healthbenefits/apply/veterans.asp" TargetMode="External"/><Relationship Id="rId147" Type="http://schemas.openxmlformats.org/officeDocument/2006/relationships/image" Target="cid:image002.png@01D37280.E417ED30" TargetMode="External"/><Relationship Id="rId312" Type="http://schemas.openxmlformats.org/officeDocument/2006/relationships/hyperlink" Target="http://www.law.cornell.edu/uscode/html/uscode38/usc_sec_38_00007332----000-.html" TargetMode="External"/><Relationship Id="rId354" Type="http://schemas.openxmlformats.org/officeDocument/2006/relationships/hyperlink" Target="http://vbaw.vba.va.gov/bl/21/star/calls/agenda/fy2015/Rating_Quality_Call_Notes_111914.doc" TargetMode="External"/><Relationship Id="rId757" Type="http://schemas.openxmlformats.org/officeDocument/2006/relationships/hyperlink" Target="http://vbaw.vba.va.gov/bl/21/publicat/Regs/Part3/3_317.htm" TargetMode="External"/><Relationship Id="rId799" Type="http://schemas.openxmlformats.org/officeDocument/2006/relationships/hyperlink" Target="https://poc.mslacms.com/MSLACMS/MainLogin.aspx" TargetMode="External"/><Relationship Id="rId51" Type="http://schemas.openxmlformats.org/officeDocument/2006/relationships/hyperlink" Target="http://vbaw.vba.va.gov/bl/21/rating/rat00.htm" TargetMode="External"/><Relationship Id="rId93" Type="http://schemas.openxmlformats.org/officeDocument/2006/relationships/hyperlink" Target="https://vaww.vba.esp.va.gov/sites/SDC-377-VSC/VSCTRAINING/default.aspx" TargetMode="External"/><Relationship Id="rId189" Type="http://schemas.openxmlformats.org/officeDocument/2006/relationships/hyperlink" Target="http://vbaw.vba.va.gov/bl/21/star/calls/agenda/fy2015/Rating_Quality_Call_Notes_012115.doc" TargetMode="External"/><Relationship Id="rId396" Type="http://schemas.openxmlformats.org/officeDocument/2006/relationships/hyperlink" Target="http://www.ecfr.gov/cgi-bin/text-idx?SID=e2da3beb077befda21b986cc531ccda7&amp;mc=true&amp;node=se38.1.3_1303&amp;rgn=div8" TargetMode="External"/><Relationship Id="rId561" Type="http://schemas.openxmlformats.org/officeDocument/2006/relationships/image" Target="media/image93.png"/><Relationship Id="rId617" Type="http://schemas.openxmlformats.org/officeDocument/2006/relationships/hyperlink" Target="http://vbaw.vba.va.gov/bl/21/publicat/Regs/Part4/4_124a.htm" TargetMode="External"/><Relationship Id="rId659" Type="http://schemas.openxmlformats.org/officeDocument/2006/relationships/hyperlink" Target="file:///\\vbasdcfpc2\SHARED\VSC\Development%20&amp;%20Rating%20Resources\QRT%20Bulletin" TargetMode="External"/><Relationship Id="rId214" Type="http://schemas.openxmlformats.org/officeDocument/2006/relationships/hyperlink" Target="http://vbacodmoint1.vba.va.gov/bl/21/Transformation/docs/adl%20sop.docx" TargetMode="External"/><Relationship Id="rId256" Type="http://schemas.openxmlformats.org/officeDocument/2006/relationships/hyperlink" Target="https://www.vbms.vba.va.gov/rating/webapp/secure/file/work" TargetMode="External"/><Relationship Id="rId298" Type="http://schemas.openxmlformats.org/officeDocument/2006/relationships/hyperlink" Target="https://vaww.vrm.km.va.gov/system/templates/selfservice/va_kanew/help/agent/locale/en-US/portal/554400000001034/content/554400000014077/M21-1-Part-I-Chapter-3-Section-B-A-Representatives-Right-to-Notification-and-Review-of-Records" TargetMode="External"/><Relationship Id="rId421" Type="http://schemas.openxmlformats.org/officeDocument/2006/relationships/hyperlink" Target="http://vbaw.vba.va.gov/bl/21/Publicat/Regs/Part3/3_313.htm" TargetMode="External"/><Relationship Id="rId463" Type="http://schemas.openxmlformats.org/officeDocument/2006/relationships/image" Target="media/image70.png"/><Relationship Id="rId519" Type="http://schemas.openxmlformats.org/officeDocument/2006/relationships/image" Target="media/image76.png"/><Relationship Id="rId670" Type="http://schemas.openxmlformats.org/officeDocument/2006/relationships/hyperlink" Target="https://www.vbms.vba.va.gov/rating/webapp/secure/file/work" TargetMode="External"/><Relationship Id="rId116" Type="http://schemas.openxmlformats.org/officeDocument/2006/relationships/hyperlink" Target="http://www.va.gov/directory/guide/vetcenter.asp" TargetMode="External"/><Relationship Id="rId158" Type="http://schemas.openxmlformats.org/officeDocument/2006/relationships/image" Target="cid:image010.png@01D2C4DE.E0928C10" TargetMode="External"/><Relationship Id="rId323" Type="http://schemas.openxmlformats.org/officeDocument/2006/relationships/image" Target="media/image40.png"/><Relationship Id="rId530" Type="http://schemas.openxmlformats.org/officeDocument/2006/relationships/hyperlink" Target="http://vbacoweb03.dva.va.gov/bl/21/DBQ/default.asp" TargetMode="External"/><Relationship Id="rId726" Type="http://schemas.openxmlformats.org/officeDocument/2006/relationships/hyperlink" Target="https://vaww.compensation.pension.km.va.gov/system/templates/selfservice/va_ka/" TargetMode="External"/><Relationship Id="rId768" Type="http://schemas.openxmlformats.org/officeDocument/2006/relationships/hyperlink" Target="http://vaww.oed.portal.va.gov/products/VBMS/SOCM/usercollaboration/Delta/VBMS_Deferral_Primary_and_Detailed_Deferral_Reasons_Job_Aid_20160418.pdf" TargetMode="External"/><Relationship Id="rId20" Type="http://schemas.openxmlformats.org/officeDocument/2006/relationships/hyperlink" Target="http://vbacodmoint1.vba.va.gov/bl/21/dbq/default.asp" TargetMode="External"/><Relationship Id="rId62" Type="http://schemas.openxmlformats.org/officeDocument/2006/relationships/hyperlink" Target="https://vaww.oit.va.gov/yourit/" TargetMode="External"/><Relationship Id="rId365" Type="http://schemas.openxmlformats.org/officeDocument/2006/relationships/footer" Target="footer3.xml"/><Relationship Id="rId572" Type="http://schemas.openxmlformats.org/officeDocument/2006/relationships/hyperlink" Target="file:///\\vbasdcfpc2\SHARED\VSC\Development%20&amp;%20Rating%20Resources\standard%20Quality%20Control%20Reviews" TargetMode="External"/><Relationship Id="rId628" Type="http://schemas.openxmlformats.org/officeDocument/2006/relationships/image" Target="media/image108.png"/><Relationship Id="rId225" Type="http://schemas.openxmlformats.org/officeDocument/2006/relationships/hyperlink" Target="https://www.vbms.vba.va.gov/rating/webapp/secure/file/work" TargetMode="External"/><Relationship Id="rId267" Type="http://schemas.openxmlformats.org/officeDocument/2006/relationships/image" Target="media/image33.png"/><Relationship Id="rId432" Type="http://schemas.openxmlformats.org/officeDocument/2006/relationships/hyperlink" Target="http://vaww.compensation.pension.km.va.gov/system/templates/selfservice/va_ka/" TargetMode="External"/><Relationship Id="rId474" Type="http://schemas.openxmlformats.org/officeDocument/2006/relationships/hyperlink" Target="http://vbaw.vba.va.gov/bl/21/star/calls/agenda/fy2015/Quality_Call_Notes_070815.doc" TargetMode="External"/><Relationship Id="rId127" Type="http://schemas.openxmlformats.org/officeDocument/2006/relationships/hyperlink" Target="http://explore.va.gov/home-loans-and-housing" TargetMode="External"/><Relationship Id="rId681" Type="http://schemas.openxmlformats.org/officeDocument/2006/relationships/hyperlink" Target="http://benefits.va.gov/pension/current_rates_veteran_pen.asp" TargetMode="External"/><Relationship Id="rId737" Type="http://schemas.openxmlformats.org/officeDocument/2006/relationships/image" Target="media/image121.png"/><Relationship Id="rId779" Type="http://schemas.openxmlformats.org/officeDocument/2006/relationships/hyperlink" Target="http://vbaw.vba.va.gov/bl/21/contractexams/docs/Exam%20Track%20Registration%20Job%20Aid.pdf" TargetMode="External"/><Relationship Id="rId31" Type="http://schemas.openxmlformats.org/officeDocument/2006/relationships/hyperlink" Target="http://epss.vba.va.gov/rvsr_assistant/startpage.html" TargetMode="External"/><Relationship Id="rId73" Type="http://schemas.openxmlformats.org/officeDocument/2006/relationships/image" Target="media/image3.png"/><Relationship Id="rId169" Type="http://schemas.openxmlformats.org/officeDocument/2006/relationships/image" Target="media/image19.png"/><Relationship Id="rId334" Type="http://schemas.openxmlformats.org/officeDocument/2006/relationships/hyperlink" Target="file:///\\vbasdcfpc2\shared\VSC\Training\NTC%20Class%20Material\Effective%20Dates\Effective%20Dates%203950443HO%20(2015).pdf" TargetMode="External"/><Relationship Id="rId376" Type="http://schemas.openxmlformats.org/officeDocument/2006/relationships/image" Target="media/image42.png"/><Relationship Id="rId541" Type="http://schemas.openxmlformats.org/officeDocument/2006/relationships/hyperlink" Target="https://vaww.compensation.pension.km.va.gov/system/templates/selfservice/va_ka/" TargetMode="External"/><Relationship Id="rId583" Type="http://schemas.openxmlformats.org/officeDocument/2006/relationships/image" Target="media/image100.png"/><Relationship Id="rId639" Type="http://schemas.openxmlformats.org/officeDocument/2006/relationships/hyperlink" Target="http://www.history.army.mil/html/documents/somalia/SomaliaAAR.pdf" TargetMode="External"/><Relationship Id="rId790" Type="http://schemas.openxmlformats.org/officeDocument/2006/relationships/hyperlink" Target="http://vbaw.vba.va.gov/bl/21/star/calls/agenda/fy2015/Authorization_Quality_Call_Notes_0215.docx" TargetMode="External"/><Relationship Id="rId804" Type="http://schemas.openxmlformats.org/officeDocument/2006/relationships/theme" Target="theme/theme1.xml"/><Relationship Id="rId4" Type="http://schemas.openxmlformats.org/officeDocument/2006/relationships/settings" Target="settings.xml"/><Relationship Id="rId180" Type="http://schemas.openxmlformats.org/officeDocument/2006/relationships/hyperlink" Target="http://vbaw.vba.va.gov/bl/21/star/calls/agenda/FY2018/quality_call_notes_1217.docx" TargetMode="External"/><Relationship Id="rId236" Type="http://schemas.openxmlformats.org/officeDocument/2006/relationships/hyperlink" Target="https://www.vbms.vba.va.gov/rating/webapp/secure/file/work" TargetMode="External"/><Relationship Id="rId278" Type="http://schemas.openxmlformats.org/officeDocument/2006/relationships/hyperlink" Target="http://epss.vba.va.gov/rvsr_assistant/RVSR_Effective_Dates/index.html" TargetMode="External"/><Relationship Id="rId401" Type="http://schemas.openxmlformats.org/officeDocument/2006/relationships/hyperlink" Target="http://www.va.gov/vaforms" TargetMode="External"/><Relationship Id="rId443" Type="http://schemas.openxmlformats.org/officeDocument/2006/relationships/image" Target="media/image50.png"/><Relationship Id="rId650" Type="http://schemas.openxmlformats.org/officeDocument/2006/relationships/hyperlink" Target="http://vbaw.vba.va.gov/bl/21/star/calls/agenda/fy2014/Rating_Quality_Call_Notes_070914.docx" TargetMode="External"/><Relationship Id="rId303" Type="http://schemas.openxmlformats.org/officeDocument/2006/relationships/hyperlink" Target="https://www.law.cornell.edu/uscode/text/38/7332" TargetMode="External"/><Relationship Id="rId485" Type="http://schemas.openxmlformats.org/officeDocument/2006/relationships/hyperlink" Target="http://www.ecfr.gov/cgi-bin/retrieveECFR?gp=&amp;SID=9326662dc5925f175acd349f6883a4dd&amp;mc=true&amp;r=SECTION&amp;n=se38.1.4_159" TargetMode="External"/><Relationship Id="rId692" Type="http://schemas.openxmlformats.org/officeDocument/2006/relationships/image" Target="media/image116.png"/><Relationship Id="rId706" Type="http://schemas.openxmlformats.org/officeDocument/2006/relationships/hyperlink" Target="http://vaww.oed.portal.va.gov/products/VBMS/SOCM/usercollaboration/Delta/VBMS_Release_13%201_Rating_Training_Deck_20170831.pptx" TargetMode="External"/><Relationship Id="rId748" Type="http://schemas.openxmlformats.org/officeDocument/2006/relationships/hyperlink" Target="https://vaww.compensation.pension.km.va.gov/system/templates/selfservice/va_ka/portal.html?encodedHash=%23!agent%2Fportal%2F554400000001034%2Farticle%2F554400000015809%2FM21-1-Part-III-Subpart-iv-Chapter-3-Section-A-Examination-Requests-Overview" TargetMode="External"/><Relationship Id="rId42" Type="http://schemas.openxmlformats.org/officeDocument/2006/relationships/hyperlink" Target="file:///\\vbasdcfpc2.vba.va.gov\shared\VSC\Training\NTC%20Class%20Material\National%20Work%20Queue%20(NWQ)" TargetMode="External"/><Relationship Id="rId84" Type="http://schemas.openxmlformats.org/officeDocument/2006/relationships/hyperlink" Target="file:///\\vbasdcfpc2\shared\VSC\VSC%20POLICY%20MEMOS" TargetMode="External"/><Relationship Id="rId138" Type="http://schemas.openxmlformats.org/officeDocument/2006/relationships/hyperlink" Target="http://www.benefits.va.gov/compensation/types-disability.asp" TargetMode="External"/><Relationship Id="rId345" Type="http://schemas.openxmlformats.org/officeDocument/2006/relationships/hyperlink" Target="http://vbaw.vba.va.gov/bl/21/star/calls/agenda/fy2015/Quality_Call_Notes_061515.docx" TargetMode="External"/><Relationship Id="rId387" Type="http://schemas.openxmlformats.org/officeDocument/2006/relationships/hyperlink" Target="http://vbaw.vba.va.gov/bl/21/star/calls/agenda/FY2017/quality_call_notes_20170118.doc" TargetMode="External"/><Relationship Id="rId510" Type="http://schemas.openxmlformats.org/officeDocument/2006/relationships/hyperlink" Target="http://vbaw.vba.va.gov/bl/21/star/calls/agenda/FY2017/quality_call_notes_20170118.doc" TargetMode="External"/><Relationship Id="rId552" Type="http://schemas.openxmlformats.org/officeDocument/2006/relationships/image" Target="media/image84.png"/><Relationship Id="rId594" Type="http://schemas.openxmlformats.org/officeDocument/2006/relationships/hyperlink" Target="https://vaww.compensation.pension.km.va.gov/system/templates/selfservice/va_ka/portal.html?encodedHash=%23!agent%2Fportal%2F554400000001034%2Farticle%2F554400000015812%2FM21-1-Part-III-Subpart-iv-Chapter-3-Section-D-Examination-Reports" TargetMode="External"/><Relationship Id="rId608" Type="http://schemas.openxmlformats.org/officeDocument/2006/relationships/hyperlink" Target="http://vbaw.vba.va.gov/bl/21/star/calls/agenda/FY2018/quality_call_notes_0118.docx" TargetMode="External"/><Relationship Id="rId191" Type="http://schemas.openxmlformats.org/officeDocument/2006/relationships/hyperlink" Target="http://vbaw.vba.va.gov/bl/21/star/calls/agenda/FY2017/quality_call_notes_030817.doc" TargetMode="External"/><Relationship Id="rId205" Type="http://schemas.openxmlformats.org/officeDocument/2006/relationships/hyperlink" Target="mailto:qrt.vbasdc@va.gov" TargetMode="External"/><Relationship Id="rId247" Type="http://schemas.openxmlformats.org/officeDocument/2006/relationships/hyperlink" Target="https://www.vbms.vba.va.gov/rating/webapp/secure/file/work" TargetMode="External"/><Relationship Id="rId412" Type="http://schemas.openxmlformats.org/officeDocument/2006/relationships/hyperlink" Target="http://www.publichealth.va.gov/exposures/agentorange/" TargetMode="External"/><Relationship Id="rId107" Type="http://schemas.openxmlformats.org/officeDocument/2006/relationships/hyperlink" Target="http://explore.va.gov/health-care" TargetMode="External"/><Relationship Id="rId289" Type="http://schemas.openxmlformats.org/officeDocument/2006/relationships/hyperlink" Target="http://vbaw.vba.va.gov/bl/21/star/calls/agenda/fy2014/Rating_Quality_Call_Notes_052114.docx" TargetMode="External"/><Relationship Id="rId454" Type="http://schemas.openxmlformats.org/officeDocument/2006/relationships/image" Target="media/image61.png"/><Relationship Id="rId496" Type="http://schemas.openxmlformats.org/officeDocument/2006/relationships/hyperlink" Target="http://vbaw.vba.va.gov/bl/21/star/calls/agenda/fy2016/Quality_Call_Notes_111515.doc" TargetMode="External"/><Relationship Id="rId661" Type="http://schemas.openxmlformats.org/officeDocument/2006/relationships/hyperlink" Target="http://vbaw.vba.va.gov/bl/21/star/calls/agenda/fy2017/Quality_Call_Notes_051017.doc" TargetMode="External"/><Relationship Id="rId717" Type="http://schemas.openxmlformats.org/officeDocument/2006/relationships/hyperlink" Target="https://vaww.compensation.pension.km.va.gov/system/templates/selfservice/va_ka/" TargetMode="External"/><Relationship Id="rId759" Type="http://schemas.openxmlformats.org/officeDocument/2006/relationships/hyperlink" Target="http://vaww.oed.portal.va.gov/products/VBMS/SOCM/usercollaboration/Delta/VBMS_Deferral_Workflow_Job_Aid_20160418.pdf" TargetMode="External"/><Relationship Id="rId11" Type="http://schemas.openxmlformats.org/officeDocument/2006/relationships/hyperlink" Target="http://www.ecfr.gov/cgi-bin/text-idx?SID=fb0370a2309723fd2a827ace13dc65c9&amp;mc=true&amp;tpl=/ecfrbrowse/Title38/38cfr3_main_02.tpl" TargetMode="External"/><Relationship Id="rId53" Type="http://schemas.openxmlformats.org/officeDocument/2006/relationships/hyperlink" Target="https://vacommunity.secure.force.com/helpdesk" TargetMode="External"/><Relationship Id="rId149" Type="http://schemas.openxmlformats.org/officeDocument/2006/relationships/image" Target="cid:image003.jpg@01D1206A.F0FB7A90" TargetMode="External"/><Relationship Id="rId314" Type="http://schemas.openxmlformats.org/officeDocument/2006/relationships/hyperlink" Target="https://vaww.vrm.km.va.gov/system/templates/selfservice/va_kanew/help/agent/locale/en-US/portal/554400000001034/content/554400000031819/M21-1,-Part-III,-Subpart-ii,-Chapter-3,-Section-D---Claims-Establishment" TargetMode="External"/><Relationship Id="rId356" Type="http://schemas.openxmlformats.org/officeDocument/2006/relationships/hyperlink" Target="http://vbacodmoint1.vba.va.gov/bl/21/dbq/docs/DBQcall/Mtg_Minutes_Weekly_DBQ_RO_Call_(2014-07-11).docx" TargetMode="External"/><Relationship Id="rId398" Type="http://schemas.openxmlformats.org/officeDocument/2006/relationships/hyperlink" Target="http://vbaw.vba.va.gov/bl/21/advisory/CAVC/2008dec/FedCirc/Groves.pdf" TargetMode="External"/><Relationship Id="rId521" Type="http://schemas.openxmlformats.org/officeDocument/2006/relationships/hyperlink" Target="file:///\\vbasdcfpc2\SHARED\VSC\Development%20&amp;%20Rating%20Resources\QRT%20Bulletin" TargetMode="External"/><Relationship Id="rId563" Type="http://schemas.openxmlformats.org/officeDocument/2006/relationships/image" Target="media/image94.png"/><Relationship Id="rId619" Type="http://schemas.openxmlformats.org/officeDocument/2006/relationships/hyperlink" Target="http://vbaw.vba.va.gov/bl/21/publicat/Regs/Part4/4_124a.htm" TargetMode="External"/><Relationship Id="rId770" Type="http://schemas.openxmlformats.org/officeDocument/2006/relationships/hyperlink" Target="http://vaww.oed.portal.va.gov/products/VBMS/SOCM/usercollaboration/Delta/Initiating_a_Deferral_and_Moving_it_from_Draft_to_Pending_Status_Video_20151006.swf" TargetMode="External"/><Relationship Id="rId95" Type="http://schemas.openxmlformats.org/officeDocument/2006/relationships/hyperlink" Target="https://vaww.vashare.vba.va.gov/sites/SDC-377-VSC/overtime/Lists/Overtime%20FY%202018/Item/newifs.aspx?List=f6301913%2Dd804%2D4b52%2Da8a3%2Dcb0d2848c514&amp;Source=https%3A%2F%2Fvaww%2Evashare%2Evba%2Eva%2Egov%2Fsites%2FSDC%2D377%2DVSC%2Fovertime%2FLists%2FOvertime%2520FY%25202018%2FDatasheet%2520View%2Easpx%23InplviewHash2f59207e%2D269c%2D4f0a%2D8e76%2D8c568d80dcb1%3D&amp;RootFolder=&amp;Web=0a128596%2Dfd4f%2D4549%2Db68e%2Dfec0ae6d92c1" TargetMode="External"/><Relationship Id="rId160" Type="http://schemas.openxmlformats.org/officeDocument/2006/relationships/image" Target="cid:image011.png@01D2C4DE.E0928C10" TargetMode="External"/><Relationship Id="rId216" Type="http://schemas.openxmlformats.org/officeDocument/2006/relationships/hyperlink" Target="http://vbacodmoint1.vba.va.gov/bl/21/Transformation/docs/Auto_Populating_DBQ.docx" TargetMode="External"/><Relationship Id="rId423" Type="http://schemas.openxmlformats.org/officeDocument/2006/relationships/hyperlink" Target="http://vbaw.vba.va.gov/BL/21/M21/content/infomap.asp?address=M21-1MRIII.vi.1.A.2" TargetMode="External"/><Relationship Id="rId258" Type="http://schemas.openxmlformats.org/officeDocument/2006/relationships/image" Target="media/image25.png"/><Relationship Id="rId465" Type="http://schemas.openxmlformats.org/officeDocument/2006/relationships/hyperlink" Target="http://vbaw.vba.va.gov/bl/21/star/calls/agenda/FY2016/quality_call_notes_080316.doc" TargetMode="External"/><Relationship Id="rId630" Type="http://schemas.openxmlformats.org/officeDocument/2006/relationships/image" Target="media/image110.png"/><Relationship Id="rId672" Type="http://schemas.openxmlformats.org/officeDocument/2006/relationships/hyperlink" Target="file:///\\vbasdcfpc2\SHARED\VSC\Development%20&amp;%20Rating%20Resources\QRT%20Bulletin" TargetMode="External"/><Relationship Id="rId728" Type="http://schemas.openxmlformats.org/officeDocument/2006/relationships/hyperlink" Target="https://vaww.compensation.pension.km.va.gov/system/templates/selfservice/va_ka/" TargetMode="External"/><Relationship Id="rId22" Type="http://schemas.openxmlformats.org/officeDocument/2006/relationships/hyperlink" Target="http://vbaw.vba.va.gov/bl/21/Calendar/vbn/transcripts.htm" TargetMode="External"/><Relationship Id="rId64" Type="http://schemas.openxmlformats.org/officeDocument/2006/relationships/hyperlink" Target="mailto:YourIT@va.gov" TargetMode="External"/><Relationship Id="rId118" Type="http://schemas.openxmlformats.org/officeDocument/2006/relationships/hyperlink" Target="http://www.benefits.va.gov/TAP/" TargetMode="External"/><Relationship Id="rId325" Type="http://schemas.openxmlformats.org/officeDocument/2006/relationships/hyperlink" Target="http://vbaw.vba.va.gov/bl/21/Advisory/PRECOP/98op/Prc12_98.doc" TargetMode="External"/><Relationship Id="rId367" Type="http://schemas.openxmlformats.org/officeDocument/2006/relationships/hyperlink" Target="http://vbaw.vba.va.gov/bl/21/star/calls/agenda/FY2017/quality_call_notes_041217.doc" TargetMode="External"/><Relationship Id="rId532" Type="http://schemas.openxmlformats.org/officeDocument/2006/relationships/image" Target="media/image78.png"/><Relationship Id="rId574" Type="http://schemas.openxmlformats.org/officeDocument/2006/relationships/hyperlink" Target="http://vbaw.vba.va.gov/bl/21/star/star_call.htm" TargetMode="External"/><Relationship Id="rId171" Type="http://schemas.openxmlformats.org/officeDocument/2006/relationships/image" Target="media/image20.png"/><Relationship Id="rId227" Type="http://schemas.openxmlformats.org/officeDocument/2006/relationships/hyperlink" Target="https://www.vbms.vba.va.gov/rating/webapp/secure/file/work" TargetMode="External"/><Relationship Id="rId781" Type="http://schemas.openxmlformats.org/officeDocument/2006/relationships/hyperlink" Target="https://vetfedclient.qtcm.com/" TargetMode="External"/><Relationship Id="rId269" Type="http://schemas.openxmlformats.org/officeDocument/2006/relationships/image" Target="media/image35.png"/><Relationship Id="rId434" Type="http://schemas.openxmlformats.org/officeDocument/2006/relationships/hyperlink" Target="http://vbaw.vba.va.gov/bl/21/calendar/agenda/FY13/0613.docx" TargetMode="External"/><Relationship Id="rId476" Type="http://schemas.openxmlformats.org/officeDocument/2006/relationships/hyperlink" Target="http://vbaw.vba.va.gov/bl/21/star/calls/agenda/fy2015/Quality_Call_Notes_081215.doc" TargetMode="External"/><Relationship Id="rId641" Type="http://schemas.openxmlformats.org/officeDocument/2006/relationships/hyperlink" Target="http://vbacodmoint1.vba.va.gov/bl/21/DBQ/default.asp" TargetMode="External"/><Relationship Id="rId683" Type="http://schemas.openxmlformats.org/officeDocument/2006/relationships/hyperlink" Target="http://www.law.cornell.edu/uscode/text/38/2101" TargetMode="External"/><Relationship Id="rId739" Type="http://schemas.openxmlformats.org/officeDocument/2006/relationships/image" Target="media/image123.png"/><Relationship Id="rId33" Type="http://schemas.openxmlformats.org/officeDocument/2006/relationships/hyperlink" Target="https://www.ttande.org/CPTraining/Skills_Cert/JRVSR.htm" TargetMode="External"/><Relationship Id="rId129" Type="http://schemas.openxmlformats.org/officeDocument/2006/relationships/hyperlink" Target="http://explore.va.gov/employment-services" TargetMode="External"/><Relationship Id="rId280" Type="http://schemas.openxmlformats.org/officeDocument/2006/relationships/hyperlink" Target="http://www.ecfr.gov/cgi-bin/text-idx?SID=b1d01c335ed4338df0246b6f0125f624&amp;mc=true&amp;node=pt38.1.3&amp;rgn=div5" TargetMode="External"/><Relationship Id="rId336" Type="http://schemas.openxmlformats.org/officeDocument/2006/relationships/hyperlink" Target="http://vbaw.vba.va.gov/bl/21/publicat/Regs/Part4/Changes/11-12-08.doc" TargetMode="External"/><Relationship Id="rId501" Type="http://schemas.openxmlformats.org/officeDocument/2006/relationships/hyperlink" Target="http://vbacodmoint1.vba.va.gov/bl/21/dbq/docs/DBQcall/Mtg_Minutes_Weekly_DBQ_RO_Call_(2013-02-15).doc" TargetMode="External"/><Relationship Id="rId543" Type="http://schemas.openxmlformats.org/officeDocument/2006/relationships/image" Target="media/image79.jpeg"/><Relationship Id="rId75" Type="http://schemas.openxmlformats.org/officeDocument/2006/relationships/image" Target="media/image4.jpeg"/><Relationship Id="rId140" Type="http://schemas.openxmlformats.org/officeDocument/2006/relationships/hyperlink" Target="http://www.benefits.va.gov/compensation/types-dependence_and_indemnity.asp" TargetMode="External"/><Relationship Id="rId182" Type="http://schemas.openxmlformats.org/officeDocument/2006/relationships/hyperlink" Target="https://vaww.vrm.km.va.gov/system/templates/selfservice/va_kanew/help/agent/locale/en-US/portal/554400000001034/content/554400000014214/M21-1-Part-III-Subpart-iv-Chapter-8-Section-D-Reductions-in-Awards" TargetMode="External"/><Relationship Id="rId378" Type="http://schemas.openxmlformats.org/officeDocument/2006/relationships/hyperlink" Target="http://www.ecfr.gov/cgi-bin/text-idx?SID=5dea2e5ae38d4f4810bf7ca791a5efee&amp;node=se38.1.3_16&amp;rgn=div8" TargetMode="External"/><Relationship Id="rId403" Type="http://schemas.openxmlformats.org/officeDocument/2006/relationships/hyperlink" Target="http://vbaw.vba.va.gov/bl/21/star/calls/agenda/FY2016/quality_call_notes_030916.doc" TargetMode="External"/><Relationship Id="rId585" Type="http://schemas.openxmlformats.org/officeDocument/2006/relationships/hyperlink" Target="http://vbaw.vba.va.gov/bl/21/star/calls/agenda/FY2016/quality_call_notes_030916.doc" TargetMode="External"/><Relationship Id="rId750" Type="http://schemas.openxmlformats.org/officeDocument/2006/relationships/hyperlink" Target="https://vaww.compensation.pension.km.va.gov/system/templates/selfservice/va_ka/portal.html?encodedHash=%23!agent%2Fportal%2F554400000001034%2Farticle%2F554400000015809%2FM21-1-Part-III-Subpart-iv-Chapter-3-Section-A-Examination-Requests-Overview" TargetMode="External"/><Relationship Id="rId792" Type="http://schemas.openxmlformats.org/officeDocument/2006/relationships/hyperlink" Target="mailto:CAATS.VBAMLA@VA.GOV" TargetMode="External"/><Relationship Id="rId6" Type="http://schemas.openxmlformats.org/officeDocument/2006/relationships/footnotes" Target="footnotes.xml"/><Relationship Id="rId238" Type="http://schemas.openxmlformats.org/officeDocument/2006/relationships/hyperlink" Target="https://www.vbms.vba.va.gov/rating/webapp/secure/file/work" TargetMode="External"/><Relationship Id="rId445" Type="http://schemas.openxmlformats.org/officeDocument/2006/relationships/image" Target="media/image52.png"/><Relationship Id="rId487" Type="http://schemas.openxmlformats.org/officeDocument/2006/relationships/hyperlink" Target="https://vaww.compensation.pension.km.va.gov/system/templates/selfservice/va_ka/" TargetMode="External"/><Relationship Id="rId610" Type="http://schemas.openxmlformats.org/officeDocument/2006/relationships/image" Target="media/image106.png"/><Relationship Id="rId652" Type="http://schemas.openxmlformats.org/officeDocument/2006/relationships/hyperlink" Target="http://vbaw.vba.va.gov/bl/21/star/calls/agenda/FY2018/quality_call_notes_0218.docx" TargetMode="External"/><Relationship Id="rId694" Type="http://schemas.openxmlformats.org/officeDocument/2006/relationships/image" Target="media/image118.png"/><Relationship Id="rId708" Type="http://schemas.openxmlformats.org/officeDocument/2006/relationships/hyperlink" Target="http://epss.vba.va.gov/mepss/" TargetMode="External"/><Relationship Id="rId291" Type="http://schemas.openxmlformats.org/officeDocument/2006/relationships/hyperlink" Target="http://vbaw.vba.va.gov/bl/21/star/calls/agenda/FY2018/quality_call_notes_1117.docx" TargetMode="External"/><Relationship Id="rId305" Type="http://schemas.openxmlformats.org/officeDocument/2006/relationships/hyperlink" Target="https://www.law.cornell.edu/uscode/text/38/7332" TargetMode="External"/><Relationship Id="rId347" Type="http://schemas.openxmlformats.org/officeDocument/2006/relationships/hyperlink" Target="https://www.law.cornell.edu/uscode/text/38/part-II/chapter-17" TargetMode="External"/><Relationship Id="rId512" Type="http://schemas.openxmlformats.org/officeDocument/2006/relationships/hyperlink" Target="http://vbaw.vba.va.gov/bl/21/star/calls/agenda/fy2015/Quality_Call_Notes_081215.docx" TargetMode="External"/><Relationship Id="rId44" Type="http://schemas.openxmlformats.org/officeDocument/2006/relationships/hyperlink" Target="https://vaww.vba.esp.va.gov/sites/OFOPlaybooks/Shared%20Documents/NWQ_phase_1and2_playbook.pdf" TargetMode="External"/><Relationship Id="rId86" Type="http://schemas.openxmlformats.org/officeDocument/2006/relationships/hyperlink" Target="http://vbaw.vba.va.gov/bl/21/star/calls/agenda/fy2015/Quality_Call_Notes_081215.docx" TargetMode="External"/><Relationship Id="rId151" Type="http://schemas.openxmlformats.org/officeDocument/2006/relationships/image" Target="cid:image002.jpg@01D3D650.48EFD000" TargetMode="External"/><Relationship Id="rId389" Type="http://schemas.openxmlformats.org/officeDocument/2006/relationships/hyperlink" Target="https://www.vapulse.net/message/30009" TargetMode="External"/><Relationship Id="rId554" Type="http://schemas.openxmlformats.org/officeDocument/2006/relationships/image" Target="media/image86.png"/><Relationship Id="rId596" Type="http://schemas.openxmlformats.org/officeDocument/2006/relationships/hyperlink" Target="http://www.ecfr.gov/cgi-bin/text-idx?SID=620d5aa7f88e8f447f93865ae93f16ca&amp;mc=true&amp;node=se38.1.4_1118&amp;rgn=div8" TargetMode="External"/><Relationship Id="rId761" Type="http://schemas.openxmlformats.org/officeDocument/2006/relationships/image" Target="media/image126.png"/><Relationship Id="rId193" Type="http://schemas.openxmlformats.org/officeDocument/2006/relationships/hyperlink" Target="https://www.ttande.org/VBA_Learning_Catalog/Comp_Svc/Add_Ref/3923748_Add_Ref.pdf" TargetMode="External"/><Relationship Id="rId207" Type="http://schemas.openxmlformats.org/officeDocument/2006/relationships/hyperlink" Target="http://vbaw.vba.va.gov/bl/21/star/calls/training/starCUE.ppt" TargetMode="External"/><Relationship Id="rId249" Type="http://schemas.openxmlformats.org/officeDocument/2006/relationships/hyperlink" Target="https://www.vbms.vba.va.gov/rating/webapp/secure/file/work" TargetMode="External"/><Relationship Id="rId414" Type="http://schemas.openxmlformats.org/officeDocument/2006/relationships/hyperlink" Target="http://vbaw.vba.va.gov/bl/21/rating/VENavyShip.htm" TargetMode="External"/><Relationship Id="rId456" Type="http://schemas.openxmlformats.org/officeDocument/2006/relationships/image" Target="media/image63.png"/><Relationship Id="rId498" Type="http://schemas.openxmlformats.org/officeDocument/2006/relationships/hyperlink" Target="http://vbaw.vba.va.gov/VBMS/docs/VBMS_Job_Aid_Amputation_Rule_Job_Aid_082613_v_5_0.pdf" TargetMode="External"/><Relationship Id="rId621" Type="http://schemas.openxmlformats.org/officeDocument/2006/relationships/hyperlink" Target="http://www.neuroexam.com/content.php?p=29" TargetMode="External"/><Relationship Id="rId663" Type="http://schemas.openxmlformats.org/officeDocument/2006/relationships/hyperlink" Target="https://www.ecfr.gov/cgi-bin/retrieveECFR?gp=&amp;SID=183441708fe9ad13e3ea9b79a3d0b8ff&amp;mc=true&amp;r=SECTION&amp;n=se38.1.3_1344" TargetMode="External"/><Relationship Id="rId13" Type="http://schemas.openxmlformats.org/officeDocument/2006/relationships/hyperlink" Target="http://www.ecfr.gov/cgi-bin/retrieveECFR?gp=&amp;SID=a89bbbfed89969856b699368523f31a1&amp;mc=true&amp;n=pt38.1.4&amp;r=PART&amp;ty=HTML" TargetMode="External"/><Relationship Id="rId109" Type="http://schemas.openxmlformats.org/officeDocument/2006/relationships/hyperlink" Target="http://www.myhealth.va.gov/index.html" TargetMode="External"/><Relationship Id="rId260" Type="http://schemas.openxmlformats.org/officeDocument/2006/relationships/image" Target="media/image26.png"/><Relationship Id="rId316" Type="http://schemas.openxmlformats.org/officeDocument/2006/relationships/hyperlink" Target="http://vbaw.vba.va.gov/bl/21/star/calls/agenda/fy2015/Quality_Call_Notes_061515.docx" TargetMode="External"/><Relationship Id="rId523" Type="http://schemas.openxmlformats.org/officeDocument/2006/relationships/hyperlink" Target="http://www.surgeryencyclopedia.com/A-Ce/Bunionectomy.html" TargetMode="External"/><Relationship Id="rId719" Type="http://schemas.openxmlformats.org/officeDocument/2006/relationships/hyperlink" Target="https://vaww.compensation.pension.km.va.gov/system/templates/selfservice/va_ka/" TargetMode="External"/><Relationship Id="rId55" Type="http://schemas.openxmlformats.org/officeDocument/2006/relationships/hyperlink" Target="http://vaww.nsd.va.gov/" TargetMode="External"/><Relationship Id="rId97" Type="http://schemas.openxmlformats.org/officeDocument/2006/relationships/hyperlink" Target="mailto:piv.vbasdc@va.gov" TargetMode="External"/><Relationship Id="rId120" Type="http://schemas.openxmlformats.org/officeDocument/2006/relationships/hyperlink" Target="http://explore.va.gov/" TargetMode="External"/><Relationship Id="rId358" Type="http://schemas.openxmlformats.org/officeDocument/2006/relationships/hyperlink" Target="file:///\\vbasdcfpc2\SHARED\VSC\Development%20&amp;%20Rating%20Resources\QRT%20Bulletin" TargetMode="External"/><Relationship Id="rId565" Type="http://schemas.openxmlformats.org/officeDocument/2006/relationships/image" Target="media/image96.png"/><Relationship Id="rId730" Type="http://schemas.openxmlformats.org/officeDocument/2006/relationships/hyperlink" Target="http://vbaw.vba.va.gov/bl/21/star/calls/agenda/FY2017/quality_call_notes_041217.doc" TargetMode="External"/><Relationship Id="rId772" Type="http://schemas.openxmlformats.org/officeDocument/2006/relationships/hyperlink" Target="file:///\\vbasdcfpc2.vba.va.gov\shared\VSC\FY2013%20LANES\Requesting%20Exams%20Job%20Aid.pdf" TargetMode="External"/><Relationship Id="rId162" Type="http://schemas.openxmlformats.org/officeDocument/2006/relationships/image" Target="cid:image012.png@01D2C4DE.E0928C10" TargetMode="External"/><Relationship Id="rId218" Type="http://schemas.openxmlformats.org/officeDocument/2006/relationships/hyperlink" Target="https://www.vbms.vba.va.gov/rating/webapp/secure/file/work" TargetMode="External"/><Relationship Id="rId425" Type="http://schemas.openxmlformats.org/officeDocument/2006/relationships/hyperlink" Target="http://vbacodmoint1.vba.va.gov/bl/21/dbq/docs/DBQcall/Mtg_Minutes_Weekly_DBQ_RO_Call_(2014-12-19).docx" TargetMode="External"/><Relationship Id="rId467" Type="http://schemas.openxmlformats.org/officeDocument/2006/relationships/hyperlink" Target="https://www.tms.va.gov/learning/user/deeplink_redirect.jsp?linkId=ITEM_DETAILS&amp;componentID=4178422&amp;componentTypeID=VA&amp;revisionDate=1455648360000" TargetMode="External"/><Relationship Id="rId632" Type="http://schemas.openxmlformats.org/officeDocument/2006/relationships/hyperlink" Target="http://vbaw.vba.va.gov/bl/21/rating/stressor/general.htm%20" TargetMode="External"/><Relationship Id="rId271" Type="http://schemas.openxmlformats.org/officeDocument/2006/relationships/hyperlink" Target="http://vbaw.vba.va.gov/vbms/multimedia.asp" TargetMode="External"/><Relationship Id="rId674" Type="http://schemas.openxmlformats.org/officeDocument/2006/relationships/hyperlink" Target="http://www.theworknumber.com/socialservices" TargetMode="External"/><Relationship Id="rId24" Type="http://schemas.openxmlformats.org/officeDocument/2006/relationships/hyperlink" Target="http://vbaw.vba.va.gov/bl/21/Advisory/CAVCDAD.htm" TargetMode="External"/><Relationship Id="rId66" Type="http://schemas.openxmlformats.org/officeDocument/2006/relationships/hyperlink" Target="https://yourit.va.gov/va" TargetMode="External"/><Relationship Id="rId131" Type="http://schemas.openxmlformats.org/officeDocument/2006/relationships/hyperlink" Target="http://explore.va.gov/education-training" TargetMode="External"/><Relationship Id="rId327" Type="http://schemas.openxmlformats.org/officeDocument/2006/relationships/hyperlink" Target="http://www.benefits.va.gov/WARMS/docs/admin21/m21_4/M21-4_AppendixB_7.24.2015.doc" TargetMode="External"/><Relationship Id="rId369" Type="http://schemas.openxmlformats.org/officeDocument/2006/relationships/hyperlink" Target="http://www.ecfr.gov/cgi-bin/text-idx?SID=0630d5624c5da26fa967f7f946edcb2f&amp;mc=true&amp;node=se38.1.3_1309&amp;rgn=div8" TargetMode="External"/><Relationship Id="rId534" Type="http://schemas.openxmlformats.org/officeDocument/2006/relationships/hyperlink" Target="https://vaww.vrm.km.va.gov/system/templates/selfservice/va_kanew/help/agent/locale/en-US/portal/554400000001034/content/554400000085439/Policy%20Letter%2018-01" TargetMode="External"/><Relationship Id="rId576" Type="http://schemas.openxmlformats.org/officeDocument/2006/relationships/hyperlink" Target="http://vbaw.vba.va.gov/bl/21/star/calls/agenda/FY2016/quality_call_notes_080316.doc" TargetMode="External"/><Relationship Id="rId741" Type="http://schemas.openxmlformats.org/officeDocument/2006/relationships/image" Target="media/image125.png"/><Relationship Id="rId783" Type="http://schemas.openxmlformats.org/officeDocument/2006/relationships/hyperlink" Target="http://vbaw.vba.va.gov/bl/21/contractexams/docs/Contract%20Examination%20Exclusions.pdf" TargetMode="External"/><Relationship Id="rId173" Type="http://schemas.openxmlformats.org/officeDocument/2006/relationships/image" Target="media/image21.png"/><Relationship Id="rId229" Type="http://schemas.openxmlformats.org/officeDocument/2006/relationships/hyperlink" Target="https://www.vbms.vba.va.gov/rating/webapp/secure/file/work" TargetMode="External"/><Relationship Id="rId380" Type="http://schemas.openxmlformats.org/officeDocument/2006/relationships/hyperlink" Target="http://www.law.cornell.edu/uscode/html/uscode38/usc_sec_38_00000106----000-.html" TargetMode="External"/><Relationship Id="rId436" Type="http://schemas.openxmlformats.org/officeDocument/2006/relationships/hyperlink" Target="http://www.ecfr.gov/cgi-bin/text-idx?SID=0995d33f9047781b71559a1428fccffd&amp;mc=true&amp;node=se38.1.3_1317&amp;rgn=div8" TargetMode="External"/><Relationship Id="rId601" Type="http://schemas.openxmlformats.org/officeDocument/2006/relationships/hyperlink" Target="http://www.ecfr.gov/cgi-bin/retrieveECFR?gp=&amp;SID=9326662dc5925f175acd349f6883a4dd&amp;mc=true&amp;r=SECTION&amp;n=se38.1.4_1118" TargetMode="External"/><Relationship Id="rId643" Type="http://schemas.openxmlformats.org/officeDocument/2006/relationships/hyperlink" Target="http://vbacodmoint1.vba.va.gov/bl/21/DBQ/default.asp" TargetMode="External"/><Relationship Id="rId240" Type="http://schemas.openxmlformats.org/officeDocument/2006/relationships/hyperlink" Target="https://www.vbms.vba.va.gov/rating/webapp/secure/file/work" TargetMode="External"/><Relationship Id="rId478" Type="http://schemas.openxmlformats.org/officeDocument/2006/relationships/hyperlink" Target="file:///\\vbasdcfpc2\SHARED\VSC\Development%20&amp;%20Rating%20Resources\QRT%20Bulletin" TargetMode="External"/><Relationship Id="rId685" Type="http://schemas.openxmlformats.org/officeDocument/2006/relationships/hyperlink" Target="http://www.law.cornell.edu/uscode/text/38/2101" TargetMode="External"/><Relationship Id="rId35" Type="http://schemas.openxmlformats.org/officeDocument/2006/relationships/hyperlink" Target="https://www.lms.va.gov/plateau/user/login.jsp" TargetMode="External"/><Relationship Id="rId77" Type="http://schemas.openxmlformats.org/officeDocument/2006/relationships/hyperlink" Target="https://eopf.opm.gov/va" TargetMode="External"/><Relationship Id="rId100" Type="http://schemas.openxmlformats.org/officeDocument/2006/relationships/hyperlink" Target="https://vaww.ramp.vansoc.va.gov/Pages/Dashboard.aspx" TargetMode="External"/><Relationship Id="rId282" Type="http://schemas.openxmlformats.org/officeDocument/2006/relationships/hyperlink" Target="http://www.va.gov/vaforms" TargetMode="External"/><Relationship Id="rId338" Type="http://schemas.openxmlformats.org/officeDocument/2006/relationships/hyperlink" Target="http://vbaw.vba.va.gov/bl/21/advisory/DADS/1999dads/Fendrson.doc" TargetMode="External"/><Relationship Id="rId503" Type="http://schemas.openxmlformats.org/officeDocument/2006/relationships/image" Target="media/image73.png"/><Relationship Id="rId545" Type="http://schemas.openxmlformats.org/officeDocument/2006/relationships/hyperlink" Target="http://www.va.gov/vaforms" TargetMode="External"/><Relationship Id="rId587" Type="http://schemas.openxmlformats.org/officeDocument/2006/relationships/hyperlink" Target="http://vbaw.vba.va.gov/bl/21/star/star_call.htm" TargetMode="External"/><Relationship Id="rId710" Type="http://schemas.openxmlformats.org/officeDocument/2006/relationships/hyperlink" Target="http://en.wikipedia.org/wiki/Maxilla" TargetMode="External"/><Relationship Id="rId752" Type="http://schemas.openxmlformats.org/officeDocument/2006/relationships/hyperlink" Target="http://vbaw.vba.va.gov/bl/21/star/calls/agenda/fy2015/Rating_Quality_Call_Notes_111914.doc" TargetMode="External"/><Relationship Id="rId8" Type="http://schemas.openxmlformats.org/officeDocument/2006/relationships/hyperlink" Target="http://digital.dav.org/publication/?i=341034" TargetMode="External"/><Relationship Id="rId142" Type="http://schemas.openxmlformats.org/officeDocument/2006/relationships/hyperlink" Target="http://www.bva.va.gov" TargetMode="External"/><Relationship Id="rId184" Type="http://schemas.openxmlformats.org/officeDocument/2006/relationships/hyperlink" Target="http://vbaw.vba.va.gov/bl/21/star/calls/agenda/FY2017/quality_call_notes_020817.doc" TargetMode="External"/><Relationship Id="rId391" Type="http://schemas.openxmlformats.org/officeDocument/2006/relationships/hyperlink" Target="https://www.knowva.ebenefits.va.gov/system/templates/selfservice/va_ssnew/help/customer/locale/en-US/portal/554400000001018/content/554400000044737/Fountain-v.-McDonald,-Feb-9,-2015,-27-Vet.App.-258" TargetMode="External"/><Relationship Id="rId405" Type="http://schemas.openxmlformats.org/officeDocument/2006/relationships/hyperlink" Target="http://vbaw.vba.va.gov/bl/21/advisory/DADS/2009dads/Polovick.doc" TargetMode="External"/><Relationship Id="rId447" Type="http://schemas.openxmlformats.org/officeDocument/2006/relationships/image" Target="media/image54.png"/><Relationship Id="rId612" Type="http://schemas.openxmlformats.org/officeDocument/2006/relationships/hyperlink" Target="http://epss.vba.va.gov/mepss/" TargetMode="External"/><Relationship Id="rId794" Type="http://schemas.openxmlformats.org/officeDocument/2006/relationships/hyperlink" Target="http://vbaw.vba.va.gov/bl/21/star/calls/agenda/FY2016/quality_call_notes_080316.doc" TargetMode="External"/><Relationship Id="rId251" Type="http://schemas.openxmlformats.org/officeDocument/2006/relationships/hyperlink" Target="https://www.vbms.vba.va.gov/rating/webapp/secure/file/work" TargetMode="External"/><Relationship Id="rId489" Type="http://schemas.openxmlformats.org/officeDocument/2006/relationships/hyperlink" Target="http://vbaw.vba.va.gov/bl/21/star/calls/agenda/FY2017/quality_call_notes_071217.doc" TargetMode="External"/><Relationship Id="rId654" Type="http://schemas.openxmlformats.org/officeDocument/2006/relationships/hyperlink" Target="http://www.archives.gov/research_room/research_topics/korea_and_vietnam_casualties.html" TargetMode="External"/><Relationship Id="rId696" Type="http://schemas.openxmlformats.org/officeDocument/2006/relationships/hyperlink" Target="http://vbaw.vba.va.gov/bl/21/publicat/Manuals/Part1/" TargetMode="External"/><Relationship Id="rId46" Type="http://schemas.openxmlformats.org/officeDocument/2006/relationships/hyperlink" Target="mailto:YourIT@va.gov" TargetMode="External"/><Relationship Id="rId293" Type="http://schemas.openxmlformats.org/officeDocument/2006/relationships/hyperlink" Target="https://vaww.vrm.km.va.gov/system/templates/selfservice/va_kanew/help/agent/locale/en-US/portal/554400000001034/content/554400000014077/M21-1-Part-I-Chapter-3-Section-B-A-Representatives-Right-to-Notification-and-Review-of-Records" TargetMode="External"/><Relationship Id="rId307" Type="http://schemas.openxmlformats.org/officeDocument/2006/relationships/hyperlink" Target="https://vaww.vrm.km.va.gov/system/templates/selfservice/va_kanew/help/agent/locale/en-US/portal/554400000001034/content/554400000014112/M21-1-Part-III-Subpart-ii-Chapter-1-Section-C-Initial-Screening-Policies" TargetMode="External"/><Relationship Id="rId349" Type="http://schemas.openxmlformats.org/officeDocument/2006/relationships/hyperlink" Target="http://vbaw.vba.va.gov/usb/letters/2013/VBA-Letter-20-13-05.doc" TargetMode="External"/><Relationship Id="rId514" Type="http://schemas.openxmlformats.org/officeDocument/2006/relationships/hyperlink" Target="http://vbaw.vba.va.gov/bl/21/star/calls/agenda/fy2015/Quality_Call_Notes_100815.docx" TargetMode="External"/><Relationship Id="rId556" Type="http://schemas.openxmlformats.org/officeDocument/2006/relationships/image" Target="media/image88.png"/><Relationship Id="rId721" Type="http://schemas.openxmlformats.org/officeDocument/2006/relationships/hyperlink" Target="https://vaww.compensation.pension.km.va.gov/system/templates/selfservice/va_ka/" TargetMode="External"/><Relationship Id="rId763" Type="http://schemas.openxmlformats.org/officeDocument/2006/relationships/image" Target="media/image128.png"/><Relationship Id="rId88" Type="http://schemas.openxmlformats.org/officeDocument/2006/relationships/hyperlink" Target="http://vbaw.vba.va.gov/bl/21/star/star_call.htm" TargetMode="External"/><Relationship Id="rId111" Type="http://schemas.openxmlformats.org/officeDocument/2006/relationships/hyperlink" Target="http://www.ruralhealth.va.gov" TargetMode="External"/><Relationship Id="rId153" Type="http://schemas.openxmlformats.org/officeDocument/2006/relationships/image" Target="media/image10.png"/><Relationship Id="rId195" Type="http://schemas.openxmlformats.org/officeDocument/2006/relationships/hyperlink" Target="https://vaww.compensation.pension.km.va.gov/system/templates/selfservice/va_ka/portal.html?encodedHash=%23!agent%2Fportal%2F554400000001034%2Farticle%2F554400000014115%2FM21-1-Part-III-Subpart-ii-Chapter-2-Section-C-Informal-Claims-Received-Prior-to-March-24-2015-Communication-of-an-Intent-to-File-ITF-and-Requests-for-an-Application" TargetMode="External"/><Relationship Id="rId209" Type="http://schemas.openxmlformats.org/officeDocument/2006/relationships/hyperlink" Target="http://uscode.house.gov/uscode-cgi/fastweb.exe?getdoc+uscview+t37t40+993+0++%28%29%20%20AND%20%28%2838%29%20ADJ%20USC%29%3ACITE%20AND%20%28USC%20w%2F10%20%285104%29%29%3ACITE%20%20%20%20%20%20%20%20%20" TargetMode="External"/><Relationship Id="rId360" Type="http://schemas.openxmlformats.org/officeDocument/2006/relationships/hyperlink" Target="http://vbacodmoint1.vba.va.gov/bl/21/DBQ/DBQByDisab.asp" TargetMode="External"/><Relationship Id="rId416" Type="http://schemas.openxmlformats.org/officeDocument/2006/relationships/hyperlink" Target="https://www.law.cornell.edu/cfr/text/38/17.400" TargetMode="External"/><Relationship Id="rId598" Type="http://schemas.openxmlformats.org/officeDocument/2006/relationships/image" Target="media/image101.png"/><Relationship Id="rId220" Type="http://schemas.openxmlformats.org/officeDocument/2006/relationships/hyperlink" Target="https://www.vbms.vba.va.gov/rating/webapp/secure/file/work" TargetMode="External"/><Relationship Id="rId458" Type="http://schemas.openxmlformats.org/officeDocument/2006/relationships/image" Target="media/image65.png"/><Relationship Id="rId623" Type="http://schemas.openxmlformats.org/officeDocument/2006/relationships/hyperlink" Target="http://www.benefits.va.gov/WARMS/docs/admin21/m21_1/mr/part3/subptiv/ch04/M21-1MRIII_iv_4_SecH.doc" TargetMode="External"/><Relationship Id="rId665" Type="http://schemas.openxmlformats.org/officeDocument/2006/relationships/hyperlink" Target="https://www.ecfr.gov/cgi-bin/retrieveECFR?gp=&amp;SID=183441708fe9ad13e3ea9b79a3d0b8ff&amp;mc=true&amp;r=SECTION&amp;n=se38.1.3_1344" TargetMode="External"/><Relationship Id="rId15" Type="http://schemas.openxmlformats.org/officeDocument/2006/relationships/hyperlink" Target="http://vbaw.vba.va.gov/bl/21/publicat/pub_home.htm" TargetMode="External"/><Relationship Id="rId57" Type="http://schemas.openxmlformats.org/officeDocument/2006/relationships/hyperlink" Target="mailto:ESD@va.gov" TargetMode="External"/><Relationship Id="rId262" Type="http://schemas.openxmlformats.org/officeDocument/2006/relationships/image" Target="media/image28.png"/><Relationship Id="rId318" Type="http://schemas.openxmlformats.org/officeDocument/2006/relationships/hyperlink" Target="http://vbaw.vba.va.gov/bl/21/star/calls/agenda/FY2018/quality_call_notes_1117.docx" TargetMode="External"/><Relationship Id="rId525" Type="http://schemas.openxmlformats.org/officeDocument/2006/relationships/hyperlink" Target="http://vbaw.vba.va.gov/bl/21/star/calls/agenda/FY2016/quality_call_notes_060816.doc" TargetMode="External"/><Relationship Id="rId567" Type="http://schemas.openxmlformats.org/officeDocument/2006/relationships/image" Target="media/image98.png"/><Relationship Id="rId732" Type="http://schemas.openxmlformats.org/officeDocument/2006/relationships/hyperlink" Target="http://vbaw.vba.va.gov/bl/21/star/calls/agenda/FY2017/quality_call_notes_071217.doc" TargetMode="External"/><Relationship Id="rId99" Type="http://schemas.openxmlformats.org/officeDocument/2006/relationships/hyperlink" Target="https://raportal.vpn.va.gov/Main1/" TargetMode="External"/><Relationship Id="rId122" Type="http://schemas.openxmlformats.org/officeDocument/2006/relationships/hyperlink" Target="http://explore.va.gov/" TargetMode="External"/><Relationship Id="rId164" Type="http://schemas.openxmlformats.org/officeDocument/2006/relationships/image" Target="cid:image013.png@01D2C4DE.E0928C10" TargetMode="External"/><Relationship Id="rId371" Type="http://schemas.openxmlformats.org/officeDocument/2006/relationships/hyperlink" Target="file:///\\vbasdcfpc2\SHARED\VSC\Development%20&amp;%20Rating%20Resources\QRT%20Bulletin" TargetMode="External"/><Relationship Id="rId774" Type="http://schemas.openxmlformats.org/officeDocument/2006/relationships/hyperlink" Target="https://www.vapulse.net/docs/DOC-49477" TargetMode="External"/><Relationship Id="rId427" Type="http://schemas.openxmlformats.org/officeDocument/2006/relationships/hyperlink" Target="https://www.ttande.org/VBA_Learning_Catalog/Comp_svc/Add_Ref/3893762_Add_Ref.docx" TargetMode="External"/><Relationship Id="rId469" Type="http://schemas.openxmlformats.org/officeDocument/2006/relationships/hyperlink" Target="http://www.cancer.gov/Common/PopUps/popDefinition.aspx?id=46481&amp;version=Patient&amp;language=English" TargetMode="External"/><Relationship Id="rId634" Type="http://schemas.openxmlformats.org/officeDocument/2006/relationships/hyperlink" Target="http://vbacodmoint1.vba.va.gov/bl/21/sitevisit/erb/ERB.asp" TargetMode="External"/><Relationship Id="rId676" Type="http://schemas.openxmlformats.org/officeDocument/2006/relationships/hyperlink" Target="file:///\\vbasdcfpc2\shared\VSC\Development%20&amp;%20Rating%20Resources\Effective%20Dates%20for%20IU.pdf" TargetMode="External"/><Relationship Id="rId26" Type="http://schemas.openxmlformats.org/officeDocument/2006/relationships/hyperlink" Target="http://vbacodmoint1.vba.va.gov/bl/21/calendar/cal_week.asp" TargetMode="External"/><Relationship Id="rId231" Type="http://schemas.openxmlformats.org/officeDocument/2006/relationships/hyperlink" Target="https://www.vbms.vba.va.gov/rating/webapp/secure/file/work" TargetMode="External"/><Relationship Id="rId273" Type="http://schemas.openxmlformats.org/officeDocument/2006/relationships/hyperlink" Target="http://vbacodmoint1.vba.va.gov/bl/21/dbq/docs/DBQcall/Mtg_Minutes_Weekly_DBQ_RO_Call_(2014-07-11).docx" TargetMode="External"/><Relationship Id="rId329" Type="http://schemas.openxmlformats.org/officeDocument/2006/relationships/hyperlink" Target="http://vbaw.vba.va.gov/bl/21/star/calls/agenda/FY2018/quality_call_notes_1117.docx" TargetMode="External"/><Relationship Id="rId480" Type="http://schemas.openxmlformats.org/officeDocument/2006/relationships/hyperlink" Target="file:///\\vbasdcfpc2\SHARED\VSC\Development%20&amp;%20Rating%20Resources\QRT%20Bulletin" TargetMode="External"/><Relationship Id="rId536" Type="http://schemas.openxmlformats.org/officeDocument/2006/relationships/hyperlink" Target="http://vbacodmoint1.vba.va.gov/bl/21/dbq/default.asp" TargetMode="External"/><Relationship Id="rId701" Type="http://schemas.openxmlformats.org/officeDocument/2006/relationships/hyperlink" Target="http://vbaw.vba.va.gov/bl/21/publicat/Manuals/Part1/appb.htm" TargetMode="External"/><Relationship Id="rId68" Type="http://schemas.openxmlformats.org/officeDocument/2006/relationships/hyperlink" Target="https://vaww.oit.va.gov/yourit/" TargetMode="External"/><Relationship Id="rId133" Type="http://schemas.openxmlformats.org/officeDocument/2006/relationships/hyperlink" Target="http://www.benefits.va.gov/pension/" TargetMode="External"/><Relationship Id="rId175" Type="http://schemas.openxmlformats.org/officeDocument/2006/relationships/image" Target="media/image22.png"/><Relationship Id="rId340" Type="http://schemas.openxmlformats.org/officeDocument/2006/relationships/hyperlink" Target="http://vbacodmoint1.vba.va.gov/bl/21/Transformation/docs/VBMS.doc" TargetMode="External"/><Relationship Id="rId578" Type="http://schemas.openxmlformats.org/officeDocument/2006/relationships/hyperlink" Target="https://www.gpo.gov/fdsys/pkg/FR-2018-04-09/pdf/2018-07081.pdf" TargetMode="External"/><Relationship Id="rId743" Type="http://schemas.openxmlformats.org/officeDocument/2006/relationships/hyperlink" Target="http://vbacodmoint1.vba.va.gov/bl/21/dbq/docs/DBQcall/Mtg_Minutes_Weekly_DBQ_RO_Call_(2014-12-19).docx" TargetMode="External"/><Relationship Id="rId785" Type="http://schemas.openxmlformats.org/officeDocument/2006/relationships/hyperlink" Target="http://vaww.demo.va.gov/publicationslibrary.asp" TargetMode="External"/><Relationship Id="rId200" Type="http://schemas.openxmlformats.org/officeDocument/2006/relationships/hyperlink" Target="https://vaww.compensation.pension.km.va.gov/system/templates/selfservice/va_ka/portal.html?encodedHash=%23!agent%2Fportal%2F554400000001034%2Farticle%2F554400000014115%2FM21-1-Part-III-Subpart-ii-Chapter-2-Section-C-Informal-Claims-Received-Prior-to-March-24-2015-Communication-of-an-Intent-to-File-ITF-and-Requests-for-Application" TargetMode="External"/><Relationship Id="rId382" Type="http://schemas.openxmlformats.org/officeDocument/2006/relationships/hyperlink" Target="http://vbaw.vba.va.gov/bl/21/Advisory/PGCOP/01op/Prc04_00.doc" TargetMode="External"/><Relationship Id="rId438" Type="http://schemas.openxmlformats.org/officeDocument/2006/relationships/image" Target="media/image45.png"/><Relationship Id="rId603" Type="http://schemas.openxmlformats.org/officeDocument/2006/relationships/image" Target="media/image104.png"/><Relationship Id="rId645" Type="http://schemas.openxmlformats.org/officeDocument/2006/relationships/hyperlink" Target="file:///\\vbasdcfpc2\SHARED\VSC\Development%20&amp;%20Rating%20Resources\QRT%20Bulletin" TargetMode="External"/><Relationship Id="rId687" Type="http://schemas.openxmlformats.org/officeDocument/2006/relationships/hyperlink" Target="http://vbaw.vba.va.gov/bl/21/Systems/Docs/smccalculator.doc" TargetMode="External"/><Relationship Id="rId242" Type="http://schemas.openxmlformats.org/officeDocument/2006/relationships/hyperlink" Target="http://www.census.gov/hhes/www/poverty/data/threshld/index.html" TargetMode="External"/><Relationship Id="rId284" Type="http://schemas.openxmlformats.org/officeDocument/2006/relationships/hyperlink" Target="https://www.vbms.vba.va.gov/rating/webapp/secure/file/work" TargetMode="External"/><Relationship Id="rId491" Type="http://schemas.openxmlformats.org/officeDocument/2006/relationships/hyperlink" Target="http://www.knowva.ebenefits.va.gov/system/templates/selfservice/va_ss/" TargetMode="External"/><Relationship Id="rId505" Type="http://schemas.openxmlformats.org/officeDocument/2006/relationships/image" Target="media/image75.png"/><Relationship Id="rId712" Type="http://schemas.openxmlformats.org/officeDocument/2006/relationships/hyperlink" Target="http://tpss.vba.va.gov/MedicalTPSS/runtime/15/150303000050.html" TargetMode="External"/><Relationship Id="rId37" Type="http://schemas.openxmlformats.org/officeDocument/2006/relationships/hyperlink" Target="http://vbaw.vba.va.gov/VBMS/index.asp" TargetMode="External"/><Relationship Id="rId79" Type="http://schemas.openxmlformats.org/officeDocument/2006/relationships/hyperlink" Target="https://vatas.va.gov/webta/Login" TargetMode="External"/><Relationship Id="rId102" Type="http://schemas.openxmlformats.org/officeDocument/2006/relationships/hyperlink" Target="https://citrixaccess.va.gov" TargetMode="External"/><Relationship Id="rId144" Type="http://schemas.openxmlformats.org/officeDocument/2006/relationships/image" Target="media/image5.jpeg"/><Relationship Id="rId547" Type="http://schemas.openxmlformats.org/officeDocument/2006/relationships/hyperlink" Target="http://www.ecfr.gov/cgi-bin/text-idx?SID=33d9334e8ca962940e6f920431bd3246&amp;node=se38.1.3_1385&amp;rgn=div8" TargetMode="External"/><Relationship Id="rId589" Type="http://schemas.openxmlformats.org/officeDocument/2006/relationships/hyperlink" Target="http://vbaw.vba.va.gov/VBMS/docs/VBMS_TipsnTricks_Release_6_1_20140421_FINAL.PDF" TargetMode="External"/><Relationship Id="rId754" Type="http://schemas.openxmlformats.org/officeDocument/2006/relationships/hyperlink" Target="http://vbaw.vba.va.gov/bl/21/publicat/Regs/Part3/3_309.htm" TargetMode="External"/><Relationship Id="rId796" Type="http://schemas.openxmlformats.org/officeDocument/2006/relationships/hyperlink" Target="https://customers.logisticshealth.com/Login.aspx" TargetMode="External"/><Relationship Id="rId90" Type="http://schemas.openxmlformats.org/officeDocument/2006/relationships/hyperlink" Target="file:///\\VBA.VA.GOV\RO\SDC\shared\VSC\FY2013%20LANES\Training\NTC%20Training%20Recordings\FY18" TargetMode="External"/><Relationship Id="rId186" Type="http://schemas.openxmlformats.org/officeDocument/2006/relationships/hyperlink" Target="http://vbaw.vba.va.gov/bl/21/star/calls/agenda/FY2017/quality_call_notes_030817.doc" TargetMode="External"/><Relationship Id="rId351" Type="http://schemas.openxmlformats.org/officeDocument/2006/relationships/hyperlink" Target="http://epss.vba.va.gov/mepss/" TargetMode="External"/><Relationship Id="rId393" Type="http://schemas.openxmlformats.org/officeDocument/2006/relationships/hyperlink" Target="https://www.benefits.va.gov/COMPENSATION/effective_dates.asp" TargetMode="External"/><Relationship Id="rId407" Type="http://schemas.openxmlformats.org/officeDocument/2006/relationships/hyperlink" Target="http://vbaw.vba.va.gov/bl/21/star/calls/agenda/fy2015/Quality_Call_Notes_031115.doc" TargetMode="External"/><Relationship Id="rId449" Type="http://schemas.openxmlformats.org/officeDocument/2006/relationships/image" Target="media/image56.png"/><Relationship Id="rId614" Type="http://schemas.openxmlformats.org/officeDocument/2006/relationships/hyperlink" Target="https://www.ecfr.gov/cgi-bin/text-idx?SID=a7692430ad0ee82c2f68e96420cd7f49&amp;mc=true&amp;node=se38.1.4_1119&amp;rgn=div8" TargetMode="External"/><Relationship Id="rId656" Type="http://schemas.openxmlformats.org/officeDocument/2006/relationships/hyperlink" Target="http://www.history.navy.mil/faqs/faq73-1.htm" TargetMode="External"/><Relationship Id="rId211" Type="http://schemas.openxmlformats.org/officeDocument/2006/relationships/hyperlink" Target="http://vbaw.vba.va.gov/bl/21/star/calls/agenda/FY2016/quality_call_notes_030916.doc" TargetMode="External"/><Relationship Id="rId253" Type="http://schemas.openxmlformats.org/officeDocument/2006/relationships/hyperlink" Target="https://www.vbms.vba.va.gov/rating/webapp/secure/file/work" TargetMode="External"/><Relationship Id="rId295" Type="http://schemas.openxmlformats.org/officeDocument/2006/relationships/hyperlink" Target="http://www.vba.va.gov/pubs/forms/VBA-21-22-ARE.pdf" TargetMode="External"/><Relationship Id="rId309" Type="http://schemas.openxmlformats.org/officeDocument/2006/relationships/hyperlink" Target="https://vaww.vrm.km.va.gov/system/templates/selfservice/va_kanew/help/agent/locale/en-US/portal/554400000001034/content/554400000014125/M21-1-Part-III-Subpart-ii-Chapter-3-Section-C-System-Updates" TargetMode="External"/><Relationship Id="rId460" Type="http://schemas.openxmlformats.org/officeDocument/2006/relationships/image" Target="media/image67.png"/><Relationship Id="rId516" Type="http://schemas.openxmlformats.org/officeDocument/2006/relationships/hyperlink" Target="file:///\\vbasdcfpc2\SHARED\VSC\Development%20&amp;%20Rating%20Resources\QRT%20Bulletin" TargetMode="External"/><Relationship Id="rId698" Type="http://schemas.openxmlformats.org/officeDocument/2006/relationships/hyperlink" Target="http://vbaw.vba.va.gov/bl/21/publicat/Manuals/Part1/" TargetMode="External"/><Relationship Id="rId48" Type="http://schemas.openxmlformats.org/officeDocument/2006/relationships/hyperlink" Target="http://vaww.oed.portal.va.gov/pm/iehr/vista_evolution/JLV/Resources/Forms/AllItems.aspx" TargetMode="External"/><Relationship Id="rId113" Type="http://schemas.openxmlformats.org/officeDocument/2006/relationships/hyperlink" Target="http://www.mentalhealth.va.gov/docs/MHG_English.pdf" TargetMode="External"/><Relationship Id="rId320" Type="http://schemas.openxmlformats.org/officeDocument/2006/relationships/image" Target="media/image37.png"/><Relationship Id="rId558" Type="http://schemas.openxmlformats.org/officeDocument/2006/relationships/image" Target="media/image90.png"/><Relationship Id="rId723" Type="http://schemas.openxmlformats.org/officeDocument/2006/relationships/hyperlink" Target="http://vbaw.vba.va.gov/VBMS/Resources_Technical_Information.asp" TargetMode="External"/><Relationship Id="rId765" Type="http://schemas.openxmlformats.org/officeDocument/2006/relationships/image" Target="media/image130.png"/><Relationship Id="rId155" Type="http://schemas.openxmlformats.org/officeDocument/2006/relationships/image" Target="media/image12.png"/><Relationship Id="rId197" Type="http://schemas.openxmlformats.org/officeDocument/2006/relationships/hyperlink" Target="http://vbaw.vba.va.gov/bl/21/star/calls/agenda/fy2016/Quality_Call_Notes_030916.doc" TargetMode="External"/><Relationship Id="rId362" Type="http://schemas.openxmlformats.org/officeDocument/2006/relationships/hyperlink" Target="file:///\\vbasdcfpc2\SHARED\VSC\Development%20&amp;%20Rating%20Resources\standard%20Quality%20Control%20Reviews" TargetMode="External"/><Relationship Id="rId418" Type="http://schemas.openxmlformats.org/officeDocument/2006/relationships/hyperlink" Target="http://vbaw.vba.va.gov/bl/21/calendar/agenda/FY12/1112.doc" TargetMode="External"/><Relationship Id="rId625" Type="http://schemas.openxmlformats.org/officeDocument/2006/relationships/hyperlink" Target="http://www.benefits.va.gov/WARMS/docs/admin21/m21_1/mr/part3/subptiv/ch04/M21-1MRIII_iv_4_SecH.doc" TargetMode="External"/><Relationship Id="rId222" Type="http://schemas.openxmlformats.org/officeDocument/2006/relationships/hyperlink" Target="https://www.vbms.vba.va.gov/rating/webapp/secure/file/work" TargetMode="External"/><Relationship Id="rId264" Type="http://schemas.openxmlformats.org/officeDocument/2006/relationships/image" Target="media/image30.png"/><Relationship Id="rId471" Type="http://schemas.openxmlformats.org/officeDocument/2006/relationships/hyperlink" Target="http://vbaw.vba.va.gov/bl/21/star/star_call.htm" TargetMode="External"/><Relationship Id="rId667" Type="http://schemas.openxmlformats.org/officeDocument/2006/relationships/hyperlink" Target="https://www.ecfr.gov/cgi-bin/text-idx?SID=ad275643432556b9dda942343fb89296&amp;mc=true&amp;node=pt38.1.3&amp;rgn=div58" TargetMode="External"/><Relationship Id="rId17" Type="http://schemas.openxmlformats.org/officeDocument/2006/relationships/hyperlink" Target="http://vbaw.vba.va.gov/bl/21/Rating/rat00.htm" TargetMode="External"/><Relationship Id="rId59" Type="http://schemas.openxmlformats.org/officeDocument/2006/relationships/hyperlink" Target="mailto:ESD@va.gov" TargetMode="External"/><Relationship Id="rId124" Type="http://schemas.openxmlformats.org/officeDocument/2006/relationships/hyperlink" Target="http://www.ebenefits.va.gov/" TargetMode="External"/><Relationship Id="rId527" Type="http://schemas.openxmlformats.org/officeDocument/2006/relationships/hyperlink" Target="https://www.gpo.gov/fdsys/pkg/FR-2018-04-10/pdf/2018-06928.pdf" TargetMode="External"/><Relationship Id="rId569" Type="http://schemas.openxmlformats.org/officeDocument/2006/relationships/hyperlink" Target="http://vbaw.vba.va.gov/bl/21/star/calls/agenda/fy2014/Rating_Quality_Call_Notes_052114.docx" TargetMode="External"/><Relationship Id="rId734" Type="http://schemas.openxmlformats.org/officeDocument/2006/relationships/hyperlink" Target="http://vbaw.vba.va.gov/bl/21/star/calls/agenda/FY2017/quality_call_notes_041217.doc" TargetMode="External"/><Relationship Id="rId776" Type="http://schemas.openxmlformats.org/officeDocument/2006/relationships/hyperlink" Target="https://vaww.caats3.aac.va.gov" TargetMode="External"/><Relationship Id="rId70" Type="http://schemas.openxmlformats.org/officeDocument/2006/relationships/image" Target="cid:image001.png@01D3E616.B24EBD10" TargetMode="External"/><Relationship Id="rId166" Type="http://schemas.openxmlformats.org/officeDocument/2006/relationships/image" Target="cid:image014.png@01D2C4DE.E0928C10" TargetMode="External"/><Relationship Id="rId331" Type="http://schemas.openxmlformats.org/officeDocument/2006/relationships/hyperlink" Target="http://www.gpo.gov/fdsys/pkg/CFR-2003-title38-vol1/pdf/CFR-2003-title38-vol1-part4.pdf" TargetMode="External"/><Relationship Id="rId373" Type="http://schemas.openxmlformats.org/officeDocument/2006/relationships/hyperlink" Target="http://www.law.cornell.edu/uscode/html/uscode38/usc_sec_38_00000101----000-.html" TargetMode="External"/><Relationship Id="rId429" Type="http://schemas.openxmlformats.org/officeDocument/2006/relationships/hyperlink" Target="http://vbaw.vba.va.gov/bl/21/star/calls/agenda/fy2014/Rating_Quality_Call_Notes_021214.docx" TargetMode="External"/><Relationship Id="rId580" Type="http://schemas.openxmlformats.org/officeDocument/2006/relationships/hyperlink" Target="https://www.ttande.org/VBA_Learning_Catalog/Comp_Svc/HO/4279422_HO.docx" TargetMode="External"/><Relationship Id="rId636" Type="http://schemas.openxmlformats.org/officeDocument/2006/relationships/image" Target="media/image112.png"/><Relationship Id="rId801" Type="http://schemas.openxmlformats.org/officeDocument/2006/relationships/hyperlink" Target="https://vaww.compensation.pension.km.va.gov/system/templates/selfservice/va_ka/" TargetMode="External"/><Relationship Id="rId1" Type="http://schemas.openxmlformats.org/officeDocument/2006/relationships/customXml" Target="../customXml/item1.xml"/><Relationship Id="rId233" Type="http://schemas.openxmlformats.org/officeDocument/2006/relationships/hyperlink" Target="https://www.vbms.vba.va.gov/rating/webapp/secure/file/work" TargetMode="External"/><Relationship Id="rId440" Type="http://schemas.openxmlformats.org/officeDocument/2006/relationships/image" Target="media/image47.png"/><Relationship Id="rId678" Type="http://schemas.openxmlformats.org/officeDocument/2006/relationships/hyperlink" Target="http://vbaw.vba.va.gov/bl/21/star/calls/agenda/fy2015/Rating_Quality_Call_Notes_101114.doc" TargetMode="External"/><Relationship Id="rId28" Type="http://schemas.openxmlformats.org/officeDocument/2006/relationships/hyperlink" Target="http://vbacodmoint1.vba.va.gov/bl/21/qrt/qrt_home.htm" TargetMode="External"/><Relationship Id="rId275" Type="http://schemas.openxmlformats.org/officeDocument/2006/relationships/hyperlink" Target="http://www.mayoclinic.org/diseases-conditions/male-infertility/basics/causes/con-20033113" TargetMode="External"/><Relationship Id="rId300" Type="http://schemas.openxmlformats.org/officeDocument/2006/relationships/hyperlink" Target="https://www.law.cornell.edu/uscode/text/38/7332" TargetMode="External"/><Relationship Id="rId482" Type="http://schemas.openxmlformats.org/officeDocument/2006/relationships/hyperlink" Target="https://www.vapulse.net/thread/26795" TargetMode="External"/><Relationship Id="rId538" Type="http://schemas.openxmlformats.org/officeDocument/2006/relationships/hyperlink" Target="http://vbacodmoint1.vba.va.gov/bl/21/dbq/docs/DBQcall/Mtg_Minutes_Weekly_DBQ_RO_Call_(2014-09-05).docx" TargetMode="External"/><Relationship Id="rId703" Type="http://schemas.openxmlformats.org/officeDocument/2006/relationships/hyperlink" Target="https://vbaw.vba.va.gov/bl/21/Publicat/Regs/Part4/4_150.htm" TargetMode="External"/><Relationship Id="rId745" Type="http://schemas.openxmlformats.org/officeDocument/2006/relationships/hyperlink" Target="http://vaww.compensation.pension.km.va.gov/system/templates/selfservice/va_ka/" TargetMode="External"/><Relationship Id="rId81" Type="http://schemas.openxmlformats.org/officeDocument/2006/relationships/hyperlink" Target="https://alertseast.vans.va.gov/SelfService/2061276" TargetMode="External"/><Relationship Id="rId135" Type="http://schemas.openxmlformats.org/officeDocument/2006/relationships/hyperlink" Target="http://www.benefits.va.gov/fiduciary" TargetMode="External"/><Relationship Id="rId177" Type="http://schemas.openxmlformats.org/officeDocument/2006/relationships/hyperlink" Target="http://vbaw.vba.va.gov/bl/21/star/calls/agenda/FY2018/quality_call_notes_1217.docx" TargetMode="External"/><Relationship Id="rId342" Type="http://schemas.openxmlformats.org/officeDocument/2006/relationships/hyperlink" Target="http://vbacodmoint1.vba.va.gov/bl/21/Transformation/docs/Doc%20Indexing%20Guide%20Searchable.xls" TargetMode="External"/><Relationship Id="rId384" Type="http://schemas.openxmlformats.org/officeDocument/2006/relationships/hyperlink" Target="http://vbaw.vba.va.gov/bl/21/star/calls/agenda/FY2016/quality_call_notes_051116.doc" TargetMode="External"/><Relationship Id="rId591" Type="http://schemas.openxmlformats.org/officeDocument/2006/relationships/hyperlink" Target="https://vaww.compensation.pension.km.va.gov/system/templates/selfservice/va_ka/portal.html?encodedHash=%23!agent%2Fportal%2F554400000001034%2Farticle%2F554400000015808%2FM21-1-Part-III-Subpart-iv-Chapter-2-Section-B-Revision-of-Decisions%3FfromQuery%3Dclear%20and%20unmistakable%20error" TargetMode="External"/><Relationship Id="rId605" Type="http://schemas.openxmlformats.org/officeDocument/2006/relationships/image" Target="media/image105.png"/><Relationship Id="rId787" Type="http://schemas.openxmlformats.org/officeDocument/2006/relationships/hyperlink" Target="http://vbaw.vba.va.gov/bl/21/star/calls/agenda/FY2016/quality_call_notes_042016.doc" TargetMode="External"/><Relationship Id="rId202" Type="http://schemas.openxmlformats.org/officeDocument/2006/relationships/hyperlink" Target="http://www.ecfr.gov/cgi-bin/text-idx?SID=6724204e8449257b09cc0b7de09943c2&amp;node=se38.1.3_1160&amp;rgn=div8" TargetMode="External"/><Relationship Id="rId244" Type="http://schemas.openxmlformats.org/officeDocument/2006/relationships/hyperlink" Target="https://www.vbms.vba.va.gov/rating/webapp/secure/file/work" TargetMode="External"/><Relationship Id="rId647" Type="http://schemas.openxmlformats.org/officeDocument/2006/relationships/hyperlink" Target="http://www.law.cornell.edu/uscode/text/38/1110" TargetMode="External"/><Relationship Id="rId689" Type="http://schemas.openxmlformats.org/officeDocument/2006/relationships/hyperlink" Target="http://vbaw.vba.va.gov/bl/21/star/calls/agenda/fy2015/Rating_Quality_Call_Notes_111914.doc" TargetMode="External"/><Relationship Id="rId39" Type="http://schemas.openxmlformats.org/officeDocument/2006/relationships/hyperlink" Target="http://vbaw.vba.va.gov/vbms/multimedia.asp" TargetMode="External"/><Relationship Id="rId286" Type="http://schemas.openxmlformats.org/officeDocument/2006/relationships/hyperlink" Target="http://vbaw.vba.va.gov/VBMS/docs/VBMS_Tips_and_Tricks_9_0_FINAL.pdf" TargetMode="External"/><Relationship Id="rId451" Type="http://schemas.openxmlformats.org/officeDocument/2006/relationships/image" Target="media/image58.png"/><Relationship Id="rId493" Type="http://schemas.openxmlformats.org/officeDocument/2006/relationships/hyperlink" Target="http://vbaw.vba.va.gov/bl/21/star/calls/agenda/FY2018/quality_call_notes_0218.docx" TargetMode="External"/><Relationship Id="rId507" Type="http://schemas.openxmlformats.org/officeDocument/2006/relationships/hyperlink" Target="https://www.ecfr.gov/cgi-bin/text-idx?SID=7d1499e7d48772e0a95a11c286653cb8&amp;mc=true&amp;node=se38.1.4_171a&amp;rgn=div8" TargetMode="External"/><Relationship Id="rId549" Type="http://schemas.openxmlformats.org/officeDocument/2006/relationships/image" Target="media/image81.png"/><Relationship Id="rId714" Type="http://schemas.openxmlformats.org/officeDocument/2006/relationships/hyperlink" Target="http://vbaw.vba.va.gov/VBMS/Resources_Job_Instruction_Sheets.asp" TargetMode="External"/><Relationship Id="rId756" Type="http://schemas.openxmlformats.org/officeDocument/2006/relationships/hyperlink" Target="http://vbaw.vba.va.gov/bl/21/publicat/Regs/Part3/3_316.htm" TargetMode="External"/><Relationship Id="rId50" Type="http://schemas.openxmlformats.org/officeDocument/2006/relationships/hyperlink" Target="https://www.vapulse.net/groups/jlv-network" TargetMode="External"/><Relationship Id="rId104" Type="http://schemas.openxmlformats.org/officeDocument/2006/relationships/hyperlink" Target="http://www.va.gov/healthbenefits/" TargetMode="External"/><Relationship Id="rId146" Type="http://schemas.openxmlformats.org/officeDocument/2006/relationships/image" Target="media/image6.png"/><Relationship Id="rId188" Type="http://schemas.openxmlformats.org/officeDocument/2006/relationships/hyperlink" Target="https://vaww.compensation.pension.km.va.gov/system/templates/selfservice/va_ka/portal.html?encodedHash=%23!agent%2Fportal%2F554400000001034%2Farticle%2F554400000014278%2FM21-1-Part-III-Subpart-vi-Chapter-1-Section-A-Compensation-Service-and-Pension-and-Fiduciary-PF-Service-Guidance" TargetMode="External"/><Relationship Id="rId311" Type="http://schemas.openxmlformats.org/officeDocument/2006/relationships/hyperlink" Target="http://www.vba.va.gov/pubs/forms/VBA-21-22a-ARE.pdf" TargetMode="External"/><Relationship Id="rId353" Type="http://schemas.openxmlformats.org/officeDocument/2006/relationships/hyperlink" Target="file:///\\vbasdcfpc2\SHARED\VSC\Development%20&amp;%20Rating%20Resources\QRT%20Bulletin" TargetMode="External"/><Relationship Id="rId395" Type="http://schemas.openxmlformats.org/officeDocument/2006/relationships/hyperlink" Target="http://www.ecfr.gov/cgi-bin/text-idx?SID=0630d5624c5da26fa967f7f946edcb2f&amp;mc=true&amp;node=se38.1.3_1309&amp;rgn=div8" TargetMode="External"/><Relationship Id="rId409" Type="http://schemas.openxmlformats.org/officeDocument/2006/relationships/hyperlink" Target="https://www.publichealth.va.gov/exposures/agentorange/locations/tests-storage/index.asp" TargetMode="External"/><Relationship Id="rId560" Type="http://schemas.openxmlformats.org/officeDocument/2006/relationships/image" Target="media/image92.C7ECA380"/><Relationship Id="rId798" Type="http://schemas.openxmlformats.org/officeDocument/2006/relationships/hyperlink" Target="https://vetfedclient.qtcm.com/" TargetMode="External"/><Relationship Id="rId92" Type="http://schemas.openxmlformats.org/officeDocument/2006/relationships/hyperlink" Target="https://vaww.vashare.vba.va.gov/sites/SDC-377-VSC/VSCTRAINING/Lists/FY18%20Muster%20Sheets/Item/newifs.aspx?List=8cc9cba3%2Dba0d%2D43c5%2D99d4%2D7921cd8ffd5c&amp;RootFolder=&amp;Web=fe2ea656%2Df6fd%2D4ff9%2Dbee3%2Dcb92e1d22144" TargetMode="External"/><Relationship Id="rId213" Type="http://schemas.openxmlformats.org/officeDocument/2006/relationships/hyperlink" Target="https://www.ttande.org/VBA_Learning_Catalog/Comp_Svc/HO/3323966_HO.doc" TargetMode="External"/><Relationship Id="rId420" Type="http://schemas.openxmlformats.org/officeDocument/2006/relationships/hyperlink" Target="http://vbaw.vba.va.gov/bl/21/Publicat/Regs/Part3/3_309.htm" TargetMode="External"/><Relationship Id="rId616" Type="http://schemas.openxmlformats.org/officeDocument/2006/relationships/hyperlink" Target="http://vaww.oed.portal.va.gov/products/VBMS/SOCM/usercollaboration/Delta/VBMS_Release_14%200_Training_Deck_12_08_17.pptx" TargetMode="External"/><Relationship Id="rId658" Type="http://schemas.openxmlformats.org/officeDocument/2006/relationships/hyperlink" Target="https://www.law.cornell.edu/uscode/text/38/1702" TargetMode="External"/><Relationship Id="rId255" Type="http://schemas.openxmlformats.org/officeDocument/2006/relationships/hyperlink" Target="https://www.vbms.vba.va.gov/rating/webapp/secure/file/work" TargetMode="External"/><Relationship Id="rId297" Type="http://schemas.openxmlformats.org/officeDocument/2006/relationships/hyperlink" Target="https://www.law.cornell.edu/uscode/text/38/7332" TargetMode="External"/><Relationship Id="rId462" Type="http://schemas.openxmlformats.org/officeDocument/2006/relationships/image" Target="media/image69.png"/><Relationship Id="rId518" Type="http://schemas.openxmlformats.org/officeDocument/2006/relationships/hyperlink" Target="http://vbaw.vba.va.gov/bl/21/star/star_call.htm" TargetMode="External"/><Relationship Id="rId725" Type="http://schemas.openxmlformats.org/officeDocument/2006/relationships/hyperlink" Target="https://vaww.compensation.pension.km.va.gov/system/templates/selfservice/va_ka/" TargetMode="External"/><Relationship Id="rId115" Type="http://schemas.openxmlformats.org/officeDocument/2006/relationships/hyperlink" Target="https://www.vetranscrisisline.net/" TargetMode="External"/><Relationship Id="rId157" Type="http://schemas.openxmlformats.org/officeDocument/2006/relationships/image" Target="media/image13.png"/><Relationship Id="rId322" Type="http://schemas.openxmlformats.org/officeDocument/2006/relationships/image" Target="media/image39.png"/><Relationship Id="rId364" Type="http://schemas.openxmlformats.org/officeDocument/2006/relationships/hyperlink" Target="http://www.ecfr.gov/cgi-bin/text-idx?SID=fa97f8a169e2599f5b20e5743ae50517&amp;mc=true&amp;node=se38.1.4_171a&amp;rgn=div8" TargetMode="External"/><Relationship Id="rId767" Type="http://schemas.openxmlformats.org/officeDocument/2006/relationships/hyperlink" Target="http://vaww.oed.portal.va.gov/products/VBMS/SOCM/usercollaboration/Delta/VBMS_Deferral_Resolution_Job_Aid_20160411.pdf" TargetMode="External"/><Relationship Id="rId61" Type="http://schemas.openxmlformats.org/officeDocument/2006/relationships/hyperlink" Target="mailto:vbmssvcdesk.vbaco@va.gov" TargetMode="External"/><Relationship Id="rId199" Type="http://schemas.openxmlformats.org/officeDocument/2006/relationships/hyperlink" Target="http://vbaw.vba.va.gov/bl/21/star/calls/agenda/FY2017/quality_call_notes_020817.doc" TargetMode="External"/><Relationship Id="rId571" Type="http://schemas.openxmlformats.org/officeDocument/2006/relationships/hyperlink" Target="http://vbaw.vba.va.gov/VBMS/docs/VBMS_Release_10_1_Tips_and_Tricks.pdf" TargetMode="External"/><Relationship Id="rId627" Type="http://schemas.openxmlformats.org/officeDocument/2006/relationships/image" Target="media/image107.png"/><Relationship Id="rId669" Type="http://schemas.openxmlformats.org/officeDocument/2006/relationships/hyperlink" Target="https://vaww.vrm.km.va.gov/system/templates/selfservice/va_kanew/help/agent/locale/en-US/portal/554400000001034/content/554400000014592/M21-1-Part-IV-Subpart-ii-Chapter-3-Section-B-Failure-to-Report-for-Review-Examination" TargetMode="External"/><Relationship Id="rId19" Type="http://schemas.openxmlformats.org/officeDocument/2006/relationships/hyperlink" Target="http://vbacodmoint1.vba.va.gov/bl/21/dbq/DBQByDisab.asp" TargetMode="External"/><Relationship Id="rId224" Type="http://schemas.openxmlformats.org/officeDocument/2006/relationships/hyperlink" Target="https://www.vbms.vba.va.gov/rating/webapp/secure/file/work" TargetMode="External"/><Relationship Id="rId266" Type="http://schemas.openxmlformats.org/officeDocument/2006/relationships/image" Target="media/image32.png"/><Relationship Id="rId431" Type="http://schemas.openxmlformats.org/officeDocument/2006/relationships/hyperlink" Target="https://www.law.cornell.edu/uscode/text/38/101" TargetMode="External"/><Relationship Id="rId473" Type="http://schemas.openxmlformats.org/officeDocument/2006/relationships/hyperlink" Target="http://vbaw.vba.va.gov/bl/21/star/calls/agenda/fy2015/Quality_Call_Notes_051315.doc" TargetMode="External"/><Relationship Id="rId529" Type="http://schemas.openxmlformats.org/officeDocument/2006/relationships/hyperlink" Target="https://www.ttande.org/VBA_Learning_Catalog/Comp_Svc/HO/4449901_HO.docx" TargetMode="External"/><Relationship Id="rId680" Type="http://schemas.openxmlformats.org/officeDocument/2006/relationships/hyperlink" Target="http://vbaw.vba.va.gov/bl/21/star/calls/agenda/FY2016/quality_call_notes_030916.doc" TargetMode="External"/><Relationship Id="rId736" Type="http://schemas.openxmlformats.org/officeDocument/2006/relationships/image" Target="media/image120.png"/><Relationship Id="rId30" Type="http://schemas.openxmlformats.org/officeDocument/2006/relationships/hyperlink" Target="https://vba-tpi.vbatraining.org/lc/" TargetMode="External"/><Relationship Id="rId126" Type="http://schemas.openxmlformats.org/officeDocument/2006/relationships/hyperlink" Target="http://www.benefits.va.gov/homeloans/index.asp" TargetMode="External"/><Relationship Id="rId168" Type="http://schemas.openxmlformats.org/officeDocument/2006/relationships/image" Target="cid:image015.png@01D2C4DE.E0928C10" TargetMode="External"/><Relationship Id="rId333" Type="http://schemas.openxmlformats.org/officeDocument/2006/relationships/image" Target="media/image41.png"/><Relationship Id="rId540" Type="http://schemas.openxmlformats.org/officeDocument/2006/relationships/hyperlink" Target="https://vaww.compensation.pension.km.va.gov/system/templates/selfservice/va_ka/" TargetMode="External"/><Relationship Id="rId778" Type="http://schemas.openxmlformats.org/officeDocument/2006/relationships/hyperlink" Target="https://www.vapulse.net/docs/DOC-49848" TargetMode="External"/><Relationship Id="rId72" Type="http://schemas.openxmlformats.org/officeDocument/2006/relationships/image" Target="cid:image002.png@01D3E616.B24EBD10" TargetMode="External"/><Relationship Id="rId375" Type="http://schemas.openxmlformats.org/officeDocument/2006/relationships/hyperlink" Target="http://www.ecfr.gov/cgi-bin/text-idx?SID=e05198e2438720214fefa4168b6397a7&amp;node=pt38.1.3&amp;rgn=div5" TargetMode="External"/><Relationship Id="rId582" Type="http://schemas.openxmlformats.org/officeDocument/2006/relationships/image" Target="media/image99.png"/><Relationship Id="rId638" Type="http://schemas.openxmlformats.org/officeDocument/2006/relationships/hyperlink" Target="http://vbacodmoint1.vba.va.gov/bl/21/sitevisit/erb/ERB.asp" TargetMode="External"/><Relationship Id="rId803" Type="http://schemas.openxmlformats.org/officeDocument/2006/relationships/fontTable" Target="fontTable.xml"/><Relationship Id="rId3" Type="http://schemas.openxmlformats.org/officeDocument/2006/relationships/styles" Target="styles.xml"/><Relationship Id="rId235" Type="http://schemas.openxmlformats.org/officeDocument/2006/relationships/hyperlink" Target="https://www.vbms.vba.va.gov/rating/webapp/secure/file/work" TargetMode="External"/><Relationship Id="rId277" Type="http://schemas.openxmlformats.org/officeDocument/2006/relationships/hyperlink" Target="http://vbacodmoint1.vba.va.gov/bl/21/Transformation/docs/adl%20sop.docx" TargetMode="External"/><Relationship Id="rId400" Type="http://schemas.openxmlformats.org/officeDocument/2006/relationships/hyperlink" Target="http://www.va.gov/vaforms" TargetMode="External"/><Relationship Id="rId442" Type="http://schemas.openxmlformats.org/officeDocument/2006/relationships/image" Target="media/image49.png"/><Relationship Id="rId484" Type="http://schemas.openxmlformats.org/officeDocument/2006/relationships/hyperlink" Target="http://www.uscourts.cavc.gov/documents/CorreiaJW_13-3238.pdf" TargetMode="External"/><Relationship Id="rId705" Type="http://schemas.openxmlformats.org/officeDocument/2006/relationships/hyperlink" Target="https://www.ecfr.gov/cgi-bin/text-idx?SID=784f66b05b5d7a3e45d8786b113aa9d0&amp;mc=true&amp;node=se38.1.4_1150&amp;rgn=div8" TargetMode="External"/><Relationship Id="rId137" Type="http://schemas.openxmlformats.org/officeDocument/2006/relationships/hyperlink" Target="http://explore.va.gov/life-insurance" TargetMode="External"/><Relationship Id="rId302" Type="http://schemas.openxmlformats.org/officeDocument/2006/relationships/hyperlink" Target="http://www.vba.va.gov/pubs/forms/VBA-21-22a-ARE.pdf" TargetMode="External"/><Relationship Id="rId344" Type="http://schemas.openxmlformats.org/officeDocument/2006/relationships/hyperlink" Target="http://vbaw.vba.va.gov/bl/21/publicat/Manuals/Part1/appa.htm" TargetMode="External"/><Relationship Id="rId691" Type="http://schemas.openxmlformats.org/officeDocument/2006/relationships/image" Target="media/image115.png"/><Relationship Id="rId747" Type="http://schemas.openxmlformats.org/officeDocument/2006/relationships/hyperlink" Target="http://vbaw.vba.va.gov/bl/21/star/calls/agenda/FY2016/quality_call_notes_080316.doc" TargetMode="External"/><Relationship Id="rId789" Type="http://schemas.openxmlformats.org/officeDocument/2006/relationships/hyperlink" Target="http://vbacodmoint1.vba.va.gov/bl/21/sitevisit/docs/exam_builder_info.docx" TargetMode="External"/><Relationship Id="rId41" Type="http://schemas.openxmlformats.org/officeDocument/2006/relationships/hyperlink" Target="http://vbaw.vba.va.gov/bl/21/star/reports/star_rpts17.htm" TargetMode="External"/><Relationship Id="rId83" Type="http://schemas.openxmlformats.org/officeDocument/2006/relationships/hyperlink" Target="https://vaww.vba.esp.va.gov/sites/SDC-377/Directives/SitePages/Home.aspx" TargetMode="External"/><Relationship Id="rId179" Type="http://schemas.openxmlformats.org/officeDocument/2006/relationships/hyperlink" Target="http://vbaw.vba.va.gov/bl/21/star/calls/agenda/FY2018/quality_call_notes_1117.docx" TargetMode="External"/><Relationship Id="rId386" Type="http://schemas.openxmlformats.org/officeDocument/2006/relationships/hyperlink" Target="file:///\\vbasdcfpc2\SHARED\VSC\Development%20&amp;%20Rating%20Resources\standard%20Quality%20Control%20Reviews" TargetMode="External"/><Relationship Id="rId551" Type="http://schemas.openxmlformats.org/officeDocument/2006/relationships/image" Target="media/image83.png"/><Relationship Id="rId593" Type="http://schemas.openxmlformats.org/officeDocument/2006/relationships/hyperlink" Target="https://vaww.compensation.pension.km.va.gov/system/templates/selfservice/va_ka/portal.html?encodedHash=%23!agent%2Fportal%2F554400000001034%2Farticle%2F554400000014205%2FM21-1-Part-III-Subpart-iv-Chapter-6-Section-B-Determining-the-Issues" TargetMode="External"/><Relationship Id="rId607" Type="http://schemas.openxmlformats.org/officeDocument/2006/relationships/hyperlink" Target="http://vbaw.vba.va.gov/VBMS/docs/VBMSTips_and_Tricks14_0.pdf" TargetMode="External"/><Relationship Id="rId649" Type="http://schemas.openxmlformats.org/officeDocument/2006/relationships/hyperlink" Target="http://vbaw.vba.va.gov/bl/21/star/calls/agenda/fy2014/Rating_Quality_Call_Notes_052114.docx" TargetMode="External"/><Relationship Id="rId190" Type="http://schemas.openxmlformats.org/officeDocument/2006/relationships/hyperlink" Target="https://www.ttande.org/VBA_Learning_Catalog/Comp_svc/Add_Ref/3914064_Add_Ref.pdf" TargetMode="External"/><Relationship Id="rId204" Type="http://schemas.openxmlformats.org/officeDocument/2006/relationships/hyperlink" Target="http://www.va.gov/vaforms" TargetMode="External"/><Relationship Id="rId246" Type="http://schemas.openxmlformats.org/officeDocument/2006/relationships/hyperlink" Target="https://www.vbms.vba.va.gov/rating/webapp/secure/file/work" TargetMode="External"/><Relationship Id="rId288" Type="http://schemas.openxmlformats.org/officeDocument/2006/relationships/hyperlink" Target="https://www.vbms.vba.va.gov/rating/webapp/secure/file/work" TargetMode="External"/><Relationship Id="rId411" Type="http://schemas.openxmlformats.org/officeDocument/2006/relationships/image" Target="media/image43.wmf"/><Relationship Id="rId453" Type="http://schemas.openxmlformats.org/officeDocument/2006/relationships/image" Target="media/image60.png"/><Relationship Id="rId509" Type="http://schemas.openxmlformats.org/officeDocument/2006/relationships/hyperlink" Target="http://vbacodmoint1.vba.va.gov/bl/21/dbq/docs/DBQcall/Mtg_Minutes_Weekly_DBQ_RO_Call_(2014-07-11).docx" TargetMode="External"/><Relationship Id="rId660" Type="http://schemas.openxmlformats.org/officeDocument/2006/relationships/hyperlink" Target="http://vbaw.vba.va.gov/bl/21/star/calls/agenda/FY2016/quality_call_notes_030916.doc" TargetMode="External"/><Relationship Id="rId106" Type="http://schemas.openxmlformats.org/officeDocument/2006/relationships/hyperlink" Target="http://www.1010ez.med.va.gov" TargetMode="External"/><Relationship Id="rId313" Type="http://schemas.openxmlformats.org/officeDocument/2006/relationships/hyperlink" Target="http://www.law.cornell.edu/uscode/html/uscode38/usc_sec_38_00007332----000-.html" TargetMode="External"/><Relationship Id="rId495" Type="http://schemas.openxmlformats.org/officeDocument/2006/relationships/hyperlink" Target="http://vbaw.vba.va.gov/bl/21/star/calls/agenda/fy2018/Quality_Call_Notes_0718.docx" TargetMode="External"/><Relationship Id="rId716" Type="http://schemas.openxmlformats.org/officeDocument/2006/relationships/hyperlink" Target="http://vbacodmoint1.vba.va.gov/bl/21/Transformation/default.asp?Station=377" TargetMode="External"/><Relationship Id="rId758" Type="http://schemas.openxmlformats.org/officeDocument/2006/relationships/hyperlink" Target="http://vbaw.vba.va.gov/bl/21/star/calls/agenda/FY2016/quality_call_notes_051116.doc" TargetMode="External"/><Relationship Id="rId10" Type="http://schemas.openxmlformats.org/officeDocument/2006/relationships/footer" Target="footer2.xml"/><Relationship Id="rId52" Type="http://schemas.openxmlformats.org/officeDocument/2006/relationships/hyperlink" Target="https://va.my.salesforce.com" TargetMode="External"/><Relationship Id="rId94" Type="http://schemas.openxmlformats.org/officeDocument/2006/relationships/hyperlink" Target="https://vaww.vashare.vba.va.gov/sites/SDC-377-VSC/overtime/Lists/OT%20Projections%20FY%202018/AllItems.aspx" TargetMode="External"/><Relationship Id="rId148" Type="http://schemas.openxmlformats.org/officeDocument/2006/relationships/image" Target="media/image7.jpeg"/><Relationship Id="rId355" Type="http://schemas.openxmlformats.org/officeDocument/2006/relationships/hyperlink" Target="http://vbaw.vba.va.gov/bl/21/calendar/agenda/FY11/0411.doc" TargetMode="External"/><Relationship Id="rId397" Type="http://schemas.openxmlformats.org/officeDocument/2006/relationships/hyperlink" Target="http://www.ecfr.gov/cgi-bin/text-idx?SID=0630d5624c5da26fa967f7f946edcb2f&amp;mc=true&amp;node=se38.1.3_1307&amp;rgn=div8" TargetMode="External"/><Relationship Id="rId520" Type="http://schemas.openxmlformats.org/officeDocument/2006/relationships/image" Target="media/image77.png"/><Relationship Id="rId562" Type="http://schemas.openxmlformats.org/officeDocument/2006/relationships/hyperlink" Target="http://vbaw.vba.va.gov/bl/21/star/calls/agenda/FY2016/quality_call_notes_080316.doc" TargetMode="External"/><Relationship Id="rId618" Type="http://schemas.openxmlformats.org/officeDocument/2006/relationships/hyperlink" Target="http://vbaw.vba.va.gov/bl/21/star/calls/agenda/FY2018/quality_call_notes_0218.docx" TargetMode="External"/><Relationship Id="rId215" Type="http://schemas.openxmlformats.org/officeDocument/2006/relationships/hyperlink" Target="http://vbacodmoint1.vba.va.gov/bl/21/Transformation/docs/adl%20sop.docx" TargetMode="External"/><Relationship Id="rId257" Type="http://schemas.openxmlformats.org/officeDocument/2006/relationships/image" Target="media/image24.png"/><Relationship Id="rId422" Type="http://schemas.openxmlformats.org/officeDocument/2006/relationships/hyperlink" Target="http://vbaw.vba.va.gov/BL/21/M21/content/contents.asp?address=M21-1MRIV" TargetMode="External"/><Relationship Id="rId464" Type="http://schemas.openxmlformats.org/officeDocument/2006/relationships/image" Target="media/image71.png"/><Relationship Id="rId299" Type="http://schemas.openxmlformats.org/officeDocument/2006/relationships/hyperlink" Target="https://www.law.cornell.edu/uscode/text/38/7332" TargetMode="External"/><Relationship Id="rId727" Type="http://schemas.openxmlformats.org/officeDocument/2006/relationships/hyperlink" Target="https://vaww.compensation.pension.km.va.gov/system/templates/selfservice/va_ka/" TargetMode="External"/><Relationship Id="rId63" Type="http://schemas.openxmlformats.org/officeDocument/2006/relationships/hyperlink" Target="mailto:YourIT@va.gov" TargetMode="External"/><Relationship Id="rId159" Type="http://schemas.openxmlformats.org/officeDocument/2006/relationships/image" Target="media/image14.png"/><Relationship Id="rId366" Type="http://schemas.openxmlformats.org/officeDocument/2006/relationships/footer" Target="footer4.xml"/><Relationship Id="rId573" Type="http://schemas.openxmlformats.org/officeDocument/2006/relationships/hyperlink" Target="http://vbaw.vba.va.gov/bl/21/star/calls/agenda/fy2015/Quality_Call_Notes_070815.doc" TargetMode="External"/><Relationship Id="rId780" Type="http://schemas.openxmlformats.org/officeDocument/2006/relationships/hyperlink" Target="https://vbaclient.qtcm.com/" TargetMode="External"/><Relationship Id="rId226" Type="http://schemas.openxmlformats.org/officeDocument/2006/relationships/hyperlink" Target="https://www.vbms.vba.va.gov/rating/webapp/secure/file/work" TargetMode="External"/><Relationship Id="rId433" Type="http://schemas.openxmlformats.org/officeDocument/2006/relationships/hyperlink" Target="http://www.ecfr.gov/cgi-bin/text-idx?SID=4a5b9a7df43cb7a73d24ccc53aaa9e97&amp;node=se38.1.3_1317&amp;rgn=div8" TargetMode="External"/><Relationship Id="rId640" Type="http://schemas.openxmlformats.org/officeDocument/2006/relationships/hyperlink" Target="http://www.ecfr.gov/cgi-bin/text-idx?SID=9ee5933e8a0c378d93b510a36d90be92&amp;mc=true&amp;node=se38.1.3_1304&amp;rgn=div8" TargetMode="External"/><Relationship Id="rId738" Type="http://schemas.openxmlformats.org/officeDocument/2006/relationships/image" Target="media/image122.png"/><Relationship Id="rId74" Type="http://schemas.openxmlformats.org/officeDocument/2006/relationships/image" Target="cid:image003.png@01D3E616.B24EBD10" TargetMode="External"/><Relationship Id="rId377" Type="http://schemas.openxmlformats.org/officeDocument/2006/relationships/image" Target="cid:image001.png@01D1C646.22A16D30" TargetMode="External"/><Relationship Id="rId500" Type="http://schemas.openxmlformats.org/officeDocument/2006/relationships/hyperlink" Target="http://vbaw.vba.va.gov/bl/21/Publicat/Regs/Part4/HISTORY/4_71a(2).htm" TargetMode="External"/><Relationship Id="rId584" Type="http://schemas.openxmlformats.org/officeDocument/2006/relationships/hyperlink" Target="https://www.vapulse.net/message/52452" TargetMode="External"/><Relationship Id="rId5" Type="http://schemas.openxmlformats.org/officeDocument/2006/relationships/webSettings" Target="webSettings.xml"/><Relationship Id="rId237" Type="http://schemas.openxmlformats.org/officeDocument/2006/relationships/hyperlink" Target="https://www.vbms.vba.va.gov/rating/webapp/secure/file/work" TargetMode="External"/><Relationship Id="rId791" Type="http://schemas.openxmlformats.org/officeDocument/2006/relationships/hyperlink" Target="https://vaww.caats3.aac.v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EA5783-CB8F-4226-8102-CF2E1400D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75</Pages>
  <Words>198433</Words>
  <Characters>1131074</Characters>
  <Application>Microsoft Office Word</Application>
  <DocSecurity>0</DocSecurity>
  <Lines>9425</Lines>
  <Paragraphs>2653</Paragraphs>
  <ScaleCrop>false</ScaleCrop>
  <HeadingPairs>
    <vt:vector size="2" baseType="variant">
      <vt:variant>
        <vt:lpstr>Title</vt:lpstr>
      </vt:variant>
      <vt:variant>
        <vt:i4>1</vt:i4>
      </vt:variant>
    </vt:vector>
  </HeadingPairs>
  <TitlesOfParts>
    <vt:vector size="1" baseType="lpstr">
      <vt:lpstr>@</vt:lpstr>
    </vt:vector>
  </TitlesOfParts>
  <Company>Veterans Benefits Administration</Company>
  <LinksUpToDate>false</LinksUpToDate>
  <CharactersWithSpaces>1326854</CharactersWithSpaces>
  <SharedDoc>false</SharedDoc>
  <HLinks>
    <vt:vector size="10950" baseType="variant">
      <vt:variant>
        <vt:i4>2162702</vt:i4>
      </vt:variant>
      <vt:variant>
        <vt:i4>5516</vt:i4>
      </vt:variant>
      <vt:variant>
        <vt:i4>0</vt:i4>
      </vt:variant>
      <vt:variant>
        <vt:i4>5</vt:i4>
      </vt:variant>
      <vt:variant>
        <vt:lpwstr>http://vbaw.vba.va.gov/bl/21/M21-1MR/index.asp?id=pt08_ch03.xml</vt:lpwstr>
      </vt:variant>
      <vt:variant>
        <vt:lpwstr/>
      </vt:variant>
      <vt:variant>
        <vt:i4>4325437</vt:i4>
      </vt:variant>
      <vt:variant>
        <vt:i4>5513</vt:i4>
      </vt:variant>
      <vt:variant>
        <vt:i4>0</vt:i4>
      </vt:variant>
      <vt:variant>
        <vt:i4>5</vt:i4>
      </vt:variant>
      <vt:variant>
        <vt:lpwstr>http://vbaw.vba.va.gov/bl/21/M21-1MR/index.asp?id=pt08_ch01.xml</vt:lpwstr>
      </vt:variant>
      <vt:variant>
        <vt:lpwstr>VIII.1.1.c</vt:lpwstr>
      </vt:variant>
      <vt:variant>
        <vt:i4>2097208</vt:i4>
      </vt:variant>
      <vt:variant>
        <vt:i4>5510</vt:i4>
      </vt:variant>
      <vt:variant>
        <vt:i4>0</vt:i4>
      </vt:variant>
      <vt:variant>
        <vt:i4>5</vt:i4>
      </vt:variant>
      <vt:variant>
        <vt:lpwstr>http://vbaw.vba.va.gov/bl/21/M21-1MR/index.asp?id=pt03_sp02_ch07.xml</vt:lpwstr>
      </vt:variant>
      <vt:variant>
        <vt:lpwstr>III.ii.7.5.a</vt:lpwstr>
      </vt:variant>
      <vt:variant>
        <vt:i4>1638480</vt:i4>
      </vt:variant>
      <vt:variant>
        <vt:i4>5507</vt:i4>
      </vt:variant>
      <vt:variant>
        <vt:i4>0</vt:i4>
      </vt:variant>
      <vt:variant>
        <vt:i4>5</vt:i4>
      </vt:variant>
      <vt:variant>
        <vt:lpwstr>http://vbaw.vba.va.gov/bl/21/M21-1MR/index.asp?id=pt04_sp03_ch01.xml</vt:lpwstr>
      </vt:variant>
      <vt:variant>
        <vt:lpwstr>IV.iii.1.2</vt:lpwstr>
      </vt:variant>
      <vt:variant>
        <vt:i4>7798872</vt:i4>
      </vt:variant>
      <vt:variant>
        <vt:i4>5504</vt:i4>
      </vt:variant>
      <vt:variant>
        <vt:i4>0</vt:i4>
      </vt:variant>
      <vt:variant>
        <vt:i4>5</vt:i4>
      </vt:variant>
      <vt:variant>
        <vt:lpwstr>http://vbaw.vba.va.gov/bl/21/publicat/Regs/Part3/3_312.htm</vt:lpwstr>
      </vt:variant>
      <vt:variant>
        <vt:lpwstr/>
      </vt:variant>
      <vt:variant>
        <vt:i4>7798873</vt:i4>
      </vt:variant>
      <vt:variant>
        <vt:i4>5501</vt:i4>
      </vt:variant>
      <vt:variant>
        <vt:i4>0</vt:i4>
      </vt:variant>
      <vt:variant>
        <vt:i4>5</vt:i4>
      </vt:variant>
      <vt:variant>
        <vt:lpwstr>http://vbaw.vba.va.gov/bl/21/publicat/Regs/Part3/3_302.htm</vt:lpwstr>
      </vt:variant>
      <vt:variant>
        <vt:lpwstr/>
      </vt:variant>
      <vt:variant>
        <vt:i4>5242883</vt:i4>
      </vt:variant>
      <vt:variant>
        <vt:i4>5495</vt:i4>
      </vt:variant>
      <vt:variant>
        <vt:i4>0</vt:i4>
      </vt:variant>
      <vt:variant>
        <vt:i4>5</vt:i4>
      </vt:variant>
      <vt:variant>
        <vt:lpwstr>http://vbaw.vba.va.gov/BL/21/M21/content/infomap.asp?address=M21-1MRIII.iv.6.B.3</vt:lpwstr>
      </vt:variant>
      <vt:variant>
        <vt:lpwstr>M21-1MRIII.iv.6.B.3.d</vt:lpwstr>
      </vt:variant>
      <vt:variant>
        <vt:i4>1638515</vt:i4>
      </vt:variant>
      <vt:variant>
        <vt:i4>5493</vt:i4>
      </vt:variant>
      <vt:variant>
        <vt:i4>0</vt:i4>
      </vt:variant>
      <vt:variant>
        <vt:i4>5</vt:i4>
      </vt:variant>
      <vt:variant>
        <vt:lpwstr>http://vbaw.vba.va.gov/bl/21/M21-1MR/index.asp?id=pt03_sp04_ch06_secB.xml</vt:lpwstr>
      </vt:variant>
      <vt:variant>
        <vt:lpwstr>III.iv.6.B.3.d</vt:lpwstr>
      </vt:variant>
      <vt:variant>
        <vt:i4>5242883</vt:i4>
      </vt:variant>
      <vt:variant>
        <vt:i4>5491</vt:i4>
      </vt:variant>
      <vt:variant>
        <vt:i4>0</vt:i4>
      </vt:variant>
      <vt:variant>
        <vt:i4>5</vt:i4>
      </vt:variant>
      <vt:variant>
        <vt:lpwstr>http://vbaw.vba.va.gov/BL/21/M21/content/infomap.asp?address=M21-1MRIII.iv.6.B.3</vt:lpwstr>
      </vt:variant>
      <vt:variant>
        <vt:lpwstr>M21-1MRIII.iv.6.B.3.d</vt:lpwstr>
      </vt:variant>
      <vt:variant>
        <vt:i4>1638515</vt:i4>
      </vt:variant>
      <vt:variant>
        <vt:i4>5489</vt:i4>
      </vt:variant>
      <vt:variant>
        <vt:i4>0</vt:i4>
      </vt:variant>
      <vt:variant>
        <vt:i4>5</vt:i4>
      </vt:variant>
      <vt:variant>
        <vt:lpwstr>http://vbaw.vba.va.gov/bl/21/M21-1MR/index.asp?id=pt03_sp04_ch06_secB.xml</vt:lpwstr>
      </vt:variant>
      <vt:variant>
        <vt:lpwstr>III.iv.6.B.3.d</vt:lpwstr>
      </vt:variant>
      <vt:variant>
        <vt:i4>4128798</vt:i4>
      </vt:variant>
      <vt:variant>
        <vt:i4>5486</vt:i4>
      </vt:variant>
      <vt:variant>
        <vt:i4>0</vt:i4>
      </vt:variant>
      <vt:variant>
        <vt:i4>5</vt:i4>
      </vt:variant>
      <vt:variant>
        <vt:lpwstr>http://vbaw.vba.va.gov/bl/21/M21-1MR/index.asp?id=pt04_sp03_ch03_secA.xml</vt:lpwstr>
      </vt:variant>
      <vt:variant>
        <vt:lpwstr>IV.iii.3.A.2</vt:lpwstr>
      </vt:variant>
      <vt:variant>
        <vt:i4>1769577</vt:i4>
      </vt:variant>
      <vt:variant>
        <vt:i4>5483</vt:i4>
      </vt:variant>
      <vt:variant>
        <vt:i4>0</vt:i4>
      </vt:variant>
      <vt:variant>
        <vt:i4>5</vt:i4>
      </vt:variant>
      <vt:variant>
        <vt:lpwstr>http://vbaw.vba.va.gov/bl/21/publicat/Regs/Part3/3_22.htm</vt:lpwstr>
      </vt:variant>
      <vt:variant>
        <vt:lpwstr/>
      </vt:variant>
      <vt:variant>
        <vt:i4>4325437</vt:i4>
      </vt:variant>
      <vt:variant>
        <vt:i4>5480</vt:i4>
      </vt:variant>
      <vt:variant>
        <vt:i4>0</vt:i4>
      </vt:variant>
      <vt:variant>
        <vt:i4>5</vt:i4>
      </vt:variant>
      <vt:variant>
        <vt:lpwstr>http://vbaw.vba.va.gov/bl/21/M21-1MR/index.asp?id=pt08_ch01.xml</vt:lpwstr>
      </vt:variant>
      <vt:variant>
        <vt:lpwstr>VIII.1.1.c</vt:lpwstr>
      </vt:variant>
      <vt:variant>
        <vt:i4>1704016</vt:i4>
      </vt:variant>
      <vt:variant>
        <vt:i4>5477</vt:i4>
      </vt:variant>
      <vt:variant>
        <vt:i4>0</vt:i4>
      </vt:variant>
      <vt:variant>
        <vt:i4>5</vt:i4>
      </vt:variant>
      <vt:variant>
        <vt:lpwstr>http://vbaw.vba.va.gov/bl/21/M21-1MR/index.asp?id=pt04_sp03_ch02.xml</vt:lpwstr>
      </vt:variant>
      <vt:variant>
        <vt:lpwstr>IV.iii.2.1</vt:lpwstr>
      </vt:variant>
      <vt:variant>
        <vt:i4>2097208</vt:i4>
      </vt:variant>
      <vt:variant>
        <vt:i4>5474</vt:i4>
      </vt:variant>
      <vt:variant>
        <vt:i4>0</vt:i4>
      </vt:variant>
      <vt:variant>
        <vt:i4>5</vt:i4>
      </vt:variant>
      <vt:variant>
        <vt:lpwstr>http://vbaw.vba.va.gov/bl/21/M21-1MR/index.asp?id=pt03_sp02_ch07.xml</vt:lpwstr>
      </vt:variant>
      <vt:variant>
        <vt:lpwstr>III.ii.7.5.a</vt:lpwstr>
      </vt:variant>
      <vt:variant>
        <vt:i4>3407887</vt:i4>
      </vt:variant>
      <vt:variant>
        <vt:i4>5471</vt:i4>
      </vt:variant>
      <vt:variant>
        <vt:i4>0</vt:i4>
      </vt:variant>
      <vt:variant>
        <vt:i4>5</vt:i4>
      </vt:variant>
      <vt:variant>
        <vt:lpwstr>http://vbacodmoint1.vba.va.gov/bl/21/faq/FAQ_Answer.asp?ref=346</vt:lpwstr>
      </vt:variant>
      <vt:variant>
        <vt:lpwstr/>
      </vt:variant>
      <vt:variant>
        <vt:i4>2752608</vt:i4>
      </vt:variant>
      <vt:variant>
        <vt:i4>5468</vt:i4>
      </vt:variant>
      <vt:variant>
        <vt:i4>0</vt:i4>
      </vt:variant>
      <vt:variant>
        <vt:i4>5</vt:i4>
      </vt:variant>
      <vt:variant>
        <vt:lpwstr>http://vbaw.vba.va.gov/bl/21/M21-1MR/index.asp?id=pt05_sp02_ch02.xml</vt:lpwstr>
      </vt:variant>
      <vt:variant>
        <vt:lpwstr>V.ii.2.1</vt:lpwstr>
      </vt:variant>
      <vt:variant>
        <vt:i4>2621531</vt:i4>
      </vt:variant>
      <vt:variant>
        <vt:i4>5465</vt:i4>
      </vt:variant>
      <vt:variant>
        <vt:i4>0</vt:i4>
      </vt:variant>
      <vt:variant>
        <vt:i4>5</vt:i4>
      </vt:variant>
      <vt:variant>
        <vt:lpwstr>http://vbaw.vba.va.gov/bl/21/publicat/Regs/Part3/3_1000.htm</vt:lpwstr>
      </vt:variant>
      <vt:variant>
        <vt:lpwstr/>
      </vt:variant>
      <vt:variant>
        <vt:i4>5177400</vt:i4>
      </vt:variant>
      <vt:variant>
        <vt:i4>5462</vt:i4>
      </vt:variant>
      <vt:variant>
        <vt:i4>0</vt:i4>
      </vt:variant>
      <vt:variant>
        <vt:i4>5</vt:i4>
      </vt:variant>
      <vt:variant>
        <vt:lpwstr>http://10.220.1.4/bl/21/faq/FAQ_Answer.asp?ref=178</vt:lpwstr>
      </vt:variant>
      <vt:variant>
        <vt:lpwstr/>
      </vt:variant>
      <vt:variant>
        <vt:i4>7798797</vt:i4>
      </vt:variant>
      <vt:variant>
        <vt:i4>5459</vt:i4>
      </vt:variant>
      <vt:variant>
        <vt:i4>0</vt:i4>
      </vt:variant>
      <vt:variant>
        <vt:i4>5</vt:i4>
      </vt:variant>
      <vt:variant>
        <vt:lpwstr>http://vbaw.vba.va.gov/bl/21/M21-1MR/index.asp?id=pt03_sp05_ch01_secH.xml</vt:lpwstr>
      </vt:variant>
      <vt:variant>
        <vt:lpwstr>III.v.1.H.32</vt:lpwstr>
      </vt:variant>
      <vt:variant>
        <vt:i4>4325389</vt:i4>
      </vt:variant>
      <vt:variant>
        <vt:i4>5456</vt:i4>
      </vt:variant>
      <vt:variant>
        <vt:i4>0</vt:i4>
      </vt:variant>
      <vt:variant>
        <vt:i4>5</vt:i4>
      </vt:variant>
      <vt:variant>
        <vt:lpwstr>http://vbaw.vba.va.gov/bl/21/M21-1MR/index.asp?id=pt03_sp06_ch08.xml</vt:lpwstr>
      </vt:variant>
      <vt:variant>
        <vt:lpwstr>III.vi.8.6</vt:lpwstr>
      </vt:variant>
      <vt:variant>
        <vt:i4>7798872</vt:i4>
      </vt:variant>
      <vt:variant>
        <vt:i4>5453</vt:i4>
      </vt:variant>
      <vt:variant>
        <vt:i4>0</vt:i4>
      </vt:variant>
      <vt:variant>
        <vt:i4>5</vt:i4>
      </vt:variant>
      <vt:variant>
        <vt:lpwstr>http://vbaw.vba.va.gov/bl/21/publicat/Regs/Part3/3_312.htm</vt:lpwstr>
      </vt:variant>
      <vt:variant>
        <vt:lpwstr/>
      </vt:variant>
      <vt:variant>
        <vt:i4>7667800</vt:i4>
      </vt:variant>
      <vt:variant>
        <vt:i4>5450</vt:i4>
      </vt:variant>
      <vt:variant>
        <vt:i4>0</vt:i4>
      </vt:variant>
      <vt:variant>
        <vt:i4>5</vt:i4>
      </vt:variant>
      <vt:variant>
        <vt:lpwstr>http://vbaw.vba.va.gov/bl/21/publicat/Regs/Part3/3_211.htm</vt:lpwstr>
      </vt:variant>
      <vt:variant>
        <vt:lpwstr/>
      </vt:variant>
      <vt:variant>
        <vt:i4>1835115</vt:i4>
      </vt:variant>
      <vt:variant>
        <vt:i4>5447</vt:i4>
      </vt:variant>
      <vt:variant>
        <vt:i4>0</vt:i4>
      </vt:variant>
      <vt:variant>
        <vt:i4>5</vt:i4>
      </vt:variant>
      <vt:variant>
        <vt:lpwstr>http://vbaw.vba.va.gov/bl/21/publicat/Regs/Part3/3_50.htm</vt:lpwstr>
      </vt:variant>
      <vt:variant>
        <vt:lpwstr/>
      </vt:variant>
      <vt:variant>
        <vt:i4>851981</vt:i4>
      </vt:variant>
      <vt:variant>
        <vt:i4>5444</vt:i4>
      </vt:variant>
      <vt:variant>
        <vt:i4>0</vt:i4>
      </vt:variant>
      <vt:variant>
        <vt:i4>5</vt:i4>
      </vt:variant>
      <vt:variant>
        <vt:lpwstr>http://vbaw.vba.va.gov/BL/21/M21/content/infomap.asp?address=M21-1MRIV.iii.3.D.18</vt:lpwstr>
      </vt:variant>
      <vt:variant>
        <vt:lpwstr/>
      </vt:variant>
      <vt:variant>
        <vt:i4>6946921</vt:i4>
      </vt:variant>
      <vt:variant>
        <vt:i4>5441</vt:i4>
      </vt:variant>
      <vt:variant>
        <vt:i4>0</vt:i4>
      </vt:variant>
      <vt:variant>
        <vt:i4>5</vt:i4>
      </vt:variant>
      <vt:variant>
        <vt:lpwstr>http://library.clerk.house.gov/reference-files/PPL_111_275_VeteransBenefitsAct_2010.pdf</vt:lpwstr>
      </vt:variant>
      <vt:variant>
        <vt:lpwstr/>
      </vt:variant>
      <vt:variant>
        <vt:i4>1769577</vt:i4>
      </vt:variant>
      <vt:variant>
        <vt:i4>5438</vt:i4>
      </vt:variant>
      <vt:variant>
        <vt:i4>0</vt:i4>
      </vt:variant>
      <vt:variant>
        <vt:i4>5</vt:i4>
      </vt:variant>
      <vt:variant>
        <vt:lpwstr>http://vbaw.vba.va.gov/bl/21/publicat/Regs/Part3/3_22.htm</vt:lpwstr>
      </vt:variant>
      <vt:variant>
        <vt:lpwstr/>
      </vt:variant>
      <vt:variant>
        <vt:i4>6488181</vt:i4>
      </vt:variant>
      <vt:variant>
        <vt:i4>5435</vt:i4>
      </vt:variant>
      <vt:variant>
        <vt:i4>0</vt:i4>
      </vt:variant>
      <vt:variant>
        <vt:i4>5</vt:i4>
      </vt:variant>
      <vt:variant>
        <vt:lpwstr>http://www.law.cornell.edu/uscode/text/38/1318</vt:lpwstr>
      </vt:variant>
      <vt:variant>
        <vt:lpwstr/>
      </vt:variant>
      <vt:variant>
        <vt:i4>4194334</vt:i4>
      </vt:variant>
      <vt:variant>
        <vt:i4>5432</vt:i4>
      </vt:variant>
      <vt:variant>
        <vt:i4>0</vt:i4>
      </vt:variant>
      <vt:variant>
        <vt:i4>5</vt:i4>
      </vt:variant>
      <vt:variant>
        <vt:lpwstr>http://vbaw.vba.va.gov/BL/21/M21/content/infomap.asp?address=M21-1MRIII.v.1.F.24</vt:lpwstr>
      </vt:variant>
      <vt:variant>
        <vt:lpwstr/>
      </vt:variant>
      <vt:variant>
        <vt:i4>4456508</vt:i4>
      </vt:variant>
      <vt:variant>
        <vt:i4>5429</vt:i4>
      </vt:variant>
      <vt:variant>
        <vt:i4>0</vt:i4>
      </vt:variant>
      <vt:variant>
        <vt:i4>5</vt:i4>
      </vt:variant>
      <vt:variant>
        <vt:lpwstr>http://10.220.1.4/bl/21/faq/FAQ_Answer.asp?ref=230</vt:lpwstr>
      </vt:variant>
      <vt:variant>
        <vt:lpwstr/>
      </vt:variant>
      <vt:variant>
        <vt:i4>7667727</vt:i4>
      </vt:variant>
      <vt:variant>
        <vt:i4>5426</vt:i4>
      </vt:variant>
      <vt:variant>
        <vt:i4>0</vt:i4>
      </vt:variant>
      <vt:variant>
        <vt:i4>5</vt:i4>
      </vt:variant>
      <vt:variant>
        <vt:lpwstr>http://10.220.1.4/bl/21/faq/FAQ_Answer.asp?ref=31</vt:lpwstr>
      </vt:variant>
      <vt:variant>
        <vt:lpwstr/>
      </vt:variant>
      <vt:variant>
        <vt:i4>4522047</vt:i4>
      </vt:variant>
      <vt:variant>
        <vt:i4>5423</vt:i4>
      </vt:variant>
      <vt:variant>
        <vt:i4>0</vt:i4>
      </vt:variant>
      <vt:variant>
        <vt:i4>5</vt:i4>
      </vt:variant>
      <vt:variant>
        <vt:lpwstr>http://10.220.1.4/bl/21/faq/FAQ_Answer.asp?ref=102</vt:lpwstr>
      </vt:variant>
      <vt:variant>
        <vt:lpwstr/>
      </vt:variant>
      <vt:variant>
        <vt:i4>4456509</vt:i4>
      </vt:variant>
      <vt:variant>
        <vt:i4>5420</vt:i4>
      </vt:variant>
      <vt:variant>
        <vt:i4>0</vt:i4>
      </vt:variant>
      <vt:variant>
        <vt:i4>5</vt:i4>
      </vt:variant>
      <vt:variant>
        <vt:lpwstr>http://10.220.1.4/bl/21/faq/FAQ_Answer.asp?ref=220</vt:lpwstr>
      </vt:variant>
      <vt:variant>
        <vt:lpwstr/>
      </vt:variant>
      <vt:variant>
        <vt:i4>4522045</vt:i4>
      </vt:variant>
      <vt:variant>
        <vt:i4>5417</vt:i4>
      </vt:variant>
      <vt:variant>
        <vt:i4>0</vt:i4>
      </vt:variant>
      <vt:variant>
        <vt:i4>5</vt:i4>
      </vt:variant>
      <vt:variant>
        <vt:lpwstr>http://10.220.1.4/bl/21/faq/FAQ_Answer.asp?ref=221</vt:lpwstr>
      </vt:variant>
      <vt:variant>
        <vt:lpwstr/>
      </vt:variant>
      <vt:variant>
        <vt:i4>5242883</vt:i4>
      </vt:variant>
      <vt:variant>
        <vt:i4>5410</vt:i4>
      </vt:variant>
      <vt:variant>
        <vt:i4>0</vt:i4>
      </vt:variant>
      <vt:variant>
        <vt:i4>5</vt:i4>
      </vt:variant>
      <vt:variant>
        <vt:lpwstr>http://vbaw.vba.va.gov/BL/21/M21/content/infomap.asp?address=M21-1MRIII.iv.6.B.3</vt:lpwstr>
      </vt:variant>
      <vt:variant>
        <vt:lpwstr>M21-1MRIII.iv.6.B.3.d</vt:lpwstr>
      </vt:variant>
      <vt:variant>
        <vt:i4>1638515</vt:i4>
      </vt:variant>
      <vt:variant>
        <vt:i4>5408</vt:i4>
      </vt:variant>
      <vt:variant>
        <vt:i4>0</vt:i4>
      </vt:variant>
      <vt:variant>
        <vt:i4>5</vt:i4>
      </vt:variant>
      <vt:variant>
        <vt:lpwstr>http://vbaw.vba.va.gov/bl/21/M21-1MR/index.asp?id=pt03_sp04_ch06_secB.xml</vt:lpwstr>
      </vt:variant>
      <vt:variant>
        <vt:lpwstr>III.iv.6.B.3.d</vt:lpwstr>
      </vt:variant>
      <vt:variant>
        <vt:i4>5242883</vt:i4>
      </vt:variant>
      <vt:variant>
        <vt:i4>5406</vt:i4>
      </vt:variant>
      <vt:variant>
        <vt:i4>0</vt:i4>
      </vt:variant>
      <vt:variant>
        <vt:i4>5</vt:i4>
      </vt:variant>
      <vt:variant>
        <vt:lpwstr>http://vbaw.vba.va.gov/BL/21/M21/content/infomap.asp?address=M21-1MRIII.iv.6.B.3</vt:lpwstr>
      </vt:variant>
      <vt:variant>
        <vt:lpwstr>M21-1MRIII.iv.6.B.3.d</vt:lpwstr>
      </vt:variant>
      <vt:variant>
        <vt:i4>1638515</vt:i4>
      </vt:variant>
      <vt:variant>
        <vt:i4>5404</vt:i4>
      </vt:variant>
      <vt:variant>
        <vt:i4>0</vt:i4>
      </vt:variant>
      <vt:variant>
        <vt:i4>5</vt:i4>
      </vt:variant>
      <vt:variant>
        <vt:lpwstr>http://vbaw.vba.va.gov/bl/21/M21-1MR/index.asp?id=pt03_sp04_ch06_secB.xml</vt:lpwstr>
      </vt:variant>
      <vt:variant>
        <vt:lpwstr>III.iv.6.B.3.d</vt:lpwstr>
      </vt:variant>
      <vt:variant>
        <vt:i4>5242883</vt:i4>
      </vt:variant>
      <vt:variant>
        <vt:i4>5402</vt:i4>
      </vt:variant>
      <vt:variant>
        <vt:i4>0</vt:i4>
      </vt:variant>
      <vt:variant>
        <vt:i4>5</vt:i4>
      </vt:variant>
      <vt:variant>
        <vt:lpwstr>http://vbaw.vba.va.gov/BL/21/M21/content/infomap.asp?address=M21-1MRIII.iv.6.B.3</vt:lpwstr>
      </vt:variant>
      <vt:variant>
        <vt:lpwstr>M21-1MRIII.iv.6.B.3.d</vt:lpwstr>
      </vt:variant>
      <vt:variant>
        <vt:i4>4128798</vt:i4>
      </vt:variant>
      <vt:variant>
        <vt:i4>5399</vt:i4>
      </vt:variant>
      <vt:variant>
        <vt:i4>0</vt:i4>
      </vt:variant>
      <vt:variant>
        <vt:i4>5</vt:i4>
      </vt:variant>
      <vt:variant>
        <vt:lpwstr>http://vbaw.vba.va.gov/bl/21/M21-1MR/index.asp?id=pt04_sp03_ch03_secA.xml</vt:lpwstr>
      </vt:variant>
      <vt:variant>
        <vt:lpwstr>IV.iii.3.A.2</vt:lpwstr>
      </vt:variant>
      <vt:variant>
        <vt:i4>1769577</vt:i4>
      </vt:variant>
      <vt:variant>
        <vt:i4>5396</vt:i4>
      </vt:variant>
      <vt:variant>
        <vt:i4>0</vt:i4>
      </vt:variant>
      <vt:variant>
        <vt:i4>5</vt:i4>
      </vt:variant>
      <vt:variant>
        <vt:lpwstr>http://vbaw.vba.va.gov/bl/21/publicat/Regs/Part3/3_22.htm</vt:lpwstr>
      </vt:variant>
      <vt:variant>
        <vt:lpwstr/>
      </vt:variant>
      <vt:variant>
        <vt:i4>4391017</vt:i4>
      </vt:variant>
      <vt:variant>
        <vt:i4>5393</vt:i4>
      </vt:variant>
      <vt:variant>
        <vt:i4>0</vt:i4>
      </vt:variant>
      <vt:variant>
        <vt:i4>5</vt:i4>
      </vt:variant>
      <vt:variant>
        <vt:lpwstr>http://vbaw.vba.va.gov/bl/21/publicat/Regs/Part3/3_5.htm</vt:lpwstr>
      </vt:variant>
      <vt:variant>
        <vt:lpwstr/>
      </vt:variant>
      <vt:variant>
        <vt:i4>2097208</vt:i4>
      </vt:variant>
      <vt:variant>
        <vt:i4>5378</vt:i4>
      </vt:variant>
      <vt:variant>
        <vt:i4>0</vt:i4>
      </vt:variant>
      <vt:variant>
        <vt:i4>5</vt:i4>
      </vt:variant>
      <vt:variant>
        <vt:lpwstr>http://vbaw.vba.va.gov/bl/21/M21-1MR/index.asp?id=pt03_sp02_ch06.xml</vt:lpwstr>
      </vt:variant>
      <vt:variant>
        <vt:lpwstr>III.ii.6.5.a</vt:lpwstr>
      </vt:variant>
      <vt:variant>
        <vt:i4>1638471</vt:i4>
      </vt:variant>
      <vt:variant>
        <vt:i4>5375</vt:i4>
      </vt:variant>
      <vt:variant>
        <vt:i4>0</vt:i4>
      </vt:variant>
      <vt:variant>
        <vt:i4>5</vt:i4>
      </vt:variant>
      <vt:variant>
        <vt:lpwstr>http://vbaw.vba.va.gov/BL/21/M21/content/infomap.asp?address=M21-1MRIV.ii.1.D.15</vt:lpwstr>
      </vt:variant>
      <vt:variant>
        <vt:lpwstr/>
      </vt:variant>
      <vt:variant>
        <vt:i4>983132</vt:i4>
      </vt:variant>
      <vt:variant>
        <vt:i4>5372</vt:i4>
      </vt:variant>
      <vt:variant>
        <vt:i4>0</vt:i4>
      </vt:variant>
      <vt:variant>
        <vt:i4>5</vt:i4>
      </vt:variant>
      <vt:variant>
        <vt:lpwstr>http://vbaw.vba.va.gov/BL/21/M21/content/infomap.asp?address=M21-1MRIV.ii.1.D.15</vt:lpwstr>
      </vt:variant>
      <vt:variant>
        <vt:lpwstr>M21-1MRIV.ii.1.D.15.l</vt:lpwstr>
      </vt:variant>
      <vt:variant>
        <vt:i4>1704007</vt:i4>
      </vt:variant>
      <vt:variant>
        <vt:i4>5369</vt:i4>
      </vt:variant>
      <vt:variant>
        <vt:i4>0</vt:i4>
      </vt:variant>
      <vt:variant>
        <vt:i4>5</vt:i4>
      </vt:variant>
      <vt:variant>
        <vt:lpwstr>http://vbaw.vba.va.gov/BL/21/M21/content/infomap.asp?address=M21-1MRIV.ii.1.D.16</vt:lpwstr>
      </vt:variant>
      <vt:variant>
        <vt:lpwstr/>
      </vt:variant>
      <vt:variant>
        <vt:i4>2883621</vt:i4>
      </vt:variant>
      <vt:variant>
        <vt:i4>5366</vt:i4>
      </vt:variant>
      <vt:variant>
        <vt:i4>0</vt:i4>
      </vt:variant>
      <vt:variant>
        <vt:i4>5</vt:i4>
      </vt:variant>
      <vt:variant>
        <vt:lpwstr>http://vbaw.vba.va.gov/BL/21/M21/content/infomap.asp?address=M21-1MRIII.iv.4.H.32</vt:lpwstr>
      </vt:variant>
      <vt:variant>
        <vt:lpwstr>M21-1MRIII.iv.4.H.32.h</vt:lpwstr>
      </vt:variant>
      <vt:variant>
        <vt:i4>2490409</vt:i4>
      </vt:variant>
      <vt:variant>
        <vt:i4>5363</vt:i4>
      </vt:variant>
      <vt:variant>
        <vt:i4>0</vt:i4>
      </vt:variant>
      <vt:variant>
        <vt:i4>5</vt:i4>
      </vt:variant>
      <vt:variant>
        <vt:lpwstr>http://vbaw.vba.va.gov/bl/21/M21-1MR/index.asp?id=pt01_ch01_secC.xml</vt:lpwstr>
      </vt:variant>
      <vt:variant>
        <vt:lpwstr>I.1.C.5.f</vt:lpwstr>
      </vt:variant>
      <vt:variant>
        <vt:i4>2490409</vt:i4>
      </vt:variant>
      <vt:variant>
        <vt:i4>5360</vt:i4>
      </vt:variant>
      <vt:variant>
        <vt:i4>0</vt:i4>
      </vt:variant>
      <vt:variant>
        <vt:i4>5</vt:i4>
      </vt:variant>
      <vt:variant>
        <vt:lpwstr>http://vbaw.vba.va.gov/bl/21/M21-1MR/index.asp?id=pt01_ch01_secC.xml</vt:lpwstr>
      </vt:variant>
      <vt:variant>
        <vt:lpwstr>I.1.C.5.f</vt:lpwstr>
      </vt:variant>
      <vt:variant>
        <vt:i4>6488164</vt:i4>
      </vt:variant>
      <vt:variant>
        <vt:i4>5357</vt:i4>
      </vt:variant>
      <vt:variant>
        <vt:i4>0</vt:i4>
      </vt:variant>
      <vt:variant>
        <vt:i4>5</vt:i4>
      </vt:variant>
      <vt:variant>
        <vt:lpwstr>http://vbaw.vba.va.gov/bl/21/publicat/Letters/TrngLtrs/TL10-05.doc</vt:lpwstr>
      </vt:variant>
      <vt:variant>
        <vt:lpwstr/>
      </vt:variant>
      <vt:variant>
        <vt:i4>786462</vt:i4>
      </vt:variant>
      <vt:variant>
        <vt:i4>5354</vt:i4>
      </vt:variant>
      <vt:variant>
        <vt:i4>0</vt:i4>
      </vt:variant>
      <vt:variant>
        <vt:i4>5</vt:i4>
      </vt:variant>
      <vt:variant>
        <vt:lpwstr>http://10.220.1.4/bl/21/calendar/Agenda/FY10/0710.doc</vt:lpwstr>
      </vt:variant>
      <vt:variant>
        <vt:lpwstr/>
      </vt:variant>
      <vt:variant>
        <vt:i4>2752548</vt:i4>
      </vt:variant>
      <vt:variant>
        <vt:i4>5351</vt:i4>
      </vt:variant>
      <vt:variant>
        <vt:i4>0</vt:i4>
      </vt:variant>
      <vt:variant>
        <vt:i4>5</vt:i4>
      </vt:variant>
      <vt:variant>
        <vt:lpwstr>http://vbaw.vba.va.gov/BL/21/M21/content/infomap.asp?address=M21-1MRIII.iv.4.H.29</vt:lpwstr>
      </vt:variant>
      <vt:variant>
        <vt:lpwstr>M21-1MRIII.iv.4.H.29.d</vt:lpwstr>
      </vt:variant>
      <vt:variant>
        <vt:i4>2162732</vt:i4>
      </vt:variant>
      <vt:variant>
        <vt:i4>5348</vt:i4>
      </vt:variant>
      <vt:variant>
        <vt:i4>0</vt:i4>
      </vt:variant>
      <vt:variant>
        <vt:i4>5</vt:i4>
      </vt:variant>
      <vt:variant>
        <vt:lpwstr>http://vbaw.vba.va.gov/BL/21/M21/content/infomap.asp?address=M21-1MRIII.iv.3.D.18</vt:lpwstr>
      </vt:variant>
      <vt:variant>
        <vt:lpwstr>M21-1MRIII.iv.3.D.18.f</vt:lpwstr>
      </vt:variant>
      <vt:variant>
        <vt:i4>3342390</vt:i4>
      </vt:variant>
      <vt:variant>
        <vt:i4>5344</vt:i4>
      </vt:variant>
      <vt:variant>
        <vt:i4>0</vt:i4>
      </vt:variant>
      <vt:variant>
        <vt:i4>5</vt:i4>
      </vt:variant>
      <vt:variant>
        <vt:lpwstr>http://vbaw.vba.va.gov/BL/21/M21/content/infomap.asp?address=M21-1MRI.1.C.7</vt:lpwstr>
      </vt:variant>
      <vt:variant>
        <vt:lpwstr/>
      </vt:variant>
      <vt:variant>
        <vt:i4>524316</vt:i4>
      </vt:variant>
      <vt:variant>
        <vt:i4>5342</vt:i4>
      </vt:variant>
      <vt:variant>
        <vt:i4>0</vt:i4>
      </vt:variant>
      <vt:variant>
        <vt:i4>5</vt:i4>
      </vt:variant>
      <vt:variant>
        <vt:lpwstr>http://vbaw.vba.va.gov/bl/21/M21-1MR/index.asp?id=pt01_ch01_secC.xml</vt:lpwstr>
      </vt:variant>
      <vt:variant>
        <vt:lpwstr>I.1.C.7</vt:lpwstr>
      </vt:variant>
      <vt:variant>
        <vt:i4>2883699</vt:i4>
      </vt:variant>
      <vt:variant>
        <vt:i4>5339</vt:i4>
      </vt:variant>
      <vt:variant>
        <vt:i4>0</vt:i4>
      </vt:variant>
      <vt:variant>
        <vt:i4>5</vt:i4>
      </vt:variant>
      <vt:variant>
        <vt:lpwstr>http://vbaw.vba.va.gov/BL/21/M21/content/infomap.asp?address=M21-1MRIV.ii.2.B.6</vt:lpwstr>
      </vt:variant>
      <vt:variant>
        <vt:lpwstr/>
      </vt:variant>
      <vt:variant>
        <vt:i4>7667800</vt:i4>
      </vt:variant>
      <vt:variant>
        <vt:i4>5336</vt:i4>
      </vt:variant>
      <vt:variant>
        <vt:i4>0</vt:i4>
      </vt:variant>
      <vt:variant>
        <vt:i4>5</vt:i4>
      </vt:variant>
      <vt:variant>
        <vt:lpwstr>http://vbaw.vba.va.gov/bl/21/publicat/Regs/Part3/3_310.htm</vt:lpwstr>
      </vt:variant>
      <vt:variant>
        <vt:lpwstr/>
      </vt:variant>
      <vt:variant>
        <vt:i4>8257628</vt:i4>
      </vt:variant>
      <vt:variant>
        <vt:i4>5333</vt:i4>
      </vt:variant>
      <vt:variant>
        <vt:i4>0</vt:i4>
      </vt:variant>
      <vt:variant>
        <vt:i4>5</vt:i4>
      </vt:variant>
      <vt:variant>
        <vt:lpwstr>http://vbaw.vba.va.gov/bl/21/publicat/Regs/Part3/3_159.htm</vt:lpwstr>
      </vt:variant>
      <vt:variant>
        <vt:lpwstr/>
      </vt:variant>
      <vt:variant>
        <vt:i4>3342390</vt:i4>
      </vt:variant>
      <vt:variant>
        <vt:i4>5329</vt:i4>
      </vt:variant>
      <vt:variant>
        <vt:i4>0</vt:i4>
      </vt:variant>
      <vt:variant>
        <vt:i4>5</vt:i4>
      </vt:variant>
      <vt:variant>
        <vt:lpwstr>http://vbaw.vba.va.gov/BL/21/M21/content/infomap.asp?address=M21-1MRI.1.C.7</vt:lpwstr>
      </vt:variant>
      <vt:variant>
        <vt:lpwstr/>
      </vt:variant>
      <vt:variant>
        <vt:i4>524316</vt:i4>
      </vt:variant>
      <vt:variant>
        <vt:i4>5327</vt:i4>
      </vt:variant>
      <vt:variant>
        <vt:i4>0</vt:i4>
      </vt:variant>
      <vt:variant>
        <vt:i4>5</vt:i4>
      </vt:variant>
      <vt:variant>
        <vt:lpwstr>http://vbaw.vba.va.gov/bl/21/M21-1MR/index.asp?id=pt01_ch01_secC.xml</vt:lpwstr>
      </vt:variant>
      <vt:variant>
        <vt:lpwstr>I.1.C.7</vt:lpwstr>
      </vt:variant>
      <vt:variant>
        <vt:i4>8257628</vt:i4>
      </vt:variant>
      <vt:variant>
        <vt:i4>5324</vt:i4>
      </vt:variant>
      <vt:variant>
        <vt:i4>0</vt:i4>
      </vt:variant>
      <vt:variant>
        <vt:i4>5</vt:i4>
      </vt:variant>
      <vt:variant>
        <vt:lpwstr>http://vbaw.vba.va.gov/bl/21/publicat/Regs/Part3/3_159.htm</vt:lpwstr>
      </vt:variant>
      <vt:variant>
        <vt:lpwstr/>
      </vt:variant>
      <vt:variant>
        <vt:i4>3342390</vt:i4>
      </vt:variant>
      <vt:variant>
        <vt:i4>5320</vt:i4>
      </vt:variant>
      <vt:variant>
        <vt:i4>0</vt:i4>
      </vt:variant>
      <vt:variant>
        <vt:i4>5</vt:i4>
      </vt:variant>
      <vt:variant>
        <vt:lpwstr>http://vbaw.vba.va.gov/BL/21/M21/content/infomap.asp?address=M21-1MRI.1.C.7</vt:lpwstr>
      </vt:variant>
      <vt:variant>
        <vt:lpwstr/>
      </vt:variant>
      <vt:variant>
        <vt:i4>524316</vt:i4>
      </vt:variant>
      <vt:variant>
        <vt:i4>5318</vt:i4>
      </vt:variant>
      <vt:variant>
        <vt:i4>0</vt:i4>
      </vt:variant>
      <vt:variant>
        <vt:i4>5</vt:i4>
      </vt:variant>
      <vt:variant>
        <vt:lpwstr>http://vbaw.vba.va.gov/bl/21/M21-1MR/index.asp?id=pt01_ch01_secC.xml</vt:lpwstr>
      </vt:variant>
      <vt:variant>
        <vt:lpwstr>I.1.C.7</vt:lpwstr>
      </vt:variant>
      <vt:variant>
        <vt:i4>8257628</vt:i4>
      </vt:variant>
      <vt:variant>
        <vt:i4>5315</vt:i4>
      </vt:variant>
      <vt:variant>
        <vt:i4>0</vt:i4>
      </vt:variant>
      <vt:variant>
        <vt:i4>5</vt:i4>
      </vt:variant>
      <vt:variant>
        <vt:lpwstr>http://vbaw.vba.va.gov/bl/21/publicat/Regs/Part3/3_159.htm</vt:lpwstr>
      </vt:variant>
      <vt:variant>
        <vt:lpwstr/>
      </vt:variant>
      <vt:variant>
        <vt:i4>4915274</vt:i4>
      </vt:variant>
      <vt:variant>
        <vt:i4>5312</vt:i4>
      </vt:variant>
      <vt:variant>
        <vt:i4>0</vt:i4>
      </vt:variant>
      <vt:variant>
        <vt:i4>5</vt:i4>
      </vt:variant>
      <vt:variant>
        <vt:lpwstr>http://vbaw.vba.va.gov/BL/21/M21/content/infomap.asp?address=M21-1MRIII.iv.4.B.12</vt:lpwstr>
      </vt:variant>
      <vt:variant>
        <vt:lpwstr/>
      </vt:variant>
      <vt:variant>
        <vt:i4>4915274</vt:i4>
      </vt:variant>
      <vt:variant>
        <vt:i4>5309</vt:i4>
      </vt:variant>
      <vt:variant>
        <vt:i4>0</vt:i4>
      </vt:variant>
      <vt:variant>
        <vt:i4>5</vt:i4>
      </vt:variant>
      <vt:variant>
        <vt:lpwstr>http://vbaw.vba.va.gov/BL/21/M21/content/infomap.asp?address=M21-1MRIII.iv.4.B.12</vt:lpwstr>
      </vt:variant>
      <vt:variant>
        <vt:lpwstr/>
      </vt:variant>
      <vt:variant>
        <vt:i4>6553700</vt:i4>
      </vt:variant>
      <vt:variant>
        <vt:i4>5306</vt:i4>
      </vt:variant>
      <vt:variant>
        <vt:i4>0</vt:i4>
      </vt:variant>
      <vt:variant>
        <vt:i4>5</vt:i4>
      </vt:variant>
      <vt:variant>
        <vt:lpwstr>http://vbaw.vba.va.gov/bl/21/publicat/Letters/TrngLtrs/TL10-02.doc</vt:lpwstr>
      </vt:variant>
      <vt:variant>
        <vt:lpwstr/>
      </vt:variant>
      <vt:variant>
        <vt:i4>3604494</vt:i4>
      </vt:variant>
      <vt:variant>
        <vt:i4>5303</vt:i4>
      </vt:variant>
      <vt:variant>
        <vt:i4>0</vt:i4>
      </vt:variant>
      <vt:variant>
        <vt:i4>5</vt:i4>
      </vt:variant>
      <vt:variant>
        <vt:lpwstr>http://vbacodmoint1.vba.va.gov/bl/21/faq/FAQ_Answer.asp?ref=274</vt:lpwstr>
      </vt:variant>
      <vt:variant>
        <vt:lpwstr/>
      </vt:variant>
      <vt:variant>
        <vt:i4>2687017</vt:i4>
      </vt:variant>
      <vt:variant>
        <vt:i4>5300</vt:i4>
      </vt:variant>
      <vt:variant>
        <vt:i4>0</vt:i4>
      </vt:variant>
      <vt:variant>
        <vt:i4>5</vt:i4>
      </vt:variant>
      <vt:variant>
        <vt:lpwstr>http://vbaw.vba.va.gov/BL/21/M21/content/infomap.asp?address=M21-1MRI.1.C.7</vt:lpwstr>
      </vt:variant>
      <vt:variant>
        <vt:lpwstr>M21-1MRI.1.C.7.d</vt:lpwstr>
      </vt:variant>
      <vt:variant>
        <vt:i4>3342391</vt:i4>
      </vt:variant>
      <vt:variant>
        <vt:i4>5297</vt:i4>
      </vt:variant>
      <vt:variant>
        <vt:i4>0</vt:i4>
      </vt:variant>
      <vt:variant>
        <vt:i4>5</vt:i4>
      </vt:variant>
      <vt:variant>
        <vt:lpwstr>http://vbaw.vba.va.gov/BL/21/M21/content/infomap.asp?address=M21-1MRI.1.B.4</vt:lpwstr>
      </vt:variant>
      <vt:variant>
        <vt:lpwstr/>
      </vt:variant>
      <vt:variant>
        <vt:i4>7405660</vt:i4>
      </vt:variant>
      <vt:variant>
        <vt:i4>5294</vt:i4>
      </vt:variant>
      <vt:variant>
        <vt:i4>0</vt:i4>
      </vt:variant>
      <vt:variant>
        <vt:i4>5</vt:i4>
      </vt:variant>
      <vt:variant>
        <vt:lpwstr>http://vbaw.vba.va.gov/bl/21/publicat/Regs/Part3/3_156.htm</vt:lpwstr>
      </vt:variant>
      <vt:variant>
        <vt:lpwstr/>
      </vt:variant>
      <vt:variant>
        <vt:i4>3342390</vt:i4>
      </vt:variant>
      <vt:variant>
        <vt:i4>5291</vt:i4>
      </vt:variant>
      <vt:variant>
        <vt:i4>0</vt:i4>
      </vt:variant>
      <vt:variant>
        <vt:i4>5</vt:i4>
      </vt:variant>
      <vt:variant>
        <vt:lpwstr>http://vbaw.vba.va.gov/BL/21/M21/content/infomap.asp?address=M21-1MRI.1.C.7</vt:lpwstr>
      </vt:variant>
      <vt:variant>
        <vt:lpwstr/>
      </vt:variant>
      <vt:variant>
        <vt:i4>4849738</vt:i4>
      </vt:variant>
      <vt:variant>
        <vt:i4>5288</vt:i4>
      </vt:variant>
      <vt:variant>
        <vt:i4>0</vt:i4>
      </vt:variant>
      <vt:variant>
        <vt:i4>5</vt:i4>
      </vt:variant>
      <vt:variant>
        <vt:lpwstr>http://vbaw.vba.va.gov/BL/21/M21/content/infomap.asp?address=M21-1MRIII.iv.6.B.2</vt:lpwstr>
      </vt:variant>
      <vt:variant>
        <vt:lpwstr/>
      </vt:variant>
      <vt:variant>
        <vt:i4>3342391</vt:i4>
      </vt:variant>
      <vt:variant>
        <vt:i4>5285</vt:i4>
      </vt:variant>
      <vt:variant>
        <vt:i4>0</vt:i4>
      </vt:variant>
      <vt:variant>
        <vt:i4>5</vt:i4>
      </vt:variant>
      <vt:variant>
        <vt:lpwstr>http://vbaw.vba.va.gov/BL/21/M21/content/infomap.asp?address=M21-1MRI.1.B.3</vt:lpwstr>
      </vt:variant>
      <vt:variant>
        <vt:lpwstr/>
      </vt:variant>
      <vt:variant>
        <vt:i4>8257628</vt:i4>
      </vt:variant>
      <vt:variant>
        <vt:i4>5282</vt:i4>
      </vt:variant>
      <vt:variant>
        <vt:i4>0</vt:i4>
      </vt:variant>
      <vt:variant>
        <vt:i4>5</vt:i4>
      </vt:variant>
      <vt:variant>
        <vt:lpwstr>http://vbaw.vba.va.gov/bl/21/publicat/Regs/Part3/3_159.htm</vt:lpwstr>
      </vt:variant>
      <vt:variant>
        <vt:lpwstr/>
      </vt:variant>
      <vt:variant>
        <vt:i4>8126553</vt:i4>
      </vt:variant>
      <vt:variant>
        <vt:i4>5279</vt:i4>
      </vt:variant>
      <vt:variant>
        <vt:i4>0</vt:i4>
      </vt:variant>
      <vt:variant>
        <vt:i4>5</vt:i4>
      </vt:variant>
      <vt:variant>
        <vt:lpwstr>http://vbaw.vba.va.gov/bl/21/publicat/Regs/Part3/3_309.htm</vt:lpwstr>
      </vt:variant>
      <vt:variant>
        <vt:lpwstr/>
      </vt:variant>
      <vt:variant>
        <vt:i4>8126553</vt:i4>
      </vt:variant>
      <vt:variant>
        <vt:i4>5272</vt:i4>
      </vt:variant>
      <vt:variant>
        <vt:i4>0</vt:i4>
      </vt:variant>
      <vt:variant>
        <vt:i4>5</vt:i4>
      </vt:variant>
      <vt:variant>
        <vt:lpwstr>http://vbaw.vba.va.gov/bl/21/publicat/Regs/Part3/3_309.htm</vt:lpwstr>
      </vt:variant>
      <vt:variant>
        <vt:lpwstr/>
      </vt:variant>
      <vt:variant>
        <vt:i4>983047</vt:i4>
      </vt:variant>
      <vt:variant>
        <vt:i4>5261</vt:i4>
      </vt:variant>
      <vt:variant>
        <vt:i4>0</vt:i4>
      </vt:variant>
      <vt:variant>
        <vt:i4>5</vt:i4>
      </vt:variant>
      <vt:variant>
        <vt:lpwstr/>
      </vt:variant>
      <vt:variant>
        <vt:lpwstr>7807</vt:lpwstr>
      </vt:variant>
      <vt:variant>
        <vt:i4>2621540</vt:i4>
      </vt:variant>
      <vt:variant>
        <vt:i4>5258</vt:i4>
      </vt:variant>
      <vt:variant>
        <vt:i4>0</vt:i4>
      </vt:variant>
      <vt:variant>
        <vt:i4>5</vt:i4>
      </vt:variant>
      <vt:variant>
        <vt:lpwstr>..\..\Local Settings\4_89.htm</vt:lpwstr>
      </vt:variant>
      <vt:variant>
        <vt:lpwstr/>
      </vt:variant>
      <vt:variant>
        <vt:i4>1376343</vt:i4>
      </vt:variant>
      <vt:variant>
        <vt:i4>5255</vt:i4>
      </vt:variant>
      <vt:variant>
        <vt:i4>0</vt:i4>
      </vt:variant>
      <vt:variant>
        <vt:i4>5</vt:i4>
      </vt:variant>
      <vt:variant>
        <vt:lpwstr>..\..\Local Settings\4_88b.htm</vt:lpwstr>
      </vt:variant>
      <vt:variant>
        <vt:lpwstr/>
      </vt:variant>
      <vt:variant>
        <vt:i4>1441876</vt:i4>
      </vt:variant>
      <vt:variant>
        <vt:i4>5252</vt:i4>
      </vt:variant>
      <vt:variant>
        <vt:i4>0</vt:i4>
      </vt:variant>
      <vt:variant>
        <vt:i4>5</vt:i4>
      </vt:variant>
      <vt:variant>
        <vt:lpwstr>..\..\Local Settings\4_88b.htm</vt:lpwstr>
      </vt:variant>
      <vt:variant>
        <vt:lpwstr>6350</vt:lpwstr>
      </vt:variant>
      <vt:variant>
        <vt:i4>589831</vt:i4>
      </vt:variant>
      <vt:variant>
        <vt:i4>5249</vt:i4>
      </vt:variant>
      <vt:variant>
        <vt:i4>0</vt:i4>
      </vt:variant>
      <vt:variant>
        <vt:i4>5</vt:i4>
      </vt:variant>
      <vt:variant>
        <vt:lpwstr/>
      </vt:variant>
      <vt:variant>
        <vt:lpwstr>7801</vt:lpwstr>
      </vt:variant>
      <vt:variant>
        <vt:i4>458752</vt:i4>
      </vt:variant>
      <vt:variant>
        <vt:i4>5246</vt:i4>
      </vt:variant>
      <vt:variant>
        <vt:i4>0</vt:i4>
      </vt:variant>
      <vt:variant>
        <vt:i4>5</vt:i4>
      </vt:variant>
      <vt:variant>
        <vt:lpwstr/>
      </vt:variant>
      <vt:variant>
        <vt:lpwstr>5156</vt:lpwstr>
      </vt:variant>
      <vt:variant>
        <vt:i4>196608</vt:i4>
      </vt:variant>
      <vt:variant>
        <vt:i4>5243</vt:i4>
      </vt:variant>
      <vt:variant>
        <vt:i4>0</vt:i4>
      </vt:variant>
      <vt:variant>
        <vt:i4>5</vt:i4>
      </vt:variant>
      <vt:variant>
        <vt:lpwstr/>
      </vt:variant>
      <vt:variant>
        <vt:lpwstr>5152</vt:lpwstr>
      </vt:variant>
      <vt:variant>
        <vt:i4>65543</vt:i4>
      </vt:variant>
      <vt:variant>
        <vt:i4>5240</vt:i4>
      </vt:variant>
      <vt:variant>
        <vt:i4>0</vt:i4>
      </vt:variant>
      <vt:variant>
        <vt:i4>5</vt:i4>
      </vt:variant>
      <vt:variant>
        <vt:lpwstr/>
      </vt:variant>
      <vt:variant>
        <vt:lpwstr>5223</vt:lpwstr>
      </vt:variant>
      <vt:variant>
        <vt:i4>131079</vt:i4>
      </vt:variant>
      <vt:variant>
        <vt:i4>5237</vt:i4>
      </vt:variant>
      <vt:variant>
        <vt:i4>0</vt:i4>
      </vt:variant>
      <vt:variant>
        <vt:i4>5</vt:i4>
      </vt:variant>
      <vt:variant>
        <vt:lpwstr/>
      </vt:variant>
      <vt:variant>
        <vt:lpwstr>5220</vt:lpwstr>
      </vt:variant>
      <vt:variant>
        <vt:i4>720900</vt:i4>
      </vt:variant>
      <vt:variant>
        <vt:i4>5234</vt:i4>
      </vt:variant>
      <vt:variant>
        <vt:i4>0</vt:i4>
      </vt:variant>
      <vt:variant>
        <vt:i4>5</vt:i4>
      </vt:variant>
      <vt:variant>
        <vt:lpwstr/>
      </vt:variant>
      <vt:variant>
        <vt:lpwstr>5219</vt:lpwstr>
      </vt:variant>
      <vt:variant>
        <vt:i4>262148</vt:i4>
      </vt:variant>
      <vt:variant>
        <vt:i4>5231</vt:i4>
      </vt:variant>
      <vt:variant>
        <vt:i4>0</vt:i4>
      </vt:variant>
      <vt:variant>
        <vt:i4>5</vt:i4>
      </vt:variant>
      <vt:variant>
        <vt:lpwstr/>
      </vt:variant>
      <vt:variant>
        <vt:lpwstr>5216</vt:lpwstr>
      </vt:variant>
      <vt:variant>
        <vt:i4>5898289</vt:i4>
      </vt:variant>
      <vt:variant>
        <vt:i4>5228</vt:i4>
      </vt:variant>
      <vt:variant>
        <vt:i4>0</vt:i4>
      </vt:variant>
      <vt:variant>
        <vt:i4>5</vt:i4>
      </vt:variant>
      <vt:variant>
        <vt:lpwstr>http://vbaw.vba.va.gov/bl/21/Publicat/Regs/Part4/TUTORIAL/Cv_indx.htm</vt:lpwstr>
      </vt:variant>
      <vt:variant>
        <vt:lpwstr/>
      </vt:variant>
      <vt:variant>
        <vt:i4>4259902</vt:i4>
      </vt:variant>
      <vt:variant>
        <vt:i4>5225</vt:i4>
      </vt:variant>
      <vt:variant>
        <vt:i4>0</vt:i4>
      </vt:variant>
      <vt:variant>
        <vt:i4>5</vt:i4>
      </vt:variant>
      <vt:variant>
        <vt:lpwstr>http://10.220.1.4/bl/21/faq/FAQ_Answer.asp?ref=215</vt:lpwstr>
      </vt:variant>
      <vt:variant>
        <vt:lpwstr/>
      </vt:variant>
      <vt:variant>
        <vt:i4>7733336</vt:i4>
      </vt:variant>
      <vt:variant>
        <vt:i4>5222</vt:i4>
      </vt:variant>
      <vt:variant>
        <vt:i4>0</vt:i4>
      </vt:variant>
      <vt:variant>
        <vt:i4>5</vt:i4>
      </vt:variant>
      <vt:variant>
        <vt:lpwstr>http://vbaw.vba.va.gov/bl/21/publicat/Regs/Part3/3_313.htm</vt:lpwstr>
      </vt:variant>
      <vt:variant>
        <vt:lpwstr/>
      </vt:variant>
      <vt:variant>
        <vt:i4>8126553</vt:i4>
      </vt:variant>
      <vt:variant>
        <vt:i4>5219</vt:i4>
      </vt:variant>
      <vt:variant>
        <vt:i4>0</vt:i4>
      </vt:variant>
      <vt:variant>
        <vt:i4>5</vt:i4>
      </vt:variant>
      <vt:variant>
        <vt:lpwstr>http://vbaw.vba.va.gov/bl/21/publicat/Regs/Part3/3_309.htm</vt:lpwstr>
      </vt:variant>
      <vt:variant>
        <vt:lpwstr/>
      </vt:variant>
      <vt:variant>
        <vt:i4>7733334</vt:i4>
      </vt:variant>
      <vt:variant>
        <vt:i4>5216</vt:i4>
      </vt:variant>
      <vt:variant>
        <vt:i4>0</vt:i4>
      </vt:variant>
      <vt:variant>
        <vt:i4>5</vt:i4>
      </vt:variant>
      <vt:variant>
        <vt:lpwstr>http://vbaw.vba.va.gov/bl/21/M21-1MR/index.asp?id=pt03_sp04_ch04_secI.xml</vt:lpwstr>
      </vt:variant>
      <vt:variant>
        <vt:lpwstr>III.iv.4.I.36</vt:lpwstr>
      </vt:variant>
      <vt:variant>
        <vt:i4>8126553</vt:i4>
      </vt:variant>
      <vt:variant>
        <vt:i4>5213</vt:i4>
      </vt:variant>
      <vt:variant>
        <vt:i4>0</vt:i4>
      </vt:variant>
      <vt:variant>
        <vt:i4>5</vt:i4>
      </vt:variant>
      <vt:variant>
        <vt:lpwstr>http://vbaw.vba.va.gov/bl/21/publicat/Regs/Part3/3_309.htm</vt:lpwstr>
      </vt:variant>
      <vt:variant>
        <vt:lpwstr/>
      </vt:variant>
      <vt:variant>
        <vt:i4>8126553</vt:i4>
      </vt:variant>
      <vt:variant>
        <vt:i4>5210</vt:i4>
      </vt:variant>
      <vt:variant>
        <vt:i4>0</vt:i4>
      </vt:variant>
      <vt:variant>
        <vt:i4>5</vt:i4>
      </vt:variant>
      <vt:variant>
        <vt:lpwstr>http://vbaw.vba.va.gov/bl/21/publicat/Regs/Part3/3_309.htm</vt:lpwstr>
      </vt:variant>
      <vt:variant>
        <vt:lpwstr/>
      </vt:variant>
      <vt:variant>
        <vt:i4>6422626</vt:i4>
      </vt:variant>
      <vt:variant>
        <vt:i4>5207</vt:i4>
      </vt:variant>
      <vt:variant>
        <vt:i4>0</vt:i4>
      </vt:variant>
      <vt:variant>
        <vt:i4>5</vt:i4>
      </vt:variant>
      <vt:variant>
        <vt:lpwstr>http://vbaw.vba.va.gov/bl/21/publicat/letters/TrngLtrs/TL06-05.doc</vt:lpwstr>
      </vt:variant>
      <vt:variant>
        <vt:lpwstr/>
      </vt:variant>
      <vt:variant>
        <vt:i4>8126553</vt:i4>
      </vt:variant>
      <vt:variant>
        <vt:i4>5204</vt:i4>
      </vt:variant>
      <vt:variant>
        <vt:i4>0</vt:i4>
      </vt:variant>
      <vt:variant>
        <vt:i4>5</vt:i4>
      </vt:variant>
      <vt:variant>
        <vt:lpwstr>http://vbaw.vba.va.gov/bl/21/publicat/Regs/Part3/3_309.htm</vt:lpwstr>
      </vt:variant>
      <vt:variant>
        <vt:lpwstr/>
      </vt:variant>
      <vt:variant>
        <vt:i4>4325434</vt:i4>
      </vt:variant>
      <vt:variant>
        <vt:i4>5201</vt:i4>
      </vt:variant>
      <vt:variant>
        <vt:i4>0</vt:i4>
      </vt:variant>
      <vt:variant>
        <vt:i4>5</vt:i4>
      </vt:variant>
      <vt:variant>
        <vt:lpwstr>http://10.220.1.4/bl/21/faq/FAQ_Answer.asp?ref=256</vt:lpwstr>
      </vt:variant>
      <vt:variant>
        <vt:lpwstr/>
      </vt:variant>
      <vt:variant>
        <vt:i4>8126553</vt:i4>
      </vt:variant>
      <vt:variant>
        <vt:i4>5198</vt:i4>
      </vt:variant>
      <vt:variant>
        <vt:i4>0</vt:i4>
      </vt:variant>
      <vt:variant>
        <vt:i4>5</vt:i4>
      </vt:variant>
      <vt:variant>
        <vt:lpwstr>http://vbaw.vba.va.gov/bl/21/publicat/Regs/Part3/3_309.htm</vt:lpwstr>
      </vt:variant>
      <vt:variant>
        <vt:lpwstr/>
      </vt:variant>
      <vt:variant>
        <vt:i4>393334</vt:i4>
      </vt:variant>
      <vt:variant>
        <vt:i4>5195</vt:i4>
      </vt:variant>
      <vt:variant>
        <vt:i4>0</vt:i4>
      </vt:variant>
      <vt:variant>
        <vt:i4>5</vt:i4>
      </vt:variant>
      <vt:variant>
        <vt:lpwstr>http://vbaw.vba.va.gov/bl/21/M21-1MR/index.asp?id=pt03_sp02_ch04_secA.xml</vt:lpwstr>
      </vt:variant>
      <vt:variant>
        <vt:lpwstr>III.ii.4.A.5.a</vt:lpwstr>
      </vt:variant>
      <vt:variant>
        <vt:i4>7340120</vt:i4>
      </vt:variant>
      <vt:variant>
        <vt:i4>5192</vt:i4>
      </vt:variant>
      <vt:variant>
        <vt:i4>0</vt:i4>
      </vt:variant>
      <vt:variant>
        <vt:i4>5</vt:i4>
      </vt:variant>
      <vt:variant>
        <vt:lpwstr>http://vbaw.vba.va.gov/bl/21/publicat/Regs/Part4/4_117.htm</vt:lpwstr>
      </vt:variant>
      <vt:variant>
        <vt:lpwstr/>
      </vt:variant>
      <vt:variant>
        <vt:i4>4325433</vt:i4>
      </vt:variant>
      <vt:variant>
        <vt:i4>5189</vt:i4>
      </vt:variant>
      <vt:variant>
        <vt:i4>0</vt:i4>
      </vt:variant>
      <vt:variant>
        <vt:i4>5</vt:i4>
      </vt:variant>
      <vt:variant>
        <vt:lpwstr>http://10.220.1.4/bl/21/faq/FAQ_Answer.asp?ref=266</vt:lpwstr>
      </vt:variant>
      <vt:variant>
        <vt:lpwstr/>
      </vt:variant>
      <vt:variant>
        <vt:i4>7405656</vt:i4>
      </vt:variant>
      <vt:variant>
        <vt:i4>5186</vt:i4>
      </vt:variant>
      <vt:variant>
        <vt:i4>0</vt:i4>
      </vt:variant>
      <vt:variant>
        <vt:i4>5</vt:i4>
      </vt:variant>
      <vt:variant>
        <vt:lpwstr>http://vbaw.vba.va.gov/bl/21/publicat/Regs/Part4/4_116.htm</vt:lpwstr>
      </vt:variant>
      <vt:variant>
        <vt:lpwstr/>
      </vt:variant>
      <vt:variant>
        <vt:i4>8126553</vt:i4>
      </vt:variant>
      <vt:variant>
        <vt:i4>5183</vt:i4>
      </vt:variant>
      <vt:variant>
        <vt:i4>0</vt:i4>
      </vt:variant>
      <vt:variant>
        <vt:i4>5</vt:i4>
      </vt:variant>
      <vt:variant>
        <vt:lpwstr>http://vbaw.vba.va.gov/bl/21/publicat/Regs/Part3/3_309.htm</vt:lpwstr>
      </vt:variant>
      <vt:variant>
        <vt:lpwstr/>
      </vt:variant>
      <vt:variant>
        <vt:i4>1638474</vt:i4>
      </vt:variant>
      <vt:variant>
        <vt:i4>5180</vt:i4>
      </vt:variant>
      <vt:variant>
        <vt:i4>0</vt:i4>
      </vt:variant>
      <vt:variant>
        <vt:i4>5</vt:i4>
      </vt:variant>
      <vt:variant>
        <vt:lpwstr>http://vbaw.vba.va.gov/BL/21/M21/content/infomap.asp?address=M21-1MRIII.iv.5.5</vt:lpwstr>
      </vt:variant>
      <vt:variant>
        <vt:lpwstr>M21-1MRIII.iv.5.5.h</vt:lpwstr>
      </vt:variant>
      <vt:variant>
        <vt:i4>3473421</vt:i4>
      </vt:variant>
      <vt:variant>
        <vt:i4>5177</vt:i4>
      </vt:variant>
      <vt:variant>
        <vt:i4>0</vt:i4>
      </vt:variant>
      <vt:variant>
        <vt:i4>5</vt:i4>
      </vt:variant>
      <vt:variant>
        <vt:lpwstr>http://vbacodmoint1.vba.va.gov/bl/21/faq/FAQ_Answer.asp?ref=158</vt:lpwstr>
      </vt:variant>
      <vt:variant>
        <vt:lpwstr/>
      </vt:variant>
      <vt:variant>
        <vt:i4>6488164</vt:i4>
      </vt:variant>
      <vt:variant>
        <vt:i4>5174</vt:i4>
      </vt:variant>
      <vt:variant>
        <vt:i4>0</vt:i4>
      </vt:variant>
      <vt:variant>
        <vt:i4>5</vt:i4>
      </vt:variant>
      <vt:variant>
        <vt:lpwstr>http://vbaw.vba.va.gov/bl/21/publicat/Letters/TrngLtrs/TL00-04.doc</vt:lpwstr>
      </vt:variant>
      <vt:variant>
        <vt:lpwstr/>
      </vt:variant>
      <vt:variant>
        <vt:i4>6619236</vt:i4>
      </vt:variant>
      <vt:variant>
        <vt:i4>5171</vt:i4>
      </vt:variant>
      <vt:variant>
        <vt:i4>0</vt:i4>
      </vt:variant>
      <vt:variant>
        <vt:i4>5</vt:i4>
      </vt:variant>
      <vt:variant>
        <vt:lpwstr>http://vbaw.vba.va.gov/bl/21/publicat/Letters/TrngLtrs/TL00-02.doc</vt:lpwstr>
      </vt:variant>
      <vt:variant>
        <vt:lpwstr/>
      </vt:variant>
      <vt:variant>
        <vt:i4>7274605</vt:i4>
      </vt:variant>
      <vt:variant>
        <vt:i4>5168</vt:i4>
      </vt:variant>
      <vt:variant>
        <vt:i4>0</vt:i4>
      </vt:variant>
      <vt:variant>
        <vt:i4>5</vt:i4>
      </vt:variant>
      <vt:variant>
        <vt:lpwstr>http://vbaw.vba.va.gov/bl/21/publicat/Letters/TrngLtrs/tl99-01.doc</vt:lpwstr>
      </vt:variant>
      <vt:variant>
        <vt:lpwstr/>
      </vt:variant>
      <vt:variant>
        <vt:i4>4390971</vt:i4>
      </vt:variant>
      <vt:variant>
        <vt:i4>5165</vt:i4>
      </vt:variant>
      <vt:variant>
        <vt:i4>0</vt:i4>
      </vt:variant>
      <vt:variant>
        <vt:i4>5</vt:i4>
      </vt:variant>
      <vt:variant>
        <vt:lpwstr>http://10.220.1.4/bl/21/faq/FAQ_Answer.asp?ref=247</vt:lpwstr>
      </vt:variant>
      <vt:variant>
        <vt:lpwstr/>
      </vt:variant>
      <vt:variant>
        <vt:i4>7733334</vt:i4>
      </vt:variant>
      <vt:variant>
        <vt:i4>5162</vt:i4>
      </vt:variant>
      <vt:variant>
        <vt:i4>0</vt:i4>
      </vt:variant>
      <vt:variant>
        <vt:i4>5</vt:i4>
      </vt:variant>
      <vt:variant>
        <vt:lpwstr>http://vbaw.vba.va.gov/bl/21/M21-1MR/index.asp?id=pt03_sp04_ch04_secI.xml</vt:lpwstr>
      </vt:variant>
      <vt:variant>
        <vt:lpwstr>III.iv.4.I.34</vt:lpwstr>
      </vt:variant>
      <vt:variant>
        <vt:i4>3997765</vt:i4>
      </vt:variant>
      <vt:variant>
        <vt:i4>5159</vt:i4>
      </vt:variant>
      <vt:variant>
        <vt:i4>0</vt:i4>
      </vt:variant>
      <vt:variant>
        <vt:i4>5</vt:i4>
      </vt:variant>
      <vt:variant>
        <vt:lpwstr>http://cptraining.vba.va.gov/C&amp;P_Training/RVSR/Diabetes.htm</vt:lpwstr>
      </vt:variant>
      <vt:variant>
        <vt:lpwstr/>
      </vt:variant>
      <vt:variant>
        <vt:i4>3997765</vt:i4>
      </vt:variant>
      <vt:variant>
        <vt:i4>5156</vt:i4>
      </vt:variant>
      <vt:variant>
        <vt:i4>0</vt:i4>
      </vt:variant>
      <vt:variant>
        <vt:i4>5</vt:i4>
      </vt:variant>
      <vt:variant>
        <vt:lpwstr>http://cptraining.vba.va.gov/C&amp;P_Training/RVSR/Diabetes.htm</vt:lpwstr>
      </vt:variant>
      <vt:variant>
        <vt:lpwstr/>
      </vt:variant>
      <vt:variant>
        <vt:i4>4390971</vt:i4>
      </vt:variant>
      <vt:variant>
        <vt:i4>5153</vt:i4>
      </vt:variant>
      <vt:variant>
        <vt:i4>0</vt:i4>
      </vt:variant>
      <vt:variant>
        <vt:i4>5</vt:i4>
      </vt:variant>
      <vt:variant>
        <vt:lpwstr>http://10.220.1.4/bl/21/faq/FAQ_Answer.asp?ref=247</vt:lpwstr>
      </vt:variant>
      <vt:variant>
        <vt:lpwstr/>
      </vt:variant>
      <vt:variant>
        <vt:i4>4390974</vt:i4>
      </vt:variant>
      <vt:variant>
        <vt:i4>5150</vt:i4>
      </vt:variant>
      <vt:variant>
        <vt:i4>0</vt:i4>
      </vt:variant>
      <vt:variant>
        <vt:i4>5</vt:i4>
      </vt:variant>
      <vt:variant>
        <vt:lpwstr>http://10.220.1.4/bl/21/faq/FAQ_Answer.asp?ref=114</vt:lpwstr>
      </vt:variant>
      <vt:variant>
        <vt:lpwstr/>
      </vt:variant>
      <vt:variant>
        <vt:i4>4587581</vt:i4>
      </vt:variant>
      <vt:variant>
        <vt:i4>5147</vt:i4>
      </vt:variant>
      <vt:variant>
        <vt:i4>0</vt:i4>
      </vt:variant>
      <vt:variant>
        <vt:i4>5</vt:i4>
      </vt:variant>
      <vt:variant>
        <vt:lpwstr>http://10.220.1.4/bl/21/faq/FAQ_Answer.asp?ref=222</vt:lpwstr>
      </vt:variant>
      <vt:variant>
        <vt:lpwstr/>
      </vt:variant>
      <vt:variant>
        <vt:i4>2949128</vt:i4>
      </vt:variant>
      <vt:variant>
        <vt:i4>5144</vt:i4>
      </vt:variant>
      <vt:variant>
        <vt:i4>0</vt:i4>
      </vt:variant>
      <vt:variant>
        <vt:i4>5</vt:i4>
      </vt:variant>
      <vt:variant>
        <vt:lpwstr>http://vbaw.vba.va.gov/bl/21/publicat/Regs/Part4/4_115b.htm</vt:lpwstr>
      </vt:variant>
      <vt:variant>
        <vt:lpwstr/>
      </vt:variant>
      <vt:variant>
        <vt:i4>2949131</vt:i4>
      </vt:variant>
      <vt:variant>
        <vt:i4>5141</vt:i4>
      </vt:variant>
      <vt:variant>
        <vt:i4>0</vt:i4>
      </vt:variant>
      <vt:variant>
        <vt:i4>5</vt:i4>
      </vt:variant>
      <vt:variant>
        <vt:lpwstr>http://vbaw.vba.va.gov/bl/21/publicat/Regs/Part4/4_115a.htm</vt:lpwstr>
      </vt:variant>
      <vt:variant>
        <vt:lpwstr/>
      </vt:variant>
      <vt:variant>
        <vt:i4>3932236</vt:i4>
      </vt:variant>
      <vt:variant>
        <vt:i4>5138</vt:i4>
      </vt:variant>
      <vt:variant>
        <vt:i4>0</vt:i4>
      </vt:variant>
      <vt:variant>
        <vt:i4>5</vt:i4>
      </vt:variant>
      <vt:variant>
        <vt:lpwstr>http://vbaw.vba.va.gov/bl/21/star/star_call.htm</vt:lpwstr>
      </vt:variant>
      <vt:variant>
        <vt:lpwstr/>
      </vt:variant>
      <vt:variant>
        <vt:i4>3997765</vt:i4>
      </vt:variant>
      <vt:variant>
        <vt:i4>5135</vt:i4>
      </vt:variant>
      <vt:variant>
        <vt:i4>0</vt:i4>
      </vt:variant>
      <vt:variant>
        <vt:i4>5</vt:i4>
      </vt:variant>
      <vt:variant>
        <vt:lpwstr>http://cptraining.vba.va.gov/C&amp;P_Training/RVSR/Diabetes.htm</vt:lpwstr>
      </vt:variant>
      <vt:variant>
        <vt:lpwstr/>
      </vt:variant>
      <vt:variant>
        <vt:i4>7471192</vt:i4>
      </vt:variant>
      <vt:variant>
        <vt:i4>5132</vt:i4>
      </vt:variant>
      <vt:variant>
        <vt:i4>0</vt:i4>
      </vt:variant>
      <vt:variant>
        <vt:i4>5</vt:i4>
      </vt:variant>
      <vt:variant>
        <vt:lpwstr>http://vbaw.vba.va.gov/bl/21/publicat/Regs/Part4/4_115.htm</vt:lpwstr>
      </vt:variant>
      <vt:variant>
        <vt:lpwstr/>
      </vt:variant>
      <vt:variant>
        <vt:i4>3735566</vt:i4>
      </vt:variant>
      <vt:variant>
        <vt:i4>5129</vt:i4>
      </vt:variant>
      <vt:variant>
        <vt:i4>0</vt:i4>
      </vt:variant>
      <vt:variant>
        <vt:i4>5</vt:i4>
      </vt:variant>
      <vt:variant>
        <vt:lpwstr>http://vbacodmoint1.vba.va.gov/bl/21/faq/FAQ_Answer.asp?ref=297</vt:lpwstr>
      </vt:variant>
      <vt:variant>
        <vt:lpwstr/>
      </vt:variant>
      <vt:variant>
        <vt:i4>6619237</vt:i4>
      </vt:variant>
      <vt:variant>
        <vt:i4>5126</vt:i4>
      </vt:variant>
      <vt:variant>
        <vt:i4>0</vt:i4>
      </vt:variant>
      <vt:variant>
        <vt:i4>5</vt:i4>
      </vt:variant>
      <vt:variant>
        <vt:lpwstr>http://vbaw.vba.va.gov/bl/21/publicat/Letters/TrngLtrs/TL01-02.doc</vt:lpwstr>
      </vt:variant>
      <vt:variant>
        <vt:lpwstr/>
      </vt:variant>
      <vt:variant>
        <vt:i4>6684772</vt:i4>
      </vt:variant>
      <vt:variant>
        <vt:i4>5123</vt:i4>
      </vt:variant>
      <vt:variant>
        <vt:i4>0</vt:i4>
      </vt:variant>
      <vt:variant>
        <vt:i4>5</vt:i4>
      </vt:variant>
      <vt:variant>
        <vt:lpwstr>http://vbaw.vba.va.gov/bl/21/publicat/Letters/TrngLtrs/tl00-01.doc</vt:lpwstr>
      </vt:variant>
      <vt:variant>
        <vt:lpwstr/>
      </vt:variant>
      <vt:variant>
        <vt:i4>7602215</vt:i4>
      </vt:variant>
      <vt:variant>
        <vt:i4>5119</vt:i4>
      </vt:variant>
      <vt:variant>
        <vt:i4>0</vt:i4>
      </vt:variant>
      <vt:variant>
        <vt:i4>5</vt:i4>
      </vt:variant>
      <vt:variant>
        <vt:lpwstr>http://vbaw.vba.va.gov/bl/21/publicat/Letters/FL99/FL99-094.doc</vt:lpwstr>
      </vt:variant>
      <vt:variant>
        <vt:lpwstr/>
      </vt:variant>
      <vt:variant>
        <vt:i4>7602215</vt:i4>
      </vt:variant>
      <vt:variant>
        <vt:i4>5117</vt:i4>
      </vt:variant>
      <vt:variant>
        <vt:i4>0</vt:i4>
      </vt:variant>
      <vt:variant>
        <vt:i4>5</vt:i4>
      </vt:variant>
      <vt:variant>
        <vt:lpwstr>http://vbaw.vba.va.gov/bl/21/publicat/Letters/FL99/FL99-094.doc</vt:lpwstr>
      </vt:variant>
      <vt:variant>
        <vt:lpwstr/>
      </vt:variant>
      <vt:variant>
        <vt:i4>7929890</vt:i4>
      </vt:variant>
      <vt:variant>
        <vt:i4>5114</vt:i4>
      </vt:variant>
      <vt:variant>
        <vt:i4>0</vt:i4>
      </vt:variant>
      <vt:variant>
        <vt:i4>5</vt:i4>
      </vt:variant>
      <vt:variant>
        <vt:lpwstr>http://vbaw.vba.va.gov/bl/21/publicat/Letters/FL99/FL99-041.doc</vt:lpwstr>
      </vt:variant>
      <vt:variant>
        <vt:lpwstr/>
      </vt:variant>
      <vt:variant>
        <vt:i4>8192035</vt:i4>
      </vt:variant>
      <vt:variant>
        <vt:i4>5111</vt:i4>
      </vt:variant>
      <vt:variant>
        <vt:i4>0</vt:i4>
      </vt:variant>
      <vt:variant>
        <vt:i4>5</vt:i4>
      </vt:variant>
      <vt:variant>
        <vt:lpwstr>http://vbaw.vba.va.gov/bl/21/publicat/Letters/FL98/FL98-110.doc</vt:lpwstr>
      </vt:variant>
      <vt:variant>
        <vt:lpwstr/>
      </vt:variant>
      <vt:variant>
        <vt:i4>8323111</vt:i4>
      </vt:variant>
      <vt:variant>
        <vt:i4>5108</vt:i4>
      </vt:variant>
      <vt:variant>
        <vt:i4>0</vt:i4>
      </vt:variant>
      <vt:variant>
        <vt:i4>5</vt:i4>
      </vt:variant>
      <vt:variant>
        <vt:lpwstr>http://vbaw.vba.va.gov/bl/21/publicat/Letters/FL98/FL98-035.doc</vt:lpwstr>
      </vt:variant>
      <vt:variant>
        <vt:lpwstr/>
      </vt:variant>
      <vt:variant>
        <vt:i4>5767269</vt:i4>
      </vt:variant>
      <vt:variant>
        <vt:i4>5105</vt:i4>
      </vt:variant>
      <vt:variant>
        <vt:i4>0</vt:i4>
      </vt:variant>
      <vt:variant>
        <vt:i4>5</vt:i4>
      </vt:variant>
      <vt:variant>
        <vt:lpwstr>http://vbaw.vba.va.gov/bl/21/M21-1MR/index.asp?id=pt03_sp04_ch04_secI.xml</vt:lpwstr>
      </vt:variant>
      <vt:variant>
        <vt:lpwstr>III.iv.4.I.33.d</vt:lpwstr>
      </vt:variant>
      <vt:variant>
        <vt:i4>8126553</vt:i4>
      </vt:variant>
      <vt:variant>
        <vt:i4>5102</vt:i4>
      </vt:variant>
      <vt:variant>
        <vt:i4>0</vt:i4>
      </vt:variant>
      <vt:variant>
        <vt:i4>5</vt:i4>
      </vt:variant>
      <vt:variant>
        <vt:lpwstr>http://vbaw.vba.va.gov/bl/21/publicat/Regs/Part3/3_309.htm</vt:lpwstr>
      </vt:variant>
      <vt:variant>
        <vt:lpwstr/>
      </vt:variant>
      <vt:variant>
        <vt:i4>5767269</vt:i4>
      </vt:variant>
      <vt:variant>
        <vt:i4>5099</vt:i4>
      </vt:variant>
      <vt:variant>
        <vt:i4>0</vt:i4>
      </vt:variant>
      <vt:variant>
        <vt:i4>5</vt:i4>
      </vt:variant>
      <vt:variant>
        <vt:lpwstr>http://vbaw.vba.va.gov/bl/21/M21-1MR/index.asp?id=pt03_sp04_ch04_secI.xml</vt:lpwstr>
      </vt:variant>
      <vt:variant>
        <vt:lpwstr>III.iv.4.I.33.b</vt:lpwstr>
      </vt:variant>
      <vt:variant>
        <vt:i4>2883699</vt:i4>
      </vt:variant>
      <vt:variant>
        <vt:i4>5096</vt:i4>
      </vt:variant>
      <vt:variant>
        <vt:i4>0</vt:i4>
      </vt:variant>
      <vt:variant>
        <vt:i4>5</vt:i4>
      </vt:variant>
      <vt:variant>
        <vt:lpwstr>http://vbaw.vba.va.gov/BL/21/M21/content/infomap.asp?address=M21-1MRIV.ii.2.B.3</vt:lpwstr>
      </vt:variant>
      <vt:variant>
        <vt:lpwstr/>
      </vt:variant>
      <vt:variant>
        <vt:i4>4325450</vt:i4>
      </vt:variant>
      <vt:variant>
        <vt:i4>5093</vt:i4>
      </vt:variant>
      <vt:variant>
        <vt:i4>0</vt:i4>
      </vt:variant>
      <vt:variant>
        <vt:i4>5</vt:i4>
      </vt:variant>
      <vt:variant>
        <vt:lpwstr>http://vbaw.vba.va.gov/BL/21/M21/content/infomap.asp?address=M21-1MRIII.iv.4.I.33</vt:lpwstr>
      </vt:variant>
      <vt:variant>
        <vt:lpwstr/>
      </vt:variant>
      <vt:variant>
        <vt:i4>852047</vt:i4>
      </vt:variant>
      <vt:variant>
        <vt:i4>5090</vt:i4>
      </vt:variant>
      <vt:variant>
        <vt:i4>0</vt:i4>
      </vt:variant>
      <vt:variant>
        <vt:i4>5</vt:i4>
      </vt:variant>
      <vt:variant>
        <vt:lpwstr>http://vbaw.vba.va.gov/bl/21/publicat/Regs/Part3/3_303.htmhttp:/vbaw.vba.va.gov/bl/21/publicat/Regs/Part3/3_303.htm</vt:lpwstr>
      </vt:variant>
      <vt:variant>
        <vt:lpwstr/>
      </vt:variant>
      <vt:variant>
        <vt:i4>5767269</vt:i4>
      </vt:variant>
      <vt:variant>
        <vt:i4>5087</vt:i4>
      </vt:variant>
      <vt:variant>
        <vt:i4>0</vt:i4>
      </vt:variant>
      <vt:variant>
        <vt:i4>5</vt:i4>
      </vt:variant>
      <vt:variant>
        <vt:lpwstr>http://vbaw.vba.va.gov/bl/21/M21-1MR/index.asp?id=pt03_sp04_ch04_secI.xml</vt:lpwstr>
      </vt:variant>
      <vt:variant>
        <vt:lpwstr>III.iv.4.I.33.c</vt:lpwstr>
      </vt:variant>
      <vt:variant>
        <vt:i4>8126553</vt:i4>
      </vt:variant>
      <vt:variant>
        <vt:i4>5084</vt:i4>
      </vt:variant>
      <vt:variant>
        <vt:i4>0</vt:i4>
      </vt:variant>
      <vt:variant>
        <vt:i4>5</vt:i4>
      </vt:variant>
      <vt:variant>
        <vt:lpwstr>http://vbaw.vba.va.gov/bl/21/publicat/Regs/Part3/3_309.htm</vt:lpwstr>
      </vt:variant>
      <vt:variant>
        <vt:lpwstr/>
      </vt:variant>
      <vt:variant>
        <vt:i4>7471197</vt:i4>
      </vt:variant>
      <vt:variant>
        <vt:i4>5081</vt:i4>
      </vt:variant>
      <vt:variant>
        <vt:i4>0</vt:i4>
      </vt:variant>
      <vt:variant>
        <vt:i4>5</vt:i4>
      </vt:variant>
      <vt:variant>
        <vt:lpwstr>http://vbaw.vba.va.gov/bl/21/publicat/Regs/Part4/4_114.htm</vt:lpwstr>
      </vt:variant>
      <vt:variant>
        <vt:lpwstr>7322</vt:lpwstr>
      </vt:variant>
      <vt:variant>
        <vt:i4>8126553</vt:i4>
      </vt:variant>
      <vt:variant>
        <vt:i4>5078</vt:i4>
      </vt:variant>
      <vt:variant>
        <vt:i4>0</vt:i4>
      </vt:variant>
      <vt:variant>
        <vt:i4>5</vt:i4>
      </vt:variant>
      <vt:variant>
        <vt:lpwstr>http://vbaw.vba.va.gov/bl/21/publicat/Regs/Part3/3_309.htm</vt:lpwstr>
      </vt:variant>
      <vt:variant>
        <vt:lpwstr/>
      </vt:variant>
      <vt:variant>
        <vt:i4>7929950</vt:i4>
      </vt:variant>
      <vt:variant>
        <vt:i4>5075</vt:i4>
      </vt:variant>
      <vt:variant>
        <vt:i4>0</vt:i4>
      </vt:variant>
      <vt:variant>
        <vt:i4>5</vt:i4>
      </vt:variant>
      <vt:variant>
        <vt:lpwstr>http://vbaw.vba.va.gov/bl/21/publicat/Regs/Part4/4_114.htm</vt:lpwstr>
      </vt:variant>
      <vt:variant>
        <vt:lpwstr>7319</vt:lpwstr>
      </vt:variant>
      <vt:variant>
        <vt:i4>8126553</vt:i4>
      </vt:variant>
      <vt:variant>
        <vt:i4>5072</vt:i4>
      </vt:variant>
      <vt:variant>
        <vt:i4>0</vt:i4>
      </vt:variant>
      <vt:variant>
        <vt:i4>5</vt:i4>
      </vt:variant>
      <vt:variant>
        <vt:lpwstr>http://vbaw.vba.va.gov/bl/21/publicat/Regs/Part3/3_309.htm</vt:lpwstr>
      </vt:variant>
      <vt:variant>
        <vt:lpwstr/>
      </vt:variant>
      <vt:variant>
        <vt:i4>8126553</vt:i4>
      </vt:variant>
      <vt:variant>
        <vt:i4>5069</vt:i4>
      </vt:variant>
      <vt:variant>
        <vt:i4>0</vt:i4>
      </vt:variant>
      <vt:variant>
        <vt:i4>5</vt:i4>
      </vt:variant>
      <vt:variant>
        <vt:lpwstr>http://vbaw.vba.va.gov/bl/21/publicat/Regs/Part3/3_309.htm</vt:lpwstr>
      </vt:variant>
      <vt:variant>
        <vt:lpwstr/>
      </vt:variant>
      <vt:variant>
        <vt:i4>8126553</vt:i4>
      </vt:variant>
      <vt:variant>
        <vt:i4>5066</vt:i4>
      </vt:variant>
      <vt:variant>
        <vt:i4>0</vt:i4>
      </vt:variant>
      <vt:variant>
        <vt:i4>5</vt:i4>
      </vt:variant>
      <vt:variant>
        <vt:lpwstr>http://vbaw.vba.va.gov/bl/21/publicat/Regs/Part3/3_309.htm</vt:lpwstr>
      </vt:variant>
      <vt:variant>
        <vt:lpwstr/>
      </vt:variant>
      <vt:variant>
        <vt:i4>8126553</vt:i4>
      </vt:variant>
      <vt:variant>
        <vt:i4>5063</vt:i4>
      </vt:variant>
      <vt:variant>
        <vt:i4>0</vt:i4>
      </vt:variant>
      <vt:variant>
        <vt:i4>5</vt:i4>
      </vt:variant>
      <vt:variant>
        <vt:lpwstr>http://vbaw.vba.va.gov/bl/21/publicat/Regs/Part3/3_309.htm</vt:lpwstr>
      </vt:variant>
      <vt:variant>
        <vt:lpwstr/>
      </vt:variant>
      <vt:variant>
        <vt:i4>8126553</vt:i4>
      </vt:variant>
      <vt:variant>
        <vt:i4>5060</vt:i4>
      </vt:variant>
      <vt:variant>
        <vt:i4>0</vt:i4>
      </vt:variant>
      <vt:variant>
        <vt:i4>5</vt:i4>
      </vt:variant>
      <vt:variant>
        <vt:lpwstr>http://vbaw.vba.va.gov/bl/21/publicat/Regs/Part3/3_309.htm</vt:lpwstr>
      </vt:variant>
      <vt:variant>
        <vt:lpwstr/>
      </vt:variant>
      <vt:variant>
        <vt:i4>7471197</vt:i4>
      </vt:variant>
      <vt:variant>
        <vt:i4>5057</vt:i4>
      </vt:variant>
      <vt:variant>
        <vt:i4>0</vt:i4>
      </vt:variant>
      <vt:variant>
        <vt:i4>5</vt:i4>
      </vt:variant>
      <vt:variant>
        <vt:lpwstr>http://vbaw.vba.va.gov/bl/21/publicat/Regs/Part4/4_114.htm</vt:lpwstr>
      </vt:variant>
      <vt:variant>
        <vt:lpwstr>7322</vt:lpwstr>
      </vt:variant>
      <vt:variant>
        <vt:i4>7929950</vt:i4>
      </vt:variant>
      <vt:variant>
        <vt:i4>5054</vt:i4>
      </vt:variant>
      <vt:variant>
        <vt:i4>0</vt:i4>
      </vt:variant>
      <vt:variant>
        <vt:i4>5</vt:i4>
      </vt:variant>
      <vt:variant>
        <vt:lpwstr>http://vbaw.vba.va.gov/bl/21/publicat/Regs/Part4/4_114.htm</vt:lpwstr>
      </vt:variant>
      <vt:variant>
        <vt:lpwstr>7319</vt:lpwstr>
      </vt:variant>
      <vt:variant>
        <vt:i4>7340047</vt:i4>
      </vt:variant>
      <vt:variant>
        <vt:i4>5051</vt:i4>
      </vt:variant>
      <vt:variant>
        <vt:i4>0</vt:i4>
      </vt:variant>
      <vt:variant>
        <vt:i4>5</vt:i4>
      </vt:variant>
      <vt:variant>
        <vt:lpwstr>http://10.220.1.4/bl/21/faq/FAQ_Answer.asp?ref=62</vt:lpwstr>
      </vt:variant>
      <vt:variant>
        <vt:lpwstr/>
      </vt:variant>
      <vt:variant>
        <vt:i4>4259894</vt:i4>
      </vt:variant>
      <vt:variant>
        <vt:i4>5048</vt:i4>
      </vt:variant>
      <vt:variant>
        <vt:i4>0</vt:i4>
      </vt:variant>
      <vt:variant>
        <vt:i4>5</vt:i4>
      </vt:variant>
      <vt:variant>
        <vt:lpwstr>http://10.220.1.4/bl/21/faq/FAQ_Answer.asp?ref=196</vt:lpwstr>
      </vt:variant>
      <vt:variant>
        <vt:lpwstr/>
      </vt:variant>
      <vt:variant>
        <vt:i4>5767269</vt:i4>
      </vt:variant>
      <vt:variant>
        <vt:i4>5045</vt:i4>
      </vt:variant>
      <vt:variant>
        <vt:i4>0</vt:i4>
      </vt:variant>
      <vt:variant>
        <vt:i4>5</vt:i4>
      </vt:variant>
      <vt:variant>
        <vt:lpwstr>http://vbaw.vba.va.gov/bl/21/M21-1MR/index.asp?id=pt03_sp04_ch04_secI.xml</vt:lpwstr>
      </vt:variant>
      <vt:variant>
        <vt:lpwstr>III.iv.4.I.33.a</vt:lpwstr>
      </vt:variant>
      <vt:variant>
        <vt:i4>7536728</vt:i4>
      </vt:variant>
      <vt:variant>
        <vt:i4>5042</vt:i4>
      </vt:variant>
      <vt:variant>
        <vt:i4>0</vt:i4>
      </vt:variant>
      <vt:variant>
        <vt:i4>5</vt:i4>
      </vt:variant>
      <vt:variant>
        <vt:lpwstr>http://vbaw.vba.va.gov/bl/21/publicat/Regs/Part4/4_114.htm</vt:lpwstr>
      </vt:variant>
      <vt:variant>
        <vt:lpwstr/>
      </vt:variant>
      <vt:variant>
        <vt:i4>7602264</vt:i4>
      </vt:variant>
      <vt:variant>
        <vt:i4>5039</vt:i4>
      </vt:variant>
      <vt:variant>
        <vt:i4>0</vt:i4>
      </vt:variant>
      <vt:variant>
        <vt:i4>5</vt:i4>
      </vt:variant>
      <vt:variant>
        <vt:lpwstr>http://vbaw.vba.va.gov/bl/21/publicat/Regs/Part4/4_113.htm</vt:lpwstr>
      </vt:variant>
      <vt:variant>
        <vt:lpwstr/>
      </vt:variant>
      <vt:variant>
        <vt:i4>7667800</vt:i4>
      </vt:variant>
      <vt:variant>
        <vt:i4>5036</vt:i4>
      </vt:variant>
      <vt:variant>
        <vt:i4>0</vt:i4>
      </vt:variant>
      <vt:variant>
        <vt:i4>5</vt:i4>
      </vt:variant>
      <vt:variant>
        <vt:lpwstr>http://vbaw.vba.va.gov/bl/21/publicat/Regs/Part4/4_112.htm</vt:lpwstr>
      </vt:variant>
      <vt:variant>
        <vt:lpwstr/>
      </vt:variant>
      <vt:variant>
        <vt:i4>7733336</vt:i4>
      </vt:variant>
      <vt:variant>
        <vt:i4>5033</vt:i4>
      </vt:variant>
      <vt:variant>
        <vt:i4>0</vt:i4>
      </vt:variant>
      <vt:variant>
        <vt:i4>5</vt:i4>
      </vt:variant>
      <vt:variant>
        <vt:lpwstr>http://vbaw.vba.va.gov/bl/21/publicat/Regs/Part4/4_111.htm</vt:lpwstr>
      </vt:variant>
      <vt:variant>
        <vt:lpwstr/>
      </vt:variant>
      <vt:variant>
        <vt:i4>7798872</vt:i4>
      </vt:variant>
      <vt:variant>
        <vt:i4>5030</vt:i4>
      </vt:variant>
      <vt:variant>
        <vt:i4>0</vt:i4>
      </vt:variant>
      <vt:variant>
        <vt:i4>5</vt:i4>
      </vt:variant>
      <vt:variant>
        <vt:lpwstr>http://vbaw.vba.va.gov/bl/21/publicat/Regs/Part4/4_110.htm</vt:lpwstr>
      </vt:variant>
      <vt:variant>
        <vt:lpwstr/>
      </vt:variant>
      <vt:variant>
        <vt:i4>8126553</vt:i4>
      </vt:variant>
      <vt:variant>
        <vt:i4>5027</vt:i4>
      </vt:variant>
      <vt:variant>
        <vt:i4>0</vt:i4>
      </vt:variant>
      <vt:variant>
        <vt:i4>5</vt:i4>
      </vt:variant>
      <vt:variant>
        <vt:lpwstr>http://vbaw.vba.va.gov/bl/21/publicat/Regs/Part3/3_309.htm</vt:lpwstr>
      </vt:variant>
      <vt:variant>
        <vt:lpwstr/>
      </vt:variant>
      <vt:variant>
        <vt:i4>6684774</vt:i4>
      </vt:variant>
      <vt:variant>
        <vt:i4>5024</vt:i4>
      </vt:variant>
      <vt:variant>
        <vt:i4>0</vt:i4>
      </vt:variant>
      <vt:variant>
        <vt:i4>5</vt:i4>
      </vt:variant>
      <vt:variant>
        <vt:lpwstr>http://vbaw.vba.va.gov/bl/21/Publicat/Letters/TrngLtrs/TL02-01.doc</vt:lpwstr>
      </vt:variant>
      <vt:variant>
        <vt:lpwstr/>
      </vt:variant>
      <vt:variant>
        <vt:i4>8061018</vt:i4>
      </vt:variant>
      <vt:variant>
        <vt:i4>5021</vt:i4>
      </vt:variant>
      <vt:variant>
        <vt:i4>0</vt:i4>
      </vt:variant>
      <vt:variant>
        <vt:i4>5</vt:i4>
      </vt:variant>
      <vt:variant>
        <vt:lpwstr>http://vbaw.vba.va.gov/bl/21/M21-1MR/index.asp?id=pt03_sp04_ch04_secE.xml</vt:lpwstr>
      </vt:variant>
      <vt:variant>
        <vt:lpwstr>III.iv.4.E.21</vt:lpwstr>
      </vt:variant>
      <vt:variant>
        <vt:i4>8126553</vt:i4>
      </vt:variant>
      <vt:variant>
        <vt:i4>5018</vt:i4>
      </vt:variant>
      <vt:variant>
        <vt:i4>0</vt:i4>
      </vt:variant>
      <vt:variant>
        <vt:i4>5</vt:i4>
      </vt:variant>
      <vt:variant>
        <vt:lpwstr>http://vbaw.vba.va.gov/bl/21/publicat/Regs/Part3/3_309.htm</vt:lpwstr>
      </vt:variant>
      <vt:variant>
        <vt:lpwstr/>
      </vt:variant>
      <vt:variant>
        <vt:i4>8061018</vt:i4>
      </vt:variant>
      <vt:variant>
        <vt:i4>5015</vt:i4>
      </vt:variant>
      <vt:variant>
        <vt:i4>0</vt:i4>
      </vt:variant>
      <vt:variant>
        <vt:i4>5</vt:i4>
      </vt:variant>
      <vt:variant>
        <vt:lpwstr>http://vbaw.vba.va.gov/bl/21/M21-1MR/index.asp?id=pt03_sp04_ch04_secE.xml</vt:lpwstr>
      </vt:variant>
      <vt:variant>
        <vt:lpwstr>III.iv.4.E.20</vt:lpwstr>
      </vt:variant>
      <vt:variant>
        <vt:i4>6619239</vt:i4>
      </vt:variant>
      <vt:variant>
        <vt:i4>5012</vt:i4>
      </vt:variant>
      <vt:variant>
        <vt:i4>0</vt:i4>
      </vt:variant>
      <vt:variant>
        <vt:i4>5</vt:i4>
      </vt:variant>
      <vt:variant>
        <vt:lpwstr>http://www.medterms.com/script/main/art.asp?articlekey=2735</vt:lpwstr>
      </vt:variant>
      <vt:variant>
        <vt:lpwstr/>
      </vt:variant>
      <vt:variant>
        <vt:i4>7077986</vt:i4>
      </vt:variant>
      <vt:variant>
        <vt:i4>5009</vt:i4>
      </vt:variant>
      <vt:variant>
        <vt:i4>0</vt:i4>
      </vt:variant>
      <vt:variant>
        <vt:i4>5</vt:i4>
      </vt:variant>
      <vt:variant>
        <vt:lpwstr>http://www.medterms.com/script/main/art.asp?articlekey=9218</vt:lpwstr>
      </vt:variant>
      <vt:variant>
        <vt:lpwstr/>
      </vt:variant>
      <vt:variant>
        <vt:i4>6619239</vt:i4>
      </vt:variant>
      <vt:variant>
        <vt:i4>5006</vt:i4>
      </vt:variant>
      <vt:variant>
        <vt:i4>0</vt:i4>
      </vt:variant>
      <vt:variant>
        <vt:i4>5</vt:i4>
      </vt:variant>
      <vt:variant>
        <vt:lpwstr>http://www.medterms.com/script/main/art.asp?articlekey=2735</vt:lpwstr>
      </vt:variant>
      <vt:variant>
        <vt:lpwstr/>
      </vt:variant>
      <vt:variant>
        <vt:i4>6750241</vt:i4>
      </vt:variant>
      <vt:variant>
        <vt:i4>5003</vt:i4>
      </vt:variant>
      <vt:variant>
        <vt:i4>0</vt:i4>
      </vt:variant>
      <vt:variant>
        <vt:i4>5</vt:i4>
      </vt:variant>
      <vt:variant>
        <vt:lpwstr>http://vbaw.vba.va.gov/bl/21/data/quality/consis/results/docs/irr7913-7101-8515.doc</vt:lpwstr>
      </vt:variant>
      <vt:variant>
        <vt:lpwstr/>
      </vt:variant>
      <vt:variant>
        <vt:i4>7077940</vt:i4>
      </vt:variant>
      <vt:variant>
        <vt:i4>5000</vt:i4>
      </vt:variant>
      <vt:variant>
        <vt:i4>0</vt:i4>
      </vt:variant>
      <vt:variant>
        <vt:i4>5</vt:i4>
      </vt:variant>
      <vt:variant>
        <vt:lpwstr>http://vbaw.vba.va.gov/bl/21/calendar/Agenda/FY12/0412.doc</vt:lpwstr>
      </vt:variant>
      <vt:variant>
        <vt:lpwstr/>
      </vt:variant>
      <vt:variant>
        <vt:i4>524306</vt:i4>
      </vt:variant>
      <vt:variant>
        <vt:i4>4997</vt:i4>
      </vt:variant>
      <vt:variant>
        <vt:i4>0</vt:i4>
      </vt:variant>
      <vt:variant>
        <vt:i4>5</vt:i4>
      </vt:variant>
      <vt:variant>
        <vt:lpwstr>\\vbasdcfpc2\SHARED\VSC\Development &amp; Rating Resources\QRT Bulletin</vt:lpwstr>
      </vt:variant>
      <vt:variant>
        <vt:lpwstr/>
      </vt:variant>
      <vt:variant>
        <vt:i4>7012404</vt:i4>
      </vt:variant>
      <vt:variant>
        <vt:i4>4994</vt:i4>
      </vt:variant>
      <vt:variant>
        <vt:i4>0</vt:i4>
      </vt:variant>
      <vt:variant>
        <vt:i4>5</vt:i4>
      </vt:variant>
      <vt:variant>
        <vt:lpwstr>http://vbaw.vba.va.gov/bl/21/calendar/Agenda/FY12/0312.doc</vt:lpwstr>
      </vt:variant>
      <vt:variant>
        <vt:lpwstr/>
      </vt:variant>
      <vt:variant>
        <vt:i4>3145743</vt:i4>
      </vt:variant>
      <vt:variant>
        <vt:i4>4991</vt:i4>
      </vt:variant>
      <vt:variant>
        <vt:i4>0</vt:i4>
      </vt:variant>
      <vt:variant>
        <vt:i4>5</vt:i4>
      </vt:variant>
      <vt:variant>
        <vt:lpwstr>http://vbacodmoint1.vba.va.gov/bl/21/faq/FAQ_Answer.asp?ref=309</vt:lpwstr>
      </vt:variant>
      <vt:variant>
        <vt:lpwstr/>
      </vt:variant>
      <vt:variant>
        <vt:i4>6291556</vt:i4>
      </vt:variant>
      <vt:variant>
        <vt:i4>4988</vt:i4>
      </vt:variant>
      <vt:variant>
        <vt:i4>0</vt:i4>
      </vt:variant>
      <vt:variant>
        <vt:i4>5</vt:i4>
      </vt:variant>
      <vt:variant>
        <vt:lpwstr>http://vbaw.vba.va.gov/bl/21/publicat/Letters/TrngLtrs/tl00-07.doc</vt:lpwstr>
      </vt:variant>
      <vt:variant>
        <vt:lpwstr/>
      </vt:variant>
      <vt:variant>
        <vt:i4>3211277</vt:i4>
      </vt:variant>
      <vt:variant>
        <vt:i4>4985</vt:i4>
      </vt:variant>
      <vt:variant>
        <vt:i4>0</vt:i4>
      </vt:variant>
      <vt:variant>
        <vt:i4>5</vt:i4>
      </vt:variant>
      <vt:variant>
        <vt:lpwstr>http://vbacodmoint1.vba.va.gov/bl/21/faq/FAQ_Answer.asp?ref=11</vt:lpwstr>
      </vt:variant>
      <vt:variant>
        <vt:lpwstr/>
      </vt:variant>
      <vt:variant>
        <vt:i4>8126553</vt:i4>
      </vt:variant>
      <vt:variant>
        <vt:i4>4982</vt:i4>
      </vt:variant>
      <vt:variant>
        <vt:i4>0</vt:i4>
      </vt:variant>
      <vt:variant>
        <vt:i4>5</vt:i4>
      </vt:variant>
      <vt:variant>
        <vt:lpwstr>http://vbaw.vba.va.gov/bl/21/publicat/Regs/Part3/3_309.htm</vt:lpwstr>
      </vt:variant>
      <vt:variant>
        <vt:lpwstr/>
      </vt:variant>
      <vt:variant>
        <vt:i4>8126553</vt:i4>
      </vt:variant>
      <vt:variant>
        <vt:i4>4979</vt:i4>
      </vt:variant>
      <vt:variant>
        <vt:i4>0</vt:i4>
      </vt:variant>
      <vt:variant>
        <vt:i4>5</vt:i4>
      </vt:variant>
      <vt:variant>
        <vt:lpwstr>http://vbaw.vba.va.gov/bl/21/publicat/Regs/Part3/3_309.htm</vt:lpwstr>
      </vt:variant>
      <vt:variant>
        <vt:lpwstr/>
      </vt:variant>
      <vt:variant>
        <vt:i4>8126553</vt:i4>
      </vt:variant>
      <vt:variant>
        <vt:i4>4976</vt:i4>
      </vt:variant>
      <vt:variant>
        <vt:i4>0</vt:i4>
      </vt:variant>
      <vt:variant>
        <vt:i4>5</vt:i4>
      </vt:variant>
      <vt:variant>
        <vt:lpwstr>http://vbaw.vba.va.gov/bl/21/publicat/Regs/Part3/3_309.htm</vt:lpwstr>
      </vt:variant>
      <vt:variant>
        <vt:lpwstr/>
      </vt:variant>
      <vt:variant>
        <vt:i4>8126553</vt:i4>
      </vt:variant>
      <vt:variant>
        <vt:i4>4973</vt:i4>
      </vt:variant>
      <vt:variant>
        <vt:i4>0</vt:i4>
      </vt:variant>
      <vt:variant>
        <vt:i4>5</vt:i4>
      </vt:variant>
      <vt:variant>
        <vt:lpwstr>http://vbaw.vba.va.gov/bl/21/publicat/Regs/Part3/3_309.htm</vt:lpwstr>
      </vt:variant>
      <vt:variant>
        <vt:lpwstr/>
      </vt:variant>
      <vt:variant>
        <vt:i4>8126553</vt:i4>
      </vt:variant>
      <vt:variant>
        <vt:i4>4970</vt:i4>
      </vt:variant>
      <vt:variant>
        <vt:i4>0</vt:i4>
      </vt:variant>
      <vt:variant>
        <vt:i4>5</vt:i4>
      </vt:variant>
      <vt:variant>
        <vt:lpwstr>http://vbaw.vba.va.gov/bl/21/publicat/Regs/Part3/3_309.htm</vt:lpwstr>
      </vt:variant>
      <vt:variant>
        <vt:lpwstr/>
      </vt:variant>
      <vt:variant>
        <vt:i4>7667727</vt:i4>
      </vt:variant>
      <vt:variant>
        <vt:i4>4967</vt:i4>
      </vt:variant>
      <vt:variant>
        <vt:i4>0</vt:i4>
      </vt:variant>
      <vt:variant>
        <vt:i4>5</vt:i4>
      </vt:variant>
      <vt:variant>
        <vt:lpwstr>http://10.220.1.4/bl/21/faq/FAQ_Answer.asp?ref=34</vt:lpwstr>
      </vt:variant>
      <vt:variant>
        <vt:lpwstr/>
      </vt:variant>
      <vt:variant>
        <vt:i4>8126553</vt:i4>
      </vt:variant>
      <vt:variant>
        <vt:i4>4964</vt:i4>
      </vt:variant>
      <vt:variant>
        <vt:i4>0</vt:i4>
      </vt:variant>
      <vt:variant>
        <vt:i4>5</vt:i4>
      </vt:variant>
      <vt:variant>
        <vt:lpwstr>http://vbaw.vba.va.gov/bl/21/publicat/Regs/Part3/3_309.htm</vt:lpwstr>
      </vt:variant>
      <vt:variant>
        <vt:lpwstr/>
      </vt:variant>
      <vt:variant>
        <vt:i4>8126553</vt:i4>
      </vt:variant>
      <vt:variant>
        <vt:i4>4961</vt:i4>
      </vt:variant>
      <vt:variant>
        <vt:i4>0</vt:i4>
      </vt:variant>
      <vt:variant>
        <vt:i4>5</vt:i4>
      </vt:variant>
      <vt:variant>
        <vt:lpwstr>http://vbaw.vba.va.gov/bl/21/publicat/Regs/Part3/3_309.htm</vt:lpwstr>
      </vt:variant>
      <vt:variant>
        <vt:lpwstr/>
      </vt:variant>
      <vt:variant>
        <vt:i4>8126553</vt:i4>
      </vt:variant>
      <vt:variant>
        <vt:i4>4958</vt:i4>
      </vt:variant>
      <vt:variant>
        <vt:i4>0</vt:i4>
      </vt:variant>
      <vt:variant>
        <vt:i4>5</vt:i4>
      </vt:variant>
      <vt:variant>
        <vt:lpwstr>http://vbaw.vba.va.gov/bl/21/publicat/Regs/Part3/3_309.htm</vt:lpwstr>
      </vt:variant>
      <vt:variant>
        <vt:lpwstr/>
      </vt:variant>
      <vt:variant>
        <vt:i4>8126553</vt:i4>
      </vt:variant>
      <vt:variant>
        <vt:i4>4955</vt:i4>
      </vt:variant>
      <vt:variant>
        <vt:i4>0</vt:i4>
      </vt:variant>
      <vt:variant>
        <vt:i4>5</vt:i4>
      </vt:variant>
      <vt:variant>
        <vt:lpwstr>http://vbaw.vba.va.gov/bl/21/publicat/Regs/Part3/3_309.htm</vt:lpwstr>
      </vt:variant>
      <vt:variant>
        <vt:lpwstr/>
      </vt:variant>
      <vt:variant>
        <vt:i4>8061018</vt:i4>
      </vt:variant>
      <vt:variant>
        <vt:i4>4952</vt:i4>
      </vt:variant>
      <vt:variant>
        <vt:i4>0</vt:i4>
      </vt:variant>
      <vt:variant>
        <vt:i4>5</vt:i4>
      </vt:variant>
      <vt:variant>
        <vt:lpwstr>http://vbaw.vba.va.gov/bl/21/M21-1MR/index.asp?id=pt03_sp04_ch04_secE.xml</vt:lpwstr>
      </vt:variant>
      <vt:variant>
        <vt:lpwstr>III.iv.4.E.20</vt:lpwstr>
      </vt:variant>
      <vt:variant>
        <vt:i4>8257628</vt:i4>
      </vt:variant>
      <vt:variant>
        <vt:i4>4949</vt:i4>
      </vt:variant>
      <vt:variant>
        <vt:i4>0</vt:i4>
      </vt:variant>
      <vt:variant>
        <vt:i4>5</vt:i4>
      </vt:variant>
      <vt:variant>
        <vt:lpwstr>http://vbaw.vba.va.gov/bl/21/M21-1MR/index.asp?id=pt03_sp04_ch04_secC.xml</vt:lpwstr>
      </vt:variant>
      <vt:variant>
        <vt:lpwstr>III.iv.4.C.15</vt:lpwstr>
      </vt:variant>
      <vt:variant>
        <vt:i4>7274548</vt:i4>
      </vt:variant>
      <vt:variant>
        <vt:i4>4946</vt:i4>
      </vt:variant>
      <vt:variant>
        <vt:i4>0</vt:i4>
      </vt:variant>
      <vt:variant>
        <vt:i4>5</vt:i4>
      </vt:variant>
      <vt:variant>
        <vt:lpwstr>http://vbaw.vba.va.gov/bl/21/calendar/Agenda/FY12/0712.doc</vt:lpwstr>
      </vt:variant>
      <vt:variant>
        <vt:lpwstr/>
      </vt:variant>
      <vt:variant>
        <vt:i4>4587583</vt:i4>
      </vt:variant>
      <vt:variant>
        <vt:i4>4943</vt:i4>
      </vt:variant>
      <vt:variant>
        <vt:i4>0</vt:i4>
      </vt:variant>
      <vt:variant>
        <vt:i4>5</vt:i4>
      </vt:variant>
      <vt:variant>
        <vt:lpwstr>http://10.220.1.4/bl/21/faq/FAQ_Answer.asp?ref=303</vt:lpwstr>
      </vt:variant>
      <vt:variant>
        <vt:lpwstr/>
      </vt:variant>
      <vt:variant>
        <vt:i4>3211272</vt:i4>
      </vt:variant>
      <vt:variant>
        <vt:i4>4940</vt:i4>
      </vt:variant>
      <vt:variant>
        <vt:i4>0</vt:i4>
      </vt:variant>
      <vt:variant>
        <vt:i4>5</vt:i4>
      </vt:variant>
      <vt:variant>
        <vt:lpwstr>http://vbacodmoint1.vba.va.gov/bl/21/faq/FAQ_Answer.asp?ref=41</vt:lpwstr>
      </vt:variant>
      <vt:variant>
        <vt:lpwstr/>
      </vt:variant>
      <vt:variant>
        <vt:i4>4587579</vt:i4>
      </vt:variant>
      <vt:variant>
        <vt:i4>4937</vt:i4>
      </vt:variant>
      <vt:variant>
        <vt:i4>0</vt:i4>
      </vt:variant>
      <vt:variant>
        <vt:i4>5</vt:i4>
      </vt:variant>
      <vt:variant>
        <vt:lpwstr>http://10.220.1.4/bl/21/faq/FAQ_Answer.asp?ref=141</vt:lpwstr>
      </vt:variant>
      <vt:variant>
        <vt:lpwstr/>
      </vt:variant>
      <vt:variant>
        <vt:i4>6291556</vt:i4>
      </vt:variant>
      <vt:variant>
        <vt:i4>4934</vt:i4>
      </vt:variant>
      <vt:variant>
        <vt:i4>0</vt:i4>
      </vt:variant>
      <vt:variant>
        <vt:i4>5</vt:i4>
      </vt:variant>
      <vt:variant>
        <vt:lpwstr>http://vbaw.vba.va.gov/bl/21/publicat/Letters/TrngLtrs/tl00-07.doc</vt:lpwstr>
      </vt:variant>
      <vt:variant>
        <vt:lpwstr/>
      </vt:variant>
      <vt:variant>
        <vt:i4>5111866</vt:i4>
      </vt:variant>
      <vt:variant>
        <vt:i4>4931</vt:i4>
      </vt:variant>
      <vt:variant>
        <vt:i4>0</vt:i4>
      </vt:variant>
      <vt:variant>
        <vt:i4>5</vt:i4>
      </vt:variant>
      <vt:variant>
        <vt:lpwstr>http://10.220.1.4/bl/21/faq/FAQ_Answer.asp?ref=159</vt:lpwstr>
      </vt:variant>
      <vt:variant>
        <vt:lpwstr/>
      </vt:variant>
      <vt:variant>
        <vt:i4>2293849</vt:i4>
      </vt:variant>
      <vt:variant>
        <vt:i4>4928</vt:i4>
      </vt:variant>
      <vt:variant>
        <vt:i4>0</vt:i4>
      </vt:variant>
      <vt:variant>
        <vt:i4>5</vt:i4>
      </vt:variant>
      <vt:variant>
        <vt:lpwstr>http://vbaw.vba.va.gov/bl/21/publicat/Letters/FL96/Fl6_095.doc</vt:lpwstr>
      </vt:variant>
      <vt:variant>
        <vt:lpwstr/>
      </vt:variant>
      <vt:variant>
        <vt:i4>5898289</vt:i4>
      </vt:variant>
      <vt:variant>
        <vt:i4>4925</vt:i4>
      </vt:variant>
      <vt:variant>
        <vt:i4>0</vt:i4>
      </vt:variant>
      <vt:variant>
        <vt:i4>5</vt:i4>
      </vt:variant>
      <vt:variant>
        <vt:lpwstr>http://vbaw.vba.va.gov/bl/21/Publicat/Regs/Part4/TUTORIAL/Cv_indx.htm</vt:lpwstr>
      </vt:variant>
      <vt:variant>
        <vt:lpwstr/>
      </vt:variant>
      <vt:variant>
        <vt:i4>7536729</vt:i4>
      </vt:variant>
      <vt:variant>
        <vt:i4>4922</vt:i4>
      </vt:variant>
      <vt:variant>
        <vt:i4>0</vt:i4>
      </vt:variant>
      <vt:variant>
        <vt:i4>5</vt:i4>
      </vt:variant>
      <vt:variant>
        <vt:lpwstr>http://vbaw.vba.va.gov/bl/21/publicat/Regs/Part4/4_104.htm</vt:lpwstr>
      </vt:variant>
      <vt:variant>
        <vt:lpwstr/>
      </vt:variant>
      <vt:variant>
        <vt:i4>1638474</vt:i4>
      </vt:variant>
      <vt:variant>
        <vt:i4>4919</vt:i4>
      </vt:variant>
      <vt:variant>
        <vt:i4>0</vt:i4>
      </vt:variant>
      <vt:variant>
        <vt:i4>5</vt:i4>
      </vt:variant>
      <vt:variant>
        <vt:lpwstr>http://vbaw.vba.va.gov/BL/21/M21/content/infomap.asp?address=M21-1MRIII.iv.5.5</vt:lpwstr>
      </vt:variant>
      <vt:variant>
        <vt:lpwstr>M21-1MRIII.iv.5.5.d</vt:lpwstr>
      </vt:variant>
      <vt:variant>
        <vt:i4>7798873</vt:i4>
      </vt:variant>
      <vt:variant>
        <vt:i4>4916</vt:i4>
      </vt:variant>
      <vt:variant>
        <vt:i4>0</vt:i4>
      </vt:variant>
      <vt:variant>
        <vt:i4>5</vt:i4>
      </vt:variant>
      <vt:variant>
        <vt:lpwstr>http://vbaw.vba.va.gov/bl/21/publicat/Regs/Part4/4_100.htm</vt:lpwstr>
      </vt:variant>
      <vt:variant>
        <vt:lpwstr/>
      </vt:variant>
      <vt:variant>
        <vt:i4>8192127</vt:i4>
      </vt:variant>
      <vt:variant>
        <vt:i4>4913</vt:i4>
      </vt:variant>
      <vt:variant>
        <vt:i4>0</vt:i4>
      </vt:variant>
      <vt:variant>
        <vt:i4>5</vt:i4>
      </vt:variant>
      <vt:variant>
        <vt:lpwstr>http://www.webmd.com/asthma/guide/asthma_inhalers_bronchodilators</vt:lpwstr>
      </vt:variant>
      <vt:variant>
        <vt:lpwstr/>
      </vt:variant>
      <vt:variant>
        <vt:i4>524306</vt:i4>
      </vt:variant>
      <vt:variant>
        <vt:i4>4910</vt:i4>
      </vt:variant>
      <vt:variant>
        <vt:i4>0</vt:i4>
      </vt:variant>
      <vt:variant>
        <vt:i4>5</vt:i4>
      </vt:variant>
      <vt:variant>
        <vt:lpwstr>\\vbasdcfpc2\SHARED\VSC\Development &amp; Rating Resources\QRT Bulletin</vt:lpwstr>
      </vt:variant>
      <vt:variant>
        <vt:lpwstr/>
      </vt:variant>
      <vt:variant>
        <vt:i4>8126553</vt:i4>
      </vt:variant>
      <vt:variant>
        <vt:i4>4907</vt:i4>
      </vt:variant>
      <vt:variant>
        <vt:i4>0</vt:i4>
      </vt:variant>
      <vt:variant>
        <vt:i4>5</vt:i4>
      </vt:variant>
      <vt:variant>
        <vt:lpwstr>http://vbaw.vba.va.gov/bl/21/publicat/Regs/Part3/3_309.htm</vt:lpwstr>
      </vt:variant>
      <vt:variant>
        <vt:lpwstr/>
      </vt:variant>
      <vt:variant>
        <vt:i4>7929947</vt:i4>
      </vt:variant>
      <vt:variant>
        <vt:i4>4904</vt:i4>
      </vt:variant>
      <vt:variant>
        <vt:i4>0</vt:i4>
      </vt:variant>
      <vt:variant>
        <vt:i4>5</vt:i4>
      </vt:variant>
      <vt:variant>
        <vt:lpwstr>http://vbaw.vba.va.gov/bl/21/M21-1MR/index.asp?id=pt03_sp04_ch04_secD.xml</vt:lpwstr>
      </vt:variant>
      <vt:variant>
        <vt:lpwstr>III.iv.4.D.16</vt:lpwstr>
      </vt:variant>
      <vt:variant>
        <vt:i4>7733340</vt:i4>
      </vt:variant>
      <vt:variant>
        <vt:i4>4901</vt:i4>
      </vt:variant>
      <vt:variant>
        <vt:i4>0</vt:i4>
      </vt:variant>
      <vt:variant>
        <vt:i4>5</vt:i4>
      </vt:variant>
      <vt:variant>
        <vt:lpwstr>http://vbaw.vba.va.gov/bl/21/publicat/Regs/Part3/3_959.htm</vt:lpwstr>
      </vt:variant>
      <vt:variant>
        <vt:lpwstr/>
      </vt:variant>
      <vt:variant>
        <vt:i4>2556026</vt:i4>
      </vt:variant>
      <vt:variant>
        <vt:i4>4898</vt:i4>
      </vt:variant>
      <vt:variant>
        <vt:i4>0</vt:i4>
      </vt:variant>
      <vt:variant>
        <vt:i4>5</vt:i4>
      </vt:variant>
      <vt:variant>
        <vt:lpwstr>http://vbaw.vba.va.gov/bl/21/calendar/agenda/FY09/0309a.doc</vt:lpwstr>
      </vt:variant>
      <vt:variant>
        <vt:lpwstr/>
      </vt:variant>
      <vt:variant>
        <vt:i4>4784192</vt:i4>
      </vt:variant>
      <vt:variant>
        <vt:i4>4895</vt:i4>
      </vt:variant>
      <vt:variant>
        <vt:i4>0</vt:i4>
      </vt:variant>
      <vt:variant>
        <vt:i4>5</vt:i4>
      </vt:variant>
      <vt:variant>
        <vt:lpwstr>\\vbasdcfpc2\SHARED\VSC\Development &amp; Rating Resources\standard Quality Control Reviews</vt:lpwstr>
      </vt:variant>
      <vt:variant>
        <vt:lpwstr/>
      </vt:variant>
      <vt:variant>
        <vt:i4>3932236</vt:i4>
      </vt:variant>
      <vt:variant>
        <vt:i4>4892</vt:i4>
      </vt:variant>
      <vt:variant>
        <vt:i4>0</vt:i4>
      </vt:variant>
      <vt:variant>
        <vt:i4>5</vt:i4>
      </vt:variant>
      <vt:variant>
        <vt:lpwstr>http://vbaw.vba.va.gov/bl/21/star/star_call.htm</vt:lpwstr>
      </vt:variant>
      <vt:variant>
        <vt:lpwstr/>
      </vt:variant>
      <vt:variant>
        <vt:i4>7536655</vt:i4>
      </vt:variant>
      <vt:variant>
        <vt:i4>4889</vt:i4>
      </vt:variant>
      <vt:variant>
        <vt:i4>0</vt:i4>
      </vt:variant>
      <vt:variant>
        <vt:i4>5</vt:i4>
      </vt:variant>
      <vt:variant>
        <vt:lpwstr>http://10.220.1.4/bl/21/faq/FAQ_Answer.asp?ref=58</vt:lpwstr>
      </vt:variant>
      <vt:variant>
        <vt:lpwstr/>
      </vt:variant>
      <vt:variant>
        <vt:i4>3473421</vt:i4>
      </vt:variant>
      <vt:variant>
        <vt:i4>4886</vt:i4>
      </vt:variant>
      <vt:variant>
        <vt:i4>0</vt:i4>
      </vt:variant>
      <vt:variant>
        <vt:i4>5</vt:i4>
      </vt:variant>
      <vt:variant>
        <vt:lpwstr>http://vbacodmoint1.vba.va.gov/bl/21/faq/FAQ_Answer.asp?ref=150</vt:lpwstr>
      </vt:variant>
      <vt:variant>
        <vt:lpwstr/>
      </vt:variant>
      <vt:variant>
        <vt:i4>3538957</vt:i4>
      </vt:variant>
      <vt:variant>
        <vt:i4>4883</vt:i4>
      </vt:variant>
      <vt:variant>
        <vt:i4>0</vt:i4>
      </vt:variant>
      <vt:variant>
        <vt:i4>5</vt:i4>
      </vt:variant>
      <vt:variant>
        <vt:lpwstr>http://vbacodmoint1.vba.va.gov/bl/21/faq/FAQ_Answer.asp?ref=163</vt:lpwstr>
      </vt:variant>
      <vt:variant>
        <vt:lpwstr/>
      </vt:variant>
      <vt:variant>
        <vt:i4>3473421</vt:i4>
      </vt:variant>
      <vt:variant>
        <vt:i4>4880</vt:i4>
      </vt:variant>
      <vt:variant>
        <vt:i4>0</vt:i4>
      </vt:variant>
      <vt:variant>
        <vt:i4>5</vt:i4>
      </vt:variant>
      <vt:variant>
        <vt:lpwstr>http://vbacodmoint1.vba.va.gov/bl/21/faq/FAQ_Answer.asp?ref=151</vt:lpwstr>
      </vt:variant>
      <vt:variant>
        <vt:lpwstr/>
      </vt:variant>
      <vt:variant>
        <vt:i4>3604493</vt:i4>
      </vt:variant>
      <vt:variant>
        <vt:i4>4877</vt:i4>
      </vt:variant>
      <vt:variant>
        <vt:i4>0</vt:i4>
      </vt:variant>
      <vt:variant>
        <vt:i4>5</vt:i4>
      </vt:variant>
      <vt:variant>
        <vt:lpwstr>http://vbacodmoint1.vba.va.gov/bl/21/faq/FAQ_Answer.asp?ref=174</vt:lpwstr>
      </vt:variant>
      <vt:variant>
        <vt:lpwstr/>
      </vt:variant>
      <vt:variant>
        <vt:i4>3080251</vt:i4>
      </vt:variant>
      <vt:variant>
        <vt:i4>4874</vt:i4>
      </vt:variant>
      <vt:variant>
        <vt:i4>0</vt:i4>
      </vt:variant>
      <vt:variant>
        <vt:i4>5</vt:i4>
      </vt:variant>
      <vt:variant>
        <vt:lpwstr>http://vbaw.vba.va.gov/BL/21/M21/content/contents.asp?address=M21-1MRIII.iv.4.D</vt:lpwstr>
      </vt:variant>
      <vt:variant>
        <vt:lpwstr/>
      </vt:variant>
      <vt:variant>
        <vt:i4>1048684</vt:i4>
      </vt:variant>
      <vt:variant>
        <vt:i4>4871</vt:i4>
      </vt:variant>
      <vt:variant>
        <vt:i4>0</vt:i4>
      </vt:variant>
      <vt:variant>
        <vt:i4>5</vt:i4>
      </vt:variant>
      <vt:variant>
        <vt:lpwstr>http://vbaw.vba.va.gov/bl/21/publicat/Regs/Part4/4_97.htm</vt:lpwstr>
      </vt:variant>
      <vt:variant>
        <vt:lpwstr/>
      </vt:variant>
      <vt:variant>
        <vt:i4>1048685</vt:i4>
      </vt:variant>
      <vt:variant>
        <vt:i4>4868</vt:i4>
      </vt:variant>
      <vt:variant>
        <vt:i4>0</vt:i4>
      </vt:variant>
      <vt:variant>
        <vt:i4>5</vt:i4>
      </vt:variant>
      <vt:variant>
        <vt:lpwstr>http://vbaw.vba.va.gov/bl/21/publicat/Regs/Part4/4_96.htm</vt:lpwstr>
      </vt:variant>
      <vt:variant>
        <vt:lpwstr/>
      </vt:variant>
      <vt:variant>
        <vt:i4>1114210</vt:i4>
      </vt:variant>
      <vt:variant>
        <vt:i4>4865</vt:i4>
      </vt:variant>
      <vt:variant>
        <vt:i4>0</vt:i4>
      </vt:variant>
      <vt:variant>
        <vt:i4>5</vt:i4>
      </vt:variant>
      <vt:variant>
        <vt:lpwstr>http://vbaw.vba.va.gov/bl/21/publicat/Regs/Part4/4_89.htm</vt:lpwstr>
      </vt:variant>
      <vt:variant>
        <vt:lpwstr/>
      </vt:variant>
      <vt:variant>
        <vt:i4>2949201</vt:i4>
      </vt:variant>
      <vt:variant>
        <vt:i4>4862</vt:i4>
      </vt:variant>
      <vt:variant>
        <vt:i4>0</vt:i4>
      </vt:variant>
      <vt:variant>
        <vt:i4>5</vt:i4>
      </vt:variant>
      <vt:variant>
        <vt:lpwstr>http://vbaw.vba.va.gov/bl/21/publicat/Regs/Part4/4_88c.htm</vt:lpwstr>
      </vt:variant>
      <vt:variant>
        <vt:lpwstr/>
      </vt:variant>
      <vt:variant>
        <vt:i4>6553700</vt:i4>
      </vt:variant>
      <vt:variant>
        <vt:i4>4858</vt:i4>
      </vt:variant>
      <vt:variant>
        <vt:i4>0</vt:i4>
      </vt:variant>
      <vt:variant>
        <vt:i4>5</vt:i4>
      </vt:variant>
      <vt:variant>
        <vt:lpwstr>http://vbaw.vba.va.gov/bl/21/publicat/Letters/TrngLtrs/tl00-03.doc</vt:lpwstr>
      </vt:variant>
      <vt:variant>
        <vt:lpwstr/>
      </vt:variant>
      <vt:variant>
        <vt:i4>6553700</vt:i4>
      </vt:variant>
      <vt:variant>
        <vt:i4>4856</vt:i4>
      </vt:variant>
      <vt:variant>
        <vt:i4>0</vt:i4>
      </vt:variant>
      <vt:variant>
        <vt:i4>5</vt:i4>
      </vt:variant>
      <vt:variant>
        <vt:lpwstr>http://vbaw.vba.va.gov/bl/21/publicat/Letters/TrngLtrs/tl00-03.doc</vt:lpwstr>
      </vt:variant>
      <vt:variant>
        <vt:lpwstr/>
      </vt:variant>
      <vt:variant>
        <vt:i4>7733334</vt:i4>
      </vt:variant>
      <vt:variant>
        <vt:i4>4853</vt:i4>
      </vt:variant>
      <vt:variant>
        <vt:i4>0</vt:i4>
      </vt:variant>
      <vt:variant>
        <vt:i4>5</vt:i4>
      </vt:variant>
      <vt:variant>
        <vt:lpwstr>http://vbaw.vba.va.gov/bl/21/M21-1MR/index.asp?id=pt03_sp04_ch04_secI.xml</vt:lpwstr>
      </vt:variant>
      <vt:variant>
        <vt:lpwstr>III.iv.4.I.34</vt:lpwstr>
      </vt:variant>
      <vt:variant>
        <vt:i4>393334</vt:i4>
      </vt:variant>
      <vt:variant>
        <vt:i4>4850</vt:i4>
      </vt:variant>
      <vt:variant>
        <vt:i4>0</vt:i4>
      </vt:variant>
      <vt:variant>
        <vt:i4>5</vt:i4>
      </vt:variant>
      <vt:variant>
        <vt:lpwstr>http://vbaw.vba.va.gov/bl/21/M21-1MR/index.asp?id=pt03_sp02_ch04_secA.xml</vt:lpwstr>
      </vt:variant>
      <vt:variant>
        <vt:lpwstr>III.ii.4.A.5.a</vt:lpwstr>
      </vt:variant>
      <vt:variant>
        <vt:i4>8126553</vt:i4>
      </vt:variant>
      <vt:variant>
        <vt:i4>4847</vt:i4>
      </vt:variant>
      <vt:variant>
        <vt:i4>0</vt:i4>
      </vt:variant>
      <vt:variant>
        <vt:i4>5</vt:i4>
      </vt:variant>
      <vt:variant>
        <vt:lpwstr>http://vbaw.vba.va.gov/bl/21/publicat/Regs/Part3/3_309.htm</vt:lpwstr>
      </vt:variant>
      <vt:variant>
        <vt:lpwstr/>
      </vt:variant>
      <vt:variant>
        <vt:i4>8126553</vt:i4>
      </vt:variant>
      <vt:variant>
        <vt:i4>4844</vt:i4>
      </vt:variant>
      <vt:variant>
        <vt:i4>0</vt:i4>
      </vt:variant>
      <vt:variant>
        <vt:i4>5</vt:i4>
      </vt:variant>
      <vt:variant>
        <vt:lpwstr>http://vbaw.vba.va.gov/bl/21/publicat/Regs/Part3/3_309.htm</vt:lpwstr>
      </vt:variant>
      <vt:variant>
        <vt:lpwstr/>
      </vt:variant>
      <vt:variant>
        <vt:i4>8126553</vt:i4>
      </vt:variant>
      <vt:variant>
        <vt:i4>4841</vt:i4>
      </vt:variant>
      <vt:variant>
        <vt:i4>0</vt:i4>
      </vt:variant>
      <vt:variant>
        <vt:i4>5</vt:i4>
      </vt:variant>
      <vt:variant>
        <vt:lpwstr>http://vbaw.vba.va.gov/bl/21/publicat/Regs/Part3/3_309.htm</vt:lpwstr>
      </vt:variant>
      <vt:variant>
        <vt:lpwstr/>
      </vt:variant>
      <vt:variant>
        <vt:i4>8061018</vt:i4>
      </vt:variant>
      <vt:variant>
        <vt:i4>4838</vt:i4>
      </vt:variant>
      <vt:variant>
        <vt:i4>0</vt:i4>
      </vt:variant>
      <vt:variant>
        <vt:i4>5</vt:i4>
      </vt:variant>
      <vt:variant>
        <vt:lpwstr>http://vbaw.vba.va.gov/bl/21/M21-1MR/index.asp?id=pt03_sp04_ch04_secE.xml</vt:lpwstr>
      </vt:variant>
      <vt:variant>
        <vt:lpwstr>III.iv.4.E.20</vt:lpwstr>
      </vt:variant>
      <vt:variant>
        <vt:i4>8257628</vt:i4>
      </vt:variant>
      <vt:variant>
        <vt:i4>4835</vt:i4>
      </vt:variant>
      <vt:variant>
        <vt:i4>0</vt:i4>
      </vt:variant>
      <vt:variant>
        <vt:i4>5</vt:i4>
      </vt:variant>
      <vt:variant>
        <vt:lpwstr>http://vbaw.vba.va.gov/bl/21/M21-1MR/index.asp?id=pt03_sp04_ch04_secC.xml</vt:lpwstr>
      </vt:variant>
      <vt:variant>
        <vt:lpwstr>III.iv.4.C.15</vt:lpwstr>
      </vt:variant>
      <vt:variant>
        <vt:i4>8257628</vt:i4>
      </vt:variant>
      <vt:variant>
        <vt:i4>4832</vt:i4>
      </vt:variant>
      <vt:variant>
        <vt:i4>0</vt:i4>
      </vt:variant>
      <vt:variant>
        <vt:i4>5</vt:i4>
      </vt:variant>
      <vt:variant>
        <vt:lpwstr>http://vbaw.vba.va.gov/bl/21/M21-1MR/index.asp?id=pt03_sp04_ch04_secC.xml</vt:lpwstr>
      </vt:variant>
      <vt:variant>
        <vt:lpwstr>III.iv.4.C.14</vt:lpwstr>
      </vt:variant>
      <vt:variant>
        <vt:i4>2883665</vt:i4>
      </vt:variant>
      <vt:variant>
        <vt:i4>4829</vt:i4>
      </vt:variant>
      <vt:variant>
        <vt:i4>0</vt:i4>
      </vt:variant>
      <vt:variant>
        <vt:i4>5</vt:i4>
      </vt:variant>
      <vt:variant>
        <vt:lpwstr>http://vbaw.vba.va.gov/bl/21/publicat/Regs/Part4/4_88b.htm</vt:lpwstr>
      </vt:variant>
      <vt:variant>
        <vt:lpwstr/>
      </vt:variant>
      <vt:variant>
        <vt:i4>3080273</vt:i4>
      </vt:variant>
      <vt:variant>
        <vt:i4>4826</vt:i4>
      </vt:variant>
      <vt:variant>
        <vt:i4>0</vt:i4>
      </vt:variant>
      <vt:variant>
        <vt:i4>5</vt:i4>
      </vt:variant>
      <vt:variant>
        <vt:lpwstr>http://vbaw.vba.va.gov/bl/21/publicat/Regs/Part4/4_88a.htm</vt:lpwstr>
      </vt:variant>
      <vt:variant>
        <vt:lpwstr/>
      </vt:variant>
      <vt:variant>
        <vt:i4>4522089</vt:i4>
      </vt:variant>
      <vt:variant>
        <vt:i4>4823</vt:i4>
      </vt:variant>
      <vt:variant>
        <vt:i4>0</vt:i4>
      </vt:variant>
      <vt:variant>
        <vt:i4>5</vt:i4>
      </vt:variant>
      <vt:variant>
        <vt:lpwstr>http://vbaw.vba.va.gov/bl/21/publicat/Regs/Part4/4_3.htm</vt:lpwstr>
      </vt:variant>
      <vt:variant>
        <vt:lpwstr/>
      </vt:variant>
      <vt:variant>
        <vt:i4>4522046</vt:i4>
      </vt:variant>
      <vt:variant>
        <vt:i4>4820</vt:i4>
      </vt:variant>
      <vt:variant>
        <vt:i4>0</vt:i4>
      </vt:variant>
      <vt:variant>
        <vt:i4>5</vt:i4>
      </vt:variant>
      <vt:variant>
        <vt:lpwstr>http://vbaw.vba.va.gov/bl/21/M21-1MR/index.asp?id=pt03_sp05_ch01_secA.xml</vt:lpwstr>
      </vt:variant>
      <vt:variant>
        <vt:lpwstr>III.v.1.A.4</vt:lpwstr>
      </vt:variant>
      <vt:variant>
        <vt:i4>1638498</vt:i4>
      </vt:variant>
      <vt:variant>
        <vt:i4>4817</vt:i4>
      </vt:variant>
      <vt:variant>
        <vt:i4>0</vt:i4>
      </vt:variant>
      <vt:variant>
        <vt:i4>5</vt:i4>
      </vt:variant>
      <vt:variant>
        <vt:lpwstr>http://vbaw.vba.va.gov/bl/21/M21-1MR/index.asp?id=pt04_sp02_ch02_secA.xml</vt:lpwstr>
      </vt:variant>
      <vt:variant>
        <vt:lpwstr>IV.ii.2.A.2</vt:lpwstr>
      </vt:variant>
      <vt:variant>
        <vt:i4>7667801</vt:i4>
      </vt:variant>
      <vt:variant>
        <vt:i4>4814</vt:i4>
      </vt:variant>
      <vt:variant>
        <vt:i4>0</vt:i4>
      </vt:variant>
      <vt:variant>
        <vt:i4>5</vt:i4>
      </vt:variant>
      <vt:variant>
        <vt:lpwstr>http://vbaw.vba.va.gov/bl/21/publicat/Regs/Part3/3_102.htm</vt:lpwstr>
      </vt:variant>
      <vt:variant>
        <vt:lpwstr/>
      </vt:variant>
      <vt:variant>
        <vt:i4>6422640</vt:i4>
      </vt:variant>
      <vt:variant>
        <vt:i4>4790</vt:i4>
      </vt:variant>
      <vt:variant>
        <vt:i4>0</vt:i4>
      </vt:variant>
      <vt:variant>
        <vt:i4>5</vt:i4>
      </vt:variant>
      <vt:variant>
        <vt:lpwstr/>
      </vt:variant>
      <vt:variant>
        <vt:lpwstr>nonservice</vt:lpwstr>
      </vt:variant>
      <vt:variant>
        <vt:i4>1835039</vt:i4>
      </vt:variant>
      <vt:variant>
        <vt:i4>4788</vt:i4>
      </vt:variant>
      <vt:variant>
        <vt:i4>0</vt:i4>
      </vt:variant>
      <vt:variant>
        <vt:i4>5</vt:i4>
      </vt:variant>
      <vt:variant>
        <vt:lpwstr/>
      </vt:variant>
      <vt:variant>
        <vt:lpwstr>secondary</vt:lpwstr>
      </vt:variant>
      <vt:variant>
        <vt:i4>4849665</vt:i4>
      </vt:variant>
      <vt:variant>
        <vt:i4>4783</vt:i4>
      </vt:variant>
      <vt:variant>
        <vt:i4>0</vt:i4>
      </vt:variant>
      <vt:variant>
        <vt:i4>5</vt:i4>
      </vt:variant>
      <vt:variant>
        <vt:lpwstr/>
      </vt:variant>
      <vt:variant>
        <vt:lpwstr>Aggravation2</vt:lpwstr>
      </vt:variant>
      <vt:variant>
        <vt:i4>1835039</vt:i4>
      </vt:variant>
      <vt:variant>
        <vt:i4>4778</vt:i4>
      </vt:variant>
      <vt:variant>
        <vt:i4>0</vt:i4>
      </vt:variant>
      <vt:variant>
        <vt:i4>5</vt:i4>
      </vt:variant>
      <vt:variant>
        <vt:lpwstr/>
      </vt:variant>
      <vt:variant>
        <vt:lpwstr>secondary</vt:lpwstr>
      </vt:variant>
      <vt:variant>
        <vt:i4>7864437</vt:i4>
      </vt:variant>
      <vt:variant>
        <vt:i4>4773</vt:i4>
      </vt:variant>
      <vt:variant>
        <vt:i4>0</vt:i4>
      </vt:variant>
      <vt:variant>
        <vt:i4>5</vt:i4>
      </vt:variant>
      <vt:variant>
        <vt:lpwstr/>
      </vt:variant>
      <vt:variant>
        <vt:lpwstr>Direct</vt:lpwstr>
      </vt:variant>
      <vt:variant>
        <vt:i4>3539006</vt:i4>
      </vt:variant>
      <vt:variant>
        <vt:i4>4770</vt:i4>
      </vt:variant>
      <vt:variant>
        <vt:i4>0</vt:i4>
      </vt:variant>
      <vt:variant>
        <vt:i4>5</vt:i4>
      </vt:variant>
      <vt:variant>
        <vt:lpwstr>http://vbaw.vba.va.gov/bl/21/M21-1MR/index.asp?id=pt03_sp04_ch05.xml</vt:lpwstr>
      </vt:variant>
      <vt:variant>
        <vt:lpwstr>III.iv.5.5.h</vt:lpwstr>
      </vt:variant>
      <vt:variant>
        <vt:i4>5701730</vt:i4>
      </vt:variant>
      <vt:variant>
        <vt:i4>4767</vt:i4>
      </vt:variant>
      <vt:variant>
        <vt:i4>0</vt:i4>
      </vt:variant>
      <vt:variant>
        <vt:i4>5</vt:i4>
      </vt:variant>
      <vt:variant>
        <vt:lpwstr>http://vbaw.vba.va.gov/bl/21/M21-1MR/index.asp?id=pt03_sp04_ch03_secD.xml</vt:lpwstr>
      </vt:variant>
      <vt:variant>
        <vt:lpwstr>III.iv.3.D.19.d</vt:lpwstr>
      </vt:variant>
      <vt:variant>
        <vt:i4>5308520</vt:i4>
      </vt:variant>
      <vt:variant>
        <vt:i4>4764</vt:i4>
      </vt:variant>
      <vt:variant>
        <vt:i4>0</vt:i4>
      </vt:variant>
      <vt:variant>
        <vt:i4>5</vt:i4>
      </vt:variant>
      <vt:variant>
        <vt:lpwstr>http://vbaw.vba.va.gov/bl/21/M21-1MR/index.asp?id=pt03_sp04_ch03_secB.xml</vt:lpwstr>
      </vt:variant>
      <vt:variant>
        <vt:lpwstr>III.iv.3.B.15.c</vt:lpwstr>
      </vt:variant>
      <vt:variant>
        <vt:i4>8126558</vt:i4>
      </vt:variant>
      <vt:variant>
        <vt:i4>4761</vt:i4>
      </vt:variant>
      <vt:variant>
        <vt:i4>0</vt:i4>
      </vt:variant>
      <vt:variant>
        <vt:i4>5</vt:i4>
      </vt:variant>
      <vt:variant>
        <vt:lpwstr>http://vbaw.vba.va.gov/bl/21/M21-1MR/index.asp?id=pt03_sp04_ch03_secA.xml</vt:lpwstr>
      </vt:variant>
      <vt:variant>
        <vt:lpwstr>III.iv.3.A.1</vt:lpwstr>
      </vt:variant>
      <vt:variant>
        <vt:i4>1966187</vt:i4>
      </vt:variant>
      <vt:variant>
        <vt:i4>4758</vt:i4>
      </vt:variant>
      <vt:variant>
        <vt:i4>0</vt:i4>
      </vt:variant>
      <vt:variant>
        <vt:i4>5</vt:i4>
      </vt:variant>
      <vt:variant>
        <vt:lpwstr>http://vbaw.vba.va.gov/bl/21/publicat/Regs/Part4/4_70.htm</vt:lpwstr>
      </vt:variant>
      <vt:variant>
        <vt:lpwstr/>
      </vt:variant>
      <vt:variant>
        <vt:i4>1900654</vt:i4>
      </vt:variant>
      <vt:variant>
        <vt:i4>4755</vt:i4>
      </vt:variant>
      <vt:variant>
        <vt:i4>0</vt:i4>
      </vt:variant>
      <vt:variant>
        <vt:i4>5</vt:i4>
      </vt:variant>
      <vt:variant>
        <vt:lpwstr>http://vbaw.vba.va.gov/bl/21/publicat/Regs/Part4/4_45.htm</vt:lpwstr>
      </vt:variant>
      <vt:variant>
        <vt:lpwstr/>
      </vt:variant>
      <vt:variant>
        <vt:i4>1900651</vt:i4>
      </vt:variant>
      <vt:variant>
        <vt:i4>4752</vt:i4>
      </vt:variant>
      <vt:variant>
        <vt:i4>0</vt:i4>
      </vt:variant>
      <vt:variant>
        <vt:i4>5</vt:i4>
      </vt:variant>
      <vt:variant>
        <vt:lpwstr>http://vbaw.vba.va.gov/bl/21/publicat/Regs/Part4/4_40.htm</vt:lpwstr>
      </vt:variant>
      <vt:variant>
        <vt:lpwstr/>
      </vt:variant>
      <vt:variant>
        <vt:i4>1572971</vt:i4>
      </vt:variant>
      <vt:variant>
        <vt:i4>4749</vt:i4>
      </vt:variant>
      <vt:variant>
        <vt:i4>0</vt:i4>
      </vt:variant>
      <vt:variant>
        <vt:i4>5</vt:i4>
      </vt:variant>
      <vt:variant>
        <vt:lpwstr>http://vbaw.vba.va.gov/bl/21/publicat/Regs/Part4/4_10.htm</vt:lpwstr>
      </vt:variant>
      <vt:variant>
        <vt:lpwstr/>
      </vt:variant>
      <vt:variant>
        <vt:i4>4653161</vt:i4>
      </vt:variant>
      <vt:variant>
        <vt:i4>4746</vt:i4>
      </vt:variant>
      <vt:variant>
        <vt:i4>0</vt:i4>
      </vt:variant>
      <vt:variant>
        <vt:i4>5</vt:i4>
      </vt:variant>
      <vt:variant>
        <vt:lpwstr>http://vbaw.vba.va.gov/bl/21/publicat/Regs/Part4/4_1.htm</vt:lpwstr>
      </vt:variant>
      <vt:variant>
        <vt:lpwstr/>
      </vt:variant>
      <vt:variant>
        <vt:i4>4456553</vt:i4>
      </vt:variant>
      <vt:variant>
        <vt:i4>4743</vt:i4>
      </vt:variant>
      <vt:variant>
        <vt:i4>0</vt:i4>
      </vt:variant>
      <vt:variant>
        <vt:i4>5</vt:i4>
      </vt:variant>
      <vt:variant>
        <vt:lpwstr>http://vbaw.vba.va.gov/bl/21/publicat/Regs/Part4/4_2.htm</vt:lpwstr>
      </vt:variant>
      <vt:variant>
        <vt:lpwstr/>
      </vt:variant>
      <vt:variant>
        <vt:i4>1179760</vt:i4>
      </vt:variant>
      <vt:variant>
        <vt:i4>4740</vt:i4>
      </vt:variant>
      <vt:variant>
        <vt:i4>0</vt:i4>
      </vt:variant>
      <vt:variant>
        <vt:i4>5</vt:i4>
      </vt:variant>
      <vt:variant>
        <vt:lpwstr>http://vbaw.vba.va.gov/bl/21/M21-1MR/index.asp?id=pt03_sp04_ch03_secA.xml</vt:lpwstr>
      </vt:variant>
      <vt:variant>
        <vt:lpwstr>III.iv.3.A.9.f</vt:lpwstr>
      </vt:variant>
      <vt:variant>
        <vt:i4>8192091</vt:i4>
      </vt:variant>
      <vt:variant>
        <vt:i4>4737</vt:i4>
      </vt:variant>
      <vt:variant>
        <vt:i4>0</vt:i4>
      </vt:variant>
      <vt:variant>
        <vt:i4>5</vt:i4>
      </vt:variant>
      <vt:variant>
        <vt:lpwstr>http://vbaw.vba.va.gov/bl/21/publicat/Regs/Part3/3_328.htm</vt:lpwstr>
      </vt:variant>
      <vt:variant>
        <vt:lpwstr/>
      </vt:variant>
      <vt:variant>
        <vt:i4>6946869</vt:i4>
      </vt:variant>
      <vt:variant>
        <vt:i4>4734</vt:i4>
      </vt:variant>
      <vt:variant>
        <vt:i4>0</vt:i4>
      </vt:variant>
      <vt:variant>
        <vt:i4>5</vt:i4>
      </vt:variant>
      <vt:variant>
        <vt:lpwstr>http://vbaw.vba.va.gov/bl/21/calendar/agenda/FY13/0313.doc</vt:lpwstr>
      </vt:variant>
      <vt:variant>
        <vt:lpwstr/>
      </vt:variant>
      <vt:variant>
        <vt:i4>3342390</vt:i4>
      </vt:variant>
      <vt:variant>
        <vt:i4>4731</vt:i4>
      </vt:variant>
      <vt:variant>
        <vt:i4>0</vt:i4>
      </vt:variant>
      <vt:variant>
        <vt:i4>5</vt:i4>
      </vt:variant>
      <vt:variant>
        <vt:lpwstr>http://vbaw.vba.va.gov/BL/21/M21/content/infomap.asp?address=M21-1MRI.1.C.7</vt:lpwstr>
      </vt:variant>
      <vt:variant>
        <vt:lpwstr/>
      </vt:variant>
      <vt:variant>
        <vt:i4>7536731</vt:i4>
      </vt:variant>
      <vt:variant>
        <vt:i4>4728</vt:i4>
      </vt:variant>
      <vt:variant>
        <vt:i4>0</vt:i4>
      </vt:variant>
      <vt:variant>
        <vt:i4>5</vt:i4>
      </vt:variant>
      <vt:variant>
        <vt:lpwstr>http://vbaw.vba.va.gov/bl/21/publicat/Regs/Part3/3_326.htm</vt:lpwstr>
      </vt:variant>
      <vt:variant>
        <vt:lpwstr/>
      </vt:variant>
      <vt:variant>
        <vt:i4>8257628</vt:i4>
      </vt:variant>
      <vt:variant>
        <vt:i4>4725</vt:i4>
      </vt:variant>
      <vt:variant>
        <vt:i4>0</vt:i4>
      </vt:variant>
      <vt:variant>
        <vt:i4>5</vt:i4>
      </vt:variant>
      <vt:variant>
        <vt:lpwstr>http://vbaw.vba.va.gov/bl/21/publicat/Regs/Part3/3_159.htm</vt:lpwstr>
      </vt:variant>
      <vt:variant>
        <vt:lpwstr/>
      </vt:variant>
      <vt:variant>
        <vt:i4>8126498</vt:i4>
      </vt:variant>
      <vt:variant>
        <vt:i4>4722</vt:i4>
      </vt:variant>
      <vt:variant>
        <vt:i4>0</vt:i4>
      </vt:variant>
      <vt:variant>
        <vt:i4>5</vt:i4>
      </vt:variant>
      <vt:variant>
        <vt:lpwstr>http://vbaw.vba.va.gov/bl/21/publicat/Letters/FL12/FL12-022.doc</vt:lpwstr>
      </vt:variant>
      <vt:variant>
        <vt:lpwstr/>
      </vt:variant>
      <vt:variant>
        <vt:i4>8126498</vt:i4>
      </vt:variant>
      <vt:variant>
        <vt:i4>4719</vt:i4>
      </vt:variant>
      <vt:variant>
        <vt:i4>0</vt:i4>
      </vt:variant>
      <vt:variant>
        <vt:i4>5</vt:i4>
      </vt:variant>
      <vt:variant>
        <vt:lpwstr>http://vbaw.vba.va.gov/bl/21/publicat/Letters/FL12/FL12-022.doc</vt:lpwstr>
      </vt:variant>
      <vt:variant>
        <vt:lpwstr/>
      </vt:variant>
      <vt:variant>
        <vt:i4>8257628</vt:i4>
      </vt:variant>
      <vt:variant>
        <vt:i4>4716</vt:i4>
      </vt:variant>
      <vt:variant>
        <vt:i4>0</vt:i4>
      </vt:variant>
      <vt:variant>
        <vt:i4>5</vt:i4>
      </vt:variant>
      <vt:variant>
        <vt:lpwstr>http://vbaw.vba.va.gov/bl/21/publicat/Regs/Part3/3_159.htm</vt:lpwstr>
      </vt:variant>
      <vt:variant>
        <vt:lpwstr/>
      </vt:variant>
      <vt:variant>
        <vt:i4>6946928</vt:i4>
      </vt:variant>
      <vt:variant>
        <vt:i4>4713</vt:i4>
      </vt:variant>
      <vt:variant>
        <vt:i4>0</vt:i4>
      </vt:variant>
      <vt:variant>
        <vt:i4>5</vt:i4>
      </vt:variant>
      <vt:variant>
        <vt:lpwstr>http://www.law.cornell.edu/uscode/text/38/5103</vt:lpwstr>
      </vt:variant>
      <vt:variant>
        <vt:lpwstr/>
      </vt:variant>
      <vt:variant>
        <vt:i4>65551</vt:i4>
      </vt:variant>
      <vt:variant>
        <vt:i4>4710</vt:i4>
      </vt:variant>
      <vt:variant>
        <vt:i4>0</vt:i4>
      </vt:variant>
      <vt:variant>
        <vt:i4>5</vt:i4>
      </vt:variant>
      <vt:variant>
        <vt:lpwstr>http://vbaw.vba.va.gov/BL/21/M21/content/contents.asp?address=M21-1MRIII.iv.5</vt:lpwstr>
      </vt:variant>
      <vt:variant>
        <vt:lpwstr/>
      </vt:variant>
      <vt:variant>
        <vt:i4>8257628</vt:i4>
      </vt:variant>
      <vt:variant>
        <vt:i4>4707</vt:i4>
      </vt:variant>
      <vt:variant>
        <vt:i4>0</vt:i4>
      </vt:variant>
      <vt:variant>
        <vt:i4>5</vt:i4>
      </vt:variant>
      <vt:variant>
        <vt:lpwstr>http://vbaw.vba.va.gov/bl/21/publicat/Regs/Part3/3_159.htm</vt:lpwstr>
      </vt:variant>
      <vt:variant>
        <vt:lpwstr/>
      </vt:variant>
      <vt:variant>
        <vt:i4>8126498</vt:i4>
      </vt:variant>
      <vt:variant>
        <vt:i4>4704</vt:i4>
      </vt:variant>
      <vt:variant>
        <vt:i4>0</vt:i4>
      </vt:variant>
      <vt:variant>
        <vt:i4>5</vt:i4>
      </vt:variant>
      <vt:variant>
        <vt:lpwstr>http://vbaw.vba.va.gov/bl/21/publicat/Letters/FL12/FL12-022.doc</vt:lpwstr>
      </vt:variant>
      <vt:variant>
        <vt:lpwstr/>
      </vt:variant>
      <vt:variant>
        <vt:i4>6946920</vt:i4>
      </vt:variant>
      <vt:variant>
        <vt:i4>4701</vt:i4>
      </vt:variant>
      <vt:variant>
        <vt:i4>0</vt:i4>
      </vt:variant>
      <vt:variant>
        <vt:i4>5</vt:i4>
      </vt:variant>
      <vt:variant>
        <vt:lpwstr/>
      </vt:variant>
      <vt:variant>
        <vt:lpwstr>InadequateExams</vt:lpwstr>
      </vt:variant>
      <vt:variant>
        <vt:i4>1966187</vt:i4>
      </vt:variant>
      <vt:variant>
        <vt:i4>4698</vt:i4>
      </vt:variant>
      <vt:variant>
        <vt:i4>0</vt:i4>
      </vt:variant>
      <vt:variant>
        <vt:i4>5</vt:i4>
      </vt:variant>
      <vt:variant>
        <vt:lpwstr>http://vbaw.vba.va.gov/bl/21/publicat/Regs/Part4/4_70.htm</vt:lpwstr>
      </vt:variant>
      <vt:variant>
        <vt:lpwstr/>
      </vt:variant>
      <vt:variant>
        <vt:i4>6946879</vt:i4>
      </vt:variant>
      <vt:variant>
        <vt:i4>4695</vt:i4>
      </vt:variant>
      <vt:variant>
        <vt:i4>0</vt:i4>
      </vt:variant>
      <vt:variant>
        <vt:i4>5</vt:i4>
      </vt:variant>
      <vt:variant>
        <vt:lpwstr>http://vbaw.vba.va.gov/bl/21/Advisory/DADS/2002dads/Charles.doc</vt:lpwstr>
      </vt:variant>
      <vt:variant>
        <vt:lpwstr/>
      </vt:variant>
      <vt:variant>
        <vt:i4>5373983</vt:i4>
      </vt:variant>
      <vt:variant>
        <vt:i4>4692</vt:i4>
      </vt:variant>
      <vt:variant>
        <vt:i4>0</vt:i4>
      </vt:variant>
      <vt:variant>
        <vt:i4>5</vt:i4>
      </vt:variant>
      <vt:variant>
        <vt:lpwstr>http://vbaw.vba.va.gov/bl/21/Advisory/DADS/1995dads/Wray.doc</vt:lpwstr>
      </vt:variant>
      <vt:variant>
        <vt:lpwstr/>
      </vt:variant>
      <vt:variant>
        <vt:i4>2424941</vt:i4>
      </vt:variant>
      <vt:variant>
        <vt:i4>4689</vt:i4>
      </vt:variant>
      <vt:variant>
        <vt:i4>0</vt:i4>
      </vt:variant>
      <vt:variant>
        <vt:i4>5</vt:i4>
      </vt:variant>
      <vt:variant>
        <vt:lpwstr>http://vbaw.vba.va.gov/bl/21/Advisory/DADS/1994dads/Bielby.doc</vt:lpwstr>
      </vt:variant>
      <vt:variant>
        <vt:lpwstr/>
      </vt:variant>
      <vt:variant>
        <vt:i4>4915265</vt:i4>
      </vt:variant>
      <vt:variant>
        <vt:i4>4686</vt:i4>
      </vt:variant>
      <vt:variant>
        <vt:i4>0</vt:i4>
      </vt:variant>
      <vt:variant>
        <vt:i4>5</vt:i4>
      </vt:variant>
      <vt:variant>
        <vt:lpwstr>http://vbaw.vba.va.gov/bl/21/Advisory/CAVC/1991dec/Green3.doc</vt:lpwstr>
      </vt:variant>
      <vt:variant>
        <vt:lpwstr/>
      </vt:variant>
      <vt:variant>
        <vt:i4>4980810</vt:i4>
      </vt:variant>
      <vt:variant>
        <vt:i4>4683</vt:i4>
      </vt:variant>
      <vt:variant>
        <vt:i4>0</vt:i4>
      </vt:variant>
      <vt:variant>
        <vt:i4>5</vt:i4>
      </vt:variant>
      <vt:variant>
        <vt:lpwstr>http://vbaw.vba.va.gov/BL/21/M21/content/infomap.asp?address=M21-1MRIII.iv.3.B.15</vt:lpwstr>
      </vt:variant>
      <vt:variant>
        <vt:lpwstr/>
      </vt:variant>
      <vt:variant>
        <vt:i4>2162732</vt:i4>
      </vt:variant>
      <vt:variant>
        <vt:i4>4680</vt:i4>
      </vt:variant>
      <vt:variant>
        <vt:i4>0</vt:i4>
      </vt:variant>
      <vt:variant>
        <vt:i4>5</vt:i4>
      </vt:variant>
      <vt:variant>
        <vt:lpwstr>http://vbaw.vba.va.gov/BL/21/M21/content/infomap.asp?address=M21-1MRIII.iv.3.D.18</vt:lpwstr>
      </vt:variant>
      <vt:variant>
        <vt:lpwstr>M21-1MRIII.iv.3.D.18.f</vt:lpwstr>
      </vt:variant>
      <vt:variant>
        <vt:i4>5505031</vt:i4>
      </vt:variant>
      <vt:variant>
        <vt:i4>4677</vt:i4>
      </vt:variant>
      <vt:variant>
        <vt:i4>0</vt:i4>
      </vt:variant>
      <vt:variant>
        <vt:i4>5</vt:i4>
      </vt:variant>
      <vt:variant>
        <vt:lpwstr>http://vbaw.vba.va.gov/BL/21/M21/content/infomap.asp?address=M21-1MRIII.iv.3.A.1</vt:lpwstr>
      </vt:variant>
      <vt:variant>
        <vt:lpwstr>M21-1MRIII.iv.3.A.1.e</vt:lpwstr>
      </vt:variant>
      <vt:variant>
        <vt:i4>3080252</vt:i4>
      </vt:variant>
      <vt:variant>
        <vt:i4>4674</vt:i4>
      </vt:variant>
      <vt:variant>
        <vt:i4>0</vt:i4>
      </vt:variant>
      <vt:variant>
        <vt:i4>5</vt:i4>
      </vt:variant>
      <vt:variant>
        <vt:lpwstr>http://vbaw.vba.va.gov/BL/21/M21/content/contents.asp?address=M21-1MRIII.iv.3.A</vt:lpwstr>
      </vt:variant>
      <vt:variant>
        <vt:lpwstr/>
      </vt:variant>
      <vt:variant>
        <vt:i4>6029327</vt:i4>
      </vt:variant>
      <vt:variant>
        <vt:i4>4671</vt:i4>
      </vt:variant>
      <vt:variant>
        <vt:i4>0</vt:i4>
      </vt:variant>
      <vt:variant>
        <vt:i4>5</vt:i4>
      </vt:variant>
      <vt:variant>
        <vt:lpwstr>http://vbaw.vba.va.gov/BL/21/M21/content/infomap.asp?address=M21-1MRIII.iv.3.A.9</vt:lpwstr>
      </vt:variant>
      <vt:variant>
        <vt:lpwstr>M21-1MRIII.iv.3.A.9.d</vt:lpwstr>
      </vt:variant>
      <vt:variant>
        <vt:i4>2687017</vt:i4>
      </vt:variant>
      <vt:variant>
        <vt:i4>4668</vt:i4>
      </vt:variant>
      <vt:variant>
        <vt:i4>0</vt:i4>
      </vt:variant>
      <vt:variant>
        <vt:i4>5</vt:i4>
      </vt:variant>
      <vt:variant>
        <vt:lpwstr>http://vbaw.vba.va.gov/BL/21/M21/content/infomap.asp?address=M21-1MRI.1.C.7</vt:lpwstr>
      </vt:variant>
      <vt:variant>
        <vt:lpwstr>M21-1MRI.1.C.7.d</vt:lpwstr>
      </vt:variant>
      <vt:variant>
        <vt:i4>3080233</vt:i4>
      </vt:variant>
      <vt:variant>
        <vt:i4>4665</vt:i4>
      </vt:variant>
      <vt:variant>
        <vt:i4>0</vt:i4>
      </vt:variant>
      <vt:variant>
        <vt:i4>5</vt:i4>
      </vt:variant>
      <vt:variant>
        <vt:lpwstr>http://vbaw.vba.va.gov/BL/21/M21/content/infomap.asp?address=M21-1MRI.1.C.7</vt:lpwstr>
      </vt:variant>
      <vt:variant>
        <vt:lpwstr>M21-1MRI.1.C.7.b</vt:lpwstr>
      </vt:variant>
      <vt:variant>
        <vt:i4>2883625</vt:i4>
      </vt:variant>
      <vt:variant>
        <vt:i4>4662</vt:i4>
      </vt:variant>
      <vt:variant>
        <vt:i4>0</vt:i4>
      </vt:variant>
      <vt:variant>
        <vt:i4>5</vt:i4>
      </vt:variant>
      <vt:variant>
        <vt:lpwstr>http://vbaw.vba.va.gov/BL/21/M21/content/infomap.asp?address=M21-1MRI.1.C.7</vt:lpwstr>
      </vt:variant>
      <vt:variant>
        <vt:lpwstr>M21-1MRI.1.C.7.a</vt:lpwstr>
      </vt:variant>
      <vt:variant>
        <vt:i4>3342390</vt:i4>
      </vt:variant>
      <vt:variant>
        <vt:i4>4659</vt:i4>
      </vt:variant>
      <vt:variant>
        <vt:i4>0</vt:i4>
      </vt:variant>
      <vt:variant>
        <vt:i4>5</vt:i4>
      </vt:variant>
      <vt:variant>
        <vt:lpwstr>http://vbaw.vba.va.gov/BL/21/M21/content/infomap.asp?address=M21-1MRI.1.C.7</vt:lpwstr>
      </vt:variant>
      <vt:variant>
        <vt:lpwstr/>
      </vt:variant>
      <vt:variant>
        <vt:i4>7536731</vt:i4>
      </vt:variant>
      <vt:variant>
        <vt:i4>4656</vt:i4>
      </vt:variant>
      <vt:variant>
        <vt:i4>0</vt:i4>
      </vt:variant>
      <vt:variant>
        <vt:i4>5</vt:i4>
      </vt:variant>
      <vt:variant>
        <vt:lpwstr>http://vbaw.vba.va.gov/bl/21/publicat/Regs/Part3/3_326.htm</vt:lpwstr>
      </vt:variant>
      <vt:variant>
        <vt:lpwstr/>
      </vt:variant>
      <vt:variant>
        <vt:i4>2949223</vt:i4>
      </vt:variant>
      <vt:variant>
        <vt:i4>4653</vt:i4>
      </vt:variant>
      <vt:variant>
        <vt:i4>0</vt:i4>
      </vt:variant>
      <vt:variant>
        <vt:i4>5</vt:i4>
      </vt:variant>
      <vt:variant>
        <vt:lpwstr>http://vbaw.vba.va.gov/bl/21/advisory/CAVC/2006dec/Mclendon.doc</vt:lpwstr>
      </vt:variant>
      <vt:variant>
        <vt:lpwstr/>
      </vt:variant>
      <vt:variant>
        <vt:i4>8257628</vt:i4>
      </vt:variant>
      <vt:variant>
        <vt:i4>4650</vt:i4>
      </vt:variant>
      <vt:variant>
        <vt:i4>0</vt:i4>
      </vt:variant>
      <vt:variant>
        <vt:i4>5</vt:i4>
      </vt:variant>
      <vt:variant>
        <vt:lpwstr>http://vbaw.vba.va.gov/bl/21/Publicat/Regs/Part3/3_159.htm</vt:lpwstr>
      </vt:variant>
      <vt:variant>
        <vt:lpwstr/>
      </vt:variant>
      <vt:variant>
        <vt:i4>6160469</vt:i4>
      </vt:variant>
      <vt:variant>
        <vt:i4>4647</vt:i4>
      </vt:variant>
      <vt:variant>
        <vt:i4>0</vt:i4>
      </vt:variant>
      <vt:variant>
        <vt:i4>5</vt:i4>
      </vt:variant>
      <vt:variant>
        <vt:lpwstr>http://vbaw.vba.va.gov/bl/21/advisory/CAVC/2010dec/FedCirc/Waters.pdf</vt:lpwstr>
      </vt:variant>
      <vt:variant>
        <vt:lpwstr/>
      </vt:variant>
      <vt:variant>
        <vt:i4>7143477</vt:i4>
      </vt:variant>
      <vt:variant>
        <vt:i4>4644</vt:i4>
      </vt:variant>
      <vt:variant>
        <vt:i4>0</vt:i4>
      </vt:variant>
      <vt:variant>
        <vt:i4>5</vt:i4>
      </vt:variant>
      <vt:variant>
        <vt:lpwstr>http://vbaw.vba.va.gov/bl/21/calendar/Agenda/FY13/0413.doc</vt:lpwstr>
      </vt:variant>
      <vt:variant>
        <vt:lpwstr/>
      </vt:variant>
      <vt:variant>
        <vt:i4>589836</vt:i4>
      </vt:variant>
      <vt:variant>
        <vt:i4>4641</vt:i4>
      </vt:variant>
      <vt:variant>
        <vt:i4>0</vt:i4>
      </vt:variant>
      <vt:variant>
        <vt:i4>5</vt:i4>
      </vt:variant>
      <vt:variant>
        <vt:lpwstr>http://vbaw.vba.va.gov/bl/20/cio/20s5/forms/VBA-21-526EZ-ARE.pdf</vt:lpwstr>
      </vt:variant>
      <vt:variant>
        <vt:lpwstr/>
      </vt:variant>
      <vt:variant>
        <vt:i4>8323111</vt:i4>
      </vt:variant>
      <vt:variant>
        <vt:i4>4638</vt:i4>
      </vt:variant>
      <vt:variant>
        <vt:i4>0</vt:i4>
      </vt:variant>
      <vt:variant>
        <vt:i4>5</vt:i4>
      </vt:variant>
      <vt:variant>
        <vt:lpwstr>http://vbaw.vba.va.gov/bl/21/publicat/Letters/FL13/FL13-006.doc</vt:lpwstr>
      </vt:variant>
      <vt:variant>
        <vt:lpwstr/>
      </vt:variant>
      <vt:variant>
        <vt:i4>2162728</vt:i4>
      </vt:variant>
      <vt:variant>
        <vt:i4>4635</vt:i4>
      </vt:variant>
      <vt:variant>
        <vt:i4>0</vt:i4>
      </vt:variant>
      <vt:variant>
        <vt:i4>5</vt:i4>
      </vt:variant>
      <vt:variant>
        <vt:lpwstr>http://vbaw.vba.va.gov/BL/21/M21/content/infomap.asp?address=M21-1MRI.1.B.3</vt:lpwstr>
      </vt:variant>
      <vt:variant>
        <vt:lpwstr>M21-1MRI.1.B.3.i</vt:lpwstr>
      </vt:variant>
      <vt:variant>
        <vt:i4>7274548</vt:i4>
      </vt:variant>
      <vt:variant>
        <vt:i4>4632</vt:i4>
      </vt:variant>
      <vt:variant>
        <vt:i4>0</vt:i4>
      </vt:variant>
      <vt:variant>
        <vt:i4>5</vt:i4>
      </vt:variant>
      <vt:variant>
        <vt:lpwstr>http://vbaw.vba.va.gov/bl/21/calendar/Agenda/FY12/0712.doc</vt:lpwstr>
      </vt:variant>
      <vt:variant>
        <vt:lpwstr/>
      </vt:variant>
      <vt:variant>
        <vt:i4>5308418</vt:i4>
      </vt:variant>
      <vt:variant>
        <vt:i4>4629</vt:i4>
      </vt:variant>
      <vt:variant>
        <vt:i4>0</vt:i4>
      </vt:variant>
      <vt:variant>
        <vt:i4>5</vt:i4>
      </vt:variant>
      <vt:variant>
        <vt:lpwstr>http://vbaw.vba.va.gov/BL/21/M21/content/infomap.asp?address=M21-1MRIII.iv.6.B.2</vt:lpwstr>
      </vt:variant>
      <vt:variant>
        <vt:lpwstr>M21-1MRIII.iv.6.B.2.c</vt:lpwstr>
      </vt:variant>
      <vt:variant>
        <vt:i4>5111837</vt:i4>
      </vt:variant>
      <vt:variant>
        <vt:i4>4626</vt:i4>
      </vt:variant>
      <vt:variant>
        <vt:i4>0</vt:i4>
      </vt:variant>
      <vt:variant>
        <vt:i4>5</vt:i4>
      </vt:variant>
      <vt:variant>
        <vt:lpwstr>http://vbaw.vba.va.gov/BL/21/M21/content/infomap.asp?address=M21-1MRIII.ii.2.B.6</vt:lpwstr>
      </vt:variant>
      <vt:variant>
        <vt:lpwstr>M21-1MRIII.ii.2.B.6.b</vt:lpwstr>
      </vt:variant>
      <vt:variant>
        <vt:i4>2162728</vt:i4>
      </vt:variant>
      <vt:variant>
        <vt:i4>4623</vt:i4>
      </vt:variant>
      <vt:variant>
        <vt:i4>0</vt:i4>
      </vt:variant>
      <vt:variant>
        <vt:i4>5</vt:i4>
      </vt:variant>
      <vt:variant>
        <vt:lpwstr>http://vbaw.vba.va.gov/BL/21/M21/content/infomap.asp?address=M21-1MRI.1.B.3</vt:lpwstr>
      </vt:variant>
      <vt:variant>
        <vt:lpwstr>M21-1MRI.1.B.3.i</vt:lpwstr>
      </vt:variant>
      <vt:variant>
        <vt:i4>3932236</vt:i4>
      </vt:variant>
      <vt:variant>
        <vt:i4>4620</vt:i4>
      </vt:variant>
      <vt:variant>
        <vt:i4>0</vt:i4>
      </vt:variant>
      <vt:variant>
        <vt:i4>5</vt:i4>
      </vt:variant>
      <vt:variant>
        <vt:lpwstr>http://vbaw.vba.va.gov/bl/21/star/star_call.htm</vt:lpwstr>
      </vt:variant>
      <vt:variant>
        <vt:lpwstr/>
      </vt:variant>
      <vt:variant>
        <vt:i4>3932236</vt:i4>
      </vt:variant>
      <vt:variant>
        <vt:i4>4617</vt:i4>
      </vt:variant>
      <vt:variant>
        <vt:i4>0</vt:i4>
      </vt:variant>
      <vt:variant>
        <vt:i4>5</vt:i4>
      </vt:variant>
      <vt:variant>
        <vt:lpwstr>http://vbaw.vba.va.gov/bl/21/star/star_call.htm</vt:lpwstr>
      </vt:variant>
      <vt:variant>
        <vt:lpwstr/>
      </vt:variant>
      <vt:variant>
        <vt:i4>8126553</vt:i4>
      </vt:variant>
      <vt:variant>
        <vt:i4>4614</vt:i4>
      </vt:variant>
      <vt:variant>
        <vt:i4>0</vt:i4>
      </vt:variant>
      <vt:variant>
        <vt:i4>5</vt:i4>
      </vt:variant>
      <vt:variant>
        <vt:lpwstr>http://vbaw.vba.va.gov/bl/21/publicat/Regs/Part3/3_309.htm</vt:lpwstr>
      </vt:variant>
      <vt:variant>
        <vt:lpwstr/>
      </vt:variant>
      <vt:variant>
        <vt:i4>7471196</vt:i4>
      </vt:variant>
      <vt:variant>
        <vt:i4>4611</vt:i4>
      </vt:variant>
      <vt:variant>
        <vt:i4>0</vt:i4>
      </vt:variant>
      <vt:variant>
        <vt:i4>5</vt:i4>
      </vt:variant>
      <vt:variant>
        <vt:lpwstr>http://vbaw.vba.va.gov/bl/21/publicat/Regs/Part3/3_155.htm</vt:lpwstr>
      </vt:variant>
      <vt:variant>
        <vt:lpwstr/>
      </vt:variant>
      <vt:variant>
        <vt:i4>131151</vt:i4>
      </vt:variant>
      <vt:variant>
        <vt:i4>4608</vt:i4>
      </vt:variant>
      <vt:variant>
        <vt:i4>0</vt:i4>
      </vt:variant>
      <vt:variant>
        <vt:i4>5</vt:i4>
      </vt:variant>
      <vt:variant>
        <vt:lpwstr>http://vbaw.vba.va.gov/bl/21/advisory/CAVC/2009dec/Brokowski.pdf</vt:lpwstr>
      </vt:variant>
      <vt:variant>
        <vt:lpwstr/>
      </vt:variant>
      <vt:variant>
        <vt:i4>3932259</vt:i4>
      </vt:variant>
      <vt:variant>
        <vt:i4>4605</vt:i4>
      </vt:variant>
      <vt:variant>
        <vt:i4>0</vt:i4>
      </vt:variant>
      <vt:variant>
        <vt:i4>5</vt:i4>
      </vt:variant>
      <vt:variant>
        <vt:lpwstr>http://vbaw.vba.va.gov/bl/21/advisory/CAVC/2006dec/Criswell.doc</vt:lpwstr>
      </vt:variant>
      <vt:variant>
        <vt:lpwstr/>
      </vt:variant>
      <vt:variant>
        <vt:i4>524306</vt:i4>
      </vt:variant>
      <vt:variant>
        <vt:i4>4602</vt:i4>
      </vt:variant>
      <vt:variant>
        <vt:i4>0</vt:i4>
      </vt:variant>
      <vt:variant>
        <vt:i4>5</vt:i4>
      </vt:variant>
      <vt:variant>
        <vt:lpwstr>\\vbasdcfpc2\SHARED\VSC\Development &amp; Rating Resources\QRT Bulletin</vt:lpwstr>
      </vt:variant>
      <vt:variant>
        <vt:lpwstr/>
      </vt:variant>
      <vt:variant>
        <vt:i4>8257568</vt:i4>
      </vt:variant>
      <vt:variant>
        <vt:i4>4599</vt:i4>
      </vt:variant>
      <vt:variant>
        <vt:i4>0</vt:i4>
      </vt:variant>
      <vt:variant>
        <vt:i4>5</vt:i4>
      </vt:variant>
      <vt:variant>
        <vt:lpwstr>http://vbaw.vba.va.gov/bl/21/publicat/Letters/FL11/FL11-033.doc</vt:lpwstr>
      </vt:variant>
      <vt:variant>
        <vt:lpwstr/>
      </vt:variant>
      <vt:variant>
        <vt:i4>8323115</vt:i4>
      </vt:variant>
      <vt:variant>
        <vt:i4>4596</vt:i4>
      </vt:variant>
      <vt:variant>
        <vt:i4>0</vt:i4>
      </vt:variant>
      <vt:variant>
        <vt:i4>5</vt:i4>
      </vt:variant>
      <vt:variant>
        <vt:lpwstr>http://vbaw.vba.va.gov/bl/21/publicat/Letters/FL11/FL11-028.doc</vt:lpwstr>
      </vt:variant>
      <vt:variant>
        <vt:lpwstr/>
      </vt:variant>
      <vt:variant>
        <vt:i4>8192037</vt:i4>
      </vt:variant>
      <vt:variant>
        <vt:i4>4593</vt:i4>
      </vt:variant>
      <vt:variant>
        <vt:i4>0</vt:i4>
      </vt:variant>
      <vt:variant>
        <vt:i4>5</vt:i4>
      </vt:variant>
      <vt:variant>
        <vt:lpwstr>http://vbaw.vba.va.gov/bl/21/publicat/Letters/FL10/FL10-017.doc</vt:lpwstr>
      </vt:variant>
      <vt:variant>
        <vt:lpwstr/>
      </vt:variant>
      <vt:variant>
        <vt:i4>2162728</vt:i4>
      </vt:variant>
      <vt:variant>
        <vt:i4>4590</vt:i4>
      </vt:variant>
      <vt:variant>
        <vt:i4>0</vt:i4>
      </vt:variant>
      <vt:variant>
        <vt:i4>5</vt:i4>
      </vt:variant>
      <vt:variant>
        <vt:lpwstr>http://vbaw.vba.va.gov/BL/21/M21/content/infomap.asp?address=M21-1MRI.1.B.3</vt:lpwstr>
      </vt:variant>
      <vt:variant>
        <vt:lpwstr>M21-1MRI.1.B.3.i</vt:lpwstr>
      </vt:variant>
      <vt:variant>
        <vt:i4>2097192</vt:i4>
      </vt:variant>
      <vt:variant>
        <vt:i4>4587</vt:i4>
      </vt:variant>
      <vt:variant>
        <vt:i4>0</vt:i4>
      </vt:variant>
      <vt:variant>
        <vt:i4>5</vt:i4>
      </vt:variant>
      <vt:variant>
        <vt:lpwstr>http://vbaw.vba.va.gov/BL/21/M21/content/infomap.asp?address=M21-1MRI.1.B.3</vt:lpwstr>
      </vt:variant>
      <vt:variant>
        <vt:lpwstr>M21-1MRI.1.B.3.h</vt:lpwstr>
      </vt:variant>
      <vt:variant>
        <vt:i4>3932236</vt:i4>
      </vt:variant>
      <vt:variant>
        <vt:i4>4584</vt:i4>
      </vt:variant>
      <vt:variant>
        <vt:i4>0</vt:i4>
      </vt:variant>
      <vt:variant>
        <vt:i4>5</vt:i4>
      </vt:variant>
      <vt:variant>
        <vt:lpwstr>http://vbaw.vba.va.gov/bl/21/star/star_call.htm</vt:lpwstr>
      </vt:variant>
      <vt:variant>
        <vt:lpwstr/>
      </vt:variant>
      <vt:variant>
        <vt:i4>7602211</vt:i4>
      </vt:variant>
      <vt:variant>
        <vt:i4>4581</vt:i4>
      </vt:variant>
      <vt:variant>
        <vt:i4>0</vt:i4>
      </vt:variant>
      <vt:variant>
        <vt:i4>5</vt:i4>
      </vt:variant>
      <vt:variant>
        <vt:lpwstr>http://vbaw.vba.va.gov/bl/21/publicat/Letters/FL08/FL08-018.doc</vt:lpwstr>
      </vt:variant>
      <vt:variant>
        <vt:lpwstr/>
      </vt:variant>
      <vt:variant>
        <vt:i4>6815802</vt:i4>
      </vt:variant>
      <vt:variant>
        <vt:i4>4578</vt:i4>
      </vt:variant>
      <vt:variant>
        <vt:i4>0</vt:i4>
      </vt:variant>
      <vt:variant>
        <vt:i4>5</vt:i4>
      </vt:variant>
      <vt:variant>
        <vt:lpwstr>http://vbaw.vba.va.gov/bl/21/Advisory/DADS/2006dads/Dingess.doc</vt:lpwstr>
      </vt:variant>
      <vt:variant>
        <vt:lpwstr/>
      </vt:variant>
      <vt:variant>
        <vt:i4>8060961</vt:i4>
      </vt:variant>
      <vt:variant>
        <vt:i4>4575</vt:i4>
      </vt:variant>
      <vt:variant>
        <vt:i4>0</vt:i4>
      </vt:variant>
      <vt:variant>
        <vt:i4>5</vt:i4>
      </vt:variant>
      <vt:variant>
        <vt:lpwstr>http://vbaw.vba.va.gov/bl/21/publicat/Letters/FL06/FL06-004.doc</vt:lpwstr>
      </vt:variant>
      <vt:variant>
        <vt:lpwstr/>
      </vt:variant>
      <vt:variant>
        <vt:i4>7929889</vt:i4>
      </vt:variant>
      <vt:variant>
        <vt:i4>4572</vt:i4>
      </vt:variant>
      <vt:variant>
        <vt:i4>0</vt:i4>
      </vt:variant>
      <vt:variant>
        <vt:i4>5</vt:i4>
      </vt:variant>
      <vt:variant>
        <vt:lpwstr>http://vbaw.vba.va.gov/bl/21/publicat/Letters/FL05/FL05-017.doc</vt:lpwstr>
      </vt:variant>
      <vt:variant>
        <vt:lpwstr/>
      </vt:variant>
      <vt:variant>
        <vt:i4>4390974</vt:i4>
      </vt:variant>
      <vt:variant>
        <vt:i4>4569</vt:i4>
      </vt:variant>
      <vt:variant>
        <vt:i4>0</vt:i4>
      </vt:variant>
      <vt:variant>
        <vt:i4>5</vt:i4>
      </vt:variant>
      <vt:variant>
        <vt:lpwstr>http://10.220.1.4/bl/21/faq/FAQ_Answer.asp?ref=316</vt:lpwstr>
      </vt:variant>
      <vt:variant>
        <vt:lpwstr/>
      </vt:variant>
      <vt:variant>
        <vt:i4>7929891</vt:i4>
      </vt:variant>
      <vt:variant>
        <vt:i4>4566</vt:i4>
      </vt:variant>
      <vt:variant>
        <vt:i4>0</vt:i4>
      </vt:variant>
      <vt:variant>
        <vt:i4>5</vt:i4>
      </vt:variant>
      <vt:variant>
        <vt:lpwstr>http://vbaw.vba.va.gov/bl/21/publicat/Letters/FL04/FL04-004.doc</vt:lpwstr>
      </vt:variant>
      <vt:variant>
        <vt:lpwstr/>
      </vt:variant>
      <vt:variant>
        <vt:i4>3145743</vt:i4>
      </vt:variant>
      <vt:variant>
        <vt:i4>4563</vt:i4>
      </vt:variant>
      <vt:variant>
        <vt:i4>0</vt:i4>
      </vt:variant>
      <vt:variant>
        <vt:i4>5</vt:i4>
      </vt:variant>
      <vt:variant>
        <vt:lpwstr>http://vbacodmoint1.vba.va.gov/bl/21/faq/FAQ_Answer.asp?ref=304</vt:lpwstr>
      </vt:variant>
      <vt:variant>
        <vt:lpwstr/>
      </vt:variant>
      <vt:variant>
        <vt:i4>262216</vt:i4>
      </vt:variant>
      <vt:variant>
        <vt:i4>4560</vt:i4>
      </vt:variant>
      <vt:variant>
        <vt:i4>0</vt:i4>
      </vt:variant>
      <vt:variant>
        <vt:i4>5</vt:i4>
      </vt:variant>
      <vt:variant>
        <vt:lpwstr>http://vbaw.vba.va.gov/bl/21/calendar/agenda/FY04/Agenda0104.htm</vt:lpwstr>
      </vt:variant>
      <vt:variant>
        <vt:lpwstr/>
      </vt:variant>
      <vt:variant>
        <vt:i4>3735566</vt:i4>
      </vt:variant>
      <vt:variant>
        <vt:i4>4557</vt:i4>
      </vt:variant>
      <vt:variant>
        <vt:i4>0</vt:i4>
      </vt:variant>
      <vt:variant>
        <vt:i4>5</vt:i4>
      </vt:variant>
      <vt:variant>
        <vt:lpwstr>http://vbacodmoint1.vba.va.gov/bl/21/faq/FAQ_Answer.asp?ref=291</vt:lpwstr>
      </vt:variant>
      <vt:variant>
        <vt:lpwstr/>
      </vt:variant>
      <vt:variant>
        <vt:i4>3538958</vt:i4>
      </vt:variant>
      <vt:variant>
        <vt:i4>4554</vt:i4>
      </vt:variant>
      <vt:variant>
        <vt:i4>0</vt:i4>
      </vt:variant>
      <vt:variant>
        <vt:i4>5</vt:i4>
      </vt:variant>
      <vt:variant>
        <vt:lpwstr>http://vbacodmoint1.vba.va.gov/bl/21/faq/FAQ_Answer.asp?ref=260</vt:lpwstr>
      </vt:variant>
      <vt:variant>
        <vt:lpwstr/>
      </vt:variant>
      <vt:variant>
        <vt:i4>3670026</vt:i4>
      </vt:variant>
      <vt:variant>
        <vt:i4>4551</vt:i4>
      </vt:variant>
      <vt:variant>
        <vt:i4>0</vt:i4>
      </vt:variant>
      <vt:variant>
        <vt:i4>5</vt:i4>
      </vt:variant>
      <vt:variant>
        <vt:lpwstr>http://vbacodmoint1.vba.va.gov/bl/21/faq/FAQ_Answer.asp?ref=68</vt:lpwstr>
      </vt:variant>
      <vt:variant>
        <vt:lpwstr/>
      </vt:variant>
      <vt:variant>
        <vt:i4>3407882</vt:i4>
      </vt:variant>
      <vt:variant>
        <vt:i4>4548</vt:i4>
      </vt:variant>
      <vt:variant>
        <vt:i4>0</vt:i4>
      </vt:variant>
      <vt:variant>
        <vt:i4>5</vt:i4>
      </vt:variant>
      <vt:variant>
        <vt:lpwstr>http://vbacodmoint1.vba.va.gov/bl/21/faq/FAQ_Answer.asp?ref=64</vt:lpwstr>
      </vt:variant>
      <vt:variant>
        <vt:lpwstr/>
      </vt:variant>
      <vt:variant>
        <vt:i4>3604493</vt:i4>
      </vt:variant>
      <vt:variant>
        <vt:i4>4545</vt:i4>
      </vt:variant>
      <vt:variant>
        <vt:i4>0</vt:i4>
      </vt:variant>
      <vt:variant>
        <vt:i4>5</vt:i4>
      </vt:variant>
      <vt:variant>
        <vt:lpwstr>http://vbacodmoint1.vba.va.gov/bl/21/faq/FAQ_Answer.asp?ref=178</vt:lpwstr>
      </vt:variant>
      <vt:variant>
        <vt:lpwstr/>
      </vt:variant>
      <vt:variant>
        <vt:i4>3407881</vt:i4>
      </vt:variant>
      <vt:variant>
        <vt:i4>4542</vt:i4>
      </vt:variant>
      <vt:variant>
        <vt:i4>0</vt:i4>
      </vt:variant>
      <vt:variant>
        <vt:i4>5</vt:i4>
      </vt:variant>
      <vt:variant>
        <vt:lpwstr>http://vbacodmoint1.vba.va.gov/bl/21/faq/FAQ_Answer.asp?ref=54</vt:lpwstr>
      </vt:variant>
      <vt:variant>
        <vt:lpwstr/>
      </vt:variant>
      <vt:variant>
        <vt:i4>8126496</vt:i4>
      </vt:variant>
      <vt:variant>
        <vt:i4>4539</vt:i4>
      </vt:variant>
      <vt:variant>
        <vt:i4>0</vt:i4>
      </vt:variant>
      <vt:variant>
        <vt:i4>5</vt:i4>
      </vt:variant>
      <vt:variant>
        <vt:lpwstr>http://vbaw.vba.va.gov/bl/21/publicat/Letters/FL01/FL01-002.doc</vt:lpwstr>
      </vt:variant>
      <vt:variant>
        <vt:lpwstr/>
      </vt:variant>
      <vt:variant>
        <vt:i4>4784220</vt:i4>
      </vt:variant>
      <vt:variant>
        <vt:i4>4536</vt:i4>
      </vt:variant>
      <vt:variant>
        <vt:i4>0</vt:i4>
      </vt:variant>
      <vt:variant>
        <vt:i4>5</vt:i4>
      </vt:variant>
      <vt:variant>
        <vt:lpwstr>http://vbaw.vba.va.gov/bl/21/Advisory/DADS/2001dads/Woods98-2095.doc</vt:lpwstr>
      </vt:variant>
      <vt:variant>
        <vt:lpwstr/>
      </vt:variant>
      <vt:variant>
        <vt:i4>3342390</vt:i4>
      </vt:variant>
      <vt:variant>
        <vt:i4>4533</vt:i4>
      </vt:variant>
      <vt:variant>
        <vt:i4>0</vt:i4>
      </vt:variant>
      <vt:variant>
        <vt:i4>5</vt:i4>
      </vt:variant>
      <vt:variant>
        <vt:lpwstr>http://vbaw.vba.va.gov/BL/21/M21/content/infomap.asp?address=M21-1MRI.1.C.6</vt:lpwstr>
      </vt:variant>
      <vt:variant>
        <vt:lpwstr/>
      </vt:variant>
      <vt:variant>
        <vt:i4>7536752</vt:i4>
      </vt:variant>
      <vt:variant>
        <vt:i4>4530</vt:i4>
      </vt:variant>
      <vt:variant>
        <vt:i4>0</vt:i4>
      </vt:variant>
      <vt:variant>
        <vt:i4>5</vt:i4>
      </vt:variant>
      <vt:variant>
        <vt:lpwstr>http://vbaw.vba.va.gov/BL/21/M21/content/infomap.asp?address=M21-1MRIV.ii.2.A.2</vt:lpwstr>
      </vt:variant>
      <vt:variant>
        <vt:lpwstr>M21-1MRIV.ii.2.A.2.b</vt:lpwstr>
      </vt:variant>
      <vt:variant>
        <vt:i4>2359395</vt:i4>
      </vt:variant>
      <vt:variant>
        <vt:i4>4527</vt:i4>
      </vt:variant>
      <vt:variant>
        <vt:i4>0</vt:i4>
      </vt:variant>
      <vt:variant>
        <vt:i4>5</vt:i4>
      </vt:variant>
      <vt:variant>
        <vt:lpwstr>http://vbaw.vba.va.gov/BL/21/M21/content/infomap.asp?address=M21-1MRIII.iii.2.I.59</vt:lpwstr>
      </vt:variant>
      <vt:variant>
        <vt:lpwstr/>
      </vt:variant>
      <vt:variant>
        <vt:i4>2818152</vt:i4>
      </vt:variant>
      <vt:variant>
        <vt:i4>4524</vt:i4>
      </vt:variant>
      <vt:variant>
        <vt:i4>0</vt:i4>
      </vt:variant>
      <vt:variant>
        <vt:i4>5</vt:i4>
      </vt:variant>
      <vt:variant>
        <vt:lpwstr>http://vbaw.vba.va.gov/BL/21/M21/content/infomap.asp?address=M21-1MRIII.iii.2.E.26</vt:lpwstr>
      </vt:variant>
      <vt:variant>
        <vt:lpwstr/>
      </vt:variant>
      <vt:variant>
        <vt:i4>1376272</vt:i4>
      </vt:variant>
      <vt:variant>
        <vt:i4>4521</vt:i4>
      </vt:variant>
      <vt:variant>
        <vt:i4>0</vt:i4>
      </vt:variant>
      <vt:variant>
        <vt:i4>5</vt:i4>
      </vt:variant>
      <vt:variant>
        <vt:lpwstr>http://vbaw.vba.va.gov/BL/21/M21/content/contents.asp?address=M21-1MRIII.iii.2.A</vt:lpwstr>
      </vt:variant>
      <vt:variant>
        <vt:lpwstr/>
      </vt:variant>
      <vt:variant>
        <vt:i4>131137</vt:i4>
      </vt:variant>
      <vt:variant>
        <vt:i4>4518</vt:i4>
      </vt:variant>
      <vt:variant>
        <vt:i4>0</vt:i4>
      </vt:variant>
      <vt:variant>
        <vt:i4>5</vt:i4>
      </vt:variant>
      <vt:variant>
        <vt:lpwstr>http://vbaw.vba.va.gov/BL/21/M21/content/infomap.asp?address=M21-1MRIV.ii.2.A.1.d</vt:lpwstr>
      </vt:variant>
      <vt:variant>
        <vt:lpwstr/>
      </vt:variant>
      <vt:variant>
        <vt:i4>131137</vt:i4>
      </vt:variant>
      <vt:variant>
        <vt:i4>4515</vt:i4>
      </vt:variant>
      <vt:variant>
        <vt:i4>0</vt:i4>
      </vt:variant>
      <vt:variant>
        <vt:i4>5</vt:i4>
      </vt:variant>
      <vt:variant>
        <vt:lpwstr>http://vbaw.vba.va.gov/BL/21/M21/content/infomap.asp?address=M21-1MRIV.ii.2.A.1.c</vt:lpwstr>
      </vt:variant>
      <vt:variant>
        <vt:lpwstr/>
      </vt:variant>
      <vt:variant>
        <vt:i4>7864443</vt:i4>
      </vt:variant>
      <vt:variant>
        <vt:i4>4512</vt:i4>
      </vt:variant>
      <vt:variant>
        <vt:i4>0</vt:i4>
      </vt:variant>
      <vt:variant>
        <vt:i4>5</vt:i4>
      </vt:variant>
      <vt:variant>
        <vt:lpwstr>http://vbaw.vba.va.gov/BL/21/M21/content/infomap.asp?address=M21-1MRIII.ii.2.E.21.c</vt:lpwstr>
      </vt:variant>
      <vt:variant>
        <vt:lpwstr/>
      </vt:variant>
      <vt:variant>
        <vt:i4>2687017</vt:i4>
      </vt:variant>
      <vt:variant>
        <vt:i4>4509</vt:i4>
      </vt:variant>
      <vt:variant>
        <vt:i4>0</vt:i4>
      </vt:variant>
      <vt:variant>
        <vt:i4>5</vt:i4>
      </vt:variant>
      <vt:variant>
        <vt:lpwstr>http://vbaw.vba.va.gov/BL/21/M21/content/infomap.asp?address=M21-1MRI.1.C.5</vt:lpwstr>
      </vt:variant>
      <vt:variant>
        <vt:lpwstr>M21-1MRI.1.C.5.f</vt:lpwstr>
      </vt:variant>
      <vt:variant>
        <vt:i4>2687017</vt:i4>
      </vt:variant>
      <vt:variant>
        <vt:i4>4506</vt:i4>
      </vt:variant>
      <vt:variant>
        <vt:i4>0</vt:i4>
      </vt:variant>
      <vt:variant>
        <vt:i4>5</vt:i4>
      </vt:variant>
      <vt:variant>
        <vt:lpwstr>http://vbaw.vba.va.gov/BL/21/M21/content/infomap.asp?address=M21-1MRI.1.C.5</vt:lpwstr>
      </vt:variant>
      <vt:variant>
        <vt:lpwstr>M21-1MRI.1.C.5.f</vt:lpwstr>
      </vt:variant>
      <vt:variant>
        <vt:i4>3342390</vt:i4>
      </vt:variant>
      <vt:variant>
        <vt:i4>4503</vt:i4>
      </vt:variant>
      <vt:variant>
        <vt:i4>0</vt:i4>
      </vt:variant>
      <vt:variant>
        <vt:i4>5</vt:i4>
      </vt:variant>
      <vt:variant>
        <vt:lpwstr>http://vbaw.vba.va.gov/BL/21/M21/content/infomap.asp?address=M21-1MRI.1.C.5</vt:lpwstr>
      </vt:variant>
      <vt:variant>
        <vt:lpwstr/>
      </vt:variant>
      <vt:variant>
        <vt:i4>3342388</vt:i4>
      </vt:variant>
      <vt:variant>
        <vt:i4>4500</vt:i4>
      </vt:variant>
      <vt:variant>
        <vt:i4>0</vt:i4>
      </vt:variant>
      <vt:variant>
        <vt:i4>5</vt:i4>
      </vt:variant>
      <vt:variant>
        <vt:lpwstr>http://vbaw.vba.va.gov/BL/21/M21/content/infomap.asp?address=M21-1MRI.1.A.2</vt:lpwstr>
      </vt:variant>
      <vt:variant>
        <vt:lpwstr/>
      </vt:variant>
      <vt:variant>
        <vt:i4>2097192</vt:i4>
      </vt:variant>
      <vt:variant>
        <vt:i4>4497</vt:i4>
      </vt:variant>
      <vt:variant>
        <vt:i4>0</vt:i4>
      </vt:variant>
      <vt:variant>
        <vt:i4>5</vt:i4>
      </vt:variant>
      <vt:variant>
        <vt:lpwstr>http://vbaw.vba.va.gov/BL/21/M21/content/infomap.asp?address=M21-1MRI.1.B.3</vt:lpwstr>
      </vt:variant>
      <vt:variant>
        <vt:lpwstr>M21-1MRI.1.B.3.h</vt:lpwstr>
      </vt:variant>
      <vt:variant>
        <vt:i4>1966096</vt:i4>
      </vt:variant>
      <vt:variant>
        <vt:i4>4494</vt:i4>
      </vt:variant>
      <vt:variant>
        <vt:i4>0</vt:i4>
      </vt:variant>
      <vt:variant>
        <vt:i4>5</vt:i4>
      </vt:variant>
      <vt:variant>
        <vt:lpwstr>http://vbaw.vba.va.gov/BL/21/M21/content/contents.asp?address=M21-1MRI.1</vt:lpwstr>
      </vt:variant>
      <vt:variant>
        <vt:lpwstr/>
      </vt:variant>
      <vt:variant>
        <vt:i4>8257628</vt:i4>
      </vt:variant>
      <vt:variant>
        <vt:i4>4491</vt:i4>
      </vt:variant>
      <vt:variant>
        <vt:i4>0</vt:i4>
      </vt:variant>
      <vt:variant>
        <vt:i4>5</vt:i4>
      </vt:variant>
      <vt:variant>
        <vt:lpwstr>http://vbaw.vba.va.gov/bl/21/publicat/Regs/Part3/3_159.htm</vt:lpwstr>
      </vt:variant>
      <vt:variant>
        <vt:lpwstr/>
      </vt:variant>
      <vt:variant>
        <vt:i4>3014702</vt:i4>
      </vt:variant>
      <vt:variant>
        <vt:i4>4488</vt:i4>
      </vt:variant>
      <vt:variant>
        <vt:i4>0</vt:i4>
      </vt:variant>
      <vt:variant>
        <vt:i4>5</vt:i4>
      </vt:variant>
      <vt:variant>
        <vt:lpwstr>http://vbaw.vba.va.gov/BL/21/M21/content/infomap.asp?address=M21-1MRIII.iv.6.C.11</vt:lpwstr>
      </vt:variant>
      <vt:variant>
        <vt:lpwstr>M21-1MRIII.iv.6.C.11.b</vt:lpwstr>
      </vt:variant>
      <vt:variant>
        <vt:i4>4718666</vt:i4>
      </vt:variant>
      <vt:variant>
        <vt:i4>4485</vt:i4>
      </vt:variant>
      <vt:variant>
        <vt:i4>0</vt:i4>
      </vt:variant>
      <vt:variant>
        <vt:i4>5</vt:i4>
      </vt:variant>
      <vt:variant>
        <vt:lpwstr>http://vbaw.vba.va.gov/BL/21/M21/content/infomap.asp?address=M21-1MRIII.iv.6.C.10</vt:lpwstr>
      </vt:variant>
      <vt:variant>
        <vt:lpwstr/>
      </vt:variant>
      <vt:variant>
        <vt:i4>7536739</vt:i4>
      </vt:variant>
      <vt:variant>
        <vt:i4>4482</vt:i4>
      </vt:variant>
      <vt:variant>
        <vt:i4>0</vt:i4>
      </vt:variant>
      <vt:variant>
        <vt:i4>5</vt:i4>
      </vt:variant>
      <vt:variant>
        <vt:lpwstr>http://vbaw.vba.va.gov/bl/21/M21-1MR/index.asp?id=pt09_sp02_ch02.xml</vt:lpwstr>
      </vt:variant>
      <vt:variant>
        <vt:lpwstr>IX.ii.2.3</vt:lpwstr>
      </vt:variant>
      <vt:variant>
        <vt:i4>7602257</vt:i4>
      </vt:variant>
      <vt:variant>
        <vt:i4>4479</vt:i4>
      </vt:variant>
      <vt:variant>
        <vt:i4>0</vt:i4>
      </vt:variant>
      <vt:variant>
        <vt:i4>5</vt:i4>
      </vt:variant>
      <vt:variant>
        <vt:lpwstr>http://vbaw.vba.va.gov/bl/21/publicat/Regs/Part3/3_381.htm</vt:lpwstr>
      </vt:variant>
      <vt:variant>
        <vt:lpwstr/>
      </vt:variant>
      <vt:variant>
        <vt:i4>7143514</vt:i4>
      </vt:variant>
      <vt:variant>
        <vt:i4>4476</vt:i4>
      </vt:variant>
      <vt:variant>
        <vt:i4>0</vt:i4>
      </vt:variant>
      <vt:variant>
        <vt:i4>5</vt:i4>
      </vt:variant>
      <vt:variant>
        <vt:lpwstr>http://vbaw.vba.va.gov/bl/21/M21-1MR/index.asp?id=pt03_sp05_ch07_secB.xml</vt:lpwstr>
      </vt:variant>
      <vt:variant>
        <vt:lpwstr>III.v.7.B</vt:lpwstr>
      </vt:variant>
      <vt:variant>
        <vt:i4>262261</vt:i4>
      </vt:variant>
      <vt:variant>
        <vt:i4>4473</vt:i4>
      </vt:variant>
      <vt:variant>
        <vt:i4>0</vt:i4>
      </vt:variant>
      <vt:variant>
        <vt:i4>5</vt:i4>
      </vt:variant>
      <vt:variant>
        <vt:lpwstr>http://vbaw.vba.va.gov/bl/21/M21-1MR/index.asp?id=pt03_sp02_ch02_secB.xml</vt:lpwstr>
      </vt:variant>
      <vt:variant>
        <vt:lpwstr>iii.II.2.b.6.c</vt:lpwstr>
      </vt:variant>
      <vt:variant>
        <vt:i4>3407955</vt:i4>
      </vt:variant>
      <vt:variant>
        <vt:i4>4470</vt:i4>
      </vt:variant>
      <vt:variant>
        <vt:i4>0</vt:i4>
      </vt:variant>
      <vt:variant>
        <vt:i4>5</vt:i4>
      </vt:variant>
      <vt:variant>
        <vt:lpwstr>http://vbaw.vba.va.gov/bl/21/M21-1MR/index.asp?id=pt04_sp02_ch01_secA.xml</vt:lpwstr>
      </vt:variant>
      <vt:variant>
        <vt:lpwstr>IV.ii.1.A.2.c</vt:lpwstr>
      </vt:variant>
      <vt:variant>
        <vt:i4>7995486</vt:i4>
      </vt:variant>
      <vt:variant>
        <vt:i4>4467</vt:i4>
      </vt:variant>
      <vt:variant>
        <vt:i4>0</vt:i4>
      </vt:variant>
      <vt:variant>
        <vt:i4>5</vt:i4>
      </vt:variant>
      <vt:variant>
        <vt:lpwstr>http://vbaw.vba.va.gov/bl/21/M21-1MR/index.asp?id=pt03_sp04_ch04_secA.xml</vt:lpwstr>
      </vt:variant>
      <vt:variant>
        <vt:lpwstr>III.iv.4.A.7</vt:lpwstr>
      </vt:variant>
      <vt:variant>
        <vt:i4>1638482</vt:i4>
      </vt:variant>
      <vt:variant>
        <vt:i4>4464</vt:i4>
      </vt:variant>
      <vt:variant>
        <vt:i4>0</vt:i4>
      </vt:variant>
      <vt:variant>
        <vt:i4>5</vt:i4>
      </vt:variant>
      <vt:variant>
        <vt:lpwstr>http://en.wikipedia.org/wiki/Mandible</vt:lpwstr>
      </vt:variant>
      <vt:variant>
        <vt:lpwstr/>
      </vt:variant>
      <vt:variant>
        <vt:i4>458833</vt:i4>
      </vt:variant>
      <vt:variant>
        <vt:i4>4461</vt:i4>
      </vt:variant>
      <vt:variant>
        <vt:i4>0</vt:i4>
      </vt:variant>
      <vt:variant>
        <vt:i4>5</vt:i4>
      </vt:variant>
      <vt:variant>
        <vt:lpwstr>http://en.wikipedia.org/wiki/Maxilla</vt:lpwstr>
      </vt:variant>
      <vt:variant>
        <vt:lpwstr/>
      </vt:variant>
      <vt:variant>
        <vt:i4>4849744</vt:i4>
      </vt:variant>
      <vt:variant>
        <vt:i4>4458</vt:i4>
      </vt:variant>
      <vt:variant>
        <vt:i4>0</vt:i4>
      </vt:variant>
      <vt:variant>
        <vt:i4>5</vt:i4>
      </vt:variant>
      <vt:variant>
        <vt:lpwstr>http://cptraining.vba.va.gov/C&amp;P_Training/RVSR/RVSR_Curriculum/SG/Dental-SG.doc</vt:lpwstr>
      </vt:variant>
      <vt:variant>
        <vt:lpwstr/>
      </vt:variant>
      <vt:variant>
        <vt:i4>4259859</vt:i4>
      </vt:variant>
      <vt:variant>
        <vt:i4>4455</vt:i4>
      </vt:variant>
      <vt:variant>
        <vt:i4>0</vt:i4>
      </vt:variant>
      <vt:variant>
        <vt:i4>5</vt:i4>
      </vt:variant>
      <vt:variant>
        <vt:lpwstr>http://epss.vba.va.gov/mepss/</vt:lpwstr>
      </vt:variant>
      <vt:variant>
        <vt:lpwstr/>
      </vt:variant>
      <vt:variant>
        <vt:i4>8323112</vt:i4>
      </vt:variant>
      <vt:variant>
        <vt:i4>4452</vt:i4>
      </vt:variant>
      <vt:variant>
        <vt:i4>0</vt:i4>
      </vt:variant>
      <vt:variant>
        <vt:i4>5</vt:i4>
      </vt:variant>
      <vt:variant>
        <vt:lpwstr>http://vbaw.vba.va.gov/bl/21/publicat/Letters/FL12/FL12-018.doc</vt:lpwstr>
      </vt:variant>
      <vt:variant>
        <vt:lpwstr/>
      </vt:variant>
      <vt:variant>
        <vt:i4>7864352</vt:i4>
      </vt:variant>
      <vt:variant>
        <vt:i4>4449</vt:i4>
      </vt:variant>
      <vt:variant>
        <vt:i4>0</vt:i4>
      </vt:variant>
      <vt:variant>
        <vt:i4>5</vt:i4>
      </vt:variant>
      <vt:variant>
        <vt:lpwstr>http://vbaw.vba.va.gov/bl/21/publicat/Letters/FL10/FL10-042.doc</vt:lpwstr>
      </vt:variant>
      <vt:variant>
        <vt:lpwstr/>
      </vt:variant>
      <vt:variant>
        <vt:i4>1900654</vt:i4>
      </vt:variant>
      <vt:variant>
        <vt:i4>4446</vt:i4>
      </vt:variant>
      <vt:variant>
        <vt:i4>0</vt:i4>
      </vt:variant>
      <vt:variant>
        <vt:i4>5</vt:i4>
      </vt:variant>
      <vt:variant>
        <vt:lpwstr>http://vbaw.vba.va.gov/bl/21/publicat/Regs/Part4/4_45.htm</vt:lpwstr>
      </vt:variant>
      <vt:variant>
        <vt:lpwstr/>
      </vt:variant>
      <vt:variant>
        <vt:i4>1900651</vt:i4>
      </vt:variant>
      <vt:variant>
        <vt:i4>4443</vt:i4>
      </vt:variant>
      <vt:variant>
        <vt:i4>0</vt:i4>
      </vt:variant>
      <vt:variant>
        <vt:i4>5</vt:i4>
      </vt:variant>
      <vt:variant>
        <vt:lpwstr>http://vbaw.vba.va.gov/bl/21/publicat/Regs/Part4/4_40.htm</vt:lpwstr>
      </vt:variant>
      <vt:variant>
        <vt:lpwstr/>
      </vt:variant>
      <vt:variant>
        <vt:i4>6684734</vt:i4>
      </vt:variant>
      <vt:variant>
        <vt:i4>4440</vt:i4>
      </vt:variant>
      <vt:variant>
        <vt:i4>0</vt:i4>
      </vt:variant>
      <vt:variant>
        <vt:i4>5</vt:i4>
      </vt:variant>
      <vt:variant>
        <vt:lpwstr>http://vbaw.vba.va.gov/bl/21/calendar/agenda/FY09/0409.doc</vt:lpwstr>
      </vt:variant>
      <vt:variant>
        <vt:lpwstr/>
      </vt:variant>
      <vt:variant>
        <vt:i4>3670030</vt:i4>
      </vt:variant>
      <vt:variant>
        <vt:i4>4437</vt:i4>
      </vt:variant>
      <vt:variant>
        <vt:i4>0</vt:i4>
      </vt:variant>
      <vt:variant>
        <vt:i4>5</vt:i4>
      </vt:variant>
      <vt:variant>
        <vt:lpwstr>http://vbacodmoint1.vba.va.gov/bl/21/faq/FAQ_Answer.asp?ref=284</vt:lpwstr>
      </vt:variant>
      <vt:variant>
        <vt:lpwstr/>
      </vt:variant>
      <vt:variant>
        <vt:i4>3670030</vt:i4>
      </vt:variant>
      <vt:variant>
        <vt:i4>4434</vt:i4>
      </vt:variant>
      <vt:variant>
        <vt:i4>0</vt:i4>
      </vt:variant>
      <vt:variant>
        <vt:i4>5</vt:i4>
      </vt:variant>
      <vt:variant>
        <vt:lpwstr>http://vbacodmoint1.vba.va.gov/bl/21/faq/FAQ_Answer.asp?ref=280</vt:lpwstr>
      </vt:variant>
      <vt:variant>
        <vt:lpwstr/>
      </vt:variant>
      <vt:variant>
        <vt:i4>786449</vt:i4>
      </vt:variant>
      <vt:variant>
        <vt:i4>4431</vt:i4>
      </vt:variant>
      <vt:variant>
        <vt:i4>0</vt:i4>
      </vt:variant>
      <vt:variant>
        <vt:i4>5</vt:i4>
      </vt:variant>
      <vt:variant>
        <vt:lpwstr>http://vbaw.vba.va.gov/BL/21/M21/content/infomap.asp?address=M21-1MRIX.ii.2.3</vt:lpwstr>
      </vt:variant>
      <vt:variant>
        <vt:lpwstr/>
      </vt:variant>
      <vt:variant>
        <vt:i4>786449</vt:i4>
      </vt:variant>
      <vt:variant>
        <vt:i4>4428</vt:i4>
      </vt:variant>
      <vt:variant>
        <vt:i4>0</vt:i4>
      </vt:variant>
      <vt:variant>
        <vt:i4>5</vt:i4>
      </vt:variant>
      <vt:variant>
        <vt:lpwstr>http://vbaw.vba.va.gov/BL/21/M21/content/infomap.asp?address=M21-1MRIX.ii.2.2</vt:lpwstr>
      </vt:variant>
      <vt:variant>
        <vt:lpwstr/>
      </vt:variant>
      <vt:variant>
        <vt:i4>7405683</vt:i4>
      </vt:variant>
      <vt:variant>
        <vt:i4>4425</vt:i4>
      </vt:variant>
      <vt:variant>
        <vt:i4>0</vt:i4>
      </vt:variant>
      <vt:variant>
        <vt:i4>5</vt:i4>
      </vt:variant>
      <vt:variant>
        <vt:lpwstr>http://vbaw.vba.va.gov/BL/21/M21/content/infomap.asp?address=M21-1MRIV.ii.1.A.2</vt:lpwstr>
      </vt:variant>
      <vt:variant>
        <vt:lpwstr>M21-1MRIV.ii.1.A.2.c</vt:lpwstr>
      </vt:variant>
      <vt:variant>
        <vt:i4>4390942</vt:i4>
      </vt:variant>
      <vt:variant>
        <vt:i4>4422</vt:i4>
      </vt:variant>
      <vt:variant>
        <vt:i4>0</vt:i4>
      </vt:variant>
      <vt:variant>
        <vt:i4>5</vt:i4>
      </vt:variant>
      <vt:variant>
        <vt:lpwstr>http://vbaw.vba.va.gov/BL/21/M21/content/infomap.asp?address=M21-1MRIII.v.7.C.17</vt:lpwstr>
      </vt:variant>
      <vt:variant>
        <vt:lpwstr/>
      </vt:variant>
      <vt:variant>
        <vt:i4>5898316</vt:i4>
      </vt:variant>
      <vt:variant>
        <vt:i4>4419</vt:i4>
      </vt:variant>
      <vt:variant>
        <vt:i4>0</vt:i4>
      </vt:variant>
      <vt:variant>
        <vt:i4>5</vt:i4>
      </vt:variant>
      <vt:variant>
        <vt:lpwstr>http://vbaw.vba.va.gov/BL/21/M21/content/infomap.asp?address=M21-1MRIII.v.7.B</vt:lpwstr>
      </vt:variant>
      <vt:variant>
        <vt:lpwstr/>
      </vt:variant>
      <vt:variant>
        <vt:i4>5111837</vt:i4>
      </vt:variant>
      <vt:variant>
        <vt:i4>4416</vt:i4>
      </vt:variant>
      <vt:variant>
        <vt:i4>0</vt:i4>
      </vt:variant>
      <vt:variant>
        <vt:i4>5</vt:i4>
      </vt:variant>
      <vt:variant>
        <vt:lpwstr>http://vbaw.vba.va.gov/BL/21/M21/content/infomap.asp?address=M21-1MRIII.ii.2.B.6</vt:lpwstr>
      </vt:variant>
      <vt:variant>
        <vt:lpwstr>M21-1MRIII.ii.2.B.6.c</vt:lpwstr>
      </vt:variant>
      <vt:variant>
        <vt:i4>7602257</vt:i4>
      </vt:variant>
      <vt:variant>
        <vt:i4>4413</vt:i4>
      </vt:variant>
      <vt:variant>
        <vt:i4>0</vt:i4>
      </vt:variant>
      <vt:variant>
        <vt:i4>5</vt:i4>
      </vt:variant>
      <vt:variant>
        <vt:lpwstr>http://vbaw.vba.va.gov/bl/21/publicat/Regs/Part3/3_381.htm</vt:lpwstr>
      </vt:variant>
      <vt:variant>
        <vt:lpwstr/>
      </vt:variant>
      <vt:variant>
        <vt:i4>7143550</vt:i4>
      </vt:variant>
      <vt:variant>
        <vt:i4>4410</vt:i4>
      </vt:variant>
      <vt:variant>
        <vt:i4>0</vt:i4>
      </vt:variant>
      <vt:variant>
        <vt:i4>5</vt:i4>
      </vt:variant>
      <vt:variant>
        <vt:lpwstr>http://vbaw.vba.va.gov/bl/21/M21-1MR/index.asp?id=pt03_sp03_ch07.xml</vt:lpwstr>
      </vt:variant>
      <vt:variant>
        <vt:lpwstr/>
      </vt:variant>
      <vt:variant>
        <vt:i4>4653112</vt:i4>
      </vt:variant>
      <vt:variant>
        <vt:i4>4407</vt:i4>
      </vt:variant>
      <vt:variant>
        <vt:i4>0</vt:i4>
      </vt:variant>
      <vt:variant>
        <vt:i4>5</vt:i4>
      </vt:variant>
      <vt:variant>
        <vt:lpwstr>http://10.220.1.4/bl/21/faq/FAQ_Answer.asp?ref=372</vt:lpwstr>
      </vt:variant>
      <vt:variant>
        <vt:lpwstr/>
      </vt:variant>
      <vt:variant>
        <vt:i4>1638480</vt:i4>
      </vt:variant>
      <vt:variant>
        <vt:i4>4404</vt:i4>
      </vt:variant>
      <vt:variant>
        <vt:i4>0</vt:i4>
      </vt:variant>
      <vt:variant>
        <vt:i4>5</vt:i4>
      </vt:variant>
      <vt:variant>
        <vt:lpwstr>http://vbaw.vba.va.gov/bl/21/M21-1MR/index.asp?id=pt04_sp03_ch02.xml</vt:lpwstr>
      </vt:variant>
      <vt:variant>
        <vt:lpwstr>IV.iii.2.2</vt:lpwstr>
      </vt:variant>
      <vt:variant>
        <vt:i4>5374062</vt:i4>
      </vt:variant>
      <vt:variant>
        <vt:i4>4401</vt:i4>
      </vt:variant>
      <vt:variant>
        <vt:i4>0</vt:i4>
      </vt:variant>
      <vt:variant>
        <vt:i4>5</vt:i4>
      </vt:variant>
      <vt:variant>
        <vt:lpwstr>http://vbaw.vba.va.gov/bl/21/M21-1MR/index.asp?id=pt03_sp04_ch03_secA.xml</vt:lpwstr>
      </vt:variant>
      <vt:variant>
        <vt:lpwstr>III.iv.3.A.10.b</vt:lpwstr>
      </vt:variant>
      <vt:variant>
        <vt:i4>7733337</vt:i4>
      </vt:variant>
      <vt:variant>
        <vt:i4>4398</vt:i4>
      </vt:variant>
      <vt:variant>
        <vt:i4>0</vt:i4>
      </vt:variant>
      <vt:variant>
        <vt:i4>5</vt:i4>
      </vt:variant>
      <vt:variant>
        <vt:lpwstr>http://vbaw.vba.va.gov/bl/21/publicat/Regs/Part3/3_404.htm</vt:lpwstr>
      </vt:variant>
      <vt:variant>
        <vt:lpwstr/>
      </vt:variant>
      <vt:variant>
        <vt:i4>7340121</vt:i4>
      </vt:variant>
      <vt:variant>
        <vt:i4>4395</vt:i4>
      </vt:variant>
      <vt:variant>
        <vt:i4>0</vt:i4>
      </vt:variant>
      <vt:variant>
        <vt:i4>5</vt:i4>
      </vt:variant>
      <vt:variant>
        <vt:lpwstr>http://vbaw.vba.va.gov/bl/21/publicat/Regs/Part3/3_402.htm</vt:lpwstr>
      </vt:variant>
      <vt:variant>
        <vt:lpwstr/>
      </vt:variant>
      <vt:variant>
        <vt:i4>7536729</vt:i4>
      </vt:variant>
      <vt:variant>
        <vt:i4>4392</vt:i4>
      </vt:variant>
      <vt:variant>
        <vt:i4>0</vt:i4>
      </vt:variant>
      <vt:variant>
        <vt:i4>5</vt:i4>
      </vt:variant>
      <vt:variant>
        <vt:lpwstr>http://vbaw.vba.va.gov/bl/21/publicat/Regs/Part3/3_401.htm</vt:lpwstr>
      </vt:variant>
      <vt:variant>
        <vt:lpwstr/>
      </vt:variant>
      <vt:variant>
        <vt:i4>7602268</vt:i4>
      </vt:variant>
      <vt:variant>
        <vt:i4>4389</vt:i4>
      </vt:variant>
      <vt:variant>
        <vt:i4>0</vt:i4>
      </vt:variant>
      <vt:variant>
        <vt:i4>5</vt:i4>
      </vt:variant>
      <vt:variant>
        <vt:lpwstr>http://vbaw.vba.va.gov/bl/21/publicat/Regs/Part3/3_351.htm</vt:lpwstr>
      </vt:variant>
      <vt:variant>
        <vt:lpwstr/>
      </vt:variant>
      <vt:variant>
        <vt:i4>1900549</vt:i4>
      </vt:variant>
      <vt:variant>
        <vt:i4>4386</vt:i4>
      </vt:variant>
      <vt:variant>
        <vt:i4>0</vt:i4>
      </vt:variant>
      <vt:variant>
        <vt:i4>5</vt:i4>
      </vt:variant>
      <vt:variant>
        <vt:lpwstr>http://vbaw.vba.va.gov/bl/21/publicat/Manuals/Part1/appb.htm</vt:lpwstr>
      </vt:variant>
      <vt:variant>
        <vt:lpwstr/>
      </vt:variant>
      <vt:variant>
        <vt:i4>1966085</vt:i4>
      </vt:variant>
      <vt:variant>
        <vt:i4>4383</vt:i4>
      </vt:variant>
      <vt:variant>
        <vt:i4>0</vt:i4>
      </vt:variant>
      <vt:variant>
        <vt:i4>5</vt:i4>
      </vt:variant>
      <vt:variant>
        <vt:lpwstr>http://vbaw.vba.va.gov/bl/21/publicat/Manuals/Part1/appa.htm</vt:lpwstr>
      </vt:variant>
      <vt:variant>
        <vt:lpwstr/>
      </vt:variant>
      <vt:variant>
        <vt:i4>6619194</vt:i4>
      </vt:variant>
      <vt:variant>
        <vt:i4>4380</vt:i4>
      </vt:variant>
      <vt:variant>
        <vt:i4>0</vt:i4>
      </vt:variant>
      <vt:variant>
        <vt:i4>5</vt:i4>
      </vt:variant>
      <vt:variant>
        <vt:lpwstr>http://vbaw.vba.va.gov/bl/21/publicat/Manuals/Part1/</vt:lpwstr>
      </vt:variant>
      <vt:variant>
        <vt:lpwstr>Top</vt:lpwstr>
      </vt:variant>
      <vt:variant>
        <vt:i4>6619194</vt:i4>
      </vt:variant>
      <vt:variant>
        <vt:i4>4377</vt:i4>
      </vt:variant>
      <vt:variant>
        <vt:i4>0</vt:i4>
      </vt:variant>
      <vt:variant>
        <vt:i4>5</vt:i4>
      </vt:variant>
      <vt:variant>
        <vt:lpwstr>http://vbaw.vba.va.gov/bl/21/publicat/Manuals/Part1/</vt:lpwstr>
      </vt:variant>
      <vt:variant>
        <vt:lpwstr>Top</vt:lpwstr>
      </vt:variant>
      <vt:variant>
        <vt:i4>6619194</vt:i4>
      </vt:variant>
      <vt:variant>
        <vt:i4>4374</vt:i4>
      </vt:variant>
      <vt:variant>
        <vt:i4>0</vt:i4>
      </vt:variant>
      <vt:variant>
        <vt:i4>5</vt:i4>
      </vt:variant>
      <vt:variant>
        <vt:lpwstr>http://vbaw.vba.va.gov/bl/21/publicat/Manuals/Part1/</vt:lpwstr>
      </vt:variant>
      <vt:variant>
        <vt:lpwstr>Top</vt:lpwstr>
      </vt:variant>
      <vt:variant>
        <vt:i4>7667746</vt:i4>
      </vt:variant>
      <vt:variant>
        <vt:i4>4371</vt:i4>
      </vt:variant>
      <vt:variant>
        <vt:i4>0</vt:i4>
      </vt:variant>
      <vt:variant>
        <vt:i4>5</vt:i4>
      </vt:variant>
      <vt:variant>
        <vt:lpwstr>http://vbaw.vba.va.gov/bl/21/publicat/letters/FL08/FL08-009.doc</vt:lpwstr>
      </vt:variant>
      <vt:variant>
        <vt:lpwstr/>
      </vt:variant>
      <vt:variant>
        <vt:i4>5374062</vt:i4>
      </vt:variant>
      <vt:variant>
        <vt:i4>4368</vt:i4>
      </vt:variant>
      <vt:variant>
        <vt:i4>0</vt:i4>
      </vt:variant>
      <vt:variant>
        <vt:i4>5</vt:i4>
      </vt:variant>
      <vt:variant>
        <vt:lpwstr>http://vbaw.vba.va.gov/bl/21/M21-1MR/index.asp?id=pt03_sp04_ch03_secA.xml</vt:lpwstr>
      </vt:variant>
      <vt:variant>
        <vt:lpwstr>III.iv.3.A.10.b</vt:lpwstr>
      </vt:variant>
      <vt:variant>
        <vt:i4>7798876</vt:i4>
      </vt:variant>
      <vt:variant>
        <vt:i4>4365</vt:i4>
      </vt:variant>
      <vt:variant>
        <vt:i4>0</vt:i4>
      </vt:variant>
      <vt:variant>
        <vt:i4>5</vt:i4>
      </vt:variant>
      <vt:variant>
        <vt:lpwstr>http://vbaw.vba.va.gov/bl/21/publicat/Regs/Part3/3_352.htm</vt:lpwstr>
      </vt:variant>
      <vt:variant>
        <vt:lpwstr/>
      </vt:variant>
      <vt:variant>
        <vt:i4>6815797</vt:i4>
      </vt:variant>
      <vt:variant>
        <vt:i4>4362</vt:i4>
      </vt:variant>
      <vt:variant>
        <vt:i4>0</vt:i4>
      </vt:variant>
      <vt:variant>
        <vt:i4>5</vt:i4>
      </vt:variant>
      <vt:variant>
        <vt:lpwstr>http://vbaw.vba.va.gov/bl/21/calendar/agenda/FY13/0113.doc</vt:lpwstr>
      </vt:variant>
      <vt:variant>
        <vt:lpwstr/>
      </vt:variant>
      <vt:variant>
        <vt:i4>6946871</vt:i4>
      </vt:variant>
      <vt:variant>
        <vt:i4>4359</vt:i4>
      </vt:variant>
      <vt:variant>
        <vt:i4>0</vt:i4>
      </vt:variant>
      <vt:variant>
        <vt:i4>5</vt:i4>
      </vt:variant>
      <vt:variant>
        <vt:lpwstr>http://vbaw.vba.va.gov/bl/21/calendar/agenda/FY11/0111.doc</vt:lpwstr>
      </vt:variant>
      <vt:variant>
        <vt:lpwstr/>
      </vt:variant>
      <vt:variant>
        <vt:i4>6160451</vt:i4>
      </vt:variant>
      <vt:variant>
        <vt:i4>4356</vt:i4>
      </vt:variant>
      <vt:variant>
        <vt:i4>0</vt:i4>
      </vt:variant>
      <vt:variant>
        <vt:i4>5</vt:i4>
      </vt:variant>
      <vt:variant>
        <vt:lpwstr>http://vbaw.vba.va.gov/bl/21/Systems/docs/Bradley.doc</vt:lpwstr>
      </vt:variant>
      <vt:variant>
        <vt:lpwstr/>
      </vt:variant>
      <vt:variant>
        <vt:i4>7798825</vt:i4>
      </vt:variant>
      <vt:variant>
        <vt:i4>4353</vt:i4>
      </vt:variant>
      <vt:variant>
        <vt:i4>0</vt:i4>
      </vt:variant>
      <vt:variant>
        <vt:i4>5</vt:i4>
      </vt:variant>
      <vt:variant>
        <vt:lpwstr>http://vbaw.vba.va.gov/bl/21/publicat/Letters/FL09/FL09-033.doc</vt:lpwstr>
      </vt:variant>
      <vt:variant>
        <vt:lpwstr/>
      </vt:variant>
      <vt:variant>
        <vt:i4>6684734</vt:i4>
      </vt:variant>
      <vt:variant>
        <vt:i4>4350</vt:i4>
      </vt:variant>
      <vt:variant>
        <vt:i4>0</vt:i4>
      </vt:variant>
      <vt:variant>
        <vt:i4>5</vt:i4>
      </vt:variant>
      <vt:variant>
        <vt:lpwstr>http://vbaw.vba.va.gov/bl/21/advisory/DADS/2008dads/Bradley.doc</vt:lpwstr>
      </vt:variant>
      <vt:variant>
        <vt:lpwstr/>
      </vt:variant>
      <vt:variant>
        <vt:i4>5242883</vt:i4>
      </vt:variant>
      <vt:variant>
        <vt:i4>4343</vt:i4>
      </vt:variant>
      <vt:variant>
        <vt:i4>0</vt:i4>
      </vt:variant>
      <vt:variant>
        <vt:i4>5</vt:i4>
      </vt:variant>
      <vt:variant>
        <vt:lpwstr>http://vbaw.vba.va.gov/BL/21/M21/content/infomap.asp?address=M21-1MRIII.iv.6.B.3</vt:lpwstr>
      </vt:variant>
      <vt:variant>
        <vt:lpwstr>M21-1MRIII.iv.6.B.3.d</vt:lpwstr>
      </vt:variant>
      <vt:variant>
        <vt:i4>1638515</vt:i4>
      </vt:variant>
      <vt:variant>
        <vt:i4>4341</vt:i4>
      </vt:variant>
      <vt:variant>
        <vt:i4>0</vt:i4>
      </vt:variant>
      <vt:variant>
        <vt:i4>5</vt:i4>
      </vt:variant>
      <vt:variant>
        <vt:lpwstr>http://vbaw.vba.va.gov/bl/21/M21-1MR/index.asp?id=pt03_sp04_ch06_secB.xml</vt:lpwstr>
      </vt:variant>
      <vt:variant>
        <vt:lpwstr>III.iv.6.B.3.d</vt:lpwstr>
      </vt:variant>
      <vt:variant>
        <vt:i4>5242883</vt:i4>
      </vt:variant>
      <vt:variant>
        <vt:i4>4339</vt:i4>
      </vt:variant>
      <vt:variant>
        <vt:i4>0</vt:i4>
      </vt:variant>
      <vt:variant>
        <vt:i4>5</vt:i4>
      </vt:variant>
      <vt:variant>
        <vt:lpwstr>http://vbaw.vba.va.gov/BL/21/M21/content/infomap.asp?address=M21-1MRIII.iv.6.B.3</vt:lpwstr>
      </vt:variant>
      <vt:variant>
        <vt:lpwstr>M21-1MRIII.iv.6.B.3.d</vt:lpwstr>
      </vt:variant>
      <vt:variant>
        <vt:i4>1638515</vt:i4>
      </vt:variant>
      <vt:variant>
        <vt:i4>4337</vt:i4>
      </vt:variant>
      <vt:variant>
        <vt:i4>0</vt:i4>
      </vt:variant>
      <vt:variant>
        <vt:i4>5</vt:i4>
      </vt:variant>
      <vt:variant>
        <vt:lpwstr>http://vbaw.vba.va.gov/bl/21/M21-1MR/index.asp?id=pt03_sp04_ch06_secB.xml</vt:lpwstr>
      </vt:variant>
      <vt:variant>
        <vt:lpwstr>III.iv.6.B.3.d</vt:lpwstr>
      </vt:variant>
      <vt:variant>
        <vt:i4>5242883</vt:i4>
      </vt:variant>
      <vt:variant>
        <vt:i4>4335</vt:i4>
      </vt:variant>
      <vt:variant>
        <vt:i4>0</vt:i4>
      </vt:variant>
      <vt:variant>
        <vt:i4>5</vt:i4>
      </vt:variant>
      <vt:variant>
        <vt:lpwstr>http://vbaw.vba.va.gov/BL/21/M21/content/infomap.asp?address=M21-1MRIII.iv.6.B.3</vt:lpwstr>
      </vt:variant>
      <vt:variant>
        <vt:lpwstr>M21-1MRIII.iv.6.B.3.d</vt:lpwstr>
      </vt:variant>
      <vt:variant>
        <vt:i4>4194359</vt:i4>
      </vt:variant>
      <vt:variant>
        <vt:i4>4332</vt:i4>
      </vt:variant>
      <vt:variant>
        <vt:i4>0</vt:i4>
      </vt:variant>
      <vt:variant>
        <vt:i4>5</vt:i4>
      </vt:variant>
      <vt:variant>
        <vt:lpwstr>http://10.220.1.4/bl/21/faq/FAQ_Answer.asp?ref=187</vt:lpwstr>
      </vt:variant>
      <vt:variant>
        <vt:lpwstr/>
      </vt:variant>
      <vt:variant>
        <vt:i4>5111864</vt:i4>
      </vt:variant>
      <vt:variant>
        <vt:i4>4329</vt:i4>
      </vt:variant>
      <vt:variant>
        <vt:i4>0</vt:i4>
      </vt:variant>
      <vt:variant>
        <vt:i4>5</vt:i4>
      </vt:variant>
      <vt:variant>
        <vt:lpwstr>http://10.220.1.4/bl/21/faq/FAQ_Answer.asp?ref=179</vt:lpwstr>
      </vt:variant>
      <vt:variant>
        <vt:lpwstr/>
      </vt:variant>
      <vt:variant>
        <vt:i4>7667746</vt:i4>
      </vt:variant>
      <vt:variant>
        <vt:i4>4326</vt:i4>
      </vt:variant>
      <vt:variant>
        <vt:i4>0</vt:i4>
      </vt:variant>
      <vt:variant>
        <vt:i4>5</vt:i4>
      </vt:variant>
      <vt:variant>
        <vt:lpwstr>http://vbaw.vba.va.gov/bl/21/publicat/letters/FL08/FL08-009.doc</vt:lpwstr>
      </vt:variant>
      <vt:variant>
        <vt:lpwstr/>
      </vt:variant>
      <vt:variant>
        <vt:i4>5177464</vt:i4>
      </vt:variant>
      <vt:variant>
        <vt:i4>4323</vt:i4>
      </vt:variant>
      <vt:variant>
        <vt:i4>0</vt:i4>
      </vt:variant>
      <vt:variant>
        <vt:i4>5</vt:i4>
      </vt:variant>
      <vt:variant>
        <vt:lpwstr>http://vbaw.vba.va.gov/bl/21/M21-1MR/index.asp?id=pt04_sp02_ch02_secH.xml</vt:lpwstr>
      </vt:variant>
      <vt:variant>
        <vt:lpwstr>IV.ii.2.H.44.b</vt:lpwstr>
      </vt:variant>
      <vt:variant>
        <vt:i4>4522040</vt:i4>
      </vt:variant>
      <vt:variant>
        <vt:i4>4320</vt:i4>
      </vt:variant>
      <vt:variant>
        <vt:i4>0</vt:i4>
      </vt:variant>
      <vt:variant>
        <vt:i4>5</vt:i4>
      </vt:variant>
      <vt:variant>
        <vt:lpwstr>http://10.220.1.4/bl/21/faq/FAQ_Answer.asp?ref=271</vt:lpwstr>
      </vt:variant>
      <vt:variant>
        <vt:lpwstr/>
      </vt:variant>
      <vt:variant>
        <vt:i4>7798799</vt:i4>
      </vt:variant>
      <vt:variant>
        <vt:i4>4317</vt:i4>
      </vt:variant>
      <vt:variant>
        <vt:i4>0</vt:i4>
      </vt:variant>
      <vt:variant>
        <vt:i4>5</vt:i4>
      </vt:variant>
      <vt:variant>
        <vt:lpwstr>http://10.220.1.4/bl/21/faq/FAQ_Answer.asp?ref=10</vt:lpwstr>
      </vt:variant>
      <vt:variant>
        <vt:lpwstr/>
      </vt:variant>
      <vt:variant>
        <vt:i4>2097244</vt:i4>
      </vt:variant>
      <vt:variant>
        <vt:i4>4314</vt:i4>
      </vt:variant>
      <vt:variant>
        <vt:i4>0</vt:i4>
      </vt:variant>
      <vt:variant>
        <vt:i4>5</vt:i4>
      </vt:variant>
      <vt:variant>
        <vt:lpwstr>http://vbaw.vba.va.gov/bl/21/publicat/Regs/Part4/4_71a.htm</vt:lpwstr>
      </vt:variant>
      <vt:variant>
        <vt:lpwstr>5111</vt:lpwstr>
      </vt:variant>
      <vt:variant>
        <vt:i4>2687069</vt:i4>
      </vt:variant>
      <vt:variant>
        <vt:i4>4311</vt:i4>
      </vt:variant>
      <vt:variant>
        <vt:i4>0</vt:i4>
      </vt:variant>
      <vt:variant>
        <vt:i4>5</vt:i4>
      </vt:variant>
      <vt:variant>
        <vt:lpwstr>http://vbaw.vba.va.gov/bl/21/publicat/Regs/Part4/4_71a.htm</vt:lpwstr>
      </vt:variant>
      <vt:variant>
        <vt:lpwstr>5108</vt:lpwstr>
      </vt:variant>
      <vt:variant>
        <vt:i4>2359389</vt:i4>
      </vt:variant>
      <vt:variant>
        <vt:i4>4308</vt:i4>
      </vt:variant>
      <vt:variant>
        <vt:i4>0</vt:i4>
      </vt:variant>
      <vt:variant>
        <vt:i4>5</vt:i4>
      </vt:variant>
      <vt:variant>
        <vt:lpwstr>http://vbaw.vba.va.gov/bl/21/publicat/Regs/Part4/4_71a.htm</vt:lpwstr>
      </vt:variant>
      <vt:variant>
        <vt:lpwstr>5105</vt:lpwstr>
      </vt:variant>
      <vt:variant>
        <vt:i4>2424925</vt:i4>
      </vt:variant>
      <vt:variant>
        <vt:i4>4305</vt:i4>
      </vt:variant>
      <vt:variant>
        <vt:i4>0</vt:i4>
      </vt:variant>
      <vt:variant>
        <vt:i4>5</vt:i4>
      </vt:variant>
      <vt:variant>
        <vt:lpwstr>http://vbaw.vba.va.gov/bl/21/publicat/Regs/Part4/4_71a.htm</vt:lpwstr>
      </vt:variant>
      <vt:variant>
        <vt:lpwstr>5104</vt:lpwstr>
      </vt:variant>
      <vt:variant>
        <vt:i4>2162780</vt:i4>
      </vt:variant>
      <vt:variant>
        <vt:i4>4302</vt:i4>
      </vt:variant>
      <vt:variant>
        <vt:i4>0</vt:i4>
      </vt:variant>
      <vt:variant>
        <vt:i4>5</vt:i4>
      </vt:variant>
      <vt:variant>
        <vt:lpwstr>http://vbaw.vba.va.gov/bl/21/publicat/Regs/Part4/4_71a.htm</vt:lpwstr>
      </vt:variant>
      <vt:variant>
        <vt:lpwstr>5110</vt:lpwstr>
      </vt:variant>
      <vt:variant>
        <vt:i4>2490461</vt:i4>
      </vt:variant>
      <vt:variant>
        <vt:i4>4299</vt:i4>
      </vt:variant>
      <vt:variant>
        <vt:i4>0</vt:i4>
      </vt:variant>
      <vt:variant>
        <vt:i4>5</vt:i4>
      </vt:variant>
      <vt:variant>
        <vt:lpwstr>http://vbaw.vba.va.gov/bl/21/publicat/Regs/Part4/4_71a.htm</vt:lpwstr>
      </vt:variant>
      <vt:variant>
        <vt:lpwstr>5107</vt:lpwstr>
      </vt:variant>
      <vt:variant>
        <vt:i4>7471193</vt:i4>
      </vt:variant>
      <vt:variant>
        <vt:i4>4296</vt:i4>
      </vt:variant>
      <vt:variant>
        <vt:i4>0</vt:i4>
      </vt:variant>
      <vt:variant>
        <vt:i4>5</vt:i4>
      </vt:variant>
      <vt:variant>
        <vt:lpwstr>http://vbaw.vba.va.gov/bl/21/publicat/Regs/Part3/3_400.htm</vt:lpwstr>
      </vt:variant>
      <vt:variant>
        <vt:lpwstr/>
      </vt:variant>
      <vt:variant>
        <vt:i4>7471193</vt:i4>
      </vt:variant>
      <vt:variant>
        <vt:i4>4293</vt:i4>
      </vt:variant>
      <vt:variant>
        <vt:i4>0</vt:i4>
      </vt:variant>
      <vt:variant>
        <vt:i4>5</vt:i4>
      </vt:variant>
      <vt:variant>
        <vt:lpwstr>http://vbaw.vba.va.gov/bl/21/publicat/Regs/Part3/3_105.htm</vt:lpwstr>
      </vt:variant>
      <vt:variant>
        <vt:lpwstr/>
      </vt:variant>
      <vt:variant>
        <vt:i4>4194370</vt:i4>
      </vt:variant>
      <vt:variant>
        <vt:i4>4290</vt:i4>
      </vt:variant>
      <vt:variant>
        <vt:i4>0</vt:i4>
      </vt:variant>
      <vt:variant>
        <vt:i4>5</vt:i4>
      </vt:variant>
      <vt:variant>
        <vt:lpwstr>http://vbaw.vba.gov.bl/21/publicat/Letters/FL09/FL09-025.doc</vt:lpwstr>
      </vt:variant>
      <vt:variant>
        <vt:lpwstr/>
      </vt:variant>
      <vt:variant>
        <vt:i4>4325433</vt:i4>
      </vt:variant>
      <vt:variant>
        <vt:i4>4287</vt:i4>
      </vt:variant>
      <vt:variant>
        <vt:i4>0</vt:i4>
      </vt:variant>
      <vt:variant>
        <vt:i4>5</vt:i4>
      </vt:variant>
      <vt:variant>
        <vt:lpwstr>http://10.220.1.4/bl/21/faq/FAQ_Answer.asp?ref=266</vt:lpwstr>
      </vt:variant>
      <vt:variant>
        <vt:lpwstr/>
      </vt:variant>
      <vt:variant>
        <vt:i4>7471193</vt:i4>
      </vt:variant>
      <vt:variant>
        <vt:i4>4284</vt:i4>
      </vt:variant>
      <vt:variant>
        <vt:i4>0</vt:i4>
      </vt:variant>
      <vt:variant>
        <vt:i4>5</vt:i4>
      </vt:variant>
      <vt:variant>
        <vt:lpwstr>http://vbaw.vba.va.gov/bl/21/publicat/Regs/Part3/3_400.htm</vt:lpwstr>
      </vt:variant>
      <vt:variant>
        <vt:lpwstr/>
      </vt:variant>
      <vt:variant>
        <vt:i4>7471193</vt:i4>
      </vt:variant>
      <vt:variant>
        <vt:i4>4281</vt:i4>
      </vt:variant>
      <vt:variant>
        <vt:i4>0</vt:i4>
      </vt:variant>
      <vt:variant>
        <vt:i4>5</vt:i4>
      </vt:variant>
      <vt:variant>
        <vt:lpwstr>http://vbaw.vba.va.gov/bl/21/publicat/Regs/Part3/3_105.htm</vt:lpwstr>
      </vt:variant>
      <vt:variant>
        <vt:lpwstr/>
      </vt:variant>
      <vt:variant>
        <vt:i4>4194370</vt:i4>
      </vt:variant>
      <vt:variant>
        <vt:i4>4278</vt:i4>
      </vt:variant>
      <vt:variant>
        <vt:i4>0</vt:i4>
      </vt:variant>
      <vt:variant>
        <vt:i4>5</vt:i4>
      </vt:variant>
      <vt:variant>
        <vt:lpwstr>http://vbaw.vba.gov.bl/21/publicat/Letters/FL09/FL09-025.doc</vt:lpwstr>
      </vt:variant>
      <vt:variant>
        <vt:lpwstr/>
      </vt:variant>
      <vt:variant>
        <vt:i4>4390971</vt:i4>
      </vt:variant>
      <vt:variant>
        <vt:i4>4275</vt:i4>
      </vt:variant>
      <vt:variant>
        <vt:i4>0</vt:i4>
      </vt:variant>
      <vt:variant>
        <vt:i4>5</vt:i4>
      </vt:variant>
      <vt:variant>
        <vt:lpwstr>http://10.220.1.4/bl/21/faq/FAQ_Answer.asp?ref=247</vt:lpwstr>
      </vt:variant>
      <vt:variant>
        <vt:lpwstr/>
      </vt:variant>
      <vt:variant>
        <vt:i4>1572941</vt:i4>
      </vt:variant>
      <vt:variant>
        <vt:i4>4272</vt:i4>
      </vt:variant>
      <vt:variant>
        <vt:i4>0</vt:i4>
      </vt:variant>
      <vt:variant>
        <vt:i4>5</vt:i4>
      </vt:variant>
      <vt:variant>
        <vt:lpwstr>http://vbaw.vba.va.gov/BL/21/M21/content/infomap.asp?address=M21-1MRIV.ii.2.H.44</vt:lpwstr>
      </vt:variant>
      <vt:variant>
        <vt:lpwstr/>
      </vt:variant>
      <vt:variant>
        <vt:i4>5242883</vt:i4>
      </vt:variant>
      <vt:variant>
        <vt:i4>4266</vt:i4>
      </vt:variant>
      <vt:variant>
        <vt:i4>0</vt:i4>
      </vt:variant>
      <vt:variant>
        <vt:i4>5</vt:i4>
      </vt:variant>
      <vt:variant>
        <vt:lpwstr>http://vbaw.vba.va.gov/BL/21/M21/content/infomap.asp?address=M21-1MRIII.iv.6.B.3</vt:lpwstr>
      </vt:variant>
      <vt:variant>
        <vt:lpwstr>M21-1MRIII.iv.6.B.3.d</vt:lpwstr>
      </vt:variant>
      <vt:variant>
        <vt:i4>1638515</vt:i4>
      </vt:variant>
      <vt:variant>
        <vt:i4>4264</vt:i4>
      </vt:variant>
      <vt:variant>
        <vt:i4>0</vt:i4>
      </vt:variant>
      <vt:variant>
        <vt:i4>5</vt:i4>
      </vt:variant>
      <vt:variant>
        <vt:lpwstr>http://vbaw.vba.va.gov/bl/21/M21-1MR/index.asp?id=pt03_sp04_ch06_secB.xml</vt:lpwstr>
      </vt:variant>
      <vt:variant>
        <vt:lpwstr>III.iv.6.B.3.d</vt:lpwstr>
      </vt:variant>
      <vt:variant>
        <vt:i4>5242883</vt:i4>
      </vt:variant>
      <vt:variant>
        <vt:i4>4262</vt:i4>
      </vt:variant>
      <vt:variant>
        <vt:i4>0</vt:i4>
      </vt:variant>
      <vt:variant>
        <vt:i4>5</vt:i4>
      </vt:variant>
      <vt:variant>
        <vt:lpwstr>http://vbaw.vba.va.gov/BL/21/M21/content/infomap.asp?address=M21-1MRIII.iv.6.B.3</vt:lpwstr>
      </vt:variant>
      <vt:variant>
        <vt:lpwstr>M21-1MRIII.iv.6.B.3.d</vt:lpwstr>
      </vt:variant>
      <vt:variant>
        <vt:i4>1638515</vt:i4>
      </vt:variant>
      <vt:variant>
        <vt:i4>4260</vt:i4>
      </vt:variant>
      <vt:variant>
        <vt:i4>0</vt:i4>
      </vt:variant>
      <vt:variant>
        <vt:i4>5</vt:i4>
      </vt:variant>
      <vt:variant>
        <vt:lpwstr>http://vbaw.vba.va.gov/bl/21/M21-1MR/index.asp?id=pt03_sp04_ch06_secB.xml</vt:lpwstr>
      </vt:variant>
      <vt:variant>
        <vt:lpwstr>III.iv.6.B.3.d</vt:lpwstr>
      </vt:variant>
      <vt:variant>
        <vt:i4>4915274</vt:i4>
      </vt:variant>
      <vt:variant>
        <vt:i4>4257</vt:i4>
      </vt:variant>
      <vt:variant>
        <vt:i4>0</vt:i4>
      </vt:variant>
      <vt:variant>
        <vt:i4>5</vt:i4>
      </vt:variant>
      <vt:variant>
        <vt:lpwstr>http://vbaw.vba.va.gov/BL/21/M21/content/infomap.asp?address=M21-1MRIII.iv.6.B.3</vt:lpwstr>
      </vt:variant>
      <vt:variant>
        <vt:lpwstr/>
      </vt:variant>
      <vt:variant>
        <vt:i4>5177418</vt:i4>
      </vt:variant>
      <vt:variant>
        <vt:i4>4254</vt:i4>
      </vt:variant>
      <vt:variant>
        <vt:i4>0</vt:i4>
      </vt:variant>
      <vt:variant>
        <vt:i4>5</vt:i4>
      </vt:variant>
      <vt:variant>
        <vt:lpwstr>http://vbaw.vba.va.gov/BL/21/M21/content/infomap.asp?address=M21-1MRIII.iv.3.A.10</vt:lpwstr>
      </vt:variant>
      <vt:variant>
        <vt:lpwstr/>
      </vt:variant>
      <vt:variant>
        <vt:i4>2031727</vt:i4>
      </vt:variant>
      <vt:variant>
        <vt:i4>4251</vt:i4>
      </vt:variant>
      <vt:variant>
        <vt:i4>0</vt:i4>
      </vt:variant>
      <vt:variant>
        <vt:i4>5</vt:i4>
      </vt:variant>
      <vt:variant>
        <vt:lpwstr>http://vbaw.vba.va.gov/bl/21/publicat/Regs/Part4/4_64.htm</vt:lpwstr>
      </vt:variant>
      <vt:variant>
        <vt:lpwstr/>
      </vt:variant>
      <vt:variant>
        <vt:i4>2031720</vt:i4>
      </vt:variant>
      <vt:variant>
        <vt:i4>4248</vt:i4>
      </vt:variant>
      <vt:variant>
        <vt:i4>0</vt:i4>
      </vt:variant>
      <vt:variant>
        <vt:i4>5</vt:i4>
      </vt:variant>
      <vt:variant>
        <vt:lpwstr>http://vbaw.vba.va.gov/bl/21/publicat/Regs/Part4/4_63.htm</vt:lpwstr>
      </vt:variant>
      <vt:variant>
        <vt:lpwstr/>
      </vt:variant>
      <vt:variant>
        <vt:i4>7536729</vt:i4>
      </vt:variant>
      <vt:variant>
        <vt:i4>4245</vt:i4>
      </vt:variant>
      <vt:variant>
        <vt:i4>0</vt:i4>
      </vt:variant>
      <vt:variant>
        <vt:i4>5</vt:i4>
      </vt:variant>
      <vt:variant>
        <vt:lpwstr>http://vbaw.vba.va.gov/bl/21/publicat/Regs/Part3/3_401.htm</vt:lpwstr>
      </vt:variant>
      <vt:variant>
        <vt:lpwstr/>
      </vt:variant>
      <vt:variant>
        <vt:i4>1769570</vt:i4>
      </vt:variant>
      <vt:variant>
        <vt:i4>4242</vt:i4>
      </vt:variant>
      <vt:variant>
        <vt:i4>0</vt:i4>
      </vt:variant>
      <vt:variant>
        <vt:i4>5</vt:i4>
      </vt:variant>
      <vt:variant>
        <vt:lpwstr>http://vbaw.vba.va.gov/bl/21/publicat/Regs/Part3/3_29.htm</vt:lpwstr>
      </vt:variant>
      <vt:variant>
        <vt:lpwstr/>
      </vt:variant>
      <vt:variant>
        <vt:i4>131089</vt:i4>
      </vt:variant>
      <vt:variant>
        <vt:i4>4239</vt:i4>
      </vt:variant>
      <vt:variant>
        <vt:i4>0</vt:i4>
      </vt:variant>
      <vt:variant>
        <vt:i4>5</vt:i4>
      </vt:variant>
      <vt:variant>
        <vt:lpwstr>http://vbaw.vba.va.gov/BL/21/M21/content/infomap.asp?address=M21-1MRIV.ii.2.I</vt:lpwstr>
      </vt:variant>
      <vt:variant>
        <vt:lpwstr/>
      </vt:variant>
      <vt:variant>
        <vt:i4>7667804</vt:i4>
      </vt:variant>
      <vt:variant>
        <vt:i4>4236</vt:i4>
      </vt:variant>
      <vt:variant>
        <vt:i4>0</vt:i4>
      </vt:variant>
      <vt:variant>
        <vt:i4>5</vt:i4>
      </vt:variant>
      <vt:variant>
        <vt:lpwstr>http://vbaw.vba.va.gov/bl/21/publicat/Regs/Part3/3_350.htm</vt:lpwstr>
      </vt:variant>
      <vt:variant>
        <vt:lpwstr/>
      </vt:variant>
      <vt:variant>
        <vt:i4>5373971</vt:i4>
      </vt:variant>
      <vt:variant>
        <vt:i4>4233</vt:i4>
      </vt:variant>
      <vt:variant>
        <vt:i4>0</vt:i4>
      </vt:variant>
      <vt:variant>
        <vt:i4>5</vt:i4>
      </vt:variant>
      <vt:variant>
        <vt:lpwstr>\\vbasdcnss1\Instructor Folder\DRO &amp; RVSR References and Resources Tool</vt:lpwstr>
      </vt:variant>
      <vt:variant>
        <vt:lpwstr/>
      </vt:variant>
      <vt:variant>
        <vt:i4>7864358</vt:i4>
      </vt:variant>
      <vt:variant>
        <vt:i4>4230</vt:i4>
      </vt:variant>
      <vt:variant>
        <vt:i4>0</vt:i4>
      </vt:variant>
      <vt:variant>
        <vt:i4>5</vt:i4>
      </vt:variant>
      <vt:variant>
        <vt:lpwstr>http://vbaw.vba.va.gov/bl/21/publicat/Letters/FL10/FL10-044.doc</vt:lpwstr>
      </vt:variant>
      <vt:variant>
        <vt:lpwstr/>
      </vt:variant>
      <vt:variant>
        <vt:i4>262154</vt:i4>
      </vt:variant>
      <vt:variant>
        <vt:i4>4227</vt:i4>
      </vt:variant>
      <vt:variant>
        <vt:i4>0</vt:i4>
      </vt:variant>
      <vt:variant>
        <vt:i4>5</vt:i4>
      </vt:variant>
      <vt:variant>
        <vt:lpwstr/>
      </vt:variant>
      <vt:variant>
        <vt:lpwstr>ExamGuide</vt:lpwstr>
      </vt:variant>
      <vt:variant>
        <vt:i4>7143477</vt:i4>
      </vt:variant>
      <vt:variant>
        <vt:i4>4224</vt:i4>
      </vt:variant>
      <vt:variant>
        <vt:i4>0</vt:i4>
      </vt:variant>
      <vt:variant>
        <vt:i4>5</vt:i4>
      </vt:variant>
      <vt:variant>
        <vt:lpwstr>http://vbaw.vba.va.gov/bl/21/calendar/agenda/FY13/0413.doc</vt:lpwstr>
      </vt:variant>
      <vt:variant>
        <vt:lpwstr/>
      </vt:variant>
      <vt:variant>
        <vt:i4>6815863</vt:i4>
      </vt:variant>
      <vt:variant>
        <vt:i4>4221</vt:i4>
      </vt:variant>
      <vt:variant>
        <vt:i4>0</vt:i4>
      </vt:variant>
      <vt:variant>
        <vt:i4>5</vt:i4>
      </vt:variant>
      <vt:variant>
        <vt:lpwstr>http://www.law.cornell.edu/uscode/text/38/2101</vt:lpwstr>
      </vt:variant>
      <vt:variant>
        <vt:lpwstr/>
      </vt:variant>
      <vt:variant>
        <vt:i4>2621450</vt:i4>
      </vt:variant>
      <vt:variant>
        <vt:i4>4218</vt:i4>
      </vt:variant>
      <vt:variant>
        <vt:i4>0</vt:i4>
      </vt:variant>
      <vt:variant>
        <vt:i4>5</vt:i4>
      </vt:variant>
      <vt:variant>
        <vt:lpwstr>http://vbaw.vba.va.gov/bl/21/publicat/Regs/Part3/3_809A.htm</vt:lpwstr>
      </vt:variant>
      <vt:variant>
        <vt:lpwstr/>
      </vt:variant>
      <vt:variant>
        <vt:i4>5963887</vt:i4>
      </vt:variant>
      <vt:variant>
        <vt:i4>4215</vt:i4>
      </vt:variant>
      <vt:variant>
        <vt:i4>0</vt:i4>
      </vt:variant>
      <vt:variant>
        <vt:i4>5</vt:i4>
      </vt:variant>
      <vt:variant>
        <vt:lpwstr>http://thomas.loc.gov/cgi-bin/bdquery/L?d112:./list/bd/d112pl.lst:151%5b1-207%5d(Public_Laws)|TOM:/bss/d112query.html|</vt:lpwstr>
      </vt:variant>
      <vt:variant>
        <vt:lpwstr/>
      </vt:variant>
      <vt:variant>
        <vt:i4>6946869</vt:i4>
      </vt:variant>
      <vt:variant>
        <vt:i4>4212</vt:i4>
      </vt:variant>
      <vt:variant>
        <vt:i4>0</vt:i4>
      </vt:variant>
      <vt:variant>
        <vt:i4>5</vt:i4>
      </vt:variant>
      <vt:variant>
        <vt:lpwstr>http://vbaw.vba.va.gov/bl/21/calendar/agenda/FY12/1212.doc</vt:lpwstr>
      </vt:variant>
      <vt:variant>
        <vt:lpwstr/>
      </vt:variant>
      <vt:variant>
        <vt:i4>8192037</vt:i4>
      </vt:variant>
      <vt:variant>
        <vt:i4>4209</vt:i4>
      </vt:variant>
      <vt:variant>
        <vt:i4>0</vt:i4>
      </vt:variant>
      <vt:variant>
        <vt:i4>5</vt:i4>
      </vt:variant>
      <vt:variant>
        <vt:lpwstr>http://vbaw.vba.va.gov/bl/21/publicat/Letters/FL11/FL11-006.doc</vt:lpwstr>
      </vt:variant>
      <vt:variant>
        <vt:lpwstr/>
      </vt:variant>
      <vt:variant>
        <vt:i4>8192038</vt:i4>
      </vt:variant>
      <vt:variant>
        <vt:i4>4206</vt:i4>
      </vt:variant>
      <vt:variant>
        <vt:i4>0</vt:i4>
      </vt:variant>
      <vt:variant>
        <vt:i4>5</vt:i4>
      </vt:variant>
      <vt:variant>
        <vt:lpwstr>http://vbaw.vba.va.gov/bl/21/publicat/Letters/FL11/FL11-005.doc</vt:lpwstr>
      </vt:variant>
      <vt:variant>
        <vt:lpwstr/>
      </vt:variant>
      <vt:variant>
        <vt:i4>7340091</vt:i4>
      </vt:variant>
      <vt:variant>
        <vt:i4>4203</vt:i4>
      </vt:variant>
      <vt:variant>
        <vt:i4>0</vt:i4>
      </vt:variant>
      <vt:variant>
        <vt:i4>5</vt:i4>
      </vt:variant>
      <vt:variant>
        <vt:lpwstr>http://vbaw.vba.va.gov/bl/21/M21-1MR/index.asp?id=pt09_sp01_ch03.xml</vt:lpwstr>
      </vt:variant>
      <vt:variant>
        <vt:lpwstr>IX.i.3.1</vt:lpwstr>
      </vt:variant>
      <vt:variant>
        <vt:i4>5242883</vt:i4>
      </vt:variant>
      <vt:variant>
        <vt:i4>4197</vt:i4>
      </vt:variant>
      <vt:variant>
        <vt:i4>0</vt:i4>
      </vt:variant>
      <vt:variant>
        <vt:i4>5</vt:i4>
      </vt:variant>
      <vt:variant>
        <vt:lpwstr>http://vbaw.vba.va.gov/BL/21/M21/content/infomap.asp?address=M21-1MRIII.iv.6.B.3</vt:lpwstr>
      </vt:variant>
      <vt:variant>
        <vt:lpwstr>M21-1MRIII.iv.6.B.3.d</vt:lpwstr>
      </vt:variant>
      <vt:variant>
        <vt:i4>1638515</vt:i4>
      </vt:variant>
      <vt:variant>
        <vt:i4>4195</vt:i4>
      </vt:variant>
      <vt:variant>
        <vt:i4>0</vt:i4>
      </vt:variant>
      <vt:variant>
        <vt:i4>5</vt:i4>
      </vt:variant>
      <vt:variant>
        <vt:lpwstr>http://vbaw.vba.va.gov/bl/21/M21-1MR/index.asp?id=pt03_sp04_ch06_secB.xml</vt:lpwstr>
      </vt:variant>
      <vt:variant>
        <vt:lpwstr>III.iv.6.B.3.d</vt:lpwstr>
      </vt:variant>
      <vt:variant>
        <vt:i4>5242883</vt:i4>
      </vt:variant>
      <vt:variant>
        <vt:i4>4193</vt:i4>
      </vt:variant>
      <vt:variant>
        <vt:i4>0</vt:i4>
      </vt:variant>
      <vt:variant>
        <vt:i4>5</vt:i4>
      </vt:variant>
      <vt:variant>
        <vt:lpwstr>http://vbaw.vba.va.gov/BL/21/M21/content/infomap.asp?address=M21-1MRIII.iv.6.B.3</vt:lpwstr>
      </vt:variant>
      <vt:variant>
        <vt:lpwstr>M21-1MRIII.iv.6.B.3.d</vt:lpwstr>
      </vt:variant>
      <vt:variant>
        <vt:i4>1638515</vt:i4>
      </vt:variant>
      <vt:variant>
        <vt:i4>4191</vt:i4>
      </vt:variant>
      <vt:variant>
        <vt:i4>0</vt:i4>
      </vt:variant>
      <vt:variant>
        <vt:i4>5</vt:i4>
      </vt:variant>
      <vt:variant>
        <vt:lpwstr>http://vbaw.vba.va.gov/bl/21/M21-1MR/index.asp?id=pt03_sp04_ch06_secB.xml</vt:lpwstr>
      </vt:variant>
      <vt:variant>
        <vt:lpwstr>III.iv.6.B.3.d</vt:lpwstr>
      </vt:variant>
      <vt:variant>
        <vt:i4>7798873</vt:i4>
      </vt:variant>
      <vt:variant>
        <vt:i4>4188</vt:i4>
      </vt:variant>
      <vt:variant>
        <vt:i4>0</vt:i4>
      </vt:variant>
      <vt:variant>
        <vt:i4>5</vt:i4>
      </vt:variant>
      <vt:variant>
        <vt:lpwstr>http://vbaw.vba.va.gov/bl/21/publicat/Regs/Part3/3_809.htm</vt:lpwstr>
      </vt:variant>
      <vt:variant>
        <vt:lpwstr/>
      </vt:variant>
      <vt:variant>
        <vt:i4>7798873</vt:i4>
      </vt:variant>
      <vt:variant>
        <vt:i4>4185</vt:i4>
      </vt:variant>
      <vt:variant>
        <vt:i4>0</vt:i4>
      </vt:variant>
      <vt:variant>
        <vt:i4>5</vt:i4>
      </vt:variant>
      <vt:variant>
        <vt:lpwstr>http://vbaw.vba.va.gov/bl/21/publicat/Regs/Part3/3_809.htm</vt:lpwstr>
      </vt:variant>
      <vt:variant>
        <vt:lpwstr/>
      </vt:variant>
      <vt:variant>
        <vt:i4>6815863</vt:i4>
      </vt:variant>
      <vt:variant>
        <vt:i4>4182</vt:i4>
      </vt:variant>
      <vt:variant>
        <vt:i4>0</vt:i4>
      </vt:variant>
      <vt:variant>
        <vt:i4>5</vt:i4>
      </vt:variant>
      <vt:variant>
        <vt:lpwstr>http://www.law.cornell.edu/uscode/text/38/2101</vt:lpwstr>
      </vt:variant>
      <vt:variant>
        <vt:lpwstr/>
      </vt:variant>
      <vt:variant>
        <vt:i4>5963887</vt:i4>
      </vt:variant>
      <vt:variant>
        <vt:i4>4179</vt:i4>
      </vt:variant>
      <vt:variant>
        <vt:i4>0</vt:i4>
      </vt:variant>
      <vt:variant>
        <vt:i4>5</vt:i4>
      </vt:variant>
      <vt:variant>
        <vt:lpwstr>http://thomas.loc.gov/cgi-bin/bdquery/L?d112:./list/bd/d112pl.lst:151%5b1-207%5d(Public_Laws)|TOM:/bss/d112query.html|</vt:lpwstr>
      </vt:variant>
      <vt:variant>
        <vt:lpwstr/>
      </vt:variant>
      <vt:variant>
        <vt:i4>6946869</vt:i4>
      </vt:variant>
      <vt:variant>
        <vt:i4>4176</vt:i4>
      </vt:variant>
      <vt:variant>
        <vt:i4>0</vt:i4>
      </vt:variant>
      <vt:variant>
        <vt:i4>5</vt:i4>
      </vt:variant>
      <vt:variant>
        <vt:lpwstr>http://vbaw.vba.va.gov/bl/21/calendar/agenda/FY12/1212.doc</vt:lpwstr>
      </vt:variant>
      <vt:variant>
        <vt:lpwstr/>
      </vt:variant>
      <vt:variant>
        <vt:i4>8192037</vt:i4>
      </vt:variant>
      <vt:variant>
        <vt:i4>4173</vt:i4>
      </vt:variant>
      <vt:variant>
        <vt:i4>0</vt:i4>
      </vt:variant>
      <vt:variant>
        <vt:i4>5</vt:i4>
      </vt:variant>
      <vt:variant>
        <vt:lpwstr>http://vbaw.vba.va.gov/bl/21/publicat/Letters/FL11/FL11-006.doc</vt:lpwstr>
      </vt:variant>
      <vt:variant>
        <vt:lpwstr/>
      </vt:variant>
      <vt:variant>
        <vt:i4>8192038</vt:i4>
      </vt:variant>
      <vt:variant>
        <vt:i4>4170</vt:i4>
      </vt:variant>
      <vt:variant>
        <vt:i4>0</vt:i4>
      </vt:variant>
      <vt:variant>
        <vt:i4>5</vt:i4>
      </vt:variant>
      <vt:variant>
        <vt:lpwstr>http://vbaw.vba.va.gov/bl/21/publicat/Letters/FL11/FL11-005.doc</vt:lpwstr>
      </vt:variant>
      <vt:variant>
        <vt:lpwstr/>
      </vt:variant>
      <vt:variant>
        <vt:i4>2490446</vt:i4>
      </vt:variant>
      <vt:variant>
        <vt:i4>4167</vt:i4>
      </vt:variant>
      <vt:variant>
        <vt:i4>0</vt:i4>
      </vt:variant>
      <vt:variant>
        <vt:i4>5</vt:i4>
      </vt:variant>
      <vt:variant>
        <vt:lpwstr>http://vbaw.vba.va.gov/bl/21/faq/FAQ_Answer.asp?ref=290</vt:lpwstr>
      </vt:variant>
      <vt:variant>
        <vt:lpwstr/>
      </vt:variant>
      <vt:variant>
        <vt:i4>7340091</vt:i4>
      </vt:variant>
      <vt:variant>
        <vt:i4>4164</vt:i4>
      </vt:variant>
      <vt:variant>
        <vt:i4>0</vt:i4>
      </vt:variant>
      <vt:variant>
        <vt:i4>5</vt:i4>
      </vt:variant>
      <vt:variant>
        <vt:lpwstr>http://vbaw.vba.va.gov/bl/21/M21-1MR/index.asp?id=pt09_sp01_ch03.xml</vt:lpwstr>
      </vt:variant>
      <vt:variant>
        <vt:lpwstr>IX.i.3.1</vt:lpwstr>
      </vt:variant>
      <vt:variant>
        <vt:i4>5242883</vt:i4>
      </vt:variant>
      <vt:variant>
        <vt:i4>4158</vt:i4>
      </vt:variant>
      <vt:variant>
        <vt:i4>0</vt:i4>
      </vt:variant>
      <vt:variant>
        <vt:i4>5</vt:i4>
      </vt:variant>
      <vt:variant>
        <vt:lpwstr>http://vbaw.vba.va.gov/BL/21/M21/content/infomap.asp?address=M21-1MRIII.iv.6.B.3</vt:lpwstr>
      </vt:variant>
      <vt:variant>
        <vt:lpwstr>M21-1MRIII.iv.6.B.3.d</vt:lpwstr>
      </vt:variant>
      <vt:variant>
        <vt:i4>1638515</vt:i4>
      </vt:variant>
      <vt:variant>
        <vt:i4>4156</vt:i4>
      </vt:variant>
      <vt:variant>
        <vt:i4>0</vt:i4>
      </vt:variant>
      <vt:variant>
        <vt:i4>5</vt:i4>
      </vt:variant>
      <vt:variant>
        <vt:lpwstr>http://vbaw.vba.va.gov/bl/21/M21-1MR/index.asp?id=pt03_sp04_ch06_secB.xml</vt:lpwstr>
      </vt:variant>
      <vt:variant>
        <vt:lpwstr>III.iv.6.B.3.d</vt:lpwstr>
      </vt:variant>
      <vt:variant>
        <vt:i4>5242883</vt:i4>
      </vt:variant>
      <vt:variant>
        <vt:i4>4154</vt:i4>
      </vt:variant>
      <vt:variant>
        <vt:i4>0</vt:i4>
      </vt:variant>
      <vt:variant>
        <vt:i4>5</vt:i4>
      </vt:variant>
      <vt:variant>
        <vt:lpwstr>http://vbaw.vba.va.gov/BL/21/M21/content/infomap.asp?address=M21-1MRIII.iv.6.B.3</vt:lpwstr>
      </vt:variant>
      <vt:variant>
        <vt:lpwstr>M21-1MRIII.iv.6.B.3.d</vt:lpwstr>
      </vt:variant>
      <vt:variant>
        <vt:i4>1638515</vt:i4>
      </vt:variant>
      <vt:variant>
        <vt:i4>4152</vt:i4>
      </vt:variant>
      <vt:variant>
        <vt:i4>0</vt:i4>
      </vt:variant>
      <vt:variant>
        <vt:i4>5</vt:i4>
      </vt:variant>
      <vt:variant>
        <vt:lpwstr>http://vbaw.vba.va.gov/bl/21/M21-1MR/index.asp?id=pt03_sp04_ch06_secB.xml</vt:lpwstr>
      </vt:variant>
      <vt:variant>
        <vt:lpwstr>III.iv.6.B.3.d</vt:lpwstr>
      </vt:variant>
      <vt:variant>
        <vt:i4>7798873</vt:i4>
      </vt:variant>
      <vt:variant>
        <vt:i4>4149</vt:i4>
      </vt:variant>
      <vt:variant>
        <vt:i4>0</vt:i4>
      </vt:variant>
      <vt:variant>
        <vt:i4>5</vt:i4>
      </vt:variant>
      <vt:variant>
        <vt:lpwstr>http://vbaw.vba.va.gov/bl/21/publicat/Regs/Part3/3_809.htm</vt:lpwstr>
      </vt:variant>
      <vt:variant>
        <vt:lpwstr/>
      </vt:variant>
      <vt:variant>
        <vt:i4>7536736</vt:i4>
      </vt:variant>
      <vt:variant>
        <vt:i4>4146</vt:i4>
      </vt:variant>
      <vt:variant>
        <vt:i4>0</vt:i4>
      </vt:variant>
      <vt:variant>
        <vt:i4>5</vt:i4>
      </vt:variant>
      <vt:variant>
        <vt:lpwstr>http://vbaw.vba.va.gov/bl/21/M21-1MR/index.asp?id=pt09_sp01_ch02.xml</vt:lpwstr>
      </vt:variant>
      <vt:variant>
        <vt:lpwstr>IX.ii.2.1</vt:lpwstr>
      </vt:variant>
      <vt:variant>
        <vt:i4>5242883</vt:i4>
      </vt:variant>
      <vt:variant>
        <vt:i4>4140</vt:i4>
      </vt:variant>
      <vt:variant>
        <vt:i4>0</vt:i4>
      </vt:variant>
      <vt:variant>
        <vt:i4>5</vt:i4>
      </vt:variant>
      <vt:variant>
        <vt:lpwstr>http://vbaw.vba.va.gov/BL/21/M21/content/infomap.asp?address=M21-1MRIII.iv.6.B.3</vt:lpwstr>
      </vt:variant>
      <vt:variant>
        <vt:lpwstr>M21-1MRIII.iv.6.B.3.d</vt:lpwstr>
      </vt:variant>
      <vt:variant>
        <vt:i4>1638515</vt:i4>
      </vt:variant>
      <vt:variant>
        <vt:i4>4138</vt:i4>
      </vt:variant>
      <vt:variant>
        <vt:i4>0</vt:i4>
      </vt:variant>
      <vt:variant>
        <vt:i4>5</vt:i4>
      </vt:variant>
      <vt:variant>
        <vt:lpwstr>http://vbaw.vba.va.gov/bl/21/M21-1MR/index.asp?id=pt03_sp04_ch06_secB.xml</vt:lpwstr>
      </vt:variant>
      <vt:variant>
        <vt:lpwstr>III.iv.6.B.3.d</vt:lpwstr>
      </vt:variant>
      <vt:variant>
        <vt:i4>5242883</vt:i4>
      </vt:variant>
      <vt:variant>
        <vt:i4>4136</vt:i4>
      </vt:variant>
      <vt:variant>
        <vt:i4>0</vt:i4>
      </vt:variant>
      <vt:variant>
        <vt:i4>5</vt:i4>
      </vt:variant>
      <vt:variant>
        <vt:lpwstr>http://vbaw.vba.va.gov/BL/21/M21/content/infomap.asp?address=M21-1MRIII.iv.6.B.3</vt:lpwstr>
      </vt:variant>
      <vt:variant>
        <vt:lpwstr>M21-1MRIII.iv.6.B.3.d</vt:lpwstr>
      </vt:variant>
      <vt:variant>
        <vt:i4>1638515</vt:i4>
      </vt:variant>
      <vt:variant>
        <vt:i4>4134</vt:i4>
      </vt:variant>
      <vt:variant>
        <vt:i4>0</vt:i4>
      </vt:variant>
      <vt:variant>
        <vt:i4>5</vt:i4>
      </vt:variant>
      <vt:variant>
        <vt:lpwstr>http://vbaw.vba.va.gov/bl/21/M21-1MR/index.asp?id=pt03_sp04_ch06_secB.xml</vt:lpwstr>
      </vt:variant>
      <vt:variant>
        <vt:lpwstr>III.iv.6.B.3.d</vt:lpwstr>
      </vt:variant>
      <vt:variant>
        <vt:i4>7733337</vt:i4>
      </vt:variant>
      <vt:variant>
        <vt:i4>4131</vt:i4>
      </vt:variant>
      <vt:variant>
        <vt:i4>0</vt:i4>
      </vt:variant>
      <vt:variant>
        <vt:i4>5</vt:i4>
      </vt:variant>
      <vt:variant>
        <vt:lpwstr>http://vbaw.vba.va.gov/bl/21/publicat/Regs/Part3/3_808.htm</vt:lpwstr>
      </vt:variant>
      <vt:variant>
        <vt:lpwstr/>
      </vt:variant>
      <vt:variant>
        <vt:i4>8126497</vt:i4>
      </vt:variant>
      <vt:variant>
        <vt:i4>4128</vt:i4>
      </vt:variant>
      <vt:variant>
        <vt:i4>0</vt:i4>
      </vt:variant>
      <vt:variant>
        <vt:i4>5</vt:i4>
      </vt:variant>
      <vt:variant>
        <vt:lpwstr>http://vbaw.vba.va.gov/bl/21/publicat/Letters/FL10/FL10-003.doc</vt:lpwstr>
      </vt:variant>
      <vt:variant>
        <vt:lpwstr/>
      </vt:variant>
      <vt:variant>
        <vt:i4>786449</vt:i4>
      </vt:variant>
      <vt:variant>
        <vt:i4>4125</vt:i4>
      </vt:variant>
      <vt:variant>
        <vt:i4>0</vt:i4>
      </vt:variant>
      <vt:variant>
        <vt:i4>5</vt:i4>
      </vt:variant>
      <vt:variant>
        <vt:lpwstr>http://vbaw.vba.va.gov/BL/21/M21/content/infomap.asp?address=M21-1MRIX.ii.2.1</vt:lpwstr>
      </vt:variant>
      <vt:variant>
        <vt:lpwstr/>
      </vt:variant>
      <vt:variant>
        <vt:i4>7929945</vt:i4>
      </vt:variant>
      <vt:variant>
        <vt:i4>4122</vt:i4>
      </vt:variant>
      <vt:variant>
        <vt:i4>0</vt:i4>
      </vt:variant>
      <vt:variant>
        <vt:i4>5</vt:i4>
      </vt:variant>
      <vt:variant>
        <vt:lpwstr>http://vbaw.vba.va.gov/bl/21/publicat/Regs/Part3/3_807.htm</vt:lpwstr>
      </vt:variant>
      <vt:variant>
        <vt:lpwstr/>
      </vt:variant>
      <vt:variant>
        <vt:i4>7471195</vt:i4>
      </vt:variant>
      <vt:variant>
        <vt:i4>4119</vt:i4>
      </vt:variant>
      <vt:variant>
        <vt:i4>0</vt:i4>
      </vt:variant>
      <vt:variant>
        <vt:i4>5</vt:i4>
      </vt:variant>
      <vt:variant>
        <vt:lpwstr>http://vbaw.vba.va.gov/bl/21/publicat/Regs/Part3/3_327.htm</vt:lpwstr>
      </vt:variant>
      <vt:variant>
        <vt:lpwstr/>
      </vt:variant>
      <vt:variant>
        <vt:i4>5636101</vt:i4>
      </vt:variant>
      <vt:variant>
        <vt:i4>4116</vt:i4>
      </vt:variant>
      <vt:variant>
        <vt:i4>0</vt:i4>
      </vt:variant>
      <vt:variant>
        <vt:i4>5</vt:i4>
      </vt:variant>
      <vt:variant>
        <vt:lpwstr>http://www.gpo.gov/fdsys/pkg/USCODE-2003-title38/pdf/USCODE-2003-title38-partIII-chap35-subchapI-sec3500.pdf</vt:lpwstr>
      </vt:variant>
      <vt:variant>
        <vt:lpwstr/>
      </vt:variant>
      <vt:variant>
        <vt:i4>3801120</vt:i4>
      </vt:variant>
      <vt:variant>
        <vt:i4>4113</vt:i4>
      </vt:variant>
      <vt:variant>
        <vt:i4>0</vt:i4>
      </vt:variant>
      <vt:variant>
        <vt:i4>5</vt:i4>
      </vt:variant>
      <vt:variant>
        <vt:lpwstr>\\vbasdcfpc5\vbapps\ARMS\VSC POLICY MEMOS\Policy (21-12-02) Review examination processing (revised 10-18-12).doc</vt:lpwstr>
      </vt:variant>
      <vt:variant>
        <vt:lpwstr/>
      </vt:variant>
      <vt:variant>
        <vt:i4>3801137</vt:i4>
      </vt:variant>
      <vt:variant>
        <vt:i4>4110</vt:i4>
      </vt:variant>
      <vt:variant>
        <vt:i4>0</vt:i4>
      </vt:variant>
      <vt:variant>
        <vt:i4>5</vt:i4>
      </vt:variant>
      <vt:variant>
        <vt:lpwstr>http://vbaw.vba.va.gov/BL/21/M21/content/infomap.asp?address=M21-1MRIX.ii.2.1</vt:lpwstr>
      </vt:variant>
      <vt:variant>
        <vt:lpwstr>M21-1MRIX.ii.2.1.i</vt:lpwstr>
      </vt:variant>
      <vt:variant>
        <vt:i4>8257628</vt:i4>
      </vt:variant>
      <vt:variant>
        <vt:i4>4107</vt:i4>
      </vt:variant>
      <vt:variant>
        <vt:i4>0</vt:i4>
      </vt:variant>
      <vt:variant>
        <vt:i4>5</vt:i4>
      </vt:variant>
      <vt:variant>
        <vt:lpwstr>http://vbaw.vba.va.gov/bl/21/publicat/Regs/Part3/3_951.htm</vt:lpwstr>
      </vt:variant>
      <vt:variant>
        <vt:lpwstr/>
      </vt:variant>
      <vt:variant>
        <vt:i4>7471195</vt:i4>
      </vt:variant>
      <vt:variant>
        <vt:i4>4104</vt:i4>
      </vt:variant>
      <vt:variant>
        <vt:i4>0</vt:i4>
      </vt:variant>
      <vt:variant>
        <vt:i4>5</vt:i4>
      </vt:variant>
      <vt:variant>
        <vt:lpwstr>http://vbaw.vba.va.gov/bl/21/publicat/Regs/Part3/3_327.htm</vt:lpwstr>
      </vt:variant>
      <vt:variant>
        <vt:lpwstr/>
      </vt:variant>
      <vt:variant>
        <vt:i4>7602269</vt:i4>
      </vt:variant>
      <vt:variant>
        <vt:i4>4101</vt:i4>
      </vt:variant>
      <vt:variant>
        <vt:i4>0</vt:i4>
      </vt:variant>
      <vt:variant>
        <vt:i4>5</vt:i4>
      </vt:variant>
      <vt:variant>
        <vt:lpwstr>http://vbaw.vba.va.gov/bl/21/publicat/Regs/Part3/3_341.htm</vt:lpwstr>
      </vt:variant>
      <vt:variant>
        <vt:lpwstr/>
      </vt:variant>
      <vt:variant>
        <vt:i4>7667805</vt:i4>
      </vt:variant>
      <vt:variant>
        <vt:i4>4098</vt:i4>
      </vt:variant>
      <vt:variant>
        <vt:i4>0</vt:i4>
      </vt:variant>
      <vt:variant>
        <vt:i4>5</vt:i4>
      </vt:variant>
      <vt:variant>
        <vt:lpwstr>http://vbaw.vba.va.gov/bl/21/publicat/Regs/Part3/3_340.htm</vt:lpwstr>
      </vt:variant>
      <vt:variant>
        <vt:lpwstr/>
      </vt:variant>
      <vt:variant>
        <vt:i4>1704043</vt:i4>
      </vt:variant>
      <vt:variant>
        <vt:i4>4095</vt:i4>
      </vt:variant>
      <vt:variant>
        <vt:i4>0</vt:i4>
      </vt:variant>
      <vt:variant>
        <vt:i4>5</vt:i4>
      </vt:variant>
      <vt:variant>
        <vt:lpwstr>http://vbaw.vba.va.gov/bl/21/publicat/Regs/Part4/4_30.htm</vt:lpwstr>
      </vt:variant>
      <vt:variant>
        <vt:lpwstr/>
      </vt:variant>
      <vt:variant>
        <vt:i4>1769570</vt:i4>
      </vt:variant>
      <vt:variant>
        <vt:i4>4092</vt:i4>
      </vt:variant>
      <vt:variant>
        <vt:i4>0</vt:i4>
      </vt:variant>
      <vt:variant>
        <vt:i4>5</vt:i4>
      </vt:variant>
      <vt:variant>
        <vt:lpwstr>http://vbaw.vba.va.gov/bl/21/publicat/Regs/Part4/4_29.htm</vt:lpwstr>
      </vt:variant>
      <vt:variant>
        <vt:lpwstr/>
      </vt:variant>
      <vt:variant>
        <vt:i4>1769571</vt:i4>
      </vt:variant>
      <vt:variant>
        <vt:i4>4089</vt:i4>
      </vt:variant>
      <vt:variant>
        <vt:i4>0</vt:i4>
      </vt:variant>
      <vt:variant>
        <vt:i4>5</vt:i4>
      </vt:variant>
      <vt:variant>
        <vt:lpwstr>http://vbaw.vba.va.gov/bl/21/publicat/Regs/Part4/4_28.htm</vt:lpwstr>
      </vt:variant>
      <vt:variant>
        <vt:lpwstr/>
      </vt:variant>
      <vt:variant>
        <vt:i4>3276849</vt:i4>
      </vt:variant>
      <vt:variant>
        <vt:i4>4086</vt:i4>
      </vt:variant>
      <vt:variant>
        <vt:i4>0</vt:i4>
      </vt:variant>
      <vt:variant>
        <vt:i4>5</vt:i4>
      </vt:variant>
      <vt:variant>
        <vt:lpwstr>http://vbaw.vba.va.gov/BL/21/M21/content/infomap.asp?address=M21-1MRIX.ii.2.1</vt:lpwstr>
      </vt:variant>
      <vt:variant>
        <vt:lpwstr>M21-1MRIX.ii.2.1.a</vt:lpwstr>
      </vt:variant>
      <vt:variant>
        <vt:i4>5242883</vt:i4>
      </vt:variant>
      <vt:variant>
        <vt:i4>4081</vt:i4>
      </vt:variant>
      <vt:variant>
        <vt:i4>0</vt:i4>
      </vt:variant>
      <vt:variant>
        <vt:i4>5</vt:i4>
      </vt:variant>
      <vt:variant>
        <vt:lpwstr>http://vbaw.vba.va.gov/BL/21/M21/content/infomap.asp?address=M21-1MRIII.iv.6.B.3</vt:lpwstr>
      </vt:variant>
      <vt:variant>
        <vt:lpwstr>M21-1MRIII.iv.6.B.3.d</vt:lpwstr>
      </vt:variant>
      <vt:variant>
        <vt:i4>1638515</vt:i4>
      </vt:variant>
      <vt:variant>
        <vt:i4>4079</vt:i4>
      </vt:variant>
      <vt:variant>
        <vt:i4>0</vt:i4>
      </vt:variant>
      <vt:variant>
        <vt:i4>5</vt:i4>
      </vt:variant>
      <vt:variant>
        <vt:lpwstr>http://vbaw.vba.va.gov/bl/21/M21-1MR/index.asp?id=pt03_sp04_ch06_secB.xml</vt:lpwstr>
      </vt:variant>
      <vt:variant>
        <vt:lpwstr>III.iv.6.B.3.d</vt:lpwstr>
      </vt:variant>
      <vt:variant>
        <vt:i4>5242883</vt:i4>
      </vt:variant>
      <vt:variant>
        <vt:i4>4077</vt:i4>
      </vt:variant>
      <vt:variant>
        <vt:i4>0</vt:i4>
      </vt:variant>
      <vt:variant>
        <vt:i4>5</vt:i4>
      </vt:variant>
      <vt:variant>
        <vt:lpwstr>http://vbaw.vba.va.gov/BL/21/M21/content/infomap.asp?address=M21-1MRIII.iv.6.B.3</vt:lpwstr>
      </vt:variant>
      <vt:variant>
        <vt:lpwstr>M21-1MRIII.iv.6.B.3.d</vt:lpwstr>
      </vt:variant>
      <vt:variant>
        <vt:i4>7536739</vt:i4>
      </vt:variant>
      <vt:variant>
        <vt:i4>4074</vt:i4>
      </vt:variant>
      <vt:variant>
        <vt:i4>0</vt:i4>
      </vt:variant>
      <vt:variant>
        <vt:i4>5</vt:i4>
      </vt:variant>
      <vt:variant>
        <vt:lpwstr>http://vbaw.vba.va.gov/bl/21/M21-1MR/index.asp?id=pt09_sp02_ch02.xml</vt:lpwstr>
      </vt:variant>
      <vt:variant>
        <vt:lpwstr>IX.ii.2.1</vt:lpwstr>
      </vt:variant>
      <vt:variant>
        <vt:i4>8192093</vt:i4>
      </vt:variant>
      <vt:variant>
        <vt:i4>4071</vt:i4>
      </vt:variant>
      <vt:variant>
        <vt:i4>0</vt:i4>
      </vt:variant>
      <vt:variant>
        <vt:i4>5</vt:i4>
      </vt:variant>
      <vt:variant>
        <vt:lpwstr>http://vbaw.vba.va.gov/bl/21/M21-1MR/index.asp?id=pt03_sp04_ch06_secB.xml</vt:lpwstr>
      </vt:variant>
      <vt:variant>
        <vt:lpwstr>III.iv.6.B.3</vt:lpwstr>
      </vt:variant>
      <vt:variant>
        <vt:i4>7733337</vt:i4>
      </vt:variant>
      <vt:variant>
        <vt:i4>4068</vt:i4>
      </vt:variant>
      <vt:variant>
        <vt:i4>0</vt:i4>
      </vt:variant>
      <vt:variant>
        <vt:i4>5</vt:i4>
      </vt:variant>
      <vt:variant>
        <vt:lpwstr>http://vbaw.vba.va.gov/bl/21/publicat/Regs/Part3/3_707.htm</vt:lpwstr>
      </vt:variant>
      <vt:variant>
        <vt:lpwstr/>
      </vt:variant>
      <vt:variant>
        <vt:i4>8323107</vt:i4>
      </vt:variant>
      <vt:variant>
        <vt:i4>4065</vt:i4>
      </vt:variant>
      <vt:variant>
        <vt:i4>0</vt:i4>
      </vt:variant>
      <vt:variant>
        <vt:i4>5</vt:i4>
      </vt:variant>
      <vt:variant>
        <vt:lpwstr>http://vbaw.vba.va.gov/bl/21/publicat/Letters/FL11/FL11-020.doc</vt:lpwstr>
      </vt:variant>
      <vt:variant>
        <vt:lpwstr/>
      </vt:variant>
      <vt:variant>
        <vt:i4>4915312</vt:i4>
      </vt:variant>
      <vt:variant>
        <vt:i4>4062</vt:i4>
      </vt:variant>
      <vt:variant>
        <vt:i4>0</vt:i4>
      </vt:variant>
      <vt:variant>
        <vt:i4>5</vt:i4>
      </vt:variant>
      <vt:variant>
        <vt:lpwstr>http://www.benefits.va.gov/warms/docs/regs/38CFR/BOOKC/PART4/S4_29.DOC</vt:lpwstr>
      </vt:variant>
      <vt:variant>
        <vt:lpwstr/>
      </vt:variant>
      <vt:variant>
        <vt:i4>3670031</vt:i4>
      </vt:variant>
      <vt:variant>
        <vt:i4>4059</vt:i4>
      </vt:variant>
      <vt:variant>
        <vt:i4>0</vt:i4>
      </vt:variant>
      <vt:variant>
        <vt:i4>5</vt:i4>
      </vt:variant>
      <vt:variant>
        <vt:lpwstr>http://vbacodmoint1.vba.va.gov/bl/21/faq/FAQ_Answer.asp?ref=381</vt:lpwstr>
      </vt:variant>
      <vt:variant>
        <vt:lpwstr/>
      </vt:variant>
      <vt:variant>
        <vt:i4>1966192</vt:i4>
      </vt:variant>
      <vt:variant>
        <vt:i4>4056</vt:i4>
      </vt:variant>
      <vt:variant>
        <vt:i4>0</vt:i4>
      </vt:variant>
      <vt:variant>
        <vt:i4>5</vt:i4>
      </vt:variant>
      <vt:variant>
        <vt:lpwstr>http://vbaw.vba.va.gov/bl/21/M21-1MR/index.asp?id=pt03_sp04_ch08_secA.xml</vt:lpwstr>
      </vt:variant>
      <vt:variant>
        <vt:lpwstr>III.iv.8.A.2.a</vt:lpwstr>
      </vt:variant>
      <vt:variant>
        <vt:i4>5177407</vt:i4>
      </vt:variant>
      <vt:variant>
        <vt:i4>4053</vt:i4>
      </vt:variant>
      <vt:variant>
        <vt:i4>0</vt:i4>
      </vt:variant>
      <vt:variant>
        <vt:i4>5</vt:i4>
      </vt:variant>
      <vt:variant>
        <vt:lpwstr>http://10.220.1.4/bl/21/faq/FAQ_Answer.asp?ref=108</vt:lpwstr>
      </vt:variant>
      <vt:variant>
        <vt:lpwstr/>
      </vt:variant>
      <vt:variant>
        <vt:i4>5111871</vt:i4>
      </vt:variant>
      <vt:variant>
        <vt:i4>4050</vt:i4>
      </vt:variant>
      <vt:variant>
        <vt:i4>0</vt:i4>
      </vt:variant>
      <vt:variant>
        <vt:i4>5</vt:i4>
      </vt:variant>
      <vt:variant>
        <vt:lpwstr>http://10.220.1.4/bl/21/faq/FAQ_Answer.asp?ref=109</vt:lpwstr>
      </vt:variant>
      <vt:variant>
        <vt:lpwstr/>
      </vt:variant>
      <vt:variant>
        <vt:i4>2883661</vt:i4>
      </vt:variant>
      <vt:variant>
        <vt:i4>4047</vt:i4>
      </vt:variant>
      <vt:variant>
        <vt:i4>0</vt:i4>
      </vt:variant>
      <vt:variant>
        <vt:i4>5</vt:i4>
      </vt:variant>
      <vt:variant>
        <vt:lpwstr>http://vbaw.vba.va.gov/bl/21/faq/FAQ_Answer.asp?ref=137</vt:lpwstr>
      </vt:variant>
      <vt:variant>
        <vt:lpwstr/>
      </vt:variant>
      <vt:variant>
        <vt:i4>3080247</vt:i4>
      </vt:variant>
      <vt:variant>
        <vt:i4>4044</vt:i4>
      </vt:variant>
      <vt:variant>
        <vt:i4>0</vt:i4>
      </vt:variant>
      <vt:variant>
        <vt:i4>5</vt:i4>
      </vt:variant>
      <vt:variant>
        <vt:lpwstr>http://vbaw.vba.va.gov/BL/21/M21/content/contents.asp?address=M21-1MRIII.iv.8.A</vt:lpwstr>
      </vt:variant>
      <vt:variant>
        <vt:lpwstr/>
      </vt:variant>
      <vt:variant>
        <vt:i4>7471193</vt:i4>
      </vt:variant>
      <vt:variant>
        <vt:i4>4041</vt:i4>
      </vt:variant>
      <vt:variant>
        <vt:i4>0</vt:i4>
      </vt:variant>
      <vt:variant>
        <vt:i4>5</vt:i4>
      </vt:variant>
      <vt:variant>
        <vt:lpwstr>http://vbaw.vba.va.gov/bl/21/publicat/Regs/Part3/3_400.htm</vt:lpwstr>
      </vt:variant>
      <vt:variant>
        <vt:lpwstr/>
      </vt:variant>
      <vt:variant>
        <vt:i4>7733340</vt:i4>
      </vt:variant>
      <vt:variant>
        <vt:i4>4038</vt:i4>
      </vt:variant>
      <vt:variant>
        <vt:i4>0</vt:i4>
      </vt:variant>
      <vt:variant>
        <vt:i4>5</vt:i4>
      </vt:variant>
      <vt:variant>
        <vt:lpwstr>http://vbaw.vba.va.gov/bl/21/publicat/Regs/Part3/3_353.htm</vt:lpwstr>
      </vt:variant>
      <vt:variant>
        <vt:lpwstr/>
      </vt:variant>
      <vt:variant>
        <vt:i4>1245188</vt:i4>
      </vt:variant>
      <vt:variant>
        <vt:i4>4035</vt:i4>
      </vt:variant>
      <vt:variant>
        <vt:i4>0</vt:i4>
      </vt:variant>
      <vt:variant>
        <vt:i4>5</vt:i4>
      </vt:variant>
      <vt:variant>
        <vt:lpwstr>http://vbaw.vba.va.gov/bl/21/systems/docs/RBA2kSpPro02-06.doc</vt:lpwstr>
      </vt:variant>
      <vt:variant>
        <vt:lpwstr/>
      </vt:variant>
      <vt:variant>
        <vt:i4>7929947</vt:i4>
      </vt:variant>
      <vt:variant>
        <vt:i4>4032</vt:i4>
      </vt:variant>
      <vt:variant>
        <vt:i4>0</vt:i4>
      </vt:variant>
      <vt:variant>
        <vt:i4>5</vt:i4>
      </vt:variant>
      <vt:variant>
        <vt:lpwstr>http://vbaw.vba.va.gov/bl/21/M21-1MR/index.asp?id=pt03_sp04_ch06_secD.xml</vt:lpwstr>
      </vt:variant>
      <vt:variant>
        <vt:lpwstr>III.iv.6.D.16</vt:lpwstr>
      </vt:variant>
      <vt:variant>
        <vt:i4>5242883</vt:i4>
      </vt:variant>
      <vt:variant>
        <vt:i4>4026</vt:i4>
      </vt:variant>
      <vt:variant>
        <vt:i4>0</vt:i4>
      </vt:variant>
      <vt:variant>
        <vt:i4>5</vt:i4>
      </vt:variant>
      <vt:variant>
        <vt:lpwstr>http://vbaw.vba.va.gov/BL/21/M21/content/infomap.asp?address=M21-1MRIII.iv.6.B.3</vt:lpwstr>
      </vt:variant>
      <vt:variant>
        <vt:lpwstr>M21-1MRIII.iv.6.B.3.d</vt:lpwstr>
      </vt:variant>
      <vt:variant>
        <vt:i4>1638515</vt:i4>
      </vt:variant>
      <vt:variant>
        <vt:i4>4024</vt:i4>
      </vt:variant>
      <vt:variant>
        <vt:i4>0</vt:i4>
      </vt:variant>
      <vt:variant>
        <vt:i4>5</vt:i4>
      </vt:variant>
      <vt:variant>
        <vt:lpwstr>http://vbaw.vba.va.gov/bl/21/M21-1MR/index.asp?id=pt03_sp04_ch06_secB.xml</vt:lpwstr>
      </vt:variant>
      <vt:variant>
        <vt:lpwstr>III.iv.6.B.3.d</vt:lpwstr>
      </vt:variant>
      <vt:variant>
        <vt:i4>5242883</vt:i4>
      </vt:variant>
      <vt:variant>
        <vt:i4>4022</vt:i4>
      </vt:variant>
      <vt:variant>
        <vt:i4>0</vt:i4>
      </vt:variant>
      <vt:variant>
        <vt:i4>5</vt:i4>
      </vt:variant>
      <vt:variant>
        <vt:lpwstr>http://vbaw.vba.va.gov/BL/21/M21/content/infomap.asp?address=M21-1MRIII.iv.6.B.3</vt:lpwstr>
      </vt:variant>
      <vt:variant>
        <vt:lpwstr>M21-1MRIII.iv.6.B.3.d</vt:lpwstr>
      </vt:variant>
      <vt:variant>
        <vt:i4>1638515</vt:i4>
      </vt:variant>
      <vt:variant>
        <vt:i4>4020</vt:i4>
      </vt:variant>
      <vt:variant>
        <vt:i4>0</vt:i4>
      </vt:variant>
      <vt:variant>
        <vt:i4>5</vt:i4>
      </vt:variant>
      <vt:variant>
        <vt:lpwstr>http://vbaw.vba.va.gov/bl/21/M21-1MR/index.asp?id=pt03_sp04_ch06_secB.xml</vt:lpwstr>
      </vt:variant>
      <vt:variant>
        <vt:lpwstr>III.iv.6.B.3.d</vt:lpwstr>
      </vt:variant>
      <vt:variant>
        <vt:i4>7405659</vt:i4>
      </vt:variant>
      <vt:variant>
        <vt:i4>4017</vt:i4>
      </vt:variant>
      <vt:variant>
        <vt:i4>0</vt:i4>
      </vt:variant>
      <vt:variant>
        <vt:i4>5</vt:i4>
      </vt:variant>
      <vt:variant>
        <vt:lpwstr>http://vbaw.vba.va.gov/bl/21/publicat/Regs/Part3/3_324.htm</vt:lpwstr>
      </vt:variant>
      <vt:variant>
        <vt:lpwstr/>
      </vt:variant>
      <vt:variant>
        <vt:i4>524306</vt:i4>
      </vt:variant>
      <vt:variant>
        <vt:i4>4014</vt:i4>
      </vt:variant>
      <vt:variant>
        <vt:i4>0</vt:i4>
      </vt:variant>
      <vt:variant>
        <vt:i4>5</vt:i4>
      </vt:variant>
      <vt:variant>
        <vt:lpwstr>\\vbasdcfpc2\SHARED\VSC\Development &amp; Rating Resources\QRT Bulletin</vt:lpwstr>
      </vt:variant>
      <vt:variant>
        <vt:lpwstr/>
      </vt:variant>
      <vt:variant>
        <vt:i4>8126496</vt:i4>
      </vt:variant>
      <vt:variant>
        <vt:i4>4011</vt:i4>
      </vt:variant>
      <vt:variant>
        <vt:i4>0</vt:i4>
      </vt:variant>
      <vt:variant>
        <vt:i4>5</vt:i4>
      </vt:variant>
      <vt:variant>
        <vt:lpwstr>http://vbaw.vba.va.gov/bl/21/publicat/Letters/FL12/FL12-020.doc</vt:lpwstr>
      </vt:variant>
      <vt:variant>
        <vt:lpwstr/>
      </vt:variant>
      <vt:variant>
        <vt:i4>5963794</vt:i4>
      </vt:variant>
      <vt:variant>
        <vt:i4>4008</vt:i4>
      </vt:variant>
      <vt:variant>
        <vt:i4>0</vt:i4>
      </vt:variant>
      <vt:variant>
        <vt:i4>5</vt:i4>
      </vt:variant>
      <vt:variant>
        <vt:lpwstr>http://vbaw.vba.va.gov/BL/21/M21/content/infomap.asp?address=M21-1MRV.ii.3.2</vt:lpwstr>
      </vt:variant>
      <vt:variant>
        <vt:lpwstr/>
      </vt:variant>
      <vt:variant>
        <vt:i4>5767186</vt:i4>
      </vt:variant>
      <vt:variant>
        <vt:i4>4005</vt:i4>
      </vt:variant>
      <vt:variant>
        <vt:i4>0</vt:i4>
      </vt:variant>
      <vt:variant>
        <vt:i4>5</vt:i4>
      </vt:variant>
      <vt:variant>
        <vt:lpwstr>http://vbaw.vba.va.gov/BL/21/M21/content/infomap.asp?address=M21-1MRV.ii.3.1</vt:lpwstr>
      </vt:variant>
      <vt:variant>
        <vt:lpwstr/>
      </vt:variant>
      <vt:variant>
        <vt:i4>4194326</vt:i4>
      </vt:variant>
      <vt:variant>
        <vt:i4>4002</vt:i4>
      </vt:variant>
      <vt:variant>
        <vt:i4>0</vt:i4>
      </vt:variant>
      <vt:variant>
        <vt:i4>5</vt:i4>
      </vt:variant>
      <vt:variant>
        <vt:lpwstr>http://vbaw.vba.va.gov/bl/21/M21-1MR/index.asp?id=pt03_sp02_ch06.xml</vt:lpwstr>
      </vt:variant>
      <vt:variant>
        <vt:lpwstr>III.ii.6.4</vt:lpwstr>
      </vt:variant>
      <vt:variant>
        <vt:i4>2490459</vt:i4>
      </vt:variant>
      <vt:variant>
        <vt:i4>3999</vt:i4>
      </vt:variant>
      <vt:variant>
        <vt:i4>0</vt:i4>
      </vt:variant>
      <vt:variant>
        <vt:i4>5</vt:i4>
      </vt:variant>
      <vt:variant>
        <vt:lpwstr>http://vbaw.vba.va.gov/bl/21/publicat/Regs/Part3/3_12a.htm</vt:lpwstr>
      </vt:variant>
      <vt:variant>
        <vt:lpwstr/>
      </vt:variant>
      <vt:variant>
        <vt:i4>1572972</vt:i4>
      </vt:variant>
      <vt:variant>
        <vt:i4>3996</vt:i4>
      </vt:variant>
      <vt:variant>
        <vt:i4>0</vt:i4>
      </vt:variant>
      <vt:variant>
        <vt:i4>5</vt:i4>
      </vt:variant>
      <vt:variant>
        <vt:lpwstr>http://vbaw.vba.va.gov/bl/21/publicat/Regs/Part4/4_17.htm</vt:lpwstr>
      </vt:variant>
      <vt:variant>
        <vt:lpwstr/>
      </vt:variant>
      <vt:variant>
        <vt:i4>7929947</vt:i4>
      </vt:variant>
      <vt:variant>
        <vt:i4>3993</vt:i4>
      </vt:variant>
      <vt:variant>
        <vt:i4>0</vt:i4>
      </vt:variant>
      <vt:variant>
        <vt:i4>5</vt:i4>
      </vt:variant>
      <vt:variant>
        <vt:lpwstr>http://vbaw.vba.va.gov/bl/21/M21-1MR/index.asp?id=pt03_sp04_ch06_secD.xml</vt:lpwstr>
      </vt:variant>
      <vt:variant>
        <vt:lpwstr>III.iv.6.D.16</vt:lpwstr>
      </vt:variant>
      <vt:variant>
        <vt:i4>7864413</vt:i4>
      </vt:variant>
      <vt:variant>
        <vt:i4>3990</vt:i4>
      </vt:variant>
      <vt:variant>
        <vt:i4>0</vt:i4>
      </vt:variant>
      <vt:variant>
        <vt:i4>5</vt:i4>
      </vt:variant>
      <vt:variant>
        <vt:lpwstr>http://vbaw.vba.va.gov/bl/21/M21-1MR/index.asp?id=pt03_sp04_ch06_secB.xml</vt:lpwstr>
      </vt:variant>
      <vt:variant>
        <vt:lpwstr>III.iv.6.B.6</vt:lpwstr>
      </vt:variant>
      <vt:variant>
        <vt:i4>5242883</vt:i4>
      </vt:variant>
      <vt:variant>
        <vt:i4>3984</vt:i4>
      </vt:variant>
      <vt:variant>
        <vt:i4>0</vt:i4>
      </vt:variant>
      <vt:variant>
        <vt:i4>5</vt:i4>
      </vt:variant>
      <vt:variant>
        <vt:lpwstr>http://vbaw.vba.va.gov/BL/21/M21/content/infomap.asp?address=M21-1MRIII.iv.6.B.3</vt:lpwstr>
      </vt:variant>
      <vt:variant>
        <vt:lpwstr>M21-1MRIII.iv.6.B.3.d</vt:lpwstr>
      </vt:variant>
      <vt:variant>
        <vt:i4>1638515</vt:i4>
      </vt:variant>
      <vt:variant>
        <vt:i4>3982</vt:i4>
      </vt:variant>
      <vt:variant>
        <vt:i4>0</vt:i4>
      </vt:variant>
      <vt:variant>
        <vt:i4>5</vt:i4>
      </vt:variant>
      <vt:variant>
        <vt:lpwstr>http://vbaw.vba.va.gov/bl/21/M21-1MR/index.asp?id=pt03_sp04_ch06_secB.xml</vt:lpwstr>
      </vt:variant>
      <vt:variant>
        <vt:lpwstr>III.iv.6.B.3.d</vt:lpwstr>
      </vt:variant>
      <vt:variant>
        <vt:i4>5242883</vt:i4>
      </vt:variant>
      <vt:variant>
        <vt:i4>3980</vt:i4>
      </vt:variant>
      <vt:variant>
        <vt:i4>0</vt:i4>
      </vt:variant>
      <vt:variant>
        <vt:i4>5</vt:i4>
      </vt:variant>
      <vt:variant>
        <vt:lpwstr>http://vbaw.vba.va.gov/BL/21/M21/content/infomap.asp?address=M21-1MRIII.iv.6.B.3</vt:lpwstr>
      </vt:variant>
      <vt:variant>
        <vt:lpwstr>M21-1MRIII.iv.6.B.3.d</vt:lpwstr>
      </vt:variant>
      <vt:variant>
        <vt:i4>1638515</vt:i4>
      </vt:variant>
      <vt:variant>
        <vt:i4>3978</vt:i4>
      </vt:variant>
      <vt:variant>
        <vt:i4>0</vt:i4>
      </vt:variant>
      <vt:variant>
        <vt:i4>5</vt:i4>
      </vt:variant>
      <vt:variant>
        <vt:lpwstr>http://vbaw.vba.va.gov/bl/21/M21-1MR/index.asp?id=pt03_sp04_ch06_secB.xml</vt:lpwstr>
      </vt:variant>
      <vt:variant>
        <vt:lpwstr>III.iv.6.B.3.d</vt:lpwstr>
      </vt:variant>
      <vt:variant>
        <vt:i4>7602267</vt:i4>
      </vt:variant>
      <vt:variant>
        <vt:i4>3975</vt:i4>
      </vt:variant>
      <vt:variant>
        <vt:i4>0</vt:i4>
      </vt:variant>
      <vt:variant>
        <vt:i4>5</vt:i4>
      </vt:variant>
      <vt:variant>
        <vt:lpwstr>http://vbaw.vba.va.gov/bl/21/publicat/Regs/Part3/3_321.htm</vt:lpwstr>
      </vt:variant>
      <vt:variant>
        <vt:lpwstr/>
      </vt:variant>
      <vt:variant>
        <vt:i4>720941</vt:i4>
      </vt:variant>
      <vt:variant>
        <vt:i4>3972</vt:i4>
      </vt:variant>
      <vt:variant>
        <vt:i4>0</vt:i4>
      </vt:variant>
      <vt:variant>
        <vt:i4>5</vt:i4>
      </vt:variant>
      <vt:variant>
        <vt:lpwstr>http://vbaw.vba.va.gov/bl/21/M21-1MR/index.asp?id=pt05_sp02_ch01_secB.xml</vt:lpwstr>
      </vt:variant>
      <vt:variant>
        <vt:lpwstr>V.ii.1.B.5</vt:lpwstr>
      </vt:variant>
      <vt:variant>
        <vt:i4>786478</vt:i4>
      </vt:variant>
      <vt:variant>
        <vt:i4>3969</vt:i4>
      </vt:variant>
      <vt:variant>
        <vt:i4>0</vt:i4>
      </vt:variant>
      <vt:variant>
        <vt:i4>5</vt:i4>
      </vt:variant>
      <vt:variant>
        <vt:lpwstr>http://vbaw.vba.va.gov/bl/21/M21-1MR/index.asp?id=pt05_sp02_ch01_secA.xml</vt:lpwstr>
      </vt:variant>
      <vt:variant>
        <vt:lpwstr>V.ii.1.A.1</vt:lpwstr>
      </vt:variant>
      <vt:variant>
        <vt:i4>8192093</vt:i4>
      </vt:variant>
      <vt:variant>
        <vt:i4>3966</vt:i4>
      </vt:variant>
      <vt:variant>
        <vt:i4>0</vt:i4>
      </vt:variant>
      <vt:variant>
        <vt:i4>5</vt:i4>
      </vt:variant>
      <vt:variant>
        <vt:lpwstr>http://vbaw.vba.va.gov/bl/21/M21-1MR/index.asp?id=pt03_sp04_ch06_secB.xml</vt:lpwstr>
      </vt:variant>
      <vt:variant>
        <vt:lpwstr>III.iv.6.B.3</vt:lpwstr>
      </vt:variant>
      <vt:variant>
        <vt:i4>1572972</vt:i4>
      </vt:variant>
      <vt:variant>
        <vt:i4>3963</vt:i4>
      </vt:variant>
      <vt:variant>
        <vt:i4>0</vt:i4>
      </vt:variant>
      <vt:variant>
        <vt:i4>5</vt:i4>
      </vt:variant>
      <vt:variant>
        <vt:lpwstr>http://vbaw.vba.va.gov/bl/21/publicat/Regs/Part4/4_17.htm</vt:lpwstr>
      </vt:variant>
      <vt:variant>
        <vt:lpwstr/>
      </vt:variant>
      <vt:variant>
        <vt:i4>7798877</vt:i4>
      </vt:variant>
      <vt:variant>
        <vt:i4>3960</vt:i4>
      </vt:variant>
      <vt:variant>
        <vt:i4>0</vt:i4>
      </vt:variant>
      <vt:variant>
        <vt:i4>5</vt:i4>
      </vt:variant>
      <vt:variant>
        <vt:lpwstr>http://vbaw.vba.va.gov/bl/21/publicat/Regs/Part3/3_342.htm</vt:lpwstr>
      </vt:variant>
      <vt:variant>
        <vt:lpwstr/>
      </vt:variant>
      <vt:variant>
        <vt:i4>5636101</vt:i4>
      </vt:variant>
      <vt:variant>
        <vt:i4>3957</vt:i4>
      </vt:variant>
      <vt:variant>
        <vt:i4>0</vt:i4>
      </vt:variant>
      <vt:variant>
        <vt:i4>5</vt:i4>
      </vt:variant>
      <vt:variant>
        <vt:lpwstr>http://vbaw.vba.va.gov/BL/21/M21/content/infomap.asp?address=M21-1MRV.ii.1.A.1</vt:lpwstr>
      </vt:variant>
      <vt:variant>
        <vt:lpwstr>M21-1MRV.ii.1.A.1.a</vt:lpwstr>
      </vt:variant>
      <vt:variant>
        <vt:i4>6094915</vt:i4>
      </vt:variant>
      <vt:variant>
        <vt:i4>3954</vt:i4>
      </vt:variant>
      <vt:variant>
        <vt:i4>0</vt:i4>
      </vt:variant>
      <vt:variant>
        <vt:i4>5</vt:i4>
      </vt:variant>
      <vt:variant>
        <vt:lpwstr>http://vbaw.vba.va.gov/BL/21/M21/content/infomap.asp?address=M21-1MRIII.v.2.A.3.c</vt:lpwstr>
      </vt:variant>
      <vt:variant>
        <vt:lpwstr>M21-1MRIII.v.2.A.3.c</vt:lpwstr>
      </vt:variant>
      <vt:variant>
        <vt:i4>5570566</vt:i4>
      </vt:variant>
      <vt:variant>
        <vt:i4>3951</vt:i4>
      </vt:variant>
      <vt:variant>
        <vt:i4>0</vt:i4>
      </vt:variant>
      <vt:variant>
        <vt:i4>5</vt:i4>
      </vt:variant>
      <vt:variant>
        <vt:lpwstr>http://vbaw.vba.va.gov/BL/21/M21/content/infomap.asp?address=M21-1MRIII.iv.2.A.1</vt:lpwstr>
      </vt:variant>
      <vt:variant>
        <vt:lpwstr>M21-1MRIII.iv.2.A.1.b</vt:lpwstr>
      </vt:variant>
      <vt:variant>
        <vt:i4>5439488</vt:i4>
      </vt:variant>
      <vt:variant>
        <vt:i4>3948</vt:i4>
      </vt:variant>
      <vt:variant>
        <vt:i4>0</vt:i4>
      </vt:variant>
      <vt:variant>
        <vt:i4>5</vt:i4>
      </vt:variant>
      <vt:variant>
        <vt:lpwstr>http://vbaw.vba.va.gov/BL/21/M21/content/infomap.asp?address=M21-1MRIII.iv.7.A.2</vt:lpwstr>
      </vt:variant>
      <vt:variant>
        <vt:lpwstr>M21-1MRIII.iv.7.A.2.d</vt:lpwstr>
      </vt:variant>
      <vt:variant>
        <vt:i4>5177378</vt:i4>
      </vt:variant>
      <vt:variant>
        <vt:i4>3945</vt:i4>
      </vt:variant>
      <vt:variant>
        <vt:i4>0</vt:i4>
      </vt:variant>
      <vt:variant>
        <vt:i4>5</vt:i4>
      </vt:variant>
      <vt:variant>
        <vt:lpwstr>http://vbaw.vba.va.gov/bl/21/publicat/Manuals/Rates/rates_home.htm</vt:lpwstr>
      </vt:variant>
      <vt:variant>
        <vt:lpwstr/>
      </vt:variant>
      <vt:variant>
        <vt:i4>4653113</vt:i4>
      </vt:variant>
      <vt:variant>
        <vt:i4>3942</vt:i4>
      </vt:variant>
      <vt:variant>
        <vt:i4>0</vt:i4>
      </vt:variant>
      <vt:variant>
        <vt:i4>5</vt:i4>
      </vt:variant>
      <vt:variant>
        <vt:lpwstr>http://10.220.1.4/bl/21/faq/FAQ_Answer.asp?ref=362</vt:lpwstr>
      </vt:variant>
      <vt:variant>
        <vt:lpwstr/>
      </vt:variant>
      <vt:variant>
        <vt:i4>4522040</vt:i4>
      </vt:variant>
      <vt:variant>
        <vt:i4>3939</vt:i4>
      </vt:variant>
      <vt:variant>
        <vt:i4>0</vt:i4>
      </vt:variant>
      <vt:variant>
        <vt:i4>5</vt:i4>
      </vt:variant>
      <vt:variant>
        <vt:lpwstr>http://10.220.1.4/bl/21/faq/FAQ_Answer.asp?ref=172</vt:lpwstr>
      </vt:variant>
      <vt:variant>
        <vt:lpwstr/>
      </vt:variant>
      <vt:variant>
        <vt:i4>3407885</vt:i4>
      </vt:variant>
      <vt:variant>
        <vt:i4>3936</vt:i4>
      </vt:variant>
      <vt:variant>
        <vt:i4>0</vt:i4>
      </vt:variant>
      <vt:variant>
        <vt:i4>5</vt:i4>
      </vt:variant>
      <vt:variant>
        <vt:lpwstr>http://vbacodmoint1.vba.va.gov/bl/21/faq/FAQ_Answer.asp?ref=142</vt:lpwstr>
      </vt:variant>
      <vt:variant>
        <vt:lpwstr/>
      </vt:variant>
      <vt:variant>
        <vt:i4>3604494</vt:i4>
      </vt:variant>
      <vt:variant>
        <vt:i4>3933</vt:i4>
      </vt:variant>
      <vt:variant>
        <vt:i4>0</vt:i4>
      </vt:variant>
      <vt:variant>
        <vt:i4>5</vt:i4>
      </vt:variant>
      <vt:variant>
        <vt:lpwstr>http://vbacodmoint1.vba.va.gov/bl/21/faq/FAQ_Answer.asp?ref=277</vt:lpwstr>
      </vt:variant>
      <vt:variant>
        <vt:lpwstr/>
      </vt:variant>
      <vt:variant>
        <vt:i4>4390973</vt:i4>
      </vt:variant>
      <vt:variant>
        <vt:i4>3930</vt:i4>
      </vt:variant>
      <vt:variant>
        <vt:i4>0</vt:i4>
      </vt:variant>
      <vt:variant>
        <vt:i4>5</vt:i4>
      </vt:variant>
      <vt:variant>
        <vt:lpwstr>http://10.220.1.4/bl/21/faq/FAQ_Answer.asp?ref=124</vt:lpwstr>
      </vt:variant>
      <vt:variant>
        <vt:lpwstr/>
      </vt:variant>
      <vt:variant>
        <vt:i4>5242883</vt:i4>
      </vt:variant>
      <vt:variant>
        <vt:i4>3924</vt:i4>
      </vt:variant>
      <vt:variant>
        <vt:i4>0</vt:i4>
      </vt:variant>
      <vt:variant>
        <vt:i4>5</vt:i4>
      </vt:variant>
      <vt:variant>
        <vt:lpwstr>http://vbaw.vba.va.gov/BL/21/M21/content/infomap.asp?address=M21-1MRIII.iv.6.B.3</vt:lpwstr>
      </vt:variant>
      <vt:variant>
        <vt:lpwstr>M21-1MRIII.iv.6.B.3.d</vt:lpwstr>
      </vt:variant>
      <vt:variant>
        <vt:i4>1638515</vt:i4>
      </vt:variant>
      <vt:variant>
        <vt:i4>3922</vt:i4>
      </vt:variant>
      <vt:variant>
        <vt:i4>0</vt:i4>
      </vt:variant>
      <vt:variant>
        <vt:i4>5</vt:i4>
      </vt:variant>
      <vt:variant>
        <vt:lpwstr>http://vbaw.vba.va.gov/bl/21/M21-1MR/index.asp?id=pt03_sp04_ch06_secB.xml</vt:lpwstr>
      </vt:variant>
      <vt:variant>
        <vt:lpwstr>III.iv.6.B.3.d</vt:lpwstr>
      </vt:variant>
      <vt:variant>
        <vt:i4>5242883</vt:i4>
      </vt:variant>
      <vt:variant>
        <vt:i4>3920</vt:i4>
      </vt:variant>
      <vt:variant>
        <vt:i4>0</vt:i4>
      </vt:variant>
      <vt:variant>
        <vt:i4>5</vt:i4>
      </vt:variant>
      <vt:variant>
        <vt:lpwstr>http://vbaw.vba.va.gov/BL/21/M21/content/infomap.asp?address=M21-1MRIII.iv.6.B.3</vt:lpwstr>
      </vt:variant>
      <vt:variant>
        <vt:lpwstr>M21-1MRIII.iv.6.B.3.d</vt:lpwstr>
      </vt:variant>
      <vt:variant>
        <vt:i4>1638515</vt:i4>
      </vt:variant>
      <vt:variant>
        <vt:i4>3918</vt:i4>
      </vt:variant>
      <vt:variant>
        <vt:i4>0</vt:i4>
      </vt:variant>
      <vt:variant>
        <vt:i4>5</vt:i4>
      </vt:variant>
      <vt:variant>
        <vt:lpwstr>http://vbaw.vba.va.gov/bl/21/M21-1MR/index.asp?id=pt03_sp04_ch06_secB.xml</vt:lpwstr>
      </vt:variant>
      <vt:variant>
        <vt:lpwstr>III.iv.6.B.3.d</vt:lpwstr>
      </vt:variant>
      <vt:variant>
        <vt:i4>8061018</vt:i4>
      </vt:variant>
      <vt:variant>
        <vt:i4>3915</vt:i4>
      </vt:variant>
      <vt:variant>
        <vt:i4>0</vt:i4>
      </vt:variant>
      <vt:variant>
        <vt:i4>5</vt:i4>
      </vt:variant>
      <vt:variant>
        <vt:lpwstr>http://vbaw.vba.va.gov/bl/21/M21-1MR/index.asp?id=pt03_sp04_ch06_secE.xml</vt:lpwstr>
      </vt:variant>
      <vt:variant>
        <vt:lpwstr>III.iv.6.E.24</vt:lpwstr>
      </vt:variant>
      <vt:variant>
        <vt:i4>4194385</vt:i4>
      </vt:variant>
      <vt:variant>
        <vt:i4>3912</vt:i4>
      </vt:variant>
      <vt:variant>
        <vt:i4>0</vt:i4>
      </vt:variant>
      <vt:variant>
        <vt:i4>5</vt:i4>
      </vt:variant>
      <vt:variant>
        <vt:lpwstr>http://vbaw.vba.va.gov/bl/21/M21-1MR/index.asp?id=pt05_sp01_ch02.xml</vt:lpwstr>
      </vt:variant>
      <vt:variant>
        <vt:lpwstr>V.i.2.1</vt:lpwstr>
      </vt:variant>
      <vt:variant>
        <vt:i4>7471193</vt:i4>
      </vt:variant>
      <vt:variant>
        <vt:i4>3909</vt:i4>
      </vt:variant>
      <vt:variant>
        <vt:i4>0</vt:i4>
      </vt:variant>
      <vt:variant>
        <vt:i4>5</vt:i4>
      </vt:variant>
      <vt:variant>
        <vt:lpwstr>http://vbaw.vba.va.gov/bl/21/publicat/Regs/Part3/3_400.htm</vt:lpwstr>
      </vt:variant>
      <vt:variant>
        <vt:lpwstr/>
      </vt:variant>
      <vt:variant>
        <vt:i4>4522089</vt:i4>
      </vt:variant>
      <vt:variant>
        <vt:i4>3906</vt:i4>
      </vt:variant>
      <vt:variant>
        <vt:i4>0</vt:i4>
      </vt:variant>
      <vt:variant>
        <vt:i4>5</vt:i4>
      </vt:variant>
      <vt:variant>
        <vt:lpwstr>http://vbaw.vba.va.gov/bl/21/publicat/Regs/Part3/3_3.htm</vt:lpwstr>
      </vt:variant>
      <vt:variant>
        <vt:lpwstr/>
      </vt:variant>
      <vt:variant>
        <vt:i4>4456553</vt:i4>
      </vt:variant>
      <vt:variant>
        <vt:i4>3903</vt:i4>
      </vt:variant>
      <vt:variant>
        <vt:i4>0</vt:i4>
      </vt:variant>
      <vt:variant>
        <vt:i4>5</vt:i4>
      </vt:variant>
      <vt:variant>
        <vt:lpwstr>http://vbaw.vba.va.gov/bl/21/publicat/Regs/Part3/3_2.htm</vt:lpwstr>
      </vt:variant>
      <vt:variant>
        <vt:lpwstr/>
      </vt:variant>
      <vt:variant>
        <vt:i4>262154</vt:i4>
      </vt:variant>
      <vt:variant>
        <vt:i4>3900</vt:i4>
      </vt:variant>
      <vt:variant>
        <vt:i4>0</vt:i4>
      </vt:variant>
      <vt:variant>
        <vt:i4>5</vt:i4>
      </vt:variant>
      <vt:variant>
        <vt:lpwstr/>
      </vt:variant>
      <vt:variant>
        <vt:lpwstr>ExamGuide</vt:lpwstr>
      </vt:variant>
      <vt:variant>
        <vt:i4>7340131</vt:i4>
      </vt:variant>
      <vt:variant>
        <vt:i4>3897</vt:i4>
      </vt:variant>
      <vt:variant>
        <vt:i4>0</vt:i4>
      </vt:variant>
      <vt:variant>
        <vt:i4>5</vt:i4>
      </vt:variant>
      <vt:variant>
        <vt:lpwstr>http://vbaw.vba.va.gov/bl/21/systems/docs/WIDR.DOC</vt:lpwstr>
      </vt:variant>
      <vt:variant>
        <vt:lpwstr/>
      </vt:variant>
      <vt:variant>
        <vt:i4>8060972</vt:i4>
      </vt:variant>
      <vt:variant>
        <vt:i4>3894</vt:i4>
      </vt:variant>
      <vt:variant>
        <vt:i4>0</vt:i4>
      </vt:variant>
      <vt:variant>
        <vt:i4>5</vt:i4>
      </vt:variant>
      <vt:variant>
        <vt:lpwstr>http://vbaw.vba.va.gov/bl/21/data/quality/QATIMES/v1i1.pdf</vt:lpwstr>
      </vt:variant>
      <vt:variant>
        <vt:lpwstr/>
      </vt:variant>
      <vt:variant>
        <vt:i4>7667746</vt:i4>
      </vt:variant>
      <vt:variant>
        <vt:i4>3891</vt:i4>
      </vt:variant>
      <vt:variant>
        <vt:i4>0</vt:i4>
      </vt:variant>
      <vt:variant>
        <vt:i4>5</vt:i4>
      </vt:variant>
      <vt:variant>
        <vt:lpwstr>http://vbaw.vba.va.gov/bl/21/publicat/Letters/FL08/FL08-009.doc</vt:lpwstr>
      </vt:variant>
      <vt:variant>
        <vt:lpwstr/>
      </vt:variant>
      <vt:variant>
        <vt:i4>1310789</vt:i4>
      </vt:variant>
      <vt:variant>
        <vt:i4>3888</vt:i4>
      </vt:variant>
      <vt:variant>
        <vt:i4>0</vt:i4>
      </vt:variant>
      <vt:variant>
        <vt:i4>5</vt:i4>
      </vt:variant>
      <vt:variant>
        <vt:lpwstr>http://vbaw.vba.va.gov/BL/21/M21/content/infomap.asp?address=M21-1MRIV.ii.2.F.28</vt:lpwstr>
      </vt:variant>
      <vt:variant>
        <vt:lpwstr/>
      </vt:variant>
      <vt:variant>
        <vt:i4>6357092</vt:i4>
      </vt:variant>
      <vt:variant>
        <vt:i4>3885</vt:i4>
      </vt:variant>
      <vt:variant>
        <vt:i4>0</vt:i4>
      </vt:variant>
      <vt:variant>
        <vt:i4>5</vt:i4>
      </vt:variant>
      <vt:variant>
        <vt:lpwstr>http://vbaw.vba.va.gov/bl/21/publicat/Letters/TrngLtrs/TL10-07.doc</vt:lpwstr>
      </vt:variant>
      <vt:variant>
        <vt:lpwstr/>
      </vt:variant>
      <vt:variant>
        <vt:i4>3604495</vt:i4>
      </vt:variant>
      <vt:variant>
        <vt:i4>3882</vt:i4>
      </vt:variant>
      <vt:variant>
        <vt:i4>0</vt:i4>
      </vt:variant>
      <vt:variant>
        <vt:i4>5</vt:i4>
      </vt:variant>
      <vt:variant>
        <vt:lpwstr>http://vbacodmoint1.vba.va.gov/bl/21/faq/FAQ_Answer.asp?ref=378</vt:lpwstr>
      </vt:variant>
      <vt:variant>
        <vt:lpwstr/>
      </vt:variant>
      <vt:variant>
        <vt:i4>1310789</vt:i4>
      </vt:variant>
      <vt:variant>
        <vt:i4>3879</vt:i4>
      </vt:variant>
      <vt:variant>
        <vt:i4>0</vt:i4>
      </vt:variant>
      <vt:variant>
        <vt:i4>5</vt:i4>
      </vt:variant>
      <vt:variant>
        <vt:lpwstr>http://vbaw.vba.va.gov/BL/21/M21/content/infomap.asp?address=M21-1MRIV.ii.2.F.28</vt:lpwstr>
      </vt:variant>
      <vt:variant>
        <vt:lpwstr/>
      </vt:variant>
      <vt:variant>
        <vt:i4>393290</vt:i4>
      </vt:variant>
      <vt:variant>
        <vt:i4>3875</vt:i4>
      </vt:variant>
      <vt:variant>
        <vt:i4>0</vt:i4>
      </vt:variant>
      <vt:variant>
        <vt:i4>5</vt:i4>
      </vt:variant>
      <vt:variant>
        <vt:lpwstr>http://vbaw.vba.va.gov/bl/21/calendar/agenda/FY06/Agenda0106.htm</vt:lpwstr>
      </vt:variant>
      <vt:variant>
        <vt:lpwstr/>
      </vt:variant>
      <vt:variant>
        <vt:i4>393290</vt:i4>
      </vt:variant>
      <vt:variant>
        <vt:i4>3873</vt:i4>
      </vt:variant>
      <vt:variant>
        <vt:i4>0</vt:i4>
      </vt:variant>
      <vt:variant>
        <vt:i4>5</vt:i4>
      </vt:variant>
      <vt:variant>
        <vt:lpwstr>http://vbaw.vba.va.gov/bl/21/calendar/agenda/FY06/Agenda0106.htm</vt:lpwstr>
      </vt:variant>
      <vt:variant>
        <vt:lpwstr/>
      </vt:variant>
      <vt:variant>
        <vt:i4>393290</vt:i4>
      </vt:variant>
      <vt:variant>
        <vt:i4>3870</vt:i4>
      </vt:variant>
      <vt:variant>
        <vt:i4>0</vt:i4>
      </vt:variant>
      <vt:variant>
        <vt:i4>5</vt:i4>
      </vt:variant>
      <vt:variant>
        <vt:lpwstr>http://vbaw.vba.va.gov/bl/21/calendar/agenda/FY06/Agenda0106.htm</vt:lpwstr>
      </vt:variant>
      <vt:variant>
        <vt:lpwstr/>
      </vt:variant>
      <vt:variant>
        <vt:i4>1572962</vt:i4>
      </vt:variant>
      <vt:variant>
        <vt:i4>3867</vt:i4>
      </vt:variant>
      <vt:variant>
        <vt:i4>0</vt:i4>
      </vt:variant>
      <vt:variant>
        <vt:i4>5</vt:i4>
      </vt:variant>
      <vt:variant>
        <vt:lpwstr>http://vbaw.vba.va.gov/bl/21/publicat/Regs/Part4/4_19.htm</vt:lpwstr>
      </vt:variant>
      <vt:variant>
        <vt:lpwstr/>
      </vt:variant>
      <vt:variant>
        <vt:i4>3604484</vt:i4>
      </vt:variant>
      <vt:variant>
        <vt:i4>3864</vt:i4>
      </vt:variant>
      <vt:variant>
        <vt:i4>0</vt:i4>
      </vt:variant>
      <vt:variant>
        <vt:i4>5</vt:i4>
      </vt:variant>
      <vt:variant>
        <vt:lpwstr>http://vbaw.vba.va.gov/bl/21/M21-1MR/index.asp?id=pt04_sp02_ch02_secF.xml</vt:lpwstr>
      </vt:variant>
      <vt:variant>
        <vt:lpwstr>IV.ii.2.F</vt:lpwstr>
      </vt:variant>
      <vt:variant>
        <vt:i4>1572963</vt:i4>
      </vt:variant>
      <vt:variant>
        <vt:i4>3861</vt:i4>
      </vt:variant>
      <vt:variant>
        <vt:i4>0</vt:i4>
      </vt:variant>
      <vt:variant>
        <vt:i4>5</vt:i4>
      </vt:variant>
      <vt:variant>
        <vt:lpwstr>http://vbaw.vba.va.gov/bl/21/publicat/Regs/Part4/4_18.htm</vt:lpwstr>
      </vt:variant>
      <vt:variant>
        <vt:lpwstr/>
      </vt:variant>
      <vt:variant>
        <vt:i4>2687023</vt:i4>
      </vt:variant>
      <vt:variant>
        <vt:i4>3858</vt:i4>
      </vt:variant>
      <vt:variant>
        <vt:i4>0</vt:i4>
      </vt:variant>
      <vt:variant>
        <vt:i4>5</vt:i4>
      </vt:variant>
      <vt:variant>
        <vt:lpwstr>http://www.theworknumber.com/socialservices</vt:lpwstr>
      </vt:variant>
      <vt:variant>
        <vt:lpwstr/>
      </vt:variant>
      <vt:variant>
        <vt:i4>6357044</vt:i4>
      </vt:variant>
      <vt:variant>
        <vt:i4>3855</vt:i4>
      </vt:variant>
      <vt:variant>
        <vt:i4>0</vt:i4>
      </vt:variant>
      <vt:variant>
        <vt:i4>5</vt:i4>
      </vt:variant>
      <vt:variant>
        <vt:lpwstr>http://vbaw.vba.va.gov/bl/21/calendar/agenda/FY12/0912.doc</vt:lpwstr>
      </vt:variant>
      <vt:variant>
        <vt:lpwstr/>
      </vt:variant>
      <vt:variant>
        <vt:i4>524306</vt:i4>
      </vt:variant>
      <vt:variant>
        <vt:i4>3852</vt:i4>
      </vt:variant>
      <vt:variant>
        <vt:i4>0</vt:i4>
      </vt:variant>
      <vt:variant>
        <vt:i4>5</vt:i4>
      </vt:variant>
      <vt:variant>
        <vt:lpwstr>\\vbasdcfpc2\SHARED\VSC\Development &amp; Rating Resources\QRT Bulletin</vt:lpwstr>
      </vt:variant>
      <vt:variant>
        <vt:lpwstr/>
      </vt:variant>
      <vt:variant>
        <vt:i4>7471193</vt:i4>
      </vt:variant>
      <vt:variant>
        <vt:i4>3849</vt:i4>
      </vt:variant>
      <vt:variant>
        <vt:i4>0</vt:i4>
      </vt:variant>
      <vt:variant>
        <vt:i4>5</vt:i4>
      </vt:variant>
      <vt:variant>
        <vt:lpwstr>http://vbaw.vba.va.gov/bl/21/publicat/Regs/Part3/3_400.htm</vt:lpwstr>
      </vt:variant>
      <vt:variant>
        <vt:lpwstr/>
      </vt:variant>
      <vt:variant>
        <vt:i4>7667757</vt:i4>
      </vt:variant>
      <vt:variant>
        <vt:i4>3846</vt:i4>
      </vt:variant>
      <vt:variant>
        <vt:i4>0</vt:i4>
      </vt:variant>
      <vt:variant>
        <vt:i4>5</vt:i4>
      </vt:variant>
      <vt:variant>
        <vt:lpwstr>http://vbaw.vba.va.gov/bl/21/publicat/Letters/FL08/FL08-006.doc</vt:lpwstr>
      </vt:variant>
      <vt:variant>
        <vt:lpwstr/>
      </vt:variant>
      <vt:variant>
        <vt:i4>4587583</vt:i4>
      </vt:variant>
      <vt:variant>
        <vt:i4>3843</vt:i4>
      </vt:variant>
      <vt:variant>
        <vt:i4>0</vt:i4>
      </vt:variant>
      <vt:variant>
        <vt:i4>5</vt:i4>
      </vt:variant>
      <vt:variant>
        <vt:lpwstr>http://10.220.1.4/bl/21/faq/FAQ_Answer.asp?ref=202</vt:lpwstr>
      </vt:variant>
      <vt:variant>
        <vt:lpwstr/>
      </vt:variant>
      <vt:variant>
        <vt:i4>3211277</vt:i4>
      </vt:variant>
      <vt:variant>
        <vt:i4>3840</vt:i4>
      </vt:variant>
      <vt:variant>
        <vt:i4>0</vt:i4>
      </vt:variant>
      <vt:variant>
        <vt:i4>5</vt:i4>
      </vt:variant>
      <vt:variant>
        <vt:lpwstr>http://vbacodmoint1.vba.va.gov/bl/21/faq/FAQ_Answer.asp?ref=110</vt:lpwstr>
      </vt:variant>
      <vt:variant>
        <vt:lpwstr/>
      </vt:variant>
      <vt:variant>
        <vt:i4>3080272</vt:i4>
      </vt:variant>
      <vt:variant>
        <vt:i4>3837</vt:i4>
      </vt:variant>
      <vt:variant>
        <vt:i4>0</vt:i4>
      </vt:variant>
      <vt:variant>
        <vt:i4>5</vt:i4>
      </vt:variant>
      <vt:variant>
        <vt:lpwstr>http://vbaw.vba.va.gov/bl/21/M21-1MR/index.asp?id=pt04_sp02_ch02_secF.xml</vt:lpwstr>
      </vt:variant>
      <vt:variant>
        <vt:lpwstr>IV.ii.2.F.26</vt:lpwstr>
      </vt:variant>
      <vt:variant>
        <vt:i4>7929947</vt:i4>
      </vt:variant>
      <vt:variant>
        <vt:i4>3834</vt:i4>
      </vt:variant>
      <vt:variant>
        <vt:i4>0</vt:i4>
      </vt:variant>
      <vt:variant>
        <vt:i4>5</vt:i4>
      </vt:variant>
      <vt:variant>
        <vt:lpwstr>http://vbaw.vba.va.gov/bl/21/M21-1MR/index.asp?id=pt03_sp04_ch06_secD.xml</vt:lpwstr>
      </vt:variant>
      <vt:variant>
        <vt:lpwstr>III.iv.6.D.16</vt:lpwstr>
      </vt:variant>
      <vt:variant>
        <vt:i4>7864413</vt:i4>
      </vt:variant>
      <vt:variant>
        <vt:i4>3831</vt:i4>
      </vt:variant>
      <vt:variant>
        <vt:i4>0</vt:i4>
      </vt:variant>
      <vt:variant>
        <vt:i4>5</vt:i4>
      </vt:variant>
      <vt:variant>
        <vt:lpwstr>http://vbaw.vba.va.gov/bl/21/M21-1MR/index.asp?id=pt03_sp04_ch07_secB.xml</vt:lpwstr>
      </vt:variant>
      <vt:variant>
        <vt:lpwstr>III.iv.7.B.6</vt:lpwstr>
      </vt:variant>
      <vt:variant>
        <vt:i4>7602267</vt:i4>
      </vt:variant>
      <vt:variant>
        <vt:i4>3828</vt:i4>
      </vt:variant>
      <vt:variant>
        <vt:i4>0</vt:i4>
      </vt:variant>
      <vt:variant>
        <vt:i4>5</vt:i4>
      </vt:variant>
      <vt:variant>
        <vt:lpwstr>http://vbaw.vba.va.gov/bl/21/publicat/Regs/Part3/3_321.htm</vt:lpwstr>
      </vt:variant>
      <vt:variant>
        <vt:lpwstr/>
      </vt:variant>
      <vt:variant>
        <vt:i4>1572973</vt:i4>
      </vt:variant>
      <vt:variant>
        <vt:i4>3825</vt:i4>
      </vt:variant>
      <vt:variant>
        <vt:i4>0</vt:i4>
      </vt:variant>
      <vt:variant>
        <vt:i4>5</vt:i4>
      </vt:variant>
      <vt:variant>
        <vt:lpwstr>http://vbaw.vba.va.gov/bl/21/publicat/Regs/Part4/4_16.htm</vt:lpwstr>
      </vt:variant>
      <vt:variant>
        <vt:lpwstr/>
      </vt:variant>
      <vt:variant>
        <vt:i4>7864410</vt:i4>
      </vt:variant>
      <vt:variant>
        <vt:i4>3822</vt:i4>
      </vt:variant>
      <vt:variant>
        <vt:i4>0</vt:i4>
      </vt:variant>
      <vt:variant>
        <vt:i4>5</vt:i4>
      </vt:variant>
      <vt:variant>
        <vt:lpwstr>http://vbaw.vba.va.gov/bl/21/M21-1MR/index.asp?id=pt03_sp04_ch08_secE.xml</vt:lpwstr>
      </vt:variant>
      <vt:variant>
        <vt:lpwstr>III.iv.8.E.16</vt:lpwstr>
      </vt:variant>
      <vt:variant>
        <vt:i4>7929947</vt:i4>
      </vt:variant>
      <vt:variant>
        <vt:i4>3819</vt:i4>
      </vt:variant>
      <vt:variant>
        <vt:i4>0</vt:i4>
      </vt:variant>
      <vt:variant>
        <vt:i4>5</vt:i4>
      </vt:variant>
      <vt:variant>
        <vt:lpwstr>http://vbaw.vba.va.gov/bl/21/M21-1MR/index.asp?id=pt03_sp04_ch08_secD.xml</vt:lpwstr>
      </vt:variant>
      <vt:variant>
        <vt:lpwstr>III.iv.8.D.11</vt:lpwstr>
      </vt:variant>
      <vt:variant>
        <vt:i4>7798876</vt:i4>
      </vt:variant>
      <vt:variant>
        <vt:i4>3816</vt:i4>
      </vt:variant>
      <vt:variant>
        <vt:i4>0</vt:i4>
      </vt:variant>
      <vt:variant>
        <vt:i4>5</vt:i4>
      </vt:variant>
      <vt:variant>
        <vt:lpwstr>http://vbaw.vba.va.gov/bl/21/M21-1MR/index.asp?id=pt03_sp04_ch08_secC.xml</vt:lpwstr>
      </vt:variant>
      <vt:variant>
        <vt:lpwstr>III.iv.8.C.8</vt:lpwstr>
      </vt:variant>
      <vt:variant>
        <vt:i4>7864413</vt:i4>
      </vt:variant>
      <vt:variant>
        <vt:i4>3813</vt:i4>
      </vt:variant>
      <vt:variant>
        <vt:i4>0</vt:i4>
      </vt:variant>
      <vt:variant>
        <vt:i4>5</vt:i4>
      </vt:variant>
      <vt:variant>
        <vt:lpwstr>http://vbaw.vba.va.gov/bl/21/M21-1MR/index.asp?id=pt03_sp04_ch08_secB.xml</vt:lpwstr>
      </vt:variant>
      <vt:variant>
        <vt:lpwstr>III.iv.8.B.6</vt:lpwstr>
      </vt:variant>
      <vt:variant>
        <vt:i4>7733341</vt:i4>
      </vt:variant>
      <vt:variant>
        <vt:i4>3810</vt:i4>
      </vt:variant>
      <vt:variant>
        <vt:i4>0</vt:i4>
      </vt:variant>
      <vt:variant>
        <vt:i4>5</vt:i4>
      </vt:variant>
      <vt:variant>
        <vt:lpwstr>http://vbaw.vba.va.gov/bl/21/publicat/Regs/Part3/3_343.htm</vt:lpwstr>
      </vt:variant>
      <vt:variant>
        <vt:lpwstr/>
      </vt:variant>
      <vt:variant>
        <vt:i4>7602269</vt:i4>
      </vt:variant>
      <vt:variant>
        <vt:i4>3807</vt:i4>
      </vt:variant>
      <vt:variant>
        <vt:i4>0</vt:i4>
      </vt:variant>
      <vt:variant>
        <vt:i4>5</vt:i4>
      </vt:variant>
      <vt:variant>
        <vt:lpwstr>http://vbaw.vba.va.gov/bl/21/publicat/Regs/Part3/3_341.htm</vt:lpwstr>
      </vt:variant>
      <vt:variant>
        <vt:lpwstr/>
      </vt:variant>
      <vt:variant>
        <vt:i4>6946871</vt:i4>
      </vt:variant>
      <vt:variant>
        <vt:i4>3804</vt:i4>
      </vt:variant>
      <vt:variant>
        <vt:i4>0</vt:i4>
      </vt:variant>
      <vt:variant>
        <vt:i4>5</vt:i4>
      </vt:variant>
      <vt:variant>
        <vt:lpwstr>http://vbaw.vba.va.gov/bl/21/calendar/agenda/FY11/0111.doc</vt:lpwstr>
      </vt:variant>
      <vt:variant>
        <vt:lpwstr/>
      </vt:variant>
      <vt:variant>
        <vt:i4>6357092</vt:i4>
      </vt:variant>
      <vt:variant>
        <vt:i4>3801</vt:i4>
      </vt:variant>
      <vt:variant>
        <vt:i4>0</vt:i4>
      </vt:variant>
      <vt:variant>
        <vt:i4>5</vt:i4>
      </vt:variant>
      <vt:variant>
        <vt:lpwstr>http://vbaw.vba.va.gov/bl/21/publicat/Letters/TrngLtrs/TL10-07.doc</vt:lpwstr>
      </vt:variant>
      <vt:variant>
        <vt:lpwstr/>
      </vt:variant>
      <vt:variant>
        <vt:i4>7798825</vt:i4>
      </vt:variant>
      <vt:variant>
        <vt:i4>3798</vt:i4>
      </vt:variant>
      <vt:variant>
        <vt:i4>0</vt:i4>
      </vt:variant>
      <vt:variant>
        <vt:i4>5</vt:i4>
      </vt:variant>
      <vt:variant>
        <vt:lpwstr>http://vbaw.vba.va.gov/bl/21/publicat/Letters/FL09/FL09-033.doc</vt:lpwstr>
      </vt:variant>
      <vt:variant>
        <vt:lpwstr/>
      </vt:variant>
      <vt:variant>
        <vt:i4>6225949</vt:i4>
      </vt:variant>
      <vt:variant>
        <vt:i4>3795</vt:i4>
      </vt:variant>
      <vt:variant>
        <vt:i4>0</vt:i4>
      </vt:variant>
      <vt:variant>
        <vt:i4>5</vt:i4>
      </vt:variant>
      <vt:variant>
        <vt:lpwstr>http://vbaw.vba.va.gov/bl/21/Advisory/DADS/2009dads/Rice.doc</vt:lpwstr>
      </vt:variant>
      <vt:variant>
        <vt:lpwstr/>
      </vt:variant>
      <vt:variant>
        <vt:i4>6160451</vt:i4>
      </vt:variant>
      <vt:variant>
        <vt:i4>3792</vt:i4>
      </vt:variant>
      <vt:variant>
        <vt:i4>0</vt:i4>
      </vt:variant>
      <vt:variant>
        <vt:i4>5</vt:i4>
      </vt:variant>
      <vt:variant>
        <vt:lpwstr>http://vbaw.vba.va.gov/bl/21/Systems/docs/Bradley.doc</vt:lpwstr>
      </vt:variant>
      <vt:variant>
        <vt:lpwstr/>
      </vt:variant>
      <vt:variant>
        <vt:i4>7798825</vt:i4>
      </vt:variant>
      <vt:variant>
        <vt:i4>3789</vt:i4>
      </vt:variant>
      <vt:variant>
        <vt:i4>0</vt:i4>
      </vt:variant>
      <vt:variant>
        <vt:i4>5</vt:i4>
      </vt:variant>
      <vt:variant>
        <vt:lpwstr>http://vbaw.vba.va.gov/bl/21/publicat/Letters/FL09/FL09-033.doc</vt:lpwstr>
      </vt:variant>
      <vt:variant>
        <vt:lpwstr/>
      </vt:variant>
      <vt:variant>
        <vt:i4>6684734</vt:i4>
      </vt:variant>
      <vt:variant>
        <vt:i4>3786</vt:i4>
      </vt:variant>
      <vt:variant>
        <vt:i4>0</vt:i4>
      </vt:variant>
      <vt:variant>
        <vt:i4>5</vt:i4>
      </vt:variant>
      <vt:variant>
        <vt:lpwstr>http://vbaw.vba.va.gov/bl/21/advisory/DADS/2008dads/Bradley.doc</vt:lpwstr>
      </vt:variant>
      <vt:variant>
        <vt:lpwstr/>
      </vt:variant>
      <vt:variant>
        <vt:i4>2097187</vt:i4>
      </vt:variant>
      <vt:variant>
        <vt:i4>3783</vt:i4>
      </vt:variant>
      <vt:variant>
        <vt:i4>0</vt:i4>
      </vt:variant>
      <vt:variant>
        <vt:i4>5</vt:i4>
      </vt:variant>
      <vt:variant>
        <vt:lpwstr>http://vbaw.vba.va.gov/bl/21/publicat/Letters/TrngLtrs/TL07-01E.doc</vt:lpwstr>
      </vt:variant>
      <vt:variant>
        <vt:lpwstr/>
      </vt:variant>
      <vt:variant>
        <vt:i4>2883664</vt:i4>
      </vt:variant>
      <vt:variant>
        <vt:i4>3780</vt:i4>
      </vt:variant>
      <vt:variant>
        <vt:i4>0</vt:i4>
      </vt:variant>
      <vt:variant>
        <vt:i4>5</vt:i4>
      </vt:variant>
      <vt:variant>
        <vt:lpwstr>http://vbaw.vba.va.gov/bl/21/M21-1MR/index.asp?id=pt04_sp02_ch02_secF.xml</vt:lpwstr>
      </vt:variant>
      <vt:variant>
        <vt:lpwstr>IV.ii.2.F.25</vt:lpwstr>
      </vt:variant>
      <vt:variant>
        <vt:i4>5242883</vt:i4>
      </vt:variant>
      <vt:variant>
        <vt:i4>3775</vt:i4>
      </vt:variant>
      <vt:variant>
        <vt:i4>0</vt:i4>
      </vt:variant>
      <vt:variant>
        <vt:i4>5</vt:i4>
      </vt:variant>
      <vt:variant>
        <vt:lpwstr>http://vbaw.vba.va.gov/BL/21/M21/content/infomap.asp?address=M21-1MRIII.iv.6.B.3</vt:lpwstr>
      </vt:variant>
      <vt:variant>
        <vt:lpwstr>M21-1MRIII.iv.6.B.3.d</vt:lpwstr>
      </vt:variant>
      <vt:variant>
        <vt:i4>1638515</vt:i4>
      </vt:variant>
      <vt:variant>
        <vt:i4>3773</vt:i4>
      </vt:variant>
      <vt:variant>
        <vt:i4>0</vt:i4>
      </vt:variant>
      <vt:variant>
        <vt:i4>5</vt:i4>
      </vt:variant>
      <vt:variant>
        <vt:lpwstr>http://vbaw.vba.va.gov/bl/21/M21-1MR/index.asp?id=pt03_sp04_ch06_secB.xml</vt:lpwstr>
      </vt:variant>
      <vt:variant>
        <vt:lpwstr>III.iv.6.B.3.d</vt:lpwstr>
      </vt:variant>
      <vt:variant>
        <vt:i4>5242883</vt:i4>
      </vt:variant>
      <vt:variant>
        <vt:i4>3771</vt:i4>
      </vt:variant>
      <vt:variant>
        <vt:i4>0</vt:i4>
      </vt:variant>
      <vt:variant>
        <vt:i4>5</vt:i4>
      </vt:variant>
      <vt:variant>
        <vt:lpwstr>http://vbaw.vba.va.gov/BL/21/M21/content/infomap.asp?address=M21-1MRIII.iv.6.B.3</vt:lpwstr>
      </vt:variant>
      <vt:variant>
        <vt:lpwstr>M21-1MRIII.iv.6.B.3.d</vt:lpwstr>
      </vt:variant>
      <vt:variant>
        <vt:i4>6357092</vt:i4>
      </vt:variant>
      <vt:variant>
        <vt:i4>3768</vt:i4>
      </vt:variant>
      <vt:variant>
        <vt:i4>0</vt:i4>
      </vt:variant>
      <vt:variant>
        <vt:i4>5</vt:i4>
      </vt:variant>
      <vt:variant>
        <vt:lpwstr>http://vbaw.vba.va.gov/bl/21/publicat/Letters/TrngLtrs/TL10-07.doc</vt:lpwstr>
      </vt:variant>
      <vt:variant>
        <vt:lpwstr/>
      </vt:variant>
      <vt:variant>
        <vt:i4>7667805</vt:i4>
      </vt:variant>
      <vt:variant>
        <vt:i4>3765</vt:i4>
      </vt:variant>
      <vt:variant>
        <vt:i4>0</vt:i4>
      </vt:variant>
      <vt:variant>
        <vt:i4>5</vt:i4>
      </vt:variant>
      <vt:variant>
        <vt:lpwstr>http://vbaw.vba.va.gov/bl/21/publicat/Regs/Part3/3_340.htm</vt:lpwstr>
      </vt:variant>
      <vt:variant>
        <vt:lpwstr/>
      </vt:variant>
      <vt:variant>
        <vt:i4>6946869</vt:i4>
      </vt:variant>
      <vt:variant>
        <vt:i4>3762</vt:i4>
      </vt:variant>
      <vt:variant>
        <vt:i4>0</vt:i4>
      </vt:variant>
      <vt:variant>
        <vt:i4>5</vt:i4>
      </vt:variant>
      <vt:variant>
        <vt:lpwstr>http://vbaw.vba.va.gov/bl/21/calendar/agenda/FY12/1212.doc</vt:lpwstr>
      </vt:variant>
      <vt:variant>
        <vt:lpwstr/>
      </vt:variant>
      <vt:variant>
        <vt:i4>524306</vt:i4>
      </vt:variant>
      <vt:variant>
        <vt:i4>3759</vt:i4>
      </vt:variant>
      <vt:variant>
        <vt:i4>0</vt:i4>
      </vt:variant>
      <vt:variant>
        <vt:i4>5</vt:i4>
      </vt:variant>
      <vt:variant>
        <vt:lpwstr>\\vbasdcfpc2\SHARED\VSC\Development &amp; Rating Resources\QRT Bulletin</vt:lpwstr>
      </vt:variant>
      <vt:variant>
        <vt:lpwstr/>
      </vt:variant>
      <vt:variant>
        <vt:i4>7340123</vt:i4>
      </vt:variant>
      <vt:variant>
        <vt:i4>3756</vt:i4>
      </vt:variant>
      <vt:variant>
        <vt:i4>0</vt:i4>
      </vt:variant>
      <vt:variant>
        <vt:i4>5</vt:i4>
      </vt:variant>
      <vt:variant>
        <vt:lpwstr>http://vbaw.vba.va.gov/bl/21/publicat/Regs/Part4/4_127.htm</vt:lpwstr>
      </vt:variant>
      <vt:variant>
        <vt:lpwstr/>
      </vt:variant>
      <vt:variant>
        <vt:i4>5177449</vt:i4>
      </vt:variant>
      <vt:variant>
        <vt:i4>3753</vt:i4>
      </vt:variant>
      <vt:variant>
        <vt:i4>0</vt:i4>
      </vt:variant>
      <vt:variant>
        <vt:i4>5</vt:i4>
      </vt:variant>
      <vt:variant>
        <vt:lpwstr>http://vbaw.vba.va.gov/bl/21/publicat/Regs/Part4/4_9.htm</vt:lpwstr>
      </vt:variant>
      <vt:variant>
        <vt:lpwstr/>
      </vt:variant>
      <vt:variant>
        <vt:i4>7733337</vt:i4>
      </vt:variant>
      <vt:variant>
        <vt:i4>3750</vt:i4>
      </vt:variant>
      <vt:variant>
        <vt:i4>0</vt:i4>
      </vt:variant>
      <vt:variant>
        <vt:i4>5</vt:i4>
      </vt:variant>
      <vt:variant>
        <vt:lpwstr>http://vbaw.vba.va.gov/bl/21/publicat/Regs/Part3/3_303.htm</vt:lpwstr>
      </vt:variant>
      <vt:variant>
        <vt:lpwstr/>
      </vt:variant>
      <vt:variant>
        <vt:i4>7405649</vt:i4>
      </vt:variant>
      <vt:variant>
        <vt:i4>3747</vt:i4>
      </vt:variant>
      <vt:variant>
        <vt:i4>0</vt:i4>
      </vt:variant>
      <vt:variant>
        <vt:i4>5</vt:i4>
      </vt:variant>
      <vt:variant>
        <vt:lpwstr>http://vbaw.vba.va.gov/bl/21/publicat/Regs/Part3/3_384.htm</vt:lpwstr>
      </vt:variant>
      <vt:variant>
        <vt:lpwstr/>
      </vt:variant>
      <vt:variant>
        <vt:i4>786449</vt:i4>
      </vt:variant>
      <vt:variant>
        <vt:i4>3744</vt:i4>
      </vt:variant>
      <vt:variant>
        <vt:i4>0</vt:i4>
      </vt:variant>
      <vt:variant>
        <vt:i4>5</vt:i4>
      </vt:variant>
      <vt:variant>
        <vt:lpwstr>http://vbaw.vba.va.gov/BL/21/M21/content/infomap.asp?address=M21-1MRIX.ii.2.5</vt:lpwstr>
      </vt:variant>
      <vt:variant>
        <vt:lpwstr/>
      </vt:variant>
      <vt:variant>
        <vt:i4>5242883</vt:i4>
      </vt:variant>
      <vt:variant>
        <vt:i4>3739</vt:i4>
      </vt:variant>
      <vt:variant>
        <vt:i4>0</vt:i4>
      </vt:variant>
      <vt:variant>
        <vt:i4>5</vt:i4>
      </vt:variant>
      <vt:variant>
        <vt:lpwstr>http://vbaw.vba.va.gov/BL/21/M21/content/infomap.asp?address=M21-1MRIII.iv.6.B.3</vt:lpwstr>
      </vt:variant>
      <vt:variant>
        <vt:lpwstr>M21-1MRIII.iv.6.B.3.d</vt:lpwstr>
      </vt:variant>
      <vt:variant>
        <vt:i4>1638515</vt:i4>
      </vt:variant>
      <vt:variant>
        <vt:i4>3737</vt:i4>
      </vt:variant>
      <vt:variant>
        <vt:i4>0</vt:i4>
      </vt:variant>
      <vt:variant>
        <vt:i4>5</vt:i4>
      </vt:variant>
      <vt:variant>
        <vt:lpwstr>http://vbaw.vba.va.gov/bl/21/M21-1MR/index.asp?id=pt03_sp04_ch06_secB.xml</vt:lpwstr>
      </vt:variant>
      <vt:variant>
        <vt:lpwstr>III.iv.6.B.3.d</vt:lpwstr>
      </vt:variant>
      <vt:variant>
        <vt:i4>5242883</vt:i4>
      </vt:variant>
      <vt:variant>
        <vt:i4>3735</vt:i4>
      </vt:variant>
      <vt:variant>
        <vt:i4>0</vt:i4>
      </vt:variant>
      <vt:variant>
        <vt:i4>5</vt:i4>
      </vt:variant>
      <vt:variant>
        <vt:lpwstr>http://vbaw.vba.va.gov/BL/21/M21/content/infomap.asp?address=M21-1MRIII.iv.6.B.3</vt:lpwstr>
      </vt:variant>
      <vt:variant>
        <vt:lpwstr>M21-1MRIII.iv.6.B.3.d</vt:lpwstr>
      </vt:variant>
      <vt:variant>
        <vt:i4>3473423</vt:i4>
      </vt:variant>
      <vt:variant>
        <vt:i4>3732</vt:i4>
      </vt:variant>
      <vt:variant>
        <vt:i4>0</vt:i4>
      </vt:variant>
      <vt:variant>
        <vt:i4>5</vt:i4>
      </vt:variant>
      <vt:variant>
        <vt:lpwstr>http://vbacodmoint1.vba.va.gov/bl/21/faq/FAQ_Answer.asp?ref=355</vt:lpwstr>
      </vt:variant>
      <vt:variant>
        <vt:lpwstr/>
      </vt:variant>
      <vt:variant>
        <vt:i4>7602222</vt:i4>
      </vt:variant>
      <vt:variant>
        <vt:i4>3729</vt:i4>
      </vt:variant>
      <vt:variant>
        <vt:i4>0</vt:i4>
      </vt:variant>
      <vt:variant>
        <vt:i4>5</vt:i4>
      </vt:variant>
      <vt:variant>
        <vt:lpwstr>http://vbaw.vba.va.gov/bl/21/publicat/Letters/FL08/FL08-015.doc</vt:lpwstr>
      </vt:variant>
      <vt:variant>
        <vt:lpwstr/>
      </vt:variant>
      <vt:variant>
        <vt:i4>8126553</vt:i4>
      </vt:variant>
      <vt:variant>
        <vt:i4>3726</vt:i4>
      </vt:variant>
      <vt:variant>
        <vt:i4>0</vt:i4>
      </vt:variant>
      <vt:variant>
        <vt:i4>5</vt:i4>
      </vt:variant>
      <vt:variant>
        <vt:lpwstr>http://vbaw.vba.va.gov/bl/21/publicat/Regs/Part3/3_309.htm</vt:lpwstr>
      </vt:variant>
      <vt:variant>
        <vt:lpwstr/>
      </vt:variant>
      <vt:variant>
        <vt:i4>3670030</vt:i4>
      </vt:variant>
      <vt:variant>
        <vt:i4>3723</vt:i4>
      </vt:variant>
      <vt:variant>
        <vt:i4>0</vt:i4>
      </vt:variant>
      <vt:variant>
        <vt:i4>5</vt:i4>
      </vt:variant>
      <vt:variant>
        <vt:lpwstr>http://vbacodmoint1.vba.va.gov/bl/21/faq/FAQ_Answer.asp?ref=288</vt:lpwstr>
      </vt:variant>
      <vt:variant>
        <vt:lpwstr/>
      </vt:variant>
      <vt:variant>
        <vt:i4>3538957</vt:i4>
      </vt:variant>
      <vt:variant>
        <vt:i4>3720</vt:i4>
      </vt:variant>
      <vt:variant>
        <vt:i4>0</vt:i4>
      </vt:variant>
      <vt:variant>
        <vt:i4>5</vt:i4>
      </vt:variant>
      <vt:variant>
        <vt:lpwstr>http://vbacodmoint1.vba.va.gov/bl/21/faq/FAQ_Answer.asp?ref=161</vt:lpwstr>
      </vt:variant>
      <vt:variant>
        <vt:lpwstr/>
      </vt:variant>
      <vt:variant>
        <vt:i4>3538957</vt:i4>
      </vt:variant>
      <vt:variant>
        <vt:i4>3717</vt:i4>
      </vt:variant>
      <vt:variant>
        <vt:i4>0</vt:i4>
      </vt:variant>
      <vt:variant>
        <vt:i4>5</vt:i4>
      </vt:variant>
      <vt:variant>
        <vt:lpwstr>http://vbacodmoint1.vba.va.gov/bl/21/faq/FAQ_Answer.asp?ref=162</vt:lpwstr>
      </vt:variant>
      <vt:variant>
        <vt:lpwstr/>
      </vt:variant>
      <vt:variant>
        <vt:i4>3473421</vt:i4>
      </vt:variant>
      <vt:variant>
        <vt:i4>3714</vt:i4>
      </vt:variant>
      <vt:variant>
        <vt:i4>0</vt:i4>
      </vt:variant>
      <vt:variant>
        <vt:i4>5</vt:i4>
      </vt:variant>
      <vt:variant>
        <vt:lpwstr>http://vbacodmoint1.vba.va.gov/bl/21/faq/FAQ_Answer.asp?ref=159</vt:lpwstr>
      </vt:variant>
      <vt:variant>
        <vt:lpwstr/>
      </vt:variant>
      <vt:variant>
        <vt:i4>2293849</vt:i4>
      </vt:variant>
      <vt:variant>
        <vt:i4>3711</vt:i4>
      </vt:variant>
      <vt:variant>
        <vt:i4>0</vt:i4>
      </vt:variant>
      <vt:variant>
        <vt:i4>5</vt:i4>
      </vt:variant>
      <vt:variant>
        <vt:lpwstr>http://vbaw.vba.va.gov/bl/21/publicat/Letters/FL96/Fl6_095.doc</vt:lpwstr>
      </vt:variant>
      <vt:variant>
        <vt:lpwstr/>
      </vt:variant>
      <vt:variant>
        <vt:i4>2490405</vt:i4>
      </vt:variant>
      <vt:variant>
        <vt:i4>3708</vt:i4>
      </vt:variant>
      <vt:variant>
        <vt:i4>0</vt:i4>
      </vt:variant>
      <vt:variant>
        <vt:i4>5</vt:i4>
      </vt:variant>
      <vt:variant>
        <vt:lpwstr>http://vbaw.vba.va.gov/BL/21/M21/content/infomap.asp?address=M21-1MRIII.iv.4.H.31</vt:lpwstr>
      </vt:variant>
      <vt:variant>
        <vt:lpwstr>M21-1MRIII.iv.4.H.31.a</vt:lpwstr>
      </vt:variant>
      <vt:variant>
        <vt:i4>3997729</vt:i4>
      </vt:variant>
      <vt:variant>
        <vt:i4>3705</vt:i4>
      </vt:variant>
      <vt:variant>
        <vt:i4>0</vt:i4>
      </vt:variant>
      <vt:variant>
        <vt:i4>5</vt:i4>
      </vt:variant>
      <vt:variant>
        <vt:lpwstr>http://vbaw.vba.va.gov/BL/21/M21/content/contents.asp?address=M21-1MRIV.ii.1.D</vt:lpwstr>
      </vt:variant>
      <vt:variant>
        <vt:lpwstr/>
      </vt:variant>
      <vt:variant>
        <vt:i4>7405657</vt:i4>
      </vt:variant>
      <vt:variant>
        <vt:i4>3702</vt:i4>
      </vt:variant>
      <vt:variant>
        <vt:i4>0</vt:i4>
      </vt:variant>
      <vt:variant>
        <vt:i4>5</vt:i4>
      </vt:variant>
      <vt:variant>
        <vt:lpwstr>http://vbaw.vba.va.gov/bl/21/Publicat/Regs/Part3/3_304.htm</vt:lpwstr>
      </vt:variant>
      <vt:variant>
        <vt:lpwstr/>
      </vt:variant>
      <vt:variant>
        <vt:i4>8126553</vt:i4>
      </vt:variant>
      <vt:variant>
        <vt:i4>3699</vt:i4>
      </vt:variant>
      <vt:variant>
        <vt:i4>0</vt:i4>
      </vt:variant>
      <vt:variant>
        <vt:i4>5</vt:i4>
      </vt:variant>
      <vt:variant>
        <vt:lpwstr>http://vbaw.vba.va.gov/bl/21/publicat/Regs/Part3/3_309.htm</vt:lpwstr>
      </vt:variant>
      <vt:variant>
        <vt:lpwstr/>
      </vt:variant>
      <vt:variant>
        <vt:i4>4915274</vt:i4>
      </vt:variant>
      <vt:variant>
        <vt:i4>3696</vt:i4>
      </vt:variant>
      <vt:variant>
        <vt:i4>0</vt:i4>
      </vt:variant>
      <vt:variant>
        <vt:i4>5</vt:i4>
      </vt:variant>
      <vt:variant>
        <vt:lpwstr>http://vbaw.vba.va.gov/BL/21/M21/content/infomap.asp?address=M21-1MRIII.iv.6.B.3</vt:lpwstr>
      </vt:variant>
      <vt:variant>
        <vt:lpwstr/>
      </vt:variant>
      <vt:variant>
        <vt:i4>8126553</vt:i4>
      </vt:variant>
      <vt:variant>
        <vt:i4>3693</vt:i4>
      </vt:variant>
      <vt:variant>
        <vt:i4>0</vt:i4>
      </vt:variant>
      <vt:variant>
        <vt:i4>5</vt:i4>
      </vt:variant>
      <vt:variant>
        <vt:lpwstr>http://vbaw.vba.va.gov/bl/21/publicat/Regs/Part3/3_309.htm</vt:lpwstr>
      </vt:variant>
      <vt:variant>
        <vt:lpwstr/>
      </vt:variant>
      <vt:variant>
        <vt:i4>7405649</vt:i4>
      </vt:variant>
      <vt:variant>
        <vt:i4>3690</vt:i4>
      </vt:variant>
      <vt:variant>
        <vt:i4>0</vt:i4>
      </vt:variant>
      <vt:variant>
        <vt:i4>5</vt:i4>
      </vt:variant>
      <vt:variant>
        <vt:lpwstr>http://vbaw.vba.va.gov/bl/21/publicat/Regs/Part3/3_384.htm</vt:lpwstr>
      </vt:variant>
      <vt:variant>
        <vt:lpwstr/>
      </vt:variant>
      <vt:variant>
        <vt:i4>2556026</vt:i4>
      </vt:variant>
      <vt:variant>
        <vt:i4>3687</vt:i4>
      </vt:variant>
      <vt:variant>
        <vt:i4>0</vt:i4>
      </vt:variant>
      <vt:variant>
        <vt:i4>5</vt:i4>
      </vt:variant>
      <vt:variant>
        <vt:lpwstr>http://vbaw.vba.va.gov/bl/21/calendar/agenda/FY09/0309a.doc</vt:lpwstr>
      </vt:variant>
      <vt:variant>
        <vt:lpwstr/>
      </vt:variant>
      <vt:variant>
        <vt:i4>4784192</vt:i4>
      </vt:variant>
      <vt:variant>
        <vt:i4>3684</vt:i4>
      </vt:variant>
      <vt:variant>
        <vt:i4>0</vt:i4>
      </vt:variant>
      <vt:variant>
        <vt:i4>5</vt:i4>
      </vt:variant>
      <vt:variant>
        <vt:lpwstr>\\vbasdcfpc2\SHARED\VSC\Development &amp; Rating Resources\standard Quality Control Reviews</vt:lpwstr>
      </vt:variant>
      <vt:variant>
        <vt:lpwstr/>
      </vt:variant>
      <vt:variant>
        <vt:i4>8323104</vt:i4>
      </vt:variant>
      <vt:variant>
        <vt:i4>3681</vt:i4>
      </vt:variant>
      <vt:variant>
        <vt:i4>0</vt:i4>
      </vt:variant>
      <vt:variant>
        <vt:i4>5</vt:i4>
      </vt:variant>
      <vt:variant>
        <vt:lpwstr>http://vbaw.vba.va.gov/bl/21/publicat/Letters/FL11/FL11-023.doc</vt:lpwstr>
      </vt:variant>
      <vt:variant>
        <vt:lpwstr/>
      </vt:variant>
      <vt:variant>
        <vt:i4>8060966</vt:i4>
      </vt:variant>
      <vt:variant>
        <vt:i4>3678</vt:i4>
      </vt:variant>
      <vt:variant>
        <vt:i4>0</vt:i4>
      </vt:variant>
      <vt:variant>
        <vt:i4>5</vt:i4>
      </vt:variant>
      <vt:variant>
        <vt:lpwstr>http://vbaw.vba.va.gov/bl/21/publicat/Letters/FL06/FL06-003.doc</vt:lpwstr>
      </vt:variant>
      <vt:variant>
        <vt:lpwstr/>
      </vt:variant>
      <vt:variant>
        <vt:i4>7077999</vt:i4>
      </vt:variant>
      <vt:variant>
        <vt:i4>3675</vt:i4>
      </vt:variant>
      <vt:variant>
        <vt:i4>0</vt:i4>
      </vt:variant>
      <vt:variant>
        <vt:i4>5</vt:i4>
      </vt:variant>
      <vt:variant>
        <vt:lpwstr>http://vbaw.vba.va.gov/BL/21/M21/content/infomap.asp?address=M21-1MRIII.iii.2.A.1</vt:lpwstr>
      </vt:variant>
      <vt:variant>
        <vt:lpwstr>M21-1MRIII.iii.2.A.1.a</vt:lpwstr>
      </vt:variant>
      <vt:variant>
        <vt:i4>7667800</vt:i4>
      </vt:variant>
      <vt:variant>
        <vt:i4>3672</vt:i4>
      </vt:variant>
      <vt:variant>
        <vt:i4>0</vt:i4>
      </vt:variant>
      <vt:variant>
        <vt:i4>5</vt:i4>
      </vt:variant>
      <vt:variant>
        <vt:lpwstr>http://vbaw.vba.va.gov/bl/21/publicat/Regs/Part3/3_310.htm</vt:lpwstr>
      </vt:variant>
      <vt:variant>
        <vt:lpwstr/>
      </vt:variant>
      <vt:variant>
        <vt:i4>1769548</vt:i4>
      </vt:variant>
      <vt:variant>
        <vt:i4>3669</vt:i4>
      </vt:variant>
      <vt:variant>
        <vt:i4>0</vt:i4>
      </vt:variant>
      <vt:variant>
        <vt:i4>5</vt:i4>
      </vt:variant>
      <vt:variant>
        <vt:lpwstr>http://vbaw.vba.va.gov/BL/21/M21/content/infomap.asp?address=M21-1MRIV.ii.2.K.67</vt:lpwstr>
      </vt:variant>
      <vt:variant>
        <vt:lpwstr/>
      </vt:variant>
      <vt:variant>
        <vt:i4>6684718</vt:i4>
      </vt:variant>
      <vt:variant>
        <vt:i4>3666</vt:i4>
      </vt:variant>
      <vt:variant>
        <vt:i4>0</vt:i4>
      </vt:variant>
      <vt:variant>
        <vt:i4>5</vt:i4>
      </vt:variant>
      <vt:variant>
        <vt:lpwstr>http://vbaw.vba.va.gov/BL/21/M21/content/infomap.asp?address=M21-1MRIII.ii.4.A.5</vt:lpwstr>
      </vt:variant>
      <vt:variant>
        <vt:lpwstr>M21-1MRIII.ii.4.A.5</vt:lpwstr>
      </vt:variant>
      <vt:variant>
        <vt:i4>2228260</vt:i4>
      </vt:variant>
      <vt:variant>
        <vt:i4>3663</vt:i4>
      </vt:variant>
      <vt:variant>
        <vt:i4>0</vt:i4>
      </vt:variant>
      <vt:variant>
        <vt:i4>5</vt:i4>
      </vt:variant>
      <vt:variant>
        <vt:lpwstr>http://vbaw.vba.va.gov/BL/21/M21/content/infomap.asp?address=M21-1MRIII.iv.4.H.27</vt:lpwstr>
      </vt:variant>
      <vt:variant>
        <vt:lpwstr>M21-1MRIII.iv.4.H.27.b</vt:lpwstr>
      </vt:variant>
      <vt:variant>
        <vt:i4>7405661</vt:i4>
      </vt:variant>
      <vt:variant>
        <vt:i4>3660</vt:i4>
      </vt:variant>
      <vt:variant>
        <vt:i4>0</vt:i4>
      </vt:variant>
      <vt:variant>
        <vt:i4>5</vt:i4>
      </vt:variant>
      <vt:variant>
        <vt:lpwstr>http://vbaw.vba.va.gov/bl/21/publicat/Regs/Part3/3_344.htm</vt:lpwstr>
      </vt:variant>
      <vt:variant>
        <vt:lpwstr/>
      </vt:variant>
      <vt:variant>
        <vt:i4>3080251</vt:i4>
      </vt:variant>
      <vt:variant>
        <vt:i4>3657</vt:i4>
      </vt:variant>
      <vt:variant>
        <vt:i4>0</vt:i4>
      </vt:variant>
      <vt:variant>
        <vt:i4>5</vt:i4>
      </vt:variant>
      <vt:variant>
        <vt:lpwstr>http://vbaw.vba.va.gov/BL/21/M21/content/contents.asp?address=M21-1MRIII.iv.4.H</vt:lpwstr>
      </vt:variant>
      <vt:variant>
        <vt:lpwstr/>
      </vt:variant>
      <vt:variant>
        <vt:i4>6946869</vt:i4>
      </vt:variant>
      <vt:variant>
        <vt:i4>3654</vt:i4>
      </vt:variant>
      <vt:variant>
        <vt:i4>0</vt:i4>
      </vt:variant>
      <vt:variant>
        <vt:i4>5</vt:i4>
      </vt:variant>
      <vt:variant>
        <vt:lpwstr>http://vbaw.vba.va.gov/bl/21/calendar/agenda/FY12/1212.doc</vt:lpwstr>
      </vt:variant>
      <vt:variant>
        <vt:lpwstr/>
      </vt:variant>
      <vt:variant>
        <vt:i4>5505031</vt:i4>
      </vt:variant>
      <vt:variant>
        <vt:i4>3651</vt:i4>
      </vt:variant>
      <vt:variant>
        <vt:i4>0</vt:i4>
      </vt:variant>
      <vt:variant>
        <vt:i4>5</vt:i4>
      </vt:variant>
      <vt:variant>
        <vt:lpwstr>http://vbaw.vba.va.gov/BL/21/M21/content/infomap.asp?address=M21-1MRIII.iv.3.A.1</vt:lpwstr>
      </vt:variant>
      <vt:variant>
        <vt:lpwstr>M21-1MRIII.iv.3.A.1.e</vt:lpwstr>
      </vt:variant>
      <vt:variant>
        <vt:i4>7798874</vt:i4>
      </vt:variant>
      <vt:variant>
        <vt:i4>3648</vt:i4>
      </vt:variant>
      <vt:variant>
        <vt:i4>0</vt:i4>
      </vt:variant>
      <vt:variant>
        <vt:i4>5</vt:i4>
      </vt:variant>
      <vt:variant>
        <vt:lpwstr>http://vbaw.vba.va.gov/bl/21/publicat/Regs/Part4/4_130.htm</vt:lpwstr>
      </vt:variant>
      <vt:variant>
        <vt:lpwstr/>
      </vt:variant>
      <vt:variant>
        <vt:i4>8257627</vt:i4>
      </vt:variant>
      <vt:variant>
        <vt:i4>3645</vt:i4>
      </vt:variant>
      <vt:variant>
        <vt:i4>0</vt:i4>
      </vt:variant>
      <vt:variant>
        <vt:i4>5</vt:i4>
      </vt:variant>
      <vt:variant>
        <vt:lpwstr>http://vbaw.vba.va.gov/bl/21/publicat/Regs/Part4/4_129.htm</vt:lpwstr>
      </vt:variant>
      <vt:variant>
        <vt:lpwstr/>
      </vt:variant>
      <vt:variant>
        <vt:i4>8323163</vt:i4>
      </vt:variant>
      <vt:variant>
        <vt:i4>3642</vt:i4>
      </vt:variant>
      <vt:variant>
        <vt:i4>0</vt:i4>
      </vt:variant>
      <vt:variant>
        <vt:i4>5</vt:i4>
      </vt:variant>
      <vt:variant>
        <vt:lpwstr>http://vbaw.vba.va.gov/bl/21/publicat/Regs/Part4/4_128.htm</vt:lpwstr>
      </vt:variant>
      <vt:variant>
        <vt:lpwstr/>
      </vt:variant>
      <vt:variant>
        <vt:i4>7340123</vt:i4>
      </vt:variant>
      <vt:variant>
        <vt:i4>3639</vt:i4>
      </vt:variant>
      <vt:variant>
        <vt:i4>0</vt:i4>
      </vt:variant>
      <vt:variant>
        <vt:i4>5</vt:i4>
      </vt:variant>
      <vt:variant>
        <vt:lpwstr>http://vbaw.vba.va.gov/bl/21/publicat/Regs/Part4/4_127.htm</vt:lpwstr>
      </vt:variant>
      <vt:variant>
        <vt:lpwstr/>
      </vt:variant>
      <vt:variant>
        <vt:i4>7405659</vt:i4>
      </vt:variant>
      <vt:variant>
        <vt:i4>3636</vt:i4>
      </vt:variant>
      <vt:variant>
        <vt:i4>0</vt:i4>
      </vt:variant>
      <vt:variant>
        <vt:i4>5</vt:i4>
      </vt:variant>
      <vt:variant>
        <vt:lpwstr>http://vbaw.vba.va.gov/bl/21/publicat/Regs/Part4/4_126.htm</vt:lpwstr>
      </vt:variant>
      <vt:variant>
        <vt:lpwstr/>
      </vt:variant>
      <vt:variant>
        <vt:i4>7471195</vt:i4>
      </vt:variant>
      <vt:variant>
        <vt:i4>3633</vt:i4>
      </vt:variant>
      <vt:variant>
        <vt:i4>0</vt:i4>
      </vt:variant>
      <vt:variant>
        <vt:i4>5</vt:i4>
      </vt:variant>
      <vt:variant>
        <vt:lpwstr>http://vbaw.vba.va.gov/bl/21/publicat/Regs/Part4/4_125.htm</vt:lpwstr>
      </vt:variant>
      <vt:variant>
        <vt:lpwstr/>
      </vt:variant>
      <vt:variant>
        <vt:i4>3866656</vt:i4>
      </vt:variant>
      <vt:variant>
        <vt:i4>3630</vt:i4>
      </vt:variant>
      <vt:variant>
        <vt:i4>0</vt:i4>
      </vt:variant>
      <vt:variant>
        <vt:i4>5</vt:i4>
      </vt:variant>
      <vt:variant>
        <vt:lpwstr>http://10.220.1.4/bl/21/EYE/default.asp</vt:lpwstr>
      </vt:variant>
      <vt:variant>
        <vt:lpwstr/>
      </vt:variant>
      <vt:variant>
        <vt:i4>6225985</vt:i4>
      </vt:variant>
      <vt:variant>
        <vt:i4>3627</vt:i4>
      </vt:variant>
      <vt:variant>
        <vt:i4>0</vt:i4>
      </vt:variant>
      <vt:variant>
        <vt:i4>5</vt:i4>
      </vt:variant>
      <vt:variant>
        <vt:lpwstr>http://vbacodmoint1.vba.va.gov/bl/21/EYE/default.asp</vt:lpwstr>
      </vt:variant>
      <vt:variant>
        <vt:lpwstr/>
      </vt:variant>
      <vt:variant>
        <vt:i4>1966178</vt:i4>
      </vt:variant>
      <vt:variant>
        <vt:i4>3624</vt:i4>
      </vt:variant>
      <vt:variant>
        <vt:i4>0</vt:i4>
      </vt:variant>
      <vt:variant>
        <vt:i4>5</vt:i4>
      </vt:variant>
      <vt:variant>
        <vt:lpwstr>http://vbaw.vba.va.gov/bl/21/publicat/Regs/Part4/4_79.htm</vt:lpwstr>
      </vt:variant>
      <vt:variant>
        <vt:lpwstr/>
      </vt:variant>
      <vt:variant>
        <vt:i4>7143477</vt:i4>
      </vt:variant>
      <vt:variant>
        <vt:i4>3621</vt:i4>
      </vt:variant>
      <vt:variant>
        <vt:i4>0</vt:i4>
      </vt:variant>
      <vt:variant>
        <vt:i4>5</vt:i4>
      </vt:variant>
      <vt:variant>
        <vt:lpwstr>http://vbaw.vba.va.gov/bl/21/calendar/Agenda/FY13/0413.doc</vt:lpwstr>
      </vt:variant>
      <vt:variant>
        <vt:lpwstr/>
      </vt:variant>
      <vt:variant>
        <vt:i4>6553709</vt:i4>
      </vt:variant>
      <vt:variant>
        <vt:i4>3618</vt:i4>
      </vt:variant>
      <vt:variant>
        <vt:i4>0</vt:i4>
      </vt:variant>
      <vt:variant>
        <vt:i4>5</vt:i4>
      </vt:variant>
      <vt:variant>
        <vt:lpwstr>http://vbaw.vba.va.gov/bl/21/publicat/Letters/TrngLtrs/TL09-03.doc</vt:lpwstr>
      </vt:variant>
      <vt:variant>
        <vt:lpwstr/>
      </vt:variant>
      <vt:variant>
        <vt:i4>7667754</vt:i4>
      </vt:variant>
      <vt:variant>
        <vt:i4>3615</vt:i4>
      </vt:variant>
      <vt:variant>
        <vt:i4>0</vt:i4>
      </vt:variant>
      <vt:variant>
        <vt:i4>5</vt:i4>
      </vt:variant>
      <vt:variant>
        <vt:lpwstr>http://vbaw.vba.va.gov/bl/21/publicat/Letters/FL09/FL09-010.doc</vt:lpwstr>
      </vt:variant>
      <vt:variant>
        <vt:lpwstr/>
      </vt:variant>
      <vt:variant>
        <vt:i4>7602217</vt:i4>
      </vt:variant>
      <vt:variant>
        <vt:i4>3612</vt:i4>
      </vt:variant>
      <vt:variant>
        <vt:i4>0</vt:i4>
      </vt:variant>
      <vt:variant>
        <vt:i4>5</vt:i4>
      </vt:variant>
      <vt:variant>
        <vt:lpwstr>http://vbaw.vba.va.gov/bl/21/publicat/Letters/FL08/FL08-012.doc</vt:lpwstr>
      </vt:variant>
      <vt:variant>
        <vt:lpwstr/>
      </vt:variant>
      <vt:variant>
        <vt:i4>7929892</vt:i4>
      </vt:variant>
      <vt:variant>
        <vt:i4>3609</vt:i4>
      </vt:variant>
      <vt:variant>
        <vt:i4>0</vt:i4>
      </vt:variant>
      <vt:variant>
        <vt:i4>5</vt:i4>
      </vt:variant>
      <vt:variant>
        <vt:lpwstr>http://vbaw.vba.va.gov/bl/21/publicat/Letters/FL06/FL06-021.doc</vt:lpwstr>
      </vt:variant>
      <vt:variant>
        <vt:lpwstr/>
      </vt:variant>
      <vt:variant>
        <vt:i4>4980794</vt:i4>
      </vt:variant>
      <vt:variant>
        <vt:i4>3606</vt:i4>
      </vt:variant>
      <vt:variant>
        <vt:i4>0</vt:i4>
      </vt:variant>
      <vt:variant>
        <vt:i4>5</vt:i4>
      </vt:variant>
      <vt:variant>
        <vt:lpwstr>http://10.220.1.4/bl/21/faq/FAQ_Answer.asp?ref=258</vt:lpwstr>
      </vt:variant>
      <vt:variant>
        <vt:lpwstr/>
      </vt:variant>
      <vt:variant>
        <vt:i4>8323165</vt:i4>
      </vt:variant>
      <vt:variant>
        <vt:i4>3603</vt:i4>
      </vt:variant>
      <vt:variant>
        <vt:i4>0</vt:i4>
      </vt:variant>
      <vt:variant>
        <vt:i4>5</vt:i4>
      </vt:variant>
      <vt:variant>
        <vt:lpwstr>http://vbaw.vba.va.gov/bl/21/M21-1MR/index.asp?id=pt03_sp04_ch04_secB.xml</vt:lpwstr>
      </vt:variant>
      <vt:variant>
        <vt:lpwstr>III.iv.4.B.10</vt:lpwstr>
      </vt:variant>
      <vt:variant>
        <vt:i4>196693</vt:i4>
      </vt:variant>
      <vt:variant>
        <vt:i4>3600</vt:i4>
      </vt:variant>
      <vt:variant>
        <vt:i4>0</vt:i4>
      </vt:variant>
      <vt:variant>
        <vt:i4>5</vt:i4>
      </vt:variant>
      <vt:variant>
        <vt:lpwstr/>
      </vt:variant>
      <vt:variant>
        <vt:lpwstr>Part4Changes</vt:lpwstr>
      </vt:variant>
      <vt:variant>
        <vt:i4>3866656</vt:i4>
      </vt:variant>
      <vt:variant>
        <vt:i4>3597</vt:i4>
      </vt:variant>
      <vt:variant>
        <vt:i4>0</vt:i4>
      </vt:variant>
      <vt:variant>
        <vt:i4>5</vt:i4>
      </vt:variant>
      <vt:variant>
        <vt:lpwstr>http://10.220.1.4/bl/21/eye/default.asp</vt:lpwstr>
      </vt:variant>
      <vt:variant>
        <vt:lpwstr/>
      </vt:variant>
      <vt:variant>
        <vt:i4>1966178</vt:i4>
      </vt:variant>
      <vt:variant>
        <vt:i4>3594</vt:i4>
      </vt:variant>
      <vt:variant>
        <vt:i4>0</vt:i4>
      </vt:variant>
      <vt:variant>
        <vt:i4>5</vt:i4>
      </vt:variant>
      <vt:variant>
        <vt:lpwstr>http://vbaw.vba.va.gov/bl/21/publicat/Regs/Part4/4_79.htm</vt:lpwstr>
      </vt:variant>
      <vt:variant>
        <vt:lpwstr/>
      </vt:variant>
      <vt:variant>
        <vt:i4>1966178</vt:i4>
      </vt:variant>
      <vt:variant>
        <vt:i4>3591</vt:i4>
      </vt:variant>
      <vt:variant>
        <vt:i4>0</vt:i4>
      </vt:variant>
      <vt:variant>
        <vt:i4>5</vt:i4>
      </vt:variant>
      <vt:variant>
        <vt:lpwstr>http://vbaw.vba.va.gov/bl/21/publicat/Regs/Part4/4_79.htm</vt:lpwstr>
      </vt:variant>
      <vt:variant>
        <vt:lpwstr/>
      </vt:variant>
      <vt:variant>
        <vt:i4>1966178</vt:i4>
      </vt:variant>
      <vt:variant>
        <vt:i4>3588</vt:i4>
      </vt:variant>
      <vt:variant>
        <vt:i4>0</vt:i4>
      </vt:variant>
      <vt:variant>
        <vt:i4>5</vt:i4>
      </vt:variant>
      <vt:variant>
        <vt:lpwstr>http://vbaw.vba.va.gov/bl/21/publicat/Regs/Part4/4_79.htm</vt:lpwstr>
      </vt:variant>
      <vt:variant>
        <vt:lpwstr/>
      </vt:variant>
      <vt:variant>
        <vt:i4>1114223</vt:i4>
      </vt:variant>
      <vt:variant>
        <vt:i4>3585</vt:i4>
      </vt:variant>
      <vt:variant>
        <vt:i4>0</vt:i4>
      </vt:variant>
      <vt:variant>
        <vt:i4>5</vt:i4>
      </vt:variant>
      <vt:variant>
        <vt:lpwstr>http://vbaw.vba.va.gov/bl/21/publicat/Regs/Part4/4_84.htm</vt:lpwstr>
      </vt:variant>
      <vt:variant>
        <vt:lpwstr/>
      </vt:variant>
      <vt:variant>
        <vt:i4>3080282</vt:i4>
      </vt:variant>
      <vt:variant>
        <vt:i4>3582</vt:i4>
      </vt:variant>
      <vt:variant>
        <vt:i4>0</vt:i4>
      </vt:variant>
      <vt:variant>
        <vt:i4>5</vt:i4>
      </vt:variant>
      <vt:variant>
        <vt:lpwstr>http://vbaw.vba.va.gov/bl/21/publicat/Regs/Part4/4_83a.htm</vt:lpwstr>
      </vt:variant>
      <vt:variant>
        <vt:lpwstr/>
      </vt:variant>
      <vt:variant>
        <vt:i4>1114216</vt:i4>
      </vt:variant>
      <vt:variant>
        <vt:i4>3579</vt:i4>
      </vt:variant>
      <vt:variant>
        <vt:i4>0</vt:i4>
      </vt:variant>
      <vt:variant>
        <vt:i4>5</vt:i4>
      </vt:variant>
      <vt:variant>
        <vt:lpwstr>http://vbaw.vba.va.gov/bl/21/publicat/Regs/Part4/4_83.htm</vt:lpwstr>
      </vt:variant>
      <vt:variant>
        <vt:lpwstr/>
      </vt:variant>
      <vt:variant>
        <vt:i4>1114219</vt:i4>
      </vt:variant>
      <vt:variant>
        <vt:i4>3576</vt:i4>
      </vt:variant>
      <vt:variant>
        <vt:i4>0</vt:i4>
      </vt:variant>
      <vt:variant>
        <vt:i4>5</vt:i4>
      </vt:variant>
      <vt:variant>
        <vt:lpwstr>http://vbaw.vba.va.gov/bl/21/publicat/Regs/Part4/4_80.htm</vt:lpwstr>
      </vt:variant>
      <vt:variant>
        <vt:lpwstr/>
      </vt:variant>
      <vt:variant>
        <vt:i4>1966178</vt:i4>
      </vt:variant>
      <vt:variant>
        <vt:i4>3573</vt:i4>
      </vt:variant>
      <vt:variant>
        <vt:i4>0</vt:i4>
      </vt:variant>
      <vt:variant>
        <vt:i4>5</vt:i4>
      </vt:variant>
      <vt:variant>
        <vt:lpwstr>http://vbaw.vba.va.gov/bl/21/publicat/Regs/Part4/4_79.htm</vt:lpwstr>
      </vt:variant>
      <vt:variant>
        <vt:lpwstr/>
      </vt:variant>
      <vt:variant>
        <vt:i4>1966178</vt:i4>
      </vt:variant>
      <vt:variant>
        <vt:i4>3570</vt:i4>
      </vt:variant>
      <vt:variant>
        <vt:i4>0</vt:i4>
      </vt:variant>
      <vt:variant>
        <vt:i4>5</vt:i4>
      </vt:variant>
      <vt:variant>
        <vt:lpwstr>http://vbaw.vba.va.gov/bl/21/publicat/Regs/Part4/4_79.htm</vt:lpwstr>
      </vt:variant>
      <vt:variant>
        <vt:lpwstr/>
      </vt:variant>
      <vt:variant>
        <vt:i4>1966179</vt:i4>
      </vt:variant>
      <vt:variant>
        <vt:i4>3567</vt:i4>
      </vt:variant>
      <vt:variant>
        <vt:i4>0</vt:i4>
      </vt:variant>
      <vt:variant>
        <vt:i4>5</vt:i4>
      </vt:variant>
      <vt:variant>
        <vt:lpwstr>http://vbaw.vba.va.gov/bl/21/publicat/Regs/Part4/4_78.htm</vt:lpwstr>
      </vt:variant>
      <vt:variant>
        <vt:lpwstr/>
      </vt:variant>
      <vt:variant>
        <vt:i4>1966179</vt:i4>
      </vt:variant>
      <vt:variant>
        <vt:i4>3564</vt:i4>
      </vt:variant>
      <vt:variant>
        <vt:i4>0</vt:i4>
      </vt:variant>
      <vt:variant>
        <vt:i4>5</vt:i4>
      </vt:variant>
      <vt:variant>
        <vt:lpwstr>http://vbaw.vba.va.gov/bl/21/publicat/Regs/Part4/4_78.htm</vt:lpwstr>
      </vt:variant>
      <vt:variant>
        <vt:lpwstr/>
      </vt:variant>
      <vt:variant>
        <vt:i4>1966188</vt:i4>
      </vt:variant>
      <vt:variant>
        <vt:i4>3561</vt:i4>
      </vt:variant>
      <vt:variant>
        <vt:i4>0</vt:i4>
      </vt:variant>
      <vt:variant>
        <vt:i4>5</vt:i4>
      </vt:variant>
      <vt:variant>
        <vt:lpwstr>http://vbaw.vba.va.gov/bl/21/publicat/Regs/Part4/4_77.htm</vt:lpwstr>
      </vt:variant>
      <vt:variant>
        <vt:lpwstr/>
      </vt:variant>
      <vt:variant>
        <vt:i4>1966188</vt:i4>
      </vt:variant>
      <vt:variant>
        <vt:i4>3558</vt:i4>
      </vt:variant>
      <vt:variant>
        <vt:i4>0</vt:i4>
      </vt:variant>
      <vt:variant>
        <vt:i4>5</vt:i4>
      </vt:variant>
      <vt:variant>
        <vt:lpwstr>http://vbaw.vba.va.gov/bl/21/publicat/Regs/Part4/4_77.htm</vt:lpwstr>
      </vt:variant>
      <vt:variant>
        <vt:lpwstr/>
      </vt:variant>
      <vt:variant>
        <vt:i4>2097247</vt:i4>
      </vt:variant>
      <vt:variant>
        <vt:i4>3555</vt:i4>
      </vt:variant>
      <vt:variant>
        <vt:i4>0</vt:i4>
      </vt:variant>
      <vt:variant>
        <vt:i4>5</vt:i4>
      </vt:variant>
      <vt:variant>
        <vt:lpwstr>http://vbaw.vba.va.gov/bl/21/publicat/Regs/Part4/4_76a.htm</vt:lpwstr>
      </vt:variant>
      <vt:variant>
        <vt:lpwstr/>
      </vt:variant>
      <vt:variant>
        <vt:i4>1966189</vt:i4>
      </vt:variant>
      <vt:variant>
        <vt:i4>3552</vt:i4>
      </vt:variant>
      <vt:variant>
        <vt:i4>0</vt:i4>
      </vt:variant>
      <vt:variant>
        <vt:i4>5</vt:i4>
      </vt:variant>
      <vt:variant>
        <vt:lpwstr>http://vbaw.vba.va.gov/bl/21/publicat/Regs/Part4/4_76.htm</vt:lpwstr>
      </vt:variant>
      <vt:variant>
        <vt:lpwstr/>
      </vt:variant>
      <vt:variant>
        <vt:i4>1966189</vt:i4>
      </vt:variant>
      <vt:variant>
        <vt:i4>3549</vt:i4>
      </vt:variant>
      <vt:variant>
        <vt:i4>0</vt:i4>
      </vt:variant>
      <vt:variant>
        <vt:i4>5</vt:i4>
      </vt:variant>
      <vt:variant>
        <vt:lpwstr>http://vbaw.vba.va.gov/bl/21/publicat/Regs/Part4/4_76.htm</vt:lpwstr>
      </vt:variant>
      <vt:variant>
        <vt:lpwstr/>
      </vt:variant>
      <vt:variant>
        <vt:i4>8323165</vt:i4>
      </vt:variant>
      <vt:variant>
        <vt:i4>3546</vt:i4>
      </vt:variant>
      <vt:variant>
        <vt:i4>0</vt:i4>
      </vt:variant>
      <vt:variant>
        <vt:i4>5</vt:i4>
      </vt:variant>
      <vt:variant>
        <vt:lpwstr>http://vbaw.vba.va.gov/bl/21/M21-1MR/index.asp?id=pt03_sp04_ch04_secB.xml</vt:lpwstr>
      </vt:variant>
      <vt:variant>
        <vt:lpwstr>III.iv.4.B.10</vt:lpwstr>
      </vt:variant>
      <vt:variant>
        <vt:i4>1966190</vt:i4>
      </vt:variant>
      <vt:variant>
        <vt:i4>3543</vt:i4>
      </vt:variant>
      <vt:variant>
        <vt:i4>0</vt:i4>
      </vt:variant>
      <vt:variant>
        <vt:i4>5</vt:i4>
      </vt:variant>
      <vt:variant>
        <vt:lpwstr>http://vbaw.vba.va.gov/bl/21/publicat/Regs/Part4/4_75.htm</vt:lpwstr>
      </vt:variant>
      <vt:variant>
        <vt:lpwstr/>
      </vt:variant>
      <vt:variant>
        <vt:i4>1966190</vt:i4>
      </vt:variant>
      <vt:variant>
        <vt:i4>3540</vt:i4>
      </vt:variant>
      <vt:variant>
        <vt:i4>0</vt:i4>
      </vt:variant>
      <vt:variant>
        <vt:i4>5</vt:i4>
      </vt:variant>
      <vt:variant>
        <vt:lpwstr>http://vbaw.vba.va.gov/bl/21/publicat/Regs/Part4/4_75.htm</vt:lpwstr>
      </vt:variant>
      <vt:variant>
        <vt:lpwstr/>
      </vt:variant>
      <vt:variant>
        <vt:i4>5701741</vt:i4>
      </vt:variant>
      <vt:variant>
        <vt:i4>3537</vt:i4>
      </vt:variant>
      <vt:variant>
        <vt:i4>0</vt:i4>
      </vt:variant>
      <vt:variant>
        <vt:i4>5</vt:i4>
      </vt:variant>
      <vt:variant>
        <vt:lpwstr>http://vbaw.vba.va.gov/bl/21/M21-1MR/index.asp?id=pt03_sp04_ch04_secG.xml</vt:lpwstr>
      </vt:variant>
      <vt:variant>
        <vt:lpwstr>III.iv.4.G.25.d</vt:lpwstr>
      </vt:variant>
      <vt:variant>
        <vt:i4>1703964</vt:i4>
      </vt:variant>
      <vt:variant>
        <vt:i4>3534</vt:i4>
      </vt:variant>
      <vt:variant>
        <vt:i4>0</vt:i4>
      </vt:variant>
      <vt:variant>
        <vt:i4>5</vt:i4>
      </vt:variant>
      <vt:variant>
        <vt:lpwstr>http://www.neuroexam.com/content.php?p=29</vt:lpwstr>
      </vt:variant>
      <vt:variant>
        <vt:lpwstr/>
      </vt:variant>
      <vt:variant>
        <vt:i4>8126553</vt:i4>
      </vt:variant>
      <vt:variant>
        <vt:i4>3531</vt:i4>
      </vt:variant>
      <vt:variant>
        <vt:i4>0</vt:i4>
      </vt:variant>
      <vt:variant>
        <vt:i4>5</vt:i4>
      </vt:variant>
      <vt:variant>
        <vt:lpwstr>http://vbaw.vba.va.gov/bl/21/publicat/Regs/Part3/3_309.htm</vt:lpwstr>
      </vt:variant>
      <vt:variant>
        <vt:lpwstr/>
      </vt:variant>
      <vt:variant>
        <vt:i4>6946869</vt:i4>
      </vt:variant>
      <vt:variant>
        <vt:i4>3528</vt:i4>
      </vt:variant>
      <vt:variant>
        <vt:i4>0</vt:i4>
      </vt:variant>
      <vt:variant>
        <vt:i4>5</vt:i4>
      </vt:variant>
      <vt:variant>
        <vt:lpwstr>http://vbaw.vba.va.gov/bl/21/calendar/agenda/FY12/1212.doc</vt:lpwstr>
      </vt:variant>
      <vt:variant>
        <vt:lpwstr/>
      </vt:variant>
      <vt:variant>
        <vt:i4>8126553</vt:i4>
      </vt:variant>
      <vt:variant>
        <vt:i4>3525</vt:i4>
      </vt:variant>
      <vt:variant>
        <vt:i4>0</vt:i4>
      </vt:variant>
      <vt:variant>
        <vt:i4>5</vt:i4>
      </vt:variant>
      <vt:variant>
        <vt:lpwstr>http://vbaw.vba.va.gov/bl/21/publicat/Regs/Part3/3_309.htm</vt:lpwstr>
      </vt:variant>
      <vt:variant>
        <vt:lpwstr/>
      </vt:variant>
      <vt:variant>
        <vt:i4>524306</vt:i4>
      </vt:variant>
      <vt:variant>
        <vt:i4>3522</vt:i4>
      </vt:variant>
      <vt:variant>
        <vt:i4>0</vt:i4>
      </vt:variant>
      <vt:variant>
        <vt:i4>5</vt:i4>
      </vt:variant>
      <vt:variant>
        <vt:lpwstr>\\vbasdcfpc2\SHARED\VSC\Development &amp; Rating Resources\QRT Bulletin</vt:lpwstr>
      </vt:variant>
      <vt:variant>
        <vt:lpwstr/>
      </vt:variant>
      <vt:variant>
        <vt:i4>4456509</vt:i4>
      </vt:variant>
      <vt:variant>
        <vt:i4>3519</vt:i4>
      </vt:variant>
      <vt:variant>
        <vt:i4>0</vt:i4>
      </vt:variant>
      <vt:variant>
        <vt:i4>5</vt:i4>
      </vt:variant>
      <vt:variant>
        <vt:lpwstr>http://10.220.1.4/bl/21/faq/FAQ_Answer.asp?ref=123</vt:lpwstr>
      </vt:variant>
      <vt:variant>
        <vt:lpwstr/>
      </vt:variant>
      <vt:variant>
        <vt:i4>7143476</vt:i4>
      </vt:variant>
      <vt:variant>
        <vt:i4>3516</vt:i4>
      </vt:variant>
      <vt:variant>
        <vt:i4>0</vt:i4>
      </vt:variant>
      <vt:variant>
        <vt:i4>5</vt:i4>
      </vt:variant>
      <vt:variant>
        <vt:lpwstr>http://vbaw.vba.va.gov/bl/21/calendar/Agenda/FY12/0512.doc</vt:lpwstr>
      </vt:variant>
      <vt:variant>
        <vt:lpwstr/>
      </vt:variant>
      <vt:variant>
        <vt:i4>524306</vt:i4>
      </vt:variant>
      <vt:variant>
        <vt:i4>3513</vt:i4>
      </vt:variant>
      <vt:variant>
        <vt:i4>0</vt:i4>
      </vt:variant>
      <vt:variant>
        <vt:i4>5</vt:i4>
      </vt:variant>
      <vt:variant>
        <vt:lpwstr>\\vbasdcfpc2\SHARED\VSC\Development &amp; Rating Resources\QRT Bulletin</vt:lpwstr>
      </vt:variant>
      <vt:variant>
        <vt:lpwstr/>
      </vt:variant>
      <vt:variant>
        <vt:i4>7012404</vt:i4>
      </vt:variant>
      <vt:variant>
        <vt:i4>3510</vt:i4>
      </vt:variant>
      <vt:variant>
        <vt:i4>0</vt:i4>
      </vt:variant>
      <vt:variant>
        <vt:i4>5</vt:i4>
      </vt:variant>
      <vt:variant>
        <vt:lpwstr>http://vbaw.vba.va.gov/bl/21/calendar/Agenda/FY12/0312.doc</vt:lpwstr>
      </vt:variant>
      <vt:variant>
        <vt:lpwstr/>
      </vt:variant>
      <vt:variant>
        <vt:i4>8257574</vt:i4>
      </vt:variant>
      <vt:variant>
        <vt:i4>3507</vt:i4>
      </vt:variant>
      <vt:variant>
        <vt:i4>0</vt:i4>
      </vt:variant>
      <vt:variant>
        <vt:i4>5</vt:i4>
      </vt:variant>
      <vt:variant>
        <vt:lpwstr>http://vbaw.vba.va.gov/bl/21/publicat/Letters/FL11/FL11-035.doc</vt:lpwstr>
      </vt:variant>
      <vt:variant>
        <vt:lpwstr/>
      </vt:variant>
      <vt:variant>
        <vt:i4>7012406</vt:i4>
      </vt:variant>
      <vt:variant>
        <vt:i4>3504</vt:i4>
      </vt:variant>
      <vt:variant>
        <vt:i4>0</vt:i4>
      </vt:variant>
      <vt:variant>
        <vt:i4>5</vt:i4>
      </vt:variant>
      <vt:variant>
        <vt:lpwstr>http://vbaw.vba.va.gov/bl/21/calendar/Agenda/FY11/1011.doc</vt:lpwstr>
      </vt:variant>
      <vt:variant>
        <vt:lpwstr/>
      </vt:variant>
      <vt:variant>
        <vt:i4>3604495</vt:i4>
      </vt:variant>
      <vt:variant>
        <vt:i4>3501</vt:i4>
      </vt:variant>
      <vt:variant>
        <vt:i4>0</vt:i4>
      </vt:variant>
      <vt:variant>
        <vt:i4>5</vt:i4>
      </vt:variant>
      <vt:variant>
        <vt:lpwstr>http://vbacodmoint1.vba.va.gov/bl/21/faq/FAQ_Answer.asp?ref=374</vt:lpwstr>
      </vt:variant>
      <vt:variant>
        <vt:lpwstr/>
      </vt:variant>
      <vt:variant>
        <vt:i4>8257578</vt:i4>
      </vt:variant>
      <vt:variant>
        <vt:i4>3498</vt:i4>
      </vt:variant>
      <vt:variant>
        <vt:i4>0</vt:i4>
      </vt:variant>
      <vt:variant>
        <vt:i4>5</vt:i4>
      </vt:variant>
      <vt:variant>
        <vt:lpwstr>http://vbaw.vba.va.gov/bl/21/publicat/Letters/FL10/FL10-028.doc</vt:lpwstr>
      </vt:variant>
      <vt:variant>
        <vt:lpwstr/>
      </vt:variant>
      <vt:variant>
        <vt:i4>6684781</vt:i4>
      </vt:variant>
      <vt:variant>
        <vt:i4>3495</vt:i4>
      </vt:variant>
      <vt:variant>
        <vt:i4>0</vt:i4>
      </vt:variant>
      <vt:variant>
        <vt:i4>5</vt:i4>
      </vt:variant>
      <vt:variant>
        <vt:lpwstr>http://vbaw.vba.va.gov/bl/21/publicat/Letters/TrngLtrs/TL09-01.doc</vt:lpwstr>
      </vt:variant>
      <vt:variant>
        <vt:lpwstr/>
      </vt:variant>
      <vt:variant>
        <vt:i4>7733293</vt:i4>
      </vt:variant>
      <vt:variant>
        <vt:i4>3492</vt:i4>
      </vt:variant>
      <vt:variant>
        <vt:i4>0</vt:i4>
      </vt:variant>
      <vt:variant>
        <vt:i4>5</vt:i4>
      </vt:variant>
      <vt:variant>
        <vt:lpwstr>http://vbaw.vba.va.gov/bl/21/publicat/Letters/FL08/FL08-036.doc</vt:lpwstr>
      </vt:variant>
      <vt:variant>
        <vt:lpwstr/>
      </vt:variant>
      <vt:variant>
        <vt:i4>7733295</vt:i4>
      </vt:variant>
      <vt:variant>
        <vt:i4>3489</vt:i4>
      </vt:variant>
      <vt:variant>
        <vt:i4>0</vt:i4>
      </vt:variant>
      <vt:variant>
        <vt:i4>5</vt:i4>
      </vt:variant>
      <vt:variant>
        <vt:lpwstr>http://vbaw.vba.va.gov/bl/21/publicat/Letters/FL08/FL08-034.doc</vt:lpwstr>
      </vt:variant>
      <vt:variant>
        <vt:lpwstr/>
      </vt:variant>
      <vt:variant>
        <vt:i4>6422627</vt:i4>
      </vt:variant>
      <vt:variant>
        <vt:i4>3486</vt:i4>
      </vt:variant>
      <vt:variant>
        <vt:i4>0</vt:i4>
      </vt:variant>
      <vt:variant>
        <vt:i4>5</vt:i4>
      </vt:variant>
      <vt:variant>
        <vt:lpwstr>http://vbaw.vba.va.gov/bl/21/publicat/Letters/TrngLtrs/TL07-05.doc</vt:lpwstr>
      </vt:variant>
      <vt:variant>
        <vt:lpwstr/>
      </vt:variant>
      <vt:variant>
        <vt:i4>6553698</vt:i4>
      </vt:variant>
      <vt:variant>
        <vt:i4>3483</vt:i4>
      </vt:variant>
      <vt:variant>
        <vt:i4>0</vt:i4>
      </vt:variant>
      <vt:variant>
        <vt:i4>5</vt:i4>
      </vt:variant>
      <vt:variant>
        <vt:lpwstr>http://vbaw.vba.va.gov/bl/21/publicat/Letters/TrngLtrs/TL06-03.doc</vt:lpwstr>
      </vt:variant>
      <vt:variant>
        <vt:lpwstr/>
      </vt:variant>
      <vt:variant>
        <vt:i4>2621442</vt:i4>
      </vt:variant>
      <vt:variant>
        <vt:i4>3480</vt:i4>
      </vt:variant>
      <vt:variant>
        <vt:i4>0</vt:i4>
      </vt:variant>
      <vt:variant>
        <vt:i4>5</vt:i4>
      </vt:variant>
      <vt:variant>
        <vt:lpwstr>http://vbaw.vba.va.gov/bl/21/publicat/Regs/Part4/4_124a.htm</vt:lpwstr>
      </vt:variant>
      <vt:variant>
        <vt:lpwstr>8024</vt:lpwstr>
      </vt:variant>
      <vt:variant>
        <vt:i4>5701741</vt:i4>
      </vt:variant>
      <vt:variant>
        <vt:i4>3477</vt:i4>
      </vt:variant>
      <vt:variant>
        <vt:i4>0</vt:i4>
      </vt:variant>
      <vt:variant>
        <vt:i4>5</vt:i4>
      </vt:variant>
      <vt:variant>
        <vt:lpwstr>http://vbaw.vba.va.gov/bl/21/M21-1MR/index.asp?id=pt03_sp04_ch04_secG.xml</vt:lpwstr>
      </vt:variant>
      <vt:variant>
        <vt:lpwstr>III.iv.4.G.25.b</vt:lpwstr>
      </vt:variant>
      <vt:variant>
        <vt:i4>7929944</vt:i4>
      </vt:variant>
      <vt:variant>
        <vt:i4>3474</vt:i4>
      </vt:variant>
      <vt:variant>
        <vt:i4>0</vt:i4>
      </vt:variant>
      <vt:variant>
        <vt:i4>5</vt:i4>
      </vt:variant>
      <vt:variant>
        <vt:lpwstr>http://vbaw.vba.va.gov/bl/21/M21-1MR/index.asp?id=pt03_sp04_ch04_secG.xml</vt:lpwstr>
      </vt:variant>
      <vt:variant>
        <vt:lpwstr>III.iv.4.G.26</vt:lpwstr>
      </vt:variant>
      <vt:variant>
        <vt:i4>2359297</vt:i4>
      </vt:variant>
      <vt:variant>
        <vt:i4>3471</vt:i4>
      </vt:variant>
      <vt:variant>
        <vt:i4>0</vt:i4>
      </vt:variant>
      <vt:variant>
        <vt:i4>5</vt:i4>
      </vt:variant>
      <vt:variant>
        <vt:lpwstr>http://vbaw.vba.va.gov/bl/21/publicat/Regs/Part4/4_124a.htm</vt:lpwstr>
      </vt:variant>
      <vt:variant>
        <vt:lpwstr>8018</vt:lpwstr>
      </vt:variant>
      <vt:variant>
        <vt:i4>7733290</vt:i4>
      </vt:variant>
      <vt:variant>
        <vt:i4>3468</vt:i4>
      </vt:variant>
      <vt:variant>
        <vt:i4>0</vt:i4>
      </vt:variant>
      <vt:variant>
        <vt:i4>5</vt:i4>
      </vt:variant>
      <vt:variant>
        <vt:lpwstr>http://vbaw.vba.va.gov/bl/21/publicat/Letters/FL08/FL08-031.doc</vt:lpwstr>
      </vt:variant>
      <vt:variant>
        <vt:lpwstr/>
      </vt:variant>
      <vt:variant>
        <vt:i4>8192088</vt:i4>
      </vt:variant>
      <vt:variant>
        <vt:i4>3465</vt:i4>
      </vt:variant>
      <vt:variant>
        <vt:i4>0</vt:i4>
      </vt:variant>
      <vt:variant>
        <vt:i4>5</vt:i4>
      </vt:variant>
      <vt:variant>
        <vt:lpwstr>http://vbaw.vba.va.gov/bl/21/publicat/Regs/Part3/3_318.htm</vt:lpwstr>
      </vt:variant>
      <vt:variant>
        <vt:lpwstr/>
      </vt:variant>
      <vt:variant>
        <vt:i4>8126553</vt:i4>
      </vt:variant>
      <vt:variant>
        <vt:i4>3462</vt:i4>
      </vt:variant>
      <vt:variant>
        <vt:i4>0</vt:i4>
      </vt:variant>
      <vt:variant>
        <vt:i4>5</vt:i4>
      </vt:variant>
      <vt:variant>
        <vt:lpwstr>http://vbaw.vba.va.gov/bl/21/publicat/Regs/Part3/3_309.htm</vt:lpwstr>
      </vt:variant>
      <vt:variant>
        <vt:lpwstr/>
      </vt:variant>
      <vt:variant>
        <vt:i4>8126553</vt:i4>
      </vt:variant>
      <vt:variant>
        <vt:i4>3459</vt:i4>
      </vt:variant>
      <vt:variant>
        <vt:i4>0</vt:i4>
      </vt:variant>
      <vt:variant>
        <vt:i4>5</vt:i4>
      </vt:variant>
      <vt:variant>
        <vt:lpwstr>http://vbaw.vba.va.gov/bl/21/publicat/Regs/Part3/3_309.htm</vt:lpwstr>
      </vt:variant>
      <vt:variant>
        <vt:lpwstr/>
      </vt:variant>
      <vt:variant>
        <vt:i4>2621440</vt:i4>
      </vt:variant>
      <vt:variant>
        <vt:i4>3456</vt:i4>
      </vt:variant>
      <vt:variant>
        <vt:i4>0</vt:i4>
      </vt:variant>
      <vt:variant>
        <vt:i4>5</vt:i4>
      </vt:variant>
      <vt:variant>
        <vt:lpwstr>http://vbaw.vba.va.gov/bl/21/publicat/Regs/Part4/4_124a.htm</vt:lpwstr>
      </vt:variant>
      <vt:variant>
        <vt:lpwstr>8004</vt:lpwstr>
      </vt:variant>
      <vt:variant>
        <vt:i4>7929944</vt:i4>
      </vt:variant>
      <vt:variant>
        <vt:i4>3453</vt:i4>
      </vt:variant>
      <vt:variant>
        <vt:i4>0</vt:i4>
      </vt:variant>
      <vt:variant>
        <vt:i4>5</vt:i4>
      </vt:variant>
      <vt:variant>
        <vt:lpwstr>http://vbaw.vba.va.gov/bl/21/M21-1MR/index.asp?id=pt03_sp04_ch04_secG.xml</vt:lpwstr>
      </vt:variant>
      <vt:variant>
        <vt:lpwstr>III.iv.4.G.25</vt:lpwstr>
      </vt:variant>
      <vt:variant>
        <vt:i4>196693</vt:i4>
      </vt:variant>
      <vt:variant>
        <vt:i4>3450</vt:i4>
      </vt:variant>
      <vt:variant>
        <vt:i4>0</vt:i4>
      </vt:variant>
      <vt:variant>
        <vt:i4>5</vt:i4>
      </vt:variant>
      <vt:variant>
        <vt:lpwstr/>
      </vt:variant>
      <vt:variant>
        <vt:lpwstr>Part4Changes</vt:lpwstr>
      </vt:variant>
      <vt:variant>
        <vt:i4>2883592</vt:i4>
      </vt:variant>
      <vt:variant>
        <vt:i4>3447</vt:i4>
      </vt:variant>
      <vt:variant>
        <vt:i4>0</vt:i4>
      </vt:variant>
      <vt:variant>
        <vt:i4>5</vt:i4>
      </vt:variant>
      <vt:variant>
        <vt:lpwstr>http://vbaw.vba.va.gov/bl/21/publicat/Regs/Part4/4_124a.htm</vt:lpwstr>
      </vt:variant>
      <vt:variant>
        <vt:lpwstr/>
      </vt:variant>
      <vt:variant>
        <vt:i4>7536731</vt:i4>
      </vt:variant>
      <vt:variant>
        <vt:i4>3444</vt:i4>
      </vt:variant>
      <vt:variant>
        <vt:i4>0</vt:i4>
      </vt:variant>
      <vt:variant>
        <vt:i4>5</vt:i4>
      </vt:variant>
      <vt:variant>
        <vt:lpwstr>http://vbaw.vba.va.gov/bl/21/publicat/Regs/Part4/4_124.htm</vt:lpwstr>
      </vt:variant>
      <vt:variant>
        <vt:lpwstr/>
      </vt:variant>
      <vt:variant>
        <vt:i4>7602267</vt:i4>
      </vt:variant>
      <vt:variant>
        <vt:i4>3441</vt:i4>
      </vt:variant>
      <vt:variant>
        <vt:i4>0</vt:i4>
      </vt:variant>
      <vt:variant>
        <vt:i4>5</vt:i4>
      </vt:variant>
      <vt:variant>
        <vt:lpwstr>http://vbaw.vba.va.gov/bl/21/publicat/Regs/Part4/4_123.htm</vt:lpwstr>
      </vt:variant>
      <vt:variant>
        <vt:lpwstr/>
      </vt:variant>
      <vt:variant>
        <vt:i4>7667803</vt:i4>
      </vt:variant>
      <vt:variant>
        <vt:i4>3438</vt:i4>
      </vt:variant>
      <vt:variant>
        <vt:i4>0</vt:i4>
      </vt:variant>
      <vt:variant>
        <vt:i4>5</vt:i4>
      </vt:variant>
      <vt:variant>
        <vt:lpwstr>http://vbaw.vba.va.gov/bl/21/publicat/Regs/Part4/4_122.htm</vt:lpwstr>
      </vt:variant>
      <vt:variant>
        <vt:lpwstr/>
      </vt:variant>
      <vt:variant>
        <vt:i4>7733339</vt:i4>
      </vt:variant>
      <vt:variant>
        <vt:i4>3435</vt:i4>
      </vt:variant>
      <vt:variant>
        <vt:i4>0</vt:i4>
      </vt:variant>
      <vt:variant>
        <vt:i4>5</vt:i4>
      </vt:variant>
      <vt:variant>
        <vt:lpwstr>http://vbaw.vba.va.gov/bl/21/publicat/Regs/Part4/4_121.htm</vt:lpwstr>
      </vt:variant>
      <vt:variant>
        <vt:lpwstr/>
      </vt:variant>
      <vt:variant>
        <vt:i4>7798875</vt:i4>
      </vt:variant>
      <vt:variant>
        <vt:i4>3432</vt:i4>
      </vt:variant>
      <vt:variant>
        <vt:i4>0</vt:i4>
      </vt:variant>
      <vt:variant>
        <vt:i4>5</vt:i4>
      </vt:variant>
      <vt:variant>
        <vt:lpwstr>http://vbaw.vba.va.gov/bl/21/publicat/Regs/Part4/4_120.htm</vt:lpwstr>
      </vt:variant>
      <vt:variant>
        <vt:lpwstr/>
      </vt:variant>
      <vt:variant>
        <vt:i4>3276848</vt:i4>
      </vt:variant>
      <vt:variant>
        <vt:i4>3429</vt:i4>
      </vt:variant>
      <vt:variant>
        <vt:i4>0</vt:i4>
      </vt:variant>
      <vt:variant>
        <vt:i4>5</vt:i4>
      </vt:variant>
      <vt:variant>
        <vt:lpwstr>http://vbaw.vba.va.gov/bl/21/Systems/docs/RBA2K-TBI.doc</vt:lpwstr>
      </vt:variant>
      <vt:variant>
        <vt:lpwstr/>
      </vt:variant>
      <vt:variant>
        <vt:i4>4325466</vt:i4>
      </vt:variant>
      <vt:variant>
        <vt:i4>3426</vt:i4>
      </vt:variant>
      <vt:variant>
        <vt:i4>0</vt:i4>
      </vt:variant>
      <vt:variant>
        <vt:i4>5</vt:i4>
      </vt:variant>
      <vt:variant>
        <vt:lpwstr>http://vbacodmoint1.vba.va.gov/bl/21/TBI/default.asp</vt:lpwstr>
      </vt:variant>
      <vt:variant>
        <vt:lpwstr/>
      </vt:variant>
      <vt:variant>
        <vt:i4>8126553</vt:i4>
      </vt:variant>
      <vt:variant>
        <vt:i4>3423</vt:i4>
      </vt:variant>
      <vt:variant>
        <vt:i4>0</vt:i4>
      </vt:variant>
      <vt:variant>
        <vt:i4>5</vt:i4>
      </vt:variant>
      <vt:variant>
        <vt:lpwstr>http://vbaw.vba.va.gov/bl/21/publicat/Regs/Part3/3_309.htm</vt:lpwstr>
      </vt:variant>
      <vt:variant>
        <vt:lpwstr/>
      </vt:variant>
      <vt:variant>
        <vt:i4>6553703</vt:i4>
      </vt:variant>
      <vt:variant>
        <vt:i4>3420</vt:i4>
      </vt:variant>
      <vt:variant>
        <vt:i4>0</vt:i4>
      </vt:variant>
      <vt:variant>
        <vt:i4>5</vt:i4>
      </vt:variant>
      <vt:variant>
        <vt:lpwstr>http://vbaw.vba.va.gov/bl/21/publicat/Letters/TrngLtrs/TL03-03.doc</vt:lpwstr>
      </vt:variant>
      <vt:variant>
        <vt:lpwstr/>
      </vt:variant>
      <vt:variant>
        <vt:i4>7798799</vt:i4>
      </vt:variant>
      <vt:variant>
        <vt:i4>3417</vt:i4>
      </vt:variant>
      <vt:variant>
        <vt:i4>0</vt:i4>
      </vt:variant>
      <vt:variant>
        <vt:i4>5</vt:i4>
      </vt:variant>
      <vt:variant>
        <vt:lpwstr>http://10.220.1.4/bl/21/faq/FAQ_Answer.asp?ref=14</vt:lpwstr>
      </vt:variant>
      <vt:variant>
        <vt:lpwstr/>
      </vt:variant>
      <vt:variant>
        <vt:i4>6422628</vt:i4>
      </vt:variant>
      <vt:variant>
        <vt:i4>3414</vt:i4>
      </vt:variant>
      <vt:variant>
        <vt:i4>0</vt:i4>
      </vt:variant>
      <vt:variant>
        <vt:i4>5</vt:i4>
      </vt:variant>
      <vt:variant>
        <vt:lpwstr>http://vbaw.vba.va.gov/bl/21/publicat/Letters/TrngLtrs/TL00-05.doc</vt:lpwstr>
      </vt:variant>
      <vt:variant>
        <vt:lpwstr/>
      </vt:variant>
      <vt:variant>
        <vt:i4>3342349</vt:i4>
      </vt:variant>
      <vt:variant>
        <vt:i4>3411</vt:i4>
      </vt:variant>
      <vt:variant>
        <vt:i4>0</vt:i4>
      </vt:variant>
      <vt:variant>
        <vt:i4>5</vt:i4>
      </vt:variant>
      <vt:variant>
        <vt:lpwstr>http://vbacodmoint1.vba.va.gov/bl/21/faq/FAQ_Answer.asp?ref=131</vt:lpwstr>
      </vt:variant>
      <vt:variant>
        <vt:lpwstr/>
      </vt:variant>
      <vt:variant>
        <vt:i4>524306</vt:i4>
      </vt:variant>
      <vt:variant>
        <vt:i4>3408</vt:i4>
      </vt:variant>
      <vt:variant>
        <vt:i4>0</vt:i4>
      </vt:variant>
      <vt:variant>
        <vt:i4>5</vt:i4>
      </vt:variant>
      <vt:variant>
        <vt:lpwstr>\\vbasdcfpc2\SHARED\VSC\Development &amp; Rating Resources\QRT Bulletin</vt:lpwstr>
      </vt:variant>
      <vt:variant>
        <vt:lpwstr/>
      </vt:variant>
      <vt:variant>
        <vt:i4>524306</vt:i4>
      </vt:variant>
      <vt:variant>
        <vt:i4>3405</vt:i4>
      </vt:variant>
      <vt:variant>
        <vt:i4>0</vt:i4>
      </vt:variant>
      <vt:variant>
        <vt:i4>5</vt:i4>
      </vt:variant>
      <vt:variant>
        <vt:lpwstr>\\vbasdcfpc2\SHARED\VSC\Development &amp; Rating Resources\QRT Bulletin</vt:lpwstr>
      </vt:variant>
      <vt:variant>
        <vt:lpwstr/>
      </vt:variant>
      <vt:variant>
        <vt:i4>1835116</vt:i4>
      </vt:variant>
      <vt:variant>
        <vt:i4>3402</vt:i4>
      </vt:variant>
      <vt:variant>
        <vt:i4>0</vt:i4>
      </vt:variant>
      <vt:variant>
        <vt:i4>5</vt:i4>
      </vt:variant>
      <vt:variant>
        <vt:lpwstr>http://vbaw.vba.va.gov/bl/21/publicat/Regs/Part4/4_57.htm</vt:lpwstr>
      </vt:variant>
      <vt:variant>
        <vt:lpwstr/>
      </vt:variant>
      <vt:variant>
        <vt:i4>1835107</vt:i4>
      </vt:variant>
      <vt:variant>
        <vt:i4>3399</vt:i4>
      </vt:variant>
      <vt:variant>
        <vt:i4>0</vt:i4>
      </vt:variant>
      <vt:variant>
        <vt:i4>5</vt:i4>
      </vt:variant>
      <vt:variant>
        <vt:lpwstr>http://vbaw.vba.va.gov/bl/21/publicat/Regs/Part4/4_58.htm</vt:lpwstr>
      </vt:variant>
      <vt:variant>
        <vt:lpwstr/>
      </vt:variant>
      <vt:variant>
        <vt:i4>524306</vt:i4>
      </vt:variant>
      <vt:variant>
        <vt:i4>3396</vt:i4>
      </vt:variant>
      <vt:variant>
        <vt:i4>0</vt:i4>
      </vt:variant>
      <vt:variant>
        <vt:i4>5</vt:i4>
      </vt:variant>
      <vt:variant>
        <vt:lpwstr>\\vbasdcfpc2\SHARED\VSC\Development &amp; Rating Resources\QRT Bulletin</vt:lpwstr>
      </vt:variant>
      <vt:variant>
        <vt:lpwstr/>
      </vt:variant>
      <vt:variant>
        <vt:i4>7143476</vt:i4>
      </vt:variant>
      <vt:variant>
        <vt:i4>3393</vt:i4>
      </vt:variant>
      <vt:variant>
        <vt:i4>0</vt:i4>
      </vt:variant>
      <vt:variant>
        <vt:i4>5</vt:i4>
      </vt:variant>
      <vt:variant>
        <vt:lpwstr>http://vbaw.vba.va.gov/bl/21/calendar/Agenda/FY12/0512.doc</vt:lpwstr>
      </vt:variant>
      <vt:variant>
        <vt:lpwstr/>
      </vt:variant>
      <vt:variant>
        <vt:i4>3670031</vt:i4>
      </vt:variant>
      <vt:variant>
        <vt:i4>3390</vt:i4>
      </vt:variant>
      <vt:variant>
        <vt:i4>0</vt:i4>
      </vt:variant>
      <vt:variant>
        <vt:i4>5</vt:i4>
      </vt:variant>
      <vt:variant>
        <vt:lpwstr>http://vbacodmoint1.vba.va.gov/bl/21/faq/FAQ_Answer.asp?ref=384</vt:lpwstr>
      </vt:variant>
      <vt:variant>
        <vt:lpwstr/>
      </vt:variant>
      <vt:variant>
        <vt:i4>8257645</vt:i4>
      </vt:variant>
      <vt:variant>
        <vt:i4>3387</vt:i4>
      </vt:variant>
      <vt:variant>
        <vt:i4>0</vt:i4>
      </vt:variant>
      <vt:variant>
        <vt:i4>5</vt:i4>
      </vt:variant>
      <vt:variant>
        <vt:lpwstr>http://vaww.bva.va.gov/docs/Board-Wide-Training2/IR_KNEE_FLOWCHART-II.pdf</vt:lpwstr>
      </vt:variant>
      <vt:variant>
        <vt:lpwstr/>
      </vt:variant>
      <vt:variant>
        <vt:i4>4325438</vt:i4>
      </vt:variant>
      <vt:variant>
        <vt:i4>3384</vt:i4>
      </vt:variant>
      <vt:variant>
        <vt:i4>0</vt:i4>
      </vt:variant>
      <vt:variant>
        <vt:i4>5</vt:i4>
      </vt:variant>
      <vt:variant>
        <vt:lpwstr>http://10.220.1.4/bl/21/faq/FAQ_Answer.asp?ref=115</vt:lpwstr>
      </vt:variant>
      <vt:variant>
        <vt:lpwstr/>
      </vt:variant>
      <vt:variant>
        <vt:i4>2752627</vt:i4>
      </vt:variant>
      <vt:variant>
        <vt:i4>3381</vt:i4>
      </vt:variant>
      <vt:variant>
        <vt:i4>0</vt:i4>
      </vt:variant>
      <vt:variant>
        <vt:i4>5</vt:i4>
      </vt:variant>
      <vt:variant>
        <vt:lpwstr>http://vbaw.vba.va.gov/bl/21/calendar/agenda/FY11/0711a.doc</vt:lpwstr>
      </vt:variant>
      <vt:variant>
        <vt:lpwstr/>
      </vt:variant>
      <vt:variant>
        <vt:i4>7077943</vt:i4>
      </vt:variant>
      <vt:variant>
        <vt:i4>3378</vt:i4>
      </vt:variant>
      <vt:variant>
        <vt:i4>0</vt:i4>
      </vt:variant>
      <vt:variant>
        <vt:i4>5</vt:i4>
      </vt:variant>
      <vt:variant>
        <vt:lpwstr>http://vbaw.vba.va.gov/bl/21/calendar/agenda/FY11/0711.doc</vt:lpwstr>
      </vt:variant>
      <vt:variant>
        <vt:lpwstr/>
      </vt:variant>
      <vt:variant>
        <vt:i4>1310736</vt:i4>
      </vt:variant>
      <vt:variant>
        <vt:i4>3375</vt:i4>
      </vt:variant>
      <vt:variant>
        <vt:i4>0</vt:i4>
      </vt:variant>
      <vt:variant>
        <vt:i4>5</vt:i4>
      </vt:variant>
      <vt:variant>
        <vt:lpwstr>http://vbaw.vba.va.gov/bl/21/Rating/Images/spine.doc</vt:lpwstr>
      </vt:variant>
      <vt:variant>
        <vt:lpwstr/>
      </vt:variant>
      <vt:variant>
        <vt:i4>3145743</vt:i4>
      </vt:variant>
      <vt:variant>
        <vt:i4>3372</vt:i4>
      </vt:variant>
      <vt:variant>
        <vt:i4>0</vt:i4>
      </vt:variant>
      <vt:variant>
        <vt:i4>5</vt:i4>
      </vt:variant>
      <vt:variant>
        <vt:lpwstr>http://vbacodmoint1.vba.va.gov/bl/21/faq/FAQ_Answer.asp?ref=307</vt:lpwstr>
      </vt:variant>
      <vt:variant>
        <vt:lpwstr/>
      </vt:variant>
      <vt:variant>
        <vt:i4>3145743</vt:i4>
      </vt:variant>
      <vt:variant>
        <vt:i4>3369</vt:i4>
      </vt:variant>
      <vt:variant>
        <vt:i4>0</vt:i4>
      </vt:variant>
      <vt:variant>
        <vt:i4>5</vt:i4>
      </vt:variant>
      <vt:variant>
        <vt:lpwstr>http://vbacodmoint1.vba.va.gov/bl/21/faq/FAQ_Answer.asp?ref=308</vt:lpwstr>
      </vt:variant>
      <vt:variant>
        <vt:lpwstr/>
      </vt:variant>
      <vt:variant>
        <vt:i4>1835106</vt:i4>
      </vt:variant>
      <vt:variant>
        <vt:i4>3366</vt:i4>
      </vt:variant>
      <vt:variant>
        <vt:i4>0</vt:i4>
      </vt:variant>
      <vt:variant>
        <vt:i4>5</vt:i4>
      </vt:variant>
      <vt:variant>
        <vt:lpwstr>http://vbaw.vba.va.gov/bl/21/publicat/Regs/Part4/4_59.htm</vt:lpwstr>
      </vt:variant>
      <vt:variant>
        <vt:lpwstr/>
      </vt:variant>
      <vt:variant>
        <vt:i4>1900654</vt:i4>
      </vt:variant>
      <vt:variant>
        <vt:i4>3363</vt:i4>
      </vt:variant>
      <vt:variant>
        <vt:i4>0</vt:i4>
      </vt:variant>
      <vt:variant>
        <vt:i4>5</vt:i4>
      </vt:variant>
      <vt:variant>
        <vt:lpwstr>http://vbaw.vba.va.gov/bl/21/publicat/Regs/Part4/4_45.htm</vt:lpwstr>
      </vt:variant>
      <vt:variant>
        <vt:lpwstr/>
      </vt:variant>
      <vt:variant>
        <vt:i4>1900651</vt:i4>
      </vt:variant>
      <vt:variant>
        <vt:i4>3360</vt:i4>
      </vt:variant>
      <vt:variant>
        <vt:i4>0</vt:i4>
      </vt:variant>
      <vt:variant>
        <vt:i4>5</vt:i4>
      </vt:variant>
      <vt:variant>
        <vt:lpwstr>http://vbaw.vba.va.gov/bl/21/publicat/Regs/Part4/4_40.htm</vt:lpwstr>
      </vt:variant>
      <vt:variant>
        <vt:lpwstr/>
      </vt:variant>
      <vt:variant>
        <vt:i4>3735566</vt:i4>
      </vt:variant>
      <vt:variant>
        <vt:i4>3357</vt:i4>
      </vt:variant>
      <vt:variant>
        <vt:i4>0</vt:i4>
      </vt:variant>
      <vt:variant>
        <vt:i4>5</vt:i4>
      </vt:variant>
      <vt:variant>
        <vt:lpwstr>http://vbacodmoint1.vba.va.gov/bl/21/faq/FAQ_Answer.asp?ref=299</vt:lpwstr>
      </vt:variant>
      <vt:variant>
        <vt:lpwstr/>
      </vt:variant>
      <vt:variant>
        <vt:i4>6488167</vt:i4>
      </vt:variant>
      <vt:variant>
        <vt:i4>3354</vt:i4>
      </vt:variant>
      <vt:variant>
        <vt:i4>0</vt:i4>
      </vt:variant>
      <vt:variant>
        <vt:i4>5</vt:i4>
      </vt:variant>
      <vt:variant>
        <vt:lpwstr>http://vbaw.vba.va.gov/bl/21/publicat/Letters/TrngLtrs/TL03-04.doc</vt:lpwstr>
      </vt:variant>
      <vt:variant>
        <vt:lpwstr/>
      </vt:variant>
      <vt:variant>
        <vt:i4>3604494</vt:i4>
      </vt:variant>
      <vt:variant>
        <vt:i4>3351</vt:i4>
      </vt:variant>
      <vt:variant>
        <vt:i4>0</vt:i4>
      </vt:variant>
      <vt:variant>
        <vt:i4>5</vt:i4>
      </vt:variant>
      <vt:variant>
        <vt:lpwstr>http://vbacodmoint1.vba.va.gov/bl/21/faq/FAQ_Answer.asp?ref=273</vt:lpwstr>
      </vt:variant>
      <vt:variant>
        <vt:lpwstr/>
      </vt:variant>
      <vt:variant>
        <vt:i4>6488166</vt:i4>
      </vt:variant>
      <vt:variant>
        <vt:i4>3348</vt:i4>
      </vt:variant>
      <vt:variant>
        <vt:i4>0</vt:i4>
      </vt:variant>
      <vt:variant>
        <vt:i4>5</vt:i4>
      </vt:variant>
      <vt:variant>
        <vt:lpwstr>http://vbaw.vba.va.gov/bl/21/publicat/Letters/TrngLtrs/TL02-04.doc</vt:lpwstr>
      </vt:variant>
      <vt:variant>
        <vt:lpwstr/>
      </vt:variant>
      <vt:variant>
        <vt:i4>8126558</vt:i4>
      </vt:variant>
      <vt:variant>
        <vt:i4>3345</vt:i4>
      </vt:variant>
      <vt:variant>
        <vt:i4>0</vt:i4>
      </vt:variant>
      <vt:variant>
        <vt:i4>5</vt:i4>
      </vt:variant>
      <vt:variant>
        <vt:lpwstr>http://vbaw.vba.va.gov/bl/21/M21-1MR/index.asp?id=pt03_sp04_ch04_secA.xml</vt:lpwstr>
      </vt:variant>
      <vt:variant>
        <vt:lpwstr>III.iv.4.A.1</vt:lpwstr>
      </vt:variant>
      <vt:variant>
        <vt:i4>196693</vt:i4>
      </vt:variant>
      <vt:variant>
        <vt:i4>3342</vt:i4>
      </vt:variant>
      <vt:variant>
        <vt:i4>0</vt:i4>
      </vt:variant>
      <vt:variant>
        <vt:i4>5</vt:i4>
      </vt:variant>
      <vt:variant>
        <vt:lpwstr/>
      </vt:variant>
      <vt:variant>
        <vt:lpwstr>Part4Changes</vt:lpwstr>
      </vt:variant>
      <vt:variant>
        <vt:i4>196693</vt:i4>
      </vt:variant>
      <vt:variant>
        <vt:i4>3338</vt:i4>
      </vt:variant>
      <vt:variant>
        <vt:i4>0</vt:i4>
      </vt:variant>
      <vt:variant>
        <vt:i4>5</vt:i4>
      </vt:variant>
      <vt:variant>
        <vt:lpwstr/>
      </vt:variant>
      <vt:variant>
        <vt:lpwstr>Part4Changes</vt:lpwstr>
      </vt:variant>
      <vt:variant>
        <vt:i4>196693</vt:i4>
      </vt:variant>
      <vt:variant>
        <vt:i4>3336</vt:i4>
      </vt:variant>
      <vt:variant>
        <vt:i4>0</vt:i4>
      </vt:variant>
      <vt:variant>
        <vt:i4>5</vt:i4>
      </vt:variant>
      <vt:variant>
        <vt:lpwstr/>
      </vt:variant>
      <vt:variant>
        <vt:lpwstr>Part4Changes</vt:lpwstr>
      </vt:variant>
      <vt:variant>
        <vt:i4>8126558</vt:i4>
      </vt:variant>
      <vt:variant>
        <vt:i4>3333</vt:i4>
      </vt:variant>
      <vt:variant>
        <vt:i4>0</vt:i4>
      </vt:variant>
      <vt:variant>
        <vt:i4>5</vt:i4>
      </vt:variant>
      <vt:variant>
        <vt:lpwstr>http://vbaw.vba.va.gov/bl/21/M21-1MR/index.asp?id=pt03_sp04_ch04_secA.xml</vt:lpwstr>
      </vt:variant>
      <vt:variant>
        <vt:lpwstr>III.iv.4.A.1</vt:lpwstr>
      </vt:variant>
      <vt:variant>
        <vt:i4>196693</vt:i4>
      </vt:variant>
      <vt:variant>
        <vt:i4>3330</vt:i4>
      </vt:variant>
      <vt:variant>
        <vt:i4>0</vt:i4>
      </vt:variant>
      <vt:variant>
        <vt:i4>5</vt:i4>
      </vt:variant>
      <vt:variant>
        <vt:lpwstr/>
      </vt:variant>
      <vt:variant>
        <vt:lpwstr>Part4Changes</vt:lpwstr>
      </vt:variant>
      <vt:variant>
        <vt:i4>196693</vt:i4>
      </vt:variant>
      <vt:variant>
        <vt:i4>3327</vt:i4>
      </vt:variant>
      <vt:variant>
        <vt:i4>0</vt:i4>
      </vt:variant>
      <vt:variant>
        <vt:i4>5</vt:i4>
      </vt:variant>
      <vt:variant>
        <vt:lpwstr/>
      </vt:variant>
      <vt:variant>
        <vt:lpwstr>Part4Changes</vt:lpwstr>
      </vt:variant>
      <vt:variant>
        <vt:i4>2752627</vt:i4>
      </vt:variant>
      <vt:variant>
        <vt:i4>3324</vt:i4>
      </vt:variant>
      <vt:variant>
        <vt:i4>0</vt:i4>
      </vt:variant>
      <vt:variant>
        <vt:i4>5</vt:i4>
      </vt:variant>
      <vt:variant>
        <vt:lpwstr>http://vbaw.vba.va.gov/bl/21/calendar/agenda/FY11/0711a.doc</vt:lpwstr>
      </vt:variant>
      <vt:variant>
        <vt:lpwstr/>
      </vt:variant>
      <vt:variant>
        <vt:i4>7077943</vt:i4>
      </vt:variant>
      <vt:variant>
        <vt:i4>3321</vt:i4>
      </vt:variant>
      <vt:variant>
        <vt:i4>0</vt:i4>
      </vt:variant>
      <vt:variant>
        <vt:i4>5</vt:i4>
      </vt:variant>
      <vt:variant>
        <vt:lpwstr>http://vbaw.vba.va.gov/bl/21/calendar/agenda/FY11/0711.doc</vt:lpwstr>
      </vt:variant>
      <vt:variant>
        <vt:lpwstr/>
      </vt:variant>
      <vt:variant>
        <vt:i4>8126558</vt:i4>
      </vt:variant>
      <vt:variant>
        <vt:i4>3318</vt:i4>
      </vt:variant>
      <vt:variant>
        <vt:i4>0</vt:i4>
      </vt:variant>
      <vt:variant>
        <vt:i4>5</vt:i4>
      </vt:variant>
      <vt:variant>
        <vt:lpwstr>http://vbaw.vba.va.gov/bl/21/M21-1MR/index.asp?id=pt03_sp04_ch04_secA.xml</vt:lpwstr>
      </vt:variant>
      <vt:variant>
        <vt:lpwstr>III.iv.4.A.1</vt:lpwstr>
      </vt:variant>
      <vt:variant>
        <vt:i4>8061018</vt:i4>
      </vt:variant>
      <vt:variant>
        <vt:i4>3315</vt:i4>
      </vt:variant>
      <vt:variant>
        <vt:i4>0</vt:i4>
      </vt:variant>
      <vt:variant>
        <vt:i4>5</vt:i4>
      </vt:variant>
      <vt:variant>
        <vt:lpwstr>http://vbaw.vba.va.gov/bl/21/M21-1MR/index.asp?id=pt03_sp04_ch04_secE.xml</vt:lpwstr>
      </vt:variant>
      <vt:variant>
        <vt:lpwstr>III.iv.4.E.20</vt:lpwstr>
      </vt:variant>
      <vt:variant>
        <vt:i4>2031715</vt:i4>
      </vt:variant>
      <vt:variant>
        <vt:i4>3312</vt:i4>
      </vt:variant>
      <vt:variant>
        <vt:i4>0</vt:i4>
      </vt:variant>
      <vt:variant>
        <vt:i4>5</vt:i4>
      </vt:variant>
      <vt:variant>
        <vt:lpwstr>http://vbaw.vba.va.gov/bl/21/publicat/Regs/Part4/4_68.htm</vt:lpwstr>
      </vt:variant>
      <vt:variant>
        <vt:lpwstr/>
      </vt:variant>
      <vt:variant>
        <vt:i4>2162779</vt:i4>
      </vt:variant>
      <vt:variant>
        <vt:i4>3309</vt:i4>
      </vt:variant>
      <vt:variant>
        <vt:i4>0</vt:i4>
      </vt:variant>
      <vt:variant>
        <vt:i4>5</vt:i4>
      </vt:variant>
      <vt:variant>
        <vt:lpwstr>http://vbaw.vba.va.gov/bl/21/publicat/Regs/Part4/4_71a.htm</vt:lpwstr>
      </vt:variant>
      <vt:variant>
        <vt:lpwstr>5160</vt:lpwstr>
      </vt:variant>
      <vt:variant>
        <vt:i4>8323166</vt:i4>
      </vt:variant>
      <vt:variant>
        <vt:i4>3306</vt:i4>
      </vt:variant>
      <vt:variant>
        <vt:i4>0</vt:i4>
      </vt:variant>
      <vt:variant>
        <vt:i4>5</vt:i4>
      </vt:variant>
      <vt:variant>
        <vt:lpwstr>http://vbaw.vba.va.gov/bl/21/M21-1MR/index.asp?id=pt03_sp04_ch04_secA.xml</vt:lpwstr>
      </vt:variant>
      <vt:variant>
        <vt:lpwstr>III.iv.4.A.2</vt:lpwstr>
      </vt:variant>
      <vt:variant>
        <vt:i4>2031714</vt:i4>
      </vt:variant>
      <vt:variant>
        <vt:i4>3303</vt:i4>
      </vt:variant>
      <vt:variant>
        <vt:i4>0</vt:i4>
      </vt:variant>
      <vt:variant>
        <vt:i4>5</vt:i4>
      </vt:variant>
      <vt:variant>
        <vt:lpwstr>http://vbaw.vba.va.gov/bl/21/publicat/Regs/Part4/4_69.htm</vt:lpwstr>
      </vt:variant>
      <vt:variant>
        <vt:lpwstr/>
      </vt:variant>
      <vt:variant>
        <vt:i4>2031715</vt:i4>
      </vt:variant>
      <vt:variant>
        <vt:i4>3300</vt:i4>
      </vt:variant>
      <vt:variant>
        <vt:i4>0</vt:i4>
      </vt:variant>
      <vt:variant>
        <vt:i4>5</vt:i4>
      </vt:variant>
      <vt:variant>
        <vt:lpwstr>http://vbaw.vba.va.gov/bl/21/publicat/Regs/Part4/4_68.htm</vt:lpwstr>
      </vt:variant>
      <vt:variant>
        <vt:lpwstr/>
      </vt:variant>
      <vt:variant>
        <vt:i4>2162783</vt:i4>
      </vt:variant>
      <vt:variant>
        <vt:i4>3297</vt:i4>
      </vt:variant>
      <vt:variant>
        <vt:i4>0</vt:i4>
      </vt:variant>
      <vt:variant>
        <vt:i4>5</vt:i4>
      </vt:variant>
      <vt:variant>
        <vt:lpwstr>http://vbaw.vba.va.gov/bl/21/publicat/Regs/Part4/4_71a.htm</vt:lpwstr>
      </vt:variant>
      <vt:variant>
        <vt:lpwstr>5120</vt:lpwstr>
      </vt:variant>
      <vt:variant>
        <vt:i4>2031727</vt:i4>
      </vt:variant>
      <vt:variant>
        <vt:i4>3294</vt:i4>
      </vt:variant>
      <vt:variant>
        <vt:i4>0</vt:i4>
      </vt:variant>
      <vt:variant>
        <vt:i4>5</vt:i4>
      </vt:variant>
      <vt:variant>
        <vt:lpwstr>http://vbaw.vba.va.gov/bl/21/publicat/Regs/Part4/4_64.htm</vt:lpwstr>
      </vt:variant>
      <vt:variant>
        <vt:lpwstr/>
      </vt:variant>
      <vt:variant>
        <vt:i4>2031720</vt:i4>
      </vt:variant>
      <vt:variant>
        <vt:i4>3291</vt:i4>
      </vt:variant>
      <vt:variant>
        <vt:i4>0</vt:i4>
      </vt:variant>
      <vt:variant>
        <vt:i4>5</vt:i4>
      </vt:variant>
      <vt:variant>
        <vt:lpwstr>http://vbaw.vba.va.gov/bl/21/publicat/Regs/Part4/4_63.htm</vt:lpwstr>
      </vt:variant>
      <vt:variant>
        <vt:lpwstr/>
      </vt:variant>
      <vt:variant>
        <vt:i4>196693</vt:i4>
      </vt:variant>
      <vt:variant>
        <vt:i4>3288</vt:i4>
      </vt:variant>
      <vt:variant>
        <vt:i4>0</vt:i4>
      </vt:variant>
      <vt:variant>
        <vt:i4>5</vt:i4>
      </vt:variant>
      <vt:variant>
        <vt:lpwstr/>
      </vt:variant>
      <vt:variant>
        <vt:lpwstr>Part4Changes</vt:lpwstr>
      </vt:variant>
      <vt:variant>
        <vt:i4>196693</vt:i4>
      </vt:variant>
      <vt:variant>
        <vt:i4>3285</vt:i4>
      </vt:variant>
      <vt:variant>
        <vt:i4>0</vt:i4>
      </vt:variant>
      <vt:variant>
        <vt:i4>5</vt:i4>
      </vt:variant>
      <vt:variant>
        <vt:lpwstr/>
      </vt:variant>
      <vt:variant>
        <vt:lpwstr>Part4Changes</vt:lpwstr>
      </vt:variant>
      <vt:variant>
        <vt:i4>2424927</vt:i4>
      </vt:variant>
      <vt:variant>
        <vt:i4>3282</vt:i4>
      </vt:variant>
      <vt:variant>
        <vt:i4>0</vt:i4>
      </vt:variant>
      <vt:variant>
        <vt:i4>5</vt:i4>
      </vt:variant>
      <vt:variant>
        <vt:lpwstr>http://vbaw.vba.va.gov/bl/21/publicat/Regs/Part4/4_71a.htm</vt:lpwstr>
      </vt:variant>
      <vt:variant>
        <vt:lpwstr>5025</vt:lpwstr>
      </vt:variant>
      <vt:variant>
        <vt:i4>524306</vt:i4>
      </vt:variant>
      <vt:variant>
        <vt:i4>3279</vt:i4>
      </vt:variant>
      <vt:variant>
        <vt:i4>0</vt:i4>
      </vt:variant>
      <vt:variant>
        <vt:i4>5</vt:i4>
      </vt:variant>
      <vt:variant>
        <vt:lpwstr>\\vbasdcfpc2\SHARED\VSC\Development &amp; Rating Resources\QRT Bulletin</vt:lpwstr>
      </vt:variant>
      <vt:variant>
        <vt:lpwstr/>
      </vt:variant>
      <vt:variant>
        <vt:i4>524306</vt:i4>
      </vt:variant>
      <vt:variant>
        <vt:i4>3276</vt:i4>
      </vt:variant>
      <vt:variant>
        <vt:i4>0</vt:i4>
      </vt:variant>
      <vt:variant>
        <vt:i4>5</vt:i4>
      </vt:variant>
      <vt:variant>
        <vt:lpwstr>\\vbasdcfpc2\SHARED\VSC\Development &amp; Rating Resources\QRT Bulletin</vt:lpwstr>
      </vt:variant>
      <vt:variant>
        <vt:lpwstr/>
      </vt:variant>
      <vt:variant>
        <vt:i4>8126553</vt:i4>
      </vt:variant>
      <vt:variant>
        <vt:i4>3273</vt:i4>
      </vt:variant>
      <vt:variant>
        <vt:i4>0</vt:i4>
      </vt:variant>
      <vt:variant>
        <vt:i4>5</vt:i4>
      </vt:variant>
      <vt:variant>
        <vt:lpwstr>http://vbaw.vba.va.gov/bl/21/publicat/Regs/Part3/3_309.htm</vt:lpwstr>
      </vt:variant>
      <vt:variant>
        <vt:lpwstr/>
      </vt:variant>
      <vt:variant>
        <vt:i4>524306</vt:i4>
      </vt:variant>
      <vt:variant>
        <vt:i4>3270</vt:i4>
      </vt:variant>
      <vt:variant>
        <vt:i4>0</vt:i4>
      </vt:variant>
      <vt:variant>
        <vt:i4>5</vt:i4>
      </vt:variant>
      <vt:variant>
        <vt:lpwstr>\\vbasdcfpc2\SHARED\VSC\Development &amp; Rating Resources\QRT Bulletin</vt:lpwstr>
      </vt:variant>
      <vt:variant>
        <vt:lpwstr/>
      </vt:variant>
      <vt:variant>
        <vt:i4>524306</vt:i4>
      </vt:variant>
      <vt:variant>
        <vt:i4>3267</vt:i4>
      </vt:variant>
      <vt:variant>
        <vt:i4>0</vt:i4>
      </vt:variant>
      <vt:variant>
        <vt:i4>5</vt:i4>
      </vt:variant>
      <vt:variant>
        <vt:lpwstr>\\vbasdcfpc2\SHARED\VSC\Development &amp; Rating Resources\QRT Bulletin</vt:lpwstr>
      </vt:variant>
      <vt:variant>
        <vt:lpwstr/>
      </vt:variant>
      <vt:variant>
        <vt:i4>4259894</vt:i4>
      </vt:variant>
      <vt:variant>
        <vt:i4>3264</vt:i4>
      </vt:variant>
      <vt:variant>
        <vt:i4>0</vt:i4>
      </vt:variant>
      <vt:variant>
        <vt:i4>5</vt:i4>
      </vt:variant>
      <vt:variant>
        <vt:lpwstr>http://10.220.1.4/bl/21/faq/FAQ_Answer.asp?ref=295</vt:lpwstr>
      </vt:variant>
      <vt:variant>
        <vt:lpwstr/>
      </vt:variant>
      <vt:variant>
        <vt:i4>7864414</vt:i4>
      </vt:variant>
      <vt:variant>
        <vt:i4>3261</vt:i4>
      </vt:variant>
      <vt:variant>
        <vt:i4>0</vt:i4>
      </vt:variant>
      <vt:variant>
        <vt:i4>5</vt:i4>
      </vt:variant>
      <vt:variant>
        <vt:lpwstr>http://vbaw.vba.va.gov/bl/21/M21-1MR/index.asp?id=pt03_sp04_ch04_secA.xml</vt:lpwstr>
      </vt:variant>
      <vt:variant>
        <vt:lpwstr>III.iv.4.A.5</vt:lpwstr>
      </vt:variant>
      <vt:variant>
        <vt:i4>7929950</vt:i4>
      </vt:variant>
      <vt:variant>
        <vt:i4>3258</vt:i4>
      </vt:variant>
      <vt:variant>
        <vt:i4>0</vt:i4>
      </vt:variant>
      <vt:variant>
        <vt:i4>5</vt:i4>
      </vt:variant>
      <vt:variant>
        <vt:lpwstr>http://vbaw.vba.va.gov/bl/21/M21-1MR/index.asp?id=pt03_sp04_ch04_secA.xml</vt:lpwstr>
      </vt:variant>
      <vt:variant>
        <vt:lpwstr>III.iv.4.A.4</vt:lpwstr>
      </vt:variant>
      <vt:variant>
        <vt:i4>7995486</vt:i4>
      </vt:variant>
      <vt:variant>
        <vt:i4>3255</vt:i4>
      </vt:variant>
      <vt:variant>
        <vt:i4>0</vt:i4>
      </vt:variant>
      <vt:variant>
        <vt:i4>5</vt:i4>
      </vt:variant>
      <vt:variant>
        <vt:lpwstr>http://vbaw.vba.va.gov/bl/21/M21-1MR/index.asp?id=pt03_sp04_ch04_secA.xml</vt:lpwstr>
      </vt:variant>
      <vt:variant>
        <vt:lpwstr>III.iv.4.A.7</vt:lpwstr>
      </vt:variant>
      <vt:variant>
        <vt:i4>1900648</vt:i4>
      </vt:variant>
      <vt:variant>
        <vt:i4>3252</vt:i4>
      </vt:variant>
      <vt:variant>
        <vt:i4>0</vt:i4>
      </vt:variant>
      <vt:variant>
        <vt:i4>5</vt:i4>
      </vt:variant>
      <vt:variant>
        <vt:lpwstr>http://vbaw.vba.va.gov/bl/21/publicat/Regs/Part4/4_43.htm</vt:lpwstr>
      </vt:variant>
      <vt:variant>
        <vt:lpwstr/>
      </vt:variant>
      <vt:variant>
        <vt:i4>196693</vt:i4>
      </vt:variant>
      <vt:variant>
        <vt:i4>3249</vt:i4>
      </vt:variant>
      <vt:variant>
        <vt:i4>0</vt:i4>
      </vt:variant>
      <vt:variant>
        <vt:i4>5</vt:i4>
      </vt:variant>
      <vt:variant>
        <vt:lpwstr/>
      </vt:variant>
      <vt:variant>
        <vt:lpwstr>Part4Changes</vt:lpwstr>
      </vt:variant>
      <vt:variant>
        <vt:i4>196693</vt:i4>
      </vt:variant>
      <vt:variant>
        <vt:i4>3246</vt:i4>
      </vt:variant>
      <vt:variant>
        <vt:i4>0</vt:i4>
      </vt:variant>
      <vt:variant>
        <vt:i4>5</vt:i4>
      </vt:variant>
      <vt:variant>
        <vt:lpwstr/>
      </vt:variant>
      <vt:variant>
        <vt:lpwstr>Part4Changes</vt:lpwstr>
      </vt:variant>
      <vt:variant>
        <vt:i4>4194347</vt:i4>
      </vt:variant>
      <vt:variant>
        <vt:i4>3243</vt:i4>
      </vt:variant>
      <vt:variant>
        <vt:i4>0</vt:i4>
      </vt:variant>
      <vt:variant>
        <vt:i4>5</vt:i4>
      </vt:variant>
      <vt:variant>
        <vt:lpwstr>http://vbaw.vba.va.gov/bl/21/Publicat/Regs/Part4/HISTORY/4_71a(2).htm</vt:lpwstr>
      </vt:variant>
      <vt:variant>
        <vt:lpwstr/>
      </vt:variant>
      <vt:variant>
        <vt:i4>196693</vt:i4>
      </vt:variant>
      <vt:variant>
        <vt:i4>3240</vt:i4>
      </vt:variant>
      <vt:variant>
        <vt:i4>0</vt:i4>
      </vt:variant>
      <vt:variant>
        <vt:i4>5</vt:i4>
      </vt:variant>
      <vt:variant>
        <vt:lpwstr/>
      </vt:variant>
      <vt:variant>
        <vt:lpwstr>Part4Changes</vt:lpwstr>
      </vt:variant>
      <vt:variant>
        <vt:i4>4390955</vt:i4>
      </vt:variant>
      <vt:variant>
        <vt:i4>3237</vt:i4>
      </vt:variant>
      <vt:variant>
        <vt:i4>0</vt:i4>
      </vt:variant>
      <vt:variant>
        <vt:i4>5</vt:i4>
      </vt:variant>
      <vt:variant>
        <vt:lpwstr>http://vbaw.vba.va.gov/bl/21/Publicat/Regs/Part4/HISTORY/4_71a(1).htm</vt:lpwstr>
      </vt:variant>
      <vt:variant>
        <vt:lpwstr/>
      </vt:variant>
      <vt:variant>
        <vt:i4>1966186</vt:i4>
      </vt:variant>
      <vt:variant>
        <vt:i4>3234</vt:i4>
      </vt:variant>
      <vt:variant>
        <vt:i4>0</vt:i4>
      </vt:variant>
      <vt:variant>
        <vt:i4>5</vt:i4>
      </vt:variant>
      <vt:variant>
        <vt:lpwstr>http://vbaw.vba.va.gov/bl/21/publicat/Regs/Part4/4_71.htm</vt:lpwstr>
      </vt:variant>
      <vt:variant>
        <vt:lpwstr/>
      </vt:variant>
      <vt:variant>
        <vt:i4>3539006</vt:i4>
      </vt:variant>
      <vt:variant>
        <vt:i4>3231</vt:i4>
      </vt:variant>
      <vt:variant>
        <vt:i4>0</vt:i4>
      </vt:variant>
      <vt:variant>
        <vt:i4>5</vt:i4>
      </vt:variant>
      <vt:variant>
        <vt:lpwstr>http://vbaw.vba.va.gov/bl/21/M21-1MR/index.asp?id=pt03_sp04_ch05.xml</vt:lpwstr>
      </vt:variant>
      <vt:variant>
        <vt:lpwstr>III.iv.5.5.h</vt:lpwstr>
      </vt:variant>
      <vt:variant>
        <vt:i4>5701730</vt:i4>
      </vt:variant>
      <vt:variant>
        <vt:i4>3228</vt:i4>
      </vt:variant>
      <vt:variant>
        <vt:i4>0</vt:i4>
      </vt:variant>
      <vt:variant>
        <vt:i4>5</vt:i4>
      </vt:variant>
      <vt:variant>
        <vt:lpwstr>http://vbaw.vba.va.gov/bl/21/M21-1MR/index.asp?id=pt03_sp04_ch03_secD.xml</vt:lpwstr>
      </vt:variant>
      <vt:variant>
        <vt:lpwstr>III.iv.3.D.19.d</vt:lpwstr>
      </vt:variant>
      <vt:variant>
        <vt:i4>5308520</vt:i4>
      </vt:variant>
      <vt:variant>
        <vt:i4>3225</vt:i4>
      </vt:variant>
      <vt:variant>
        <vt:i4>0</vt:i4>
      </vt:variant>
      <vt:variant>
        <vt:i4>5</vt:i4>
      </vt:variant>
      <vt:variant>
        <vt:lpwstr>http://vbaw.vba.va.gov/bl/21/M21-1MR/index.asp?id=pt03_sp04_ch03_secB.xml</vt:lpwstr>
      </vt:variant>
      <vt:variant>
        <vt:lpwstr>III.iv.3.B.15.c</vt:lpwstr>
      </vt:variant>
      <vt:variant>
        <vt:i4>8126558</vt:i4>
      </vt:variant>
      <vt:variant>
        <vt:i4>3222</vt:i4>
      </vt:variant>
      <vt:variant>
        <vt:i4>0</vt:i4>
      </vt:variant>
      <vt:variant>
        <vt:i4>5</vt:i4>
      </vt:variant>
      <vt:variant>
        <vt:lpwstr>http://vbaw.vba.va.gov/bl/21/M21-1MR/index.asp?id=pt03_sp04_ch03_secA.xml</vt:lpwstr>
      </vt:variant>
      <vt:variant>
        <vt:lpwstr>III.iv.3.A.1</vt:lpwstr>
      </vt:variant>
      <vt:variant>
        <vt:i4>4456553</vt:i4>
      </vt:variant>
      <vt:variant>
        <vt:i4>3219</vt:i4>
      </vt:variant>
      <vt:variant>
        <vt:i4>0</vt:i4>
      </vt:variant>
      <vt:variant>
        <vt:i4>5</vt:i4>
      </vt:variant>
      <vt:variant>
        <vt:lpwstr>http://vbaw.vba.va.gov/bl/21/publicat/Regs/Part4/4_2.htm</vt:lpwstr>
      </vt:variant>
      <vt:variant>
        <vt:lpwstr/>
      </vt:variant>
      <vt:variant>
        <vt:i4>1966187</vt:i4>
      </vt:variant>
      <vt:variant>
        <vt:i4>3216</vt:i4>
      </vt:variant>
      <vt:variant>
        <vt:i4>0</vt:i4>
      </vt:variant>
      <vt:variant>
        <vt:i4>5</vt:i4>
      </vt:variant>
      <vt:variant>
        <vt:lpwstr>http://vbaw.vba.va.gov/bl/21/publicat/Regs/Part4/4_70.htm</vt:lpwstr>
      </vt:variant>
      <vt:variant>
        <vt:lpwstr/>
      </vt:variant>
      <vt:variant>
        <vt:i4>2031714</vt:i4>
      </vt:variant>
      <vt:variant>
        <vt:i4>3213</vt:i4>
      </vt:variant>
      <vt:variant>
        <vt:i4>0</vt:i4>
      </vt:variant>
      <vt:variant>
        <vt:i4>5</vt:i4>
      </vt:variant>
      <vt:variant>
        <vt:lpwstr>http://vbaw.vba.va.gov/bl/21/publicat/Regs/Part4/4_69.htm</vt:lpwstr>
      </vt:variant>
      <vt:variant>
        <vt:lpwstr/>
      </vt:variant>
      <vt:variant>
        <vt:i4>7077921</vt:i4>
      </vt:variant>
      <vt:variant>
        <vt:i4>3210</vt:i4>
      </vt:variant>
      <vt:variant>
        <vt:i4>0</vt:i4>
      </vt:variant>
      <vt:variant>
        <vt:i4>5</vt:i4>
      </vt:variant>
      <vt:variant>
        <vt:lpwstr>http://vbaw.vba.va.gov/VetsNet/RBA2000_Docs/webhelp/RBA2000_Help.htm</vt:lpwstr>
      </vt:variant>
      <vt:variant>
        <vt:lpwstr/>
      </vt:variant>
      <vt:variant>
        <vt:i4>8257653</vt:i4>
      </vt:variant>
      <vt:variant>
        <vt:i4>3207</vt:i4>
      </vt:variant>
      <vt:variant>
        <vt:i4>0</vt:i4>
      </vt:variant>
      <vt:variant>
        <vt:i4>5</vt:i4>
      </vt:variant>
      <vt:variant>
        <vt:lpwstr>http://vbaw.vba.va.gov/bl/21/systems/docs/RBA2kAmpRule02-06.doc</vt:lpwstr>
      </vt:variant>
      <vt:variant>
        <vt:lpwstr/>
      </vt:variant>
      <vt:variant>
        <vt:i4>4522039</vt:i4>
      </vt:variant>
      <vt:variant>
        <vt:i4>3204</vt:i4>
      </vt:variant>
      <vt:variant>
        <vt:i4>0</vt:i4>
      </vt:variant>
      <vt:variant>
        <vt:i4>5</vt:i4>
      </vt:variant>
      <vt:variant>
        <vt:lpwstr>http://10.220.1.4/bl/21/faq/FAQ_Answer.asp?ref=281</vt:lpwstr>
      </vt:variant>
      <vt:variant>
        <vt:lpwstr/>
      </vt:variant>
      <vt:variant>
        <vt:i4>7929947</vt:i4>
      </vt:variant>
      <vt:variant>
        <vt:i4>3201</vt:i4>
      </vt:variant>
      <vt:variant>
        <vt:i4>0</vt:i4>
      </vt:variant>
      <vt:variant>
        <vt:i4>5</vt:i4>
      </vt:variant>
      <vt:variant>
        <vt:lpwstr>http://vbaw.vba.va.gov/bl/21/M21-1MR/index.asp?id=pt03_sp04_ch06_secD.xml</vt:lpwstr>
      </vt:variant>
      <vt:variant>
        <vt:lpwstr>III.iv.6.D.16</vt:lpwstr>
      </vt:variant>
      <vt:variant>
        <vt:i4>2031715</vt:i4>
      </vt:variant>
      <vt:variant>
        <vt:i4>3198</vt:i4>
      </vt:variant>
      <vt:variant>
        <vt:i4>0</vt:i4>
      </vt:variant>
      <vt:variant>
        <vt:i4>5</vt:i4>
      </vt:variant>
      <vt:variant>
        <vt:lpwstr>http://vbaw.vba.va.gov/bl/21/publicat/Regs/Part4/4_68.htm</vt:lpwstr>
      </vt:variant>
      <vt:variant>
        <vt:lpwstr/>
      </vt:variant>
      <vt:variant>
        <vt:i4>2031724</vt:i4>
      </vt:variant>
      <vt:variant>
        <vt:i4>3195</vt:i4>
      </vt:variant>
      <vt:variant>
        <vt:i4>0</vt:i4>
      </vt:variant>
      <vt:variant>
        <vt:i4>5</vt:i4>
      </vt:variant>
      <vt:variant>
        <vt:lpwstr>http://vbaw.vba.va.gov/bl/21/publicat/Regs/Part4/4_67.htm</vt:lpwstr>
      </vt:variant>
      <vt:variant>
        <vt:lpwstr/>
      </vt:variant>
      <vt:variant>
        <vt:i4>2031725</vt:i4>
      </vt:variant>
      <vt:variant>
        <vt:i4>3192</vt:i4>
      </vt:variant>
      <vt:variant>
        <vt:i4>0</vt:i4>
      </vt:variant>
      <vt:variant>
        <vt:i4>5</vt:i4>
      </vt:variant>
      <vt:variant>
        <vt:lpwstr>http://vbaw.vba.va.gov/bl/21/publicat/Regs/Part4/4_66.htm</vt:lpwstr>
      </vt:variant>
      <vt:variant>
        <vt:lpwstr/>
      </vt:variant>
      <vt:variant>
        <vt:i4>7667804</vt:i4>
      </vt:variant>
      <vt:variant>
        <vt:i4>3189</vt:i4>
      </vt:variant>
      <vt:variant>
        <vt:i4>0</vt:i4>
      </vt:variant>
      <vt:variant>
        <vt:i4>5</vt:i4>
      </vt:variant>
      <vt:variant>
        <vt:lpwstr>http://vbaw.vba.va.gov/bl/21/publicat/Regs/Part3/3_350.htm</vt:lpwstr>
      </vt:variant>
      <vt:variant>
        <vt:lpwstr/>
      </vt:variant>
      <vt:variant>
        <vt:i4>2031727</vt:i4>
      </vt:variant>
      <vt:variant>
        <vt:i4>3186</vt:i4>
      </vt:variant>
      <vt:variant>
        <vt:i4>0</vt:i4>
      </vt:variant>
      <vt:variant>
        <vt:i4>5</vt:i4>
      </vt:variant>
      <vt:variant>
        <vt:lpwstr>http://vbaw.vba.va.gov/bl/21/publicat/Regs/Part4/4_64.htm</vt:lpwstr>
      </vt:variant>
      <vt:variant>
        <vt:lpwstr/>
      </vt:variant>
      <vt:variant>
        <vt:i4>8126558</vt:i4>
      </vt:variant>
      <vt:variant>
        <vt:i4>3183</vt:i4>
      </vt:variant>
      <vt:variant>
        <vt:i4>0</vt:i4>
      </vt:variant>
      <vt:variant>
        <vt:i4>5</vt:i4>
      </vt:variant>
      <vt:variant>
        <vt:lpwstr>http://vbaw.vba.va.gov/bl/21/M21-1MR/index.asp?id=pt03_sp04_ch04_secA.xml</vt:lpwstr>
      </vt:variant>
      <vt:variant>
        <vt:lpwstr>III.iv.4.A.1</vt:lpwstr>
      </vt:variant>
      <vt:variant>
        <vt:i4>3080273</vt:i4>
      </vt:variant>
      <vt:variant>
        <vt:i4>3180</vt:i4>
      </vt:variant>
      <vt:variant>
        <vt:i4>0</vt:i4>
      </vt:variant>
      <vt:variant>
        <vt:i4>5</vt:i4>
      </vt:variant>
      <vt:variant>
        <vt:lpwstr>http://vbaw.vba.va.gov/bl/21/M21-1MR/index.asp?id=pt04_sp02_ch02_secH.xml</vt:lpwstr>
      </vt:variant>
      <vt:variant>
        <vt:lpwstr>IV.ii.2.H.36</vt:lpwstr>
      </vt:variant>
      <vt:variant>
        <vt:i4>7667804</vt:i4>
      </vt:variant>
      <vt:variant>
        <vt:i4>3177</vt:i4>
      </vt:variant>
      <vt:variant>
        <vt:i4>0</vt:i4>
      </vt:variant>
      <vt:variant>
        <vt:i4>5</vt:i4>
      </vt:variant>
      <vt:variant>
        <vt:lpwstr>http://vbaw.vba.va.gov/bl/21/publicat/Regs/Part3/3_350.htm</vt:lpwstr>
      </vt:variant>
      <vt:variant>
        <vt:lpwstr/>
      </vt:variant>
      <vt:variant>
        <vt:i4>2031720</vt:i4>
      </vt:variant>
      <vt:variant>
        <vt:i4>3174</vt:i4>
      </vt:variant>
      <vt:variant>
        <vt:i4>0</vt:i4>
      </vt:variant>
      <vt:variant>
        <vt:i4>5</vt:i4>
      </vt:variant>
      <vt:variant>
        <vt:lpwstr>http://vbaw.vba.va.gov/bl/21/publicat/Regs/Part4/4_63.htm</vt:lpwstr>
      </vt:variant>
      <vt:variant>
        <vt:lpwstr/>
      </vt:variant>
      <vt:variant>
        <vt:i4>2031721</vt:i4>
      </vt:variant>
      <vt:variant>
        <vt:i4>3171</vt:i4>
      </vt:variant>
      <vt:variant>
        <vt:i4>0</vt:i4>
      </vt:variant>
      <vt:variant>
        <vt:i4>5</vt:i4>
      </vt:variant>
      <vt:variant>
        <vt:lpwstr>http://vbaw.vba.va.gov/bl/21/publicat/Regs/Part4/4_62.htm</vt:lpwstr>
      </vt:variant>
      <vt:variant>
        <vt:lpwstr/>
      </vt:variant>
      <vt:variant>
        <vt:i4>2031722</vt:i4>
      </vt:variant>
      <vt:variant>
        <vt:i4>3168</vt:i4>
      </vt:variant>
      <vt:variant>
        <vt:i4>0</vt:i4>
      </vt:variant>
      <vt:variant>
        <vt:i4>5</vt:i4>
      </vt:variant>
      <vt:variant>
        <vt:lpwstr>http://vbaw.vba.va.gov/bl/21/publicat/Regs/Part4/4_61.htm</vt:lpwstr>
      </vt:variant>
      <vt:variant>
        <vt:lpwstr/>
      </vt:variant>
      <vt:variant>
        <vt:i4>4784205</vt:i4>
      </vt:variant>
      <vt:variant>
        <vt:i4>3165</vt:i4>
      </vt:variant>
      <vt:variant>
        <vt:i4>0</vt:i4>
      </vt:variant>
      <vt:variant>
        <vt:i4>5</vt:i4>
      </vt:variant>
      <vt:variant>
        <vt:lpwstr>http://www.vba.va.gov/pubs/forms/VBA-21-0960M-12-ARE.pdf</vt:lpwstr>
      </vt:variant>
      <vt:variant>
        <vt:lpwstr/>
      </vt:variant>
      <vt:variant>
        <vt:i4>1966186</vt:i4>
      </vt:variant>
      <vt:variant>
        <vt:i4>3162</vt:i4>
      </vt:variant>
      <vt:variant>
        <vt:i4>0</vt:i4>
      </vt:variant>
      <vt:variant>
        <vt:i4>5</vt:i4>
      </vt:variant>
      <vt:variant>
        <vt:lpwstr>http://vbaw.vba.va.gov/bl/21/publicat/Regs/Part4/4_71.htm</vt:lpwstr>
      </vt:variant>
      <vt:variant>
        <vt:lpwstr/>
      </vt:variant>
      <vt:variant>
        <vt:i4>1835106</vt:i4>
      </vt:variant>
      <vt:variant>
        <vt:i4>3159</vt:i4>
      </vt:variant>
      <vt:variant>
        <vt:i4>0</vt:i4>
      </vt:variant>
      <vt:variant>
        <vt:i4>5</vt:i4>
      </vt:variant>
      <vt:variant>
        <vt:lpwstr>http://vbaw.vba.va.gov/bl/21/publicat/Regs/Part4/4_59.htm</vt:lpwstr>
      </vt:variant>
      <vt:variant>
        <vt:lpwstr/>
      </vt:variant>
      <vt:variant>
        <vt:i4>1835106</vt:i4>
      </vt:variant>
      <vt:variant>
        <vt:i4>3156</vt:i4>
      </vt:variant>
      <vt:variant>
        <vt:i4>0</vt:i4>
      </vt:variant>
      <vt:variant>
        <vt:i4>5</vt:i4>
      </vt:variant>
      <vt:variant>
        <vt:lpwstr>http://vbaw.vba.va.gov/bl/21/publicat/Regs/Part4/4_59.htm</vt:lpwstr>
      </vt:variant>
      <vt:variant>
        <vt:lpwstr/>
      </vt:variant>
      <vt:variant>
        <vt:i4>1835107</vt:i4>
      </vt:variant>
      <vt:variant>
        <vt:i4>3153</vt:i4>
      </vt:variant>
      <vt:variant>
        <vt:i4>0</vt:i4>
      </vt:variant>
      <vt:variant>
        <vt:i4>5</vt:i4>
      </vt:variant>
      <vt:variant>
        <vt:lpwstr>http://vbaw.vba.va.gov/bl/21/publicat/Regs/Part4/4_58.htm</vt:lpwstr>
      </vt:variant>
      <vt:variant>
        <vt:lpwstr/>
      </vt:variant>
      <vt:variant>
        <vt:i4>1835116</vt:i4>
      </vt:variant>
      <vt:variant>
        <vt:i4>3150</vt:i4>
      </vt:variant>
      <vt:variant>
        <vt:i4>0</vt:i4>
      </vt:variant>
      <vt:variant>
        <vt:i4>5</vt:i4>
      </vt:variant>
      <vt:variant>
        <vt:lpwstr>http://vbaw.vba.va.gov/bl/21/publicat/Regs/Part4/4_57.htm</vt:lpwstr>
      </vt:variant>
      <vt:variant>
        <vt:lpwstr/>
      </vt:variant>
      <vt:variant>
        <vt:i4>1835117</vt:i4>
      </vt:variant>
      <vt:variant>
        <vt:i4>3147</vt:i4>
      </vt:variant>
      <vt:variant>
        <vt:i4>0</vt:i4>
      </vt:variant>
      <vt:variant>
        <vt:i4>5</vt:i4>
      </vt:variant>
      <vt:variant>
        <vt:lpwstr>http://vbaw.vba.va.gov/bl/21/publicat/Regs/Part4/4_56.htm</vt:lpwstr>
      </vt:variant>
      <vt:variant>
        <vt:lpwstr/>
      </vt:variant>
      <vt:variant>
        <vt:i4>6553703</vt:i4>
      </vt:variant>
      <vt:variant>
        <vt:i4>3144</vt:i4>
      </vt:variant>
      <vt:variant>
        <vt:i4>0</vt:i4>
      </vt:variant>
      <vt:variant>
        <vt:i4>5</vt:i4>
      </vt:variant>
      <vt:variant>
        <vt:lpwstr>http://vbaw.vba.va.gov/bl/21/publicat/Letters/TrngLtrs/TL03-03.doc</vt:lpwstr>
      </vt:variant>
      <vt:variant>
        <vt:lpwstr/>
      </vt:variant>
      <vt:variant>
        <vt:i4>6422628</vt:i4>
      </vt:variant>
      <vt:variant>
        <vt:i4>3141</vt:i4>
      </vt:variant>
      <vt:variant>
        <vt:i4>0</vt:i4>
      </vt:variant>
      <vt:variant>
        <vt:i4>5</vt:i4>
      </vt:variant>
      <vt:variant>
        <vt:lpwstr>http://vbaw.vba.va.gov/bl/21/publicat/Letters/TrngLtrs/TL00-05.doc</vt:lpwstr>
      </vt:variant>
      <vt:variant>
        <vt:lpwstr/>
      </vt:variant>
      <vt:variant>
        <vt:i4>1966184</vt:i4>
      </vt:variant>
      <vt:variant>
        <vt:i4>3138</vt:i4>
      </vt:variant>
      <vt:variant>
        <vt:i4>0</vt:i4>
      </vt:variant>
      <vt:variant>
        <vt:i4>5</vt:i4>
      </vt:variant>
      <vt:variant>
        <vt:lpwstr>http://vbaw.vba.va.gov/bl/21/publicat/Regs/Part4/4_73.htm</vt:lpwstr>
      </vt:variant>
      <vt:variant>
        <vt:lpwstr/>
      </vt:variant>
      <vt:variant>
        <vt:i4>1835117</vt:i4>
      </vt:variant>
      <vt:variant>
        <vt:i4>3135</vt:i4>
      </vt:variant>
      <vt:variant>
        <vt:i4>0</vt:i4>
      </vt:variant>
      <vt:variant>
        <vt:i4>5</vt:i4>
      </vt:variant>
      <vt:variant>
        <vt:lpwstr>http://vbaw.vba.va.gov/bl/21/publicat/Regs/Part4/4_56.htm</vt:lpwstr>
      </vt:variant>
      <vt:variant>
        <vt:lpwstr/>
      </vt:variant>
      <vt:variant>
        <vt:i4>1835118</vt:i4>
      </vt:variant>
      <vt:variant>
        <vt:i4>3132</vt:i4>
      </vt:variant>
      <vt:variant>
        <vt:i4>0</vt:i4>
      </vt:variant>
      <vt:variant>
        <vt:i4>5</vt:i4>
      </vt:variant>
      <vt:variant>
        <vt:lpwstr>http://vbaw.vba.va.gov/bl/21/publicat/Regs/Part4/4_55.htm</vt:lpwstr>
      </vt:variant>
      <vt:variant>
        <vt:lpwstr/>
      </vt:variant>
      <vt:variant>
        <vt:i4>1900653</vt:i4>
      </vt:variant>
      <vt:variant>
        <vt:i4>3129</vt:i4>
      </vt:variant>
      <vt:variant>
        <vt:i4>0</vt:i4>
      </vt:variant>
      <vt:variant>
        <vt:i4>5</vt:i4>
      </vt:variant>
      <vt:variant>
        <vt:lpwstr>http://vbaw.vba.va.gov/bl/21/publicat/Regs/Part4/4_46.htm</vt:lpwstr>
      </vt:variant>
      <vt:variant>
        <vt:lpwstr/>
      </vt:variant>
      <vt:variant>
        <vt:i4>6815797</vt:i4>
      </vt:variant>
      <vt:variant>
        <vt:i4>3126</vt:i4>
      </vt:variant>
      <vt:variant>
        <vt:i4>0</vt:i4>
      </vt:variant>
      <vt:variant>
        <vt:i4>5</vt:i4>
      </vt:variant>
      <vt:variant>
        <vt:lpwstr>http://vbaw.vba.va.gov/bl/21/calendar/agenda/FY13/0113.doc</vt:lpwstr>
      </vt:variant>
      <vt:variant>
        <vt:lpwstr/>
      </vt:variant>
      <vt:variant>
        <vt:i4>524306</vt:i4>
      </vt:variant>
      <vt:variant>
        <vt:i4>3123</vt:i4>
      </vt:variant>
      <vt:variant>
        <vt:i4>0</vt:i4>
      </vt:variant>
      <vt:variant>
        <vt:i4>5</vt:i4>
      </vt:variant>
      <vt:variant>
        <vt:lpwstr>\\vbasdcfpc2\SHARED\VSC\Development &amp; Rating Resources\QRT Bulletin</vt:lpwstr>
      </vt:variant>
      <vt:variant>
        <vt:lpwstr/>
      </vt:variant>
      <vt:variant>
        <vt:i4>1900654</vt:i4>
      </vt:variant>
      <vt:variant>
        <vt:i4>3120</vt:i4>
      </vt:variant>
      <vt:variant>
        <vt:i4>0</vt:i4>
      </vt:variant>
      <vt:variant>
        <vt:i4>5</vt:i4>
      </vt:variant>
      <vt:variant>
        <vt:lpwstr>http://vbaw.vba.va.gov/bl/21/publicat/Regs/Part4/4_45.htm</vt:lpwstr>
      </vt:variant>
      <vt:variant>
        <vt:lpwstr/>
      </vt:variant>
      <vt:variant>
        <vt:i4>1900655</vt:i4>
      </vt:variant>
      <vt:variant>
        <vt:i4>3117</vt:i4>
      </vt:variant>
      <vt:variant>
        <vt:i4>0</vt:i4>
      </vt:variant>
      <vt:variant>
        <vt:i4>5</vt:i4>
      </vt:variant>
      <vt:variant>
        <vt:lpwstr>http://vbaw.vba.va.gov/bl/21/publicat/Regs/Part4/4_44.htm</vt:lpwstr>
      </vt:variant>
      <vt:variant>
        <vt:lpwstr/>
      </vt:variant>
      <vt:variant>
        <vt:i4>7995486</vt:i4>
      </vt:variant>
      <vt:variant>
        <vt:i4>3114</vt:i4>
      </vt:variant>
      <vt:variant>
        <vt:i4>0</vt:i4>
      </vt:variant>
      <vt:variant>
        <vt:i4>5</vt:i4>
      </vt:variant>
      <vt:variant>
        <vt:lpwstr>http://vbaw.vba.va.gov/bl/21/M21-1MR/index.asp?id=pt03_sp04_ch04_secA.xml</vt:lpwstr>
      </vt:variant>
      <vt:variant>
        <vt:lpwstr>III.iv.4.A.7</vt:lpwstr>
      </vt:variant>
      <vt:variant>
        <vt:i4>1900648</vt:i4>
      </vt:variant>
      <vt:variant>
        <vt:i4>3111</vt:i4>
      </vt:variant>
      <vt:variant>
        <vt:i4>0</vt:i4>
      </vt:variant>
      <vt:variant>
        <vt:i4>5</vt:i4>
      </vt:variant>
      <vt:variant>
        <vt:lpwstr>http://vbaw.vba.va.gov/bl/21/publicat/Regs/Part4/4_43.htm</vt:lpwstr>
      </vt:variant>
      <vt:variant>
        <vt:lpwstr/>
      </vt:variant>
      <vt:variant>
        <vt:i4>1900649</vt:i4>
      </vt:variant>
      <vt:variant>
        <vt:i4>3108</vt:i4>
      </vt:variant>
      <vt:variant>
        <vt:i4>0</vt:i4>
      </vt:variant>
      <vt:variant>
        <vt:i4>5</vt:i4>
      </vt:variant>
      <vt:variant>
        <vt:lpwstr>http://vbaw.vba.va.gov/bl/21/publicat/Regs/Part4/4_42.htm</vt:lpwstr>
      </vt:variant>
      <vt:variant>
        <vt:lpwstr/>
      </vt:variant>
      <vt:variant>
        <vt:i4>1900650</vt:i4>
      </vt:variant>
      <vt:variant>
        <vt:i4>3105</vt:i4>
      </vt:variant>
      <vt:variant>
        <vt:i4>0</vt:i4>
      </vt:variant>
      <vt:variant>
        <vt:i4>5</vt:i4>
      </vt:variant>
      <vt:variant>
        <vt:lpwstr>http://vbaw.vba.va.gov/bl/21/publicat/Regs/Part4/4_41.htm</vt:lpwstr>
      </vt:variant>
      <vt:variant>
        <vt:lpwstr/>
      </vt:variant>
      <vt:variant>
        <vt:i4>6946869</vt:i4>
      </vt:variant>
      <vt:variant>
        <vt:i4>3102</vt:i4>
      </vt:variant>
      <vt:variant>
        <vt:i4>0</vt:i4>
      </vt:variant>
      <vt:variant>
        <vt:i4>5</vt:i4>
      </vt:variant>
      <vt:variant>
        <vt:lpwstr>http://vbaw.vba.va.gov/bl/21/calendar/agenda/FY13/0313.doc</vt:lpwstr>
      </vt:variant>
      <vt:variant>
        <vt:lpwstr/>
      </vt:variant>
      <vt:variant>
        <vt:i4>2752627</vt:i4>
      </vt:variant>
      <vt:variant>
        <vt:i4>3099</vt:i4>
      </vt:variant>
      <vt:variant>
        <vt:i4>0</vt:i4>
      </vt:variant>
      <vt:variant>
        <vt:i4>5</vt:i4>
      </vt:variant>
      <vt:variant>
        <vt:lpwstr>http://vbaw.vba.va.gov/bl/21/calendar/agenda/FY11/0711a.doc</vt:lpwstr>
      </vt:variant>
      <vt:variant>
        <vt:lpwstr/>
      </vt:variant>
      <vt:variant>
        <vt:i4>3473423</vt:i4>
      </vt:variant>
      <vt:variant>
        <vt:i4>3096</vt:i4>
      </vt:variant>
      <vt:variant>
        <vt:i4>0</vt:i4>
      </vt:variant>
      <vt:variant>
        <vt:i4>5</vt:i4>
      </vt:variant>
      <vt:variant>
        <vt:lpwstr>http://vbacodmoint1.vba.va.gov/bl/21/faq/FAQ_Answer.asp?ref=353</vt:lpwstr>
      </vt:variant>
      <vt:variant>
        <vt:lpwstr/>
      </vt:variant>
      <vt:variant>
        <vt:i4>3997744</vt:i4>
      </vt:variant>
      <vt:variant>
        <vt:i4>3093</vt:i4>
      </vt:variant>
      <vt:variant>
        <vt:i4>0</vt:i4>
      </vt:variant>
      <vt:variant>
        <vt:i4>5</vt:i4>
      </vt:variant>
      <vt:variant>
        <vt:lpwstr>http://vbaw.vba.va.gov/bl/21/publicat/Letters/FL04/FL04-22.doc</vt:lpwstr>
      </vt:variant>
      <vt:variant>
        <vt:lpwstr/>
      </vt:variant>
      <vt:variant>
        <vt:i4>1245273</vt:i4>
      </vt:variant>
      <vt:variant>
        <vt:i4>3090</vt:i4>
      </vt:variant>
      <vt:variant>
        <vt:i4>0</vt:i4>
      </vt:variant>
      <vt:variant>
        <vt:i4>5</vt:i4>
      </vt:variant>
      <vt:variant>
        <vt:lpwstr>http://vbaw.vba.va.gov/bl/21/advisory/PRECOP/04op/pc0904.doc</vt:lpwstr>
      </vt:variant>
      <vt:variant>
        <vt:lpwstr/>
      </vt:variant>
      <vt:variant>
        <vt:i4>7667727</vt:i4>
      </vt:variant>
      <vt:variant>
        <vt:i4>3087</vt:i4>
      </vt:variant>
      <vt:variant>
        <vt:i4>0</vt:i4>
      </vt:variant>
      <vt:variant>
        <vt:i4>5</vt:i4>
      </vt:variant>
      <vt:variant>
        <vt:lpwstr>http://10.220.1.4/bl/21/faq/FAQ_Answer.asp?ref=30</vt:lpwstr>
      </vt:variant>
      <vt:variant>
        <vt:lpwstr/>
      </vt:variant>
      <vt:variant>
        <vt:i4>5308470</vt:i4>
      </vt:variant>
      <vt:variant>
        <vt:i4>3084</vt:i4>
      </vt:variant>
      <vt:variant>
        <vt:i4>0</vt:i4>
      </vt:variant>
      <vt:variant>
        <vt:i4>5</vt:i4>
      </vt:variant>
      <vt:variant>
        <vt:lpwstr>http://vbaw.vba.va.gov/bl/21/Advisory/PRECOP/98op/Prc09_98.doc</vt:lpwstr>
      </vt:variant>
      <vt:variant>
        <vt:lpwstr/>
      </vt:variant>
      <vt:variant>
        <vt:i4>6029363</vt:i4>
      </vt:variant>
      <vt:variant>
        <vt:i4>3081</vt:i4>
      </vt:variant>
      <vt:variant>
        <vt:i4>0</vt:i4>
      </vt:variant>
      <vt:variant>
        <vt:i4>5</vt:i4>
      </vt:variant>
      <vt:variant>
        <vt:lpwstr>http://vbaw.vba.va.gov/bl/21/Advisory/PRECOP/97op/Prc23_97.doc</vt:lpwstr>
      </vt:variant>
      <vt:variant>
        <vt:lpwstr/>
      </vt:variant>
      <vt:variant>
        <vt:i4>2621538</vt:i4>
      </vt:variant>
      <vt:variant>
        <vt:i4>3078</vt:i4>
      </vt:variant>
      <vt:variant>
        <vt:i4>0</vt:i4>
      </vt:variant>
      <vt:variant>
        <vt:i4>5</vt:i4>
      </vt:variant>
      <vt:variant>
        <vt:lpwstr>http://vbaw.vba.va.gov/bl/21/Advisory/DADS/1995dads/Deluca.doc</vt:lpwstr>
      </vt:variant>
      <vt:variant>
        <vt:lpwstr/>
      </vt:variant>
      <vt:variant>
        <vt:i4>8126558</vt:i4>
      </vt:variant>
      <vt:variant>
        <vt:i4>3075</vt:i4>
      </vt:variant>
      <vt:variant>
        <vt:i4>0</vt:i4>
      </vt:variant>
      <vt:variant>
        <vt:i4>5</vt:i4>
      </vt:variant>
      <vt:variant>
        <vt:lpwstr>http://vbaw.vba.va.gov/bl/21/M21-1MR/index.asp?id=pt03_sp04_ch04_secA.xml</vt:lpwstr>
      </vt:variant>
      <vt:variant>
        <vt:lpwstr>III.iv.4.A.1</vt:lpwstr>
      </vt:variant>
      <vt:variant>
        <vt:i4>5701730</vt:i4>
      </vt:variant>
      <vt:variant>
        <vt:i4>3072</vt:i4>
      </vt:variant>
      <vt:variant>
        <vt:i4>0</vt:i4>
      </vt:variant>
      <vt:variant>
        <vt:i4>5</vt:i4>
      </vt:variant>
      <vt:variant>
        <vt:lpwstr>http://vbaw.vba.va.gov/bl/21/M21-1MR/index.asp?id=pt03_sp04_ch03_secD.xml</vt:lpwstr>
      </vt:variant>
      <vt:variant>
        <vt:lpwstr>III.iv.3.D.19.g</vt:lpwstr>
      </vt:variant>
      <vt:variant>
        <vt:i4>1835106</vt:i4>
      </vt:variant>
      <vt:variant>
        <vt:i4>3069</vt:i4>
      </vt:variant>
      <vt:variant>
        <vt:i4>0</vt:i4>
      </vt:variant>
      <vt:variant>
        <vt:i4>5</vt:i4>
      </vt:variant>
      <vt:variant>
        <vt:lpwstr>http://vbaw.vba.va.gov/bl/21/publicat/Regs/Part4/4_59.htm</vt:lpwstr>
      </vt:variant>
      <vt:variant>
        <vt:lpwstr/>
      </vt:variant>
      <vt:variant>
        <vt:i4>1900654</vt:i4>
      </vt:variant>
      <vt:variant>
        <vt:i4>3066</vt:i4>
      </vt:variant>
      <vt:variant>
        <vt:i4>0</vt:i4>
      </vt:variant>
      <vt:variant>
        <vt:i4>5</vt:i4>
      </vt:variant>
      <vt:variant>
        <vt:lpwstr>http://vbaw.vba.va.gov/bl/21/publicat/Regs/Part4/4_45.htm</vt:lpwstr>
      </vt:variant>
      <vt:variant>
        <vt:lpwstr/>
      </vt:variant>
      <vt:variant>
        <vt:i4>1572971</vt:i4>
      </vt:variant>
      <vt:variant>
        <vt:i4>3063</vt:i4>
      </vt:variant>
      <vt:variant>
        <vt:i4>0</vt:i4>
      </vt:variant>
      <vt:variant>
        <vt:i4>5</vt:i4>
      </vt:variant>
      <vt:variant>
        <vt:lpwstr>http://vbaw.vba.va.gov/bl/21/publicat/Regs/Part4/4_10.htm</vt:lpwstr>
      </vt:variant>
      <vt:variant>
        <vt:lpwstr/>
      </vt:variant>
      <vt:variant>
        <vt:i4>4456553</vt:i4>
      </vt:variant>
      <vt:variant>
        <vt:i4>3060</vt:i4>
      </vt:variant>
      <vt:variant>
        <vt:i4>0</vt:i4>
      </vt:variant>
      <vt:variant>
        <vt:i4>5</vt:i4>
      </vt:variant>
      <vt:variant>
        <vt:lpwstr>http://vbaw.vba.va.gov/bl/21/publicat/Regs/Part4/4_2.htm</vt:lpwstr>
      </vt:variant>
      <vt:variant>
        <vt:lpwstr/>
      </vt:variant>
      <vt:variant>
        <vt:i4>4653161</vt:i4>
      </vt:variant>
      <vt:variant>
        <vt:i4>3057</vt:i4>
      </vt:variant>
      <vt:variant>
        <vt:i4>0</vt:i4>
      </vt:variant>
      <vt:variant>
        <vt:i4>5</vt:i4>
      </vt:variant>
      <vt:variant>
        <vt:lpwstr>http://vbaw.vba.va.gov/bl/21/publicat/Regs/Part4/4_1.htm</vt:lpwstr>
      </vt:variant>
      <vt:variant>
        <vt:lpwstr/>
      </vt:variant>
      <vt:variant>
        <vt:i4>1900651</vt:i4>
      </vt:variant>
      <vt:variant>
        <vt:i4>3054</vt:i4>
      </vt:variant>
      <vt:variant>
        <vt:i4>0</vt:i4>
      </vt:variant>
      <vt:variant>
        <vt:i4>5</vt:i4>
      </vt:variant>
      <vt:variant>
        <vt:lpwstr>http://vbaw.vba.va.gov/bl/21/publicat/Regs/Part4/4_40.htm</vt:lpwstr>
      </vt:variant>
      <vt:variant>
        <vt:lpwstr/>
      </vt:variant>
      <vt:variant>
        <vt:i4>4259916</vt:i4>
      </vt:variant>
      <vt:variant>
        <vt:i4>3051</vt:i4>
      </vt:variant>
      <vt:variant>
        <vt:i4>0</vt:i4>
      </vt:variant>
      <vt:variant>
        <vt:i4>5</vt:i4>
      </vt:variant>
      <vt:variant>
        <vt:lpwstr>http://vbaw.vba.va.gov/bl/21/Systems/docs/RBA2K-Scars.doc</vt:lpwstr>
      </vt:variant>
      <vt:variant>
        <vt:lpwstr/>
      </vt:variant>
      <vt:variant>
        <vt:i4>8126553</vt:i4>
      </vt:variant>
      <vt:variant>
        <vt:i4>3048</vt:i4>
      </vt:variant>
      <vt:variant>
        <vt:i4>0</vt:i4>
      </vt:variant>
      <vt:variant>
        <vt:i4>5</vt:i4>
      </vt:variant>
      <vt:variant>
        <vt:lpwstr>http://vbaw.vba.va.gov/bl/21/publicat/Regs/Part3/3_309.htm</vt:lpwstr>
      </vt:variant>
      <vt:variant>
        <vt:lpwstr/>
      </vt:variant>
      <vt:variant>
        <vt:i4>8126553</vt:i4>
      </vt:variant>
      <vt:variant>
        <vt:i4>3045</vt:i4>
      </vt:variant>
      <vt:variant>
        <vt:i4>0</vt:i4>
      </vt:variant>
      <vt:variant>
        <vt:i4>5</vt:i4>
      </vt:variant>
      <vt:variant>
        <vt:lpwstr>http://vbaw.vba.va.gov/bl/21/publicat/Regs/Part3/3_309.htm</vt:lpwstr>
      </vt:variant>
      <vt:variant>
        <vt:lpwstr/>
      </vt:variant>
      <vt:variant>
        <vt:i4>8323160</vt:i4>
      </vt:variant>
      <vt:variant>
        <vt:i4>3042</vt:i4>
      </vt:variant>
      <vt:variant>
        <vt:i4>0</vt:i4>
      </vt:variant>
      <vt:variant>
        <vt:i4>5</vt:i4>
      </vt:variant>
      <vt:variant>
        <vt:lpwstr>http://vbaw.vba.va.gov/bl/21/publicat/Regs/Part4/4_118.htm</vt:lpwstr>
      </vt:variant>
      <vt:variant>
        <vt:lpwstr/>
      </vt:variant>
      <vt:variant>
        <vt:i4>1769581</vt:i4>
      </vt:variant>
      <vt:variant>
        <vt:i4>3039</vt:i4>
      </vt:variant>
      <vt:variant>
        <vt:i4>0</vt:i4>
      </vt:variant>
      <vt:variant>
        <vt:i4>5</vt:i4>
      </vt:variant>
      <vt:variant>
        <vt:lpwstr>http://vbaw.vba.va.gov/bl/21/publicat/Regs/Part4/4_26.htm</vt:lpwstr>
      </vt:variant>
      <vt:variant>
        <vt:lpwstr/>
      </vt:variant>
      <vt:variant>
        <vt:i4>6815797</vt:i4>
      </vt:variant>
      <vt:variant>
        <vt:i4>3036</vt:i4>
      </vt:variant>
      <vt:variant>
        <vt:i4>0</vt:i4>
      </vt:variant>
      <vt:variant>
        <vt:i4>5</vt:i4>
      </vt:variant>
      <vt:variant>
        <vt:lpwstr>http://vbaw.vba.va.gov/bl/21/calendar/agenda/FY13/0113.doc</vt:lpwstr>
      </vt:variant>
      <vt:variant>
        <vt:lpwstr/>
      </vt:variant>
      <vt:variant>
        <vt:i4>524306</vt:i4>
      </vt:variant>
      <vt:variant>
        <vt:i4>3033</vt:i4>
      </vt:variant>
      <vt:variant>
        <vt:i4>0</vt:i4>
      </vt:variant>
      <vt:variant>
        <vt:i4>5</vt:i4>
      </vt:variant>
      <vt:variant>
        <vt:lpwstr>\\vbasdcfpc2\SHARED\VSC\Development &amp; Rating Resources\QRT Bulletin</vt:lpwstr>
      </vt:variant>
      <vt:variant>
        <vt:lpwstr/>
      </vt:variant>
      <vt:variant>
        <vt:i4>524306</vt:i4>
      </vt:variant>
      <vt:variant>
        <vt:i4>3030</vt:i4>
      </vt:variant>
      <vt:variant>
        <vt:i4>0</vt:i4>
      </vt:variant>
      <vt:variant>
        <vt:i4>5</vt:i4>
      </vt:variant>
      <vt:variant>
        <vt:lpwstr>\\vbasdcfpc2\SHARED\VSC\Development &amp; Rating Resources\QRT Bulletin</vt:lpwstr>
      </vt:variant>
      <vt:variant>
        <vt:lpwstr/>
      </vt:variant>
      <vt:variant>
        <vt:i4>524306</vt:i4>
      </vt:variant>
      <vt:variant>
        <vt:i4>3027</vt:i4>
      </vt:variant>
      <vt:variant>
        <vt:i4>0</vt:i4>
      </vt:variant>
      <vt:variant>
        <vt:i4>5</vt:i4>
      </vt:variant>
      <vt:variant>
        <vt:lpwstr>\\vbasdcfpc2\SHARED\VSC\Development &amp; Rating Resources\QRT Bulletin</vt:lpwstr>
      </vt:variant>
      <vt:variant>
        <vt:lpwstr/>
      </vt:variant>
      <vt:variant>
        <vt:i4>7209012</vt:i4>
      </vt:variant>
      <vt:variant>
        <vt:i4>3024</vt:i4>
      </vt:variant>
      <vt:variant>
        <vt:i4>0</vt:i4>
      </vt:variant>
      <vt:variant>
        <vt:i4>5</vt:i4>
      </vt:variant>
      <vt:variant>
        <vt:lpwstr>http://vbaw.vba.va.gov/bl/21/calendar/Agenda/FY12/0612.doc</vt:lpwstr>
      </vt:variant>
      <vt:variant>
        <vt:lpwstr/>
      </vt:variant>
      <vt:variant>
        <vt:i4>7405615</vt:i4>
      </vt:variant>
      <vt:variant>
        <vt:i4>3021</vt:i4>
      </vt:variant>
      <vt:variant>
        <vt:i4>0</vt:i4>
      </vt:variant>
      <vt:variant>
        <vt:i4>5</vt:i4>
      </vt:variant>
      <vt:variant>
        <vt:lpwstr>http://vbaw.vba.va.gov/bl/21/publicat/Letters/FL08/FL08-044.doc</vt:lpwstr>
      </vt:variant>
      <vt:variant>
        <vt:lpwstr/>
      </vt:variant>
      <vt:variant>
        <vt:i4>3538958</vt:i4>
      </vt:variant>
      <vt:variant>
        <vt:i4>3018</vt:i4>
      </vt:variant>
      <vt:variant>
        <vt:i4>0</vt:i4>
      </vt:variant>
      <vt:variant>
        <vt:i4>5</vt:i4>
      </vt:variant>
      <vt:variant>
        <vt:lpwstr>http://vbacodmoint1.vba.va.gov/bl/21/faq/FAQ_Answer.asp?ref=269</vt:lpwstr>
      </vt:variant>
      <vt:variant>
        <vt:lpwstr/>
      </vt:variant>
      <vt:variant>
        <vt:i4>3473422</vt:i4>
      </vt:variant>
      <vt:variant>
        <vt:i4>3015</vt:i4>
      </vt:variant>
      <vt:variant>
        <vt:i4>0</vt:i4>
      </vt:variant>
      <vt:variant>
        <vt:i4>5</vt:i4>
      </vt:variant>
      <vt:variant>
        <vt:lpwstr>http://vbacodmoint1.vba.va.gov/bl/21/faq/FAQ_Answer.asp?ref=254</vt:lpwstr>
      </vt:variant>
      <vt:variant>
        <vt:lpwstr/>
      </vt:variant>
      <vt:variant>
        <vt:i4>8192033</vt:i4>
      </vt:variant>
      <vt:variant>
        <vt:i4>3012</vt:i4>
      </vt:variant>
      <vt:variant>
        <vt:i4>0</vt:i4>
      </vt:variant>
      <vt:variant>
        <vt:i4>5</vt:i4>
      </vt:variant>
      <vt:variant>
        <vt:lpwstr>http://vbaw.vba.va.gov/bl/21/publicat/Letters/FL02/FL02-020.doc</vt:lpwstr>
      </vt:variant>
      <vt:variant>
        <vt:lpwstr/>
      </vt:variant>
      <vt:variant>
        <vt:i4>3538957</vt:i4>
      </vt:variant>
      <vt:variant>
        <vt:i4>3009</vt:i4>
      </vt:variant>
      <vt:variant>
        <vt:i4>0</vt:i4>
      </vt:variant>
      <vt:variant>
        <vt:i4>5</vt:i4>
      </vt:variant>
      <vt:variant>
        <vt:lpwstr>http://vbacodmoint1.vba.va.gov/bl/21/faq/FAQ_Answer.asp?ref=165</vt:lpwstr>
      </vt:variant>
      <vt:variant>
        <vt:lpwstr/>
      </vt:variant>
      <vt:variant>
        <vt:i4>7798899</vt:i4>
      </vt:variant>
      <vt:variant>
        <vt:i4>3006</vt:i4>
      </vt:variant>
      <vt:variant>
        <vt:i4>0</vt:i4>
      </vt:variant>
      <vt:variant>
        <vt:i4>5</vt:i4>
      </vt:variant>
      <vt:variant>
        <vt:lpwstr>http://vbaw.vba.va.gov/BL/21/M21/content/infomap.asp?address=M21-1MRIV.ii.2.B.4</vt:lpwstr>
      </vt:variant>
      <vt:variant>
        <vt:lpwstr>M21-1MRIV.ii.2.B.4.c</vt:lpwstr>
      </vt:variant>
      <vt:variant>
        <vt:i4>7733363</vt:i4>
      </vt:variant>
      <vt:variant>
        <vt:i4>3003</vt:i4>
      </vt:variant>
      <vt:variant>
        <vt:i4>0</vt:i4>
      </vt:variant>
      <vt:variant>
        <vt:i4>5</vt:i4>
      </vt:variant>
      <vt:variant>
        <vt:lpwstr>http://vbaw.vba.va.gov/BL/21/M21/content/infomap.asp?address=M21-1MRIV.ii.2.B.4</vt:lpwstr>
      </vt:variant>
      <vt:variant>
        <vt:lpwstr>M21-1MRIV.ii.2.B.4.b</vt:lpwstr>
      </vt:variant>
      <vt:variant>
        <vt:i4>3604576</vt:i4>
      </vt:variant>
      <vt:variant>
        <vt:i4>3000</vt:i4>
      </vt:variant>
      <vt:variant>
        <vt:i4>0</vt:i4>
      </vt:variant>
      <vt:variant>
        <vt:i4>5</vt:i4>
      </vt:variant>
      <vt:variant>
        <vt:lpwstr>http://www.asknumbers.com/square-centimeter-to-square-inch.aspx</vt:lpwstr>
      </vt:variant>
      <vt:variant>
        <vt:lpwstr/>
      </vt:variant>
      <vt:variant>
        <vt:i4>196693</vt:i4>
      </vt:variant>
      <vt:variant>
        <vt:i4>2997</vt:i4>
      </vt:variant>
      <vt:variant>
        <vt:i4>0</vt:i4>
      </vt:variant>
      <vt:variant>
        <vt:i4>5</vt:i4>
      </vt:variant>
      <vt:variant>
        <vt:lpwstr/>
      </vt:variant>
      <vt:variant>
        <vt:lpwstr>Part4Changes</vt:lpwstr>
      </vt:variant>
      <vt:variant>
        <vt:i4>196693</vt:i4>
      </vt:variant>
      <vt:variant>
        <vt:i4>2994</vt:i4>
      </vt:variant>
      <vt:variant>
        <vt:i4>0</vt:i4>
      </vt:variant>
      <vt:variant>
        <vt:i4>5</vt:i4>
      </vt:variant>
      <vt:variant>
        <vt:lpwstr/>
      </vt:variant>
      <vt:variant>
        <vt:lpwstr>Part4Changes</vt:lpwstr>
      </vt:variant>
      <vt:variant>
        <vt:i4>1835051</vt:i4>
      </vt:variant>
      <vt:variant>
        <vt:i4>2991</vt:i4>
      </vt:variant>
      <vt:variant>
        <vt:i4>0</vt:i4>
      </vt:variant>
      <vt:variant>
        <vt:i4>5</vt:i4>
      </vt:variant>
      <vt:variant>
        <vt:lpwstr>http://vbaw.vba.va.gov/bl/21/Publicat/Regs/Part4/HISTORY/4_118(1).htm</vt:lpwstr>
      </vt:variant>
      <vt:variant>
        <vt:lpwstr/>
      </vt:variant>
      <vt:variant>
        <vt:i4>8323160</vt:i4>
      </vt:variant>
      <vt:variant>
        <vt:i4>2988</vt:i4>
      </vt:variant>
      <vt:variant>
        <vt:i4>0</vt:i4>
      </vt:variant>
      <vt:variant>
        <vt:i4>5</vt:i4>
      </vt:variant>
      <vt:variant>
        <vt:lpwstr>http://vbaw.vba.va.gov/bl/21/publicat/Regs/Part4/4_118.htm</vt:lpwstr>
      </vt:variant>
      <vt:variant>
        <vt:lpwstr/>
      </vt:variant>
      <vt:variant>
        <vt:i4>7471193</vt:i4>
      </vt:variant>
      <vt:variant>
        <vt:i4>2985</vt:i4>
      </vt:variant>
      <vt:variant>
        <vt:i4>0</vt:i4>
      </vt:variant>
      <vt:variant>
        <vt:i4>5</vt:i4>
      </vt:variant>
      <vt:variant>
        <vt:lpwstr>http://vbaw.vba.va.gov/bl/21/publicat/Regs/Part3/3_105.htm</vt:lpwstr>
      </vt:variant>
      <vt:variant>
        <vt:lpwstr/>
      </vt:variant>
      <vt:variant>
        <vt:i4>7667804</vt:i4>
      </vt:variant>
      <vt:variant>
        <vt:i4>2982</vt:i4>
      </vt:variant>
      <vt:variant>
        <vt:i4>0</vt:i4>
      </vt:variant>
      <vt:variant>
        <vt:i4>5</vt:i4>
      </vt:variant>
      <vt:variant>
        <vt:lpwstr>http://vbaw.vba.va.gov/bl/21/publicat/Regs/Part3/3_655.htm</vt:lpwstr>
      </vt:variant>
      <vt:variant>
        <vt:lpwstr/>
      </vt:variant>
      <vt:variant>
        <vt:i4>3539029</vt:i4>
      </vt:variant>
      <vt:variant>
        <vt:i4>2979</vt:i4>
      </vt:variant>
      <vt:variant>
        <vt:i4>0</vt:i4>
      </vt:variant>
      <vt:variant>
        <vt:i4>5</vt:i4>
      </vt:variant>
      <vt:variant>
        <vt:lpwstr>http://vbaw.vba.va.gov/bl/21/M21-1MR/index.asp?id=pt04_sp02_ch03_secB.xml</vt:lpwstr>
      </vt:variant>
      <vt:variant>
        <vt:lpwstr>IV.ii.3.B.6.b</vt:lpwstr>
      </vt:variant>
      <vt:variant>
        <vt:i4>524306</vt:i4>
      </vt:variant>
      <vt:variant>
        <vt:i4>2976</vt:i4>
      </vt:variant>
      <vt:variant>
        <vt:i4>0</vt:i4>
      </vt:variant>
      <vt:variant>
        <vt:i4>5</vt:i4>
      </vt:variant>
      <vt:variant>
        <vt:lpwstr>\\vbasdcfpc2\SHARED\VSC\Development &amp; Rating Resources\QRT Bulletin</vt:lpwstr>
      </vt:variant>
      <vt:variant>
        <vt:lpwstr/>
      </vt:variant>
      <vt:variant>
        <vt:i4>2818127</vt:i4>
      </vt:variant>
      <vt:variant>
        <vt:i4>2973</vt:i4>
      </vt:variant>
      <vt:variant>
        <vt:i4>0</vt:i4>
      </vt:variant>
      <vt:variant>
        <vt:i4>5</vt:i4>
      </vt:variant>
      <vt:variant>
        <vt:lpwstr>http://vbaw.vba.va.gov/bl/21/faq/FAQ_Answer.asp?ref=348</vt:lpwstr>
      </vt:variant>
      <vt:variant>
        <vt:lpwstr/>
      </vt:variant>
      <vt:variant>
        <vt:i4>7864410</vt:i4>
      </vt:variant>
      <vt:variant>
        <vt:i4>2970</vt:i4>
      </vt:variant>
      <vt:variant>
        <vt:i4>0</vt:i4>
      </vt:variant>
      <vt:variant>
        <vt:i4>5</vt:i4>
      </vt:variant>
      <vt:variant>
        <vt:lpwstr>http://vbaw.vba.va.gov/bl/21/M21-1MR/index.asp?id=pt03_sp04_ch08_secE.xml</vt:lpwstr>
      </vt:variant>
      <vt:variant>
        <vt:lpwstr>III.iv.8.E.16</vt:lpwstr>
      </vt:variant>
      <vt:variant>
        <vt:i4>3538945</vt:i4>
      </vt:variant>
      <vt:variant>
        <vt:i4>2967</vt:i4>
      </vt:variant>
      <vt:variant>
        <vt:i4>0</vt:i4>
      </vt:variant>
      <vt:variant>
        <vt:i4>5</vt:i4>
      </vt:variant>
      <vt:variant>
        <vt:lpwstr>http://vbaw.vba.va.gov/bl/21/M21-1MR/index.asp?id=pt04_sp02_ch03_secB.xml</vt:lpwstr>
      </vt:variant>
      <vt:variant>
        <vt:lpwstr>IV.ii.3.B</vt:lpwstr>
      </vt:variant>
      <vt:variant>
        <vt:i4>7667804</vt:i4>
      </vt:variant>
      <vt:variant>
        <vt:i4>2964</vt:i4>
      </vt:variant>
      <vt:variant>
        <vt:i4>0</vt:i4>
      </vt:variant>
      <vt:variant>
        <vt:i4>5</vt:i4>
      </vt:variant>
      <vt:variant>
        <vt:lpwstr>http://vbaw.vba.va.gov/bl/21/publicat/Regs/Part3/3_655.htm</vt:lpwstr>
      </vt:variant>
      <vt:variant>
        <vt:lpwstr/>
      </vt:variant>
      <vt:variant>
        <vt:i4>5308520</vt:i4>
      </vt:variant>
      <vt:variant>
        <vt:i4>2961</vt:i4>
      </vt:variant>
      <vt:variant>
        <vt:i4>0</vt:i4>
      </vt:variant>
      <vt:variant>
        <vt:i4>5</vt:i4>
      </vt:variant>
      <vt:variant>
        <vt:lpwstr>http://vbaw.vba.va.gov/bl/21/M21-1MR/index.asp?id=pt03_sp04_ch03_secB.xml</vt:lpwstr>
      </vt:variant>
      <vt:variant>
        <vt:lpwstr>III.iv.3.B.15.c</vt:lpwstr>
      </vt:variant>
      <vt:variant>
        <vt:i4>7405661</vt:i4>
      </vt:variant>
      <vt:variant>
        <vt:i4>2958</vt:i4>
      </vt:variant>
      <vt:variant>
        <vt:i4>0</vt:i4>
      </vt:variant>
      <vt:variant>
        <vt:i4>5</vt:i4>
      </vt:variant>
      <vt:variant>
        <vt:lpwstr>http://vbaw.vba.va.gov/bl/21/publicat/Regs/Part3/3_344.htm</vt:lpwstr>
      </vt:variant>
      <vt:variant>
        <vt:lpwstr/>
      </vt:variant>
      <vt:variant>
        <vt:i4>7667802</vt:i4>
      </vt:variant>
      <vt:variant>
        <vt:i4>2955</vt:i4>
      </vt:variant>
      <vt:variant>
        <vt:i4>0</vt:i4>
      </vt:variant>
      <vt:variant>
        <vt:i4>5</vt:i4>
      </vt:variant>
      <vt:variant>
        <vt:lpwstr>http://vbaw.vba.va.gov/bl/21/publicat/Regs/Part3/3_330.htm</vt:lpwstr>
      </vt:variant>
      <vt:variant>
        <vt:lpwstr/>
      </vt:variant>
      <vt:variant>
        <vt:i4>2621442</vt:i4>
      </vt:variant>
      <vt:variant>
        <vt:i4>2952</vt:i4>
      </vt:variant>
      <vt:variant>
        <vt:i4>0</vt:i4>
      </vt:variant>
      <vt:variant>
        <vt:i4>5</vt:i4>
      </vt:variant>
      <vt:variant>
        <vt:lpwstr>http://vbaw.vba.va.gov/bl/21/publicat/Regs/Part4/4_124a.htm</vt:lpwstr>
      </vt:variant>
      <vt:variant>
        <vt:lpwstr>8024</vt:lpwstr>
      </vt:variant>
      <vt:variant>
        <vt:i4>2359297</vt:i4>
      </vt:variant>
      <vt:variant>
        <vt:i4>2949</vt:i4>
      </vt:variant>
      <vt:variant>
        <vt:i4>0</vt:i4>
      </vt:variant>
      <vt:variant>
        <vt:i4>5</vt:i4>
      </vt:variant>
      <vt:variant>
        <vt:lpwstr>http://vbaw.vba.va.gov/bl/21/publicat/Regs/Part4/4_124a.htm</vt:lpwstr>
      </vt:variant>
      <vt:variant>
        <vt:lpwstr>8018</vt:lpwstr>
      </vt:variant>
      <vt:variant>
        <vt:i4>2621440</vt:i4>
      </vt:variant>
      <vt:variant>
        <vt:i4>2946</vt:i4>
      </vt:variant>
      <vt:variant>
        <vt:i4>0</vt:i4>
      </vt:variant>
      <vt:variant>
        <vt:i4>5</vt:i4>
      </vt:variant>
      <vt:variant>
        <vt:lpwstr>http://vbaw.vba.va.gov/bl/21/publicat/Regs/Part4/4_124a.htm</vt:lpwstr>
      </vt:variant>
      <vt:variant>
        <vt:lpwstr>8004</vt:lpwstr>
      </vt:variant>
      <vt:variant>
        <vt:i4>8257627</vt:i4>
      </vt:variant>
      <vt:variant>
        <vt:i4>2943</vt:i4>
      </vt:variant>
      <vt:variant>
        <vt:i4>0</vt:i4>
      </vt:variant>
      <vt:variant>
        <vt:i4>5</vt:i4>
      </vt:variant>
      <vt:variant>
        <vt:lpwstr>http://vbaw.vba.va.gov/bl/21/publicat/Regs/Part4/4_129.htm</vt:lpwstr>
      </vt:variant>
      <vt:variant>
        <vt:lpwstr/>
      </vt:variant>
      <vt:variant>
        <vt:i4>7274550</vt:i4>
      </vt:variant>
      <vt:variant>
        <vt:i4>2940</vt:i4>
      </vt:variant>
      <vt:variant>
        <vt:i4>0</vt:i4>
      </vt:variant>
      <vt:variant>
        <vt:i4>5</vt:i4>
      </vt:variant>
      <vt:variant>
        <vt:lpwstr>http://vbaw.vba.va.gov/bl/21/calendar/agenda/FY10/0510.doc</vt:lpwstr>
      </vt:variant>
      <vt:variant>
        <vt:lpwstr/>
      </vt:variant>
      <vt:variant>
        <vt:i4>8257627</vt:i4>
      </vt:variant>
      <vt:variant>
        <vt:i4>2937</vt:i4>
      </vt:variant>
      <vt:variant>
        <vt:i4>0</vt:i4>
      </vt:variant>
      <vt:variant>
        <vt:i4>5</vt:i4>
      </vt:variant>
      <vt:variant>
        <vt:lpwstr>http://vbaw.vba.va.gov/bl/21/publicat/Regs/Part4/4_129.htm</vt:lpwstr>
      </vt:variant>
      <vt:variant>
        <vt:lpwstr/>
      </vt:variant>
      <vt:variant>
        <vt:i4>7471195</vt:i4>
      </vt:variant>
      <vt:variant>
        <vt:i4>2934</vt:i4>
      </vt:variant>
      <vt:variant>
        <vt:i4>0</vt:i4>
      </vt:variant>
      <vt:variant>
        <vt:i4>5</vt:i4>
      </vt:variant>
      <vt:variant>
        <vt:lpwstr>http://vbaw.vba.va.gov/bl/21/publicat/Regs/Part3/3_327.htm</vt:lpwstr>
      </vt:variant>
      <vt:variant>
        <vt:lpwstr/>
      </vt:variant>
      <vt:variant>
        <vt:i4>8192038</vt:i4>
      </vt:variant>
      <vt:variant>
        <vt:i4>2931</vt:i4>
      </vt:variant>
      <vt:variant>
        <vt:i4>0</vt:i4>
      </vt:variant>
      <vt:variant>
        <vt:i4>5</vt:i4>
      </vt:variant>
      <vt:variant>
        <vt:lpwstr>http://vbaw.vba.va.gov/bl/21/publicat/Letters/FL10/FL10-014.doc</vt:lpwstr>
      </vt:variant>
      <vt:variant>
        <vt:lpwstr/>
      </vt:variant>
      <vt:variant>
        <vt:i4>5505095</vt:i4>
      </vt:variant>
      <vt:variant>
        <vt:i4>2928</vt:i4>
      </vt:variant>
      <vt:variant>
        <vt:i4>0</vt:i4>
      </vt:variant>
      <vt:variant>
        <vt:i4>5</vt:i4>
      </vt:variant>
      <vt:variant>
        <vt:lpwstr>http://vbaw.vba.va.gov/bl/21/systems/docs/code39.xls</vt:lpwstr>
      </vt:variant>
      <vt:variant>
        <vt:lpwstr/>
      </vt:variant>
      <vt:variant>
        <vt:i4>5177418</vt:i4>
      </vt:variant>
      <vt:variant>
        <vt:i4>2925</vt:i4>
      </vt:variant>
      <vt:variant>
        <vt:i4>0</vt:i4>
      </vt:variant>
      <vt:variant>
        <vt:i4>5</vt:i4>
      </vt:variant>
      <vt:variant>
        <vt:lpwstr>http://vbaw.vba.va.gov/BL/21/M21/content/infomap.asp?address=M21-1MRIII.iv.6.D.17</vt:lpwstr>
      </vt:variant>
      <vt:variant>
        <vt:lpwstr/>
      </vt:variant>
      <vt:variant>
        <vt:i4>4980810</vt:i4>
      </vt:variant>
      <vt:variant>
        <vt:i4>2922</vt:i4>
      </vt:variant>
      <vt:variant>
        <vt:i4>0</vt:i4>
      </vt:variant>
      <vt:variant>
        <vt:i4>5</vt:i4>
      </vt:variant>
      <vt:variant>
        <vt:lpwstr>http://vbaw.vba.va.gov/BL/21/M21/content/infomap.asp?address=M21-1MRIII.iv.3.B.15</vt:lpwstr>
      </vt:variant>
      <vt:variant>
        <vt:lpwstr/>
      </vt:variant>
      <vt:variant>
        <vt:i4>7471195</vt:i4>
      </vt:variant>
      <vt:variant>
        <vt:i4>2919</vt:i4>
      </vt:variant>
      <vt:variant>
        <vt:i4>0</vt:i4>
      </vt:variant>
      <vt:variant>
        <vt:i4>5</vt:i4>
      </vt:variant>
      <vt:variant>
        <vt:lpwstr>http://vbaw.vba.va.gov/bl/21/publicat/Regs/Part3/3_327.htm</vt:lpwstr>
      </vt:variant>
      <vt:variant>
        <vt:lpwstr/>
      </vt:variant>
      <vt:variant>
        <vt:i4>6291518</vt:i4>
      </vt:variant>
      <vt:variant>
        <vt:i4>2916</vt:i4>
      </vt:variant>
      <vt:variant>
        <vt:i4>0</vt:i4>
      </vt:variant>
      <vt:variant>
        <vt:i4>5</vt:i4>
      </vt:variant>
      <vt:variant>
        <vt:lpwstr>http://vbaw.vba.va.gov/bl/21/calendar/agenda/FY09/0209.doc</vt:lpwstr>
      </vt:variant>
      <vt:variant>
        <vt:lpwstr/>
      </vt:variant>
      <vt:variant>
        <vt:i4>7471193</vt:i4>
      </vt:variant>
      <vt:variant>
        <vt:i4>2913</vt:i4>
      </vt:variant>
      <vt:variant>
        <vt:i4>0</vt:i4>
      </vt:variant>
      <vt:variant>
        <vt:i4>5</vt:i4>
      </vt:variant>
      <vt:variant>
        <vt:lpwstr>http://vbaw.vba.va.gov/bl/21/publicat/Regs/Part3/3_105.htm</vt:lpwstr>
      </vt:variant>
      <vt:variant>
        <vt:lpwstr/>
      </vt:variant>
      <vt:variant>
        <vt:i4>2031693</vt:i4>
      </vt:variant>
      <vt:variant>
        <vt:i4>2910</vt:i4>
      </vt:variant>
      <vt:variant>
        <vt:i4>0</vt:i4>
      </vt:variant>
      <vt:variant>
        <vt:i4>5</vt:i4>
      </vt:variant>
      <vt:variant>
        <vt:lpwstr>http://vbaw.vba.va.gov/BL/21/M21/content/infomap.asp?address=M21-1MRIV.ii.2.J.63</vt:lpwstr>
      </vt:variant>
      <vt:variant>
        <vt:lpwstr/>
      </vt:variant>
      <vt:variant>
        <vt:i4>1966157</vt:i4>
      </vt:variant>
      <vt:variant>
        <vt:i4>2907</vt:i4>
      </vt:variant>
      <vt:variant>
        <vt:i4>0</vt:i4>
      </vt:variant>
      <vt:variant>
        <vt:i4>5</vt:i4>
      </vt:variant>
      <vt:variant>
        <vt:lpwstr>http://vbaw.vba.va.gov/BL/21/M21/content/infomap.asp?address=M21-1MRIV.ii.2.J.62</vt:lpwstr>
      </vt:variant>
      <vt:variant>
        <vt:lpwstr/>
      </vt:variant>
      <vt:variant>
        <vt:i4>262154</vt:i4>
      </vt:variant>
      <vt:variant>
        <vt:i4>2904</vt:i4>
      </vt:variant>
      <vt:variant>
        <vt:i4>0</vt:i4>
      </vt:variant>
      <vt:variant>
        <vt:i4>5</vt:i4>
      </vt:variant>
      <vt:variant>
        <vt:lpwstr/>
      </vt:variant>
      <vt:variant>
        <vt:lpwstr>ExamGuide</vt:lpwstr>
      </vt:variant>
      <vt:variant>
        <vt:i4>1704043</vt:i4>
      </vt:variant>
      <vt:variant>
        <vt:i4>2901</vt:i4>
      </vt:variant>
      <vt:variant>
        <vt:i4>0</vt:i4>
      </vt:variant>
      <vt:variant>
        <vt:i4>5</vt:i4>
      </vt:variant>
      <vt:variant>
        <vt:lpwstr>http://vbaw.vba.va.gov/bl/21/publicat/Regs/Part4/4_30.htm</vt:lpwstr>
      </vt:variant>
      <vt:variant>
        <vt:lpwstr/>
      </vt:variant>
      <vt:variant>
        <vt:i4>4915312</vt:i4>
      </vt:variant>
      <vt:variant>
        <vt:i4>2898</vt:i4>
      </vt:variant>
      <vt:variant>
        <vt:i4>0</vt:i4>
      </vt:variant>
      <vt:variant>
        <vt:i4>5</vt:i4>
      </vt:variant>
      <vt:variant>
        <vt:lpwstr>http://www.benefits.va.gov/warms/docs/regs/38CFR/BOOKC/PART4/S4_29.DOC</vt:lpwstr>
      </vt:variant>
      <vt:variant>
        <vt:lpwstr/>
      </vt:variant>
      <vt:variant>
        <vt:i4>3670031</vt:i4>
      </vt:variant>
      <vt:variant>
        <vt:i4>2895</vt:i4>
      </vt:variant>
      <vt:variant>
        <vt:i4>0</vt:i4>
      </vt:variant>
      <vt:variant>
        <vt:i4>5</vt:i4>
      </vt:variant>
      <vt:variant>
        <vt:lpwstr>http://vbacodmoint1.vba.va.gov/bl/21/faq/FAQ_Answer.asp?ref=381</vt:lpwstr>
      </vt:variant>
      <vt:variant>
        <vt:lpwstr/>
      </vt:variant>
      <vt:variant>
        <vt:i4>1900621</vt:i4>
      </vt:variant>
      <vt:variant>
        <vt:i4>2892</vt:i4>
      </vt:variant>
      <vt:variant>
        <vt:i4>0</vt:i4>
      </vt:variant>
      <vt:variant>
        <vt:i4>5</vt:i4>
      </vt:variant>
      <vt:variant>
        <vt:lpwstr>http://vbaw.vba.va.gov/BL/21/M21/content/infomap.asp?address=M21-1MRIV.ii.2.J.61</vt:lpwstr>
      </vt:variant>
      <vt:variant>
        <vt:lpwstr/>
      </vt:variant>
      <vt:variant>
        <vt:i4>1835085</vt:i4>
      </vt:variant>
      <vt:variant>
        <vt:i4>2889</vt:i4>
      </vt:variant>
      <vt:variant>
        <vt:i4>0</vt:i4>
      </vt:variant>
      <vt:variant>
        <vt:i4>5</vt:i4>
      </vt:variant>
      <vt:variant>
        <vt:lpwstr>http://vbaw.vba.va.gov/BL/21/M21/content/infomap.asp?address=M21-1MRIV.ii.2.J.60</vt:lpwstr>
      </vt:variant>
      <vt:variant>
        <vt:lpwstr/>
      </vt:variant>
      <vt:variant>
        <vt:i4>262154</vt:i4>
      </vt:variant>
      <vt:variant>
        <vt:i4>2886</vt:i4>
      </vt:variant>
      <vt:variant>
        <vt:i4>0</vt:i4>
      </vt:variant>
      <vt:variant>
        <vt:i4>5</vt:i4>
      </vt:variant>
      <vt:variant>
        <vt:lpwstr/>
      </vt:variant>
      <vt:variant>
        <vt:lpwstr>ExamGuide</vt:lpwstr>
      </vt:variant>
      <vt:variant>
        <vt:i4>1769570</vt:i4>
      </vt:variant>
      <vt:variant>
        <vt:i4>2883</vt:i4>
      </vt:variant>
      <vt:variant>
        <vt:i4>0</vt:i4>
      </vt:variant>
      <vt:variant>
        <vt:i4>5</vt:i4>
      </vt:variant>
      <vt:variant>
        <vt:lpwstr>http://vbaw.vba.va.gov/bl/21/publicat/Regs/Part4/4_29.htm</vt:lpwstr>
      </vt:variant>
      <vt:variant>
        <vt:lpwstr/>
      </vt:variant>
      <vt:variant>
        <vt:i4>1376334</vt:i4>
      </vt:variant>
      <vt:variant>
        <vt:i4>2880</vt:i4>
      </vt:variant>
      <vt:variant>
        <vt:i4>0</vt:i4>
      </vt:variant>
      <vt:variant>
        <vt:i4>5</vt:i4>
      </vt:variant>
      <vt:variant>
        <vt:lpwstr>http://vbaw.vba.va.gov/BL/21/M21/content/infomap.asp?address=M21-1MRIV.ii.2.J.59</vt:lpwstr>
      </vt:variant>
      <vt:variant>
        <vt:lpwstr/>
      </vt:variant>
      <vt:variant>
        <vt:i4>1769571</vt:i4>
      </vt:variant>
      <vt:variant>
        <vt:i4>2877</vt:i4>
      </vt:variant>
      <vt:variant>
        <vt:i4>0</vt:i4>
      </vt:variant>
      <vt:variant>
        <vt:i4>5</vt:i4>
      </vt:variant>
      <vt:variant>
        <vt:lpwstr>http://vbaw.vba.va.gov/bl/21/publicat/Regs/Part4/4_28.htm</vt:lpwstr>
      </vt:variant>
      <vt:variant>
        <vt:lpwstr/>
      </vt:variant>
      <vt:variant>
        <vt:i4>5308418</vt:i4>
      </vt:variant>
      <vt:variant>
        <vt:i4>2874</vt:i4>
      </vt:variant>
      <vt:variant>
        <vt:i4>0</vt:i4>
      </vt:variant>
      <vt:variant>
        <vt:i4>5</vt:i4>
      </vt:variant>
      <vt:variant>
        <vt:lpwstr>http://vbaw.vba.va.gov/BL/21/M21/content/infomap.asp?address=M21-1MRIII.iv.6.A.1</vt:lpwstr>
      </vt:variant>
      <vt:variant>
        <vt:lpwstr>M21-1MRIII.iv.6.A.1.b</vt:lpwstr>
      </vt:variant>
      <vt:variant>
        <vt:i4>5308418</vt:i4>
      </vt:variant>
      <vt:variant>
        <vt:i4>2871</vt:i4>
      </vt:variant>
      <vt:variant>
        <vt:i4>0</vt:i4>
      </vt:variant>
      <vt:variant>
        <vt:i4>5</vt:i4>
      </vt:variant>
      <vt:variant>
        <vt:lpwstr>http://vbaw.vba.va.gov/BL/21/M21/content/infomap.asp?address=M21-1MRIII.iv.6.A.1</vt:lpwstr>
      </vt:variant>
      <vt:variant>
        <vt:lpwstr>M21-1MRIII.iv.6.A.1.a</vt:lpwstr>
      </vt:variant>
      <vt:variant>
        <vt:i4>5308418</vt:i4>
      </vt:variant>
      <vt:variant>
        <vt:i4>2868</vt:i4>
      </vt:variant>
      <vt:variant>
        <vt:i4>0</vt:i4>
      </vt:variant>
      <vt:variant>
        <vt:i4>5</vt:i4>
      </vt:variant>
      <vt:variant>
        <vt:lpwstr>http://vbaw.vba.va.gov/BL/21/M21/content/infomap.asp?address=M21-1MRIII.iv.6.A.1</vt:lpwstr>
      </vt:variant>
      <vt:variant>
        <vt:lpwstr>M21-1MRIII.iv.6.A.1.a</vt:lpwstr>
      </vt:variant>
      <vt:variant>
        <vt:i4>1704042</vt:i4>
      </vt:variant>
      <vt:variant>
        <vt:i4>2865</vt:i4>
      </vt:variant>
      <vt:variant>
        <vt:i4>0</vt:i4>
      </vt:variant>
      <vt:variant>
        <vt:i4>5</vt:i4>
      </vt:variant>
      <vt:variant>
        <vt:lpwstr>http://vbaw.vba.va.gov/bl/21/publicat/Regs/Part4/4_31.htm</vt:lpwstr>
      </vt:variant>
      <vt:variant>
        <vt:lpwstr/>
      </vt:variant>
      <vt:variant>
        <vt:i4>7667727</vt:i4>
      </vt:variant>
      <vt:variant>
        <vt:i4>2862</vt:i4>
      </vt:variant>
      <vt:variant>
        <vt:i4>0</vt:i4>
      </vt:variant>
      <vt:variant>
        <vt:i4>5</vt:i4>
      </vt:variant>
      <vt:variant>
        <vt:lpwstr>http://10.220.1.4/bl/21/faq/FAQ_Answer.asp?ref=37</vt:lpwstr>
      </vt:variant>
      <vt:variant>
        <vt:lpwstr/>
      </vt:variant>
      <vt:variant>
        <vt:i4>5570671</vt:i4>
      </vt:variant>
      <vt:variant>
        <vt:i4>2859</vt:i4>
      </vt:variant>
      <vt:variant>
        <vt:i4>0</vt:i4>
      </vt:variant>
      <vt:variant>
        <vt:i4>5</vt:i4>
      </vt:variant>
      <vt:variant>
        <vt:lpwstr>http://vbaw.vba.va.gov/bl/21/M21-1MR/index.asp?id=pt03_sp04_ch06_secE.xml</vt:lpwstr>
      </vt:variant>
      <vt:variant>
        <vt:lpwstr>III.iv.6.E.25.c</vt:lpwstr>
      </vt:variant>
      <vt:variant>
        <vt:i4>1769581</vt:i4>
      </vt:variant>
      <vt:variant>
        <vt:i4>2856</vt:i4>
      </vt:variant>
      <vt:variant>
        <vt:i4>0</vt:i4>
      </vt:variant>
      <vt:variant>
        <vt:i4>5</vt:i4>
      </vt:variant>
      <vt:variant>
        <vt:lpwstr>http://vbaw.vba.va.gov/bl/21/publicat/Regs/Part4/4_26.htm</vt:lpwstr>
      </vt:variant>
      <vt:variant>
        <vt:lpwstr/>
      </vt:variant>
      <vt:variant>
        <vt:i4>8061018</vt:i4>
      </vt:variant>
      <vt:variant>
        <vt:i4>2853</vt:i4>
      </vt:variant>
      <vt:variant>
        <vt:i4>0</vt:i4>
      </vt:variant>
      <vt:variant>
        <vt:i4>5</vt:i4>
      </vt:variant>
      <vt:variant>
        <vt:lpwstr>http://vbaw.vba.va.gov/bl/21/M21-1MR/index.asp?id=pt03_sp04_ch06_secE.xml</vt:lpwstr>
      </vt:variant>
      <vt:variant>
        <vt:lpwstr>III.iv.6.E.25</vt:lpwstr>
      </vt:variant>
      <vt:variant>
        <vt:i4>1769582</vt:i4>
      </vt:variant>
      <vt:variant>
        <vt:i4>2850</vt:i4>
      </vt:variant>
      <vt:variant>
        <vt:i4>0</vt:i4>
      </vt:variant>
      <vt:variant>
        <vt:i4>5</vt:i4>
      </vt:variant>
      <vt:variant>
        <vt:lpwstr>http://vbaw.vba.va.gov/bl/21/publicat/Regs/Part4/4_25.htm</vt:lpwstr>
      </vt:variant>
      <vt:variant>
        <vt:lpwstr/>
      </vt:variant>
      <vt:variant>
        <vt:i4>1769578</vt:i4>
      </vt:variant>
      <vt:variant>
        <vt:i4>2847</vt:i4>
      </vt:variant>
      <vt:variant>
        <vt:i4>0</vt:i4>
      </vt:variant>
      <vt:variant>
        <vt:i4>5</vt:i4>
      </vt:variant>
      <vt:variant>
        <vt:lpwstr>http://vbaw.vba.va.gov/bl/21/publicat/Regs/Part4/4_21.htm</vt:lpwstr>
      </vt:variant>
      <vt:variant>
        <vt:lpwstr/>
      </vt:variant>
      <vt:variant>
        <vt:i4>1572974</vt:i4>
      </vt:variant>
      <vt:variant>
        <vt:i4>2844</vt:i4>
      </vt:variant>
      <vt:variant>
        <vt:i4>0</vt:i4>
      </vt:variant>
      <vt:variant>
        <vt:i4>5</vt:i4>
      </vt:variant>
      <vt:variant>
        <vt:lpwstr>http://vbaw.vba.va.gov/bl/21/publicat/Regs/Part4/4_15.htm</vt:lpwstr>
      </vt:variant>
      <vt:variant>
        <vt:lpwstr/>
      </vt:variant>
      <vt:variant>
        <vt:i4>6815792</vt:i4>
      </vt:variant>
      <vt:variant>
        <vt:i4>2841</vt:i4>
      </vt:variant>
      <vt:variant>
        <vt:i4>0</vt:i4>
      </vt:variant>
      <vt:variant>
        <vt:i4>5</vt:i4>
      </vt:variant>
      <vt:variant>
        <vt:lpwstr>http://vbaw.vba.va.gov/bl/21/Advisory/DADS/1994dads/Esteban.doc</vt:lpwstr>
      </vt:variant>
      <vt:variant>
        <vt:lpwstr/>
      </vt:variant>
      <vt:variant>
        <vt:i4>3670030</vt:i4>
      </vt:variant>
      <vt:variant>
        <vt:i4>2838</vt:i4>
      </vt:variant>
      <vt:variant>
        <vt:i4>0</vt:i4>
      </vt:variant>
      <vt:variant>
        <vt:i4>5</vt:i4>
      </vt:variant>
      <vt:variant>
        <vt:lpwstr>http://vbacodmoint1.vba.va.gov/bl/21/faq/FAQ_Answer.asp?ref=283</vt:lpwstr>
      </vt:variant>
      <vt:variant>
        <vt:lpwstr/>
      </vt:variant>
      <vt:variant>
        <vt:i4>1572975</vt:i4>
      </vt:variant>
      <vt:variant>
        <vt:i4>2835</vt:i4>
      </vt:variant>
      <vt:variant>
        <vt:i4>0</vt:i4>
      </vt:variant>
      <vt:variant>
        <vt:i4>5</vt:i4>
      </vt:variant>
      <vt:variant>
        <vt:lpwstr>http://vbaw.vba.va.gov/bl/21/publicat/Regs/Part4/4_14.htm</vt:lpwstr>
      </vt:variant>
      <vt:variant>
        <vt:lpwstr/>
      </vt:variant>
      <vt:variant>
        <vt:i4>1900654</vt:i4>
      </vt:variant>
      <vt:variant>
        <vt:i4>2832</vt:i4>
      </vt:variant>
      <vt:variant>
        <vt:i4>0</vt:i4>
      </vt:variant>
      <vt:variant>
        <vt:i4>5</vt:i4>
      </vt:variant>
      <vt:variant>
        <vt:lpwstr>http://vbaw.vba.va.gov/bl/21/publicat/Regs/Part4/4_45.htm</vt:lpwstr>
      </vt:variant>
      <vt:variant>
        <vt:lpwstr/>
      </vt:variant>
      <vt:variant>
        <vt:i4>1900651</vt:i4>
      </vt:variant>
      <vt:variant>
        <vt:i4>2829</vt:i4>
      </vt:variant>
      <vt:variant>
        <vt:i4>0</vt:i4>
      </vt:variant>
      <vt:variant>
        <vt:i4>5</vt:i4>
      </vt:variant>
      <vt:variant>
        <vt:lpwstr>http://vbaw.vba.va.gov/bl/21/publicat/Regs/Part4/4_40.htm</vt:lpwstr>
      </vt:variant>
      <vt:variant>
        <vt:lpwstr/>
      </vt:variant>
      <vt:variant>
        <vt:i4>4456553</vt:i4>
      </vt:variant>
      <vt:variant>
        <vt:i4>2826</vt:i4>
      </vt:variant>
      <vt:variant>
        <vt:i4>0</vt:i4>
      </vt:variant>
      <vt:variant>
        <vt:i4>5</vt:i4>
      </vt:variant>
      <vt:variant>
        <vt:lpwstr>http://vbaw.vba.va.gov/bl/21/publicat/Regs/Part4/4_2.htm</vt:lpwstr>
      </vt:variant>
      <vt:variant>
        <vt:lpwstr/>
      </vt:variant>
      <vt:variant>
        <vt:i4>4653161</vt:i4>
      </vt:variant>
      <vt:variant>
        <vt:i4>2823</vt:i4>
      </vt:variant>
      <vt:variant>
        <vt:i4>0</vt:i4>
      </vt:variant>
      <vt:variant>
        <vt:i4>5</vt:i4>
      </vt:variant>
      <vt:variant>
        <vt:lpwstr>http://vbaw.vba.va.gov/bl/21/publicat/Regs/Part4/4_1.htm</vt:lpwstr>
      </vt:variant>
      <vt:variant>
        <vt:lpwstr/>
      </vt:variant>
      <vt:variant>
        <vt:i4>1572971</vt:i4>
      </vt:variant>
      <vt:variant>
        <vt:i4>2820</vt:i4>
      </vt:variant>
      <vt:variant>
        <vt:i4>0</vt:i4>
      </vt:variant>
      <vt:variant>
        <vt:i4>5</vt:i4>
      </vt:variant>
      <vt:variant>
        <vt:lpwstr>http://vbaw.vba.va.gov/bl/21/publicat/Regs/Part4/4_10.htm</vt:lpwstr>
      </vt:variant>
      <vt:variant>
        <vt:lpwstr/>
      </vt:variant>
      <vt:variant>
        <vt:i4>4259945</vt:i4>
      </vt:variant>
      <vt:variant>
        <vt:i4>2817</vt:i4>
      </vt:variant>
      <vt:variant>
        <vt:i4>0</vt:i4>
      </vt:variant>
      <vt:variant>
        <vt:i4>5</vt:i4>
      </vt:variant>
      <vt:variant>
        <vt:lpwstr>http://vbaw.vba.va.gov/bl/21/publicat/Regs/Part4/4_7.htm</vt:lpwstr>
      </vt:variant>
      <vt:variant>
        <vt:lpwstr/>
      </vt:variant>
      <vt:variant>
        <vt:i4>1900654</vt:i4>
      </vt:variant>
      <vt:variant>
        <vt:i4>2814</vt:i4>
      </vt:variant>
      <vt:variant>
        <vt:i4>0</vt:i4>
      </vt:variant>
      <vt:variant>
        <vt:i4>5</vt:i4>
      </vt:variant>
      <vt:variant>
        <vt:lpwstr>http://vbaw.vba.va.gov/bl/21/publicat/Regs/Part4/4_45.htm</vt:lpwstr>
      </vt:variant>
      <vt:variant>
        <vt:lpwstr/>
      </vt:variant>
      <vt:variant>
        <vt:i4>1900651</vt:i4>
      </vt:variant>
      <vt:variant>
        <vt:i4>2811</vt:i4>
      </vt:variant>
      <vt:variant>
        <vt:i4>0</vt:i4>
      </vt:variant>
      <vt:variant>
        <vt:i4>5</vt:i4>
      </vt:variant>
      <vt:variant>
        <vt:lpwstr>http://vbaw.vba.va.gov/bl/21/publicat/Regs/Part4/4_40.htm</vt:lpwstr>
      </vt:variant>
      <vt:variant>
        <vt:lpwstr/>
      </vt:variant>
      <vt:variant>
        <vt:i4>1572971</vt:i4>
      </vt:variant>
      <vt:variant>
        <vt:i4>2808</vt:i4>
      </vt:variant>
      <vt:variant>
        <vt:i4>0</vt:i4>
      </vt:variant>
      <vt:variant>
        <vt:i4>5</vt:i4>
      </vt:variant>
      <vt:variant>
        <vt:lpwstr>http://vbaw.vba.va.gov/bl/21/publicat/Regs/Part4/4_10.htm</vt:lpwstr>
      </vt:variant>
      <vt:variant>
        <vt:lpwstr/>
      </vt:variant>
      <vt:variant>
        <vt:i4>4456553</vt:i4>
      </vt:variant>
      <vt:variant>
        <vt:i4>2805</vt:i4>
      </vt:variant>
      <vt:variant>
        <vt:i4>0</vt:i4>
      </vt:variant>
      <vt:variant>
        <vt:i4>5</vt:i4>
      </vt:variant>
      <vt:variant>
        <vt:lpwstr>http://vbaw.vba.va.gov/bl/21/publicat/Regs/Part4/4_2.htm</vt:lpwstr>
      </vt:variant>
      <vt:variant>
        <vt:lpwstr/>
      </vt:variant>
      <vt:variant>
        <vt:i4>4653161</vt:i4>
      </vt:variant>
      <vt:variant>
        <vt:i4>2802</vt:i4>
      </vt:variant>
      <vt:variant>
        <vt:i4>0</vt:i4>
      </vt:variant>
      <vt:variant>
        <vt:i4>5</vt:i4>
      </vt:variant>
      <vt:variant>
        <vt:lpwstr>http://vbaw.vba.va.gov/bl/21/publicat/Regs/Part4/4_1.htm</vt:lpwstr>
      </vt:variant>
      <vt:variant>
        <vt:lpwstr/>
      </vt:variant>
      <vt:variant>
        <vt:i4>7864412</vt:i4>
      </vt:variant>
      <vt:variant>
        <vt:i4>2799</vt:i4>
      </vt:variant>
      <vt:variant>
        <vt:i4>0</vt:i4>
      </vt:variant>
      <vt:variant>
        <vt:i4>5</vt:i4>
      </vt:variant>
      <vt:variant>
        <vt:lpwstr>http://vbaw.vba.va.gov/bl/21/publicat/Regs/Part3/3_957.htm</vt:lpwstr>
      </vt:variant>
      <vt:variant>
        <vt:lpwstr/>
      </vt:variant>
      <vt:variant>
        <vt:i4>7798876</vt:i4>
      </vt:variant>
      <vt:variant>
        <vt:i4>2796</vt:i4>
      </vt:variant>
      <vt:variant>
        <vt:i4>0</vt:i4>
      </vt:variant>
      <vt:variant>
        <vt:i4>5</vt:i4>
      </vt:variant>
      <vt:variant>
        <vt:lpwstr>http://vbaw.vba.va.gov/bl/21/M21-1MR/index.asp?id=pt03_sp04_ch08_secC.xml</vt:lpwstr>
      </vt:variant>
      <vt:variant>
        <vt:lpwstr>III.iv.8.C.8</vt:lpwstr>
      </vt:variant>
      <vt:variant>
        <vt:i4>8192092</vt:i4>
      </vt:variant>
      <vt:variant>
        <vt:i4>2793</vt:i4>
      </vt:variant>
      <vt:variant>
        <vt:i4>0</vt:i4>
      </vt:variant>
      <vt:variant>
        <vt:i4>5</vt:i4>
      </vt:variant>
      <vt:variant>
        <vt:lpwstr>http://vbaw.vba.va.gov/bl/21/publicat/Regs/Part3/3_952.htm</vt:lpwstr>
      </vt:variant>
      <vt:variant>
        <vt:lpwstr/>
      </vt:variant>
      <vt:variant>
        <vt:i4>7864413</vt:i4>
      </vt:variant>
      <vt:variant>
        <vt:i4>2790</vt:i4>
      </vt:variant>
      <vt:variant>
        <vt:i4>0</vt:i4>
      </vt:variant>
      <vt:variant>
        <vt:i4>5</vt:i4>
      </vt:variant>
      <vt:variant>
        <vt:lpwstr>http://vbaw.vba.va.gov/bl/21/M21-1MR/index.asp?id=pt03_sp04_ch08_secB.xml</vt:lpwstr>
      </vt:variant>
      <vt:variant>
        <vt:lpwstr>III.iv.8.B.6</vt:lpwstr>
      </vt:variant>
      <vt:variant>
        <vt:i4>8257628</vt:i4>
      </vt:variant>
      <vt:variant>
        <vt:i4>2787</vt:i4>
      </vt:variant>
      <vt:variant>
        <vt:i4>0</vt:i4>
      </vt:variant>
      <vt:variant>
        <vt:i4>5</vt:i4>
      </vt:variant>
      <vt:variant>
        <vt:lpwstr>http://vbaw.vba.va.gov/bl/21/publicat/Regs/Part3/3_951.htm</vt:lpwstr>
      </vt:variant>
      <vt:variant>
        <vt:lpwstr/>
      </vt:variant>
      <vt:variant>
        <vt:i4>262154</vt:i4>
      </vt:variant>
      <vt:variant>
        <vt:i4>2784</vt:i4>
      </vt:variant>
      <vt:variant>
        <vt:i4>0</vt:i4>
      </vt:variant>
      <vt:variant>
        <vt:i4>5</vt:i4>
      </vt:variant>
      <vt:variant>
        <vt:lpwstr/>
      </vt:variant>
      <vt:variant>
        <vt:lpwstr>ExamGuide</vt:lpwstr>
      </vt:variant>
      <vt:variant>
        <vt:i4>8126503</vt:i4>
      </vt:variant>
      <vt:variant>
        <vt:i4>2781</vt:i4>
      </vt:variant>
      <vt:variant>
        <vt:i4>0</vt:i4>
      </vt:variant>
      <vt:variant>
        <vt:i4>5</vt:i4>
      </vt:variant>
      <vt:variant>
        <vt:lpwstr>http://vbaw.vba.va.gov/bl/21/advisory/DADS/2009dads/douglas.doc</vt:lpwstr>
      </vt:variant>
      <vt:variant>
        <vt:lpwstr/>
      </vt:variant>
      <vt:variant>
        <vt:i4>7667800</vt:i4>
      </vt:variant>
      <vt:variant>
        <vt:i4>2778</vt:i4>
      </vt:variant>
      <vt:variant>
        <vt:i4>0</vt:i4>
      </vt:variant>
      <vt:variant>
        <vt:i4>5</vt:i4>
      </vt:variant>
      <vt:variant>
        <vt:lpwstr>http://vbaw.vba.va.gov/bl/21/publicat/Regs/Part3/3_310.htm</vt:lpwstr>
      </vt:variant>
      <vt:variant>
        <vt:lpwstr/>
      </vt:variant>
      <vt:variant>
        <vt:i4>3342390</vt:i4>
      </vt:variant>
      <vt:variant>
        <vt:i4>2775</vt:i4>
      </vt:variant>
      <vt:variant>
        <vt:i4>0</vt:i4>
      </vt:variant>
      <vt:variant>
        <vt:i4>5</vt:i4>
      </vt:variant>
      <vt:variant>
        <vt:lpwstr>http://vbaw.vba.va.gov/BL/21/M21/content/infomap.asp?address=M21-1MRI.1.C.7</vt:lpwstr>
      </vt:variant>
      <vt:variant>
        <vt:lpwstr/>
      </vt:variant>
      <vt:variant>
        <vt:i4>8323087</vt:i4>
      </vt:variant>
      <vt:variant>
        <vt:i4>2772</vt:i4>
      </vt:variant>
      <vt:variant>
        <vt:i4>0</vt:i4>
      </vt:variant>
      <vt:variant>
        <vt:i4>5</vt:i4>
      </vt:variant>
      <vt:variant>
        <vt:lpwstr>http://10.220.1.4/bl/21/faq/FAQ_Answer.asp?ref=99</vt:lpwstr>
      </vt:variant>
      <vt:variant>
        <vt:lpwstr/>
      </vt:variant>
      <vt:variant>
        <vt:i4>2359350</vt:i4>
      </vt:variant>
      <vt:variant>
        <vt:i4>2769</vt:i4>
      </vt:variant>
      <vt:variant>
        <vt:i4>0</vt:i4>
      </vt:variant>
      <vt:variant>
        <vt:i4>5</vt:i4>
      </vt:variant>
      <vt:variant>
        <vt:lpwstr>http://vbaw.vba.va.gov/bl/21/systems/docs/Allen.doc</vt:lpwstr>
      </vt:variant>
      <vt:variant>
        <vt:lpwstr/>
      </vt:variant>
      <vt:variant>
        <vt:i4>3538959</vt:i4>
      </vt:variant>
      <vt:variant>
        <vt:i4>2766</vt:i4>
      </vt:variant>
      <vt:variant>
        <vt:i4>0</vt:i4>
      </vt:variant>
      <vt:variant>
        <vt:i4>5</vt:i4>
      </vt:variant>
      <vt:variant>
        <vt:lpwstr>http://vbacodmoint1.vba.va.gov/bl/21/faq/FAQ_Answer.asp?ref=363</vt:lpwstr>
      </vt:variant>
      <vt:variant>
        <vt:lpwstr/>
      </vt:variant>
      <vt:variant>
        <vt:i4>1441871</vt:i4>
      </vt:variant>
      <vt:variant>
        <vt:i4>2763</vt:i4>
      </vt:variant>
      <vt:variant>
        <vt:i4>0</vt:i4>
      </vt:variant>
      <vt:variant>
        <vt:i4>5</vt:i4>
      </vt:variant>
      <vt:variant>
        <vt:lpwstr>http://vbaw.vba.va.gov/bl/21/Advisory/DADS/1995dads/Allen.doc</vt:lpwstr>
      </vt:variant>
      <vt:variant>
        <vt:lpwstr/>
      </vt:variant>
      <vt:variant>
        <vt:i4>1769548</vt:i4>
      </vt:variant>
      <vt:variant>
        <vt:i4>2760</vt:i4>
      </vt:variant>
      <vt:variant>
        <vt:i4>0</vt:i4>
      </vt:variant>
      <vt:variant>
        <vt:i4>5</vt:i4>
      </vt:variant>
      <vt:variant>
        <vt:lpwstr>http://vbaw.vba.va.gov/BL/21/M21/content/infomap.asp?address=M21-1MRIV.ii.2.K.67</vt:lpwstr>
      </vt:variant>
      <vt:variant>
        <vt:lpwstr/>
      </vt:variant>
      <vt:variant>
        <vt:i4>2883699</vt:i4>
      </vt:variant>
      <vt:variant>
        <vt:i4>2757</vt:i4>
      </vt:variant>
      <vt:variant>
        <vt:i4>0</vt:i4>
      </vt:variant>
      <vt:variant>
        <vt:i4>5</vt:i4>
      </vt:variant>
      <vt:variant>
        <vt:lpwstr>http://vbaw.vba.va.gov/BL/21/M21/content/infomap.asp?address=M21-1MRIV.ii.2.B.6</vt:lpwstr>
      </vt:variant>
      <vt:variant>
        <vt:lpwstr/>
      </vt:variant>
      <vt:variant>
        <vt:i4>7471196</vt:i4>
      </vt:variant>
      <vt:variant>
        <vt:i4>2754</vt:i4>
      </vt:variant>
      <vt:variant>
        <vt:i4>0</vt:i4>
      </vt:variant>
      <vt:variant>
        <vt:i4>5</vt:i4>
      </vt:variant>
      <vt:variant>
        <vt:lpwstr>http://vbaw.vba.va.gov/bl/21/publicat/Regs/Part3/3_155.htm</vt:lpwstr>
      </vt:variant>
      <vt:variant>
        <vt:lpwstr/>
      </vt:variant>
      <vt:variant>
        <vt:i4>7667800</vt:i4>
      </vt:variant>
      <vt:variant>
        <vt:i4>2751</vt:i4>
      </vt:variant>
      <vt:variant>
        <vt:i4>0</vt:i4>
      </vt:variant>
      <vt:variant>
        <vt:i4>5</vt:i4>
      </vt:variant>
      <vt:variant>
        <vt:lpwstr>http://vbaw.vba.va.gov/bl/21/publicat/Regs/Part3/3_310.htm</vt:lpwstr>
      </vt:variant>
      <vt:variant>
        <vt:lpwstr/>
      </vt:variant>
      <vt:variant>
        <vt:i4>262154</vt:i4>
      </vt:variant>
      <vt:variant>
        <vt:i4>2748</vt:i4>
      </vt:variant>
      <vt:variant>
        <vt:i4>0</vt:i4>
      </vt:variant>
      <vt:variant>
        <vt:i4>5</vt:i4>
      </vt:variant>
      <vt:variant>
        <vt:lpwstr/>
      </vt:variant>
      <vt:variant>
        <vt:lpwstr>ExamGuide</vt:lpwstr>
      </vt:variant>
      <vt:variant>
        <vt:i4>524306</vt:i4>
      </vt:variant>
      <vt:variant>
        <vt:i4>2745</vt:i4>
      </vt:variant>
      <vt:variant>
        <vt:i4>0</vt:i4>
      </vt:variant>
      <vt:variant>
        <vt:i4>5</vt:i4>
      </vt:variant>
      <vt:variant>
        <vt:lpwstr>\\vbasdcfpc2\SHARED\VSC\Development &amp; Rating Resources\QRT Bulletin</vt:lpwstr>
      </vt:variant>
      <vt:variant>
        <vt:lpwstr/>
      </vt:variant>
      <vt:variant>
        <vt:i4>7012404</vt:i4>
      </vt:variant>
      <vt:variant>
        <vt:i4>2742</vt:i4>
      </vt:variant>
      <vt:variant>
        <vt:i4>0</vt:i4>
      </vt:variant>
      <vt:variant>
        <vt:i4>5</vt:i4>
      </vt:variant>
      <vt:variant>
        <vt:lpwstr>http://vbaw.vba.va.gov/bl/21/calendar/Agenda/FY12/0312.doc</vt:lpwstr>
      </vt:variant>
      <vt:variant>
        <vt:lpwstr/>
      </vt:variant>
      <vt:variant>
        <vt:i4>5898309</vt:i4>
      </vt:variant>
      <vt:variant>
        <vt:i4>2739</vt:i4>
      </vt:variant>
      <vt:variant>
        <vt:i4>0</vt:i4>
      </vt:variant>
      <vt:variant>
        <vt:i4>5</vt:i4>
      </vt:variant>
      <vt:variant>
        <vt:lpwstr>http://www.cancer.gov/Common/PopUps/popDefinition.aspx?id=46481&amp;version=Patient&amp;language=English</vt:lpwstr>
      </vt:variant>
      <vt:variant>
        <vt:lpwstr/>
      </vt:variant>
      <vt:variant>
        <vt:i4>5570625</vt:i4>
      </vt:variant>
      <vt:variant>
        <vt:i4>2736</vt:i4>
      </vt:variant>
      <vt:variant>
        <vt:i4>0</vt:i4>
      </vt:variant>
      <vt:variant>
        <vt:i4>5</vt:i4>
      </vt:variant>
      <vt:variant>
        <vt:lpwstr>http://www.cancer.gov/Common/PopUps/popDefinition.aspx?id=45849&amp;version=Patient&amp;language=English</vt:lpwstr>
      </vt:variant>
      <vt:variant>
        <vt:lpwstr/>
      </vt:variant>
      <vt:variant>
        <vt:i4>7602264</vt:i4>
      </vt:variant>
      <vt:variant>
        <vt:i4>2733</vt:i4>
      </vt:variant>
      <vt:variant>
        <vt:i4>0</vt:i4>
      </vt:variant>
      <vt:variant>
        <vt:i4>5</vt:i4>
      </vt:variant>
      <vt:variant>
        <vt:lpwstr>http://vbaw.vba.va.gov/bl/21/publicat/Regs/Part3/3_311.htm</vt:lpwstr>
      </vt:variant>
      <vt:variant>
        <vt:lpwstr/>
      </vt:variant>
      <vt:variant>
        <vt:i4>8126553</vt:i4>
      </vt:variant>
      <vt:variant>
        <vt:i4>2730</vt:i4>
      </vt:variant>
      <vt:variant>
        <vt:i4>0</vt:i4>
      </vt:variant>
      <vt:variant>
        <vt:i4>5</vt:i4>
      </vt:variant>
      <vt:variant>
        <vt:lpwstr>http://vbaw.vba.va.gov/bl/21/publicat/Regs/Part3/3_309.htm</vt:lpwstr>
      </vt:variant>
      <vt:variant>
        <vt:lpwstr/>
      </vt:variant>
      <vt:variant>
        <vt:i4>8126553</vt:i4>
      </vt:variant>
      <vt:variant>
        <vt:i4>2727</vt:i4>
      </vt:variant>
      <vt:variant>
        <vt:i4>0</vt:i4>
      </vt:variant>
      <vt:variant>
        <vt:i4>5</vt:i4>
      </vt:variant>
      <vt:variant>
        <vt:lpwstr>http://vbaw.vba.va.gov/bl/21/publicat/Regs/Part3/3_309.htm</vt:lpwstr>
      </vt:variant>
      <vt:variant>
        <vt:lpwstr/>
      </vt:variant>
      <vt:variant>
        <vt:i4>8126553</vt:i4>
      </vt:variant>
      <vt:variant>
        <vt:i4>2724</vt:i4>
      </vt:variant>
      <vt:variant>
        <vt:i4>0</vt:i4>
      </vt:variant>
      <vt:variant>
        <vt:i4>5</vt:i4>
      </vt:variant>
      <vt:variant>
        <vt:lpwstr>http://vbaw.vba.va.gov/bl/21/publicat/Regs/Part3/3_309.htm</vt:lpwstr>
      </vt:variant>
      <vt:variant>
        <vt:lpwstr/>
      </vt:variant>
      <vt:variant>
        <vt:i4>8126553</vt:i4>
      </vt:variant>
      <vt:variant>
        <vt:i4>2721</vt:i4>
      </vt:variant>
      <vt:variant>
        <vt:i4>0</vt:i4>
      </vt:variant>
      <vt:variant>
        <vt:i4>5</vt:i4>
      </vt:variant>
      <vt:variant>
        <vt:lpwstr>http://vbaw.vba.va.gov/bl/21/publicat/Regs/Part3/3_309.htm</vt:lpwstr>
      </vt:variant>
      <vt:variant>
        <vt:lpwstr/>
      </vt:variant>
      <vt:variant>
        <vt:i4>7143476</vt:i4>
      </vt:variant>
      <vt:variant>
        <vt:i4>2718</vt:i4>
      </vt:variant>
      <vt:variant>
        <vt:i4>0</vt:i4>
      </vt:variant>
      <vt:variant>
        <vt:i4>5</vt:i4>
      </vt:variant>
      <vt:variant>
        <vt:lpwstr>http://vbaw.vba.va.gov/bl/21/calendar/Agenda/FY12/0512.doc</vt:lpwstr>
      </vt:variant>
      <vt:variant>
        <vt:lpwstr/>
      </vt:variant>
      <vt:variant>
        <vt:i4>8257574</vt:i4>
      </vt:variant>
      <vt:variant>
        <vt:i4>2715</vt:i4>
      </vt:variant>
      <vt:variant>
        <vt:i4>0</vt:i4>
      </vt:variant>
      <vt:variant>
        <vt:i4>5</vt:i4>
      </vt:variant>
      <vt:variant>
        <vt:lpwstr>http://vbaw.vba.va.gov/bl/21/publicat/Letters/FL12/FL12-006.doc</vt:lpwstr>
      </vt:variant>
      <vt:variant>
        <vt:lpwstr/>
      </vt:variant>
      <vt:variant>
        <vt:i4>3932223</vt:i4>
      </vt:variant>
      <vt:variant>
        <vt:i4>2712</vt:i4>
      </vt:variant>
      <vt:variant>
        <vt:i4>0</vt:i4>
      </vt:variant>
      <vt:variant>
        <vt:i4>5</vt:i4>
      </vt:variant>
      <vt:variant>
        <vt:lpwstr>http://vbaw.vba.va.gov/bl/21/Systems/docs/RBA2K-ALS.doc</vt:lpwstr>
      </vt:variant>
      <vt:variant>
        <vt:lpwstr/>
      </vt:variant>
      <vt:variant>
        <vt:i4>7733290</vt:i4>
      </vt:variant>
      <vt:variant>
        <vt:i4>2709</vt:i4>
      </vt:variant>
      <vt:variant>
        <vt:i4>0</vt:i4>
      </vt:variant>
      <vt:variant>
        <vt:i4>5</vt:i4>
      </vt:variant>
      <vt:variant>
        <vt:lpwstr>http://vbaw.vba.va.gov/bl/21/publicat/Letters/FL08/FL08-031.doc</vt:lpwstr>
      </vt:variant>
      <vt:variant>
        <vt:lpwstr/>
      </vt:variant>
      <vt:variant>
        <vt:i4>8192088</vt:i4>
      </vt:variant>
      <vt:variant>
        <vt:i4>2706</vt:i4>
      </vt:variant>
      <vt:variant>
        <vt:i4>0</vt:i4>
      </vt:variant>
      <vt:variant>
        <vt:i4>5</vt:i4>
      </vt:variant>
      <vt:variant>
        <vt:lpwstr>http://vbaw.vba.va.gov/bl/21/publicat/Regs/Part3/3_318.htm</vt:lpwstr>
      </vt:variant>
      <vt:variant>
        <vt:lpwstr/>
      </vt:variant>
      <vt:variant>
        <vt:i4>5570634</vt:i4>
      </vt:variant>
      <vt:variant>
        <vt:i4>2703</vt:i4>
      </vt:variant>
      <vt:variant>
        <vt:i4>0</vt:i4>
      </vt:variant>
      <vt:variant>
        <vt:i4>5</vt:i4>
      </vt:variant>
      <vt:variant>
        <vt:lpwstr>http://www.gpo.gov/fdsys/pkg/FR-2011-07-15/pdf/2011-17814.pdf</vt:lpwstr>
      </vt:variant>
      <vt:variant>
        <vt:lpwstr/>
      </vt:variant>
      <vt:variant>
        <vt:i4>7471192</vt:i4>
      </vt:variant>
      <vt:variant>
        <vt:i4>2700</vt:i4>
      </vt:variant>
      <vt:variant>
        <vt:i4>0</vt:i4>
      </vt:variant>
      <vt:variant>
        <vt:i4>5</vt:i4>
      </vt:variant>
      <vt:variant>
        <vt:lpwstr>http://vbaw.vba.va.gov/bl/21/publicat/Regs/Part3/3_317.htm</vt:lpwstr>
      </vt:variant>
      <vt:variant>
        <vt:lpwstr/>
      </vt:variant>
      <vt:variant>
        <vt:i4>7929950</vt:i4>
      </vt:variant>
      <vt:variant>
        <vt:i4>2697</vt:i4>
      </vt:variant>
      <vt:variant>
        <vt:i4>0</vt:i4>
      </vt:variant>
      <vt:variant>
        <vt:i4>5</vt:i4>
      </vt:variant>
      <vt:variant>
        <vt:lpwstr>http://vbaw.vba.va.gov/bl/21/publicat/Regs/Part4/4_114.htm</vt:lpwstr>
      </vt:variant>
      <vt:variant>
        <vt:lpwstr>7319</vt:lpwstr>
      </vt:variant>
      <vt:variant>
        <vt:i4>7929950</vt:i4>
      </vt:variant>
      <vt:variant>
        <vt:i4>2694</vt:i4>
      </vt:variant>
      <vt:variant>
        <vt:i4>0</vt:i4>
      </vt:variant>
      <vt:variant>
        <vt:i4>5</vt:i4>
      </vt:variant>
      <vt:variant>
        <vt:lpwstr>http://vbaw.vba.va.gov/bl/21/publicat/Regs/Part4/4_114.htm</vt:lpwstr>
      </vt:variant>
      <vt:variant>
        <vt:lpwstr>7319</vt:lpwstr>
      </vt:variant>
      <vt:variant>
        <vt:i4>7471192</vt:i4>
      </vt:variant>
      <vt:variant>
        <vt:i4>2691</vt:i4>
      </vt:variant>
      <vt:variant>
        <vt:i4>0</vt:i4>
      </vt:variant>
      <vt:variant>
        <vt:i4>5</vt:i4>
      </vt:variant>
      <vt:variant>
        <vt:lpwstr>http://vbaw.vba.va.gov/bl/21/publicat/Regs/Part3/3_317.htm</vt:lpwstr>
      </vt:variant>
      <vt:variant>
        <vt:lpwstr/>
      </vt:variant>
      <vt:variant>
        <vt:i4>7471192</vt:i4>
      </vt:variant>
      <vt:variant>
        <vt:i4>2688</vt:i4>
      </vt:variant>
      <vt:variant>
        <vt:i4>0</vt:i4>
      </vt:variant>
      <vt:variant>
        <vt:i4>5</vt:i4>
      </vt:variant>
      <vt:variant>
        <vt:lpwstr>http://vbaw.vba.va.gov/bl/21/publicat/Regs/Part3/3_317.htm</vt:lpwstr>
      </vt:variant>
      <vt:variant>
        <vt:lpwstr/>
      </vt:variant>
      <vt:variant>
        <vt:i4>7274597</vt:i4>
      </vt:variant>
      <vt:variant>
        <vt:i4>2685</vt:i4>
      </vt:variant>
      <vt:variant>
        <vt:i4>0</vt:i4>
      </vt:variant>
      <vt:variant>
        <vt:i4>5</vt:i4>
      </vt:variant>
      <vt:variant>
        <vt:lpwstr>http://vbaw.vba.va.gov/bl/21/publicat/Letters/TrngLtrs/TL11-09.doc</vt:lpwstr>
      </vt:variant>
      <vt:variant>
        <vt:lpwstr/>
      </vt:variant>
      <vt:variant>
        <vt:i4>7471192</vt:i4>
      </vt:variant>
      <vt:variant>
        <vt:i4>2682</vt:i4>
      </vt:variant>
      <vt:variant>
        <vt:i4>0</vt:i4>
      </vt:variant>
      <vt:variant>
        <vt:i4>5</vt:i4>
      </vt:variant>
      <vt:variant>
        <vt:lpwstr>http://vbaw.vba.va.gov/bl/21/publicat/Regs/Part3/3_317.htm</vt:lpwstr>
      </vt:variant>
      <vt:variant>
        <vt:lpwstr/>
      </vt:variant>
      <vt:variant>
        <vt:i4>7471192</vt:i4>
      </vt:variant>
      <vt:variant>
        <vt:i4>2679</vt:i4>
      </vt:variant>
      <vt:variant>
        <vt:i4>0</vt:i4>
      </vt:variant>
      <vt:variant>
        <vt:i4>5</vt:i4>
      </vt:variant>
      <vt:variant>
        <vt:lpwstr>http://vbaw.vba.va.gov/bl/21/publicat/Regs/Part3/3_317.htm</vt:lpwstr>
      </vt:variant>
      <vt:variant>
        <vt:lpwstr/>
      </vt:variant>
      <vt:variant>
        <vt:i4>7929950</vt:i4>
      </vt:variant>
      <vt:variant>
        <vt:i4>2676</vt:i4>
      </vt:variant>
      <vt:variant>
        <vt:i4>0</vt:i4>
      </vt:variant>
      <vt:variant>
        <vt:i4>5</vt:i4>
      </vt:variant>
      <vt:variant>
        <vt:lpwstr>http://vbaw.vba.va.gov/bl/21/publicat/Regs/Part4/4_114.htm</vt:lpwstr>
      </vt:variant>
      <vt:variant>
        <vt:lpwstr>7319</vt:lpwstr>
      </vt:variant>
      <vt:variant>
        <vt:i4>2424927</vt:i4>
      </vt:variant>
      <vt:variant>
        <vt:i4>2673</vt:i4>
      </vt:variant>
      <vt:variant>
        <vt:i4>0</vt:i4>
      </vt:variant>
      <vt:variant>
        <vt:i4>5</vt:i4>
      </vt:variant>
      <vt:variant>
        <vt:lpwstr>http://vbaw.vba.va.gov/bl/21/publicat/Regs/Part4/4_71a.htm</vt:lpwstr>
      </vt:variant>
      <vt:variant>
        <vt:lpwstr>5025</vt:lpwstr>
      </vt:variant>
      <vt:variant>
        <vt:i4>2818130</vt:i4>
      </vt:variant>
      <vt:variant>
        <vt:i4>2670</vt:i4>
      </vt:variant>
      <vt:variant>
        <vt:i4>0</vt:i4>
      </vt:variant>
      <vt:variant>
        <vt:i4>5</vt:i4>
      </vt:variant>
      <vt:variant>
        <vt:lpwstr>http://vbaw.vba.va.gov/bl/21/publicat/Regs/Part4/4_88b.htm</vt:lpwstr>
      </vt:variant>
      <vt:variant>
        <vt:lpwstr>6354</vt:lpwstr>
      </vt:variant>
      <vt:variant>
        <vt:i4>7471192</vt:i4>
      </vt:variant>
      <vt:variant>
        <vt:i4>2667</vt:i4>
      </vt:variant>
      <vt:variant>
        <vt:i4>0</vt:i4>
      </vt:variant>
      <vt:variant>
        <vt:i4>5</vt:i4>
      </vt:variant>
      <vt:variant>
        <vt:lpwstr>http://vbaw.vba.va.gov/bl/21/publicat/Regs/Part3/3_317.htm</vt:lpwstr>
      </vt:variant>
      <vt:variant>
        <vt:lpwstr/>
      </vt:variant>
      <vt:variant>
        <vt:i4>7471192</vt:i4>
      </vt:variant>
      <vt:variant>
        <vt:i4>2664</vt:i4>
      </vt:variant>
      <vt:variant>
        <vt:i4>0</vt:i4>
      </vt:variant>
      <vt:variant>
        <vt:i4>5</vt:i4>
      </vt:variant>
      <vt:variant>
        <vt:lpwstr>http://vbaw.vba.va.gov/bl/21/publicat/Regs/Part3/3_317.htm</vt:lpwstr>
      </vt:variant>
      <vt:variant>
        <vt:lpwstr/>
      </vt:variant>
      <vt:variant>
        <vt:i4>7929950</vt:i4>
      </vt:variant>
      <vt:variant>
        <vt:i4>2661</vt:i4>
      </vt:variant>
      <vt:variant>
        <vt:i4>0</vt:i4>
      </vt:variant>
      <vt:variant>
        <vt:i4>5</vt:i4>
      </vt:variant>
      <vt:variant>
        <vt:lpwstr>http://vbaw.vba.va.gov/bl/21/publicat/Regs/Part4/4_114.htm</vt:lpwstr>
      </vt:variant>
      <vt:variant>
        <vt:lpwstr>7319</vt:lpwstr>
      </vt:variant>
      <vt:variant>
        <vt:i4>2424927</vt:i4>
      </vt:variant>
      <vt:variant>
        <vt:i4>2658</vt:i4>
      </vt:variant>
      <vt:variant>
        <vt:i4>0</vt:i4>
      </vt:variant>
      <vt:variant>
        <vt:i4>5</vt:i4>
      </vt:variant>
      <vt:variant>
        <vt:lpwstr>http://vbaw.vba.va.gov/bl/21/publicat/Regs/Part4/4_71a.htm</vt:lpwstr>
      </vt:variant>
      <vt:variant>
        <vt:lpwstr>5025</vt:lpwstr>
      </vt:variant>
      <vt:variant>
        <vt:i4>2818130</vt:i4>
      </vt:variant>
      <vt:variant>
        <vt:i4>2655</vt:i4>
      </vt:variant>
      <vt:variant>
        <vt:i4>0</vt:i4>
      </vt:variant>
      <vt:variant>
        <vt:i4>5</vt:i4>
      </vt:variant>
      <vt:variant>
        <vt:lpwstr>http://vbaw.vba.va.gov/bl/21/publicat/Regs/Part4/4_88b.htm</vt:lpwstr>
      </vt:variant>
      <vt:variant>
        <vt:lpwstr>6354</vt:lpwstr>
      </vt:variant>
      <vt:variant>
        <vt:i4>2424927</vt:i4>
      </vt:variant>
      <vt:variant>
        <vt:i4>2652</vt:i4>
      </vt:variant>
      <vt:variant>
        <vt:i4>0</vt:i4>
      </vt:variant>
      <vt:variant>
        <vt:i4>5</vt:i4>
      </vt:variant>
      <vt:variant>
        <vt:lpwstr>http://vbaw.vba.va.gov/bl/21/publicat/Regs/Part4/4_71a.htm</vt:lpwstr>
      </vt:variant>
      <vt:variant>
        <vt:lpwstr>5025</vt:lpwstr>
      </vt:variant>
      <vt:variant>
        <vt:i4>7929950</vt:i4>
      </vt:variant>
      <vt:variant>
        <vt:i4>2649</vt:i4>
      </vt:variant>
      <vt:variant>
        <vt:i4>0</vt:i4>
      </vt:variant>
      <vt:variant>
        <vt:i4>5</vt:i4>
      </vt:variant>
      <vt:variant>
        <vt:lpwstr>http://vbaw.vba.va.gov/bl/21/publicat/Regs/Part4/4_114.htm</vt:lpwstr>
      </vt:variant>
      <vt:variant>
        <vt:lpwstr>7319</vt:lpwstr>
      </vt:variant>
      <vt:variant>
        <vt:i4>2818130</vt:i4>
      </vt:variant>
      <vt:variant>
        <vt:i4>2646</vt:i4>
      </vt:variant>
      <vt:variant>
        <vt:i4>0</vt:i4>
      </vt:variant>
      <vt:variant>
        <vt:i4>5</vt:i4>
      </vt:variant>
      <vt:variant>
        <vt:lpwstr>http://vbaw.vba.va.gov/bl/21/publicat/Regs/Part4/4_88b.htm</vt:lpwstr>
      </vt:variant>
      <vt:variant>
        <vt:lpwstr>6354</vt:lpwstr>
      </vt:variant>
      <vt:variant>
        <vt:i4>8257572</vt:i4>
      </vt:variant>
      <vt:variant>
        <vt:i4>2643</vt:i4>
      </vt:variant>
      <vt:variant>
        <vt:i4>0</vt:i4>
      </vt:variant>
      <vt:variant>
        <vt:i4>5</vt:i4>
      </vt:variant>
      <vt:variant>
        <vt:lpwstr>http://vbaw.vba.va.gov/bl/21/publicat/Letters/FL10/FL10-026.doc</vt:lpwstr>
      </vt:variant>
      <vt:variant>
        <vt:lpwstr/>
      </vt:variant>
      <vt:variant>
        <vt:i4>6291508</vt:i4>
      </vt:variant>
      <vt:variant>
        <vt:i4>2640</vt:i4>
      </vt:variant>
      <vt:variant>
        <vt:i4>0</vt:i4>
      </vt:variant>
      <vt:variant>
        <vt:i4>5</vt:i4>
      </vt:variant>
      <vt:variant>
        <vt:lpwstr>http://vbaw.vba.va.gov/bl/21/calendar/Agenda/FY12/0812.doc</vt:lpwstr>
      </vt:variant>
      <vt:variant>
        <vt:lpwstr/>
      </vt:variant>
      <vt:variant>
        <vt:i4>6619237</vt:i4>
      </vt:variant>
      <vt:variant>
        <vt:i4>2637</vt:i4>
      </vt:variant>
      <vt:variant>
        <vt:i4>0</vt:i4>
      </vt:variant>
      <vt:variant>
        <vt:i4>5</vt:i4>
      </vt:variant>
      <vt:variant>
        <vt:lpwstr>http://vbaw.vba.va.gov/bl/21/publicat/Letters/TrngLtrs/TL11-03.doc</vt:lpwstr>
      </vt:variant>
      <vt:variant>
        <vt:lpwstr/>
      </vt:variant>
      <vt:variant>
        <vt:i4>8192032</vt:i4>
      </vt:variant>
      <vt:variant>
        <vt:i4>2634</vt:i4>
      </vt:variant>
      <vt:variant>
        <vt:i4>0</vt:i4>
      </vt:variant>
      <vt:variant>
        <vt:i4>5</vt:i4>
      </vt:variant>
      <vt:variant>
        <vt:lpwstr>http://vbaw.vba.va.gov/bl/21/publicat/Letters/FL11/FL11-003.doc</vt:lpwstr>
      </vt:variant>
      <vt:variant>
        <vt:lpwstr/>
      </vt:variant>
      <vt:variant>
        <vt:i4>6619236</vt:i4>
      </vt:variant>
      <vt:variant>
        <vt:i4>2631</vt:i4>
      </vt:variant>
      <vt:variant>
        <vt:i4>0</vt:i4>
      </vt:variant>
      <vt:variant>
        <vt:i4>5</vt:i4>
      </vt:variant>
      <vt:variant>
        <vt:lpwstr>http://vbaw.vba.va.gov/bl/21/publicat/Letters/TrngLtrs/TL10-03.doc</vt:lpwstr>
      </vt:variant>
      <vt:variant>
        <vt:lpwstr/>
      </vt:variant>
      <vt:variant>
        <vt:i4>2883699</vt:i4>
      </vt:variant>
      <vt:variant>
        <vt:i4>2628</vt:i4>
      </vt:variant>
      <vt:variant>
        <vt:i4>0</vt:i4>
      </vt:variant>
      <vt:variant>
        <vt:i4>5</vt:i4>
      </vt:variant>
      <vt:variant>
        <vt:lpwstr>http://vbaw.vba.va.gov/bl/21/calendar/Agenda/FY10/1010a.doc</vt:lpwstr>
      </vt:variant>
      <vt:variant>
        <vt:lpwstr/>
      </vt:variant>
      <vt:variant>
        <vt:i4>6750308</vt:i4>
      </vt:variant>
      <vt:variant>
        <vt:i4>2625</vt:i4>
      </vt:variant>
      <vt:variant>
        <vt:i4>0</vt:i4>
      </vt:variant>
      <vt:variant>
        <vt:i4>5</vt:i4>
      </vt:variant>
      <vt:variant>
        <vt:lpwstr>http://vbaw.vba.va.gov/bl/21/publicat/Letters/TrngLtrs/TL10-01.doc</vt:lpwstr>
      </vt:variant>
      <vt:variant>
        <vt:lpwstr/>
      </vt:variant>
      <vt:variant>
        <vt:i4>6553703</vt:i4>
      </vt:variant>
      <vt:variant>
        <vt:i4>2622</vt:i4>
      </vt:variant>
      <vt:variant>
        <vt:i4>0</vt:i4>
      </vt:variant>
      <vt:variant>
        <vt:i4>5</vt:i4>
      </vt:variant>
      <vt:variant>
        <vt:lpwstr>http://vbaw.vba.va.gov/bl/21/publicat/Letters/TrngLtrs/TL03-03.doc</vt:lpwstr>
      </vt:variant>
      <vt:variant>
        <vt:lpwstr/>
      </vt:variant>
      <vt:variant>
        <vt:i4>3145742</vt:i4>
      </vt:variant>
      <vt:variant>
        <vt:i4>2619</vt:i4>
      </vt:variant>
      <vt:variant>
        <vt:i4>0</vt:i4>
      </vt:variant>
      <vt:variant>
        <vt:i4>5</vt:i4>
      </vt:variant>
      <vt:variant>
        <vt:lpwstr>http://vbacodmoint1.vba.va.gov/bl/21/faq/FAQ_Answer.asp?ref=202</vt:lpwstr>
      </vt:variant>
      <vt:variant>
        <vt:lpwstr/>
      </vt:variant>
      <vt:variant>
        <vt:i4>3407877</vt:i4>
      </vt:variant>
      <vt:variant>
        <vt:i4>2616</vt:i4>
      </vt:variant>
      <vt:variant>
        <vt:i4>0</vt:i4>
      </vt:variant>
      <vt:variant>
        <vt:i4>5</vt:i4>
      </vt:variant>
      <vt:variant>
        <vt:lpwstr>http://vbacodmoint1.vba.va.gov/bl/21/faq/FAQ_Answer.asp?ref=94</vt:lpwstr>
      </vt:variant>
      <vt:variant>
        <vt:lpwstr/>
      </vt:variant>
      <vt:variant>
        <vt:i4>2031684</vt:i4>
      </vt:variant>
      <vt:variant>
        <vt:i4>2613</vt:i4>
      </vt:variant>
      <vt:variant>
        <vt:i4>0</vt:i4>
      </vt:variant>
      <vt:variant>
        <vt:i4>5</vt:i4>
      </vt:variant>
      <vt:variant>
        <vt:lpwstr>http://vbaw.vba.va.gov/BL/21/M21/content/infomap.asp?address=M21-1MRIV.ii.2.D.13</vt:lpwstr>
      </vt:variant>
      <vt:variant>
        <vt:lpwstr/>
      </vt:variant>
      <vt:variant>
        <vt:i4>1310790</vt:i4>
      </vt:variant>
      <vt:variant>
        <vt:i4>2610</vt:i4>
      </vt:variant>
      <vt:variant>
        <vt:i4>0</vt:i4>
      </vt:variant>
      <vt:variant>
        <vt:i4>5</vt:i4>
      </vt:variant>
      <vt:variant>
        <vt:lpwstr>http://vbaw.vba.va.gov/BL/21/M21/content/infomap.asp?address=M21-1MRIV.ii.1.E.18</vt:lpwstr>
      </vt:variant>
      <vt:variant>
        <vt:lpwstr/>
      </vt:variant>
      <vt:variant>
        <vt:i4>4456553</vt:i4>
      </vt:variant>
      <vt:variant>
        <vt:i4>2607</vt:i4>
      </vt:variant>
      <vt:variant>
        <vt:i4>0</vt:i4>
      </vt:variant>
      <vt:variant>
        <vt:i4>5</vt:i4>
      </vt:variant>
      <vt:variant>
        <vt:lpwstr>http://vbaw.vba.va.gov/bl/21/publicat/Regs/Part3/3_2.htm</vt:lpwstr>
      </vt:variant>
      <vt:variant>
        <vt:lpwstr/>
      </vt:variant>
      <vt:variant>
        <vt:i4>7471192</vt:i4>
      </vt:variant>
      <vt:variant>
        <vt:i4>2604</vt:i4>
      </vt:variant>
      <vt:variant>
        <vt:i4>0</vt:i4>
      </vt:variant>
      <vt:variant>
        <vt:i4>5</vt:i4>
      </vt:variant>
      <vt:variant>
        <vt:lpwstr>http://vbaw.vba.va.gov/bl/21/publicat/Regs/Part3/3_317.htm</vt:lpwstr>
      </vt:variant>
      <vt:variant>
        <vt:lpwstr/>
      </vt:variant>
      <vt:variant>
        <vt:i4>6684769</vt:i4>
      </vt:variant>
      <vt:variant>
        <vt:i4>2601</vt:i4>
      </vt:variant>
      <vt:variant>
        <vt:i4>0</vt:i4>
      </vt:variant>
      <vt:variant>
        <vt:i4>5</vt:i4>
      </vt:variant>
      <vt:variant>
        <vt:lpwstr>http://vbaw.vba.va.gov/bl/21/publicat/Letters/TrngLtrs/TL05-01.doc</vt:lpwstr>
      </vt:variant>
      <vt:variant>
        <vt:lpwstr/>
      </vt:variant>
      <vt:variant>
        <vt:i4>3407879</vt:i4>
      </vt:variant>
      <vt:variant>
        <vt:i4>2598</vt:i4>
      </vt:variant>
      <vt:variant>
        <vt:i4>0</vt:i4>
      </vt:variant>
      <vt:variant>
        <vt:i4>5</vt:i4>
      </vt:variant>
      <vt:variant>
        <vt:lpwstr>http://vbaw.vba.va.gov/bl/21/M21-1MR/index.asp?id=pt04_sp02_ch01_secF.xml</vt:lpwstr>
      </vt:variant>
      <vt:variant>
        <vt:lpwstr>IV.ii.1.F</vt:lpwstr>
      </vt:variant>
      <vt:variant>
        <vt:i4>7536728</vt:i4>
      </vt:variant>
      <vt:variant>
        <vt:i4>2595</vt:i4>
      </vt:variant>
      <vt:variant>
        <vt:i4>0</vt:i4>
      </vt:variant>
      <vt:variant>
        <vt:i4>5</vt:i4>
      </vt:variant>
      <vt:variant>
        <vt:lpwstr>http://vbaw.vba.va.gov/bl/21/publicat/Regs/Part3/3_316.htm</vt:lpwstr>
      </vt:variant>
      <vt:variant>
        <vt:lpwstr/>
      </vt:variant>
      <vt:variant>
        <vt:i4>3342444</vt:i4>
      </vt:variant>
      <vt:variant>
        <vt:i4>2592</vt:i4>
      </vt:variant>
      <vt:variant>
        <vt:i4>0</vt:i4>
      </vt:variant>
      <vt:variant>
        <vt:i4>5</vt:i4>
      </vt:variant>
      <vt:variant>
        <vt:lpwstr>http://vbaw.vba.va.gov/BL/21/M21/content/infomap.asp?address=M21-1MRIII.iii.1.A.1.a</vt:lpwstr>
      </vt:variant>
      <vt:variant>
        <vt:lpwstr/>
      </vt:variant>
      <vt:variant>
        <vt:i4>1900548</vt:i4>
      </vt:variant>
      <vt:variant>
        <vt:i4>2589</vt:i4>
      </vt:variant>
      <vt:variant>
        <vt:i4>0</vt:i4>
      </vt:variant>
      <vt:variant>
        <vt:i4>5</vt:i4>
      </vt:variant>
      <vt:variant>
        <vt:lpwstr>http://vbaw.vba.va.gov/BL/21/M21/content/infomap.asp?address=M21-1MRI.1.B.3.b</vt:lpwstr>
      </vt:variant>
      <vt:variant>
        <vt:lpwstr/>
      </vt:variant>
      <vt:variant>
        <vt:i4>3014698</vt:i4>
      </vt:variant>
      <vt:variant>
        <vt:i4>2585</vt:i4>
      </vt:variant>
      <vt:variant>
        <vt:i4>0</vt:i4>
      </vt:variant>
      <vt:variant>
        <vt:i4>5</vt:i4>
      </vt:variant>
      <vt:variant>
        <vt:lpwstr>http://vbaw.vba.va.gov/BL/21/M21/content/infomap.asp?address=M21-1MRIII.iv.4.F.22</vt:lpwstr>
      </vt:variant>
      <vt:variant>
        <vt:lpwstr>M21-1MRIII.iv.4.F.22.e</vt:lpwstr>
      </vt:variant>
      <vt:variant>
        <vt:i4>4980810</vt:i4>
      </vt:variant>
      <vt:variant>
        <vt:i4>2583</vt:i4>
      </vt:variant>
      <vt:variant>
        <vt:i4>0</vt:i4>
      </vt:variant>
      <vt:variant>
        <vt:i4>5</vt:i4>
      </vt:variant>
      <vt:variant>
        <vt:lpwstr>http://vbaw.vba.va.gov/BL/21/M21/content/infomap.asp?address=M21-1MRIII.iv.4.F.22</vt:lpwstr>
      </vt:variant>
      <vt:variant>
        <vt:lpwstr/>
      </vt:variant>
      <vt:variant>
        <vt:i4>3014698</vt:i4>
      </vt:variant>
      <vt:variant>
        <vt:i4>2579</vt:i4>
      </vt:variant>
      <vt:variant>
        <vt:i4>0</vt:i4>
      </vt:variant>
      <vt:variant>
        <vt:i4>5</vt:i4>
      </vt:variant>
      <vt:variant>
        <vt:lpwstr>http://vbaw.vba.va.gov/BL/21/M21/content/infomap.asp?address=M21-1MRIII.iv.4.F.22</vt:lpwstr>
      </vt:variant>
      <vt:variant>
        <vt:lpwstr>M21-1MRIII.iv.4.F.22.e</vt:lpwstr>
      </vt:variant>
      <vt:variant>
        <vt:i4>4980810</vt:i4>
      </vt:variant>
      <vt:variant>
        <vt:i4>2577</vt:i4>
      </vt:variant>
      <vt:variant>
        <vt:i4>0</vt:i4>
      </vt:variant>
      <vt:variant>
        <vt:i4>5</vt:i4>
      </vt:variant>
      <vt:variant>
        <vt:lpwstr>http://vbaw.vba.va.gov/BL/21/M21/content/infomap.asp?address=M21-1MRIII.iv.4.F.22</vt:lpwstr>
      </vt:variant>
      <vt:variant>
        <vt:lpwstr/>
      </vt:variant>
      <vt:variant>
        <vt:i4>3014698</vt:i4>
      </vt:variant>
      <vt:variant>
        <vt:i4>2573</vt:i4>
      </vt:variant>
      <vt:variant>
        <vt:i4>0</vt:i4>
      </vt:variant>
      <vt:variant>
        <vt:i4>5</vt:i4>
      </vt:variant>
      <vt:variant>
        <vt:lpwstr>http://vbaw.vba.va.gov/BL/21/M21/content/infomap.asp?address=M21-1MRIII.iv.4.F.22</vt:lpwstr>
      </vt:variant>
      <vt:variant>
        <vt:lpwstr>M21-1MRIII.iv.4.F.22.e</vt:lpwstr>
      </vt:variant>
      <vt:variant>
        <vt:i4>4980810</vt:i4>
      </vt:variant>
      <vt:variant>
        <vt:i4>2571</vt:i4>
      </vt:variant>
      <vt:variant>
        <vt:i4>0</vt:i4>
      </vt:variant>
      <vt:variant>
        <vt:i4>5</vt:i4>
      </vt:variant>
      <vt:variant>
        <vt:lpwstr>http://vbaw.vba.va.gov/BL/21/M21/content/infomap.asp?address=M21-1MRIII.iv.4.F.22</vt:lpwstr>
      </vt:variant>
      <vt:variant>
        <vt:lpwstr/>
      </vt:variant>
      <vt:variant>
        <vt:i4>3014698</vt:i4>
      </vt:variant>
      <vt:variant>
        <vt:i4>2568</vt:i4>
      </vt:variant>
      <vt:variant>
        <vt:i4>0</vt:i4>
      </vt:variant>
      <vt:variant>
        <vt:i4>5</vt:i4>
      </vt:variant>
      <vt:variant>
        <vt:lpwstr>http://vbaw.vba.va.gov/BL/21/M21/content/infomap.asp?address=M21-1MRIII.iv.4.F.22</vt:lpwstr>
      </vt:variant>
      <vt:variant>
        <vt:lpwstr>M21-1MRIII.iv.4.F.22.e</vt:lpwstr>
      </vt:variant>
      <vt:variant>
        <vt:i4>3997765</vt:i4>
      </vt:variant>
      <vt:variant>
        <vt:i4>2565</vt:i4>
      </vt:variant>
      <vt:variant>
        <vt:i4>0</vt:i4>
      </vt:variant>
      <vt:variant>
        <vt:i4>5</vt:i4>
      </vt:variant>
      <vt:variant>
        <vt:lpwstr>http://cptraining.vba.va.gov/C&amp;P_Training/RVSR/Diabetes.htm</vt:lpwstr>
      </vt:variant>
      <vt:variant>
        <vt:lpwstr/>
      </vt:variant>
      <vt:variant>
        <vt:i4>6357092</vt:i4>
      </vt:variant>
      <vt:variant>
        <vt:i4>2562</vt:i4>
      </vt:variant>
      <vt:variant>
        <vt:i4>0</vt:i4>
      </vt:variant>
      <vt:variant>
        <vt:i4>5</vt:i4>
      </vt:variant>
      <vt:variant>
        <vt:lpwstr>http://vbaw.vba.va.gov/bl/21/publicat/Letters/TrngLtrs/tl00-06.doc</vt:lpwstr>
      </vt:variant>
      <vt:variant>
        <vt:lpwstr/>
      </vt:variant>
      <vt:variant>
        <vt:i4>5242883</vt:i4>
      </vt:variant>
      <vt:variant>
        <vt:i4>2556</vt:i4>
      </vt:variant>
      <vt:variant>
        <vt:i4>0</vt:i4>
      </vt:variant>
      <vt:variant>
        <vt:i4>5</vt:i4>
      </vt:variant>
      <vt:variant>
        <vt:lpwstr>http://vbaw.vba.va.gov/BL/21/M21/content/infomap.asp?address=M21-1MRIII.iv.6.B.3</vt:lpwstr>
      </vt:variant>
      <vt:variant>
        <vt:lpwstr>M21-1MRIII.iv.6.B.3.d</vt:lpwstr>
      </vt:variant>
      <vt:variant>
        <vt:i4>1638515</vt:i4>
      </vt:variant>
      <vt:variant>
        <vt:i4>2554</vt:i4>
      </vt:variant>
      <vt:variant>
        <vt:i4>0</vt:i4>
      </vt:variant>
      <vt:variant>
        <vt:i4>5</vt:i4>
      </vt:variant>
      <vt:variant>
        <vt:lpwstr>http://vbaw.vba.va.gov/bl/21/M21-1MR/index.asp?id=pt03_sp04_ch06_secB.xml</vt:lpwstr>
      </vt:variant>
      <vt:variant>
        <vt:lpwstr>III.iv.6.B.3.d</vt:lpwstr>
      </vt:variant>
      <vt:variant>
        <vt:i4>5242883</vt:i4>
      </vt:variant>
      <vt:variant>
        <vt:i4>2552</vt:i4>
      </vt:variant>
      <vt:variant>
        <vt:i4>0</vt:i4>
      </vt:variant>
      <vt:variant>
        <vt:i4>5</vt:i4>
      </vt:variant>
      <vt:variant>
        <vt:lpwstr>http://vbaw.vba.va.gov/BL/21/M21/content/infomap.asp?address=M21-1MRIII.iv.6.B.3</vt:lpwstr>
      </vt:variant>
      <vt:variant>
        <vt:lpwstr>M21-1MRIII.iv.6.B.3.d</vt:lpwstr>
      </vt:variant>
      <vt:variant>
        <vt:i4>1638515</vt:i4>
      </vt:variant>
      <vt:variant>
        <vt:i4>2550</vt:i4>
      </vt:variant>
      <vt:variant>
        <vt:i4>0</vt:i4>
      </vt:variant>
      <vt:variant>
        <vt:i4>5</vt:i4>
      </vt:variant>
      <vt:variant>
        <vt:lpwstr>http://vbaw.vba.va.gov/bl/21/M21-1MR/index.asp?id=pt03_sp04_ch06_secB.xml</vt:lpwstr>
      </vt:variant>
      <vt:variant>
        <vt:lpwstr>III.iv.6.B.3.d</vt:lpwstr>
      </vt:variant>
      <vt:variant>
        <vt:i4>3014698</vt:i4>
      </vt:variant>
      <vt:variant>
        <vt:i4>2547</vt:i4>
      </vt:variant>
      <vt:variant>
        <vt:i4>0</vt:i4>
      </vt:variant>
      <vt:variant>
        <vt:i4>5</vt:i4>
      </vt:variant>
      <vt:variant>
        <vt:lpwstr>http://vbaw.vba.va.gov/BL/21/M21/content/infomap.asp?address=M21-1MRIII.iv.4.F.22</vt:lpwstr>
      </vt:variant>
      <vt:variant>
        <vt:lpwstr>M21-1MRIII.iv.4.F.22.e</vt:lpwstr>
      </vt:variant>
      <vt:variant>
        <vt:i4>8192037</vt:i4>
      </vt:variant>
      <vt:variant>
        <vt:i4>2544</vt:i4>
      </vt:variant>
      <vt:variant>
        <vt:i4>0</vt:i4>
      </vt:variant>
      <vt:variant>
        <vt:i4>5</vt:i4>
      </vt:variant>
      <vt:variant>
        <vt:lpwstr>http://vbaw.vba.va.gov/bl/21/Advisory/DADS/2007dads/Camacho.doc</vt:lpwstr>
      </vt:variant>
      <vt:variant>
        <vt:lpwstr/>
      </vt:variant>
      <vt:variant>
        <vt:i4>4653119</vt:i4>
      </vt:variant>
      <vt:variant>
        <vt:i4>2541</vt:i4>
      </vt:variant>
      <vt:variant>
        <vt:i4>0</vt:i4>
      </vt:variant>
      <vt:variant>
        <vt:i4>5</vt:i4>
      </vt:variant>
      <vt:variant>
        <vt:lpwstr>http://10.220.1.4/bl/21/faq/FAQ_Answer.asp?ref=302</vt:lpwstr>
      </vt:variant>
      <vt:variant>
        <vt:lpwstr/>
      </vt:variant>
      <vt:variant>
        <vt:i4>4325431</vt:i4>
      </vt:variant>
      <vt:variant>
        <vt:i4>2538</vt:i4>
      </vt:variant>
      <vt:variant>
        <vt:i4>0</vt:i4>
      </vt:variant>
      <vt:variant>
        <vt:i4>5</vt:i4>
      </vt:variant>
      <vt:variant>
        <vt:lpwstr>http://10.220.1.4/bl/21/faq/FAQ_Answer.asp?ref=286</vt:lpwstr>
      </vt:variant>
      <vt:variant>
        <vt:lpwstr/>
      </vt:variant>
      <vt:variant>
        <vt:i4>3997765</vt:i4>
      </vt:variant>
      <vt:variant>
        <vt:i4>2535</vt:i4>
      </vt:variant>
      <vt:variant>
        <vt:i4>0</vt:i4>
      </vt:variant>
      <vt:variant>
        <vt:i4>5</vt:i4>
      </vt:variant>
      <vt:variant>
        <vt:lpwstr>http://cptraining.vba.va.gov/C&amp;P_Training/RVSR/Diabetes.htm</vt:lpwstr>
      </vt:variant>
      <vt:variant>
        <vt:lpwstr/>
      </vt:variant>
      <vt:variant>
        <vt:i4>6357092</vt:i4>
      </vt:variant>
      <vt:variant>
        <vt:i4>2532</vt:i4>
      </vt:variant>
      <vt:variant>
        <vt:i4>0</vt:i4>
      </vt:variant>
      <vt:variant>
        <vt:i4>5</vt:i4>
      </vt:variant>
      <vt:variant>
        <vt:lpwstr>http://vbaw.vba.va.gov/bl/21/publicat/Letters/TrngLtrs/tl00-06.doc</vt:lpwstr>
      </vt:variant>
      <vt:variant>
        <vt:lpwstr/>
      </vt:variant>
      <vt:variant>
        <vt:i4>8126553</vt:i4>
      </vt:variant>
      <vt:variant>
        <vt:i4>2529</vt:i4>
      </vt:variant>
      <vt:variant>
        <vt:i4>0</vt:i4>
      </vt:variant>
      <vt:variant>
        <vt:i4>5</vt:i4>
      </vt:variant>
      <vt:variant>
        <vt:lpwstr>http://vbaw.vba.va.gov/bl/21/publicat/Regs/Part3/3_309.htm</vt:lpwstr>
      </vt:variant>
      <vt:variant>
        <vt:lpwstr/>
      </vt:variant>
      <vt:variant>
        <vt:i4>1572968</vt:i4>
      </vt:variant>
      <vt:variant>
        <vt:i4>2526</vt:i4>
      </vt:variant>
      <vt:variant>
        <vt:i4>0</vt:i4>
      </vt:variant>
      <vt:variant>
        <vt:i4>5</vt:i4>
      </vt:variant>
      <vt:variant>
        <vt:lpwstr>http://vbaw.vba.va.gov/bl/21/publicat/Regs/Part4/4_13.htm</vt:lpwstr>
      </vt:variant>
      <vt:variant>
        <vt:lpwstr/>
      </vt:variant>
      <vt:variant>
        <vt:i4>4259945</vt:i4>
      </vt:variant>
      <vt:variant>
        <vt:i4>2523</vt:i4>
      </vt:variant>
      <vt:variant>
        <vt:i4>0</vt:i4>
      </vt:variant>
      <vt:variant>
        <vt:i4>5</vt:i4>
      </vt:variant>
      <vt:variant>
        <vt:lpwstr>http://vbaw.vba.va.gov/bl/21/publicat/Regs/Part4/4_7.htm</vt:lpwstr>
      </vt:variant>
      <vt:variant>
        <vt:lpwstr/>
      </vt:variant>
      <vt:variant>
        <vt:i4>77</vt:i4>
      </vt:variant>
      <vt:variant>
        <vt:i4>2520</vt:i4>
      </vt:variant>
      <vt:variant>
        <vt:i4>0</vt:i4>
      </vt:variant>
      <vt:variant>
        <vt:i4>5</vt:i4>
      </vt:variant>
      <vt:variant>
        <vt:lpwstr>http://vbaw.vba.va.gov/bl/21/Advisory/DADS/2010dads/Tatum.doc</vt:lpwstr>
      </vt:variant>
      <vt:variant>
        <vt:lpwstr/>
      </vt:variant>
      <vt:variant>
        <vt:i4>6422649</vt:i4>
      </vt:variant>
      <vt:variant>
        <vt:i4>2517</vt:i4>
      </vt:variant>
      <vt:variant>
        <vt:i4>0</vt:i4>
      </vt:variant>
      <vt:variant>
        <vt:i4>5</vt:i4>
      </vt:variant>
      <vt:variant>
        <vt:lpwstr>http://vbaw.vba.va.gov/BL/21/M21/content/infomap.asp?address=M21-1MRIII.iv.4.F.23.b</vt:lpwstr>
      </vt:variant>
      <vt:variant>
        <vt:lpwstr/>
      </vt:variant>
      <vt:variant>
        <vt:i4>8126553</vt:i4>
      </vt:variant>
      <vt:variant>
        <vt:i4>2514</vt:i4>
      </vt:variant>
      <vt:variant>
        <vt:i4>0</vt:i4>
      </vt:variant>
      <vt:variant>
        <vt:i4>5</vt:i4>
      </vt:variant>
      <vt:variant>
        <vt:lpwstr>http://vbaw.vba.va.gov/bl/21/publicat/Regs/Part3/3_309.htm</vt:lpwstr>
      </vt:variant>
      <vt:variant>
        <vt:lpwstr/>
      </vt:variant>
      <vt:variant>
        <vt:i4>7405583</vt:i4>
      </vt:variant>
      <vt:variant>
        <vt:i4>2511</vt:i4>
      </vt:variant>
      <vt:variant>
        <vt:i4>0</vt:i4>
      </vt:variant>
      <vt:variant>
        <vt:i4>5</vt:i4>
      </vt:variant>
      <vt:variant>
        <vt:lpwstr>http://10.220.1.4/bl/21/faq/FAQ_Answer.asp?ref=79</vt:lpwstr>
      </vt:variant>
      <vt:variant>
        <vt:lpwstr/>
      </vt:variant>
      <vt:variant>
        <vt:i4>7864409</vt:i4>
      </vt:variant>
      <vt:variant>
        <vt:i4>2508</vt:i4>
      </vt:variant>
      <vt:variant>
        <vt:i4>0</vt:i4>
      </vt:variant>
      <vt:variant>
        <vt:i4>5</vt:i4>
      </vt:variant>
      <vt:variant>
        <vt:lpwstr>http://vbaw.vba.va.gov/bl/21/M21-1MR/index.asp?id=pt03_sp04_ch04_secF.xml</vt:lpwstr>
      </vt:variant>
      <vt:variant>
        <vt:lpwstr>III.iv.4.F.22</vt:lpwstr>
      </vt:variant>
      <vt:variant>
        <vt:i4>8257624</vt:i4>
      </vt:variant>
      <vt:variant>
        <vt:i4>2505</vt:i4>
      </vt:variant>
      <vt:variant>
        <vt:i4>0</vt:i4>
      </vt:variant>
      <vt:variant>
        <vt:i4>5</vt:i4>
      </vt:variant>
      <vt:variant>
        <vt:lpwstr>http://vbaw.vba.va.gov/bl/21/publicat/Regs/Part4/4_119.htm</vt:lpwstr>
      </vt:variant>
      <vt:variant>
        <vt:lpwstr/>
      </vt:variant>
      <vt:variant>
        <vt:i4>4980795</vt:i4>
      </vt:variant>
      <vt:variant>
        <vt:i4>2502</vt:i4>
      </vt:variant>
      <vt:variant>
        <vt:i4>0</vt:i4>
      </vt:variant>
      <vt:variant>
        <vt:i4>5</vt:i4>
      </vt:variant>
      <vt:variant>
        <vt:lpwstr>http://10.220.1.4/bl/21/faq/FAQ_Answer.asp?ref=248</vt:lpwstr>
      </vt:variant>
      <vt:variant>
        <vt:lpwstr/>
      </vt:variant>
      <vt:variant>
        <vt:i4>7667749</vt:i4>
      </vt:variant>
      <vt:variant>
        <vt:i4>2499</vt:i4>
      </vt:variant>
      <vt:variant>
        <vt:i4>0</vt:i4>
      </vt:variant>
      <vt:variant>
        <vt:i4>5</vt:i4>
      </vt:variant>
      <vt:variant>
        <vt:lpwstr>http://vbaw.vba.va.gov/bl/21/publicat/Letters/FL99/FL99-086.doc</vt:lpwstr>
      </vt:variant>
      <vt:variant>
        <vt:lpwstr/>
      </vt:variant>
      <vt:variant>
        <vt:i4>4784168</vt:i4>
      </vt:variant>
      <vt:variant>
        <vt:i4>2496</vt:i4>
      </vt:variant>
      <vt:variant>
        <vt:i4>0</vt:i4>
      </vt:variant>
      <vt:variant>
        <vt:i4>5</vt:i4>
      </vt:variant>
      <vt:variant>
        <vt:lpwstr>http://vbaw.vba.va.gov/bl/21/M21-1mr/pt04/sp02/ch02/pt04_sp02_ch02_secC.xml</vt:lpwstr>
      </vt:variant>
      <vt:variant>
        <vt:lpwstr>IV.ii.2.C.11</vt:lpwstr>
      </vt:variant>
      <vt:variant>
        <vt:i4>7864408</vt:i4>
      </vt:variant>
      <vt:variant>
        <vt:i4>2493</vt:i4>
      </vt:variant>
      <vt:variant>
        <vt:i4>0</vt:i4>
      </vt:variant>
      <vt:variant>
        <vt:i4>5</vt:i4>
      </vt:variant>
      <vt:variant>
        <vt:lpwstr>http://vbaw.vba.va.gov/bl/21/publicat/Regs/Part3/3_816.htm</vt:lpwstr>
      </vt:variant>
      <vt:variant>
        <vt:lpwstr/>
      </vt:variant>
      <vt:variant>
        <vt:i4>8061016</vt:i4>
      </vt:variant>
      <vt:variant>
        <vt:i4>2490</vt:i4>
      </vt:variant>
      <vt:variant>
        <vt:i4>0</vt:i4>
      </vt:variant>
      <vt:variant>
        <vt:i4>5</vt:i4>
      </vt:variant>
      <vt:variant>
        <vt:lpwstr>http://vbaw.vba.va.gov/bl/21/publicat/Regs/Part3/3_815.htm</vt:lpwstr>
      </vt:variant>
      <vt:variant>
        <vt:lpwstr/>
      </vt:variant>
      <vt:variant>
        <vt:i4>1966162</vt:i4>
      </vt:variant>
      <vt:variant>
        <vt:i4>2487</vt:i4>
      </vt:variant>
      <vt:variant>
        <vt:i4>0</vt:i4>
      </vt:variant>
      <vt:variant>
        <vt:i4>5</vt:i4>
      </vt:variant>
      <vt:variant>
        <vt:lpwstr>http://vbaw.vba.va.gov/bl/21/M21-1MR/index.asp?id=pt06_ch02_secB.xml</vt:lpwstr>
      </vt:variant>
      <vt:variant>
        <vt:lpwstr>VI.2.B,C,D</vt:lpwstr>
      </vt:variant>
      <vt:variant>
        <vt:i4>7995480</vt:i4>
      </vt:variant>
      <vt:variant>
        <vt:i4>2484</vt:i4>
      </vt:variant>
      <vt:variant>
        <vt:i4>0</vt:i4>
      </vt:variant>
      <vt:variant>
        <vt:i4>5</vt:i4>
      </vt:variant>
      <vt:variant>
        <vt:lpwstr>http://vbaw.vba.va.gov/bl/21/publicat/Regs/Part3/3_814.htm</vt:lpwstr>
      </vt:variant>
      <vt:variant>
        <vt:lpwstr/>
      </vt:variant>
      <vt:variant>
        <vt:i4>6946925</vt:i4>
      </vt:variant>
      <vt:variant>
        <vt:i4>2481</vt:i4>
      </vt:variant>
      <vt:variant>
        <vt:i4>0</vt:i4>
      </vt:variant>
      <vt:variant>
        <vt:i4>5</vt:i4>
      </vt:variant>
      <vt:variant>
        <vt:lpwstr>http://vbaw.vba.va.gov/BL/21/M21/content/infomap.asp?address=M21-1MRIV.ii.2.C.10.v</vt:lpwstr>
      </vt:variant>
      <vt:variant>
        <vt:lpwstr/>
      </vt:variant>
      <vt:variant>
        <vt:i4>6881333</vt:i4>
      </vt:variant>
      <vt:variant>
        <vt:i4>2478</vt:i4>
      </vt:variant>
      <vt:variant>
        <vt:i4>0</vt:i4>
      </vt:variant>
      <vt:variant>
        <vt:i4>5</vt:i4>
      </vt:variant>
      <vt:variant>
        <vt:lpwstr>http://vbaw.vba.va.gov/bl/21/calendar/agenda/FY12/1112.doc</vt:lpwstr>
      </vt:variant>
      <vt:variant>
        <vt:lpwstr/>
      </vt:variant>
      <vt:variant>
        <vt:i4>7733336</vt:i4>
      </vt:variant>
      <vt:variant>
        <vt:i4>2475</vt:i4>
      </vt:variant>
      <vt:variant>
        <vt:i4>0</vt:i4>
      </vt:variant>
      <vt:variant>
        <vt:i4>5</vt:i4>
      </vt:variant>
      <vt:variant>
        <vt:lpwstr>http://vbaw.vba.va.gov/bl/21/publicat/Regs/Part3/3_313.htm</vt:lpwstr>
      </vt:variant>
      <vt:variant>
        <vt:lpwstr/>
      </vt:variant>
      <vt:variant>
        <vt:i4>6422583</vt:i4>
      </vt:variant>
      <vt:variant>
        <vt:i4>2472</vt:i4>
      </vt:variant>
      <vt:variant>
        <vt:i4>0</vt:i4>
      </vt:variant>
      <vt:variant>
        <vt:i4>5</vt:i4>
      </vt:variant>
      <vt:variant>
        <vt:lpwstr>http://vbaw.vba.va.gov/bl/21/calendar/Agenda/FY11/0911.doc</vt:lpwstr>
      </vt:variant>
      <vt:variant>
        <vt:lpwstr/>
      </vt:variant>
      <vt:variant>
        <vt:i4>2621555</vt:i4>
      </vt:variant>
      <vt:variant>
        <vt:i4>2469</vt:i4>
      </vt:variant>
      <vt:variant>
        <vt:i4>0</vt:i4>
      </vt:variant>
      <vt:variant>
        <vt:i4>5</vt:i4>
      </vt:variant>
      <vt:variant>
        <vt:lpwstr>http://vbaw.vba.va.gov/bl/21/calendar/Agenda/FY11/0511a.doc</vt:lpwstr>
      </vt:variant>
      <vt:variant>
        <vt:lpwstr/>
      </vt:variant>
      <vt:variant>
        <vt:i4>6029437</vt:i4>
      </vt:variant>
      <vt:variant>
        <vt:i4>2466</vt:i4>
      </vt:variant>
      <vt:variant>
        <vt:i4>0</vt:i4>
      </vt:variant>
      <vt:variant>
        <vt:i4>5</vt:i4>
      </vt:variant>
      <vt:variant>
        <vt:lpwstr>http://vbaw.vba.va.gov/bl/21/M21-1MR/index.asp?id=pt04_sp02_ch02_secC.xml</vt:lpwstr>
      </vt:variant>
      <vt:variant>
        <vt:lpwstr>IV.ii.2.C.10.u</vt:lpwstr>
      </vt:variant>
      <vt:variant>
        <vt:i4>6094973</vt:i4>
      </vt:variant>
      <vt:variant>
        <vt:i4>2463</vt:i4>
      </vt:variant>
      <vt:variant>
        <vt:i4>0</vt:i4>
      </vt:variant>
      <vt:variant>
        <vt:i4>5</vt:i4>
      </vt:variant>
      <vt:variant>
        <vt:lpwstr>http://vbaw.vba.va.gov/bl/21/M21-1MR/index.asp?id=pt04_sp02_ch02_secC.xml</vt:lpwstr>
      </vt:variant>
      <vt:variant>
        <vt:lpwstr>IV.ii.2.C.10.t</vt:lpwstr>
      </vt:variant>
      <vt:variant>
        <vt:i4>7405670</vt:i4>
      </vt:variant>
      <vt:variant>
        <vt:i4>2460</vt:i4>
      </vt:variant>
      <vt:variant>
        <vt:i4>0</vt:i4>
      </vt:variant>
      <vt:variant>
        <vt:i4>5</vt:i4>
      </vt:variant>
      <vt:variant>
        <vt:lpwstr>http://vbaw.vba.va.gov/BL/21/M21/content/infomap.asp?address=M21-1MRIV.ii.1.H.28.e</vt:lpwstr>
      </vt:variant>
      <vt:variant>
        <vt:lpwstr/>
      </vt:variant>
      <vt:variant>
        <vt:i4>7471193</vt:i4>
      </vt:variant>
      <vt:variant>
        <vt:i4>2457</vt:i4>
      </vt:variant>
      <vt:variant>
        <vt:i4>0</vt:i4>
      </vt:variant>
      <vt:variant>
        <vt:i4>5</vt:i4>
      </vt:variant>
      <vt:variant>
        <vt:lpwstr>http://vbaw.vba.va.gov/bl/21/publicat/Regs/Part3/3_307.htm</vt:lpwstr>
      </vt:variant>
      <vt:variant>
        <vt:lpwstr/>
      </vt:variant>
      <vt:variant>
        <vt:i4>4259902</vt:i4>
      </vt:variant>
      <vt:variant>
        <vt:i4>2454</vt:i4>
      </vt:variant>
      <vt:variant>
        <vt:i4>0</vt:i4>
      </vt:variant>
      <vt:variant>
        <vt:i4>5</vt:i4>
      </vt:variant>
      <vt:variant>
        <vt:lpwstr>http://10.220.1.4/bl/21/faq/FAQ_Answer.asp?ref=215</vt:lpwstr>
      </vt:variant>
      <vt:variant>
        <vt:lpwstr/>
      </vt:variant>
      <vt:variant>
        <vt:i4>7733336</vt:i4>
      </vt:variant>
      <vt:variant>
        <vt:i4>2451</vt:i4>
      </vt:variant>
      <vt:variant>
        <vt:i4>0</vt:i4>
      </vt:variant>
      <vt:variant>
        <vt:i4>5</vt:i4>
      </vt:variant>
      <vt:variant>
        <vt:lpwstr>http://vbaw.vba.va.gov/bl/21/publicat/Regs/Part3/3_313.htm</vt:lpwstr>
      </vt:variant>
      <vt:variant>
        <vt:lpwstr/>
      </vt:variant>
      <vt:variant>
        <vt:i4>7602191</vt:i4>
      </vt:variant>
      <vt:variant>
        <vt:i4>2448</vt:i4>
      </vt:variant>
      <vt:variant>
        <vt:i4>0</vt:i4>
      </vt:variant>
      <vt:variant>
        <vt:i4>5</vt:i4>
      </vt:variant>
      <vt:variant>
        <vt:lpwstr>http://10.220.1.4/bl/21/faq/FAQ_Answer.asp?ref=29</vt:lpwstr>
      </vt:variant>
      <vt:variant>
        <vt:lpwstr/>
      </vt:variant>
      <vt:variant>
        <vt:i4>1704042</vt:i4>
      </vt:variant>
      <vt:variant>
        <vt:i4>2445</vt:i4>
      </vt:variant>
      <vt:variant>
        <vt:i4>0</vt:i4>
      </vt:variant>
      <vt:variant>
        <vt:i4>5</vt:i4>
      </vt:variant>
      <vt:variant>
        <vt:lpwstr>http://vbaw.vba.va.gov/bl/21/publicat/Regs/Part3/3_31.htm</vt:lpwstr>
      </vt:variant>
      <vt:variant>
        <vt:lpwstr/>
      </vt:variant>
      <vt:variant>
        <vt:i4>7274613</vt:i4>
      </vt:variant>
      <vt:variant>
        <vt:i4>2442</vt:i4>
      </vt:variant>
      <vt:variant>
        <vt:i4>0</vt:i4>
      </vt:variant>
      <vt:variant>
        <vt:i4>5</vt:i4>
      </vt:variant>
      <vt:variant>
        <vt:lpwstr>http://www.law.cornell.edu/uscode/text/38/1116</vt:lpwstr>
      </vt:variant>
      <vt:variant>
        <vt:lpwstr/>
      </vt:variant>
      <vt:variant>
        <vt:i4>6946869</vt:i4>
      </vt:variant>
      <vt:variant>
        <vt:i4>2439</vt:i4>
      </vt:variant>
      <vt:variant>
        <vt:i4>0</vt:i4>
      </vt:variant>
      <vt:variant>
        <vt:i4>5</vt:i4>
      </vt:variant>
      <vt:variant>
        <vt:lpwstr>http://vbaw.vba.va.gov/bl/21/calendar/agenda/FY12/1212.doc</vt:lpwstr>
      </vt:variant>
      <vt:variant>
        <vt:lpwstr/>
      </vt:variant>
      <vt:variant>
        <vt:i4>6881333</vt:i4>
      </vt:variant>
      <vt:variant>
        <vt:i4>2436</vt:i4>
      </vt:variant>
      <vt:variant>
        <vt:i4>0</vt:i4>
      </vt:variant>
      <vt:variant>
        <vt:i4>5</vt:i4>
      </vt:variant>
      <vt:variant>
        <vt:lpwstr>http://vbaw.vba.va.gov/bl/21/calendar/agenda/FY12/1112.doc</vt:lpwstr>
      </vt:variant>
      <vt:variant>
        <vt:lpwstr/>
      </vt:variant>
      <vt:variant>
        <vt:i4>7667747</vt:i4>
      </vt:variant>
      <vt:variant>
        <vt:i4>2433</vt:i4>
      </vt:variant>
      <vt:variant>
        <vt:i4>0</vt:i4>
      </vt:variant>
      <vt:variant>
        <vt:i4>5</vt:i4>
      </vt:variant>
      <vt:variant>
        <vt:lpwstr>http://vbaw.vba.va.gov/bl/21/rating/VENavyShip.htm</vt:lpwstr>
      </vt:variant>
      <vt:variant>
        <vt:lpwstr/>
      </vt:variant>
      <vt:variant>
        <vt:i4>7667747</vt:i4>
      </vt:variant>
      <vt:variant>
        <vt:i4>2430</vt:i4>
      </vt:variant>
      <vt:variant>
        <vt:i4>0</vt:i4>
      </vt:variant>
      <vt:variant>
        <vt:i4>5</vt:i4>
      </vt:variant>
      <vt:variant>
        <vt:lpwstr>http://vbaw.vba.va.gov/bl/21/rating/VENavyShip.htm</vt:lpwstr>
      </vt:variant>
      <vt:variant>
        <vt:lpwstr/>
      </vt:variant>
      <vt:variant>
        <vt:i4>2752627</vt:i4>
      </vt:variant>
      <vt:variant>
        <vt:i4>2427</vt:i4>
      </vt:variant>
      <vt:variant>
        <vt:i4>0</vt:i4>
      </vt:variant>
      <vt:variant>
        <vt:i4>5</vt:i4>
      </vt:variant>
      <vt:variant>
        <vt:lpwstr>http://vbaw.vba.va.gov/bl/21/calendar/agenda/FY11/0711a.doc</vt:lpwstr>
      </vt:variant>
      <vt:variant>
        <vt:lpwstr/>
      </vt:variant>
      <vt:variant>
        <vt:i4>7667747</vt:i4>
      </vt:variant>
      <vt:variant>
        <vt:i4>2424</vt:i4>
      </vt:variant>
      <vt:variant>
        <vt:i4>0</vt:i4>
      </vt:variant>
      <vt:variant>
        <vt:i4>5</vt:i4>
      </vt:variant>
      <vt:variant>
        <vt:lpwstr>http://vbaw.vba.va.gov/bl/21/rating/VENavyShip.htm</vt:lpwstr>
      </vt:variant>
      <vt:variant>
        <vt:lpwstr/>
      </vt:variant>
      <vt:variant>
        <vt:i4>7274551</vt:i4>
      </vt:variant>
      <vt:variant>
        <vt:i4>2421</vt:i4>
      </vt:variant>
      <vt:variant>
        <vt:i4>0</vt:i4>
      </vt:variant>
      <vt:variant>
        <vt:i4>5</vt:i4>
      </vt:variant>
      <vt:variant>
        <vt:lpwstr>http://vbaw.vba.va.gov/bl/21/calendar/agenda/FY11/0411.doc</vt:lpwstr>
      </vt:variant>
      <vt:variant>
        <vt:lpwstr/>
      </vt:variant>
      <vt:variant>
        <vt:i4>1441801</vt:i4>
      </vt:variant>
      <vt:variant>
        <vt:i4>2418</vt:i4>
      </vt:variant>
      <vt:variant>
        <vt:i4>0</vt:i4>
      </vt:variant>
      <vt:variant>
        <vt:i4>5</vt:i4>
      </vt:variant>
      <vt:variant>
        <vt:lpwstr>http://www.history.navy.mil/branches/dictvol1.htm</vt:lpwstr>
      </vt:variant>
      <vt:variant>
        <vt:lpwstr/>
      </vt:variant>
      <vt:variant>
        <vt:i4>6881335</vt:i4>
      </vt:variant>
      <vt:variant>
        <vt:i4>2415</vt:i4>
      </vt:variant>
      <vt:variant>
        <vt:i4>0</vt:i4>
      </vt:variant>
      <vt:variant>
        <vt:i4>5</vt:i4>
      </vt:variant>
      <vt:variant>
        <vt:lpwstr>http://vbaw.vba.va.gov/bl/21/calendar/agenda/FY11/0211.doc</vt:lpwstr>
      </vt:variant>
      <vt:variant>
        <vt:lpwstr/>
      </vt:variant>
      <vt:variant>
        <vt:i4>6946871</vt:i4>
      </vt:variant>
      <vt:variant>
        <vt:i4>2412</vt:i4>
      </vt:variant>
      <vt:variant>
        <vt:i4>0</vt:i4>
      </vt:variant>
      <vt:variant>
        <vt:i4>5</vt:i4>
      </vt:variant>
      <vt:variant>
        <vt:lpwstr>http://vbaw.vba.va.gov/bl/21/calendar/agenda/FY11/0111.doc</vt:lpwstr>
      </vt:variant>
      <vt:variant>
        <vt:lpwstr/>
      </vt:variant>
      <vt:variant>
        <vt:i4>6815799</vt:i4>
      </vt:variant>
      <vt:variant>
        <vt:i4>2409</vt:i4>
      </vt:variant>
      <vt:variant>
        <vt:i4>0</vt:i4>
      </vt:variant>
      <vt:variant>
        <vt:i4>5</vt:i4>
      </vt:variant>
      <vt:variant>
        <vt:lpwstr>http://vbaw.vba.va.gov/bl/21/calendar/agenda/FY10/1210.doc</vt:lpwstr>
      </vt:variant>
      <vt:variant>
        <vt:lpwstr/>
      </vt:variant>
      <vt:variant>
        <vt:i4>7012407</vt:i4>
      </vt:variant>
      <vt:variant>
        <vt:i4>2406</vt:i4>
      </vt:variant>
      <vt:variant>
        <vt:i4>0</vt:i4>
      </vt:variant>
      <vt:variant>
        <vt:i4>5</vt:i4>
      </vt:variant>
      <vt:variant>
        <vt:lpwstr>http://vbaw.vba.va.gov/bl/21/calendar/agenda/FY10/1110.doc</vt:lpwstr>
      </vt:variant>
      <vt:variant>
        <vt:lpwstr/>
      </vt:variant>
      <vt:variant>
        <vt:i4>2883699</vt:i4>
      </vt:variant>
      <vt:variant>
        <vt:i4>2403</vt:i4>
      </vt:variant>
      <vt:variant>
        <vt:i4>0</vt:i4>
      </vt:variant>
      <vt:variant>
        <vt:i4>5</vt:i4>
      </vt:variant>
      <vt:variant>
        <vt:lpwstr>http://vbaw.vba.va.gov/bl/21/calendar/Agenda/FY10/1010a.doc</vt:lpwstr>
      </vt:variant>
      <vt:variant>
        <vt:lpwstr/>
      </vt:variant>
      <vt:variant>
        <vt:i4>7929888</vt:i4>
      </vt:variant>
      <vt:variant>
        <vt:i4>2400</vt:i4>
      </vt:variant>
      <vt:variant>
        <vt:i4>0</vt:i4>
      </vt:variant>
      <vt:variant>
        <vt:i4>5</vt:i4>
      </vt:variant>
      <vt:variant>
        <vt:lpwstr>http://vbaw.vba.va.gov/bl/21/publicat/Letters/FL10/FL10-052.doc</vt:lpwstr>
      </vt:variant>
      <vt:variant>
        <vt:lpwstr/>
      </vt:variant>
      <vt:variant>
        <vt:i4>7864357</vt:i4>
      </vt:variant>
      <vt:variant>
        <vt:i4>2397</vt:i4>
      </vt:variant>
      <vt:variant>
        <vt:i4>0</vt:i4>
      </vt:variant>
      <vt:variant>
        <vt:i4>5</vt:i4>
      </vt:variant>
      <vt:variant>
        <vt:lpwstr>http://vbaw.vba.va.gov/bl/21/publicat/Letters/FL10/FL10-047.doc</vt:lpwstr>
      </vt:variant>
      <vt:variant>
        <vt:lpwstr/>
      </vt:variant>
      <vt:variant>
        <vt:i4>7667747</vt:i4>
      </vt:variant>
      <vt:variant>
        <vt:i4>2394</vt:i4>
      </vt:variant>
      <vt:variant>
        <vt:i4>0</vt:i4>
      </vt:variant>
      <vt:variant>
        <vt:i4>5</vt:i4>
      </vt:variant>
      <vt:variant>
        <vt:lpwstr>http://vbaw.vba.va.gov/bl/21/rating/VENavyShip.htm</vt:lpwstr>
      </vt:variant>
      <vt:variant>
        <vt:lpwstr/>
      </vt:variant>
      <vt:variant>
        <vt:i4>6946871</vt:i4>
      </vt:variant>
      <vt:variant>
        <vt:i4>2391</vt:i4>
      </vt:variant>
      <vt:variant>
        <vt:i4>0</vt:i4>
      </vt:variant>
      <vt:variant>
        <vt:i4>5</vt:i4>
      </vt:variant>
      <vt:variant>
        <vt:lpwstr>http://vbaw.vba.va.gov/bl/21/calendar/Agenda/FY10/1010.doc</vt:lpwstr>
      </vt:variant>
      <vt:variant>
        <vt:lpwstr/>
      </vt:variant>
      <vt:variant>
        <vt:i4>6291556</vt:i4>
      </vt:variant>
      <vt:variant>
        <vt:i4>2388</vt:i4>
      </vt:variant>
      <vt:variant>
        <vt:i4>0</vt:i4>
      </vt:variant>
      <vt:variant>
        <vt:i4>5</vt:i4>
      </vt:variant>
      <vt:variant>
        <vt:lpwstr>http://vbaw.vba.va.gov/bl/21/publicat/Letters/TrngLtrs/TL10-06.doc</vt:lpwstr>
      </vt:variant>
      <vt:variant>
        <vt:lpwstr/>
      </vt:variant>
      <vt:variant>
        <vt:i4>7667747</vt:i4>
      </vt:variant>
      <vt:variant>
        <vt:i4>2385</vt:i4>
      </vt:variant>
      <vt:variant>
        <vt:i4>0</vt:i4>
      </vt:variant>
      <vt:variant>
        <vt:i4>5</vt:i4>
      </vt:variant>
      <vt:variant>
        <vt:lpwstr>http://vbaw.vba.va.gov/bl/21/rating/VENavyShip.htm</vt:lpwstr>
      </vt:variant>
      <vt:variant>
        <vt:lpwstr/>
      </vt:variant>
      <vt:variant>
        <vt:i4>7077942</vt:i4>
      </vt:variant>
      <vt:variant>
        <vt:i4>2382</vt:i4>
      </vt:variant>
      <vt:variant>
        <vt:i4>0</vt:i4>
      </vt:variant>
      <vt:variant>
        <vt:i4>5</vt:i4>
      </vt:variant>
      <vt:variant>
        <vt:lpwstr>http://vbaw.vba.va.gov/bl/21/calendar/agenda/FY10/0610.doc</vt:lpwstr>
      </vt:variant>
      <vt:variant>
        <vt:lpwstr/>
      </vt:variant>
      <vt:variant>
        <vt:i4>7012406</vt:i4>
      </vt:variant>
      <vt:variant>
        <vt:i4>2379</vt:i4>
      </vt:variant>
      <vt:variant>
        <vt:i4>0</vt:i4>
      </vt:variant>
      <vt:variant>
        <vt:i4>5</vt:i4>
      </vt:variant>
      <vt:variant>
        <vt:lpwstr>http://vbaw.vba.va.gov/bl/21/calendar/agenda/FY10/0110.doc</vt:lpwstr>
      </vt:variant>
      <vt:variant>
        <vt:lpwstr/>
      </vt:variant>
      <vt:variant>
        <vt:i4>6422591</vt:i4>
      </vt:variant>
      <vt:variant>
        <vt:i4>2376</vt:i4>
      </vt:variant>
      <vt:variant>
        <vt:i4>0</vt:i4>
      </vt:variant>
      <vt:variant>
        <vt:i4>5</vt:i4>
      </vt:variant>
      <vt:variant>
        <vt:lpwstr>http://vbaw.vba.va.gov/bl/21/calendar/agenda/FY09/1009.doc</vt:lpwstr>
      </vt:variant>
      <vt:variant>
        <vt:lpwstr/>
      </vt:variant>
      <vt:variant>
        <vt:i4>1507353</vt:i4>
      </vt:variant>
      <vt:variant>
        <vt:i4>2373</vt:i4>
      </vt:variant>
      <vt:variant>
        <vt:i4>0</vt:i4>
      </vt:variant>
      <vt:variant>
        <vt:i4>5</vt:i4>
      </vt:variant>
      <vt:variant>
        <vt:lpwstr>http://www1.va.gov/opa/pressrel/pressrelease.cfm?id=1796</vt:lpwstr>
      </vt:variant>
      <vt:variant>
        <vt:lpwstr/>
      </vt:variant>
      <vt:variant>
        <vt:i4>7340141</vt:i4>
      </vt:variant>
      <vt:variant>
        <vt:i4>2370</vt:i4>
      </vt:variant>
      <vt:variant>
        <vt:i4>0</vt:i4>
      </vt:variant>
      <vt:variant>
        <vt:i4>5</vt:i4>
      </vt:variant>
      <vt:variant>
        <vt:lpwstr>http://vbaw.vba.va.gov/BL/21/M21/content/infomap.asp?address=M21-1MRIV.ii.2.C.10.l</vt:lpwstr>
      </vt:variant>
      <vt:variant>
        <vt:lpwstr/>
      </vt:variant>
      <vt:variant>
        <vt:i4>2752622</vt:i4>
      </vt:variant>
      <vt:variant>
        <vt:i4>2367</vt:i4>
      </vt:variant>
      <vt:variant>
        <vt:i4>0</vt:i4>
      </vt:variant>
      <vt:variant>
        <vt:i4>5</vt:i4>
      </vt:variant>
      <vt:variant>
        <vt:lpwstr>http://vbaw.vba.va.gov/bl/21/calendar/agenda/FY09/0509a.pdf</vt:lpwstr>
      </vt:variant>
      <vt:variant>
        <vt:lpwstr/>
      </vt:variant>
      <vt:variant>
        <vt:i4>6750270</vt:i4>
      </vt:variant>
      <vt:variant>
        <vt:i4>2364</vt:i4>
      </vt:variant>
      <vt:variant>
        <vt:i4>0</vt:i4>
      </vt:variant>
      <vt:variant>
        <vt:i4>5</vt:i4>
      </vt:variant>
      <vt:variant>
        <vt:lpwstr>http://vbaw.vba.va.gov/bl/21/calendar/agenda/FY09/0509.doc</vt:lpwstr>
      </vt:variant>
      <vt:variant>
        <vt:lpwstr/>
      </vt:variant>
      <vt:variant>
        <vt:i4>4522040</vt:i4>
      </vt:variant>
      <vt:variant>
        <vt:i4>2361</vt:i4>
      </vt:variant>
      <vt:variant>
        <vt:i4>0</vt:i4>
      </vt:variant>
      <vt:variant>
        <vt:i4>5</vt:i4>
      </vt:variant>
      <vt:variant>
        <vt:lpwstr>http://10.220.1.4/bl/21/faq/FAQ_Answer.asp?ref=370</vt:lpwstr>
      </vt:variant>
      <vt:variant>
        <vt:lpwstr/>
      </vt:variant>
      <vt:variant>
        <vt:i4>2490490</vt:i4>
      </vt:variant>
      <vt:variant>
        <vt:i4>2358</vt:i4>
      </vt:variant>
      <vt:variant>
        <vt:i4>0</vt:i4>
      </vt:variant>
      <vt:variant>
        <vt:i4>5</vt:i4>
      </vt:variant>
      <vt:variant>
        <vt:lpwstr>http://vbaw.vba.va.gov/bl/21/calendar/Agenda/FY09/0209a.doc</vt:lpwstr>
      </vt:variant>
      <vt:variant>
        <vt:lpwstr/>
      </vt:variant>
      <vt:variant>
        <vt:i4>6291518</vt:i4>
      </vt:variant>
      <vt:variant>
        <vt:i4>2355</vt:i4>
      </vt:variant>
      <vt:variant>
        <vt:i4>0</vt:i4>
      </vt:variant>
      <vt:variant>
        <vt:i4>5</vt:i4>
      </vt:variant>
      <vt:variant>
        <vt:lpwstr>http://vbaw.vba.va.gov/bl/21/calendar/agenda/FY09/0209.doc</vt:lpwstr>
      </vt:variant>
      <vt:variant>
        <vt:lpwstr/>
      </vt:variant>
      <vt:variant>
        <vt:i4>7733289</vt:i4>
      </vt:variant>
      <vt:variant>
        <vt:i4>2352</vt:i4>
      </vt:variant>
      <vt:variant>
        <vt:i4>0</vt:i4>
      </vt:variant>
      <vt:variant>
        <vt:i4>5</vt:i4>
      </vt:variant>
      <vt:variant>
        <vt:lpwstr>http://vbaw.vba.va.gov/bl/21/publicat/Letters/FL08/FL08-032.doc</vt:lpwstr>
      </vt:variant>
      <vt:variant>
        <vt:lpwstr/>
      </vt:variant>
      <vt:variant>
        <vt:i4>1638405</vt:i4>
      </vt:variant>
      <vt:variant>
        <vt:i4>2349</vt:i4>
      </vt:variant>
      <vt:variant>
        <vt:i4>0</vt:i4>
      </vt:variant>
      <vt:variant>
        <vt:i4>5</vt:i4>
      </vt:variant>
      <vt:variant>
        <vt:lpwstr>http://www.vba.va.gov/bln/21/Benefits/Herbicide/index.htm</vt:lpwstr>
      </vt:variant>
      <vt:variant>
        <vt:lpwstr/>
      </vt:variant>
      <vt:variant>
        <vt:i4>8192038</vt:i4>
      </vt:variant>
      <vt:variant>
        <vt:i4>2346</vt:i4>
      </vt:variant>
      <vt:variant>
        <vt:i4>0</vt:i4>
      </vt:variant>
      <vt:variant>
        <vt:i4>5</vt:i4>
      </vt:variant>
      <vt:variant>
        <vt:lpwstr>http://vbaw.vba.va.gov/bl/21/publicat/Letters/FL03/FL03-036.doc</vt:lpwstr>
      </vt:variant>
      <vt:variant>
        <vt:lpwstr/>
      </vt:variant>
      <vt:variant>
        <vt:i4>4390967</vt:i4>
      </vt:variant>
      <vt:variant>
        <vt:i4>2343</vt:i4>
      </vt:variant>
      <vt:variant>
        <vt:i4>0</vt:i4>
      </vt:variant>
      <vt:variant>
        <vt:i4>5</vt:i4>
      </vt:variant>
      <vt:variant>
        <vt:lpwstr>http://10.220.1.4/bl/21/faq/FAQ_Answer.asp?ref=287</vt:lpwstr>
      </vt:variant>
      <vt:variant>
        <vt:lpwstr/>
      </vt:variant>
      <vt:variant>
        <vt:i4>7340047</vt:i4>
      </vt:variant>
      <vt:variant>
        <vt:i4>2340</vt:i4>
      </vt:variant>
      <vt:variant>
        <vt:i4>0</vt:i4>
      </vt:variant>
      <vt:variant>
        <vt:i4>5</vt:i4>
      </vt:variant>
      <vt:variant>
        <vt:lpwstr>http://10.220.1.4/bl/21/faq/FAQ_Answer.asp?ref=68</vt:lpwstr>
      </vt:variant>
      <vt:variant>
        <vt:lpwstr/>
      </vt:variant>
      <vt:variant>
        <vt:i4>7602191</vt:i4>
      </vt:variant>
      <vt:variant>
        <vt:i4>2337</vt:i4>
      </vt:variant>
      <vt:variant>
        <vt:i4>0</vt:i4>
      </vt:variant>
      <vt:variant>
        <vt:i4>5</vt:i4>
      </vt:variant>
      <vt:variant>
        <vt:lpwstr>http://10.220.1.4/bl/21/faq/FAQ_Answer.asp?ref=29</vt:lpwstr>
      </vt:variant>
      <vt:variant>
        <vt:lpwstr/>
      </vt:variant>
      <vt:variant>
        <vt:i4>7929891</vt:i4>
      </vt:variant>
      <vt:variant>
        <vt:i4>2334</vt:i4>
      </vt:variant>
      <vt:variant>
        <vt:i4>0</vt:i4>
      </vt:variant>
      <vt:variant>
        <vt:i4>5</vt:i4>
      </vt:variant>
      <vt:variant>
        <vt:lpwstr>http://vbaw.vba.va.gov/bl/21/publicat/Letters/FL01/FL01-051.doc</vt:lpwstr>
      </vt:variant>
      <vt:variant>
        <vt:lpwstr/>
      </vt:variant>
      <vt:variant>
        <vt:i4>4653118</vt:i4>
      </vt:variant>
      <vt:variant>
        <vt:i4>2331</vt:i4>
      </vt:variant>
      <vt:variant>
        <vt:i4>0</vt:i4>
      </vt:variant>
      <vt:variant>
        <vt:i4>5</vt:i4>
      </vt:variant>
      <vt:variant>
        <vt:lpwstr>http://10.220.1.4/bl/21/faq/FAQ_Answer.asp?ref=213</vt:lpwstr>
      </vt:variant>
      <vt:variant>
        <vt:lpwstr/>
      </vt:variant>
      <vt:variant>
        <vt:i4>8126553</vt:i4>
      </vt:variant>
      <vt:variant>
        <vt:i4>2328</vt:i4>
      </vt:variant>
      <vt:variant>
        <vt:i4>0</vt:i4>
      </vt:variant>
      <vt:variant>
        <vt:i4>5</vt:i4>
      </vt:variant>
      <vt:variant>
        <vt:lpwstr>http://vbaw.vba.va.gov/bl/21/publicat/Regs/Part3/3_309.htm</vt:lpwstr>
      </vt:variant>
      <vt:variant>
        <vt:lpwstr/>
      </vt:variant>
      <vt:variant>
        <vt:i4>7405670</vt:i4>
      </vt:variant>
      <vt:variant>
        <vt:i4>2325</vt:i4>
      </vt:variant>
      <vt:variant>
        <vt:i4>0</vt:i4>
      </vt:variant>
      <vt:variant>
        <vt:i4>5</vt:i4>
      </vt:variant>
      <vt:variant>
        <vt:lpwstr>http://vbaw.vba.va.gov/BL/21/M21/content/infomap.asp?address=M21-1MRIV.ii.1.H.28.e</vt:lpwstr>
      </vt:variant>
      <vt:variant>
        <vt:lpwstr/>
      </vt:variant>
      <vt:variant>
        <vt:i4>8126553</vt:i4>
      </vt:variant>
      <vt:variant>
        <vt:i4>2322</vt:i4>
      </vt:variant>
      <vt:variant>
        <vt:i4>0</vt:i4>
      </vt:variant>
      <vt:variant>
        <vt:i4>5</vt:i4>
      </vt:variant>
      <vt:variant>
        <vt:lpwstr>http://vbaw.vba.va.gov/bl/21/publicat/Regs/Part3/3_309.htm</vt:lpwstr>
      </vt:variant>
      <vt:variant>
        <vt:lpwstr/>
      </vt:variant>
      <vt:variant>
        <vt:i4>7602221</vt:i4>
      </vt:variant>
      <vt:variant>
        <vt:i4>2319</vt:i4>
      </vt:variant>
      <vt:variant>
        <vt:i4>0</vt:i4>
      </vt:variant>
      <vt:variant>
        <vt:i4>5</vt:i4>
      </vt:variant>
      <vt:variant>
        <vt:lpwstr>http://vbaw.vba.va.gov/bl/21/publicat/Letters/FL09/FL09-007.doc</vt:lpwstr>
      </vt:variant>
      <vt:variant>
        <vt:lpwstr/>
      </vt:variant>
      <vt:variant>
        <vt:i4>6881334</vt:i4>
      </vt:variant>
      <vt:variant>
        <vt:i4>2316</vt:i4>
      </vt:variant>
      <vt:variant>
        <vt:i4>0</vt:i4>
      </vt:variant>
      <vt:variant>
        <vt:i4>5</vt:i4>
      </vt:variant>
      <vt:variant>
        <vt:lpwstr>http://vbaw.vba.va.gov/bl/21/calendar/Agenda/FY11/1211.doc</vt:lpwstr>
      </vt:variant>
      <vt:variant>
        <vt:lpwstr/>
      </vt:variant>
      <vt:variant>
        <vt:i4>7274550</vt:i4>
      </vt:variant>
      <vt:variant>
        <vt:i4>2313</vt:i4>
      </vt:variant>
      <vt:variant>
        <vt:i4>0</vt:i4>
      </vt:variant>
      <vt:variant>
        <vt:i4>5</vt:i4>
      </vt:variant>
      <vt:variant>
        <vt:lpwstr>http://vbaw.vba.va.gov/bl/21/calendar/Agenda/FY10/0510.doc</vt:lpwstr>
      </vt:variant>
      <vt:variant>
        <vt:lpwstr/>
      </vt:variant>
      <vt:variant>
        <vt:i4>6946878</vt:i4>
      </vt:variant>
      <vt:variant>
        <vt:i4>2310</vt:i4>
      </vt:variant>
      <vt:variant>
        <vt:i4>0</vt:i4>
      </vt:variant>
      <vt:variant>
        <vt:i4>5</vt:i4>
      </vt:variant>
      <vt:variant>
        <vt:lpwstr>http://vbaw.vba.va.gov/bl/21/calendar/agenda/FY09/0809.doc</vt:lpwstr>
      </vt:variant>
      <vt:variant>
        <vt:lpwstr/>
      </vt:variant>
      <vt:variant>
        <vt:i4>8126579</vt:i4>
      </vt:variant>
      <vt:variant>
        <vt:i4>2307</vt:i4>
      </vt:variant>
      <vt:variant>
        <vt:i4>0</vt:i4>
      </vt:variant>
      <vt:variant>
        <vt:i4>5</vt:i4>
      </vt:variant>
      <vt:variant>
        <vt:lpwstr>http://vbaw.vba.va.gov/BL/21/M21/content/infomap.asp?address=M21-1MRIV.ii.2.C.10.r</vt:lpwstr>
      </vt:variant>
      <vt:variant>
        <vt:lpwstr>M21-1MRIV.ii.2.C.10.r</vt:lpwstr>
      </vt:variant>
      <vt:variant>
        <vt:i4>5570575</vt:i4>
      </vt:variant>
      <vt:variant>
        <vt:i4>2304</vt:i4>
      </vt:variant>
      <vt:variant>
        <vt:i4>0</vt:i4>
      </vt:variant>
      <vt:variant>
        <vt:i4>5</vt:i4>
      </vt:variant>
      <vt:variant>
        <vt:lpwstr>http://vbaw.vba.va.gov/bl/21/publicat/Letters/FL09/FL09-020E.doc</vt:lpwstr>
      </vt:variant>
      <vt:variant>
        <vt:lpwstr/>
      </vt:variant>
      <vt:variant>
        <vt:i4>7733290</vt:i4>
      </vt:variant>
      <vt:variant>
        <vt:i4>2301</vt:i4>
      </vt:variant>
      <vt:variant>
        <vt:i4>0</vt:i4>
      </vt:variant>
      <vt:variant>
        <vt:i4>5</vt:i4>
      </vt:variant>
      <vt:variant>
        <vt:lpwstr>http://vbaw.vba.va.gov/bl/21/publicat/Letters/FL09/FL09-020.doc</vt:lpwstr>
      </vt:variant>
      <vt:variant>
        <vt:lpwstr/>
      </vt:variant>
      <vt:variant>
        <vt:i4>8323187</vt:i4>
      </vt:variant>
      <vt:variant>
        <vt:i4>2298</vt:i4>
      </vt:variant>
      <vt:variant>
        <vt:i4>0</vt:i4>
      </vt:variant>
      <vt:variant>
        <vt:i4>5</vt:i4>
      </vt:variant>
      <vt:variant>
        <vt:lpwstr>http://vbaw.vba.va.gov/BL/21/M21/content/infomap.asp?address=M21-1MRIV.ii.2.c.10.q</vt:lpwstr>
      </vt:variant>
      <vt:variant>
        <vt:lpwstr>M21-1MRIV.ii.2.C.10.q</vt:lpwstr>
      </vt:variant>
      <vt:variant>
        <vt:i4>8192115</vt:i4>
      </vt:variant>
      <vt:variant>
        <vt:i4>2295</vt:i4>
      </vt:variant>
      <vt:variant>
        <vt:i4>0</vt:i4>
      </vt:variant>
      <vt:variant>
        <vt:i4>5</vt:i4>
      </vt:variant>
      <vt:variant>
        <vt:lpwstr>http://vbaw.vba.va.gov/BL/21/M21/content/infomap.asp?address=M21-1MRIV.ii.2.c.10.s</vt:lpwstr>
      </vt:variant>
      <vt:variant>
        <vt:lpwstr>M21-1MRIV.ii.2.C.10.s</vt:lpwstr>
      </vt:variant>
      <vt:variant>
        <vt:i4>917597</vt:i4>
      </vt:variant>
      <vt:variant>
        <vt:i4>2292</vt:i4>
      </vt:variant>
      <vt:variant>
        <vt:i4>0</vt:i4>
      </vt:variant>
      <vt:variant>
        <vt:i4>5</vt:i4>
      </vt:variant>
      <vt:variant>
        <vt:lpwstr>http://vbaw.vba.va.gov/BL/21/M21/content/infomap.asp?address=M21-1MRIV.ii.2.C.10</vt:lpwstr>
      </vt:variant>
      <vt:variant>
        <vt:lpwstr>M21-1MRIV.ii.2.C.10.m</vt:lpwstr>
      </vt:variant>
      <vt:variant>
        <vt:i4>917597</vt:i4>
      </vt:variant>
      <vt:variant>
        <vt:i4>2289</vt:i4>
      </vt:variant>
      <vt:variant>
        <vt:i4>0</vt:i4>
      </vt:variant>
      <vt:variant>
        <vt:i4>5</vt:i4>
      </vt:variant>
      <vt:variant>
        <vt:lpwstr>http://vbaw.vba.va.gov/BL/21/M21/content/infomap.asp?address=M21-1MRIV.ii.2.C.10</vt:lpwstr>
      </vt:variant>
      <vt:variant>
        <vt:lpwstr>M21-1MRIV.ii.2.C.10.l</vt:lpwstr>
      </vt:variant>
      <vt:variant>
        <vt:i4>6357107</vt:i4>
      </vt:variant>
      <vt:variant>
        <vt:i4>2286</vt:i4>
      </vt:variant>
      <vt:variant>
        <vt:i4>0</vt:i4>
      </vt:variant>
      <vt:variant>
        <vt:i4>5</vt:i4>
      </vt:variant>
      <vt:variant>
        <vt:lpwstr>http://vbaw.vba.va.gov/BL/21/M21/content/infomap.asp?address=M21-1MRIV.ii.2.c.10.o</vt:lpwstr>
      </vt:variant>
      <vt:variant>
        <vt:lpwstr>M21-1MRIV.ii.2.C.10.o</vt:lpwstr>
      </vt:variant>
      <vt:variant>
        <vt:i4>2359411</vt:i4>
      </vt:variant>
      <vt:variant>
        <vt:i4>2283</vt:i4>
      </vt:variant>
      <vt:variant>
        <vt:i4>0</vt:i4>
      </vt:variant>
      <vt:variant>
        <vt:i4>5</vt:i4>
      </vt:variant>
      <vt:variant>
        <vt:lpwstr>http://vbaw.vba.va.gov/bl/21/calendar/Agenda/FY11/0911a.doc</vt:lpwstr>
      </vt:variant>
      <vt:variant>
        <vt:lpwstr/>
      </vt:variant>
      <vt:variant>
        <vt:i4>7077997</vt:i4>
      </vt:variant>
      <vt:variant>
        <vt:i4>2280</vt:i4>
      </vt:variant>
      <vt:variant>
        <vt:i4>0</vt:i4>
      </vt:variant>
      <vt:variant>
        <vt:i4>5</vt:i4>
      </vt:variant>
      <vt:variant>
        <vt:lpwstr>http://vbaw.vba.va.gov/BL/21/M21/content/infomap.asp?address=M21-1MRIV.ii.2.C.10.p</vt:lpwstr>
      </vt:variant>
      <vt:variant>
        <vt:lpwstr/>
      </vt:variant>
      <vt:variant>
        <vt:i4>6488119</vt:i4>
      </vt:variant>
      <vt:variant>
        <vt:i4>2277</vt:i4>
      </vt:variant>
      <vt:variant>
        <vt:i4>0</vt:i4>
      </vt:variant>
      <vt:variant>
        <vt:i4>5</vt:i4>
      </vt:variant>
      <vt:variant>
        <vt:lpwstr>http://vbaw.vba.va.gov/bl/21/calendar/Agenda/FY11/0811.doc</vt:lpwstr>
      </vt:variant>
      <vt:variant>
        <vt:lpwstr/>
      </vt:variant>
      <vt:variant>
        <vt:i4>7274550</vt:i4>
      </vt:variant>
      <vt:variant>
        <vt:i4>2274</vt:i4>
      </vt:variant>
      <vt:variant>
        <vt:i4>0</vt:i4>
      </vt:variant>
      <vt:variant>
        <vt:i4>5</vt:i4>
      </vt:variant>
      <vt:variant>
        <vt:lpwstr>http://vbaw.vba.va.gov/bl/21/calendar/Agenda/FY10/0510.doc</vt:lpwstr>
      </vt:variant>
      <vt:variant>
        <vt:lpwstr/>
      </vt:variant>
      <vt:variant>
        <vt:i4>6946878</vt:i4>
      </vt:variant>
      <vt:variant>
        <vt:i4>2271</vt:i4>
      </vt:variant>
      <vt:variant>
        <vt:i4>0</vt:i4>
      </vt:variant>
      <vt:variant>
        <vt:i4>5</vt:i4>
      </vt:variant>
      <vt:variant>
        <vt:lpwstr>http://vbaw.vba.va.gov/bl/21/calendar/agenda/FY09/0809.doc</vt:lpwstr>
      </vt:variant>
      <vt:variant>
        <vt:lpwstr/>
      </vt:variant>
      <vt:variant>
        <vt:i4>8257651</vt:i4>
      </vt:variant>
      <vt:variant>
        <vt:i4>2268</vt:i4>
      </vt:variant>
      <vt:variant>
        <vt:i4>0</vt:i4>
      </vt:variant>
      <vt:variant>
        <vt:i4>5</vt:i4>
      </vt:variant>
      <vt:variant>
        <vt:lpwstr>http://vbaw.vba.va.gov/BL/21/M21/content/infomap.asp?address=M21-1MRIV.ii.2.c.10.p</vt:lpwstr>
      </vt:variant>
      <vt:variant>
        <vt:lpwstr>M21-1MRIV.ii.2.C.10.p</vt:lpwstr>
      </vt:variant>
      <vt:variant>
        <vt:i4>2883699</vt:i4>
      </vt:variant>
      <vt:variant>
        <vt:i4>2265</vt:i4>
      </vt:variant>
      <vt:variant>
        <vt:i4>0</vt:i4>
      </vt:variant>
      <vt:variant>
        <vt:i4>5</vt:i4>
      </vt:variant>
      <vt:variant>
        <vt:lpwstr>http://vbaw.vba.va.gov/bl/21/calendar/Agenda/FY10/1010a.doc</vt:lpwstr>
      </vt:variant>
      <vt:variant>
        <vt:lpwstr/>
      </vt:variant>
      <vt:variant>
        <vt:i4>7929894</vt:i4>
      </vt:variant>
      <vt:variant>
        <vt:i4>2262</vt:i4>
      </vt:variant>
      <vt:variant>
        <vt:i4>0</vt:i4>
      </vt:variant>
      <vt:variant>
        <vt:i4>5</vt:i4>
      </vt:variant>
      <vt:variant>
        <vt:lpwstr>http://vbaw.vba.va.gov/bl/21/publicat/Letters/FL04/FL04-001.doc</vt:lpwstr>
      </vt:variant>
      <vt:variant>
        <vt:lpwstr/>
      </vt:variant>
      <vt:variant>
        <vt:i4>3211370</vt:i4>
      </vt:variant>
      <vt:variant>
        <vt:i4>2259</vt:i4>
      </vt:variant>
      <vt:variant>
        <vt:i4>0</vt:i4>
      </vt:variant>
      <vt:variant>
        <vt:i4>5</vt:i4>
      </vt:variant>
      <vt:variant>
        <vt:lpwstr>http://vbaw.vba.va.gov/bl/21/publicat/Letters/Other/AoKorea.doc</vt:lpwstr>
      </vt:variant>
      <vt:variant>
        <vt:lpwstr/>
      </vt:variant>
      <vt:variant>
        <vt:i4>8257651</vt:i4>
      </vt:variant>
      <vt:variant>
        <vt:i4>2255</vt:i4>
      </vt:variant>
      <vt:variant>
        <vt:i4>0</vt:i4>
      </vt:variant>
      <vt:variant>
        <vt:i4>5</vt:i4>
      </vt:variant>
      <vt:variant>
        <vt:lpwstr>http://vbaw.vba.va.gov/BL/21/M21/content/infomap.asp?address=M21-1MRIV.ii.2.c.10.p</vt:lpwstr>
      </vt:variant>
      <vt:variant>
        <vt:lpwstr>M21-1MRIV.ii.2.C.10.p</vt:lpwstr>
      </vt:variant>
      <vt:variant>
        <vt:i4>7536749</vt:i4>
      </vt:variant>
      <vt:variant>
        <vt:i4>2253</vt:i4>
      </vt:variant>
      <vt:variant>
        <vt:i4>0</vt:i4>
      </vt:variant>
      <vt:variant>
        <vt:i4>5</vt:i4>
      </vt:variant>
      <vt:variant>
        <vt:lpwstr>http://vbaw.vba.va.gov/BL/21/M21/content/infomap.asp?address=M21-1MRIV.ii.2.c.10.o</vt:lpwstr>
      </vt:variant>
      <vt:variant>
        <vt:lpwstr/>
      </vt:variant>
      <vt:variant>
        <vt:i4>6291571</vt:i4>
      </vt:variant>
      <vt:variant>
        <vt:i4>2249</vt:i4>
      </vt:variant>
      <vt:variant>
        <vt:i4>0</vt:i4>
      </vt:variant>
      <vt:variant>
        <vt:i4>5</vt:i4>
      </vt:variant>
      <vt:variant>
        <vt:lpwstr>http://vbaw.vba.va.gov/BL/21/M21/content/infomap.asp?address=M21-1MRIV.ii.2.c.10.n</vt:lpwstr>
      </vt:variant>
      <vt:variant>
        <vt:lpwstr>M21-1MRIV.ii.2.C.10.o</vt:lpwstr>
      </vt:variant>
      <vt:variant>
        <vt:i4>2359302</vt:i4>
      </vt:variant>
      <vt:variant>
        <vt:i4>2247</vt:i4>
      </vt:variant>
      <vt:variant>
        <vt:i4>0</vt:i4>
      </vt:variant>
      <vt:variant>
        <vt:i4>5</vt:i4>
      </vt:variant>
      <vt:variant>
        <vt:lpwstr>http://vbaw.vba.va.gov/bl/21/M21-1MR/pt04/sp02/ch02/pt04_sp02_ch02_secC.xml</vt:lpwstr>
      </vt:variant>
      <vt:variant>
        <vt:lpwstr>IV.ii.2.C.10.l</vt:lpwstr>
      </vt:variant>
      <vt:variant>
        <vt:i4>3014761</vt:i4>
      </vt:variant>
      <vt:variant>
        <vt:i4>2244</vt:i4>
      </vt:variant>
      <vt:variant>
        <vt:i4>0</vt:i4>
      </vt:variant>
      <vt:variant>
        <vt:i4>5</vt:i4>
      </vt:variant>
      <vt:variant>
        <vt:lpwstr>http://vbaw.vba.va.gov/BL/21/M21/content/infomap.asp?address=M21-1MRIII.iii.2.E.33</vt:lpwstr>
      </vt:variant>
      <vt:variant>
        <vt:lpwstr/>
      </vt:variant>
      <vt:variant>
        <vt:i4>1966147</vt:i4>
      </vt:variant>
      <vt:variant>
        <vt:i4>2241</vt:i4>
      </vt:variant>
      <vt:variant>
        <vt:i4>0</vt:i4>
      </vt:variant>
      <vt:variant>
        <vt:i4>5</vt:i4>
      </vt:variant>
      <vt:variant>
        <vt:lpwstr>http://vbaw.vba.va.gov/BL/21/M21/content/infomap.asp?address=M21-1MRIV.ii.2.C.12</vt:lpwstr>
      </vt:variant>
      <vt:variant>
        <vt:lpwstr/>
      </vt:variant>
      <vt:variant>
        <vt:i4>1900611</vt:i4>
      </vt:variant>
      <vt:variant>
        <vt:i4>2238</vt:i4>
      </vt:variant>
      <vt:variant>
        <vt:i4>0</vt:i4>
      </vt:variant>
      <vt:variant>
        <vt:i4>5</vt:i4>
      </vt:variant>
      <vt:variant>
        <vt:lpwstr>http://vbaw.vba.va.gov/BL/21/M21/content/infomap.asp?address=M21-1MRIV.ii.2.C.11</vt:lpwstr>
      </vt:variant>
      <vt:variant>
        <vt:lpwstr/>
      </vt:variant>
      <vt:variant>
        <vt:i4>6750270</vt:i4>
      </vt:variant>
      <vt:variant>
        <vt:i4>2235</vt:i4>
      </vt:variant>
      <vt:variant>
        <vt:i4>0</vt:i4>
      </vt:variant>
      <vt:variant>
        <vt:i4>5</vt:i4>
      </vt:variant>
      <vt:variant>
        <vt:lpwstr>http://cptraining.vba.va.gov/C&amp;P_Training/RVSR/RVSR_Tng_Curr_Entry.htm</vt:lpwstr>
      </vt:variant>
      <vt:variant>
        <vt:lpwstr/>
      </vt:variant>
      <vt:variant>
        <vt:i4>6750270</vt:i4>
      </vt:variant>
      <vt:variant>
        <vt:i4>2232</vt:i4>
      </vt:variant>
      <vt:variant>
        <vt:i4>0</vt:i4>
      </vt:variant>
      <vt:variant>
        <vt:i4>5</vt:i4>
      </vt:variant>
      <vt:variant>
        <vt:lpwstr>http://cptraining.vba.va.gov/C&amp;P_Training/RVSR/RVSR_Tng_Curr_Entry.htm</vt:lpwstr>
      </vt:variant>
      <vt:variant>
        <vt:lpwstr/>
      </vt:variant>
      <vt:variant>
        <vt:i4>4522109</vt:i4>
      </vt:variant>
      <vt:variant>
        <vt:i4>2229</vt:i4>
      </vt:variant>
      <vt:variant>
        <vt:i4>0</vt:i4>
      </vt:variant>
      <vt:variant>
        <vt:i4>5</vt:i4>
      </vt:variant>
      <vt:variant>
        <vt:lpwstr>http://vbaw.vba.va.gov/bl/21/M21-1MR/index.asp?id=pt04_sp02_ch02_secC.xml</vt:lpwstr>
      </vt:variant>
      <vt:variant>
        <vt:lpwstr>IV.ii.2.C.10.l</vt:lpwstr>
      </vt:variant>
      <vt:variant>
        <vt:i4>7798893</vt:i4>
      </vt:variant>
      <vt:variant>
        <vt:i4>2226</vt:i4>
      </vt:variant>
      <vt:variant>
        <vt:i4>0</vt:i4>
      </vt:variant>
      <vt:variant>
        <vt:i4>5</vt:i4>
      </vt:variant>
      <vt:variant>
        <vt:lpwstr>http://vbaw.vba.va.gov/BL/21/M21/content/infomap.asp?address=M21-1MRIV.ii.2.C.10.k</vt:lpwstr>
      </vt:variant>
      <vt:variant>
        <vt:lpwstr/>
      </vt:variant>
      <vt:variant>
        <vt:i4>8192102</vt:i4>
      </vt:variant>
      <vt:variant>
        <vt:i4>2223</vt:i4>
      </vt:variant>
      <vt:variant>
        <vt:i4>0</vt:i4>
      </vt:variant>
      <vt:variant>
        <vt:i4>5</vt:i4>
      </vt:variant>
      <vt:variant>
        <vt:lpwstr>http://vbaw.vba.va.gov/BL/21/M21/content/infomap.asp?address=M21-1MRIV.ii.1.H.28.i</vt:lpwstr>
      </vt:variant>
      <vt:variant>
        <vt:lpwstr/>
      </vt:variant>
      <vt:variant>
        <vt:i4>8126566</vt:i4>
      </vt:variant>
      <vt:variant>
        <vt:i4>2220</vt:i4>
      </vt:variant>
      <vt:variant>
        <vt:i4>0</vt:i4>
      </vt:variant>
      <vt:variant>
        <vt:i4>5</vt:i4>
      </vt:variant>
      <vt:variant>
        <vt:lpwstr>http://vbaw.vba.va.gov/BL/21/M21/content/infomap.asp?address=M21-1MRIV.ii.1.H.28.h</vt:lpwstr>
      </vt:variant>
      <vt:variant>
        <vt:lpwstr/>
      </vt:variant>
      <vt:variant>
        <vt:i4>1835075</vt:i4>
      </vt:variant>
      <vt:variant>
        <vt:i4>2217</vt:i4>
      </vt:variant>
      <vt:variant>
        <vt:i4>0</vt:i4>
      </vt:variant>
      <vt:variant>
        <vt:i4>5</vt:i4>
      </vt:variant>
      <vt:variant>
        <vt:lpwstr>http://vbaw.vba.va.gov/BL/21/M21/content/infomap.asp?address=M21-1MRIV.ii.2.C.10</vt:lpwstr>
      </vt:variant>
      <vt:variant>
        <vt:lpwstr/>
      </vt:variant>
      <vt:variant>
        <vt:i4>8192102</vt:i4>
      </vt:variant>
      <vt:variant>
        <vt:i4>2214</vt:i4>
      </vt:variant>
      <vt:variant>
        <vt:i4>0</vt:i4>
      </vt:variant>
      <vt:variant>
        <vt:i4>5</vt:i4>
      </vt:variant>
      <vt:variant>
        <vt:lpwstr>http://vbaw.vba.va.gov/BL/21/M21/content/infomap.asp?address=M21-1MRIV.ii.1.H.28.i</vt:lpwstr>
      </vt:variant>
      <vt:variant>
        <vt:lpwstr/>
      </vt:variant>
      <vt:variant>
        <vt:i4>8126566</vt:i4>
      </vt:variant>
      <vt:variant>
        <vt:i4>2211</vt:i4>
      </vt:variant>
      <vt:variant>
        <vt:i4>0</vt:i4>
      </vt:variant>
      <vt:variant>
        <vt:i4>5</vt:i4>
      </vt:variant>
      <vt:variant>
        <vt:lpwstr>http://vbaw.vba.va.gov/BL/21/M21/content/infomap.asp?address=M21-1MRIV.ii.1.H.28.h</vt:lpwstr>
      </vt:variant>
      <vt:variant>
        <vt:lpwstr/>
      </vt:variant>
      <vt:variant>
        <vt:i4>5832731</vt:i4>
      </vt:variant>
      <vt:variant>
        <vt:i4>2208</vt:i4>
      </vt:variant>
      <vt:variant>
        <vt:i4>0</vt:i4>
      </vt:variant>
      <vt:variant>
        <vt:i4>5</vt:i4>
      </vt:variant>
      <vt:variant>
        <vt:lpwstr>http://vbaw.vba.va.gov/bl/21/M21-1MR/pt04/ts_field/pt04_sp02_ch02_secC_field_07-13-09.doc</vt:lpwstr>
      </vt:variant>
      <vt:variant>
        <vt:lpwstr/>
      </vt:variant>
      <vt:variant>
        <vt:i4>1310792</vt:i4>
      </vt:variant>
      <vt:variant>
        <vt:i4>2205</vt:i4>
      </vt:variant>
      <vt:variant>
        <vt:i4>0</vt:i4>
      </vt:variant>
      <vt:variant>
        <vt:i4>5</vt:i4>
      </vt:variant>
      <vt:variant>
        <vt:lpwstr>http://vbaw.vba.va.gov/BL/21/M21/content/infomap.asp?address=M21-1MRIV.ii.1.H.28</vt:lpwstr>
      </vt:variant>
      <vt:variant>
        <vt:lpwstr/>
      </vt:variant>
      <vt:variant>
        <vt:i4>7733357</vt:i4>
      </vt:variant>
      <vt:variant>
        <vt:i4>2202</vt:i4>
      </vt:variant>
      <vt:variant>
        <vt:i4>0</vt:i4>
      </vt:variant>
      <vt:variant>
        <vt:i4>5</vt:i4>
      </vt:variant>
      <vt:variant>
        <vt:lpwstr>http://vbaw.vba.va.gov/BL/21/M21/content/infomap.asp?address=M21-1MRIV.ii.2.C.10.j</vt:lpwstr>
      </vt:variant>
      <vt:variant>
        <vt:lpwstr/>
      </vt:variant>
      <vt:variant>
        <vt:i4>8126496</vt:i4>
      </vt:variant>
      <vt:variant>
        <vt:i4>2199</vt:i4>
      </vt:variant>
      <vt:variant>
        <vt:i4>0</vt:i4>
      </vt:variant>
      <vt:variant>
        <vt:i4>5</vt:i4>
      </vt:variant>
      <vt:variant>
        <vt:lpwstr>http://vbaw.vba.va.gov/bl/21/publicat/Letters/FL03/FL03-020.doc</vt:lpwstr>
      </vt:variant>
      <vt:variant>
        <vt:lpwstr/>
      </vt:variant>
      <vt:variant>
        <vt:i4>7995491</vt:i4>
      </vt:variant>
      <vt:variant>
        <vt:i4>2196</vt:i4>
      </vt:variant>
      <vt:variant>
        <vt:i4>0</vt:i4>
      </vt:variant>
      <vt:variant>
        <vt:i4>5</vt:i4>
      </vt:variant>
      <vt:variant>
        <vt:lpwstr/>
      </vt:variant>
      <vt:variant>
        <vt:lpwstr>Nehmer</vt:lpwstr>
      </vt:variant>
      <vt:variant>
        <vt:i4>7995491</vt:i4>
      </vt:variant>
      <vt:variant>
        <vt:i4>2193</vt:i4>
      </vt:variant>
      <vt:variant>
        <vt:i4>0</vt:i4>
      </vt:variant>
      <vt:variant>
        <vt:i4>5</vt:i4>
      </vt:variant>
      <vt:variant>
        <vt:lpwstr/>
      </vt:variant>
      <vt:variant>
        <vt:lpwstr>Nehmer</vt:lpwstr>
      </vt:variant>
      <vt:variant>
        <vt:i4>2621440</vt:i4>
      </vt:variant>
      <vt:variant>
        <vt:i4>2190</vt:i4>
      </vt:variant>
      <vt:variant>
        <vt:i4>0</vt:i4>
      </vt:variant>
      <vt:variant>
        <vt:i4>5</vt:i4>
      </vt:variant>
      <vt:variant>
        <vt:lpwstr>http://vbaw.vba.va.gov/bl/21/publicat/Regs/Part4/4_124a.htm</vt:lpwstr>
      </vt:variant>
      <vt:variant>
        <vt:lpwstr>8004</vt:lpwstr>
      </vt:variant>
      <vt:variant>
        <vt:i4>7995491</vt:i4>
      </vt:variant>
      <vt:variant>
        <vt:i4>2187</vt:i4>
      </vt:variant>
      <vt:variant>
        <vt:i4>0</vt:i4>
      </vt:variant>
      <vt:variant>
        <vt:i4>5</vt:i4>
      </vt:variant>
      <vt:variant>
        <vt:lpwstr/>
      </vt:variant>
      <vt:variant>
        <vt:lpwstr>Nehmer</vt:lpwstr>
      </vt:variant>
      <vt:variant>
        <vt:i4>8192034</vt:i4>
      </vt:variant>
      <vt:variant>
        <vt:i4>2184</vt:i4>
      </vt:variant>
      <vt:variant>
        <vt:i4>0</vt:i4>
      </vt:variant>
      <vt:variant>
        <vt:i4>5</vt:i4>
      </vt:variant>
      <vt:variant>
        <vt:lpwstr>http://vbaw.vba.va.gov/bl/21/publicat/Letters/FL11/FL11-001.doc</vt:lpwstr>
      </vt:variant>
      <vt:variant>
        <vt:lpwstr/>
      </vt:variant>
      <vt:variant>
        <vt:i4>7929889</vt:i4>
      </vt:variant>
      <vt:variant>
        <vt:i4>2181</vt:i4>
      </vt:variant>
      <vt:variant>
        <vt:i4>0</vt:i4>
      </vt:variant>
      <vt:variant>
        <vt:i4>5</vt:i4>
      </vt:variant>
      <vt:variant>
        <vt:lpwstr>http://vbaw.vba.va.gov/bl/21/publicat/Letters/FL10/FL10-053.doc</vt:lpwstr>
      </vt:variant>
      <vt:variant>
        <vt:lpwstr/>
      </vt:variant>
      <vt:variant>
        <vt:i4>7929889</vt:i4>
      </vt:variant>
      <vt:variant>
        <vt:i4>2178</vt:i4>
      </vt:variant>
      <vt:variant>
        <vt:i4>0</vt:i4>
      </vt:variant>
      <vt:variant>
        <vt:i4>5</vt:i4>
      </vt:variant>
      <vt:variant>
        <vt:lpwstr>http://vbaw.vba.va.gov/bl/21/publicat/Letters/FL10/FL10-053.doc</vt:lpwstr>
      </vt:variant>
      <vt:variant>
        <vt:lpwstr/>
      </vt:variant>
      <vt:variant>
        <vt:i4>6422628</vt:i4>
      </vt:variant>
      <vt:variant>
        <vt:i4>2175</vt:i4>
      </vt:variant>
      <vt:variant>
        <vt:i4>0</vt:i4>
      </vt:variant>
      <vt:variant>
        <vt:i4>5</vt:i4>
      </vt:variant>
      <vt:variant>
        <vt:lpwstr>http://vbaw.vba.va.gov/bl/21/publicat/Letters/TrngLtrs/TL10-04.doc</vt:lpwstr>
      </vt:variant>
      <vt:variant>
        <vt:lpwstr/>
      </vt:variant>
      <vt:variant>
        <vt:i4>7405610</vt:i4>
      </vt:variant>
      <vt:variant>
        <vt:i4>2172</vt:i4>
      </vt:variant>
      <vt:variant>
        <vt:i4>0</vt:i4>
      </vt:variant>
      <vt:variant>
        <vt:i4>5</vt:i4>
      </vt:variant>
      <vt:variant>
        <vt:lpwstr>http://vbaw.vba.va.gov/bl/21/publicat/Letters/FL09/FL09-050.doc</vt:lpwstr>
      </vt:variant>
      <vt:variant>
        <vt:lpwstr/>
      </vt:variant>
      <vt:variant>
        <vt:i4>7995491</vt:i4>
      </vt:variant>
      <vt:variant>
        <vt:i4>2169</vt:i4>
      </vt:variant>
      <vt:variant>
        <vt:i4>0</vt:i4>
      </vt:variant>
      <vt:variant>
        <vt:i4>5</vt:i4>
      </vt:variant>
      <vt:variant>
        <vt:lpwstr/>
      </vt:variant>
      <vt:variant>
        <vt:lpwstr>Nehmer</vt:lpwstr>
      </vt:variant>
      <vt:variant>
        <vt:i4>7340073</vt:i4>
      </vt:variant>
      <vt:variant>
        <vt:i4>2166</vt:i4>
      </vt:variant>
      <vt:variant>
        <vt:i4>0</vt:i4>
      </vt:variant>
      <vt:variant>
        <vt:i4>5</vt:i4>
      </vt:variant>
      <vt:variant>
        <vt:lpwstr>http://vbaw.vba.va.gov/bl/21/publicat/Letters/FL09/FL09-043.doc</vt:lpwstr>
      </vt:variant>
      <vt:variant>
        <vt:lpwstr/>
      </vt:variant>
      <vt:variant>
        <vt:i4>7733293</vt:i4>
      </vt:variant>
      <vt:variant>
        <vt:i4>2163</vt:i4>
      </vt:variant>
      <vt:variant>
        <vt:i4>0</vt:i4>
      </vt:variant>
      <vt:variant>
        <vt:i4>5</vt:i4>
      </vt:variant>
      <vt:variant>
        <vt:lpwstr>http://vbaw.vba.va.gov/bl/21/publicat/Letters/FL09/FL09-027.doc</vt:lpwstr>
      </vt:variant>
      <vt:variant>
        <vt:lpwstr/>
      </vt:variant>
      <vt:variant>
        <vt:i4>7995491</vt:i4>
      </vt:variant>
      <vt:variant>
        <vt:i4>2160</vt:i4>
      </vt:variant>
      <vt:variant>
        <vt:i4>0</vt:i4>
      </vt:variant>
      <vt:variant>
        <vt:i4>5</vt:i4>
      </vt:variant>
      <vt:variant>
        <vt:lpwstr/>
      </vt:variant>
      <vt:variant>
        <vt:lpwstr>Nehmer</vt:lpwstr>
      </vt:variant>
      <vt:variant>
        <vt:i4>6422626</vt:i4>
      </vt:variant>
      <vt:variant>
        <vt:i4>2157</vt:i4>
      </vt:variant>
      <vt:variant>
        <vt:i4>0</vt:i4>
      </vt:variant>
      <vt:variant>
        <vt:i4>5</vt:i4>
      </vt:variant>
      <vt:variant>
        <vt:lpwstr>http://vbaw.vba.va.gov/bl/21/publicat/letters/TrngLtrs/TL06-05.doc</vt:lpwstr>
      </vt:variant>
      <vt:variant>
        <vt:lpwstr/>
      </vt:variant>
      <vt:variant>
        <vt:i4>7995491</vt:i4>
      </vt:variant>
      <vt:variant>
        <vt:i4>2154</vt:i4>
      </vt:variant>
      <vt:variant>
        <vt:i4>0</vt:i4>
      </vt:variant>
      <vt:variant>
        <vt:i4>5</vt:i4>
      </vt:variant>
      <vt:variant>
        <vt:lpwstr/>
      </vt:variant>
      <vt:variant>
        <vt:lpwstr>Nehmer</vt:lpwstr>
      </vt:variant>
      <vt:variant>
        <vt:i4>7995491</vt:i4>
      </vt:variant>
      <vt:variant>
        <vt:i4>2151</vt:i4>
      </vt:variant>
      <vt:variant>
        <vt:i4>0</vt:i4>
      </vt:variant>
      <vt:variant>
        <vt:i4>5</vt:i4>
      </vt:variant>
      <vt:variant>
        <vt:lpwstr/>
      </vt:variant>
      <vt:variant>
        <vt:lpwstr>Nehmer</vt:lpwstr>
      </vt:variant>
      <vt:variant>
        <vt:i4>7471193</vt:i4>
      </vt:variant>
      <vt:variant>
        <vt:i4>2148</vt:i4>
      </vt:variant>
      <vt:variant>
        <vt:i4>0</vt:i4>
      </vt:variant>
      <vt:variant>
        <vt:i4>5</vt:i4>
      </vt:variant>
      <vt:variant>
        <vt:lpwstr>http://vbaw.vba.va.gov/bl/21/publicat/Regs/Part3/3_307.htm</vt:lpwstr>
      </vt:variant>
      <vt:variant>
        <vt:lpwstr/>
      </vt:variant>
      <vt:variant>
        <vt:i4>7995491</vt:i4>
      </vt:variant>
      <vt:variant>
        <vt:i4>2145</vt:i4>
      </vt:variant>
      <vt:variant>
        <vt:i4>0</vt:i4>
      </vt:variant>
      <vt:variant>
        <vt:i4>5</vt:i4>
      </vt:variant>
      <vt:variant>
        <vt:lpwstr/>
      </vt:variant>
      <vt:variant>
        <vt:lpwstr>Nehmer</vt:lpwstr>
      </vt:variant>
      <vt:variant>
        <vt:i4>7995491</vt:i4>
      </vt:variant>
      <vt:variant>
        <vt:i4>2142</vt:i4>
      </vt:variant>
      <vt:variant>
        <vt:i4>0</vt:i4>
      </vt:variant>
      <vt:variant>
        <vt:i4>5</vt:i4>
      </vt:variant>
      <vt:variant>
        <vt:lpwstr/>
      </vt:variant>
      <vt:variant>
        <vt:lpwstr>Nehmer</vt:lpwstr>
      </vt:variant>
      <vt:variant>
        <vt:i4>7995491</vt:i4>
      </vt:variant>
      <vt:variant>
        <vt:i4>2139</vt:i4>
      </vt:variant>
      <vt:variant>
        <vt:i4>0</vt:i4>
      </vt:variant>
      <vt:variant>
        <vt:i4>5</vt:i4>
      </vt:variant>
      <vt:variant>
        <vt:lpwstr/>
      </vt:variant>
      <vt:variant>
        <vt:lpwstr>Nehmer</vt:lpwstr>
      </vt:variant>
      <vt:variant>
        <vt:i4>7995491</vt:i4>
      </vt:variant>
      <vt:variant>
        <vt:i4>2136</vt:i4>
      </vt:variant>
      <vt:variant>
        <vt:i4>0</vt:i4>
      </vt:variant>
      <vt:variant>
        <vt:i4>5</vt:i4>
      </vt:variant>
      <vt:variant>
        <vt:lpwstr/>
      </vt:variant>
      <vt:variant>
        <vt:lpwstr>Nehmer</vt:lpwstr>
      </vt:variant>
      <vt:variant>
        <vt:i4>8192088</vt:i4>
      </vt:variant>
      <vt:variant>
        <vt:i4>2133</vt:i4>
      </vt:variant>
      <vt:variant>
        <vt:i4>0</vt:i4>
      </vt:variant>
      <vt:variant>
        <vt:i4>5</vt:i4>
      </vt:variant>
      <vt:variant>
        <vt:lpwstr>http://vbaw.vba.va.gov/bl/21/publicat/Regs/Part3/3_813.htm</vt:lpwstr>
      </vt:variant>
      <vt:variant>
        <vt:lpwstr/>
      </vt:variant>
      <vt:variant>
        <vt:i4>7471193</vt:i4>
      </vt:variant>
      <vt:variant>
        <vt:i4>2130</vt:i4>
      </vt:variant>
      <vt:variant>
        <vt:i4>0</vt:i4>
      </vt:variant>
      <vt:variant>
        <vt:i4>5</vt:i4>
      </vt:variant>
      <vt:variant>
        <vt:lpwstr>http://vbaw.vba.va.gov/bl/21/publicat/Regs/Part3/3_307.htm</vt:lpwstr>
      </vt:variant>
      <vt:variant>
        <vt:lpwstr/>
      </vt:variant>
      <vt:variant>
        <vt:i4>7995491</vt:i4>
      </vt:variant>
      <vt:variant>
        <vt:i4>2127</vt:i4>
      </vt:variant>
      <vt:variant>
        <vt:i4>0</vt:i4>
      </vt:variant>
      <vt:variant>
        <vt:i4>5</vt:i4>
      </vt:variant>
      <vt:variant>
        <vt:lpwstr/>
      </vt:variant>
      <vt:variant>
        <vt:lpwstr>Nehmer</vt:lpwstr>
      </vt:variant>
      <vt:variant>
        <vt:i4>7995491</vt:i4>
      </vt:variant>
      <vt:variant>
        <vt:i4>2124</vt:i4>
      </vt:variant>
      <vt:variant>
        <vt:i4>0</vt:i4>
      </vt:variant>
      <vt:variant>
        <vt:i4>5</vt:i4>
      </vt:variant>
      <vt:variant>
        <vt:lpwstr/>
      </vt:variant>
      <vt:variant>
        <vt:lpwstr>Nehmer</vt:lpwstr>
      </vt:variant>
      <vt:variant>
        <vt:i4>7995491</vt:i4>
      </vt:variant>
      <vt:variant>
        <vt:i4>2121</vt:i4>
      </vt:variant>
      <vt:variant>
        <vt:i4>0</vt:i4>
      </vt:variant>
      <vt:variant>
        <vt:i4>5</vt:i4>
      </vt:variant>
      <vt:variant>
        <vt:lpwstr/>
      </vt:variant>
      <vt:variant>
        <vt:lpwstr>Nehmer</vt:lpwstr>
      </vt:variant>
      <vt:variant>
        <vt:i4>7733336</vt:i4>
      </vt:variant>
      <vt:variant>
        <vt:i4>2118</vt:i4>
      </vt:variant>
      <vt:variant>
        <vt:i4>0</vt:i4>
      </vt:variant>
      <vt:variant>
        <vt:i4>5</vt:i4>
      </vt:variant>
      <vt:variant>
        <vt:lpwstr>http://vbaw.vba.va.gov/bl/21/publicat/Regs/Part3/3_313.htm</vt:lpwstr>
      </vt:variant>
      <vt:variant>
        <vt:lpwstr/>
      </vt:variant>
      <vt:variant>
        <vt:i4>8192088</vt:i4>
      </vt:variant>
      <vt:variant>
        <vt:i4>2115</vt:i4>
      </vt:variant>
      <vt:variant>
        <vt:i4>0</vt:i4>
      </vt:variant>
      <vt:variant>
        <vt:i4>5</vt:i4>
      </vt:variant>
      <vt:variant>
        <vt:lpwstr>http://vbaw.vba.va.gov/bl/21/publicat/Regs/Part3/3_813.htm</vt:lpwstr>
      </vt:variant>
      <vt:variant>
        <vt:lpwstr/>
      </vt:variant>
      <vt:variant>
        <vt:i4>7471193</vt:i4>
      </vt:variant>
      <vt:variant>
        <vt:i4>2112</vt:i4>
      </vt:variant>
      <vt:variant>
        <vt:i4>0</vt:i4>
      </vt:variant>
      <vt:variant>
        <vt:i4>5</vt:i4>
      </vt:variant>
      <vt:variant>
        <vt:lpwstr>http://vbaw.vba.va.gov/bl/21/publicat/Regs/Part3/3_307.htm</vt:lpwstr>
      </vt:variant>
      <vt:variant>
        <vt:lpwstr/>
      </vt:variant>
      <vt:variant>
        <vt:i4>917597</vt:i4>
      </vt:variant>
      <vt:variant>
        <vt:i4>2109</vt:i4>
      </vt:variant>
      <vt:variant>
        <vt:i4>0</vt:i4>
      </vt:variant>
      <vt:variant>
        <vt:i4>5</vt:i4>
      </vt:variant>
      <vt:variant>
        <vt:lpwstr>http://vbaw.vba.va.gov/BL/21/M21/content/infomap.asp?address=M21-1MRIV.ii.2.C.10</vt:lpwstr>
      </vt:variant>
      <vt:variant>
        <vt:lpwstr>M21-1MRIV.ii.2.C.10.i</vt:lpwstr>
      </vt:variant>
      <vt:variant>
        <vt:i4>7471193</vt:i4>
      </vt:variant>
      <vt:variant>
        <vt:i4>2106</vt:i4>
      </vt:variant>
      <vt:variant>
        <vt:i4>0</vt:i4>
      </vt:variant>
      <vt:variant>
        <vt:i4>5</vt:i4>
      </vt:variant>
      <vt:variant>
        <vt:lpwstr>http://vbaw.vba.va.gov/bl/21/publicat/Regs/Part3/3_307.htm</vt:lpwstr>
      </vt:variant>
      <vt:variant>
        <vt:lpwstr/>
      </vt:variant>
      <vt:variant>
        <vt:i4>7471193</vt:i4>
      </vt:variant>
      <vt:variant>
        <vt:i4>2103</vt:i4>
      </vt:variant>
      <vt:variant>
        <vt:i4>0</vt:i4>
      </vt:variant>
      <vt:variant>
        <vt:i4>5</vt:i4>
      </vt:variant>
      <vt:variant>
        <vt:lpwstr>http://vbaw.vba.va.gov/bl/21/publicat/Regs/Part3/3_307.htm</vt:lpwstr>
      </vt:variant>
      <vt:variant>
        <vt:lpwstr/>
      </vt:variant>
      <vt:variant>
        <vt:i4>7733350</vt:i4>
      </vt:variant>
      <vt:variant>
        <vt:i4>2100</vt:i4>
      </vt:variant>
      <vt:variant>
        <vt:i4>0</vt:i4>
      </vt:variant>
      <vt:variant>
        <vt:i4>5</vt:i4>
      </vt:variant>
      <vt:variant>
        <vt:lpwstr>http://vbaw.vba.va.gov/BL/21/M21/content/infomap.asp?address=M21-1MRIV.ii.1.H.28.b</vt:lpwstr>
      </vt:variant>
      <vt:variant>
        <vt:lpwstr/>
      </vt:variant>
      <vt:variant>
        <vt:i4>7471193</vt:i4>
      </vt:variant>
      <vt:variant>
        <vt:i4>2097</vt:i4>
      </vt:variant>
      <vt:variant>
        <vt:i4>0</vt:i4>
      </vt:variant>
      <vt:variant>
        <vt:i4>5</vt:i4>
      </vt:variant>
      <vt:variant>
        <vt:lpwstr>http://vbaw.vba.va.gov/bl/21/publicat/Regs/Part3/3_307.htm</vt:lpwstr>
      </vt:variant>
      <vt:variant>
        <vt:lpwstr/>
      </vt:variant>
      <vt:variant>
        <vt:i4>8126553</vt:i4>
      </vt:variant>
      <vt:variant>
        <vt:i4>2094</vt:i4>
      </vt:variant>
      <vt:variant>
        <vt:i4>0</vt:i4>
      </vt:variant>
      <vt:variant>
        <vt:i4>5</vt:i4>
      </vt:variant>
      <vt:variant>
        <vt:lpwstr>http://vbaw.vba.va.gov/bl/21/publicat/Regs/Part3/3_309.htm</vt:lpwstr>
      </vt:variant>
      <vt:variant>
        <vt:lpwstr/>
      </vt:variant>
      <vt:variant>
        <vt:i4>7929950</vt:i4>
      </vt:variant>
      <vt:variant>
        <vt:i4>2091</vt:i4>
      </vt:variant>
      <vt:variant>
        <vt:i4>0</vt:i4>
      </vt:variant>
      <vt:variant>
        <vt:i4>5</vt:i4>
      </vt:variant>
      <vt:variant>
        <vt:lpwstr>http://vbaw.vba.va.gov/bl/21/publicat/Regs/Part4/4_114.htm</vt:lpwstr>
      </vt:variant>
      <vt:variant>
        <vt:lpwstr>7319</vt:lpwstr>
      </vt:variant>
      <vt:variant>
        <vt:i4>7471197</vt:i4>
      </vt:variant>
      <vt:variant>
        <vt:i4>2088</vt:i4>
      </vt:variant>
      <vt:variant>
        <vt:i4>0</vt:i4>
      </vt:variant>
      <vt:variant>
        <vt:i4>5</vt:i4>
      </vt:variant>
      <vt:variant>
        <vt:lpwstr>http://vbaw.vba.va.gov/bl/21/publicat/Regs/Part4/4_114.htm</vt:lpwstr>
      </vt:variant>
      <vt:variant>
        <vt:lpwstr>7322</vt:lpwstr>
      </vt:variant>
      <vt:variant>
        <vt:i4>7471193</vt:i4>
      </vt:variant>
      <vt:variant>
        <vt:i4>2085</vt:i4>
      </vt:variant>
      <vt:variant>
        <vt:i4>0</vt:i4>
      </vt:variant>
      <vt:variant>
        <vt:i4>5</vt:i4>
      </vt:variant>
      <vt:variant>
        <vt:lpwstr>http://vbaw.vba.va.gov/bl/21/publicat/Regs/Part3/3_307.htm</vt:lpwstr>
      </vt:variant>
      <vt:variant>
        <vt:lpwstr/>
      </vt:variant>
      <vt:variant>
        <vt:i4>4259903</vt:i4>
      </vt:variant>
      <vt:variant>
        <vt:i4>2082</vt:i4>
      </vt:variant>
      <vt:variant>
        <vt:i4>0</vt:i4>
      </vt:variant>
      <vt:variant>
        <vt:i4>5</vt:i4>
      </vt:variant>
      <vt:variant>
        <vt:lpwstr>http://10.220.1.4/bl/21/faq/FAQ_Answer.asp?ref=205</vt:lpwstr>
      </vt:variant>
      <vt:variant>
        <vt:lpwstr/>
      </vt:variant>
      <vt:variant>
        <vt:i4>4194366</vt:i4>
      </vt:variant>
      <vt:variant>
        <vt:i4>2079</vt:i4>
      </vt:variant>
      <vt:variant>
        <vt:i4>0</vt:i4>
      </vt:variant>
      <vt:variant>
        <vt:i4>5</vt:i4>
      </vt:variant>
      <vt:variant>
        <vt:lpwstr>http://10.220.1.4/bl/21/faq/FAQ_Answer.asp?ref=117</vt:lpwstr>
      </vt:variant>
      <vt:variant>
        <vt:lpwstr/>
      </vt:variant>
      <vt:variant>
        <vt:i4>2162771</vt:i4>
      </vt:variant>
      <vt:variant>
        <vt:i4>2076</vt:i4>
      </vt:variant>
      <vt:variant>
        <vt:i4>0</vt:i4>
      </vt:variant>
      <vt:variant>
        <vt:i4>5</vt:i4>
      </vt:variant>
      <vt:variant>
        <vt:lpwstr>http://vbaw.vba.va.gov/bl/21/M21-1MR/index.asp?id=pt04_sp02_ch02_secE.xml</vt:lpwstr>
      </vt:variant>
      <vt:variant>
        <vt:lpwstr>IV.ii.2.E.18</vt:lpwstr>
      </vt:variant>
      <vt:variant>
        <vt:i4>3014736</vt:i4>
      </vt:variant>
      <vt:variant>
        <vt:i4>2073</vt:i4>
      </vt:variant>
      <vt:variant>
        <vt:i4>0</vt:i4>
      </vt:variant>
      <vt:variant>
        <vt:i4>5</vt:i4>
      </vt:variant>
      <vt:variant>
        <vt:lpwstr>http://vbaw.vba.va.gov/bl/21/M21-1MR/index.asp?id=pt04_sp02_ch02_secF.xml</vt:lpwstr>
      </vt:variant>
      <vt:variant>
        <vt:lpwstr>IV.ii.2.F.27</vt:lpwstr>
      </vt:variant>
      <vt:variant>
        <vt:i4>3407878</vt:i4>
      </vt:variant>
      <vt:variant>
        <vt:i4>2070</vt:i4>
      </vt:variant>
      <vt:variant>
        <vt:i4>0</vt:i4>
      </vt:variant>
      <vt:variant>
        <vt:i4>5</vt:i4>
      </vt:variant>
      <vt:variant>
        <vt:lpwstr>http://vbaw.vba.va.gov/bl/21/M21-1MR/index.asp?id=pt04_sp02_ch01_secG.xml</vt:lpwstr>
      </vt:variant>
      <vt:variant>
        <vt:lpwstr>IV.ii.1.G</vt:lpwstr>
      </vt:variant>
      <vt:variant>
        <vt:i4>7798799</vt:i4>
      </vt:variant>
      <vt:variant>
        <vt:i4>2067</vt:i4>
      </vt:variant>
      <vt:variant>
        <vt:i4>0</vt:i4>
      </vt:variant>
      <vt:variant>
        <vt:i4>5</vt:i4>
      </vt:variant>
      <vt:variant>
        <vt:lpwstr>http://vbaw.vba.va.gov/bl/21/M21-1MR/index.asp?id=pt03_sp05_ch01_secC.xml</vt:lpwstr>
      </vt:variant>
      <vt:variant>
        <vt:lpwstr>III.v.1.C.12</vt:lpwstr>
      </vt:variant>
      <vt:variant>
        <vt:i4>4849779</vt:i4>
      </vt:variant>
      <vt:variant>
        <vt:i4>2064</vt:i4>
      </vt:variant>
      <vt:variant>
        <vt:i4>0</vt:i4>
      </vt:variant>
      <vt:variant>
        <vt:i4>5</vt:i4>
      </vt:variant>
      <vt:variant>
        <vt:lpwstr>http://vbaw.vba.va.gov/bl/21/M21-1MR/index.asp?id=pt03_sp04_ch03_secA.xml</vt:lpwstr>
      </vt:variant>
      <vt:variant>
        <vt:lpwstr>III.iv.3.A.c-d</vt:lpwstr>
      </vt:variant>
      <vt:variant>
        <vt:i4>1507449</vt:i4>
      </vt:variant>
      <vt:variant>
        <vt:i4>2061</vt:i4>
      </vt:variant>
      <vt:variant>
        <vt:i4>0</vt:i4>
      </vt:variant>
      <vt:variant>
        <vt:i4>5</vt:i4>
      </vt:variant>
      <vt:variant>
        <vt:lpwstr>http://vbaw.vba.va.gov/bl/21/M21-1MR/index.asp?id=pt03_sp03_ch02_secG.xml</vt:lpwstr>
      </vt:variant>
      <vt:variant>
        <vt:lpwstr>III.iii.2.G.48</vt:lpwstr>
      </vt:variant>
      <vt:variant>
        <vt:i4>393333</vt:i4>
      </vt:variant>
      <vt:variant>
        <vt:i4>2058</vt:i4>
      </vt:variant>
      <vt:variant>
        <vt:i4>0</vt:i4>
      </vt:variant>
      <vt:variant>
        <vt:i4>5</vt:i4>
      </vt:variant>
      <vt:variant>
        <vt:lpwstr>http://vbaw.vba.va.gov/bl/21/M21-1MR/index.asp?id=pt03_sp02_ch03_secB.xml</vt:lpwstr>
      </vt:variant>
      <vt:variant>
        <vt:lpwstr>III.ii.3.B.6.a</vt:lpwstr>
      </vt:variant>
      <vt:variant>
        <vt:i4>8126553</vt:i4>
      </vt:variant>
      <vt:variant>
        <vt:i4>2055</vt:i4>
      </vt:variant>
      <vt:variant>
        <vt:i4>0</vt:i4>
      </vt:variant>
      <vt:variant>
        <vt:i4>5</vt:i4>
      </vt:variant>
      <vt:variant>
        <vt:lpwstr>http://vbaw.vba.va.gov/bl/21/publicat/Regs/Part3/3_309.htm</vt:lpwstr>
      </vt:variant>
      <vt:variant>
        <vt:lpwstr/>
      </vt:variant>
      <vt:variant>
        <vt:i4>7471193</vt:i4>
      </vt:variant>
      <vt:variant>
        <vt:i4>2052</vt:i4>
      </vt:variant>
      <vt:variant>
        <vt:i4>0</vt:i4>
      </vt:variant>
      <vt:variant>
        <vt:i4>5</vt:i4>
      </vt:variant>
      <vt:variant>
        <vt:lpwstr>http://vbaw.vba.va.gov/bl/21/publicat/Regs/Part3/3_307.htm</vt:lpwstr>
      </vt:variant>
      <vt:variant>
        <vt:lpwstr/>
      </vt:variant>
      <vt:variant>
        <vt:i4>7405657</vt:i4>
      </vt:variant>
      <vt:variant>
        <vt:i4>2049</vt:i4>
      </vt:variant>
      <vt:variant>
        <vt:i4>0</vt:i4>
      </vt:variant>
      <vt:variant>
        <vt:i4>5</vt:i4>
      </vt:variant>
      <vt:variant>
        <vt:lpwstr>http://vbaw.vba.va.gov/bl/21/publicat/Regs/Part3/3_304.htm</vt:lpwstr>
      </vt:variant>
      <vt:variant>
        <vt:lpwstr/>
      </vt:variant>
      <vt:variant>
        <vt:i4>1769577</vt:i4>
      </vt:variant>
      <vt:variant>
        <vt:i4>2046</vt:i4>
      </vt:variant>
      <vt:variant>
        <vt:i4>0</vt:i4>
      </vt:variant>
      <vt:variant>
        <vt:i4>5</vt:i4>
      </vt:variant>
      <vt:variant>
        <vt:lpwstr>http://vbaw.vba.va.gov/bl/21/publicat/Regs/Part3/3_22.htm</vt:lpwstr>
      </vt:variant>
      <vt:variant>
        <vt:lpwstr/>
      </vt:variant>
      <vt:variant>
        <vt:i4>4653161</vt:i4>
      </vt:variant>
      <vt:variant>
        <vt:i4>2043</vt:i4>
      </vt:variant>
      <vt:variant>
        <vt:i4>0</vt:i4>
      </vt:variant>
      <vt:variant>
        <vt:i4>5</vt:i4>
      </vt:variant>
      <vt:variant>
        <vt:lpwstr>http://vbaw.vba.va.gov/bl/21/publicat/Regs/Part3/3_1.htm</vt:lpwstr>
      </vt:variant>
      <vt:variant>
        <vt:lpwstr/>
      </vt:variant>
      <vt:variant>
        <vt:i4>8126553</vt:i4>
      </vt:variant>
      <vt:variant>
        <vt:i4>2040</vt:i4>
      </vt:variant>
      <vt:variant>
        <vt:i4>0</vt:i4>
      </vt:variant>
      <vt:variant>
        <vt:i4>5</vt:i4>
      </vt:variant>
      <vt:variant>
        <vt:lpwstr>http://vbaw.vba.va.gov/bl/21/publicat/Regs/Part3/3_309.htm</vt:lpwstr>
      </vt:variant>
      <vt:variant>
        <vt:lpwstr/>
      </vt:variant>
      <vt:variant>
        <vt:i4>7471197</vt:i4>
      </vt:variant>
      <vt:variant>
        <vt:i4>2037</vt:i4>
      </vt:variant>
      <vt:variant>
        <vt:i4>0</vt:i4>
      </vt:variant>
      <vt:variant>
        <vt:i4>5</vt:i4>
      </vt:variant>
      <vt:variant>
        <vt:lpwstr>http://vbaw.vba.va.gov/bl/21/publicat/Regs/Part4/4_114.htm</vt:lpwstr>
      </vt:variant>
      <vt:variant>
        <vt:lpwstr>7322</vt:lpwstr>
      </vt:variant>
      <vt:variant>
        <vt:i4>7471193</vt:i4>
      </vt:variant>
      <vt:variant>
        <vt:i4>2034</vt:i4>
      </vt:variant>
      <vt:variant>
        <vt:i4>0</vt:i4>
      </vt:variant>
      <vt:variant>
        <vt:i4>5</vt:i4>
      </vt:variant>
      <vt:variant>
        <vt:lpwstr>http://vbaw.vba.va.gov/bl/21/publicat/Regs/Part3/3_307.htm</vt:lpwstr>
      </vt:variant>
      <vt:variant>
        <vt:lpwstr/>
      </vt:variant>
      <vt:variant>
        <vt:i4>8257628</vt:i4>
      </vt:variant>
      <vt:variant>
        <vt:i4>2031</vt:i4>
      </vt:variant>
      <vt:variant>
        <vt:i4>0</vt:i4>
      </vt:variant>
      <vt:variant>
        <vt:i4>5</vt:i4>
      </vt:variant>
      <vt:variant>
        <vt:lpwstr>http://vbaw.vba.va.gov/bl/21/M21-1MR/index.asp?id=pt03_sp04_ch04_secC.xml</vt:lpwstr>
      </vt:variant>
      <vt:variant>
        <vt:lpwstr>III.iv.4.C.14</vt:lpwstr>
      </vt:variant>
      <vt:variant>
        <vt:i4>1638498</vt:i4>
      </vt:variant>
      <vt:variant>
        <vt:i4>2028</vt:i4>
      </vt:variant>
      <vt:variant>
        <vt:i4>0</vt:i4>
      </vt:variant>
      <vt:variant>
        <vt:i4>5</vt:i4>
      </vt:variant>
      <vt:variant>
        <vt:lpwstr>http://vbaw.vba.va.gov/bl/21/M21-1MR/index.asp?id=pt04_sp02_ch02_secB.xml</vt:lpwstr>
      </vt:variant>
      <vt:variant>
        <vt:lpwstr>IV.ii.2.B.3</vt:lpwstr>
      </vt:variant>
      <vt:variant>
        <vt:i4>2949203</vt:i4>
      </vt:variant>
      <vt:variant>
        <vt:i4>2025</vt:i4>
      </vt:variant>
      <vt:variant>
        <vt:i4>0</vt:i4>
      </vt:variant>
      <vt:variant>
        <vt:i4>5</vt:i4>
      </vt:variant>
      <vt:variant>
        <vt:lpwstr>http://vbaw.vba.va.gov/bl/21/M21-1MR/index.asp?id=pt04_sp02_ch01_secH.xml</vt:lpwstr>
      </vt:variant>
      <vt:variant>
        <vt:lpwstr>IV.ii.1.H.27</vt:lpwstr>
      </vt:variant>
      <vt:variant>
        <vt:i4>8192089</vt:i4>
      </vt:variant>
      <vt:variant>
        <vt:i4>2022</vt:i4>
      </vt:variant>
      <vt:variant>
        <vt:i4>0</vt:i4>
      </vt:variant>
      <vt:variant>
        <vt:i4>5</vt:i4>
      </vt:variant>
      <vt:variant>
        <vt:lpwstr>http://vbaw.vba.va.gov/bl/21/publicat/Regs/Part3/3_308.htm</vt:lpwstr>
      </vt:variant>
      <vt:variant>
        <vt:lpwstr/>
      </vt:variant>
      <vt:variant>
        <vt:i4>7471193</vt:i4>
      </vt:variant>
      <vt:variant>
        <vt:i4>2019</vt:i4>
      </vt:variant>
      <vt:variant>
        <vt:i4>0</vt:i4>
      </vt:variant>
      <vt:variant>
        <vt:i4>5</vt:i4>
      </vt:variant>
      <vt:variant>
        <vt:lpwstr>http://vbaw.vba.va.gov/bl/21/publicat/Regs/Part3/3_307.htm</vt:lpwstr>
      </vt:variant>
      <vt:variant>
        <vt:lpwstr/>
      </vt:variant>
      <vt:variant>
        <vt:i4>8126553</vt:i4>
      </vt:variant>
      <vt:variant>
        <vt:i4>2016</vt:i4>
      </vt:variant>
      <vt:variant>
        <vt:i4>0</vt:i4>
      </vt:variant>
      <vt:variant>
        <vt:i4>5</vt:i4>
      </vt:variant>
      <vt:variant>
        <vt:lpwstr>http://vbaw.vba.va.gov/bl/21/publicat/Regs/Part3/3_309.htm</vt:lpwstr>
      </vt:variant>
      <vt:variant>
        <vt:lpwstr/>
      </vt:variant>
      <vt:variant>
        <vt:i4>3604563</vt:i4>
      </vt:variant>
      <vt:variant>
        <vt:i4>2013</vt:i4>
      </vt:variant>
      <vt:variant>
        <vt:i4>0</vt:i4>
      </vt:variant>
      <vt:variant>
        <vt:i4>5</vt:i4>
      </vt:variant>
      <vt:variant>
        <vt:lpwstr>http://vbaw.vba.va.gov/bl/21/M21-1MR/index.asp?id=pt04_sp02_ch02_secA.xml</vt:lpwstr>
      </vt:variant>
      <vt:variant>
        <vt:lpwstr>IV.ii.2.A.1.b</vt:lpwstr>
      </vt:variant>
      <vt:variant>
        <vt:i4>1966195</vt:i4>
      </vt:variant>
      <vt:variant>
        <vt:i4>2010</vt:i4>
      </vt:variant>
      <vt:variant>
        <vt:i4>0</vt:i4>
      </vt:variant>
      <vt:variant>
        <vt:i4>5</vt:i4>
      </vt:variant>
      <vt:variant>
        <vt:lpwstr>http://vbaw.vba.va.gov/bl/21/M21-1MR/index.asp?id=pt03_sp04_ch06_secB.xml</vt:lpwstr>
      </vt:variant>
      <vt:variant>
        <vt:lpwstr>III.iv.6.B.2.b</vt:lpwstr>
      </vt:variant>
      <vt:variant>
        <vt:i4>1900659</vt:i4>
      </vt:variant>
      <vt:variant>
        <vt:i4>2007</vt:i4>
      </vt:variant>
      <vt:variant>
        <vt:i4>0</vt:i4>
      </vt:variant>
      <vt:variant>
        <vt:i4>5</vt:i4>
      </vt:variant>
      <vt:variant>
        <vt:lpwstr>http://vbaw.vba.va.gov/bl/21/M21-1MR/index.asp?id=pt03_sp04_ch06_secB.xml</vt:lpwstr>
      </vt:variant>
      <vt:variant>
        <vt:lpwstr>III.iv.6.B.2.a</vt:lpwstr>
      </vt:variant>
      <vt:variant>
        <vt:i4>7471192</vt:i4>
      </vt:variant>
      <vt:variant>
        <vt:i4>2004</vt:i4>
      </vt:variant>
      <vt:variant>
        <vt:i4>0</vt:i4>
      </vt:variant>
      <vt:variant>
        <vt:i4>5</vt:i4>
      </vt:variant>
      <vt:variant>
        <vt:lpwstr>http://vbaw.vba.va.gov/bl/21/publicat/Regs/Part3/3_317.htm</vt:lpwstr>
      </vt:variant>
      <vt:variant>
        <vt:lpwstr/>
      </vt:variant>
      <vt:variant>
        <vt:i4>8126553</vt:i4>
      </vt:variant>
      <vt:variant>
        <vt:i4>2001</vt:i4>
      </vt:variant>
      <vt:variant>
        <vt:i4>0</vt:i4>
      </vt:variant>
      <vt:variant>
        <vt:i4>5</vt:i4>
      </vt:variant>
      <vt:variant>
        <vt:lpwstr>http://vbaw.vba.va.gov/bl/21/publicat/Regs/Part3/3_309.htm</vt:lpwstr>
      </vt:variant>
      <vt:variant>
        <vt:lpwstr/>
      </vt:variant>
      <vt:variant>
        <vt:i4>3932236</vt:i4>
      </vt:variant>
      <vt:variant>
        <vt:i4>1998</vt:i4>
      </vt:variant>
      <vt:variant>
        <vt:i4>0</vt:i4>
      </vt:variant>
      <vt:variant>
        <vt:i4>5</vt:i4>
      </vt:variant>
      <vt:variant>
        <vt:lpwstr>http://vbaw.vba.va.gov/bl/21/star/star_call.htm</vt:lpwstr>
      </vt:variant>
      <vt:variant>
        <vt:lpwstr/>
      </vt:variant>
      <vt:variant>
        <vt:i4>4653121</vt:i4>
      </vt:variant>
      <vt:variant>
        <vt:i4>1995</vt:i4>
      </vt:variant>
      <vt:variant>
        <vt:i4>0</vt:i4>
      </vt:variant>
      <vt:variant>
        <vt:i4>5</vt:i4>
      </vt:variant>
      <vt:variant>
        <vt:lpwstr>\\vbasdcfpc2\shared\VSC\Development &amp; Rating Resources\QRT Bulletin\2012\QRT Bulletin August 2012.doc</vt:lpwstr>
      </vt:variant>
      <vt:variant>
        <vt:lpwstr/>
      </vt:variant>
      <vt:variant>
        <vt:i4>6357092</vt:i4>
      </vt:variant>
      <vt:variant>
        <vt:i4>1992</vt:i4>
      </vt:variant>
      <vt:variant>
        <vt:i4>0</vt:i4>
      </vt:variant>
      <vt:variant>
        <vt:i4>5</vt:i4>
      </vt:variant>
      <vt:variant>
        <vt:lpwstr>http://vbaw.vba.va.gov/bl/21/publicat/Letters/TrngLtrs/TL10-07.doc</vt:lpwstr>
      </vt:variant>
      <vt:variant>
        <vt:lpwstr/>
      </vt:variant>
      <vt:variant>
        <vt:i4>3276815</vt:i4>
      </vt:variant>
      <vt:variant>
        <vt:i4>1989</vt:i4>
      </vt:variant>
      <vt:variant>
        <vt:i4>0</vt:i4>
      </vt:variant>
      <vt:variant>
        <vt:i4>5</vt:i4>
      </vt:variant>
      <vt:variant>
        <vt:lpwstr>http://vbacodmoint1.vba.va.gov/bl/21/faq/FAQ_Answer.asp?ref=325</vt:lpwstr>
      </vt:variant>
      <vt:variant>
        <vt:lpwstr/>
      </vt:variant>
      <vt:variant>
        <vt:i4>7340144</vt:i4>
      </vt:variant>
      <vt:variant>
        <vt:i4>1986</vt:i4>
      </vt:variant>
      <vt:variant>
        <vt:i4>0</vt:i4>
      </vt:variant>
      <vt:variant>
        <vt:i4>5</vt:i4>
      </vt:variant>
      <vt:variant>
        <vt:lpwstr>http://vbaw.vba.va.gov/BL/21/M21/content/infomap.asp?address=M21-1MRIV.ii.2.A.1</vt:lpwstr>
      </vt:variant>
      <vt:variant>
        <vt:lpwstr>M21-1MRIV.ii.2.A.1.b</vt:lpwstr>
      </vt:variant>
      <vt:variant>
        <vt:i4>5308418</vt:i4>
      </vt:variant>
      <vt:variant>
        <vt:i4>1983</vt:i4>
      </vt:variant>
      <vt:variant>
        <vt:i4>0</vt:i4>
      </vt:variant>
      <vt:variant>
        <vt:i4>5</vt:i4>
      </vt:variant>
      <vt:variant>
        <vt:lpwstr>http://vbaw.vba.va.gov/BL/21/M21/content/infomap.asp?address=M21-1MRIII.iv.6.B.2</vt:lpwstr>
      </vt:variant>
      <vt:variant>
        <vt:lpwstr>M21-1MRIII.iv.6.B.2.c</vt:lpwstr>
      </vt:variant>
      <vt:variant>
        <vt:i4>7340144</vt:i4>
      </vt:variant>
      <vt:variant>
        <vt:i4>1980</vt:i4>
      </vt:variant>
      <vt:variant>
        <vt:i4>0</vt:i4>
      </vt:variant>
      <vt:variant>
        <vt:i4>5</vt:i4>
      </vt:variant>
      <vt:variant>
        <vt:lpwstr>http://vbaw.vba.va.gov/BL/21/M21/content/infomap.asp?address=M21-1MRIV.ii.2.A.1</vt:lpwstr>
      </vt:variant>
      <vt:variant>
        <vt:lpwstr>M21-1MRIV.ii.2.A.1.b</vt:lpwstr>
      </vt:variant>
      <vt:variant>
        <vt:i4>7274604</vt:i4>
      </vt:variant>
      <vt:variant>
        <vt:i4>1977</vt:i4>
      </vt:variant>
      <vt:variant>
        <vt:i4>0</vt:i4>
      </vt:variant>
      <vt:variant>
        <vt:i4>5</vt:i4>
      </vt:variant>
      <vt:variant>
        <vt:lpwstr>http://vbaw.vba.va.gov/BL/21/M21/content/infomap.asp?address=M21-1MRIII.iii.1.A.1</vt:lpwstr>
      </vt:variant>
      <vt:variant>
        <vt:lpwstr>M21-1MRIII.iii.1.A.1.a</vt:lpwstr>
      </vt:variant>
      <vt:variant>
        <vt:i4>8257628</vt:i4>
      </vt:variant>
      <vt:variant>
        <vt:i4>1974</vt:i4>
      </vt:variant>
      <vt:variant>
        <vt:i4>0</vt:i4>
      </vt:variant>
      <vt:variant>
        <vt:i4>5</vt:i4>
      </vt:variant>
      <vt:variant>
        <vt:lpwstr>http://vbaw.vba.va.gov/bl/21/publicat/Regs/Part3/3_159.htm</vt:lpwstr>
      </vt:variant>
      <vt:variant>
        <vt:lpwstr/>
      </vt:variant>
      <vt:variant>
        <vt:i4>2883696</vt:i4>
      </vt:variant>
      <vt:variant>
        <vt:i4>1971</vt:i4>
      </vt:variant>
      <vt:variant>
        <vt:i4>0</vt:i4>
      </vt:variant>
      <vt:variant>
        <vt:i4>5</vt:i4>
      </vt:variant>
      <vt:variant>
        <vt:lpwstr>http://vbaw.vba.va.gov/BL/21/M21/content/infomap.asp?address=M21-1MRIV.ii.2.A.1</vt:lpwstr>
      </vt:variant>
      <vt:variant>
        <vt:lpwstr/>
      </vt:variant>
      <vt:variant>
        <vt:i4>2687076</vt:i4>
      </vt:variant>
      <vt:variant>
        <vt:i4>1968</vt:i4>
      </vt:variant>
      <vt:variant>
        <vt:i4>0</vt:i4>
      </vt:variant>
      <vt:variant>
        <vt:i4>5</vt:i4>
      </vt:variant>
      <vt:variant>
        <vt:lpwstr>http://vbaw.vba.va.gov/BL/21/M21/content/infomap.asp?address=M21-1MRIII.iv.6.B.2.c</vt:lpwstr>
      </vt:variant>
      <vt:variant>
        <vt:lpwstr/>
      </vt:variant>
      <vt:variant>
        <vt:i4>7733337</vt:i4>
      </vt:variant>
      <vt:variant>
        <vt:i4>1964</vt:i4>
      </vt:variant>
      <vt:variant>
        <vt:i4>0</vt:i4>
      </vt:variant>
      <vt:variant>
        <vt:i4>5</vt:i4>
      </vt:variant>
      <vt:variant>
        <vt:lpwstr>http://vbaw.vba.va.gov/bl/21/publicat/Regs/Part3/3_303.htm</vt:lpwstr>
      </vt:variant>
      <vt:variant>
        <vt:lpwstr/>
      </vt:variant>
      <vt:variant>
        <vt:i4>7733337</vt:i4>
      </vt:variant>
      <vt:variant>
        <vt:i4>1962</vt:i4>
      </vt:variant>
      <vt:variant>
        <vt:i4>0</vt:i4>
      </vt:variant>
      <vt:variant>
        <vt:i4>5</vt:i4>
      </vt:variant>
      <vt:variant>
        <vt:lpwstr>http://vbaw.vba.va.gov/bl/21/publicat/Regs/Part3/3_303.htm</vt:lpwstr>
      </vt:variant>
      <vt:variant>
        <vt:lpwstr/>
      </vt:variant>
      <vt:variant>
        <vt:i4>7471193</vt:i4>
      </vt:variant>
      <vt:variant>
        <vt:i4>1959</vt:i4>
      </vt:variant>
      <vt:variant>
        <vt:i4>0</vt:i4>
      </vt:variant>
      <vt:variant>
        <vt:i4>5</vt:i4>
      </vt:variant>
      <vt:variant>
        <vt:lpwstr>http://vbaw.vba.va.gov/bl/21/publicat/Regs/Part3/3_307.htm</vt:lpwstr>
      </vt:variant>
      <vt:variant>
        <vt:lpwstr/>
      </vt:variant>
      <vt:variant>
        <vt:i4>2621442</vt:i4>
      </vt:variant>
      <vt:variant>
        <vt:i4>1956</vt:i4>
      </vt:variant>
      <vt:variant>
        <vt:i4>0</vt:i4>
      </vt:variant>
      <vt:variant>
        <vt:i4>5</vt:i4>
      </vt:variant>
      <vt:variant>
        <vt:lpwstr>http://vbaw.vba.va.gov/bl/21/publicat/Regs/Part4/4_124a.htm</vt:lpwstr>
      </vt:variant>
      <vt:variant>
        <vt:lpwstr>8024</vt:lpwstr>
      </vt:variant>
      <vt:variant>
        <vt:i4>2359297</vt:i4>
      </vt:variant>
      <vt:variant>
        <vt:i4>1953</vt:i4>
      </vt:variant>
      <vt:variant>
        <vt:i4>0</vt:i4>
      </vt:variant>
      <vt:variant>
        <vt:i4>5</vt:i4>
      </vt:variant>
      <vt:variant>
        <vt:lpwstr>http://vbaw.vba.va.gov/bl/21/publicat/Regs/Part4/4_124a.htm</vt:lpwstr>
      </vt:variant>
      <vt:variant>
        <vt:lpwstr>8018</vt:lpwstr>
      </vt:variant>
      <vt:variant>
        <vt:i4>7471193</vt:i4>
      </vt:variant>
      <vt:variant>
        <vt:i4>1950</vt:i4>
      </vt:variant>
      <vt:variant>
        <vt:i4>0</vt:i4>
      </vt:variant>
      <vt:variant>
        <vt:i4>5</vt:i4>
      </vt:variant>
      <vt:variant>
        <vt:lpwstr>http://vbaw.vba.va.gov/bl/21/publicat/Regs/Part3/3_307.htm</vt:lpwstr>
      </vt:variant>
      <vt:variant>
        <vt:lpwstr/>
      </vt:variant>
      <vt:variant>
        <vt:i4>7733290</vt:i4>
      </vt:variant>
      <vt:variant>
        <vt:i4>1947</vt:i4>
      </vt:variant>
      <vt:variant>
        <vt:i4>0</vt:i4>
      </vt:variant>
      <vt:variant>
        <vt:i4>5</vt:i4>
      </vt:variant>
      <vt:variant>
        <vt:lpwstr>http://vbaw.vba.va.gov/bl/21/publicat/Letters/FL08/FL08-031.doc</vt:lpwstr>
      </vt:variant>
      <vt:variant>
        <vt:lpwstr/>
      </vt:variant>
      <vt:variant>
        <vt:i4>8192088</vt:i4>
      </vt:variant>
      <vt:variant>
        <vt:i4>1944</vt:i4>
      </vt:variant>
      <vt:variant>
        <vt:i4>0</vt:i4>
      </vt:variant>
      <vt:variant>
        <vt:i4>5</vt:i4>
      </vt:variant>
      <vt:variant>
        <vt:lpwstr>http://vbaw.vba.va.gov/bl/21/publicat/Regs/Part3/3_318.htm</vt:lpwstr>
      </vt:variant>
      <vt:variant>
        <vt:lpwstr/>
      </vt:variant>
      <vt:variant>
        <vt:i4>2621440</vt:i4>
      </vt:variant>
      <vt:variant>
        <vt:i4>1941</vt:i4>
      </vt:variant>
      <vt:variant>
        <vt:i4>0</vt:i4>
      </vt:variant>
      <vt:variant>
        <vt:i4>5</vt:i4>
      </vt:variant>
      <vt:variant>
        <vt:lpwstr>http://vbaw.vba.va.gov/bl/21/publicat/Regs/Part4/4_124a.htm</vt:lpwstr>
      </vt:variant>
      <vt:variant>
        <vt:lpwstr>8004</vt:lpwstr>
      </vt:variant>
      <vt:variant>
        <vt:i4>4587581</vt:i4>
      </vt:variant>
      <vt:variant>
        <vt:i4>1938</vt:i4>
      </vt:variant>
      <vt:variant>
        <vt:i4>0</vt:i4>
      </vt:variant>
      <vt:variant>
        <vt:i4>5</vt:i4>
      </vt:variant>
      <vt:variant>
        <vt:lpwstr>http://10.220.1.4/bl/21/faq/FAQ_Answer.asp?ref=323</vt:lpwstr>
      </vt:variant>
      <vt:variant>
        <vt:lpwstr/>
      </vt:variant>
      <vt:variant>
        <vt:i4>4456509</vt:i4>
      </vt:variant>
      <vt:variant>
        <vt:i4>1935</vt:i4>
      </vt:variant>
      <vt:variant>
        <vt:i4>0</vt:i4>
      </vt:variant>
      <vt:variant>
        <vt:i4>5</vt:i4>
      </vt:variant>
      <vt:variant>
        <vt:lpwstr>http://10.220.1.4/bl/21/faq/FAQ_Answer.asp?ref=123</vt:lpwstr>
      </vt:variant>
      <vt:variant>
        <vt:lpwstr/>
      </vt:variant>
      <vt:variant>
        <vt:i4>6946869</vt:i4>
      </vt:variant>
      <vt:variant>
        <vt:i4>1932</vt:i4>
      </vt:variant>
      <vt:variant>
        <vt:i4>0</vt:i4>
      </vt:variant>
      <vt:variant>
        <vt:i4>5</vt:i4>
      </vt:variant>
      <vt:variant>
        <vt:lpwstr>http://vbaw.vba.va.gov/bl/21/calendar/agenda/FY12/1212.doc</vt:lpwstr>
      </vt:variant>
      <vt:variant>
        <vt:lpwstr/>
      </vt:variant>
      <vt:variant>
        <vt:i4>7471193</vt:i4>
      </vt:variant>
      <vt:variant>
        <vt:i4>1929</vt:i4>
      </vt:variant>
      <vt:variant>
        <vt:i4>0</vt:i4>
      </vt:variant>
      <vt:variant>
        <vt:i4>5</vt:i4>
      </vt:variant>
      <vt:variant>
        <vt:lpwstr>http://vbaw.vba.va.gov/bl/21/publicat/Regs/Part3/3_307.htm</vt:lpwstr>
      </vt:variant>
      <vt:variant>
        <vt:lpwstr/>
      </vt:variant>
      <vt:variant>
        <vt:i4>7471193</vt:i4>
      </vt:variant>
      <vt:variant>
        <vt:i4>1926</vt:i4>
      </vt:variant>
      <vt:variant>
        <vt:i4>0</vt:i4>
      </vt:variant>
      <vt:variant>
        <vt:i4>5</vt:i4>
      </vt:variant>
      <vt:variant>
        <vt:lpwstr>http://vbaw.vba.va.gov/bl/21/publicat/Regs/Part3/3_307.htm</vt:lpwstr>
      </vt:variant>
      <vt:variant>
        <vt:lpwstr/>
      </vt:variant>
      <vt:variant>
        <vt:i4>1769544</vt:i4>
      </vt:variant>
      <vt:variant>
        <vt:i4>1923</vt:i4>
      </vt:variant>
      <vt:variant>
        <vt:i4>0</vt:i4>
      </vt:variant>
      <vt:variant>
        <vt:i4>5</vt:i4>
      </vt:variant>
      <vt:variant>
        <vt:lpwstr>http://vbaw.vba.va.gov/BL/21/M21/content/infomap.asp?address=M21-1MRIV.ii.1.H.27</vt:lpwstr>
      </vt:variant>
      <vt:variant>
        <vt:lpwstr/>
      </vt:variant>
      <vt:variant>
        <vt:i4>8126553</vt:i4>
      </vt:variant>
      <vt:variant>
        <vt:i4>1920</vt:i4>
      </vt:variant>
      <vt:variant>
        <vt:i4>0</vt:i4>
      </vt:variant>
      <vt:variant>
        <vt:i4>5</vt:i4>
      </vt:variant>
      <vt:variant>
        <vt:lpwstr>http://vbaw.vba.va.gov/bl/21/publicat/Regs/Part3/3_309.htm</vt:lpwstr>
      </vt:variant>
      <vt:variant>
        <vt:lpwstr/>
      </vt:variant>
      <vt:variant>
        <vt:i4>8126553</vt:i4>
      </vt:variant>
      <vt:variant>
        <vt:i4>1917</vt:i4>
      </vt:variant>
      <vt:variant>
        <vt:i4>0</vt:i4>
      </vt:variant>
      <vt:variant>
        <vt:i4>5</vt:i4>
      </vt:variant>
      <vt:variant>
        <vt:lpwstr>http://vbaw.vba.va.gov/bl/21/publicat/Regs/Part3/3_309.htm</vt:lpwstr>
      </vt:variant>
      <vt:variant>
        <vt:lpwstr/>
      </vt:variant>
      <vt:variant>
        <vt:i4>3473421</vt:i4>
      </vt:variant>
      <vt:variant>
        <vt:i4>1914</vt:i4>
      </vt:variant>
      <vt:variant>
        <vt:i4>0</vt:i4>
      </vt:variant>
      <vt:variant>
        <vt:i4>5</vt:i4>
      </vt:variant>
      <vt:variant>
        <vt:lpwstr>http://vbacodmoint1.vba.va.gov/bl/21/faq/FAQ_Answer.asp?ref=154</vt:lpwstr>
      </vt:variant>
      <vt:variant>
        <vt:lpwstr/>
      </vt:variant>
      <vt:variant>
        <vt:i4>131089</vt:i4>
      </vt:variant>
      <vt:variant>
        <vt:i4>1911</vt:i4>
      </vt:variant>
      <vt:variant>
        <vt:i4>0</vt:i4>
      </vt:variant>
      <vt:variant>
        <vt:i4>5</vt:i4>
      </vt:variant>
      <vt:variant>
        <vt:lpwstr>http://vbaw.vba.va.gov/BL/21/M21/content/infomap.asp?address=M21-1MRIV.ii.2.C</vt:lpwstr>
      </vt:variant>
      <vt:variant>
        <vt:lpwstr/>
      </vt:variant>
      <vt:variant>
        <vt:i4>4128801</vt:i4>
      </vt:variant>
      <vt:variant>
        <vt:i4>1908</vt:i4>
      </vt:variant>
      <vt:variant>
        <vt:i4>0</vt:i4>
      </vt:variant>
      <vt:variant>
        <vt:i4>5</vt:i4>
      </vt:variant>
      <vt:variant>
        <vt:lpwstr>http://vbaw.vba.va.gov/BL/21/M21/content/contents.asp?address=M21-1MRIV.ii.2.E</vt:lpwstr>
      </vt:variant>
      <vt:variant>
        <vt:lpwstr/>
      </vt:variant>
      <vt:variant>
        <vt:i4>2883699</vt:i4>
      </vt:variant>
      <vt:variant>
        <vt:i4>1905</vt:i4>
      </vt:variant>
      <vt:variant>
        <vt:i4>0</vt:i4>
      </vt:variant>
      <vt:variant>
        <vt:i4>5</vt:i4>
      </vt:variant>
      <vt:variant>
        <vt:lpwstr>http://vbaw.vba.va.gov/BL/21/M21/content/infomap.asp?address=M21-1MRIV.ii.2.B.7</vt:lpwstr>
      </vt:variant>
      <vt:variant>
        <vt:lpwstr/>
      </vt:variant>
      <vt:variant>
        <vt:i4>2883699</vt:i4>
      </vt:variant>
      <vt:variant>
        <vt:i4>1902</vt:i4>
      </vt:variant>
      <vt:variant>
        <vt:i4>0</vt:i4>
      </vt:variant>
      <vt:variant>
        <vt:i4>5</vt:i4>
      </vt:variant>
      <vt:variant>
        <vt:lpwstr>http://vbaw.vba.va.gov/BL/21/M21/content/infomap.asp?address=M21-1MRIV.ii.2.B.3</vt:lpwstr>
      </vt:variant>
      <vt:variant>
        <vt:lpwstr/>
      </vt:variant>
      <vt:variant>
        <vt:i4>7471193</vt:i4>
      </vt:variant>
      <vt:variant>
        <vt:i4>1899</vt:i4>
      </vt:variant>
      <vt:variant>
        <vt:i4>0</vt:i4>
      </vt:variant>
      <vt:variant>
        <vt:i4>5</vt:i4>
      </vt:variant>
      <vt:variant>
        <vt:lpwstr>http://vbaw.vba.va.gov/bl/21/publicat/Regs/Part3/3_307.htm</vt:lpwstr>
      </vt:variant>
      <vt:variant>
        <vt:lpwstr/>
      </vt:variant>
      <vt:variant>
        <vt:i4>7471193</vt:i4>
      </vt:variant>
      <vt:variant>
        <vt:i4>1896</vt:i4>
      </vt:variant>
      <vt:variant>
        <vt:i4>0</vt:i4>
      </vt:variant>
      <vt:variant>
        <vt:i4>5</vt:i4>
      </vt:variant>
      <vt:variant>
        <vt:lpwstr>http://vbaw.vba.va.gov/bl/21/publicat/Regs/Part3/3_400.htm</vt:lpwstr>
      </vt:variant>
      <vt:variant>
        <vt:lpwstr/>
      </vt:variant>
      <vt:variant>
        <vt:i4>262154</vt:i4>
      </vt:variant>
      <vt:variant>
        <vt:i4>1893</vt:i4>
      </vt:variant>
      <vt:variant>
        <vt:i4>0</vt:i4>
      </vt:variant>
      <vt:variant>
        <vt:i4>5</vt:i4>
      </vt:variant>
      <vt:variant>
        <vt:lpwstr/>
      </vt:variant>
      <vt:variant>
        <vt:lpwstr>ExamGuide</vt:lpwstr>
      </vt:variant>
      <vt:variant>
        <vt:i4>2490413</vt:i4>
      </vt:variant>
      <vt:variant>
        <vt:i4>1890</vt:i4>
      </vt:variant>
      <vt:variant>
        <vt:i4>0</vt:i4>
      </vt:variant>
      <vt:variant>
        <vt:i4>5</vt:i4>
      </vt:variant>
      <vt:variant>
        <vt:lpwstr>http://vbaw.vba.va.gov/bl/21/publicat/Regs/Part4/</vt:lpwstr>
      </vt:variant>
      <vt:variant>
        <vt:lpwstr>Nav</vt:lpwstr>
      </vt:variant>
      <vt:variant>
        <vt:i4>1769577</vt:i4>
      </vt:variant>
      <vt:variant>
        <vt:i4>1887</vt:i4>
      </vt:variant>
      <vt:variant>
        <vt:i4>0</vt:i4>
      </vt:variant>
      <vt:variant>
        <vt:i4>5</vt:i4>
      </vt:variant>
      <vt:variant>
        <vt:lpwstr>http://vbaw.vba.va.gov/bl/21/publicat/Regs/Part4/4_22.htm</vt:lpwstr>
      </vt:variant>
      <vt:variant>
        <vt:lpwstr/>
      </vt:variant>
      <vt:variant>
        <vt:i4>7798875</vt:i4>
      </vt:variant>
      <vt:variant>
        <vt:i4>1884</vt:i4>
      </vt:variant>
      <vt:variant>
        <vt:i4>0</vt:i4>
      </vt:variant>
      <vt:variant>
        <vt:i4>5</vt:i4>
      </vt:variant>
      <vt:variant>
        <vt:lpwstr>http://vbaw.vba.va.gov/bl/21/publicat/Regs/Part3/3_322.htm</vt:lpwstr>
      </vt:variant>
      <vt:variant>
        <vt:lpwstr/>
      </vt:variant>
      <vt:variant>
        <vt:i4>6226025</vt:i4>
      </vt:variant>
      <vt:variant>
        <vt:i4>1881</vt:i4>
      </vt:variant>
      <vt:variant>
        <vt:i4>0</vt:i4>
      </vt:variant>
      <vt:variant>
        <vt:i4>5</vt:i4>
      </vt:variant>
      <vt:variant>
        <vt:lpwstr>..\..\Local Settings\Temporary Internet Files\3_306.htm</vt:lpwstr>
      </vt:variant>
      <vt:variant>
        <vt:lpwstr/>
      </vt:variant>
      <vt:variant>
        <vt:i4>7471193</vt:i4>
      </vt:variant>
      <vt:variant>
        <vt:i4>1878</vt:i4>
      </vt:variant>
      <vt:variant>
        <vt:i4>0</vt:i4>
      </vt:variant>
      <vt:variant>
        <vt:i4>5</vt:i4>
      </vt:variant>
      <vt:variant>
        <vt:lpwstr>http://vbaw.vba.va.gov/bl/21/publicat/Regs/Part3/3_307.htm</vt:lpwstr>
      </vt:variant>
      <vt:variant>
        <vt:lpwstr/>
      </vt:variant>
      <vt:variant>
        <vt:i4>524306</vt:i4>
      </vt:variant>
      <vt:variant>
        <vt:i4>1875</vt:i4>
      </vt:variant>
      <vt:variant>
        <vt:i4>0</vt:i4>
      </vt:variant>
      <vt:variant>
        <vt:i4>5</vt:i4>
      </vt:variant>
      <vt:variant>
        <vt:lpwstr>\\vbasdcfpc2\SHARED\VSC\Development &amp; Rating Resources\QRT Bulletin</vt:lpwstr>
      </vt:variant>
      <vt:variant>
        <vt:lpwstr/>
      </vt:variant>
      <vt:variant>
        <vt:i4>524306</vt:i4>
      </vt:variant>
      <vt:variant>
        <vt:i4>1872</vt:i4>
      </vt:variant>
      <vt:variant>
        <vt:i4>0</vt:i4>
      </vt:variant>
      <vt:variant>
        <vt:i4>5</vt:i4>
      </vt:variant>
      <vt:variant>
        <vt:lpwstr>\\vbasdcfpc2\SHARED\VSC\Development &amp; Rating Resources\QRT Bulletin</vt:lpwstr>
      </vt:variant>
      <vt:variant>
        <vt:lpwstr/>
      </vt:variant>
      <vt:variant>
        <vt:i4>6291513</vt:i4>
      </vt:variant>
      <vt:variant>
        <vt:i4>1869</vt:i4>
      </vt:variant>
      <vt:variant>
        <vt:i4>0</vt:i4>
      </vt:variant>
      <vt:variant>
        <vt:i4>5</vt:i4>
      </vt:variant>
      <vt:variant>
        <vt:lpwstr>http://vbaw.vba.va.gov/bl/21/Advisory/DADS/1995dads/Leshore.doc</vt:lpwstr>
      </vt:variant>
      <vt:variant>
        <vt:lpwstr/>
      </vt:variant>
      <vt:variant>
        <vt:i4>3342349</vt:i4>
      </vt:variant>
      <vt:variant>
        <vt:i4>1866</vt:i4>
      </vt:variant>
      <vt:variant>
        <vt:i4>0</vt:i4>
      </vt:variant>
      <vt:variant>
        <vt:i4>5</vt:i4>
      </vt:variant>
      <vt:variant>
        <vt:lpwstr>http://vbacodmoint1.vba.va.gov/bl/21/faq/FAQ_Answer.asp?ref=13</vt:lpwstr>
      </vt:variant>
      <vt:variant>
        <vt:lpwstr/>
      </vt:variant>
      <vt:variant>
        <vt:i4>7602291</vt:i4>
      </vt:variant>
      <vt:variant>
        <vt:i4>1863</vt:i4>
      </vt:variant>
      <vt:variant>
        <vt:i4>0</vt:i4>
      </vt:variant>
      <vt:variant>
        <vt:i4>5</vt:i4>
      </vt:variant>
      <vt:variant>
        <vt:lpwstr>http://vbaw.vba.va.gov/BL/21/M21/content/infomap.asp?address=M21-1MRIV.ii.2.B.5</vt:lpwstr>
      </vt:variant>
      <vt:variant>
        <vt:lpwstr>M21-1MRIV.ii.2.B.5.a</vt:lpwstr>
      </vt:variant>
      <vt:variant>
        <vt:i4>2883699</vt:i4>
      </vt:variant>
      <vt:variant>
        <vt:i4>1860</vt:i4>
      </vt:variant>
      <vt:variant>
        <vt:i4>0</vt:i4>
      </vt:variant>
      <vt:variant>
        <vt:i4>5</vt:i4>
      </vt:variant>
      <vt:variant>
        <vt:lpwstr>http://vbaw.vba.va.gov/BL/21/M21/content/infomap.asp?address=M21-1MRIV.ii.2.B.5</vt:lpwstr>
      </vt:variant>
      <vt:variant>
        <vt:lpwstr/>
      </vt:variant>
      <vt:variant>
        <vt:i4>7536729</vt:i4>
      </vt:variant>
      <vt:variant>
        <vt:i4>1857</vt:i4>
      </vt:variant>
      <vt:variant>
        <vt:i4>0</vt:i4>
      </vt:variant>
      <vt:variant>
        <vt:i4>5</vt:i4>
      </vt:variant>
      <vt:variant>
        <vt:lpwstr>http://vbaw.vba.va.gov/bl/21/publicat/Regs/Part3/3_306.htm</vt:lpwstr>
      </vt:variant>
      <vt:variant>
        <vt:lpwstr/>
      </vt:variant>
      <vt:variant>
        <vt:i4>7733337</vt:i4>
      </vt:variant>
      <vt:variant>
        <vt:i4>1854</vt:i4>
      </vt:variant>
      <vt:variant>
        <vt:i4>0</vt:i4>
      </vt:variant>
      <vt:variant>
        <vt:i4>5</vt:i4>
      </vt:variant>
      <vt:variant>
        <vt:lpwstr>http://vbaw.vba.va.gov/bl/21/publicat/Regs/Part3/3_303.htm</vt:lpwstr>
      </vt:variant>
      <vt:variant>
        <vt:lpwstr/>
      </vt:variant>
      <vt:variant>
        <vt:i4>262154</vt:i4>
      </vt:variant>
      <vt:variant>
        <vt:i4>1851</vt:i4>
      </vt:variant>
      <vt:variant>
        <vt:i4>0</vt:i4>
      </vt:variant>
      <vt:variant>
        <vt:i4>5</vt:i4>
      </vt:variant>
      <vt:variant>
        <vt:lpwstr/>
      </vt:variant>
      <vt:variant>
        <vt:lpwstr>ExamGuide</vt:lpwstr>
      </vt:variant>
      <vt:variant>
        <vt:i4>8061042</vt:i4>
      </vt:variant>
      <vt:variant>
        <vt:i4>1848</vt:i4>
      </vt:variant>
      <vt:variant>
        <vt:i4>0</vt:i4>
      </vt:variant>
      <vt:variant>
        <vt:i4>5</vt:i4>
      </vt:variant>
      <vt:variant>
        <vt:lpwstr>http://vbaw.vba.va.gov/BL/21/M21/content/infomap.asp?address=M21-1MRIV.ii.2.C.9</vt:lpwstr>
      </vt:variant>
      <vt:variant>
        <vt:lpwstr>M21-1MRIV.ii.2.C.9.c</vt:lpwstr>
      </vt:variant>
      <vt:variant>
        <vt:i4>8061042</vt:i4>
      </vt:variant>
      <vt:variant>
        <vt:i4>1845</vt:i4>
      </vt:variant>
      <vt:variant>
        <vt:i4>0</vt:i4>
      </vt:variant>
      <vt:variant>
        <vt:i4>5</vt:i4>
      </vt:variant>
      <vt:variant>
        <vt:lpwstr>http://vbaw.vba.va.gov/BL/21/M21/content/infomap.asp?address=M21-1MRIV.ii.2.C.9</vt:lpwstr>
      </vt:variant>
      <vt:variant>
        <vt:lpwstr>M21-1MRIV.ii.2.C.9.c</vt:lpwstr>
      </vt:variant>
      <vt:variant>
        <vt:i4>8061042</vt:i4>
      </vt:variant>
      <vt:variant>
        <vt:i4>1842</vt:i4>
      </vt:variant>
      <vt:variant>
        <vt:i4>0</vt:i4>
      </vt:variant>
      <vt:variant>
        <vt:i4>5</vt:i4>
      </vt:variant>
      <vt:variant>
        <vt:lpwstr>http://vbaw.vba.va.gov/BL/21/M21/content/infomap.asp?address=M21-1MRIV.ii.2.C.9</vt:lpwstr>
      </vt:variant>
      <vt:variant>
        <vt:lpwstr>M21-1MRIV.ii.2.C.9.c</vt:lpwstr>
      </vt:variant>
      <vt:variant>
        <vt:i4>8061042</vt:i4>
      </vt:variant>
      <vt:variant>
        <vt:i4>1839</vt:i4>
      </vt:variant>
      <vt:variant>
        <vt:i4>0</vt:i4>
      </vt:variant>
      <vt:variant>
        <vt:i4>5</vt:i4>
      </vt:variant>
      <vt:variant>
        <vt:lpwstr>http://vbaw.vba.va.gov/BL/21/M21/content/infomap.asp?address=M21-1MRIV.ii.2.C.9</vt:lpwstr>
      </vt:variant>
      <vt:variant>
        <vt:lpwstr>M21-1MRIV.ii.2.C.9.c</vt:lpwstr>
      </vt:variant>
      <vt:variant>
        <vt:i4>2883698</vt:i4>
      </vt:variant>
      <vt:variant>
        <vt:i4>1836</vt:i4>
      </vt:variant>
      <vt:variant>
        <vt:i4>0</vt:i4>
      </vt:variant>
      <vt:variant>
        <vt:i4>5</vt:i4>
      </vt:variant>
      <vt:variant>
        <vt:lpwstr>http://vbaw.vba.va.gov/BL/21/M21/content/infomap.asp?address=M21-1MRIV.ii.2.C.9</vt:lpwstr>
      </vt:variant>
      <vt:variant>
        <vt:lpwstr/>
      </vt:variant>
      <vt:variant>
        <vt:i4>1376328</vt:i4>
      </vt:variant>
      <vt:variant>
        <vt:i4>1833</vt:i4>
      </vt:variant>
      <vt:variant>
        <vt:i4>0</vt:i4>
      </vt:variant>
      <vt:variant>
        <vt:i4>5</vt:i4>
      </vt:variant>
      <vt:variant>
        <vt:lpwstr>http://vbaw.vba.va.gov/BL/21/M21/content/infomap.asp?address=M21-1MRIV.ii.1.H.29</vt:lpwstr>
      </vt:variant>
      <vt:variant>
        <vt:lpwstr/>
      </vt:variant>
      <vt:variant>
        <vt:i4>1048684</vt:i4>
      </vt:variant>
      <vt:variant>
        <vt:i4>1830</vt:i4>
      </vt:variant>
      <vt:variant>
        <vt:i4>0</vt:i4>
      </vt:variant>
      <vt:variant>
        <vt:i4>5</vt:i4>
      </vt:variant>
      <vt:variant>
        <vt:lpwstr>http://vbaw.vba.va.gov/bl/21/publicat/Regs/Part4/4_97.htm</vt:lpwstr>
      </vt:variant>
      <vt:variant>
        <vt:lpwstr/>
      </vt:variant>
      <vt:variant>
        <vt:i4>2949180</vt:i4>
      </vt:variant>
      <vt:variant>
        <vt:i4>1827</vt:i4>
      </vt:variant>
      <vt:variant>
        <vt:i4>0</vt:i4>
      </vt:variant>
      <vt:variant>
        <vt:i4>5</vt:i4>
      </vt:variant>
      <vt:variant>
        <vt:lpwstr>http://www.thewall-usa.com/</vt:lpwstr>
      </vt:variant>
      <vt:variant>
        <vt:lpwstr/>
      </vt:variant>
      <vt:variant>
        <vt:i4>917596</vt:i4>
      </vt:variant>
      <vt:variant>
        <vt:i4>1824</vt:i4>
      </vt:variant>
      <vt:variant>
        <vt:i4>0</vt:i4>
      </vt:variant>
      <vt:variant>
        <vt:i4>5</vt:i4>
      </vt:variant>
      <vt:variant>
        <vt:lpwstr>http://web1.whs.osd.mil/mmid/casualty/castop.htm</vt:lpwstr>
      </vt:variant>
      <vt:variant>
        <vt:lpwstr/>
      </vt:variant>
      <vt:variant>
        <vt:i4>6029382</vt:i4>
      </vt:variant>
      <vt:variant>
        <vt:i4>1821</vt:i4>
      </vt:variant>
      <vt:variant>
        <vt:i4>0</vt:i4>
      </vt:variant>
      <vt:variant>
        <vt:i4>5</vt:i4>
      </vt:variant>
      <vt:variant>
        <vt:lpwstr>http://www.dior.whs.mil/mmid/casualty/castoptest.htm</vt:lpwstr>
      </vt:variant>
      <vt:variant>
        <vt:lpwstr/>
      </vt:variant>
      <vt:variant>
        <vt:i4>5505041</vt:i4>
      </vt:variant>
      <vt:variant>
        <vt:i4>1818</vt:i4>
      </vt:variant>
      <vt:variant>
        <vt:i4>0</vt:i4>
      </vt:variant>
      <vt:variant>
        <vt:i4>5</vt:i4>
      </vt:variant>
      <vt:variant>
        <vt:lpwstr>http://www.history.navy.mil/faqs/faq73-1.htm</vt:lpwstr>
      </vt:variant>
      <vt:variant>
        <vt:lpwstr/>
      </vt:variant>
      <vt:variant>
        <vt:i4>4849741</vt:i4>
      </vt:variant>
      <vt:variant>
        <vt:i4>1815</vt:i4>
      </vt:variant>
      <vt:variant>
        <vt:i4>0</vt:i4>
      </vt:variant>
      <vt:variant>
        <vt:i4>5</vt:i4>
      </vt:variant>
      <vt:variant>
        <vt:lpwstr>http://www.cs.amedd.army.mil/history/battles.html</vt:lpwstr>
      </vt:variant>
      <vt:variant>
        <vt:lpwstr/>
      </vt:variant>
      <vt:variant>
        <vt:i4>7798903</vt:i4>
      </vt:variant>
      <vt:variant>
        <vt:i4>1812</vt:i4>
      </vt:variant>
      <vt:variant>
        <vt:i4>0</vt:i4>
      </vt:variant>
      <vt:variant>
        <vt:i4>5</vt:i4>
      </vt:variant>
      <vt:variant>
        <vt:lpwstr>http://www.afpc.randolph.af.mil/sascasstats/search_for_deceased.asp</vt:lpwstr>
      </vt:variant>
      <vt:variant>
        <vt:lpwstr/>
      </vt:variant>
      <vt:variant>
        <vt:i4>7667762</vt:i4>
      </vt:variant>
      <vt:variant>
        <vt:i4>1809</vt:i4>
      </vt:variant>
      <vt:variant>
        <vt:i4>0</vt:i4>
      </vt:variant>
      <vt:variant>
        <vt:i4>5</vt:i4>
      </vt:variant>
      <vt:variant>
        <vt:lpwstr>https://lnweb1.manpower.usmc.mil/manpower/mm/mmma/AwardsVerification.nsf/search</vt:lpwstr>
      </vt:variant>
      <vt:variant>
        <vt:lpwstr/>
      </vt:variant>
      <vt:variant>
        <vt:i4>1114238</vt:i4>
      </vt:variant>
      <vt:variant>
        <vt:i4>1806</vt:i4>
      </vt:variant>
      <vt:variant>
        <vt:i4>0</vt:i4>
      </vt:variant>
      <vt:variant>
        <vt:i4>5</vt:i4>
      </vt:variant>
      <vt:variant>
        <vt:lpwstr>http://www.archives.gov/research_room/research_topics/korea_and_vietnam_casualties.html</vt:lpwstr>
      </vt:variant>
      <vt:variant>
        <vt:lpwstr/>
      </vt:variant>
      <vt:variant>
        <vt:i4>6094954</vt:i4>
      </vt:variant>
      <vt:variant>
        <vt:i4>1803</vt:i4>
      </vt:variant>
      <vt:variant>
        <vt:i4>0</vt:i4>
      </vt:variant>
      <vt:variant>
        <vt:i4>5</vt:i4>
      </vt:variant>
      <vt:variant>
        <vt:lpwstr>http://aad.archives.gov/aad/title_list.jsp</vt:lpwstr>
      </vt:variant>
      <vt:variant>
        <vt:lpwstr/>
      </vt:variant>
      <vt:variant>
        <vt:i4>4653142</vt:i4>
      </vt:variant>
      <vt:variant>
        <vt:i4>1800</vt:i4>
      </vt:variant>
      <vt:variant>
        <vt:i4>0</vt:i4>
      </vt:variant>
      <vt:variant>
        <vt:i4>5</vt:i4>
      </vt:variant>
      <vt:variant>
        <vt:lpwstr>https://www.manpower.usmc.mil/pls/apex/f?p=102:1:3777234332515950</vt:lpwstr>
      </vt:variant>
      <vt:variant>
        <vt:lpwstr/>
      </vt:variant>
      <vt:variant>
        <vt:i4>6815861</vt:i4>
      </vt:variant>
      <vt:variant>
        <vt:i4>1797</vt:i4>
      </vt:variant>
      <vt:variant>
        <vt:i4>0</vt:i4>
      </vt:variant>
      <vt:variant>
        <vt:i4>5</vt:i4>
      </vt:variant>
      <vt:variant>
        <vt:lpwstr>http://www.law.cornell.edu/uscode/text/38/1111</vt:lpwstr>
      </vt:variant>
      <vt:variant>
        <vt:lpwstr/>
      </vt:variant>
      <vt:variant>
        <vt:i4>7667750</vt:i4>
      </vt:variant>
      <vt:variant>
        <vt:i4>1794</vt:i4>
      </vt:variant>
      <vt:variant>
        <vt:i4>0</vt:i4>
      </vt:variant>
      <vt:variant>
        <vt:i4>5</vt:i4>
      </vt:variant>
      <vt:variant>
        <vt:lpwstr>http://vbaw.vba.va.gov/bl/21/publicat/Letters/FL99/FL99-085.doc</vt:lpwstr>
      </vt:variant>
      <vt:variant>
        <vt:lpwstr/>
      </vt:variant>
      <vt:variant>
        <vt:i4>7733337</vt:i4>
      </vt:variant>
      <vt:variant>
        <vt:i4>1791</vt:i4>
      </vt:variant>
      <vt:variant>
        <vt:i4>0</vt:i4>
      </vt:variant>
      <vt:variant>
        <vt:i4>5</vt:i4>
      </vt:variant>
      <vt:variant>
        <vt:lpwstr>http://vbaw.vba.va.gov/bl/21/publicat/Regs/Part3/3_303.htm</vt:lpwstr>
      </vt:variant>
      <vt:variant>
        <vt:lpwstr/>
      </vt:variant>
      <vt:variant>
        <vt:i4>6881397</vt:i4>
      </vt:variant>
      <vt:variant>
        <vt:i4>1788</vt:i4>
      </vt:variant>
      <vt:variant>
        <vt:i4>0</vt:i4>
      </vt:variant>
      <vt:variant>
        <vt:i4>5</vt:i4>
      </vt:variant>
      <vt:variant>
        <vt:lpwstr>http://www.law.cornell.edu/uscode/text/38/1110</vt:lpwstr>
      </vt:variant>
      <vt:variant>
        <vt:lpwstr/>
      </vt:variant>
      <vt:variant>
        <vt:i4>7405657</vt:i4>
      </vt:variant>
      <vt:variant>
        <vt:i4>1785</vt:i4>
      </vt:variant>
      <vt:variant>
        <vt:i4>0</vt:i4>
      </vt:variant>
      <vt:variant>
        <vt:i4>5</vt:i4>
      </vt:variant>
      <vt:variant>
        <vt:lpwstr>http://vbaw.vba.va.gov/bl/21/publicat/Regs/Part3/3_304.htm</vt:lpwstr>
      </vt:variant>
      <vt:variant>
        <vt:lpwstr/>
      </vt:variant>
      <vt:variant>
        <vt:i4>7143477</vt:i4>
      </vt:variant>
      <vt:variant>
        <vt:i4>1782</vt:i4>
      </vt:variant>
      <vt:variant>
        <vt:i4>0</vt:i4>
      </vt:variant>
      <vt:variant>
        <vt:i4>5</vt:i4>
      </vt:variant>
      <vt:variant>
        <vt:lpwstr>http://vbaw.vba.va.gov/bl/21/calendar/Agenda/FY13/0413.doc</vt:lpwstr>
      </vt:variant>
      <vt:variant>
        <vt:lpwstr/>
      </vt:variant>
      <vt:variant>
        <vt:i4>4390986</vt:i4>
      </vt:variant>
      <vt:variant>
        <vt:i4>1779</vt:i4>
      </vt:variant>
      <vt:variant>
        <vt:i4>0</vt:i4>
      </vt:variant>
      <vt:variant>
        <vt:i4>5</vt:i4>
      </vt:variant>
      <vt:variant>
        <vt:lpwstr>http://vbaw.vba.va.gov/BL/21/M21/content/infomap.asp?address=M21-1MRIII.iv.4.H.30</vt:lpwstr>
      </vt:variant>
      <vt:variant>
        <vt:lpwstr/>
      </vt:variant>
      <vt:variant>
        <vt:i4>524306</vt:i4>
      </vt:variant>
      <vt:variant>
        <vt:i4>1776</vt:i4>
      </vt:variant>
      <vt:variant>
        <vt:i4>0</vt:i4>
      </vt:variant>
      <vt:variant>
        <vt:i4>5</vt:i4>
      </vt:variant>
      <vt:variant>
        <vt:lpwstr>\\vbasdcfpc2\SHARED\VSC\Development &amp; Rating Resources\QRT Bulletin</vt:lpwstr>
      </vt:variant>
      <vt:variant>
        <vt:lpwstr/>
      </vt:variant>
      <vt:variant>
        <vt:i4>524306</vt:i4>
      </vt:variant>
      <vt:variant>
        <vt:i4>1773</vt:i4>
      </vt:variant>
      <vt:variant>
        <vt:i4>0</vt:i4>
      </vt:variant>
      <vt:variant>
        <vt:i4>5</vt:i4>
      </vt:variant>
      <vt:variant>
        <vt:lpwstr>\\vbasdcfpc2\SHARED\VSC\Development &amp; Rating Resources\QRT Bulletin</vt:lpwstr>
      </vt:variant>
      <vt:variant>
        <vt:lpwstr/>
      </vt:variant>
      <vt:variant>
        <vt:i4>7012404</vt:i4>
      </vt:variant>
      <vt:variant>
        <vt:i4>1770</vt:i4>
      </vt:variant>
      <vt:variant>
        <vt:i4>0</vt:i4>
      </vt:variant>
      <vt:variant>
        <vt:i4>5</vt:i4>
      </vt:variant>
      <vt:variant>
        <vt:lpwstr>http://vbaw.vba.va.gov/bl/21/calendar/Agenda/FY12/0312.doc</vt:lpwstr>
      </vt:variant>
      <vt:variant>
        <vt:lpwstr/>
      </vt:variant>
      <vt:variant>
        <vt:i4>3211299</vt:i4>
      </vt:variant>
      <vt:variant>
        <vt:i4>1767</vt:i4>
      </vt:variant>
      <vt:variant>
        <vt:i4>0</vt:i4>
      </vt:variant>
      <vt:variant>
        <vt:i4>5</vt:i4>
      </vt:variant>
      <vt:variant>
        <vt:lpwstr>http://vbaw.vba.va.gov/BL/21/M21/content/infomap.asp?address=M21-1MRIV.ii.1.D</vt:lpwstr>
      </vt:variant>
      <vt:variant>
        <vt:lpwstr>13</vt:lpwstr>
      </vt:variant>
      <vt:variant>
        <vt:i4>5373952</vt:i4>
      </vt:variant>
      <vt:variant>
        <vt:i4>1764</vt:i4>
      </vt:variant>
      <vt:variant>
        <vt:i4>0</vt:i4>
      </vt:variant>
      <vt:variant>
        <vt:i4>5</vt:i4>
      </vt:variant>
      <vt:variant>
        <vt:lpwstr>http://vbaw.vba.va.gov/bl/21/publicat/Letters/TrngLtrs/TL11-05E1.doc</vt:lpwstr>
      </vt:variant>
      <vt:variant>
        <vt:lpwstr/>
      </vt:variant>
      <vt:variant>
        <vt:i4>6488165</vt:i4>
      </vt:variant>
      <vt:variant>
        <vt:i4>1761</vt:i4>
      </vt:variant>
      <vt:variant>
        <vt:i4>0</vt:i4>
      </vt:variant>
      <vt:variant>
        <vt:i4>5</vt:i4>
      </vt:variant>
      <vt:variant>
        <vt:lpwstr>http://vbaw.vba.va.gov/bl/21/publicat/Letters/TrngLtrs/TL11-05.doc</vt:lpwstr>
      </vt:variant>
      <vt:variant>
        <vt:lpwstr/>
      </vt:variant>
      <vt:variant>
        <vt:i4>8126506</vt:i4>
      </vt:variant>
      <vt:variant>
        <vt:i4>1758</vt:i4>
      </vt:variant>
      <vt:variant>
        <vt:i4>0</vt:i4>
      </vt:variant>
      <vt:variant>
        <vt:i4>5</vt:i4>
      </vt:variant>
      <vt:variant>
        <vt:lpwstr>http://vbaw.vba.va.gov/bl/21/publicat/Letters/FL11/FL11-019.doc</vt:lpwstr>
      </vt:variant>
      <vt:variant>
        <vt:lpwstr/>
      </vt:variant>
      <vt:variant>
        <vt:i4>7274551</vt:i4>
      </vt:variant>
      <vt:variant>
        <vt:i4>1755</vt:i4>
      </vt:variant>
      <vt:variant>
        <vt:i4>0</vt:i4>
      </vt:variant>
      <vt:variant>
        <vt:i4>5</vt:i4>
      </vt:variant>
      <vt:variant>
        <vt:lpwstr>http://vbaw.vba.va.gov/bl/21/calendar/agenda/FY11/0411.doc</vt:lpwstr>
      </vt:variant>
      <vt:variant>
        <vt:lpwstr/>
      </vt:variant>
      <vt:variant>
        <vt:i4>6488164</vt:i4>
      </vt:variant>
      <vt:variant>
        <vt:i4>1752</vt:i4>
      </vt:variant>
      <vt:variant>
        <vt:i4>0</vt:i4>
      </vt:variant>
      <vt:variant>
        <vt:i4>5</vt:i4>
      </vt:variant>
      <vt:variant>
        <vt:lpwstr>http://vbaw.vba.va.gov/bl/21/publicat/Letters/TrngLtrs/TL10-05.doc</vt:lpwstr>
      </vt:variant>
      <vt:variant>
        <vt:lpwstr/>
      </vt:variant>
      <vt:variant>
        <vt:i4>8257575</vt:i4>
      </vt:variant>
      <vt:variant>
        <vt:i4>1749</vt:i4>
      </vt:variant>
      <vt:variant>
        <vt:i4>0</vt:i4>
      </vt:variant>
      <vt:variant>
        <vt:i4>5</vt:i4>
      </vt:variant>
      <vt:variant>
        <vt:lpwstr>http://vbaw.vba.va.gov/bl/21/publicat/Letters/FL10/FL10-025.doc</vt:lpwstr>
      </vt:variant>
      <vt:variant>
        <vt:lpwstr/>
      </vt:variant>
      <vt:variant>
        <vt:i4>7143478</vt:i4>
      </vt:variant>
      <vt:variant>
        <vt:i4>1746</vt:i4>
      </vt:variant>
      <vt:variant>
        <vt:i4>0</vt:i4>
      </vt:variant>
      <vt:variant>
        <vt:i4>5</vt:i4>
      </vt:variant>
      <vt:variant>
        <vt:lpwstr>http://vbaw.vba.va.gov/bl/21/calendar/agenda/FY10/0710.doc</vt:lpwstr>
      </vt:variant>
      <vt:variant>
        <vt:lpwstr/>
      </vt:variant>
      <vt:variant>
        <vt:i4>7405657</vt:i4>
      </vt:variant>
      <vt:variant>
        <vt:i4>1743</vt:i4>
      </vt:variant>
      <vt:variant>
        <vt:i4>0</vt:i4>
      </vt:variant>
      <vt:variant>
        <vt:i4>5</vt:i4>
      </vt:variant>
      <vt:variant>
        <vt:lpwstr>http://vbaw.vba.va.gov/bl/21/publicat/Regs/Part3/3_304.htm</vt:lpwstr>
      </vt:variant>
      <vt:variant>
        <vt:lpwstr/>
      </vt:variant>
      <vt:variant>
        <vt:i4>3276863</vt:i4>
      </vt:variant>
      <vt:variant>
        <vt:i4>1740</vt:i4>
      </vt:variant>
      <vt:variant>
        <vt:i4>0</vt:i4>
      </vt:variant>
      <vt:variant>
        <vt:i4>5</vt:i4>
      </vt:variant>
      <vt:variant>
        <vt:lpwstr>http://www.lionessthefilm.com/</vt:lpwstr>
      </vt:variant>
      <vt:variant>
        <vt:lpwstr/>
      </vt:variant>
      <vt:variant>
        <vt:i4>6881334</vt:i4>
      </vt:variant>
      <vt:variant>
        <vt:i4>1737</vt:i4>
      </vt:variant>
      <vt:variant>
        <vt:i4>0</vt:i4>
      </vt:variant>
      <vt:variant>
        <vt:i4>5</vt:i4>
      </vt:variant>
      <vt:variant>
        <vt:lpwstr>http://vbaw.vba.va.gov/bl/21/calendar/agenda/FY10/0310.doc</vt:lpwstr>
      </vt:variant>
      <vt:variant>
        <vt:lpwstr/>
      </vt:variant>
      <vt:variant>
        <vt:i4>7405657</vt:i4>
      </vt:variant>
      <vt:variant>
        <vt:i4>1734</vt:i4>
      </vt:variant>
      <vt:variant>
        <vt:i4>0</vt:i4>
      </vt:variant>
      <vt:variant>
        <vt:i4>5</vt:i4>
      </vt:variant>
      <vt:variant>
        <vt:lpwstr>http://vbaw.vba.va.gov/bl/21/publicat/Regs/Part3/3_304.htm</vt:lpwstr>
      </vt:variant>
      <vt:variant>
        <vt:lpwstr/>
      </vt:variant>
      <vt:variant>
        <vt:i4>7667747</vt:i4>
      </vt:variant>
      <vt:variant>
        <vt:i4>1731</vt:i4>
      </vt:variant>
      <vt:variant>
        <vt:i4>0</vt:i4>
      </vt:variant>
      <vt:variant>
        <vt:i4>5</vt:i4>
      </vt:variant>
      <vt:variant>
        <vt:lpwstr>http://vbaw.vba.va.gov/bl/21/publicat/Letters/FL08/FL08-008.doc</vt:lpwstr>
      </vt:variant>
      <vt:variant>
        <vt:lpwstr/>
      </vt:variant>
      <vt:variant>
        <vt:i4>6619235</vt:i4>
      </vt:variant>
      <vt:variant>
        <vt:i4>1728</vt:i4>
      </vt:variant>
      <vt:variant>
        <vt:i4>0</vt:i4>
      </vt:variant>
      <vt:variant>
        <vt:i4>5</vt:i4>
      </vt:variant>
      <vt:variant>
        <vt:lpwstr>http://vbaw.vba.va.gov/bl/21/publicat/Letters/TrngLtrs/TL07-02.doc</vt:lpwstr>
      </vt:variant>
      <vt:variant>
        <vt:lpwstr/>
      </vt:variant>
      <vt:variant>
        <vt:i4>6488161</vt:i4>
      </vt:variant>
      <vt:variant>
        <vt:i4>1725</vt:i4>
      </vt:variant>
      <vt:variant>
        <vt:i4>0</vt:i4>
      </vt:variant>
      <vt:variant>
        <vt:i4>5</vt:i4>
      </vt:variant>
      <vt:variant>
        <vt:lpwstr>http://vbaw.vba.va.gov/bl/21/publicat/Letters/TrngLtrs/TL05-04.doc</vt:lpwstr>
      </vt:variant>
      <vt:variant>
        <vt:lpwstr/>
      </vt:variant>
      <vt:variant>
        <vt:i4>3670030</vt:i4>
      </vt:variant>
      <vt:variant>
        <vt:i4>1722</vt:i4>
      </vt:variant>
      <vt:variant>
        <vt:i4>0</vt:i4>
      </vt:variant>
      <vt:variant>
        <vt:i4>5</vt:i4>
      </vt:variant>
      <vt:variant>
        <vt:lpwstr>http://vbacodmoint1.vba.va.gov/bl/21/faq/FAQ_Answer.asp?ref=288</vt:lpwstr>
      </vt:variant>
      <vt:variant>
        <vt:lpwstr/>
      </vt:variant>
      <vt:variant>
        <vt:i4>3538957</vt:i4>
      </vt:variant>
      <vt:variant>
        <vt:i4>1719</vt:i4>
      </vt:variant>
      <vt:variant>
        <vt:i4>0</vt:i4>
      </vt:variant>
      <vt:variant>
        <vt:i4>5</vt:i4>
      </vt:variant>
      <vt:variant>
        <vt:lpwstr>http://vbacodmoint1.vba.va.gov/bl/21/faq/FAQ_Answer.asp?ref=162</vt:lpwstr>
      </vt:variant>
      <vt:variant>
        <vt:lpwstr/>
      </vt:variant>
      <vt:variant>
        <vt:i4>3538957</vt:i4>
      </vt:variant>
      <vt:variant>
        <vt:i4>1716</vt:i4>
      </vt:variant>
      <vt:variant>
        <vt:i4>0</vt:i4>
      </vt:variant>
      <vt:variant>
        <vt:i4>5</vt:i4>
      </vt:variant>
      <vt:variant>
        <vt:lpwstr>http://vbacodmoint1.vba.va.gov/bl/21/faq/FAQ_Answer.asp?ref=162</vt:lpwstr>
      </vt:variant>
      <vt:variant>
        <vt:lpwstr/>
      </vt:variant>
      <vt:variant>
        <vt:i4>3473421</vt:i4>
      </vt:variant>
      <vt:variant>
        <vt:i4>1713</vt:i4>
      </vt:variant>
      <vt:variant>
        <vt:i4>0</vt:i4>
      </vt:variant>
      <vt:variant>
        <vt:i4>5</vt:i4>
      </vt:variant>
      <vt:variant>
        <vt:lpwstr>http://vbacodmoint1.vba.va.gov/bl/21/faq/FAQ_Answer.asp?ref=159</vt:lpwstr>
      </vt:variant>
      <vt:variant>
        <vt:lpwstr/>
      </vt:variant>
      <vt:variant>
        <vt:i4>7733337</vt:i4>
      </vt:variant>
      <vt:variant>
        <vt:i4>1710</vt:i4>
      </vt:variant>
      <vt:variant>
        <vt:i4>0</vt:i4>
      </vt:variant>
      <vt:variant>
        <vt:i4>5</vt:i4>
      </vt:variant>
      <vt:variant>
        <vt:lpwstr>http://vbaw.vba.va.gov/bl/21/publicat/Regs/Part3/3_303.htm</vt:lpwstr>
      </vt:variant>
      <vt:variant>
        <vt:lpwstr/>
      </vt:variant>
      <vt:variant>
        <vt:i4>7667750</vt:i4>
      </vt:variant>
      <vt:variant>
        <vt:i4>1707</vt:i4>
      </vt:variant>
      <vt:variant>
        <vt:i4>0</vt:i4>
      </vt:variant>
      <vt:variant>
        <vt:i4>5</vt:i4>
      </vt:variant>
      <vt:variant>
        <vt:lpwstr>http://vbaw.vba.va.gov/bl/21/publicat/Letters/FL99/FL99-085.doc</vt:lpwstr>
      </vt:variant>
      <vt:variant>
        <vt:lpwstr/>
      </vt:variant>
      <vt:variant>
        <vt:i4>2293849</vt:i4>
      </vt:variant>
      <vt:variant>
        <vt:i4>1704</vt:i4>
      </vt:variant>
      <vt:variant>
        <vt:i4>0</vt:i4>
      </vt:variant>
      <vt:variant>
        <vt:i4>5</vt:i4>
      </vt:variant>
      <vt:variant>
        <vt:lpwstr>http://vbaw.vba.va.gov/bl/21/publicat/Letters/FL96/Fl6_095.doc</vt:lpwstr>
      </vt:variant>
      <vt:variant>
        <vt:lpwstr/>
      </vt:variant>
      <vt:variant>
        <vt:i4>2490484</vt:i4>
      </vt:variant>
      <vt:variant>
        <vt:i4>1701</vt:i4>
      </vt:variant>
      <vt:variant>
        <vt:i4>0</vt:i4>
      </vt:variant>
      <vt:variant>
        <vt:i4>5</vt:i4>
      </vt:variant>
      <vt:variant>
        <vt:lpwstr>http://vbaw.vba.va.gov/bl/21/Advisory/DADS/1996dads/Moreau.doc</vt:lpwstr>
      </vt:variant>
      <vt:variant>
        <vt:lpwstr/>
      </vt:variant>
      <vt:variant>
        <vt:i4>6553714</vt:i4>
      </vt:variant>
      <vt:variant>
        <vt:i4>1698</vt:i4>
      </vt:variant>
      <vt:variant>
        <vt:i4>0</vt:i4>
      </vt:variant>
      <vt:variant>
        <vt:i4>5</vt:i4>
      </vt:variant>
      <vt:variant>
        <vt:lpwstr>http://vbaw.vba.va.gov/BL/21/M21/content/infomap.asp?address=M21-1MRIII.iv.3.D.18.d</vt:lpwstr>
      </vt:variant>
      <vt:variant>
        <vt:lpwstr/>
      </vt:variant>
      <vt:variant>
        <vt:i4>1572935</vt:i4>
      </vt:variant>
      <vt:variant>
        <vt:i4>1695</vt:i4>
      </vt:variant>
      <vt:variant>
        <vt:i4>0</vt:i4>
      </vt:variant>
      <vt:variant>
        <vt:i4>5</vt:i4>
      </vt:variant>
      <vt:variant>
        <vt:lpwstr>http://vbaw.vba.va.gov/BL/21/M21/content/infomap.asp?address=M21-1MRIV.ii.1.D.14</vt:lpwstr>
      </vt:variant>
      <vt:variant>
        <vt:lpwstr/>
      </vt:variant>
      <vt:variant>
        <vt:i4>2752548</vt:i4>
      </vt:variant>
      <vt:variant>
        <vt:i4>1691</vt:i4>
      </vt:variant>
      <vt:variant>
        <vt:i4>0</vt:i4>
      </vt:variant>
      <vt:variant>
        <vt:i4>5</vt:i4>
      </vt:variant>
      <vt:variant>
        <vt:lpwstr>http://vbaw.vba.va.gov/BL/21/M21/content/infomap.asp?address=M21-1MRIII.iv.4.H.29</vt:lpwstr>
      </vt:variant>
      <vt:variant>
        <vt:lpwstr>M21-1MRIII.iv.4.H.29.d</vt:lpwstr>
      </vt:variant>
      <vt:variant>
        <vt:i4>2686992</vt:i4>
      </vt:variant>
      <vt:variant>
        <vt:i4>1689</vt:i4>
      </vt:variant>
      <vt:variant>
        <vt:i4>0</vt:i4>
      </vt:variant>
      <vt:variant>
        <vt:i4>5</vt:i4>
      </vt:variant>
      <vt:variant>
        <vt:lpwstr>http://vbaw.vba.va.gov/bl/21/M21-1MR/index.asp?id=pt03_sp04_ch04_secH.xml</vt:lpwstr>
      </vt:variant>
      <vt:variant>
        <vt:lpwstr/>
      </vt:variant>
      <vt:variant>
        <vt:i4>7929895</vt:i4>
      </vt:variant>
      <vt:variant>
        <vt:i4>1686</vt:i4>
      </vt:variant>
      <vt:variant>
        <vt:i4>0</vt:i4>
      </vt:variant>
      <vt:variant>
        <vt:i4>5</vt:i4>
      </vt:variant>
      <vt:variant>
        <vt:lpwstr>http://vbaw.vba.va.gov/bl/21/publicat/Letters/FL05/FL05-011.doc</vt:lpwstr>
      </vt:variant>
      <vt:variant>
        <vt:lpwstr/>
      </vt:variant>
      <vt:variant>
        <vt:i4>2293796</vt:i4>
      </vt:variant>
      <vt:variant>
        <vt:i4>1683</vt:i4>
      </vt:variant>
      <vt:variant>
        <vt:i4>0</vt:i4>
      </vt:variant>
      <vt:variant>
        <vt:i4>5</vt:i4>
      </vt:variant>
      <vt:variant>
        <vt:lpwstr>http://vbaw.vba.va.gov/bl/21/publicat/Letters/TrngLtrs/TL04-02A.doc</vt:lpwstr>
      </vt:variant>
      <vt:variant>
        <vt:lpwstr/>
      </vt:variant>
      <vt:variant>
        <vt:i4>2752548</vt:i4>
      </vt:variant>
      <vt:variant>
        <vt:i4>1680</vt:i4>
      </vt:variant>
      <vt:variant>
        <vt:i4>0</vt:i4>
      </vt:variant>
      <vt:variant>
        <vt:i4>5</vt:i4>
      </vt:variant>
      <vt:variant>
        <vt:lpwstr>http://vbaw.vba.va.gov/BL/21/M21/content/infomap.asp?address=M21-1MRIII.iv.4.H.29</vt:lpwstr>
      </vt:variant>
      <vt:variant>
        <vt:lpwstr>M21-1MRIII.iv.4.H.29.d</vt:lpwstr>
      </vt:variant>
      <vt:variant>
        <vt:i4>1966165</vt:i4>
      </vt:variant>
      <vt:variant>
        <vt:i4>1677</vt:i4>
      </vt:variant>
      <vt:variant>
        <vt:i4>0</vt:i4>
      </vt:variant>
      <vt:variant>
        <vt:i4>5</vt:i4>
      </vt:variant>
      <vt:variant>
        <vt:lpwstr>http://vbaw.vba.va.gov/bl/21/rating/rat06.htm</vt:lpwstr>
      </vt:variant>
      <vt:variant>
        <vt:lpwstr/>
      </vt:variant>
      <vt:variant>
        <vt:i4>524306</vt:i4>
      </vt:variant>
      <vt:variant>
        <vt:i4>1674</vt:i4>
      </vt:variant>
      <vt:variant>
        <vt:i4>0</vt:i4>
      </vt:variant>
      <vt:variant>
        <vt:i4>5</vt:i4>
      </vt:variant>
      <vt:variant>
        <vt:lpwstr>\\vbasdcfpc2\SHARED\VSC\Development &amp; Rating Resources\QRT Bulletin</vt:lpwstr>
      </vt:variant>
      <vt:variant>
        <vt:lpwstr/>
      </vt:variant>
      <vt:variant>
        <vt:i4>1704007</vt:i4>
      </vt:variant>
      <vt:variant>
        <vt:i4>1671</vt:i4>
      </vt:variant>
      <vt:variant>
        <vt:i4>0</vt:i4>
      </vt:variant>
      <vt:variant>
        <vt:i4>5</vt:i4>
      </vt:variant>
      <vt:variant>
        <vt:lpwstr>http://vbaw.vba.va.gov/BL/21/M21/content/infomap.asp?address=M21-1MRIV.ii.1.D.16</vt:lpwstr>
      </vt:variant>
      <vt:variant>
        <vt:lpwstr/>
      </vt:variant>
      <vt:variant>
        <vt:i4>983132</vt:i4>
      </vt:variant>
      <vt:variant>
        <vt:i4>1668</vt:i4>
      </vt:variant>
      <vt:variant>
        <vt:i4>0</vt:i4>
      </vt:variant>
      <vt:variant>
        <vt:i4>5</vt:i4>
      </vt:variant>
      <vt:variant>
        <vt:lpwstr>http://vbaw.vba.va.gov/BL/21/M21/content/infomap.asp?address=M21-1MRIV.ii.1.D.15</vt:lpwstr>
      </vt:variant>
      <vt:variant>
        <vt:lpwstr>M21-1MRIV.ii.1.D.15.n</vt:lpwstr>
      </vt:variant>
      <vt:variant>
        <vt:i4>983132</vt:i4>
      </vt:variant>
      <vt:variant>
        <vt:i4>1665</vt:i4>
      </vt:variant>
      <vt:variant>
        <vt:i4>0</vt:i4>
      </vt:variant>
      <vt:variant>
        <vt:i4>5</vt:i4>
      </vt:variant>
      <vt:variant>
        <vt:lpwstr>http://vbaw.vba.va.gov/BL/21/M21/content/infomap.asp?address=M21-1MRIV.ii.1.D.15</vt:lpwstr>
      </vt:variant>
      <vt:variant>
        <vt:lpwstr>M21-1MRIV.ii.1.D.15.l</vt:lpwstr>
      </vt:variant>
      <vt:variant>
        <vt:i4>3997729</vt:i4>
      </vt:variant>
      <vt:variant>
        <vt:i4>1662</vt:i4>
      </vt:variant>
      <vt:variant>
        <vt:i4>0</vt:i4>
      </vt:variant>
      <vt:variant>
        <vt:i4>5</vt:i4>
      </vt:variant>
      <vt:variant>
        <vt:lpwstr>http://vbaw.vba.va.gov/BL/21/M21/content/contents.asp?address=M21-1MRIV.ii.1.D</vt:lpwstr>
      </vt:variant>
      <vt:variant>
        <vt:lpwstr/>
      </vt:variant>
      <vt:variant>
        <vt:i4>3080251</vt:i4>
      </vt:variant>
      <vt:variant>
        <vt:i4>1659</vt:i4>
      </vt:variant>
      <vt:variant>
        <vt:i4>0</vt:i4>
      </vt:variant>
      <vt:variant>
        <vt:i4>5</vt:i4>
      </vt:variant>
      <vt:variant>
        <vt:lpwstr>http://vbaw.vba.va.gov/BL/21/M21/content/contents.asp?address=M21-1MRIII.iv.4.H</vt:lpwstr>
      </vt:variant>
      <vt:variant>
        <vt:lpwstr/>
      </vt:variant>
      <vt:variant>
        <vt:i4>7405657</vt:i4>
      </vt:variant>
      <vt:variant>
        <vt:i4>1656</vt:i4>
      </vt:variant>
      <vt:variant>
        <vt:i4>0</vt:i4>
      </vt:variant>
      <vt:variant>
        <vt:i4>5</vt:i4>
      </vt:variant>
      <vt:variant>
        <vt:lpwstr>http://vbaw.vba.va.gov/bl/21/publicat/Regs/Part3/3_304.htm</vt:lpwstr>
      </vt:variant>
      <vt:variant>
        <vt:lpwstr/>
      </vt:variant>
      <vt:variant>
        <vt:i4>3080286</vt:i4>
      </vt:variant>
      <vt:variant>
        <vt:i4>1653</vt:i4>
      </vt:variant>
      <vt:variant>
        <vt:i4>0</vt:i4>
      </vt:variant>
      <vt:variant>
        <vt:i4>5</vt:i4>
      </vt:variant>
      <vt:variant>
        <vt:lpwstr>http://vbaw.vba.va.gov/bl/21/publicat/Regs/Part4/4_87a.htm</vt:lpwstr>
      </vt:variant>
      <vt:variant>
        <vt:lpwstr/>
      </vt:variant>
      <vt:variant>
        <vt:i4>524306</vt:i4>
      </vt:variant>
      <vt:variant>
        <vt:i4>1650</vt:i4>
      </vt:variant>
      <vt:variant>
        <vt:i4>0</vt:i4>
      </vt:variant>
      <vt:variant>
        <vt:i4>5</vt:i4>
      </vt:variant>
      <vt:variant>
        <vt:lpwstr>\\vbasdcfpc2\SHARED\VSC\Development &amp; Rating Resources\QRT Bulletin</vt:lpwstr>
      </vt:variant>
      <vt:variant>
        <vt:lpwstr/>
      </vt:variant>
      <vt:variant>
        <vt:i4>524306</vt:i4>
      </vt:variant>
      <vt:variant>
        <vt:i4>1647</vt:i4>
      </vt:variant>
      <vt:variant>
        <vt:i4>0</vt:i4>
      </vt:variant>
      <vt:variant>
        <vt:i4>5</vt:i4>
      </vt:variant>
      <vt:variant>
        <vt:lpwstr>\\vbasdcfpc2\SHARED\VSC\Development &amp; Rating Resources\QRT Bulletin</vt:lpwstr>
      </vt:variant>
      <vt:variant>
        <vt:lpwstr/>
      </vt:variant>
      <vt:variant>
        <vt:i4>8323111</vt:i4>
      </vt:variant>
      <vt:variant>
        <vt:i4>1644</vt:i4>
      </vt:variant>
      <vt:variant>
        <vt:i4>0</vt:i4>
      </vt:variant>
      <vt:variant>
        <vt:i4>5</vt:i4>
      </vt:variant>
      <vt:variant>
        <vt:lpwstr>http://vbaw.vba.va.gov/bl/21/publicat/Letters/FL03/FL03-017.doc</vt:lpwstr>
      </vt:variant>
      <vt:variant>
        <vt:lpwstr/>
      </vt:variant>
      <vt:variant>
        <vt:i4>524306</vt:i4>
      </vt:variant>
      <vt:variant>
        <vt:i4>1641</vt:i4>
      </vt:variant>
      <vt:variant>
        <vt:i4>0</vt:i4>
      </vt:variant>
      <vt:variant>
        <vt:i4>5</vt:i4>
      </vt:variant>
      <vt:variant>
        <vt:lpwstr>\\vbasdcfpc2\SHARED\VSC\Development &amp; Rating Resources\QRT Bulletin</vt:lpwstr>
      </vt:variant>
      <vt:variant>
        <vt:lpwstr/>
      </vt:variant>
      <vt:variant>
        <vt:i4>7143476</vt:i4>
      </vt:variant>
      <vt:variant>
        <vt:i4>1638</vt:i4>
      </vt:variant>
      <vt:variant>
        <vt:i4>0</vt:i4>
      </vt:variant>
      <vt:variant>
        <vt:i4>5</vt:i4>
      </vt:variant>
      <vt:variant>
        <vt:lpwstr>http://vbaw.vba.va.gov/bl/21/calendar/Agenda/FY12/0512.doc</vt:lpwstr>
      </vt:variant>
      <vt:variant>
        <vt:lpwstr/>
      </vt:variant>
      <vt:variant>
        <vt:i4>7733337</vt:i4>
      </vt:variant>
      <vt:variant>
        <vt:i4>1635</vt:i4>
      </vt:variant>
      <vt:variant>
        <vt:i4>0</vt:i4>
      </vt:variant>
      <vt:variant>
        <vt:i4>5</vt:i4>
      </vt:variant>
      <vt:variant>
        <vt:lpwstr>http://vbaw.vba.va.gov/bl/21/publicat/Regs/Part3/3_303.htm</vt:lpwstr>
      </vt:variant>
      <vt:variant>
        <vt:lpwstr/>
      </vt:variant>
      <vt:variant>
        <vt:i4>4259925</vt:i4>
      </vt:variant>
      <vt:variant>
        <vt:i4>1632</vt:i4>
      </vt:variant>
      <vt:variant>
        <vt:i4>0</vt:i4>
      </vt:variant>
      <vt:variant>
        <vt:i4>5</vt:i4>
      </vt:variant>
      <vt:variant>
        <vt:lpwstr>http://vbaw.vba.va.gov/bl/21/systems/docs/hearinglosscalculatorUG.pdf</vt:lpwstr>
      </vt:variant>
      <vt:variant>
        <vt:lpwstr/>
      </vt:variant>
      <vt:variant>
        <vt:i4>1966163</vt:i4>
      </vt:variant>
      <vt:variant>
        <vt:i4>1629</vt:i4>
      </vt:variant>
      <vt:variant>
        <vt:i4>0</vt:i4>
      </vt:variant>
      <vt:variant>
        <vt:i4>5</vt:i4>
      </vt:variant>
      <vt:variant>
        <vt:lpwstr>http://vbaw.vba.va.gov/bl/21/rating/rat00.htm</vt:lpwstr>
      </vt:variant>
      <vt:variant>
        <vt:lpwstr/>
      </vt:variant>
      <vt:variant>
        <vt:i4>6291558</vt:i4>
      </vt:variant>
      <vt:variant>
        <vt:i4>1626</vt:i4>
      </vt:variant>
      <vt:variant>
        <vt:i4>0</vt:i4>
      </vt:variant>
      <vt:variant>
        <vt:i4>5</vt:i4>
      </vt:variant>
      <vt:variant>
        <vt:lpwstr>http://vbaw.vba.va.gov/bl/21/systems/docs/hearing_loss_calculator.xls</vt:lpwstr>
      </vt:variant>
      <vt:variant>
        <vt:lpwstr/>
      </vt:variant>
      <vt:variant>
        <vt:i4>1966163</vt:i4>
      </vt:variant>
      <vt:variant>
        <vt:i4>1623</vt:i4>
      </vt:variant>
      <vt:variant>
        <vt:i4>0</vt:i4>
      </vt:variant>
      <vt:variant>
        <vt:i4>5</vt:i4>
      </vt:variant>
      <vt:variant>
        <vt:lpwstr>http://vbaw.vba.va.gov/bl/21/rating/rat00.htm</vt:lpwstr>
      </vt:variant>
      <vt:variant>
        <vt:lpwstr/>
      </vt:variant>
      <vt:variant>
        <vt:i4>7864362</vt:i4>
      </vt:variant>
      <vt:variant>
        <vt:i4>1620</vt:i4>
      </vt:variant>
      <vt:variant>
        <vt:i4>0</vt:i4>
      </vt:variant>
      <vt:variant>
        <vt:i4>5</vt:i4>
      </vt:variant>
      <vt:variant>
        <vt:lpwstr>http://vbaw.vba.va.gov/bl/21/publicat/Letters/FL10/FL10-048.doc</vt:lpwstr>
      </vt:variant>
      <vt:variant>
        <vt:lpwstr/>
      </vt:variant>
      <vt:variant>
        <vt:i4>5832796</vt:i4>
      </vt:variant>
      <vt:variant>
        <vt:i4>1617</vt:i4>
      </vt:variant>
      <vt:variant>
        <vt:i4>0</vt:i4>
      </vt:variant>
      <vt:variant>
        <vt:i4>5</vt:i4>
      </vt:variant>
      <vt:variant>
        <vt:lpwstr>http://vbaw.vba.va.gov/bl/21/rating/docs/dutymosnoise.xls</vt:lpwstr>
      </vt:variant>
      <vt:variant>
        <vt:lpwstr/>
      </vt:variant>
      <vt:variant>
        <vt:i4>8323111</vt:i4>
      </vt:variant>
      <vt:variant>
        <vt:i4>1614</vt:i4>
      </vt:variant>
      <vt:variant>
        <vt:i4>0</vt:i4>
      </vt:variant>
      <vt:variant>
        <vt:i4>5</vt:i4>
      </vt:variant>
      <vt:variant>
        <vt:lpwstr>http://vbaw.vba.va.gov/bl/21/publicat/Letters/FL10/FL10-035.doc</vt:lpwstr>
      </vt:variant>
      <vt:variant>
        <vt:lpwstr/>
      </vt:variant>
      <vt:variant>
        <vt:i4>6553700</vt:i4>
      </vt:variant>
      <vt:variant>
        <vt:i4>1611</vt:i4>
      </vt:variant>
      <vt:variant>
        <vt:i4>0</vt:i4>
      </vt:variant>
      <vt:variant>
        <vt:i4>5</vt:i4>
      </vt:variant>
      <vt:variant>
        <vt:lpwstr>http://vbaw.vba.va.gov/bl/21/publicat/Letters/TrngLtrs/TL10-02.doc</vt:lpwstr>
      </vt:variant>
      <vt:variant>
        <vt:lpwstr/>
      </vt:variant>
      <vt:variant>
        <vt:i4>6422637</vt:i4>
      </vt:variant>
      <vt:variant>
        <vt:i4>1608</vt:i4>
      </vt:variant>
      <vt:variant>
        <vt:i4>0</vt:i4>
      </vt:variant>
      <vt:variant>
        <vt:i4>5</vt:i4>
      </vt:variant>
      <vt:variant>
        <vt:lpwstr>http://vbaw.vba.va.gov/bl/21/publicat/Letters/TrngLtrs/TL09-05.doc</vt:lpwstr>
      </vt:variant>
      <vt:variant>
        <vt:lpwstr/>
      </vt:variant>
      <vt:variant>
        <vt:i4>4915274</vt:i4>
      </vt:variant>
      <vt:variant>
        <vt:i4>1604</vt:i4>
      </vt:variant>
      <vt:variant>
        <vt:i4>0</vt:i4>
      </vt:variant>
      <vt:variant>
        <vt:i4>5</vt:i4>
      </vt:variant>
      <vt:variant>
        <vt:lpwstr>http://vbaw.vba.va.gov/BL/21/M21/content/infomap.asp?address=M21-1MRIII.iv.4.B.12</vt:lpwstr>
      </vt:variant>
      <vt:variant>
        <vt:lpwstr/>
      </vt:variant>
      <vt:variant>
        <vt:i4>8323165</vt:i4>
      </vt:variant>
      <vt:variant>
        <vt:i4>1602</vt:i4>
      </vt:variant>
      <vt:variant>
        <vt:i4>0</vt:i4>
      </vt:variant>
      <vt:variant>
        <vt:i4>5</vt:i4>
      </vt:variant>
      <vt:variant>
        <vt:lpwstr>http://vbaw.vba.va.gov/bl/21/M21-1MR/index.asp?id=pt03_sp04_ch04_secB.xml</vt:lpwstr>
      </vt:variant>
      <vt:variant>
        <vt:lpwstr>III.iv.4.B.12</vt:lpwstr>
      </vt:variant>
      <vt:variant>
        <vt:i4>6422637</vt:i4>
      </vt:variant>
      <vt:variant>
        <vt:i4>1599</vt:i4>
      </vt:variant>
      <vt:variant>
        <vt:i4>0</vt:i4>
      </vt:variant>
      <vt:variant>
        <vt:i4>5</vt:i4>
      </vt:variant>
      <vt:variant>
        <vt:lpwstr>http://vbaw.vba.va.gov/bl/21/publicat/Letters/TrngLtrs/TL09-05.doc</vt:lpwstr>
      </vt:variant>
      <vt:variant>
        <vt:lpwstr/>
      </vt:variant>
      <vt:variant>
        <vt:i4>7471193</vt:i4>
      </vt:variant>
      <vt:variant>
        <vt:i4>1596</vt:i4>
      </vt:variant>
      <vt:variant>
        <vt:i4>0</vt:i4>
      </vt:variant>
      <vt:variant>
        <vt:i4>5</vt:i4>
      </vt:variant>
      <vt:variant>
        <vt:lpwstr>http://vbaw.vba.va.gov/bl/21/publicat/Regs/Part3/3_400.htm</vt:lpwstr>
      </vt:variant>
      <vt:variant>
        <vt:lpwstr/>
      </vt:variant>
      <vt:variant>
        <vt:i4>2556026</vt:i4>
      </vt:variant>
      <vt:variant>
        <vt:i4>1593</vt:i4>
      </vt:variant>
      <vt:variant>
        <vt:i4>0</vt:i4>
      </vt:variant>
      <vt:variant>
        <vt:i4>5</vt:i4>
      </vt:variant>
      <vt:variant>
        <vt:lpwstr>http://vbaw.vba.va.gov/bl/21/calendar/agenda/FY09/0309a.doc</vt:lpwstr>
      </vt:variant>
      <vt:variant>
        <vt:lpwstr/>
      </vt:variant>
      <vt:variant>
        <vt:i4>3473456</vt:i4>
      </vt:variant>
      <vt:variant>
        <vt:i4>1590</vt:i4>
      </vt:variant>
      <vt:variant>
        <vt:i4>0</vt:i4>
      </vt:variant>
      <vt:variant>
        <vt:i4>5</vt:i4>
      </vt:variant>
      <vt:variant>
        <vt:lpwstr>http://www.merckmanuals.com/professional/index.html</vt:lpwstr>
      </vt:variant>
      <vt:variant>
        <vt:lpwstr/>
      </vt:variant>
      <vt:variant>
        <vt:i4>65615</vt:i4>
      </vt:variant>
      <vt:variant>
        <vt:i4>1587</vt:i4>
      </vt:variant>
      <vt:variant>
        <vt:i4>0</vt:i4>
      </vt:variant>
      <vt:variant>
        <vt:i4>5</vt:i4>
      </vt:variant>
      <vt:variant>
        <vt:lpwstr>http://vbaw.vba.va.gov/bl/21/calendar/agenda/FY03/Agenda0303.htm</vt:lpwstr>
      </vt:variant>
      <vt:variant>
        <vt:lpwstr/>
      </vt:variant>
      <vt:variant>
        <vt:i4>3604494</vt:i4>
      </vt:variant>
      <vt:variant>
        <vt:i4>1584</vt:i4>
      </vt:variant>
      <vt:variant>
        <vt:i4>0</vt:i4>
      </vt:variant>
      <vt:variant>
        <vt:i4>5</vt:i4>
      </vt:variant>
      <vt:variant>
        <vt:lpwstr>http://vbacodmoint1.vba.va.gov/bl/21/faq/FAQ_Answer.asp?ref=274</vt:lpwstr>
      </vt:variant>
      <vt:variant>
        <vt:lpwstr/>
      </vt:variant>
      <vt:variant>
        <vt:i4>3473413</vt:i4>
      </vt:variant>
      <vt:variant>
        <vt:i4>1581</vt:i4>
      </vt:variant>
      <vt:variant>
        <vt:i4>0</vt:i4>
      </vt:variant>
      <vt:variant>
        <vt:i4>5</vt:i4>
      </vt:variant>
      <vt:variant>
        <vt:lpwstr>http://vbacodmoint1.vba.va.gov/bl/21/faq/FAQ_Answer.asp?ref=95</vt:lpwstr>
      </vt:variant>
      <vt:variant>
        <vt:lpwstr/>
      </vt:variant>
      <vt:variant>
        <vt:i4>3735556</vt:i4>
      </vt:variant>
      <vt:variant>
        <vt:i4>1578</vt:i4>
      </vt:variant>
      <vt:variant>
        <vt:i4>0</vt:i4>
      </vt:variant>
      <vt:variant>
        <vt:i4>5</vt:i4>
      </vt:variant>
      <vt:variant>
        <vt:lpwstr>http://vbacodmoint1.vba.va.gov/bl/21/faq/FAQ_Answer.asp?ref=89</vt:lpwstr>
      </vt:variant>
      <vt:variant>
        <vt:lpwstr/>
      </vt:variant>
      <vt:variant>
        <vt:i4>3538949</vt:i4>
      </vt:variant>
      <vt:variant>
        <vt:i4>1575</vt:i4>
      </vt:variant>
      <vt:variant>
        <vt:i4>0</vt:i4>
      </vt:variant>
      <vt:variant>
        <vt:i4>5</vt:i4>
      </vt:variant>
      <vt:variant>
        <vt:lpwstr>http://vbacodmoint1.vba.va.gov/bl/21/faq/FAQ_Answer.asp?ref=96</vt:lpwstr>
      </vt:variant>
      <vt:variant>
        <vt:lpwstr/>
      </vt:variant>
      <vt:variant>
        <vt:i4>4915274</vt:i4>
      </vt:variant>
      <vt:variant>
        <vt:i4>1571</vt:i4>
      </vt:variant>
      <vt:variant>
        <vt:i4>0</vt:i4>
      </vt:variant>
      <vt:variant>
        <vt:i4>5</vt:i4>
      </vt:variant>
      <vt:variant>
        <vt:lpwstr>http://vbaw.vba.va.gov/BL/21/M21/content/infomap.asp?address=M21-1MRIII.iv.4.B.12</vt:lpwstr>
      </vt:variant>
      <vt:variant>
        <vt:lpwstr/>
      </vt:variant>
      <vt:variant>
        <vt:i4>8323165</vt:i4>
      </vt:variant>
      <vt:variant>
        <vt:i4>1569</vt:i4>
      </vt:variant>
      <vt:variant>
        <vt:i4>0</vt:i4>
      </vt:variant>
      <vt:variant>
        <vt:i4>5</vt:i4>
      </vt:variant>
      <vt:variant>
        <vt:lpwstr>http://vbaw.vba.va.gov/bl/21/M21-1MR/index.asp?id=pt03_sp04_ch04_secB.xml</vt:lpwstr>
      </vt:variant>
      <vt:variant>
        <vt:lpwstr>III.iv.4.B.12</vt:lpwstr>
      </vt:variant>
      <vt:variant>
        <vt:i4>1114220</vt:i4>
      </vt:variant>
      <vt:variant>
        <vt:i4>1566</vt:i4>
      </vt:variant>
      <vt:variant>
        <vt:i4>0</vt:i4>
      </vt:variant>
      <vt:variant>
        <vt:i4>5</vt:i4>
      </vt:variant>
      <vt:variant>
        <vt:lpwstr>http://vbaw.vba.va.gov/bl/21/publicat/Regs/Part4/4_87.htm</vt:lpwstr>
      </vt:variant>
      <vt:variant>
        <vt:lpwstr/>
      </vt:variant>
      <vt:variant>
        <vt:i4>1114221</vt:i4>
      </vt:variant>
      <vt:variant>
        <vt:i4>1563</vt:i4>
      </vt:variant>
      <vt:variant>
        <vt:i4>0</vt:i4>
      </vt:variant>
      <vt:variant>
        <vt:i4>5</vt:i4>
      </vt:variant>
      <vt:variant>
        <vt:lpwstr>http://vbaw.vba.va.gov/bl/21/publicat/Regs/Part4/4_86.htm</vt:lpwstr>
      </vt:variant>
      <vt:variant>
        <vt:lpwstr/>
      </vt:variant>
      <vt:variant>
        <vt:i4>1114222</vt:i4>
      </vt:variant>
      <vt:variant>
        <vt:i4>1560</vt:i4>
      </vt:variant>
      <vt:variant>
        <vt:i4>0</vt:i4>
      </vt:variant>
      <vt:variant>
        <vt:i4>5</vt:i4>
      </vt:variant>
      <vt:variant>
        <vt:lpwstr>http://vbaw.vba.va.gov/bl/21/publicat/Regs/Part4/4_85.htm</vt:lpwstr>
      </vt:variant>
      <vt:variant>
        <vt:lpwstr/>
      </vt:variant>
      <vt:variant>
        <vt:i4>7340113</vt:i4>
      </vt:variant>
      <vt:variant>
        <vt:i4>1557</vt:i4>
      </vt:variant>
      <vt:variant>
        <vt:i4>0</vt:i4>
      </vt:variant>
      <vt:variant>
        <vt:i4>5</vt:i4>
      </vt:variant>
      <vt:variant>
        <vt:lpwstr>http://vbaw.vba.va.gov/bl/21/publicat/Regs/Part3/3_385.htm</vt:lpwstr>
      </vt:variant>
      <vt:variant>
        <vt:lpwstr/>
      </vt:variant>
      <vt:variant>
        <vt:i4>8257625</vt:i4>
      </vt:variant>
      <vt:variant>
        <vt:i4>1554</vt:i4>
      </vt:variant>
      <vt:variant>
        <vt:i4>0</vt:i4>
      </vt:variant>
      <vt:variant>
        <vt:i4>5</vt:i4>
      </vt:variant>
      <vt:variant>
        <vt:lpwstr>http://vbaw.vba.va.gov/bl/21/publicat/Regs/Part3/3_800.htm</vt:lpwstr>
      </vt:variant>
      <vt:variant>
        <vt:lpwstr/>
      </vt:variant>
      <vt:variant>
        <vt:i4>2031685</vt:i4>
      </vt:variant>
      <vt:variant>
        <vt:i4>1551</vt:i4>
      </vt:variant>
      <vt:variant>
        <vt:i4>0</vt:i4>
      </vt:variant>
      <vt:variant>
        <vt:i4>5</vt:i4>
      </vt:variant>
      <vt:variant>
        <vt:lpwstr>http://vbaw.vba.va.gov/BL/21/M21/content/infomap.asp?address=M21-1MRIV.ii.2.G.33</vt:lpwstr>
      </vt:variant>
      <vt:variant>
        <vt:lpwstr/>
      </vt:variant>
      <vt:variant>
        <vt:i4>8257625</vt:i4>
      </vt:variant>
      <vt:variant>
        <vt:i4>1548</vt:i4>
      </vt:variant>
      <vt:variant>
        <vt:i4>0</vt:i4>
      </vt:variant>
      <vt:variant>
        <vt:i4>5</vt:i4>
      </vt:variant>
      <vt:variant>
        <vt:lpwstr>http://vbaw.vba.va.gov/bl/21/publicat/Regs/Part3/3_800.htm</vt:lpwstr>
      </vt:variant>
      <vt:variant>
        <vt:lpwstr/>
      </vt:variant>
      <vt:variant>
        <vt:i4>7471193</vt:i4>
      </vt:variant>
      <vt:variant>
        <vt:i4>1545</vt:i4>
      </vt:variant>
      <vt:variant>
        <vt:i4>0</vt:i4>
      </vt:variant>
      <vt:variant>
        <vt:i4>5</vt:i4>
      </vt:variant>
      <vt:variant>
        <vt:lpwstr>http://vbaw.vba.va.gov/bl/21/publicat/Regs/Part3/3_400.htm</vt:lpwstr>
      </vt:variant>
      <vt:variant>
        <vt:lpwstr/>
      </vt:variant>
      <vt:variant>
        <vt:i4>8192092</vt:i4>
      </vt:variant>
      <vt:variant>
        <vt:i4>1542</vt:i4>
      </vt:variant>
      <vt:variant>
        <vt:i4>0</vt:i4>
      </vt:variant>
      <vt:variant>
        <vt:i4>5</vt:i4>
      </vt:variant>
      <vt:variant>
        <vt:lpwstr>http://vbaw.vba.va.gov/bl/21/publicat/Regs/Part3/3_358.htm</vt:lpwstr>
      </vt:variant>
      <vt:variant>
        <vt:lpwstr/>
      </vt:variant>
      <vt:variant>
        <vt:i4>7340121</vt:i4>
      </vt:variant>
      <vt:variant>
        <vt:i4>1539</vt:i4>
      </vt:variant>
      <vt:variant>
        <vt:i4>0</vt:i4>
      </vt:variant>
      <vt:variant>
        <vt:i4>5</vt:i4>
      </vt:variant>
      <vt:variant>
        <vt:lpwstr>http://vbaw.vba.va.gov/bl/21/publicat/Regs/Part3/3_503.htm</vt:lpwstr>
      </vt:variant>
      <vt:variant>
        <vt:lpwstr/>
      </vt:variant>
      <vt:variant>
        <vt:i4>7602268</vt:i4>
      </vt:variant>
      <vt:variant>
        <vt:i4>1536</vt:i4>
      </vt:variant>
      <vt:variant>
        <vt:i4>0</vt:i4>
      </vt:variant>
      <vt:variant>
        <vt:i4>5</vt:i4>
      </vt:variant>
      <vt:variant>
        <vt:lpwstr>http://vbaw.vba.va.gov/bl/21/publicat/Regs/Part3/3_654.htm</vt:lpwstr>
      </vt:variant>
      <vt:variant>
        <vt:lpwstr/>
      </vt:variant>
      <vt:variant>
        <vt:i4>7471193</vt:i4>
      </vt:variant>
      <vt:variant>
        <vt:i4>1533</vt:i4>
      </vt:variant>
      <vt:variant>
        <vt:i4>0</vt:i4>
      </vt:variant>
      <vt:variant>
        <vt:i4>5</vt:i4>
      </vt:variant>
      <vt:variant>
        <vt:lpwstr>http://vbaw.vba.va.gov/bl/21/publicat/Regs/Part3/3_501.htm</vt:lpwstr>
      </vt:variant>
      <vt:variant>
        <vt:lpwstr/>
      </vt:variant>
      <vt:variant>
        <vt:i4>262262</vt:i4>
      </vt:variant>
      <vt:variant>
        <vt:i4>1530</vt:i4>
      </vt:variant>
      <vt:variant>
        <vt:i4>0</vt:i4>
      </vt:variant>
      <vt:variant>
        <vt:i4>5</vt:i4>
      </vt:variant>
      <vt:variant>
        <vt:lpwstr>http://www.benefits.va.gov/warms/docs/admin21/m21_1/part5/ch06.doc</vt:lpwstr>
      </vt:variant>
      <vt:variant>
        <vt:lpwstr/>
      </vt:variant>
      <vt:variant>
        <vt:i4>7471193</vt:i4>
      </vt:variant>
      <vt:variant>
        <vt:i4>1527</vt:i4>
      </vt:variant>
      <vt:variant>
        <vt:i4>0</vt:i4>
      </vt:variant>
      <vt:variant>
        <vt:i4>5</vt:i4>
      </vt:variant>
      <vt:variant>
        <vt:lpwstr>http://vbaw.vba.va.gov/bl/21/publicat/Regs/Part3/3_105.htm</vt:lpwstr>
      </vt:variant>
      <vt:variant>
        <vt:lpwstr/>
      </vt:variant>
      <vt:variant>
        <vt:i4>7602268</vt:i4>
      </vt:variant>
      <vt:variant>
        <vt:i4>1524</vt:i4>
      </vt:variant>
      <vt:variant>
        <vt:i4>0</vt:i4>
      </vt:variant>
      <vt:variant>
        <vt:i4>5</vt:i4>
      </vt:variant>
      <vt:variant>
        <vt:lpwstr>http://vbaw.vba.va.gov/bl/21/publicat/Regs/Part3/3_654.htm</vt:lpwstr>
      </vt:variant>
      <vt:variant>
        <vt:lpwstr/>
      </vt:variant>
      <vt:variant>
        <vt:i4>3211278</vt:i4>
      </vt:variant>
      <vt:variant>
        <vt:i4>1521</vt:i4>
      </vt:variant>
      <vt:variant>
        <vt:i4>0</vt:i4>
      </vt:variant>
      <vt:variant>
        <vt:i4>5</vt:i4>
      </vt:variant>
      <vt:variant>
        <vt:lpwstr>http://vbacodmoint1.vba.va.gov/bl/21/faq/FAQ_Answer.asp?ref=211</vt:lpwstr>
      </vt:variant>
      <vt:variant>
        <vt:lpwstr/>
      </vt:variant>
      <vt:variant>
        <vt:i4>4259945</vt:i4>
      </vt:variant>
      <vt:variant>
        <vt:i4>1518</vt:i4>
      </vt:variant>
      <vt:variant>
        <vt:i4>0</vt:i4>
      </vt:variant>
      <vt:variant>
        <vt:i4>5</vt:i4>
      </vt:variant>
      <vt:variant>
        <vt:lpwstr>http://vbaw.vba.va.gov/bl/21/publicat/Regs/Part3/3_7.htm</vt:lpwstr>
      </vt:variant>
      <vt:variant>
        <vt:lpwstr/>
      </vt:variant>
      <vt:variant>
        <vt:i4>3211279</vt:i4>
      </vt:variant>
      <vt:variant>
        <vt:i4>1515</vt:i4>
      </vt:variant>
      <vt:variant>
        <vt:i4>0</vt:i4>
      </vt:variant>
      <vt:variant>
        <vt:i4>5</vt:i4>
      </vt:variant>
      <vt:variant>
        <vt:lpwstr>http://vbacodmoint1.vba.va.gov/bl/21/faq/FAQ_Answer.asp?ref=314</vt:lpwstr>
      </vt:variant>
      <vt:variant>
        <vt:lpwstr/>
      </vt:variant>
      <vt:variant>
        <vt:i4>4194409</vt:i4>
      </vt:variant>
      <vt:variant>
        <vt:i4>1512</vt:i4>
      </vt:variant>
      <vt:variant>
        <vt:i4>0</vt:i4>
      </vt:variant>
      <vt:variant>
        <vt:i4>5</vt:i4>
      </vt:variant>
      <vt:variant>
        <vt:lpwstr>http://vbaw.vba.va.gov/bl/21/publicat/Regs/Part3/3_6.htm</vt:lpwstr>
      </vt:variant>
      <vt:variant>
        <vt:lpwstr/>
      </vt:variant>
      <vt:variant>
        <vt:i4>7012415</vt:i4>
      </vt:variant>
      <vt:variant>
        <vt:i4>1509</vt:i4>
      </vt:variant>
      <vt:variant>
        <vt:i4>0</vt:i4>
      </vt:variant>
      <vt:variant>
        <vt:i4>5</vt:i4>
      </vt:variant>
      <vt:variant>
        <vt:lpwstr>http://vbaw.vba.va.gov/bl/21/calendar/agenda/FY08/0808.doc</vt:lpwstr>
      </vt:variant>
      <vt:variant>
        <vt:lpwstr/>
      </vt:variant>
      <vt:variant>
        <vt:i4>3473413</vt:i4>
      </vt:variant>
      <vt:variant>
        <vt:i4>1506</vt:i4>
      </vt:variant>
      <vt:variant>
        <vt:i4>0</vt:i4>
      </vt:variant>
      <vt:variant>
        <vt:i4>5</vt:i4>
      </vt:variant>
      <vt:variant>
        <vt:lpwstr>http://vbacodmoint1.vba.va.gov/bl/21/faq/FAQ_Answer.asp?ref=95</vt:lpwstr>
      </vt:variant>
      <vt:variant>
        <vt:lpwstr/>
      </vt:variant>
      <vt:variant>
        <vt:i4>196688</vt:i4>
      </vt:variant>
      <vt:variant>
        <vt:i4>1503</vt:i4>
      </vt:variant>
      <vt:variant>
        <vt:i4>0</vt:i4>
      </vt:variant>
      <vt:variant>
        <vt:i4>5</vt:i4>
      </vt:variant>
      <vt:variant>
        <vt:lpwstr>http://vbaw.vba.va.gov/BL/21/M21/content/infomap.asp?address=M21-1MRIII.ii.6.3</vt:lpwstr>
      </vt:variant>
      <vt:variant>
        <vt:lpwstr>M21-1MRIII.ii.6.3.a</vt:lpwstr>
      </vt:variant>
      <vt:variant>
        <vt:i4>7929971</vt:i4>
      </vt:variant>
      <vt:variant>
        <vt:i4>1500</vt:i4>
      </vt:variant>
      <vt:variant>
        <vt:i4>0</vt:i4>
      </vt:variant>
      <vt:variant>
        <vt:i4>5</vt:i4>
      </vt:variant>
      <vt:variant>
        <vt:lpwstr>http://vbaw.vba.va.gov/BL/21/M21/content/infomap.asp?address=M21-1MRIV.ii.2.B.3</vt:lpwstr>
      </vt:variant>
      <vt:variant>
        <vt:lpwstr>M21-1MRIV.ii.2.B.3.j</vt:lpwstr>
      </vt:variant>
      <vt:variant>
        <vt:i4>7995507</vt:i4>
      </vt:variant>
      <vt:variant>
        <vt:i4>1497</vt:i4>
      </vt:variant>
      <vt:variant>
        <vt:i4>0</vt:i4>
      </vt:variant>
      <vt:variant>
        <vt:i4>5</vt:i4>
      </vt:variant>
      <vt:variant>
        <vt:lpwstr>http://vbaw.vba.va.gov/BL/21/M21/content/infomap.asp?address=M21-1MRIV.ii.2.B.3</vt:lpwstr>
      </vt:variant>
      <vt:variant>
        <vt:lpwstr>M21-1MRIV.ii.2.B.3.i</vt:lpwstr>
      </vt:variant>
      <vt:variant>
        <vt:i4>65618</vt:i4>
      </vt:variant>
      <vt:variant>
        <vt:i4>1494</vt:i4>
      </vt:variant>
      <vt:variant>
        <vt:i4>0</vt:i4>
      </vt:variant>
      <vt:variant>
        <vt:i4>5</vt:i4>
      </vt:variant>
      <vt:variant>
        <vt:lpwstr>http://vbaw.vba.va.gov/BL/21/M21/content/infomap.asp?address=M21-1MRIII.ii.6.1</vt:lpwstr>
      </vt:variant>
      <vt:variant>
        <vt:lpwstr>M21-1MRIII.ii.6.1.b</vt:lpwstr>
      </vt:variant>
      <vt:variant>
        <vt:i4>131153</vt:i4>
      </vt:variant>
      <vt:variant>
        <vt:i4>1491</vt:i4>
      </vt:variant>
      <vt:variant>
        <vt:i4>0</vt:i4>
      </vt:variant>
      <vt:variant>
        <vt:i4>5</vt:i4>
      </vt:variant>
      <vt:variant>
        <vt:lpwstr>http://vbaw.vba.va.gov/BL/21/M21/content/infomap.asp?address=M21-1MRIII.ii.6.2</vt:lpwstr>
      </vt:variant>
      <vt:variant>
        <vt:lpwstr>M21-1MRIII.ii.6.2.b</vt:lpwstr>
      </vt:variant>
      <vt:variant>
        <vt:i4>1310796</vt:i4>
      </vt:variant>
      <vt:variant>
        <vt:i4>1488</vt:i4>
      </vt:variant>
      <vt:variant>
        <vt:i4>0</vt:i4>
      </vt:variant>
      <vt:variant>
        <vt:i4>5</vt:i4>
      </vt:variant>
      <vt:variant>
        <vt:lpwstr>http://vbaw.vba.va.gov/BL/21/M21/content/infomap.asp?address=M21-1MRIV.ii.2.K.68</vt:lpwstr>
      </vt:variant>
      <vt:variant>
        <vt:lpwstr/>
      </vt:variant>
      <vt:variant>
        <vt:i4>1769548</vt:i4>
      </vt:variant>
      <vt:variant>
        <vt:i4>1485</vt:i4>
      </vt:variant>
      <vt:variant>
        <vt:i4>0</vt:i4>
      </vt:variant>
      <vt:variant>
        <vt:i4>5</vt:i4>
      </vt:variant>
      <vt:variant>
        <vt:lpwstr>http://vbaw.vba.va.gov/BL/21/M21/content/infomap.asp?address=M21-1MRIV.ii.2.K.67</vt:lpwstr>
      </vt:variant>
      <vt:variant>
        <vt:lpwstr/>
      </vt:variant>
      <vt:variant>
        <vt:i4>2490404</vt:i4>
      </vt:variant>
      <vt:variant>
        <vt:i4>1482</vt:i4>
      </vt:variant>
      <vt:variant>
        <vt:i4>0</vt:i4>
      </vt:variant>
      <vt:variant>
        <vt:i4>5</vt:i4>
      </vt:variant>
      <vt:variant>
        <vt:lpwstr>http://vbaw.vba.va.gov/BL/21/M21/content/infomap.asp?address=M21-1MRIII.iv.4.I.34</vt:lpwstr>
      </vt:variant>
      <vt:variant>
        <vt:lpwstr>M21-1MRIII.iv.4.I.34.e</vt:lpwstr>
      </vt:variant>
      <vt:variant>
        <vt:i4>4259871</vt:i4>
      </vt:variant>
      <vt:variant>
        <vt:i4>1479</vt:i4>
      </vt:variant>
      <vt:variant>
        <vt:i4>0</vt:i4>
      </vt:variant>
      <vt:variant>
        <vt:i4>5</vt:i4>
      </vt:variant>
      <vt:variant>
        <vt:lpwstr>http://vbaw.vba.va.gov/BL/21/M21/content/infomap.asp?address=M21-1MRIII.v.1.D.15</vt:lpwstr>
      </vt:variant>
      <vt:variant>
        <vt:lpwstr/>
      </vt:variant>
      <vt:variant>
        <vt:i4>7602265</vt:i4>
      </vt:variant>
      <vt:variant>
        <vt:i4>1476</vt:i4>
      </vt:variant>
      <vt:variant>
        <vt:i4>0</vt:i4>
      </vt:variant>
      <vt:variant>
        <vt:i4>5</vt:i4>
      </vt:variant>
      <vt:variant>
        <vt:lpwstr>http://vbaw.vba.va.gov/bl/21/publicat/Regs/Part3/3_301.htm</vt:lpwstr>
      </vt:variant>
      <vt:variant>
        <vt:lpwstr/>
      </vt:variant>
      <vt:variant>
        <vt:i4>5898314</vt:i4>
      </vt:variant>
      <vt:variant>
        <vt:i4>1473</vt:i4>
      </vt:variant>
      <vt:variant>
        <vt:i4>0</vt:i4>
      </vt:variant>
      <vt:variant>
        <vt:i4>5</vt:i4>
      </vt:variant>
      <vt:variant>
        <vt:lpwstr>http://vbaw.vba.va.gov/BL/21/M21/content/infomap.asp?address=M21-1MRIII.v.1.E</vt:lpwstr>
      </vt:variant>
      <vt:variant>
        <vt:lpwstr/>
      </vt:variant>
      <vt:variant>
        <vt:i4>5308472</vt:i4>
      </vt:variant>
      <vt:variant>
        <vt:i4>1470</vt:i4>
      </vt:variant>
      <vt:variant>
        <vt:i4>0</vt:i4>
      </vt:variant>
      <vt:variant>
        <vt:i4>5</vt:i4>
      </vt:variant>
      <vt:variant>
        <vt:lpwstr>http://vbaw.vba.va.gov/bl/21/Advisory/PRECOP/99op/Prc16_99.doc</vt:lpwstr>
      </vt:variant>
      <vt:variant>
        <vt:lpwstr/>
      </vt:variant>
      <vt:variant>
        <vt:i4>1572975</vt:i4>
      </vt:variant>
      <vt:variant>
        <vt:i4>1467</vt:i4>
      </vt:variant>
      <vt:variant>
        <vt:i4>0</vt:i4>
      </vt:variant>
      <vt:variant>
        <vt:i4>5</vt:i4>
      </vt:variant>
      <vt:variant>
        <vt:lpwstr>http://vbaw.vba.va.gov/bl/21/publicat/Regs/Part3/3_14.htm</vt:lpwstr>
      </vt:variant>
      <vt:variant>
        <vt:lpwstr/>
      </vt:variant>
      <vt:variant>
        <vt:i4>1572969</vt:i4>
      </vt:variant>
      <vt:variant>
        <vt:i4>1464</vt:i4>
      </vt:variant>
      <vt:variant>
        <vt:i4>0</vt:i4>
      </vt:variant>
      <vt:variant>
        <vt:i4>5</vt:i4>
      </vt:variant>
      <vt:variant>
        <vt:lpwstr>http://vbaw.vba.va.gov/bl/21/publicat/Regs/Part3/3_12.htm</vt:lpwstr>
      </vt:variant>
      <vt:variant>
        <vt:lpwstr/>
      </vt:variant>
      <vt:variant>
        <vt:i4>7602216</vt:i4>
      </vt:variant>
      <vt:variant>
        <vt:i4>1461</vt:i4>
      </vt:variant>
      <vt:variant>
        <vt:i4>0</vt:i4>
      </vt:variant>
      <vt:variant>
        <vt:i4>5</vt:i4>
      </vt:variant>
      <vt:variant>
        <vt:lpwstr>http://vbaw.vba.va.gov/BL/21/M21/content/infomap.asp?address=M21-1MRIII.v.1.B.5</vt:lpwstr>
      </vt:variant>
      <vt:variant>
        <vt:lpwstr/>
      </vt:variant>
      <vt:variant>
        <vt:i4>7340144</vt:i4>
      </vt:variant>
      <vt:variant>
        <vt:i4>1458</vt:i4>
      </vt:variant>
      <vt:variant>
        <vt:i4>0</vt:i4>
      </vt:variant>
      <vt:variant>
        <vt:i4>5</vt:i4>
      </vt:variant>
      <vt:variant>
        <vt:lpwstr>http://vbaw.vba.va.gov/BL/21/M21/content/infomap.asp?address=M21-1MRIII.v.1.B.5</vt:lpwstr>
      </vt:variant>
      <vt:variant>
        <vt:lpwstr>M21-1MRIII.v.1.B.5.f</vt:lpwstr>
      </vt:variant>
      <vt:variant>
        <vt:i4>1572969</vt:i4>
      </vt:variant>
      <vt:variant>
        <vt:i4>1455</vt:i4>
      </vt:variant>
      <vt:variant>
        <vt:i4>0</vt:i4>
      </vt:variant>
      <vt:variant>
        <vt:i4>5</vt:i4>
      </vt:variant>
      <vt:variant>
        <vt:lpwstr>http://vbaw.vba.va.gov/bl/21/publicat/Regs/Part3/3_12.htm</vt:lpwstr>
      </vt:variant>
      <vt:variant>
        <vt:lpwstr/>
      </vt:variant>
      <vt:variant>
        <vt:i4>786449</vt:i4>
      </vt:variant>
      <vt:variant>
        <vt:i4>1452</vt:i4>
      </vt:variant>
      <vt:variant>
        <vt:i4>0</vt:i4>
      </vt:variant>
      <vt:variant>
        <vt:i4>5</vt:i4>
      </vt:variant>
      <vt:variant>
        <vt:lpwstr>http://vbaw.vba.va.gov/BL/21/M21/content/infomap.asp?address=M21-1MRIX.ii.2.6</vt:lpwstr>
      </vt:variant>
      <vt:variant>
        <vt:lpwstr/>
      </vt:variant>
      <vt:variant>
        <vt:i4>3342436</vt:i4>
      </vt:variant>
      <vt:variant>
        <vt:i4>1449</vt:i4>
      </vt:variant>
      <vt:variant>
        <vt:i4>0</vt:i4>
      </vt:variant>
      <vt:variant>
        <vt:i4>5</vt:i4>
      </vt:variant>
      <vt:variant>
        <vt:lpwstr>http://vbaw.vba.va.gov/BL/21/M21/content/infomap.asp?address=M21-1MRIII.ii.6.6</vt:lpwstr>
      </vt:variant>
      <vt:variant>
        <vt:lpwstr/>
      </vt:variant>
      <vt:variant>
        <vt:i4>3145828</vt:i4>
      </vt:variant>
      <vt:variant>
        <vt:i4>1446</vt:i4>
      </vt:variant>
      <vt:variant>
        <vt:i4>0</vt:i4>
      </vt:variant>
      <vt:variant>
        <vt:i4>5</vt:i4>
      </vt:variant>
      <vt:variant>
        <vt:lpwstr>http://vbaw.vba.va.gov/BL/21/M21/content/infomap.asp?address=M21-1MRIII.ii.6.5</vt:lpwstr>
      </vt:variant>
      <vt:variant>
        <vt:lpwstr/>
      </vt:variant>
      <vt:variant>
        <vt:i4>6488185</vt:i4>
      </vt:variant>
      <vt:variant>
        <vt:i4>1443</vt:i4>
      </vt:variant>
      <vt:variant>
        <vt:i4>0</vt:i4>
      </vt:variant>
      <vt:variant>
        <vt:i4>5</vt:i4>
      </vt:variant>
      <vt:variant>
        <vt:lpwstr>http://vbaw.vba.va.gov/BL/21/M21/content/contents.asp?address=M21-1MRIII.v.1.B</vt:lpwstr>
      </vt:variant>
      <vt:variant>
        <vt:lpwstr/>
      </vt:variant>
      <vt:variant>
        <vt:i4>6291577</vt:i4>
      </vt:variant>
      <vt:variant>
        <vt:i4>1440</vt:i4>
      </vt:variant>
      <vt:variant>
        <vt:i4>0</vt:i4>
      </vt:variant>
      <vt:variant>
        <vt:i4>5</vt:i4>
      </vt:variant>
      <vt:variant>
        <vt:lpwstr>http://vbaw.vba.va.gov/BL/21/M21/content/contents.asp?address=M21-1MRIII.v.1.A</vt:lpwstr>
      </vt:variant>
      <vt:variant>
        <vt:lpwstr/>
      </vt:variant>
      <vt:variant>
        <vt:i4>3604488</vt:i4>
      </vt:variant>
      <vt:variant>
        <vt:i4>1437</vt:i4>
      </vt:variant>
      <vt:variant>
        <vt:i4>0</vt:i4>
      </vt:variant>
      <vt:variant>
        <vt:i4>5</vt:i4>
      </vt:variant>
      <vt:variant>
        <vt:lpwstr>http://vbacodmoint1.vba.va.gov/bl/21/faq/FAQ_Answer.asp?ref=47</vt:lpwstr>
      </vt:variant>
      <vt:variant>
        <vt:lpwstr/>
      </vt:variant>
      <vt:variant>
        <vt:i4>1572969</vt:i4>
      </vt:variant>
      <vt:variant>
        <vt:i4>1434</vt:i4>
      </vt:variant>
      <vt:variant>
        <vt:i4>0</vt:i4>
      </vt:variant>
      <vt:variant>
        <vt:i4>5</vt:i4>
      </vt:variant>
      <vt:variant>
        <vt:lpwstr>http://vbaw.vba.va.gov/bl/21/publicat/Regs/Part3/3_12.htm</vt:lpwstr>
      </vt:variant>
      <vt:variant>
        <vt:lpwstr/>
      </vt:variant>
      <vt:variant>
        <vt:i4>3735637</vt:i4>
      </vt:variant>
      <vt:variant>
        <vt:i4>1431</vt:i4>
      </vt:variant>
      <vt:variant>
        <vt:i4>0</vt:i4>
      </vt:variant>
      <vt:variant>
        <vt:i4>5</vt:i4>
      </vt:variant>
      <vt:variant>
        <vt:lpwstr>http://cptraining.vba.va.gov/C&amp;P_Training/RVSR/RVSR_Curriculum/HO/Psych_HO.doc</vt:lpwstr>
      </vt:variant>
      <vt:variant>
        <vt:lpwstr/>
      </vt:variant>
      <vt:variant>
        <vt:i4>1048668</vt:i4>
      </vt:variant>
      <vt:variant>
        <vt:i4>1428</vt:i4>
      </vt:variant>
      <vt:variant>
        <vt:i4>0</vt:i4>
      </vt:variant>
      <vt:variant>
        <vt:i4>5</vt:i4>
      </vt:variant>
      <vt:variant>
        <vt:lpwstr>http://www.va.gov/ogc/docs/1998/prc02-98.doc</vt:lpwstr>
      </vt:variant>
      <vt:variant>
        <vt:lpwstr/>
      </vt:variant>
      <vt:variant>
        <vt:i4>1835074</vt:i4>
      </vt:variant>
      <vt:variant>
        <vt:i4>1425</vt:i4>
      </vt:variant>
      <vt:variant>
        <vt:i4>0</vt:i4>
      </vt:variant>
      <vt:variant>
        <vt:i4>5</vt:i4>
      </vt:variant>
      <vt:variant>
        <vt:lpwstr>http://vbaw.vba.va.gov/bl/21/advisory/DADS/2001dads/Allen.doc</vt:lpwstr>
      </vt:variant>
      <vt:variant>
        <vt:lpwstr/>
      </vt:variant>
      <vt:variant>
        <vt:i4>1835074</vt:i4>
      </vt:variant>
      <vt:variant>
        <vt:i4>1422</vt:i4>
      </vt:variant>
      <vt:variant>
        <vt:i4>0</vt:i4>
      </vt:variant>
      <vt:variant>
        <vt:i4>5</vt:i4>
      </vt:variant>
      <vt:variant>
        <vt:lpwstr>http://vbaw.vba.va.gov/bl/21/advisory/DADS/2001dads/Allen.doc</vt:lpwstr>
      </vt:variant>
      <vt:variant>
        <vt:lpwstr/>
      </vt:variant>
      <vt:variant>
        <vt:i4>393301</vt:i4>
      </vt:variant>
      <vt:variant>
        <vt:i4>1419</vt:i4>
      </vt:variant>
      <vt:variant>
        <vt:i4>0</vt:i4>
      </vt:variant>
      <vt:variant>
        <vt:i4>5</vt:i4>
      </vt:variant>
      <vt:variant>
        <vt:lpwstr>http://vbaw.vba.va.gov/BL/21/M21/content/infomap.asp?address=M21-1MRIV.ii.2.K.67</vt:lpwstr>
      </vt:variant>
      <vt:variant>
        <vt:lpwstr>M21-1MRIV.ii.2.K.67.c</vt:lpwstr>
      </vt:variant>
      <vt:variant>
        <vt:i4>3801152</vt:i4>
      </vt:variant>
      <vt:variant>
        <vt:i4>1416</vt:i4>
      </vt:variant>
      <vt:variant>
        <vt:i4>0</vt:i4>
      </vt:variant>
      <vt:variant>
        <vt:i4>5</vt:i4>
      </vt:variant>
      <vt:variant>
        <vt:lpwstr>\\vbasdcfpc2\shared\VSC\Development &amp; Rating Resources\QRT Bulletin\QRT Bulletin September-October 2012.doc</vt:lpwstr>
      </vt:variant>
      <vt:variant>
        <vt:lpwstr/>
      </vt:variant>
      <vt:variant>
        <vt:i4>524306</vt:i4>
      </vt:variant>
      <vt:variant>
        <vt:i4>1413</vt:i4>
      </vt:variant>
      <vt:variant>
        <vt:i4>0</vt:i4>
      </vt:variant>
      <vt:variant>
        <vt:i4>5</vt:i4>
      </vt:variant>
      <vt:variant>
        <vt:lpwstr>\\vbasdcfpc2\SHARED\VSC\Development &amp; Rating Resources\QRT Bulletin</vt:lpwstr>
      </vt:variant>
      <vt:variant>
        <vt:lpwstr/>
      </vt:variant>
      <vt:variant>
        <vt:i4>7667800</vt:i4>
      </vt:variant>
      <vt:variant>
        <vt:i4>1410</vt:i4>
      </vt:variant>
      <vt:variant>
        <vt:i4>0</vt:i4>
      </vt:variant>
      <vt:variant>
        <vt:i4>5</vt:i4>
      </vt:variant>
      <vt:variant>
        <vt:lpwstr>http://vbaw.vba.va.gov/bl/21/publicat/Regs/Part3/3_310.htm</vt:lpwstr>
      </vt:variant>
      <vt:variant>
        <vt:lpwstr/>
      </vt:variant>
      <vt:variant>
        <vt:i4>5046394</vt:i4>
      </vt:variant>
      <vt:variant>
        <vt:i4>1407</vt:i4>
      </vt:variant>
      <vt:variant>
        <vt:i4>0</vt:i4>
      </vt:variant>
      <vt:variant>
        <vt:i4>5</vt:i4>
      </vt:variant>
      <vt:variant>
        <vt:lpwstr>http://vbaw.vba.va.gov/bl/21/M21-1MR/index.asp?id=pt04_sp02_ch02_secK.xml</vt:lpwstr>
      </vt:variant>
      <vt:variant>
        <vt:lpwstr>IV.ii.2.K.67.c</vt:lpwstr>
      </vt:variant>
      <vt:variant>
        <vt:i4>3538958</vt:i4>
      </vt:variant>
      <vt:variant>
        <vt:i4>1404</vt:i4>
      </vt:variant>
      <vt:variant>
        <vt:i4>0</vt:i4>
      </vt:variant>
      <vt:variant>
        <vt:i4>5</vt:i4>
      </vt:variant>
      <vt:variant>
        <vt:lpwstr>http://vbacodmoint1.vba.va.gov/bl/21/faq/FAQ_Answer.asp?ref=266</vt:lpwstr>
      </vt:variant>
      <vt:variant>
        <vt:lpwstr/>
      </vt:variant>
      <vt:variant>
        <vt:i4>3604494</vt:i4>
      </vt:variant>
      <vt:variant>
        <vt:i4>1401</vt:i4>
      </vt:variant>
      <vt:variant>
        <vt:i4>0</vt:i4>
      </vt:variant>
      <vt:variant>
        <vt:i4>5</vt:i4>
      </vt:variant>
      <vt:variant>
        <vt:lpwstr>http://vbacodmoint1.vba.va.gov/bl/21/faq/FAQ_Answer.asp?ref=270</vt:lpwstr>
      </vt:variant>
      <vt:variant>
        <vt:lpwstr/>
      </vt:variant>
      <vt:variant>
        <vt:i4>7536729</vt:i4>
      </vt:variant>
      <vt:variant>
        <vt:i4>1398</vt:i4>
      </vt:variant>
      <vt:variant>
        <vt:i4>0</vt:i4>
      </vt:variant>
      <vt:variant>
        <vt:i4>5</vt:i4>
      </vt:variant>
      <vt:variant>
        <vt:lpwstr>http://vbaw.vba.va.gov/bl/21/publicat/Regs/Part3/3_306.htm</vt:lpwstr>
      </vt:variant>
      <vt:variant>
        <vt:lpwstr/>
      </vt:variant>
      <vt:variant>
        <vt:i4>7667801</vt:i4>
      </vt:variant>
      <vt:variant>
        <vt:i4>1395</vt:i4>
      </vt:variant>
      <vt:variant>
        <vt:i4>0</vt:i4>
      </vt:variant>
      <vt:variant>
        <vt:i4>5</vt:i4>
      </vt:variant>
      <vt:variant>
        <vt:lpwstr>http://vbaw.vba.va.gov/bl/21/publicat/Regs/Part3/3_300.htm</vt:lpwstr>
      </vt:variant>
      <vt:variant>
        <vt:lpwstr/>
      </vt:variant>
      <vt:variant>
        <vt:i4>2490462</vt:i4>
      </vt:variant>
      <vt:variant>
        <vt:i4>1392</vt:i4>
      </vt:variant>
      <vt:variant>
        <vt:i4>0</vt:i4>
      </vt:variant>
      <vt:variant>
        <vt:i4>5</vt:i4>
      </vt:variant>
      <vt:variant>
        <vt:lpwstr>http://vbaw.vba.va.gov/bl/21/publicat/Regs/Part4/4_17a.htm</vt:lpwstr>
      </vt:variant>
      <vt:variant>
        <vt:lpwstr/>
      </vt:variant>
      <vt:variant>
        <vt:i4>524306</vt:i4>
      </vt:variant>
      <vt:variant>
        <vt:i4>1389</vt:i4>
      </vt:variant>
      <vt:variant>
        <vt:i4>0</vt:i4>
      </vt:variant>
      <vt:variant>
        <vt:i4>5</vt:i4>
      </vt:variant>
      <vt:variant>
        <vt:lpwstr>\\vbasdcfpc2\SHARED\VSC\Development &amp; Rating Resources\QRT Bulletin</vt:lpwstr>
      </vt:variant>
      <vt:variant>
        <vt:lpwstr/>
      </vt:variant>
      <vt:variant>
        <vt:i4>2883699</vt:i4>
      </vt:variant>
      <vt:variant>
        <vt:i4>1386</vt:i4>
      </vt:variant>
      <vt:variant>
        <vt:i4>0</vt:i4>
      </vt:variant>
      <vt:variant>
        <vt:i4>5</vt:i4>
      </vt:variant>
      <vt:variant>
        <vt:lpwstr>http://vbaw.vba.va.gov/BL/21/M21/content/infomap.asp?address=M21-1MRIV.ii.2.B.7</vt:lpwstr>
      </vt:variant>
      <vt:variant>
        <vt:lpwstr/>
      </vt:variant>
      <vt:variant>
        <vt:i4>4849738</vt:i4>
      </vt:variant>
      <vt:variant>
        <vt:i4>1383</vt:i4>
      </vt:variant>
      <vt:variant>
        <vt:i4>0</vt:i4>
      </vt:variant>
      <vt:variant>
        <vt:i4>5</vt:i4>
      </vt:variant>
      <vt:variant>
        <vt:lpwstr>http://vbaw.vba.va.gov/BL/21/M21/content/infomap.asp?address=M21-1MRIII.iv.4.A.3</vt:lpwstr>
      </vt:variant>
      <vt:variant>
        <vt:lpwstr/>
      </vt:variant>
      <vt:variant>
        <vt:i4>1572926</vt:i4>
      </vt:variant>
      <vt:variant>
        <vt:i4>1380</vt:i4>
      </vt:variant>
      <vt:variant>
        <vt:i4>0</vt:i4>
      </vt:variant>
      <vt:variant>
        <vt:i4>5</vt:i4>
      </vt:variant>
      <vt:variant>
        <vt:lpwstr>http://www.va.gov/ogc/docs/1990/PREC_1-90.doc</vt:lpwstr>
      </vt:variant>
      <vt:variant>
        <vt:lpwstr/>
      </vt:variant>
      <vt:variant>
        <vt:i4>5177449</vt:i4>
      </vt:variant>
      <vt:variant>
        <vt:i4>1377</vt:i4>
      </vt:variant>
      <vt:variant>
        <vt:i4>0</vt:i4>
      </vt:variant>
      <vt:variant>
        <vt:i4>5</vt:i4>
      </vt:variant>
      <vt:variant>
        <vt:lpwstr>http://vbaw.vba.va.gov/bl/21/publicat/Regs/Part4/4_9.htm</vt:lpwstr>
      </vt:variant>
      <vt:variant>
        <vt:lpwstr/>
      </vt:variant>
      <vt:variant>
        <vt:i4>3604494</vt:i4>
      </vt:variant>
      <vt:variant>
        <vt:i4>1374</vt:i4>
      </vt:variant>
      <vt:variant>
        <vt:i4>0</vt:i4>
      </vt:variant>
      <vt:variant>
        <vt:i4>5</vt:i4>
      </vt:variant>
      <vt:variant>
        <vt:lpwstr>http://vbacodmoint1.vba.va.gov/bl/21/faq/FAQ_Answer.asp?ref=276</vt:lpwstr>
      </vt:variant>
      <vt:variant>
        <vt:lpwstr/>
      </vt:variant>
      <vt:variant>
        <vt:i4>2883699</vt:i4>
      </vt:variant>
      <vt:variant>
        <vt:i4>1371</vt:i4>
      </vt:variant>
      <vt:variant>
        <vt:i4>0</vt:i4>
      </vt:variant>
      <vt:variant>
        <vt:i4>5</vt:i4>
      </vt:variant>
      <vt:variant>
        <vt:lpwstr>http://vbaw.vba.va.gov/BL/21/M21/content/infomap.asp?address=M21-1MRIV.ii.2.B.7</vt:lpwstr>
      </vt:variant>
      <vt:variant>
        <vt:lpwstr/>
      </vt:variant>
      <vt:variant>
        <vt:i4>2883699</vt:i4>
      </vt:variant>
      <vt:variant>
        <vt:i4>1368</vt:i4>
      </vt:variant>
      <vt:variant>
        <vt:i4>0</vt:i4>
      </vt:variant>
      <vt:variant>
        <vt:i4>5</vt:i4>
      </vt:variant>
      <vt:variant>
        <vt:lpwstr>http://vbaw.vba.va.gov/BL/21/M21/content/infomap.asp?address=M21-1MRIV.ii.2.B.3</vt:lpwstr>
      </vt:variant>
      <vt:variant>
        <vt:lpwstr/>
      </vt:variant>
      <vt:variant>
        <vt:i4>7405657</vt:i4>
      </vt:variant>
      <vt:variant>
        <vt:i4>1365</vt:i4>
      </vt:variant>
      <vt:variant>
        <vt:i4>0</vt:i4>
      </vt:variant>
      <vt:variant>
        <vt:i4>5</vt:i4>
      </vt:variant>
      <vt:variant>
        <vt:lpwstr>http://vbaw.vba.va.gov/bl/21/publicat/Regs/Part3/3_304.htm</vt:lpwstr>
      </vt:variant>
      <vt:variant>
        <vt:lpwstr/>
      </vt:variant>
      <vt:variant>
        <vt:i4>7733337</vt:i4>
      </vt:variant>
      <vt:variant>
        <vt:i4>1362</vt:i4>
      </vt:variant>
      <vt:variant>
        <vt:i4>0</vt:i4>
      </vt:variant>
      <vt:variant>
        <vt:i4>5</vt:i4>
      </vt:variant>
      <vt:variant>
        <vt:lpwstr>http://vbaw.vba.va.gov/bl/21/publicat/Regs/Part3/3_303.htm</vt:lpwstr>
      </vt:variant>
      <vt:variant>
        <vt:lpwstr/>
      </vt:variant>
      <vt:variant>
        <vt:i4>262154</vt:i4>
      </vt:variant>
      <vt:variant>
        <vt:i4>1359</vt:i4>
      </vt:variant>
      <vt:variant>
        <vt:i4>0</vt:i4>
      </vt:variant>
      <vt:variant>
        <vt:i4>5</vt:i4>
      </vt:variant>
      <vt:variant>
        <vt:lpwstr/>
      </vt:variant>
      <vt:variant>
        <vt:lpwstr>ExamGuide</vt:lpwstr>
      </vt:variant>
      <vt:variant>
        <vt:i4>524306</vt:i4>
      </vt:variant>
      <vt:variant>
        <vt:i4>1356</vt:i4>
      </vt:variant>
      <vt:variant>
        <vt:i4>0</vt:i4>
      </vt:variant>
      <vt:variant>
        <vt:i4>5</vt:i4>
      </vt:variant>
      <vt:variant>
        <vt:lpwstr>\\vbasdcfpc2\SHARED\VSC\Development &amp; Rating Resources\QRT Bulletin</vt:lpwstr>
      </vt:variant>
      <vt:variant>
        <vt:lpwstr/>
      </vt:variant>
      <vt:variant>
        <vt:i4>524306</vt:i4>
      </vt:variant>
      <vt:variant>
        <vt:i4>1353</vt:i4>
      </vt:variant>
      <vt:variant>
        <vt:i4>0</vt:i4>
      </vt:variant>
      <vt:variant>
        <vt:i4>5</vt:i4>
      </vt:variant>
      <vt:variant>
        <vt:lpwstr>\\vbasdcfpc2\SHARED\VSC\Development &amp; Rating Resources\QRT Bulletin</vt:lpwstr>
      </vt:variant>
      <vt:variant>
        <vt:lpwstr/>
      </vt:variant>
      <vt:variant>
        <vt:i4>2621440</vt:i4>
      </vt:variant>
      <vt:variant>
        <vt:i4>1350</vt:i4>
      </vt:variant>
      <vt:variant>
        <vt:i4>0</vt:i4>
      </vt:variant>
      <vt:variant>
        <vt:i4>5</vt:i4>
      </vt:variant>
      <vt:variant>
        <vt:lpwstr>http://vbaw.vba.va.gov/bl/21/publicat/Regs/Part4/4_124a.htm</vt:lpwstr>
      </vt:variant>
      <vt:variant>
        <vt:lpwstr>8004</vt:lpwstr>
      </vt:variant>
      <vt:variant>
        <vt:i4>4784192</vt:i4>
      </vt:variant>
      <vt:variant>
        <vt:i4>1347</vt:i4>
      </vt:variant>
      <vt:variant>
        <vt:i4>0</vt:i4>
      </vt:variant>
      <vt:variant>
        <vt:i4>5</vt:i4>
      </vt:variant>
      <vt:variant>
        <vt:lpwstr>\\vbasdcfpc2\SHARED\VSC\Development &amp; Rating Resources\standard Quality Control Reviews</vt:lpwstr>
      </vt:variant>
      <vt:variant>
        <vt:lpwstr/>
      </vt:variant>
      <vt:variant>
        <vt:i4>6357115</vt:i4>
      </vt:variant>
      <vt:variant>
        <vt:i4>1344</vt:i4>
      </vt:variant>
      <vt:variant>
        <vt:i4>0</vt:i4>
      </vt:variant>
      <vt:variant>
        <vt:i4>5</vt:i4>
      </vt:variant>
      <vt:variant>
        <vt:lpwstr>http://vbacodmoint1.vba.va.gov/bl/21/DBQ/DBQByDisab.asp</vt:lpwstr>
      </vt:variant>
      <vt:variant>
        <vt:lpwstr/>
      </vt:variant>
      <vt:variant>
        <vt:i4>524306</vt:i4>
      </vt:variant>
      <vt:variant>
        <vt:i4>1341</vt:i4>
      </vt:variant>
      <vt:variant>
        <vt:i4>0</vt:i4>
      </vt:variant>
      <vt:variant>
        <vt:i4>5</vt:i4>
      </vt:variant>
      <vt:variant>
        <vt:lpwstr>\\vbasdcfpc2\SHARED\VSC\Development &amp; Rating Resources\QRT Bulletin</vt:lpwstr>
      </vt:variant>
      <vt:variant>
        <vt:lpwstr/>
      </vt:variant>
      <vt:variant>
        <vt:i4>6357115</vt:i4>
      </vt:variant>
      <vt:variant>
        <vt:i4>1338</vt:i4>
      </vt:variant>
      <vt:variant>
        <vt:i4>0</vt:i4>
      </vt:variant>
      <vt:variant>
        <vt:i4>5</vt:i4>
      </vt:variant>
      <vt:variant>
        <vt:lpwstr>http://vbacodmoint1.vba.va.gov/bl/21/DBQ/DBQByDisab.asp</vt:lpwstr>
      </vt:variant>
      <vt:variant>
        <vt:lpwstr/>
      </vt:variant>
      <vt:variant>
        <vt:i4>6357115</vt:i4>
      </vt:variant>
      <vt:variant>
        <vt:i4>1335</vt:i4>
      </vt:variant>
      <vt:variant>
        <vt:i4>0</vt:i4>
      </vt:variant>
      <vt:variant>
        <vt:i4>5</vt:i4>
      </vt:variant>
      <vt:variant>
        <vt:lpwstr>http://vbacodmoint1.vba.va.gov/bl/21/DBQ/DBQByDisab.asp</vt:lpwstr>
      </vt:variant>
      <vt:variant>
        <vt:lpwstr/>
      </vt:variant>
      <vt:variant>
        <vt:i4>524306</vt:i4>
      </vt:variant>
      <vt:variant>
        <vt:i4>1332</vt:i4>
      </vt:variant>
      <vt:variant>
        <vt:i4>0</vt:i4>
      </vt:variant>
      <vt:variant>
        <vt:i4>5</vt:i4>
      </vt:variant>
      <vt:variant>
        <vt:lpwstr>\\vbasdcfpc2\SHARED\VSC\Development &amp; Rating Resources\QRT Bulletin</vt:lpwstr>
      </vt:variant>
      <vt:variant>
        <vt:lpwstr/>
      </vt:variant>
      <vt:variant>
        <vt:i4>393301</vt:i4>
      </vt:variant>
      <vt:variant>
        <vt:i4>1329</vt:i4>
      </vt:variant>
      <vt:variant>
        <vt:i4>0</vt:i4>
      </vt:variant>
      <vt:variant>
        <vt:i4>5</vt:i4>
      </vt:variant>
      <vt:variant>
        <vt:lpwstr>http://vbaw.vba.va.gov/BL/21/M21/content/infomap.asp?address=M21-1MRIV.ii.2.K.67</vt:lpwstr>
      </vt:variant>
      <vt:variant>
        <vt:lpwstr>M21-1MRIV.ii.2.K.67.c</vt:lpwstr>
      </vt:variant>
      <vt:variant>
        <vt:i4>4849738</vt:i4>
      </vt:variant>
      <vt:variant>
        <vt:i4>1326</vt:i4>
      </vt:variant>
      <vt:variant>
        <vt:i4>0</vt:i4>
      </vt:variant>
      <vt:variant>
        <vt:i4>5</vt:i4>
      </vt:variant>
      <vt:variant>
        <vt:lpwstr>http://vbaw.vba.va.gov/BL/21/M21/content/infomap.asp?address=M21-1MRIII.iv.7.B.3</vt:lpwstr>
      </vt:variant>
      <vt:variant>
        <vt:lpwstr/>
      </vt:variant>
      <vt:variant>
        <vt:i4>2556016</vt:i4>
      </vt:variant>
      <vt:variant>
        <vt:i4>1323</vt:i4>
      </vt:variant>
      <vt:variant>
        <vt:i4>0</vt:i4>
      </vt:variant>
      <vt:variant>
        <vt:i4>5</vt:i4>
      </vt:variant>
      <vt:variant>
        <vt:lpwstr>http://vbaw.vba.va.gov/bl/21/calendar/Agenda/FY12/0912a.doc</vt:lpwstr>
      </vt:variant>
      <vt:variant>
        <vt:lpwstr/>
      </vt:variant>
      <vt:variant>
        <vt:i4>6357044</vt:i4>
      </vt:variant>
      <vt:variant>
        <vt:i4>1320</vt:i4>
      </vt:variant>
      <vt:variant>
        <vt:i4>0</vt:i4>
      </vt:variant>
      <vt:variant>
        <vt:i4>5</vt:i4>
      </vt:variant>
      <vt:variant>
        <vt:lpwstr>http://vbaw.vba.va.gov/bl/21/calendar/Agenda/FY12/0912.doc</vt:lpwstr>
      </vt:variant>
      <vt:variant>
        <vt:lpwstr/>
      </vt:variant>
      <vt:variant>
        <vt:i4>7864412</vt:i4>
      </vt:variant>
      <vt:variant>
        <vt:i4>1317</vt:i4>
      </vt:variant>
      <vt:variant>
        <vt:i4>0</vt:i4>
      </vt:variant>
      <vt:variant>
        <vt:i4>5</vt:i4>
      </vt:variant>
      <vt:variant>
        <vt:lpwstr>http://vbaw.vba.va.gov/bl/21/publicat/Regs/Part3/3_957.htm</vt:lpwstr>
      </vt:variant>
      <vt:variant>
        <vt:lpwstr/>
      </vt:variant>
      <vt:variant>
        <vt:i4>8257628</vt:i4>
      </vt:variant>
      <vt:variant>
        <vt:i4>1314</vt:i4>
      </vt:variant>
      <vt:variant>
        <vt:i4>0</vt:i4>
      </vt:variant>
      <vt:variant>
        <vt:i4>5</vt:i4>
      </vt:variant>
      <vt:variant>
        <vt:lpwstr>http://vbaw.vba.va.gov/bl/21/publicat/Regs/Part3/3_951.htm</vt:lpwstr>
      </vt:variant>
      <vt:variant>
        <vt:lpwstr/>
      </vt:variant>
      <vt:variant>
        <vt:i4>2556016</vt:i4>
      </vt:variant>
      <vt:variant>
        <vt:i4>1311</vt:i4>
      </vt:variant>
      <vt:variant>
        <vt:i4>0</vt:i4>
      </vt:variant>
      <vt:variant>
        <vt:i4>5</vt:i4>
      </vt:variant>
      <vt:variant>
        <vt:lpwstr>http://vbaw.vba.va.gov/bl/21/calendar/agenda/FY12/0912a.doc</vt:lpwstr>
      </vt:variant>
      <vt:variant>
        <vt:lpwstr/>
      </vt:variant>
      <vt:variant>
        <vt:i4>6357044</vt:i4>
      </vt:variant>
      <vt:variant>
        <vt:i4>1308</vt:i4>
      </vt:variant>
      <vt:variant>
        <vt:i4>0</vt:i4>
      </vt:variant>
      <vt:variant>
        <vt:i4>5</vt:i4>
      </vt:variant>
      <vt:variant>
        <vt:lpwstr>http://vbaw.vba.va.gov/bl/21/calendar/agenda/FY12/0912.doc</vt:lpwstr>
      </vt:variant>
      <vt:variant>
        <vt:lpwstr/>
      </vt:variant>
      <vt:variant>
        <vt:i4>6357115</vt:i4>
      </vt:variant>
      <vt:variant>
        <vt:i4>1305</vt:i4>
      </vt:variant>
      <vt:variant>
        <vt:i4>0</vt:i4>
      </vt:variant>
      <vt:variant>
        <vt:i4>5</vt:i4>
      </vt:variant>
      <vt:variant>
        <vt:lpwstr>http://vbacodmoint1.vba.va.gov/bl/21/DBQ/DBQByDisab.asp</vt:lpwstr>
      </vt:variant>
      <vt:variant>
        <vt:lpwstr/>
      </vt:variant>
      <vt:variant>
        <vt:i4>4259859</vt:i4>
      </vt:variant>
      <vt:variant>
        <vt:i4>1302</vt:i4>
      </vt:variant>
      <vt:variant>
        <vt:i4>0</vt:i4>
      </vt:variant>
      <vt:variant>
        <vt:i4>5</vt:i4>
      </vt:variant>
      <vt:variant>
        <vt:lpwstr>http://epss.vba.va.gov/mepss/</vt:lpwstr>
      </vt:variant>
      <vt:variant>
        <vt:lpwstr/>
      </vt:variant>
      <vt:variant>
        <vt:i4>1769579</vt:i4>
      </vt:variant>
      <vt:variant>
        <vt:i4>1299</vt:i4>
      </vt:variant>
      <vt:variant>
        <vt:i4>0</vt:i4>
      </vt:variant>
      <vt:variant>
        <vt:i4>5</vt:i4>
      </vt:variant>
      <vt:variant>
        <vt:lpwstr>http://vbaw.vba.va.gov/bl/21/publicat/Regs/Part4/4_20.htm</vt:lpwstr>
      </vt:variant>
      <vt:variant>
        <vt:lpwstr/>
      </vt:variant>
      <vt:variant>
        <vt:i4>1769580</vt:i4>
      </vt:variant>
      <vt:variant>
        <vt:i4>1296</vt:i4>
      </vt:variant>
      <vt:variant>
        <vt:i4>0</vt:i4>
      </vt:variant>
      <vt:variant>
        <vt:i4>5</vt:i4>
      </vt:variant>
      <vt:variant>
        <vt:lpwstr>http://vbaw.vba.va.gov/bl/21/publicat/Regs/Part4/4_27.htm</vt:lpwstr>
      </vt:variant>
      <vt:variant>
        <vt:lpwstr/>
      </vt:variant>
      <vt:variant>
        <vt:i4>3407886</vt:i4>
      </vt:variant>
      <vt:variant>
        <vt:i4>1293</vt:i4>
      </vt:variant>
      <vt:variant>
        <vt:i4>0</vt:i4>
      </vt:variant>
      <vt:variant>
        <vt:i4>5</vt:i4>
      </vt:variant>
      <vt:variant>
        <vt:lpwstr>http://vbacodmoint1.vba.va.gov/bl/21/faq/FAQ_Answer.asp?ref=245</vt:lpwstr>
      </vt:variant>
      <vt:variant>
        <vt:lpwstr/>
      </vt:variant>
      <vt:variant>
        <vt:i4>1769579</vt:i4>
      </vt:variant>
      <vt:variant>
        <vt:i4>1290</vt:i4>
      </vt:variant>
      <vt:variant>
        <vt:i4>0</vt:i4>
      </vt:variant>
      <vt:variant>
        <vt:i4>5</vt:i4>
      </vt:variant>
      <vt:variant>
        <vt:lpwstr>http://vbaw.vba.va.gov/bl/21/publicat/Regs/Part4/4_20.htm</vt:lpwstr>
      </vt:variant>
      <vt:variant>
        <vt:lpwstr/>
      </vt:variant>
      <vt:variant>
        <vt:i4>1179648</vt:i4>
      </vt:variant>
      <vt:variant>
        <vt:i4>1287</vt:i4>
      </vt:variant>
      <vt:variant>
        <vt:i4>0</vt:i4>
      </vt:variant>
      <vt:variant>
        <vt:i4>5</vt:i4>
      </vt:variant>
      <vt:variant>
        <vt:lpwstr/>
      </vt:variant>
      <vt:variant>
        <vt:lpwstr>ClarifyAndSolicit</vt:lpwstr>
      </vt:variant>
      <vt:variant>
        <vt:i4>7012385</vt:i4>
      </vt:variant>
      <vt:variant>
        <vt:i4>1284</vt:i4>
      </vt:variant>
      <vt:variant>
        <vt:i4>0</vt:i4>
      </vt:variant>
      <vt:variant>
        <vt:i4>5</vt:i4>
      </vt:variant>
      <vt:variant>
        <vt:lpwstr>http://vbaw.vba.va.gov/bl/21/Products/predisch.htm</vt:lpwstr>
      </vt:variant>
      <vt:variant>
        <vt:lpwstr/>
      </vt:variant>
      <vt:variant>
        <vt:i4>6291508</vt:i4>
      </vt:variant>
      <vt:variant>
        <vt:i4>1281</vt:i4>
      </vt:variant>
      <vt:variant>
        <vt:i4>0</vt:i4>
      </vt:variant>
      <vt:variant>
        <vt:i4>5</vt:i4>
      </vt:variant>
      <vt:variant>
        <vt:lpwstr>http://vbaw.vba.va.gov/bl/21/calendar/Agenda/FY12/0812.doc</vt:lpwstr>
      </vt:variant>
      <vt:variant>
        <vt:lpwstr/>
      </vt:variant>
      <vt:variant>
        <vt:i4>7602299</vt:i4>
      </vt:variant>
      <vt:variant>
        <vt:i4>1278</vt:i4>
      </vt:variant>
      <vt:variant>
        <vt:i4>0</vt:i4>
      </vt:variant>
      <vt:variant>
        <vt:i4>5</vt:i4>
      </vt:variant>
      <vt:variant>
        <vt:lpwstr>http://vbaw.vba.va.gov/BL/21/M21/content/infomap.asp?address=M21-1MRVI.1.1</vt:lpwstr>
      </vt:variant>
      <vt:variant>
        <vt:lpwstr/>
      </vt:variant>
      <vt:variant>
        <vt:i4>7798896</vt:i4>
      </vt:variant>
      <vt:variant>
        <vt:i4>1275</vt:i4>
      </vt:variant>
      <vt:variant>
        <vt:i4>0</vt:i4>
      </vt:variant>
      <vt:variant>
        <vt:i4>5</vt:i4>
      </vt:variant>
      <vt:variant>
        <vt:lpwstr>http://vbaw.vba.va.gov/BL/21/M21/content/infomap.asp?address=M21-1MRIV.ii.1.B.5</vt:lpwstr>
      </vt:variant>
      <vt:variant>
        <vt:lpwstr>M21-1MRIV.ii.1.B.5.a</vt:lpwstr>
      </vt:variant>
      <vt:variant>
        <vt:i4>6619239</vt:i4>
      </vt:variant>
      <vt:variant>
        <vt:i4>1272</vt:i4>
      </vt:variant>
      <vt:variant>
        <vt:i4>0</vt:i4>
      </vt:variant>
      <vt:variant>
        <vt:i4>5</vt:i4>
      </vt:variant>
      <vt:variant>
        <vt:lpwstr>http://vbaw.vba.va.gov/bl/21/Publicat/Letters/TrngLtrs/TL03-02.doc</vt:lpwstr>
      </vt:variant>
      <vt:variant>
        <vt:lpwstr/>
      </vt:variant>
      <vt:variant>
        <vt:i4>7602257</vt:i4>
      </vt:variant>
      <vt:variant>
        <vt:i4>1269</vt:i4>
      </vt:variant>
      <vt:variant>
        <vt:i4>0</vt:i4>
      </vt:variant>
      <vt:variant>
        <vt:i4>5</vt:i4>
      </vt:variant>
      <vt:variant>
        <vt:lpwstr>http://vbaw.vba.va.gov/bl/21/publicat/Regs/Part3/3_381.htm</vt:lpwstr>
      </vt:variant>
      <vt:variant>
        <vt:lpwstr/>
      </vt:variant>
      <vt:variant>
        <vt:i4>786449</vt:i4>
      </vt:variant>
      <vt:variant>
        <vt:i4>1266</vt:i4>
      </vt:variant>
      <vt:variant>
        <vt:i4>0</vt:i4>
      </vt:variant>
      <vt:variant>
        <vt:i4>5</vt:i4>
      </vt:variant>
      <vt:variant>
        <vt:lpwstr>http://vbaw.vba.va.gov/BL/21/M21/content/infomap.asp?address=M21-1MRIX.ii.2.9</vt:lpwstr>
      </vt:variant>
      <vt:variant>
        <vt:lpwstr/>
      </vt:variant>
      <vt:variant>
        <vt:i4>7798838</vt:i4>
      </vt:variant>
      <vt:variant>
        <vt:i4>1263</vt:i4>
      </vt:variant>
      <vt:variant>
        <vt:i4>0</vt:i4>
      </vt:variant>
      <vt:variant>
        <vt:i4>5</vt:i4>
      </vt:variant>
      <vt:variant>
        <vt:lpwstr>http://www.ecfr.gov/cgi-bin/text-idx?c=ecfr&amp;sid=39c7e367a71c8efc570650851b266303&amp;rgn=div5&amp;view=text&amp;node=38:2.0.1.1.5&amp;idno=38</vt:lpwstr>
      </vt:variant>
      <vt:variant>
        <vt:lpwstr>38:2.0.1.1.5.4.35.6</vt:lpwstr>
      </vt:variant>
      <vt:variant>
        <vt:i4>7798838</vt:i4>
      </vt:variant>
      <vt:variant>
        <vt:i4>1260</vt:i4>
      </vt:variant>
      <vt:variant>
        <vt:i4>0</vt:i4>
      </vt:variant>
      <vt:variant>
        <vt:i4>5</vt:i4>
      </vt:variant>
      <vt:variant>
        <vt:lpwstr>http://www.ecfr.gov/cgi-bin/text-idx?c=ecfr&amp;sid=39c7e367a71c8efc570650851b266303&amp;rgn=div5&amp;view=text&amp;node=38:2.0.1.1.5&amp;idno=38</vt:lpwstr>
      </vt:variant>
      <vt:variant>
        <vt:lpwstr>38:2.0.1.1.5.4.35.3</vt:lpwstr>
      </vt:variant>
      <vt:variant>
        <vt:i4>7340086</vt:i4>
      </vt:variant>
      <vt:variant>
        <vt:i4>1257</vt:i4>
      </vt:variant>
      <vt:variant>
        <vt:i4>0</vt:i4>
      </vt:variant>
      <vt:variant>
        <vt:i4>5</vt:i4>
      </vt:variant>
      <vt:variant>
        <vt:lpwstr>http://www.ecfr.gov/cgi-bin/text-idx?c=ecfr&amp;sid=39c7e367a71c8efc570650851b266303&amp;rgn=div5&amp;view=text&amp;node=38:2.0.1.1.5&amp;idno=38</vt:lpwstr>
      </vt:variant>
      <vt:variant>
        <vt:lpwstr>38:2.0.1.1.5.3.35.2</vt:lpwstr>
      </vt:variant>
      <vt:variant>
        <vt:i4>6553702</vt:i4>
      </vt:variant>
      <vt:variant>
        <vt:i4>1254</vt:i4>
      </vt:variant>
      <vt:variant>
        <vt:i4>0</vt:i4>
      </vt:variant>
      <vt:variant>
        <vt:i4>5</vt:i4>
      </vt:variant>
      <vt:variant>
        <vt:lpwstr>http://vbaw.vba.va.gov/bl/21/Publicat/Letters/TrngLtrs/TL02-03.doc</vt:lpwstr>
      </vt:variant>
      <vt:variant>
        <vt:lpwstr/>
      </vt:variant>
      <vt:variant>
        <vt:i4>3670031</vt:i4>
      </vt:variant>
      <vt:variant>
        <vt:i4>1251</vt:i4>
      </vt:variant>
      <vt:variant>
        <vt:i4>0</vt:i4>
      </vt:variant>
      <vt:variant>
        <vt:i4>5</vt:i4>
      </vt:variant>
      <vt:variant>
        <vt:lpwstr>http://vbacodmoint1.vba.va.gov/bl/21/faq/FAQ_Answer.asp?ref=385</vt:lpwstr>
      </vt:variant>
      <vt:variant>
        <vt:lpwstr/>
      </vt:variant>
      <vt:variant>
        <vt:i4>8126502</vt:i4>
      </vt:variant>
      <vt:variant>
        <vt:i4>1248</vt:i4>
      </vt:variant>
      <vt:variant>
        <vt:i4>0</vt:i4>
      </vt:variant>
      <vt:variant>
        <vt:i4>5</vt:i4>
      </vt:variant>
      <vt:variant>
        <vt:lpwstr>http://vbaw.vba.va.gov/bl/21/publicat/Letters/FL11/FL11-015.doc</vt:lpwstr>
      </vt:variant>
      <vt:variant>
        <vt:lpwstr/>
      </vt:variant>
      <vt:variant>
        <vt:i4>1966085</vt:i4>
      </vt:variant>
      <vt:variant>
        <vt:i4>1245</vt:i4>
      </vt:variant>
      <vt:variant>
        <vt:i4>0</vt:i4>
      </vt:variant>
      <vt:variant>
        <vt:i4>5</vt:i4>
      </vt:variant>
      <vt:variant>
        <vt:lpwstr>http://vbaw.vba.va.gov/bl/21/publicat/Manuals/Part1/appa.htm</vt:lpwstr>
      </vt:variant>
      <vt:variant>
        <vt:lpwstr/>
      </vt:variant>
      <vt:variant>
        <vt:i4>1769576</vt:i4>
      </vt:variant>
      <vt:variant>
        <vt:i4>1242</vt:i4>
      </vt:variant>
      <vt:variant>
        <vt:i4>0</vt:i4>
      </vt:variant>
      <vt:variant>
        <vt:i4>5</vt:i4>
      </vt:variant>
      <vt:variant>
        <vt:lpwstr>http://vbaw.vba.va.gov/bl/21/publicat/Regs/Part4/4_23.htm</vt:lpwstr>
      </vt:variant>
      <vt:variant>
        <vt:lpwstr/>
      </vt:variant>
      <vt:variant>
        <vt:i4>3407887</vt:i4>
      </vt:variant>
      <vt:variant>
        <vt:i4>1239</vt:i4>
      </vt:variant>
      <vt:variant>
        <vt:i4>0</vt:i4>
      </vt:variant>
      <vt:variant>
        <vt:i4>5</vt:i4>
      </vt:variant>
      <vt:variant>
        <vt:lpwstr>http://vbacodmoint1.vba.va.gov/bl/21/faq/FAQ_Answer.asp?ref=344</vt:lpwstr>
      </vt:variant>
      <vt:variant>
        <vt:lpwstr/>
      </vt:variant>
      <vt:variant>
        <vt:i4>7405657</vt:i4>
      </vt:variant>
      <vt:variant>
        <vt:i4>1236</vt:i4>
      </vt:variant>
      <vt:variant>
        <vt:i4>0</vt:i4>
      </vt:variant>
      <vt:variant>
        <vt:i4>5</vt:i4>
      </vt:variant>
      <vt:variant>
        <vt:lpwstr>http://vbaw.vba.va.gov/bl/21/publicat/Regs/Part3/3_700.htm</vt:lpwstr>
      </vt:variant>
      <vt:variant>
        <vt:lpwstr/>
      </vt:variant>
      <vt:variant>
        <vt:i4>1704012</vt:i4>
      </vt:variant>
      <vt:variant>
        <vt:i4>1233</vt:i4>
      </vt:variant>
      <vt:variant>
        <vt:i4>0</vt:i4>
      </vt:variant>
      <vt:variant>
        <vt:i4>5</vt:i4>
      </vt:variant>
      <vt:variant>
        <vt:lpwstr>http://vbaw.vba.va.gov/BL/21/M21/content/infomap.asp?address=M21-1MRIV.ii.2.K.66</vt:lpwstr>
      </vt:variant>
      <vt:variant>
        <vt:lpwstr/>
      </vt:variant>
      <vt:variant>
        <vt:i4>7733329</vt:i4>
      </vt:variant>
      <vt:variant>
        <vt:i4>1230</vt:i4>
      </vt:variant>
      <vt:variant>
        <vt:i4>0</vt:i4>
      </vt:variant>
      <vt:variant>
        <vt:i4>5</vt:i4>
      </vt:variant>
      <vt:variant>
        <vt:lpwstr>http://vbaw.vba.va.gov/bl/21/publicat/Regs/Part3/3_383.htm</vt:lpwstr>
      </vt:variant>
      <vt:variant>
        <vt:lpwstr/>
      </vt:variant>
      <vt:variant>
        <vt:i4>5177378</vt:i4>
      </vt:variant>
      <vt:variant>
        <vt:i4>1227</vt:i4>
      </vt:variant>
      <vt:variant>
        <vt:i4>0</vt:i4>
      </vt:variant>
      <vt:variant>
        <vt:i4>5</vt:i4>
      </vt:variant>
      <vt:variant>
        <vt:lpwstr>http://vbaw.vba.va.gov/bl/21/publicat/Manuals/Rates/rates_home.htm</vt:lpwstr>
      </vt:variant>
      <vt:variant>
        <vt:lpwstr/>
      </vt:variant>
      <vt:variant>
        <vt:i4>8257569</vt:i4>
      </vt:variant>
      <vt:variant>
        <vt:i4>1224</vt:i4>
      </vt:variant>
      <vt:variant>
        <vt:i4>0</vt:i4>
      </vt:variant>
      <vt:variant>
        <vt:i4>5</vt:i4>
      </vt:variant>
      <vt:variant>
        <vt:lpwstr>http://vbaw.vba.va.gov/bl/21/publicat/Letters/FL11/FL11-032.doc</vt:lpwstr>
      </vt:variant>
      <vt:variant>
        <vt:lpwstr/>
      </vt:variant>
      <vt:variant>
        <vt:i4>7143477</vt:i4>
      </vt:variant>
      <vt:variant>
        <vt:i4>1221</vt:i4>
      </vt:variant>
      <vt:variant>
        <vt:i4>0</vt:i4>
      </vt:variant>
      <vt:variant>
        <vt:i4>5</vt:i4>
      </vt:variant>
      <vt:variant>
        <vt:lpwstr>http://vbaw.vba.va.gov/bl/21/calendar/agenda/FY13/0413.doc</vt:lpwstr>
      </vt:variant>
      <vt:variant>
        <vt:lpwstr/>
      </vt:variant>
      <vt:variant>
        <vt:i4>6946869</vt:i4>
      </vt:variant>
      <vt:variant>
        <vt:i4>1218</vt:i4>
      </vt:variant>
      <vt:variant>
        <vt:i4>0</vt:i4>
      </vt:variant>
      <vt:variant>
        <vt:i4>5</vt:i4>
      </vt:variant>
      <vt:variant>
        <vt:lpwstr>http://vbaw.vba.va.gov/bl/21/calendar/agenda/FY13/0313.doc</vt:lpwstr>
      </vt:variant>
      <vt:variant>
        <vt:lpwstr/>
      </vt:variant>
      <vt:variant>
        <vt:i4>8126501</vt:i4>
      </vt:variant>
      <vt:variant>
        <vt:i4>1215</vt:i4>
      </vt:variant>
      <vt:variant>
        <vt:i4>0</vt:i4>
      </vt:variant>
      <vt:variant>
        <vt:i4>5</vt:i4>
      </vt:variant>
      <vt:variant>
        <vt:lpwstr>http://vbaw.vba.va.gov/bl/21/publicat/Letters/FL12/FL12-025.doc</vt:lpwstr>
      </vt:variant>
      <vt:variant>
        <vt:lpwstr/>
      </vt:variant>
      <vt:variant>
        <vt:i4>6946869</vt:i4>
      </vt:variant>
      <vt:variant>
        <vt:i4>1212</vt:i4>
      </vt:variant>
      <vt:variant>
        <vt:i4>0</vt:i4>
      </vt:variant>
      <vt:variant>
        <vt:i4>5</vt:i4>
      </vt:variant>
      <vt:variant>
        <vt:lpwstr>http://vbaw.vba.va.gov/bl/21/calendar/agenda/FY12/1212.doc</vt:lpwstr>
      </vt:variant>
      <vt:variant>
        <vt:lpwstr/>
      </vt:variant>
      <vt:variant>
        <vt:i4>8126501</vt:i4>
      </vt:variant>
      <vt:variant>
        <vt:i4>1209</vt:i4>
      </vt:variant>
      <vt:variant>
        <vt:i4>0</vt:i4>
      </vt:variant>
      <vt:variant>
        <vt:i4>5</vt:i4>
      </vt:variant>
      <vt:variant>
        <vt:lpwstr>http://vbaw.vba.va.gov/bl/21/publicat/Letters/FL12/FL12-025.doc</vt:lpwstr>
      </vt:variant>
      <vt:variant>
        <vt:lpwstr/>
      </vt:variant>
      <vt:variant>
        <vt:i4>8257568</vt:i4>
      </vt:variant>
      <vt:variant>
        <vt:i4>1206</vt:i4>
      </vt:variant>
      <vt:variant>
        <vt:i4>0</vt:i4>
      </vt:variant>
      <vt:variant>
        <vt:i4>5</vt:i4>
      </vt:variant>
      <vt:variant>
        <vt:lpwstr>http://vbaw.vba.va.gov/bl/21/publicat/Letters/FL10/FL10-022.doc</vt:lpwstr>
      </vt:variant>
      <vt:variant>
        <vt:lpwstr/>
      </vt:variant>
      <vt:variant>
        <vt:i4>8192039</vt:i4>
      </vt:variant>
      <vt:variant>
        <vt:i4>1203</vt:i4>
      </vt:variant>
      <vt:variant>
        <vt:i4>0</vt:i4>
      </vt:variant>
      <vt:variant>
        <vt:i4>5</vt:i4>
      </vt:variant>
      <vt:variant>
        <vt:lpwstr>http://vbaw.vba.va.gov/bl/21/publicat/Letters/FL10/FL10-015.doc</vt:lpwstr>
      </vt:variant>
      <vt:variant>
        <vt:lpwstr/>
      </vt:variant>
      <vt:variant>
        <vt:i4>8192033</vt:i4>
      </vt:variant>
      <vt:variant>
        <vt:i4>1200</vt:i4>
      </vt:variant>
      <vt:variant>
        <vt:i4>0</vt:i4>
      </vt:variant>
      <vt:variant>
        <vt:i4>5</vt:i4>
      </vt:variant>
      <vt:variant>
        <vt:lpwstr>http://vbaw.vba.va.gov/bl/21/publicat/Letters/FL10/FL10-013.doc</vt:lpwstr>
      </vt:variant>
      <vt:variant>
        <vt:lpwstr/>
      </vt:variant>
      <vt:variant>
        <vt:i4>3145743</vt:i4>
      </vt:variant>
      <vt:variant>
        <vt:i4>1197</vt:i4>
      </vt:variant>
      <vt:variant>
        <vt:i4>0</vt:i4>
      </vt:variant>
      <vt:variant>
        <vt:i4>5</vt:i4>
      </vt:variant>
      <vt:variant>
        <vt:lpwstr>http://vbacodmoint1.vba.va.gov/bl/21/faq/FAQ_Answer.asp?ref=305</vt:lpwstr>
      </vt:variant>
      <vt:variant>
        <vt:lpwstr/>
      </vt:variant>
      <vt:variant>
        <vt:i4>4718666</vt:i4>
      </vt:variant>
      <vt:variant>
        <vt:i4>1194</vt:i4>
      </vt:variant>
      <vt:variant>
        <vt:i4>0</vt:i4>
      </vt:variant>
      <vt:variant>
        <vt:i4>5</vt:i4>
      </vt:variant>
      <vt:variant>
        <vt:lpwstr>http://vbaw.vba.va.gov/BL/21/M21/content/infomap.asp?address=M21-1MRIII.iv.6.C.11</vt:lpwstr>
      </vt:variant>
      <vt:variant>
        <vt:lpwstr/>
      </vt:variant>
      <vt:variant>
        <vt:i4>1179648</vt:i4>
      </vt:variant>
      <vt:variant>
        <vt:i4>1191</vt:i4>
      </vt:variant>
      <vt:variant>
        <vt:i4>0</vt:i4>
      </vt:variant>
      <vt:variant>
        <vt:i4>5</vt:i4>
      </vt:variant>
      <vt:variant>
        <vt:lpwstr/>
      </vt:variant>
      <vt:variant>
        <vt:lpwstr>ClarifyAndSolicit</vt:lpwstr>
      </vt:variant>
      <vt:variant>
        <vt:i4>1638498</vt:i4>
      </vt:variant>
      <vt:variant>
        <vt:i4>1188</vt:i4>
      </vt:variant>
      <vt:variant>
        <vt:i4>0</vt:i4>
      </vt:variant>
      <vt:variant>
        <vt:i4>5</vt:i4>
      </vt:variant>
      <vt:variant>
        <vt:lpwstr>http://vbaw.vba.va.gov/bl/21/M21-1MR/index.asp?id=pt04_sp02_ch02_secA.xml</vt:lpwstr>
      </vt:variant>
      <vt:variant>
        <vt:lpwstr>IV.ii.2.A.1</vt:lpwstr>
      </vt:variant>
      <vt:variant>
        <vt:i4>5111882</vt:i4>
      </vt:variant>
      <vt:variant>
        <vt:i4>1185</vt:i4>
      </vt:variant>
      <vt:variant>
        <vt:i4>0</vt:i4>
      </vt:variant>
      <vt:variant>
        <vt:i4>5</vt:i4>
      </vt:variant>
      <vt:variant>
        <vt:lpwstr>http://vbaw.vba.va.gov/BL/21/M21/content/infomap.asp?address=M21-1MRIII.iv.6.B.6</vt:lpwstr>
      </vt:variant>
      <vt:variant>
        <vt:lpwstr/>
      </vt:variant>
      <vt:variant>
        <vt:i4>5242883</vt:i4>
      </vt:variant>
      <vt:variant>
        <vt:i4>1182</vt:i4>
      </vt:variant>
      <vt:variant>
        <vt:i4>0</vt:i4>
      </vt:variant>
      <vt:variant>
        <vt:i4>5</vt:i4>
      </vt:variant>
      <vt:variant>
        <vt:lpwstr>http://vbaw.vba.va.gov/BL/21/M21/content/infomap.asp?address=M21-1MRIII.iv.6.B.3</vt:lpwstr>
      </vt:variant>
      <vt:variant>
        <vt:lpwstr>M21-1MRIII.iv.6.B.3.a</vt:lpwstr>
      </vt:variant>
      <vt:variant>
        <vt:i4>4849738</vt:i4>
      </vt:variant>
      <vt:variant>
        <vt:i4>1179</vt:i4>
      </vt:variant>
      <vt:variant>
        <vt:i4>0</vt:i4>
      </vt:variant>
      <vt:variant>
        <vt:i4>5</vt:i4>
      </vt:variant>
      <vt:variant>
        <vt:lpwstr>http://vbaw.vba.va.gov/BL/21/M21/content/infomap.asp?address=M21-1MRIII.iv.6.B.2</vt:lpwstr>
      </vt:variant>
      <vt:variant>
        <vt:lpwstr/>
      </vt:variant>
      <vt:variant>
        <vt:i4>4587607</vt:i4>
      </vt:variant>
      <vt:variant>
        <vt:i4>1176</vt:i4>
      </vt:variant>
      <vt:variant>
        <vt:i4>0</vt:i4>
      </vt:variant>
      <vt:variant>
        <vt:i4>5</vt:i4>
      </vt:variant>
      <vt:variant>
        <vt:lpwstr>http://vbaw.vba.va.gov/BL/21/M21/content/contents.asp?address=M21-1MRIII</vt:lpwstr>
      </vt:variant>
      <vt:variant>
        <vt:lpwstr/>
      </vt:variant>
      <vt:variant>
        <vt:i4>3407886</vt:i4>
      </vt:variant>
      <vt:variant>
        <vt:i4>1173</vt:i4>
      </vt:variant>
      <vt:variant>
        <vt:i4>0</vt:i4>
      </vt:variant>
      <vt:variant>
        <vt:i4>5</vt:i4>
      </vt:variant>
      <vt:variant>
        <vt:lpwstr>http://vbacodmoint1.vba.va.gov/bl/21/faq/FAQ_Answer.asp?ref=243</vt:lpwstr>
      </vt:variant>
      <vt:variant>
        <vt:lpwstr/>
      </vt:variant>
      <vt:variant>
        <vt:i4>3407886</vt:i4>
      </vt:variant>
      <vt:variant>
        <vt:i4>1170</vt:i4>
      </vt:variant>
      <vt:variant>
        <vt:i4>0</vt:i4>
      </vt:variant>
      <vt:variant>
        <vt:i4>5</vt:i4>
      </vt:variant>
      <vt:variant>
        <vt:lpwstr>http://vbacodmoint1.vba.va.gov/bl/21/faq/FAQ_Answer.asp?ref=241</vt:lpwstr>
      </vt:variant>
      <vt:variant>
        <vt:lpwstr/>
      </vt:variant>
      <vt:variant>
        <vt:i4>3407886</vt:i4>
      </vt:variant>
      <vt:variant>
        <vt:i4>1167</vt:i4>
      </vt:variant>
      <vt:variant>
        <vt:i4>0</vt:i4>
      </vt:variant>
      <vt:variant>
        <vt:i4>5</vt:i4>
      </vt:variant>
      <vt:variant>
        <vt:lpwstr>http://vbacodmoint1.vba.va.gov/bl/21/faq/FAQ_Answer.asp?ref=240</vt:lpwstr>
      </vt:variant>
      <vt:variant>
        <vt:lpwstr/>
      </vt:variant>
      <vt:variant>
        <vt:i4>3407886</vt:i4>
      </vt:variant>
      <vt:variant>
        <vt:i4>1164</vt:i4>
      </vt:variant>
      <vt:variant>
        <vt:i4>0</vt:i4>
      </vt:variant>
      <vt:variant>
        <vt:i4>5</vt:i4>
      </vt:variant>
      <vt:variant>
        <vt:lpwstr>http://vbacodmoint1.vba.va.gov/bl/21/faq/FAQ_Answer.asp?ref=242</vt:lpwstr>
      </vt:variant>
      <vt:variant>
        <vt:lpwstr/>
      </vt:variant>
      <vt:variant>
        <vt:i4>6619238</vt:i4>
      </vt:variant>
      <vt:variant>
        <vt:i4>1161</vt:i4>
      </vt:variant>
      <vt:variant>
        <vt:i4>0</vt:i4>
      </vt:variant>
      <vt:variant>
        <vt:i4>5</vt:i4>
      </vt:variant>
      <vt:variant>
        <vt:lpwstr>http://vbaw.vba.va.gov/bl/21/Publicat/Letters/TrngLtrs/TL02-02.doc</vt:lpwstr>
      </vt:variant>
      <vt:variant>
        <vt:lpwstr/>
      </vt:variant>
      <vt:variant>
        <vt:i4>6553701</vt:i4>
      </vt:variant>
      <vt:variant>
        <vt:i4>1158</vt:i4>
      </vt:variant>
      <vt:variant>
        <vt:i4>0</vt:i4>
      </vt:variant>
      <vt:variant>
        <vt:i4>5</vt:i4>
      </vt:variant>
      <vt:variant>
        <vt:lpwstr>http://vbaw.vba.va.gov/bl/21/publicat/Letters/TrngLtrs/tl01-03.doc</vt:lpwstr>
      </vt:variant>
      <vt:variant>
        <vt:lpwstr/>
      </vt:variant>
      <vt:variant>
        <vt:i4>6488163</vt:i4>
      </vt:variant>
      <vt:variant>
        <vt:i4>1155</vt:i4>
      </vt:variant>
      <vt:variant>
        <vt:i4>0</vt:i4>
      </vt:variant>
      <vt:variant>
        <vt:i4>5</vt:i4>
      </vt:variant>
      <vt:variant>
        <vt:lpwstr>http://vbaw.vba.va.gov/bl/21/publicat/Letters/TrngLtrs/TL07-04.doc</vt:lpwstr>
      </vt:variant>
      <vt:variant>
        <vt:lpwstr/>
      </vt:variant>
      <vt:variant>
        <vt:i4>8060967</vt:i4>
      </vt:variant>
      <vt:variant>
        <vt:i4>1152</vt:i4>
      </vt:variant>
      <vt:variant>
        <vt:i4>0</vt:i4>
      </vt:variant>
      <vt:variant>
        <vt:i4>5</vt:i4>
      </vt:variant>
      <vt:variant>
        <vt:lpwstr>http://vbaw.vba.va.gov/bl/21/publicat/Letters/FL06/FL06-002.doc</vt:lpwstr>
      </vt:variant>
      <vt:variant>
        <vt:lpwstr/>
      </vt:variant>
      <vt:variant>
        <vt:i4>7340101</vt:i4>
      </vt:variant>
      <vt:variant>
        <vt:i4>1149</vt:i4>
      </vt:variant>
      <vt:variant>
        <vt:i4>0</vt:i4>
      </vt:variant>
      <vt:variant>
        <vt:i4>5</vt:i4>
      </vt:variant>
      <vt:variant>
        <vt:lpwstr>\\vbasdcfpc1\vbapps\ARMS\VSC POLICY MEMOS\VSC Numbered Memos FY 2012\Policy (21-12-05) Rating Quality Checklist Attachment A.xls</vt:lpwstr>
      </vt:variant>
      <vt:variant>
        <vt:lpwstr/>
      </vt:variant>
      <vt:variant>
        <vt:i4>5046302</vt:i4>
      </vt:variant>
      <vt:variant>
        <vt:i4>1146</vt:i4>
      </vt:variant>
      <vt:variant>
        <vt:i4>0</vt:i4>
      </vt:variant>
      <vt:variant>
        <vt:i4>5</vt:i4>
      </vt:variant>
      <vt:variant>
        <vt:lpwstr>http://vbaw.vba.va.gov/BL/21/M21/content/infomap.asp?address=M21-1MRII.5.9</vt:lpwstr>
      </vt:variant>
      <vt:variant>
        <vt:lpwstr>M21-1MRII.5.9.d</vt:lpwstr>
      </vt:variant>
      <vt:variant>
        <vt:i4>1572969</vt:i4>
      </vt:variant>
      <vt:variant>
        <vt:i4>1143</vt:i4>
      </vt:variant>
      <vt:variant>
        <vt:i4>0</vt:i4>
      </vt:variant>
      <vt:variant>
        <vt:i4>5</vt:i4>
      </vt:variant>
      <vt:variant>
        <vt:lpwstr>http://vbaw.vba.va.gov/bl/21/publicat/Regs/Part3/3_12.htm</vt:lpwstr>
      </vt:variant>
      <vt:variant>
        <vt:lpwstr/>
      </vt:variant>
      <vt:variant>
        <vt:i4>3473421</vt:i4>
      </vt:variant>
      <vt:variant>
        <vt:i4>1140</vt:i4>
      </vt:variant>
      <vt:variant>
        <vt:i4>0</vt:i4>
      </vt:variant>
      <vt:variant>
        <vt:i4>5</vt:i4>
      </vt:variant>
      <vt:variant>
        <vt:lpwstr>http://vbacodmoint1.vba.va.gov/bl/21/faq/FAQ_Answer.asp?ref=156</vt:lpwstr>
      </vt:variant>
      <vt:variant>
        <vt:lpwstr/>
      </vt:variant>
      <vt:variant>
        <vt:i4>4653161</vt:i4>
      </vt:variant>
      <vt:variant>
        <vt:i4>1137</vt:i4>
      </vt:variant>
      <vt:variant>
        <vt:i4>0</vt:i4>
      </vt:variant>
      <vt:variant>
        <vt:i4>5</vt:i4>
      </vt:variant>
      <vt:variant>
        <vt:lpwstr>http://vbaw.vba.va.gov/bl/21/publicat/Regs/Part3/3_1.htm</vt:lpwstr>
      </vt:variant>
      <vt:variant>
        <vt:lpwstr/>
      </vt:variant>
      <vt:variant>
        <vt:i4>917597</vt:i4>
      </vt:variant>
      <vt:variant>
        <vt:i4>1134</vt:i4>
      </vt:variant>
      <vt:variant>
        <vt:i4>0</vt:i4>
      </vt:variant>
      <vt:variant>
        <vt:i4>5</vt:i4>
      </vt:variant>
      <vt:variant>
        <vt:lpwstr>http://vbaw.vba.va.gov/BL/21/M21/content/infomap.asp?address=M21-1MRIV.ii.2.C.10</vt:lpwstr>
      </vt:variant>
      <vt:variant>
        <vt:lpwstr>M21-1MRIV.ii.2.C.10.i</vt:lpwstr>
      </vt:variant>
      <vt:variant>
        <vt:i4>2424847</vt:i4>
      </vt:variant>
      <vt:variant>
        <vt:i4>1131</vt:i4>
      </vt:variant>
      <vt:variant>
        <vt:i4>0</vt:i4>
      </vt:variant>
      <vt:variant>
        <vt:i4>5</vt:i4>
      </vt:variant>
      <vt:variant>
        <vt:lpwstr>http://epss.vba.va.gov/rvsr_assistant/RVSR_Effective_Dates/index.html</vt:lpwstr>
      </vt:variant>
      <vt:variant>
        <vt:lpwstr/>
      </vt:variant>
      <vt:variant>
        <vt:i4>6422628</vt:i4>
      </vt:variant>
      <vt:variant>
        <vt:i4>1128</vt:i4>
      </vt:variant>
      <vt:variant>
        <vt:i4>0</vt:i4>
      </vt:variant>
      <vt:variant>
        <vt:i4>5</vt:i4>
      </vt:variant>
      <vt:variant>
        <vt:lpwstr>http://vbaw.vba.va.gov/bl/21/publicat/Letters/TrngLtrs/TL10-04.doc</vt:lpwstr>
      </vt:variant>
      <vt:variant>
        <vt:lpwstr/>
      </vt:variant>
      <vt:variant>
        <vt:i4>3735561</vt:i4>
      </vt:variant>
      <vt:variant>
        <vt:i4>1125</vt:i4>
      </vt:variant>
      <vt:variant>
        <vt:i4>0</vt:i4>
      </vt:variant>
      <vt:variant>
        <vt:i4>5</vt:i4>
      </vt:variant>
      <vt:variant>
        <vt:lpwstr>http://vbacodmoint1.vba.va.gov/bl/21/faq/FAQ_Answer.asp?ref=59</vt:lpwstr>
      </vt:variant>
      <vt:variant>
        <vt:lpwstr/>
      </vt:variant>
      <vt:variant>
        <vt:i4>3735566</vt:i4>
      </vt:variant>
      <vt:variant>
        <vt:i4>1122</vt:i4>
      </vt:variant>
      <vt:variant>
        <vt:i4>0</vt:i4>
      </vt:variant>
      <vt:variant>
        <vt:i4>5</vt:i4>
      </vt:variant>
      <vt:variant>
        <vt:lpwstr>http://vbacodmoint1.vba.va.gov/bl/21/faq/FAQ_Answer.asp?ref=29</vt:lpwstr>
      </vt:variant>
      <vt:variant>
        <vt:lpwstr/>
      </vt:variant>
      <vt:variant>
        <vt:i4>3276805</vt:i4>
      </vt:variant>
      <vt:variant>
        <vt:i4>1119</vt:i4>
      </vt:variant>
      <vt:variant>
        <vt:i4>0</vt:i4>
      </vt:variant>
      <vt:variant>
        <vt:i4>5</vt:i4>
      </vt:variant>
      <vt:variant>
        <vt:lpwstr>http://vbacodmoint1.vba.va.gov/bl/21/faq/FAQ_Answer.asp?ref=92</vt:lpwstr>
      </vt:variant>
      <vt:variant>
        <vt:lpwstr/>
      </vt:variant>
      <vt:variant>
        <vt:i4>3211269</vt:i4>
      </vt:variant>
      <vt:variant>
        <vt:i4>1116</vt:i4>
      </vt:variant>
      <vt:variant>
        <vt:i4>0</vt:i4>
      </vt:variant>
      <vt:variant>
        <vt:i4>5</vt:i4>
      </vt:variant>
      <vt:variant>
        <vt:lpwstr>http://vbacodmoint1.vba.va.gov/bl/21/faq/FAQ_Answer.asp?ref=91</vt:lpwstr>
      </vt:variant>
      <vt:variant>
        <vt:lpwstr/>
      </vt:variant>
      <vt:variant>
        <vt:i4>8257628</vt:i4>
      </vt:variant>
      <vt:variant>
        <vt:i4>1113</vt:i4>
      </vt:variant>
      <vt:variant>
        <vt:i4>0</vt:i4>
      </vt:variant>
      <vt:variant>
        <vt:i4>5</vt:i4>
      </vt:variant>
      <vt:variant>
        <vt:lpwstr>http://vbaw.vba.va.gov/bl/21/publicat/Regs/Part3/3_951.htm</vt:lpwstr>
      </vt:variant>
      <vt:variant>
        <vt:lpwstr/>
      </vt:variant>
      <vt:variant>
        <vt:i4>5308418</vt:i4>
      </vt:variant>
      <vt:variant>
        <vt:i4>1110</vt:i4>
      </vt:variant>
      <vt:variant>
        <vt:i4>0</vt:i4>
      </vt:variant>
      <vt:variant>
        <vt:i4>5</vt:i4>
      </vt:variant>
      <vt:variant>
        <vt:lpwstr>http://vbaw.vba.va.gov/BL/21/M21/content/infomap.asp?address=M21-1MRIII.iv.7.B.3</vt:lpwstr>
      </vt:variant>
      <vt:variant>
        <vt:lpwstr>M21-1MRIII.iv.7.B.3.b</vt:lpwstr>
      </vt:variant>
      <vt:variant>
        <vt:i4>786453</vt:i4>
      </vt:variant>
      <vt:variant>
        <vt:i4>1107</vt:i4>
      </vt:variant>
      <vt:variant>
        <vt:i4>0</vt:i4>
      </vt:variant>
      <vt:variant>
        <vt:i4>5</vt:i4>
      </vt:variant>
      <vt:variant>
        <vt:lpwstr>http://vbaw.vba.va.gov/bl/21/Publicat/Regs/Part4/AppA.htm</vt:lpwstr>
      </vt:variant>
      <vt:variant>
        <vt:lpwstr/>
      </vt:variant>
      <vt:variant>
        <vt:i4>7536728</vt:i4>
      </vt:variant>
      <vt:variant>
        <vt:i4>1104</vt:i4>
      </vt:variant>
      <vt:variant>
        <vt:i4>0</vt:i4>
      </vt:variant>
      <vt:variant>
        <vt:i4>5</vt:i4>
      </vt:variant>
      <vt:variant>
        <vt:lpwstr>http://vbaw.vba.va.gov/bl/21/publicat/Regs/Part3/3_114.htm</vt:lpwstr>
      </vt:variant>
      <vt:variant>
        <vt:lpwstr/>
      </vt:variant>
      <vt:variant>
        <vt:i4>458830</vt:i4>
      </vt:variant>
      <vt:variant>
        <vt:i4>1101</vt:i4>
      </vt:variant>
      <vt:variant>
        <vt:i4>0</vt:i4>
      </vt:variant>
      <vt:variant>
        <vt:i4>5</vt:i4>
      </vt:variant>
      <vt:variant>
        <vt:lpwstr>http://cptraining.vba.va.gov/C&amp;P_Training/RVSR/rvsr_man.htm</vt:lpwstr>
      </vt:variant>
      <vt:variant>
        <vt:lpwstr/>
      </vt:variant>
      <vt:variant>
        <vt:i4>3670076</vt:i4>
      </vt:variant>
      <vt:variant>
        <vt:i4>1098</vt:i4>
      </vt:variant>
      <vt:variant>
        <vt:i4>0</vt:i4>
      </vt:variant>
      <vt:variant>
        <vt:i4>5</vt:i4>
      </vt:variant>
      <vt:variant>
        <vt:lpwstr>http://vbaw.vba.va.gov/BL/21/M21/content/infomap.asp?address=M21-1MRV.ii.1.B.12</vt:lpwstr>
      </vt:variant>
      <vt:variant>
        <vt:lpwstr/>
      </vt:variant>
      <vt:variant>
        <vt:i4>4915274</vt:i4>
      </vt:variant>
      <vt:variant>
        <vt:i4>1095</vt:i4>
      </vt:variant>
      <vt:variant>
        <vt:i4>0</vt:i4>
      </vt:variant>
      <vt:variant>
        <vt:i4>5</vt:i4>
      </vt:variant>
      <vt:variant>
        <vt:lpwstr>http://vbaw.vba.va.gov/BL/21/M21/content/infomap.asp?address=M21-1MRIII.iv.6.B.3</vt:lpwstr>
      </vt:variant>
      <vt:variant>
        <vt:lpwstr/>
      </vt:variant>
      <vt:variant>
        <vt:i4>6488173</vt:i4>
      </vt:variant>
      <vt:variant>
        <vt:i4>1092</vt:i4>
      </vt:variant>
      <vt:variant>
        <vt:i4>0</vt:i4>
      </vt:variant>
      <vt:variant>
        <vt:i4>5</vt:i4>
      </vt:variant>
      <vt:variant>
        <vt:lpwstr>http://vbaw.vba.va.gov/bl/21/publicat/Letters/TrngLtrs/TL09-04.doc</vt:lpwstr>
      </vt:variant>
      <vt:variant>
        <vt:lpwstr/>
      </vt:variant>
      <vt:variant>
        <vt:i4>3342351</vt:i4>
      </vt:variant>
      <vt:variant>
        <vt:i4>1089</vt:i4>
      </vt:variant>
      <vt:variant>
        <vt:i4>0</vt:i4>
      </vt:variant>
      <vt:variant>
        <vt:i4>5</vt:i4>
      </vt:variant>
      <vt:variant>
        <vt:lpwstr>http://vbacodmoint1.vba.va.gov/bl/21/faq/FAQ_Answer.asp?ref=331</vt:lpwstr>
      </vt:variant>
      <vt:variant>
        <vt:lpwstr/>
      </vt:variant>
      <vt:variant>
        <vt:i4>5046346</vt:i4>
      </vt:variant>
      <vt:variant>
        <vt:i4>1086</vt:i4>
      </vt:variant>
      <vt:variant>
        <vt:i4>0</vt:i4>
      </vt:variant>
      <vt:variant>
        <vt:i4>5</vt:i4>
      </vt:variant>
      <vt:variant>
        <vt:lpwstr>http://vbaw.vba.va.gov/BL/21/M21/content/infomap.asp?address=M21-1MRIII.iv.6.E.25</vt:lpwstr>
      </vt:variant>
      <vt:variant>
        <vt:lpwstr/>
      </vt:variant>
      <vt:variant>
        <vt:i4>7340124</vt:i4>
      </vt:variant>
      <vt:variant>
        <vt:i4>1083</vt:i4>
      </vt:variant>
      <vt:variant>
        <vt:i4>0</vt:i4>
      </vt:variant>
      <vt:variant>
        <vt:i4>5</vt:i4>
      </vt:variant>
      <vt:variant>
        <vt:lpwstr>http://vbaw.vba.va.gov/bl/21/publicat/Regs/Part3/3_157.htm</vt:lpwstr>
      </vt:variant>
      <vt:variant>
        <vt:lpwstr/>
      </vt:variant>
      <vt:variant>
        <vt:i4>7405660</vt:i4>
      </vt:variant>
      <vt:variant>
        <vt:i4>1080</vt:i4>
      </vt:variant>
      <vt:variant>
        <vt:i4>0</vt:i4>
      </vt:variant>
      <vt:variant>
        <vt:i4>5</vt:i4>
      </vt:variant>
      <vt:variant>
        <vt:lpwstr>http://vbaw.vba.va.gov/bl/21/publicat/Regs/Part3/3_156.htm</vt:lpwstr>
      </vt:variant>
      <vt:variant>
        <vt:lpwstr/>
      </vt:variant>
      <vt:variant>
        <vt:i4>7471196</vt:i4>
      </vt:variant>
      <vt:variant>
        <vt:i4>1077</vt:i4>
      </vt:variant>
      <vt:variant>
        <vt:i4>0</vt:i4>
      </vt:variant>
      <vt:variant>
        <vt:i4>5</vt:i4>
      </vt:variant>
      <vt:variant>
        <vt:lpwstr>http://vbaw.vba.va.gov/bl/21/publicat/Regs/Part3/3_155.htm</vt:lpwstr>
      </vt:variant>
      <vt:variant>
        <vt:lpwstr/>
      </vt:variant>
      <vt:variant>
        <vt:i4>7733340</vt:i4>
      </vt:variant>
      <vt:variant>
        <vt:i4>1074</vt:i4>
      </vt:variant>
      <vt:variant>
        <vt:i4>0</vt:i4>
      </vt:variant>
      <vt:variant>
        <vt:i4>5</vt:i4>
      </vt:variant>
      <vt:variant>
        <vt:lpwstr>http://vbaw.vba.va.gov/bl/21/publicat/Regs/Part3/3_151.htm</vt:lpwstr>
      </vt:variant>
      <vt:variant>
        <vt:lpwstr/>
      </vt:variant>
      <vt:variant>
        <vt:i4>7471193</vt:i4>
      </vt:variant>
      <vt:variant>
        <vt:i4>1071</vt:i4>
      </vt:variant>
      <vt:variant>
        <vt:i4>0</vt:i4>
      </vt:variant>
      <vt:variant>
        <vt:i4>5</vt:i4>
      </vt:variant>
      <vt:variant>
        <vt:lpwstr>http://vbaw.vba.va.gov/bl/21/publicat/Regs/Part3/3_400.htm</vt:lpwstr>
      </vt:variant>
      <vt:variant>
        <vt:lpwstr/>
      </vt:variant>
      <vt:variant>
        <vt:i4>2424847</vt:i4>
      </vt:variant>
      <vt:variant>
        <vt:i4>1068</vt:i4>
      </vt:variant>
      <vt:variant>
        <vt:i4>0</vt:i4>
      </vt:variant>
      <vt:variant>
        <vt:i4>5</vt:i4>
      </vt:variant>
      <vt:variant>
        <vt:lpwstr>http://epss.vba.va.gov/rvsr_assistant/RVSR_Effective_Dates/index.html</vt:lpwstr>
      </vt:variant>
      <vt:variant>
        <vt:lpwstr/>
      </vt:variant>
      <vt:variant>
        <vt:i4>524306</vt:i4>
      </vt:variant>
      <vt:variant>
        <vt:i4>1065</vt:i4>
      </vt:variant>
      <vt:variant>
        <vt:i4>0</vt:i4>
      </vt:variant>
      <vt:variant>
        <vt:i4>5</vt:i4>
      </vt:variant>
      <vt:variant>
        <vt:lpwstr>\\vbasdcfpc2\SHARED\VSC\Development &amp; Rating Resources\QRT Bulletin</vt:lpwstr>
      </vt:variant>
      <vt:variant>
        <vt:lpwstr/>
      </vt:variant>
      <vt:variant>
        <vt:i4>524306</vt:i4>
      </vt:variant>
      <vt:variant>
        <vt:i4>1062</vt:i4>
      </vt:variant>
      <vt:variant>
        <vt:i4>0</vt:i4>
      </vt:variant>
      <vt:variant>
        <vt:i4>5</vt:i4>
      </vt:variant>
      <vt:variant>
        <vt:lpwstr>\\vbasdcfpc2\SHARED\VSC\Development &amp; Rating Resources\QRT Bulletin</vt:lpwstr>
      </vt:variant>
      <vt:variant>
        <vt:lpwstr/>
      </vt:variant>
      <vt:variant>
        <vt:i4>2490459</vt:i4>
      </vt:variant>
      <vt:variant>
        <vt:i4>1059</vt:i4>
      </vt:variant>
      <vt:variant>
        <vt:i4>0</vt:i4>
      </vt:variant>
      <vt:variant>
        <vt:i4>5</vt:i4>
      </vt:variant>
      <vt:variant>
        <vt:lpwstr>http://vbaw.vba.va.gov/bl/21/publicat/Regs/Part3/3_12a.htm</vt:lpwstr>
      </vt:variant>
      <vt:variant>
        <vt:lpwstr/>
      </vt:variant>
      <vt:variant>
        <vt:i4>1769544</vt:i4>
      </vt:variant>
      <vt:variant>
        <vt:i4>1056</vt:i4>
      </vt:variant>
      <vt:variant>
        <vt:i4>0</vt:i4>
      </vt:variant>
      <vt:variant>
        <vt:i4>5</vt:i4>
      </vt:variant>
      <vt:variant>
        <vt:lpwstr>http://vbaw.vba.va.gov/BL/21/M21/content/infomap.asp?address=M21-1MRV.ii.3.1</vt:lpwstr>
      </vt:variant>
      <vt:variant>
        <vt:lpwstr>M21-1MRV.ii.3.1.f</vt:lpwstr>
      </vt:variant>
      <vt:variant>
        <vt:i4>1769544</vt:i4>
      </vt:variant>
      <vt:variant>
        <vt:i4>1053</vt:i4>
      </vt:variant>
      <vt:variant>
        <vt:i4>0</vt:i4>
      </vt:variant>
      <vt:variant>
        <vt:i4>5</vt:i4>
      </vt:variant>
      <vt:variant>
        <vt:lpwstr>http://vbaw.vba.va.gov/BL/21/M21/content/infomap.asp?address=M21-1MRV.ii.3.1</vt:lpwstr>
      </vt:variant>
      <vt:variant>
        <vt:lpwstr>M21-1MRV.ii.3.1.e</vt:lpwstr>
      </vt:variant>
      <vt:variant>
        <vt:i4>524306</vt:i4>
      </vt:variant>
      <vt:variant>
        <vt:i4>1050</vt:i4>
      </vt:variant>
      <vt:variant>
        <vt:i4>0</vt:i4>
      </vt:variant>
      <vt:variant>
        <vt:i4>5</vt:i4>
      </vt:variant>
      <vt:variant>
        <vt:lpwstr>\\vbasdcfpc2\SHARED\VSC\Development &amp; Rating Resources\QRT Bulletin</vt:lpwstr>
      </vt:variant>
      <vt:variant>
        <vt:lpwstr/>
      </vt:variant>
      <vt:variant>
        <vt:i4>3604495</vt:i4>
      </vt:variant>
      <vt:variant>
        <vt:i4>1047</vt:i4>
      </vt:variant>
      <vt:variant>
        <vt:i4>0</vt:i4>
      </vt:variant>
      <vt:variant>
        <vt:i4>5</vt:i4>
      </vt:variant>
      <vt:variant>
        <vt:lpwstr>http://vbacodmoint1.vba.va.gov/bl/21/faq/FAQ_Answer.asp?ref=377</vt:lpwstr>
      </vt:variant>
      <vt:variant>
        <vt:lpwstr/>
      </vt:variant>
      <vt:variant>
        <vt:i4>2424847</vt:i4>
      </vt:variant>
      <vt:variant>
        <vt:i4>1044</vt:i4>
      </vt:variant>
      <vt:variant>
        <vt:i4>0</vt:i4>
      </vt:variant>
      <vt:variant>
        <vt:i4>5</vt:i4>
      </vt:variant>
      <vt:variant>
        <vt:lpwstr>http://epss.vba.va.gov/rvsr_assistant/RVSR_Effective_Dates/index.html</vt:lpwstr>
      </vt:variant>
      <vt:variant>
        <vt:lpwstr/>
      </vt:variant>
      <vt:variant>
        <vt:i4>6357044</vt:i4>
      </vt:variant>
      <vt:variant>
        <vt:i4>1041</vt:i4>
      </vt:variant>
      <vt:variant>
        <vt:i4>0</vt:i4>
      </vt:variant>
      <vt:variant>
        <vt:i4>5</vt:i4>
      </vt:variant>
      <vt:variant>
        <vt:lpwstr>http://vbaw.vba.va.gov/bl/21/calendar/agenda/FY12/0912.doc</vt:lpwstr>
      </vt:variant>
      <vt:variant>
        <vt:lpwstr/>
      </vt:variant>
      <vt:variant>
        <vt:i4>524306</vt:i4>
      </vt:variant>
      <vt:variant>
        <vt:i4>1038</vt:i4>
      </vt:variant>
      <vt:variant>
        <vt:i4>0</vt:i4>
      </vt:variant>
      <vt:variant>
        <vt:i4>5</vt:i4>
      </vt:variant>
      <vt:variant>
        <vt:lpwstr>\\vbasdcfpc2\SHARED\VSC\Development &amp; Rating Resources\QRT Bulletin</vt:lpwstr>
      </vt:variant>
      <vt:variant>
        <vt:lpwstr/>
      </vt:variant>
      <vt:variant>
        <vt:i4>2949165</vt:i4>
      </vt:variant>
      <vt:variant>
        <vt:i4>1035</vt:i4>
      </vt:variant>
      <vt:variant>
        <vt:i4>0</vt:i4>
      </vt:variant>
      <vt:variant>
        <vt:i4>5</vt:i4>
      </vt:variant>
      <vt:variant>
        <vt:lpwstr>http://vbaw.vba.va.gov/BL/21/M21/content/infomap.asp?address=M21-1MRIII.iv.4.B.10</vt:lpwstr>
      </vt:variant>
      <vt:variant>
        <vt:lpwstr>M21-1MRIII.iv.4.B.10.c</vt:lpwstr>
      </vt:variant>
      <vt:variant>
        <vt:i4>2228273</vt:i4>
      </vt:variant>
      <vt:variant>
        <vt:i4>1032</vt:i4>
      </vt:variant>
      <vt:variant>
        <vt:i4>0</vt:i4>
      </vt:variant>
      <vt:variant>
        <vt:i4>5</vt:i4>
      </vt:variant>
      <vt:variant>
        <vt:lpwstr>http://vbaw.vba.va.gov/BL/21/M21/content/infomap.asp?address=M21-1MRIII.v.1.D.17.a</vt:lpwstr>
      </vt:variant>
      <vt:variant>
        <vt:lpwstr/>
      </vt:variant>
      <vt:variant>
        <vt:i4>7733357</vt:i4>
      </vt:variant>
      <vt:variant>
        <vt:i4>1029</vt:i4>
      </vt:variant>
      <vt:variant>
        <vt:i4>0</vt:i4>
      </vt:variant>
      <vt:variant>
        <vt:i4>5</vt:i4>
      </vt:variant>
      <vt:variant>
        <vt:lpwstr>http://vbaw.vba.va.gov/BL/21/M21/content/infomap.asp?address=M21-1MRIV.ii.2.C.10.j</vt:lpwstr>
      </vt:variant>
      <vt:variant>
        <vt:lpwstr/>
      </vt:variant>
      <vt:variant>
        <vt:i4>7929958</vt:i4>
      </vt:variant>
      <vt:variant>
        <vt:i4>1026</vt:i4>
      </vt:variant>
      <vt:variant>
        <vt:i4>0</vt:i4>
      </vt:variant>
      <vt:variant>
        <vt:i4>5</vt:i4>
      </vt:variant>
      <vt:variant>
        <vt:lpwstr/>
      </vt:variant>
      <vt:variant>
        <vt:lpwstr>CCDENYFreeText</vt:lpwstr>
      </vt:variant>
      <vt:variant>
        <vt:i4>8126503</vt:i4>
      </vt:variant>
      <vt:variant>
        <vt:i4>1023</vt:i4>
      </vt:variant>
      <vt:variant>
        <vt:i4>0</vt:i4>
      </vt:variant>
      <vt:variant>
        <vt:i4>5</vt:i4>
      </vt:variant>
      <vt:variant>
        <vt:lpwstr>http://vbaw.vba.va.gov/bl/21/publicat/letters/FL99/FL99-115.doc</vt:lpwstr>
      </vt:variant>
      <vt:variant>
        <vt:lpwstr/>
      </vt:variant>
      <vt:variant>
        <vt:i4>3604484</vt:i4>
      </vt:variant>
      <vt:variant>
        <vt:i4>1020</vt:i4>
      </vt:variant>
      <vt:variant>
        <vt:i4>0</vt:i4>
      </vt:variant>
      <vt:variant>
        <vt:i4>5</vt:i4>
      </vt:variant>
      <vt:variant>
        <vt:lpwstr>http://vbacodmoint1.vba.va.gov/bl/21/faq/FAQ_Answer.asp?ref=87</vt:lpwstr>
      </vt:variant>
      <vt:variant>
        <vt:lpwstr/>
      </vt:variant>
      <vt:variant>
        <vt:i4>8126503</vt:i4>
      </vt:variant>
      <vt:variant>
        <vt:i4>1017</vt:i4>
      </vt:variant>
      <vt:variant>
        <vt:i4>0</vt:i4>
      </vt:variant>
      <vt:variant>
        <vt:i4>5</vt:i4>
      </vt:variant>
      <vt:variant>
        <vt:lpwstr>http://vbaw.vba.va.gov/bl/21/publicat/letters/FL99/FL99-115.doc</vt:lpwstr>
      </vt:variant>
      <vt:variant>
        <vt:lpwstr/>
      </vt:variant>
      <vt:variant>
        <vt:i4>8126503</vt:i4>
      </vt:variant>
      <vt:variant>
        <vt:i4>1014</vt:i4>
      </vt:variant>
      <vt:variant>
        <vt:i4>0</vt:i4>
      </vt:variant>
      <vt:variant>
        <vt:i4>5</vt:i4>
      </vt:variant>
      <vt:variant>
        <vt:lpwstr>http://vbaw.vba.va.gov/bl/21/publicat/letters/FL99/FL99-115.doc</vt:lpwstr>
      </vt:variant>
      <vt:variant>
        <vt:lpwstr/>
      </vt:variant>
      <vt:variant>
        <vt:i4>6815797</vt:i4>
      </vt:variant>
      <vt:variant>
        <vt:i4>1011</vt:i4>
      </vt:variant>
      <vt:variant>
        <vt:i4>0</vt:i4>
      </vt:variant>
      <vt:variant>
        <vt:i4>5</vt:i4>
      </vt:variant>
      <vt:variant>
        <vt:lpwstr>http://vbaw.vba.va.gov/bl/21/calendar/agenda/FY13/0113.doc</vt:lpwstr>
      </vt:variant>
      <vt:variant>
        <vt:lpwstr/>
      </vt:variant>
      <vt:variant>
        <vt:i4>524306</vt:i4>
      </vt:variant>
      <vt:variant>
        <vt:i4>1008</vt:i4>
      </vt:variant>
      <vt:variant>
        <vt:i4>0</vt:i4>
      </vt:variant>
      <vt:variant>
        <vt:i4>5</vt:i4>
      </vt:variant>
      <vt:variant>
        <vt:lpwstr>\\vbasdcfpc2\SHARED\VSC\Development &amp; Rating Resources\QRT Bulletin</vt:lpwstr>
      </vt:variant>
      <vt:variant>
        <vt:lpwstr/>
      </vt:variant>
      <vt:variant>
        <vt:i4>2555966</vt:i4>
      </vt:variant>
      <vt:variant>
        <vt:i4>1005</vt:i4>
      </vt:variant>
      <vt:variant>
        <vt:i4>0</vt:i4>
      </vt:variant>
      <vt:variant>
        <vt:i4>5</vt:i4>
      </vt:variant>
      <vt:variant>
        <vt:lpwstr>https://www.vbms.vba.va.gov/rating/webapp/secure/file/work</vt:lpwstr>
      </vt:variant>
      <vt:variant>
        <vt:lpwstr/>
      </vt:variant>
      <vt:variant>
        <vt:i4>2555966</vt:i4>
      </vt:variant>
      <vt:variant>
        <vt:i4>1002</vt:i4>
      </vt:variant>
      <vt:variant>
        <vt:i4>0</vt:i4>
      </vt:variant>
      <vt:variant>
        <vt:i4>5</vt:i4>
      </vt:variant>
      <vt:variant>
        <vt:lpwstr>https://www.vbms.vba.va.gov/rating/webapp/secure/file/work</vt:lpwstr>
      </vt:variant>
      <vt:variant>
        <vt:lpwstr/>
      </vt:variant>
      <vt:variant>
        <vt:i4>6946869</vt:i4>
      </vt:variant>
      <vt:variant>
        <vt:i4>999</vt:i4>
      </vt:variant>
      <vt:variant>
        <vt:i4>0</vt:i4>
      </vt:variant>
      <vt:variant>
        <vt:i4>5</vt:i4>
      </vt:variant>
      <vt:variant>
        <vt:lpwstr>http://vbaw.vba.va.gov/bl/21/calendar/agenda/FY12/1212.doc</vt:lpwstr>
      </vt:variant>
      <vt:variant>
        <vt:lpwstr/>
      </vt:variant>
      <vt:variant>
        <vt:i4>2555966</vt:i4>
      </vt:variant>
      <vt:variant>
        <vt:i4>996</vt:i4>
      </vt:variant>
      <vt:variant>
        <vt:i4>0</vt:i4>
      </vt:variant>
      <vt:variant>
        <vt:i4>5</vt:i4>
      </vt:variant>
      <vt:variant>
        <vt:lpwstr>https://www.vbms.vba.va.gov/rating/webapp/secure/file/work</vt:lpwstr>
      </vt:variant>
      <vt:variant>
        <vt:lpwstr/>
      </vt:variant>
      <vt:variant>
        <vt:i4>2555966</vt:i4>
      </vt:variant>
      <vt:variant>
        <vt:i4>993</vt:i4>
      </vt:variant>
      <vt:variant>
        <vt:i4>0</vt:i4>
      </vt:variant>
      <vt:variant>
        <vt:i4>5</vt:i4>
      </vt:variant>
      <vt:variant>
        <vt:lpwstr>https://www.vbms.vba.va.gov/rating/webapp/secure/file/work</vt:lpwstr>
      </vt:variant>
      <vt:variant>
        <vt:lpwstr/>
      </vt:variant>
      <vt:variant>
        <vt:i4>2555966</vt:i4>
      </vt:variant>
      <vt:variant>
        <vt:i4>990</vt:i4>
      </vt:variant>
      <vt:variant>
        <vt:i4>0</vt:i4>
      </vt:variant>
      <vt:variant>
        <vt:i4>5</vt:i4>
      </vt:variant>
      <vt:variant>
        <vt:lpwstr>https://www.vbms.vba.va.gov/rating/webapp/secure/file/work</vt:lpwstr>
      </vt:variant>
      <vt:variant>
        <vt:lpwstr/>
      </vt:variant>
      <vt:variant>
        <vt:i4>2555966</vt:i4>
      </vt:variant>
      <vt:variant>
        <vt:i4>987</vt:i4>
      </vt:variant>
      <vt:variant>
        <vt:i4>0</vt:i4>
      </vt:variant>
      <vt:variant>
        <vt:i4>5</vt:i4>
      </vt:variant>
      <vt:variant>
        <vt:lpwstr>https://www.vbms.vba.va.gov/rating/webapp/secure/file/work</vt:lpwstr>
      </vt:variant>
      <vt:variant>
        <vt:lpwstr/>
      </vt:variant>
      <vt:variant>
        <vt:i4>2555966</vt:i4>
      </vt:variant>
      <vt:variant>
        <vt:i4>984</vt:i4>
      </vt:variant>
      <vt:variant>
        <vt:i4>0</vt:i4>
      </vt:variant>
      <vt:variant>
        <vt:i4>5</vt:i4>
      </vt:variant>
      <vt:variant>
        <vt:lpwstr>https://www.vbms.vba.va.gov/rating/webapp/secure/file/work</vt:lpwstr>
      </vt:variant>
      <vt:variant>
        <vt:lpwstr/>
      </vt:variant>
      <vt:variant>
        <vt:i4>2555966</vt:i4>
      </vt:variant>
      <vt:variant>
        <vt:i4>981</vt:i4>
      </vt:variant>
      <vt:variant>
        <vt:i4>0</vt:i4>
      </vt:variant>
      <vt:variant>
        <vt:i4>5</vt:i4>
      </vt:variant>
      <vt:variant>
        <vt:lpwstr>https://www.vbms.vba.va.gov/rating/webapp/secure/file/work</vt:lpwstr>
      </vt:variant>
      <vt:variant>
        <vt:lpwstr/>
      </vt:variant>
      <vt:variant>
        <vt:i4>2555966</vt:i4>
      </vt:variant>
      <vt:variant>
        <vt:i4>978</vt:i4>
      </vt:variant>
      <vt:variant>
        <vt:i4>0</vt:i4>
      </vt:variant>
      <vt:variant>
        <vt:i4>5</vt:i4>
      </vt:variant>
      <vt:variant>
        <vt:lpwstr>https://www.vbms.vba.va.gov/rating/webapp/secure/file/work</vt:lpwstr>
      </vt:variant>
      <vt:variant>
        <vt:lpwstr/>
      </vt:variant>
      <vt:variant>
        <vt:i4>2555966</vt:i4>
      </vt:variant>
      <vt:variant>
        <vt:i4>975</vt:i4>
      </vt:variant>
      <vt:variant>
        <vt:i4>0</vt:i4>
      </vt:variant>
      <vt:variant>
        <vt:i4>5</vt:i4>
      </vt:variant>
      <vt:variant>
        <vt:lpwstr>https://www.vbms.vba.va.gov/rating/webapp/secure/file/work</vt:lpwstr>
      </vt:variant>
      <vt:variant>
        <vt:lpwstr/>
      </vt:variant>
      <vt:variant>
        <vt:i4>2555966</vt:i4>
      </vt:variant>
      <vt:variant>
        <vt:i4>972</vt:i4>
      </vt:variant>
      <vt:variant>
        <vt:i4>0</vt:i4>
      </vt:variant>
      <vt:variant>
        <vt:i4>5</vt:i4>
      </vt:variant>
      <vt:variant>
        <vt:lpwstr>https://www.vbms.vba.va.gov/rating/webapp/secure/file/work</vt:lpwstr>
      </vt:variant>
      <vt:variant>
        <vt:lpwstr/>
      </vt:variant>
      <vt:variant>
        <vt:i4>2555966</vt:i4>
      </vt:variant>
      <vt:variant>
        <vt:i4>969</vt:i4>
      </vt:variant>
      <vt:variant>
        <vt:i4>0</vt:i4>
      </vt:variant>
      <vt:variant>
        <vt:i4>5</vt:i4>
      </vt:variant>
      <vt:variant>
        <vt:lpwstr>https://www.vbms.vba.va.gov/rating/webapp/secure/file/work</vt:lpwstr>
      </vt:variant>
      <vt:variant>
        <vt:lpwstr/>
      </vt:variant>
      <vt:variant>
        <vt:i4>2555966</vt:i4>
      </vt:variant>
      <vt:variant>
        <vt:i4>966</vt:i4>
      </vt:variant>
      <vt:variant>
        <vt:i4>0</vt:i4>
      </vt:variant>
      <vt:variant>
        <vt:i4>5</vt:i4>
      </vt:variant>
      <vt:variant>
        <vt:lpwstr>https://www.vbms.vba.va.gov/rating/webapp/secure/file/work</vt:lpwstr>
      </vt:variant>
      <vt:variant>
        <vt:lpwstr/>
      </vt:variant>
      <vt:variant>
        <vt:i4>2555966</vt:i4>
      </vt:variant>
      <vt:variant>
        <vt:i4>963</vt:i4>
      </vt:variant>
      <vt:variant>
        <vt:i4>0</vt:i4>
      </vt:variant>
      <vt:variant>
        <vt:i4>5</vt:i4>
      </vt:variant>
      <vt:variant>
        <vt:lpwstr>https://www.vbms.vba.va.gov/rating/webapp/secure/file/work</vt:lpwstr>
      </vt:variant>
      <vt:variant>
        <vt:lpwstr/>
      </vt:variant>
      <vt:variant>
        <vt:i4>2555966</vt:i4>
      </vt:variant>
      <vt:variant>
        <vt:i4>960</vt:i4>
      </vt:variant>
      <vt:variant>
        <vt:i4>0</vt:i4>
      </vt:variant>
      <vt:variant>
        <vt:i4>5</vt:i4>
      </vt:variant>
      <vt:variant>
        <vt:lpwstr>https://www.vbms.vba.va.gov/rating/webapp/secure/file/work</vt:lpwstr>
      </vt:variant>
      <vt:variant>
        <vt:lpwstr/>
      </vt:variant>
      <vt:variant>
        <vt:i4>2555966</vt:i4>
      </vt:variant>
      <vt:variant>
        <vt:i4>957</vt:i4>
      </vt:variant>
      <vt:variant>
        <vt:i4>0</vt:i4>
      </vt:variant>
      <vt:variant>
        <vt:i4>5</vt:i4>
      </vt:variant>
      <vt:variant>
        <vt:lpwstr>https://www.vbms.vba.va.gov/rating/webapp/secure/file/work</vt:lpwstr>
      </vt:variant>
      <vt:variant>
        <vt:lpwstr/>
      </vt:variant>
      <vt:variant>
        <vt:i4>2555966</vt:i4>
      </vt:variant>
      <vt:variant>
        <vt:i4>954</vt:i4>
      </vt:variant>
      <vt:variant>
        <vt:i4>0</vt:i4>
      </vt:variant>
      <vt:variant>
        <vt:i4>5</vt:i4>
      </vt:variant>
      <vt:variant>
        <vt:lpwstr>https://www.vbms.vba.va.gov/rating/webapp/secure/file/work</vt:lpwstr>
      </vt:variant>
      <vt:variant>
        <vt:lpwstr/>
      </vt:variant>
      <vt:variant>
        <vt:i4>2555966</vt:i4>
      </vt:variant>
      <vt:variant>
        <vt:i4>951</vt:i4>
      </vt:variant>
      <vt:variant>
        <vt:i4>0</vt:i4>
      </vt:variant>
      <vt:variant>
        <vt:i4>5</vt:i4>
      </vt:variant>
      <vt:variant>
        <vt:lpwstr>https://www.vbms.vba.va.gov/rating/webapp/secure/file/work</vt:lpwstr>
      </vt:variant>
      <vt:variant>
        <vt:lpwstr/>
      </vt:variant>
      <vt:variant>
        <vt:i4>2555966</vt:i4>
      </vt:variant>
      <vt:variant>
        <vt:i4>948</vt:i4>
      </vt:variant>
      <vt:variant>
        <vt:i4>0</vt:i4>
      </vt:variant>
      <vt:variant>
        <vt:i4>5</vt:i4>
      </vt:variant>
      <vt:variant>
        <vt:lpwstr>https://www.vbms.vba.va.gov/rating/webapp/secure/file/work</vt:lpwstr>
      </vt:variant>
      <vt:variant>
        <vt:lpwstr/>
      </vt:variant>
      <vt:variant>
        <vt:i4>2555966</vt:i4>
      </vt:variant>
      <vt:variant>
        <vt:i4>945</vt:i4>
      </vt:variant>
      <vt:variant>
        <vt:i4>0</vt:i4>
      </vt:variant>
      <vt:variant>
        <vt:i4>5</vt:i4>
      </vt:variant>
      <vt:variant>
        <vt:lpwstr>https://www.vbms.vba.va.gov/rating/webapp/secure/file/work</vt:lpwstr>
      </vt:variant>
      <vt:variant>
        <vt:lpwstr/>
      </vt:variant>
      <vt:variant>
        <vt:i4>2555966</vt:i4>
      </vt:variant>
      <vt:variant>
        <vt:i4>942</vt:i4>
      </vt:variant>
      <vt:variant>
        <vt:i4>0</vt:i4>
      </vt:variant>
      <vt:variant>
        <vt:i4>5</vt:i4>
      </vt:variant>
      <vt:variant>
        <vt:lpwstr>https://www.vbms.vba.va.gov/rating/webapp/secure/file/work</vt:lpwstr>
      </vt:variant>
      <vt:variant>
        <vt:lpwstr/>
      </vt:variant>
      <vt:variant>
        <vt:i4>2555966</vt:i4>
      </vt:variant>
      <vt:variant>
        <vt:i4>939</vt:i4>
      </vt:variant>
      <vt:variant>
        <vt:i4>0</vt:i4>
      </vt:variant>
      <vt:variant>
        <vt:i4>5</vt:i4>
      </vt:variant>
      <vt:variant>
        <vt:lpwstr>https://www.vbms.vba.va.gov/rating/webapp/secure/file/work</vt:lpwstr>
      </vt:variant>
      <vt:variant>
        <vt:lpwstr/>
      </vt:variant>
      <vt:variant>
        <vt:i4>2555966</vt:i4>
      </vt:variant>
      <vt:variant>
        <vt:i4>936</vt:i4>
      </vt:variant>
      <vt:variant>
        <vt:i4>0</vt:i4>
      </vt:variant>
      <vt:variant>
        <vt:i4>5</vt:i4>
      </vt:variant>
      <vt:variant>
        <vt:lpwstr>https://www.vbms.vba.va.gov/rating/webapp/secure/file/work</vt:lpwstr>
      </vt:variant>
      <vt:variant>
        <vt:lpwstr/>
      </vt:variant>
      <vt:variant>
        <vt:i4>2555966</vt:i4>
      </vt:variant>
      <vt:variant>
        <vt:i4>933</vt:i4>
      </vt:variant>
      <vt:variant>
        <vt:i4>0</vt:i4>
      </vt:variant>
      <vt:variant>
        <vt:i4>5</vt:i4>
      </vt:variant>
      <vt:variant>
        <vt:lpwstr>https://www.vbms.vba.va.gov/rating/webapp/secure/file/work</vt:lpwstr>
      </vt:variant>
      <vt:variant>
        <vt:lpwstr/>
      </vt:variant>
      <vt:variant>
        <vt:i4>2555966</vt:i4>
      </vt:variant>
      <vt:variant>
        <vt:i4>930</vt:i4>
      </vt:variant>
      <vt:variant>
        <vt:i4>0</vt:i4>
      </vt:variant>
      <vt:variant>
        <vt:i4>5</vt:i4>
      </vt:variant>
      <vt:variant>
        <vt:lpwstr>https://www.vbms.vba.va.gov/rating/webapp/secure/file/work</vt:lpwstr>
      </vt:variant>
      <vt:variant>
        <vt:lpwstr/>
      </vt:variant>
      <vt:variant>
        <vt:i4>2555966</vt:i4>
      </vt:variant>
      <vt:variant>
        <vt:i4>927</vt:i4>
      </vt:variant>
      <vt:variant>
        <vt:i4>0</vt:i4>
      </vt:variant>
      <vt:variant>
        <vt:i4>5</vt:i4>
      </vt:variant>
      <vt:variant>
        <vt:lpwstr>https://www.vbms.vba.va.gov/rating/webapp/secure/file/work</vt:lpwstr>
      </vt:variant>
      <vt:variant>
        <vt:lpwstr/>
      </vt:variant>
      <vt:variant>
        <vt:i4>2555966</vt:i4>
      </vt:variant>
      <vt:variant>
        <vt:i4>924</vt:i4>
      </vt:variant>
      <vt:variant>
        <vt:i4>0</vt:i4>
      </vt:variant>
      <vt:variant>
        <vt:i4>5</vt:i4>
      </vt:variant>
      <vt:variant>
        <vt:lpwstr>https://www.vbms.vba.va.gov/rating/webapp/secure/file/work</vt:lpwstr>
      </vt:variant>
      <vt:variant>
        <vt:lpwstr/>
      </vt:variant>
      <vt:variant>
        <vt:i4>2555966</vt:i4>
      </vt:variant>
      <vt:variant>
        <vt:i4>921</vt:i4>
      </vt:variant>
      <vt:variant>
        <vt:i4>0</vt:i4>
      </vt:variant>
      <vt:variant>
        <vt:i4>5</vt:i4>
      </vt:variant>
      <vt:variant>
        <vt:lpwstr>https://www.vbms.vba.va.gov/rating/webapp/secure/file/work</vt:lpwstr>
      </vt:variant>
      <vt:variant>
        <vt:lpwstr/>
      </vt:variant>
      <vt:variant>
        <vt:i4>2555966</vt:i4>
      </vt:variant>
      <vt:variant>
        <vt:i4>918</vt:i4>
      </vt:variant>
      <vt:variant>
        <vt:i4>0</vt:i4>
      </vt:variant>
      <vt:variant>
        <vt:i4>5</vt:i4>
      </vt:variant>
      <vt:variant>
        <vt:lpwstr>https://www.vbms.vba.va.gov/rating/webapp/secure/file/work</vt:lpwstr>
      </vt:variant>
      <vt:variant>
        <vt:lpwstr/>
      </vt:variant>
      <vt:variant>
        <vt:i4>2555966</vt:i4>
      </vt:variant>
      <vt:variant>
        <vt:i4>915</vt:i4>
      </vt:variant>
      <vt:variant>
        <vt:i4>0</vt:i4>
      </vt:variant>
      <vt:variant>
        <vt:i4>5</vt:i4>
      </vt:variant>
      <vt:variant>
        <vt:lpwstr>https://www.vbms.vba.va.gov/rating/webapp/secure/file/work</vt:lpwstr>
      </vt:variant>
      <vt:variant>
        <vt:lpwstr/>
      </vt:variant>
      <vt:variant>
        <vt:i4>2555966</vt:i4>
      </vt:variant>
      <vt:variant>
        <vt:i4>912</vt:i4>
      </vt:variant>
      <vt:variant>
        <vt:i4>0</vt:i4>
      </vt:variant>
      <vt:variant>
        <vt:i4>5</vt:i4>
      </vt:variant>
      <vt:variant>
        <vt:lpwstr>https://www.vbms.vba.va.gov/rating/webapp/secure/file/work</vt:lpwstr>
      </vt:variant>
      <vt:variant>
        <vt:lpwstr/>
      </vt:variant>
      <vt:variant>
        <vt:i4>2555966</vt:i4>
      </vt:variant>
      <vt:variant>
        <vt:i4>909</vt:i4>
      </vt:variant>
      <vt:variant>
        <vt:i4>0</vt:i4>
      </vt:variant>
      <vt:variant>
        <vt:i4>5</vt:i4>
      </vt:variant>
      <vt:variant>
        <vt:lpwstr>https://www.vbms.vba.va.gov/rating/webapp/secure/file/work</vt:lpwstr>
      </vt:variant>
      <vt:variant>
        <vt:lpwstr/>
      </vt:variant>
      <vt:variant>
        <vt:i4>2555966</vt:i4>
      </vt:variant>
      <vt:variant>
        <vt:i4>906</vt:i4>
      </vt:variant>
      <vt:variant>
        <vt:i4>0</vt:i4>
      </vt:variant>
      <vt:variant>
        <vt:i4>5</vt:i4>
      </vt:variant>
      <vt:variant>
        <vt:lpwstr>https://www.vbms.vba.va.gov/rating/webapp/secure/file/work</vt:lpwstr>
      </vt:variant>
      <vt:variant>
        <vt:lpwstr/>
      </vt:variant>
      <vt:variant>
        <vt:i4>2555966</vt:i4>
      </vt:variant>
      <vt:variant>
        <vt:i4>903</vt:i4>
      </vt:variant>
      <vt:variant>
        <vt:i4>0</vt:i4>
      </vt:variant>
      <vt:variant>
        <vt:i4>5</vt:i4>
      </vt:variant>
      <vt:variant>
        <vt:lpwstr>https://www.vbms.vba.va.gov/rating/webapp/secure/file/work</vt:lpwstr>
      </vt:variant>
      <vt:variant>
        <vt:lpwstr/>
      </vt:variant>
      <vt:variant>
        <vt:i4>2555966</vt:i4>
      </vt:variant>
      <vt:variant>
        <vt:i4>900</vt:i4>
      </vt:variant>
      <vt:variant>
        <vt:i4>0</vt:i4>
      </vt:variant>
      <vt:variant>
        <vt:i4>5</vt:i4>
      </vt:variant>
      <vt:variant>
        <vt:lpwstr>https://www.vbms.vba.va.gov/rating/webapp/secure/file/work</vt:lpwstr>
      </vt:variant>
      <vt:variant>
        <vt:lpwstr/>
      </vt:variant>
      <vt:variant>
        <vt:i4>2555966</vt:i4>
      </vt:variant>
      <vt:variant>
        <vt:i4>897</vt:i4>
      </vt:variant>
      <vt:variant>
        <vt:i4>0</vt:i4>
      </vt:variant>
      <vt:variant>
        <vt:i4>5</vt:i4>
      </vt:variant>
      <vt:variant>
        <vt:lpwstr>https://www.vbms.vba.va.gov/rating/webapp/secure/file/work</vt:lpwstr>
      </vt:variant>
      <vt:variant>
        <vt:lpwstr/>
      </vt:variant>
      <vt:variant>
        <vt:i4>2555966</vt:i4>
      </vt:variant>
      <vt:variant>
        <vt:i4>894</vt:i4>
      </vt:variant>
      <vt:variant>
        <vt:i4>0</vt:i4>
      </vt:variant>
      <vt:variant>
        <vt:i4>5</vt:i4>
      </vt:variant>
      <vt:variant>
        <vt:lpwstr>https://www.vbms.vba.va.gov/rating/webapp/secure/file/work</vt:lpwstr>
      </vt:variant>
      <vt:variant>
        <vt:lpwstr/>
      </vt:variant>
      <vt:variant>
        <vt:i4>2555966</vt:i4>
      </vt:variant>
      <vt:variant>
        <vt:i4>891</vt:i4>
      </vt:variant>
      <vt:variant>
        <vt:i4>0</vt:i4>
      </vt:variant>
      <vt:variant>
        <vt:i4>5</vt:i4>
      </vt:variant>
      <vt:variant>
        <vt:lpwstr>https://www.vbms.vba.va.gov/rating/webapp/secure/file/work</vt:lpwstr>
      </vt:variant>
      <vt:variant>
        <vt:lpwstr/>
      </vt:variant>
      <vt:variant>
        <vt:i4>2555966</vt:i4>
      </vt:variant>
      <vt:variant>
        <vt:i4>888</vt:i4>
      </vt:variant>
      <vt:variant>
        <vt:i4>0</vt:i4>
      </vt:variant>
      <vt:variant>
        <vt:i4>5</vt:i4>
      </vt:variant>
      <vt:variant>
        <vt:lpwstr>https://www.vbms.vba.va.gov/rating/webapp/secure/file/work</vt:lpwstr>
      </vt:variant>
      <vt:variant>
        <vt:lpwstr/>
      </vt:variant>
      <vt:variant>
        <vt:i4>2555966</vt:i4>
      </vt:variant>
      <vt:variant>
        <vt:i4>885</vt:i4>
      </vt:variant>
      <vt:variant>
        <vt:i4>0</vt:i4>
      </vt:variant>
      <vt:variant>
        <vt:i4>5</vt:i4>
      </vt:variant>
      <vt:variant>
        <vt:lpwstr>https://www.vbms.vba.va.gov/rating/webapp/secure/file/work</vt:lpwstr>
      </vt:variant>
      <vt:variant>
        <vt:lpwstr/>
      </vt:variant>
      <vt:variant>
        <vt:i4>2555966</vt:i4>
      </vt:variant>
      <vt:variant>
        <vt:i4>882</vt:i4>
      </vt:variant>
      <vt:variant>
        <vt:i4>0</vt:i4>
      </vt:variant>
      <vt:variant>
        <vt:i4>5</vt:i4>
      </vt:variant>
      <vt:variant>
        <vt:lpwstr>https://www.vbms.vba.va.gov/rating/webapp/secure/file/work</vt:lpwstr>
      </vt:variant>
      <vt:variant>
        <vt:lpwstr/>
      </vt:variant>
      <vt:variant>
        <vt:i4>2555966</vt:i4>
      </vt:variant>
      <vt:variant>
        <vt:i4>879</vt:i4>
      </vt:variant>
      <vt:variant>
        <vt:i4>0</vt:i4>
      </vt:variant>
      <vt:variant>
        <vt:i4>5</vt:i4>
      </vt:variant>
      <vt:variant>
        <vt:lpwstr>https://www.vbms.vba.va.gov/rating/webapp/secure/file/work</vt:lpwstr>
      </vt:variant>
      <vt:variant>
        <vt:lpwstr/>
      </vt:variant>
      <vt:variant>
        <vt:i4>2555966</vt:i4>
      </vt:variant>
      <vt:variant>
        <vt:i4>876</vt:i4>
      </vt:variant>
      <vt:variant>
        <vt:i4>0</vt:i4>
      </vt:variant>
      <vt:variant>
        <vt:i4>5</vt:i4>
      </vt:variant>
      <vt:variant>
        <vt:lpwstr>https://www.vbms.vba.va.gov/rating/webapp/secure/file/work</vt:lpwstr>
      </vt:variant>
      <vt:variant>
        <vt:lpwstr/>
      </vt:variant>
      <vt:variant>
        <vt:i4>2555966</vt:i4>
      </vt:variant>
      <vt:variant>
        <vt:i4>873</vt:i4>
      </vt:variant>
      <vt:variant>
        <vt:i4>0</vt:i4>
      </vt:variant>
      <vt:variant>
        <vt:i4>5</vt:i4>
      </vt:variant>
      <vt:variant>
        <vt:lpwstr>https://www.vbms.vba.va.gov/rating/webapp/secure/file/work</vt:lpwstr>
      </vt:variant>
      <vt:variant>
        <vt:lpwstr/>
      </vt:variant>
      <vt:variant>
        <vt:i4>2555966</vt:i4>
      </vt:variant>
      <vt:variant>
        <vt:i4>870</vt:i4>
      </vt:variant>
      <vt:variant>
        <vt:i4>0</vt:i4>
      </vt:variant>
      <vt:variant>
        <vt:i4>5</vt:i4>
      </vt:variant>
      <vt:variant>
        <vt:lpwstr>https://www.vbms.vba.va.gov/rating/webapp/secure/file/work</vt:lpwstr>
      </vt:variant>
      <vt:variant>
        <vt:lpwstr/>
      </vt:variant>
      <vt:variant>
        <vt:i4>2555966</vt:i4>
      </vt:variant>
      <vt:variant>
        <vt:i4>867</vt:i4>
      </vt:variant>
      <vt:variant>
        <vt:i4>0</vt:i4>
      </vt:variant>
      <vt:variant>
        <vt:i4>5</vt:i4>
      </vt:variant>
      <vt:variant>
        <vt:lpwstr>https://www.vbms.vba.va.gov/rating/webapp/secure/file/work</vt:lpwstr>
      </vt:variant>
      <vt:variant>
        <vt:lpwstr/>
      </vt:variant>
      <vt:variant>
        <vt:i4>2555966</vt:i4>
      </vt:variant>
      <vt:variant>
        <vt:i4>864</vt:i4>
      </vt:variant>
      <vt:variant>
        <vt:i4>0</vt:i4>
      </vt:variant>
      <vt:variant>
        <vt:i4>5</vt:i4>
      </vt:variant>
      <vt:variant>
        <vt:lpwstr>https://www.vbms.vba.va.gov/rating/webapp/secure/file/work</vt:lpwstr>
      </vt:variant>
      <vt:variant>
        <vt:lpwstr/>
      </vt:variant>
      <vt:variant>
        <vt:i4>2555966</vt:i4>
      </vt:variant>
      <vt:variant>
        <vt:i4>861</vt:i4>
      </vt:variant>
      <vt:variant>
        <vt:i4>0</vt:i4>
      </vt:variant>
      <vt:variant>
        <vt:i4>5</vt:i4>
      </vt:variant>
      <vt:variant>
        <vt:lpwstr>https://www.vbms.vba.va.gov/rating/webapp/secure/file/work</vt:lpwstr>
      </vt:variant>
      <vt:variant>
        <vt:lpwstr/>
      </vt:variant>
      <vt:variant>
        <vt:i4>2555966</vt:i4>
      </vt:variant>
      <vt:variant>
        <vt:i4>858</vt:i4>
      </vt:variant>
      <vt:variant>
        <vt:i4>0</vt:i4>
      </vt:variant>
      <vt:variant>
        <vt:i4>5</vt:i4>
      </vt:variant>
      <vt:variant>
        <vt:lpwstr>https://www.vbms.vba.va.gov/rating/webapp/secure/file/work</vt:lpwstr>
      </vt:variant>
      <vt:variant>
        <vt:lpwstr/>
      </vt:variant>
      <vt:variant>
        <vt:i4>2555966</vt:i4>
      </vt:variant>
      <vt:variant>
        <vt:i4>855</vt:i4>
      </vt:variant>
      <vt:variant>
        <vt:i4>0</vt:i4>
      </vt:variant>
      <vt:variant>
        <vt:i4>5</vt:i4>
      </vt:variant>
      <vt:variant>
        <vt:lpwstr>https://www.vbms.vba.va.gov/rating/webapp/secure/file/work</vt:lpwstr>
      </vt:variant>
      <vt:variant>
        <vt:lpwstr/>
      </vt:variant>
      <vt:variant>
        <vt:i4>2555966</vt:i4>
      </vt:variant>
      <vt:variant>
        <vt:i4>852</vt:i4>
      </vt:variant>
      <vt:variant>
        <vt:i4>0</vt:i4>
      </vt:variant>
      <vt:variant>
        <vt:i4>5</vt:i4>
      </vt:variant>
      <vt:variant>
        <vt:lpwstr>https://www.vbms.vba.va.gov/rating/webapp/secure/file/work</vt:lpwstr>
      </vt:variant>
      <vt:variant>
        <vt:lpwstr/>
      </vt:variant>
      <vt:variant>
        <vt:i4>2555966</vt:i4>
      </vt:variant>
      <vt:variant>
        <vt:i4>849</vt:i4>
      </vt:variant>
      <vt:variant>
        <vt:i4>0</vt:i4>
      </vt:variant>
      <vt:variant>
        <vt:i4>5</vt:i4>
      </vt:variant>
      <vt:variant>
        <vt:lpwstr>https://www.vbms.vba.va.gov/rating/webapp/secure/file/work</vt:lpwstr>
      </vt:variant>
      <vt:variant>
        <vt:lpwstr/>
      </vt:variant>
      <vt:variant>
        <vt:i4>2555966</vt:i4>
      </vt:variant>
      <vt:variant>
        <vt:i4>846</vt:i4>
      </vt:variant>
      <vt:variant>
        <vt:i4>0</vt:i4>
      </vt:variant>
      <vt:variant>
        <vt:i4>5</vt:i4>
      </vt:variant>
      <vt:variant>
        <vt:lpwstr>https://www.vbms.vba.va.gov/rating/webapp/secure/file/work</vt:lpwstr>
      </vt:variant>
      <vt:variant>
        <vt:lpwstr/>
      </vt:variant>
      <vt:variant>
        <vt:i4>2555966</vt:i4>
      </vt:variant>
      <vt:variant>
        <vt:i4>843</vt:i4>
      </vt:variant>
      <vt:variant>
        <vt:i4>0</vt:i4>
      </vt:variant>
      <vt:variant>
        <vt:i4>5</vt:i4>
      </vt:variant>
      <vt:variant>
        <vt:lpwstr>https://www.vbms.vba.va.gov/rating/webapp/secure/file/work</vt:lpwstr>
      </vt:variant>
      <vt:variant>
        <vt:lpwstr/>
      </vt:variant>
      <vt:variant>
        <vt:i4>2555966</vt:i4>
      </vt:variant>
      <vt:variant>
        <vt:i4>840</vt:i4>
      </vt:variant>
      <vt:variant>
        <vt:i4>0</vt:i4>
      </vt:variant>
      <vt:variant>
        <vt:i4>5</vt:i4>
      </vt:variant>
      <vt:variant>
        <vt:lpwstr>https://www.vbms.vba.va.gov/rating/webapp/secure/file/work</vt:lpwstr>
      </vt:variant>
      <vt:variant>
        <vt:lpwstr/>
      </vt:variant>
      <vt:variant>
        <vt:i4>2555966</vt:i4>
      </vt:variant>
      <vt:variant>
        <vt:i4>837</vt:i4>
      </vt:variant>
      <vt:variant>
        <vt:i4>0</vt:i4>
      </vt:variant>
      <vt:variant>
        <vt:i4>5</vt:i4>
      </vt:variant>
      <vt:variant>
        <vt:lpwstr>https://www.vbms.vba.va.gov/rating/webapp/secure/file/work</vt:lpwstr>
      </vt:variant>
      <vt:variant>
        <vt:lpwstr/>
      </vt:variant>
      <vt:variant>
        <vt:i4>2555966</vt:i4>
      </vt:variant>
      <vt:variant>
        <vt:i4>834</vt:i4>
      </vt:variant>
      <vt:variant>
        <vt:i4>0</vt:i4>
      </vt:variant>
      <vt:variant>
        <vt:i4>5</vt:i4>
      </vt:variant>
      <vt:variant>
        <vt:lpwstr>https://www.vbms.vba.va.gov/rating/webapp/secure/file/work</vt:lpwstr>
      </vt:variant>
      <vt:variant>
        <vt:lpwstr/>
      </vt:variant>
      <vt:variant>
        <vt:i4>2555966</vt:i4>
      </vt:variant>
      <vt:variant>
        <vt:i4>831</vt:i4>
      </vt:variant>
      <vt:variant>
        <vt:i4>0</vt:i4>
      </vt:variant>
      <vt:variant>
        <vt:i4>5</vt:i4>
      </vt:variant>
      <vt:variant>
        <vt:lpwstr>https://www.vbms.vba.va.gov/rating/webapp/secure/file/work</vt:lpwstr>
      </vt:variant>
      <vt:variant>
        <vt:lpwstr/>
      </vt:variant>
      <vt:variant>
        <vt:i4>2555966</vt:i4>
      </vt:variant>
      <vt:variant>
        <vt:i4>828</vt:i4>
      </vt:variant>
      <vt:variant>
        <vt:i4>0</vt:i4>
      </vt:variant>
      <vt:variant>
        <vt:i4>5</vt:i4>
      </vt:variant>
      <vt:variant>
        <vt:lpwstr>https://www.vbms.vba.va.gov/rating/webapp/secure/file/work</vt:lpwstr>
      </vt:variant>
      <vt:variant>
        <vt:lpwstr/>
      </vt:variant>
      <vt:variant>
        <vt:i4>6553703</vt:i4>
      </vt:variant>
      <vt:variant>
        <vt:i4>825</vt:i4>
      </vt:variant>
      <vt:variant>
        <vt:i4>0</vt:i4>
      </vt:variant>
      <vt:variant>
        <vt:i4>5</vt:i4>
      </vt:variant>
      <vt:variant>
        <vt:lpwstr/>
      </vt:variant>
      <vt:variant>
        <vt:lpwstr>HBFreeText</vt:lpwstr>
      </vt:variant>
      <vt:variant>
        <vt:i4>6750318</vt:i4>
      </vt:variant>
      <vt:variant>
        <vt:i4>822</vt:i4>
      </vt:variant>
      <vt:variant>
        <vt:i4>0</vt:i4>
      </vt:variant>
      <vt:variant>
        <vt:i4>5</vt:i4>
      </vt:variant>
      <vt:variant>
        <vt:lpwstr/>
      </vt:variant>
      <vt:variant>
        <vt:lpwstr>AAFreeText</vt:lpwstr>
      </vt:variant>
      <vt:variant>
        <vt:i4>6946869</vt:i4>
      </vt:variant>
      <vt:variant>
        <vt:i4>819</vt:i4>
      </vt:variant>
      <vt:variant>
        <vt:i4>0</vt:i4>
      </vt:variant>
      <vt:variant>
        <vt:i4>5</vt:i4>
      </vt:variant>
      <vt:variant>
        <vt:lpwstr>http://vbaw.vba.va.gov/bl/21/calendar/agenda/FY12/1212.doc</vt:lpwstr>
      </vt:variant>
      <vt:variant>
        <vt:lpwstr/>
      </vt:variant>
      <vt:variant>
        <vt:i4>3932210</vt:i4>
      </vt:variant>
      <vt:variant>
        <vt:i4>816</vt:i4>
      </vt:variant>
      <vt:variant>
        <vt:i4>0</vt:i4>
      </vt:variant>
      <vt:variant>
        <vt:i4>5</vt:i4>
      </vt:variant>
      <vt:variant>
        <vt:lpwstr/>
      </vt:variant>
      <vt:variant>
        <vt:lpwstr>P30FreeText</vt:lpwstr>
      </vt:variant>
      <vt:variant>
        <vt:i4>3145776</vt:i4>
      </vt:variant>
      <vt:variant>
        <vt:i4>813</vt:i4>
      </vt:variant>
      <vt:variant>
        <vt:i4>0</vt:i4>
      </vt:variant>
      <vt:variant>
        <vt:i4>5</vt:i4>
      </vt:variant>
      <vt:variant>
        <vt:lpwstr/>
      </vt:variant>
      <vt:variant>
        <vt:lpwstr>P29greaterFreeText</vt:lpwstr>
      </vt:variant>
      <vt:variant>
        <vt:i4>2555966</vt:i4>
      </vt:variant>
      <vt:variant>
        <vt:i4>810</vt:i4>
      </vt:variant>
      <vt:variant>
        <vt:i4>0</vt:i4>
      </vt:variant>
      <vt:variant>
        <vt:i4>5</vt:i4>
      </vt:variant>
      <vt:variant>
        <vt:lpwstr>https://www.vbms.vba.va.gov/rating/webapp/secure/file/work</vt:lpwstr>
      </vt:variant>
      <vt:variant>
        <vt:lpwstr/>
      </vt:variant>
      <vt:variant>
        <vt:i4>7536742</vt:i4>
      </vt:variant>
      <vt:variant>
        <vt:i4>807</vt:i4>
      </vt:variant>
      <vt:variant>
        <vt:i4>0</vt:i4>
      </vt:variant>
      <vt:variant>
        <vt:i4>5</vt:i4>
      </vt:variant>
      <vt:variant>
        <vt:lpwstr/>
      </vt:variant>
      <vt:variant>
        <vt:lpwstr>IUFreeText</vt:lpwstr>
      </vt:variant>
      <vt:variant>
        <vt:i4>7536742</vt:i4>
      </vt:variant>
      <vt:variant>
        <vt:i4>804</vt:i4>
      </vt:variant>
      <vt:variant>
        <vt:i4>0</vt:i4>
      </vt:variant>
      <vt:variant>
        <vt:i4>5</vt:i4>
      </vt:variant>
      <vt:variant>
        <vt:lpwstr/>
      </vt:variant>
      <vt:variant>
        <vt:lpwstr>IUFreeText</vt:lpwstr>
      </vt:variant>
      <vt:variant>
        <vt:i4>6881398</vt:i4>
      </vt:variant>
      <vt:variant>
        <vt:i4>801</vt:i4>
      </vt:variant>
      <vt:variant>
        <vt:i4>0</vt:i4>
      </vt:variant>
      <vt:variant>
        <vt:i4>5</vt:i4>
      </vt:variant>
      <vt:variant>
        <vt:lpwstr/>
      </vt:variant>
      <vt:variant>
        <vt:lpwstr>Improve</vt:lpwstr>
      </vt:variant>
      <vt:variant>
        <vt:i4>7405689</vt:i4>
      </vt:variant>
      <vt:variant>
        <vt:i4>798</vt:i4>
      </vt:variant>
      <vt:variant>
        <vt:i4>0</vt:i4>
      </vt:variant>
      <vt:variant>
        <vt:i4>5</vt:i4>
      </vt:variant>
      <vt:variant>
        <vt:lpwstr/>
      </vt:variant>
      <vt:variant>
        <vt:lpwstr>CDincludes</vt:lpwstr>
      </vt:variant>
      <vt:variant>
        <vt:i4>6291558</vt:i4>
      </vt:variant>
      <vt:variant>
        <vt:i4>795</vt:i4>
      </vt:variant>
      <vt:variant>
        <vt:i4>0</vt:i4>
      </vt:variant>
      <vt:variant>
        <vt:i4>5</vt:i4>
      </vt:variant>
      <vt:variant>
        <vt:lpwstr>http://vbaw.vba.va.gov/bl/21/systems/docs/hearing_loss_calculator.xls</vt:lpwstr>
      </vt:variant>
      <vt:variant>
        <vt:lpwstr/>
      </vt:variant>
      <vt:variant>
        <vt:i4>7143476</vt:i4>
      </vt:variant>
      <vt:variant>
        <vt:i4>792</vt:i4>
      </vt:variant>
      <vt:variant>
        <vt:i4>0</vt:i4>
      </vt:variant>
      <vt:variant>
        <vt:i4>5</vt:i4>
      </vt:variant>
      <vt:variant>
        <vt:lpwstr>http://vbaw.vba.va.gov/bl/21/calendar/Agenda/FY12/0512.doc</vt:lpwstr>
      </vt:variant>
      <vt:variant>
        <vt:lpwstr/>
      </vt:variant>
      <vt:variant>
        <vt:i4>6291558</vt:i4>
      </vt:variant>
      <vt:variant>
        <vt:i4>789</vt:i4>
      </vt:variant>
      <vt:variant>
        <vt:i4>0</vt:i4>
      </vt:variant>
      <vt:variant>
        <vt:i4>5</vt:i4>
      </vt:variant>
      <vt:variant>
        <vt:lpwstr>http://vbaw.vba.va.gov/bl/21/systems/docs/hearing_loss_calculator.xls</vt:lpwstr>
      </vt:variant>
      <vt:variant>
        <vt:lpwstr/>
      </vt:variant>
      <vt:variant>
        <vt:i4>7209076</vt:i4>
      </vt:variant>
      <vt:variant>
        <vt:i4>786</vt:i4>
      </vt:variant>
      <vt:variant>
        <vt:i4>0</vt:i4>
      </vt:variant>
      <vt:variant>
        <vt:i4>5</vt:i4>
      </vt:variant>
      <vt:variant>
        <vt:lpwstr/>
      </vt:variant>
      <vt:variant>
        <vt:lpwstr>HLNORM</vt:lpwstr>
      </vt:variant>
      <vt:variant>
        <vt:i4>6422630</vt:i4>
      </vt:variant>
      <vt:variant>
        <vt:i4>783</vt:i4>
      </vt:variant>
      <vt:variant>
        <vt:i4>0</vt:i4>
      </vt:variant>
      <vt:variant>
        <vt:i4>5</vt:i4>
      </vt:variant>
      <vt:variant>
        <vt:lpwstr/>
      </vt:variant>
      <vt:variant>
        <vt:lpwstr>WMCFreeText</vt:lpwstr>
      </vt:variant>
      <vt:variant>
        <vt:i4>458778</vt:i4>
      </vt:variant>
      <vt:variant>
        <vt:i4>780</vt:i4>
      </vt:variant>
      <vt:variant>
        <vt:i4>0</vt:i4>
      </vt:variant>
      <vt:variant>
        <vt:i4>5</vt:i4>
      </vt:variant>
      <vt:variant>
        <vt:lpwstr/>
      </vt:variant>
      <vt:variant>
        <vt:lpwstr>NOAggFreeText</vt:lpwstr>
      </vt:variant>
      <vt:variant>
        <vt:i4>4653058</vt:i4>
      </vt:variant>
      <vt:variant>
        <vt:i4>777</vt:i4>
      </vt:variant>
      <vt:variant>
        <vt:i4>0</vt:i4>
      </vt:variant>
      <vt:variant>
        <vt:i4>5</vt:i4>
      </vt:variant>
      <vt:variant>
        <vt:lpwstr/>
      </vt:variant>
      <vt:variant>
        <vt:lpwstr>NSC2FreeText</vt:lpwstr>
      </vt:variant>
      <vt:variant>
        <vt:i4>7929958</vt:i4>
      </vt:variant>
      <vt:variant>
        <vt:i4>774</vt:i4>
      </vt:variant>
      <vt:variant>
        <vt:i4>0</vt:i4>
      </vt:variant>
      <vt:variant>
        <vt:i4>5</vt:i4>
      </vt:variant>
      <vt:variant>
        <vt:lpwstr/>
      </vt:variant>
      <vt:variant>
        <vt:lpwstr>CCDENYFreeText</vt:lpwstr>
      </vt:variant>
      <vt:variant>
        <vt:i4>6357095</vt:i4>
      </vt:variant>
      <vt:variant>
        <vt:i4>771</vt:i4>
      </vt:variant>
      <vt:variant>
        <vt:i4>0</vt:i4>
      </vt:variant>
      <vt:variant>
        <vt:i4>5</vt:i4>
      </vt:variant>
      <vt:variant>
        <vt:lpwstr/>
      </vt:variant>
      <vt:variant>
        <vt:lpwstr>PNEFreeText</vt:lpwstr>
      </vt:variant>
      <vt:variant>
        <vt:i4>6357089</vt:i4>
      </vt:variant>
      <vt:variant>
        <vt:i4>768</vt:i4>
      </vt:variant>
      <vt:variant>
        <vt:i4>0</vt:i4>
      </vt:variant>
      <vt:variant>
        <vt:i4>5</vt:i4>
      </vt:variant>
      <vt:variant>
        <vt:lpwstr/>
      </vt:variant>
      <vt:variant>
        <vt:lpwstr>PNCFreeText</vt:lpwstr>
      </vt:variant>
      <vt:variant>
        <vt:i4>6357106</vt:i4>
      </vt:variant>
      <vt:variant>
        <vt:i4>765</vt:i4>
      </vt:variant>
      <vt:variant>
        <vt:i4>0</vt:i4>
      </vt:variant>
      <vt:variant>
        <vt:i4>5</vt:i4>
      </vt:variant>
      <vt:variant>
        <vt:lpwstr/>
      </vt:variant>
      <vt:variant>
        <vt:lpwstr>PNPFreeText</vt:lpwstr>
      </vt:variant>
      <vt:variant>
        <vt:i4>1966082</vt:i4>
      </vt:variant>
      <vt:variant>
        <vt:i4>762</vt:i4>
      </vt:variant>
      <vt:variant>
        <vt:i4>0</vt:i4>
      </vt:variant>
      <vt:variant>
        <vt:i4>5</vt:i4>
      </vt:variant>
      <vt:variant>
        <vt:lpwstr/>
      </vt:variant>
      <vt:variant>
        <vt:lpwstr>NMCUFreeText</vt:lpwstr>
      </vt:variant>
      <vt:variant>
        <vt:i4>6357089</vt:i4>
      </vt:variant>
      <vt:variant>
        <vt:i4>759</vt:i4>
      </vt:variant>
      <vt:variant>
        <vt:i4>0</vt:i4>
      </vt:variant>
      <vt:variant>
        <vt:i4>5</vt:i4>
      </vt:variant>
      <vt:variant>
        <vt:lpwstr/>
      </vt:variant>
      <vt:variant>
        <vt:lpwstr>NMNoneFreeText</vt:lpwstr>
      </vt:variant>
      <vt:variant>
        <vt:i4>1507336</vt:i4>
      </vt:variant>
      <vt:variant>
        <vt:i4>756</vt:i4>
      </vt:variant>
      <vt:variant>
        <vt:i4>0</vt:i4>
      </vt:variant>
      <vt:variant>
        <vt:i4>5</vt:i4>
      </vt:variant>
      <vt:variant>
        <vt:lpwstr/>
      </vt:variant>
      <vt:variant>
        <vt:lpwstr>NMDupFreeText</vt:lpwstr>
      </vt:variant>
      <vt:variant>
        <vt:i4>7012449</vt:i4>
      </vt:variant>
      <vt:variant>
        <vt:i4>753</vt:i4>
      </vt:variant>
      <vt:variant>
        <vt:i4>0</vt:i4>
      </vt:variant>
      <vt:variant>
        <vt:i4>5</vt:i4>
      </vt:variant>
      <vt:variant>
        <vt:lpwstr/>
      </vt:variant>
      <vt:variant>
        <vt:lpwstr>NMFreeText</vt:lpwstr>
      </vt:variant>
      <vt:variant>
        <vt:i4>327690</vt:i4>
      </vt:variant>
      <vt:variant>
        <vt:i4>750</vt:i4>
      </vt:variant>
      <vt:variant>
        <vt:i4>0</vt:i4>
      </vt:variant>
      <vt:variant>
        <vt:i4>5</vt:i4>
      </vt:variant>
      <vt:variant>
        <vt:lpwstr/>
      </vt:variant>
      <vt:variant>
        <vt:lpwstr>NONEXFreeText</vt:lpwstr>
      </vt:variant>
      <vt:variant>
        <vt:i4>6684783</vt:i4>
      </vt:variant>
      <vt:variant>
        <vt:i4>747</vt:i4>
      </vt:variant>
      <vt:variant>
        <vt:i4>0</vt:i4>
      </vt:variant>
      <vt:variant>
        <vt:i4>5</vt:i4>
      </vt:variant>
      <vt:variant>
        <vt:lpwstr/>
      </vt:variant>
      <vt:variant>
        <vt:lpwstr>NISFreeText</vt:lpwstr>
      </vt:variant>
      <vt:variant>
        <vt:i4>1114117</vt:i4>
      </vt:variant>
      <vt:variant>
        <vt:i4>744</vt:i4>
      </vt:variant>
      <vt:variant>
        <vt:i4>0</vt:i4>
      </vt:variant>
      <vt:variant>
        <vt:i4>5</vt:i4>
      </vt:variant>
      <vt:variant>
        <vt:lpwstr/>
      </vt:variant>
      <vt:variant>
        <vt:lpwstr>NODXFreeText</vt:lpwstr>
      </vt:variant>
      <vt:variant>
        <vt:i4>6291558</vt:i4>
      </vt:variant>
      <vt:variant>
        <vt:i4>741</vt:i4>
      </vt:variant>
      <vt:variant>
        <vt:i4>0</vt:i4>
      </vt:variant>
      <vt:variant>
        <vt:i4>5</vt:i4>
      </vt:variant>
      <vt:variant>
        <vt:lpwstr>http://vbaw.vba.va.gov/bl/21/systems/docs/hearing_loss_calculator.xls</vt:lpwstr>
      </vt:variant>
      <vt:variant>
        <vt:lpwstr/>
      </vt:variant>
      <vt:variant>
        <vt:i4>7143476</vt:i4>
      </vt:variant>
      <vt:variant>
        <vt:i4>738</vt:i4>
      </vt:variant>
      <vt:variant>
        <vt:i4>0</vt:i4>
      </vt:variant>
      <vt:variant>
        <vt:i4>5</vt:i4>
      </vt:variant>
      <vt:variant>
        <vt:lpwstr>http://vbaw.vba.va.gov/bl/21/calendar/Agenda/FY12/0512.doc</vt:lpwstr>
      </vt:variant>
      <vt:variant>
        <vt:lpwstr/>
      </vt:variant>
      <vt:variant>
        <vt:i4>262174</vt:i4>
      </vt:variant>
      <vt:variant>
        <vt:i4>735</vt:i4>
      </vt:variant>
      <vt:variant>
        <vt:i4>0</vt:i4>
      </vt:variant>
      <vt:variant>
        <vt:i4>5</vt:i4>
      </vt:variant>
      <vt:variant>
        <vt:lpwstr/>
      </vt:variant>
      <vt:variant>
        <vt:lpwstr>HLandTinnitus</vt:lpwstr>
      </vt:variant>
      <vt:variant>
        <vt:i4>1507345</vt:i4>
      </vt:variant>
      <vt:variant>
        <vt:i4>732</vt:i4>
      </vt:variant>
      <vt:variant>
        <vt:i4>0</vt:i4>
      </vt:variant>
      <vt:variant>
        <vt:i4>5</vt:i4>
      </vt:variant>
      <vt:variant>
        <vt:lpwstr/>
      </vt:variant>
      <vt:variant>
        <vt:lpwstr>VocRehab</vt:lpwstr>
      </vt:variant>
      <vt:variant>
        <vt:i4>851983</vt:i4>
      </vt:variant>
      <vt:variant>
        <vt:i4>729</vt:i4>
      </vt:variant>
      <vt:variant>
        <vt:i4>0</vt:i4>
      </vt:variant>
      <vt:variant>
        <vt:i4>5</vt:i4>
      </vt:variant>
      <vt:variant>
        <vt:lpwstr>http://vbacodmoint1.vba.va.gov/bl/21/Transformation/docs/From the SNL mailbox.doc</vt:lpwstr>
      </vt:variant>
      <vt:variant>
        <vt:lpwstr/>
      </vt:variant>
      <vt:variant>
        <vt:i4>1638415</vt:i4>
      </vt:variant>
      <vt:variant>
        <vt:i4>726</vt:i4>
      </vt:variant>
      <vt:variant>
        <vt:i4>0</vt:i4>
      </vt:variant>
      <vt:variant>
        <vt:i4>5</vt:i4>
      </vt:variant>
      <vt:variant>
        <vt:lpwstr/>
      </vt:variant>
      <vt:variant>
        <vt:lpwstr>Ancillary</vt:lpwstr>
      </vt:variant>
      <vt:variant>
        <vt:i4>6422644</vt:i4>
      </vt:variant>
      <vt:variant>
        <vt:i4>723</vt:i4>
      </vt:variant>
      <vt:variant>
        <vt:i4>0</vt:i4>
      </vt:variant>
      <vt:variant>
        <vt:i4>5</vt:i4>
      </vt:variant>
      <vt:variant>
        <vt:lpwstr/>
      </vt:variant>
      <vt:variant>
        <vt:lpwstr>TBI</vt:lpwstr>
      </vt:variant>
      <vt:variant>
        <vt:i4>8126573</vt:i4>
      </vt:variant>
      <vt:variant>
        <vt:i4>720</vt:i4>
      </vt:variant>
      <vt:variant>
        <vt:i4>0</vt:i4>
      </vt:variant>
      <vt:variant>
        <vt:i4>5</vt:i4>
      </vt:variant>
      <vt:variant>
        <vt:lpwstr/>
      </vt:variant>
      <vt:variant>
        <vt:lpwstr>Competency</vt:lpwstr>
      </vt:variant>
      <vt:variant>
        <vt:i4>8126573</vt:i4>
      </vt:variant>
      <vt:variant>
        <vt:i4>717</vt:i4>
      </vt:variant>
      <vt:variant>
        <vt:i4>0</vt:i4>
      </vt:variant>
      <vt:variant>
        <vt:i4>5</vt:i4>
      </vt:variant>
      <vt:variant>
        <vt:lpwstr/>
      </vt:variant>
      <vt:variant>
        <vt:lpwstr>Competency</vt:lpwstr>
      </vt:variant>
      <vt:variant>
        <vt:i4>7667811</vt:i4>
      </vt:variant>
      <vt:variant>
        <vt:i4>714</vt:i4>
      </vt:variant>
      <vt:variant>
        <vt:i4>0</vt:i4>
      </vt:variant>
      <vt:variant>
        <vt:i4>5</vt:i4>
      </vt:variant>
      <vt:variant>
        <vt:lpwstr/>
      </vt:variant>
      <vt:variant>
        <vt:lpwstr>CUE</vt:lpwstr>
      </vt:variant>
      <vt:variant>
        <vt:i4>7143539</vt:i4>
      </vt:variant>
      <vt:variant>
        <vt:i4>711</vt:i4>
      </vt:variant>
      <vt:variant>
        <vt:i4>0</vt:i4>
      </vt:variant>
      <vt:variant>
        <vt:i4>5</vt:i4>
      </vt:variant>
      <vt:variant>
        <vt:lpwstr/>
      </vt:variant>
      <vt:variant>
        <vt:lpwstr>SMC</vt:lpwstr>
      </vt:variant>
      <vt:variant>
        <vt:i4>6488178</vt:i4>
      </vt:variant>
      <vt:variant>
        <vt:i4>708</vt:i4>
      </vt:variant>
      <vt:variant>
        <vt:i4>0</vt:i4>
      </vt:variant>
      <vt:variant>
        <vt:i4>5</vt:i4>
      </vt:variant>
      <vt:variant>
        <vt:lpwstr/>
      </vt:variant>
      <vt:variant>
        <vt:lpwstr>elevenfiftyone</vt:lpwstr>
      </vt:variant>
      <vt:variant>
        <vt:i4>7667811</vt:i4>
      </vt:variant>
      <vt:variant>
        <vt:i4>705</vt:i4>
      </vt:variant>
      <vt:variant>
        <vt:i4>0</vt:i4>
      </vt:variant>
      <vt:variant>
        <vt:i4>5</vt:i4>
      </vt:variant>
      <vt:variant>
        <vt:lpwstr/>
      </vt:variant>
      <vt:variant>
        <vt:lpwstr>CUE</vt:lpwstr>
      </vt:variant>
      <vt:variant>
        <vt:i4>1114117</vt:i4>
      </vt:variant>
      <vt:variant>
        <vt:i4>702</vt:i4>
      </vt:variant>
      <vt:variant>
        <vt:i4>0</vt:i4>
      </vt:variant>
      <vt:variant>
        <vt:i4>5</vt:i4>
      </vt:variant>
      <vt:variant>
        <vt:lpwstr/>
      </vt:variant>
      <vt:variant>
        <vt:lpwstr>Death</vt:lpwstr>
      </vt:variant>
      <vt:variant>
        <vt:i4>589853</vt:i4>
      </vt:variant>
      <vt:variant>
        <vt:i4>699</vt:i4>
      </vt:variant>
      <vt:variant>
        <vt:i4>0</vt:i4>
      </vt:variant>
      <vt:variant>
        <vt:i4>5</vt:i4>
      </vt:variant>
      <vt:variant>
        <vt:lpwstr/>
      </vt:variant>
      <vt:variant>
        <vt:lpwstr>ImproveAndFutures</vt:lpwstr>
      </vt:variant>
      <vt:variant>
        <vt:i4>589853</vt:i4>
      </vt:variant>
      <vt:variant>
        <vt:i4>696</vt:i4>
      </vt:variant>
      <vt:variant>
        <vt:i4>0</vt:i4>
      </vt:variant>
      <vt:variant>
        <vt:i4>5</vt:i4>
      </vt:variant>
      <vt:variant>
        <vt:lpwstr/>
      </vt:variant>
      <vt:variant>
        <vt:lpwstr>ImproveAndFutures</vt:lpwstr>
      </vt:variant>
      <vt:variant>
        <vt:i4>7929975</vt:i4>
      </vt:variant>
      <vt:variant>
        <vt:i4>693</vt:i4>
      </vt:variant>
      <vt:variant>
        <vt:i4>0</vt:i4>
      </vt:variant>
      <vt:variant>
        <vt:i4>5</vt:i4>
      </vt:variant>
      <vt:variant>
        <vt:lpwstr/>
      </vt:variant>
      <vt:variant>
        <vt:lpwstr>Pension</vt:lpwstr>
      </vt:variant>
      <vt:variant>
        <vt:i4>7143526</vt:i4>
      </vt:variant>
      <vt:variant>
        <vt:i4>690</vt:i4>
      </vt:variant>
      <vt:variant>
        <vt:i4>0</vt:i4>
      </vt:variant>
      <vt:variant>
        <vt:i4>5</vt:i4>
      </vt:variant>
      <vt:variant>
        <vt:lpwstr/>
      </vt:variant>
      <vt:variant>
        <vt:lpwstr>AppealsRefs</vt:lpwstr>
      </vt:variant>
      <vt:variant>
        <vt:i4>1048579</vt:i4>
      </vt:variant>
      <vt:variant>
        <vt:i4>687</vt:i4>
      </vt:variant>
      <vt:variant>
        <vt:i4>0</vt:i4>
      </vt:variant>
      <vt:variant>
        <vt:i4>5</vt:i4>
      </vt:variant>
      <vt:variant>
        <vt:lpwstr/>
      </vt:variant>
      <vt:variant>
        <vt:lpwstr>PTSD</vt:lpwstr>
      </vt:variant>
      <vt:variant>
        <vt:i4>1638475</vt:i4>
      </vt:variant>
      <vt:variant>
        <vt:i4>684</vt:i4>
      </vt:variant>
      <vt:variant>
        <vt:i4>0</vt:i4>
      </vt:variant>
      <vt:variant>
        <vt:i4>5</vt:i4>
      </vt:variant>
      <vt:variant>
        <vt:lpwstr>http://vbacodmoint1.vba.va.gov/bl/21/Transformation/docs/SNL.doc</vt:lpwstr>
      </vt:variant>
      <vt:variant>
        <vt:lpwstr/>
      </vt:variant>
      <vt:variant>
        <vt:i4>524306</vt:i4>
      </vt:variant>
      <vt:variant>
        <vt:i4>681</vt:i4>
      </vt:variant>
      <vt:variant>
        <vt:i4>0</vt:i4>
      </vt:variant>
      <vt:variant>
        <vt:i4>5</vt:i4>
      </vt:variant>
      <vt:variant>
        <vt:lpwstr>\\vbasdcfpc2\SHARED\VSC\Development &amp; Rating Resources\QRT Bulletin</vt:lpwstr>
      </vt:variant>
      <vt:variant>
        <vt:lpwstr/>
      </vt:variant>
      <vt:variant>
        <vt:i4>2228348</vt:i4>
      </vt:variant>
      <vt:variant>
        <vt:i4>678</vt:i4>
      </vt:variant>
      <vt:variant>
        <vt:i4>0</vt:i4>
      </vt:variant>
      <vt:variant>
        <vt:i4>5</vt:i4>
      </vt:variant>
      <vt:variant>
        <vt:lpwstr>http://cptraining.vba.va.gov/C&amp;P_Training/RVSR/RVSR_Curriculum/HO/RVSR_SNL_Trainee_HO_20120229.doc</vt:lpwstr>
      </vt:variant>
      <vt:variant>
        <vt:lpwstr/>
      </vt:variant>
      <vt:variant>
        <vt:i4>3670031</vt:i4>
      </vt:variant>
      <vt:variant>
        <vt:i4>675</vt:i4>
      </vt:variant>
      <vt:variant>
        <vt:i4>0</vt:i4>
      </vt:variant>
      <vt:variant>
        <vt:i4>5</vt:i4>
      </vt:variant>
      <vt:variant>
        <vt:lpwstr>http://vbacodmoint1.vba.va.gov/bl/21/faq/FAQ_Answer.asp?ref=387</vt:lpwstr>
      </vt:variant>
      <vt:variant>
        <vt:lpwstr/>
      </vt:variant>
      <vt:variant>
        <vt:i4>8257576</vt:i4>
      </vt:variant>
      <vt:variant>
        <vt:i4>672</vt:i4>
      </vt:variant>
      <vt:variant>
        <vt:i4>0</vt:i4>
      </vt:variant>
      <vt:variant>
        <vt:i4>5</vt:i4>
      </vt:variant>
      <vt:variant>
        <vt:lpwstr>http://vbaw.vba.va.gov/bl/21/publicat/Letters/FL12/FL12-008.doc</vt:lpwstr>
      </vt:variant>
      <vt:variant>
        <vt:lpwstr/>
      </vt:variant>
      <vt:variant>
        <vt:i4>7405660</vt:i4>
      </vt:variant>
      <vt:variant>
        <vt:i4>669</vt:i4>
      </vt:variant>
      <vt:variant>
        <vt:i4>0</vt:i4>
      </vt:variant>
      <vt:variant>
        <vt:i4>5</vt:i4>
      </vt:variant>
      <vt:variant>
        <vt:lpwstr>http://vbaw.vba.va.gov/bl/21/publicat/Regs/Part3/3_156.htm</vt:lpwstr>
      </vt:variant>
      <vt:variant>
        <vt:lpwstr/>
      </vt:variant>
      <vt:variant>
        <vt:i4>524306</vt:i4>
      </vt:variant>
      <vt:variant>
        <vt:i4>666</vt:i4>
      </vt:variant>
      <vt:variant>
        <vt:i4>0</vt:i4>
      </vt:variant>
      <vt:variant>
        <vt:i4>5</vt:i4>
      </vt:variant>
      <vt:variant>
        <vt:lpwstr>\\vbasdcfpc2\SHARED\VSC\Development &amp; Rating Resources\QRT Bulletin</vt:lpwstr>
      </vt:variant>
      <vt:variant>
        <vt:lpwstr/>
      </vt:variant>
      <vt:variant>
        <vt:i4>2883699</vt:i4>
      </vt:variant>
      <vt:variant>
        <vt:i4>663</vt:i4>
      </vt:variant>
      <vt:variant>
        <vt:i4>0</vt:i4>
      </vt:variant>
      <vt:variant>
        <vt:i4>5</vt:i4>
      </vt:variant>
      <vt:variant>
        <vt:lpwstr>http://vbaw.vba.va.gov/bl/21/calendar/Agenda/FY10/1010a.doc</vt:lpwstr>
      </vt:variant>
      <vt:variant>
        <vt:lpwstr/>
      </vt:variant>
      <vt:variant>
        <vt:i4>8192037</vt:i4>
      </vt:variant>
      <vt:variant>
        <vt:i4>660</vt:i4>
      </vt:variant>
      <vt:variant>
        <vt:i4>0</vt:i4>
      </vt:variant>
      <vt:variant>
        <vt:i4>5</vt:i4>
      </vt:variant>
      <vt:variant>
        <vt:lpwstr>http://vbaw.vba.va.gov/bl/21/publicat/Letters/FL10/FL10-017.doc</vt:lpwstr>
      </vt:variant>
      <vt:variant>
        <vt:lpwstr/>
      </vt:variant>
      <vt:variant>
        <vt:i4>7471193</vt:i4>
      </vt:variant>
      <vt:variant>
        <vt:i4>657</vt:i4>
      </vt:variant>
      <vt:variant>
        <vt:i4>0</vt:i4>
      </vt:variant>
      <vt:variant>
        <vt:i4>5</vt:i4>
      </vt:variant>
      <vt:variant>
        <vt:lpwstr>http://vbaw.vba.va.gov/bl/21/publicat/Regs/Part3/3_400.htm</vt:lpwstr>
      </vt:variant>
      <vt:variant>
        <vt:lpwstr/>
      </vt:variant>
      <vt:variant>
        <vt:i4>2818161</vt:i4>
      </vt:variant>
      <vt:variant>
        <vt:i4>654</vt:i4>
      </vt:variant>
      <vt:variant>
        <vt:i4>0</vt:i4>
      </vt:variant>
      <vt:variant>
        <vt:i4>5</vt:i4>
      </vt:variant>
      <vt:variant>
        <vt:lpwstr>http://vbaw.vba.va.gov/bl/21/Advisory/DADS/1995dads/Curtis.doc</vt:lpwstr>
      </vt:variant>
      <vt:variant>
        <vt:lpwstr/>
      </vt:variant>
      <vt:variant>
        <vt:i4>4063347</vt:i4>
      </vt:variant>
      <vt:variant>
        <vt:i4>651</vt:i4>
      </vt:variant>
      <vt:variant>
        <vt:i4>0</vt:i4>
      </vt:variant>
      <vt:variant>
        <vt:i4>5</vt:i4>
      </vt:variant>
      <vt:variant>
        <vt:lpwstr>http://vbaw.vba.va.gov/bl/21/Advisory/DADS/1993dads/Reonal.doc</vt:lpwstr>
      </vt:variant>
      <vt:variant>
        <vt:lpwstr/>
      </vt:variant>
      <vt:variant>
        <vt:i4>3473448</vt:i4>
      </vt:variant>
      <vt:variant>
        <vt:i4>648</vt:i4>
      </vt:variant>
      <vt:variant>
        <vt:i4>0</vt:i4>
      </vt:variant>
      <vt:variant>
        <vt:i4>5</vt:i4>
      </vt:variant>
      <vt:variant>
        <vt:lpwstr>http://vbaw.vba.va.gov/bl/21/Advisory/DADS/2001dads/WhiteFC00-7130.doc</vt:lpwstr>
      </vt:variant>
      <vt:variant>
        <vt:lpwstr/>
      </vt:variant>
      <vt:variant>
        <vt:i4>4522010</vt:i4>
      </vt:variant>
      <vt:variant>
        <vt:i4>645</vt:i4>
      </vt:variant>
      <vt:variant>
        <vt:i4>0</vt:i4>
      </vt:variant>
      <vt:variant>
        <vt:i4>5</vt:i4>
      </vt:variant>
      <vt:variant>
        <vt:lpwstr>http://vbaw.vba.va.gov/bl/21/Advisory/DADS/1993dads/Guerrier.doc</vt:lpwstr>
      </vt:variant>
      <vt:variant>
        <vt:lpwstr/>
      </vt:variant>
      <vt:variant>
        <vt:i4>3080313</vt:i4>
      </vt:variant>
      <vt:variant>
        <vt:i4>642</vt:i4>
      </vt:variant>
      <vt:variant>
        <vt:i4>0</vt:i4>
      </vt:variant>
      <vt:variant>
        <vt:i4>5</vt:i4>
      </vt:variant>
      <vt:variant>
        <vt:lpwstr>http://vbaw.vba.va.gov/BL/21/M21/content/contents.asp?address=M21-1MRIII.iv</vt:lpwstr>
      </vt:variant>
      <vt:variant>
        <vt:lpwstr/>
      </vt:variant>
      <vt:variant>
        <vt:i4>3342391</vt:i4>
      </vt:variant>
      <vt:variant>
        <vt:i4>639</vt:i4>
      </vt:variant>
      <vt:variant>
        <vt:i4>0</vt:i4>
      </vt:variant>
      <vt:variant>
        <vt:i4>5</vt:i4>
      </vt:variant>
      <vt:variant>
        <vt:lpwstr>http://vbaw.vba.va.gov/BL/21/M21/content/infomap.asp?address=M21-1MRI.1.B.4</vt:lpwstr>
      </vt:variant>
      <vt:variant>
        <vt:lpwstr/>
      </vt:variant>
      <vt:variant>
        <vt:i4>7471193</vt:i4>
      </vt:variant>
      <vt:variant>
        <vt:i4>636</vt:i4>
      </vt:variant>
      <vt:variant>
        <vt:i4>0</vt:i4>
      </vt:variant>
      <vt:variant>
        <vt:i4>5</vt:i4>
      </vt:variant>
      <vt:variant>
        <vt:lpwstr>http://vbaw.vba.va.gov/bl/21/publicat/Regs/Part3/3_400.htm</vt:lpwstr>
      </vt:variant>
      <vt:variant>
        <vt:lpwstr/>
      </vt:variant>
      <vt:variant>
        <vt:i4>7405660</vt:i4>
      </vt:variant>
      <vt:variant>
        <vt:i4>633</vt:i4>
      </vt:variant>
      <vt:variant>
        <vt:i4>0</vt:i4>
      </vt:variant>
      <vt:variant>
        <vt:i4>5</vt:i4>
      </vt:variant>
      <vt:variant>
        <vt:lpwstr>http://vbaw.vba.va.gov/bl/21/publicat/Regs/Part3/3_156.htm</vt:lpwstr>
      </vt:variant>
      <vt:variant>
        <vt:lpwstr/>
      </vt:variant>
      <vt:variant>
        <vt:i4>2752552</vt:i4>
      </vt:variant>
      <vt:variant>
        <vt:i4>630</vt:i4>
      </vt:variant>
      <vt:variant>
        <vt:i4>0</vt:i4>
      </vt:variant>
      <vt:variant>
        <vt:i4>5</vt:i4>
      </vt:variant>
      <vt:variant>
        <vt:lpwstr>http://vbaw.vba.va.gov/BL/21/M21/content/infomap.asp?address=M21-1MRI.1.B.3</vt:lpwstr>
      </vt:variant>
      <vt:variant>
        <vt:lpwstr>M21-1MRI.1.B.3.b</vt:lpwstr>
      </vt:variant>
      <vt:variant>
        <vt:i4>524306</vt:i4>
      </vt:variant>
      <vt:variant>
        <vt:i4>627</vt:i4>
      </vt:variant>
      <vt:variant>
        <vt:i4>0</vt:i4>
      </vt:variant>
      <vt:variant>
        <vt:i4>5</vt:i4>
      </vt:variant>
      <vt:variant>
        <vt:lpwstr>\\vbasdcfpc2\SHARED\VSC\Development &amp; Rating Resources\QRT Bulletin</vt:lpwstr>
      </vt:variant>
      <vt:variant>
        <vt:lpwstr/>
      </vt:variant>
      <vt:variant>
        <vt:i4>3080313</vt:i4>
      </vt:variant>
      <vt:variant>
        <vt:i4>624</vt:i4>
      </vt:variant>
      <vt:variant>
        <vt:i4>0</vt:i4>
      </vt:variant>
      <vt:variant>
        <vt:i4>5</vt:i4>
      </vt:variant>
      <vt:variant>
        <vt:lpwstr>http://vbaw.vba.va.gov/BL/21/M21/content/contents.asp?address=M21-1MRIII.iv</vt:lpwstr>
      </vt:variant>
      <vt:variant>
        <vt:lpwstr/>
      </vt:variant>
      <vt:variant>
        <vt:i4>3080313</vt:i4>
      </vt:variant>
      <vt:variant>
        <vt:i4>621</vt:i4>
      </vt:variant>
      <vt:variant>
        <vt:i4>0</vt:i4>
      </vt:variant>
      <vt:variant>
        <vt:i4>5</vt:i4>
      </vt:variant>
      <vt:variant>
        <vt:lpwstr>http://vbaw.vba.va.gov/BL/21/M21/content/contents.asp?address=M21-1MRIII.iv</vt:lpwstr>
      </vt:variant>
      <vt:variant>
        <vt:lpwstr/>
      </vt:variant>
      <vt:variant>
        <vt:i4>7471193</vt:i4>
      </vt:variant>
      <vt:variant>
        <vt:i4>618</vt:i4>
      </vt:variant>
      <vt:variant>
        <vt:i4>0</vt:i4>
      </vt:variant>
      <vt:variant>
        <vt:i4>5</vt:i4>
      </vt:variant>
      <vt:variant>
        <vt:lpwstr>http://vbaw.vba.va.gov/bl/21/publicat/Regs/Part3/3_400.htm</vt:lpwstr>
      </vt:variant>
      <vt:variant>
        <vt:lpwstr/>
      </vt:variant>
      <vt:variant>
        <vt:i4>7471196</vt:i4>
      </vt:variant>
      <vt:variant>
        <vt:i4>615</vt:i4>
      </vt:variant>
      <vt:variant>
        <vt:i4>0</vt:i4>
      </vt:variant>
      <vt:variant>
        <vt:i4>5</vt:i4>
      </vt:variant>
      <vt:variant>
        <vt:lpwstr>http://vbaw.vba.va.gov/bl/21/publicat/Regs/Part3/3_155.htm</vt:lpwstr>
      </vt:variant>
      <vt:variant>
        <vt:lpwstr/>
      </vt:variant>
      <vt:variant>
        <vt:i4>7340124</vt:i4>
      </vt:variant>
      <vt:variant>
        <vt:i4>612</vt:i4>
      </vt:variant>
      <vt:variant>
        <vt:i4>0</vt:i4>
      </vt:variant>
      <vt:variant>
        <vt:i4>5</vt:i4>
      </vt:variant>
      <vt:variant>
        <vt:lpwstr>http://vbaw.vba.va.gov/bl/21/publicat/Regs/Part3/3_157.htm</vt:lpwstr>
      </vt:variant>
      <vt:variant>
        <vt:lpwstr/>
      </vt:variant>
      <vt:variant>
        <vt:i4>7471193</vt:i4>
      </vt:variant>
      <vt:variant>
        <vt:i4>609</vt:i4>
      </vt:variant>
      <vt:variant>
        <vt:i4>0</vt:i4>
      </vt:variant>
      <vt:variant>
        <vt:i4>5</vt:i4>
      </vt:variant>
      <vt:variant>
        <vt:lpwstr>http://vbaw.vba.va.gov/bl/21/publicat/Regs/Part3/3_400.htm</vt:lpwstr>
      </vt:variant>
      <vt:variant>
        <vt:lpwstr/>
      </vt:variant>
      <vt:variant>
        <vt:i4>2883624</vt:i4>
      </vt:variant>
      <vt:variant>
        <vt:i4>606</vt:i4>
      </vt:variant>
      <vt:variant>
        <vt:i4>0</vt:i4>
      </vt:variant>
      <vt:variant>
        <vt:i4>5</vt:i4>
      </vt:variant>
      <vt:variant>
        <vt:lpwstr>http://vbaw.vba.va.gov/BL/21/M21/content/infomap.asp?address=M21-1MRI.1.B.3</vt:lpwstr>
      </vt:variant>
      <vt:variant>
        <vt:lpwstr>M21-1MRI.1.B.3.d</vt:lpwstr>
      </vt:variant>
      <vt:variant>
        <vt:i4>7536729</vt:i4>
      </vt:variant>
      <vt:variant>
        <vt:i4>603</vt:i4>
      </vt:variant>
      <vt:variant>
        <vt:i4>0</vt:i4>
      </vt:variant>
      <vt:variant>
        <vt:i4>5</vt:i4>
      </vt:variant>
      <vt:variant>
        <vt:lpwstr>http://vbaw.vba.va.gov/bl/21/publicat/Regs/Part3/3_104.htm</vt:lpwstr>
      </vt:variant>
      <vt:variant>
        <vt:lpwstr/>
      </vt:variant>
      <vt:variant>
        <vt:i4>917576</vt:i4>
      </vt:variant>
      <vt:variant>
        <vt:i4>600</vt:i4>
      </vt:variant>
      <vt:variant>
        <vt:i4>0</vt:i4>
      </vt:variant>
      <vt:variant>
        <vt:i4>5</vt:i4>
      </vt:variant>
      <vt:variant>
        <vt:lpwstr>http://uscode.house.gov/uscode-cgi/fastweb.exe?getdoc+uscview+t37t40+993+0++%28%29%20%20AND%20%28%2838%29%20ADJ%20USC%29%3ACITE%20AND%20%28USC%20w%2F10%20%285104%29%29%3ACITE%20%20%20%20%20%20%20%20%20</vt:lpwstr>
      </vt:variant>
      <vt:variant>
        <vt:lpwstr/>
      </vt:variant>
      <vt:variant>
        <vt:i4>7471193</vt:i4>
      </vt:variant>
      <vt:variant>
        <vt:i4>597</vt:i4>
      </vt:variant>
      <vt:variant>
        <vt:i4>0</vt:i4>
      </vt:variant>
      <vt:variant>
        <vt:i4>5</vt:i4>
      </vt:variant>
      <vt:variant>
        <vt:lpwstr>http://vbaw.vba.va.gov/bl/21/publicat/Regs/Part3/3_105.htm</vt:lpwstr>
      </vt:variant>
      <vt:variant>
        <vt:lpwstr/>
      </vt:variant>
      <vt:variant>
        <vt:i4>327749</vt:i4>
      </vt:variant>
      <vt:variant>
        <vt:i4>594</vt:i4>
      </vt:variant>
      <vt:variant>
        <vt:i4>0</vt:i4>
      </vt:variant>
      <vt:variant>
        <vt:i4>5</vt:i4>
      </vt:variant>
      <vt:variant>
        <vt:lpwstr>http://uscode.house.gov/uscode-cgi/fastweb.exe?getdoc+uscview+t37t40+998+0++%28%29%20%20AND%20%28%2838%29%20ADJ%20USC%29%3ACITE%20AND%20%28USC%20w%2F10%20%285109%29%29%3ACITE%20%20%20%20%20%20%20%20%20</vt:lpwstr>
      </vt:variant>
      <vt:variant>
        <vt:lpwstr/>
      </vt:variant>
      <vt:variant>
        <vt:i4>7471193</vt:i4>
      </vt:variant>
      <vt:variant>
        <vt:i4>591</vt:i4>
      </vt:variant>
      <vt:variant>
        <vt:i4>0</vt:i4>
      </vt:variant>
      <vt:variant>
        <vt:i4>5</vt:i4>
      </vt:variant>
      <vt:variant>
        <vt:lpwstr>http://vbaw.vba.va.gov/bl/21/publicat/Regs/Part3/3_105.htm</vt:lpwstr>
      </vt:variant>
      <vt:variant>
        <vt:lpwstr/>
      </vt:variant>
      <vt:variant>
        <vt:i4>7471193</vt:i4>
      </vt:variant>
      <vt:variant>
        <vt:i4>588</vt:i4>
      </vt:variant>
      <vt:variant>
        <vt:i4>0</vt:i4>
      </vt:variant>
      <vt:variant>
        <vt:i4>5</vt:i4>
      </vt:variant>
      <vt:variant>
        <vt:lpwstr>http://vbaw.vba.va.gov/bl/21/publicat/Regs/Part3/3_105.htm</vt:lpwstr>
      </vt:variant>
      <vt:variant>
        <vt:lpwstr/>
      </vt:variant>
      <vt:variant>
        <vt:i4>7471193</vt:i4>
      </vt:variant>
      <vt:variant>
        <vt:i4>585</vt:i4>
      </vt:variant>
      <vt:variant>
        <vt:i4>0</vt:i4>
      </vt:variant>
      <vt:variant>
        <vt:i4>5</vt:i4>
      </vt:variant>
      <vt:variant>
        <vt:lpwstr>http://vbaw.vba.va.gov/bl/21/Publicat/Regs/Part3/3_105.htm</vt:lpwstr>
      </vt:variant>
      <vt:variant>
        <vt:lpwstr/>
      </vt:variant>
      <vt:variant>
        <vt:i4>2818141</vt:i4>
      </vt:variant>
      <vt:variant>
        <vt:i4>582</vt:i4>
      </vt:variant>
      <vt:variant>
        <vt:i4>0</vt:i4>
      </vt:variant>
      <vt:variant>
        <vt:i4>5</vt:i4>
      </vt:variant>
      <vt:variant>
        <vt:lpwstr>http://vbaw.vba.va.gov/bl/21/Publicat/Regs/Part3/3_2600.htm</vt:lpwstr>
      </vt:variant>
      <vt:variant>
        <vt:lpwstr/>
      </vt:variant>
      <vt:variant>
        <vt:i4>7471193</vt:i4>
      </vt:variant>
      <vt:variant>
        <vt:i4>579</vt:i4>
      </vt:variant>
      <vt:variant>
        <vt:i4>0</vt:i4>
      </vt:variant>
      <vt:variant>
        <vt:i4>5</vt:i4>
      </vt:variant>
      <vt:variant>
        <vt:lpwstr>http://vbaw.vba.va.gov/bl/21/Publicat/Regs/Part3/3_105.htm</vt:lpwstr>
      </vt:variant>
      <vt:variant>
        <vt:lpwstr/>
      </vt:variant>
      <vt:variant>
        <vt:i4>7536729</vt:i4>
      </vt:variant>
      <vt:variant>
        <vt:i4>576</vt:i4>
      </vt:variant>
      <vt:variant>
        <vt:i4>0</vt:i4>
      </vt:variant>
      <vt:variant>
        <vt:i4>5</vt:i4>
      </vt:variant>
      <vt:variant>
        <vt:lpwstr>http://vbaw.vba.va.gov/bl/21/Publicat/Regs/Part3/3_104.htm</vt:lpwstr>
      </vt:variant>
      <vt:variant>
        <vt:lpwstr/>
      </vt:variant>
      <vt:variant>
        <vt:i4>4718607</vt:i4>
      </vt:variant>
      <vt:variant>
        <vt:i4>573</vt:i4>
      </vt:variant>
      <vt:variant>
        <vt:i4>0</vt:i4>
      </vt:variant>
      <vt:variant>
        <vt:i4>5</vt:i4>
      </vt:variant>
      <vt:variant>
        <vt:lpwstr>http://vbaw.vba.va.gov/bl/21/star/calls/training/starCUE.ppt</vt:lpwstr>
      </vt:variant>
      <vt:variant>
        <vt:lpwstr/>
      </vt:variant>
      <vt:variant>
        <vt:i4>5373953</vt:i4>
      </vt:variant>
      <vt:variant>
        <vt:i4>570</vt:i4>
      </vt:variant>
      <vt:variant>
        <vt:i4>0</vt:i4>
      </vt:variant>
      <vt:variant>
        <vt:i4>5</vt:i4>
      </vt:variant>
      <vt:variant>
        <vt:lpwstr>http://vbaw.vba.va.gov/BL/21/M21/content/infomap.asp?address=M21-1MRI.5.C.13</vt:lpwstr>
      </vt:variant>
      <vt:variant>
        <vt:lpwstr>M21-1MRI.5.C.13.f</vt:lpwstr>
      </vt:variant>
      <vt:variant>
        <vt:i4>2883697</vt:i4>
      </vt:variant>
      <vt:variant>
        <vt:i4>567</vt:i4>
      </vt:variant>
      <vt:variant>
        <vt:i4>0</vt:i4>
      </vt:variant>
      <vt:variant>
        <vt:i4>5</vt:i4>
      </vt:variant>
      <vt:variant>
        <vt:lpwstr>http://vbaw.vba.va.gov/BL/21/M21/content/infomap.asp?address=M21-1MRIV.ii.3.A.2</vt:lpwstr>
      </vt:variant>
      <vt:variant>
        <vt:lpwstr/>
      </vt:variant>
      <vt:variant>
        <vt:i4>4915274</vt:i4>
      </vt:variant>
      <vt:variant>
        <vt:i4>564</vt:i4>
      </vt:variant>
      <vt:variant>
        <vt:i4>0</vt:i4>
      </vt:variant>
      <vt:variant>
        <vt:i4>5</vt:i4>
      </vt:variant>
      <vt:variant>
        <vt:lpwstr>http://vbaw.vba.va.gov/BL/21/M21/content/infomap.asp?address=M21-1MRIII.iv.2.B.7</vt:lpwstr>
      </vt:variant>
      <vt:variant>
        <vt:lpwstr/>
      </vt:variant>
      <vt:variant>
        <vt:i4>6684780</vt:i4>
      </vt:variant>
      <vt:variant>
        <vt:i4>561</vt:i4>
      </vt:variant>
      <vt:variant>
        <vt:i4>0</vt:i4>
      </vt:variant>
      <vt:variant>
        <vt:i4>5</vt:i4>
      </vt:variant>
      <vt:variant>
        <vt:lpwstr/>
      </vt:variant>
      <vt:variant>
        <vt:lpwstr>Revisionofdecisions</vt:lpwstr>
      </vt:variant>
      <vt:variant>
        <vt:i4>5242883</vt:i4>
      </vt:variant>
      <vt:variant>
        <vt:i4>555</vt:i4>
      </vt:variant>
      <vt:variant>
        <vt:i4>0</vt:i4>
      </vt:variant>
      <vt:variant>
        <vt:i4>5</vt:i4>
      </vt:variant>
      <vt:variant>
        <vt:lpwstr>http://vbaw.vba.va.gov/BL/21/M21/content/infomap.asp?address=M21-1MRIII.iv.6.B.3</vt:lpwstr>
      </vt:variant>
      <vt:variant>
        <vt:lpwstr>M21-1MRIII.iv.6.B.3.d</vt:lpwstr>
      </vt:variant>
      <vt:variant>
        <vt:i4>1638515</vt:i4>
      </vt:variant>
      <vt:variant>
        <vt:i4>553</vt:i4>
      </vt:variant>
      <vt:variant>
        <vt:i4>0</vt:i4>
      </vt:variant>
      <vt:variant>
        <vt:i4>5</vt:i4>
      </vt:variant>
      <vt:variant>
        <vt:lpwstr>http://vbaw.vba.va.gov/bl/21/M21-1MR/index.asp?id=pt03_sp04_ch06_secB.xml</vt:lpwstr>
      </vt:variant>
      <vt:variant>
        <vt:lpwstr>III.iv.6.B.3.d</vt:lpwstr>
      </vt:variant>
      <vt:variant>
        <vt:i4>5242883</vt:i4>
      </vt:variant>
      <vt:variant>
        <vt:i4>551</vt:i4>
      </vt:variant>
      <vt:variant>
        <vt:i4>0</vt:i4>
      </vt:variant>
      <vt:variant>
        <vt:i4>5</vt:i4>
      </vt:variant>
      <vt:variant>
        <vt:lpwstr>http://vbaw.vba.va.gov/BL/21/M21/content/infomap.asp?address=M21-1MRIII.iv.6.B.3</vt:lpwstr>
      </vt:variant>
      <vt:variant>
        <vt:lpwstr>M21-1MRIII.iv.6.B.3.d</vt:lpwstr>
      </vt:variant>
      <vt:variant>
        <vt:i4>1638515</vt:i4>
      </vt:variant>
      <vt:variant>
        <vt:i4>549</vt:i4>
      </vt:variant>
      <vt:variant>
        <vt:i4>0</vt:i4>
      </vt:variant>
      <vt:variant>
        <vt:i4>5</vt:i4>
      </vt:variant>
      <vt:variant>
        <vt:lpwstr>http://vbaw.vba.va.gov/bl/21/M21-1MR/index.asp?id=pt03_sp04_ch06_secB.xml</vt:lpwstr>
      </vt:variant>
      <vt:variant>
        <vt:lpwstr>III.iv.6.B.3.d</vt:lpwstr>
      </vt:variant>
      <vt:variant>
        <vt:i4>1179648</vt:i4>
      </vt:variant>
      <vt:variant>
        <vt:i4>546</vt:i4>
      </vt:variant>
      <vt:variant>
        <vt:i4>0</vt:i4>
      </vt:variant>
      <vt:variant>
        <vt:i4>5</vt:i4>
      </vt:variant>
      <vt:variant>
        <vt:lpwstr/>
      </vt:variant>
      <vt:variant>
        <vt:lpwstr>ClarifyAndSolicit</vt:lpwstr>
      </vt:variant>
      <vt:variant>
        <vt:i4>4194378</vt:i4>
      </vt:variant>
      <vt:variant>
        <vt:i4>543</vt:i4>
      </vt:variant>
      <vt:variant>
        <vt:i4>0</vt:i4>
      </vt:variant>
      <vt:variant>
        <vt:i4>5</vt:i4>
      </vt:variant>
      <vt:variant>
        <vt:lpwstr>http://vbaw.vba.va.gov/BL/21/M21/content/infomap.asp?address=M21-1MRIII.iv.8.B.6</vt:lpwstr>
      </vt:variant>
      <vt:variant>
        <vt:lpwstr/>
      </vt:variant>
      <vt:variant>
        <vt:i4>2883695</vt:i4>
      </vt:variant>
      <vt:variant>
        <vt:i4>540</vt:i4>
      </vt:variant>
      <vt:variant>
        <vt:i4>0</vt:i4>
      </vt:variant>
      <vt:variant>
        <vt:i4>5</vt:i4>
      </vt:variant>
      <vt:variant>
        <vt:lpwstr>http://vbaw.vba.va.gov/BL/21/M21/content/infomap.asp?address=M21-1MRIII.iii.1.B.11</vt:lpwstr>
      </vt:variant>
      <vt:variant>
        <vt:lpwstr/>
      </vt:variant>
      <vt:variant>
        <vt:i4>8323164</vt:i4>
      </vt:variant>
      <vt:variant>
        <vt:i4>537</vt:i4>
      </vt:variant>
      <vt:variant>
        <vt:i4>0</vt:i4>
      </vt:variant>
      <vt:variant>
        <vt:i4>5</vt:i4>
      </vt:variant>
      <vt:variant>
        <vt:lpwstr>http://vbaw.vba.va.gov/bl/21/publicat/Regs/Part3/3_158.htm</vt:lpwstr>
      </vt:variant>
      <vt:variant>
        <vt:lpwstr/>
      </vt:variant>
      <vt:variant>
        <vt:i4>7733340</vt:i4>
      </vt:variant>
      <vt:variant>
        <vt:i4>534</vt:i4>
      </vt:variant>
      <vt:variant>
        <vt:i4>0</vt:i4>
      </vt:variant>
      <vt:variant>
        <vt:i4>5</vt:i4>
      </vt:variant>
      <vt:variant>
        <vt:lpwstr>http://vbaw.vba.va.gov/bl/21/publicat/Regs/Part3/3_656.htm</vt:lpwstr>
      </vt:variant>
      <vt:variant>
        <vt:lpwstr/>
      </vt:variant>
      <vt:variant>
        <vt:i4>7798873</vt:i4>
      </vt:variant>
      <vt:variant>
        <vt:i4>531</vt:i4>
      </vt:variant>
      <vt:variant>
        <vt:i4>0</vt:i4>
      </vt:variant>
      <vt:variant>
        <vt:i4>5</vt:i4>
      </vt:variant>
      <vt:variant>
        <vt:lpwstr>http://vbaw.vba.va.gov/bl/21/publicat/Regs/Part3/3_203.htm</vt:lpwstr>
      </vt:variant>
      <vt:variant>
        <vt:lpwstr/>
      </vt:variant>
      <vt:variant>
        <vt:i4>7798879</vt:i4>
      </vt:variant>
      <vt:variant>
        <vt:i4>528</vt:i4>
      </vt:variant>
      <vt:variant>
        <vt:i4>0</vt:i4>
      </vt:variant>
      <vt:variant>
        <vt:i4>5</vt:i4>
      </vt:variant>
      <vt:variant>
        <vt:lpwstr>http://vbaw.vba.va.gov/bl/21/publicat/Regs/Part3/3_160.htm</vt:lpwstr>
      </vt:variant>
      <vt:variant>
        <vt:lpwstr/>
      </vt:variant>
      <vt:variant>
        <vt:i4>3538959</vt:i4>
      </vt:variant>
      <vt:variant>
        <vt:i4>525</vt:i4>
      </vt:variant>
      <vt:variant>
        <vt:i4>0</vt:i4>
      </vt:variant>
      <vt:variant>
        <vt:i4>5</vt:i4>
      </vt:variant>
      <vt:variant>
        <vt:lpwstr>http://vbacodmoint1.vba.va.gov/bl/21/faq/FAQ_Answer.asp?ref=365</vt:lpwstr>
      </vt:variant>
      <vt:variant>
        <vt:lpwstr/>
      </vt:variant>
      <vt:variant>
        <vt:i4>4194378</vt:i4>
      </vt:variant>
      <vt:variant>
        <vt:i4>522</vt:i4>
      </vt:variant>
      <vt:variant>
        <vt:i4>0</vt:i4>
      </vt:variant>
      <vt:variant>
        <vt:i4>5</vt:i4>
      </vt:variant>
      <vt:variant>
        <vt:lpwstr>http://vbaw.vba.va.gov/BL/21/M21/content/infomap.asp?address=M21-1MRIII.iv.8.B.6</vt:lpwstr>
      </vt:variant>
      <vt:variant>
        <vt:lpwstr/>
      </vt:variant>
      <vt:variant>
        <vt:i4>2883695</vt:i4>
      </vt:variant>
      <vt:variant>
        <vt:i4>519</vt:i4>
      </vt:variant>
      <vt:variant>
        <vt:i4>0</vt:i4>
      </vt:variant>
      <vt:variant>
        <vt:i4>5</vt:i4>
      </vt:variant>
      <vt:variant>
        <vt:lpwstr>http://vbaw.vba.va.gov/BL/21/M21/content/infomap.asp?address=M21-1MRIII.iii.1.B.11</vt:lpwstr>
      </vt:variant>
      <vt:variant>
        <vt:lpwstr/>
      </vt:variant>
      <vt:variant>
        <vt:i4>7733340</vt:i4>
      </vt:variant>
      <vt:variant>
        <vt:i4>516</vt:i4>
      </vt:variant>
      <vt:variant>
        <vt:i4>0</vt:i4>
      </vt:variant>
      <vt:variant>
        <vt:i4>5</vt:i4>
      </vt:variant>
      <vt:variant>
        <vt:lpwstr>http://vbaw.vba.va.gov/bl/21/publicat/Regs/Part3/3_656.htm</vt:lpwstr>
      </vt:variant>
      <vt:variant>
        <vt:lpwstr/>
      </vt:variant>
      <vt:variant>
        <vt:i4>8323164</vt:i4>
      </vt:variant>
      <vt:variant>
        <vt:i4>513</vt:i4>
      </vt:variant>
      <vt:variant>
        <vt:i4>0</vt:i4>
      </vt:variant>
      <vt:variant>
        <vt:i4>5</vt:i4>
      </vt:variant>
      <vt:variant>
        <vt:lpwstr>http://vbaw.vba.va.gov/bl/21/publicat/Regs/Part3/3_158.htm</vt:lpwstr>
      </vt:variant>
      <vt:variant>
        <vt:lpwstr/>
      </vt:variant>
      <vt:variant>
        <vt:i4>3670031</vt:i4>
      </vt:variant>
      <vt:variant>
        <vt:i4>510</vt:i4>
      </vt:variant>
      <vt:variant>
        <vt:i4>0</vt:i4>
      </vt:variant>
      <vt:variant>
        <vt:i4>5</vt:i4>
      </vt:variant>
      <vt:variant>
        <vt:lpwstr>http://vbacodmoint1.vba.va.gov/bl/21/faq/FAQ_Answer.asp?ref=389</vt:lpwstr>
      </vt:variant>
      <vt:variant>
        <vt:lpwstr/>
      </vt:variant>
      <vt:variant>
        <vt:i4>8060972</vt:i4>
      </vt:variant>
      <vt:variant>
        <vt:i4>507</vt:i4>
      </vt:variant>
      <vt:variant>
        <vt:i4>0</vt:i4>
      </vt:variant>
      <vt:variant>
        <vt:i4>5</vt:i4>
      </vt:variant>
      <vt:variant>
        <vt:lpwstr>http://vbaw.vba.va.gov/bl/21/data/quality/QATIMES/v1i1.pdf</vt:lpwstr>
      </vt:variant>
      <vt:variant>
        <vt:lpwstr/>
      </vt:variant>
      <vt:variant>
        <vt:i4>3538958</vt:i4>
      </vt:variant>
      <vt:variant>
        <vt:i4>504</vt:i4>
      </vt:variant>
      <vt:variant>
        <vt:i4>0</vt:i4>
      </vt:variant>
      <vt:variant>
        <vt:i4>5</vt:i4>
      </vt:variant>
      <vt:variant>
        <vt:lpwstr>http://vbacodmoint1.vba.va.gov/bl/21/faq/FAQ_Answer.asp?ref=264</vt:lpwstr>
      </vt:variant>
      <vt:variant>
        <vt:lpwstr/>
      </vt:variant>
      <vt:variant>
        <vt:i4>3473422</vt:i4>
      </vt:variant>
      <vt:variant>
        <vt:i4>501</vt:i4>
      </vt:variant>
      <vt:variant>
        <vt:i4>0</vt:i4>
      </vt:variant>
      <vt:variant>
        <vt:i4>5</vt:i4>
      </vt:variant>
      <vt:variant>
        <vt:lpwstr>http://vbacodmoint1.vba.va.gov/bl/21/faq/FAQ_Answer.asp?ref=255</vt:lpwstr>
      </vt:variant>
      <vt:variant>
        <vt:lpwstr/>
      </vt:variant>
      <vt:variant>
        <vt:i4>4653161</vt:i4>
      </vt:variant>
      <vt:variant>
        <vt:i4>498</vt:i4>
      </vt:variant>
      <vt:variant>
        <vt:i4>0</vt:i4>
      </vt:variant>
      <vt:variant>
        <vt:i4>5</vt:i4>
      </vt:variant>
      <vt:variant>
        <vt:lpwstr>http://vbaw.vba.va.gov/bl/21/publicat/Regs/Part3/3_1.htm</vt:lpwstr>
      </vt:variant>
      <vt:variant>
        <vt:lpwstr/>
      </vt:variant>
      <vt:variant>
        <vt:i4>7471196</vt:i4>
      </vt:variant>
      <vt:variant>
        <vt:i4>495</vt:i4>
      </vt:variant>
      <vt:variant>
        <vt:i4>0</vt:i4>
      </vt:variant>
      <vt:variant>
        <vt:i4>5</vt:i4>
      </vt:variant>
      <vt:variant>
        <vt:lpwstr>http://vbaw.vba.va.gov/bl/21/publicat/Regs/Part3/3_155.htm</vt:lpwstr>
      </vt:variant>
      <vt:variant>
        <vt:lpwstr/>
      </vt:variant>
      <vt:variant>
        <vt:i4>3538958</vt:i4>
      </vt:variant>
      <vt:variant>
        <vt:i4>492</vt:i4>
      </vt:variant>
      <vt:variant>
        <vt:i4>0</vt:i4>
      </vt:variant>
      <vt:variant>
        <vt:i4>5</vt:i4>
      </vt:variant>
      <vt:variant>
        <vt:lpwstr>http://vbacodmoint1.vba.va.gov/bl/21/faq/FAQ_Answer.asp?ref=265</vt:lpwstr>
      </vt:variant>
      <vt:variant>
        <vt:lpwstr/>
      </vt:variant>
      <vt:variant>
        <vt:i4>3407886</vt:i4>
      </vt:variant>
      <vt:variant>
        <vt:i4>489</vt:i4>
      </vt:variant>
      <vt:variant>
        <vt:i4>0</vt:i4>
      </vt:variant>
      <vt:variant>
        <vt:i4>5</vt:i4>
      </vt:variant>
      <vt:variant>
        <vt:lpwstr>http://vbacodmoint1.vba.va.gov/bl/21/faq/FAQ_Answer.asp?ref=248</vt:lpwstr>
      </vt:variant>
      <vt:variant>
        <vt:lpwstr/>
      </vt:variant>
      <vt:variant>
        <vt:i4>5046302</vt:i4>
      </vt:variant>
      <vt:variant>
        <vt:i4>486</vt:i4>
      </vt:variant>
      <vt:variant>
        <vt:i4>0</vt:i4>
      </vt:variant>
      <vt:variant>
        <vt:i4>5</vt:i4>
      </vt:variant>
      <vt:variant>
        <vt:lpwstr>http://vbaw.vba.va.gov/BL/21/M21/content/infomap.asp?address=M21-1MRII.5.9</vt:lpwstr>
      </vt:variant>
      <vt:variant>
        <vt:lpwstr>M21-1MRII.5.9.d</vt:lpwstr>
      </vt:variant>
      <vt:variant>
        <vt:i4>327707</vt:i4>
      </vt:variant>
      <vt:variant>
        <vt:i4>483</vt:i4>
      </vt:variant>
      <vt:variant>
        <vt:i4>0</vt:i4>
      </vt:variant>
      <vt:variant>
        <vt:i4>5</vt:i4>
      </vt:variant>
      <vt:variant>
        <vt:lpwstr>http://vbaw.vba.va.gov/BL/21/M21/content/infomap.asp?address=M21-1MRI.1.B.3.b</vt:lpwstr>
      </vt:variant>
      <vt:variant>
        <vt:lpwstr>M21-1MRI.1.B.3.c</vt:lpwstr>
      </vt:variant>
      <vt:variant>
        <vt:i4>7471193</vt:i4>
      </vt:variant>
      <vt:variant>
        <vt:i4>480</vt:i4>
      </vt:variant>
      <vt:variant>
        <vt:i4>0</vt:i4>
      </vt:variant>
      <vt:variant>
        <vt:i4>5</vt:i4>
      </vt:variant>
      <vt:variant>
        <vt:lpwstr>http://vbaw.vba.va.gov/bl/21/publicat/Regs/Part3/3_400.htm</vt:lpwstr>
      </vt:variant>
      <vt:variant>
        <vt:lpwstr/>
      </vt:variant>
      <vt:variant>
        <vt:i4>4915274</vt:i4>
      </vt:variant>
      <vt:variant>
        <vt:i4>477</vt:i4>
      </vt:variant>
      <vt:variant>
        <vt:i4>0</vt:i4>
      </vt:variant>
      <vt:variant>
        <vt:i4>5</vt:i4>
      </vt:variant>
      <vt:variant>
        <vt:lpwstr>http://vbaw.vba.va.gov/bl/21/M21/content/infomap.asp?address=M21-1MRIII.iv.6.B.3</vt:lpwstr>
      </vt:variant>
      <vt:variant>
        <vt:lpwstr/>
      </vt:variant>
      <vt:variant>
        <vt:i4>7471193</vt:i4>
      </vt:variant>
      <vt:variant>
        <vt:i4>474</vt:i4>
      </vt:variant>
      <vt:variant>
        <vt:i4>0</vt:i4>
      </vt:variant>
      <vt:variant>
        <vt:i4>5</vt:i4>
      </vt:variant>
      <vt:variant>
        <vt:lpwstr>http://vbaw.vba.va.gov/bl/21/publicat/Regs/Part3/3_400.htm</vt:lpwstr>
      </vt:variant>
      <vt:variant>
        <vt:lpwstr/>
      </vt:variant>
      <vt:variant>
        <vt:i4>7733340</vt:i4>
      </vt:variant>
      <vt:variant>
        <vt:i4>471</vt:i4>
      </vt:variant>
      <vt:variant>
        <vt:i4>0</vt:i4>
      </vt:variant>
      <vt:variant>
        <vt:i4>5</vt:i4>
      </vt:variant>
      <vt:variant>
        <vt:lpwstr>http://vbaw.vba.va.gov/bl/21/publicat/Regs/Part3/3_151.htm</vt:lpwstr>
      </vt:variant>
      <vt:variant>
        <vt:lpwstr/>
      </vt:variant>
      <vt:variant>
        <vt:i4>7471193</vt:i4>
      </vt:variant>
      <vt:variant>
        <vt:i4>468</vt:i4>
      </vt:variant>
      <vt:variant>
        <vt:i4>0</vt:i4>
      </vt:variant>
      <vt:variant>
        <vt:i4>5</vt:i4>
      </vt:variant>
      <vt:variant>
        <vt:lpwstr>http://vbaw.vba.va.gov/bl/21/publicat/Regs/Part3/3_105.htm</vt:lpwstr>
      </vt:variant>
      <vt:variant>
        <vt:lpwstr/>
      </vt:variant>
      <vt:variant>
        <vt:i4>7667747</vt:i4>
      </vt:variant>
      <vt:variant>
        <vt:i4>465</vt:i4>
      </vt:variant>
      <vt:variant>
        <vt:i4>0</vt:i4>
      </vt:variant>
      <vt:variant>
        <vt:i4>5</vt:i4>
      </vt:variant>
      <vt:variant>
        <vt:lpwstr>http://vbaw.vba.va.gov/bl/21/Advisory/DADS/1992dads/Russell.doc</vt:lpwstr>
      </vt:variant>
      <vt:variant>
        <vt:lpwstr/>
      </vt:variant>
      <vt:variant>
        <vt:i4>7864410</vt:i4>
      </vt:variant>
      <vt:variant>
        <vt:i4>462</vt:i4>
      </vt:variant>
      <vt:variant>
        <vt:i4>0</vt:i4>
      </vt:variant>
      <vt:variant>
        <vt:i4>5</vt:i4>
      </vt:variant>
      <vt:variant>
        <vt:lpwstr>http://vbaw.vba.va.gov/bl/21/M21-1MR/index.asp?id=pt03_sp04_ch08_secE.xml</vt:lpwstr>
      </vt:variant>
      <vt:variant>
        <vt:lpwstr>III.iv.8.E.17</vt:lpwstr>
      </vt:variant>
      <vt:variant>
        <vt:i4>4718666</vt:i4>
      </vt:variant>
      <vt:variant>
        <vt:i4>459</vt:i4>
      </vt:variant>
      <vt:variant>
        <vt:i4>0</vt:i4>
      </vt:variant>
      <vt:variant>
        <vt:i4>5</vt:i4>
      </vt:variant>
      <vt:variant>
        <vt:lpwstr>http://vbaw.vba.va.gov/bl/21/M21/content/infomap.asp?address=M21-1MRIII.iv.2.B.4</vt:lpwstr>
      </vt:variant>
      <vt:variant>
        <vt:lpwstr/>
      </vt:variant>
      <vt:variant>
        <vt:i4>7471193</vt:i4>
      </vt:variant>
      <vt:variant>
        <vt:i4>456</vt:i4>
      </vt:variant>
      <vt:variant>
        <vt:i4>0</vt:i4>
      </vt:variant>
      <vt:variant>
        <vt:i4>5</vt:i4>
      </vt:variant>
      <vt:variant>
        <vt:lpwstr>http://vbaw.vba.va.gov/bl/21/publicat/Regs/Part3/3_400.htm</vt:lpwstr>
      </vt:variant>
      <vt:variant>
        <vt:lpwstr/>
      </vt:variant>
      <vt:variant>
        <vt:i4>4915274</vt:i4>
      </vt:variant>
      <vt:variant>
        <vt:i4>453</vt:i4>
      </vt:variant>
      <vt:variant>
        <vt:i4>0</vt:i4>
      </vt:variant>
      <vt:variant>
        <vt:i4>5</vt:i4>
      </vt:variant>
      <vt:variant>
        <vt:lpwstr>http://vbaw.vba.va.gov/BL/21/M21/content/infomap.asp?address=M21-1MRIII.iv.2.B.7</vt:lpwstr>
      </vt:variant>
      <vt:variant>
        <vt:lpwstr/>
      </vt:variant>
      <vt:variant>
        <vt:i4>7471193</vt:i4>
      </vt:variant>
      <vt:variant>
        <vt:i4>450</vt:i4>
      </vt:variant>
      <vt:variant>
        <vt:i4>0</vt:i4>
      </vt:variant>
      <vt:variant>
        <vt:i4>5</vt:i4>
      </vt:variant>
      <vt:variant>
        <vt:lpwstr>http://vbaw.vba.va.gov/bl/21/publicat/Regs/Part3/3_105.htm</vt:lpwstr>
      </vt:variant>
      <vt:variant>
        <vt:lpwstr/>
      </vt:variant>
      <vt:variant>
        <vt:i4>7536729</vt:i4>
      </vt:variant>
      <vt:variant>
        <vt:i4>447</vt:i4>
      </vt:variant>
      <vt:variant>
        <vt:i4>0</vt:i4>
      </vt:variant>
      <vt:variant>
        <vt:i4>5</vt:i4>
      </vt:variant>
      <vt:variant>
        <vt:lpwstr>http://vbaw.vba.va.gov/bl/21/publicat/Regs/Part3/3_104.htm</vt:lpwstr>
      </vt:variant>
      <vt:variant>
        <vt:lpwstr/>
      </vt:variant>
      <vt:variant>
        <vt:i4>3080247</vt:i4>
      </vt:variant>
      <vt:variant>
        <vt:i4>444</vt:i4>
      </vt:variant>
      <vt:variant>
        <vt:i4>0</vt:i4>
      </vt:variant>
      <vt:variant>
        <vt:i4>5</vt:i4>
      </vt:variant>
      <vt:variant>
        <vt:lpwstr>http://vbaw.vba.va.gov/bl/21/M21/content/contents.asp?address=M21-1MRIII.iv.8.E</vt:lpwstr>
      </vt:variant>
      <vt:variant>
        <vt:lpwstr/>
      </vt:variant>
      <vt:variant>
        <vt:i4>3080247</vt:i4>
      </vt:variant>
      <vt:variant>
        <vt:i4>441</vt:i4>
      </vt:variant>
      <vt:variant>
        <vt:i4>0</vt:i4>
      </vt:variant>
      <vt:variant>
        <vt:i4>5</vt:i4>
      </vt:variant>
      <vt:variant>
        <vt:lpwstr>http://vbaw.vba.va.gov/bl/21/M21/content/contents.asp?address=M21-1MRIII.iv.8.D</vt:lpwstr>
      </vt:variant>
      <vt:variant>
        <vt:lpwstr/>
      </vt:variant>
      <vt:variant>
        <vt:i4>3080247</vt:i4>
      </vt:variant>
      <vt:variant>
        <vt:i4>438</vt:i4>
      </vt:variant>
      <vt:variant>
        <vt:i4>0</vt:i4>
      </vt:variant>
      <vt:variant>
        <vt:i4>5</vt:i4>
      </vt:variant>
      <vt:variant>
        <vt:lpwstr>http://vbaw.vba.va.gov/bl/21/M21/content/contents.asp?address=M21-1MRIII.iv.8.B</vt:lpwstr>
      </vt:variant>
      <vt:variant>
        <vt:lpwstr/>
      </vt:variant>
      <vt:variant>
        <vt:i4>1900560</vt:i4>
      </vt:variant>
      <vt:variant>
        <vt:i4>435</vt:i4>
      </vt:variant>
      <vt:variant>
        <vt:i4>0</vt:i4>
      </vt:variant>
      <vt:variant>
        <vt:i4>5</vt:i4>
      </vt:variant>
      <vt:variant>
        <vt:lpwstr>http://vbaw.vba.va.gov/BL/21/M21/content/contents.asp?address=M21-1MRI.2</vt:lpwstr>
      </vt:variant>
      <vt:variant>
        <vt:lpwstr/>
      </vt:variant>
      <vt:variant>
        <vt:i4>7602265</vt:i4>
      </vt:variant>
      <vt:variant>
        <vt:i4>432</vt:i4>
      </vt:variant>
      <vt:variant>
        <vt:i4>0</vt:i4>
      </vt:variant>
      <vt:variant>
        <vt:i4>5</vt:i4>
      </vt:variant>
      <vt:variant>
        <vt:lpwstr>http://vbaw.vba.va.gov/bl/21/publicat/Regs/Part3/3_103.htm</vt:lpwstr>
      </vt:variant>
      <vt:variant>
        <vt:lpwstr/>
      </vt:variant>
      <vt:variant>
        <vt:i4>4325406</vt:i4>
      </vt:variant>
      <vt:variant>
        <vt:i4>429</vt:i4>
      </vt:variant>
      <vt:variant>
        <vt:i4>0</vt:i4>
      </vt:variant>
      <vt:variant>
        <vt:i4>5</vt:i4>
      </vt:variant>
      <vt:variant>
        <vt:lpwstr>\\vbahraclubcp\rbadocs\377</vt:lpwstr>
      </vt:variant>
      <vt:variant>
        <vt:lpwstr/>
      </vt:variant>
      <vt:variant>
        <vt:i4>4325406</vt:i4>
      </vt:variant>
      <vt:variant>
        <vt:i4>426</vt:i4>
      </vt:variant>
      <vt:variant>
        <vt:i4>0</vt:i4>
      </vt:variant>
      <vt:variant>
        <vt:i4>5</vt:i4>
      </vt:variant>
      <vt:variant>
        <vt:lpwstr>\\vbahraclubcp\rbadocs\377</vt:lpwstr>
      </vt:variant>
      <vt:variant>
        <vt:lpwstr/>
      </vt:variant>
      <vt:variant>
        <vt:i4>1179670</vt:i4>
      </vt:variant>
      <vt:variant>
        <vt:i4>423</vt:i4>
      </vt:variant>
      <vt:variant>
        <vt:i4>0</vt:i4>
      </vt:variant>
      <vt:variant>
        <vt:i4>5</vt:i4>
      </vt:variant>
      <vt:variant>
        <vt:lpwstr>https://vbahinescitrix.vba.va.gov/VBApps/auth/login.aspx</vt:lpwstr>
      </vt:variant>
      <vt:variant>
        <vt:lpwstr/>
      </vt:variant>
      <vt:variant>
        <vt:i4>4194353</vt:i4>
      </vt:variant>
      <vt:variant>
        <vt:i4>420</vt:i4>
      </vt:variant>
      <vt:variant>
        <vt:i4>0</vt:i4>
      </vt:variant>
      <vt:variant>
        <vt:i4>5</vt:i4>
      </vt:variant>
      <vt:variant>
        <vt:lpwstr>\\vbasdcfpc2\rba_data\rtgdocs</vt:lpwstr>
      </vt:variant>
      <vt:variant>
        <vt:lpwstr/>
      </vt:variant>
      <vt:variant>
        <vt:i4>4194353</vt:i4>
      </vt:variant>
      <vt:variant>
        <vt:i4>417</vt:i4>
      </vt:variant>
      <vt:variant>
        <vt:i4>0</vt:i4>
      </vt:variant>
      <vt:variant>
        <vt:i4>5</vt:i4>
      </vt:variant>
      <vt:variant>
        <vt:lpwstr>\\vbasdcfpc2\rba_data\rtgdocs</vt:lpwstr>
      </vt:variant>
      <vt:variant>
        <vt:lpwstr/>
      </vt:variant>
      <vt:variant>
        <vt:i4>2818147</vt:i4>
      </vt:variant>
      <vt:variant>
        <vt:i4>414</vt:i4>
      </vt:variant>
      <vt:variant>
        <vt:i4>0</vt:i4>
      </vt:variant>
      <vt:variant>
        <vt:i4>5</vt:i4>
      </vt:variant>
      <vt:variant>
        <vt:lpwstr>\\vbasdcfpc2\shared\archive</vt:lpwstr>
      </vt:variant>
      <vt:variant>
        <vt:lpwstr/>
      </vt:variant>
      <vt:variant>
        <vt:i4>2818147</vt:i4>
      </vt:variant>
      <vt:variant>
        <vt:i4>411</vt:i4>
      </vt:variant>
      <vt:variant>
        <vt:i4>0</vt:i4>
      </vt:variant>
      <vt:variant>
        <vt:i4>5</vt:i4>
      </vt:variant>
      <vt:variant>
        <vt:lpwstr>\\vbasdcfpc2\shared\archive</vt:lpwstr>
      </vt:variant>
      <vt:variant>
        <vt:lpwstr/>
      </vt:variant>
      <vt:variant>
        <vt:i4>0</vt:i4>
      </vt:variant>
      <vt:variant>
        <vt:i4>407</vt:i4>
      </vt:variant>
      <vt:variant>
        <vt:i4>0</vt:i4>
      </vt:variant>
      <vt:variant>
        <vt:i4>5</vt:i4>
      </vt:variant>
      <vt:variant>
        <vt:lpwstr>http://vbassp/sites/SDC-377-TRN/default.aspx</vt:lpwstr>
      </vt:variant>
      <vt:variant>
        <vt:lpwstr/>
      </vt:variant>
      <vt:variant>
        <vt:i4>6357118</vt:i4>
      </vt:variant>
      <vt:variant>
        <vt:i4>405</vt:i4>
      </vt:variant>
      <vt:variant>
        <vt:i4>0</vt:i4>
      </vt:variant>
      <vt:variant>
        <vt:i4>5</vt:i4>
      </vt:variant>
      <vt:variant>
        <vt:lpwstr>http://vbassp/sites/SDC-377/VSC</vt:lpwstr>
      </vt:variant>
      <vt:variant>
        <vt:lpwstr/>
      </vt:variant>
      <vt:variant>
        <vt:i4>6488156</vt:i4>
      </vt:variant>
      <vt:variant>
        <vt:i4>402</vt:i4>
      </vt:variant>
      <vt:variant>
        <vt:i4>0</vt:i4>
      </vt:variant>
      <vt:variant>
        <vt:i4>5</vt:i4>
      </vt:variant>
      <vt:variant>
        <vt:lpwstr>\\vbasdcfpc2\SHARED\VSC\FY2013 LANES</vt:lpwstr>
      </vt:variant>
      <vt:variant>
        <vt:lpwstr/>
      </vt:variant>
      <vt:variant>
        <vt:i4>7405618</vt:i4>
      </vt:variant>
      <vt:variant>
        <vt:i4>399</vt:i4>
      </vt:variant>
      <vt:variant>
        <vt:i4>0</vt:i4>
      </vt:variant>
      <vt:variant>
        <vt:i4>5</vt:i4>
      </vt:variant>
      <vt:variant>
        <vt:lpwstr>\\vbasdcfpc2\SHARED\VSC\Training\Education &amp; Training Library</vt:lpwstr>
      </vt:variant>
      <vt:variant>
        <vt:lpwstr/>
      </vt:variant>
      <vt:variant>
        <vt:i4>5963779</vt:i4>
      </vt:variant>
      <vt:variant>
        <vt:i4>396</vt:i4>
      </vt:variant>
      <vt:variant>
        <vt:i4>0</vt:i4>
      </vt:variant>
      <vt:variant>
        <vt:i4>5</vt:i4>
      </vt:variant>
      <vt:variant>
        <vt:lpwstr>\\vbasdcfpc2\SHARED\VSC\Training\1st Rate, RVSR Training Letter</vt:lpwstr>
      </vt:variant>
      <vt:variant>
        <vt:lpwstr/>
      </vt:variant>
      <vt:variant>
        <vt:i4>6946899</vt:i4>
      </vt:variant>
      <vt:variant>
        <vt:i4>393</vt:i4>
      </vt:variant>
      <vt:variant>
        <vt:i4>0</vt:i4>
      </vt:variant>
      <vt:variant>
        <vt:i4>5</vt:i4>
      </vt:variant>
      <vt:variant>
        <vt:lpwstr>\\vbasdcfpc2\SHARED\VSC\Rating Reference</vt:lpwstr>
      </vt:variant>
      <vt:variant>
        <vt:lpwstr/>
      </vt:variant>
      <vt:variant>
        <vt:i4>4784192</vt:i4>
      </vt:variant>
      <vt:variant>
        <vt:i4>390</vt:i4>
      </vt:variant>
      <vt:variant>
        <vt:i4>0</vt:i4>
      </vt:variant>
      <vt:variant>
        <vt:i4>5</vt:i4>
      </vt:variant>
      <vt:variant>
        <vt:lpwstr>\\vbasdcfpc2\SHARED\VSC\Development &amp; Rating Resources\standard Quality Control Reviews</vt:lpwstr>
      </vt:variant>
      <vt:variant>
        <vt:lpwstr/>
      </vt:variant>
      <vt:variant>
        <vt:i4>524306</vt:i4>
      </vt:variant>
      <vt:variant>
        <vt:i4>387</vt:i4>
      </vt:variant>
      <vt:variant>
        <vt:i4>0</vt:i4>
      </vt:variant>
      <vt:variant>
        <vt:i4>5</vt:i4>
      </vt:variant>
      <vt:variant>
        <vt:lpwstr>\\vbasdcfpc2\SHARED\VSC\Development &amp; Rating Resources\QRT Bulletin</vt:lpwstr>
      </vt:variant>
      <vt:variant>
        <vt:lpwstr/>
      </vt:variant>
      <vt:variant>
        <vt:i4>983153</vt:i4>
      </vt:variant>
      <vt:variant>
        <vt:i4>384</vt:i4>
      </vt:variant>
      <vt:variant>
        <vt:i4>0</vt:i4>
      </vt:variant>
      <vt:variant>
        <vt:i4>5</vt:i4>
      </vt:variant>
      <vt:variant>
        <vt:lpwstr>\\vbasdcfpc2\SHARED\VSC\Development &amp; Rating Resources</vt:lpwstr>
      </vt:variant>
      <vt:variant>
        <vt:lpwstr/>
      </vt:variant>
      <vt:variant>
        <vt:i4>1769580</vt:i4>
      </vt:variant>
      <vt:variant>
        <vt:i4>381</vt:i4>
      </vt:variant>
      <vt:variant>
        <vt:i4>0</vt:i4>
      </vt:variant>
      <vt:variant>
        <vt:i4>5</vt:i4>
      </vt:variant>
      <vt:variant>
        <vt:lpwstr>\\vbasdcfpc2\shared</vt:lpwstr>
      </vt:variant>
      <vt:variant>
        <vt:lpwstr/>
      </vt:variant>
      <vt:variant>
        <vt:i4>1966111</vt:i4>
      </vt:variant>
      <vt:variant>
        <vt:i4>378</vt:i4>
      </vt:variant>
      <vt:variant>
        <vt:i4>0</vt:i4>
      </vt:variant>
      <vt:variant>
        <vt:i4>5</vt:i4>
      </vt:variant>
      <vt:variant>
        <vt:lpwstr>https://www.lms.va.gov/plateau/user/login.jsp</vt:lpwstr>
      </vt:variant>
      <vt:variant>
        <vt:lpwstr/>
      </vt:variant>
      <vt:variant>
        <vt:i4>3407971</vt:i4>
      </vt:variant>
      <vt:variant>
        <vt:i4>375</vt:i4>
      </vt:variant>
      <vt:variant>
        <vt:i4>0</vt:i4>
      </vt:variant>
      <vt:variant>
        <vt:i4>5</vt:i4>
      </vt:variant>
      <vt:variant>
        <vt:lpwstr>http://www.tms.va.gov/</vt:lpwstr>
      </vt:variant>
      <vt:variant>
        <vt:lpwstr/>
      </vt:variant>
      <vt:variant>
        <vt:i4>983120</vt:i4>
      </vt:variant>
      <vt:variant>
        <vt:i4>372</vt:i4>
      </vt:variant>
      <vt:variant>
        <vt:i4>0</vt:i4>
      </vt:variant>
      <vt:variant>
        <vt:i4>5</vt:i4>
      </vt:variant>
      <vt:variant>
        <vt:lpwstr>http://vbaw.vba.va.gov/bl/20/opai/pai/wkld/2010/files/dis.htm</vt:lpwstr>
      </vt:variant>
      <vt:variant>
        <vt:lpwstr/>
      </vt:variant>
      <vt:variant>
        <vt:i4>393234</vt:i4>
      </vt:variant>
      <vt:variant>
        <vt:i4>369</vt:i4>
      </vt:variant>
      <vt:variant>
        <vt:i4>0</vt:i4>
      </vt:variant>
      <vt:variant>
        <vt:i4>5</vt:i4>
      </vt:variant>
      <vt:variant>
        <vt:lpwstr>https://aspen.vba.va.gov/SignInASPEN.asp</vt:lpwstr>
      </vt:variant>
      <vt:variant>
        <vt:lpwstr/>
      </vt:variant>
      <vt:variant>
        <vt:i4>4063294</vt:i4>
      </vt:variant>
      <vt:variant>
        <vt:i4>366</vt:i4>
      </vt:variant>
      <vt:variant>
        <vt:i4>0</vt:i4>
      </vt:variant>
      <vt:variant>
        <vt:i4>5</vt:i4>
      </vt:variant>
      <vt:variant>
        <vt:lpwstr>http://vbaw.vba.va.gov/bl/21/systems/docs/DeleteVVA.doc</vt:lpwstr>
      </vt:variant>
      <vt:variant>
        <vt:lpwstr/>
      </vt:variant>
      <vt:variant>
        <vt:i4>5767185</vt:i4>
      </vt:variant>
      <vt:variant>
        <vt:i4>363</vt:i4>
      </vt:variant>
      <vt:variant>
        <vt:i4>0</vt:i4>
      </vt:variant>
      <vt:variant>
        <vt:i4>5</vt:i4>
      </vt:variant>
      <vt:variant>
        <vt:lpwstr>http://virtualva.vba.va.gov/</vt:lpwstr>
      </vt:variant>
      <vt:variant>
        <vt:lpwstr/>
      </vt:variant>
      <vt:variant>
        <vt:i4>3735591</vt:i4>
      </vt:variant>
      <vt:variant>
        <vt:i4>360</vt:i4>
      </vt:variant>
      <vt:variant>
        <vt:i4>0</vt:i4>
      </vt:variant>
      <vt:variant>
        <vt:i4>5</vt:i4>
      </vt:variant>
      <vt:variant>
        <vt:lpwstr>http://vbaw.vba.va.gov/bl/21/Systems/rba2k.htm</vt:lpwstr>
      </vt:variant>
      <vt:variant>
        <vt:lpwstr/>
      </vt:variant>
      <vt:variant>
        <vt:i4>1769499</vt:i4>
      </vt:variant>
      <vt:variant>
        <vt:i4>357</vt:i4>
      </vt:variant>
      <vt:variant>
        <vt:i4>0</vt:i4>
      </vt:variant>
      <vt:variant>
        <vt:i4>5</vt:i4>
      </vt:variant>
      <vt:variant>
        <vt:lpwstr>http://vbaw.vba.va.gov/bl/21/systems/docs/rating.hlp</vt:lpwstr>
      </vt:variant>
      <vt:variant>
        <vt:lpwstr/>
      </vt:variant>
      <vt:variant>
        <vt:i4>6750301</vt:i4>
      </vt:variant>
      <vt:variant>
        <vt:i4>351</vt:i4>
      </vt:variant>
      <vt:variant>
        <vt:i4>0</vt:i4>
      </vt:variant>
      <vt:variant>
        <vt:i4>5</vt:i4>
      </vt:variant>
      <vt:variant>
        <vt:lpwstr>http://vbacodmoint1/bl/21/star/reports/narr_pswrd.asp</vt:lpwstr>
      </vt:variant>
      <vt:variant>
        <vt:lpwstr/>
      </vt:variant>
      <vt:variant>
        <vt:i4>3932236</vt:i4>
      </vt:variant>
      <vt:variant>
        <vt:i4>348</vt:i4>
      </vt:variant>
      <vt:variant>
        <vt:i4>0</vt:i4>
      </vt:variant>
      <vt:variant>
        <vt:i4>5</vt:i4>
      </vt:variant>
      <vt:variant>
        <vt:lpwstr>http://vbaw.vba.va.gov/bl/21/star/star_call.htm</vt:lpwstr>
      </vt:variant>
      <vt:variant>
        <vt:lpwstr/>
      </vt:variant>
      <vt:variant>
        <vt:i4>6815771</vt:i4>
      </vt:variant>
      <vt:variant>
        <vt:i4>345</vt:i4>
      </vt:variant>
      <vt:variant>
        <vt:i4>0</vt:i4>
      </vt:variant>
      <vt:variant>
        <vt:i4>5</vt:i4>
      </vt:variant>
      <vt:variant>
        <vt:lpwstr>http://vbaw.vba.va.gov/VBMS/vbms_r.asp</vt:lpwstr>
      </vt:variant>
      <vt:variant>
        <vt:lpwstr/>
      </vt:variant>
      <vt:variant>
        <vt:i4>5898247</vt:i4>
      </vt:variant>
      <vt:variant>
        <vt:i4>342</vt:i4>
      </vt:variant>
      <vt:variant>
        <vt:i4>0</vt:i4>
      </vt:variant>
      <vt:variant>
        <vt:i4>5</vt:i4>
      </vt:variant>
      <vt:variant>
        <vt:lpwstr>http://vbaw.vba.va.gov/VBMS/resources.asp</vt:lpwstr>
      </vt:variant>
      <vt:variant>
        <vt:lpwstr/>
      </vt:variant>
      <vt:variant>
        <vt:i4>6160415</vt:i4>
      </vt:variant>
      <vt:variant>
        <vt:i4>339</vt:i4>
      </vt:variant>
      <vt:variant>
        <vt:i4>0</vt:i4>
      </vt:variant>
      <vt:variant>
        <vt:i4>5</vt:i4>
      </vt:variant>
      <vt:variant>
        <vt:lpwstr>http://hvnc.gdit.com/lc/</vt:lpwstr>
      </vt:variant>
      <vt:variant>
        <vt:lpwstr/>
      </vt:variant>
      <vt:variant>
        <vt:i4>5701733</vt:i4>
      </vt:variant>
      <vt:variant>
        <vt:i4>336</vt:i4>
      </vt:variant>
      <vt:variant>
        <vt:i4>0</vt:i4>
      </vt:variant>
      <vt:variant>
        <vt:i4>5</vt:i4>
      </vt:variant>
      <vt:variant>
        <vt:lpwstr>http://epss.vba.va.gov/br_jobaids/</vt:lpwstr>
      </vt:variant>
      <vt:variant>
        <vt:lpwstr/>
      </vt:variant>
      <vt:variant>
        <vt:i4>7929874</vt:i4>
      </vt:variant>
      <vt:variant>
        <vt:i4>333</vt:i4>
      </vt:variant>
      <vt:variant>
        <vt:i4>0</vt:i4>
      </vt:variant>
      <vt:variant>
        <vt:i4>5</vt:i4>
      </vt:variant>
      <vt:variant>
        <vt:lpwstr>http://epss.vba.va.gov/rvsr_assistant/startpage.html</vt:lpwstr>
      </vt:variant>
      <vt:variant>
        <vt:lpwstr/>
      </vt:variant>
      <vt:variant>
        <vt:i4>6684687</vt:i4>
      </vt:variant>
      <vt:variant>
        <vt:i4>330</vt:i4>
      </vt:variant>
      <vt:variant>
        <vt:i4>0</vt:i4>
      </vt:variant>
      <vt:variant>
        <vt:i4>5</vt:i4>
      </vt:variant>
      <vt:variant>
        <vt:lpwstr>http://cptraining.vba.va.gov/C&amp;P_Training/</vt:lpwstr>
      </vt:variant>
      <vt:variant>
        <vt:lpwstr/>
      </vt:variant>
      <vt:variant>
        <vt:i4>4849754</vt:i4>
      </vt:variant>
      <vt:variant>
        <vt:i4>327</vt:i4>
      </vt:variant>
      <vt:variant>
        <vt:i4>0</vt:i4>
      </vt:variant>
      <vt:variant>
        <vt:i4>5</vt:i4>
      </vt:variant>
      <vt:variant>
        <vt:lpwstr>http://vbacodmoint1.vba.va.gov/bl/21/dbq/default.asp</vt:lpwstr>
      </vt:variant>
      <vt:variant>
        <vt:lpwstr/>
      </vt:variant>
      <vt:variant>
        <vt:i4>1179696</vt:i4>
      </vt:variant>
      <vt:variant>
        <vt:i4>324</vt:i4>
      </vt:variant>
      <vt:variant>
        <vt:i4>0</vt:i4>
      </vt:variant>
      <vt:variant>
        <vt:i4>5</vt:i4>
      </vt:variant>
      <vt:variant>
        <vt:lpwstr>http://vbacodmoint1.vba.va.gov/bl/21/qrt/qrt_home.htm</vt:lpwstr>
      </vt:variant>
      <vt:variant>
        <vt:lpwstr/>
      </vt:variant>
      <vt:variant>
        <vt:i4>1572881</vt:i4>
      </vt:variant>
      <vt:variant>
        <vt:i4>321</vt:i4>
      </vt:variant>
      <vt:variant>
        <vt:i4>0</vt:i4>
      </vt:variant>
      <vt:variant>
        <vt:i4>5</vt:i4>
      </vt:variant>
      <vt:variant>
        <vt:lpwstr>http://vbaw.vba.va.gov/bl/21/data/quality/qatimes.htm</vt:lpwstr>
      </vt:variant>
      <vt:variant>
        <vt:lpwstr/>
      </vt:variant>
      <vt:variant>
        <vt:i4>7929857</vt:i4>
      </vt:variant>
      <vt:variant>
        <vt:i4>318</vt:i4>
      </vt:variant>
      <vt:variant>
        <vt:i4>0</vt:i4>
      </vt:variant>
      <vt:variant>
        <vt:i4>5</vt:i4>
      </vt:variant>
      <vt:variant>
        <vt:lpwstr>http://www.benefits.va.gov/WARMS/Site_Map.asp</vt:lpwstr>
      </vt:variant>
      <vt:variant>
        <vt:lpwstr/>
      </vt:variant>
      <vt:variant>
        <vt:i4>6881391</vt:i4>
      </vt:variant>
      <vt:variant>
        <vt:i4>315</vt:i4>
      </vt:variant>
      <vt:variant>
        <vt:i4>0</vt:i4>
      </vt:variant>
      <vt:variant>
        <vt:i4>5</vt:i4>
      </vt:variant>
      <vt:variant>
        <vt:lpwstr>http://vbacodmoint1.vba.va.gov/bl/21/vscmcalls/calllist.asp</vt:lpwstr>
      </vt:variant>
      <vt:variant>
        <vt:lpwstr/>
      </vt:variant>
      <vt:variant>
        <vt:i4>524311</vt:i4>
      </vt:variant>
      <vt:variant>
        <vt:i4>312</vt:i4>
      </vt:variant>
      <vt:variant>
        <vt:i4>0</vt:i4>
      </vt:variant>
      <vt:variant>
        <vt:i4>5</vt:i4>
      </vt:variant>
      <vt:variant>
        <vt:lpwstr>http://vbaw.vba.va.gov/bl/21/Calendar/vbn/transcripts.htm</vt:lpwstr>
      </vt:variant>
      <vt:variant>
        <vt:lpwstr/>
      </vt:variant>
      <vt:variant>
        <vt:i4>8126553</vt:i4>
      </vt:variant>
      <vt:variant>
        <vt:i4>309</vt:i4>
      </vt:variant>
      <vt:variant>
        <vt:i4>0</vt:i4>
      </vt:variant>
      <vt:variant>
        <vt:i4>5</vt:i4>
      </vt:variant>
      <vt:variant>
        <vt:lpwstr>http://vbaw.vba.va.gov/bl/21/rating/Medical/MED_ABBS/A-d.htm</vt:lpwstr>
      </vt:variant>
      <vt:variant>
        <vt:lpwstr/>
      </vt:variant>
      <vt:variant>
        <vt:i4>6357115</vt:i4>
      </vt:variant>
      <vt:variant>
        <vt:i4>306</vt:i4>
      </vt:variant>
      <vt:variant>
        <vt:i4>0</vt:i4>
      </vt:variant>
      <vt:variant>
        <vt:i4>5</vt:i4>
      </vt:variant>
      <vt:variant>
        <vt:lpwstr>http://vbacodmoint1.vba.va.gov/bl/21/dbq/DBQByDisab.asp</vt:lpwstr>
      </vt:variant>
      <vt:variant>
        <vt:lpwstr/>
      </vt:variant>
      <vt:variant>
        <vt:i4>393332</vt:i4>
      </vt:variant>
      <vt:variant>
        <vt:i4>303</vt:i4>
      </vt:variant>
      <vt:variant>
        <vt:i4>0</vt:i4>
      </vt:variant>
      <vt:variant>
        <vt:i4>5</vt:i4>
      </vt:variant>
      <vt:variant>
        <vt:lpwstr>http://cptraining.vba.va.gov/C&amp;P_Training/Job_Aids/Medical_EPSS.htm</vt:lpwstr>
      </vt:variant>
      <vt:variant>
        <vt:lpwstr/>
      </vt:variant>
      <vt:variant>
        <vt:i4>1966163</vt:i4>
      </vt:variant>
      <vt:variant>
        <vt:i4>300</vt:i4>
      </vt:variant>
      <vt:variant>
        <vt:i4>0</vt:i4>
      </vt:variant>
      <vt:variant>
        <vt:i4>5</vt:i4>
      </vt:variant>
      <vt:variant>
        <vt:lpwstr>http://vbaw.vba.va.gov/bl/21/Rating/rat00.htm</vt:lpwstr>
      </vt:variant>
      <vt:variant>
        <vt:lpwstr/>
      </vt:variant>
      <vt:variant>
        <vt:i4>4391024</vt:i4>
      </vt:variant>
      <vt:variant>
        <vt:i4>297</vt:i4>
      </vt:variant>
      <vt:variant>
        <vt:i4>0</vt:i4>
      </vt:variant>
      <vt:variant>
        <vt:i4>5</vt:i4>
      </vt:variant>
      <vt:variant>
        <vt:lpwstr>http://vbacodmoint1.vba.va.gov/bl/21/calendar/cal_week.asp</vt:lpwstr>
      </vt:variant>
      <vt:variant>
        <vt:lpwstr/>
      </vt:variant>
      <vt:variant>
        <vt:i4>3735666</vt:i4>
      </vt:variant>
      <vt:variant>
        <vt:i4>294</vt:i4>
      </vt:variant>
      <vt:variant>
        <vt:i4>0</vt:i4>
      </vt:variant>
      <vt:variant>
        <vt:i4>5</vt:i4>
      </vt:variant>
      <vt:variant>
        <vt:lpwstr>http://vbaw.vba.va.gov/bl/21/Advisory/PGCOP.htm</vt:lpwstr>
      </vt:variant>
      <vt:variant>
        <vt:lpwstr/>
      </vt:variant>
      <vt:variant>
        <vt:i4>5373956</vt:i4>
      </vt:variant>
      <vt:variant>
        <vt:i4>291</vt:i4>
      </vt:variant>
      <vt:variant>
        <vt:i4>0</vt:i4>
      </vt:variant>
      <vt:variant>
        <vt:i4>5</vt:i4>
      </vt:variant>
      <vt:variant>
        <vt:lpwstr>http://vbaw.vba.va.gov/bl/21/Advisory/CAVCDAD.htm</vt:lpwstr>
      </vt:variant>
      <vt:variant>
        <vt:lpwstr/>
      </vt:variant>
      <vt:variant>
        <vt:i4>131156</vt:i4>
      </vt:variant>
      <vt:variant>
        <vt:i4>288</vt:i4>
      </vt:variant>
      <vt:variant>
        <vt:i4>0</vt:i4>
      </vt:variant>
      <vt:variant>
        <vt:i4>5</vt:i4>
      </vt:variant>
      <vt:variant>
        <vt:lpwstr>http://vbaw.vba.va.gov/bl/21/Letters/TrngLtrs.htm</vt:lpwstr>
      </vt:variant>
      <vt:variant>
        <vt:lpwstr/>
      </vt:variant>
      <vt:variant>
        <vt:i4>7143467</vt:i4>
      </vt:variant>
      <vt:variant>
        <vt:i4>285</vt:i4>
      </vt:variant>
      <vt:variant>
        <vt:i4>0</vt:i4>
      </vt:variant>
      <vt:variant>
        <vt:i4>5</vt:i4>
      </vt:variant>
      <vt:variant>
        <vt:lpwstr>http://vbaw.vba.va.gov/bl/21/FastLetters/FLList.asp</vt:lpwstr>
      </vt:variant>
      <vt:variant>
        <vt:lpwstr/>
      </vt:variant>
      <vt:variant>
        <vt:i4>786549</vt:i4>
      </vt:variant>
      <vt:variant>
        <vt:i4>282</vt:i4>
      </vt:variant>
      <vt:variant>
        <vt:i4>0</vt:i4>
      </vt:variant>
      <vt:variant>
        <vt:i4>5</vt:i4>
      </vt:variant>
      <vt:variant>
        <vt:lpwstr>http://vbaw.vba.va.gov/bl/21/M21-1MR/m21-1mr_main.htm</vt:lpwstr>
      </vt:variant>
      <vt:variant>
        <vt:lpwstr/>
      </vt:variant>
      <vt:variant>
        <vt:i4>7733363</vt:i4>
      </vt:variant>
      <vt:variant>
        <vt:i4>279</vt:i4>
      </vt:variant>
      <vt:variant>
        <vt:i4>0</vt:i4>
      </vt:variant>
      <vt:variant>
        <vt:i4>5</vt:i4>
      </vt:variant>
      <vt:variant>
        <vt:lpwstr>http://vbaw.vba.va.gov/BL/21/M21/content/index.asp</vt:lpwstr>
      </vt:variant>
      <vt:variant>
        <vt:lpwstr/>
      </vt:variant>
      <vt:variant>
        <vt:i4>786453</vt:i4>
      </vt:variant>
      <vt:variant>
        <vt:i4>276</vt:i4>
      </vt:variant>
      <vt:variant>
        <vt:i4>0</vt:i4>
      </vt:variant>
      <vt:variant>
        <vt:i4>5</vt:i4>
      </vt:variant>
      <vt:variant>
        <vt:lpwstr>http://vbaw.vba.va.gov/bl/21/Publicat/Regs/Part4/AppA.htm</vt:lpwstr>
      </vt:variant>
      <vt:variant>
        <vt:lpwstr/>
      </vt:variant>
      <vt:variant>
        <vt:i4>3604541</vt:i4>
      </vt:variant>
      <vt:variant>
        <vt:i4>273</vt:i4>
      </vt:variant>
      <vt:variant>
        <vt:i4>0</vt:i4>
      </vt:variant>
      <vt:variant>
        <vt:i4>5</vt:i4>
      </vt:variant>
      <vt:variant>
        <vt:lpwstr>http://vbaw.vba.va.gov/bl/21/publicat/Regs/Part4/index.htm</vt:lpwstr>
      </vt:variant>
      <vt:variant>
        <vt:lpwstr/>
      </vt:variant>
      <vt:variant>
        <vt:i4>3145789</vt:i4>
      </vt:variant>
      <vt:variant>
        <vt:i4>270</vt:i4>
      </vt:variant>
      <vt:variant>
        <vt:i4>0</vt:i4>
      </vt:variant>
      <vt:variant>
        <vt:i4>5</vt:i4>
      </vt:variant>
      <vt:variant>
        <vt:lpwstr>http://vbaw.vba.va.gov/bl/21/publicat/Regs/Part3/index.htm</vt:lpwstr>
      </vt:variant>
      <vt:variant>
        <vt:lpwstr/>
      </vt:variant>
      <vt:variant>
        <vt:i4>4325409</vt:i4>
      </vt:variant>
      <vt:variant>
        <vt:i4>267</vt:i4>
      </vt:variant>
      <vt:variant>
        <vt:i4>0</vt:i4>
      </vt:variant>
      <vt:variant>
        <vt:i4>5</vt:i4>
      </vt:variant>
      <vt:variant>
        <vt:lpwstr>http://vbaw.vba.va.gov/bl/21/publicat/pub_home.htm</vt:lpwstr>
      </vt:variant>
      <vt:variant>
        <vt:lpwstr/>
      </vt:variant>
      <vt:variant>
        <vt:i4>2228275</vt:i4>
      </vt:variant>
      <vt:variant>
        <vt:i4>264</vt:i4>
      </vt:variant>
      <vt:variant>
        <vt:i4>0</vt:i4>
      </vt:variant>
      <vt:variant>
        <vt:i4>5</vt:i4>
      </vt:variant>
      <vt:variant>
        <vt:lpwstr>http://vbaw.vba.va.gov/bl/21/index.htm</vt:lpwstr>
      </vt:variant>
      <vt:variant>
        <vt:lpwstr/>
      </vt:variant>
      <vt:variant>
        <vt:i4>1507345</vt:i4>
      </vt:variant>
      <vt:variant>
        <vt:i4>261</vt:i4>
      </vt:variant>
      <vt:variant>
        <vt:i4>0</vt:i4>
      </vt:variant>
      <vt:variant>
        <vt:i4>5</vt:i4>
      </vt:variant>
      <vt:variant>
        <vt:lpwstr/>
      </vt:variant>
      <vt:variant>
        <vt:lpwstr>VocRehab</vt:lpwstr>
      </vt:variant>
      <vt:variant>
        <vt:i4>1114117</vt:i4>
      </vt:variant>
      <vt:variant>
        <vt:i4>258</vt:i4>
      </vt:variant>
      <vt:variant>
        <vt:i4>0</vt:i4>
      </vt:variant>
      <vt:variant>
        <vt:i4>5</vt:i4>
      </vt:variant>
      <vt:variant>
        <vt:lpwstr/>
      </vt:variant>
      <vt:variant>
        <vt:lpwstr>Death</vt:lpwstr>
      </vt:variant>
      <vt:variant>
        <vt:i4>6881400</vt:i4>
      </vt:variant>
      <vt:variant>
        <vt:i4>255</vt:i4>
      </vt:variant>
      <vt:variant>
        <vt:i4>0</vt:i4>
      </vt:variant>
      <vt:variant>
        <vt:i4>5</vt:i4>
      </vt:variant>
      <vt:variant>
        <vt:lpwstr/>
      </vt:variant>
      <vt:variant>
        <vt:lpwstr>AtOnceDeferred</vt:lpwstr>
      </vt:variant>
      <vt:variant>
        <vt:i4>2031640</vt:i4>
      </vt:variant>
      <vt:variant>
        <vt:i4>252</vt:i4>
      </vt:variant>
      <vt:variant>
        <vt:i4>0</vt:i4>
      </vt:variant>
      <vt:variant>
        <vt:i4>5</vt:i4>
      </vt:variant>
      <vt:variant>
        <vt:lpwstr/>
      </vt:variant>
      <vt:variant>
        <vt:lpwstr>CommonDeferredWording</vt:lpwstr>
      </vt:variant>
      <vt:variant>
        <vt:i4>1441813</vt:i4>
      </vt:variant>
      <vt:variant>
        <vt:i4>249</vt:i4>
      </vt:variant>
      <vt:variant>
        <vt:i4>0</vt:i4>
      </vt:variant>
      <vt:variant>
        <vt:i4>5</vt:i4>
      </vt:variant>
      <vt:variant>
        <vt:lpwstr/>
      </vt:variant>
      <vt:variant>
        <vt:lpwstr>Deferred</vt:lpwstr>
      </vt:variant>
      <vt:variant>
        <vt:i4>1441813</vt:i4>
      </vt:variant>
      <vt:variant>
        <vt:i4>246</vt:i4>
      </vt:variant>
      <vt:variant>
        <vt:i4>0</vt:i4>
      </vt:variant>
      <vt:variant>
        <vt:i4>5</vt:i4>
      </vt:variant>
      <vt:variant>
        <vt:lpwstr/>
      </vt:variant>
      <vt:variant>
        <vt:lpwstr>Deferred</vt:lpwstr>
      </vt:variant>
      <vt:variant>
        <vt:i4>1179732</vt:i4>
      </vt:variant>
      <vt:variant>
        <vt:i4>243</vt:i4>
      </vt:variant>
      <vt:variant>
        <vt:i4>0</vt:i4>
      </vt:variant>
      <vt:variant>
        <vt:i4>5</vt:i4>
      </vt:variant>
      <vt:variant>
        <vt:lpwstr/>
      </vt:variant>
      <vt:variant>
        <vt:lpwstr>Part4ChangesTemplate</vt:lpwstr>
      </vt:variant>
      <vt:variant>
        <vt:i4>589909</vt:i4>
      </vt:variant>
      <vt:variant>
        <vt:i4>240</vt:i4>
      </vt:variant>
      <vt:variant>
        <vt:i4>0</vt:i4>
      </vt:variant>
      <vt:variant>
        <vt:i4>5</vt:i4>
      </vt:variant>
      <vt:variant>
        <vt:lpwstr/>
      </vt:variant>
      <vt:variant>
        <vt:lpwstr>Part4ChangesEyes</vt:lpwstr>
      </vt:variant>
      <vt:variant>
        <vt:i4>393305</vt:i4>
      </vt:variant>
      <vt:variant>
        <vt:i4>237</vt:i4>
      </vt:variant>
      <vt:variant>
        <vt:i4>0</vt:i4>
      </vt:variant>
      <vt:variant>
        <vt:i4>5</vt:i4>
      </vt:variant>
      <vt:variant>
        <vt:lpwstr/>
      </vt:variant>
      <vt:variant>
        <vt:lpwstr>Part4Changes8045</vt:lpwstr>
      </vt:variant>
      <vt:variant>
        <vt:i4>1179719</vt:i4>
      </vt:variant>
      <vt:variant>
        <vt:i4>234</vt:i4>
      </vt:variant>
      <vt:variant>
        <vt:i4>0</vt:i4>
      </vt:variant>
      <vt:variant>
        <vt:i4>5</vt:i4>
      </vt:variant>
      <vt:variant>
        <vt:lpwstr/>
      </vt:variant>
      <vt:variant>
        <vt:lpwstr>Part4ChangesScars</vt:lpwstr>
      </vt:variant>
      <vt:variant>
        <vt:i4>1900623</vt:i4>
      </vt:variant>
      <vt:variant>
        <vt:i4>231</vt:i4>
      </vt:variant>
      <vt:variant>
        <vt:i4>0</vt:i4>
      </vt:variant>
      <vt:variant>
        <vt:i4>5</vt:i4>
      </vt:variant>
      <vt:variant>
        <vt:lpwstr/>
      </vt:variant>
      <vt:variant>
        <vt:lpwstr>Part4ChangesSpine</vt:lpwstr>
      </vt:variant>
      <vt:variant>
        <vt:i4>131161</vt:i4>
      </vt:variant>
      <vt:variant>
        <vt:i4>228</vt:i4>
      </vt:variant>
      <vt:variant>
        <vt:i4>0</vt:i4>
      </vt:variant>
      <vt:variant>
        <vt:i4>5</vt:i4>
      </vt:variant>
      <vt:variant>
        <vt:lpwstr/>
      </vt:variant>
      <vt:variant>
        <vt:lpwstr>Part4Changes5293</vt:lpwstr>
      </vt:variant>
      <vt:variant>
        <vt:i4>393295</vt:i4>
      </vt:variant>
      <vt:variant>
        <vt:i4>225</vt:i4>
      </vt:variant>
      <vt:variant>
        <vt:i4>0</vt:i4>
      </vt:variant>
      <vt:variant>
        <vt:i4>5</vt:i4>
      </vt:variant>
      <vt:variant>
        <vt:lpwstr/>
      </vt:variant>
      <vt:variant>
        <vt:lpwstr>Part4ChangesSkin</vt:lpwstr>
      </vt:variant>
      <vt:variant>
        <vt:i4>8323128</vt:i4>
      </vt:variant>
      <vt:variant>
        <vt:i4>222</vt:i4>
      </vt:variant>
      <vt:variant>
        <vt:i4>0</vt:i4>
      </vt:variant>
      <vt:variant>
        <vt:i4>5</vt:i4>
      </vt:variant>
      <vt:variant>
        <vt:lpwstr/>
      </vt:variant>
      <vt:variant>
        <vt:lpwstr>Part4ChangesFingers</vt:lpwstr>
      </vt:variant>
      <vt:variant>
        <vt:i4>6881325</vt:i4>
      </vt:variant>
      <vt:variant>
        <vt:i4>219</vt:i4>
      </vt:variant>
      <vt:variant>
        <vt:i4>0</vt:i4>
      </vt:variant>
      <vt:variant>
        <vt:i4>5</vt:i4>
      </vt:variant>
      <vt:variant>
        <vt:lpwstr/>
      </vt:variant>
      <vt:variant>
        <vt:lpwstr>Part4ChangesCardio</vt:lpwstr>
      </vt:variant>
      <vt:variant>
        <vt:i4>196693</vt:i4>
      </vt:variant>
      <vt:variant>
        <vt:i4>216</vt:i4>
      </vt:variant>
      <vt:variant>
        <vt:i4>0</vt:i4>
      </vt:variant>
      <vt:variant>
        <vt:i4>5</vt:i4>
      </vt:variant>
      <vt:variant>
        <vt:lpwstr/>
      </vt:variant>
      <vt:variant>
        <vt:lpwstr>Part4Changes</vt:lpwstr>
      </vt:variant>
      <vt:variant>
        <vt:i4>7995451</vt:i4>
      </vt:variant>
      <vt:variant>
        <vt:i4>213</vt:i4>
      </vt:variant>
      <vt:variant>
        <vt:i4>0</vt:i4>
      </vt:variant>
      <vt:variant>
        <vt:i4>5</vt:i4>
      </vt:variant>
      <vt:variant>
        <vt:lpwstr/>
      </vt:variant>
      <vt:variant>
        <vt:lpwstr>Part4HemicLymph</vt:lpwstr>
      </vt:variant>
      <vt:variant>
        <vt:i4>1835087</vt:i4>
      </vt:variant>
      <vt:variant>
        <vt:i4>210</vt:i4>
      </vt:variant>
      <vt:variant>
        <vt:i4>0</vt:i4>
      </vt:variant>
      <vt:variant>
        <vt:i4>5</vt:i4>
      </vt:variant>
      <vt:variant>
        <vt:lpwstr/>
      </vt:variant>
      <vt:variant>
        <vt:lpwstr>Part4Gyn</vt:lpwstr>
      </vt:variant>
      <vt:variant>
        <vt:i4>7471158</vt:i4>
      </vt:variant>
      <vt:variant>
        <vt:i4>207</vt:i4>
      </vt:variant>
      <vt:variant>
        <vt:i4>0</vt:i4>
      </vt:variant>
      <vt:variant>
        <vt:i4>5</vt:i4>
      </vt:variant>
      <vt:variant>
        <vt:lpwstr/>
      </vt:variant>
      <vt:variant>
        <vt:lpwstr>Part4GU</vt:lpwstr>
      </vt:variant>
      <vt:variant>
        <vt:i4>6619194</vt:i4>
      </vt:variant>
      <vt:variant>
        <vt:i4>204</vt:i4>
      </vt:variant>
      <vt:variant>
        <vt:i4>0</vt:i4>
      </vt:variant>
      <vt:variant>
        <vt:i4>5</vt:i4>
      </vt:variant>
      <vt:variant>
        <vt:lpwstr/>
      </vt:variant>
      <vt:variant>
        <vt:lpwstr>Part4Digest</vt:lpwstr>
      </vt:variant>
      <vt:variant>
        <vt:i4>7143475</vt:i4>
      </vt:variant>
      <vt:variant>
        <vt:i4>201</vt:i4>
      </vt:variant>
      <vt:variant>
        <vt:i4>0</vt:i4>
      </vt:variant>
      <vt:variant>
        <vt:i4>5</vt:i4>
      </vt:variant>
      <vt:variant>
        <vt:lpwstr/>
      </vt:variant>
      <vt:variant>
        <vt:lpwstr>Part4Cardio</vt:lpwstr>
      </vt:variant>
      <vt:variant>
        <vt:i4>1310803</vt:i4>
      </vt:variant>
      <vt:variant>
        <vt:i4>198</vt:i4>
      </vt:variant>
      <vt:variant>
        <vt:i4>0</vt:i4>
      </vt:variant>
      <vt:variant>
        <vt:i4>5</vt:i4>
      </vt:variant>
      <vt:variant>
        <vt:lpwstr/>
      </vt:variant>
      <vt:variant>
        <vt:lpwstr>Part4Resp</vt:lpwstr>
      </vt:variant>
      <vt:variant>
        <vt:i4>7143465</vt:i4>
      </vt:variant>
      <vt:variant>
        <vt:i4>195</vt:i4>
      </vt:variant>
      <vt:variant>
        <vt:i4>0</vt:i4>
      </vt:variant>
      <vt:variant>
        <vt:i4>5</vt:i4>
      </vt:variant>
      <vt:variant>
        <vt:lpwstr/>
      </vt:variant>
      <vt:variant>
        <vt:lpwstr>Part4InfImmNut</vt:lpwstr>
      </vt:variant>
      <vt:variant>
        <vt:i4>1310803</vt:i4>
      </vt:variant>
      <vt:variant>
        <vt:i4>192</vt:i4>
      </vt:variant>
      <vt:variant>
        <vt:i4>0</vt:i4>
      </vt:variant>
      <vt:variant>
        <vt:i4>5</vt:i4>
      </vt:variant>
      <vt:variant>
        <vt:lpwstr/>
      </vt:variant>
      <vt:variant>
        <vt:lpwstr>Part4Rest</vt:lpwstr>
      </vt:variant>
      <vt:variant>
        <vt:i4>7471200</vt:i4>
      </vt:variant>
      <vt:variant>
        <vt:i4>189</vt:i4>
      </vt:variant>
      <vt:variant>
        <vt:i4>0</vt:i4>
      </vt:variant>
      <vt:variant>
        <vt:i4>5</vt:i4>
      </vt:variant>
      <vt:variant>
        <vt:lpwstr/>
      </vt:variant>
      <vt:variant>
        <vt:lpwstr>ReasonableDoubt</vt:lpwstr>
      </vt:variant>
      <vt:variant>
        <vt:i4>262154</vt:i4>
      </vt:variant>
      <vt:variant>
        <vt:i4>186</vt:i4>
      </vt:variant>
      <vt:variant>
        <vt:i4>0</vt:i4>
      </vt:variant>
      <vt:variant>
        <vt:i4>5</vt:i4>
      </vt:variant>
      <vt:variant>
        <vt:lpwstr/>
      </vt:variant>
      <vt:variant>
        <vt:lpwstr>ExamGuide</vt:lpwstr>
      </vt:variant>
      <vt:variant>
        <vt:i4>917523</vt:i4>
      </vt:variant>
      <vt:variant>
        <vt:i4>183</vt:i4>
      </vt:variant>
      <vt:variant>
        <vt:i4>0</vt:i4>
      </vt:variant>
      <vt:variant>
        <vt:i4>5</vt:i4>
      </vt:variant>
      <vt:variant>
        <vt:lpwstr/>
      </vt:variant>
      <vt:variant>
        <vt:lpwstr>MedicalOpinionDBQ</vt:lpwstr>
      </vt:variant>
      <vt:variant>
        <vt:i4>1376273</vt:i4>
      </vt:variant>
      <vt:variant>
        <vt:i4>180</vt:i4>
      </vt:variant>
      <vt:variant>
        <vt:i4>0</vt:i4>
      </vt:variant>
      <vt:variant>
        <vt:i4>5</vt:i4>
      </vt:variant>
      <vt:variant>
        <vt:lpwstr/>
      </vt:variant>
      <vt:variant>
        <vt:lpwstr>MedicalOpinionCheatChecklist</vt:lpwstr>
      </vt:variant>
      <vt:variant>
        <vt:i4>1638410</vt:i4>
      </vt:variant>
      <vt:variant>
        <vt:i4>177</vt:i4>
      </vt:variant>
      <vt:variant>
        <vt:i4>0</vt:i4>
      </vt:variant>
      <vt:variant>
        <vt:i4>5</vt:i4>
      </vt:variant>
      <vt:variant>
        <vt:lpwstr/>
      </vt:variant>
      <vt:variant>
        <vt:lpwstr>Evidence</vt:lpwstr>
      </vt:variant>
      <vt:variant>
        <vt:i4>8192107</vt:i4>
      </vt:variant>
      <vt:variant>
        <vt:i4>174</vt:i4>
      </vt:variant>
      <vt:variant>
        <vt:i4>0</vt:i4>
      </vt:variant>
      <vt:variant>
        <vt:i4>5</vt:i4>
      </vt:variant>
      <vt:variant>
        <vt:lpwstr/>
      </vt:variant>
      <vt:variant>
        <vt:lpwstr>Dental</vt:lpwstr>
      </vt:variant>
      <vt:variant>
        <vt:i4>7405671</vt:i4>
      </vt:variant>
      <vt:variant>
        <vt:i4>171</vt:i4>
      </vt:variant>
      <vt:variant>
        <vt:i4>0</vt:i4>
      </vt:variant>
      <vt:variant>
        <vt:i4>5</vt:i4>
      </vt:variant>
      <vt:variant>
        <vt:lpwstr/>
      </vt:variant>
      <vt:variant>
        <vt:lpwstr>Family</vt:lpwstr>
      </vt:variant>
      <vt:variant>
        <vt:i4>8126569</vt:i4>
      </vt:variant>
      <vt:variant>
        <vt:i4>168</vt:i4>
      </vt:variant>
      <vt:variant>
        <vt:i4>0</vt:i4>
      </vt:variant>
      <vt:variant>
        <vt:i4>5</vt:i4>
      </vt:variant>
      <vt:variant>
        <vt:lpwstr/>
      </vt:variant>
      <vt:variant>
        <vt:lpwstr>SMCExamples</vt:lpwstr>
      </vt:variant>
      <vt:variant>
        <vt:i4>7340141</vt:i4>
      </vt:variant>
      <vt:variant>
        <vt:i4>165</vt:i4>
      </vt:variant>
      <vt:variant>
        <vt:i4>0</vt:i4>
      </vt:variant>
      <vt:variant>
        <vt:i4>5</vt:i4>
      </vt:variant>
      <vt:variant>
        <vt:lpwstr/>
      </vt:variant>
      <vt:variant>
        <vt:lpwstr>TwoExtremities</vt:lpwstr>
      </vt:variant>
      <vt:variant>
        <vt:i4>2031626</vt:i4>
      </vt:variant>
      <vt:variant>
        <vt:i4>162</vt:i4>
      </vt:variant>
      <vt:variant>
        <vt:i4>0</vt:i4>
      </vt:variant>
      <vt:variant>
        <vt:i4>5</vt:i4>
      </vt:variant>
      <vt:variant>
        <vt:lpwstr/>
      </vt:variant>
      <vt:variant>
        <vt:lpwstr>Blindness</vt:lpwstr>
      </vt:variant>
      <vt:variant>
        <vt:i4>6291566</vt:i4>
      </vt:variant>
      <vt:variant>
        <vt:i4>159</vt:i4>
      </vt:variant>
      <vt:variant>
        <vt:i4>0</vt:i4>
      </vt:variant>
      <vt:variant>
        <vt:i4>5</vt:i4>
      </vt:variant>
      <vt:variant>
        <vt:lpwstr/>
      </vt:variant>
      <vt:variant>
        <vt:lpwstr>AAInfo</vt:lpwstr>
      </vt:variant>
      <vt:variant>
        <vt:i4>1638426</vt:i4>
      </vt:variant>
      <vt:variant>
        <vt:i4>156</vt:i4>
      </vt:variant>
      <vt:variant>
        <vt:i4>0</vt:i4>
      </vt:variant>
      <vt:variant>
        <vt:i4>5</vt:i4>
      </vt:variant>
      <vt:variant>
        <vt:lpwstr/>
      </vt:variant>
      <vt:variant>
        <vt:lpwstr>SMCCodes</vt:lpwstr>
      </vt:variant>
      <vt:variant>
        <vt:i4>720917</vt:i4>
      </vt:variant>
      <vt:variant>
        <vt:i4>153</vt:i4>
      </vt:variant>
      <vt:variant>
        <vt:i4>0</vt:i4>
      </vt:variant>
      <vt:variant>
        <vt:i4>5</vt:i4>
      </vt:variant>
      <vt:variant>
        <vt:lpwstr/>
      </vt:variant>
      <vt:variant>
        <vt:lpwstr>SMCParagraphCodes</vt:lpwstr>
      </vt:variant>
      <vt:variant>
        <vt:i4>327772</vt:i4>
      </vt:variant>
      <vt:variant>
        <vt:i4>150</vt:i4>
      </vt:variant>
      <vt:variant>
        <vt:i4>0</vt:i4>
      </vt:variant>
      <vt:variant>
        <vt:i4>5</vt:i4>
      </vt:variant>
      <vt:variant>
        <vt:lpwstr/>
      </vt:variant>
      <vt:variant>
        <vt:lpwstr>Part3SMC</vt:lpwstr>
      </vt:variant>
      <vt:variant>
        <vt:i4>7143539</vt:i4>
      </vt:variant>
      <vt:variant>
        <vt:i4>147</vt:i4>
      </vt:variant>
      <vt:variant>
        <vt:i4>0</vt:i4>
      </vt:variant>
      <vt:variant>
        <vt:i4>5</vt:i4>
      </vt:variant>
      <vt:variant>
        <vt:lpwstr/>
      </vt:variant>
      <vt:variant>
        <vt:lpwstr>SMC</vt:lpwstr>
      </vt:variant>
      <vt:variant>
        <vt:i4>1638415</vt:i4>
      </vt:variant>
      <vt:variant>
        <vt:i4>144</vt:i4>
      </vt:variant>
      <vt:variant>
        <vt:i4>0</vt:i4>
      </vt:variant>
      <vt:variant>
        <vt:i4>5</vt:i4>
      </vt:variant>
      <vt:variant>
        <vt:lpwstr/>
      </vt:variant>
      <vt:variant>
        <vt:lpwstr>Ancillary</vt:lpwstr>
      </vt:variant>
      <vt:variant>
        <vt:i4>8126573</vt:i4>
      </vt:variant>
      <vt:variant>
        <vt:i4>141</vt:i4>
      </vt:variant>
      <vt:variant>
        <vt:i4>0</vt:i4>
      </vt:variant>
      <vt:variant>
        <vt:i4>5</vt:i4>
      </vt:variant>
      <vt:variant>
        <vt:lpwstr/>
      </vt:variant>
      <vt:variant>
        <vt:lpwstr>Competency</vt:lpwstr>
      </vt:variant>
      <vt:variant>
        <vt:i4>196619</vt:i4>
      </vt:variant>
      <vt:variant>
        <vt:i4>138</vt:i4>
      </vt:variant>
      <vt:variant>
        <vt:i4>0</vt:i4>
      </vt:variant>
      <vt:variant>
        <vt:i4>5</vt:i4>
      </vt:variant>
      <vt:variant>
        <vt:lpwstr/>
      </vt:variant>
      <vt:variant>
        <vt:lpwstr>SpecialProvisions</vt:lpwstr>
      </vt:variant>
      <vt:variant>
        <vt:i4>7143539</vt:i4>
      </vt:variant>
      <vt:variant>
        <vt:i4>135</vt:i4>
      </vt:variant>
      <vt:variant>
        <vt:i4>0</vt:i4>
      </vt:variant>
      <vt:variant>
        <vt:i4>5</vt:i4>
      </vt:variant>
      <vt:variant>
        <vt:lpwstr/>
      </vt:variant>
      <vt:variant>
        <vt:lpwstr>SMP</vt:lpwstr>
      </vt:variant>
      <vt:variant>
        <vt:i4>7929975</vt:i4>
      </vt:variant>
      <vt:variant>
        <vt:i4>132</vt:i4>
      </vt:variant>
      <vt:variant>
        <vt:i4>0</vt:i4>
      </vt:variant>
      <vt:variant>
        <vt:i4>5</vt:i4>
      </vt:variant>
      <vt:variant>
        <vt:lpwstr/>
      </vt:variant>
      <vt:variant>
        <vt:lpwstr>Pension</vt:lpwstr>
      </vt:variant>
      <vt:variant>
        <vt:i4>7667817</vt:i4>
      </vt:variant>
      <vt:variant>
        <vt:i4>129</vt:i4>
      </vt:variant>
      <vt:variant>
        <vt:i4>0</vt:i4>
      </vt:variant>
      <vt:variant>
        <vt:i4>5</vt:i4>
      </vt:variant>
      <vt:variant>
        <vt:lpwstr/>
      </vt:variant>
      <vt:variant>
        <vt:lpwstr>IU</vt:lpwstr>
      </vt:variant>
      <vt:variant>
        <vt:i4>1114119</vt:i4>
      </vt:variant>
      <vt:variant>
        <vt:i4>126</vt:i4>
      </vt:variant>
      <vt:variant>
        <vt:i4>0</vt:i4>
      </vt:variant>
      <vt:variant>
        <vt:i4>5</vt:i4>
      </vt:variant>
      <vt:variant>
        <vt:lpwstr/>
      </vt:variant>
      <vt:variant>
        <vt:lpwstr>Other</vt:lpwstr>
      </vt:variant>
      <vt:variant>
        <vt:i4>8192098</vt:i4>
      </vt:variant>
      <vt:variant>
        <vt:i4>123</vt:i4>
      </vt:variant>
      <vt:variant>
        <vt:i4>0</vt:i4>
      </vt:variant>
      <vt:variant>
        <vt:i4>5</vt:i4>
      </vt:variant>
      <vt:variant>
        <vt:lpwstr/>
      </vt:variant>
      <vt:variant>
        <vt:lpwstr>Mental</vt:lpwstr>
      </vt:variant>
      <vt:variant>
        <vt:i4>7929957</vt:i4>
      </vt:variant>
      <vt:variant>
        <vt:i4>120</vt:i4>
      </vt:variant>
      <vt:variant>
        <vt:i4>0</vt:i4>
      </vt:variant>
      <vt:variant>
        <vt:i4>5</vt:i4>
      </vt:variant>
      <vt:variant>
        <vt:lpwstr/>
      </vt:variant>
      <vt:variant>
        <vt:lpwstr>Eye</vt:lpwstr>
      </vt:variant>
      <vt:variant>
        <vt:i4>6357025</vt:i4>
      </vt:variant>
      <vt:variant>
        <vt:i4>117</vt:i4>
      </vt:variant>
      <vt:variant>
        <vt:i4>0</vt:i4>
      </vt:variant>
      <vt:variant>
        <vt:i4>5</vt:i4>
      </vt:variant>
      <vt:variant>
        <vt:lpwstr/>
      </vt:variant>
      <vt:variant>
        <vt:lpwstr>Part4Neuro</vt:lpwstr>
      </vt:variant>
      <vt:variant>
        <vt:i4>6422644</vt:i4>
      </vt:variant>
      <vt:variant>
        <vt:i4>114</vt:i4>
      </vt:variant>
      <vt:variant>
        <vt:i4>0</vt:i4>
      </vt:variant>
      <vt:variant>
        <vt:i4>5</vt:i4>
      </vt:variant>
      <vt:variant>
        <vt:lpwstr/>
      </vt:variant>
      <vt:variant>
        <vt:lpwstr>TBI</vt:lpwstr>
      </vt:variant>
      <vt:variant>
        <vt:i4>6815863</vt:i4>
      </vt:variant>
      <vt:variant>
        <vt:i4>111</vt:i4>
      </vt:variant>
      <vt:variant>
        <vt:i4>0</vt:i4>
      </vt:variant>
      <vt:variant>
        <vt:i4>5</vt:i4>
      </vt:variant>
      <vt:variant>
        <vt:lpwstr/>
      </vt:variant>
      <vt:variant>
        <vt:lpwstr>Musculoskeletal</vt:lpwstr>
      </vt:variant>
      <vt:variant>
        <vt:i4>1114133</vt:i4>
      </vt:variant>
      <vt:variant>
        <vt:i4>108</vt:i4>
      </vt:variant>
      <vt:variant>
        <vt:i4>0</vt:i4>
      </vt:variant>
      <vt:variant>
        <vt:i4>5</vt:i4>
      </vt:variant>
      <vt:variant>
        <vt:lpwstr/>
      </vt:variant>
      <vt:variant>
        <vt:lpwstr>ScarsAndSkin</vt:lpwstr>
      </vt:variant>
      <vt:variant>
        <vt:i4>589853</vt:i4>
      </vt:variant>
      <vt:variant>
        <vt:i4>105</vt:i4>
      </vt:variant>
      <vt:variant>
        <vt:i4>0</vt:i4>
      </vt:variant>
      <vt:variant>
        <vt:i4>5</vt:i4>
      </vt:variant>
      <vt:variant>
        <vt:lpwstr/>
      </vt:variant>
      <vt:variant>
        <vt:lpwstr>ImproveAndFutures</vt:lpwstr>
      </vt:variant>
      <vt:variant>
        <vt:i4>8126570</vt:i4>
      </vt:variant>
      <vt:variant>
        <vt:i4>102</vt:i4>
      </vt:variant>
      <vt:variant>
        <vt:i4>0</vt:i4>
      </vt:variant>
      <vt:variant>
        <vt:i4>5</vt:i4>
      </vt:variant>
      <vt:variant>
        <vt:lpwstr/>
      </vt:variant>
      <vt:variant>
        <vt:lpwstr>Evaluations</vt:lpwstr>
      </vt:variant>
      <vt:variant>
        <vt:i4>7274598</vt:i4>
      </vt:variant>
      <vt:variant>
        <vt:i4>99</vt:i4>
      </vt:variant>
      <vt:variant>
        <vt:i4>0</vt:i4>
      </vt:variant>
      <vt:variant>
        <vt:i4>5</vt:i4>
      </vt:variant>
      <vt:variant>
        <vt:lpwstr/>
      </vt:variant>
      <vt:variant>
        <vt:lpwstr>SecondarySC</vt:lpwstr>
      </vt:variant>
      <vt:variant>
        <vt:i4>7340136</vt:i4>
      </vt:variant>
      <vt:variant>
        <vt:i4>96</vt:i4>
      </vt:variant>
      <vt:variant>
        <vt:i4>0</vt:i4>
      </vt:variant>
      <vt:variant>
        <vt:i4>5</vt:i4>
      </vt:variant>
      <vt:variant>
        <vt:lpwstr/>
      </vt:variant>
      <vt:variant>
        <vt:lpwstr>Cancer</vt:lpwstr>
      </vt:variant>
      <vt:variant>
        <vt:i4>7077985</vt:i4>
      </vt:variant>
      <vt:variant>
        <vt:i4>93</vt:i4>
      </vt:variant>
      <vt:variant>
        <vt:i4>0</vt:i4>
      </vt:variant>
      <vt:variant>
        <vt:i4>5</vt:i4>
      </vt:variant>
      <vt:variant>
        <vt:lpwstr/>
      </vt:variant>
      <vt:variant>
        <vt:lpwstr>ALS</vt:lpwstr>
      </vt:variant>
      <vt:variant>
        <vt:i4>7471228</vt:i4>
      </vt:variant>
      <vt:variant>
        <vt:i4>90</vt:i4>
      </vt:variant>
      <vt:variant>
        <vt:i4>0</vt:i4>
      </vt:variant>
      <vt:variant>
        <vt:i4>5</vt:i4>
      </vt:variant>
      <vt:variant>
        <vt:lpwstr/>
      </vt:variant>
      <vt:variant>
        <vt:lpwstr>GulfWar</vt:lpwstr>
      </vt:variant>
      <vt:variant>
        <vt:i4>6750330</vt:i4>
      </vt:variant>
      <vt:variant>
        <vt:i4>87</vt:i4>
      </vt:variant>
      <vt:variant>
        <vt:i4>0</vt:i4>
      </vt:variant>
      <vt:variant>
        <vt:i4>5</vt:i4>
      </vt:variant>
      <vt:variant>
        <vt:lpwstr/>
      </vt:variant>
      <vt:variant>
        <vt:lpwstr>MustardGas</vt:lpwstr>
      </vt:variant>
      <vt:variant>
        <vt:i4>8060971</vt:i4>
      </vt:variant>
      <vt:variant>
        <vt:i4>84</vt:i4>
      </vt:variant>
      <vt:variant>
        <vt:i4>0</vt:i4>
      </vt:variant>
      <vt:variant>
        <vt:i4>5</vt:i4>
      </vt:variant>
      <vt:variant>
        <vt:lpwstr/>
      </vt:variant>
      <vt:variant>
        <vt:lpwstr>Part4Endocrine</vt:lpwstr>
      </vt:variant>
      <vt:variant>
        <vt:i4>7798905</vt:i4>
      </vt:variant>
      <vt:variant>
        <vt:i4>81</vt:i4>
      </vt:variant>
      <vt:variant>
        <vt:i4>0</vt:i4>
      </vt:variant>
      <vt:variant>
        <vt:i4>5</vt:i4>
      </vt:variant>
      <vt:variant>
        <vt:lpwstr/>
      </vt:variant>
      <vt:variant>
        <vt:lpwstr>NavyAO</vt:lpwstr>
      </vt:variant>
      <vt:variant>
        <vt:i4>7274593</vt:i4>
      </vt:variant>
      <vt:variant>
        <vt:i4>78</vt:i4>
      </vt:variant>
      <vt:variant>
        <vt:i4>0</vt:i4>
      </vt:variant>
      <vt:variant>
        <vt:i4>5</vt:i4>
      </vt:variant>
      <vt:variant>
        <vt:lpwstr/>
      </vt:variant>
      <vt:variant>
        <vt:lpwstr>AO</vt:lpwstr>
      </vt:variant>
      <vt:variant>
        <vt:i4>1179648</vt:i4>
      </vt:variant>
      <vt:variant>
        <vt:i4>75</vt:i4>
      </vt:variant>
      <vt:variant>
        <vt:i4>0</vt:i4>
      </vt:variant>
      <vt:variant>
        <vt:i4>5</vt:i4>
      </vt:variant>
      <vt:variant>
        <vt:lpwstr/>
      </vt:variant>
      <vt:variant>
        <vt:lpwstr>ClarifyAndSolicit</vt:lpwstr>
      </vt:variant>
      <vt:variant>
        <vt:i4>1900572</vt:i4>
      </vt:variant>
      <vt:variant>
        <vt:i4>72</vt:i4>
      </vt:variant>
      <vt:variant>
        <vt:i4>0</vt:i4>
      </vt:variant>
      <vt:variant>
        <vt:i4>5</vt:i4>
      </vt:variant>
      <vt:variant>
        <vt:lpwstr/>
      </vt:variant>
      <vt:variant>
        <vt:lpwstr>PresumptiveSC</vt:lpwstr>
      </vt:variant>
      <vt:variant>
        <vt:i4>7864431</vt:i4>
      </vt:variant>
      <vt:variant>
        <vt:i4>69</vt:i4>
      </vt:variant>
      <vt:variant>
        <vt:i4>0</vt:i4>
      </vt:variant>
      <vt:variant>
        <vt:i4>5</vt:i4>
      </vt:variant>
      <vt:variant>
        <vt:lpwstr/>
      </vt:variant>
      <vt:variant>
        <vt:lpwstr>Aggravation</vt:lpwstr>
      </vt:variant>
      <vt:variant>
        <vt:i4>1114143</vt:i4>
      </vt:variant>
      <vt:variant>
        <vt:i4>66</vt:i4>
      </vt:variant>
      <vt:variant>
        <vt:i4>0</vt:i4>
      </vt:variant>
      <vt:variant>
        <vt:i4>5</vt:i4>
      </vt:variant>
      <vt:variant>
        <vt:lpwstr/>
      </vt:variant>
      <vt:variant>
        <vt:lpwstr>Asbestos</vt:lpwstr>
      </vt:variant>
      <vt:variant>
        <vt:i4>1048579</vt:i4>
      </vt:variant>
      <vt:variant>
        <vt:i4>63</vt:i4>
      </vt:variant>
      <vt:variant>
        <vt:i4>0</vt:i4>
      </vt:variant>
      <vt:variant>
        <vt:i4>5</vt:i4>
      </vt:variant>
      <vt:variant>
        <vt:lpwstr/>
      </vt:variant>
      <vt:variant>
        <vt:lpwstr>PTSD</vt:lpwstr>
      </vt:variant>
      <vt:variant>
        <vt:i4>262174</vt:i4>
      </vt:variant>
      <vt:variant>
        <vt:i4>60</vt:i4>
      </vt:variant>
      <vt:variant>
        <vt:i4>0</vt:i4>
      </vt:variant>
      <vt:variant>
        <vt:i4>5</vt:i4>
      </vt:variant>
      <vt:variant>
        <vt:lpwstr/>
      </vt:variant>
      <vt:variant>
        <vt:lpwstr>HLandTinnitus</vt:lpwstr>
      </vt:variant>
      <vt:variant>
        <vt:i4>6488178</vt:i4>
      </vt:variant>
      <vt:variant>
        <vt:i4>57</vt:i4>
      </vt:variant>
      <vt:variant>
        <vt:i4>0</vt:i4>
      </vt:variant>
      <vt:variant>
        <vt:i4>5</vt:i4>
      </vt:variant>
      <vt:variant>
        <vt:lpwstr/>
      </vt:variant>
      <vt:variant>
        <vt:lpwstr>elevenfiftyone</vt:lpwstr>
      </vt:variant>
      <vt:variant>
        <vt:i4>327702</vt:i4>
      </vt:variant>
      <vt:variant>
        <vt:i4>54</vt:i4>
      </vt:variant>
      <vt:variant>
        <vt:i4>0</vt:i4>
      </vt:variant>
      <vt:variant>
        <vt:i4>5</vt:i4>
      </vt:variant>
      <vt:variant>
        <vt:lpwstr/>
      </vt:variant>
      <vt:variant>
        <vt:lpwstr>Reserves</vt:lpwstr>
      </vt:variant>
      <vt:variant>
        <vt:i4>1703962</vt:i4>
      </vt:variant>
      <vt:variant>
        <vt:i4>51</vt:i4>
      </vt:variant>
      <vt:variant>
        <vt:i4>0</vt:i4>
      </vt:variant>
      <vt:variant>
        <vt:i4>5</vt:i4>
      </vt:variant>
      <vt:variant>
        <vt:lpwstr/>
      </vt:variant>
      <vt:variant>
        <vt:lpwstr>Dishonorable</vt:lpwstr>
      </vt:variant>
      <vt:variant>
        <vt:i4>1769478</vt:i4>
      </vt:variant>
      <vt:variant>
        <vt:i4>48</vt:i4>
      </vt:variant>
      <vt:variant>
        <vt:i4>0</vt:i4>
      </vt:variant>
      <vt:variant>
        <vt:i4>5</vt:i4>
      </vt:variant>
      <vt:variant>
        <vt:lpwstr/>
      </vt:variant>
      <vt:variant>
        <vt:lpwstr>DirectSC</vt:lpwstr>
      </vt:variant>
      <vt:variant>
        <vt:i4>7995496</vt:i4>
      </vt:variant>
      <vt:variant>
        <vt:i4>45</vt:i4>
      </vt:variant>
      <vt:variant>
        <vt:i4>0</vt:i4>
      </vt:variant>
      <vt:variant>
        <vt:i4>5</vt:i4>
      </vt:variant>
      <vt:variant>
        <vt:lpwstr/>
      </vt:variant>
      <vt:variant>
        <vt:lpwstr>CommonMeds</vt:lpwstr>
      </vt:variant>
      <vt:variant>
        <vt:i4>1048576</vt:i4>
      </vt:variant>
      <vt:variant>
        <vt:i4>42</vt:i4>
      </vt:variant>
      <vt:variant>
        <vt:i4>0</vt:i4>
      </vt:variant>
      <vt:variant>
        <vt:i4>5</vt:i4>
      </vt:variant>
      <vt:variant>
        <vt:lpwstr/>
      </vt:variant>
      <vt:variant>
        <vt:lpwstr>Analogous</vt:lpwstr>
      </vt:variant>
      <vt:variant>
        <vt:i4>1703940</vt:i4>
      </vt:variant>
      <vt:variant>
        <vt:i4>39</vt:i4>
      </vt:variant>
      <vt:variant>
        <vt:i4>0</vt:i4>
      </vt:variant>
      <vt:variant>
        <vt:i4>5</vt:i4>
      </vt:variant>
      <vt:variant>
        <vt:lpwstr/>
      </vt:variant>
      <vt:variant>
        <vt:lpwstr>Tips</vt:lpwstr>
      </vt:variant>
      <vt:variant>
        <vt:i4>7143526</vt:i4>
      </vt:variant>
      <vt:variant>
        <vt:i4>36</vt:i4>
      </vt:variant>
      <vt:variant>
        <vt:i4>0</vt:i4>
      </vt:variant>
      <vt:variant>
        <vt:i4>5</vt:i4>
      </vt:variant>
      <vt:variant>
        <vt:lpwstr/>
      </vt:variant>
      <vt:variant>
        <vt:lpwstr>AppealsRefs</vt:lpwstr>
      </vt:variant>
      <vt:variant>
        <vt:i4>4</vt:i4>
      </vt:variant>
      <vt:variant>
        <vt:i4>33</vt:i4>
      </vt:variant>
      <vt:variant>
        <vt:i4>0</vt:i4>
      </vt:variant>
      <vt:variant>
        <vt:i4>5</vt:i4>
      </vt:variant>
      <vt:variant>
        <vt:lpwstr/>
      </vt:variant>
      <vt:variant>
        <vt:lpwstr>MiscNotes</vt:lpwstr>
      </vt:variant>
      <vt:variant>
        <vt:i4>327687</vt:i4>
      </vt:variant>
      <vt:variant>
        <vt:i4>30</vt:i4>
      </vt:variant>
      <vt:variant>
        <vt:i4>0</vt:i4>
      </vt:variant>
      <vt:variant>
        <vt:i4>5</vt:i4>
      </vt:variant>
      <vt:variant>
        <vt:lpwstr/>
      </vt:variant>
      <vt:variant>
        <vt:lpwstr>EffDates</vt:lpwstr>
      </vt:variant>
      <vt:variant>
        <vt:i4>458773</vt:i4>
      </vt:variant>
      <vt:variant>
        <vt:i4>27</vt:i4>
      </vt:variant>
      <vt:variant>
        <vt:i4>0</vt:i4>
      </vt:variant>
      <vt:variant>
        <vt:i4>5</vt:i4>
      </vt:variant>
      <vt:variant>
        <vt:lpwstr/>
      </vt:variant>
      <vt:variant>
        <vt:lpwstr>SNLNotes</vt:lpwstr>
      </vt:variant>
      <vt:variant>
        <vt:i4>6357101</vt:i4>
      </vt:variant>
      <vt:variant>
        <vt:i4>24</vt:i4>
      </vt:variant>
      <vt:variant>
        <vt:i4>0</vt:i4>
      </vt:variant>
      <vt:variant>
        <vt:i4>5</vt:i4>
      </vt:variant>
      <vt:variant>
        <vt:lpwstr/>
      </vt:variant>
      <vt:variant>
        <vt:lpwstr>SNLFreeText</vt:lpwstr>
      </vt:variant>
      <vt:variant>
        <vt:i4>196629</vt:i4>
      </vt:variant>
      <vt:variant>
        <vt:i4>21</vt:i4>
      </vt:variant>
      <vt:variant>
        <vt:i4>0</vt:i4>
      </vt:variant>
      <vt:variant>
        <vt:i4>5</vt:i4>
      </vt:variant>
      <vt:variant>
        <vt:lpwstr/>
      </vt:variant>
      <vt:variant>
        <vt:lpwstr>SNLRationales</vt:lpwstr>
      </vt:variant>
      <vt:variant>
        <vt:i4>655367</vt:i4>
      </vt:variant>
      <vt:variant>
        <vt:i4>18</vt:i4>
      </vt:variant>
      <vt:variant>
        <vt:i4>0</vt:i4>
      </vt:variant>
      <vt:variant>
        <vt:i4>5</vt:i4>
      </vt:variant>
      <vt:variant>
        <vt:lpwstr/>
      </vt:variant>
      <vt:variant>
        <vt:lpwstr>SNLDenialReasons</vt:lpwstr>
      </vt:variant>
      <vt:variant>
        <vt:i4>7209075</vt:i4>
      </vt:variant>
      <vt:variant>
        <vt:i4>15</vt:i4>
      </vt:variant>
      <vt:variant>
        <vt:i4>0</vt:i4>
      </vt:variant>
      <vt:variant>
        <vt:i4>5</vt:i4>
      </vt:variant>
      <vt:variant>
        <vt:lpwstr/>
      </vt:variant>
      <vt:variant>
        <vt:lpwstr>SNL</vt:lpwstr>
      </vt:variant>
      <vt:variant>
        <vt:i4>8061048</vt:i4>
      </vt:variant>
      <vt:variant>
        <vt:i4>12</vt:i4>
      </vt:variant>
      <vt:variant>
        <vt:i4>0</vt:i4>
      </vt:variant>
      <vt:variant>
        <vt:i4>5</vt:i4>
      </vt:variant>
      <vt:variant>
        <vt:lpwstr/>
      </vt:variant>
      <vt:variant>
        <vt:lpwstr>Reopen</vt:lpwstr>
      </vt:variant>
      <vt:variant>
        <vt:i4>6684771</vt:i4>
      </vt:variant>
      <vt:variant>
        <vt:i4>9</vt:i4>
      </vt:variant>
      <vt:variant>
        <vt:i4>0</vt:i4>
      </vt:variant>
      <vt:variant>
        <vt:i4>5</vt:i4>
      </vt:variant>
      <vt:variant>
        <vt:lpwstr/>
      </vt:variant>
      <vt:variant>
        <vt:lpwstr>CFI</vt:lpwstr>
      </vt:variant>
      <vt:variant>
        <vt:i4>7667811</vt:i4>
      </vt:variant>
      <vt:variant>
        <vt:i4>6</vt:i4>
      </vt:variant>
      <vt:variant>
        <vt:i4>0</vt:i4>
      </vt:variant>
      <vt:variant>
        <vt:i4>5</vt:i4>
      </vt:variant>
      <vt:variant>
        <vt:lpwstr/>
      </vt:variant>
      <vt:variant>
        <vt:lpwstr>CUE</vt:lpwstr>
      </vt:variant>
      <vt:variant>
        <vt:i4>1835028</vt:i4>
      </vt:variant>
      <vt:variant>
        <vt:i4>3</vt:i4>
      </vt:variant>
      <vt:variant>
        <vt:i4>0</vt:i4>
      </vt:variant>
      <vt:variant>
        <vt:i4>5</vt:i4>
      </vt:variant>
      <vt:variant>
        <vt:lpwstr/>
      </vt:variant>
      <vt:variant>
        <vt:lpwstr>TypesOfClaims</vt:lpwstr>
      </vt:variant>
      <vt:variant>
        <vt:i4>131074</vt:i4>
      </vt:variant>
      <vt:variant>
        <vt:i4>0</vt:i4>
      </vt:variant>
      <vt:variant>
        <vt:i4>0</vt:i4>
      </vt:variant>
      <vt:variant>
        <vt:i4>5</vt:i4>
      </vt:variant>
      <vt:variant>
        <vt:lpwstr/>
      </vt:variant>
      <vt:variant>
        <vt:lpwstr>Links</vt:lpwstr>
      </vt:variant>
      <vt:variant>
        <vt:i4>7274612</vt:i4>
      </vt:variant>
      <vt:variant>
        <vt:i4>-1</vt:i4>
      </vt:variant>
      <vt:variant>
        <vt:i4>1060</vt:i4>
      </vt:variant>
      <vt:variant>
        <vt:i4>4</vt:i4>
      </vt:variant>
      <vt:variant>
        <vt:lpwstr/>
      </vt:variant>
      <vt:variant>
        <vt:lpwstr>Top</vt:lpwstr>
      </vt:variant>
      <vt:variant>
        <vt:i4>7274612</vt:i4>
      </vt:variant>
      <vt:variant>
        <vt:i4>-1</vt:i4>
      </vt:variant>
      <vt:variant>
        <vt:i4>1061</vt:i4>
      </vt:variant>
      <vt:variant>
        <vt:i4>4</vt:i4>
      </vt:variant>
      <vt:variant>
        <vt:lpwstr/>
      </vt:variant>
      <vt:variant>
        <vt:lpwstr>Top</vt:lpwstr>
      </vt:variant>
      <vt:variant>
        <vt:i4>7274612</vt:i4>
      </vt:variant>
      <vt:variant>
        <vt:i4>-1</vt:i4>
      </vt:variant>
      <vt:variant>
        <vt:i4>1062</vt:i4>
      </vt:variant>
      <vt:variant>
        <vt:i4>4</vt:i4>
      </vt:variant>
      <vt:variant>
        <vt:lpwstr/>
      </vt:variant>
      <vt:variant>
        <vt:lpwstr>Top</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Rees, Wendy, VBASDGO</dc:creator>
  <cp:keywords/>
  <dc:description/>
  <cp:lastModifiedBy>Ferguson, Samuel C., VBASDGO</cp:lastModifiedBy>
  <cp:revision>2</cp:revision>
  <cp:lastPrinted>2010-12-15T19:56:00Z</cp:lastPrinted>
  <dcterms:created xsi:type="dcterms:W3CDTF">2018-09-14T23:03:00Z</dcterms:created>
  <dcterms:modified xsi:type="dcterms:W3CDTF">2018-09-14T23:03:00Z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B_Version">
    <vt:lpwstr>v111814_1014</vt:lpwstr>
  </property>
</Properties>
</file>